
<file path=[Content_Types].xml><?xml version="1.0" encoding="utf-8"?>
<Types xmlns="http://schemas.openxmlformats.org/package/2006/content-types">
  <Default Extension="xml" ContentType="application/xml"/>
  <Default Extension="tiff" ContentType="image/tiff"/>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xml" ContentType="application/vnd.openxmlformats-officedocument.wordprocessingml.footer+xml"/>
  <Override PartName="/word/footer20.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endnotes.xml" ContentType="application/vnd.openxmlformats-officedocument.wordprocessingml.endnotes+xml"/>
  <Override PartName="/word/glossary/fontTable.xml" ContentType="application/vnd.openxmlformats-officedocument.wordprocessingml.fontTable+xml"/>
  <Override PartName="/word/glossary/footnotes.xml" ContentType="application/vnd.openxmlformats-officedocument.wordprocessingml.footnotes+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8"/>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18"/>
              <w:framePr w:wrap="notBeside" w:vAnchor="page" w:hAnchor="page" w:x="1372" w:y="568"/>
              <w:tabs>
                <w:tab w:val="clear" w:pos="4153"/>
                <w:tab w:val="clear" w:pos="8306"/>
              </w:tabs>
              <w:spacing w:line="240" w:lineRule="auto"/>
              <w:jc w:val="left"/>
              <w:rPr>
                <w:rFonts w:hint="eastAsia"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pPr>
              <w:pStyle w:val="18"/>
              <w:framePr w:wrap="notBeside" w:vAnchor="page" w:hAnchor="page" w:x="1372" w:y="568"/>
              <w:tabs>
                <w:tab w:val="clear" w:pos="4153"/>
                <w:tab w:val="clear" w:pos="8306"/>
              </w:tabs>
              <w:spacing w:line="240" w:lineRule="auto"/>
              <w:jc w:val="both"/>
              <w:rPr>
                <w:rFonts w:hint="eastAsia"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13.140</w:t>
            </w:r>
            <w:r>
              <w:rPr>
                <w:rFonts w:ascii="黑体" w:hAnsi="黑体" w:eastAsia="黑体"/>
                <w:sz w:val="21"/>
                <w:szCs w:val="21"/>
              </w:rPr>
              <w:t xml:space="preserve"> </w:t>
            </w:r>
            <w:r>
              <w:rPr>
                <w:rFonts w:ascii="黑体" w:hAnsi="黑体" w:eastAsia="黑体"/>
                <w:sz w:val="21"/>
                <w:szCs w:val="21"/>
              </w:rPr>
              <w:fldChar w:fldCharType="end"/>
            </w:r>
            <w:bookmarkEnd w:id="0"/>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18"/>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pPr>
              <w:pStyle w:val="18"/>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C 52</w:t>
            </w:r>
            <w:r>
              <w:rPr>
                <w:rFonts w:ascii="黑体" w:hAnsi="黑体" w:eastAsia="黑体"/>
                <w:sz w:val="21"/>
                <w:szCs w:val="21"/>
              </w:rPr>
              <w:t>     </w:t>
            </w:r>
            <w:r>
              <w:rPr>
                <w:rFonts w:ascii="黑体" w:hAnsi="黑体" w:eastAsia="黑体"/>
                <w:sz w:val="21"/>
                <w:szCs w:val="21"/>
              </w:rPr>
              <w:fldChar w:fldCharType="end"/>
            </w:r>
            <w:bookmarkEnd w:id="1"/>
          </w:p>
        </w:tc>
      </w:tr>
    </w:tbl>
    <w:tbl>
      <w:tblPr>
        <w:tblStyle w:val="28"/>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pPr>
              <w:pStyle w:val="50"/>
              <w:framePr w:w="0" w:hRule="auto" w:wrap="auto" w:vAnchor="margin" w:hAnchor="text" w:xAlign="left" w:yAlign="inline"/>
              <w:rPr>
                <w:rFonts w:hint="eastAsia" w:ascii="宋体" w:hAnsi="宋体"/>
                <w:sz w:val="28"/>
                <w:szCs w:val="28"/>
              </w:rPr>
            </w:pPr>
            <w:bookmarkStart w:id="2"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47"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rPr>
                <w:rFonts w:hint="eastAsia"/>
                <w:lang w:eastAsia="zh-CN"/>
              </w:rPr>
              <w:t>3</w:t>
            </w:r>
            <w:r>
              <w:rPr>
                <w:rFonts w:hint="eastAsia"/>
                <w:lang w:val="en-US" w:eastAsia="zh-CN"/>
              </w:rPr>
              <w:t>1</w:t>
            </w:r>
            <w:r>
              <w:fldChar w:fldCharType="end"/>
            </w:r>
            <w:bookmarkEnd w:id="3"/>
          </w:p>
        </w:tc>
      </w:tr>
    </w:tbl>
    <w:p>
      <w:pPr>
        <w:pStyle w:val="51"/>
        <w:framePr w:w="9639" w:h="624" w:hRule="exact" w:hSpace="181" w:vSpace="181" w:wrap="around" w:hAnchor="page" w:x="1305" w:y="2269"/>
        <w:rPr>
          <w:rFonts w:hint="eastAsia"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lang w:eastAsia="zh-CN"/>
        </w:rPr>
        <w:t>上海市</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pPr>
        <w:pStyle w:val="196"/>
        <w:rPr>
          <w:lang w:val="fr-FR"/>
        </w:rPr>
      </w:pPr>
      <w:r>
        <w:rPr>
          <w:rFonts w:ascii="Times New Roman"/>
          <w:lang w:val="fr-FR"/>
        </w:rPr>
        <w:t>DB</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rFonts w:hint="eastAsia"/>
          <w:lang w:val="en-US" w:eastAsia="zh-CN"/>
        </w:rPr>
        <w:t>31</w:t>
      </w:r>
      <w:r>
        <w:rPr>
          <w:lang w:val="fr-FR"/>
        </w:rPr>
        <w:t>/T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lang w:val="fr-FR"/>
        </w:rPr>
        <w:t>XXXX</w:t>
      </w:r>
      <w:r>
        <w:fldChar w:fldCharType="end"/>
      </w:r>
      <w:bookmarkEnd w:id="7"/>
    </w:p>
    <w:p>
      <w:pPr>
        <w:pStyle w:val="197"/>
        <w:rPr>
          <w:rFonts w:hint="eastAsia"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pPr>
        <w:spacing w:line="240" w:lineRule="auto"/>
        <w:rPr>
          <w:rFonts w:hint="eastAsia"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pPr>
        <w:pStyle w:val="51"/>
        <w:framePr w:w="9639" w:h="6976" w:hRule="exact" w:hSpace="0" w:vSpace="0" w:wrap="around" w:hAnchor="page" w:y="6408"/>
        <w:jc w:val="center"/>
        <w:rPr>
          <w:rFonts w:hint="eastAsia" w:ascii="黑体" w:hAnsi="黑体" w:eastAsia="黑体"/>
          <w:b w:val="0"/>
          <w:bCs w:val="0"/>
          <w:w w:val="100"/>
        </w:rPr>
      </w:pPr>
    </w:p>
    <w:p>
      <w:pPr>
        <w:pStyle w:val="198"/>
        <w:framePr w:h="6974" w:hRule="exact" w:wrap="around" w:x="1419" w:anchorLock="1"/>
        <w:rPr>
          <w:rFonts w:hint="eastAsia"/>
        </w:rPr>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Pr>
          <w:rFonts w:hint="eastAsia"/>
          <w:lang w:eastAsia="zh-CN"/>
        </w:rPr>
        <w:t>噪声作业职业健康管理规范</w:t>
      </w:r>
      <w:r>
        <w:fldChar w:fldCharType="end"/>
      </w:r>
      <w:bookmarkEnd w:id="9"/>
    </w:p>
    <w:p>
      <w:pPr>
        <w:framePr w:w="9639" w:h="6974" w:hRule="exact" w:wrap="around" w:vAnchor="page" w:hAnchor="page" w:x="1419" w:y="6408" w:anchorLock="1"/>
        <w:ind w:left="-1418"/>
      </w:pPr>
    </w:p>
    <w:p>
      <w:pPr>
        <w:pStyle w:val="126"/>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Pr>
          <w:rFonts w:eastAsia="黑体"/>
          <w:szCs w:val="28"/>
        </w:rPr>
        <w:instrText xml:space="preserve"> FORMTEXT </w:instrText>
      </w:r>
      <w:r>
        <w:rPr>
          <w:rFonts w:eastAsia="黑体"/>
          <w:szCs w:val="28"/>
        </w:rPr>
        <w:fldChar w:fldCharType="separate"/>
      </w:r>
      <w:r>
        <w:rPr>
          <w:rFonts w:hint="eastAsia" w:eastAsia="黑体"/>
          <w:szCs w:val="28"/>
        </w:rPr>
        <w:t>Specifications for management of occupational health in noise work     </w:t>
      </w:r>
      <w:r>
        <w:rPr>
          <w:rFonts w:eastAsia="黑体"/>
          <w:szCs w:val="28"/>
        </w:rPr>
        <w:fldChar w:fldCharType="end"/>
      </w:r>
      <w:bookmarkEnd w:id="10"/>
    </w:p>
    <w:p>
      <w:pPr>
        <w:framePr w:w="9639" w:h="6974" w:hRule="exact" w:wrap="around" w:vAnchor="page" w:hAnchor="page" w:x="1419" w:y="6408" w:anchorLock="1"/>
        <w:spacing w:line="760" w:lineRule="exact"/>
        <w:ind w:left="-1418"/>
      </w:pPr>
    </w:p>
    <w:p>
      <w:pPr>
        <w:pStyle w:val="126"/>
        <w:framePr w:w="9639" w:h="6974" w:hRule="exact" w:wrap="around" w:vAnchor="page" w:hAnchor="page" w:x="1419" w:y="6408" w:anchorLock="1"/>
        <w:textAlignment w:val="bottom"/>
        <w:rPr>
          <w:rFonts w:eastAsia="黑体"/>
          <w:szCs w:val="28"/>
        </w:rPr>
      </w:pPr>
    </w:p>
    <w:p>
      <w:pPr>
        <w:pStyle w:val="126"/>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pPr>
        <w:pStyle w:val="126"/>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sz w:val="21"/>
          <w:szCs w:val="28"/>
        </w:rPr>
        <w:t>（本草案完成时间：</w:t>
      </w:r>
      <w:r>
        <w:rPr>
          <w:rFonts w:hint="eastAsia"/>
          <w:sz w:val="21"/>
          <w:szCs w:val="28"/>
          <w:lang w:val="en-US" w:eastAsia="zh-CN"/>
        </w:rPr>
        <w:t>2025年8月31日</w:t>
      </w:r>
      <w:r>
        <w:rPr>
          <w:sz w:val="21"/>
          <w:szCs w:val="28"/>
        </w:rPr>
        <w:t>）</w:t>
      </w:r>
      <w:r>
        <w:rPr>
          <w:sz w:val="21"/>
          <w:szCs w:val="28"/>
        </w:rPr>
        <w:fldChar w:fldCharType="end"/>
      </w:r>
      <w:bookmarkEnd w:id="12"/>
    </w:p>
    <w:p>
      <w:pPr>
        <w:pStyle w:val="126"/>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pPr>
        <w:pStyle w:val="194"/>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fldChar w:fldCharType="separate"/>
      </w:r>
      <w:r>
        <w:rPr>
          <w:rFonts w:hint="eastAsia" w:ascii="黑体"/>
          <w:lang w:eastAsia="zh-CN"/>
        </w:rPr>
        <w:t>2</w:t>
      </w:r>
      <w:r>
        <w:rPr>
          <w:rFonts w:hint="eastAsia" w:ascii="黑体"/>
          <w:lang w:val="en-US" w:eastAsia="zh-CN"/>
        </w:rPr>
        <w:t>025</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发布</w:t>
      </w:r>
    </w:p>
    <w:p>
      <w:pPr>
        <w:pStyle w:val="195"/>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fldChar w:fldCharType="separate"/>
      </w:r>
      <w:r>
        <w:rPr>
          <w:rFonts w:hint="eastAsia" w:ascii="黑体"/>
          <w:lang w:eastAsia="zh-CN"/>
        </w:rPr>
        <w:t>2</w:t>
      </w:r>
      <w:r>
        <w:rPr>
          <w:rFonts w:hint="eastAsia" w:ascii="黑体"/>
          <w:lang w:val="en-US" w:eastAsia="zh-CN"/>
        </w:rPr>
        <w:t>026</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hint="eastAsia"/>
        </w:rPr>
        <w:t>实施</w:t>
      </w:r>
    </w:p>
    <w:p>
      <w:pPr>
        <w:pStyle w:val="152"/>
        <w:framePr w:h="584" w:hRule="exact" w:hSpace="181" w:vSpace="181" w:wrap="around" w:y="15027"/>
        <w:rPr>
          <w:rFonts w:hint="eastAsia"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fldChar w:fldCharType="separate"/>
      </w:r>
      <w:r>
        <w:rPr>
          <w:rFonts w:hint="eastAsia" w:hAnsi="黑体"/>
          <w:w w:val="100"/>
          <w:sz w:val="28"/>
        </w:rPr>
        <w:t>上海市市场监督管理局</w:t>
      </w:r>
      <w:r>
        <w:rPr>
          <w:rFonts w:hAnsi="黑体"/>
          <w:w w:val="100"/>
          <w:sz w:val="28"/>
        </w:rPr>
        <w:fldChar w:fldCharType="end"/>
      </w:r>
      <w:bookmarkEnd w:id="20"/>
      <w:r>
        <w:rPr>
          <w:rFonts w:ascii="Times New Roman"/>
          <w:w w:val="100"/>
          <w:sz w:val="28"/>
        </w:rPr>
        <w:t>  </w:t>
      </w:r>
      <w:r>
        <w:rPr>
          <w:rStyle w:val="230"/>
          <w:rFonts w:hint="eastAsia" w:hAnsi="黑体"/>
          <w:position w:val="0"/>
        </w:rPr>
        <w:t>发</w:t>
      </w:r>
      <w:r>
        <w:rPr>
          <w:rStyle w:val="230"/>
          <w:rFonts w:hint="eastAsia" w:hAnsi="黑体"/>
          <w:spacing w:val="0"/>
          <w:position w:val="0"/>
        </w:rPr>
        <w:t>布</w:t>
      </w:r>
    </w:p>
    <w:p>
      <w:pPr>
        <w:rPr>
          <w:rFonts w:hint="eastAsia" w:ascii="宋体" w:hAnsi="宋体"/>
          <w:sz w:val="28"/>
          <w:szCs w:val="28"/>
        </w:rPr>
        <w:sectPr>
          <w:headerReference r:id="rId7" w:type="first"/>
          <w:footerReference r:id="rId9" w:type="first"/>
          <w:headerReference r:id="rId5" w:type="default"/>
          <w:headerReference r:id="rId6" w:type="even"/>
          <w:footerReference r:id="rId8"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pPr>
        <w:pStyle w:val="92"/>
        <w:bidi w:val="0"/>
        <w:rPr>
          <w:rFonts w:hint="eastAsia"/>
          <w:lang w:eastAsia="zh-CN"/>
        </w:rPr>
      </w:pPr>
      <w:bookmarkStart w:id="21" w:name="BookMark1"/>
      <w:r>
        <w:rPr>
          <w:rFonts w:hint="eastAsia"/>
          <w:spacing w:val="320"/>
          <w:lang w:eastAsia="zh-CN"/>
        </w:rPr>
        <w:t>目</w:t>
      </w:r>
      <w:r>
        <w:rPr>
          <w:rFonts w:hint="eastAsia"/>
          <w:lang w:eastAsia="zh-CN"/>
        </w:rPr>
        <w:t>次</w:t>
      </w:r>
    </w:p>
    <w:p>
      <w:pPr>
        <w:pStyle w:val="19"/>
        <w:tabs>
          <w:tab w:val="right" w:leader="dot" w:pos="9354"/>
        </w:tabs>
        <w:rPr>
          <w:rFonts w:hint="eastAsia" w:ascii="宋体" w:hAnsi="宋体" w:eastAsia="宋体" w:cs="宋体"/>
          <w:spacing w:val="0"/>
        </w:rPr>
      </w:pPr>
      <w:r>
        <w:rPr>
          <w:rFonts w:hint="eastAsia"/>
          <w:spacing w:val="0"/>
          <w:lang w:eastAsia="zh-CN"/>
        </w:rPr>
        <w:fldChar w:fldCharType="begin"/>
      </w:r>
      <w:r>
        <w:rPr>
          <w:rFonts w:hint="eastAsia"/>
          <w:spacing w:val="0"/>
          <w:lang w:eastAsia="zh-CN"/>
        </w:rPr>
        <w:instrText xml:space="preserve">TOC \o "1-1" \t "标准文件_一级条标题,2,标准文件_二级条标题,3,标准文件_附录一级条标题,2,标准文件_附录二级条标题,3," \h</w:instrText>
      </w:r>
      <w:r>
        <w:rPr>
          <w:rFonts w:hint="eastAsia"/>
          <w:spacing w:val="0"/>
          <w:lang w:eastAsia="zh-CN"/>
        </w:rPr>
        <w:fldChar w:fldCharType="separate"/>
      </w:r>
      <w:r>
        <w:rPr>
          <w:rFonts w:hint="eastAsia" w:ascii="宋体" w:hAnsi="宋体" w:eastAsia="宋体" w:cs="宋体"/>
          <w:spacing w:val="0"/>
          <w:lang w:eastAsia="zh-CN"/>
        </w:rPr>
        <w:fldChar w:fldCharType="begin"/>
      </w:r>
      <w:r>
        <w:rPr>
          <w:rFonts w:hint="eastAsia" w:ascii="宋体" w:hAnsi="宋体" w:eastAsia="宋体" w:cs="宋体"/>
          <w:spacing w:val="0"/>
          <w:lang w:eastAsia="zh-CN"/>
        </w:rPr>
        <w:instrText xml:space="preserve"> HYPERLINK \l _Toc17133 </w:instrText>
      </w:r>
      <w:r>
        <w:rPr>
          <w:rFonts w:hint="eastAsia" w:ascii="宋体" w:hAnsi="宋体" w:eastAsia="宋体" w:cs="宋体"/>
          <w:spacing w:val="0"/>
          <w:lang w:eastAsia="zh-CN"/>
        </w:rPr>
        <w:fldChar w:fldCharType="separate"/>
      </w:r>
      <w:r>
        <w:rPr>
          <w:rFonts w:hint="eastAsia" w:ascii="宋体" w:hAnsi="宋体" w:eastAsia="宋体" w:cs="宋体"/>
          <w:spacing w:val="0"/>
          <w:lang w:eastAsia="zh-CN"/>
        </w:rPr>
        <w:t>前言</w:t>
      </w:r>
      <w:r>
        <w:rPr>
          <w:rFonts w:hint="eastAsia" w:ascii="宋体" w:hAnsi="宋体" w:eastAsia="宋体" w:cs="宋体"/>
          <w:spacing w:val="0"/>
        </w:rPr>
        <w:tab/>
      </w:r>
      <w:r>
        <w:rPr>
          <w:rFonts w:hint="eastAsia" w:ascii="宋体" w:hAnsi="宋体" w:eastAsia="宋体" w:cs="宋体"/>
          <w:spacing w:val="0"/>
        </w:rPr>
        <w:fldChar w:fldCharType="begin"/>
      </w:r>
      <w:r>
        <w:rPr>
          <w:rFonts w:hint="eastAsia" w:ascii="宋体" w:hAnsi="宋体" w:eastAsia="宋体" w:cs="宋体"/>
          <w:spacing w:val="0"/>
        </w:rPr>
        <w:instrText xml:space="preserve"> PAGEREF _Toc17133 \h </w:instrText>
      </w:r>
      <w:r>
        <w:rPr>
          <w:rFonts w:hint="eastAsia" w:ascii="宋体" w:hAnsi="宋体" w:eastAsia="宋体" w:cs="宋体"/>
          <w:spacing w:val="0"/>
        </w:rPr>
        <w:fldChar w:fldCharType="separate"/>
      </w:r>
      <w:r>
        <w:rPr>
          <w:rFonts w:hint="eastAsia" w:ascii="宋体" w:hAnsi="宋体" w:eastAsia="宋体" w:cs="宋体"/>
          <w:spacing w:val="0"/>
        </w:rPr>
        <w:t>II</w:t>
      </w:r>
      <w:r>
        <w:rPr>
          <w:rFonts w:hint="eastAsia" w:ascii="宋体" w:hAnsi="宋体" w:eastAsia="宋体" w:cs="宋体"/>
          <w:spacing w:val="0"/>
        </w:rPr>
        <w:fldChar w:fldCharType="end"/>
      </w:r>
      <w:r>
        <w:rPr>
          <w:rFonts w:hint="eastAsia" w:ascii="宋体" w:hAnsi="宋体" w:eastAsia="宋体" w:cs="宋体"/>
          <w:spacing w:val="0"/>
          <w:lang w:eastAsia="zh-CN"/>
        </w:rPr>
        <w:fldChar w:fldCharType="end"/>
      </w:r>
    </w:p>
    <w:p>
      <w:pPr>
        <w:pStyle w:val="19"/>
        <w:tabs>
          <w:tab w:val="right" w:leader="dot" w:pos="9354"/>
        </w:tabs>
        <w:rPr>
          <w:rFonts w:hint="eastAsia" w:ascii="宋体" w:hAnsi="宋体" w:eastAsia="宋体" w:cs="宋体"/>
          <w:spacing w:val="0"/>
        </w:rPr>
      </w:pPr>
      <w:r>
        <w:rPr>
          <w:rFonts w:hint="eastAsia" w:ascii="宋体" w:hAnsi="宋体" w:eastAsia="宋体" w:cs="宋体"/>
          <w:spacing w:val="0"/>
          <w:lang w:eastAsia="zh-CN"/>
        </w:rPr>
        <w:fldChar w:fldCharType="begin"/>
      </w:r>
      <w:r>
        <w:rPr>
          <w:rFonts w:hint="eastAsia" w:ascii="宋体" w:hAnsi="宋体" w:eastAsia="宋体" w:cs="宋体"/>
          <w:spacing w:val="0"/>
          <w:lang w:eastAsia="zh-CN"/>
        </w:rPr>
        <w:instrText xml:space="preserve"> HYPERLINK \l _Toc20500 </w:instrText>
      </w:r>
      <w:r>
        <w:rPr>
          <w:rFonts w:hint="eastAsia" w:ascii="宋体" w:hAnsi="宋体" w:eastAsia="宋体" w:cs="宋体"/>
          <w:spacing w:val="0"/>
          <w:lang w:eastAsia="zh-CN"/>
        </w:rPr>
        <w:fldChar w:fldCharType="separate"/>
      </w:r>
      <w:r>
        <w:rPr>
          <w:rFonts w:hint="eastAsia" w:ascii="宋体" w:hAnsi="宋体" w:eastAsia="宋体" w:cs="宋体"/>
          <w:i w:val="0"/>
          <w:spacing w:val="0"/>
        </w:rPr>
        <w:t>1</w:t>
      </w:r>
      <w:r>
        <w:rPr>
          <w:rFonts w:hint="eastAsia" w:ascii="宋体" w:hAnsi="宋体" w:eastAsia="宋体" w:cs="宋体"/>
          <w:i w:val="0"/>
          <w:spacing w:val="0"/>
          <w:lang w:eastAsia="zh-CN"/>
        </w:rPr>
        <w:t xml:space="preserve"> </w:t>
      </w:r>
      <w:r>
        <w:rPr>
          <w:rFonts w:hint="eastAsia" w:ascii="宋体" w:hAnsi="宋体" w:eastAsia="宋体" w:cs="宋体"/>
          <w:i w:val="0"/>
          <w:spacing w:val="0"/>
        </w:rPr>
        <w:t xml:space="preserve"> </w:t>
      </w:r>
      <w:r>
        <w:rPr>
          <w:rFonts w:hint="eastAsia" w:ascii="宋体" w:hAnsi="宋体" w:eastAsia="宋体" w:cs="宋体"/>
          <w:spacing w:val="0"/>
        </w:rPr>
        <w:t>范围</w:t>
      </w:r>
      <w:r>
        <w:rPr>
          <w:rFonts w:hint="eastAsia" w:ascii="宋体" w:hAnsi="宋体" w:eastAsia="宋体" w:cs="宋体"/>
          <w:spacing w:val="0"/>
        </w:rPr>
        <w:tab/>
      </w:r>
      <w:r>
        <w:rPr>
          <w:rFonts w:hint="eastAsia" w:ascii="宋体" w:hAnsi="宋体" w:eastAsia="宋体" w:cs="宋体"/>
          <w:spacing w:val="0"/>
        </w:rPr>
        <w:fldChar w:fldCharType="begin"/>
      </w:r>
      <w:r>
        <w:rPr>
          <w:rFonts w:hint="eastAsia" w:ascii="宋体" w:hAnsi="宋体" w:eastAsia="宋体" w:cs="宋体"/>
          <w:spacing w:val="0"/>
        </w:rPr>
        <w:instrText xml:space="preserve"> PAGEREF _Toc20500 \h </w:instrText>
      </w:r>
      <w:r>
        <w:rPr>
          <w:rFonts w:hint="eastAsia" w:ascii="宋体" w:hAnsi="宋体" w:eastAsia="宋体" w:cs="宋体"/>
          <w:spacing w:val="0"/>
        </w:rPr>
        <w:fldChar w:fldCharType="separate"/>
      </w:r>
      <w:r>
        <w:rPr>
          <w:rFonts w:hint="eastAsia" w:ascii="宋体" w:hAnsi="宋体" w:eastAsia="宋体" w:cs="宋体"/>
          <w:spacing w:val="0"/>
        </w:rPr>
        <w:t>3</w:t>
      </w:r>
      <w:r>
        <w:rPr>
          <w:rFonts w:hint="eastAsia" w:ascii="宋体" w:hAnsi="宋体" w:eastAsia="宋体" w:cs="宋体"/>
          <w:spacing w:val="0"/>
        </w:rPr>
        <w:fldChar w:fldCharType="end"/>
      </w:r>
      <w:r>
        <w:rPr>
          <w:rFonts w:hint="eastAsia" w:ascii="宋体" w:hAnsi="宋体" w:eastAsia="宋体" w:cs="宋体"/>
          <w:spacing w:val="0"/>
          <w:lang w:eastAsia="zh-CN"/>
        </w:rPr>
        <w:fldChar w:fldCharType="end"/>
      </w:r>
    </w:p>
    <w:p>
      <w:pPr>
        <w:pStyle w:val="19"/>
        <w:tabs>
          <w:tab w:val="right" w:leader="dot" w:pos="9354"/>
        </w:tabs>
        <w:rPr>
          <w:rFonts w:hint="eastAsia" w:ascii="宋体" w:hAnsi="宋体" w:eastAsia="宋体" w:cs="宋体"/>
          <w:spacing w:val="0"/>
        </w:rPr>
      </w:pPr>
      <w:r>
        <w:rPr>
          <w:rFonts w:hint="eastAsia" w:ascii="宋体" w:hAnsi="宋体" w:eastAsia="宋体" w:cs="宋体"/>
          <w:spacing w:val="0"/>
          <w:lang w:eastAsia="zh-CN"/>
        </w:rPr>
        <w:fldChar w:fldCharType="begin"/>
      </w:r>
      <w:r>
        <w:rPr>
          <w:rFonts w:hint="eastAsia" w:ascii="宋体" w:hAnsi="宋体" w:eastAsia="宋体" w:cs="宋体"/>
          <w:spacing w:val="0"/>
          <w:lang w:eastAsia="zh-CN"/>
        </w:rPr>
        <w:instrText xml:space="preserve"> HYPERLINK \l _Toc2729 </w:instrText>
      </w:r>
      <w:r>
        <w:rPr>
          <w:rFonts w:hint="eastAsia" w:ascii="宋体" w:hAnsi="宋体" w:eastAsia="宋体" w:cs="宋体"/>
          <w:spacing w:val="0"/>
          <w:lang w:eastAsia="zh-CN"/>
        </w:rPr>
        <w:fldChar w:fldCharType="separate"/>
      </w:r>
      <w:r>
        <w:rPr>
          <w:rFonts w:hint="eastAsia" w:ascii="宋体" w:hAnsi="宋体" w:eastAsia="宋体" w:cs="宋体"/>
          <w:i w:val="0"/>
          <w:spacing w:val="0"/>
        </w:rPr>
        <w:t>2</w:t>
      </w:r>
      <w:r>
        <w:rPr>
          <w:rFonts w:hint="eastAsia" w:ascii="宋体" w:hAnsi="宋体" w:eastAsia="宋体" w:cs="宋体"/>
          <w:i w:val="0"/>
          <w:spacing w:val="0"/>
          <w:lang w:eastAsia="zh-CN"/>
        </w:rPr>
        <w:t xml:space="preserve"> </w:t>
      </w:r>
      <w:r>
        <w:rPr>
          <w:rFonts w:hint="eastAsia" w:ascii="宋体" w:hAnsi="宋体" w:eastAsia="宋体" w:cs="宋体"/>
          <w:i w:val="0"/>
          <w:spacing w:val="0"/>
        </w:rPr>
        <w:t xml:space="preserve"> </w:t>
      </w:r>
      <w:r>
        <w:rPr>
          <w:rFonts w:hint="eastAsia" w:ascii="宋体" w:hAnsi="宋体" w:eastAsia="宋体" w:cs="宋体"/>
          <w:spacing w:val="0"/>
        </w:rPr>
        <w:t>规范性引用文件</w:t>
      </w:r>
      <w:r>
        <w:rPr>
          <w:rFonts w:hint="eastAsia" w:ascii="宋体" w:hAnsi="宋体" w:eastAsia="宋体" w:cs="宋体"/>
          <w:spacing w:val="0"/>
        </w:rPr>
        <w:tab/>
      </w:r>
      <w:r>
        <w:rPr>
          <w:rFonts w:hint="eastAsia" w:ascii="宋体" w:hAnsi="宋体" w:eastAsia="宋体" w:cs="宋体"/>
          <w:spacing w:val="0"/>
        </w:rPr>
        <w:fldChar w:fldCharType="begin"/>
      </w:r>
      <w:r>
        <w:rPr>
          <w:rFonts w:hint="eastAsia" w:ascii="宋体" w:hAnsi="宋体" w:eastAsia="宋体" w:cs="宋体"/>
          <w:spacing w:val="0"/>
        </w:rPr>
        <w:instrText xml:space="preserve"> PAGEREF _Toc2729 \h </w:instrText>
      </w:r>
      <w:r>
        <w:rPr>
          <w:rFonts w:hint="eastAsia" w:ascii="宋体" w:hAnsi="宋体" w:eastAsia="宋体" w:cs="宋体"/>
          <w:spacing w:val="0"/>
        </w:rPr>
        <w:fldChar w:fldCharType="separate"/>
      </w:r>
      <w:r>
        <w:rPr>
          <w:rFonts w:hint="eastAsia" w:ascii="宋体" w:hAnsi="宋体" w:eastAsia="宋体" w:cs="宋体"/>
          <w:spacing w:val="0"/>
        </w:rPr>
        <w:t>3</w:t>
      </w:r>
      <w:r>
        <w:rPr>
          <w:rFonts w:hint="eastAsia" w:ascii="宋体" w:hAnsi="宋体" w:eastAsia="宋体" w:cs="宋体"/>
          <w:spacing w:val="0"/>
        </w:rPr>
        <w:fldChar w:fldCharType="end"/>
      </w:r>
      <w:r>
        <w:rPr>
          <w:rFonts w:hint="eastAsia" w:ascii="宋体" w:hAnsi="宋体" w:eastAsia="宋体" w:cs="宋体"/>
          <w:spacing w:val="0"/>
          <w:lang w:eastAsia="zh-CN"/>
        </w:rPr>
        <w:fldChar w:fldCharType="end"/>
      </w:r>
    </w:p>
    <w:p>
      <w:pPr>
        <w:pStyle w:val="19"/>
        <w:tabs>
          <w:tab w:val="right" w:leader="dot" w:pos="9354"/>
        </w:tabs>
        <w:rPr>
          <w:rFonts w:hint="eastAsia" w:ascii="宋体" w:hAnsi="宋体" w:eastAsia="宋体" w:cs="宋体"/>
          <w:spacing w:val="0"/>
        </w:rPr>
      </w:pPr>
      <w:r>
        <w:rPr>
          <w:rFonts w:hint="eastAsia" w:ascii="宋体" w:hAnsi="宋体" w:eastAsia="宋体" w:cs="宋体"/>
          <w:spacing w:val="0"/>
          <w:lang w:eastAsia="zh-CN"/>
        </w:rPr>
        <w:fldChar w:fldCharType="begin"/>
      </w:r>
      <w:r>
        <w:rPr>
          <w:rFonts w:hint="eastAsia" w:ascii="宋体" w:hAnsi="宋体" w:eastAsia="宋体" w:cs="宋体"/>
          <w:spacing w:val="0"/>
          <w:lang w:eastAsia="zh-CN"/>
        </w:rPr>
        <w:instrText xml:space="preserve"> HYPERLINK \l _Toc17726 </w:instrText>
      </w:r>
      <w:r>
        <w:rPr>
          <w:rFonts w:hint="eastAsia" w:ascii="宋体" w:hAnsi="宋体" w:eastAsia="宋体" w:cs="宋体"/>
          <w:spacing w:val="0"/>
          <w:lang w:eastAsia="zh-CN"/>
        </w:rPr>
        <w:fldChar w:fldCharType="separate"/>
      </w:r>
      <w:r>
        <w:rPr>
          <w:rFonts w:hint="eastAsia" w:ascii="宋体" w:hAnsi="宋体" w:eastAsia="宋体" w:cs="宋体"/>
          <w:i w:val="0"/>
          <w:spacing w:val="0"/>
        </w:rPr>
        <w:t>3</w:t>
      </w:r>
      <w:r>
        <w:rPr>
          <w:rFonts w:hint="eastAsia" w:ascii="宋体" w:hAnsi="宋体" w:eastAsia="宋体" w:cs="宋体"/>
          <w:i w:val="0"/>
          <w:spacing w:val="0"/>
          <w:lang w:eastAsia="zh-CN"/>
        </w:rPr>
        <w:t xml:space="preserve"> </w:t>
      </w:r>
      <w:r>
        <w:rPr>
          <w:rFonts w:hint="eastAsia" w:ascii="宋体" w:hAnsi="宋体" w:eastAsia="宋体" w:cs="宋体"/>
          <w:i w:val="0"/>
          <w:spacing w:val="0"/>
        </w:rPr>
        <w:t xml:space="preserve"> </w:t>
      </w:r>
      <w:r>
        <w:rPr>
          <w:rFonts w:hint="eastAsia" w:ascii="宋体" w:hAnsi="宋体" w:eastAsia="宋体" w:cs="宋体"/>
          <w:spacing w:val="0"/>
          <w:szCs w:val="21"/>
        </w:rPr>
        <w:t>术语和定义</w:t>
      </w:r>
      <w:r>
        <w:rPr>
          <w:rFonts w:hint="eastAsia" w:ascii="宋体" w:hAnsi="宋体" w:eastAsia="宋体" w:cs="宋体"/>
          <w:spacing w:val="0"/>
        </w:rPr>
        <w:tab/>
      </w:r>
      <w:r>
        <w:rPr>
          <w:rFonts w:hint="eastAsia" w:ascii="宋体" w:hAnsi="宋体" w:eastAsia="宋体" w:cs="宋体"/>
          <w:spacing w:val="0"/>
        </w:rPr>
        <w:fldChar w:fldCharType="begin"/>
      </w:r>
      <w:r>
        <w:rPr>
          <w:rFonts w:hint="eastAsia" w:ascii="宋体" w:hAnsi="宋体" w:eastAsia="宋体" w:cs="宋体"/>
          <w:spacing w:val="0"/>
        </w:rPr>
        <w:instrText xml:space="preserve"> PAGEREF _Toc17726 \h </w:instrText>
      </w:r>
      <w:r>
        <w:rPr>
          <w:rFonts w:hint="eastAsia" w:ascii="宋体" w:hAnsi="宋体" w:eastAsia="宋体" w:cs="宋体"/>
          <w:spacing w:val="0"/>
        </w:rPr>
        <w:fldChar w:fldCharType="separate"/>
      </w:r>
      <w:r>
        <w:rPr>
          <w:rFonts w:hint="eastAsia" w:ascii="宋体" w:hAnsi="宋体" w:eastAsia="宋体" w:cs="宋体"/>
          <w:spacing w:val="0"/>
        </w:rPr>
        <w:t>3</w:t>
      </w:r>
      <w:r>
        <w:rPr>
          <w:rFonts w:hint="eastAsia" w:ascii="宋体" w:hAnsi="宋体" w:eastAsia="宋体" w:cs="宋体"/>
          <w:spacing w:val="0"/>
        </w:rPr>
        <w:fldChar w:fldCharType="end"/>
      </w:r>
      <w:r>
        <w:rPr>
          <w:rFonts w:hint="eastAsia" w:ascii="宋体" w:hAnsi="宋体" w:eastAsia="宋体" w:cs="宋体"/>
          <w:spacing w:val="0"/>
          <w:lang w:eastAsia="zh-CN"/>
        </w:rPr>
        <w:fldChar w:fldCharType="end"/>
      </w:r>
    </w:p>
    <w:p>
      <w:pPr>
        <w:pStyle w:val="19"/>
        <w:tabs>
          <w:tab w:val="right" w:leader="dot" w:pos="9354"/>
        </w:tabs>
        <w:rPr>
          <w:rFonts w:hint="eastAsia" w:ascii="宋体" w:hAnsi="宋体" w:eastAsia="宋体" w:cs="宋体"/>
          <w:spacing w:val="0"/>
        </w:rPr>
      </w:pPr>
      <w:r>
        <w:rPr>
          <w:rFonts w:hint="eastAsia" w:ascii="宋体" w:hAnsi="宋体" w:eastAsia="宋体" w:cs="宋体"/>
          <w:spacing w:val="0"/>
          <w:lang w:eastAsia="zh-CN"/>
        </w:rPr>
        <w:fldChar w:fldCharType="begin"/>
      </w:r>
      <w:r>
        <w:rPr>
          <w:rFonts w:hint="eastAsia" w:ascii="宋体" w:hAnsi="宋体" w:eastAsia="宋体" w:cs="宋体"/>
          <w:spacing w:val="0"/>
          <w:lang w:eastAsia="zh-CN"/>
        </w:rPr>
        <w:instrText xml:space="preserve"> HYPERLINK \l _Toc25906 </w:instrText>
      </w:r>
      <w:r>
        <w:rPr>
          <w:rFonts w:hint="eastAsia" w:ascii="宋体" w:hAnsi="宋体" w:eastAsia="宋体" w:cs="宋体"/>
          <w:spacing w:val="0"/>
          <w:lang w:eastAsia="zh-CN"/>
        </w:rPr>
        <w:fldChar w:fldCharType="separate"/>
      </w:r>
      <w:r>
        <w:rPr>
          <w:rFonts w:hint="eastAsia" w:ascii="宋体" w:hAnsi="宋体" w:eastAsia="宋体" w:cs="宋体"/>
          <w:i w:val="0"/>
          <w:spacing w:val="0"/>
          <w:lang w:eastAsia="zh-CN"/>
        </w:rPr>
        <w:t xml:space="preserve">4  </w:t>
      </w:r>
      <w:r>
        <w:rPr>
          <w:rFonts w:hint="eastAsia" w:ascii="宋体" w:hAnsi="宋体" w:eastAsia="宋体" w:cs="宋体"/>
          <w:spacing w:val="0"/>
          <w:lang w:val="en-US" w:eastAsia="zh-CN"/>
        </w:rPr>
        <w:t>总体要求</w:t>
      </w:r>
      <w:r>
        <w:rPr>
          <w:rFonts w:hint="eastAsia" w:ascii="宋体" w:hAnsi="宋体" w:eastAsia="宋体" w:cs="宋体"/>
          <w:spacing w:val="0"/>
        </w:rPr>
        <w:tab/>
      </w:r>
      <w:r>
        <w:rPr>
          <w:rFonts w:hint="eastAsia" w:ascii="宋体" w:hAnsi="宋体" w:eastAsia="宋体" w:cs="宋体"/>
          <w:spacing w:val="0"/>
        </w:rPr>
        <w:fldChar w:fldCharType="begin"/>
      </w:r>
      <w:r>
        <w:rPr>
          <w:rFonts w:hint="eastAsia" w:ascii="宋体" w:hAnsi="宋体" w:eastAsia="宋体" w:cs="宋体"/>
          <w:spacing w:val="0"/>
        </w:rPr>
        <w:instrText xml:space="preserve"> PAGEREF _Toc25906 \h </w:instrText>
      </w:r>
      <w:r>
        <w:rPr>
          <w:rFonts w:hint="eastAsia" w:ascii="宋体" w:hAnsi="宋体" w:eastAsia="宋体" w:cs="宋体"/>
          <w:spacing w:val="0"/>
        </w:rPr>
        <w:fldChar w:fldCharType="separate"/>
      </w:r>
      <w:r>
        <w:rPr>
          <w:rFonts w:hint="eastAsia" w:ascii="宋体" w:hAnsi="宋体" w:eastAsia="宋体" w:cs="宋体"/>
          <w:spacing w:val="0"/>
        </w:rPr>
        <w:t>4</w:t>
      </w:r>
      <w:r>
        <w:rPr>
          <w:rFonts w:hint="eastAsia" w:ascii="宋体" w:hAnsi="宋体" w:eastAsia="宋体" w:cs="宋体"/>
          <w:spacing w:val="0"/>
        </w:rPr>
        <w:fldChar w:fldCharType="end"/>
      </w:r>
      <w:r>
        <w:rPr>
          <w:rFonts w:hint="eastAsia" w:ascii="宋体" w:hAnsi="宋体" w:eastAsia="宋体" w:cs="宋体"/>
          <w:spacing w:val="0"/>
          <w:lang w:eastAsia="zh-CN"/>
        </w:rPr>
        <w:fldChar w:fldCharType="end"/>
      </w:r>
    </w:p>
    <w:p>
      <w:pPr>
        <w:pStyle w:val="19"/>
        <w:tabs>
          <w:tab w:val="right" w:leader="dot" w:pos="9354"/>
        </w:tabs>
        <w:rPr>
          <w:rFonts w:hint="eastAsia" w:ascii="宋体" w:hAnsi="宋体" w:eastAsia="宋体" w:cs="宋体"/>
          <w:spacing w:val="0"/>
        </w:rPr>
      </w:pPr>
      <w:r>
        <w:rPr>
          <w:rFonts w:hint="eastAsia" w:ascii="宋体" w:hAnsi="宋体" w:eastAsia="宋体" w:cs="宋体"/>
          <w:spacing w:val="0"/>
          <w:lang w:eastAsia="zh-CN"/>
        </w:rPr>
        <w:fldChar w:fldCharType="begin"/>
      </w:r>
      <w:r>
        <w:rPr>
          <w:rFonts w:hint="eastAsia" w:ascii="宋体" w:hAnsi="宋体" w:eastAsia="宋体" w:cs="宋体"/>
          <w:spacing w:val="0"/>
          <w:lang w:eastAsia="zh-CN"/>
        </w:rPr>
        <w:instrText xml:space="preserve"> HYPERLINK \l _Toc10794 </w:instrText>
      </w:r>
      <w:r>
        <w:rPr>
          <w:rFonts w:hint="eastAsia" w:ascii="宋体" w:hAnsi="宋体" w:eastAsia="宋体" w:cs="宋体"/>
          <w:spacing w:val="0"/>
          <w:lang w:eastAsia="zh-CN"/>
        </w:rPr>
        <w:fldChar w:fldCharType="separate"/>
      </w:r>
      <w:r>
        <w:rPr>
          <w:rFonts w:hint="eastAsia" w:ascii="宋体" w:hAnsi="宋体" w:eastAsia="宋体" w:cs="宋体"/>
          <w:i w:val="0"/>
          <w:spacing w:val="0"/>
          <w:lang w:eastAsia="zh-CN"/>
        </w:rPr>
        <w:t xml:space="preserve">5  </w:t>
      </w:r>
      <w:r>
        <w:rPr>
          <w:rFonts w:hint="eastAsia" w:ascii="宋体" w:hAnsi="宋体" w:eastAsia="宋体" w:cs="宋体"/>
          <w:spacing w:val="0"/>
          <w:lang w:val="en-US" w:eastAsia="zh-CN"/>
        </w:rPr>
        <w:t>工作场所管理</w:t>
      </w:r>
      <w:r>
        <w:rPr>
          <w:rFonts w:hint="eastAsia" w:ascii="宋体" w:hAnsi="宋体" w:eastAsia="宋体" w:cs="宋体"/>
          <w:spacing w:val="0"/>
        </w:rPr>
        <w:tab/>
      </w:r>
      <w:r>
        <w:rPr>
          <w:rFonts w:hint="eastAsia" w:ascii="宋体" w:hAnsi="宋体" w:eastAsia="宋体" w:cs="宋体"/>
          <w:spacing w:val="0"/>
        </w:rPr>
        <w:fldChar w:fldCharType="begin"/>
      </w:r>
      <w:r>
        <w:rPr>
          <w:rFonts w:hint="eastAsia" w:ascii="宋体" w:hAnsi="宋体" w:eastAsia="宋体" w:cs="宋体"/>
          <w:spacing w:val="0"/>
        </w:rPr>
        <w:instrText xml:space="preserve"> PAGEREF _Toc10794 \h </w:instrText>
      </w:r>
      <w:r>
        <w:rPr>
          <w:rFonts w:hint="eastAsia" w:ascii="宋体" w:hAnsi="宋体" w:eastAsia="宋体" w:cs="宋体"/>
          <w:spacing w:val="0"/>
        </w:rPr>
        <w:fldChar w:fldCharType="separate"/>
      </w:r>
      <w:r>
        <w:rPr>
          <w:rFonts w:hint="eastAsia" w:ascii="宋体" w:hAnsi="宋体" w:eastAsia="宋体" w:cs="宋体"/>
          <w:spacing w:val="0"/>
        </w:rPr>
        <w:t>4</w:t>
      </w:r>
      <w:r>
        <w:rPr>
          <w:rFonts w:hint="eastAsia" w:ascii="宋体" w:hAnsi="宋体" w:eastAsia="宋体" w:cs="宋体"/>
          <w:spacing w:val="0"/>
        </w:rPr>
        <w:fldChar w:fldCharType="end"/>
      </w:r>
      <w:r>
        <w:rPr>
          <w:rFonts w:hint="eastAsia" w:ascii="宋体" w:hAnsi="宋体" w:eastAsia="宋体" w:cs="宋体"/>
          <w:spacing w:val="0"/>
          <w:lang w:eastAsia="zh-CN"/>
        </w:rPr>
        <w:fldChar w:fldCharType="end"/>
      </w:r>
    </w:p>
    <w:p>
      <w:pPr>
        <w:pStyle w:val="24"/>
        <w:tabs>
          <w:tab w:val="right" w:leader="dot" w:pos="9354"/>
          <w:tab w:val="clear" w:pos="9344"/>
        </w:tabs>
        <w:rPr>
          <w:rFonts w:hint="eastAsia" w:ascii="宋体" w:hAnsi="宋体" w:eastAsia="宋体" w:cs="宋体"/>
          <w:spacing w:val="0"/>
        </w:rPr>
      </w:pPr>
      <w:r>
        <w:rPr>
          <w:rFonts w:hint="eastAsia" w:ascii="宋体" w:hAnsi="宋体" w:eastAsia="宋体" w:cs="宋体"/>
          <w:spacing w:val="0"/>
          <w:lang w:eastAsia="zh-CN"/>
        </w:rPr>
        <w:fldChar w:fldCharType="begin"/>
      </w:r>
      <w:r>
        <w:rPr>
          <w:rFonts w:hint="eastAsia" w:ascii="宋体" w:hAnsi="宋体" w:eastAsia="宋体" w:cs="宋体"/>
          <w:spacing w:val="0"/>
          <w:lang w:eastAsia="zh-CN"/>
        </w:rPr>
        <w:instrText xml:space="preserve"> HYPERLINK \l _Toc28919 </w:instrText>
      </w:r>
      <w:r>
        <w:rPr>
          <w:rFonts w:hint="eastAsia" w:ascii="宋体" w:hAnsi="宋体" w:eastAsia="宋体" w:cs="宋体"/>
          <w:spacing w:val="0"/>
          <w:lang w:eastAsia="zh-CN"/>
        </w:rPr>
        <w:fldChar w:fldCharType="separate"/>
      </w:r>
      <w:r>
        <w:rPr>
          <w:rFonts w:hint="eastAsia" w:ascii="宋体" w:hAnsi="宋体" w:eastAsia="宋体" w:cs="宋体"/>
          <w:bCs w:val="0"/>
          <w:i w:val="0"/>
          <w:iCs w:val="0"/>
          <w:caps w:val="0"/>
          <w:smallCaps w:val="0"/>
          <w:strike w:val="0"/>
          <w:dstrike w:val="0"/>
          <w:vanish w:val="0"/>
          <w:spacing w:val="0"/>
          <w:kern w:val="0"/>
          <w:position w:val="0"/>
          <w:vertAlign w:val="baseline"/>
          <w:lang w:eastAsia="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t xml:space="preserve">5.1  </w:t>
      </w:r>
      <w:r>
        <w:rPr>
          <w:rFonts w:hint="eastAsia" w:ascii="宋体" w:hAnsi="宋体" w:eastAsia="宋体" w:cs="宋体"/>
          <w:spacing w:val="0"/>
          <w:lang w:val="en-US" w:eastAsia="zh-CN"/>
        </w:rPr>
        <w:t>工作场所布局</w:t>
      </w:r>
      <w:r>
        <w:rPr>
          <w:rFonts w:hint="eastAsia" w:ascii="宋体" w:hAnsi="宋体" w:eastAsia="宋体" w:cs="宋体"/>
          <w:spacing w:val="0"/>
        </w:rPr>
        <w:tab/>
      </w:r>
      <w:r>
        <w:rPr>
          <w:rFonts w:hint="eastAsia" w:ascii="宋体" w:hAnsi="宋体" w:eastAsia="宋体" w:cs="宋体"/>
          <w:spacing w:val="0"/>
        </w:rPr>
        <w:fldChar w:fldCharType="begin"/>
      </w:r>
      <w:r>
        <w:rPr>
          <w:rFonts w:hint="eastAsia" w:ascii="宋体" w:hAnsi="宋体" w:eastAsia="宋体" w:cs="宋体"/>
          <w:spacing w:val="0"/>
        </w:rPr>
        <w:instrText xml:space="preserve"> PAGEREF _Toc28919 \h </w:instrText>
      </w:r>
      <w:r>
        <w:rPr>
          <w:rFonts w:hint="eastAsia" w:ascii="宋体" w:hAnsi="宋体" w:eastAsia="宋体" w:cs="宋体"/>
          <w:spacing w:val="0"/>
        </w:rPr>
        <w:fldChar w:fldCharType="separate"/>
      </w:r>
      <w:r>
        <w:rPr>
          <w:rFonts w:hint="eastAsia" w:ascii="宋体" w:hAnsi="宋体" w:eastAsia="宋体" w:cs="宋体"/>
          <w:spacing w:val="0"/>
        </w:rPr>
        <w:t>4</w:t>
      </w:r>
      <w:r>
        <w:rPr>
          <w:rFonts w:hint="eastAsia" w:ascii="宋体" w:hAnsi="宋体" w:eastAsia="宋体" w:cs="宋体"/>
          <w:spacing w:val="0"/>
        </w:rPr>
        <w:fldChar w:fldCharType="end"/>
      </w:r>
      <w:r>
        <w:rPr>
          <w:rFonts w:hint="eastAsia" w:ascii="宋体" w:hAnsi="宋体" w:eastAsia="宋体" w:cs="宋体"/>
          <w:spacing w:val="0"/>
          <w:lang w:eastAsia="zh-CN"/>
        </w:rPr>
        <w:fldChar w:fldCharType="end"/>
      </w:r>
    </w:p>
    <w:p>
      <w:pPr>
        <w:pStyle w:val="24"/>
        <w:tabs>
          <w:tab w:val="right" w:leader="dot" w:pos="9354"/>
          <w:tab w:val="clear" w:pos="9344"/>
        </w:tabs>
        <w:rPr>
          <w:rFonts w:hint="eastAsia" w:ascii="宋体" w:hAnsi="宋体" w:eastAsia="宋体" w:cs="宋体"/>
          <w:spacing w:val="0"/>
        </w:rPr>
      </w:pPr>
      <w:r>
        <w:rPr>
          <w:rFonts w:hint="eastAsia" w:ascii="宋体" w:hAnsi="宋体" w:eastAsia="宋体" w:cs="宋体"/>
          <w:spacing w:val="0"/>
          <w:lang w:eastAsia="zh-CN"/>
        </w:rPr>
        <w:fldChar w:fldCharType="begin"/>
      </w:r>
      <w:r>
        <w:rPr>
          <w:rFonts w:hint="eastAsia" w:ascii="宋体" w:hAnsi="宋体" w:eastAsia="宋体" w:cs="宋体"/>
          <w:spacing w:val="0"/>
          <w:lang w:eastAsia="zh-CN"/>
        </w:rPr>
        <w:instrText xml:space="preserve"> HYPERLINK \l _Toc3806 </w:instrText>
      </w:r>
      <w:r>
        <w:rPr>
          <w:rFonts w:hint="eastAsia" w:ascii="宋体" w:hAnsi="宋体" w:eastAsia="宋体" w:cs="宋体"/>
          <w:spacing w:val="0"/>
          <w:lang w:eastAsia="zh-CN"/>
        </w:rPr>
        <w:fldChar w:fldCharType="separate"/>
      </w:r>
      <w:r>
        <w:rPr>
          <w:rFonts w:hint="eastAsia" w:ascii="宋体" w:hAnsi="宋体" w:eastAsia="宋体" w:cs="宋体"/>
          <w:bCs w:val="0"/>
          <w:i w:val="0"/>
          <w:iCs w:val="0"/>
          <w:caps w:val="0"/>
          <w:smallCaps w:val="0"/>
          <w:strike w:val="0"/>
          <w:dstrike w:val="0"/>
          <w:vanish w:val="0"/>
          <w:spacing w:val="0"/>
          <w:kern w:val="0"/>
          <w:position w:val="0"/>
          <w:vertAlign w:val="baseline"/>
          <w:lang w:eastAsia="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t xml:space="preserve">5.2  </w:t>
      </w:r>
      <w:r>
        <w:rPr>
          <w:rFonts w:hint="eastAsia" w:ascii="宋体" w:hAnsi="宋体" w:eastAsia="宋体" w:cs="宋体"/>
          <w:spacing w:val="0"/>
          <w:lang w:val="en-US" w:eastAsia="zh-CN"/>
        </w:rPr>
        <w:t>工艺及设备管理</w:t>
      </w:r>
      <w:r>
        <w:rPr>
          <w:rFonts w:hint="eastAsia" w:ascii="宋体" w:hAnsi="宋体" w:eastAsia="宋体" w:cs="宋体"/>
          <w:spacing w:val="0"/>
        </w:rPr>
        <w:tab/>
      </w:r>
      <w:r>
        <w:rPr>
          <w:rFonts w:hint="eastAsia" w:ascii="宋体" w:hAnsi="宋体" w:eastAsia="宋体" w:cs="宋体"/>
          <w:spacing w:val="0"/>
        </w:rPr>
        <w:fldChar w:fldCharType="begin"/>
      </w:r>
      <w:r>
        <w:rPr>
          <w:rFonts w:hint="eastAsia" w:ascii="宋体" w:hAnsi="宋体" w:eastAsia="宋体" w:cs="宋体"/>
          <w:spacing w:val="0"/>
        </w:rPr>
        <w:instrText xml:space="preserve"> PAGEREF _Toc3806 \h </w:instrText>
      </w:r>
      <w:r>
        <w:rPr>
          <w:rFonts w:hint="eastAsia" w:ascii="宋体" w:hAnsi="宋体" w:eastAsia="宋体" w:cs="宋体"/>
          <w:spacing w:val="0"/>
        </w:rPr>
        <w:fldChar w:fldCharType="separate"/>
      </w:r>
      <w:r>
        <w:rPr>
          <w:rFonts w:hint="eastAsia" w:ascii="宋体" w:hAnsi="宋体" w:eastAsia="宋体" w:cs="宋体"/>
          <w:spacing w:val="0"/>
        </w:rPr>
        <w:t>4</w:t>
      </w:r>
      <w:r>
        <w:rPr>
          <w:rFonts w:hint="eastAsia" w:ascii="宋体" w:hAnsi="宋体" w:eastAsia="宋体" w:cs="宋体"/>
          <w:spacing w:val="0"/>
        </w:rPr>
        <w:fldChar w:fldCharType="end"/>
      </w:r>
      <w:r>
        <w:rPr>
          <w:rFonts w:hint="eastAsia" w:ascii="宋体" w:hAnsi="宋体" w:eastAsia="宋体" w:cs="宋体"/>
          <w:spacing w:val="0"/>
          <w:lang w:eastAsia="zh-CN"/>
        </w:rPr>
        <w:fldChar w:fldCharType="end"/>
      </w:r>
    </w:p>
    <w:p>
      <w:pPr>
        <w:pStyle w:val="24"/>
        <w:tabs>
          <w:tab w:val="right" w:leader="dot" w:pos="9354"/>
          <w:tab w:val="clear" w:pos="9344"/>
        </w:tabs>
        <w:rPr>
          <w:rFonts w:hint="eastAsia" w:ascii="宋体" w:hAnsi="宋体" w:eastAsia="宋体" w:cs="宋体"/>
          <w:spacing w:val="0"/>
        </w:rPr>
      </w:pPr>
      <w:r>
        <w:rPr>
          <w:rFonts w:hint="eastAsia" w:ascii="宋体" w:hAnsi="宋体" w:eastAsia="宋体" w:cs="宋体"/>
          <w:spacing w:val="0"/>
          <w:lang w:eastAsia="zh-CN"/>
        </w:rPr>
        <w:fldChar w:fldCharType="begin"/>
      </w:r>
      <w:r>
        <w:rPr>
          <w:rFonts w:hint="eastAsia" w:ascii="宋体" w:hAnsi="宋体" w:eastAsia="宋体" w:cs="宋体"/>
          <w:spacing w:val="0"/>
          <w:lang w:eastAsia="zh-CN"/>
        </w:rPr>
        <w:instrText xml:space="preserve"> HYPERLINK \l _Toc1009 </w:instrText>
      </w:r>
      <w:r>
        <w:rPr>
          <w:rFonts w:hint="eastAsia" w:ascii="宋体" w:hAnsi="宋体" w:eastAsia="宋体" w:cs="宋体"/>
          <w:spacing w:val="0"/>
          <w:lang w:eastAsia="zh-CN"/>
        </w:rPr>
        <w:fldChar w:fldCharType="separate"/>
      </w:r>
      <w:r>
        <w:rPr>
          <w:rFonts w:hint="eastAsia" w:ascii="宋体" w:hAnsi="宋体" w:eastAsia="宋体" w:cs="宋体"/>
          <w:bCs w:val="0"/>
          <w:i w:val="0"/>
          <w:iCs w:val="0"/>
          <w:caps w:val="0"/>
          <w:smallCaps w:val="0"/>
          <w:strike w:val="0"/>
          <w:dstrike w:val="0"/>
          <w:vanish w:val="0"/>
          <w:spacing w:val="0"/>
          <w:kern w:val="0"/>
          <w:position w:val="0"/>
          <w:vertAlign w:val="baseline"/>
          <w:lang w:eastAsia="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t xml:space="preserve">5.3  </w:t>
      </w:r>
      <w:r>
        <w:rPr>
          <w:rFonts w:hint="eastAsia" w:ascii="宋体" w:hAnsi="宋体" w:eastAsia="宋体" w:cs="宋体"/>
          <w:spacing w:val="0"/>
          <w:lang w:val="en-US" w:eastAsia="zh-CN"/>
        </w:rPr>
        <w:t>噪声防护设施维护管理</w:t>
      </w:r>
      <w:r>
        <w:rPr>
          <w:rFonts w:hint="eastAsia" w:ascii="宋体" w:hAnsi="宋体" w:eastAsia="宋体" w:cs="宋体"/>
          <w:spacing w:val="0"/>
        </w:rPr>
        <w:tab/>
      </w:r>
      <w:r>
        <w:rPr>
          <w:rFonts w:hint="eastAsia" w:ascii="宋体" w:hAnsi="宋体" w:eastAsia="宋体" w:cs="宋体"/>
          <w:spacing w:val="0"/>
        </w:rPr>
        <w:fldChar w:fldCharType="begin"/>
      </w:r>
      <w:r>
        <w:rPr>
          <w:rFonts w:hint="eastAsia" w:ascii="宋体" w:hAnsi="宋体" w:eastAsia="宋体" w:cs="宋体"/>
          <w:spacing w:val="0"/>
        </w:rPr>
        <w:instrText xml:space="preserve"> PAGEREF _Toc1009 \h </w:instrText>
      </w:r>
      <w:r>
        <w:rPr>
          <w:rFonts w:hint="eastAsia" w:ascii="宋体" w:hAnsi="宋体" w:eastAsia="宋体" w:cs="宋体"/>
          <w:spacing w:val="0"/>
        </w:rPr>
        <w:fldChar w:fldCharType="separate"/>
      </w:r>
      <w:r>
        <w:rPr>
          <w:rFonts w:hint="eastAsia" w:ascii="宋体" w:hAnsi="宋体" w:eastAsia="宋体" w:cs="宋体"/>
          <w:spacing w:val="0"/>
        </w:rPr>
        <w:t>5</w:t>
      </w:r>
      <w:r>
        <w:rPr>
          <w:rFonts w:hint="eastAsia" w:ascii="宋体" w:hAnsi="宋体" w:eastAsia="宋体" w:cs="宋体"/>
          <w:spacing w:val="0"/>
        </w:rPr>
        <w:fldChar w:fldCharType="end"/>
      </w:r>
      <w:r>
        <w:rPr>
          <w:rFonts w:hint="eastAsia" w:ascii="宋体" w:hAnsi="宋体" w:eastAsia="宋体" w:cs="宋体"/>
          <w:spacing w:val="0"/>
          <w:lang w:eastAsia="zh-CN"/>
        </w:rPr>
        <w:fldChar w:fldCharType="end"/>
      </w:r>
    </w:p>
    <w:p>
      <w:pPr>
        <w:pStyle w:val="24"/>
        <w:tabs>
          <w:tab w:val="right" w:leader="dot" w:pos="9354"/>
          <w:tab w:val="clear" w:pos="9344"/>
        </w:tabs>
        <w:rPr>
          <w:rFonts w:hint="eastAsia" w:ascii="宋体" w:hAnsi="宋体" w:eastAsia="宋体" w:cs="宋体"/>
          <w:spacing w:val="0"/>
        </w:rPr>
      </w:pPr>
      <w:r>
        <w:rPr>
          <w:rFonts w:hint="eastAsia" w:ascii="宋体" w:hAnsi="宋体" w:eastAsia="宋体" w:cs="宋体"/>
          <w:spacing w:val="0"/>
          <w:lang w:eastAsia="zh-CN"/>
        </w:rPr>
        <w:fldChar w:fldCharType="begin"/>
      </w:r>
      <w:r>
        <w:rPr>
          <w:rFonts w:hint="eastAsia" w:ascii="宋体" w:hAnsi="宋体" w:eastAsia="宋体" w:cs="宋体"/>
          <w:spacing w:val="0"/>
          <w:lang w:eastAsia="zh-CN"/>
        </w:rPr>
        <w:instrText xml:space="preserve"> HYPERLINK \l _Toc1875 </w:instrText>
      </w:r>
      <w:r>
        <w:rPr>
          <w:rFonts w:hint="eastAsia" w:ascii="宋体" w:hAnsi="宋体" w:eastAsia="宋体" w:cs="宋体"/>
          <w:spacing w:val="0"/>
          <w:lang w:eastAsia="zh-CN"/>
        </w:rPr>
        <w:fldChar w:fldCharType="separate"/>
      </w:r>
      <w:r>
        <w:rPr>
          <w:rFonts w:hint="eastAsia" w:ascii="宋体" w:hAnsi="宋体" w:eastAsia="宋体" w:cs="宋体"/>
          <w:bCs w:val="0"/>
          <w:i w:val="0"/>
          <w:iCs w:val="0"/>
          <w:caps w:val="0"/>
          <w:smallCaps w:val="0"/>
          <w:strike w:val="0"/>
          <w:dstrike w:val="0"/>
          <w:vanish w:val="0"/>
          <w:spacing w:val="0"/>
          <w:kern w:val="0"/>
          <w:position w:val="0"/>
          <w:vertAlign w:val="baseline"/>
          <w:lang w:eastAsia="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t xml:space="preserve">5.4  </w:t>
      </w:r>
      <w:r>
        <w:rPr>
          <w:rFonts w:hint="eastAsia" w:ascii="宋体" w:hAnsi="宋体" w:eastAsia="宋体" w:cs="宋体"/>
          <w:spacing w:val="0"/>
          <w:lang w:val="en-US" w:eastAsia="zh-CN"/>
        </w:rPr>
        <w:t>噪声危害暴露风险评估</w:t>
      </w:r>
      <w:r>
        <w:rPr>
          <w:rFonts w:hint="eastAsia" w:ascii="宋体" w:hAnsi="宋体" w:eastAsia="宋体" w:cs="宋体"/>
          <w:spacing w:val="0"/>
        </w:rPr>
        <w:tab/>
      </w:r>
      <w:r>
        <w:rPr>
          <w:rFonts w:hint="eastAsia" w:ascii="宋体" w:hAnsi="宋体" w:eastAsia="宋体" w:cs="宋体"/>
          <w:spacing w:val="0"/>
        </w:rPr>
        <w:fldChar w:fldCharType="begin"/>
      </w:r>
      <w:r>
        <w:rPr>
          <w:rFonts w:hint="eastAsia" w:ascii="宋体" w:hAnsi="宋体" w:eastAsia="宋体" w:cs="宋体"/>
          <w:spacing w:val="0"/>
        </w:rPr>
        <w:instrText xml:space="preserve"> PAGEREF _Toc1875 \h </w:instrText>
      </w:r>
      <w:r>
        <w:rPr>
          <w:rFonts w:hint="eastAsia" w:ascii="宋体" w:hAnsi="宋体" w:eastAsia="宋体" w:cs="宋体"/>
          <w:spacing w:val="0"/>
        </w:rPr>
        <w:fldChar w:fldCharType="separate"/>
      </w:r>
      <w:r>
        <w:rPr>
          <w:rFonts w:hint="eastAsia" w:ascii="宋体" w:hAnsi="宋体" w:eastAsia="宋体" w:cs="宋体"/>
          <w:spacing w:val="0"/>
        </w:rPr>
        <w:t>5</w:t>
      </w:r>
      <w:r>
        <w:rPr>
          <w:rFonts w:hint="eastAsia" w:ascii="宋体" w:hAnsi="宋体" w:eastAsia="宋体" w:cs="宋体"/>
          <w:spacing w:val="0"/>
        </w:rPr>
        <w:fldChar w:fldCharType="end"/>
      </w:r>
      <w:r>
        <w:rPr>
          <w:rFonts w:hint="eastAsia" w:ascii="宋体" w:hAnsi="宋体" w:eastAsia="宋体" w:cs="宋体"/>
          <w:spacing w:val="0"/>
          <w:lang w:eastAsia="zh-CN"/>
        </w:rPr>
        <w:fldChar w:fldCharType="end"/>
      </w:r>
    </w:p>
    <w:p>
      <w:pPr>
        <w:pStyle w:val="24"/>
        <w:tabs>
          <w:tab w:val="right" w:leader="dot" w:pos="9354"/>
          <w:tab w:val="clear" w:pos="9344"/>
        </w:tabs>
        <w:rPr>
          <w:rFonts w:hint="eastAsia" w:ascii="宋体" w:hAnsi="宋体" w:eastAsia="宋体" w:cs="宋体"/>
          <w:spacing w:val="0"/>
        </w:rPr>
      </w:pPr>
      <w:r>
        <w:rPr>
          <w:rFonts w:hint="eastAsia" w:ascii="宋体" w:hAnsi="宋体" w:eastAsia="宋体" w:cs="宋体"/>
          <w:spacing w:val="0"/>
          <w:lang w:eastAsia="zh-CN"/>
        </w:rPr>
        <w:fldChar w:fldCharType="begin"/>
      </w:r>
      <w:r>
        <w:rPr>
          <w:rFonts w:hint="eastAsia" w:ascii="宋体" w:hAnsi="宋体" w:eastAsia="宋体" w:cs="宋体"/>
          <w:spacing w:val="0"/>
          <w:lang w:eastAsia="zh-CN"/>
        </w:rPr>
        <w:instrText xml:space="preserve"> HYPERLINK \l _Toc10379 </w:instrText>
      </w:r>
      <w:r>
        <w:rPr>
          <w:rFonts w:hint="eastAsia" w:ascii="宋体" w:hAnsi="宋体" w:eastAsia="宋体" w:cs="宋体"/>
          <w:spacing w:val="0"/>
          <w:lang w:eastAsia="zh-CN"/>
        </w:rPr>
        <w:fldChar w:fldCharType="separate"/>
      </w:r>
      <w:r>
        <w:rPr>
          <w:rFonts w:hint="eastAsia" w:ascii="宋体" w:hAnsi="宋体" w:eastAsia="宋体" w:cs="宋体"/>
          <w:bCs w:val="0"/>
          <w:i w:val="0"/>
          <w:iCs w:val="0"/>
          <w:caps w:val="0"/>
          <w:smallCaps w:val="0"/>
          <w:strike w:val="0"/>
          <w:dstrike w:val="0"/>
          <w:vanish w:val="0"/>
          <w:spacing w:val="0"/>
          <w:kern w:val="0"/>
          <w:position w:val="0"/>
          <w:szCs w:val="20"/>
          <w:vertAlign w:val="baseline"/>
          <w:lang w:val="en-US" w:eastAsia="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t xml:space="preserve">5.5  </w:t>
      </w:r>
      <w:r>
        <w:rPr>
          <w:rFonts w:hint="eastAsia" w:ascii="宋体" w:hAnsi="宋体" w:eastAsia="宋体" w:cs="宋体"/>
          <w:spacing w:val="0"/>
          <w:kern w:val="0"/>
          <w:szCs w:val="20"/>
          <w:lang w:val="en-US" w:eastAsia="zh-CN"/>
        </w:rPr>
        <w:t>噪声危害告知和警示标识设置</w:t>
      </w:r>
      <w:r>
        <w:rPr>
          <w:rFonts w:hint="eastAsia" w:ascii="宋体" w:hAnsi="宋体" w:eastAsia="宋体" w:cs="宋体"/>
          <w:spacing w:val="0"/>
        </w:rPr>
        <w:tab/>
      </w:r>
      <w:r>
        <w:rPr>
          <w:rFonts w:hint="eastAsia" w:ascii="宋体" w:hAnsi="宋体" w:eastAsia="宋体" w:cs="宋体"/>
          <w:spacing w:val="0"/>
        </w:rPr>
        <w:fldChar w:fldCharType="begin"/>
      </w:r>
      <w:r>
        <w:rPr>
          <w:rFonts w:hint="eastAsia" w:ascii="宋体" w:hAnsi="宋体" w:eastAsia="宋体" w:cs="宋体"/>
          <w:spacing w:val="0"/>
        </w:rPr>
        <w:instrText xml:space="preserve"> PAGEREF _Toc10379 \h </w:instrText>
      </w:r>
      <w:r>
        <w:rPr>
          <w:rFonts w:hint="eastAsia" w:ascii="宋体" w:hAnsi="宋体" w:eastAsia="宋体" w:cs="宋体"/>
          <w:spacing w:val="0"/>
        </w:rPr>
        <w:fldChar w:fldCharType="separate"/>
      </w:r>
      <w:r>
        <w:rPr>
          <w:rFonts w:hint="eastAsia" w:ascii="宋体" w:hAnsi="宋体" w:eastAsia="宋体" w:cs="宋体"/>
          <w:spacing w:val="0"/>
        </w:rPr>
        <w:t>5</w:t>
      </w:r>
      <w:r>
        <w:rPr>
          <w:rFonts w:hint="eastAsia" w:ascii="宋体" w:hAnsi="宋体" w:eastAsia="宋体" w:cs="宋体"/>
          <w:spacing w:val="0"/>
        </w:rPr>
        <w:fldChar w:fldCharType="end"/>
      </w:r>
      <w:r>
        <w:rPr>
          <w:rFonts w:hint="eastAsia" w:ascii="宋体" w:hAnsi="宋体" w:eastAsia="宋体" w:cs="宋体"/>
          <w:spacing w:val="0"/>
          <w:lang w:eastAsia="zh-CN"/>
        </w:rPr>
        <w:fldChar w:fldCharType="end"/>
      </w:r>
    </w:p>
    <w:p>
      <w:pPr>
        <w:pStyle w:val="19"/>
        <w:tabs>
          <w:tab w:val="right" w:leader="dot" w:pos="9354"/>
        </w:tabs>
        <w:rPr>
          <w:rFonts w:hint="eastAsia" w:ascii="宋体" w:hAnsi="宋体" w:eastAsia="宋体" w:cs="宋体"/>
          <w:spacing w:val="0"/>
        </w:rPr>
      </w:pPr>
      <w:r>
        <w:rPr>
          <w:rFonts w:hint="eastAsia" w:ascii="宋体" w:hAnsi="宋体" w:eastAsia="宋体" w:cs="宋体"/>
          <w:spacing w:val="0"/>
          <w:lang w:eastAsia="zh-CN"/>
        </w:rPr>
        <w:fldChar w:fldCharType="begin"/>
      </w:r>
      <w:r>
        <w:rPr>
          <w:rFonts w:hint="eastAsia" w:ascii="宋体" w:hAnsi="宋体" w:eastAsia="宋体" w:cs="宋体"/>
          <w:spacing w:val="0"/>
          <w:lang w:eastAsia="zh-CN"/>
        </w:rPr>
        <w:instrText xml:space="preserve"> HYPERLINK \l _Toc2358 </w:instrText>
      </w:r>
      <w:r>
        <w:rPr>
          <w:rFonts w:hint="eastAsia" w:ascii="宋体" w:hAnsi="宋体" w:eastAsia="宋体" w:cs="宋体"/>
          <w:spacing w:val="0"/>
          <w:lang w:eastAsia="zh-CN"/>
        </w:rPr>
        <w:fldChar w:fldCharType="separate"/>
      </w:r>
      <w:r>
        <w:rPr>
          <w:rFonts w:hint="eastAsia" w:ascii="宋体" w:hAnsi="宋体" w:eastAsia="宋体" w:cs="宋体"/>
          <w:i w:val="0"/>
          <w:spacing w:val="0"/>
          <w:lang w:eastAsia="zh-CN"/>
        </w:rPr>
        <w:t xml:space="preserve">6  </w:t>
      </w:r>
      <w:r>
        <w:rPr>
          <w:rFonts w:hint="eastAsia" w:ascii="宋体" w:hAnsi="宋体" w:eastAsia="宋体" w:cs="宋体"/>
          <w:spacing w:val="0"/>
          <w:lang w:val="en-US" w:eastAsia="zh-CN"/>
        </w:rPr>
        <w:t>个人防护措施</w:t>
      </w:r>
      <w:r>
        <w:rPr>
          <w:rFonts w:hint="eastAsia" w:ascii="宋体" w:hAnsi="宋体" w:eastAsia="宋体" w:cs="宋体"/>
          <w:spacing w:val="0"/>
        </w:rPr>
        <w:tab/>
      </w:r>
      <w:r>
        <w:rPr>
          <w:rFonts w:hint="eastAsia" w:ascii="宋体" w:hAnsi="宋体" w:eastAsia="宋体" w:cs="宋体"/>
          <w:spacing w:val="0"/>
        </w:rPr>
        <w:fldChar w:fldCharType="begin"/>
      </w:r>
      <w:r>
        <w:rPr>
          <w:rFonts w:hint="eastAsia" w:ascii="宋体" w:hAnsi="宋体" w:eastAsia="宋体" w:cs="宋体"/>
          <w:spacing w:val="0"/>
        </w:rPr>
        <w:instrText xml:space="preserve"> PAGEREF _Toc2358 \h </w:instrText>
      </w:r>
      <w:r>
        <w:rPr>
          <w:rFonts w:hint="eastAsia" w:ascii="宋体" w:hAnsi="宋体" w:eastAsia="宋体" w:cs="宋体"/>
          <w:spacing w:val="0"/>
        </w:rPr>
        <w:fldChar w:fldCharType="separate"/>
      </w:r>
      <w:r>
        <w:rPr>
          <w:rFonts w:hint="eastAsia" w:ascii="宋体" w:hAnsi="宋体" w:eastAsia="宋体" w:cs="宋体"/>
          <w:spacing w:val="0"/>
        </w:rPr>
        <w:t>5</w:t>
      </w:r>
      <w:r>
        <w:rPr>
          <w:rFonts w:hint="eastAsia" w:ascii="宋体" w:hAnsi="宋体" w:eastAsia="宋体" w:cs="宋体"/>
          <w:spacing w:val="0"/>
        </w:rPr>
        <w:fldChar w:fldCharType="end"/>
      </w:r>
      <w:r>
        <w:rPr>
          <w:rFonts w:hint="eastAsia" w:ascii="宋体" w:hAnsi="宋体" w:eastAsia="宋体" w:cs="宋体"/>
          <w:spacing w:val="0"/>
          <w:lang w:eastAsia="zh-CN"/>
        </w:rPr>
        <w:fldChar w:fldCharType="end"/>
      </w:r>
    </w:p>
    <w:p>
      <w:pPr>
        <w:pStyle w:val="19"/>
        <w:tabs>
          <w:tab w:val="right" w:leader="dot" w:pos="9354"/>
        </w:tabs>
        <w:rPr>
          <w:rFonts w:hint="eastAsia" w:ascii="宋体" w:hAnsi="宋体" w:eastAsia="宋体" w:cs="宋体"/>
          <w:spacing w:val="0"/>
        </w:rPr>
      </w:pPr>
      <w:r>
        <w:rPr>
          <w:rFonts w:hint="eastAsia" w:ascii="宋体" w:hAnsi="宋体" w:eastAsia="宋体" w:cs="宋体"/>
          <w:spacing w:val="0"/>
          <w:lang w:eastAsia="zh-CN"/>
        </w:rPr>
        <w:fldChar w:fldCharType="begin"/>
      </w:r>
      <w:r>
        <w:rPr>
          <w:rFonts w:hint="eastAsia" w:ascii="宋体" w:hAnsi="宋体" w:eastAsia="宋体" w:cs="宋体"/>
          <w:spacing w:val="0"/>
          <w:lang w:eastAsia="zh-CN"/>
        </w:rPr>
        <w:instrText xml:space="preserve"> HYPERLINK \l _Toc1772 </w:instrText>
      </w:r>
      <w:r>
        <w:rPr>
          <w:rFonts w:hint="eastAsia" w:ascii="宋体" w:hAnsi="宋体" w:eastAsia="宋体" w:cs="宋体"/>
          <w:spacing w:val="0"/>
          <w:lang w:eastAsia="zh-CN"/>
        </w:rPr>
        <w:fldChar w:fldCharType="separate"/>
      </w:r>
      <w:r>
        <w:rPr>
          <w:rFonts w:hint="eastAsia" w:ascii="宋体" w:hAnsi="宋体" w:eastAsia="宋体" w:cs="宋体"/>
          <w:i w:val="0"/>
          <w:spacing w:val="0"/>
          <w:lang w:eastAsia="zh-CN"/>
        </w:rPr>
        <w:t xml:space="preserve">7  </w:t>
      </w:r>
      <w:r>
        <w:rPr>
          <w:rFonts w:hint="eastAsia" w:ascii="宋体" w:hAnsi="宋体" w:eastAsia="宋体" w:cs="宋体"/>
          <w:spacing w:val="0"/>
          <w:lang w:val="en-US" w:eastAsia="zh-CN"/>
        </w:rPr>
        <w:t>职业健康监护</w:t>
      </w:r>
      <w:r>
        <w:rPr>
          <w:rFonts w:hint="eastAsia" w:ascii="宋体" w:hAnsi="宋体" w:eastAsia="宋体" w:cs="宋体"/>
          <w:spacing w:val="0"/>
        </w:rPr>
        <w:tab/>
      </w:r>
      <w:r>
        <w:rPr>
          <w:rFonts w:hint="eastAsia" w:ascii="宋体" w:hAnsi="宋体" w:eastAsia="宋体" w:cs="宋体"/>
          <w:spacing w:val="0"/>
        </w:rPr>
        <w:fldChar w:fldCharType="begin"/>
      </w:r>
      <w:r>
        <w:rPr>
          <w:rFonts w:hint="eastAsia" w:ascii="宋体" w:hAnsi="宋体" w:eastAsia="宋体" w:cs="宋体"/>
          <w:spacing w:val="0"/>
        </w:rPr>
        <w:instrText xml:space="preserve"> PAGEREF _Toc1772 \h </w:instrText>
      </w:r>
      <w:r>
        <w:rPr>
          <w:rFonts w:hint="eastAsia" w:ascii="宋体" w:hAnsi="宋体" w:eastAsia="宋体" w:cs="宋体"/>
          <w:spacing w:val="0"/>
        </w:rPr>
        <w:fldChar w:fldCharType="separate"/>
      </w:r>
      <w:r>
        <w:rPr>
          <w:rFonts w:hint="eastAsia" w:ascii="宋体" w:hAnsi="宋体" w:eastAsia="宋体" w:cs="宋体"/>
          <w:spacing w:val="0"/>
        </w:rPr>
        <w:t>6</w:t>
      </w:r>
      <w:r>
        <w:rPr>
          <w:rFonts w:hint="eastAsia" w:ascii="宋体" w:hAnsi="宋体" w:eastAsia="宋体" w:cs="宋体"/>
          <w:spacing w:val="0"/>
        </w:rPr>
        <w:fldChar w:fldCharType="end"/>
      </w:r>
      <w:r>
        <w:rPr>
          <w:rFonts w:hint="eastAsia" w:ascii="宋体" w:hAnsi="宋体" w:eastAsia="宋体" w:cs="宋体"/>
          <w:spacing w:val="0"/>
          <w:lang w:eastAsia="zh-CN"/>
        </w:rPr>
        <w:fldChar w:fldCharType="end"/>
      </w:r>
    </w:p>
    <w:p>
      <w:pPr>
        <w:pStyle w:val="19"/>
        <w:tabs>
          <w:tab w:val="right" w:leader="dot" w:pos="9354"/>
        </w:tabs>
        <w:rPr>
          <w:rFonts w:hint="eastAsia" w:ascii="宋体" w:hAnsi="宋体" w:eastAsia="宋体" w:cs="宋体"/>
          <w:spacing w:val="0"/>
        </w:rPr>
      </w:pPr>
      <w:r>
        <w:rPr>
          <w:rFonts w:hint="eastAsia" w:ascii="宋体" w:hAnsi="宋体" w:eastAsia="宋体" w:cs="宋体"/>
          <w:spacing w:val="0"/>
          <w:lang w:eastAsia="zh-CN"/>
        </w:rPr>
        <w:fldChar w:fldCharType="begin"/>
      </w:r>
      <w:r>
        <w:rPr>
          <w:rFonts w:hint="eastAsia" w:ascii="宋体" w:hAnsi="宋体" w:eastAsia="宋体" w:cs="宋体"/>
          <w:spacing w:val="0"/>
          <w:lang w:eastAsia="zh-CN"/>
        </w:rPr>
        <w:instrText xml:space="preserve"> HYPERLINK \l _Toc10393 </w:instrText>
      </w:r>
      <w:r>
        <w:rPr>
          <w:rFonts w:hint="eastAsia" w:ascii="宋体" w:hAnsi="宋体" w:eastAsia="宋体" w:cs="宋体"/>
          <w:spacing w:val="0"/>
          <w:lang w:eastAsia="zh-CN"/>
        </w:rPr>
        <w:fldChar w:fldCharType="separate"/>
      </w:r>
      <w:r>
        <w:rPr>
          <w:rFonts w:hint="eastAsia" w:ascii="宋体" w:hAnsi="宋体" w:eastAsia="宋体" w:cs="宋体"/>
          <w:spacing w:val="0"/>
          <w:lang w:eastAsia="zh-CN"/>
        </w:rPr>
        <w:t>附录A （规范性 ） 职业健康管理制度内容与要求</w:t>
      </w:r>
      <w:r>
        <w:rPr>
          <w:rFonts w:hint="eastAsia" w:ascii="宋体" w:hAnsi="宋体" w:eastAsia="宋体" w:cs="宋体"/>
          <w:spacing w:val="0"/>
        </w:rPr>
        <w:tab/>
      </w:r>
      <w:r>
        <w:rPr>
          <w:rFonts w:hint="eastAsia" w:ascii="宋体" w:hAnsi="宋体" w:eastAsia="宋体" w:cs="宋体"/>
          <w:spacing w:val="0"/>
        </w:rPr>
        <w:fldChar w:fldCharType="begin"/>
      </w:r>
      <w:r>
        <w:rPr>
          <w:rFonts w:hint="eastAsia" w:ascii="宋体" w:hAnsi="宋体" w:eastAsia="宋体" w:cs="宋体"/>
          <w:spacing w:val="0"/>
        </w:rPr>
        <w:instrText xml:space="preserve"> PAGEREF _Toc10393 \h </w:instrText>
      </w:r>
      <w:r>
        <w:rPr>
          <w:rFonts w:hint="eastAsia" w:ascii="宋体" w:hAnsi="宋体" w:eastAsia="宋体" w:cs="宋体"/>
          <w:spacing w:val="0"/>
        </w:rPr>
        <w:fldChar w:fldCharType="separate"/>
      </w:r>
      <w:r>
        <w:rPr>
          <w:rFonts w:hint="eastAsia" w:ascii="宋体" w:hAnsi="宋体" w:eastAsia="宋体" w:cs="宋体"/>
          <w:spacing w:val="0"/>
        </w:rPr>
        <w:t>7</w:t>
      </w:r>
      <w:r>
        <w:rPr>
          <w:rFonts w:hint="eastAsia" w:ascii="宋体" w:hAnsi="宋体" w:eastAsia="宋体" w:cs="宋体"/>
          <w:spacing w:val="0"/>
        </w:rPr>
        <w:fldChar w:fldCharType="end"/>
      </w:r>
      <w:r>
        <w:rPr>
          <w:rFonts w:hint="eastAsia" w:ascii="宋体" w:hAnsi="宋体" w:eastAsia="宋体" w:cs="宋体"/>
          <w:spacing w:val="0"/>
          <w:lang w:eastAsia="zh-CN"/>
        </w:rPr>
        <w:fldChar w:fldCharType="end"/>
      </w:r>
    </w:p>
    <w:p>
      <w:pPr>
        <w:pStyle w:val="19"/>
        <w:tabs>
          <w:tab w:val="right" w:leader="dot" w:pos="9354"/>
        </w:tabs>
        <w:rPr>
          <w:rFonts w:hint="eastAsia" w:ascii="宋体" w:hAnsi="宋体" w:eastAsia="宋体" w:cs="宋体"/>
          <w:spacing w:val="0"/>
        </w:rPr>
      </w:pPr>
      <w:r>
        <w:rPr>
          <w:rFonts w:hint="eastAsia" w:ascii="宋体" w:hAnsi="宋体" w:eastAsia="宋体" w:cs="宋体"/>
          <w:spacing w:val="0"/>
          <w:lang w:eastAsia="zh-CN"/>
        </w:rPr>
        <w:fldChar w:fldCharType="begin"/>
      </w:r>
      <w:r>
        <w:rPr>
          <w:rFonts w:hint="eastAsia" w:ascii="宋体" w:hAnsi="宋体" w:eastAsia="宋体" w:cs="宋体"/>
          <w:spacing w:val="0"/>
          <w:lang w:eastAsia="zh-CN"/>
        </w:rPr>
        <w:instrText xml:space="preserve"> HYPERLINK \l _Toc17750 </w:instrText>
      </w:r>
      <w:r>
        <w:rPr>
          <w:rFonts w:hint="eastAsia" w:ascii="宋体" w:hAnsi="宋体" w:eastAsia="宋体" w:cs="宋体"/>
          <w:spacing w:val="0"/>
          <w:lang w:eastAsia="zh-CN"/>
        </w:rPr>
        <w:fldChar w:fldCharType="separate"/>
      </w:r>
      <w:r>
        <w:rPr>
          <w:rFonts w:hint="eastAsia" w:ascii="宋体" w:hAnsi="宋体" w:eastAsia="宋体" w:cs="宋体"/>
          <w:spacing w:val="0"/>
          <w:lang w:eastAsia="zh-CN"/>
        </w:rPr>
        <w:t>附录B （资料性 ） 职业病危害告知书示例</w:t>
      </w:r>
      <w:r>
        <w:rPr>
          <w:rFonts w:hint="eastAsia" w:ascii="宋体" w:hAnsi="宋体" w:eastAsia="宋体" w:cs="宋体"/>
          <w:spacing w:val="0"/>
        </w:rPr>
        <w:tab/>
      </w:r>
      <w:r>
        <w:rPr>
          <w:rFonts w:hint="eastAsia" w:ascii="宋体" w:hAnsi="宋体" w:eastAsia="宋体" w:cs="宋体"/>
          <w:spacing w:val="0"/>
        </w:rPr>
        <w:fldChar w:fldCharType="begin"/>
      </w:r>
      <w:r>
        <w:rPr>
          <w:rFonts w:hint="eastAsia" w:ascii="宋体" w:hAnsi="宋体" w:eastAsia="宋体" w:cs="宋体"/>
          <w:spacing w:val="0"/>
        </w:rPr>
        <w:instrText xml:space="preserve"> PAGEREF _Toc17750 \h </w:instrText>
      </w:r>
      <w:r>
        <w:rPr>
          <w:rFonts w:hint="eastAsia" w:ascii="宋体" w:hAnsi="宋体" w:eastAsia="宋体" w:cs="宋体"/>
          <w:spacing w:val="0"/>
        </w:rPr>
        <w:fldChar w:fldCharType="separate"/>
      </w:r>
      <w:r>
        <w:rPr>
          <w:rFonts w:hint="eastAsia" w:ascii="宋体" w:hAnsi="宋体" w:eastAsia="宋体" w:cs="宋体"/>
          <w:spacing w:val="0"/>
        </w:rPr>
        <w:t>9</w:t>
      </w:r>
      <w:r>
        <w:rPr>
          <w:rFonts w:hint="eastAsia" w:ascii="宋体" w:hAnsi="宋体" w:eastAsia="宋体" w:cs="宋体"/>
          <w:spacing w:val="0"/>
        </w:rPr>
        <w:fldChar w:fldCharType="end"/>
      </w:r>
      <w:r>
        <w:rPr>
          <w:rFonts w:hint="eastAsia" w:ascii="宋体" w:hAnsi="宋体" w:eastAsia="宋体" w:cs="宋体"/>
          <w:spacing w:val="0"/>
          <w:lang w:eastAsia="zh-CN"/>
        </w:rPr>
        <w:fldChar w:fldCharType="end"/>
      </w:r>
    </w:p>
    <w:p>
      <w:pPr>
        <w:pStyle w:val="19"/>
        <w:tabs>
          <w:tab w:val="right" w:leader="dot" w:pos="9354"/>
        </w:tabs>
        <w:rPr>
          <w:rFonts w:hint="eastAsia" w:ascii="宋体" w:hAnsi="宋体" w:eastAsia="宋体" w:cs="宋体"/>
          <w:spacing w:val="0"/>
        </w:rPr>
      </w:pPr>
      <w:r>
        <w:rPr>
          <w:rFonts w:hint="eastAsia" w:ascii="宋体" w:hAnsi="宋体" w:eastAsia="宋体" w:cs="宋体"/>
          <w:spacing w:val="0"/>
          <w:lang w:eastAsia="zh-CN"/>
        </w:rPr>
        <w:fldChar w:fldCharType="begin"/>
      </w:r>
      <w:r>
        <w:rPr>
          <w:rFonts w:hint="eastAsia" w:ascii="宋体" w:hAnsi="宋体" w:eastAsia="宋体" w:cs="宋体"/>
          <w:spacing w:val="0"/>
          <w:lang w:eastAsia="zh-CN"/>
        </w:rPr>
        <w:instrText xml:space="preserve"> HYPERLINK \l _Toc13125 </w:instrText>
      </w:r>
      <w:r>
        <w:rPr>
          <w:rFonts w:hint="eastAsia" w:ascii="宋体" w:hAnsi="宋体" w:eastAsia="宋体" w:cs="宋体"/>
          <w:spacing w:val="0"/>
          <w:lang w:eastAsia="zh-CN"/>
        </w:rPr>
        <w:fldChar w:fldCharType="separate"/>
      </w:r>
      <w:r>
        <w:rPr>
          <w:rFonts w:hint="eastAsia" w:ascii="宋体" w:hAnsi="宋体" w:eastAsia="宋体" w:cs="宋体"/>
          <w:spacing w:val="0"/>
          <w:lang w:eastAsia="zh-CN"/>
        </w:rPr>
        <w:t>附录C （资料性 ） 常见工艺、工程降噪措施</w:t>
      </w:r>
      <w:r>
        <w:rPr>
          <w:rFonts w:hint="eastAsia" w:ascii="宋体" w:hAnsi="宋体" w:eastAsia="宋体" w:cs="宋体"/>
          <w:spacing w:val="0"/>
        </w:rPr>
        <w:tab/>
      </w:r>
      <w:r>
        <w:rPr>
          <w:rFonts w:hint="eastAsia" w:ascii="宋体" w:hAnsi="宋体" w:eastAsia="宋体" w:cs="宋体"/>
          <w:spacing w:val="0"/>
        </w:rPr>
        <w:fldChar w:fldCharType="begin"/>
      </w:r>
      <w:r>
        <w:rPr>
          <w:rFonts w:hint="eastAsia" w:ascii="宋体" w:hAnsi="宋体" w:eastAsia="宋体" w:cs="宋体"/>
          <w:spacing w:val="0"/>
        </w:rPr>
        <w:instrText xml:space="preserve"> PAGEREF _Toc13125 \h </w:instrText>
      </w:r>
      <w:r>
        <w:rPr>
          <w:rFonts w:hint="eastAsia" w:ascii="宋体" w:hAnsi="宋体" w:eastAsia="宋体" w:cs="宋体"/>
          <w:spacing w:val="0"/>
        </w:rPr>
        <w:fldChar w:fldCharType="separate"/>
      </w:r>
      <w:r>
        <w:rPr>
          <w:rFonts w:hint="eastAsia" w:ascii="宋体" w:hAnsi="宋体" w:eastAsia="宋体" w:cs="宋体"/>
          <w:spacing w:val="0"/>
        </w:rPr>
        <w:t>10</w:t>
      </w:r>
      <w:r>
        <w:rPr>
          <w:rFonts w:hint="eastAsia" w:ascii="宋体" w:hAnsi="宋体" w:eastAsia="宋体" w:cs="宋体"/>
          <w:spacing w:val="0"/>
        </w:rPr>
        <w:fldChar w:fldCharType="end"/>
      </w:r>
      <w:r>
        <w:rPr>
          <w:rFonts w:hint="eastAsia" w:ascii="宋体" w:hAnsi="宋体" w:eastAsia="宋体" w:cs="宋体"/>
          <w:spacing w:val="0"/>
          <w:lang w:eastAsia="zh-CN"/>
        </w:rPr>
        <w:fldChar w:fldCharType="end"/>
      </w:r>
    </w:p>
    <w:p>
      <w:pPr>
        <w:pStyle w:val="19"/>
        <w:tabs>
          <w:tab w:val="right" w:leader="dot" w:pos="9354"/>
        </w:tabs>
        <w:rPr>
          <w:rFonts w:hint="eastAsia" w:ascii="宋体" w:hAnsi="宋体" w:eastAsia="宋体" w:cs="宋体"/>
          <w:spacing w:val="0"/>
        </w:rPr>
      </w:pPr>
      <w:r>
        <w:rPr>
          <w:rFonts w:hint="eastAsia" w:ascii="宋体" w:hAnsi="宋体" w:eastAsia="宋体" w:cs="宋体"/>
          <w:spacing w:val="0"/>
          <w:lang w:eastAsia="zh-CN"/>
        </w:rPr>
        <w:fldChar w:fldCharType="begin"/>
      </w:r>
      <w:r>
        <w:rPr>
          <w:rFonts w:hint="eastAsia" w:ascii="宋体" w:hAnsi="宋体" w:eastAsia="宋体" w:cs="宋体"/>
          <w:spacing w:val="0"/>
          <w:lang w:eastAsia="zh-CN"/>
        </w:rPr>
        <w:instrText xml:space="preserve"> HYPERLINK \l _Toc183 </w:instrText>
      </w:r>
      <w:r>
        <w:rPr>
          <w:rFonts w:hint="eastAsia" w:ascii="宋体" w:hAnsi="宋体" w:eastAsia="宋体" w:cs="宋体"/>
          <w:spacing w:val="0"/>
          <w:lang w:eastAsia="zh-CN"/>
        </w:rPr>
        <w:fldChar w:fldCharType="separate"/>
      </w:r>
      <w:r>
        <w:rPr>
          <w:rFonts w:hint="eastAsia" w:ascii="宋体" w:hAnsi="宋体" w:eastAsia="宋体" w:cs="宋体"/>
          <w:spacing w:val="0"/>
          <w:lang w:eastAsia="zh-CN"/>
        </w:rPr>
        <w:t>附录D （资料性 ） 职业病危害告知卡示例</w:t>
      </w:r>
      <w:r>
        <w:rPr>
          <w:rFonts w:hint="eastAsia" w:ascii="宋体" w:hAnsi="宋体" w:eastAsia="宋体" w:cs="宋体"/>
          <w:spacing w:val="0"/>
        </w:rPr>
        <w:tab/>
      </w:r>
      <w:r>
        <w:rPr>
          <w:rFonts w:hint="eastAsia" w:ascii="宋体" w:hAnsi="宋体" w:eastAsia="宋体" w:cs="宋体"/>
          <w:spacing w:val="0"/>
        </w:rPr>
        <w:fldChar w:fldCharType="begin"/>
      </w:r>
      <w:r>
        <w:rPr>
          <w:rFonts w:hint="eastAsia" w:ascii="宋体" w:hAnsi="宋体" w:eastAsia="宋体" w:cs="宋体"/>
          <w:spacing w:val="0"/>
        </w:rPr>
        <w:instrText xml:space="preserve"> PAGEREF _Toc183 \h </w:instrText>
      </w:r>
      <w:r>
        <w:rPr>
          <w:rFonts w:hint="eastAsia" w:ascii="宋体" w:hAnsi="宋体" w:eastAsia="宋体" w:cs="宋体"/>
          <w:spacing w:val="0"/>
        </w:rPr>
        <w:fldChar w:fldCharType="separate"/>
      </w:r>
      <w:r>
        <w:rPr>
          <w:rFonts w:hint="eastAsia" w:ascii="宋体" w:hAnsi="宋体" w:eastAsia="宋体" w:cs="宋体"/>
          <w:spacing w:val="0"/>
        </w:rPr>
        <w:t>11</w:t>
      </w:r>
      <w:r>
        <w:rPr>
          <w:rFonts w:hint="eastAsia" w:ascii="宋体" w:hAnsi="宋体" w:eastAsia="宋体" w:cs="宋体"/>
          <w:spacing w:val="0"/>
        </w:rPr>
        <w:fldChar w:fldCharType="end"/>
      </w:r>
      <w:r>
        <w:rPr>
          <w:rFonts w:hint="eastAsia" w:ascii="宋体" w:hAnsi="宋体" w:eastAsia="宋体" w:cs="宋体"/>
          <w:spacing w:val="0"/>
          <w:lang w:eastAsia="zh-CN"/>
        </w:rPr>
        <w:fldChar w:fldCharType="end"/>
      </w:r>
    </w:p>
    <w:p>
      <w:pPr>
        <w:pStyle w:val="19"/>
        <w:tabs>
          <w:tab w:val="right" w:leader="dot" w:pos="9354"/>
        </w:tabs>
        <w:rPr>
          <w:rFonts w:hint="eastAsia" w:ascii="宋体" w:hAnsi="宋体" w:eastAsia="宋体" w:cs="宋体"/>
          <w:spacing w:val="0"/>
        </w:rPr>
      </w:pPr>
      <w:r>
        <w:rPr>
          <w:rFonts w:hint="eastAsia" w:ascii="宋体" w:hAnsi="宋体" w:eastAsia="宋体" w:cs="宋体"/>
          <w:spacing w:val="0"/>
          <w:lang w:eastAsia="zh-CN"/>
        </w:rPr>
        <w:fldChar w:fldCharType="begin"/>
      </w:r>
      <w:r>
        <w:rPr>
          <w:rFonts w:hint="eastAsia" w:ascii="宋体" w:hAnsi="宋体" w:eastAsia="宋体" w:cs="宋体"/>
          <w:spacing w:val="0"/>
          <w:lang w:eastAsia="zh-CN"/>
        </w:rPr>
        <w:instrText xml:space="preserve"> HYPERLINK \l _Toc26512 </w:instrText>
      </w:r>
      <w:r>
        <w:rPr>
          <w:rFonts w:hint="eastAsia" w:ascii="宋体" w:hAnsi="宋体" w:eastAsia="宋体" w:cs="宋体"/>
          <w:spacing w:val="0"/>
          <w:lang w:eastAsia="zh-CN"/>
        </w:rPr>
        <w:fldChar w:fldCharType="separate"/>
      </w:r>
      <w:r>
        <w:rPr>
          <w:rFonts w:hint="eastAsia" w:ascii="宋体" w:hAnsi="宋体" w:eastAsia="宋体" w:cs="宋体"/>
          <w:spacing w:val="0"/>
          <w:lang w:eastAsia="zh-CN"/>
        </w:rPr>
        <w:t>附录E （资料性 ） 个人防护用品领用清单示例</w:t>
      </w:r>
      <w:r>
        <w:rPr>
          <w:rFonts w:hint="eastAsia" w:ascii="宋体" w:hAnsi="宋体" w:eastAsia="宋体" w:cs="宋体"/>
          <w:spacing w:val="0"/>
        </w:rPr>
        <w:tab/>
      </w:r>
      <w:r>
        <w:rPr>
          <w:rFonts w:hint="eastAsia" w:ascii="宋体" w:hAnsi="宋体" w:eastAsia="宋体" w:cs="宋体"/>
          <w:spacing w:val="0"/>
        </w:rPr>
        <w:fldChar w:fldCharType="begin"/>
      </w:r>
      <w:r>
        <w:rPr>
          <w:rFonts w:hint="eastAsia" w:ascii="宋体" w:hAnsi="宋体" w:eastAsia="宋体" w:cs="宋体"/>
          <w:spacing w:val="0"/>
        </w:rPr>
        <w:instrText xml:space="preserve"> PAGEREF _Toc26512 \h </w:instrText>
      </w:r>
      <w:r>
        <w:rPr>
          <w:rFonts w:hint="eastAsia" w:ascii="宋体" w:hAnsi="宋体" w:eastAsia="宋体" w:cs="宋体"/>
          <w:spacing w:val="0"/>
        </w:rPr>
        <w:fldChar w:fldCharType="separate"/>
      </w:r>
      <w:r>
        <w:rPr>
          <w:rFonts w:hint="eastAsia" w:ascii="宋体" w:hAnsi="宋体" w:eastAsia="宋体" w:cs="宋体"/>
          <w:spacing w:val="0"/>
        </w:rPr>
        <w:t>12</w:t>
      </w:r>
      <w:r>
        <w:rPr>
          <w:rFonts w:hint="eastAsia" w:ascii="宋体" w:hAnsi="宋体" w:eastAsia="宋体" w:cs="宋体"/>
          <w:spacing w:val="0"/>
        </w:rPr>
        <w:fldChar w:fldCharType="end"/>
      </w:r>
      <w:r>
        <w:rPr>
          <w:rFonts w:hint="eastAsia" w:ascii="宋体" w:hAnsi="宋体" w:eastAsia="宋体" w:cs="宋体"/>
          <w:spacing w:val="0"/>
          <w:lang w:eastAsia="zh-CN"/>
        </w:rPr>
        <w:fldChar w:fldCharType="end"/>
      </w:r>
    </w:p>
    <w:p>
      <w:pPr>
        <w:pStyle w:val="19"/>
        <w:tabs>
          <w:tab w:val="right" w:leader="dot" w:pos="9354"/>
        </w:tabs>
        <w:rPr>
          <w:rFonts w:hint="eastAsia" w:ascii="宋体" w:hAnsi="宋体" w:eastAsia="宋体" w:cs="宋体"/>
          <w:spacing w:val="0"/>
        </w:rPr>
      </w:pPr>
      <w:r>
        <w:rPr>
          <w:rFonts w:hint="eastAsia" w:ascii="宋体" w:hAnsi="宋体" w:eastAsia="宋体" w:cs="宋体"/>
          <w:spacing w:val="0"/>
          <w:lang w:eastAsia="zh-CN"/>
        </w:rPr>
        <w:fldChar w:fldCharType="begin"/>
      </w:r>
      <w:r>
        <w:rPr>
          <w:rFonts w:hint="eastAsia" w:ascii="宋体" w:hAnsi="宋体" w:eastAsia="宋体" w:cs="宋体"/>
          <w:spacing w:val="0"/>
          <w:lang w:eastAsia="zh-CN"/>
        </w:rPr>
        <w:instrText xml:space="preserve"> HYPERLINK \l _Toc18090 </w:instrText>
      </w:r>
      <w:r>
        <w:rPr>
          <w:rFonts w:hint="eastAsia" w:ascii="宋体" w:hAnsi="宋体" w:eastAsia="宋体" w:cs="宋体"/>
          <w:spacing w:val="0"/>
          <w:lang w:eastAsia="zh-CN"/>
        </w:rPr>
        <w:fldChar w:fldCharType="separate"/>
      </w:r>
      <w:r>
        <w:rPr>
          <w:rFonts w:hint="eastAsia" w:ascii="宋体" w:hAnsi="宋体" w:eastAsia="宋体" w:cs="宋体"/>
          <w:spacing w:val="0"/>
          <w:lang w:eastAsia="zh-CN"/>
        </w:rPr>
        <w:t>附录F （资料性 ） 职业健康检查结果告知记录示例</w:t>
      </w:r>
      <w:r>
        <w:rPr>
          <w:rFonts w:hint="eastAsia" w:ascii="宋体" w:hAnsi="宋体" w:eastAsia="宋体" w:cs="宋体"/>
          <w:spacing w:val="0"/>
        </w:rPr>
        <w:tab/>
      </w:r>
      <w:r>
        <w:rPr>
          <w:rFonts w:hint="eastAsia" w:ascii="宋体" w:hAnsi="宋体" w:eastAsia="宋体" w:cs="宋体"/>
          <w:spacing w:val="0"/>
        </w:rPr>
        <w:fldChar w:fldCharType="begin"/>
      </w:r>
      <w:r>
        <w:rPr>
          <w:rFonts w:hint="eastAsia" w:ascii="宋体" w:hAnsi="宋体" w:eastAsia="宋体" w:cs="宋体"/>
          <w:spacing w:val="0"/>
        </w:rPr>
        <w:instrText xml:space="preserve"> PAGEREF _Toc18090 \h </w:instrText>
      </w:r>
      <w:r>
        <w:rPr>
          <w:rFonts w:hint="eastAsia" w:ascii="宋体" w:hAnsi="宋体" w:eastAsia="宋体" w:cs="宋体"/>
          <w:spacing w:val="0"/>
        </w:rPr>
        <w:fldChar w:fldCharType="separate"/>
      </w:r>
      <w:r>
        <w:rPr>
          <w:rFonts w:hint="eastAsia" w:ascii="宋体" w:hAnsi="宋体" w:eastAsia="宋体" w:cs="宋体"/>
          <w:spacing w:val="0"/>
        </w:rPr>
        <w:t>13</w:t>
      </w:r>
      <w:r>
        <w:rPr>
          <w:rFonts w:hint="eastAsia" w:ascii="宋体" w:hAnsi="宋体" w:eastAsia="宋体" w:cs="宋体"/>
          <w:spacing w:val="0"/>
        </w:rPr>
        <w:fldChar w:fldCharType="end"/>
      </w:r>
      <w:r>
        <w:rPr>
          <w:rFonts w:hint="eastAsia" w:ascii="宋体" w:hAnsi="宋体" w:eastAsia="宋体" w:cs="宋体"/>
          <w:spacing w:val="0"/>
          <w:lang w:eastAsia="zh-CN"/>
        </w:rPr>
        <w:fldChar w:fldCharType="end"/>
      </w:r>
    </w:p>
    <w:p>
      <w:pPr>
        <w:pStyle w:val="19"/>
        <w:tabs>
          <w:tab w:val="right" w:leader="dot" w:pos="9354"/>
        </w:tabs>
        <w:rPr>
          <w:rFonts w:hint="eastAsia" w:ascii="宋体" w:hAnsi="宋体" w:eastAsia="宋体" w:cs="宋体"/>
          <w:spacing w:val="0"/>
        </w:rPr>
      </w:pPr>
      <w:r>
        <w:rPr>
          <w:rFonts w:hint="eastAsia" w:ascii="宋体" w:hAnsi="宋体" w:eastAsia="宋体" w:cs="宋体"/>
          <w:spacing w:val="0"/>
          <w:lang w:eastAsia="zh-CN"/>
        </w:rPr>
        <w:fldChar w:fldCharType="begin"/>
      </w:r>
      <w:r>
        <w:rPr>
          <w:rFonts w:hint="eastAsia" w:ascii="宋体" w:hAnsi="宋体" w:eastAsia="宋体" w:cs="宋体"/>
          <w:spacing w:val="0"/>
          <w:lang w:eastAsia="zh-CN"/>
        </w:rPr>
        <w:instrText xml:space="preserve"> HYPERLINK \l _Toc10973 </w:instrText>
      </w:r>
      <w:r>
        <w:rPr>
          <w:rFonts w:hint="eastAsia" w:ascii="宋体" w:hAnsi="宋体" w:eastAsia="宋体" w:cs="宋体"/>
          <w:spacing w:val="0"/>
          <w:lang w:eastAsia="zh-CN"/>
        </w:rPr>
        <w:fldChar w:fldCharType="separate"/>
      </w:r>
      <w:r>
        <w:rPr>
          <w:rFonts w:hint="eastAsia" w:ascii="宋体" w:hAnsi="宋体" w:eastAsia="宋体" w:cs="宋体"/>
          <w:spacing w:val="0"/>
          <w:lang w:eastAsia="zh-CN"/>
        </w:rPr>
        <w:t>附录G （规范性 ） 用人单位职业健康档案</w:t>
      </w:r>
      <w:r>
        <w:rPr>
          <w:rFonts w:hint="eastAsia" w:ascii="宋体" w:hAnsi="宋体" w:eastAsia="宋体" w:cs="宋体"/>
          <w:spacing w:val="0"/>
        </w:rPr>
        <w:tab/>
      </w:r>
      <w:r>
        <w:rPr>
          <w:rFonts w:hint="eastAsia" w:ascii="宋体" w:hAnsi="宋体" w:eastAsia="宋体" w:cs="宋体"/>
          <w:spacing w:val="0"/>
        </w:rPr>
        <w:fldChar w:fldCharType="begin"/>
      </w:r>
      <w:r>
        <w:rPr>
          <w:rFonts w:hint="eastAsia" w:ascii="宋体" w:hAnsi="宋体" w:eastAsia="宋体" w:cs="宋体"/>
          <w:spacing w:val="0"/>
        </w:rPr>
        <w:instrText xml:space="preserve"> PAGEREF _Toc10973 \h </w:instrText>
      </w:r>
      <w:r>
        <w:rPr>
          <w:rFonts w:hint="eastAsia" w:ascii="宋体" w:hAnsi="宋体" w:eastAsia="宋体" w:cs="宋体"/>
          <w:spacing w:val="0"/>
        </w:rPr>
        <w:fldChar w:fldCharType="separate"/>
      </w:r>
      <w:r>
        <w:rPr>
          <w:rFonts w:hint="eastAsia" w:ascii="宋体" w:hAnsi="宋体" w:eastAsia="宋体" w:cs="宋体"/>
          <w:spacing w:val="0"/>
        </w:rPr>
        <w:t>14</w:t>
      </w:r>
      <w:r>
        <w:rPr>
          <w:rFonts w:hint="eastAsia" w:ascii="宋体" w:hAnsi="宋体" w:eastAsia="宋体" w:cs="宋体"/>
          <w:spacing w:val="0"/>
        </w:rPr>
        <w:fldChar w:fldCharType="end"/>
      </w:r>
      <w:r>
        <w:rPr>
          <w:rFonts w:hint="eastAsia" w:ascii="宋体" w:hAnsi="宋体" w:eastAsia="宋体" w:cs="宋体"/>
          <w:spacing w:val="0"/>
          <w:lang w:eastAsia="zh-CN"/>
        </w:rPr>
        <w:fldChar w:fldCharType="end"/>
      </w:r>
    </w:p>
    <w:p>
      <w:pPr>
        <w:pStyle w:val="19"/>
        <w:tabs>
          <w:tab w:val="right" w:leader="dot" w:pos="9354"/>
        </w:tabs>
        <w:rPr>
          <w:spacing w:val="0"/>
        </w:rPr>
      </w:pPr>
      <w:r>
        <w:rPr>
          <w:rFonts w:hint="eastAsia" w:ascii="宋体" w:hAnsi="宋体" w:eastAsia="宋体" w:cs="宋体"/>
          <w:spacing w:val="0"/>
          <w:lang w:eastAsia="zh-CN"/>
        </w:rPr>
        <w:fldChar w:fldCharType="begin"/>
      </w:r>
      <w:r>
        <w:rPr>
          <w:rFonts w:hint="eastAsia" w:ascii="宋体" w:hAnsi="宋体" w:eastAsia="宋体" w:cs="宋体"/>
          <w:spacing w:val="0"/>
          <w:lang w:eastAsia="zh-CN"/>
        </w:rPr>
        <w:instrText xml:space="preserve"> HYPERLINK \l _Toc1133 </w:instrText>
      </w:r>
      <w:r>
        <w:rPr>
          <w:rFonts w:hint="eastAsia" w:ascii="宋体" w:hAnsi="宋体" w:eastAsia="宋体" w:cs="宋体"/>
          <w:spacing w:val="0"/>
          <w:lang w:eastAsia="zh-CN"/>
        </w:rPr>
        <w:fldChar w:fldCharType="separate"/>
      </w:r>
      <w:r>
        <w:rPr>
          <w:rFonts w:hint="eastAsia" w:ascii="宋体" w:hAnsi="宋体" w:eastAsia="宋体" w:cs="宋体"/>
          <w:spacing w:val="0"/>
          <w:lang w:eastAsia="zh-CN"/>
        </w:rPr>
        <w:t>参考文献</w:t>
      </w:r>
      <w:r>
        <w:rPr>
          <w:rFonts w:hint="eastAsia" w:ascii="宋体" w:hAnsi="宋体" w:eastAsia="宋体" w:cs="宋体"/>
          <w:spacing w:val="0"/>
        </w:rPr>
        <w:tab/>
      </w:r>
      <w:r>
        <w:rPr>
          <w:rFonts w:hint="eastAsia" w:ascii="宋体" w:hAnsi="宋体" w:eastAsia="宋体" w:cs="宋体"/>
          <w:spacing w:val="0"/>
        </w:rPr>
        <w:fldChar w:fldCharType="begin"/>
      </w:r>
      <w:r>
        <w:rPr>
          <w:rFonts w:hint="eastAsia" w:ascii="宋体" w:hAnsi="宋体" w:eastAsia="宋体" w:cs="宋体"/>
          <w:spacing w:val="0"/>
        </w:rPr>
        <w:instrText xml:space="preserve"> PAGEREF _Toc1133 \h </w:instrText>
      </w:r>
      <w:r>
        <w:rPr>
          <w:rFonts w:hint="eastAsia" w:ascii="宋体" w:hAnsi="宋体" w:eastAsia="宋体" w:cs="宋体"/>
          <w:spacing w:val="0"/>
        </w:rPr>
        <w:fldChar w:fldCharType="separate"/>
      </w:r>
      <w:r>
        <w:rPr>
          <w:rFonts w:hint="eastAsia" w:ascii="宋体" w:hAnsi="宋体" w:eastAsia="宋体" w:cs="宋体"/>
          <w:spacing w:val="0"/>
        </w:rPr>
        <w:t>15</w:t>
      </w:r>
      <w:r>
        <w:rPr>
          <w:rFonts w:hint="eastAsia" w:ascii="宋体" w:hAnsi="宋体" w:eastAsia="宋体" w:cs="宋体"/>
          <w:spacing w:val="0"/>
        </w:rPr>
        <w:fldChar w:fldCharType="end"/>
      </w:r>
      <w:r>
        <w:rPr>
          <w:rFonts w:hint="eastAsia" w:ascii="宋体" w:hAnsi="宋体" w:eastAsia="宋体" w:cs="宋体"/>
          <w:spacing w:val="0"/>
          <w:lang w:eastAsia="zh-CN"/>
        </w:rPr>
        <w:fldChar w:fldCharType="end"/>
      </w:r>
    </w:p>
    <w:p>
      <w:pPr>
        <w:pStyle w:val="92"/>
        <w:bidi w:val="0"/>
        <w:rPr>
          <w:rFonts w:hint="eastAsia"/>
          <w:spacing w:val="0"/>
          <w:lang w:eastAsia="zh-CN"/>
        </w:rPr>
        <w:sectPr>
          <w:headerReference r:id="rId10" w:type="default"/>
          <w:footerReference r:id="rId12" w:type="default"/>
          <w:headerReference r:id="rId11" w:type="even"/>
          <w:footerReference r:id="rId13" w:type="even"/>
          <w:pgSz w:w="11906" w:h="16838"/>
          <w:pgMar w:top="1928" w:right="1134" w:bottom="1134" w:left="1134" w:header="1418" w:footer="1134" w:gutter="284"/>
          <w:pgNumType w:fmt="upperRoman" w:start="1"/>
          <w:cols w:space="425" w:num="1"/>
          <w:formProt w:val="0"/>
          <w:docGrid w:type="lines" w:linePitch="312" w:charSpace="0"/>
        </w:sectPr>
      </w:pPr>
      <w:r>
        <w:rPr>
          <w:rFonts w:hint="eastAsia"/>
          <w:spacing w:val="0"/>
          <w:lang w:eastAsia="zh-CN"/>
        </w:rPr>
        <w:fldChar w:fldCharType="end"/>
      </w:r>
    </w:p>
    <w:bookmarkEnd w:id="21"/>
    <w:p>
      <w:pPr>
        <w:pStyle w:val="90"/>
        <w:bidi w:val="0"/>
        <w:spacing w:before="560"/>
        <w:rPr>
          <w:rFonts w:hint="eastAsia"/>
          <w:lang w:eastAsia="zh-CN"/>
        </w:rPr>
      </w:pPr>
      <w:bookmarkStart w:id="22" w:name="_Toc17133"/>
      <w:bookmarkStart w:id="23" w:name="BookMark2"/>
      <w:r>
        <w:rPr>
          <w:rFonts w:hint="eastAsia"/>
          <w:spacing w:val="320"/>
          <w:lang w:eastAsia="zh-CN"/>
        </w:rPr>
        <w:t>前</w:t>
      </w:r>
      <w:r>
        <w:rPr>
          <w:rFonts w:hint="eastAsia"/>
          <w:lang w:eastAsia="zh-CN"/>
        </w:rPr>
        <w:t>言</w:t>
      </w:r>
      <w:bookmarkEnd w:id="22"/>
    </w:p>
    <w:p>
      <w:pPr>
        <w:pStyle w:val="57"/>
        <w:bidi w:val="0"/>
        <w:rPr>
          <w:rFonts w:hint="eastAsia"/>
          <w:lang w:eastAsia="zh-CN"/>
        </w:rPr>
      </w:pPr>
      <w:r>
        <w:rPr>
          <w:rFonts w:hint="eastAsia"/>
          <w:lang w:eastAsia="zh-CN"/>
        </w:rPr>
        <w:t>本文件按照GB/T 1.1—2020《标准化工作导则  第1部分：标准化文件的结构和起草规则》的规定起草。</w:t>
      </w:r>
    </w:p>
    <w:p>
      <w:pPr>
        <w:pStyle w:val="57"/>
        <w:bidi w:val="0"/>
        <w:rPr>
          <w:rFonts w:hint="eastAsia"/>
          <w:lang w:eastAsia="zh-CN"/>
        </w:rPr>
      </w:pPr>
      <w:r>
        <w:rPr>
          <w:rFonts w:hint="eastAsia"/>
          <w:lang w:eastAsia="zh-CN"/>
        </w:rPr>
        <w:t>请注意本文件的某些内容可能涉及专利，本文件的发布机构不承担识别专利的责任。</w:t>
      </w:r>
    </w:p>
    <w:p>
      <w:pPr>
        <w:pStyle w:val="57"/>
        <w:bidi w:val="0"/>
        <w:rPr>
          <w:rFonts w:hint="eastAsia"/>
          <w:lang w:eastAsia="zh-CN"/>
        </w:rPr>
      </w:pPr>
      <w:r>
        <w:rPr>
          <w:rFonts w:hint="eastAsia"/>
          <w:lang w:eastAsia="zh-CN"/>
        </w:rPr>
        <w:t>本文件由上海市卫生健康委员会提出。</w:t>
      </w:r>
    </w:p>
    <w:p>
      <w:pPr>
        <w:pStyle w:val="57"/>
        <w:bidi w:val="0"/>
        <w:rPr>
          <w:rFonts w:hint="eastAsia"/>
          <w:lang w:eastAsia="zh-CN"/>
        </w:rPr>
      </w:pPr>
      <w:r>
        <w:rPr>
          <w:rFonts w:hint="eastAsia"/>
          <w:lang w:eastAsia="zh-CN"/>
        </w:rPr>
        <w:t>本文件由上海市职业卫生标准化技术委员会归口。</w:t>
      </w:r>
    </w:p>
    <w:p>
      <w:pPr>
        <w:pStyle w:val="57"/>
        <w:bidi w:val="0"/>
        <w:rPr>
          <w:rFonts w:hint="eastAsia"/>
          <w:lang w:eastAsia="zh-CN"/>
        </w:rPr>
      </w:pPr>
      <w:r>
        <w:rPr>
          <w:rFonts w:hint="eastAsia"/>
          <w:lang w:eastAsia="zh-CN"/>
        </w:rPr>
        <w:t>本文件起草单位：上海市</w:t>
      </w:r>
      <w:r>
        <w:rPr>
          <w:rFonts w:hint="eastAsia"/>
          <w:lang w:val="en-US" w:eastAsia="zh-CN"/>
        </w:rPr>
        <w:t>疾病预防控制局、上海市卫生健康技术评价中心</w:t>
      </w:r>
      <w:r>
        <w:rPr>
          <w:rFonts w:hint="eastAsia"/>
          <w:lang w:eastAsia="zh-CN"/>
        </w:rPr>
        <w:t>、上海市疾病预防控制中心、</w:t>
      </w:r>
      <w:r>
        <w:rPr>
          <w:rFonts w:hint="eastAsia"/>
          <w:lang w:val="en-US" w:eastAsia="zh-CN"/>
        </w:rPr>
        <w:t>上海市</w:t>
      </w:r>
      <w:r>
        <w:rPr>
          <w:rFonts w:hint="eastAsia"/>
          <w:lang w:eastAsia="zh-CN"/>
        </w:rPr>
        <w:t>嘉定区</w:t>
      </w:r>
      <w:r>
        <w:rPr>
          <w:rFonts w:hint="eastAsia"/>
          <w:lang w:val="en-US" w:eastAsia="zh-CN"/>
        </w:rPr>
        <w:t>疾病预防控制中心（上海市嘉定区</w:t>
      </w:r>
      <w:r>
        <w:rPr>
          <w:rFonts w:hint="eastAsia"/>
          <w:lang w:eastAsia="zh-CN"/>
        </w:rPr>
        <w:t>卫生健康监督所）、</w:t>
      </w:r>
      <w:r>
        <w:rPr>
          <w:rFonts w:hint="eastAsia"/>
          <w:lang w:val="en-US" w:eastAsia="zh-CN"/>
        </w:rPr>
        <w:t>上海市金山</w:t>
      </w:r>
      <w:r>
        <w:rPr>
          <w:rFonts w:hint="eastAsia"/>
          <w:lang w:eastAsia="zh-CN"/>
        </w:rPr>
        <w:t>区</w:t>
      </w:r>
      <w:r>
        <w:rPr>
          <w:rFonts w:hint="eastAsia"/>
          <w:lang w:val="en-US" w:eastAsia="zh-CN"/>
        </w:rPr>
        <w:t>疾病预防控制中心（上海市金山区</w:t>
      </w:r>
      <w:r>
        <w:rPr>
          <w:rFonts w:hint="eastAsia"/>
          <w:lang w:eastAsia="zh-CN"/>
        </w:rPr>
        <w:t>卫生健康监督所）</w:t>
      </w:r>
    </w:p>
    <w:p>
      <w:pPr>
        <w:pStyle w:val="57"/>
        <w:bidi w:val="0"/>
        <w:rPr>
          <w:rFonts w:hint="eastAsia"/>
          <w:lang w:eastAsia="zh-CN"/>
        </w:rPr>
      </w:pPr>
      <w:r>
        <w:rPr>
          <w:rFonts w:hint="eastAsia"/>
          <w:lang w:eastAsia="zh-CN"/>
        </w:rPr>
        <w:t>本文件主要起草人：王昊晟、陈春晖、陈飚、张霞、胡兴华、隋广德</w:t>
      </w:r>
      <w:bookmarkStart w:id="71" w:name="_GoBack"/>
      <w:bookmarkEnd w:id="71"/>
    </w:p>
    <w:p>
      <w:pPr>
        <w:pStyle w:val="57"/>
        <w:bidi w:val="0"/>
        <w:rPr>
          <w:rFonts w:hint="eastAsia"/>
          <w:lang w:eastAsia="zh-CN"/>
        </w:rPr>
      </w:pPr>
    </w:p>
    <w:p>
      <w:pPr>
        <w:pStyle w:val="57"/>
        <w:bidi w:val="0"/>
        <w:rPr>
          <w:rFonts w:hint="eastAsia"/>
          <w:lang w:eastAsia="zh-CN"/>
        </w:rPr>
      </w:pPr>
    </w:p>
    <w:p>
      <w:pPr>
        <w:pStyle w:val="57"/>
        <w:bidi w:val="0"/>
        <w:rPr>
          <w:rFonts w:hint="eastAsia"/>
          <w:lang w:eastAsia="zh-CN"/>
        </w:rPr>
        <w:sectPr>
          <w:pgSz w:w="11906" w:h="16838"/>
          <w:pgMar w:top="1928" w:right="1134" w:bottom="1134" w:left="1134" w:header="1418" w:footer="1134" w:gutter="284"/>
          <w:pgNumType w:fmt="upperRoman"/>
          <w:cols w:space="425" w:num="1"/>
          <w:formProt w:val="0"/>
          <w:docGrid w:type="lines" w:linePitch="312" w:charSpace="0"/>
        </w:sectPr>
      </w:pPr>
    </w:p>
    <w:bookmarkEnd w:id="23"/>
    <w:p>
      <w:pPr>
        <w:spacing w:line="20" w:lineRule="exact"/>
        <w:jc w:val="center"/>
        <w:rPr>
          <w:rFonts w:hint="eastAsia" w:ascii="黑体" w:hAnsi="黑体" w:eastAsia="黑体"/>
          <w:sz w:val="32"/>
          <w:szCs w:val="32"/>
        </w:rPr>
      </w:pPr>
      <w:bookmarkStart w:id="24" w:name="BookMark4"/>
    </w:p>
    <w:p>
      <w:pPr>
        <w:spacing w:line="20" w:lineRule="exact"/>
        <w:jc w:val="center"/>
        <w:rPr>
          <w:rFonts w:hint="eastAsia" w:ascii="黑体" w:hAnsi="黑体" w:eastAsia="黑体"/>
          <w:sz w:val="32"/>
          <w:szCs w:val="32"/>
        </w:rPr>
      </w:pPr>
    </w:p>
    <w:sdt>
      <w:sdtPr>
        <w:tag w:val="NEW_STAND_NAME"/>
        <w:id w:val="595910757"/>
        <w:lock w:val="sdtLocked"/>
        <w:placeholder>
          <w:docPart w:val="44A38090058141E5BCF867FEE79180DC"/>
        </w:placeholder>
      </w:sdtPr>
      <w:sdtContent>
        <w:p>
          <w:pPr>
            <w:pStyle w:val="178"/>
            <w:bidi w:val="0"/>
            <w:spacing w:before="4" w:beforeLines="1" w:after="687" w:afterLines="220"/>
            <w:rPr>
              <w:rFonts w:hint="eastAsia"/>
            </w:rPr>
          </w:pPr>
          <w:bookmarkStart w:id="25" w:name="NEW_STAND_NAME"/>
          <w:r>
            <w:rPr>
              <w:rFonts w:hint="eastAsia"/>
              <w:lang w:eastAsia="zh-CN"/>
            </w:rPr>
            <w:t>噪声作业职业健康管理规范</w:t>
          </w:r>
        </w:p>
      </w:sdtContent>
    </w:sdt>
    <w:bookmarkEnd w:id="25"/>
    <w:p>
      <w:pPr>
        <w:pStyle w:val="105"/>
        <w:spacing w:before="312" w:after="312"/>
      </w:pPr>
      <w:bookmarkStart w:id="26" w:name="_Toc24884211"/>
      <w:bookmarkStart w:id="27" w:name="_Toc26648465"/>
      <w:bookmarkStart w:id="28" w:name="_Toc97191423"/>
      <w:bookmarkStart w:id="29" w:name="_Toc26718930"/>
      <w:bookmarkStart w:id="30" w:name="_Toc26986530"/>
      <w:bookmarkStart w:id="31" w:name="_Toc17233333"/>
      <w:bookmarkStart w:id="32" w:name="_Toc26986771"/>
      <w:bookmarkStart w:id="33" w:name="_Toc24884218"/>
      <w:bookmarkStart w:id="34" w:name="_Toc20500"/>
      <w:bookmarkStart w:id="35" w:name="_Toc17233325"/>
      <w:r>
        <w:rPr>
          <w:rFonts w:hint="eastAsia"/>
        </w:rPr>
        <w:t>范围</w:t>
      </w:r>
      <w:bookmarkEnd w:id="26"/>
      <w:bookmarkEnd w:id="27"/>
      <w:bookmarkEnd w:id="28"/>
      <w:bookmarkEnd w:id="29"/>
      <w:bookmarkEnd w:id="30"/>
      <w:bookmarkEnd w:id="31"/>
      <w:bookmarkEnd w:id="32"/>
      <w:bookmarkEnd w:id="33"/>
      <w:bookmarkEnd w:id="34"/>
      <w:bookmarkEnd w:id="35"/>
    </w:p>
    <w:p>
      <w:pPr>
        <w:pStyle w:val="57"/>
        <w:ind w:firstLine="420"/>
        <w:rPr>
          <w:rFonts w:hint="eastAsia" w:eastAsia="宋体"/>
          <w:lang w:eastAsia="zh-CN"/>
        </w:rPr>
      </w:pPr>
      <w:bookmarkStart w:id="36" w:name="_Toc24884219"/>
      <w:bookmarkStart w:id="37" w:name="_Toc26648466"/>
      <w:bookmarkStart w:id="38" w:name="_Toc24884212"/>
      <w:bookmarkStart w:id="39" w:name="_Toc17233326"/>
      <w:bookmarkStart w:id="40" w:name="_Toc17233334"/>
      <w:r>
        <w:rPr>
          <w:rFonts w:hint="eastAsia" w:eastAsia="宋体"/>
          <w:lang w:eastAsia="zh-CN"/>
        </w:rPr>
        <w:t>本文件规定了噪声作业总体要求、工作场所管理、个人防护措施、职业健康监护等要求。</w:t>
      </w:r>
    </w:p>
    <w:p>
      <w:pPr>
        <w:pStyle w:val="57"/>
        <w:ind w:firstLine="420"/>
        <w:rPr>
          <w:rFonts w:hint="eastAsia" w:eastAsia="宋体"/>
          <w:lang w:eastAsia="zh-CN"/>
        </w:rPr>
      </w:pPr>
      <w:r>
        <w:rPr>
          <w:rFonts w:hint="eastAsia" w:eastAsia="宋体"/>
          <w:lang w:eastAsia="zh-CN"/>
        </w:rPr>
        <w:t>本文件适用于存在噪声作业的用人单位的职业健康管理，可能存在噪声作业的用人单位参照本文件执行。</w:t>
      </w:r>
    </w:p>
    <w:p>
      <w:pPr>
        <w:pStyle w:val="105"/>
        <w:spacing w:before="312" w:after="312"/>
      </w:pPr>
      <w:bookmarkStart w:id="41" w:name="_Toc97191424"/>
      <w:bookmarkStart w:id="42" w:name="_Toc26986772"/>
      <w:bookmarkStart w:id="43" w:name="_Toc26986531"/>
      <w:bookmarkStart w:id="44" w:name="_Toc2729"/>
      <w:bookmarkStart w:id="45" w:name="_Toc26718931"/>
      <w:r>
        <w:rPr>
          <w:rFonts w:hint="eastAsia"/>
        </w:rPr>
        <w:t>规范性引用文件</w:t>
      </w:r>
      <w:bookmarkEnd w:id="36"/>
      <w:bookmarkEnd w:id="37"/>
      <w:bookmarkEnd w:id="38"/>
      <w:bookmarkEnd w:id="39"/>
      <w:bookmarkEnd w:id="40"/>
      <w:bookmarkEnd w:id="41"/>
      <w:bookmarkEnd w:id="42"/>
      <w:bookmarkEnd w:id="43"/>
      <w:bookmarkEnd w:id="44"/>
      <w:bookmarkEnd w:id="45"/>
    </w:p>
    <w:sdt>
      <w:sdtPr>
        <w:rPr>
          <w:rFonts w:hint="eastAsia"/>
        </w:rPr>
        <w:id w:val="715848253"/>
        <w:placeholder>
          <w:docPart w:val="83ACEA082902419DAEC754314F0D2502"/>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pPr>
            <w:pStyle w:val="57"/>
            <w:ind w:firstLine="420"/>
          </w:pPr>
          <w:r>
            <w:rPr>
              <w:rFonts w:hint="eastAsia" w:ascii="Times New Roman" w:hAnsi="Times New Roman" w:eastAsia="宋体" w:cs="Times New Roman"/>
              <w:sz w:val="21"/>
              <w:lang w:val="en-US" w:eastAsia="zh-CN" w:bidi="ar-S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pPr>
        <w:pStyle w:val="57"/>
        <w:bidi w:val="0"/>
        <w:rPr>
          <w:rFonts w:hint="eastAsia"/>
          <w:lang w:eastAsia="zh-CN"/>
        </w:rPr>
      </w:pPr>
      <w:r>
        <w:rPr>
          <w:rFonts w:hint="eastAsia"/>
          <w:lang w:eastAsia="zh-CN"/>
        </w:rPr>
        <w:t>GB/T 23466  护听器的选择指南</w:t>
      </w:r>
    </w:p>
    <w:p>
      <w:pPr>
        <w:pStyle w:val="57"/>
        <w:bidi w:val="0"/>
        <w:rPr>
          <w:rFonts w:hint="eastAsia"/>
          <w:lang w:eastAsia="zh-CN"/>
        </w:rPr>
      </w:pPr>
      <w:r>
        <w:rPr>
          <w:rFonts w:hint="eastAsia"/>
          <w:lang w:eastAsia="zh-CN"/>
        </w:rPr>
        <w:t>GB 39800.1  个体防护装备配备规范 第1部分：总则</w:t>
      </w:r>
    </w:p>
    <w:p>
      <w:pPr>
        <w:pStyle w:val="57"/>
        <w:bidi w:val="0"/>
        <w:rPr>
          <w:rFonts w:hint="eastAsia"/>
          <w:lang w:eastAsia="zh-CN"/>
        </w:rPr>
      </w:pPr>
      <w:r>
        <w:rPr>
          <w:rFonts w:hint="eastAsia"/>
          <w:lang w:eastAsia="zh-CN"/>
        </w:rPr>
        <w:t>GB/T 50087  工业企业噪声控制设计规范</w:t>
      </w:r>
    </w:p>
    <w:p>
      <w:pPr>
        <w:pStyle w:val="57"/>
        <w:bidi w:val="0"/>
        <w:rPr>
          <w:rFonts w:hint="eastAsia"/>
          <w:lang w:eastAsia="zh-CN"/>
        </w:rPr>
      </w:pPr>
      <w:r>
        <w:rPr>
          <w:rFonts w:hint="eastAsia"/>
          <w:lang w:eastAsia="zh-CN"/>
        </w:rPr>
        <w:t>GBZ 1  工业企业设计卫生标准</w:t>
      </w:r>
    </w:p>
    <w:p>
      <w:pPr>
        <w:pStyle w:val="57"/>
        <w:bidi w:val="0"/>
        <w:rPr>
          <w:rFonts w:hint="eastAsia"/>
          <w:lang w:eastAsia="zh-CN"/>
        </w:rPr>
      </w:pPr>
      <w:r>
        <w:rPr>
          <w:rFonts w:hint="eastAsia"/>
          <w:lang w:eastAsia="zh-CN"/>
        </w:rPr>
        <w:t>GBZ 2.2  工作场所有害因素职业接触限值第2部分：物理因素</w:t>
      </w:r>
    </w:p>
    <w:p>
      <w:pPr>
        <w:pStyle w:val="57"/>
        <w:bidi w:val="0"/>
        <w:rPr>
          <w:rFonts w:hint="eastAsia"/>
          <w:lang w:eastAsia="zh-CN"/>
        </w:rPr>
      </w:pPr>
      <w:r>
        <w:rPr>
          <w:rFonts w:hint="eastAsia"/>
          <w:lang w:eastAsia="zh-CN"/>
        </w:rPr>
        <w:t>GBZ 158  工作场所职业病危害警示标识</w:t>
      </w:r>
    </w:p>
    <w:p>
      <w:pPr>
        <w:pStyle w:val="57"/>
        <w:bidi w:val="0"/>
        <w:rPr>
          <w:rFonts w:hint="eastAsia"/>
          <w:lang w:eastAsia="zh-CN"/>
        </w:rPr>
      </w:pPr>
      <w:r>
        <w:rPr>
          <w:rFonts w:hint="eastAsia"/>
          <w:lang w:eastAsia="zh-CN"/>
        </w:rPr>
        <w:t>GBZ 188  职业健康监护技术规范</w:t>
      </w:r>
    </w:p>
    <w:p>
      <w:pPr>
        <w:pStyle w:val="105"/>
        <w:spacing w:before="312" w:after="312"/>
      </w:pPr>
      <w:bookmarkStart w:id="46" w:name="_Toc17726"/>
      <w:bookmarkStart w:id="47" w:name="_Toc97191425"/>
      <w:r>
        <w:rPr>
          <w:rFonts w:hint="eastAsia"/>
          <w:szCs w:val="21"/>
        </w:rPr>
        <w:t>术语和定义</w:t>
      </w:r>
      <w:bookmarkEnd w:id="46"/>
      <w:bookmarkEnd w:id="47"/>
    </w:p>
    <w:sdt>
      <w:sdtPr>
        <w:id w:val="-1909835108"/>
        <w:placeholder>
          <w:docPart w:val="1300A4C75D794D6291D16A5282D6F457"/>
        </w:placeholder>
        <w:comboBox>
          <w:listItem w:displayText="点击并选择适当的引导语" w:value="点击并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pPr>
            <w:pStyle w:val="57"/>
            <w:ind w:firstLine="420"/>
          </w:pPr>
          <w:bookmarkStart w:id="48" w:name="_Toc26986532"/>
          <w:bookmarkEnd w:id="48"/>
          <w:r>
            <w:rPr>
              <w:rFonts w:ascii="Times New Roman" w:hAnsi="Times New Roman" w:eastAsia="宋体" w:cs="Times New Roman"/>
              <w:sz w:val="21"/>
              <w:lang w:val="en-US" w:eastAsia="zh-CN" w:bidi="ar-SA"/>
            </w:rPr>
            <w:t>下列术语和定义适用于本文件。</w:t>
          </w:r>
        </w:p>
      </w:sdtContent>
    </w:sdt>
    <w:p>
      <w:pPr>
        <w:pStyle w:val="224"/>
        <w:bidi w:val="0"/>
        <w:spacing w:after="0" w:afterLines="0"/>
        <w:ind w:left="420" w:hanging="420" w:hangingChars="200"/>
        <w:rPr>
          <w:rFonts w:hint="eastAsia" w:ascii="黑体" w:hAnsi="黑体" w:eastAsia="黑体" w:cs="黑体"/>
          <w:lang w:eastAsia="zh-CN"/>
        </w:rPr>
      </w:pPr>
      <w:r>
        <w:rPr>
          <w:rFonts w:hint="eastAsia" w:ascii="黑体" w:hAnsi="黑体" w:eastAsia="黑体" w:cs="黑体"/>
          <w:lang w:eastAsia="zh-CN"/>
        </w:rPr>
        <w:br w:type="textWrapping"/>
      </w:r>
      <w:r>
        <w:rPr>
          <w:rFonts w:hint="eastAsia" w:ascii="黑体" w:hAnsi="黑体" w:eastAsia="黑体" w:cs="黑体"/>
          <w:lang w:eastAsia="zh-CN"/>
        </w:rPr>
        <w:t xml:space="preserve">生产性噪声 industrial noise  </w:t>
      </w:r>
    </w:p>
    <w:p>
      <w:pPr>
        <w:pStyle w:val="224"/>
        <w:numPr>
          <w:ilvl w:val="2"/>
          <w:numId w:val="0"/>
        </w:numPr>
        <w:bidi w:val="0"/>
        <w:spacing w:after="0" w:afterLines="0"/>
        <w:ind w:firstLine="420" w:firstLineChars="0"/>
        <w:rPr>
          <w:rFonts w:hint="eastAsia" w:ascii="宋体" w:hAnsi="宋体" w:eastAsia="宋体" w:cs="宋体"/>
          <w:lang w:eastAsia="zh-CN"/>
        </w:rPr>
      </w:pPr>
      <w:r>
        <w:rPr>
          <w:rFonts w:hint="eastAsia" w:ascii="宋体" w:hAnsi="宋体" w:eastAsia="宋体" w:cs="宋体"/>
          <w:lang w:eastAsia="zh-CN"/>
        </w:rPr>
        <w:t>在生产过程中产生的噪声。</w:t>
      </w:r>
    </w:p>
    <w:p>
      <w:pPr>
        <w:pStyle w:val="224"/>
        <w:numPr>
          <w:ilvl w:val="2"/>
          <w:numId w:val="0"/>
        </w:numPr>
        <w:bidi w:val="0"/>
        <w:spacing w:after="0" w:afterLines="0"/>
        <w:ind w:firstLine="420" w:firstLineChars="0"/>
        <w:rPr>
          <w:rFonts w:hint="eastAsia" w:ascii="宋体" w:hAnsi="宋体" w:eastAsia="宋体" w:cs="宋体"/>
          <w:lang w:eastAsia="zh-CN"/>
        </w:rPr>
      </w:pPr>
      <w:r>
        <w:rPr>
          <w:rFonts w:hint="eastAsia" w:ascii="Times New Roman" w:hAnsi="Times New Roman" w:eastAsia="宋体" w:cs="Times New Roman"/>
          <w:sz w:val="21"/>
          <w:lang w:val="en-US" w:eastAsia="zh-CN" w:bidi="ar-SA"/>
        </w:rPr>
        <w:t>[来源：</w:t>
      </w:r>
      <w:r>
        <w:rPr>
          <w:rFonts w:hint="eastAsia" w:ascii="宋体" w:hAnsi="宋体" w:eastAsia="宋体" w:cs="宋体"/>
          <w:lang w:eastAsia="zh-CN"/>
        </w:rPr>
        <w:t>GBZ/T 224-2010，3.5.1，有修改</w:t>
      </w:r>
      <w:r>
        <w:rPr>
          <w:rFonts w:hint="eastAsia" w:ascii="Times New Roman" w:hAnsi="Times New Roman" w:eastAsia="宋体" w:cs="Times New Roman"/>
          <w:sz w:val="21"/>
          <w:lang w:val="en-US" w:eastAsia="zh-CN" w:bidi="ar-SA"/>
        </w:rPr>
        <w:t>]</w:t>
      </w:r>
    </w:p>
    <w:p>
      <w:pPr>
        <w:pStyle w:val="224"/>
        <w:bidi w:val="0"/>
        <w:spacing w:after="0" w:afterLines="0"/>
        <w:ind w:left="420" w:hanging="420" w:hangingChars="200"/>
        <w:rPr>
          <w:rFonts w:hint="eastAsia" w:ascii="黑体" w:hAnsi="黑体" w:eastAsia="黑体" w:cs="黑体"/>
          <w:lang w:eastAsia="zh-CN"/>
        </w:rPr>
      </w:pPr>
      <w:r>
        <w:rPr>
          <w:rFonts w:hint="eastAsia" w:ascii="黑体" w:hAnsi="黑体" w:eastAsia="黑体" w:cs="黑体"/>
          <w:lang w:eastAsia="zh-CN"/>
        </w:rPr>
        <w:br w:type="textWrapping"/>
      </w:r>
      <w:r>
        <w:rPr>
          <w:rFonts w:hint="eastAsia" w:ascii="黑体" w:hAnsi="黑体" w:eastAsia="黑体" w:cs="黑体"/>
          <w:lang w:eastAsia="zh-CN"/>
        </w:rPr>
        <w:t xml:space="preserve">噪声作业 work(job) exposed to noise </w:t>
      </w:r>
    </w:p>
    <w:p>
      <w:pPr>
        <w:pStyle w:val="224"/>
        <w:numPr>
          <w:ilvl w:val="2"/>
          <w:numId w:val="0"/>
        </w:numPr>
        <w:bidi w:val="0"/>
        <w:spacing w:after="0" w:afterLines="0"/>
        <w:ind w:firstLine="420" w:firstLineChars="0"/>
        <w:rPr>
          <w:rFonts w:hint="eastAsia" w:ascii="宋体" w:hAnsi="宋体" w:eastAsia="宋体" w:cs="宋体"/>
          <w:lang w:eastAsia="zh-CN"/>
        </w:rPr>
      </w:pPr>
      <w:r>
        <w:rPr>
          <w:rFonts w:hint="eastAsia" w:ascii="宋体" w:hAnsi="宋体" w:eastAsia="宋体" w:cs="宋体"/>
          <w:lang w:eastAsia="zh-CN"/>
        </w:rPr>
        <w:t>存在有损听力、有害健康或有其他危害的声音，且8h/天或40h/周噪声暴露A计权等效声级≥80dB的作业，但不包括存在爆破作业近距离暴露或因意外和事故导致的工作场所易燃易爆化学品、压力容器等发生爆炸时产生冲击波或存在脉冲噪声的情形。</w:t>
      </w:r>
    </w:p>
    <w:p>
      <w:pPr>
        <w:pStyle w:val="224"/>
        <w:numPr>
          <w:ilvl w:val="2"/>
          <w:numId w:val="0"/>
        </w:numPr>
        <w:bidi w:val="0"/>
        <w:spacing w:after="0" w:afterLines="0"/>
        <w:ind w:firstLine="420" w:firstLineChars="0"/>
        <w:rPr>
          <w:rFonts w:hint="eastAsia" w:ascii="宋体" w:hAnsi="宋体" w:eastAsia="宋体" w:cs="宋体"/>
          <w:lang w:eastAsia="zh-CN"/>
        </w:rPr>
      </w:pPr>
      <w:r>
        <w:rPr>
          <w:rFonts w:hint="eastAsia" w:ascii="Times New Roman" w:hAnsi="Times New Roman" w:eastAsia="宋体" w:cs="Times New Roman"/>
          <w:sz w:val="21"/>
          <w:lang w:val="en-US" w:eastAsia="zh-CN" w:bidi="ar-SA"/>
        </w:rPr>
        <w:t>[来源：</w:t>
      </w:r>
      <w:r>
        <w:rPr>
          <w:rFonts w:hint="eastAsia" w:ascii="宋体" w:hAnsi="宋体" w:eastAsia="宋体" w:cs="宋体"/>
          <w:lang w:eastAsia="zh-CN"/>
        </w:rPr>
        <w:t>GBZ/T 229.4-2012，3.5，有修改</w:t>
      </w:r>
      <w:r>
        <w:rPr>
          <w:rFonts w:hint="eastAsia" w:ascii="Times New Roman" w:hAnsi="Times New Roman" w:eastAsia="宋体" w:cs="Times New Roman"/>
          <w:sz w:val="21"/>
          <w:lang w:val="en-US" w:eastAsia="zh-CN" w:bidi="ar-SA"/>
        </w:rPr>
        <w:t>]</w:t>
      </w:r>
    </w:p>
    <w:p>
      <w:pPr>
        <w:pStyle w:val="224"/>
        <w:bidi w:val="0"/>
        <w:spacing w:after="0" w:afterLines="0"/>
        <w:ind w:left="420" w:hanging="420" w:hangingChars="200"/>
        <w:rPr>
          <w:rFonts w:hint="eastAsia" w:ascii="黑体" w:hAnsi="黑体" w:eastAsia="黑体" w:cs="黑体"/>
          <w:lang w:eastAsia="zh-CN"/>
        </w:rPr>
      </w:pPr>
    </w:p>
    <w:p>
      <w:pPr>
        <w:pStyle w:val="224"/>
        <w:numPr>
          <w:ilvl w:val="2"/>
          <w:numId w:val="0"/>
        </w:numPr>
        <w:bidi w:val="0"/>
        <w:spacing w:after="0" w:afterLines="0"/>
        <w:ind w:left="-420" w:leftChars="-200" w:firstLine="840" w:firstLineChars="0"/>
        <w:rPr>
          <w:rFonts w:hint="eastAsia" w:ascii="黑体" w:hAnsi="黑体" w:eastAsia="黑体" w:cs="黑体"/>
          <w:lang w:eastAsia="zh-CN"/>
        </w:rPr>
      </w:pPr>
      <w:r>
        <w:rPr>
          <w:rFonts w:hint="eastAsia" w:ascii="黑体" w:hAnsi="黑体" w:eastAsia="黑体" w:cs="黑体"/>
          <w:lang w:eastAsia="zh-CN"/>
        </w:rPr>
        <w:t xml:space="preserve">按额定8h工作日规格化的等效连续A声级 normalization of equivalent continuous A-weighted </w:t>
      </w:r>
      <w:r>
        <w:rPr>
          <w:rFonts w:hint="eastAsia" w:ascii="黑体" w:hAnsi="黑体" w:eastAsia="黑体" w:cs="黑体"/>
          <w:lang w:val="en-US" w:eastAsia="zh-CN"/>
        </w:rPr>
        <w:tab/>
      </w:r>
      <w:r>
        <w:rPr>
          <w:rFonts w:hint="eastAsia" w:ascii="黑体" w:hAnsi="黑体" w:eastAsia="黑体" w:cs="黑体"/>
          <w:lang w:val="en-US" w:eastAsia="zh-CN"/>
        </w:rPr>
        <w:tab/>
      </w:r>
      <w:r>
        <w:rPr>
          <w:rFonts w:hint="eastAsia" w:ascii="黑体" w:hAnsi="黑体" w:eastAsia="黑体" w:cs="黑体"/>
          <w:lang w:eastAsia="zh-CN"/>
        </w:rPr>
        <w:t xml:space="preserve">sound pressure level to a normal 8h working day,LEX,8h  </w:t>
      </w:r>
    </w:p>
    <w:p>
      <w:pPr>
        <w:pStyle w:val="224"/>
        <w:numPr>
          <w:ilvl w:val="2"/>
          <w:numId w:val="0"/>
        </w:numPr>
        <w:bidi w:val="0"/>
        <w:spacing w:after="0" w:afterLines="0"/>
        <w:ind w:firstLine="420" w:firstLineChars="0"/>
        <w:rPr>
          <w:rFonts w:hint="eastAsia" w:ascii="宋体" w:hAnsi="宋体" w:eastAsia="宋体" w:cs="宋体"/>
          <w:lang w:eastAsia="zh-CN"/>
        </w:rPr>
      </w:pPr>
      <w:r>
        <w:rPr>
          <w:rFonts w:hint="eastAsia" w:ascii="宋体" w:hAnsi="宋体" w:eastAsia="宋体" w:cs="宋体"/>
          <w:lang w:eastAsia="zh-CN"/>
        </w:rPr>
        <w:t>8h等效声级</w:t>
      </w:r>
    </w:p>
    <w:p>
      <w:pPr>
        <w:pStyle w:val="224"/>
        <w:numPr>
          <w:ilvl w:val="2"/>
          <w:numId w:val="0"/>
        </w:numPr>
        <w:bidi w:val="0"/>
        <w:spacing w:after="0" w:afterLines="0"/>
        <w:ind w:firstLine="420" w:firstLineChars="0"/>
        <w:rPr>
          <w:rFonts w:hint="eastAsia" w:ascii="宋体" w:hAnsi="宋体" w:eastAsia="宋体" w:cs="宋体"/>
          <w:lang w:eastAsia="zh-CN"/>
        </w:rPr>
      </w:pPr>
      <w:r>
        <w:rPr>
          <w:rFonts w:hint="eastAsia" w:ascii="宋体" w:hAnsi="宋体" w:eastAsia="宋体" w:cs="宋体"/>
          <w:lang w:eastAsia="zh-CN"/>
        </w:rPr>
        <w:t>将一天实际工作时间内接触的噪声强度等效为8h的等效声级。</w:t>
      </w:r>
    </w:p>
    <w:p>
      <w:pPr>
        <w:pStyle w:val="224"/>
        <w:numPr>
          <w:ilvl w:val="2"/>
          <w:numId w:val="0"/>
        </w:numPr>
        <w:bidi w:val="0"/>
        <w:spacing w:after="0" w:afterLines="0"/>
        <w:ind w:firstLine="420" w:firstLineChars="0"/>
        <w:rPr>
          <w:rFonts w:hint="eastAsia" w:ascii="宋体" w:hAnsi="宋体" w:eastAsia="宋体" w:cs="宋体"/>
          <w:lang w:eastAsia="zh-CN"/>
        </w:rPr>
      </w:pPr>
      <w:r>
        <w:rPr>
          <w:rFonts w:hint="eastAsia" w:ascii="Times New Roman" w:hAnsi="Times New Roman" w:eastAsia="宋体" w:cs="Times New Roman"/>
          <w:sz w:val="21"/>
          <w:lang w:val="en-US" w:eastAsia="zh-CN" w:bidi="ar-SA"/>
        </w:rPr>
        <w:t>[来源：</w:t>
      </w:r>
      <w:r>
        <w:rPr>
          <w:rFonts w:hint="eastAsia" w:ascii="宋体" w:hAnsi="宋体" w:eastAsia="宋体" w:cs="宋体"/>
          <w:lang w:eastAsia="zh-CN"/>
        </w:rPr>
        <w:t>GBZ/T 229.4-2012，3.8</w:t>
      </w:r>
      <w:r>
        <w:rPr>
          <w:rFonts w:hint="eastAsia" w:ascii="Times New Roman" w:hAnsi="Times New Roman" w:eastAsia="宋体" w:cs="Times New Roman"/>
          <w:sz w:val="21"/>
          <w:lang w:val="en-US" w:eastAsia="zh-CN" w:bidi="ar-SA"/>
        </w:rPr>
        <w:t>]</w:t>
      </w:r>
    </w:p>
    <w:p>
      <w:pPr>
        <w:pStyle w:val="224"/>
        <w:bidi w:val="0"/>
        <w:spacing w:after="0" w:afterLines="0"/>
        <w:ind w:left="420" w:hanging="420" w:hangingChars="200"/>
        <w:rPr>
          <w:rFonts w:hint="eastAsia" w:ascii="黑体" w:hAnsi="黑体" w:eastAsia="黑体" w:cs="黑体"/>
          <w:lang w:eastAsia="zh-CN"/>
        </w:rPr>
      </w:pPr>
      <w:r>
        <w:rPr>
          <w:rFonts w:hint="eastAsia" w:ascii="黑体" w:hAnsi="黑体" w:eastAsia="黑体" w:cs="黑体"/>
          <w:lang w:eastAsia="zh-CN"/>
        </w:rPr>
        <w:br w:type="textWrapping"/>
      </w:r>
      <w:r>
        <w:rPr>
          <w:rFonts w:hint="eastAsia" w:ascii="黑体" w:hAnsi="黑体" w:eastAsia="黑体" w:cs="黑体"/>
          <w:lang w:eastAsia="zh-CN"/>
        </w:rPr>
        <w:t xml:space="preserve">按额定周工作40h规格化的等效连续A声级 normalization of equivalent continuous A-weighted sound pressure level to a normal 40h working week,LEX,W  </w:t>
      </w:r>
    </w:p>
    <w:p>
      <w:pPr>
        <w:pStyle w:val="224"/>
        <w:numPr>
          <w:ilvl w:val="2"/>
          <w:numId w:val="0"/>
        </w:numPr>
        <w:bidi w:val="0"/>
        <w:spacing w:after="0" w:afterLines="0"/>
        <w:ind w:firstLine="420" w:firstLineChars="0"/>
        <w:rPr>
          <w:rFonts w:hint="eastAsia" w:ascii="宋体" w:hAnsi="宋体" w:eastAsia="宋体" w:cs="宋体"/>
          <w:lang w:eastAsia="zh-CN"/>
        </w:rPr>
      </w:pPr>
      <w:r>
        <w:rPr>
          <w:rFonts w:hint="eastAsia" w:ascii="宋体" w:hAnsi="宋体" w:eastAsia="宋体" w:cs="宋体"/>
          <w:lang w:eastAsia="zh-CN"/>
        </w:rPr>
        <w:t xml:space="preserve">40h等效声级 </w:t>
      </w:r>
    </w:p>
    <w:p>
      <w:pPr>
        <w:pStyle w:val="224"/>
        <w:numPr>
          <w:ilvl w:val="2"/>
          <w:numId w:val="0"/>
        </w:numPr>
        <w:bidi w:val="0"/>
        <w:spacing w:after="0" w:afterLines="0"/>
        <w:ind w:firstLine="420" w:firstLineChars="0"/>
        <w:rPr>
          <w:rFonts w:hint="eastAsia" w:ascii="宋体" w:hAnsi="宋体" w:eastAsia="宋体" w:cs="宋体"/>
          <w:lang w:eastAsia="zh-CN"/>
        </w:rPr>
      </w:pPr>
      <w:r>
        <w:rPr>
          <w:rFonts w:hint="eastAsia" w:ascii="宋体" w:hAnsi="宋体" w:eastAsia="宋体" w:cs="宋体"/>
          <w:lang w:eastAsia="zh-CN"/>
        </w:rPr>
        <w:t>非每周5d工作制的特殊工作所接触的噪声声级等效为每周工作40h的等效声级。</w:t>
      </w:r>
    </w:p>
    <w:p>
      <w:pPr>
        <w:pStyle w:val="224"/>
        <w:numPr>
          <w:ilvl w:val="2"/>
          <w:numId w:val="0"/>
        </w:numPr>
        <w:bidi w:val="0"/>
        <w:spacing w:after="0" w:afterLines="0"/>
        <w:ind w:firstLine="420" w:firstLineChars="0"/>
        <w:rPr>
          <w:rFonts w:hint="eastAsia" w:ascii="宋体" w:hAnsi="宋体" w:eastAsia="宋体" w:cs="宋体"/>
          <w:lang w:eastAsia="zh-CN"/>
        </w:rPr>
      </w:pPr>
      <w:r>
        <w:rPr>
          <w:rFonts w:hint="eastAsia" w:ascii="Times New Roman" w:hAnsi="Times New Roman" w:eastAsia="宋体" w:cs="Times New Roman"/>
          <w:sz w:val="21"/>
          <w:lang w:val="en-US" w:eastAsia="zh-CN" w:bidi="ar-SA"/>
        </w:rPr>
        <w:t>[来源：</w:t>
      </w:r>
      <w:r>
        <w:rPr>
          <w:rFonts w:hint="eastAsia" w:ascii="宋体" w:hAnsi="宋体" w:eastAsia="宋体" w:cs="宋体"/>
          <w:lang w:eastAsia="zh-CN"/>
        </w:rPr>
        <w:t>GBZ/T 229.4-2012，3.9</w:t>
      </w:r>
      <w:r>
        <w:rPr>
          <w:rFonts w:hint="eastAsia" w:ascii="Times New Roman" w:hAnsi="Times New Roman" w:eastAsia="宋体" w:cs="Times New Roman"/>
          <w:sz w:val="21"/>
          <w:lang w:val="en-US" w:eastAsia="zh-CN" w:bidi="ar-SA"/>
        </w:rPr>
        <w:t>]</w:t>
      </w:r>
    </w:p>
    <w:p>
      <w:pPr>
        <w:pStyle w:val="224"/>
        <w:bidi w:val="0"/>
        <w:spacing w:after="0" w:afterLines="0"/>
        <w:ind w:left="420" w:hanging="420" w:hangingChars="200"/>
        <w:rPr>
          <w:rFonts w:hint="eastAsia" w:ascii="黑体" w:hAnsi="黑体" w:eastAsia="黑体" w:cs="黑体"/>
          <w:lang w:eastAsia="zh-CN"/>
        </w:rPr>
      </w:pPr>
      <w:r>
        <w:rPr>
          <w:rFonts w:hint="eastAsia" w:ascii="黑体" w:hAnsi="黑体" w:eastAsia="黑体" w:cs="黑体"/>
          <w:lang w:eastAsia="zh-CN"/>
        </w:rPr>
        <w:br w:type="textWrapping"/>
      </w:r>
      <w:r>
        <w:rPr>
          <w:rFonts w:hint="eastAsia" w:ascii="黑体" w:hAnsi="黑体" w:eastAsia="黑体" w:cs="黑体"/>
          <w:lang w:eastAsia="zh-CN"/>
        </w:rPr>
        <w:t xml:space="preserve">护听器 hearing protector </w:t>
      </w:r>
    </w:p>
    <w:p>
      <w:pPr>
        <w:pStyle w:val="224"/>
        <w:numPr>
          <w:ilvl w:val="2"/>
          <w:numId w:val="0"/>
        </w:numPr>
        <w:bidi w:val="0"/>
        <w:spacing w:after="0" w:afterLines="0"/>
        <w:ind w:firstLine="420" w:firstLineChars="0"/>
        <w:rPr>
          <w:rFonts w:hint="eastAsia" w:ascii="宋体" w:hAnsi="宋体" w:eastAsia="宋体" w:cs="宋体"/>
          <w:lang w:eastAsia="zh-CN"/>
        </w:rPr>
      </w:pPr>
      <w:r>
        <w:rPr>
          <w:rFonts w:hint="eastAsia" w:ascii="宋体" w:hAnsi="宋体" w:eastAsia="宋体" w:cs="宋体"/>
          <w:lang w:eastAsia="zh-CN"/>
        </w:rPr>
        <w:t>保护听觉，使人免受噪声过度刺激的防护用品。</w:t>
      </w:r>
    </w:p>
    <w:p>
      <w:pPr>
        <w:pStyle w:val="224"/>
        <w:numPr>
          <w:ilvl w:val="2"/>
          <w:numId w:val="0"/>
        </w:numPr>
        <w:bidi w:val="0"/>
        <w:spacing w:after="0" w:afterLines="0"/>
        <w:ind w:firstLine="420" w:firstLineChars="0"/>
        <w:rPr>
          <w:rFonts w:hint="eastAsia" w:ascii="宋体" w:hAnsi="宋体" w:eastAsia="宋体" w:cs="宋体"/>
          <w:lang w:eastAsia="zh-CN"/>
        </w:rPr>
      </w:pPr>
      <w:r>
        <w:rPr>
          <w:rFonts w:hint="eastAsia" w:ascii="Times New Roman" w:hAnsi="Times New Roman" w:eastAsia="宋体" w:cs="Times New Roman"/>
          <w:sz w:val="21"/>
          <w:lang w:val="en-US" w:eastAsia="zh-CN" w:bidi="ar-SA"/>
        </w:rPr>
        <w:t>[来源：</w:t>
      </w:r>
      <w:r>
        <w:rPr>
          <w:rFonts w:hint="eastAsia" w:ascii="宋体" w:hAnsi="宋体" w:eastAsia="宋体" w:cs="宋体"/>
          <w:lang w:eastAsia="zh-CN"/>
        </w:rPr>
        <w:t>GB/T 23466-2009，3.1</w:t>
      </w:r>
      <w:r>
        <w:rPr>
          <w:rFonts w:hint="eastAsia" w:ascii="Times New Roman" w:hAnsi="Times New Roman" w:eastAsia="宋体" w:cs="Times New Roman"/>
          <w:sz w:val="21"/>
          <w:lang w:val="en-US" w:eastAsia="zh-CN" w:bidi="ar-SA"/>
        </w:rPr>
        <w:t>]</w:t>
      </w:r>
    </w:p>
    <w:p>
      <w:pPr>
        <w:pStyle w:val="105"/>
        <w:bidi w:val="0"/>
        <w:rPr>
          <w:rFonts w:hint="eastAsia"/>
          <w:lang w:eastAsia="zh-CN"/>
        </w:rPr>
      </w:pPr>
      <w:bookmarkStart w:id="49" w:name="_Toc25906"/>
      <w:r>
        <w:rPr>
          <w:rFonts w:hint="eastAsia"/>
          <w:lang w:val="en-US" w:eastAsia="zh-CN"/>
        </w:rPr>
        <w:t>总体要求</w:t>
      </w:r>
      <w:bookmarkEnd w:id="49"/>
    </w:p>
    <w:p>
      <w:pPr>
        <w:pStyle w:val="163"/>
        <w:bidi w:val="0"/>
        <w:rPr>
          <w:rFonts w:hint="eastAsia"/>
          <w:lang w:eastAsia="zh-CN"/>
        </w:rPr>
      </w:pPr>
      <w:r>
        <w:rPr>
          <w:rFonts w:hint="eastAsia"/>
          <w:lang w:eastAsia="zh-CN"/>
        </w:rPr>
        <w:t>用人单位应加强噪声作业职业病防治管理，其主要负责人应对本单位的职业病防治工作全面负责，设置或者指定职业健康管理机构或者组织并配备职业健康管理人员。</w:t>
      </w:r>
    </w:p>
    <w:p>
      <w:pPr>
        <w:pStyle w:val="163"/>
        <w:bidi w:val="0"/>
        <w:rPr>
          <w:rFonts w:hint="eastAsia"/>
          <w:lang w:eastAsia="zh-CN"/>
        </w:rPr>
      </w:pPr>
      <w:r>
        <w:rPr>
          <w:rFonts w:hint="eastAsia"/>
          <w:lang w:eastAsia="zh-CN"/>
        </w:rPr>
        <w:t>用人单位应按照相关法律法规要求委托有资质的职业卫生技术服务机构定期开展职业病危害因素检测，确定工作场所生产性噪声（以下简称“噪声”）强度。</w:t>
      </w:r>
    </w:p>
    <w:p>
      <w:pPr>
        <w:pStyle w:val="163"/>
        <w:bidi w:val="0"/>
        <w:rPr>
          <w:rFonts w:hint="eastAsia"/>
          <w:lang w:eastAsia="zh-CN"/>
        </w:rPr>
      </w:pPr>
      <w:r>
        <w:rPr>
          <w:rFonts w:hint="eastAsia"/>
          <w:lang w:eastAsia="zh-CN"/>
        </w:rPr>
        <w:t>用人单位应</w:t>
      </w:r>
      <w:r>
        <w:rPr>
          <w:rFonts w:hint="eastAsia"/>
          <w:lang w:val="en-US" w:eastAsia="zh-CN"/>
        </w:rPr>
        <w:t>根据附录A的规定建立噪声作业职业健康管理制度和操作规程，</w:t>
      </w:r>
      <w:r>
        <w:rPr>
          <w:rFonts w:hint="eastAsia"/>
          <w:lang w:eastAsia="zh-CN"/>
        </w:rPr>
        <w:t>在醒目位置设置公告栏，公布有关噪声作业职业病防治的规章制度、操作规程和工作场所噪声强度检测结果。</w:t>
      </w:r>
    </w:p>
    <w:p>
      <w:pPr>
        <w:pStyle w:val="163"/>
        <w:bidi w:val="0"/>
        <w:rPr>
          <w:rFonts w:hint="eastAsia"/>
          <w:lang w:eastAsia="zh-CN"/>
        </w:rPr>
      </w:pPr>
      <w:r>
        <w:rPr>
          <w:rFonts w:hint="eastAsia"/>
          <w:lang w:eastAsia="zh-CN"/>
        </w:rPr>
        <w:t>用人单位应坚持预防为主、防治结合、源头控制、过程可控、综合治理的原则，提高噪声作业的机械化、自动化水平，对于老化磨损的生产设备及时维修、更换。</w:t>
      </w:r>
    </w:p>
    <w:p>
      <w:pPr>
        <w:pStyle w:val="163"/>
        <w:bidi w:val="0"/>
        <w:rPr>
          <w:rFonts w:hint="eastAsia"/>
          <w:lang w:eastAsia="zh-CN"/>
        </w:rPr>
      </w:pPr>
      <w:r>
        <w:rPr>
          <w:rFonts w:hint="eastAsia"/>
          <w:lang w:eastAsia="zh-CN"/>
        </w:rPr>
        <w:t>用人单位</w:t>
      </w:r>
      <w:r>
        <w:rPr>
          <w:rFonts w:hint="eastAsia"/>
          <w:lang w:val="en-US" w:eastAsia="zh-CN"/>
        </w:rPr>
        <w:t>噪声控制应按照GB/T 50087的规定设计，</w:t>
      </w:r>
      <w:r>
        <w:rPr>
          <w:rFonts w:hint="eastAsia"/>
          <w:lang w:eastAsia="zh-CN"/>
        </w:rPr>
        <w:t>非噪声工作地点噪声声级</w:t>
      </w:r>
      <w:r>
        <w:rPr>
          <w:rFonts w:hint="eastAsia"/>
          <w:lang w:val="en-US" w:eastAsia="zh-CN"/>
        </w:rPr>
        <w:t>的</w:t>
      </w:r>
      <w:r>
        <w:rPr>
          <w:rFonts w:hint="eastAsia"/>
          <w:lang w:eastAsia="zh-CN"/>
        </w:rPr>
        <w:t>设计要求应符合GBZ 1的规定。</w:t>
      </w:r>
    </w:p>
    <w:p>
      <w:pPr>
        <w:pStyle w:val="163"/>
        <w:bidi w:val="0"/>
        <w:rPr>
          <w:rFonts w:hint="eastAsia"/>
          <w:lang w:eastAsia="zh-CN"/>
        </w:rPr>
      </w:pPr>
      <w:r>
        <w:rPr>
          <w:rFonts w:hint="eastAsia"/>
          <w:lang w:val="en-US" w:eastAsia="zh-CN"/>
        </w:rPr>
        <w:t>用人单位工作场所生产环境中噪声接触强度应符合GBZ 2.2的要求。</w:t>
      </w:r>
    </w:p>
    <w:p>
      <w:pPr>
        <w:pStyle w:val="163"/>
        <w:bidi w:val="0"/>
        <w:rPr>
          <w:rFonts w:hint="eastAsia"/>
          <w:lang w:eastAsia="zh-CN"/>
        </w:rPr>
      </w:pPr>
      <w:r>
        <w:rPr>
          <w:rFonts w:hint="eastAsia"/>
          <w:lang w:val="en-US" w:eastAsia="zh-CN"/>
        </w:rPr>
        <w:t>用人单位与劳动者订立劳动合同（含聘用合同）时，应将工作过程中接触噪声可能产生的职业病危害及后果、职业病防护措施和待遇等如实告知劳动者，并签订职业病危害告知书。职业病危害告知书示例参见附录B。</w:t>
      </w:r>
    </w:p>
    <w:p>
      <w:pPr>
        <w:pStyle w:val="163"/>
        <w:bidi w:val="0"/>
        <w:rPr>
          <w:rFonts w:hint="eastAsia"/>
          <w:lang w:eastAsia="zh-CN"/>
        </w:rPr>
      </w:pPr>
      <w:r>
        <w:rPr>
          <w:rFonts w:hint="eastAsia"/>
          <w:lang w:eastAsia="zh-CN"/>
        </w:rPr>
        <w:t>劳务派遣的用工单位应履行用人单位的职业病防治义务，加强噪声作业岗位劳动者的职业健康管理。</w:t>
      </w:r>
    </w:p>
    <w:p>
      <w:pPr>
        <w:pStyle w:val="105"/>
        <w:bidi w:val="0"/>
        <w:rPr>
          <w:rFonts w:hint="eastAsia"/>
          <w:lang w:eastAsia="zh-CN"/>
        </w:rPr>
      </w:pPr>
      <w:bookmarkStart w:id="50" w:name="_Toc10794"/>
      <w:r>
        <w:rPr>
          <w:rFonts w:hint="eastAsia"/>
          <w:lang w:val="en-US" w:eastAsia="zh-CN"/>
        </w:rPr>
        <w:t>工作场所管理</w:t>
      </w:r>
      <w:bookmarkEnd w:id="50"/>
    </w:p>
    <w:p>
      <w:pPr>
        <w:pStyle w:val="106"/>
        <w:bidi w:val="0"/>
        <w:rPr>
          <w:rFonts w:hint="eastAsia"/>
          <w:lang w:eastAsia="zh-CN"/>
        </w:rPr>
      </w:pPr>
      <w:bookmarkStart w:id="51" w:name="_Toc28919"/>
      <w:r>
        <w:rPr>
          <w:rFonts w:hint="eastAsia"/>
          <w:lang w:val="en-US" w:eastAsia="zh-CN"/>
        </w:rPr>
        <w:t>工作场所布局</w:t>
      </w:r>
      <w:bookmarkEnd w:id="51"/>
    </w:p>
    <w:p>
      <w:pPr>
        <w:pStyle w:val="166"/>
        <w:bidi w:val="0"/>
        <w:rPr>
          <w:rFonts w:hint="eastAsia"/>
          <w:lang w:eastAsia="zh-CN"/>
        </w:rPr>
      </w:pPr>
      <w:r>
        <w:rPr>
          <w:rFonts w:hint="eastAsia" w:ascii="宋体" w:hAnsi="宋体" w:cs="宋体"/>
          <w:kern w:val="0"/>
          <w:szCs w:val="20"/>
        </w:rPr>
        <w:t>生活区</w:t>
      </w:r>
      <w:r>
        <w:rPr>
          <w:rFonts w:hint="eastAsia" w:ascii="宋体" w:hAnsi="宋体" w:eastAsia="宋体" w:cs="宋体"/>
          <w:kern w:val="0"/>
          <w:szCs w:val="20"/>
        </w:rPr>
        <w:t>域、</w:t>
      </w:r>
      <w:r>
        <w:rPr>
          <w:rFonts w:hint="eastAsia" w:ascii="宋体" w:hAnsi="宋体" w:eastAsia="宋体" w:cs="宋体"/>
          <w:kern w:val="0"/>
          <w:szCs w:val="20"/>
          <w:lang w:eastAsia="zh-CN"/>
        </w:rPr>
        <w:t>辅助生产</w:t>
      </w:r>
      <w:r>
        <w:rPr>
          <w:rFonts w:hint="eastAsia" w:ascii="宋体" w:hAnsi="宋体" w:eastAsia="宋体" w:cs="宋体"/>
          <w:kern w:val="0"/>
          <w:szCs w:val="20"/>
        </w:rPr>
        <w:t>区域</w:t>
      </w:r>
      <w:r>
        <w:rPr>
          <w:rFonts w:hint="eastAsia" w:ascii="宋体" w:hAnsi="宋体" w:eastAsia="宋体" w:cs="宋体"/>
          <w:kern w:val="0"/>
          <w:szCs w:val="20"/>
          <w:lang w:val="en-US" w:eastAsia="zh-CN"/>
        </w:rPr>
        <w:t>应</w:t>
      </w:r>
      <w:r>
        <w:rPr>
          <w:rFonts w:hint="eastAsia" w:ascii="宋体" w:hAnsi="宋体" w:eastAsia="宋体" w:cs="宋体"/>
          <w:kern w:val="0"/>
          <w:szCs w:val="20"/>
        </w:rPr>
        <w:t>与生</w:t>
      </w:r>
      <w:r>
        <w:rPr>
          <w:rFonts w:hint="eastAsia" w:ascii="宋体" w:hAnsi="宋体" w:cs="宋体"/>
          <w:kern w:val="0"/>
          <w:szCs w:val="20"/>
        </w:rPr>
        <w:t>产区域</w:t>
      </w:r>
      <w:r>
        <w:rPr>
          <w:rFonts w:hint="eastAsia" w:hAnsi="宋体" w:cs="宋体"/>
          <w:kern w:val="0"/>
          <w:szCs w:val="20"/>
          <w:lang w:val="en-US" w:eastAsia="zh-CN"/>
        </w:rPr>
        <w:t>应</w:t>
      </w:r>
      <w:r>
        <w:rPr>
          <w:rFonts w:hint="eastAsia" w:ascii="宋体" w:hAnsi="宋体" w:cs="宋体"/>
          <w:kern w:val="0"/>
          <w:szCs w:val="20"/>
        </w:rPr>
        <w:t>分开布置，生产区域内噪声作业岗位与非噪声作业岗位</w:t>
      </w:r>
      <w:r>
        <w:rPr>
          <w:rFonts w:hint="eastAsia" w:hAnsi="宋体" w:cs="宋体"/>
          <w:kern w:val="0"/>
          <w:szCs w:val="20"/>
          <w:lang w:val="en-US" w:eastAsia="zh-CN"/>
        </w:rPr>
        <w:t>应</w:t>
      </w:r>
      <w:r>
        <w:rPr>
          <w:rFonts w:hint="eastAsia" w:ascii="宋体" w:hAnsi="宋体" w:cs="宋体"/>
          <w:kern w:val="0"/>
          <w:szCs w:val="20"/>
        </w:rPr>
        <w:t>分开布置</w:t>
      </w:r>
      <w:r>
        <w:rPr>
          <w:rFonts w:hint="eastAsia" w:ascii="宋体" w:hAnsi="宋体" w:cs="宋体"/>
          <w:kern w:val="0"/>
          <w:szCs w:val="20"/>
          <w:lang w:eastAsia="zh-CN"/>
        </w:rPr>
        <w:t>，</w:t>
      </w:r>
      <w:r>
        <w:rPr>
          <w:rFonts w:hint="eastAsia" w:ascii="宋体" w:hAnsi="宋体" w:cs="宋体"/>
          <w:kern w:val="0"/>
          <w:szCs w:val="20"/>
        </w:rPr>
        <w:t>生产区域内主要噪声源的布局宜相对集中。</w:t>
      </w:r>
    </w:p>
    <w:p>
      <w:pPr>
        <w:pStyle w:val="166"/>
        <w:bidi w:val="0"/>
        <w:rPr>
          <w:rFonts w:hint="eastAsia"/>
          <w:lang w:eastAsia="zh-CN"/>
        </w:rPr>
      </w:pPr>
      <w:r>
        <w:rPr>
          <w:rFonts w:hint="eastAsia" w:ascii="宋体" w:hAnsi="宋体" w:cs="宋体"/>
          <w:kern w:val="0"/>
          <w:szCs w:val="20"/>
        </w:rPr>
        <w:t>产生噪声及振动的厂房应采取降噪减振</w:t>
      </w:r>
      <w:r>
        <w:rPr>
          <w:rFonts w:hint="eastAsia" w:ascii="宋体" w:hAnsi="宋体" w:cs="宋体"/>
          <w:kern w:val="0"/>
          <w:szCs w:val="20"/>
          <w:lang w:val="en-US" w:eastAsia="zh-CN"/>
        </w:rPr>
        <w:t>设计，</w:t>
      </w:r>
      <w:r>
        <w:rPr>
          <w:rFonts w:hint="eastAsia" w:ascii="宋体" w:hAnsi="宋体" w:cs="宋体"/>
          <w:kern w:val="0"/>
          <w:szCs w:val="20"/>
        </w:rPr>
        <w:t>噪声与振动较大的生产设备宜安装在单层厂房内或设置在多层厂房的底层。</w:t>
      </w:r>
    </w:p>
    <w:p>
      <w:pPr>
        <w:pStyle w:val="106"/>
        <w:bidi w:val="0"/>
        <w:rPr>
          <w:rFonts w:hint="eastAsia"/>
          <w:lang w:eastAsia="zh-CN"/>
        </w:rPr>
      </w:pPr>
      <w:bookmarkStart w:id="52" w:name="_Toc3806"/>
      <w:r>
        <w:rPr>
          <w:rFonts w:hint="eastAsia"/>
          <w:lang w:val="en-US" w:eastAsia="zh-CN"/>
        </w:rPr>
        <w:t>工艺及设备管理</w:t>
      </w:r>
      <w:bookmarkEnd w:id="52"/>
    </w:p>
    <w:p>
      <w:pPr>
        <w:pStyle w:val="166"/>
        <w:bidi w:val="0"/>
        <w:rPr>
          <w:rFonts w:hint="eastAsia"/>
          <w:lang w:eastAsia="zh-CN"/>
        </w:rPr>
      </w:pPr>
      <w:r>
        <w:rPr>
          <w:rFonts w:hint="eastAsia"/>
          <w:lang w:eastAsia="zh-CN"/>
        </w:rPr>
        <w:t>在满足生产要求的前提下，用人单位应选用噪声较低、振动较小的设备和生产工艺并采取以下措施：</w:t>
      </w:r>
    </w:p>
    <w:p>
      <w:pPr>
        <w:pStyle w:val="175"/>
        <w:bidi w:val="0"/>
        <w:ind w:left="851" w:leftChars="0" w:hanging="426" w:firstLineChars="0"/>
        <w:rPr>
          <w:rFonts w:hint="eastAsia"/>
          <w:lang w:eastAsia="zh-CN"/>
        </w:rPr>
      </w:pPr>
      <w:r>
        <w:rPr>
          <w:rFonts w:hint="eastAsia"/>
        </w:rPr>
        <w:t>减少冲击性工艺的选用；</w:t>
      </w:r>
    </w:p>
    <w:p>
      <w:pPr>
        <w:pStyle w:val="175"/>
        <w:bidi w:val="0"/>
        <w:ind w:left="851" w:leftChars="0" w:hanging="426" w:firstLineChars="0"/>
        <w:rPr>
          <w:rFonts w:hint="eastAsia"/>
          <w:lang w:eastAsia="zh-CN"/>
        </w:rPr>
      </w:pPr>
      <w:r>
        <w:rPr>
          <w:rFonts w:hint="eastAsia"/>
        </w:rPr>
        <w:t>降低块状物料输送的落差；</w:t>
      </w:r>
    </w:p>
    <w:p>
      <w:pPr>
        <w:pStyle w:val="175"/>
        <w:bidi w:val="0"/>
        <w:ind w:left="851" w:leftChars="0" w:hanging="426" w:firstLineChars="0"/>
        <w:rPr>
          <w:rFonts w:hint="eastAsia"/>
          <w:lang w:eastAsia="zh-CN"/>
        </w:rPr>
      </w:pPr>
      <w:r>
        <w:rPr>
          <w:rFonts w:hint="eastAsia"/>
        </w:rPr>
        <w:t>减少使用排放高压气体的工艺；</w:t>
      </w:r>
    </w:p>
    <w:p>
      <w:pPr>
        <w:pStyle w:val="175"/>
        <w:bidi w:val="0"/>
        <w:ind w:left="851" w:leftChars="0" w:hanging="426" w:firstLineChars="0"/>
        <w:rPr>
          <w:rFonts w:hint="eastAsia"/>
          <w:lang w:eastAsia="zh-CN"/>
        </w:rPr>
      </w:pPr>
      <w:r>
        <w:rPr>
          <w:rFonts w:hint="eastAsia"/>
        </w:rPr>
        <w:t>采用操作机械化和运行自动化的设备工艺，宜远距离监视操作</w:t>
      </w:r>
      <w:r>
        <w:rPr>
          <w:rFonts w:hint="eastAsia"/>
          <w:lang w:eastAsia="zh-CN"/>
        </w:rPr>
        <w:t>；</w:t>
      </w:r>
    </w:p>
    <w:p>
      <w:pPr>
        <w:pStyle w:val="175"/>
        <w:bidi w:val="0"/>
        <w:ind w:left="851" w:leftChars="0" w:hanging="426" w:firstLineChars="0"/>
        <w:rPr>
          <w:rFonts w:hint="eastAsia"/>
          <w:lang w:eastAsia="zh-CN"/>
        </w:rPr>
      </w:pPr>
      <w:r>
        <w:rPr>
          <w:rFonts w:hint="eastAsia"/>
          <w:lang w:val="en-US" w:eastAsia="zh-CN"/>
        </w:rPr>
        <w:t>增加电磁性噪声的防护。</w:t>
      </w:r>
    </w:p>
    <w:p>
      <w:pPr>
        <w:pStyle w:val="175"/>
        <w:numPr>
          <w:ilvl w:val="0"/>
          <w:numId w:val="0"/>
        </w:numPr>
        <w:bidi w:val="0"/>
        <w:rPr>
          <w:rFonts w:hint="eastAsia" w:ascii="宋体" w:hAnsi="宋体"/>
          <w:kern w:val="0"/>
          <w:szCs w:val="20"/>
          <w:lang w:eastAsia="zh-CN"/>
        </w:rPr>
      </w:pPr>
      <w:r>
        <w:rPr>
          <w:rFonts w:hint="eastAsia" w:hAnsi="宋体"/>
          <w:kern w:val="0"/>
          <w:szCs w:val="20"/>
          <w:lang w:val="en-US" w:eastAsia="zh-CN"/>
        </w:rPr>
        <w:tab/>
      </w:r>
      <w:r>
        <w:rPr>
          <w:rFonts w:hint="eastAsia" w:ascii="宋体" w:hAnsi="宋体"/>
          <w:kern w:val="0"/>
          <w:szCs w:val="20"/>
        </w:rPr>
        <w:t>如仍达不到</w:t>
      </w:r>
      <w:r>
        <w:rPr>
          <w:rFonts w:hint="eastAsia" w:ascii="宋体" w:hAnsi="宋体"/>
          <w:kern w:val="0"/>
          <w:szCs w:val="20"/>
          <w:lang w:val="en-US" w:eastAsia="zh-CN"/>
        </w:rPr>
        <w:t>噪声控制</w:t>
      </w:r>
      <w:r>
        <w:rPr>
          <w:rFonts w:hint="eastAsia" w:ascii="宋体" w:hAnsi="宋体"/>
          <w:kern w:val="0"/>
          <w:szCs w:val="20"/>
        </w:rPr>
        <w:t>要求，</w:t>
      </w:r>
      <w:r>
        <w:rPr>
          <w:rFonts w:hint="eastAsia" w:ascii="宋体" w:hAnsi="宋体"/>
          <w:kern w:val="0"/>
          <w:szCs w:val="20"/>
          <w:lang w:val="en-US" w:eastAsia="zh-CN"/>
        </w:rPr>
        <w:t>应</w:t>
      </w:r>
      <w:r>
        <w:rPr>
          <w:rFonts w:hint="eastAsia" w:ascii="宋体" w:hAnsi="宋体"/>
          <w:kern w:val="0"/>
          <w:szCs w:val="20"/>
        </w:rPr>
        <w:t>参照GB/T 50087的规定采用隔声、消声、吸声、隔振以及综合控制等其他噪声控制措施</w:t>
      </w:r>
      <w:r>
        <w:rPr>
          <w:rFonts w:hint="eastAsia" w:ascii="宋体" w:hAnsi="宋体"/>
          <w:kern w:val="0"/>
          <w:szCs w:val="20"/>
          <w:lang w:eastAsia="zh-CN"/>
        </w:rPr>
        <w:t>。</w:t>
      </w:r>
    </w:p>
    <w:p>
      <w:pPr>
        <w:pStyle w:val="180"/>
        <w:bidi w:val="0"/>
        <w:rPr>
          <w:rFonts w:hint="eastAsia"/>
          <w:lang w:eastAsia="zh-CN"/>
        </w:rPr>
      </w:pPr>
      <w:r>
        <w:rPr>
          <w:rFonts w:hint="eastAsia"/>
          <w:lang w:val="en-US" w:eastAsia="zh-CN"/>
        </w:rPr>
        <w:t>常见工艺、工程降噪措施参见附录C。</w:t>
      </w:r>
    </w:p>
    <w:p>
      <w:pPr>
        <w:pStyle w:val="166"/>
        <w:bidi w:val="0"/>
        <w:rPr>
          <w:rFonts w:hint="eastAsia"/>
          <w:lang w:eastAsia="zh-CN"/>
        </w:rPr>
      </w:pPr>
      <w:r>
        <w:rPr>
          <w:rFonts w:hint="eastAsia" w:ascii="宋体" w:hAnsi="宋体" w:cs="宋体"/>
          <w:kern w:val="0"/>
          <w:szCs w:val="20"/>
        </w:rPr>
        <w:t>用人</w:t>
      </w:r>
      <w:r>
        <w:rPr>
          <w:rFonts w:hint="eastAsia" w:ascii="宋体" w:hAnsi="宋体" w:cs="宋体"/>
          <w:kern w:val="0"/>
          <w:szCs w:val="20"/>
          <w:lang w:eastAsia="zh-CN"/>
        </w:rPr>
        <w:t>单位宜对存在噪声作业的岗位定期开展自查</w:t>
      </w:r>
      <w:r>
        <w:rPr>
          <w:rFonts w:hint="eastAsia" w:ascii="宋体" w:hAnsi="宋体" w:cs="宋体"/>
          <w:kern w:val="0"/>
          <w:szCs w:val="20"/>
          <w:lang w:val="en-US" w:eastAsia="zh-CN"/>
        </w:rPr>
        <w:t>并整改</w:t>
      </w:r>
      <w:r>
        <w:rPr>
          <w:rFonts w:hint="eastAsia" w:ascii="宋体" w:hAnsi="宋体" w:cs="宋体"/>
          <w:kern w:val="0"/>
          <w:szCs w:val="20"/>
          <w:lang w:eastAsia="zh-CN"/>
        </w:rPr>
        <w:t>，自查内容包括：</w:t>
      </w:r>
    </w:p>
    <w:p>
      <w:pPr>
        <w:pStyle w:val="175"/>
        <w:numPr>
          <w:ilvl w:val="0"/>
          <w:numId w:val="32"/>
        </w:numPr>
        <w:bidi w:val="0"/>
        <w:ind w:left="851" w:leftChars="0" w:hanging="426" w:firstLineChars="0"/>
        <w:rPr>
          <w:rFonts w:hint="eastAsia"/>
          <w:lang w:eastAsia="zh-CN"/>
        </w:rPr>
      </w:pPr>
      <w:r>
        <w:rPr>
          <w:rFonts w:hint="eastAsia" w:ascii="宋体" w:hAnsi="宋体"/>
          <w:kern w:val="0"/>
          <w:szCs w:val="20"/>
          <w:lang w:val="en-US" w:eastAsia="zh-CN"/>
        </w:rPr>
        <w:t>该</w:t>
      </w:r>
      <w:r>
        <w:rPr>
          <w:rFonts w:hint="eastAsia" w:ascii="宋体" w:hAnsi="宋体"/>
          <w:kern w:val="0"/>
          <w:szCs w:val="20"/>
        </w:rPr>
        <w:t>岗位</w:t>
      </w:r>
      <w:r>
        <w:rPr>
          <w:rFonts w:hint="eastAsia" w:ascii="宋体" w:hAnsi="宋体"/>
          <w:kern w:val="0"/>
          <w:szCs w:val="20"/>
          <w:lang w:val="en-US" w:eastAsia="zh-CN"/>
        </w:rPr>
        <w:t>与邻近岗位的</w:t>
      </w:r>
      <w:r>
        <w:rPr>
          <w:rFonts w:hint="eastAsia" w:ascii="宋体" w:hAnsi="宋体"/>
          <w:kern w:val="0"/>
          <w:szCs w:val="20"/>
        </w:rPr>
        <w:t>噪声检测结果</w:t>
      </w:r>
      <w:r>
        <w:rPr>
          <w:rFonts w:hint="eastAsia" w:ascii="宋体" w:hAnsi="宋体"/>
          <w:kern w:val="0"/>
          <w:szCs w:val="20"/>
          <w:lang w:val="en-US" w:eastAsia="zh-CN"/>
        </w:rPr>
        <w:t>是否超过国家标准规定</w:t>
      </w:r>
      <w:r>
        <w:rPr>
          <w:rFonts w:hint="eastAsia" w:ascii="宋体" w:hAnsi="宋体"/>
          <w:kern w:val="0"/>
          <w:szCs w:val="20"/>
        </w:rPr>
        <w:t>；</w:t>
      </w:r>
    </w:p>
    <w:p>
      <w:pPr>
        <w:pStyle w:val="175"/>
        <w:numPr>
          <w:ilvl w:val="0"/>
          <w:numId w:val="32"/>
        </w:numPr>
        <w:bidi w:val="0"/>
        <w:ind w:left="851" w:leftChars="0" w:hanging="426" w:firstLineChars="0"/>
        <w:rPr>
          <w:rFonts w:hint="eastAsia"/>
          <w:lang w:eastAsia="zh-CN"/>
        </w:rPr>
      </w:pPr>
      <w:r>
        <w:rPr>
          <w:rFonts w:hint="eastAsia" w:ascii="宋体" w:hAnsi="宋体"/>
          <w:kern w:val="0"/>
          <w:szCs w:val="20"/>
        </w:rPr>
        <w:t>该岗位设备使用年份、磨损程度；</w:t>
      </w:r>
    </w:p>
    <w:p>
      <w:pPr>
        <w:pStyle w:val="175"/>
        <w:numPr>
          <w:ilvl w:val="0"/>
          <w:numId w:val="32"/>
        </w:numPr>
        <w:bidi w:val="0"/>
        <w:ind w:left="851" w:leftChars="0" w:hanging="426" w:firstLineChars="0"/>
        <w:rPr>
          <w:rFonts w:hint="eastAsia"/>
          <w:lang w:eastAsia="zh-CN"/>
        </w:rPr>
      </w:pPr>
      <w:r>
        <w:rPr>
          <w:rFonts w:hint="eastAsia" w:ascii="宋体" w:hAnsi="宋体"/>
          <w:kern w:val="0"/>
          <w:szCs w:val="20"/>
        </w:rPr>
        <w:t>该岗位</w:t>
      </w:r>
      <w:r>
        <w:rPr>
          <w:rFonts w:hint="eastAsia" w:ascii="宋体" w:hAnsi="宋体"/>
          <w:kern w:val="0"/>
          <w:szCs w:val="20"/>
          <w:lang w:val="en-US" w:eastAsia="zh-CN"/>
        </w:rPr>
        <w:t>劳动者</w:t>
      </w:r>
      <w:r>
        <w:rPr>
          <w:rFonts w:hint="eastAsia" w:ascii="宋体" w:hAnsi="宋体"/>
          <w:kern w:val="0"/>
          <w:szCs w:val="20"/>
        </w:rPr>
        <w:t>历年职业健康检查健康情况；</w:t>
      </w:r>
    </w:p>
    <w:p>
      <w:pPr>
        <w:pStyle w:val="175"/>
        <w:numPr>
          <w:ilvl w:val="0"/>
          <w:numId w:val="32"/>
        </w:numPr>
        <w:bidi w:val="0"/>
        <w:ind w:left="851" w:leftChars="0" w:hanging="426" w:firstLineChars="0"/>
        <w:rPr>
          <w:rFonts w:hint="eastAsia"/>
          <w:lang w:eastAsia="zh-CN"/>
        </w:rPr>
      </w:pPr>
      <w:r>
        <w:rPr>
          <w:rFonts w:hint="eastAsia" w:ascii="宋体" w:hAnsi="宋体"/>
          <w:kern w:val="0"/>
          <w:szCs w:val="20"/>
        </w:rPr>
        <w:t>同（类）岗位职业健康检查情况；</w:t>
      </w:r>
    </w:p>
    <w:p>
      <w:pPr>
        <w:pStyle w:val="175"/>
        <w:numPr>
          <w:ilvl w:val="0"/>
          <w:numId w:val="32"/>
        </w:numPr>
        <w:bidi w:val="0"/>
        <w:ind w:left="851" w:leftChars="0" w:hanging="426" w:firstLineChars="0"/>
        <w:rPr>
          <w:rFonts w:hint="eastAsia"/>
          <w:lang w:eastAsia="zh-CN"/>
        </w:rPr>
      </w:pPr>
      <w:r>
        <w:rPr>
          <w:rFonts w:hint="eastAsia" w:ascii="宋体" w:hAnsi="宋体"/>
          <w:kern w:val="0"/>
          <w:szCs w:val="20"/>
          <w:lang w:val="en-US" w:eastAsia="zh-CN"/>
        </w:rPr>
        <w:t>职业病</w:t>
      </w:r>
      <w:r>
        <w:rPr>
          <w:rFonts w:hint="eastAsia" w:ascii="宋体" w:hAnsi="宋体"/>
          <w:b w:val="0"/>
          <w:bCs w:val="0"/>
          <w:kern w:val="0"/>
          <w:szCs w:val="20"/>
        </w:rPr>
        <w:t>防护设施</w:t>
      </w:r>
      <w:r>
        <w:rPr>
          <w:rFonts w:hint="eastAsia" w:ascii="宋体" w:hAnsi="宋体"/>
          <w:kern w:val="0"/>
          <w:szCs w:val="20"/>
        </w:rPr>
        <w:t>及个人防护用品的使用情况；</w:t>
      </w:r>
    </w:p>
    <w:p>
      <w:pPr>
        <w:pStyle w:val="175"/>
        <w:numPr>
          <w:ilvl w:val="0"/>
          <w:numId w:val="32"/>
        </w:numPr>
        <w:bidi w:val="0"/>
        <w:ind w:left="851" w:leftChars="0" w:hanging="426" w:firstLineChars="0"/>
        <w:rPr>
          <w:rFonts w:hint="eastAsia"/>
          <w:lang w:eastAsia="zh-CN"/>
        </w:rPr>
      </w:pPr>
      <w:r>
        <w:rPr>
          <w:rFonts w:hint="eastAsia" w:ascii="宋体" w:hAnsi="宋体"/>
          <w:kern w:val="0"/>
          <w:szCs w:val="20"/>
          <w:lang w:val="en-US" w:eastAsia="zh-CN"/>
        </w:rPr>
        <w:t>职业病</w:t>
      </w:r>
      <w:r>
        <w:rPr>
          <w:rFonts w:hint="eastAsia" w:ascii="宋体" w:hAnsi="宋体"/>
          <w:b w:val="0"/>
          <w:bCs w:val="0"/>
          <w:kern w:val="0"/>
          <w:szCs w:val="20"/>
          <w:lang w:val="en-US" w:eastAsia="zh-CN"/>
        </w:rPr>
        <w:t>防护设施</w:t>
      </w:r>
      <w:r>
        <w:rPr>
          <w:rFonts w:hint="eastAsia" w:ascii="宋体" w:hAnsi="宋体"/>
          <w:kern w:val="0"/>
          <w:szCs w:val="20"/>
          <w:lang w:val="en-US" w:eastAsia="zh-CN"/>
        </w:rPr>
        <w:t>维护情况；</w:t>
      </w:r>
    </w:p>
    <w:p>
      <w:pPr>
        <w:pStyle w:val="175"/>
        <w:numPr>
          <w:ilvl w:val="0"/>
          <w:numId w:val="32"/>
        </w:numPr>
        <w:bidi w:val="0"/>
        <w:ind w:left="851" w:leftChars="0" w:hanging="426" w:firstLineChars="0"/>
        <w:rPr>
          <w:rFonts w:hint="eastAsia"/>
          <w:lang w:eastAsia="zh-CN"/>
        </w:rPr>
      </w:pPr>
      <w:r>
        <w:rPr>
          <w:rFonts w:hint="eastAsia" w:ascii="宋体" w:hAnsi="宋体"/>
          <w:kern w:val="0"/>
          <w:szCs w:val="20"/>
        </w:rPr>
        <w:t>作业是否符合操作规程；</w:t>
      </w:r>
    </w:p>
    <w:p>
      <w:pPr>
        <w:pStyle w:val="175"/>
        <w:numPr>
          <w:ilvl w:val="0"/>
          <w:numId w:val="32"/>
        </w:numPr>
        <w:bidi w:val="0"/>
        <w:ind w:left="851" w:leftChars="0" w:hanging="426" w:firstLineChars="0"/>
        <w:rPr>
          <w:rFonts w:hint="eastAsia"/>
          <w:lang w:eastAsia="zh-CN"/>
        </w:rPr>
      </w:pPr>
      <w:r>
        <w:rPr>
          <w:rFonts w:hint="eastAsia" w:ascii="宋体" w:hAnsi="宋体"/>
          <w:kern w:val="0"/>
          <w:szCs w:val="20"/>
        </w:rPr>
        <w:t>是否存在</w:t>
      </w:r>
      <w:r>
        <w:rPr>
          <w:rFonts w:hint="eastAsia" w:ascii="宋体" w:hAnsi="宋体"/>
          <w:kern w:val="0"/>
          <w:szCs w:val="20"/>
          <w:lang w:val="en-US" w:eastAsia="zh-CN"/>
        </w:rPr>
        <w:t>可以替代的低噪声工艺</w:t>
      </w:r>
      <w:r>
        <w:rPr>
          <w:rFonts w:hint="eastAsia" w:ascii="宋体" w:hAnsi="宋体"/>
          <w:kern w:val="0"/>
          <w:szCs w:val="20"/>
        </w:rPr>
        <w:t>；</w:t>
      </w:r>
    </w:p>
    <w:p>
      <w:pPr>
        <w:pStyle w:val="175"/>
        <w:numPr>
          <w:ilvl w:val="0"/>
          <w:numId w:val="32"/>
        </w:numPr>
        <w:bidi w:val="0"/>
        <w:ind w:left="851" w:leftChars="0" w:hanging="426" w:firstLineChars="0"/>
        <w:rPr>
          <w:rFonts w:hint="eastAsia"/>
          <w:lang w:eastAsia="zh-CN"/>
        </w:rPr>
      </w:pPr>
      <w:r>
        <w:rPr>
          <w:rFonts w:hint="eastAsia" w:ascii="宋体" w:hAnsi="宋体"/>
          <w:kern w:val="0"/>
          <w:szCs w:val="20"/>
        </w:rPr>
        <w:t>其他职业健康监护与</w:t>
      </w:r>
      <w:r>
        <w:rPr>
          <w:rFonts w:hint="eastAsia" w:ascii="宋体" w:hAnsi="宋体"/>
          <w:kern w:val="0"/>
          <w:szCs w:val="20"/>
          <w:lang w:eastAsia="zh-CN"/>
        </w:rPr>
        <w:t>职业健康</w:t>
      </w:r>
      <w:r>
        <w:rPr>
          <w:rFonts w:hint="eastAsia" w:ascii="宋体" w:hAnsi="宋体"/>
          <w:kern w:val="0"/>
          <w:szCs w:val="20"/>
        </w:rPr>
        <w:t>管理相关资料</w:t>
      </w:r>
      <w:r>
        <w:rPr>
          <w:rFonts w:hint="default" w:ascii="宋体" w:hAnsi="宋体"/>
          <w:kern w:val="0"/>
          <w:szCs w:val="20"/>
        </w:rPr>
        <w:t>；</w:t>
      </w:r>
    </w:p>
    <w:p>
      <w:pPr>
        <w:pStyle w:val="106"/>
        <w:bidi w:val="0"/>
        <w:rPr>
          <w:rFonts w:hint="eastAsia"/>
          <w:lang w:eastAsia="zh-CN"/>
        </w:rPr>
      </w:pPr>
      <w:bookmarkStart w:id="53" w:name="_Toc1009"/>
      <w:r>
        <w:rPr>
          <w:rFonts w:hint="eastAsia"/>
          <w:lang w:val="en-US" w:eastAsia="zh-CN"/>
        </w:rPr>
        <w:t>噪声防护设施维护管理</w:t>
      </w:r>
      <w:bookmarkEnd w:id="53"/>
    </w:p>
    <w:p>
      <w:pPr>
        <w:pStyle w:val="166"/>
        <w:bidi w:val="0"/>
        <w:rPr>
          <w:rFonts w:hint="eastAsia"/>
          <w:lang w:eastAsia="zh-CN"/>
        </w:rPr>
      </w:pPr>
      <w:r>
        <w:rPr>
          <w:rFonts w:hint="eastAsia" w:ascii="宋体" w:hAnsi="宋体"/>
          <w:kern w:val="0"/>
          <w:szCs w:val="20"/>
        </w:rPr>
        <w:t>噪声作业场所的职业病防护设施应有专人负责维护、检修工作。</w:t>
      </w:r>
    </w:p>
    <w:p>
      <w:pPr>
        <w:pStyle w:val="166"/>
        <w:bidi w:val="0"/>
        <w:rPr>
          <w:rFonts w:hint="eastAsia"/>
          <w:lang w:eastAsia="zh-CN"/>
        </w:rPr>
      </w:pPr>
      <w:r>
        <w:rPr>
          <w:rFonts w:hint="eastAsia" w:ascii="宋体" w:hAnsi="宋体"/>
          <w:kern w:val="0"/>
          <w:szCs w:val="20"/>
        </w:rPr>
        <w:t>职业病防护设施应进行</w:t>
      </w:r>
      <w:r>
        <w:rPr>
          <w:rFonts w:hint="eastAsia" w:ascii="宋体" w:hAnsi="宋体"/>
          <w:kern w:val="0"/>
          <w:szCs w:val="20"/>
          <w:lang w:val="en-US" w:eastAsia="zh-CN"/>
        </w:rPr>
        <w:t>经常性的</w:t>
      </w:r>
      <w:r>
        <w:rPr>
          <w:rFonts w:hint="eastAsia" w:ascii="宋体" w:hAnsi="宋体"/>
          <w:kern w:val="0"/>
          <w:szCs w:val="20"/>
        </w:rPr>
        <w:t>维护、检修和保养，定期检测其性能和效果，并有相关记录，</w:t>
      </w:r>
      <w:r>
        <w:rPr>
          <w:rFonts w:hint="eastAsia" w:ascii="宋体" w:hAnsi="宋体"/>
          <w:kern w:val="0"/>
          <w:szCs w:val="20"/>
          <w:lang w:val="en-US" w:eastAsia="zh-CN"/>
        </w:rPr>
        <w:t>使</w:t>
      </w:r>
      <w:r>
        <w:rPr>
          <w:rFonts w:hint="eastAsia" w:ascii="宋体" w:hAnsi="宋体"/>
          <w:kern w:val="0"/>
          <w:szCs w:val="20"/>
        </w:rPr>
        <w:t>防护设施能有效运行，不</w:t>
      </w:r>
      <w:r>
        <w:rPr>
          <w:rFonts w:hint="eastAsia" w:ascii="宋体" w:hAnsi="宋体"/>
          <w:kern w:val="0"/>
          <w:szCs w:val="20"/>
          <w:lang w:val="en-US" w:eastAsia="zh-CN"/>
        </w:rPr>
        <w:t>应</w:t>
      </w:r>
      <w:r>
        <w:rPr>
          <w:rFonts w:hint="eastAsia" w:ascii="宋体" w:hAnsi="宋体"/>
          <w:kern w:val="0"/>
          <w:szCs w:val="20"/>
        </w:rPr>
        <w:t>擅自拆除或者停止使用职业病防护设施。</w:t>
      </w:r>
    </w:p>
    <w:p>
      <w:pPr>
        <w:pStyle w:val="106"/>
        <w:bidi w:val="0"/>
        <w:rPr>
          <w:rFonts w:hint="eastAsia"/>
          <w:lang w:eastAsia="zh-CN"/>
        </w:rPr>
      </w:pPr>
      <w:bookmarkStart w:id="54" w:name="_Toc1875"/>
      <w:r>
        <w:rPr>
          <w:rFonts w:hint="eastAsia" w:ascii="黑体" w:hAnsi="黑体" w:eastAsia="黑体" w:cs="Times New Roman"/>
          <w:kern w:val="0"/>
          <w:szCs w:val="20"/>
          <w:lang w:val="en-US" w:eastAsia="zh-CN"/>
        </w:rPr>
        <w:t>噪声</w:t>
      </w:r>
      <w:r>
        <w:rPr>
          <w:rFonts w:hint="eastAsia" w:ascii="黑体" w:hAnsi="黑体" w:eastAsia="黑体" w:cs="Times New Roman"/>
          <w:kern w:val="0"/>
          <w:szCs w:val="20"/>
        </w:rPr>
        <w:t>危害</w:t>
      </w:r>
      <w:r>
        <w:rPr>
          <w:rFonts w:hint="eastAsia" w:ascii="黑体" w:hAnsi="黑体" w:eastAsia="黑体" w:cs="Times New Roman"/>
          <w:kern w:val="0"/>
          <w:szCs w:val="20"/>
          <w:lang w:val="en-US" w:eastAsia="zh-CN"/>
        </w:rPr>
        <w:t>暴露风险评估</w:t>
      </w:r>
      <w:bookmarkEnd w:id="54"/>
    </w:p>
    <w:p>
      <w:pPr>
        <w:pStyle w:val="166"/>
        <w:bidi w:val="0"/>
        <w:rPr>
          <w:rFonts w:hint="eastAsia"/>
          <w:lang w:eastAsia="zh-CN"/>
        </w:rPr>
      </w:pPr>
      <w:r>
        <w:rPr>
          <w:rFonts w:hint="eastAsia" w:ascii="宋体" w:hAnsi="宋体"/>
          <w:kern w:val="0"/>
          <w:szCs w:val="20"/>
          <w:lang w:val="en-US" w:eastAsia="zh-CN"/>
        </w:rPr>
        <w:t>用人单位应对噪声职业暴露情况开展调查并根据调查结果识别噪声源和受到噪声影响的劳动者，调查内容包括生产工艺过程、生产车间岗位定员及作业情况、劳动者噪声暴露情况、护听器的选用情况等。</w:t>
      </w:r>
    </w:p>
    <w:p>
      <w:pPr>
        <w:pStyle w:val="166"/>
        <w:bidi w:val="0"/>
        <w:rPr>
          <w:rFonts w:hint="eastAsia"/>
          <w:lang w:eastAsia="zh-CN"/>
        </w:rPr>
      </w:pPr>
      <w:r>
        <w:rPr>
          <w:rFonts w:hint="eastAsia" w:ascii="宋体" w:hAnsi="宋体"/>
          <w:kern w:val="0"/>
          <w:szCs w:val="20"/>
          <w:lang w:val="en-US" w:eastAsia="zh-CN"/>
        </w:rPr>
        <w:t>劳动者职业暴露的噪声强度大于等于80dB(A)的岗位，用人单位应每年对该岗位工作场所噪声及劳动者噪声暴露情况至少进行一次测量，劳动者职业暴露的噪声强度大于等于90dB(A)的岗位，用人单位宜每半年对该岗位工作场所噪声及劳动者噪声暴露情况至少进行一次测量。</w:t>
      </w:r>
      <w:r>
        <w:rPr>
          <w:rFonts w:hint="eastAsia" w:hAnsi="宋体"/>
          <w:kern w:val="0"/>
          <w:szCs w:val="20"/>
          <w:lang w:val="en-US" w:eastAsia="zh-CN"/>
        </w:rPr>
        <w:t>当</w:t>
      </w:r>
      <w:r>
        <w:rPr>
          <w:rFonts w:hint="eastAsia" w:ascii="宋体" w:hAnsi="宋体"/>
          <w:kern w:val="0"/>
          <w:szCs w:val="20"/>
          <w:lang w:val="en-US" w:eastAsia="zh-CN"/>
        </w:rPr>
        <w:t>设备和生产工艺发生变化影响噪声暴露水平时，测量宜在发生变化的3个月内重复进行。</w:t>
      </w:r>
    </w:p>
    <w:p>
      <w:pPr>
        <w:pStyle w:val="106"/>
        <w:bidi w:val="0"/>
        <w:rPr>
          <w:rFonts w:hint="eastAsia"/>
          <w:lang w:eastAsia="zh-CN"/>
        </w:rPr>
      </w:pPr>
      <w:bookmarkStart w:id="55" w:name="_Toc10379"/>
      <w:r>
        <w:rPr>
          <w:rFonts w:hint="eastAsia" w:ascii="黑体" w:hAnsi="黑体" w:eastAsia="黑体" w:cs="Times New Roman"/>
          <w:kern w:val="0"/>
          <w:szCs w:val="20"/>
          <w:lang w:val="en-US" w:eastAsia="zh-CN"/>
        </w:rPr>
        <w:t>噪声危害告知和警示标识设置</w:t>
      </w:r>
      <w:bookmarkEnd w:id="55"/>
      <w:r>
        <w:rPr>
          <w:rFonts w:hint="eastAsia" w:ascii="黑体" w:hAnsi="黑体" w:eastAsia="黑体" w:cs="Times New Roman"/>
          <w:kern w:val="0"/>
          <w:szCs w:val="20"/>
          <w:lang w:val="en-US" w:eastAsia="zh-CN"/>
        </w:rPr>
        <w:t xml:space="preserve"> </w:t>
      </w:r>
    </w:p>
    <w:p>
      <w:pPr>
        <w:pStyle w:val="166"/>
        <w:bidi w:val="0"/>
        <w:rPr>
          <w:rFonts w:hint="eastAsia"/>
          <w:lang w:eastAsia="zh-CN"/>
        </w:rPr>
      </w:pPr>
      <w:r>
        <w:rPr>
          <w:rFonts w:hint="eastAsia" w:ascii="宋体" w:hAnsi="宋体"/>
          <w:kern w:val="0"/>
          <w:szCs w:val="20"/>
        </w:rPr>
        <w:t>根据噪声作业产生的职业病危害因素，</w:t>
      </w:r>
      <w:r>
        <w:rPr>
          <w:rFonts w:hint="eastAsia" w:ascii="宋体" w:hAnsi="宋体"/>
          <w:kern w:val="0"/>
          <w:szCs w:val="20"/>
          <w:lang w:val="en-US" w:eastAsia="zh-CN"/>
        </w:rPr>
        <w:t>应</w:t>
      </w:r>
      <w:r>
        <w:rPr>
          <w:rFonts w:hint="eastAsia" w:ascii="宋体" w:hAnsi="宋体"/>
          <w:kern w:val="0"/>
          <w:szCs w:val="20"/>
        </w:rPr>
        <w:t>在醒目位置设置图形、警示语句等警示标识</w:t>
      </w:r>
      <w:r>
        <w:rPr>
          <w:rFonts w:hint="eastAsia" w:ascii="宋体" w:hAnsi="宋体"/>
          <w:kern w:val="0"/>
          <w:szCs w:val="20"/>
          <w:lang w:eastAsia="zh-CN"/>
        </w:rPr>
        <w:t>，</w:t>
      </w:r>
      <w:r>
        <w:rPr>
          <w:rFonts w:hint="eastAsia" w:ascii="宋体" w:hAnsi="宋体"/>
          <w:kern w:val="0"/>
          <w:szCs w:val="20"/>
        </w:rPr>
        <w:t>警示标识应符合GBZ 158的规定。</w:t>
      </w:r>
    </w:p>
    <w:p>
      <w:pPr>
        <w:pStyle w:val="166"/>
        <w:bidi w:val="0"/>
        <w:rPr>
          <w:rFonts w:hint="eastAsia"/>
          <w:lang w:eastAsia="zh-CN"/>
        </w:rPr>
      </w:pPr>
      <w:r>
        <w:rPr>
          <w:rFonts w:hint="eastAsia" w:ascii="宋体" w:hAnsi="宋体"/>
          <w:kern w:val="0"/>
          <w:szCs w:val="20"/>
          <w:lang w:val="en-US" w:eastAsia="zh-CN"/>
        </w:rPr>
        <w:t>劳动者职业暴露的噪声强度大于等于90dB(A)的工作场所，宜在入口处及劳动者作业岗位处设置警示告知卡和</w:t>
      </w:r>
      <w:r>
        <w:rPr>
          <w:rFonts w:hint="eastAsia" w:ascii="宋体" w:hAnsi="宋体"/>
          <w:kern w:val="0"/>
          <w:szCs w:val="20"/>
        </w:rPr>
        <w:t>和中文警示说明，警示说明应载明产生职业病危害的种类、后果和预防措施等。职业病危害告知卡示例参见附录</w:t>
      </w:r>
      <w:r>
        <w:rPr>
          <w:rFonts w:hint="eastAsia" w:ascii="宋体" w:hAnsi="宋体"/>
          <w:kern w:val="0"/>
          <w:szCs w:val="20"/>
          <w:lang w:val="en-US" w:eastAsia="zh-CN"/>
        </w:rPr>
        <w:t>D</w:t>
      </w:r>
      <w:r>
        <w:rPr>
          <w:rFonts w:hint="eastAsia" w:ascii="宋体" w:hAnsi="宋体"/>
          <w:kern w:val="0"/>
          <w:szCs w:val="20"/>
        </w:rPr>
        <w:t>。</w:t>
      </w:r>
    </w:p>
    <w:p>
      <w:pPr>
        <w:pStyle w:val="166"/>
        <w:bidi w:val="0"/>
        <w:rPr>
          <w:rFonts w:hint="eastAsia"/>
          <w:lang w:eastAsia="zh-CN"/>
        </w:rPr>
      </w:pPr>
      <w:r>
        <w:rPr>
          <w:rFonts w:hint="eastAsia" w:ascii="宋体" w:hAnsi="宋体"/>
          <w:kern w:val="0"/>
          <w:szCs w:val="20"/>
        </w:rPr>
        <w:t>在工作场所的醒目位置公示</w:t>
      </w:r>
      <w:r>
        <w:rPr>
          <w:rFonts w:hint="eastAsia" w:hAnsi="宋体"/>
          <w:kern w:val="0"/>
          <w:szCs w:val="20"/>
          <w:lang w:val="en-US" w:eastAsia="zh-CN"/>
        </w:rPr>
        <w:t>噪声作业岗位</w:t>
      </w:r>
      <w:r>
        <w:rPr>
          <w:rFonts w:hint="eastAsia" w:ascii="宋体" w:hAnsi="宋体"/>
          <w:kern w:val="0"/>
          <w:szCs w:val="20"/>
        </w:rPr>
        <w:t>职业病危害因素检测</w:t>
      </w:r>
      <w:r>
        <w:rPr>
          <w:rFonts w:hint="eastAsia" w:ascii="宋体" w:hAnsi="宋体"/>
          <w:kern w:val="0"/>
          <w:szCs w:val="20"/>
          <w:lang w:eastAsia="zh-CN"/>
        </w:rPr>
        <w:t>、</w:t>
      </w:r>
      <w:r>
        <w:rPr>
          <w:rFonts w:hint="eastAsia" w:ascii="宋体" w:hAnsi="宋体"/>
          <w:kern w:val="0"/>
          <w:szCs w:val="20"/>
        </w:rPr>
        <w:t>评价结果，并</w:t>
      </w:r>
      <w:r>
        <w:rPr>
          <w:rFonts w:hint="eastAsia" w:ascii="宋体" w:hAnsi="宋体"/>
          <w:kern w:val="0"/>
          <w:szCs w:val="20"/>
          <w:lang w:val="en-US" w:eastAsia="zh-CN"/>
        </w:rPr>
        <w:t>及时公布</w:t>
      </w:r>
      <w:r>
        <w:rPr>
          <w:rFonts w:hint="eastAsia" w:ascii="宋体" w:hAnsi="宋体"/>
          <w:kern w:val="0"/>
          <w:szCs w:val="20"/>
        </w:rPr>
        <w:t>噪声超标的整改方案与整改结果。</w:t>
      </w:r>
    </w:p>
    <w:p>
      <w:pPr>
        <w:pStyle w:val="166"/>
        <w:bidi w:val="0"/>
        <w:rPr>
          <w:rFonts w:hint="eastAsia"/>
          <w:lang w:eastAsia="zh-CN"/>
        </w:rPr>
      </w:pPr>
      <w:r>
        <w:rPr>
          <w:rFonts w:hint="eastAsia" w:ascii="宋体" w:hAnsi="宋体"/>
          <w:kern w:val="0"/>
          <w:szCs w:val="20"/>
        </w:rPr>
        <w:t>在醒目位置提示劳动者进入</w:t>
      </w:r>
      <w:r>
        <w:rPr>
          <w:rFonts w:hint="eastAsia" w:ascii="宋体" w:hAnsi="宋体"/>
          <w:kern w:val="0"/>
          <w:szCs w:val="20"/>
          <w:lang w:val="en-US" w:eastAsia="zh-CN"/>
        </w:rPr>
        <w:t>噪声作业</w:t>
      </w:r>
      <w:r>
        <w:rPr>
          <w:rFonts w:hint="eastAsia" w:ascii="宋体" w:hAnsi="宋体"/>
          <w:kern w:val="0"/>
          <w:szCs w:val="20"/>
        </w:rPr>
        <w:t>工作场所</w:t>
      </w:r>
      <w:r>
        <w:rPr>
          <w:rFonts w:hint="eastAsia" w:ascii="宋体" w:hAnsi="宋体"/>
          <w:kern w:val="0"/>
          <w:szCs w:val="20"/>
          <w:lang w:val="en-US" w:eastAsia="zh-CN"/>
        </w:rPr>
        <w:t>时</w:t>
      </w:r>
      <w:r>
        <w:rPr>
          <w:rFonts w:hint="eastAsia" w:ascii="宋体" w:hAnsi="宋体"/>
          <w:kern w:val="0"/>
          <w:szCs w:val="20"/>
        </w:rPr>
        <w:t>应佩戴护听器。</w:t>
      </w:r>
    </w:p>
    <w:p>
      <w:pPr>
        <w:pStyle w:val="105"/>
        <w:bidi w:val="0"/>
        <w:rPr>
          <w:rFonts w:hint="eastAsia"/>
          <w:lang w:eastAsia="zh-CN"/>
        </w:rPr>
      </w:pPr>
      <w:bookmarkStart w:id="56" w:name="_Toc2358"/>
      <w:r>
        <w:rPr>
          <w:rFonts w:hint="eastAsia"/>
          <w:lang w:val="en-US" w:eastAsia="zh-CN"/>
        </w:rPr>
        <w:t>个人防护措施</w:t>
      </w:r>
      <w:bookmarkEnd w:id="56"/>
    </w:p>
    <w:p>
      <w:pPr>
        <w:pStyle w:val="163"/>
        <w:bidi w:val="0"/>
        <w:rPr>
          <w:rFonts w:hint="eastAsia"/>
          <w:lang w:eastAsia="zh-CN"/>
        </w:rPr>
      </w:pPr>
      <w:r>
        <w:rPr>
          <w:rFonts w:hint="eastAsia" w:ascii="宋体" w:hAnsi="宋体"/>
          <w:kern w:val="0"/>
          <w:szCs w:val="20"/>
          <w:lang w:val="en-US" w:eastAsia="zh-CN"/>
        </w:rPr>
        <w:t>当作业场所8</w:t>
      </w:r>
      <w:r>
        <w:rPr>
          <w:rFonts w:hint="eastAsia" w:hAnsi="宋体"/>
          <w:kern w:val="0"/>
          <w:szCs w:val="20"/>
          <w:lang w:val="en-US" w:eastAsia="zh-CN"/>
        </w:rPr>
        <w:t>h</w:t>
      </w:r>
      <w:r>
        <w:rPr>
          <w:rFonts w:hint="eastAsia" w:ascii="宋体" w:hAnsi="宋体"/>
          <w:kern w:val="0"/>
          <w:szCs w:val="20"/>
          <w:lang w:val="en-US" w:eastAsia="zh-CN"/>
        </w:rPr>
        <w:t>等效声级或40</w:t>
      </w:r>
      <w:r>
        <w:rPr>
          <w:rFonts w:hint="eastAsia" w:hAnsi="宋体"/>
          <w:kern w:val="0"/>
          <w:szCs w:val="20"/>
          <w:lang w:val="en-US" w:eastAsia="zh-CN"/>
        </w:rPr>
        <w:t>h</w:t>
      </w:r>
      <w:r>
        <w:rPr>
          <w:rFonts w:hint="eastAsia" w:ascii="宋体" w:hAnsi="宋体"/>
          <w:kern w:val="0"/>
          <w:szCs w:val="20"/>
          <w:lang w:val="en-US" w:eastAsia="zh-CN"/>
        </w:rPr>
        <w:t>等效声级大于等于80dB(A)但小于85dB(A)时，用人单位</w:t>
      </w:r>
      <w:r>
        <w:rPr>
          <w:rFonts w:hint="eastAsia" w:hAnsi="宋体"/>
          <w:kern w:val="0"/>
          <w:szCs w:val="20"/>
          <w:lang w:val="en-US" w:eastAsia="zh-CN"/>
        </w:rPr>
        <w:t>宜</w:t>
      </w:r>
      <w:r>
        <w:rPr>
          <w:rFonts w:hint="eastAsia" w:ascii="宋体" w:hAnsi="宋体"/>
          <w:kern w:val="0"/>
          <w:szCs w:val="20"/>
          <w:lang w:val="en-US" w:eastAsia="zh-CN"/>
        </w:rPr>
        <w:t>根据劳动者需求为其配备适用的护听器，当作业场所8</w:t>
      </w:r>
      <w:r>
        <w:rPr>
          <w:rFonts w:hint="eastAsia" w:hAnsi="宋体"/>
          <w:kern w:val="0"/>
          <w:szCs w:val="20"/>
          <w:lang w:val="en-US" w:eastAsia="zh-CN"/>
        </w:rPr>
        <w:t>h</w:t>
      </w:r>
      <w:r>
        <w:rPr>
          <w:rFonts w:hint="eastAsia" w:ascii="宋体" w:hAnsi="宋体"/>
          <w:kern w:val="0"/>
          <w:szCs w:val="20"/>
          <w:lang w:val="en-US" w:eastAsia="zh-CN"/>
        </w:rPr>
        <w:t>等效声级或40</w:t>
      </w:r>
      <w:r>
        <w:rPr>
          <w:rFonts w:hint="eastAsia" w:hAnsi="宋体"/>
          <w:kern w:val="0"/>
          <w:szCs w:val="20"/>
          <w:lang w:val="en-US" w:eastAsia="zh-CN"/>
        </w:rPr>
        <w:t>h</w:t>
      </w:r>
      <w:r>
        <w:rPr>
          <w:rFonts w:hint="eastAsia" w:ascii="宋体" w:hAnsi="宋体"/>
          <w:kern w:val="0"/>
          <w:szCs w:val="20"/>
          <w:lang w:val="en-US" w:eastAsia="zh-CN"/>
        </w:rPr>
        <w:t>等效声级大于等于85dB(A)时，用人单位应参照GB/T</w:t>
      </w:r>
      <w:r>
        <w:rPr>
          <w:rFonts w:hint="eastAsia" w:hAnsi="宋体"/>
          <w:kern w:val="0"/>
          <w:szCs w:val="20"/>
          <w:lang w:val="en-US" w:eastAsia="zh-CN"/>
        </w:rPr>
        <w:t xml:space="preserve"> </w:t>
      </w:r>
      <w:r>
        <w:rPr>
          <w:rFonts w:hint="eastAsia" w:ascii="宋体" w:hAnsi="宋体"/>
          <w:kern w:val="0"/>
          <w:szCs w:val="20"/>
          <w:lang w:val="en-US" w:eastAsia="zh-CN"/>
        </w:rPr>
        <w:t>23466的要求为劳动者配备适用的护听器。</w:t>
      </w:r>
    </w:p>
    <w:p>
      <w:pPr>
        <w:pStyle w:val="163"/>
        <w:bidi w:val="0"/>
        <w:rPr>
          <w:rFonts w:hint="eastAsia"/>
          <w:lang w:eastAsia="zh-CN"/>
        </w:rPr>
      </w:pPr>
      <w:r>
        <w:rPr>
          <w:rFonts w:hint="eastAsia" w:ascii="宋体" w:hAnsi="宋体"/>
          <w:kern w:val="0"/>
          <w:szCs w:val="20"/>
        </w:rPr>
        <w:t>用人单位宜为</w:t>
      </w:r>
      <w:r>
        <w:rPr>
          <w:rFonts w:hint="eastAsia" w:ascii="宋体" w:hAnsi="宋体"/>
          <w:kern w:val="0"/>
          <w:szCs w:val="20"/>
          <w:lang w:val="en-US" w:eastAsia="zh-CN"/>
        </w:rPr>
        <w:t>其他接触</w:t>
      </w:r>
      <w:r>
        <w:rPr>
          <w:rFonts w:hint="eastAsia" w:ascii="宋体" w:hAnsi="宋体"/>
          <w:kern w:val="0"/>
          <w:szCs w:val="20"/>
        </w:rPr>
        <w:t>噪声的劳动者配备护听器。</w:t>
      </w:r>
    </w:p>
    <w:p>
      <w:pPr>
        <w:pStyle w:val="163"/>
        <w:bidi w:val="0"/>
        <w:rPr>
          <w:rFonts w:hint="eastAsia"/>
          <w:lang w:eastAsia="zh-CN"/>
        </w:rPr>
      </w:pPr>
      <w:r>
        <w:rPr>
          <w:rFonts w:hint="eastAsia" w:hAnsi="宋体"/>
        </w:rPr>
        <w:t>用人单位在发放个人防护用品时</w:t>
      </w:r>
      <w:r>
        <w:rPr>
          <w:rFonts w:hint="eastAsia" w:hAnsi="宋体"/>
          <w:lang w:val="en-US" w:eastAsia="zh-CN"/>
        </w:rPr>
        <w:t>应</w:t>
      </w:r>
      <w:r>
        <w:rPr>
          <w:rFonts w:hint="eastAsia" w:hAnsi="宋体"/>
        </w:rPr>
        <w:t>做好记录，个人防护用品领用清单参见附录</w:t>
      </w:r>
      <w:r>
        <w:rPr>
          <w:rFonts w:hint="eastAsia" w:hAnsi="宋体"/>
          <w:lang w:val="en-US" w:eastAsia="zh-CN"/>
        </w:rPr>
        <w:t>E</w:t>
      </w:r>
      <w:r>
        <w:rPr>
          <w:rFonts w:hint="eastAsia" w:hAnsi="宋体"/>
        </w:rPr>
        <w:t>。</w:t>
      </w:r>
    </w:p>
    <w:p>
      <w:pPr>
        <w:pStyle w:val="163"/>
        <w:bidi w:val="0"/>
        <w:rPr>
          <w:rFonts w:hint="eastAsia"/>
          <w:lang w:eastAsia="zh-CN"/>
        </w:rPr>
      </w:pPr>
      <w:r>
        <w:rPr>
          <w:rFonts w:hint="eastAsia" w:ascii="宋体" w:hAnsi="宋体"/>
          <w:kern w:val="0"/>
          <w:szCs w:val="20"/>
        </w:rPr>
        <w:t>用人单位应督促、指导劳动者按照产品使用规则正确</w:t>
      </w:r>
      <w:r>
        <w:rPr>
          <w:rFonts w:hint="eastAsia" w:ascii="宋体" w:hAnsi="宋体"/>
          <w:kern w:val="0"/>
          <w:szCs w:val="20"/>
          <w:lang w:val="en-US" w:eastAsia="zh-CN"/>
        </w:rPr>
        <w:t>佩戴</w:t>
      </w:r>
      <w:r>
        <w:rPr>
          <w:rFonts w:hint="eastAsia" w:ascii="宋体" w:hAnsi="宋体"/>
          <w:kern w:val="0"/>
          <w:szCs w:val="20"/>
        </w:rPr>
        <w:t>、使用护听器。</w:t>
      </w:r>
    </w:p>
    <w:p>
      <w:pPr>
        <w:pStyle w:val="163"/>
        <w:bidi w:val="0"/>
        <w:rPr>
          <w:rFonts w:hint="eastAsia"/>
          <w:lang w:eastAsia="zh-CN"/>
        </w:rPr>
      </w:pPr>
      <w:r>
        <w:rPr>
          <w:rFonts w:hint="eastAsia" w:ascii="宋体" w:hAnsi="宋体"/>
          <w:kern w:val="0"/>
          <w:szCs w:val="20"/>
        </w:rPr>
        <w:t>用人单位应定期对个人职业病防护用品进行维护、保养，并</w:t>
      </w:r>
      <w:r>
        <w:rPr>
          <w:rFonts w:hint="eastAsia" w:hAnsi="宋体"/>
          <w:kern w:val="0"/>
          <w:szCs w:val="20"/>
          <w:lang w:val="en-US" w:eastAsia="zh-CN"/>
        </w:rPr>
        <w:t>对有效性</w:t>
      </w:r>
      <w:r>
        <w:rPr>
          <w:rFonts w:hint="eastAsia" w:ascii="宋体" w:hAnsi="宋体"/>
          <w:kern w:val="0"/>
          <w:szCs w:val="20"/>
        </w:rPr>
        <w:t>进行确认，在确认其失效时应及时报废和更换</w:t>
      </w:r>
      <w:r>
        <w:rPr>
          <w:rFonts w:hint="eastAsia" w:ascii="宋体" w:hAnsi="宋体"/>
          <w:kern w:val="0"/>
          <w:szCs w:val="20"/>
          <w:lang w:val="en-US" w:eastAsia="zh-CN"/>
        </w:rPr>
        <w:t>.</w:t>
      </w:r>
      <w:r>
        <w:rPr>
          <w:rFonts w:hint="eastAsia" w:ascii="宋体" w:hAnsi="宋体"/>
          <w:kern w:val="0"/>
          <w:szCs w:val="20"/>
        </w:rPr>
        <w:t>对于一次性使用的个人防护用品，应定期检查其数量是否充足并及时补充。</w:t>
      </w:r>
    </w:p>
    <w:p>
      <w:pPr>
        <w:pStyle w:val="105"/>
        <w:bidi w:val="0"/>
        <w:rPr>
          <w:rFonts w:hint="eastAsia"/>
          <w:lang w:eastAsia="zh-CN"/>
        </w:rPr>
      </w:pPr>
      <w:bookmarkStart w:id="57" w:name="_Toc1772"/>
      <w:r>
        <w:rPr>
          <w:rFonts w:hint="eastAsia"/>
          <w:lang w:val="en-US" w:eastAsia="zh-CN"/>
        </w:rPr>
        <w:t>职业健康监护</w:t>
      </w:r>
      <w:bookmarkEnd w:id="57"/>
    </w:p>
    <w:p>
      <w:pPr>
        <w:pStyle w:val="163"/>
        <w:bidi w:val="0"/>
        <w:rPr>
          <w:rFonts w:hint="eastAsia"/>
          <w:lang w:eastAsia="zh-CN"/>
        </w:rPr>
      </w:pPr>
      <w:r>
        <w:rPr>
          <w:rFonts w:hint="eastAsia"/>
          <w:lang w:eastAsia="zh-CN"/>
        </w:rPr>
        <w:t>用人单位应组织劳动者进行职业健康检查并承担职业健康检查费用，劳动者参加职业健康检查应视为正常出勤。</w:t>
      </w:r>
    </w:p>
    <w:p>
      <w:pPr>
        <w:pStyle w:val="163"/>
        <w:bidi w:val="0"/>
        <w:rPr>
          <w:rFonts w:hint="eastAsia"/>
          <w:lang w:eastAsia="zh-CN"/>
        </w:rPr>
      </w:pPr>
      <w:r>
        <w:rPr>
          <w:rFonts w:hint="eastAsia"/>
          <w:lang w:eastAsia="zh-CN"/>
        </w:rPr>
        <w:t>对拟从事噪声作业</w:t>
      </w:r>
      <w:r>
        <w:rPr>
          <w:rFonts w:hint="eastAsia"/>
          <w:lang w:val="en-US" w:eastAsia="zh-CN"/>
        </w:rPr>
        <w:t>岗位</w:t>
      </w:r>
      <w:r>
        <w:rPr>
          <w:rFonts w:hint="eastAsia"/>
          <w:lang w:eastAsia="zh-CN"/>
        </w:rPr>
        <w:t>的新录用劳动者及拟转岗至噪声作业岗位的劳动者应进行上岗前的职业健康检查。</w:t>
      </w:r>
    </w:p>
    <w:p>
      <w:pPr>
        <w:pStyle w:val="163"/>
        <w:bidi w:val="0"/>
        <w:rPr>
          <w:rFonts w:hint="eastAsia"/>
          <w:lang w:eastAsia="zh-CN"/>
        </w:rPr>
      </w:pPr>
      <w:r>
        <w:rPr>
          <w:rFonts w:hint="eastAsia"/>
          <w:lang w:val="en-US" w:eastAsia="zh-CN"/>
        </w:rPr>
        <w:t>用人单位</w:t>
      </w:r>
      <w:r>
        <w:rPr>
          <w:rFonts w:hint="eastAsia"/>
          <w:lang w:eastAsia="zh-CN"/>
        </w:rPr>
        <w:t>应按照GBZ 188的要求安排</w:t>
      </w:r>
      <w:r>
        <w:rPr>
          <w:rFonts w:hint="eastAsia"/>
          <w:lang w:val="en-US" w:eastAsia="zh-CN"/>
        </w:rPr>
        <w:t>从事噪声作业岗位的</w:t>
      </w:r>
      <w:r>
        <w:rPr>
          <w:rFonts w:hint="eastAsia"/>
          <w:lang w:eastAsia="zh-CN"/>
        </w:rPr>
        <w:t>劳动者进行在岗期间职业健康检查。</w:t>
      </w:r>
    </w:p>
    <w:p>
      <w:pPr>
        <w:pStyle w:val="163"/>
        <w:bidi w:val="0"/>
        <w:rPr>
          <w:rFonts w:hint="eastAsia"/>
          <w:lang w:eastAsia="zh-CN"/>
        </w:rPr>
      </w:pPr>
      <w:r>
        <w:rPr>
          <w:rFonts w:hint="eastAsia"/>
          <w:lang w:eastAsia="zh-CN"/>
        </w:rPr>
        <w:t>对需要复查的劳动者，应根据复查要求</w:t>
      </w:r>
      <w:r>
        <w:rPr>
          <w:rFonts w:hint="eastAsia"/>
          <w:lang w:val="en-US" w:eastAsia="zh-CN"/>
        </w:rPr>
        <w:t>安排</w:t>
      </w:r>
      <w:r>
        <w:rPr>
          <w:rFonts w:hint="eastAsia"/>
          <w:lang w:eastAsia="zh-CN"/>
        </w:rPr>
        <w:t>劳动者及时进行复查。</w:t>
      </w:r>
    </w:p>
    <w:p>
      <w:pPr>
        <w:pStyle w:val="163"/>
        <w:bidi w:val="0"/>
        <w:rPr>
          <w:rFonts w:hint="eastAsia"/>
          <w:lang w:eastAsia="zh-CN"/>
        </w:rPr>
      </w:pPr>
      <w:r>
        <w:rPr>
          <w:rFonts w:hint="eastAsia"/>
          <w:lang w:val="en-US" w:eastAsia="zh-CN"/>
        </w:rPr>
        <w:t>经</w:t>
      </w:r>
      <w:r>
        <w:rPr>
          <w:rFonts w:hint="eastAsia"/>
          <w:lang w:eastAsia="zh-CN"/>
        </w:rPr>
        <w:t>职业健康检查发现噪声职业禁忌证的劳动者，应及时安排调离噪声作业岗位并不准许从事噪声作业。</w:t>
      </w:r>
    </w:p>
    <w:p>
      <w:pPr>
        <w:pStyle w:val="163"/>
        <w:bidi w:val="0"/>
        <w:rPr>
          <w:rFonts w:hint="eastAsia"/>
          <w:lang w:eastAsia="zh-CN"/>
        </w:rPr>
      </w:pPr>
      <w:r>
        <w:rPr>
          <w:rFonts w:hint="eastAsia"/>
          <w:lang w:eastAsia="zh-CN"/>
        </w:rPr>
        <w:t>发现疑似职业病病人应按规定</w:t>
      </w:r>
      <w:r>
        <w:rPr>
          <w:rFonts w:hint="eastAsia"/>
          <w:lang w:val="en-US" w:eastAsia="zh-CN"/>
        </w:rPr>
        <w:t>向</w:t>
      </w:r>
      <w:r>
        <w:rPr>
          <w:rFonts w:hint="eastAsia"/>
          <w:lang w:eastAsia="zh-CN"/>
        </w:rPr>
        <w:t>所在地卫生行政部门报告并安排疑似职业病病人进行职业病诊断或医学观察，在职业病诊断或医学观察期间不宜安排疑似职业病病人继续从事噪声作业。</w:t>
      </w:r>
    </w:p>
    <w:p>
      <w:pPr>
        <w:pStyle w:val="163"/>
        <w:bidi w:val="0"/>
        <w:rPr>
          <w:rFonts w:hint="eastAsia"/>
          <w:lang w:eastAsia="zh-CN"/>
        </w:rPr>
      </w:pPr>
      <w:r>
        <w:rPr>
          <w:rFonts w:hint="eastAsia"/>
          <w:lang w:eastAsia="zh-CN"/>
        </w:rPr>
        <w:t>用人单位应如实提供职业病诊断、鉴定所需的劳动者职业史和职业病危害接触史、工作场所职业病危害因素检测结果等资料。</w:t>
      </w:r>
    </w:p>
    <w:p>
      <w:pPr>
        <w:pStyle w:val="163"/>
        <w:bidi w:val="0"/>
        <w:rPr>
          <w:rFonts w:hint="eastAsia"/>
          <w:lang w:eastAsia="zh-CN"/>
        </w:rPr>
      </w:pPr>
      <w:r>
        <w:rPr>
          <w:rFonts w:hint="eastAsia"/>
          <w:lang w:eastAsia="zh-CN"/>
        </w:rPr>
        <w:t>对</w:t>
      </w:r>
      <w:r>
        <w:rPr>
          <w:rFonts w:hint="eastAsia"/>
          <w:lang w:val="en-US" w:eastAsia="zh-CN"/>
        </w:rPr>
        <w:t>拟</w:t>
      </w:r>
      <w:r>
        <w:rPr>
          <w:rFonts w:hint="eastAsia"/>
          <w:lang w:eastAsia="zh-CN"/>
        </w:rPr>
        <w:t>离开</w:t>
      </w:r>
      <w:r>
        <w:rPr>
          <w:rFonts w:hint="eastAsia"/>
          <w:lang w:val="en-US" w:eastAsia="zh-CN"/>
        </w:rPr>
        <w:t>噪声作业</w:t>
      </w:r>
      <w:r>
        <w:rPr>
          <w:rFonts w:hint="eastAsia"/>
          <w:lang w:eastAsia="zh-CN"/>
        </w:rPr>
        <w:t>岗位的劳动者，应在离岗前30日内组织离岗时职业健康检查。离岗前90日内的在岗期间职业健康检查可视为离岗时职业健康检查。</w:t>
      </w:r>
    </w:p>
    <w:p>
      <w:pPr>
        <w:pStyle w:val="163"/>
        <w:bidi w:val="0"/>
        <w:rPr>
          <w:rFonts w:hint="eastAsia"/>
          <w:lang w:eastAsia="zh-CN"/>
        </w:rPr>
      </w:pPr>
      <w:r>
        <w:rPr>
          <w:rFonts w:hint="eastAsia"/>
          <w:lang w:eastAsia="zh-CN"/>
        </w:rPr>
        <w:t>用人单位应将职业性噪声聋</w:t>
      </w:r>
      <w:r>
        <w:rPr>
          <w:rFonts w:hint="eastAsia"/>
          <w:lang w:val="en-US" w:eastAsia="zh-CN"/>
        </w:rPr>
        <w:t>患者</w:t>
      </w:r>
      <w:r>
        <w:rPr>
          <w:rFonts w:hint="eastAsia"/>
          <w:lang w:eastAsia="zh-CN"/>
        </w:rPr>
        <w:t>调离噪声作业岗位并进行治疗、康复和定期检查，保障职业性噪声聋病人依法享受国家规定的职业病待遇。</w:t>
      </w:r>
    </w:p>
    <w:p>
      <w:pPr>
        <w:pStyle w:val="163"/>
        <w:bidi w:val="0"/>
        <w:rPr>
          <w:rFonts w:hint="eastAsia"/>
          <w:lang w:eastAsia="zh-CN"/>
        </w:rPr>
      </w:pPr>
      <w:r>
        <w:rPr>
          <w:rFonts w:hint="eastAsia"/>
          <w:lang w:eastAsia="zh-CN"/>
        </w:rPr>
        <w:t>因故</w:t>
      </w:r>
      <w:r>
        <w:rPr>
          <w:rFonts w:hint="eastAsia"/>
          <w:lang w:val="en-US" w:eastAsia="zh-CN"/>
        </w:rPr>
        <w:t>离开</w:t>
      </w:r>
      <w:r>
        <w:rPr>
          <w:rFonts w:hint="eastAsia"/>
          <w:lang w:eastAsia="zh-CN"/>
        </w:rPr>
        <w:t>噪声作业岗位的劳动者需要</w:t>
      </w:r>
      <w:r>
        <w:rPr>
          <w:rFonts w:hint="eastAsia"/>
          <w:lang w:val="en-US" w:eastAsia="zh-CN"/>
        </w:rPr>
        <w:t>再次</w:t>
      </w:r>
      <w:r>
        <w:rPr>
          <w:rFonts w:hint="eastAsia"/>
          <w:lang w:eastAsia="zh-CN"/>
        </w:rPr>
        <w:t>从事噪声作业的，</w:t>
      </w:r>
      <w:r>
        <w:rPr>
          <w:rFonts w:hint="eastAsia"/>
          <w:lang w:val="en-US" w:eastAsia="zh-CN"/>
        </w:rPr>
        <w:t>用人单位</w:t>
      </w:r>
      <w:r>
        <w:rPr>
          <w:rFonts w:hint="eastAsia"/>
          <w:lang w:eastAsia="zh-CN"/>
        </w:rPr>
        <w:t>应安排其进行上岗前职业健康检查。</w:t>
      </w:r>
    </w:p>
    <w:p>
      <w:pPr>
        <w:pStyle w:val="163"/>
        <w:bidi w:val="0"/>
        <w:rPr>
          <w:rFonts w:hint="eastAsia"/>
          <w:lang w:eastAsia="zh-CN"/>
        </w:rPr>
      </w:pPr>
      <w:r>
        <w:rPr>
          <w:rFonts w:hint="eastAsia"/>
          <w:lang w:eastAsia="zh-CN"/>
        </w:rPr>
        <w:t>职业健康检查结果应及时书面告知劳动者。告知记录参见附录F。</w:t>
      </w:r>
    </w:p>
    <w:p>
      <w:pPr>
        <w:pStyle w:val="163"/>
        <w:bidi w:val="0"/>
        <w:rPr>
          <w:rFonts w:hint="eastAsia"/>
          <w:lang w:eastAsia="zh-CN"/>
        </w:rPr>
      </w:pPr>
      <w:r>
        <w:rPr>
          <w:rFonts w:hint="eastAsia"/>
          <w:lang w:eastAsia="zh-CN"/>
        </w:rPr>
        <w:t>对职业健康检查中显示劳动者听力检测结果存在异常（包括尚不满足职业禁忌证的）的作业岗位，用人单位宜按本文件5.2.2的要求开展自查并加强噪声作业职业健康监护及职业健康管理，防止听力损伤扩大。</w:t>
      </w:r>
    </w:p>
    <w:p>
      <w:pPr>
        <w:pStyle w:val="163"/>
        <w:bidi w:val="0"/>
        <w:rPr>
          <w:rFonts w:hint="eastAsia"/>
          <w:lang w:eastAsia="zh-CN"/>
        </w:rPr>
      </w:pPr>
      <w:r>
        <w:rPr>
          <w:rFonts w:hint="eastAsia"/>
          <w:lang w:eastAsia="zh-CN"/>
        </w:rPr>
        <w:t>劳动者职业健康监护档案应与职业健康管理制度等资料共同存入用人单位职业健康档案，职业健康档案应符合附录G的规定。</w:t>
      </w:r>
      <w:r>
        <w:rPr>
          <w:rFonts w:hint="eastAsia"/>
          <w:lang w:eastAsia="zh-CN"/>
        </w:rPr>
        <w:br w:type="textWrapping"/>
      </w:r>
    </w:p>
    <w:p>
      <w:pPr>
        <w:pStyle w:val="78"/>
        <w:numPr>
          <w:ilvl w:val="1"/>
          <w:numId w:val="0"/>
        </w:numPr>
        <w:bidi w:val="0"/>
        <w:ind w:leftChars="0"/>
        <w:jc w:val="both"/>
        <w:rPr>
          <w:rFonts w:hint="eastAsia"/>
          <w:lang w:eastAsia="zh-CN"/>
        </w:rPr>
      </w:pPr>
    </w:p>
    <w:p>
      <w:pPr>
        <w:pStyle w:val="57"/>
        <w:bidi w:val="0"/>
        <w:rPr>
          <w:rFonts w:hint="eastAsia"/>
          <w:lang w:eastAsia="zh-CN"/>
        </w:rPr>
      </w:pPr>
    </w:p>
    <w:p>
      <w:pPr>
        <w:pStyle w:val="57"/>
        <w:bidi w:val="0"/>
        <w:rPr>
          <w:rFonts w:hint="eastAsia"/>
          <w:lang w:eastAsia="zh-CN"/>
        </w:rPr>
        <w:sectPr>
          <w:headerReference r:id="rId14" w:type="default"/>
          <w:footerReference r:id="rId16" w:type="default"/>
          <w:headerReference r:id="rId15" w:type="even"/>
          <w:footerReference r:id="rId17" w:type="even"/>
          <w:pgSz w:w="11906" w:h="16838"/>
          <w:pgMar w:top="1928" w:right="1134" w:bottom="1134" w:left="1134" w:header="1418" w:footer="1134" w:gutter="284"/>
          <w:pgNumType w:fmt="decimal"/>
          <w:cols w:space="425" w:num="1"/>
          <w:formProt w:val="0"/>
          <w:docGrid w:type="lines" w:linePitch="312" w:charSpace="0"/>
        </w:sectPr>
      </w:pPr>
    </w:p>
    <w:bookmarkEnd w:id="24"/>
    <w:p>
      <w:pPr>
        <w:pStyle w:val="199"/>
        <w:bidi w:val="0"/>
        <w:rPr>
          <w:rFonts w:hint="eastAsia"/>
          <w:lang w:eastAsia="zh-CN"/>
        </w:rPr>
      </w:pPr>
      <w:bookmarkStart w:id="58" w:name="BookMark5"/>
    </w:p>
    <w:p>
      <w:pPr>
        <w:pStyle w:val="200"/>
        <w:bidi w:val="0"/>
        <w:rPr>
          <w:rFonts w:hint="eastAsia"/>
          <w:lang w:eastAsia="zh-CN"/>
        </w:rPr>
      </w:pPr>
    </w:p>
    <w:p>
      <w:pPr>
        <w:pStyle w:val="77"/>
        <w:bidi w:val="0"/>
        <w:rPr>
          <w:rFonts w:hint="eastAsia"/>
          <w:lang w:eastAsia="zh-CN"/>
        </w:rPr>
      </w:pPr>
      <w:bookmarkStart w:id="59" w:name="_Toc10393"/>
      <w:r>
        <w:rPr>
          <w:rFonts w:hint="eastAsia"/>
          <w:lang w:eastAsia="zh-CN"/>
        </w:rPr>
        <w:br w:type="textWrapping"/>
      </w:r>
      <w:r>
        <w:rPr>
          <w:rFonts w:hint="eastAsia"/>
          <w:lang w:eastAsia="zh-CN"/>
        </w:rPr>
        <w:t>（规范性）</w:t>
      </w:r>
      <w:r>
        <w:rPr>
          <w:rFonts w:hint="eastAsia"/>
          <w:lang w:eastAsia="zh-CN"/>
        </w:rPr>
        <w:br w:type="textWrapping"/>
      </w:r>
      <w:r>
        <w:rPr>
          <w:rFonts w:hint="eastAsia"/>
          <w:lang w:eastAsia="zh-CN"/>
        </w:rPr>
        <w:t>职业健康管理制度内容与要求</w:t>
      </w:r>
      <w:bookmarkEnd w:id="59"/>
    </w:p>
    <w:p>
      <w:pPr>
        <w:pStyle w:val="57"/>
        <w:bidi w:val="0"/>
        <w:rPr>
          <w:rFonts w:hint="eastAsia" w:eastAsia="宋体"/>
          <w:lang w:eastAsia="zh-CN"/>
        </w:rPr>
      </w:pPr>
      <w:r>
        <w:rPr>
          <w:rFonts w:hint="eastAsia" w:hAnsi="宋体" w:cs="宋体"/>
        </w:rPr>
        <w:t>表</w:t>
      </w:r>
      <w:r>
        <w:rPr>
          <w:rFonts w:hint="eastAsia" w:hAnsi="宋体" w:cs="宋体"/>
          <w:lang w:val="en-US" w:eastAsia="zh-CN"/>
        </w:rPr>
        <w:t>A</w:t>
      </w:r>
      <w:r>
        <w:rPr>
          <w:rFonts w:hint="eastAsia" w:hAnsi="宋体" w:cs="宋体"/>
        </w:rPr>
        <w:t>.1</w:t>
      </w:r>
      <w:r>
        <w:rPr>
          <w:rFonts w:hint="eastAsia" w:hAnsi="宋体" w:cs="宋体"/>
          <w:lang w:val="en-US" w:eastAsia="zh-CN"/>
        </w:rPr>
        <w:t>规定了了</w:t>
      </w:r>
      <w:r>
        <w:rPr>
          <w:rFonts w:hint="eastAsia" w:hAnsi="宋体" w:cs="宋体"/>
          <w:lang w:eastAsia="zh-CN"/>
        </w:rPr>
        <w:t>职业健康</w:t>
      </w:r>
      <w:r>
        <w:rPr>
          <w:rFonts w:hint="eastAsia" w:hAnsi="宋体" w:cs="宋体"/>
        </w:rPr>
        <w:t>管理制度内容与要求</w:t>
      </w:r>
      <w:r>
        <w:rPr>
          <w:rFonts w:hint="eastAsia" w:hAnsi="宋体" w:cs="宋体"/>
          <w:lang w:eastAsia="zh-CN"/>
        </w:rPr>
        <w:t>。</w:t>
      </w:r>
    </w:p>
    <w:p>
      <w:pPr>
        <w:pStyle w:val="78"/>
        <w:bidi w:val="0"/>
        <w:rPr>
          <w:rFonts w:hint="eastAsia"/>
          <w:lang w:eastAsia="zh-CN"/>
        </w:rPr>
      </w:pPr>
      <w:r>
        <w:rPr>
          <w:rFonts w:hint="eastAsia" w:ascii="黑体" w:hAnsi="黑体" w:eastAsia="黑体" w:cs="黑体"/>
          <w:lang w:eastAsia="zh-CN"/>
        </w:rPr>
        <w:t>职业健康</w:t>
      </w:r>
      <w:r>
        <w:rPr>
          <w:rFonts w:hint="eastAsia" w:ascii="黑体" w:hAnsi="黑体" w:eastAsia="黑体" w:cs="黑体"/>
        </w:rPr>
        <w:t>管理制度内容与要求</w:t>
      </w:r>
    </w:p>
    <w:tbl>
      <w:tblPr>
        <w:tblStyle w:val="28"/>
        <w:tblW w:w="9562"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100" w:type="dxa"/>
          <w:bottom w:w="0" w:type="dxa"/>
          <w:right w:w="100" w:type="dxa"/>
        </w:tblCellMar>
      </w:tblPr>
      <w:tblGrid>
        <w:gridCol w:w="2528"/>
        <w:gridCol w:w="7034"/>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0" w:type="dxa"/>
            <w:bottom w:w="0" w:type="dxa"/>
            <w:right w:w="100" w:type="dxa"/>
          </w:tblCellMar>
        </w:tblPrEx>
        <w:trPr>
          <w:trHeight w:val="256" w:hRule="atLeast"/>
          <w:tblHeader/>
          <w:jc w:val="center"/>
        </w:trPr>
        <w:tc>
          <w:tcPr>
            <w:tcW w:w="2528" w:type="dxa"/>
            <w:tcBorders>
              <w:bottom w:val="single" w:color="auto" w:sz="8" w:space="0"/>
            </w:tcBorders>
            <w:vAlign w:val="center"/>
          </w:tcPr>
          <w:p>
            <w:pPr>
              <w:pStyle w:val="179"/>
              <w:bidi w:val="0"/>
              <w:spacing w:line="240" w:lineRule="auto"/>
              <w:jc w:val="center"/>
              <w:rPr>
                <w:rFonts w:hint="default"/>
                <w:sz w:val="18"/>
                <w:lang w:val="en-US" w:eastAsia="zh-CN"/>
              </w:rPr>
            </w:pPr>
            <w:r>
              <w:rPr>
                <w:rFonts w:hint="eastAsia"/>
                <w:sz w:val="18"/>
                <w:lang w:val="en-US" w:eastAsia="zh-CN"/>
              </w:rPr>
              <w:t>制度名称</w:t>
            </w:r>
          </w:p>
        </w:tc>
        <w:tc>
          <w:tcPr>
            <w:tcW w:w="7034" w:type="dxa"/>
            <w:tcBorders>
              <w:bottom w:val="single" w:color="auto" w:sz="8" w:space="0"/>
            </w:tcBorders>
            <w:vAlign w:val="center"/>
          </w:tcPr>
          <w:p>
            <w:pPr>
              <w:pStyle w:val="179"/>
              <w:bidi w:val="0"/>
              <w:spacing w:line="240" w:lineRule="auto"/>
              <w:jc w:val="center"/>
              <w:rPr>
                <w:rFonts w:hint="default"/>
                <w:sz w:val="18"/>
                <w:lang w:val="en-US" w:eastAsia="zh-CN"/>
              </w:rPr>
            </w:pPr>
            <w:r>
              <w:rPr>
                <w:rFonts w:hint="eastAsia"/>
                <w:sz w:val="18"/>
                <w:lang w:val="en-US" w:eastAsia="zh-CN"/>
              </w:rPr>
              <w:t>制度内容及要求</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0" w:type="dxa"/>
            <w:bottom w:w="0" w:type="dxa"/>
            <w:right w:w="100" w:type="dxa"/>
          </w:tblCellMar>
        </w:tblPrEx>
        <w:trPr>
          <w:jc w:val="center"/>
        </w:trPr>
        <w:tc>
          <w:tcPr>
            <w:tcW w:w="2528" w:type="dxa"/>
            <w:tcBorders>
              <w:top w:val="single" w:color="auto" w:sz="8" w:space="0"/>
            </w:tcBorders>
            <w:shd w:val="clear" w:color="auto" w:fill="auto"/>
            <w:vAlign w:val="top"/>
          </w:tcPr>
          <w:p>
            <w:pPr>
              <w:pStyle w:val="231"/>
              <w:ind w:left="0" w:leftChars="0" w:firstLine="0" w:firstLineChars="0"/>
              <w:jc w:val="left"/>
              <w:rPr>
                <w:rFonts w:hint="eastAsia" w:ascii="宋体" w:hAnsi="宋体" w:eastAsia="宋体" w:cs="Times New Roman"/>
                <w:sz w:val="18"/>
                <w:szCs w:val="18"/>
                <w:lang w:val="en-US" w:eastAsia="zh-CN" w:bidi="ar-SA"/>
              </w:rPr>
            </w:pPr>
            <w:r>
              <w:rPr>
                <w:rFonts w:hint="eastAsia" w:hAnsi="宋体"/>
                <w:sz w:val="18"/>
                <w:szCs w:val="18"/>
              </w:rPr>
              <w:t>职业病危害防治责任制度</w:t>
            </w:r>
          </w:p>
        </w:tc>
        <w:tc>
          <w:tcPr>
            <w:tcW w:w="7034" w:type="dxa"/>
            <w:tcBorders>
              <w:top w:val="single" w:color="auto" w:sz="8" w:space="0"/>
            </w:tcBorders>
            <w:shd w:val="clear" w:color="auto" w:fill="auto"/>
            <w:vAlign w:val="top"/>
          </w:tcPr>
          <w:p>
            <w:pPr>
              <w:pStyle w:val="231"/>
              <w:ind w:firstLine="90" w:firstLineChars="50"/>
              <w:rPr>
                <w:rFonts w:hint="eastAsia" w:hAnsi="宋体"/>
                <w:sz w:val="18"/>
                <w:szCs w:val="18"/>
              </w:rPr>
            </w:pPr>
            <w:r>
              <w:rPr>
                <w:rFonts w:hint="eastAsia" w:hAnsi="宋体"/>
                <w:sz w:val="18"/>
                <w:szCs w:val="18"/>
              </w:rPr>
              <w:t>1.职业病危害严重或者劳动者超过一百人的用人单位，应当设置或者指定</w:t>
            </w:r>
            <w:r>
              <w:rPr>
                <w:rFonts w:hint="eastAsia" w:hAnsi="宋体"/>
                <w:sz w:val="18"/>
                <w:szCs w:val="18"/>
                <w:lang w:eastAsia="zh-CN"/>
              </w:rPr>
              <w:t>职业健康</w:t>
            </w:r>
            <w:r>
              <w:rPr>
                <w:rFonts w:hint="eastAsia" w:hAnsi="宋体"/>
                <w:sz w:val="18"/>
                <w:szCs w:val="18"/>
              </w:rPr>
              <w:t>管理机构或者组织，配备专职</w:t>
            </w:r>
            <w:r>
              <w:rPr>
                <w:rFonts w:hint="eastAsia" w:hAnsi="宋体"/>
                <w:sz w:val="18"/>
                <w:szCs w:val="18"/>
                <w:lang w:eastAsia="zh-CN"/>
              </w:rPr>
              <w:t>职业健康</w:t>
            </w:r>
            <w:r>
              <w:rPr>
                <w:rFonts w:hint="eastAsia" w:hAnsi="宋体"/>
                <w:sz w:val="18"/>
                <w:szCs w:val="18"/>
              </w:rPr>
              <w:t>管理人员，劳动者在一百人以下的，应当配备专职或者兼职的</w:t>
            </w:r>
            <w:r>
              <w:rPr>
                <w:rFonts w:hint="eastAsia" w:hAnsi="宋体"/>
                <w:sz w:val="18"/>
                <w:szCs w:val="18"/>
                <w:lang w:eastAsia="zh-CN"/>
              </w:rPr>
              <w:t>职业健康</w:t>
            </w:r>
            <w:r>
              <w:rPr>
                <w:rFonts w:hint="eastAsia" w:hAnsi="宋体"/>
                <w:sz w:val="18"/>
                <w:szCs w:val="18"/>
              </w:rPr>
              <w:t>管理人员。</w:t>
            </w:r>
          </w:p>
          <w:p>
            <w:pPr>
              <w:pStyle w:val="231"/>
              <w:ind w:firstLine="90" w:firstLineChars="50"/>
              <w:rPr>
                <w:rFonts w:hint="eastAsia" w:hAnsi="宋体"/>
                <w:sz w:val="18"/>
                <w:szCs w:val="18"/>
              </w:rPr>
            </w:pPr>
            <w:r>
              <w:rPr>
                <w:rFonts w:hint="eastAsia" w:hAnsi="宋体"/>
                <w:sz w:val="18"/>
                <w:szCs w:val="18"/>
              </w:rPr>
              <w:t>2.</w:t>
            </w:r>
            <w:r>
              <w:rPr>
                <w:rFonts w:hint="eastAsia" w:hAnsi="宋体"/>
                <w:sz w:val="18"/>
                <w:szCs w:val="18"/>
                <w:lang w:eastAsia="zh-CN"/>
              </w:rPr>
              <w:t>职业健康</w:t>
            </w:r>
            <w:r>
              <w:rPr>
                <w:rFonts w:hint="eastAsia" w:hAnsi="宋体"/>
                <w:sz w:val="18"/>
                <w:szCs w:val="18"/>
              </w:rPr>
              <w:t>管理人员数量应满足内部管理需求。</w:t>
            </w:r>
          </w:p>
          <w:p>
            <w:pPr>
              <w:pStyle w:val="231"/>
              <w:ind w:firstLine="90" w:firstLineChars="50"/>
              <w:rPr>
                <w:rFonts w:hint="eastAsia" w:ascii="宋体" w:hAnsi="宋体" w:eastAsia="宋体" w:cs="Times New Roman"/>
                <w:sz w:val="18"/>
                <w:szCs w:val="18"/>
                <w:lang w:val="en-US" w:eastAsia="zh-CN" w:bidi="ar-SA"/>
              </w:rPr>
            </w:pPr>
            <w:r>
              <w:rPr>
                <w:rFonts w:hint="eastAsia" w:hAnsi="宋体"/>
                <w:sz w:val="18"/>
                <w:szCs w:val="18"/>
              </w:rPr>
              <w:t>3.明确职业病危害防治相关部门和人员的职责和工作内容。</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0" w:type="dxa"/>
            <w:bottom w:w="0" w:type="dxa"/>
            <w:right w:w="100" w:type="dxa"/>
          </w:tblCellMar>
        </w:tblPrEx>
        <w:trPr>
          <w:jc w:val="center"/>
        </w:trPr>
        <w:tc>
          <w:tcPr>
            <w:tcW w:w="2528" w:type="dxa"/>
            <w:shd w:val="clear" w:color="auto" w:fill="auto"/>
            <w:vAlign w:val="top"/>
          </w:tcPr>
          <w:p>
            <w:pPr>
              <w:pStyle w:val="231"/>
              <w:ind w:left="0" w:leftChars="0" w:firstLine="0" w:firstLineChars="0"/>
              <w:rPr>
                <w:rFonts w:hint="eastAsia" w:hAnsi="宋体"/>
                <w:sz w:val="18"/>
                <w:szCs w:val="18"/>
              </w:rPr>
            </w:pPr>
            <w:r>
              <w:rPr>
                <w:rFonts w:hint="eastAsia" w:hAnsi="宋体"/>
                <w:sz w:val="18"/>
                <w:szCs w:val="18"/>
              </w:rPr>
              <w:t>职业病危害警示与告知制度</w:t>
            </w:r>
          </w:p>
          <w:p>
            <w:pPr>
              <w:pStyle w:val="231"/>
              <w:ind w:firstLine="0" w:firstLineChars="0"/>
              <w:jc w:val="left"/>
              <w:rPr>
                <w:rFonts w:hint="eastAsia" w:ascii="宋体" w:hAnsi="宋体" w:eastAsia="宋体" w:cs="Times New Roman"/>
                <w:sz w:val="18"/>
                <w:szCs w:val="18"/>
                <w:lang w:val="en-US" w:eastAsia="zh-CN" w:bidi="ar-SA"/>
              </w:rPr>
            </w:pPr>
          </w:p>
        </w:tc>
        <w:tc>
          <w:tcPr>
            <w:tcW w:w="7034" w:type="dxa"/>
            <w:shd w:val="clear" w:color="auto" w:fill="auto"/>
            <w:vAlign w:val="top"/>
          </w:tcPr>
          <w:p>
            <w:pPr>
              <w:pStyle w:val="231"/>
              <w:ind w:firstLine="90" w:firstLineChars="50"/>
              <w:rPr>
                <w:rFonts w:hint="eastAsia" w:hAnsi="宋体"/>
                <w:sz w:val="18"/>
                <w:szCs w:val="18"/>
              </w:rPr>
            </w:pPr>
            <w:r>
              <w:rPr>
                <w:rFonts w:hint="eastAsia" w:hAnsi="宋体"/>
                <w:sz w:val="18"/>
                <w:szCs w:val="18"/>
              </w:rPr>
              <w:t>1.应在醒目位置设置公告栏，公布有关职业病防治的规章制度、操作规程、职业病危害事故应急救援措施和噪声作业场所职业病危害因素检测结果。</w:t>
            </w:r>
          </w:p>
          <w:p>
            <w:pPr>
              <w:pStyle w:val="231"/>
              <w:ind w:firstLine="90" w:firstLineChars="50"/>
              <w:rPr>
                <w:rFonts w:hint="eastAsia" w:hAnsi="宋体"/>
                <w:sz w:val="18"/>
                <w:szCs w:val="18"/>
              </w:rPr>
            </w:pPr>
            <w:r>
              <w:rPr>
                <w:rFonts w:hint="eastAsia" w:hAnsi="宋体"/>
                <w:sz w:val="18"/>
                <w:szCs w:val="18"/>
              </w:rPr>
              <w:t>2.订立劳动合同时，应同时履行职业病危害告知义务，包括噪声作业岗位的职业病危害因素、可能导致的职业病危害、职业病防护措施、待遇等内容。</w:t>
            </w:r>
          </w:p>
          <w:p>
            <w:pPr>
              <w:pStyle w:val="231"/>
              <w:ind w:firstLine="90" w:firstLineChars="50"/>
              <w:rPr>
                <w:rFonts w:hint="eastAsia" w:ascii="宋体" w:hAnsi="宋体" w:eastAsia="宋体" w:cs="Times New Roman"/>
                <w:sz w:val="18"/>
                <w:szCs w:val="18"/>
                <w:lang w:val="en-US" w:eastAsia="zh-CN" w:bidi="ar-SA"/>
              </w:rPr>
            </w:pPr>
            <w:r>
              <w:rPr>
                <w:rFonts w:hint="eastAsia" w:hAnsi="宋体"/>
                <w:sz w:val="18"/>
                <w:szCs w:val="18"/>
              </w:rPr>
              <w:t>3.劳动者在履行劳动合同期间因噪声作业岗位变更，从事原劳动合同中未告知的职业病危害作业时，用人单位应与劳动者协商变更原劳动合同，重新进行职业病危害告知。</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0" w:type="dxa"/>
            <w:bottom w:w="0" w:type="dxa"/>
            <w:right w:w="100" w:type="dxa"/>
          </w:tblCellMar>
        </w:tblPrEx>
        <w:trPr>
          <w:jc w:val="center"/>
        </w:trPr>
        <w:tc>
          <w:tcPr>
            <w:tcW w:w="2528" w:type="dxa"/>
            <w:shd w:val="clear" w:color="auto" w:fill="auto"/>
            <w:vAlign w:val="top"/>
          </w:tcPr>
          <w:p>
            <w:pPr>
              <w:pStyle w:val="231"/>
              <w:ind w:left="0" w:leftChars="0" w:firstLine="0" w:firstLineChars="0"/>
              <w:jc w:val="left"/>
              <w:rPr>
                <w:rFonts w:hint="eastAsia" w:ascii="宋体" w:hAnsi="宋体" w:eastAsia="宋体" w:cs="Times New Roman"/>
                <w:sz w:val="18"/>
                <w:szCs w:val="18"/>
                <w:lang w:val="en-US" w:eastAsia="zh-CN" w:bidi="ar-SA"/>
              </w:rPr>
            </w:pPr>
            <w:r>
              <w:rPr>
                <w:rFonts w:hint="eastAsia" w:hAnsi="宋体"/>
                <w:sz w:val="18"/>
                <w:szCs w:val="18"/>
              </w:rPr>
              <w:t>职业病危害项目申报制度</w:t>
            </w:r>
          </w:p>
        </w:tc>
        <w:tc>
          <w:tcPr>
            <w:tcW w:w="7034" w:type="dxa"/>
            <w:shd w:val="clear" w:color="auto" w:fill="auto"/>
            <w:vAlign w:val="top"/>
          </w:tcPr>
          <w:p>
            <w:pPr>
              <w:pStyle w:val="231"/>
              <w:ind w:firstLine="90" w:firstLineChars="50"/>
              <w:rPr>
                <w:rFonts w:hint="eastAsia" w:hAnsi="宋体"/>
                <w:sz w:val="18"/>
                <w:szCs w:val="18"/>
              </w:rPr>
            </w:pPr>
            <w:r>
              <w:rPr>
                <w:rFonts w:hint="eastAsia" w:hAnsi="宋体"/>
                <w:sz w:val="18"/>
                <w:szCs w:val="18"/>
              </w:rPr>
              <w:t>1.应及时、如实向卫生行政部门申报本单位职业病危害项目。</w:t>
            </w:r>
          </w:p>
          <w:p>
            <w:pPr>
              <w:pStyle w:val="231"/>
              <w:ind w:firstLine="90" w:firstLineChars="50"/>
              <w:rPr>
                <w:rFonts w:hint="eastAsia" w:hAnsi="宋体"/>
                <w:sz w:val="18"/>
                <w:szCs w:val="18"/>
              </w:rPr>
            </w:pPr>
            <w:r>
              <w:rPr>
                <w:rFonts w:hint="eastAsia" w:hAnsi="宋体"/>
                <w:sz w:val="18"/>
                <w:szCs w:val="18"/>
              </w:rPr>
              <w:t>2.每年应进行职业病危害项目年度更新。</w:t>
            </w:r>
          </w:p>
          <w:p>
            <w:pPr>
              <w:pStyle w:val="231"/>
              <w:ind w:firstLine="90" w:firstLineChars="50"/>
              <w:rPr>
                <w:rFonts w:hint="eastAsia" w:hAnsi="宋体"/>
                <w:sz w:val="18"/>
                <w:szCs w:val="18"/>
              </w:rPr>
            </w:pPr>
            <w:r>
              <w:rPr>
                <w:rFonts w:hint="eastAsia" w:hAnsi="宋体"/>
                <w:sz w:val="18"/>
                <w:szCs w:val="18"/>
              </w:rPr>
              <w:t>3.噪声作业工艺发生改变导致职业病危害因素改变的，应及时变更申报。</w:t>
            </w:r>
          </w:p>
          <w:p>
            <w:pPr>
              <w:pStyle w:val="231"/>
              <w:ind w:firstLine="90" w:firstLineChars="50"/>
              <w:jc w:val="left"/>
              <w:rPr>
                <w:rFonts w:hint="eastAsia" w:ascii="宋体" w:hAnsi="宋体" w:eastAsia="宋体" w:cs="Times New Roman"/>
                <w:sz w:val="18"/>
                <w:szCs w:val="18"/>
                <w:lang w:val="en-US" w:eastAsia="zh-CN" w:bidi="ar-SA"/>
              </w:rPr>
            </w:pPr>
            <w:r>
              <w:rPr>
                <w:rFonts w:hint="eastAsia" w:hAnsi="宋体"/>
                <w:sz w:val="18"/>
                <w:szCs w:val="18"/>
              </w:rPr>
              <w:t>4.有新建、改建、扩建和技术改造、技术引进项目的，应及时变更申报。</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0" w:type="dxa"/>
            <w:bottom w:w="0" w:type="dxa"/>
            <w:right w:w="100" w:type="dxa"/>
          </w:tblCellMar>
        </w:tblPrEx>
        <w:trPr>
          <w:jc w:val="center"/>
        </w:trPr>
        <w:tc>
          <w:tcPr>
            <w:tcW w:w="2528" w:type="dxa"/>
            <w:shd w:val="clear" w:color="auto" w:fill="auto"/>
            <w:vAlign w:val="top"/>
          </w:tcPr>
          <w:p>
            <w:pPr>
              <w:pStyle w:val="231"/>
              <w:ind w:left="0" w:leftChars="0" w:firstLine="0" w:firstLineChars="0"/>
              <w:rPr>
                <w:rFonts w:hint="eastAsia" w:hAnsi="宋体"/>
                <w:sz w:val="18"/>
                <w:szCs w:val="18"/>
              </w:rPr>
            </w:pPr>
            <w:r>
              <w:rPr>
                <w:rFonts w:hint="eastAsia" w:hAnsi="宋体"/>
                <w:sz w:val="18"/>
                <w:szCs w:val="18"/>
              </w:rPr>
              <w:t>职业病防治宣传教育培训制度</w:t>
            </w:r>
          </w:p>
          <w:p>
            <w:pPr>
              <w:pStyle w:val="231"/>
              <w:ind w:firstLine="0" w:firstLineChars="0"/>
              <w:jc w:val="left"/>
              <w:rPr>
                <w:rFonts w:hint="eastAsia" w:ascii="宋体" w:hAnsi="宋体" w:eastAsia="宋体" w:cs="Times New Roman"/>
                <w:sz w:val="18"/>
                <w:szCs w:val="18"/>
                <w:lang w:val="en-US" w:eastAsia="zh-CN" w:bidi="ar-SA"/>
              </w:rPr>
            </w:pPr>
          </w:p>
        </w:tc>
        <w:tc>
          <w:tcPr>
            <w:tcW w:w="7034" w:type="dxa"/>
            <w:shd w:val="clear" w:color="auto" w:fill="auto"/>
            <w:vAlign w:val="top"/>
          </w:tcPr>
          <w:p>
            <w:pPr>
              <w:pStyle w:val="231"/>
              <w:ind w:firstLine="90" w:firstLineChars="50"/>
              <w:rPr>
                <w:rFonts w:hint="eastAsia" w:hAnsi="宋体"/>
                <w:sz w:val="18"/>
                <w:szCs w:val="18"/>
              </w:rPr>
            </w:pPr>
            <w:r>
              <w:rPr>
                <w:rFonts w:hint="eastAsia" w:hAnsi="宋体"/>
                <w:sz w:val="18"/>
                <w:szCs w:val="18"/>
              </w:rPr>
              <w:t>1.用人单位主要负责人、</w:t>
            </w:r>
            <w:r>
              <w:rPr>
                <w:rFonts w:hint="eastAsia" w:hAnsi="宋体"/>
                <w:sz w:val="18"/>
                <w:szCs w:val="18"/>
                <w:lang w:eastAsia="zh-CN"/>
              </w:rPr>
              <w:t>职业健康</w:t>
            </w:r>
            <w:r>
              <w:rPr>
                <w:rFonts w:hint="eastAsia" w:hAnsi="宋体"/>
                <w:sz w:val="18"/>
                <w:szCs w:val="18"/>
              </w:rPr>
              <w:t>管理人员应定期参加</w:t>
            </w:r>
            <w:r>
              <w:rPr>
                <w:rFonts w:hint="eastAsia" w:hAnsi="宋体"/>
                <w:sz w:val="18"/>
                <w:szCs w:val="18"/>
                <w:lang w:eastAsia="zh-CN"/>
              </w:rPr>
              <w:t>职业健康</w:t>
            </w:r>
            <w:r>
              <w:rPr>
                <w:rFonts w:hint="eastAsia" w:hAnsi="宋体"/>
                <w:sz w:val="18"/>
                <w:szCs w:val="18"/>
              </w:rPr>
              <w:t>培训，培训内容应包括职业病防治法律法规和标准、职业病危害预防和控制基本知识，</w:t>
            </w:r>
            <w:r>
              <w:rPr>
                <w:rFonts w:hint="eastAsia" w:hAnsi="宋体"/>
                <w:sz w:val="18"/>
                <w:szCs w:val="18"/>
                <w:lang w:eastAsia="zh-CN"/>
              </w:rPr>
              <w:t>职业健康</w:t>
            </w:r>
            <w:r>
              <w:rPr>
                <w:rFonts w:hint="eastAsia" w:hAnsi="宋体"/>
                <w:sz w:val="18"/>
                <w:szCs w:val="18"/>
              </w:rPr>
              <w:t>管理相关知识等内容。</w:t>
            </w:r>
          </w:p>
          <w:p>
            <w:pPr>
              <w:pStyle w:val="231"/>
              <w:ind w:firstLine="90" w:firstLineChars="50"/>
              <w:rPr>
                <w:rFonts w:hint="eastAsia" w:hAnsi="宋体"/>
                <w:sz w:val="18"/>
                <w:szCs w:val="18"/>
              </w:rPr>
            </w:pPr>
            <w:r>
              <w:rPr>
                <w:rFonts w:hint="eastAsia" w:hAnsi="宋体"/>
                <w:sz w:val="18"/>
                <w:szCs w:val="18"/>
              </w:rPr>
              <w:t>2.用人单位应对劳动者进行上岗前和定期</w:t>
            </w:r>
            <w:r>
              <w:rPr>
                <w:rFonts w:hint="eastAsia" w:hAnsi="宋体"/>
                <w:sz w:val="18"/>
                <w:szCs w:val="18"/>
                <w:lang w:eastAsia="zh-CN"/>
              </w:rPr>
              <w:t>职业健康</w:t>
            </w:r>
            <w:r>
              <w:rPr>
                <w:rFonts w:hint="eastAsia" w:hAnsi="宋体"/>
                <w:sz w:val="18"/>
                <w:szCs w:val="18"/>
              </w:rPr>
              <w:t>培训，培训内容应包括职业病防治法律法规和标准、操作规程、个人防护用品的正确使用和维护、工作中产生的职业病危害及其后果、职业病防护设施操作使用流程等。</w:t>
            </w:r>
          </w:p>
          <w:p>
            <w:pPr>
              <w:pStyle w:val="231"/>
              <w:ind w:firstLine="90" w:firstLineChars="50"/>
              <w:rPr>
                <w:rFonts w:hint="eastAsia" w:hAnsi="宋体"/>
                <w:sz w:val="18"/>
                <w:szCs w:val="18"/>
              </w:rPr>
            </w:pPr>
            <w:r>
              <w:rPr>
                <w:rFonts w:hint="eastAsia" w:hAnsi="宋体"/>
                <w:sz w:val="18"/>
                <w:szCs w:val="18"/>
              </w:rPr>
              <w:t>3.涉及严重职业病危害因素的噪声作业岗位的劳动者应经专门的</w:t>
            </w:r>
            <w:r>
              <w:rPr>
                <w:rFonts w:hint="eastAsia" w:hAnsi="宋体"/>
                <w:sz w:val="18"/>
                <w:szCs w:val="18"/>
                <w:lang w:eastAsia="zh-CN"/>
              </w:rPr>
              <w:t>职业健康</w:t>
            </w:r>
            <w:r>
              <w:rPr>
                <w:rFonts w:hint="eastAsia" w:hAnsi="宋体"/>
                <w:sz w:val="18"/>
                <w:szCs w:val="18"/>
              </w:rPr>
              <w:t>培训合格后方可上岗作业。</w:t>
            </w:r>
          </w:p>
          <w:p>
            <w:pPr>
              <w:pStyle w:val="231"/>
              <w:ind w:firstLine="90" w:firstLineChars="50"/>
              <w:rPr>
                <w:rFonts w:hint="eastAsia" w:hAnsi="宋体"/>
                <w:sz w:val="18"/>
                <w:szCs w:val="18"/>
              </w:rPr>
            </w:pPr>
            <w:r>
              <w:rPr>
                <w:rFonts w:hint="eastAsia" w:hAnsi="宋体"/>
                <w:sz w:val="18"/>
                <w:szCs w:val="18"/>
              </w:rPr>
              <w:t>4.噪声作业</w:t>
            </w:r>
            <w:r>
              <w:rPr>
                <w:rFonts w:hint="eastAsia" w:hAnsi="宋体"/>
                <w:sz w:val="18"/>
                <w:szCs w:val="18"/>
                <w:lang w:val="en-US" w:eastAsia="zh-CN"/>
              </w:rPr>
              <w:t>涉及的</w:t>
            </w:r>
            <w:r>
              <w:rPr>
                <w:rFonts w:hint="eastAsia" w:hAnsi="宋体"/>
                <w:sz w:val="18"/>
                <w:szCs w:val="18"/>
              </w:rPr>
              <w:t>工艺、技术、设备、材料变更，导致职业病危害因素发生变化的，应对劳动者重新进行上岗前</w:t>
            </w:r>
            <w:r>
              <w:rPr>
                <w:rFonts w:hint="eastAsia" w:hAnsi="宋体"/>
                <w:sz w:val="18"/>
                <w:szCs w:val="18"/>
                <w:lang w:eastAsia="zh-CN"/>
              </w:rPr>
              <w:t>职业健康</w:t>
            </w:r>
            <w:r>
              <w:rPr>
                <w:rFonts w:hint="eastAsia" w:hAnsi="宋体"/>
                <w:sz w:val="18"/>
                <w:szCs w:val="18"/>
              </w:rPr>
              <w:t>培训。</w:t>
            </w:r>
          </w:p>
          <w:p>
            <w:pPr>
              <w:pStyle w:val="231"/>
              <w:ind w:firstLine="90" w:firstLineChars="50"/>
              <w:rPr>
                <w:rFonts w:hint="eastAsia" w:ascii="宋体" w:hAnsi="宋体" w:eastAsia="宋体" w:cs="Times New Roman"/>
                <w:sz w:val="18"/>
                <w:szCs w:val="18"/>
                <w:lang w:val="en-US" w:eastAsia="zh-CN" w:bidi="ar-SA"/>
              </w:rPr>
            </w:pPr>
            <w:r>
              <w:rPr>
                <w:rFonts w:hint="eastAsia" w:hAnsi="宋体"/>
                <w:sz w:val="18"/>
                <w:szCs w:val="18"/>
              </w:rPr>
              <w:t>5.</w:t>
            </w:r>
            <w:r>
              <w:rPr>
                <w:rFonts w:hint="eastAsia" w:hAnsi="宋体"/>
                <w:sz w:val="18"/>
                <w:szCs w:val="18"/>
                <w:lang w:eastAsia="zh-CN"/>
              </w:rPr>
              <w:t>职业健康</w:t>
            </w:r>
            <w:r>
              <w:rPr>
                <w:rFonts w:hint="eastAsia" w:hAnsi="宋体"/>
                <w:sz w:val="18"/>
                <w:szCs w:val="18"/>
              </w:rPr>
              <w:t>培训和考核应做好相关书面记录，并与培训资料一并归入</w:t>
            </w:r>
            <w:r>
              <w:rPr>
                <w:rFonts w:hint="eastAsia" w:hAnsi="宋体"/>
                <w:sz w:val="18"/>
                <w:szCs w:val="18"/>
                <w:lang w:eastAsia="zh-CN"/>
              </w:rPr>
              <w:t>职业健康</w:t>
            </w:r>
            <w:r>
              <w:rPr>
                <w:rFonts w:hint="eastAsia" w:hAnsi="宋体"/>
                <w:sz w:val="18"/>
                <w:szCs w:val="18"/>
              </w:rPr>
              <w:t>档案。</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0" w:type="dxa"/>
            <w:bottom w:w="0" w:type="dxa"/>
            <w:right w:w="100" w:type="dxa"/>
          </w:tblCellMar>
        </w:tblPrEx>
        <w:trPr>
          <w:jc w:val="center"/>
        </w:trPr>
        <w:tc>
          <w:tcPr>
            <w:tcW w:w="2528" w:type="dxa"/>
            <w:shd w:val="clear" w:color="auto" w:fill="auto"/>
            <w:vAlign w:val="top"/>
          </w:tcPr>
          <w:p>
            <w:pPr>
              <w:pStyle w:val="231"/>
              <w:ind w:left="0" w:leftChars="0" w:firstLine="0" w:firstLineChars="0"/>
              <w:rPr>
                <w:rFonts w:hint="eastAsia" w:ascii="宋体" w:hAnsi="宋体" w:eastAsia="宋体" w:cs="Times New Roman"/>
                <w:sz w:val="18"/>
                <w:szCs w:val="18"/>
                <w:lang w:val="en-US" w:eastAsia="zh-CN" w:bidi="ar-SA"/>
              </w:rPr>
            </w:pPr>
            <w:r>
              <w:rPr>
                <w:rFonts w:hint="eastAsia" w:hAnsi="宋体"/>
                <w:sz w:val="18"/>
                <w:szCs w:val="18"/>
              </w:rPr>
              <w:t>职业病防护设施维护检修制度</w:t>
            </w:r>
          </w:p>
        </w:tc>
        <w:tc>
          <w:tcPr>
            <w:tcW w:w="7034" w:type="dxa"/>
            <w:shd w:val="clear" w:color="auto" w:fill="auto"/>
            <w:vAlign w:val="top"/>
          </w:tcPr>
          <w:p>
            <w:pPr>
              <w:pStyle w:val="231"/>
              <w:ind w:firstLine="90" w:firstLineChars="50"/>
              <w:rPr>
                <w:rFonts w:hint="eastAsia" w:hAnsi="宋体"/>
                <w:sz w:val="18"/>
                <w:szCs w:val="18"/>
              </w:rPr>
            </w:pPr>
            <w:r>
              <w:rPr>
                <w:rFonts w:hint="eastAsia" w:hAnsi="宋体"/>
                <w:sz w:val="18"/>
                <w:szCs w:val="18"/>
              </w:rPr>
              <w:t>1.用人单位应编制职业病防护设施清册，内容包括噪声作业场所的职业病防护设施、危害因素监测报警装置的基本信息，以及其配置、使用、维护、检修与更换等记录。</w:t>
            </w:r>
          </w:p>
          <w:p>
            <w:pPr>
              <w:pStyle w:val="231"/>
              <w:ind w:firstLine="90" w:firstLineChars="50"/>
              <w:rPr>
                <w:rFonts w:hint="eastAsia" w:ascii="宋体" w:hAnsi="宋体" w:eastAsia="宋体" w:cs="Times New Roman"/>
                <w:b/>
                <w:sz w:val="18"/>
                <w:szCs w:val="18"/>
                <w:lang w:val="en-US" w:eastAsia="zh-CN" w:bidi="ar-SA"/>
              </w:rPr>
            </w:pPr>
            <w:r>
              <w:rPr>
                <w:rFonts w:hint="eastAsia" w:hAnsi="宋体"/>
                <w:sz w:val="18"/>
                <w:szCs w:val="18"/>
              </w:rPr>
              <w:t>2.职业病防护设施应进行经常性维护、检修，定期检测防护效果，使其正常使用，不应擅自拆除或停止使用。</w:t>
            </w:r>
          </w:p>
        </w:tc>
      </w:tr>
    </w:tbl>
    <w:p>
      <w:pPr>
        <w:pStyle w:val="25"/>
        <w:autoSpaceDE w:val="0"/>
        <w:autoSpaceDN w:val="0"/>
        <w:spacing w:before="0" w:beforeAutospacing="0" w:after="0" w:afterAutospacing="0"/>
        <w:jc w:val="both"/>
        <w:rPr>
          <w:rFonts w:hint="eastAsia"/>
          <w:sz w:val="18"/>
          <w:szCs w:val="18"/>
        </w:rPr>
      </w:pPr>
      <w:r>
        <w:rPr>
          <w:rFonts w:hint="eastAsia"/>
          <w:sz w:val="18"/>
          <w:szCs w:val="18"/>
        </w:rPr>
        <w:br w:type="page"/>
      </w:r>
    </w:p>
    <w:p>
      <w:pPr>
        <w:pStyle w:val="57"/>
        <w:pageBreakBefore/>
        <w:bidi w:val="0"/>
        <w:spacing w:before="157" w:beforeLines="50" w:after="157" w:afterLines="50"/>
        <w:ind w:firstLine="0" w:firstLineChars="0"/>
        <w:jc w:val="center"/>
        <w:rPr>
          <w:rFonts w:hint="eastAsia" w:ascii="宋体" w:hAnsi="宋体" w:eastAsia="宋体" w:cs="宋体"/>
          <w:lang w:eastAsia="zh-CN"/>
        </w:rPr>
      </w:pPr>
      <w:r>
        <w:rPr>
          <w:rFonts w:hint="eastAsia" w:ascii="黑体" w:hAnsi="黑体" w:eastAsia="黑体" w:cs="黑体"/>
          <w:lang w:eastAsia="zh-CN"/>
        </w:rPr>
        <w:t>表A.1  职业健康管理制度内容与要求</w:t>
      </w:r>
      <w:r>
        <w:rPr>
          <w:rFonts w:hint="eastAsia" w:ascii="宋体" w:hAnsi="宋体" w:eastAsia="宋体" w:cs="宋体"/>
          <w:lang w:eastAsia="zh-CN"/>
        </w:rPr>
        <w:t>（续）</w:t>
      </w:r>
    </w:p>
    <w:tbl>
      <w:tblPr>
        <w:tblStyle w:val="28"/>
        <w:tblW w:w="9562"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100" w:type="dxa"/>
          <w:bottom w:w="0" w:type="dxa"/>
          <w:right w:w="100" w:type="dxa"/>
        </w:tblCellMar>
      </w:tblPr>
      <w:tblGrid>
        <w:gridCol w:w="1762"/>
        <w:gridCol w:w="7800"/>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0" w:type="dxa"/>
            <w:bottom w:w="0" w:type="dxa"/>
            <w:right w:w="100" w:type="dxa"/>
          </w:tblCellMar>
        </w:tblPrEx>
        <w:trPr>
          <w:trHeight w:val="256" w:hRule="atLeast"/>
          <w:tblHeader/>
          <w:jc w:val="center"/>
        </w:trPr>
        <w:tc>
          <w:tcPr>
            <w:tcW w:w="1762" w:type="dxa"/>
            <w:tcBorders>
              <w:bottom w:val="single" w:color="auto" w:sz="8" w:space="0"/>
            </w:tcBorders>
            <w:vAlign w:val="center"/>
          </w:tcPr>
          <w:p>
            <w:pPr>
              <w:pStyle w:val="179"/>
              <w:bidi w:val="0"/>
              <w:spacing w:line="240" w:lineRule="auto"/>
              <w:jc w:val="center"/>
              <w:rPr>
                <w:rFonts w:hint="default"/>
                <w:lang w:val="en-US" w:eastAsia="zh-CN"/>
              </w:rPr>
            </w:pPr>
            <w:r>
              <w:rPr>
                <w:rFonts w:hint="eastAsia"/>
                <w:lang w:val="en-US" w:eastAsia="zh-CN"/>
              </w:rPr>
              <w:t>制度名称</w:t>
            </w:r>
          </w:p>
        </w:tc>
        <w:tc>
          <w:tcPr>
            <w:tcW w:w="7800" w:type="dxa"/>
            <w:tcBorders>
              <w:bottom w:val="single" w:color="auto" w:sz="8" w:space="0"/>
            </w:tcBorders>
            <w:vAlign w:val="center"/>
          </w:tcPr>
          <w:p>
            <w:pPr>
              <w:pStyle w:val="179"/>
              <w:bidi w:val="0"/>
              <w:spacing w:line="240" w:lineRule="auto"/>
              <w:jc w:val="center"/>
              <w:rPr>
                <w:rFonts w:hint="default"/>
                <w:lang w:val="en-US" w:eastAsia="zh-CN"/>
              </w:rPr>
            </w:pPr>
            <w:r>
              <w:rPr>
                <w:rFonts w:hint="eastAsia"/>
                <w:lang w:val="en-US" w:eastAsia="zh-CN"/>
              </w:rPr>
              <w:t>制度内容及要求</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0" w:type="dxa"/>
            <w:bottom w:w="0" w:type="dxa"/>
            <w:right w:w="100" w:type="dxa"/>
          </w:tblCellMar>
        </w:tblPrEx>
        <w:trPr>
          <w:jc w:val="center"/>
        </w:trPr>
        <w:tc>
          <w:tcPr>
            <w:tcW w:w="1762" w:type="dxa"/>
            <w:shd w:val="clear" w:color="auto" w:fill="auto"/>
            <w:vAlign w:val="top"/>
          </w:tcPr>
          <w:p>
            <w:pPr>
              <w:pStyle w:val="25"/>
              <w:autoSpaceDE w:val="0"/>
              <w:autoSpaceDN w:val="0"/>
              <w:spacing w:before="0" w:beforeAutospacing="0" w:after="0" w:afterAutospacing="0"/>
              <w:jc w:val="both"/>
              <w:rPr>
                <w:rFonts w:hint="eastAsia"/>
                <w:sz w:val="18"/>
                <w:szCs w:val="18"/>
              </w:rPr>
            </w:pPr>
            <w:r>
              <w:rPr>
                <w:rFonts w:hint="eastAsia"/>
                <w:sz w:val="18"/>
                <w:szCs w:val="18"/>
              </w:rPr>
              <w:t>职业病防护用品管理制度</w:t>
            </w:r>
          </w:p>
          <w:p>
            <w:pPr>
              <w:pStyle w:val="25"/>
              <w:autoSpaceDE w:val="0"/>
              <w:autoSpaceDN w:val="0"/>
              <w:spacing w:before="0" w:beforeAutospacing="0" w:after="0" w:afterAutospacing="0"/>
              <w:ind w:left="0" w:leftChars="0" w:right="0" w:rightChars="0"/>
              <w:rPr>
                <w:rFonts w:hint="eastAsia" w:ascii="宋体" w:hAnsi="宋体" w:eastAsia="宋体" w:cs="宋体"/>
                <w:kern w:val="0"/>
                <w:sz w:val="18"/>
                <w:szCs w:val="18"/>
                <w:lang w:val="en-US" w:eastAsia="zh-CN" w:bidi="ar"/>
              </w:rPr>
            </w:pPr>
          </w:p>
        </w:tc>
        <w:tc>
          <w:tcPr>
            <w:tcW w:w="7800" w:type="dxa"/>
            <w:shd w:val="clear" w:color="auto" w:fill="auto"/>
            <w:vAlign w:val="top"/>
          </w:tcPr>
          <w:p>
            <w:pPr>
              <w:pStyle w:val="25"/>
              <w:autoSpaceDE w:val="0"/>
              <w:autoSpaceDN w:val="0"/>
              <w:spacing w:before="0" w:beforeAutospacing="0" w:after="0" w:afterAutospacing="0"/>
              <w:ind w:firstLine="90" w:firstLineChars="50"/>
              <w:jc w:val="both"/>
              <w:rPr>
                <w:rFonts w:hint="eastAsia"/>
                <w:sz w:val="18"/>
                <w:szCs w:val="18"/>
              </w:rPr>
            </w:pPr>
            <w:r>
              <w:rPr>
                <w:rFonts w:hint="eastAsia"/>
                <w:sz w:val="18"/>
                <w:szCs w:val="18"/>
              </w:rPr>
              <w:t>1.用人单位应做好</w:t>
            </w:r>
            <w:r>
              <w:rPr>
                <w:rFonts w:hint="eastAsia"/>
                <w:sz w:val="18"/>
                <w:szCs w:val="18"/>
                <w:lang w:eastAsia="zh-CN"/>
              </w:rPr>
              <w:t>护听器的</w:t>
            </w:r>
            <w:r>
              <w:rPr>
                <w:rFonts w:hint="eastAsia"/>
                <w:sz w:val="18"/>
                <w:szCs w:val="18"/>
              </w:rPr>
              <w:t>选择、配备、发放、维护与更换等记录工作。</w:t>
            </w:r>
          </w:p>
          <w:p>
            <w:pPr>
              <w:pStyle w:val="25"/>
              <w:autoSpaceDE w:val="0"/>
              <w:autoSpaceDN w:val="0"/>
              <w:spacing w:before="0" w:beforeAutospacing="0" w:after="0" w:afterAutospacing="0"/>
              <w:ind w:firstLine="90" w:firstLineChars="50"/>
              <w:jc w:val="both"/>
              <w:rPr>
                <w:rFonts w:hint="eastAsia"/>
                <w:sz w:val="18"/>
                <w:szCs w:val="18"/>
              </w:rPr>
            </w:pPr>
            <w:r>
              <w:rPr>
                <w:rFonts w:hint="eastAsia"/>
                <w:sz w:val="18"/>
                <w:szCs w:val="18"/>
              </w:rPr>
              <w:t>2.噪声作业可能产生其他职业病危害因素时，应选用与防护要求相适应的职业病防护用品，选用的防护用品应符合GB 39800.1的要求。</w:t>
            </w:r>
          </w:p>
          <w:p>
            <w:pPr>
              <w:pStyle w:val="25"/>
              <w:autoSpaceDE w:val="0"/>
              <w:autoSpaceDN w:val="0"/>
              <w:spacing w:before="0" w:beforeAutospacing="0" w:after="0" w:afterAutospacing="0"/>
              <w:ind w:left="0" w:leftChars="0" w:right="0" w:rightChars="0" w:firstLine="90" w:firstLineChars="50"/>
              <w:jc w:val="both"/>
              <w:rPr>
                <w:rFonts w:hint="eastAsia" w:ascii="宋体" w:hAnsi="宋体" w:eastAsia="宋体" w:cs="宋体"/>
                <w:kern w:val="0"/>
                <w:sz w:val="18"/>
                <w:szCs w:val="18"/>
                <w:lang w:val="en-US" w:eastAsia="zh-CN" w:bidi="ar"/>
              </w:rPr>
            </w:pPr>
            <w:r>
              <w:rPr>
                <w:rFonts w:hint="eastAsia"/>
                <w:sz w:val="18"/>
                <w:szCs w:val="18"/>
              </w:rPr>
              <w:t>3.应对职业病防护用品定期维护、保养，确保防护用品有效，及时更换不符合标准或已失效的职业病防护用品。</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0" w:type="dxa"/>
            <w:bottom w:w="0" w:type="dxa"/>
            <w:right w:w="100" w:type="dxa"/>
          </w:tblCellMar>
        </w:tblPrEx>
        <w:trPr>
          <w:jc w:val="center"/>
        </w:trPr>
        <w:tc>
          <w:tcPr>
            <w:tcW w:w="1762" w:type="dxa"/>
            <w:shd w:val="clear" w:color="auto" w:fill="auto"/>
            <w:vAlign w:val="top"/>
          </w:tcPr>
          <w:p>
            <w:pPr>
              <w:pStyle w:val="25"/>
              <w:autoSpaceDE w:val="0"/>
              <w:autoSpaceDN w:val="0"/>
              <w:spacing w:before="0" w:beforeAutospacing="0" w:after="0" w:afterAutospacing="0"/>
              <w:jc w:val="both"/>
              <w:rPr>
                <w:rFonts w:hint="eastAsia"/>
                <w:sz w:val="18"/>
                <w:szCs w:val="18"/>
              </w:rPr>
            </w:pPr>
            <w:r>
              <w:rPr>
                <w:rFonts w:hint="eastAsia"/>
                <w:sz w:val="18"/>
                <w:szCs w:val="18"/>
              </w:rPr>
              <w:t>职业病危害监测及评价管理制度</w:t>
            </w:r>
          </w:p>
          <w:p>
            <w:pPr>
              <w:pStyle w:val="25"/>
              <w:autoSpaceDE w:val="0"/>
              <w:autoSpaceDN w:val="0"/>
              <w:spacing w:before="0" w:beforeAutospacing="0" w:after="0" w:afterAutospacing="0"/>
              <w:ind w:left="0" w:leftChars="0" w:right="0" w:rightChars="0"/>
              <w:rPr>
                <w:rFonts w:hint="eastAsia" w:ascii="宋体" w:hAnsi="宋体" w:eastAsia="宋体" w:cs="宋体"/>
                <w:kern w:val="0"/>
                <w:sz w:val="18"/>
                <w:szCs w:val="18"/>
                <w:lang w:val="en-US" w:eastAsia="zh-CN" w:bidi="ar"/>
              </w:rPr>
            </w:pPr>
          </w:p>
        </w:tc>
        <w:tc>
          <w:tcPr>
            <w:tcW w:w="7800" w:type="dxa"/>
            <w:shd w:val="clear" w:color="auto" w:fill="auto"/>
            <w:vAlign w:val="top"/>
          </w:tcPr>
          <w:p>
            <w:pPr>
              <w:pStyle w:val="25"/>
              <w:autoSpaceDE w:val="0"/>
              <w:autoSpaceDN w:val="0"/>
              <w:spacing w:before="0" w:beforeAutospacing="0" w:after="0" w:afterAutospacing="0"/>
              <w:ind w:firstLine="90" w:firstLineChars="50"/>
              <w:jc w:val="both"/>
              <w:rPr>
                <w:rFonts w:hint="eastAsia" w:eastAsia="宋体"/>
                <w:sz w:val="18"/>
                <w:szCs w:val="18"/>
                <w:lang w:eastAsia="zh-CN"/>
              </w:rPr>
            </w:pPr>
            <w:r>
              <w:rPr>
                <w:rFonts w:hint="eastAsia"/>
                <w:sz w:val="18"/>
                <w:szCs w:val="18"/>
              </w:rPr>
              <w:t>1.用人单位应识别、分析噪声作业过程中可能产生或存在的职业病危害因素，按规定周期委托具有相应资质的职业卫生技术服务机构开展噪声作业岗位职业病危害因素检测、评价</w:t>
            </w:r>
            <w:r>
              <w:rPr>
                <w:rFonts w:hint="eastAsia"/>
                <w:sz w:val="18"/>
                <w:szCs w:val="18"/>
                <w:lang w:eastAsia="zh-CN"/>
              </w:rPr>
              <w:t>。</w:t>
            </w:r>
          </w:p>
          <w:p>
            <w:pPr>
              <w:pStyle w:val="25"/>
              <w:autoSpaceDE w:val="0"/>
              <w:autoSpaceDN w:val="0"/>
              <w:spacing w:before="0" w:beforeAutospacing="0" w:after="0" w:afterAutospacing="0"/>
              <w:ind w:firstLine="90" w:firstLineChars="50"/>
              <w:jc w:val="both"/>
              <w:rPr>
                <w:rFonts w:hint="eastAsia"/>
                <w:sz w:val="18"/>
                <w:szCs w:val="18"/>
              </w:rPr>
            </w:pPr>
            <w:r>
              <w:rPr>
                <w:rFonts w:hint="eastAsia"/>
                <w:sz w:val="18"/>
                <w:szCs w:val="18"/>
              </w:rPr>
              <w:t>2.职业病危害严重的用人单位，每三年至少进行一次职业病危害现状评价，落实职业病危害现状评价报告中提出的建议和措施，并将职业病危害现状评价结果及整改情况纳入</w:t>
            </w:r>
            <w:r>
              <w:rPr>
                <w:rFonts w:hint="eastAsia"/>
                <w:sz w:val="18"/>
                <w:szCs w:val="18"/>
                <w:lang w:eastAsia="zh-CN"/>
              </w:rPr>
              <w:t>职业健康</w:t>
            </w:r>
            <w:r>
              <w:rPr>
                <w:rFonts w:hint="eastAsia"/>
                <w:sz w:val="18"/>
                <w:szCs w:val="18"/>
              </w:rPr>
              <w:t>档案保存。</w:t>
            </w:r>
          </w:p>
          <w:p>
            <w:pPr>
              <w:pStyle w:val="25"/>
              <w:autoSpaceDE w:val="0"/>
              <w:autoSpaceDN w:val="0"/>
              <w:spacing w:before="0" w:beforeAutospacing="0" w:after="0" w:afterAutospacing="0"/>
              <w:ind w:left="0" w:leftChars="0" w:right="0" w:rightChars="0" w:firstLine="90" w:firstLineChars="50"/>
              <w:jc w:val="both"/>
              <w:rPr>
                <w:rFonts w:hint="eastAsia" w:ascii="宋体" w:hAnsi="宋体" w:eastAsia="宋体" w:cs="宋体"/>
                <w:kern w:val="0"/>
                <w:sz w:val="18"/>
                <w:szCs w:val="18"/>
                <w:lang w:val="en-US" w:eastAsia="zh-CN" w:bidi="ar"/>
              </w:rPr>
            </w:pPr>
            <w:r>
              <w:rPr>
                <w:rFonts w:hint="eastAsia"/>
                <w:sz w:val="18"/>
                <w:szCs w:val="18"/>
              </w:rPr>
              <w:t>3.在职业病危害因素检测、评价过程中，发现噪声作业岗位职业病危害因素浓度或强度不符合国家职业接触限值时，应立即采取相应治理措施，确保其符合</w:t>
            </w:r>
            <w:r>
              <w:rPr>
                <w:rFonts w:hint="eastAsia"/>
                <w:sz w:val="18"/>
                <w:szCs w:val="18"/>
                <w:lang w:eastAsia="zh-CN"/>
              </w:rPr>
              <w:t>职业</w:t>
            </w:r>
            <w:r>
              <w:rPr>
                <w:rFonts w:hint="eastAsia"/>
                <w:sz w:val="18"/>
                <w:szCs w:val="18"/>
                <w:lang w:val="en-US" w:eastAsia="zh-CN"/>
              </w:rPr>
              <w:t>卫生</w:t>
            </w:r>
            <w:r>
              <w:rPr>
                <w:rFonts w:hint="eastAsia"/>
                <w:sz w:val="18"/>
                <w:szCs w:val="18"/>
              </w:rPr>
              <w:t>要求。经治理后，仍然达不到国家职业卫生标准和卫生要求的，应停止存在职业病危害因素的噪声作业。职业病危害因素经治理后，符合国家职业卫生标准和卫生要求的，方可重新作业。</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0" w:type="dxa"/>
            <w:bottom w:w="0" w:type="dxa"/>
            <w:right w:w="100" w:type="dxa"/>
          </w:tblCellMar>
        </w:tblPrEx>
        <w:trPr>
          <w:jc w:val="center"/>
        </w:trPr>
        <w:tc>
          <w:tcPr>
            <w:tcW w:w="1762" w:type="dxa"/>
            <w:shd w:val="clear" w:color="auto" w:fill="auto"/>
            <w:vAlign w:val="top"/>
          </w:tcPr>
          <w:p>
            <w:pPr>
              <w:pStyle w:val="25"/>
              <w:autoSpaceDE w:val="0"/>
              <w:autoSpaceDN w:val="0"/>
              <w:spacing w:before="0" w:beforeAutospacing="0" w:after="0" w:afterAutospacing="0"/>
              <w:ind w:left="0" w:leftChars="0" w:right="0" w:rightChars="0"/>
              <w:jc w:val="both"/>
              <w:rPr>
                <w:rFonts w:hint="eastAsia" w:ascii="宋体" w:hAnsi="宋体" w:eastAsia="宋体" w:cs="宋体"/>
                <w:kern w:val="0"/>
                <w:sz w:val="18"/>
                <w:szCs w:val="18"/>
                <w:lang w:val="en-US" w:eastAsia="zh-CN" w:bidi="ar"/>
              </w:rPr>
            </w:pPr>
            <w:r>
              <w:rPr>
                <w:rFonts w:hint="eastAsia"/>
                <w:sz w:val="18"/>
                <w:szCs w:val="18"/>
              </w:rPr>
              <w:t>建设项目职业病防护设施“三同时”管理制度</w:t>
            </w:r>
          </w:p>
        </w:tc>
        <w:tc>
          <w:tcPr>
            <w:tcW w:w="7800" w:type="dxa"/>
            <w:shd w:val="clear" w:color="auto" w:fill="auto"/>
            <w:vAlign w:val="top"/>
          </w:tcPr>
          <w:p>
            <w:pPr>
              <w:pStyle w:val="25"/>
              <w:autoSpaceDE w:val="0"/>
              <w:autoSpaceDN w:val="0"/>
              <w:spacing w:before="0" w:beforeAutospacing="0" w:after="0" w:afterAutospacing="0"/>
              <w:ind w:firstLine="90" w:firstLineChars="50"/>
              <w:rPr>
                <w:rFonts w:hint="eastAsia"/>
                <w:sz w:val="18"/>
                <w:szCs w:val="18"/>
              </w:rPr>
            </w:pPr>
            <w:r>
              <w:rPr>
                <w:rFonts w:hint="eastAsia"/>
                <w:sz w:val="18"/>
                <w:szCs w:val="18"/>
              </w:rPr>
              <w:t>1.用人单位组织开展建设项目职业病危害预评价，组织职业卫生专业技术人员对职业病危害预评价报告进行评审，按照评审意见进行整改。</w:t>
            </w:r>
          </w:p>
          <w:p>
            <w:pPr>
              <w:pStyle w:val="25"/>
              <w:autoSpaceDE w:val="0"/>
              <w:autoSpaceDN w:val="0"/>
              <w:spacing w:before="0" w:beforeAutospacing="0" w:after="0" w:afterAutospacing="0"/>
              <w:ind w:firstLine="90" w:firstLineChars="50"/>
              <w:rPr>
                <w:rFonts w:hint="eastAsia"/>
                <w:sz w:val="18"/>
                <w:szCs w:val="18"/>
              </w:rPr>
            </w:pPr>
            <w:r>
              <w:rPr>
                <w:rFonts w:hint="eastAsia"/>
                <w:sz w:val="18"/>
                <w:szCs w:val="18"/>
              </w:rPr>
              <w:t>2.在建设项目竣工验收前或者试运行期间，用人单位组织开展建设项目职业病危害控制效果评价,组织职业卫生专业技术人员对职业病危害控制效果评价报告进行评审，按照评审意见进行整改。</w:t>
            </w:r>
          </w:p>
          <w:p>
            <w:pPr>
              <w:pStyle w:val="25"/>
              <w:autoSpaceDE w:val="0"/>
              <w:autoSpaceDN w:val="0"/>
              <w:spacing w:before="0" w:beforeAutospacing="0" w:after="0" w:afterAutospacing="0"/>
              <w:ind w:left="0" w:leftChars="0" w:right="0" w:rightChars="0" w:firstLine="90" w:firstLineChars="50"/>
              <w:rPr>
                <w:rFonts w:hint="eastAsia" w:ascii="宋体" w:hAnsi="宋体" w:eastAsia="宋体" w:cs="宋体"/>
                <w:kern w:val="0"/>
                <w:sz w:val="18"/>
                <w:szCs w:val="18"/>
                <w:lang w:val="en-US" w:eastAsia="zh-CN" w:bidi="ar"/>
              </w:rPr>
            </w:pPr>
            <w:r>
              <w:rPr>
                <w:rFonts w:hint="eastAsia"/>
                <w:sz w:val="18"/>
                <w:szCs w:val="18"/>
              </w:rPr>
              <w:t>3.用人单位组织建设项目职业病防护设施竣工验收，形成竣工验收报告，验收合格后，方可投入使用。</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0" w:type="dxa"/>
            <w:bottom w:w="0" w:type="dxa"/>
            <w:right w:w="100" w:type="dxa"/>
          </w:tblCellMar>
        </w:tblPrEx>
        <w:trPr>
          <w:jc w:val="center"/>
        </w:trPr>
        <w:tc>
          <w:tcPr>
            <w:tcW w:w="1762" w:type="dxa"/>
            <w:shd w:val="clear" w:color="auto" w:fill="auto"/>
            <w:vAlign w:val="top"/>
          </w:tcPr>
          <w:p>
            <w:pPr>
              <w:pStyle w:val="25"/>
              <w:autoSpaceDE w:val="0"/>
              <w:autoSpaceDN w:val="0"/>
              <w:spacing w:before="0" w:beforeAutospacing="0" w:after="0" w:afterAutospacing="0"/>
              <w:ind w:left="0" w:leftChars="0" w:right="0" w:rightChars="0"/>
              <w:rPr>
                <w:rFonts w:hint="eastAsia" w:ascii="宋体" w:hAnsi="宋体" w:eastAsia="宋体" w:cs="宋体"/>
                <w:kern w:val="0"/>
                <w:sz w:val="18"/>
                <w:szCs w:val="18"/>
                <w:lang w:val="en-US" w:eastAsia="zh-CN" w:bidi="ar"/>
              </w:rPr>
            </w:pPr>
            <w:r>
              <w:rPr>
                <w:rFonts w:hint="eastAsia"/>
                <w:sz w:val="18"/>
                <w:szCs w:val="18"/>
              </w:rPr>
              <w:t>劳动者职业健康监护及其档案管理制度</w:t>
            </w:r>
          </w:p>
        </w:tc>
        <w:tc>
          <w:tcPr>
            <w:tcW w:w="7800" w:type="dxa"/>
            <w:shd w:val="clear" w:color="auto" w:fill="auto"/>
            <w:vAlign w:val="top"/>
          </w:tcPr>
          <w:p>
            <w:pPr>
              <w:pStyle w:val="25"/>
              <w:autoSpaceDE w:val="0"/>
              <w:autoSpaceDN w:val="0"/>
              <w:spacing w:before="0" w:beforeAutospacing="0" w:after="0" w:afterAutospacing="0"/>
              <w:ind w:firstLine="90" w:firstLineChars="50"/>
              <w:jc w:val="both"/>
              <w:rPr>
                <w:rFonts w:hint="eastAsia"/>
                <w:sz w:val="18"/>
                <w:szCs w:val="18"/>
              </w:rPr>
            </w:pPr>
            <w:r>
              <w:rPr>
                <w:rFonts w:hint="eastAsia"/>
                <w:sz w:val="18"/>
                <w:szCs w:val="18"/>
              </w:rPr>
              <w:t>1.用人单位根据劳动者所接触的职业病危害因素，严格按照GBZ 188的规定，安排劳动者到有资质的职业健康检查机构进行职业健康检查，包括上岗前检查、在岗期间定期检查、离岗时健康检查。将体检结果书面告知劳动者，留存至职业健康档案。对职业禁忌证或有与所从事职业相关的健康损害的劳动者，用人单位应及时安排调离原工作岗位并妥善安置。</w:t>
            </w:r>
          </w:p>
          <w:p>
            <w:pPr>
              <w:pStyle w:val="25"/>
              <w:autoSpaceDE w:val="0"/>
              <w:autoSpaceDN w:val="0"/>
              <w:spacing w:before="0" w:beforeAutospacing="0" w:after="0" w:afterAutospacing="0"/>
              <w:ind w:left="0" w:leftChars="0" w:right="0" w:rightChars="0" w:firstLine="90" w:firstLineChars="50"/>
              <w:jc w:val="both"/>
              <w:rPr>
                <w:rFonts w:hint="eastAsia" w:ascii="宋体" w:hAnsi="宋体" w:eastAsia="宋体" w:cs="宋体"/>
                <w:kern w:val="0"/>
                <w:sz w:val="18"/>
                <w:szCs w:val="18"/>
                <w:lang w:val="en-US" w:eastAsia="zh-CN" w:bidi="ar"/>
              </w:rPr>
            </w:pPr>
            <w:r>
              <w:rPr>
                <w:rFonts w:hint="eastAsia"/>
                <w:sz w:val="18"/>
                <w:szCs w:val="18"/>
              </w:rPr>
              <w:t>2.建立并及时更新用人单位职业健康监护档案，包括</w:t>
            </w:r>
            <w:r>
              <w:rPr>
                <w:rFonts w:hint="eastAsia"/>
                <w:sz w:val="18"/>
                <w:szCs w:val="18"/>
                <w:lang w:eastAsia="zh-CN"/>
              </w:rPr>
              <w:t>职业健康</w:t>
            </w:r>
            <w:r>
              <w:rPr>
                <w:rFonts w:hint="eastAsia"/>
                <w:sz w:val="18"/>
                <w:szCs w:val="18"/>
              </w:rPr>
              <w:t>管理组织组成、职责；职业健康监护制度和年度计划；历次检查文书，包括委托协议书、健康检查总结报告和评价报告；作业场所职业病危害因素监测结果；职业病诊断证明书和职业病报告卡；对有职业禁忌证者和已出现职业相关健康损害劳动者处理和安置记录等相关资料。</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0" w:type="dxa"/>
            <w:bottom w:w="0" w:type="dxa"/>
            <w:right w:w="100" w:type="dxa"/>
          </w:tblCellMar>
        </w:tblPrEx>
        <w:trPr>
          <w:jc w:val="center"/>
        </w:trPr>
        <w:tc>
          <w:tcPr>
            <w:tcW w:w="1762" w:type="dxa"/>
            <w:shd w:val="clear" w:color="auto" w:fill="auto"/>
            <w:vAlign w:val="top"/>
          </w:tcPr>
          <w:p>
            <w:pPr>
              <w:pStyle w:val="25"/>
              <w:autoSpaceDE w:val="0"/>
              <w:autoSpaceDN w:val="0"/>
              <w:spacing w:before="0" w:beforeAutospacing="0" w:after="0" w:afterAutospacing="0"/>
              <w:jc w:val="both"/>
              <w:rPr>
                <w:rFonts w:hint="eastAsia"/>
                <w:kern w:val="2"/>
                <w:sz w:val="18"/>
                <w:szCs w:val="18"/>
              </w:rPr>
            </w:pPr>
            <w:r>
              <w:rPr>
                <w:rFonts w:hint="eastAsia"/>
                <w:sz w:val="18"/>
                <w:szCs w:val="18"/>
              </w:rPr>
              <w:t>岗位</w:t>
            </w:r>
            <w:r>
              <w:rPr>
                <w:rFonts w:hint="eastAsia"/>
                <w:sz w:val="18"/>
                <w:szCs w:val="18"/>
                <w:lang w:eastAsia="zh-CN"/>
              </w:rPr>
              <w:t>职业健康</w:t>
            </w:r>
            <w:r>
              <w:rPr>
                <w:rFonts w:hint="eastAsia"/>
                <w:sz w:val="18"/>
                <w:szCs w:val="18"/>
              </w:rPr>
              <w:t>操作规程</w:t>
            </w:r>
          </w:p>
          <w:p>
            <w:pPr>
              <w:pStyle w:val="25"/>
              <w:autoSpaceDE w:val="0"/>
              <w:autoSpaceDN w:val="0"/>
              <w:spacing w:before="0" w:beforeAutospacing="0" w:after="0" w:afterAutospacing="0"/>
              <w:ind w:left="0" w:leftChars="0" w:right="0" w:rightChars="0"/>
              <w:jc w:val="both"/>
              <w:rPr>
                <w:rFonts w:hint="eastAsia" w:ascii="宋体" w:hAnsi="宋体" w:eastAsia="宋体" w:cs="宋体"/>
                <w:kern w:val="2"/>
                <w:sz w:val="18"/>
                <w:szCs w:val="18"/>
                <w:lang w:val="en-US" w:eastAsia="zh-CN" w:bidi="ar"/>
              </w:rPr>
            </w:pPr>
          </w:p>
        </w:tc>
        <w:tc>
          <w:tcPr>
            <w:tcW w:w="7800" w:type="dxa"/>
            <w:shd w:val="clear" w:color="auto" w:fill="auto"/>
            <w:vAlign w:val="top"/>
          </w:tcPr>
          <w:p>
            <w:pPr>
              <w:autoSpaceDE w:val="0"/>
              <w:autoSpaceDN w:val="0"/>
              <w:adjustRightInd w:val="0"/>
              <w:ind w:firstLine="90" w:firstLineChars="50"/>
              <w:jc w:val="left"/>
              <w:rPr>
                <w:rFonts w:hint="eastAsia" w:ascii="宋体" w:hAnsi="宋体" w:eastAsia="宋体" w:cs="宋体"/>
                <w:kern w:val="2"/>
                <w:sz w:val="18"/>
                <w:szCs w:val="18"/>
                <w:lang w:val="en-US" w:eastAsia="zh-CN" w:bidi="ar-SA"/>
              </w:rPr>
            </w:pPr>
            <w:r>
              <w:rPr>
                <w:rFonts w:hint="eastAsia" w:ascii="宋体" w:hAnsi="宋体" w:cs="宋体"/>
                <w:kern w:val="0"/>
                <w:sz w:val="18"/>
                <w:szCs w:val="18"/>
                <w:lang w:bidi="ar"/>
              </w:rPr>
              <w:t>根据噪声作业岗位实际情况编制岗位操作规程，操作规程应包括适用范围、岗位员工需穿戴的劳动防护用品、作业安全要求等内容，其中作业安全要求应按照工序、流程的顺序，规定每个步骤应遵守和注意的安全事项。</w:t>
            </w:r>
          </w:p>
        </w:tc>
      </w:tr>
    </w:tbl>
    <w:p>
      <w:pPr>
        <w:pStyle w:val="57"/>
        <w:bidi w:val="0"/>
        <w:ind w:left="0" w:leftChars="0" w:firstLine="0" w:firstLineChars="0"/>
        <w:rPr>
          <w:rFonts w:hint="eastAsia"/>
          <w:lang w:eastAsia="zh-CN"/>
        </w:rPr>
        <w:sectPr>
          <w:headerReference r:id="rId18" w:type="default"/>
          <w:footerReference r:id="rId20" w:type="default"/>
          <w:headerReference r:id="rId19" w:type="even"/>
          <w:footerReference r:id="rId21" w:type="even"/>
          <w:pgSz w:w="11906" w:h="16838"/>
          <w:pgMar w:top="1928" w:right="1134" w:bottom="1134" w:left="1134" w:header="1418" w:footer="1134" w:gutter="284"/>
          <w:pgNumType w:fmt="decimal"/>
          <w:cols w:space="425" w:num="1"/>
          <w:formProt w:val="0"/>
          <w:docGrid w:type="lines" w:linePitch="312" w:charSpace="0"/>
        </w:sectPr>
      </w:pPr>
    </w:p>
    <w:p>
      <w:pPr>
        <w:pStyle w:val="199"/>
        <w:bidi w:val="0"/>
        <w:rPr>
          <w:rFonts w:hint="eastAsia"/>
          <w:lang w:eastAsia="zh-CN"/>
        </w:rPr>
      </w:pPr>
    </w:p>
    <w:p>
      <w:pPr>
        <w:pStyle w:val="200"/>
        <w:bidi w:val="0"/>
        <w:rPr>
          <w:rFonts w:hint="eastAsia"/>
          <w:lang w:eastAsia="zh-CN"/>
        </w:rPr>
      </w:pPr>
    </w:p>
    <w:p>
      <w:pPr>
        <w:pStyle w:val="77"/>
        <w:bidi w:val="0"/>
        <w:rPr>
          <w:rFonts w:hint="eastAsia"/>
          <w:lang w:eastAsia="zh-CN"/>
        </w:rPr>
      </w:pPr>
      <w:bookmarkStart w:id="60" w:name="_Toc17750"/>
      <w:r>
        <w:rPr>
          <w:rFonts w:hint="eastAsia"/>
          <w:lang w:eastAsia="zh-CN"/>
        </w:rPr>
        <w:br w:type="textWrapping"/>
      </w:r>
      <w:r>
        <w:rPr>
          <w:rFonts w:hint="eastAsia"/>
          <w:lang w:eastAsia="zh-CN"/>
        </w:rPr>
        <w:t>（资料性）</w:t>
      </w:r>
      <w:r>
        <w:rPr>
          <w:rFonts w:hint="eastAsia"/>
          <w:lang w:eastAsia="zh-CN"/>
        </w:rPr>
        <w:br w:type="textWrapping"/>
      </w:r>
      <w:r>
        <w:rPr>
          <w:rFonts w:hint="eastAsia"/>
          <w:lang w:eastAsia="zh-CN"/>
        </w:rPr>
        <w:t>职业病危害告知书示例</w:t>
      </w:r>
      <w:bookmarkEnd w:id="60"/>
    </w:p>
    <w:p>
      <w:pPr>
        <w:pStyle w:val="231"/>
        <w:rPr>
          <w:rFonts w:hint="eastAsia" w:hAnsi="宋体" w:cs="宋体"/>
          <w:szCs w:val="21"/>
        </w:rPr>
      </w:pPr>
      <w:r>
        <w:rPr>
          <w:rFonts w:hint="eastAsia" w:hAnsi="宋体" w:cs="宋体"/>
          <w:szCs w:val="21"/>
          <w:lang w:val="en-US" w:eastAsia="zh-CN"/>
        </w:rPr>
        <w:t>下面给出了</w:t>
      </w:r>
      <w:r>
        <w:rPr>
          <w:rFonts w:hint="eastAsia" w:hAnsi="宋体" w:cs="宋体"/>
          <w:szCs w:val="21"/>
        </w:rPr>
        <w:t>职业病危害告知书示例。</w:t>
      </w:r>
    </w:p>
    <w:p>
      <w:pPr>
        <w:pStyle w:val="231"/>
        <w:ind w:left="0" w:leftChars="0" w:firstLine="0" w:firstLineChars="0"/>
        <w:jc w:val="center"/>
        <w:rPr>
          <w:rFonts w:hint="eastAsia" w:hAnsi="宋体" w:cs="宋体"/>
          <w:szCs w:val="21"/>
        </w:rPr>
      </w:pPr>
      <w:r>
        <w:rPr>
          <w:rFonts w:hint="eastAsia" w:hAnsi="宋体" w:cs="宋体"/>
          <w:szCs w:val="21"/>
        </w:rPr>
        <w:t>职业病危害告知书</w:t>
      </w:r>
    </w:p>
    <w:p>
      <w:pPr>
        <w:pStyle w:val="231"/>
        <w:ind w:firstLineChars="0"/>
        <w:jc w:val="center"/>
        <w:rPr>
          <w:rFonts w:hint="eastAsia" w:hAnsi="宋体" w:cs="宋体"/>
          <w:szCs w:val="21"/>
        </w:rPr>
      </w:pPr>
    </w:p>
    <w:p>
      <w:pPr>
        <w:pStyle w:val="231"/>
        <w:ind w:firstLine="450" w:firstLineChars="0"/>
        <w:jc w:val="left"/>
        <w:rPr>
          <w:rFonts w:hint="eastAsia" w:hAnsi="宋体" w:cs="宋体"/>
          <w:szCs w:val="21"/>
        </w:rPr>
      </w:pPr>
      <w:r>
        <w:rPr>
          <w:rFonts w:hint="eastAsia" w:hAnsi="宋体" w:cs="宋体"/>
          <w:szCs w:val="21"/>
        </w:rPr>
        <w:t xml:space="preserve">根据《中华人民共和国职业病防治法》第三十三条的规定，现将工作过程中可能产生的职业病危害及其后果、职业病防护措施和待遇等如实告知您： </w:t>
      </w:r>
    </w:p>
    <w:p>
      <w:pPr>
        <w:pStyle w:val="231"/>
        <w:ind w:firstLine="450" w:firstLineChars="0"/>
        <w:jc w:val="left"/>
        <w:rPr>
          <w:rFonts w:hint="eastAsia" w:hAnsi="宋体" w:cs="宋体"/>
          <w:szCs w:val="21"/>
        </w:rPr>
      </w:pPr>
      <w:r>
        <w:rPr>
          <w:rFonts w:hint="eastAsia" w:hAnsi="宋体" w:cs="宋体"/>
          <w:szCs w:val="21"/>
        </w:rPr>
        <w:t>您所在区域的岗位为</w:t>
      </w:r>
      <w:r>
        <w:rPr>
          <w:rFonts w:hint="eastAsia" w:hAnsi="宋体" w:cs="宋体"/>
          <w:szCs w:val="21"/>
          <w:u w:val="single"/>
        </w:rPr>
        <w:t xml:space="preserve">                       </w:t>
      </w:r>
      <w:r>
        <w:rPr>
          <w:rFonts w:hint="eastAsia" w:hAnsi="宋体" w:cs="宋体"/>
          <w:szCs w:val="21"/>
        </w:rPr>
        <w:t>，可能产生的职业病危害、后果及职业病防护措施：</w:t>
      </w:r>
    </w:p>
    <w:tbl>
      <w:tblPr>
        <w:tblStyle w:val="27"/>
        <w:tblW w:w="0" w:type="auto"/>
        <w:jc w:val="center"/>
        <w:tblBorders>
          <w:top w:val="single" w:color="auto" w:sz="12" w:space="0"/>
          <w:left w:val="single" w:color="auto" w:sz="12" w:space="0"/>
          <w:bottom w:val="single" w:color="auto" w:sz="12" w:space="0"/>
          <w:right w:val="single" w:color="auto" w:sz="12" w:space="0"/>
          <w:insideH w:val="single" w:color="000000" w:sz="4" w:space="0"/>
          <w:insideV w:val="single" w:color="000000" w:sz="4" w:space="0"/>
        </w:tblBorders>
        <w:tblLayout w:type="autofit"/>
        <w:tblCellMar>
          <w:top w:w="0" w:type="dxa"/>
          <w:left w:w="108" w:type="dxa"/>
          <w:bottom w:w="0" w:type="dxa"/>
          <w:right w:w="108" w:type="dxa"/>
        </w:tblCellMar>
      </w:tblPr>
      <w:tblGrid>
        <w:gridCol w:w="817"/>
        <w:gridCol w:w="1135"/>
        <w:gridCol w:w="1559"/>
        <w:gridCol w:w="1701"/>
        <w:gridCol w:w="4358"/>
      </w:tblGrid>
      <w:tr>
        <w:tblPrEx>
          <w:tblBorders>
            <w:top w:val="single" w:color="auto" w:sz="12" w:space="0"/>
            <w:left w:val="single" w:color="auto" w:sz="12" w:space="0"/>
            <w:bottom w:val="single" w:color="auto" w:sz="12" w:space="0"/>
            <w:right w:val="single" w:color="auto" w:sz="12" w:space="0"/>
            <w:insideH w:val="single" w:color="000000" w:sz="4" w:space="0"/>
            <w:insideV w:val="single" w:color="000000" w:sz="4" w:space="0"/>
          </w:tblBorders>
          <w:tblCellMar>
            <w:top w:w="0" w:type="dxa"/>
            <w:left w:w="108" w:type="dxa"/>
            <w:bottom w:w="0" w:type="dxa"/>
            <w:right w:w="108" w:type="dxa"/>
          </w:tblCellMar>
        </w:tblPrEx>
        <w:trPr>
          <w:jc w:val="center"/>
        </w:trPr>
        <w:tc>
          <w:tcPr>
            <w:tcW w:w="817" w:type="dxa"/>
            <w:tcBorders>
              <w:top w:val="single" w:color="auto" w:sz="12" w:space="0"/>
              <w:bottom w:val="single" w:color="auto" w:sz="12" w:space="0"/>
            </w:tcBorders>
            <w:noWrap w:val="0"/>
            <w:vAlign w:val="center"/>
          </w:tcPr>
          <w:p>
            <w:pPr>
              <w:pStyle w:val="231"/>
              <w:ind w:firstLine="0" w:firstLineChars="0"/>
              <w:jc w:val="center"/>
              <w:rPr>
                <w:rFonts w:hint="eastAsia" w:hAnsi="宋体"/>
                <w:sz w:val="18"/>
                <w:szCs w:val="18"/>
              </w:rPr>
            </w:pPr>
            <w:r>
              <w:rPr>
                <w:rFonts w:hint="eastAsia" w:hAnsi="宋体"/>
                <w:sz w:val="18"/>
                <w:szCs w:val="18"/>
              </w:rPr>
              <w:t>部门及岗位</w:t>
            </w:r>
          </w:p>
        </w:tc>
        <w:tc>
          <w:tcPr>
            <w:tcW w:w="1135" w:type="dxa"/>
            <w:tcBorders>
              <w:top w:val="single" w:color="auto" w:sz="12" w:space="0"/>
              <w:bottom w:val="single" w:color="auto" w:sz="12" w:space="0"/>
            </w:tcBorders>
            <w:noWrap w:val="0"/>
            <w:vAlign w:val="center"/>
          </w:tcPr>
          <w:p>
            <w:pPr>
              <w:pStyle w:val="231"/>
              <w:ind w:firstLine="0" w:firstLineChars="0"/>
              <w:jc w:val="center"/>
              <w:rPr>
                <w:rFonts w:hint="eastAsia" w:hAnsi="宋体"/>
                <w:sz w:val="18"/>
                <w:szCs w:val="18"/>
              </w:rPr>
            </w:pPr>
            <w:r>
              <w:rPr>
                <w:rFonts w:hint="eastAsia" w:hAnsi="宋体"/>
                <w:sz w:val="18"/>
                <w:szCs w:val="18"/>
              </w:rPr>
              <w:t>职业病危害因素</w:t>
            </w:r>
          </w:p>
        </w:tc>
        <w:tc>
          <w:tcPr>
            <w:tcW w:w="1559" w:type="dxa"/>
            <w:tcBorders>
              <w:top w:val="single" w:color="auto" w:sz="12" w:space="0"/>
              <w:bottom w:val="single" w:color="auto" w:sz="12" w:space="0"/>
            </w:tcBorders>
            <w:noWrap w:val="0"/>
            <w:vAlign w:val="center"/>
          </w:tcPr>
          <w:p>
            <w:pPr>
              <w:pStyle w:val="231"/>
              <w:ind w:firstLine="0" w:firstLineChars="0"/>
              <w:jc w:val="center"/>
              <w:rPr>
                <w:rFonts w:hint="eastAsia" w:hAnsi="宋体"/>
                <w:sz w:val="18"/>
                <w:szCs w:val="18"/>
              </w:rPr>
            </w:pPr>
            <w:r>
              <w:rPr>
                <w:rFonts w:hint="eastAsia" w:hAnsi="宋体"/>
                <w:sz w:val="18"/>
                <w:szCs w:val="18"/>
              </w:rPr>
              <w:t>可能导致的职业病危害</w:t>
            </w:r>
          </w:p>
        </w:tc>
        <w:tc>
          <w:tcPr>
            <w:tcW w:w="1701" w:type="dxa"/>
            <w:tcBorders>
              <w:top w:val="single" w:color="auto" w:sz="12" w:space="0"/>
              <w:bottom w:val="single" w:color="auto" w:sz="12" w:space="0"/>
            </w:tcBorders>
            <w:noWrap w:val="0"/>
            <w:vAlign w:val="center"/>
          </w:tcPr>
          <w:p>
            <w:pPr>
              <w:pStyle w:val="231"/>
              <w:ind w:firstLine="0" w:firstLineChars="0"/>
              <w:jc w:val="center"/>
              <w:rPr>
                <w:rFonts w:hint="eastAsia" w:hAnsi="宋体"/>
                <w:sz w:val="18"/>
                <w:szCs w:val="18"/>
              </w:rPr>
            </w:pPr>
            <w:r>
              <w:rPr>
                <w:rFonts w:hint="eastAsia" w:hAnsi="宋体"/>
                <w:sz w:val="18"/>
                <w:szCs w:val="18"/>
              </w:rPr>
              <w:t>个人防护措施</w:t>
            </w:r>
          </w:p>
        </w:tc>
        <w:tc>
          <w:tcPr>
            <w:tcW w:w="4358" w:type="dxa"/>
            <w:tcBorders>
              <w:top w:val="single" w:color="auto" w:sz="12" w:space="0"/>
              <w:bottom w:val="single" w:color="auto" w:sz="12" w:space="0"/>
            </w:tcBorders>
            <w:noWrap w:val="0"/>
            <w:vAlign w:val="center"/>
          </w:tcPr>
          <w:p>
            <w:pPr>
              <w:pStyle w:val="231"/>
              <w:ind w:firstLine="0" w:firstLineChars="0"/>
              <w:jc w:val="center"/>
              <w:rPr>
                <w:rFonts w:hint="eastAsia" w:hAnsi="宋体"/>
                <w:sz w:val="18"/>
                <w:szCs w:val="18"/>
              </w:rPr>
            </w:pPr>
            <w:r>
              <w:rPr>
                <w:rFonts w:hint="eastAsia" w:hAnsi="宋体"/>
                <w:sz w:val="18"/>
                <w:szCs w:val="18"/>
              </w:rPr>
              <w:t>职业禁忌证</w:t>
            </w:r>
          </w:p>
        </w:tc>
      </w:tr>
      <w:tr>
        <w:tblPrEx>
          <w:tblBorders>
            <w:top w:val="single" w:color="auto" w:sz="12" w:space="0"/>
            <w:left w:val="single" w:color="auto" w:sz="12" w:space="0"/>
            <w:bottom w:val="single" w:color="auto" w:sz="12" w:space="0"/>
            <w:right w:val="single" w:color="auto" w:sz="12" w:space="0"/>
            <w:insideH w:val="single" w:color="000000" w:sz="4" w:space="0"/>
            <w:insideV w:val="single" w:color="000000" w:sz="4" w:space="0"/>
          </w:tblBorders>
          <w:tblCellMar>
            <w:top w:w="0" w:type="dxa"/>
            <w:left w:w="108" w:type="dxa"/>
            <w:bottom w:w="0" w:type="dxa"/>
            <w:right w:w="108" w:type="dxa"/>
          </w:tblCellMar>
        </w:tblPrEx>
        <w:trPr>
          <w:jc w:val="center"/>
        </w:trPr>
        <w:tc>
          <w:tcPr>
            <w:tcW w:w="817" w:type="dxa"/>
            <w:noWrap w:val="0"/>
            <w:vAlign w:val="top"/>
          </w:tcPr>
          <w:p>
            <w:pPr>
              <w:pStyle w:val="231"/>
              <w:ind w:firstLine="90" w:firstLineChars="50"/>
              <w:jc w:val="left"/>
              <w:rPr>
                <w:rFonts w:hint="eastAsia" w:hAnsi="宋体"/>
                <w:sz w:val="18"/>
                <w:szCs w:val="18"/>
              </w:rPr>
            </w:pPr>
            <w:r>
              <w:rPr>
                <w:rFonts w:hAnsi="宋体"/>
                <w:sz w:val="18"/>
                <w:szCs w:val="18"/>
              </w:rPr>
              <w:t>xxx</w:t>
            </w:r>
          </w:p>
        </w:tc>
        <w:tc>
          <w:tcPr>
            <w:tcW w:w="1135" w:type="dxa"/>
            <w:noWrap w:val="0"/>
            <w:vAlign w:val="top"/>
          </w:tcPr>
          <w:p>
            <w:pPr>
              <w:pStyle w:val="231"/>
              <w:ind w:firstLine="90" w:firstLineChars="50"/>
              <w:jc w:val="left"/>
              <w:rPr>
                <w:rFonts w:hint="eastAsia" w:hAnsi="宋体"/>
                <w:sz w:val="18"/>
                <w:szCs w:val="18"/>
              </w:rPr>
            </w:pPr>
            <w:r>
              <w:rPr>
                <w:rFonts w:hint="eastAsia" w:hAnsi="宋体"/>
                <w:sz w:val="18"/>
                <w:szCs w:val="18"/>
              </w:rPr>
              <w:t>噪声</w:t>
            </w:r>
          </w:p>
        </w:tc>
        <w:tc>
          <w:tcPr>
            <w:tcW w:w="1559" w:type="dxa"/>
            <w:noWrap w:val="0"/>
            <w:vAlign w:val="top"/>
          </w:tcPr>
          <w:p>
            <w:pPr>
              <w:pStyle w:val="231"/>
              <w:ind w:firstLine="90" w:firstLineChars="50"/>
              <w:jc w:val="left"/>
              <w:rPr>
                <w:rFonts w:hint="eastAsia" w:hAnsi="宋体"/>
                <w:sz w:val="18"/>
                <w:szCs w:val="18"/>
              </w:rPr>
            </w:pPr>
            <w:r>
              <w:rPr>
                <w:rFonts w:hint="eastAsia" w:hAnsi="宋体"/>
                <w:sz w:val="18"/>
                <w:szCs w:val="18"/>
              </w:rPr>
              <w:t>职业性噪声聋</w:t>
            </w:r>
          </w:p>
        </w:tc>
        <w:tc>
          <w:tcPr>
            <w:tcW w:w="1701" w:type="dxa"/>
            <w:noWrap w:val="0"/>
            <w:vAlign w:val="top"/>
          </w:tcPr>
          <w:p>
            <w:pPr>
              <w:pStyle w:val="231"/>
              <w:ind w:firstLine="90" w:firstLineChars="50"/>
              <w:jc w:val="left"/>
              <w:rPr>
                <w:rFonts w:hint="eastAsia" w:hAnsi="宋体"/>
                <w:sz w:val="18"/>
                <w:szCs w:val="18"/>
              </w:rPr>
            </w:pPr>
            <w:r>
              <w:rPr>
                <w:rFonts w:hint="eastAsia" w:hAnsi="宋体"/>
                <w:sz w:val="18"/>
                <w:szCs w:val="18"/>
              </w:rPr>
              <w:t>耳塞、耳罩等</w:t>
            </w:r>
          </w:p>
        </w:tc>
        <w:tc>
          <w:tcPr>
            <w:tcW w:w="4358" w:type="dxa"/>
            <w:noWrap w:val="0"/>
            <w:vAlign w:val="top"/>
          </w:tcPr>
          <w:p>
            <w:pPr>
              <w:pStyle w:val="231"/>
              <w:ind w:firstLine="90" w:firstLineChars="50"/>
              <w:jc w:val="left"/>
              <w:rPr>
                <w:rFonts w:hint="eastAsia" w:hAnsi="宋体"/>
                <w:sz w:val="18"/>
                <w:szCs w:val="18"/>
              </w:rPr>
            </w:pPr>
            <w:r>
              <w:rPr>
                <w:rFonts w:hint="eastAsia" w:hAnsi="宋体"/>
                <w:sz w:val="18"/>
                <w:szCs w:val="18"/>
              </w:rPr>
              <w:t>各种原因引起永久性感音神经性听力损失（500Hz、1000Hz和2000Hz中任一频率的纯音气导听阈&gt;25dB）</w:t>
            </w:r>
          </w:p>
          <w:p>
            <w:pPr>
              <w:pStyle w:val="231"/>
              <w:ind w:firstLine="0" w:firstLineChars="0"/>
              <w:jc w:val="left"/>
              <w:rPr>
                <w:rFonts w:hint="eastAsia" w:hAnsi="宋体"/>
                <w:sz w:val="18"/>
                <w:szCs w:val="18"/>
              </w:rPr>
            </w:pPr>
            <w:r>
              <w:rPr>
                <w:rFonts w:hint="eastAsia" w:hAnsi="宋体"/>
                <w:sz w:val="18"/>
                <w:szCs w:val="18"/>
              </w:rPr>
              <w:t>高频段3000Hz、4000Hz、6000Hz双耳平均听阈</w:t>
            </w:r>
            <w:r>
              <w:rPr>
                <w:rFonts w:hAnsi="宋体"/>
                <w:sz w:val="18"/>
                <w:szCs w:val="18"/>
              </w:rPr>
              <w:t>≥</w:t>
            </w:r>
            <w:r>
              <w:rPr>
                <w:rFonts w:hint="eastAsia" w:hAnsi="宋体"/>
                <w:sz w:val="18"/>
                <w:szCs w:val="18"/>
              </w:rPr>
              <w:t>40dB</w:t>
            </w:r>
          </w:p>
          <w:p>
            <w:pPr>
              <w:pStyle w:val="231"/>
              <w:ind w:firstLine="0" w:firstLineChars="0"/>
              <w:jc w:val="left"/>
              <w:rPr>
                <w:rFonts w:hint="eastAsia" w:hAnsi="宋体"/>
                <w:sz w:val="18"/>
                <w:szCs w:val="18"/>
              </w:rPr>
            </w:pPr>
            <w:r>
              <w:rPr>
                <w:rFonts w:hint="eastAsia" w:hAnsi="宋体"/>
                <w:sz w:val="18"/>
                <w:szCs w:val="18"/>
              </w:rPr>
              <w:t>任一耳传导性耳聋，平均语频听力损失</w:t>
            </w:r>
            <w:r>
              <w:rPr>
                <w:rFonts w:hAnsi="宋体"/>
                <w:sz w:val="18"/>
                <w:szCs w:val="18"/>
              </w:rPr>
              <w:t>≥</w:t>
            </w:r>
            <w:r>
              <w:rPr>
                <w:rFonts w:hint="eastAsia" w:hAnsi="宋体"/>
                <w:sz w:val="18"/>
                <w:szCs w:val="18"/>
              </w:rPr>
              <w:t>41dB</w:t>
            </w:r>
          </w:p>
        </w:tc>
      </w:tr>
      <w:tr>
        <w:tblPrEx>
          <w:tblBorders>
            <w:top w:val="single" w:color="auto" w:sz="12" w:space="0"/>
            <w:left w:val="single" w:color="auto" w:sz="12" w:space="0"/>
            <w:bottom w:val="single" w:color="auto" w:sz="12" w:space="0"/>
            <w:right w:val="single" w:color="auto" w:sz="12" w:space="0"/>
            <w:insideH w:val="single" w:color="000000" w:sz="4" w:space="0"/>
            <w:insideV w:val="single" w:color="000000" w:sz="4" w:space="0"/>
          </w:tblBorders>
          <w:tblCellMar>
            <w:top w:w="0" w:type="dxa"/>
            <w:left w:w="108" w:type="dxa"/>
            <w:bottom w:w="0" w:type="dxa"/>
            <w:right w:w="108" w:type="dxa"/>
          </w:tblCellMar>
        </w:tblPrEx>
        <w:trPr>
          <w:jc w:val="center"/>
        </w:trPr>
        <w:tc>
          <w:tcPr>
            <w:tcW w:w="817" w:type="dxa"/>
            <w:noWrap w:val="0"/>
            <w:vAlign w:val="top"/>
          </w:tcPr>
          <w:p>
            <w:pPr>
              <w:pStyle w:val="231"/>
              <w:ind w:firstLine="90" w:firstLineChars="50"/>
              <w:jc w:val="left"/>
              <w:rPr>
                <w:rFonts w:hint="eastAsia" w:hAnsi="宋体"/>
                <w:sz w:val="18"/>
                <w:szCs w:val="18"/>
              </w:rPr>
            </w:pPr>
            <w:r>
              <w:rPr>
                <w:rFonts w:hint="eastAsia" w:hAnsi="宋体"/>
                <w:sz w:val="18"/>
                <w:szCs w:val="18"/>
              </w:rPr>
              <w:t>……</w:t>
            </w:r>
          </w:p>
        </w:tc>
        <w:tc>
          <w:tcPr>
            <w:tcW w:w="1135" w:type="dxa"/>
            <w:noWrap w:val="0"/>
            <w:vAlign w:val="top"/>
          </w:tcPr>
          <w:p>
            <w:pPr>
              <w:pStyle w:val="231"/>
              <w:ind w:firstLine="90" w:firstLineChars="50"/>
              <w:jc w:val="left"/>
              <w:rPr>
                <w:rFonts w:hint="eastAsia" w:hAnsi="宋体"/>
                <w:sz w:val="18"/>
                <w:szCs w:val="18"/>
              </w:rPr>
            </w:pPr>
            <w:r>
              <w:rPr>
                <w:rFonts w:hAnsi="宋体"/>
                <w:sz w:val="18"/>
                <w:szCs w:val="18"/>
              </w:rPr>
              <w:t>……</w:t>
            </w:r>
          </w:p>
        </w:tc>
        <w:tc>
          <w:tcPr>
            <w:tcW w:w="1559" w:type="dxa"/>
            <w:noWrap w:val="0"/>
            <w:vAlign w:val="top"/>
          </w:tcPr>
          <w:p>
            <w:pPr>
              <w:pStyle w:val="231"/>
              <w:ind w:firstLine="90" w:firstLineChars="50"/>
              <w:jc w:val="left"/>
              <w:rPr>
                <w:rFonts w:hint="eastAsia" w:hAnsi="宋体"/>
                <w:sz w:val="18"/>
                <w:szCs w:val="18"/>
              </w:rPr>
            </w:pPr>
            <w:r>
              <w:rPr>
                <w:rFonts w:hAnsi="宋体"/>
                <w:sz w:val="18"/>
                <w:szCs w:val="18"/>
              </w:rPr>
              <w:t>……</w:t>
            </w:r>
          </w:p>
        </w:tc>
        <w:tc>
          <w:tcPr>
            <w:tcW w:w="1701" w:type="dxa"/>
            <w:noWrap w:val="0"/>
            <w:vAlign w:val="top"/>
          </w:tcPr>
          <w:p>
            <w:pPr>
              <w:pStyle w:val="231"/>
              <w:ind w:firstLine="90" w:firstLineChars="50"/>
              <w:jc w:val="left"/>
              <w:rPr>
                <w:rFonts w:hint="eastAsia" w:hAnsi="宋体"/>
                <w:sz w:val="18"/>
                <w:szCs w:val="18"/>
              </w:rPr>
            </w:pPr>
            <w:r>
              <w:rPr>
                <w:rFonts w:hAnsi="宋体"/>
                <w:sz w:val="18"/>
                <w:szCs w:val="18"/>
              </w:rPr>
              <w:t>……</w:t>
            </w:r>
          </w:p>
        </w:tc>
        <w:tc>
          <w:tcPr>
            <w:tcW w:w="4358" w:type="dxa"/>
            <w:noWrap w:val="0"/>
            <w:vAlign w:val="top"/>
          </w:tcPr>
          <w:p>
            <w:pPr>
              <w:pStyle w:val="231"/>
              <w:ind w:firstLine="90" w:firstLineChars="50"/>
              <w:jc w:val="left"/>
              <w:rPr>
                <w:rFonts w:hint="eastAsia" w:hAnsi="宋体"/>
                <w:sz w:val="18"/>
                <w:szCs w:val="18"/>
              </w:rPr>
            </w:pPr>
            <w:r>
              <w:rPr>
                <w:rFonts w:hAnsi="宋体"/>
                <w:sz w:val="18"/>
                <w:szCs w:val="18"/>
              </w:rPr>
              <w:t>……</w:t>
            </w:r>
          </w:p>
        </w:tc>
      </w:tr>
    </w:tbl>
    <w:p>
      <w:pPr>
        <w:pStyle w:val="231"/>
        <w:ind w:firstLine="450" w:firstLineChars="0"/>
        <w:jc w:val="left"/>
        <w:rPr>
          <w:rFonts w:hint="eastAsia" w:hAnsi="宋体"/>
          <w:szCs w:val="21"/>
        </w:rPr>
      </w:pPr>
      <w:r>
        <w:rPr>
          <w:rFonts w:hint="eastAsia" w:hAnsi="宋体"/>
          <w:szCs w:val="21"/>
        </w:rPr>
        <w:t>公司将对您进行岗前和在岗期间的</w:t>
      </w:r>
      <w:r>
        <w:rPr>
          <w:rFonts w:hint="eastAsia" w:hAnsi="宋体"/>
          <w:szCs w:val="21"/>
          <w:lang w:eastAsia="zh-CN"/>
        </w:rPr>
        <w:t>职业健康</w:t>
      </w:r>
      <w:r>
        <w:rPr>
          <w:rFonts w:hint="eastAsia" w:hAnsi="宋体"/>
          <w:szCs w:val="21"/>
        </w:rPr>
        <w:t>培训，指导您正确使用相关的职业病防护设施和个人防护用品。</w:t>
      </w:r>
    </w:p>
    <w:p>
      <w:pPr>
        <w:pStyle w:val="231"/>
        <w:ind w:firstLine="450" w:firstLineChars="0"/>
        <w:jc w:val="left"/>
        <w:rPr>
          <w:rFonts w:hint="eastAsia" w:hAnsi="宋体"/>
          <w:szCs w:val="21"/>
        </w:rPr>
      </w:pPr>
      <w:r>
        <w:rPr>
          <w:rFonts w:hint="eastAsia" w:hAnsi="宋体"/>
          <w:szCs w:val="21"/>
        </w:rPr>
        <w:t>公司将安排您进行上岗前、在岗期间和离岗时的职业健康检查，并将检查结果如实告知您。职业健康检查费用由公司承担。</w:t>
      </w:r>
    </w:p>
    <w:p>
      <w:pPr>
        <w:pStyle w:val="231"/>
        <w:ind w:firstLine="450" w:firstLineChars="0"/>
        <w:jc w:val="left"/>
        <w:rPr>
          <w:rFonts w:hint="eastAsia" w:hAnsi="宋体"/>
          <w:szCs w:val="21"/>
        </w:rPr>
      </w:pPr>
      <w:r>
        <w:rPr>
          <w:rFonts w:hint="eastAsia" w:hAnsi="宋体"/>
          <w:szCs w:val="21"/>
        </w:rPr>
        <w:t>如您患上职业病，您将依法享受国家规定的职业病待遇，公司将按照《工伤保险条例》的相关规定执行。</w:t>
      </w:r>
    </w:p>
    <w:p>
      <w:pPr>
        <w:pStyle w:val="231"/>
        <w:jc w:val="left"/>
        <w:rPr>
          <w:rFonts w:hint="eastAsia" w:hAnsi="宋体"/>
          <w:szCs w:val="21"/>
        </w:rPr>
      </w:pPr>
      <w:r>
        <w:rPr>
          <w:rFonts w:hint="eastAsia" w:hAnsi="宋体"/>
          <w:szCs w:val="21"/>
        </w:rPr>
        <w:t>您应履行以下义务：</w:t>
      </w:r>
    </w:p>
    <w:p>
      <w:pPr>
        <w:pStyle w:val="231"/>
        <w:jc w:val="left"/>
        <w:rPr>
          <w:rFonts w:hint="eastAsia" w:hAnsi="宋体"/>
          <w:szCs w:val="21"/>
        </w:rPr>
      </w:pPr>
      <w:r>
        <w:rPr>
          <w:rFonts w:hint="eastAsia" w:hAnsi="宋体"/>
          <w:szCs w:val="21"/>
        </w:rPr>
        <w:t>1.自觉遵守职业病防治法律、法规、规章和用人单位相关</w:t>
      </w:r>
      <w:r>
        <w:rPr>
          <w:rFonts w:hint="eastAsia" w:hAnsi="宋体"/>
          <w:szCs w:val="21"/>
          <w:lang w:eastAsia="zh-CN"/>
        </w:rPr>
        <w:t>职业健康</w:t>
      </w:r>
      <w:r>
        <w:rPr>
          <w:rFonts w:hint="eastAsia" w:hAnsi="宋体"/>
          <w:szCs w:val="21"/>
        </w:rPr>
        <w:t>操作规程；</w:t>
      </w:r>
    </w:p>
    <w:p>
      <w:pPr>
        <w:pStyle w:val="231"/>
        <w:jc w:val="left"/>
        <w:outlineLvl w:val="0"/>
        <w:rPr>
          <w:rFonts w:hint="eastAsia" w:hAnsi="宋体"/>
          <w:szCs w:val="21"/>
        </w:rPr>
      </w:pPr>
      <w:bookmarkStart w:id="61" w:name="_Toc28778"/>
      <w:r>
        <w:rPr>
          <w:rFonts w:hint="eastAsia" w:hAnsi="宋体"/>
          <w:szCs w:val="21"/>
        </w:rPr>
        <w:t>2.正确使用、维护职业病防护设施和个人职业病防护用品；</w:t>
      </w:r>
      <w:bookmarkEnd w:id="61"/>
    </w:p>
    <w:p>
      <w:pPr>
        <w:pStyle w:val="231"/>
        <w:jc w:val="left"/>
        <w:rPr>
          <w:rFonts w:hint="eastAsia" w:hAnsi="宋体"/>
          <w:szCs w:val="21"/>
        </w:rPr>
      </w:pPr>
      <w:r>
        <w:rPr>
          <w:rFonts w:hint="eastAsia" w:hAnsi="宋体"/>
          <w:szCs w:val="21"/>
        </w:rPr>
        <w:t>3.积极参加</w:t>
      </w:r>
      <w:r>
        <w:rPr>
          <w:rFonts w:hint="eastAsia" w:hAnsi="宋体"/>
          <w:szCs w:val="21"/>
          <w:lang w:eastAsia="zh-CN"/>
        </w:rPr>
        <w:t>职业健康</w:t>
      </w:r>
      <w:r>
        <w:rPr>
          <w:rFonts w:hint="eastAsia" w:hAnsi="宋体"/>
          <w:szCs w:val="21"/>
        </w:rPr>
        <w:t>知识培训，增强职业病防范意识；定期参加职业健康检查；如被检查出职业禁忌证或相关健康损害，应服从用人单位为保护劳动者健康而采取的调离原岗位并妥善安置的工作安排；</w:t>
      </w:r>
    </w:p>
    <w:p>
      <w:pPr>
        <w:pStyle w:val="231"/>
        <w:jc w:val="left"/>
        <w:outlineLvl w:val="0"/>
        <w:rPr>
          <w:rFonts w:hint="eastAsia" w:hAnsi="宋体"/>
          <w:szCs w:val="21"/>
        </w:rPr>
      </w:pPr>
      <w:bookmarkStart w:id="62" w:name="_Toc2689"/>
      <w:r>
        <w:rPr>
          <w:rFonts w:hint="eastAsia" w:hAnsi="宋体"/>
          <w:szCs w:val="21"/>
        </w:rPr>
        <w:t>4.发现职业病危害事故隐患应及时报告；</w:t>
      </w:r>
      <w:bookmarkEnd w:id="62"/>
    </w:p>
    <w:p>
      <w:pPr>
        <w:pStyle w:val="231"/>
        <w:ind w:firstLineChars="0"/>
        <w:jc w:val="left"/>
        <w:rPr>
          <w:rFonts w:hint="eastAsia" w:hAnsi="宋体"/>
          <w:szCs w:val="21"/>
        </w:rPr>
      </w:pPr>
      <w:r>
        <w:rPr>
          <w:rFonts w:hint="eastAsia" w:hAnsi="宋体"/>
          <w:szCs w:val="21"/>
        </w:rPr>
        <w:t>5.离职时，按照相关法律法规的要求及用人单位的规定参加离岗时职业健康检查。</w:t>
      </w:r>
    </w:p>
    <w:p>
      <w:pPr>
        <w:pStyle w:val="231"/>
        <w:ind w:firstLine="450" w:firstLineChars="0"/>
        <w:jc w:val="left"/>
        <w:rPr>
          <w:rFonts w:hint="eastAsia" w:hAnsi="宋体"/>
          <w:szCs w:val="21"/>
        </w:rPr>
      </w:pPr>
      <w:r>
        <w:rPr>
          <w:rFonts w:hint="eastAsia" w:hAnsi="宋体"/>
          <w:szCs w:val="21"/>
        </w:rPr>
        <w:t>本职业危害告知书作为劳动合同附件（一式两份），与劳动合同具有同等的法律权利和义务。</w:t>
      </w:r>
    </w:p>
    <w:p>
      <w:pPr>
        <w:pStyle w:val="231"/>
        <w:ind w:firstLine="450" w:firstLineChars="0"/>
        <w:jc w:val="left"/>
        <w:rPr>
          <w:rFonts w:hint="eastAsia" w:hAnsi="宋体"/>
          <w:szCs w:val="21"/>
        </w:rPr>
      </w:pPr>
    </w:p>
    <w:p>
      <w:pPr>
        <w:pStyle w:val="231"/>
        <w:ind w:firstLine="450" w:firstLineChars="0"/>
        <w:jc w:val="left"/>
        <w:rPr>
          <w:rFonts w:hint="eastAsia" w:hAnsi="宋体"/>
          <w:szCs w:val="21"/>
        </w:rPr>
      </w:pPr>
    </w:p>
    <w:p>
      <w:pPr>
        <w:pStyle w:val="231"/>
        <w:ind w:firstLine="450" w:firstLineChars="0"/>
        <w:jc w:val="left"/>
        <w:rPr>
          <w:rFonts w:hint="eastAsia" w:hAnsi="宋体"/>
          <w:szCs w:val="21"/>
        </w:rPr>
      </w:pPr>
    </w:p>
    <w:p>
      <w:pPr>
        <w:pStyle w:val="231"/>
        <w:ind w:firstLine="450" w:firstLineChars="0"/>
        <w:jc w:val="left"/>
        <w:rPr>
          <w:rFonts w:hint="eastAsia" w:hAnsi="宋体"/>
          <w:szCs w:val="21"/>
        </w:rPr>
      </w:pPr>
    </w:p>
    <w:p>
      <w:pPr>
        <w:pStyle w:val="231"/>
        <w:ind w:firstLine="450" w:firstLineChars="0"/>
        <w:jc w:val="left"/>
        <w:rPr>
          <w:rFonts w:hint="eastAsia" w:hAnsi="宋体"/>
          <w:szCs w:val="21"/>
        </w:rPr>
      </w:pPr>
    </w:p>
    <w:p>
      <w:pPr>
        <w:pStyle w:val="231"/>
        <w:ind w:firstLine="450" w:firstLineChars="0"/>
        <w:jc w:val="left"/>
        <w:rPr>
          <w:rFonts w:hint="eastAsia" w:hAnsi="宋体"/>
          <w:szCs w:val="21"/>
        </w:rPr>
      </w:pPr>
    </w:p>
    <w:p>
      <w:pPr>
        <w:pStyle w:val="231"/>
        <w:ind w:firstLine="450" w:firstLineChars="0"/>
        <w:jc w:val="left"/>
        <w:rPr>
          <w:rFonts w:hint="eastAsia" w:hAnsi="宋体"/>
          <w:szCs w:val="21"/>
        </w:rPr>
      </w:pPr>
      <w:r>
        <w:rPr>
          <w:rFonts w:hint="eastAsia" w:hAnsi="宋体"/>
          <w:szCs w:val="21"/>
        </w:rPr>
        <w:t>告知方（签章）：                                 被告知方（签章）：</w:t>
      </w:r>
    </w:p>
    <w:p>
      <w:pPr>
        <w:ind w:firstLine="315" w:firstLineChars="150"/>
        <w:rPr>
          <w:rFonts w:hint="eastAsia" w:hAnsi="宋体"/>
          <w:szCs w:val="21"/>
        </w:rPr>
      </w:pPr>
      <w:r>
        <w:rPr>
          <w:rFonts w:hint="eastAsia" w:hAnsi="宋体"/>
          <w:szCs w:val="21"/>
        </w:rPr>
        <w:t xml:space="preserve">                  </w:t>
      </w:r>
    </w:p>
    <w:p>
      <w:pPr>
        <w:rPr>
          <w:rFonts w:hint="eastAsia"/>
        </w:rPr>
      </w:pPr>
      <w:r>
        <w:rPr>
          <w:rFonts w:hint="eastAsia"/>
        </w:rPr>
        <w:t xml:space="preserve">                     年      月      日                              年      月      日</w:t>
      </w:r>
    </w:p>
    <w:p>
      <w:pPr>
        <w:pStyle w:val="57"/>
        <w:bidi w:val="0"/>
        <w:rPr>
          <w:rFonts w:hint="eastAsia"/>
          <w:lang w:eastAsia="zh-CN"/>
        </w:rPr>
      </w:pPr>
    </w:p>
    <w:p>
      <w:pPr>
        <w:pStyle w:val="57"/>
        <w:bidi w:val="0"/>
        <w:ind w:left="0" w:leftChars="0" w:firstLine="0" w:firstLineChars="0"/>
        <w:rPr>
          <w:rFonts w:hint="eastAsia"/>
          <w:lang w:eastAsia="zh-CN"/>
        </w:rPr>
        <w:sectPr>
          <w:headerReference r:id="rId22" w:type="default"/>
          <w:footerReference r:id="rId24" w:type="default"/>
          <w:headerReference r:id="rId23" w:type="even"/>
          <w:footerReference r:id="rId25" w:type="even"/>
          <w:pgSz w:w="11906" w:h="16838"/>
          <w:pgMar w:top="1928" w:right="1134" w:bottom="1134" w:left="1134" w:header="1418" w:footer="1134" w:gutter="284"/>
          <w:pgNumType w:fmt="decimal"/>
          <w:cols w:space="425" w:num="1"/>
          <w:formProt w:val="0"/>
          <w:docGrid w:type="lines" w:linePitch="312" w:charSpace="0"/>
        </w:sectPr>
      </w:pPr>
    </w:p>
    <w:p>
      <w:pPr>
        <w:pStyle w:val="199"/>
        <w:bidi w:val="0"/>
        <w:rPr>
          <w:rFonts w:hint="eastAsia"/>
          <w:lang w:eastAsia="zh-CN"/>
        </w:rPr>
      </w:pPr>
    </w:p>
    <w:p>
      <w:pPr>
        <w:pStyle w:val="200"/>
        <w:bidi w:val="0"/>
        <w:rPr>
          <w:rFonts w:hint="eastAsia"/>
          <w:lang w:eastAsia="zh-CN"/>
        </w:rPr>
      </w:pPr>
    </w:p>
    <w:p>
      <w:pPr>
        <w:pStyle w:val="77"/>
        <w:bidi w:val="0"/>
        <w:rPr>
          <w:rFonts w:hint="eastAsia"/>
          <w:lang w:eastAsia="zh-CN"/>
        </w:rPr>
      </w:pPr>
      <w:bookmarkStart w:id="63" w:name="_Toc13125"/>
      <w:r>
        <w:rPr>
          <w:rFonts w:hint="eastAsia"/>
          <w:lang w:eastAsia="zh-CN"/>
        </w:rPr>
        <w:br w:type="textWrapping"/>
      </w:r>
      <w:r>
        <w:rPr>
          <w:rFonts w:hint="eastAsia"/>
          <w:lang w:eastAsia="zh-CN"/>
        </w:rPr>
        <w:t>（资料性）</w:t>
      </w:r>
      <w:r>
        <w:rPr>
          <w:rFonts w:hint="eastAsia"/>
          <w:lang w:eastAsia="zh-CN"/>
        </w:rPr>
        <w:br w:type="textWrapping"/>
      </w:r>
      <w:r>
        <w:rPr>
          <w:rFonts w:hint="eastAsia"/>
          <w:lang w:eastAsia="zh-CN"/>
        </w:rPr>
        <w:t>常见工艺、工程降噪措施</w:t>
      </w:r>
      <w:bookmarkEnd w:id="63"/>
    </w:p>
    <w:p>
      <w:pPr>
        <w:pStyle w:val="57"/>
        <w:bidi w:val="0"/>
        <w:rPr>
          <w:rFonts w:hint="eastAsia"/>
          <w:lang w:eastAsia="zh-CN"/>
        </w:rPr>
      </w:pPr>
      <w:r>
        <w:rPr>
          <w:rFonts w:hint="eastAsia"/>
          <w:lang w:eastAsia="zh-CN"/>
        </w:rPr>
        <w:t>通过改变工艺降低噪声的示例见表C.1</w:t>
      </w:r>
    </w:p>
    <w:p>
      <w:pPr>
        <w:pStyle w:val="78"/>
        <w:bidi w:val="0"/>
        <w:rPr>
          <w:rFonts w:hint="eastAsia"/>
          <w:lang w:eastAsia="zh-CN"/>
        </w:rPr>
      </w:pPr>
      <w:r>
        <w:rPr>
          <w:rFonts w:hint="eastAsia" w:ascii="宋体" w:hAnsi="宋体"/>
          <w:kern w:val="0"/>
          <w:szCs w:val="20"/>
        </w:rPr>
        <w:t>改变工艺降低噪声的示例</w:t>
      </w:r>
    </w:p>
    <w:tbl>
      <w:tblPr>
        <w:tblStyle w:val="28"/>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100" w:type="dxa"/>
          <w:bottom w:w="0" w:type="dxa"/>
          <w:right w:w="100" w:type="dxa"/>
        </w:tblCellMar>
      </w:tblPr>
      <w:tblGrid>
        <w:gridCol w:w="4325"/>
        <w:gridCol w:w="4458"/>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0" w:type="dxa"/>
            <w:bottom w:w="0" w:type="dxa"/>
            <w:right w:w="100" w:type="dxa"/>
          </w:tblCellMar>
        </w:tblPrEx>
        <w:trPr>
          <w:tblHeader/>
          <w:jc w:val="center"/>
        </w:trPr>
        <w:tc>
          <w:tcPr>
            <w:tcW w:w="4325" w:type="dxa"/>
            <w:tcBorders>
              <w:bottom w:val="single" w:color="auto" w:sz="8" w:space="0"/>
            </w:tcBorders>
            <w:vAlign w:val="center"/>
          </w:tcPr>
          <w:p>
            <w:pPr>
              <w:tabs>
                <w:tab w:val="center" w:pos="4201"/>
                <w:tab w:val="right" w:leader="dot" w:pos="9298"/>
              </w:tabs>
              <w:autoSpaceDE w:val="0"/>
              <w:autoSpaceDN w:val="0"/>
              <w:spacing w:line="240" w:lineRule="auto"/>
              <w:jc w:val="center"/>
              <w:rPr>
                <w:rFonts w:hint="eastAsia"/>
                <w:sz w:val="18"/>
                <w:lang w:eastAsia="zh-CN"/>
              </w:rPr>
            </w:pPr>
            <w:r>
              <w:rPr>
                <w:rFonts w:hint="eastAsia" w:ascii="宋体" w:hAnsi="宋体"/>
                <w:b w:val="0"/>
                <w:bCs w:val="0"/>
                <w:kern w:val="0"/>
                <w:sz w:val="18"/>
                <w:szCs w:val="20"/>
              </w:rPr>
              <w:t>高噪声工艺</w:t>
            </w:r>
          </w:p>
        </w:tc>
        <w:tc>
          <w:tcPr>
            <w:tcW w:w="4458" w:type="dxa"/>
            <w:tcBorders>
              <w:bottom w:val="single" w:color="auto" w:sz="8" w:space="0"/>
            </w:tcBorders>
            <w:vAlign w:val="top"/>
          </w:tcPr>
          <w:p>
            <w:pPr>
              <w:tabs>
                <w:tab w:val="center" w:pos="4201"/>
                <w:tab w:val="right" w:leader="dot" w:pos="9298"/>
              </w:tabs>
              <w:autoSpaceDE w:val="0"/>
              <w:autoSpaceDN w:val="0"/>
              <w:spacing w:line="240" w:lineRule="auto"/>
              <w:jc w:val="center"/>
              <w:rPr>
                <w:rFonts w:hint="eastAsia"/>
                <w:sz w:val="18"/>
                <w:lang w:eastAsia="zh-CN"/>
              </w:rPr>
            </w:pPr>
            <w:r>
              <w:rPr>
                <w:rFonts w:hint="eastAsia" w:ascii="宋体" w:hAnsi="宋体"/>
                <w:b w:val="0"/>
                <w:bCs w:val="0"/>
                <w:kern w:val="0"/>
                <w:sz w:val="18"/>
                <w:szCs w:val="20"/>
              </w:rPr>
              <w:t>低噪声工艺</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0" w:type="dxa"/>
            <w:bottom w:w="0" w:type="dxa"/>
            <w:right w:w="100" w:type="dxa"/>
          </w:tblCellMar>
        </w:tblPrEx>
        <w:trPr>
          <w:jc w:val="center"/>
        </w:trPr>
        <w:tc>
          <w:tcPr>
            <w:tcW w:w="4325" w:type="dxa"/>
            <w:tcBorders>
              <w:top w:val="single" w:color="auto" w:sz="8" w:space="0"/>
            </w:tcBorders>
            <w:vAlign w:val="top"/>
          </w:tcPr>
          <w:p>
            <w:pPr>
              <w:tabs>
                <w:tab w:val="center" w:pos="4201"/>
                <w:tab w:val="right" w:leader="dot" w:pos="9298"/>
              </w:tabs>
              <w:autoSpaceDE w:val="0"/>
              <w:autoSpaceDN w:val="0"/>
              <w:spacing w:line="240" w:lineRule="auto"/>
              <w:rPr>
                <w:rFonts w:hint="eastAsia"/>
                <w:sz w:val="18"/>
                <w:lang w:eastAsia="zh-CN"/>
              </w:rPr>
            </w:pPr>
            <w:r>
              <w:rPr>
                <w:rFonts w:hint="eastAsia" w:ascii="宋体" w:hAnsi="宋体"/>
                <w:kern w:val="0"/>
                <w:sz w:val="18"/>
                <w:szCs w:val="20"/>
              </w:rPr>
              <w:t>冲击铆接</w:t>
            </w:r>
          </w:p>
        </w:tc>
        <w:tc>
          <w:tcPr>
            <w:tcW w:w="4458" w:type="dxa"/>
            <w:tcBorders>
              <w:top w:val="single" w:color="auto" w:sz="8" w:space="0"/>
            </w:tcBorders>
            <w:vAlign w:val="top"/>
          </w:tcPr>
          <w:p>
            <w:pPr>
              <w:tabs>
                <w:tab w:val="center" w:pos="4201"/>
                <w:tab w:val="right" w:leader="dot" w:pos="9298"/>
              </w:tabs>
              <w:autoSpaceDE w:val="0"/>
              <w:autoSpaceDN w:val="0"/>
              <w:spacing w:line="240" w:lineRule="auto"/>
              <w:rPr>
                <w:rFonts w:hint="eastAsia"/>
                <w:sz w:val="18"/>
                <w:lang w:eastAsia="zh-CN"/>
              </w:rPr>
            </w:pPr>
            <w:r>
              <w:rPr>
                <w:rFonts w:hint="eastAsia" w:ascii="宋体" w:hAnsi="宋体"/>
                <w:kern w:val="0"/>
                <w:sz w:val="18"/>
                <w:szCs w:val="20"/>
              </w:rPr>
              <w:t>压接和滚接</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0" w:type="dxa"/>
            <w:bottom w:w="0" w:type="dxa"/>
            <w:right w:w="100" w:type="dxa"/>
          </w:tblCellMar>
        </w:tblPrEx>
        <w:trPr>
          <w:jc w:val="center"/>
        </w:trPr>
        <w:tc>
          <w:tcPr>
            <w:tcW w:w="4325" w:type="dxa"/>
            <w:vAlign w:val="top"/>
          </w:tcPr>
          <w:p>
            <w:pPr>
              <w:tabs>
                <w:tab w:val="center" w:pos="4201"/>
                <w:tab w:val="right" w:leader="dot" w:pos="9298"/>
              </w:tabs>
              <w:autoSpaceDE w:val="0"/>
              <w:autoSpaceDN w:val="0"/>
              <w:spacing w:line="240" w:lineRule="auto"/>
              <w:rPr>
                <w:rFonts w:hint="eastAsia"/>
                <w:sz w:val="18"/>
                <w:lang w:eastAsia="zh-CN"/>
              </w:rPr>
            </w:pPr>
            <w:r>
              <w:rPr>
                <w:rFonts w:hint="eastAsia" w:ascii="宋体" w:hAnsi="宋体"/>
                <w:kern w:val="0"/>
                <w:sz w:val="18"/>
                <w:szCs w:val="20"/>
              </w:rPr>
              <w:t>压缩空气和内燃机驱动</w:t>
            </w:r>
          </w:p>
        </w:tc>
        <w:tc>
          <w:tcPr>
            <w:tcW w:w="4458" w:type="dxa"/>
            <w:vAlign w:val="top"/>
          </w:tcPr>
          <w:p>
            <w:pPr>
              <w:tabs>
                <w:tab w:val="center" w:pos="4201"/>
                <w:tab w:val="right" w:leader="dot" w:pos="9298"/>
              </w:tabs>
              <w:autoSpaceDE w:val="0"/>
              <w:autoSpaceDN w:val="0"/>
              <w:spacing w:line="240" w:lineRule="auto"/>
              <w:rPr>
                <w:rFonts w:hint="eastAsia"/>
                <w:sz w:val="18"/>
                <w:lang w:eastAsia="zh-CN"/>
              </w:rPr>
            </w:pPr>
            <w:r>
              <w:rPr>
                <w:rFonts w:hint="eastAsia" w:ascii="宋体" w:hAnsi="宋体"/>
                <w:kern w:val="0"/>
                <w:sz w:val="18"/>
                <w:szCs w:val="20"/>
              </w:rPr>
              <w:t>电驱动</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0" w:type="dxa"/>
            <w:bottom w:w="0" w:type="dxa"/>
            <w:right w:w="100" w:type="dxa"/>
          </w:tblCellMar>
        </w:tblPrEx>
        <w:trPr>
          <w:jc w:val="center"/>
        </w:trPr>
        <w:tc>
          <w:tcPr>
            <w:tcW w:w="4325" w:type="dxa"/>
            <w:vAlign w:val="top"/>
          </w:tcPr>
          <w:p>
            <w:pPr>
              <w:tabs>
                <w:tab w:val="center" w:pos="4201"/>
                <w:tab w:val="right" w:leader="dot" w:pos="9298"/>
              </w:tabs>
              <w:autoSpaceDE w:val="0"/>
              <w:autoSpaceDN w:val="0"/>
              <w:spacing w:line="240" w:lineRule="auto"/>
              <w:rPr>
                <w:rFonts w:hint="eastAsia"/>
                <w:sz w:val="18"/>
                <w:lang w:eastAsia="zh-CN"/>
              </w:rPr>
            </w:pPr>
            <w:r>
              <w:rPr>
                <w:rFonts w:hint="eastAsia" w:ascii="宋体" w:hAnsi="宋体"/>
                <w:kern w:val="0"/>
                <w:sz w:val="18"/>
                <w:szCs w:val="20"/>
              </w:rPr>
              <w:t>气动设备或内燃机为动力的切割或冲孔</w:t>
            </w:r>
          </w:p>
        </w:tc>
        <w:tc>
          <w:tcPr>
            <w:tcW w:w="4458" w:type="dxa"/>
            <w:vAlign w:val="top"/>
          </w:tcPr>
          <w:p>
            <w:pPr>
              <w:tabs>
                <w:tab w:val="center" w:pos="4201"/>
                <w:tab w:val="right" w:leader="dot" w:pos="9298"/>
              </w:tabs>
              <w:autoSpaceDE w:val="0"/>
              <w:autoSpaceDN w:val="0"/>
              <w:spacing w:line="240" w:lineRule="auto"/>
              <w:rPr>
                <w:rFonts w:hint="eastAsia"/>
                <w:sz w:val="18"/>
                <w:lang w:eastAsia="zh-CN"/>
              </w:rPr>
            </w:pPr>
            <w:r>
              <w:rPr>
                <w:rFonts w:hint="eastAsia" w:ascii="宋体" w:hAnsi="宋体"/>
                <w:kern w:val="0"/>
                <w:sz w:val="18"/>
                <w:szCs w:val="20"/>
              </w:rPr>
              <w:t>钻孔机或有钻石齿的圆锯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0" w:type="dxa"/>
            <w:bottom w:w="0" w:type="dxa"/>
            <w:right w:w="100" w:type="dxa"/>
          </w:tblCellMar>
        </w:tblPrEx>
        <w:trPr>
          <w:jc w:val="center"/>
        </w:trPr>
        <w:tc>
          <w:tcPr>
            <w:tcW w:w="4325" w:type="dxa"/>
            <w:vAlign w:val="top"/>
          </w:tcPr>
          <w:p>
            <w:pPr>
              <w:tabs>
                <w:tab w:val="center" w:pos="4201"/>
                <w:tab w:val="right" w:leader="dot" w:pos="9298"/>
              </w:tabs>
              <w:autoSpaceDE w:val="0"/>
              <w:autoSpaceDN w:val="0"/>
              <w:spacing w:line="240" w:lineRule="auto"/>
              <w:rPr>
                <w:rFonts w:hint="eastAsia"/>
                <w:sz w:val="18"/>
                <w:lang w:eastAsia="zh-CN"/>
              </w:rPr>
            </w:pPr>
            <w:r>
              <w:rPr>
                <w:rFonts w:hint="eastAsia" w:ascii="宋体" w:hAnsi="宋体"/>
                <w:kern w:val="0"/>
                <w:sz w:val="18"/>
                <w:szCs w:val="20"/>
              </w:rPr>
              <w:t>镦粗模</w:t>
            </w:r>
          </w:p>
        </w:tc>
        <w:tc>
          <w:tcPr>
            <w:tcW w:w="4458" w:type="dxa"/>
            <w:vAlign w:val="top"/>
          </w:tcPr>
          <w:p>
            <w:pPr>
              <w:tabs>
                <w:tab w:val="center" w:pos="4201"/>
                <w:tab w:val="right" w:leader="dot" w:pos="9298"/>
              </w:tabs>
              <w:autoSpaceDE w:val="0"/>
              <w:autoSpaceDN w:val="0"/>
              <w:spacing w:line="240" w:lineRule="auto"/>
              <w:rPr>
                <w:rFonts w:hint="eastAsia"/>
                <w:sz w:val="18"/>
                <w:lang w:eastAsia="zh-CN"/>
              </w:rPr>
            </w:pPr>
            <w:r>
              <w:rPr>
                <w:rFonts w:hint="eastAsia" w:ascii="宋体" w:hAnsi="宋体"/>
                <w:kern w:val="0"/>
                <w:sz w:val="18"/>
                <w:szCs w:val="20"/>
              </w:rPr>
              <w:t>锥型模和挤型模</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0" w:type="dxa"/>
            <w:bottom w:w="0" w:type="dxa"/>
            <w:right w:w="100" w:type="dxa"/>
          </w:tblCellMar>
        </w:tblPrEx>
        <w:trPr>
          <w:jc w:val="center"/>
        </w:trPr>
        <w:tc>
          <w:tcPr>
            <w:tcW w:w="4325" w:type="dxa"/>
            <w:vAlign w:val="top"/>
          </w:tcPr>
          <w:p>
            <w:pPr>
              <w:tabs>
                <w:tab w:val="center" w:pos="4201"/>
                <w:tab w:val="right" w:leader="dot" w:pos="9298"/>
              </w:tabs>
              <w:autoSpaceDE w:val="0"/>
              <w:autoSpaceDN w:val="0"/>
              <w:spacing w:line="240" w:lineRule="auto"/>
              <w:rPr>
                <w:rFonts w:hint="eastAsia"/>
                <w:sz w:val="18"/>
                <w:lang w:eastAsia="zh-CN"/>
              </w:rPr>
            </w:pPr>
            <w:r>
              <w:rPr>
                <w:rFonts w:hint="eastAsia" w:ascii="宋体" w:hAnsi="宋体"/>
                <w:kern w:val="0"/>
                <w:sz w:val="18"/>
                <w:szCs w:val="20"/>
              </w:rPr>
              <w:t>推切割</w:t>
            </w:r>
          </w:p>
        </w:tc>
        <w:tc>
          <w:tcPr>
            <w:tcW w:w="4458" w:type="dxa"/>
            <w:vAlign w:val="top"/>
          </w:tcPr>
          <w:p>
            <w:pPr>
              <w:tabs>
                <w:tab w:val="center" w:pos="4201"/>
                <w:tab w:val="right" w:leader="dot" w:pos="9298"/>
              </w:tabs>
              <w:autoSpaceDE w:val="0"/>
              <w:autoSpaceDN w:val="0"/>
              <w:spacing w:line="240" w:lineRule="auto"/>
              <w:rPr>
                <w:rFonts w:hint="eastAsia"/>
                <w:sz w:val="18"/>
                <w:lang w:eastAsia="zh-CN"/>
              </w:rPr>
            </w:pPr>
            <w:r>
              <w:rPr>
                <w:rFonts w:hint="eastAsia" w:ascii="宋体" w:hAnsi="宋体"/>
                <w:kern w:val="0"/>
                <w:sz w:val="18"/>
                <w:szCs w:val="20"/>
              </w:rPr>
              <w:t>拉切割</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0" w:type="dxa"/>
            <w:bottom w:w="0" w:type="dxa"/>
            <w:right w:w="100" w:type="dxa"/>
          </w:tblCellMar>
        </w:tblPrEx>
        <w:trPr>
          <w:jc w:val="center"/>
        </w:trPr>
        <w:tc>
          <w:tcPr>
            <w:tcW w:w="4325" w:type="dxa"/>
            <w:vAlign w:val="top"/>
          </w:tcPr>
          <w:p>
            <w:pPr>
              <w:tabs>
                <w:tab w:val="center" w:pos="4201"/>
                <w:tab w:val="right" w:leader="dot" w:pos="9298"/>
              </w:tabs>
              <w:autoSpaceDE w:val="0"/>
              <w:autoSpaceDN w:val="0"/>
              <w:spacing w:line="240" w:lineRule="auto"/>
              <w:rPr>
                <w:rFonts w:hint="eastAsia"/>
                <w:sz w:val="18"/>
                <w:lang w:eastAsia="zh-CN"/>
              </w:rPr>
            </w:pPr>
            <w:r>
              <w:rPr>
                <w:rFonts w:hint="eastAsia" w:ascii="宋体" w:hAnsi="宋体"/>
                <w:kern w:val="0"/>
                <w:sz w:val="18"/>
                <w:szCs w:val="20"/>
              </w:rPr>
              <w:t>气流干燥</w:t>
            </w:r>
          </w:p>
        </w:tc>
        <w:tc>
          <w:tcPr>
            <w:tcW w:w="4458" w:type="dxa"/>
            <w:vAlign w:val="top"/>
          </w:tcPr>
          <w:p>
            <w:pPr>
              <w:tabs>
                <w:tab w:val="center" w:pos="4201"/>
                <w:tab w:val="right" w:leader="dot" w:pos="9298"/>
              </w:tabs>
              <w:autoSpaceDE w:val="0"/>
              <w:autoSpaceDN w:val="0"/>
              <w:spacing w:line="240" w:lineRule="auto"/>
              <w:rPr>
                <w:rFonts w:hint="eastAsia"/>
                <w:sz w:val="18"/>
                <w:lang w:eastAsia="zh-CN"/>
              </w:rPr>
            </w:pPr>
            <w:r>
              <w:rPr>
                <w:rFonts w:hint="eastAsia" w:ascii="宋体" w:hAnsi="宋体"/>
                <w:kern w:val="0"/>
                <w:sz w:val="18"/>
                <w:szCs w:val="20"/>
              </w:rPr>
              <w:t>辐射干燥</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0" w:type="dxa"/>
            <w:bottom w:w="0" w:type="dxa"/>
            <w:right w:w="100" w:type="dxa"/>
          </w:tblCellMar>
        </w:tblPrEx>
        <w:trPr>
          <w:jc w:val="center"/>
        </w:trPr>
        <w:tc>
          <w:tcPr>
            <w:tcW w:w="4325" w:type="dxa"/>
            <w:vAlign w:val="top"/>
          </w:tcPr>
          <w:p>
            <w:pPr>
              <w:tabs>
                <w:tab w:val="center" w:pos="4201"/>
                <w:tab w:val="right" w:leader="dot" w:pos="9298"/>
              </w:tabs>
              <w:autoSpaceDE w:val="0"/>
              <w:autoSpaceDN w:val="0"/>
              <w:spacing w:line="240" w:lineRule="auto"/>
              <w:rPr>
                <w:rFonts w:hint="eastAsia"/>
                <w:sz w:val="18"/>
                <w:lang w:eastAsia="zh-CN"/>
              </w:rPr>
            </w:pPr>
            <w:r>
              <w:rPr>
                <w:rFonts w:hint="eastAsia" w:ascii="宋体" w:hAnsi="宋体"/>
                <w:kern w:val="0"/>
                <w:sz w:val="18"/>
                <w:szCs w:val="20"/>
              </w:rPr>
              <w:t>等离子氧切割</w:t>
            </w:r>
          </w:p>
        </w:tc>
        <w:tc>
          <w:tcPr>
            <w:tcW w:w="4458" w:type="dxa"/>
            <w:vAlign w:val="top"/>
          </w:tcPr>
          <w:p>
            <w:pPr>
              <w:tabs>
                <w:tab w:val="center" w:pos="4201"/>
                <w:tab w:val="right" w:leader="dot" w:pos="9298"/>
              </w:tabs>
              <w:autoSpaceDE w:val="0"/>
              <w:autoSpaceDN w:val="0"/>
              <w:spacing w:line="240" w:lineRule="auto"/>
              <w:rPr>
                <w:rFonts w:hint="eastAsia"/>
                <w:sz w:val="18"/>
                <w:lang w:eastAsia="zh-CN"/>
              </w:rPr>
            </w:pPr>
            <w:r>
              <w:rPr>
                <w:rFonts w:hint="eastAsia" w:ascii="宋体" w:hAnsi="宋体"/>
                <w:kern w:val="0"/>
                <w:sz w:val="18"/>
                <w:szCs w:val="20"/>
              </w:rPr>
              <w:t>水中等离子切割</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0" w:type="dxa"/>
            <w:bottom w:w="0" w:type="dxa"/>
            <w:right w:w="100" w:type="dxa"/>
          </w:tblCellMar>
        </w:tblPrEx>
        <w:trPr>
          <w:jc w:val="center"/>
        </w:trPr>
        <w:tc>
          <w:tcPr>
            <w:tcW w:w="4325" w:type="dxa"/>
            <w:vAlign w:val="top"/>
          </w:tcPr>
          <w:p>
            <w:pPr>
              <w:tabs>
                <w:tab w:val="center" w:pos="4201"/>
                <w:tab w:val="right" w:leader="dot" w:pos="9298"/>
              </w:tabs>
              <w:autoSpaceDE w:val="0"/>
              <w:autoSpaceDN w:val="0"/>
              <w:spacing w:line="240" w:lineRule="auto"/>
              <w:rPr>
                <w:rFonts w:hint="eastAsia"/>
                <w:sz w:val="18"/>
                <w:lang w:eastAsia="zh-CN"/>
              </w:rPr>
            </w:pPr>
            <w:r>
              <w:rPr>
                <w:rFonts w:hint="eastAsia" w:ascii="宋体" w:hAnsi="宋体"/>
                <w:kern w:val="0"/>
                <w:sz w:val="18"/>
                <w:szCs w:val="20"/>
              </w:rPr>
              <w:t>振动切割和冲压切割</w:t>
            </w:r>
          </w:p>
        </w:tc>
        <w:tc>
          <w:tcPr>
            <w:tcW w:w="4458" w:type="dxa"/>
            <w:vAlign w:val="top"/>
          </w:tcPr>
          <w:p>
            <w:pPr>
              <w:tabs>
                <w:tab w:val="center" w:pos="4201"/>
                <w:tab w:val="right" w:leader="dot" w:pos="9298"/>
              </w:tabs>
              <w:autoSpaceDE w:val="0"/>
              <w:autoSpaceDN w:val="0"/>
              <w:spacing w:line="240" w:lineRule="auto"/>
              <w:rPr>
                <w:rFonts w:hint="eastAsia"/>
                <w:sz w:val="18"/>
                <w:lang w:eastAsia="zh-CN"/>
              </w:rPr>
            </w:pPr>
            <w:r>
              <w:rPr>
                <w:rFonts w:hint="eastAsia" w:ascii="宋体" w:hAnsi="宋体"/>
                <w:kern w:val="0"/>
                <w:sz w:val="18"/>
                <w:szCs w:val="20"/>
              </w:rPr>
              <w:t>激光切割</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0" w:type="dxa"/>
            <w:bottom w:w="0" w:type="dxa"/>
            <w:right w:w="100" w:type="dxa"/>
          </w:tblCellMar>
        </w:tblPrEx>
        <w:trPr>
          <w:jc w:val="center"/>
        </w:trPr>
        <w:tc>
          <w:tcPr>
            <w:tcW w:w="4325" w:type="dxa"/>
            <w:vAlign w:val="top"/>
          </w:tcPr>
          <w:p>
            <w:pPr>
              <w:tabs>
                <w:tab w:val="center" w:pos="4201"/>
                <w:tab w:val="right" w:leader="dot" w:pos="9298"/>
              </w:tabs>
              <w:autoSpaceDE w:val="0"/>
              <w:autoSpaceDN w:val="0"/>
              <w:spacing w:line="240" w:lineRule="auto"/>
              <w:rPr>
                <w:rFonts w:hint="eastAsia"/>
                <w:sz w:val="18"/>
                <w:lang w:eastAsia="zh-CN"/>
              </w:rPr>
            </w:pPr>
            <w:r>
              <w:rPr>
                <w:rFonts w:hint="eastAsia" w:ascii="宋体" w:hAnsi="宋体"/>
                <w:kern w:val="0"/>
                <w:sz w:val="18"/>
                <w:szCs w:val="20"/>
              </w:rPr>
              <w:t>传统电弧焊</w:t>
            </w:r>
          </w:p>
        </w:tc>
        <w:tc>
          <w:tcPr>
            <w:tcW w:w="4458" w:type="dxa"/>
            <w:vAlign w:val="top"/>
          </w:tcPr>
          <w:p>
            <w:pPr>
              <w:tabs>
                <w:tab w:val="center" w:pos="4201"/>
                <w:tab w:val="right" w:leader="dot" w:pos="9298"/>
              </w:tabs>
              <w:autoSpaceDE w:val="0"/>
              <w:autoSpaceDN w:val="0"/>
              <w:spacing w:line="240" w:lineRule="auto"/>
              <w:rPr>
                <w:rFonts w:hint="eastAsia"/>
                <w:sz w:val="18"/>
                <w:lang w:eastAsia="zh-CN"/>
              </w:rPr>
            </w:pPr>
            <w:r>
              <w:rPr>
                <w:rFonts w:hint="eastAsia" w:ascii="宋体" w:hAnsi="宋体"/>
                <w:kern w:val="0"/>
                <w:sz w:val="18"/>
                <w:szCs w:val="20"/>
              </w:rPr>
              <w:t>电弧保护焊</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0" w:type="dxa"/>
            <w:bottom w:w="0" w:type="dxa"/>
            <w:right w:w="100" w:type="dxa"/>
          </w:tblCellMar>
        </w:tblPrEx>
        <w:trPr>
          <w:jc w:val="center"/>
        </w:trPr>
        <w:tc>
          <w:tcPr>
            <w:tcW w:w="4325" w:type="dxa"/>
            <w:vAlign w:val="top"/>
          </w:tcPr>
          <w:p>
            <w:pPr>
              <w:tabs>
                <w:tab w:val="center" w:pos="4201"/>
                <w:tab w:val="right" w:leader="dot" w:pos="9298"/>
              </w:tabs>
              <w:autoSpaceDE w:val="0"/>
              <w:autoSpaceDN w:val="0"/>
              <w:spacing w:line="240" w:lineRule="auto"/>
              <w:rPr>
                <w:rFonts w:hint="eastAsia"/>
                <w:sz w:val="18"/>
                <w:lang w:eastAsia="zh-CN"/>
              </w:rPr>
            </w:pPr>
            <w:r>
              <w:rPr>
                <w:rFonts w:hint="eastAsia" w:ascii="宋体" w:hAnsi="宋体"/>
                <w:kern w:val="0"/>
                <w:sz w:val="18"/>
                <w:szCs w:val="20"/>
              </w:rPr>
              <w:t>火焰淬火</w:t>
            </w:r>
          </w:p>
        </w:tc>
        <w:tc>
          <w:tcPr>
            <w:tcW w:w="4458" w:type="dxa"/>
            <w:vAlign w:val="top"/>
          </w:tcPr>
          <w:p>
            <w:pPr>
              <w:tabs>
                <w:tab w:val="center" w:pos="4201"/>
                <w:tab w:val="right" w:leader="dot" w:pos="9298"/>
              </w:tabs>
              <w:autoSpaceDE w:val="0"/>
              <w:autoSpaceDN w:val="0"/>
              <w:spacing w:line="240" w:lineRule="auto"/>
              <w:rPr>
                <w:rFonts w:hint="eastAsia"/>
                <w:sz w:val="18"/>
                <w:lang w:eastAsia="zh-CN"/>
              </w:rPr>
            </w:pPr>
            <w:r>
              <w:rPr>
                <w:rFonts w:hint="eastAsia" w:ascii="宋体" w:hAnsi="宋体"/>
                <w:kern w:val="0"/>
                <w:sz w:val="18"/>
                <w:szCs w:val="20"/>
              </w:rPr>
              <w:t>激光淬火</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0" w:type="dxa"/>
            <w:bottom w:w="0" w:type="dxa"/>
            <w:right w:w="100" w:type="dxa"/>
          </w:tblCellMar>
        </w:tblPrEx>
        <w:trPr>
          <w:jc w:val="center"/>
        </w:trPr>
        <w:tc>
          <w:tcPr>
            <w:tcW w:w="4325" w:type="dxa"/>
            <w:vAlign w:val="top"/>
          </w:tcPr>
          <w:p>
            <w:pPr>
              <w:tabs>
                <w:tab w:val="center" w:pos="4201"/>
                <w:tab w:val="right" w:leader="dot" w:pos="9298"/>
              </w:tabs>
              <w:autoSpaceDE w:val="0"/>
              <w:autoSpaceDN w:val="0"/>
              <w:spacing w:line="240" w:lineRule="auto"/>
              <w:rPr>
                <w:rFonts w:hint="eastAsia"/>
                <w:sz w:val="18"/>
                <w:lang w:eastAsia="zh-CN"/>
              </w:rPr>
            </w:pPr>
            <w:r>
              <w:rPr>
                <w:rFonts w:hint="eastAsia" w:ascii="宋体" w:hAnsi="宋体"/>
                <w:kern w:val="0"/>
                <w:sz w:val="18"/>
                <w:szCs w:val="20"/>
              </w:rPr>
              <w:t>铆接固定</w:t>
            </w:r>
          </w:p>
        </w:tc>
        <w:tc>
          <w:tcPr>
            <w:tcW w:w="4458" w:type="dxa"/>
            <w:vAlign w:val="top"/>
          </w:tcPr>
          <w:p>
            <w:pPr>
              <w:tabs>
                <w:tab w:val="center" w:pos="4201"/>
                <w:tab w:val="right" w:leader="dot" w:pos="9298"/>
              </w:tabs>
              <w:autoSpaceDE w:val="0"/>
              <w:autoSpaceDN w:val="0"/>
              <w:spacing w:line="240" w:lineRule="auto"/>
              <w:rPr>
                <w:rFonts w:hint="eastAsia"/>
                <w:sz w:val="18"/>
                <w:lang w:eastAsia="zh-CN"/>
              </w:rPr>
            </w:pPr>
            <w:r>
              <w:rPr>
                <w:rFonts w:hint="eastAsia" w:ascii="宋体" w:hAnsi="宋体"/>
                <w:kern w:val="0"/>
                <w:sz w:val="18"/>
                <w:szCs w:val="20"/>
              </w:rPr>
              <w:t>压接固定</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0" w:type="dxa"/>
            <w:bottom w:w="0" w:type="dxa"/>
            <w:right w:w="100" w:type="dxa"/>
          </w:tblCellMar>
        </w:tblPrEx>
        <w:trPr>
          <w:jc w:val="center"/>
        </w:trPr>
        <w:tc>
          <w:tcPr>
            <w:tcW w:w="4325" w:type="dxa"/>
            <w:vAlign w:val="top"/>
          </w:tcPr>
          <w:p>
            <w:pPr>
              <w:tabs>
                <w:tab w:val="center" w:pos="4201"/>
                <w:tab w:val="right" w:leader="dot" w:pos="9298"/>
              </w:tabs>
              <w:autoSpaceDE w:val="0"/>
              <w:autoSpaceDN w:val="0"/>
              <w:spacing w:line="240" w:lineRule="auto"/>
              <w:rPr>
                <w:rFonts w:hint="eastAsia"/>
                <w:sz w:val="18"/>
                <w:lang w:eastAsia="zh-CN"/>
              </w:rPr>
            </w:pPr>
            <w:r>
              <w:rPr>
                <w:rFonts w:hint="eastAsia" w:ascii="宋体" w:hAnsi="宋体"/>
                <w:kern w:val="0"/>
                <w:sz w:val="18"/>
                <w:szCs w:val="20"/>
              </w:rPr>
              <w:t>冲压成型</w:t>
            </w:r>
          </w:p>
        </w:tc>
        <w:tc>
          <w:tcPr>
            <w:tcW w:w="4458" w:type="dxa"/>
            <w:vAlign w:val="top"/>
          </w:tcPr>
          <w:p>
            <w:pPr>
              <w:tabs>
                <w:tab w:val="center" w:pos="4201"/>
                <w:tab w:val="right" w:leader="dot" w:pos="9298"/>
              </w:tabs>
              <w:autoSpaceDE w:val="0"/>
              <w:autoSpaceDN w:val="0"/>
              <w:spacing w:line="240" w:lineRule="auto"/>
              <w:rPr>
                <w:rFonts w:hint="eastAsia"/>
                <w:sz w:val="18"/>
                <w:lang w:eastAsia="zh-CN"/>
              </w:rPr>
            </w:pPr>
            <w:r>
              <w:rPr>
                <w:rFonts w:hint="eastAsia" w:ascii="宋体" w:hAnsi="宋体"/>
                <w:kern w:val="0"/>
                <w:sz w:val="18"/>
                <w:szCs w:val="20"/>
              </w:rPr>
              <w:t>液压成型</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0" w:type="dxa"/>
            <w:bottom w:w="0" w:type="dxa"/>
            <w:right w:w="100" w:type="dxa"/>
          </w:tblCellMar>
        </w:tblPrEx>
        <w:trPr>
          <w:jc w:val="center"/>
        </w:trPr>
        <w:tc>
          <w:tcPr>
            <w:tcW w:w="4325" w:type="dxa"/>
            <w:vAlign w:val="top"/>
          </w:tcPr>
          <w:p>
            <w:pPr>
              <w:tabs>
                <w:tab w:val="center" w:pos="4201"/>
                <w:tab w:val="right" w:leader="dot" w:pos="9298"/>
              </w:tabs>
              <w:autoSpaceDE w:val="0"/>
              <w:autoSpaceDN w:val="0"/>
              <w:spacing w:line="240" w:lineRule="auto"/>
              <w:rPr>
                <w:rFonts w:hint="eastAsia"/>
                <w:sz w:val="18"/>
                <w:lang w:eastAsia="zh-CN"/>
              </w:rPr>
            </w:pPr>
            <w:r>
              <w:rPr>
                <w:rFonts w:hint="eastAsia" w:ascii="宋体" w:hAnsi="宋体"/>
                <w:kern w:val="0"/>
                <w:sz w:val="18"/>
                <w:szCs w:val="20"/>
              </w:rPr>
              <w:t>点焊</w:t>
            </w:r>
          </w:p>
        </w:tc>
        <w:tc>
          <w:tcPr>
            <w:tcW w:w="4458" w:type="dxa"/>
            <w:vAlign w:val="top"/>
          </w:tcPr>
          <w:p>
            <w:pPr>
              <w:tabs>
                <w:tab w:val="center" w:pos="4201"/>
                <w:tab w:val="right" w:leader="dot" w:pos="9298"/>
              </w:tabs>
              <w:autoSpaceDE w:val="0"/>
              <w:autoSpaceDN w:val="0"/>
              <w:spacing w:line="240" w:lineRule="auto"/>
              <w:rPr>
                <w:rFonts w:hint="eastAsia"/>
                <w:sz w:val="18"/>
                <w:lang w:eastAsia="zh-CN"/>
              </w:rPr>
            </w:pPr>
            <w:r>
              <w:rPr>
                <w:rFonts w:hint="eastAsia" w:ascii="宋体" w:hAnsi="宋体"/>
                <w:kern w:val="0"/>
                <w:sz w:val="18"/>
                <w:szCs w:val="20"/>
              </w:rPr>
              <w:t>缝焊</w:t>
            </w:r>
          </w:p>
        </w:tc>
      </w:tr>
    </w:tbl>
    <w:p>
      <w:pPr>
        <w:ind w:firstLine="420" w:firstLineChars="0"/>
        <w:jc w:val="left"/>
        <w:rPr>
          <w:rFonts w:hint="eastAsia"/>
        </w:rPr>
      </w:pPr>
    </w:p>
    <w:p>
      <w:pPr>
        <w:ind w:firstLine="420" w:firstLineChars="0"/>
        <w:jc w:val="left"/>
        <w:rPr>
          <w:rFonts w:hint="eastAsia"/>
        </w:rPr>
      </w:pPr>
      <w:r>
        <w:rPr>
          <w:rFonts w:hint="eastAsia"/>
        </w:rPr>
        <w:t>常见工业噪声源的工程降噪措施见表</w:t>
      </w:r>
      <w:r>
        <w:rPr>
          <w:rFonts w:hint="eastAsia"/>
          <w:lang w:val="en-US" w:eastAsia="zh-CN"/>
        </w:rPr>
        <w:t>C</w:t>
      </w:r>
      <w:r>
        <w:rPr>
          <w:rFonts w:hint="eastAsia"/>
        </w:rPr>
        <w:t>.2</w:t>
      </w:r>
    </w:p>
    <w:p>
      <w:pPr>
        <w:pStyle w:val="78"/>
        <w:bidi w:val="0"/>
        <w:rPr>
          <w:rFonts w:hint="eastAsia"/>
          <w:lang w:eastAsia="zh-CN"/>
        </w:rPr>
      </w:pPr>
      <w:r>
        <w:rPr>
          <w:rFonts w:hint="eastAsia"/>
          <w:lang w:eastAsia="zh-CN"/>
        </w:rPr>
        <w:t>我国常见工业噪声源的工程降噪措施</w:t>
      </w:r>
    </w:p>
    <w:tbl>
      <w:tblPr>
        <w:tblStyle w:val="28"/>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100" w:type="dxa"/>
          <w:bottom w:w="0" w:type="dxa"/>
          <w:right w:w="100" w:type="dxa"/>
        </w:tblCellMar>
      </w:tblPr>
      <w:tblGrid>
        <w:gridCol w:w="2811"/>
        <w:gridCol w:w="6207"/>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0" w:type="dxa"/>
            <w:bottom w:w="0" w:type="dxa"/>
            <w:right w:w="100" w:type="dxa"/>
          </w:tblCellMar>
        </w:tblPrEx>
        <w:trPr>
          <w:tblHeader/>
          <w:jc w:val="center"/>
        </w:trPr>
        <w:tc>
          <w:tcPr>
            <w:tcW w:w="2811" w:type="dxa"/>
            <w:tcBorders>
              <w:bottom w:val="single" w:color="auto" w:sz="8" w:space="0"/>
            </w:tcBorders>
            <w:vAlign w:val="center"/>
          </w:tcPr>
          <w:p>
            <w:pPr>
              <w:tabs>
                <w:tab w:val="left" w:pos="1010"/>
              </w:tabs>
              <w:spacing w:line="240" w:lineRule="auto"/>
              <w:jc w:val="center"/>
              <w:rPr>
                <w:rFonts w:hint="eastAsia"/>
                <w:sz w:val="18"/>
                <w:lang w:eastAsia="zh-CN"/>
              </w:rPr>
            </w:pPr>
            <w:r>
              <w:rPr>
                <w:rFonts w:hint="eastAsia" w:ascii="宋体"/>
                <w:b w:val="0"/>
                <w:bCs w:val="0"/>
                <w:sz w:val="18"/>
                <w:szCs w:val="21"/>
              </w:rPr>
              <w:t>常见噪声源</w:t>
            </w:r>
          </w:p>
        </w:tc>
        <w:tc>
          <w:tcPr>
            <w:tcW w:w="6207" w:type="dxa"/>
            <w:tcBorders>
              <w:bottom w:val="single" w:color="auto" w:sz="8" w:space="0"/>
            </w:tcBorders>
            <w:vAlign w:val="center"/>
          </w:tcPr>
          <w:p>
            <w:pPr>
              <w:spacing w:line="240" w:lineRule="auto"/>
              <w:jc w:val="center"/>
              <w:rPr>
                <w:rFonts w:hint="eastAsia"/>
                <w:sz w:val="18"/>
                <w:lang w:eastAsia="zh-CN"/>
              </w:rPr>
            </w:pPr>
            <w:r>
              <w:rPr>
                <w:rFonts w:hint="eastAsia" w:ascii="宋体"/>
                <w:b w:val="0"/>
                <w:bCs w:val="0"/>
                <w:sz w:val="18"/>
                <w:szCs w:val="21"/>
              </w:rPr>
              <w:t>降噪措施</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0" w:type="dxa"/>
            <w:bottom w:w="0" w:type="dxa"/>
            <w:right w:w="100" w:type="dxa"/>
          </w:tblCellMar>
        </w:tblPrEx>
        <w:trPr>
          <w:jc w:val="center"/>
        </w:trPr>
        <w:tc>
          <w:tcPr>
            <w:tcW w:w="2811" w:type="dxa"/>
            <w:tcBorders>
              <w:top w:val="single" w:color="auto" w:sz="8" w:space="0"/>
            </w:tcBorders>
            <w:vAlign w:val="top"/>
          </w:tcPr>
          <w:p>
            <w:pPr>
              <w:spacing w:line="240" w:lineRule="auto"/>
              <w:jc w:val="left"/>
              <w:rPr>
                <w:rFonts w:hint="eastAsia"/>
                <w:sz w:val="18"/>
                <w:lang w:eastAsia="zh-CN"/>
              </w:rPr>
            </w:pPr>
            <w:r>
              <w:rPr>
                <w:rFonts w:hint="eastAsia" w:ascii="宋体"/>
                <w:sz w:val="18"/>
                <w:szCs w:val="21"/>
              </w:rPr>
              <w:t>风机</w:t>
            </w:r>
          </w:p>
        </w:tc>
        <w:tc>
          <w:tcPr>
            <w:tcW w:w="6207" w:type="dxa"/>
            <w:tcBorders>
              <w:top w:val="single" w:color="auto" w:sz="8" w:space="0"/>
            </w:tcBorders>
            <w:vAlign w:val="top"/>
          </w:tcPr>
          <w:p>
            <w:pPr>
              <w:spacing w:line="240" w:lineRule="auto"/>
              <w:jc w:val="left"/>
              <w:rPr>
                <w:rFonts w:hint="eastAsia"/>
                <w:sz w:val="18"/>
                <w:lang w:eastAsia="zh-CN"/>
              </w:rPr>
            </w:pPr>
            <w:r>
              <w:rPr>
                <w:rFonts w:hint="eastAsia" w:ascii="宋体"/>
                <w:sz w:val="18"/>
                <w:szCs w:val="21"/>
              </w:rPr>
              <w:t>在风机的进气口、排气口处安装阻性消声器，机组与地基之间安装减振器</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0" w:type="dxa"/>
            <w:bottom w:w="0" w:type="dxa"/>
            <w:right w:w="100" w:type="dxa"/>
          </w:tblCellMar>
        </w:tblPrEx>
        <w:trPr>
          <w:jc w:val="center"/>
        </w:trPr>
        <w:tc>
          <w:tcPr>
            <w:tcW w:w="2811" w:type="dxa"/>
            <w:vAlign w:val="top"/>
          </w:tcPr>
          <w:p>
            <w:pPr>
              <w:spacing w:line="240" w:lineRule="auto"/>
              <w:jc w:val="left"/>
              <w:rPr>
                <w:rFonts w:hint="eastAsia"/>
                <w:sz w:val="18"/>
                <w:lang w:eastAsia="zh-CN"/>
              </w:rPr>
            </w:pPr>
            <w:r>
              <w:rPr>
                <w:rFonts w:hint="eastAsia" w:ascii="宋体"/>
                <w:sz w:val="18"/>
                <w:szCs w:val="21"/>
              </w:rPr>
              <w:t>电机</w:t>
            </w:r>
          </w:p>
        </w:tc>
        <w:tc>
          <w:tcPr>
            <w:tcW w:w="6207" w:type="dxa"/>
            <w:vAlign w:val="top"/>
          </w:tcPr>
          <w:p>
            <w:pPr>
              <w:spacing w:line="240" w:lineRule="auto"/>
              <w:jc w:val="left"/>
              <w:rPr>
                <w:rFonts w:hint="eastAsia"/>
                <w:sz w:val="18"/>
                <w:lang w:eastAsia="zh-CN"/>
              </w:rPr>
            </w:pPr>
            <w:r>
              <w:rPr>
                <w:rFonts w:hint="eastAsia" w:ascii="宋体"/>
                <w:sz w:val="18"/>
                <w:szCs w:val="21"/>
                <w:lang w:val="en-US" w:eastAsia="zh-CN"/>
              </w:rPr>
              <w:t>采用</w:t>
            </w:r>
            <w:r>
              <w:rPr>
                <w:rFonts w:hint="eastAsia" w:ascii="宋体"/>
                <w:sz w:val="18"/>
                <w:szCs w:val="21"/>
              </w:rPr>
              <w:t>消声器、隔声罩和改变电机冷却风扇的结构</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0" w:type="dxa"/>
            <w:bottom w:w="0" w:type="dxa"/>
            <w:right w:w="100" w:type="dxa"/>
          </w:tblCellMar>
        </w:tblPrEx>
        <w:trPr>
          <w:jc w:val="center"/>
        </w:trPr>
        <w:tc>
          <w:tcPr>
            <w:tcW w:w="2811" w:type="dxa"/>
            <w:vAlign w:val="top"/>
          </w:tcPr>
          <w:p>
            <w:pPr>
              <w:spacing w:line="240" w:lineRule="auto"/>
              <w:jc w:val="left"/>
              <w:rPr>
                <w:rFonts w:hint="eastAsia"/>
                <w:sz w:val="18"/>
                <w:lang w:eastAsia="zh-CN"/>
              </w:rPr>
            </w:pPr>
            <w:r>
              <w:rPr>
                <w:rFonts w:hint="eastAsia" w:ascii="宋体"/>
                <w:sz w:val="18"/>
                <w:szCs w:val="21"/>
              </w:rPr>
              <w:t>冲床</w:t>
            </w:r>
          </w:p>
        </w:tc>
        <w:tc>
          <w:tcPr>
            <w:tcW w:w="6207" w:type="dxa"/>
            <w:vAlign w:val="top"/>
          </w:tcPr>
          <w:p>
            <w:pPr>
              <w:spacing w:line="240" w:lineRule="auto"/>
              <w:jc w:val="left"/>
              <w:rPr>
                <w:rFonts w:hint="eastAsia"/>
                <w:sz w:val="18"/>
                <w:lang w:eastAsia="zh-CN"/>
              </w:rPr>
            </w:pPr>
            <w:r>
              <w:rPr>
                <w:rFonts w:hint="eastAsia" w:ascii="宋体"/>
                <w:sz w:val="18"/>
                <w:szCs w:val="21"/>
                <w:lang w:val="en-US" w:eastAsia="zh-CN"/>
              </w:rPr>
              <w:t>采</w:t>
            </w:r>
            <w:r>
              <w:rPr>
                <w:rFonts w:hint="eastAsia" w:ascii="宋体"/>
                <w:sz w:val="18"/>
                <w:szCs w:val="21"/>
              </w:rPr>
              <w:t>用消声器、隔声罩</w:t>
            </w:r>
            <w:r>
              <w:rPr>
                <w:rFonts w:hint="eastAsia" w:ascii="宋体"/>
                <w:sz w:val="18"/>
                <w:szCs w:val="21"/>
                <w:lang w:val="en-US" w:eastAsia="zh-CN"/>
              </w:rPr>
              <w:t>或</w:t>
            </w:r>
            <w:r>
              <w:rPr>
                <w:rFonts w:hint="eastAsia" w:ascii="宋体"/>
                <w:sz w:val="18"/>
                <w:szCs w:val="21"/>
              </w:rPr>
              <w:t>改变模具的几何形状</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0" w:type="dxa"/>
            <w:bottom w:w="0" w:type="dxa"/>
            <w:right w:w="100" w:type="dxa"/>
          </w:tblCellMar>
        </w:tblPrEx>
        <w:trPr>
          <w:jc w:val="center"/>
        </w:trPr>
        <w:tc>
          <w:tcPr>
            <w:tcW w:w="2811" w:type="dxa"/>
            <w:vAlign w:val="top"/>
          </w:tcPr>
          <w:p>
            <w:pPr>
              <w:spacing w:line="240" w:lineRule="auto"/>
              <w:jc w:val="left"/>
              <w:rPr>
                <w:rFonts w:hint="eastAsia"/>
                <w:sz w:val="18"/>
                <w:lang w:eastAsia="zh-CN"/>
              </w:rPr>
            </w:pPr>
            <w:r>
              <w:rPr>
                <w:rFonts w:hint="eastAsia" w:ascii="宋体"/>
                <w:sz w:val="18"/>
                <w:szCs w:val="21"/>
              </w:rPr>
              <w:t>空压机</w:t>
            </w:r>
          </w:p>
        </w:tc>
        <w:tc>
          <w:tcPr>
            <w:tcW w:w="6207" w:type="dxa"/>
            <w:vAlign w:val="top"/>
          </w:tcPr>
          <w:p>
            <w:pPr>
              <w:spacing w:line="240" w:lineRule="auto"/>
              <w:jc w:val="left"/>
              <w:rPr>
                <w:rFonts w:hint="eastAsia"/>
                <w:sz w:val="18"/>
                <w:lang w:eastAsia="zh-CN"/>
              </w:rPr>
            </w:pPr>
            <w:r>
              <w:rPr>
                <w:rFonts w:hint="eastAsia" w:ascii="宋体"/>
                <w:sz w:val="18"/>
                <w:szCs w:val="21"/>
                <w:lang w:val="en-US" w:eastAsia="zh-CN"/>
              </w:rPr>
              <w:t>采用</w:t>
            </w:r>
            <w:r>
              <w:rPr>
                <w:rFonts w:hint="eastAsia" w:ascii="宋体"/>
                <w:sz w:val="18"/>
                <w:szCs w:val="21"/>
              </w:rPr>
              <w:t>消声器和隔声罩；对于振动突出的机组，还应采用隔振措施</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0" w:type="dxa"/>
            <w:bottom w:w="0" w:type="dxa"/>
            <w:right w:w="100" w:type="dxa"/>
          </w:tblCellMar>
        </w:tblPrEx>
        <w:trPr>
          <w:jc w:val="center"/>
        </w:trPr>
        <w:tc>
          <w:tcPr>
            <w:tcW w:w="2811" w:type="dxa"/>
            <w:vAlign w:val="top"/>
          </w:tcPr>
          <w:p>
            <w:pPr>
              <w:spacing w:line="240" w:lineRule="auto"/>
              <w:jc w:val="left"/>
              <w:rPr>
                <w:rFonts w:hint="eastAsia"/>
                <w:sz w:val="18"/>
                <w:lang w:eastAsia="zh-CN"/>
              </w:rPr>
            </w:pPr>
            <w:r>
              <w:rPr>
                <w:rFonts w:hint="eastAsia" w:ascii="宋体"/>
                <w:sz w:val="18"/>
                <w:szCs w:val="21"/>
              </w:rPr>
              <w:t>柴油机</w:t>
            </w:r>
          </w:p>
        </w:tc>
        <w:tc>
          <w:tcPr>
            <w:tcW w:w="6207" w:type="dxa"/>
            <w:vAlign w:val="top"/>
          </w:tcPr>
          <w:p>
            <w:pPr>
              <w:spacing w:line="240" w:lineRule="auto"/>
              <w:jc w:val="left"/>
              <w:rPr>
                <w:rFonts w:hint="eastAsia"/>
                <w:sz w:val="18"/>
                <w:lang w:eastAsia="zh-CN"/>
              </w:rPr>
            </w:pPr>
            <w:r>
              <w:rPr>
                <w:rFonts w:hint="eastAsia" w:ascii="宋体"/>
                <w:sz w:val="18"/>
                <w:szCs w:val="21"/>
              </w:rPr>
              <w:t>安装进、排气消声器或采取在机壳上粘贴高阻尼材料或在壳体内壁加筋、改变齿轮材质</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0" w:type="dxa"/>
            <w:bottom w:w="0" w:type="dxa"/>
            <w:right w:w="100" w:type="dxa"/>
          </w:tblCellMar>
        </w:tblPrEx>
        <w:trPr>
          <w:jc w:val="center"/>
        </w:trPr>
        <w:tc>
          <w:tcPr>
            <w:tcW w:w="2811" w:type="dxa"/>
            <w:vAlign w:val="top"/>
          </w:tcPr>
          <w:p>
            <w:pPr>
              <w:spacing w:line="240" w:lineRule="auto"/>
              <w:jc w:val="left"/>
              <w:rPr>
                <w:rFonts w:hint="eastAsia"/>
                <w:sz w:val="18"/>
                <w:lang w:eastAsia="zh-CN"/>
              </w:rPr>
            </w:pPr>
            <w:r>
              <w:rPr>
                <w:rFonts w:hint="eastAsia" w:ascii="宋体"/>
                <w:sz w:val="18"/>
                <w:szCs w:val="21"/>
              </w:rPr>
              <w:t>木工圆锯</w:t>
            </w:r>
          </w:p>
        </w:tc>
        <w:tc>
          <w:tcPr>
            <w:tcW w:w="6207" w:type="dxa"/>
            <w:vAlign w:val="top"/>
          </w:tcPr>
          <w:p>
            <w:pPr>
              <w:spacing w:line="240" w:lineRule="auto"/>
              <w:jc w:val="left"/>
              <w:rPr>
                <w:rFonts w:hint="eastAsia"/>
                <w:sz w:val="18"/>
                <w:lang w:eastAsia="zh-CN"/>
              </w:rPr>
            </w:pPr>
            <w:r>
              <w:rPr>
                <w:rFonts w:hint="eastAsia" w:ascii="宋体"/>
                <w:sz w:val="18"/>
                <w:szCs w:val="21"/>
              </w:rPr>
              <w:t>在锯片上涂阻尼材料、改变锯齿角度和局部隔声</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0" w:type="dxa"/>
            <w:bottom w:w="0" w:type="dxa"/>
            <w:right w:w="100" w:type="dxa"/>
          </w:tblCellMar>
        </w:tblPrEx>
        <w:trPr>
          <w:jc w:val="center"/>
        </w:trPr>
        <w:tc>
          <w:tcPr>
            <w:tcW w:w="2811" w:type="dxa"/>
            <w:vAlign w:val="top"/>
          </w:tcPr>
          <w:p>
            <w:pPr>
              <w:spacing w:line="240" w:lineRule="auto"/>
              <w:jc w:val="left"/>
              <w:rPr>
                <w:rFonts w:hint="eastAsia"/>
                <w:sz w:val="18"/>
                <w:lang w:eastAsia="zh-CN"/>
              </w:rPr>
            </w:pPr>
            <w:r>
              <w:rPr>
                <w:rFonts w:hint="eastAsia" w:ascii="宋体"/>
                <w:sz w:val="18"/>
                <w:szCs w:val="21"/>
              </w:rPr>
              <w:t>球磨机</w:t>
            </w:r>
          </w:p>
        </w:tc>
        <w:tc>
          <w:tcPr>
            <w:tcW w:w="6207" w:type="dxa"/>
            <w:vAlign w:val="top"/>
          </w:tcPr>
          <w:p>
            <w:pPr>
              <w:spacing w:line="240" w:lineRule="auto"/>
              <w:jc w:val="left"/>
              <w:rPr>
                <w:rFonts w:hint="eastAsia"/>
                <w:sz w:val="18"/>
                <w:lang w:eastAsia="zh-CN"/>
              </w:rPr>
            </w:pPr>
            <w:r>
              <w:rPr>
                <w:rFonts w:hint="eastAsia" w:ascii="宋体"/>
                <w:sz w:val="18"/>
                <w:szCs w:val="21"/>
              </w:rPr>
              <w:t>阻尼、隔声、隔声罩和用橡胶衬垫代替铆钢衬垫</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0" w:type="dxa"/>
            <w:bottom w:w="0" w:type="dxa"/>
            <w:right w:w="100" w:type="dxa"/>
          </w:tblCellMar>
        </w:tblPrEx>
        <w:trPr>
          <w:jc w:val="center"/>
        </w:trPr>
        <w:tc>
          <w:tcPr>
            <w:tcW w:w="2811" w:type="dxa"/>
            <w:vAlign w:val="top"/>
          </w:tcPr>
          <w:p>
            <w:pPr>
              <w:spacing w:line="240" w:lineRule="auto"/>
              <w:jc w:val="left"/>
              <w:rPr>
                <w:rFonts w:hint="eastAsia"/>
                <w:sz w:val="18"/>
                <w:lang w:eastAsia="zh-CN"/>
              </w:rPr>
            </w:pPr>
            <w:r>
              <w:rPr>
                <w:rFonts w:hint="eastAsia" w:ascii="宋体"/>
                <w:sz w:val="18"/>
                <w:szCs w:val="21"/>
              </w:rPr>
              <w:t>高压放空排气</w:t>
            </w:r>
          </w:p>
        </w:tc>
        <w:tc>
          <w:tcPr>
            <w:tcW w:w="6207" w:type="dxa"/>
            <w:vAlign w:val="top"/>
          </w:tcPr>
          <w:p>
            <w:pPr>
              <w:spacing w:line="240" w:lineRule="auto"/>
              <w:jc w:val="left"/>
              <w:rPr>
                <w:rFonts w:hint="eastAsia"/>
                <w:sz w:val="18"/>
                <w:lang w:eastAsia="zh-CN"/>
              </w:rPr>
            </w:pPr>
            <w:r>
              <w:rPr>
                <w:rFonts w:hint="eastAsia" w:ascii="宋体"/>
                <w:sz w:val="18"/>
                <w:szCs w:val="21"/>
              </w:rPr>
              <w:t>安装消声器（扩容降速、节流降压、小孔喷注、多孔扩散等类型）</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0" w:type="dxa"/>
            <w:bottom w:w="0" w:type="dxa"/>
            <w:right w:w="100" w:type="dxa"/>
          </w:tblCellMar>
        </w:tblPrEx>
        <w:trPr>
          <w:jc w:val="center"/>
        </w:trPr>
        <w:tc>
          <w:tcPr>
            <w:tcW w:w="2811" w:type="dxa"/>
            <w:vAlign w:val="top"/>
          </w:tcPr>
          <w:p>
            <w:pPr>
              <w:spacing w:line="240" w:lineRule="auto"/>
              <w:jc w:val="left"/>
              <w:rPr>
                <w:rFonts w:hint="eastAsia"/>
                <w:sz w:val="18"/>
                <w:lang w:eastAsia="zh-CN"/>
              </w:rPr>
            </w:pPr>
            <w:r>
              <w:rPr>
                <w:rFonts w:hint="eastAsia" w:ascii="宋体"/>
                <w:sz w:val="18"/>
                <w:szCs w:val="21"/>
              </w:rPr>
              <w:t>凿岩机</w:t>
            </w:r>
          </w:p>
        </w:tc>
        <w:tc>
          <w:tcPr>
            <w:tcW w:w="6207" w:type="dxa"/>
            <w:vAlign w:val="top"/>
          </w:tcPr>
          <w:p>
            <w:pPr>
              <w:spacing w:line="240" w:lineRule="auto"/>
              <w:jc w:val="left"/>
              <w:rPr>
                <w:rFonts w:hint="eastAsia"/>
                <w:sz w:val="18"/>
                <w:lang w:eastAsia="zh-CN"/>
              </w:rPr>
            </w:pPr>
            <w:r>
              <w:rPr>
                <w:rFonts w:hint="eastAsia" w:ascii="宋体"/>
                <w:sz w:val="18"/>
                <w:szCs w:val="21"/>
                <w:lang w:val="en-US" w:eastAsia="zh-CN"/>
              </w:rPr>
              <w:t>采用</w:t>
            </w:r>
            <w:r>
              <w:rPr>
                <w:rFonts w:hint="eastAsia" w:ascii="宋体"/>
                <w:sz w:val="18"/>
                <w:szCs w:val="21"/>
              </w:rPr>
              <w:t>减振阻尼措施,对于凿岩台车,应设隔声操作室</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0" w:type="dxa"/>
            <w:bottom w:w="0" w:type="dxa"/>
            <w:right w:w="100" w:type="dxa"/>
          </w:tblCellMar>
        </w:tblPrEx>
        <w:trPr>
          <w:jc w:val="center"/>
        </w:trPr>
        <w:tc>
          <w:tcPr>
            <w:tcW w:w="2811" w:type="dxa"/>
            <w:vAlign w:val="top"/>
          </w:tcPr>
          <w:p>
            <w:pPr>
              <w:spacing w:line="240" w:lineRule="auto"/>
              <w:jc w:val="left"/>
              <w:rPr>
                <w:rFonts w:hint="eastAsia"/>
                <w:sz w:val="18"/>
                <w:lang w:eastAsia="zh-CN"/>
              </w:rPr>
            </w:pPr>
            <w:r>
              <w:rPr>
                <w:rFonts w:hint="eastAsia" w:ascii="宋体"/>
                <w:sz w:val="18"/>
                <w:szCs w:val="21"/>
                <w:lang w:val="en-US" w:eastAsia="zh-CN"/>
              </w:rPr>
              <w:t>电动机（电磁性噪声）</w:t>
            </w:r>
          </w:p>
        </w:tc>
        <w:tc>
          <w:tcPr>
            <w:tcW w:w="6207" w:type="dxa"/>
            <w:vAlign w:val="top"/>
          </w:tcPr>
          <w:p>
            <w:pPr>
              <w:spacing w:line="240" w:lineRule="auto"/>
              <w:jc w:val="left"/>
              <w:rPr>
                <w:rFonts w:hint="eastAsia"/>
                <w:sz w:val="18"/>
                <w:lang w:eastAsia="zh-CN"/>
              </w:rPr>
            </w:pPr>
            <w:r>
              <w:rPr>
                <w:rFonts w:hint="eastAsia" w:ascii="宋体"/>
                <w:sz w:val="18"/>
                <w:szCs w:val="21"/>
                <w:lang w:val="en-US" w:eastAsia="zh-CN"/>
              </w:rPr>
              <w:t>合理选择沟槽数和级数，在转子沟槽中充填一些环氧树脂，增加定子的刚性、提高电源稳定度，提高制造和装配精度</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0" w:type="dxa"/>
            <w:bottom w:w="0" w:type="dxa"/>
            <w:right w:w="100" w:type="dxa"/>
          </w:tblCellMar>
        </w:tblPrEx>
        <w:trPr>
          <w:jc w:val="center"/>
        </w:trPr>
        <w:tc>
          <w:tcPr>
            <w:tcW w:w="2811" w:type="dxa"/>
            <w:vAlign w:val="top"/>
          </w:tcPr>
          <w:p>
            <w:pPr>
              <w:spacing w:line="240" w:lineRule="auto"/>
              <w:jc w:val="left"/>
              <w:rPr>
                <w:rFonts w:hint="eastAsia"/>
                <w:sz w:val="18"/>
                <w:lang w:eastAsia="zh-CN"/>
              </w:rPr>
            </w:pPr>
            <w:r>
              <w:rPr>
                <w:rFonts w:hint="eastAsia" w:ascii="宋体"/>
                <w:sz w:val="18"/>
                <w:szCs w:val="21"/>
                <w:lang w:val="en-US" w:eastAsia="zh-CN"/>
              </w:rPr>
              <w:t>变压器（电磁性噪声）</w:t>
            </w:r>
          </w:p>
        </w:tc>
        <w:tc>
          <w:tcPr>
            <w:tcW w:w="6207" w:type="dxa"/>
            <w:vAlign w:val="top"/>
          </w:tcPr>
          <w:p>
            <w:pPr>
              <w:spacing w:line="240" w:lineRule="auto"/>
              <w:jc w:val="left"/>
              <w:rPr>
                <w:rFonts w:hint="eastAsia"/>
                <w:sz w:val="18"/>
                <w:lang w:eastAsia="zh-CN"/>
              </w:rPr>
            </w:pPr>
            <w:r>
              <w:rPr>
                <w:rFonts w:hint="eastAsia" w:ascii="宋体"/>
                <w:sz w:val="18"/>
                <w:szCs w:val="21"/>
                <w:lang w:val="en-US" w:eastAsia="zh-CN"/>
              </w:rPr>
              <w:t>减少磁力线密度，选择低磁性硅钢材料，合理选择铁心结构，铁心间隙充填树脂性材料，硅钢片之间采用树脂材料粘贴</w:t>
            </w:r>
          </w:p>
        </w:tc>
      </w:tr>
    </w:tbl>
    <w:p>
      <w:pPr>
        <w:pStyle w:val="199"/>
        <w:bidi w:val="0"/>
        <w:rPr>
          <w:rFonts w:hint="eastAsia"/>
          <w:lang w:eastAsia="zh-CN"/>
        </w:rPr>
      </w:pPr>
    </w:p>
    <w:p>
      <w:pPr>
        <w:pStyle w:val="200"/>
        <w:bidi w:val="0"/>
        <w:rPr>
          <w:rFonts w:hint="eastAsia"/>
          <w:lang w:eastAsia="zh-CN"/>
        </w:rPr>
      </w:pPr>
    </w:p>
    <w:p>
      <w:pPr>
        <w:pStyle w:val="77"/>
        <w:bidi w:val="0"/>
        <w:rPr>
          <w:rFonts w:hint="eastAsia"/>
          <w:lang w:eastAsia="zh-CN"/>
        </w:rPr>
      </w:pPr>
      <w:bookmarkStart w:id="64" w:name="_Toc183"/>
      <w:r>
        <w:rPr>
          <w:rFonts w:hint="eastAsia"/>
          <w:lang w:eastAsia="zh-CN"/>
        </w:rPr>
        <w:br w:type="textWrapping"/>
      </w:r>
      <w:r>
        <w:rPr>
          <w:rFonts w:hint="eastAsia"/>
          <w:lang w:eastAsia="zh-CN"/>
        </w:rPr>
        <w:t>（资料性）</w:t>
      </w:r>
      <w:r>
        <w:rPr>
          <w:rFonts w:hint="eastAsia"/>
          <w:lang w:eastAsia="zh-CN"/>
        </w:rPr>
        <w:br w:type="textWrapping"/>
      </w:r>
      <w:r>
        <w:rPr>
          <w:rFonts w:hint="eastAsia"/>
          <w:lang w:eastAsia="zh-CN"/>
        </w:rPr>
        <w:t>职业病危害告知卡示例</w:t>
      </w:r>
      <w:bookmarkEnd w:id="64"/>
    </w:p>
    <w:p>
      <w:pPr>
        <w:pStyle w:val="231"/>
        <w:jc w:val="left"/>
        <w:rPr>
          <w:rFonts w:hint="eastAsia" w:hAnsi="宋体"/>
          <w:szCs w:val="21"/>
        </w:rPr>
      </w:pPr>
      <w:r>
        <w:rPr>
          <w:rFonts w:hint="eastAsia" w:hAnsi="宋体"/>
          <w:szCs w:val="21"/>
          <w:lang w:val="en-US" w:eastAsia="zh-CN"/>
        </w:rPr>
        <w:t>下面给出了</w:t>
      </w:r>
      <w:r>
        <w:rPr>
          <w:rFonts w:hint="eastAsia" w:hAnsi="宋体"/>
          <w:szCs w:val="21"/>
        </w:rPr>
        <w:t>职业病危害告知卡</w:t>
      </w:r>
      <w:r>
        <w:rPr>
          <w:rFonts w:hint="eastAsia" w:hAnsi="宋体"/>
          <w:szCs w:val="21"/>
          <w:lang w:val="en-US" w:eastAsia="zh-CN"/>
        </w:rPr>
        <w:t>示例。</w:t>
      </w:r>
    </w:p>
    <w:p>
      <w:pPr>
        <w:pStyle w:val="231"/>
        <w:ind w:left="0" w:leftChars="0" w:firstLine="0" w:firstLineChars="0"/>
        <w:jc w:val="center"/>
        <w:rPr>
          <w:rFonts w:hint="default" w:ascii="黑体" w:hAnsi="黑体" w:eastAsia="黑体"/>
          <w:szCs w:val="21"/>
          <w:lang w:val="en-US" w:eastAsia="zh-CN"/>
        </w:rPr>
      </w:pPr>
      <w:r>
        <w:rPr>
          <w:rFonts w:hint="eastAsia" w:ascii="黑体" w:hAnsi="黑体" w:eastAsia="黑体"/>
          <w:szCs w:val="21"/>
          <w:lang w:val="en-US" w:eastAsia="zh-CN"/>
        </w:rPr>
        <w:t>表D.1 职业病危害告知卡</w:t>
      </w:r>
    </w:p>
    <w:tbl>
      <w:tblPr>
        <w:tblStyle w:val="27"/>
        <w:tblW w:w="0" w:type="auto"/>
        <w:jc w:val="center"/>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Layout w:type="autofit"/>
        <w:tblCellMar>
          <w:top w:w="0" w:type="dxa"/>
          <w:left w:w="108" w:type="dxa"/>
          <w:bottom w:w="0" w:type="dxa"/>
          <w:right w:w="108" w:type="dxa"/>
        </w:tblCellMar>
      </w:tblPr>
      <w:tblGrid>
        <w:gridCol w:w="3190"/>
        <w:gridCol w:w="3864"/>
        <w:gridCol w:w="2516"/>
      </w:tblGrid>
      <w:tr>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CellMar>
            <w:top w:w="0" w:type="dxa"/>
            <w:left w:w="108" w:type="dxa"/>
            <w:bottom w:w="0" w:type="dxa"/>
            <w:right w:w="108" w:type="dxa"/>
          </w:tblCellMar>
        </w:tblPrEx>
        <w:trPr>
          <w:jc w:val="center"/>
        </w:trPr>
        <w:tc>
          <w:tcPr>
            <w:tcW w:w="9570" w:type="dxa"/>
            <w:gridSpan w:val="3"/>
            <w:noWrap w:val="0"/>
            <w:vAlign w:val="top"/>
          </w:tcPr>
          <w:p>
            <w:pPr>
              <w:pStyle w:val="231"/>
              <w:ind w:firstLine="0" w:firstLineChars="0"/>
              <w:jc w:val="center"/>
              <w:rPr>
                <w:rFonts w:hint="eastAsia" w:hAnsi="宋体"/>
                <w:sz w:val="18"/>
                <w:szCs w:val="18"/>
              </w:rPr>
            </w:pPr>
            <w:r>
              <w:rPr>
                <w:rFonts w:hint="eastAsia" w:hAnsi="宋体"/>
                <w:sz w:val="18"/>
                <w:szCs w:val="18"/>
                <w:lang w:val="en-US" w:eastAsia="zh-CN"/>
              </w:rPr>
              <w:t>请</w:t>
            </w:r>
            <w:r>
              <w:rPr>
                <w:rFonts w:hint="eastAsia" w:hAnsi="宋体"/>
                <w:sz w:val="18"/>
                <w:szCs w:val="18"/>
              </w:rPr>
              <w:t>注意防护</w:t>
            </w:r>
          </w:p>
        </w:tc>
      </w:tr>
      <w:tr>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CellMar>
            <w:top w:w="0" w:type="dxa"/>
            <w:left w:w="108" w:type="dxa"/>
            <w:bottom w:w="0" w:type="dxa"/>
            <w:right w:w="108" w:type="dxa"/>
          </w:tblCellMar>
        </w:tblPrEx>
        <w:trPr>
          <w:jc w:val="center"/>
        </w:trPr>
        <w:tc>
          <w:tcPr>
            <w:tcW w:w="3190" w:type="dxa"/>
            <w:vMerge w:val="restart"/>
            <w:noWrap w:val="0"/>
            <w:vAlign w:val="center"/>
          </w:tcPr>
          <w:p>
            <w:pPr>
              <w:pStyle w:val="231"/>
              <w:ind w:firstLine="0" w:firstLineChars="0"/>
              <w:jc w:val="center"/>
              <w:rPr>
                <w:sz w:val="18"/>
                <w:szCs w:val="18"/>
              </w:rPr>
            </w:pPr>
            <w:r>
              <w:rPr>
                <w:rFonts w:hint="eastAsia"/>
                <w:sz w:val="18"/>
                <w:szCs w:val="18"/>
              </w:rPr>
              <w:t>噪声（noise）</w:t>
            </w:r>
          </w:p>
        </w:tc>
        <w:tc>
          <w:tcPr>
            <w:tcW w:w="3864" w:type="dxa"/>
            <w:noWrap w:val="0"/>
            <w:vAlign w:val="top"/>
          </w:tcPr>
          <w:p>
            <w:pPr>
              <w:pStyle w:val="231"/>
              <w:ind w:firstLine="0" w:firstLineChars="0"/>
              <w:jc w:val="center"/>
              <w:rPr>
                <w:rFonts w:hint="eastAsia" w:hAnsi="宋体"/>
                <w:sz w:val="18"/>
                <w:szCs w:val="18"/>
              </w:rPr>
            </w:pPr>
            <w:r>
              <w:rPr>
                <w:rFonts w:hint="eastAsia" w:hAnsi="宋体"/>
                <w:sz w:val="18"/>
                <w:szCs w:val="18"/>
              </w:rPr>
              <w:t>健康危害</w:t>
            </w:r>
          </w:p>
        </w:tc>
        <w:tc>
          <w:tcPr>
            <w:tcW w:w="2516" w:type="dxa"/>
            <w:noWrap w:val="0"/>
            <w:vAlign w:val="top"/>
          </w:tcPr>
          <w:p>
            <w:pPr>
              <w:pStyle w:val="231"/>
              <w:ind w:firstLine="0" w:firstLineChars="0"/>
              <w:jc w:val="center"/>
              <w:rPr>
                <w:rFonts w:hint="eastAsia" w:hAnsi="宋体"/>
                <w:sz w:val="18"/>
                <w:szCs w:val="18"/>
              </w:rPr>
            </w:pPr>
            <w:r>
              <w:rPr>
                <w:rFonts w:hint="eastAsia" w:hAnsi="宋体"/>
                <w:sz w:val="18"/>
                <w:szCs w:val="18"/>
              </w:rPr>
              <w:t>理化特性</w:t>
            </w:r>
          </w:p>
        </w:tc>
      </w:tr>
      <w:tr>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CellMar>
            <w:top w:w="0" w:type="dxa"/>
            <w:left w:w="108" w:type="dxa"/>
            <w:bottom w:w="0" w:type="dxa"/>
            <w:right w:w="108" w:type="dxa"/>
          </w:tblCellMar>
        </w:tblPrEx>
        <w:trPr>
          <w:jc w:val="center"/>
        </w:trPr>
        <w:tc>
          <w:tcPr>
            <w:tcW w:w="3190" w:type="dxa"/>
            <w:vMerge w:val="continue"/>
            <w:noWrap w:val="0"/>
            <w:vAlign w:val="top"/>
          </w:tcPr>
          <w:p>
            <w:pPr>
              <w:pStyle w:val="231"/>
              <w:ind w:firstLine="0" w:firstLineChars="0"/>
              <w:jc w:val="left"/>
              <w:rPr>
                <w:rFonts w:hint="eastAsia"/>
                <w:sz w:val="18"/>
                <w:szCs w:val="18"/>
              </w:rPr>
            </w:pPr>
          </w:p>
        </w:tc>
        <w:tc>
          <w:tcPr>
            <w:tcW w:w="3864" w:type="dxa"/>
            <w:noWrap w:val="0"/>
            <w:vAlign w:val="top"/>
          </w:tcPr>
          <w:p>
            <w:pPr>
              <w:pStyle w:val="231"/>
              <w:ind w:firstLine="0" w:firstLineChars="0"/>
              <w:jc w:val="left"/>
              <w:rPr>
                <w:rFonts w:hint="eastAsia" w:hAnsi="宋体" w:eastAsia="宋体"/>
                <w:sz w:val="18"/>
                <w:szCs w:val="18"/>
                <w:lang w:eastAsia="zh-CN"/>
              </w:rPr>
            </w:pPr>
            <w:r>
              <w:rPr>
                <w:rFonts w:hint="eastAsia" w:hAnsi="宋体"/>
                <w:sz w:val="18"/>
                <w:szCs w:val="18"/>
              </w:rPr>
              <w:t>导致听力减弱、下降，长时间接触可引起永久性耳聋，并引发消化不良、呕吐、头痛、血压升高、失眠等全身性疾病</w:t>
            </w:r>
            <w:r>
              <w:rPr>
                <w:rFonts w:hint="eastAsia" w:hAnsi="宋体"/>
                <w:sz w:val="18"/>
                <w:szCs w:val="18"/>
                <w:lang w:eastAsia="zh-CN"/>
              </w:rPr>
              <w:t>，可导致职业性噪声聋。</w:t>
            </w:r>
          </w:p>
        </w:tc>
        <w:tc>
          <w:tcPr>
            <w:tcW w:w="2516" w:type="dxa"/>
            <w:noWrap w:val="0"/>
            <w:vAlign w:val="top"/>
          </w:tcPr>
          <w:p>
            <w:pPr>
              <w:pStyle w:val="231"/>
              <w:ind w:firstLine="0" w:firstLineChars="0"/>
              <w:jc w:val="left"/>
              <w:rPr>
                <w:rFonts w:hAnsi="宋体"/>
                <w:sz w:val="18"/>
                <w:szCs w:val="18"/>
              </w:rPr>
            </w:pPr>
            <w:r>
              <w:rPr>
                <w:rFonts w:hint="eastAsia" w:hAnsi="宋体"/>
                <w:sz w:val="18"/>
                <w:szCs w:val="18"/>
              </w:rPr>
              <w:t>声强和频率的变化都无规律、杂乱无章的声音。</w:t>
            </w:r>
          </w:p>
        </w:tc>
      </w:tr>
      <w:tr>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CellMar>
            <w:top w:w="0" w:type="dxa"/>
            <w:left w:w="108" w:type="dxa"/>
            <w:bottom w:w="0" w:type="dxa"/>
            <w:right w:w="108" w:type="dxa"/>
          </w:tblCellMar>
        </w:tblPrEx>
        <w:trPr>
          <w:jc w:val="center"/>
        </w:trPr>
        <w:tc>
          <w:tcPr>
            <w:tcW w:w="3190" w:type="dxa"/>
            <w:vMerge w:val="restart"/>
            <w:noWrap w:val="0"/>
            <w:vAlign w:val="center"/>
          </w:tcPr>
          <w:p>
            <w:pPr>
              <w:widowControl/>
              <w:spacing w:before="100" w:beforeAutospacing="1" w:after="80"/>
              <w:rPr>
                <w:sz w:val="18"/>
                <w:szCs w:val="18"/>
              </w:rPr>
            </w:pPr>
            <w:r>
              <w:rPr>
                <w:sz w:val="18"/>
                <w:szCs w:val="18"/>
              </w:rPr>
              <w:drawing>
                <wp:anchor distT="0" distB="0" distL="114300" distR="114300" simplePos="0" relativeHeight="251661312" behindDoc="0" locked="0" layoutInCell="1" allowOverlap="1">
                  <wp:simplePos x="0" y="0"/>
                  <wp:positionH relativeFrom="column">
                    <wp:posOffset>213995</wp:posOffset>
                  </wp:positionH>
                  <wp:positionV relativeFrom="paragraph">
                    <wp:posOffset>60325</wp:posOffset>
                  </wp:positionV>
                  <wp:extent cx="1449070" cy="1664970"/>
                  <wp:effectExtent l="0" t="0" r="11430" b="11430"/>
                  <wp:wrapNone/>
                  <wp:docPr id="1" name="图片 2" descr="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descr="11"/>
                          <pic:cNvPicPr>
                            <a:picLocks noChangeAspect="1"/>
                          </pic:cNvPicPr>
                        </pic:nvPicPr>
                        <pic:blipFill>
                          <a:blip r:embed="rId48"/>
                          <a:stretch>
                            <a:fillRect/>
                          </a:stretch>
                        </pic:blipFill>
                        <pic:spPr>
                          <a:xfrm>
                            <a:off x="0" y="0"/>
                            <a:ext cx="1449070" cy="1664970"/>
                          </a:xfrm>
                          <a:prstGeom prst="rect">
                            <a:avLst/>
                          </a:prstGeom>
                          <a:noFill/>
                          <a:ln>
                            <a:noFill/>
                          </a:ln>
                        </pic:spPr>
                      </pic:pic>
                    </a:graphicData>
                  </a:graphic>
                </wp:anchor>
              </w:drawing>
            </w:r>
          </w:p>
          <w:p>
            <w:pPr>
              <w:widowControl/>
              <w:spacing w:before="100" w:beforeAutospacing="1" w:after="80"/>
              <w:ind w:left="1440"/>
              <w:rPr>
                <w:sz w:val="18"/>
                <w:szCs w:val="18"/>
              </w:rPr>
            </w:pPr>
          </w:p>
          <w:p>
            <w:pPr>
              <w:pStyle w:val="231"/>
              <w:ind w:firstLine="0" w:firstLineChars="0"/>
              <w:jc w:val="center"/>
              <w:rPr>
                <w:rFonts w:hint="eastAsia"/>
                <w:sz w:val="18"/>
                <w:szCs w:val="18"/>
              </w:rPr>
            </w:pPr>
          </w:p>
        </w:tc>
        <w:tc>
          <w:tcPr>
            <w:tcW w:w="6380" w:type="dxa"/>
            <w:gridSpan w:val="2"/>
            <w:noWrap w:val="0"/>
            <w:vAlign w:val="top"/>
          </w:tcPr>
          <w:p>
            <w:pPr>
              <w:pStyle w:val="231"/>
              <w:ind w:firstLine="0" w:firstLineChars="0"/>
              <w:jc w:val="center"/>
              <w:rPr>
                <w:rFonts w:hint="eastAsia" w:hAnsi="宋体"/>
                <w:sz w:val="18"/>
                <w:szCs w:val="18"/>
              </w:rPr>
            </w:pPr>
            <w:r>
              <w:rPr>
                <w:rFonts w:hint="eastAsia" w:hAnsi="宋体"/>
                <w:sz w:val="18"/>
                <w:szCs w:val="18"/>
              </w:rPr>
              <w:t>应急处理</w:t>
            </w:r>
          </w:p>
        </w:tc>
      </w:tr>
      <w:tr>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CellMar>
            <w:top w:w="0" w:type="dxa"/>
            <w:left w:w="108" w:type="dxa"/>
            <w:bottom w:w="0" w:type="dxa"/>
            <w:right w:w="108" w:type="dxa"/>
          </w:tblCellMar>
        </w:tblPrEx>
        <w:trPr>
          <w:jc w:val="center"/>
        </w:trPr>
        <w:tc>
          <w:tcPr>
            <w:tcW w:w="3190" w:type="dxa"/>
            <w:vMerge w:val="continue"/>
            <w:noWrap w:val="0"/>
            <w:vAlign w:val="top"/>
          </w:tcPr>
          <w:p>
            <w:pPr>
              <w:pStyle w:val="231"/>
              <w:ind w:firstLine="0" w:firstLineChars="0"/>
              <w:jc w:val="left"/>
              <w:rPr>
                <w:rFonts w:hint="eastAsia"/>
                <w:sz w:val="18"/>
                <w:szCs w:val="18"/>
              </w:rPr>
            </w:pPr>
          </w:p>
        </w:tc>
        <w:tc>
          <w:tcPr>
            <w:tcW w:w="6380" w:type="dxa"/>
            <w:gridSpan w:val="2"/>
            <w:noWrap w:val="0"/>
            <w:vAlign w:val="top"/>
          </w:tcPr>
          <w:p>
            <w:pPr>
              <w:pStyle w:val="231"/>
              <w:ind w:firstLine="0" w:firstLineChars="0"/>
              <w:jc w:val="left"/>
              <w:rPr>
                <w:rFonts w:hint="eastAsia" w:hAnsi="宋体"/>
                <w:sz w:val="18"/>
                <w:szCs w:val="18"/>
              </w:rPr>
            </w:pPr>
            <w:r>
              <w:rPr>
                <w:rFonts w:hint="eastAsia" w:hAnsi="宋体"/>
                <w:sz w:val="18"/>
                <w:szCs w:val="18"/>
              </w:rPr>
              <w:t>使用护听器如：耳塞、耳罩、防声帽等，并立即离开噪声场所；</w:t>
            </w:r>
          </w:p>
          <w:p>
            <w:pPr>
              <w:pStyle w:val="231"/>
              <w:ind w:firstLine="0" w:firstLineChars="0"/>
              <w:jc w:val="left"/>
              <w:rPr>
                <w:rFonts w:hAnsi="宋体"/>
                <w:sz w:val="18"/>
                <w:szCs w:val="18"/>
              </w:rPr>
            </w:pPr>
            <w:r>
              <w:rPr>
                <w:rFonts w:hint="eastAsia" w:hAnsi="宋体"/>
                <w:sz w:val="18"/>
                <w:szCs w:val="18"/>
              </w:rPr>
              <w:t>如发现听力异常，及时到医院检查就诊。</w:t>
            </w:r>
          </w:p>
        </w:tc>
      </w:tr>
      <w:tr>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CellMar>
            <w:top w:w="0" w:type="dxa"/>
            <w:left w:w="108" w:type="dxa"/>
            <w:bottom w:w="0" w:type="dxa"/>
            <w:right w:w="108" w:type="dxa"/>
          </w:tblCellMar>
        </w:tblPrEx>
        <w:trPr>
          <w:jc w:val="center"/>
        </w:trPr>
        <w:tc>
          <w:tcPr>
            <w:tcW w:w="3190" w:type="dxa"/>
            <w:vMerge w:val="continue"/>
            <w:noWrap w:val="0"/>
            <w:vAlign w:val="top"/>
          </w:tcPr>
          <w:p>
            <w:pPr>
              <w:pStyle w:val="231"/>
              <w:ind w:firstLine="0" w:firstLineChars="0"/>
              <w:jc w:val="left"/>
              <w:rPr>
                <w:rFonts w:hint="eastAsia"/>
                <w:sz w:val="18"/>
                <w:szCs w:val="18"/>
              </w:rPr>
            </w:pPr>
          </w:p>
        </w:tc>
        <w:tc>
          <w:tcPr>
            <w:tcW w:w="6380" w:type="dxa"/>
            <w:gridSpan w:val="2"/>
            <w:noWrap w:val="0"/>
            <w:vAlign w:val="top"/>
          </w:tcPr>
          <w:p>
            <w:pPr>
              <w:pStyle w:val="231"/>
              <w:ind w:firstLine="0" w:firstLineChars="0"/>
              <w:jc w:val="center"/>
              <w:rPr>
                <w:rFonts w:hint="eastAsia" w:hAnsi="宋体"/>
                <w:sz w:val="18"/>
                <w:szCs w:val="18"/>
              </w:rPr>
            </w:pPr>
            <w:r>
              <w:rPr>
                <w:rFonts w:hint="eastAsia" w:hAnsi="宋体"/>
                <w:sz w:val="18"/>
                <w:szCs w:val="18"/>
              </w:rPr>
              <w:t>防护措施</w:t>
            </w:r>
          </w:p>
        </w:tc>
      </w:tr>
      <w:tr>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CellMar>
            <w:top w:w="0" w:type="dxa"/>
            <w:left w:w="108" w:type="dxa"/>
            <w:bottom w:w="0" w:type="dxa"/>
            <w:right w:w="108" w:type="dxa"/>
          </w:tblCellMar>
        </w:tblPrEx>
        <w:trPr>
          <w:jc w:val="center"/>
        </w:trPr>
        <w:tc>
          <w:tcPr>
            <w:tcW w:w="3190" w:type="dxa"/>
            <w:vMerge w:val="continue"/>
            <w:noWrap w:val="0"/>
            <w:vAlign w:val="top"/>
          </w:tcPr>
          <w:p>
            <w:pPr>
              <w:pStyle w:val="231"/>
              <w:ind w:firstLine="0" w:firstLineChars="0"/>
              <w:jc w:val="left"/>
              <w:rPr>
                <w:rFonts w:hint="eastAsia"/>
                <w:sz w:val="18"/>
                <w:szCs w:val="18"/>
              </w:rPr>
            </w:pPr>
          </w:p>
        </w:tc>
        <w:tc>
          <w:tcPr>
            <w:tcW w:w="6380" w:type="dxa"/>
            <w:gridSpan w:val="2"/>
            <w:noWrap w:val="0"/>
            <w:vAlign w:val="top"/>
          </w:tcPr>
          <w:p>
            <w:pPr>
              <w:pStyle w:val="231"/>
              <w:numPr>
                <w:ilvl w:val="0"/>
                <w:numId w:val="33"/>
              </w:numPr>
              <w:ind w:firstLine="180" w:firstLineChars="100"/>
              <w:jc w:val="left"/>
              <w:rPr>
                <w:rFonts w:hint="eastAsia" w:hAnsi="宋体"/>
                <w:sz w:val="18"/>
                <w:szCs w:val="18"/>
              </w:rPr>
            </w:pPr>
            <w:r>
              <w:rPr>
                <w:rFonts w:hint="eastAsia" w:hAnsi="宋体"/>
                <w:sz w:val="18"/>
                <w:szCs w:val="18"/>
              </w:rPr>
              <w:t>控制声源。</w:t>
            </w:r>
          </w:p>
          <w:p>
            <w:pPr>
              <w:pStyle w:val="231"/>
              <w:numPr>
                <w:ilvl w:val="0"/>
                <w:numId w:val="33"/>
              </w:numPr>
              <w:ind w:firstLine="180" w:firstLineChars="100"/>
              <w:jc w:val="left"/>
              <w:rPr>
                <w:rFonts w:hAnsi="宋体"/>
                <w:sz w:val="18"/>
                <w:szCs w:val="18"/>
              </w:rPr>
            </w:pPr>
            <w:r>
              <w:rPr>
                <w:rFonts w:hint="eastAsia" w:hAnsi="宋体"/>
                <w:sz w:val="18"/>
                <w:szCs w:val="18"/>
              </w:rPr>
              <w:t>控制噪声传播。</w:t>
            </w:r>
          </w:p>
          <w:p>
            <w:pPr>
              <w:pStyle w:val="231"/>
              <w:numPr>
                <w:ilvl w:val="0"/>
                <w:numId w:val="33"/>
              </w:numPr>
              <w:ind w:firstLine="180" w:firstLineChars="100"/>
              <w:jc w:val="left"/>
              <w:rPr>
                <w:rFonts w:hAnsi="宋体"/>
                <w:sz w:val="18"/>
                <w:szCs w:val="18"/>
              </w:rPr>
            </w:pPr>
            <w:r>
              <w:rPr>
                <w:rFonts w:hint="eastAsia" w:hAnsi="宋体"/>
                <w:sz w:val="18"/>
                <w:szCs w:val="18"/>
              </w:rPr>
              <w:t>个体防护措施。</w:t>
            </w:r>
          </w:p>
          <w:p>
            <w:pPr>
              <w:pStyle w:val="231"/>
              <w:numPr>
                <w:ilvl w:val="0"/>
                <w:numId w:val="33"/>
              </w:numPr>
              <w:ind w:firstLine="180" w:firstLineChars="100"/>
              <w:jc w:val="left"/>
              <w:rPr>
                <w:rFonts w:hAnsi="宋体"/>
                <w:sz w:val="18"/>
                <w:szCs w:val="18"/>
              </w:rPr>
            </w:pPr>
            <w:r>
              <w:rPr>
                <w:rFonts w:hint="eastAsia" w:hAnsi="宋体"/>
                <w:sz w:val="18"/>
                <w:szCs w:val="18"/>
              </w:rPr>
              <w:t>职业健康监护。</w:t>
            </w:r>
          </w:p>
          <w:p>
            <w:pPr>
              <w:pStyle w:val="231"/>
              <w:numPr>
                <w:ilvl w:val="0"/>
                <w:numId w:val="33"/>
              </w:numPr>
              <w:ind w:firstLine="180" w:firstLineChars="100"/>
              <w:jc w:val="left"/>
              <w:rPr>
                <w:rFonts w:hAnsi="宋体"/>
                <w:sz w:val="18"/>
                <w:szCs w:val="18"/>
              </w:rPr>
            </w:pPr>
            <w:r>
              <w:rPr>
                <w:rFonts w:hint="eastAsia" w:hAnsi="宋体"/>
                <w:sz w:val="18"/>
                <w:szCs w:val="18"/>
              </w:rPr>
              <w:t>合理安排工作与休息时间，适当安排工间休息。</w:t>
            </w:r>
          </w:p>
        </w:tc>
      </w:tr>
      <w:tr>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CellMar>
            <w:top w:w="0" w:type="dxa"/>
            <w:left w:w="108" w:type="dxa"/>
            <w:bottom w:w="0" w:type="dxa"/>
            <w:right w:w="108" w:type="dxa"/>
          </w:tblCellMar>
        </w:tblPrEx>
        <w:trPr>
          <w:jc w:val="center"/>
        </w:trPr>
        <w:tc>
          <w:tcPr>
            <w:tcW w:w="9570" w:type="dxa"/>
            <w:gridSpan w:val="3"/>
            <w:noWrap w:val="0"/>
            <w:vAlign w:val="top"/>
          </w:tcPr>
          <w:p>
            <w:pPr>
              <w:pStyle w:val="231"/>
              <w:ind w:firstLine="0" w:firstLineChars="0"/>
              <w:jc w:val="left"/>
              <w:rPr>
                <w:rFonts w:hint="default" w:hAnsi="宋体" w:eastAsia="宋体"/>
                <w:sz w:val="18"/>
                <w:szCs w:val="18"/>
                <w:lang w:val="en-US" w:eastAsia="zh-CN"/>
              </w:rPr>
            </w:pPr>
            <w:r>
              <w:rPr>
                <w:rFonts w:hint="eastAsia" w:hAnsi="宋体"/>
                <w:sz w:val="18"/>
                <w:szCs w:val="18"/>
              </w:rPr>
              <w:t xml:space="preserve">急救电话：120            消防电话：119            </w:t>
            </w:r>
            <w:r>
              <w:rPr>
                <w:rFonts w:hint="eastAsia" w:hAnsi="宋体"/>
                <w:sz w:val="18"/>
                <w:szCs w:val="18"/>
                <w:lang w:val="en-US" w:eastAsia="zh-CN"/>
              </w:rPr>
              <w:t>职业病防治机构：XXX-XXXXXXXX</w:t>
            </w:r>
          </w:p>
        </w:tc>
      </w:tr>
    </w:tbl>
    <w:p>
      <w:pPr>
        <w:pStyle w:val="231"/>
        <w:ind w:firstLine="0" w:firstLineChars="0"/>
        <w:jc w:val="left"/>
        <w:rPr>
          <w:rFonts w:hint="eastAsia"/>
          <w:sz w:val="24"/>
        </w:rPr>
      </w:pPr>
    </w:p>
    <w:p>
      <w:pPr>
        <w:pStyle w:val="57"/>
        <w:bidi w:val="0"/>
        <w:rPr>
          <w:rFonts w:hint="eastAsia"/>
          <w:lang w:eastAsia="zh-CN"/>
        </w:rPr>
      </w:pPr>
    </w:p>
    <w:p>
      <w:pPr>
        <w:pStyle w:val="57"/>
        <w:bidi w:val="0"/>
        <w:rPr>
          <w:rFonts w:hint="eastAsia"/>
          <w:lang w:eastAsia="zh-CN"/>
        </w:rPr>
      </w:pPr>
    </w:p>
    <w:p>
      <w:pPr>
        <w:pStyle w:val="57"/>
        <w:bidi w:val="0"/>
        <w:rPr>
          <w:rFonts w:hint="eastAsia"/>
          <w:lang w:eastAsia="zh-CN"/>
        </w:rPr>
      </w:pPr>
    </w:p>
    <w:p>
      <w:pPr>
        <w:pStyle w:val="57"/>
        <w:rPr>
          <w:rFonts w:hint="eastAsia"/>
          <w:lang w:eastAsia="zh-CN"/>
        </w:rPr>
      </w:pPr>
    </w:p>
    <w:p>
      <w:pPr>
        <w:pStyle w:val="57"/>
        <w:bidi w:val="0"/>
        <w:rPr>
          <w:rFonts w:hint="eastAsia"/>
          <w:lang w:eastAsia="zh-CN"/>
        </w:rPr>
        <w:sectPr>
          <w:headerReference r:id="rId26" w:type="default"/>
          <w:footerReference r:id="rId28" w:type="default"/>
          <w:headerReference r:id="rId27" w:type="even"/>
          <w:footerReference r:id="rId29" w:type="even"/>
          <w:pgSz w:w="11906" w:h="16838"/>
          <w:pgMar w:top="1928" w:right="1134" w:bottom="1134" w:left="1134" w:header="1418" w:footer="1134" w:gutter="284"/>
          <w:pgNumType w:fmt="decimal"/>
          <w:cols w:space="425" w:num="1"/>
          <w:formProt w:val="0"/>
          <w:docGrid w:type="lines" w:linePitch="312" w:charSpace="0"/>
        </w:sectPr>
      </w:pPr>
    </w:p>
    <w:p>
      <w:pPr>
        <w:pStyle w:val="199"/>
        <w:bidi w:val="0"/>
        <w:rPr>
          <w:rFonts w:hint="eastAsia"/>
          <w:lang w:eastAsia="zh-CN"/>
        </w:rPr>
      </w:pPr>
    </w:p>
    <w:p>
      <w:pPr>
        <w:pStyle w:val="200"/>
        <w:bidi w:val="0"/>
        <w:rPr>
          <w:rFonts w:hint="eastAsia"/>
          <w:lang w:eastAsia="zh-CN"/>
        </w:rPr>
      </w:pPr>
    </w:p>
    <w:p>
      <w:pPr>
        <w:pStyle w:val="77"/>
        <w:bidi w:val="0"/>
        <w:rPr>
          <w:rFonts w:hint="eastAsia"/>
          <w:lang w:eastAsia="zh-CN"/>
        </w:rPr>
      </w:pPr>
      <w:bookmarkStart w:id="65" w:name="_Toc26512"/>
      <w:r>
        <w:rPr>
          <w:rFonts w:hint="eastAsia"/>
          <w:lang w:eastAsia="zh-CN"/>
        </w:rPr>
        <w:br w:type="textWrapping"/>
      </w:r>
      <w:r>
        <w:rPr>
          <w:rFonts w:hint="eastAsia"/>
          <w:lang w:eastAsia="zh-CN"/>
        </w:rPr>
        <w:t>（资料性）</w:t>
      </w:r>
      <w:r>
        <w:rPr>
          <w:rFonts w:hint="eastAsia"/>
          <w:lang w:eastAsia="zh-CN"/>
        </w:rPr>
        <w:br w:type="textWrapping"/>
      </w:r>
      <w:r>
        <w:rPr>
          <w:rFonts w:hint="eastAsia"/>
          <w:lang w:eastAsia="zh-CN"/>
        </w:rPr>
        <w:t>个人防护用品领用清单示例</w:t>
      </w:r>
      <w:bookmarkEnd w:id="65"/>
    </w:p>
    <w:p>
      <w:pPr>
        <w:pStyle w:val="57"/>
        <w:rPr>
          <w:rFonts w:hint="eastAsia"/>
          <w:lang w:eastAsia="zh-CN"/>
        </w:rPr>
      </w:pPr>
      <w:r>
        <w:rPr>
          <w:rFonts w:hint="eastAsia" w:hAnsi="宋体" w:cs="宋体"/>
          <w:szCs w:val="21"/>
        </w:rPr>
        <w:t>个人防护用品领用清单见表</w:t>
      </w:r>
      <w:r>
        <w:rPr>
          <w:rFonts w:hint="eastAsia" w:hAnsi="宋体" w:cs="宋体"/>
          <w:szCs w:val="21"/>
          <w:lang w:val="en-US" w:eastAsia="zh-CN"/>
        </w:rPr>
        <w:t>E</w:t>
      </w:r>
      <w:r>
        <w:rPr>
          <w:rFonts w:hint="eastAsia" w:hAnsi="宋体" w:cs="宋体"/>
          <w:szCs w:val="21"/>
        </w:rPr>
        <w:t>.1</w:t>
      </w:r>
    </w:p>
    <w:p>
      <w:pPr>
        <w:pStyle w:val="78"/>
        <w:bidi w:val="0"/>
        <w:rPr>
          <w:rFonts w:hint="eastAsia"/>
        </w:rPr>
      </w:pPr>
      <w:r>
        <w:rPr>
          <w:rFonts w:hint="eastAsia"/>
        </w:rPr>
        <w:t>个人防护用品领用清单见表</w:t>
      </w:r>
    </w:p>
    <w:tbl>
      <w:tblPr>
        <w:tblStyle w:val="28"/>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100" w:type="dxa"/>
          <w:bottom w:w="0" w:type="dxa"/>
          <w:right w:w="100" w:type="dxa"/>
        </w:tblCellMar>
      </w:tblPr>
      <w:tblGrid>
        <w:gridCol w:w="1592"/>
        <w:gridCol w:w="1592"/>
        <w:gridCol w:w="1592"/>
        <w:gridCol w:w="1592"/>
        <w:gridCol w:w="1593"/>
        <w:gridCol w:w="1593"/>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0" w:type="dxa"/>
            <w:bottom w:w="0" w:type="dxa"/>
            <w:right w:w="100" w:type="dxa"/>
          </w:tblCellMar>
        </w:tblPrEx>
        <w:trPr>
          <w:tblHeader/>
          <w:jc w:val="center"/>
        </w:trPr>
        <w:tc>
          <w:tcPr>
            <w:tcW w:w="1592" w:type="dxa"/>
            <w:tcBorders>
              <w:bottom w:val="single" w:color="auto" w:sz="8" w:space="0"/>
            </w:tcBorders>
            <w:shd w:val="clear" w:color="auto" w:fill="auto"/>
            <w:vAlign w:val="center"/>
          </w:tcPr>
          <w:p>
            <w:pPr>
              <w:pStyle w:val="231"/>
              <w:spacing w:line="240" w:lineRule="auto"/>
              <w:ind w:firstLine="0" w:firstLineChars="0"/>
              <w:jc w:val="center"/>
              <w:rPr>
                <w:rFonts w:hint="eastAsia" w:ascii="宋体" w:hAnsi="Times New Roman" w:eastAsia="宋体" w:cs="Times New Roman"/>
                <w:sz w:val="18"/>
                <w:lang w:val="en-US" w:eastAsia="zh-CN" w:bidi="ar-SA"/>
              </w:rPr>
            </w:pPr>
            <w:r>
              <w:rPr>
                <w:rFonts w:hint="eastAsia" w:hAnsi="宋体"/>
                <w:sz w:val="18"/>
                <w:szCs w:val="21"/>
              </w:rPr>
              <w:t>岗位/工种</w:t>
            </w:r>
          </w:p>
        </w:tc>
        <w:tc>
          <w:tcPr>
            <w:tcW w:w="1592" w:type="dxa"/>
            <w:tcBorders>
              <w:bottom w:val="single" w:color="auto" w:sz="8" w:space="0"/>
            </w:tcBorders>
            <w:shd w:val="clear" w:color="auto" w:fill="auto"/>
            <w:vAlign w:val="center"/>
          </w:tcPr>
          <w:p>
            <w:pPr>
              <w:pStyle w:val="231"/>
              <w:spacing w:line="240" w:lineRule="auto"/>
              <w:ind w:firstLine="0" w:firstLineChars="0"/>
              <w:jc w:val="center"/>
              <w:rPr>
                <w:rFonts w:hint="eastAsia" w:ascii="宋体" w:hAnsi="Times New Roman" w:eastAsia="宋体" w:cs="Times New Roman"/>
                <w:sz w:val="18"/>
                <w:lang w:val="en-US" w:eastAsia="zh-CN" w:bidi="ar-SA"/>
              </w:rPr>
            </w:pPr>
            <w:r>
              <w:rPr>
                <w:rFonts w:hint="eastAsia" w:hAnsi="宋体"/>
                <w:sz w:val="18"/>
                <w:szCs w:val="21"/>
              </w:rPr>
              <w:t>员工姓名</w:t>
            </w:r>
          </w:p>
        </w:tc>
        <w:tc>
          <w:tcPr>
            <w:tcW w:w="1592" w:type="dxa"/>
            <w:tcBorders>
              <w:bottom w:val="single" w:color="auto" w:sz="8" w:space="0"/>
            </w:tcBorders>
            <w:shd w:val="clear" w:color="auto" w:fill="auto"/>
            <w:vAlign w:val="center"/>
          </w:tcPr>
          <w:p>
            <w:pPr>
              <w:pStyle w:val="231"/>
              <w:spacing w:line="240" w:lineRule="auto"/>
              <w:ind w:firstLine="0" w:firstLineChars="0"/>
              <w:jc w:val="center"/>
              <w:rPr>
                <w:rFonts w:hint="eastAsia" w:ascii="宋体" w:hAnsi="Times New Roman" w:eastAsia="宋体" w:cs="Times New Roman"/>
                <w:sz w:val="18"/>
                <w:lang w:val="en-US" w:eastAsia="zh-CN" w:bidi="ar-SA"/>
              </w:rPr>
            </w:pPr>
            <w:r>
              <w:rPr>
                <w:rFonts w:hint="eastAsia" w:hAnsi="宋体"/>
                <w:sz w:val="18"/>
                <w:szCs w:val="21"/>
                <w:lang w:val="en-US" w:eastAsia="zh-CN"/>
              </w:rPr>
              <w:t>护听器</w:t>
            </w:r>
            <w:r>
              <w:rPr>
                <w:rFonts w:hint="eastAsia" w:hAnsi="宋体"/>
                <w:sz w:val="18"/>
                <w:szCs w:val="21"/>
              </w:rPr>
              <w:t>名称/型号</w:t>
            </w:r>
          </w:p>
        </w:tc>
        <w:tc>
          <w:tcPr>
            <w:tcW w:w="1592" w:type="dxa"/>
            <w:tcBorders>
              <w:bottom w:val="single" w:color="auto" w:sz="8" w:space="0"/>
            </w:tcBorders>
            <w:shd w:val="clear" w:color="auto" w:fill="auto"/>
            <w:vAlign w:val="center"/>
          </w:tcPr>
          <w:p>
            <w:pPr>
              <w:pStyle w:val="231"/>
              <w:spacing w:line="240" w:lineRule="auto"/>
              <w:ind w:firstLine="0" w:firstLineChars="0"/>
              <w:jc w:val="center"/>
              <w:rPr>
                <w:rFonts w:hint="eastAsia" w:ascii="宋体" w:hAnsi="Times New Roman" w:eastAsia="宋体" w:cs="Times New Roman"/>
                <w:sz w:val="18"/>
                <w:lang w:val="en-US" w:eastAsia="zh-CN" w:bidi="ar-SA"/>
              </w:rPr>
            </w:pPr>
            <w:r>
              <w:rPr>
                <w:rFonts w:hint="eastAsia" w:hAnsi="宋体"/>
                <w:sz w:val="18"/>
                <w:szCs w:val="21"/>
              </w:rPr>
              <w:t>领用数量</w:t>
            </w:r>
          </w:p>
        </w:tc>
        <w:tc>
          <w:tcPr>
            <w:tcW w:w="1593" w:type="dxa"/>
            <w:tcBorders>
              <w:bottom w:val="single" w:color="auto" w:sz="8" w:space="0"/>
            </w:tcBorders>
            <w:shd w:val="clear" w:color="auto" w:fill="auto"/>
            <w:vAlign w:val="center"/>
          </w:tcPr>
          <w:p>
            <w:pPr>
              <w:pStyle w:val="231"/>
              <w:spacing w:line="240" w:lineRule="auto"/>
              <w:ind w:firstLine="0" w:firstLineChars="0"/>
              <w:jc w:val="center"/>
              <w:rPr>
                <w:rFonts w:hint="eastAsia" w:ascii="宋体" w:hAnsi="Times New Roman" w:eastAsia="宋体" w:cs="Times New Roman"/>
                <w:sz w:val="18"/>
                <w:lang w:val="en-US" w:eastAsia="zh-CN" w:bidi="ar-SA"/>
              </w:rPr>
            </w:pPr>
            <w:r>
              <w:rPr>
                <w:rFonts w:hint="eastAsia" w:hAnsi="宋体"/>
                <w:sz w:val="18"/>
                <w:szCs w:val="21"/>
              </w:rPr>
              <w:t>领用日期</w:t>
            </w:r>
          </w:p>
        </w:tc>
        <w:tc>
          <w:tcPr>
            <w:tcW w:w="1593" w:type="dxa"/>
            <w:tcBorders>
              <w:bottom w:val="single" w:color="auto" w:sz="8" w:space="0"/>
            </w:tcBorders>
            <w:shd w:val="clear" w:color="auto" w:fill="auto"/>
            <w:vAlign w:val="center"/>
          </w:tcPr>
          <w:p>
            <w:pPr>
              <w:pStyle w:val="231"/>
              <w:spacing w:line="240" w:lineRule="auto"/>
              <w:ind w:firstLine="0" w:firstLineChars="0"/>
              <w:jc w:val="center"/>
              <w:rPr>
                <w:rFonts w:hint="eastAsia" w:ascii="宋体" w:hAnsi="Times New Roman" w:eastAsia="宋体" w:cs="Times New Roman"/>
                <w:sz w:val="18"/>
                <w:lang w:val="en-US" w:eastAsia="zh-CN" w:bidi="ar-SA"/>
              </w:rPr>
            </w:pPr>
            <w:r>
              <w:rPr>
                <w:rFonts w:hint="eastAsia" w:hAnsi="宋体"/>
                <w:sz w:val="18"/>
                <w:szCs w:val="21"/>
              </w:rPr>
              <w:t>领用人签字</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0" w:type="dxa"/>
            <w:bottom w:w="0" w:type="dxa"/>
            <w:right w:w="100" w:type="dxa"/>
          </w:tblCellMar>
        </w:tblPrEx>
        <w:trPr>
          <w:jc w:val="center"/>
        </w:trPr>
        <w:tc>
          <w:tcPr>
            <w:tcW w:w="1592" w:type="dxa"/>
            <w:tcBorders>
              <w:top w:val="single" w:color="auto" w:sz="8" w:space="0"/>
            </w:tcBorders>
            <w:vAlign w:val="center"/>
          </w:tcPr>
          <w:p>
            <w:pPr>
              <w:pStyle w:val="179"/>
              <w:bidi w:val="0"/>
              <w:spacing w:line="240" w:lineRule="auto"/>
              <w:jc w:val="center"/>
              <w:rPr>
                <w:rFonts w:hint="eastAsia"/>
                <w:sz w:val="18"/>
              </w:rPr>
            </w:pPr>
          </w:p>
        </w:tc>
        <w:tc>
          <w:tcPr>
            <w:tcW w:w="1592" w:type="dxa"/>
            <w:tcBorders>
              <w:top w:val="single" w:color="auto" w:sz="8" w:space="0"/>
            </w:tcBorders>
            <w:vAlign w:val="center"/>
          </w:tcPr>
          <w:p>
            <w:pPr>
              <w:pStyle w:val="179"/>
              <w:bidi w:val="0"/>
              <w:spacing w:line="240" w:lineRule="auto"/>
              <w:jc w:val="center"/>
              <w:rPr>
                <w:rFonts w:hint="eastAsia"/>
                <w:sz w:val="18"/>
              </w:rPr>
            </w:pPr>
          </w:p>
        </w:tc>
        <w:tc>
          <w:tcPr>
            <w:tcW w:w="1592" w:type="dxa"/>
            <w:tcBorders>
              <w:top w:val="single" w:color="auto" w:sz="8" w:space="0"/>
            </w:tcBorders>
            <w:vAlign w:val="center"/>
          </w:tcPr>
          <w:p>
            <w:pPr>
              <w:pStyle w:val="179"/>
              <w:bidi w:val="0"/>
              <w:spacing w:line="240" w:lineRule="auto"/>
              <w:jc w:val="center"/>
              <w:rPr>
                <w:rFonts w:hint="eastAsia"/>
                <w:sz w:val="18"/>
              </w:rPr>
            </w:pPr>
          </w:p>
        </w:tc>
        <w:tc>
          <w:tcPr>
            <w:tcW w:w="1592" w:type="dxa"/>
            <w:tcBorders>
              <w:top w:val="single" w:color="auto" w:sz="8" w:space="0"/>
            </w:tcBorders>
            <w:vAlign w:val="center"/>
          </w:tcPr>
          <w:p>
            <w:pPr>
              <w:pStyle w:val="179"/>
              <w:bidi w:val="0"/>
              <w:spacing w:line="240" w:lineRule="auto"/>
              <w:jc w:val="center"/>
              <w:rPr>
                <w:rFonts w:hint="eastAsia"/>
                <w:sz w:val="18"/>
              </w:rPr>
            </w:pPr>
          </w:p>
        </w:tc>
        <w:tc>
          <w:tcPr>
            <w:tcW w:w="1593" w:type="dxa"/>
            <w:tcBorders>
              <w:top w:val="single" w:color="auto" w:sz="8" w:space="0"/>
            </w:tcBorders>
            <w:vAlign w:val="center"/>
          </w:tcPr>
          <w:p>
            <w:pPr>
              <w:pStyle w:val="179"/>
              <w:bidi w:val="0"/>
              <w:spacing w:line="240" w:lineRule="auto"/>
              <w:jc w:val="center"/>
              <w:rPr>
                <w:rFonts w:hint="eastAsia"/>
                <w:sz w:val="18"/>
              </w:rPr>
            </w:pPr>
          </w:p>
        </w:tc>
        <w:tc>
          <w:tcPr>
            <w:tcW w:w="1593" w:type="dxa"/>
            <w:tcBorders>
              <w:top w:val="single" w:color="auto" w:sz="8" w:space="0"/>
            </w:tcBorders>
            <w:vAlign w:val="center"/>
          </w:tcPr>
          <w:p>
            <w:pPr>
              <w:pStyle w:val="179"/>
              <w:bidi w:val="0"/>
              <w:spacing w:line="240" w:lineRule="auto"/>
              <w:jc w:val="center"/>
              <w:rPr>
                <w:rFonts w:hint="eastAsia"/>
                <w:sz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0" w:type="dxa"/>
            <w:bottom w:w="0" w:type="dxa"/>
            <w:right w:w="100" w:type="dxa"/>
          </w:tblCellMar>
        </w:tblPrEx>
        <w:trPr>
          <w:jc w:val="center"/>
        </w:trPr>
        <w:tc>
          <w:tcPr>
            <w:tcW w:w="1592" w:type="dxa"/>
            <w:vAlign w:val="center"/>
          </w:tcPr>
          <w:p>
            <w:pPr>
              <w:pStyle w:val="179"/>
              <w:bidi w:val="0"/>
              <w:spacing w:line="240" w:lineRule="auto"/>
              <w:jc w:val="center"/>
              <w:rPr>
                <w:rFonts w:hint="eastAsia"/>
                <w:sz w:val="18"/>
              </w:rPr>
            </w:pPr>
          </w:p>
        </w:tc>
        <w:tc>
          <w:tcPr>
            <w:tcW w:w="1592" w:type="dxa"/>
            <w:vAlign w:val="center"/>
          </w:tcPr>
          <w:p>
            <w:pPr>
              <w:pStyle w:val="179"/>
              <w:bidi w:val="0"/>
              <w:spacing w:line="240" w:lineRule="auto"/>
              <w:jc w:val="center"/>
              <w:rPr>
                <w:rFonts w:hint="eastAsia"/>
                <w:sz w:val="18"/>
              </w:rPr>
            </w:pPr>
          </w:p>
        </w:tc>
        <w:tc>
          <w:tcPr>
            <w:tcW w:w="1592" w:type="dxa"/>
            <w:vAlign w:val="center"/>
          </w:tcPr>
          <w:p>
            <w:pPr>
              <w:pStyle w:val="179"/>
              <w:bidi w:val="0"/>
              <w:spacing w:line="240" w:lineRule="auto"/>
              <w:jc w:val="center"/>
              <w:rPr>
                <w:rFonts w:hint="eastAsia"/>
                <w:sz w:val="18"/>
              </w:rPr>
            </w:pPr>
          </w:p>
        </w:tc>
        <w:tc>
          <w:tcPr>
            <w:tcW w:w="1592" w:type="dxa"/>
            <w:vAlign w:val="center"/>
          </w:tcPr>
          <w:p>
            <w:pPr>
              <w:pStyle w:val="179"/>
              <w:bidi w:val="0"/>
              <w:spacing w:line="240" w:lineRule="auto"/>
              <w:jc w:val="center"/>
              <w:rPr>
                <w:rFonts w:hint="eastAsia"/>
                <w:sz w:val="18"/>
              </w:rPr>
            </w:pPr>
          </w:p>
        </w:tc>
        <w:tc>
          <w:tcPr>
            <w:tcW w:w="1593" w:type="dxa"/>
            <w:vAlign w:val="center"/>
          </w:tcPr>
          <w:p>
            <w:pPr>
              <w:pStyle w:val="179"/>
              <w:bidi w:val="0"/>
              <w:spacing w:line="240" w:lineRule="auto"/>
              <w:jc w:val="center"/>
              <w:rPr>
                <w:rFonts w:hint="eastAsia"/>
                <w:sz w:val="18"/>
              </w:rPr>
            </w:pPr>
          </w:p>
        </w:tc>
        <w:tc>
          <w:tcPr>
            <w:tcW w:w="1593" w:type="dxa"/>
            <w:vAlign w:val="center"/>
          </w:tcPr>
          <w:p>
            <w:pPr>
              <w:pStyle w:val="179"/>
              <w:bidi w:val="0"/>
              <w:spacing w:line="240" w:lineRule="auto"/>
              <w:jc w:val="center"/>
              <w:rPr>
                <w:rFonts w:hint="eastAsia"/>
                <w:sz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0" w:type="dxa"/>
            <w:bottom w:w="0" w:type="dxa"/>
            <w:right w:w="100" w:type="dxa"/>
          </w:tblCellMar>
        </w:tblPrEx>
        <w:trPr>
          <w:jc w:val="center"/>
        </w:trPr>
        <w:tc>
          <w:tcPr>
            <w:tcW w:w="1592" w:type="dxa"/>
            <w:vAlign w:val="center"/>
          </w:tcPr>
          <w:p>
            <w:pPr>
              <w:pStyle w:val="179"/>
              <w:bidi w:val="0"/>
              <w:spacing w:line="240" w:lineRule="auto"/>
              <w:jc w:val="center"/>
              <w:rPr>
                <w:rFonts w:hint="eastAsia"/>
                <w:sz w:val="18"/>
              </w:rPr>
            </w:pPr>
          </w:p>
        </w:tc>
        <w:tc>
          <w:tcPr>
            <w:tcW w:w="1592" w:type="dxa"/>
            <w:vAlign w:val="center"/>
          </w:tcPr>
          <w:p>
            <w:pPr>
              <w:pStyle w:val="179"/>
              <w:bidi w:val="0"/>
              <w:spacing w:line="240" w:lineRule="auto"/>
              <w:jc w:val="center"/>
              <w:rPr>
                <w:rFonts w:hint="eastAsia"/>
                <w:sz w:val="18"/>
              </w:rPr>
            </w:pPr>
          </w:p>
        </w:tc>
        <w:tc>
          <w:tcPr>
            <w:tcW w:w="1592" w:type="dxa"/>
            <w:vAlign w:val="center"/>
          </w:tcPr>
          <w:p>
            <w:pPr>
              <w:pStyle w:val="179"/>
              <w:bidi w:val="0"/>
              <w:spacing w:line="240" w:lineRule="auto"/>
              <w:jc w:val="center"/>
              <w:rPr>
                <w:rFonts w:hint="eastAsia"/>
                <w:sz w:val="18"/>
              </w:rPr>
            </w:pPr>
          </w:p>
        </w:tc>
        <w:tc>
          <w:tcPr>
            <w:tcW w:w="1592" w:type="dxa"/>
            <w:vAlign w:val="center"/>
          </w:tcPr>
          <w:p>
            <w:pPr>
              <w:pStyle w:val="179"/>
              <w:bidi w:val="0"/>
              <w:spacing w:line="240" w:lineRule="auto"/>
              <w:jc w:val="center"/>
              <w:rPr>
                <w:rFonts w:hint="eastAsia"/>
                <w:sz w:val="18"/>
              </w:rPr>
            </w:pPr>
          </w:p>
        </w:tc>
        <w:tc>
          <w:tcPr>
            <w:tcW w:w="1593" w:type="dxa"/>
            <w:vAlign w:val="center"/>
          </w:tcPr>
          <w:p>
            <w:pPr>
              <w:pStyle w:val="179"/>
              <w:bidi w:val="0"/>
              <w:spacing w:line="240" w:lineRule="auto"/>
              <w:jc w:val="center"/>
              <w:rPr>
                <w:rFonts w:hint="eastAsia"/>
                <w:sz w:val="18"/>
              </w:rPr>
            </w:pPr>
          </w:p>
        </w:tc>
        <w:tc>
          <w:tcPr>
            <w:tcW w:w="1593" w:type="dxa"/>
            <w:vAlign w:val="center"/>
          </w:tcPr>
          <w:p>
            <w:pPr>
              <w:pStyle w:val="179"/>
              <w:bidi w:val="0"/>
              <w:spacing w:line="240" w:lineRule="auto"/>
              <w:jc w:val="center"/>
              <w:rPr>
                <w:rFonts w:hint="eastAsia"/>
                <w:sz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0" w:type="dxa"/>
            <w:bottom w:w="0" w:type="dxa"/>
            <w:right w:w="100" w:type="dxa"/>
          </w:tblCellMar>
        </w:tblPrEx>
        <w:trPr>
          <w:jc w:val="center"/>
        </w:trPr>
        <w:tc>
          <w:tcPr>
            <w:tcW w:w="1592" w:type="dxa"/>
            <w:vAlign w:val="center"/>
          </w:tcPr>
          <w:p>
            <w:pPr>
              <w:pStyle w:val="179"/>
              <w:bidi w:val="0"/>
              <w:spacing w:line="240" w:lineRule="auto"/>
              <w:jc w:val="center"/>
              <w:rPr>
                <w:rFonts w:hint="eastAsia"/>
                <w:sz w:val="18"/>
              </w:rPr>
            </w:pPr>
          </w:p>
        </w:tc>
        <w:tc>
          <w:tcPr>
            <w:tcW w:w="1592" w:type="dxa"/>
            <w:vAlign w:val="center"/>
          </w:tcPr>
          <w:p>
            <w:pPr>
              <w:pStyle w:val="179"/>
              <w:bidi w:val="0"/>
              <w:spacing w:line="240" w:lineRule="auto"/>
              <w:jc w:val="center"/>
              <w:rPr>
                <w:rFonts w:hint="eastAsia"/>
                <w:sz w:val="18"/>
              </w:rPr>
            </w:pPr>
          </w:p>
        </w:tc>
        <w:tc>
          <w:tcPr>
            <w:tcW w:w="1592" w:type="dxa"/>
            <w:vAlign w:val="center"/>
          </w:tcPr>
          <w:p>
            <w:pPr>
              <w:pStyle w:val="179"/>
              <w:bidi w:val="0"/>
              <w:spacing w:line="240" w:lineRule="auto"/>
              <w:jc w:val="center"/>
              <w:rPr>
                <w:rFonts w:hint="eastAsia"/>
                <w:sz w:val="18"/>
              </w:rPr>
            </w:pPr>
          </w:p>
        </w:tc>
        <w:tc>
          <w:tcPr>
            <w:tcW w:w="1592" w:type="dxa"/>
            <w:vAlign w:val="center"/>
          </w:tcPr>
          <w:p>
            <w:pPr>
              <w:pStyle w:val="179"/>
              <w:bidi w:val="0"/>
              <w:spacing w:line="240" w:lineRule="auto"/>
              <w:jc w:val="center"/>
              <w:rPr>
                <w:rFonts w:hint="eastAsia"/>
                <w:sz w:val="18"/>
              </w:rPr>
            </w:pPr>
          </w:p>
        </w:tc>
        <w:tc>
          <w:tcPr>
            <w:tcW w:w="1593" w:type="dxa"/>
            <w:vAlign w:val="center"/>
          </w:tcPr>
          <w:p>
            <w:pPr>
              <w:pStyle w:val="179"/>
              <w:bidi w:val="0"/>
              <w:spacing w:line="240" w:lineRule="auto"/>
              <w:jc w:val="center"/>
              <w:rPr>
                <w:rFonts w:hint="eastAsia"/>
                <w:sz w:val="18"/>
              </w:rPr>
            </w:pPr>
          </w:p>
        </w:tc>
        <w:tc>
          <w:tcPr>
            <w:tcW w:w="1593" w:type="dxa"/>
            <w:vAlign w:val="center"/>
          </w:tcPr>
          <w:p>
            <w:pPr>
              <w:pStyle w:val="179"/>
              <w:bidi w:val="0"/>
              <w:spacing w:line="240" w:lineRule="auto"/>
              <w:jc w:val="center"/>
              <w:rPr>
                <w:rFonts w:hint="eastAsia"/>
                <w:sz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0" w:type="dxa"/>
            <w:bottom w:w="0" w:type="dxa"/>
            <w:right w:w="100" w:type="dxa"/>
          </w:tblCellMar>
        </w:tblPrEx>
        <w:trPr>
          <w:jc w:val="center"/>
        </w:trPr>
        <w:tc>
          <w:tcPr>
            <w:tcW w:w="1592" w:type="dxa"/>
            <w:tcBorders>
              <w:bottom w:val="single" w:color="auto" w:sz="8" w:space="0"/>
            </w:tcBorders>
            <w:vAlign w:val="center"/>
          </w:tcPr>
          <w:p>
            <w:pPr>
              <w:pStyle w:val="179"/>
              <w:bidi w:val="0"/>
              <w:spacing w:line="240" w:lineRule="auto"/>
              <w:jc w:val="center"/>
              <w:rPr>
                <w:rFonts w:hint="eastAsia"/>
                <w:sz w:val="18"/>
              </w:rPr>
            </w:pPr>
          </w:p>
        </w:tc>
        <w:tc>
          <w:tcPr>
            <w:tcW w:w="1592" w:type="dxa"/>
            <w:tcBorders>
              <w:bottom w:val="single" w:color="auto" w:sz="8" w:space="0"/>
            </w:tcBorders>
            <w:vAlign w:val="center"/>
          </w:tcPr>
          <w:p>
            <w:pPr>
              <w:pStyle w:val="179"/>
              <w:bidi w:val="0"/>
              <w:spacing w:line="240" w:lineRule="auto"/>
              <w:jc w:val="center"/>
              <w:rPr>
                <w:rFonts w:hint="eastAsia"/>
                <w:sz w:val="18"/>
              </w:rPr>
            </w:pPr>
          </w:p>
        </w:tc>
        <w:tc>
          <w:tcPr>
            <w:tcW w:w="1592" w:type="dxa"/>
            <w:tcBorders>
              <w:bottom w:val="single" w:color="auto" w:sz="8" w:space="0"/>
            </w:tcBorders>
            <w:vAlign w:val="center"/>
          </w:tcPr>
          <w:p>
            <w:pPr>
              <w:pStyle w:val="179"/>
              <w:bidi w:val="0"/>
              <w:spacing w:line="240" w:lineRule="auto"/>
              <w:jc w:val="center"/>
              <w:rPr>
                <w:rFonts w:hint="eastAsia"/>
                <w:sz w:val="18"/>
              </w:rPr>
            </w:pPr>
          </w:p>
        </w:tc>
        <w:tc>
          <w:tcPr>
            <w:tcW w:w="1592" w:type="dxa"/>
            <w:tcBorders>
              <w:bottom w:val="single" w:color="auto" w:sz="8" w:space="0"/>
            </w:tcBorders>
            <w:vAlign w:val="center"/>
          </w:tcPr>
          <w:p>
            <w:pPr>
              <w:pStyle w:val="179"/>
              <w:bidi w:val="0"/>
              <w:spacing w:line="240" w:lineRule="auto"/>
              <w:jc w:val="center"/>
              <w:rPr>
                <w:rFonts w:hint="eastAsia"/>
                <w:sz w:val="18"/>
              </w:rPr>
            </w:pPr>
          </w:p>
        </w:tc>
        <w:tc>
          <w:tcPr>
            <w:tcW w:w="1593" w:type="dxa"/>
            <w:tcBorders>
              <w:bottom w:val="single" w:color="auto" w:sz="8" w:space="0"/>
            </w:tcBorders>
            <w:vAlign w:val="center"/>
          </w:tcPr>
          <w:p>
            <w:pPr>
              <w:pStyle w:val="179"/>
              <w:bidi w:val="0"/>
              <w:spacing w:line="240" w:lineRule="auto"/>
              <w:jc w:val="center"/>
              <w:rPr>
                <w:rFonts w:hint="eastAsia"/>
                <w:sz w:val="18"/>
              </w:rPr>
            </w:pPr>
          </w:p>
        </w:tc>
        <w:tc>
          <w:tcPr>
            <w:tcW w:w="1593" w:type="dxa"/>
            <w:tcBorders>
              <w:bottom w:val="single" w:color="auto" w:sz="8" w:space="0"/>
            </w:tcBorders>
            <w:vAlign w:val="center"/>
          </w:tcPr>
          <w:p>
            <w:pPr>
              <w:pStyle w:val="179"/>
              <w:bidi w:val="0"/>
              <w:spacing w:line="240" w:lineRule="auto"/>
              <w:jc w:val="center"/>
              <w:rPr>
                <w:rFonts w:hint="eastAsia"/>
                <w:sz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0" w:type="dxa"/>
            <w:bottom w:w="0" w:type="dxa"/>
            <w:right w:w="100" w:type="dxa"/>
          </w:tblCellMar>
        </w:tblPrEx>
        <w:trPr>
          <w:jc w:val="center"/>
        </w:trPr>
        <w:tc>
          <w:tcPr>
            <w:tcW w:w="9554" w:type="dxa"/>
            <w:gridSpan w:val="6"/>
            <w:tcBorders>
              <w:top w:val="single" w:color="auto" w:sz="8" w:space="0"/>
            </w:tcBorders>
            <w:vAlign w:val="center"/>
          </w:tcPr>
          <w:p>
            <w:pPr>
              <w:pStyle w:val="180"/>
              <w:numPr>
                <w:ilvl w:val="0"/>
                <w:numId w:val="0"/>
              </w:numPr>
              <w:bidi w:val="0"/>
              <w:spacing w:line="240" w:lineRule="auto"/>
              <w:ind w:left="363" w:leftChars="0"/>
              <w:rPr>
                <w:rFonts w:hint="eastAsia"/>
              </w:rPr>
            </w:pPr>
            <w:r>
              <w:rPr>
                <w:rFonts w:hint="eastAsia"/>
              </w:rPr>
              <w:t>常见护听器包括：</w:t>
            </w:r>
          </w:p>
          <w:p>
            <w:pPr>
              <w:pStyle w:val="180"/>
              <w:numPr>
                <w:ilvl w:val="0"/>
                <w:numId w:val="0"/>
              </w:numPr>
              <w:bidi w:val="0"/>
              <w:spacing w:line="240" w:lineRule="auto"/>
              <w:ind w:left="363" w:leftChars="0"/>
              <w:rPr>
                <w:rFonts w:hint="eastAsia"/>
              </w:rPr>
            </w:pPr>
            <w:r>
              <w:rPr>
                <w:rFonts w:hint="eastAsia"/>
              </w:rPr>
              <w:t>（1）耳罩式护听器：头顶式、颈后式、下颏式、多项环箍式。</w:t>
            </w:r>
          </w:p>
          <w:p>
            <w:pPr>
              <w:pStyle w:val="180"/>
              <w:numPr>
                <w:ilvl w:val="0"/>
                <w:numId w:val="0"/>
              </w:numPr>
              <w:bidi w:val="0"/>
              <w:spacing w:line="240" w:lineRule="auto"/>
              <w:ind w:left="363" w:leftChars="0"/>
              <w:rPr>
                <w:rFonts w:hint="eastAsia"/>
              </w:rPr>
            </w:pPr>
            <w:r>
              <w:rPr>
                <w:rFonts w:hint="eastAsia"/>
              </w:rPr>
              <w:t>（2）耳塞式护听器：塑形耳塞、预成形耳塞、定制耳塞。</w:t>
            </w:r>
          </w:p>
        </w:tc>
      </w:tr>
    </w:tbl>
    <w:p>
      <w:pPr>
        <w:pStyle w:val="57"/>
        <w:bidi w:val="0"/>
        <w:ind w:left="0" w:leftChars="0" w:firstLine="0" w:firstLineChars="0"/>
        <w:rPr>
          <w:rFonts w:hint="eastAsia"/>
          <w:lang w:eastAsia="zh-CN"/>
        </w:rPr>
      </w:pPr>
    </w:p>
    <w:p>
      <w:pPr>
        <w:pStyle w:val="57"/>
        <w:bidi w:val="0"/>
        <w:rPr>
          <w:rFonts w:hint="eastAsia"/>
          <w:lang w:eastAsia="zh-CN"/>
        </w:rPr>
      </w:pPr>
    </w:p>
    <w:p>
      <w:pPr>
        <w:pStyle w:val="57"/>
        <w:rPr>
          <w:rFonts w:hint="eastAsia"/>
          <w:lang w:eastAsia="zh-CN"/>
        </w:rPr>
      </w:pPr>
    </w:p>
    <w:p>
      <w:pPr>
        <w:pStyle w:val="57"/>
        <w:bidi w:val="0"/>
        <w:ind w:left="0" w:leftChars="0" w:firstLine="0" w:firstLineChars="0"/>
        <w:rPr>
          <w:rFonts w:hint="eastAsia"/>
          <w:lang w:eastAsia="zh-CN"/>
        </w:rPr>
      </w:pPr>
    </w:p>
    <w:p>
      <w:pPr>
        <w:pStyle w:val="57"/>
        <w:rPr>
          <w:rFonts w:hint="eastAsia"/>
          <w:lang w:eastAsia="zh-CN"/>
        </w:rPr>
      </w:pPr>
    </w:p>
    <w:p>
      <w:pPr>
        <w:pStyle w:val="57"/>
        <w:bidi w:val="0"/>
        <w:rPr>
          <w:rFonts w:hint="eastAsia"/>
          <w:lang w:eastAsia="zh-CN"/>
        </w:rPr>
        <w:sectPr>
          <w:headerReference r:id="rId30" w:type="default"/>
          <w:footerReference r:id="rId32" w:type="default"/>
          <w:headerReference r:id="rId31" w:type="even"/>
          <w:footerReference r:id="rId33" w:type="even"/>
          <w:pgSz w:w="11906" w:h="16838"/>
          <w:pgMar w:top="1928" w:right="1134" w:bottom="1134" w:left="1134" w:header="1418" w:footer="1134" w:gutter="284"/>
          <w:pgNumType w:fmt="decimal"/>
          <w:cols w:space="425" w:num="1"/>
          <w:formProt w:val="0"/>
          <w:docGrid w:type="lines" w:linePitch="312" w:charSpace="0"/>
        </w:sectPr>
      </w:pPr>
    </w:p>
    <w:p>
      <w:pPr>
        <w:pStyle w:val="199"/>
        <w:bidi w:val="0"/>
        <w:rPr>
          <w:rFonts w:hint="eastAsia"/>
          <w:lang w:eastAsia="zh-CN"/>
        </w:rPr>
      </w:pPr>
    </w:p>
    <w:p>
      <w:pPr>
        <w:pStyle w:val="200"/>
        <w:bidi w:val="0"/>
        <w:rPr>
          <w:rFonts w:hint="eastAsia"/>
          <w:lang w:eastAsia="zh-CN"/>
        </w:rPr>
      </w:pPr>
    </w:p>
    <w:p>
      <w:pPr>
        <w:pStyle w:val="77"/>
        <w:bidi w:val="0"/>
        <w:rPr>
          <w:rFonts w:hint="eastAsia"/>
          <w:lang w:eastAsia="zh-CN"/>
        </w:rPr>
      </w:pPr>
      <w:bookmarkStart w:id="66" w:name="_Toc18090"/>
      <w:r>
        <w:rPr>
          <w:rFonts w:hint="eastAsia"/>
          <w:lang w:eastAsia="zh-CN"/>
        </w:rPr>
        <w:br w:type="textWrapping"/>
      </w:r>
      <w:r>
        <w:rPr>
          <w:rFonts w:hint="eastAsia"/>
          <w:lang w:eastAsia="zh-CN"/>
        </w:rPr>
        <w:t>（资料性）</w:t>
      </w:r>
      <w:r>
        <w:rPr>
          <w:rFonts w:hint="eastAsia"/>
          <w:lang w:eastAsia="zh-CN"/>
        </w:rPr>
        <w:br w:type="textWrapping"/>
      </w:r>
      <w:r>
        <w:rPr>
          <w:rFonts w:hint="eastAsia"/>
          <w:lang w:eastAsia="zh-CN"/>
        </w:rPr>
        <w:t>职业健康检查结果告知记录示例</w:t>
      </w:r>
      <w:bookmarkEnd w:id="66"/>
    </w:p>
    <w:p>
      <w:pPr>
        <w:pStyle w:val="231"/>
        <w:ind w:firstLine="210" w:firstLineChars="100"/>
        <w:jc w:val="left"/>
        <w:rPr>
          <w:rFonts w:hint="eastAsia"/>
          <w:lang w:eastAsia="zh-CN"/>
        </w:rPr>
      </w:pPr>
      <w:r>
        <w:rPr>
          <w:rFonts w:hint="eastAsia" w:hAnsi="宋体"/>
          <w:szCs w:val="21"/>
        </w:rPr>
        <w:t>职业健康检查结果告知记录见表</w:t>
      </w:r>
      <w:r>
        <w:rPr>
          <w:rFonts w:hint="eastAsia" w:hAnsi="宋体"/>
          <w:szCs w:val="21"/>
          <w:lang w:val="en-US" w:eastAsia="zh-CN"/>
        </w:rPr>
        <w:t>F</w:t>
      </w:r>
      <w:r>
        <w:rPr>
          <w:rFonts w:hint="eastAsia" w:hAnsi="宋体"/>
          <w:szCs w:val="21"/>
        </w:rPr>
        <w:t>.</w:t>
      </w:r>
      <w:r>
        <w:rPr>
          <w:rFonts w:hint="eastAsia" w:hAnsi="宋体"/>
          <w:szCs w:val="21"/>
          <w:lang w:val="en-US" w:eastAsia="zh-CN"/>
        </w:rPr>
        <w:t>1</w:t>
      </w:r>
      <w:r>
        <w:rPr>
          <w:rFonts w:hint="eastAsia" w:hAnsi="宋体"/>
          <w:szCs w:val="21"/>
        </w:rPr>
        <w:t>。</w:t>
      </w:r>
    </w:p>
    <w:p>
      <w:pPr>
        <w:pStyle w:val="78"/>
        <w:bidi w:val="0"/>
        <w:rPr>
          <w:rFonts w:hint="eastAsia"/>
          <w:lang w:eastAsia="zh-CN"/>
        </w:rPr>
      </w:pPr>
      <w:r>
        <w:rPr>
          <w:rFonts w:hint="eastAsia" w:ascii="黑体" w:hAnsi="黑体" w:eastAsia="黑体"/>
          <w:szCs w:val="21"/>
        </w:rPr>
        <w:t>职业健康检查结果告知记录</w:t>
      </w:r>
    </w:p>
    <w:tbl>
      <w:tblPr>
        <w:tblStyle w:val="28"/>
        <w:tblW w:w="9562"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100" w:type="dxa"/>
          <w:bottom w:w="0" w:type="dxa"/>
          <w:right w:w="100" w:type="dxa"/>
        </w:tblCellMar>
      </w:tblPr>
      <w:tblGrid>
        <w:gridCol w:w="1912"/>
        <w:gridCol w:w="1912"/>
        <w:gridCol w:w="1912"/>
        <w:gridCol w:w="1913"/>
        <w:gridCol w:w="1913"/>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0" w:type="dxa"/>
            <w:bottom w:w="0" w:type="dxa"/>
            <w:right w:w="100" w:type="dxa"/>
          </w:tblCellMar>
        </w:tblPrEx>
        <w:trPr>
          <w:tblHeader/>
          <w:jc w:val="center"/>
        </w:trPr>
        <w:tc>
          <w:tcPr>
            <w:tcW w:w="1912" w:type="dxa"/>
            <w:tcBorders>
              <w:bottom w:val="single" w:color="auto" w:sz="8" w:space="0"/>
            </w:tcBorders>
            <w:shd w:val="clear" w:color="auto" w:fill="auto"/>
            <w:vAlign w:val="center"/>
          </w:tcPr>
          <w:p>
            <w:pPr>
              <w:pStyle w:val="231"/>
              <w:spacing w:line="240" w:lineRule="auto"/>
              <w:ind w:firstLine="0" w:firstLineChars="0"/>
              <w:jc w:val="center"/>
              <w:rPr>
                <w:rFonts w:hint="default" w:ascii="宋体" w:hAnsi="宋体" w:eastAsia="宋体" w:cs="Times New Roman"/>
                <w:sz w:val="18"/>
                <w:szCs w:val="21"/>
                <w:lang w:val="en-US" w:eastAsia="zh-CN" w:bidi="ar-SA"/>
              </w:rPr>
            </w:pPr>
            <w:r>
              <w:rPr>
                <w:rFonts w:hint="eastAsia" w:hAnsi="宋体"/>
                <w:sz w:val="18"/>
                <w:szCs w:val="21"/>
              </w:rPr>
              <w:t>部门</w:t>
            </w:r>
            <w:r>
              <w:rPr>
                <w:rFonts w:hint="eastAsia" w:hAnsi="宋体"/>
                <w:sz w:val="18"/>
                <w:szCs w:val="21"/>
                <w:lang w:val="en-US" w:eastAsia="zh-CN"/>
              </w:rPr>
              <w:t>/岗位</w:t>
            </w:r>
          </w:p>
        </w:tc>
        <w:tc>
          <w:tcPr>
            <w:tcW w:w="1912" w:type="dxa"/>
            <w:tcBorders>
              <w:bottom w:val="single" w:color="auto" w:sz="8" w:space="0"/>
            </w:tcBorders>
            <w:shd w:val="clear" w:color="auto" w:fill="auto"/>
            <w:vAlign w:val="center"/>
          </w:tcPr>
          <w:p>
            <w:pPr>
              <w:pStyle w:val="231"/>
              <w:spacing w:line="240" w:lineRule="auto"/>
              <w:ind w:firstLine="0" w:firstLineChars="0"/>
              <w:jc w:val="center"/>
              <w:rPr>
                <w:rFonts w:hint="eastAsia" w:ascii="宋体" w:hAnsi="宋体" w:eastAsia="宋体" w:cs="Times New Roman"/>
                <w:sz w:val="18"/>
                <w:szCs w:val="21"/>
                <w:lang w:val="en-US" w:eastAsia="zh-CN" w:bidi="ar-SA"/>
              </w:rPr>
            </w:pPr>
            <w:r>
              <w:rPr>
                <w:rFonts w:hint="eastAsia" w:hAnsi="宋体"/>
                <w:sz w:val="18"/>
                <w:szCs w:val="21"/>
              </w:rPr>
              <w:t>姓名</w:t>
            </w:r>
          </w:p>
        </w:tc>
        <w:tc>
          <w:tcPr>
            <w:tcW w:w="1912" w:type="dxa"/>
            <w:tcBorders>
              <w:bottom w:val="single" w:color="auto" w:sz="8" w:space="0"/>
            </w:tcBorders>
            <w:shd w:val="clear" w:color="auto" w:fill="auto"/>
            <w:vAlign w:val="center"/>
          </w:tcPr>
          <w:p>
            <w:pPr>
              <w:pStyle w:val="231"/>
              <w:spacing w:line="240" w:lineRule="auto"/>
              <w:ind w:firstLine="0" w:firstLineChars="0"/>
              <w:jc w:val="center"/>
              <w:rPr>
                <w:rFonts w:hint="eastAsia" w:ascii="宋体" w:hAnsi="宋体" w:eastAsia="宋体" w:cs="Times New Roman"/>
                <w:sz w:val="18"/>
                <w:szCs w:val="21"/>
                <w:lang w:val="en-US" w:eastAsia="zh-CN" w:bidi="ar-SA"/>
              </w:rPr>
            </w:pPr>
            <w:r>
              <w:rPr>
                <w:rFonts w:hint="eastAsia" w:hAnsi="宋体"/>
                <w:sz w:val="18"/>
                <w:szCs w:val="21"/>
              </w:rPr>
              <w:t>体检类别（</w:t>
            </w:r>
            <w:r>
              <w:rPr>
                <w:rFonts w:hint="eastAsia" w:hAnsi="宋体"/>
                <w:sz w:val="18"/>
                <w:szCs w:val="21"/>
                <w:lang w:eastAsia="zh-CN"/>
              </w:rPr>
              <w:t>上岗前</w:t>
            </w:r>
            <w:r>
              <w:rPr>
                <w:rFonts w:hint="eastAsia" w:hAnsi="宋体"/>
                <w:sz w:val="18"/>
                <w:szCs w:val="21"/>
              </w:rPr>
              <w:t>、在岗</w:t>
            </w:r>
            <w:r>
              <w:rPr>
                <w:rFonts w:hint="eastAsia" w:hAnsi="宋体"/>
                <w:sz w:val="18"/>
                <w:szCs w:val="21"/>
                <w:lang w:eastAsia="zh-CN"/>
              </w:rPr>
              <w:t>期间</w:t>
            </w:r>
            <w:r>
              <w:rPr>
                <w:rFonts w:hint="eastAsia" w:hAnsi="宋体"/>
                <w:sz w:val="18"/>
                <w:szCs w:val="21"/>
              </w:rPr>
              <w:t>、离岗</w:t>
            </w:r>
            <w:r>
              <w:rPr>
                <w:rFonts w:hint="eastAsia" w:hAnsi="宋体"/>
                <w:sz w:val="18"/>
                <w:szCs w:val="21"/>
                <w:lang w:eastAsia="zh-CN"/>
              </w:rPr>
              <w:t>时</w:t>
            </w:r>
            <w:r>
              <w:rPr>
                <w:rFonts w:hint="eastAsia" w:hAnsi="宋体"/>
                <w:sz w:val="18"/>
                <w:szCs w:val="21"/>
              </w:rPr>
              <w:t>）</w:t>
            </w:r>
          </w:p>
        </w:tc>
        <w:tc>
          <w:tcPr>
            <w:tcW w:w="1913" w:type="dxa"/>
            <w:tcBorders>
              <w:bottom w:val="single" w:color="auto" w:sz="8" w:space="0"/>
            </w:tcBorders>
            <w:shd w:val="clear" w:color="auto" w:fill="auto"/>
            <w:vAlign w:val="center"/>
          </w:tcPr>
          <w:p>
            <w:pPr>
              <w:pStyle w:val="231"/>
              <w:spacing w:line="240" w:lineRule="auto"/>
              <w:ind w:firstLine="0" w:firstLineChars="0"/>
              <w:jc w:val="center"/>
              <w:rPr>
                <w:rFonts w:hint="eastAsia" w:ascii="宋体" w:hAnsi="宋体" w:eastAsia="宋体" w:cs="Times New Roman"/>
                <w:sz w:val="18"/>
                <w:szCs w:val="21"/>
                <w:lang w:val="en-US" w:eastAsia="zh-CN" w:bidi="ar-SA"/>
              </w:rPr>
            </w:pPr>
            <w:r>
              <w:rPr>
                <w:rFonts w:hint="eastAsia" w:hAnsi="宋体"/>
                <w:sz w:val="18"/>
                <w:szCs w:val="21"/>
              </w:rPr>
              <w:t>体检结果是否知悉</w:t>
            </w:r>
          </w:p>
        </w:tc>
        <w:tc>
          <w:tcPr>
            <w:tcW w:w="1913" w:type="dxa"/>
            <w:tcBorders>
              <w:bottom w:val="single" w:color="auto" w:sz="8" w:space="0"/>
            </w:tcBorders>
            <w:shd w:val="clear" w:color="auto" w:fill="auto"/>
            <w:vAlign w:val="center"/>
          </w:tcPr>
          <w:p>
            <w:pPr>
              <w:pStyle w:val="231"/>
              <w:spacing w:line="240" w:lineRule="auto"/>
              <w:ind w:firstLine="0" w:firstLineChars="0"/>
              <w:jc w:val="center"/>
              <w:rPr>
                <w:rFonts w:hint="eastAsia" w:ascii="宋体" w:hAnsi="宋体" w:eastAsia="宋体" w:cs="Times New Roman"/>
                <w:sz w:val="18"/>
                <w:szCs w:val="21"/>
                <w:lang w:val="en-US" w:eastAsia="zh-CN" w:bidi="ar-SA"/>
              </w:rPr>
            </w:pPr>
            <w:r>
              <w:rPr>
                <w:rFonts w:hint="eastAsia" w:hAnsi="宋体"/>
                <w:sz w:val="18"/>
                <w:szCs w:val="21"/>
              </w:rPr>
              <w:t>签名</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0" w:type="dxa"/>
            <w:bottom w:w="0" w:type="dxa"/>
            <w:right w:w="100" w:type="dxa"/>
          </w:tblCellMar>
        </w:tblPrEx>
        <w:trPr>
          <w:jc w:val="center"/>
        </w:trPr>
        <w:tc>
          <w:tcPr>
            <w:tcW w:w="1912" w:type="dxa"/>
            <w:tcBorders>
              <w:top w:val="single" w:color="auto" w:sz="8" w:space="0"/>
            </w:tcBorders>
            <w:vAlign w:val="center"/>
          </w:tcPr>
          <w:p>
            <w:pPr>
              <w:pStyle w:val="179"/>
              <w:bidi w:val="0"/>
              <w:spacing w:line="240" w:lineRule="auto"/>
              <w:jc w:val="center"/>
              <w:rPr>
                <w:rFonts w:hint="eastAsia"/>
                <w:sz w:val="18"/>
                <w:lang w:eastAsia="zh-CN"/>
              </w:rPr>
            </w:pPr>
          </w:p>
        </w:tc>
        <w:tc>
          <w:tcPr>
            <w:tcW w:w="1912" w:type="dxa"/>
            <w:tcBorders>
              <w:top w:val="single" w:color="auto" w:sz="8" w:space="0"/>
            </w:tcBorders>
            <w:vAlign w:val="center"/>
          </w:tcPr>
          <w:p>
            <w:pPr>
              <w:pStyle w:val="179"/>
              <w:bidi w:val="0"/>
              <w:spacing w:line="240" w:lineRule="auto"/>
              <w:jc w:val="center"/>
              <w:rPr>
                <w:rFonts w:hint="eastAsia"/>
                <w:sz w:val="18"/>
                <w:lang w:eastAsia="zh-CN"/>
              </w:rPr>
            </w:pPr>
          </w:p>
        </w:tc>
        <w:tc>
          <w:tcPr>
            <w:tcW w:w="1912" w:type="dxa"/>
            <w:tcBorders>
              <w:top w:val="single" w:color="auto" w:sz="8" w:space="0"/>
            </w:tcBorders>
            <w:vAlign w:val="center"/>
          </w:tcPr>
          <w:p>
            <w:pPr>
              <w:pStyle w:val="179"/>
              <w:bidi w:val="0"/>
              <w:spacing w:line="240" w:lineRule="auto"/>
              <w:jc w:val="center"/>
              <w:rPr>
                <w:rFonts w:hint="eastAsia"/>
                <w:sz w:val="18"/>
                <w:lang w:eastAsia="zh-CN"/>
              </w:rPr>
            </w:pPr>
          </w:p>
        </w:tc>
        <w:tc>
          <w:tcPr>
            <w:tcW w:w="1913" w:type="dxa"/>
            <w:tcBorders>
              <w:top w:val="single" w:color="auto" w:sz="8" w:space="0"/>
            </w:tcBorders>
            <w:vAlign w:val="center"/>
          </w:tcPr>
          <w:p>
            <w:pPr>
              <w:pStyle w:val="179"/>
              <w:bidi w:val="0"/>
              <w:spacing w:line="240" w:lineRule="auto"/>
              <w:jc w:val="center"/>
              <w:rPr>
                <w:rFonts w:hint="eastAsia"/>
                <w:sz w:val="18"/>
                <w:lang w:eastAsia="zh-CN"/>
              </w:rPr>
            </w:pPr>
          </w:p>
        </w:tc>
        <w:tc>
          <w:tcPr>
            <w:tcW w:w="1913" w:type="dxa"/>
            <w:tcBorders>
              <w:top w:val="single" w:color="auto" w:sz="8" w:space="0"/>
            </w:tcBorders>
            <w:vAlign w:val="center"/>
          </w:tcPr>
          <w:p>
            <w:pPr>
              <w:pStyle w:val="179"/>
              <w:bidi w:val="0"/>
              <w:spacing w:line="240" w:lineRule="auto"/>
              <w:jc w:val="center"/>
              <w:rPr>
                <w:rFonts w:hint="eastAsia"/>
                <w:sz w:val="18"/>
                <w:lang w:eastAsia="zh-CN"/>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0" w:type="dxa"/>
            <w:bottom w:w="0" w:type="dxa"/>
            <w:right w:w="100" w:type="dxa"/>
          </w:tblCellMar>
        </w:tblPrEx>
        <w:trPr>
          <w:jc w:val="center"/>
        </w:trPr>
        <w:tc>
          <w:tcPr>
            <w:tcW w:w="1912" w:type="dxa"/>
            <w:vAlign w:val="center"/>
          </w:tcPr>
          <w:p>
            <w:pPr>
              <w:pStyle w:val="179"/>
              <w:bidi w:val="0"/>
              <w:spacing w:line="240" w:lineRule="auto"/>
              <w:jc w:val="center"/>
              <w:rPr>
                <w:rFonts w:hint="eastAsia"/>
                <w:sz w:val="18"/>
                <w:lang w:eastAsia="zh-CN"/>
              </w:rPr>
            </w:pPr>
          </w:p>
        </w:tc>
        <w:tc>
          <w:tcPr>
            <w:tcW w:w="1912" w:type="dxa"/>
            <w:vAlign w:val="center"/>
          </w:tcPr>
          <w:p>
            <w:pPr>
              <w:pStyle w:val="179"/>
              <w:bidi w:val="0"/>
              <w:spacing w:line="240" w:lineRule="auto"/>
              <w:jc w:val="center"/>
              <w:rPr>
                <w:rFonts w:hint="eastAsia"/>
                <w:sz w:val="18"/>
                <w:lang w:eastAsia="zh-CN"/>
              </w:rPr>
            </w:pPr>
          </w:p>
        </w:tc>
        <w:tc>
          <w:tcPr>
            <w:tcW w:w="1912" w:type="dxa"/>
            <w:vAlign w:val="center"/>
          </w:tcPr>
          <w:p>
            <w:pPr>
              <w:pStyle w:val="179"/>
              <w:bidi w:val="0"/>
              <w:spacing w:line="240" w:lineRule="auto"/>
              <w:jc w:val="center"/>
              <w:rPr>
                <w:rFonts w:hint="eastAsia"/>
                <w:sz w:val="18"/>
                <w:lang w:eastAsia="zh-CN"/>
              </w:rPr>
            </w:pPr>
          </w:p>
        </w:tc>
        <w:tc>
          <w:tcPr>
            <w:tcW w:w="1913" w:type="dxa"/>
            <w:vAlign w:val="center"/>
          </w:tcPr>
          <w:p>
            <w:pPr>
              <w:pStyle w:val="179"/>
              <w:bidi w:val="0"/>
              <w:spacing w:line="240" w:lineRule="auto"/>
              <w:jc w:val="center"/>
              <w:rPr>
                <w:rFonts w:hint="eastAsia"/>
                <w:sz w:val="18"/>
                <w:lang w:eastAsia="zh-CN"/>
              </w:rPr>
            </w:pPr>
          </w:p>
        </w:tc>
        <w:tc>
          <w:tcPr>
            <w:tcW w:w="1913" w:type="dxa"/>
            <w:vAlign w:val="center"/>
          </w:tcPr>
          <w:p>
            <w:pPr>
              <w:pStyle w:val="179"/>
              <w:bidi w:val="0"/>
              <w:spacing w:line="240" w:lineRule="auto"/>
              <w:jc w:val="center"/>
              <w:rPr>
                <w:rFonts w:hint="eastAsia"/>
                <w:sz w:val="18"/>
                <w:lang w:eastAsia="zh-CN"/>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0" w:type="dxa"/>
            <w:bottom w:w="0" w:type="dxa"/>
            <w:right w:w="100" w:type="dxa"/>
          </w:tblCellMar>
        </w:tblPrEx>
        <w:trPr>
          <w:jc w:val="center"/>
        </w:trPr>
        <w:tc>
          <w:tcPr>
            <w:tcW w:w="1912" w:type="dxa"/>
            <w:vAlign w:val="center"/>
          </w:tcPr>
          <w:p>
            <w:pPr>
              <w:pStyle w:val="179"/>
              <w:bidi w:val="0"/>
              <w:spacing w:line="240" w:lineRule="auto"/>
              <w:jc w:val="center"/>
              <w:rPr>
                <w:rFonts w:hint="eastAsia"/>
                <w:sz w:val="18"/>
                <w:lang w:eastAsia="zh-CN"/>
              </w:rPr>
            </w:pPr>
          </w:p>
        </w:tc>
        <w:tc>
          <w:tcPr>
            <w:tcW w:w="1912" w:type="dxa"/>
            <w:vAlign w:val="center"/>
          </w:tcPr>
          <w:p>
            <w:pPr>
              <w:pStyle w:val="179"/>
              <w:bidi w:val="0"/>
              <w:spacing w:line="240" w:lineRule="auto"/>
              <w:jc w:val="center"/>
              <w:rPr>
                <w:rFonts w:hint="eastAsia"/>
                <w:sz w:val="18"/>
                <w:lang w:eastAsia="zh-CN"/>
              </w:rPr>
            </w:pPr>
          </w:p>
        </w:tc>
        <w:tc>
          <w:tcPr>
            <w:tcW w:w="1912" w:type="dxa"/>
            <w:vAlign w:val="center"/>
          </w:tcPr>
          <w:p>
            <w:pPr>
              <w:pStyle w:val="179"/>
              <w:bidi w:val="0"/>
              <w:spacing w:line="240" w:lineRule="auto"/>
              <w:jc w:val="center"/>
              <w:rPr>
                <w:rFonts w:hint="eastAsia"/>
                <w:sz w:val="18"/>
                <w:lang w:eastAsia="zh-CN"/>
              </w:rPr>
            </w:pPr>
          </w:p>
        </w:tc>
        <w:tc>
          <w:tcPr>
            <w:tcW w:w="1913" w:type="dxa"/>
            <w:vAlign w:val="center"/>
          </w:tcPr>
          <w:p>
            <w:pPr>
              <w:pStyle w:val="179"/>
              <w:bidi w:val="0"/>
              <w:spacing w:line="240" w:lineRule="auto"/>
              <w:jc w:val="center"/>
              <w:rPr>
                <w:rFonts w:hint="eastAsia"/>
                <w:sz w:val="18"/>
                <w:lang w:eastAsia="zh-CN"/>
              </w:rPr>
            </w:pPr>
          </w:p>
        </w:tc>
        <w:tc>
          <w:tcPr>
            <w:tcW w:w="1913" w:type="dxa"/>
            <w:vAlign w:val="center"/>
          </w:tcPr>
          <w:p>
            <w:pPr>
              <w:pStyle w:val="179"/>
              <w:bidi w:val="0"/>
              <w:spacing w:line="240" w:lineRule="auto"/>
              <w:jc w:val="center"/>
              <w:rPr>
                <w:rFonts w:hint="eastAsia"/>
                <w:sz w:val="18"/>
                <w:lang w:eastAsia="zh-CN"/>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0" w:type="dxa"/>
            <w:bottom w:w="0" w:type="dxa"/>
            <w:right w:w="100" w:type="dxa"/>
          </w:tblCellMar>
        </w:tblPrEx>
        <w:trPr>
          <w:jc w:val="center"/>
        </w:trPr>
        <w:tc>
          <w:tcPr>
            <w:tcW w:w="1912" w:type="dxa"/>
            <w:vAlign w:val="center"/>
          </w:tcPr>
          <w:p>
            <w:pPr>
              <w:pStyle w:val="179"/>
              <w:bidi w:val="0"/>
              <w:spacing w:line="240" w:lineRule="auto"/>
              <w:jc w:val="center"/>
              <w:rPr>
                <w:rFonts w:hint="eastAsia"/>
                <w:sz w:val="18"/>
                <w:lang w:eastAsia="zh-CN"/>
              </w:rPr>
            </w:pPr>
          </w:p>
        </w:tc>
        <w:tc>
          <w:tcPr>
            <w:tcW w:w="1912" w:type="dxa"/>
            <w:vAlign w:val="center"/>
          </w:tcPr>
          <w:p>
            <w:pPr>
              <w:pStyle w:val="179"/>
              <w:bidi w:val="0"/>
              <w:spacing w:line="240" w:lineRule="auto"/>
              <w:jc w:val="center"/>
              <w:rPr>
                <w:rFonts w:hint="eastAsia"/>
                <w:sz w:val="18"/>
                <w:lang w:eastAsia="zh-CN"/>
              </w:rPr>
            </w:pPr>
          </w:p>
        </w:tc>
        <w:tc>
          <w:tcPr>
            <w:tcW w:w="1912" w:type="dxa"/>
            <w:vAlign w:val="center"/>
          </w:tcPr>
          <w:p>
            <w:pPr>
              <w:pStyle w:val="179"/>
              <w:bidi w:val="0"/>
              <w:spacing w:line="240" w:lineRule="auto"/>
              <w:jc w:val="center"/>
              <w:rPr>
                <w:rFonts w:hint="eastAsia"/>
                <w:sz w:val="18"/>
                <w:lang w:eastAsia="zh-CN"/>
              </w:rPr>
            </w:pPr>
          </w:p>
        </w:tc>
        <w:tc>
          <w:tcPr>
            <w:tcW w:w="1913" w:type="dxa"/>
            <w:vAlign w:val="center"/>
          </w:tcPr>
          <w:p>
            <w:pPr>
              <w:pStyle w:val="179"/>
              <w:bidi w:val="0"/>
              <w:spacing w:line="240" w:lineRule="auto"/>
              <w:jc w:val="center"/>
              <w:rPr>
                <w:rFonts w:hint="eastAsia"/>
                <w:sz w:val="18"/>
                <w:lang w:eastAsia="zh-CN"/>
              </w:rPr>
            </w:pPr>
          </w:p>
        </w:tc>
        <w:tc>
          <w:tcPr>
            <w:tcW w:w="1913" w:type="dxa"/>
            <w:vAlign w:val="center"/>
          </w:tcPr>
          <w:p>
            <w:pPr>
              <w:pStyle w:val="179"/>
              <w:bidi w:val="0"/>
              <w:spacing w:line="240" w:lineRule="auto"/>
              <w:jc w:val="center"/>
              <w:rPr>
                <w:rFonts w:hint="eastAsia"/>
                <w:sz w:val="18"/>
                <w:lang w:eastAsia="zh-CN"/>
              </w:rPr>
            </w:pPr>
          </w:p>
        </w:tc>
      </w:tr>
    </w:tbl>
    <w:p>
      <w:pPr>
        <w:pStyle w:val="57"/>
        <w:bidi w:val="0"/>
        <w:rPr>
          <w:rFonts w:hint="eastAsia"/>
          <w:lang w:eastAsia="zh-CN"/>
        </w:rPr>
      </w:pPr>
    </w:p>
    <w:p>
      <w:pPr>
        <w:pStyle w:val="57"/>
        <w:bidi w:val="0"/>
        <w:rPr>
          <w:rFonts w:hint="eastAsia"/>
          <w:lang w:eastAsia="zh-CN"/>
        </w:rPr>
      </w:pPr>
    </w:p>
    <w:p>
      <w:pPr>
        <w:pStyle w:val="57"/>
        <w:bidi w:val="0"/>
        <w:rPr>
          <w:rFonts w:hint="eastAsia"/>
          <w:lang w:eastAsia="zh-CN"/>
        </w:rPr>
      </w:pPr>
    </w:p>
    <w:p>
      <w:pPr>
        <w:pStyle w:val="57"/>
        <w:bidi w:val="0"/>
        <w:rPr>
          <w:rFonts w:hint="eastAsia"/>
          <w:lang w:eastAsia="zh-CN"/>
        </w:rPr>
      </w:pPr>
    </w:p>
    <w:p>
      <w:pPr>
        <w:pStyle w:val="57"/>
        <w:rPr>
          <w:rFonts w:hint="eastAsia"/>
          <w:lang w:eastAsia="zh-CN"/>
        </w:rPr>
      </w:pPr>
    </w:p>
    <w:p>
      <w:pPr>
        <w:pStyle w:val="57"/>
        <w:bidi w:val="0"/>
        <w:rPr>
          <w:rFonts w:hint="eastAsia"/>
          <w:lang w:eastAsia="zh-CN"/>
        </w:rPr>
        <w:sectPr>
          <w:headerReference r:id="rId34" w:type="default"/>
          <w:footerReference r:id="rId36" w:type="default"/>
          <w:headerReference r:id="rId35" w:type="even"/>
          <w:footerReference r:id="rId37" w:type="even"/>
          <w:pgSz w:w="11906" w:h="16838"/>
          <w:pgMar w:top="1928" w:right="1134" w:bottom="1134" w:left="1134" w:header="1418" w:footer="1134" w:gutter="284"/>
          <w:pgNumType w:fmt="decimal"/>
          <w:cols w:space="425" w:num="1"/>
          <w:formProt w:val="0"/>
          <w:docGrid w:type="lines" w:linePitch="312" w:charSpace="0"/>
        </w:sectPr>
      </w:pPr>
    </w:p>
    <w:p>
      <w:pPr>
        <w:pStyle w:val="199"/>
        <w:bidi w:val="0"/>
        <w:rPr>
          <w:rFonts w:hint="eastAsia"/>
          <w:lang w:eastAsia="zh-CN"/>
        </w:rPr>
      </w:pPr>
    </w:p>
    <w:p>
      <w:pPr>
        <w:pStyle w:val="200"/>
        <w:bidi w:val="0"/>
        <w:rPr>
          <w:rFonts w:hint="eastAsia"/>
          <w:lang w:eastAsia="zh-CN"/>
        </w:rPr>
      </w:pPr>
    </w:p>
    <w:p>
      <w:pPr>
        <w:pStyle w:val="77"/>
        <w:bidi w:val="0"/>
        <w:rPr>
          <w:rFonts w:hint="eastAsia"/>
          <w:lang w:eastAsia="zh-CN"/>
        </w:rPr>
      </w:pPr>
      <w:bookmarkStart w:id="67" w:name="_Toc10973"/>
      <w:r>
        <w:rPr>
          <w:rFonts w:hint="eastAsia"/>
          <w:lang w:eastAsia="zh-CN"/>
        </w:rPr>
        <w:br w:type="textWrapping"/>
      </w:r>
      <w:r>
        <w:rPr>
          <w:rFonts w:hint="eastAsia"/>
          <w:lang w:eastAsia="zh-CN"/>
        </w:rPr>
        <w:t>（规范性）</w:t>
      </w:r>
      <w:r>
        <w:rPr>
          <w:rFonts w:hint="eastAsia"/>
          <w:lang w:eastAsia="zh-CN"/>
        </w:rPr>
        <w:br w:type="textWrapping"/>
      </w:r>
      <w:r>
        <w:rPr>
          <w:rFonts w:hint="eastAsia"/>
          <w:lang w:eastAsia="zh-CN"/>
        </w:rPr>
        <w:t>用人单位职业健康档案</w:t>
      </w:r>
      <w:bookmarkEnd w:id="67"/>
    </w:p>
    <w:p>
      <w:pPr>
        <w:pStyle w:val="212"/>
        <w:bidi w:val="0"/>
        <w:rPr>
          <w:rFonts w:hint="eastAsia"/>
          <w:lang w:eastAsia="zh-CN"/>
        </w:rPr>
      </w:pPr>
      <w:r>
        <w:rPr>
          <w:rFonts w:hint="eastAsia"/>
          <w:lang w:eastAsia="zh-CN"/>
        </w:rPr>
        <w:t xml:space="preserve">用人单位应设立档案室或指定专门的区域存放职业健康档案，并指定专门机构和专（兼）职人员负责管理。 </w:t>
      </w:r>
    </w:p>
    <w:p>
      <w:pPr>
        <w:pStyle w:val="212"/>
        <w:bidi w:val="0"/>
        <w:rPr>
          <w:rFonts w:hint="eastAsia"/>
          <w:lang w:eastAsia="zh-CN"/>
        </w:rPr>
      </w:pPr>
      <w:r>
        <w:rPr>
          <w:rFonts w:hint="eastAsia"/>
          <w:lang w:eastAsia="zh-CN"/>
        </w:rPr>
        <w:t>用人单位应按规定长期保存职业健康档案，防止遗失；某项档案材料较多或者与其他档案交叉的，可在档案中注明其保存地点。</w:t>
      </w:r>
    </w:p>
    <w:p>
      <w:pPr>
        <w:pStyle w:val="212"/>
        <w:bidi w:val="0"/>
        <w:rPr>
          <w:rFonts w:hint="eastAsia"/>
          <w:lang w:eastAsia="zh-CN"/>
        </w:rPr>
      </w:pPr>
      <w:r>
        <w:rPr>
          <w:rFonts w:hint="eastAsia"/>
          <w:lang w:eastAsia="zh-CN"/>
        </w:rPr>
        <w:t>用人单位应建立健全下列噪声作业职业健康档案资料：</w:t>
      </w:r>
    </w:p>
    <w:p>
      <w:pPr>
        <w:pStyle w:val="175"/>
        <w:numPr>
          <w:ilvl w:val="0"/>
          <w:numId w:val="34"/>
        </w:numPr>
        <w:bidi w:val="0"/>
        <w:ind w:left="851" w:leftChars="0" w:hanging="426" w:firstLineChars="0"/>
        <w:rPr>
          <w:rFonts w:hint="eastAsia"/>
          <w:lang w:eastAsia="zh-CN"/>
        </w:rPr>
      </w:pPr>
      <w:r>
        <w:rPr>
          <w:rFonts w:hint="eastAsia"/>
          <w:lang w:eastAsia="zh-CN"/>
        </w:rPr>
        <w:t>职业病防治责任制文件；</w:t>
      </w:r>
    </w:p>
    <w:p>
      <w:pPr>
        <w:pStyle w:val="175"/>
        <w:numPr>
          <w:ilvl w:val="0"/>
          <w:numId w:val="34"/>
        </w:numPr>
        <w:bidi w:val="0"/>
        <w:ind w:left="851" w:leftChars="0" w:hanging="426" w:firstLineChars="0"/>
        <w:rPr>
          <w:rFonts w:hint="eastAsia"/>
          <w:lang w:eastAsia="zh-CN"/>
        </w:rPr>
      </w:pPr>
      <w:r>
        <w:rPr>
          <w:rFonts w:hint="eastAsia"/>
          <w:lang w:eastAsia="zh-CN"/>
        </w:rPr>
        <w:t>噪声作业岗位职业健康管理规章制度、操作规程；</w:t>
      </w:r>
    </w:p>
    <w:p>
      <w:pPr>
        <w:pStyle w:val="175"/>
        <w:numPr>
          <w:ilvl w:val="0"/>
          <w:numId w:val="34"/>
        </w:numPr>
        <w:bidi w:val="0"/>
        <w:ind w:left="851" w:leftChars="0" w:hanging="426" w:firstLineChars="0"/>
        <w:rPr>
          <w:rFonts w:hint="eastAsia"/>
          <w:lang w:eastAsia="zh-CN"/>
        </w:rPr>
      </w:pPr>
      <w:r>
        <w:rPr>
          <w:rFonts w:hint="eastAsia"/>
          <w:lang w:eastAsia="zh-CN"/>
        </w:rPr>
        <w:t>工作场所职业病危害因素种类清单、噪声作业岗位分布情况以及作业人员噪声接触情况等资料；</w:t>
      </w:r>
    </w:p>
    <w:p>
      <w:pPr>
        <w:pStyle w:val="175"/>
        <w:numPr>
          <w:ilvl w:val="0"/>
          <w:numId w:val="34"/>
        </w:numPr>
        <w:bidi w:val="0"/>
        <w:ind w:left="851" w:leftChars="0" w:hanging="426" w:firstLineChars="0"/>
        <w:rPr>
          <w:rFonts w:hint="eastAsia"/>
          <w:lang w:eastAsia="zh-CN"/>
        </w:rPr>
      </w:pPr>
      <w:r>
        <w:rPr>
          <w:rFonts w:hint="eastAsia"/>
          <w:lang w:eastAsia="zh-CN"/>
        </w:rPr>
        <w:t>噪声作业岗位的职业病防护设施及其配置、使用、维护、检修与更换等记录；</w:t>
      </w:r>
    </w:p>
    <w:p>
      <w:pPr>
        <w:pStyle w:val="175"/>
        <w:numPr>
          <w:ilvl w:val="0"/>
          <w:numId w:val="34"/>
        </w:numPr>
        <w:bidi w:val="0"/>
        <w:ind w:left="851" w:leftChars="0" w:hanging="426" w:firstLineChars="0"/>
        <w:rPr>
          <w:rFonts w:hint="eastAsia"/>
          <w:lang w:eastAsia="zh-CN"/>
        </w:rPr>
      </w:pPr>
      <w:r>
        <w:rPr>
          <w:rFonts w:hint="eastAsia"/>
          <w:lang w:eastAsia="zh-CN"/>
        </w:rPr>
        <w:t>工作场所噪声强度检测、评价报告与记录；</w:t>
      </w:r>
    </w:p>
    <w:p>
      <w:pPr>
        <w:pStyle w:val="175"/>
        <w:numPr>
          <w:ilvl w:val="0"/>
          <w:numId w:val="34"/>
        </w:numPr>
        <w:bidi w:val="0"/>
        <w:ind w:left="851" w:leftChars="0" w:hanging="426" w:firstLineChars="0"/>
        <w:rPr>
          <w:rFonts w:hint="eastAsia"/>
          <w:lang w:eastAsia="zh-CN"/>
        </w:rPr>
      </w:pPr>
      <w:r>
        <w:rPr>
          <w:rFonts w:hint="eastAsia"/>
          <w:lang w:eastAsia="zh-CN"/>
        </w:rPr>
        <w:t>耳塞、耳罩等护听器的配备、发放、维护与更换等记录；</w:t>
      </w:r>
    </w:p>
    <w:p>
      <w:pPr>
        <w:pStyle w:val="175"/>
        <w:numPr>
          <w:ilvl w:val="0"/>
          <w:numId w:val="34"/>
        </w:numPr>
        <w:bidi w:val="0"/>
        <w:ind w:left="851" w:leftChars="0" w:hanging="426" w:firstLineChars="0"/>
        <w:rPr>
          <w:rFonts w:hint="eastAsia"/>
          <w:lang w:eastAsia="zh-CN"/>
        </w:rPr>
      </w:pPr>
      <w:r>
        <w:rPr>
          <w:rFonts w:hint="eastAsia"/>
          <w:lang w:eastAsia="zh-CN"/>
        </w:rPr>
        <w:t>主要负责人、职业健康管理人员和从事噪声作业劳动者等相关人员职业健康培训资料。</w:t>
      </w:r>
    </w:p>
    <w:p>
      <w:pPr>
        <w:pStyle w:val="175"/>
        <w:numPr>
          <w:ilvl w:val="0"/>
          <w:numId w:val="34"/>
        </w:numPr>
        <w:bidi w:val="0"/>
        <w:ind w:left="851" w:leftChars="0" w:hanging="426" w:firstLineChars="0"/>
        <w:rPr>
          <w:rFonts w:hint="eastAsia"/>
          <w:lang w:eastAsia="zh-CN"/>
        </w:rPr>
      </w:pPr>
      <w:r>
        <w:rPr>
          <w:rFonts w:hint="eastAsia"/>
          <w:lang w:eastAsia="zh-CN"/>
        </w:rPr>
        <w:t>劳动者电测听及职业健康检查结果汇总资料，存在听力损害、噪声禁忌证或职业病的劳动者处理和安置情况记录；</w:t>
      </w:r>
    </w:p>
    <w:p>
      <w:pPr>
        <w:pStyle w:val="175"/>
        <w:numPr>
          <w:ilvl w:val="0"/>
          <w:numId w:val="34"/>
        </w:numPr>
        <w:bidi w:val="0"/>
        <w:ind w:left="851" w:leftChars="0" w:hanging="426" w:firstLineChars="0"/>
        <w:rPr>
          <w:rFonts w:hint="eastAsia"/>
          <w:lang w:eastAsia="zh-CN"/>
        </w:rPr>
      </w:pPr>
      <w:r>
        <w:rPr>
          <w:rFonts w:hint="eastAsia"/>
          <w:lang w:eastAsia="zh-CN"/>
        </w:rPr>
        <w:t>建设项目职业病防护设施“三同时”有关资料；</w:t>
      </w:r>
    </w:p>
    <w:p>
      <w:pPr>
        <w:pStyle w:val="175"/>
        <w:numPr>
          <w:ilvl w:val="0"/>
          <w:numId w:val="34"/>
        </w:numPr>
        <w:bidi w:val="0"/>
        <w:ind w:left="851" w:leftChars="0" w:hanging="426" w:firstLineChars="0"/>
        <w:rPr>
          <w:rFonts w:hint="eastAsia"/>
          <w:lang w:eastAsia="zh-CN"/>
        </w:rPr>
      </w:pPr>
      <w:r>
        <w:rPr>
          <w:rFonts w:hint="eastAsia"/>
          <w:lang w:eastAsia="zh-CN"/>
        </w:rPr>
        <w:t>职业病危害项目申报等有关回执或者批复文件；</w:t>
      </w:r>
    </w:p>
    <w:p>
      <w:pPr>
        <w:pStyle w:val="175"/>
        <w:numPr>
          <w:ilvl w:val="0"/>
          <w:numId w:val="34"/>
        </w:numPr>
        <w:bidi w:val="0"/>
        <w:ind w:left="851" w:leftChars="0" w:hanging="426" w:firstLineChars="0"/>
        <w:rPr>
          <w:rFonts w:hint="eastAsia"/>
          <w:lang w:eastAsia="zh-CN"/>
        </w:rPr>
      </w:pPr>
      <w:r>
        <w:rPr>
          <w:rFonts w:hint="eastAsia"/>
          <w:lang w:eastAsia="zh-CN"/>
        </w:rPr>
        <w:t>工作场所噪声强度超标整改资料；</w:t>
      </w:r>
    </w:p>
    <w:p>
      <w:pPr>
        <w:pStyle w:val="175"/>
        <w:numPr>
          <w:ilvl w:val="0"/>
          <w:numId w:val="34"/>
        </w:numPr>
        <w:bidi w:val="0"/>
        <w:ind w:left="851" w:leftChars="0" w:hanging="426" w:firstLineChars="0"/>
        <w:rPr>
          <w:rFonts w:hint="eastAsia"/>
          <w:lang w:eastAsia="zh-CN"/>
        </w:rPr>
      </w:pPr>
      <w:r>
        <w:rPr>
          <w:rFonts w:hint="eastAsia"/>
          <w:lang w:eastAsia="zh-CN"/>
        </w:rPr>
        <w:t>其他有关职业健康管理的资料或者文件。</w:t>
      </w:r>
    </w:p>
    <w:p>
      <w:pPr>
        <w:pStyle w:val="212"/>
        <w:bidi w:val="0"/>
        <w:rPr>
          <w:rFonts w:hint="eastAsia"/>
          <w:lang w:eastAsia="zh-CN"/>
        </w:rPr>
      </w:pPr>
      <w:r>
        <w:rPr>
          <w:rFonts w:hint="eastAsia" w:ascii="宋体" w:hAnsi="宋体"/>
          <w:kern w:val="0"/>
          <w:szCs w:val="20"/>
        </w:rPr>
        <w:t>用人单位应为劳动者建立一人一档的职业健康监护档案，内容包括：</w:t>
      </w:r>
    </w:p>
    <w:p>
      <w:pPr>
        <w:pStyle w:val="175"/>
        <w:numPr>
          <w:ilvl w:val="0"/>
          <w:numId w:val="35"/>
        </w:numPr>
        <w:bidi w:val="0"/>
        <w:ind w:left="851" w:leftChars="0" w:hanging="426" w:firstLineChars="0"/>
        <w:rPr>
          <w:rFonts w:hint="eastAsia"/>
          <w:lang w:eastAsia="zh-CN"/>
        </w:rPr>
      </w:pPr>
      <w:r>
        <w:rPr>
          <w:rFonts w:hint="eastAsia"/>
          <w:lang w:eastAsia="zh-CN"/>
        </w:rPr>
        <w:t>劳动者姓名、性别、年龄、籍贯、婚姻、文化程度、嗜好等情况；</w:t>
      </w:r>
    </w:p>
    <w:p>
      <w:pPr>
        <w:pStyle w:val="175"/>
        <w:numPr>
          <w:ilvl w:val="0"/>
          <w:numId w:val="35"/>
        </w:numPr>
        <w:bidi w:val="0"/>
        <w:ind w:left="851" w:leftChars="0" w:hanging="426" w:firstLineChars="0"/>
        <w:rPr>
          <w:rFonts w:hint="eastAsia"/>
          <w:lang w:eastAsia="zh-CN"/>
        </w:rPr>
      </w:pPr>
      <w:r>
        <w:rPr>
          <w:rFonts w:hint="eastAsia"/>
          <w:lang w:eastAsia="zh-CN"/>
        </w:rPr>
        <w:t>劳动者的职业史、既往病史和职业病危害因素接触史；</w:t>
      </w:r>
    </w:p>
    <w:p>
      <w:pPr>
        <w:pStyle w:val="175"/>
        <w:numPr>
          <w:ilvl w:val="0"/>
          <w:numId w:val="35"/>
        </w:numPr>
        <w:bidi w:val="0"/>
        <w:ind w:left="851" w:leftChars="0" w:hanging="426" w:firstLineChars="0"/>
        <w:rPr>
          <w:rFonts w:hint="eastAsia"/>
          <w:lang w:eastAsia="zh-CN"/>
        </w:rPr>
      </w:pPr>
      <w:r>
        <w:rPr>
          <w:rFonts w:hint="eastAsia"/>
          <w:lang w:eastAsia="zh-CN"/>
        </w:rPr>
        <w:t>历次职业健康检查电测听结果、检查结论及处理情况；</w:t>
      </w:r>
    </w:p>
    <w:p>
      <w:pPr>
        <w:pStyle w:val="175"/>
        <w:numPr>
          <w:ilvl w:val="0"/>
          <w:numId w:val="35"/>
        </w:numPr>
        <w:bidi w:val="0"/>
        <w:ind w:left="851" w:leftChars="0" w:hanging="426" w:firstLineChars="0"/>
        <w:rPr>
          <w:rFonts w:hint="eastAsia"/>
          <w:lang w:eastAsia="zh-CN"/>
        </w:rPr>
      </w:pPr>
      <w:r>
        <w:rPr>
          <w:rFonts w:hint="eastAsia"/>
          <w:lang w:eastAsia="zh-CN"/>
        </w:rPr>
        <w:t>职业病诊疗资料；</w:t>
      </w:r>
    </w:p>
    <w:p>
      <w:pPr>
        <w:pStyle w:val="175"/>
        <w:numPr>
          <w:ilvl w:val="0"/>
          <w:numId w:val="35"/>
        </w:numPr>
        <w:bidi w:val="0"/>
        <w:ind w:left="851" w:leftChars="0" w:hanging="426" w:firstLineChars="0"/>
        <w:rPr>
          <w:rFonts w:hint="eastAsia"/>
          <w:lang w:eastAsia="zh-CN"/>
        </w:rPr>
      </w:pPr>
      <w:r>
        <w:rPr>
          <w:rFonts w:hint="eastAsia"/>
          <w:lang w:eastAsia="zh-CN"/>
        </w:rPr>
        <w:t>其他需要存入职业健康监护档案的有关资料。</w:t>
      </w:r>
    </w:p>
    <w:p>
      <w:pPr>
        <w:pStyle w:val="57"/>
        <w:bidi w:val="0"/>
        <w:rPr>
          <w:rFonts w:hint="eastAsia"/>
          <w:lang w:eastAsia="zh-CN"/>
        </w:rPr>
      </w:pPr>
    </w:p>
    <w:p>
      <w:pPr>
        <w:pStyle w:val="57"/>
        <w:rPr>
          <w:rFonts w:hint="eastAsia"/>
          <w:lang w:eastAsia="zh-CN"/>
        </w:rPr>
      </w:pPr>
    </w:p>
    <w:p>
      <w:pPr>
        <w:pStyle w:val="57"/>
        <w:bidi w:val="0"/>
        <w:rPr>
          <w:rFonts w:hint="eastAsia"/>
          <w:lang w:eastAsia="zh-CN"/>
        </w:rPr>
        <w:sectPr>
          <w:headerReference r:id="rId38" w:type="default"/>
          <w:footerReference r:id="rId40" w:type="default"/>
          <w:headerReference r:id="rId39" w:type="even"/>
          <w:footerReference r:id="rId41" w:type="even"/>
          <w:pgSz w:w="11906" w:h="16838"/>
          <w:pgMar w:top="1928" w:right="1134" w:bottom="1134" w:left="1134" w:header="1418" w:footer="1134" w:gutter="284"/>
          <w:pgNumType w:fmt="decimal"/>
          <w:cols w:space="425" w:num="1"/>
          <w:formProt w:val="0"/>
          <w:docGrid w:type="lines" w:linePitch="312" w:charSpace="0"/>
        </w:sectPr>
      </w:pPr>
    </w:p>
    <w:bookmarkEnd w:id="58"/>
    <w:p>
      <w:pPr>
        <w:pStyle w:val="64"/>
        <w:bidi w:val="0"/>
        <w:rPr>
          <w:rFonts w:hint="eastAsia"/>
          <w:lang w:eastAsia="zh-CN"/>
        </w:rPr>
      </w:pPr>
      <w:bookmarkStart w:id="68" w:name="_Toc1133"/>
      <w:bookmarkStart w:id="69" w:name="BookMark6"/>
      <w:r>
        <w:rPr>
          <w:rFonts w:hint="eastAsia"/>
          <w:spacing w:val="105"/>
          <w:lang w:eastAsia="zh-CN"/>
        </w:rPr>
        <w:t>参考文</w:t>
      </w:r>
      <w:r>
        <w:rPr>
          <w:rFonts w:hint="eastAsia"/>
          <w:lang w:eastAsia="zh-CN"/>
        </w:rPr>
        <w:t>献</w:t>
      </w:r>
      <w:bookmarkEnd w:id="68"/>
    </w:p>
    <w:p>
      <w:pPr>
        <w:pStyle w:val="231"/>
        <w:jc w:val="left"/>
        <w:rPr>
          <w:rFonts w:hint="eastAsia" w:hAnsi="宋体"/>
        </w:rPr>
      </w:pPr>
      <w:r>
        <w:rPr>
          <w:rFonts w:hint="eastAsia" w:hAnsi="宋体"/>
        </w:rPr>
        <w:t>[</w:t>
      </w:r>
      <w:r>
        <w:rPr>
          <w:rFonts w:hint="eastAsia" w:hAnsi="宋体"/>
          <w:lang w:val="en-US" w:eastAsia="zh-CN"/>
        </w:rPr>
        <w:t>1</w:t>
      </w:r>
      <w:r>
        <w:rPr>
          <w:rFonts w:hint="eastAsia" w:hAnsi="宋体"/>
        </w:rPr>
        <w:t xml:space="preserve">] </w:t>
      </w:r>
      <w:r>
        <w:rPr>
          <w:rFonts w:hint="eastAsia" w:hAnsi="宋体"/>
          <w:lang w:val="en-US" w:eastAsia="zh-CN"/>
        </w:rPr>
        <w:t xml:space="preserve"> </w:t>
      </w:r>
      <w:r>
        <w:rPr>
          <w:rFonts w:hint="eastAsia" w:hAnsi="宋体"/>
        </w:rPr>
        <w:t>GB</w:t>
      </w:r>
      <w:r>
        <w:rPr>
          <w:rFonts w:hint="eastAsia" w:hAnsi="宋体"/>
          <w:lang w:val="en-US" w:eastAsia="zh-CN"/>
        </w:rPr>
        <w:t>/</w:t>
      </w:r>
      <w:r>
        <w:rPr>
          <w:rFonts w:hint="eastAsia" w:hAnsi="宋体"/>
        </w:rPr>
        <w:t>T 17249.2-2005 声学低噪声工作场所设计指南第2部分 噪声控制措施</w:t>
      </w:r>
    </w:p>
    <w:p>
      <w:pPr>
        <w:pStyle w:val="231"/>
        <w:jc w:val="left"/>
        <w:rPr>
          <w:rFonts w:hint="eastAsia" w:hAnsi="宋体"/>
        </w:rPr>
      </w:pPr>
      <w:r>
        <w:rPr>
          <w:rFonts w:hint="eastAsia" w:hAnsi="宋体"/>
        </w:rPr>
        <w:t>[</w:t>
      </w:r>
      <w:r>
        <w:rPr>
          <w:rFonts w:hint="eastAsia" w:hAnsi="宋体"/>
          <w:lang w:val="en-US" w:eastAsia="zh-CN"/>
        </w:rPr>
        <w:t>2</w:t>
      </w:r>
      <w:r>
        <w:rPr>
          <w:rFonts w:hint="eastAsia" w:hAnsi="宋体"/>
        </w:rPr>
        <w:t xml:space="preserve">] </w:t>
      </w:r>
      <w:r>
        <w:rPr>
          <w:rFonts w:hint="eastAsia" w:hAnsi="宋体"/>
          <w:lang w:val="en-US" w:eastAsia="zh-CN"/>
        </w:rPr>
        <w:t xml:space="preserve"> </w:t>
      </w:r>
      <w:r>
        <w:rPr>
          <w:rFonts w:hint="eastAsia" w:hAnsi="宋体"/>
        </w:rPr>
        <w:t>AQ</w:t>
      </w:r>
      <w:r>
        <w:rPr>
          <w:rFonts w:hint="eastAsia" w:hAnsi="宋体"/>
          <w:lang w:val="en-US" w:eastAsia="zh-CN"/>
        </w:rPr>
        <w:t>/</w:t>
      </w:r>
      <w:r>
        <w:rPr>
          <w:rFonts w:hint="eastAsia" w:hAnsi="宋体"/>
        </w:rPr>
        <w:t>T 4276-2016 噪声职业病危害风险管理指南</w:t>
      </w:r>
    </w:p>
    <w:p>
      <w:pPr>
        <w:pStyle w:val="231"/>
        <w:jc w:val="left"/>
        <w:rPr>
          <w:rFonts w:hint="eastAsia" w:hAnsi="宋体"/>
        </w:rPr>
      </w:pPr>
      <w:r>
        <w:rPr>
          <w:rFonts w:hint="eastAsia" w:hAnsi="宋体"/>
        </w:rPr>
        <w:t>[</w:t>
      </w:r>
      <w:r>
        <w:rPr>
          <w:rFonts w:hint="eastAsia" w:hAnsi="宋体"/>
          <w:lang w:val="en-US" w:eastAsia="zh-CN"/>
        </w:rPr>
        <w:t>3</w:t>
      </w:r>
      <w:r>
        <w:rPr>
          <w:rFonts w:hint="eastAsia" w:hAnsi="宋体"/>
        </w:rPr>
        <w:t xml:space="preserve">] </w:t>
      </w:r>
      <w:r>
        <w:rPr>
          <w:rFonts w:hint="eastAsia" w:hAnsi="宋体"/>
          <w:lang w:val="en-US" w:eastAsia="zh-CN"/>
        </w:rPr>
        <w:t xml:space="preserve"> </w:t>
      </w:r>
      <w:r>
        <w:rPr>
          <w:rFonts w:hint="eastAsia" w:hAnsi="宋体"/>
        </w:rPr>
        <w:t>中华人民共和国职业病防治法</w:t>
      </w:r>
      <w:r>
        <w:rPr>
          <w:rFonts w:hint="eastAsia" w:hAnsi="宋体"/>
          <w:lang w:val="en-US" w:eastAsia="zh-CN"/>
        </w:rPr>
        <w:t xml:space="preserve"> </w:t>
      </w:r>
      <w:r>
        <w:rPr>
          <w:rFonts w:hint="eastAsia" w:hAnsi="宋体"/>
        </w:rPr>
        <w:t>（国家主席令第24号，2018年）</w:t>
      </w:r>
    </w:p>
    <w:p>
      <w:pPr>
        <w:pStyle w:val="231"/>
        <w:jc w:val="left"/>
        <w:rPr>
          <w:rFonts w:hint="eastAsia" w:hAnsi="宋体"/>
        </w:rPr>
      </w:pPr>
      <w:r>
        <w:rPr>
          <w:rFonts w:hint="eastAsia" w:hAnsi="宋体"/>
        </w:rPr>
        <w:t>[</w:t>
      </w:r>
      <w:r>
        <w:rPr>
          <w:rFonts w:hint="eastAsia" w:hAnsi="宋体"/>
          <w:lang w:val="en-US" w:eastAsia="zh-CN"/>
        </w:rPr>
        <w:t>4</w:t>
      </w:r>
      <w:r>
        <w:rPr>
          <w:rFonts w:hint="eastAsia" w:hAnsi="宋体"/>
        </w:rPr>
        <w:t xml:space="preserve">] </w:t>
      </w:r>
      <w:r>
        <w:rPr>
          <w:rFonts w:hint="eastAsia" w:hAnsi="宋体"/>
          <w:lang w:val="en-US" w:eastAsia="zh-CN"/>
        </w:rPr>
        <w:t xml:space="preserve"> </w:t>
      </w:r>
      <w:r>
        <w:rPr>
          <w:rFonts w:hint="eastAsia" w:hAnsi="宋体"/>
        </w:rPr>
        <w:t>工作场所职业卫生管理规定</w:t>
      </w:r>
      <w:r>
        <w:rPr>
          <w:rFonts w:hint="eastAsia" w:hAnsi="宋体"/>
          <w:lang w:val="en-US" w:eastAsia="zh-CN"/>
        </w:rPr>
        <w:t xml:space="preserve"> </w:t>
      </w:r>
      <w:r>
        <w:rPr>
          <w:rFonts w:hint="eastAsia" w:hAnsi="宋体"/>
        </w:rPr>
        <w:t>（国家卫健委令第5号，2020年）</w:t>
      </w:r>
    </w:p>
    <w:p>
      <w:pPr>
        <w:pStyle w:val="231"/>
        <w:jc w:val="left"/>
        <w:rPr>
          <w:rFonts w:hAnsi="宋体"/>
        </w:rPr>
      </w:pPr>
      <w:r>
        <w:rPr>
          <w:rFonts w:hint="eastAsia" w:hAnsi="宋体"/>
        </w:rPr>
        <w:t>[</w:t>
      </w:r>
      <w:r>
        <w:rPr>
          <w:rFonts w:hint="eastAsia" w:hAnsi="宋体"/>
          <w:lang w:val="en-US" w:eastAsia="zh-CN"/>
        </w:rPr>
        <w:t>5</w:t>
      </w:r>
      <w:r>
        <w:rPr>
          <w:rFonts w:hint="eastAsia" w:hAnsi="宋体"/>
        </w:rPr>
        <w:t>]  工业噪声职业危害及防护[J].安全与健康,2017(06):32-33.</w:t>
      </w:r>
    </w:p>
    <w:bookmarkEnd w:id="69"/>
    <w:p>
      <w:pPr>
        <w:pStyle w:val="57"/>
        <w:bidi w:val="0"/>
        <w:ind w:firstLine="0" w:firstLineChars="0"/>
        <w:jc w:val="center"/>
        <w:rPr>
          <w:rFonts w:hint="eastAsia" w:eastAsia="宋体"/>
          <w:lang w:eastAsia="zh-CN"/>
        </w:rPr>
      </w:pPr>
      <w:bookmarkStart w:id="70" w:name="BookMark8"/>
      <w:r>
        <w:rPr>
          <w:rFonts w:hint="eastAsia" w:eastAsia="宋体"/>
          <w:lang w:eastAsia="zh-CN"/>
        </w:rPr>
        <w:drawing>
          <wp:inline distT="0" distB="0" distL="114300" distR="114300">
            <wp:extent cx="1485900" cy="317500"/>
            <wp:effectExtent l="0" t="0" r="0" b="0"/>
            <wp:docPr id="2" name="图片 2" descr="1"/>
            <wp:cNvGraphicFramePr/>
            <a:graphic xmlns:a="http://schemas.openxmlformats.org/drawingml/2006/main">
              <a:graphicData uri="http://schemas.openxmlformats.org/drawingml/2006/picture">
                <pic:pic xmlns:pic="http://schemas.openxmlformats.org/drawingml/2006/picture">
                  <pic:nvPicPr>
                    <pic:cNvPr id="2" name="图片 2" descr="1"/>
                    <pic:cNvPicPr/>
                  </pic:nvPicPr>
                  <pic:blipFill>
                    <a:blip r:embed="rId49"/>
                    <a:stretch>
                      <a:fillRect/>
                    </a:stretch>
                  </pic:blipFill>
                  <pic:spPr>
                    <a:xfrm>
                      <a:off x="0" y="0"/>
                      <a:ext cx="1485900" cy="317500"/>
                    </a:xfrm>
                    <a:prstGeom prst="rect">
                      <a:avLst/>
                    </a:prstGeom>
                  </pic:spPr>
                </pic:pic>
              </a:graphicData>
            </a:graphic>
          </wp:inline>
        </w:drawing>
      </w:r>
      <w:bookmarkEnd w:id="70"/>
    </w:p>
    <w:sectPr>
      <w:headerReference r:id="rId42" w:type="default"/>
      <w:footerReference r:id="rId44" w:type="default"/>
      <w:headerReference r:id="rId43" w:type="even"/>
      <w:footerReference r:id="rId45" w:type="even"/>
      <w:pgSz w:w="11906" w:h="16838"/>
      <w:pgMar w:top="1928" w:right="1134" w:bottom="1134" w:left="1134" w:header="1418" w:footer="1134" w:gutter="284"/>
      <w:pgNumType w:fmt="decimal"/>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等线">
    <w:altName w:val="Arial Unicode MS"/>
    <w:panose1 w:val="02010600030101010101"/>
    <w:charset w:val="86"/>
    <w:family w:val="auto"/>
    <w:pitch w:val="default"/>
    <w:sig w:usb0="00000000" w:usb1="00000000" w:usb2="00000016" w:usb3="00000000" w:csb0="0004000F" w:csb1="00000000"/>
  </w:font>
  <w:font w:name="Arial Unicode MS">
    <w:panose1 w:val="020B0604020202020204"/>
    <w:charset w:val="86"/>
    <w:family w:val="auto"/>
    <w:pitch w:val="default"/>
    <w:sig w:usb0="FFFFFFFF" w:usb1="E9FFFFFF" w:usb2="0000003F" w:usb3="00000000" w:csb0="603F01FF" w:csb1="FFFF0000"/>
  </w:font>
  <w:font w:name="等线 Light">
    <w:altName w:val="宋体"/>
    <w:panose1 w:val="02010600030101010101"/>
    <w:charset w:val="86"/>
    <w:family w:val="auto"/>
    <w:pitch w:val="default"/>
    <w:sig w:usb0="00000000" w:usb1="00000000"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r>
      <w:fldChar w:fldCharType="begin"/>
    </w:r>
    <w:r>
      <w:instrText xml:space="preserve">PAGE   \* MERGEFORMAT</w:instrText>
    </w:r>
    <w:r>
      <w:fldChar w:fldCharType="separate"/>
    </w:r>
    <w:r>
      <w:rPr>
        <w:lang w:val="zh-CN"/>
      </w:rPr>
      <w:t>2</w:t>
    </w:r>
    <w:r>
      <w:fldChar w:fldCharType="end"/>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bidi w:val="0"/>
    </w:pPr>
    <w:r>
      <w:fldChar w:fldCharType="begin"/>
    </w:r>
    <w:r>
      <w:instrText xml:space="preserve"> PAGE   \* MERGEFORMAT \* MERGEFORMAT </w:instrText>
    </w:r>
    <w:r>
      <w:fldChar w:fldCharType="separate"/>
    </w:r>
    <w:r>
      <w:t>8</w:t>
    </w:r>
    <w:r>
      <w:fldChar w:fldCharType="end"/>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3"/>
      <w:bidi w:val="0"/>
    </w:pPr>
    <w:r>
      <w:fldChar w:fldCharType="begin"/>
    </w:r>
    <w:r>
      <w:instrText xml:space="preserve">PAGE   \* MERGEFORMAT</w:instrText>
    </w:r>
    <w:r>
      <w:fldChar w:fldCharType="separate"/>
    </w:r>
    <w:r>
      <w:rPr>
        <w:lang w:val="zh-CN"/>
      </w:rPr>
      <w:t>1</w:t>
    </w:r>
    <w:r>
      <w:fldChar w:fldCharType="end"/>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bidi w:val="0"/>
    </w:pPr>
    <w:r>
      <w:fldChar w:fldCharType="begin"/>
    </w:r>
    <w:r>
      <w:instrText xml:space="preserve"> PAGE   \* MERGEFORMAT \* MERGEFORMAT </w:instrText>
    </w:r>
    <w:r>
      <w:fldChar w:fldCharType="separate"/>
    </w:r>
    <w:r>
      <w:t>12</w:t>
    </w:r>
    <w:r>
      <w:fldChar w:fldCharType="end"/>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3"/>
      <w:bidi w:val="0"/>
    </w:pPr>
    <w:r>
      <w:fldChar w:fldCharType="begin"/>
    </w:r>
    <w:r>
      <w:instrText xml:space="preserve">PAGE   \* MERGEFORMAT</w:instrText>
    </w:r>
    <w:r>
      <w:fldChar w:fldCharType="separate"/>
    </w:r>
    <w:r>
      <w:rPr>
        <w:lang w:val="zh-CN"/>
      </w:rPr>
      <w:t>1</w:t>
    </w:r>
    <w:r>
      <w:fldChar w:fldCharType="end"/>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bidi w:val="0"/>
    </w:pPr>
    <w:r>
      <w:fldChar w:fldCharType="begin"/>
    </w:r>
    <w:r>
      <w:instrText xml:space="preserve"> PAGE   \* MERGEFORMAT \* MERGEFORMAT </w:instrText>
    </w:r>
    <w:r>
      <w:fldChar w:fldCharType="separate"/>
    </w:r>
    <w:r>
      <w:t>12</w:t>
    </w:r>
    <w:r>
      <w:fldChar w:fldCharType="end"/>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3"/>
      <w:bidi w:val="0"/>
    </w:pPr>
    <w:r>
      <w:fldChar w:fldCharType="begin"/>
    </w:r>
    <w:r>
      <w:instrText xml:space="preserve">PAGE   \* MERGEFORMAT</w:instrText>
    </w:r>
    <w:r>
      <w:fldChar w:fldCharType="separate"/>
    </w:r>
    <w:r>
      <w:rPr>
        <w:lang w:val="zh-CN"/>
      </w:rPr>
      <w:t>1</w:t>
    </w:r>
    <w:r>
      <w:fldChar w:fldCharType="end"/>
    </w: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bidi w:val="0"/>
    </w:pPr>
    <w:r>
      <w:fldChar w:fldCharType="begin"/>
    </w:r>
    <w:r>
      <w:instrText xml:space="preserve"> PAGE   \* MERGEFORMAT \* MERGEFORMAT </w:instrText>
    </w:r>
    <w:r>
      <w:fldChar w:fldCharType="separate"/>
    </w:r>
    <w:r>
      <w:t>14</w:t>
    </w:r>
    <w:r>
      <w:fldChar w:fldCharType="end"/>
    </w: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3"/>
      <w:bidi w:val="0"/>
    </w:pPr>
    <w:r>
      <w:fldChar w:fldCharType="begin"/>
    </w:r>
    <w:r>
      <w:instrText xml:space="preserve">PAGE   \* MERGEFORMAT</w:instrText>
    </w:r>
    <w:r>
      <w:fldChar w:fldCharType="separate"/>
    </w:r>
    <w:r>
      <w:rPr>
        <w:lang w:val="zh-CN"/>
      </w:rPr>
      <w:t>1</w:t>
    </w:r>
    <w:r>
      <w:fldChar w:fldCharType="end"/>
    </w: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bidi w:val="0"/>
    </w:pPr>
    <w:r>
      <w:fldChar w:fldCharType="begin"/>
    </w:r>
    <w:r>
      <w:instrText xml:space="preserve"> PAGE   \* MERGEFORMAT \* MERGEFORMAT </w:instrText>
    </w:r>
    <w:r>
      <w:fldChar w:fldCharType="separate"/>
    </w:r>
    <w:r>
      <w:t>14</w:t>
    </w:r>
    <w:r>
      <w:fldChar w:fldCharType="end"/>
    </w:r>
  </w:p>
</w:ftr>
</file>

<file path=word/footer1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3"/>
      <w:bidi w:val="0"/>
    </w:pPr>
    <w:r>
      <w:fldChar w:fldCharType="begin"/>
    </w:r>
    <w:r>
      <w:instrText xml:space="preserve">PAGE   \* MERGEFORMAT</w:instrText>
    </w:r>
    <w:r>
      <w:fldChar w:fldCharType="separate"/>
    </w:r>
    <w:r>
      <w:rPr>
        <w:lang w:val="zh-CN"/>
      </w:rPr>
      <w:t>1</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ind w:right="720"/>
      <w:jc w:val="both"/>
      <w:rPr>
        <w:sz w:val="2"/>
        <w:szCs w:val="2"/>
      </w:rPr>
    </w:pPr>
  </w:p>
</w:ftr>
</file>

<file path=word/footer2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bidi w:val="0"/>
    </w:pPr>
    <w:r>
      <w:fldChar w:fldCharType="begin"/>
    </w:r>
    <w:r>
      <w:instrText xml:space="preserve"> PAGE   \* MERGEFORMAT \* MERGEFORMAT </w:instrText>
    </w:r>
    <w:r>
      <w:fldChar w:fldCharType="separate"/>
    </w:r>
    <w:r>
      <w:t>1</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3"/>
      <w:bidi w:val="0"/>
    </w:pPr>
    <w:r>
      <w:fldChar w:fldCharType="begin"/>
    </w:r>
    <w:r>
      <w:instrText xml:space="preserve">PAGE   \* MERGEFORMAT</w:instrText>
    </w:r>
    <w:r>
      <w:fldChar w:fldCharType="separate"/>
    </w:r>
    <w:r>
      <w:rPr>
        <w:lang w:val="zh-CN"/>
      </w:rPr>
      <w:t>1</w:t>
    </w:r>
    <w: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bidi w:val="0"/>
    </w:pPr>
    <w:r>
      <w:fldChar w:fldCharType="begin"/>
    </w:r>
    <w:r>
      <w:instrText xml:space="preserve"> PAGE   \* MERGEFORMAT \* MERGEFORMAT </w:instrText>
    </w:r>
    <w:r>
      <w:fldChar w:fldCharType="separate"/>
    </w:r>
    <w:r>
      <w:t>1</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3"/>
      <w:bidi w:val="0"/>
    </w:pPr>
    <w:r>
      <w:fldChar w:fldCharType="begin"/>
    </w:r>
    <w:r>
      <w:instrText xml:space="preserve">PAGE   \* MERGEFORMAT</w:instrText>
    </w:r>
    <w:r>
      <w:fldChar w:fldCharType="separate"/>
    </w:r>
    <w:r>
      <w:rPr>
        <w:lang w:val="zh-CN"/>
      </w:rPr>
      <w:t>1</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bidi w:val="0"/>
    </w:pPr>
    <w:r>
      <w:fldChar w:fldCharType="begin"/>
    </w:r>
    <w:r>
      <w:instrText xml:space="preserve"> PAGE   \* MERGEFORMAT \* MERGEFORMAT </w:instrText>
    </w:r>
    <w:r>
      <w:fldChar w:fldCharType="separate"/>
    </w:r>
    <w:r>
      <w:t>2</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3"/>
      <w:bidi w:val="0"/>
    </w:pPr>
    <w:r>
      <w:fldChar w:fldCharType="begin"/>
    </w:r>
    <w:r>
      <w:instrText xml:space="preserve">PAGE   \* MERGEFORMAT</w:instrText>
    </w:r>
    <w:r>
      <w:fldChar w:fldCharType="separate"/>
    </w:r>
    <w:r>
      <w:rPr>
        <w:lang w:val="zh-CN"/>
      </w:rPr>
      <w:t>1</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bidi w:val="0"/>
    </w:pPr>
    <w:r>
      <w:fldChar w:fldCharType="begin"/>
    </w:r>
    <w:r>
      <w:instrText xml:space="preserve"> PAGE   \* MERGEFORMAT \* MERGEFORMAT </w:instrText>
    </w:r>
    <w:r>
      <w:fldChar w:fldCharType="separate"/>
    </w:r>
    <w:r>
      <w:t>6</w:t>
    </w:r>
    <w: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3"/>
      <w:bidi w:val="0"/>
    </w:pPr>
    <w:r>
      <w:fldChar w:fldCharType="begin"/>
    </w:r>
    <w:r>
      <w:instrText xml:space="preserve">PAGE   \* MERGEFORMAT</w:instrText>
    </w:r>
    <w:r>
      <w:fldChar w:fldCharType="separate"/>
    </w:r>
    <w:r>
      <w:rPr>
        <w:lang w:val="zh-CN"/>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wordWrap w:val="0"/>
      <w:jc w:val="right"/>
      <w:rPr>
        <w:rFonts w:hint="eastAsia"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bidi w:val="0"/>
      <w:rPr>
        <w:rFonts w:hint="eastAsia"/>
      </w:rPr>
    </w:pPr>
    <w:r>
      <w:fldChar w:fldCharType="begin"/>
    </w:r>
    <w:r>
      <w:instrText xml:space="preserve"> STYLEREF  标准文件_文件编号  \* MERGEFORMAT </w:instrText>
    </w:r>
    <w:r>
      <w:fldChar w:fldCharType="separate"/>
    </w:r>
    <w:r>
      <w:t>DB31/T XXXX—XXXX</w:t>
    </w:r>
    <w:r>
      <w:fldChar w:fldCharType="end"/>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3"/>
      <w:bidi w:val="0"/>
      <w:rPr>
        <w:lang w:val="fr-FR"/>
      </w:rPr>
    </w:pPr>
    <w:r>
      <w:fldChar w:fldCharType="begin"/>
    </w:r>
    <w:r>
      <w:instrText xml:space="preserve"> STYLEREF  标准文件_文件编号 \* MERGEFORMAT </w:instrText>
    </w:r>
    <w:r>
      <w:fldChar w:fldCharType="separate"/>
    </w:r>
    <w:r>
      <w:t>DB31/T XXXX—XXXX</w:t>
    </w:r>
    <w:r>
      <w:fldChar w:fldCharType="end"/>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bidi w:val="0"/>
      <w:rPr>
        <w:rFonts w:hint="eastAsia"/>
      </w:rPr>
    </w:pPr>
    <w:r>
      <w:fldChar w:fldCharType="begin"/>
    </w:r>
    <w:r>
      <w:instrText xml:space="preserve"> STYLEREF  标准文件_文件编号  \* MERGEFORMAT </w:instrText>
    </w:r>
    <w:r>
      <w:fldChar w:fldCharType="separate"/>
    </w:r>
    <w:r>
      <w:t>DB31/T XXXX—XXXX</w:t>
    </w:r>
    <w:r>
      <w:fldChar w:fldCharType="end"/>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3"/>
      <w:bidi w:val="0"/>
      <w:rPr>
        <w:lang w:val="fr-FR"/>
      </w:rPr>
    </w:pPr>
    <w:r>
      <w:fldChar w:fldCharType="begin"/>
    </w:r>
    <w:r>
      <w:instrText xml:space="preserve"> STYLEREF  标准文件_文件编号 \* MERGEFORMAT </w:instrText>
    </w:r>
    <w:r>
      <w:fldChar w:fldCharType="separate"/>
    </w:r>
    <w:r>
      <w:t>DB31/T XXXX—XXXX</w:t>
    </w:r>
    <w:r>
      <w:fldChar w:fldCharType="end"/>
    </w: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bidi w:val="0"/>
      <w:rPr>
        <w:rFonts w:hint="eastAsia"/>
      </w:rPr>
    </w:pPr>
    <w:r>
      <w:fldChar w:fldCharType="begin"/>
    </w:r>
    <w:r>
      <w:instrText xml:space="preserve"> STYLEREF  标准文件_文件编号  \* MERGEFORMAT </w:instrText>
    </w:r>
    <w:r>
      <w:fldChar w:fldCharType="separate"/>
    </w:r>
    <w:r>
      <w:t>DB31/T XXXX—XXXX</w:t>
    </w:r>
    <w:r>
      <w:fldChar w:fldCharType="end"/>
    </w: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3"/>
      <w:bidi w:val="0"/>
      <w:rPr>
        <w:lang w:val="fr-FR"/>
      </w:rPr>
    </w:pPr>
    <w:r>
      <w:fldChar w:fldCharType="begin"/>
    </w:r>
    <w:r>
      <w:instrText xml:space="preserve"> STYLEREF  标准文件_文件编号 \* MERGEFORMAT </w:instrText>
    </w:r>
    <w:r>
      <w:fldChar w:fldCharType="separate"/>
    </w:r>
    <w:r>
      <w:t>DB31/T XXXX—XXXX</w:t>
    </w:r>
    <w:r>
      <w:fldChar w:fldCharType="end"/>
    </w: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bidi w:val="0"/>
      <w:rPr>
        <w:rFonts w:hint="eastAsia"/>
      </w:rPr>
    </w:pPr>
    <w:r>
      <w:fldChar w:fldCharType="begin"/>
    </w:r>
    <w:r>
      <w:instrText xml:space="preserve"> STYLEREF  标准文件_文件编号  \* MERGEFORMAT </w:instrText>
    </w:r>
    <w:r>
      <w:fldChar w:fldCharType="separate"/>
    </w:r>
    <w:r>
      <w:t>DB31/T XXXX—XXXX</w:t>
    </w:r>
    <w:r>
      <w:fldChar w:fldCharType="end"/>
    </w: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3"/>
      <w:bidi w:val="0"/>
      <w:rPr>
        <w:lang w:val="fr-FR"/>
      </w:rPr>
    </w:pPr>
    <w:r>
      <w:fldChar w:fldCharType="begin"/>
    </w:r>
    <w:r>
      <w:instrText xml:space="preserve"> STYLEREF  标准文件_文件编号 \* MERGEFORMAT </w:instrText>
    </w:r>
    <w:r>
      <w:fldChar w:fldCharType="separate"/>
    </w:r>
    <w:r>
      <w:t>DB31/T XXXX—XXXX</w:t>
    </w:r>
    <w:r>
      <w:fldChar w:fldCharType="end"/>
    </w: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bidi w:val="0"/>
      <w:rPr>
        <w:rFonts w:hint="eastAsia"/>
      </w:rPr>
    </w:pPr>
    <w:r>
      <w:fldChar w:fldCharType="begin"/>
    </w:r>
    <w:r>
      <w:instrText xml:space="preserve"> STYLEREF  标准文件_文件编号  \* MERGEFORMAT </w:instrText>
    </w:r>
    <w:r>
      <w:fldChar w:fldCharType="separate"/>
    </w:r>
    <w:r>
      <w:t>DB31/T XXXX—XXXX</w:t>
    </w:r>
    <w:r>
      <w:fldChar w:fldCharType="end"/>
    </w: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3"/>
      <w:bidi w:val="0"/>
      <w:rPr>
        <w:lang w:val="fr-FR"/>
      </w:rPr>
    </w:pPr>
    <w:r>
      <w:fldChar w:fldCharType="begin"/>
    </w:r>
    <w:r>
      <w:instrText xml:space="preserve"> STYLEREF  标准文件_文件编号 \* MERGEFORMAT </w:instrText>
    </w:r>
    <w:r>
      <w:fldChar w:fldCharType="separate"/>
    </w:r>
    <w:r>
      <w:t>DB31/T XXXX—XXXX</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p>
</w:hdr>
</file>

<file path=word/header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bidi w:val="0"/>
      <w:rPr>
        <w:rFonts w:hint="eastAsia"/>
      </w:rPr>
    </w:pPr>
    <w:r>
      <w:fldChar w:fldCharType="begin"/>
    </w:r>
    <w:r>
      <w:instrText xml:space="preserve"> STYLEREF  标准文件_文件编号  \* MERGEFORMAT </w:instrText>
    </w:r>
    <w:r>
      <w:fldChar w:fldCharType="separate"/>
    </w:r>
    <w:r>
      <w:t>DB31/T XXXX—XXXX</w:t>
    </w:r>
    <w:r>
      <w:fldChar w:fldCharType="end"/>
    </w:r>
  </w:p>
</w:hdr>
</file>

<file path=word/header2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3"/>
      <w:bidi w:val="0"/>
      <w:rPr>
        <w:lang w:val="fr-FR"/>
      </w:rPr>
    </w:pPr>
    <w:r>
      <w:fldChar w:fldCharType="begin"/>
    </w:r>
    <w:r>
      <w:instrText xml:space="preserve"> STYLEREF  标准文件_文件编号 \* MERGEFORMAT </w:instrText>
    </w:r>
    <w:r>
      <w:fldChar w:fldCharType="separate"/>
    </w:r>
    <w:r>
      <w:t>DB31/T XXXX—XXXX</w:t>
    </w:r>
    <w: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bidi w:val="0"/>
      <w:rPr>
        <w:rFonts w:hint="eastAsia"/>
      </w:rPr>
    </w:pPr>
    <w:r>
      <w:fldChar w:fldCharType="begin"/>
    </w:r>
    <w:r>
      <w:instrText xml:space="preserve"> STYLEREF  标准文件_文件编号  \* MERGEFORMAT </w:instrText>
    </w:r>
    <w:r>
      <w:fldChar w:fldCharType="separate"/>
    </w:r>
    <w:r>
      <w:t>DB31/T 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3"/>
      <w:bidi w:val="0"/>
      <w:rPr>
        <w:lang w:val="fr-FR"/>
      </w:rPr>
    </w:pPr>
    <w:r>
      <w:fldChar w:fldCharType="begin"/>
    </w:r>
    <w:r>
      <w:instrText xml:space="preserve"> STYLEREF  标准文件_文件编号 \* MERGEFORMAT </w:instrText>
    </w:r>
    <w:r>
      <w:fldChar w:fldCharType="separate"/>
    </w:r>
    <w:r>
      <w:t>DB31/T XXXX—XXXX</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bidi w:val="0"/>
      <w:rPr>
        <w:rFonts w:hint="eastAsia"/>
      </w:rPr>
    </w:pPr>
    <w:r>
      <w:fldChar w:fldCharType="begin"/>
    </w:r>
    <w:r>
      <w:instrText xml:space="preserve"> STYLEREF  标准文件_文件编号  \* MERGEFORMAT </w:instrText>
    </w:r>
    <w:r>
      <w:fldChar w:fldCharType="separate"/>
    </w:r>
    <w:r>
      <w:t>DB31/T XXXX—XXXX</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3"/>
      <w:bidi w:val="0"/>
      <w:rPr>
        <w:lang w:val="fr-FR"/>
      </w:rPr>
    </w:pPr>
    <w:r>
      <w:fldChar w:fldCharType="begin"/>
    </w:r>
    <w:r>
      <w:instrText xml:space="preserve"> STYLEREF  标准文件_文件编号 \* MERGEFORMAT </w:instrText>
    </w:r>
    <w:r>
      <w:fldChar w:fldCharType="separate"/>
    </w:r>
    <w:r>
      <w:t>DB31/T XXXX—XXXX</w:t>
    </w:r>
    <w: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bidi w:val="0"/>
      <w:rPr>
        <w:rFonts w:hint="eastAsia"/>
      </w:rPr>
    </w:pPr>
    <w:r>
      <w:fldChar w:fldCharType="begin"/>
    </w:r>
    <w:r>
      <w:instrText xml:space="preserve"> STYLEREF  标准文件_文件编号  \* MERGEFORMAT </w:instrText>
    </w:r>
    <w:r>
      <w:fldChar w:fldCharType="separate"/>
    </w:r>
    <w:r>
      <w:t>DB31/T XXXX—XXXX</w:t>
    </w:r>
    <w:r>
      <w:fldChar w:fldCharType="end"/>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3"/>
      <w:bidi w:val="0"/>
      <w:rPr>
        <w:lang w:val="fr-FR"/>
      </w:rPr>
    </w:pPr>
    <w:r>
      <w:fldChar w:fldCharType="begin"/>
    </w:r>
    <w:r>
      <w:instrText xml:space="preserve"> STYLEREF  标准文件_文件编号 \* MERGEFORMAT </w:instrText>
    </w:r>
    <w:r>
      <w:fldChar w:fldCharType="separate"/>
    </w:r>
    <w:r>
      <w:t>DB31/T 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DE00215"/>
    <w:multiLevelType w:val="multilevel"/>
    <w:tmpl w:val="8DE00215"/>
    <w:lvl w:ilvl="0" w:tentative="0">
      <w:start w:val="1"/>
      <w:numFmt w:val="lowerLetter"/>
      <w:lvlText w:val="%1)"/>
      <w:lvlJc w:val="left"/>
      <w:pPr>
        <w:tabs>
          <w:tab w:val="left" w:pos="851"/>
        </w:tabs>
        <w:ind w:left="851" w:hanging="426"/>
      </w:pPr>
      <w:rPr>
        <w:rFonts w:hint="eastAsia" w:ascii="宋体" w:hAnsi="Times New Roman" w:eastAsia="宋体"/>
        <w:sz w:val="21"/>
      </w:rPr>
    </w:lvl>
    <w:lvl w:ilvl="1" w:tentative="0">
      <w:start w:val="1"/>
      <w:numFmt w:val="decimal"/>
      <w:lvlText w:val="%2)"/>
      <w:lvlJc w:val="left"/>
      <w:pPr>
        <w:tabs>
          <w:tab w:val="left" w:pos="1276"/>
        </w:tabs>
        <w:ind w:left="1276" w:hanging="425"/>
      </w:pPr>
      <w:rPr>
        <w:rFonts w:hint="eastAsia" w:ascii="宋体" w:hAnsi="Times New Roman" w:eastAsia="宋体"/>
        <w:sz w:val="21"/>
      </w:rPr>
    </w:lvl>
    <w:lvl w:ilvl="2" w:tentative="0">
      <w:start w:val="1"/>
      <w:numFmt w:val="decimal"/>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
    <w:nsid w:val="B4A713CA"/>
    <w:multiLevelType w:val="singleLevel"/>
    <w:tmpl w:val="B4A713CA"/>
    <w:lvl w:ilvl="0" w:tentative="0">
      <w:start w:val="1"/>
      <w:numFmt w:val="decimal"/>
      <w:suff w:val="nothing"/>
      <w:lvlText w:val="%1、"/>
      <w:lvlJc w:val="left"/>
    </w:lvl>
  </w:abstractNum>
  <w:abstractNum w:abstractNumId="2">
    <w:nsid w:val="02837933"/>
    <w:multiLevelType w:val="multilevel"/>
    <w:tmpl w:val="02837933"/>
    <w:lvl w:ilvl="0" w:tentative="0">
      <w:start w:val="1"/>
      <w:numFmt w:val="decimal"/>
      <w:pStyle w:val="65"/>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3">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0"/>
      <w:suff w:val="nothing"/>
      <w:lvlText w:val="%1%2.%3　"/>
      <w:lvlJc w:val="left"/>
      <w:pPr>
        <w:ind w:left="0" w:firstLine="0"/>
      </w:pPr>
    </w:lvl>
    <w:lvl w:ilvl="3" w:tentative="0">
      <w:start w:val="1"/>
      <w:numFmt w:val="decimal"/>
      <w:pStyle w:val="119"/>
      <w:suff w:val="nothing"/>
      <w:lvlText w:val="%1%2.%3.%4　"/>
      <w:lvlJc w:val="left"/>
      <w:pPr>
        <w:ind w:left="0" w:firstLine="0"/>
      </w:pPr>
    </w:lvl>
    <w:lvl w:ilvl="4" w:tentative="0">
      <w:start w:val="1"/>
      <w:numFmt w:val="decimal"/>
      <w:pStyle w:val="154"/>
      <w:suff w:val="nothing"/>
      <w:lvlText w:val="%1%2.%3.%4.%5　"/>
      <w:lvlJc w:val="left"/>
      <w:pPr>
        <w:ind w:left="0" w:firstLine="0"/>
      </w:pPr>
    </w:lvl>
    <w:lvl w:ilvl="5" w:tentative="0">
      <w:start w:val="1"/>
      <w:numFmt w:val="decimal"/>
      <w:pStyle w:val="156"/>
      <w:suff w:val="nothing"/>
      <w:lvlText w:val="%1%2.%3.%4.%5.%6　"/>
      <w:lvlJc w:val="left"/>
      <w:pPr>
        <w:ind w:left="0" w:firstLine="0"/>
      </w:pPr>
    </w:lvl>
    <w:lvl w:ilvl="6" w:tentative="0">
      <w:start w:val="1"/>
      <w:numFmt w:val="decimal"/>
      <w:pStyle w:val="159"/>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4">
    <w:nsid w:val="079102AD"/>
    <w:multiLevelType w:val="multilevel"/>
    <w:tmpl w:val="079102AD"/>
    <w:lvl w:ilvl="0" w:tentative="0">
      <w:start w:val="1"/>
      <w:numFmt w:val="decimal"/>
      <w:pStyle w:val="181"/>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5">
    <w:nsid w:val="07ED3FEA"/>
    <w:multiLevelType w:val="multilevel"/>
    <w:tmpl w:val="07ED3FEA"/>
    <w:lvl w:ilvl="0" w:tentative="0">
      <w:start w:val="1"/>
      <w:numFmt w:val="none"/>
      <w:pStyle w:val="90"/>
      <w:lvlText w:val="%1"/>
      <w:lvlJc w:val="left"/>
      <w:pPr>
        <w:ind w:left="425" w:hanging="425"/>
      </w:pPr>
      <w:rPr>
        <w:rFonts w:hint="eastAsia"/>
      </w:rPr>
    </w:lvl>
    <w:lvl w:ilvl="1" w:tentative="0">
      <w:start w:val="1"/>
      <w:numFmt w:val="decimal"/>
      <w:pStyle w:val="201"/>
      <w:suff w:val="nothing"/>
      <w:lvlText w:val="%10.%2 "/>
      <w:lvlJc w:val="left"/>
      <w:pPr>
        <w:ind w:left="0" w:firstLine="0"/>
      </w:pPr>
      <w:rPr>
        <w:rFonts w:hint="eastAsia" w:ascii="黑体" w:eastAsia="黑体" w:hAnsiTheme="minorHAnsi"/>
        <w:b w:val="0"/>
        <w:i w:val="0"/>
        <w:sz w:val="21"/>
      </w:rPr>
    </w:lvl>
    <w:lvl w:ilvl="2" w:tentative="0">
      <w:start w:val="1"/>
      <w:numFmt w:val="decimal"/>
      <w:pStyle w:val="202"/>
      <w:suff w:val="nothing"/>
      <w:lvlText w:val="%10.%2.%3 "/>
      <w:lvlJc w:val="left"/>
      <w:pPr>
        <w:ind w:left="0" w:firstLine="0"/>
      </w:pPr>
      <w:rPr>
        <w:rFonts w:hint="eastAsia" w:ascii="黑体" w:eastAsia="黑体" w:hAnsiTheme="minorHAnsi"/>
        <w:b w:val="0"/>
        <w:i w:val="0"/>
        <w:sz w:val="21"/>
      </w:rPr>
    </w:lvl>
    <w:lvl w:ilvl="3" w:tentative="0">
      <w:start w:val="1"/>
      <w:numFmt w:val="decimal"/>
      <w:pStyle w:val="203"/>
      <w:suff w:val="nothing"/>
      <w:lvlText w:val="%10.%2.%3.%4 "/>
      <w:lvlJc w:val="left"/>
      <w:pPr>
        <w:ind w:left="0" w:firstLine="0"/>
      </w:pPr>
      <w:rPr>
        <w:rFonts w:hint="eastAsia" w:ascii="黑体" w:eastAsia="黑体" w:hAnsiTheme="minorHAnsi"/>
        <w:b w:val="0"/>
        <w:i w:val="0"/>
        <w:sz w:val="21"/>
      </w:rPr>
    </w:lvl>
    <w:lvl w:ilvl="4" w:tentative="0">
      <w:start w:val="1"/>
      <w:numFmt w:val="decimal"/>
      <w:pStyle w:val="204"/>
      <w:suff w:val="nothing"/>
      <w:lvlText w:val="%10.%2.%3.%4.%5 "/>
      <w:lvlJc w:val="left"/>
      <w:pPr>
        <w:ind w:left="0" w:firstLine="0"/>
      </w:pPr>
      <w:rPr>
        <w:rFonts w:hint="eastAsia" w:ascii="黑体" w:eastAsia="黑体" w:hAnsiTheme="minorHAnsi"/>
        <w:b w:val="0"/>
        <w:i w:val="0"/>
        <w:sz w:val="21"/>
      </w:rPr>
    </w:lvl>
    <w:lvl w:ilvl="5" w:tentative="0">
      <w:start w:val="1"/>
      <w:numFmt w:val="decimal"/>
      <w:pStyle w:val="205"/>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6">
    <w:nsid w:val="0AE367E9"/>
    <w:multiLevelType w:val="multilevel"/>
    <w:tmpl w:val="0AE367E9"/>
    <w:lvl w:ilvl="0" w:tentative="0">
      <w:start w:val="1"/>
      <w:numFmt w:val="none"/>
      <w:pStyle w:val="182"/>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7">
    <w:nsid w:val="0BDC1670"/>
    <w:multiLevelType w:val="multilevel"/>
    <w:tmpl w:val="0BDC1670"/>
    <w:lvl w:ilvl="0" w:tentative="0">
      <w:start w:val="1"/>
      <w:numFmt w:val="decimal"/>
      <w:pStyle w:val="68"/>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0D051F45"/>
    <w:multiLevelType w:val="multilevel"/>
    <w:tmpl w:val="0D051F45"/>
    <w:lvl w:ilvl="0" w:tentative="0">
      <w:start w:val="1"/>
      <w:numFmt w:val="lowerRoman"/>
      <w:pStyle w:val="170"/>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9">
    <w:nsid w:val="1AD20F90"/>
    <w:multiLevelType w:val="multilevel"/>
    <w:tmpl w:val="1AD20F90"/>
    <w:lvl w:ilvl="0" w:tentative="0">
      <w:start w:val="1"/>
      <w:numFmt w:val="none"/>
      <w:pStyle w:val="111"/>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0">
    <w:nsid w:val="1AF15012"/>
    <w:multiLevelType w:val="multilevel"/>
    <w:tmpl w:val="1AF15012"/>
    <w:lvl w:ilvl="0" w:tentative="0">
      <w:start w:val="1"/>
      <w:numFmt w:val="upperLetter"/>
      <w:pStyle w:val="86"/>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11">
    <w:nsid w:val="1EAA1992"/>
    <w:multiLevelType w:val="multilevel"/>
    <w:tmpl w:val="1EAA1992"/>
    <w:lvl w:ilvl="0" w:tentative="0">
      <w:start w:val="1"/>
      <w:numFmt w:val="none"/>
      <w:pStyle w:val="93"/>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2">
    <w:nsid w:val="2C5917C3"/>
    <w:multiLevelType w:val="multilevel"/>
    <w:tmpl w:val="2C5917C3"/>
    <w:lvl w:ilvl="0" w:tentative="0">
      <w:start w:val="1"/>
      <w:numFmt w:val="none"/>
      <w:pStyle w:val="133"/>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8"/>
      <w:lvlText w:val=""/>
      <w:lvlJc w:val="left"/>
      <w:pPr>
        <w:ind w:left="851" w:hanging="431"/>
      </w:pPr>
      <w:rPr>
        <w:rFonts w:hint="default" w:ascii="Symbol" w:hAnsi="Symbol"/>
        <w:sz w:val="21"/>
      </w:rPr>
    </w:lvl>
    <w:lvl w:ilvl="2" w:tentative="0">
      <w:start w:val="1"/>
      <w:numFmt w:val="bullet"/>
      <w:pStyle w:val="173"/>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3">
    <w:nsid w:val="32F04FB2"/>
    <w:multiLevelType w:val="multilevel"/>
    <w:tmpl w:val="32F04FB2"/>
    <w:lvl w:ilvl="0" w:tentative="0">
      <w:start w:val="1"/>
      <w:numFmt w:val="lowerLetter"/>
      <w:pStyle w:val="102"/>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4">
    <w:nsid w:val="3C0B0E2D"/>
    <w:multiLevelType w:val="multilevel"/>
    <w:tmpl w:val="3C0B0E2D"/>
    <w:lvl w:ilvl="0" w:tentative="0">
      <w:start w:val="1"/>
      <w:numFmt w:val="lowerLetter"/>
      <w:pStyle w:val="175"/>
      <w:lvlText w:val="%1)"/>
      <w:lvlJc w:val="left"/>
      <w:pPr>
        <w:tabs>
          <w:tab w:val="left" w:pos="851"/>
        </w:tabs>
        <w:ind w:left="851" w:hanging="426"/>
      </w:pPr>
      <w:rPr>
        <w:rFonts w:hint="eastAsia" w:ascii="宋体" w:hAnsi="Times New Roman" w:eastAsia="宋体"/>
        <w:sz w:val="21"/>
      </w:rPr>
    </w:lvl>
    <w:lvl w:ilvl="1" w:tentative="0">
      <w:start w:val="1"/>
      <w:numFmt w:val="decimal"/>
      <w:pStyle w:val="110"/>
      <w:lvlText w:val="%2)"/>
      <w:lvlJc w:val="left"/>
      <w:pPr>
        <w:tabs>
          <w:tab w:val="left" w:pos="1276"/>
        </w:tabs>
        <w:ind w:left="1276" w:hanging="425"/>
      </w:pPr>
      <w:rPr>
        <w:rFonts w:hint="eastAsia" w:ascii="宋体" w:hAnsi="Times New Roman" w:eastAsia="宋体"/>
        <w:sz w:val="21"/>
      </w:rPr>
    </w:lvl>
    <w:lvl w:ilvl="2" w:tentative="0">
      <w:start w:val="1"/>
      <w:numFmt w:val="decimal"/>
      <w:pStyle w:val="118"/>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5">
    <w:nsid w:val="48802D1C"/>
    <w:multiLevelType w:val="multilevel"/>
    <w:tmpl w:val="48802D1C"/>
    <w:lvl w:ilvl="0" w:tentative="0">
      <w:start w:val="1"/>
      <w:numFmt w:val="upperLetter"/>
      <w:pStyle w:val="199"/>
      <w:lvlText w:val="%1"/>
      <w:lvlJc w:val="left"/>
      <w:pPr>
        <w:ind w:left="420" w:hanging="420"/>
      </w:pPr>
      <w:rPr>
        <w:rFonts w:hint="eastAsia"/>
      </w:rPr>
    </w:lvl>
    <w:lvl w:ilvl="1" w:tentative="0">
      <w:start w:val="1"/>
      <w:numFmt w:val="decimal"/>
      <w:pStyle w:val="84"/>
      <w:suff w:val="space"/>
      <w:lvlText w:val="图%1.%2 "/>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6">
    <w:nsid w:val="4B733A5F"/>
    <w:multiLevelType w:val="multilevel"/>
    <w:tmpl w:val="4B733A5F"/>
    <w:lvl w:ilvl="0" w:tentative="0">
      <w:start w:val="1"/>
      <w:numFmt w:val="decimal"/>
      <w:pStyle w:val="184"/>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7">
    <w:nsid w:val="4E5D0534"/>
    <w:multiLevelType w:val="multilevel"/>
    <w:tmpl w:val="4E5D0534"/>
    <w:lvl w:ilvl="0" w:tentative="0">
      <w:start w:val="1"/>
      <w:numFmt w:val="decimal"/>
      <w:pStyle w:val="117"/>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4632751"/>
    <w:multiLevelType w:val="multilevel"/>
    <w:tmpl w:val="54632751"/>
    <w:lvl w:ilvl="0" w:tentative="0">
      <w:start w:val="1"/>
      <w:numFmt w:val="none"/>
      <w:pStyle w:val="94"/>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9">
    <w:nsid w:val="557C2AF5"/>
    <w:multiLevelType w:val="multilevel"/>
    <w:tmpl w:val="557C2AF5"/>
    <w:lvl w:ilvl="0" w:tentative="0">
      <w:start w:val="1"/>
      <w:numFmt w:val="decimal"/>
      <w:pStyle w:val="115"/>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20">
    <w:nsid w:val="5603797C"/>
    <w:multiLevelType w:val="multilevel"/>
    <w:tmpl w:val="5603797C"/>
    <w:lvl w:ilvl="0" w:tentative="0">
      <w:start w:val="1"/>
      <w:numFmt w:val="upperLetter"/>
      <w:pStyle w:val="200"/>
      <w:suff w:val="space"/>
      <w:lvlText w:val="%1"/>
      <w:lvlJc w:val="left"/>
      <w:pPr>
        <w:ind w:left="425" w:hanging="425"/>
      </w:pPr>
      <w:rPr>
        <w:rFonts w:hint="eastAsia"/>
      </w:rPr>
    </w:lvl>
    <w:lvl w:ilvl="1" w:tentative="0">
      <w:start w:val="1"/>
      <w:numFmt w:val="decimal"/>
      <w:pStyle w:val="78"/>
      <w:suff w:val="space"/>
      <w:lvlText w:val="表%1.%2 "/>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1">
    <w:nsid w:val="564D2089"/>
    <w:multiLevelType w:val="multilevel"/>
    <w:tmpl w:val="564D2089"/>
    <w:lvl w:ilvl="0" w:tentative="0">
      <w:start w:val="1"/>
      <w:numFmt w:val="none"/>
      <w:pStyle w:val="112"/>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2">
    <w:nsid w:val="5C1F8FD7"/>
    <w:multiLevelType w:val="multilevel"/>
    <w:tmpl w:val="5C1F8FD7"/>
    <w:lvl w:ilvl="0" w:tentative="0">
      <w:start w:val="1"/>
      <w:numFmt w:val="lowerLetter"/>
      <w:lvlText w:val="%1)"/>
      <w:lvlJc w:val="left"/>
      <w:pPr>
        <w:tabs>
          <w:tab w:val="left" w:pos="851"/>
        </w:tabs>
        <w:ind w:left="851" w:hanging="426"/>
      </w:pPr>
      <w:rPr>
        <w:rFonts w:hint="eastAsia" w:ascii="宋体" w:hAnsi="Times New Roman" w:eastAsia="宋体"/>
        <w:sz w:val="21"/>
      </w:rPr>
    </w:lvl>
    <w:lvl w:ilvl="1" w:tentative="0">
      <w:start w:val="1"/>
      <w:numFmt w:val="decimal"/>
      <w:lvlText w:val="%2)"/>
      <w:lvlJc w:val="left"/>
      <w:pPr>
        <w:tabs>
          <w:tab w:val="left" w:pos="1276"/>
        </w:tabs>
        <w:ind w:left="1276" w:hanging="425"/>
      </w:pPr>
      <w:rPr>
        <w:rFonts w:hint="eastAsia" w:ascii="宋体" w:hAnsi="Times New Roman" w:eastAsia="宋体"/>
        <w:sz w:val="21"/>
      </w:rPr>
    </w:lvl>
    <w:lvl w:ilvl="2" w:tentative="0">
      <w:start w:val="1"/>
      <w:numFmt w:val="decimal"/>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23">
    <w:nsid w:val="644622F9"/>
    <w:multiLevelType w:val="multilevel"/>
    <w:tmpl w:val="644622F9"/>
    <w:lvl w:ilvl="0" w:tentative="0">
      <w:start w:val="1"/>
      <w:numFmt w:val="upp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4">
    <w:nsid w:val="646260FA"/>
    <w:multiLevelType w:val="multilevel"/>
    <w:tmpl w:val="646260FA"/>
    <w:lvl w:ilvl="0" w:tentative="0">
      <w:start w:val="1"/>
      <w:numFmt w:val="decimal"/>
      <w:pStyle w:val="113"/>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5">
    <w:nsid w:val="654A26C9"/>
    <w:multiLevelType w:val="multilevel"/>
    <w:tmpl w:val="654A26C9"/>
    <w:lvl w:ilvl="0" w:tentative="0">
      <w:start w:val="1"/>
      <w:numFmt w:val="none"/>
      <w:pStyle w:val="190"/>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6">
    <w:nsid w:val="657D3FBC"/>
    <w:multiLevelType w:val="multilevel"/>
    <w:tmpl w:val="657D3FBC"/>
    <w:lvl w:ilvl="0" w:tentative="0">
      <w:start w:val="1"/>
      <w:numFmt w:val="upperLetter"/>
      <w:pStyle w:val="77"/>
      <w:suff w:val="nothing"/>
      <w:lvlText w:val="附录%1"/>
      <w:lvlJc w:val="left"/>
      <w:pPr>
        <w:ind w:left="0" w:firstLine="0"/>
      </w:pPr>
      <w:rPr>
        <w:rFonts w:hint="eastAsia"/>
        <w:spacing w:val="100"/>
      </w:rPr>
    </w:lvl>
    <w:lvl w:ilvl="1" w:tentative="0">
      <w:start w:val="1"/>
      <w:numFmt w:val="decimal"/>
      <w:pStyle w:val="79"/>
      <w:suff w:val="nothing"/>
      <w:lvlText w:val="%1.%2　"/>
      <w:lvlJc w:val="left"/>
      <w:pPr>
        <w:ind w:left="0" w:firstLine="0"/>
      </w:pPr>
      <w:rPr>
        <w:rFonts w:hint="eastAsia" w:ascii="黑体" w:eastAsia="黑体"/>
        <w:b w:val="0"/>
        <w:i w:val="0"/>
        <w:sz w:val="21"/>
      </w:rPr>
    </w:lvl>
    <w:lvl w:ilvl="2" w:tentative="0">
      <w:start w:val="1"/>
      <w:numFmt w:val="decimal"/>
      <w:pStyle w:val="80"/>
      <w:suff w:val="nothing"/>
      <w:lvlText w:val="%1.%2.%3　"/>
      <w:lvlJc w:val="left"/>
      <w:pPr>
        <w:ind w:left="0" w:firstLine="0"/>
      </w:pPr>
      <w:rPr>
        <w:rFonts w:hint="eastAsia" w:ascii="黑体" w:eastAsia="黑体"/>
        <w:b w:val="0"/>
        <w:i w:val="0"/>
        <w:sz w:val="21"/>
      </w:rPr>
    </w:lvl>
    <w:lvl w:ilvl="3" w:tentative="0">
      <w:start w:val="1"/>
      <w:numFmt w:val="decimal"/>
      <w:pStyle w:val="82"/>
      <w:suff w:val="nothing"/>
      <w:lvlText w:val="%1.%2.%3.%4　"/>
      <w:lvlJc w:val="left"/>
      <w:pPr>
        <w:ind w:left="0" w:firstLine="0"/>
      </w:pPr>
      <w:rPr>
        <w:rFonts w:hint="eastAsia" w:ascii="黑体" w:eastAsia="黑体"/>
        <w:b w:val="0"/>
        <w:i w:val="0"/>
        <w:sz w:val="21"/>
      </w:rPr>
    </w:lvl>
    <w:lvl w:ilvl="4" w:tentative="0">
      <w:start w:val="1"/>
      <w:numFmt w:val="decimal"/>
      <w:pStyle w:val="83"/>
      <w:suff w:val="nothing"/>
      <w:lvlText w:val="%1.%2.%3.%4.%5　"/>
      <w:lvlJc w:val="left"/>
      <w:pPr>
        <w:ind w:left="0" w:firstLine="0"/>
      </w:pPr>
      <w:rPr>
        <w:rFonts w:hint="eastAsia" w:ascii="黑体" w:eastAsia="黑体"/>
        <w:b w:val="0"/>
        <w:i w:val="0"/>
        <w:sz w:val="21"/>
      </w:rPr>
    </w:lvl>
    <w:lvl w:ilvl="5" w:tentative="0">
      <w:start w:val="1"/>
      <w:numFmt w:val="decimal"/>
      <w:pStyle w:val="85"/>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7">
    <w:nsid w:val="69506ABF"/>
    <w:multiLevelType w:val="multilevel"/>
    <w:tmpl w:val="69506ABF"/>
    <w:lvl w:ilvl="0" w:tentative="0">
      <w:start w:val="1"/>
      <w:numFmt w:val="bullet"/>
      <w:pStyle w:val="189"/>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8">
    <w:nsid w:val="6CA41985"/>
    <w:multiLevelType w:val="multilevel"/>
    <w:tmpl w:val="6CA41985"/>
    <w:lvl w:ilvl="0" w:tentative="0">
      <w:start w:val="1"/>
      <w:numFmt w:val="decimal"/>
      <w:pStyle w:val="98"/>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9">
    <w:nsid w:val="6CE42AC1"/>
    <w:multiLevelType w:val="multilevel"/>
    <w:tmpl w:val="6CE42AC1"/>
    <w:lvl w:ilvl="0" w:tentative="0">
      <w:start w:val="1"/>
      <w:numFmt w:val="lowerLetter"/>
      <w:pStyle w:val="174"/>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0">
    <w:nsid w:val="6CEA2025"/>
    <w:multiLevelType w:val="multilevel"/>
    <w:tmpl w:val="6CEA2025"/>
    <w:lvl w:ilvl="0" w:tentative="0">
      <w:start w:val="1"/>
      <w:numFmt w:val="none"/>
      <w:pStyle w:val="153"/>
      <w:suff w:val="nothing"/>
      <w:lvlText w:val="%1"/>
      <w:lvlJc w:val="left"/>
      <w:pPr>
        <w:ind w:left="0" w:firstLine="0"/>
      </w:pPr>
      <w:rPr>
        <w:rFonts w:hint="eastAsia"/>
      </w:rPr>
    </w:lvl>
    <w:lvl w:ilvl="1" w:tentative="0">
      <w:start w:val="1"/>
      <w:numFmt w:val="decimal"/>
      <w:pStyle w:val="105"/>
      <w:suff w:val="nothing"/>
      <w:lvlText w:val="%1%2　"/>
      <w:lvlJc w:val="left"/>
      <w:pPr>
        <w:ind w:left="0" w:firstLine="0"/>
      </w:pPr>
      <w:rPr>
        <w:rFonts w:hint="eastAsia" w:ascii="黑体" w:eastAsia="黑体"/>
        <w:b w:val="0"/>
        <w:i w:val="0"/>
        <w:sz w:val="21"/>
      </w:rPr>
    </w:lvl>
    <w:lvl w:ilvl="2" w:tentative="0">
      <w:start w:val="1"/>
      <w:numFmt w:val="decimal"/>
      <w:pStyle w:val="106"/>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3" w:tentative="0">
      <w:start w:val="1"/>
      <w:numFmt w:val="decimal"/>
      <w:pStyle w:val="66"/>
      <w:suff w:val="nothing"/>
      <w:lvlText w:val="%1%2.%3.%4　"/>
      <w:lvlJc w:val="left"/>
      <w:pPr>
        <w:ind w:left="0" w:firstLine="0"/>
      </w:pPr>
      <w:rPr>
        <w:rFonts w:hint="eastAsia" w:ascii="黑体" w:eastAsia="黑体"/>
        <w:b w:val="0"/>
        <w:i w:val="0"/>
        <w:sz w:val="21"/>
      </w:rPr>
    </w:lvl>
    <w:lvl w:ilvl="4" w:tentative="0">
      <w:start w:val="1"/>
      <w:numFmt w:val="decimal"/>
      <w:pStyle w:val="95"/>
      <w:suff w:val="nothing"/>
      <w:lvlText w:val="%1%2.%3.%4.%5　"/>
      <w:lvlJc w:val="left"/>
      <w:pPr>
        <w:ind w:left="0" w:firstLine="0"/>
      </w:pPr>
      <w:rPr>
        <w:rFonts w:hint="eastAsia" w:ascii="黑体" w:eastAsia="黑体"/>
        <w:b w:val="0"/>
        <w:i w:val="0"/>
        <w:sz w:val="21"/>
      </w:rPr>
    </w:lvl>
    <w:lvl w:ilvl="5" w:tentative="0">
      <w:start w:val="1"/>
      <w:numFmt w:val="decimal"/>
      <w:pStyle w:val="99"/>
      <w:suff w:val="nothing"/>
      <w:lvlText w:val="%1%2.%3.%4.%5.%6　"/>
      <w:lvlJc w:val="left"/>
      <w:pPr>
        <w:ind w:left="0" w:firstLine="0"/>
      </w:pPr>
      <w:rPr>
        <w:rFonts w:hint="eastAsia" w:ascii="黑体" w:eastAsia="黑体"/>
        <w:b w:val="0"/>
        <w:i w:val="0"/>
        <w:sz w:val="21"/>
      </w:rPr>
    </w:lvl>
    <w:lvl w:ilvl="6" w:tentative="0">
      <w:start w:val="1"/>
      <w:numFmt w:val="decimal"/>
      <w:pStyle w:val="104"/>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31">
    <w:nsid w:val="6DBF04F4"/>
    <w:multiLevelType w:val="multilevel"/>
    <w:tmpl w:val="6DBF04F4"/>
    <w:lvl w:ilvl="0" w:tentative="0">
      <w:start w:val="1"/>
      <w:numFmt w:val="none"/>
      <w:pStyle w:val="180"/>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32">
    <w:nsid w:val="6DF35F19"/>
    <w:multiLevelType w:val="multilevel"/>
    <w:tmpl w:val="6DF35F19"/>
    <w:lvl w:ilvl="0" w:tentative="0">
      <w:start w:val="1"/>
      <w:numFmt w:val="decimal"/>
      <w:pStyle w:val="116"/>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3">
    <w:nsid w:val="76933334"/>
    <w:multiLevelType w:val="multilevel"/>
    <w:tmpl w:val="76933334"/>
    <w:lvl w:ilvl="0" w:tentative="0">
      <w:start w:val="1"/>
      <w:numFmt w:val="none"/>
      <w:pStyle w:val="140"/>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2"/>
  </w:num>
  <w:num w:numId="2">
    <w:abstractNumId w:val="30"/>
  </w:num>
  <w:num w:numId="3">
    <w:abstractNumId w:val="7"/>
  </w:num>
  <w:num w:numId="4">
    <w:abstractNumId w:val="26"/>
  </w:num>
  <w:num w:numId="5">
    <w:abstractNumId w:val="20"/>
  </w:num>
  <w:num w:numId="6">
    <w:abstractNumId w:val="15"/>
  </w:num>
  <w:num w:numId="7">
    <w:abstractNumId w:val="10"/>
  </w:num>
  <w:num w:numId="8">
    <w:abstractNumId w:val="5"/>
  </w:num>
  <w:num w:numId="9">
    <w:abstractNumId w:val="11"/>
  </w:num>
  <w:num w:numId="10">
    <w:abstractNumId w:val="18"/>
  </w:num>
  <w:num w:numId="11">
    <w:abstractNumId w:val="28"/>
  </w:num>
  <w:num w:numId="12">
    <w:abstractNumId w:val="13"/>
  </w:num>
  <w:num w:numId="13">
    <w:abstractNumId w:val="14"/>
  </w:num>
  <w:num w:numId="14">
    <w:abstractNumId w:val="9"/>
  </w:num>
  <w:num w:numId="15">
    <w:abstractNumId w:val="21"/>
  </w:num>
  <w:num w:numId="16">
    <w:abstractNumId w:val="24"/>
  </w:num>
  <w:num w:numId="17">
    <w:abstractNumId w:val="19"/>
  </w:num>
  <w:num w:numId="18">
    <w:abstractNumId w:val="32"/>
  </w:num>
  <w:num w:numId="19">
    <w:abstractNumId w:val="17"/>
  </w:num>
  <w:num w:numId="20">
    <w:abstractNumId w:val="3"/>
  </w:num>
  <w:num w:numId="21">
    <w:abstractNumId w:val="12"/>
  </w:num>
  <w:num w:numId="22">
    <w:abstractNumId w:val="33"/>
  </w:num>
  <w:num w:numId="23">
    <w:abstractNumId w:val="23"/>
  </w:num>
  <w:num w:numId="24">
    <w:abstractNumId w:val="8"/>
  </w:num>
  <w:num w:numId="25">
    <w:abstractNumId w:val="29"/>
  </w:num>
  <w:num w:numId="26">
    <w:abstractNumId w:val="31"/>
  </w:num>
  <w:num w:numId="27">
    <w:abstractNumId w:val="4"/>
  </w:num>
  <w:num w:numId="28">
    <w:abstractNumId w:val="6"/>
  </w:num>
  <w:num w:numId="29">
    <w:abstractNumId w:val="16"/>
  </w:num>
  <w:num w:numId="30">
    <w:abstractNumId w:val="27"/>
  </w:num>
  <w:num w:numId="31">
    <w:abstractNumId w:val="25"/>
  </w:num>
  <w:num w:numId="3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
  </w:num>
  <w:num w:numId="3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attachedTemplate r:id="rId1"/>
  <w:documentProtection w:edit="forms" w:enforcement="1" w:cryptProviderType="rsaFull" w:cryptAlgorithmClass="hash" w:cryptAlgorithmType="typeAny" w:cryptAlgorithmSid="4" w:cryptSpinCount="0" w:hash="xtpuAoEkN2dTHDeCa7TNG7bJAUg=" w:salt="Ts1rpJHRrNnyoEBcTgSOFQ=="/>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3D2082B"/>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1161"/>
    <w:rsid w:val="0015225F"/>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71AC"/>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03A6"/>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6D61"/>
    <w:rsid w:val="003D79C6"/>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B6234"/>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52D8"/>
    <w:rsid w:val="006259BC"/>
    <w:rsid w:val="0062636B"/>
    <w:rsid w:val="00627150"/>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6593"/>
    <w:rsid w:val="006E23EA"/>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3918"/>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4973"/>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37D9F"/>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203B"/>
    <w:rsid w:val="00BB5F8F"/>
    <w:rsid w:val="00BB657A"/>
    <w:rsid w:val="00BC1A4E"/>
    <w:rsid w:val="00BC4790"/>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37DFC"/>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982"/>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16886"/>
    <w:rsid w:val="00D20737"/>
    <w:rsid w:val="00D21E81"/>
    <w:rsid w:val="00D223DE"/>
    <w:rsid w:val="00D25E37"/>
    <w:rsid w:val="00D2661A"/>
    <w:rsid w:val="00D27582"/>
    <w:rsid w:val="00D27EC4"/>
    <w:rsid w:val="00D32719"/>
    <w:rsid w:val="00D33333"/>
    <w:rsid w:val="00D33457"/>
    <w:rsid w:val="00D352A2"/>
    <w:rsid w:val="00D3660F"/>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926D0"/>
    <w:rsid w:val="00D93030"/>
    <w:rsid w:val="00D950E1"/>
    <w:rsid w:val="00D952A6"/>
    <w:rsid w:val="00D97F99"/>
    <w:rsid w:val="00DA016E"/>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065D2"/>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D4858"/>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891"/>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3D2082B"/>
    <w:rsid w:val="0583779A"/>
    <w:rsid w:val="160752E5"/>
    <w:rsid w:val="28A367F6"/>
    <w:rsid w:val="321476CC"/>
    <w:rsid w:val="339A4C4A"/>
    <w:rsid w:val="48B325DE"/>
    <w:rsid w:val="4FFC4B78"/>
    <w:rsid w:val="52DF310F"/>
    <w:rsid w:val="56042157"/>
    <w:rsid w:val="59305585"/>
    <w:rsid w:val="729D55E2"/>
    <w:rsid w:val="73D47729"/>
    <w:rsid w:val="79765014"/>
    <w:rsid w:val="7C4A0FE4"/>
    <w:rsid w:val="7DC00D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5"/>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6"/>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7"/>
    <w:qFormat/>
    <w:uiPriority w:val="0"/>
    <w:pPr>
      <w:keepNext/>
      <w:keepLines/>
      <w:spacing w:before="260" w:after="260" w:line="416" w:lineRule="auto"/>
      <w:outlineLvl w:val="2"/>
    </w:pPr>
    <w:rPr>
      <w:b/>
      <w:bCs/>
      <w:sz w:val="32"/>
      <w:szCs w:val="32"/>
    </w:rPr>
  </w:style>
  <w:style w:type="paragraph" w:styleId="5">
    <w:name w:val="heading 4"/>
    <w:basedOn w:val="1"/>
    <w:next w:val="1"/>
    <w:link w:val="38"/>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9"/>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40"/>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1"/>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2"/>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3"/>
    <w:qFormat/>
    <w:uiPriority w:val="0"/>
    <w:pPr>
      <w:keepNext/>
      <w:keepLines/>
      <w:adjustRightInd/>
      <w:spacing w:before="240" w:after="64" w:line="320" w:lineRule="auto"/>
      <w:outlineLvl w:val="8"/>
    </w:pPr>
    <w:rPr>
      <w:rFonts w:ascii="Arial" w:hAnsi="Arial" w:eastAsia="黑体"/>
    </w:rPr>
  </w:style>
  <w:style w:type="character" w:default="1" w:styleId="29">
    <w:name w:val="Default Paragraph Font"/>
    <w:semiHidden/>
    <w:unhideWhenUsed/>
    <w:qFormat/>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87"/>
    <w:qFormat/>
    <w:uiPriority w:val="0"/>
    <w:pPr>
      <w:spacing w:after="120"/>
    </w:pPr>
  </w:style>
  <w:style w:type="paragraph" w:styleId="14">
    <w:name w:val="toc 5"/>
    <w:basedOn w:val="1"/>
    <w:next w:val="1"/>
    <w:unhideWhenUsed/>
    <w:qFormat/>
    <w:uiPriority w:val="39"/>
    <w:pPr>
      <w:ind w:left="839"/>
    </w:pPr>
    <w:rPr>
      <w:rFonts w:ascii="宋体"/>
    </w:rPr>
  </w:style>
  <w:style w:type="paragraph" w:styleId="15">
    <w:name w:val="toc 3"/>
    <w:basedOn w:val="1"/>
    <w:next w:val="1"/>
    <w:unhideWhenUsed/>
    <w:qFormat/>
    <w:uiPriority w:val="39"/>
    <w:pPr>
      <w:spacing w:line="300" w:lineRule="exact"/>
      <w:ind w:left="420"/>
    </w:pPr>
    <w:rPr>
      <w:rFonts w:ascii="宋体"/>
    </w:rPr>
  </w:style>
  <w:style w:type="paragraph" w:styleId="16">
    <w:name w:val="Balloon Text"/>
    <w:basedOn w:val="1"/>
    <w:link w:val="46"/>
    <w:semiHidden/>
    <w:unhideWhenUsed/>
    <w:qFormat/>
    <w:uiPriority w:val="99"/>
    <w:rPr>
      <w:sz w:val="18"/>
      <w:szCs w:val="18"/>
    </w:rPr>
  </w:style>
  <w:style w:type="paragraph" w:styleId="17">
    <w:name w:val="footer"/>
    <w:basedOn w:val="1"/>
    <w:link w:val="45"/>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4"/>
    <w:qFormat/>
    <w:uiPriority w:val="99"/>
    <w:pPr>
      <w:tabs>
        <w:tab w:val="center" w:pos="4153"/>
        <w:tab w:val="right" w:pos="8306"/>
      </w:tabs>
      <w:adjustRightInd/>
      <w:snapToGrid w:val="0"/>
      <w:jc w:val="center"/>
    </w:pPr>
    <w:rPr>
      <w:sz w:val="18"/>
      <w:szCs w:val="18"/>
    </w:rPr>
  </w:style>
  <w:style w:type="paragraph" w:styleId="19">
    <w:name w:val="toc 1"/>
    <w:basedOn w:val="1"/>
    <w:next w:val="1"/>
    <w:unhideWhenUsed/>
    <w:qFormat/>
    <w:uiPriority w:val="39"/>
    <w:rPr>
      <w:rFonts w:ascii="宋体"/>
    </w:rPr>
  </w:style>
  <w:style w:type="paragraph" w:styleId="20">
    <w:name w:val="toc 4"/>
    <w:basedOn w:val="1"/>
    <w:next w:val="1"/>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100"/>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unhideWhenUsed/>
    <w:qFormat/>
    <w:uiPriority w:val="39"/>
    <w:pPr>
      <w:spacing w:line="300" w:lineRule="exact"/>
      <w:ind w:left="1049"/>
    </w:pPr>
    <w:rPr>
      <w:rFonts w:ascii="宋体"/>
    </w:rPr>
  </w:style>
  <w:style w:type="paragraph" w:styleId="23">
    <w:name w:val="table of figures"/>
    <w:basedOn w:val="1"/>
    <w:next w:val="1"/>
    <w:semiHidden/>
    <w:qFormat/>
    <w:uiPriority w:val="0"/>
    <w:pPr>
      <w:adjustRightInd/>
      <w:spacing w:line="240" w:lineRule="auto"/>
      <w:jc w:val="left"/>
    </w:pPr>
    <w:rPr>
      <w:szCs w:val="24"/>
    </w:rPr>
  </w:style>
  <w:style w:type="paragraph" w:styleId="24">
    <w:name w:val="toc 2"/>
    <w:basedOn w:val="1"/>
    <w:next w:val="1"/>
    <w:unhideWhenUsed/>
    <w:qFormat/>
    <w:uiPriority w:val="39"/>
    <w:pPr>
      <w:tabs>
        <w:tab w:val="right" w:leader="dot" w:pos="9344"/>
      </w:tabs>
      <w:spacing w:line="300" w:lineRule="exact"/>
      <w:ind w:left="210"/>
    </w:pPr>
    <w:rPr>
      <w:rFonts w:ascii="宋体"/>
    </w:rPr>
  </w:style>
  <w:style w:type="paragraph" w:styleId="25">
    <w:name w:val="Normal (Web)"/>
    <w:basedOn w:val="1"/>
    <w:qFormat/>
    <w:uiPriority w:val="0"/>
    <w:pPr>
      <w:widowControl/>
      <w:spacing w:before="100" w:beforeAutospacing="1" w:after="100" w:afterAutospacing="1"/>
      <w:ind w:left="0" w:right="0"/>
      <w:jc w:val="left"/>
    </w:pPr>
    <w:rPr>
      <w:rFonts w:ascii="宋体" w:hAnsi="宋体" w:cs="宋体"/>
      <w:kern w:val="0"/>
      <w:sz w:val="24"/>
      <w:szCs w:val="24"/>
      <w:lang w:val="en-US" w:eastAsia="zh-CN" w:bidi="ar"/>
    </w:rPr>
  </w:style>
  <w:style w:type="paragraph" w:styleId="26">
    <w:name w:val="Title"/>
    <w:basedOn w:val="1"/>
    <w:link w:val="49"/>
    <w:qFormat/>
    <w:uiPriority w:val="0"/>
    <w:pPr>
      <w:spacing w:before="240" w:after="60"/>
      <w:jc w:val="center"/>
      <w:outlineLvl w:val="0"/>
    </w:pPr>
    <w:rPr>
      <w:rFonts w:ascii="Arial" w:hAnsi="Arial" w:cs="Arial"/>
      <w:b/>
      <w:bCs/>
      <w:sz w:val="32"/>
      <w:szCs w:val="32"/>
    </w:rPr>
  </w:style>
  <w:style w:type="table" w:styleId="28">
    <w:name w:val="Table Grid"/>
    <w:basedOn w:val="27"/>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0">
    <w:name w:val="Strong"/>
    <w:qFormat/>
    <w:uiPriority w:val="22"/>
    <w:rPr>
      <w:b/>
      <w:bCs/>
    </w:rPr>
  </w:style>
  <w:style w:type="character" w:styleId="31">
    <w:name w:val="page number"/>
    <w:qFormat/>
    <w:uiPriority w:val="0"/>
    <w:rPr>
      <w:rFonts w:ascii="宋体" w:hAnsi="Times New Roman" w:eastAsia="宋体"/>
      <w:sz w:val="18"/>
    </w:rPr>
  </w:style>
  <w:style w:type="character" w:styleId="32">
    <w:name w:val="Emphasis"/>
    <w:qFormat/>
    <w:uiPriority w:val="20"/>
    <w:rPr>
      <w:i/>
      <w:iCs/>
    </w:rPr>
  </w:style>
  <w:style w:type="character" w:styleId="33">
    <w:name w:val="Hyperlink"/>
    <w:qFormat/>
    <w:uiPriority w:val="99"/>
    <w:rPr>
      <w:rFonts w:ascii="宋体" w:hAnsi="Times New Roman" w:eastAsia="宋体"/>
      <w:color w:val="auto"/>
      <w:spacing w:val="0"/>
      <w:w w:val="100"/>
      <w:position w:val="0"/>
      <w:sz w:val="21"/>
      <w:u w:val="none"/>
      <w:vertAlign w:val="baseline"/>
    </w:rPr>
  </w:style>
  <w:style w:type="character" w:styleId="34">
    <w:name w:val="footnote reference"/>
    <w:semiHidden/>
    <w:qFormat/>
    <w:uiPriority w:val="0"/>
    <w:rPr>
      <w:rFonts w:ascii="宋体" w:hAnsi="宋体" w:eastAsia="宋体" w:cs="Times New Roman"/>
      <w:spacing w:val="0"/>
      <w:sz w:val="18"/>
      <w:vertAlign w:val="superscript"/>
    </w:rPr>
  </w:style>
  <w:style w:type="character" w:customStyle="1" w:styleId="35">
    <w:name w:val="标题 1 字符"/>
    <w:link w:val="2"/>
    <w:qFormat/>
    <w:uiPriority w:val="0"/>
    <w:rPr>
      <w:b/>
      <w:bCs/>
      <w:kern w:val="44"/>
      <w:sz w:val="44"/>
      <w:szCs w:val="44"/>
    </w:rPr>
  </w:style>
  <w:style w:type="character" w:customStyle="1" w:styleId="36">
    <w:name w:val="标题 2 字符"/>
    <w:link w:val="3"/>
    <w:qFormat/>
    <w:uiPriority w:val="0"/>
    <w:rPr>
      <w:rFonts w:ascii="Arial" w:hAnsi="Arial" w:eastAsia="黑体"/>
      <w:b/>
      <w:bCs/>
      <w:kern w:val="2"/>
      <w:sz w:val="32"/>
      <w:szCs w:val="32"/>
    </w:rPr>
  </w:style>
  <w:style w:type="character" w:customStyle="1" w:styleId="37">
    <w:name w:val="标题 3 字符"/>
    <w:link w:val="4"/>
    <w:qFormat/>
    <w:uiPriority w:val="0"/>
    <w:rPr>
      <w:b/>
      <w:bCs/>
      <w:kern w:val="2"/>
      <w:sz w:val="32"/>
      <w:szCs w:val="32"/>
    </w:rPr>
  </w:style>
  <w:style w:type="character" w:customStyle="1" w:styleId="38">
    <w:name w:val="标题 4 字符"/>
    <w:link w:val="5"/>
    <w:qFormat/>
    <w:uiPriority w:val="0"/>
    <w:rPr>
      <w:rFonts w:ascii="Arial" w:hAnsi="Arial" w:eastAsia="黑体"/>
      <w:b/>
      <w:bCs/>
      <w:kern w:val="2"/>
      <w:sz w:val="28"/>
      <w:szCs w:val="28"/>
    </w:rPr>
  </w:style>
  <w:style w:type="character" w:customStyle="1" w:styleId="39">
    <w:name w:val="标题 5 字符"/>
    <w:link w:val="6"/>
    <w:qFormat/>
    <w:uiPriority w:val="0"/>
    <w:rPr>
      <w:b/>
      <w:bCs/>
      <w:kern w:val="2"/>
      <w:sz w:val="28"/>
      <w:szCs w:val="28"/>
    </w:rPr>
  </w:style>
  <w:style w:type="character" w:customStyle="1" w:styleId="40">
    <w:name w:val="标题 6 字符"/>
    <w:link w:val="7"/>
    <w:qFormat/>
    <w:uiPriority w:val="0"/>
    <w:rPr>
      <w:rFonts w:ascii="Arial" w:hAnsi="Arial" w:eastAsia="黑体"/>
      <w:b/>
      <w:bCs/>
      <w:kern w:val="2"/>
      <w:sz w:val="24"/>
      <w:szCs w:val="24"/>
    </w:rPr>
  </w:style>
  <w:style w:type="character" w:customStyle="1" w:styleId="41">
    <w:name w:val="标题 7 字符"/>
    <w:link w:val="8"/>
    <w:qFormat/>
    <w:uiPriority w:val="0"/>
    <w:rPr>
      <w:b/>
      <w:bCs/>
      <w:kern w:val="2"/>
      <w:sz w:val="24"/>
      <w:szCs w:val="24"/>
    </w:rPr>
  </w:style>
  <w:style w:type="character" w:customStyle="1" w:styleId="42">
    <w:name w:val="标题 8 字符"/>
    <w:link w:val="9"/>
    <w:qFormat/>
    <w:uiPriority w:val="0"/>
    <w:rPr>
      <w:rFonts w:ascii="Arial" w:hAnsi="Arial" w:eastAsia="黑体"/>
      <w:kern w:val="2"/>
      <w:sz w:val="24"/>
      <w:szCs w:val="24"/>
    </w:rPr>
  </w:style>
  <w:style w:type="character" w:customStyle="1" w:styleId="43">
    <w:name w:val="标题 9 字符"/>
    <w:link w:val="10"/>
    <w:qFormat/>
    <w:uiPriority w:val="0"/>
    <w:rPr>
      <w:rFonts w:ascii="Arial" w:hAnsi="Arial" w:eastAsia="黑体"/>
      <w:kern w:val="2"/>
      <w:sz w:val="21"/>
      <w:szCs w:val="21"/>
    </w:rPr>
  </w:style>
  <w:style w:type="character" w:customStyle="1" w:styleId="44">
    <w:name w:val="页眉 字符"/>
    <w:link w:val="18"/>
    <w:qFormat/>
    <w:uiPriority w:val="99"/>
    <w:rPr>
      <w:kern w:val="2"/>
      <w:sz w:val="18"/>
      <w:szCs w:val="18"/>
    </w:rPr>
  </w:style>
  <w:style w:type="character" w:customStyle="1" w:styleId="45">
    <w:name w:val="页脚 字符"/>
    <w:link w:val="17"/>
    <w:qFormat/>
    <w:uiPriority w:val="99"/>
    <w:rPr>
      <w:rFonts w:ascii="宋体"/>
      <w:kern w:val="2"/>
      <w:sz w:val="18"/>
      <w:szCs w:val="18"/>
    </w:rPr>
  </w:style>
  <w:style w:type="character" w:customStyle="1" w:styleId="46">
    <w:name w:val="批注框文本 字符"/>
    <w:link w:val="16"/>
    <w:semiHidden/>
    <w:qFormat/>
    <w:uiPriority w:val="99"/>
    <w:rPr>
      <w:kern w:val="2"/>
      <w:sz w:val="18"/>
      <w:szCs w:val="18"/>
    </w:rPr>
  </w:style>
  <w:style w:type="paragraph" w:styleId="47">
    <w:name w:val="Quote"/>
    <w:basedOn w:val="1"/>
    <w:next w:val="1"/>
    <w:link w:val="48"/>
    <w:qFormat/>
    <w:uiPriority w:val="29"/>
    <w:rPr>
      <w:i/>
      <w:iCs/>
      <w:color w:val="000000"/>
    </w:rPr>
  </w:style>
  <w:style w:type="character" w:customStyle="1" w:styleId="48">
    <w:name w:val="引用 字符"/>
    <w:link w:val="47"/>
    <w:qFormat/>
    <w:uiPriority w:val="29"/>
    <w:rPr>
      <w:i/>
      <w:iCs/>
      <w:color w:val="000000"/>
      <w:kern w:val="2"/>
      <w:sz w:val="21"/>
      <w:szCs w:val="21"/>
    </w:rPr>
  </w:style>
  <w:style w:type="character" w:customStyle="1" w:styleId="49">
    <w:name w:val="标题 字符"/>
    <w:link w:val="26"/>
    <w:qFormat/>
    <w:uiPriority w:val="0"/>
    <w:rPr>
      <w:rFonts w:ascii="Arial" w:hAnsi="Arial" w:cs="Arial"/>
      <w:b/>
      <w:bCs/>
      <w:kern w:val="2"/>
      <w:sz w:val="32"/>
      <w:szCs w:val="32"/>
    </w:rPr>
  </w:style>
  <w:style w:type="paragraph" w:customStyle="1" w:styleId="50">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1">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2">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3">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4">
    <w:name w:val="标准书眉一"/>
    <w:qFormat/>
    <w:uiPriority w:val="0"/>
    <w:pPr>
      <w:jc w:val="both"/>
    </w:pPr>
    <w:rPr>
      <w:rFonts w:ascii="Times New Roman" w:hAnsi="Times New Roman" w:eastAsia="宋体" w:cs="Times New Roman"/>
      <w:lang w:val="en-US" w:eastAsia="zh-CN" w:bidi="ar-SA"/>
    </w:rPr>
  </w:style>
  <w:style w:type="paragraph" w:customStyle="1" w:styleId="55">
    <w:name w:val="标准文件_ICS"/>
    <w:basedOn w:val="1"/>
    <w:qFormat/>
    <w:uiPriority w:val="0"/>
    <w:pPr>
      <w:spacing w:line="0" w:lineRule="atLeast"/>
    </w:pPr>
    <w:rPr>
      <w:rFonts w:ascii="黑体" w:hAnsi="宋体" w:eastAsia="黑体"/>
    </w:rPr>
  </w:style>
  <w:style w:type="paragraph" w:customStyle="1" w:styleId="56">
    <w:name w:val="标准文件_标准正文"/>
    <w:basedOn w:val="1"/>
    <w:next w:val="57"/>
    <w:qFormat/>
    <w:uiPriority w:val="0"/>
    <w:pPr>
      <w:snapToGrid w:val="0"/>
      <w:ind w:firstLine="200" w:firstLineChars="200"/>
    </w:pPr>
    <w:rPr>
      <w:kern w:val="0"/>
    </w:rPr>
  </w:style>
  <w:style w:type="paragraph" w:customStyle="1" w:styleId="57">
    <w:name w:val="标准文件_段"/>
    <w:link w:val="185"/>
    <w:qFormat/>
    <w:uiPriority w:val="0"/>
    <w:pPr>
      <w:autoSpaceDE w:val="0"/>
      <w:autoSpaceDN w:val="0"/>
      <w:ind w:firstLine="200" w:firstLineChars="200"/>
      <w:jc w:val="both"/>
    </w:pPr>
    <w:rPr>
      <w:rFonts w:ascii="Times New Roman" w:hAnsi="Times New Roman" w:eastAsia="宋体" w:cs="Times New Roman"/>
      <w:sz w:val="21"/>
      <w:lang w:val="en-US" w:eastAsia="zh-CN" w:bidi="ar-SA"/>
    </w:rPr>
  </w:style>
  <w:style w:type="paragraph" w:customStyle="1" w:styleId="58">
    <w:name w:val="标准文件_版本"/>
    <w:basedOn w:val="56"/>
    <w:qFormat/>
    <w:uiPriority w:val="0"/>
    <w:pPr>
      <w:adjustRightInd/>
      <w:snapToGrid/>
      <w:ind w:firstLine="0" w:firstLineChars="0"/>
    </w:pPr>
    <w:rPr>
      <w:rFonts w:ascii="宋体" w:hAnsi="宋体"/>
      <w:kern w:val="2"/>
    </w:rPr>
  </w:style>
  <w:style w:type="paragraph" w:customStyle="1" w:styleId="59">
    <w:name w:val="标准文件_标准部门"/>
    <w:basedOn w:val="1"/>
    <w:qFormat/>
    <w:uiPriority w:val="0"/>
    <w:pPr>
      <w:jc w:val="center"/>
    </w:pPr>
    <w:rPr>
      <w:rFonts w:ascii="黑体" w:eastAsia="黑体"/>
      <w:kern w:val="0"/>
      <w:sz w:val="44"/>
    </w:rPr>
  </w:style>
  <w:style w:type="paragraph" w:customStyle="1" w:styleId="60">
    <w:name w:val="标准文件_标准代替"/>
    <w:basedOn w:val="1"/>
    <w:next w:val="1"/>
    <w:qFormat/>
    <w:uiPriority w:val="0"/>
    <w:pPr>
      <w:spacing w:line="310" w:lineRule="exact"/>
      <w:jc w:val="right"/>
    </w:pPr>
    <w:rPr>
      <w:rFonts w:ascii="宋体" w:hAnsi="宋体"/>
      <w:kern w:val="0"/>
    </w:rPr>
  </w:style>
  <w:style w:type="paragraph" w:customStyle="1" w:styleId="61">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2">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3">
    <w:name w:val="标准文件_页眉偶数页"/>
    <w:basedOn w:val="62"/>
    <w:next w:val="1"/>
    <w:qFormat/>
    <w:uiPriority w:val="0"/>
    <w:pPr>
      <w:jc w:val="left"/>
    </w:pPr>
  </w:style>
  <w:style w:type="paragraph" w:customStyle="1" w:styleId="64">
    <w:name w:val="标准文件_参考文献标题"/>
    <w:basedOn w:val="1"/>
    <w:next w:val="1"/>
    <w:qFormat/>
    <w:uiPriority w:val="0"/>
    <w:pPr>
      <w:widowControl/>
      <w:shd w:val="clear" w:color="FFFFFF" w:fill="FFFFFF"/>
      <w:adjustRightInd/>
      <w:spacing w:before="580" w:after="50" w:afterLines="50" w:line="240" w:lineRule="auto"/>
      <w:jc w:val="center"/>
      <w:outlineLvl w:val="0"/>
    </w:pPr>
    <w:rPr>
      <w:rFonts w:ascii="黑体" w:eastAsia="黑体"/>
      <w:kern w:val="0"/>
    </w:rPr>
  </w:style>
  <w:style w:type="paragraph" w:customStyle="1" w:styleId="65">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6">
    <w:name w:val="标准文件_二级条标题"/>
    <w:next w:val="57"/>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7">
    <w:name w:val="标准文件_发布"/>
    <w:qFormat/>
    <w:uiPriority w:val="0"/>
    <w:rPr>
      <w:rFonts w:ascii="黑体" w:eastAsia="黑体"/>
      <w:spacing w:val="0"/>
      <w:w w:val="100"/>
      <w:position w:val="3"/>
      <w:sz w:val="28"/>
    </w:rPr>
  </w:style>
  <w:style w:type="paragraph" w:customStyle="1" w:styleId="68">
    <w:name w:val="标准文件_方框数字列项"/>
    <w:basedOn w:val="57"/>
    <w:qFormat/>
    <w:uiPriority w:val="0"/>
    <w:pPr>
      <w:numPr>
        <w:ilvl w:val="0"/>
        <w:numId w:val="3"/>
      </w:numPr>
      <w:ind w:firstLine="0" w:firstLineChars="0"/>
    </w:pPr>
  </w:style>
  <w:style w:type="paragraph" w:customStyle="1" w:styleId="69">
    <w:name w:val="标准文件_封面标准编号"/>
    <w:basedOn w:val="1"/>
    <w:next w:val="60"/>
    <w:qFormat/>
    <w:uiPriority w:val="0"/>
    <w:pPr>
      <w:spacing w:line="310" w:lineRule="exact"/>
      <w:jc w:val="right"/>
    </w:pPr>
    <w:rPr>
      <w:rFonts w:ascii="黑体" w:eastAsia="黑体"/>
      <w:kern w:val="0"/>
      <w:sz w:val="28"/>
    </w:rPr>
  </w:style>
  <w:style w:type="paragraph" w:customStyle="1" w:styleId="70">
    <w:name w:val="标准文件_封面标准分类号"/>
    <w:basedOn w:val="1"/>
    <w:qFormat/>
    <w:uiPriority w:val="0"/>
    <w:rPr>
      <w:rFonts w:ascii="黑体" w:eastAsia="黑体"/>
      <w:b/>
      <w:kern w:val="0"/>
      <w:sz w:val="28"/>
    </w:rPr>
  </w:style>
  <w:style w:type="paragraph" w:customStyle="1" w:styleId="71">
    <w:name w:val="标准文件_封面标准名称"/>
    <w:basedOn w:val="1"/>
    <w:qFormat/>
    <w:uiPriority w:val="0"/>
    <w:pPr>
      <w:spacing w:line="240" w:lineRule="auto"/>
      <w:jc w:val="center"/>
    </w:pPr>
    <w:rPr>
      <w:rFonts w:ascii="黑体" w:eastAsia="黑体"/>
      <w:kern w:val="0"/>
      <w:sz w:val="52"/>
    </w:rPr>
  </w:style>
  <w:style w:type="paragraph" w:customStyle="1" w:styleId="72">
    <w:name w:val="标准文件_封面标准英文名称"/>
    <w:basedOn w:val="1"/>
    <w:qFormat/>
    <w:uiPriority w:val="0"/>
    <w:pPr>
      <w:spacing w:line="240" w:lineRule="auto"/>
      <w:jc w:val="center"/>
    </w:pPr>
    <w:rPr>
      <w:rFonts w:ascii="黑体" w:eastAsia="黑体"/>
      <w:b/>
      <w:sz w:val="28"/>
    </w:rPr>
  </w:style>
  <w:style w:type="paragraph" w:customStyle="1" w:styleId="73">
    <w:name w:val="标准文件_封面发布日期"/>
    <w:basedOn w:val="1"/>
    <w:qFormat/>
    <w:uiPriority w:val="0"/>
    <w:pPr>
      <w:spacing w:line="310" w:lineRule="exact"/>
    </w:pPr>
    <w:rPr>
      <w:rFonts w:ascii="黑体" w:eastAsia="黑体"/>
      <w:kern w:val="0"/>
      <w:sz w:val="28"/>
    </w:rPr>
  </w:style>
  <w:style w:type="paragraph" w:customStyle="1" w:styleId="74">
    <w:name w:val="标准文件_封面密级"/>
    <w:basedOn w:val="1"/>
    <w:qFormat/>
    <w:uiPriority w:val="0"/>
    <w:rPr>
      <w:rFonts w:eastAsia="黑体"/>
      <w:sz w:val="32"/>
    </w:rPr>
  </w:style>
  <w:style w:type="paragraph" w:customStyle="1" w:styleId="75">
    <w:name w:val="标准文件_封面实施日期"/>
    <w:basedOn w:val="1"/>
    <w:qFormat/>
    <w:uiPriority w:val="0"/>
    <w:pPr>
      <w:spacing w:line="310" w:lineRule="exact"/>
      <w:jc w:val="right"/>
    </w:pPr>
    <w:rPr>
      <w:rFonts w:ascii="黑体" w:eastAsia="黑体"/>
      <w:sz w:val="28"/>
    </w:rPr>
  </w:style>
  <w:style w:type="paragraph" w:customStyle="1" w:styleId="76">
    <w:name w:val="标准文件_封面抬头"/>
    <w:basedOn w:val="57"/>
    <w:qFormat/>
    <w:uiPriority w:val="0"/>
    <w:pPr>
      <w:adjustRightInd w:val="0"/>
      <w:spacing w:line="800" w:lineRule="exact"/>
      <w:ind w:firstLine="0" w:firstLineChars="0"/>
      <w:jc w:val="distribute"/>
    </w:pPr>
    <w:rPr>
      <w:rFonts w:ascii="黑体" w:eastAsia="黑体"/>
      <w:b/>
      <w:sz w:val="64"/>
    </w:rPr>
  </w:style>
  <w:style w:type="paragraph" w:customStyle="1" w:styleId="77">
    <w:name w:val="标准文件_附录标识"/>
    <w:next w:val="57"/>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8">
    <w:name w:val="标准文件_附录表标题"/>
    <w:next w:val="57"/>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79">
    <w:name w:val="标准文件_附录一级条标题"/>
    <w:next w:val="57"/>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80">
    <w:name w:val="标准文件_附录二级条标题"/>
    <w:basedOn w:val="79"/>
    <w:next w:val="57"/>
    <w:qFormat/>
    <w:uiPriority w:val="0"/>
    <w:pPr>
      <w:widowControl/>
      <w:numPr>
        <w:ilvl w:val="2"/>
      </w:numPr>
      <w:wordWrap w:val="0"/>
      <w:overflowPunct w:val="0"/>
      <w:autoSpaceDE w:val="0"/>
      <w:autoSpaceDN w:val="0"/>
      <w:textAlignment w:val="baseline"/>
      <w:outlineLvl w:val="3"/>
    </w:pPr>
  </w:style>
  <w:style w:type="paragraph" w:customStyle="1" w:styleId="81">
    <w:name w:val="标准文件_附录公式"/>
    <w:basedOn w:val="56"/>
    <w:next w:val="56"/>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2">
    <w:name w:val="标准文件_附录三级条标题"/>
    <w:next w:val="57"/>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3">
    <w:name w:val="标准文件_附录四级条标题"/>
    <w:next w:val="57"/>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4">
    <w:name w:val="标准文件_附录图标题"/>
    <w:next w:val="57"/>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5">
    <w:name w:val="标准文件_附录五级条标题"/>
    <w:next w:val="57"/>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6">
    <w:name w:val="标准文件_附录英文标识"/>
    <w:next w:val="13"/>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7">
    <w:name w:val="正文文本 字符"/>
    <w:link w:val="13"/>
    <w:qFormat/>
    <w:uiPriority w:val="0"/>
    <w:rPr>
      <w:kern w:val="2"/>
      <w:sz w:val="21"/>
      <w:szCs w:val="21"/>
    </w:rPr>
  </w:style>
  <w:style w:type="paragraph" w:customStyle="1" w:styleId="88">
    <w:name w:val="标准文件_附录章标题"/>
    <w:next w:val="57"/>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9">
    <w:name w:val="标准文件_公式后的破折号"/>
    <w:basedOn w:val="57"/>
    <w:next w:val="57"/>
    <w:qFormat/>
    <w:uiPriority w:val="0"/>
    <w:pPr>
      <w:ind w:left="488" w:leftChars="200" w:hanging="289" w:hangingChars="290"/>
    </w:pPr>
  </w:style>
  <w:style w:type="paragraph" w:customStyle="1" w:styleId="90">
    <w:name w:val="标准文件_前言、引言标题"/>
    <w:next w:val="1"/>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1">
    <w:name w:val="标准文件_目次、标准名称标题"/>
    <w:basedOn w:val="90"/>
    <w:next w:val="57"/>
    <w:qFormat/>
    <w:uiPriority w:val="0"/>
    <w:pPr>
      <w:spacing w:line="460" w:lineRule="exact"/>
      <w:ind w:left="0" w:firstLine="0"/>
    </w:pPr>
  </w:style>
  <w:style w:type="paragraph" w:customStyle="1" w:styleId="92">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3">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4">
    <w:name w:val="标准文件_破折号列项（二级）"/>
    <w:basedOn w:val="93"/>
    <w:qFormat/>
    <w:uiPriority w:val="0"/>
    <w:pPr>
      <w:numPr>
        <w:numId w:val="10"/>
      </w:numPr>
    </w:pPr>
  </w:style>
  <w:style w:type="paragraph" w:customStyle="1" w:styleId="95">
    <w:name w:val="标准文件_三级条标题"/>
    <w:basedOn w:val="66"/>
    <w:next w:val="57"/>
    <w:qFormat/>
    <w:uiPriority w:val="0"/>
    <w:pPr>
      <w:widowControl/>
      <w:numPr>
        <w:ilvl w:val="4"/>
      </w:numPr>
      <w:outlineLvl w:val="3"/>
    </w:pPr>
  </w:style>
  <w:style w:type="character" w:customStyle="1" w:styleId="96">
    <w:name w:val="Subtle Reference"/>
    <w:qFormat/>
    <w:uiPriority w:val="31"/>
    <w:rPr>
      <w:smallCaps/>
      <w:color w:val="C0504D"/>
      <w:u w:val="single"/>
    </w:rPr>
  </w:style>
  <w:style w:type="paragraph" w:customStyle="1" w:styleId="97">
    <w:name w:val="标准文件_示例后续"/>
    <w:basedOn w:val="1"/>
    <w:qFormat/>
    <w:uiPriority w:val="0"/>
    <w:pPr>
      <w:adjustRightInd/>
      <w:spacing w:line="240" w:lineRule="auto"/>
      <w:ind w:firstLine="200" w:firstLineChars="200"/>
    </w:pPr>
    <w:rPr>
      <w:sz w:val="18"/>
      <w:szCs w:val="24"/>
    </w:rPr>
  </w:style>
  <w:style w:type="paragraph" w:customStyle="1" w:styleId="98">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9">
    <w:name w:val="标准文件_四级条标题"/>
    <w:next w:val="57"/>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100">
    <w:name w:val="脚注文本 字符"/>
    <w:link w:val="21"/>
    <w:semiHidden/>
    <w:qFormat/>
    <w:uiPriority w:val="0"/>
    <w:rPr>
      <w:rFonts w:ascii="宋体"/>
      <w:kern w:val="2"/>
      <w:sz w:val="18"/>
      <w:szCs w:val="18"/>
    </w:rPr>
  </w:style>
  <w:style w:type="paragraph" w:customStyle="1" w:styleId="101">
    <w:name w:val="标准文件_条文脚注"/>
    <w:basedOn w:val="21"/>
    <w:qFormat/>
    <w:uiPriority w:val="0"/>
    <w:pPr>
      <w:adjustRightInd w:val="0"/>
      <w:spacing w:line="240" w:lineRule="auto"/>
      <w:ind w:left="0" w:leftChars="0" w:firstLine="200" w:firstLineChars="200"/>
      <w:jc w:val="both"/>
    </w:pPr>
    <w:rPr>
      <w:rFonts w:hAnsi="宋体"/>
    </w:rPr>
  </w:style>
  <w:style w:type="paragraph" w:customStyle="1" w:styleId="102">
    <w:name w:val="标准文件_图表脚注"/>
    <w:basedOn w:val="1"/>
    <w:next w:val="57"/>
    <w:qFormat/>
    <w:uiPriority w:val="0"/>
    <w:pPr>
      <w:numPr>
        <w:ilvl w:val="0"/>
        <w:numId w:val="12"/>
      </w:numPr>
      <w:spacing w:line="240" w:lineRule="auto"/>
      <w:jc w:val="left"/>
    </w:pPr>
    <w:rPr>
      <w:rFonts w:ascii="宋体" w:hAnsi="宋体"/>
      <w:sz w:val="18"/>
    </w:rPr>
  </w:style>
  <w:style w:type="character" w:customStyle="1" w:styleId="103">
    <w:name w:val="标准文件_图表脚注内容"/>
    <w:qFormat/>
    <w:uiPriority w:val="0"/>
    <w:rPr>
      <w:rFonts w:ascii="宋体" w:hAnsi="宋体" w:eastAsia="宋体" w:cs="Times New Roman"/>
      <w:spacing w:val="0"/>
      <w:sz w:val="18"/>
      <w:vertAlign w:val="superscript"/>
    </w:rPr>
  </w:style>
  <w:style w:type="paragraph" w:customStyle="1" w:styleId="104">
    <w:name w:val="标准文件_五级条标题"/>
    <w:next w:val="57"/>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5">
    <w:name w:val="标准文件_章标题"/>
    <w:next w:val="57"/>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6">
    <w:name w:val="标准文件_一级条标题"/>
    <w:basedOn w:val="105"/>
    <w:next w:val="57"/>
    <w:qFormat/>
    <w:uiPriority w:val="0"/>
    <w:pPr>
      <w:numPr>
        <w:ilvl w:val="2"/>
      </w:numPr>
      <w:spacing w:before="50" w:beforeLines="50" w:after="50" w:afterLines="50"/>
      <w:outlineLvl w:val="1"/>
    </w:pPr>
  </w:style>
  <w:style w:type="paragraph" w:customStyle="1" w:styleId="107">
    <w:name w:val="标准文件_一致程度"/>
    <w:basedOn w:val="1"/>
    <w:qFormat/>
    <w:uiPriority w:val="0"/>
    <w:pPr>
      <w:spacing w:line="440" w:lineRule="exact"/>
      <w:jc w:val="center"/>
    </w:pPr>
    <w:rPr>
      <w:sz w:val="28"/>
    </w:rPr>
  </w:style>
  <w:style w:type="paragraph" w:customStyle="1" w:styleId="108">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9">
    <w:name w:val="标准文件_英文图表脚注"/>
    <w:basedOn w:val="56"/>
    <w:qFormat/>
    <w:uiPriority w:val="0"/>
    <w:pPr>
      <w:widowControl/>
      <w:adjustRightInd/>
      <w:snapToGrid/>
      <w:spacing w:line="240" w:lineRule="auto"/>
      <w:ind w:left="79" w:hanging="79" w:hangingChars="80"/>
    </w:pPr>
    <w:rPr>
      <w:rFonts w:ascii="宋体" w:hAnsi="宋体"/>
    </w:rPr>
  </w:style>
  <w:style w:type="paragraph" w:customStyle="1" w:styleId="110">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1">
    <w:name w:val="标准文件_英文注："/>
    <w:basedOn w:val="1"/>
    <w:next w:val="57"/>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2">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3">
    <w:name w:val="标准文件_正文表标题"/>
    <w:next w:val="57"/>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4">
    <w:name w:val="标准文件_正文公式"/>
    <w:basedOn w:val="1"/>
    <w:next w:val="56"/>
    <w:qFormat/>
    <w:uiPriority w:val="0"/>
    <w:pPr>
      <w:tabs>
        <w:tab w:val="center" w:pos="4678"/>
        <w:tab w:val="right" w:leader="middleDot" w:pos="9356"/>
      </w:tabs>
      <w:spacing w:line="240" w:lineRule="auto"/>
    </w:pPr>
    <w:rPr>
      <w:rFonts w:ascii="宋体" w:hAnsi="宋体"/>
    </w:rPr>
  </w:style>
  <w:style w:type="paragraph" w:customStyle="1" w:styleId="115">
    <w:name w:val="标准文件_正文图标题"/>
    <w:next w:val="57"/>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6">
    <w:name w:val="标准文件_正文英文表标题"/>
    <w:next w:val="57"/>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7">
    <w:name w:val="标准文件_正文英文图标题"/>
    <w:next w:val="57"/>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8">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19">
    <w:name w:val="二级无标题条"/>
    <w:basedOn w:val="1"/>
    <w:qFormat/>
    <w:uiPriority w:val="0"/>
    <w:pPr>
      <w:numPr>
        <w:ilvl w:val="3"/>
        <w:numId w:val="20"/>
      </w:numPr>
      <w:adjustRightInd/>
      <w:spacing w:line="240" w:lineRule="auto"/>
    </w:pPr>
    <w:rPr>
      <w:rFonts w:ascii="宋体" w:hAnsi="宋体"/>
      <w:szCs w:val="24"/>
    </w:rPr>
  </w:style>
  <w:style w:type="paragraph" w:customStyle="1" w:styleId="120">
    <w:name w:val="发布部门"/>
    <w:next w:val="57"/>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1">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2">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3">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4">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5">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6">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7">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8">
    <w:name w:val="封面正文"/>
    <w:qFormat/>
    <w:uiPriority w:val="0"/>
    <w:pPr>
      <w:jc w:val="both"/>
    </w:pPr>
    <w:rPr>
      <w:rFonts w:ascii="Times New Roman" w:hAnsi="Times New Roman" w:eastAsia="宋体" w:cs="Times New Roman"/>
      <w:lang w:val="en-US" w:eastAsia="zh-CN" w:bidi="ar-SA"/>
    </w:rPr>
  </w:style>
  <w:style w:type="paragraph" w:customStyle="1" w:styleId="129">
    <w:name w:val="附录二级无标题条"/>
    <w:basedOn w:val="1"/>
    <w:next w:val="57"/>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0">
    <w:name w:val="附录三级无标题条"/>
    <w:basedOn w:val="129"/>
    <w:next w:val="57"/>
    <w:qFormat/>
    <w:uiPriority w:val="0"/>
    <w:pPr>
      <w:outlineLvl w:val="4"/>
    </w:pPr>
  </w:style>
  <w:style w:type="paragraph" w:customStyle="1" w:styleId="131">
    <w:name w:val="附录四级无标题条"/>
    <w:basedOn w:val="130"/>
    <w:next w:val="57"/>
    <w:qFormat/>
    <w:uiPriority w:val="0"/>
    <w:pPr>
      <w:outlineLvl w:val="5"/>
    </w:pPr>
  </w:style>
  <w:style w:type="paragraph" w:customStyle="1" w:styleId="132">
    <w:name w:val="附录图"/>
    <w:next w:val="57"/>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3">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4">
    <w:name w:val="附录五级无标题条"/>
    <w:basedOn w:val="131"/>
    <w:next w:val="57"/>
    <w:qFormat/>
    <w:uiPriority w:val="0"/>
    <w:pPr>
      <w:outlineLvl w:val="6"/>
    </w:pPr>
  </w:style>
  <w:style w:type="paragraph" w:customStyle="1" w:styleId="135">
    <w:name w:val="附录性质"/>
    <w:basedOn w:val="1"/>
    <w:qFormat/>
    <w:uiPriority w:val="0"/>
    <w:pPr>
      <w:widowControl/>
      <w:adjustRightInd/>
      <w:jc w:val="center"/>
    </w:pPr>
    <w:rPr>
      <w:rFonts w:ascii="黑体" w:eastAsia="黑体"/>
    </w:rPr>
  </w:style>
  <w:style w:type="paragraph" w:customStyle="1" w:styleId="136">
    <w:name w:val="附录一级无标题条"/>
    <w:basedOn w:val="88"/>
    <w:next w:val="57"/>
    <w:qFormat/>
    <w:uiPriority w:val="0"/>
    <w:pPr>
      <w:autoSpaceDN w:val="0"/>
      <w:outlineLvl w:val="2"/>
    </w:pPr>
    <w:rPr>
      <w:rFonts w:ascii="宋体" w:hAnsi="宋体" w:eastAsia="宋体"/>
    </w:rPr>
  </w:style>
  <w:style w:type="character" w:customStyle="1" w:styleId="137">
    <w:name w:val="个人答复风格"/>
    <w:qFormat/>
    <w:uiPriority w:val="0"/>
    <w:rPr>
      <w:rFonts w:ascii="Arial" w:hAnsi="Arial" w:eastAsia="宋体" w:cs="Arial"/>
      <w:color w:val="auto"/>
      <w:spacing w:val="0"/>
      <w:sz w:val="20"/>
    </w:rPr>
  </w:style>
  <w:style w:type="character" w:customStyle="1" w:styleId="138">
    <w:name w:val="个人撰写风格"/>
    <w:qFormat/>
    <w:uiPriority w:val="0"/>
    <w:rPr>
      <w:rFonts w:ascii="Arial" w:hAnsi="Arial" w:eastAsia="宋体" w:cs="Arial"/>
      <w:color w:val="auto"/>
      <w:spacing w:val="0"/>
      <w:sz w:val="20"/>
    </w:rPr>
  </w:style>
  <w:style w:type="paragraph" w:customStyle="1" w:styleId="139">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40">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1">
    <w:name w:val="列项·"/>
    <w:basedOn w:val="57"/>
    <w:qFormat/>
    <w:uiPriority w:val="0"/>
    <w:pPr>
      <w:tabs>
        <w:tab w:val="left" w:pos="840"/>
      </w:tabs>
    </w:pPr>
  </w:style>
  <w:style w:type="paragraph" w:customStyle="1" w:styleId="142">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3">
    <w:name w:val="目录 21"/>
    <w:basedOn w:val="1"/>
    <w:next w:val="1"/>
    <w:semiHidden/>
    <w:qFormat/>
    <w:uiPriority w:val="0"/>
    <w:pPr>
      <w:adjustRightInd/>
      <w:spacing w:line="240" w:lineRule="auto"/>
      <w:jc w:val="left"/>
    </w:pPr>
    <w:rPr>
      <w:bCs/>
      <w:iCs/>
    </w:rPr>
  </w:style>
  <w:style w:type="paragraph" w:customStyle="1" w:styleId="144">
    <w:name w:val="目录 31"/>
    <w:basedOn w:val="1"/>
    <w:next w:val="1"/>
    <w:semiHidden/>
    <w:qFormat/>
    <w:uiPriority w:val="0"/>
    <w:pPr>
      <w:spacing w:line="240" w:lineRule="auto"/>
    </w:pPr>
    <w:rPr>
      <w:rFonts w:ascii="宋体" w:hAnsi="宋体"/>
      <w:iCs/>
    </w:rPr>
  </w:style>
  <w:style w:type="paragraph" w:customStyle="1" w:styleId="145">
    <w:name w:val="目录 41"/>
    <w:basedOn w:val="1"/>
    <w:next w:val="1"/>
    <w:semiHidden/>
    <w:qFormat/>
    <w:uiPriority w:val="0"/>
    <w:pPr>
      <w:adjustRightInd/>
      <w:spacing w:line="240" w:lineRule="auto"/>
      <w:jc w:val="left"/>
    </w:pPr>
  </w:style>
  <w:style w:type="paragraph" w:customStyle="1" w:styleId="146">
    <w:name w:val="目录 51"/>
    <w:basedOn w:val="1"/>
    <w:next w:val="1"/>
    <w:semiHidden/>
    <w:qFormat/>
    <w:uiPriority w:val="0"/>
    <w:pPr>
      <w:spacing w:line="240" w:lineRule="auto"/>
    </w:pPr>
    <w:rPr>
      <w:rFonts w:ascii="宋体" w:hAnsi="宋体"/>
    </w:rPr>
  </w:style>
  <w:style w:type="paragraph" w:customStyle="1" w:styleId="147">
    <w:name w:val="目录 61"/>
    <w:basedOn w:val="1"/>
    <w:next w:val="1"/>
    <w:semiHidden/>
    <w:qFormat/>
    <w:uiPriority w:val="0"/>
    <w:pPr>
      <w:adjustRightInd/>
      <w:spacing w:line="240" w:lineRule="auto"/>
      <w:jc w:val="left"/>
    </w:pPr>
  </w:style>
  <w:style w:type="paragraph" w:customStyle="1" w:styleId="148">
    <w:name w:val="目录 71"/>
    <w:basedOn w:val="147"/>
    <w:semiHidden/>
    <w:qFormat/>
    <w:uiPriority w:val="0"/>
    <w:pPr>
      <w:ind w:left="1260"/>
    </w:pPr>
  </w:style>
  <w:style w:type="paragraph" w:customStyle="1" w:styleId="149">
    <w:name w:val="目录 81"/>
    <w:basedOn w:val="148"/>
    <w:semiHidden/>
    <w:qFormat/>
    <w:uiPriority w:val="0"/>
    <w:pPr>
      <w:ind w:left="1470"/>
    </w:pPr>
  </w:style>
  <w:style w:type="paragraph" w:customStyle="1" w:styleId="150">
    <w:name w:val="目录 91"/>
    <w:basedOn w:val="149"/>
    <w:semiHidden/>
    <w:qFormat/>
    <w:uiPriority w:val="0"/>
    <w:pPr>
      <w:ind w:left="1680"/>
    </w:pPr>
  </w:style>
  <w:style w:type="paragraph" w:customStyle="1" w:styleId="151">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2">
    <w:name w:val="其他发布部门"/>
    <w:basedOn w:val="120"/>
    <w:qFormat/>
    <w:uiPriority w:val="0"/>
    <w:pPr>
      <w:framePr w:wrap="around"/>
      <w:spacing w:line="0" w:lineRule="atLeast"/>
    </w:pPr>
    <w:rPr>
      <w:rFonts w:ascii="黑体" w:eastAsia="黑体"/>
      <w:b w:val="0"/>
    </w:rPr>
  </w:style>
  <w:style w:type="paragraph" w:customStyle="1" w:styleId="153">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4">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5">
    <w:name w:val="实施日期"/>
    <w:basedOn w:val="121"/>
    <w:qFormat/>
    <w:uiPriority w:val="0"/>
    <w:pPr>
      <w:framePr w:hSpace="0" w:wrap="around" w:xAlign="right"/>
      <w:jc w:val="right"/>
    </w:pPr>
  </w:style>
  <w:style w:type="paragraph" w:customStyle="1" w:styleId="156">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7">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8">
    <w:name w:val="无标题条"/>
    <w:next w:val="57"/>
    <w:qFormat/>
    <w:uiPriority w:val="0"/>
    <w:pPr>
      <w:jc w:val="both"/>
    </w:pPr>
    <w:rPr>
      <w:rFonts w:ascii="宋体" w:hAnsi="宋体" w:eastAsia="宋体" w:cs="Times New Roman"/>
      <w:sz w:val="21"/>
      <w:lang w:val="en-US" w:eastAsia="zh-CN" w:bidi="ar-SA"/>
    </w:rPr>
  </w:style>
  <w:style w:type="paragraph" w:customStyle="1" w:styleId="159">
    <w:name w:val="五级无标题条"/>
    <w:basedOn w:val="1"/>
    <w:qFormat/>
    <w:uiPriority w:val="0"/>
    <w:pPr>
      <w:numPr>
        <w:ilvl w:val="6"/>
        <w:numId w:val="20"/>
      </w:numPr>
      <w:adjustRightInd/>
    </w:pPr>
    <w:rPr>
      <w:szCs w:val="24"/>
    </w:rPr>
  </w:style>
  <w:style w:type="paragraph" w:customStyle="1" w:styleId="160">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1">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2">
    <w:name w:val="注×:后续"/>
    <w:basedOn w:val="161"/>
    <w:qFormat/>
    <w:uiPriority w:val="0"/>
    <w:pPr>
      <w:ind w:left="1406" w:leftChars="0" w:hanging="499" w:firstLineChars="0"/>
    </w:pPr>
  </w:style>
  <w:style w:type="paragraph" w:customStyle="1" w:styleId="163">
    <w:name w:val="标准文件_一级无标题"/>
    <w:basedOn w:val="106"/>
    <w:qFormat/>
    <w:uiPriority w:val="0"/>
    <w:pPr>
      <w:spacing w:before="0" w:beforeLines="0" w:after="0" w:afterLines="0"/>
      <w:outlineLvl w:val="9"/>
    </w:pPr>
    <w:rPr>
      <w:rFonts w:ascii="宋体" w:eastAsia="宋体"/>
    </w:rPr>
  </w:style>
  <w:style w:type="paragraph" w:customStyle="1" w:styleId="164">
    <w:name w:val="标准文件_五级无标题"/>
    <w:basedOn w:val="104"/>
    <w:qFormat/>
    <w:uiPriority w:val="0"/>
    <w:pPr>
      <w:spacing w:before="0" w:beforeLines="0" w:after="0" w:afterLines="0"/>
      <w:outlineLvl w:val="9"/>
    </w:pPr>
    <w:rPr>
      <w:rFonts w:ascii="宋体" w:eastAsia="宋体"/>
    </w:rPr>
  </w:style>
  <w:style w:type="paragraph" w:customStyle="1" w:styleId="165">
    <w:name w:val="标准文件_三级无标题"/>
    <w:basedOn w:val="95"/>
    <w:qFormat/>
    <w:uiPriority w:val="0"/>
    <w:pPr>
      <w:spacing w:before="0" w:beforeLines="0" w:after="0" w:afterLines="0"/>
      <w:outlineLvl w:val="9"/>
    </w:pPr>
    <w:rPr>
      <w:rFonts w:ascii="宋体" w:eastAsia="宋体"/>
    </w:rPr>
  </w:style>
  <w:style w:type="paragraph" w:customStyle="1" w:styleId="166">
    <w:name w:val="标准文件_二级无标题"/>
    <w:basedOn w:val="66"/>
    <w:qFormat/>
    <w:uiPriority w:val="0"/>
    <w:pPr>
      <w:spacing w:before="0" w:beforeLines="0" w:after="0" w:afterLines="0"/>
      <w:outlineLvl w:val="9"/>
    </w:pPr>
    <w:rPr>
      <w:rFonts w:ascii="宋体" w:eastAsia="宋体"/>
    </w:rPr>
  </w:style>
  <w:style w:type="paragraph" w:customStyle="1" w:styleId="167">
    <w:name w:val="标准_四级无标题"/>
    <w:basedOn w:val="99"/>
    <w:next w:val="57"/>
    <w:qFormat/>
    <w:uiPriority w:val="0"/>
    <w:rPr>
      <w:rFonts w:eastAsia="宋体"/>
    </w:rPr>
  </w:style>
  <w:style w:type="paragraph" w:customStyle="1" w:styleId="168">
    <w:name w:val="标准文件_四级无标题"/>
    <w:basedOn w:val="99"/>
    <w:qFormat/>
    <w:uiPriority w:val="0"/>
    <w:pPr>
      <w:spacing w:before="0" w:beforeLines="0" w:after="0" w:afterLines="0"/>
      <w:outlineLvl w:val="9"/>
    </w:pPr>
    <w:rPr>
      <w:rFonts w:ascii="宋体" w:hAnsi="黑体" w:eastAsia="宋体"/>
      <w:szCs w:val="52"/>
    </w:rPr>
  </w:style>
  <w:style w:type="paragraph" w:customStyle="1" w:styleId="169">
    <w:name w:val="标准文件_大写罗马数字编号列项"/>
    <w:basedOn w:val="57"/>
    <w:qFormat/>
    <w:uiPriority w:val="0"/>
    <w:pPr>
      <w:numPr>
        <w:ilvl w:val="0"/>
        <w:numId w:val="23"/>
      </w:numPr>
      <w:ind w:firstLine="0" w:firstLineChars="0"/>
    </w:pPr>
    <w:rPr>
      <w:rFonts w:cs="Arial"/>
      <w:szCs w:val="28"/>
    </w:rPr>
  </w:style>
  <w:style w:type="paragraph" w:customStyle="1" w:styleId="170">
    <w:name w:val="标准文件_小写罗马数字编号列项"/>
    <w:basedOn w:val="57"/>
    <w:uiPriority w:val="0"/>
    <w:pPr>
      <w:numPr>
        <w:ilvl w:val="0"/>
        <w:numId w:val="24"/>
      </w:numPr>
      <w:ind w:firstLine="0" w:firstLineChars="0"/>
    </w:pPr>
    <w:rPr>
      <w:rFonts w:cs="Arial"/>
      <w:szCs w:val="28"/>
    </w:rPr>
  </w:style>
  <w:style w:type="paragraph" w:customStyle="1" w:styleId="171">
    <w:name w:val="标准文件_附录标题"/>
    <w:basedOn w:val="77"/>
    <w:qFormat/>
    <w:uiPriority w:val="0"/>
    <w:pPr>
      <w:numPr>
        <w:numId w:val="0"/>
      </w:numPr>
      <w:spacing w:after="280"/>
      <w:outlineLvl w:val="9"/>
    </w:pPr>
  </w:style>
  <w:style w:type="paragraph" w:customStyle="1" w:styleId="172">
    <w:name w:val="标准文件_二级项"/>
    <w:uiPriority w:val="0"/>
    <w:rPr>
      <w:rFonts w:ascii="宋体" w:hAnsi="Times New Roman" w:eastAsia="宋体" w:cs="Times New Roman"/>
      <w:sz w:val="21"/>
      <w:lang w:val="en-US" w:eastAsia="zh-CN" w:bidi="ar-SA"/>
    </w:rPr>
  </w:style>
  <w:style w:type="paragraph" w:customStyle="1" w:styleId="173">
    <w:name w:val="标准文件_三级项"/>
    <w:basedOn w:val="1"/>
    <w:uiPriority w:val="0"/>
    <w:pPr>
      <w:numPr>
        <w:ilvl w:val="2"/>
        <w:numId w:val="21"/>
      </w:numPr>
      <w:spacing w:line="536870612" w:lineRule="auto"/>
    </w:pPr>
    <w:rPr>
      <w:rFonts w:ascii="Times New Roman" w:hAnsi="Times New Roman"/>
    </w:rPr>
  </w:style>
  <w:style w:type="paragraph" w:customStyle="1" w:styleId="174">
    <w:name w:val="图表脚注说明"/>
    <w:basedOn w:val="1"/>
    <w:next w:val="57"/>
    <w:uiPriority w:val="0"/>
    <w:pPr>
      <w:numPr>
        <w:ilvl w:val="0"/>
        <w:numId w:val="25"/>
      </w:numPr>
      <w:adjustRightInd/>
      <w:spacing w:line="240" w:lineRule="auto"/>
    </w:pPr>
    <w:rPr>
      <w:rFonts w:ascii="宋体" w:hAnsi="Times New Roman"/>
      <w:sz w:val="18"/>
      <w:szCs w:val="18"/>
    </w:rPr>
  </w:style>
  <w:style w:type="paragraph" w:customStyle="1" w:styleId="175">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6">
    <w:name w:val="标准文件_索引字母"/>
    <w:next w:val="57"/>
    <w:qFormat/>
    <w:uiPriority w:val="0"/>
    <w:pPr>
      <w:jc w:val="center"/>
    </w:pPr>
    <w:rPr>
      <w:rFonts w:ascii="宋体" w:hAnsi="宋体" w:eastAsia="Times New Roman" w:cs="Times New Roman"/>
      <w:b/>
      <w:kern w:val="2"/>
      <w:sz w:val="21"/>
      <w:lang w:val="en-US" w:eastAsia="zh-CN" w:bidi="ar-SA"/>
    </w:rPr>
  </w:style>
  <w:style w:type="paragraph" w:customStyle="1" w:styleId="177">
    <w:name w:val="标准文件_附录前"/>
    <w:next w:val="57"/>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8">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9">
    <w:name w:val="标准文件_表格"/>
    <w:basedOn w:val="57"/>
    <w:qFormat/>
    <w:uiPriority w:val="0"/>
    <w:pPr>
      <w:ind w:firstLine="0" w:firstLineChars="0"/>
      <w:jc w:val="center"/>
    </w:pPr>
    <w:rPr>
      <w:sz w:val="18"/>
    </w:rPr>
  </w:style>
  <w:style w:type="paragraph" w:customStyle="1" w:styleId="180">
    <w:name w:val="标准文件_注："/>
    <w:next w:val="57"/>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2">
    <w:name w:val="标准文件_示例："/>
    <w:next w:val="183"/>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3">
    <w:name w:val="标准文件_示例内容"/>
    <w:basedOn w:val="57"/>
    <w:qFormat/>
    <w:uiPriority w:val="0"/>
    <w:pPr>
      <w:ind w:firstLine="420"/>
    </w:pPr>
    <w:rPr>
      <w:sz w:val="18"/>
    </w:rPr>
  </w:style>
  <w:style w:type="paragraph" w:customStyle="1" w:styleId="184">
    <w:name w:val="标准文件_示例×："/>
    <w:basedOn w:val="1"/>
    <w:next w:val="183"/>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5">
    <w:name w:val="标准文件_段 Char"/>
    <w:link w:val="57"/>
    <w:qFormat/>
    <w:uiPriority w:val="0"/>
    <w:rPr>
      <w:rFonts w:ascii="Times New Roman" w:hAnsi="Times New Roman"/>
      <w:sz w:val="21"/>
    </w:rPr>
  </w:style>
  <w:style w:type="paragraph" w:customStyle="1" w:styleId="186">
    <w:name w:val="标准文件_表格续"/>
    <w:basedOn w:val="57"/>
    <w:next w:val="57"/>
    <w:qFormat/>
    <w:uiPriority w:val="0"/>
    <w:pPr>
      <w:jc w:val="center"/>
    </w:pPr>
    <w:rPr>
      <w:rFonts w:ascii="黑体" w:hAnsi="黑体" w:eastAsia="黑体"/>
    </w:rPr>
  </w:style>
  <w:style w:type="character" w:styleId="187">
    <w:name w:val="Placeholder Text"/>
    <w:basedOn w:val="29"/>
    <w:semiHidden/>
    <w:uiPriority w:val="99"/>
    <w:rPr>
      <w:color w:val="808080"/>
    </w:rPr>
  </w:style>
  <w:style w:type="paragraph" w:customStyle="1" w:styleId="188">
    <w:name w:val="标准文件_二级项2"/>
    <w:basedOn w:val="57"/>
    <w:qFormat/>
    <w:uiPriority w:val="0"/>
    <w:pPr>
      <w:numPr>
        <w:ilvl w:val="1"/>
        <w:numId w:val="21"/>
      </w:numPr>
      <w:ind w:firstLine="0" w:firstLineChars="0"/>
    </w:pPr>
  </w:style>
  <w:style w:type="paragraph" w:customStyle="1" w:styleId="189">
    <w:name w:val="标准文件_三级项2"/>
    <w:basedOn w:val="57"/>
    <w:qFormat/>
    <w:uiPriority w:val="0"/>
    <w:pPr>
      <w:numPr>
        <w:ilvl w:val="0"/>
        <w:numId w:val="30"/>
      </w:numPr>
      <w:spacing w:line="300" w:lineRule="exact"/>
      <w:ind w:firstLineChars="0"/>
    </w:pPr>
  </w:style>
  <w:style w:type="paragraph" w:customStyle="1" w:styleId="190">
    <w:name w:val="标准文件_一级项2"/>
    <w:basedOn w:val="57"/>
    <w:qFormat/>
    <w:uiPriority w:val="0"/>
    <w:pPr>
      <w:numPr>
        <w:ilvl w:val="0"/>
        <w:numId w:val="31"/>
      </w:numPr>
      <w:spacing w:line="300" w:lineRule="exact"/>
      <w:ind w:firstLineChars="0"/>
    </w:pPr>
  </w:style>
  <w:style w:type="paragraph" w:customStyle="1" w:styleId="191">
    <w:name w:val="标准文件_提示"/>
    <w:basedOn w:val="57"/>
    <w:next w:val="57"/>
    <w:qFormat/>
    <w:uiPriority w:val="0"/>
    <w:pPr>
      <w:ind w:firstLine="420"/>
    </w:pPr>
    <w:rPr>
      <w:rFonts w:ascii="黑体" w:eastAsia="黑体"/>
    </w:rPr>
  </w:style>
  <w:style w:type="character" w:customStyle="1" w:styleId="192">
    <w:name w:val="标准文件_来源"/>
    <w:basedOn w:val="29"/>
    <w:qFormat/>
    <w:uiPriority w:val="1"/>
    <w:rPr>
      <w:rFonts w:eastAsia="宋体"/>
      <w:sz w:val="21"/>
    </w:rPr>
  </w:style>
  <w:style w:type="paragraph" w:customStyle="1" w:styleId="193">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4">
    <w:name w:val="其他发布日期"/>
    <w:basedOn w:val="121"/>
    <w:qFormat/>
    <w:uiPriority w:val="0"/>
    <w:pPr>
      <w:framePr w:w="3997" w:h="471" w:hRule="exact" w:hSpace="0" w:vSpace="181" w:wrap="around" w:vAnchor="page" w:hAnchor="page" w:x="1419" w:y="14097"/>
    </w:pPr>
  </w:style>
  <w:style w:type="paragraph" w:customStyle="1" w:styleId="195">
    <w:name w:val="其他实施日期"/>
    <w:basedOn w:val="155"/>
    <w:qFormat/>
    <w:uiPriority w:val="0"/>
    <w:pPr>
      <w:framePr w:w="3997" w:h="471" w:hRule="exact" w:vSpace="181" w:wrap="around" w:vAnchor="page" w:hAnchor="page" w:x="7089" w:y="14097"/>
    </w:pPr>
  </w:style>
  <w:style w:type="paragraph" w:customStyle="1" w:styleId="196">
    <w:name w:val="标准文件_文件编号"/>
    <w:basedOn w:val="57"/>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7">
    <w:name w:val="标准文件_替换文件编号"/>
    <w:basedOn w:val="196"/>
    <w:qFormat/>
    <w:uiPriority w:val="0"/>
    <w:pPr>
      <w:spacing w:before="57"/>
    </w:pPr>
    <w:rPr>
      <w:sz w:val="21"/>
    </w:rPr>
  </w:style>
  <w:style w:type="paragraph" w:customStyle="1" w:styleId="198">
    <w:name w:val="标准文件_文件名称"/>
    <w:basedOn w:val="57"/>
    <w:next w:val="57"/>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9">
    <w:name w:val="标准文件_附录图标号"/>
    <w:basedOn w:val="57"/>
    <w:next w:val="57"/>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00">
    <w:name w:val="标准文件_附录表标号"/>
    <w:basedOn w:val="57"/>
    <w:next w:val="57"/>
    <w:qFormat/>
    <w:uiPriority w:val="0"/>
    <w:pPr>
      <w:numPr>
        <w:ilvl w:val="0"/>
        <w:numId w:val="5"/>
      </w:numPr>
      <w:spacing w:line="14" w:lineRule="exact"/>
      <w:ind w:firstLine="0" w:firstLineChars="0"/>
      <w:jc w:val="center"/>
    </w:pPr>
    <w:rPr>
      <w:rFonts w:eastAsia="黑体"/>
      <w:vanish/>
      <w:sz w:val="2"/>
    </w:rPr>
  </w:style>
  <w:style w:type="paragraph" w:customStyle="1" w:styleId="201">
    <w:name w:val="标准文件_引言一级条标题"/>
    <w:basedOn w:val="57"/>
    <w:next w:val="57"/>
    <w:qFormat/>
    <w:uiPriority w:val="0"/>
    <w:pPr>
      <w:numPr>
        <w:ilvl w:val="1"/>
        <w:numId w:val="8"/>
      </w:numPr>
      <w:spacing w:before="50" w:beforeLines="50" w:after="50" w:afterLines="50"/>
      <w:ind w:firstLineChars="0"/>
    </w:pPr>
    <w:rPr>
      <w:rFonts w:ascii="黑体" w:eastAsia="黑体"/>
    </w:rPr>
  </w:style>
  <w:style w:type="paragraph" w:customStyle="1" w:styleId="202">
    <w:name w:val="标准文件_引言二级条标题"/>
    <w:basedOn w:val="57"/>
    <w:next w:val="57"/>
    <w:qFormat/>
    <w:uiPriority w:val="0"/>
    <w:pPr>
      <w:numPr>
        <w:ilvl w:val="2"/>
        <w:numId w:val="8"/>
      </w:numPr>
      <w:spacing w:before="50" w:beforeLines="50" w:after="50" w:afterLines="50"/>
      <w:ind w:firstLineChars="0"/>
    </w:pPr>
    <w:rPr>
      <w:rFonts w:ascii="黑体" w:eastAsia="黑体"/>
    </w:rPr>
  </w:style>
  <w:style w:type="paragraph" w:customStyle="1" w:styleId="203">
    <w:name w:val="标准文件_引言三级条标题"/>
    <w:basedOn w:val="57"/>
    <w:next w:val="57"/>
    <w:qFormat/>
    <w:uiPriority w:val="0"/>
    <w:pPr>
      <w:numPr>
        <w:ilvl w:val="3"/>
        <w:numId w:val="8"/>
      </w:numPr>
      <w:spacing w:before="50" w:beforeLines="50" w:after="50" w:afterLines="50"/>
      <w:ind w:firstLineChars="0"/>
    </w:pPr>
    <w:rPr>
      <w:rFonts w:ascii="黑体" w:eastAsia="黑体"/>
    </w:rPr>
  </w:style>
  <w:style w:type="paragraph" w:customStyle="1" w:styleId="204">
    <w:name w:val="标准文件_引言四级条标题"/>
    <w:basedOn w:val="57"/>
    <w:next w:val="57"/>
    <w:qFormat/>
    <w:uiPriority w:val="0"/>
    <w:pPr>
      <w:numPr>
        <w:ilvl w:val="4"/>
        <w:numId w:val="8"/>
      </w:numPr>
      <w:spacing w:before="50" w:beforeLines="50" w:after="50" w:afterLines="50"/>
      <w:ind w:firstLineChars="0"/>
    </w:pPr>
    <w:rPr>
      <w:rFonts w:ascii="黑体" w:eastAsia="黑体"/>
    </w:rPr>
  </w:style>
  <w:style w:type="paragraph" w:customStyle="1" w:styleId="205">
    <w:name w:val="标准文件_引言五级条标题"/>
    <w:basedOn w:val="57"/>
    <w:next w:val="57"/>
    <w:qFormat/>
    <w:uiPriority w:val="0"/>
    <w:pPr>
      <w:numPr>
        <w:ilvl w:val="5"/>
        <w:numId w:val="8"/>
      </w:numPr>
      <w:spacing w:before="50" w:beforeLines="50" w:after="50" w:afterLines="50"/>
      <w:ind w:firstLineChars="0"/>
    </w:pPr>
    <w:rPr>
      <w:rFonts w:ascii="黑体" w:eastAsia="黑体"/>
    </w:rPr>
  </w:style>
  <w:style w:type="paragraph" w:customStyle="1" w:styleId="206">
    <w:name w:val="标准文件_注后"/>
    <w:basedOn w:val="57"/>
    <w:qFormat/>
    <w:uiPriority w:val="0"/>
    <w:pPr>
      <w:ind w:left="811" w:firstLine="0" w:firstLineChars="0"/>
    </w:pPr>
    <w:rPr>
      <w:sz w:val="18"/>
    </w:rPr>
  </w:style>
  <w:style w:type="paragraph" w:customStyle="1" w:styleId="207">
    <w:name w:val="标准文件_注X后"/>
    <w:basedOn w:val="57"/>
    <w:qFormat/>
    <w:uiPriority w:val="0"/>
    <w:pPr>
      <w:ind w:left="811" w:firstLine="0" w:firstLineChars="0"/>
    </w:pPr>
    <w:rPr>
      <w:sz w:val="18"/>
    </w:rPr>
  </w:style>
  <w:style w:type="paragraph" w:customStyle="1" w:styleId="208">
    <w:name w:val="标准文件_示例后"/>
    <w:basedOn w:val="57"/>
    <w:qFormat/>
    <w:uiPriority w:val="0"/>
    <w:pPr>
      <w:ind w:left="964" w:firstLine="0" w:firstLineChars="0"/>
    </w:pPr>
    <w:rPr>
      <w:sz w:val="18"/>
    </w:rPr>
  </w:style>
  <w:style w:type="paragraph" w:customStyle="1" w:styleId="209">
    <w:name w:val="标准文件_示例X后"/>
    <w:basedOn w:val="57"/>
    <w:link w:val="210"/>
    <w:qFormat/>
    <w:uiPriority w:val="0"/>
    <w:pPr>
      <w:ind w:left="1049" w:firstLine="0" w:firstLineChars="0"/>
    </w:pPr>
    <w:rPr>
      <w:sz w:val="18"/>
    </w:rPr>
  </w:style>
  <w:style w:type="character" w:customStyle="1" w:styleId="210">
    <w:name w:val="标准文件_示例X后 字符"/>
    <w:basedOn w:val="185"/>
    <w:link w:val="209"/>
    <w:qFormat/>
    <w:uiPriority w:val="0"/>
    <w:rPr>
      <w:rFonts w:ascii="宋体" w:hAnsi="Times New Roman"/>
      <w:sz w:val="18"/>
    </w:rPr>
  </w:style>
  <w:style w:type="paragraph" w:customStyle="1" w:styleId="211">
    <w:name w:val="标准文件_索引项"/>
    <w:basedOn w:val="57"/>
    <w:next w:val="57"/>
    <w:qFormat/>
    <w:uiPriority w:val="0"/>
    <w:pPr>
      <w:tabs>
        <w:tab w:val="right" w:leader="dot" w:pos="9356"/>
      </w:tabs>
      <w:ind w:left="210" w:hanging="210" w:firstLineChars="0"/>
      <w:jc w:val="left"/>
    </w:pPr>
  </w:style>
  <w:style w:type="paragraph" w:customStyle="1" w:styleId="212">
    <w:name w:val="标准文件_附录一级无标题"/>
    <w:basedOn w:val="79"/>
    <w:qFormat/>
    <w:uiPriority w:val="0"/>
    <w:pPr>
      <w:spacing w:before="0" w:beforeLines="0" w:after="0" w:afterLines="0" w:line="276" w:lineRule="auto"/>
      <w:outlineLvl w:val="9"/>
    </w:pPr>
    <w:rPr>
      <w:rFonts w:ascii="宋体" w:eastAsia="宋体"/>
    </w:rPr>
  </w:style>
  <w:style w:type="paragraph" w:customStyle="1" w:styleId="213">
    <w:name w:val="标准文件_附录二级无标题"/>
    <w:basedOn w:val="80"/>
    <w:qFormat/>
    <w:uiPriority w:val="0"/>
    <w:pPr>
      <w:spacing w:before="0" w:beforeLines="0" w:after="0" w:afterLines="0" w:line="276" w:lineRule="auto"/>
      <w:outlineLvl w:val="9"/>
    </w:pPr>
    <w:rPr>
      <w:rFonts w:ascii="宋体" w:eastAsia="宋体"/>
    </w:rPr>
  </w:style>
  <w:style w:type="paragraph" w:customStyle="1" w:styleId="214">
    <w:name w:val="标准文件_附录三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四级无标题"/>
    <w:basedOn w:val="83"/>
    <w:qFormat/>
    <w:uiPriority w:val="0"/>
    <w:pPr>
      <w:spacing w:before="0" w:beforeLines="0" w:after="0" w:afterLines="0" w:line="276" w:lineRule="auto"/>
      <w:outlineLvl w:val="9"/>
    </w:pPr>
    <w:rPr>
      <w:rFonts w:ascii="宋体" w:eastAsia="宋体"/>
    </w:rPr>
  </w:style>
  <w:style w:type="paragraph" w:customStyle="1" w:styleId="216">
    <w:name w:val="标准文件_附录五级无标题"/>
    <w:basedOn w:val="85"/>
    <w:qFormat/>
    <w:uiPriority w:val="0"/>
    <w:pPr>
      <w:spacing w:before="0" w:beforeLines="0" w:after="0" w:afterLines="0" w:line="276" w:lineRule="auto"/>
      <w:outlineLvl w:val="9"/>
    </w:pPr>
    <w:rPr>
      <w:rFonts w:ascii="宋体" w:eastAsia="宋体"/>
    </w:rPr>
  </w:style>
  <w:style w:type="paragraph" w:customStyle="1" w:styleId="217">
    <w:name w:val="标准文件_引言一级无标题"/>
    <w:basedOn w:val="201"/>
    <w:next w:val="57"/>
    <w:qFormat/>
    <w:uiPriority w:val="0"/>
    <w:pPr>
      <w:spacing w:before="0" w:beforeLines="0" w:after="0" w:afterLines="0" w:line="276" w:lineRule="auto"/>
    </w:pPr>
    <w:rPr>
      <w:rFonts w:ascii="宋体" w:eastAsia="宋体"/>
    </w:rPr>
  </w:style>
  <w:style w:type="paragraph" w:customStyle="1" w:styleId="218">
    <w:name w:val="标准文件_引言二级无标题"/>
    <w:basedOn w:val="202"/>
    <w:next w:val="57"/>
    <w:qFormat/>
    <w:uiPriority w:val="0"/>
    <w:pPr>
      <w:spacing w:before="0" w:beforeLines="0" w:after="0" w:afterLines="0" w:line="276" w:lineRule="auto"/>
    </w:pPr>
    <w:rPr>
      <w:rFonts w:ascii="宋体" w:eastAsia="宋体"/>
    </w:rPr>
  </w:style>
  <w:style w:type="paragraph" w:customStyle="1" w:styleId="219">
    <w:name w:val="标准文件_引言三级无标题"/>
    <w:basedOn w:val="203"/>
    <w:qFormat/>
    <w:uiPriority w:val="0"/>
    <w:pPr>
      <w:spacing w:before="0" w:beforeLines="0" w:after="0" w:afterLines="0" w:line="276" w:lineRule="auto"/>
    </w:pPr>
    <w:rPr>
      <w:rFonts w:ascii="宋体" w:eastAsia="宋体"/>
    </w:rPr>
  </w:style>
  <w:style w:type="paragraph" w:customStyle="1" w:styleId="220">
    <w:name w:val="标准文件_引言四级无标题"/>
    <w:basedOn w:val="204"/>
    <w:next w:val="57"/>
    <w:qFormat/>
    <w:uiPriority w:val="0"/>
    <w:pPr>
      <w:spacing w:before="0" w:beforeLines="0" w:after="0" w:afterLines="0" w:line="276" w:lineRule="auto"/>
    </w:pPr>
    <w:rPr>
      <w:rFonts w:ascii="宋体" w:eastAsia="宋体"/>
    </w:rPr>
  </w:style>
  <w:style w:type="paragraph" w:customStyle="1" w:styleId="221">
    <w:name w:val="标准文件_引言五级无标题"/>
    <w:basedOn w:val="205"/>
    <w:next w:val="57"/>
    <w:qFormat/>
    <w:uiPriority w:val="0"/>
    <w:pPr>
      <w:spacing w:before="0" w:beforeLines="0" w:after="0" w:afterLines="0" w:line="276" w:lineRule="auto"/>
    </w:pPr>
    <w:rPr>
      <w:rFonts w:ascii="宋体" w:eastAsia="宋体"/>
    </w:rPr>
  </w:style>
  <w:style w:type="paragraph" w:customStyle="1" w:styleId="222">
    <w:name w:val="标准文件_索引标题"/>
    <w:basedOn w:val="64"/>
    <w:next w:val="57"/>
    <w:qFormat/>
    <w:uiPriority w:val="0"/>
    <w:rPr>
      <w:rFonts w:hAnsi="黑体"/>
    </w:rPr>
  </w:style>
  <w:style w:type="paragraph" w:customStyle="1" w:styleId="223">
    <w:name w:val="标准文件_脚注内容"/>
    <w:basedOn w:val="57"/>
    <w:qFormat/>
    <w:uiPriority w:val="0"/>
    <w:pPr>
      <w:ind w:left="400" w:leftChars="200" w:hanging="200" w:hangingChars="200"/>
    </w:pPr>
    <w:rPr>
      <w:sz w:val="15"/>
    </w:rPr>
  </w:style>
  <w:style w:type="paragraph" w:customStyle="1" w:styleId="224">
    <w:name w:val="标准文件_术语条一"/>
    <w:basedOn w:val="163"/>
    <w:next w:val="57"/>
    <w:qFormat/>
    <w:uiPriority w:val="0"/>
  </w:style>
  <w:style w:type="paragraph" w:customStyle="1" w:styleId="225">
    <w:name w:val="标准文件_术语条二"/>
    <w:basedOn w:val="166"/>
    <w:next w:val="57"/>
    <w:qFormat/>
    <w:uiPriority w:val="0"/>
  </w:style>
  <w:style w:type="paragraph" w:customStyle="1" w:styleId="226">
    <w:name w:val="标准文件_术语条三"/>
    <w:basedOn w:val="165"/>
    <w:next w:val="57"/>
    <w:qFormat/>
    <w:uiPriority w:val="0"/>
  </w:style>
  <w:style w:type="paragraph" w:customStyle="1" w:styleId="227">
    <w:name w:val="标准文件_术语条四"/>
    <w:basedOn w:val="168"/>
    <w:next w:val="57"/>
    <w:qFormat/>
    <w:uiPriority w:val="0"/>
  </w:style>
  <w:style w:type="paragraph" w:customStyle="1" w:styleId="228">
    <w:name w:val="标准文件_术语条五"/>
    <w:basedOn w:val="164"/>
    <w:next w:val="57"/>
    <w:qFormat/>
    <w:uiPriority w:val="0"/>
  </w:style>
  <w:style w:type="paragraph" w:customStyle="1" w:styleId="229">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0">
    <w:name w:val="发布"/>
    <w:basedOn w:val="29"/>
    <w:qFormat/>
    <w:uiPriority w:val="0"/>
    <w:rPr>
      <w:rFonts w:ascii="黑体" w:eastAsia="黑体"/>
      <w:spacing w:val="85"/>
      <w:w w:val="100"/>
      <w:position w:val="3"/>
      <w:sz w:val="28"/>
      <w:szCs w:val="28"/>
    </w:rPr>
  </w:style>
  <w:style w:type="paragraph" w:customStyle="1" w:styleId="231">
    <w:name w:val="段"/>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4" Type="http://schemas.openxmlformats.org/officeDocument/2006/relationships/glossaryDocument" Target="glossary/document.xml"/><Relationship Id="rId53" Type="http://schemas.openxmlformats.org/officeDocument/2006/relationships/fontTable" Target="fontTable.xml"/><Relationship Id="rId52" Type="http://schemas.openxmlformats.org/officeDocument/2006/relationships/customXml" Target="../customXml/item2.xml"/><Relationship Id="rId51" Type="http://schemas.openxmlformats.org/officeDocument/2006/relationships/numbering" Target="numbering.xml"/><Relationship Id="rId50" Type="http://schemas.openxmlformats.org/officeDocument/2006/relationships/customXml" Target="../customXml/item1.xml"/><Relationship Id="rId5" Type="http://schemas.openxmlformats.org/officeDocument/2006/relationships/header" Target="header1.xml"/><Relationship Id="rId49" Type="http://schemas.openxmlformats.org/officeDocument/2006/relationships/image" Target="media/image3.jpeg"/><Relationship Id="rId48" Type="http://schemas.openxmlformats.org/officeDocument/2006/relationships/image" Target="media/image2.png"/><Relationship Id="rId47" Type="http://schemas.openxmlformats.org/officeDocument/2006/relationships/image" Target="media/image1.tiff"/><Relationship Id="rId46" Type="http://schemas.openxmlformats.org/officeDocument/2006/relationships/theme" Target="theme/theme1.xml"/><Relationship Id="rId45" Type="http://schemas.openxmlformats.org/officeDocument/2006/relationships/footer" Target="footer20.xml"/><Relationship Id="rId44" Type="http://schemas.openxmlformats.org/officeDocument/2006/relationships/footer" Target="footer19.xml"/><Relationship Id="rId43" Type="http://schemas.openxmlformats.org/officeDocument/2006/relationships/header" Target="header21.xml"/><Relationship Id="rId42" Type="http://schemas.openxmlformats.org/officeDocument/2006/relationships/header" Target="header20.xml"/><Relationship Id="rId41" Type="http://schemas.openxmlformats.org/officeDocument/2006/relationships/footer" Target="footer18.xml"/><Relationship Id="rId40" Type="http://schemas.openxmlformats.org/officeDocument/2006/relationships/footer" Target="footer17.xml"/><Relationship Id="rId4" Type="http://schemas.openxmlformats.org/officeDocument/2006/relationships/endnotes" Target="endnotes.xml"/><Relationship Id="rId39" Type="http://schemas.openxmlformats.org/officeDocument/2006/relationships/header" Target="header19.xml"/><Relationship Id="rId38" Type="http://schemas.openxmlformats.org/officeDocument/2006/relationships/header" Target="header18.xml"/><Relationship Id="rId37" Type="http://schemas.openxmlformats.org/officeDocument/2006/relationships/footer" Target="footer16.xml"/><Relationship Id="rId36" Type="http://schemas.openxmlformats.org/officeDocument/2006/relationships/footer" Target="footer15.xml"/><Relationship Id="rId35" Type="http://schemas.openxmlformats.org/officeDocument/2006/relationships/header" Target="header17.xml"/><Relationship Id="rId34" Type="http://schemas.openxmlformats.org/officeDocument/2006/relationships/header" Target="header16.xml"/><Relationship Id="rId33" Type="http://schemas.openxmlformats.org/officeDocument/2006/relationships/footer" Target="footer14.xml"/><Relationship Id="rId32" Type="http://schemas.openxmlformats.org/officeDocument/2006/relationships/footer" Target="footer13.xml"/><Relationship Id="rId31" Type="http://schemas.openxmlformats.org/officeDocument/2006/relationships/header" Target="header15.xml"/><Relationship Id="rId30" Type="http://schemas.openxmlformats.org/officeDocument/2006/relationships/header" Target="header14.xml"/><Relationship Id="rId3" Type="http://schemas.openxmlformats.org/officeDocument/2006/relationships/footnotes" Target="footnotes.xml"/><Relationship Id="rId29" Type="http://schemas.openxmlformats.org/officeDocument/2006/relationships/footer" Target="footer12.xml"/><Relationship Id="rId28" Type="http://schemas.openxmlformats.org/officeDocument/2006/relationships/footer" Target="footer11.xml"/><Relationship Id="rId27" Type="http://schemas.openxmlformats.org/officeDocument/2006/relationships/header" Target="header13.xml"/><Relationship Id="rId26" Type="http://schemas.openxmlformats.org/officeDocument/2006/relationships/header" Target="header12.xml"/><Relationship Id="rId25" Type="http://schemas.openxmlformats.org/officeDocument/2006/relationships/footer" Target="footer10.xml"/><Relationship Id="rId24" Type="http://schemas.openxmlformats.org/officeDocument/2006/relationships/footer" Target="footer9.xml"/><Relationship Id="rId23" Type="http://schemas.openxmlformats.org/officeDocument/2006/relationships/header" Target="header11.xml"/><Relationship Id="rId22" Type="http://schemas.openxmlformats.org/officeDocument/2006/relationships/header" Target="header10.xml"/><Relationship Id="rId21" Type="http://schemas.openxmlformats.org/officeDocument/2006/relationships/footer" Target="footer8.xml"/><Relationship Id="rId20" Type="http://schemas.openxmlformats.org/officeDocument/2006/relationships/footer" Target="footer7.xml"/><Relationship Id="rId2" Type="http://schemas.openxmlformats.org/officeDocument/2006/relationships/settings" Target="settings.xml"/><Relationship Id="rId19" Type="http://schemas.openxmlformats.org/officeDocument/2006/relationships/header" Target="header9.xml"/><Relationship Id="rId18" Type="http://schemas.openxmlformats.org/officeDocument/2006/relationships/header" Target="header8.xml"/><Relationship Id="rId17" Type="http://schemas.openxmlformats.org/officeDocument/2006/relationships/footer" Target="footer6.xml"/><Relationship Id="rId16" Type="http://schemas.openxmlformats.org/officeDocument/2006/relationships/footer" Target="footer5.xml"/><Relationship Id="rId15" Type="http://schemas.openxmlformats.org/officeDocument/2006/relationships/header" Target="header7.xml"/><Relationship Id="rId14" Type="http://schemas.openxmlformats.org/officeDocument/2006/relationships/header" Target="header6.xml"/><Relationship Id="rId13" Type="http://schemas.openxmlformats.org/officeDocument/2006/relationships/footer" Target="footer4.xml"/><Relationship Id="rId12" Type="http://schemas.openxmlformats.org/officeDocument/2006/relationships/footer" Target="footer3.xml"/><Relationship Id="rId11" Type="http://schemas.openxmlformats.org/officeDocument/2006/relationships/header" Target="header5.xml"/><Relationship Id="rId10" Type="http://schemas.openxmlformats.org/officeDocument/2006/relationships/header" Target="header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44A38090058141E5BCF867FEE79180DC"/>
        <w:style w:val=""/>
        <w:category>
          <w:name w:val="常规"/>
          <w:gallery w:val="placeholder"/>
        </w:category>
        <w:types>
          <w:type w:val="bbPlcHdr"/>
        </w:types>
        <w:behaviors>
          <w:behavior w:val="content"/>
        </w:behaviors>
        <w:description w:val=""/>
        <w:guid w:val="{3E435CD4-A942-486C-B99C-687EB01641D9}"/>
      </w:docPartPr>
      <w:docPartBody>
        <w:p>
          <w:pPr>
            <w:pStyle w:val="5"/>
          </w:pPr>
          <w:r>
            <w:rPr>
              <w:rStyle w:val="4"/>
              <w:rFonts w:hint="eastAsia"/>
            </w:rPr>
            <w:t>单击或点击此处输入文字。</w:t>
          </w:r>
        </w:p>
      </w:docPartBody>
    </w:docPart>
    <w:docPart>
      <w:docPartPr>
        <w:name w:val="83ACEA082902419DAEC754314F0D2502"/>
        <w:style w:val=""/>
        <w:category>
          <w:name w:val="常规"/>
          <w:gallery w:val="placeholder"/>
        </w:category>
        <w:types>
          <w:type w:val="bbPlcHdr"/>
        </w:types>
        <w:behaviors>
          <w:behavior w:val="content"/>
        </w:behaviors>
        <w:description w:val=""/>
        <w:guid w:val="{EAB02F69-0057-4016-B783-9EFBE6ED4674}"/>
      </w:docPartPr>
      <w:docPartBody>
        <w:p>
          <w:pPr>
            <w:pStyle w:val="6"/>
          </w:pPr>
          <w:r>
            <w:rPr>
              <w:rStyle w:val="4"/>
              <w:rFonts w:hint="eastAsia"/>
            </w:rPr>
            <w:t>选择一项。</w:t>
          </w:r>
        </w:p>
      </w:docPartBody>
    </w:docPart>
    <w:docPart>
      <w:docPartPr>
        <w:name w:val="1300A4C75D794D6291D16A5282D6F457"/>
        <w:style w:val=""/>
        <w:category>
          <w:name w:val="常规"/>
          <w:gallery w:val="placeholder"/>
        </w:category>
        <w:types>
          <w:type w:val="bbPlcHdr"/>
        </w:types>
        <w:behaviors>
          <w:behavior w:val="content"/>
        </w:behaviors>
        <w:description w:val=""/>
        <w:guid w:val="{57C2592D-AC40-4B99-9ED8-C705F3CB6DF5}"/>
      </w:docPartPr>
      <w:docPartBody>
        <w:p>
          <w:pPr>
            <w:pStyle w:val="7"/>
          </w:pPr>
          <w:r>
            <w:rPr>
              <w:rStyle w:val="4"/>
              <w:rFonts w:hint="eastAsia"/>
            </w:rPr>
            <w:t>选择一项。</w:t>
          </w:r>
        </w:p>
      </w:docPartBody>
    </w:docPart>
  </w:docParts>
</w:glossaryDocument>
</file>

<file path=word/glossary/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等线">
    <w:altName w:val="Arial Unicode MS"/>
    <w:panose1 w:val="02010600030101010101"/>
    <w:charset w:val="86"/>
    <w:family w:val="auto"/>
    <w:pitch w:val="default"/>
    <w:sig w:usb0="00000000" w:usb1="00000000" w:usb2="00000016" w:usb3="00000000" w:csb0="0004000F" w:csb1="00000000"/>
  </w:font>
  <w:font w:name="Arial Unicode MS">
    <w:panose1 w:val="020B0604020202020204"/>
    <w:charset w:val="86"/>
    <w:family w:val="auto"/>
    <w:pitch w:val="default"/>
    <w:sig w:usb0="FFFFFFFF" w:usb1="E9FFFFFF" w:usb2="0000003F" w:usb3="00000000" w:csb0="603F01FF" w:csb1="FFFF0000"/>
  </w:font>
  <w:font w:name="等线">
    <w:altName w:val="Arial Unicode MS"/>
    <w:panose1 w:val="00000000000000000000"/>
    <w:charset w:val="86"/>
    <w:family w:val="auto"/>
    <w:pitch w:val="default"/>
    <w:sig w:usb0="00000000" w:usb1="00000000" w:usb2="00000000" w:usb3="00000000" w:csb0="00000000" w:csb1="00000000"/>
  </w:font>
  <w:font w:name="等线">
    <w:altName w:val="Arial Unicode MS"/>
    <w:panose1 w:val="00000000000000000000"/>
    <w:charset w:val="00"/>
    <w:family w:val="auto"/>
    <w:pitch w:val="default"/>
    <w:sig w:usb0="00000000" w:usb1="00000000" w:usb2="00000000" w:usb3="00000000" w:csb0="00000000" w:csb1="00000000"/>
  </w:font>
</w:fonts>
</file>

<file path=word/glossary/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8" w:lineRule="auto"/>
      </w:pPr>
      <w:r>
        <w:separator/>
      </w:r>
    </w:p>
  </w:footnote>
  <w:footnote w:type="continuationSeparator" w:id="1">
    <w:p>
      <w:pPr>
        <w:spacing w:before="0" w:after="0" w:line="278" w:lineRule="auto"/>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03D5"/>
    <w:rsid w:val="00F203D5"/>
    <w:rsid w:val="00F718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44A38090058141E5BCF867FEE79180DC"/>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paragraph" w:customStyle="1" w:styleId="6">
    <w:name w:val="83ACEA082902419DAEC754314F0D2502"/>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paragraph" w:customStyle="1" w:styleId="7">
    <w:name w:val="1300A4C75D794D6291D16A5282D6F457"/>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CF03465-9310-430F-A8A0-DFC80D2CA8A6}">
  <ds:schemaRefs/>
</ds:datastoreItem>
</file>

<file path=docProps/app.xml><?xml version="1.0" encoding="utf-8"?>
<Properties xmlns="http://schemas.openxmlformats.org/officeDocument/2006/extended-properties" xmlns:vt="http://schemas.openxmlformats.org/officeDocument/2006/docPropsVTypes">
  <Template>地方标准.dotx</Template>
  <Pages>16</Pages>
  <Words>5034</Words>
  <Characters>5604</Characters>
  <Lines>4</Lines>
  <Paragraphs>1</Paragraphs>
  <TotalTime>1</TotalTime>
  <ScaleCrop>false</ScaleCrop>
  <LinksUpToDate>false</LinksUpToDate>
  <CharactersWithSpaces>5783</CharactersWithSpaces>
  <Application>WPS Office_11.8.2.11813_F1E327BC-269C-435d-A152-05C5408002CA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2025-08-31T08:15:00Z</dcterms:created>
  <dc:creator>whc</dc:creator>
  <cp:lastModifiedBy>A</cp:lastModifiedBy>
  <dcterms:modified xsi:type="dcterms:W3CDTF">2025-09-03T06:30:52Z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GB</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国家标准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ICV">
    <vt:lpwstr>F138381997354C209A91343FDBA6E8AC_11</vt:lpwstr>
  </property>
  <property fmtid="{D5CDD505-2E9C-101B-9397-08002B2CF9AE}" pid="15" name="KSOTemplateDocerSaveRecord">
    <vt:lpwstr>eyJoZGlkIjoiMzQ5NWQyZjQzZGE3N2IyM2Q1M2RiNDlhNjY5Y2M5ODQiLCJ1c2VySWQiOiI3NTkwNDA3MjgifQ==</vt:lpwstr>
  </property>
  <property fmtid="{D5CDD505-2E9C-101B-9397-08002B2CF9AE}" pid="16" name="KSOProductBuildVer">
    <vt:lpwstr>2052-11.8.2.11813</vt:lpwstr>
  </property>
  <property fmtid="{D5CDD505-2E9C-101B-9397-08002B2CF9AE}" pid="17" name="DoublePage">
    <vt:lpwstr>false</vt:lpwstr>
  </property>
</Properties>
</file>