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CFBDB">
      <w:pPr>
        <w:pStyle w:val="2"/>
        <w:pageBreakBefore w:val="0"/>
        <w:kinsoku/>
        <w:wordWrap/>
        <w:overflowPunct/>
        <w:topLinePunct w:val="0"/>
        <w:bidi w:val="0"/>
        <w:snapToGrid/>
        <w:spacing w:line="360" w:lineRule="auto"/>
        <w:ind w:firstLine="281" w:firstLineChars="100"/>
        <w:jc w:val="center"/>
        <w:textAlignment w:val="auto"/>
        <w:rPr>
          <w:rFonts w:hint="eastAsia" w:ascii="宋体" w:hAnsi="宋体" w:eastAsia="宋体" w:cs="宋体"/>
          <w:b/>
          <w:bCs/>
          <w:sz w:val="28"/>
          <w:szCs w:val="28"/>
        </w:rPr>
      </w:pPr>
      <w:r>
        <w:rPr>
          <w:rFonts w:hint="eastAsia" w:ascii="宋体" w:hAnsi="宋体" w:eastAsia="宋体" w:cs="宋体"/>
          <w:sz w:val="28"/>
          <w:szCs w:val="28"/>
        </w:rPr>
        <w:t>编制说明</w:t>
      </w:r>
    </w:p>
    <w:p w14:paraId="56989355">
      <w:pPr>
        <w:pageBreakBefore w:val="0"/>
        <w:widowControl/>
        <w:numPr>
          <w:ilvl w:val="0"/>
          <w:numId w:val="1"/>
        </w:numPr>
        <w:kinsoku/>
        <w:wordWrap/>
        <w:overflowPunct/>
        <w:topLinePunct w:val="0"/>
        <w:bidi w:val="0"/>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工作简况</w:t>
      </w:r>
    </w:p>
    <w:p w14:paraId="45CF2A44">
      <w:pPr>
        <w:pageBreakBefore w:val="0"/>
        <w:widowControl/>
        <w:numPr>
          <w:ilvl w:val="0"/>
          <w:numId w:val="2"/>
        </w:numPr>
        <w:kinsoku/>
        <w:wordWrap/>
        <w:overflowPunct/>
        <w:topLinePunct w:val="0"/>
        <w:bidi w:val="0"/>
        <w:snapToGrid/>
        <w:spacing w:line="360" w:lineRule="auto"/>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任务来源</w:t>
      </w:r>
    </w:p>
    <w:p w14:paraId="027CE7D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b w:val="0"/>
          <w:bCs w:val="0"/>
          <w:color w:val="333333"/>
          <w:kern w:val="0"/>
          <w:sz w:val="24"/>
          <w:szCs w:val="24"/>
          <w:lang w:eastAsia="zh-CN"/>
        </w:rPr>
        <w:t>单人无菌病室主要用于医疗领域（如血液科、烧伤科、移植病房、重症监护（ICU）、免疫缺陷患者隔离等），为免疫力低下的患者，如白血病患者、器官移植患者等，提供无菌、无尘的环境，降低感染风险，能减轻患者的痛苦，提高治疗效果。关于单人无菌病室的管理，目前无国家标准和行业标准，为</w:t>
      </w:r>
      <w:r>
        <w:rPr>
          <w:rFonts w:hint="eastAsia" w:ascii="宋体" w:hAnsi="宋体" w:eastAsia="宋体" w:cs="宋体"/>
          <w:b w:val="0"/>
          <w:bCs w:val="0"/>
          <w:color w:val="333333"/>
          <w:kern w:val="0"/>
          <w:sz w:val="24"/>
          <w:szCs w:val="24"/>
          <w:lang w:val="en-US" w:eastAsia="zh-CN"/>
        </w:rPr>
        <w:t>降低患者感染发生率，减少患者的住院时间和经济负担，</w:t>
      </w:r>
      <w:r>
        <w:rPr>
          <w:rFonts w:hint="eastAsia" w:ascii="宋体" w:hAnsi="宋体" w:eastAsia="宋体" w:cs="宋体"/>
          <w:b w:val="0"/>
          <w:bCs w:val="0"/>
          <w:color w:val="333333"/>
          <w:kern w:val="0"/>
          <w:sz w:val="24"/>
          <w:szCs w:val="24"/>
          <w:lang w:eastAsia="zh-CN"/>
        </w:rPr>
        <w:t>提升患者生存质量，确保患者治疗安全，符合《医疗机构消毒技术规范》《洁净手术部建筑技术规范》等国家标准及行业促进会要求，</w:t>
      </w:r>
      <w:r>
        <w:rPr>
          <w:rFonts w:hint="eastAsia" w:ascii="宋体" w:hAnsi="宋体" w:eastAsia="宋体" w:cs="宋体"/>
          <w:color w:val="000000"/>
          <w:kern w:val="0"/>
          <w:sz w:val="24"/>
          <w:szCs w:val="24"/>
        </w:rPr>
        <w:t>计划制定团体标准。</w:t>
      </w:r>
    </w:p>
    <w:p w14:paraId="3712E52A">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kern w:val="0"/>
          <w:sz w:val="24"/>
          <w:szCs w:val="24"/>
          <w:lang w:eastAsia="zh-CN"/>
        </w:rPr>
        <w:t>本标准从</w:t>
      </w:r>
      <w:r>
        <w:rPr>
          <w:rFonts w:hint="eastAsia" w:ascii="宋体" w:hAnsi="宋体" w:eastAsia="宋体" w:cs="宋体"/>
          <w:color w:val="000000"/>
          <w:sz w:val="24"/>
          <w:szCs w:val="24"/>
          <w:lang w:val="en-US" w:eastAsia="zh-CN"/>
        </w:rPr>
        <w:t>单人无菌病室的适用范围、</w:t>
      </w:r>
      <w:r>
        <w:rPr>
          <w:rFonts w:hint="eastAsia" w:ascii="宋体" w:hAnsi="宋体" w:eastAsia="宋体" w:cs="宋体"/>
          <w:color w:val="000000"/>
          <w:sz w:val="24"/>
          <w:szCs w:val="24"/>
        </w:rPr>
        <w:t>作用</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设备设施要求</w:t>
      </w:r>
      <w:r>
        <w:rPr>
          <w:rFonts w:hint="eastAsia" w:ascii="宋体" w:hAnsi="宋体" w:eastAsia="宋体" w:cs="宋体"/>
          <w:color w:val="000000"/>
          <w:sz w:val="24"/>
          <w:szCs w:val="24"/>
          <w:lang w:val="en-US" w:eastAsia="zh-CN"/>
        </w:rPr>
        <w:t>以及使用、维护标准（使用说明、</w:t>
      </w:r>
      <w:r>
        <w:rPr>
          <w:rFonts w:hint="eastAsia" w:ascii="宋体" w:hAnsi="宋体" w:eastAsia="宋体" w:cs="宋体"/>
          <w:color w:val="000000"/>
          <w:sz w:val="24"/>
          <w:szCs w:val="24"/>
        </w:rPr>
        <w:t>设备维护和保养</w:t>
      </w:r>
      <w:r>
        <w:rPr>
          <w:rFonts w:hint="eastAsia" w:ascii="宋体" w:hAnsi="宋体" w:eastAsia="宋体" w:cs="宋体"/>
          <w:color w:val="000000"/>
          <w:sz w:val="24"/>
          <w:szCs w:val="24"/>
          <w:lang w:val="en-US" w:eastAsia="zh-CN"/>
        </w:rPr>
        <w:t>）等入手</w:t>
      </w:r>
      <w:r>
        <w:rPr>
          <w:rFonts w:hint="eastAsia" w:ascii="宋体" w:hAnsi="宋体" w:eastAsia="宋体" w:cs="宋体"/>
          <w:color w:val="000000"/>
          <w:sz w:val="24"/>
          <w:szCs w:val="24"/>
          <w:lang w:eastAsia="zh-CN"/>
        </w:rPr>
        <w:t>，结合临床实际使用情况，充分调研，并针对设备的有效正常使用及维护，制定了规范操作流程，建立了</w:t>
      </w:r>
      <w:r>
        <w:rPr>
          <w:rFonts w:hint="eastAsia" w:ascii="宋体" w:hAnsi="宋体" w:eastAsia="宋体" w:cs="宋体"/>
          <w:color w:val="000000"/>
          <w:sz w:val="24"/>
          <w:szCs w:val="24"/>
          <w:lang w:val="en-US" w:eastAsia="zh-CN"/>
        </w:rPr>
        <w:t>单人无菌病室管理制度，明确各级人员的管理职责，通过遵循统一标准，有效减少感染发生率。</w:t>
      </w:r>
    </w:p>
    <w:p w14:paraId="63D9A0E8">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该标准由陆军军医大学第二附属医院、重庆蓝缕医疗科技有限公司、中关村国际医药检验认证科技有限公司等单位共同起草。</w:t>
      </w:r>
    </w:p>
    <w:p w14:paraId="4AEA087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FF0000"/>
          <w:sz w:val="24"/>
          <w:szCs w:val="24"/>
          <w:lang w:val="en-US" w:eastAsia="zh-CN"/>
        </w:rPr>
      </w:pPr>
      <w:r>
        <w:rPr>
          <w:rFonts w:hint="eastAsia" w:ascii="宋体" w:hAnsi="宋体" w:eastAsia="宋体" w:cs="宋体"/>
          <w:color w:val="000000"/>
          <w:sz w:val="24"/>
          <w:szCs w:val="24"/>
          <w:lang w:val="en-US" w:eastAsia="zh-CN"/>
        </w:rPr>
        <w:t>本文件主要起草人：兰大华、张曦、朱晓娟、苏裕心。</w:t>
      </w:r>
    </w:p>
    <w:p w14:paraId="0614CED8">
      <w:pPr>
        <w:pageBreakBefore w:val="0"/>
        <w:widowControl/>
        <w:numPr>
          <w:ilvl w:val="0"/>
          <w:numId w:val="0"/>
        </w:numPr>
        <w:kinsoku/>
        <w:wordWrap/>
        <w:overflowPunct/>
        <w:topLinePunct w:val="0"/>
        <w:bidi w:val="0"/>
        <w:snapToGrid/>
        <w:spacing w:line="360" w:lineRule="auto"/>
        <w:jc w:val="left"/>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2.主要工作过程</w:t>
      </w:r>
    </w:p>
    <w:p w14:paraId="7F81560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根据任务要求，项目组即刻组织专项工作会议，分解相关工作，责任到人，按照时间进度，按时优质的完成既定任务。</w:t>
      </w:r>
    </w:p>
    <w:p w14:paraId="07CEB064">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20"/>
        <w:jc w:val="left"/>
        <w:textAlignment w:val="auto"/>
        <w:rPr>
          <w:rFonts w:hint="eastAsia" w:ascii="宋体" w:hAnsi="宋体" w:eastAsia="宋体" w:cs="宋体"/>
          <w:strike/>
          <w:color w:val="000000"/>
          <w:kern w:val="0"/>
          <w:sz w:val="24"/>
          <w:szCs w:val="24"/>
        </w:rPr>
      </w:pPr>
      <w:r>
        <w:rPr>
          <w:rFonts w:hint="eastAsia" w:ascii="宋体" w:hAnsi="宋体" w:eastAsia="宋体" w:cs="宋体"/>
          <w:color w:val="000000"/>
          <w:kern w:val="0"/>
          <w:sz w:val="24"/>
          <w:szCs w:val="24"/>
        </w:rPr>
        <w:t>202</w:t>
      </w: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年12月正式成立起草工作组，并设立专项资金，专职开展团体标准制修订工作，收集并整理了国内外各类产品资料的采购、翻译与研读。</w:t>
      </w:r>
    </w:p>
    <w:p w14:paraId="592CE20A">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2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202</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年</w:t>
      </w:r>
      <w:r>
        <w:rPr>
          <w:rFonts w:hint="eastAsia"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月调研搜集各类国内外标准及产品资料，组织专人进行文本翻译，正式进入起草准备阶段。</w:t>
      </w:r>
    </w:p>
    <w:p w14:paraId="4686BC34">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2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期间充分调研了国内外同类设备与产品，国</w:t>
      </w:r>
      <w:r>
        <w:rPr>
          <w:rFonts w:hint="eastAsia" w:ascii="宋体" w:hAnsi="宋体" w:eastAsia="宋体" w:cs="宋体"/>
          <w:color w:val="000000"/>
          <w:kern w:val="0"/>
          <w:sz w:val="24"/>
          <w:szCs w:val="24"/>
          <w:lang w:eastAsia="zh-CN"/>
        </w:rPr>
        <w:t>内</w:t>
      </w:r>
      <w:r>
        <w:rPr>
          <w:rFonts w:hint="eastAsia" w:ascii="宋体" w:hAnsi="宋体" w:eastAsia="宋体" w:cs="宋体"/>
          <w:color w:val="000000"/>
          <w:kern w:val="0"/>
          <w:sz w:val="24"/>
          <w:szCs w:val="24"/>
        </w:rPr>
        <w:t>产品</w:t>
      </w:r>
      <w:r>
        <w:rPr>
          <w:rFonts w:hint="eastAsia" w:ascii="宋体" w:hAnsi="宋体" w:eastAsia="宋体" w:cs="宋体"/>
          <w:color w:val="000000"/>
          <w:kern w:val="0"/>
          <w:sz w:val="24"/>
          <w:szCs w:val="24"/>
          <w:lang w:eastAsia="zh-CN"/>
        </w:rPr>
        <w:t>以洁森单人无菌病室为模型</w:t>
      </w:r>
      <w:r>
        <w:rPr>
          <w:rFonts w:hint="eastAsia" w:ascii="宋体" w:hAnsi="宋体" w:eastAsia="宋体" w:cs="宋体"/>
          <w:color w:val="000000"/>
          <w:kern w:val="0"/>
          <w:sz w:val="24"/>
          <w:szCs w:val="24"/>
        </w:rPr>
        <w:t>并针对国内产品的结构、</w:t>
      </w:r>
      <w:r>
        <w:rPr>
          <w:rFonts w:hint="eastAsia" w:ascii="宋体" w:hAnsi="宋体" w:eastAsia="宋体" w:cs="宋体"/>
          <w:color w:val="000000"/>
          <w:sz w:val="24"/>
          <w:szCs w:val="24"/>
        </w:rPr>
        <w:t>设备设施要求</w:t>
      </w:r>
      <w:r>
        <w:rPr>
          <w:rFonts w:hint="eastAsia" w:ascii="宋体" w:hAnsi="宋体" w:eastAsia="宋体" w:cs="宋体"/>
          <w:color w:val="000000"/>
          <w:sz w:val="24"/>
          <w:szCs w:val="24"/>
          <w:lang w:val="en-US" w:eastAsia="zh-CN"/>
        </w:rPr>
        <w:t>以及使用、维护标准等</w:t>
      </w:r>
      <w:r>
        <w:rPr>
          <w:rFonts w:hint="eastAsia" w:ascii="宋体" w:hAnsi="宋体" w:eastAsia="宋体" w:cs="宋体"/>
          <w:color w:val="000000"/>
          <w:kern w:val="0"/>
          <w:sz w:val="24"/>
          <w:szCs w:val="24"/>
        </w:rPr>
        <w:t>行业标准进行了专项研究。</w:t>
      </w:r>
    </w:p>
    <w:p w14:paraId="7784E1F0">
      <w:pPr>
        <w:pageBreakBefore w:val="0"/>
        <w:widowControl/>
        <w:kinsoku/>
        <w:wordWrap/>
        <w:overflowPunct/>
        <w:topLinePunct w:val="0"/>
        <w:bidi w:val="0"/>
        <w:snapToGrid/>
        <w:spacing w:beforeAutospacing="0" w:afterAutospacing="0" w:line="360" w:lineRule="auto"/>
        <w:ind w:firstLine="42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2025年3月完成各类素材整理正式进入标准编写阶段，召开多次线上研讨会，</w:t>
      </w:r>
      <w:r>
        <w:rPr>
          <w:rFonts w:hint="eastAsia" w:ascii="宋体" w:hAnsi="宋体" w:eastAsia="宋体" w:cs="宋体"/>
          <w:color w:val="000000"/>
          <w:sz w:val="24"/>
          <w:szCs w:val="24"/>
        </w:rPr>
        <w:t>对适用范围进行了讨论确认，针对技术要求与相对应的</w:t>
      </w:r>
      <w:r>
        <w:rPr>
          <w:rFonts w:hint="eastAsia" w:ascii="宋体" w:hAnsi="宋体" w:eastAsia="宋体" w:cs="宋体"/>
          <w:color w:val="000000"/>
          <w:sz w:val="24"/>
          <w:szCs w:val="24"/>
          <w:lang w:eastAsia="zh-CN"/>
        </w:rPr>
        <w:t>技术管理规范</w:t>
      </w:r>
      <w:r>
        <w:rPr>
          <w:rFonts w:hint="eastAsia" w:ascii="宋体" w:hAnsi="宋体" w:eastAsia="宋体" w:cs="宋体"/>
          <w:color w:val="000000"/>
          <w:sz w:val="24"/>
          <w:szCs w:val="24"/>
        </w:rPr>
        <w:t>进行探讨与确定，最终经反复验证</w:t>
      </w:r>
      <w:r>
        <w:rPr>
          <w:rFonts w:hint="eastAsia" w:ascii="宋体" w:hAnsi="宋体" w:eastAsia="宋体" w:cs="宋体"/>
          <w:color w:val="000000"/>
          <w:kern w:val="0"/>
          <w:sz w:val="24"/>
          <w:szCs w:val="24"/>
        </w:rPr>
        <w:t>逐步形成统一意见，完成</w:t>
      </w:r>
      <w:r>
        <w:rPr>
          <w:rFonts w:hint="eastAsia" w:ascii="宋体" w:hAnsi="宋体" w:eastAsia="宋体" w:cs="宋体"/>
          <w:color w:val="000000"/>
          <w:kern w:val="0"/>
          <w:sz w:val="24"/>
          <w:szCs w:val="24"/>
          <w:lang w:val="en-US" w:eastAsia="zh-CN"/>
        </w:rPr>
        <w:t>标准草案、项目建议书和编制说明</w:t>
      </w:r>
      <w:r>
        <w:rPr>
          <w:rFonts w:hint="eastAsia" w:ascii="宋体" w:hAnsi="宋体" w:eastAsia="宋体" w:cs="宋体"/>
          <w:color w:val="000000"/>
          <w:kern w:val="0"/>
          <w:sz w:val="24"/>
          <w:szCs w:val="24"/>
        </w:rPr>
        <w:t>。</w:t>
      </w:r>
    </w:p>
    <w:p w14:paraId="3E36E76A">
      <w:pPr>
        <w:pageBreakBefore w:val="0"/>
        <w:widowControl/>
        <w:kinsoku/>
        <w:wordWrap/>
        <w:overflowPunct/>
        <w:topLinePunct w:val="0"/>
        <w:bidi w:val="0"/>
        <w:snapToGrid/>
        <w:spacing w:beforeAutospacing="0" w:afterAutospacing="0" w:line="360" w:lineRule="auto"/>
        <w:ind w:firstLine="420"/>
        <w:jc w:val="left"/>
        <w:textAlignment w:val="auto"/>
        <w:rPr>
          <w:rFonts w:hint="eastAsia" w:asciiTheme="minorEastAsia" w:hAnsiTheme="minorEastAsia" w:cstheme="minorEastAsia"/>
          <w:sz w:val="24"/>
          <w:szCs w:val="24"/>
          <w:highlight w:val="none"/>
          <w:lang w:val="en-US" w:eastAsia="zh-CN"/>
        </w:rPr>
      </w:pPr>
      <w:r>
        <w:rPr>
          <w:rFonts w:hint="eastAsia" w:ascii="宋体" w:hAnsi="宋体" w:eastAsia="宋体" w:cs="宋体"/>
          <w:color w:val="000000" w:themeColor="text1"/>
          <w:kern w:val="0"/>
          <w:sz w:val="24"/>
          <w:szCs w:val="24"/>
          <w14:textFill>
            <w14:solidFill>
              <w14:schemeClr w14:val="tx1"/>
            </w14:solidFill>
          </w14:textFill>
        </w:rPr>
        <w:t>2025年</w:t>
      </w:r>
      <w:r>
        <w:rPr>
          <w:rFonts w:hint="eastAsia" w:ascii="宋体" w:hAnsi="宋体" w:eastAsia="宋体" w:cs="宋体"/>
          <w:color w:val="000000" w:themeColor="text1"/>
          <w:kern w:val="0"/>
          <w:sz w:val="24"/>
          <w:szCs w:val="24"/>
          <w:lang w:val="en-US" w:eastAsia="zh-CN"/>
          <w14:textFill>
            <w14:solidFill>
              <w14:schemeClr w14:val="tx1"/>
            </w14:solidFill>
          </w14:textFill>
        </w:rPr>
        <w:t>5</w:t>
      </w:r>
      <w:r>
        <w:rPr>
          <w:rFonts w:hint="eastAsia" w:ascii="宋体" w:hAnsi="宋体" w:eastAsia="宋体" w:cs="宋体"/>
          <w:color w:val="000000" w:themeColor="text1"/>
          <w:kern w:val="0"/>
          <w:sz w:val="24"/>
          <w:szCs w:val="24"/>
          <w14:textFill>
            <w14:solidFill>
              <w14:schemeClr w14:val="tx1"/>
            </w14:solidFill>
          </w14:textFill>
        </w:rPr>
        <w:t>月</w:t>
      </w:r>
      <w:r>
        <w:rPr>
          <w:rFonts w:hint="eastAsia" w:ascii="宋体" w:hAnsi="宋体" w:eastAsia="宋体" w:cs="宋体"/>
          <w:color w:val="000000" w:themeColor="text1"/>
          <w:kern w:val="0"/>
          <w:sz w:val="24"/>
          <w:szCs w:val="24"/>
          <w:lang w:val="en-US" w:eastAsia="zh-CN"/>
          <w14:textFill>
            <w14:solidFill>
              <w14:schemeClr w14:val="tx1"/>
            </w14:solidFill>
          </w14:textFill>
        </w:rPr>
        <w:t>21</w:t>
      </w:r>
      <w:r>
        <w:rPr>
          <w:rFonts w:hint="eastAsia" w:ascii="宋体" w:hAnsi="宋体" w:eastAsia="宋体" w:cs="宋体"/>
          <w:color w:val="000000" w:themeColor="text1"/>
          <w:kern w:val="0"/>
          <w:sz w:val="24"/>
          <w:szCs w:val="24"/>
          <w14:textFill>
            <w14:solidFill>
              <w14:schemeClr w14:val="tx1"/>
            </w14:solidFill>
          </w14:textFill>
        </w:rPr>
        <w:t>日</w:t>
      </w:r>
      <w:r>
        <w:rPr>
          <w:rFonts w:hint="eastAsia" w:ascii="宋体" w:hAnsi="宋体" w:eastAsia="宋体" w:cs="宋体"/>
          <w:color w:val="000000" w:themeColor="text1"/>
          <w:kern w:val="0"/>
          <w:sz w:val="24"/>
          <w:szCs w:val="24"/>
          <w:lang w:eastAsia="zh-CN"/>
          <w14:textFill>
            <w14:solidFill>
              <w14:schemeClr w14:val="tx1"/>
            </w14:solidFill>
          </w14:textFill>
        </w:rPr>
        <w:t>，</w:t>
      </w:r>
      <w:r>
        <w:rPr>
          <w:rFonts w:hint="eastAsia" w:ascii="宋体" w:hAnsi="宋体" w:eastAsia="宋体" w:cs="宋体"/>
          <w:color w:val="000000" w:themeColor="text1"/>
          <w:kern w:val="0"/>
          <w:sz w:val="24"/>
          <w:szCs w:val="24"/>
          <w:lang w:val="en-US" w:eastAsia="zh-CN"/>
          <w14:textFill>
            <w14:solidFill>
              <w14:schemeClr w14:val="tx1"/>
            </w14:solidFill>
          </w14:textFill>
        </w:rPr>
        <w:t>通过</w:t>
      </w:r>
      <w:r>
        <w:rPr>
          <w:rFonts w:hint="eastAsia" w:asciiTheme="minorEastAsia" w:hAnsiTheme="minorEastAsia" w:eastAsiaTheme="minorEastAsia" w:cstheme="minorEastAsia"/>
          <w:sz w:val="24"/>
          <w:szCs w:val="24"/>
          <w:highlight w:val="none"/>
          <w:lang w:val="en-US" w:eastAsia="zh-CN"/>
        </w:rPr>
        <w:t>标准立项评审</w:t>
      </w:r>
      <w:r>
        <w:rPr>
          <w:rFonts w:hint="eastAsia" w:asciiTheme="minorEastAsia" w:hAnsiTheme="minorEastAsia" w:cstheme="minorEastAsia"/>
          <w:sz w:val="24"/>
          <w:szCs w:val="24"/>
          <w:highlight w:val="none"/>
          <w:lang w:val="en-US" w:eastAsia="zh-CN"/>
        </w:rPr>
        <w:t>。</w:t>
      </w:r>
    </w:p>
    <w:p w14:paraId="2F2B276A">
      <w:pPr>
        <w:pageBreakBefore w:val="0"/>
        <w:widowControl/>
        <w:kinsoku/>
        <w:wordWrap/>
        <w:overflowPunct/>
        <w:topLinePunct w:val="0"/>
        <w:bidi w:val="0"/>
        <w:snapToGrid/>
        <w:spacing w:beforeAutospacing="0" w:afterAutospacing="0" w:line="360" w:lineRule="auto"/>
        <w:ind w:firstLine="420"/>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sz w:val="24"/>
          <w:szCs w:val="24"/>
          <w:highlight w:val="none"/>
          <w:lang w:val="en-US" w:eastAsia="zh-CN"/>
        </w:rPr>
        <w:t>2025年</w:t>
      </w:r>
      <w:r>
        <w:rPr>
          <w:rFonts w:hint="eastAsia" w:asciiTheme="minorEastAsia" w:hAnsi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lang w:val="en-US" w:eastAsia="zh-CN"/>
        </w:rPr>
        <w:t>月</w:t>
      </w:r>
      <w:r>
        <w:rPr>
          <w:rFonts w:hint="eastAsia" w:asciiTheme="minorEastAsia" w:hAnsiTheme="minorEastAsia" w:cstheme="minorEastAsia"/>
          <w:sz w:val="24"/>
          <w:szCs w:val="24"/>
          <w:highlight w:val="none"/>
          <w:lang w:val="en-US" w:eastAsia="zh-CN"/>
        </w:rPr>
        <w:t>-7月</w:t>
      </w:r>
      <w:r>
        <w:rPr>
          <w:rFonts w:hint="eastAsia" w:asciiTheme="minorEastAsia" w:hAnsiTheme="minorEastAsia" w:eastAsiaTheme="minorEastAsia" w:cstheme="minorEastAsia"/>
          <w:sz w:val="24"/>
          <w:szCs w:val="24"/>
          <w:highlight w:val="none"/>
          <w:lang w:val="en-US" w:eastAsia="zh-CN"/>
        </w:rPr>
        <w:t>，项目组针对</w:t>
      </w:r>
      <w:r>
        <w:rPr>
          <w:rFonts w:hint="eastAsia" w:asciiTheme="minorEastAsia" w:hAnsiTheme="minorEastAsia" w:cstheme="minorEastAsia"/>
          <w:sz w:val="24"/>
          <w:szCs w:val="24"/>
          <w:highlight w:val="none"/>
          <w:lang w:val="en-US" w:eastAsia="zh-CN"/>
        </w:rPr>
        <w:t>立项评审会专家意见进行汇总修改，形成征求意见稿提交</w:t>
      </w:r>
      <w:r>
        <w:rPr>
          <w:rFonts w:hint="eastAsia" w:ascii="宋体" w:hAnsi="宋体" w:eastAsia="宋体" w:cs="宋体"/>
          <w:color w:val="000000" w:themeColor="text1"/>
          <w:kern w:val="0"/>
          <w:sz w:val="24"/>
          <w:szCs w:val="24"/>
          <w14:textFill>
            <w14:solidFill>
              <w14:schemeClr w14:val="tx1"/>
            </w14:solidFill>
          </w14:textFill>
        </w:rPr>
        <w:t>。</w:t>
      </w:r>
    </w:p>
    <w:p w14:paraId="08B8CF30">
      <w:pPr>
        <w:pageBreakBefore w:val="0"/>
        <w:widowControl/>
        <w:kinsoku/>
        <w:wordWrap/>
        <w:overflowPunct/>
        <w:topLinePunct w:val="0"/>
        <w:bidi w:val="0"/>
        <w:snapToGrid/>
        <w:spacing w:before="159" w:beforeLines="50" w:beforeAutospacing="0" w:afterAutospacing="0" w:line="36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3.产品专题研究与说明</w:t>
      </w:r>
    </w:p>
    <w:p w14:paraId="0E040187">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单人无菌</w:t>
      </w:r>
      <w:r>
        <w:rPr>
          <w:rFonts w:hint="eastAsia" w:ascii="宋体" w:hAnsi="宋体" w:eastAsia="宋体" w:cs="宋体"/>
          <w:sz w:val="24"/>
          <w:szCs w:val="24"/>
          <w:lang w:eastAsia="zh-CN"/>
        </w:rPr>
        <w:t>病</w:t>
      </w:r>
      <w:r>
        <w:rPr>
          <w:rFonts w:hint="eastAsia" w:ascii="宋体" w:hAnsi="宋体" w:eastAsia="宋体" w:cs="宋体"/>
          <w:sz w:val="24"/>
          <w:szCs w:val="24"/>
        </w:rPr>
        <w:t>室是一种通过以高效空气过滤等灭菌系统形成单向层流无菌洁净空气的设备，它并非一种新型设备，而是基于空气净化灭菌技术，为医疗机构提供了一种有效控制感染的手段</w:t>
      </w:r>
      <w:r>
        <w:rPr>
          <w:rFonts w:hint="eastAsia" w:ascii="宋体" w:hAnsi="宋体" w:eastAsia="宋体" w:cs="宋体"/>
          <w:sz w:val="24"/>
          <w:szCs w:val="24"/>
          <w:lang w:eastAsia="zh-CN"/>
        </w:rPr>
        <w:t>。</w:t>
      </w:r>
      <w:r>
        <w:rPr>
          <w:rFonts w:hint="eastAsia" w:ascii="宋体" w:hAnsi="宋体" w:eastAsia="宋体" w:cs="宋体"/>
          <w:sz w:val="24"/>
          <w:szCs w:val="24"/>
        </w:rPr>
        <w:t>目前单人无菌</w:t>
      </w:r>
      <w:r>
        <w:rPr>
          <w:rFonts w:hint="eastAsia" w:ascii="宋体" w:hAnsi="宋体" w:eastAsia="宋体" w:cs="宋体"/>
          <w:sz w:val="24"/>
          <w:szCs w:val="24"/>
          <w:lang w:eastAsia="zh-CN"/>
        </w:rPr>
        <w:t>病</w:t>
      </w:r>
      <w:r>
        <w:rPr>
          <w:rFonts w:hint="eastAsia" w:ascii="宋体" w:hAnsi="宋体" w:eastAsia="宋体" w:cs="宋体"/>
          <w:sz w:val="24"/>
          <w:szCs w:val="24"/>
        </w:rPr>
        <w:t>室产品层出不穷，很多不专业的厂家和患者家属，用普通的空气净化器或空气消毒机、洁净工作台、洁净屏、层流罩加围挡来替代单人无菌</w:t>
      </w:r>
      <w:r>
        <w:rPr>
          <w:rFonts w:hint="eastAsia" w:ascii="宋体" w:hAnsi="宋体" w:eastAsia="宋体" w:cs="宋体"/>
          <w:sz w:val="24"/>
          <w:szCs w:val="24"/>
          <w:lang w:val="en-US" w:eastAsia="zh-CN"/>
        </w:rPr>
        <w:t>病</w:t>
      </w:r>
      <w:r>
        <w:rPr>
          <w:rFonts w:hint="eastAsia" w:ascii="宋体" w:hAnsi="宋体" w:eastAsia="宋体" w:cs="宋体"/>
          <w:sz w:val="24"/>
          <w:szCs w:val="24"/>
        </w:rPr>
        <w:t>室，这些产品要求性能标准并不符合用于免疫缺陷等易感染患者，不能满足患者使用需求，产品真实技术参数缺乏专业性和缺乏市场准入的监管</w:t>
      </w:r>
      <w:r>
        <w:rPr>
          <w:rFonts w:hint="eastAsia" w:ascii="宋体" w:hAnsi="宋体" w:eastAsia="宋体" w:cs="宋体"/>
          <w:sz w:val="24"/>
          <w:szCs w:val="24"/>
          <w:lang w:eastAsia="zh-CN"/>
        </w:rPr>
        <w:t>，</w:t>
      </w:r>
      <w:r>
        <w:rPr>
          <w:rFonts w:hint="eastAsia" w:ascii="宋体" w:hAnsi="宋体" w:eastAsia="宋体" w:cs="宋体"/>
          <w:sz w:val="24"/>
          <w:szCs w:val="24"/>
        </w:rPr>
        <w:t>容易增加感染风险、导致严重的感染后果</w:t>
      </w:r>
      <w:r>
        <w:rPr>
          <w:rFonts w:hint="eastAsia" w:ascii="宋体" w:hAnsi="宋体" w:eastAsia="宋体" w:cs="宋体"/>
          <w:sz w:val="24"/>
          <w:szCs w:val="24"/>
          <w:lang w:eastAsia="zh-CN"/>
        </w:rPr>
        <w:t>。</w:t>
      </w:r>
    </w:p>
    <w:p w14:paraId="3853D23B">
      <w:pPr>
        <w:pageBreakBefore w:val="0"/>
        <w:kinsoku/>
        <w:wordWrap/>
        <w:overflowPunct/>
        <w:topLinePunct w:val="0"/>
        <w:bidi w:val="0"/>
        <w:snapToGrid/>
        <w:spacing w:afterAutospacing="0" w:line="360" w:lineRule="auto"/>
        <w:ind w:firstLine="480" w:firstLineChars="200"/>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sz w:val="24"/>
          <w:szCs w:val="24"/>
          <w:lang w:eastAsia="zh-CN"/>
        </w:rPr>
        <w:t>单人无菌病室使用及管理规范研发目标是</w:t>
      </w:r>
      <w:r>
        <w:rPr>
          <w:rFonts w:hint="eastAsia" w:ascii="宋体" w:hAnsi="宋体" w:eastAsia="宋体" w:cs="宋体"/>
          <w:sz w:val="24"/>
          <w:szCs w:val="24"/>
        </w:rPr>
        <w:t>制定单人无菌</w:t>
      </w:r>
      <w:r>
        <w:rPr>
          <w:rFonts w:hint="eastAsia" w:ascii="宋体" w:hAnsi="宋体" w:eastAsia="宋体" w:cs="宋体"/>
          <w:sz w:val="24"/>
          <w:szCs w:val="24"/>
          <w:lang w:eastAsia="zh-CN"/>
        </w:rPr>
        <w:t>病</w:t>
      </w:r>
      <w:r>
        <w:rPr>
          <w:rFonts w:hint="eastAsia" w:ascii="宋体" w:hAnsi="宋体" w:eastAsia="宋体" w:cs="宋体"/>
          <w:sz w:val="24"/>
          <w:szCs w:val="24"/>
        </w:rPr>
        <w:t>室</w:t>
      </w:r>
      <w:r>
        <w:rPr>
          <w:rFonts w:hint="eastAsia" w:ascii="宋体" w:hAnsi="宋体" w:eastAsia="宋体" w:cs="宋体"/>
          <w:sz w:val="24"/>
          <w:szCs w:val="24"/>
          <w:lang w:val="en-US" w:eastAsia="zh-CN"/>
        </w:rPr>
        <w:t>设备要求</w:t>
      </w:r>
      <w:r>
        <w:rPr>
          <w:rFonts w:hint="eastAsia" w:ascii="宋体" w:hAnsi="宋体" w:eastAsia="宋体" w:cs="宋体"/>
          <w:sz w:val="24"/>
          <w:szCs w:val="24"/>
        </w:rPr>
        <w:t>、性能及安全标准，统一技术参数（如洁净度、灭菌率、出风口尺寸、高效的满布比、风速、沉降菌、噪音、遥控阅读灯照度、人体感应开关紫外线杀菌灯平均辐射照度、收费、日常维护保养检测、耗材更换及成本等）、测试方法及操作规范，提升设备兼容性和市场准入门槛</w:t>
      </w:r>
      <w:r>
        <w:rPr>
          <w:rFonts w:hint="eastAsia" w:ascii="宋体" w:hAnsi="宋体" w:eastAsia="宋体" w:cs="宋体"/>
          <w:sz w:val="24"/>
          <w:szCs w:val="24"/>
          <w:lang w:eastAsia="zh-CN"/>
        </w:rPr>
        <w:t>。</w:t>
      </w:r>
      <w:r>
        <w:rPr>
          <w:rFonts w:hint="eastAsia" w:ascii="宋体" w:hAnsi="宋体" w:eastAsia="宋体" w:cs="宋体"/>
          <w:sz w:val="24"/>
          <w:szCs w:val="24"/>
        </w:rPr>
        <w:t>制定单人无菌</w:t>
      </w:r>
      <w:r>
        <w:rPr>
          <w:rFonts w:hint="eastAsia" w:ascii="宋体" w:hAnsi="宋体" w:eastAsia="宋体" w:cs="宋体"/>
          <w:sz w:val="24"/>
          <w:szCs w:val="24"/>
          <w:lang w:val="en-US" w:eastAsia="zh-CN"/>
        </w:rPr>
        <w:t>病</w:t>
      </w:r>
      <w:r>
        <w:rPr>
          <w:rFonts w:hint="eastAsia" w:ascii="宋体" w:hAnsi="宋体" w:eastAsia="宋体" w:cs="宋体"/>
          <w:sz w:val="24"/>
          <w:szCs w:val="24"/>
        </w:rPr>
        <w:t>室国家标准，是推动医疗设备国产化、提升院内感染防控能力、助力“健康中国”战略的重要举措。通过借鉴国际先进经验、结合本土需求创新，该标准将为行业提供技术标杆，促进产业升级、贸易便利化及社会治理现代化。</w:t>
      </w:r>
    </w:p>
    <w:p w14:paraId="26D77C92">
      <w:pPr>
        <w:pageBreakBefore w:val="0"/>
        <w:widowControl/>
        <w:numPr>
          <w:ilvl w:val="0"/>
          <w:numId w:val="1"/>
        </w:numPr>
        <w:kinsoku/>
        <w:wordWrap/>
        <w:overflowPunct/>
        <w:topLinePunct w:val="0"/>
        <w:bidi w:val="0"/>
        <w:snapToGrid/>
        <w:spacing w:before="159" w:beforeLines="50" w:beforeAutospacing="0"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标准编制原则和确定标准主要内容及其论据</w:t>
      </w:r>
    </w:p>
    <w:p w14:paraId="6321AB2E">
      <w:pPr>
        <w:keepNext w:val="0"/>
        <w:keepLines w:val="0"/>
        <w:pageBreakBefore w:val="0"/>
        <w:widowControl/>
        <w:numPr>
          <w:ilvl w:val="0"/>
          <w:numId w:val="3"/>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编制标准原则</w:t>
      </w:r>
    </w:p>
    <w:p w14:paraId="369377C0">
      <w:pPr>
        <w:pageBreakBefore w:val="0"/>
        <w:widowControl/>
        <w:kinsoku/>
        <w:wordWrap/>
        <w:overflowPunct/>
        <w:topLinePunct w:val="0"/>
        <w:bidi w:val="0"/>
        <w:snapToGrid/>
        <w:spacing w:beforeAutospacing="0" w:afterAutospacing="0" w:line="360" w:lineRule="auto"/>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1.1积极采用国际标准和国外先进标准；</w:t>
      </w:r>
    </w:p>
    <w:p w14:paraId="3DDB45CE">
      <w:pPr>
        <w:pageBreakBefore w:val="0"/>
        <w:widowControl/>
        <w:kinsoku/>
        <w:wordWrap/>
        <w:overflowPunct/>
        <w:topLinePunct w:val="0"/>
        <w:bidi w:val="0"/>
        <w:snapToGrid/>
        <w:spacing w:beforeAutospacing="0" w:afterAutospacing="0" w:line="360" w:lineRule="auto"/>
        <w:jc w:val="left"/>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1.2规范国内</w:t>
      </w:r>
      <w:r>
        <w:rPr>
          <w:rFonts w:hint="eastAsia" w:ascii="宋体" w:hAnsi="宋体" w:eastAsia="宋体" w:cs="宋体"/>
          <w:color w:val="000000"/>
          <w:kern w:val="0"/>
          <w:sz w:val="24"/>
          <w:szCs w:val="24"/>
          <w:lang w:eastAsia="zh-CN"/>
        </w:rPr>
        <w:t>单人无菌病室的</w:t>
      </w:r>
      <w:r>
        <w:rPr>
          <w:rFonts w:hint="eastAsia" w:ascii="宋体" w:hAnsi="宋体" w:eastAsia="宋体" w:cs="宋体"/>
          <w:sz w:val="24"/>
          <w:szCs w:val="24"/>
        </w:rPr>
        <w:t>性能及安全标准，统一技术参数</w:t>
      </w:r>
      <w:r>
        <w:rPr>
          <w:rFonts w:hint="eastAsia" w:ascii="宋体" w:hAnsi="宋体" w:eastAsia="宋体" w:cs="宋体"/>
          <w:color w:val="000000"/>
          <w:kern w:val="0"/>
          <w:sz w:val="24"/>
          <w:szCs w:val="24"/>
          <w:lang w:eastAsia="zh-CN"/>
        </w:rPr>
        <w:t>与使用、维护标准。</w:t>
      </w:r>
    </w:p>
    <w:p w14:paraId="70F0AE2D">
      <w:pPr>
        <w:pageBreakBefore w:val="0"/>
        <w:widowControl/>
        <w:kinsoku/>
        <w:wordWrap/>
        <w:overflowPunct/>
        <w:topLinePunct w:val="0"/>
        <w:bidi w:val="0"/>
        <w:snapToGrid/>
        <w:spacing w:beforeAutospacing="0" w:afterAutospacing="0" w:line="360" w:lineRule="auto"/>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1.3促进国内同行业技术进步，提高产品质量。</w:t>
      </w:r>
      <w:bookmarkStart w:id="0" w:name="_GoBack"/>
      <w:bookmarkEnd w:id="0"/>
    </w:p>
    <w:p w14:paraId="1BB38C06">
      <w:pPr>
        <w:pageBreakBefore w:val="0"/>
        <w:widowControl/>
        <w:kinsoku/>
        <w:wordWrap/>
        <w:overflowPunct/>
        <w:topLinePunct w:val="0"/>
        <w:bidi w:val="0"/>
        <w:snapToGrid/>
        <w:spacing w:before="159" w:beforeLines="50" w:beforeAutospacing="0" w:afterAutospacing="0" w:line="36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bCs/>
          <w:color w:val="000000" w:themeColor="text1"/>
          <w:sz w:val="24"/>
          <w:szCs w:val="24"/>
          <w:lang w:val="en-US" w:eastAsia="zh-CN"/>
          <w14:textFill>
            <w14:solidFill>
              <w14:schemeClr w14:val="tx1"/>
            </w14:solidFill>
          </w14:textFill>
        </w:rPr>
        <w:t>2.</w:t>
      </w:r>
      <w:r>
        <w:rPr>
          <w:rFonts w:hint="eastAsia" w:ascii="宋体" w:hAnsi="宋体" w:eastAsia="宋体" w:cs="宋体"/>
          <w:b/>
          <w:color w:val="000000"/>
          <w:kern w:val="0"/>
          <w:sz w:val="24"/>
          <w:szCs w:val="24"/>
        </w:rPr>
        <w:t>主要内容</w:t>
      </w:r>
    </w:p>
    <w:p w14:paraId="4A7C2FC4">
      <w:pPr>
        <w:pageBreakBefore w:val="0"/>
        <w:widowControl/>
        <w:kinsoku/>
        <w:wordWrap/>
        <w:overflowPunct/>
        <w:topLinePunct w:val="0"/>
        <w:bidi w:val="0"/>
        <w:snapToGrid/>
        <w:spacing w:beforeAutospacing="0" w:afterAutospacing="0" w:line="360" w:lineRule="auto"/>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2.1标准中范围的确定：</w:t>
      </w:r>
    </w:p>
    <w:p w14:paraId="5E38F6E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本标准适用于恶性</w:t>
      </w:r>
      <w:r>
        <w:rPr>
          <w:rFonts w:hint="eastAsia" w:ascii="宋体" w:hAnsi="宋体" w:eastAsia="宋体" w:cs="宋体"/>
          <w:b w:val="0"/>
          <w:bCs w:val="0"/>
          <w:color w:val="000000" w:themeColor="text1"/>
          <w:sz w:val="24"/>
          <w:szCs w:val="24"/>
          <w14:textFill>
            <w14:solidFill>
              <w14:schemeClr w14:val="tx1"/>
            </w14:solidFill>
          </w14:textFill>
        </w:rPr>
        <w:t>血液</w:t>
      </w:r>
      <w:r>
        <w:rPr>
          <w:rFonts w:hint="eastAsia" w:ascii="宋体" w:hAnsi="宋体" w:eastAsia="宋体" w:cs="宋体"/>
          <w:color w:val="000000" w:themeColor="text1"/>
          <w:sz w:val="24"/>
          <w:szCs w:val="24"/>
          <w14:textFill>
            <w14:solidFill>
              <w14:schemeClr w14:val="tx1"/>
            </w14:solidFill>
          </w14:textFill>
        </w:rPr>
        <w:t>系统疾病大剂量化疗后骨髓抑制</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b w:val="0"/>
          <w:bCs w:val="0"/>
          <w:color w:val="333333"/>
          <w:kern w:val="0"/>
          <w:sz w:val="24"/>
          <w:szCs w:val="24"/>
          <w:lang w:eastAsia="zh-CN"/>
        </w:rPr>
        <w:t>烧伤科、移植病房、重症监护（ICU）、免疫缺陷隔离等使用单人无菌病室的</w:t>
      </w:r>
      <w:r>
        <w:rPr>
          <w:rFonts w:hint="eastAsia" w:ascii="宋体" w:hAnsi="宋体" w:eastAsia="宋体" w:cs="宋体"/>
          <w:color w:val="000000" w:themeColor="text1"/>
          <w:sz w:val="24"/>
          <w:szCs w:val="24"/>
          <w14:textFill>
            <w14:solidFill>
              <w14:schemeClr w14:val="tx1"/>
            </w14:solidFill>
          </w14:textFill>
        </w:rPr>
        <w:t>各级各类医疗机构</w:t>
      </w:r>
      <w:r>
        <w:rPr>
          <w:rFonts w:hint="eastAsia" w:ascii="宋体" w:hAnsi="宋体" w:eastAsia="宋体" w:cs="宋体"/>
          <w:color w:val="000000" w:themeColor="text1"/>
          <w:sz w:val="24"/>
          <w:szCs w:val="24"/>
          <w:lang w:eastAsia="zh-CN"/>
          <w14:textFill>
            <w14:solidFill>
              <w14:schemeClr w14:val="tx1"/>
            </w14:solidFill>
          </w14:textFill>
        </w:rPr>
        <w:t>。</w:t>
      </w:r>
    </w:p>
    <w:p w14:paraId="350A1C31">
      <w:pPr>
        <w:pageBreakBefore w:val="0"/>
        <w:widowControl/>
        <w:kinsoku/>
        <w:wordWrap/>
        <w:overflowPunct/>
        <w:topLinePunct w:val="0"/>
        <w:bidi w:val="0"/>
        <w:snapToGrid/>
        <w:spacing w:beforeAutospacing="0" w:afterAutospacing="0" w:line="360" w:lineRule="auto"/>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2.2术语和定义内容的确定：</w:t>
      </w:r>
    </w:p>
    <w:p w14:paraId="44F47A99">
      <w:pPr>
        <w:pageBreakBefore w:val="0"/>
        <w:widowControl/>
        <w:kinsoku/>
        <w:wordWrap/>
        <w:overflowPunct/>
        <w:topLinePunct w:val="0"/>
        <w:bidi w:val="0"/>
        <w:snapToGrid/>
        <w:spacing w:beforeAutospacing="0" w:afterAutospacing="0" w:line="360" w:lineRule="auto"/>
        <w:ind w:firstLine="480" w:firstLineChars="200"/>
        <w:jc w:val="left"/>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eastAsia="zh-CN"/>
        </w:rPr>
        <w:t>定义了“单人无菌病室”、“保护性隔离”、“中水平消毒”、“紫外线消毒”、“空气过滤器”</w:t>
      </w:r>
      <w:r>
        <w:rPr>
          <w:rFonts w:hint="eastAsia" w:ascii="宋体" w:hAnsi="宋体" w:eastAsia="宋体" w:cs="宋体"/>
          <w:color w:val="000000"/>
          <w:kern w:val="0"/>
          <w:sz w:val="24"/>
          <w:szCs w:val="24"/>
        </w:rPr>
        <w:t>等术语与定义</w:t>
      </w:r>
      <w:r>
        <w:rPr>
          <w:rFonts w:hint="eastAsia" w:ascii="宋体" w:hAnsi="宋体" w:eastAsia="宋体" w:cs="宋体"/>
          <w:color w:val="000000"/>
          <w:kern w:val="0"/>
          <w:sz w:val="24"/>
          <w:szCs w:val="24"/>
          <w:lang w:eastAsia="zh-CN"/>
        </w:rPr>
        <w:t>。</w:t>
      </w:r>
    </w:p>
    <w:p w14:paraId="440B1503">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2.3技术要求内容的确定</w:t>
      </w:r>
    </w:p>
    <w:p w14:paraId="237DDA6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rPr>
        <w:t>项目组通过调研，起草制定了</w:t>
      </w:r>
      <w:r>
        <w:rPr>
          <w:rFonts w:hint="eastAsia" w:ascii="宋体" w:hAnsi="宋体" w:eastAsia="宋体" w:cs="宋体"/>
          <w:color w:val="000000"/>
          <w:kern w:val="0"/>
          <w:sz w:val="24"/>
          <w:szCs w:val="24"/>
          <w:lang w:eastAsia="zh-CN"/>
        </w:rPr>
        <w:t>单人</w:t>
      </w:r>
      <w:r>
        <w:rPr>
          <w:rFonts w:hint="eastAsia" w:ascii="宋体" w:hAnsi="宋体" w:eastAsia="宋体" w:cs="宋体"/>
          <w:sz w:val="24"/>
          <w:szCs w:val="24"/>
        </w:rPr>
        <w:t>无菌</w:t>
      </w:r>
      <w:r>
        <w:rPr>
          <w:rFonts w:hint="eastAsia" w:ascii="宋体" w:hAnsi="宋体" w:eastAsia="宋体" w:cs="宋体"/>
          <w:sz w:val="24"/>
          <w:szCs w:val="24"/>
          <w:lang w:eastAsia="zh-CN"/>
        </w:rPr>
        <w:t>病</w:t>
      </w:r>
      <w:r>
        <w:rPr>
          <w:rFonts w:hint="eastAsia" w:ascii="宋体" w:hAnsi="宋体" w:eastAsia="宋体" w:cs="宋体"/>
          <w:sz w:val="24"/>
          <w:szCs w:val="24"/>
        </w:rPr>
        <w:t>室</w:t>
      </w:r>
      <w:r>
        <w:rPr>
          <w:rFonts w:hint="eastAsia" w:ascii="宋体" w:hAnsi="宋体" w:eastAsia="宋体" w:cs="宋体"/>
          <w:sz w:val="24"/>
          <w:szCs w:val="24"/>
          <w:lang w:eastAsia="zh-CN"/>
        </w:rPr>
        <w:t>设备要求</w:t>
      </w:r>
      <w:r>
        <w:rPr>
          <w:rFonts w:hint="eastAsia" w:ascii="宋体" w:hAnsi="宋体" w:eastAsia="宋体" w:cs="宋体"/>
          <w:sz w:val="24"/>
          <w:szCs w:val="24"/>
        </w:rPr>
        <w:t>、性能及安全标准，统一技术参数（如洁净度、灭菌率、出风口尺寸、高效的满布比、风速、沉降菌、噪音、遥控阅读灯照度、人体感应开关紫外线杀菌灯平均辐射照度、收费、日常维护保养检测、耗材更换及成本等）、测试方法及操作规范</w:t>
      </w:r>
      <w:r>
        <w:rPr>
          <w:rFonts w:hint="eastAsia" w:ascii="宋体" w:hAnsi="宋体" w:eastAsia="宋体" w:cs="宋体"/>
          <w:sz w:val="24"/>
          <w:szCs w:val="24"/>
          <w:lang w:eastAsia="zh-CN"/>
        </w:rPr>
        <w:t>。</w:t>
      </w:r>
    </w:p>
    <w:p w14:paraId="1A53EE78">
      <w:pPr>
        <w:pageBreakBefore w:val="0"/>
        <w:widowControl/>
        <w:numPr>
          <w:ilvl w:val="0"/>
          <w:numId w:val="1"/>
        </w:numPr>
        <w:kinsoku/>
        <w:wordWrap/>
        <w:overflowPunct/>
        <w:topLinePunct w:val="0"/>
        <w:bidi w:val="0"/>
        <w:snapToGrid/>
        <w:spacing w:before="159" w:beforeLines="50" w:beforeAutospacing="0" w:afterAutospacing="0" w:line="360" w:lineRule="auto"/>
        <w:ind w:left="0" w:leftChars="0" w:firstLine="0" w:firstLineChars="0"/>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主要测试（或验证）情况分析</w:t>
      </w:r>
    </w:p>
    <w:p w14:paraId="71D66E49">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jc w:val="left"/>
        <w:textAlignment w:val="auto"/>
        <w:rPr>
          <w:rFonts w:hint="eastAsia" w:ascii="宋体" w:hAnsi="宋体" w:cs="Arial"/>
          <w:color w:val="000000"/>
          <w:kern w:val="0"/>
          <w:sz w:val="24"/>
        </w:rPr>
      </w:pPr>
      <w:r>
        <w:rPr>
          <w:rFonts w:hint="eastAsia" w:ascii="宋体" w:hAnsi="宋体" w:eastAsia="宋体" w:cs="宋体"/>
          <w:b/>
          <w:color w:val="000000"/>
          <w:kern w:val="0"/>
          <w:sz w:val="24"/>
          <w:szCs w:val="24"/>
          <w:lang w:val="en-US" w:eastAsia="zh-CN"/>
        </w:rPr>
        <w:t xml:space="preserve">   </w:t>
      </w:r>
      <w:r>
        <w:rPr>
          <w:rFonts w:hint="eastAsia" w:ascii="宋体" w:hAnsi="宋体" w:cs="Arial"/>
          <w:color w:val="000000"/>
          <w:kern w:val="0"/>
          <w:sz w:val="24"/>
        </w:rPr>
        <w:t>所有技术条款的确认均建立在合理科学的试验条件下测试完成并一一确认。</w:t>
      </w:r>
    </w:p>
    <w:p w14:paraId="16D849E2">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1. 物理参数验证</w:t>
      </w:r>
    </w:p>
    <w:p w14:paraId="597AAA48">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firstLine="480" w:firstLineChars="20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物理参数是确保无菌病室环境稳定的基础，主要包括空气洁净度、压差、温湿度、照度及噪声等方面。</w:t>
      </w:r>
    </w:p>
    <w:p w14:paraId="27F61FEA">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空气洁净度 (悬浮粒子)： 测试粒径≥0.5μm和≥5μm的粒子。100级标准：≥0.5μm的粒子数 ≤ 3.5个/升，≥5μm的粒子数为0。 使用尘埃粒子计数器 ，依据 GB/T 16292-2010《医药工业洁净室（区）悬浮粒子的测试方法》进行。测试应在空态、静态、动态等多种状态下进行。</w:t>
      </w:r>
    </w:p>
    <w:p w14:paraId="5B7888A8">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压差： 洁净区与非洁净区之间、不同洁净级别区域的压差应大于5Pa，洁净室与室外大气的静压差应大于10Pa。使用微压差计算，维持正压是防止低级区污染源进入高级区的关键。</w:t>
      </w:r>
    </w:p>
    <w:p w14:paraId="31BA948B">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温湿度：温度一般控制在18~26℃，相对湿度控制在45%~65%。 使用温湿度计测量， 恒温恒湿对于人员舒适度、抑制细菌繁殖以及某些仪器设备的稳定运行很重要。</w:t>
      </w:r>
    </w:p>
    <w:p w14:paraId="7A7AF663">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照度： 操作区域光照度应均匀，不低于300lx（有些标准建议300-800lx）。使用照度计测量，足够且均匀的照明是进行精细无菌操作的必要条件。</w:t>
      </w:r>
    </w:p>
    <w:p w14:paraId="4D9CD80A">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噪声： 工作噪音应不大于65dB(A)。 使用声级计测量，为患者提供安静的休养环境，也为医护人员创造良好的工作条件。</w:t>
      </w:r>
    </w:p>
    <w:p w14:paraId="44F24975">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气流流型与风速：对于单向流装置（如层流罩），需检测其送风断面风速均匀性及风速值（例如要求≥0.35m/s）。使用风速仪、烟发生器等测量，确保气流能有效排除污染物，保护关键区域。</w:t>
      </w:r>
    </w:p>
    <w:p w14:paraId="60914937">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2. 微生物指标验证</w:t>
      </w:r>
    </w:p>
    <w:p w14:paraId="7EAC8E07">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firstLine="480" w:firstLineChars="20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微生物指标是直接评价无菌环境有效性的核心，主要包括沉降菌和浮游菌的检测。</w:t>
      </w:r>
    </w:p>
    <w:p w14:paraId="35383F30">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沉降菌： 以无菌方式将3个营养琼脂平板（直径9cm）置于操作区左、中、右位置，暴露30分钟，盖好后在36℃±1℃（或32.5℃±2.5℃）培养48小时。3个平板上生长的菌落数平均不超过1个。</w:t>
      </w:r>
    </w:p>
    <w:p w14:paraId="7C96B87E">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浮游菌： 使用浮游菌采样器（如狭缝式或离心式），按仪器要求操作。采样后培养皿在36℃±1℃（或32.5℃±2.5℃）培养48小时。结果判断：浮游菌落数平均不得超过5个/m³。采样器需定期校验。</w:t>
      </w:r>
    </w:p>
    <w:p w14:paraId="72B91110">
      <w:pPr>
        <w:keepNext w:val="0"/>
        <w:keepLines w:val="0"/>
        <w:pageBreakBefore w:val="0"/>
        <w:widowControl/>
        <w:numPr>
          <w:ilvl w:val="0"/>
          <w:numId w:val="3"/>
        </w:numPr>
        <w:kinsoku/>
        <w:wordWrap/>
        <w:overflowPunct/>
        <w:topLinePunct w:val="0"/>
        <w:autoSpaceDE/>
        <w:autoSpaceDN/>
        <w:bidi w:val="0"/>
        <w:adjustRightInd/>
        <w:snapToGrid/>
        <w:spacing w:before="159" w:beforeLines="50" w:beforeAutospacing="0" w:afterAutospacing="0" w:line="360" w:lineRule="auto"/>
        <w:ind w:left="0" w:leftChars="0" w:firstLine="0" w:firstLineChars="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操作流程验证</w:t>
      </w:r>
    </w:p>
    <w:p w14:paraId="6ACB323A">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firstLine="480" w:firstLineChars="20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验证在模拟实际工作状态下，人员操作是否会对环境造成不可接受的影响，或环境是否能保障操作的无菌性。</w:t>
      </w:r>
    </w:p>
    <w:p w14:paraId="6074535C">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firstLine="480" w:firstLineChars="20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模拟操作测试：由专业人员按照制定的标准操作规程（SOP）（如更衣、物品传递、医疗操作、清洁消毒等）在病室内进行模拟操作。操作完成后，按上述方法进行沉降菌和浮游菌检测，结果仍应符合标准。此测试可验证SOP的有效性和人员培训的充分性。</w:t>
      </w:r>
    </w:p>
    <w:p w14:paraId="6713B800">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firstLine="480" w:firstLineChars="20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人员更衣确认：确认医护人员无菌服穿戴程序的正确性。可通过表面微生物采样（接触碟或棉拭子法）对穿戴无菌服后的关键部位（如胸部、前臂、手套指尖等）进行取样检测，以确认更衣程序能有效控制人体脱落微生物对环境的污染。</w:t>
      </w:r>
    </w:p>
    <w:p w14:paraId="222C1328">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4. 设备与设施效能验证</w:t>
      </w:r>
    </w:p>
    <w:p w14:paraId="55DAC3B5">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firstLine="480" w:firstLineChars="20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 xml:space="preserve"> 高效过滤系统完整性测试：通常采用PAO（聚α烯烃）发尘与光度计扫描检测的方法，确保高效过滤器本身无缺陷、安装无泄漏。这是保证送风洁净度的根本。</w:t>
      </w:r>
    </w:p>
    <w:p w14:paraId="07DA2F49">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firstLine="480" w:firstLineChars="20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紫外线杀菌灯效能验证：定期检查紫外线灯的辐射强度。通常要求距灯管1米处强度不得低于70μW/cm²，或操作面上达到40μW/cm²。强度不足时应及时更换。同时需记录累计使用时间，定期更换灯管。</w:t>
      </w:r>
    </w:p>
    <w:p w14:paraId="0736CFB9">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firstLine="480" w:firstLineChars="20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自净时间验证：测试在模拟污染后，病室内空气洁净度（悬浮粒子数）恢复到规定水平所需的时间。这可以评估空气净化系统的恢复能力。</w:t>
      </w:r>
    </w:p>
    <w:p w14:paraId="22676DEA">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5. 安全性与应急处理验证</w:t>
      </w:r>
    </w:p>
    <w:p w14:paraId="206E1EE2">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firstLine="480" w:firstLineChars="20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电气安全验证：对病室内的所有电气设备（照明、风机、紫外线灯、插座等）进行安全检测，包括绝缘电阻、接地电阻、泄漏电流等，确保患者和医护人员安全。</w:t>
      </w:r>
    </w:p>
    <w:p w14:paraId="4B241886">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firstLine="480" w:firstLineChars="20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应急电源切换测试：验证在主电源断电情况下，应急备用电源（如UPS）能否及时启用，保障送风系统、关键生命支持设备（若有无菌病室涉及）等的持续运行，防止因压差丧失和环境恶化导致感染风险。</w:t>
      </w:r>
    </w:p>
    <w:p w14:paraId="0B4CDDBA">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firstLine="480" w:firstLineChars="20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应急处理程序验证：通过模拟演练，验证如高效过滤器严重泄漏、正压丧失、火灾等紧急情况下的处理程序的有效性。</w:t>
      </w:r>
    </w:p>
    <w:p w14:paraId="5230D839">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6. 文档与质量保证体系</w:t>
      </w:r>
    </w:p>
    <w:p w14:paraId="231B434A">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firstLine="480" w:firstLineChars="200"/>
        <w:jc w:val="left"/>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文件记录与可追溯性：所有验证、监测、维护活动都应有清晰、完整、可追溯的记录。例如，悬浮粒子、沉降菌、浮游菌的检测数据；高效过滤器、紫外线灯管的更换记录；设备维护保养记录；清洁消毒记录等。这些记录应定期归档保存，并用于趋势分析。</w:t>
      </w:r>
    </w:p>
    <w:p w14:paraId="55AD6EDA">
      <w:pPr>
        <w:keepNext w:val="0"/>
        <w:keepLines w:val="0"/>
        <w:pageBreakBefore w:val="0"/>
        <w:widowControl/>
        <w:numPr>
          <w:ilvl w:val="0"/>
          <w:numId w:val="0"/>
        </w:numPr>
        <w:kinsoku/>
        <w:wordWrap/>
        <w:overflowPunct/>
        <w:topLinePunct w:val="0"/>
        <w:autoSpaceDE/>
        <w:autoSpaceDN/>
        <w:bidi w:val="0"/>
        <w:adjustRightInd/>
        <w:snapToGrid/>
        <w:spacing w:before="159" w:beforeLines="50" w:beforeAutospacing="0" w:afterAutospacing="0" w:line="360" w:lineRule="auto"/>
        <w:ind w:leftChars="0" w:firstLine="480" w:firstLineChars="200"/>
        <w:jc w:val="left"/>
        <w:textAlignment w:val="auto"/>
        <w:rPr>
          <w:rFonts w:hint="default" w:ascii="宋体" w:hAnsi="宋体" w:cs="Arial" w:eastAsiaTheme="minorEastAsia"/>
          <w:color w:val="000000"/>
          <w:kern w:val="0"/>
          <w:sz w:val="24"/>
          <w:lang w:val="en-US" w:eastAsia="zh-CN"/>
        </w:rPr>
      </w:pPr>
      <w:r>
        <w:rPr>
          <w:rFonts w:hint="eastAsia" w:ascii="宋体" w:hAnsi="宋体" w:cs="Arial"/>
          <w:color w:val="000000"/>
          <w:kern w:val="0"/>
          <w:sz w:val="24"/>
          <w:lang w:val="en-US" w:eastAsia="zh-CN"/>
        </w:rPr>
        <w:t>定期再验证与趋势分析：应定期（如每季度、半年、每年）或当设施发生重大改变时，对无菌病室的洁净度进行再验证。并对长期的环境监测数据进行趋势分析，评估环境质量的稳定状况及变化趋势，以便提前采取预警和纠正措施，设定合理的警戒限和行动限。</w:t>
      </w:r>
    </w:p>
    <w:p w14:paraId="3647889F">
      <w:pPr>
        <w:pageBreakBefore w:val="0"/>
        <w:widowControl/>
        <w:kinsoku/>
        <w:wordWrap/>
        <w:overflowPunct/>
        <w:topLinePunct w:val="0"/>
        <w:bidi w:val="0"/>
        <w:snapToGrid/>
        <w:spacing w:beforeAutospacing="0" w:afterAutospacing="0" w:line="36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四、标准中如果涉及专利，应有明确的知识产权说明</w:t>
      </w:r>
    </w:p>
    <w:p w14:paraId="3576E883">
      <w:pPr>
        <w:pageBreakBefore w:val="0"/>
        <w:widowControl/>
        <w:kinsoku/>
        <w:wordWrap/>
        <w:overflowPunct/>
        <w:topLinePunct w:val="0"/>
        <w:bidi w:val="0"/>
        <w:snapToGrid/>
        <w:spacing w:beforeAutospacing="0" w:afterAutospacing="0"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本标准不涉及专利问题。</w:t>
      </w:r>
    </w:p>
    <w:p w14:paraId="0F829325">
      <w:pPr>
        <w:pageBreakBefore w:val="0"/>
        <w:widowControl/>
        <w:numPr>
          <w:ilvl w:val="0"/>
          <w:numId w:val="0"/>
        </w:numPr>
        <w:kinsoku/>
        <w:wordWrap/>
        <w:overflowPunct/>
        <w:topLinePunct w:val="0"/>
        <w:bidi w:val="0"/>
        <w:snapToGrid/>
        <w:spacing w:before="159" w:beforeLines="50" w:beforeAutospacing="0" w:afterAutospacing="0" w:line="360" w:lineRule="auto"/>
        <w:ind w:leftChars="0"/>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lang w:eastAsia="zh-CN"/>
        </w:rPr>
        <w:t>五、</w:t>
      </w:r>
      <w:r>
        <w:rPr>
          <w:rFonts w:hint="eastAsia" w:ascii="宋体" w:hAnsi="宋体" w:eastAsia="宋体" w:cs="宋体"/>
          <w:b/>
          <w:color w:val="000000"/>
          <w:kern w:val="0"/>
          <w:sz w:val="24"/>
          <w:szCs w:val="24"/>
        </w:rPr>
        <w:t>产业化情况、推广应用论证和预期达到的经济效果等情况</w:t>
      </w:r>
    </w:p>
    <w:p w14:paraId="7A398794">
      <w:pPr>
        <w:pageBreakBefore w:val="0"/>
        <w:numPr>
          <w:ilvl w:val="0"/>
          <w:numId w:val="0"/>
        </w:numPr>
        <w:kinsoku/>
        <w:wordWrap/>
        <w:overflowPunct/>
        <w:topLinePunct w:val="0"/>
        <w:bidi w:val="0"/>
        <w:snapToGrid/>
        <w:spacing w:line="360" w:lineRule="auto"/>
        <w:ind w:leftChars="0"/>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5.1 试点阶段（1-3个月）</w:t>
      </w:r>
    </w:p>
    <w:p w14:paraId="560EB049">
      <w:pPr>
        <w:pageBreakBefore w:val="0"/>
        <w:numPr>
          <w:ilvl w:val="0"/>
          <w:numId w:val="0"/>
        </w:numPr>
        <w:kinsoku/>
        <w:wordWrap/>
        <w:overflowPunct/>
        <w:topLinePunct w:val="0"/>
        <w:bidi w:val="0"/>
        <w:snapToGrid/>
        <w:spacing w:line="360" w:lineRule="auto"/>
        <w:ind w:leftChars="0"/>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     选取2-3家医院试点，收集反馈意见。</w:t>
      </w:r>
    </w:p>
    <w:p w14:paraId="3F0F8054">
      <w:pPr>
        <w:pageBreakBefore w:val="0"/>
        <w:numPr>
          <w:ilvl w:val="0"/>
          <w:numId w:val="0"/>
        </w:numPr>
        <w:kinsoku/>
        <w:wordWrap/>
        <w:overflowPunct/>
        <w:topLinePunct w:val="0"/>
        <w:bidi w:val="0"/>
        <w:snapToGrid/>
        <w:spacing w:line="360" w:lineRule="auto"/>
        <w:ind w:leftChars="0"/>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5.2 全面推广（4-6个月）</w:t>
      </w:r>
    </w:p>
    <w:p w14:paraId="767B6B8F">
      <w:pPr>
        <w:pageBreakBefore w:val="0"/>
        <w:numPr>
          <w:ilvl w:val="0"/>
          <w:numId w:val="0"/>
        </w:numPr>
        <w:kinsoku/>
        <w:wordWrap/>
        <w:overflowPunct/>
        <w:topLinePunct w:val="0"/>
        <w:bidi w:val="0"/>
        <w:snapToGrid/>
        <w:spacing w:line="360" w:lineRule="auto"/>
        <w:ind w:leftChars="0"/>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     建立全国标准化操作流程、培训考核标准、管理体系。</w:t>
      </w:r>
    </w:p>
    <w:p w14:paraId="059F1FAC">
      <w:pPr>
        <w:pageBreakBefore w:val="0"/>
        <w:numPr>
          <w:ilvl w:val="0"/>
          <w:numId w:val="0"/>
        </w:numPr>
        <w:kinsoku/>
        <w:wordWrap/>
        <w:overflowPunct/>
        <w:topLinePunct w:val="0"/>
        <w:bidi w:val="0"/>
        <w:snapToGrid/>
        <w:spacing w:line="360" w:lineRule="auto"/>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5.3质量监控</w:t>
      </w:r>
    </w:p>
    <w:p w14:paraId="52447202">
      <w:pPr>
        <w:pageBreakBefore w:val="0"/>
        <w:numPr>
          <w:ilvl w:val="0"/>
          <w:numId w:val="0"/>
        </w:numPr>
        <w:kinsoku/>
        <w:wordWrap/>
        <w:overflowPunct/>
        <w:topLinePunct w:val="0"/>
        <w:bidi w:val="0"/>
        <w:snapToGrid/>
        <w:spacing w:line="360" w:lineRule="auto"/>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5.3.1每月随机抽检20%设备，关键指标（风速、菌落数、荧光灯照度等）合格率需≥98%。</w:t>
      </w:r>
    </w:p>
    <w:p w14:paraId="01CF0DED">
      <w:pPr>
        <w:pageBreakBefore w:val="0"/>
        <w:numPr>
          <w:ilvl w:val="0"/>
          <w:numId w:val="0"/>
        </w:numPr>
        <w:kinsoku/>
        <w:wordWrap/>
        <w:overflowPunct/>
        <w:topLinePunct w:val="0"/>
        <w:bidi w:val="0"/>
        <w:snapToGrid/>
        <w:spacing w:line="360" w:lineRule="auto"/>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5.3.2查看有无层流床维护记录、质量检查记录本及质控措施。   </w:t>
      </w:r>
    </w:p>
    <w:p w14:paraId="5F2AEB72">
      <w:pPr>
        <w:pageBreakBefore w:val="0"/>
        <w:numPr>
          <w:ilvl w:val="0"/>
          <w:numId w:val="0"/>
        </w:numPr>
        <w:kinsoku/>
        <w:wordWrap/>
        <w:overflowPunct/>
        <w:topLinePunct w:val="0"/>
        <w:bidi w:val="0"/>
        <w:snapToGrid/>
        <w:spacing w:line="360" w:lineRule="auto"/>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5.4持续改进</w:t>
      </w:r>
    </w:p>
    <w:p w14:paraId="096067F0">
      <w:pPr>
        <w:pageBreakBefore w:val="0"/>
        <w:numPr>
          <w:ilvl w:val="0"/>
          <w:numId w:val="0"/>
        </w:numPr>
        <w:kinsoku/>
        <w:wordWrap/>
        <w:overflowPunct/>
        <w:topLinePunct w:val="0"/>
        <w:bidi w:val="0"/>
        <w:snapToGrid/>
        <w:spacing w:line="360" w:lineRule="auto"/>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5.4.1 建立《层流床日常使用维护记录》 、《层流床管理制度》 、《层流床质控监测记录本》 、《层流床应急预案》 、《层流床标准操作考核标准》等，每年度修订标准。</w:t>
      </w:r>
    </w:p>
    <w:p w14:paraId="6D1A6EA7">
      <w:pPr>
        <w:pageBreakBefore w:val="0"/>
        <w:numPr>
          <w:ilvl w:val="0"/>
          <w:numId w:val="0"/>
        </w:numPr>
        <w:kinsoku/>
        <w:wordWrap/>
        <w:overflowPunct/>
        <w:topLinePunct w:val="0"/>
        <w:bidi w:val="0"/>
        <w:snapToGrid/>
        <w:spacing w:line="360" w:lineRule="auto"/>
        <w:textAlignment w:val="auto"/>
        <w:rPr>
          <w:rFonts w:hint="eastAsia" w:ascii="宋体" w:hAnsi="宋体" w:eastAsia="宋体" w:cs="宋体"/>
          <w:b/>
          <w:color w:val="000000"/>
          <w:kern w:val="0"/>
          <w:sz w:val="24"/>
          <w:szCs w:val="24"/>
        </w:rPr>
      </w:pPr>
      <w:r>
        <w:rPr>
          <w:rFonts w:hint="eastAsia" w:ascii="宋体" w:hAnsi="宋体" w:eastAsia="宋体" w:cs="宋体"/>
          <w:b w:val="0"/>
          <w:bCs w:val="0"/>
          <w:sz w:val="24"/>
          <w:szCs w:val="24"/>
          <w:lang w:val="en-US" w:eastAsia="zh-CN"/>
        </w:rPr>
        <w:t>5.4.2 建立不良事件报告登记本，24小时内响应。</w:t>
      </w:r>
    </w:p>
    <w:p w14:paraId="08A53CC3">
      <w:pPr>
        <w:pageBreakBefore w:val="0"/>
        <w:widowControl/>
        <w:numPr>
          <w:ilvl w:val="0"/>
          <w:numId w:val="0"/>
        </w:numPr>
        <w:kinsoku/>
        <w:wordWrap/>
        <w:overflowPunct/>
        <w:topLinePunct w:val="0"/>
        <w:bidi w:val="0"/>
        <w:snapToGrid/>
        <w:spacing w:line="360" w:lineRule="auto"/>
        <w:ind w:leftChars="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六、</w:t>
      </w:r>
      <w:r>
        <w:rPr>
          <w:rFonts w:hint="eastAsia" w:ascii="宋体" w:hAnsi="宋体" w:eastAsia="宋体" w:cs="宋体"/>
          <w:b/>
          <w:bCs/>
          <w:sz w:val="24"/>
          <w:szCs w:val="24"/>
        </w:rPr>
        <w:t>与现行法律法规、强制性标准和其他有关标准的关系</w:t>
      </w:r>
    </w:p>
    <w:p w14:paraId="1AF3157E">
      <w:pPr>
        <w:keepNext w:val="0"/>
        <w:keepLines w:val="0"/>
        <w:pageBreakBefore w:val="0"/>
        <w:numPr>
          <w:ilvl w:val="0"/>
          <w:numId w:val="4"/>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国内已有部分企业（徐州洁森、北京永洁康、沧州净健、北京卫护、天津康联等）具备技术积累，可依托产学研合作实现标准制定。  </w:t>
      </w:r>
    </w:p>
    <w:p w14:paraId="6671ADFE">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国际标准（如ISO 14644）和国外先进经验可提供技术参考</w:t>
      </w:r>
    </w:p>
    <w:p w14:paraId="01685703">
      <w:pPr>
        <w:pageBreakBefore w:val="0"/>
        <w:kinsoku/>
        <w:wordWrap/>
        <w:overflowPunct/>
        <w:topLinePunct w:val="0"/>
        <w:bidi w:val="0"/>
        <w:snapToGrid/>
        <w:spacing w:line="360" w:lineRule="auto"/>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2.1</w:t>
      </w:r>
      <w:r>
        <w:rPr>
          <w:rFonts w:hint="eastAsia" w:ascii="宋体" w:hAnsi="宋体" w:eastAsia="宋体" w:cs="宋体"/>
          <w:b/>
          <w:bCs/>
          <w:sz w:val="24"/>
          <w:szCs w:val="24"/>
        </w:rPr>
        <w:t>国际标准现状</w:t>
      </w:r>
      <w:r>
        <w:rPr>
          <w:rFonts w:hint="eastAsia" w:ascii="宋体" w:hAnsi="宋体" w:eastAsia="宋体" w:cs="宋体"/>
          <w:b w:val="0"/>
          <w:bCs w:val="0"/>
          <w:sz w:val="24"/>
          <w:szCs w:val="24"/>
        </w:rPr>
        <w:t xml:space="preserve"> </w:t>
      </w:r>
      <w:r>
        <w:rPr>
          <w:rFonts w:hint="eastAsia" w:ascii="宋体" w:hAnsi="宋体" w:eastAsia="宋体" w:cs="宋体"/>
          <w:sz w:val="24"/>
          <w:szCs w:val="24"/>
        </w:rPr>
        <w:t xml:space="preserve">   </w:t>
      </w:r>
    </w:p>
    <w:p w14:paraId="4DB346EF">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ISO 14644：洁净室及相关受控环境的国际标准，涵盖空气洁净度分级、测试方法等，可作为单人无菌室洁净度设计的参考。  </w:t>
      </w:r>
    </w:p>
    <w:p w14:paraId="755A8805">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IEC 60601系列：医疗电气设备安全通用标准，涉及单人无菌室的电气安全和电磁兼容性要求。  </w:t>
      </w:r>
    </w:p>
    <w:p w14:paraId="7C17A0D5">
      <w:pPr>
        <w:pageBreakBefore w:val="0"/>
        <w:kinsoku/>
        <w:wordWrap/>
        <w:overflowPunct/>
        <w:topLinePunct w:val="0"/>
        <w:bidi w:val="0"/>
        <w:snapToGrid/>
        <w:spacing w:line="360" w:lineRule="auto"/>
        <w:textAlignment w:val="auto"/>
        <w:rPr>
          <w:rFonts w:hint="eastAsia" w:ascii="宋体" w:hAnsi="宋体" w:eastAsia="宋体" w:cs="宋体"/>
          <w:sz w:val="24"/>
          <w:szCs w:val="24"/>
        </w:rPr>
      </w:pPr>
      <w:r>
        <w:rPr>
          <w:rFonts w:hint="eastAsia" w:ascii="宋体" w:hAnsi="宋体" w:eastAsia="宋体" w:cs="宋体"/>
          <w:b/>
          <w:bCs/>
          <w:color w:val="000000" w:themeColor="text1"/>
          <w:sz w:val="24"/>
          <w:szCs w:val="24"/>
          <w:lang w:val="en-US" w:eastAsia="zh-CN"/>
          <w14:textFill>
            <w14:solidFill>
              <w14:schemeClr w14:val="tx1"/>
            </w14:solidFill>
          </w14:textFill>
        </w:rPr>
        <w:t>2.2</w:t>
      </w:r>
      <w:r>
        <w:rPr>
          <w:rFonts w:hint="eastAsia" w:ascii="宋体" w:hAnsi="宋体" w:eastAsia="宋体" w:cs="宋体"/>
          <w:b/>
          <w:bCs/>
          <w:color w:val="000000" w:themeColor="text1"/>
          <w:sz w:val="24"/>
          <w:szCs w:val="24"/>
          <w14:textFill>
            <w14:solidFill>
              <w14:schemeClr w14:val="tx1"/>
            </w14:solidFill>
          </w14:textFill>
        </w:rPr>
        <w:t xml:space="preserve"> 与国内现行法律法规及标准的关系</w:t>
      </w: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sz w:val="24"/>
          <w:szCs w:val="24"/>
        </w:rPr>
        <w:t xml:space="preserve">   </w:t>
      </w:r>
    </w:p>
    <w:p w14:paraId="55B452CD">
      <w:pPr>
        <w:pageBreakBefore w:val="0"/>
        <w:kinsoku/>
        <w:wordWrap/>
        <w:overflowPunct/>
        <w:topLinePunct w:val="0"/>
        <w:bidi w:val="0"/>
        <w:snapToGrid/>
        <w:spacing w:line="360" w:lineRule="auto"/>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2.2.1</w:t>
      </w:r>
      <w:r>
        <w:rPr>
          <w:rFonts w:hint="eastAsia" w:ascii="宋体" w:hAnsi="宋体" w:eastAsia="宋体" w:cs="宋体"/>
          <w:b/>
          <w:bCs/>
          <w:sz w:val="24"/>
          <w:szCs w:val="24"/>
        </w:rPr>
        <w:t xml:space="preserve">法律法规衔接 </w:t>
      </w:r>
      <w:r>
        <w:rPr>
          <w:rFonts w:hint="eastAsia" w:ascii="宋体" w:hAnsi="宋体" w:eastAsia="宋体" w:cs="宋体"/>
          <w:sz w:val="24"/>
          <w:szCs w:val="24"/>
        </w:rPr>
        <w:t xml:space="preserve">   </w:t>
      </w:r>
    </w:p>
    <w:p w14:paraId="5D0CD953">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《医疗器械监督管理条例》</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单人无菌室作为二类医疗器械，需符合注册审批要求，标准制定将强化产品安全性和有效性审查依据。  </w:t>
      </w:r>
    </w:p>
    <w:p w14:paraId="2FFE8976">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《医院感染管理办法》</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标准通过规范单人无菌室性能，助力医院感染控制合规</w:t>
      </w:r>
      <w:r>
        <w:rPr>
          <w:rFonts w:hint="eastAsia" w:ascii="宋体" w:hAnsi="宋体" w:eastAsia="宋体" w:cs="宋体"/>
          <w:sz w:val="24"/>
          <w:szCs w:val="24"/>
          <w:lang w:val="en-US" w:eastAsia="zh-CN"/>
        </w:rPr>
        <w:t>,</w:t>
      </w:r>
      <w:r>
        <w:rPr>
          <w:rFonts w:hint="eastAsia" w:ascii="宋体" w:hAnsi="宋体" w:eastAsia="宋体" w:cs="宋体"/>
          <w:sz w:val="24"/>
          <w:szCs w:val="24"/>
        </w:rPr>
        <w:t>符合消毒产品管理要求、要符合消毒产品备案要求</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p>
    <w:p w14:paraId="5211C503">
      <w:pPr>
        <w:pageBreakBefore w:val="0"/>
        <w:kinsoku/>
        <w:wordWrap/>
        <w:overflowPunct/>
        <w:topLinePunct w:val="0"/>
        <w:bidi w:val="0"/>
        <w:snapToGrid/>
        <w:spacing w:line="360" w:lineRule="auto"/>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2.2.2</w:t>
      </w:r>
      <w:r>
        <w:rPr>
          <w:rFonts w:hint="eastAsia" w:ascii="宋体" w:hAnsi="宋体" w:eastAsia="宋体" w:cs="宋体"/>
          <w:b/>
          <w:bCs/>
          <w:sz w:val="24"/>
          <w:szCs w:val="24"/>
        </w:rPr>
        <w:t xml:space="preserve">与现有标准协调  </w:t>
      </w:r>
      <w:r>
        <w:rPr>
          <w:rFonts w:hint="eastAsia" w:ascii="宋体" w:hAnsi="宋体" w:eastAsia="宋体" w:cs="宋体"/>
          <w:sz w:val="24"/>
          <w:szCs w:val="24"/>
        </w:rPr>
        <w:t xml:space="preserve">  </w:t>
      </w:r>
    </w:p>
    <w:p w14:paraId="3FE4F276">
      <w:pPr>
        <w:pageBreakBefore w:val="0"/>
        <w:kinsoku/>
        <w:wordWrap/>
        <w:overflowPunct/>
        <w:topLinePunct w:val="0"/>
        <w:bidi w:val="0"/>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2.2.2.1</w:t>
      </w:r>
      <w:r>
        <w:rPr>
          <w:rFonts w:hint="eastAsia" w:ascii="宋体" w:hAnsi="宋体" w:eastAsia="宋体" w:cs="宋体"/>
          <w:sz w:val="24"/>
          <w:szCs w:val="24"/>
        </w:rPr>
        <w:t xml:space="preserve">国家标准：  </w:t>
      </w:r>
    </w:p>
    <w:p w14:paraId="266FF780">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GB 50333-2013 《医院洁净手术部建筑技术规范》中定义的洁净度范围。</w:t>
      </w:r>
    </w:p>
    <w:p w14:paraId="3E691FDF">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GB 15982《医院消毒卫生标准》：单人无菌室洁净度需符合该标准对手术室空气菌落数的要求。  </w:t>
      </w:r>
    </w:p>
    <w:p w14:paraId="7DEF8149">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GB 9706.1《医用电气设备安全通用要求》，电气安全条款需保持一致。</w:t>
      </w:r>
    </w:p>
    <w:p w14:paraId="0938252D">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GB-T 6165-2021《高效空气过滤器性能试验方法效率和阻力》检验高效过滤器完整性。</w:t>
      </w:r>
    </w:p>
    <w:p w14:paraId="7068AFAD">
      <w:pPr>
        <w:pageBreakBefore w:val="0"/>
        <w:kinsoku/>
        <w:wordWrap/>
        <w:overflowPunct/>
        <w:topLinePunct w:val="0"/>
        <w:bidi w:val="0"/>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2.2.2.2</w:t>
      </w:r>
      <w:r>
        <w:rPr>
          <w:rFonts w:hint="eastAsia" w:ascii="宋体" w:hAnsi="宋体" w:eastAsia="宋体" w:cs="宋体"/>
          <w:sz w:val="24"/>
          <w:szCs w:val="24"/>
        </w:rPr>
        <w:t xml:space="preserve">行业标准：  </w:t>
      </w:r>
    </w:p>
    <w:p w14:paraId="02DAB5DD">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YY0505-2012《医用电气设备第1-2部分：安全通用要求并列标准：电磁兼容要求和试验》</w:t>
      </w:r>
    </w:p>
    <w:p w14:paraId="0B0C0577">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YY 0637《医用洁净工作台》 ：可参考其结构设计及测试方法，但需区分单人无菌室与洁净工作台的功能差异（如患者躺卧需求）。  </w:t>
      </w:r>
    </w:p>
    <w:p w14:paraId="528699F8">
      <w:pPr>
        <w:pageBreakBefore w:val="0"/>
        <w:kinsoku/>
        <w:wordWrap/>
        <w:overflowPunct/>
        <w:topLinePunct w:val="0"/>
        <w:bidi w:val="0"/>
        <w:snapToGrid/>
        <w:spacing w:line="360" w:lineRule="auto"/>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2.2.3</w:t>
      </w:r>
      <w:r>
        <w:rPr>
          <w:rFonts w:hint="eastAsia" w:ascii="宋体" w:hAnsi="宋体" w:eastAsia="宋体" w:cs="宋体"/>
          <w:b/>
          <w:bCs/>
          <w:sz w:val="24"/>
          <w:szCs w:val="24"/>
        </w:rPr>
        <w:t>标准体系完善</w:t>
      </w:r>
      <w:r>
        <w:rPr>
          <w:rFonts w:hint="eastAsia" w:ascii="宋体" w:hAnsi="宋体" w:eastAsia="宋体" w:cs="宋体"/>
          <w:sz w:val="24"/>
          <w:szCs w:val="24"/>
        </w:rPr>
        <w:t xml:space="preserve">    </w:t>
      </w:r>
    </w:p>
    <w:p w14:paraId="66AF5564">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填补现有标准在单人无菌室</w:t>
      </w:r>
      <w:r>
        <w:rPr>
          <w:rFonts w:hint="eastAsia" w:ascii="宋体" w:hAnsi="宋体" w:eastAsia="宋体" w:cs="宋体"/>
          <w:sz w:val="24"/>
          <w:szCs w:val="24"/>
          <w:lang w:eastAsia="zh-CN"/>
        </w:rPr>
        <w:t>产品</w:t>
      </w:r>
      <w:r>
        <w:rPr>
          <w:rFonts w:hint="eastAsia" w:ascii="宋体" w:hAnsi="宋体" w:eastAsia="宋体" w:cs="宋体"/>
          <w:sz w:val="24"/>
          <w:szCs w:val="24"/>
        </w:rPr>
        <w:t>性能</w:t>
      </w:r>
      <w:r>
        <w:rPr>
          <w:rFonts w:hint="eastAsia" w:ascii="宋体" w:hAnsi="宋体" w:eastAsia="宋体" w:cs="宋体"/>
          <w:sz w:val="24"/>
          <w:szCs w:val="24"/>
          <w:lang w:eastAsia="zh-CN"/>
        </w:rPr>
        <w:t>、设备维护和保养、质量检测等</w:t>
      </w:r>
      <w:r>
        <w:rPr>
          <w:rFonts w:hint="eastAsia" w:ascii="宋体" w:hAnsi="宋体" w:eastAsia="宋体" w:cs="宋体"/>
          <w:sz w:val="24"/>
          <w:szCs w:val="24"/>
        </w:rPr>
        <w:t xml:space="preserve">方面的空白。  </w:t>
      </w:r>
    </w:p>
    <w:p w14:paraId="452E12B1">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与《医用空气净化器》等关联标准协同，构建医疗洁净设备标准体系。</w:t>
      </w:r>
    </w:p>
    <w:p w14:paraId="7AF0778C">
      <w:pPr>
        <w:pageBreakBefore w:val="0"/>
        <w:widowControl/>
        <w:kinsoku/>
        <w:wordWrap/>
        <w:overflowPunct/>
        <w:topLinePunct w:val="0"/>
        <w:bidi w:val="0"/>
        <w:snapToGrid/>
        <w:spacing w:before="159" w:beforeLines="50" w:beforeAutospacing="0" w:afterAutospacing="0" w:line="360" w:lineRule="auto"/>
        <w:ind w:firstLine="118" w:firstLineChars="49"/>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七、在标准体系中的位置，与现行相关法律、法规、规章及相关标准，特别是强制性标准的协调性</w:t>
      </w:r>
    </w:p>
    <w:p w14:paraId="0321BD01">
      <w:pPr>
        <w:pageBreakBefore w:val="0"/>
        <w:widowControl/>
        <w:kinsoku/>
        <w:wordWrap/>
        <w:overflowPunct/>
        <w:topLinePunct w:val="0"/>
        <w:bidi w:val="0"/>
        <w:snapToGrid/>
        <w:spacing w:beforeAutospacing="0" w:afterAutospacing="0"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本标准与现行相关法律、法规、规章及相关标准协调一致。</w:t>
      </w:r>
    </w:p>
    <w:p w14:paraId="2629CE3B">
      <w:pPr>
        <w:pageBreakBefore w:val="0"/>
        <w:widowControl/>
        <w:kinsoku/>
        <w:wordWrap/>
        <w:overflowPunct/>
        <w:topLinePunct w:val="0"/>
        <w:bidi w:val="0"/>
        <w:snapToGrid/>
        <w:spacing w:before="159" w:beforeLines="50" w:beforeAutospacing="0" w:afterAutospacing="0" w:line="360" w:lineRule="auto"/>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八、重大分歧意见的处理经过和依据</w:t>
      </w:r>
    </w:p>
    <w:p w14:paraId="03A65560">
      <w:pPr>
        <w:pageBreakBefore w:val="0"/>
        <w:widowControl/>
        <w:kinsoku/>
        <w:wordWrap/>
        <w:overflowPunct/>
        <w:topLinePunct w:val="0"/>
        <w:bidi w:val="0"/>
        <w:snapToGrid/>
        <w:spacing w:beforeAutospacing="0" w:afterAutospacing="0" w:line="360" w:lineRule="auto"/>
        <w:ind w:firstLine="566" w:firstLineChars="236"/>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无重大分歧意见。</w:t>
      </w:r>
    </w:p>
    <w:p w14:paraId="22BF9D67">
      <w:pPr>
        <w:pageBreakBefore w:val="0"/>
        <w:widowControl/>
        <w:kinsoku/>
        <w:wordWrap/>
        <w:overflowPunct/>
        <w:topLinePunct w:val="0"/>
        <w:bidi w:val="0"/>
        <w:snapToGrid/>
        <w:spacing w:before="159" w:beforeLines="50" w:beforeAutospacing="0" w:afterAutospacing="0" w:line="360" w:lineRule="auto"/>
        <w:ind w:firstLine="236" w:firstLineChars="98"/>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九、标准性质的建议说明</w:t>
      </w:r>
    </w:p>
    <w:p w14:paraId="2D1476D3">
      <w:pPr>
        <w:pageBreakBefore w:val="0"/>
        <w:widowControl/>
        <w:kinsoku/>
        <w:wordWrap/>
        <w:overflowPunct/>
        <w:topLinePunct w:val="0"/>
        <w:bidi w:val="0"/>
        <w:snapToGrid/>
        <w:spacing w:beforeAutospacing="0" w:afterAutospacing="0" w:line="360" w:lineRule="auto"/>
        <w:ind w:firstLine="720" w:firstLineChars="300"/>
        <w:jc w:val="left"/>
        <w:textAlignment w:val="auto"/>
        <w:rPr>
          <w:rFonts w:hint="eastAsia" w:ascii="宋体" w:hAnsi="宋体" w:eastAsia="宋体" w:cs="宋体"/>
          <w:b/>
          <w:color w:val="000000"/>
          <w:kern w:val="0"/>
          <w:sz w:val="24"/>
          <w:szCs w:val="24"/>
        </w:rPr>
      </w:pPr>
      <w:r>
        <w:rPr>
          <w:rFonts w:hint="eastAsia" w:ascii="宋体" w:hAnsi="宋体" w:eastAsia="宋体" w:cs="宋体"/>
          <w:color w:val="000000"/>
          <w:sz w:val="24"/>
          <w:szCs w:val="24"/>
        </w:rPr>
        <w:t>建议作为团体标准发布实施。</w:t>
      </w:r>
    </w:p>
    <w:p w14:paraId="001752F4">
      <w:pPr>
        <w:pageBreakBefore w:val="0"/>
        <w:widowControl/>
        <w:kinsoku/>
        <w:wordWrap/>
        <w:overflowPunct/>
        <w:topLinePunct w:val="0"/>
        <w:bidi w:val="0"/>
        <w:snapToGrid/>
        <w:spacing w:before="159" w:beforeLines="50" w:beforeAutospacing="0" w:afterAutospacing="0" w:line="360" w:lineRule="auto"/>
        <w:ind w:firstLine="236" w:firstLineChars="98"/>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十、贯彻标准的要求和措施建议</w:t>
      </w:r>
      <w:r>
        <w:rPr>
          <w:rFonts w:hint="eastAsia" w:ascii="宋体" w:hAnsi="宋体" w:eastAsia="宋体" w:cs="宋体"/>
          <w:color w:val="000000"/>
          <w:kern w:val="0"/>
          <w:sz w:val="24"/>
          <w:szCs w:val="24"/>
        </w:rPr>
        <w:t>（包括组织措施、技术措施、过度办法、实施日期等）</w:t>
      </w:r>
    </w:p>
    <w:p w14:paraId="01172F6C">
      <w:pPr>
        <w:pageBreakBefore w:val="0"/>
        <w:widowControl/>
        <w:kinsoku/>
        <w:wordWrap/>
        <w:overflowPunct/>
        <w:topLinePunct w:val="0"/>
        <w:bidi w:val="0"/>
        <w:snapToGrid/>
        <w:spacing w:beforeAutospacing="0" w:afterAutospacing="0"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贯彻标准的推广和应用，推进标准的贯彻执行力度。建议本标准批准发布6个月后实施。</w:t>
      </w:r>
    </w:p>
    <w:p w14:paraId="53D9AABD">
      <w:pPr>
        <w:pageBreakBefore w:val="0"/>
        <w:widowControl/>
        <w:kinsoku/>
        <w:wordWrap/>
        <w:overflowPunct/>
        <w:topLinePunct w:val="0"/>
        <w:bidi w:val="0"/>
        <w:snapToGrid/>
        <w:spacing w:before="159" w:beforeLines="50" w:beforeAutospacing="0" w:afterAutospacing="0" w:line="360" w:lineRule="auto"/>
        <w:ind w:firstLine="236" w:firstLineChars="98"/>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十一、废止现行相关标准的建议</w:t>
      </w:r>
    </w:p>
    <w:p w14:paraId="2EB2AF13">
      <w:pPr>
        <w:pageBreakBefore w:val="0"/>
        <w:widowControl/>
        <w:kinsoku/>
        <w:wordWrap/>
        <w:overflowPunct/>
        <w:topLinePunct w:val="0"/>
        <w:bidi w:val="0"/>
        <w:snapToGrid/>
        <w:spacing w:beforeAutospacing="0" w:afterAutospacing="0"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无。</w:t>
      </w:r>
    </w:p>
    <w:p w14:paraId="69072A82">
      <w:pPr>
        <w:pageBreakBefore w:val="0"/>
        <w:widowControl/>
        <w:kinsoku/>
        <w:wordWrap/>
        <w:overflowPunct/>
        <w:topLinePunct w:val="0"/>
        <w:bidi w:val="0"/>
        <w:snapToGrid/>
        <w:spacing w:before="159" w:beforeLines="50" w:beforeAutospacing="0" w:afterAutospacing="0" w:line="360" w:lineRule="auto"/>
        <w:ind w:firstLine="236" w:firstLineChars="98"/>
        <w:jc w:val="left"/>
        <w:textAlignment w:val="auto"/>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十二、其他应于说明的事项</w:t>
      </w:r>
    </w:p>
    <w:p w14:paraId="34ED8DD9">
      <w:pPr>
        <w:pageBreakBefore w:val="0"/>
        <w:widowControl/>
        <w:kinsoku/>
        <w:wordWrap/>
        <w:overflowPunct/>
        <w:topLinePunct w:val="0"/>
        <w:bidi w:val="0"/>
        <w:snapToGrid/>
        <w:spacing w:beforeAutospacing="0" w:afterAutospacing="0"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202</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21</w:t>
      </w:r>
      <w:r>
        <w:rPr>
          <w:rFonts w:hint="eastAsia" w:ascii="宋体" w:hAnsi="宋体" w:eastAsia="宋体" w:cs="宋体"/>
          <w:color w:val="000000" w:themeColor="text1"/>
          <w:sz w:val="24"/>
          <w:szCs w:val="24"/>
          <w14:textFill>
            <w14:solidFill>
              <w14:schemeClr w14:val="tx1"/>
            </w14:solidFill>
          </w14:textFill>
        </w:rPr>
        <w:t>日</w:t>
      </w:r>
      <w:r>
        <w:rPr>
          <w:rFonts w:hint="eastAsia" w:ascii="宋体" w:hAnsi="宋体" w:eastAsia="宋体" w:cs="宋体"/>
          <w:color w:val="000000" w:themeColor="text1"/>
          <w:sz w:val="24"/>
          <w:szCs w:val="24"/>
          <w:highlight w:val="none"/>
          <w:lang w:val="en-US" w:eastAsia="zh-CN"/>
          <w14:textFill>
            <w14:solidFill>
              <w14:schemeClr w14:val="tx1"/>
            </w14:solidFill>
          </w14:textFill>
        </w:rPr>
        <w:t>全票通过技术审查会</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位专家</w:t>
      </w:r>
      <w:r>
        <w:rPr>
          <w:rFonts w:hint="eastAsia" w:ascii="宋体" w:hAnsi="宋体" w:eastAsia="宋体" w:cs="宋体"/>
          <w:color w:val="000000" w:themeColor="text1"/>
          <w:sz w:val="24"/>
          <w:szCs w:val="24"/>
          <w:lang w:val="en-US" w:eastAsia="zh-CN"/>
          <w14:textFill>
            <w14:solidFill>
              <w14:schemeClr w14:val="tx1"/>
            </w14:solidFill>
          </w14:textFill>
        </w:rPr>
        <w:t>意见为</w:t>
      </w:r>
      <w:r>
        <w:rPr>
          <w:rFonts w:hint="eastAsia" w:ascii="宋体" w:hAnsi="宋体" w:eastAsia="宋体" w:cs="宋体"/>
          <w:color w:val="000000" w:themeColor="text1"/>
          <w:sz w:val="24"/>
          <w:szCs w:val="24"/>
          <w14:textFill>
            <w14:solidFill>
              <w14:schemeClr w14:val="tx1"/>
            </w14:solidFill>
          </w14:textFill>
        </w:rPr>
        <w:t>修改后同意。202</w:t>
      </w: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9</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12</w:t>
      </w:r>
      <w:r>
        <w:rPr>
          <w:rFonts w:hint="eastAsia" w:ascii="宋体" w:hAnsi="宋体" w:eastAsia="宋体" w:cs="宋体"/>
          <w:color w:val="000000" w:themeColor="text1"/>
          <w:sz w:val="24"/>
          <w:szCs w:val="24"/>
          <w14:textFill>
            <w14:solidFill>
              <w14:schemeClr w14:val="tx1"/>
            </w14:solidFill>
          </w14:textFill>
        </w:rPr>
        <w:t>日，按照</w:t>
      </w:r>
      <w:r>
        <w:rPr>
          <w:rFonts w:hint="eastAsia" w:ascii="宋体" w:hAnsi="宋体" w:eastAsia="宋体" w:cs="宋体"/>
          <w:color w:val="000000" w:themeColor="text1"/>
          <w:sz w:val="24"/>
          <w:szCs w:val="24"/>
          <w:lang w:val="en-US" w:eastAsia="zh-CN"/>
          <w14:textFill>
            <w14:solidFill>
              <w14:schemeClr w14:val="tx1"/>
            </w14:solidFill>
          </w14:textFill>
        </w:rPr>
        <w:t>技术</w:t>
      </w:r>
      <w:r>
        <w:rPr>
          <w:rFonts w:hint="eastAsia" w:ascii="宋体" w:hAnsi="宋体" w:eastAsia="宋体" w:cs="宋体"/>
          <w:color w:val="000000" w:themeColor="text1"/>
          <w:sz w:val="24"/>
          <w:szCs w:val="24"/>
          <w14:textFill>
            <w14:solidFill>
              <w14:schemeClr w14:val="tx1"/>
            </w14:solidFill>
          </w14:textFill>
        </w:rPr>
        <w:t>审查会专家意见修改完成并提交报批稿。</w:t>
      </w:r>
    </w:p>
    <w:p w14:paraId="7FF15144">
      <w:pPr>
        <w:pageBreakBefore w:val="0"/>
        <w:kinsoku/>
        <w:wordWrap/>
        <w:overflowPunct/>
        <w:topLinePunct w:val="0"/>
        <w:bidi w:val="0"/>
        <w:snapToGrid/>
        <w:spacing w:beforeAutospacing="0" w:line="360" w:lineRule="auto"/>
        <w:ind w:firstLine="482" w:firstLineChars="200"/>
        <w:textAlignment w:val="auto"/>
        <w:rPr>
          <w:rFonts w:hint="eastAsia" w:ascii="宋体" w:hAnsi="宋体" w:eastAsia="宋体" w:cs="宋体"/>
          <w:b/>
          <w:color w:val="000000" w:themeColor="text1"/>
          <w:sz w:val="24"/>
          <w:szCs w:val="24"/>
          <w14:textFill>
            <w14:solidFill>
              <w14:schemeClr w14:val="tx1"/>
            </w14:solidFill>
          </w14:textFill>
        </w:rPr>
      </w:pPr>
    </w:p>
    <w:p w14:paraId="1406F2FE">
      <w:pPr>
        <w:pStyle w:val="3"/>
        <w:keepNext w:val="0"/>
        <w:keepLines w:val="0"/>
        <w:pageBreakBefore w:val="0"/>
        <w:widowControl/>
        <w:suppressLineNumbers w:val="0"/>
        <w:kinsoku/>
        <w:wordWrap/>
        <w:overflowPunct/>
        <w:topLinePunct w:val="0"/>
        <w:bidi w:val="0"/>
        <w:snapToGrid/>
        <w:spacing w:line="360" w:lineRule="auto"/>
        <w:ind w:firstLine="480" w:firstLineChars="200"/>
        <w:jc w:val="left"/>
        <w:textAlignment w:val="auto"/>
        <w:rPr>
          <w:rFonts w:hint="eastAsia" w:ascii="宋体" w:hAnsi="宋体" w:eastAsia="宋体" w:cs="宋体"/>
          <w:i w:val="0"/>
          <w:iCs w:val="0"/>
          <w:caps w:val="0"/>
          <w:color w:val="404040"/>
          <w:spacing w:val="0"/>
          <w:kern w:val="2"/>
          <w:sz w:val="24"/>
          <w:szCs w:val="24"/>
          <w:shd w:val="clear" w:fill="FFFFFF"/>
          <w:lang w:val="en-US" w:eastAsia="zh-CN" w:bidi="ar-SA"/>
        </w:rPr>
      </w:pPr>
    </w:p>
    <w:p w14:paraId="23F97CA1">
      <w:pPr>
        <w:pageBreakBefore w:val="0"/>
        <w:numPr>
          <w:ilvl w:val="0"/>
          <w:numId w:val="0"/>
        </w:numPr>
        <w:kinsoku/>
        <w:wordWrap/>
        <w:overflowPunct/>
        <w:topLinePunct w:val="0"/>
        <w:bidi w:val="0"/>
        <w:snapToGrid/>
        <w:spacing w:line="360" w:lineRule="auto"/>
        <w:ind w:leftChars="0"/>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5EA41"/>
    <w:multiLevelType w:val="singleLevel"/>
    <w:tmpl w:val="AE45EA41"/>
    <w:lvl w:ilvl="0" w:tentative="0">
      <w:start w:val="1"/>
      <w:numFmt w:val="decimal"/>
      <w:suff w:val="space"/>
      <w:lvlText w:val="%1."/>
      <w:lvlJc w:val="left"/>
    </w:lvl>
  </w:abstractNum>
  <w:abstractNum w:abstractNumId="1">
    <w:nsid w:val="4F87A676"/>
    <w:multiLevelType w:val="singleLevel"/>
    <w:tmpl w:val="4F87A676"/>
    <w:lvl w:ilvl="0" w:tentative="0">
      <w:start w:val="1"/>
      <w:numFmt w:val="decimal"/>
      <w:lvlText w:val="%1."/>
      <w:lvlJc w:val="left"/>
      <w:pPr>
        <w:tabs>
          <w:tab w:val="left" w:pos="312"/>
        </w:tabs>
      </w:pPr>
    </w:lvl>
  </w:abstractNum>
  <w:abstractNum w:abstractNumId="2">
    <w:nsid w:val="7326CE12"/>
    <w:multiLevelType w:val="singleLevel"/>
    <w:tmpl w:val="7326CE12"/>
    <w:lvl w:ilvl="0" w:tentative="0">
      <w:start w:val="1"/>
      <w:numFmt w:val="chineseCounting"/>
      <w:suff w:val="nothing"/>
      <w:lvlText w:val="%1、"/>
      <w:lvlJc w:val="left"/>
      <w:rPr>
        <w:rFonts w:hint="eastAsia"/>
      </w:rPr>
    </w:lvl>
  </w:abstractNum>
  <w:abstractNum w:abstractNumId="3">
    <w:nsid w:val="7B7461F4"/>
    <w:multiLevelType w:val="singleLevel"/>
    <w:tmpl w:val="7B7461F4"/>
    <w:lvl w:ilvl="0" w:tentative="0">
      <w:start w:val="1"/>
      <w:numFmt w:val="decimal"/>
      <w:lvlText w:val="%1."/>
      <w:lvlJc w:val="left"/>
      <w:pPr>
        <w:tabs>
          <w:tab w:val="left" w:pos="312"/>
        </w:tabs>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94F"/>
    <w:rsid w:val="00164C26"/>
    <w:rsid w:val="00593490"/>
    <w:rsid w:val="008B64EF"/>
    <w:rsid w:val="00950240"/>
    <w:rsid w:val="009A7605"/>
    <w:rsid w:val="009E70F5"/>
    <w:rsid w:val="00B44B51"/>
    <w:rsid w:val="00D24FF0"/>
    <w:rsid w:val="00D3694F"/>
    <w:rsid w:val="00E80370"/>
    <w:rsid w:val="00EA40E8"/>
    <w:rsid w:val="01401F5A"/>
    <w:rsid w:val="01852063"/>
    <w:rsid w:val="0194674A"/>
    <w:rsid w:val="01AE3368"/>
    <w:rsid w:val="01B14C06"/>
    <w:rsid w:val="024263C4"/>
    <w:rsid w:val="025C1016"/>
    <w:rsid w:val="02A97FD3"/>
    <w:rsid w:val="02F92D08"/>
    <w:rsid w:val="030D0562"/>
    <w:rsid w:val="0317318F"/>
    <w:rsid w:val="03455F4E"/>
    <w:rsid w:val="03681C3C"/>
    <w:rsid w:val="03A367D0"/>
    <w:rsid w:val="03AD764F"/>
    <w:rsid w:val="03C055D4"/>
    <w:rsid w:val="03C926DB"/>
    <w:rsid w:val="03F4702C"/>
    <w:rsid w:val="041F054D"/>
    <w:rsid w:val="043F0BEF"/>
    <w:rsid w:val="04510922"/>
    <w:rsid w:val="04575F38"/>
    <w:rsid w:val="048760F2"/>
    <w:rsid w:val="04A24CDA"/>
    <w:rsid w:val="04C478E6"/>
    <w:rsid w:val="04DF1A8A"/>
    <w:rsid w:val="053C6CD4"/>
    <w:rsid w:val="05DB04A3"/>
    <w:rsid w:val="061F623B"/>
    <w:rsid w:val="06231E4A"/>
    <w:rsid w:val="0673692E"/>
    <w:rsid w:val="06C947A0"/>
    <w:rsid w:val="06F2019A"/>
    <w:rsid w:val="070F6232"/>
    <w:rsid w:val="0743570C"/>
    <w:rsid w:val="074F1149"/>
    <w:rsid w:val="07585B24"/>
    <w:rsid w:val="07660241"/>
    <w:rsid w:val="07797F74"/>
    <w:rsid w:val="07852DBD"/>
    <w:rsid w:val="079528D4"/>
    <w:rsid w:val="07966D78"/>
    <w:rsid w:val="07AA76C2"/>
    <w:rsid w:val="07DB478B"/>
    <w:rsid w:val="08B03E69"/>
    <w:rsid w:val="08ED4759"/>
    <w:rsid w:val="09093579"/>
    <w:rsid w:val="09557421"/>
    <w:rsid w:val="096E7880"/>
    <w:rsid w:val="098F7F23"/>
    <w:rsid w:val="09AF4121"/>
    <w:rsid w:val="09AF5ECF"/>
    <w:rsid w:val="0A0C3321"/>
    <w:rsid w:val="0A312D88"/>
    <w:rsid w:val="0A374116"/>
    <w:rsid w:val="0A397E8E"/>
    <w:rsid w:val="0A742C74"/>
    <w:rsid w:val="0AB063A2"/>
    <w:rsid w:val="0B0C10FF"/>
    <w:rsid w:val="0B381EF4"/>
    <w:rsid w:val="0B734B10"/>
    <w:rsid w:val="0B81389B"/>
    <w:rsid w:val="0B941820"/>
    <w:rsid w:val="0BE43E2A"/>
    <w:rsid w:val="0C0D512F"/>
    <w:rsid w:val="0C6805B7"/>
    <w:rsid w:val="0C9475FE"/>
    <w:rsid w:val="0D091D9A"/>
    <w:rsid w:val="0D63331F"/>
    <w:rsid w:val="0D6B035F"/>
    <w:rsid w:val="0D6E7E4F"/>
    <w:rsid w:val="0D755681"/>
    <w:rsid w:val="0DBE0DD6"/>
    <w:rsid w:val="0DC65EDD"/>
    <w:rsid w:val="0E250E55"/>
    <w:rsid w:val="0E794CFD"/>
    <w:rsid w:val="0EA3213F"/>
    <w:rsid w:val="0EDE1004"/>
    <w:rsid w:val="0EE54141"/>
    <w:rsid w:val="0F2A5FF8"/>
    <w:rsid w:val="0F3375A2"/>
    <w:rsid w:val="0F6477E6"/>
    <w:rsid w:val="0F7F00F1"/>
    <w:rsid w:val="0FD52407"/>
    <w:rsid w:val="0FE91E54"/>
    <w:rsid w:val="108160EB"/>
    <w:rsid w:val="10AC760C"/>
    <w:rsid w:val="10BC7123"/>
    <w:rsid w:val="10D03DBD"/>
    <w:rsid w:val="10D95F27"/>
    <w:rsid w:val="11380EA0"/>
    <w:rsid w:val="113A4C18"/>
    <w:rsid w:val="116C6D9B"/>
    <w:rsid w:val="119A56B6"/>
    <w:rsid w:val="11B20C52"/>
    <w:rsid w:val="11F8062F"/>
    <w:rsid w:val="12274A70"/>
    <w:rsid w:val="122A4C8C"/>
    <w:rsid w:val="12BA7692"/>
    <w:rsid w:val="12CA1FCB"/>
    <w:rsid w:val="130D1EB8"/>
    <w:rsid w:val="13E76BAD"/>
    <w:rsid w:val="14661880"/>
    <w:rsid w:val="147321EF"/>
    <w:rsid w:val="148443FC"/>
    <w:rsid w:val="14A66120"/>
    <w:rsid w:val="14AA20B4"/>
    <w:rsid w:val="15082937"/>
    <w:rsid w:val="15445871"/>
    <w:rsid w:val="157306F8"/>
    <w:rsid w:val="15763D45"/>
    <w:rsid w:val="15875F52"/>
    <w:rsid w:val="158D108E"/>
    <w:rsid w:val="15FC6940"/>
    <w:rsid w:val="16027CCE"/>
    <w:rsid w:val="1666025D"/>
    <w:rsid w:val="166B7621"/>
    <w:rsid w:val="16CF7BB0"/>
    <w:rsid w:val="16DE1BA1"/>
    <w:rsid w:val="16E82A20"/>
    <w:rsid w:val="16EC4928"/>
    <w:rsid w:val="1706559C"/>
    <w:rsid w:val="17103D25"/>
    <w:rsid w:val="17231CAA"/>
    <w:rsid w:val="175D340E"/>
    <w:rsid w:val="17A54DB5"/>
    <w:rsid w:val="17E72CD8"/>
    <w:rsid w:val="17FF2717"/>
    <w:rsid w:val="181A30AD"/>
    <w:rsid w:val="185F6D12"/>
    <w:rsid w:val="187327BD"/>
    <w:rsid w:val="18E168D7"/>
    <w:rsid w:val="18F57676"/>
    <w:rsid w:val="19173A91"/>
    <w:rsid w:val="194A79C2"/>
    <w:rsid w:val="194D1260"/>
    <w:rsid w:val="19E73463"/>
    <w:rsid w:val="19EC6CCB"/>
    <w:rsid w:val="1A3348FA"/>
    <w:rsid w:val="1A55661F"/>
    <w:rsid w:val="1A5D3725"/>
    <w:rsid w:val="1A703458"/>
    <w:rsid w:val="1AC94917"/>
    <w:rsid w:val="1AD0039B"/>
    <w:rsid w:val="1AD31C39"/>
    <w:rsid w:val="1B1C0EEA"/>
    <w:rsid w:val="1B34092A"/>
    <w:rsid w:val="1B612DA1"/>
    <w:rsid w:val="1B8076CB"/>
    <w:rsid w:val="1B853D32"/>
    <w:rsid w:val="1B974A15"/>
    <w:rsid w:val="1BBD091F"/>
    <w:rsid w:val="1BBE1FA1"/>
    <w:rsid w:val="1C071B9A"/>
    <w:rsid w:val="1C2A3ADB"/>
    <w:rsid w:val="1C3E30E2"/>
    <w:rsid w:val="1CAE64BA"/>
    <w:rsid w:val="1CD87093"/>
    <w:rsid w:val="1D1C78C7"/>
    <w:rsid w:val="1D3C5874"/>
    <w:rsid w:val="1D4604A0"/>
    <w:rsid w:val="1DCB6BF8"/>
    <w:rsid w:val="1DEA52D0"/>
    <w:rsid w:val="1E262080"/>
    <w:rsid w:val="1E544E3F"/>
    <w:rsid w:val="1E763007"/>
    <w:rsid w:val="1E7D4396"/>
    <w:rsid w:val="1E805C34"/>
    <w:rsid w:val="1E9E4585"/>
    <w:rsid w:val="1EE241F9"/>
    <w:rsid w:val="1F1620F4"/>
    <w:rsid w:val="1F1D7927"/>
    <w:rsid w:val="1F1F544D"/>
    <w:rsid w:val="1F3031B6"/>
    <w:rsid w:val="1F3F5AEF"/>
    <w:rsid w:val="1F576995"/>
    <w:rsid w:val="1F7237CF"/>
    <w:rsid w:val="1F9A41E7"/>
    <w:rsid w:val="1FAF4A23"/>
    <w:rsid w:val="200C45F5"/>
    <w:rsid w:val="200F7270"/>
    <w:rsid w:val="20216FA3"/>
    <w:rsid w:val="2027280B"/>
    <w:rsid w:val="207215AC"/>
    <w:rsid w:val="207B66B3"/>
    <w:rsid w:val="20971013"/>
    <w:rsid w:val="20D64231"/>
    <w:rsid w:val="20E34258"/>
    <w:rsid w:val="20EF2BFD"/>
    <w:rsid w:val="20F36B91"/>
    <w:rsid w:val="2120725A"/>
    <w:rsid w:val="21274A8D"/>
    <w:rsid w:val="213A47C0"/>
    <w:rsid w:val="21BF4CC5"/>
    <w:rsid w:val="21F726B1"/>
    <w:rsid w:val="220F17A9"/>
    <w:rsid w:val="22146DBF"/>
    <w:rsid w:val="223B07F0"/>
    <w:rsid w:val="223B259E"/>
    <w:rsid w:val="224F429B"/>
    <w:rsid w:val="22B91715"/>
    <w:rsid w:val="22C32593"/>
    <w:rsid w:val="23045086"/>
    <w:rsid w:val="232A43C0"/>
    <w:rsid w:val="233B037C"/>
    <w:rsid w:val="239B0E1A"/>
    <w:rsid w:val="23A203FB"/>
    <w:rsid w:val="23AD74CB"/>
    <w:rsid w:val="23E46C65"/>
    <w:rsid w:val="23F76998"/>
    <w:rsid w:val="241F37F9"/>
    <w:rsid w:val="24311EAA"/>
    <w:rsid w:val="245142FB"/>
    <w:rsid w:val="24773635"/>
    <w:rsid w:val="24D32F62"/>
    <w:rsid w:val="257B28C0"/>
    <w:rsid w:val="25AC730F"/>
    <w:rsid w:val="26217CFD"/>
    <w:rsid w:val="264D464E"/>
    <w:rsid w:val="26802C75"/>
    <w:rsid w:val="26C708A4"/>
    <w:rsid w:val="26D66D39"/>
    <w:rsid w:val="26EA00EF"/>
    <w:rsid w:val="270E64D3"/>
    <w:rsid w:val="276205CD"/>
    <w:rsid w:val="277C1D43"/>
    <w:rsid w:val="27914A0E"/>
    <w:rsid w:val="27DF5779"/>
    <w:rsid w:val="27EB411E"/>
    <w:rsid w:val="27FC632B"/>
    <w:rsid w:val="280B656E"/>
    <w:rsid w:val="28667C49"/>
    <w:rsid w:val="287E4F92"/>
    <w:rsid w:val="288E0F4E"/>
    <w:rsid w:val="289447B6"/>
    <w:rsid w:val="28DF17A9"/>
    <w:rsid w:val="28F45255"/>
    <w:rsid w:val="28F811E9"/>
    <w:rsid w:val="291458F7"/>
    <w:rsid w:val="29583A35"/>
    <w:rsid w:val="295B1778"/>
    <w:rsid w:val="29B33362"/>
    <w:rsid w:val="2A2D4EC2"/>
    <w:rsid w:val="2A677CA8"/>
    <w:rsid w:val="2AA9206F"/>
    <w:rsid w:val="2ABF7AE4"/>
    <w:rsid w:val="2ADC41F2"/>
    <w:rsid w:val="2B1716CE"/>
    <w:rsid w:val="2BB92785"/>
    <w:rsid w:val="2BDD0222"/>
    <w:rsid w:val="2BE617CC"/>
    <w:rsid w:val="2BE710A1"/>
    <w:rsid w:val="2BEE242F"/>
    <w:rsid w:val="2BF51A0F"/>
    <w:rsid w:val="2C5A3F68"/>
    <w:rsid w:val="2C934D84"/>
    <w:rsid w:val="2CBC252D"/>
    <w:rsid w:val="2CFA3055"/>
    <w:rsid w:val="2D3A16A4"/>
    <w:rsid w:val="2D3E2F42"/>
    <w:rsid w:val="2D430559"/>
    <w:rsid w:val="2D4F15F3"/>
    <w:rsid w:val="2D917516"/>
    <w:rsid w:val="2DEA131C"/>
    <w:rsid w:val="2DEA4E78"/>
    <w:rsid w:val="2E204D3E"/>
    <w:rsid w:val="2E440A2C"/>
    <w:rsid w:val="2E5C3FC8"/>
    <w:rsid w:val="2E8D23D3"/>
    <w:rsid w:val="2F171C9D"/>
    <w:rsid w:val="2F2B74F6"/>
    <w:rsid w:val="2F57478F"/>
    <w:rsid w:val="2F6A44C2"/>
    <w:rsid w:val="2F916AE5"/>
    <w:rsid w:val="2FFB511A"/>
    <w:rsid w:val="300F0BC6"/>
    <w:rsid w:val="30AB477C"/>
    <w:rsid w:val="30ED7159"/>
    <w:rsid w:val="3148438F"/>
    <w:rsid w:val="317E6003"/>
    <w:rsid w:val="3185644C"/>
    <w:rsid w:val="31973569"/>
    <w:rsid w:val="31BB2DB3"/>
    <w:rsid w:val="31EC7411"/>
    <w:rsid w:val="321C75CA"/>
    <w:rsid w:val="323A4620"/>
    <w:rsid w:val="32AC094E"/>
    <w:rsid w:val="32B37F2E"/>
    <w:rsid w:val="32DC7485"/>
    <w:rsid w:val="331F7372"/>
    <w:rsid w:val="333746BC"/>
    <w:rsid w:val="33721B98"/>
    <w:rsid w:val="33B421B0"/>
    <w:rsid w:val="34692F9B"/>
    <w:rsid w:val="346C2A8B"/>
    <w:rsid w:val="34767465"/>
    <w:rsid w:val="347D6A46"/>
    <w:rsid w:val="348D0794"/>
    <w:rsid w:val="34983880"/>
    <w:rsid w:val="34A02734"/>
    <w:rsid w:val="34B561E0"/>
    <w:rsid w:val="34B63D06"/>
    <w:rsid w:val="352C5D76"/>
    <w:rsid w:val="352D221A"/>
    <w:rsid w:val="35305866"/>
    <w:rsid w:val="35610116"/>
    <w:rsid w:val="356D0868"/>
    <w:rsid w:val="358D0F0B"/>
    <w:rsid w:val="35CD7559"/>
    <w:rsid w:val="35D95EFE"/>
    <w:rsid w:val="35D97CAC"/>
    <w:rsid w:val="365612FD"/>
    <w:rsid w:val="36581519"/>
    <w:rsid w:val="36703F22"/>
    <w:rsid w:val="367D0F7F"/>
    <w:rsid w:val="36AA5AEC"/>
    <w:rsid w:val="36AF4EB1"/>
    <w:rsid w:val="36CA1CEB"/>
    <w:rsid w:val="372633C5"/>
    <w:rsid w:val="375F0685"/>
    <w:rsid w:val="376D2DA2"/>
    <w:rsid w:val="3776777C"/>
    <w:rsid w:val="377A54BF"/>
    <w:rsid w:val="379F4F25"/>
    <w:rsid w:val="37A367C3"/>
    <w:rsid w:val="37AE5168"/>
    <w:rsid w:val="37CD3840"/>
    <w:rsid w:val="37DE5A4E"/>
    <w:rsid w:val="37EE37B7"/>
    <w:rsid w:val="380A6843"/>
    <w:rsid w:val="386E402E"/>
    <w:rsid w:val="38795776"/>
    <w:rsid w:val="388D2FD0"/>
    <w:rsid w:val="38E452E6"/>
    <w:rsid w:val="3930052B"/>
    <w:rsid w:val="398B39B3"/>
    <w:rsid w:val="39B20F40"/>
    <w:rsid w:val="39B32F0A"/>
    <w:rsid w:val="3A10210A"/>
    <w:rsid w:val="3A223DCB"/>
    <w:rsid w:val="3A461688"/>
    <w:rsid w:val="3A695377"/>
    <w:rsid w:val="3A777A93"/>
    <w:rsid w:val="3AB111F7"/>
    <w:rsid w:val="3AD153F6"/>
    <w:rsid w:val="3AE01ADD"/>
    <w:rsid w:val="3AF70BD4"/>
    <w:rsid w:val="3B183024"/>
    <w:rsid w:val="3B7A10AA"/>
    <w:rsid w:val="3B7B35B3"/>
    <w:rsid w:val="3BA90120"/>
    <w:rsid w:val="3BAE1BDB"/>
    <w:rsid w:val="3C4D6CFE"/>
    <w:rsid w:val="3C5A766D"/>
    <w:rsid w:val="3C7C75E3"/>
    <w:rsid w:val="3CA1529C"/>
    <w:rsid w:val="3CB11D10"/>
    <w:rsid w:val="3D145A6E"/>
    <w:rsid w:val="3D4E137F"/>
    <w:rsid w:val="3DFE0BF8"/>
    <w:rsid w:val="3E157CEF"/>
    <w:rsid w:val="3E5C591E"/>
    <w:rsid w:val="3EBB0897"/>
    <w:rsid w:val="3EE2267C"/>
    <w:rsid w:val="3F141D55"/>
    <w:rsid w:val="3F4A39C9"/>
    <w:rsid w:val="3F6C1B91"/>
    <w:rsid w:val="3F6C393F"/>
    <w:rsid w:val="3FCC262F"/>
    <w:rsid w:val="401D732F"/>
    <w:rsid w:val="40251D40"/>
    <w:rsid w:val="402E6E46"/>
    <w:rsid w:val="403C5A07"/>
    <w:rsid w:val="40420B44"/>
    <w:rsid w:val="406D5BC1"/>
    <w:rsid w:val="40A8309D"/>
    <w:rsid w:val="40C1415E"/>
    <w:rsid w:val="416D1BF0"/>
    <w:rsid w:val="41886A2A"/>
    <w:rsid w:val="41970A1B"/>
    <w:rsid w:val="41A53138"/>
    <w:rsid w:val="41F8770C"/>
    <w:rsid w:val="422E75D1"/>
    <w:rsid w:val="423C1CEE"/>
    <w:rsid w:val="424010B3"/>
    <w:rsid w:val="42642FF3"/>
    <w:rsid w:val="427174BE"/>
    <w:rsid w:val="428216CB"/>
    <w:rsid w:val="42884F34"/>
    <w:rsid w:val="429C453B"/>
    <w:rsid w:val="42DE0FF8"/>
    <w:rsid w:val="42E61C5A"/>
    <w:rsid w:val="42FE6FA4"/>
    <w:rsid w:val="430A3885"/>
    <w:rsid w:val="430D5439"/>
    <w:rsid w:val="43160791"/>
    <w:rsid w:val="43302ED5"/>
    <w:rsid w:val="43574906"/>
    <w:rsid w:val="437466E4"/>
    <w:rsid w:val="438D657A"/>
    <w:rsid w:val="43C024AB"/>
    <w:rsid w:val="43FD36FF"/>
    <w:rsid w:val="44613C8E"/>
    <w:rsid w:val="447339C1"/>
    <w:rsid w:val="44DD0E3B"/>
    <w:rsid w:val="44FF34A7"/>
    <w:rsid w:val="44FF7003"/>
    <w:rsid w:val="45014B29"/>
    <w:rsid w:val="450B4C3A"/>
    <w:rsid w:val="45435142"/>
    <w:rsid w:val="455B692F"/>
    <w:rsid w:val="459736E0"/>
    <w:rsid w:val="45A858ED"/>
    <w:rsid w:val="45C06792"/>
    <w:rsid w:val="45EA380F"/>
    <w:rsid w:val="45FC3543"/>
    <w:rsid w:val="46207231"/>
    <w:rsid w:val="46AF41C9"/>
    <w:rsid w:val="47395DE1"/>
    <w:rsid w:val="47543636"/>
    <w:rsid w:val="4755115C"/>
    <w:rsid w:val="475950F1"/>
    <w:rsid w:val="475F3D89"/>
    <w:rsid w:val="47797541"/>
    <w:rsid w:val="478832E0"/>
    <w:rsid w:val="47BA5463"/>
    <w:rsid w:val="47EC1AC1"/>
    <w:rsid w:val="485633DE"/>
    <w:rsid w:val="485A1120"/>
    <w:rsid w:val="485E04E5"/>
    <w:rsid w:val="486378A9"/>
    <w:rsid w:val="48AE6D76"/>
    <w:rsid w:val="48B12D0A"/>
    <w:rsid w:val="48C04CFB"/>
    <w:rsid w:val="48DC4AAF"/>
    <w:rsid w:val="48E7672C"/>
    <w:rsid w:val="49777AB0"/>
    <w:rsid w:val="497828CD"/>
    <w:rsid w:val="4981448B"/>
    <w:rsid w:val="4A0C644A"/>
    <w:rsid w:val="4A2D016F"/>
    <w:rsid w:val="4A62606A"/>
    <w:rsid w:val="4A7162AD"/>
    <w:rsid w:val="4A8F4985"/>
    <w:rsid w:val="4AA04DE4"/>
    <w:rsid w:val="4AE42F23"/>
    <w:rsid w:val="4B2369A7"/>
    <w:rsid w:val="4B2E283F"/>
    <w:rsid w:val="4B315A3D"/>
    <w:rsid w:val="4B3F45FD"/>
    <w:rsid w:val="4B69167A"/>
    <w:rsid w:val="4BCA036B"/>
    <w:rsid w:val="4BDB2578"/>
    <w:rsid w:val="4BEA4569"/>
    <w:rsid w:val="4BFE1DC3"/>
    <w:rsid w:val="4C4719BC"/>
    <w:rsid w:val="4C5365B2"/>
    <w:rsid w:val="4C7E1155"/>
    <w:rsid w:val="4CCE5C39"/>
    <w:rsid w:val="4CE94821"/>
    <w:rsid w:val="4CEE1E37"/>
    <w:rsid w:val="4D5A571F"/>
    <w:rsid w:val="4D7D31BB"/>
    <w:rsid w:val="4D834C75"/>
    <w:rsid w:val="4D987FF5"/>
    <w:rsid w:val="4DD3102D"/>
    <w:rsid w:val="4DFC4A28"/>
    <w:rsid w:val="4E0A0EF3"/>
    <w:rsid w:val="4E6C395B"/>
    <w:rsid w:val="4E796078"/>
    <w:rsid w:val="4EC866B8"/>
    <w:rsid w:val="4F31425D"/>
    <w:rsid w:val="4F3A5808"/>
    <w:rsid w:val="4F5F0DCA"/>
    <w:rsid w:val="4F7A20A8"/>
    <w:rsid w:val="4F8E16AF"/>
    <w:rsid w:val="4F950C90"/>
    <w:rsid w:val="4FA021BE"/>
    <w:rsid w:val="4FBE415D"/>
    <w:rsid w:val="50055E16"/>
    <w:rsid w:val="50416722"/>
    <w:rsid w:val="506F14E1"/>
    <w:rsid w:val="50C8299F"/>
    <w:rsid w:val="50DD469C"/>
    <w:rsid w:val="510734C7"/>
    <w:rsid w:val="511F2F07"/>
    <w:rsid w:val="514C1822"/>
    <w:rsid w:val="51595CED"/>
    <w:rsid w:val="516B614C"/>
    <w:rsid w:val="517174DB"/>
    <w:rsid w:val="517A013D"/>
    <w:rsid w:val="519A07DF"/>
    <w:rsid w:val="51BF1D90"/>
    <w:rsid w:val="51CE66DB"/>
    <w:rsid w:val="526037D7"/>
    <w:rsid w:val="526F57C8"/>
    <w:rsid w:val="52720E14"/>
    <w:rsid w:val="52896FAE"/>
    <w:rsid w:val="52C75604"/>
    <w:rsid w:val="52D63A99"/>
    <w:rsid w:val="52EF6909"/>
    <w:rsid w:val="530D6D8F"/>
    <w:rsid w:val="53202F66"/>
    <w:rsid w:val="53514ECE"/>
    <w:rsid w:val="535B7AFB"/>
    <w:rsid w:val="5382152B"/>
    <w:rsid w:val="53D10891"/>
    <w:rsid w:val="53EE096F"/>
    <w:rsid w:val="53FF2B7C"/>
    <w:rsid w:val="542C1497"/>
    <w:rsid w:val="546649A9"/>
    <w:rsid w:val="54DC4C6B"/>
    <w:rsid w:val="54FE4BE1"/>
    <w:rsid w:val="55180399"/>
    <w:rsid w:val="555869E7"/>
    <w:rsid w:val="55724155"/>
    <w:rsid w:val="55747599"/>
    <w:rsid w:val="55943798"/>
    <w:rsid w:val="559F4616"/>
    <w:rsid w:val="55B160F8"/>
    <w:rsid w:val="55CE0A58"/>
    <w:rsid w:val="55E069DD"/>
    <w:rsid w:val="56102E1E"/>
    <w:rsid w:val="563805C7"/>
    <w:rsid w:val="567535C9"/>
    <w:rsid w:val="569357FD"/>
    <w:rsid w:val="569752EE"/>
    <w:rsid w:val="56D46542"/>
    <w:rsid w:val="572648C3"/>
    <w:rsid w:val="573C5E95"/>
    <w:rsid w:val="574A05B2"/>
    <w:rsid w:val="575E22AF"/>
    <w:rsid w:val="579161E1"/>
    <w:rsid w:val="57CE11E3"/>
    <w:rsid w:val="57F329F7"/>
    <w:rsid w:val="584B45E2"/>
    <w:rsid w:val="58A957AC"/>
    <w:rsid w:val="58B55EFF"/>
    <w:rsid w:val="58C41652"/>
    <w:rsid w:val="58CD4FF7"/>
    <w:rsid w:val="58D26AB1"/>
    <w:rsid w:val="58FA7AAF"/>
    <w:rsid w:val="5903310E"/>
    <w:rsid w:val="59853B23"/>
    <w:rsid w:val="59995821"/>
    <w:rsid w:val="59A3044D"/>
    <w:rsid w:val="59FB3DE5"/>
    <w:rsid w:val="5A0626FA"/>
    <w:rsid w:val="5A490FF5"/>
    <w:rsid w:val="5AA63D51"/>
    <w:rsid w:val="5AC02939"/>
    <w:rsid w:val="5B0647F0"/>
    <w:rsid w:val="5B3C46B5"/>
    <w:rsid w:val="5B5B0FE0"/>
    <w:rsid w:val="5B7B51DE"/>
    <w:rsid w:val="5B9E2C7A"/>
    <w:rsid w:val="5C025E08"/>
    <w:rsid w:val="5C036F81"/>
    <w:rsid w:val="5C245875"/>
    <w:rsid w:val="5C677510"/>
    <w:rsid w:val="5C9D1184"/>
    <w:rsid w:val="5CAC6600"/>
    <w:rsid w:val="5CB84210"/>
    <w:rsid w:val="5CEB5280"/>
    <w:rsid w:val="5CEE378D"/>
    <w:rsid w:val="5D2D2508"/>
    <w:rsid w:val="5D8A5BAC"/>
    <w:rsid w:val="5DAD53F7"/>
    <w:rsid w:val="5DBE5856"/>
    <w:rsid w:val="5DF66D9E"/>
    <w:rsid w:val="5E174F66"/>
    <w:rsid w:val="5E257683"/>
    <w:rsid w:val="5E5166CA"/>
    <w:rsid w:val="5EAC1B52"/>
    <w:rsid w:val="5EE237C6"/>
    <w:rsid w:val="5F166FCB"/>
    <w:rsid w:val="5F1A2F60"/>
    <w:rsid w:val="5F426012"/>
    <w:rsid w:val="5F4B136B"/>
    <w:rsid w:val="5F776C66"/>
    <w:rsid w:val="5F7D704B"/>
    <w:rsid w:val="5F9A19AB"/>
    <w:rsid w:val="5FB07420"/>
    <w:rsid w:val="5FC30F01"/>
    <w:rsid w:val="5FCF78A6"/>
    <w:rsid w:val="60193217"/>
    <w:rsid w:val="60235E44"/>
    <w:rsid w:val="602A5424"/>
    <w:rsid w:val="60545FFD"/>
    <w:rsid w:val="60EB4BB4"/>
    <w:rsid w:val="61202383"/>
    <w:rsid w:val="61AD00BB"/>
    <w:rsid w:val="61DF5D9B"/>
    <w:rsid w:val="61EF2482"/>
    <w:rsid w:val="62015D11"/>
    <w:rsid w:val="62685D90"/>
    <w:rsid w:val="62D376AD"/>
    <w:rsid w:val="63275C4B"/>
    <w:rsid w:val="63534C92"/>
    <w:rsid w:val="63CC234F"/>
    <w:rsid w:val="63CD05A1"/>
    <w:rsid w:val="63EE0517"/>
    <w:rsid w:val="63FF44D2"/>
    <w:rsid w:val="640815D9"/>
    <w:rsid w:val="643E149E"/>
    <w:rsid w:val="64591E34"/>
    <w:rsid w:val="64A83111"/>
    <w:rsid w:val="64BE613B"/>
    <w:rsid w:val="651915C4"/>
    <w:rsid w:val="651A5A67"/>
    <w:rsid w:val="651B358E"/>
    <w:rsid w:val="652A37D1"/>
    <w:rsid w:val="65817895"/>
    <w:rsid w:val="658B24C1"/>
    <w:rsid w:val="65B25CA0"/>
    <w:rsid w:val="65EE0CA2"/>
    <w:rsid w:val="662B7800"/>
    <w:rsid w:val="663A7A43"/>
    <w:rsid w:val="66486604"/>
    <w:rsid w:val="664E34EF"/>
    <w:rsid w:val="66552ACF"/>
    <w:rsid w:val="665705F5"/>
    <w:rsid w:val="66C37A39"/>
    <w:rsid w:val="66D734E4"/>
    <w:rsid w:val="67784CC7"/>
    <w:rsid w:val="67F0485E"/>
    <w:rsid w:val="68077DF9"/>
    <w:rsid w:val="688356D2"/>
    <w:rsid w:val="688B4586"/>
    <w:rsid w:val="689C6793"/>
    <w:rsid w:val="68B27D65"/>
    <w:rsid w:val="690B56C7"/>
    <w:rsid w:val="696372B1"/>
    <w:rsid w:val="6A2B6021"/>
    <w:rsid w:val="6A5D01A4"/>
    <w:rsid w:val="6A7449B2"/>
    <w:rsid w:val="6A773014"/>
    <w:rsid w:val="6A7A48B2"/>
    <w:rsid w:val="6B533A81"/>
    <w:rsid w:val="6B797260"/>
    <w:rsid w:val="6B8E2D0B"/>
    <w:rsid w:val="6BBD714D"/>
    <w:rsid w:val="6BC73B27"/>
    <w:rsid w:val="6BD161BC"/>
    <w:rsid w:val="6BF6440D"/>
    <w:rsid w:val="6C1D408F"/>
    <w:rsid w:val="6C7A503E"/>
    <w:rsid w:val="6C8730ED"/>
    <w:rsid w:val="6CD209D6"/>
    <w:rsid w:val="6D6F091A"/>
    <w:rsid w:val="6D7221B9"/>
    <w:rsid w:val="6DE54739"/>
    <w:rsid w:val="6DE76703"/>
    <w:rsid w:val="6DFE57FA"/>
    <w:rsid w:val="6E7D7067"/>
    <w:rsid w:val="6E8757F0"/>
    <w:rsid w:val="6EF2535F"/>
    <w:rsid w:val="6F282B2F"/>
    <w:rsid w:val="6F524050"/>
    <w:rsid w:val="6F5E29F5"/>
    <w:rsid w:val="6FC151BF"/>
    <w:rsid w:val="6FCD36D6"/>
    <w:rsid w:val="6FD607DD"/>
    <w:rsid w:val="6FDE7692"/>
    <w:rsid w:val="6FFE0A54"/>
    <w:rsid w:val="70216B9A"/>
    <w:rsid w:val="702E686B"/>
    <w:rsid w:val="70390D6C"/>
    <w:rsid w:val="703D6AAE"/>
    <w:rsid w:val="705636CC"/>
    <w:rsid w:val="70932B72"/>
    <w:rsid w:val="709D579F"/>
    <w:rsid w:val="70C42D2B"/>
    <w:rsid w:val="70EE7DA8"/>
    <w:rsid w:val="71080E6A"/>
    <w:rsid w:val="710D46D2"/>
    <w:rsid w:val="71267542"/>
    <w:rsid w:val="713779A1"/>
    <w:rsid w:val="71463740"/>
    <w:rsid w:val="719B7F30"/>
    <w:rsid w:val="71B3023E"/>
    <w:rsid w:val="725503A1"/>
    <w:rsid w:val="73117D7E"/>
    <w:rsid w:val="73B52DFF"/>
    <w:rsid w:val="73FC0A2E"/>
    <w:rsid w:val="74424693"/>
    <w:rsid w:val="74795BDB"/>
    <w:rsid w:val="74DD0860"/>
    <w:rsid w:val="7501454E"/>
    <w:rsid w:val="7533222E"/>
    <w:rsid w:val="75524DAA"/>
    <w:rsid w:val="75B96BD7"/>
    <w:rsid w:val="75ED7377"/>
    <w:rsid w:val="75F53987"/>
    <w:rsid w:val="760D0CD1"/>
    <w:rsid w:val="763C15B6"/>
    <w:rsid w:val="766C1E9B"/>
    <w:rsid w:val="767E572A"/>
    <w:rsid w:val="76880357"/>
    <w:rsid w:val="76D67314"/>
    <w:rsid w:val="77186165"/>
    <w:rsid w:val="77534E09"/>
    <w:rsid w:val="775C1F10"/>
    <w:rsid w:val="780659D7"/>
    <w:rsid w:val="78397B5B"/>
    <w:rsid w:val="78852DA0"/>
    <w:rsid w:val="78FA19E0"/>
    <w:rsid w:val="79144124"/>
    <w:rsid w:val="79B17BC5"/>
    <w:rsid w:val="7A5E1AFB"/>
    <w:rsid w:val="7A772BBC"/>
    <w:rsid w:val="7A831561"/>
    <w:rsid w:val="7AA91222"/>
    <w:rsid w:val="7AB931D5"/>
    <w:rsid w:val="7B002BB2"/>
    <w:rsid w:val="7B450F0D"/>
    <w:rsid w:val="7B486307"/>
    <w:rsid w:val="7B65510B"/>
    <w:rsid w:val="7BA9149B"/>
    <w:rsid w:val="7BE91898"/>
    <w:rsid w:val="7BE97AEA"/>
    <w:rsid w:val="7BF64B28"/>
    <w:rsid w:val="7C683105"/>
    <w:rsid w:val="7C701FB9"/>
    <w:rsid w:val="7C896755"/>
    <w:rsid w:val="7C921F30"/>
    <w:rsid w:val="7D4D0BA1"/>
    <w:rsid w:val="7D747887"/>
    <w:rsid w:val="7DA71A0B"/>
    <w:rsid w:val="7DB52379"/>
    <w:rsid w:val="7DB639FC"/>
    <w:rsid w:val="7DE71E07"/>
    <w:rsid w:val="7E6C33DC"/>
    <w:rsid w:val="7EE137D0"/>
    <w:rsid w:val="7EF42A2E"/>
    <w:rsid w:val="7EF56866"/>
    <w:rsid w:val="7F196938"/>
    <w:rsid w:val="7F631961"/>
    <w:rsid w:val="7FBD72C3"/>
    <w:rsid w:val="7FE231CE"/>
    <w:rsid w:val="7FEB2083"/>
    <w:rsid w:val="7FF54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7"/>
    <w:unhideWhenUsed/>
    <w:qFormat/>
    <w:uiPriority w:val="9"/>
    <w:pPr>
      <w:keepNext/>
      <w:keepLines/>
      <w:spacing w:before="156" w:beforeLines="50" w:after="156" w:afterLines="50" w:line="500" w:lineRule="exact"/>
      <w:jc w:val="center"/>
      <w:outlineLvl w:val="1"/>
    </w:pPr>
    <w:rPr>
      <w:rFonts w:asciiTheme="majorHAnsi" w:hAnsiTheme="majorHAnsi" w:eastAsiaTheme="majorEastAsia" w:cstheme="majorBidi"/>
      <w:b/>
      <w:bCs/>
      <w:sz w:val="32"/>
      <w:szCs w:val="32"/>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qFormat/>
    <w:uiPriority w:val="99"/>
    <w:rPr>
      <w:sz w:val="24"/>
    </w:rPr>
  </w:style>
  <w:style w:type="character" w:styleId="6">
    <w:name w:val="Strong"/>
    <w:basedOn w:val="5"/>
    <w:qFormat/>
    <w:uiPriority w:val="0"/>
    <w:rPr>
      <w:b/>
    </w:rPr>
  </w:style>
  <w:style w:type="character" w:customStyle="1" w:styleId="7">
    <w:name w:val="标题 2 Char"/>
    <w:basedOn w:val="5"/>
    <w:link w:val="2"/>
    <w:qFormat/>
    <w:uiPriority w:val="9"/>
    <w:rPr>
      <w:rFonts w:asciiTheme="majorHAnsi" w:hAnsiTheme="majorHAnsi" w:eastAsiaTheme="majorEastAsia" w:cstheme="majorBidi"/>
      <w:b/>
      <w:bCs/>
      <w:sz w:val="32"/>
      <w:szCs w:val="32"/>
    </w:rPr>
  </w:style>
  <w:style w:type="character" w:customStyle="1" w:styleId="8">
    <w:name w:val="font91"/>
    <w:basedOn w:val="5"/>
    <w:autoRedefine/>
    <w:qFormat/>
    <w:uiPriority w:val="0"/>
    <w:rPr>
      <w:rFonts w:hint="eastAsia"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8</Pages>
  <Words>5005</Words>
  <Characters>5295</Characters>
  <Lines>1</Lines>
  <Paragraphs>1</Paragraphs>
  <TotalTime>4</TotalTime>
  <ScaleCrop>false</ScaleCrop>
  <LinksUpToDate>false</LinksUpToDate>
  <CharactersWithSpaces>5401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2019-11-18T08:38:00Z</dcterms:created>
  <dc:creator>User</dc:creator>
  <cp:lastModifiedBy>史云</cp:lastModifiedBy>
  <cp:lastPrinted>2025-04-06T23:47:00Z</cp:lastPrinted>
  <dcterms:modified xsi:type="dcterms:W3CDTF">2025-09-16T00:11:12Z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eyJoZGlkIjoiYTc2ZGZiNzZiNDVlOGViOWVmM2JhOTY0NGJkNjUyYzgiLCJ1c2VySWQiOiIyOTc3MjM5OTgifQ==</vt:lpwstr>
  </property>
  <property fmtid="{D5CDD505-2E9C-101B-9397-08002B2CF9AE}" pid="3" name="KSOProductBuildVer">
    <vt:lpwstr>2052-12.1.0.22529</vt:lpwstr>
  </property>
  <property fmtid="{D5CDD505-2E9C-101B-9397-08002B2CF9AE}" pid="4" name="ICV">
    <vt:lpwstr>DFA92AABB4F6494D83CDA17077368EAD_12</vt:lpwstr>
  </property>
</Properties>
</file>