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8B862" w14:textId="3908EB2D"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bookmarkStart w:id="0" w:name="_Toc942345"/>
      <w:bookmarkStart w:id="1" w:name="_Toc24964"/>
      <w:bookmarkStart w:id="2" w:name="_Toc31202"/>
      <w:bookmarkStart w:id="3" w:name="_Toc942016"/>
      <w:bookmarkStart w:id="4" w:name="_Toc1651879"/>
      <w:bookmarkStart w:id="5" w:name="_Toc15743"/>
      <w:bookmarkStart w:id="6" w:name="_Toc14794"/>
      <w:r w:rsidRPr="0050530E">
        <w:rPr>
          <w:rFonts w:ascii="黑体" w:eastAsia="黑体" w:hAnsi="黑体" w:cs="黑体" w:hint="eastAsia"/>
          <w:bCs/>
          <w:kern w:val="0"/>
          <w:sz w:val="21"/>
          <w:szCs w:val="21"/>
        </w:rPr>
        <w:t xml:space="preserve">ICS </w:t>
      </w:r>
      <w:r>
        <w:rPr>
          <w:rFonts w:ascii="黑体" w:eastAsia="黑体" w:hAnsi="黑体" w:cs="黑体" w:hint="eastAsia"/>
          <w:bCs/>
          <w:kern w:val="0"/>
          <w:sz w:val="21"/>
          <w:szCs w:val="21"/>
        </w:rPr>
        <w:t>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XXX</w:t>
      </w:r>
      <w:r w:rsidRPr="0050530E">
        <w:rPr>
          <w:rFonts w:ascii="黑体" w:eastAsia="黑体" w:hAnsi="黑体" w:cs="黑体" w:hint="eastAsia"/>
          <w:bCs/>
          <w:kern w:val="0"/>
          <w:sz w:val="21"/>
          <w:szCs w:val="21"/>
        </w:rPr>
        <w:t>.</w:t>
      </w:r>
      <w:r>
        <w:rPr>
          <w:rFonts w:ascii="黑体" w:eastAsia="黑体" w:hAnsi="黑体" w:cs="黑体" w:hint="eastAsia"/>
          <w:bCs/>
          <w:kern w:val="0"/>
          <w:sz w:val="21"/>
          <w:szCs w:val="21"/>
        </w:rPr>
        <w:t>XX</w:t>
      </w:r>
    </w:p>
    <w:p w14:paraId="4FD64651" w14:textId="427AA456" w:rsidR="0050530E" w:rsidRPr="0050530E" w:rsidRDefault="0050530E" w:rsidP="0050530E">
      <w:pPr>
        <w:framePr w:w="2132" w:hSpace="1417" w:vSpace="567" w:wrap="around" w:hAnchor="margin" w:y="528" w:anchorLock="1"/>
        <w:widowControl/>
        <w:jc w:val="left"/>
        <w:rPr>
          <w:rFonts w:ascii="黑体" w:eastAsia="黑体" w:hAnsi="黑体" w:cs="黑体"/>
          <w:bCs/>
          <w:smallCaps/>
          <w:kern w:val="0"/>
          <w:sz w:val="21"/>
          <w:szCs w:val="21"/>
        </w:rPr>
      </w:pPr>
      <w:r w:rsidRPr="0050530E">
        <w:rPr>
          <w:rFonts w:ascii="黑体" w:eastAsia="黑体" w:hAnsi="黑体" w:cs="黑体" w:hint="eastAsia"/>
          <w:bCs/>
          <w:kern w:val="0"/>
          <w:sz w:val="21"/>
          <w:szCs w:val="21"/>
        </w:rPr>
        <w:t>CCS</w:t>
      </w:r>
      <w:r w:rsidRPr="0050530E">
        <w:rPr>
          <w:rFonts w:ascii="黑体" w:eastAsia="黑体" w:hAnsi="黑体" w:cs="黑体" w:hint="eastAsia"/>
          <w:bCs/>
          <w:color w:val="000000"/>
          <w:kern w:val="0"/>
          <w:sz w:val="21"/>
          <w:szCs w:val="21"/>
          <w:lang w:bidi="ar"/>
        </w:rPr>
        <w:t xml:space="preserve"> </w:t>
      </w:r>
      <w:r>
        <w:rPr>
          <w:rFonts w:ascii="黑体" w:eastAsia="黑体" w:hAnsi="黑体" w:cs="黑体" w:hint="eastAsia"/>
          <w:bCs/>
          <w:color w:val="000000"/>
          <w:kern w:val="0"/>
          <w:sz w:val="21"/>
          <w:szCs w:val="21"/>
          <w:lang w:bidi="ar"/>
        </w:rPr>
        <w:t>X XX</w:t>
      </w:r>
    </w:p>
    <w:p w14:paraId="6A546C89" w14:textId="77777777" w:rsidR="0050530E" w:rsidRPr="0050530E" w:rsidRDefault="0050530E" w:rsidP="0050530E">
      <w:pPr>
        <w:framePr w:w="2546" w:h="1389" w:hRule="exact" w:hSpace="181" w:vSpace="181" w:wrap="around" w:hAnchor="margin" w:x="6522" w:y="398" w:anchorLock="1"/>
        <w:widowControl/>
        <w:shd w:val="solid" w:color="FFFFFF" w:fill="FFFFFF"/>
        <w:spacing w:line="0" w:lineRule="atLeast"/>
        <w:jc w:val="right"/>
        <w:rPr>
          <w:rFonts w:ascii="Times New Roman" w:hAnsi="Times New Roman"/>
          <w:b/>
          <w:smallCaps/>
          <w:w w:val="170"/>
          <w:kern w:val="0"/>
          <w:sz w:val="96"/>
          <w:szCs w:val="96"/>
        </w:rPr>
      </w:pPr>
    </w:p>
    <w:p w14:paraId="43D4BF2D" w14:textId="77777777" w:rsidR="0050530E" w:rsidRPr="0050530E" w:rsidRDefault="0050530E" w:rsidP="0050530E">
      <w:pPr>
        <w:framePr w:w="9639" w:h="813" w:hRule="exact" w:hSpace="181" w:vSpace="181" w:wrap="around" w:vAnchor="page" w:hAnchor="page" w:x="1330" w:y="2268" w:anchorLock="1"/>
        <w:kinsoku w:val="0"/>
        <w:overflowPunct w:val="0"/>
        <w:autoSpaceDE w:val="0"/>
        <w:autoSpaceDN w:val="0"/>
        <w:spacing w:line="0" w:lineRule="atLeast"/>
        <w:jc w:val="distribute"/>
        <w:rPr>
          <w:rFonts w:ascii="黑体" w:eastAsia="黑体" w:hAnsi="黑体" w:cs="黑体"/>
          <w:b/>
          <w:bCs/>
          <w:smallCaps/>
          <w:spacing w:val="20"/>
          <w:w w:val="148"/>
          <w:kern w:val="0"/>
          <w:sz w:val="48"/>
          <w:szCs w:val="20"/>
        </w:rPr>
      </w:pPr>
      <w:r w:rsidRPr="0050530E">
        <w:rPr>
          <w:rFonts w:ascii="黑体" w:eastAsia="黑体" w:hAnsi="黑体" w:cs="黑体" w:hint="eastAsia"/>
          <w:b/>
          <w:bCs/>
          <w:spacing w:val="20"/>
          <w:w w:val="148"/>
          <w:kern w:val="0"/>
          <w:sz w:val="48"/>
          <w:szCs w:val="20"/>
        </w:rPr>
        <w:t>团体标准</w:t>
      </w:r>
    </w:p>
    <w:p w14:paraId="53B70168" w14:textId="1B80E0C2" w:rsidR="0050530E" w:rsidRPr="0050530E" w:rsidRDefault="0050530E" w:rsidP="0050530E">
      <w:pPr>
        <w:framePr w:w="9140" w:h="792" w:hRule="exact" w:hSpace="284" w:wrap="around" w:vAnchor="page" w:hAnchor="page" w:x="1645" w:y="3360" w:anchorLock="1"/>
        <w:widowControl/>
        <w:wordWrap w:val="0"/>
        <w:jc w:val="right"/>
        <w:rPr>
          <w:rFonts w:ascii="黑体" w:eastAsia="黑体" w:hAnsi="Times New Roman"/>
          <w:smallCaps/>
          <w:kern w:val="0"/>
          <w:sz w:val="28"/>
          <w:szCs w:val="28"/>
        </w:rPr>
      </w:pPr>
      <w:r w:rsidRPr="0050530E">
        <w:rPr>
          <w:rFonts w:ascii="黑体" w:eastAsia="黑体" w:hAnsi="黑体" w:cs="黑体" w:hint="eastAsia"/>
          <w:kern w:val="0"/>
          <w:sz w:val="28"/>
          <w:szCs w:val="28"/>
        </w:rPr>
        <w:t>T/</w:t>
      </w:r>
      <w:r w:rsidR="004F1CC1">
        <w:rPr>
          <w:rFonts w:ascii="黑体" w:eastAsia="黑体" w:hAnsi="黑体" w:cs="黑体"/>
          <w:kern w:val="0"/>
          <w:sz w:val="28"/>
          <w:szCs w:val="28"/>
        </w:rPr>
        <w:t>XXXX</w:t>
      </w:r>
      <w:r w:rsidRPr="0050530E">
        <w:rPr>
          <w:rFonts w:ascii="黑体" w:eastAsia="黑体" w:hAnsi="黑体" w:cs="黑体" w:hint="eastAsia"/>
          <w:kern w:val="0"/>
          <w:sz w:val="28"/>
          <w:szCs w:val="28"/>
        </w:rPr>
        <w:t xml:space="preserve"> </w:t>
      </w:r>
      <w:proofErr w:type="spellStart"/>
      <w:r w:rsidR="004F1CC1">
        <w:rPr>
          <w:rFonts w:ascii="黑体" w:eastAsia="黑体" w:hAnsi="黑体" w:cs="黑体"/>
          <w:kern w:val="0"/>
          <w:sz w:val="28"/>
          <w:szCs w:val="28"/>
        </w:rPr>
        <w:t>X</w:t>
      </w:r>
      <w:r>
        <w:rPr>
          <w:rFonts w:ascii="黑体" w:eastAsia="黑体" w:hAnsi="黑体" w:cs="黑体" w:hint="eastAsia"/>
          <w:kern w:val="0"/>
          <w:sz w:val="28"/>
          <w:szCs w:val="28"/>
        </w:rPr>
        <w:t>XXX</w:t>
      </w:r>
      <w:proofErr w:type="spellEnd"/>
      <w:r w:rsidRPr="0050530E">
        <w:rPr>
          <w:rFonts w:ascii="黑体" w:eastAsia="黑体" w:hAnsi="黑体" w:cs="黑体" w:hint="eastAsia"/>
          <w:kern w:val="0"/>
          <w:sz w:val="28"/>
          <w:szCs w:val="28"/>
        </w:rPr>
        <w:t>—202</w:t>
      </w:r>
      <w:r>
        <w:rPr>
          <w:rFonts w:ascii="黑体" w:eastAsia="黑体" w:hAnsi="黑体" w:cs="黑体" w:hint="eastAsia"/>
          <w:kern w:val="0"/>
          <w:sz w:val="28"/>
          <w:szCs w:val="28"/>
        </w:rPr>
        <w:t>5</w:t>
      </w:r>
    </w:p>
    <w:p w14:paraId="2EBDC760"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41968A7D" w14:textId="77777777" w:rsidR="0050530E" w:rsidRPr="0050530E" w:rsidRDefault="0050530E" w:rsidP="0050530E">
      <w:pPr>
        <w:framePr w:w="9140" w:h="792" w:hRule="exact" w:hSpace="284" w:wrap="around" w:vAnchor="page" w:hAnchor="page" w:x="1645" w:y="3360" w:anchorLock="1"/>
        <w:widowControl/>
        <w:spacing w:before="357" w:line="280" w:lineRule="exact"/>
        <w:jc w:val="right"/>
        <w:rPr>
          <w:rFonts w:ascii="黑体" w:eastAsia="黑体" w:hAnsi="Times New Roman"/>
          <w:smallCaps/>
          <w:kern w:val="0"/>
          <w:sz w:val="28"/>
          <w:szCs w:val="28"/>
        </w:rPr>
      </w:pPr>
    </w:p>
    <w:p w14:paraId="23955C31" w14:textId="782AA800" w:rsidR="004F1CC1" w:rsidRPr="004B1820" w:rsidRDefault="004B1820" w:rsidP="0050530E">
      <w:pPr>
        <w:framePr w:w="9639" w:h="6917" w:hRule="exact" w:wrap="around" w:vAnchor="page" w:hAnchor="page" w:xAlign="center" w:y="6408" w:anchorLock="1"/>
        <w:spacing w:line="680" w:lineRule="exact"/>
        <w:jc w:val="center"/>
        <w:textAlignment w:val="center"/>
        <w:rPr>
          <w:rFonts w:ascii="黑体" w:eastAsia="黑体" w:hAnsi="Times New Roman"/>
          <w:kern w:val="0"/>
          <w:sz w:val="52"/>
          <w:szCs w:val="20"/>
        </w:rPr>
      </w:pPr>
      <w:bookmarkStart w:id="7" w:name="OLE_LINK47"/>
      <w:bookmarkStart w:id="8" w:name="OLE_LINK48"/>
      <w:r w:rsidRPr="004B1820">
        <w:rPr>
          <w:rFonts w:ascii="黑体" w:eastAsia="黑体" w:hAnsi="Times New Roman" w:hint="eastAsia"/>
          <w:kern w:val="0"/>
          <w:sz w:val="52"/>
          <w:szCs w:val="20"/>
        </w:rPr>
        <w:t>代谢性疾病非药物干预指南</w:t>
      </w:r>
    </w:p>
    <w:bookmarkEnd w:id="7"/>
    <w:bookmarkEnd w:id="8"/>
    <w:p w14:paraId="3BED8483" w14:textId="4C1D811A" w:rsidR="0050530E" w:rsidRPr="0050530E" w:rsidRDefault="004B1820" w:rsidP="0050530E">
      <w:pPr>
        <w:framePr w:w="9639" w:h="6917" w:hRule="exact" w:wrap="around" w:vAnchor="page" w:hAnchor="page" w:xAlign="center" w:y="6408" w:anchorLock="1"/>
        <w:spacing w:before="370" w:line="400" w:lineRule="exact"/>
        <w:jc w:val="center"/>
        <w:textAlignment w:val="center"/>
        <w:rPr>
          <w:rFonts w:ascii="Times New Roman" w:eastAsia="黑体" w:hAnsi="Times New Roman"/>
          <w:smallCaps/>
          <w:kern w:val="0"/>
          <w:sz w:val="28"/>
          <w:szCs w:val="28"/>
        </w:rPr>
      </w:pPr>
      <w:r w:rsidRPr="004B1820">
        <w:rPr>
          <w:rFonts w:ascii="黑体" w:eastAsia="黑体" w:hAnsi="黑体" w:cs="黑体"/>
          <w:kern w:val="0"/>
          <w:sz w:val="28"/>
          <w:szCs w:val="28"/>
        </w:rPr>
        <w:t>Guidelines for non-pharmacological intervention of metabolic diseases</w:t>
      </w:r>
      <w:r w:rsidR="00897E04" w:rsidRPr="000C4B11">
        <w:rPr>
          <w:rFonts w:ascii="黑体" w:eastAsia="黑体" w:hAnsi="黑体" w:cs="黑体" w:hint="eastAsia"/>
          <w:kern w:val="0"/>
          <w:sz w:val="28"/>
          <w:szCs w:val="28"/>
        </w:rPr>
        <w:t xml:space="preserve"> </w:t>
      </w:r>
    </w:p>
    <w:p w14:paraId="220171AE" w14:textId="59AA57D8" w:rsidR="0050530E" w:rsidRPr="0050530E" w:rsidRDefault="00071C21" w:rsidP="0050530E">
      <w:pPr>
        <w:framePr w:w="9639" w:h="6917" w:hRule="exact" w:wrap="around" w:vAnchor="page" w:hAnchor="page" w:xAlign="center" w:y="6408" w:anchorLock="1"/>
        <w:spacing w:before="440" w:line="400" w:lineRule="exact"/>
        <w:jc w:val="center"/>
        <w:textAlignment w:val="center"/>
        <w:rPr>
          <w:rFonts w:ascii="宋体" w:hAnsi="Times New Roman"/>
          <w:smallCaps/>
          <w:kern w:val="0"/>
          <w:sz w:val="28"/>
          <w:szCs w:val="28"/>
        </w:rPr>
      </w:pPr>
      <w:r>
        <w:rPr>
          <w:rFonts w:ascii="宋体" w:hAnsi="Times New Roman" w:hint="eastAsia"/>
          <w:kern w:val="0"/>
          <w:sz w:val="28"/>
          <w:szCs w:val="28"/>
        </w:rPr>
        <w:t>（</w:t>
      </w:r>
      <w:r w:rsidR="00ED1F21">
        <w:rPr>
          <w:rFonts w:ascii="宋体" w:hAnsi="Times New Roman" w:hint="eastAsia"/>
          <w:kern w:val="0"/>
          <w:sz w:val="28"/>
          <w:szCs w:val="28"/>
        </w:rPr>
        <w:t>征求意见</w:t>
      </w:r>
      <w:r>
        <w:rPr>
          <w:rFonts w:ascii="宋体" w:hAnsi="Times New Roman" w:hint="eastAsia"/>
          <w:kern w:val="0"/>
          <w:sz w:val="28"/>
          <w:szCs w:val="28"/>
        </w:rPr>
        <w:t>）</w:t>
      </w:r>
    </w:p>
    <w:p w14:paraId="2C72DCC1" w14:textId="5B53DEBB" w:rsidR="0050530E" w:rsidRPr="0050530E" w:rsidRDefault="0050530E" w:rsidP="0050530E">
      <w:pPr>
        <w:framePr w:w="3997" w:h="471" w:hRule="exact" w:vSpace="181" w:wrap="around" w:vAnchor="page" w:hAnchor="page" w:x="1419" w:y="14097" w:anchorLock="1"/>
        <w:widowControl/>
        <w:jc w:val="lef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Times New Roman"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发布</w:t>
      </w:r>
      <w:r w:rsidRPr="0050530E">
        <w:rPr>
          <w:rFonts w:ascii="Times New Roman" w:eastAsia="黑体" w:hAnsi="Times New Roman"/>
          <w:smallCaps/>
          <w:noProof/>
          <w:kern w:val="0"/>
          <w:sz w:val="28"/>
          <w:szCs w:val="20"/>
        </w:rPr>
        <mc:AlternateContent>
          <mc:Choice Requires="wps">
            <w:drawing>
              <wp:anchor distT="0" distB="0" distL="114300" distR="114300" simplePos="0" relativeHeight="251659264" behindDoc="0" locked="1" layoutInCell="1" allowOverlap="1" wp14:anchorId="434E20F5" wp14:editId="275321DC">
                <wp:simplePos x="0" y="0"/>
                <wp:positionH relativeFrom="column">
                  <wp:posOffset>-635</wp:posOffset>
                </wp:positionH>
                <wp:positionV relativeFrom="page">
                  <wp:posOffset>9251950</wp:posOffset>
                </wp:positionV>
                <wp:extent cx="6120130" cy="0"/>
                <wp:effectExtent l="13970" t="12700" r="9525" b="63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7A005A2" id="直接连接符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BFEnfbdAAAACwEAAA8AAABkcnMvZG93bnJldi54bWxMj01PwkAQhu8m&#10;/ofNmHghsAUUtHZLjNqbF0HjdeiObWN3tnQXqP56x4OR47zz5P3IVoNr1YH60Hg2MJ0koIhLbxuu&#10;DLxuivENqBCRLbaeycAXBVjl52cZptYf+YUO61gpMeGQooE6xi7VOpQ1OQwT3xHL78P3DqOcfaVt&#10;j0cxd62eJclCO2xYEmrs6KGm8nO9dwZC8Ua74ntUjpL3eeVptnt8fkJjLi+G+ztQkYb4D8NvfakO&#10;uXTa+j3boFoD46mAIl9dL2WTALeL+RLU9k/SeaZPN+Q/AAAA//8DAFBLAQItABQABgAIAAAAIQC2&#10;gziS/gAAAOEBAAATAAAAAAAAAAAAAAAAAAAAAABbQ29udGVudF9UeXBlc10ueG1sUEsBAi0AFAAG&#10;AAgAAAAhADj9If/WAAAAlAEAAAsAAAAAAAAAAAAAAAAALwEAAF9yZWxzLy5yZWxzUEsBAi0AFAAG&#10;AAgAAAAhAMUEh2CqAQAAOwMAAA4AAAAAAAAAAAAAAAAALgIAAGRycy9lMm9Eb2MueG1sUEsBAi0A&#10;FAAGAAgAAAAhABFEnfbdAAAACwEAAA8AAAAAAAAAAAAAAAAABAQAAGRycy9kb3ducmV2LnhtbFBL&#10;BQYAAAAABAAEAPMAAAAOBQAAAAA=&#10;">
                <w10:wrap anchory="page"/>
                <w10:anchorlock/>
              </v:line>
            </w:pict>
          </mc:Fallback>
        </mc:AlternateContent>
      </w:r>
    </w:p>
    <w:p w14:paraId="4D8BA8F6" w14:textId="08002EB9" w:rsidR="0050530E" w:rsidRPr="0050530E" w:rsidRDefault="0050530E" w:rsidP="0050530E">
      <w:pPr>
        <w:framePr w:w="3997" w:h="471" w:hRule="exact" w:vSpace="181" w:wrap="around" w:vAnchor="page" w:hAnchor="page" w:x="7089" w:y="14097" w:anchorLock="1"/>
        <w:widowControl/>
        <w:jc w:val="right"/>
        <w:rPr>
          <w:rFonts w:ascii="Times New Roman" w:eastAsia="黑体" w:hAnsi="Times New Roman"/>
          <w:smallCaps/>
          <w:kern w:val="0"/>
          <w:sz w:val="28"/>
          <w:szCs w:val="20"/>
        </w:rPr>
      </w:pPr>
      <w:r w:rsidRPr="0050530E">
        <w:rPr>
          <w:rFonts w:ascii="黑体" w:eastAsia="黑体" w:hAnsi="Times New Roman" w:hint="eastAsia"/>
          <w:kern w:val="0"/>
          <w:sz w:val="28"/>
          <w:szCs w:val="20"/>
        </w:rPr>
        <w:t>202</w:t>
      </w:r>
      <w:r>
        <w:rPr>
          <w:rFonts w:ascii="黑体" w:eastAsia="黑体" w:hAnsi="Times New Roman" w:hint="eastAsia"/>
          <w:kern w:val="0"/>
          <w:sz w:val="28"/>
          <w:szCs w:val="20"/>
        </w:rPr>
        <w:t>X</w:t>
      </w:r>
      <w:r w:rsidRPr="0050530E">
        <w:rPr>
          <w:rFonts w:ascii="Times New Roman" w:eastAsia="黑体" w:hAnsi="Times New Roman"/>
          <w:kern w:val="0"/>
          <w:sz w:val="28"/>
          <w:szCs w:val="20"/>
        </w:rPr>
        <w:t xml:space="preserve"> </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黑体" w:eastAsia="黑体" w:hAnsi="Times New Roman"/>
          <w:kern w:val="0"/>
          <w:sz w:val="28"/>
          <w:szCs w:val="20"/>
        </w:rPr>
        <w:t>-</w:t>
      </w:r>
      <w:r w:rsidRPr="0050530E">
        <w:rPr>
          <w:rFonts w:ascii="Times New Roman" w:eastAsia="黑体" w:hAnsi="Times New Roman"/>
          <w:kern w:val="0"/>
          <w:sz w:val="28"/>
          <w:szCs w:val="20"/>
        </w:rPr>
        <w:t xml:space="preserve"> </w:t>
      </w:r>
      <w:r>
        <w:rPr>
          <w:rFonts w:ascii="黑体" w:eastAsia="黑体" w:hAnsi="Times New Roman" w:hint="eastAsia"/>
          <w:kern w:val="0"/>
          <w:sz w:val="28"/>
          <w:szCs w:val="20"/>
        </w:rPr>
        <w:t>XX</w:t>
      </w:r>
      <w:r w:rsidRPr="0050530E">
        <w:rPr>
          <w:rFonts w:ascii="Times New Roman" w:eastAsia="黑体" w:hAnsi="Times New Roman" w:hint="eastAsia"/>
          <w:kern w:val="0"/>
          <w:sz w:val="28"/>
          <w:szCs w:val="20"/>
        </w:rPr>
        <w:t>实施</w:t>
      </w:r>
    </w:p>
    <w:p w14:paraId="01DDBED6" w14:textId="77777777" w:rsidR="0050530E" w:rsidRPr="0050530E" w:rsidRDefault="0050530E" w:rsidP="0050530E">
      <w:pPr>
        <w:framePr w:w="7937" w:h="1134" w:hRule="exact" w:hSpace="125" w:vSpace="1134" w:wrap="around" w:hAnchor="page" w:x="2359" w:y="14809" w:anchorLock="1"/>
        <w:widowControl/>
        <w:jc w:val="center"/>
        <w:rPr>
          <w:rFonts w:ascii="宋体" w:hAnsi="Times New Roman"/>
          <w:b/>
          <w:smallCaps/>
          <w:spacing w:val="20"/>
          <w:w w:val="135"/>
          <w:kern w:val="0"/>
          <w:sz w:val="21"/>
          <w:szCs w:val="21"/>
        </w:rPr>
      </w:pPr>
      <w:r w:rsidRPr="0050530E">
        <w:rPr>
          <w:rFonts w:ascii="宋体" w:hAnsi="Times New Roman" w:hint="eastAsia"/>
          <w:b/>
          <w:spacing w:val="20"/>
          <w:w w:val="135"/>
          <w:kern w:val="0"/>
          <w:sz w:val="28"/>
          <w:szCs w:val="20"/>
        </w:rPr>
        <w:t>中国食品药品企业质量</w:t>
      </w:r>
      <w:proofErr w:type="gramStart"/>
      <w:r w:rsidRPr="0050530E">
        <w:rPr>
          <w:rFonts w:ascii="宋体" w:hAnsi="Times New Roman" w:hint="eastAsia"/>
          <w:b/>
          <w:spacing w:val="20"/>
          <w:w w:val="135"/>
          <w:kern w:val="0"/>
          <w:sz w:val="28"/>
          <w:szCs w:val="20"/>
        </w:rPr>
        <w:t>安全促进会</w:t>
      </w:r>
      <w:proofErr w:type="gramEnd"/>
      <w:r w:rsidRPr="0050530E">
        <w:rPr>
          <w:rFonts w:ascii="宋体" w:hAnsi="Times New Roman" w:hint="eastAsia"/>
          <w:b/>
          <w:spacing w:val="20"/>
          <w:w w:val="135"/>
          <w:kern w:val="0"/>
          <w:sz w:val="28"/>
          <w:szCs w:val="20"/>
        </w:rPr>
        <w:t xml:space="preserve">   </w:t>
      </w:r>
      <w:r w:rsidRPr="0050530E">
        <w:rPr>
          <w:rFonts w:ascii="黑体" w:eastAsia="黑体" w:hAnsi="黑体" w:cs="黑体" w:hint="eastAsia"/>
          <w:bCs/>
          <w:spacing w:val="20"/>
          <w:w w:val="135"/>
          <w:kern w:val="0"/>
          <w:sz w:val="28"/>
          <w:szCs w:val="28"/>
        </w:rPr>
        <w:t>发布</w:t>
      </w:r>
    </w:p>
    <w:p w14:paraId="0D44BD0A" w14:textId="36D437C7" w:rsidR="0050530E" w:rsidRPr="0050530E" w:rsidRDefault="0050530E" w:rsidP="0050530E">
      <w:pPr>
        <w:widowControl/>
        <w:tabs>
          <w:tab w:val="center" w:pos="4201"/>
          <w:tab w:val="right" w:leader="dot" w:pos="9298"/>
        </w:tabs>
        <w:autoSpaceDE w:val="0"/>
        <w:autoSpaceDN w:val="0"/>
        <w:rPr>
          <w:rFonts w:ascii="宋体" w:hAnsi="Times New Roman"/>
          <w:smallCaps/>
          <w:kern w:val="0"/>
          <w:sz w:val="21"/>
          <w:szCs w:val="20"/>
        </w:rPr>
        <w:sectPr w:rsidR="0050530E" w:rsidRPr="0050530E" w:rsidSect="0050530E">
          <w:headerReference w:type="even" r:id="rId8"/>
          <w:headerReference w:type="default" r:id="rId9"/>
          <w:footerReference w:type="even" r:id="rId10"/>
          <w:footerReference w:type="default" r:id="rId11"/>
          <w:headerReference w:type="first" r:id="rId12"/>
          <w:footerReference w:type="first" r:id="rId13"/>
          <w:pgSz w:w="11906" w:h="16838"/>
          <w:pgMar w:top="567" w:right="1134" w:bottom="1134" w:left="1417" w:header="0" w:footer="0" w:gutter="0"/>
          <w:pgNumType w:start="1"/>
          <w:cols w:space="720"/>
          <w:docGrid w:type="lines" w:linePitch="312"/>
        </w:sectPr>
      </w:pPr>
      <w:r w:rsidRPr="0050530E">
        <w:rPr>
          <w:rFonts w:ascii="宋体" w:hAnsi="Times New Roman"/>
          <w:smallCaps/>
          <w:noProof/>
          <w:kern w:val="0"/>
          <w:sz w:val="21"/>
          <w:szCs w:val="20"/>
        </w:rPr>
        <mc:AlternateContent>
          <mc:Choice Requires="wps">
            <w:drawing>
              <wp:anchor distT="0" distB="0" distL="114300" distR="114300" simplePos="0" relativeHeight="251660288" behindDoc="0" locked="0" layoutInCell="1" allowOverlap="1" wp14:anchorId="3B46BA02" wp14:editId="0D69D244">
                <wp:simplePos x="0" y="0"/>
                <wp:positionH relativeFrom="margin">
                  <wp:align>left</wp:align>
                </wp:positionH>
                <wp:positionV relativeFrom="paragraph">
                  <wp:posOffset>2312775</wp:posOffset>
                </wp:positionV>
                <wp:extent cx="6120130" cy="0"/>
                <wp:effectExtent l="0" t="0" r="0" b="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2BEEAC9" id="直接连接符 11" o:spid="_x0000_s1026" style="position:absolute;z-index:251660288;visibility:visible;mso-wrap-style:square;mso-wrap-distance-left:9pt;mso-wrap-distance-top:0;mso-wrap-distance-right:9pt;mso-wrap-distance-bottom:0;mso-position-horizontal:left;mso-position-horizontal-relative:margin;mso-position-vertical:absolute;mso-position-vertical-relative:text" from="0,182.1pt" to="481.9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dgqgEAADsDAAAOAAAAZHJzL2Uyb0RvYy54bWysUsFu2zAMvQ/YPwi6L05StNiMOD2k6C7d&#10;FqDdBzCSbAuTRIFU4uTvJ6lJWmy3YT4Ipkg+vffI1f3RO3EwxBZDJxezuRQmKNQ2DJ38+fL46bMU&#10;nCBocBhMJ0+G5f3644fVFFuzxBGdNiQySOB2ip0cU4pt07AajQeeYTQhJ3skDymHNDSaYMro3jXL&#10;+fyumZB0JFSGOd8+vCbluuL3vVHpR9+zScJ1MnNL9aR67srZrFfQDgRxtOpMA/6BhQcb8qNXqAdI&#10;IPZk/4LyVhEy9mmm0DfY91aZqiGrWcz/UPM8QjRVSzaH49Um/n+w6vthE7ZUqKtjeI5PqH6xCLgZ&#10;IQymEng5xTy4RbGqmSK315YScNyS2E3fUOca2CesLhx78gUy6xPHavbparY5JqHy5d0iK77JM1GX&#10;XAPtpTESp68GvSg/nXQ2FB+ghcMTp0IE2ktJuQ74aJ2rs3RBTJ38cru8zcg+6k5yGGovo7O61JUO&#10;pmG3cSQOUBajflVgzrwvI9wH/fqeC2f9RXLZL253qE9buviSJ1SJnbeprMD7uHa/7fz6NwAAAP//&#10;AwBQSwMEFAAGAAgAAAAhALpJzNbbAAAACAEAAA8AAABkcnMvZG93bnJldi54bWxMj8FOwzAMhu9I&#10;vENkJC4TS2lRBaXphIDeuDBAXL3GtBWN0zXZVnh6jDQJjvZv/f6+cjW7Qe1pCr1nA5fLBBRx423P&#10;rYHXl/riGlSIyBYHz2TgiwKsqtOTEgvrD/xM+3VslZRwKNBAF+NYaB2ajhyGpR+JJfvwk8Mo49Rq&#10;O+FByt2g0yTJtcOe5UOHI9131Hyud85AqN9oW38vmkXynrWe0u3D0yMac342392CijTHv2P4xRd0&#10;qIRp43dsgxoMiEg0kOVXKSiJb/JMTDbHja5K/V+g+gEAAP//AwBQSwECLQAUAAYACAAAACEAtoM4&#10;kv4AAADhAQAAEwAAAAAAAAAAAAAAAAAAAAAAW0NvbnRlbnRfVHlwZXNdLnhtbFBLAQItABQABgAI&#10;AAAAIQA4/SH/1gAAAJQBAAALAAAAAAAAAAAAAAAAAC8BAABfcmVscy8ucmVsc1BLAQItABQABgAI&#10;AAAAIQDFBIdgqgEAADsDAAAOAAAAAAAAAAAAAAAAAC4CAABkcnMvZTJvRG9jLnhtbFBLAQItABQA&#10;BgAIAAAAIQC6SczW2wAAAAgBAAAPAAAAAAAAAAAAAAAAAAQEAABkcnMvZG93bnJldi54bWxQSwUG&#10;AAAAAAQABADzAAAADAUAAAAA&#10;">
                <w10:wrap anchorx="margin"/>
              </v:line>
            </w:pict>
          </mc:Fallback>
        </mc:AlternateConten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208483223" w:displacedByCustomXml="next"/>
    <w:bookmarkStart w:id="12" w:name="_Toc208487099" w:displacedByCustomXml="next"/>
    <w:sdt>
      <w:sdtPr>
        <w:rPr>
          <w:rFonts w:ascii="Calibri" w:eastAsia="宋体" w:hAnsi="Calibri"/>
          <w:kern w:val="2"/>
          <w:sz w:val="36"/>
          <w:szCs w:val="36"/>
          <w:lang w:val="zh-CN"/>
        </w:rPr>
        <w:id w:val="-1862966935"/>
        <w:docPartObj>
          <w:docPartGallery w:val="Table of Contents"/>
          <w:docPartUnique/>
        </w:docPartObj>
      </w:sdtPr>
      <w:sdtEndPr>
        <w:rPr>
          <w:rFonts w:ascii="宋体" w:hAnsi="宋体"/>
          <w:b/>
          <w:bCs/>
          <w:sz w:val="21"/>
          <w:szCs w:val="21"/>
        </w:rPr>
      </w:sdtEndPr>
      <w:sdtContent>
        <w:p w14:paraId="533F4668" w14:textId="309F7A4C" w:rsidR="004B1820" w:rsidRPr="004B1820" w:rsidRDefault="00ED1F21" w:rsidP="004B1820">
          <w:pPr>
            <w:pStyle w:val="a"/>
            <w:spacing w:before="900" w:after="360"/>
            <w:rPr>
              <w:noProof/>
            </w:rPr>
          </w:pPr>
          <w:r>
            <w:rPr>
              <w:rFonts w:hint="eastAsia"/>
              <w:lang w:val="zh-CN"/>
            </w:rPr>
            <w:t xml:space="preserve">目 </w:t>
          </w:r>
          <w:r>
            <w:rPr>
              <w:lang w:val="zh-CN"/>
            </w:rPr>
            <w:t xml:space="preserve">   </w:t>
          </w:r>
          <w:r>
            <w:rPr>
              <w:rFonts w:hint="eastAsia"/>
              <w:lang w:val="zh-CN"/>
            </w:rPr>
            <w:t>次</w:t>
          </w:r>
          <w:bookmarkEnd w:id="12"/>
          <w:bookmarkEnd w:id="11"/>
          <w:r w:rsidRPr="004B1820">
            <w:rPr>
              <w:rFonts w:ascii="宋体" w:eastAsia="宋体" w:hAnsi="宋体"/>
              <w:noProof/>
              <w:sz w:val="21"/>
              <w:szCs w:val="21"/>
            </w:rPr>
            <w:fldChar w:fldCharType="begin"/>
          </w:r>
          <w:r w:rsidRPr="004B1820">
            <w:rPr>
              <w:rFonts w:ascii="宋体" w:eastAsia="宋体" w:hAnsi="宋体"/>
              <w:sz w:val="21"/>
              <w:szCs w:val="21"/>
            </w:rPr>
            <w:instrText xml:space="preserve"> TOC \o "1-3" \h \z \u </w:instrText>
          </w:r>
          <w:r w:rsidRPr="004B1820">
            <w:rPr>
              <w:rFonts w:ascii="宋体" w:eastAsia="宋体" w:hAnsi="宋体"/>
              <w:noProof/>
              <w:sz w:val="21"/>
              <w:szCs w:val="21"/>
            </w:rPr>
            <w:fldChar w:fldCharType="separate"/>
          </w:r>
        </w:p>
        <w:p w14:paraId="3D7CD827" w14:textId="5BCDCF57" w:rsidR="004B1820" w:rsidRPr="004B1820" w:rsidRDefault="00612836" w:rsidP="001C02AD">
          <w:pPr>
            <w:pStyle w:val="12"/>
            <w:rPr>
              <w:rStyle w:val="afff8"/>
            </w:rPr>
          </w:pPr>
          <w:hyperlink w:anchor="_Toc208487100" w:history="1">
            <w:r w:rsidR="004B1820" w:rsidRPr="004B1820">
              <w:rPr>
                <w:rStyle w:val="afff8"/>
              </w:rPr>
              <w:t>前言</w:t>
            </w:r>
            <w:r w:rsidR="004B1820" w:rsidRPr="004B1820">
              <w:rPr>
                <w:rStyle w:val="afff8"/>
                <w:webHidden/>
              </w:rPr>
              <w:tab/>
            </w:r>
            <w:r w:rsidR="004B1820" w:rsidRPr="004B1820">
              <w:rPr>
                <w:rStyle w:val="afff8"/>
                <w:webHidden/>
              </w:rPr>
              <w:fldChar w:fldCharType="begin"/>
            </w:r>
            <w:r w:rsidR="004B1820" w:rsidRPr="004B1820">
              <w:rPr>
                <w:rStyle w:val="afff8"/>
                <w:webHidden/>
              </w:rPr>
              <w:instrText xml:space="preserve"> PAGEREF _Toc208487100 \h </w:instrText>
            </w:r>
            <w:r w:rsidR="004B1820" w:rsidRPr="004B1820">
              <w:rPr>
                <w:rStyle w:val="afff8"/>
                <w:webHidden/>
              </w:rPr>
            </w:r>
            <w:r w:rsidR="004B1820" w:rsidRPr="004B1820">
              <w:rPr>
                <w:rStyle w:val="afff8"/>
                <w:webHidden/>
              </w:rPr>
              <w:fldChar w:fldCharType="separate"/>
            </w:r>
            <w:r w:rsidR="001C02AD">
              <w:rPr>
                <w:rStyle w:val="afff8"/>
                <w:webHidden/>
              </w:rPr>
              <w:t>I</w:t>
            </w:r>
            <w:r w:rsidR="004B1820" w:rsidRPr="004B1820">
              <w:rPr>
                <w:rStyle w:val="afff8"/>
                <w:webHidden/>
              </w:rPr>
              <w:fldChar w:fldCharType="end"/>
            </w:r>
          </w:hyperlink>
        </w:p>
        <w:p w14:paraId="797D17DF" w14:textId="42BEA3CB" w:rsidR="004B1820" w:rsidRPr="004B1820" w:rsidRDefault="00612836" w:rsidP="001C02AD">
          <w:pPr>
            <w:pStyle w:val="12"/>
            <w:rPr>
              <w:rFonts w:cstheme="minorBidi"/>
            </w:rPr>
          </w:pPr>
          <w:hyperlink w:anchor="_Toc208487101" w:history="1">
            <w:r w:rsidR="004B1820" w:rsidRPr="004B1820">
              <w:rPr>
                <w:rStyle w:val="afff8"/>
              </w:rPr>
              <w:t>1 范围</w:t>
            </w:r>
            <w:r w:rsidR="004B1820" w:rsidRPr="004B1820">
              <w:rPr>
                <w:webHidden/>
              </w:rPr>
              <w:tab/>
            </w:r>
            <w:r w:rsidR="004B1820" w:rsidRPr="004B1820">
              <w:rPr>
                <w:webHidden/>
              </w:rPr>
              <w:fldChar w:fldCharType="begin"/>
            </w:r>
            <w:r w:rsidR="004B1820" w:rsidRPr="004B1820">
              <w:rPr>
                <w:webHidden/>
              </w:rPr>
              <w:instrText xml:space="preserve"> PAGEREF _Toc208487101 \h </w:instrText>
            </w:r>
            <w:r w:rsidR="004B1820" w:rsidRPr="004B1820">
              <w:rPr>
                <w:webHidden/>
              </w:rPr>
            </w:r>
            <w:r w:rsidR="004B1820" w:rsidRPr="004B1820">
              <w:rPr>
                <w:webHidden/>
              </w:rPr>
              <w:fldChar w:fldCharType="separate"/>
            </w:r>
            <w:r w:rsidR="001C02AD">
              <w:rPr>
                <w:webHidden/>
              </w:rPr>
              <w:t>1</w:t>
            </w:r>
            <w:r w:rsidR="004B1820" w:rsidRPr="004B1820">
              <w:rPr>
                <w:webHidden/>
              </w:rPr>
              <w:fldChar w:fldCharType="end"/>
            </w:r>
          </w:hyperlink>
        </w:p>
        <w:p w14:paraId="4F09BFB2" w14:textId="289FE952" w:rsidR="004B1820" w:rsidRPr="004B1820" w:rsidRDefault="00612836" w:rsidP="001C02AD">
          <w:pPr>
            <w:pStyle w:val="12"/>
            <w:rPr>
              <w:rFonts w:cstheme="minorBidi"/>
            </w:rPr>
          </w:pPr>
          <w:hyperlink w:anchor="_Toc208487102" w:history="1">
            <w:r w:rsidR="004B1820" w:rsidRPr="004B1820">
              <w:rPr>
                <w:rStyle w:val="afff8"/>
              </w:rPr>
              <w:t>2 规范性引用文件</w:t>
            </w:r>
            <w:r w:rsidR="004B1820" w:rsidRPr="004B1820">
              <w:rPr>
                <w:webHidden/>
              </w:rPr>
              <w:tab/>
            </w:r>
            <w:r w:rsidR="004B1820" w:rsidRPr="004B1820">
              <w:rPr>
                <w:webHidden/>
              </w:rPr>
              <w:fldChar w:fldCharType="begin"/>
            </w:r>
            <w:r w:rsidR="004B1820" w:rsidRPr="004B1820">
              <w:rPr>
                <w:webHidden/>
              </w:rPr>
              <w:instrText xml:space="preserve"> PAGEREF _Toc208487102 \h </w:instrText>
            </w:r>
            <w:r w:rsidR="004B1820" w:rsidRPr="004B1820">
              <w:rPr>
                <w:webHidden/>
              </w:rPr>
            </w:r>
            <w:r w:rsidR="004B1820" w:rsidRPr="004B1820">
              <w:rPr>
                <w:webHidden/>
              </w:rPr>
              <w:fldChar w:fldCharType="separate"/>
            </w:r>
            <w:r w:rsidR="001C02AD">
              <w:rPr>
                <w:webHidden/>
              </w:rPr>
              <w:t>1</w:t>
            </w:r>
            <w:r w:rsidR="004B1820" w:rsidRPr="004B1820">
              <w:rPr>
                <w:webHidden/>
              </w:rPr>
              <w:fldChar w:fldCharType="end"/>
            </w:r>
          </w:hyperlink>
        </w:p>
        <w:p w14:paraId="440BE8E7" w14:textId="77345AE0" w:rsidR="004B1820" w:rsidRPr="004B1820" w:rsidRDefault="00612836" w:rsidP="001C02AD">
          <w:pPr>
            <w:pStyle w:val="12"/>
            <w:rPr>
              <w:rFonts w:cstheme="minorBidi"/>
            </w:rPr>
          </w:pPr>
          <w:hyperlink w:anchor="_Toc208487103" w:history="1">
            <w:r w:rsidR="004B1820" w:rsidRPr="004B1820">
              <w:rPr>
                <w:rStyle w:val="afff8"/>
              </w:rPr>
              <w:t>3 术语和定义</w:t>
            </w:r>
            <w:r w:rsidR="004B1820" w:rsidRPr="004B1820">
              <w:rPr>
                <w:webHidden/>
              </w:rPr>
              <w:tab/>
            </w:r>
            <w:r w:rsidR="004B1820" w:rsidRPr="004B1820">
              <w:rPr>
                <w:webHidden/>
              </w:rPr>
              <w:fldChar w:fldCharType="begin"/>
            </w:r>
            <w:r w:rsidR="004B1820" w:rsidRPr="004B1820">
              <w:rPr>
                <w:webHidden/>
              </w:rPr>
              <w:instrText xml:space="preserve"> PAGEREF _Toc208487103 \h </w:instrText>
            </w:r>
            <w:r w:rsidR="004B1820" w:rsidRPr="004B1820">
              <w:rPr>
                <w:webHidden/>
              </w:rPr>
            </w:r>
            <w:r w:rsidR="004B1820" w:rsidRPr="004B1820">
              <w:rPr>
                <w:webHidden/>
              </w:rPr>
              <w:fldChar w:fldCharType="separate"/>
            </w:r>
            <w:r w:rsidR="001C02AD">
              <w:rPr>
                <w:webHidden/>
              </w:rPr>
              <w:t>1</w:t>
            </w:r>
            <w:r w:rsidR="004B1820" w:rsidRPr="004B1820">
              <w:rPr>
                <w:webHidden/>
              </w:rPr>
              <w:fldChar w:fldCharType="end"/>
            </w:r>
          </w:hyperlink>
        </w:p>
        <w:p w14:paraId="17F2CC93" w14:textId="4A14AB72" w:rsidR="004B1820" w:rsidRPr="004B1820" w:rsidRDefault="00612836" w:rsidP="001C02AD">
          <w:pPr>
            <w:pStyle w:val="12"/>
            <w:rPr>
              <w:rFonts w:cstheme="minorBidi"/>
            </w:rPr>
          </w:pPr>
          <w:hyperlink w:anchor="_Toc208487104" w:history="1">
            <w:r w:rsidR="004B1820" w:rsidRPr="004B1820">
              <w:rPr>
                <w:rStyle w:val="afff8"/>
              </w:rPr>
              <w:t>4 总体原则</w:t>
            </w:r>
            <w:r w:rsidR="004B1820" w:rsidRPr="004B1820">
              <w:rPr>
                <w:webHidden/>
              </w:rPr>
              <w:tab/>
            </w:r>
            <w:r w:rsidR="004B1820" w:rsidRPr="004B1820">
              <w:rPr>
                <w:webHidden/>
              </w:rPr>
              <w:fldChar w:fldCharType="begin"/>
            </w:r>
            <w:r w:rsidR="004B1820" w:rsidRPr="004B1820">
              <w:rPr>
                <w:webHidden/>
              </w:rPr>
              <w:instrText xml:space="preserve"> PAGEREF _Toc208487104 \h </w:instrText>
            </w:r>
            <w:r w:rsidR="004B1820" w:rsidRPr="004B1820">
              <w:rPr>
                <w:webHidden/>
              </w:rPr>
            </w:r>
            <w:r w:rsidR="004B1820" w:rsidRPr="004B1820">
              <w:rPr>
                <w:webHidden/>
              </w:rPr>
              <w:fldChar w:fldCharType="separate"/>
            </w:r>
            <w:r w:rsidR="001C02AD">
              <w:rPr>
                <w:webHidden/>
              </w:rPr>
              <w:t>1</w:t>
            </w:r>
            <w:r w:rsidR="004B1820" w:rsidRPr="004B1820">
              <w:rPr>
                <w:webHidden/>
              </w:rPr>
              <w:fldChar w:fldCharType="end"/>
            </w:r>
          </w:hyperlink>
        </w:p>
        <w:p w14:paraId="2CFBBC9B" w14:textId="6717CEB9" w:rsidR="004B1820" w:rsidRPr="004B1820" w:rsidRDefault="00612836" w:rsidP="001C02AD">
          <w:pPr>
            <w:pStyle w:val="12"/>
            <w:rPr>
              <w:rFonts w:cstheme="minorBidi"/>
            </w:rPr>
          </w:pPr>
          <w:hyperlink w:anchor="_Toc208487110" w:history="1">
            <w:r w:rsidR="004B1820" w:rsidRPr="004B1820">
              <w:rPr>
                <w:rStyle w:val="afff8"/>
              </w:rPr>
              <w:t>5 干预措施</w:t>
            </w:r>
            <w:r w:rsidR="004B1820" w:rsidRPr="004B1820">
              <w:rPr>
                <w:rStyle w:val="afff8"/>
                <w:rFonts w:ascii="MS Gothic" w:eastAsia="MS Gothic" w:hAnsi="MS Gothic" w:cs="MS Gothic" w:hint="eastAsia"/>
              </w:rPr>
              <w:t>​</w:t>
            </w:r>
            <w:r w:rsidR="004B1820" w:rsidRPr="004B1820">
              <w:rPr>
                <w:webHidden/>
              </w:rPr>
              <w:tab/>
            </w:r>
            <w:r w:rsidR="004B1820" w:rsidRPr="004B1820">
              <w:rPr>
                <w:webHidden/>
              </w:rPr>
              <w:fldChar w:fldCharType="begin"/>
            </w:r>
            <w:r w:rsidR="004B1820" w:rsidRPr="004B1820">
              <w:rPr>
                <w:webHidden/>
              </w:rPr>
              <w:instrText xml:space="preserve"> PAGEREF _Toc208487110 \h </w:instrText>
            </w:r>
            <w:r w:rsidR="004B1820" w:rsidRPr="004B1820">
              <w:rPr>
                <w:webHidden/>
              </w:rPr>
            </w:r>
            <w:r w:rsidR="004B1820" w:rsidRPr="004B1820">
              <w:rPr>
                <w:webHidden/>
              </w:rPr>
              <w:fldChar w:fldCharType="separate"/>
            </w:r>
            <w:r w:rsidR="001C02AD">
              <w:rPr>
                <w:webHidden/>
              </w:rPr>
              <w:t>1</w:t>
            </w:r>
            <w:r w:rsidR="004B1820" w:rsidRPr="004B1820">
              <w:rPr>
                <w:webHidden/>
              </w:rPr>
              <w:fldChar w:fldCharType="end"/>
            </w:r>
          </w:hyperlink>
        </w:p>
        <w:p w14:paraId="0409CE74" w14:textId="3A2A6C12" w:rsidR="004B1820" w:rsidRPr="004B1820" w:rsidRDefault="00612836" w:rsidP="001C02AD">
          <w:pPr>
            <w:pStyle w:val="12"/>
            <w:rPr>
              <w:rFonts w:cstheme="minorBidi"/>
            </w:rPr>
          </w:pPr>
          <w:hyperlink w:anchor="_Toc208487129" w:history="1">
            <w:r w:rsidR="004B1820" w:rsidRPr="004B1820">
              <w:rPr>
                <w:rStyle w:val="afff8"/>
              </w:rPr>
              <w:t>6 实施流程</w:t>
            </w:r>
            <w:r w:rsidR="004B1820" w:rsidRPr="004B1820">
              <w:rPr>
                <w:rStyle w:val="afff8"/>
                <w:rFonts w:ascii="MS Gothic" w:eastAsia="MS Gothic" w:hAnsi="MS Gothic" w:cs="MS Gothic" w:hint="eastAsia"/>
              </w:rPr>
              <w:t>​</w:t>
            </w:r>
            <w:r w:rsidR="004B1820" w:rsidRPr="004B1820">
              <w:rPr>
                <w:webHidden/>
              </w:rPr>
              <w:tab/>
            </w:r>
            <w:r w:rsidR="004B1820" w:rsidRPr="004B1820">
              <w:rPr>
                <w:webHidden/>
              </w:rPr>
              <w:fldChar w:fldCharType="begin"/>
            </w:r>
            <w:r w:rsidR="004B1820" w:rsidRPr="004B1820">
              <w:rPr>
                <w:webHidden/>
              </w:rPr>
              <w:instrText xml:space="preserve"> PAGEREF _Toc208487129 \h </w:instrText>
            </w:r>
            <w:r w:rsidR="004B1820" w:rsidRPr="004B1820">
              <w:rPr>
                <w:webHidden/>
              </w:rPr>
            </w:r>
            <w:r w:rsidR="004B1820" w:rsidRPr="004B1820">
              <w:rPr>
                <w:webHidden/>
              </w:rPr>
              <w:fldChar w:fldCharType="separate"/>
            </w:r>
            <w:r w:rsidR="001C02AD">
              <w:rPr>
                <w:webHidden/>
              </w:rPr>
              <w:t>4</w:t>
            </w:r>
            <w:r w:rsidR="004B1820" w:rsidRPr="004B1820">
              <w:rPr>
                <w:webHidden/>
              </w:rPr>
              <w:fldChar w:fldCharType="end"/>
            </w:r>
          </w:hyperlink>
        </w:p>
        <w:p w14:paraId="29617945" w14:textId="4BBFCF03" w:rsidR="004B1820" w:rsidRPr="004B1820" w:rsidRDefault="00612836" w:rsidP="001C02AD">
          <w:pPr>
            <w:pStyle w:val="12"/>
            <w:rPr>
              <w:rFonts w:cstheme="minorBidi"/>
            </w:rPr>
          </w:pPr>
          <w:hyperlink w:anchor="_Toc208487134" w:history="1">
            <w:r w:rsidR="004B1820" w:rsidRPr="004B1820">
              <w:rPr>
                <w:rStyle w:val="afff8"/>
              </w:rPr>
              <w:t>7 质量控制</w:t>
            </w:r>
            <w:r w:rsidR="004B1820" w:rsidRPr="004B1820">
              <w:rPr>
                <w:rStyle w:val="afff8"/>
                <w:rFonts w:ascii="MS Gothic" w:eastAsia="MS Gothic" w:hAnsi="MS Gothic" w:cs="MS Gothic" w:hint="eastAsia"/>
              </w:rPr>
              <w:t>​</w:t>
            </w:r>
            <w:r w:rsidR="004B1820" w:rsidRPr="004B1820">
              <w:rPr>
                <w:webHidden/>
              </w:rPr>
              <w:tab/>
            </w:r>
            <w:r w:rsidR="004B1820" w:rsidRPr="004B1820">
              <w:rPr>
                <w:webHidden/>
              </w:rPr>
              <w:fldChar w:fldCharType="begin"/>
            </w:r>
            <w:r w:rsidR="004B1820" w:rsidRPr="004B1820">
              <w:rPr>
                <w:webHidden/>
              </w:rPr>
              <w:instrText xml:space="preserve"> PAGEREF _Toc208487134 \h </w:instrText>
            </w:r>
            <w:r w:rsidR="004B1820" w:rsidRPr="004B1820">
              <w:rPr>
                <w:webHidden/>
              </w:rPr>
            </w:r>
            <w:r w:rsidR="004B1820" w:rsidRPr="004B1820">
              <w:rPr>
                <w:webHidden/>
              </w:rPr>
              <w:fldChar w:fldCharType="separate"/>
            </w:r>
            <w:r w:rsidR="001C02AD">
              <w:rPr>
                <w:webHidden/>
              </w:rPr>
              <w:t>4</w:t>
            </w:r>
            <w:r w:rsidR="004B1820" w:rsidRPr="004B1820">
              <w:rPr>
                <w:webHidden/>
              </w:rPr>
              <w:fldChar w:fldCharType="end"/>
            </w:r>
          </w:hyperlink>
        </w:p>
        <w:p w14:paraId="6F11832F" w14:textId="6C891859" w:rsidR="004B1820" w:rsidRPr="004B1820" w:rsidRDefault="00612836" w:rsidP="001C02AD">
          <w:pPr>
            <w:pStyle w:val="12"/>
            <w:rPr>
              <w:rFonts w:cstheme="minorBidi"/>
            </w:rPr>
          </w:pPr>
          <w:hyperlink w:anchor="_Toc208487139" w:history="1">
            <w:bookmarkStart w:id="13" w:name="_GoBack"/>
            <w:r w:rsidR="004B1820" w:rsidRPr="00D51EAC">
              <w:rPr>
                <w:rStyle w:val="afff8"/>
              </w:rPr>
              <w:t>参考文</w:t>
            </w:r>
            <w:r w:rsidR="004B1820" w:rsidRPr="004B1820">
              <w:rPr>
                <w:rStyle w:val="afff8"/>
              </w:rPr>
              <w:t>献</w:t>
            </w:r>
            <w:bookmarkEnd w:id="13"/>
            <w:r w:rsidR="004B1820" w:rsidRPr="004B1820">
              <w:rPr>
                <w:webHidden/>
              </w:rPr>
              <w:tab/>
            </w:r>
            <w:r w:rsidR="004B1820" w:rsidRPr="004B1820">
              <w:rPr>
                <w:webHidden/>
              </w:rPr>
              <w:fldChar w:fldCharType="begin"/>
            </w:r>
            <w:r w:rsidR="004B1820" w:rsidRPr="004B1820">
              <w:rPr>
                <w:webHidden/>
              </w:rPr>
              <w:instrText xml:space="preserve"> PAGEREF _Toc208487139 \h </w:instrText>
            </w:r>
            <w:r w:rsidR="004B1820" w:rsidRPr="004B1820">
              <w:rPr>
                <w:webHidden/>
              </w:rPr>
            </w:r>
            <w:r w:rsidR="004B1820" w:rsidRPr="004B1820">
              <w:rPr>
                <w:webHidden/>
              </w:rPr>
              <w:fldChar w:fldCharType="separate"/>
            </w:r>
            <w:r w:rsidR="001C02AD">
              <w:rPr>
                <w:webHidden/>
              </w:rPr>
              <w:t>6</w:t>
            </w:r>
            <w:r w:rsidR="004B1820" w:rsidRPr="004B1820">
              <w:rPr>
                <w:webHidden/>
              </w:rPr>
              <w:fldChar w:fldCharType="end"/>
            </w:r>
          </w:hyperlink>
        </w:p>
        <w:p w14:paraId="3F81B9BD" w14:textId="3051F561" w:rsidR="00ED1F21" w:rsidRPr="004B1820" w:rsidRDefault="00ED1F21" w:rsidP="00897E04">
          <w:pPr>
            <w:spacing w:line="400" w:lineRule="exact"/>
            <w:rPr>
              <w:rFonts w:ascii="宋体" w:hAnsi="宋体"/>
              <w:sz w:val="21"/>
              <w:szCs w:val="21"/>
            </w:rPr>
          </w:pPr>
          <w:r w:rsidRPr="004B1820">
            <w:rPr>
              <w:rFonts w:ascii="宋体" w:hAnsi="宋体"/>
              <w:b/>
              <w:bCs/>
              <w:sz w:val="21"/>
              <w:szCs w:val="21"/>
              <w:lang w:val="zh-CN"/>
            </w:rPr>
            <w:fldChar w:fldCharType="end"/>
          </w:r>
        </w:p>
      </w:sdtContent>
    </w:sdt>
    <w:p w14:paraId="35F2DECB" w14:textId="00BA9E04" w:rsidR="00ED1F21" w:rsidRPr="004B1820" w:rsidRDefault="00ED1F21" w:rsidP="004F1CC1">
      <w:pPr>
        <w:pStyle w:val="afff2"/>
        <w:ind w:firstLine="420"/>
        <w:rPr>
          <w:rFonts w:hAnsi="宋体"/>
          <w:szCs w:val="21"/>
        </w:rPr>
        <w:sectPr w:rsidR="00ED1F21" w:rsidRPr="004B1820" w:rsidSect="007D33AF">
          <w:pgSz w:w="11906" w:h="16838" w:code="9"/>
          <w:pgMar w:top="1928" w:right="1134" w:bottom="1134" w:left="1134" w:header="1418" w:footer="1134" w:gutter="284"/>
          <w:pgNumType w:fmt="upperRoman" w:start="1"/>
          <w:cols w:space="425"/>
          <w:formProt w:val="0"/>
          <w:titlePg/>
          <w:docGrid w:linePitch="490"/>
        </w:sectPr>
      </w:pPr>
    </w:p>
    <w:p w14:paraId="411C4E30" w14:textId="77777777" w:rsidR="00ED1F21" w:rsidRDefault="00ED1F21" w:rsidP="00ED1F21">
      <w:pPr>
        <w:pStyle w:val="a"/>
        <w:spacing w:before="900" w:after="360"/>
      </w:pPr>
      <w:bookmarkStart w:id="14" w:name="_Toc208487100"/>
      <w:bookmarkStart w:id="15" w:name="OLE_LINK11"/>
      <w:bookmarkStart w:id="16" w:name="OLE_LINK12"/>
      <w:r w:rsidRPr="00300578">
        <w:rPr>
          <w:spacing w:val="320"/>
        </w:rPr>
        <w:lastRenderedPageBreak/>
        <w:t>前</w:t>
      </w:r>
      <w:r>
        <w:t>言</w:t>
      </w:r>
      <w:bookmarkEnd w:id="14"/>
    </w:p>
    <w:bookmarkEnd w:id="15"/>
    <w:bookmarkEnd w:id="16"/>
    <w:p w14:paraId="75F05DAD" w14:textId="77777777" w:rsidR="00ED1F21" w:rsidRDefault="00ED1F21" w:rsidP="00ED1F21">
      <w:pPr>
        <w:pStyle w:val="afff2"/>
        <w:ind w:firstLine="420"/>
      </w:pPr>
      <w:r>
        <w:rPr>
          <w:rFonts w:hint="eastAsia"/>
        </w:rPr>
        <w:t>本文件按照GB/T 1.1—2020《标准化工作导则  第1部分：标准化文件的结构和起草规则》的规定起草。</w:t>
      </w:r>
    </w:p>
    <w:p w14:paraId="2146B8AD" w14:textId="77777777" w:rsidR="00ED1F21" w:rsidRPr="00A00A52" w:rsidRDefault="00ED1F21" w:rsidP="00ED1F21">
      <w:pPr>
        <w:pStyle w:val="afff2"/>
        <w:ind w:firstLine="420"/>
      </w:pPr>
      <w:r w:rsidRPr="000424D4">
        <w:rPr>
          <w:rFonts w:hint="eastAsia"/>
        </w:rPr>
        <w:t>请注意本文件的某些内容可能涉及专利。本文件的发布机构不承担识别专利的责任</w:t>
      </w:r>
      <w:r>
        <w:rPr>
          <w:rFonts w:hint="eastAsia"/>
        </w:rPr>
        <w:t>。</w:t>
      </w:r>
    </w:p>
    <w:p w14:paraId="31277E05" w14:textId="77777777" w:rsidR="00ED1F21" w:rsidRDefault="00ED1F21" w:rsidP="00ED1F21">
      <w:pPr>
        <w:pStyle w:val="afff2"/>
        <w:ind w:firstLine="420"/>
      </w:pPr>
      <w:r>
        <w:rPr>
          <w:rFonts w:hint="eastAsia"/>
        </w:rPr>
        <w:t>本文件由××××提出。</w:t>
      </w:r>
    </w:p>
    <w:p w14:paraId="531A4FFF" w14:textId="77777777" w:rsidR="00ED1F21" w:rsidRDefault="00ED1F21" w:rsidP="00ED1F21">
      <w:pPr>
        <w:pStyle w:val="afff2"/>
        <w:ind w:firstLine="420"/>
      </w:pPr>
      <w:r>
        <w:rPr>
          <w:rFonts w:hint="eastAsia"/>
        </w:rPr>
        <w:t>本文件由××××归口。</w:t>
      </w:r>
    </w:p>
    <w:p w14:paraId="337BBCBC" w14:textId="77777777" w:rsidR="00ED1F21" w:rsidRDefault="00ED1F21" w:rsidP="00ED1F21">
      <w:pPr>
        <w:pStyle w:val="afff2"/>
        <w:ind w:firstLine="420"/>
      </w:pPr>
      <w:r>
        <w:rPr>
          <w:rFonts w:hint="eastAsia"/>
        </w:rPr>
        <w:t>本文件起草单位：××××。</w:t>
      </w:r>
    </w:p>
    <w:p w14:paraId="0EF8BCB5" w14:textId="77777777" w:rsidR="00550745" w:rsidRDefault="00ED1F21" w:rsidP="00ED1F21">
      <w:pPr>
        <w:pStyle w:val="afff2"/>
        <w:ind w:firstLine="420"/>
        <w:sectPr w:rsidR="00550745" w:rsidSect="00550745">
          <w:pgSz w:w="11906" w:h="16838" w:code="9"/>
          <w:pgMar w:top="1928" w:right="1134" w:bottom="1134" w:left="1134" w:header="1418" w:footer="1134" w:gutter="284"/>
          <w:pgNumType w:fmt="upperRoman" w:start="1"/>
          <w:cols w:space="425"/>
          <w:formProt w:val="0"/>
          <w:docGrid w:linePitch="312"/>
        </w:sectPr>
      </w:pPr>
      <w:r>
        <w:rPr>
          <w:rFonts w:hint="eastAsia"/>
        </w:rPr>
        <w:t>本文件主要起草人：××××。</w:t>
      </w:r>
    </w:p>
    <w:bookmarkStart w:id="17" w:name="NEW_STAND_NAME" w:displacedByCustomXml="next"/>
    <w:bookmarkStart w:id="18" w:name="OLE_LINK3" w:displacedByCustomXml="next"/>
    <w:bookmarkStart w:id="19" w:name="OLE_LINK4" w:displacedByCustomXml="next"/>
    <w:sdt>
      <w:sdtPr>
        <w:rPr>
          <w:rFonts w:hint="eastAsia"/>
        </w:rPr>
        <w:tag w:val="NEW_STAND_NAME"/>
        <w:id w:val="595910757"/>
        <w:placeholder>
          <w:docPart w:val="9E291F1AD2924053A51A0EFBDE26D19F"/>
        </w:placeholder>
      </w:sdtPr>
      <w:sdtEndPr/>
      <w:sdtContent>
        <w:p w14:paraId="6013659E" w14:textId="77777777" w:rsidR="004B1820" w:rsidRDefault="004B1820" w:rsidP="004B1820">
          <w:pPr>
            <w:pStyle w:val="afff4"/>
            <w:spacing w:beforeLines="100" w:before="240" w:afterLines="220" w:after="528"/>
          </w:pPr>
          <w:r>
            <w:rPr>
              <w:rFonts w:hint="eastAsia"/>
            </w:rPr>
            <w:t>代谢性疾病非药物干预指南</w:t>
          </w:r>
        </w:p>
        <w:bookmarkEnd w:id="17" w:displacedByCustomXml="next"/>
      </w:sdtContent>
    </w:sdt>
    <w:p w14:paraId="632E3DDB" w14:textId="77777777" w:rsidR="004B1820" w:rsidRDefault="004B1820" w:rsidP="004B1820">
      <w:pPr>
        <w:pStyle w:val="afff3"/>
        <w:numPr>
          <w:ilvl w:val="1"/>
          <w:numId w:val="12"/>
        </w:numPr>
        <w:spacing w:before="240" w:after="240"/>
      </w:pPr>
      <w:bookmarkStart w:id="20" w:name="_Toc207976228"/>
      <w:bookmarkStart w:id="21" w:name="_Toc204593891"/>
      <w:bookmarkStart w:id="22" w:name="_Toc97192964"/>
      <w:bookmarkStart w:id="23" w:name="_Toc26986771"/>
      <w:bookmarkStart w:id="24" w:name="_Toc26986530"/>
      <w:bookmarkStart w:id="25" w:name="_Toc26718930"/>
      <w:bookmarkStart w:id="26" w:name="_Toc26648465"/>
      <w:bookmarkStart w:id="27" w:name="_Toc24884218"/>
      <w:bookmarkStart w:id="28" w:name="_Toc24884211"/>
      <w:bookmarkStart w:id="29" w:name="_Toc17233333"/>
      <w:bookmarkStart w:id="30" w:name="_Toc17233325"/>
      <w:bookmarkStart w:id="31" w:name="_Toc208487101"/>
      <w:bookmarkEnd w:id="19"/>
      <w:bookmarkEnd w:id="18"/>
      <w:r>
        <w:rPr>
          <w:rFonts w:hint="eastAsia"/>
        </w:rPr>
        <w:t>范围</w:t>
      </w:r>
      <w:bookmarkEnd w:id="20"/>
      <w:bookmarkEnd w:id="21"/>
      <w:bookmarkEnd w:id="22"/>
      <w:bookmarkEnd w:id="23"/>
      <w:bookmarkEnd w:id="24"/>
      <w:bookmarkEnd w:id="25"/>
      <w:bookmarkEnd w:id="26"/>
      <w:bookmarkEnd w:id="27"/>
      <w:bookmarkEnd w:id="28"/>
      <w:bookmarkEnd w:id="29"/>
      <w:bookmarkEnd w:id="30"/>
      <w:bookmarkEnd w:id="31"/>
    </w:p>
    <w:p w14:paraId="0007E423" w14:textId="77777777" w:rsidR="004B1820" w:rsidRDefault="004B1820" w:rsidP="004B1820">
      <w:pPr>
        <w:pStyle w:val="afff2"/>
        <w:ind w:firstLine="420"/>
      </w:pPr>
      <w:bookmarkStart w:id="32" w:name="_Toc26648466"/>
      <w:bookmarkStart w:id="33" w:name="_Toc24884219"/>
      <w:bookmarkStart w:id="34" w:name="_Toc24884212"/>
      <w:bookmarkStart w:id="35" w:name="_Toc17233334"/>
      <w:bookmarkStart w:id="36" w:name="_Toc17233326"/>
      <w:r>
        <w:rPr>
          <w:rFonts w:hint="eastAsia"/>
        </w:rPr>
        <w:t>本文件为确立了代谢性疾病非药物干预的总体原则，提供了干预措施、实施流程和质量控制的指导性建议。</w:t>
      </w:r>
    </w:p>
    <w:p w14:paraId="49C7C391" w14:textId="77777777" w:rsidR="004B1820" w:rsidRDefault="004B1820" w:rsidP="004B1820">
      <w:pPr>
        <w:pStyle w:val="afff2"/>
        <w:ind w:firstLine="420"/>
      </w:pPr>
      <w:r>
        <w:rPr>
          <w:rFonts w:hint="eastAsia"/>
        </w:rPr>
        <w:t>本文件适用于医疗机构、公共卫生部门、科研机构等人员，以及代谢性疾病人员，在开展代谢性疾病非药物干预过程提供技术依据或参考。</w:t>
      </w:r>
    </w:p>
    <w:p w14:paraId="0FA67C01" w14:textId="77777777" w:rsidR="004B1820" w:rsidRDefault="004B1820" w:rsidP="004B1820">
      <w:pPr>
        <w:pStyle w:val="afff3"/>
        <w:numPr>
          <w:ilvl w:val="1"/>
          <w:numId w:val="12"/>
        </w:numPr>
        <w:spacing w:before="240" w:after="240"/>
      </w:pPr>
      <w:bookmarkStart w:id="37" w:name="_Toc207976229"/>
      <w:bookmarkStart w:id="38" w:name="_Toc204593892"/>
      <w:bookmarkStart w:id="39" w:name="_Toc97192965"/>
      <w:bookmarkStart w:id="40" w:name="_Toc26986772"/>
      <w:bookmarkStart w:id="41" w:name="_Toc26986531"/>
      <w:bookmarkStart w:id="42" w:name="_Toc26718931"/>
      <w:bookmarkStart w:id="43" w:name="_Toc208487102"/>
      <w:r>
        <w:rPr>
          <w:rFonts w:hint="eastAsia"/>
        </w:rPr>
        <w:t>规范性引用文件</w:t>
      </w:r>
      <w:bookmarkEnd w:id="32"/>
      <w:bookmarkEnd w:id="33"/>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A0787533414A4B4D96434D6A129773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0EFE9D0" w14:textId="77777777" w:rsidR="004B1820" w:rsidRDefault="004B1820" w:rsidP="004B1820">
          <w:pPr>
            <w:pStyle w:val="afff2"/>
            <w:ind w:firstLine="420"/>
          </w:pPr>
          <w:r>
            <w:rPr>
              <w:rFonts w:hint="eastAsia"/>
            </w:rPr>
            <w:t>本文件没有规范性引用文件。</w:t>
          </w:r>
        </w:p>
      </w:sdtContent>
    </w:sdt>
    <w:p w14:paraId="0EE993ED" w14:textId="77777777" w:rsidR="004B1820" w:rsidRDefault="004B1820" w:rsidP="004B1820">
      <w:pPr>
        <w:pStyle w:val="afff3"/>
        <w:numPr>
          <w:ilvl w:val="1"/>
          <w:numId w:val="12"/>
        </w:numPr>
        <w:spacing w:before="240" w:after="240"/>
      </w:pPr>
      <w:bookmarkStart w:id="44" w:name="_Toc207976230"/>
      <w:bookmarkStart w:id="45" w:name="_Toc204593893"/>
      <w:bookmarkStart w:id="46" w:name="_Toc97192966"/>
      <w:bookmarkStart w:id="47" w:name="_Toc208487103"/>
      <w:r>
        <w:rPr>
          <w:rFonts w:hint="eastAsia"/>
          <w:szCs w:val="21"/>
        </w:rPr>
        <w:t>术语和定义</w:t>
      </w:r>
      <w:bookmarkEnd w:id="44"/>
      <w:bookmarkEnd w:id="45"/>
      <w:bookmarkEnd w:id="46"/>
      <w:bookmarkEnd w:id="47"/>
    </w:p>
    <w:bookmarkStart w:id="48" w:name="_Toc26986532" w:displacedByCustomXml="next"/>
    <w:bookmarkEnd w:id="48" w:displacedByCustomXml="next"/>
    <w:sdt>
      <w:sdtPr>
        <w:rPr>
          <w:rFonts w:hint="eastAsia"/>
        </w:rPr>
        <w:id w:val="-1909835108"/>
        <w:placeholder>
          <w:docPart w:val="98CDDB99D73546D69FC907E8EFEF05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1DCA9E4" w14:textId="77777777" w:rsidR="004B1820" w:rsidRDefault="004B1820" w:rsidP="004B1820">
          <w:pPr>
            <w:pStyle w:val="afff2"/>
            <w:ind w:firstLine="420"/>
          </w:pPr>
          <w:r>
            <w:rPr>
              <w:rFonts w:hint="eastAsia"/>
            </w:rPr>
            <w:t>下列术语和定义适用于本文件。</w:t>
          </w:r>
        </w:p>
      </w:sdtContent>
    </w:sdt>
    <w:p w14:paraId="796E570B" w14:textId="77777777" w:rsidR="004B1820" w:rsidRDefault="004B1820" w:rsidP="004B1820">
      <w:pPr>
        <w:pStyle w:val="afa"/>
        <w:numPr>
          <w:ilvl w:val="2"/>
          <w:numId w:val="12"/>
        </w:numPr>
        <w:tabs>
          <w:tab w:val="left" w:pos="420"/>
        </w:tabs>
        <w:ind w:left="0" w:firstLine="0"/>
        <w:rPr>
          <w:rFonts w:ascii="黑体" w:eastAsia="黑体" w:hAnsi="黑体"/>
        </w:rPr>
      </w:pPr>
      <w:r>
        <w:rPr>
          <w:rFonts w:ascii="黑体" w:eastAsia="黑体" w:hAnsi="黑体" w:hint="eastAsia"/>
        </w:rPr>
        <w:br/>
        <w:t xml:space="preserve">    代谢性疾病  metabolic diseases</w:t>
      </w:r>
    </w:p>
    <w:p w14:paraId="190E46EF" w14:textId="77777777" w:rsidR="004B1820" w:rsidRDefault="004B1820" w:rsidP="004B1820">
      <w:pPr>
        <w:pStyle w:val="afff2"/>
        <w:ind w:firstLine="420"/>
      </w:pPr>
      <w:r>
        <w:rPr>
          <w:rFonts w:hint="eastAsia"/>
        </w:rPr>
        <w:t>因体内代谢过程异常引发的一系列疾病。</w:t>
      </w:r>
    </w:p>
    <w:p w14:paraId="53C3F958" w14:textId="77777777" w:rsidR="004B1820" w:rsidRDefault="004B1820" w:rsidP="004B1820">
      <w:pPr>
        <w:pStyle w:val="afa"/>
        <w:numPr>
          <w:ilvl w:val="2"/>
          <w:numId w:val="12"/>
        </w:numPr>
        <w:tabs>
          <w:tab w:val="left" w:pos="420"/>
        </w:tabs>
        <w:ind w:left="0" w:firstLine="0"/>
        <w:rPr>
          <w:rFonts w:ascii="黑体" w:eastAsia="黑体" w:hAnsi="黑体"/>
        </w:rPr>
      </w:pPr>
      <w:r>
        <w:rPr>
          <w:rFonts w:ascii="黑体" w:eastAsia="黑体" w:hAnsi="黑体" w:hint="eastAsia"/>
        </w:rPr>
        <w:br/>
        <w:t xml:space="preserve">    非药物干预  non-pharmaceutical intervention</w:t>
      </w:r>
    </w:p>
    <w:p w14:paraId="2041797D" w14:textId="77777777" w:rsidR="004B1820" w:rsidRDefault="004B1820" w:rsidP="004B1820">
      <w:pPr>
        <w:pStyle w:val="afff2"/>
        <w:ind w:firstLine="420"/>
      </w:pPr>
      <w:r>
        <w:rPr>
          <w:rFonts w:hint="eastAsia"/>
        </w:rPr>
        <w:t>不依赖药物治疗，通过生活方式调整、营养干预、运动疗法、心理行为干预及传统医学疗法等手段，改善</w:t>
      </w:r>
      <w:bookmarkStart w:id="49" w:name="OLE_LINK7"/>
      <w:r>
        <w:rPr>
          <w:rFonts w:hint="eastAsia"/>
        </w:rPr>
        <w:t>代谢性疾病人员</w:t>
      </w:r>
      <w:bookmarkEnd w:id="49"/>
      <w:r>
        <w:rPr>
          <w:rFonts w:hint="eastAsia"/>
        </w:rPr>
        <w:t>代谢状态、控制病情发展的干预措施。</w:t>
      </w:r>
    </w:p>
    <w:p w14:paraId="0ADE860F" w14:textId="77777777" w:rsidR="004B1820" w:rsidRDefault="004B1820" w:rsidP="004B1820">
      <w:pPr>
        <w:pStyle w:val="afa"/>
        <w:numPr>
          <w:ilvl w:val="2"/>
          <w:numId w:val="12"/>
        </w:numPr>
        <w:tabs>
          <w:tab w:val="left" w:pos="420"/>
        </w:tabs>
        <w:ind w:left="0" w:firstLine="0"/>
        <w:rPr>
          <w:rFonts w:ascii="黑体" w:eastAsia="黑体" w:hAnsi="黑体"/>
        </w:rPr>
      </w:pPr>
      <w:r>
        <w:rPr>
          <w:rFonts w:ascii="黑体" w:eastAsia="黑体" w:hAnsi="黑体" w:hint="eastAsia"/>
        </w:rPr>
        <w:br/>
        <w:t xml:space="preserve">    茶褐素  </w:t>
      </w:r>
      <w:proofErr w:type="spellStart"/>
      <w:r>
        <w:rPr>
          <w:rFonts w:ascii="黑体" w:eastAsia="黑体" w:hAnsi="黑体" w:hint="eastAsia"/>
        </w:rPr>
        <w:t>theaflavin</w:t>
      </w:r>
      <w:proofErr w:type="spellEnd"/>
    </w:p>
    <w:p w14:paraId="15C9922B" w14:textId="77777777" w:rsidR="004B1820" w:rsidRDefault="004B1820" w:rsidP="004B1820">
      <w:pPr>
        <w:pStyle w:val="afff2"/>
        <w:ind w:firstLine="420"/>
      </w:pPr>
      <w:r>
        <w:rPr>
          <w:rFonts w:ascii="Segoe UI" w:hAnsi="Segoe UI" w:cs="Segoe UI" w:hint="eastAsia"/>
          <w:color w:val="1F2329"/>
          <w:shd w:val="clear" w:color="auto" w:fill="FFFFFF"/>
        </w:rPr>
        <w:t>茶叶发酵过程中形成的一类水溶性褐色高分子化合物，属于茶多酚的深度氧化产物。</w:t>
      </w:r>
    </w:p>
    <w:p w14:paraId="70F92F3E" w14:textId="77777777" w:rsidR="004B1820" w:rsidRDefault="004B1820" w:rsidP="004B1820">
      <w:pPr>
        <w:pStyle w:val="afff3"/>
        <w:numPr>
          <w:ilvl w:val="1"/>
          <w:numId w:val="12"/>
        </w:numPr>
        <w:spacing w:before="240" w:after="240"/>
      </w:pPr>
      <w:bookmarkStart w:id="50" w:name="_Toc207976231"/>
      <w:bookmarkStart w:id="51" w:name="_Toc204593894"/>
      <w:bookmarkStart w:id="52" w:name="_Toc208487104"/>
      <w:r>
        <w:rPr>
          <w:rFonts w:hint="eastAsia"/>
        </w:rPr>
        <w:t>总体原则</w:t>
      </w:r>
      <w:bookmarkEnd w:id="50"/>
      <w:bookmarkEnd w:id="51"/>
      <w:bookmarkEnd w:id="52"/>
    </w:p>
    <w:p w14:paraId="2296637F" w14:textId="77777777" w:rsidR="004B1820" w:rsidRDefault="004B1820" w:rsidP="004B1820">
      <w:pPr>
        <w:pStyle w:val="af5"/>
        <w:numPr>
          <w:ilvl w:val="2"/>
          <w:numId w:val="12"/>
        </w:numPr>
        <w:spacing w:beforeLines="50" w:before="120" w:afterLines="50" w:after="120"/>
      </w:pPr>
      <w:bookmarkStart w:id="53" w:name="_Toc207976232"/>
      <w:bookmarkStart w:id="54" w:name="_Toc204593895"/>
      <w:bookmarkStart w:id="55" w:name="_Toc208487105"/>
      <w:r>
        <w:rPr>
          <w:rFonts w:hint="eastAsia"/>
        </w:rPr>
        <w:t>个性化原则</w:t>
      </w:r>
      <w:r>
        <w:rPr>
          <w:rFonts w:ascii="MS Gothic" w:eastAsia="MS Gothic" w:hAnsi="MS Gothic" w:cs="MS Gothic" w:hint="eastAsia"/>
        </w:rPr>
        <w:t>​</w:t>
      </w:r>
      <w:bookmarkEnd w:id="53"/>
      <w:bookmarkEnd w:id="54"/>
      <w:bookmarkEnd w:id="55"/>
    </w:p>
    <w:p w14:paraId="7E73D048" w14:textId="77777777" w:rsidR="004B1820" w:rsidRDefault="004B1820" w:rsidP="004B1820">
      <w:pPr>
        <w:pStyle w:val="afff2"/>
        <w:ind w:firstLine="420"/>
      </w:pPr>
      <w:r>
        <w:rPr>
          <w:rFonts w:hint="eastAsia"/>
        </w:rPr>
        <w:t>根据代谢性疾病人员的年龄、性别、病情严重程度、并发症、生活习惯、文化背景及经济状况等个体差异，制定专属非药物干预方案。</w:t>
      </w:r>
      <w:r>
        <w:rPr>
          <w:rFonts w:ascii="MS Gothic" w:eastAsia="MS Gothic" w:hAnsi="MS Gothic" w:cs="MS Gothic" w:hint="eastAsia"/>
        </w:rPr>
        <w:t>​</w:t>
      </w:r>
    </w:p>
    <w:p w14:paraId="3C0A4F7F" w14:textId="77777777" w:rsidR="004B1820" w:rsidRDefault="004B1820" w:rsidP="004B1820">
      <w:pPr>
        <w:pStyle w:val="af5"/>
        <w:numPr>
          <w:ilvl w:val="2"/>
          <w:numId w:val="12"/>
        </w:numPr>
        <w:spacing w:beforeLines="50" w:before="120" w:afterLines="50" w:after="120"/>
      </w:pPr>
      <w:bookmarkStart w:id="56" w:name="_Toc207976233"/>
      <w:bookmarkStart w:id="57" w:name="_Toc204593896"/>
      <w:bookmarkStart w:id="58" w:name="_Toc208487106"/>
      <w:r>
        <w:rPr>
          <w:rFonts w:hint="eastAsia"/>
        </w:rPr>
        <w:t>综合性原则</w:t>
      </w:r>
      <w:r>
        <w:rPr>
          <w:rFonts w:ascii="MS Gothic" w:eastAsia="MS Gothic" w:hAnsi="MS Gothic" w:cs="MS Gothic" w:hint="eastAsia"/>
        </w:rPr>
        <w:t>​</w:t>
      </w:r>
      <w:bookmarkEnd w:id="56"/>
      <w:bookmarkEnd w:id="57"/>
      <w:bookmarkEnd w:id="58"/>
    </w:p>
    <w:p w14:paraId="72987FFE" w14:textId="77777777" w:rsidR="004B1820" w:rsidRDefault="004B1820" w:rsidP="004B1820">
      <w:pPr>
        <w:pStyle w:val="afff2"/>
        <w:ind w:firstLine="420"/>
      </w:pPr>
      <w:r>
        <w:rPr>
          <w:rFonts w:hint="eastAsia"/>
        </w:rPr>
        <w:t>综合运用多种非药物干预手段（生活方式调整联合营养干预、运动疗法与心理行为干预相结合等），发挥协同作用。</w:t>
      </w:r>
      <w:r>
        <w:rPr>
          <w:rFonts w:ascii="MS Gothic" w:eastAsia="MS Gothic" w:hAnsi="MS Gothic" w:cs="MS Gothic" w:hint="eastAsia"/>
        </w:rPr>
        <w:t>​</w:t>
      </w:r>
    </w:p>
    <w:p w14:paraId="5F7330B4" w14:textId="77777777" w:rsidR="004B1820" w:rsidRDefault="004B1820" w:rsidP="004B1820">
      <w:pPr>
        <w:pStyle w:val="af5"/>
        <w:numPr>
          <w:ilvl w:val="2"/>
          <w:numId w:val="12"/>
        </w:numPr>
        <w:spacing w:beforeLines="50" w:before="120" w:afterLines="50" w:after="120"/>
      </w:pPr>
      <w:bookmarkStart w:id="59" w:name="_Toc207976234"/>
      <w:bookmarkStart w:id="60" w:name="_Toc204593897"/>
      <w:bookmarkStart w:id="61" w:name="_Toc208487107"/>
      <w:r>
        <w:rPr>
          <w:rFonts w:hint="eastAsia"/>
        </w:rPr>
        <w:t>循序渐进原则</w:t>
      </w:r>
      <w:r>
        <w:rPr>
          <w:rFonts w:ascii="MS Gothic" w:eastAsia="MS Gothic" w:hAnsi="MS Gothic" w:cs="MS Gothic" w:hint="eastAsia"/>
        </w:rPr>
        <w:t>​</w:t>
      </w:r>
      <w:bookmarkEnd w:id="59"/>
      <w:bookmarkEnd w:id="60"/>
      <w:bookmarkEnd w:id="61"/>
    </w:p>
    <w:p w14:paraId="612045ED" w14:textId="77777777" w:rsidR="004B1820" w:rsidRDefault="004B1820" w:rsidP="004B1820">
      <w:pPr>
        <w:pStyle w:val="afff2"/>
        <w:ind w:firstLine="420"/>
      </w:pPr>
      <w:r>
        <w:rPr>
          <w:rFonts w:hint="eastAsia"/>
        </w:rPr>
        <w:t>非药物干预措施宜逐步推进、逐渐强化，给代谢性疾病人员的身体和心理适应时间，避免因过度干预引发不适或不良事件。</w:t>
      </w:r>
      <w:r>
        <w:rPr>
          <w:rFonts w:ascii="MS Gothic" w:eastAsia="MS Gothic" w:hAnsi="MS Gothic" w:cs="MS Gothic" w:hint="eastAsia"/>
        </w:rPr>
        <w:t>​</w:t>
      </w:r>
    </w:p>
    <w:p w14:paraId="2E277B73" w14:textId="77777777" w:rsidR="004B1820" w:rsidRDefault="004B1820" w:rsidP="004B1820">
      <w:pPr>
        <w:pStyle w:val="af5"/>
        <w:numPr>
          <w:ilvl w:val="2"/>
          <w:numId w:val="12"/>
        </w:numPr>
        <w:spacing w:beforeLines="50" w:before="120" w:afterLines="50" w:after="120"/>
      </w:pPr>
      <w:bookmarkStart w:id="62" w:name="_Toc207976235"/>
      <w:bookmarkStart w:id="63" w:name="_Toc204593898"/>
      <w:bookmarkStart w:id="64" w:name="_Toc208487108"/>
      <w:r>
        <w:rPr>
          <w:rFonts w:hint="eastAsia"/>
        </w:rPr>
        <w:t>持续性原则</w:t>
      </w:r>
      <w:r>
        <w:rPr>
          <w:rFonts w:ascii="MS Gothic" w:eastAsia="MS Gothic" w:hAnsi="MS Gothic" w:cs="MS Gothic" w:hint="eastAsia"/>
        </w:rPr>
        <w:t>​</w:t>
      </w:r>
      <w:bookmarkEnd w:id="62"/>
      <w:bookmarkEnd w:id="63"/>
      <w:bookmarkEnd w:id="64"/>
    </w:p>
    <w:p w14:paraId="3BB7C943" w14:textId="77777777" w:rsidR="004B1820" w:rsidRDefault="004B1820" w:rsidP="004B1820">
      <w:pPr>
        <w:pStyle w:val="afff2"/>
        <w:ind w:firstLine="420"/>
      </w:pPr>
      <w:r>
        <w:rPr>
          <w:rFonts w:hint="eastAsia"/>
        </w:rPr>
        <w:t>非药物干预需长期坚持，将非药物干预融入日常生活，形成长期、稳定健康生活方式。</w:t>
      </w:r>
      <w:r>
        <w:rPr>
          <w:rFonts w:ascii="MS Gothic" w:eastAsia="MS Gothic" w:hAnsi="MS Gothic" w:cs="MS Gothic" w:hint="eastAsia"/>
        </w:rPr>
        <w:t>​</w:t>
      </w:r>
    </w:p>
    <w:p w14:paraId="14B0EB0E" w14:textId="77777777" w:rsidR="004B1820" w:rsidRDefault="004B1820" w:rsidP="004B1820">
      <w:pPr>
        <w:pStyle w:val="af5"/>
        <w:numPr>
          <w:ilvl w:val="2"/>
          <w:numId w:val="12"/>
        </w:numPr>
        <w:spacing w:beforeLines="50" w:before="120" w:afterLines="50" w:after="120"/>
      </w:pPr>
      <w:bookmarkStart w:id="65" w:name="_Toc207976236"/>
      <w:bookmarkStart w:id="66" w:name="_Toc204593899"/>
      <w:bookmarkStart w:id="67" w:name="_Toc208487109"/>
      <w:r>
        <w:rPr>
          <w:rFonts w:hint="eastAsia"/>
        </w:rPr>
        <w:t>安全性原则</w:t>
      </w:r>
      <w:r>
        <w:rPr>
          <w:rFonts w:ascii="MS Gothic" w:eastAsia="MS Gothic" w:hAnsi="MS Gothic" w:cs="MS Gothic" w:hint="eastAsia"/>
        </w:rPr>
        <w:t>​</w:t>
      </w:r>
      <w:bookmarkEnd w:id="65"/>
      <w:bookmarkEnd w:id="66"/>
      <w:bookmarkEnd w:id="67"/>
    </w:p>
    <w:p w14:paraId="62363826" w14:textId="77777777" w:rsidR="004B1820" w:rsidRDefault="004B1820" w:rsidP="004B1820">
      <w:pPr>
        <w:pStyle w:val="afff2"/>
        <w:ind w:firstLine="420"/>
      </w:pPr>
      <w:r>
        <w:rPr>
          <w:rFonts w:hint="eastAsia"/>
        </w:rPr>
        <w:t>干预过程中密切关注代谢性疾病人员的身体反应，避免因干预不当导致身体损伤或病情加重。</w:t>
      </w:r>
    </w:p>
    <w:p w14:paraId="5514EF42" w14:textId="77777777" w:rsidR="004B1820" w:rsidRDefault="004B1820" w:rsidP="004B1820">
      <w:pPr>
        <w:pStyle w:val="afff3"/>
        <w:numPr>
          <w:ilvl w:val="1"/>
          <w:numId w:val="12"/>
        </w:numPr>
        <w:spacing w:before="240" w:after="240"/>
      </w:pPr>
      <w:bookmarkStart w:id="68" w:name="_Toc207976237"/>
      <w:bookmarkStart w:id="69" w:name="_Toc204593900"/>
      <w:bookmarkStart w:id="70" w:name="_Toc208487110"/>
      <w:r>
        <w:rPr>
          <w:rFonts w:hint="eastAsia"/>
        </w:rPr>
        <w:t>干预措施</w:t>
      </w:r>
      <w:r>
        <w:rPr>
          <w:rFonts w:ascii="MS Gothic" w:eastAsia="MS Gothic" w:hAnsi="MS Gothic" w:cs="MS Gothic" w:hint="eastAsia"/>
        </w:rPr>
        <w:t>​</w:t>
      </w:r>
      <w:bookmarkEnd w:id="68"/>
      <w:bookmarkEnd w:id="69"/>
      <w:bookmarkEnd w:id="70"/>
    </w:p>
    <w:p w14:paraId="1F2B8E92" w14:textId="77777777" w:rsidR="004B1820" w:rsidRDefault="004B1820" w:rsidP="004B1820">
      <w:pPr>
        <w:pStyle w:val="af5"/>
        <w:numPr>
          <w:ilvl w:val="2"/>
          <w:numId w:val="12"/>
        </w:numPr>
        <w:spacing w:beforeLines="50" w:before="120" w:afterLines="50" w:after="120"/>
      </w:pPr>
      <w:bookmarkStart w:id="71" w:name="_Toc207976238"/>
      <w:bookmarkStart w:id="72" w:name="_Toc204593901"/>
      <w:bookmarkStart w:id="73" w:name="_Toc208487111"/>
      <w:r>
        <w:rPr>
          <w:rFonts w:hint="eastAsia"/>
        </w:rPr>
        <w:lastRenderedPageBreak/>
        <w:t>生活方式调整</w:t>
      </w:r>
      <w:bookmarkEnd w:id="71"/>
      <w:bookmarkEnd w:id="72"/>
      <w:bookmarkEnd w:id="73"/>
    </w:p>
    <w:p w14:paraId="6509377A" w14:textId="77777777" w:rsidR="004B1820" w:rsidRDefault="004B1820" w:rsidP="004B1820">
      <w:pPr>
        <w:pStyle w:val="af6"/>
        <w:numPr>
          <w:ilvl w:val="3"/>
          <w:numId w:val="12"/>
        </w:numPr>
        <w:spacing w:beforeLines="50" w:before="120" w:afterLines="50" w:after="120"/>
        <w:rPr>
          <w:rFonts w:ascii="MS Gothic" w:eastAsiaTheme="minorEastAsia" w:hAnsi="MS Gothic" w:cs="MS Gothic"/>
        </w:rPr>
      </w:pPr>
      <w:bookmarkStart w:id="74" w:name="_Toc208487112"/>
      <w:r>
        <w:rPr>
          <w:rFonts w:hint="eastAsia"/>
        </w:rPr>
        <w:t>饮食</w:t>
      </w:r>
      <w:r>
        <w:rPr>
          <w:rFonts w:ascii="MS Gothic" w:eastAsia="MS Gothic" w:hAnsi="MS Gothic" w:cs="MS Gothic" w:hint="eastAsia"/>
        </w:rPr>
        <w:t>​</w:t>
      </w:r>
      <w:r>
        <w:rPr>
          <w:rFonts w:ascii="微软雅黑" w:eastAsia="微软雅黑" w:hAnsi="微软雅黑" w:cs="微软雅黑" w:hint="eastAsia"/>
        </w:rPr>
        <w:t>结构</w:t>
      </w:r>
      <w:bookmarkEnd w:id="74"/>
    </w:p>
    <w:p w14:paraId="2DA22541" w14:textId="77777777" w:rsidR="004B1820" w:rsidRDefault="004B1820" w:rsidP="004B1820">
      <w:pPr>
        <w:pStyle w:val="afff2"/>
        <w:ind w:firstLine="420"/>
      </w:pPr>
      <w:r>
        <w:rPr>
          <w:rFonts w:hint="eastAsia"/>
        </w:rPr>
        <w:t>下面提供了饮食结构调整的信息：</w:t>
      </w:r>
    </w:p>
    <w:p w14:paraId="407BF199" w14:textId="77777777" w:rsidR="004B1820" w:rsidRDefault="004B1820" w:rsidP="004B1820">
      <w:pPr>
        <w:pStyle w:val="a6"/>
        <w:numPr>
          <w:ilvl w:val="0"/>
          <w:numId w:val="13"/>
        </w:numPr>
      </w:pPr>
      <w:r>
        <w:rPr>
          <w:rFonts w:hint="eastAsia"/>
        </w:rPr>
        <w:t>根据代谢性疾病人员的年龄、性别、身高、体重、活动量及病情，计算每日所需热量。一般情况下碳水化合物占50%</w:t>
      </w:r>
      <w:r>
        <w:rPr>
          <w:rFonts w:hAnsi="宋体" w:hint="eastAsia"/>
        </w:rPr>
        <w:t>～</w:t>
      </w:r>
      <w:r>
        <w:rPr>
          <w:rFonts w:hint="eastAsia"/>
        </w:rPr>
        <w:t>65%，蛋白质占15%</w:t>
      </w:r>
      <w:r>
        <w:rPr>
          <w:rFonts w:hAnsi="宋体" w:hint="eastAsia"/>
        </w:rPr>
        <w:t>～</w:t>
      </w:r>
      <w:r>
        <w:rPr>
          <w:rFonts w:hint="eastAsia"/>
        </w:rPr>
        <w:t>20%，脂肪占20%</w:t>
      </w:r>
      <w:r>
        <w:rPr>
          <w:rFonts w:hAnsi="宋体" w:hint="eastAsia"/>
        </w:rPr>
        <w:t>～</w:t>
      </w:r>
      <w:r>
        <w:rPr>
          <w:rFonts w:hint="eastAsia"/>
        </w:rPr>
        <w:t>30%；</w:t>
      </w:r>
    </w:p>
    <w:p w14:paraId="6DF06341" w14:textId="77777777" w:rsidR="004B1820" w:rsidRDefault="004B1820" w:rsidP="004B1820">
      <w:pPr>
        <w:pStyle w:val="a6"/>
        <w:numPr>
          <w:ilvl w:val="0"/>
          <w:numId w:val="13"/>
        </w:numPr>
      </w:pPr>
      <w:r>
        <w:rPr>
          <w:rFonts w:hint="eastAsia"/>
        </w:rPr>
        <w:t>肥胖或超重患者宜减少热量摄入，消瘦或营养不良的人员宜增加热量摄入；</w:t>
      </w:r>
      <w:r>
        <w:rPr>
          <w:rFonts w:ascii="MS Gothic" w:eastAsia="MS Gothic" w:hAnsi="MS Gothic" w:cs="MS Gothic" w:hint="eastAsia"/>
        </w:rPr>
        <w:t>​</w:t>
      </w:r>
    </w:p>
    <w:p w14:paraId="3A1CAB4D" w14:textId="77777777" w:rsidR="004B1820" w:rsidRDefault="004B1820" w:rsidP="004B1820">
      <w:pPr>
        <w:pStyle w:val="a6"/>
        <w:numPr>
          <w:ilvl w:val="0"/>
          <w:numId w:val="13"/>
        </w:numPr>
      </w:pPr>
      <w:r>
        <w:rPr>
          <w:rFonts w:hint="eastAsia"/>
        </w:rPr>
        <w:t>增加蔬菜、水果、全谷物、豆类等富含膳食纤维食物摄入，宜选择优质瘦肉、鱼类、禽类、蛋类、奶制品和豆类等蛋白质；</w:t>
      </w:r>
    </w:p>
    <w:p w14:paraId="78E47805" w14:textId="77777777" w:rsidR="004B1820" w:rsidRDefault="004B1820" w:rsidP="004B1820">
      <w:pPr>
        <w:pStyle w:val="a6"/>
        <w:numPr>
          <w:ilvl w:val="0"/>
          <w:numId w:val="13"/>
        </w:numPr>
      </w:pPr>
      <w:bookmarkStart w:id="75" w:name="OLE_LINK6"/>
      <w:bookmarkStart w:id="76" w:name="OLE_LINK5"/>
      <w:r>
        <w:rPr>
          <w:rFonts w:hint="eastAsia"/>
        </w:rPr>
        <w:t>宜</w:t>
      </w:r>
      <w:bookmarkEnd w:id="75"/>
      <w:bookmarkEnd w:id="76"/>
      <w:r>
        <w:rPr>
          <w:rFonts w:hint="eastAsia"/>
        </w:rPr>
        <w:t>控制饱和脂肪和反式脂肪摄入，减少动物油、油炸食品、糕点等，增加不饱和脂肪摄入；</w:t>
      </w:r>
    </w:p>
    <w:p w14:paraId="6FDD49DB" w14:textId="77777777" w:rsidR="004B1820" w:rsidRPr="004B1820" w:rsidRDefault="004B1820" w:rsidP="004B1820">
      <w:pPr>
        <w:pStyle w:val="a6"/>
        <w:numPr>
          <w:ilvl w:val="0"/>
          <w:numId w:val="13"/>
        </w:numPr>
        <w:rPr>
          <w:rFonts w:ascii="MS Gothic" w:eastAsiaTheme="minorEastAsia" w:hAnsi="MS Gothic" w:cs="MS Gothic"/>
        </w:rPr>
      </w:pPr>
      <w:r w:rsidRPr="004B1820">
        <w:rPr>
          <w:rFonts w:hint="eastAsia"/>
        </w:rPr>
        <w:t>宜限制添加糖和盐摄入，每日添加糖摄入量不超过50 g，每日盐摄入量不超过6 g；</w:t>
      </w:r>
      <w:r w:rsidRPr="004B1820">
        <w:rPr>
          <w:rFonts w:ascii="MS Gothic" w:eastAsia="MS Gothic" w:hAnsi="MS Gothic" w:cs="MS Gothic" w:hint="eastAsia"/>
        </w:rPr>
        <w:t>​</w:t>
      </w:r>
    </w:p>
    <w:p w14:paraId="17674215" w14:textId="77777777" w:rsidR="004B1820" w:rsidRPr="004B1820" w:rsidRDefault="004B1820" w:rsidP="004B1820">
      <w:pPr>
        <w:pStyle w:val="a6"/>
        <w:numPr>
          <w:ilvl w:val="0"/>
          <w:numId w:val="13"/>
        </w:numPr>
      </w:pPr>
      <w:r w:rsidRPr="004B1820">
        <w:rPr>
          <w:rFonts w:hint="eastAsia"/>
        </w:rPr>
        <w:t>宜定时定量进餐，少食多餐，进餐顺序为先吃蔬菜，再吃蛋白质食物，最后吃主食；</w:t>
      </w:r>
    </w:p>
    <w:p w14:paraId="6F5EEC47" w14:textId="77777777" w:rsidR="004B1820" w:rsidRPr="004B1820" w:rsidRDefault="004B1820" w:rsidP="004B1820">
      <w:pPr>
        <w:pStyle w:val="a6"/>
        <w:numPr>
          <w:ilvl w:val="0"/>
          <w:numId w:val="13"/>
        </w:numPr>
        <w:rPr>
          <w:color w:val="000000" w:themeColor="text1"/>
        </w:rPr>
      </w:pPr>
      <w:r w:rsidRPr="004B1820">
        <w:rPr>
          <w:rFonts w:hint="eastAsia"/>
          <w:color w:val="000000" w:themeColor="text1"/>
        </w:rPr>
        <w:t>可结合功能食品辅助调节代谢，例如茶褐</w:t>
      </w:r>
      <w:proofErr w:type="gramStart"/>
      <w:r w:rsidRPr="004B1820">
        <w:rPr>
          <w:rFonts w:hint="eastAsia"/>
          <w:color w:val="000000" w:themeColor="text1"/>
        </w:rPr>
        <w:t>素相关</w:t>
      </w:r>
      <w:proofErr w:type="gramEnd"/>
      <w:r w:rsidRPr="004B1820">
        <w:rPr>
          <w:rFonts w:hint="eastAsia"/>
          <w:color w:val="000000" w:themeColor="text1"/>
        </w:rPr>
        <w:t>产品，在动物实验和人体实验中显示出辅助控制体重和血糖的潜在效果。</w:t>
      </w:r>
      <w:r w:rsidRPr="004B1820">
        <w:rPr>
          <w:rFonts w:ascii="MS Gothic" w:eastAsia="MS Gothic" w:hAnsi="MS Gothic" w:cs="MS Gothic" w:hint="eastAsia"/>
          <w:color w:val="000000" w:themeColor="text1"/>
        </w:rPr>
        <w:t>​</w:t>
      </w:r>
    </w:p>
    <w:p w14:paraId="279B5907" w14:textId="77777777" w:rsidR="004B1820" w:rsidRPr="004B1820" w:rsidRDefault="004B1820" w:rsidP="004B1820">
      <w:pPr>
        <w:pStyle w:val="a6"/>
        <w:numPr>
          <w:ilvl w:val="0"/>
          <w:numId w:val="13"/>
        </w:numPr>
        <w:rPr>
          <w:color w:val="000000" w:themeColor="text1"/>
        </w:rPr>
      </w:pPr>
      <w:r w:rsidRPr="004B1820">
        <w:rPr>
          <w:rFonts w:hint="eastAsia"/>
          <w:color w:val="000000" w:themeColor="text1"/>
        </w:rPr>
        <w:t>可适当摄入富含益生菌（如酸奶、泡菜）或益生元（如菊粉、</w:t>
      </w:r>
      <w:proofErr w:type="gramStart"/>
      <w:r w:rsidRPr="004B1820">
        <w:rPr>
          <w:rFonts w:hint="eastAsia"/>
          <w:color w:val="000000" w:themeColor="text1"/>
        </w:rPr>
        <w:t>低聚果糖</w:t>
      </w:r>
      <w:proofErr w:type="gramEnd"/>
      <w:r w:rsidRPr="004B1820">
        <w:rPr>
          <w:rFonts w:hint="eastAsia"/>
          <w:color w:val="000000" w:themeColor="text1"/>
        </w:rPr>
        <w:t>、全谷物）的食物。</w:t>
      </w:r>
    </w:p>
    <w:p w14:paraId="0DB3377D" w14:textId="77777777" w:rsidR="004B1820" w:rsidRPr="004B1820" w:rsidRDefault="004B1820" w:rsidP="004B1820">
      <w:pPr>
        <w:pStyle w:val="af6"/>
        <w:numPr>
          <w:ilvl w:val="3"/>
          <w:numId w:val="12"/>
        </w:numPr>
        <w:spacing w:beforeLines="50" w:before="120" w:afterLines="50" w:after="120"/>
      </w:pPr>
      <w:bookmarkStart w:id="77" w:name="_Toc208487113"/>
      <w:r w:rsidRPr="004B1820">
        <w:rPr>
          <w:rFonts w:hint="eastAsia"/>
        </w:rPr>
        <w:t>运动</w:t>
      </w:r>
      <w:r w:rsidRPr="004B1820">
        <w:rPr>
          <w:rFonts w:ascii="MS Gothic" w:eastAsia="MS Gothic" w:hAnsi="MS Gothic" w:cs="MS Gothic" w:hint="eastAsia"/>
        </w:rPr>
        <w:t>​</w:t>
      </w:r>
      <w:r w:rsidRPr="004B1820">
        <w:rPr>
          <w:rFonts w:asciiTheme="minorEastAsia" w:eastAsiaTheme="minorEastAsia" w:hAnsiTheme="minorEastAsia" w:cs="MS Gothic" w:hint="eastAsia"/>
        </w:rPr>
        <w:t>方式</w:t>
      </w:r>
      <w:bookmarkEnd w:id="77"/>
    </w:p>
    <w:p w14:paraId="2F647700" w14:textId="77777777" w:rsidR="004B1820" w:rsidRPr="004B1820" w:rsidRDefault="004B1820" w:rsidP="004B1820">
      <w:pPr>
        <w:pStyle w:val="afff2"/>
        <w:ind w:firstLine="420"/>
      </w:pPr>
      <w:r w:rsidRPr="004B1820">
        <w:rPr>
          <w:rFonts w:hint="eastAsia"/>
        </w:rPr>
        <w:t>宜根据代谢性疾病人员身体状况和兴趣爱好，选择有氧运动、力量训练、柔韧性训练或抗组训练，每周不少于2次运动。运动强度宜遵循循序渐进原则，运动前宜充分热身，下面给出了一些运动方式：</w:t>
      </w:r>
    </w:p>
    <w:p w14:paraId="3C360481" w14:textId="77777777" w:rsidR="004B1820" w:rsidRPr="004B1820" w:rsidRDefault="004B1820" w:rsidP="004B1820">
      <w:pPr>
        <w:pStyle w:val="a6"/>
        <w:numPr>
          <w:ilvl w:val="0"/>
          <w:numId w:val="13"/>
        </w:numPr>
      </w:pPr>
      <w:r w:rsidRPr="004B1820">
        <w:rPr>
          <w:rFonts w:hint="eastAsia"/>
        </w:rPr>
        <w:t>有氧运动，如快走、慢跑、游泳、骑自行车、太极拳等（提高心肺功能、增强代谢能力），有氧运动每周至少150 min；</w:t>
      </w:r>
    </w:p>
    <w:p w14:paraId="7F57A9F8" w14:textId="77777777" w:rsidR="004B1820" w:rsidRPr="004B1820" w:rsidRDefault="004B1820" w:rsidP="004B1820">
      <w:pPr>
        <w:pStyle w:val="a6"/>
        <w:numPr>
          <w:ilvl w:val="0"/>
          <w:numId w:val="13"/>
        </w:numPr>
        <w:rPr>
          <w:color w:val="000000" w:themeColor="text1"/>
        </w:rPr>
      </w:pPr>
      <w:r w:rsidRPr="004B1820">
        <w:rPr>
          <w:rFonts w:hint="eastAsia"/>
          <w:color w:val="000000" w:themeColor="text1"/>
        </w:rPr>
        <w:t>力量训练，如举重、俯卧撑、仰卧起坐、深蹲等（增加肌肉量、提高基础代谢率）；</w:t>
      </w:r>
    </w:p>
    <w:p w14:paraId="61207884" w14:textId="77777777" w:rsidR="004B1820" w:rsidRDefault="004B1820" w:rsidP="004B1820">
      <w:pPr>
        <w:pStyle w:val="a6"/>
        <w:numPr>
          <w:ilvl w:val="0"/>
          <w:numId w:val="13"/>
        </w:numPr>
        <w:rPr>
          <w:color w:val="000000" w:themeColor="text1"/>
        </w:rPr>
      </w:pPr>
      <w:r w:rsidRPr="004B1820">
        <w:rPr>
          <w:rFonts w:hint="eastAsia"/>
          <w:color w:val="000000" w:themeColor="text1"/>
        </w:rPr>
        <w:t>抗阻训练，如</w:t>
      </w:r>
      <w:r w:rsidRPr="004B1820">
        <w:rPr>
          <w:rFonts w:ascii="Segoe UI" w:hAnsi="Segoe UI" w:cs="Segoe UI" w:hint="eastAsia"/>
          <w:color w:val="000000" w:themeColor="text1"/>
          <w:shd w:val="clear" w:color="auto" w:fill="FFFFFF"/>
        </w:rPr>
        <w:t>器械、自由重量（哑铃、杠铃）、弹力带、自重训练（俯卧撑、深蹲、弓步）</w:t>
      </w:r>
      <w:r>
        <w:rPr>
          <w:rFonts w:ascii="Segoe UI" w:hAnsi="Segoe UI" w:cs="Segoe UI" w:hint="eastAsia"/>
          <w:color w:val="000000" w:themeColor="text1"/>
          <w:shd w:val="clear" w:color="auto" w:fill="FFFFFF"/>
        </w:rPr>
        <w:t>等（增加肌肉量（肌肉是重要的葡萄糖代谢器官）；</w:t>
      </w:r>
    </w:p>
    <w:p w14:paraId="35BC4FAC" w14:textId="77777777" w:rsidR="004B1820" w:rsidRDefault="004B1820" w:rsidP="004B1820">
      <w:pPr>
        <w:pStyle w:val="a6"/>
        <w:numPr>
          <w:ilvl w:val="0"/>
          <w:numId w:val="13"/>
        </w:numPr>
        <w:rPr>
          <w:color w:val="000000" w:themeColor="text1"/>
        </w:rPr>
      </w:pPr>
      <w:r>
        <w:rPr>
          <w:rFonts w:hint="eastAsia"/>
          <w:color w:val="000000" w:themeColor="text1"/>
        </w:rPr>
        <w:t>柔韧性训练，如瑜伽、拉伸运动等（改善关节活动度、预防运动损伤）。</w:t>
      </w:r>
      <w:r>
        <w:rPr>
          <w:rFonts w:ascii="MS Gothic" w:eastAsia="MS Gothic" w:hAnsi="MS Gothic" w:cs="MS Gothic" w:hint="eastAsia"/>
          <w:color w:val="000000" w:themeColor="text1"/>
        </w:rPr>
        <w:t>​</w:t>
      </w:r>
    </w:p>
    <w:p w14:paraId="14494CA8" w14:textId="77777777" w:rsidR="004B1820" w:rsidRDefault="004B1820" w:rsidP="004B1820">
      <w:pPr>
        <w:pStyle w:val="a5"/>
      </w:pPr>
      <w:r>
        <w:rPr>
          <w:rFonts w:hint="eastAsia"/>
          <w:color w:val="000000" w:themeColor="text1"/>
        </w:rPr>
        <w:t>快走速度一般为每分钟100步</w:t>
      </w:r>
      <w:r>
        <w:rPr>
          <w:rFonts w:hAnsi="宋体" w:hint="eastAsia"/>
          <w:color w:val="000000" w:themeColor="text1"/>
        </w:rPr>
        <w:t>～</w:t>
      </w:r>
      <w:r>
        <w:rPr>
          <w:rFonts w:hint="eastAsia"/>
          <w:color w:val="000000" w:themeColor="text1"/>
        </w:rPr>
        <w:t>120步，或75 min高强度运动，如慢跑速度一般为每分钟120步</w:t>
      </w:r>
      <w:r>
        <w:rPr>
          <w:rFonts w:hAnsi="宋体" w:hint="eastAsia"/>
          <w:color w:val="000000" w:themeColor="text1"/>
        </w:rPr>
        <w:t>～</w:t>
      </w:r>
      <w:r>
        <w:rPr>
          <w:rFonts w:hint="eastAsia"/>
          <w:color w:val="000000" w:themeColor="text1"/>
        </w:rPr>
        <w:t>150步。</w:t>
      </w:r>
      <w:r>
        <w:rPr>
          <w:rFonts w:hint="eastAsia"/>
        </w:rPr>
        <w:t>可分5天进行，每天30 min左右。力量训练每周2次</w:t>
      </w:r>
      <w:r>
        <w:rPr>
          <w:rFonts w:hAnsi="宋体" w:hint="eastAsia"/>
        </w:rPr>
        <w:t>～</w:t>
      </w:r>
      <w:r>
        <w:rPr>
          <w:rFonts w:hint="eastAsia"/>
        </w:rPr>
        <w:t>3次，每个动作2组</w:t>
      </w:r>
      <w:r>
        <w:rPr>
          <w:rFonts w:hAnsi="宋体" w:hint="eastAsia"/>
        </w:rPr>
        <w:t>～</w:t>
      </w:r>
      <w:r>
        <w:rPr>
          <w:rFonts w:hint="eastAsia"/>
        </w:rPr>
        <w:t>3组，每组8次</w:t>
      </w:r>
      <w:r>
        <w:rPr>
          <w:rFonts w:hAnsi="宋体" w:hint="eastAsia"/>
        </w:rPr>
        <w:t>～</w:t>
      </w:r>
      <w:r>
        <w:rPr>
          <w:rFonts w:hint="eastAsia"/>
        </w:rPr>
        <w:t>12次。柔韧性训练可在有氧运动或力量训练前后进行，每次每个动作保持15 s</w:t>
      </w:r>
      <w:r>
        <w:rPr>
          <w:rFonts w:hAnsi="宋体" w:hint="eastAsia"/>
        </w:rPr>
        <w:t>～</w:t>
      </w:r>
      <w:r>
        <w:rPr>
          <w:rFonts w:hint="eastAsia"/>
        </w:rPr>
        <w:t>30 s。</w:t>
      </w:r>
      <w:r>
        <w:rPr>
          <w:rFonts w:ascii="MS Gothic" w:eastAsia="MS Gothic" w:hAnsi="MS Gothic" w:cs="MS Gothic" w:hint="eastAsia"/>
        </w:rPr>
        <w:t>​</w:t>
      </w:r>
    </w:p>
    <w:p w14:paraId="5B0E9455" w14:textId="77777777" w:rsidR="004B1820" w:rsidRDefault="004B1820" w:rsidP="004B1820">
      <w:pPr>
        <w:pStyle w:val="af6"/>
        <w:numPr>
          <w:ilvl w:val="3"/>
          <w:numId w:val="12"/>
        </w:numPr>
        <w:spacing w:beforeLines="50" w:before="120" w:afterLines="50" w:after="120"/>
      </w:pPr>
      <w:bookmarkStart w:id="78" w:name="_Toc208487114"/>
      <w:r>
        <w:rPr>
          <w:rFonts w:hint="eastAsia"/>
        </w:rPr>
        <w:t>作息</w:t>
      </w:r>
      <w:r>
        <w:rPr>
          <w:rFonts w:ascii="MS Gothic" w:eastAsia="MS Gothic" w:hAnsi="MS Gothic" w:cs="MS Gothic" w:hint="eastAsia"/>
        </w:rPr>
        <w:t>​</w:t>
      </w:r>
      <w:r>
        <w:rPr>
          <w:rFonts w:ascii="微软雅黑" w:eastAsia="微软雅黑" w:hAnsi="微软雅黑" w:cs="微软雅黑" w:hint="eastAsia"/>
        </w:rPr>
        <w:t>时间</w:t>
      </w:r>
      <w:bookmarkEnd w:id="78"/>
    </w:p>
    <w:p w14:paraId="595D6FC6" w14:textId="77777777" w:rsidR="004B1820" w:rsidRDefault="004B1820" w:rsidP="004B1820">
      <w:pPr>
        <w:pStyle w:val="afff2"/>
        <w:ind w:firstLine="420"/>
        <w:rPr>
          <w:rFonts w:hAnsi="宋体"/>
        </w:rPr>
      </w:pPr>
      <w:r>
        <w:rPr>
          <w:rFonts w:hint="eastAsia"/>
        </w:rPr>
        <w:t>宜保持规律作息时间，每天7 h</w:t>
      </w:r>
      <w:r>
        <w:rPr>
          <w:rFonts w:hAnsi="宋体" w:hint="eastAsia"/>
        </w:rPr>
        <w:t>～</w:t>
      </w:r>
      <w:r>
        <w:rPr>
          <w:rFonts w:hint="eastAsia"/>
        </w:rPr>
        <w:t>8 h的睡眠，23:00前入睡，睡前避免使用电子设备、剧烈运动以及饮用咖啡、浓茶等刺激性饮品，保持卧室安静舒适。</w:t>
      </w:r>
      <w:r>
        <w:rPr>
          <w:rFonts w:ascii="MS Gothic" w:eastAsia="MS Gothic" w:hAnsi="MS Gothic" w:cs="MS Gothic" w:hint="eastAsia"/>
        </w:rPr>
        <w:t>​</w:t>
      </w:r>
      <w:r>
        <w:rPr>
          <w:rFonts w:hAnsi="宋体" w:cs="微软雅黑" w:hint="eastAsia"/>
        </w:rPr>
        <w:t>对</w:t>
      </w:r>
      <w:r>
        <w:rPr>
          <w:rFonts w:hAnsi="宋体" w:cs="MS Gothic" w:hint="eastAsia"/>
        </w:rPr>
        <w:t>于伴有睡眠障碍的代</w:t>
      </w:r>
      <w:r>
        <w:rPr>
          <w:rFonts w:hAnsi="宋体" w:cs="微软雅黑" w:hint="eastAsia"/>
        </w:rPr>
        <w:t>谢</w:t>
      </w:r>
      <w:r>
        <w:rPr>
          <w:rFonts w:hAnsi="宋体" w:cs="MS Gothic" w:hint="eastAsia"/>
        </w:rPr>
        <w:t>性疾病人</w:t>
      </w:r>
      <w:r>
        <w:rPr>
          <w:rFonts w:hAnsi="宋体" w:cs="微软雅黑" w:hint="eastAsia"/>
        </w:rPr>
        <w:t>员</w:t>
      </w:r>
      <w:r>
        <w:rPr>
          <w:rFonts w:hAnsi="宋体" w:cs="MS Gothic" w:hint="eastAsia"/>
        </w:rPr>
        <w:t>，在</w:t>
      </w:r>
      <w:r>
        <w:rPr>
          <w:rFonts w:hAnsi="宋体" w:cs="微软雅黑" w:hint="eastAsia"/>
        </w:rPr>
        <w:t>专业评</w:t>
      </w:r>
      <w:r>
        <w:rPr>
          <w:rFonts w:hAnsi="宋体" w:cs="MS Gothic" w:hint="eastAsia"/>
        </w:rPr>
        <w:t>估和指</w:t>
      </w:r>
      <w:r>
        <w:rPr>
          <w:rFonts w:hAnsi="宋体" w:cs="微软雅黑" w:hint="eastAsia"/>
        </w:rPr>
        <w:t>导</w:t>
      </w:r>
      <w:r>
        <w:rPr>
          <w:rFonts w:hAnsi="宋体" w:cs="MS Gothic" w:hint="eastAsia"/>
        </w:rPr>
        <w:t>下，可考</w:t>
      </w:r>
      <w:r>
        <w:rPr>
          <w:rFonts w:hAnsi="宋体" w:cs="微软雅黑" w:hint="eastAsia"/>
        </w:rPr>
        <w:t>虑</w:t>
      </w:r>
      <w:r>
        <w:rPr>
          <w:rFonts w:hAnsi="宋体" w:cs="MS Gothic" w:hint="eastAsia"/>
        </w:rPr>
        <w:t>使用</w:t>
      </w:r>
      <w:r>
        <w:rPr>
          <w:rFonts w:hAnsi="宋体" w:cs="微软雅黑" w:hint="eastAsia"/>
        </w:rPr>
        <w:t>经</w:t>
      </w:r>
      <w:r>
        <w:rPr>
          <w:rFonts w:hAnsi="宋体" w:cs="MS Gothic" w:hint="eastAsia"/>
        </w:rPr>
        <w:t>科学研究</w:t>
      </w:r>
      <w:r>
        <w:rPr>
          <w:rFonts w:hAnsi="宋体" w:cs="微软雅黑" w:hint="eastAsia"/>
        </w:rPr>
        <w:t>证实</w:t>
      </w:r>
      <w:r>
        <w:rPr>
          <w:rFonts w:hAnsi="宋体" w:cs="MS Gothic" w:hint="eastAsia"/>
        </w:rPr>
        <w:t>有助于改善睡眠的功能性食品（如某些特定益生菌菌株、γ-氨基丁酸等）。</w:t>
      </w:r>
    </w:p>
    <w:p w14:paraId="7095D22C" w14:textId="77777777" w:rsidR="004B1820" w:rsidRDefault="004B1820" w:rsidP="004B1820">
      <w:pPr>
        <w:pStyle w:val="af6"/>
        <w:numPr>
          <w:ilvl w:val="3"/>
          <w:numId w:val="12"/>
        </w:numPr>
        <w:spacing w:beforeLines="50" w:before="120" w:afterLines="50" w:after="120"/>
      </w:pPr>
      <w:bookmarkStart w:id="79" w:name="_Toc208487115"/>
      <w:r>
        <w:rPr>
          <w:rFonts w:hint="eastAsia"/>
        </w:rPr>
        <w:t>戒烟限酒</w:t>
      </w:r>
      <w:r>
        <w:rPr>
          <w:rFonts w:ascii="MS Gothic" w:eastAsia="MS Gothic" w:hAnsi="MS Gothic" w:cs="MS Gothic" w:hint="eastAsia"/>
        </w:rPr>
        <w:t>​</w:t>
      </w:r>
      <w:bookmarkEnd w:id="79"/>
    </w:p>
    <w:p w14:paraId="3EACDA9F" w14:textId="77777777" w:rsidR="004B1820" w:rsidRDefault="004B1820" w:rsidP="004B1820">
      <w:pPr>
        <w:pStyle w:val="afff2"/>
        <w:ind w:firstLine="420"/>
        <w:rPr>
          <w:rFonts w:ascii="MS Gothic" w:eastAsiaTheme="minorEastAsia" w:hAnsi="MS Gothic" w:cs="MS Gothic"/>
        </w:rPr>
      </w:pPr>
      <w:r>
        <w:rPr>
          <w:rFonts w:hint="eastAsia"/>
        </w:rPr>
        <w:t>宜戒烟或减少吸烟次数。可采用戒烟药物、心理咨询等综合方法帮助戒烟。限制酒精摄入，男性每日饮酒量不超过25 g纯酒精，女性不超过15 g纯酒精。</w:t>
      </w:r>
      <w:r>
        <w:rPr>
          <w:rFonts w:ascii="MS Gothic" w:eastAsia="MS Gothic" w:hAnsi="MS Gothic" w:cs="MS Gothic" w:hint="eastAsia"/>
        </w:rPr>
        <w:t>​</w:t>
      </w:r>
    </w:p>
    <w:p w14:paraId="084BCA53" w14:textId="77777777" w:rsidR="004B1820" w:rsidRDefault="004B1820" w:rsidP="004B1820">
      <w:pPr>
        <w:pStyle w:val="af6"/>
        <w:numPr>
          <w:ilvl w:val="3"/>
          <w:numId w:val="12"/>
        </w:numPr>
        <w:spacing w:beforeLines="50" w:before="120" w:afterLines="50" w:after="120"/>
        <w:rPr>
          <w:rFonts w:cs="Times New Roman"/>
        </w:rPr>
      </w:pPr>
      <w:bookmarkStart w:id="80" w:name="_Toc208487116"/>
      <w:r>
        <w:rPr>
          <w:rFonts w:hint="eastAsia"/>
        </w:rPr>
        <w:t>活动增加</w:t>
      </w:r>
      <w:bookmarkEnd w:id="80"/>
    </w:p>
    <w:p w14:paraId="5E9D8D58" w14:textId="77777777" w:rsidR="004B1820" w:rsidRDefault="004B1820" w:rsidP="004B1820">
      <w:pPr>
        <w:pStyle w:val="afff2"/>
        <w:ind w:firstLine="420"/>
      </w:pPr>
      <w:r>
        <w:rPr>
          <w:rFonts w:hint="eastAsia"/>
        </w:rPr>
        <w:t>宜减少久坐时间，每30min</w:t>
      </w:r>
      <w:r>
        <w:rPr>
          <w:rFonts w:hAnsi="宋体" w:hint="eastAsia"/>
        </w:rPr>
        <w:t>～</w:t>
      </w:r>
      <w:r>
        <w:rPr>
          <w:rFonts w:hint="eastAsia"/>
        </w:rPr>
        <w:t>60min起身活动，可站立、走动或拉伸。</w:t>
      </w:r>
    </w:p>
    <w:p w14:paraId="5D4455D7" w14:textId="77777777" w:rsidR="004B1820" w:rsidRDefault="004B1820" w:rsidP="004B1820">
      <w:pPr>
        <w:pStyle w:val="af5"/>
        <w:numPr>
          <w:ilvl w:val="2"/>
          <w:numId w:val="12"/>
        </w:numPr>
        <w:spacing w:beforeLines="50" w:before="120" w:afterLines="50" w:after="120"/>
      </w:pPr>
      <w:bookmarkStart w:id="81" w:name="_Toc207976239"/>
      <w:bookmarkStart w:id="82" w:name="_Toc204593902"/>
      <w:bookmarkStart w:id="83" w:name="_Toc208487117"/>
      <w:r>
        <w:rPr>
          <w:rFonts w:hint="eastAsia"/>
        </w:rPr>
        <w:t>营养干预</w:t>
      </w:r>
      <w:r>
        <w:rPr>
          <w:rFonts w:ascii="MS Gothic" w:eastAsia="MS Gothic" w:hAnsi="MS Gothic" w:cs="MS Gothic" w:hint="eastAsia"/>
        </w:rPr>
        <w:t>​</w:t>
      </w:r>
      <w:bookmarkEnd w:id="81"/>
      <w:bookmarkEnd w:id="82"/>
      <w:bookmarkEnd w:id="83"/>
    </w:p>
    <w:p w14:paraId="219DF006" w14:textId="77777777" w:rsidR="004B1820" w:rsidRDefault="004B1820" w:rsidP="004B1820">
      <w:pPr>
        <w:pStyle w:val="af6"/>
        <w:numPr>
          <w:ilvl w:val="3"/>
          <w:numId w:val="12"/>
        </w:numPr>
        <w:spacing w:beforeLines="50" w:before="120" w:afterLines="50" w:after="120"/>
        <w:rPr>
          <w:rFonts w:ascii="MS Gothic" w:eastAsiaTheme="minorEastAsia" w:hAnsi="MS Gothic" w:cs="MS Gothic"/>
        </w:rPr>
      </w:pPr>
      <w:bookmarkStart w:id="84" w:name="_Toc208487118"/>
      <w:r>
        <w:rPr>
          <w:rFonts w:hint="eastAsia"/>
        </w:rPr>
        <w:t>个性化营养评估</w:t>
      </w:r>
      <w:r>
        <w:rPr>
          <w:rFonts w:ascii="MS Gothic" w:eastAsia="MS Gothic" w:hAnsi="MS Gothic" w:cs="MS Gothic" w:hint="eastAsia"/>
        </w:rPr>
        <w:t>​</w:t>
      </w:r>
      <w:bookmarkEnd w:id="84"/>
    </w:p>
    <w:p w14:paraId="430DE4A1" w14:textId="77777777" w:rsidR="004B1820" w:rsidRDefault="004B1820" w:rsidP="004B1820">
      <w:pPr>
        <w:pStyle w:val="afff2"/>
        <w:ind w:firstLine="420"/>
      </w:pPr>
      <w:r>
        <w:rPr>
          <w:rFonts w:hint="eastAsia"/>
        </w:rPr>
        <w:t xml:space="preserve">下面提供了个性化营养评估的信息： </w:t>
      </w:r>
    </w:p>
    <w:p w14:paraId="0708D526" w14:textId="77777777" w:rsidR="004B1820" w:rsidRDefault="004B1820" w:rsidP="004B1820">
      <w:pPr>
        <w:pStyle w:val="a6"/>
        <w:numPr>
          <w:ilvl w:val="0"/>
          <w:numId w:val="13"/>
        </w:numPr>
      </w:pPr>
      <w:r>
        <w:rPr>
          <w:rFonts w:hint="eastAsia"/>
        </w:rPr>
        <w:t>由专业营养师通过询问病史、饮食调查、人体测量、生化指标检测等，对代谢性疾病人员的营养状况全面评估；</w:t>
      </w:r>
    </w:p>
    <w:p w14:paraId="78E5D26A" w14:textId="77777777" w:rsidR="004B1820" w:rsidRDefault="004B1820" w:rsidP="004B1820">
      <w:pPr>
        <w:pStyle w:val="a6"/>
        <w:numPr>
          <w:ilvl w:val="0"/>
          <w:numId w:val="13"/>
        </w:numPr>
      </w:pPr>
      <w:r>
        <w:rPr>
          <w:rFonts w:hint="eastAsia"/>
        </w:rPr>
        <w:t>了解代谢性疾病人员饮食习惯、食物过敏史、营养摄入情况，测量身高、体重、腰围、体脂率等；</w:t>
      </w:r>
    </w:p>
    <w:p w14:paraId="23C634E1" w14:textId="77777777" w:rsidR="004B1820" w:rsidRPr="004B1820" w:rsidRDefault="004B1820" w:rsidP="004B1820">
      <w:pPr>
        <w:pStyle w:val="a6"/>
        <w:numPr>
          <w:ilvl w:val="0"/>
          <w:numId w:val="13"/>
        </w:numPr>
      </w:pPr>
      <w:r>
        <w:rPr>
          <w:rFonts w:hint="eastAsia"/>
        </w:rPr>
        <w:lastRenderedPageBreak/>
        <w:t>检测血糖、血脂、肝功能、肾功能、电解质等指标，判断患者是否存在营养不良、营养过剩</w:t>
      </w:r>
      <w:r w:rsidRPr="004B1820">
        <w:rPr>
          <w:rFonts w:hint="eastAsia"/>
        </w:rPr>
        <w:t>或营养失衡；</w:t>
      </w:r>
    </w:p>
    <w:p w14:paraId="05E765B2" w14:textId="77777777" w:rsidR="004B1820" w:rsidRPr="004B1820" w:rsidRDefault="004B1820" w:rsidP="004B1820">
      <w:pPr>
        <w:pStyle w:val="a6"/>
        <w:numPr>
          <w:ilvl w:val="0"/>
          <w:numId w:val="13"/>
        </w:numPr>
      </w:pPr>
      <w:r w:rsidRPr="004B1820">
        <w:rPr>
          <w:rFonts w:hint="eastAsia"/>
        </w:rPr>
        <w:t>对代谢综合征（肥胖、高血糖、高血脂）人群，可增加茶褐素摄入适应性评估，包括日常饮茶习惯、肝肾功能耐受情况等。</w:t>
      </w:r>
      <w:r w:rsidRPr="004B1820">
        <w:rPr>
          <w:rFonts w:ascii="MS Gothic" w:eastAsia="MS Gothic" w:hAnsi="MS Gothic" w:cs="MS Gothic" w:hint="eastAsia"/>
        </w:rPr>
        <w:t>​</w:t>
      </w:r>
    </w:p>
    <w:p w14:paraId="19351BDB" w14:textId="77777777" w:rsidR="004B1820" w:rsidRPr="004B1820" w:rsidRDefault="004B1820" w:rsidP="004B1820">
      <w:pPr>
        <w:pStyle w:val="af6"/>
        <w:numPr>
          <w:ilvl w:val="3"/>
          <w:numId w:val="12"/>
        </w:numPr>
        <w:spacing w:beforeLines="50" w:before="120" w:afterLines="50" w:after="120"/>
      </w:pPr>
      <w:bookmarkStart w:id="85" w:name="_Toc208487119"/>
      <w:r w:rsidRPr="004B1820">
        <w:rPr>
          <w:rFonts w:hint="eastAsia"/>
        </w:rPr>
        <w:t>营养方案制定</w:t>
      </w:r>
      <w:r w:rsidRPr="004B1820">
        <w:rPr>
          <w:rFonts w:ascii="MS Gothic" w:eastAsia="MS Gothic" w:hAnsi="MS Gothic" w:cs="MS Gothic" w:hint="eastAsia"/>
        </w:rPr>
        <w:t>​</w:t>
      </w:r>
      <w:bookmarkEnd w:id="85"/>
    </w:p>
    <w:p w14:paraId="257A7142" w14:textId="77777777" w:rsidR="004B1820" w:rsidRPr="004B1820" w:rsidRDefault="004B1820" w:rsidP="004B1820">
      <w:pPr>
        <w:pStyle w:val="afff2"/>
        <w:ind w:firstLine="420"/>
      </w:pPr>
      <w:r w:rsidRPr="004B1820">
        <w:rPr>
          <w:rFonts w:hint="eastAsia"/>
        </w:rPr>
        <w:t>宜根据营养评估结果，结合代谢性疾病人员的病情和个体需求，制定个性化营养方案。方案包括每日总热量、营养素供能比例、食物种类和摄入量。</w:t>
      </w:r>
    </w:p>
    <w:p w14:paraId="6557BC81" w14:textId="77777777" w:rsidR="004B1820" w:rsidRPr="004B1820" w:rsidRDefault="004B1820" w:rsidP="004B1820">
      <w:pPr>
        <w:pStyle w:val="aa"/>
        <w:numPr>
          <w:ilvl w:val="0"/>
          <w:numId w:val="15"/>
        </w:numPr>
      </w:pPr>
      <w:r w:rsidRPr="004B1820">
        <w:rPr>
          <w:rFonts w:hint="eastAsia"/>
        </w:rPr>
        <w:t>糖尿病人员控制碳水化合物摄入总量</w:t>
      </w:r>
      <w:proofErr w:type="gramStart"/>
      <w:r w:rsidRPr="004B1820">
        <w:rPr>
          <w:rFonts w:hint="eastAsia"/>
        </w:rPr>
        <w:t>和升糖指数</w:t>
      </w:r>
      <w:proofErr w:type="gramEnd"/>
      <w:r w:rsidRPr="004B1820">
        <w:rPr>
          <w:rFonts w:hint="eastAsia"/>
        </w:rPr>
        <w:t>，选择</w:t>
      </w:r>
      <w:proofErr w:type="gramStart"/>
      <w:r w:rsidRPr="004B1820">
        <w:rPr>
          <w:rFonts w:hint="eastAsia"/>
        </w:rPr>
        <w:t>低升糖指数</w:t>
      </w:r>
      <w:proofErr w:type="gramEnd"/>
      <w:r w:rsidRPr="004B1820">
        <w:rPr>
          <w:rFonts w:hint="eastAsia"/>
        </w:rPr>
        <w:t>食物。</w:t>
      </w:r>
    </w:p>
    <w:p w14:paraId="71E77E4C" w14:textId="53F84200" w:rsidR="004B1820" w:rsidRPr="004B1820" w:rsidRDefault="004B1820" w:rsidP="004B1820">
      <w:pPr>
        <w:pStyle w:val="aa"/>
        <w:numPr>
          <w:ilvl w:val="0"/>
          <w:numId w:val="15"/>
        </w:numPr>
      </w:pPr>
      <w:r w:rsidRPr="004B1820">
        <w:rPr>
          <w:rFonts w:hint="eastAsia"/>
        </w:rPr>
        <w:t>肥胖人员控制热量摄入，增加膳食纤维摄入，促进饱腹感，可在每日早餐后、晚餐后分别补充含茶褐素的食品，辅助控制体重（依据动物功能实验数据，高剂量茶褐素可降低代谢综合征模型大鼠体重 13.37%（P</w:t>
      </w:r>
      <w:r>
        <w:rPr>
          <w:rFonts w:hint="eastAsia"/>
        </w:rPr>
        <w:t>＜</w:t>
      </w:r>
      <w:r w:rsidRPr="004B1820">
        <w:rPr>
          <w:rFonts w:hint="eastAsia"/>
        </w:rPr>
        <w:t>0.05））。</w:t>
      </w:r>
    </w:p>
    <w:p w14:paraId="58E516DB" w14:textId="77777777" w:rsidR="004B1820" w:rsidRPr="004B1820" w:rsidRDefault="004B1820" w:rsidP="004B1820">
      <w:pPr>
        <w:pStyle w:val="aa"/>
        <w:numPr>
          <w:ilvl w:val="0"/>
          <w:numId w:val="15"/>
        </w:numPr>
      </w:pPr>
      <w:r w:rsidRPr="004B1820">
        <w:rPr>
          <w:rFonts w:hint="eastAsia"/>
        </w:rPr>
        <w:t>血脂异常人员控制脂肪摄入，特别是饱和脂肪和胆固醇摄入。</w:t>
      </w:r>
    </w:p>
    <w:p w14:paraId="67AAA31A" w14:textId="77777777" w:rsidR="004B1820" w:rsidRPr="004B1820" w:rsidRDefault="004B1820" w:rsidP="004B1820">
      <w:pPr>
        <w:pStyle w:val="aa"/>
        <w:numPr>
          <w:ilvl w:val="0"/>
          <w:numId w:val="15"/>
        </w:numPr>
      </w:pPr>
      <w:r w:rsidRPr="004B1820">
        <w:rPr>
          <w:rFonts w:hint="eastAsia"/>
        </w:rPr>
        <w:t>可结合具有辅助代谢调节作用的天然成分，如茶褐素，其在大鼠实验及人体试验中显示出改善体重、血糖及血脂的潜在效果。</w:t>
      </w:r>
    </w:p>
    <w:p w14:paraId="18400A98" w14:textId="77777777" w:rsidR="004B1820" w:rsidRPr="004B1820" w:rsidRDefault="004B1820" w:rsidP="004B1820">
      <w:pPr>
        <w:pStyle w:val="af6"/>
        <w:numPr>
          <w:ilvl w:val="3"/>
          <w:numId w:val="12"/>
        </w:numPr>
        <w:spacing w:beforeLines="50" w:before="120" w:afterLines="50" w:after="120"/>
      </w:pPr>
      <w:bookmarkStart w:id="86" w:name="_Toc208487120"/>
      <w:r w:rsidRPr="004B1820">
        <w:rPr>
          <w:rFonts w:hint="eastAsia"/>
        </w:rPr>
        <w:t>营养补充</w:t>
      </w:r>
      <w:r w:rsidRPr="004B1820">
        <w:rPr>
          <w:rFonts w:ascii="MS Gothic" w:eastAsia="MS Gothic" w:hAnsi="MS Gothic" w:cs="MS Gothic" w:hint="eastAsia"/>
        </w:rPr>
        <w:t>​</w:t>
      </w:r>
      <w:bookmarkEnd w:id="86"/>
    </w:p>
    <w:p w14:paraId="6BE31D24" w14:textId="77777777" w:rsidR="004B1820" w:rsidRPr="004B1820" w:rsidRDefault="004B1820" w:rsidP="004B1820">
      <w:pPr>
        <w:pStyle w:val="afff2"/>
        <w:ind w:firstLine="420"/>
        <w:rPr>
          <w:rFonts w:ascii="MS Gothic" w:eastAsiaTheme="minorEastAsia" w:hAnsi="MS Gothic" w:cs="MS Gothic"/>
        </w:rPr>
      </w:pPr>
      <w:r w:rsidRPr="004B1820">
        <w:rPr>
          <w:rFonts w:hint="eastAsia"/>
        </w:rPr>
        <w:t>部分代谢性疾病人员因饮食限制、吸收不良或特殊生理状态，可能存在营养素缺乏，需适当营养补充。营养补充宜在专业医生或营养师指导下进行，避免过量补充导致不良反应。</w:t>
      </w:r>
      <w:r w:rsidRPr="004B1820">
        <w:rPr>
          <w:rFonts w:ascii="MS Gothic" w:eastAsia="MS Gothic" w:hAnsi="MS Gothic" w:cs="MS Gothic" w:hint="eastAsia"/>
        </w:rPr>
        <w:t>​</w:t>
      </w:r>
    </w:p>
    <w:p w14:paraId="02E1E990" w14:textId="77777777" w:rsidR="004B1820" w:rsidRPr="004B1820" w:rsidRDefault="004B1820" w:rsidP="004B1820">
      <w:pPr>
        <w:pStyle w:val="aa"/>
        <w:numPr>
          <w:ilvl w:val="0"/>
          <w:numId w:val="16"/>
        </w:numPr>
      </w:pPr>
      <w:r w:rsidRPr="004B1820">
        <w:rPr>
          <w:rFonts w:hint="eastAsia"/>
        </w:rPr>
        <w:t>在专业指导下，可使用经科学研究证实的辅助代谢调节的功能性食品或成分，如茶褐素。</w:t>
      </w:r>
    </w:p>
    <w:p w14:paraId="2FC9F9FA" w14:textId="77777777" w:rsidR="004B1820" w:rsidRPr="004B1820" w:rsidRDefault="004B1820" w:rsidP="004B1820">
      <w:pPr>
        <w:pStyle w:val="aa"/>
        <w:numPr>
          <w:ilvl w:val="0"/>
          <w:numId w:val="15"/>
        </w:numPr>
      </w:pPr>
      <w:r w:rsidRPr="004B1820">
        <w:rPr>
          <w:rFonts w:hint="eastAsia"/>
        </w:rPr>
        <w:t>在专业指导下，可根据个体需求，补充特定营养素或功能性成分（如维生素D、ω-3脂肪酸、益生菌制剂等）。</w:t>
      </w:r>
    </w:p>
    <w:p w14:paraId="7287BC4B" w14:textId="77777777" w:rsidR="004B1820" w:rsidRPr="004B1820" w:rsidRDefault="004B1820" w:rsidP="004B1820">
      <w:pPr>
        <w:pStyle w:val="af5"/>
        <w:numPr>
          <w:ilvl w:val="2"/>
          <w:numId w:val="12"/>
        </w:numPr>
        <w:spacing w:beforeLines="50" w:before="120" w:afterLines="50" w:after="120"/>
      </w:pPr>
      <w:bookmarkStart w:id="87" w:name="_Toc207976240"/>
      <w:bookmarkStart w:id="88" w:name="_Toc204593903"/>
      <w:bookmarkStart w:id="89" w:name="_Toc208487121"/>
      <w:r w:rsidRPr="004B1820">
        <w:rPr>
          <w:rFonts w:hint="eastAsia"/>
        </w:rPr>
        <w:t>心理行为干预</w:t>
      </w:r>
      <w:r w:rsidRPr="004B1820">
        <w:rPr>
          <w:rFonts w:ascii="MS Gothic" w:eastAsia="MS Gothic" w:hAnsi="MS Gothic" w:cs="MS Gothic" w:hint="eastAsia"/>
        </w:rPr>
        <w:t>​</w:t>
      </w:r>
      <w:bookmarkEnd w:id="87"/>
      <w:bookmarkEnd w:id="88"/>
      <w:bookmarkEnd w:id="89"/>
    </w:p>
    <w:p w14:paraId="5C4F7D3C" w14:textId="77777777" w:rsidR="004B1820" w:rsidRDefault="004B1820" w:rsidP="004B1820">
      <w:pPr>
        <w:pStyle w:val="af6"/>
        <w:numPr>
          <w:ilvl w:val="3"/>
          <w:numId w:val="12"/>
        </w:numPr>
        <w:spacing w:beforeLines="50" w:before="120" w:afterLines="50" w:after="120"/>
      </w:pPr>
      <w:bookmarkStart w:id="90" w:name="_Toc208487122"/>
      <w:r>
        <w:rPr>
          <w:rFonts w:hint="eastAsia"/>
        </w:rPr>
        <w:t>心理评估</w:t>
      </w:r>
      <w:r>
        <w:rPr>
          <w:rFonts w:ascii="MS Gothic" w:eastAsia="MS Gothic" w:hAnsi="MS Gothic" w:cs="MS Gothic" w:hint="eastAsia"/>
        </w:rPr>
        <w:t>​</w:t>
      </w:r>
      <w:bookmarkEnd w:id="90"/>
    </w:p>
    <w:p w14:paraId="70844787" w14:textId="77777777" w:rsidR="004B1820" w:rsidRDefault="004B1820" w:rsidP="004B1820">
      <w:pPr>
        <w:pStyle w:val="afff2"/>
        <w:ind w:firstLine="420"/>
      </w:pPr>
      <w:r>
        <w:rPr>
          <w:rFonts w:hint="eastAsia"/>
        </w:rPr>
        <w:t>宜由专业心理医生或心理咨询师通过问卷调查、面谈等方式，对代谢性疾病人员进行心理状态评估。了解其是否存在焦虑、抑郁、压力过大等心理问题，以及心理问题严重程度。</w:t>
      </w:r>
    </w:p>
    <w:p w14:paraId="1DB8F2FE" w14:textId="77777777" w:rsidR="004B1820" w:rsidRDefault="004B1820" w:rsidP="004B1820">
      <w:pPr>
        <w:pStyle w:val="a5"/>
      </w:pPr>
      <w:r>
        <w:rPr>
          <w:rFonts w:hint="eastAsia"/>
        </w:rPr>
        <w:t>常用心理评估工具，如医院焦虑抑郁量表（HADS）、症状自评量表（SCL-90）等。</w:t>
      </w:r>
      <w:r>
        <w:rPr>
          <w:rFonts w:ascii="MS Gothic" w:eastAsia="MS Gothic" w:hAnsi="MS Gothic" w:cs="MS Gothic" w:hint="eastAsia"/>
        </w:rPr>
        <w:t>​</w:t>
      </w:r>
    </w:p>
    <w:p w14:paraId="5B4EB1F2" w14:textId="77777777" w:rsidR="004B1820" w:rsidRDefault="004B1820" w:rsidP="004B1820">
      <w:pPr>
        <w:pStyle w:val="af6"/>
        <w:numPr>
          <w:ilvl w:val="3"/>
          <w:numId w:val="12"/>
        </w:numPr>
        <w:spacing w:beforeLines="50" w:before="120" w:afterLines="50" w:after="120"/>
      </w:pPr>
      <w:bookmarkStart w:id="91" w:name="_Toc208487123"/>
      <w:r>
        <w:rPr>
          <w:rFonts w:hint="eastAsia"/>
        </w:rPr>
        <w:t>心理干预措施</w:t>
      </w:r>
      <w:r>
        <w:rPr>
          <w:rFonts w:ascii="MS Gothic" w:eastAsia="MS Gothic" w:hAnsi="MS Gothic" w:cs="MS Gothic" w:hint="eastAsia"/>
        </w:rPr>
        <w:t>​</w:t>
      </w:r>
      <w:bookmarkEnd w:id="91"/>
    </w:p>
    <w:p w14:paraId="750D692D" w14:textId="77777777" w:rsidR="004B1820" w:rsidRDefault="004B1820" w:rsidP="004B1820">
      <w:pPr>
        <w:pStyle w:val="afff2"/>
        <w:ind w:firstLine="420"/>
      </w:pPr>
      <w:r>
        <w:rPr>
          <w:rFonts w:hint="eastAsia"/>
        </w:rPr>
        <w:t>对于存在焦虑、抑郁等心理问题人员，宜采用认知行为疗法、放松训练、支持性心理治疗等方法，下面给出了三种方法的内容：</w:t>
      </w:r>
    </w:p>
    <w:p w14:paraId="1E88E281" w14:textId="77777777" w:rsidR="004B1820" w:rsidRDefault="004B1820" w:rsidP="004B1820">
      <w:pPr>
        <w:pStyle w:val="a6"/>
        <w:numPr>
          <w:ilvl w:val="0"/>
          <w:numId w:val="13"/>
        </w:numPr>
      </w:pPr>
      <w:r>
        <w:rPr>
          <w:rFonts w:hint="eastAsia"/>
        </w:rPr>
        <w:t>认知行为疗法帮助其识别和纠正负面思维模式和行为习惯，改善情绪状态；</w:t>
      </w:r>
    </w:p>
    <w:p w14:paraId="04662BC9" w14:textId="77777777" w:rsidR="004B1820" w:rsidRDefault="004B1820" w:rsidP="004B1820">
      <w:pPr>
        <w:pStyle w:val="a6"/>
        <w:numPr>
          <w:ilvl w:val="0"/>
          <w:numId w:val="13"/>
        </w:numPr>
      </w:pPr>
      <w:r>
        <w:rPr>
          <w:rFonts w:hint="eastAsia"/>
        </w:rPr>
        <w:t>放松训练可减轻紧张焦虑情绪，如深呼吸、渐进性肌肉松弛、冥想等；</w:t>
      </w:r>
    </w:p>
    <w:p w14:paraId="5EAA64FB" w14:textId="77777777" w:rsidR="004B1820" w:rsidRDefault="004B1820" w:rsidP="004B1820">
      <w:pPr>
        <w:pStyle w:val="a6"/>
        <w:numPr>
          <w:ilvl w:val="0"/>
          <w:numId w:val="13"/>
        </w:numPr>
      </w:pPr>
      <w:r>
        <w:rPr>
          <w:rFonts w:hint="eastAsia"/>
        </w:rPr>
        <w:t>支持性心理治疗为其提供情感支持，可鼓励其表达情感，增强应对疾病信心。</w:t>
      </w:r>
      <w:r>
        <w:rPr>
          <w:rFonts w:ascii="MS Gothic" w:eastAsia="MS Gothic" w:hAnsi="MS Gothic" w:cs="MS Gothic" w:hint="eastAsia"/>
        </w:rPr>
        <w:t>​</w:t>
      </w:r>
    </w:p>
    <w:p w14:paraId="49F0DC68" w14:textId="77777777" w:rsidR="004B1820" w:rsidRDefault="004B1820" w:rsidP="004B1820">
      <w:pPr>
        <w:pStyle w:val="af6"/>
        <w:numPr>
          <w:ilvl w:val="3"/>
          <w:numId w:val="12"/>
        </w:numPr>
        <w:spacing w:beforeLines="50" w:before="120" w:afterLines="50" w:after="120"/>
      </w:pPr>
      <w:bookmarkStart w:id="92" w:name="_Toc208487124"/>
      <w:r>
        <w:rPr>
          <w:rFonts w:hint="eastAsia"/>
        </w:rPr>
        <w:t>行为干预</w:t>
      </w:r>
      <w:r>
        <w:rPr>
          <w:rFonts w:ascii="MS Gothic" w:eastAsia="MS Gothic" w:hAnsi="MS Gothic" w:cs="MS Gothic" w:hint="eastAsia"/>
        </w:rPr>
        <w:t>​</w:t>
      </w:r>
      <w:bookmarkEnd w:id="92"/>
    </w:p>
    <w:p w14:paraId="384458D9" w14:textId="77777777" w:rsidR="004B1820" w:rsidRDefault="004B1820" w:rsidP="004B1820">
      <w:pPr>
        <w:pStyle w:val="afff2"/>
        <w:ind w:firstLine="420"/>
      </w:pPr>
      <w:r>
        <w:rPr>
          <w:rFonts w:hint="eastAsia"/>
        </w:rPr>
        <w:t>宜通过行为契约、自我监测、目标设定等方法，提高患者自我管理能力，下面给出了三种方法的内容：</w:t>
      </w:r>
    </w:p>
    <w:p w14:paraId="31115938" w14:textId="77777777" w:rsidR="004B1820" w:rsidRDefault="004B1820" w:rsidP="004B1820">
      <w:pPr>
        <w:pStyle w:val="a6"/>
        <w:numPr>
          <w:ilvl w:val="0"/>
          <w:numId w:val="13"/>
        </w:numPr>
      </w:pPr>
      <w:r>
        <w:rPr>
          <w:rFonts w:hint="eastAsia"/>
        </w:rPr>
        <w:t>与代谢性疾病人员签订行为契约，明确其在饮食、运动、作息等方面应遵守行为规范和目标；</w:t>
      </w:r>
    </w:p>
    <w:p w14:paraId="019891C3" w14:textId="77777777" w:rsidR="004B1820" w:rsidRDefault="004B1820" w:rsidP="004B1820">
      <w:pPr>
        <w:pStyle w:val="a6"/>
        <w:numPr>
          <w:ilvl w:val="0"/>
          <w:numId w:val="13"/>
        </w:numPr>
      </w:pPr>
      <w:r>
        <w:rPr>
          <w:rFonts w:hint="eastAsia"/>
        </w:rPr>
        <w:t>患者自我监测行为执行情况，定期回顾和调整目标；</w:t>
      </w:r>
    </w:p>
    <w:p w14:paraId="551CA634" w14:textId="77777777" w:rsidR="004B1820" w:rsidRDefault="004B1820" w:rsidP="004B1820">
      <w:pPr>
        <w:pStyle w:val="a6"/>
        <w:numPr>
          <w:ilvl w:val="0"/>
          <w:numId w:val="13"/>
        </w:numPr>
      </w:pPr>
      <w:r>
        <w:rPr>
          <w:rFonts w:hint="eastAsia"/>
        </w:rPr>
        <w:t>组织患者参加健康行为小组活动，通过同伴支持和监督，增强患者改变行为动力和信心。</w:t>
      </w:r>
      <w:r>
        <w:rPr>
          <w:rFonts w:ascii="MS Gothic" w:eastAsia="MS Gothic" w:hAnsi="MS Gothic" w:cs="MS Gothic" w:hint="eastAsia"/>
        </w:rPr>
        <w:t>​</w:t>
      </w:r>
    </w:p>
    <w:p w14:paraId="4720F3DB" w14:textId="77777777" w:rsidR="004B1820" w:rsidRDefault="004B1820" w:rsidP="004B1820">
      <w:pPr>
        <w:pStyle w:val="af5"/>
        <w:numPr>
          <w:ilvl w:val="2"/>
          <w:numId w:val="12"/>
        </w:numPr>
        <w:spacing w:beforeLines="50" w:before="120" w:afterLines="50" w:after="120"/>
      </w:pPr>
      <w:bookmarkStart w:id="93" w:name="_Toc207976241"/>
      <w:bookmarkStart w:id="94" w:name="_Toc204593904"/>
      <w:bookmarkStart w:id="95" w:name="_Toc208487125"/>
      <w:r>
        <w:rPr>
          <w:rFonts w:hint="eastAsia"/>
        </w:rPr>
        <w:t>传统医学疗法</w:t>
      </w:r>
      <w:r>
        <w:rPr>
          <w:rFonts w:ascii="MS Gothic" w:eastAsia="MS Gothic" w:hAnsi="MS Gothic" w:cs="MS Gothic" w:hint="eastAsia"/>
        </w:rPr>
        <w:t>​</w:t>
      </w:r>
      <w:bookmarkEnd w:id="93"/>
      <w:bookmarkEnd w:id="94"/>
      <w:bookmarkEnd w:id="95"/>
    </w:p>
    <w:p w14:paraId="5637EB21" w14:textId="77777777" w:rsidR="004B1820" w:rsidRDefault="004B1820" w:rsidP="004B1820">
      <w:pPr>
        <w:pStyle w:val="af6"/>
        <w:numPr>
          <w:ilvl w:val="3"/>
          <w:numId w:val="12"/>
        </w:numPr>
        <w:spacing w:beforeLines="50" w:before="120" w:afterLines="50" w:after="120"/>
      </w:pPr>
      <w:bookmarkStart w:id="96" w:name="_Toc208487126"/>
      <w:r>
        <w:rPr>
          <w:rFonts w:hint="eastAsia"/>
        </w:rPr>
        <w:t>中医食疗</w:t>
      </w:r>
      <w:r>
        <w:rPr>
          <w:rFonts w:ascii="MS Gothic" w:eastAsia="MS Gothic" w:hAnsi="MS Gothic" w:cs="MS Gothic" w:hint="eastAsia"/>
        </w:rPr>
        <w:t>​</w:t>
      </w:r>
      <w:bookmarkEnd w:id="96"/>
    </w:p>
    <w:p w14:paraId="3A443146" w14:textId="77777777" w:rsidR="004B1820" w:rsidRDefault="004B1820" w:rsidP="004B1820">
      <w:pPr>
        <w:pStyle w:val="afff2"/>
        <w:ind w:firstLine="420"/>
      </w:pPr>
      <w:r>
        <w:rPr>
          <w:rFonts w:hint="eastAsia"/>
        </w:rPr>
        <w:t>中医食疗强调食物性味归经和配伍原则，饮食合理搭配是重要因素，调节人体阴阳平衡、气血运行，改善代谢功能，宜结合患者体质和病情，制定中医食疗方案。</w:t>
      </w:r>
    </w:p>
    <w:p w14:paraId="65230D90" w14:textId="77777777" w:rsidR="004B1820" w:rsidRDefault="004B1820" w:rsidP="004B1820">
      <w:pPr>
        <w:pStyle w:val="aa"/>
        <w:numPr>
          <w:ilvl w:val="0"/>
          <w:numId w:val="17"/>
        </w:numPr>
      </w:pPr>
      <w:r>
        <w:rPr>
          <w:rFonts w:hint="eastAsia"/>
        </w:rPr>
        <w:t>阴虚体质糖尿病患者，可食用具有滋阴清热作用食物，</w:t>
      </w:r>
      <w:proofErr w:type="gramStart"/>
      <w:r>
        <w:rPr>
          <w:rFonts w:hint="eastAsia"/>
        </w:rPr>
        <w:t>如苦</w:t>
      </w:r>
      <w:proofErr w:type="gramEnd"/>
      <w:r>
        <w:rPr>
          <w:rFonts w:hint="eastAsia"/>
        </w:rPr>
        <w:t>瓜、黄瓜、芹菜、百合、银耳等。</w:t>
      </w:r>
    </w:p>
    <w:p w14:paraId="0CCC43ED" w14:textId="77777777" w:rsidR="004B1820" w:rsidRDefault="004B1820" w:rsidP="004B1820">
      <w:pPr>
        <w:pStyle w:val="aa"/>
        <w:numPr>
          <w:ilvl w:val="0"/>
          <w:numId w:val="15"/>
        </w:numPr>
      </w:pPr>
      <w:r>
        <w:rPr>
          <w:rFonts w:hint="eastAsia"/>
        </w:rPr>
        <w:t>痰湿体质肥胖患者，可食用具有健脾利湿作用食物，如薏米、芡实、红豆、冬瓜、荷叶等。</w:t>
      </w:r>
    </w:p>
    <w:p w14:paraId="1356A32F" w14:textId="77777777" w:rsidR="004B1820" w:rsidRDefault="004B1820" w:rsidP="004B1820">
      <w:pPr>
        <w:pStyle w:val="af6"/>
        <w:numPr>
          <w:ilvl w:val="3"/>
          <w:numId w:val="12"/>
        </w:numPr>
        <w:spacing w:beforeLines="50" w:before="120" w:afterLines="50" w:after="120"/>
        <w:rPr>
          <w:rFonts w:ascii="MS Gothic" w:eastAsiaTheme="minorEastAsia" w:hAnsi="MS Gothic" w:cs="MS Gothic"/>
        </w:rPr>
      </w:pPr>
      <w:bookmarkStart w:id="97" w:name="_Toc208487127"/>
      <w:r>
        <w:rPr>
          <w:rFonts w:hint="eastAsia"/>
        </w:rPr>
        <w:t>针灸推拿</w:t>
      </w:r>
      <w:r>
        <w:rPr>
          <w:rFonts w:ascii="MS Gothic" w:eastAsia="MS Gothic" w:hAnsi="MS Gothic" w:cs="MS Gothic" w:hint="eastAsia"/>
        </w:rPr>
        <w:t>​</w:t>
      </w:r>
      <w:bookmarkEnd w:id="97"/>
    </w:p>
    <w:p w14:paraId="7DBEEB82" w14:textId="77777777" w:rsidR="004B1820" w:rsidRDefault="004B1820" w:rsidP="004B1820">
      <w:pPr>
        <w:pStyle w:val="afff2"/>
        <w:ind w:firstLine="420"/>
      </w:pPr>
      <w:r>
        <w:rPr>
          <w:rFonts w:hint="eastAsia"/>
        </w:rPr>
        <w:lastRenderedPageBreak/>
        <w:t>针灸和推拿可辅助治疗代谢性疾病，宜由专业中医师操作，遵循操作规程，下面给出了针灸和推拿疗法调节的内容：</w:t>
      </w:r>
    </w:p>
    <w:p w14:paraId="205DC53A" w14:textId="77777777" w:rsidR="004B1820" w:rsidRDefault="004B1820" w:rsidP="004B1820">
      <w:pPr>
        <w:pStyle w:val="a6"/>
        <w:numPr>
          <w:ilvl w:val="0"/>
          <w:numId w:val="13"/>
        </w:numPr>
      </w:pPr>
      <w:r>
        <w:rPr>
          <w:rFonts w:hint="eastAsia"/>
        </w:rPr>
        <w:t>针灸是通过刺激特定穴位，调节人体经络气血运行，改善脏腑功能；</w:t>
      </w:r>
    </w:p>
    <w:p w14:paraId="4864043B" w14:textId="77777777" w:rsidR="004B1820" w:rsidRDefault="004B1820" w:rsidP="004B1820">
      <w:pPr>
        <w:pStyle w:val="a6"/>
        <w:numPr>
          <w:ilvl w:val="0"/>
          <w:numId w:val="13"/>
        </w:numPr>
      </w:pPr>
      <w:r>
        <w:rPr>
          <w:rFonts w:hint="eastAsia"/>
        </w:rPr>
        <w:t>推拿是通过手法作用于人体体表特定部位，起到疏通经络、调和气血、缓解肌肉紧张等作用。</w:t>
      </w:r>
    </w:p>
    <w:p w14:paraId="4003342F" w14:textId="77777777" w:rsidR="004B1820" w:rsidRDefault="004B1820" w:rsidP="004B1820">
      <w:pPr>
        <w:pStyle w:val="a5"/>
      </w:pPr>
      <w:r>
        <w:rPr>
          <w:rFonts w:hint="eastAsia"/>
        </w:rPr>
        <w:t>针刺足三里、三阴交、关元、气海等穴位，可调节脾胃功能、促进新陈代谢，辅助治疗糖尿病、肥胖症等。</w:t>
      </w:r>
    </w:p>
    <w:p w14:paraId="55F5C65D" w14:textId="77777777" w:rsidR="004B1820" w:rsidRDefault="004B1820" w:rsidP="004B1820">
      <w:pPr>
        <w:pStyle w:val="af6"/>
        <w:numPr>
          <w:ilvl w:val="3"/>
          <w:numId w:val="12"/>
        </w:numPr>
        <w:spacing w:beforeLines="50" w:before="120" w:afterLines="50" w:after="120"/>
      </w:pPr>
      <w:bookmarkStart w:id="98" w:name="_Toc208487128"/>
      <w:r>
        <w:rPr>
          <w:rFonts w:hint="eastAsia"/>
        </w:rPr>
        <w:t>中药调理</w:t>
      </w:r>
      <w:r>
        <w:rPr>
          <w:rFonts w:ascii="MS Gothic" w:eastAsia="MS Gothic" w:hAnsi="MS Gothic" w:cs="MS Gothic" w:hint="eastAsia"/>
        </w:rPr>
        <w:t>​</w:t>
      </w:r>
      <w:bookmarkEnd w:id="98"/>
    </w:p>
    <w:p w14:paraId="50C7CF13" w14:textId="77777777" w:rsidR="004B1820" w:rsidRDefault="004B1820" w:rsidP="004B1820">
      <w:pPr>
        <w:pStyle w:val="afff2"/>
        <w:ind w:firstLine="420"/>
      </w:pPr>
      <w:r>
        <w:rPr>
          <w:rFonts w:hint="eastAsia"/>
        </w:rPr>
        <w:t>在中医辨证论治基础上，可使用中药辅助治疗代谢性疾病。中药调理宜在专业中医师指导下进行，根据患者病情变化及时调整方剂和剂量。</w:t>
      </w:r>
      <w:r>
        <w:rPr>
          <w:rFonts w:ascii="MS Gothic" w:eastAsia="MS Gothic" w:hAnsi="MS Gothic" w:cs="MS Gothic" w:hint="eastAsia"/>
        </w:rPr>
        <w:t>​</w:t>
      </w:r>
    </w:p>
    <w:p w14:paraId="1C5FFE52" w14:textId="77777777" w:rsidR="004B1820" w:rsidRDefault="004B1820" w:rsidP="004B1820">
      <w:pPr>
        <w:pStyle w:val="afff3"/>
        <w:numPr>
          <w:ilvl w:val="1"/>
          <w:numId w:val="12"/>
        </w:numPr>
        <w:spacing w:before="240" w:after="240"/>
      </w:pPr>
      <w:bookmarkStart w:id="99" w:name="_Toc207976242"/>
      <w:bookmarkStart w:id="100" w:name="_Toc204593905"/>
      <w:bookmarkStart w:id="101" w:name="_Toc208487129"/>
      <w:r>
        <w:rPr>
          <w:rFonts w:hint="eastAsia"/>
        </w:rPr>
        <w:t>实施流程</w:t>
      </w:r>
      <w:r>
        <w:rPr>
          <w:rFonts w:ascii="MS Gothic" w:eastAsia="MS Gothic" w:hAnsi="MS Gothic" w:cs="MS Gothic" w:hint="eastAsia"/>
        </w:rPr>
        <w:t>​</w:t>
      </w:r>
      <w:bookmarkEnd w:id="99"/>
      <w:bookmarkEnd w:id="100"/>
      <w:bookmarkEnd w:id="101"/>
    </w:p>
    <w:p w14:paraId="29AC5147" w14:textId="77777777" w:rsidR="004B1820" w:rsidRDefault="004B1820" w:rsidP="004B1820">
      <w:pPr>
        <w:pStyle w:val="af5"/>
        <w:numPr>
          <w:ilvl w:val="2"/>
          <w:numId w:val="12"/>
        </w:numPr>
        <w:spacing w:beforeLines="50" w:before="120" w:afterLines="50" w:after="120"/>
      </w:pPr>
      <w:bookmarkStart w:id="102" w:name="_Toc207976243"/>
      <w:bookmarkStart w:id="103" w:name="_Toc204593906"/>
      <w:bookmarkStart w:id="104" w:name="_Toc208487130"/>
      <w:r>
        <w:rPr>
          <w:rFonts w:hint="eastAsia"/>
        </w:rPr>
        <w:t>患者筛查与评估</w:t>
      </w:r>
      <w:r>
        <w:rPr>
          <w:rFonts w:ascii="MS Gothic" w:eastAsia="MS Gothic" w:hAnsi="MS Gothic" w:cs="MS Gothic" w:hint="eastAsia"/>
        </w:rPr>
        <w:t>​</w:t>
      </w:r>
      <w:bookmarkEnd w:id="102"/>
      <w:bookmarkEnd w:id="103"/>
      <w:bookmarkEnd w:id="104"/>
    </w:p>
    <w:p w14:paraId="52B6E131" w14:textId="77777777" w:rsidR="004B1820" w:rsidRDefault="004B1820" w:rsidP="004B1820">
      <w:pPr>
        <w:pStyle w:val="afb"/>
        <w:numPr>
          <w:ilvl w:val="3"/>
          <w:numId w:val="12"/>
        </w:numPr>
        <w:ind w:left="0" w:firstLine="0"/>
      </w:pPr>
      <w:r>
        <w:rPr>
          <w:rFonts w:hint="eastAsia"/>
        </w:rPr>
        <w:t>医疗机构、健康管理机构等宜通过问卷调查、健康体检等方式，对人群进行代谢性疾病筛查。</w:t>
      </w:r>
    </w:p>
    <w:p w14:paraId="4CE9EAD1" w14:textId="77777777" w:rsidR="004B1820" w:rsidRDefault="004B1820" w:rsidP="004B1820">
      <w:pPr>
        <w:pStyle w:val="afb"/>
        <w:numPr>
          <w:ilvl w:val="3"/>
          <w:numId w:val="12"/>
        </w:numPr>
        <w:ind w:left="0" w:firstLine="0"/>
      </w:pPr>
      <w:r>
        <w:rPr>
          <w:rFonts w:hint="eastAsia"/>
        </w:rPr>
        <w:t>对筛查出的高危人群和确诊患者，进行全面身体评估和代谢指标检测，包括血糖、血脂、血压、体重、身高、腰围、体脂率等。</w:t>
      </w:r>
    </w:p>
    <w:p w14:paraId="44E241D8" w14:textId="77777777" w:rsidR="004B1820" w:rsidRDefault="004B1820" w:rsidP="004B1820">
      <w:pPr>
        <w:pStyle w:val="af5"/>
        <w:numPr>
          <w:ilvl w:val="2"/>
          <w:numId w:val="12"/>
        </w:numPr>
        <w:spacing w:beforeLines="50" w:before="120" w:afterLines="50" w:after="120"/>
      </w:pPr>
      <w:bookmarkStart w:id="105" w:name="_Toc207976244"/>
      <w:bookmarkStart w:id="106" w:name="_Toc204593907"/>
      <w:bookmarkStart w:id="107" w:name="_Toc208487131"/>
      <w:r>
        <w:rPr>
          <w:rFonts w:hint="eastAsia"/>
        </w:rPr>
        <w:t>制定干预方案</w:t>
      </w:r>
      <w:r>
        <w:rPr>
          <w:rFonts w:ascii="MS Gothic" w:eastAsia="MS Gothic" w:hAnsi="MS Gothic" w:cs="MS Gothic" w:hint="eastAsia"/>
        </w:rPr>
        <w:t>​</w:t>
      </w:r>
      <w:bookmarkEnd w:id="105"/>
      <w:bookmarkEnd w:id="106"/>
      <w:bookmarkEnd w:id="107"/>
    </w:p>
    <w:p w14:paraId="3704E737" w14:textId="77777777" w:rsidR="004B1820" w:rsidRDefault="004B1820" w:rsidP="004B1820">
      <w:pPr>
        <w:pStyle w:val="afb"/>
        <w:numPr>
          <w:ilvl w:val="3"/>
          <w:numId w:val="12"/>
        </w:numPr>
        <w:ind w:left="0" w:firstLine="0"/>
      </w:pPr>
      <w:r>
        <w:rPr>
          <w:rFonts w:hint="eastAsia"/>
        </w:rPr>
        <w:t>宜由多学科团队，包括医生、营养师、运动康复师、心理咨询师、中医师等，根据患者评估结果，共同制定个性化非药物干预方案。</w:t>
      </w:r>
    </w:p>
    <w:p w14:paraId="52270A76" w14:textId="77777777" w:rsidR="004B1820" w:rsidRDefault="004B1820" w:rsidP="004B1820">
      <w:pPr>
        <w:pStyle w:val="afb"/>
        <w:numPr>
          <w:ilvl w:val="3"/>
          <w:numId w:val="12"/>
        </w:numPr>
        <w:ind w:left="0" w:firstLine="0"/>
      </w:pPr>
      <w:r>
        <w:rPr>
          <w:rFonts w:hint="eastAsia"/>
        </w:rPr>
        <w:t>方案明确生活方式调整、营养干预、运动疗法、心理行为干预及传统医学疗法等具体措施和目标，制定详细实施计划和时间表。</w:t>
      </w:r>
      <w:r>
        <w:rPr>
          <w:rFonts w:ascii="MS Gothic" w:eastAsia="MS Gothic" w:hAnsi="MS Gothic" w:cs="MS Gothic" w:hint="eastAsia"/>
        </w:rPr>
        <w:t>​</w:t>
      </w:r>
    </w:p>
    <w:p w14:paraId="3EC936C5" w14:textId="77777777" w:rsidR="004B1820" w:rsidRDefault="004B1820" w:rsidP="004B1820">
      <w:pPr>
        <w:pStyle w:val="af5"/>
        <w:numPr>
          <w:ilvl w:val="2"/>
          <w:numId w:val="12"/>
        </w:numPr>
        <w:spacing w:beforeLines="50" w:before="120" w:afterLines="50" w:after="120"/>
      </w:pPr>
      <w:bookmarkStart w:id="108" w:name="_Toc207976245"/>
      <w:bookmarkStart w:id="109" w:name="_Toc204593908"/>
      <w:bookmarkStart w:id="110" w:name="_Toc208487132"/>
      <w:r>
        <w:rPr>
          <w:rFonts w:hint="eastAsia"/>
        </w:rPr>
        <w:t>方案实施</w:t>
      </w:r>
      <w:r>
        <w:rPr>
          <w:rFonts w:ascii="MS Gothic" w:eastAsia="MS Gothic" w:hAnsi="MS Gothic" w:cs="MS Gothic" w:hint="eastAsia"/>
        </w:rPr>
        <w:t>​</w:t>
      </w:r>
      <w:bookmarkEnd w:id="108"/>
      <w:bookmarkEnd w:id="109"/>
      <w:bookmarkEnd w:id="110"/>
    </w:p>
    <w:p w14:paraId="4846FE9B" w14:textId="77777777" w:rsidR="004B1820" w:rsidRDefault="004B1820" w:rsidP="004B1820">
      <w:pPr>
        <w:pStyle w:val="afb"/>
        <w:numPr>
          <w:ilvl w:val="3"/>
          <w:numId w:val="12"/>
        </w:numPr>
        <w:ind w:left="0" w:firstLine="0"/>
      </w:pPr>
      <w:r>
        <w:rPr>
          <w:rFonts w:hint="eastAsia"/>
        </w:rPr>
        <w:t>患者</w:t>
      </w:r>
      <w:proofErr w:type="gramStart"/>
      <w:r>
        <w:rPr>
          <w:rFonts w:hint="eastAsia"/>
        </w:rPr>
        <w:t>宜按照</w:t>
      </w:r>
      <w:proofErr w:type="gramEnd"/>
      <w:r>
        <w:rPr>
          <w:rFonts w:hint="eastAsia"/>
        </w:rPr>
        <w:t>干预方案内容，在专业人员指导和监督下，实施非药物干预措施。</w:t>
      </w:r>
    </w:p>
    <w:p w14:paraId="66A24E62" w14:textId="77777777" w:rsidR="004B1820" w:rsidRDefault="004B1820" w:rsidP="004B1820">
      <w:pPr>
        <w:pStyle w:val="afb"/>
        <w:numPr>
          <w:ilvl w:val="3"/>
          <w:numId w:val="12"/>
        </w:numPr>
        <w:ind w:left="0" w:firstLine="0"/>
      </w:pPr>
      <w:r>
        <w:rPr>
          <w:rFonts w:hint="eastAsia"/>
        </w:rPr>
        <w:t>医疗机构、健康管理机构等通过门诊随访、电话随访、网络平台等方式，定期了解患者干预措施执行情况，解答患者疑问，提供指导和支持。</w:t>
      </w:r>
    </w:p>
    <w:p w14:paraId="7BA5E9C7" w14:textId="77777777" w:rsidR="004B1820" w:rsidRDefault="004B1820" w:rsidP="004B1820">
      <w:pPr>
        <w:pStyle w:val="afb"/>
        <w:numPr>
          <w:ilvl w:val="3"/>
          <w:numId w:val="12"/>
        </w:numPr>
        <w:ind w:left="0" w:firstLine="0"/>
      </w:pPr>
      <w:r>
        <w:rPr>
          <w:rFonts w:hint="eastAsia"/>
        </w:rPr>
        <w:t>宜根据患者实际情况，在必要时调整干预方案。</w:t>
      </w:r>
      <w:r>
        <w:rPr>
          <w:rFonts w:ascii="MS Gothic" w:eastAsia="MS Gothic" w:hAnsi="MS Gothic" w:cs="MS Gothic" w:hint="eastAsia"/>
        </w:rPr>
        <w:t>​</w:t>
      </w:r>
    </w:p>
    <w:p w14:paraId="270671E1" w14:textId="77777777" w:rsidR="004B1820" w:rsidRDefault="004B1820" w:rsidP="004B1820">
      <w:pPr>
        <w:pStyle w:val="af5"/>
        <w:numPr>
          <w:ilvl w:val="2"/>
          <w:numId w:val="12"/>
        </w:numPr>
        <w:spacing w:beforeLines="50" w:before="120" w:afterLines="50" w:after="120"/>
      </w:pPr>
      <w:bookmarkStart w:id="111" w:name="_Toc207976246"/>
      <w:bookmarkStart w:id="112" w:name="_Toc204593909"/>
      <w:bookmarkStart w:id="113" w:name="_Toc208487133"/>
      <w:r>
        <w:rPr>
          <w:rFonts w:hint="eastAsia"/>
        </w:rPr>
        <w:t>效果评估</w:t>
      </w:r>
      <w:r>
        <w:rPr>
          <w:rFonts w:ascii="MS Gothic" w:eastAsia="MS Gothic" w:hAnsi="MS Gothic" w:cs="MS Gothic" w:hint="eastAsia"/>
        </w:rPr>
        <w:t>​</w:t>
      </w:r>
      <w:bookmarkEnd w:id="111"/>
      <w:bookmarkEnd w:id="112"/>
      <w:bookmarkEnd w:id="113"/>
    </w:p>
    <w:p w14:paraId="3D4B7E82" w14:textId="77777777" w:rsidR="004B1820" w:rsidRDefault="004B1820" w:rsidP="004B1820">
      <w:pPr>
        <w:pStyle w:val="afb"/>
        <w:numPr>
          <w:ilvl w:val="3"/>
          <w:numId w:val="12"/>
        </w:numPr>
        <w:ind w:left="0" w:firstLine="0"/>
      </w:pPr>
      <w:r>
        <w:rPr>
          <w:rFonts w:hint="eastAsia"/>
        </w:rPr>
        <w:t>宜定期对患者进行效果评估，评估指标包括代谢指标（如血糖、糖化血红蛋白、血脂、血压等）、身体指标（如体重、腰围、体脂率等）、生活质量、心理状态等。</w:t>
      </w:r>
    </w:p>
    <w:p w14:paraId="14411CCB" w14:textId="77777777" w:rsidR="004B1820" w:rsidRDefault="004B1820" w:rsidP="004B1820">
      <w:pPr>
        <w:pStyle w:val="afb"/>
        <w:numPr>
          <w:ilvl w:val="3"/>
          <w:numId w:val="12"/>
        </w:numPr>
        <w:ind w:left="0" w:firstLine="0"/>
      </w:pPr>
      <w:r>
        <w:rPr>
          <w:rFonts w:hint="eastAsia"/>
        </w:rPr>
        <w:t>一般每3个月进行一次阶段性评估，每 6个月</w:t>
      </w:r>
      <w:r>
        <w:rPr>
          <w:rFonts w:hAnsi="宋体" w:hint="eastAsia"/>
        </w:rPr>
        <w:t>～</w:t>
      </w:r>
      <w:r>
        <w:rPr>
          <w:rFonts w:hint="eastAsia"/>
        </w:rPr>
        <w:t>12</w:t>
      </w:r>
      <w:bookmarkStart w:id="114" w:name="OLE_LINK13"/>
      <w:r>
        <w:rPr>
          <w:rFonts w:hint="eastAsia"/>
        </w:rPr>
        <w:t>个月</w:t>
      </w:r>
      <w:bookmarkEnd w:id="114"/>
      <w:r>
        <w:rPr>
          <w:rFonts w:hint="eastAsia"/>
        </w:rPr>
        <w:t>进行一次全面评估。</w:t>
      </w:r>
    </w:p>
    <w:p w14:paraId="20FA49E0" w14:textId="77777777" w:rsidR="004B1820" w:rsidRDefault="004B1820" w:rsidP="004B1820">
      <w:pPr>
        <w:pStyle w:val="afb"/>
        <w:numPr>
          <w:ilvl w:val="3"/>
          <w:numId w:val="12"/>
        </w:numPr>
        <w:ind w:left="0" w:firstLine="0"/>
      </w:pPr>
      <w:r>
        <w:rPr>
          <w:rFonts w:hint="eastAsia"/>
        </w:rPr>
        <w:t>宜根据评估结果，判断干预措施效果，优化干预方案。</w:t>
      </w:r>
      <w:r>
        <w:rPr>
          <w:rFonts w:ascii="MS Gothic" w:eastAsia="MS Gothic" w:hAnsi="MS Gothic" w:cs="MS Gothic" w:hint="eastAsia"/>
        </w:rPr>
        <w:t>​</w:t>
      </w:r>
    </w:p>
    <w:p w14:paraId="3CF0DDB5" w14:textId="77777777" w:rsidR="004B1820" w:rsidRDefault="004B1820" w:rsidP="004B1820">
      <w:pPr>
        <w:pStyle w:val="afff3"/>
        <w:numPr>
          <w:ilvl w:val="1"/>
          <w:numId w:val="12"/>
        </w:numPr>
        <w:spacing w:before="240" w:after="240"/>
      </w:pPr>
      <w:bookmarkStart w:id="115" w:name="_Toc207976247"/>
      <w:bookmarkStart w:id="116" w:name="_Toc204593910"/>
      <w:bookmarkStart w:id="117" w:name="_Toc208487134"/>
      <w:r>
        <w:rPr>
          <w:rFonts w:hint="eastAsia"/>
        </w:rPr>
        <w:t>质量控制</w:t>
      </w:r>
      <w:r>
        <w:rPr>
          <w:rFonts w:ascii="MS Gothic" w:eastAsia="MS Gothic" w:hAnsi="MS Gothic" w:cs="MS Gothic" w:hint="eastAsia"/>
        </w:rPr>
        <w:t>​</w:t>
      </w:r>
      <w:bookmarkEnd w:id="115"/>
      <w:bookmarkEnd w:id="116"/>
      <w:bookmarkEnd w:id="117"/>
    </w:p>
    <w:p w14:paraId="7F763F98" w14:textId="77777777" w:rsidR="004B1820" w:rsidRDefault="004B1820" w:rsidP="004B1820">
      <w:pPr>
        <w:pStyle w:val="af5"/>
        <w:numPr>
          <w:ilvl w:val="2"/>
          <w:numId w:val="12"/>
        </w:numPr>
        <w:spacing w:beforeLines="50" w:before="120" w:afterLines="50" w:after="120"/>
      </w:pPr>
      <w:bookmarkStart w:id="118" w:name="_Toc207976248"/>
      <w:bookmarkStart w:id="119" w:name="_Toc204593911"/>
      <w:bookmarkStart w:id="120" w:name="_Toc208487135"/>
      <w:r>
        <w:rPr>
          <w:rFonts w:hint="eastAsia"/>
        </w:rPr>
        <w:t>人员培训与资质管理</w:t>
      </w:r>
      <w:r>
        <w:rPr>
          <w:rFonts w:ascii="MS Gothic" w:eastAsia="MS Gothic" w:hAnsi="MS Gothic" w:cs="MS Gothic" w:hint="eastAsia"/>
        </w:rPr>
        <w:t>​</w:t>
      </w:r>
      <w:bookmarkEnd w:id="118"/>
      <w:bookmarkEnd w:id="119"/>
      <w:bookmarkEnd w:id="120"/>
    </w:p>
    <w:p w14:paraId="76729810" w14:textId="77777777" w:rsidR="004B1820" w:rsidRDefault="004B1820" w:rsidP="004B1820">
      <w:pPr>
        <w:pStyle w:val="afb"/>
        <w:numPr>
          <w:ilvl w:val="3"/>
          <w:numId w:val="12"/>
        </w:numPr>
        <w:ind w:left="0" w:firstLine="0"/>
      </w:pPr>
      <w:r>
        <w:rPr>
          <w:rFonts w:hint="eastAsia"/>
        </w:rPr>
        <w:t>宜对从事代谢性疾病非药物干预专业人员，包括医生、营养师、运动康复师、心理咨询师、中医师等，进行定期培训。</w:t>
      </w:r>
    </w:p>
    <w:p w14:paraId="254082BE" w14:textId="77777777" w:rsidR="004B1820" w:rsidRDefault="004B1820" w:rsidP="004B1820">
      <w:pPr>
        <w:pStyle w:val="afb"/>
        <w:numPr>
          <w:ilvl w:val="3"/>
          <w:numId w:val="12"/>
        </w:numPr>
        <w:ind w:left="0" w:firstLine="0"/>
      </w:pPr>
      <w:r>
        <w:rPr>
          <w:rFonts w:hint="eastAsia"/>
        </w:rPr>
        <w:t>培训内容宜涵盖代谢性疾病诊疗进展、非药物干预最新研究成果、干预方案制定与实施技巧、沟通技巧等。</w:t>
      </w:r>
    </w:p>
    <w:p w14:paraId="36E48046" w14:textId="77777777" w:rsidR="004B1820" w:rsidRDefault="004B1820" w:rsidP="004B1820">
      <w:pPr>
        <w:pStyle w:val="afb"/>
        <w:numPr>
          <w:ilvl w:val="3"/>
          <w:numId w:val="12"/>
        </w:numPr>
        <w:ind w:left="0" w:firstLine="0"/>
      </w:pPr>
      <w:r>
        <w:rPr>
          <w:rFonts w:hint="eastAsia"/>
        </w:rPr>
        <w:t>宜加强专业人员资质管理，确保从事相关工作专业人员具备相应执业资格和专业认证。</w:t>
      </w:r>
      <w:r>
        <w:rPr>
          <w:rFonts w:ascii="MS Gothic" w:eastAsia="MS Gothic" w:hAnsi="MS Gothic" w:cs="MS Gothic" w:hint="eastAsia"/>
        </w:rPr>
        <w:t>​</w:t>
      </w:r>
    </w:p>
    <w:p w14:paraId="7719E1AE" w14:textId="77777777" w:rsidR="004B1820" w:rsidRDefault="004B1820" w:rsidP="004B1820">
      <w:pPr>
        <w:pStyle w:val="af5"/>
        <w:numPr>
          <w:ilvl w:val="2"/>
          <w:numId w:val="12"/>
        </w:numPr>
        <w:spacing w:beforeLines="50" w:before="120" w:afterLines="50" w:after="120"/>
      </w:pPr>
      <w:bookmarkStart w:id="121" w:name="_Toc207976249"/>
      <w:bookmarkStart w:id="122" w:name="_Toc204593912"/>
      <w:bookmarkStart w:id="123" w:name="_Toc208487136"/>
      <w:r>
        <w:rPr>
          <w:rFonts w:hint="eastAsia"/>
        </w:rPr>
        <w:t>干预方案审核</w:t>
      </w:r>
      <w:r>
        <w:rPr>
          <w:rFonts w:ascii="MS Gothic" w:eastAsia="MS Gothic" w:hAnsi="MS Gothic" w:cs="MS Gothic" w:hint="eastAsia"/>
        </w:rPr>
        <w:t>​</w:t>
      </w:r>
      <w:bookmarkEnd w:id="121"/>
      <w:bookmarkEnd w:id="122"/>
      <w:bookmarkEnd w:id="123"/>
    </w:p>
    <w:p w14:paraId="36F3D1C3" w14:textId="77777777" w:rsidR="004B1820" w:rsidRDefault="004B1820" w:rsidP="004B1820">
      <w:pPr>
        <w:pStyle w:val="afb"/>
        <w:numPr>
          <w:ilvl w:val="3"/>
          <w:numId w:val="12"/>
        </w:numPr>
        <w:ind w:left="0" w:firstLine="0"/>
      </w:pPr>
      <w:proofErr w:type="gramStart"/>
      <w:r>
        <w:rPr>
          <w:rFonts w:hint="eastAsia"/>
        </w:rPr>
        <w:t>宜建立</w:t>
      </w:r>
      <w:proofErr w:type="gramEnd"/>
      <w:r>
        <w:rPr>
          <w:rFonts w:hint="eastAsia"/>
        </w:rPr>
        <w:t>干预方案审核制度，对制定的个性化非药物干预方案进行审核。</w:t>
      </w:r>
    </w:p>
    <w:p w14:paraId="42C301ED" w14:textId="77777777" w:rsidR="004B1820" w:rsidRDefault="004B1820" w:rsidP="004B1820">
      <w:pPr>
        <w:pStyle w:val="afb"/>
        <w:numPr>
          <w:ilvl w:val="3"/>
          <w:numId w:val="12"/>
        </w:numPr>
        <w:ind w:left="0" w:firstLine="0"/>
      </w:pPr>
      <w:r>
        <w:rPr>
          <w:rFonts w:hint="eastAsia"/>
        </w:rPr>
        <w:t>宜由多学科专家组成审核小组，对干预方案进行评估，是否符合患者实际情况，并提出修改意见和建议。</w:t>
      </w:r>
    </w:p>
    <w:p w14:paraId="4E2DC401" w14:textId="77777777" w:rsidR="004B1820" w:rsidRDefault="004B1820" w:rsidP="004B1820">
      <w:pPr>
        <w:pStyle w:val="af5"/>
        <w:numPr>
          <w:ilvl w:val="2"/>
          <w:numId w:val="12"/>
        </w:numPr>
        <w:spacing w:beforeLines="50" w:before="120" w:afterLines="50" w:after="120"/>
      </w:pPr>
      <w:bookmarkStart w:id="124" w:name="_Toc207976250"/>
      <w:bookmarkStart w:id="125" w:name="_Toc204593913"/>
      <w:bookmarkStart w:id="126" w:name="_Toc208487137"/>
      <w:r>
        <w:rPr>
          <w:rFonts w:hint="eastAsia"/>
        </w:rPr>
        <w:lastRenderedPageBreak/>
        <w:t>数据监测与分析</w:t>
      </w:r>
      <w:r>
        <w:rPr>
          <w:rFonts w:ascii="MS Gothic" w:eastAsia="MS Gothic" w:hAnsi="MS Gothic" w:cs="MS Gothic" w:hint="eastAsia"/>
        </w:rPr>
        <w:t>​</w:t>
      </w:r>
      <w:bookmarkEnd w:id="124"/>
      <w:bookmarkEnd w:id="125"/>
      <w:bookmarkEnd w:id="126"/>
    </w:p>
    <w:p w14:paraId="4CC52B36" w14:textId="77777777" w:rsidR="004B1820" w:rsidRDefault="004B1820" w:rsidP="004B1820">
      <w:pPr>
        <w:pStyle w:val="afb"/>
        <w:numPr>
          <w:ilvl w:val="3"/>
          <w:numId w:val="12"/>
        </w:numPr>
        <w:ind w:left="0" w:firstLine="0"/>
      </w:pPr>
      <w:proofErr w:type="gramStart"/>
      <w:r>
        <w:rPr>
          <w:rFonts w:hint="eastAsia"/>
        </w:rPr>
        <w:t>宜建立</w:t>
      </w:r>
      <w:proofErr w:type="gramEnd"/>
      <w:r>
        <w:rPr>
          <w:rFonts w:hint="eastAsia"/>
        </w:rPr>
        <w:t>完善数据监测体系，收集患者干预过程中各项数据，包括代谢指标、身体指标、生活方式改变情况、心理状态变化等。</w:t>
      </w:r>
    </w:p>
    <w:p w14:paraId="43179015" w14:textId="77777777" w:rsidR="004B1820" w:rsidRDefault="004B1820" w:rsidP="004B1820">
      <w:pPr>
        <w:pStyle w:val="afb"/>
        <w:numPr>
          <w:ilvl w:val="3"/>
          <w:numId w:val="12"/>
        </w:numPr>
        <w:ind w:left="0" w:firstLine="0"/>
      </w:pPr>
      <w:r>
        <w:rPr>
          <w:rFonts w:hint="eastAsia"/>
        </w:rPr>
        <w:t>宜运用信息化技术，对数据进行整理、分析和统计，发现干预过程中存在问题和不足。</w:t>
      </w:r>
    </w:p>
    <w:p w14:paraId="79FF4AD2" w14:textId="77777777" w:rsidR="004B1820" w:rsidRDefault="004B1820" w:rsidP="004B1820">
      <w:pPr>
        <w:pStyle w:val="afb"/>
        <w:numPr>
          <w:ilvl w:val="3"/>
          <w:numId w:val="12"/>
        </w:numPr>
        <w:ind w:left="0" w:firstLine="0"/>
      </w:pPr>
      <w:r>
        <w:rPr>
          <w:rFonts w:hint="eastAsia"/>
        </w:rPr>
        <w:t>宜通过数据分析，评估干预措施效果。</w:t>
      </w:r>
      <w:r>
        <w:rPr>
          <w:rFonts w:ascii="MS Gothic" w:eastAsia="MS Gothic" w:hAnsi="MS Gothic" w:cs="MS Gothic" w:hint="eastAsia"/>
        </w:rPr>
        <w:t>​</w:t>
      </w:r>
    </w:p>
    <w:p w14:paraId="51E64848" w14:textId="77777777" w:rsidR="004B1820" w:rsidRDefault="004B1820" w:rsidP="004B1820">
      <w:pPr>
        <w:pStyle w:val="af5"/>
        <w:numPr>
          <w:ilvl w:val="2"/>
          <w:numId w:val="12"/>
        </w:numPr>
        <w:spacing w:beforeLines="50" w:before="120" w:afterLines="50" w:after="120"/>
      </w:pPr>
      <w:bookmarkStart w:id="127" w:name="_Toc207976251"/>
      <w:bookmarkStart w:id="128" w:name="_Toc204593914"/>
      <w:bookmarkStart w:id="129" w:name="_Toc208487138"/>
      <w:r>
        <w:rPr>
          <w:rFonts w:hint="eastAsia"/>
        </w:rPr>
        <w:t>投诉处理与持续改进</w:t>
      </w:r>
      <w:r>
        <w:rPr>
          <w:rFonts w:ascii="MS Gothic" w:eastAsia="MS Gothic" w:hAnsi="MS Gothic" w:cs="MS Gothic" w:hint="eastAsia"/>
        </w:rPr>
        <w:t>​</w:t>
      </w:r>
      <w:bookmarkEnd w:id="127"/>
      <w:bookmarkEnd w:id="128"/>
      <w:bookmarkEnd w:id="129"/>
    </w:p>
    <w:p w14:paraId="0A6FE4E0" w14:textId="77777777" w:rsidR="004B1820" w:rsidRDefault="004B1820" w:rsidP="004B1820">
      <w:pPr>
        <w:pStyle w:val="afb"/>
        <w:numPr>
          <w:ilvl w:val="3"/>
          <w:numId w:val="12"/>
        </w:numPr>
        <w:ind w:left="0" w:firstLine="0"/>
      </w:pPr>
      <w:proofErr w:type="gramStart"/>
      <w:r>
        <w:rPr>
          <w:rFonts w:hint="eastAsia"/>
        </w:rPr>
        <w:t>宜建立</w:t>
      </w:r>
      <w:proofErr w:type="gramEnd"/>
      <w:r>
        <w:rPr>
          <w:rFonts w:hint="eastAsia"/>
        </w:rPr>
        <w:t>投诉处理机制，对投诉内容进行调查分析，找出问题根源，采取有效改进措施。</w:t>
      </w:r>
    </w:p>
    <w:p w14:paraId="01AC1C60" w14:textId="77777777" w:rsidR="004B1820" w:rsidRDefault="004B1820" w:rsidP="004B1820">
      <w:pPr>
        <w:pStyle w:val="afb"/>
        <w:numPr>
          <w:ilvl w:val="3"/>
          <w:numId w:val="12"/>
        </w:numPr>
        <w:ind w:left="0" w:firstLine="0"/>
      </w:pPr>
      <w:r>
        <w:rPr>
          <w:rFonts w:hint="eastAsia"/>
        </w:rPr>
        <w:t>宜定期对非药物干预服务质量进行总结和反思，针对存在问题制定持续改进计划，不断优化干预方案和服务流程。</w:t>
      </w:r>
    </w:p>
    <w:p w14:paraId="42C94ECA" w14:textId="77777777" w:rsidR="004B1820" w:rsidRDefault="004B1820" w:rsidP="004B1820">
      <w:pPr>
        <w:pStyle w:val="afb"/>
        <w:numPr>
          <w:ilvl w:val="0"/>
          <w:numId w:val="0"/>
        </w:numPr>
      </w:pPr>
    </w:p>
    <w:p w14:paraId="3FE072E7" w14:textId="77777777" w:rsidR="004B1820" w:rsidRDefault="004B1820" w:rsidP="004B1820">
      <w:pPr>
        <w:widowControl/>
        <w:jc w:val="left"/>
        <w:rPr>
          <w:rFonts w:ascii="宋体" w:hAnsi="Times New Roman"/>
          <w:kern w:val="0"/>
          <w:szCs w:val="20"/>
        </w:rPr>
        <w:sectPr w:rsidR="004B1820">
          <w:pgSz w:w="11906" w:h="16838"/>
          <w:pgMar w:top="1928" w:right="1134" w:bottom="1134" w:left="1134" w:header="1418" w:footer="1134" w:gutter="284"/>
          <w:pgNumType w:start="1"/>
          <w:cols w:space="720"/>
          <w:formProt w:val="0"/>
        </w:sectPr>
      </w:pPr>
    </w:p>
    <w:p w14:paraId="20A4D865" w14:textId="77777777" w:rsidR="004B1820" w:rsidRDefault="004B1820" w:rsidP="004B1820">
      <w:pPr>
        <w:pStyle w:val="afff6"/>
        <w:spacing w:after="156"/>
      </w:pPr>
      <w:bookmarkStart w:id="130" w:name="_Toc207976252"/>
      <w:bookmarkStart w:id="131" w:name="_Toc208487139"/>
      <w:bookmarkStart w:id="132" w:name="BookMark6"/>
      <w:r>
        <w:rPr>
          <w:rFonts w:hint="eastAsia"/>
          <w:spacing w:val="105"/>
        </w:rPr>
        <w:lastRenderedPageBreak/>
        <w:t>参考文</w:t>
      </w:r>
      <w:r>
        <w:rPr>
          <w:rFonts w:hint="eastAsia"/>
        </w:rPr>
        <w:t>献</w:t>
      </w:r>
      <w:bookmarkEnd w:id="130"/>
      <w:bookmarkEnd w:id="131"/>
    </w:p>
    <w:p w14:paraId="6F0E5150" w14:textId="77777777" w:rsidR="004B1820" w:rsidRDefault="004B1820" w:rsidP="004B1820">
      <w:pPr>
        <w:pStyle w:val="afff2"/>
        <w:ind w:firstLine="420"/>
      </w:pPr>
      <w:r>
        <w:rPr>
          <w:rFonts w:hint="eastAsia"/>
        </w:rPr>
        <w:t>[1] 范艺凡,彭春秀,冯励,等.不同分子质量茶褐素对高脂饮食大鼠脂质代谢关键酶的影响[J].中国食品学报,2017,17(11):9-19.DOI:10.16429/j.1009-7848.2017.11.002.</w:t>
      </w:r>
    </w:p>
    <w:p w14:paraId="135253DD" w14:textId="77777777" w:rsidR="004B1820" w:rsidRDefault="004B1820" w:rsidP="004B1820">
      <w:pPr>
        <w:pStyle w:val="afff2"/>
        <w:ind w:firstLine="420"/>
      </w:pPr>
      <w:r>
        <w:rPr>
          <w:rFonts w:hint="eastAsia"/>
        </w:rPr>
        <w:t>[2]</w:t>
      </w:r>
      <w:r>
        <w:rPr>
          <w:rFonts w:hint="eastAsia"/>
        </w:rPr>
        <w:tab/>
        <w:t>吴恩凯,张婷婷,彭春秀,等.基于代谢组学研究荡秋千运动下普洱茶茶褐素对大鼠代谢综合征改善作用[J].食品科学,2019,40(19):185-195.</w:t>
      </w:r>
    </w:p>
    <w:p w14:paraId="58680B0B" w14:textId="77777777" w:rsidR="004B1820" w:rsidRDefault="004B1820" w:rsidP="004B1820">
      <w:pPr>
        <w:pStyle w:val="afff2"/>
        <w:ind w:firstLine="420"/>
      </w:pPr>
      <w:r>
        <w:rPr>
          <w:rFonts w:hint="eastAsia"/>
        </w:rPr>
        <w:t>[3]</w:t>
      </w:r>
      <w:r>
        <w:rPr>
          <w:rFonts w:hint="eastAsia"/>
        </w:rPr>
        <w:tab/>
        <w:t>岳随娟,刘建,龚加顺.普洱茶茶褐素对大鼠肠道菌群的影响[J].茶叶科学,2016,36(03):261-267.DOI:10.13305/j.cnki.jts.2016.03.005.</w:t>
      </w:r>
    </w:p>
    <w:p w14:paraId="2A7C82F5" w14:textId="77777777" w:rsidR="004B1820" w:rsidRDefault="004B1820" w:rsidP="004B1820">
      <w:pPr>
        <w:pStyle w:val="afff2"/>
        <w:ind w:firstLine="420"/>
      </w:pPr>
      <w:r>
        <w:rPr>
          <w:rFonts w:hint="eastAsia"/>
        </w:rPr>
        <w:t>[4]</w:t>
      </w:r>
      <w:r>
        <w:rPr>
          <w:rFonts w:hint="eastAsia"/>
        </w:rPr>
        <w:tab/>
        <w:t>张婷婷,苗玥,吴恩凯,等.普洱茶茶褐素对代谢综合征大鼠生长过程中肝脏差异表达基因的影响[J].食品工业科技,2022,43(07):1-9.DOI:10.13386/j.issn1002-0306.2021050154.</w:t>
      </w:r>
    </w:p>
    <w:p w14:paraId="05B8C24E" w14:textId="77777777" w:rsidR="004B1820" w:rsidRDefault="004B1820" w:rsidP="004B1820">
      <w:pPr>
        <w:pStyle w:val="afff2"/>
        <w:ind w:firstLine="420"/>
      </w:pPr>
      <w:r>
        <w:rPr>
          <w:rFonts w:hint="eastAsia"/>
        </w:rPr>
        <w:t>[5]</w:t>
      </w:r>
      <w:r>
        <w:rPr>
          <w:rFonts w:hint="eastAsia"/>
        </w:rPr>
        <w:tab/>
        <w:t>郭明,周珊,白露,等.普洱茶茶褐素对代谢综合征大鼠TGF-β/Smads通路、氧化应激反应及肝组织能量代谢变化的影响[J].现代生物医学进展,2023,23(17):3211-3215. DOI:10.13241/j.cnki.pmb.2023.17.002.</w:t>
      </w:r>
    </w:p>
    <w:p w14:paraId="1C02E0E3" w14:textId="77777777" w:rsidR="004B1820" w:rsidRDefault="004B1820" w:rsidP="004B1820">
      <w:pPr>
        <w:pStyle w:val="afff2"/>
        <w:ind w:firstLine="420"/>
      </w:pPr>
      <w:r>
        <w:rPr>
          <w:rFonts w:hint="eastAsia"/>
        </w:rPr>
        <w:t>[6] 赵丹,张婷婷,彭春秀,等.普洱茶茶褐素对高糖饮食大鼠糖脂代谢关键酶及组织切片的影响[J].食品工业科技,2019,40(15):298-303.DOI:10.13386/j.issn1002-0306.2019.15.049.</w:t>
      </w:r>
    </w:p>
    <w:p w14:paraId="357A20EF" w14:textId="77777777" w:rsidR="004B1820" w:rsidRDefault="004B1820" w:rsidP="004B1820">
      <w:pPr>
        <w:pStyle w:val="afff2"/>
        <w:ind w:firstLine="420"/>
      </w:pPr>
      <w:r>
        <w:rPr>
          <w:rFonts w:hint="eastAsia"/>
        </w:rPr>
        <w:t>[7]</w:t>
      </w:r>
      <w:r>
        <w:rPr>
          <w:rFonts w:hint="eastAsia"/>
        </w:rPr>
        <w:tab/>
        <w:t>张婷婷,吴恩凯,彭春秀,等.普洱茶茶褐素对高糖饮食大鼠血糖血脂指标的影响[J].食品科技,2018,43(07):53-59.DOI:10.13684/j.cnki.spkj.2018.07.011.</w:t>
      </w:r>
    </w:p>
    <w:p w14:paraId="294E3AB5" w14:textId="77777777" w:rsidR="004B1820" w:rsidRDefault="004B1820" w:rsidP="004B1820">
      <w:pPr>
        <w:pStyle w:val="afff2"/>
        <w:ind w:firstLine="420"/>
      </w:pPr>
      <w:r>
        <w:rPr>
          <w:rFonts w:hint="eastAsia"/>
        </w:rPr>
        <w:t>[8]</w:t>
      </w:r>
      <w:r>
        <w:rPr>
          <w:rFonts w:hint="eastAsia"/>
        </w:rPr>
        <w:tab/>
        <w:t>陈亚蓝,王雪青,王怡雯,等.普洱茶茶色素对HepG2细胞脂质代谢的影响及作用机理[J].食品科学,2017,38(17):203-209.</w:t>
      </w:r>
    </w:p>
    <w:p w14:paraId="392EE8FA" w14:textId="77777777" w:rsidR="004B1820" w:rsidRDefault="004B1820" w:rsidP="004B1820">
      <w:pPr>
        <w:pStyle w:val="afff2"/>
        <w:ind w:firstLine="420"/>
      </w:pPr>
      <w:r>
        <w:rPr>
          <w:rFonts w:hint="eastAsia"/>
        </w:rPr>
        <w:t>[9]</w:t>
      </w:r>
      <w:r>
        <w:rPr>
          <w:rFonts w:hint="eastAsia"/>
        </w:rPr>
        <w:tab/>
        <w:t>侯艳.普洱茶和茶褐素调节小鼠“菌-肠-肝-脑”轴缓解代谢综合征的作用机制研究[D].云南农业大学,2023.DOI:10.27458/d.cnki.gynyu.2023.000009.</w:t>
      </w:r>
    </w:p>
    <w:p w14:paraId="57AC93A3" w14:textId="77777777" w:rsidR="004B1820" w:rsidRDefault="004B1820" w:rsidP="004B1820">
      <w:pPr>
        <w:pStyle w:val="afff2"/>
        <w:ind w:firstLine="420"/>
      </w:pPr>
      <w:r>
        <w:rPr>
          <w:rFonts w:hint="eastAsia"/>
        </w:rPr>
        <w:t>[10] 易娟,刘淼.普洱茶抗肥胖作用及其相关机制研究进展[J].食品与机械,2020,36(05):227-230+236.DOI:10.13652/j.issn.1003-5788.2020.05.042.</w:t>
      </w:r>
    </w:p>
    <w:p w14:paraId="12A8C5BC" w14:textId="77777777" w:rsidR="004B1820" w:rsidRDefault="004B1820" w:rsidP="004B1820">
      <w:pPr>
        <w:pStyle w:val="afff2"/>
        <w:ind w:firstLine="420"/>
      </w:pPr>
      <w:r>
        <w:rPr>
          <w:rFonts w:hint="eastAsia"/>
        </w:rPr>
        <w:t>[11] 徐湘婷,王鹏,罗绍忠,等.普洱熟茶茶褐素对2型糖尿病小鼠降糖作用研究[J].中国民族民间医药,2015,24(20):9-10.</w:t>
      </w:r>
    </w:p>
    <w:p w14:paraId="6FB677E3" w14:textId="77777777" w:rsidR="004B1820" w:rsidRDefault="004B1820" w:rsidP="004B1820">
      <w:pPr>
        <w:pStyle w:val="afff2"/>
        <w:ind w:firstLine="420"/>
      </w:pPr>
      <w:r>
        <w:rPr>
          <w:rFonts w:hint="eastAsia"/>
        </w:rPr>
        <w:t>[12] 徐甜.四川边茶茶褐素优化提取及降血脂活性研究[D].四川农业大学,2010.</w:t>
      </w:r>
    </w:p>
    <w:p w14:paraId="46224151" w14:textId="77777777" w:rsidR="004B1820" w:rsidRDefault="004B1820" w:rsidP="004B1820">
      <w:pPr>
        <w:pStyle w:val="afff2"/>
        <w:ind w:firstLine="420"/>
      </w:pPr>
      <w:r>
        <w:rPr>
          <w:rFonts w:hint="eastAsia"/>
        </w:rPr>
        <w:t>[13] Junliang K, Xiaojiao Z, Fengjie H, et al.Anti-Adipogenic Effect of Theabrownin Is Mediated by Bile Acid Alternative Synthesis via Gut Microbiota Remodeling.[J]. Metabolites</w:t>
      </w:r>
    </w:p>
    <w:p w14:paraId="2B309206" w14:textId="77777777" w:rsidR="004B1820" w:rsidRDefault="004B1820" w:rsidP="004B1820">
      <w:pPr>
        <w:pStyle w:val="afff2"/>
        <w:ind w:firstLineChars="0" w:firstLine="0"/>
      </w:pPr>
      <w:r>
        <w:rPr>
          <w:rFonts w:hint="eastAsia"/>
        </w:rPr>
        <w:t>,2020,10(11) :475-.</w:t>
      </w:r>
    </w:p>
    <w:p w14:paraId="015EC29B" w14:textId="77777777" w:rsidR="004B1820" w:rsidRDefault="004B1820" w:rsidP="004B1820">
      <w:pPr>
        <w:pStyle w:val="afff2"/>
        <w:ind w:firstLine="420"/>
      </w:pPr>
      <w:r>
        <w:rPr>
          <w:rFonts w:hint="eastAsia"/>
        </w:rPr>
        <w:t>[14] Jieyi W ,Dan Z ,Fengjie H , et al.Theabrownin and Poria cocos Polysaccharide Improve Lipid Metabolism via Modulation of Bile Acid and Fatty Acid Metabolism[J].Frontiers in Pharmacology,2022,13875549-875549.</w:t>
      </w:r>
    </w:p>
    <w:p w14:paraId="2B5C604B" w14:textId="77777777" w:rsidR="004B1820" w:rsidRDefault="004B1820" w:rsidP="004B1820">
      <w:pPr>
        <w:pStyle w:val="afff2"/>
        <w:ind w:firstLine="420"/>
      </w:pPr>
      <w:r>
        <w:rPr>
          <w:rFonts w:hint="eastAsia"/>
        </w:rPr>
        <w:t>[15] Jiashun G ,Chunxiu P ,Ting C，et al.Effects of theabrownin from pu-erh tea on the</w:t>
      </w:r>
    </w:p>
    <w:p w14:paraId="11E6E8A1" w14:textId="77777777" w:rsidR="004B1820" w:rsidRDefault="004B1820" w:rsidP="004B1820">
      <w:pPr>
        <w:pStyle w:val="afff2"/>
        <w:ind w:firstLineChars="0" w:firstLine="0"/>
      </w:pPr>
      <w:r>
        <w:rPr>
          <w:rFonts w:hint="eastAsia"/>
        </w:rPr>
        <w:t>metabolism of serum lipids in rats: mechanism of action.[J].Journal of food science, 2010,75(6):H182-9.</w:t>
      </w:r>
    </w:p>
    <w:p w14:paraId="62771D20" w14:textId="77777777" w:rsidR="004B1820" w:rsidRDefault="004B1820" w:rsidP="004B1820">
      <w:pPr>
        <w:pStyle w:val="afff2"/>
        <w:ind w:firstLine="420"/>
      </w:pPr>
      <w:r>
        <w:rPr>
          <w:rFonts w:hint="eastAsia"/>
        </w:rPr>
        <w:t>[16] Fengjie H ,Xiaojiao Z ,Xiaohui M，et al.Theabrownin from Pu-erh tea attenuates hypercholesterolemia via modulation of gut microbiota and bile acid metabolism.[J].Nature communications,2019,10(1):4971.</w:t>
      </w:r>
    </w:p>
    <w:p w14:paraId="0EA53267" w14:textId="4CF3F3D3" w:rsidR="004B1820" w:rsidRDefault="004B1820" w:rsidP="004B1820">
      <w:pPr>
        <w:pStyle w:val="afff2"/>
        <w:ind w:firstLineChars="0" w:firstLine="0"/>
        <w:jc w:val="center"/>
      </w:pPr>
      <w:bookmarkStart w:id="133" w:name="BookMark8"/>
      <w:bookmarkEnd w:id="132"/>
      <w:r>
        <w:drawing>
          <wp:inline distT="0" distB="0" distL="0" distR="0" wp14:anchorId="5AFABC37" wp14:editId="56210CC6">
            <wp:extent cx="1484630" cy="314960"/>
            <wp:effectExtent l="0" t="0" r="127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4630" cy="314960"/>
                    </a:xfrm>
                    <a:prstGeom prst="rect">
                      <a:avLst/>
                    </a:prstGeom>
                    <a:noFill/>
                    <a:ln>
                      <a:noFill/>
                    </a:ln>
                  </pic:spPr>
                </pic:pic>
              </a:graphicData>
            </a:graphic>
          </wp:inline>
        </w:drawing>
      </w:r>
      <w:bookmarkEnd w:id="133"/>
    </w:p>
    <w:sectPr w:rsidR="004B1820" w:rsidSect="001C02AD">
      <w:pgSz w:w="11906" w:h="16838"/>
      <w:pgMar w:top="1417" w:right="1134" w:bottom="1134" w:left="1418" w:header="1417" w:footer="1134"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52733" w14:textId="77777777" w:rsidR="00612836" w:rsidRDefault="00612836" w:rsidP="0050530E">
      <w:r>
        <w:separator/>
      </w:r>
    </w:p>
  </w:endnote>
  <w:endnote w:type="continuationSeparator" w:id="0">
    <w:p w14:paraId="381CBBB2" w14:textId="77777777" w:rsidR="00612836" w:rsidRDefault="00612836" w:rsidP="0050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652752713"/>
      <w:docPartObj>
        <w:docPartGallery w:val="Page Numbers (Bottom of Page)"/>
        <w:docPartUnique/>
      </w:docPartObj>
    </w:sdtPr>
    <w:sdtEndPr/>
    <w:sdtContent>
      <w:p w14:paraId="4DA9D702" w14:textId="0BA350D6" w:rsidR="00550745" w:rsidRPr="00550745" w:rsidRDefault="00550745" w:rsidP="00550745">
        <w:pPr>
          <w:pStyle w:val="affd"/>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D51EAC" w:rsidRPr="00D51EAC">
          <w:rPr>
            <w:rFonts w:ascii="宋体" w:hAnsi="宋体"/>
            <w:noProof/>
            <w:lang w:val="zh-CN"/>
          </w:rPr>
          <w:t>6</w:t>
        </w:r>
        <w:r w:rsidRPr="00550745">
          <w:rPr>
            <w:rFonts w:ascii="宋体" w:hAnsi="宋体"/>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hAnsi="宋体"/>
      </w:rPr>
      <w:id w:val="-1356500270"/>
      <w:docPartObj>
        <w:docPartGallery w:val="Page Numbers (Bottom of Page)"/>
        <w:docPartUnique/>
      </w:docPartObj>
    </w:sdtPr>
    <w:sdtEndPr/>
    <w:sdtContent>
      <w:p w14:paraId="25704680" w14:textId="3B30477E" w:rsidR="007D33AF" w:rsidRPr="00550745" w:rsidRDefault="00550745" w:rsidP="00550745">
        <w:pPr>
          <w:pStyle w:val="affd"/>
          <w:jc w:val="right"/>
          <w:rPr>
            <w:rFonts w:ascii="宋体" w:hAnsi="宋体"/>
          </w:rPr>
        </w:pPr>
        <w:r w:rsidRPr="00550745">
          <w:rPr>
            <w:rFonts w:ascii="宋体" w:hAnsi="宋体"/>
          </w:rPr>
          <w:fldChar w:fldCharType="begin"/>
        </w:r>
        <w:r w:rsidRPr="00550745">
          <w:rPr>
            <w:rFonts w:ascii="宋体" w:hAnsi="宋体"/>
          </w:rPr>
          <w:instrText>PAGE   \* MERGEFORMAT</w:instrText>
        </w:r>
        <w:r w:rsidRPr="00550745">
          <w:rPr>
            <w:rFonts w:ascii="宋体" w:hAnsi="宋体"/>
          </w:rPr>
          <w:fldChar w:fldCharType="separate"/>
        </w:r>
        <w:r w:rsidR="00D51EAC" w:rsidRPr="00D51EAC">
          <w:rPr>
            <w:rFonts w:ascii="宋体" w:hAnsi="宋体"/>
            <w:noProof/>
            <w:lang w:val="zh-CN"/>
          </w:rPr>
          <w:t>5</w:t>
        </w:r>
        <w:r w:rsidRPr="00550745">
          <w:rPr>
            <w:rFonts w:ascii="宋体" w:hAnsi="宋体"/>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67653"/>
      <w:docPartObj>
        <w:docPartGallery w:val="Page Numbers (Bottom of Page)"/>
        <w:docPartUnique/>
      </w:docPartObj>
    </w:sdtPr>
    <w:sdtEndPr/>
    <w:sdtContent>
      <w:p w14:paraId="376CA126" w14:textId="481C1464" w:rsidR="007D33AF" w:rsidRDefault="00612836" w:rsidP="007D33AF">
        <w:pPr>
          <w:pStyle w:val="affd"/>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D6499" w14:textId="77777777" w:rsidR="00612836" w:rsidRDefault="00612836" w:rsidP="0050530E">
      <w:r>
        <w:separator/>
      </w:r>
    </w:p>
  </w:footnote>
  <w:footnote w:type="continuationSeparator" w:id="0">
    <w:p w14:paraId="51898FB4" w14:textId="77777777" w:rsidR="00612836" w:rsidRDefault="00612836" w:rsidP="0050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3AFC" w14:textId="1DDAA108" w:rsidR="0050530E" w:rsidRPr="00550745" w:rsidRDefault="0050530E">
    <w:pPr>
      <w:pStyle w:val="afff0"/>
      <w:rPr>
        <w:rFonts w:ascii="宋体" w:eastAsia="宋体" w:hAnsi="宋体"/>
      </w:rPr>
    </w:pPr>
    <w:bookmarkStart w:id="9" w:name="OLE_LINK33"/>
    <w:bookmarkStart w:id="10" w:name="OLE_LINK34"/>
    <w:r w:rsidRPr="00550745">
      <w:rPr>
        <w:rFonts w:ascii="宋体" w:eastAsia="宋体" w:hAnsi="宋体"/>
      </w:rPr>
      <w:t>GB/T XXXXX—XXXX</w:t>
    </w:r>
    <w:bookmarkEnd w:id="9"/>
    <w:bookmarkEnd w:id="10"/>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2B1E6" w14:textId="64B0BCBE" w:rsidR="0050530E" w:rsidRDefault="00550745">
    <w:pPr>
      <w:pStyle w:val="affb"/>
      <w:pBdr>
        <w:top w:val="none" w:sz="0" w:space="1" w:color="auto"/>
        <w:left w:val="none" w:sz="0" w:space="4" w:color="auto"/>
        <w:bottom w:val="none" w:sz="0" w:space="1" w:color="auto"/>
        <w:right w:val="none" w:sz="0" w:space="4" w:color="auto"/>
      </w:pBdr>
      <w:jc w:val="right"/>
    </w:pPr>
    <w:r w:rsidRPr="00550745">
      <w:rPr>
        <w:rFonts w:ascii="宋体" w:hAnsi="宋体"/>
      </w:rPr>
      <w:t>GB/T 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BB70" w14:textId="1618BAC5" w:rsidR="00550745" w:rsidRDefault="00550745" w:rsidP="00550745">
    <w:pPr>
      <w:pStyle w:val="affb"/>
      <w:jc w:val="right"/>
    </w:pPr>
    <w:r w:rsidRPr="00550745">
      <w:rPr>
        <w:rFonts w:ascii="宋体" w:hAnsi="宋体"/>
      </w:rPr>
      <w:t>GB/T XXXXX—XXXX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30E4EA"/>
    <w:multiLevelType w:val="singleLevel"/>
    <w:tmpl w:val="B130E4EA"/>
    <w:lvl w:ilvl="0">
      <w:start w:val="1"/>
      <w:numFmt w:val="decimal"/>
      <w:lvlText w:val="[%1]"/>
      <w:lvlJc w:val="left"/>
      <w:pPr>
        <w:tabs>
          <w:tab w:val="left" w:pos="312"/>
        </w:tabs>
      </w:pPr>
    </w:lvl>
  </w:abstractNum>
  <w:abstractNum w:abstractNumId="1" w15:restartNumberingAfterBreak="0">
    <w:nsid w:val="07ED3FEA"/>
    <w:multiLevelType w:val="multilevel"/>
    <w:tmpl w:val="B484DA86"/>
    <w:lvl w:ilvl="0">
      <w:start w:val="1"/>
      <w:numFmt w:val="none"/>
      <w:pStyle w:val="a"/>
      <w:lvlText w:val="%1"/>
      <w:lvlJc w:val="left"/>
      <w:pPr>
        <w:ind w:left="425" w:hanging="425"/>
      </w:pPr>
      <w:rPr>
        <w:rFonts w:hint="eastAsia"/>
      </w:rPr>
    </w:lvl>
    <w:lvl w:ilvl="1">
      <w:start w:val="1"/>
      <w:numFmt w:val="decimal"/>
      <w:pStyle w:val="a0"/>
      <w:suff w:val="nothing"/>
      <w:lvlText w:val="%10.%2 "/>
      <w:lvlJc w:val="left"/>
      <w:pPr>
        <w:ind w:left="0" w:firstLine="0"/>
      </w:pPr>
      <w:rPr>
        <w:rFonts w:ascii="黑体" w:eastAsia="黑体" w:hAnsiTheme="minorHAnsi" w:hint="eastAsia"/>
        <w:b w:val="0"/>
        <w:i w:val="0"/>
        <w:sz w:val="21"/>
      </w:rPr>
    </w:lvl>
    <w:lvl w:ilvl="2">
      <w:start w:val="1"/>
      <w:numFmt w:val="decimal"/>
      <w:pStyle w:val="a1"/>
      <w:suff w:val="nothing"/>
      <w:lvlText w:val="%10.%2.%3 "/>
      <w:lvlJc w:val="left"/>
      <w:pPr>
        <w:ind w:left="0" w:firstLine="0"/>
      </w:pPr>
      <w:rPr>
        <w:rFonts w:ascii="黑体" w:eastAsia="黑体" w:hAnsiTheme="minorHAnsi" w:hint="eastAsia"/>
        <w:b w:val="0"/>
        <w:i w:val="0"/>
        <w:sz w:val="21"/>
      </w:rPr>
    </w:lvl>
    <w:lvl w:ilvl="3">
      <w:start w:val="1"/>
      <w:numFmt w:val="decimal"/>
      <w:pStyle w:val="a2"/>
      <w:suff w:val="nothing"/>
      <w:lvlText w:val="%10.%2.%3.%4 "/>
      <w:lvlJc w:val="left"/>
      <w:pPr>
        <w:ind w:left="0" w:firstLine="0"/>
      </w:pPr>
      <w:rPr>
        <w:rFonts w:ascii="黑体" w:eastAsia="黑体" w:hAnsiTheme="minorHAnsi" w:hint="eastAsia"/>
        <w:b w:val="0"/>
        <w:i w:val="0"/>
        <w:sz w:val="21"/>
      </w:rPr>
    </w:lvl>
    <w:lvl w:ilvl="4">
      <w:start w:val="1"/>
      <w:numFmt w:val="decimal"/>
      <w:pStyle w:val="a3"/>
      <w:suff w:val="nothing"/>
      <w:lvlText w:val="%10.%2.%3.%4.%5 "/>
      <w:lvlJc w:val="left"/>
      <w:pPr>
        <w:ind w:left="0" w:firstLine="0"/>
      </w:pPr>
      <w:rPr>
        <w:rFonts w:ascii="黑体" w:eastAsia="黑体" w:hAnsiTheme="minorHAnsi" w:hint="eastAsia"/>
        <w:b w:val="0"/>
        <w:i w:val="0"/>
        <w:sz w:val="21"/>
      </w:rPr>
    </w:lvl>
    <w:lvl w:ilvl="5">
      <w:start w:val="1"/>
      <w:numFmt w:val="decimal"/>
      <w:pStyle w:val="a4"/>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AC52E15"/>
    <w:multiLevelType w:val="multilevel"/>
    <w:tmpl w:val="0AC52E15"/>
    <w:lvl w:ilvl="0">
      <w:start w:val="1"/>
      <w:numFmt w:val="lowerLetter"/>
      <w:suff w:val="space"/>
      <w:lvlText w:val="%1)"/>
      <w:lvlJc w:val="left"/>
      <w:pPr>
        <w:ind w:left="306" w:hanging="306"/>
      </w:pPr>
      <w:rPr>
        <w:rFonts w:ascii="宋体" w:eastAsia="宋体" w:hAnsi="宋体" w:cs="宋体" w:hint="default"/>
        <w:sz w:val="21"/>
        <w:szCs w:val="21"/>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3" w15:restartNumberingAfterBreak="0">
    <w:nsid w:val="0AE367E9"/>
    <w:multiLevelType w:val="multilevel"/>
    <w:tmpl w:val="B270FBA6"/>
    <w:lvl w:ilvl="0">
      <w:start w:val="1"/>
      <w:numFmt w:val="none"/>
      <w:pStyle w:val="a5"/>
      <w:suff w:val="nothing"/>
      <w:lvlText w:val="%1示例："/>
      <w:lvlJc w:val="left"/>
      <w:pPr>
        <w:ind w:left="0" w:firstLine="363"/>
      </w:pPr>
      <w:rPr>
        <w:rFonts w:ascii="黑体" w:eastAsia="黑体" w:hAnsi="Times New Roman" w:hint="eastAsia"/>
        <w:b w:val="0"/>
        <w:i w:val="0"/>
        <w:sz w:val="18"/>
      </w:rPr>
    </w:lvl>
    <w:lvl w:ilvl="1">
      <w:start w:val="1"/>
      <w:numFmt w:val="lowerLetter"/>
      <w:lvlText w:val="%2)"/>
      <w:lvlJc w:val="left"/>
      <w:pPr>
        <w:tabs>
          <w:tab w:val="num" w:pos="363"/>
        </w:tabs>
        <w:ind w:left="0" w:firstLine="363"/>
      </w:pPr>
    </w:lvl>
    <w:lvl w:ilvl="2">
      <w:start w:val="1"/>
      <w:numFmt w:val="lowerRoman"/>
      <w:lvlText w:val="%3."/>
      <w:lvlJc w:val="right"/>
      <w:pPr>
        <w:tabs>
          <w:tab w:val="num" w:pos="363"/>
        </w:tabs>
        <w:ind w:left="0" w:firstLine="363"/>
      </w:pPr>
    </w:lvl>
    <w:lvl w:ilvl="3">
      <w:start w:val="1"/>
      <w:numFmt w:val="decimal"/>
      <w:lvlText w:val="%4."/>
      <w:lvlJc w:val="left"/>
      <w:pPr>
        <w:tabs>
          <w:tab w:val="num" w:pos="363"/>
        </w:tabs>
        <w:ind w:left="0" w:firstLine="363"/>
      </w:pPr>
    </w:lvl>
    <w:lvl w:ilvl="4">
      <w:start w:val="1"/>
      <w:numFmt w:val="lowerLetter"/>
      <w:lvlText w:val="%5)"/>
      <w:lvlJc w:val="left"/>
      <w:pPr>
        <w:tabs>
          <w:tab w:val="num" w:pos="363"/>
        </w:tabs>
        <w:ind w:left="0" w:firstLine="363"/>
      </w:pPr>
    </w:lvl>
    <w:lvl w:ilvl="5">
      <w:start w:val="1"/>
      <w:numFmt w:val="lowerRoman"/>
      <w:lvlText w:val="%6."/>
      <w:lvlJc w:val="right"/>
      <w:pPr>
        <w:tabs>
          <w:tab w:val="num" w:pos="363"/>
        </w:tabs>
        <w:ind w:left="0" w:firstLine="363"/>
      </w:pPr>
    </w:lvl>
    <w:lvl w:ilvl="6">
      <w:start w:val="1"/>
      <w:numFmt w:val="decimal"/>
      <w:lvlText w:val="%7."/>
      <w:lvlJc w:val="left"/>
      <w:pPr>
        <w:tabs>
          <w:tab w:val="num" w:pos="363"/>
        </w:tabs>
        <w:ind w:left="0" w:firstLine="363"/>
      </w:pPr>
    </w:lvl>
    <w:lvl w:ilvl="7">
      <w:start w:val="1"/>
      <w:numFmt w:val="lowerLetter"/>
      <w:lvlText w:val="%8)"/>
      <w:lvlJc w:val="left"/>
      <w:pPr>
        <w:tabs>
          <w:tab w:val="num" w:pos="363"/>
        </w:tabs>
        <w:ind w:left="0" w:firstLine="363"/>
      </w:pPr>
    </w:lvl>
    <w:lvl w:ilvl="8">
      <w:start w:val="1"/>
      <w:numFmt w:val="lowerRoman"/>
      <w:lvlText w:val="%9."/>
      <w:lvlJc w:val="right"/>
      <w:pPr>
        <w:tabs>
          <w:tab w:val="num" w:pos="363"/>
        </w:tabs>
        <w:ind w:left="0" w:firstLine="363"/>
      </w:pPr>
    </w:lvl>
  </w:abstractNum>
  <w:abstractNum w:abstractNumId="4" w15:restartNumberingAfterBreak="0">
    <w:nsid w:val="2C5917C3"/>
    <w:multiLevelType w:val="multilevel"/>
    <w:tmpl w:val="631EF14E"/>
    <w:lvl w:ilvl="0">
      <w:start w:val="1"/>
      <w:numFmt w:val="none"/>
      <w:pStyle w:val="a6"/>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7"/>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5" w15:restartNumberingAfterBreak="0">
    <w:nsid w:val="48802D1C"/>
    <w:multiLevelType w:val="multilevel"/>
    <w:tmpl w:val="FF46E0AA"/>
    <w:lvl w:ilvl="0">
      <w:start w:val="1"/>
      <w:numFmt w:val="upperLetter"/>
      <w:pStyle w:val="a8"/>
      <w:lvlText w:val="%1"/>
      <w:lvlJc w:val="left"/>
      <w:pPr>
        <w:ind w:left="420" w:hanging="420"/>
      </w:pPr>
      <w:rPr>
        <w:rFonts w:hint="eastAsia"/>
      </w:rPr>
    </w:lvl>
    <w:lvl w:ilvl="1">
      <w:start w:val="1"/>
      <w:numFmt w:val="decimal"/>
      <w:pStyle w:val="a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B733A5F"/>
    <w:multiLevelType w:val="multilevel"/>
    <w:tmpl w:val="A688470E"/>
    <w:lvl w:ilvl="0">
      <w:start w:val="1"/>
      <w:numFmt w:val="decimal"/>
      <w:lvlRestart w:val="0"/>
      <w:pStyle w:val="a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7" w15:restartNumberingAfterBreak="0">
    <w:nsid w:val="5603797C"/>
    <w:multiLevelType w:val="multilevel"/>
    <w:tmpl w:val="C3483E82"/>
    <w:lvl w:ilvl="0">
      <w:start w:val="1"/>
      <w:numFmt w:val="upperLetter"/>
      <w:pStyle w:val="ab"/>
      <w:suff w:val="space"/>
      <w:lvlText w:val="%1"/>
      <w:lvlJc w:val="left"/>
      <w:pPr>
        <w:ind w:left="425" w:hanging="425"/>
      </w:pPr>
      <w:rPr>
        <w:rFonts w:hint="eastAsia"/>
      </w:rPr>
    </w:lvl>
    <w:lvl w:ilvl="1">
      <w:start w:val="1"/>
      <w:numFmt w:val="decimal"/>
      <w:pStyle w:val="a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646260FA"/>
    <w:multiLevelType w:val="multilevel"/>
    <w:tmpl w:val="307C51EE"/>
    <w:lvl w:ilvl="0">
      <w:start w:val="1"/>
      <w:numFmt w:val="decimal"/>
      <w:lvlRestart w:val="0"/>
      <w:pStyle w:val="ad"/>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657D3FBC"/>
    <w:multiLevelType w:val="multilevel"/>
    <w:tmpl w:val="D78CB1D2"/>
    <w:lvl w:ilvl="0">
      <w:start w:val="1"/>
      <w:numFmt w:val="upperLetter"/>
      <w:lvlRestart w:val="0"/>
      <w:pStyle w:val="ae"/>
      <w:suff w:val="nothing"/>
      <w:lvlText w:val="附录%1"/>
      <w:lvlJc w:val="left"/>
      <w:pPr>
        <w:ind w:left="0" w:firstLine="0"/>
      </w:pPr>
      <w:rPr>
        <w:rFonts w:hint="eastAsia"/>
        <w:spacing w:val="100"/>
      </w:rPr>
    </w:lvl>
    <w:lvl w:ilvl="1">
      <w:start w:val="1"/>
      <w:numFmt w:val="decimal"/>
      <w:pStyle w:val="af"/>
      <w:suff w:val="nothing"/>
      <w:lvlText w:val="%1.%2　"/>
      <w:lvlJc w:val="left"/>
      <w:pPr>
        <w:ind w:left="0" w:firstLine="0"/>
      </w:pPr>
      <w:rPr>
        <w:rFonts w:ascii="黑体" w:eastAsia="黑体" w:hint="eastAsia"/>
        <w:b w:val="0"/>
        <w:i w:val="0"/>
        <w:sz w:val="21"/>
      </w:rPr>
    </w:lvl>
    <w:lvl w:ilvl="2">
      <w:start w:val="1"/>
      <w:numFmt w:val="decimal"/>
      <w:pStyle w:val="af0"/>
      <w:suff w:val="nothing"/>
      <w:lvlText w:val="%1.%2.%3　"/>
      <w:lvlJc w:val="left"/>
      <w:pPr>
        <w:ind w:left="0" w:firstLine="0"/>
      </w:pPr>
      <w:rPr>
        <w:rFonts w:ascii="黑体" w:eastAsia="黑体" w:hint="eastAsia"/>
        <w:b w:val="0"/>
        <w:i w:val="0"/>
        <w:sz w:val="21"/>
      </w:rPr>
    </w:lvl>
    <w:lvl w:ilvl="3">
      <w:start w:val="1"/>
      <w:numFmt w:val="decimal"/>
      <w:pStyle w:val="af1"/>
      <w:suff w:val="nothing"/>
      <w:lvlText w:val="%1.%2.%3.%4　"/>
      <w:lvlJc w:val="left"/>
      <w:pPr>
        <w:ind w:left="0" w:firstLine="0"/>
      </w:pPr>
      <w:rPr>
        <w:rFonts w:ascii="黑体" w:eastAsia="黑体" w:hint="eastAsia"/>
        <w:b w:val="0"/>
        <w:i w:val="0"/>
        <w:sz w:val="21"/>
      </w:rPr>
    </w:lvl>
    <w:lvl w:ilvl="4">
      <w:start w:val="1"/>
      <w:numFmt w:val="decimal"/>
      <w:pStyle w:val="af2"/>
      <w:suff w:val="nothing"/>
      <w:lvlText w:val="%1.%2.%3.%4.%5　"/>
      <w:lvlJc w:val="left"/>
      <w:pPr>
        <w:ind w:left="0" w:firstLine="0"/>
      </w:pPr>
      <w:rPr>
        <w:rFonts w:ascii="黑体" w:eastAsia="黑体" w:hint="eastAsia"/>
        <w:b w:val="0"/>
        <w:i w:val="0"/>
        <w:sz w:val="21"/>
      </w:rPr>
    </w:lvl>
    <w:lvl w:ilvl="5">
      <w:start w:val="1"/>
      <w:numFmt w:val="decimal"/>
      <w:pStyle w:val="af3"/>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CEA2025"/>
    <w:multiLevelType w:val="multilevel"/>
    <w:tmpl w:val="6CEA2025"/>
    <w:lvl w:ilvl="0">
      <w:start w:val="1"/>
      <w:numFmt w:val="none"/>
      <w:pStyle w:val="af4"/>
      <w:suff w:val="nothing"/>
      <w:lvlText w:val="%1"/>
      <w:lvlJc w:val="left"/>
      <w:rPr>
        <w:rFonts w:ascii="Times New Roman" w:hAnsi="Times New Roman" w:cs="Times New Roman" w:hint="default"/>
        <w:b/>
        <w:bCs/>
        <w:i w:val="0"/>
        <w:iCs w:val="0"/>
        <w:sz w:val="21"/>
        <w:szCs w:val="21"/>
      </w:rPr>
    </w:lvl>
    <w:lvl w:ilvl="1">
      <w:start w:val="1"/>
      <w:numFmt w:val="decimal"/>
      <w:pStyle w:val="1"/>
      <w:suff w:val="nothing"/>
      <w:lvlText w:val="%1%2　"/>
      <w:lvlJc w:val="left"/>
      <w:rPr>
        <w:rFonts w:ascii="黑体" w:eastAsia="黑体" w:hAnsi="Times New Roman" w:hint="eastAsia"/>
        <w:b w:val="0"/>
        <w:bCs w:val="0"/>
        <w:i w:val="0"/>
        <w:iCs w:val="0"/>
        <w:sz w:val="21"/>
        <w:szCs w:val="21"/>
      </w:rPr>
    </w:lvl>
    <w:lvl w:ilvl="2">
      <w:start w:val="1"/>
      <w:numFmt w:val="decimal"/>
      <w:pStyle w:val="af5"/>
      <w:suff w:val="nothing"/>
      <w:lvlText w:val="%1%2.%3　"/>
      <w:lvlJc w:val="left"/>
      <w:rPr>
        <w:rFonts w:ascii="黑体" w:eastAsia="黑体" w:hAnsi="Times New Roman" w:hint="eastAsia"/>
        <w:b w:val="0"/>
        <w:bCs w:val="0"/>
        <w:i w:val="0"/>
        <w:iCs w:val="0"/>
        <w:sz w:val="21"/>
        <w:szCs w:val="21"/>
      </w:rPr>
    </w:lvl>
    <w:lvl w:ilvl="3">
      <w:start w:val="1"/>
      <w:numFmt w:val="decimal"/>
      <w:pStyle w:val="af6"/>
      <w:suff w:val="nothing"/>
      <w:lvlText w:val="%1%2.%3.%4　"/>
      <w:lvlJc w:val="left"/>
      <w:rPr>
        <w:rFonts w:ascii="黑体" w:eastAsia="黑体" w:hAnsi="Times New Roman" w:hint="eastAsia"/>
        <w:b w:val="0"/>
        <w:bCs w:val="0"/>
        <w:i w:val="0"/>
        <w:iCs w:val="0"/>
        <w:sz w:val="21"/>
        <w:szCs w:val="21"/>
      </w:rPr>
    </w:lvl>
    <w:lvl w:ilvl="4">
      <w:start w:val="1"/>
      <w:numFmt w:val="decimal"/>
      <w:pStyle w:val="af7"/>
      <w:suff w:val="nothing"/>
      <w:lvlText w:val="%1%2.%3.%4.%5　"/>
      <w:lvlJc w:val="left"/>
      <w:rPr>
        <w:rFonts w:ascii="黑体" w:eastAsia="黑体" w:hAnsi="Times New Roman" w:hint="eastAsia"/>
        <w:b w:val="0"/>
        <w:bCs w:val="0"/>
        <w:i w:val="0"/>
        <w:iCs w:val="0"/>
        <w:sz w:val="21"/>
        <w:szCs w:val="21"/>
      </w:rPr>
    </w:lvl>
    <w:lvl w:ilvl="5">
      <w:start w:val="1"/>
      <w:numFmt w:val="decimal"/>
      <w:pStyle w:val="af8"/>
      <w:suff w:val="nothing"/>
      <w:lvlText w:val="%1%2.%3.%4.%5.%6　"/>
      <w:lvlJc w:val="left"/>
      <w:rPr>
        <w:rFonts w:ascii="黑体" w:eastAsia="黑体" w:hAnsi="Times New Roman" w:hint="eastAsia"/>
        <w:b w:val="0"/>
        <w:bCs w:val="0"/>
        <w:i w:val="0"/>
        <w:iCs w:val="0"/>
        <w:sz w:val="21"/>
        <w:szCs w:val="21"/>
      </w:rPr>
    </w:lvl>
    <w:lvl w:ilvl="6">
      <w:start w:val="1"/>
      <w:numFmt w:val="decimal"/>
      <w:pStyle w:val="af9"/>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72212951"/>
    <w:multiLevelType w:val="multilevel"/>
    <w:tmpl w:val="A2F084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fa"/>
      <w:lvlText w:val="%3."/>
      <w:lvlJc w:val="left"/>
      <w:pPr>
        <w:tabs>
          <w:tab w:val="num" w:pos="2160"/>
        </w:tabs>
        <w:ind w:left="2160" w:hanging="720"/>
      </w:pPr>
    </w:lvl>
    <w:lvl w:ilvl="3">
      <w:start w:val="1"/>
      <w:numFmt w:val="decimal"/>
      <w:pStyle w:val="afb"/>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
  </w:num>
  <w:num w:numId="3">
    <w:abstractNumId w:val="0"/>
  </w:num>
  <w:num w:numId="4">
    <w:abstractNumId w:val="1"/>
  </w:num>
  <w:num w:numId="5">
    <w:abstractNumId w:val="7"/>
  </w:num>
  <w:num w:numId="6">
    <w:abstractNumId w:val="5"/>
  </w:num>
  <w:num w:numId="7">
    <w:abstractNumId w:val="9"/>
  </w:num>
  <w:num w:numId="8">
    <w:abstractNumId w:val="4"/>
  </w:num>
  <w:num w:numId="9">
    <w:abstractNumId w:val="11"/>
  </w:num>
  <w:num w:numId="10">
    <w:abstractNumId w:val="6"/>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B9A"/>
    <w:rsid w:val="000658B5"/>
    <w:rsid w:val="00071C21"/>
    <w:rsid w:val="001C02AD"/>
    <w:rsid w:val="001F752F"/>
    <w:rsid w:val="002F675B"/>
    <w:rsid w:val="00345B0A"/>
    <w:rsid w:val="0035207C"/>
    <w:rsid w:val="004B1820"/>
    <w:rsid w:val="004F1CC1"/>
    <w:rsid w:val="0050530E"/>
    <w:rsid w:val="00550745"/>
    <w:rsid w:val="00553C09"/>
    <w:rsid w:val="00612836"/>
    <w:rsid w:val="00613114"/>
    <w:rsid w:val="00700CBC"/>
    <w:rsid w:val="0071689E"/>
    <w:rsid w:val="00735F2E"/>
    <w:rsid w:val="00765941"/>
    <w:rsid w:val="007D33AF"/>
    <w:rsid w:val="00836254"/>
    <w:rsid w:val="00897E04"/>
    <w:rsid w:val="008A24E9"/>
    <w:rsid w:val="00912198"/>
    <w:rsid w:val="009327FC"/>
    <w:rsid w:val="00AA2775"/>
    <w:rsid w:val="00B45CB0"/>
    <w:rsid w:val="00D51EAC"/>
    <w:rsid w:val="00E0007A"/>
    <w:rsid w:val="00E71B9A"/>
    <w:rsid w:val="00ED1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6B53A"/>
  <w15:chartTrackingRefBased/>
  <w15:docId w15:val="{6D8D63F7-D8C3-433E-A37A-5196AB43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36"/>
        <w:szCs w:val="36"/>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c">
    <w:name w:val="Normal"/>
    <w:qFormat/>
    <w:pPr>
      <w:widowControl w:val="0"/>
      <w:jc w:val="both"/>
    </w:pPr>
  </w:style>
  <w:style w:type="paragraph" w:styleId="10">
    <w:name w:val="heading 1"/>
    <w:basedOn w:val="afc"/>
    <w:next w:val="afc"/>
    <w:link w:val="11"/>
    <w:uiPriority w:val="9"/>
    <w:qFormat/>
    <w:rsid w:val="00E71B9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0">
    <w:name w:val="heading 2"/>
    <w:basedOn w:val="afc"/>
    <w:next w:val="afc"/>
    <w:link w:val="21"/>
    <w:uiPriority w:val="9"/>
    <w:semiHidden/>
    <w:unhideWhenUsed/>
    <w:qFormat/>
    <w:rsid w:val="00E71B9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fc"/>
    <w:next w:val="afc"/>
    <w:link w:val="30"/>
    <w:uiPriority w:val="9"/>
    <w:semiHidden/>
    <w:unhideWhenUsed/>
    <w:qFormat/>
    <w:rsid w:val="00E71B9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fc"/>
    <w:next w:val="afc"/>
    <w:link w:val="40"/>
    <w:uiPriority w:val="9"/>
    <w:semiHidden/>
    <w:unhideWhenUsed/>
    <w:qFormat/>
    <w:rsid w:val="00E71B9A"/>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fc"/>
    <w:next w:val="afc"/>
    <w:link w:val="50"/>
    <w:uiPriority w:val="9"/>
    <w:semiHidden/>
    <w:unhideWhenUsed/>
    <w:qFormat/>
    <w:rsid w:val="00E71B9A"/>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fc"/>
    <w:next w:val="afc"/>
    <w:link w:val="60"/>
    <w:uiPriority w:val="9"/>
    <w:semiHidden/>
    <w:unhideWhenUsed/>
    <w:qFormat/>
    <w:rsid w:val="00E71B9A"/>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fc"/>
    <w:next w:val="afc"/>
    <w:link w:val="70"/>
    <w:uiPriority w:val="9"/>
    <w:semiHidden/>
    <w:unhideWhenUsed/>
    <w:qFormat/>
    <w:rsid w:val="00E71B9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fc"/>
    <w:next w:val="afc"/>
    <w:link w:val="80"/>
    <w:uiPriority w:val="9"/>
    <w:semiHidden/>
    <w:unhideWhenUsed/>
    <w:qFormat/>
    <w:rsid w:val="00E71B9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fc"/>
    <w:next w:val="afc"/>
    <w:link w:val="90"/>
    <w:uiPriority w:val="9"/>
    <w:semiHidden/>
    <w:unhideWhenUsed/>
    <w:qFormat/>
    <w:rsid w:val="00E71B9A"/>
    <w:pPr>
      <w:keepNext/>
      <w:keepLines/>
      <w:outlineLvl w:val="8"/>
    </w:pPr>
    <w:rPr>
      <w:rFonts w:asciiTheme="minorHAnsi" w:eastAsiaTheme="majorEastAsia" w:hAnsiTheme="minorHAnsi" w:cstheme="majorBidi"/>
      <w:color w:val="595959" w:themeColor="text1" w:themeTint="A6"/>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character" w:customStyle="1" w:styleId="11">
    <w:name w:val="标题 1 字符"/>
    <w:basedOn w:val="afd"/>
    <w:link w:val="10"/>
    <w:uiPriority w:val="9"/>
    <w:rsid w:val="00E71B9A"/>
    <w:rPr>
      <w:rFonts w:asciiTheme="majorHAnsi" w:eastAsiaTheme="majorEastAsia" w:hAnsiTheme="majorHAnsi" w:cstheme="majorBidi"/>
      <w:color w:val="0F4761" w:themeColor="accent1" w:themeShade="BF"/>
      <w:sz w:val="48"/>
      <w:szCs w:val="48"/>
    </w:rPr>
  </w:style>
  <w:style w:type="character" w:customStyle="1" w:styleId="21">
    <w:name w:val="标题 2 字符"/>
    <w:basedOn w:val="afd"/>
    <w:link w:val="20"/>
    <w:uiPriority w:val="9"/>
    <w:semiHidden/>
    <w:rsid w:val="00E71B9A"/>
    <w:rPr>
      <w:rFonts w:asciiTheme="majorHAnsi" w:eastAsiaTheme="majorEastAsia" w:hAnsiTheme="majorHAnsi" w:cstheme="majorBidi"/>
      <w:color w:val="0F4761" w:themeColor="accent1" w:themeShade="BF"/>
      <w:sz w:val="40"/>
      <w:szCs w:val="40"/>
    </w:rPr>
  </w:style>
  <w:style w:type="character" w:customStyle="1" w:styleId="30">
    <w:name w:val="标题 3 字符"/>
    <w:basedOn w:val="afd"/>
    <w:link w:val="3"/>
    <w:uiPriority w:val="9"/>
    <w:semiHidden/>
    <w:rsid w:val="00E71B9A"/>
    <w:rPr>
      <w:rFonts w:asciiTheme="majorHAnsi" w:eastAsiaTheme="majorEastAsia" w:hAnsiTheme="majorHAnsi" w:cstheme="majorBidi"/>
      <w:color w:val="0F4761" w:themeColor="accent1" w:themeShade="BF"/>
      <w:sz w:val="32"/>
      <w:szCs w:val="32"/>
    </w:rPr>
  </w:style>
  <w:style w:type="character" w:customStyle="1" w:styleId="40">
    <w:name w:val="标题 4 字符"/>
    <w:basedOn w:val="afd"/>
    <w:link w:val="4"/>
    <w:uiPriority w:val="9"/>
    <w:semiHidden/>
    <w:rsid w:val="00E71B9A"/>
    <w:rPr>
      <w:rFonts w:asciiTheme="minorHAnsi" w:eastAsiaTheme="minorEastAsia" w:hAnsiTheme="minorHAnsi" w:cstheme="majorBidi"/>
      <w:color w:val="0F4761" w:themeColor="accent1" w:themeShade="BF"/>
      <w:sz w:val="28"/>
      <w:szCs w:val="28"/>
    </w:rPr>
  </w:style>
  <w:style w:type="character" w:customStyle="1" w:styleId="50">
    <w:name w:val="标题 5 字符"/>
    <w:basedOn w:val="afd"/>
    <w:link w:val="5"/>
    <w:uiPriority w:val="9"/>
    <w:semiHidden/>
    <w:rsid w:val="00E71B9A"/>
    <w:rPr>
      <w:rFonts w:asciiTheme="minorHAnsi" w:eastAsiaTheme="minorEastAsia" w:hAnsiTheme="minorHAnsi" w:cstheme="majorBidi"/>
      <w:color w:val="0F4761" w:themeColor="accent1" w:themeShade="BF"/>
      <w:sz w:val="24"/>
      <w:szCs w:val="24"/>
    </w:rPr>
  </w:style>
  <w:style w:type="character" w:customStyle="1" w:styleId="60">
    <w:name w:val="标题 6 字符"/>
    <w:basedOn w:val="afd"/>
    <w:link w:val="6"/>
    <w:uiPriority w:val="9"/>
    <w:semiHidden/>
    <w:rsid w:val="00E71B9A"/>
    <w:rPr>
      <w:rFonts w:asciiTheme="minorHAnsi" w:eastAsiaTheme="minorEastAsia" w:hAnsiTheme="minorHAnsi" w:cstheme="majorBidi"/>
      <w:b/>
      <w:bCs/>
      <w:color w:val="0F4761" w:themeColor="accent1" w:themeShade="BF"/>
    </w:rPr>
  </w:style>
  <w:style w:type="character" w:customStyle="1" w:styleId="70">
    <w:name w:val="标题 7 字符"/>
    <w:basedOn w:val="afd"/>
    <w:link w:val="7"/>
    <w:uiPriority w:val="9"/>
    <w:semiHidden/>
    <w:rsid w:val="00E71B9A"/>
    <w:rPr>
      <w:rFonts w:asciiTheme="minorHAnsi" w:eastAsiaTheme="minorEastAsia" w:hAnsiTheme="minorHAnsi" w:cstheme="majorBidi"/>
      <w:b/>
      <w:bCs/>
      <w:color w:val="595959" w:themeColor="text1" w:themeTint="A6"/>
    </w:rPr>
  </w:style>
  <w:style w:type="character" w:customStyle="1" w:styleId="80">
    <w:name w:val="标题 8 字符"/>
    <w:basedOn w:val="afd"/>
    <w:link w:val="8"/>
    <w:uiPriority w:val="9"/>
    <w:semiHidden/>
    <w:rsid w:val="00E71B9A"/>
    <w:rPr>
      <w:rFonts w:asciiTheme="minorHAnsi" w:eastAsiaTheme="minorEastAsia" w:hAnsiTheme="minorHAnsi" w:cstheme="majorBidi"/>
      <w:color w:val="595959" w:themeColor="text1" w:themeTint="A6"/>
    </w:rPr>
  </w:style>
  <w:style w:type="character" w:customStyle="1" w:styleId="90">
    <w:name w:val="标题 9 字符"/>
    <w:basedOn w:val="afd"/>
    <w:link w:val="9"/>
    <w:uiPriority w:val="9"/>
    <w:semiHidden/>
    <w:rsid w:val="00E71B9A"/>
    <w:rPr>
      <w:rFonts w:asciiTheme="minorHAnsi" w:eastAsiaTheme="majorEastAsia" w:hAnsiTheme="minorHAnsi" w:cstheme="majorBidi"/>
      <w:color w:val="595959" w:themeColor="text1" w:themeTint="A6"/>
    </w:rPr>
  </w:style>
  <w:style w:type="paragraph" w:styleId="aff0">
    <w:name w:val="Title"/>
    <w:basedOn w:val="afc"/>
    <w:next w:val="afc"/>
    <w:link w:val="aff1"/>
    <w:uiPriority w:val="10"/>
    <w:qFormat/>
    <w:rsid w:val="00E71B9A"/>
    <w:pPr>
      <w:spacing w:after="80"/>
      <w:contextualSpacing/>
      <w:jc w:val="center"/>
    </w:pPr>
    <w:rPr>
      <w:rFonts w:asciiTheme="majorHAnsi" w:eastAsiaTheme="majorEastAsia" w:hAnsiTheme="majorHAnsi" w:cstheme="majorBidi"/>
      <w:spacing w:val="-10"/>
      <w:kern w:val="28"/>
      <w:sz w:val="56"/>
      <w:szCs w:val="56"/>
    </w:rPr>
  </w:style>
  <w:style w:type="character" w:customStyle="1" w:styleId="aff1">
    <w:name w:val="标题 字符"/>
    <w:basedOn w:val="afd"/>
    <w:link w:val="aff0"/>
    <w:uiPriority w:val="10"/>
    <w:rsid w:val="00E71B9A"/>
    <w:rPr>
      <w:rFonts w:asciiTheme="majorHAnsi" w:eastAsiaTheme="majorEastAsia" w:hAnsiTheme="majorHAnsi" w:cstheme="majorBidi"/>
      <w:spacing w:val="-10"/>
      <w:kern w:val="28"/>
      <w:sz w:val="56"/>
      <w:szCs w:val="56"/>
    </w:rPr>
  </w:style>
  <w:style w:type="paragraph" w:styleId="aff2">
    <w:name w:val="Subtitle"/>
    <w:basedOn w:val="afc"/>
    <w:next w:val="afc"/>
    <w:link w:val="aff3"/>
    <w:uiPriority w:val="11"/>
    <w:qFormat/>
    <w:rsid w:val="00E71B9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ff3">
    <w:name w:val="副标题 字符"/>
    <w:basedOn w:val="afd"/>
    <w:link w:val="aff2"/>
    <w:uiPriority w:val="11"/>
    <w:rsid w:val="00E71B9A"/>
    <w:rPr>
      <w:rFonts w:asciiTheme="majorHAnsi" w:eastAsiaTheme="majorEastAsia" w:hAnsiTheme="majorHAnsi" w:cstheme="majorBidi"/>
      <w:color w:val="595959" w:themeColor="text1" w:themeTint="A6"/>
      <w:spacing w:val="15"/>
      <w:sz w:val="28"/>
      <w:szCs w:val="28"/>
    </w:rPr>
  </w:style>
  <w:style w:type="paragraph" w:styleId="aff4">
    <w:name w:val="Quote"/>
    <w:basedOn w:val="afc"/>
    <w:next w:val="afc"/>
    <w:link w:val="aff5"/>
    <w:uiPriority w:val="29"/>
    <w:qFormat/>
    <w:rsid w:val="00E71B9A"/>
    <w:pPr>
      <w:spacing w:before="160" w:after="160"/>
      <w:jc w:val="center"/>
    </w:pPr>
    <w:rPr>
      <w:i/>
      <w:iCs/>
      <w:color w:val="404040" w:themeColor="text1" w:themeTint="BF"/>
    </w:rPr>
  </w:style>
  <w:style w:type="character" w:customStyle="1" w:styleId="aff5">
    <w:name w:val="引用 字符"/>
    <w:basedOn w:val="afd"/>
    <w:link w:val="aff4"/>
    <w:uiPriority w:val="29"/>
    <w:rsid w:val="00E71B9A"/>
    <w:rPr>
      <w:i/>
      <w:iCs/>
      <w:color w:val="404040" w:themeColor="text1" w:themeTint="BF"/>
    </w:rPr>
  </w:style>
  <w:style w:type="paragraph" w:styleId="aff6">
    <w:name w:val="List Paragraph"/>
    <w:basedOn w:val="afc"/>
    <w:uiPriority w:val="34"/>
    <w:qFormat/>
    <w:rsid w:val="00E71B9A"/>
    <w:pPr>
      <w:ind w:left="720"/>
      <w:contextualSpacing/>
    </w:pPr>
  </w:style>
  <w:style w:type="character" w:styleId="aff7">
    <w:name w:val="Intense Emphasis"/>
    <w:basedOn w:val="afd"/>
    <w:uiPriority w:val="21"/>
    <w:qFormat/>
    <w:rsid w:val="00E71B9A"/>
    <w:rPr>
      <w:i/>
      <w:iCs/>
      <w:color w:val="0F4761" w:themeColor="accent1" w:themeShade="BF"/>
    </w:rPr>
  </w:style>
  <w:style w:type="paragraph" w:styleId="aff8">
    <w:name w:val="Intense Quote"/>
    <w:basedOn w:val="afc"/>
    <w:next w:val="afc"/>
    <w:link w:val="aff9"/>
    <w:uiPriority w:val="30"/>
    <w:qFormat/>
    <w:rsid w:val="00E71B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9">
    <w:name w:val="明显引用 字符"/>
    <w:basedOn w:val="afd"/>
    <w:link w:val="aff8"/>
    <w:uiPriority w:val="30"/>
    <w:rsid w:val="00E71B9A"/>
    <w:rPr>
      <w:i/>
      <w:iCs/>
      <w:color w:val="0F4761" w:themeColor="accent1" w:themeShade="BF"/>
    </w:rPr>
  </w:style>
  <w:style w:type="character" w:styleId="affa">
    <w:name w:val="Intense Reference"/>
    <w:basedOn w:val="afd"/>
    <w:uiPriority w:val="32"/>
    <w:qFormat/>
    <w:rsid w:val="00E71B9A"/>
    <w:rPr>
      <w:b/>
      <w:bCs/>
      <w:smallCaps/>
      <w:color w:val="0F4761" w:themeColor="accent1" w:themeShade="BF"/>
      <w:spacing w:val="5"/>
    </w:rPr>
  </w:style>
  <w:style w:type="paragraph" w:styleId="affb">
    <w:name w:val="header"/>
    <w:basedOn w:val="afc"/>
    <w:link w:val="affc"/>
    <w:uiPriority w:val="99"/>
    <w:unhideWhenUsed/>
    <w:rsid w:val="0050530E"/>
    <w:pPr>
      <w:tabs>
        <w:tab w:val="center" w:pos="4153"/>
        <w:tab w:val="right" w:pos="8306"/>
      </w:tabs>
      <w:snapToGrid w:val="0"/>
      <w:jc w:val="center"/>
    </w:pPr>
    <w:rPr>
      <w:sz w:val="18"/>
      <w:szCs w:val="18"/>
    </w:rPr>
  </w:style>
  <w:style w:type="character" w:customStyle="1" w:styleId="affc">
    <w:name w:val="页眉 字符"/>
    <w:basedOn w:val="afd"/>
    <w:link w:val="affb"/>
    <w:uiPriority w:val="99"/>
    <w:rsid w:val="0050530E"/>
    <w:rPr>
      <w:sz w:val="18"/>
      <w:szCs w:val="18"/>
    </w:rPr>
  </w:style>
  <w:style w:type="paragraph" w:styleId="affd">
    <w:name w:val="footer"/>
    <w:basedOn w:val="afc"/>
    <w:link w:val="affe"/>
    <w:uiPriority w:val="99"/>
    <w:unhideWhenUsed/>
    <w:rsid w:val="0050530E"/>
    <w:pPr>
      <w:tabs>
        <w:tab w:val="center" w:pos="4153"/>
        <w:tab w:val="right" w:pos="8306"/>
      </w:tabs>
      <w:snapToGrid w:val="0"/>
      <w:jc w:val="left"/>
    </w:pPr>
    <w:rPr>
      <w:sz w:val="18"/>
      <w:szCs w:val="18"/>
    </w:rPr>
  </w:style>
  <w:style w:type="character" w:customStyle="1" w:styleId="affe">
    <w:name w:val="页脚 字符"/>
    <w:basedOn w:val="afd"/>
    <w:link w:val="affd"/>
    <w:uiPriority w:val="99"/>
    <w:rsid w:val="0050530E"/>
    <w:rPr>
      <w:sz w:val="18"/>
      <w:szCs w:val="18"/>
    </w:rPr>
  </w:style>
  <w:style w:type="table" w:styleId="afff">
    <w:name w:val="Table Grid"/>
    <w:basedOn w:val="afe"/>
    <w:uiPriority w:val="39"/>
    <w:qFormat/>
    <w:rsid w:val="0050530E"/>
    <w:rPr>
      <w:rFonts w:cs="Calibri"/>
      <w:smallCap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章标题"/>
    <w:next w:val="afc"/>
    <w:uiPriority w:val="99"/>
    <w:qFormat/>
    <w:rsid w:val="0050530E"/>
    <w:pPr>
      <w:numPr>
        <w:ilvl w:val="1"/>
        <w:numId w:val="1"/>
      </w:numPr>
      <w:spacing w:beforeLines="50" w:afterLines="50"/>
      <w:jc w:val="both"/>
      <w:outlineLvl w:val="0"/>
    </w:pPr>
    <w:rPr>
      <w:rFonts w:ascii="黑体" w:eastAsia="黑体" w:hAnsi="Times New Roman" w:cs="黑体"/>
      <w:smallCaps/>
      <w:kern w:val="0"/>
      <w:sz w:val="21"/>
      <w:szCs w:val="21"/>
    </w:rPr>
  </w:style>
  <w:style w:type="paragraph" w:customStyle="1" w:styleId="af6">
    <w:name w:val="标准文件_二级条标题"/>
    <w:next w:val="afc"/>
    <w:qFormat/>
    <w:rsid w:val="0050530E"/>
    <w:pPr>
      <w:widowControl w:val="0"/>
      <w:numPr>
        <w:ilvl w:val="3"/>
        <w:numId w:val="1"/>
      </w:numPr>
      <w:jc w:val="both"/>
      <w:outlineLvl w:val="2"/>
    </w:pPr>
    <w:rPr>
      <w:rFonts w:ascii="黑体" w:eastAsia="黑体" w:hAnsi="Times New Roman" w:cs="黑体"/>
      <w:smallCaps/>
      <w:kern w:val="0"/>
      <w:sz w:val="21"/>
      <w:szCs w:val="21"/>
    </w:rPr>
  </w:style>
  <w:style w:type="paragraph" w:customStyle="1" w:styleId="af7">
    <w:name w:val="标准文件_三级条标题"/>
    <w:basedOn w:val="af6"/>
    <w:next w:val="afc"/>
    <w:qFormat/>
    <w:rsid w:val="0050530E"/>
    <w:pPr>
      <w:widowControl/>
      <w:numPr>
        <w:ilvl w:val="4"/>
      </w:numPr>
      <w:outlineLvl w:val="3"/>
    </w:pPr>
  </w:style>
  <w:style w:type="paragraph" w:customStyle="1" w:styleId="af8">
    <w:name w:val="标准文件_四级条标题"/>
    <w:next w:val="afc"/>
    <w:qFormat/>
    <w:rsid w:val="0050530E"/>
    <w:pPr>
      <w:widowControl w:val="0"/>
      <w:numPr>
        <w:ilvl w:val="5"/>
        <w:numId w:val="1"/>
      </w:numPr>
      <w:jc w:val="both"/>
      <w:outlineLvl w:val="4"/>
    </w:pPr>
    <w:rPr>
      <w:rFonts w:ascii="黑体" w:eastAsia="黑体" w:hAnsi="Times New Roman" w:cs="黑体"/>
      <w:smallCaps/>
      <w:kern w:val="0"/>
      <w:sz w:val="21"/>
      <w:szCs w:val="21"/>
    </w:rPr>
  </w:style>
  <w:style w:type="paragraph" w:customStyle="1" w:styleId="af9">
    <w:name w:val="标准文件_五级条标题"/>
    <w:next w:val="afc"/>
    <w:qFormat/>
    <w:rsid w:val="0050530E"/>
    <w:pPr>
      <w:widowControl w:val="0"/>
      <w:numPr>
        <w:ilvl w:val="6"/>
        <w:numId w:val="1"/>
      </w:numPr>
      <w:jc w:val="both"/>
      <w:outlineLvl w:val="5"/>
    </w:pPr>
    <w:rPr>
      <w:rFonts w:ascii="黑体" w:eastAsia="黑体" w:hAnsi="Times New Roman" w:cs="黑体"/>
      <w:smallCaps/>
      <w:kern w:val="0"/>
      <w:sz w:val="21"/>
      <w:szCs w:val="21"/>
    </w:rPr>
  </w:style>
  <w:style w:type="paragraph" w:customStyle="1" w:styleId="af5">
    <w:name w:val="标准文件_一级条标题"/>
    <w:basedOn w:val="1"/>
    <w:next w:val="afc"/>
    <w:qFormat/>
    <w:rsid w:val="0050530E"/>
    <w:pPr>
      <w:numPr>
        <w:ilvl w:val="2"/>
      </w:numPr>
      <w:spacing w:beforeLines="0" w:afterLines="0"/>
      <w:outlineLvl w:val="1"/>
    </w:pPr>
  </w:style>
  <w:style w:type="paragraph" w:customStyle="1" w:styleId="af4">
    <w:name w:val="前言标题"/>
    <w:next w:val="afc"/>
    <w:qFormat/>
    <w:rsid w:val="0050530E"/>
    <w:pPr>
      <w:numPr>
        <w:numId w:val="1"/>
      </w:numPr>
      <w:shd w:val="clear" w:color="FFFFFF" w:fill="FFFFFF"/>
      <w:spacing w:before="540"/>
      <w:jc w:val="center"/>
      <w:outlineLvl w:val="0"/>
    </w:pPr>
    <w:rPr>
      <w:rFonts w:ascii="黑体" w:eastAsia="黑体" w:hAnsi="Times New Roman" w:cs="黑体"/>
      <w:smallCaps/>
      <w:kern w:val="0"/>
      <w:sz w:val="32"/>
      <w:szCs w:val="32"/>
    </w:rPr>
  </w:style>
  <w:style w:type="paragraph" w:customStyle="1" w:styleId="afff0">
    <w:name w:val="标准书眉_偶数页"/>
    <w:basedOn w:val="afc"/>
    <w:next w:val="afc"/>
    <w:qFormat/>
    <w:rsid w:val="0050530E"/>
    <w:pPr>
      <w:widowControl/>
      <w:tabs>
        <w:tab w:val="center" w:pos="4154"/>
        <w:tab w:val="right" w:pos="8306"/>
      </w:tabs>
      <w:spacing w:after="220"/>
      <w:jc w:val="left"/>
    </w:pPr>
    <w:rPr>
      <w:rFonts w:ascii="黑体" w:eastAsia="黑体" w:hAnsi="Times New Roman"/>
      <w:smallCaps/>
      <w:kern w:val="0"/>
      <w:sz w:val="21"/>
      <w:szCs w:val="21"/>
    </w:rPr>
  </w:style>
  <w:style w:type="paragraph" w:customStyle="1" w:styleId="afff1">
    <w:name w:val="标准书脚_偶数页"/>
    <w:qFormat/>
    <w:rsid w:val="0050530E"/>
    <w:pPr>
      <w:spacing w:before="120"/>
      <w:ind w:left="221"/>
    </w:pPr>
    <w:rPr>
      <w:rFonts w:ascii="宋体" w:hAnsi="Times New Roman"/>
      <w:smallCaps/>
      <w:kern w:val="0"/>
      <w:sz w:val="18"/>
      <w:szCs w:val="18"/>
    </w:rPr>
  </w:style>
  <w:style w:type="paragraph" w:customStyle="1" w:styleId="afff2">
    <w:name w:val="标准文件_段"/>
    <w:link w:val="Char"/>
    <w:qFormat/>
    <w:rsid w:val="004F1CC1"/>
    <w:pPr>
      <w:autoSpaceDE w:val="0"/>
      <w:autoSpaceDN w:val="0"/>
      <w:ind w:firstLineChars="200" w:firstLine="200"/>
      <w:jc w:val="both"/>
    </w:pPr>
    <w:rPr>
      <w:rFonts w:ascii="宋体" w:hAnsi="Times New Roman"/>
      <w:noProof/>
      <w:kern w:val="0"/>
      <w:sz w:val="21"/>
      <w:szCs w:val="20"/>
    </w:rPr>
  </w:style>
  <w:style w:type="paragraph" w:customStyle="1" w:styleId="a">
    <w:name w:val="标准文件_前言、引言标题"/>
    <w:next w:val="afc"/>
    <w:rsid w:val="004F1CC1"/>
    <w:pPr>
      <w:numPr>
        <w:numId w:val="4"/>
      </w:numPr>
      <w:shd w:val="clear" w:color="FFFFFF" w:fill="FFFFFF"/>
      <w:spacing w:before="480" w:afterLines="150" w:after="150"/>
      <w:jc w:val="center"/>
      <w:outlineLvl w:val="0"/>
    </w:pPr>
    <w:rPr>
      <w:rFonts w:ascii="黑体" w:eastAsia="黑体" w:hAnsi="Times New Roman"/>
      <w:kern w:val="0"/>
      <w:sz w:val="32"/>
      <w:szCs w:val="20"/>
    </w:rPr>
  </w:style>
  <w:style w:type="character" w:customStyle="1" w:styleId="Char">
    <w:name w:val="标准文件_段 Char"/>
    <w:link w:val="afff2"/>
    <w:qFormat/>
    <w:rsid w:val="004F1CC1"/>
    <w:rPr>
      <w:rFonts w:ascii="宋体" w:hAnsi="Times New Roman"/>
      <w:noProof/>
      <w:kern w:val="0"/>
      <w:sz w:val="21"/>
      <w:szCs w:val="20"/>
    </w:rPr>
  </w:style>
  <w:style w:type="paragraph" w:customStyle="1" w:styleId="a0">
    <w:name w:val="标准文件_引言一级条标题"/>
    <w:basedOn w:val="afff2"/>
    <w:next w:val="afff2"/>
    <w:qFormat/>
    <w:rsid w:val="004F1CC1"/>
    <w:pPr>
      <w:numPr>
        <w:ilvl w:val="1"/>
        <w:numId w:val="4"/>
      </w:numPr>
      <w:tabs>
        <w:tab w:val="num" w:pos="360"/>
      </w:tabs>
      <w:spacing w:beforeLines="50" w:before="50" w:afterLines="50" w:after="50"/>
      <w:ind w:firstLineChars="0" w:firstLine="200"/>
    </w:pPr>
    <w:rPr>
      <w:rFonts w:ascii="黑体" w:eastAsia="黑体"/>
    </w:rPr>
  </w:style>
  <w:style w:type="paragraph" w:customStyle="1" w:styleId="a1">
    <w:name w:val="标准文件_引言二级条标题"/>
    <w:basedOn w:val="afff2"/>
    <w:next w:val="afff2"/>
    <w:qFormat/>
    <w:rsid w:val="004F1CC1"/>
    <w:pPr>
      <w:numPr>
        <w:ilvl w:val="2"/>
        <w:numId w:val="4"/>
      </w:numPr>
      <w:tabs>
        <w:tab w:val="num" w:pos="360"/>
      </w:tabs>
      <w:spacing w:beforeLines="50" w:before="50" w:afterLines="50" w:after="50"/>
      <w:ind w:firstLineChars="0" w:firstLine="200"/>
    </w:pPr>
    <w:rPr>
      <w:rFonts w:ascii="黑体" w:eastAsia="黑体"/>
    </w:rPr>
  </w:style>
  <w:style w:type="paragraph" w:customStyle="1" w:styleId="a2">
    <w:name w:val="标准文件_引言三级条标题"/>
    <w:basedOn w:val="afff2"/>
    <w:next w:val="afff2"/>
    <w:qFormat/>
    <w:rsid w:val="004F1CC1"/>
    <w:pPr>
      <w:numPr>
        <w:ilvl w:val="3"/>
        <w:numId w:val="4"/>
      </w:numPr>
      <w:tabs>
        <w:tab w:val="num" w:pos="360"/>
      </w:tabs>
      <w:spacing w:beforeLines="50" w:before="50" w:afterLines="50" w:after="50"/>
      <w:ind w:firstLineChars="0" w:firstLine="200"/>
    </w:pPr>
    <w:rPr>
      <w:rFonts w:ascii="黑体" w:eastAsia="黑体"/>
    </w:rPr>
  </w:style>
  <w:style w:type="paragraph" w:customStyle="1" w:styleId="a3">
    <w:name w:val="标准文件_引言四级条标题"/>
    <w:basedOn w:val="afff2"/>
    <w:next w:val="afff2"/>
    <w:qFormat/>
    <w:rsid w:val="004F1CC1"/>
    <w:pPr>
      <w:numPr>
        <w:ilvl w:val="4"/>
        <w:numId w:val="4"/>
      </w:numPr>
      <w:tabs>
        <w:tab w:val="num" w:pos="360"/>
      </w:tabs>
      <w:spacing w:beforeLines="50" w:before="50" w:afterLines="50" w:after="50"/>
      <w:ind w:firstLineChars="0" w:firstLine="200"/>
    </w:pPr>
    <w:rPr>
      <w:rFonts w:ascii="黑体" w:eastAsia="黑体"/>
    </w:rPr>
  </w:style>
  <w:style w:type="paragraph" w:customStyle="1" w:styleId="a4">
    <w:name w:val="标准文件_引言五级条标题"/>
    <w:basedOn w:val="afff2"/>
    <w:next w:val="afff2"/>
    <w:qFormat/>
    <w:rsid w:val="004F1CC1"/>
    <w:pPr>
      <w:numPr>
        <w:ilvl w:val="5"/>
        <w:numId w:val="4"/>
      </w:numPr>
      <w:tabs>
        <w:tab w:val="num" w:pos="360"/>
      </w:tabs>
      <w:spacing w:beforeLines="50" w:before="50" w:afterLines="50" w:after="50"/>
      <w:ind w:firstLineChars="0" w:firstLine="200"/>
    </w:pPr>
    <w:rPr>
      <w:rFonts w:ascii="黑体" w:eastAsia="黑体"/>
    </w:rPr>
  </w:style>
  <w:style w:type="paragraph" w:customStyle="1" w:styleId="ae">
    <w:name w:val="标准文件_附录标识"/>
    <w:next w:val="afff2"/>
    <w:rsid w:val="004F1CC1"/>
    <w:pPr>
      <w:numPr>
        <w:numId w:val="7"/>
      </w:numPr>
      <w:shd w:val="clear" w:color="FFFFFF" w:fill="FFFFFF"/>
      <w:tabs>
        <w:tab w:val="left" w:pos="6406"/>
      </w:tabs>
      <w:spacing w:before="560" w:afterLines="50" w:after="50"/>
      <w:jc w:val="center"/>
      <w:outlineLvl w:val="0"/>
    </w:pPr>
    <w:rPr>
      <w:rFonts w:ascii="黑体" w:eastAsia="黑体" w:hAnsi="Times New Roman"/>
      <w:noProof/>
      <w:kern w:val="0"/>
      <w:sz w:val="21"/>
      <w:szCs w:val="20"/>
    </w:rPr>
  </w:style>
  <w:style w:type="paragraph" w:customStyle="1" w:styleId="ac">
    <w:name w:val="标准文件_附录表标题"/>
    <w:next w:val="afff2"/>
    <w:qFormat/>
    <w:rsid w:val="004F1CC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szCs w:val="20"/>
    </w:rPr>
  </w:style>
  <w:style w:type="paragraph" w:customStyle="1" w:styleId="af">
    <w:name w:val="标准文件_附录一级条标题"/>
    <w:next w:val="afff2"/>
    <w:rsid w:val="004F1CC1"/>
    <w:pPr>
      <w:widowControl w:val="0"/>
      <w:numPr>
        <w:ilvl w:val="1"/>
        <w:numId w:val="7"/>
      </w:numPr>
      <w:spacing w:beforeLines="50" w:before="50" w:afterLines="50" w:after="50"/>
      <w:jc w:val="both"/>
      <w:outlineLvl w:val="2"/>
    </w:pPr>
    <w:rPr>
      <w:rFonts w:ascii="黑体" w:eastAsia="黑体" w:hAnsi="Times New Roman"/>
      <w:kern w:val="21"/>
      <w:sz w:val="21"/>
      <w:szCs w:val="20"/>
    </w:rPr>
  </w:style>
  <w:style w:type="paragraph" w:customStyle="1" w:styleId="af0">
    <w:name w:val="标准文件_附录二级条标题"/>
    <w:basedOn w:val="af"/>
    <w:next w:val="afff2"/>
    <w:rsid w:val="004F1CC1"/>
    <w:pPr>
      <w:widowControl/>
      <w:numPr>
        <w:ilvl w:val="2"/>
      </w:numPr>
      <w:wordWrap w:val="0"/>
      <w:overflowPunct w:val="0"/>
      <w:autoSpaceDE w:val="0"/>
      <w:autoSpaceDN w:val="0"/>
      <w:textAlignment w:val="baseline"/>
      <w:outlineLvl w:val="3"/>
    </w:pPr>
  </w:style>
  <w:style w:type="paragraph" w:customStyle="1" w:styleId="af1">
    <w:name w:val="标准文件_附录三级条标题"/>
    <w:next w:val="afff2"/>
    <w:rsid w:val="004F1CC1"/>
    <w:pPr>
      <w:widowControl w:val="0"/>
      <w:numPr>
        <w:ilvl w:val="3"/>
        <w:numId w:val="7"/>
      </w:numPr>
      <w:spacing w:beforeLines="50" w:before="50" w:afterLines="50" w:after="50"/>
      <w:jc w:val="both"/>
      <w:outlineLvl w:val="4"/>
    </w:pPr>
    <w:rPr>
      <w:rFonts w:ascii="黑体" w:eastAsia="黑体" w:hAnsi="Times New Roman"/>
      <w:kern w:val="21"/>
      <w:sz w:val="21"/>
      <w:szCs w:val="20"/>
    </w:rPr>
  </w:style>
  <w:style w:type="paragraph" w:customStyle="1" w:styleId="af2">
    <w:name w:val="标准文件_附录四级条标题"/>
    <w:next w:val="afff2"/>
    <w:rsid w:val="004F1CC1"/>
    <w:pPr>
      <w:widowControl w:val="0"/>
      <w:numPr>
        <w:ilvl w:val="4"/>
        <w:numId w:val="7"/>
      </w:numPr>
      <w:spacing w:beforeLines="50" w:before="50" w:afterLines="50" w:after="50"/>
      <w:jc w:val="both"/>
      <w:outlineLvl w:val="5"/>
    </w:pPr>
    <w:rPr>
      <w:rFonts w:ascii="黑体" w:eastAsia="黑体" w:hAnsi="Times New Roman"/>
      <w:kern w:val="21"/>
      <w:sz w:val="21"/>
      <w:szCs w:val="20"/>
    </w:rPr>
  </w:style>
  <w:style w:type="paragraph" w:customStyle="1" w:styleId="a9">
    <w:name w:val="标准文件_附录图标题"/>
    <w:next w:val="afff2"/>
    <w:rsid w:val="004F1CC1"/>
    <w:pPr>
      <w:numPr>
        <w:ilvl w:val="1"/>
        <w:numId w:val="6"/>
      </w:numPr>
      <w:adjustRightInd w:val="0"/>
      <w:snapToGrid w:val="0"/>
      <w:spacing w:beforeLines="50" w:before="50" w:afterLines="50" w:after="50"/>
      <w:jc w:val="center"/>
    </w:pPr>
    <w:rPr>
      <w:rFonts w:ascii="黑体" w:eastAsia="黑体" w:hAnsi="Times New Roman"/>
      <w:kern w:val="0"/>
      <w:sz w:val="21"/>
      <w:szCs w:val="20"/>
    </w:rPr>
  </w:style>
  <w:style w:type="paragraph" w:customStyle="1" w:styleId="af3">
    <w:name w:val="标准文件_附录五级条标题"/>
    <w:next w:val="afff2"/>
    <w:rsid w:val="004F1CC1"/>
    <w:pPr>
      <w:widowControl w:val="0"/>
      <w:numPr>
        <w:ilvl w:val="5"/>
        <w:numId w:val="7"/>
      </w:numPr>
      <w:spacing w:beforeLines="50" w:before="50" w:afterLines="50" w:after="50"/>
      <w:jc w:val="both"/>
      <w:outlineLvl w:val="6"/>
    </w:pPr>
    <w:rPr>
      <w:rFonts w:ascii="黑体" w:eastAsia="黑体" w:hAnsi="Times New Roman"/>
      <w:kern w:val="21"/>
      <w:sz w:val="21"/>
      <w:szCs w:val="20"/>
    </w:rPr>
  </w:style>
  <w:style w:type="paragraph" w:customStyle="1" w:styleId="afff3">
    <w:name w:val="标准文件_章标题"/>
    <w:next w:val="afff2"/>
    <w:qFormat/>
    <w:rsid w:val="004F1CC1"/>
    <w:pPr>
      <w:spacing w:beforeLines="100" w:before="100" w:afterLines="100" w:after="100"/>
      <w:jc w:val="both"/>
      <w:outlineLvl w:val="0"/>
    </w:pPr>
    <w:rPr>
      <w:rFonts w:ascii="黑体" w:eastAsia="黑体" w:hAnsi="Times New Roman"/>
      <w:kern w:val="0"/>
      <w:sz w:val="21"/>
      <w:szCs w:val="20"/>
    </w:rPr>
  </w:style>
  <w:style w:type="paragraph" w:customStyle="1" w:styleId="a6">
    <w:name w:val="标准文件_一级项"/>
    <w:qFormat/>
    <w:rsid w:val="004F1CC1"/>
    <w:pPr>
      <w:numPr>
        <w:numId w:val="8"/>
      </w:numPr>
    </w:pPr>
    <w:rPr>
      <w:rFonts w:ascii="宋体" w:hAnsi="Times New Roman"/>
      <w:kern w:val="0"/>
      <w:sz w:val="21"/>
      <w:szCs w:val="20"/>
    </w:rPr>
  </w:style>
  <w:style w:type="paragraph" w:customStyle="1" w:styleId="afb">
    <w:name w:val="标准文件_二级无标题"/>
    <w:basedOn w:val="af6"/>
    <w:qFormat/>
    <w:rsid w:val="004F1CC1"/>
    <w:pPr>
      <w:numPr>
        <w:numId w:val="9"/>
      </w:numPr>
      <w:outlineLvl w:val="9"/>
    </w:pPr>
    <w:rPr>
      <w:rFonts w:ascii="宋体" w:eastAsia="宋体" w:cs="Times New Roman"/>
      <w:smallCaps w:val="0"/>
      <w:szCs w:val="20"/>
    </w:rPr>
  </w:style>
  <w:style w:type="paragraph" w:customStyle="1" w:styleId="a7">
    <w:name w:val="标准文件_三级项"/>
    <w:basedOn w:val="afc"/>
    <w:qFormat/>
    <w:rsid w:val="004F1CC1"/>
    <w:pPr>
      <w:numPr>
        <w:ilvl w:val="2"/>
        <w:numId w:val="8"/>
      </w:numPr>
      <w:adjustRightInd w:val="0"/>
      <w:spacing w:line="-300" w:lineRule="auto"/>
    </w:pPr>
    <w:rPr>
      <w:rFonts w:ascii="Times New Roman" w:hAnsi="Times New Roman"/>
      <w:sz w:val="21"/>
      <w:szCs w:val="21"/>
    </w:rPr>
  </w:style>
  <w:style w:type="paragraph" w:customStyle="1" w:styleId="afff4">
    <w:name w:val="标准文件_正文标准名称"/>
    <w:qFormat/>
    <w:rsid w:val="004F1CC1"/>
    <w:pPr>
      <w:spacing w:before="560" w:after="640" w:line="400" w:lineRule="exact"/>
      <w:jc w:val="center"/>
    </w:pPr>
    <w:rPr>
      <w:rFonts w:ascii="黑体" w:eastAsia="黑体" w:hAnsi="黑体"/>
      <w:sz w:val="32"/>
      <w:szCs w:val="32"/>
    </w:rPr>
  </w:style>
  <w:style w:type="paragraph" w:customStyle="1" w:styleId="2">
    <w:name w:val="标准文件_二级项2"/>
    <w:basedOn w:val="afff2"/>
    <w:qFormat/>
    <w:rsid w:val="004F1CC1"/>
    <w:pPr>
      <w:numPr>
        <w:ilvl w:val="1"/>
        <w:numId w:val="8"/>
      </w:numPr>
      <w:ind w:firstLineChars="0" w:firstLine="0"/>
    </w:pPr>
  </w:style>
  <w:style w:type="paragraph" w:customStyle="1" w:styleId="a8">
    <w:name w:val="标准文件_附录图标号"/>
    <w:basedOn w:val="afff2"/>
    <w:next w:val="afff2"/>
    <w:qFormat/>
    <w:rsid w:val="004F1CC1"/>
    <w:pPr>
      <w:numPr>
        <w:numId w:val="6"/>
      </w:numPr>
      <w:spacing w:line="14" w:lineRule="exact"/>
      <w:ind w:firstLineChars="0" w:firstLine="0"/>
      <w:jc w:val="center"/>
    </w:pPr>
    <w:rPr>
      <w:rFonts w:ascii="黑体" w:eastAsia="黑体" w:hAnsi="黑体"/>
      <w:vanish/>
      <w:sz w:val="2"/>
      <w:szCs w:val="21"/>
    </w:rPr>
  </w:style>
  <w:style w:type="paragraph" w:customStyle="1" w:styleId="ab">
    <w:name w:val="标准文件_附录表标号"/>
    <w:basedOn w:val="afff2"/>
    <w:next w:val="afff2"/>
    <w:qFormat/>
    <w:rsid w:val="004F1CC1"/>
    <w:pPr>
      <w:numPr>
        <w:numId w:val="5"/>
      </w:numPr>
      <w:spacing w:line="14" w:lineRule="exact"/>
      <w:ind w:firstLineChars="0" w:firstLine="0"/>
      <w:jc w:val="center"/>
    </w:pPr>
    <w:rPr>
      <w:rFonts w:eastAsia="黑体"/>
      <w:vanish/>
      <w:sz w:val="2"/>
    </w:rPr>
  </w:style>
  <w:style w:type="paragraph" w:customStyle="1" w:styleId="afa">
    <w:name w:val="标准文件_术语条一"/>
    <w:basedOn w:val="afc"/>
    <w:next w:val="afff2"/>
    <w:qFormat/>
    <w:rsid w:val="004F1CC1"/>
    <w:pPr>
      <w:widowControl/>
      <w:numPr>
        <w:ilvl w:val="2"/>
        <w:numId w:val="9"/>
      </w:numPr>
    </w:pPr>
    <w:rPr>
      <w:rFonts w:ascii="宋体" w:hAnsi="Times New Roman"/>
      <w:kern w:val="0"/>
      <w:sz w:val="21"/>
      <w:szCs w:val="20"/>
    </w:rPr>
  </w:style>
  <w:style w:type="paragraph" w:customStyle="1" w:styleId="afff5">
    <w:name w:val="附录章标题"/>
    <w:next w:val="afc"/>
    <w:autoRedefine/>
    <w:qFormat/>
    <w:rsid w:val="004F1CC1"/>
    <w:pPr>
      <w:tabs>
        <w:tab w:val="left" w:pos="360"/>
      </w:tabs>
      <w:wordWrap w:val="0"/>
      <w:overflowPunct w:val="0"/>
      <w:autoSpaceDE w:val="0"/>
      <w:spacing w:beforeLines="100" w:before="312" w:afterLines="100" w:after="312"/>
      <w:jc w:val="both"/>
      <w:textAlignment w:val="baseline"/>
      <w:outlineLvl w:val="1"/>
    </w:pPr>
    <w:rPr>
      <w:rFonts w:ascii="宋体" w:hAnsi="宋体"/>
      <w:kern w:val="21"/>
      <w:sz w:val="21"/>
      <w:szCs w:val="20"/>
    </w:rPr>
  </w:style>
  <w:style w:type="paragraph" w:customStyle="1" w:styleId="afff6">
    <w:name w:val="标准文件_参考文献标题"/>
    <w:basedOn w:val="afc"/>
    <w:next w:val="afc"/>
    <w:qFormat/>
    <w:rsid w:val="00ED1F21"/>
    <w:pPr>
      <w:widowControl/>
      <w:shd w:val="clear" w:color="FFFFFF" w:fill="FFFFFF"/>
      <w:spacing w:before="560" w:afterLines="50" w:after="50"/>
      <w:jc w:val="center"/>
      <w:outlineLvl w:val="0"/>
    </w:pPr>
    <w:rPr>
      <w:rFonts w:ascii="黑体" w:eastAsia="黑体"/>
      <w:kern w:val="0"/>
      <w:sz w:val="21"/>
      <w:szCs w:val="21"/>
    </w:rPr>
  </w:style>
  <w:style w:type="paragraph" w:customStyle="1" w:styleId="ad">
    <w:name w:val="标准文件_正文表标题"/>
    <w:next w:val="afff2"/>
    <w:rsid w:val="00ED1F21"/>
    <w:pPr>
      <w:numPr>
        <w:numId w:val="11"/>
      </w:numPr>
      <w:tabs>
        <w:tab w:val="left" w:pos="0"/>
      </w:tabs>
      <w:spacing w:beforeLines="50" w:before="50" w:afterLines="50" w:after="50"/>
      <w:jc w:val="center"/>
    </w:pPr>
    <w:rPr>
      <w:rFonts w:ascii="黑体" w:eastAsia="黑体" w:hAnsi="Times New Roman"/>
      <w:kern w:val="0"/>
      <w:sz w:val="21"/>
      <w:szCs w:val="20"/>
    </w:rPr>
  </w:style>
  <w:style w:type="paragraph" w:customStyle="1" w:styleId="afff7">
    <w:name w:val="标准文件_表格"/>
    <w:basedOn w:val="afff2"/>
    <w:qFormat/>
    <w:rsid w:val="00ED1F21"/>
    <w:pPr>
      <w:ind w:firstLineChars="0" w:firstLine="0"/>
      <w:jc w:val="center"/>
    </w:pPr>
    <w:rPr>
      <w:sz w:val="18"/>
    </w:rPr>
  </w:style>
  <w:style w:type="paragraph" w:customStyle="1" w:styleId="aa">
    <w:name w:val="标准文件_示例×："/>
    <w:basedOn w:val="afc"/>
    <w:next w:val="afc"/>
    <w:qFormat/>
    <w:rsid w:val="00ED1F21"/>
    <w:pPr>
      <w:widowControl/>
      <w:numPr>
        <w:numId w:val="10"/>
      </w:numPr>
    </w:pPr>
    <w:rPr>
      <w:rFonts w:ascii="宋体" w:hAnsi="Times New Roman"/>
      <w:kern w:val="0"/>
      <w:sz w:val="18"/>
      <w:szCs w:val="18"/>
    </w:rPr>
  </w:style>
  <w:style w:type="paragraph" w:styleId="TOC">
    <w:name w:val="TOC Heading"/>
    <w:basedOn w:val="10"/>
    <w:next w:val="afc"/>
    <w:uiPriority w:val="39"/>
    <w:unhideWhenUsed/>
    <w:qFormat/>
    <w:rsid w:val="00ED1F21"/>
    <w:pPr>
      <w:widowControl/>
      <w:spacing w:before="240" w:after="0" w:line="259" w:lineRule="auto"/>
      <w:jc w:val="left"/>
      <w:outlineLvl w:val="9"/>
    </w:pPr>
    <w:rPr>
      <w:kern w:val="0"/>
      <w:sz w:val="32"/>
      <w:szCs w:val="32"/>
    </w:rPr>
  </w:style>
  <w:style w:type="paragraph" w:styleId="12">
    <w:name w:val="toc 1"/>
    <w:basedOn w:val="afc"/>
    <w:next w:val="afc"/>
    <w:autoRedefine/>
    <w:uiPriority w:val="39"/>
    <w:unhideWhenUsed/>
    <w:rsid w:val="001C02AD"/>
    <w:pPr>
      <w:tabs>
        <w:tab w:val="right" w:leader="dot" w:pos="9344"/>
      </w:tabs>
      <w:spacing w:line="400" w:lineRule="exact"/>
    </w:pPr>
    <w:rPr>
      <w:rFonts w:ascii="宋体" w:hAnsi="宋体"/>
      <w:noProof/>
      <w:sz w:val="21"/>
      <w:szCs w:val="21"/>
    </w:rPr>
  </w:style>
  <w:style w:type="paragraph" w:styleId="22">
    <w:name w:val="toc 2"/>
    <w:basedOn w:val="afc"/>
    <w:next w:val="afc"/>
    <w:autoRedefine/>
    <w:uiPriority w:val="39"/>
    <w:unhideWhenUsed/>
    <w:rsid w:val="00ED1F21"/>
    <w:pPr>
      <w:ind w:leftChars="200" w:left="420"/>
    </w:pPr>
  </w:style>
  <w:style w:type="character" w:styleId="afff8">
    <w:name w:val="Hyperlink"/>
    <w:basedOn w:val="afd"/>
    <w:uiPriority w:val="99"/>
    <w:unhideWhenUsed/>
    <w:rsid w:val="00ED1F21"/>
    <w:rPr>
      <w:color w:val="467886" w:themeColor="hyperlink"/>
      <w:u w:val="single"/>
    </w:rPr>
  </w:style>
  <w:style w:type="paragraph" w:customStyle="1" w:styleId="afff9">
    <w:name w:val="标准文件_一级无标题"/>
    <w:basedOn w:val="af5"/>
    <w:qFormat/>
    <w:rsid w:val="00897E04"/>
    <w:pPr>
      <w:numPr>
        <w:ilvl w:val="0"/>
        <w:numId w:val="0"/>
      </w:numPr>
      <w:ind w:left="1860" w:hanging="420"/>
      <w:outlineLvl w:val="9"/>
    </w:pPr>
    <w:rPr>
      <w:rFonts w:ascii="宋体" w:eastAsia="宋体" w:cs="Times New Roman"/>
      <w:szCs w:val="20"/>
    </w:rPr>
  </w:style>
  <w:style w:type="paragraph" w:customStyle="1" w:styleId="a5">
    <w:name w:val="标准文件_示例："/>
    <w:next w:val="afc"/>
    <w:rsid w:val="004B1820"/>
    <w:pPr>
      <w:widowControl w:val="0"/>
      <w:numPr>
        <w:numId w:val="14"/>
      </w:numPr>
      <w:jc w:val="both"/>
    </w:pPr>
    <w:rPr>
      <w:rFonts w:ascii="宋体" w:hAnsi="Times New Roman"/>
      <w:kern w:val="0"/>
      <w:sz w:val="18"/>
      <w:szCs w:val="18"/>
    </w:rPr>
  </w:style>
  <w:style w:type="paragraph" w:styleId="31">
    <w:name w:val="toc 3"/>
    <w:basedOn w:val="afc"/>
    <w:next w:val="afc"/>
    <w:autoRedefine/>
    <w:uiPriority w:val="39"/>
    <w:unhideWhenUsed/>
    <w:rsid w:val="004B182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291F1AD2924053A51A0EFBDE26D19F"/>
        <w:category>
          <w:name w:val="常规"/>
          <w:gallery w:val="placeholder"/>
        </w:category>
        <w:types>
          <w:type w:val="bbPlcHdr"/>
        </w:types>
        <w:behaviors>
          <w:behavior w:val="content"/>
        </w:behaviors>
        <w:guid w:val="{BC6874E4-2DFE-484B-88C9-EF095E98B33C}"/>
      </w:docPartPr>
      <w:docPartBody>
        <w:p w:rsidR="00F03871" w:rsidRDefault="00E3192F" w:rsidP="00E3192F">
          <w:pPr>
            <w:pStyle w:val="9E291F1AD2924053A51A0EFBDE26D19F"/>
          </w:pPr>
          <w:r>
            <w:rPr>
              <w:rStyle w:val="a3"/>
              <w:rFonts w:hint="eastAsia"/>
            </w:rPr>
            <w:t>单击或点击此处输入文字。</w:t>
          </w:r>
        </w:p>
      </w:docPartBody>
    </w:docPart>
    <w:docPart>
      <w:docPartPr>
        <w:name w:val="A0787533414A4B4D96434D6A129773C8"/>
        <w:category>
          <w:name w:val="常规"/>
          <w:gallery w:val="placeholder"/>
        </w:category>
        <w:types>
          <w:type w:val="bbPlcHdr"/>
        </w:types>
        <w:behaviors>
          <w:behavior w:val="content"/>
        </w:behaviors>
        <w:guid w:val="{FCFAA28F-AE2D-445E-B587-9DD0CF858F7A}"/>
      </w:docPartPr>
      <w:docPartBody>
        <w:p w:rsidR="00F03871" w:rsidRDefault="00E3192F" w:rsidP="00E3192F">
          <w:pPr>
            <w:pStyle w:val="A0787533414A4B4D96434D6A129773C8"/>
          </w:pPr>
          <w:r>
            <w:rPr>
              <w:rStyle w:val="a3"/>
              <w:rFonts w:hint="eastAsia"/>
            </w:rPr>
            <w:t>选择一项。</w:t>
          </w:r>
        </w:p>
      </w:docPartBody>
    </w:docPart>
    <w:docPart>
      <w:docPartPr>
        <w:name w:val="98CDDB99D73546D69FC907E8EFEF05D1"/>
        <w:category>
          <w:name w:val="常规"/>
          <w:gallery w:val="placeholder"/>
        </w:category>
        <w:types>
          <w:type w:val="bbPlcHdr"/>
        </w:types>
        <w:behaviors>
          <w:behavior w:val="content"/>
        </w:behaviors>
        <w:guid w:val="{8B70D673-A7D1-47CB-9CE9-3A606059FD55}"/>
      </w:docPartPr>
      <w:docPartBody>
        <w:p w:rsidR="00F03871" w:rsidRDefault="00E3192F" w:rsidP="00E3192F">
          <w:pPr>
            <w:pStyle w:val="98CDDB99D73546D69FC907E8EFEF05D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3D"/>
    <w:rsid w:val="002C20E2"/>
    <w:rsid w:val="003B440C"/>
    <w:rsid w:val="004D7C53"/>
    <w:rsid w:val="005426B6"/>
    <w:rsid w:val="00581C34"/>
    <w:rsid w:val="00826BD6"/>
    <w:rsid w:val="00DA793D"/>
    <w:rsid w:val="00DF68AE"/>
    <w:rsid w:val="00E3192F"/>
    <w:rsid w:val="00F03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3192F"/>
  </w:style>
  <w:style w:type="paragraph" w:customStyle="1" w:styleId="98D61344826C4C27AD84E21F14D5347C">
    <w:name w:val="98D61344826C4C27AD84E21F14D5347C"/>
    <w:rsid w:val="00DA793D"/>
    <w:pPr>
      <w:widowControl w:val="0"/>
      <w:jc w:val="both"/>
    </w:pPr>
  </w:style>
  <w:style w:type="paragraph" w:customStyle="1" w:styleId="7D1C94056ED6400497C030BE3F1D916A">
    <w:name w:val="7D1C94056ED6400497C030BE3F1D916A"/>
    <w:rsid w:val="00DA793D"/>
    <w:pPr>
      <w:widowControl w:val="0"/>
      <w:jc w:val="both"/>
    </w:pPr>
  </w:style>
  <w:style w:type="paragraph" w:customStyle="1" w:styleId="322F4241A8874167BD0C6144855E8393">
    <w:name w:val="322F4241A8874167BD0C6144855E8393"/>
    <w:rsid w:val="00DA793D"/>
    <w:pPr>
      <w:widowControl w:val="0"/>
      <w:jc w:val="both"/>
    </w:pPr>
  </w:style>
  <w:style w:type="paragraph" w:customStyle="1" w:styleId="744C608717AC4EAD9BD4203DD3AEEB92">
    <w:name w:val="744C608717AC4EAD9BD4203DD3AEEB92"/>
    <w:rsid w:val="003B440C"/>
    <w:pPr>
      <w:widowControl w:val="0"/>
      <w:jc w:val="both"/>
    </w:pPr>
  </w:style>
  <w:style w:type="paragraph" w:customStyle="1" w:styleId="F1923FBEBBC2459080517B8C9C26C62B">
    <w:name w:val="F1923FBEBBC2459080517B8C9C26C62B"/>
    <w:rsid w:val="003B440C"/>
    <w:pPr>
      <w:widowControl w:val="0"/>
      <w:jc w:val="both"/>
    </w:pPr>
  </w:style>
  <w:style w:type="paragraph" w:customStyle="1" w:styleId="E02C6D62B43B43D2B19C3E3CA45914D6">
    <w:name w:val="E02C6D62B43B43D2B19C3E3CA45914D6"/>
    <w:rsid w:val="003B440C"/>
    <w:pPr>
      <w:widowControl w:val="0"/>
      <w:jc w:val="both"/>
    </w:pPr>
  </w:style>
  <w:style w:type="paragraph" w:customStyle="1" w:styleId="EED02452139F410DAE974B5EA974C977">
    <w:name w:val="EED02452139F410DAE974B5EA974C977"/>
    <w:rsid w:val="003B440C"/>
    <w:pPr>
      <w:widowControl w:val="0"/>
      <w:jc w:val="both"/>
    </w:pPr>
  </w:style>
  <w:style w:type="paragraph" w:customStyle="1" w:styleId="4FCE0636127F46E1A253AA8347B322FF">
    <w:name w:val="4FCE0636127F46E1A253AA8347B322FF"/>
    <w:rsid w:val="003B440C"/>
    <w:pPr>
      <w:widowControl w:val="0"/>
      <w:jc w:val="both"/>
    </w:pPr>
  </w:style>
  <w:style w:type="paragraph" w:customStyle="1" w:styleId="71F11E5C8E46463DADF5D01D9DB2043D">
    <w:name w:val="71F11E5C8E46463DADF5D01D9DB2043D"/>
    <w:rsid w:val="003B440C"/>
    <w:pPr>
      <w:widowControl w:val="0"/>
      <w:jc w:val="both"/>
    </w:pPr>
  </w:style>
  <w:style w:type="paragraph" w:customStyle="1" w:styleId="D2AB11BF598C4BE385764B81674A1077">
    <w:name w:val="D2AB11BF598C4BE385764B81674A1077"/>
    <w:rsid w:val="003B440C"/>
    <w:pPr>
      <w:widowControl w:val="0"/>
      <w:jc w:val="both"/>
    </w:pPr>
  </w:style>
  <w:style w:type="paragraph" w:customStyle="1" w:styleId="BC3EC3566651459A805346E740387B4D">
    <w:name w:val="BC3EC3566651459A805346E740387B4D"/>
    <w:rsid w:val="003B440C"/>
    <w:pPr>
      <w:widowControl w:val="0"/>
      <w:jc w:val="both"/>
    </w:pPr>
  </w:style>
  <w:style w:type="paragraph" w:customStyle="1" w:styleId="80CD9B5FD25B4A638CA278A351FF91D2">
    <w:name w:val="80CD9B5FD25B4A638CA278A351FF91D2"/>
    <w:rsid w:val="003B440C"/>
    <w:pPr>
      <w:widowControl w:val="0"/>
      <w:jc w:val="both"/>
    </w:pPr>
  </w:style>
  <w:style w:type="paragraph" w:customStyle="1" w:styleId="6BC57E4A85C54374A9D814BD8176C94D">
    <w:name w:val="6BC57E4A85C54374A9D814BD8176C94D"/>
    <w:rsid w:val="00826BD6"/>
    <w:pPr>
      <w:widowControl w:val="0"/>
      <w:jc w:val="both"/>
    </w:pPr>
  </w:style>
  <w:style w:type="paragraph" w:customStyle="1" w:styleId="AFBDAF69666A43A7B35C625DD5C3BA4F">
    <w:name w:val="AFBDAF69666A43A7B35C625DD5C3BA4F"/>
    <w:rsid w:val="00826BD6"/>
    <w:pPr>
      <w:widowControl w:val="0"/>
      <w:jc w:val="both"/>
    </w:pPr>
  </w:style>
  <w:style w:type="paragraph" w:customStyle="1" w:styleId="A5D21689607241E784CA6CA5349EC469">
    <w:name w:val="A5D21689607241E784CA6CA5349EC469"/>
    <w:rsid w:val="00826BD6"/>
    <w:pPr>
      <w:widowControl w:val="0"/>
      <w:jc w:val="both"/>
    </w:pPr>
  </w:style>
  <w:style w:type="paragraph" w:customStyle="1" w:styleId="9E291F1AD2924053A51A0EFBDE26D19F">
    <w:name w:val="9E291F1AD2924053A51A0EFBDE26D19F"/>
    <w:rsid w:val="00E3192F"/>
    <w:pPr>
      <w:widowControl w:val="0"/>
      <w:jc w:val="both"/>
    </w:pPr>
  </w:style>
  <w:style w:type="paragraph" w:customStyle="1" w:styleId="A0787533414A4B4D96434D6A129773C8">
    <w:name w:val="A0787533414A4B4D96434D6A129773C8"/>
    <w:rsid w:val="00E3192F"/>
    <w:pPr>
      <w:widowControl w:val="0"/>
      <w:jc w:val="both"/>
    </w:pPr>
  </w:style>
  <w:style w:type="paragraph" w:customStyle="1" w:styleId="98CDDB99D73546D69FC907E8EFEF05D1">
    <w:name w:val="98CDDB99D73546D69FC907E8EFEF05D1"/>
    <w:rsid w:val="00E3192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7F798-B979-4B6B-8388-F0AB6BD7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1099</Words>
  <Characters>6269</Characters>
  <Application>Microsoft Office Word</Application>
  <DocSecurity>0</DocSecurity>
  <Lines>52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胜 丁</dc:creator>
  <cp:keywords/>
  <dc:description/>
  <cp:lastModifiedBy>Admin</cp:lastModifiedBy>
  <cp:revision>15</cp:revision>
  <dcterms:created xsi:type="dcterms:W3CDTF">2025-01-21T02:12:00Z</dcterms:created>
  <dcterms:modified xsi:type="dcterms:W3CDTF">2025-09-11T04:55:00Z</dcterms:modified>
</cp:coreProperties>
</file>