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51DC3">
      <w:pPr>
        <w:pStyle w:val="2"/>
        <w:spacing w:before="0" w:beforeLines="0" w:after="312" w:afterLines="100" w:line="400" w:lineRule="exact"/>
        <w:jc w:val="both"/>
        <w:rPr>
          <w:rFonts w:hint="eastAsia" w:asciiTheme="minorEastAsia" w:hAnsiTheme="minorEastAsia" w:eastAsiaTheme="minorEastAsia"/>
          <w:color w:val="0000FF"/>
          <w:sz w:val="36"/>
          <w:szCs w:val="36"/>
        </w:rPr>
      </w:pPr>
    </w:p>
    <w:p w14:paraId="0D966EEF">
      <w:pPr>
        <w:jc w:val="center"/>
        <w:rPr>
          <w:rFonts w:hint="eastAsia" w:ascii="黑体" w:hAnsi="黑体" w:eastAsia="黑体" w:cs="黑体"/>
          <w:b/>
          <w:bCs/>
          <w:sz w:val="52"/>
          <w:szCs w:val="52"/>
        </w:rPr>
      </w:pPr>
      <w:r>
        <w:rPr>
          <w:rFonts w:hint="eastAsia" w:ascii="黑体" w:hAnsi="黑体" w:eastAsia="黑体" w:cs="黑体"/>
          <w:b/>
          <w:bCs/>
          <w:sz w:val="52"/>
          <w:szCs w:val="52"/>
        </w:rPr>
        <w:t>《代谢性疾病非药物干预指南》</w:t>
      </w:r>
    </w:p>
    <w:p w14:paraId="0FAA1365">
      <w:pPr>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征求意见稿</w:t>
      </w:r>
    </w:p>
    <w:p w14:paraId="7B0EED04">
      <w:pPr>
        <w:jc w:val="center"/>
        <w:rPr>
          <w:rFonts w:hint="eastAsia" w:ascii="黑体" w:hAnsi="黑体" w:eastAsia="黑体" w:cs="黑体"/>
          <w:b/>
          <w:bCs/>
          <w:sz w:val="52"/>
          <w:szCs w:val="52"/>
        </w:rPr>
      </w:pPr>
      <w:r>
        <w:rPr>
          <w:rFonts w:hint="eastAsia" w:ascii="黑体" w:hAnsi="黑体" w:eastAsia="黑体" w:cs="黑体"/>
          <w:b/>
          <w:bCs/>
          <w:sz w:val="52"/>
          <w:szCs w:val="52"/>
        </w:rPr>
        <w:t>团体标准编制说明</w:t>
      </w:r>
    </w:p>
    <w:p w14:paraId="0436FA03">
      <w:pPr>
        <w:jc w:val="center"/>
        <w:rPr>
          <w:rFonts w:hint="eastAsia" w:ascii="黑体" w:hAnsi="黑体" w:eastAsia="黑体" w:cs="黑体"/>
          <w:b/>
          <w:bCs/>
          <w:sz w:val="52"/>
          <w:szCs w:val="52"/>
        </w:rPr>
      </w:pPr>
    </w:p>
    <w:p w14:paraId="7C817B24">
      <w:pPr>
        <w:jc w:val="center"/>
        <w:rPr>
          <w:rFonts w:hint="eastAsia" w:ascii="黑体" w:hAnsi="黑体" w:eastAsia="黑体" w:cs="黑体"/>
          <w:b/>
          <w:bCs/>
          <w:sz w:val="52"/>
          <w:szCs w:val="52"/>
        </w:rPr>
      </w:pPr>
    </w:p>
    <w:p w14:paraId="25A21D25">
      <w:pPr>
        <w:jc w:val="center"/>
        <w:rPr>
          <w:rFonts w:hint="eastAsia" w:ascii="黑体" w:hAnsi="黑体" w:eastAsia="黑体" w:cs="黑体"/>
          <w:b/>
          <w:bCs/>
          <w:sz w:val="52"/>
          <w:szCs w:val="52"/>
        </w:rPr>
      </w:pPr>
    </w:p>
    <w:p w14:paraId="4A80D3B5">
      <w:pPr>
        <w:jc w:val="center"/>
        <w:rPr>
          <w:rFonts w:hint="eastAsia" w:ascii="黑体" w:hAnsi="黑体" w:eastAsia="黑体" w:cs="黑体"/>
          <w:b/>
          <w:bCs/>
          <w:sz w:val="52"/>
          <w:szCs w:val="52"/>
        </w:rPr>
      </w:pPr>
    </w:p>
    <w:p w14:paraId="168C56CB">
      <w:pPr>
        <w:jc w:val="center"/>
        <w:rPr>
          <w:rFonts w:hint="eastAsia" w:ascii="黑体" w:hAnsi="黑体" w:eastAsia="黑体" w:cs="黑体"/>
          <w:b/>
          <w:bCs/>
          <w:sz w:val="52"/>
          <w:szCs w:val="52"/>
        </w:rPr>
      </w:pPr>
    </w:p>
    <w:p w14:paraId="2BB8E192">
      <w:pPr>
        <w:jc w:val="center"/>
        <w:rPr>
          <w:rFonts w:hint="eastAsia" w:ascii="黑体" w:hAnsi="黑体" w:eastAsia="黑体" w:cs="黑体"/>
          <w:b/>
          <w:bCs/>
          <w:sz w:val="52"/>
          <w:szCs w:val="52"/>
        </w:rPr>
      </w:pPr>
    </w:p>
    <w:p w14:paraId="4C4F6B35">
      <w:pPr>
        <w:jc w:val="center"/>
        <w:rPr>
          <w:rFonts w:hint="eastAsia" w:ascii="黑体" w:hAnsi="黑体" w:eastAsia="黑体" w:cs="黑体"/>
          <w:b/>
          <w:bCs/>
          <w:sz w:val="52"/>
          <w:szCs w:val="52"/>
        </w:rPr>
      </w:pPr>
    </w:p>
    <w:p w14:paraId="68847243">
      <w:pPr>
        <w:jc w:val="center"/>
        <w:rPr>
          <w:rFonts w:hint="eastAsia" w:ascii="黑体" w:hAnsi="黑体" w:eastAsia="黑体" w:cs="黑体"/>
          <w:b/>
          <w:bCs/>
          <w:sz w:val="52"/>
          <w:szCs w:val="52"/>
        </w:rPr>
      </w:pPr>
    </w:p>
    <w:p w14:paraId="4132DCE6">
      <w:pPr>
        <w:jc w:val="center"/>
        <w:rPr>
          <w:rFonts w:hint="eastAsia" w:ascii="黑体" w:hAnsi="黑体" w:eastAsia="黑体" w:cs="黑体"/>
          <w:b/>
          <w:bCs/>
          <w:sz w:val="52"/>
          <w:szCs w:val="52"/>
        </w:rPr>
      </w:pPr>
    </w:p>
    <w:p w14:paraId="3E0D8FA3">
      <w:pPr>
        <w:jc w:val="center"/>
        <w:rPr>
          <w:rFonts w:ascii="Times New Roman" w:hAnsi="Times New Roman" w:eastAsia="宋体" w:cs="Times New Roman"/>
          <w:kern w:val="0"/>
          <w:sz w:val="32"/>
          <w:szCs w:val="24"/>
        </w:rPr>
      </w:pPr>
      <w:r>
        <w:rPr>
          <w:rFonts w:hint="eastAsia" w:ascii="Times New Roman" w:hAnsi="Times New Roman" w:eastAsia="宋体" w:cs="Times New Roman"/>
          <w:kern w:val="0"/>
          <w:sz w:val="32"/>
          <w:szCs w:val="24"/>
        </w:rPr>
        <w:t>标准编制项目组</w:t>
      </w:r>
    </w:p>
    <w:p w14:paraId="334A522F">
      <w:pPr>
        <w:jc w:val="center"/>
        <w:rPr>
          <w:rFonts w:hint="eastAsia" w:asciiTheme="minorEastAsia" w:hAnsiTheme="minorEastAsia"/>
          <w:color w:val="0000FF"/>
          <w:sz w:val="36"/>
          <w:szCs w:val="36"/>
        </w:rPr>
      </w:pPr>
      <w:r>
        <w:rPr>
          <w:rFonts w:hint="eastAsia" w:ascii="Times New Roman" w:hAnsi="Times New Roman" w:eastAsia="宋体" w:cs="Times New Roman"/>
          <w:kern w:val="0"/>
          <w:sz w:val="32"/>
          <w:szCs w:val="24"/>
        </w:rPr>
        <w:t>2025年</w:t>
      </w:r>
      <w:r>
        <w:rPr>
          <w:rFonts w:hint="eastAsia" w:ascii="Times New Roman" w:hAnsi="Times New Roman" w:eastAsia="宋体" w:cs="Times New Roman"/>
          <w:kern w:val="0"/>
          <w:sz w:val="32"/>
          <w:szCs w:val="24"/>
          <w:lang w:val="en-US" w:eastAsia="zh-CN"/>
        </w:rPr>
        <w:t>9</w:t>
      </w:r>
      <w:r>
        <w:rPr>
          <w:rFonts w:hint="eastAsia" w:ascii="Times New Roman" w:hAnsi="Times New Roman" w:eastAsia="宋体" w:cs="Times New Roman"/>
          <w:kern w:val="0"/>
          <w:sz w:val="32"/>
          <w:szCs w:val="24"/>
        </w:rPr>
        <w:t>月</w:t>
      </w:r>
      <w:r>
        <w:rPr>
          <w:rFonts w:hint="eastAsia" w:ascii="Times New Roman" w:hAnsi="Times New Roman" w:eastAsia="宋体" w:cs="Times New Roman"/>
          <w:kern w:val="0"/>
          <w:sz w:val="32"/>
          <w:szCs w:val="24"/>
          <w:lang w:val="en-US" w:eastAsia="zh-CN"/>
        </w:rPr>
        <w:t>10</w:t>
      </w:r>
      <w:r>
        <w:rPr>
          <w:rFonts w:hint="eastAsia" w:ascii="Times New Roman" w:hAnsi="Times New Roman" w:eastAsia="宋体" w:cs="Times New Roman"/>
          <w:kern w:val="0"/>
          <w:sz w:val="32"/>
          <w:szCs w:val="24"/>
        </w:rPr>
        <w:t>日</w:t>
      </w:r>
      <w:r>
        <w:rPr>
          <w:rFonts w:hint="eastAsia" w:asciiTheme="minorEastAsia" w:hAnsiTheme="minorEastAsia"/>
          <w:color w:val="0000FF"/>
          <w:sz w:val="36"/>
          <w:szCs w:val="36"/>
        </w:rPr>
        <w:br w:type="page"/>
      </w:r>
    </w:p>
    <w:p w14:paraId="285916D8">
      <w:pPr>
        <w:pStyle w:val="2"/>
        <w:spacing w:before="0" w:beforeLines="0" w:after="312" w:afterLines="100" w:line="400" w:lineRule="exact"/>
        <w:rPr>
          <w:rFonts w:hint="eastAsia" w:asciiTheme="minorEastAsia" w:hAnsiTheme="minorEastAsia" w:eastAsiaTheme="minorEastAsia"/>
          <w:sz w:val="36"/>
          <w:szCs w:val="36"/>
        </w:rPr>
      </w:pPr>
      <w:r>
        <w:rPr>
          <w:rFonts w:hint="eastAsia" w:asciiTheme="minorEastAsia" w:hAnsiTheme="minorEastAsia" w:eastAsiaTheme="minorEastAsia"/>
          <w:sz w:val="36"/>
          <w:szCs w:val="36"/>
        </w:rPr>
        <w:t>《</w:t>
      </w:r>
      <w:r>
        <w:rPr>
          <w:rFonts w:hint="eastAsia" w:asciiTheme="minorEastAsia" w:hAnsiTheme="minorEastAsia" w:eastAsiaTheme="minorEastAsia"/>
          <w:sz w:val="36"/>
          <w:szCs w:val="36"/>
          <w:lang w:eastAsia="zh-CN"/>
        </w:rPr>
        <w:t>代谢性疾病非药物干预指南</w:t>
      </w:r>
      <w:r>
        <w:rPr>
          <w:rFonts w:hint="eastAsia" w:asciiTheme="minorEastAsia" w:hAnsiTheme="minorEastAsia" w:eastAsiaTheme="minorEastAsia"/>
          <w:sz w:val="36"/>
          <w:szCs w:val="36"/>
        </w:rPr>
        <w:t>》征求意见稿</w:t>
      </w:r>
    </w:p>
    <w:p w14:paraId="170ACF06">
      <w:pPr>
        <w:pStyle w:val="2"/>
        <w:spacing w:before="0" w:beforeLines="0" w:after="312" w:afterLines="100" w:line="400" w:lineRule="exact"/>
      </w:pPr>
      <w:r>
        <w:rPr>
          <w:rFonts w:hint="eastAsia" w:asciiTheme="minorEastAsia" w:hAnsiTheme="minorEastAsia" w:eastAsiaTheme="minorEastAsia"/>
          <w:sz w:val="36"/>
          <w:szCs w:val="36"/>
        </w:rPr>
        <w:t>团体标准编制说明</w:t>
      </w:r>
    </w:p>
    <w:p w14:paraId="55EAAC8B">
      <w:pPr>
        <w:spacing w:line="360" w:lineRule="auto"/>
        <w:jc w:val="left"/>
        <w:rPr>
          <w:rFonts w:hint="eastAsia" w:ascii="宋体" w:hAnsi="宋体"/>
          <w:b/>
          <w:bCs/>
          <w:sz w:val="28"/>
          <w:szCs w:val="28"/>
        </w:rPr>
      </w:pPr>
      <w:r>
        <w:rPr>
          <w:rFonts w:hint="eastAsia" w:ascii="宋体" w:hAnsi="宋体"/>
          <w:b/>
          <w:bCs/>
          <w:sz w:val="28"/>
          <w:szCs w:val="28"/>
        </w:rPr>
        <w:t>一、工作简况</w:t>
      </w:r>
    </w:p>
    <w:p w14:paraId="4921A244">
      <w:pPr>
        <w:numPr>
          <w:ilvl w:val="0"/>
          <w:numId w:val="1"/>
        </w:numPr>
        <w:spacing w:line="360" w:lineRule="auto"/>
        <w:ind w:left="0" w:leftChars="0" w:firstLine="420" w:firstLineChars="0"/>
        <w:jc w:val="left"/>
        <w:rPr>
          <w:rFonts w:ascii="宋体" w:hAnsi="宋体"/>
          <w:sz w:val="24"/>
          <w:szCs w:val="24"/>
        </w:rPr>
      </w:pPr>
      <w:r>
        <w:rPr>
          <w:rFonts w:hint="eastAsia" w:ascii="宋体" w:hAnsi="宋体"/>
          <w:sz w:val="24"/>
          <w:szCs w:val="24"/>
        </w:rPr>
        <w:t>任务来源</w:t>
      </w:r>
    </w:p>
    <w:p w14:paraId="116987ED">
      <w:pPr>
        <w:spacing w:line="360" w:lineRule="auto"/>
        <w:ind w:firstLine="480" w:firstLineChars="200"/>
        <w:jc w:val="left"/>
        <w:rPr>
          <w:rFonts w:hint="eastAsia" w:ascii="宋体" w:hAnsi="宋体"/>
          <w:sz w:val="24"/>
          <w:szCs w:val="24"/>
        </w:rPr>
      </w:pPr>
      <w:r>
        <w:rPr>
          <w:rFonts w:hint="eastAsia" w:ascii="宋体" w:hAnsi="宋体"/>
          <w:sz w:val="24"/>
          <w:szCs w:val="24"/>
        </w:rPr>
        <w:t>随着我国代谢性疾病发病率不断攀升且呈现年轻化趋势，非药物干预在代谢性疾病防治中的重要性日益凸显。然而，国内目前缺乏针对代谢性疾病非药物干预的系统性、规范化技术文件，导致医疗机构、公共卫生部门等在开展相关工作时缺乏统一依据，干预措施零散、标准模糊，同时市场上非药物干预产品和服务乱象丛生。为填补这一空白，北京北清创新医学研究院有限公司于</w:t>
      </w:r>
      <w:r>
        <w:rPr>
          <w:rFonts w:hint="eastAsia" w:ascii="宋体" w:hAnsi="宋体"/>
          <w:sz w:val="24"/>
          <w:szCs w:val="24"/>
          <w:lang w:val="en-US" w:eastAsia="zh-CN"/>
        </w:rPr>
        <w:t>2025年8月</w:t>
      </w:r>
      <w:r>
        <w:rPr>
          <w:rFonts w:hint="eastAsia" w:ascii="宋体" w:hAnsi="宋体"/>
          <w:sz w:val="24"/>
          <w:szCs w:val="24"/>
        </w:rPr>
        <w:t>正式向中国食品药品企业质量安全促进会提出提出《代谢性疾病非药物干预指南》团体标准立项申请，拟通过制定团体标准，建立科学、规范的代谢性疾病非药物干预体系，为相关实践提供技术支撑，并为后续更高层级标准的制定积累经验。</w:t>
      </w:r>
    </w:p>
    <w:p w14:paraId="6FF31FFE">
      <w:pPr>
        <w:numPr>
          <w:ilvl w:val="0"/>
          <w:numId w:val="1"/>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起草单位</w:t>
      </w:r>
    </w:p>
    <w:p w14:paraId="498F6CC2">
      <w:pPr>
        <w:keepNext w:val="0"/>
        <w:keepLines w:val="0"/>
        <w:widowControl/>
        <w:suppressLineNumbers w:val="0"/>
        <w:shd w:val="clear" w:fill="FFFFFF"/>
        <w:bidi w:val="0"/>
        <w:spacing w:before="0" w:beforeAutospacing="0" w:after="0" w:afterAutospacing="0" w:line="420" w:lineRule="atLeast"/>
        <w:ind w:left="0" w:right="0" w:firstLine="480" w:firstLineChars="200"/>
        <w:jc w:val="left"/>
        <w:rPr>
          <w:rFonts w:hint="eastAsia" w:ascii="宋体" w:hAnsi="宋体" w:eastAsiaTheme="minorEastAsia"/>
          <w:sz w:val="24"/>
          <w:szCs w:val="24"/>
          <w:lang w:eastAsia="zh-CN"/>
        </w:rPr>
      </w:pPr>
      <w:r>
        <w:rPr>
          <w:rFonts w:hint="eastAsia" w:ascii="宋体" w:hAnsi="宋体"/>
          <w:sz w:val="24"/>
          <w:szCs w:val="24"/>
        </w:rPr>
        <w:t>北京北清创新医学研究院有限公</w:t>
      </w:r>
      <w:r>
        <w:rPr>
          <w:rFonts w:hint="eastAsia" w:ascii="宋体" w:hAnsi="宋体"/>
          <w:sz w:val="24"/>
          <w:szCs w:val="24"/>
          <w:lang w:val="en-US" w:eastAsia="zh-CN"/>
        </w:rPr>
        <w:t>司在</w:t>
      </w:r>
      <w:r>
        <w:rPr>
          <w:rFonts w:hint="default" w:ascii="Segoe UI" w:hAnsi="Segoe UI" w:eastAsia="Segoe UI" w:cs="Segoe UI"/>
          <w:i w:val="0"/>
          <w:iCs w:val="0"/>
          <w:caps w:val="0"/>
          <w:color w:val="000000"/>
          <w:spacing w:val="0"/>
          <w:kern w:val="0"/>
          <w:sz w:val="24"/>
          <w:szCs w:val="24"/>
          <w:shd w:val="clear" w:fill="FFFFFF"/>
          <w:lang w:val="en-US" w:eastAsia="zh-CN" w:bidi="ar"/>
        </w:rPr>
        <w:t>代谢性疾病病因研究、非药物干预技术研发、干预效果检测、健康管理服务以及临床实践应用等方面具有丰富的经验和专业的技术团队，能够为标准的制定提供坚实的理论和技术支持。</w:t>
      </w:r>
    </w:p>
    <w:p w14:paraId="1DE71EEA">
      <w:pPr>
        <w:numPr>
          <w:ilvl w:val="0"/>
          <w:numId w:val="1"/>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主要起草人</w:t>
      </w:r>
    </w:p>
    <w:p w14:paraId="02F9A4F5">
      <w:pPr>
        <w:spacing w:line="360" w:lineRule="auto"/>
        <w:ind w:firstLine="480" w:firstLineChars="200"/>
        <w:jc w:val="left"/>
        <w:rPr>
          <w:rFonts w:hint="eastAsia" w:ascii="宋体" w:hAnsi="宋体"/>
          <w:sz w:val="24"/>
          <w:szCs w:val="24"/>
        </w:rPr>
      </w:pPr>
      <w:r>
        <w:rPr>
          <w:rFonts w:hint="eastAsia" w:ascii="宋体" w:hAnsi="宋体"/>
          <w:sz w:val="24"/>
          <w:szCs w:val="24"/>
          <w:lang w:val="en-US" w:eastAsia="zh-CN"/>
        </w:rPr>
        <w:t>马国梁、徐慧敏、董建斌、林秀琴、郭明远、方玉芬、高志军、苏丽娟、唐建国</w:t>
      </w:r>
      <w:r>
        <w:rPr>
          <w:rFonts w:hint="eastAsia" w:ascii="宋体" w:hAnsi="宋体"/>
          <w:sz w:val="24"/>
          <w:szCs w:val="24"/>
        </w:rPr>
        <w:t>等人，这些单位的主要起草人长期从事营养流行病学、代谢性疾病临床诊疗、食品法规及标准化工作，具有丰富的实践经验和专业背景，能够为《代谢性疾病非药物干预指南》团体标准的制定提供专业的技术支持和实践指导。</w:t>
      </w:r>
    </w:p>
    <w:p w14:paraId="0737CB21">
      <w:pPr>
        <w:numPr>
          <w:ilvl w:val="0"/>
          <w:numId w:val="1"/>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主要工作</w:t>
      </w:r>
    </w:p>
    <w:p w14:paraId="700A3B88">
      <w:pPr>
        <w:spacing w:line="360" w:lineRule="auto"/>
        <w:ind w:firstLine="480" w:firstLineChars="200"/>
        <w:jc w:val="left"/>
        <w:rPr>
          <w:rFonts w:ascii="宋体" w:hAnsi="宋体"/>
          <w:sz w:val="24"/>
          <w:szCs w:val="24"/>
        </w:rPr>
      </w:pPr>
      <w:r>
        <w:rPr>
          <w:rFonts w:hint="eastAsia" w:ascii="宋体" w:hAnsi="宋体"/>
          <w:sz w:val="24"/>
          <w:szCs w:val="24"/>
        </w:rPr>
        <w:t>1.资料收集与研究</w:t>
      </w:r>
    </w:p>
    <w:p w14:paraId="704AA273">
      <w:pPr>
        <w:spacing w:line="360" w:lineRule="auto"/>
        <w:ind w:firstLine="480" w:firstLineChars="200"/>
        <w:jc w:val="left"/>
        <w:rPr>
          <w:rFonts w:hint="eastAsia" w:ascii="宋体" w:hAnsi="宋体"/>
          <w:sz w:val="24"/>
          <w:szCs w:val="24"/>
        </w:rPr>
      </w:pPr>
      <w:r>
        <w:rPr>
          <w:rFonts w:hint="eastAsia" w:ascii="宋体" w:hAnsi="宋体"/>
          <w:sz w:val="24"/>
          <w:szCs w:val="24"/>
        </w:rPr>
        <w:t>广泛收集国内外有关代谢性疾病非药物干预的研究文献、法规标准和技术资料，为标准的制定提供理论基础。</w:t>
      </w:r>
    </w:p>
    <w:p w14:paraId="7A46FFDF">
      <w:pPr>
        <w:spacing w:line="360" w:lineRule="auto"/>
        <w:ind w:firstLine="420" w:firstLineChars="175"/>
        <w:jc w:val="left"/>
        <w:rPr>
          <w:rFonts w:hint="eastAsia" w:ascii="宋体" w:hAnsi="宋体"/>
          <w:sz w:val="24"/>
          <w:szCs w:val="24"/>
        </w:rPr>
      </w:pPr>
      <w:r>
        <w:rPr>
          <w:rFonts w:hint="eastAsia" w:ascii="宋体" w:hAnsi="宋体"/>
          <w:sz w:val="24"/>
          <w:szCs w:val="24"/>
        </w:rPr>
        <w:t>2.调研与分析</w:t>
      </w:r>
    </w:p>
    <w:p w14:paraId="50F592DC">
      <w:pPr>
        <w:spacing w:line="360" w:lineRule="auto"/>
        <w:ind w:firstLine="420" w:firstLineChars="175"/>
        <w:jc w:val="left"/>
        <w:rPr>
          <w:rFonts w:hint="eastAsia" w:ascii="宋体" w:hAnsi="宋体"/>
          <w:sz w:val="24"/>
          <w:szCs w:val="24"/>
          <w:lang w:val="en-US" w:eastAsia="zh-CN"/>
        </w:rPr>
      </w:pPr>
      <w:r>
        <w:rPr>
          <w:rFonts w:hint="eastAsia" w:ascii="宋体" w:hAnsi="宋体"/>
          <w:sz w:val="24"/>
          <w:szCs w:val="24"/>
        </w:rPr>
        <w:t>通过线上问卷及电话访谈方式，面向全国各省市医疗机构、公共卫生部门、健康管理机构、代谢性疾病患者及家属代表开展需求调研，回收有效问卷，梳理出 “非药物干预措施缺乏量化标准”“不同机构干预方案差异大”“干预效果评估体系不统一” 三大痛点。</w:t>
      </w:r>
      <w:r>
        <w:rPr>
          <w:rFonts w:hint="eastAsia" w:ascii="宋体" w:hAnsi="宋体"/>
          <w:sz w:val="24"/>
          <w:szCs w:val="24"/>
          <w:lang w:val="en-US" w:eastAsia="zh-CN"/>
        </w:rPr>
        <w:t xml:space="preserve"> </w:t>
      </w:r>
    </w:p>
    <w:p w14:paraId="0D001848">
      <w:pPr>
        <w:spacing w:line="360" w:lineRule="auto"/>
        <w:ind w:firstLine="420" w:firstLineChars="175"/>
        <w:jc w:val="left"/>
        <w:rPr>
          <w:rFonts w:hint="eastAsia" w:ascii="宋体" w:hAnsi="宋体"/>
          <w:sz w:val="24"/>
          <w:szCs w:val="24"/>
        </w:rPr>
      </w:pPr>
      <w:r>
        <w:rPr>
          <w:rFonts w:hint="eastAsia" w:ascii="宋体" w:hAnsi="宋体"/>
          <w:sz w:val="24"/>
          <w:szCs w:val="24"/>
        </w:rPr>
        <w:t>3.标准草案起草</w:t>
      </w:r>
    </w:p>
    <w:p w14:paraId="2313E590">
      <w:pPr>
        <w:spacing w:line="360" w:lineRule="auto"/>
        <w:ind w:firstLine="420" w:firstLineChars="175"/>
        <w:jc w:val="left"/>
        <w:rPr>
          <w:rFonts w:hint="eastAsia" w:ascii="宋体" w:hAnsi="宋体"/>
          <w:sz w:val="24"/>
          <w:szCs w:val="24"/>
        </w:rPr>
      </w:pPr>
      <w:r>
        <w:rPr>
          <w:rFonts w:hint="eastAsia" w:ascii="宋体" w:hAnsi="宋体"/>
          <w:sz w:val="24"/>
          <w:szCs w:val="24"/>
        </w:rPr>
        <w:t>依据 GB/T 1.1—2020《标准化工作导则》起草标准草案，明确术语和定义、总体原则</w:t>
      </w:r>
      <w:r>
        <w:rPr>
          <w:rFonts w:hint="eastAsia" w:ascii="宋体" w:hAnsi="宋体"/>
          <w:sz w:val="24"/>
          <w:szCs w:val="24"/>
          <w:lang w:eastAsia="zh-CN"/>
        </w:rPr>
        <w:t>、</w:t>
      </w:r>
      <w:r>
        <w:rPr>
          <w:rFonts w:hint="eastAsia" w:ascii="宋体" w:hAnsi="宋体"/>
          <w:sz w:val="24"/>
          <w:szCs w:val="24"/>
        </w:rPr>
        <w:t>干预措施、实施流程</w:t>
      </w:r>
      <w:r>
        <w:rPr>
          <w:rFonts w:hint="eastAsia" w:ascii="宋体" w:hAnsi="宋体"/>
          <w:sz w:val="24"/>
          <w:szCs w:val="24"/>
          <w:lang w:eastAsia="zh-CN"/>
        </w:rPr>
        <w:t>、</w:t>
      </w:r>
      <w:r>
        <w:rPr>
          <w:rFonts w:hint="eastAsia" w:ascii="宋体" w:hAnsi="宋体"/>
          <w:sz w:val="24"/>
          <w:szCs w:val="24"/>
        </w:rPr>
        <w:t xml:space="preserve">质量控制等核心内容，形成草案 </w:t>
      </w:r>
    </w:p>
    <w:p w14:paraId="6C5FE236">
      <w:pPr>
        <w:spacing w:line="360" w:lineRule="auto"/>
        <w:ind w:firstLine="480" w:firstLineChars="200"/>
        <w:jc w:val="left"/>
        <w:rPr>
          <w:rFonts w:hint="eastAsia" w:ascii="宋体" w:hAnsi="宋体"/>
          <w:sz w:val="24"/>
          <w:szCs w:val="24"/>
        </w:rPr>
      </w:pPr>
      <w:r>
        <w:rPr>
          <w:rFonts w:hint="eastAsia" w:ascii="宋体" w:hAnsi="宋体"/>
          <w:sz w:val="24"/>
          <w:szCs w:val="24"/>
        </w:rPr>
        <w:t>4.立项报批材料准备</w:t>
      </w:r>
    </w:p>
    <w:p w14:paraId="0B15AB39">
      <w:pPr>
        <w:spacing w:line="360" w:lineRule="auto"/>
        <w:ind w:firstLine="480" w:firstLineChars="200"/>
        <w:jc w:val="left"/>
        <w:rPr>
          <w:rFonts w:hint="eastAsia" w:ascii="宋体" w:hAnsi="宋体"/>
          <w:sz w:val="24"/>
          <w:szCs w:val="24"/>
        </w:rPr>
      </w:pPr>
      <w:r>
        <w:rPr>
          <w:rFonts w:hint="eastAsia" w:ascii="宋体" w:hAnsi="宋体"/>
          <w:sz w:val="24"/>
          <w:szCs w:val="24"/>
        </w:rPr>
        <w:t>整理完善标准立项申报材料，包括立项申请表、编制说明、标准草案等相关文件，确保立项申报材料的完整性和规范性，为标准立项审批做好充分准备。</w:t>
      </w:r>
    </w:p>
    <w:p w14:paraId="57C3BCCE">
      <w:pPr>
        <w:numPr>
          <w:ilvl w:val="0"/>
          <w:numId w:val="2"/>
        </w:numPr>
        <w:spacing w:line="360" w:lineRule="auto"/>
        <w:ind w:firstLine="480" w:firstLineChars="200"/>
        <w:jc w:val="left"/>
        <w:rPr>
          <w:rFonts w:hint="eastAsia" w:ascii="宋体" w:hAnsi="宋体"/>
          <w:sz w:val="24"/>
          <w:szCs w:val="24"/>
        </w:rPr>
      </w:pPr>
      <w:r>
        <w:rPr>
          <w:rFonts w:hint="eastAsia" w:ascii="宋体" w:hAnsi="宋体"/>
          <w:sz w:val="24"/>
          <w:szCs w:val="24"/>
        </w:rPr>
        <w:t>立项审查</w:t>
      </w:r>
    </w:p>
    <w:p w14:paraId="0994D292">
      <w:pPr>
        <w:numPr>
          <w:numId w:val="0"/>
        </w:numPr>
        <w:spacing w:line="360" w:lineRule="auto"/>
        <w:ind w:firstLine="480" w:firstLineChars="200"/>
        <w:jc w:val="left"/>
        <w:rPr>
          <w:rFonts w:hint="eastAsia" w:ascii="宋体" w:hAnsi="宋体"/>
          <w:sz w:val="24"/>
          <w:szCs w:val="24"/>
        </w:rPr>
      </w:pPr>
      <w:r>
        <w:rPr>
          <w:rFonts w:hint="eastAsia" w:asciiTheme="minorEastAsia" w:hAnsiTheme="minorEastAsia" w:eastAsiaTheme="minorEastAsia" w:cstheme="minorEastAsia"/>
          <w:b w:val="0"/>
          <w:bCs w:val="0"/>
          <w:sz w:val="24"/>
          <w:szCs w:val="24"/>
        </w:rPr>
        <w:t>2025年</w:t>
      </w:r>
      <w:r>
        <w:rPr>
          <w:rFonts w:hint="eastAsia" w:asciiTheme="minorEastAsia" w:hAnsiTheme="minorEastAsia" w:cstheme="minorEastAsia"/>
          <w:b w:val="0"/>
          <w:bCs w:val="0"/>
          <w:sz w:val="24"/>
          <w:szCs w:val="24"/>
          <w:lang w:val="en-US" w:eastAsia="zh-CN"/>
        </w:rPr>
        <w:t>8</w:t>
      </w:r>
      <w:r>
        <w:rPr>
          <w:rFonts w:hint="eastAsia" w:asciiTheme="minorEastAsia" w:hAnsiTheme="minorEastAsia" w:eastAsiaTheme="minorEastAsia" w:cstheme="minorEastAsia"/>
          <w:b w:val="0"/>
          <w:bCs w:val="0"/>
          <w:sz w:val="24"/>
          <w:szCs w:val="24"/>
        </w:rPr>
        <w:t>月</w:t>
      </w:r>
      <w:r>
        <w:rPr>
          <w:rFonts w:hint="eastAsia" w:asciiTheme="minorEastAsia" w:hAnsiTheme="minorEastAsia" w:cstheme="minorEastAsia"/>
          <w:b w:val="0"/>
          <w:bCs w:val="0"/>
          <w:sz w:val="24"/>
          <w:szCs w:val="24"/>
          <w:lang w:val="en-US" w:eastAsia="zh-CN"/>
        </w:rPr>
        <w:t>5</w:t>
      </w:r>
      <w:r>
        <w:rPr>
          <w:rFonts w:hint="eastAsia" w:asciiTheme="minorEastAsia" w:hAnsiTheme="minorEastAsia" w:eastAsiaTheme="minorEastAsia" w:cstheme="minorEastAsia"/>
          <w:b w:val="0"/>
          <w:bCs w:val="0"/>
          <w:sz w:val="24"/>
          <w:szCs w:val="24"/>
        </w:rPr>
        <w:t>日（周二）</w:t>
      </w:r>
      <w:r>
        <w:rPr>
          <w:rFonts w:hint="eastAsia" w:asciiTheme="minorEastAsia" w:hAnsiTheme="minorEastAsia" w:eastAsiaTheme="minorEastAsia" w:cstheme="minorEastAsia"/>
          <w:b w:val="0"/>
          <w:bCs w:val="0"/>
          <w:sz w:val="24"/>
          <w:szCs w:val="24"/>
          <w:lang w:val="en-US" w:eastAsia="zh-CN"/>
        </w:rPr>
        <w:t>1</w:t>
      </w:r>
      <w:r>
        <w:rPr>
          <w:rFonts w:hint="eastAsia" w:asciiTheme="minorEastAsia" w:hAnsiTheme="minorEastAsia" w:cstheme="minorEastAsia"/>
          <w:b w:val="0"/>
          <w:bCs w:val="0"/>
          <w:sz w:val="24"/>
          <w:szCs w:val="24"/>
          <w:lang w:val="en-US" w:eastAsia="zh-CN"/>
        </w:rPr>
        <w:t>3</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cstheme="minorEastAsia"/>
          <w:b w:val="0"/>
          <w:bCs w:val="0"/>
          <w:sz w:val="24"/>
          <w:szCs w:val="24"/>
          <w:lang w:val="en-US" w:eastAsia="zh-CN"/>
        </w:rPr>
        <w:t>3</w:t>
      </w:r>
      <w:r>
        <w:rPr>
          <w:rFonts w:hint="eastAsia" w:asciiTheme="minorEastAsia" w:hAnsiTheme="minorEastAsia" w:eastAsiaTheme="minorEastAsia" w:cstheme="minorEastAsia"/>
          <w:b w:val="0"/>
          <w:bCs w:val="0"/>
          <w:sz w:val="24"/>
          <w:szCs w:val="24"/>
        </w:rPr>
        <w:t>0～1</w:t>
      </w:r>
      <w:r>
        <w:rPr>
          <w:rFonts w:hint="eastAsia" w:asciiTheme="minorEastAsia" w:hAnsiTheme="minorEastAsia" w:eastAsiaTheme="minorEastAsia" w:cstheme="minorEastAsia"/>
          <w:b w:val="0"/>
          <w:bCs w:val="0"/>
          <w:sz w:val="24"/>
          <w:szCs w:val="24"/>
          <w:lang w:val="en-US" w:eastAsia="zh-CN"/>
        </w:rPr>
        <w:t>6</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3</w:t>
      </w:r>
      <w:r>
        <w:rPr>
          <w:rFonts w:hint="eastAsia" w:asciiTheme="minorEastAsia" w:hAnsiTheme="minorEastAsia" w:eastAsiaTheme="minorEastAsia" w:cstheme="minorEastAsia"/>
          <w:b w:val="0"/>
          <w:bCs w:val="0"/>
          <w:sz w:val="24"/>
          <w:szCs w:val="24"/>
          <w:lang w:eastAsia="zh-CN"/>
        </w:rPr>
        <w:t>0</w:t>
      </w:r>
      <w:r>
        <w:rPr>
          <w:rFonts w:hint="eastAsia" w:ascii="宋体" w:hAnsi="宋体"/>
          <w:sz w:val="24"/>
          <w:szCs w:val="24"/>
        </w:rPr>
        <w:t>，通过“腾讯会议”（会议ID：439-348-431</w:t>
      </w:r>
      <w:bookmarkStart w:id="0" w:name="_GoBack"/>
      <w:bookmarkEnd w:id="0"/>
      <w:r>
        <w:rPr>
          <w:rFonts w:hint="eastAsia" w:ascii="宋体" w:hAnsi="宋体"/>
          <w:sz w:val="24"/>
          <w:szCs w:val="24"/>
        </w:rPr>
        <w:t>）中国食品药品企业质量安全促进会组织召开立项审查会，邀请相关领域专家组成评审组，对标准项目的科学性、必要性、可操作性、技术内容和结构框架等进行全面评审。与会专家深入细致讨论，提出修改意见和建议，并集体商议及投票表决，一致同意该团体标准立项。随即报请促进会批准立项。</w:t>
      </w:r>
    </w:p>
    <w:p w14:paraId="547F342F">
      <w:pPr>
        <w:numPr>
          <w:ilvl w:val="0"/>
          <w:numId w:val="2"/>
        </w:numPr>
        <w:spacing w:line="360" w:lineRule="auto"/>
        <w:ind w:left="0" w:leftChars="0" w:firstLine="480" w:firstLineChars="200"/>
        <w:jc w:val="left"/>
        <w:rPr>
          <w:rFonts w:ascii="宋体" w:hAnsi="宋体"/>
          <w:b/>
          <w:bCs/>
          <w:sz w:val="28"/>
          <w:szCs w:val="28"/>
        </w:rPr>
      </w:pPr>
      <w:r>
        <w:rPr>
          <w:rFonts w:hint="eastAsia" w:ascii="宋体" w:hAnsi="宋体"/>
          <w:sz w:val="24"/>
          <w:szCs w:val="24"/>
        </w:rPr>
        <w:t>标准草案完善</w:t>
      </w:r>
    </w:p>
    <w:p w14:paraId="4060278F">
      <w:pPr>
        <w:numPr>
          <w:numId w:val="0"/>
        </w:numPr>
        <w:spacing w:line="360" w:lineRule="auto"/>
        <w:ind w:firstLine="480" w:firstLineChars="200"/>
        <w:jc w:val="left"/>
        <w:rPr>
          <w:rFonts w:hint="eastAsia" w:ascii="宋体" w:hAnsi="宋体"/>
          <w:sz w:val="24"/>
          <w:szCs w:val="24"/>
        </w:rPr>
      </w:pPr>
      <w:r>
        <w:rPr>
          <w:rFonts w:hint="eastAsia" w:ascii="宋体" w:hAnsi="宋体"/>
          <w:sz w:val="24"/>
          <w:szCs w:val="24"/>
        </w:rPr>
        <w:t>根据立项审查会专家提出的意见和建议，起草工作组逐条研究、充分论证，对标准文本进行系统性修改完善。修改完成后，在起草单位内部组织召开专家论证会，邀请行业权威专家对修改后的标准文本进行二次审核，重点核查技术指标的合理性、文本表述的规范性以及修改内容的完整性。经过多轮研讨和修改完善，最终形成标准征求意见稿，并上报促进会审核并公开征求意见。</w:t>
      </w:r>
    </w:p>
    <w:p w14:paraId="26EA2192">
      <w:pPr>
        <w:numPr>
          <w:numId w:val="0"/>
        </w:numPr>
        <w:spacing w:line="360" w:lineRule="auto"/>
        <w:jc w:val="left"/>
        <w:rPr>
          <w:rFonts w:ascii="宋体" w:hAnsi="宋体"/>
          <w:b/>
          <w:bCs/>
          <w:sz w:val="28"/>
          <w:szCs w:val="28"/>
        </w:rPr>
      </w:pPr>
      <w:r>
        <w:rPr>
          <w:rFonts w:hint="eastAsia" w:ascii="宋体" w:hAnsi="宋体"/>
          <w:b/>
          <w:bCs/>
          <w:sz w:val="28"/>
          <w:szCs w:val="28"/>
        </w:rPr>
        <w:t>二、标准编制原则和确定标准主要内容及其论据</w:t>
      </w:r>
    </w:p>
    <w:p w14:paraId="4E915B83">
      <w:pPr>
        <w:spacing w:line="360" w:lineRule="auto"/>
        <w:jc w:val="left"/>
        <w:rPr>
          <w:rFonts w:ascii="宋体" w:hAnsi="宋体"/>
          <w:sz w:val="28"/>
          <w:szCs w:val="28"/>
        </w:rPr>
      </w:pPr>
      <w:r>
        <w:rPr>
          <w:rFonts w:hint="eastAsia" w:ascii="宋体" w:hAnsi="宋体"/>
          <w:sz w:val="28"/>
          <w:szCs w:val="28"/>
        </w:rPr>
        <w:t>（一）标准编制原则</w:t>
      </w:r>
    </w:p>
    <w:p w14:paraId="49A5D80D">
      <w:pPr>
        <w:spacing w:line="360" w:lineRule="auto"/>
        <w:ind w:firstLine="420" w:firstLineChars="175"/>
        <w:jc w:val="left"/>
        <w:rPr>
          <w:rFonts w:hint="eastAsia" w:ascii="宋体" w:hAnsi="宋体"/>
          <w:sz w:val="24"/>
          <w:szCs w:val="24"/>
        </w:rPr>
      </w:pPr>
      <w:r>
        <w:rPr>
          <w:rFonts w:hint="eastAsia" w:ascii="宋体" w:hAnsi="宋体"/>
          <w:sz w:val="24"/>
          <w:szCs w:val="24"/>
          <w:lang w:val="en-US" w:eastAsia="zh-CN"/>
        </w:rPr>
        <w:t xml:space="preserve">1. </w:t>
      </w:r>
      <w:r>
        <w:rPr>
          <w:rFonts w:hint="eastAsia" w:ascii="宋体" w:hAnsi="宋体"/>
          <w:sz w:val="24"/>
          <w:szCs w:val="24"/>
        </w:rPr>
        <w:t>科学性</w:t>
      </w:r>
    </w:p>
    <w:p w14:paraId="1F212ACC">
      <w:pPr>
        <w:spacing w:line="360" w:lineRule="auto"/>
        <w:ind w:firstLine="420" w:firstLineChars="175"/>
        <w:jc w:val="left"/>
        <w:rPr>
          <w:rFonts w:hint="eastAsia" w:ascii="宋体" w:hAnsi="宋体"/>
          <w:sz w:val="24"/>
          <w:szCs w:val="24"/>
        </w:rPr>
      </w:pPr>
      <w:r>
        <w:rPr>
          <w:rFonts w:hint="eastAsia" w:ascii="宋体" w:hAnsi="宋体"/>
          <w:sz w:val="24"/>
          <w:szCs w:val="24"/>
        </w:rPr>
        <w:t>以代谢性疾病非药物干预领域最新循证医学和临床研究证据为核心，参考世界卫生组织（WHO）、国际相关权威机构及我国《中国居民膳食指南（2022）》等现有规范，确保干预措施、指标设定等内容的科学依据。</w:t>
      </w:r>
    </w:p>
    <w:p w14:paraId="0390BF60">
      <w:pPr>
        <w:numPr>
          <w:ilvl w:val="0"/>
          <w:numId w:val="3"/>
        </w:numPr>
        <w:spacing w:line="360" w:lineRule="auto"/>
        <w:ind w:firstLine="420" w:firstLineChars="175"/>
        <w:jc w:val="left"/>
        <w:rPr>
          <w:rFonts w:hint="eastAsia" w:ascii="宋体" w:hAnsi="宋体"/>
          <w:sz w:val="24"/>
          <w:szCs w:val="24"/>
        </w:rPr>
      </w:pPr>
      <w:r>
        <w:rPr>
          <w:rFonts w:hint="eastAsia" w:ascii="宋体" w:hAnsi="宋体"/>
          <w:sz w:val="24"/>
          <w:szCs w:val="24"/>
        </w:rPr>
        <w:t>先进性</w:t>
      </w:r>
    </w:p>
    <w:p w14:paraId="6895E002">
      <w:pPr>
        <w:spacing w:line="360" w:lineRule="auto"/>
        <w:ind w:firstLine="420" w:firstLineChars="175"/>
        <w:jc w:val="left"/>
        <w:rPr>
          <w:rFonts w:hint="eastAsia" w:ascii="宋体" w:hAnsi="宋体"/>
          <w:sz w:val="24"/>
          <w:szCs w:val="24"/>
        </w:rPr>
      </w:pPr>
      <w:r>
        <w:rPr>
          <w:rFonts w:hint="eastAsia" w:ascii="宋体" w:hAnsi="宋体"/>
          <w:sz w:val="24"/>
          <w:szCs w:val="24"/>
        </w:rPr>
        <w:t>整合生活方式调整、营养干预、运动疗法、心理行为干预及传统医学疗法等多维度干预手段，首次将多种代谢性疾病的非药物干预纳入统一技术框架，形成覆盖 “评估 — 干预—监测—优化” 的全链条规范，对接国际同类干预标准的前沿理念。</w:t>
      </w:r>
    </w:p>
    <w:p w14:paraId="1CA7E9C2">
      <w:pPr>
        <w:numPr>
          <w:ilvl w:val="0"/>
          <w:numId w:val="3"/>
        </w:numPr>
        <w:spacing w:line="360" w:lineRule="auto"/>
        <w:ind w:left="0" w:leftChars="0" w:firstLine="420" w:firstLineChars="175"/>
        <w:jc w:val="left"/>
        <w:rPr>
          <w:rFonts w:hint="eastAsia" w:ascii="宋体" w:hAnsi="宋体"/>
          <w:sz w:val="24"/>
          <w:szCs w:val="24"/>
        </w:rPr>
      </w:pPr>
      <w:r>
        <w:rPr>
          <w:rFonts w:hint="eastAsia" w:ascii="宋体" w:hAnsi="宋体"/>
          <w:sz w:val="24"/>
          <w:szCs w:val="24"/>
        </w:rPr>
        <w:t>实用性</w:t>
      </w:r>
    </w:p>
    <w:p w14:paraId="6D9DF55E">
      <w:pPr>
        <w:spacing w:line="360" w:lineRule="auto"/>
        <w:ind w:firstLine="420" w:firstLineChars="175"/>
        <w:jc w:val="left"/>
        <w:rPr>
          <w:rFonts w:hint="eastAsia" w:ascii="宋体" w:hAnsi="宋体"/>
          <w:sz w:val="24"/>
          <w:szCs w:val="24"/>
        </w:rPr>
      </w:pPr>
      <w:r>
        <w:rPr>
          <w:rFonts w:hint="eastAsia" w:ascii="宋体" w:hAnsi="宋体"/>
          <w:sz w:val="24"/>
          <w:szCs w:val="24"/>
        </w:rPr>
        <w:t>所有干预建议结合我国居民饮食习惯和食材可及性，如饮食方案选用国内常见食材，运动方式考虑不同人群的身体条件和场地限制；配套个性化方案制定模板、效果评估记录表等工具，便于医疗机构、社区及家庭直接落地实施。</w:t>
      </w:r>
    </w:p>
    <w:p w14:paraId="6005D92C">
      <w:pPr>
        <w:numPr>
          <w:ilvl w:val="0"/>
          <w:numId w:val="3"/>
        </w:numPr>
        <w:spacing w:line="360" w:lineRule="auto"/>
        <w:ind w:left="0" w:leftChars="0" w:firstLine="420" w:firstLineChars="175"/>
        <w:jc w:val="left"/>
        <w:rPr>
          <w:rFonts w:hint="eastAsia" w:ascii="宋体" w:hAnsi="宋体"/>
          <w:sz w:val="24"/>
          <w:szCs w:val="24"/>
        </w:rPr>
      </w:pPr>
      <w:r>
        <w:rPr>
          <w:rFonts w:hint="eastAsia" w:ascii="宋体" w:hAnsi="宋体"/>
          <w:sz w:val="24"/>
          <w:szCs w:val="24"/>
        </w:rPr>
        <w:t>协调性</w:t>
      </w:r>
    </w:p>
    <w:p w14:paraId="2AA66A3D">
      <w:pPr>
        <w:spacing w:line="360" w:lineRule="auto"/>
        <w:ind w:firstLine="420" w:firstLineChars="175"/>
        <w:jc w:val="left"/>
        <w:rPr>
          <w:rFonts w:hint="eastAsia" w:ascii="宋体" w:hAnsi="宋体"/>
          <w:sz w:val="24"/>
          <w:szCs w:val="24"/>
        </w:rPr>
      </w:pPr>
      <w:r>
        <w:rPr>
          <w:rFonts w:hint="eastAsia" w:ascii="宋体" w:hAnsi="宋体"/>
          <w:sz w:val="24"/>
          <w:szCs w:val="24"/>
        </w:rPr>
        <w:t>与现行《中华人民共和国基本医疗卫生与健康促进法》《健康中国 2030 规划纲要》及《中国居民膳食指南（2022）》《高血压防治指南》等相关政策、标准无缝衔接，确保技术要求的一致性和兼容性。</w:t>
      </w:r>
    </w:p>
    <w:p w14:paraId="1286282A">
      <w:pPr>
        <w:numPr>
          <w:ilvl w:val="0"/>
          <w:numId w:val="3"/>
        </w:numPr>
        <w:spacing w:line="360" w:lineRule="auto"/>
        <w:ind w:left="0" w:leftChars="0" w:firstLine="420" w:firstLineChars="175"/>
        <w:jc w:val="left"/>
        <w:rPr>
          <w:rFonts w:hint="eastAsia" w:ascii="宋体" w:hAnsi="宋体"/>
          <w:sz w:val="24"/>
          <w:szCs w:val="24"/>
        </w:rPr>
      </w:pPr>
      <w:r>
        <w:rPr>
          <w:rFonts w:hint="eastAsia" w:ascii="宋体" w:hAnsi="宋体"/>
          <w:sz w:val="24"/>
          <w:szCs w:val="24"/>
        </w:rPr>
        <w:t>安全性</w:t>
      </w:r>
    </w:p>
    <w:p w14:paraId="2737FA96">
      <w:pPr>
        <w:spacing w:line="360" w:lineRule="auto"/>
        <w:ind w:firstLine="420" w:firstLineChars="175"/>
        <w:jc w:val="left"/>
        <w:rPr>
          <w:rFonts w:ascii="宋体" w:hAnsi="宋体"/>
          <w:sz w:val="24"/>
          <w:szCs w:val="24"/>
        </w:rPr>
      </w:pPr>
      <w:r>
        <w:rPr>
          <w:rFonts w:hint="eastAsia" w:ascii="宋体" w:hAnsi="宋体"/>
          <w:sz w:val="24"/>
          <w:szCs w:val="24"/>
        </w:rPr>
        <w:t>干预措施严格遵循循序渐进原则，如运动强度从低到高逐步调整；营养补充以避免过量为前提，明确需在专业指导下进行；传统医学疗法强调由专业人员操作，确保代谢性疾病人员在干预过程中的安全。</w:t>
      </w:r>
    </w:p>
    <w:p w14:paraId="45926E00">
      <w:pPr>
        <w:spacing w:line="360" w:lineRule="auto"/>
        <w:jc w:val="left"/>
        <w:rPr>
          <w:rFonts w:ascii="宋体" w:hAnsi="宋体"/>
          <w:sz w:val="24"/>
          <w:szCs w:val="24"/>
        </w:rPr>
      </w:pPr>
      <w:r>
        <w:rPr>
          <w:rFonts w:hint="eastAsia" w:ascii="宋体" w:hAnsi="宋体"/>
          <w:sz w:val="24"/>
          <w:szCs w:val="24"/>
        </w:rPr>
        <w:t>（二）标准主要内容</w:t>
      </w:r>
    </w:p>
    <w:p w14:paraId="26D650C5">
      <w:pPr>
        <w:spacing w:line="360" w:lineRule="auto"/>
        <w:ind w:firstLine="480" w:firstLineChars="200"/>
        <w:jc w:val="left"/>
        <w:rPr>
          <w:rFonts w:hint="eastAsia" w:ascii="宋体" w:hAnsi="宋体"/>
          <w:sz w:val="24"/>
          <w:szCs w:val="24"/>
        </w:rPr>
      </w:pPr>
      <w:r>
        <w:rPr>
          <w:rFonts w:hint="eastAsia" w:ascii="宋体" w:hAnsi="宋体"/>
          <w:sz w:val="24"/>
          <w:szCs w:val="24"/>
        </w:rPr>
        <w:t>1.范围</w:t>
      </w:r>
    </w:p>
    <w:p w14:paraId="2B80F081">
      <w:pPr>
        <w:spacing w:line="360" w:lineRule="auto"/>
        <w:ind w:firstLine="480" w:firstLineChars="200"/>
        <w:jc w:val="left"/>
        <w:rPr>
          <w:rFonts w:hint="eastAsia" w:ascii="宋体" w:hAnsi="宋体"/>
          <w:sz w:val="24"/>
          <w:szCs w:val="24"/>
        </w:rPr>
      </w:pPr>
      <w:r>
        <w:rPr>
          <w:rFonts w:hint="eastAsia" w:ascii="宋体" w:hAnsi="宋体"/>
          <w:sz w:val="24"/>
          <w:szCs w:val="24"/>
        </w:rPr>
        <w:t>本文件为确立了代谢性疾病非药物干预的总体原则，提供了干预措施、实施流程和质量控制的指导性建议。适用于医疗机构、公共卫生部门、科研机构等人员，以及代谢性疾病人员，在开展代谢性疾病非药物干预过程提供技术依据或参考。</w:t>
      </w:r>
    </w:p>
    <w:p w14:paraId="29EFE5F7">
      <w:pPr>
        <w:spacing w:line="360" w:lineRule="auto"/>
        <w:ind w:firstLine="480" w:firstLineChars="200"/>
        <w:jc w:val="left"/>
        <w:rPr>
          <w:rFonts w:hint="eastAsia" w:ascii="宋体" w:hAnsi="宋体"/>
          <w:sz w:val="24"/>
          <w:szCs w:val="24"/>
        </w:rPr>
      </w:pPr>
      <w:r>
        <w:rPr>
          <w:rFonts w:hint="eastAsia" w:ascii="宋体" w:hAnsi="宋体"/>
          <w:sz w:val="24"/>
          <w:szCs w:val="24"/>
        </w:rPr>
        <w:t>2.规范性引用文件</w:t>
      </w:r>
    </w:p>
    <w:p w14:paraId="7355FD42">
      <w:pPr>
        <w:spacing w:line="360" w:lineRule="auto"/>
        <w:ind w:firstLine="480" w:firstLineChars="200"/>
        <w:jc w:val="left"/>
        <w:rPr>
          <w:rFonts w:hint="eastAsia" w:ascii="宋体" w:hAnsi="宋体"/>
          <w:sz w:val="24"/>
          <w:szCs w:val="24"/>
        </w:rPr>
      </w:pPr>
      <w:r>
        <w:rPr>
          <w:rFonts w:hint="eastAsia" w:ascii="宋体" w:hAnsi="宋体"/>
          <w:sz w:val="24"/>
          <w:szCs w:val="24"/>
        </w:rPr>
        <w:t>本文件没有规范性引用文件。</w:t>
      </w:r>
    </w:p>
    <w:p w14:paraId="44E1C696">
      <w:pPr>
        <w:spacing w:line="360" w:lineRule="auto"/>
        <w:ind w:firstLine="480" w:firstLineChars="200"/>
        <w:jc w:val="left"/>
        <w:rPr>
          <w:rFonts w:hint="eastAsia" w:ascii="宋体" w:hAnsi="宋体"/>
          <w:sz w:val="24"/>
          <w:szCs w:val="24"/>
        </w:rPr>
      </w:pPr>
      <w:r>
        <w:rPr>
          <w:rFonts w:hint="eastAsia" w:ascii="宋体" w:hAnsi="宋体"/>
          <w:sz w:val="24"/>
          <w:szCs w:val="24"/>
        </w:rPr>
        <w:t>3.术语和定义</w:t>
      </w:r>
    </w:p>
    <w:p w14:paraId="248C3AD7">
      <w:pPr>
        <w:spacing w:line="360" w:lineRule="auto"/>
        <w:ind w:firstLine="480" w:firstLineChars="200"/>
        <w:jc w:val="left"/>
        <w:rPr>
          <w:rFonts w:hint="eastAsia" w:ascii="宋体" w:hAnsi="宋体"/>
          <w:sz w:val="24"/>
          <w:szCs w:val="24"/>
        </w:rPr>
      </w:pPr>
      <w:r>
        <w:rPr>
          <w:rFonts w:hint="eastAsia" w:ascii="宋体" w:hAnsi="宋体"/>
          <w:sz w:val="24"/>
          <w:szCs w:val="24"/>
        </w:rPr>
        <w:t>明确“代谢性疾病”“</w:t>
      </w:r>
      <w:r>
        <w:rPr>
          <w:rFonts w:hint="eastAsia" w:ascii="宋体" w:hAnsi="宋体"/>
          <w:sz w:val="24"/>
          <w:szCs w:val="24"/>
          <w:lang w:val="en-US" w:eastAsia="zh-CN"/>
        </w:rPr>
        <w:t>非药物干预</w:t>
      </w:r>
      <w:r>
        <w:rPr>
          <w:rFonts w:hint="eastAsia" w:ascii="宋体" w:hAnsi="宋体"/>
          <w:sz w:val="24"/>
          <w:szCs w:val="24"/>
        </w:rPr>
        <w:t>”</w:t>
      </w:r>
      <w:r>
        <w:rPr>
          <w:rFonts w:hint="eastAsia" w:ascii="宋体" w:hAnsi="宋体"/>
          <w:sz w:val="24"/>
          <w:szCs w:val="24"/>
          <w:lang w:val="en-US" w:eastAsia="zh-CN"/>
        </w:rPr>
        <w:t>2</w:t>
      </w:r>
      <w:r>
        <w:rPr>
          <w:rFonts w:hint="eastAsia" w:ascii="宋体" w:hAnsi="宋体"/>
          <w:sz w:val="24"/>
          <w:szCs w:val="24"/>
        </w:rPr>
        <w:t xml:space="preserve"> 个核心术语。</w:t>
      </w:r>
    </w:p>
    <w:p w14:paraId="32BA157C">
      <w:pPr>
        <w:spacing w:line="360" w:lineRule="auto"/>
        <w:ind w:firstLine="480" w:firstLineChars="200"/>
        <w:jc w:val="left"/>
        <w:rPr>
          <w:rFonts w:hint="eastAsia" w:ascii="宋体" w:hAnsi="宋体"/>
          <w:sz w:val="24"/>
          <w:szCs w:val="24"/>
        </w:rPr>
      </w:pPr>
      <w:r>
        <w:rPr>
          <w:rFonts w:hint="eastAsia" w:ascii="宋体" w:hAnsi="宋体"/>
          <w:sz w:val="24"/>
          <w:szCs w:val="24"/>
        </w:rPr>
        <w:t>4.</w:t>
      </w:r>
      <w:r>
        <w:rPr>
          <w:rFonts w:hint="eastAsia" w:ascii="宋体" w:hAnsi="宋体"/>
          <w:sz w:val="24"/>
          <w:szCs w:val="24"/>
          <w:lang w:val="en-US" w:eastAsia="zh-CN"/>
        </w:rPr>
        <w:t>总体</w:t>
      </w:r>
      <w:r>
        <w:rPr>
          <w:rFonts w:hint="eastAsia" w:ascii="宋体" w:hAnsi="宋体"/>
          <w:sz w:val="24"/>
          <w:szCs w:val="24"/>
        </w:rPr>
        <w:t>原则</w:t>
      </w:r>
    </w:p>
    <w:p w14:paraId="6393D462">
      <w:pPr>
        <w:spacing w:line="360" w:lineRule="auto"/>
        <w:ind w:firstLine="480" w:firstLineChars="200"/>
        <w:jc w:val="left"/>
        <w:rPr>
          <w:rFonts w:hint="eastAsia" w:ascii="宋体" w:hAnsi="宋体"/>
          <w:sz w:val="24"/>
          <w:szCs w:val="24"/>
        </w:rPr>
      </w:pPr>
      <w:r>
        <w:rPr>
          <w:rFonts w:hint="eastAsia" w:ascii="宋体" w:hAnsi="宋体"/>
          <w:sz w:val="24"/>
          <w:szCs w:val="24"/>
        </w:rPr>
        <w:t>个性化</w:t>
      </w:r>
      <w:r>
        <w:rPr>
          <w:rFonts w:hint="eastAsia" w:ascii="宋体" w:hAnsi="宋体"/>
          <w:sz w:val="24"/>
          <w:szCs w:val="24"/>
          <w:lang w:eastAsia="zh-CN"/>
        </w:rPr>
        <w:t>、</w:t>
      </w:r>
      <w:r>
        <w:rPr>
          <w:rFonts w:hint="eastAsia" w:ascii="宋体" w:hAnsi="宋体"/>
          <w:sz w:val="24"/>
          <w:szCs w:val="24"/>
        </w:rPr>
        <w:t>综合性</w:t>
      </w:r>
      <w:r>
        <w:rPr>
          <w:rFonts w:hint="eastAsia" w:ascii="宋体" w:hAnsi="宋体"/>
          <w:sz w:val="24"/>
          <w:szCs w:val="24"/>
          <w:lang w:eastAsia="zh-CN"/>
        </w:rPr>
        <w:t>、</w:t>
      </w:r>
      <w:r>
        <w:rPr>
          <w:rFonts w:hint="eastAsia" w:ascii="宋体" w:hAnsi="宋体"/>
          <w:sz w:val="24"/>
          <w:szCs w:val="24"/>
        </w:rPr>
        <w:t>循序渐进</w:t>
      </w:r>
      <w:r>
        <w:rPr>
          <w:rFonts w:hint="eastAsia" w:ascii="宋体" w:hAnsi="宋体"/>
          <w:sz w:val="24"/>
          <w:szCs w:val="24"/>
          <w:lang w:eastAsia="zh-CN"/>
        </w:rPr>
        <w:t>、</w:t>
      </w:r>
      <w:r>
        <w:rPr>
          <w:rFonts w:hint="eastAsia" w:ascii="宋体" w:hAnsi="宋体"/>
          <w:sz w:val="24"/>
          <w:szCs w:val="24"/>
        </w:rPr>
        <w:t>持续性</w:t>
      </w:r>
      <w:r>
        <w:rPr>
          <w:rFonts w:hint="eastAsia" w:ascii="宋体" w:hAnsi="宋体"/>
          <w:sz w:val="24"/>
          <w:szCs w:val="24"/>
          <w:lang w:eastAsia="zh-CN"/>
        </w:rPr>
        <w:t>、</w:t>
      </w:r>
      <w:r>
        <w:rPr>
          <w:rFonts w:hint="eastAsia" w:ascii="宋体" w:hAnsi="宋体"/>
          <w:sz w:val="24"/>
          <w:szCs w:val="24"/>
        </w:rPr>
        <w:t>安全性五项原则，并给出可操作解释。</w:t>
      </w:r>
    </w:p>
    <w:p w14:paraId="433A0920">
      <w:pPr>
        <w:spacing w:line="360" w:lineRule="auto"/>
        <w:ind w:firstLine="480" w:firstLineChars="200"/>
        <w:jc w:val="left"/>
        <w:rPr>
          <w:rFonts w:hint="eastAsia" w:ascii="宋体" w:hAnsi="宋体"/>
          <w:sz w:val="24"/>
          <w:szCs w:val="24"/>
        </w:rPr>
      </w:pPr>
      <w:r>
        <w:rPr>
          <w:rFonts w:hint="eastAsia" w:ascii="宋体" w:hAnsi="宋体"/>
          <w:sz w:val="24"/>
          <w:szCs w:val="24"/>
          <w:lang w:val="en-US" w:eastAsia="zh-CN"/>
        </w:rPr>
        <w:t>5.</w:t>
      </w:r>
      <w:r>
        <w:rPr>
          <w:rFonts w:hint="eastAsia" w:ascii="宋体" w:hAnsi="宋体"/>
          <w:sz w:val="24"/>
          <w:szCs w:val="24"/>
        </w:rPr>
        <w:t>干预措施</w:t>
      </w:r>
    </w:p>
    <w:p w14:paraId="6D3200AB">
      <w:pPr>
        <w:spacing w:line="360" w:lineRule="auto"/>
        <w:ind w:firstLine="480" w:firstLineChars="200"/>
        <w:jc w:val="left"/>
        <w:rPr>
          <w:rFonts w:hint="eastAsia" w:ascii="宋体" w:hAnsi="宋体"/>
          <w:sz w:val="24"/>
          <w:szCs w:val="24"/>
        </w:rPr>
      </w:pPr>
      <w:r>
        <w:rPr>
          <w:rFonts w:hint="eastAsia" w:ascii="宋体" w:hAnsi="宋体"/>
          <w:sz w:val="24"/>
          <w:szCs w:val="24"/>
        </w:rPr>
        <w:t>1）生活方式调整</w:t>
      </w:r>
    </w:p>
    <w:p w14:paraId="6056B870">
      <w:pPr>
        <w:spacing w:line="360" w:lineRule="auto"/>
        <w:ind w:firstLine="480" w:firstLineChars="200"/>
        <w:jc w:val="left"/>
        <w:rPr>
          <w:rFonts w:hint="eastAsia" w:ascii="宋体" w:hAnsi="宋体"/>
          <w:sz w:val="24"/>
          <w:szCs w:val="24"/>
        </w:rPr>
      </w:pPr>
      <w:r>
        <w:rPr>
          <w:rFonts w:hint="eastAsia" w:ascii="宋体" w:hAnsi="宋体"/>
          <w:sz w:val="24"/>
          <w:szCs w:val="24"/>
        </w:rPr>
        <w:t>饮食结构：根据个体情况计算每日所需热量，一般碳水化合物占 50%～65%，蛋白质占 15%～20%，脂肪占 20%～30%；肥胖或超重患者减少热量摄入，消瘦或营养不良人员增加热量摄入；增加蔬菜、水果、全谷物、豆类等富含膳食纤维食物及优质蛋白质摄入；控制饱和脂肪和反式脂肪摄入，增加不饱和脂肪摄入；限制添加糖和盐摄入，每日添加糖不超过 50g，盐不超过 6g；定时定量进餐，少食多餐，进餐顺序为先吃蔬菜，再吃蛋白质食物，最后吃主食。</w:t>
      </w:r>
    </w:p>
    <w:p w14:paraId="6FFA80B9">
      <w:pPr>
        <w:spacing w:line="360" w:lineRule="auto"/>
        <w:ind w:firstLine="480" w:firstLineChars="200"/>
        <w:jc w:val="left"/>
        <w:rPr>
          <w:rFonts w:hint="eastAsia" w:ascii="宋体" w:hAnsi="宋体"/>
          <w:sz w:val="24"/>
          <w:szCs w:val="24"/>
        </w:rPr>
      </w:pPr>
      <w:r>
        <w:rPr>
          <w:rFonts w:hint="eastAsia" w:ascii="宋体" w:hAnsi="宋体"/>
          <w:sz w:val="24"/>
          <w:szCs w:val="24"/>
        </w:rPr>
        <w:t>运动方式：选择有氧运动、力量训练、柔韧性训练或抗阻训练，每周不少于 2 次。有氧运动每周至少 150min，如快走（每分钟 100-120 步）、慢跑（每分钟 120-150 步）等；力量训练每周 2-3 次，每个动作 2-3 组，每组 8-12 次；柔韧性训练可在运动前后进行，每次每个动作保持 15-30s。</w:t>
      </w:r>
    </w:p>
    <w:p w14:paraId="28AD9B60">
      <w:pPr>
        <w:spacing w:line="360" w:lineRule="auto"/>
        <w:ind w:firstLine="480" w:firstLineChars="200"/>
        <w:jc w:val="left"/>
        <w:rPr>
          <w:rFonts w:hint="eastAsia" w:ascii="宋体" w:hAnsi="宋体"/>
          <w:sz w:val="24"/>
          <w:szCs w:val="24"/>
        </w:rPr>
      </w:pPr>
      <w:r>
        <w:rPr>
          <w:rFonts w:hint="eastAsia" w:ascii="宋体" w:hAnsi="宋体"/>
          <w:sz w:val="24"/>
          <w:szCs w:val="24"/>
        </w:rPr>
        <w:t>作息时间：保持规律作息，每天 7-8h 睡眠，23:00 前入睡，睡前避免使用电子设备、剧烈运动及饮用刺激性饮品，保持卧室安静舒适。</w:t>
      </w:r>
    </w:p>
    <w:p w14:paraId="11263CE3">
      <w:pPr>
        <w:spacing w:line="360" w:lineRule="auto"/>
        <w:ind w:firstLine="480" w:firstLineChars="200"/>
        <w:jc w:val="left"/>
        <w:rPr>
          <w:rFonts w:hint="eastAsia" w:ascii="宋体" w:hAnsi="宋体"/>
          <w:sz w:val="24"/>
          <w:szCs w:val="24"/>
        </w:rPr>
      </w:pPr>
      <w:r>
        <w:rPr>
          <w:rFonts w:hint="eastAsia" w:ascii="宋体" w:hAnsi="宋体"/>
          <w:sz w:val="24"/>
          <w:szCs w:val="24"/>
        </w:rPr>
        <w:t>戒烟限酒：戒烟或减少吸烟次数，可采用综合方法帮助戒烟；限制酒精摄入，男性每日不超过 25g 纯酒精，女性不超过 15g 纯酒精。</w:t>
      </w:r>
    </w:p>
    <w:p w14:paraId="7A99F08C">
      <w:pPr>
        <w:spacing w:line="360" w:lineRule="auto"/>
        <w:ind w:firstLine="480" w:firstLineChars="200"/>
        <w:jc w:val="left"/>
        <w:rPr>
          <w:rFonts w:hint="eastAsia" w:ascii="宋体" w:hAnsi="宋体"/>
          <w:sz w:val="24"/>
          <w:szCs w:val="24"/>
        </w:rPr>
      </w:pPr>
      <w:r>
        <w:rPr>
          <w:rFonts w:hint="eastAsia" w:ascii="宋体" w:hAnsi="宋体"/>
          <w:sz w:val="24"/>
          <w:szCs w:val="24"/>
        </w:rPr>
        <w:t>活动增加：减少久坐时间，每 30-60min 起身活动。</w:t>
      </w:r>
    </w:p>
    <w:p w14:paraId="6BB5BCDB">
      <w:pPr>
        <w:spacing w:line="360" w:lineRule="auto"/>
        <w:ind w:firstLine="480" w:firstLineChars="200"/>
        <w:jc w:val="left"/>
        <w:rPr>
          <w:rFonts w:hint="eastAsia" w:ascii="宋体" w:hAnsi="宋体"/>
          <w:sz w:val="24"/>
          <w:szCs w:val="24"/>
        </w:rPr>
      </w:pPr>
      <w:r>
        <w:rPr>
          <w:rFonts w:hint="eastAsia" w:ascii="宋体" w:hAnsi="宋体"/>
          <w:sz w:val="24"/>
          <w:szCs w:val="24"/>
        </w:rPr>
        <w:t>2）营养干预</w:t>
      </w:r>
    </w:p>
    <w:p w14:paraId="2EB715E7">
      <w:pPr>
        <w:spacing w:line="360" w:lineRule="auto"/>
        <w:ind w:firstLine="480" w:firstLineChars="200"/>
        <w:jc w:val="left"/>
        <w:rPr>
          <w:rFonts w:hint="eastAsia" w:ascii="宋体" w:hAnsi="宋体"/>
          <w:sz w:val="24"/>
          <w:szCs w:val="24"/>
        </w:rPr>
      </w:pPr>
      <w:r>
        <w:rPr>
          <w:rFonts w:hint="eastAsia" w:ascii="宋体" w:hAnsi="宋体"/>
          <w:sz w:val="24"/>
          <w:szCs w:val="24"/>
        </w:rPr>
        <w:t>个性化营养评估：由专业营养师通过询问病史、饮食调查、人体测量、生化指标检测等全面评估营养状况，了解饮食习惯等，测量身高、体重等，检测血糖等指标。</w:t>
      </w:r>
    </w:p>
    <w:p w14:paraId="41DAA3D0">
      <w:pPr>
        <w:spacing w:line="360" w:lineRule="auto"/>
        <w:ind w:firstLine="480" w:firstLineChars="200"/>
        <w:jc w:val="left"/>
        <w:rPr>
          <w:rFonts w:hint="eastAsia" w:ascii="宋体" w:hAnsi="宋体"/>
          <w:sz w:val="24"/>
          <w:szCs w:val="24"/>
        </w:rPr>
      </w:pPr>
      <w:r>
        <w:rPr>
          <w:rFonts w:hint="eastAsia" w:ascii="宋体" w:hAnsi="宋体"/>
          <w:sz w:val="24"/>
          <w:szCs w:val="24"/>
        </w:rPr>
        <w:t>营养方案制定：根据评估结果及个体病情和需求制定方案，包括每日总热量、营养素供能比例、食物种类和摄入量（如糖尿病人员控制碳水化合物摄入总量和升糖指数等）。</w:t>
      </w:r>
    </w:p>
    <w:p w14:paraId="2E78A9BC">
      <w:pPr>
        <w:spacing w:line="360" w:lineRule="auto"/>
        <w:ind w:firstLine="480" w:firstLineChars="200"/>
        <w:jc w:val="left"/>
        <w:rPr>
          <w:rFonts w:hint="eastAsia" w:ascii="宋体" w:hAnsi="宋体"/>
          <w:sz w:val="24"/>
          <w:szCs w:val="24"/>
        </w:rPr>
      </w:pPr>
      <w:r>
        <w:rPr>
          <w:rFonts w:hint="eastAsia" w:ascii="宋体" w:hAnsi="宋体"/>
          <w:sz w:val="24"/>
          <w:szCs w:val="24"/>
        </w:rPr>
        <w:t>营养补充：部分人员因饮食限制等可能存在营养素缺乏，需在专业指导下适当补充，避免过量。</w:t>
      </w:r>
    </w:p>
    <w:p w14:paraId="713DFE4C">
      <w:pPr>
        <w:spacing w:line="360" w:lineRule="auto"/>
        <w:ind w:firstLine="480" w:firstLineChars="200"/>
        <w:jc w:val="left"/>
        <w:rPr>
          <w:rFonts w:hint="eastAsia" w:ascii="宋体" w:hAnsi="宋体"/>
          <w:sz w:val="24"/>
          <w:szCs w:val="24"/>
        </w:rPr>
      </w:pPr>
      <w:r>
        <w:rPr>
          <w:rFonts w:hint="eastAsia" w:ascii="宋体" w:hAnsi="宋体"/>
          <w:sz w:val="24"/>
          <w:szCs w:val="24"/>
        </w:rPr>
        <w:t>3）心理行为干预</w:t>
      </w:r>
    </w:p>
    <w:p w14:paraId="456E3E3A">
      <w:pPr>
        <w:spacing w:line="360" w:lineRule="auto"/>
        <w:ind w:firstLine="480" w:firstLineChars="200"/>
        <w:jc w:val="left"/>
        <w:rPr>
          <w:rFonts w:hint="eastAsia" w:ascii="宋体" w:hAnsi="宋体"/>
          <w:sz w:val="24"/>
          <w:szCs w:val="24"/>
        </w:rPr>
      </w:pPr>
      <w:r>
        <w:rPr>
          <w:rFonts w:hint="eastAsia" w:ascii="宋体" w:hAnsi="宋体"/>
          <w:sz w:val="24"/>
          <w:szCs w:val="24"/>
        </w:rPr>
        <w:t>心理评估：由专业人员通过问卷调查、面谈等方式评估心理状态，了解是否存在焦虑等问题及严重程度，常用工具如医院焦虑抑郁量表（HADS）、症状自评量表（SCL-90）等。</w:t>
      </w:r>
    </w:p>
    <w:p w14:paraId="289C4AC3">
      <w:pPr>
        <w:spacing w:line="360" w:lineRule="auto"/>
        <w:ind w:firstLine="480" w:firstLineChars="200"/>
        <w:jc w:val="left"/>
        <w:rPr>
          <w:rFonts w:hint="eastAsia" w:ascii="宋体" w:hAnsi="宋体"/>
          <w:sz w:val="24"/>
          <w:szCs w:val="24"/>
        </w:rPr>
      </w:pPr>
      <w:r>
        <w:rPr>
          <w:rFonts w:hint="eastAsia" w:ascii="宋体" w:hAnsi="宋体"/>
          <w:sz w:val="24"/>
          <w:szCs w:val="24"/>
        </w:rPr>
        <w:t>心理干预措施：对有心理问题人员采用认知行为疗法、放松训练（如深呼吸等）、支持性心理治疗等方法。</w:t>
      </w:r>
    </w:p>
    <w:p w14:paraId="286D563C">
      <w:pPr>
        <w:spacing w:line="360" w:lineRule="auto"/>
        <w:ind w:firstLine="480" w:firstLineChars="200"/>
        <w:jc w:val="left"/>
        <w:rPr>
          <w:rFonts w:hint="eastAsia" w:ascii="宋体" w:hAnsi="宋体"/>
          <w:sz w:val="24"/>
          <w:szCs w:val="24"/>
        </w:rPr>
      </w:pPr>
      <w:r>
        <w:rPr>
          <w:rFonts w:hint="eastAsia" w:ascii="宋体" w:hAnsi="宋体"/>
          <w:sz w:val="24"/>
          <w:szCs w:val="24"/>
        </w:rPr>
        <w:t>行为干预：通过行为契约、自我监测、组织健康行为小组活动等方法提高患者自我管理能力。</w:t>
      </w:r>
    </w:p>
    <w:p w14:paraId="59460196">
      <w:pPr>
        <w:spacing w:line="360" w:lineRule="auto"/>
        <w:ind w:firstLine="480" w:firstLineChars="200"/>
        <w:jc w:val="left"/>
        <w:rPr>
          <w:rFonts w:hint="eastAsia" w:ascii="宋体" w:hAnsi="宋体"/>
          <w:sz w:val="24"/>
          <w:szCs w:val="24"/>
        </w:rPr>
      </w:pPr>
      <w:r>
        <w:rPr>
          <w:rFonts w:hint="eastAsia" w:ascii="宋体" w:hAnsi="宋体"/>
          <w:sz w:val="24"/>
          <w:szCs w:val="24"/>
        </w:rPr>
        <w:t>4）传统医学疗法</w:t>
      </w:r>
    </w:p>
    <w:p w14:paraId="056E5A51">
      <w:pPr>
        <w:spacing w:line="360" w:lineRule="auto"/>
        <w:ind w:firstLine="480" w:firstLineChars="200"/>
        <w:jc w:val="left"/>
        <w:rPr>
          <w:rFonts w:hint="eastAsia" w:ascii="宋体" w:hAnsi="宋体"/>
          <w:sz w:val="24"/>
          <w:szCs w:val="24"/>
        </w:rPr>
      </w:pPr>
      <w:r>
        <w:rPr>
          <w:rFonts w:hint="eastAsia" w:ascii="宋体" w:hAnsi="宋体"/>
          <w:sz w:val="24"/>
          <w:szCs w:val="24"/>
        </w:rPr>
        <w:t>中医食疗：结合患者体质和病情制定方案，如阴虚体质糖尿病患者可食用苦瓜等滋阴清热食物，痰湿体质肥胖患者可食用薏米等健脾利湿食物。</w:t>
      </w:r>
    </w:p>
    <w:p w14:paraId="32157C23">
      <w:pPr>
        <w:spacing w:line="360" w:lineRule="auto"/>
        <w:ind w:firstLine="480" w:firstLineChars="200"/>
        <w:jc w:val="left"/>
        <w:rPr>
          <w:rFonts w:hint="eastAsia" w:ascii="宋体" w:hAnsi="宋体"/>
          <w:sz w:val="24"/>
          <w:szCs w:val="24"/>
        </w:rPr>
      </w:pPr>
      <w:r>
        <w:rPr>
          <w:rFonts w:hint="eastAsia" w:ascii="宋体" w:hAnsi="宋体"/>
          <w:sz w:val="24"/>
          <w:szCs w:val="24"/>
        </w:rPr>
        <w:t>针灸推拿：由专业中医师操作，针灸通过刺激特定穴位调节经络气血，推拿通过手法作用于体表部位，如针刺足三里等穴位辅助治疗相关疾病。</w:t>
      </w:r>
    </w:p>
    <w:p w14:paraId="55AC266B">
      <w:pPr>
        <w:spacing w:line="360" w:lineRule="auto"/>
        <w:ind w:firstLine="480" w:firstLineChars="200"/>
        <w:jc w:val="left"/>
        <w:rPr>
          <w:rFonts w:hint="eastAsia" w:ascii="宋体" w:hAnsi="宋体"/>
          <w:sz w:val="24"/>
          <w:szCs w:val="24"/>
        </w:rPr>
      </w:pPr>
      <w:r>
        <w:rPr>
          <w:rFonts w:hint="eastAsia" w:ascii="宋体" w:hAnsi="宋体"/>
          <w:sz w:val="24"/>
          <w:szCs w:val="24"/>
        </w:rPr>
        <w:t>中药调理：在中医辨证论治基础上使用中药辅助治疗，需在专业中医师指导下进行，根据病情调整方剂和剂量。</w:t>
      </w:r>
    </w:p>
    <w:p w14:paraId="3273B56A">
      <w:pPr>
        <w:spacing w:line="360" w:lineRule="auto"/>
        <w:ind w:firstLine="480" w:firstLineChars="200"/>
        <w:jc w:val="left"/>
        <w:rPr>
          <w:rFonts w:hint="eastAsia" w:ascii="宋体" w:hAnsi="宋体"/>
          <w:sz w:val="24"/>
          <w:szCs w:val="24"/>
        </w:rPr>
      </w:pPr>
      <w:r>
        <w:rPr>
          <w:rFonts w:hint="eastAsia" w:ascii="宋体" w:hAnsi="宋体"/>
          <w:sz w:val="24"/>
          <w:szCs w:val="24"/>
          <w:lang w:val="en-US" w:eastAsia="zh-CN"/>
        </w:rPr>
        <w:t>6.</w:t>
      </w:r>
      <w:r>
        <w:rPr>
          <w:rFonts w:hint="eastAsia" w:ascii="宋体" w:hAnsi="宋体"/>
          <w:sz w:val="24"/>
          <w:szCs w:val="24"/>
        </w:rPr>
        <w:t>实施流程</w:t>
      </w:r>
    </w:p>
    <w:p w14:paraId="21C916CE">
      <w:pPr>
        <w:spacing w:line="360" w:lineRule="auto"/>
        <w:ind w:firstLine="480" w:firstLineChars="200"/>
        <w:jc w:val="left"/>
        <w:rPr>
          <w:rFonts w:hint="eastAsia" w:ascii="宋体" w:hAnsi="宋体"/>
          <w:sz w:val="24"/>
          <w:szCs w:val="24"/>
        </w:rPr>
      </w:pPr>
      <w:r>
        <w:rPr>
          <w:rFonts w:hint="eastAsia" w:ascii="宋体" w:hAnsi="宋体"/>
          <w:sz w:val="24"/>
          <w:szCs w:val="24"/>
        </w:rPr>
        <w:t>患者筛查与评估：医疗机构等通过问卷调查、健康体检等筛查人群，对高危人群和确诊患者进行全面身体评估和代谢指标检测。</w:t>
      </w:r>
    </w:p>
    <w:p w14:paraId="016E554F">
      <w:pPr>
        <w:spacing w:line="360" w:lineRule="auto"/>
        <w:ind w:firstLine="480" w:firstLineChars="200"/>
        <w:jc w:val="left"/>
        <w:rPr>
          <w:rFonts w:hint="eastAsia" w:ascii="宋体" w:hAnsi="宋体"/>
          <w:sz w:val="24"/>
          <w:szCs w:val="24"/>
        </w:rPr>
      </w:pPr>
      <w:r>
        <w:rPr>
          <w:rFonts w:hint="eastAsia" w:ascii="宋体" w:hAnsi="宋体"/>
          <w:sz w:val="24"/>
          <w:szCs w:val="24"/>
        </w:rPr>
        <w:t>制定干预方案：由多学科团队根据评估结果共同制定个性化方案，明确具体措施、目标、实施计划和时间表。</w:t>
      </w:r>
    </w:p>
    <w:p w14:paraId="42E3F58F">
      <w:pPr>
        <w:spacing w:line="360" w:lineRule="auto"/>
        <w:ind w:firstLine="480" w:firstLineChars="200"/>
        <w:jc w:val="left"/>
        <w:rPr>
          <w:rFonts w:hint="eastAsia" w:ascii="宋体" w:hAnsi="宋体"/>
          <w:sz w:val="24"/>
          <w:szCs w:val="24"/>
        </w:rPr>
      </w:pPr>
      <w:r>
        <w:rPr>
          <w:rFonts w:hint="eastAsia" w:ascii="宋体" w:hAnsi="宋体"/>
          <w:sz w:val="24"/>
          <w:szCs w:val="24"/>
        </w:rPr>
        <w:t>方案实施：患者在专业人员指导监督下实施，机构定期了解执行情况，解答疑问，必要时调整方案。</w:t>
      </w:r>
    </w:p>
    <w:p w14:paraId="6C38FD44">
      <w:pPr>
        <w:spacing w:line="360" w:lineRule="auto"/>
        <w:ind w:firstLine="480" w:firstLineChars="200"/>
        <w:jc w:val="left"/>
        <w:rPr>
          <w:rFonts w:hint="eastAsia" w:ascii="宋体" w:hAnsi="宋体"/>
          <w:sz w:val="24"/>
          <w:szCs w:val="24"/>
        </w:rPr>
      </w:pPr>
      <w:r>
        <w:rPr>
          <w:rFonts w:hint="eastAsia" w:ascii="宋体" w:hAnsi="宋体"/>
          <w:sz w:val="24"/>
          <w:szCs w:val="24"/>
        </w:rPr>
        <w:t>效果评估：定期评估，指标包括代谢指标、身体指标、生活质量、心理状态等；一般每3个月阶段性评估，每 6-12 个月全面评估，根据结果优化方案。</w:t>
      </w:r>
    </w:p>
    <w:p w14:paraId="5F4A00EB">
      <w:pPr>
        <w:spacing w:line="360" w:lineRule="auto"/>
        <w:ind w:firstLine="480" w:firstLineChars="200"/>
        <w:jc w:val="left"/>
        <w:rPr>
          <w:rFonts w:hint="eastAsia" w:ascii="宋体" w:hAnsi="宋体"/>
          <w:sz w:val="24"/>
          <w:szCs w:val="24"/>
        </w:rPr>
      </w:pPr>
      <w:r>
        <w:rPr>
          <w:rFonts w:hint="eastAsia" w:ascii="宋体" w:hAnsi="宋体"/>
          <w:sz w:val="24"/>
          <w:szCs w:val="24"/>
          <w:lang w:val="en-US" w:eastAsia="zh-CN"/>
        </w:rPr>
        <w:t>7.</w:t>
      </w:r>
      <w:r>
        <w:rPr>
          <w:rFonts w:hint="eastAsia" w:ascii="宋体" w:hAnsi="宋体"/>
          <w:sz w:val="24"/>
          <w:szCs w:val="24"/>
        </w:rPr>
        <w:t>质量控制</w:t>
      </w:r>
    </w:p>
    <w:p w14:paraId="50B29CFD">
      <w:pPr>
        <w:spacing w:line="360" w:lineRule="auto"/>
        <w:ind w:firstLine="480" w:firstLineChars="200"/>
        <w:jc w:val="left"/>
        <w:rPr>
          <w:rFonts w:hint="eastAsia" w:ascii="宋体" w:hAnsi="宋体"/>
          <w:sz w:val="24"/>
          <w:szCs w:val="24"/>
        </w:rPr>
      </w:pPr>
      <w:r>
        <w:rPr>
          <w:rFonts w:hint="eastAsia" w:ascii="宋体" w:hAnsi="宋体"/>
          <w:sz w:val="24"/>
          <w:szCs w:val="24"/>
        </w:rPr>
        <w:t>人员培训与资质管理：对专业人员定期培训，内容涵盖诊疗进展等；加强资质管理，确保具备相应执业资格和认证。</w:t>
      </w:r>
    </w:p>
    <w:p w14:paraId="1145AE26">
      <w:pPr>
        <w:spacing w:line="360" w:lineRule="auto"/>
        <w:ind w:firstLine="480" w:firstLineChars="200"/>
        <w:jc w:val="left"/>
        <w:rPr>
          <w:rFonts w:hint="eastAsia" w:ascii="宋体" w:hAnsi="宋体"/>
          <w:sz w:val="24"/>
          <w:szCs w:val="24"/>
        </w:rPr>
      </w:pPr>
      <w:r>
        <w:rPr>
          <w:rFonts w:hint="eastAsia" w:ascii="宋体" w:hAnsi="宋体"/>
          <w:sz w:val="24"/>
          <w:szCs w:val="24"/>
        </w:rPr>
        <w:t>干预方案审核：建立审核制度，由多学科专家组成的审核小组评估方案是否符合患者实际情况并提出修改意见。</w:t>
      </w:r>
    </w:p>
    <w:p w14:paraId="5184164A">
      <w:pPr>
        <w:spacing w:line="360" w:lineRule="auto"/>
        <w:ind w:firstLine="480" w:firstLineChars="200"/>
        <w:jc w:val="left"/>
        <w:rPr>
          <w:rFonts w:hint="eastAsia" w:ascii="宋体" w:hAnsi="宋体"/>
          <w:sz w:val="24"/>
          <w:szCs w:val="24"/>
        </w:rPr>
      </w:pPr>
      <w:r>
        <w:rPr>
          <w:rFonts w:hint="eastAsia" w:ascii="宋体" w:hAnsi="宋体"/>
          <w:sz w:val="24"/>
          <w:szCs w:val="24"/>
        </w:rPr>
        <w:t>数据监测与分析：建立完善数据监测体系，收集各项数据，运用信息化技术整理分析，评估干预效果。</w:t>
      </w:r>
    </w:p>
    <w:p w14:paraId="0E4F2A58">
      <w:pPr>
        <w:spacing w:line="360" w:lineRule="auto"/>
        <w:ind w:firstLine="480" w:firstLineChars="200"/>
        <w:jc w:val="left"/>
        <w:rPr>
          <w:rFonts w:hint="eastAsia" w:ascii="宋体" w:hAnsi="宋体"/>
          <w:sz w:val="24"/>
          <w:szCs w:val="24"/>
        </w:rPr>
      </w:pPr>
      <w:r>
        <w:rPr>
          <w:rFonts w:hint="eastAsia" w:ascii="宋体" w:hAnsi="宋体"/>
          <w:sz w:val="24"/>
          <w:szCs w:val="24"/>
        </w:rPr>
        <w:t>投诉处理与持续改进：建立投诉处理机制，调查分析并改进；定期总结反思服务质量，制定持续改进计划。</w:t>
      </w:r>
    </w:p>
    <w:p w14:paraId="7F16A60B">
      <w:pPr>
        <w:spacing w:line="360" w:lineRule="auto"/>
        <w:jc w:val="left"/>
        <w:rPr>
          <w:rFonts w:ascii="宋体" w:hAnsi="宋体"/>
          <w:b/>
          <w:bCs/>
          <w:sz w:val="28"/>
          <w:szCs w:val="28"/>
        </w:rPr>
      </w:pPr>
      <w:r>
        <w:rPr>
          <w:rFonts w:hint="eastAsia" w:ascii="宋体" w:hAnsi="宋体"/>
          <w:b/>
          <w:bCs/>
          <w:sz w:val="28"/>
          <w:szCs w:val="28"/>
        </w:rPr>
        <w:t>三、与现行法律法规及标准的符合性说明</w:t>
      </w:r>
    </w:p>
    <w:p w14:paraId="4ACB9407">
      <w:pPr>
        <w:spacing w:line="360" w:lineRule="auto"/>
        <w:ind w:firstLine="480" w:firstLineChars="200"/>
        <w:jc w:val="left"/>
        <w:rPr>
          <w:rFonts w:hint="eastAsia" w:ascii="宋体" w:hAnsi="宋体"/>
          <w:sz w:val="24"/>
          <w:szCs w:val="24"/>
        </w:rPr>
      </w:pPr>
      <w:r>
        <w:rPr>
          <w:rFonts w:hint="eastAsia" w:ascii="宋体" w:hAnsi="宋体"/>
          <w:sz w:val="24"/>
          <w:szCs w:val="24"/>
          <w:lang w:val="en-US" w:eastAsia="zh-CN"/>
        </w:rPr>
        <w:t>标准</w:t>
      </w:r>
      <w:r>
        <w:rPr>
          <w:rFonts w:hint="eastAsia" w:ascii="宋体" w:hAnsi="宋体"/>
          <w:sz w:val="24"/>
          <w:szCs w:val="24"/>
        </w:rPr>
        <w:t>严格遵循GB/T 1.1—2020《标准化工作导则》起草，其内容在饮食、运动、心理健康及中医药干预等方面均符合《中华人民共和国基本医疗卫生与健康促进法》《中医药法》《精神卫生法》等现行法律法规要求，并与《中国慢性病防治工作规范》《中国居民膳食指南》等标准紧密衔接，确保了科学性、合规性与实用性。</w:t>
      </w:r>
    </w:p>
    <w:p w14:paraId="22ECE331">
      <w:pPr>
        <w:spacing w:line="360" w:lineRule="auto"/>
        <w:jc w:val="left"/>
        <w:rPr>
          <w:rFonts w:ascii="宋体" w:hAnsi="宋体"/>
          <w:b/>
          <w:bCs/>
          <w:sz w:val="28"/>
          <w:szCs w:val="28"/>
        </w:rPr>
      </w:pPr>
      <w:r>
        <w:rPr>
          <w:rFonts w:hint="eastAsia" w:ascii="宋体" w:hAnsi="宋体"/>
          <w:b/>
          <w:bCs/>
          <w:sz w:val="28"/>
          <w:szCs w:val="28"/>
        </w:rPr>
        <w:t>四、重大分歧意见的处理经过和依据</w:t>
      </w:r>
    </w:p>
    <w:p w14:paraId="70F7521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标准编制过程中，起草组内部未出现重大分歧意见。起草组成员均来自相关领域的权威机构和企业，具有丰富的专业知识和实践经验。在标准起草过程中，起草组多次组织内部讨论和专家咨询，充分听取各方意见，确保标准内容的科学性、合理性和可操作性。对于一些具体条款的制定，起草组在充分调研和论证的基础上，结合国内外相关研究进展和行业实际情况，达成了共识。</w:t>
      </w:r>
    </w:p>
    <w:p w14:paraId="74D4978E">
      <w:pPr>
        <w:spacing w:line="360" w:lineRule="auto"/>
        <w:jc w:val="left"/>
        <w:rPr>
          <w:rFonts w:ascii="宋体" w:hAnsi="宋体"/>
          <w:b/>
          <w:bCs/>
          <w:sz w:val="28"/>
          <w:szCs w:val="28"/>
        </w:rPr>
      </w:pPr>
      <w:r>
        <w:rPr>
          <w:rFonts w:hint="eastAsia" w:ascii="宋体" w:hAnsi="宋体"/>
          <w:b/>
          <w:bCs/>
          <w:sz w:val="28"/>
          <w:szCs w:val="28"/>
        </w:rPr>
        <w:t>五、贯彻促进会标准的要求和措施建议</w:t>
      </w:r>
    </w:p>
    <w:p w14:paraId="7061F85F">
      <w:pPr>
        <w:spacing w:line="360" w:lineRule="auto"/>
        <w:jc w:val="left"/>
        <w:rPr>
          <w:rFonts w:hint="eastAsia" w:ascii="宋体" w:hAnsi="宋体" w:eastAsia="宋体" w:cs="宋体"/>
          <w:sz w:val="24"/>
          <w:szCs w:val="24"/>
        </w:rPr>
      </w:pPr>
      <w:r>
        <w:rPr>
          <w:rFonts w:hint="eastAsia" w:ascii="宋体" w:hAnsi="宋体" w:eastAsia="宋体" w:cs="宋体"/>
          <w:sz w:val="24"/>
          <w:szCs w:val="24"/>
        </w:rPr>
        <w:t>（一）贯彻促进会标准的要求</w:t>
      </w:r>
    </w:p>
    <w:p w14:paraId="798257D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1.加强宣传推广</w:t>
      </w:r>
    </w:p>
    <w:p w14:paraId="18717CC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通过多种渠道，如行业会议、学术研讨会、网络平台等，广泛宣传本标准的重要性和具体内容，提高全民对标准的认知度和重视程度。</w:t>
      </w:r>
    </w:p>
    <w:p w14:paraId="54CD6AE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2.开展培训活动</w:t>
      </w:r>
    </w:p>
    <w:p w14:paraId="678B4D7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组织相关专家和技术人员，针对标准的主要内容、等开展培训活动，帮助单位和研究人员更好地理解和应用标准。</w:t>
      </w:r>
    </w:p>
    <w:p w14:paraId="662728B0">
      <w:pPr>
        <w:spacing w:line="360" w:lineRule="auto"/>
        <w:jc w:val="left"/>
        <w:rPr>
          <w:rFonts w:hint="eastAsia" w:ascii="宋体" w:hAnsi="宋体" w:eastAsia="宋体" w:cs="宋体"/>
          <w:sz w:val="24"/>
          <w:szCs w:val="24"/>
        </w:rPr>
      </w:pPr>
      <w:r>
        <w:rPr>
          <w:rFonts w:hint="eastAsia" w:ascii="宋体" w:hAnsi="宋体" w:eastAsia="宋体" w:cs="宋体"/>
          <w:sz w:val="24"/>
          <w:szCs w:val="24"/>
        </w:rPr>
        <w:t>（二）措施建议</w:t>
      </w:r>
    </w:p>
    <w:p w14:paraId="0750E81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1.组织措施</w:t>
      </w:r>
    </w:p>
    <w:p w14:paraId="45E39EE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成立专门的标准实施推进小组，负责标准的宣传、培训、监督等工作，确保各项工作有序推进。</w:t>
      </w:r>
    </w:p>
    <w:p w14:paraId="4852FB4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2.技术措施</w:t>
      </w:r>
    </w:p>
    <w:p w14:paraId="172895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建立标准实施的技术支持平台，为企业和研究人员提供技术咨询等服务，帮助解决标准实施过程中遇到的技术问题。</w:t>
      </w:r>
    </w:p>
    <w:p w14:paraId="60F3BAB7">
      <w:pPr>
        <w:spacing w:line="360" w:lineRule="auto"/>
        <w:jc w:val="left"/>
        <w:rPr>
          <w:rFonts w:hint="eastAsia" w:ascii="宋体" w:hAnsi="宋体"/>
          <w:b/>
          <w:bCs/>
          <w:sz w:val="28"/>
          <w:szCs w:val="28"/>
        </w:rPr>
      </w:pPr>
      <w:r>
        <w:rPr>
          <w:rFonts w:hint="eastAsia" w:ascii="宋体" w:hAnsi="宋体"/>
          <w:b/>
          <w:bCs/>
          <w:sz w:val="28"/>
          <w:szCs w:val="28"/>
        </w:rPr>
        <w:t>六、其他应予说明的事项</w:t>
      </w:r>
    </w:p>
    <w:p w14:paraId="6EED64DA">
      <w:pPr>
        <w:spacing w:line="360" w:lineRule="auto"/>
        <w:jc w:val="left"/>
        <w:rPr>
          <w:rFonts w:ascii="宋体" w:hAnsi="宋体"/>
          <w:sz w:val="24"/>
          <w:szCs w:val="24"/>
        </w:rPr>
      </w:pPr>
      <w:r>
        <w:rPr>
          <w:rFonts w:hint="eastAsia" w:ascii="宋体" w:hAnsi="宋体"/>
          <w:sz w:val="24"/>
          <w:szCs w:val="24"/>
        </w:rPr>
        <w:t>（一）专利</w:t>
      </w:r>
    </w:p>
    <w:p w14:paraId="7B6D01D9">
      <w:pPr>
        <w:spacing w:line="360" w:lineRule="auto"/>
        <w:ind w:firstLine="480" w:firstLineChars="200"/>
        <w:jc w:val="left"/>
        <w:rPr>
          <w:rFonts w:hint="eastAsia" w:ascii="宋体" w:hAnsi="宋体"/>
          <w:sz w:val="24"/>
          <w:szCs w:val="24"/>
        </w:rPr>
      </w:pPr>
      <w:r>
        <w:rPr>
          <w:rFonts w:hint="eastAsia" w:ascii="宋体" w:hAnsi="宋体"/>
          <w:sz w:val="24"/>
          <w:szCs w:val="24"/>
        </w:rPr>
        <w:t>经检索，标准文本及配套工具无专利冲突；后续发现将按促进会专利政策处理。</w:t>
      </w:r>
    </w:p>
    <w:p w14:paraId="5EF1BBD6">
      <w:pPr>
        <w:spacing w:line="360" w:lineRule="auto"/>
        <w:jc w:val="left"/>
        <w:rPr>
          <w:rFonts w:ascii="宋体" w:hAnsi="宋体"/>
          <w:sz w:val="24"/>
          <w:szCs w:val="24"/>
        </w:rPr>
      </w:pPr>
      <w:r>
        <w:rPr>
          <w:rFonts w:hint="eastAsia" w:ascii="宋体" w:hAnsi="宋体"/>
          <w:sz w:val="24"/>
          <w:szCs w:val="24"/>
        </w:rPr>
        <w:t>（二）经费</w:t>
      </w:r>
    </w:p>
    <w:p w14:paraId="12F3E9D5">
      <w:pPr>
        <w:spacing w:line="360" w:lineRule="auto"/>
        <w:ind w:firstLine="480" w:firstLineChars="200"/>
        <w:jc w:val="left"/>
        <w:rPr>
          <w:rFonts w:hint="eastAsia" w:ascii="宋体" w:hAnsi="宋体"/>
          <w:sz w:val="24"/>
          <w:szCs w:val="24"/>
        </w:rPr>
      </w:pPr>
      <w:r>
        <w:rPr>
          <w:rFonts w:hint="eastAsia" w:ascii="宋体" w:hAnsi="宋体"/>
          <w:sz w:val="24"/>
          <w:szCs w:val="24"/>
        </w:rPr>
        <w:t>由北京北清创新医学研究院有限公司自筹，并接受促进会全过程监督。</w:t>
      </w:r>
    </w:p>
    <w:sectPr>
      <w:pgSz w:w="11906" w:h="16838"/>
      <w:pgMar w:top="1440" w:right="1293" w:bottom="144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3DA97A"/>
    <w:multiLevelType w:val="singleLevel"/>
    <w:tmpl w:val="DC3DA97A"/>
    <w:lvl w:ilvl="0" w:tentative="0">
      <w:start w:val="2"/>
      <w:numFmt w:val="decimal"/>
      <w:suff w:val="space"/>
      <w:lvlText w:val="%1."/>
      <w:lvlJc w:val="left"/>
    </w:lvl>
  </w:abstractNum>
  <w:abstractNum w:abstractNumId="1">
    <w:nsid w:val="07673666"/>
    <w:multiLevelType w:val="singleLevel"/>
    <w:tmpl w:val="07673666"/>
    <w:lvl w:ilvl="0" w:tentative="0">
      <w:start w:val="5"/>
      <w:numFmt w:val="decimal"/>
      <w:lvlText w:val="%1."/>
      <w:lvlJc w:val="left"/>
      <w:pPr>
        <w:tabs>
          <w:tab w:val="left" w:pos="312"/>
        </w:tabs>
      </w:pPr>
      <w:rPr>
        <w:rFonts w:hint="default"/>
        <w:b w:val="0"/>
        <w:bCs w:val="0"/>
        <w:sz w:val="22"/>
        <w:szCs w:val="22"/>
      </w:rPr>
    </w:lvl>
  </w:abstractNum>
  <w:abstractNum w:abstractNumId="2">
    <w:nsid w:val="352F308C"/>
    <w:multiLevelType w:val="singleLevel"/>
    <w:tmpl w:val="352F308C"/>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94F"/>
    <w:rsid w:val="000158EC"/>
    <w:rsid w:val="001B77BA"/>
    <w:rsid w:val="001E07EB"/>
    <w:rsid w:val="00377EBA"/>
    <w:rsid w:val="003F6FA2"/>
    <w:rsid w:val="00523E37"/>
    <w:rsid w:val="005D0DA1"/>
    <w:rsid w:val="005E79EF"/>
    <w:rsid w:val="006046A5"/>
    <w:rsid w:val="00752B6E"/>
    <w:rsid w:val="007B159F"/>
    <w:rsid w:val="007D2234"/>
    <w:rsid w:val="00850635"/>
    <w:rsid w:val="00852D02"/>
    <w:rsid w:val="008758B9"/>
    <w:rsid w:val="008F6D53"/>
    <w:rsid w:val="009456E3"/>
    <w:rsid w:val="009E307E"/>
    <w:rsid w:val="00A4537F"/>
    <w:rsid w:val="00B1041D"/>
    <w:rsid w:val="00B44B51"/>
    <w:rsid w:val="00BE025F"/>
    <w:rsid w:val="00BF31A5"/>
    <w:rsid w:val="00C66ABF"/>
    <w:rsid w:val="00CA4DD6"/>
    <w:rsid w:val="00CF1186"/>
    <w:rsid w:val="00D3694F"/>
    <w:rsid w:val="00DC6CD2"/>
    <w:rsid w:val="00E7187B"/>
    <w:rsid w:val="00E72125"/>
    <w:rsid w:val="00EA62E3"/>
    <w:rsid w:val="00EE46CE"/>
    <w:rsid w:val="00F22AAA"/>
    <w:rsid w:val="00FD082E"/>
    <w:rsid w:val="07F4237E"/>
    <w:rsid w:val="0A9C6E11"/>
    <w:rsid w:val="255C001C"/>
    <w:rsid w:val="39A6207E"/>
    <w:rsid w:val="43706D08"/>
    <w:rsid w:val="46A24A50"/>
    <w:rsid w:val="4ADD3943"/>
    <w:rsid w:val="512E3A75"/>
    <w:rsid w:val="5A1D5B0A"/>
    <w:rsid w:val="5A7476F4"/>
    <w:rsid w:val="68DD77BD"/>
    <w:rsid w:val="6BB96DE2"/>
    <w:rsid w:val="6C5D01E4"/>
    <w:rsid w:val="6D187018"/>
    <w:rsid w:val="79520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7"/>
    <w:unhideWhenUsed/>
    <w:qFormat/>
    <w:uiPriority w:val="9"/>
    <w:pPr>
      <w:keepNext/>
      <w:keepLines/>
      <w:spacing w:before="156" w:beforeLines="50" w:after="156" w:afterLines="50" w:line="500" w:lineRule="exact"/>
      <w:jc w:val="center"/>
      <w:outlineLvl w:val="1"/>
    </w:pPr>
    <w:rPr>
      <w:rFonts w:asciiTheme="majorHAnsi" w:hAnsiTheme="majorHAnsi" w:eastAsiaTheme="majorEastAsia" w:cstheme="majorBidi"/>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tabs>
        <w:tab w:val="center" w:pos="4153"/>
        <w:tab w:val="right" w:pos="8306"/>
      </w:tabs>
      <w:snapToGrid w:val="0"/>
      <w:jc w:val="center"/>
    </w:pPr>
    <w:rPr>
      <w:sz w:val="18"/>
      <w:szCs w:val="18"/>
    </w:rPr>
  </w:style>
  <w:style w:type="character" w:customStyle="1" w:styleId="7">
    <w:name w:val="标题 2 字符"/>
    <w:basedOn w:val="6"/>
    <w:link w:val="2"/>
    <w:qFormat/>
    <w:uiPriority w:val="9"/>
    <w:rPr>
      <w:rFonts w:asciiTheme="majorHAnsi" w:hAnsiTheme="majorHAnsi" w:eastAsiaTheme="majorEastAsia" w:cstheme="majorBidi"/>
      <w:b/>
      <w:bCs/>
      <w:sz w:val="32"/>
      <w:szCs w:val="32"/>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Default"/>
    <w:unhideWhenUsed/>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7</Pages>
  <Words>3755</Words>
  <Characters>3877</Characters>
  <Lines>55</Lines>
  <Paragraphs>49</Paragraphs>
  <TotalTime>0</TotalTime>
  <ScaleCrop>false</ScaleCrop>
  <LinksUpToDate>false</LinksUpToDate>
  <CharactersWithSpaces>3922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2019-11-18T08:38:00Z</dcterms:created>
  <dc:creator>User</dc:creator>
  <cp:lastModifiedBy>中标蒲公英</cp:lastModifiedBy>
  <dcterms:modified xsi:type="dcterms:W3CDTF">2025-09-10T08:37:35Z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eyJoZGlkIjoiOTBjNDg1NzJhOTc3NmEzYjBlMzdmYzBlYjZmZDI3MDYiLCJ1c2VySWQiOiIxNjE1MzQ4Njc0In0=</vt:lpwstr>
  </property>
  <property fmtid="{D5CDD505-2E9C-101B-9397-08002B2CF9AE}" pid="3" name="KSOProductBuildVer">
    <vt:lpwstr>2052-12.1.0.22529</vt:lpwstr>
  </property>
  <property fmtid="{D5CDD505-2E9C-101B-9397-08002B2CF9AE}" pid="4" name="ICV">
    <vt:lpwstr>EB765FB60E5E40548E968E074C0114A0_13</vt:lpwstr>
  </property>
</Properties>
</file>