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51DC3">
      <w:pPr>
        <w:pStyle w:val="2"/>
        <w:spacing w:before="0" w:beforeLines="0" w:after="312" w:afterLines="100" w:line="400" w:lineRule="exact"/>
        <w:jc w:val="both"/>
        <w:rPr>
          <w:rFonts w:hint="eastAsia" w:asciiTheme="minorEastAsia" w:hAnsiTheme="minorEastAsia" w:eastAsiaTheme="minorEastAsia"/>
          <w:color w:val="0000FF"/>
          <w:sz w:val="36"/>
          <w:szCs w:val="36"/>
        </w:rPr>
      </w:pPr>
    </w:p>
    <w:p w14:paraId="714A2809">
      <w:pPr>
        <w:jc w:val="center"/>
        <w:rPr>
          <w:rFonts w:hint="eastAsia" w:ascii="黑体" w:hAnsi="黑体" w:eastAsia="黑体" w:cs="黑体"/>
          <w:b/>
          <w:bCs/>
          <w:sz w:val="52"/>
          <w:szCs w:val="52"/>
        </w:rPr>
      </w:pPr>
    </w:p>
    <w:p w14:paraId="48E30A1C">
      <w:pPr>
        <w:jc w:val="center"/>
        <w:rPr>
          <w:rFonts w:hint="eastAsia" w:ascii="黑体" w:hAnsi="黑体" w:eastAsia="黑体" w:cs="黑体"/>
          <w:b/>
          <w:bCs/>
          <w:sz w:val="52"/>
          <w:szCs w:val="52"/>
        </w:rPr>
      </w:pPr>
    </w:p>
    <w:p w14:paraId="0D966EEF">
      <w:pPr>
        <w:jc w:val="center"/>
        <w:rPr>
          <w:rFonts w:hint="eastAsia" w:ascii="黑体" w:hAnsi="黑体" w:eastAsia="黑体" w:cs="黑体"/>
          <w:b/>
          <w:bCs/>
          <w:sz w:val="52"/>
          <w:szCs w:val="52"/>
        </w:rPr>
      </w:pPr>
      <w:r>
        <w:rPr>
          <w:rFonts w:hint="eastAsia" w:ascii="黑体" w:hAnsi="黑体" w:eastAsia="黑体" w:cs="黑体"/>
          <w:b/>
          <w:bCs/>
          <w:sz w:val="52"/>
          <w:szCs w:val="52"/>
        </w:rPr>
        <w:t>《居民口腔健康护理指南》</w:t>
      </w:r>
    </w:p>
    <w:p w14:paraId="151C1C73">
      <w:pPr>
        <w:jc w:val="center"/>
        <w:rPr>
          <w:rFonts w:hint="eastAsia" w:ascii="黑体" w:hAnsi="黑体" w:eastAsia="黑体" w:cs="黑体"/>
          <w:b/>
          <w:bCs/>
          <w:sz w:val="52"/>
          <w:szCs w:val="52"/>
          <w:lang w:eastAsia="zh-CN"/>
        </w:rPr>
      </w:pPr>
      <w:r>
        <w:rPr>
          <w:rFonts w:hint="eastAsia" w:ascii="黑体" w:hAnsi="黑体" w:eastAsia="黑体" w:cs="黑体"/>
          <w:b/>
          <w:bCs/>
          <w:sz w:val="52"/>
          <w:szCs w:val="52"/>
          <w:lang w:val="en-US" w:eastAsia="zh-CN"/>
        </w:rPr>
        <w:t>征求意见稿</w:t>
      </w:r>
    </w:p>
    <w:p w14:paraId="7B0EED04">
      <w:pPr>
        <w:jc w:val="center"/>
        <w:rPr>
          <w:rFonts w:hint="eastAsia" w:ascii="黑体" w:hAnsi="黑体" w:eastAsia="黑体" w:cs="黑体"/>
          <w:b/>
          <w:bCs/>
          <w:sz w:val="52"/>
          <w:szCs w:val="52"/>
        </w:rPr>
      </w:pPr>
      <w:r>
        <w:rPr>
          <w:rFonts w:hint="eastAsia" w:ascii="黑体" w:hAnsi="黑体" w:eastAsia="黑体" w:cs="黑体"/>
          <w:b/>
          <w:bCs/>
          <w:sz w:val="52"/>
          <w:szCs w:val="52"/>
        </w:rPr>
        <w:t>团体标准编制说明</w:t>
      </w:r>
    </w:p>
    <w:p w14:paraId="0436FA03">
      <w:pPr>
        <w:jc w:val="center"/>
        <w:rPr>
          <w:rFonts w:hint="eastAsia" w:ascii="黑体" w:hAnsi="黑体" w:eastAsia="黑体" w:cs="黑体"/>
          <w:b/>
          <w:bCs/>
          <w:sz w:val="52"/>
          <w:szCs w:val="52"/>
        </w:rPr>
      </w:pPr>
    </w:p>
    <w:p w14:paraId="7C817B24">
      <w:pPr>
        <w:jc w:val="center"/>
        <w:rPr>
          <w:rFonts w:hint="eastAsia" w:ascii="黑体" w:hAnsi="黑体" w:eastAsia="黑体" w:cs="黑体"/>
          <w:b/>
          <w:bCs/>
          <w:sz w:val="52"/>
          <w:szCs w:val="52"/>
        </w:rPr>
      </w:pPr>
    </w:p>
    <w:p w14:paraId="25A21D25">
      <w:pPr>
        <w:jc w:val="center"/>
        <w:rPr>
          <w:rFonts w:hint="eastAsia" w:ascii="黑体" w:hAnsi="黑体" w:eastAsia="黑体" w:cs="黑体"/>
          <w:b/>
          <w:bCs/>
          <w:sz w:val="52"/>
          <w:szCs w:val="52"/>
        </w:rPr>
      </w:pPr>
    </w:p>
    <w:p w14:paraId="4A80D3B5">
      <w:pPr>
        <w:jc w:val="center"/>
        <w:rPr>
          <w:rFonts w:hint="eastAsia" w:ascii="黑体" w:hAnsi="黑体" w:eastAsia="黑体" w:cs="黑体"/>
          <w:b/>
          <w:bCs/>
          <w:sz w:val="52"/>
          <w:szCs w:val="52"/>
        </w:rPr>
      </w:pPr>
    </w:p>
    <w:p w14:paraId="168C56CB">
      <w:pPr>
        <w:jc w:val="center"/>
        <w:rPr>
          <w:rFonts w:hint="eastAsia" w:ascii="黑体" w:hAnsi="黑体" w:eastAsia="黑体" w:cs="黑体"/>
          <w:b/>
          <w:bCs/>
          <w:sz w:val="52"/>
          <w:szCs w:val="52"/>
        </w:rPr>
      </w:pPr>
    </w:p>
    <w:p w14:paraId="2BB8E192">
      <w:pPr>
        <w:jc w:val="center"/>
        <w:rPr>
          <w:rFonts w:hint="eastAsia" w:ascii="黑体" w:hAnsi="黑体" w:eastAsia="黑体" w:cs="黑体"/>
          <w:b/>
          <w:bCs/>
          <w:sz w:val="52"/>
          <w:szCs w:val="52"/>
        </w:rPr>
      </w:pPr>
    </w:p>
    <w:p w14:paraId="4132DCE6">
      <w:pPr>
        <w:jc w:val="both"/>
        <w:rPr>
          <w:rFonts w:hint="eastAsia" w:ascii="黑体" w:hAnsi="黑体" w:eastAsia="黑体" w:cs="黑体"/>
          <w:b/>
          <w:bCs/>
          <w:sz w:val="52"/>
          <w:szCs w:val="52"/>
        </w:rPr>
      </w:pPr>
    </w:p>
    <w:p w14:paraId="3E0D8FA3">
      <w:pPr>
        <w:jc w:val="center"/>
        <w:rPr>
          <w:rFonts w:ascii="Times New Roman" w:hAnsi="Times New Roman" w:eastAsia="宋体" w:cs="Times New Roman"/>
          <w:kern w:val="0"/>
          <w:sz w:val="32"/>
          <w:szCs w:val="24"/>
        </w:rPr>
      </w:pPr>
      <w:r>
        <w:rPr>
          <w:rFonts w:hint="eastAsia" w:ascii="Times New Roman" w:hAnsi="Times New Roman" w:eastAsia="宋体" w:cs="Times New Roman"/>
          <w:kern w:val="0"/>
          <w:sz w:val="32"/>
          <w:szCs w:val="24"/>
        </w:rPr>
        <w:t>标准编制项目组</w:t>
      </w:r>
    </w:p>
    <w:p w14:paraId="334A522F">
      <w:pPr>
        <w:jc w:val="center"/>
        <w:rPr>
          <w:rFonts w:hint="eastAsia" w:asciiTheme="minorEastAsia" w:hAnsiTheme="minorEastAsia"/>
          <w:color w:val="0000FF"/>
          <w:sz w:val="36"/>
          <w:szCs w:val="36"/>
        </w:rPr>
      </w:pPr>
      <w:r>
        <w:rPr>
          <w:rFonts w:hint="eastAsia" w:ascii="Times New Roman" w:hAnsi="Times New Roman" w:eastAsia="宋体" w:cs="Times New Roman"/>
          <w:kern w:val="0"/>
          <w:sz w:val="32"/>
          <w:szCs w:val="24"/>
        </w:rPr>
        <w:t>2025年</w:t>
      </w:r>
      <w:r>
        <w:rPr>
          <w:rFonts w:hint="eastAsia" w:ascii="Times New Roman" w:hAnsi="Times New Roman" w:eastAsia="宋体" w:cs="Times New Roman"/>
          <w:kern w:val="0"/>
          <w:sz w:val="32"/>
          <w:szCs w:val="24"/>
          <w:lang w:val="en-US" w:eastAsia="zh-CN"/>
        </w:rPr>
        <w:t>9</w:t>
      </w:r>
      <w:r>
        <w:rPr>
          <w:rFonts w:hint="eastAsia" w:ascii="Times New Roman" w:hAnsi="Times New Roman" w:eastAsia="宋体" w:cs="Times New Roman"/>
          <w:kern w:val="0"/>
          <w:sz w:val="32"/>
          <w:szCs w:val="24"/>
        </w:rPr>
        <w:t>月</w:t>
      </w:r>
      <w:r>
        <w:rPr>
          <w:rFonts w:hint="eastAsia" w:ascii="Times New Roman" w:hAnsi="Times New Roman" w:eastAsia="宋体" w:cs="Times New Roman"/>
          <w:kern w:val="0"/>
          <w:sz w:val="32"/>
          <w:szCs w:val="24"/>
          <w:lang w:val="en-US" w:eastAsia="zh-CN"/>
        </w:rPr>
        <w:t>10</w:t>
      </w:r>
      <w:r>
        <w:rPr>
          <w:rFonts w:hint="eastAsia" w:ascii="Times New Roman" w:hAnsi="Times New Roman" w:eastAsia="宋体" w:cs="Times New Roman"/>
          <w:kern w:val="0"/>
          <w:sz w:val="32"/>
          <w:szCs w:val="24"/>
        </w:rPr>
        <w:t>日</w:t>
      </w:r>
      <w:r>
        <w:rPr>
          <w:rFonts w:hint="eastAsia" w:asciiTheme="minorEastAsia" w:hAnsiTheme="minorEastAsia"/>
          <w:color w:val="0000FF"/>
          <w:sz w:val="36"/>
          <w:szCs w:val="36"/>
        </w:rPr>
        <w:br w:type="page"/>
      </w:r>
    </w:p>
    <w:p w14:paraId="170ACF06">
      <w:pPr>
        <w:pStyle w:val="2"/>
        <w:spacing w:before="0" w:beforeLines="0" w:after="312" w:afterLines="100" w:line="400" w:lineRule="exact"/>
      </w:pPr>
      <w:r>
        <w:rPr>
          <w:rFonts w:hint="eastAsia" w:asciiTheme="minorEastAsia" w:hAnsiTheme="minorEastAsia" w:eastAsiaTheme="minorEastAsia"/>
          <w:sz w:val="36"/>
          <w:szCs w:val="36"/>
        </w:rPr>
        <w:t>《居民口腔健康护理指南》</w:t>
      </w:r>
      <w:r>
        <w:rPr>
          <w:rFonts w:hint="eastAsia" w:asciiTheme="minorEastAsia" w:hAnsiTheme="minorEastAsia" w:eastAsiaTheme="minorEastAsia"/>
          <w:sz w:val="36"/>
          <w:szCs w:val="36"/>
          <w:lang w:val="en-US" w:eastAsia="zh-CN"/>
        </w:rPr>
        <w:t>征求意见稿</w:t>
      </w:r>
      <w:r>
        <w:rPr>
          <w:rFonts w:hint="eastAsia" w:asciiTheme="minorEastAsia" w:hAnsiTheme="minorEastAsia" w:eastAsiaTheme="minorEastAsia"/>
          <w:sz w:val="36"/>
          <w:szCs w:val="36"/>
        </w:rPr>
        <w:t>团体标准编制说明</w:t>
      </w:r>
    </w:p>
    <w:p w14:paraId="1203D87F">
      <w:pPr>
        <w:spacing w:line="360" w:lineRule="auto"/>
        <w:jc w:val="left"/>
        <w:rPr>
          <w:rFonts w:hint="eastAsia" w:ascii="宋体" w:hAnsi="宋体"/>
          <w:b/>
          <w:bCs/>
          <w:sz w:val="28"/>
          <w:szCs w:val="28"/>
        </w:rPr>
      </w:pPr>
      <w:r>
        <w:rPr>
          <w:rFonts w:hint="eastAsia" w:ascii="宋体" w:hAnsi="宋体"/>
          <w:b/>
          <w:bCs/>
          <w:sz w:val="28"/>
          <w:szCs w:val="28"/>
        </w:rPr>
        <w:t>一、工作简况</w:t>
      </w:r>
    </w:p>
    <w:p w14:paraId="3D41C376">
      <w:pPr>
        <w:numPr>
          <w:ilvl w:val="0"/>
          <w:numId w:val="1"/>
        </w:numPr>
        <w:spacing w:line="360" w:lineRule="auto"/>
        <w:ind w:left="0" w:leftChars="0" w:firstLine="420" w:firstLineChars="0"/>
        <w:jc w:val="left"/>
        <w:rPr>
          <w:rFonts w:ascii="宋体" w:hAnsi="宋体"/>
          <w:sz w:val="24"/>
          <w:szCs w:val="24"/>
        </w:rPr>
      </w:pPr>
      <w:r>
        <w:rPr>
          <w:rFonts w:hint="eastAsia" w:ascii="宋体" w:hAnsi="宋体"/>
          <w:sz w:val="24"/>
          <w:szCs w:val="24"/>
        </w:rPr>
        <w:t>任务来源</w:t>
      </w:r>
    </w:p>
    <w:p w14:paraId="18B5966E">
      <w:pPr>
        <w:spacing w:line="360" w:lineRule="auto"/>
        <w:ind w:firstLine="480" w:firstLineChars="200"/>
        <w:jc w:val="left"/>
        <w:rPr>
          <w:rFonts w:hint="eastAsia" w:ascii="宋体" w:hAnsi="宋体"/>
          <w:sz w:val="24"/>
          <w:szCs w:val="24"/>
        </w:rPr>
      </w:pPr>
      <w:r>
        <w:rPr>
          <w:rFonts w:hint="eastAsia" w:ascii="宋体" w:hAnsi="宋体"/>
          <w:sz w:val="24"/>
          <w:szCs w:val="24"/>
        </w:rPr>
        <w:t>随着我国居民生活水平提升与健康意识增强，口腔健康作为全身健康的重要组成部分，其重要性日益受到关注。第四次全国口腔健康流行病学调查显示，我国12岁儿童恒牙龋患率达34.5%，35-44岁居民牙龈出血检出率为87.4%，中老年人牙齿缺失率超过30%，口腔疾病已成为影响居民生活质量的重要公共卫生问题。然而，当前面向居民的口腔健康护理指导存在显著短板——现有《中国居民口腔健康指南》以科普性内容为主，缺乏针对不同年龄、不同口腔健康状态人群的细化操作标准；市面流通的口腔护理产品宣称与实际功效缺乏科学关联，居民对“正确刷牙方法”“辅助工具选择”“特殊人群护理要点”等核心问题的认知普遍模糊，导致口腔疾病预防效果受限，治疗需求不断攀升。</w:t>
      </w:r>
    </w:p>
    <w:p w14:paraId="74BA9446">
      <w:pPr>
        <w:spacing w:line="360" w:lineRule="auto"/>
        <w:ind w:firstLine="480" w:firstLineChars="200"/>
        <w:jc w:val="left"/>
        <w:rPr>
          <w:rFonts w:hint="eastAsia" w:ascii="宋体" w:hAnsi="宋体"/>
          <w:sz w:val="24"/>
          <w:szCs w:val="24"/>
        </w:rPr>
      </w:pPr>
      <w:r>
        <w:rPr>
          <w:rFonts w:hint="eastAsia" w:ascii="宋体" w:hAnsi="宋体"/>
          <w:sz w:val="24"/>
          <w:szCs w:val="24"/>
        </w:rPr>
        <w:t>为填补这一空白，海南西帕依生物技术有限公司于</w:t>
      </w:r>
      <w:r>
        <w:rPr>
          <w:rFonts w:hint="eastAsia" w:ascii="宋体" w:hAnsi="宋体"/>
          <w:sz w:val="24"/>
          <w:szCs w:val="24"/>
          <w:lang w:val="en-US" w:eastAsia="zh-CN"/>
        </w:rPr>
        <w:t>2025年8月</w:t>
      </w:r>
      <w:r>
        <w:rPr>
          <w:rFonts w:hint="eastAsia" w:ascii="宋体" w:hAnsi="宋体"/>
          <w:sz w:val="24"/>
          <w:szCs w:val="24"/>
        </w:rPr>
        <w:t>正式向中国食品药品企业质量安全促进会提出提出《居民口腔健康护理指南》团体标准立项申请。本标准旨在系统整合口腔医学临床共识、公共卫生实践经验及循证研究证据，明确居民口腔健康状态分级、常见疾病风险及日常护理的规范化要求，为家庭自我管理、社区健康教育及产品合理选用提供科学依据，同时为行业规范发展与“健康中国2030”战略实施提供关键技术支撑。</w:t>
      </w:r>
    </w:p>
    <w:p w14:paraId="274F94AA">
      <w:pPr>
        <w:numPr>
          <w:ilvl w:val="0"/>
          <w:numId w:val="1"/>
        </w:numPr>
        <w:spacing w:line="360" w:lineRule="auto"/>
        <w:ind w:left="0" w:leftChars="0" w:firstLine="420" w:firstLineChars="0"/>
        <w:jc w:val="left"/>
        <w:rPr>
          <w:rFonts w:hint="eastAsia" w:ascii="宋体" w:hAnsi="宋体"/>
          <w:sz w:val="24"/>
          <w:szCs w:val="24"/>
        </w:rPr>
      </w:pPr>
      <w:r>
        <w:rPr>
          <w:rFonts w:hint="eastAsia" w:ascii="宋体" w:hAnsi="宋体"/>
          <w:sz w:val="24"/>
          <w:szCs w:val="24"/>
        </w:rPr>
        <w:t>起草单位</w:t>
      </w:r>
    </w:p>
    <w:p w14:paraId="3C26A41E">
      <w:pPr>
        <w:keepNext w:val="0"/>
        <w:keepLines w:val="0"/>
        <w:widowControl/>
        <w:suppressLineNumbers w:val="0"/>
        <w:shd w:val="clear" w:fill="FFFFFF"/>
        <w:bidi w:val="0"/>
        <w:spacing w:before="0" w:beforeAutospacing="0" w:after="0" w:afterAutospacing="0" w:line="420" w:lineRule="atLeast"/>
        <w:ind w:left="0" w:right="0" w:firstLine="480" w:firstLineChars="200"/>
        <w:jc w:val="left"/>
        <w:rPr>
          <w:rFonts w:hint="eastAsia" w:ascii="宋体" w:hAnsi="宋体"/>
          <w:sz w:val="24"/>
          <w:szCs w:val="24"/>
        </w:rPr>
      </w:pPr>
      <w:r>
        <w:rPr>
          <w:rFonts w:hint="eastAsia" w:ascii="宋体" w:hAnsi="宋体"/>
          <w:sz w:val="24"/>
          <w:szCs w:val="24"/>
        </w:rPr>
        <w:t>海南西帕依生物技术有限公司为国家高新技术企业和少数民族特需产品定点生产企业，始终坚持“规划引领，创新驱动，融合发展，品牌先行”发展思路，“十三五”期间全面完成既定发展目标，建立了中药大健康产业雏形，成为区域中药民族药行业领先品牌，已打造形成药材经营、饮片加工、中成药及大健康产品生产与研发、线下线上营销的上下游全产业链产业布局，且形成年产能10亿元以上的药品生产保障能力。“十四五”期间，公司力争实现营收规模20亿元，成为区域行业领先企业，2035年力争进入中国医药工业百强。</w:t>
      </w:r>
    </w:p>
    <w:p w14:paraId="498F6CC2">
      <w:pPr>
        <w:keepNext w:val="0"/>
        <w:keepLines w:val="0"/>
        <w:widowControl/>
        <w:suppressLineNumbers w:val="0"/>
        <w:shd w:val="clear" w:fill="FFFFFF"/>
        <w:bidi w:val="0"/>
        <w:spacing w:before="0" w:beforeAutospacing="0" w:after="0" w:afterAutospacing="0" w:line="420" w:lineRule="atLeast"/>
        <w:ind w:left="0" w:right="0" w:firstLine="480" w:firstLineChars="200"/>
        <w:jc w:val="left"/>
        <w:rPr>
          <w:rFonts w:hint="eastAsia" w:ascii="宋体" w:hAnsi="宋体" w:eastAsiaTheme="minorEastAsia"/>
          <w:sz w:val="24"/>
          <w:szCs w:val="24"/>
          <w:lang w:eastAsia="zh-CN"/>
        </w:rPr>
      </w:pPr>
      <w:r>
        <w:rPr>
          <w:rFonts w:hint="eastAsia" w:ascii="宋体" w:hAnsi="宋体"/>
          <w:sz w:val="24"/>
          <w:szCs w:val="24"/>
        </w:rPr>
        <w:t>成立以来专注中药民族药研发、生产、销售，并逐渐形成以中药民族药为主体，药材、饮片为两翼，消毒产品、化妆品、功能性食品等健康产品为助力的“一体两翼三助力”的业务体系。公司核心业务中药民族药涵盖口腔呼吸、皮肤、泌尿生殖、慢病五大临床领域，已建立二十多个品规的特色产品。其中国家中药保护品种1个，国家专利保护品种6个，国家医保品种4个，国家基本药物品种3个，并通过以“西帕依”、“牙可喜”、“大蒜素”等系列明星产品品牌运营为重点，打造大品牌，实现“新奇康•卫健康”的公司品牌核心价值理念的传递。目前，公司营销网络覆盖全国各大省市，销售渠道覆盖等级医院、基层医院、第三终端、连锁药店、单体药店、互联网医疗等，全国等级医院终端开发率近80%，覆盖药店及基层社区医疗机构数万余家。</w:t>
      </w:r>
    </w:p>
    <w:p w14:paraId="227643EF">
      <w:pPr>
        <w:numPr>
          <w:ilvl w:val="0"/>
          <w:numId w:val="1"/>
        </w:numPr>
        <w:spacing w:line="360" w:lineRule="auto"/>
        <w:ind w:left="0" w:leftChars="0" w:firstLine="420" w:firstLineChars="0"/>
        <w:jc w:val="left"/>
        <w:rPr>
          <w:rFonts w:hint="eastAsia" w:ascii="宋体" w:hAnsi="宋体"/>
          <w:sz w:val="24"/>
          <w:szCs w:val="24"/>
        </w:rPr>
      </w:pPr>
      <w:r>
        <w:rPr>
          <w:rFonts w:hint="eastAsia" w:ascii="宋体" w:hAnsi="宋体"/>
          <w:sz w:val="24"/>
          <w:szCs w:val="24"/>
        </w:rPr>
        <w:t>主要起草人</w:t>
      </w:r>
    </w:p>
    <w:p w14:paraId="4DC7AFE5">
      <w:pPr>
        <w:numPr>
          <w:ilvl w:val="0"/>
          <w:numId w:val="0"/>
        </w:numPr>
        <w:spacing w:line="36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李华平、王静怡、张明远、陈秀兰、刘志强、杨美娟、赵建国、周文斌、吴雅琴等人，这些单位的主要起草人长期从事口腔医学临床诊疗、口腔公共卫生、口腔护理产品研发及标准化工作，具有丰富的实践经验和专业背景，能够为《居民口腔健康护理指南》团体标准的制定提供专业的技术支持和实践指导。</w:t>
      </w:r>
    </w:p>
    <w:p w14:paraId="4364261C">
      <w:pPr>
        <w:numPr>
          <w:ilvl w:val="0"/>
          <w:numId w:val="1"/>
        </w:numPr>
        <w:spacing w:line="360" w:lineRule="auto"/>
        <w:ind w:left="0" w:leftChars="0" w:firstLine="420" w:firstLineChars="0"/>
        <w:jc w:val="left"/>
        <w:rPr>
          <w:rFonts w:hint="eastAsia" w:ascii="宋体" w:hAnsi="宋体"/>
          <w:sz w:val="24"/>
          <w:szCs w:val="24"/>
        </w:rPr>
      </w:pPr>
      <w:r>
        <w:rPr>
          <w:rFonts w:hint="eastAsia" w:ascii="宋体" w:hAnsi="宋体"/>
          <w:sz w:val="24"/>
          <w:szCs w:val="24"/>
        </w:rPr>
        <w:t>主要工作</w:t>
      </w:r>
    </w:p>
    <w:p w14:paraId="7108DBD9">
      <w:pPr>
        <w:spacing w:line="360" w:lineRule="auto"/>
        <w:ind w:firstLine="480" w:firstLineChars="200"/>
        <w:jc w:val="left"/>
        <w:rPr>
          <w:rFonts w:hint="eastAsia" w:ascii="宋体" w:hAnsi="宋体"/>
          <w:sz w:val="24"/>
          <w:szCs w:val="24"/>
        </w:rPr>
      </w:pPr>
      <w:r>
        <w:rPr>
          <w:rFonts w:hint="eastAsia" w:ascii="宋体" w:hAnsi="宋体"/>
          <w:sz w:val="24"/>
          <w:szCs w:val="24"/>
        </w:rPr>
        <w:t xml:space="preserve">1. 资料收集与研究  </w:t>
      </w:r>
    </w:p>
    <w:p w14:paraId="140B12BA">
      <w:pPr>
        <w:spacing w:line="360" w:lineRule="auto"/>
        <w:jc w:val="left"/>
        <w:rPr>
          <w:rFonts w:hint="eastAsia" w:ascii="宋体" w:hAnsi="宋体"/>
          <w:sz w:val="24"/>
          <w:szCs w:val="24"/>
        </w:rPr>
      </w:pPr>
      <w:r>
        <w:rPr>
          <w:rFonts w:hint="eastAsia" w:ascii="宋体" w:hAnsi="宋体"/>
          <w:sz w:val="24"/>
          <w:szCs w:val="24"/>
        </w:rPr>
        <w:t xml:space="preserve">   广泛收集国内外有关居民口腔健康护理的研究文献、法规标准和技术资料，涵盖口腔医学临床指南、公共卫生实践、口腔护理产品标准及国际口腔健康策略，为《居民口腔健康护理指南》标准的制定提供全面理论基础和实践依据。</w:t>
      </w:r>
    </w:p>
    <w:p w14:paraId="404A1B25">
      <w:pPr>
        <w:spacing w:line="360" w:lineRule="auto"/>
        <w:ind w:firstLine="480" w:firstLineChars="200"/>
        <w:jc w:val="left"/>
        <w:rPr>
          <w:rFonts w:hint="eastAsia" w:ascii="宋体" w:hAnsi="宋体"/>
          <w:sz w:val="24"/>
          <w:szCs w:val="24"/>
        </w:rPr>
      </w:pPr>
      <w:r>
        <w:rPr>
          <w:rFonts w:hint="eastAsia" w:ascii="宋体" w:hAnsi="宋体"/>
          <w:sz w:val="24"/>
          <w:szCs w:val="24"/>
        </w:rPr>
        <w:t xml:space="preserve">2. 调研与分析  </w:t>
      </w:r>
    </w:p>
    <w:p w14:paraId="638A281D">
      <w:pPr>
        <w:spacing w:line="360" w:lineRule="auto"/>
        <w:jc w:val="left"/>
        <w:rPr>
          <w:rFonts w:hint="eastAsia" w:ascii="宋体" w:hAnsi="宋体"/>
          <w:sz w:val="24"/>
          <w:szCs w:val="24"/>
        </w:rPr>
      </w:pPr>
      <w:r>
        <w:rPr>
          <w:rFonts w:hint="eastAsia" w:ascii="宋体" w:hAnsi="宋体"/>
          <w:sz w:val="24"/>
          <w:szCs w:val="24"/>
        </w:rPr>
        <w:t xml:space="preserve">   通过线上问卷及实地访谈方式，面向全国各省市医疗机构口腔科、社区卫生服务中心、口腔护理产品企业、居民及口腔健康工作者代表开展需求调研，回收有效问卷，梳理出“口腔护理操作缺乏统一标准”“不同机构护理建议差异明显”“口腔健康问题分级与干预措施不衔接”三大痛点，明确标准制定的关键需求点。</w:t>
      </w:r>
    </w:p>
    <w:p w14:paraId="5E76C80E">
      <w:pPr>
        <w:spacing w:line="360" w:lineRule="auto"/>
        <w:ind w:firstLine="480" w:firstLineChars="200"/>
        <w:jc w:val="left"/>
        <w:rPr>
          <w:rFonts w:hint="eastAsia" w:ascii="宋体" w:hAnsi="宋体"/>
          <w:sz w:val="24"/>
          <w:szCs w:val="24"/>
        </w:rPr>
      </w:pPr>
      <w:r>
        <w:rPr>
          <w:rFonts w:hint="eastAsia" w:ascii="宋体" w:hAnsi="宋体"/>
          <w:sz w:val="24"/>
          <w:szCs w:val="24"/>
        </w:rPr>
        <w:t xml:space="preserve">3. 标准草案起草  </w:t>
      </w:r>
    </w:p>
    <w:p w14:paraId="2980ED32">
      <w:pPr>
        <w:spacing w:line="360" w:lineRule="auto"/>
        <w:jc w:val="left"/>
        <w:rPr>
          <w:rFonts w:hint="eastAsia" w:ascii="宋体" w:hAnsi="宋体"/>
          <w:sz w:val="24"/>
          <w:szCs w:val="24"/>
        </w:rPr>
      </w:pPr>
      <w:r>
        <w:rPr>
          <w:rFonts w:hint="eastAsia" w:ascii="宋体" w:hAnsi="宋体"/>
          <w:sz w:val="24"/>
          <w:szCs w:val="24"/>
        </w:rPr>
        <w:t xml:space="preserve">   依据GB/T 1.1—2020《标准化工作导则》起草标准草案，明确术语和定义、口腔健康状态分级、日常护理基本要求、常见口腔疾病预防、特殊人群护理要点、口腔健康促进策略等核心内容，形成科学规范、操作性强的标准草案。</w:t>
      </w:r>
    </w:p>
    <w:p w14:paraId="634A3B10">
      <w:pPr>
        <w:spacing w:line="360" w:lineRule="auto"/>
        <w:ind w:firstLine="480" w:firstLineChars="200"/>
        <w:jc w:val="left"/>
        <w:rPr>
          <w:rFonts w:hint="eastAsia" w:ascii="宋体" w:hAnsi="宋体"/>
          <w:sz w:val="24"/>
          <w:szCs w:val="24"/>
        </w:rPr>
      </w:pPr>
      <w:r>
        <w:rPr>
          <w:rFonts w:hint="eastAsia" w:ascii="宋体" w:hAnsi="宋体"/>
          <w:sz w:val="24"/>
          <w:szCs w:val="24"/>
        </w:rPr>
        <w:t xml:space="preserve">4. 立项报批材料准备  </w:t>
      </w:r>
    </w:p>
    <w:p w14:paraId="1DD87026">
      <w:pPr>
        <w:spacing w:line="360" w:lineRule="auto"/>
        <w:jc w:val="left"/>
        <w:rPr>
          <w:rFonts w:hint="eastAsia" w:ascii="宋体" w:hAnsi="宋体"/>
          <w:sz w:val="24"/>
          <w:szCs w:val="24"/>
        </w:rPr>
      </w:pPr>
      <w:r>
        <w:rPr>
          <w:rFonts w:hint="eastAsia" w:ascii="宋体" w:hAnsi="宋体"/>
          <w:sz w:val="24"/>
          <w:szCs w:val="24"/>
        </w:rPr>
        <w:t xml:space="preserve">   整理完善标准立项申报材料，包括立项申请表、编制说明、标准草案、调研分析报告等相关文件，确保立项申报材料的完整性、规范性和科学性，为标准立项审批做好充分准备，推动《居民口腔健康护理指南》团体标准的顺利制定。</w:t>
      </w:r>
    </w:p>
    <w:p w14:paraId="3CBEF6DD">
      <w:pPr>
        <w:numPr>
          <w:ilvl w:val="0"/>
          <w:numId w:val="2"/>
        </w:numPr>
        <w:spacing w:line="360" w:lineRule="auto"/>
        <w:ind w:firstLine="480" w:firstLineChars="200"/>
        <w:jc w:val="left"/>
        <w:rPr>
          <w:rFonts w:hint="eastAsia" w:ascii="宋体" w:hAnsi="宋体"/>
          <w:sz w:val="24"/>
          <w:szCs w:val="24"/>
        </w:rPr>
      </w:pPr>
      <w:r>
        <w:rPr>
          <w:rFonts w:hint="eastAsia" w:ascii="宋体" w:hAnsi="宋体"/>
          <w:sz w:val="24"/>
          <w:szCs w:val="24"/>
        </w:rPr>
        <w:t>立项审查</w:t>
      </w:r>
    </w:p>
    <w:p w14:paraId="0F0F5209">
      <w:pPr>
        <w:numPr>
          <w:numId w:val="0"/>
        </w:numPr>
        <w:spacing w:line="360" w:lineRule="auto"/>
        <w:ind w:firstLine="480" w:firstLineChars="200"/>
        <w:jc w:val="left"/>
        <w:rPr>
          <w:rFonts w:hint="eastAsia" w:ascii="宋体" w:hAnsi="宋体"/>
          <w:sz w:val="24"/>
          <w:szCs w:val="24"/>
        </w:rPr>
      </w:pPr>
      <w:r>
        <w:rPr>
          <w:rFonts w:hint="eastAsia" w:asciiTheme="minorEastAsia" w:hAnsiTheme="minorEastAsia" w:eastAsiaTheme="minorEastAsia" w:cstheme="minorEastAsia"/>
          <w:b w:val="0"/>
          <w:bCs w:val="0"/>
          <w:sz w:val="24"/>
          <w:szCs w:val="24"/>
        </w:rPr>
        <w:t>2025年</w:t>
      </w:r>
      <w:r>
        <w:rPr>
          <w:rFonts w:hint="eastAsia" w:asciiTheme="minorEastAsia" w:hAnsiTheme="minorEastAsia" w:cstheme="minorEastAsia"/>
          <w:b w:val="0"/>
          <w:bCs w:val="0"/>
          <w:sz w:val="24"/>
          <w:szCs w:val="24"/>
          <w:lang w:val="en-US" w:eastAsia="zh-CN"/>
        </w:rPr>
        <w:t>8</w:t>
      </w:r>
      <w:r>
        <w:rPr>
          <w:rFonts w:hint="eastAsia" w:asciiTheme="minorEastAsia" w:hAnsiTheme="minorEastAsia" w:eastAsiaTheme="minorEastAsia" w:cstheme="minorEastAsia"/>
          <w:b w:val="0"/>
          <w:bCs w:val="0"/>
          <w:sz w:val="24"/>
          <w:szCs w:val="24"/>
        </w:rPr>
        <w:t>月</w:t>
      </w:r>
      <w:r>
        <w:rPr>
          <w:rFonts w:hint="eastAsia" w:asciiTheme="minorEastAsia" w:hAnsiTheme="minorEastAsia" w:cstheme="minorEastAsia"/>
          <w:b w:val="0"/>
          <w:bCs w:val="0"/>
          <w:sz w:val="24"/>
          <w:szCs w:val="24"/>
          <w:lang w:val="en-US" w:eastAsia="zh-CN"/>
        </w:rPr>
        <w:t>14</w:t>
      </w:r>
      <w:r>
        <w:rPr>
          <w:rFonts w:hint="eastAsia" w:asciiTheme="minorEastAsia" w:hAnsiTheme="minorEastAsia" w:eastAsiaTheme="minorEastAsia" w:cstheme="minorEastAsia"/>
          <w:b w:val="0"/>
          <w:bCs w:val="0"/>
          <w:sz w:val="24"/>
          <w:szCs w:val="24"/>
        </w:rPr>
        <w:t>日（周</w:t>
      </w:r>
      <w:r>
        <w:rPr>
          <w:rFonts w:hint="eastAsia" w:asciiTheme="minorEastAsia" w:hAnsiTheme="minorEastAsia" w:cstheme="minorEastAsia"/>
          <w:b w:val="0"/>
          <w:bCs w:val="0"/>
          <w:sz w:val="24"/>
          <w:szCs w:val="24"/>
          <w:lang w:val="en-US" w:eastAsia="zh-CN"/>
        </w:rPr>
        <w:t>四</w:t>
      </w:r>
      <w:r>
        <w:rPr>
          <w:rFonts w:hint="eastAsia" w:asciiTheme="minorEastAsia" w:hAnsiTheme="minorEastAsia" w:eastAsiaTheme="minorEastAsia" w:cstheme="minorEastAsia"/>
          <w:b w:val="0"/>
          <w:bCs w:val="0"/>
          <w:sz w:val="24"/>
          <w:szCs w:val="24"/>
        </w:rPr>
        <w:t>）</w:t>
      </w:r>
      <w:r>
        <w:rPr>
          <w:rFonts w:hint="eastAsia" w:asciiTheme="minorEastAsia" w:hAnsiTheme="minorEastAsia" w:eastAsiaTheme="minorEastAsia" w:cstheme="minorEastAsia"/>
          <w:b w:val="0"/>
          <w:bCs w:val="0"/>
          <w:sz w:val="24"/>
          <w:szCs w:val="24"/>
          <w:lang w:val="en-US" w:eastAsia="zh-CN"/>
        </w:rPr>
        <w:t>1</w:t>
      </w:r>
      <w:r>
        <w:rPr>
          <w:rFonts w:hint="eastAsia" w:asciiTheme="minorEastAsia" w:hAnsiTheme="minorEastAsia" w:cstheme="minorEastAsia"/>
          <w:b w:val="0"/>
          <w:bCs w:val="0"/>
          <w:sz w:val="24"/>
          <w:szCs w:val="24"/>
          <w:lang w:val="en-US" w:eastAsia="zh-CN"/>
        </w:rPr>
        <w:t>4</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cstheme="minorEastAsia"/>
          <w:b w:val="0"/>
          <w:bCs w:val="0"/>
          <w:sz w:val="24"/>
          <w:szCs w:val="24"/>
          <w:lang w:val="en-US" w:eastAsia="zh-CN"/>
        </w:rPr>
        <w:t>0</w:t>
      </w:r>
      <w:r>
        <w:rPr>
          <w:rFonts w:hint="eastAsia" w:asciiTheme="minorEastAsia" w:hAnsiTheme="minorEastAsia" w:eastAsiaTheme="minorEastAsia" w:cstheme="minorEastAsia"/>
          <w:b w:val="0"/>
          <w:bCs w:val="0"/>
          <w:sz w:val="24"/>
          <w:szCs w:val="24"/>
        </w:rPr>
        <w:t>0～1</w:t>
      </w:r>
      <w:r>
        <w:rPr>
          <w:rFonts w:hint="eastAsia" w:asciiTheme="minorEastAsia" w:hAnsiTheme="minorEastAsia" w:eastAsiaTheme="minorEastAsia" w:cstheme="minorEastAsia"/>
          <w:b w:val="0"/>
          <w:bCs w:val="0"/>
          <w:sz w:val="24"/>
          <w:szCs w:val="24"/>
          <w:lang w:val="en-US" w:eastAsia="zh-CN"/>
        </w:rPr>
        <w:t>6</w:t>
      </w:r>
      <w:r>
        <w:rPr>
          <w:rFonts w:hint="eastAsia" w:asciiTheme="minorEastAsia" w:hAnsiTheme="minorEastAsia" w:eastAsiaTheme="minorEastAsia" w:cstheme="minorEastAsia"/>
          <w:b w:val="0"/>
          <w:bCs w:val="0"/>
          <w:sz w:val="24"/>
          <w:szCs w:val="24"/>
        </w:rPr>
        <w:t>:</w:t>
      </w:r>
      <w:r>
        <w:rPr>
          <w:rFonts w:hint="eastAsia" w:asciiTheme="minorEastAsia" w:hAnsiTheme="minorEastAsia" w:cstheme="minorEastAsia"/>
          <w:b w:val="0"/>
          <w:bCs w:val="0"/>
          <w:sz w:val="24"/>
          <w:szCs w:val="24"/>
          <w:lang w:val="en-US" w:eastAsia="zh-CN"/>
        </w:rPr>
        <w:t>0</w:t>
      </w:r>
      <w:r>
        <w:rPr>
          <w:rFonts w:hint="eastAsia" w:asciiTheme="minorEastAsia" w:hAnsiTheme="minorEastAsia" w:eastAsiaTheme="minorEastAsia" w:cstheme="minorEastAsia"/>
          <w:b w:val="0"/>
          <w:bCs w:val="0"/>
          <w:sz w:val="24"/>
          <w:szCs w:val="24"/>
          <w:lang w:eastAsia="zh-CN"/>
        </w:rPr>
        <w:t>0</w:t>
      </w:r>
      <w:r>
        <w:rPr>
          <w:rFonts w:hint="eastAsia" w:ascii="宋体" w:hAnsi="宋体"/>
          <w:sz w:val="24"/>
          <w:szCs w:val="24"/>
        </w:rPr>
        <w:t>，通过“腾讯会议”（会议ID：</w:t>
      </w:r>
      <w:r>
        <w:rPr>
          <w:rFonts w:hint="eastAsia" w:asciiTheme="minorEastAsia" w:hAnsiTheme="minorEastAsia" w:eastAsiaTheme="minorEastAsia" w:cstheme="minorEastAsia"/>
          <w:b w:val="0"/>
          <w:bCs w:val="0"/>
          <w:sz w:val="24"/>
          <w:szCs w:val="24"/>
        </w:rPr>
        <w:t>659-667-669</w:t>
      </w:r>
      <w:bookmarkStart w:id="0" w:name="_GoBack"/>
      <w:bookmarkEnd w:id="0"/>
      <w:r>
        <w:rPr>
          <w:rFonts w:hint="eastAsia" w:ascii="宋体" w:hAnsi="宋体"/>
          <w:sz w:val="24"/>
          <w:szCs w:val="24"/>
        </w:rPr>
        <w:t>）中国食品药品企业质量安全促进会组织召开立项审查会，邀请相关领域专家组成评审组，对标准项目的科学性、必要性、可操作性、技术内容和结构框架等进行全面评审。与会专家深入细致讨论，提出修改意见和建议，并集体商议及投票表决，一致同意该团体标准立项。随即报请促进会批准立项。</w:t>
      </w:r>
    </w:p>
    <w:p w14:paraId="51DD0863">
      <w:pPr>
        <w:numPr>
          <w:ilvl w:val="0"/>
          <w:numId w:val="2"/>
        </w:numPr>
        <w:spacing w:line="360" w:lineRule="auto"/>
        <w:ind w:left="0" w:leftChars="0" w:firstLine="480" w:firstLineChars="200"/>
        <w:jc w:val="left"/>
        <w:rPr>
          <w:rFonts w:hint="eastAsia" w:ascii="宋体" w:hAnsi="宋体"/>
          <w:sz w:val="24"/>
          <w:szCs w:val="24"/>
        </w:rPr>
      </w:pPr>
      <w:r>
        <w:rPr>
          <w:rFonts w:hint="eastAsia" w:ascii="宋体" w:hAnsi="宋体"/>
          <w:sz w:val="24"/>
          <w:szCs w:val="24"/>
        </w:rPr>
        <w:t>标准草案完善</w:t>
      </w:r>
    </w:p>
    <w:p w14:paraId="2D12ADE6">
      <w:pPr>
        <w:numPr>
          <w:numId w:val="0"/>
        </w:numPr>
        <w:spacing w:line="360" w:lineRule="auto"/>
        <w:ind w:firstLine="480" w:firstLineChars="200"/>
        <w:jc w:val="left"/>
        <w:rPr>
          <w:rFonts w:hint="eastAsia" w:ascii="宋体" w:hAnsi="宋体"/>
          <w:sz w:val="24"/>
          <w:szCs w:val="24"/>
        </w:rPr>
      </w:pPr>
      <w:r>
        <w:rPr>
          <w:rFonts w:hint="eastAsia" w:ascii="宋体" w:hAnsi="宋体"/>
          <w:sz w:val="24"/>
          <w:szCs w:val="24"/>
        </w:rPr>
        <w:t>根据立项审查会专家提出的意见和建议，起草工作组逐条研究、充分论证，对标准文本进行系统性修改完善。修改完成后，在起草单位内部组织召开专家论证会，邀请行业权威专家对修改后的标准文本进行二次审核，重点核查技术指标的合理性、文本表述的规范性以及修改内容的完整性。经过多轮研讨和修改完善，最终形成标准征求意见稿，并上报促进会审核并公开征求意见。</w:t>
      </w:r>
    </w:p>
    <w:p w14:paraId="0FA5BBCE">
      <w:pPr>
        <w:spacing w:line="360" w:lineRule="auto"/>
        <w:jc w:val="left"/>
        <w:rPr>
          <w:rFonts w:ascii="宋体" w:hAnsi="宋体"/>
          <w:b/>
          <w:bCs/>
          <w:sz w:val="28"/>
          <w:szCs w:val="28"/>
        </w:rPr>
      </w:pPr>
      <w:r>
        <w:rPr>
          <w:rFonts w:hint="eastAsia" w:ascii="宋体" w:hAnsi="宋体"/>
          <w:b/>
          <w:bCs/>
          <w:sz w:val="28"/>
          <w:szCs w:val="28"/>
        </w:rPr>
        <w:t>二、标准编制原则和确定标准主要内容及其论据</w:t>
      </w:r>
    </w:p>
    <w:p w14:paraId="0AE69233">
      <w:pPr>
        <w:numPr>
          <w:ilvl w:val="0"/>
          <w:numId w:val="3"/>
        </w:numPr>
        <w:spacing w:line="360" w:lineRule="auto"/>
        <w:ind w:left="0" w:leftChars="0" w:firstLine="420" w:firstLineChars="0"/>
        <w:jc w:val="left"/>
        <w:rPr>
          <w:rFonts w:hint="eastAsia" w:ascii="宋体" w:hAnsi="宋体"/>
          <w:sz w:val="24"/>
          <w:szCs w:val="24"/>
        </w:rPr>
      </w:pPr>
      <w:r>
        <w:rPr>
          <w:rFonts w:hint="eastAsia" w:ascii="宋体" w:hAnsi="宋体"/>
          <w:sz w:val="24"/>
          <w:szCs w:val="24"/>
        </w:rPr>
        <w:t>标准编制原则</w:t>
      </w:r>
    </w:p>
    <w:p w14:paraId="0482F25A">
      <w:pPr>
        <w:numPr>
          <w:ilvl w:val="0"/>
          <w:numId w:val="0"/>
        </w:numPr>
        <w:spacing w:line="360" w:lineRule="auto"/>
        <w:ind w:left="420" w:leftChars="0"/>
        <w:jc w:val="left"/>
        <w:rPr>
          <w:rFonts w:hint="eastAsia" w:ascii="宋体" w:hAnsi="宋体"/>
          <w:sz w:val="24"/>
          <w:szCs w:val="24"/>
        </w:rPr>
      </w:pPr>
      <w:r>
        <w:rPr>
          <w:rFonts w:hint="eastAsia" w:ascii="宋体" w:hAnsi="宋体"/>
          <w:sz w:val="24"/>
          <w:szCs w:val="24"/>
        </w:rPr>
        <w:t xml:space="preserve">1. 科学性  </w:t>
      </w:r>
    </w:p>
    <w:p w14:paraId="6B074DB7">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以口腔医学领域最新临床研究和循证医学证据为核心，参考世界卫生组织（WHO）《全球口腔健康战略》、国际牙科联合会（FDI）相关指南及我国《中国居民口腔健康指南》等权威规范，确保口腔健康状态分级、护理措施、指标设定等内容的科学性和专业性。</w:t>
      </w:r>
    </w:p>
    <w:p w14:paraId="7B44E64C">
      <w:pPr>
        <w:numPr>
          <w:ilvl w:val="0"/>
          <w:numId w:val="0"/>
        </w:numPr>
        <w:spacing w:line="360" w:lineRule="auto"/>
        <w:ind w:left="420" w:leftChars="0"/>
        <w:jc w:val="left"/>
        <w:rPr>
          <w:rFonts w:hint="eastAsia" w:ascii="宋体" w:hAnsi="宋体"/>
          <w:sz w:val="24"/>
          <w:szCs w:val="24"/>
        </w:rPr>
      </w:pPr>
      <w:r>
        <w:rPr>
          <w:rFonts w:hint="eastAsia" w:ascii="宋体" w:hAnsi="宋体"/>
          <w:sz w:val="24"/>
          <w:szCs w:val="24"/>
        </w:rPr>
        <w:t xml:space="preserve">2. 先进性  </w:t>
      </w:r>
    </w:p>
    <w:p w14:paraId="165CED38">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整合日常清洁、饮食管理、护理用品使用、特殊人群护理及健康促进等多维度口腔健康维护手段，首次将不同年龄段和口腔健康状态的护理需求纳入统一技术框架，形成覆盖</w:t>
      </w:r>
      <w:r>
        <w:rPr>
          <w:rFonts w:hint="eastAsia" w:ascii="宋体" w:hAnsi="宋体"/>
          <w:sz w:val="24"/>
          <w:szCs w:val="24"/>
          <w:lang w:eastAsia="zh-CN"/>
        </w:rPr>
        <w:t>“</w:t>
      </w:r>
      <w:r>
        <w:rPr>
          <w:rFonts w:hint="eastAsia" w:ascii="宋体" w:hAnsi="宋体"/>
          <w:sz w:val="24"/>
          <w:szCs w:val="24"/>
        </w:rPr>
        <w:t>评估—预防—干预—维护</w:t>
      </w:r>
      <w:r>
        <w:rPr>
          <w:rFonts w:hint="eastAsia" w:ascii="宋体" w:hAnsi="宋体"/>
          <w:sz w:val="24"/>
          <w:szCs w:val="24"/>
          <w:lang w:eastAsia="zh-CN"/>
        </w:rPr>
        <w:t>”</w:t>
      </w:r>
      <w:r>
        <w:rPr>
          <w:rFonts w:hint="eastAsia" w:ascii="宋体" w:hAnsi="宋体"/>
          <w:sz w:val="24"/>
          <w:szCs w:val="24"/>
        </w:rPr>
        <w:t>的全链条规范，对接国际口腔健康护理标准的前沿理念。</w:t>
      </w:r>
    </w:p>
    <w:p w14:paraId="2C519C6C">
      <w:pPr>
        <w:numPr>
          <w:ilvl w:val="0"/>
          <w:numId w:val="0"/>
        </w:numPr>
        <w:spacing w:line="360" w:lineRule="auto"/>
        <w:ind w:left="420" w:leftChars="0"/>
        <w:jc w:val="left"/>
        <w:rPr>
          <w:rFonts w:hint="eastAsia" w:ascii="宋体" w:hAnsi="宋体"/>
          <w:sz w:val="24"/>
          <w:szCs w:val="24"/>
        </w:rPr>
      </w:pPr>
      <w:r>
        <w:rPr>
          <w:rFonts w:hint="eastAsia" w:ascii="宋体" w:hAnsi="宋体"/>
          <w:sz w:val="24"/>
          <w:szCs w:val="24"/>
        </w:rPr>
        <w:t xml:space="preserve">3. 实用性  </w:t>
      </w:r>
    </w:p>
    <w:p w14:paraId="5D9ADB07">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所有护理建议结合我国居民日常生活习惯和实际条件，如刷牙方法考虑不同年龄段的操作能力，饮食建议选用常见食材，护理用品选择国内市场上普及的产品；配套刷牙指导图示、牙线使用方法、口腔健康自评表等实用工具，便于家庭、社区及医疗机构直接落地实施。</w:t>
      </w:r>
    </w:p>
    <w:p w14:paraId="1B0F3C8F">
      <w:pPr>
        <w:numPr>
          <w:ilvl w:val="0"/>
          <w:numId w:val="0"/>
        </w:numPr>
        <w:spacing w:line="360" w:lineRule="auto"/>
        <w:ind w:left="420" w:leftChars="0"/>
        <w:jc w:val="left"/>
        <w:rPr>
          <w:rFonts w:hint="eastAsia" w:ascii="宋体" w:hAnsi="宋体"/>
          <w:sz w:val="24"/>
          <w:szCs w:val="24"/>
        </w:rPr>
      </w:pPr>
      <w:r>
        <w:rPr>
          <w:rFonts w:hint="eastAsia" w:ascii="宋体" w:hAnsi="宋体"/>
          <w:sz w:val="24"/>
          <w:szCs w:val="24"/>
        </w:rPr>
        <w:t xml:space="preserve">4. 协调性  </w:t>
      </w:r>
    </w:p>
    <w:p w14:paraId="2C7636DF">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与现行《中华人民共和国基本医疗卫生与健康促进法》《健康中国2030规划纲要》及《中国居民口腔健康指南》《国民营养计划》等相关政策、标准无缝衔接，确保口腔健康护理要求与国家卫生战略和技术规范的一致性和兼容性。</w:t>
      </w:r>
    </w:p>
    <w:p w14:paraId="0CC5BD85">
      <w:pPr>
        <w:numPr>
          <w:ilvl w:val="0"/>
          <w:numId w:val="0"/>
        </w:numPr>
        <w:spacing w:line="360" w:lineRule="auto"/>
        <w:ind w:left="420" w:leftChars="0"/>
        <w:jc w:val="left"/>
        <w:rPr>
          <w:rFonts w:hint="eastAsia" w:ascii="宋体" w:hAnsi="宋体"/>
          <w:sz w:val="24"/>
          <w:szCs w:val="24"/>
        </w:rPr>
      </w:pPr>
      <w:r>
        <w:rPr>
          <w:rFonts w:hint="eastAsia" w:ascii="宋体" w:hAnsi="宋体"/>
          <w:sz w:val="24"/>
          <w:szCs w:val="24"/>
        </w:rPr>
        <w:t xml:space="preserve">5. 安全性  </w:t>
      </w:r>
    </w:p>
    <w:p w14:paraId="1987158C">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护理措施严格遵循循序渐进原则，如牙龈护理从轻柔清洁开始逐步适应；口腔护理用品使用以避免刺激为前提，明确敏感人群需在专业指导下选用；特殊人群（如孕妇、儿童、老年人）护理强调由专业人员指导，确保各类人群在口腔护理过程中的安全性和适应性。</w:t>
      </w:r>
    </w:p>
    <w:p w14:paraId="009D1BD0">
      <w:pPr>
        <w:numPr>
          <w:ilvl w:val="0"/>
          <w:numId w:val="3"/>
        </w:numPr>
        <w:spacing w:line="360" w:lineRule="auto"/>
        <w:ind w:left="0" w:leftChars="0" w:firstLine="420" w:firstLineChars="0"/>
        <w:jc w:val="left"/>
        <w:rPr>
          <w:rFonts w:hint="eastAsia" w:ascii="宋体" w:hAnsi="宋体"/>
          <w:sz w:val="24"/>
          <w:szCs w:val="24"/>
        </w:rPr>
      </w:pPr>
      <w:r>
        <w:rPr>
          <w:rFonts w:hint="eastAsia" w:ascii="宋体" w:hAnsi="宋体"/>
          <w:sz w:val="24"/>
          <w:szCs w:val="24"/>
        </w:rPr>
        <w:t>标准主要内容</w:t>
      </w:r>
    </w:p>
    <w:p w14:paraId="5B9069CB">
      <w:pPr>
        <w:numPr>
          <w:ilvl w:val="0"/>
          <w:numId w:val="0"/>
        </w:numPr>
        <w:spacing w:line="360" w:lineRule="auto"/>
        <w:ind w:left="420" w:leftChars="0"/>
        <w:jc w:val="left"/>
        <w:rPr>
          <w:rFonts w:hint="eastAsia" w:ascii="宋体" w:hAnsi="宋体"/>
          <w:sz w:val="24"/>
          <w:szCs w:val="24"/>
        </w:rPr>
      </w:pPr>
      <w:r>
        <w:rPr>
          <w:rFonts w:hint="eastAsia" w:ascii="宋体" w:hAnsi="宋体"/>
          <w:sz w:val="24"/>
          <w:szCs w:val="24"/>
        </w:rPr>
        <w:t>《居民口腔健康护理指南》团体标准的主要技术内容包括以下几个方面：</w:t>
      </w:r>
    </w:p>
    <w:p w14:paraId="1FB58BBD">
      <w:pPr>
        <w:numPr>
          <w:ilvl w:val="0"/>
          <w:numId w:val="0"/>
        </w:numPr>
        <w:spacing w:line="360" w:lineRule="auto"/>
        <w:ind w:left="420" w:leftChars="0"/>
        <w:jc w:val="left"/>
        <w:rPr>
          <w:rFonts w:hint="eastAsia" w:ascii="宋体" w:hAnsi="宋体"/>
          <w:sz w:val="24"/>
          <w:szCs w:val="24"/>
        </w:rPr>
      </w:pPr>
      <w:r>
        <w:rPr>
          <w:rFonts w:hint="eastAsia" w:ascii="宋体" w:hAnsi="宋体"/>
          <w:sz w:val="24"/>
          <w:szCs w:val="24"/>
        </w:rPr>
        <w:t>1. 范围</w:t>
      </w:r>
    </w:p>
    <w:p w14:paraId="5A3F13D9">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规定了居民口腔健康护理的基本要求，描述了口腔健康状态、口腔问题表现、口腔疾病影响和口腔健康护理提倡。适用于指导居民口腔健康护理。</w:t>
      </w:r>
    </w:p>
    <w:p w14:paraId="087AD69F">
      <w:pPr>
        <w:numPr>
          <w:ilvl w:val="0"/>
          <w:numId w:val="0"/>
        </w:numPr>
        <w:spacing w:line="360" w:lineRule="auto"/>
        <w:ind w:left="420" w:leftChars="0"/>
        <w:jc w:val="left"/>
        <w:rPr>
          <w:rFonts w:hint="eastAsia" w:ascii="宋体" w:hAnsi="宋体"/>
          <w:sz w:val="24"/>
          <w:szCs w:val="24"/>
        </w:rPr>
      </w:pPr>
      <w:r>
        <w:rPr>
          <w:rFonts w:hint="eastAsia" w:ascii="宋体" w:hAnsi="宋体"/>
          <w:sz w:val="24"/>
          <w:szCs w:val="24"/>
        </w:rPr>
        <w:t>2. 规范性引用文件</w:t>
      </w:r>
    </w:p>
    <w:p w14:paraId="38F8B051">
      <w:pPr>
        <w:numPr>
          <w:ilvl w:val="0"/>
          <w:numId w:val="0"/>
        </w:numPr>
        <w:spacing w:line="360" w:lineRule="auto"/>
        <w:ind w:left="420" w:leftChars="0"/>
        <w:jc w:val="left"/>
        <w:rPr>
          <w:rFonts w:hint="eastAsia" w:ascii="宋体" w:hAnsi="宋体"/>
          <w:sz w:val="24"/>
          <w:szCs w:val="24"/>
        </w:rPr>
      </w:pPr>
      <w:r>
        <w:rPr>
          <w:rFonts w:hint="eastAsia" w:ascii="宋体" w:hAnsi="宋体"/>
          <w:sz w:val="24"/>
          <w:szCs w:val="24"/>
        </w:rPr>
        <w:t xml:space="preserve"> 本文件没有规范性引用文件。</w:t>
      </w:r>
    </w:p>
    <w:p w14:paraId="069EC2C3">
      <w:pPr>
        <w:numPr>
          <w:ilvl w:val="0"/>
          <w:numId w:val="4"/>
        </w:numPr>
        <w:spacing w:line="360" w:lineRule="auto"/>
        <w:ind w:left="420" w:leftChars="0"/>
        <w:jc w:val="left"/>
        <w:rPr>
          <w:rFonts w:hint="eastAsia" w:ascii="宋体" w:hAnsi="宋体"/>
          <w:sz w:val="24"/>
          <w:szCs w:val="24"/>
        </w:rPr>
      </w:pPr>
      <w:r>
        <w:rPr>
          <w:rFonts w:hint="eastAsia" w:ascii="宋体" w:hAnsi="宋体"/>
          <w:sz w:val="24"/>
          <w:szCs w:val="24"/>
        </w:rPr>
        <w:t>术语和定义</w:t>
      </w:r>
    </w:p>
    <w:p w14:paraId="245159E5">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口腔健康：指口腔内各种组织和器官的功能正常，没有发生疾病或损伤的状态。</w:t>
      </w:r>
    </w:p>
    <w:p w14:paraId="71313537">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口腔护理：指对口腔进行预防和治疗的一系列措施，旨在保持口腔健康并预防口腔疾病的发生。</w:t>
      </w:r>
    </w:p>
    <w:p w14:paraId="5CFA2B62">
      <w:pPr>
        <w:numPr>
          <w:ilvl w:val="0"/>
          <w:numId w:val="0"/>
        </w:numPr>
        <w:spacing w:line="360" w:lineRule="auto"/>
        <w:ind w:left="420" w:leftChars="0"/>
        <w:jc w:val="left"/>
        <w:rPr>
          <w:rFonts w:hint="eastAsia" w:ascii="宋体" w:hAnsi="宋体"/>
          <w:sz w:val="24"/>
          <w:szCs w:val="24"/>
        </w:rPr>
      </w:pPr>
      <w:r>
        <w:rPr>
          <w:rFonts w:hint="eastAsia" w:ascii="宋体" w:hAnsi="宋体"/>
          <w:sz w:val="24"/>
          <w:szCs w:val="24"/>
        </w:rPr>
        <w:t>4. 总体要求</w:t>
      </w:r>
    </w:p>
    <w:p w14:paraId="05D6FEFE">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防治结合：坚持预防为主、防治结合，推广使用保健牙刷、含氟牙膏、牙线等口腔保健用品，倡导定期接受口腔健康检查、预防性口腔洁治、早期治疗等口腔疾病防治服务。</w:t>
      </w:r>
    </w:p>
    <w:p w14:paraId="2713CDD9">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健全体系：建立健全的口腔健康护理体系，整体提升口腔卫生服务能力，引导居民正确认识口腔健康问题，全面提升居民口腔健康水平。</w:t>
      </w:r>
    </w:p>
    <w:p w14:paraId="49AA80FF">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宣传教育：全面普及和传播口腔健康知识，创新宣传形式和载体，提高口腔健康教育的可及性，引导居民形成自主自律的健康生活方式。</w:t>
      </w:r>
    </w:p>
    <w:p w14:paraId="2F1C1417">
      <w:pPr>
        <w:numPr>
          <w:ilvl w:val="0"/>
          <w:numId w:val="0"/>
        </w:numPr>
        <w:spacing w:line="360" w:lineRule="auto"/>
        <w:ind w:left="420" w:leftChars="0"/>
        <w:jc w:val="left"/>
        <w:rPr>
          <w:rFonts w:hint="eastAsia" w:ascii="宋体" w:hAnsi="宋体"/>
          <w:sz w:val="24"/>
          <w:szCs w:val="24"/>
        </w:rPr>
      </w:pPr>
      <w:r>
        <w:rPr>
          <w:rFonts w:hint="eastAsia" w:ascii="宋体" w:hAnsi="宋体"/>
          <w:sz w:val="24"/>
          <w:szCs w:val="24"/>
        </w:rPr>
        <w:t>5. 口腔健康等级</w:t>
      </w:r>
    </w:p>
    <w:p w14:paraId="794B8C17">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轻度口腔问题(OH1)：牙龈轻度泛红，牙面有软垢，口腔异味等。</w:t>
      </w:r>
    </w:p>
    <w:p w14:paraId="525B0F67">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中度口腔问题(OH2)：牙龈红肿，刷牙偶有出血，轻度牙龈萎缩、牙齿敏感、牙龈酸痛等。</w:t>
      </w:r>
    </w:p>
    <w:p w14:paraId="5A1C1F2D">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重度口腔问题(OH3)：牙龈红肿溢脓，刷牙明显出血，龋坏严重或残冠，牙龈萎缩导致牙本质敏感等。</w:t>
      </w:r>
    </w:p>
    <w:p w14:paraId="6B20B87C">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术后口腔问题(OH4)：牙周手术后或口腔微创手术后，口腔粘膜组织损坏严重，牙龈红肿化脓，偶有自发性出血，牙龈萎缩导致牙根暴露，残冠或残根，伴有牙髓炎或根尖周炎等。</w:t>
      </w:r>
    </w:p>
    <w:p w14:paraId="28DB92E1">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严重术后养护问题(OH5)：牙周手术后或牙周炎严重导致牙龈红肿溢脓、自发性出血、口臭、咬合无力，牙齿松动和移位，多个残根残冠，口腔粘膜严重的溃疡和糜烂等。</w:t>
      </w:r>
    </w:p>
    <w:p w14:paraId="5DFB30F7">
      <w:pPr>
        <w:numPr>
          <w:ilvl w:val="0"/>
          <w:numId w:val="0"/>
        </w:numPr>
        <w:spacing w:line="360" w:lineRule="auto"/>
        <w:ind w:left="420" w:leftChars="0"/>
        <w:jc w:val="left"/>
        <w:rPr>
          <w:rFonts w:hint="eastAsia" w:ascii="宋体" w:hAnsi="宋体"/>
          <w:sz w:val="24"/>
          <w:szCs w:val="24"/>
        </w:rPr>
      </w:pPr>
      <w:r>
        <w:rPr>
          <w:rFonts w:hint="eastAsia" w:ascii="宋体" w:hAnsi="宋体"/>
          <w:sz w:val="24"/>
          <w:szCs w:val="24"/>
        </w:rPr>
        <w:t>6. 口腔健康状态</w:t>
      </w:r>
    </w:p>
    <w:p w14:paraId="232B0F63">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包括舌苔和牙齿清洁、无龋洞、无疼痛感、牙齿和牙龈颜色正常、牙齿排列整齐、不塞牙、无缺牙、咬合舒适、无口臭等方面的具体要求。</w:t>
      </w:r>
    </w:p>
    <w:p w14:paraId="52D5C89D">
      <w:pPr>
        <w:numPr>
          <w:ilvl w:val="0"/>
          <w:numId w:val="0"/>
        </w:numPr>
        <w:spacing w:line="360" w:lineRule="auto"/>
        <w:ind w:left="420" w:leftChars="0"/>
        <w:jc w:val="left"/>
        <w:rPr>
          <w:rFonts w:hint="eastAsia" w:ascii="宋体" w:hAnsi="宋体"/>
          <w:sz w:val="24"/>
          <w:szCs w:val="24"/>
        </w:rPr>
      </w:pPr>
      <w:r>
        <w:rPr>
          <w:rFonts w:hint="eastAsia" w:ascii="宋体" w:hAnsi="宋体"/>
          <w:sz w:val="24"/>
          <w:szCs w:val="24"/>
        </w:rPr>
        <w:t>7. 常见口腔疾病</w:t>
      </w:r>
    </w:p>
    <w:p w14:paraId="04CF5640">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龋齿：牙齿表面的珐琅质被酸性物质侵蚀形成的蛀牙。</w:t>
      </w:r>
    </w:p>
    <w:p w14:paraId="5D3583DD">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牙周疾病：包括牙龈炎和牙周炎，可能导致牙槽骨吸收、牙齿松动甚至脱落。</w:t>
      </w:r>
    </w:p>
    <w:p w14:paraId="1B30295E">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牙龈萎缩：牙龈边缘逐渐向根尖退缩，分为生理性和病理性萎缩。</w:t>
      </w:r>
    </w:p>
    <w:p w14:paraId="05D1224A">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口腔黏膜疾病：如口腔溃疡、口腔白斑、口腔扁平苔藓等，可能发展为口腔癌。</w:t>
      </w:r>
    </w:p>
    <w:p w14:paraId="60E30B75">
      <w:pPr>
        <w:numPr>
          <w:ilvl w:val="0"/>
          <w:numId w:val="0"/>
        </w:numPr>
        <w:spacing w:line="360" w:lineRule="auto"/>
        <w:ind w:left="420" w:leftChars="0"/>
        <w:jc w:val="left"/>
        <w:rPr>
          <w:rFonts w:hint="eastAsia" w:ascii="宋体" w:hAnsi="宋体"/>
          <w:sz w:val="24"/>
          <w:szCs w:val="24"/>
        </w:rPr>
      </w:pPr>
    </w:p>
    <w:p w14:paraId="6412FE3A">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牙齿畸形：影响美观和咀嚼功能，增加龋齿和牙周疾病风险。</w:t>
      </w:r>
    </w:p>
    <w:p w14:paraId="4DF425F5">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口腔癌：发生在口腔黏膜组织的恶性肿瘤，危险因素包括吸烟、饮酒、咀嚼槟榔等。</w:t>
      </w:r>
    </w:p>
    <w:p w14:paraId="39478137">
      <w:pPr>
        <w:numPr>
          <w:ilvl w:val="0"/>
          <w:numId w:val="5"/>
        </w:numPr>
        <w:spacing w:line="360" w:lineRule="auto"/>
        <w:ind w:left="420" w:leftChars="0"/>
        <w:jc w:val="left"/>
        <w:rPr>
          <w:rFonts w:hint="eastAsia" w:ascii="宋体" w:hAnsi="宋体"/>
          <w:sz w:val="24"/>
          <w:szCs w:val="24"/>
        </w:rPr>
      </w:pPr>
      <w:r>
        <w:rPr>
          <w:rFonts w:hint="eastAsia" w:ascii="宋体" w:hAnsi="宋体"/>
          <w:sz w:val="24"/>
          <w:szCs w:val="24"/>
        </w:rPr>
        <w:t>口腔疾病影响</w:t>
      </w:r>
    </w:p>
    <w:p w14:paraId="074ACB9D">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包括疼痛、咀嚼功能下降、发音问题、饮食限制、社交影响、自卑感、全身性疾病风险增加等。</w:t>
      </w:r>
    </w:p>
    <w:p w14:paraId="5B76A33A">
      <w:pPr>
        <w:numPr>
          <w:ilvl w:val="0"/>
          <w:numId w:val="5"/>
        </w:numPr>
        <w:spacing w:line="360" w:lineRule="auto"/>
        <w:ind w:left="420" w:leftChars="0" w:firstLine="0" w:firstLineChars="0"/>
        <w:jc w:val="left"/>
        <w:rPr>
          <w:rFonts w:hint="eastAsia" w:ascii="宋体" w:hAnsi="宋体"/>
          <w:sz w:val="24"/>
          <w:szCs w:val="24"/>
        </w:rPr>
      </w:pPr>
      <w:r>
        <w:rPr>
          <w:rFonts w:hint="eastAsia" w:ascii="宋体" w:hAnsi="宋体"/>
          <w:sz w:val="24"/>
          <w:szCs w:val="24"/>
        </w:rPr>
        <w:t>口腔健康日常护理基本要求</w:t>
      </w:r>
    </w:p>
    <w:p w14:paraId="38F7B9EB">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清洁口腔：每天早晚刷牙，使用巴氏刷牙法，餐后漱口，使用牙线，特殊人群（如孕妇、婴儿、老年人）的特别护理建议。</w:t>
      </w:r>
    </w:p>
    <w:p w14:paraId="021C2232">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饮食：多食用水果、蔬菜和鱼类，少食甜食和酸性食物，避免辛辣刺激性食物，保持口腔湿润，避免咬硬物和过冷过热食物，咀嚼无糖口香糖。</w:t>
      </w:r>
    </w:p>
    <w:p w14:paraId="17BC3739">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使用口腔护理用品：定期更换牙刷和牙膏，选择合适的口腔护理用品，如软毛牙刷、含氟牙膏、牙线、漱口水等。</w:t>
      </w:r>
    </w:p>
    <w:p w14:paraId="639B4A2B">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睡眠姿势：保持仰卧姿势，避免口腔干燥。</w:t>
      </w:r>
    </w:p>
    <w:p w14:paraId="1CA7ADD1">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清洁护理义齿：正确清洁和保养义齿。</w:t>
      </w:r>
    </w:p>
    <w:p w14:paraId="275DD569">
      <w:pPr>
        <w:numPr>
          <w:ilvl w:val="0"/>
          <w:numId w:val="0"/>
        </w:numPr>
        <w:spacing w:line="360" w:lineRule="auto"/>
        <w:ind w:left="420" w:leftChars="0"/>
        <w:jc w:val="left"/>
        <w:rPr>
          <w:rFonts w:hint="eastAsia" w:ascii="宋体" w:hAnsi="宋体"/>
          <w:sz w:val="24"/>
          <w:szCs w:val="24"/>
        </w:rPr>
      </w:pPr>
      <w:r>
        <w:rPr>
          <w:rFonts w:hint="eastAsia" w:ascii="宋体" w:hAnsi="宋体"/>
          <w:sz w:val="24"/>
          <w:szCs w:val="24"/>
        </w:rPr>
        <w:t>10. 口腔健康护理提倡：</w:t>
      </w:r>
    </w:p>
    <w:p w14:paraId="79655D3A">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教育活动：定期开展口腔健康教育，结合多种宣传方式进行卫生宣传教育，提供免费口腔健康检查，组织健康科普专家宣讲。</w:t>
      </w:r>
    </w:p>
    <w:p w14:paraId="3D696F69">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保健和治疗：定期进行口腔检查和保健治疗，选择具备执业资质的口腔医疗机构，注意口腔卫生，定期洁治和洗牙，特别关注特殊人群的口腔护理。</w:t>
      </w:r>
    </w:p>
    <w:p w14:paraId="66CBE9BB">
      <w:pPr>
        <w:spacing w:line="360" w:lineRule="auto"/>
        <w:jc w:val="left"/>
        <w:rPr>
          <w:rFonts w:ascii="宋体" w:hAnsi="宋体"/>
          <w:b/>
          <w:bCs/>
          <w:sz w:val="28"/>
          <w:szCs w:val="28"/>
        </w:rPr>
      </w:pPr>
      <w:r>
        <w:rPr>
          <w:rFonts w:hint="eastAsia" w:ascii="宋体" w:hAnsi="宋体"/>
          <w:b/>
          <w:bCs/>
          <w:sz w:val="28"/>
          <w:szCs w:val="28"/>
        </w:rPr>
        <w:t>三、与现行法律法规及标准的符合性说明</w:t>
      </w:r>
    </w:p>
    <w:p w14:paraId="138D9DBF">
      <w:pPr>
        <w:spacing w:line="360" w:lineRule="auto"/>
        <w:ind w:firstLine="480" w:firstLineChars="200"/>
        <w:jc w:val="left"/>
        <w:rPr>
          <w:rFonts w:hint="eastAsia" w:ascii="宋体" w:hAnsi="宋体"/>
          <w:sz w:val="24"/>
          <w:szCs w:val="24"/>
        </w:rPr>
      </w:pPr>
      <w:r>
        <w:rPr>
          <w:rFonts w:hint="eastAsia" w:ascii="宋体" w:hAnsi="宋体"/>
          <w:sz w:val="24"/>
          <w:szCs w:val="24"/>
          <w:lang w:val="en-US" w:eastAsia="zh-CN"/>
        </w:rPr>
        <w:t>标准严格遵循GB/T 1.1—2020《标准化工作导则》起草，其内容在口腔清洁、饮食管理、护理用品使用及特殊人群护理等方面均符合《中华人民共和国基本医疗卫生与健康促进法》《健康中国2030规划纲要》等现行法律法规要求，并与《中国居民口腔健康指南》《国民营养计划》等标准紧密衔接，确保了科学性、合规性与实用性。</w:t>
      </w:r>
    </w:p>
    <w:p w14:paraId="4C28BA94">
      <w:pPr>
        <w:spacing w:line="360" w:lineRule="auto"/>
        <w:jc w:val="left"/>
        <w:rPr>
          <w:rFonts w:ascii="宋体" w:hAnsi="宋体"/>
          <w:b/>
          <w:bCs/>
          <w:sz w:val="28"/>
          <w:szCs w:val="28"/>
        </w:rPr>
      </w:pPr>
      <w:r>
        <w:rPr>
          <w:rFonts w:hint="eastAsia" w:ascii="宋体" w:hAnsi="宋体"/>
          <w:b/>
          <w:bCs/>
          <w:sz w:val="28"/>
          <w:szCs w:val="28"/>
        </w:rPr>
        <w:t>四、重大分歧意见的处理经过和依据</w:t>
      </w:r>
    </w:p>
    <w:p w14:paraId="5D9FB10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在标准编制过程中，起草组内部未出现重大分歧意见。起草组成员均来自相关领域的权威机构和企业，具有丰富的专业知识和实践经验。在标准起草过程中，起草组多次组织内部讨论和专家咨询，充分听取各方意见，确保标准内容的科学性、合理性和可操作性。对于一些具体条款的制定，起草组在充分调研和论证的基础上，结合国内外相关研究进展和行业实际情况，达成了共识。</w:t>
      </w:r>
    </w:p>
    <w:p w14:paraId="662C809B">
      <w:pPr>
        <w:spacing w:line="360" w:lineRule="auto"/>
        <w:jc w:val="left"/>
        <w:rPr>
          <w:rFonts w:ascii="宋体" w:hAnsi="宋体"/>
          <w:b/>
          <w:bCs/>
          <w:sz w:val="28"/>
          <w:szCs w:val="28"/>
        </w:rPr>
      </w:pPr>
      <w:r>
        <w:rPr>
          <w:rFonts w:hint="eastAsia" w:ascii="宋体" w:hAnsi="宋体"/>
          <w:b/>
          <w:bCs/>
          <w:sz w:val="28"/>
          <w:szCs w:val="28"/>
        </w:rPr>
        <w:t>五、贯彻促进会标准的要求和措施建议</w:t>
      </w:r>
    </w:p>
    <w:p w14:paraId="392F9A6A">
      <w:pPr>
        <w:spacing w:line="360" w:lineRule="auto"/>
        <w:jc w:val="left"/>
        <w:rPr>
          <w:rFonts w:hint="eastAsia" w:ascii="宋体" w:hAnsi="宋体" w:eastAsia="宋体" w:cs="宋体"/>
          <w:sz w:val="24"/>
          <w:szCs w:val="24"/>
        </w:rPr>
      </w:pPr>
      <w:r>
        <w:rPr>
          <w:rFonts w:hint="eastAsia" w:ascii="宋体" w:hAnsi="宋体" w:eastAsia="宋体" w:cs="宋体"/>
          <w:sz w:val="24"/>
          <w:szCs w:val="24"/>
        </w:rPr>
        <w:t>（一）贯彻促进会标准的要求</w:t>
      </w:r>
    </w:p>
    <w:p w14:paraId="39938A8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1.加强宣传推广</w:t>
      </w:r>
    </w:p>
    <w:p w14:paraId="04E038C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通过多种渠道，如行业会议、学术研讨会、网络平台等，广泛宣传本标准的重要性和具体内容，提高全民对标准的认知度和重视程度。</w:t>
      </w:r>
    </w:p>
    <w:p w14:paraId="6C1DF84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2.开展培训活动</w:t>
      </w:r>
    </w:p>
    <w:p w14:paraId="4204762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组织相关专家和技术人员，针对标准的主要内容、等开展培训活动，帮助单位和研究人员更好地理解和应用标准。</w:t>
      </w:r>
    </w:p>
    <w:p w14:paraId="74CE0152">
      <w:pPr>
        <w:spacing w:line="360" w:lineRule="auto"/>
        <w:jc w:val="left"/>
        <w:rPr>
          <w:rFonts w:hint="eastAsia" w:ascii="宋体" w:hAnsi="宋体" w:eastAsia="宋体" w:cs="宋体"/>
          <w:sz w:val="24"/>
          <w:szCs w:val="24"/>
        </w:rPr>
      </w:pPr>
      <w:r>
        <w:rPr>
          <w:rFonts w:hint="eastAsia" w:ascii="宋体" w:hAnsi="宋体" w:eastAsia="宋体" w:cs="宋体"/>
          <w:sz w:val="24"/>
          <w:szCs w:val="24"/>
        </w:rPr>
        <w:t>（二）措施建议</w:t>
      </w:r>
    </w:p>
    <w:p w14:paraId="5EEB3A6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1.组织措施</w:t>
      </w:r>
    </w:p>
    <w:p w14:paraId="48FDEC1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成立专门的标准实施推进小组，负责标准的宣传、培训、监督等工作，确保各项工作有序推进。</w:t>
      </w:r>
    </w:p>
    <w:p w14:paraId="758283B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2.技术措施</w:t>
      </w:r>
    </w:p>
    <w:p w14:paraId="6C9F386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建立标准实施的技术支持平台，为企业和研究人员提供技术咨询等服务，帮助解决标准实施过程中遇到的技术问题。</w:t>
      </w:r>
    </w:p>
    <w:p w14:paraId="01542F13">
      <w:pPr>
        <w:spacing w:line="360" w:lineRule="auto"/>
        <w:jc w:val="left"/>
        <w:rPr>
          <w:rFonts w:hint="eastAsia" w:ascii="宋体" w:hAnsi="宋体"/>
          <w:b/>
          <w:bCs/>
          <w:sz w:val="28"/>
          <w:szCs w:val="28"/>
        </w:rPr>
      </w:pPr>
      <w:r>
        <w:rPr>
          <w:rFonts w:hint="eastAsia" w:ascii="宋体" w:hAnsi="宋体"/>
          <w:b/>
          <w:bCs/>
          <w:sz w:val="28"/>
          <w:szCs w:val="28"/>
        </w:rPr>
        <w:t>六、其他应予说明的事项</w:t>
      </w:r>
    </w:p>
    <w:p w14:paraId="2DBE8DE6">
      <w:pPr>
        <w:spacing w:line="360" w:lineRule="auto"/>
        <w:ind w:firstLine="480" w:firstLineChars="200"/>
        <w:jc w:val="left"/>
        <w:rPr>
          <w:rFonts w:hint="eastAsia" w:ascii="宋体" w:hAnsi="宋体" w:eastAsiaTheme="minorEastAsia"/>
          <w:sz w:val="24"/>
          <w:szCs w:val="24"/>
          <w:lang w:val="en-US" w:eastAsia="zh-CN"/>
        </w:rPr>
      </w:pPr>
      <w:r>
        <w:rPr>
          <w:rFonts w:hint="eastAsia" w:ascii="宋体" w:hAnsi="宋体"/>
          <w:sz w:val="24"/>
          <w:szCs w:val="24"/>
          <w:lang w:val="en-US" w:eastAsia="zh-CN"/>
        </w:rPr>
        <w:t>无</w:t>
      </w:r>
    </w:p>
    <w:p w14:paraId="0FEC6A15">
      <w:pPr>
        <w:rPr>
          <w:rFonts w:hint="default" w:ascii="宋体" w:hAnsi="宋体" w:eastAsiaTheme="minorEastAsia"/>
          <w:sz w:val="22"/>
          <w:szCs w:val="22"/>
          <w:lang w:val="en-US" w:eastAsia="zh-CN"/>
        </w:rPr>
      </w:pPr>
    </w:p>
    <w:sectPr>
      <w:pgSz w:w="11906" w:h="16838"/>
      <w:pgMar w:top="1440" w:right="1293" w:bottom="1440"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E16ED0"/>
    <w:multiLevelType w:val="singleLevel"/>
    <w:tmpl w:val="87E16ED0"/>
    <w:lvl w:ilvl="0" w:tentative="0">
      <w:start w:val="5"/>
      <w:numFmt w:val="decimal"/>
      <w:lvlText w:val="%1."/>
      <w:lvlJc w:val="left"/>
      <w:pPr>
        <w:tabs>
          <w:tab w:val="left" w:pos="312"/>
        </w:tabs>
      </w:pPr>
    </w:lvl>
  </w:abstractNum>
  <w:abstractNum w:abstractNumId="1">
    <w:nsid w:val="BBDDED21"/>
    <w:multiLevelType w:val="singleLevel"/>
    <w:tmpl w:val="BBDDED21"/>
    <w:lvl w:ilvl="0" w:tentative="0">
      <w:start w:val="1"/>
      <w:numFmt w:val="chineseCounting"/>
      <w:suff w:val="nothing"/>
      <w:lvlText w:val="（%1）"/>
      <w:lvlJc w:val="left"/>
      <w:pPr>
        <w:ind w:left="0" w:firstLine="420"/>
      </w:pPr>
      <w:rPr>
        <w:rFonts w:hint="eastAsia"/>
      </w:rPr>
    </w:lvl>
  </w:abstractNum>
  <w:abstractNum w:abstractNumId="2">
    <w:nsid w:val="C58EFE8E"/>
    <w:multiLevelType w:val="singleLevel"/>
    <w:tmpl w:val="C58EFE8E"/>
    <w:lvl w:ilvl="0" w:tentative="0">
      <w:start w:val="3"/>
      <w:numFmt w:val="decimal"/>
      <w:suff w:val="space"/>
      <w:lvlText w:val="%1."/>
      <w:lvlJc w:val="left"/>
    </w:lvl>
  </w:abstractNum>
  <w:abstractNum w:abstractNumId="3">
    <w:nsid w:val="352F308C"/>
    <w:multiLevelType w:val="singleLevel"/>
    <w:tmpl w:val="352F308C"/>
    <w:lvl w:ilvl="0" w:tentative="0">
      <w:start w:val="1"/>
      <w:numFmt w:val="chineseCounting"/>
      <w:suff w:val="nothing"/>
      <w:lvlText w:val="（%1）"/>
      <w:lvlJc w:val="left"/>
      <w:pPr>
        <w:ind w:left="0" w:firstLine="420"/>
      </w:pPr>
      <w:rPr>
        <w:rFonts w:hint="eastAsia"/>
      </w:rPr>
    </w:lvl>
  </w:abstractNum>
  <w:abstractNum w:abstractNumId="4">
    <w:nsid w:val="439BBDDF"/>
    <w:multiLevelType w:val="singleLevel"/>
    <w:tmpl w:val="439BBDDF"/>
    <w:lvl w:ilvl="0" w:tentative="0">
      <w:start w:val="8"/>
      <w:numFmt w:val="decimal"/>
      <w:suff w:val="space"/>
      <w:lvlText w:val="%1."/>
      <w:lvlJc w:val="left"/>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94F"/>
    <w:rsid w:val="000158EC"/>
    <w:rsid w:val="001B77BA"/>
    <w:rsid w:val="001E07EB"/>
    <w:rsid w:val="00377EBA"/>
    <w:rsid w:val="003F6FA2"/>
    <w:rsid w:val="00523E37"/>
    <w:rsid w:val="005D0DA1"/>
    <w:rsid w:val="005E79EF"/>
    <w:rsid w:val="006046A5"/>
    <w:rsid w:val="00752B6E"/>
    <w:rsid w:val="007B159F"/>
    <w:rsid w:val="007D2234"/>
    <w:rsid w:val="00850635"/>
    <w:rsid w:val="00852D02"/>
    <w:rsid w:val="008758B9"/>
    <w:rsid w:val="008F6D53"/>
    <w:rsid w:val="009456E3"/>
    <w:rsid w:val="009E307E"/>
    <w:rsid w:val="00A4537F"/>
    <w:rsid w:val="00B1041D"/>
    <w:rsid w:val="00B44B51"/>
    <w:rsid w:val="00BE025F"/>
    <w:rsid w:val="00BF31A5"/>
    <w:rsid w:val="00C66ABF"/>
    <w:rsid w:val="00CA4DD6"/>
    <w:rsid w:val="00CF1186"/>
    <w:rsid w:val="00D3694F"/>
    <w:rsid w:val="00DC6CD2"/>
    <w:rsid w:val="00E7187B"/>
    <w:rsid w:val="00E72125"/>
    <w:rsid w:val="00EA62E3"/>
    <w:rsid w:val="00EE46CE"/>
    <w:rsid w:val="00F22AAA"/>
    <w:rsid w:val="00FD082E"/>
    <w:rsid w:val="07F4237E"/>
    <w:rsid w:val="0A9C6E11"/>
    <w:rsid w:val="2BD317B0"/>
    <w:rsid w:val="2C0A7853"/>
    <w:rsid w:val="2C2A59AC"/>
    <w:rsid w:val="46A24A50"/>
    <w:rsid w:val="58251D81"/>
    <w:rsid w:val="5EF01F06"/>
    <w:rsid w:val="68DD77BD"/>
    <w:rsid w:val="6BB96DE2"/>
    <w:rsid w:val="6C5D01E4"/>
    <w:rsid w:val="6D187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7"/>
    <w:unhideWhenUsed/>
    <w:qFormat/>
    <w:uiPriority w:val="9"/>
    <w:pPr>
      <w:keepNext/>
      <w:keepLines/>
      <w:spacing w:before="156" w:beforeLines="50" w:after="156" w:afterLines="50" w:line="500" w:lineRule="exact"/>
      <w:jc w:val="center"/>
      <w:outlineLvl w:val="1"/>
    </w:pPr>
    <w:rPr>
      <w:rFonts w:asciiTheme="majorHAnsi" w:hAnsiTheme="majorHAnsi" w:eastAsiaTheme="majorEastAsia" w:cstheme="majorBidi"/>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tabs>
        <w:tab w:val="center" w:pos="4153"/>
        <w:tab w:val="right" w:pos="8306"/>
      </w:tabs>
      <w:snapToGrid w:val="0"/>
      <w:jc w:val="center"/>
    </w:pPr>
    <w:rPr>
      <w:sz w:val="18"/>
      <w:szCs w:val="18"/>
    </w:rPr>
  </w:style>
  <w:style w:type="character" w:customStyle="1" w:styleId="7">
    <w:name w:val="标题 2 字符"/>
    <w:basedOn w:val="6"/>
    <w:link w:val="2"/>
    <w:qFormat/>
    <w:uiPriority w:val="9"/>
    <w:rPr>
      <w:rFonts w:asciiTheme="majorHAnsi" w:hAnsiTheme="majorHAnsi" w:eastAsiaTheme="majorEastAsia" w:cstheme="majorBidi"/>
      <w:b/>
      <w:bCs/>
      <w:sz w:val="32"/>
      <w:szCs w:val="32"/>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Default"/>
    <w:unhideWhenUsed/>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8</Pages>
  <Words>4305</Words>
  <Characters>4404</Characters>
  <Lines>55</Lines>
  <Paragraphs>49</Paragraphs>
  <TotalTime>0</TotalTime>
  <ScaleCrop>false</ScaleCrop>
  <LinksUpToDate>false</LinksUpToDate>
  <CharactersWithSpaces>4453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2019-11-18T08:38:00Z</dcterms:created>
  <dc:creator>User</dc:creator>
  <cp:lastModifiedBy>中标蒲公英</cp:lastModifiedBy>
  <cp:lastPrinted>2025-08-11T07:33:00Z</cp:lastPrinted>
  <dcterms:modified xsi:type="dcterms:W3CDTF">2025-09-10T08:25:52Z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eyJoZGlkIjoiOTBjNDg1NzJhOTc3NmEzYjBlMzdmYzBlYjZmZDI3MDYiLCJ1c2VySWQiOiIxNjE1MzQ4Njc0In0=</vt:lpwstr>
  </property>
  <property fmtid="{D5CDD505-2E9C-101B-9397-08002B2CF9AE}" pid="3" name="KSOProductBuildVer">
    <vt:lpwstr>2052-12.1.0.22529</vt:lpwstr>
  </property>
  <property fmtid="{D5CDD505-2E9C-101B-9397-08002B2CF9AE}" pid="4" name="ICV">
    <vt:lpwstr>EB765FB60E5E40548E968E074C0114A0_13</vt:lpwstr>
  </property>
</Properties>
</file>