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1CAAC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405ABA00">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739E5834">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67.230</w:t>
            </w:r>
            <w:r>
              <w:rPr>
                <w:rFonts w:ascii="黑体" w:hAnsi="黑体" w:eastAsia="黑体"/>
                <w:sz w:val="21"/>
                <w:szCs w:val="21"/>
              </w:rPr>
              <w:fldChar w:fldCharType="end"/>
            </w:r>
            <w:bookmarkEnd w:id="0"/>
          </w:p>
        </w:tc>
      </w:tr>
      <w:tr w14:paraId="11637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F2D9454">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7"/>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07D16F8D">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1021" w:hRule="exact"/>
              </w:trPr>
              <w:tc>
                <w:tcPr>
                  <w:tcW w:w="9242" w:type="dxa"/>
                  <w:vAlign w:val="center"/>
                </w:tcPr>
                <w:p w14:paraId="72A039AC">
                  <w:pPr>
                    <w:pStyle w:val="49"/>
                    <w:framePr w:wrap="notBeside" w:vAnchor="page" w:hAnchor="page" w:x="1372" w:y="568"/>
                    <w:ind w:left="420" w:right="624"/>
                    <w:rPr>
                      <w:rFonts w:hint="eastAsia" w:ascii="宋体" w:hAnsi="宋体"/>
                      <w:sz w:val="28"/>
                      <w:szCs w:val="28"/>
                    </w:rPr>
                  </w:pPr>
                </w:p>
              </w:tc>
            </w:tr>
          </w:tbl>
          <w:p w14:paraId="08B135A4">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X 10</w:t>
            </w:r>
            <w:r>
              <w:rPr>
                <w:rFonts w:ascii="黑体" w:hAnsi="黑体" w:eastAsia="黑体"/>
                <w:sz w:val="21"/>
                <w:szCs w:val="21"/>
              </w:rPr>
              <w:fldChar w:fldCharType="end"/>
            </w:r>
            <w:bookmarkEnd w:id="1"/>
          </w:p>
        </w:tc>
      </w:tr>
    </w:tbl>
    <w:p w14:paraId="2FF1CF15">
      <w:pPr>
        <w:pStyle w:val="50"/>
        <w:framePr w:w="9639" w:h="1041" w:hRule="exact" w:hSpace="181" w:vSpace="181" w:wrap="around" w:hAnchor="page" w:x="1305" w:y="1852"/>
        <w:rPr>
          <w:rFonts w:hint="eastAsia" w:ascii="黑体" w:hAnsi="黑体" w:eastAsia="黑体"/>
          <w:b w:val="0"/>
          <w:bCs w:val="0"/>
          <w:w w:val="100"/>
          <w:sz w:val="48"/>
          <w:szCs w:val="48"/>
        </w:rPr>
      </w:pPr>
      <w:bookmarkStart w:id="2" w:name="_Hlk26473981"/>
      <w:r>
        <w:rPr>
          <w:rFonts w:hint="eastAsia" w:ascii="黑体" w:eastAsia="黑体"/>
          <w:b w:val="0"/>
          <w:w w:val="100"/>
          <w:sz w:val="84"/>
          <w:szCs w:val="84"/>
        </w:rPr>
        <w:t>团体</w:t>
      </w:r>
      <w:r>
        <w:rPr>
          <w:rFonts w:hint="eastAsia" w:ascii="黑体" w:hAnsi="黑体" w:eastAsia="黑体"/>
          <w:b w:val="0"/>
          <w:bCs w:val="0"/>
          <w:w w:val="100"/>
          <w:sz w:val="84"/>
          <w:szCs w:val="84"/>
        </w:rPr>
        <w:t>标准</w:t>
      </w:r>
    </w:p>
    <w:bookmarkEnd w:id="2"/>
    <w:p w14:paraId="6AA21FCF">
      <w:pPr>
        <w:pStyle w:val="195"/>
        <w:framePr/>
      </w:pPr>
      <w:r>
        <w:t>T/</w:t>
      </w:r>
      <w:r>
        <w:fldChar w:fldCharType="begin">
          <w:ffData>
            <w:name w:val="文字1"/>
            <w:enabled/>
            <w:calcOnExit w:val="0"/>
            <w:textInput>
              <w:default w:val="XXX"/>
            </w:textInput>
          </w:ffData>
        </w:fldChar>
      </w:r>
      <w:bookmarkStart w:id="3" w:name="文字1"/>
      <w:r>
        <w:instrText xml:space="preserve"> FORMTEXT </w:instrText>
      </w:r>
      <w:r>
        <w:fldChar w:fldCharType="separate"/>
      </w:r>
      <w:r>
        <w:rPr>
          <w:rFonts w:hint="eastAsia"/>
        </w:rPr>
        <w:t>SATA</w:t>
      </w:r>
      <w:r>
        <w:fldChar w:fldCharType="end"/>
      </w:r>
      <w:bookmarkEnd w:id="3"/>
      <w:r>
        <w:t xml:space="preserve"> </w:t>
      </w:r>
      <w:r>
        <w:fldChar w:fldCharType="begin">
          <w:ffData>
            <w:name w:val="NSTD_CODE_F"/>
            <w:enabled/>
            <w:calcOnExit w:val="0"/>
            <w:textInput>
              <w:default w:val="XXXX"/>
            </w:textInput>
          </w:ffData>
        </w:fldChar>
      </w:r>
      <w:bookmarkStart w:id="4" w:name="NSTD_CODE_F"/>
      <w:r>
        <w:instrText xml:space="preserve"> FORMTEXT </w:instrText>
      </w:r>
      <w:r>
        <w:fldChar w:fldCharType="separate"/>
      </w:r>
      <w:r>
        <w:rPr>
          <w:rFonts w:hint="eastAsia"/>
        </w:rPr>
        <w:t>084</w:t>
      </w:r>
      <w:r>
        <w:fldChar w:fldCharType="end"/>
      </w:r>
      <w:bookmarkEnd w:id="4"/>
      <w:r>
        <w:rPr>
          <w:rFonts w:hAnsi="黑体"/>
        </w:rPr>
        <w:t>—</w:t>
      </w:r>
      <w:r>
        <w:fldChar w:fldCharType="begin">
          <w:ffData>
            <w:name w:val="NSTD_CODE_B"/>
            <w:enabled/>
            <w:calcOnExit w:val="0"/>
            <w:textInput>
              <w:default w:val="XXXX"/>
            </w:textInput>
          </w:ffData>
        </w:fldChar>
      </w:r>
      <w:bookmarkStart w:id="5" w:name="NSTD_CODE_B"/>
      <w:r>
        <w:instrText xml:space="preserve"> FORMTEXT </w:instrText>
      </w:r>
      <w:r>
        <w:fldChar w:fldCharType="separate"/>
      </w:r>
      <w:r>
        <w:rPr>
          <w:rFonts w:hint="eastAsia"/>
        </w:rPr>
        <w:t>2025</w:t>
      </w:r>
      <w:r>
        <w:fldChar w:fldCharType="end"/>
      </w:r>
      <w:bookmarkEnd w:id="5"/>
    </w:p>
    <w:p w14:paraId="68AB3777">
      <w:pPr>
        <w:pStyle w:val="196"/>
        <w:framePr/>
        <w:rPr>
          <w:rFonts w:hint="eastAsia" w:hAnsi="黑体"/>
        </w:rPr>
      </w:pPr>
      <w:r>
        <w:rPr>
          <w:rFonts w:hAnsi="黑体"/>
        </w:rPr>
        <w:fldChar w:fldCharType="begin">
          <w:ffData>
            <w:name w:val="OSTD_CODE"/>
            <w:enabled/>
            <w:calcOnExit w:val="0"/>
            <w:textInput/>
          </w:ffData>
        </w:fldChar>
      </w:r>
      <w:bookmarkStart w:id="6"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6"/>
    </w:p>
    <w:p w14:paraId="0B7BC652">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2673F575">
      <w:pPr>
        <w:pStyle w:val="50"/>
        <w:framePr w:w="9639" w:h="6976" w:hRule="exact" w:hSpace="0" w:vSpace="0" w:wrap="around" w:hAnchor="page" w:y="6408"/>
        <w:jc w:val="center"/>
        <w:rPr>
          <w:rFonts w:hint="eastAsia" w:ascii="黑体" w:hAnsi="黑体" w:eastAsia="黑体"/>
          <w:b w:val="0"/>
          <w:bCs w:val="0"/>
          <w:w w:val="100"/>
        </w:rPr>
      </w:pPr>
    </w:p>
    <w:p w14:paraId="499C4FC9">
      <w:pPr>
        <w:pStyle w:val="19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7" w:name="CSTD_NAME"/>
      <w:r>
        <w:instrText xml:space="preserve"> FORMTEXT </w:instrText>
      </w:r>
      <w:r>
        <w:fldChar w:fldCharType="separate"/>
      </w:r>
      <w:r>
        <w:rPr>
          <w:rFonts w:hint="eastAsia"/>
        </w:rPr>
        <w:t>适老易食食品（适老照护食）通用要求</w:t>
      </w:r>
      <w:r>
        <w:fldChar w:fldCharType="end"/>
      </w:r>
      <w:bookmarkEnd w:id="7"/>
    </w:p>
    <w:p w14:paraId="0CADBA66">
      <w:pPr>
        <w:framePr w:w="9639" w:h="6974" w:hRule="exact" w:wrap="around" w:vAnchor="page" w:hAnchor="page" w:x="1419" w:y="6408" w:anchorLock="1"/>
        <w:ind w:left="-1418"/>
      </w:pPr>
    </w:p>
    <w:p w14:paraId="7FD48F80">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8" w:name="ESTD_NAME"/>
      <w:r>
        <w:rPr>
          <w:rFonts w:eastAsia="黑体"/>
          <w:szCs w:val="28"/>
        </w:rPr>
        <w:instrText xml:space="preserve"> FORMTEXT </w:instrText>
      </w:r>
      <w:r>
        <w:rPr>
          <w:rFonts w:eastAsia="黑体"/>
          <w:szCs w:val="28"/>
        </w:rPr>
        <w:fldChar w:fldCharType="separate"/>
      </w:r>
      <w:r>
        <w:rPr>
          <w:rFonts w:hint="eastAsia" w:eastAsia="黑体"/>
          <w:szCs w:val="28"/>
        </w:rPr>
        <w:t>General Requirements of Dysphagia Diet for elderly (Care food)</w:t>
      </w:r>
      <w:r>
        <w:rPr>
          <w:rFonts w:eastAsia="黑体"/>
          <w:szCs w:val="28"/>
        </w:rPr>
        <w:fldChar w:fldCharType="end"/>
      </w:r>
      <w:bookmarkEnd w:id="8"/>
    </w:p>
    <w:p w14:paraId="18922766">
      <w:pPr>
        <w:framePr w:w="9639" w:h="6974" w:hRule="exact" w:wrap="around" w:vAnchor="page" w:hAnchor="page" w:x="1419" w:y="6408" w:anchorLock="1"/>
        <w:spacing w:line="760" w:lineRule="exact"/>
        <w:ind w:left="-1418"/>
      </w:pPr>
    </w:p>
    <w:p w14:paraId="39FE3E4F">
      <w:pPr>
        <w:pStyle w:val="125"/>
        <w:framePr w:w="9639" w:h="6974" w:hRule="exact" w:wrap="around" w:vAnchor="page" w:hAnchor="page" w:x="1419" w:y="6408" w:anchorLock="1"/>
        <w:textAlignment w:val="bottom"/>
        <w:rPr>
          <w:rFonts w:eastAsia="黑体"/>
          <w:szCs w:val="28"/>
        </w:rPr>
      </w:pPr>
    </w:p>
    <w:p w14:paraId="69A936C3">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 "/>
              <w:listEntry w:val="草案版次选择"/>
              <w:listEntry w:val="（工作组讨论稿）"/>
              <w:listEntry w:val="（征求意见稿）"/>
              <w:listEntry w:val="（送审讨论稿）"/>
              <w:listEntry w:val="（送审稿）"/>
              <w:listEntry w:val="（报批稿）"/>
            </w:ddList>
          </w:ffData>
        </w:fldChar>
      </w:r>
      <w:bookmarkStart w:id="9" w:name="下拉1"/>
      <w:r>
        <w:rPr>
          <w:sz w:val="24"/>
          <w:szCs w:val="28"/>
        </w:rPr>
        <w:instrText xml:space="preserve"> FORMDROPDOWN </w:instrText>
      </w:r>
      <w:r>
        <w:rPr>
          <w:sz w:val="24"/>
          <w:szCs w:val="28"/>
        </w:rPr>
        <w:fldChar w:fldCharType="separate"/>
      </w:r>
      <w:r>
        <w:rPr>
          <w:sz w:val="24"/>
          <w:szCs w:val="28"/>
        </w:rPr>
        <w:fldChar w:fldCharType="end"/>
      </w:r>
      <w:bookmarkEnd w:id="9"/>
    </w:p>
    <w:p w14:paraId="1BA6BD6B">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0"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0"/>
    </w:p>
    <w:p w14:paraId="66BD7EE5">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1" w:name="下拉2"/>
      <w:r>
        <w:rPr>
          <w:b/>
          <w:sz w:val="21"/>
          <w:szCs w:val="28"/>
        </w:rPr>
        <w:instrText xml:space="preserve"> FORMDROPDOWN </w:instrText>
      </w:r>
      <w:r>
        <w:rPr>
          <w:b/>
          <w:sz w:val="21"/>
          <w:szCs w:val="28"/>
        </w:rPr>
        <w:fldChar w:fldCharType="separate"/>
      </w:r>
      <w:r>
        <w:rPr>
          <w:b/>
          <w:sz w:val="21"/>
          <w:szCs w:val="28"/>
        </w:rPr>
        <w:fldChar w:fldCharType="end"/>
      </w:r>
      <w:bookmarkEnd w:id="11"/>
    </w:p>
    <w:p w14:paraId="0EBA0CE8">
      <w:pPr>
        <w:pStyle w:val="193"/>
        <w:framePr w:wrap="around" w:y="14176"/>
      </w:pPr>
      <w:r>
        <w:rPr>
          <w:rFonts w:ascii="黑体"/>
        </w:rPr>
        <w:fldChar w:fldCharType="begin">
          <w:ffData>
            <w:name w:val="PLSH_DATE_Y"/>
            <w:enabled/>
            <w:calcOnExit w:val="0"/>
            <w:textInput>
              <w:default w:val="XXXX"/>
              <w:maxLength w:val="4"/>
            </w:textInput>
          </w:ffData>
        </w:fldChar>
      </w:r>
      <w:bookmarkStart w:id="12" w:name="PLSH_DATE_Y"/>
      <w:r>
        <w:rPr>
          <w:rFonts w:ascii="黑体"/>
        </w:rPr>
        <w:instrText xml:space="preserve"> FORMTEXT </w:instrText>
      </w:r>
      <w:r>
        <w:rPr>
          <w:rFonts w:ascii="黑体"/>
        </w:rPr>
        <w:fldChar w:fldCharType="separate"/>
      </w:r>
      <w:r>
        <w:rPr>
          <w:rFonts w:hint="eastAsia" w:ascii="黑体"/>
        </w:rPr>
        <w:t>2025</w:t>
      </w:r>
      <w:r>
        <w:rPr>
          <w:rFonts w:ascii="黑体"/>
        </w:rPr>
        <w:fldChar w:fldCharType="end"/>
      </w:r>
      <w:bookmarkEnd w:id="12"/>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3" w:name="PLSH_DATE_M"/>
      <w:r>
        <w:rPr>
          <w:rFonts w:ascii="黑体"/>
        </w:rPr>
        <w:instrText xml:space="preserve"> FORMTEXT </w:instrText>
      </w:r>
      <w:r>
        <w:rPr>
          <w:rFonts w:ascii="黑体"/>
        </w:rPr>
        <w:fldChar w:fldCharType="separate"/>
      </w:r>
      <w:r>
        <w:rPr>
          <w:rFonts w:hint="eastAsia" w:ascii="黑体"/>
        </w:rPr>
        <w:t>05</w:t>
      </w:r>
      <w:r>
        <w:rPr>
          <w:rFonts w:ascii="黑体"/>
        </w:rPr>
        <w:fldChar w:fldCharType="end"/>
      </w:r>
      <w:bookmarkEnd w:id="13"/>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4" w:name="PLSH_DATE_D"/>
      <w:r>
        <w:rPr>
          <w:rFonts w:ascii="黑体"/>
        </w:rPr>
        <w:instrText xml:space="preserve"> FORMTEXT </w:instrText>
      </w:r>
      <w:r>
        <w:rPr>
          <w:rFonts w:ascii="黑体"/>
        </w:rPr>
        <w:fldChar w:fldCharType="separate"/>
      </w:r>
      <w:r>
        <w:rPr>
          <w:rFonts w:hint="eastAsia" w:ascii="黑体"/>
        </w:rPr>
        <w:t>07</w:t>
      </w:r>
      <w:r>
        <w:rPr>
          <w:rFonts w:ascii="黑体"/>
        </w:rPr>
        <w:fldChar w:fldCharType="end"/>
      </w:r>
      <w:bookmarkEnd w:id="14"/>
      <w:r>
        <w:rPr>
          <w:rFonts w:hint="eastAsia"/>
        </w:rPr>
        <w:t>发布</w:t>
      </w:r>
    </w:p>
    <w:p w14:paraId="128DE179">
      <w:pPr>
        <w:pStyle w:val="194"/>
        <w:framePr w:wrap="around" w:y="14176"/>
      </w:pPr>
      <w:r>
        <w:rPr>
          <w:rFonts w:ascii="黑体"/>
        </w:rPr>
        <w:fldChar w:fldCharType="begin">
          <w:ffData>
            <w:name w:val="CROT_DATE_Y"/>
            <w:enabled/>
            <w:calcOnExit w:val="0"/>
            <w:textInput>
              <w:default w:val="XXXX"/>
              <w:maxLength w:val="4"/>
            </w:textInput>
          </w:ffData>
        </w:fldChar>
      </w:r>
      <w:bookmarkStart w:id="15" w:name="CROT_DATE_Y"/>
      <w:r>
        <w:rPr>
          <w:rFonts w:ascii="黑体"/>
        </w:rPr>
        <w:instrText xml:space="preserve"> FORMTEXT </w:instrText>
      </w:r>
      <w:r>
        <w:rPr>
          <w:rFonts w:ascii="黑体"/>
        </w:rPr>
        <w:fldChar w:fldCharType="separate"/>
      </w:r>
      <w:r>
        <w:rPr>
          <w:rFonts w:hint="eastAsia" w:ascii="黑体"/>
        </w:rPr>
        <w:t>2025</w:t>
      </w:r>
      <w:r>
        <w:rPr>
          <w:rFonts w:ascii="黑体"/>
        </w:rPr>
        <w:fldChar w:fldCharType="end"/>
      </w:r>
      <w:bookmarkEnd w:id="15"/>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6" w:name="CROT_DATE_M"/>
      <w:r>
        <w:rPr>
          <w:rFonts w:ascii="黑体"/>
        </w:rPr>
        <w:instrText xml:space="preserve"> FORMTEXT </w:instrText>
      </w:r>
      <w:r>
        <w:rPr>
          <w:rFonts w:ascii="黑体"/>
        </w:rPr>
        <w:fldChar w:fldCharType="separate"/>
      </w:r>
      <w:r>
        <w:rPr>
          <w:rFonts w:hint="eastAsia" w:ascii="黑体"/>
        </w:rPr>
        <w:t>06</w:t>
      </w:r>
      <w:r>
        <w:rPr>
          <w:rFonts w:ascii="黑体"/>
        </w:rPr>
        <w:fldChar w:fldCharType="end"/>
      </w:r>
      <w:bookmarkEnd w:id="16"/>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7" w:name="CROT_DATE_D"/>
      <w:r>
        <w:rPr>
          <w:rFonts w:ascii="黑体"/>
        </w:rPr>
        <w:instrText xml:space="preserve"> FORMTEXT </w:instrText>
      </w:r>
      <w:r>
        <w:rPr>
          <w:rFonts w:ascii="黑体"/>
        </w:rPr>
        <w:fldChar w:fldCharType="separate"/>
      </w:r>
      <w:r>
        <w:rPr>
          <w:rFonts w:hint="eastAsia" w:ascii="黑体"/>
        </w:rPr>
        <w:t>07</w:t>
      </w:r>
      <w:r>
        <w:rPr>
          <w:rFonts w:ascii="黑体"/>
        </w:rPr>
        <w:fldChar w:fldCharType="end"/>
      </w:r>
      <w:bookmarkEnd w:id="17"/>
      <w:r>
        <w:rPr>
          <w:rFonts w:hint="eastAsia"/>
        </w:rPr>
        <w:t>实施</w:t>
      </w:r>
    </w:p>
    <w:p w14:paraId="680F937B">
      <w:pPr>
        <w:pStyle w:val="151"/>
        <w:framePr w:h="584" w:hRule="exact" w:hSpace="181" w:vSpace="181" w:wrap="around" w:y="14800"/>
        <w:rPr>
          <w:rFonts w:hint="eastAsia" w:hAnsi="黑体"/>
        </w:rPr>
      </w:pPr>
      <w:r>
        <w:rPr>
          <w:rFonts w:hAnsi="黑体"/>
          <w:w w:val="100"/>
          <w:sz w:val="28"/>
        </w:rPr>
        <w:fldChar w:fldCharType="begin">
          <w:ffData>
            <w:name w:val="fm"/>
            <w:enabled/>
            <w:calcOnExit w:val="0"/>
            <w:textInput/>
          </w:ffData>
        </w:fldChar>
      </w:r>
      <w:bookmarkStart w:id="18" w:name="fm"/>
      <w:r>
        <w:rPr>
          <w:rFonts w:hAnsi="黑体"/>
          <w:w w:val="100"/>
          <w:sz w:val="28"/>
        </w:rPr>
        <w:instrText xml:space="preserve"> FORMTEXT </w:instrText>
      </w:r>
      <w:r>
        <w:rPr>
          <w:rFonts w:hAnsi="黑体"/>
          <w:w w:val="100"/>
          <w:sz w:val="28"/>
        </w:rPr>
        <w:fldChar w:fldCharType="separate"/>
      </w:r>
      <w:r>
        <w:rPr>
          <w:rFonts w:hint="eastAsia" w:hAnsi="黑体"/>
          <w:w w:val="100"/>
          <w:sz w:val="28"/>
        </w:rPr>
        <w:t>深圳市分析测试协会</w:t>
      </w:r>
      <w:r>
        <w:rPr>
          <w:rFonts w:hAnsi="黑体"/>
          <w:w w:val="100"/>
          <w:sz w:val="28"/>
        </w:rPr>
        <w:fldChar w:fldCharType="end"/>
      </w:r>
      <w:bookmarkEnd w:id="18"/>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3899BC30">
      <w:pPr>
        <w:rPr>
          <w:rFonts w:hint="eastAsia" w:ascii="宋体" w:hAnsi="宋体"/>
          <w:sz w:val="28"/>
          <w:szCs w:val="28"/>
        </w:rPr>
        <w:sectPr>
          <w:headerReference r:id="rId7" w:type="first"/>
          <w:footerReference r:id="rId9" w:type="first"/>
          <w:headerReference r:id="rId5" w:type="default"/>
          <w:headerReference r:id="rId6" w:type="even"/>
          <w:footerReference r:id="rId8"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7CD5437E">
      <w:pPr>
        <w:pStyle w:val="91"/>
        <w:spacing w:after="360"/>
      </w:pPr>
      <w:bookmarkStart w:id="19" w:name="BookMark1"/>
      <w:bookmarkStart w:id="20" w:name="_Toc5320"/>
      <w:r>
        <w:rPr>
          <w:rFonts w:hint="eastAsia"/>
          <w:spacing w:val="320"/>
        </w:rPr>
        <w:t>目</w:t>
      </w:r>
      <w:r>
        <w:rPr>
          <w:rFonts w:hint="eastAsia"/>
        </w:rPr>
        <w:t>次</w:t>
      </w:r>
    </w:p>
    <w:p w14:paraId="1C8B329C">
      <w:pPr>
        <w:pStyle w:val="19"/>
        <w:tabs>
          <w:tab w:val="right" w:leader="dot" w:pos="9354"/>
        </w:tabs>
      </w:pPr>
      <w:r>
        <w:rPr>
          <w:rFonts w:hint="eastAsia"/>
        </w:rPr>
        <w:fldChar w:fldCharType="begin"/>
      </w:r>
      <w:r>
        <w:rPr>
          <w:rFonts w:hint="eastAsia"/>
        </w:rPr>
        <w:instrText xml:space="preserve">TOC \o "1-1" \h</w:instrText>
      </w:r>
      <w:r>
        <w:rPr>
          <w:rFonts w:hint="eastAsia"/>
        </w:rPr>
        <w:fldChar w:fldCharType="separate"/>
      </w:r>
      <w:r>
        <w:fldChar w:fldCharType="begin"/>
      </w:r>
      <w:r>
        <w:instrText xml:space="preserve"> HYPERLINK \l "_Toc26808" </w:instrText>
      </w:r>
      <w:r>
        <w:fldChar w:fldCharType="separate"/>
      </w:r>
      <w:r>
        <w:rPr>
          <w:rFonts w:hint="eastAsia"/>
        </w:rPr>
        <w:t>前言</w:t>
      </w:r>
      <w:r>
        <w:tab/>
      </w:r>
      <w:r>
        <w:fldChar w:fldCharType="begin"/>
      </w:r>
      <w:r>
        <w:instrText xml:space="preserve"> PAGEREF _Toc26808 \h </w:instrText>
      </w:r>
      <w:r>
        <w:fldChar w:fldCharType="separate"/>
      </w:r>
      <w:r>
        <w:t>II</w:t>
      </w:r>
      <w:r>
        <w:fldChar w:fldCharType="end"/>
      </w:r>
      <w:r>
        <w:fldChar w:fldCharType="end"/>
      </w:r>
    </w:p>
    <w:p w14:paraId="23214BA3">
      <w:pPr>
        <w:pStyle w:val="19"/>
        <w:tabs>
          <w:tab w:val="right" w:leader="dot" w:pos="9354"/>
        </w:tabs>
      </w:pPr>
      <w:r>
        <w:fldChar w:fldCharType="begin"/>
      </w:r>
      <w:r>
        <w:instrText xml:space="preserve"> HYPERLINK \l "_Toc15908" </w:instrText>
      </w:r>
      <w:r>
        <w:fldChar w:fldCharType="separate"/>
      </w:r>
      <w:r>
        <w:rPr>
          <w:rFonts w:hint="eastAsia"/>
        </w:rPr>
        <w:t>引言</w:t>
      </w:r>
      <w:r>
        <w:tab/>
      </w:r>
      <w:r>
        <w:fldChar w:fldCharType="begin"/>
      </w:r>
      <w:r>
        <w:instrText xml:space="preserve"> PAGEREF _Toc15908 \h </w:instrText>
      </w:r>
      <w:r>
        <w:fldChar w:fldCharType="separate"/>
      </w:r>
      <w:r>
        <w:t>III</w:t>
      </w:r>
      <w:r>
        <w:fldChar w:fldCharType="end"/>
      </w:r>
      <w:r>
        <w:fldChar w:fldCharType="end"/>
      </w:r>
    </w:p>
    <w:p w14:paraId="4F5F7232">
      <w:pPr>
        <w:pStyle w:val="19"/>
        <w:tabs>
          <w:tab w:val="right" w:leader="dot" w:pos="9354"/>
        </w:tabs>
      </w:pPr>
      <w:r>
        <w:fldChar w:fldCharType="begin"/>
      </w:r>
      <w:r>
        <w:instrText xml:space="preserve"> HYPERLINK \l "_Toc9082" </w:instrText>
      </w:r>
      <w:r>
        <w:fldChar w:fldCharType="separate"/>
      </w:r>
      <w:r>
        <w:rPr>
          <w:rFonts w:hint="eastAsia" w:ascii="黑体" w:eastAsia="黑体"/>
        </w:rPr>
        <w:t xml:space="preserve">1  </w:t>
      </w:r>
      <w:r>
        <w:rPr>
          <w:rFonts w:hint="eastAsia"/>
        </w:rPr>
        <w:t>范围</w:t>
      </w:r>
      <w:r>
        <w:tab/>
      </w:r>
      <w:r>
        <w:fldChar w:fldCharType="begin"/>
      </w:r>
      <w:r>
        <w:instrText xml:space="preserve"> PAGEREF _Toc9082 \h </w:instrText>
      </w:r>
      <w:r>
        <w:fldChar w:fldCharType="separate"/>
      </w:r>
      <w:r>
        <w:t>1</w:t>
      </w:r>
      <w:r>
        <w:fldChar w:fldCharType="end"/>
      </w:r>
      <w:r>
        <w:fldChar w:fldCharType="end"/>
      </w:r>
    </w:p>
    <w:p w14:paraId="1BACDB08">
      <w:pPr>
        <w:pStyle w:val="19"/>
        <w:tabs>
          <w:tab w:val="right" w:leader="dot" w:pos="9354"/>
        </w:tabs>
      </w:pPr>
      <w:r>
        <w:fldChar w:fldCharType="begin"/>
      </w:r>
      <w:r>
        <w:instrText xml:space="preserve"> HYPERLINK \l "_Toc3548" </w:instrText>
      </w:r>
      <w:r>
        <w:fldChar w:fldCharType="separate"/>
      </w:r>
      <w:r>
        <w:rPr>
          <w:rFonts w:hint="eastAsia" w:ascii="黑体" w:eastAsia="黑体"/>
        </w:rPr>
        <w:t xml:space="preserve">2  </w:t>
      </w:r>
      <w:r>
        <w:rPr>
          <w:rFonts w:hint="eastAsia"/>
        </w:rPr>
        <w:t>规范性引用文件</w:t>
      </w:r>
      <w:r>
        <w:tab/>
      </w:r>
      <w:r>
        <w:fldChar w:fldCharType="begin"/>
      </w:r>
      <w:r>
        <w:instrText xml:space="preserve"> PAGEREF _Toc3548 \h </w:instrText>
      </w:r>
      <w:r>
        <w:fldChar w:fldCharType="separate"/>
      </w:r>
      <w:r>
        <w:t>1</w:t>
      </w:r>
      <w:r>
        <w:fldChar w:fldCharType="end"/>
      </w:r>
      <w:r>
        <w:fldChar w:fldCharType="end"/>
      </w:r>
    </w:p>
    <w:p w14:paraId="515B86D7">
      <w:pPr>
        <w:pStyle w:val="19"/>
        <w:tabs>
          <w:tab w:val="right" w:leader="dot" w:pos="9354"/>
        </w:tabs>
      </w:pPr>
      <w:r>
        <w:fldChar w:fldCharType="begin"/>
      </w:r>
      <w:r>
        <w:instrText xml:space="preserve"> HYPERLINK \l "_Toc24055" </w:instrText>
      </w:r>
      <w:r>
        <w:fldChar w:fldCharType="separate"/>
      </w:r>
      <w:r>
        <w:rPr>
          <w:rFonts w:hint="eastAsia" w:ascii="黑体" w:eastAsia="黑体"/>
        </w:rPr>
        <w:t xml:space="preserve">3  </w:t>
      </w:r>
      <w:r>
        <w:rPr>
          <w:rFonts w:hint="eastAsia"/>
        </w:rPr>
        <w:t>术语和定义</w:t>
      </w:r>
      <w:r>
        <w:tab/>
      </w:r>
      <w:r>
        <w:fldChar w:fldCharType="begin"/>
      </w:r>
      <w:r>
        <w:instrText xml:space="preserve"> PAGEREF _Toc24055 \h </w:instrText>
      </w:r>
      <w:r>
        <w:fldChar w:fldCharType="separate"/>
      </w:r>
      <w:r>
        <w:t>1</w:t>
      </w:r>
      <w:r>
        <w:fldChar w:fldCharType="end"/>
      </w:r>
      <w:r>
        <w:fldChar w:fldCharType="end"/>
      </w:r>
    </w:p>
    <w:p w14:paraId="3F50C424">
      <w:pPr>
        <w:pStyle w:val="19"/>
        <w:tabs>
          <w:tab w:val="right" w:leader="dot" w:pos="9354"/>
        </w:tabs>
      </w:pPr>
      <w:r>
        <w:fldChar w:fldCharType="begin"/>
      </w:r>
      <w:r>
        <w:instrText xml:space="preserve"> HYPERLINK \l "_Toc25746" </w:instrText>
      </w:r>
      <w:r>
        <w:fldChar w:fldCharType="separate"/>
      </w:r>
      <w:r>
        <w:rPr>
          <w:rFonts w:hint="eastAsia" w:ascii="黑体" w:eastAsia="黑体"/>
        </w:rPr>
        <w:t xml:space="preserve">4  </w:t>
      </w:r>
      <w:r>
        <w:rPr>
          <w:rFonts w:hint="eastAsia"/>
        </w:rPr>
        <w:t>基本原则</w:t>
      </w:r>
      <w:r>
        <w:tab/>
      </w:r>
      <w:r>
        <w:fldChar w:fldCharType="begin"/>
      </w:r>
      <w:r>
        <w:instrText xml:space="preserve"> PAGEREF _Toc25746 \h </w:instrText>
      </w:r>
      <w:r>
        <w:fldChar w:fldCharType="separate"/>
      </w:r>
      <w:r>
        <w:t>2</w:t>
      </w:r>
      <w:r>
        <w:fldChar w:fldCharType="end"/>
      </w:r>
      <w:r>
        <w:fldChar w:fldCharType="end"/>
      </w:r>
    </w:p>
    <w:p w14:paraId="18817159">
      <w:pPr>
        <w:pStyle w:val="19"/>
        <w:tabs>
          <w:tab w:val="right" w:leader="dot" w:pos="9354"/>
        </w:tabs>
      </w:pPr>
      <w:r>
        <w:fldChar w:fldCharType="begin"/>
      </w:r>
      <w:r>
        <w:instrText xml:space="preserve"> HYPERLINK \l "_Toc15854" </w:instrText>
      </w:r>
      <w:r>
        <w:fldChar w:fldCharType="separate"/>
      </w:r>
      <w:r>
        <w:rPr>
          <w:rFonts w:hint="eastAsia" w:ascii="黑体" w:eastAsia="黑体"/>
        </w:rPr>
        <w:t xml:space="preserve">5  </w:t>
      </w:r>
      <w:r>
        <w:rPr>
          <w:rFonts w:hint="eastAsia"/>
        </w:rPr>
        <w:t>技术要求</w:t>
      </w:r>
      <w:r>
        <w:tab/>
      </w:r>
      <w:r>
        <w:fldChar w:fldCharType="begin"/>
      </w:r>
      <w:r>
        <w:instrText xml:space="preserve"> PAGEREF _Toc15854 \h </w:instrText>
      </w:r>
      <w:r>
        <w:fldChar w:fldCharType="separate"/>
      </w:r>
      <w:r>
        <w:t>2</w:t>
      </w:r>
      <w:r>
        <w:fldChar w:fldCharType="end"/>
      </w:r>
      <w:r>
        <w:fldChar w:fldCharType="end"/>
      </w:r>
    </w:p>
    <w:p w14:paraId="38E615C2">
      <w:pPr>
        <w:pStyle w:val="19"/>
        <w:tabs>
          <w:tab w:val="right" w:leader="dot" w:pos="9354"/>
        </w:tabs>
      </w:pPr>
      <w:r>
        <w:fldChar w:fldCharType="begin"/>
      </w:r>
      <w:r>
        <w:instrText xml:space="preserve"> HYPERLINK \l "_Toc13443" </w:instrText>
      </w:r>
      <w:r>
        <w:fldChar w:fldCharType="separate"/>
      </w:r>
      <w:r>
        <w:rPr>
          <w:rFonts w:hint="eastAsia" w:ascii="黑体" w:eastAsia="黑体"/>
        </w:rPr>
        <w:t xml:space="preserve">6  </w:t>
      </w:r>
      <w:r>
        <w:rPr>
          <w:rFonts w:hint="eastAsia"/>
        </w:rPr>
        <w:t>标签标识</w:t>
      </w:r>
      <w:r>
        <w:tab/>
      </w:r>
      <w:r>
        <w:fldChar w:fldCharType="begin"/>
      </w:r>
      <w:r>
        <w:instrText xml:space="preserve"> PAGEREF _Toc13443 \h </w:instrText>
      </w:r>
      <w:r>
        <w:fldChar w:fldCharType="separate"/>
      </w:r>
      <w:r>
        <w:t>4</w:t>
      </w:r>
      <w:r>
        <w:fldChar w:fldCharType="end"/>
      </w:r>
      <w:r>
        <w:fldChar w:fldCharType="end"/>
      </w:r>
    </w:p>
    <w:p w14:paraId="6DDD96AE">
      <w:pPr>
        <w:pStyle w:val="19"/>
        <w:tabs>
          <w:tab w:val="right" w:leader="dot" w:pos="9354"/>
        </w:tabs>
      </w:pPr>
      <w:r>
        <w:fldChar w:fldCharType="begin"/>
      </w:r>
      <w:r>
        <w:instrText xml:space="preserve"> HYPERLINK \l "_Toc10806" </w:instrText>
      </w:r>
      <w:r>
        <w:fldChar w:fldCharType="separate"/>
      </w:r>
      <w:r>
        <w:rPr>
          <w:rFonts w:hint="eastAsia" w:ascii="黑体" w:eastAsia="黑体"/>
        </w:rPr>
        <w:t xml:space="preserve">7  </w:t>
      </w:r>
      <w:r>
        <w:rPr>
          <w:rFonts w:hint="eastAsia"/>
        </w:rPr>
        <w:t>包装、运输和储存</w:t>
      </w:r>
      <w:r>
        <w:tab/>
      </w:r>
      <w:r>
        <w:rPr>
          <w:rFonts w:hint="eastAsia"/>
        </w:rPr>
        <w:t>4</w:t>
      </w:r>
      <w:r>
        <w:rPr>
          <w:rFonts w:hint="eastAsia"/>
        </w:rPr>
        <w:fldChar w:fldCharType="end"/>
      </w:r>
    </w:p>
    <w:p w14:paraId="68EA7DEE">
      <w:pPr>
        <w:pStyle w:val="19"/>
        <w:tabs>
          <w:tab w:val="right" w:leader="dot" w:pos="9354"/>
        </w:tabs>
      </w:pPr>
      <w:r>
        <w:fldChar w:fldCharType="begin"/>
      </w:r>
      <w:r>
        <w:instrText xml:space="preserve"> HYPERLINK \l "_Toc22645" </w:instrText>
      </w:r>
      <w:r>
        <w:fldChar w:fldCharType="separate"/>
      </w:r>
      <w:r>
        <w:rPr>
          <w:rFonts w:hint="eastAsia"/>
        </w:rPr>
        <w:t>附录A</w:t>
      </w:r>
      <w:r>
        <w:t xml:space="preserve"> </w:t>
      </w:r>
      <w:r>
        <w:rPr>
          <w:rFonts w:hint="eastAsia"/>
        </w:rPr>
        <w:t>（规范性 ） 适老易食食品性状检验方法  简易法</w:t>
      </w:r>
      <w:r>
        <w:tab/>
      </w:r>
      <w:r>
        <w:rPr>
          <w:rFonts w:hint="eastAsia"/>
        </w:rPr>
        <w:t>5</w:t>
      </w:r>
      <w:r>
        <w:rPr>
          <w:rFonts w:hint="eastAsia"/>
        </w:rPr>
        <w:fldChar w:fldCharType="end"/>
      </w:r>
    </w:p>
    <w:p w14:paraId="06EE02E2">
      <w:pPr>
        <w:pStyle w:val="19"/>
        <w:tabs>
          <w:tab w:val="right" w:leader="dot" w:pos="9354"/>
        </w:tabs>
      </w:pPr>
      <w:r>
        <w:fldChar w:fldCharType="begin"/>
      </w:r>
      <w:r>
        <w:instrText xml:space="preserve"> HYPERLINK \l "_Toc3237" </w:instrText>
      </w:r>
      <w:r>
        <w:fldChar w:fldCharType="separate"/>
      </w:r>
      <w:r>
        <w:rPr>
          <w:rFonts w:hint="eastAsia"/>
        </w:rPr>
        <w:t>附录B （规范性 ） 适老易食食品性状检验方法  仪器法</w:t>
      </w:r>
      <w:r>
        <w:tab/>
      </w:r>
      <w:r>
        <w:rPr>
          <w:rFonts w:hint="eastAsia"/>
        </w:rPr>
        <w:t>7</w:t>
      </w:r>
      <w:r>
        <w:rPr>
          <w:rFonts w:hint="eastAsia"/>
        </w:rPr>
        <w:fldChar w:fldCharType="end"/>
      </w:r>
    </w:p>
    <w:p w14:paraId="73F14F65">
      <w:pPr>
        <w:pStyle w:val="19"/>
        <w:tabs>
          <w:tab w:val="right" w:leader="dot" w:pos="9354"/>
        </w:tabs>
      </w:pPr>
      <w:r>
        <w:fldChar w:fldCharType="begin"/>
      </w:r>
      <w:r>
        <w:instrText xml:space="preserve"> HYPERLINK \l "_Toc11391" </w:instrText>
      </w:r>
      <w:r>
        <w:fldChar w:fldCharType="separate"/>
      </w:r>
      <w:r>
        <w:rPr>
          <w:rFonts w:hint="eastAsia"/>
        </w:rPr>
        <w:t>附录C （资料性 ） IDDSI吞咽障碍饮食分级及标识颜色代码</w:t>
      </w:r>
      <w:r>
        <w:tab/>
      </w:r>
      <w:r>
        <w:fldChar w:fldCharType="begin"/>
      </w:r>
      <w:r>
        <w:instrText xml:space="preserve"> PAGEREF _Toc11391 \h </w:instrText>
      </w:r>
      <w:r>
        <w:fldChar w:fldCharType="separate"/>
      </w:r>
      <w:r>
        <w:t>1</w:t>
      </w:r>
      <w:r>
        <w:rPr>
          <w:rFonts w:hint="eastAsia"/>
        </w:rPr>
        <w:t>0</w:t>
      </w:r>
      <w:r>
        <w:fldChar w:fldCharType="end"/>
      </w:r>
      <w:r>
        <w:fldChar w:fldCharType="end"/>
      </w:r>
    </w:p>
    <w:p w14:paraId="0B7FD7D8">
      <w:pPr>
        <w:pStyle w:val="19"/>
        <w:tabs>
          <w:tab w:val="right" w:leader="dot" w:pos="9354"/>
        </w:tabs>
      </w:pPr>
      <w:r>
        <w:fldChar w:fldCharType="begin"/>
      </w:r>
      <w:r>
        <w:instrText xml:space="preserve"> HYPERLINK \l "_Toc27681" </w:instrText>
      </w:r>
      <w:r>
        <w:fldChar w:fldCharType="separate"/>
      </w:r>
      <w:r>
        <w:rPr>
          <w:rFonts w:hint="eastAsia"/>
        </w:rPr>
        <w:t>参考文献</w:t>
      </w:r>
      <w:r>
        <w:tab/>
      </w:r>
      <w:r>
        <w:fldChar w:fldCharType="begin"/>
      </w:r>
      <w:r>
        <w:instrText xml:space="preserve"> PAGEREF _Toc27681 \h </w:instrText>
      </w:r>
      <w:r>
        <w:fldChar w:fldCharType="separate"/>
      </w:r>
      <w:r>
        <w:t>1</w:t>
      </w:r>
      <w:r>
        <w:rPr>
          <w:rFonts w:hint="eastAsia"/>
        </w:rPr>
        <w:t>1</w:t>
      </w:r>
      <w:r>
        <w:fldChar w:fldCharType="end"/>
      </w:r>
      <w:r>
        <w:fldChar w:fldCharType="end"/>
      </w:r>
    </w:p>
    <w:p w14:paraId="42884093">
      <w:pPr>
        <w:pStyle w:val="91"/>
        <w:spacing w:after="360"/>
        <w:sectPr>
          <w:headerReference r:id="rId10" w:type="default"/>
          <w:footerReference r:id="rId12" w:type="default"/>
          <w:headerReference r:id="rId11" w:type="even"/>
          <w:footerReference r:id="rId13" w:type="even"/>
          <w:pgSz w:w="11906" w:h="16838"/>
          <w:pgMar w:top="1928" w:right="1134" w:bottom="1134" w:left="1134" w:header="1418" w:footer="1134" w:gutter="284"/>
          <w:pgNumType w:fmt="upperRoman" w:start="1"/>
          <w:cols w:space="425" w:num="1"/>
          <w:formProt w:val="0"/>
          <w:docGrid w:linePitch="312" w:charSpace="0"/>
        </w:sectPr>
      </w:pPr>
      <w:r>
        <w:rPr>
          <w:rFonts w:hint="eastAsia"/>
        </w:rPr>
        <w:fldChar w:fldCharType="end"/>
      </w:r>
    </w:p>
    <w:bookmarkEnd w:id="19"/>
    <w:p w14:paraId="00222FB5">
      <w:pPr>
        <w:pStyle w:val="89"/>
        <w:spacing w:before="560" w:after="360"/>
      </w:pPr>
      <w:bookmarkStart w:id="21" w:name="_Toc26808"/>
      <w:bookmarkStart w:id="22" w:name="BookMark2"/>
      <w:r>
        <w:rPr>
          <w:rFonts w:hint="eastAsia"/>
          <w:spacing w:val="320"/>
        </w:rPr>
        <w:t>前</w:t>
      </w:r>
      <w:r>
        <w:rPr>
          <w:rFonts w:hint="eastAsia"/>
        </w:rPr>
        <w:t>言</w:t>
      </w:r>
      <w:bookmarkEnd w:id="20"/>
      <w:bookmarkEnd w:id="21"/>
    </w:p>
    <w:p w14:paraId="3A8CE03C">
      <w:pPr>
        <w:pStyle w:val="56"/>
        <w:ind w:firstLine="420"/>
      </w:pPr>
      <w:r>
        <w:rPr>
          <w:rFonts w:hint="eastAsia"/>
        </w:rPr>
        <w:t>本文件按照GB/T 1.1—2020《标准化工作导则  第1部分：标准化文件的结构和起草规则》的规定起草。</w:t>
      </w:r>
    </w:p>
    <w:p w14:paraId="49834174">
      <w:pPr>
        <w:pStyle w:val="56"/>
        <w:ind w:firstLine="420"/>
      </w:pPr>
      <w:r>
        <w:rPr>
          <w:rFonts w:hint="eastAsia"/>
        </w:rPr>
        <w:t>本文件由香港中华厂商联合会、香港社会服务联会联合提出。</w:t>
      </w:r>
    </w:p>
    <w:p w14:paraId="4B72D755">
      <w:pPr>
        <w:pStyle w:val="56"/>
        <w:ind w:firstLine="420"/>
      </w:pPr>
      <w:r>
        <w:rPr>
          <w:rFonts w:hint="eastAsia"/>
        </w:rPr>
        <w:t>本文件由深圳市分析测试协会归口。</w:t>
      </w:r>
    </w:p>
    <w:p w14:paraId="0FBBA9B4">
      <w:pPr>
        <w:pStyle w:val="56"/>
        <w:ind w:firstLine="420"/>
      </w:pPr>
      <w:r>
        <w:rPr>
          <w:rFonts w:hint="eastAsia"/>
        </w:rPr>
        <w:t>本文件起草单位：深圳市分析测试协会、香港中华厂商联合会工业发展基金有限公司(CMA检定中心)、香港社会服务联会、誉标检测(深圳)有限公司、广东幸福元气食品有限公司、幸福元气食品有限公司、澳门明爱、保良局康复服务、深圳市计量质量检测研究院、深圳职业技术大学、深圳海关食品检验检疫技术中心、深圳市市场监督管理局许可审查中心、华测检测认证集团股份有限公司、华润三九医药股份有限公司、迎进生活、香港明爱安老服务明爱赛马会照顾者资源及支援中心、澳门扶康会、三井物产(香港)有限公司、华珑有限公司、深圳山海健生物科技有限公司、香港中文大学（深圳）、香港大学教育学院吞咽研究所、深圳市慢性病防治中心、深圳市南山区人民医院、香港中文大学食品研究中心、香港高等教育科技学院、东华三院、基督教香港信义会社会服务部、深圳市深业航天食品与环境检测科技有限公司、深圳市龙华区中心医院、深圳深检集团医学检验实验室、深圳市标准化协会、广东省养老服务业协会、深圳市养老服务业协会、广东省养老服务业商会、深圳市农科集团有限公司、广东厚德世家养老产业有限公司、深圳市罗湖区黄贝岭颐养院、深圳国际旅行卫生保健中心、深圳天祥质量技术服务有限公司、广东江门中医药职业学院、江门海关技术中心、江门市质量计量监督检测所、江门市食品检验所、江门市质量技术监督标准与编码所、广州市老人院、广州城市职业学院、广东颐寿医疗养老有限公司、一家依（广州）健康养老产业发展有限公司。</w:t>
      </w:r>
    </w:p>
    <w:p w14:paraId="2D6A1F5B">
      <w:pPr>
        <w:pStyle w:val="56"/>
        <w:ind w:firstLine="420"/>
        <w:sectPr>
          <w:headerReference r:id="rId14" w:type="default"/>
          <w:footerReference r:id="rId16" w:type="default"/>
          <w:headerReference r:id="rId15" w:type="even"/>
          <w:footerReference r:id="rId17" w:type="even"/>
          <w:pgSz w:w="11906" w:h="16838"/>
          <w:pgMar w:top="1928" w:right="1134" w:bottom="1134" w:left="1134" w:header="1418" w:footer="1134" w:gutter="284"/>
          <w:pgNumType w:fmt="upperRoman"/>
          <w:cols w:space="425" w:num="1"/>
          <w:formProt w:val="0"/>
          <w:docGrid w:linePitch="312" w:charSpace="0"/>
        </w:sectPr>
      </w:pPr>
      <w:r>
        <w:rPr>
          <w:rFonts w:hint="eastAsia"/>
        </w:rPr>
        <w:t>本文件主要起草人：杨国武、林俊康、谭颖茜、刘欣健、卢惠敏、谢月亮、岳振峰、黄薇、杜志楷、陈山泉、徐健、陈协辉、张展兴、赵家瑜、张玉珍、何浩德、林燕奎、韩硕、李芸、张悦行、叶键池、凌俊杰、梁泳仪、曹娟、沈洪涛、王一晨、詹松坤、贾艳艳、张贵虹、夏强、吕敬章、邓桂芳、陈开萌、马静、梁燕萍、杨泽、彭荣珍、杨芳、区棋铭、陈妙兰、曾常春、刘雅、李华云、段宏莉、陈肖英、萧丽雯、应恺、叶芊然、李雅玫、江津津、景永哲、张敬露、崔芳、罗凯宁、徐凤仪、彭锶慧、傅琬琪、周益俊、关海山、陈文琪、蔡少薇、梁文杰、区志漾、罗擎颖、陈灿、代凤岐、宫本宁、洪文旭、李艳艳、蓝雄、王维茜、陈玉浩、张红敏、张乃文、杨迪 冯柳娟、李子樱、矫昕霖、黄城益、朱泽超、但丹、马永超、廖雪鹭、丘文琪、杨杰、范志平、许晓玲、周志聪、吴亭澍、李亚夫、肖伟敏。</w:t>
      </w:r>
    </w:p>
    <w:bookmarkEnd w:id="22"/>
    <w:p w14:paraId="5B41AC0A">
      <w:pPr>
        <w:pStyle w:val="89"/>
        <w:spacing w:after="360"/>
      </w:pPr>
      <w:bookmarkStart w:id="23" w:name="_Toc28254"/>
      <w:bookmarkStart w:id="24" w:name="_Toc15908"/>
      <w:bookmarkStart w:id="25" w:name="BookMark3"/>
      <w:r>
        <w:rPr>
          <w:rFonts w:hint="eastAsia"/>
          <w:spacing w:val="320"/>
        </w:rPr>
        <w:t>引</w:t>
      </w:r>
      <w:r>
        <w:rPr>
          <w:rFonts w:hint="eastAsia"/>
        </w:rPr>
        <w:t>言</w:t>
      </w:r>
      <w:bookmarkEnd w:id="23"/>
      <w:bookmarkEnd w:id="24"/>
    </w:p>
    <w:p w14:paraId="0171EE81">
      <w:pPr>
        <w:pStyle w:val="56"/>
        <w:ind w:firstLine="420"/>
      </w:pPr>
      <w:r>
        <w:rPr>
          <w:rFonts w:hint="eastAsia"/>
        </w:rPr>
        <w:t>伴随我国人口老龄化程度持续加深，咀嚼和/或吞咽功能障碍的老年群体迅速扩大。吞咽障碍不仅高发，而且极易引发吸入性肺炎、营养不良及继发感染，显著降低老年人生活质量，加重家庭与社会照护负担。与此相对应，国内市场上真正符合咀嚼、吞咽特殊需求、兼具安全与营养的适老易食食品品类稀少、标准缺位，难以满足日益增长的健康养老需求。</w:t>
      </w:r>
    </w:p>
    <w:p w14:paraId="0AD76970">
      <w:pPr>
        <w:pStyle w:val="56"/>
        <w:ind w:firstLine="420"/>
      </w:pPr>
      <w:r>
        <w:rPr>
          <w:rFonts w:hint="eastAsia"/>
        </w:rPr>
        <w:t>香港作为率先步入老龄化社会的地区，早在本世纪初即系统引入国际吞咽障碍饮食标准化倡议（IDDSI）框架，并融合日本经验，由香港社会服务联会牵头编制了《照护食标准指引》，在易食食品研发、生产、服务与管理方面形成了可借鉴的区域模式。</w:t>
      </w:r>
    </w:p>
    <w:p w14:paraId="04F4A55D">
      <w:pPr>
        <w:pStyle w:val="56"/>
        <w:ind w:firstLine="420"/>
      </w:pPr>
      <w:r>
        <w:rPr>
          <w:rFonts w:hint="eastAsia"/>
        </w:rPr>
        <w:t>为落实《“健康中国2030”规划纲要》和《积极应对人口老龄化国家战略》，推动粤港澳大湾区养老产业协同发展，深圳市分析测试协会联合香港社会服务联会、澳门扶康会、广东省养老服务业协会等科技及产业力量，共同制定本《适老易食食品》标准。</w:t>
      </w:r>
    </w:p>
    <w:p w14:paraId="38789E31">
      <w:pPr>
        <w:pStyle w:val="56"/>
        <w:ind w:firstLine="420"/>
        <w:sectPr>
          <w:headerReference r:id="rId18" w:type="default"/>
          <w:footerReference r:id="rId20" w:type="default"/>
          <w:headerReference r:id="rId19" w:type="even"/>
          <w:footerReference r:id="rId21" w:type="even"/>
          <w:pgSz w:w="11906" w:h="16838"/>
          <w:pgMar w:top="1928" w:right="1134" w:bottom="1134" w:left="1134" w:header="1418" w:footer="1134" w:gutter="284"/>
          <w:pgNumType w:fmt="upperRoman"/>
          <w:cols w:space="425" w:num="1"/>
          <w:formProt w:val="0"/>
          <w:docGrid w:linePitch="312" w:charSpace="0"/>
        </w:sectPr>
      </w:pPr>
      <w:r>
        <w:rPr>
          <w:rFonts w:hint="eastAsia"/>
        </w:rPr>
        <w:t>本标准内容以 IDDSI 标准为主要参考，结合粤港澳地区饮食习惯、产业能力与监管要求，为政府监管、企业生产、机构采购及居家照护提供技术依据，引导适老食品产业规范化、规模化发展，切实提升老年人饮食安全与营养水平，延长健康寿命，助力老龄友好型社会建设。</w:t>
      </w:r>
    </w:p>
    <w:bookmarkEnd w:id="25"/>
    <w:p w14:paraId="06597EE1">
      <w:pPr>
        <w:spacing w:line="20" w:lineRule="exact"/>
        <w:jc w:val="center"/>
        <w:rPr>
          <w:rFonts w:hint="eastAsia" w:ascii="黑体" w:hAnsi="黑体" w:eastAsia="黑体"/>
          <w:sz w:val="32"/>
          <w:szCs w:val="32"/>
        </w:rPr>
      </w:pPr>
      <w:bookmarkStart w:id="26" w:name="BookMark4"/>
    </w:p>
    <w:p w14:paraId="32653B08">
      <w:pPr>
        <w:spacing w:line="20" w:lineRule="exact"/>
        <w:jc w:val="center"/>
        <w:rPr>
          <w:rFonts w:hint="eastAsia" w:ascii="黑体" w:hAnsi="黑体" w:eastAsia="黑体"/>
          <w:sz w:val="32"/>
          <w:szCs w:val="32"/>
        </w:rPr>
      </w:pPr>
    </w:p>
    <w:sdt>
      <w:sdtPr>
        <w:tag w:val="NEW_STAND_NAME"/>
        <w:id w:val="595910757"/>
        <w:lock w:val="sdtLocked"/>
        <w:placeholder>
          <w:docPart w:val="9B3BEDB4F2724F9D81F4444A5CCE266D"/>
        </w:placeholder>
      </w:sdtPr>
      <w:sdtContent>
        <w:p w14:paraId="70966BB5">
          <w:pPr>
            <w:pStyle w:val="177"/>
            <w:spacing w:before="240" w:beforeLines="100" w:after="528" w:afterLines="220"/>
            <w:rPr>
              <w:rFonts w:hint="eastAsia"/>
            </w:rPr>
          </w:pPr>
          <w:bookmarkStart w:id="27" w:name="NEW_STAND_NAME"/>
          <w:r>
            <w:rPr>
              <w:rFonts w:hint="eastAsia"/>
            </w:rPr>
            <w:t>适老易食食品（适老照护食）通用要求</w:t>
          </w:r>
        </w:p>
      </w:sdtContent>
    </w:sdt>
    <w:bookmarkEnd w:id="27"/>
    <w:p w14:paraId="55AEFBBC">
      <w:pPr>
        <w:pStyle w:val="104"/>
        <w:spacing w:before="240" w:after="240"/>
      </w:pPr>
      <w:bookmarkStart w:id="28" w:name="_Toc9082"/>
      <w:bookmarkStart w:id="29" w:name="_Toc17609"/>
      <w:bookmarkStart w:id="30" w:name="_Toc26718930"/>
      <w:bookmarkStart w:id="31" w:name="_Toc26986530"/>
      <w:bookmarkStart w:id="32" w:name="_Toc24884211"/>
      <w:bookmarkStart w:id="33" w:name="_Toc97192964"/>
      <w:bookmarkStart w:id="34" w:name="_Toc26986771"/>
      <w:bookmarkStart w:id="35" w:name="_Toc24884218"/>
      <w:bookmarkStart w:id="36" w:name="_Toc17233325"/>
      <w:bookmarkStart w:id="37" w:name="_Toc26648465"/>
      <w:bookmarkStart w:id="38" w:name="_Toc17233333"/>
      <w:r>
        <w:rPr>
          <w:rFonts w:hint="eastAsia"/>
        </w:rPr>
        <w:t>范围</w:t>
      </w:r>
      <w:bookmarkEnd w:id="28"/>
      <w:bookmarkEnd w:id="29"/>
      <w:bookmarkEnd w:id="30"/>
      <w:bookmarkEnd w:id="31"/>
      <w:bookmarkEnd w:id="32"/>
      <w:bookmarkEnd w:id="33"/>
      <w:bookmarkEnd w:id="34"/>
      <w:bookmarkEnd w:id="35"/>
      <w:bookmarkEnd w:id="36"/>
      <w:bookmarkEnd w:id="37"/>
      <w:bookmarkEnd w:id="38"/>
    </w:p>
    <w:p w14:paraId="34FC343D">
      <w:pPr>
        <w:pStyle w:val="56"/>
        <w:ind w:firstLine="420"/>
      </w:pPr>
      <w:bookmarkStart w:id="39" w:name="_Toc24884219"/>
      <w:bookmarkStart w:id="40" w:name="_Toc26648466"/>
      <w:bookmarkStart w:id="41" w:name="_Toc17233334"/>
      <w:bookmarkStart w:id="42" w:name="_Toc24884212"/>
      <w:bookmarkStart w:id="43" w:name="_Toc17233326"/>
      <w:r>
        <w:rPr>
          <w:rFonts w:hint="eastAsia"/>
        </w:rPr>
        <w:t>本文件规定了适老易食食品的术语和定义、基本原则、技术、标签标识、包装、运输和储存等要求。</w:t>
      </w:r>
    </w:p>
    <w:p w14:paraId="4A6CD2F0">
      <w:pPr>
        <w:pStyle w:val="56"/>
        <w:ind w:firstLine="420"/>
      </w:pPr>
      <w:r>
        <w:rPr>
          <w:rFonts w:hint="eastAsia"/>
        </w:rPr>
        <w:t>本文件适用于咀嚼和（或）吞咽功能障碍的老年人群的预包装食品，其他适宜人群可参照使用。</w:t>
      </w:r>
    </w:p>
    <w:p w14:paraId="4BE525AA">
      <w:pPr>
        <w:pStyle w:val="104"/>
        <w:spacing w:before="240" w:after="240"/>
      </w:pPr>
      <w:bookmarkStart w:id="44" w:name="_Toc97192965"/>
      <w:bookmarkStart w:id="45" w:name="_Toc9776"/>
      <w:bookmarkStart w:id="46" w:name="_Toc26718931"/>
      <w:bookmarkStart w:id="47" w:name="_Toc26986531"/>
      <w:bookmarkStart w:id="48" w:name="_Toc26986772"/>
      <w:bookmarkStart w:id="49" w:name="_Toc3548"/>
      <w:r>
        <w:rPr>
          <w:rFonts w:hint="eastAsia"/>
        </w:rPr>
        <w:t>规范性引用文件</w:t>
      </w:r>
      <w:bookmarkEnd w:id="39"/>
      <w:bookmarkEnd w:id="40"/>
      <w:bookmarkEnd w:id="41"/>
      <w:bookmarkEnd w:id="42"/>
      <w:bookmarkEnd w:id="43"/>
      <w:bookmarkEnd w:id="44"/>
      <w:bookmarkEnd w:id="45"/>
      <w:bookmarkEnd w:id="46"/>
      <w:bookmarkEnd w:id="47"/>
      <w:bookmarkEnd w:id="48"/>
      <w:bookmarkEnd w:id="49"/>
    </w:p>
    <w:sdt>
      <w:sdtPr>
        <w:rPr>
          <w:rFonts w:hint="eastAsia"/>
        </w:rPr>
        <w:id w:val="715848253"/>
        <w:placeholder>
          <w:docPart w:val="78956B8278AF41489B4C226600D2E8C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30E2DADA">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9F2ACD9">
      <w:pPr>
        <w:pStyle w:val="56"/>
        <w:ind w:firstLine="420"/>
      </w:pPr>
      <w:r>
        <w:rPr>
          <w:rFonts w:hint="eastAsia"/>
        </w:rPr>
        <w:t>GB/T 191  包装储运图示标志</w:t>
      </w:r>
    </w:p>
    <w:p w14:paraId="3DDDB788">
      <w:pPr>
        <w:pStyle w:val="56"/>
        <w:ind w:firstLine="420"/>
      </w:pPr>
      <w:r>
        <w:rPr>
          <w:rFonts w:hint="eastAsia"/>
        </w:rPr>
        <w:t>GB 2760  食品安全国家标准 食品添加剂使用标准</w:t>
      </w:r>
    </w:p>
    <w:p w14:paraId="7DD6A6CE">
      <w:pPr>
        <w:pStyle w:val="56"/>
        <w:ind w:firstLine="420"/>
      </w:pPr>
      <w:r>
        <w:rPr>
          <w:rFonts w:hint="eastAsia"/>
        </w:rPr>
        <w:t>GB 2761  食品安全国家标准 食品中真菌毒素限量</w:t>
      </w:r>
    </w:p>
    <w:p w14:paraId="2ECA3B33">
      <w:pPr>
        <w:pStyle w:val="56"/>
        <w:ind w:firstLine="420"/>
      </w:pPr>
      <w:r>
        <w:rPr>
          <w:rFonts w:hint="eastAsia"/>
        </w:rPr>
        <w:t>GB 2762  食品安全国家标准 食品中污染物限量</w:t>
      </w:r>
    </w:p>
    <w:p w14:paraId="1F4DF1DD">
      <w:pPr>
        <w:pStyle w:val="56"/>
        <w:ind w:firstLine="420"/>
      </w:pPr>
      <w:r>
        <w:rPr>
          <w:rFonts w:hint="eastAsia"/>
        </w:rPr>
        <w:t>GB 4789.1  食品安全国家标准 食品微生物学检验 总则</w:t>
      </w:r>
    </w:p>
    <w:p w14:paraId="0C447910">
      <w:pPr>
        <w:pStyle w:val="56"/>
        <w:ind w:firstLine="420"/>
      </w:pPr>
      <w:r>
        <w:rPr>
          <w:rFonts w:hint="eastAsia"/>
        </w:rPr>
        <w:t>GB 4789.2  食品安全国家标准 食品微生物学检验 菌落总数测定</w:t>
      </w:r>
    </w:p>
    <w:p w14:paraId="39E5231E">
      <w:pPr>
        <w:pStyle w:val="56"/>
        <w:ind w:firstLine="420"/>
      </w:pPr>
      <w:r>
        <w:rPr>
          <w:rFonts w:hint="eastAsia"/>
        </w:rPr>
        <w:t>GB 4789.4  食品安全国家标准 食品微生物学检验 沙门氏菌检验</w:t>
      </w:r>
    </w:p>
    <w:p w14:paraId="26811A9B">
      <w:pPr>
        <w:pStyle w:val="56"/>
        <w:ind w:firstLine="420"/>
      </w:pPr>
      <w:r>
        <w:rPr>
          <w:rFonts w:hint="eastAsia"/>
        </w:rPr>
        <w:t>GB 4789.10  食品安全国家标准 食品微生物学检验 金黄色葡萄球菌检验</w:t>
      </w:r>
    </w:p>
    <w:p w14:paraId="41E66494">
      <w:pPr>
        <w:pStyle w:val="56"/>
        <w:ind w:firstLine="420"/>
      </w:pPr>
      <w:r>
        <w:rPr>
          <w:rFonts w:hint="eastAsia"/>
        </w:rPr>
        <w:t>GB 4789.26  食品安全国家标准 食品微生物学检验 商业无菌检验</w:t>
      </w:r>
    </w:p>
    <w:p w14:paraId="3EAD6B6A">
      <w:pPr>
        <w:pStyle w:val="56"/>
        <w:ind w:firstLine="420"/>
      </w:pPr>
      <w:r>
        <w:rPr>
          <w:rFonts w:hint="eastAsia"/>
        </w:rPr>
        <w:t>GB 4789.41  食品安全国家标准 食品微生物学检验 肠杆菌科检验</w:t>
      </w:r>
    </w:p>
    <w:p w14:paraId="1DFE9FB2">
      <w:pPr>
        <w:pStyle w:val="56"/>
        <w:ind w:firstLine="420"/>
      </w:pPr>
      <w:r>
        <w:rPr>
          <w:rFonts w:hint="eastAsia"/>
        </w:rPr>
        <w:t>GB 7718  食品安全国家标准 预包装食品标签通则</w:t>
      </w:r>
    </w:p>
    <w:p w14:paraId="4C412F81">
      <w:pPr>
        <w:pStyle w:val="56"/>
        <w:ind w:firstLine="420"/>
      </w:pPr>
      <w:r>
        <w:rPr>
          <w:rFonts w:hint="eastAsia"/>
        </w:rPr>
        <w:t>GB/T 10247  粘度测量方法</w:t>
      </w:r>
    </w:p>
    <w:p w14:paraId="7BC83868">
      <w:pPr>
        <w:pStyle w:val="56"/>
        <w:ind w:firstLine="420"/>
      </w:pPr>
      <w:r>
        <w:rPr>
          <w:rFonts w:hint="eastAsia"/>
        </w:rPr>
        <w:t>GB 14880  食品安全国家标准  食品营养强化剂使用标准</w:t>
      </w:r>
    </w:p>
    <w:p w14:paraId="4B28F819">
      <w:pPr>
        <w:pStyle w:val="56"/>
        <w:ind w:firstLine="420"/>
      </w:pPr>
      <w:r>
        <w:rPr>
          <w:rFonts w:hint="eastAsia"/>
        </w:rPr>
        <w:t>GB/Z 21922  食品营养成分基本术语</w:t>
      </w:r>
    </w:p>
    <w:p w14:paraId="7DC2BCE8">
      <w:pPr>
        <w:pStyle w:val="56"/>
        <w:ind w:firstLine="420"/>
      </w:pPr>
      <w:r>
        <w:rPr>
          <w:rFonts w:hint="eastAsia"/>
        </w:rPr>
        <w:t>GB 28050  食品安全国家标准 预包装食品营养标签通则</w:t>
      </w:r>
    </w:p>
    <w:p w14:paraId="32D60AB7">
      <w:pPr>
        <w:pStyle w:val="56"/>
        <w:ind w:firstLine="420"/>
      </w:pPr>
      <w:r>
        <w:rPr>
          <w:rFonts w:hint="eastAsia"/>
        </w:rPr>
        <w:t>GB 29921  食品安全国家标准 预包装食品中致病菌限量</w:t>
      </w:r>
    </w:p>
    <w:p w14:paraId="5865E0D3">
      <w:pPr>
        <w:pStyle w:val="56"/>
        <w:ind w:firstLine="420"/>
      </w:pPr>
      <w:r>
        <w:rPr>
          <w:rFonts w:hint="eastAsia"/>
        </w:rPr>
        <w:t>GB 31621  食品安全国家标准 食品经营过程卫生规范</w:t>
      </w:r>
    </w:p>
    <w:p w14:paraId="576EF064">
      <w:pPr>
        <w:pStyle w:val="56"/>
        <w:ind w:firstLine="420"/>
      </w:pPr>
      <w:r>
        <w:rPr>
          <w:rFonts w:hint="eastAsia"/>
        </w:rPr>
        <w:t>GB/T 39947  食品包装选择及设计</w:t>
      </w:r>
    </w:p>
    <w:p w14:paraId="56092230">
      <w:pPr>
        <w:pStyle w:val="56"/>
        <w:ind w:firstLine="420"/>
      </w:pPr>
      <w:r>
        <w:rPr>
          <w:rFonts w:hint="eastAsia"/>
        </w:rPr>
        <w:t>WS/T 476  营养名词术语</w:t>
      </w:r>
    </w:p>
    <w:p w14:paraId="377180ED">
      <w:pPr>
        <w:pStyle w:val="56"/>
        <w:ind w:firstLine="420"/>
      </w:pPr>
      <w:r>
        <w:rPr>
          <w:rFonts w:hint="eastAsia"/>
        </w:rPr>
        <w:t xml:space="preserve">WS/T 556  老年人膳食指导 </w:t>
      </w:r>
    </w:p>
    <w:p w14:paraId="186BD6BF">
      <w:pPr>
        <w:pStyle w:val="56"/>
        <w:ind w:firstLine="420"/>
      </w:pPr>
      <w:r>
        <w:rPr>
          <w:rFonts w:hint="eastAsia"/>
        </w:rPr>
        <w:t>IDDSI 2.0 2019  国际吞咽障碍饮食标准完整框架及详细定义</w:t>
      </w:r>
    </w:p>
    <w:p w14:paraId="7C1A1E45">
      <w:pPr>
        <w:pStyle w:val="104"/>
        <w:spacing w:before="240" w:after="240"/>
      </w:pPr>
      <w:bookmarkStart w:id="50" w:name="_Toc97192966"/>
      <w:bookmarkStart w:id="51" w:name="_Toc26998"/>
      <w:bookmarkStart w:id="52" w:name="_Toc24055"/>
      <w:r>
        <w:rPr>
          <w:rFonts w:hint="eastAsia"/>
          <w:szCs w:val="21"/>
        </w:rPr>
        <w:t>术语和定义</w:t>
      </w:r>
      <w:bookmarkEnd w:id="50"/>
      <w:bookmarkEnd w:id="51"/>
      <w:bookmarkEnd w:id="52"/>
    </w:p>
    <w:p w14:paraId="110848D0">
      <w:pPr>
        <w:pStyle w:val="56"/>
        <w:ind w:firstLine="420"/>
      </w:pPr>
      <w:bookmarkStart w:id="53" w:name="_Toc26986532"/>
      <w:bookmarkEnd w:id="53"/>
      <w:r>
        <w:rPr>
          <w:rFonts w:hint="eastAsia"/>
        </w:rPr>
        <w:t>GB/Z 21922 和 WS/T 556 </w:t>
      </w:r>
      <w:sdt>
        <w:sdtPr>
          <w:id w:val="-1909835108"/>
          <w:placeholder>
            <w:docPart w:val="DD487E154D8B46B1811108614A11313A"/>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r>
            <w:t>界定的以及下列术语和定义适用于本文件。</w:t>
          </w:r>
        </w:sdtContent>
      </w:sdt>
    </w:p>
    <w:p w14:paraId="05DDFDE7">
      <w:pPr>
        <w:pStyle w:val="56"/>
        <w:ind w:firstLine="420"/>
      </w:pPr>
    </w:p>
    <w:p w14:paraId="30622C15">
      <w:pPr>
        <w:pStyle w:val="223"/>
        <w:ind w:left="420" w:hanging="420" w:hangingChars="200"/>
        <w:rPr>
          <w:rFonts w:hint="eastAsia" w:ascii="黑体" w:hAnsi="黑体" w:eastAsia="黑体" w:cs="黑体"/>
        </w:rPr>
      </w:pPr>
      <w:r>
        <w:rPr>
          <w:rFonts w:hint="eastAsia" w:ascii="黑体" w:hAnsi="黑体" w:eastAsia="黑体" w:cs="黑体"/>
        </w:rPr>
        <w:br w:type="textWrapping"/>
      </w:r>
      <w:r>
        <w:rPr>
          <w:rFonts w:hint="eastAsia" w:ascii="黑体" w:hAnsi="黑体" w:eastAsia="黑体" w:cs="黑体"/>
        </w:rPr>
        <w:t>适老易食食品dysphagia food for elderly</w:t>
      </w:r>
    </w:p>
    <w:p w14:paraId="4141FF11">
      <w:pPr>
        <w:pStyle w:val="223"/>
        <w:numPr>
          <w:ilvl w:val="255"/>
          <w:numId w:val="0"/>
        </w:numPr>
        <w:ind w:left="-420" w:leftChars="-200" w:firstLine="840" w:firstLineChars="400"/>
        <w:rPr>
          <w:rFonts w:hint="eastAsia" w:ascii="黑体" w:hAnsi="黑体" w:eastAsia="黑体" w:cs="黑体"/>
        </w:rPr>
      </w:pPr>
      <w:r>
        <w:rPr>
          <w:rFonts w:hint="eastAsia" w:ascii="黑体" w:hAnsi="黑体" w:eastAsia="黑体" w:cs="黑体"/>
        </w:rPr>
        <w:t>适老照护食  care food for elderly</w:t>
      </w:r>
    </w:p>
    <w:p w14:paraId="1BE2F60F">
      <w:pPr>
        <w:pStyle w:val="56"/>
        <w:ind w:firstLine="420"/>
      </w:pPr>
    </w:p>
    <w:p w14:paraId="6D0670D8">
      <w:pPr>
        <w:pStyle w:val="56"/>
        <w:ind w:firstLine="420"/>
      </w:pPr>
      <w:r>
        <w:rPr>
          <w:rFonts w:hint="eastAsia"/>
        </w:rPr>
        <w:t>经改善食物物理性状以满足咀嚼和（或）吞咽功能障碍的老年人群膳食需求的一类食品。</w:t>
      </w:r>
    </w:p>
    <w:p w14:paraId="2B23EEAE">
      <w:pPr>
        <w:pStyle w:val="223"/>
        <w:ind w:left="420" w:hanging="420" w:hangingChars="200"/>
        <w:rPr>
          <w:rFonts w:hint="eastAsia" w:ascii="黑体" w:hAnsi="黑体" w:eastAsia="黑体" w:cs="黑体"/>
        </w:rPr>
      </w:pPr>
      <w:r>
        <w:rPr>
          <w:rFonts w:hint="eastAsia" w:ascii="黑体" w:hAnsi="黑体" w:eastAsia="黑体" w:cs="黑体"/>
        </w:rPr>
        <w:br w:type="textWrapping"/>
      </w:r>
      <w:r>
        <w:rPr>
          <w:rFonts w:hint="eastAsia" w:ascii="黑体" w:hAnsi="黑体" w:eastAsia="黑体" w:cs="黑体"/>
        </w:rPr>
        <w:t>营养素参考值  nutrient reference values;NRV</w:t>
      </w:r>
    </w:p>
    <w:p w14:paraId="1C884561">
      <w:pPr>
        <w:pStyle w:val="56"/>
        <w:ind w:firstLine="420"/>
      </w:pPr>
      <w:r>
        <w:rPr>
          <w:rFonts w:hint="eastAsia"/>
        </w:rPr>
        <w:t>“中国食品标签营养素参考值”的简称,是专用于食品标签的,比较食品营养成分含量多少的参考标准,是消费者选择食品时的一种营养参照尺度。营养素参考值主要依据我国居民膳食营养素“推荐摄入量”(RNI)和“适宜摄入量”(AI)而制定。</w:t>
      </w:r>
    </w:p>
    <w:p w14:paraId="32DA6E9C">
      <w:pPr>
        <w:pStyle w:val="56"/>
        <w:ind w:firstLine="420"/>
      </w:pPr>
      <w:r>
        <w:rPr>
          <w:rFonts w:hint="eastAsia"/>
        </w:rPr>
        <w:t>[来源：GB/Z 21922]</w:t>
      </w:r>
    </w:p>
    <w:p w14:paraId="00D21E62">
      <w:pPr>
        <w:pStyle w:val="223"/>
        <w:ind w:left="420" w:hanging="420" w:hangingChars="200"/>
      </w:pPr>
      <w:r>
        <w:rPr>
          <w:rFonts w:hint="eastAsia" w:ascii="黑体" w:hAnsi="黑体" w:eastAsia="黑体" w:cs="黑体"/>
        </w:rPr>
        <w:br w:type="textWrapping"/>
      </w:r>
      <w:r>
        <w:rPr>
          <w:rFonts w:hint="eastAsia" w:ascii="黑体" w:hAnsi="黑体" w:eastAsia="黑体" w:cs="黑体"/>
        </w:rPr>
        <w:t>营养质量指数  index of nutritional quality;INQ</w:t>
      </w:r>
    </w:p>
    <w:p w14:paraId="17E44290">
      <w:pPr>
        <w:pStyle w:val="56"/>
        <w:ind w:firstLine="420"/>
      </w:pPr>
      <w:r>
        <w:rPr>
          <w:rFonts w:hint="eastAsia"/>
        </w:rPr>
        <w:t>食物或膳食中含有各种营养素占推荐摄入量的百分比，与其能量占推荐摄入量的百分比之间的比值。</w:t>
      </w:r>
    </w:p>
    <w:p w14:paraId="2ADA4131">
      <w:pPr>
        <w:pStyle w:val="113"/>
        <w:rPr>
          <w:rFonts w:hAnsi="Cambria Math"/>
        </w:rPr>
      </w:pPr>
      <w:r>
        <w:rPr>
          <w:rFonts w:hint="eastAsia"/>
        </w:rPr>
        <w:tab/>
      </w:r>
      <m:oMath>
        <m:r>
          <m:rPr/>
          <w:rPr>
            <w:rFonts w:ascii="Cambria Math" w:hAnsi="Cambria Math"/>
          </w:rPr>
          <m:t>INQ=</m:t>
        </m:r>
        <m:f>
          <m:fPr>
            <m:ctrlPr>
              <w:rPr>
                <w:rFonts w:ascii="Cambria Math" w:hAnsi="Cambria Math"/>
                <w:i/>
              </w:rPr>
            </m:ctrlPr>
          </m:fPr>
          <m:num>
            <m:f>
              <m:fPr>
                <m:type m:val="lin"/>
                <m:ctrlPr>
                  <w:rPr>
                    <w:rFonts w:ascii="Cambria Math" w:hAnsi="Cambria Math"/>
                    <w:i/>
                  </w:rPr>
                </m:ctrlPr>
              </m:fPr>
              <m:num>
                <m:r>
                  <m:rPr/>
                  <w:rPr>
                    <w:rFonts w:hint="eastAsia" w:ascii="Cambria Math" w:hAnsi="Cambria Math"/>
                  </w:rPr>
                  <m:t>食物营养素含量</m:t>
                </m:r>
                <m:ctrlPr>
                  <w:rPr>
                    <w:rFonts w:ascii="Cambria Math" w:hAnsi="Cambria Math"/>
                    <w:i/>
                  </w:rPr>
                </m:ctrlPr>
              </m:num>
              <m:den>
                <m:r>
                  <m:rPr/>
                  <w:rPr>
                    <w:rFonts w:hint="eastAsia" w:ascii="Cambria Math" w:hAnsi="Cambria Math"/>
                  </w:rPr>
                  <m:t>营养素推荐摄入量</m:t>
                </m:r>
                <m:ctrlPr>
                  <w:rPr>
                    <w:rFonts w:ascii="Cambria Math" w:hAnsi="Cambria Math"/>
                    <w:i/>
                  </w:rPr>
                </m:ctrlPr>
              </m:den>
            </m:f>
            <m:ctrlPr>
              <w:rPr>
                <w:rFonts w:ascii="Cambria Math" w:hAnsi="Cambria Math"/>
                <w:i/>
              </w:rPr>
            </m:ctrlPr>
          </m:num>
          <m:den>
            <m:f>
              <m:fPr>
                <m:type m:val="lin"/>
                <m:ctrlPr>
                  <w:rPr>
                    <w:rFonts w:ascii="Cambria Math" w:hAnsi="Cambria Math"/>
                    <w:i/>
                  </w:rPr>
                </m:ctrlPr>
              </m:fPr>
              <m:num>
                <m:r>
                  <m:rPr/>
                  <w:rPr>
                    <w:rFonts w:hint="eastAsia" w:ascii="Cambria Math" w:hAnsi="Cambria Math"/>
                  </w:rPr>
                  <m:t>食物能量</m:t>
                </m:r>
                <m:ctrlPr>
                  <w:rPr>
                    <w:rFonts w:ascii="Cambria Math" w:hAnsi="Cambria Math"/>
                    <w:i/>
                  </w:rPr>
                </m:ctrlPr>
              </m:num>
              <m:den>
                <m:r>
                  <m:rPr/>
                  <w:rPr>
                    <w:rFonts w:hint="eastAsia" w:ascii="Cambria Math" w:hAnsi="Cambria Math"/>
                  </w:rPr>
                  <m:t>能量推荐摄入量</m:t>
                </m:r>
                <m:ctrlPr>
                  <w:rPr>
                    <w:rFonts w:ascii="Cambria Math" w:hAnsi="Cambria Math"/>
                    <w:i/>
                  </w:rPr>
                </m:ctrlPr>
              </m:den>
            </m:f>
            <m:ctrlPr>
              <w:rPr>
                <w:rFonts w:ascii="Cambria Math" w:hAnsi="Cambria Math"/>
                <w:i/>
              </w:rPr>
            </m:ctrlPr>
          </m:den>
        </m:f>
      </m:oMath>
    </w:p>
    <w:p w14:paraId="1203C098">
      <w:pPr>
        <w:pStyle w:val="56"/>
        <w:ind w:firstLine="420"/>
      </w:pPr>
      <w:r>
        <w:rPr>
          <w:rFonts w:hint="eastAsia"/>
        </w:rPr>
        <w:t>[来源：WS/T 476]</w:t>
      </w:r>
    </w:p>
    <w:p w14:paraId="35004380">
      <w:pPr>
        <w:pStyle w:val="223"/>
        <w:ind w:left="420" w:hanging="420" w:hangingChars="200"/>
      </w:pPr>
      <w:r>
        <w:rPr>
          <w:rFonts w:hint="eastAsia" w:ascii="黑体" w:hAnsi="黑体" w:eastAsia="黑体" w:cs="黑体"/>
        </w:rPr>
        <w:br w:type="textWrapping"/>
      </w:r>
      <w:r>
        <w:rPr>
          <w:rFonts w:hint="eastAsia" w:ascii="黑体" w:hAnsi="黑体" w:eastAsia="黑体" w:cs="黑体"/>
        </w:rPr>
        <w:t>硬度  hardness</w:t>
      </w:r>
    </w:p>
    <w:p w14:paraId="662A5123">
      <w:pPr>
        <w:pStyle w:val="56"/>
        <w:ind w:firstLine="420"/>
      </w:pPr>
      <w:r>
        <w:rPr>
          <w:rFonts w:hint="eastAsia"/>
        </w:rPr>
        <w:t>咀嚼时压缩食物所需的力量，硬度数值越大，代表食物越硬，越难咀嚼。</w:t>
      </w:r>
    </w:p>
    <w:p w14:paraId="0077A6CA">
      <w:pPr>
        <w:pStyle w:val="223"/>
        <w:ind w:left="420" w:hanging="420" w:hangingChars="200"/>
      </w:pPr>
      <w:r>
        <w:rPr>
          <w:rFonts w:hint="eastAsia" w:ascii="黑体" w:hAnsi="黑体" w:eastAsia="黑体" w:cs="黑体"/>
        </w:rPr>
        <w:br w:type="textWrapping"/>
      </w:r>
      <w:r>
        <w:rPr>
          <w:rFonts w:hint="eastAsia" w:ascii="黑体" w:hAnsi="黑体" w:eastAsia="黑体" w:cs="黑体"/>
        </w:rPr>
        <w:t>凝聚力  cohesiveness</w:t>
      </w:r>
    </w:p>
    <w:p w14:paraId="094640F1">
      <w:pPr>
        <w:pStyle w:val="56"/>
        <w:ind w:firstLine="420"/>
      </w:pPr>
      <w:r>
        <w:rPr>
          <w:rFonts w:hint="eastAsia"/>
        </w:rPr>
        <w:t>食物在第一次和第二次咀嚼之间保持形状的程度。这反映食物相互粘合及凝聚的能力，凝聚力高的食物即使在咀嚼后也更容易粘在一起。凝聚力的数值范围是 0～1，凝聚力数值越接近 1 代表食物经挤压后越能维持本来的结构，反之则代表食物结构比较松散。</w:t>
      </w:r>
    </w:p>
    <w:p w14:paraId="673621CF">
      <w:pPr>
        <w:pStyle w:val="223"/>
        <w:ind w:left="420" w:hanging="420" w:hangingChars="200"/>
      </w:pPr>
      <w:r>
        <w:rPr>
          <w:rFonts w:hint="eastAsia" w:ascii="黑体" w:hAnsi="黑体" w:eastAsia="黑体" w:cs="黑体"/>
        </w:rPr>
        <w:br w:type="textWrapping"/>
      </w:r>
      <w:r>
        <w:rPr>
          <w:rFonts w:hint="eastAsia" w:ascii="黑体" w:hAnsi="黑体" w:eastAsia="黑体" w:cs="黑体"/>
        </w:rPr>
        <w:t>附着力  adhesiveness</w:t>
      </w:r>
    </w:p>
    <w:p w14:paraId="22BBF9C0">
      <w:pPr>
        <w:pStyle w:val="56"/>
        <w:ind w:firstLine="420"/>
      </w:pPr>
      <w:r>
        <w:rPr>
          <w:rFonts w:hint="eastAsia"/>
        </w:rPr>
        <w:t>食物的粘附能力程度。高附着力的食物会比较容易粘附于口腔、喉咙及食道，附着力数值越大（接近 0）则代表食物附着能力较低，反之则代表食物附着能力较高。</w:t>
      </w:r>
    </w:p>
    <w:p w14:paraId="2068F9FE">
      <w:pPr>
        <w:pStyle w:val="56"/>
        <w:ind w:firstLine="420"/>
      </w:pPr>
    </w:p>
    <w:p w14:paraId="764B446F">
      <w:pPr>
        <w:pStyle w:val="223"/>
        <w:ind w:left="420" w:hanging="420" w:hangingChars="200"/>
        <w:rPr>
          <w:rFonts w:hint="eastAsia" w:ascii="黑体" w:hAnsi="黑体" w:eastAsia="黑体" w:cs="黑体"/>
        </w:rPr>
      </w:pPr>
      <w:r>
        <w:rPr>
          <w:rFonts w:hint="eastAsia" w:ascii="黑体" w:hAnsi="黑体" w:eastAsia="黑体" w:cs="黑体"/>
        </w:rPr>
        <w:br w:type="textWrapping"/>
      </w:r>
      <w:r>
        <w:rPr>
          <w:rFonts w:hint="eastAsia" w:ascii="黑体" w:hAnsi="黑体" w:eastAsia="黑体" w:cs="黑体"/>
        </w:rPr>
        <w:t>粘度  viscosity</w:t>
      </w:r>
    </w:p>
    <w:p w14:paraId="408D5B3F">
      <w:pPr>
        <w:pStyle w:val="56"/>
        <w:ind w:firstLine="420"/>
      </w:pPr>
      <w:r>
        <w:rPr>
          <w:rFonts w:hint="eastAsia"/>
        </w:rPr>
        <w:t>液体的稀稠程度，这反映了饮用时液体在吞咽过程中的摩擦及抵抗流动的能力。一般而言，粘度数值越高代表饮用时液体在吞咽过程中的摩擦及抵抗流动能力越大。</w:t>
      </w:r>
    </w:p>
    <w:p w14:paraId="09F262B9">
      <w:pPr>
        <w:pStyle w:val="104"/>
        <w:spacing w:before="240" w:after="240"/>
      </w:pPr>
      <w:bookmarkStart w:id="54" w:name="_Toc26848"/>
      <w:bookmarkStart w:id="55" w:name="_Toc25746"/>
      <w:r>
        <w:rPr>
          <w:rFonts w:hint="eastAsia"/>
        </w:rPr>
        <w:t>基本原则</w:t>
      </w:r>
      <w:bookmarkEnd w:id="54"/>
      <w:bookmarkEnd w:id="55"/>
    </w:p>
    <w:p w14:paraId="32C1F6B9">
      <w:pPr>
        <w:pStyle w:val="162"/>
      </w:pPr>
      <w:r>
        <w:rPr>
          <w:rFonts w:hint="eastAsia"/>
        </w:rPr>
        <w:t>适老易食食品应适合老人咀嚼、吞咽和消化；品种多样、搭配合理，符合平衡膳食要求；食物摄入无法满足需要时，合理进行营养素补充。</w:t>
      </w:r>
    </w:p>
    <w:p w14:paraId="5622F4CB">
      <w:pPr>
        <w:pStyle w:val="162"/>
      </w:pPr>
      <w:r>
        <w:rPr>
          <w:rFonts w:hint="eastAsia"/>
        </w:rPr>
        <w:t>适老易食食品应密度均匀、黏性适当、通过咽部和食道容易变形。</w:t>
      </w:r>
    </w:p>
    <w:p w14:paraId="1615E491">
      <w:pPr>
        <w:pStyle w:val="162"/>
      </w:pPr>
      <w:r>
        <w:rPr>
          <w:rFonts w:hint="eastAsia"/>
        </w:rPr>
        <w:t>食物配制应符合营养丰富、易消化、易吸收原则，能量供给与机体需要相适应；保证优质蛋白质、矿物质、维生素的供给；食物营养质量指数(INQ)宜达到1.5～2.0。</w:t>
      </w:r>
    </w:p>
    <w:p w14:paraId="60EE59D4">
      <w:pPr>
        <w:pStyle w:val="162"/>
      </w:pPr>
      <w:r>
        <w:rPr>
          <w:rFonts w:hint="eastAsia"/>
        </w:rPr>
        <w:t>针对患高血压、高脂血症、糖尿病、高尿酸血症与痛风等慢性疾病老年人群的适老易食食品，其饮食要求应符合国家卫生健康委员会关于相关疾病的食养指南要求。</w:t>
      </w:r>
    </w:p>
    <w:p w14:paraId="32F8FAF9">
      <w:pPr>
        <w:pStyle w:val="104"/>
        <w:spacing w:before="240" w:after="240"/>
      </w:pPr>
      <w:bookmarkStart w:id="56" w:name="_Toc20447"/>
      <w:bookmarkStart w:id="57" w:name="_Toc15854"/>
      <w:r>
        <w:rPr>
          <w:rFonts w:hint="eastAsia"/>
        </w:rPr>
        <w:t>技术要求</w:t>
      </w:r>
      <w:bookmarkEnd w:id="56"/>
      <w:bookmarkEnd w:id="57"/>
    </w:p>
    <w:p w14:paraId="14C0FDF3">
      <w:pPr>
        <w:pStyle w:val="105"/>
        <w:spacing w:before="120" w:after="120"/>
      </w:pPr>
      <w:bookmarkStart w:id="58" w:name="_Toc26714"/>
      <w:r>
        <w:rPr>
          <w:rFonts w:hint="eastAsia"/>
        </w:rPr>
        <w:t>原料要求</w:t>
      </w:r>
      <w:bookmarkEnd w:id="58"/>
    </w:p>
    <w:p w14:paraId="4ADAFE70">
      <w:pPr>
        <w:pStyle w:val="56"/>
        <w:ind w:firstLine="420"/>
      </w:pPr>
      <w:r>
        <w:rPr>
          <w:rFonts w:hint="eastAsia"/>
        </w:rPr>
        <w:t>原料应符合中国内地及中国香港、澳门食品安全标准的相关规定，不应使用氢化油脂【主要原料中反式脂肪酸含量应≤ 0.3 g/100 g (固体)或 100 mL (液体)】。</w:t>
      </w:r>
    </w:p>
    <w:p w14:paraId="4E5FDA24">
      <w:pPr>
        <w:pStyle w:val="105"/>
        <w:spacing w:before="120" w:after="120"/>
      </w:pPr>
      <w:bookmarkStart w:id="59" w:name="_Toc32500"/>
      <w:r>
        <w:rPr>
          <w:rFonts w:hint="eastAsia"/>
        </w:rPr>
        <w:t>感官要求</w:t>
      </w:r>
      <w:bookmarkEnd w:id="59"/>
    </w:p>
    <w:p w14:paraId="4E406D8B">
      <w:pPr>
        <w:pStyle w:val="56"/>
        <w:ind w:firstLine="420"/>
      </w:pPr>
      <w:r>
        <w:rPr>
          <w:rFonts w:hint="eastAsia"/>
        </w:rPr>
        <w:t>感官要求应符合表 1 的要求。</w:t>
      </w:r>
    </w:p>
    <w:p w14:paraId="18B75EDE">
      <w:pPr>
        <w:pStyle w:val="112"/>
        <w:spacing w:before="120" w:after="120"/>
      </w:pPr>
      <w:r>
        <w:rPr>
          <w:rFonts w:hint="eastAsia"/>
        </w:rPr>
        <w:t>感官要求</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1657"/>
        <w:gridCol w:w="3979"/>
        <w:gridCol w:w="3918"/>
      </w:tblGrid>
      <w:tr w14:paraId="52B14F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7" w:hRule="atLeast"/>
          <w:tblHeader/>
          <w:jc w:val="center"/>
        </w:trPr>
        <w:tc>
          <w:tcPr>
            <w:tcW w:w="1657" w:type="dxa"/>
            <w:tcBorders>
              <w:bottom w:val="single" w:color="auto" w:sz="8" w:space="0"/>
            </w:tcBorders>
            <w:vAlign w:val="center"/>
          </w:tcPr>
          <w:p w14:paraId="4DBF174E">
            <w:pPr>
              <w:pStyle w:val="178"/>
            </w:pPr>
            <w:r>
              <w:rPr>
                <w:rFonts w:hint="eastAsia"/>
              </w:rPr>
              <w:t>项目</w:t>
            </w:r>
          </w:p>
        </w:tc>
        <w:tc>
          <w:tcPr>
            <w:tcW w:w="3979" w:type="dxa"/>
            <w:tcBorders>
              <w:bottom w:val="single" w:color="auto" w:sz="8" w:space="0"/>
            </w:tcBorders>
            <w:vAlign w:val="center"/>
          </w:tcPr>
          <w:p w14:paraId="36EDEF11">
            <w:pPr>
              <w:pStyle w:val="178"/>
            </w:pPr>
            <w:r>
              <w:rPr>
                <w:rFonts w:hint="eastAsia"/>
              </w:rPr>
              <w:t>要求</w:t>
            </w:r>
          </w:p>
        </w:tc>
        <w:tc>
          <w:tcPr>
            <w:tcW w:w="3918" w:type="dxa"/>
            <w:tcBorders>
              <w:bottom w:val="single" w:color="auto" w:sz="8" w:space="0"/>
            </w:tcBorders>
            <w:vAlign w:val="center"/>
          </w:tcPr>
          <w:p w14:paraId="60F92FF2">
            <w:pPr>
              <w:pStyle w:val="178"/>
            </w:pPr>
            <w:r>
              <w:rPr>
                <w:rFonts w:hint="eastAsia"/>
              </w:rPr>
              <w:t>检验方法</w:t>
            </w:r>
          </w:p>
        </w:tc>
      </w:tr>
      <w:tr w14:paraId="3659ED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7" w:hRule="atLeast"/>
          <w:jc w:val="center"/>
        </w:trPr>
        <w:tc>
          <w:tcPr>
            <w:tcW w:w="1657" w:type="dxa"/>
            <w:tcBorders>
              <w:top w:val="single" w:color="auto" w:sz="8" w:space="0"/>
            </w:tcBorders>
            <w:vAlign w:val="center"/>
          </w:tcPr>
          <w:p w14:paraId="774E383E">
            <w:pPr>
              <w:pStyle w:val="56"/>
              <w:ind w:firstLine="0" w:firstLineChars="0"/>
              <w:jc w:val="center"/>
            </w:pPr>
            <w:r>
              <w:rPr>
                <w:rFonts w:hint="eastAsia"/>
                <w:sz w:val="18"/>
                <w:szCs w:val="18"/>
              </w:rPr>
              <w:t>形状</w:t>
            </w:r>
          </w:p>
        </w:tc>
        <w:tc>
          <w:tcPr>
            <w:tcW w:w="3979" w:type="dxa"/>
            <w:tcBorders>
              <w:top w:val="single" w:color="auto" w:sz="8" w:space="0"/>
            </w:tcBorders>
            <w:vAlign w:val="center"/>
          </w:tcPr>
          <w:p w14:paraId="0ED09026">
            <w:pPr>
              <w:pStyle w:val="56"/>
              <w:ind w:firstLine="88" w:firstLineChars="49"/>
            </w:pPr>
            <w:r>
              <w:rPr>
                <w:rFonts w:hint="eastAsia"/>
                <w:sz w:val="18"/>
                <w:szCs w:val="18"/>
              </w:rPr>
              <w:t>宜具有与标签标识或食品分级近似的形状</w:t>
            </w:r>
          </w:p>
        </w:tc>
        <w:tc>
          <w:tcPr>
            <w:tcW w:w="3918" w:type="dxa"/>
            <w:vMerge w:val="restart"/>
            <w:tcBorders>
              <w:top w:val="single" w:color="auto" w:sz="8" w:space="0"/>
            </w:tcBorders>
            <w:vAlign w:val="center"/>
          </w:tcPr>
          <w:p w14:paraId="7236AB63">
            <w:pPr>
              <w:pStyle w:val="178"/>
              <w:ind w:firstLine="180" w:firstLineChars="100"/>
              <w:jc w:val="both"/>
            </w:pPr>
            <w:r>
              <w:rPr>
                <w:rFonts w:hint="eastAsia"/>
              </w:rPr>
              <w:t>取适量样品置于洁净的白色瓷盘中，在自然光线下观察形状、色泽、滋味和杂质，嗅其味。用温开水漱口后，品尝滋味</w:t>
            </w:r>
          </w:p>
        </w:tc>
      </w:tr>
      <w:tr w14:paraId="77F0C9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7" w:hRule="atLeast"/>
          <w:jc w:val="center"/>
        </w:trPr>
        <w:tc>
          <w:tcPr>
            <w:tcW w:w="1657" w:type="dxa"/>
            <w:vAlign w:val="center"/>
          </w:tcPr>
          <w:p w14:paraId="330870FD">
            <w:pPr>
              <w:pStyle w:val="56"/>
              <w:ind w:firstLine="0" w:firstLineChars="0"/>
              <w:jc w:val="center"/>
            </w:pPr>
            <w:r>
              <w:rPr>
                <w:rFonts w:hint="eastAsia"/>
                <w:sz w:val="18"/>
                <w:szCs w:val="18"/>
              </w:rPr>
              <w:t>色泽</w:t>
            </w:r>
          </w:p>
        </w:tc>
        <w:tc>
          <w:tcPr>
            <w:tcW w:w="3979" w:type="dxa"/>
            <w:vAlign w:val="center"/>
          </w:tcPr>
          <w:p w14:paraId="65E36AFB">
            <w:pPr>
              <w:pStyle w:val="56"/>
              <w:ind w:firstLine="88" w:firstLineChars="49"/>
            </w:pPr>
            <w:r>
              <w:rPr>
                <w:rFonts w:hint="eastAsia"/>
                <w:sz w:val="18"/>
                <w:szCs w:val="18"/>
              </w:rPr>
              <w:t>宜具有与传统餐食近似的色泽</w:t>
            </w:r>
          </w:p>
        </w:tc>
        <w:tc>
          <w:tcPr>
            <w:tcW w:w="3918" w:type="dxa"/>
            <w:vMerge w:val="continue"/>
            <w:vAlign w:val="center"/>
          </w:tcPr>
          <w:p w14:paraId="608C0D8D">
            <w:pPr>
              <w:pStyle w:val="178"/>
            </w:pPr>
          </w:p>
        </w:tc>
      </w:tr>
      <w:tr w14:paraId="3DA2CD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7" w:hRule="atLeast"/>
          <w:jc w:val="center"/>
        </w:trPr>
        <w:tc>
          <w:tcPr>
            <w:tcW w:w="1657" w:type="dxa"/>
            <w:vAlign w:val="center"/>
          </w:tcPr>
          <w:p w14:paraId="6B6BD6A0">
            <w:pPr>
              <w:pStyle w:val="56"/>
              <w:ind w:firstLine="0" w:firstLineChars="0"/>
              <w:jc w:val="center"/>
            </w:pPr>
            <w:r>
              <w:rPr>
                <w:rFonts w:hint="eastAsia"/>
                <w:sz w:val="18"/>
                <w:szCs w:val="18"/>
              </w:rPr>
              <w:t>滋味</w:t>
            </w:r>
          </w:p>
        </w:tc>
        <w:tc>
          <w:tcPr>
            <w:tcW w:w="3979" w:type="dxa"/>
            <w:vAlign w:val="center"/>
          </w:tcPr>
          <w:p w14:paraId="2315A05A">
            <w:pPr>
              <w:pStyle w:val="56"/>
              <w:ind w:firstLine="88" w:firstLineChars="49"/>
            </w:pPr>
            <w:r>
              <w:rPr>
                <w:rFonts w:hint="eastAsia"/>
                <w:sz w:val="18"/>
                <w:szCs w:val="18"/>
              </w:rPr>
              <w:t>新鲜，无异味</w:t>
            </w:r>
          </w:p>
        </w:tc>
        <w:tc>
          <w:tcPr>
            <w:tcW w:w="3918" w:type="dxa"/>
            <w:vMerge w:val="continue"/>
            <w:vAlign w:val="center"/>
          </w:tcPr>
          <w:p w14:paraId="0FB569A6">
            <w:pPr>
              <w:pStyle w:val="178"/>
            </w:pPr>
          </w:p>
        </w:tc>
      </w:tr>
      <w:tr w14:paraId="60D059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7" w:hRule="atLeast"/>
          <w:jc w:val="center"/>
        </w:trPr>
        <w:tc>
          <w:tcPr>
            <w:tcW w:w="1657" w:type="dxa"/>
            <w:vAlign w:val="center"/>
          </w:tcPr>
          <w:p w14:paraId="29B99E3F">
            <w:pPr>
              <w:pStyle w:val="56"/>
              <w:ind w:firstLine="0" w:firstLineChars="0"/>
              <w:jc w:val="center"/>
            </w:pPr>
            <w:r>
              <w:rPr>
                <w:rFonts w:hint="eastAsia"/>
                <w:sz w:val="18"/>
                <w:szCs w:val="18"/>
              </w:rPr>
              <w:t>杂质</w:t>
            </w:r>
          </w:p>
        </w:tc>
        <w:tc>
          <w:tcPr>
            <w:tcW w:w="3979" w:type="dxa"/>
            <w:vAlign w:val="center"/>
          </w:tcPr>
          <w:p w14:paraId="50F8B166">
            <w:pPr>
              <w:pStyle w:val="56"/>
              <w:ind w:firstLine="88" w:firstLineChars="49"/>
            </w:pPr>
            <w:r>
              <w:rPr>
                <w:rFonts w:hint="eastAsia"/>
                <w:sz w:val="18"/>
                <w:szCs w:val="18"/>
              </w:rPr>
              <w:t>无正常视力可见外来杂质</w:t>
            </w:r>
          </w:p>
        </w:tc>
        <w:tc>
          <w:tcPr>
            <w:tcW w:w="3918" w:type="dxa"/>
            <w:vMerge w:val="continue"/>
            <w:vAlign w:val="center"/>
          </w:tcPr>
          <w:p w14:paraId="6FBA8013">
            <w:pPr>
              <w:pStyle w:val="178"/>
            </w:pPr>
          </w:p>
        </w:tc>
      </w:tr>
    </w:tbl>
    <w:p w14:paraId="3416D135">
      <w:pPr>
        <w:pStyle w:val="105"/>
        <w:spacing w:before="120" w:after="120"/>
      </w:pPr>
      <w:bookmarkStart w:id="60" w:name="_Toc441"/>
      <w:r>
        <w:rPr>
          <w:rFonts w:hint="eastAsia"/>
        </w:rPr>
        <w:t>易食性要求</w:t>
      </w:r>
      <w:bookmarkEnd w:id="60"/>
    </w:p>
    <w:p w14:paraId="6A64BE9C">
      <w:pPr>
        <w:pStyle w:val="56"/>
        <w:ind w:firstLine="420"/>
      </w:pPr>
      <w:r>
        <w:rPr>
          <w:rFonts w:hint="eastAsia"/>
        </w:rPr>
        <w:t>适老易食食品的易食性分级及性状特征应符合表 2 的要求，按照附录 A 或附录 B 之一的方法对性状特征进行检验分类；当对分类结果存在争议时，应以附录 B 作为仲裁法。</w:t>
      </w:r>
    </w:p>
    <w:p w14:paraId="35F15724">
      <w:pPr>
        <w:pStyle w:val="112"/>
        <w:spacing w:before="120" w:after="120"/>
      </w:pPr>
      <w:r>
        <w:rPr>
          <w:rFonts w:hint="eastAsia"/>
        </w:rPr>
        <w:t>适老易食食品分级及性状特征</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1686"/>
        <w:gridCol w:w="973"/>
        <w:gridCol w:w="5974"/>
        <w:gridCol w:w="921"/>
      </w:tblGrid>
      <w:tr w14:paraId="7DC1D0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321" w:hRule="atLeast"/>
          <w:tblHeader/>
          <w:jc w:val="center"/>
        </w:trPr>
        <w:tc>
          <w:tcPr>
            <w:tcW w:w="1686" w:type="dxa"/>
            <w:tcBorders>
              <w:bottom w:val="single" w:color="auto" w:sz="8" w:space="0"/>
            </w:tcBorders>
            <w:vAlign w:val="center"/>
          </w:tcPr>
          <w:p w14:paraId="06A8CC36">
            <w:pPr>
              <w:pStyle w:val="56"/>
              <w:ind w:firstLine="0" w:firstLineChars="0"/>
              <w:jc w:val="center"/>
            </w:pPr>
            <w:r>
              <w:rPr>
                <w:rFonts w:hint="eastAsia" w:hAnsi="宋体"/>
                <w:sz w:val="18"/>
                <w:szCs w:val="18"/>
              </w:rPr>
              <w:t>分级</w:t>
            </w:r>
            <w:r>
              <w:rPr>
                <w:rFonts w:hint="eastAsia" w:hAnsi="宋体"/>
                <w:sz w:val="18"/>
                <w:szCs w:val="18"/>
                <w:vertAlign w:val="superscript"/>
              </w:rPr>
              <w:t>a</w:t>
            </w:r>
          </w:p>
        </w:tc>
        <w:tc>
          <w:tcPr>
            <w:tcW w:w="973" w:type="dxa"/>
            <w:tcBorders>
              <w:bottom w:val="single" w:color="auto" w:sz="8" w:space="0"/>
            </w:tcBorders>
            <w:vAlign w:val="center"/>
          </w:tcPr>
          <w:p w14:paraId="14AED5B6">
            <w:pPr>
              <w:pStyle w:val="56"/>
              <w:ind w:firstLine="0" w:firstLineChars="0"/>
              <w:jc w:val="center"/>
            </w:pPr>
            <w:r>
              <w:rPr>
                <w:rFonts w:hint="eastAsia" w:hAnsi="宋体"/>
                <w:sz w:val="18"/>
                <w:szCs w:val="18"/>
              </w:rPr>
              <w:t>食物形态</w:t>
            </w:r>
          </w:p>
        </w:tc>
        <w:tc>
          <w:tcPr>
            <w:tcW w:w="5974" w:type="dxa"/>
            <w:tcBorders>
              <w:bottom w:val="single" w:color="auto" w:sz="8" w:space="0"/>
            </w:tcBorders>
            <w:vAlign w:val="center"/>
          </w:tcPr>
          <w:p w14:paraId="12497366">
            <w:pPr>
              <w:pStyle w:val="56"/>
              <w:ind w:firstLine="0" w:firstLineChars="0"/>
              <w:jc w:val="center"/>
            </w:pPr>
            <w:r>
              <w:rPr>
                <w:rFonts w:hint="eastAsia" w:hAnsi="宋体"/>
                <w:sz w:val="18"/>
                <w:szCs w:val="18"/>
              </w:rPr>
              <w:t>性状特征</w:t>
            </w:r>
          </w:p>
        </w:tc>
        <w:tc>
          <w:tcPr>
            <w:tcW w:w="921" w:type="dxa"/>
            <w:tcBorders>
              <w:bottom w:val="single" w:color="auto" w:sz="8" w:space="0"/>
            </w:tcBorders>
            <w:vAlign w:val="center"/>
          </w:tcPr>
          <w:p w14:paraId="26DCC016">
            <w:pPr>
              <w:pStyle w:val="56"/>
              <w:ind w:firstLine="0" w:firstLineChars="0"/>
              <w:jc w:val="center"/>
            </w:pPr>
            <w:r>
              <w:rPr>
                <w:rFonts w:hint="eastAsia" w:hAnsi="宋体"/>
                <w:sz w:val="18"/>
                <w:szCs w:val="18"/>
              </w:rPr>
              <w:t>检验方法</w:t>
            </w:r>
          </w:p>
        </w:tc>
      </w:tr>
      <w:tr w14:paraId="43A56C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tcBorders>
              <w:top w:val="single" w:color="auto" w:sz="8" w:space="0"/>
            </w:tcBorders>
            <w:vAlign w:val="center"/>
          </w:tcPr>
          <w:p w14:paraId="0F5673B0">
            <w:pPr>
              <w:pStyle w:val="178"/>
            </w:pPr>
            <w:r>
              <w:rPr>
                <w:rFonts w:hint="eastAsia"/>
              </w:rPr>
              <w:t>7级</w:t>
            </w:r>
          </w:p>
          <w:p w14:paraId="02A0E402">
            <w:pPr>
              <w:pStyle w:val="178"/>
            </w:pPr>
            <w:r>
              <w:rPr>
                <w:rFonts w:hint="eastAsia"/>
              </w:rPr>
              <w:t>（食物原状）</w:t>
            </w:r>
          </w:p>
        </w:tc>
        <w:tc>
          <w:tcPr>
            <w:tcW w:w="973" w:type="dxa"/>
            <w:vMerge w:val="restart"/>
            <w:tcBorders>
              <w:top w:val="single" w:color="auto" w:sz="8" w:space="0"/>
            </w:tcBorders>
            <w:vAlign w:val="center"/>
          </w:tcPr>
          <w:p w14:paraId="7157D5A0">
            <w:pPr>
              <w:pStyle w:val="178"/>
            </w:pPr>
            <w:r>
              <w:rPr>
                <w:rFonts w:hint="eastAsia"/>
              </w:rPr>
              <w:t>固体</w:t>
            </w:r>
          </w:p>
        </w:tc>
        <w:tc>
          <w:tcPr>
            <w:tcW w:w="5974" w:type="dxa"/>
            <w:tcBorders>
              <w:top w:val="single" w:color="auto" w:sz="8" w:space="0"/>
              <w:bottom w:val="single" w:color="auto" w:sz="4" w:space="0"/>
            </w:tcBorders>
            <w:vAlign w:val="center"/>
          </w:tcPr>
          <w:p w14:paraId="51AB3E1B">
            <w:pPr>
              <w:pStyle w:val="178"/>
              <w:ind w:firstLine="180" w:firstLineChars="100"/>
              <w:jc w:val="both"/>
            </w:pPr>
            <w:r>
              <w:rPr>
                <w:rFonts w:hint="eastAsia"/>
              </w:rPr>
              <w:t>以餐叉侧面即可将食物切断或切成较小块。用拇指以餐叉底部按压食物（食物样本与指甲大小相约）至拇指指甲变白时，食物会被压扁/切开/改变形状。将餐叉移开后，食物会恢复原状</w:t>
            </w:r>
          </w:p>
        </w:tc>
        <w:tc>
          <w:tcPr>
            <w:tcW w:w="921" w:type="dxa"/>
            <w:tcBorders>
              <w:top w:val="single" w:color="auto" w:sz="8" w:space="0"/>
              <w:bottom w:val="single" w:color="auto" w:sz="4" w:space="0"/>
            </w:tcBorders>
            <w:vAlign w:val="center"/>
          </w:tcPr>
          <w:p w14:paraId="317A80A1">
            <w:pPr>
              <w:pStyle w:val="56"/>
              <w:ind w:firstLine="0" w:firstLineChars="0"/>
              <w:jc w:val="center"/>
            </w:pPr>
            <w:r>
              <w:rPr>
                <w:rFonts w:hint="eastAsia" w:hAnsi="宋体"/>
                <w:sz w:val="18"/>
                <w:szCs w:val="18"/>
              </w:rPr>
              <w:t>附录A</w:t>
            </w:r>
          </w:p>
        </w:tc>
      </w:tr>
      <w:tr w14:paraId="4C2E96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3C4A7199">
            <w:pPr>
              <w:pStyle w:val="178"/>
            </w:pPr>
          </w:p>
        </w:tc>
        <w:tc>
          <w:tcPr>
            <w:tcW w:w="973" w:type="dxa"/>
            <w:vMerge w:val="continue"/>
            <w:vAlign w:val="center"/>
          </w:tcPr>
          <w:p w14:paraId="0EF4BE9F">
            <w:pPr>
              <w:pStyle w:val="178"/>
            </w:pPr>
          </w:p>
        </w:tc>
        <w:tc>
          <w:tcPr>
            <w:tcW w:w="5974" w:type="dxa"/>
            <w:tcBorders>
              <w:top w:val="single" w:color="auto" w:sz="4" w:space="0"/>
            </w:tcBorders>
            <w:vAlign w:val="center"/>
          </w:tcPr>
          <w:p w14:paraId="5E418A8A">
            <w:pPr>
              <w:pStyle w:val="178"/>
              <w:jc w:val="both"/>
            </w:pPr>
            <w:r>
              <w:rPr>
                <w:rFonts w:hint="eastAsia"/>
              </w:rPr>
              <w:t xml:space="preserve"> 具有食物天然特性</w:t>
            </w:r>
          </w:p>
        </w:tc>
        <w:tc>
          <w:tcPr>
            <w:tcW w:w="921" w:type="dxa"/>
            <w:tcBorders>
              <w:top w:val="single" w:color="auto" w:sz="4" w:space="0"/>
            </w:tcBorders>
            <w:vAlign w:val="center"/>
          </w:tcPr>
          <w:p w14:paraId="136CB37E">
            <w:pPr>
              <w:pStyle w:val="56"/>
              <w:ind w:firstLine="0" w:firstLineChars="0"/>
              <w:jc w:val="center"/>
            </w:pPr>
            <w:r>
              <w:rPr>
                <w:rFonts w:hint="eastAsia" w:hAnsi="宋体"/>
                <w:sz w:val="18"/>
                <w:szCs w:val="18"/>
              </w:rPr>
              <w:t>/</w:t>
            </w:r>
          </w:p>
        </w:tc>
      </w:tr>
      <w:tr w14:paraId="180737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vAlign w:val="center"/>
          </w:tcPr>
          <w:p w14:paraId="32585E7E">
            <w:pPr>
              <w:pStyle w:val="178"/>
            </w:pPr>
            <w:r>
              <w:rPr>
                <w:rFonts w:hint="eastAsia"/>
              </w:rPr>
              <w:t>7EC级</w:t>
            </w:r>
          </w:p>
          <w:p w14:paraId="032DDF38">
            <w:pPr>
              <w:pStyle w:val="178"/>
            </w:pPr>
            <w:r>
              <w:rPr>
                <w:rFonts w:hint="eastAsia"/>
              </w:rPr>
              <w:t>（容易咀嚼）</w:t>
            </w:r>
          </w:p>
        </w:tc>
        <w:tc>
          <w:tcPr>
            <w:tcW w:w="973" w:type="dxa"/>
            <w:vMerge w:val="restart"/>
            <w:vAlign w:val="center"/>
          </w:tcPr>
          <w:p w14:paraId="11D919D9">
            <w:pPr>
              <w:pStyle w:val="178"/>
            </w:pPr>
            <w:r>
              <w:rPr>
                <w:rFonts w:hint="eastAsia"/>
              </w:rPr>
              <w:t>固体</w:t>
            </w:r>
          </w:p>
        </w:tc>
        <w:tc>
          <w:tcPr>
            <w:tcW w:w="5974" w:type="dxa"/>
            <w:vAlign w:val="center"/>
          </w:tcPr>
          <w:p w14:paraId="50C15DA5">
            <w:pPr>
              <w:pStyle w:val="178"/>
              <w:ind w:firstLine="180" w:firstLineChars="100"/>
              <w:jc w:val="both"/>
            </w:pPr>
            <w:r>
              <w:rPr>
                <w:rFonts w:hint="eastAsia"/>
              </w:rPr>
              <w:t>以餐叉侧面即可将食物切断或切成较小块。用拇指以餐叉底部按压食物（食物样本与指甲大小相约）至拇指指甲变白时，食物会被压扁/切开/改变形状。将餐叉移开后，食物不会恢复原状</w:t>
            </w:r>
          </w:p>
        </w:tc>
        <w:tc>
          <w:tcPr>
            <w:tcW w:w="921" w:type="dxa"/>
            <w:vAlign w:val="center"/>
          </w:tcPr>
          <w:p w14:paraId="25325C2F">
            <w:pPr>
              <w:pStyle w:val="56"/>
              <w:ind w:firstLine="0" w:firstLineChars="0"/>
              <w:jc w:val="center"/>
            </w:pPr>
            <w:r>
              <w:rPr>
                <w:rFonts w:hint="eastAsia" w:hAnsi="宋体"/>
                <w:sz w:val="18"/>
                <w:szCs w:val="18"/>
              </w:rPr>
              <w:t>附录A</w:t>
            </w:r>
          </w:p>
        </w:tc>
      </w:tr>
      <w:tr w14:paraId="746296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67E3BEC7">
            <w:pPr>
              <w:pStyle w:val="178"/>
            </w:pPr>
          </w:p>
        </w:tc>
        <w:tc>
          <w:tcPr>
            <w:tcW w:w="973" w:type="dxa"/>
            <w:vMerge w:val="continue"/>
            <w:vAlign w:val="center"/>
          </w:tcPr>
          <w:p w14:paraId="271AC9E3">
            <w:pPr>
              <w:pStyle w:val="178"/>
            </w:pPr>
          </w:p>
        </w:tc>
        <w:tc>
          <w:tcPr>
            <w:tcW w:w="5974" w:type="dxa"/>
            <w:vAlign w:val="center"/>
          </w:tcPr>
          <w:p w14:paraId="49BFCB07">
            <w:pPr>
              <w:pStyle w:val="178"/>
              <w:ind w:firstLine="180" w:firstLineChars="100"/>
              <w:jc w:val="both"/>
            </w:pPr>
            <w:r>
              <w:rPr>
                <w:rFonts w:hint="eastAsia"/>
              </w:rPr>
              <w:t>硬度（N/m</w:t>
            </w:r>
            <w:r>
              <w:rPr>
                <w:rFonts w:hint="eastAsia"/>
                <w:vertAlign w:val="superscript"/>
              </w:rPr>
              <w:t>2</w:t>
            </w:r>
            <w:r>
              <w:rPr>
                <w:rFonts w:hint="eastAsia"/>
              </w:rPr>
              <w:t>）＜5×10</w:t>
            </w:r>
            <w:r>
              <w:rPr>
                <w:rFonts w:hint="eastAsia"/>
                <w:vertAlign w:val="superscript"/>
              </w:rPr>
              <w:t>5</w:t>
            </w:r>
            <w:r>
              <w:rPr>
                <w:rFonts w:hint="eastAsia"/>
              </w:rPr>
              <w:t>；大小没限制</w:t>
            </w:r>
          </w:p>
        </w:tc>
        <w:tc>
          <w:tcPr>
            <w:tcW w:w="921" w:type="dxa"/>
            <w:vAlign w:val="center"/>
          </w:tcPr>
          <w:p w14:paraId="5DDCA2E8">
            <w:pPr>
              <w:pStyle w:val="56"/>
              <w:ind w:firstLine="0" w:firstLineChars="0"/>
              <w:jc w:val="center"/>
            </w:pPr>
            <w:r>
              <w:rPr>
                <w:rFonts w:hint="eastAsia" w:hAnsi="宋体"/>
                <w:sz w:val="18"/>
                <w:szCs w:val="18"/>
              </w:rPr>
              <w:t>附录B</w:t>
            </w:r>
          </w:p>
        </w:tc>
      </w:tr>
      <w:tr w14:paraId="5A0DB1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vAlign w:val="center"/>
          </w:tcPr>
          <w:p w14:paraId="05361A6E">
            <w:pPr>
              <w:pStyle w:val="178"/>
            </w:pPr>
            <w:r>
              <w:rPr>
                <w:rFonts w:hint="eastAsia"/>
              </w:rPr>
              <w:t>6级</w:t>
            </w:r>
          </w:p>
          <w:p w14:paraId="07A0AFD4">
            <w:pPr>
              <w:pStyle w:val="178"/>
            </w:pPr>
            <w:r>
              <w:rPr>
                <w:rFonts w:hint="eastAsia"/>
              </w:rPr>
              <w:t>（软质及一口量）</w:t>
            </w:r>
          </w:p>
        </w:tc>
        <w:tc>
          <w:tcPr>
            <w:tcW w:w="973" w:type="dxa"/>
            <w:vMerge w:val="restart"/>
            <w:vAlign w:val="center"/>
          </w:tcPr>
          <w:p w14:paraId="3A85FE88">
            <w:pPr>
              <w:pStyle w:val="178"/>
            </w:pPr>
            <w:r>
              <w:rPr>
                <w:rFonts w:hint="eastAsia"/>
              </w:rPr>
              <w:t>固体</w:t>
            </w:r>
          </w:p>
        </w:tc>
        <w:tc>
          <w:tcPr>
            <w:tcW w:w="5974" w:type="dxa"/>
            <w:vAlign w:val="center"/>
          </w:tcPr>
          <w:p w14:paraId="418268D2">
            <w:pPr>
              <w:pStyle w:val="178"/>
              <w:ind w:firstLine="180" w:firstLineChars="100"/>
              <w:jc w:val="both"/>
            </w:pPr>
            <w:r>
              <w:rPr>
                <w:rFonts w:hint="eastAsia"/>
              </w:rPr>
              <w:t>以餐叉侧面即可将食物切断或切成较小块。用拇指以餐叉底部按压食物（食物样本与指甲大小相约）至拇指指甲变白时，食物会被压扁及改变形状。将餐叉移开后，食物不会恢复原状</w:t>
            </w:r>
          </w:p>
        </w:tc>
        <w:tc>
          <w:tcPr>
            <w:tcW w:w="921" w:type="dxa"/>
            <w:vAlign w:val="center"/>
          </w:tcPr>
          <w:p w14:paraId="42FC09B8">
            <w:pPr>
              <w:pStyle w:val="56"/>
              <w:ind w:firstLine="0" w:firstLineChars="0"/>
              <w:jc w:val="center"/>
            </w:pPr>
            <w:r>
              <w:rPr>
                <w:rFonts w:hint="eastAsia" w:hAnsi="宋体"/>
                <w:sz w:val="18"/>
                <w:szCs w:val="18"/>
              </w:rPr>
              <w:t>附录A</w:t>
            </w:r>
          </w:p>
        </w:tc>
      </w:tr>
      <w:tr w14:paraId="201103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5A71D7BA">
            <w:pPr>
              <w:pStyle w:val="178"/>
            </w:pPr>
          </w:p>
        </w:tc>
        <w:tc>
          <w:tcPr>
            <w:tcW w:w="973" w:type="dxa"/>
            <w:vMerge w:val="continue"/>
            <w:vAlign w:val="center"/>
          </w:tcPr>
          <w:p w14:paraId="5C6DE9D6">
            <w:pPr>
              <w:pStyle w:val="178"/>
            </w:pPr>
          </w:p>
        </w:tc>
        <w:tc>
          <w:tcPr>
            <w:tcW w:w="5974" w:type="dxa"/>
            <w:vAlign w:val="center"/>
          </w:tcPr>
          <w:p w14:paraId="7FB0ACD3">
            <w:pPr>
              <w:pStyle w:val="178"/>
              <w:ind w:firstLine="180" w:firstLineChars="100"/>
              <w:jc w:val="both"/>
            </w:pPr>
            <w:r>
              <w:rPr>
                <w:rFonts w:hint="eastAsia"/>
              </w:rPr>
              <w:t>硬度（N/m</w:t>
            </w:r>
            <w:r>
              <w:rPr>
                <w:rFonts w:hint="eastAsia"/>
                <w:vertAlign w:val="superscript"/>
              </w:rPr>
              <w:t>2</w:t>
            </w:r>
            <w:r>
              <w:rPr>
                <w:rFonts w:hint="eastAsia"/>
              </w:rPr>
              <w:t>）＜5×10</w:t>
            </w:r>
            <w:r>
              <w:rPr>
                <w:rFonts w:hint="eastAsia"/>
                <w:vertAlign w:val="superscript"/>
              </w:rPr>
              <w:t>4</w:t>
            </w:r>
            <w:r>
              <w:rPr>
                <w:rFonts w:hint="eastAsia"/>
              </w:rPr>
              <w:t>；大小: 不宽于 15 mm，不长于 15 mm</w:t>
            </w:r>
          </w:p>
        </w:tc>
        <w:tc>
          <w:tcPr>
            <w:tcW w:w="921" w:type="dxa"/>
            <w:vAlign w:val="center"/>
          </w:tcPr>
          <w:p w14:paraId="37E3250C">
            <w:pPr>
              <w:pStyle w:val="56"/>
              <w:ind w:firstLine="0" w:firstLineChars="0"/>
              <w:jc w:val="center"/>
            </w:pPr>
            <w:r>
              <w:rPr>
                <w:rFonts w:hint="eastAsia" w:hAnsi="宋体"/>
                <w:sz w:val="18"/>
                <w:szCs w:val="18"/>
              </w:rPr>
              <w:t>附录B</w:t>
            </w:r>
          </w:p>
        </w:tc>
      </w:tr>
      <w:tr w14:paraId="60C673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vAlign w:val="center"/>
          </w:tcPr>
          <w:p w14:paraId="47C872D3">
            <w:pPr>
              <w:pStyle w:val="178"/>
            </w:pPr>
            <w:r>
              <w:rPr>
                <w:rFonts w:hint="eastAsia"/>
              </w:rPr>
              <w:t>5级</w:t>
            </w:r>
          </w:p>
          <w:p w14:paraId="6FE9DF57">
            <w:pPr>
              <w:pStyle w:val="178"/>
            </w:pPr>
            <w:r>
              <w:rPr>
                <w:rFonts w:hint="eastAsia"/>
              </w:rPr>
              <w:t>（细碎及湿软）</w:t>
            </w:r>
          </w:p>
        </w:tc>
        <w:tc>
          <w:tcPr>
            <w:tcW w:w="973" w:type="dxa"/>
            <w:vMerge w:val="restart"/>
            <w:vAlign w:val="center"/>
          </w:tcPr>
          <w:p w14:paraId="7A2A12E0">
            <w:pPr>
              <w:pStyle w:val="178"/>
            </w:pPr>
            <w:r>
              <w:rPr>
                <w:rFonts w:hint="eastAsia"/>
              </w:rPr>
              <w:t>固体</w:t>
            </w:r>
          </w:p>
        </w:tc>
        <w:tc>
          <w:tcPr>
            <w:tcW w:w="5974" w:type="dxa"/>
            <w:vAlign w:val="center"/>
          </w:tcPr>
          <w:p w14:paraId="3B230865">
            <w:pPr>
              <w:pStyle w:val="178"/>
              <w:ind w:firstLine="180" w:firstLineChars="100"/>
              <w:jc w:val="both"/>
            </w:pPr>
            <w:r>
              <w:rPr>
                <w:rFonts w:hint="eastAsia"/>
              </w:rPr>
              <w:t>当用餐叉垂直压向食物时，食物在压力作用下易发生分离，并且穿过餐叉缝隙及轻易被餐叉压力碾碎。当勺子倾角≥45°时，表面张力的临界值被突破，导致盛载物产生整体倾侧或滑落，仅在勺子留下极少量食品残留</w:t>
            </w:r>
          </w:p>
        </w:tc>
        <w:tc>
          <w:tcPr>
            <w:tcW w:w="921" w:type="dxa"/>
            <w:vAlign w:val="center"/>
          </w:tcPr>
          <w:p w14:paraId="4A05EF9F">
            <w:pPr>
              <w:pStyle w:val="56"/>
              <w:ind w:firstLine="0" w:firstLineChars="0"/>
              <w:jc w:val="center"/>
            </w:pPr>
            <w:r>
              <w:rPr>
                <w:rFonts w:hint="eastAsia" w:hAnsi="宋体"/>
                <w:sz w:val="18"/>
                <w:szCs w:val="18"/>
              </w:rPr>
              <w:t>附录A</w:t>
            </w:r>
          </w:p>
        </w:tc>
      </w:tr>
      <w:tr w14:paraId="72BBF0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385A9B79">
            <w:pPr>
              <w:pStyle w:val="178"/>
            </w:pPr>
          </w:p>
        </w:tc>
        <w:tc>
          <w:tcPr>
            <w:tcW w:w="973" w:type="dxa"/>
            <w:vMerge w:val="continue"/>
            <w:vAlign w:val="center"/>
          </w:tcPr>
          <w:p w14:paraId="070B5045">
            <w:pPr>
              <w:pStyle w:val="178"/>
            </w:pPr>
          </w:p>
        </w:tc>
        <w:tc>
          <w:tcPr>
            <w:tcW w:w="5974" w:type="dxa"/>
            <w:vAlign w:val="center"/>
          </w:tcPr>
          <w:p w14:paraId="58131C57">
            <w:pPr>
              <w:pStyle w:val="178"/>
              <w:ind w:firstLine="180" w:firstLineChars="100"/>
              <w:jc w:val="both"/>
            </w:pPr>
            <w:r>
              <w:rPr>
                <w:rFonts w:hint="eastAsia"/>
              </w:rPr>
              <w:t>硬度（N/m</w:t>
            </w:r>
            <w:r>
              <w:rPr>
                <w:rFonts w:hint="eastAsia"/>
                <w:vertAlign w:val="superscript"/>
              </w:rPr>
              <w:t>2</w:t>
            </w:r>
            <w:r>
              <w:rPr>
                <w:rFonts w:hint="eastAsia"/>
              </w:rPr>
              <w:t>）＜2×10</w:t>
            </w:r>
            <w:r>
              <w:rPr>
                <w:rFonts w:hint="eastAsia"/>
                <w:vertAlign w:val="superscript"/>
              </w:rPr>
              <w:t>4</w:t>
            </w:r>
            <w:r>
              <w:rPr>
                <w:rFonts w:hint="eastAsia"/>
              </w:rPr>
              <w:t>；大小:不宽于 4 mm，不长于 15 mm </w:t>
            </w:r>
          </w:p>
        </w:tc>
        <w:tc>
          <w:tcPr>
            <w:tcW w:w="921" w:type="dxa"/>
            <w:vAlign w:val="center"/>
          </w:tcPr>
          <w:p w14:paraId="70331510">
            <w:pPr>
              <w:pStyle w:val="56"/>
              <w:ind w:firstLine="0" w:firstLineChars="0"/>
              <w:jc w:val="center"/>
            </w:pPr>
            <w:r>
              <w:rPr>
                <w:rFonts w:hint="eastAsia" w:hAnsi="宋体"/>
                <w:sz w:val="18"/>
                <w:szCs w:val="18"/>
              </w:rPr>
              <w:t>附录B</w:t>
            </w:r>
          </w:p>
        </w:tc>
      </w:tr>
      <w:tr w14:paraId="178643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vAlign w:val="center"/>
          </w:tcPr>
          <w:p w14:paraId="2F01DD42">
            <w:pPr>
              <w:pStyle w:val="178"/>
            </w:pPr>
            <w:r>
              <w:rPr>
                <w:rFonts w:hint="eastAsia"/>
              </w:rPr>
              <w:t>4级</w:t>
            </w:r>
          </w:p>
          <w:p w14:paraId="7591F7FA">
            <w:pPr>
              <w:pStyle w:val="178"/>
            </w:pPr>
            <w:r>
              <w:rPr>
                <w:rFonts w:hint="eastAsia"/>
              </w:rPr>
              <w:t>（糊狀/高度稠）</w:t>
            </w:r>
          </w:p>
        </w:tc>
        <w:tc>
          <w:tcPr>
            <w:tcW w:w="973" w:type="dxa"/>
            <w:vMerge w:val="restart"/>
            <w:vAlign w:val="center"/>
          </w:tcPr>
          <w:p w14:paraId="7BE32B33">
            <w:pPr>
              <w:pStyle w:val="178"/>
            </w:pPr>
            <w:r>
              <w:rPr>
                <w:rFonts w:hint="eastAsia"/>
              </w:rPr>
              <w:t>半固体</w:t>
            </w:r>
          </w:p>
        </w:tc>
        <w:tc>
          <w:tcPr>
            <w:tcW w:w="5974" w:type="dxa"/>
            <w:vAlign w:val="center"/>
          </w:tcPr>
          <w:p w14:paraId="54FD4D9F">
            <w:pPr>
              <w:pStyle w:val="56"/>
              <w:ind w:firstLine="180" w:firstLineChars="100"/>
              <w:rPr>
                <w:rFonts w:hint="eastAsia" w:hAnsi="宋体"/>
                <w:sz w:val="18"/>
                <w:szCs w:val="18"/>
              </w:rPr>
            </w:pPr>
            <w:r>
              <w:rPr>
                <w:rFonts w:hint="eastAsia" w:hAnsi="宋体"/>
                <w:sz w:val="18"/>
                <w:szCs w:val="18"/>
              </w:rPr>
              <w:t>糊状食物在餐叉上可堆成形，或少量食物可能由叉缝间流出形成尾巴状，但不会持续流下或滴落。当勺子倾角≥45°时，表面张力的临界值被突破，导致盛载物产生整体倾侧或滑落，仅在勺子留下极少量食品残留</w:t>
            </w:r>
          </w:p>
        </w:tc>
        <w:tc>
          <w:tcPr>
            <w:tcW w:w="921" w:type="dxa"/>
            <w:vAlign w:val="center"/>
          </w:tcPr>
          <w:p w14:paraId="14979D9D">
            <w:pPr>
              <w:pStyle w:val="56"/>
              <w:ind w:firstLine="0" w:firstLineChars="0"/>
              <w:jc w:val="center"/>
            </w:pPr>
            <w:r>
              <w:rPr>
                <w:rFonts w:hint="eastAsia" w:hAnsi="宋体"/>
                <w:sz w:val="18"/>
                <w:szCs w:val="18"/>
              </w:rPr>
              <w:t>附录A</w:t>
            </w:r>
          </w:p>
        </w:tc>
      </w:tr>
      <w:tr w14:paraId="7A475A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14CA6AE9">
            <w:pPr>
              <w:pStyle w:val="178"/>
            </w:pPr>
          </w:p>
        </w:tc>
        <w:tc>
          <w:tcPr>
            <w:tcW w:w="973" w:type="dxa"/>
            <w:vMerge w:val="continue"/>
            <w:vAlign w:val="center"/>
          </w:tcPr>
          <w:p w14:paraId="34743447">
            <w:pPr>
              <w:pStyle w:val="178"/>
            </w:pPr>
          </w:p>
        </w:tc>
        <w:tc>
          <w:tcPr>
            <w:tcW w:w="5974" w:type="dxa"/>
            <w:vAlign w:val="center"/>
          </w:tcPr>
          <w:p w14:paraId="69065425">
            <w:pPr>
              <w:pStyle w:val="178"/>
              <w:ind w:firstLine="180" w:firstLineChars="100"/>
              <w:jc w:val="both"/>
              <w:rPr>
                <w:rFonts w:hint="eastAsia" w:hAnsi="宋体"/>
                <w:szCs w:val="18"/>
              </w:rPr>
            </w:pPr>
            <w:r>
              <w:rPr>
                <w:rFonts w:hint="eastAsia" w:hAnsi="宋体"/>
                <w:szCs w:val="18"/>
              </w:rPr>
              <w:t>硬度（N/m</w:t>
            </w:r>
            <w:r>
              <w:rPr>
                <w:rFonts w:hint="eastAsia" w:hAnsi="宋体"/>
                <w:szCs w:val="18"/>
                <w:vertAlign w:val="superscript"/>
              </w:rPr>
              <w:t>2</w:t>
            </w:r>
            <w:r>
              <w:rPr>
                <w:rFonts w:hint="eastAsia" w:hAnsi="宋体"/>
                <w:szCs w:val="18"/>
              </w:rPr>
              <w:t>）＜5×10</w:t>
            </w:r>
            <w:r>
              <w:rPr>
                <w:rFonts w:hint="eastAsia" w:hAnsi="宋体"/>
                <w:szCs w:val="18"/>
                <w:vertAlign w:val="superscript"/>
              </w:rPr>
              <w:t>3</w:t>
            </w:r>
            <w:r>
              <w:rPr>
                <w:rFonts w:hint="eastAsia" w:hAnsi="宋体"/>
                <w:szCs w:val="18"/>
              </w:rPr>
              <w:t>；大小：不含团块；淀粉类：粘度cP＞1355，黄原胶类：粘度cP＞500</w:t>
            </w:r>
          </w:p>
        </w:tc>
        <w:tc>
          <w:tcPr>
            <w:tcW w:w="921" w:type="dxa"/>
            <w:vAlign w:val="center"/>
          </w:tcPr>
          <w:p w14:paraId="32D6ECCE">
            <w:pPr>
              <w:pStyle w:val="56"/>
              <w:ind w:firstLine="0" w:firstLineChars="0"/>
              <w:jc w:val="center"/>
              <w:rPr>
                <w:rFonts w:hint="eastAsia" w:hAnsi="宋体"/>
                <w:sz w:val="18"/>
                <w:szCs w:val="18"/>
              </w:rPr>
            </w:pPr>
            <w:r>
              <w:rPr>
                <w:rFonts w:hint="eastAsia" w:hAnsi="宋体"/>
                <w:sz w:val="18"/>
                <w:szCs w:val="18"/>
              </w:rPr>
              <w:t>附录B</w:t>
            </w:r>
          </w:p>
        </w:tc>
      </w:tr>
      <w:tr w14:paraId="27FC1B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vAlign w:val="center"/>
          </w:tcPr>
          <w:p w14:paraId="1E714F45">
            <w:pPr>
              <w:pStyle w:val="56"/>
              <w:ind w:firstLineChars="111"/>
              <w:jc w:val="center"/>
              <w:rPr>
                <w:rFonts w:hint="eastAsia" w:hAnsi="宋体"/>
                <w:sz w:val="18"/>
                <w:szCs w:val="18"/>
              </w:rPr>
            </w:pPr>
            <w:r>
              <w:rPr>
                <w:rFonts w:hint="eastAsia" w:hAnsi="宋体"/>
                <w:sz w:val="18"/>
                <w:szCs w:val="18"/>
              </w:rPr>
              <w:t>3级</w:t>
            </w:r>
          </w:p>
          <w:p w14:paraId="7BFAC388">
            <w:pPr>
              <w:pStyle w:val="56"/>
              <w:ind w:firstLine="0" w:firstLineChars="0"/>
              <w:jc w:val="center"/>
            </w:pPr>
            <w:r>
              <w:rPr>
                <w:rFonts w:hint="eastAsia" w:hAnsi="宋体"/>
                <w:sz w:val="18"/>
                <w:szCs w:val="18"/>
              </w:rPr>
              <w:t>（流质/中度稠）</w:t>
            </w:r>
          </w:p>
        </w:tc>
        <w:tc>
          <w:tcPr>
            <w:tcW w:w="973" w:type="dxa"/>
            <w:vMerge w:val="restart"/>
            <w:vAlign w:val="center"/>
          </w:tcPr>
          <w:p w14:paraId="5E2C44D2">
            <w:pPr>
              <w:pStyle w:val="56"/>
              <w:ind w:firstLine="0" w:firstLineChars="0"/>
              <w:jc w:val="center"/>
              <w:rPr>
                <w:rFonts w:hint="eastAsia" w:hAnsi="宋体"/>
                <w:sz w:val="18"/>
                <w:szCs w:val="18"/>
              </w:rPr>
            </w:pPr>
            <w:r>
              <w:rPr>
                <w:rFonts w:hint="eastAsia" w:hAnsi="宋体"/>
                <w:sz w:val="18"/>
                <w:szCs w:val="18"/>
              </w:rPr>
              <w:t>液体</w:t>
            </w:r>
          </w:p>
        </w:tc>
        <w:tc>
          <w:tcPr>
            <w:tcW w:w="5974" w:type="dxa"/>
            <w:vAlign w:val="center"/>
          </w:tcPr>
          <w:p w14:paraId="63591569">
            <w:pPr>
              <w:pStyle w:val="56"/>
              <w:ind w:firstLine="180" w:firstLineChars="100"/>
              <w:rPr>
                <w:rFonts w:hint="eastAsia" w:hAnsi="宋体"/>
                <w:sz w:val="18"/>
                <w:szCs w:val="18"/>
              </w:rPr>
            </w:pPr>
            <w:r>
              <w:rPr>
                <w:rFonts w:hint="eastAsia" w:hAnsi="宋体"/>
                <w:sz w:val="18"/>
                <w:szCs w:val="18"/>
              </w:rPr>
              <w:t>将针筒尖端向下竖直放置于手中，用手指堵住注射器尖嘴，将待测样品加入注射器至 10 mL 刻度线左右，排出注射器尖端气泡并调整注射器内待测样品至 10 mL 刻度线，移开手指同时按下计时器，10 s 后再次用手堵上针筒尖端，剩余残留液多于 8 mL</w:t>
            </w:r>
          </w:p>
        </w:tc>
        <w:tc>
          <w:tcPr>
            <w:tcW w:w="921" w:type="dxa"/>
            <w:vAlign w:val="center"/>
          </w:tcPr>
          <w:p w14:paraId="6B975746">
            <w:pPr>
              <w:pStyle w:val="56"/>
              <w:ind w:firstLine="0" w:firstLineChars="0"/>
              <w:jc w:val="center"/>
            </w:pPr>
            <w:r>
              <w:rPr>
                <w:rFonts w:hint="eastAsia"/>
                <w:sz w:val="18"/>
                <w:szCs w:val="18"/>
              </w:rPr>
              <w:t>附录</w:t>
            </w:r>
            <w:r>
              <w:rPr>
                <w:sz w:val="18"/>
                <w:szCs w:val="18"/>
              </w:rPr>
              <w:t>A</w:t>
            </w:r>
          </w:p>
        </w:tc>
      </w:tr>
      <w:tr w14:paraId="29C080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0DB70BB0">
            <w:pPr>
              <w:pStyle w:val="178"/>
            </w:pPr>
          </w:p>
        </w:tc>
        <w:tc>
          <w:tcPr>
            <w:tcW w:w="973" w:type="dxa"/>
            <w:vMerge w:val="continue"/>
            <w:vAlign w:val="center"/>
          </w:tcPr>
          <w:p w14:paraId="424815C9">
            <w:pPr>
              <w:pStyle w:val="178"/>
            </w:pPr>
          </w:p>
        </w:tc>
        <w:tc>
          <w:tcPr>
            <w:tcW w:w="5974" w:type="dxa"/>
            <w:vAlign w:val="center"/>
          </w:tcPr>
          <w:p w14:paraId="6278985C">
            <w:pPr>
              <w:pStyle w:val="178"/>
              <w:ind w:firstLine="180" w:firstLineChars="100"/>
              <w:jc w:val="both"/>
              <w:rPr>
                <w:rFonts w:hint="eastAsia" w:hAnsi="宋体"/>
                <w:szCs w:val="18"/>
              </w:rPr>
            </w:pPr>
            <w:r>
              <w:rPr>
                <w:rFonts w:hint="eastAsia" w:hAnsi="宋体"/>
                <w:szCs w:val="18"/>
              </w:rPr>
              <w:t>大小：不含团块；淀粉类：255＜粘度cP≤1355，黄原胶类：230＜粘度cP≤500</w:t>
            </w:r>
          </w:p>
        </w:tc>
        <w:tc>
          <w:tcPr>
            <w:tcW w:w="921" w:type="dxa"/>
            <w:vAlign w:val="center"/>
          </w:tcPr>
          <w:p w14:paraId="4779E12E">
            <w:pPr>
              <w:pStyle w:val="56"/>
              <w:ind w:firstLine="0" w:firstLineChars="0"/>
              <w:jc w:val="center"/>
              <w:rPr>
                <w:rFonts w:hint="eastAsia" w:hAnsi="宋体"/>
                <w:sz w:val="18"/>
                <w:szCs w:val="18"/>
              </w:rPr>
            </w:pPr>
            <w:r>
              <w:rPr>
                <w:rFonts w:hint="eastAsia"/>
                <w:sz w:val="18"/>
                <w:szCs w:val="18"/>
              </w:rPr>
              <w:t>附录B</w:t>
            </w:r>
          </w:p>
        </w:tc>
      </w:tr>
      <w:tr w14:paraId="57EF33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vAlign w:val="center"/>
          </w:tcPr>
          <w:p w14:paraId="5919D8D7">
            <w:pPr>
              <w:pStyle w:val="178"/>
            </w:pPr>
            <w:r>
              <w:rPr>
                <w:rFonts w:hint="eastAsia"/>
              </w:rPr>
              <w:t>2级</w:t>
            </w:r>
          </w:p>
          <w:p w14:paraId="4FA09BED">
            <w:pPr>
              <w:pStyle w:val="178"/>
            </w:pPr>
            <w:r>
              <w:rPr>
                <w:rFonts w:hint="eastAsia"/>
              </w:rPr>
              <w:t>（低度稠）</w:t>
            </w:r>
          </w:p>
        </w:tc>
        <w:tc>
          <w:tcPr>
            <w:tcW w:w="973" w:type="dxa"/>
            <w:vMerge w:val="restart"/>
            <w:vAlign w:val="center"/>
          </w:tcPr>
          <w:p w14:paraId="5F8ABB8C">
            <w:pPr>
              <w:pStyle w:val="56"/>
              <w:ind w:firstLine="0" w:firstLineChars="0"/>
              <w:jc w:val="center"/>
              <w:rPr>
                <w:rFonts w:hint="eastAsia" w:hAnsi="宋体"/>
                <w:sz w:val="18"/>
                <w:szCs w:val="18"/>
              </w:rPr>
            </w:pPr>
            <w:r>
              <w:rPr>
                <w:rFonts w:hint="eastAsia" w:hAnsi="宋体"/>
                <w:sz w:val="18"/>
                <w:szCs w:val="18"/>
              </w:rPr>
              <w:t>液体</w:t>
            </w:r>
          </w:p>
        </w:tc>
        <w:tc>
          <w:tcPr>
            <w:tcW w:w="5974" w:type="dxa"/>
            <w:vAlign w:val="center"/>
          </w:tcPr>
          <w:p w14:paraId="6849CBA3">
            <w:pPr>
              <w:pStyle w:val="56"/>
              <w:ind w:firstLine="180" w:firstLineChars="100"/>
              <w:rPr>
                <w:rFonts w:hint="eastAsia" w:hAnsi="宋体"/>
                <w:sz w:val="18"/>
                <w:szCs w:val="18"/>
              </w:rPr>
            </w:pPr>
            <w:r>
              <w:rPr>
                <w:rFonts w:hint="eastAsia" w:hAnsi="宋体"/>
                <w:sz w:val="18"/>
                <w:szCs w:val="18"/>
              </w:rPr>
              <w:t>将针筒尖端向下竖直放置于手中，用手指堵住注射器尖嘴，将待测样品加入注射器至 10 mL 刻度线左右，排出注射器尖端气泡并调整注射器内待测样品至 10 mL 刻度线，移开手指同时按下计时器，10 s后再次用手堵上针筒尖端，剩余残留液 4 mL～8 mL </w:t>
            </w:r>
          </w:p>
        </w:tc>
        <w:tc>
          <w:tcPr>
            <w:tcW w:w="921" w:type="dxa"/>
            <w:vAlign w:val="center"/>
          </w:tcPr>
          <w:p w14:paraId="72162DFD">
            <w:pPr>
              <w:pStyle w:val="56"/>
              <w:ind w:firstLine="0" w:firstLineChars="0"/>
              <w:jc w:val="center"/>
            </w:pPr>
            <w:r>
              <w:rPr>
                <w:rFonts w:hint="eastAsia"/>
                <w:sz w:val="18"/>
                <w:szCs w:val="18"/>
              </w:rPr>
              <w:t>附录</w:t>
            </w:r>
            <w:r>
              <w:rPr>
                <w:sz w:val="18"/>
                <w:szCs w:val="18"/>
              </w:rPr>
              <w:t>A</w:t>
            </w:r>
          </w:p>
        </w:tc>
      </w:tr>
      <w:tr w14:paraId="4AFFE9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0EA41BAB">
            <w:pPr>
              <w:pStyle w:val="178"/>
            </w:pPr>
          </w:p>
        </w:tc>
        <w:tc>
          <w:tcPr>
            <w:tcW w:w="973" w:type="dxa"/>
            <w:vMerge w:val="continue"/>
            <w:vAlign w:val="center"/>
          </w:tcPr>
          <w:p w14:paraId="48C625D2">
            <w:pPr>
              <w:pStyle w:val="178"/>
            </w:pPr>
          </w:p>
        </w:tc>
        <w:tc>
          <w:tcPr>
            <w:tcW w:w="5974" w:type="dxa"/>
            <w:vAlign w:val="center"/>
          </w:tcPr>
          <w:p w14:paraId="74A5B3B1">
            <w:pPr>
              <w:pStyle w:val="178"/>
              <w:ind w:firstLine="180" w:firstLineChars="100"/>
              <w:jc w:val="both"/>
              <w:rPr>
                <w:rFonts w:hint="eastAsia" w:hAnsi="宋体"/>
                <w:szCs w:val="18"/>
              </w:rPr>
            </w:pPr>
            <w:r>
              <w:rPr>
                <w:rFonts w:hint="eastAsia" w:hAnsi="宋体"/>
                <w:szCs w:val="18"/>
              </w:rPr>
              <w:t>大小：不含团块；淀粉类：105＜粘度cP≤255，黄原胶类：100＜粘度cP≤230</w:t>
            </w:r>
          </w:p>
        </w:tc>
        <w:tc>
          <w:tcPr>
            <w:tcW w:w="921" w:type="dxa"/>
            <w:vAlign w:val="center"/>
          </w:tcPr>
          <w:p w14:paraId="13EB754E">
            <w:pPr>
              <w:pStyle w:val="56"/>
              <w:ind w:firstLine="0" w:firstLineChars="0"/>
              <w:jc w:val="center"/>
              <w:rPr>
                <w:rFonts w:hint="eastAsia" w:hAnsi="宋体"/>
                <w:sz w:val="18"/>
                <w:szCs w:val="18"/>
              </w:rPr>
            </w:pPr>
            <w:r>
              <w:rPr>
                <w:rFonts w:hint="eastAsia"/>
                <w:sz w:val="18"/>
                <w:szCs w:val="18"/>
              </w:rPr>
              <w:t>附录B</w:t>
            </w:r>
          </w:p>
        </w:tc>
      </w:tr>
      <w:tr w14:paraId="61A669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restart"/>
            <w:vAlign w:val="center"/>
          </w:tcPr>
          <w:p w14:paraId="56A64979">
            <w:pPr>
              <w:pStyle w:val="178"/>
            </w:pPr>
            <w:r>
              <w:rPr>
                <w:rFonts w:hint="eastAsia"/>
              </w:rPr>
              <w:t>1级</w:t>
            </w:r>
          </w:p>
          <w:p w14:paraId="445D95A0">
            <w:pPr>
              <w:pStyle w:val="178"/>
            </w:pPr>
            <w:r>
              <w:rPr>
                <w:rFonts w:hint="eastAsia"/>
              </w:rPr>
              <w:t>（极微稠）</w:t>
            </w:r>
          </w:p>
        </w:tc>
        <w:tc>
          <w:tcPr>
            <w:tcW w:w="973" w:type="dxa"/>
            <w:vMerge w:val="restart"/>
            <w:vAlign w:val="center"/>
          </w:tcPr>
          <w:p w14:paraId="5541FFD4">
            <w:pPr>
              <w:pStyle w:val="178"/>
            </w:pPr>
            <w:r>
              <w:rPr>
                <w:rFonts w:hint="eastAsia"/>
              </w:rPr>
              <w:t>液体</w:t>
            </w:r>
          </w:p>
        </w:tc>
        <w:tc>
          <w:tcPr>
            <w:tcW w:w="5974" w:type="dxa"/>
            <w:vAlign w:val="center"/>
          </w:tcPr>
          <w:p w14:paraId="600046A6">
            <w:pPr>
              <w:pStyle w:val="178"/>
              <w:ind w:firstLine="180" w:firstLineChars="100"/>
              <w:jc w:val="both"/>
            </w:pPr>
            <w:r>
              <w:rPr>
                <w:rFonts w:hint="eastAsia"/>
              </w:rPr>
              <w:t>将针筒尖端向下竖直放置于手中，用手指堵住注射器尖嘴，将待测样品加入注射器至 10 mL 刻度线左右，排出注射器尖端气泡并调整注射器内待测样品至 10 mL 刻度线，移开手指同时按下计时器，10 s 后再次用手堵上针筒尖端，剩余残留液 1 mL～4 mL </w:t>
            </w:r>
          </w:p>
        </w:tc>
        <w:tc>
          <w:tcPr>
            <w:tcW w:w="921" w:type="dxa"/>
            <w:vAlign w:val="center"/>
          </w:tcPr>
          <w:p w14:paraId="05A337F5">
            <w:pPr>
              <w:pStyle w:val="56"/>
              <w:ind w:firstLine="0" w:firstLineChars="0"/>
              <w:jc w:val="center"/>
            </w:pPr>
            <w:r>
              <w:rPr>
                <w:rFonts w:hint="eastAsia"/>
                <w:sz w:val="18"/>
                <w:szCs w:val="18"/>
              </w:rPr>
              <w:t>附录</w:t>
            </w:r>
            <w:r>
              <w:rPr>
                <w:sz w:val="18"/>
                <w:szCs w:val="18"/>
              </w:rPr>
              <w:t>A</w:t>
            </w:r>
          </w:p>
        </w:tc>
      </w:tr>
      <w:tr w14:paraId="12B9243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8" w:hRule="atLeast"/>
          <w:jc w:val="center"/>
        </w:trPr>
        <w:tc>
          <w:tcPr>
            <w:tcW w:w="1686" w:type="dxa"/>
            <w:vMerge w:val="continue"/>
            <w:vAlign w:val="center"/>
          </w:tcPr>
          <w:p w14:paraId="4836A9DB">
            <w:pPr>
              <w:pStyle w:val="178"/>
            </w:pPr>
          </w:p>
        </w:tc>
        <w:tc>
          <w:tcPr>
            <w:tcW w:w="973" w:type="dxa"/>
            <w:vMerge w:val="continue"/>
            <w:vAlign w:val="center"/>
          </w:tcPr>
          <w:p w14:paraId="741F071B">
            <w:pPr>
              <w:pStyle w:val="178"/>
            </w:pPr>
          </w:p>
        </w:tc>
        <w:tc>
          <w:tcPr>
            <w:tcW w:w="5974" w:type="dxa"/>
            <w:vAlign w:val="center"/>
          </w:tcPr>
          <w:p w14:paraId="65607AC3">
            <w:pPr>
              <w:pStyle w:val="178"/>
              <w:ind w:firstLine="180" w:firstLineChars="100"/>
              <w:jc w:val="both"/>
            </w:pPr>
            <w:r>
              <w:rPr>
                <w:rFonts w:hint="eastAsia"/>
              </w:rPr>
              <w:t>大小：不含团块；淀粉类：40＜粘度cP≤105，黄原胶类：30＜粘度cP≤100</w:t>
            </w:r>
          </w:p>
        </w:tc>
        <w:tc>
          <w:tcPr>
            <w:tcW w:w="921" w:type="dxa"/>
            <w:vAlign w:val="center"/>
          </w:tcPr>
          <w:p w14:paraId="415270AB">
            <w:pPr>
              <w:pStyle w:val="56"/>
              <w:ind w:firstLine="0" w:firstLineChars="0"/>
              <w:jc w:val="center"/>
            </w:pPr>
            <w:r>
              <w:rPr>
                <w:rFonts w:hint="eastAsia"/>
                <w:sz w:val="18"/>
                <w:szCs w:val="18"/>
              </w:rPr>
              <w:t>附录B</w:t>
            </w:r>
          </w:p>
        </w:tc>
      </w:tr>
      <w:tr w14:paraId="4195F5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3" w:hRule="atLeast"/>
          <w:jc w:val="center"/>
        </w:trPr>
        <w:tc>
          <w:tcPr>
            <w:tcW w:w="1686" w:type="dxa"/>
            <w:vMerge w:val="restart"/>
            <w:vAlign w:val="center"/>
          </w:tcPr>
          <w:p w14:paraId="63AE3DFF">
            <w:pPr>
              <w:pStyle w:val="178"/>
            </w:pPr>
            <w:r>
              <w:rPr>
                <w:rFonts w:hint="eastAsia"/>
              </w:rPr>
              <w:t>0级</w:t>
            </w:r>
          </w:p>
          <w:p w14:paraId="2E8D4371">
            <w:pPr>
              <w:pStyle w:val="178"/>
            </w:pPr>
            <w:r>
              <w:rPr>
                <w:rFonts w:hint="eastAsia"/>
              </w:rPr>
              <w:t>（稀薄）</w:t>
            </w:r>
          </w:p>
        </w:tc>
        <w:tc>
          <w:tcPr>
            <w:tcW w:w="973" w:type="dxa"/>
            <w:vMerge w:val="restart"/>
            <w:vAlign w:val="center"/>
          </w:tcPr>
          <w:p w14:paraId="7C611DCA">
            <w:pPr>
              <w:pStyle w:val="178"/>
            </w:pPr>
            <w:r>
              <w:rPr>
                <w:rFonts w:hint="eastAsia"/>
              </w:rPr>
              <w:t>液体</w:t>
            </w:r>
          </w:p>
        </w:tc>
        <w:tc>
          <w:tcPr>
            <w:tcW w:w="5974" w:type="dxa"/>
            <w:tcBorders>
              <w:bottom w:val="single" w:color="auto" w:sz="4" w:space="0"/>
            </w:tcBorders>
            <w:vAlign w:val="center"/>
          </w:tcPr>
          <w:p w14:paraId="34C0C31F">
            <w:pPr>
              <w:pStyle w:val="178"/>
              <w:ind w:firstLine="180" w:firstLineChars="100"/>
              <w:jc w:val="both"/>
            </w:pPr>
            <w:r>
              <w:rPr>
                <w:rFonts w:hint="eastAsia"/>
              </w:rPr>
              <w:t>将针筒尖端向下竖直放置于手中，用手指堵住注射器尖嘴，将待测样品加入注射器至 10 mL 刻度线左右，排出注射器尖端气泡并调整注射器内待测样品至 10  mL 刻度线，移开手指同时按下计时器，10 s 后再次用手堵上针筒尖端，剩余残留液低于 1 mL</w:t>
            </w:r>
          </w:p>
        </w:tc>
        <w:tc>
          <w:tcPr>
            <w:tcW w:w="921" w:type="dxa"/>
            <w:tcBorders>
              <w:bottom w:val="single" w:color="auto" w:sz="4" w:space="0"/>
            </w:tcBorders>
            <w:vAlign w:val="center"/>
          </w:tcPr>
          <w:p w14:paraId="620A5619">
            <w:pPr>
              <w:pStyle w:val="56"/>
              <w:ind w:firstLine="0" w:firstLineChars="0"/>
              <w:jc w:val="center"/>
            </w:pPr>
            <w:r>
              <w:rPr>
                <w:rFonts w:hint="eastAsia"/>
                <w:sz w:val="18"/>
                <w:szCs w:val="18"/>
              </w:rPr>
              <w:t>附录</w:t>
            </w:r>
            <w:r>
              <w:rPr>
                <w:sz w:val="18"/>
                <w:szCs w:val="18"/>
              </w:rPr>
              <w:t>A</w:t>
            </w:r>
          </w:p>
        </w:tc>
      </w:tr>
      <w:tr w14:paraId="184CA7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23" w:hRule="atLeast"/>
          <w:jc w:val="center"/>
        </w:trPr>
        <w:tc>
          <w:tcPr>
            <w:tcW w:w="1686" w:type="dxa"/>
            <w:vMerge w:val="continue"/>
            <w:tcBorders>
              <w:bottom w:val="single" w:color="auto" w:sz="8" w:space="0"/>
            </w:tcBorders>
            <w:vAlign w:val="center"/>
          </w:tcPr>
          <w:p w14:paraId="30E9594A">
            <w:pPr>
              <w:pStyle w:val="178"/>
            </w:pPr>
          </w:p>
        </w:tc>
        <w:tc>
          <w:tcPr>
            <w:tcW w:w="973" w:type="dxa"/>
            <w:vMerge w:val="continue"/>
            <w:tcBorders>
              <w:bottom w:val="single" w:color="auto" w:sz="8" w:space="0"/>
            </w:tcBorders>
            <w:vAlign w:val="center"/>
          </w:tcPr>
          <w:p w14:paraId="03133A1D">
            <w:pPr>
              <w:pStyle w:val="178"/>
            </w:pPr>
          </w:p>
        </w:tc>
        <w:tc>
          <w:tcPr>
            <w:tcW w:w="5974" w:type="dxa"/>
            <w:tcBorders>
              <w:top w:val="single" w:color="auto" w:sz="4" w:space="0"/>
              <w:bottom w:val="single" w:color="auto" w:sz="8" w:space="0"/>
            </w:tcBorders>
            <w:vAlign w:val="center"/>
          </w:tcPr>
          <w:p w14:paraId="13A90FED">
            <w:pPr>
              <w:pStyle w:val="178"/>
              <w:ind w:firstLine="180" w:firstLineChars="100"/>
              <w:jc w:val="both"/>
            </w:pPr>
            <w:r>
              <w:rPr>
                <w:rFonts w:hint="eastAsia"/>
              </w:rPr>
              <w:t>大小：不含团块；淀粉类：粘度cP≤40，黄原胶类：≤30</w:t>
            </w:r>
          </w:p>
        </w:tc>
        <w:tc>
          <w:tcPr>
            <w:tcW w:w="921" w:type="dxa"/>
            <w:tcBorders>
              <w:top w:val="single" w:color="auto" w:sz="4" w:space="0"/>
              <w:bottom w:val="single" w:color="auto" w:sz="8" w:space="0"/>
            </w:tcBorders>
            <w:vAlign w:val="center"/>
          </w:tcPr>
          <w:p w14:paraId="57D4C313">
            <w:pPr>
              <w:pStyle w:val="56"/>
              <w:ind w:firstLine="0" w:firstLineChars="0"/>
              <w:jc w:val="center"/>
            </w:pPr>
            <w:r>
              <w:rPr>
                <w:rFonts w:hint="eastAsia"/>
                <w:sz w:val="18"/>
                <w:szCs w:val="18"/>
              </w:rPr>
              <w:t>附录B</w:t>
            </w:r>
          </w:p>
        </w:tc>
      </w:tr>
      <w:tr w14:paraId="22ABD7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333" w:hRule="atLeast"/>
          <w:jc w:val="center"/>
        </w:trPr>
        <w:tc>
          <w:tcPr>
            <w:tcW w:w="9554" w:type="dxa"/>
            <w:gridSpan w:val="4"/>
            <w:tcBorders>
              <w:top w:val="single" w:color="auto" w:sz="8" w:space="0"/>
            </w:tcBorders>
            <w:vAlign w:val="center"/>
          </w:tcPr>
          <w:p w14:paraId="4FCDBBD6">
            <w:pPr>
              <w:pStyle w:val="178"/>
              <w:jc w:val="both"/>
            </w:pPr>
            <w:r>
              <w:rPr>
                <w:rFonts w:hint="eastAsia"/>
              </w:rPr>
              <w:t xml:space="preserve">  </w:t>
            </w:r>
            <w:r>
              <w:rPr>
                <w:rFonts w:hint="eastAsia"/>
                <w:vertAlign w:val="superscript"/>
              </w:rPr>
              <w:t>a</w:t>
            </w:r>
            <w:r>
              <w:rPr>
                <w:rFonts w:hint="eastAsia"/>
              </w:rPr>
              <w:t xml:space="preserve"> 按IDDSI 2.0 2019划分。</w:t>
            </w:r>
          </w:p>
        </w:tc>
      </w:tr>
    </w:tbl>
    <w:p w14:paraId="356BFD9F">
      <w:pPr>
        <w:pStyle w:val="105"/>
        <w:spacing w:before="120" w:after="120"/>
      </w:pPr>
      <w:bookmarkStart w:id="61" w:name="_Toc12706"/>
      <w:r>
        <w:rPr>
          <w:rFonts w:hint="eastAsia"/>
        </w:rPr>
        <w:t>安全要求</w:t>
      </w:r>
      <w:bookmarkEnd w:id="61"/>
    </w:p>
    <w:p w14:paraId="0AED8FC9">
      <w:pPr>
        <w:pStyle w:val="165"/>
      </w:pPr>
      <w:r>
        <w:rPr>
          <w:rFonts w:hint="eastAsia"/>
        </w:rPr>
        <w:t>污染物限量应同时符合GB 2762及香港、澳门地区相关要求；真菌毒素限量应同时符合GB 2761及香港、澳门地区相关要求。</w:t>
      </w:r>
    </w:p>
    <w:p w14:paraId="4C0F89FF">
      <w:pPr>
        <w:pStyle w:val="165"/>
        <w:rPr>
          <w:color w:val="auto"/>
        </w:rPr>
      </w:pPr>
      <w:r>
        <w:rPr>
          <w:rFonts w:hint="eastAsia"/>
          <w:color w:val="auto"/>
        </w:rPr>
        <w:t>微生物限量应符合GB 29921、GB 29922</w:t>
      </w:r>
      <w:bookmarkStart w:id="62" w:name="OLE_LINK15"/>
      <w:r>
        <w:rPr>
          <w:rFonts w:hint="eastAsia"/>
          <w:color w:val="auto"/>
        </w:rPr>
        <w:t>、相应类别产品标准</w:t>
      </w:r>
      <w:bookmarkEnd w:id="62"/>
      <w:r>
        <w:rPr>
          <w:rFonts w:hint="eastAsia"/>
          <w:color w:val="auto"/>
        </w:rPr>
        <w:t>以及香港、澳门地区相关要求。</w:t>
      </w:r>
    </w:p>
    <w:p w14:paraId="1520C4FF">
      <w:pPr>
        <w:pStyle w:val="105"/>
        <w:spacing w:before="120" w:after="120"/>
      </w:pPr>
      <w:bookmarkStart w:id="63" w:name="_Toc5482"/>
      <w:r>
        <w:rPr>
          <w:rFonts w:hint="eastAsia"/>
        </w:rPr>
        <w:t>食品添加剂和营养</w:t>
      </w:r>
      <w:bookmarkStart w:id="89" w:name="_GoBack"/>
      <w:bookmarkEnd w:id="89"/>
      <w:r>
        <w:rPr>
          <w:rFonts w:hint="eastAsia"/>
        </w:rPr>
        <w:t>强化剂</w:t>
      </w:r>
      <w:bookmarkEnd w:id="63"/>
    </w:p>
    <w:p w14:paraId="25321739">
      <w:pPr>
        <w:pStyle w:val="165"/>
      </w:pPr>
      <w:r>
        <w:rPr>
          <w:rFonts w:hint="eastAsia"/>
        </w:rPr>
        <w:t>适老易食食品中食品添加剂的使用应符合GB 2760的要求以及香港、澳门地区相关要求。</w:t>
      </w:r>
    </w:p>
    <w:p w14:paraId="0DB19C1C">
      <w:pPr>
        <w:pStyle w:val="165"/>
      </w:pPr>
      <w:r>
        <w:rPr>
          <w:rFonts w:hint="eastAsia"/>
        </w:rPr>
        <w:t>适老易食食品中营养强化剂的使用应符合GB 14880的要求以及香港、澳门地区相关要求。</w:t>
      </w:r>
    </w:p>
    <w:p w14:paraId="71BE8CB3">
      <w:pPr>
        <w:pStyle w:val="165"/>
      </w:pPr>
      <w:r>
        <w:rPr>
          <w:rFonts w:hint="eastAsia"/>
        </w:rPr>
        <w:t>适老易食食品中食品添加剂和营养强化剂的质量规格应符合相应产品标准以及香港、澳门地区相关要求。</w:t>
      </w:r>
    </w:p>
    <w:p w14:paraId="3628A783">
      <w:pPr>
        <w:pStyle w:val="105"/>
        <w:spacing w:before="120" w:after="120"/>
      </w:pPr>
      <w:bookmarkStart w:id="64" w:name="_Toc31479"/>
      <w:r>
        <w:rPr>
          <w:rFonts w:hint="eastAsia"/>
        </w:rPr>
        <w:t>其他技术要求</w:t>
      </w:r>
      <w:bookmarkEnd w:id="64"/>
    </w:p>
    <w:p w14:paraId="50AF296D">
      <w:pPr>
        <w:pStyle w:val="165"/>
      </w:pPr>
      <w:r>
        <w:rPr>
          <w:rFonts w:hint="eastAsia"/>
        </w:rPr>
        <w:t>适老易食食品中反式脂肪酸含量应≤0.3 g/100 g (固体)或 100 mL (液体)。</w:t>
      </w:r>
    </w:p>
    <w:p w14:paraId="6AD51675">
      <w:pPr>
        <w:pStyle w:val="165"/>
      </w:pPr>
      <w:r>
        <w:rPr>
          <w:rFonts w:hint="eastAsia"/>
        </w:rPr>
        <w:t>适老易食食品应满足相应食品类别的食品安全国家标准和/或产品标准的技术要求。</w:t>
      </w:r>
    </w:p>
    <w:p w14:paraId="0BCB7ADF">
      <w:pPr>
        <w:pStyle w:val="104"/>
        <w:spacing w:before="240" w:after="240"/>
      </w:pPr>
      <w:bookmarkStart w:id="65" w:name="_Toc5462"/>
      <w:bookmarkStart w:id="66" w:name="_Toc13443"/>
      <w:r>
        <w:rPr>
          <w:rFonts w:hint="eastAsia"/>
        </w:rPr>
        <w:t>标签标识</w:t>
      </w:r>
      <w:bookmarkEnd w:id="65"/>
      <w:bookmarkEnd w:id="66"/>
    </w:p>
    <w:p w14:paraId="183573F0">
      <w:pPr>
        <w:pStyle w:val="162"/>
      </w:pPr>
      <w:r>
        <w:rPr>
          <w:rFonts w:hint="eastAsia"/>
        </w:rPr>
        <w:t>产品标识应符合GB 7718、GB 28050以及香港、澳门地区相关标签标识的规定，在香港地区生产和（或）销售的适老易食食品宜同时满足附录C的要求。</w:t>
      </w:r>
    </w:p>
    <w:p w14:paraId="55AD7722">
      <w:pPr>
        <w:pStyle w:val="162"/>
      </w:pPr>
      <w:r>
        <w:rPr>
          <w:rFonts w:hint="eastAsia"/>
        </w:rPr>
        <w:t>营养标签标示的内容应包括但不限于能量、蛋白质、脂肪、饱和脂肪、反式脂肪酸、碳水化合物、糖和钠的含量及其占营养素参考值百分比。</w:t>
      </w:r>
    </w:p>
    <w:p w14:paraId="7AC02EFC">
      <w:pPr>
        <w:pStyle w:val="162"/>
      </w:pPr>
      <w:r>
        <w:rPr>
          <w:rFonts w:hint="eastAsia"/>
        </w:rPr>
        <w:t>产品在标签或宣传品中对其他营养素作营养声称和（或）营养成分作用声称时，应对相应营养素含量进行标示。</w:t>
      </w:r>
    </w:p>
    <w:p w14:paraId="39D77F5F">
      <w:pPr>
        <w:pStyle w:val="162"/>
      </w:pPr>
      <w:r>
        <w:rPr>
          <w:rFonts w:hint="eastAsia"/>
        </w:rPr>
        <w:t>应标示食品的适宜人群、食用方法、食用温度、每日或每餐食用量，必要时应标示调配方法或复水再制方法。</w:t>
      </w:r>
    </w:p>
    <w:p w14:paraId="1B3E22E0">
      <w:pPr>
        <w:pStyle w:val="162"/>
      </w:pPr>
      <w:r>
        <w:rPr>
          <w:rFonts w:hint="eastAsia"/>
        </w:rPr>
        <w:t>应在标签上标明食品的贮存条件，必要时应标明开封后的贮存条件；开封后的预包装食品不宜贮存或不宜在原包装容器内贮存，应向消费者特别提示。</w:t>
      </w:r>
    </w:p>
    <w:p w14:paraId="39CCAA2A">
      <w:pPr>
        <w:pStyle w:val="162"/>
      </w:pPr>
      <w:r>
        <w:rPr>
          <w:rFonts w:hint="eastAsia"/>
        </w:rPr>
        <w:t>产品说明书、标签标识和广告中不得声称具有保健功能和涉及疾病预防治疗功能。</w:t>
      </w:r>
    </w:p>
    <w:p w14:paraId="7BA8EF56">
      <w:pPr>
        <w:pStyle w:val="162"/>
      </w:pPr>
      <w:r>
        <w:rPr>
          <w:rFonts w:hint="eastAsia"/>
        </w:rPr>
        <w:t>食品生产企业可根据国际吞咽障碍饮食标准化倡议（IDDSI）相关规定，对不同的食物类别，标注相应的食品分级、标志及适宜人群。标注性状的检验方法应符合附录 A 或 B，标注的易食食品分级、性状及标识颜色代码参见附录 C。</w:t>
      </w:r>
    </w:p>
    <w:p w14:paraId="1AF2AD88">
      <w:pPr>
        <w:pStyle w:val="162"/>
      </w:pPr>
      <w:r>
        <w:rPr>
          <w:rFonts w:hint="eastAsia"/>
        </w:rPr>
        <w:t>标签中文字的字号、字体、颜色应适合老年人阅读；宜增加电子播报标签，方便老人理解标签内容。</w:t>
      </w:r>
    </w:p>
    <w:p w14:paraId="6AF7F479">
      <w:pPr>
        <w:pStyle w:val="104"/>
        <w:spacing w:before="240" w:after="240"/>
      </w:pPr>
      <w:bookmarkStart w:id="67" w:name="_Toc10806"/>
      <w:bookmarkStart w:id="68" w:name="_Toc11290"/>
      <w:r>
        <w:rPr>
          <w:rFonts w:hint="eastAsia"/>
        </w:rPr>
        <w:t>包装、运输和储存</w:t>
      </w:r>
      <w:bookmarkEnd w:id="67"/>
      <w:bookmarkEnd w:id="68"/>
    </w:p>
    <w:p w14:paraId="456ABD65">
      <w:pPr>
        <w:pStyle w:val="105"/>
        <w:spacing w:before="120" w:after="120"/>
      </w:pPr>
      <w:bookmarkStart w:id="69" w:name="_Toc8539"/>
      <w:r>
        <w:rPr>
          <w:rFonts w:hint="eastAsia"/>
        </w:rPr>
        <w:t>包装</w:t>
      </w:r>
      <w:bookmarkEnd w:id="69"/>
    </w:p>
    <w:p w14:paraId="2AF093D9">
      <w:pPr>
        <w:pStyle w:val="56"/>
        <w:ind w:firstLine="420"/>
      </w:pPr>
      <w:r>
        <w:rPr>
          <w:rFonts w:hint="eastAsia"/>
        </w:rPr>
        <w:t>按照 GB/T 39947 或相应产品标准的规定执行，包装储运图示标志按照 GB/T 191 或相应产品标准的规定执行；在香港或澳门地区销售的食品，应同时符合香港或澳门地区的法规要求。</w:t>
      </w:r>
    </w:p>
    <w:p w14:paraId="6A64C299">
      <w:pPr>
        <w:pStyle w:val="105"/>
        <w:spacing w:before="120" w:after="120"/>
      </w:pPr>
      <w:bookmarkStart w:id="70" w:name="_Toc4961"/>
      <w:r>
        <w:rPr>
          <w:rFonts w:hint="eastAsia"/>
        </w:rPr>
        <w:t>运输和储存</w:t>
      </w:r>
      <w:bookmarkEnd w:id="70"/>
    </w:p>
    <w:p w14:paraId="368A4E76">
      <w:pPr>
        <w:pStyle w:val="56"/>
        <w:ind w:firstLine="420"/>
      </w:pPr>
      <w:r>
        <w:rPr>
          <w:rFonts w:hint="eastAsia"/>
        </w:rPr>
        <w:t>按照 GB 31621 或相应产品标准的规定执行；在香港或澳门地区销售的食品，应同时符合香港或澳门地区的法规要求。</w:t>
      </w:r>
    </w:p>
    <w:p w14:paraId="2D96214A">
      <w:pPr>
        <w:pStyle w:val="56"/>
        <w:ind w:firstLine="420"/>
      </w:pPr>
    </w:p>
    <w:p w14:paraId="7387D01F">
      <w:pPr>
        <w:pStyle w:val="56"/>
        <w:ind w:firstLine="420"/>
      </w:pPr>
    </w:p>
    <w:p w14:paraId="3C4836F7">
      <w:pPr>
        <w:pStyle w:val="56"/>
        <w:ind w:firstLine="420"/>
      </w:pPr>
    </w:p>
    <w:p w14:paraId="39716564">
      <w:pPr>
        <w:pStyle w:val="56"/>
        <w:ind w:firstLine="420"/>
        <w:sectPr>
          <w:headerReference r:id="rId22" w:type="default"/>
          <w:footerReference r:id="rId24" w:type="default"/>
          <w:headerReference r:id="rId23" w:type="even"/>
          <w:footerReference r:id="rId25" w:type="even"/>
          <w:pgSz w:w="11906" w:h="16838"/>
          <w:pgMar w:top="1928" w:right="1134" w:bottom="1134" w:left="1134" w:header="1418" w:footer="1134" w:gutter="284"/>
          <w:pgNumType w:start="1"/>
          <w:cols w:space="425" w:num="1"/>
          <w:formProt w:val="0"/>
          <w:docGrid w:linePitch="312" w:charSpace="0"/>
        </w:sectPr>
      </w:pPr>
    </w:p>
    <w:bookmarkEnd w:id="26"/>
    <w:p w14:paraId="4E4B87FE">
      <w:pPr>
        <w:pStyle w:val="198"/>
        <w:rPr>
          <w:rFonts w:hint="eastAsia"/>
        </w:rPr>
      </w:pPr>
      <w:bookmarkStart w:id="71" w:name="BookMark5"/>
    </w:p>
    <w:p w14:paraId="42ACECDF">
      <w:pPr>
        <w:pStyle w:val="199"/>
      </w:pPr>
    </w:p>
    <w:p w14:paraId="7F07F96E">
      <w:pPr>
        <w:pStyle w:val="76"/>
        <w:spacing w:after="120"/>
      </w:pPr>
      <w:bookmarkStart w:id="72" w:name="_Toc3235"/>
      <w:bookmarkStart w:id="73" w:name="_Toc22645"/>
      <w:r>
        <w:br w:type="textWrapping"/>
      </w:r>
      <w:r>
        <w:rPr>
          <w:rFonts w:hint="eastAsia"/>
        </w:rPr>
        <w:t>（规范性）</w:t>
      </w:r>
      <w:r>
        <w:rPr>
          <w:rFonts w:hint="eastAsia"/>
        </w:rPr>
        <w:br w:type="textWrapping"/>
      </w:r>
      <w:r>
        <w:rPr>
          <w:rFonts w:hint="eastAsia"/>
        </w:rPr>
        <w:t>适老易食食品性状检验方法  简易法</w:t>
      </w:r>
      <w:bookmarkEnd w:id="72"/>
      <w:bookmarkEnd w:id="73"/>
    </w:p>
    <w:p w14:paraId="6FF8E9AB">
      <w:pPr>
        <w:pStyle w:val="78"/>
        <w:spacing w:before="120" w:after="120"/>
      </w:pPr>
      <w:bookmarkStart w:id="74" w:name="_Toc9425"/>
      <w:r>
        <w:rPr>
          <w:rFonts w:hint="eastAsia"/>
        </w:rPr>
        <w:t>方法原理</w:t>
      </w:r>
      <w:bookmarkEnd w:id="74"/>
    </w:p>
    <w:p w14:paraId="3B2936F0">
      <w:pPr>
        <w:pStyle w:val="56"/>
        <w:ind w:firstLine="420"/>
      </w:pPr>
      <w:r>
        <w:rPr>
          <w:rFonts w:hint="eastAsia"/>
        </w:rPr>
        <w:t>按照待检验食品的标签或说明书，经适当处理，使其与食用时的状态与温度一致，立即采用标准不锈钢餐叉、注射器针筒或勺子测试其硬度、稠度或流动性。</w:t>
      </w:r>
    </w:p>
    <w:p w14:paraId="372D6BBB">
      <w:pPr>
        <w:pStyle w:val="78"/>
        <w:spacing w:before="120" w:after="120"/>
      </w:pPr>
      <w:bookmarkStart w:id="75" w:name="_Toc14999"/>
      <w:r>
        <w:rPr>
          <w:rFonts w:hint="eastAsia"/>
        </w:rPr>
        <w:t>仪器和设备</w:t>
      </w:r>
      <w:bookmarkEnd w:id="75"/>
    </w:p>
    <w:p w14:paraId="648AB6E7">
      <w:pPr>
        <w:pStyle w:val="212"/>
      </w:pPr>
      <w:r>
        <w:rPr>
          <w:rFonts w:hint="eastAsia"/>
        </w:rPr>
        <w:t>标准不锈钢餐叉：餐叉宽度约 15 mm，餐叉间隙间隔距离约为 4 mm。</w:t>
      </w:r>
    </w:p>
    <w:p w14:paraId="3897B12E">
      <w:pPr>
        <w:pStyle w:val="56"/>
        <w:ind w:firstLine="420"/>
      </w:pPr>
    </w:p>
    <w:p w14:paraId="2E7515D1">
      <w:pPr>
        <w:pStyle w:val="56"/>
        <w:ind w:firstLine="0" w:firstLineChars="0"/>
        <w:jc w:val="center"/>
      </w:pPr>
      <w:r>
        <w:drawing>
          <wp:inline distT="0" distB="0" distL="0" distR="0">
            <wp:extent cx="4397375" cy="1714500"/>
            <wp:effectExtent l="0" t="0" r="2540" b="2540"/>
            <wp:docPr id="16771158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15819" name="图片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397375" cy="1714500"/>
                    </a:xfrm>
                    <a:prstGeom prst="rect">
                      <a:avLst/>
                    </a:prstGeom>
                    <a:noFill/>
                  </pic:spPr>
                </pic:pic>
              </a:graphicData>
            </a:graphic>
          </wp:inline>
        </w:drawing>
      </w:r>
    </w:p>
    <w:p w14:paraId="5CD2C02D">
      <w:pPr>
        <w:pStyle w:val="83"/>
        <w:spacing w:before="120" w:after="120"/>
      </w:pPr>
      <w:r>
        <w:rPr>
          <w:rFonts w:hint="eastAsia"/>
        </w:rPr>
        <w:t>标准餐叉示意图</w:t>
      </w:r>
    </w:p>
    <w:p w14:paraId="1C23629B">
      <w:pPr>
        <w:pStyle w:val="212"/>
      </w:pPr>
      <w:r>
        <w:rPr>
          <w:rFonts w:hint="eastAsia"/>
        </w:rPr>
        <w:t>注射器针筒：10 mL 注射器， 移除针头和活塞，针筒 10 mL 刻度线与 0 mL 刻度线的距离约 61.5 mm。</w:t>
      </w:r>
    </w:p>
    <w:p w14:paraId="148A8923">
      <w:pPr>
        <w:pStyle w:val="212"/>
        <w:numPr>
          <w:ilvl w:val="2"/>
          <w:numId w:val="0"/>
        </w:numPr>
        <w:jc w:val="center"/>
      </w:pPr>
      <w:r>
        <w:drawing>
          <wp:inline distT="0" distB="0" distL="0" distR="0">
            <wp:extent cx="2117090" cy="1924050"/>
            <wp:effectExtent l="0" t="0" r="4445" b="762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126202" cy="1932259"/>
                    </a:xfrm>
                    <a:prstGeom prst="rect">
                      <a:avLst/>
                    </a:prstGeom>
                    <a:noFill/>
                  </pic:spPr>
                </pic:pic>
              </a:graphicData>
            </a:graphic>
          </wp:inline>
        </w:drawing>
      </w:r>
    </w:p>
    <w:p w14:paraId="21BBB95E">
      <w:pPr>
        <w:pStyle w:val="83"/>
        <w:spacing w:before="120" w:after="120"/>
      </w:pPr>
      <w:r>
        <w:rPr>
          <w:rFonts w:hint="eastAsia"/>
        </w:rPr>
        <w:t>10 mL标准注射器针筒示意图</w:t>
      </w:r>
    </w:p>
    <w:p w14:paraId="39C300B9">
      <w:pPr>
        <w:pStyle w:val="212"/>
      </w:pPr>
      <w:r>
        <w:rPr>
          <w:rFonts w:hint="eastAsia"/>
        </w:rPr>
        <w:t>勺子：235 mm（总长度）×26 mm（手柄宽度）×8 mm（勺柄厚度），食品级不锈钢材质。</w:t>
      </w:r>
    </w:p>
    <w:p w14:paraId="08FF8E2E">
      <w:pPr>
        <w:pStyle w:val="78"/>
        <w:spacing w:before="120" w:after="120"/>
      </w:pPr>
      <w:bookmarkStart w:id="76" w:name="_Toc24514"/>
      <w:r>
        <w:rPr>
          <w:rFonts w:hint="eastAsia"/>
        </w:rPr>
        <w:t>检验步骤</w:t>
      </w:r>
      <w:bookmarkEnd w:id="76"/>
    </w:p>
    <w:p w14:paraId="4EFE2D70">
      <w:pPr>
        <w:pStyle w:val="79"/>
        <w:spacing w:before="120" w:after="120"/>
      </w:pPr>
      <w:r>
        <w:rPr>
          <w:rFonts w:hint="eastAsia"/>
        </w:rPr>
        <w:t>7级（食物原状）</w:t>
      </w:r>
    </w:p>
    <w:p w14:paraId="0821FA68">
      <w:pPr>
        <w:pStyle w:val="56"/>
        <w:ind w:firstLine="420"/>
      </w:pPr>
      <w:r>
        <w:rPr>
          <w:rFonts w:hint="eastAsia"/>
        </w:rPr>
        <w:t>以餐叉侧面即可将食物切断或切成较小块，用拇指以餐叉底部按压食物（食物样本与指甲大小相约）至拇指指甲变白时，食物会被压扁/切开/改变形状。将餐叉移开后，食物不会恢复原状。</w:t>
      </w:r>
    </w:p>
    <w:p w14:paraId="1A901DA8">
      <w:pPr>
        <w:pStyle w:val="79"/>
        <w:spacing w:before="120" w:after="120"/>
      </w:pPr>
      <w:r>
        <w:rPr>
          <w:rFonts w:hint="eastAsia"/>
        </w:rPr>
        <w:t>7EC级（容易咀嚼）</w:t>
      </w:r>
    </w:p>
    <w:p w14:paraId="25CE8083">
      <w:pPr>
        <w:pStyle w:val="56"/>
        <w:ind w:firstLine="420"/>
      </w:pPr>
      <w:r>
        <w:rPr>
          <w:rFonts w:hint="eastAsia"/>
        </w:rPr>
        <w:t>以餐叉侧面即可将食物切断或切成较小块，用拇指以餐叉底部按压食物（食物样本与指甲大小相约）至拇指指甲变白时，食物会被压扁/切开/改变形状，将餐叉移开后，食物不会恢复原状。</w:t>
      </w:r>
    </w:p>
    <w:p w14:paraId="7E24EA31">
      <w:pPr>
        <w:pStyle w:val="79"/>
        <w:spacing w:before="120" w:after="120"/>
      </w:pPr>
      <w:r>
        <w:rPr>
          <w:rFonts w:hint="eastAsia"/>
        </w:rPr>
        <w:t>6级（软质及一口量）</w:t>
      </w:r>
    </w:p>
    <w:p w14:paraId="69395A60">
      <w:pPr>
        <w:pStyle w:val="56"/>
        <w:ind w:firstLine="420"/>
      </w:pPr>
      <w:r>
        <w:rPr>
          <w:rFonts w:hint="eastAsia"/>
        </w:rPr>
        <w:t>以餐叉侧面即可将食物切断或切成较小块，用拇指以餐叉底部按压食物（食物样本与指甲大小相约）至拇指指甲变白时，食物会被压扁及改变形状，将餐叉移开后，食物不会恢复原状。</w:t>
      </w:r>
    </w:p>
    <w:p w14:paraId="584D0963">
      <w:pPr>
        <w:pStyle w:val="79"/>
        <w:spacing w:before="120" w:after="120"/>
      </w:pPr>
      <w:r>
        <w:rPr>
          <w:rFonts w:hint="eastAsia"/>
        </w:rPr>
        <w:t>5级（细碎及湿软）</w:t>
      </w:r>
    </w:p>
    <w:p w14:paraId="1E6E061D">
      <w:pPr>
        <w:pStyle w:val="56"/>
        <w:ind w:firstLine="420"/>
      </w:pPr>
      <w:r>
        <w:rPr>
          <w:rFonts w:hint="eastAsia"/>
        </w:rPr>
        <w:t>当用餐叉垂直压向食物时，食物在压力作用下易发生分离，并且穿过餐叉缝隙及轻易被餐叉压力碾碎；当勺子倾角≥45°时，表面张力的临界值被突破，导致盛载物产生整体倾侧或滑落，仅在勺子留下极少量食品残留。</w:t>
      </w:r>
    </w:p>
    <w:p w14:paraId="7DED56A1">
      <w:pPr>
        <w:pStyle w:val="79"/>
        <w:spacing w:before="120" w:after="120"/>
      </w:pPr>
      <w:r>
        <w:rPr>
          <w:rFonts w:hint="eastAsia"/>
        </w:rPr>
        <w:t>4级（糊狀/高度稠）</w:t>
      </w:r>
    </w:p>
    <w:p w14:paraId="1521655D">
      <w:pPr>
        <w:pStyle w:val="56"/>
        <w:ind w:firstLine="420"/>
      </w:pPr>
      <w:r>
        <w:rPr>
          <w:rFonts w:hint="eastAsia"/>
        </w:rPr>
        <w:t>糊状食物在餐叉上可堆成形，或少量食物可能由叉缝间流出形成尾巴状，但不会持续流下或滴落；当勺子倾角≥45°时，表面张力的临界值被突破，导致盛载物产生整体倾侧或滑落，仅在勺子留下极少量食品残留。</w:t>
      </w:r>
    </w:p>
    <w:p w14:paraId="3D3A5277">
      <w:pPr>
        <w:pStyle w:val="79"/>
        <w:spacing w:before="120" w:after="120"/>
      </w:pPr>
      <w:r>
        <w:rPr>
          <w:rFonts w:hint="eastAsia"/>
        </w:rPr>
        <w:t>3级（流质/中度稠）</w:t>
      </w:r>
    </w:p>
    <w:p w14:paraId="017A631F">
      <w:pPr>
        <w:pStyle w:val="56"/>
        <w:ind w:firstLine="420"/>
      </w:pPr>
      <w:r>
        <w:rPr>
          <w:rFonts w:hint="eastAsia"/>
        </w:rPr>
        <w:t>将针筒尖端向下竖直放置于手中，用手指堵住注射器尖嘴，将待测样品加入注射器至 10 mL 刻度线左右，排出注射器尖端气泡并调整注射器内待测样品至 10 mL 刻度线，移开手指同时按下计时器，10 s 后再次用手堵上针筒尖端，剩余残留液多于 8 mL。</w:t>
      </w:r>
    </w:p>
    <w:p w14:paraId="4F393F1A">
      <w:pPr>
        <w:pStyle w:val="79"/>
        <w:spacing w:before="120" w:after="120"/>
      </w:pPr>
      <w:r>
        <w:rPr>
          <w:rFonts w:hint="eastAsia"/>
        </w:rPr>
        <w:t>2级（低度稠）</w:t>
      </w:r>
    </w:p>
    <w:p w14:paraId="6236B40B">
      <w:pPr>
        <w:pStyle w:val="56"/>
        <w:ind w:firstLine="420"/>
      </w:pPr>
      <w:r>
        <w:rPr>
          <w:rFonts w:hint="eastAsia"/>
        </w:rPr>
        <w:t>将针筒尖端向下竖直放置于手中，用手指堵住注射器尖嘴，将待测样品加入注射器至 10 mL 刻度线左右，排出注射器尖端气泡并调整注射器内待测样品至 10 mL 刻度线，移开手指同时按下计时器，10 s后再次用手堵上针筒尖端，剩余残留液在 4 mL～8 mL 范围。</w:t>
      </w:r>
    </w:p>
    <w:p w14:paraId="67A5E901">
      <w:pPr>
        <w:pStyle w:val="79"/>
        <w:spacing w:before="120" w:after="120"/>
      </w:pPr>
      <w:r>
        <w:rPr>
          <w:rFonts w:hint="eastAsia"/>
        </w:rPr>
        <w:t>1级（极微稠）</w:t>
      </w:r>
    </w:p>
    <w:p w14:paraId="62E8B17D">
      <w:pPr>
        <w:pStyle w:val="56"/>
        <w:ind w:firstLine="420"/>
      </w:pPr>
      <w:r>
        <w:rPr>
          <w:rFonts w:hint="eastAsia"/>
        </w:rPr>
        <w:t>将针筒尖端向下竖直放置于手中，用手指堵住注射器尖嘴，将待测样品加入注射器至 10 mL 刻度线左右，排出注射器尖端气泡并调整注射器内待测样品至 10 mL 刻度线，移开手指同时按下计时器，10 s 后再次用手堵上针筒尖端，剩余残留液在 1 mL～4 mL 范围。</w:t>
      </w:r>
    </w:p>
    <w:p w14:paraId="13EDF85B">
      <w:pPr>
        <w:pStyle w:val="79"/>
        <w:spacing w:before="120" w:after="120"/>
      </w:pPr>
      <w:r>
        <w:rPr>
          <w:rFonts w:hint="eastAsia"/>
        </w:rPr>
        <w:t>0级（稀薄）</w:t>
      </w:r>
    </w:p>
    <w:p w14:paraId="2B5D7CC6">
      <w:pPr>
        <w:pStyle w:val="56"/>
        <w:ind w:firstLine="420"/>
      </w:pPr>
      <w:r>
        <w:rPr>
          <w:rFonts w:hint="eastAsia"/>
        </w:rPr>
        <w:t>将针筒尖端向下竖直放置于手中，用手指堵住注射器尖嘴，将待测样品加入注射器至 10 mL 刻度线左右，排出注射器尖端气泡并调整注射器内待测样品至 10 mL 刻度线，移开手指同时按下计时器，10 s 后再次用手堵上针筒尖端，剩余残留液低于 1 mL。</w:t>
      </w:r>
    </w:p>
    <w:p w14:paraId="3C8876DF">
      <w:pPr>
        <w:pStyle w:val="56"/>
        <w:ind w:firstLine="420"/>
      </w:pPr>
      <w:r>
        <w:drawing>
          <wp:inline distT="0" distB="0" distL="0" distR="0">
            <wp:extent cx="4970780" cy="2228850"/>
            <wp:effectExtent l="0" t="0" r="6985" b="0"/>
            <wp:docPr id="18030957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95749" name="图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069507" cy="2273086"/>
                    </a:xfrm>
                    <a:prstGeom prst="rect">
                      <a:avLst/>
                    </a:prstGeom>
                    <a:noFill/>
                  </pic:spPr>
                </pic:pic>
              </a:graphicData>
            </a:graphic>
          </wp:inline>
        </w:drawing>
      </w:r>
    </w:p>
    <w:p w14:paraId="5A4512AA">
      <w:pPr>
        <w:pStyle w:val="83"/>
        <w:spacing w:before="120" w:after="120"/>
        <w:sectPr>
          <w:headerReference r:id="rId26" w:type="default"/>
          <w:footerReference r:id="rId28" w:type="default"/>
          <w:headerReference r:id="rId27" w:type="even"/>
          <w:footerReference r:id="rId29" w:type="even"/>
          <w:pgSz w:w="11906" w:h="16838"/>
          <w:pgMar w:top="1928" w:right="1134" w:bottom="1134" w:left="1134" w:header="1418" w:footer="1134" w:gutter="284"/>
          <w:cols w:space="425" w:num="1"/>
          <w:formProt w:val="0"/>
          <w:docGrid w:linePitch="312" w:charSpace="0"/>
        </w:sectPr>
      </w:pPr>
      <w:r>
        <w:rPr>
          <w:rFonts w:hint="eastAsia"/>
        </w:rPr>
        <w:t>采用注射器筒检测液体食品流程图</w:t>
      </w:r>
    </w:p>
    <w:p w14:paraId="26E9F2CE">
      <w:pPr>
        <w:pStyle w:val="198"/>
        <w:rPr>
          <w:rFonts w:hint="eastAsia"/>
        </w:rPr>
      </w:pPr>
    </w:p>
    <w:p w14:paraId="781483A7">
      <w:pPr>
        <w:pStyle w:val="199"/>
      </w:pPr>
    </w:p>
    <w:p w14:paraId="460B8E0F">
      <w:pPr>
        <w:pStyle w:val="76"/>
        <w:spacing w:after="120"/>
      </w:pPr>
      <w:bookmarkStart w:id="77" w:name="_Toc30846"/>
      <w:bookmarkStart w:id="78" w:name="_Toc3237"/>
      <w:r>
        <w:rPr>
          <w:rFonts w:hint="eastAsia"/>
        </w:rPr>
        <w:br w:type="textWrapping"/>
      </w:r>
      <w:r>
        <w:rPr>
          <w:rFonts w:hint="eastAsia"/>
        </w:rPr>
        <w:t>（规范性）</w:t>
      </w:r>
      <w:r>
        <w:rPr>
          <w:rFonts w:hint="eastAsia"/>
        </w:rPr>
        <w:br w:type="textWrapping"/>
      </w:r>
      <w:r>
        <w:rPr>
          <w:rFonts w:hint="eastAsia"/>
        </w:rPr>
        <w:t>适老易食食品性状检验方法  仪器法</w:t>
      </w:r>
      <w:bookmarkEnd w:id="77"/>
      <w:bookmarkEnd w:id="78"/>
    </w:p>
    <w:p w14:paraId="4455C0F9">
      <w:pPr>
        <w:pStyle w:val="78"/>
        <w:spacing w:before="120" w:after="120"/>
      </w:pPr>
      <w:bookmarkStart w:id="79" w:name="_Toc8832"/>
      <w:r>
        <w:rPr>
          <w:rFonts w:hint="eastAsia"/>
        </w:rPr>
        <w:t>固体样品硬度、凝聚力、附着力的测定</w:t>
      </w:r>
      <w:bookmarkEnd w:id="79"/>
    </w:p>
    <w:p w14:paraId="28D8DD09">
      <w:pPr>
        <w:pStyle w:val="79"/>
        <w:spacing w:before="120" w:after="120"/>
      </w:pPr>
      <w:r>
        <w:rPr>
          <w:rFonts w:hint="eastAsia"/>
        </w:rPr>
        <w:t>方法原理</w:t>
      </w:r>
    </w:p>
    <w:p w14:paraId="22A46E2D">
      <w:pPr>
        <w:pStyle w:val="56"/>
        <w:ind w:firstLine="420"/>
      </w:pPr>
      <w:r>
        <w:rPr>
          <w:rFonts w:hint="eastAsia"/>
        </w:rPr>
        <w:t>将样品固定在质构仪上，通过一个可移动的探头向样品施加力，使用高精度传感器来测量施加力的大小，同时记录探头的位移，以确定样品在力的作用下的变形情况；将收集到的数据传输到计算机软件中进行分析，计算出多个参数，以此评估样品的硬度、凝聚力、附着力等特性。</w:t>
      </w:r>
    </w:p>
    <w:p w14:paraId="192367E7">
      <w:pPr>
        <w:pStyle w:val="79"/>
        <w:spacing w:before="120" w:after="120"/>
      </w:pPr>
      <w:r>
        <w:rPr>
          <w:rFonts w:hint="eastAsia"/>
        </w:rPr>
        <w:t>仪器和设备</w:t>
      </w:r>
    </w:p>
    <w:p w14:paraId="7E55BB31">
      <w:pPr>
        <w:pStyle w:val="213"/>
      </w:pPr>
      <w:r>
        <w:rPr>
          <w:rFonts w:hint="eastAsia"/>
        </w:rPr>
        <w:t>质构仪：附带直径 20 mm 的圆柱探头、样品固定装置、经校准过的位移传感器和力传感器、计算机和软件。</w:t>
      </w:r>
    </w:p>
    <w:p w14:paraId="39FB426F">
      <w:pPr>
        <w:pStyle w:val="213"/>
      </w:pPr>
      <w:r>
        <w:rPr>
          <w:rFonts w:hint="eastAsia"/>
        </w:rPr>
        <w:t>恒温槽：依据GB/T 10247，在设定温度下，温度波动不超过 ±0.1℃，可以对外输出循环恒温水。</w:t>
      </w:r>
    </w:p>
    <w:p w14:paraId="77306B12">
      <w:pPr>
        <w:pStyle w:val="213"/>
      </w:pPr>
      <w:r>
        <w:rPr>
          <w:rFonts w:hint="eastAsia"/>
        </w:rPr>
        <w:t>温度计：采用校准并修正过的，其分辨率不大于 0.1℃ 的水银温度计或其他测温设备。</w:t>
      </w:r>
    </w:p>
    <w:p w14:paraId="17888E13">
      <w:pPr>
        <w:pStyle w:val="79"/>
        <w:spacing w:before="120" w:after="120"/>
      </w:pPr>
      <w:r>
        <w:rPr>
          <w:rFonts w:hint="eastAsia"/>
        </w:rPr>
        <w:t>分析步骤</w:t>
      </w:r>
    </w:p>
    <w:p w14:paraId="6CBF1E2E">
      <w:pPr>
        <w:pStyle w:val="81"/>
        <w:spacing w:before="120" w:after="120"/>
      </w:pPr>
      <w:r>
        <w:rPr>
          <w:rFonts w:hint="eastAsia"/>
        </w:rPr>
        <w:t>样品制备</w:t>
      </w:r>
    </w:p>
    <w:p w14:paraId="7AF5BC26">
      <w:pPr>
        <w:pStyle w:val="56"/>
        <w:ind w:firstLine="420"/>
      </w:pPr>
      <w:r>
        <w:rPr>
          <w:rFonts w:hint="eastAsia"/>
        </w:rPr>
        <w:t>确保样品具有代表性和一致性，可在有需要的情况，将样品切成均匀的形状和大小。</w:t>
      </w:r>
    </w:p>
    <w:p w14:paraId="403FFE4F">
      <w:pPr>
        <w:pStyle w:val="81"/>
        <w:spacing w:before="120" w:after="120"/>
      </w:pPr>
      <w:r>
        <w:rPr>
          <w:rFonts w:hint="eastAsia"/>
        </w:rPr>
        <w:t>样品恒温</w:t>
      </w:r>
    </w:p>
    <w:p w14:paraId="720BE3F4">
      <w:pPr>
        <w:pStyle w:val="56"/>
        <w:ind w:firstLine="420"/>
      </w:pPr>
      <w:r>
        <w:rPr>
          <w:rFonts w:hint="eastAsia"/>
        </w:rPr>
        <w:t>样品在测试温度下保持恒温，以保证参数稳定。</w:t>
      </w:r>
    </w:p>
    <w:p w14:paraId="4D34FDE1">
      <w:pPr>
        <w:pStyle w:val="81"/>
        <w:spacing w:before="120" w:after="120"/>
      </w:pPr>
      <w:r>
        <w:rPr>
          <w:rFonts w:hint="eastAsia"/>
        </w:rPr>
        <w:t>测定</w:t>
      </w:r>
    </w:p>
    <w:p w14:paraId="04FC6C7F">
      <w:pPr>
        <w:pStyle w:val="56"/>
        <w:ind w:firstLine="420"/>
      </w:pPr>
      <w:r>
        <w:rPr>
          <w:rFonts w:hint="eastAsia"/>
        </w:rPr>
        <w:t>将每个样品放到直径为 40 mm 的容器中，填充到高为 15 mm，使用直径 20 mm 的圆柱探头（P/20），以 10 mm/s 的速度和 5 mm 的间隙，对样品进行两次挤压，模拟人口腔的咀嚼过程。质构分析仪的计算机软件记录压缩过程中样品的受力回响，以产生质构分析曲线，评估样品的硬度、凝聚力和附着力。通常情况下，样品在常温（22℃～26℃）状态下进行测试。如样品包装上标明需加热食用，则根据包装上的加热方式进行加热，再进行实验测试；如样品包装上有多种加热方法，则随机选取其中一种方法进行加热，再进行实验测试。如样品内包括多于一种食材，则每款食材均需独立进行检测。</w:t>
      </w:r>
    </w:p>
    <w:p w14:paraId="62DAE9C0">
      <w:pPr>
        <w:pStyle w:val="79"/>
        <w:spacing w:before="120" w:after="120"/>
      </w:pPr>
      <w:r>
        <w:rPr>
          <w:rFonts w:hint="eastAsia"/>
        </w:rPr>
        <w:t>实验结果</w:t>
      </w:r>
    </w:p>
    <w:p w14:paraId="03464BA3">
      <w:pPr>
        <w:pStyle w:val="56"/>
        <w:ind w:firstLine="420"/>
      </w:pPr>
      <w:r>
        <w:rPr>
          <w:rFonts w:hint="eastAsia"/>
        </w:rPr>
        <w:t>每种食品的实验测试平均值由 4 个样品测试得出，其凝聚力、附着力组合高、中、低程度见表 B.1，凝聚力及附着力组合与食物粘度判断见表 B.2。</w:t>
      </w:r>
    </w:p>
    <w:p w14:paraId="3AD05A5F">
      <w:pPr>
        <w:pStyle w:val="77"/>
        <w:spacing w:before="120" w:after="120"/>
      </w:pPr>
      <w:r>
        <w:rPr>
          <w:rFonts w:hint="eastAsia"/>
        </w:rPr>
        <w:t>固体样品凝聚力、附着力组合高、中、低程度</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389"/>
        <w:gridCol w:w="2387"/>
        <w:gridCol w:w="2389"/>
        <w:gridCol w:w="2389"/>
      </w:tblGrid>
      <w:tr w14:paraId="320027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tblHeader/>
          <w:jc w:val="center"/>
        </w:trPr>
        <w:tc>
          <w:tcPr>
            <w:tcW w:w="2392" w:type="dxa"/>
            <w:tcBorders>
              <w:bottom w:val="single" w:color="auto" w:sz="8" w:space="0"/>
            </w:tcBorders>
            <w:vAlign w:val="center"/>
          </w:tcPr>
          <w:p w14:paraId="6627C428">
            <w:pPr>
              <w:pStyle w:val="178"/>
            </w:pPr>
          </w:p>
        </w:tc>
        <w:tc>
          <w:tcPr>
            <w:tcW w:w="2392" w:type="dxa"/>
            <w:tcBorders>
              <w:bottom w:val="single" w:color="auto" w:sz="8" w:space="0"/>
            </w:tcBorders>
            <w:vAlign w:val="center"/>
          </w:tcPr>
          <w:p w14:paraId="1E9D149D">
            <w:pPr>
              <w:pStyle w:val="56"/>
              <w:ind w:firstLine="0" w:firstLineChars="0"/>
              <w:jc w:val="center"/>
            </w:pPr>
            <w:r>
              <w:rPr>
                <w:rFonts w:hint="eastAsia"/>
                <w:sz w:val="18"/>
                <w:szCs w:val="18"/>
              </w:rPr>
              <w:t>高</w:t>
            </w:r>
          </w:p>
        </w:tc>
        <w:tc>
          <w:tcPr>
            <w:tcW w:w="2393" w:type="dxa"/>
            <w:tcBorders>
              <w:bottom w:val="single" w:color="auto" w:sz="8" w:space="0"/>
            </w:tcBorders>
            <w:vAlign w:val="center"/>
          </w:tcPr>
          <w:p w14:paraId="0B2C9BF6">
            <w:pPr>
              <w:pStyle w:val="56"/>
              <w:ind w:firstLine="0" w:firstLineChars="0"/>
              <w:jc w:val="center"/>
            </w:pPr>
            <w:r>
              <w:rPr>
                <w:rFonts w:hint="eastAsia"/>
                <w:sz w:val="18"/>
                <w:szCs w:val="18"/>
              </w:rPr>
              <w:t>中</w:t>
            </w:r>
          </w:p>
        </w:tc>
        <w:tc>
          <w:tcPr>
            <w:tcW w:w="2393" w:type="dxa"/>
            <w:tcBorders>
              <w:bottom w:val="single" w:color="auto" w:sz="8" w:space="0"/>
            </w:tcBorders>
            <w:vAlign w:val="center"/>
          </w:tcPr>
          <w:p w14:paraId="4967E670">
            <w:pPr>
              <w:pStyle w:val="56"/>
              <w:ind w:firstLine="0" w:firstLineChars="0"/>
              <w:jc w:val="center"/>
            </w:pPr>
            <w:r>
              <w:rPr>
                <w:rFonts w:hint="eastAsia"/>
                <w:sz w:val="18"/>
                <w:szCs w:val="18"/>
              </w:rPr>
              <w:t>低</w:t>
            </w:r>
          </w:p>
        </w:tc>
      </w:tr>
      <w:tr w14:paraId="773171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2392" w:type="dxa"/>
            <w:tcBorders>
              <w:top w:val="single" w:color="auto" w:sz="8" w:space="0"/>
            </w:tcBorders>
            <w:vAlign w:val="center"/>
          </w:tcPr>
          <w:p w14:paraId="4B022BD8">
            <w:pPr>
              <w:pStyle w:val="56"/>
              <w:ind w:firstLine="0" w:firstLineChars="0"/>
              <w:jc w:val="center"/>
            </w:pPr>
            <w:r>
              <w:rPr>
                <w:rFonts w:hint="eastAsia"/>
                <w:sz w:val="18"/>
                <w:szCs w:val="18"/>
              </w:rPr>
              <w:t>凝聚力</w:t>
            </w:r>
          </w:p>
        </w:tc>
        <w:tc>
          <w:tcPr>
            <w:tcW w:w="2392" w:type="dxa"/>
            <w:tcBorders>
              <w:top w:val="single" w:color="auto" w:sz="8" w:space="0"/>
            </w:tcBorders>
            <w:vAlign w:val="center"/>
          </w:tcPr>
          <w:p w14:paraId="2D58ECAA">
            <w:pPr>
              <w:pStyle w:val="56"/>
              <w:ind w:firstLine="0" w:firstLineChars="0"/>
              <w:jc w:val="center"/>
            </w:pPr>
            <w:r>
              <w:rPr>
                <w:sz w:val="18"/>
                <w:szCs w:val="18"/>
              </w:rPr>
              <w:t>0.8-1</w:t>
            </w:r>
          </w:p>
        </w:tc>
        <w:tc>
          <w:tcPr>
            <w:tcW w:w="2393" w:type="dxa"/>
            <w:tcBorders>
              <w:top w:val="single" w:color="auto" w:sz="8" w:space="0"/>
            </w:tcBorders>
            <w:vAlign w:val="center"/>
          </w:tcPr>
          <w:p w14:paraId="477BFE83">
            <w:pPr>
              <w:pStyle w:val="56"/>
              <w:ind w:firstLine="0" w:firstLineChars="0"/>
              <w:jc w:val="center"/>
            </w:pPr>
            <w:r>
              <w:rPr>
                <w:sz w:val="18"/>
                <w:szCs w:val="18"/>
              </w:rPr>
              <w:t>0.1-0.8</w:t>
            </w:r>
          </w:p>
        </w:tc>
        <w:tc>
          <w:tcPr>
            <w:tcW w:w="2393" w:type="dxa"/>
            <w:tcBorders>
              <w:top w:val="single" w:color="auto" w:sz="8" w:space="0"/>
            </w:tcBorders>
            <w:vAlign w:val="center"/>
          </w:tcPr>
          <w:p w14:paraId="7ADFCFBD">
            <w:pPr>
              <w:pStyle w:val="56"/>
              <w:ind w:firstLine="0" w:firstLineChars="0"/>
              <w:jc w:val="center"/>
            </w:pPr>
            <w:r>
              <w:rPr>
                <w:sz w:val="18"/>
                <w:szCs w:val="18"/>
              </w:rPr>
              <w:t>0-0.1</w:t>
            </w:r>
          </w:p>
        </w:tc>
      </w:tr>
      <w:tr w14:paraId="7D64D1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2392" w:type="dxa"/>
            <w:vAlign w:val="center"/>
          </w:tcPr>
          <w:p w14:paraId="3EECA36F">
            <w:pPr>
              <w:pStyle w:val="56"/>
              <w:ind w:firstLine="0" w:firstLineChars="0"/>
              <w:jc w:val="center"/>
            </w:pPr>
            <w:r>
              <w:rPr>
                <w:rFonts w:hint="eastAsia"/>
                <w:sz w:val="18"/>
                <w:szCs w:val="18"/>
              </w:rPr>
              <w:t>附着力（g·sec）</w:t>
            </w:r>
          </w:p>
        </w:tc>
        <w:tc>
          <w:tcPr>
            <w:tcW w:w="2392" w:type="dxa"/>
            <w:vAlign w:val="center"/>
          </w:tcPr>
          <w:p w14:paraId="1746A96D">
            <w:pPr>
              <w:pStyle w:val="56"/>
              <w:ind w:firstLine="0" w:firstLineChars="0"/>
              <w:jc w:val="center"/>
            </w:pPr>
            <w:r>
              <w:rPr>
                <w:rFonts w:hint="eastAsia"/>
                <w:sz w:val="18"/>
                <w:szCs w:val="18"/>
              </w:rPr>
              <w:t>＜(-55)</w:t>
            </w:r>
          </w:p>
        </w:tc>
        <w:tc>
          <w:tcPr>
            <w:tcW w:w="2393" w:type="dxa"/>
            <w:vAlign w:val="center"/>
          </w:tcPr>
          <w:p w14:paraId="0CDE74BF">
            <w:pPr>
              <w:pStyle w:val="56"/>
              <w:ind w:firstLine="0" w:firstLineChars="0"/>
              <w:jc w:val="center"/>
            </w:pPr>
            <w:r>
              <w:rPr>
                <w:rFonts w:hint="eastAsia"/>
                <w:sz w:val="18"/>
                <w:szCs w:val="18"/>
              </w:rPr>
              <w:t>(-55)～(-25)</w:t>
            </w:r>
          </w:p>
        </w:tc>
        <w:tc>
          <w:tcPr>
            <w:tcW w:w="2393" w:type="dxa"/>
            <w:vAlign w:val="center"/>
          </w:tcPr>
          <w:p w14:paraId="4D317510">
            <w:pPr>
              <w:pStyle w:val="56"/>
              <w:ind w:firstLine="0" w:firstLineChars="0"/>
              <w:jc w:val="center"/>
            </w:pPr>
            <w:r>
              <w:rPr>
                <w:rFonts w:hint="eastAsia"/>
                <w:sz w:val="18"/>
                <w:szCs w:val="18"/>
              </w:rPr>
              <w:t>(-25)～0</w:t>
            </w:r>
          </w:p>
        </w:tc>
      </w:tr>
    </w:tbl>
    <w:p w14:paraId="1FB51C05">
      <w:pPr>
        <w:pStyle w:val="56"/>
        <w:ind w:firstLine="0" w:firstLineChars="0"/>
      </w:pPr>
    </w:p>
    <w:p w14:paraId="0200B121">
      <w:pPr>
        <w:pStyle w:val="77"/>
        <w:spacing w:before="120" w:after="120"/>
      </w:pPr>
      <w:r>
        <w:rPr>
          <w:rFonts w:hint="eastAsia"/>
        </w:rPr>
        <w:t>凝聚力及附着力组合与食物粘度判断表</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1762"/>
        <w:gridCol w:w="1960"/>
        <w:gridCol w:w="1924"/>
        <w:gridCol w:w="3908"/>
      </w:tblGrid>
      <w:tr w14:paraId="0A67B1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83" w:hRule="atLeast"/>
          <w:tblHeader/>
          <w:jc w:val="center"/>
        </w:trPr>
        <w:tc>
          <w:tcPr>
            <w:tcW w:w="1762" w:type="dxa"/>
            <w:tcBorders>
              <w:bottom w:val="single" w:color="auto" w:sz="8" w:space="0"/>
            </w:tcBorders>
            <w:vAlign w:val="center"/>
          </w:tcPr>
          <w:p w14:paraId="6F97F323">
            <w:pPr>
              <w:pStyle w:val="56"/>
              <w:ind w:firstLine="0" w:firstLineChars="0"/>
              <w:jc w:val="center"/>
            </w:pPr>
            <w:r>
              <w:rPr>
                <w:rFonts w:hint="eastAsia"/>
                <w:sz w:val="18"/>
                <w:szCs w:val="18"/>
              </w:rPr>
              <w:t>凝聚力</w:t>
            </w:r>
          </w:p>
        </w:tc>
        <w:tc>
          <w:tcPr>
            <w:tcW w:w="1960" w:type="dxa"/>
            <w:tcBorders>
              <w:bottom w:val="single" w:color="auto" w:sz="8" w:space="0"/>
            </w:tcBorders>
            <w:vAlign w:val="center"/>
          </w:tcPr>
          <w:p w14:paraId="33576FBE">
            <w:pPr>
              <w:pStyle w:val="56"/>
              <w:ind w:firstLine="0" w:firstLineChars="0"/>
              <w:jc w:val="center"/>
            </w:pPr>
            <w:r>
              <w:rPr>
                <w:rFonts w:hint="eastAsia"/>
                <w:sz w:val="18"/>
                <w:szCs w:val="18"/>
              </w:rPr>
              <w:t>附着力（g·sec）</w:t>
            </w:r>
          </w:p>
        </w:tc>
        <w:tc>
          <w:tcPr>
            <w:tcW w:w="1924" w:type="dxa"/>
            <w:tcBorders>
              <w:bottom w:val="single" w:color="auto" w:sz="8" w:space="0"/>
            </w:tcBorders>
            <w:vAlign w:val="center"/>
          </w:tcPr>
          <w:p w14:paraId="3C669754">
            <w:pPr>
              <w:pStyle w:val="56"/>
              <w:ind w:firstLine="0" w:firstLineChars="0"/>
              <w:jc w:val="center"/>
            </w:pPr>
            <w:r>
              <w:rPr>
                <w:rFonts w:hint="eastAsia"/>
                <w:sz w:val="18"/>
                <w:szCs w:val="18"/>
              </w:rPr>
              <w:t>判断</w:t>
            </w:r>
          </w:p>
        </w:tc>
        <w:tc>
          <w:tcPr>
            <w:tcW w:w="3908" w:type="dxa"/>
            <w:tcBorders>
              <w:bottom w:val="single" w:color="auto" w:sz="8" w:space="0"/>
            </w:tcBorders>
            <w:vAlign w:val="center"/>
          </w:tcPr>
          <w:p w14:paraId="46C83A0C">
            <w:pPr>
              <w:pStyle w:val="56"/>
              <w:ind w:firstLine="0" w:firstLineChars="0"/>
              <w:jc w:val="center"/>
            </w:pPr>
            <w:r>
              <w:rPr>
                <w:rFonts w:hint="eastAsia"/>
                <w:sz w:val="18"/>
                <w:szCs w:val="18"/>
              </w:rPr>
              <w:t>结果</w:t>
            </w:r>
          </w:p>
        </w:tc>
      </w:tr>
      <w:tr w14:paraId="6D29F0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2" w:type="dxa"/>
            <w:tcBorders>
              <w:top w:val="single" w:color="auto" w:sz="8" w:space="0"/>
            </w:tcBorders>
            <w:vAlign w:val="center"/>
          </w:tcPr>
          <w:p w14:paraId="47155994">
            <w:pPr>
              <w:pStyle w:val="56"/>
              <w:ind w:firstLine="0" w:firstLineChars="0"/>
              <w:jc w:val="center"/>
            </w:pPr>
            <w:r>
              <w:rPr>
                <w:rFonts w:hint="eastAsia"/>
                <w:sz w:val="18"/>
                <w:szCs w:val="18"/>
              </w:rPr>
              <w:t>高</w:t>
            </w:r>
          </w:p>
        </w:tc>
        <w:tc>
          <w:tcPr>
            <w:tcW w:w="1960" w:type="dxa"/>
            <w:tcBorders>
              <w:top w:val="single" w:color="auto" w:sz="8" w:space="0"/>
            </w:tcBorders>
            <w:vAlign w:val="center"/>
          </w:tcPr>
          <w:p w14:paraId="191A6D8B">
            <w:pPr>
              <w:pStyle w:val="56"/>
              <w:ind w:firstLine="0" w:firstLineChars="0"/>
              <w:jc w:val="center"/>
            </w:pPr>
            <w:r>
              <w:rPr>
                <w:rFonts w:hint="eastAsia"/>
                <w:sz w:val="18"/>
                <w:szCs w:val="18"/>
              </w:rPr>
              <w:t>高</w:t>
            </w:r>
          </w:p>
        </w:tc>
        <w:tc>
          <w:tcPr>
            <w:tcW w:w="1924" w:type="dxa"/>
            <w:tcBorders>
              <w:top w:val="single" w:color="auto" w:sz="8" w:space="0"/>
            </w:tcBorders>
            <w:vAlign w:val="center"/>
          </w:tcPr>
          <w:p w14:paraId="25E91AC1">
            <w:pPr>
              <w:pStyle w:val="56"/>
              <w:ind w:firstLine="0" w:firstLineChars="0"/>
              <w:jc w:val="center"/>
            </w:pPr>
            <w:r>
              <w:rPr>
                <w:rFonts w:hint="eastAsia"/>
                <w:sz w:val="18"/>
                <w:szCs w:val="18"/>
              </w:rPr>
              <w:t>较粘</w:t>
            </w:r>
          </w:p>
        </w:tc>
        <w:tc>
          <w:tcPr>
            <w:tcW w:w="3908" w:type="dxa"/>
            <w:tcBorders>
              <w:top w:val="single" w:color="auto" w:sz="8" w:space="0"/>
            </w:tcBorders>
            <w:vAlign w:val="center"/>
          </w:tcPr>
          <w:p w14:paraId="7AB42CDC">
            <w:pPr>
              <w:pStyle w:val="56"/>
              <w:ind w:firstLine="0" w:firstLineChars="0"/>
              <w:jc w:val="center"/>
            </w:pPr>
            <w:r>
              <w:rPr>
                <w:rFonts w:hint="eastAsia"/>
                <w:sz w:val="18"/>
                <w:szCs w:val="18"/>
              </w:rPr>
              <w:t>不符合</w:t>
            </w:r>
          </w:p>
        </w:tc>
      </w:tr>
      <w:tr w14:paraId="6D7C11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2" w:type="dxa"/>
            <w:vAlign w:val="center"/>
          </w:tcPr>
          <w:p w14:paraId="7CFA67C8">
            <w:pPr>
              <w:pStyle w:val="56"/>
              <w:ind w:firstLine="0" w:firstLineChars="0"/>
              <w:jc w:val="center"/>
            </w:pPr>
            <w:r>
              <w:rPr>
                <w:rFonts w:hint="eastAsia"/>
                <w:sz w:val="18"/>
                <w:szCs w:val="18"/>
              </w:rPr>
              <w:t>高</w:t>
            </w:r>
          </w:p>
        </w:tc>
        <w:tc>
          <w:tcPr>
            <w:tcW w:w="1960" w:type="dxa"/>
            <w:vAlign w:val="center"/>
          </w:tcPr>
          <w:p w14:paraId="2D6C552D">
            <w:pPr>
              <w:pStyle w:val="56"/>
              <w:ind w:firstLine="0" w:firstLineChars="0"/>
              <w:jc w:val="center"/>
            </w:pPr>
            <w:r>
              <w:rPr>
                <w:rFonts w:hint="eastAsia"/>
                <w:sz w:val="18"/>
                <w:szCs w:val="18"/>
              </w:rPr>
              <w:t>中</w:t>
            </w:r>
          </w:p>
        </w:tc>
        <w:tc>
          <w:tcPr>
            <w:tcW w:w="1924" w:type="dxa"/>
            <w:vAlign w:val="center"/>
          </w:tcPr>
          <w:p w14:paraId="300C5A05">
            <w:pPr>
              <w:pStyle w:val="56"/>
              <w:ind w:firstLine="0" w:firstLineChars="0"/>
              <w:jc w:val="center"/>
            </w:pPr>
            <w:r>
              <w:rPr>
                <w:rFonts w:hint="eastAsia"/>
                <w:sz w:val="18"/>
                <w:szCs w:val="18"/>
              </w:rPr>
              <w:t>较粘</w:t>
            </w:r>
          </w:p>
        </w:tc>
        <w:tc>
          <w:tcPr>
            <w:tcW w:w="3908" w:type="dxa"/>
            <w:vAlign w:val="center"/>
          </w:tcPr>
          <w:p w14:paraId="64E62DE8">
            <w:pPr>
              <w:pStyle w:val="56"/>
              <w:ind w:firstLine="0" w:firstLineChars="0"/>
              <w:jc w:val="center"/>
            </w:pPr>
            <w:r>
              <w:rPr>
                <w:rFonts w:hint="eastAsia"/>
                <w:sz w:val="18"/>
                <w:szCs w:val="18"/>
              </w:rPr>
              <w:t>不符合</w:t>
            </w:r>
          </w:p>
        </w:tc>
      </w:tr>
    </w:tbl>
    <w:p w14:paraId="4BA6C530">
      <w:pPr>
        <w:pStyle w:val="77"/>
        <w:numPr>
          <w:ilvl w:val="1"/>
          <w:numId w:val="0"/>
        </w:numPr>
        <w:spacing w:before="120" w:after="120"/>
      </w:pPr>
      <w:r>
        <w:rPr>
          <w:rFonts w:hint="eastAsia"/>
        </w:rPr>
        <w:t>表B.2  凝聚力及附着力组合与食物粘度判断表（续）</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1761"/>
        <w:gridCol w:w="1970"/>
        <w:gridCol w:w="1905"/>
        <w:gridCol w:w="3918"/>
      </w:tblGrid>
      <w:tr w14:paraId="06DE0F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tblHeader/>
          <w:jc w:val="center"/>
        </w:trPr>
        <w:tc>
          <w:tcPr>
            <w:tcW w:w="1761" w:type="dxa"/>
            <w:tcBorders>
              <w:bottom w:val="single" w:color="auto" w:sz="8" w:space="0"/>
            </w:tcBorders>
            <w:vAlign w:val="center"/>
          </w:tcPr>
          <w:p w14:paraId="57E79562">
            <w:pPr>
              <w:pStyle w:val="56"/>
              <w:ind w:firstLine="0" w:firstLineChars="0"/>
              <w:jc w:val="center"/>
            </w:pPr>
            <w:r>
              <w:rPr>
                <w:rFonts w:hint="eastAsia"/>
                <w:sz w:val="18"/>
                <w:szCs w:val="18"/>
              </w:rPr>
              <w:t>凝聚力</w:t>
            </w:r>
          </w:p>
        </w:tc>
        <w:tc>
          <w:tcPr>
            <w:tcW w:w="1970" w:type="dxa"/>
            <w:tcBorders>
              <w:bottom w:val="single" w:color="auto" w:sz="8" w:space="0"/>
            </w:tcBorders>
            <w:vAlign w:val="center"/>
          </w:tcPr>
          <w:p w14:paraId="6A5AAD5C">
            <w:pPr>
              <w:pStyle w:val="56"/>
              <w:ind w:firstLine="0" w:firstLineChars="0"/>
              <w:jc w:val="center"/>
            </w:pPr>
            <w:r>
              <w:rPr>
                <w:rFonts w:hint="eastAsia"/>
                <w:sz w:val="18"/>
                <w:szCs w:val="18"/>
              </w:rPr>
              <w:t>附着力（g·sec）</w:t>
            </w:r>
          </w:p>
        </w:tc>
        <w:tc>
          <w:tcPr>
            <w:tcW w:w="1905" w:type="dxa"/>
            <w:tcBorders>
              <w:bottom w:val="single" w:color="auto" w:sz="8" w:space="0"/>
            </w:tcBorders>
            <w:vAlign w:val="center"/>
          </w:tcPr>
          <w:p w14:paraId="33B99DAE">
            <w:pPr>
              <w:pStyle w:val="56"/>
              <w:ind w:firstLine="0" w:firstLineChars="0"/>
              <w:jc w:val="center"/>
            </w:pPr>
            <w:r>
              <w:rPr>
                <w:rFonts w:hint="eastAsia"/>
                <w:sz w:val="18"/>
                <w:szCs w:val="18"/>
              </w:rPr>
              <w:t>判断</w:t>
            </w:r>
          </w:p>
        </w:tc>
        <w:tc>
          <w:tcPr>
            <w:tcW w:w="3918" w:type="dxa"/>
            <w:tcBorders>
              <w:bottom w:val="single" w:color="auto" w:sz="8" w:space="0"/>
            </w:tcBorders>
            <w:vAlign w:val="center"/>
          </w:tcPr>
          <w:p w14:paraId="72E2EE54">
            <w:pPr>
              <w:pStyle w:val="56"/>
              <w:ind w:firstLine="0" w:firstLineChars="0"/>
              <w:jc w:val="center"/>
            </w:pPr>
            <w:r>
              <w:rPr>
                <w:rFonts w:hint="eastAsia"/>
                <w:sz w:val="18"/>
                <w:szCs w:val="18"/>
              </w:rPr>
              <w:t>结果</w:t>
            </w:r>
          </w:p>
        </w:tc>
      </w:tr>
      <w:tr w14:paraId="7DF306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1" w:type="dxa"/>
            <w:tcBorders>
              <w:top w:val="single" w:color="auto" w:sz="8" w:space="0"/>
            </w:tcBorders>
            <w:vAlign w:val="center"/>
          </w:tcPr>
          <w:p w14:paraId="100DBB6C">
            <w:pPr>
              <w:pStyle w:val="56"/>
              <w:ind w:firstLine="0" w:firstLineChars="0"/>
              <w:jc w:val="center"/>
            </w:pPr>
            <w:r>
              <w:rPr>
                <w:rFonts w:hint="eastAsia"/>
                <w:sz w:val="18"/>
                <w:szCs w:val="18"/>
              </w:rPr>
              <w:t>高</w:t>
            </w:r>
          </w:p>
        </w:tc>
        <w:tc>
          <w:tcPr>
            <w:tcW w:w="1970" w:type="dxa"/>
            <w:tcBorders>
              <w:top w:val="single" w:color="auto" w:sz="8" w:space="0"/>
            </w:tcBorders>
            <w:vAlign w:val="center"/>
          </w:tcPr>
          <w:p w14:paraId="79DBCCD6">
            <w:pPr>
              <w:pStyle w:val="56"/>
              <w:ind w:firstLine="0" w:firstLineChars="0"/>
              <w:jc w:val="center"/>
            </w:pPr>
            <w:r>
              <w:rPr>
                <w:rFonts w:hint="eastAsia"/>
                <w:sz w:val="18"/>
                <w:szCs w:val="18"/>
              </w:rPr>
              <w:t>低</w:t>
            </w:r>
          </w:p>
        </w:tc>
        <w:tc>
          <w:tcPr>
            <w:tcW w:w="1905" w:type="dxa"/>
            <w:tcBorders>
              <w:top w:val="single" w:color="auto" w:sz="8" w:space="0"/>
            </w:tcBorders>
            <w:vAlign w:val="center"/>
          </w:tcPr>
          <w:p w14:paraId="004E2D33">
            <w:pPr>
              <w:pStyle w:val="56"/>
              <w:ind w:firstLine="0" w:firstLineChars="0"/>
              <w:jc w:val="center"/>
            </w:pPr>
            <w:r>
              <w:rPr>
                <w:rFonts w:hint="eastAsia"/>
                <w:sz w:val="18"/>
                <w:szCs w:val="18"/>
              </w:rPr>
              <w:t>较不粘</w:t>
            </w:r>
          </w:p>
        </w:tc>
        <w:tc>
          <w:tcPr>
            <w:tcW w:w="3918" w:type="dxa"/>
            <w:tcBorders>
              <w:top w:val="single" w:color="auto" w:sz="8" w:space="0"/>
            </w:tcBorders>
            <w:vAlign w:val="center"/>
          </w:tcPr>
          <w:p w14:paraId="5228AFF4">
            <w:pPr>
              <w:pStyle w:val="56"/>
              <w:ind w:firstLine="0" w:firstLineChars="0"/>
              <w:jc w:val="center"/>
            </w:pPr>
            <w:r>
              <w:rPr>
                <w:rFonts w:hint="eastAsia"/>
                <w:sz w:val="18"/>
                <w:szCs w:val="18"/>
              </w:rPr>
              <w:t>初步符合，应用附录A测试方法重复验证</w:t>
            </w:r>
          </w:p>
        </w:tc>
      </w:tr>
      <w:tr w14:paraId="3236BF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1" w:type="dxa"/>
            <w:vAlign w:val="center"/>
          </w:tcPr>
          <w:p w14:paraId="6F5A8793">
            <w:pPr>
              <w:pStyle w:val="56"/>
              <w:ind w:firstLine="0" w:firstLineChars="0"/>
              <w:jc w:val="center"/>
            </w:pPr>
            <w:r>
              <w:rPr>
                <w:rFonts w:hint="eastAsia"/>
                <w:sz w:val="18"/>
                <w:szCs w:val="18"/>
              </w:rPr>
              <w:t>中</w:t>
            </w:r>
          </w:p>
        </w:tc>
        <w:tc>
          <w:tcPr>
            <w:tcW w:w="1970" w:type="dxa"/>
            <w:vAlign w:val="center"/>
          </w:tcPr>
          <w:p w14:paraId="7F0FFD06">
            <w:pPr>
              <w:pStyle w:val="56"/>
              <w:ind w:firstLine="0" w:firstLineChars="0"/>
              <w:jc w:val="center"/>
            </w:pPr>
            <w:r>
              <w:rPr>
                <w:rFonts w:hint="eastAsia"/>
                <w:sz w:val="18"/>
                <w:szCs w:val="18"/>
              </w:rPr>
              <w:t>高</w:t>
            </w:r>
          </w:p>
        </w:tc>
        <w:tc>
          <w:tcPr>
            <w:tcW w:w="1905" w:type="dxa"/>
            <w:vAlign w:val="center"/>
          </w:tcPr>
          <w:p w14:paraId="236ABB4E">
            <w:pPr>
              <w:pStyle w:val="56"/>
              <w:ind w:firstLine="0" w:firstLineChars="0"/>
              <w:jc w:val="center"/>
            </w:pPr>
            <w:r>
              <w:rPr>
                <w:rFonts w:hint="eastAsia"/>
                <w:sz w:val="18"/>
                <w:szCs w:val="18"/>
              </w:rPr>
              <w:t>不能确定</w:t>
            </w:r>
          </w:p>
        </w:tc>
        <w:tc>
          <w:tcPr>
            <w:tcW w:w="3918" w:type="dxa"/>
            <w:vAlign w:val="center"/>
          </w:tcPr>
          <w:p w14:paraId="50A05702">
            <w:pPr>
              <w:pStyle w:val="56"/>
              <w:ind w:firstLine="0" w:firstLineChars="0"/>
              <w:jc w:val="center"/>
            </w:pPr>
            <w:r>
              <w:rPr>
                <w:rFonts w:hint="eastAsia"/>
                <w:sz w:val="18"/>
                <w:szCs w:val="18"/>
              </w:rPr>
              <w:t>不能确定，应用附录A测试方法重复验证</w:t>
            </w:r>
          </w:p>
        </w:tc>
      </w:tr>
      <w:tr w14:paraId="015E27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1" w:type="dxa"/>
            <w:vAlign w:val="center"/>
          </w:tcPr>
          <w:p w14:paraId="79704C0F">
            <w:pPr>
              <w:pStyle w:val="56"/>
              <w:ind w:firstLine="0" w:firstLineChars="0"/>
              <w:jc w:val="center"/>
            </w:pPr>
            <w:r>
              <w:rPr>
                <w:rFonts w:hint="eastAsia"/>
                <w:sz w:val="18"/>
                <w:szCs w:val="18"/>
              </w:rPr>
              <w:t>中</w:t>
            </w:r>
          </w:p>
        </w:tc>
        <w:tc>
          <w:tcPr>
            <w:tcW w:w="1970" w:type="dxa"/>
            <w:vAlign w:val="center"/>
          </w:tcPr>
          <w:p w14:paraId="6422E504">
            <w:pPr>
              <w:pStyle w:val="56"/>
              <w:ind w:firstLine="0" w:firstLineChars="0"/>
              <w:jc w:val="center"/>
            </w:pPr>
            <w:r>
              <w:rPr>
                <w:rFonts w:hint="eastAsia"/>
                <w:sz w:val="18"/>
                <w:szCs w:val="18"/>
              </w:rPr>
              <w:t>中</w:t>
            </w:r>
          </w:p>
        </w:tc>
        <w:tc>
          <w:tcPr>
            <w:tcW w:w="1905" w:type="dxa"/>
            <w:vAlign w:val="center"/>
          </w:tcPr>
          <w:p w14:paraId="29B8B72D">
            <w:pPr>
              <w:pStyle w:val="56"/>
              <w:ind w:firstLine="0" w:firstLineChars="0"/>
              <w:jc w:val="center"/>
            </w:pPr>
            <w:r>
              <w:rPr>
                <w:rFonts w:hint="eastAsia"/>
                <w:sz w:val="18"/>
                <w:szCs w:val="18"/>
              </w:rPr>
              <w:t>较不粘</w:t>
            </w:r>
          </w:p>
        </w:tc>
        <w:tc>
          <w:tcPr>
            <w:tcW w:w="3918" w:type="dxa"/>
            <w:vMerge w:val="restart"/>
            <w:vAlign w:val="center"/>
          </w:tcPr>
          <w:p w14:paraId="2E580254">
            <w:pPr>
              <w:pStyle w:val="178"/>
            </w:pPr>
            <w:r>
              <w:rPr>
                <w:rFonts w:hint="eastAsia"/>
                <w:szCs w:val="18"/>
              </w:rPr>
              <w:t>初步符合，应用附录A测试方法重复验证</w:t>
            </w:r>
          </w:p>
        </w:tc>
      </w:tr>
      <w:tr w14:paraId="6BEE13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1" w:type="dxa"/>
            <w:vAlign w:val="center"/>
          </w:tcPr>
          <w:p w14:paraId="1412FC2A">
            <w:pPr>
              <w:pStyle w:val="56"/>
              <w:ind w:firstLine="0" w:firstLineChars="0"/>
              <w:jc w:val="center"/>
            </w:pPr>
            <w:r>
              <w:rPr>
                <w:rFonts w:hint="eastAsia"/>
                <w:sz w:val="18"/>
                <w:szCs w:val="18"/>
              </w:rPr>
              <w:t>中</w:t>
            </w:r>
          </w:p>
        </w:tc>
        <w:tc>
          <w:tcPr>
            <w:tcW w:w="1970" w:type="dxa"/>
            <w:vAlign w:val="center"/>
          </w:tcPr>
          <w:p w14:paraId="37609DEB">
            <w:pPr>
              <w:pStyle w:val="56"/>
              <w:ind w:firstLine="0" w:firstLineChars="0"/>
              <w:jc w:val="center"/>
            </w:pPr>
            <w:r>
              <w:rPr>
                <w:rFonts w:hint="eastAsia"/>
                <w:sz w:val="18"/>
                <w:szCs w:val="18"/>
              </w:rPr>
              <w:t>低</w:t>
            </w:r>
          </w:p>
        </w:tc>
        <w:tc>
          <w:tcPr>
            <w:tcW w:w="1905" w:type="dxa"/>
            <w:vAlign w:val="center"/>
          </w:tcPr>
          <w:p w14:paraId="10970A5E">
            <w:pPr>
              <w:pStyle w:val="56"/>
              <w:ind w:firstLine="0" w:firstLineChars="0"/>
              <w:jc w:val="center"/>
            </w:pPr>
            <w:r>
              <w:rPr>
                <w:rFonts w:hint="eastAsia"/>
                <w:sz w:val="18"/>
                <w:szCs w:val="18"/>
              </w:rPr>
              <w:t>较不粘</w:t>
            </w:r>
          </w:p>
        </w:tc>
        <w:tc>
          <w:tcPr>
            <w:tcW w:w="3918" w:type="dxa"/>
            <w:vMerge w:val="continue"/>
            <w:vAlign w:val="center"/>
          </w:tcPr>
          <w:p w14:paraId="0D75669B">
            <w:pPr>
              <w:pStyle w:val="178"/>
            </w:pPr>
          </w:p>
        </w:tc>
      </w:tr>
      <w:tr w14:paraId="1E06E0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1" w:type="dxa"/>
            <w:vAlign w:val="center"/>
          </w:tcPr>
          <w:p w14:paraId="276D76D4">
            <w:pPr>
              <w:pStyle w:val="56"/>
              <w:ind w:firstLine="0" w:firstLineChars="0"/>
              <w:jc w:val="center"/>
            </w:pPr>
            <w:r>
              <w:rPr>
                <w:rFonts w:hint="eastAsia"/>
                <w:sz w:val="18"/>
                <w:szCs w:val="18"/>
              </w:rPr>
              <w:t>低</w:t>
            </w:r>
          </w:p>
        </w:tc>
        <w:tc>
          <w:tcPr>
            <w:tcW w:w="1970" w:type="dxa"/>
            <w:vAlign w:val="center"/>
          </w:tcPr>
          <w:p w14:paraId="2D74584B">
            <w:pPr>
              <w:pStyle w:val="56"/>
              <w:ind w:firstLine="0" w:firstLineChars="0"/>
              <w:jc w:val="center"/>
            </w:pPr>
            <w:r>
              <w:rPr>
                <w:rFonts w:hint="eastAsia"/>
                <w:sz w:val="18"/>
                <w:szCs w:val="18"/>
              </w:rPr>
              <w:t>高</w:t>
            </w:r>
          </w:p>
        </w:tc>
        <w:tc>
          <w:tcPr>
            <w:tcW w:w="1905" w:type="dxa"/>
            <w:vAlign w:val="center"/>
          </w:tcPr>
          <w:p w14:paraId="636BEE57">
            <w:pPr>
              <w:pStyle w:val="56"/>
              <w:ind w:firstLine="0" w:firstLineChars="0"/>
              <w:jc w:val="center"/>
            </w:pPr>
            <w:r>
              <w:rPr>
                <w:rFonts w:hint="eastAsia"/>
                <w:sz w:val="18"/>
                <w:szCs w:val="18"/>
              </w:rPr>
              <w:t>较不粘</w:t>
            </w:r>
          </w:p>
        </w:tc>
        <w:tc>
          <w:tcPr>
            <w:tcW w:w="3918" w:type="dxa"/>
            <w:vMerge w:val="continue"/>
            <w:vAlign w:val="center"/>
          </w:tcPr>
          <w:p w14:paraId="3EA3692E">
            <w:pPr>
              <w:pStyle w:val="178"/>
            </w:pPr>
          </w:p>
        </w:tc>
      </w:tr>
      <w:tr w14:paraId="49B5E4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1" w:type="dxa"/>
            <w:vAlign w:val="center"/>
          </w:tcPr>
          <w:p w14:paraId="08EFCE6D">
            <w:pPr>
              <w:pStyle w:val="56"/>
              <w:ind w:firstLine="0" w:firstLineChars="0"/>
              <w:jc w:val="center"/>
            </w:pPr>
            <w:r>
              <w:rPr>
                <w:rFonts w:hint="eastAsia"/>
                <w:sz w:val="18"/>
                <w:szCs w:val="18"/>
              </w:rPr>
              <w:t>低</w:t>
            </w:r>
          </w:p>
        </w:tc>
        <w:tc>
          <w:tcPr>
            <w:tcW w:w="1970" w:type="dxa"/>
            <w:vAlign w:val="center"/>
          </w:tcPr>
          <w:p w14:paraId="72CED568">
            <w:pPr>
              <w:pStyle w:val="56"/>
              <w:ind w:firstLine="0" w:firstLineChars="0"/>
              <w:jc w:val="center"/>
            </w:pPr>
            <w:r>
              <w:rPr>
                <w:rFonts w:hint="eastAsia"/>
                <w:sz w:val="18"/>
                <w:szCs w:val="18"/>
              </w:rPr>
              <w:t>中</w:t>
            </w:r>
          </w:p>
        </w:tc>
        <w:tc>
          <w:tcPr>
            <w:tcW w:w="1905" w:type="dxa"/>
            <w:vAlign w:val="center"/>
          </w:tcPr>
          <w:p w14:paraId="03DDDE43">
            <w:pPr>
              <w:pStyle w:val="56"/>
              <w:ind w:firstLine="0" w:firstLineChars="0"/>
              <w:jc w:val="center"/>
            </w:pPr>
            <w:r>
              <w:rPr>
                <w:rFonts w:hint="eastAsia"/>
                <w:sz w:val="18"/>
                <w:szCs w:val="18"/>
              </w:rPr>
              <w:t>较不粘</w:t>
            </w:r>
          </w:p>
        </w:tc>
        <w:tc>
          <w:tcPr>
            <w:tcW w:w="3918" w:type="dxa"/>
            <w:vMerge w:val="continue"/>
            <w:vAlign w:val="center"/>
          </w:tcPr>
          <w:p w14:paraId="71A45DF8">
            <w:pPr>
              <w:pStyle w:val="178"/>
            </w:pPr>
          </w:p>
        </w:tc>
      </w:tr>
      <w:tr w14:paraId="3D3D0B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283" w:hRule="atLeast"/>
          <w:jc w:val="center"/>
        </w:trPr>
        <w:tc>
          <w:tcPr>
            <w:tcW w:w="1761" w:type="dxa"/>
            <w:vAlign w:val="center"/>
          </w:tcPr>
          <w:p w14:paraId="6212F57F">
            <w:pPr>
              <w:pStyle w:val="56"/>
              <w:ind w:firstLine="0" w:firstLineChars="0"/>
              <w:jc w:val="center"/>
            </w:pPr>
            <w:r>
              <w:rPr>
                <w:rFonts w:hint="eastAsia"/>
                <w:sz w:val="18"/>
                <w:szCs w:val="18"/>
              </w:rPr>
              <w:t>低</w:t>
            </w:r>
          </w:p>
        </w:tc>
        <w:tc>
          <w:tcPr>
            <w:tcW w:w="1970" w:type="dxa"/>
            <w:vAlign w:val="center"/>
          </w:tcPr>
          <w:p w14:paraId="0C6106DF">
            <w:pPr>
              <w:pStyle w:val="56"/>
              <w:ind w:firstLine="0" w:firstLineChars="0"/>
              <w:jc w:val="center"/>
            </w:pPr>
            <w:r>
              <w:rPr>
                <w:rFonts w:hint="eastAsia"/>
                <w:sz w:val="18"/>
                <w:szCs w:val="18"/>
              </w:rPr>
              <w:t>低</w:t>
            </w:r>
          </w:p>
        </w:tc>
        <w:tc>
          <w:tcPr>
            <w:tcW w:w="1905" w:type="dxa"/>
            <w:vAlign w:val="center"/>
          </w:tcPr>
          <w:p w14:paraId="0151448D">
            <w:pPr>
              <w:pStyle w:val="56"/>
              <w:ind w:firstLine="0" w:firstLineChars="0"/>
              <w:jc w:val="center"/>
            </w:pPr>
            <w:r>
              <w:rPr>
                <w:rFonts w:hint="eastAsia"/>
                <w:sz w:val="18"/>
                <w:szCs w:val="18"/>
              </w:rPr>
              <w:t>较不粘</w:t>
            </w:r>
          </w:p>
        </w:tc>
        <w:tc>
          <w:tcPr>
            <w:tcW w:w="3918" w:type="dxa"/>
            <w:vMerge w:val="continue"/>
            <w:vAlign w:val="center"/>
          </w:tcPr>
          <w:p w14:paraId="25BF76CB">
            <w:pPr>
              <w:pStyle w:val="178"/>
            </w:pPr>
          </w:p>
        </w:tc>
      </w:tr>
    </w:tbl>
    <w:p w14:paraId="69F3380C">
      <w:pPr>
        <w:pStyle w:val="56"/>
        <w:ind w:firstLine="0" w:firstLineChars="0"/>
      </w:pPr>
    </w:p>
    <w:p w14:paraId="32BA1ABF">
      <w:pPr>
        <w:pStyle w:val="78"/>
        <w:spacing w:before="120" w:after="120"/>
      </w:pPr>
      <w:bookmarkStart w:id="80" w:name="_Toc24844"/>
      <w:r>
        <w:rPr>
          <w:rFonts w:hint="eastAsia"/>
        </w:rPr>
        <w:t>液体样品粘度的测定</w:t>
      </w:r>
      <w:bookmarkEnd w:id="80"/>
    </w:p>
    <w:p w14:paraId="28A0EAEE">
      <w:pPr>
        <w:pStyle w:val="79"/>
        <w:spacing w:before="120" w:after="120"/>
      </w:pPr>
      <w:r>
        <w:rPr>
          <w:rFonts w:hint="eastAsia"/>
        </w:rPr>
        <w:t>方法原理</w:t>
      </w:r>
    </w:p>
    <w:p w14:paraId="40616242">
      <w:pPr>
        <w:pStyle w:val="56"/>
        <w:ind w:firstLine="420"/>
      </w:pPr>
      <w:r>
        <w:rPr>
          <w:rFonts w:hint="eastAsia"/>
        </w:rPr>
        <w:t>使圆筒（圆锥）在流体中旋转或圆筒（圆锥）静止而停周围的流体旋转流动，流体的粘性扭矩将作用于圆筒（圆锥），流体的动力粘度与扭矩的关系可用公式（B.1）表示。</w:t>
      </w:r>
    </w:p>
    <w:p w14:paraId="730367D9">
      <w:pPr>
        <w:pStyle w:val="113"/>
        <w:rPr>
          <w:rFonts w:hint="eastAsia"/>
        </w:rPr>
      </w:pPr>
      <w:r>
        <w:rPr>
          <w:rFonts w:hint="eastAsia"/>
        </w:rPr>
        <w:tab/>
      </w: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cs="Cambria Math"/>
          </w:rPr>
          <m:t>=</m:t>
        </m:r>
        <m:f>
          <m:fPr>
            <m:ctrlPr>
              <w:rPr>
                <w:rFonts w:ascii="Cambria Math" w:hAnsi="Cambria Math" w:cs="Cambria Math"/>
                <w:i/>
              </w:rPr>
            </m:ctrlPr>
          </m:fPr>
          <m:num>
            <m:r>
              <m:rPr/>
              <w:rPr>
                <w:rFonts w:ascii="Cambria Math" w:hAnsi="Cambria Math" w:cs="Cambria Math"/>
              </w:rPr>
              <m:t>AM</m:t>
            </m:r>
            <m:ctrlPr>
              <w:rPr>
                <w:rFonts w:ascii="Cambria Math" w:hAnsi="Cambria Math" w:cs="Cambria Math"/>
                <w:i/>
              </w:rPr>
            </m:ctrlPr>
          </m:num>
          <m:den>
            <m:sSub>
              <m:sSubPr>
                <m:ctrlPr>
                  <w:rPr>
                    <w:rFonts w:ascii="Cambria Math" w:hAnsi="Cambria Math" w:cs="Cambria Math"/>
                    <w:i/>
                  </w:rPr>
                </m:ctrlPr>
              </m:sSubPr>
              <m:e>
                <m:r>
                  <m:rPr/>
                  <w:rPr>
                    <w:rFonts w:ascii="Cambria Math" w:hAnsi="Cambria Math" w:cs="Cambria Math"/>
                  </w:rPr>
                  <m:t>n</m:t>
                </m:r>
                <m:ctrlPr>
                  <w:rPr>
                    <w:rFonts w:ascii="Cambria Math" w:hAnsi="Cambria Math" w:cs="Cambria Math"/>
                    <w:i/>
                  </w:rPr>
                </m:ctrlPr>
              </m:e>
              <m:sub>
                <m:r>
                  <m:rPr/>
                  <w:rPr>
                    <w:rFonts w:ascii="Cambria Math" w:hAnsi="Cambria Math" w:cs="Cambria Math"/>
                  </w:rPr>
                  <m:t>1</m:t>
                </m:r>
                <m:ctrlPr>
                  <w:rPr>
                    <w:rFonts w:ascii="Cambria Math" w:hAnsi="Cambria Math" w:cs="Cambria Math"/>
                    <w:i/>
                  </w:rPr>
                </m:ctrlPr>
              </m:sub>
            </m:sSub>
            <m:ctrlPr>
              <w:rPr>
                <w:rFonts w:ascii="Cambria Math" w:hAnsi="Cambria Math" w:cs="Cambria Math"/>
                <w:i/>
              </w:rPr>
            </m:ctrlPr>
          </m:den>
        </m:f>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fulu_equation_134001458506014143 </w:instrText>
      </w:r>
      <w:r>
        <w:rPr>
          <w:rFonts w:hint="eastAsia"/>
        </w:rPr>
        <w:fldChar w:fldCharType="separate"/>
      </w:r>
      <w:r>
        <w:rPr>
          <w:rFonts w:hint="eastAsia"/>
        </w:rPr>
        <w:t>1</w:t>
      </w:r>
      <w:r>
        <w:rPr>
          <w:rFonts w:hint="eastAsia"/>
        </w:rPr>
        <w:fldChar w:fldCharType="end"/>
      </w:r>
      <w:r>
        <w:rPr>
          <w:rFonts w:hint="eastAsia"/>
        </w:rPr>
        <w:t>)</w:t>
      </w:r>
    </w:p>
    <w:p w14:paraId="64B3E2EC">
      <w:pPr>
        <w:pStyle w:val="55"/>
        <w:ind w:firstLine="420"/>
      </w:pPr>
      <w:r>
        <w:rPr>
          <w:rFonts w:hint="eastAsia"/>
        </w:rPr>
        <w:t>式中：</w:t>
      </w:r>
    </w:p>
    <w:p w14:paraId="64155192">
      <w:pPr>
        <w:pStyle w:val="56"/>
        <w:ind w:firstLine="420"/>
      </w:pP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1</m:t>
            </m:r>
            <m:ctrlPr>
              <w:rPr>
                <w:rFonts w:ascii="Cambria Math" w:hAnsi="Cambria Math"/>
                <w:i/>
              </w:rPr>
            </m:ctrlPr>
          </m:sub>
        </m:sSub>
      </m:oMath>
      <w:r>
        <w:rPr>
          <w:rFonts w:hint="eastAsia" w:hAnsi="Cambria Math"/>
        </w:rPr>
        <w:t xml:space="preserve"> </w:t>
      </w:r>
      <w:r>
        <w:rPr>
          <w:rFonts w:hint="eastAsia"/>
        </w:rPr>
        <w:t>──流体的动力粘度，单位为帕秒（Pa·s）；</w:t>
      </w:r>
    </w:p>
    <w:p w14:paraId="20E74614">
      <w:pPr>
        <w:pStyle w:val="56"/>
        <w:ind w:firstLine="420"/>
      </w:pPr>
      <m:oMath>
        <m:r>
          <m:rPr/>
          <w:rPr>
            <w:rFonts w:ascii="Cambria Math" w:hAnsi="Cambria Math" w:cs="Cambria Math"/>
          </w:rPr>
          <m:t>M</m:t>
        </m:r>
      </m:oMath>
      <w:r>
        <w:rPr>
          <w:rFonts w:hint="eastAsia" w:hAnsi="Cambria Math" w:cs="Cambria Math"/>
        </w:rPr>
        <w:t xml:space="preserve"> </w:t>
      </w:r>
      <w:r>
        <w:rPr>
          <w:rFonts w:hint="eastAsia"/>
        </w:rPr>
        <w:t> ──流体作用于圆筒（圆锥）的粘度扭矩，单位为牛顿米（N·m）；</w:t>
      </w:r>
    </w:p>
    <w:p w14:paraId="6378204A">
      <w:pPr>
        <w:pStyle w:val="56"/>
        <w:ind w:firstLine="420"/>
      </w:pPr>
      <m:oMath>
        <m:sSub>
          <m:sSubPr>
            <m:ctrlPr>
              <w:rPr>
                <w:rFonts w:ascii="Cambria Math" w:hAnsi="Cambria Math" w:cs="Cambria Math"/>
                <w:i/>
              </w:rPr>
            </m:ctrlPr>
          </m:sSubPr>
          <m:e>
            <m:r>
              <m:rPr/>
              <w:rPr>
                <w:rFonts w:ascii="Cambria Math" w:hAnsi="Cambria Math" w:cs="Cambria Math"/>
              </w:rPr>
              <m:t>n</m:t>
            </m:r>
            <m:ctrlPr>
              <w:rPr>
                <w:rFonts w:ascii="Cambria Math" w:hAnsi="Cambria Math" w:cs="Cambria Math"/>
                <w:i/>
              </w:rPr>
            </m:ctrlPr>
          </m:e>
          <m:sub>
            <m:r>
              <m:rPr/>
              <w:rPr>
                <w:rFonts w:ascii="Cambria Math" w:hAnsi="Cambria Math" w:cs="Cambria Math"/>
              </w:rPr>
              <m:t>1</m:t>
            </m:r>
            <m:ctrlPr>
              <w:rPr>
                <w:rFonts w:ascii="Cambria Math" w:hAnsi="Cambria Math" w:cs="Cambria Math"/>
                <w:i/>
              </w:rPr>
            </m:ctrlPr>
          </m:sub>
        </m:sSub>
      </m:oMath>
      <w:r>
        <w:rPr>
          <w:rFonts w:hint="eastAsia" w:hAnsi="Cambria Math" w:cs="Cambria Math"/>
        </w:rPr>
        <w:t xml:space="preserve"> </w:t>
      </w:r>
      <w:r>
        <w:rPr>
          <w:rFonts w:hint="eastAsia"/>
        </w:rPr>
        <w:t>──圆筒（圆锥）的旋转速度，单位为弧度每秒（rad/s）；</w:t>
      </w:r>
    </w:p>
    <w:p w14:paraId="127BAB79">
      <w:pPr>
        <w:pStyle w:val="56"/>
        <w:ind w:firstLine="420"/>
      </w:pPr>
      <m:oMath>
        <m:r>
          <m:rPr/>
          <w:rPr>
            <w:rFonts w:ascii="Cambria Math" w:hAnsi="Cambria Math" w:cs="Cambria Math"/>
          </w:rPr>
          <m:t>A</m:t>
        </m:r>
      </m:oMath>
      <w:r>
        <w:rPr>
          <w:rFonts w:hint="eastAsia" w:hAnsi="Cambria Math" w:cs="Cambria Math"/>
        </w:rPr>
        <w:t xml:space="preserve"> </w:t>
      </w:r>
      <w:r>
        <w:t> </w:t>
      </w:r>
      <w:r>
        <w:rPr>
          <w:rFonts w:hint="eastAsia"/>
        </w:rPr>
        <w:t>──常数，单位为每立方米（m</w:t>
      </w:r>
      <w:r>
        <w:rPr>
          <w:rFonts w:hint="eastAsia"/>
          <w:vertAlign w:val="superscript"/>
        </w:rPr>
        <w:t>-3</w:t>
      </w:r>
      <w:r>
        <w:rPr>
          <w:rFonts w:hint="eastAsia"/>
        </w:rPr>
        <w:t>）。</w:t>
      </w:r>
    </w:p>
    <w:p w14:paraId="2D6E0CB6">
      <w:pPr>
        <w:pStyle w:val="56"/>
        <w:ind w:firstLine="420"/>
      </w:pPr>
      <w:r>
        <w:rPr>
          <w:rFonts w:hint="eastAsia"/>
        </w:rPr>
        <w:t>在选定的转速下，流体动力粘度仅与扭矩有关，可按公式（B.2）求得动力粘度。</w:t>
      </w:r>
    </w:p>
    <w:p w14:paraId="71EA6E17">
      <w:pPr>
        <w:pStyle w:val="113"/>
        <w:rPr>
          <w:rFonts w:hint="eastAsia"/>
        </w:rPr>
      </w:pPr>
      <w:r>
        <w:rPr>
          <w:rFonts w:hint="eastAsia"/>
        </w:rPr>
        <w:tab/>
      </w: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cs="Cambria Math"/>
          </w:rPr>
          <m:t>=</m:t>
        </m:r>
        <m:sSub>
          <m:sSubPr>
            <m:ctrlPr>
              <w:rPr>
                <w:rFonts w:ascii="Cambria Math" w:hAnsi="Cambria Math" w:cs="Cambria Math"/>
                <w:i/>
              </w:rPr>
            </m:ctrlPr>
          </m:sSubPr>
          <m:e>
            <m:r>
              <m:rPr/>
              <w:rPr>
                <w:rFonts w:ascii="Cambria Math" w:hAnsi="Cambria Math" w:cs="Cambria Math"/>
              </w:rPr>
              <m:t>K</m:t>
            </m:r>
            <m:ctrlPr>
              <w:rPr>
                <w:rFonts w:ascii="Cambria Math" w:hAnsi="Cambria Math" w:cs="Cambria Math"/>
                <w:i/>
              </w:rPr>
            </m:ctrlPr>
          </m:e>
          <m:sub>
            <m:r>
              <m:rPr/>
              <w:rPr>
                <w:rFonts w:ascii="Cambria Math" w:hAnsi="Cambria Math" w:cs="Cambria Math"/>
              </w:rPr>
              <m:t>1</m:t>
            </m:r>
            <m:ctrlPr>
              <w:rPr>
                <w:rFonts w:ascii="Cambria Math" w:hAnsi="Cambria Math" w:cs="Cambria Math"/>
                <w:i/>
              </w:rPr>
            </m:ctrlPr>
          </m:sub>
        </m:sSub>
        <m:r>
          <m:rPr/>
          <w:rPr>
            <w:rFonts w:ascii="Cambria Math" w:hAnsi="Cambria Math" w:cs="Cambria Math"/>
          </w:rPr>
          <m:t>×α</m:t>
        </m:r>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fulu_equation_134001458506014143  </w:instrText>
      </w:r>
      <w:r>
        <w:rPr>
          <w:rFonts w:hint="eastAsia"/>
        </w:rPr>
        <w:fldChar w:fldCharType="separate"/>
      </w:r>
      <w:r>
        <w:rPr>
          <w:rFonts w:hint="eastAsia"/>
        </w:rPr>
        <w:t>2</w:t>
      </w:r>
      <w:r>
        <w:rPr>
          <w:rFonts w:hint="eastAsia"/>
        </w:rPr>
        <w:fldChar w:fldCharType="end"/>
      </w:r>
      <w:r>
        <w:rPr>
          <w:rFonts w:hint="eastAsia"/>
        </w:rPr>
        <w:t>)</w:t>
      </w:r>
    </w:p>
    <w:p w14:paraId="498E6F9A">
      <w:pPr>
        <w:pStyle w:val="55"/>
        <w:ind w:firstLine="420"/>
      </w:pPr>
      <w:r>
        <w:rPr>
          <w:rFonts w:hint="eastAsia"/>
        </w:rPr>
        <w:t>式中：</w:t>
      </w:r>
    </w:p>
    <w:p w14:paraId="785C3B89">
      <w:pPr>
        <w:pStyle w:val="56"/>
        <w:ind w:firstLine="420"/>
      </w:pP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1</m:t>
            </m:r>
            <m:ctrlPr>
              <w:rPr>
                <w:rFonts w:ascii="Cambria Math" w:hAnsi="Cambria Math"/>
                <w:i/>
              </w:rPr>
            </m:ctrlPr>
          </m:sub>
        </m:sSub>
      </m:oMath>
      <w:r>
        <w:rPr>
          <w:rFonts w:hint="eastAsia" w:hAnsi="Cambria Math" w:cs="Cambria Math"/>
        </w:rPr>
        <w:t xml:space="preserve"> </w:t>
      </w:r>
      <w:r>
        <w:rPr>
          <w:rFonts w:hint="eastAsia"/>
        </w:rPr>
        <w:t>──流体的动力粘度，单位为帕秒（Pa·s）；</w:t>
      </w:r>
    </w:p>
    <w:p w14:paraId="0564F9C0">
      <w:pPr>
        <w:pStyle w:val="56"/>
        <w:ind w:firstLine="420"/>
      </w:pPr>
      <m:oMath>
        <m:sSub>
          <m:sSubPr>
            <m:ctrlPr>
              <w:rPr>
                <w:rFonts w:ascii="Cambria Math" w:hAnsi="Cambria Math" w:cs="Cambria Math"/>
                <w:i/>
              </w:rPr>
            </m:ctrlPr>
          </m:sSubPr>
          <m:e>
            <m:r>
              <m:rPr/>
              <w:rPr>
                <w:rFonts w:ascii="Cambria Math" w:hAnsi="Cambria Math" w:cs="Cambria Math"/>
              </w:rPr>
              <m:t>K</m:t>
            </m:r>
            <m:ctrlPr>
              <w:rPr>
                <w:rFonts w:ascii="Cambria Math" w:hAnsi="Cambria Math" w:cs="Cambria Math"/>
                <w:i/>
              </w:rPr>
            </m:ctrlPr>
          </m:e>
          <m:sub>
            <m:r>
              <m:rPr/>
              <w:rPr>
                <w:rFonts w:ascii="Cambria Math" w:hAnsi="Cambria Math" w:cs="Cambria Math"/>
              </w:rPr>
              <m:t>1</m:t>
            </m:r>
            <m:ctrlPr>
              <w:rPr>
                <w:rFonts w:ascii="Cambria Math" w:hAnsi="Cambria Math" w:cs="Cambria Math"/>
                <w:i/>
              </w:rPr>
            </m:ctrlPr>
          </m:sub>
        </m:sSub>
      </m:oMath>
      <w:r>
        <w:rPr>
          <w:rFonts w:hint="eastAsia" w:hAnsi="Cambria Math" w:cs="Cambria Math"/>
        </w:rPr>
        <w:t xml:space="preserve"> </w:t>
      </w:r>
      <w:r>
        <w:rPr>
          <w:rFonts w:hint="eastAsia"/>
        </w:rPr>
        <w:t>──粘度计常数，单位为帕秒（Pa·s）；</w:t>
      </w:r>
    </w:p>
    <w:p w14:paraId="0DCDDB59">
      <w:pPr>
        <w:pStyle w:val="56"/>
        <w:ind w:firstLine="420"/>
      </w:pPr>
      <m:oMath>
        <m:r>
          <m:rPr/>
          <w:rPr>
            <w:rFonts w:ascii="Cambria Math" w:hAnsi="Cambria Math" w:cs="Cambria Math"/>
          </w:rPr>
          <m:t>α</m:t>
        </m:r>
      </m:oMath>
      <w:r>
        <w:rPr>
          <w:rFonts w:hint="eastAsia" w:hAnsi="Cambria Math" w:cs="Cambria Math"/>
        </w:rPr>
        <w:t xml:space="preserve">  </w:t>
      </w:r>
      <w:r>
        <w:rPr>
          <w:rFonts w:hint="eastAsia"/>
        </w:rPr>
        <w:t>──粘度计示值。</w:t>
      </w:r>
    </w:p>
    <w:p w14:paraId="2D649955">
      <w:pPr>
        <w:pStyle w:val="56"/>
        <w:ind w:firstLine="420"/>
      </w:pPr>
      <w:r>
        <w:rPr>
          <w:rFonts w:hint="eastAsia"/>
        </w:rPr>
        <w:t>在选定的剪切速率下，流体动力粘度仅与剪切应力有关。根据牛顿内摩擦定律，流体的动力粘度与剪切速率关系如下，可按公式（B.3）求得动力粘度。</w:t>
      </w:r>
    </w:p>
    <w:p w14:paraId="075B2DF8">
      <w:pPr>
        <w:pStyle w:val="113"/>
        <w:rPr>
          <w:rFonts w:hint="eastAsia"/>
        </w:rPr>
      </w:pPr>
      <w:r>
        <w:rPr>
          <w:rFonts w:hint="eastAsia"/>
        </w:rPr>
        <w:tab/>
      </w: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cs="Cambria Math"/>
          </w:rPr>
          <m:t>=</m:t>
        </m:r>
        <m:f>
          <m:fPr>
            <m:ctrlPr>
              <w:rPr>
                <w:rFonts w:ascii="Cambria Math" w:hAnsi="Cambria Math" w:cs="Cambria Math"/>
                <w:i/>
              </w:rPr>
            </m:ctrlPr>
          </m:fPr>
          <m:num>
            <m:r>
              <m:rPr/>
              <w:rPr>
                <w:rFonts w:ascii="Cambria Math" w:hAnsi="Cambria Math" w:cs="Cambria Math"/>
              </w:rPr>
              <m:t>τ</m:t>
            </m:r>
            <m:ctrlPr>
              <w:rPr>
                <w:rFonts w:ascii="Cambria Math" w:hAnsi="Cambria Math" w:cs="Cambria Math"/>
                <w:i/>
              </w:rPr>
            </m:ctrlPr>
          </m:num>
          <m:den>
            <m:r>
              <m:rPr/>
              <w:rPr>
                <w:rFonts w:ascii="Cambria Math" w:hAnsi="Cambria Math" w:cs="Cambria Math"/>
              </w:rPr>
              <m:t>γ</m:t>
            </m:r>
            <m:ctrlPr>
              <w:rPr>
                <w:rFonts w:ascii="Cambria Math" w:hAnsi="Cambria Math" w:cs="Cambria Math"/>
                <w:i/>
              </w:rPr>
            </m:ctrlPr>
          </m:den>
        </m:f>
        <m:r>
          <m:rP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m:rPr/>
                  <w:rPr>
                    <w:rFonts w:ascii="Cambria Math" w:hAnsi="Cambria Math" w:cs="Cambria Math"/>
                  </w:rPr>
                  <m:t>Z</m:t>
                </m:r>
                <m:ctrlPr>
                  <w:rPr>
                    <w:rFonts w:ascii="Cambria Math" w:hAnsi="Cambria Math" w:cs="Cambria Math"/>
                    <w:i/>
                  </w:rPr>
                </m:ctrlPr>
              </m:e>
              <m:sub>
                <m:r>
                  <m:rPr/>
                  <w:rPr>
                    <w:rFonts w:ascii="Cambria Math" w:hAnsi="Cambria Math" w:cs="Cambria Math"/>
                  </w:rPr>
                  <m:t>a</m:t>
                </m:r>
                <m:ctrlPr>
                  <w:rPr>
                    <w:rFonts w:ascii="Cambria Math" w:hAnsi="Cambria Math" w:cs="Cambria Math"/>
                    <w:i/>
                  </w:rPr>
                </m:ctrlPr>
              </m:sub>
            </m:sSub>
            <m:ctrlPr>
              <w:rPr>
                <w:rFonts w:ascii="Cambria Math" w:hAnsi="Cambria Math" w:cs="Cambria Math"/>
                <w:i/>
              </w:rPr>
            </m:ctrlPr>
          </m:num>
          <m:den>
            <m:r>
              <m:rPr/>
              <w:rPr>
                <w:rFonts w:ascii="Cambria Math" w:hAnsi="Cambria Math" w:cs="Cambria Math"/>
              </w:rPr>
              <m:t>γ</m:t>
            </m:r>
            <m:ctrlPr>
              <w:rPr>
                <w:rFonts w:ascii="Cambria Math" w:hAnsi="Cambria Math" w:cs="Cambria Math"/>
                <w:i/>
              </w:rPr>
            </m:ctrlPr>
          </m:den>
        </m:f>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fulu_equation_134001458506014143  </w:instrText>
      </w:r>
      <w:r>
        <w:rPr>
          <w:rFonts w:hint="eastAsia"/>
        </w:rPr>
        <w:fldChar w:fldCharType="separate"/>
      </w:r>
      <w:r>
        <w:rPr>
          <w:rFonts w:hint="eastAsia"/>
        </w:rPr>
        <w:t>3</w:t>
      </w:r>
      <w:r>
        <w:rPr>
          <w:rFonts w:hint="eastAsia"/>
        </w:rPr>
        <w:fldChar w:fldCharType="end"/>
      </w:r>
      <w:r>
        <w:rPr>
          <w:rFonts w:hint="eastAsia"/>
        </w:rPr>
        <w:t>)</w:t>
      </w:r>
    </w:p>
    <w:p w14:paraId="4FFF3FA3">
      <w:pPr>
        <w:pStyle w:val="55"/>
        <w:ind w:firstLine="420"/>
      </w:pPr>
      <w:r>
        <w:rPr>
          <w:rFonts w:hint="eastAsia"/>
        </w:rPr>
        <w:t>式中：</w:t>
      </w:r>
    </w:p>
    <w:p w14:paraId="0E392111">
      <w:pPr>
        <w:pStyle w:val="56"/>
        <w:ind w:firstLine="420"/>
      </w:pPr>
      <m:oMath>
        <m:r>
          <m:rPr/>
          <w:rPr>
            <w:rFonts w:ascii="Cambria Math" w:hAnsi="Cambria Math" w:cs="Cambria Math"/>
          </w:rPr>
          <m:t>τ</m:t>
        </m:r>
      </m:oMath>
      <w:r>
        <w:rPr>
          <w:rFonts w:hint="eastAsia" w:hAnsi="Cambria Math" w:cs="Cambria Math"/>
        </w:rPr>
        <w:t xml:space="preserve"> </w:t>
      </w:r>
      <w:r>
        <w:rPr>
          <w:rFonts w:hint="eastAsia"/>
        </w:rPr>
        <w:t>──流体作用于圆筒（圆锥）的剪切应力，单位为帕（Pa）；</w:t>
      </w:r>
    </w:p>
    <w:p w14:paraId="40B63C47">
      <w:pPr>
        <w:pStyle w:val="56"/>
        <w:ind w:firstLine="420"/>
      </w:pPr>
      <m:oMath>
        <m:r>
          <m:rPr/>
          <w:rPr>
            <w:rFonts w:ascii="Cambria Math" w:hAnsi="Cambria Math" w:cs="Cambria Math"/>
          </w:rPr>
          <m:t>γ</m:t>
        </m:r>
      </m:oMath>
      <w:r>
        <w:rPr>
          <w:rFonts w:hint="eastAsia" w:hAnsi="Cambria Math" w:cs="Cambria Math"/>
        </w:rPr>
        <w:t xml:space="preserve"> </w:t>
      </w:r>
      <w:r>
        <w:rPr>
          <w:rFonts w:hint="eastAsia"/>
        </w:rPr>
        <w:t>──流体的剪切速率，单位为每秒（s</w:t>
      </w:r>
      <w:r>
        <w:rPr>
          <w:rFonts w:hint="eastAsia"/>
          <w:vertAlign w:val="superscript"/>
        </w:rPr>
        <w:t>-1</w:t>
      </w:r>
      <w:r>
        <w:rPr>
          <w:rFonts w:hint="eastAsia"/>
        </w:rPr>
        <w:t>）；</w:t>
      </w:r>
    </w:p>
    <w:p w14:paraId="2A3344FD">
      <w:pPr>
        <w:pStyle w:val="56"/>
        <w:ind w:firstLine="420"/>
      </w:pP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1</m:t>
            </m:r>
            <m:ctrlPr>
              <w:rPr>
                <w:rFonts w:ascii="Cambria Math" w:hAnsi="Cambria Math"/>
                <w:i/>
              </w:rPr>
            </m:ctrlPr>
          </m:sub>
        </m:sSub>
      </m:oMath>
      <w:r>
        <w:rPr>
          <w:rFonts w:hint="eastAsia"/>
        </w:rPr>
        <w:t>──粘度计测量系统常数，单位为帕（Pa）。</w:t>
      </w:r>
    </w:p>
    <w:p w14:paraId="0BEA658C">
      <w:pPr>
        <w:pStyle w:val="79"/>
        <w:spacing w:before="120" w:after="120"/>
      </w:pPr>
      <w:r>
        <w:rPr>
          <w:rFonts w:hint="eastAsia"/>
        </w:rPr>
        <w:t>仪器设备</w:t>
      </w:r>
    </w:p>
    <w:p w14:paraId="3A4651D9">
      <w:pPr>
        <w:pStyle w:val="81"/>
        <w:spacing w:before="120" w:after="120"/>
      </w:pPr>
      <w:r>
        <w:rPr>
          <w:rFonts w:hint="eastAsia"/>
        </w:rPr>
        <w:t>粘度计</w:t>
      </w:r>
    </w:p>
    <w:p w14:paraId="36BECF32">
      <w:pPr>
        <w:pStyle w:val="56"/>
        <w:ind w:firstLine="420"/>
      </w:pPr>
      <w:r>
        <w:rPr>
          <w:rFonts w:hint="eastAsia"/>
        </w:rPr>
        <w:t>根据粘度范围、剪切应力、剪切速率、准确度和样品量选择粘度计型式。旋转粘度计需经校准。</w:t>
      </w:r>
    </w:p>
    <w:p w14:paraId="511F7114">
      <w:pPr>
        <w:pStyle w:val="81"/>
        <w:spacing w:before="120" w:after="120"/>
      </w:pPr>
      <w:r>
        <w:rPr>
          <w:rFonts w:hint="eastAsia"/>
        </w:rPr>
        <w:t>恒温槽</w:t>
      </w:r>
    </w:p>
    <w:p w14:paraId="3E41E3C8">
      <w:pPr>
        <w:pStyle w:val="56"/>
        <w:ind w:firstLine="420"/>
      </w:pPr>
      <w:r>
        <w:rPr>
          <w:rFonts w:hint="eastAsia"/>
        </w:rPr>
        <w:t>依据GB/T 10247的要求，在设定温度下，温度波动不超过 ±0.1℃，可以对外输出循环恒温水。</w:t>
      </w:r>
    </w:p>
    <w:p w14:paraId="00CC4F7E">
      <w:pPr>
        <w:pStyle w:val="81"/>
        <w:spacing w:before="120" w:after="120"/>
      </w:pPr>
      <w:r>
        <w:rPr>
          <w:rFonts w:hint="eastAsia"/>
        </w:rPr>
        <w:t>温度计</w:t>
      </w:r>
    </w:p>
    <w:p w14:paraId="39125477">
      <w:pPr>
        <w:pStyle w:val="56"/>
        <w:ind w:firstLine="420"/>
      </w:pPr>
      <w:r>
        <w:rPr>
          <w:rFonts w:hint="eastAsia"/>
        </w:rPr>
        <w:t>采用校准并修正过的，其分辨率不大于 0.1℃ 的水银温度计或其他测温设备。</w:t>
      </w:r>
    </w:p>
    <w:p w14:paraId="0F3F1BD9">
      <w:pPr>
        <w:pStyle w:val="81"/>
        <w:spacing w:before="120" w:after="120"/>
      </w:pPr>
      <w:r>
        <w:rPr>
          <w:rFonts w:hint="eastAsia"/>
        </w:rPr>
        <w:t>其他</w:t>
      </w:r>
    </w:p>
    <w:p w14:paraId="031BFEC5">
      <w:pPr>
        <w:pStyle w:val="56"/>
        <w:ind w:firstLine="420"/>
      </w:pPr>
      <w:r>
        <w:rPr>
          <w:rFonts w:hint="eastAsia"/>
        </w:rPr>
        <w:t>取样器皿、溶剂或洗液、白绸、卷筒纸等。</w:t>
      </w:r>
    </w:p>
    <w:p w14:paraId="6409821D">
      <w:pPr>
        <w:pStyle w:val="79"/>
        <w:spacing w:before="120" w:after="120"/>
      </w:pPr>
      <w:r>
        <w:rPr>
          <w:rFonts w:hint="eastAsia"/>
        </w:rPr>
        <w:t>实验步骤</w:t>
      </w:r>
    </w:p>
    <w:p w14:paraId="5BD1755E">
      <w:pPr>
        <w:pStyle w:val="81"/>
        <w:spacing w:before="120" w:after="120"/>
      </w:pPr>
      <w:r>
        <w:rPr>
          <w:rFonts w:hint="eastAsia"/>
        </w:rPr>
        <w:t>安装</w:t>
      </w:r>
    </w:p>
    <w:p w14:paraId="0D907809">
      <w:pPr>
        <w:pStyle w:val="56"/>
        <w:ind w:firstLine="420"/>
      </w:pPr>
      <w:r>
        <w:rPr>
          <w:rFonts w:hint="eastAsia"/>
        </w:rPr>
        <w:t>按粘度计说明书安装，有水平要求的粘度计需调节支座螺钉达到水平。</w:t>
      </w:r>
    </w:p>
    <w:p w14:paraId="7A599F6C">
      <w:pPr>
        <w:pStyle w:val="81"/>
        <w:spacing w:before="120" w:after="120"/>
      </w:pPr>
      <w:r>
        <w:rPr>
          <w:rFonts w:hint="eastAsia"/>
        </w:rPr>
        <w:t>清洗</w:t>
      </w:r>
    </w:p>
    <w:p w14:paraId="5B45EE3D">
      <w:pPr>
        <w:pStyle w:val="56"/>
        <w:ind w:firstLine="420"/>
      </w:pPr>
      <w:r>
        <w:rPr>
          <w:rFonts w:hint="eastAsia"/>
        </w:rPr>
        <w:t>用适当的溶剂清洗取样器皿、测量系统，用白绸或卷筒纸擦干（或吹干）后备用。</w:t>
      </w:r>
    </w:p>
    <w:p w14:paraId="24D18BAE">
      <w:pPr>
        <w:pStyle w:val="81"/>
        <w:spacing w:before="120" w:after="120"/>
      </w:pPr>
      <w:r>
        <w:rPr>
          <w:rFonts w:hint="eastAsia"/>
        </w:rPr>
        <w:t>装料</w:t>
      </w:r>
    </w:p>
    <w:p w14:paraId="15E84CCF">
      <w:pPr>
        <w:pStyle w:val="56"/>
        <w:ind w:firstLine="420"/>
      </w:pPr>
      <w:r>
        <w:rPr>
          <w:rFonts w:hint="eastAsia"/>
        </w:rPr>
        <w:t>目测样品无杂质和气泡后，按规定准确取样。</w:t>
      </w:r>
    </w:p>
    <w:p w14:paraId="0BD75654">
      <w:pPr>
        <w:pStyle w:val="81"/>
        <w:spacing w:before="120" w:after="120"/>
      </w:pPr>
      <w:r>
        <w:rPr>
          <w:rFonts w:hint="eastAsia"/>
        </w:rPr>
        <w:t>恒温</w:t>
      </w:r>
    </w:p>
    <w:p w14:paraId="5F177FAC">
      <w:pPr>
        <w:pStyle w:val="56"/>
        <w:ind w:firstLine="420"/>
      </w:pPr>
      <w:r>
        <w:rPr>
          <w:rFonts w:hint="eastAsia"/>
        </w:rPr>
        <w:t>样品在测试温度下充分恒温，以保证示值稳定。参考恒温时间：锥板、同轴圆筒、单圆筒系统依次为 0.5 h、1 h、2 h。</w:t>
      </w:r>
    </w:p>
    <w:p w14:paraId="2389DB4D">
      <w:pPr>
        <w:pStyle w:val="56"/>
        <w:ind w:firstLine="420"/>
      </w:pPr>
      <w:r>
        <w:rPr>
          <w:rFonts w:hint="eastAsia"/>
        </w:rPr>
        <w:t>单圆筒系统样品用料多，应注意检测样品内层的温度，使之符合要求。</w:t>
      </w:r>
    </w:p>
    <w:p w14:paraId="7AAEEF70">
      <w:pPr>
        <w:pStyle w:val="81"/>
        <w:spacing w:before="120" w:after="120"/>
      </w:pPr>
      <w:r>
        <w:rPr>
          <w:rFonts w:hint="eastAsia"/>
        </w:rPr>
        <w:t>测定</w:t>
      </w:r>
    </w:p>
    <w:p w14:paraId="24248D0E">
      <w:pPr>
        <w:pStyle w:val="56"/>
        <w:ind w:firstLine="420"/>
      </w:pPr>
      <w:r>
        <w:rPr>
          <w:rFonts w:hint="eastAsia"/>
        </w:rPr>
        <w:t>启动粘度计，选定的剪切速度为 50 s</w:t>
      </w:r>
      <w:r>
        <w:rPr>
          <w:rFonts w:hint="eastAsia"/>
          <w:vertAlign w:val="superscript"/>
        </w:rPr>
        <w:t>-1</w:t>
      </w:r>
      <w:r>
        <w:rPr>
          <w:rFonts w:hint="eastAsia"/>
        </w:rPr>
        <w:t>，待示值稳定后读数，然后关断电源。如此重复测量三次示值，其与平均值的最大偏差不超过平均值的 ±1.5%，否则，应重新测量。取两个样品的各自三次示值的平均值为该次测量结果。</w:t>
      </w:r>
    </w:p>
    <w:p w14:paraId="2944252F">
      <w:pPr>
        <w:pStyle w:val="179"/>
      </w:pPr>
      <w:r>
        <w:rPr>
          <w:rFonts w:hint="eastAsia"/>
        </w:rPr>
        <w:t>通常情况下，样品在常温（22℃～26℃）状态下进行测试。如样品包装上标明需加热食用，则根据包装上的加热方式进行加热，再进行实验测试；如样品包装上有多种加热方法，则随机选取其中一种方法进行加热，再进行实验测试。如样品内包括多于一种食材，则每款食材均需独立进行检测。</w:t>
      </w:r>
    </w:p>
    <w:p w14:paraId="36534069">
      <w:pPr>
        <w:pStyle w:val="79"/>
        <w:spacing w:before="120" w:after="120"/>
      </w:pPr>
      <w:r>
        <w:rPr>
          <w:rFonts w:hint="eastAsia"/>
        </w:rPr>
        <w:t>结果计算</w:t>
      </w:r>
    </w:p>
    <w:p w14:paraId="32DAC8CC">
      <w:pPr>
        <w:pStyle w:val="56"/>
        <w:ind w:firstLine="420"/>
      </w:pPr>
      <w:r>
        <w:rPr>
          <w:rFonts w:hint="eastAsia"/>
        </w:rPr>
        <w:t>根据公式（B.2）、公式（B.3）计算粘度。</w:t>
      </w:r>
    </w:p>
    <w:p w14:paraId="0E560CFC">
      <w:pPr>
        <w:pStyle w:val="56"/>
        <w:ind w:firstLine="420"/>
      </w:pPr>
      <w:r>
        <w:rPr>
          <w:rFonts w:hint="eastAsia"/>
        </w:rPr>
        <w:t>示值受电网频率影响的粘度计（见粘度计说明书），若电网频率变化超过 ±1%，应对测量结果加以修正。</w:t>
      </w:r>
    </w:p>
    <w:p w14:paraId="163CCEFB">
      <w:pPr>
        <w:pStyle w:val="113"/>
        <w:rPr>
          <w:rFonts w:hint="eastAsia"/>
        </w:rPr>
      </w:pPr>
      <w:r>
        <w:rPr>
          <w:rFonts w:hint="eastAsia"/>
        </w:rPr>
        <w:tab/>
      </w: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S</m:t>
            </m:r>
            <m:ctrlPr>
              <w:rPr>
                <w:rFonts w:ascii="Cambria Math" w:hAnsi="Cambria Math"/>
                <w:i/>
              </w:rPr>
            </m:ctrlPr>
          </m:sub>
        </m:sSub>
        <m:r>
          <m:rPr/>
          <w:rPr>
            <w:rFonts w:ascii="Cambria Math" w:hAnsi="Cambria Math" w:cs="Cambria Math"/>
          </w:rPr>
          <m:t>=</m:t>
        </m:r>
        <m:sSub>
          <m:sSubPr>
            <m:ctrlPr>
              <w:rPr>
                <w:rFonts w:ascii="Cambria Math" w:hAnsi="Cambria Math" w:cs="Cambria Math"/>
                <w:i/>
              </w:rPr>
            </m:ctrlPr>
          </m:sSubPr>
          <m:e>
            <m:r>
              <m:rPr/>
              <w:rPr>
                <w:rFonts w:ascii="Cambria Math" w:hAnsi="Cambria Math" w:cs="Cambria Math"/>
              </w:rPr>
              <m:t>η</m:t>
            </m:r>
            <m:ctrlPr>
              <w:rPr>
                <w:rFonts w:ascii="Cambria Math" w:hAnsi="Cambria Math" w:cs="Cambria Math"/>
                <w:i/>
              </w:rPr>
            </m:ctrlPr>
          </m:e>
          <m:sub>
            <m:r>
              <m:rPr/>
              <w:rPr>
                <w:rFonts w:ascii="Cambria Math" w:hAnsi="Cambria Math" w:cs="Cambria Math"/>
              </w:rPr>
              <m:t>C</m:t>
            </m:r>
            <m:ctrlPr>
              <w:rPr>
                <w:rFonts w:ascii="Cambria Math" w:hAnsi="Cambria Math" w:cs="Cambria Math"/>
                <w:i/>
              </w:rPr>
            </m:ctrlPr>
          </m:sub>
        </m:sSub>
        <m:r>
          <m:rP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m:rPr/>
                  <w:rPr>
                    <w:rFonts w:ascii="Cambria Math" w:hAnsi="Cambria Math" w:cs="Cambria Math"/>
                  </w:rPr>
                  <m:t>f</m:t>
                </m:r>
                <m:ctrlPr>
                  <w:rPr>
                    <w:rFonts w:ascii="Cambria Math" w:hAnsi="Cambria Math" w:cs="Cambria Math"/>
                    <w:i/>
                  </w:rPr>
                </m:ctrlPr>
              </m:e>
              <m:sub>
                <m:r>
                  <m:rPr/>
                  <w:rPr>
                    <w:rFonts w:ascii="Cambria Math" w:hAnsi="Cambria Math" w:cs="Cambria Math"/>
                  </w:rPr>
                  <m:t>B</m:t>
                </m:r>
                <m:ctrlPr>
                  <w:rPr>
                    <w:rFonts w:ascii="Cambria Math" w:hAnsi="Cambria Math" w:cs="Cambria Math"/>
                    <w:i/>
                  </w:rPr>
                </m:ctrlPr>
              </m:sub>
            </m:sSub>
            <m:ctrlPr>
              <w:rPr>
                <w:rFonts w:ascii="Cambria Math" w:hAnsi="Cambria Math" w:cs="Cambria Math"/>
                <w:i/>
              </w:rPr>
            </m:ctrlPr>
          </m:num>
          <m:den>
            <m:sSub>
              <m:sSubPr>
                <m:ctrlPr>
                  <w:rPr>
                    <w:rFonts w:ascii="Cambria Math" w:hAnsi="Cambria Math" w:cs="Cambria Math"/>
                    <w:i/>
                  </w:rPr>
                </m:ctrlPr>
              </m:sSubPr>
              <m:e>
                <m:r>
                  <m:rPr/>
                  <w:rPr>
                    <w:rFonts w:ascii="Cambria Math" w:hAnsi="Cambria Math" w:cs="Cambria Math"/>
                  </w:rPr>
                  <m:t>f</m:t>
                </m:r>
                <m:ctrlPr>
                  <w:rPr>
                    <w:rFonts w:ascii="Cambria Math" w:hAnsi="Cambria Math" w:cs="Cambria Math"/>
                    <w:i/>
                  </w:rPr>
                </m:ctrlPr>
              </m:e>
              <m:sub>
                <m:r>
                  <m:rPr/>
                  <w:rPr>
                    <w:rFonts w:ascii="Cambria Math" w:hAnsi="Cambria Math" w:cs="Cambria Math"/>
                  </w:rPr>
                  <m:t>A</m:t>
                </m:r>
                <m:ctrlPr>
                  <w:rPr>
                    <w:rFonts w:ascii="Cambria Math" w:hAnsi="Cambria Math" w:cs="Cambria Math"/>
                    <w:i/>
                  </w:rPr>
                </m:ctrlPr>
              </m:sub>
            </m:sSub>
            <m:ctrlPr>
              <w:rPr>
                <w:rFonts w:ascii="Cambria Math" w:hAnsi="Cambria Math" w:cs="Cambria Math"/>
                <w:i/>
              </w:rPr>
            </m:ctrlPr>
          </m:den>
        </m:f>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fulu_equation_134001458506014143  </w:instrText>
      </w:r>
      <w:r>
        <w:rPr>
          <w:rFonts w:hint="eastAsia"/>
        </w:rPr>
        <w:fldChar w:fldCharType="separate"/>
      </w:r>
      <w:r>
        <w:rPr>
          <w:rFonts w:hint="eastAsia"/>
        </w:rPr>
        <w:t>4</w:t>
      </w:r>
      <w:r>
        <w:rPr>
          <w:rFonts w:hint="eastAsia"/>
        </w:rPr>
        <w:fldChar w:fldCharType="end"/>
      </w:r>
      <w:r>
        <w:rPr>
          <w:rFonts w:hint="eastAsia"/>
        </w:rPr>
        <w:t>)</w:t>
      </w:r>
    </w:p>
    <w:p w14:paraId="35DD25D6">
      <w:pPr>
        <w:pStyle w:val="55"/>
        <w:ind w:firstLine="420"/>
      </w:pPr>
      <w:r>
        <w:rPr>
          <w:rFonts w:hint="eastAsia"/>
        </w:rPr>
        <w:t>式中：</w:t>
      </w:r>
    </w:p>
    <w:p w14:paraId="0001547E">
      <w:pPr>
        <w:pStyle w:val="56"/>
        <w:ind w:firstLine="420"/>
      </w:pPr>
      <m:oMath>
        <m:sSub>
          <m:sSubPr>
            <m:ctrlPr>
              <w:rPr>
                <w:rFonts w:ascii="Cambria Math" w:hAnsi="Cambria Math"/>
                <w:i/>
              </w:rPr>
            </m:ctrlPr>
          </m:sSubPr>
          <m:e>
            <m:r>
              <m:rPr/>
              <w:rPr>
                <w:rFonts w:ascii="Cambria Math" w:hAnsi="Cambria Math"/>
              </w:rPr>
              <m:t>η</m:t>
            </m:r>
            <m:ctrlPr>
              <w:rPr>
                <w:rFonts w:ascii="Cambria Math" w:hAnsi="Cambria Math"/>
                <w:i/>
              </w:rPr>
            </m:ctrlPr>
          </m:e>
          <m:sub>
            <m:r>
              <m:rPr/>
              <w:rPr>
                <w:rFonts w:ascii="Cambria Math" w:hAnsi="Cambria Math"/>
              </w:rPr>
              <m:t>S</m:t>
            </m:r>
            <m:ctrlPr>
              <w:rPr>
                <w:rFonts w:ascii="Cambria Math" w:hAnsi="Cambria Math"/>
                <w:i/>
              </w:rPr>
            </m:ctrlPr>
          </m:sub>
        </m:sSub>
      </m:oMath>
      <w:r>
        <w:rPr>
          <w:rFonts w:hint="eastAsia" w:hAnsi="Cambria Math"/>
        </w:rPr>
        <w:t xml:space="preserve"> </w:t>
      </w:r>
      <w:r>
        <w:rPr>
          <w:rFonts w:hint="eastAsia"/>
        </w:rPr>
        <w:t>──实际粘度，单位为帕秒（Pa·s）；</w:t>
      </w:r>
    </w:p>
    <w:p w14:paraId="4E131FC4">
      <w:pPr>
        <w:pStyle w:val="56"/>
        <w:ind w:firstLine="420"/>
      </w:pPr>
      <m:oMath>
        <m:sSub>
          <m:sSubPr>
            <m:ctrlPr>
              <w:rPr>
                <w:rFonts w:ascii="Cambria Math" w:hAnsi="Cambria Math" w:cs="Cambria Math"/>
                <w:i/>
              </w:rPr>
            </m:ctrlPr>
          </m:sSubPr>
          <m:e>
            <m:r>
              <m:rPr/>
              <w:rPr>
                <w:rFonts w:ascii="Cambria Math" w:hAnsi="Cambria Math" w:cs="Cambria Math"/>
              </w:rPr>
              <m:t>η</m:t>
            </m:r>
            <m:ctrlPr>
              <w:rPr>
                <w:rFonts w:ascii="Cambria Math" w:hAnsi="Cambria Math" w:cs="Cambria Math"/>
                <w:i/>
              </w:rPr>
            </m:ctrlPr>
          </m:e>
          <m:sub>
            <m:r>
              <m:rPr/>
              <w:rPr>
                <w:rFonts w:ascii="Cambria Math" w:hAnsi="Cambria Math" w:cs="Cambria Math"/>
              </w:rPr>
              <m:t>C</m:t>
            </m:r>
            <m:ctrlPr>
              <w:rPr>
                <w:rFonts w:ascii="Cambria Math" w:hAnsi="Cambria Math" w:cs="Cambria Math"/>
                <w:i/>
              </w:rPr>
            </m:ctrlPr>
          </m:sub>
        </m:sSub>
      </m:oMath>
      <w:r>
        <w:rPr>
          <w:rFonts w:hint="eastAsia" w:hAnsi="Cambria Math" w:cs="Cambria Math"/>
        </w:rPr>
        <w:t xml:space="preserve"> </w:t>
      </w:r>
      <w:r>
        <w:rPr>
          <w:rFonts w:hint="eastAsia"/>
        </w:rPr>
        <w:t>──测量粘度，单位为帕秒（Pa·s）；</w:t>
      </w:r>
    </w:p>
    <w:p w14:paraId="4EB692AC">
      <w:pPr>
        <w:pStyle w:val="56"/>
        <w:ind w:firstLine="420"/>
      </w:pPr>
      <m:oMath>
        <m:sSub>
          <m:sSubPr>
            <m:ctrlPr>
              <w:rPr>
                <w:rFonts w:ascii="Cambria Math" w:hAnsi="Cambria Math" w:cs="Cambria Math"/>
                <w:i/>
              </w:rPr>
            </m:ctrlPr>
          </m:sSubPr>
          <m:e>
            <m:r>
              <m:rPr/>
              <w:rPr>
                <w:rFonts w:ascii="Cambria Math" w:hAnsi="Cambria Math" w:cs="Cambria Math"/>
              </w:rPr>
              <m:t>f</m:t>
            </m:r>
            <m:ctrlPr>
              <w:rPr>
                <w:rFonts w:ascii="Cambria Math" w:hAnsi="Cambria Math" w:cs="Cambria Math"/>
                <w:i/>
              </w:rPr>
            </m:ctrlPr>
          </m:e>
          <m:sub>
            <m:r>
              <m:rPr/>
              <w:rPr>
                <w:rFonts w:ascii="Cambria Math" w:hAnsi="Cambria Math" w:cs="Cambria Math"/>
              </w:rPr>
              <m:t>B</m:t>
            </m:r>
            <m:ctrlPr>
              <w:rPr>
                <w:rFonts w:ascii="Cambria Math" w:hAnsi="Cambria Math" w:cs="Cambria Math"/>
                <w:i/>
              </w:rPr>
            </m:ctrlPr>
          </m:sub>
        </m:sSub>
      </m:oMath>
      <w:r>
        <w:rPr>
          <w:rFonts w:hint="eastAsia" w:hAnsi="Cambria Math" w:cs="Cambria Math"/>
        </w:rPr>
        <w:t xml:space="preserve"> </w:t>
      </w:r>
      <w:r>
        <w:rPr>
          <w:rFonts w:hint="eastAsia"/>
        </w:rPr>
        <w:t>──电网标称频率，单位为赫兹（Hz）；</w:t>
      </w:r>
    </w:p>
    <w:p w14:paraId="4D25AA79">
      <w:pPr>
        <w:pStyle w:val="56"/>
        <w:ind w:firstLine="420"/>
      </w:pPr>
      <m:oMath>
        <m:sSub>
          <m:sSubPr>
            <m:ctrlPr>
              <w:rPr>
                <w:rFonts w:ascii="Cambria Math" w:hAnsi="Cambria Math" w:cs="Cambria Math"/>
                <w:i/>
              </w:rPr>
            </m:ctrlPr>
          </m:sSubPr>
          <m:e>
            <m:r>
              <m:rPr/>
              <w:rPr>
                <w:rFonts w:ascii="Cambria Math" w:hAnsi="Cambria Math" w:cs="Cambria Math"/>
              </w:rPr>
              <m:t>f</m:t>
            </m:r>
            <m:ctrlPr>
              <w:rPr>
                <w:rFonts w:ascii="Cambria Math" w:hAnsi="Cambria Math" w:cs="Cambria Math"/>
                <w:i/>
              </w:rPr>
            </m:ctrlPr>
          </m:e>
          <m:sub>
            <m:r>
              <m:rPr/>
              <w:rPr>
                <w:rFonts w:ascii="Cambria Math" w:hAnsi="Cambria Math" w:cs="Cambria Math"/>
              </w:rPr>
              <m:t>A</m:t>
            </m:r>
            <m:ctrlPr>
              <w:rPr>
                <w:rFonts w:ascii="Cambria Math" w:hAnsi="Cambria Math" w:cs="Cambria Math"/>
                <w:i/>
              </w:rPr>
            </m:ctrlPr>
          </m:sub>
        </m:sSub>
      </m:oMath>
      <w:r>
        <w:rPr>
          <w:rFonts w:hint="eastAsia" w:hAnsi="Cambria Math" w:cs="Cambria Math"/>
        </w:rPr>
        <w:t xml:space="preserve"> </w:t>
      </w:r>
      <w:r>
        <w:rPr>
          <w:rFonts w:hint="eastAsia"/>
        </w:rPr>
        <w:t>──电网实际频率，单位为赫兹（Hz）。</w:t>
      </w:r>
    </w:p>
    <w:p w14:paraId="3909C391">
      <w:pPr>
        <w:pStyle w:val="56"/>
        <w:ind w:firstLine="420"/>
        <w:sectPr>
          <w:headerReference r:id="rId30" w:type="default"/>
          <w:footerReference r:id="rId32" w:type="default"/>
          <w:headerReference r:id="rId31" w:type="even"/>
          <w:footerReference r:id="rId33" w:type="even"/>
          <w:pgSz w:w="11906" w:h="16838"/>
          <w:pgMar w:top="1928" w:right="1134" w:bottom="1134" w:left="1134" w:header="1418" w:footer="1134" w:gutter="284"/>
          <w:cols w:space="425" w:num="1"/>
          <w:formProt w:val="0"/>
          <w:docGrid w:linePitch="312" w:charSpace="0"/>
        </w:sectPr>
      </w:pPr>
      <w:r>
        <w:rPr>
          <w:rFonts w:hint="eastAsia"/>
        </w:rPr>
        <w:t>最终测得的粘度结果，保留三位有效数字。</w:t>
      </w:r>
    </w:p>
    <w:p w14:paraId="46A062D3">
      <w:pPr>
        <w:pStyle w:val="198"/>
        <w:rPr>
          <w:rFonts w:hint="eastAsia"/>
        </w:rPr>
      </w:pPr>
    </w:p>
    <w:p w14:paraId="11FC07A1">
      <w:pPr>
        <w:pStyle w:val="199"/>
      </w:pPr>
    </w:p>
    <w:p w14:paraId="0CBD7033">
      <w:pPr>
        <w:pStyle w:val="76"/>
        <w:spacing w:after="120"/>
      </w:pPr>
      <w:bookmarkStart w:id="81" w:name="_Toc25631"/>
      <w:bookmarkStart w:id="82" w:name="_Toc11391"/>
      <w:r>
        <w:rPr>
          <w:rFonts w:hint="eastAsia"/>
        </w:rPr>
        <w:br w:type="textWrapping"/>
      </w:r>
      <w:r>
        <w:rPr>
          <w:rFonts w:hint="eastAsia"/>
        </w:rPr>
        <w:t>（资料性）</w:t>
      </w:r>
      <w:r>
        <w:rPr>
          <w:rFonts w:hint="eastAsia"/>
        </w:rPr>
        <w:br w:type="textWrapping"/>
      </w:r>
      <w:r>
        <w:rPr>
          <w:rFonts w:hint="eastAsia"/>
        </w:rPr>
        <w:t>IDDSI吞咽障碍饮食分级及标识颜色代码</w:t>
      </w:r>
      <w:bookmarkEnd w:id="81"/>
      <w:bookmarkEnd w:id="82"/>
    </w:p>
    <w:p w14:paraId="5A861DA8">
      <w:pPr>
        <w:pStyle w:val="78"/>
        <w:spacing w:before="120" w:after="120"/>
      </w:pPr>
      <w:bookmarkStart w:id="83" w:name="_Toc364"/>
      <w:r>
        <w:rPr>
          <w:rFonts w:hint="eastAsia"/>
        </w:rPr>
        <w:t>IDDSI吞咽障碍饮食分级</w:t>
      </w:r>
      <w:bookmarkEnd w:id="83"/>
    </w:p>
    <w:p w14:paraId="662C9AA8">
      <w:pPr>
        <w:pStyle w:val="56"/>
        <w:ind w:firstLine="0" w:firstLineChars="0"/>
        <w:jc w:val="center"/>
      </w:pPr>
      <w:r>
        <w:drawing>
          <wp:inline distT="0" distB="0" distL="114300" distR="114300">
            <wp:extent cx="3115310" cy="2645410"/>
            <wp:effectExtent l="0" t="0" r="5080" b="4445"/>
            <wp:docPr id="4" name="图片 4" descr="03688d58795ff5cf256c2dd374eea9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3688d58795ff5cf256c2dd374eea9fb"/>
                    <pic:cNvPicPr>
                      <a:picLocks noChangeAspect="1"/>
                    </pic:cNvPicPr>
                  </pic:nvPicPr>
                  <pic:blipFill>
                    <a:blip r:embed="rId42"/>
                    <a:stretch>
                      <a:fillRect/>
                    </a:stretch>
                  </pic:blipFill>
                  <pic:spPr>
                    <a:xfrm>
                      <a:off x="0" y="0"/>
                      <a:ext cx="3115310" cy="2645410"/>
                    </a:xfrm>
                    <a:prstGeom prst="rect">
                      <a:avLst/>
                    </a:prstGeom>
                  </pic:spPr>
                </pic:pic>
              </a:graphicData>
            </a:graphic>
          </wp:inline>
        </w:drawing>
      </w:r>
    </w:p>
    <w:p w14:paraId="58361D0F">
      <w:pPr>
        <w:pStyle w:val="83"/>
        <w:spacing w:before="120" w:after="120"/>
      </w:pPr>
      <w:r>
        <w:rPr>
          <w:rFonts w:hint="eastAsia"/>
        </w:rPr>
        <w:t>IDDSI吞咽障碍饮食分级示意图</w:t>
      </w:r>
    </w:p>
    <w:p w14:paraId="2F05B638">
      <w:pPr>
        <w:pStyle w:val="78"/>
        <w:spacing w:before="120" w:after="120"/>
      </w:pPr>
      <w:bookmarkStart w:id="84" w:name="_Toc19943"/>
      <w:r>
        <w:rPr>
          <w:rFonts w:hint="eastAsia"/>
        </w:rPr>
        <w:t>IDDSI吞咽障碍饮食标识颜色代码</w:t>
      </w:r>
      <w:bookmarkEnd w:id="84"/>
    </w:p>
    <w:p w14:paraId="092C6028">
      <w:pPr>
        <w:pStyle w:val="77"/>
        <w:spacing w:before="120" w:after="120"/>
      </w:pPr>
      <w:r>
        <w:rPr>
          <w:rFonts w:hint="eastAsia"/>
        </w:rPr>
        <w:t>IDDSI吞咽障碍饮食标识颜色代码</w:t>
      </w:r>
    </w:p>
    <w:tbl>
      <w:tblPr>
        <w:tblStyle w:val="2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058"/>
        <w:gridCol w:w="2358"/>
        <w:gridCol w:w="2824"/>
        <w:gridCol w:w="2314"/>
      </w:tblGrid>
      <w:tr w14:paraId="033DAA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rHeight w:val="444" w:hRule="atLeast"/>
          <w:tblHeader/>
          <w:jc w:val="center"/>
        </w:trPr>
        <w:tc>
          <w:tcPr>
            <w:tcW w:w="2058" w:type="dxa"/>
            <w:tcBorders>
              <w:bottom w:val="single" w:color="auto" w:sz="8" w:space="0"/>
            </w:tcBorders>
            <w:vAlign w:val="center"/>
          </w:tcPr>
          <w:p w14:paraId="0671A1E5">
            <w:pPr>
              <w:pStyle w:val="56"/>
              <w:ind w:firstLine="0" w:firstLineChars="0"/>
              <w:jc w:val="center"/>
            </w:pPr>
            <w:r>
              <w:rPr>
                <w:rFonts w:hint="eastAsia"/>
                <w:sz w:val="18"/>
                <w:szCs w:val="18"/>
              </w:rPr>
              <w:t>文字中的数字和颜色</w:t>
            </w:r>
          </w:p>
        </w:tc>
        <w:tc>
          <w:tcPr>
            <w:tcW w:w="2358" w:type="dxa"/>
            <w:tcBorders>
              <w:bottom w:val="single" w:color="auto" w:sz="8" w:space="0"/>
            </w:tcBorders>
            <w:vAlign w:val="center"/>
          </w:tcPr>
          <w:p w14:paraId="505C8CFB">
            <w:pPr>
              <w:pStyle w:val="56"/>
              <w:ind w:firstLine="0" w:firstLineChars="0"/>
              <w:jc w:val="center"/>
            </w:pPr>
            <w:r>
              <w:rPr>
                <w:rFonts w:hint="eastAsia"/>
                <w:sz w:val="18"/>
                <w:szCs w:val="18"/>
              </w:rPr>
              <w:t>用于打印的应用程序</w:t>
            </w:r>
          </w:p>
        </w:tc>
        <w:tc>
          <w:tcPr>
            <w:tcW w:w="2824" w:type="dxa"/>
            <w:tcBorders>
              <w:bottom w:val="single" w:color="auto" w:sz="8" w:space="0"/>
            </w:tcBorders>
            <w:vAlign w:val="center"/>
          </w:tcPr>
          <w:p w14:paraId="09995B45">
            <w:pPr>
              <w:pStyle w:val="56"/>
              <w:ind w:firstLine="0" w:firstLineChars="0"/>
              <w:jc w:val="center"/>
            </w:pPr>
            <w:r>
              <w:rPr>
                <w:rFonts w:hint="eastAsia"/>
                <w:sz w:val="18"/>
                <w:szCs w:val="18"/>
              </w:rPr>
              <w:t>适用于屏幕应用程序的数字/网络</w:t>
            </w:r>
          </w:p>
        </w:tc>
        <w:tc>
          <w:tcPr>
            <w:tcW w:w="2314" w:type="dxa"/>
            <w:tcBorders>
              <w:bottom w:val="single" w:color="auto" w:sz="8" w:space="0"/>
            </w:tcBorders>
            <w:vAlign w:val="center"/>
          </w:tcPr>
          <w:p w14:paraId="5B4F10A0">
            <w:pPr>
              <w:pStyle w:val="56"/>
              <w:ind w:firstLine="0" w:firstLineChars="0"/>
              <w:jc w:val="center"/>
            </w:pPr>
            <w:r>
              <w:rPr>
                <w:rFonts w:hint="eastAsia"/>
                <w:sz w:val="18"/>
                <w:szCs w:val="18"/>
              </w:rPr>
              <w:t>适用于专业打印应用程序</w:t>
            </w:r>
          </w:p>
        </w:tc>
      </w:tr>
      <w:tr w14:paraId="6C5300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tcBorders>
              <w:top w:val="single" w:color="auto" w:sz="8" w:space="0"/>
            </w:tcBorders>
            <w:vAlign w:val="center"/>
          </w:tcPr>
          <w:p w14:paraId="6FC50105">
            <w:pPr>
              <w:pStyle w:val="56"/>
              <w:ind w:firstLine="360"/>
            </w:pPr>
            <w:r>
              <w:rPr>
                <w:sz w:val="18"/>
                <w:szCs w:val="18"/>
              </w:rPr>
              <w:drawing>
                <wp:inline distT="0" distB="0" distL="0" distR="0">
                  <wp:extent cx="312420" cy="297180"/>
                  <wp:effectExtent l="0" t="0" r="1270" b="0"/>
                  <wp:docPr id="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12420" cy="297180"/>
                          </a:xfrm>
                          <a:prstGeom prst="rect">
                            <a:avLst/>
                          </a:prstGeom>
                          <a:noFill/>
                          <a:ln>
                            <a:noFill/>
                          </a:ln>
                        </pic:spPr>
                      </pic:pic>
                    </a:graphicData>
                  </a:graphic>
                </wp:inline>
              </w:drawing>
            </w:r>
            <w:r>
              <w:rPr>
                <w:rFonts w:hint="eastAsia"/>
                <w:sz w:val="18"/>
                <w:szCs w:val="18"/>
              </w:rPr>
              <w:t xml:space="preserve">  黑色</w:t>
            </w:r>
          </w:p>
        </w:tc>
        <w:tc>
          <w:tcPr>
            <w:tcW w:w="2358" w:type="dxa"/>
            <w:tcBorders>
              <w:top w:val="single" w:color="auto" w:sz="8" w:space="0"/>
            </w:tcBorders>
            <w:vAlign w:val="center"/>
          </w:tcPr>
          <w:p w14:paraId="73C50B2F">
            <w:pPr>
              <w:pStyle w:val="56"/>
              <w:ind w:firstLine="0" w:firstLineChars="0"/>
              <w:jc w:val="center"/>
            </w:pPr>
            <w:r>
              <w:rPr>
                <w:sz w:val="18"/>
                <w:szCs w:val="18"/>
              </w:rPr>
              <w:t>C 0  M 0  Y 0  K 100</w:t>
            </w:r>
          </w:p>
        </w:tc>
        <w:tc>
          <w:tcPr>
            <w:tcW w:w="2824" w:type="dxa"/>
            <w:tcBorders>
              <w:top w:val="single" w:color="auto" w:sz="8" w:space="0"/>
            </w:tcBorders>
            <w:vAlign w:val="center"/>
          </w:tcPr>
          <w:p w14:paraId="694B1045">
            <w:pPr>
              <w:pStyle w:val="56"/>
              <w:ind w:firstLine="0" w:firstLineChars="0"/>
              <w:jc w:val="center"/>
            </w:pPr>
            <w:r>
              <w:rPr>
                <w:sz w:val="18"/>
                <w:szCs w:val="18"/>
              </w:rPr>
              <w:t>R 0  G 0  B 0</w:t>
            </w:r>
          </w:p>
        </w:tc>
        <w:tc>
          <w:tcPr>
            <w:tcW w:w="2314" w:type="dxa"/>
            <w:tcBorders>
              <w:top w:val="single" w:color="auto" w:sz="8" w:space="0"/>
            </w:tcBorders>
            <w:vAlign w:val="center"/>
          </w:tcPr>
          <w:p w14:paraId="7FBC0D31">
            <w:pPr>
              <w:pStyle w:val="56"/>
              <w:ind w:firstLine="0" w:firstLineChars="0"/>
              <w:jc w:val="center"/>
            </w:pPr>
            <w:r>
              <w:rPr>
                <w:rFonts w:hint="eastAsia"/>
                <w:sz w:val="18"/>
                <w:szCs w:val="18"/>
              </w:rPr>
              <w:t>黑色</w:t>
            </w:r>
          </w:p>
        </w:tc>
      </w:tr>
      <w:tr w14:paraId="285276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47506140">
            <w:pPr>
              <w:pStyle w:val="56"/>
              <w:ind w:firstLine="360"/>
            </w:pPr>
            <w:r>
              <w:rPr>
                <w:sz w:val="18"/>
                <w:szCs w:val="18"/>
              </w:rPr>
              <w:drawing>
                <wp:inline distT="0" distB="0" distL="0" distR="0">
                  <wp:extent cx="281940" cy="304800"/>
                  <wp:effectExtent l="0" t="0" r="6985" b="635"/>
                  <wp:docPr id="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1940" cy="304800"/>
                          </a:xfrm>
                          <a:prstGeom prst="rect">
                            <a:avLst/>
                          </a:prstGeom>
                          <a:noFill/>
                          <a:ln>
                            <a:noFill/>
                          </a:ln>
                        </pic:spPr>
                      </pic:pic>
                    </a:graphicData>
                  </a:graphic>
                </wp:inline>
              </w:drawing>
            </w:r>
            <w:r>
              <w:rPr>
                <w:sz w:val="18"/>
                <w:szCs w:val="18"/>
              </w:rPr>
              <w:t xml:space="preserve"> </w:t>
            </w:r>
            <w:r>
              <w:rPr>
                <w:rFonts w:hint="eastAsia"/>
                <w:sz w:val="18"/>
                <w:szCs w:val="18"/>
              </w:rPr>
              <w:t xml:space="preserve"> 黑色</w:t>
            </w:r>
          </w:p>
        </w:tc>
        <w:tc>
          <w:tcPr>
            <w:tcW w:w="2358" w:type="dxa"/>
            <w:vAlign w:val="center"/>
          </w:tcPr>
          <w:p w14:paraId="71AFA133">
            <w:pPr>
              <w:pStyle w:val="56"/>
              <w:ind w:firstLine="0" w:firstLineChars="0"/>
              <w:jc w:val="center"/>
            </w:pPr>
            <w:r>
              <w:rPr>
                <w:sz w:val="18"/>
                <w:szCs w:val="18"/>
              </w:rPr>
              <w:t>C 0  M 0  Y 0  K 100</w:t>
            </w:r>
          </w:p>
        </w:tc>
        <w:tc>
          <w:tcPr>
            <w:tcW w:w="2824" w:type="dxa"/>
            <w:vAlign w:val="center"/>
          </w:tcPr>
          <w:p w14:paraId="79C81045">
            <w:pPr>
              <w:pStyle w:val="56"/>
              <w:ind w:firstLine="0" w:firstLineChars="0"/>
              <w:jc w:val="center"/>
            </w:pPr>
            <w:r>
              <w:rPr>
                <w:sz w:val="18"/>
                <w:szCs w:val="18"/>
              </w:rPr>
              <w:t>R 0  G 0  B 0</w:t>
            </w:r>
          </w:p>
        </w:tc>
        <w:tc>
          <w:tcPr>
            <w:tcW w:w="2314" w:type="dxa"/>
            <w:vAlign w:val="center"/>
          </w:tcPr>
          <w:p w14:paraId="0B2512E4">
            <w:pPr>
              <w:pStyle w:val="56"/>
              <w:ind w:firstLine="0" w:firstLineChars="0"/>
              <w:jc w:val="center"/>
            </w:pPr>
            <w:r>
              <w:rPr>
                <w:rFonts w:hint="eastAsia"/>
                <w:sz w:val="18"/>
                <w:szCs w:val="18"/>
              </w:rPr>
              <w:t>黑色</w:t>
            </w:r>
          </w:p>
        </w:tc>
      </w:tr>
      <w:tr w14:paraId="45D570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7EABB0A8">
            <w:pPr>
              <w:pStyle w:val="56"/>
              <w:ind w:firstLine="360"/>
            </w:pPr>
            <w:r>
              <w:rPr>
                <w:sz w:val="18"/>
                <w:szCs w:val="18"/>
              </w:rPr>
              <w:drawing>
                <wp:inline distT="0" distB="0" distL="0" distR="0">
                  <wp:extent cx="297180" cy="304800"/>
                  <wp:effectExtent l="0" t="0" r="0" b="635"/>
                  <wp:docPr id="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97180" cy="304800"/>
                          </a:xfrm>
                          <a:prstGeom prst="rect">
                            <a:avLst/>
                          </a:prstGeom>
                          <a:noFill/>
                          <a:ln>
                            <a:noFill/>
                          </a:ln>
                        </pic:spPr>
                      </pic:pic>
                    </a:graphicData>
                  </a:graphic>
                </wp:inline>
              </w:drawing>
            </w:r>
            <w:r>
              <w:rPr>
                <w:sz w:val="18"/>
                <w:szCs w:val="18"/>
              </w:rPr>
              <w:t xml:space="preserve"> </w:t>
            </w:r>
            <w:r>
              <w:rPr>
                <w:rFonts w:hint="eastAsia"/>
                <w:sz w:val="18"/>
                <w:szCs w:val="18"/>
              </w:rPr>
              <w:t xml:space="preserve"> 蓝色</w:t>
            </w:r>
          </w:p>
        </w:tc>
        <w:tc>
          <w:tcPr>
            <w:tcW w:w="2358" w:type="dxa"/>
            <w:vAlign w:val="center"/>
          </w:tcPr>
          <w:p w14:paraId="1BA51AB0">
            <w:pPr>
              <w:pStyle w:val="56"/>
              <w:ind w:firstLine="0" w:firstLineChars="0"/>
              <w:jc w:val="center"/>
            </w:pPr>
            <w:r>
              <w:rPr>
                <w:sz w:val="18"/>
                <w:szCs w:val="18"/>
              </w:rPr>
              <w:t>C 100  M 52  Y 0  K 0</w:t>
            </w:r>
          </w:p>
        </w:tc>
        <w:tc>
          <w:tcPr>
            <w:tcW w:w="2824" w:type="dxa"/>
            <w:vAlign w:val="center"/>
          </w:tcPr>
          <w:p w14:paraId="27FD9CF1">
            <w:pPr>
              <w:pStyle w:val="56"/>
              <w:ind w:firstLine="0" w:firstLineChars="0"/>
              <w:jc w:val="center"/>
            </w:pPr>
            <w:r>
              <w:rPr>
                <w:sz w:val="18"/>
                <w:szCs w:val="18"/>
              </w:rPr>
              <w:t>R 0  G 103  B 178</w:t>
            </w:r>
          </w:p>
        </w:tc>
        <w:tc>
          <w:tcPr>
            <w:tcW w:w="2314" w:type="dxa"/>
            <w:vAlign w:val="center"/>
          </w:tcPr>
          <w:p w14:paraId="477A9C92">
            <w:pPr>
              <w:pStyle w:val="56"/>
              <w:ind w:firstLine="0" w:firstLineChars="0"/>
              <w:jc w:val="center"/>
            </w:pPr>
            <w:r>
              <w:rPr>
                <w:sz w:val="18"/>
                <w:szCs w:val="18"/>
              </w:rPr>
              <w:t>PANTONE 2935 PC</w:t>
            </w:r>
          </w:p>
        </w:tc>
      </w:tr>
      <w:tr w14:paraId="1E21EF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28540657">
            <w:pPr>
              <w:pStyle w:val="56"/>
              <w:ind w:firstLine="360"/>
            </w:pPr>
            <w:r>
              <w:rPr>
                <w:sz w:val="18"/>
                <w:szCs w:val="18"/>
              </w:rPr>
              <w:drawing>
                <wp:inline distT="0" distB="0" distL="0" distR="0">
                  <wp:extent cx="304800" cy="312420"/>
                  <wp:effectExtent l="0" t="0" r="635" b="1270"/>
                  <wp:docPr id="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04800" cy="312420"/>
                          </a:xfrm>
                          <a:prstGeom prst="rect">
                            <a:avLst/>
                          </a:prstGeom>
                          <a:noFill/>
                          <a:ln>
                            <a:noFill/>
                          </a:ln>
                        </pic:spPr>
                      </pic:pic>
                    </a:graphicData>
                  </a:graphic>
                </wp:inline>
              </w:drawing>
            </w:r>
            <w:r>
              <w:rPr>
                <w:sz w:val="18"/>
                <w:szCs w:val="18"/>
              </w:rPr>
              <w:t xml:space="preserve"> </w:t>
            </w:r>
            <w:r>
              <w:rPr>
                <w:rFonts w:hint="eastAsia"/>
                <w:sz w:val="18"/>
                <w:szCs w:val="18"/>
              </w:rPr>
              <w:t xml:space="preserve"> 橙色</w:t>
            </w:r>
          </w:p>
        </w:tc>
        <w:tc>
          <w:tcPr>
            <w:tcW w:w="2358" w:type="dxa"/>
            <w:vAlign w:val="center"/>
          </w:tcPr>
          <w:p w14:paraId="3A840A1A">
            <w:pPr>
              <w:pStyle w:val="56"/>
              <w:ind w:firstLine="0" w:firstLineChars="0"/>
              <w:jc w:val="center"/>
            </w:pPr>
            <w:r>
              <w:rPr>
                <w:sz w:val="18"/>
                <w:szCs w:val="18"/>
              </w:rPr>
              <w:t>C 0  M 70  Y 94  K 0</w:t>
            </w:r>
          </w:p>
        </w:tc>
        <w:tc>
          <w:tcPr>
            <w:tcW w:w="2824" w:type="dxa"/>
            <w:vAlign w:val="center"/>
          </w:tcPr>
          <w:p w14:paraId="768460C2">
            <w:pPr>
              <w:pStyle w:val="56"/>
              <w:ind w:firstLine="0" w:firstLineChars="0"/>
              <w:jc w:val="center"/>
            </w:pPr>
            <w:r>
              <w:rPr>
                <w:sz w:val="18"/>
                <w:szCs w:val="18"/>
              </w:rPr>
              <w:t>R 255  G 102  B 0</w:t>
            </w:r>
          </w:p>
        </w:tc>
        <w:tc>
          <w:tcPr>
            <w:tcW w:w="2314" w:type="dxa"/>
            <w:vAlign w:val="center"/>
          </w:tcPr>
          <w:p w14:paraId="4F80E019">
            <w:pPr>
              <w:pStyle w:val="56"/>
              <w:ind w:firstLine="0" w:firstLineChars="0"/>
              <w:jc w:val="center"/>
            </w:pPr>
            <w:r>
              <w:rPr>
                <w:sz w:val="18"/>
                <w:szCs w:val="18"/>
              </w:rPr>
              <w:t>PANTONE 172 PC</w:t>
            </w:r>
          </w:p>
        </w:tc>
      </w:tr>
      <w:tr w14:paraId="7D4A37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16DBD87B">
            <w:pPr>
              <w:pStyle w:val="56"/>
              <w:ind w:firstLine="360"/>
            </w:pPr>
            <w:r>
              <w:rPr>
                <w:sz w:val="18"/>
                <w:szCs w:val="18"/>
              </w:rPr>
              <w:drawing>
                <wp:inline distT="0" distB="0" distL="0" distR="0">
                  <wp:extent cx="342900" cy="304800"/>
                  <wp:effectExtent l="0" t="0" r="3810" b="635"/>
                  <wp:docPr id="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42900" cy="304800"/>
                          </a:xfrm>
                          <a:prstGeom prst="rect">
                            <a:avLst/>
                          </a:prstGeom>
                          <a:noFill/>
                          <a:ln>
                            <a:noFill/>
                          </a:ln>
                        </pic:spPr>
                      </pic:pic>
                    </a:graphicData>
                  </a:graphic>
                </wp:inline>
              </w:drawing>
            </w:r>
            <w:r>
              <w:rPr>
                <w:sz w:val="18"/>
                <w:szCs w:val="18"/>
              </w:rPr>
              <w:t xml:space="preserve">  </w:t>
            </w:r>
            <w:r>
              <w:rPr>
                <w:rFonts w:hint="eastAsia"/>
                <w:sz w:val="18"/>
                <w:szCs w:val="18"/>
              </w:rPr>
              <w:t>绿色</w:t>
            </w:r>
          </w:p>
        </w:tc>
        <w:tc>
          <w:tcPr>
            <w:tcW w:w="2358" w:type="dxa"/>
            <w:vAlign w:val="center"/>
          </w:tcPr>
          <w:p w14:paraId="0B0CA09B">
            <w:pPr>
              <w:pStyle w:val="56"/>
              <w:ind w:firstLine="0" w:firstLineChars="0"/>
              <w:jc w:val="center"/>
            </w:pPr>
            <w:r>
              <w:rPr>
                <w:sz w:val="18"/>
                <w:szCs w:val="18"/>
              </w:rPr>
              <w:t>C 60  M 0  Y 100  K 0</w:t>
            </w:r>
          </w:p>
        </w:tc>
        <w:tc>
          <w:tcPr>
            <w:tcW w:w="2824" w:type="dxa"/>
            <w:vAlign w:val="center"/>
          </w:tcPr>
          <w:p w14:paraId="7E7A1D71">
            <w:pPr>
              <w:pStyle w:val="56"/>
              <w:ind w:firstLine="0" w:firstLineChars="0"/>
              <w:jc w:val="center"/>
            </w:pPr>
            <w:r>
              <w:rPr>
                <w:sz w:val="18"/>
                <w:szCs w:val="18"/>
              </w:rPr>
              <w:t>R 117  G 182  B 67</w:t>
            </w:r>
          </w:p>
        </w:tc>
        <w:tc>
          <w:tcPr>
            <w:tcW w:w="2314" w:type="dxa"/>
            <w:vAlign w:val="center"/>
          </w:tcPr>
          <w:p w14:paraId="2DC86EAA">
            <w:pPr>
              <w:pStyle w:val="56"/>
              <w:ind w:firstLine="0" w:firstLineChars="0"/>
              <w:jc w:val="center"/>
            </w:pPr>
            <w:r>
              <w:rPr>
                <w:sz w:val="18"/>
                <w:szCs w:val="18"/>
              </w:rPr>
              <w:t>PANTONE 368 PC</w:t>
            </w:r>
          </w:p>
        </w:tc>
      </w:tr>
      <w:tr w14:paraId="107F66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234FE2C7">
            <w:pPr>
              <w:pStyle w:val="56"/>
              <w:ind w:firstLine="360"/>
            </w:pPr>
            <w:r>
              <w:rPr>
                <w:sz w:val="18"/>
                <w:szCs w:val="18"/>
              </w:rPr>
              <w:drawing>
                <wp:inline distT="0" distB="0" distL="0" distR="0">
                  <wp:extent cx="381000" cy="304800"/>
                  <wp:effectExtent l="0" t="0" r="6985" b="635"/>
                  <wp:docPr id="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81000" cy="304800"/>
                          </a:xfrm>
                          <a:prstGeom prst="rect">
                            <a:avLst/>
                          </a:prstGeom>
                          <a:noFill/>
                          <a:ln>
                            <a:noFill/>
                          </a:ln>
                        </pic:spPr>
                      </pic:pic>
                    </a:graphicData>
                  </a:graphic>
                </wp:inline>
              </w:drawing>
            </w:r>
            <w:r>
              <w:rPr>
                <w:sz w:val="18"/>
                <w:szCs w:val="18"/>
              </w:rPr>
              <w:t xml:space="preserve"> </w:t>
            </w:r>
            <w:r>
              <w:rPr>
                <w:rFonts w:hint="eastAsia"/>
                <w:sz w:val="18"/>
                <w:szCs w:val="18"/>
              </w:rPr>
              <w:t>黄色</w:t>
            </w:r>
          </w:p>
        </w:tc>
        <w:tc>
          <w:tcPr>
            <w:tcW w:w="2358" w:type="dxa"/>
            <w:vAlign w:val="center"/>
          </w:tcPr>
          <w:p w14:paraId="4ABBACF5">
            <w:pPr>
              <w:pStyle w:val="56"/>
              <w:ind w:firstLine="0" w:firstLineChars="0"/>
              <w:jc w:val="center"/>
            </w:pPr>
            <w:r>
              <w:rPr>
                <w:sz w:val="18"/>
                <w:szCs w:val="18"/>
              </w:rPr>
              <w:t>C 0  M 0  Y 100  K 0</w:t>
            </w:r>
          </w:p>
        </w:tc>
        <w:tc>
          <w:tcPr>
            <w:tcW w:w="2824" w:type="dxa"/>
            <w:vAlign w:val="center"/>
          </w:tcPr>
          <w:p w14:paraId="1CE7037B">
            <w:pPr>
              <w:pStyle w:val="56"/>
              <w:ind w:firstLine="0" w:firstLineChars="0"/>
              <w:jc w:val="center"/>
            </w:pPr>
            <w:r>
              <w:rPr>
                <w:sz w:val="18"/>
                <w:szCs w:val="18"/>
              </w:rPr>
              <w:t>R 255  G 255  B 40</w:t>
            </w:r>
          </w:p>
        </w:tc>
        <w:tc>
          <w:tcPr>
            <w:tcW w:w="2314" w:type="dxa"/>
            <w:vAlign w:val="center"/>
          </w:tcPr>
          <w:p w14:paraId="657D3C4E">
            <w:pPr>
              <w:pStyle w:val="56"/>
              <w:ind w:firstLine="0" w:firstLineChars="0"/>
              <w:jc w:val="center"/>
            </w:pPr>
            <w:r>
              <w:rPr>
                <w:sz w:val="18"/>
                <w:szCs w:val="18"/>
              </w:rPr>
              <w:t>PANTONE DS 2-4C</w:t>
            </w:r>
          </w:p>
        </w:tc>
      </w:tr>
      <w:tr w14:paraId="66A5EC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027E127A">
            <w:pPr>
              <w:pStyle w:val="56"/>
              <w:ind w:firstLine="360"/>
            </w:pPr>
            <w:r>
              <w:rPr>
                <w:sz w:val="18"/>
                <w:szCs w:val="18"/>
              </w:rPr>
              <w:drawing>
                <wp:inline distT="0" distB="0" distL="0" distR="0">
                  <wp:extent cx="266700" cy="266700"/>
                  <wp:effectExtent l="0" t="0" r="5715" b="5715"/>
                  <wp:docPr id="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66700" cy="266700"/>
                          </a:xfrm>
                          <a:prstGeom prst="rect">
                            <a:avLst/>
                          </a:prstGeom>
                          <a:noFill/>
                          <a:ln>
                            <a:noFill/>
                          </a:ln>
                        </pic:spPr>
                      </pic:pic>
                    </a:graphicData>
                  </a:graphic>
                </wp:inline>
              </w:drawing>
            </w:r>
            <w:r>
              <w:rPr>
                <w:sz w:val="18"/>
                <w:szCs w:val="18"/>
              </w:rPr>
              <w:t xml:space="preserve">  </w:t>
            </w:r>
            <w:r>
              <w:rPr>
                <w:rFonts w:hint="eastAsia"/>
                <w:sz w:val="18"/>
                <w:szCs w:val="18"/>
              </w:rPr>
              <w:t xml:space="preserve"> 粉色</w:t>
            </w:r>
          </w:p>
        </w:tc>
        <w:tc>
          <w:tcPr>
            <w:tcW w:w="2358" w:type="dxa"/>
            <w:vAlign w:val="center"/>
          </w:tcPr>
          <w:p w14:paraId="399789EB">
            <w:pPr>
              <w:pStyle w:val="56"/>
              <w:ind w:firstLine="0" w:firstLineChars="0"/>
              <w:jc w:val="center"/>
            </w:pPr>
            <w:r>
              <w:rPr>
                <w:sz w:val="18"/>
                <w:szCs w:val="18"/>
              </w:rPr>
              <w:t>C 0  M 81  Y 0  K 0</w:t>
            </w:r>
          </w:p>
        </w:tc>
        <w:tc>
          <w:tcPr>
            <w:tcW w:w="2824" w:type="dxa"/>
            <w:vAlign w:val="center"/>
          </w:tcPr>
          <w:p w14:paraId="0592CDAD">
            <w:pPr>
              <w:pStyle w:val="56"/>
              <w:ind w:firstLine="0" w:firstLineChars="0"/>
              <w:jc w:val="center"/>
            </w:pPr>
            <w:r>
              <w:rPr>
                <w:sz w:val="18"/>
                <w:szCs w:val="18"/>
              </w:rPr>
              <w:t>R 234  G 78  B 150</w:t>
            </w:r>
          </w:p>
        </w:tc>
        <w:tc>
          <w:tcPr>
            <w:tcW w:w="2314" w:type="dxa"/>
            <w:vAlign w:val="center"/>
          </w:tcPr>
          <w:p w14:paraId="6BE90D08">
            <w:pPr>
              <w:pStyle w:val="56"/>
              <w:ind w:firstLine="0" w:firstLineChars="0"/>
              <w:jc w:val="center"/>
            </w:pPr>
            <w:r>
              <w:rPr>
                <w:sz w:val="18"/>
                <w:szCs w:val="18"/>
              </w:rPr>
              <w:t>PANTONE 212 PC</w:t>
            </w:r>
          </w:p>
        </w:tc>
      </w:tr>
      <w:tr w14:paraId="1A3F86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065CE020">
            <w:pPr>
              <w:pStyle w:val="56"/>
              <w:ind w:firstLine="360"/>
            </w:pPr>
            <w:r>
              <w:rPr>
                <w:sz w:val="18"/>
                <w:szCs w:val="18"/>
              </w:rPr>
              <w:t xml:space="preserve"> </w:t>
            </w:r>
            <w:r>
              <w:rPr>
                <w:sz w:val="18"/>
                <w:szCs w:val="18"/>
              </w:rPr>
              <w:drawing>
                <wp:inline distT="0" distB="0" distL="0" distR="0">
                  <wp:extent cx="274320" cy="281940"/>
                  <wp:effectExtent l="0" t="0" r="6350" b="6985"/>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4320" cy="281940"/>
                          </a:xfrm>
                          <a:prstGeom prst="rect">
                            <a:avLst/>
                          </a:prstGeom>
                          <a:noFill/>
                          <a:ln>
                            <a:noFill/>
                          </a:ln>
                        </pic:spPr>
                      </pic:pic>
                    </a:graphicData>
                  </a:graphic>
                </wp:inline>
              </w:drawing>
            </w:r>
            <w:r>
              <w:rPr>
                <w:sz w:val="18"/>
                <w:szCs w:val="18"/>
              </w:rPr>
              <w:t xml:space="preserve">  </w:t>
            </w:r>
            <w:r>
              <w:rPr>
                <w:rFonts w:hint="eastAsia"/>
                <w:sz w:val="18"/>
                <w:szCs w:val="18"/>
              </w:rPr>
              <w:t>灰色</w:t>
            </w:r>
          </w:p>
        </w:tc>
        <w:tc>
          <w:tcPr>
            <w:tcW w:w="2358" w:type="dxa"/>
            <w:vAlign w:val="center"/>
          </w:tcPr>
          <w:p w14:paraId="340EF0B6">
            <w:pPr>
              <w:pStyle w:val="56"/>
              <w:ind w:firstLine="0" w:firstLineChars="0"/>
              <w:jc w:val="center"/>
            </w:pPr>
            <w:r>
              <w:rPr>
                <w:sz w:val="18"/>
                <w:szCs w:val="18"/>
              </w:rPr>
              <w:t>C 0  M 0  Y 0  K 75</w:t>
            </w:r>
          </w:p>
        </w:tc>
        <w:tc>
          <w:tcPr>
            <w:tcW w:w="2824" w:type="dxa"/>
            <w:vAlign w:val="center"/>
          </w:tcPr>
          <w:p w14:paraId="3C353BBA">
            <w:pPr>
              <w:pStyle w:val="56"/>
              <w:ind w:firstLine="0" w:firstLineChars="0"/>
              <w:jc w:val="center"/>
            </w:pPr>
            <w:r>
              <w:rPr>
                <w:sz w:val="18"/>
                <w:szCs w:val="18"/>
              </w:rPr>
              <w:t>R 102  G 102  B 102</w:t>
            </w:r>
          </w:p>
        </w:tc>
        <w:tc>
          <w:tcPr>
            <w:tcW w:w="2314" w:type="dxa"/>
            <w:vAlign w:val="center"/>
          </w:tcPr>
          <w:p w14:paraId="61411E98">
            <w:pPr>
              <w:pStyle w:val="56"/>
              <w:ind w:firstLine="0" w:firstLineChars="0"/>
              <w:jc w:val="center"/>
            </w:pPr>
            <w:r>
              <w:rPr>
                <w:sz w:val="18"/>
                <w:szCs w:val="18"/>
              </w:rPr>
              <w:t xml:space="preserve">PANTONE </w:t>
            </w:r>
            <w:r>
              <w:rPr>
                <w:rFonts w:hint="eastAsia"/>
                <w:sz w:val="18"/>
                <w:szCs w:val="18"/>
              </w:rPr>
              <w:t>冷灰色</w:t>
            </w:r>
            <w:r>
              <w:rPr>
                <w:rFonts w:hint="eastAsia"/>
              </w:rPr>
              <w:t> </w:t>
            </w:r>
            <w:r>
              <w:rPr>
                <w:rFonts w:hint="eastAsia"/>
                <w:sz w:val="18"/>
                <w:szCs w:val="18"/>
              </w:rPr>
              <w:t xml:space="preserve">10 </w:t>
            </w:r>
            <w:r>
              <w:rPr>
                <w:sz w:val="18"/>
                <w:szCs w:val="18"/>
              </w:rPr>
              <w:t>PC</w:t>
            </w:r>
          </w:p>
        </w:tc>
      </w:tr>
      <w:tr w14:paraId="4AF3F6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058" w:type="dxa"/>
            <w:vAlign w:val="center"/>
          </w:tcPr>
          <w:p w14:paraId="12219CA4">
            <w:pPr>
              <w:pStyle w:val="56"/>
              <w:ind w:firstLine="360"/>
            </w:pPr>
            <w:r>
              <w:rPr>
                <w:sz w:val="18"/>
                <w:szCs w:val="18"/>
              </w:rPr>
              <w:drawing>
                <wp:inline distT="0" distB="0" distL="0" distR="0">
                  <wp:extent cx="281940" cy="281940"/>
                  <wp:effectExtent l="0" t="0" r="6985" b="6985"/>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1940" cy="281940"/>
                          </a:xfrm>
                          <a:prstGeom prst="rect">
                            <a:avLst/>
                          </a:prstGeom>
                          <a:noFill/>
                          <a:ln>
                            <a:noFill/>
                          </a:ln>
                        </pic:spPr>
                      </pic:pic>
                    </a:graphicData>
                  </a:graphic>
                </wp:inline>
              </w:drawing>
            </w:r>
            <w:r>
              <w:rPr>
                <w:sz w:val="18"/>
                <w:szCs w:val="18"/>
              </w:rPr>
              <w:t xml:space="preserve">   </w:t>
            </w:r>
            <w:r>
              <w:rPr>
                <w:rFonts w:hint="eastAsia"/>
                <w:sz w:val="18"/>
                <w:szCs w:val="18"/>
              </w:rPr>
              <w:t>白色</w:t>
            </w:r>
          </w:p>
        </w:tc>
        <w:tc>
          <w:tcPr>
            <w:tcW w:w="2358" w:type="dxa"/>
            <w:vAlign w:val="center"/>
          </w:tcPr>
          <w:p w14:paraId="2E830317">
            <w:pPr>
              <w:pStyle w:val="56"/>
              <w:ind w:firstLine="0" w:firstLineChars="0"/>
              <w:jc w:val="center"/>
            </w:pPr>
            <w:r>
              <w:rPr>
                <w:sz w:val="18"/>
                <w:szCs w:val="18"/>
              </w:rPr>
              <w:t>C 0  M 0  Y 0  K 0</w:t>
            </w:r>
          </w:p>
        </w:tc>
        <w:tc>
          <w:tcPr>
            <w:tcW w:w="2824" w:type="dxa"/>
            <w:vAlign w:val="center"/>
          </w:tcPr>
          <w:p w14:paraId="731A5614">
            <w:pPr>
              <w:pStyle w:val="56"/>
              <w:ind w:firstLine="0" w:firstLineChars="0"/>
              <w:jc w:val="center"/>
            </w:pPr>
            <w:r>
              <w:rPr>
                <w:sz w:val="18"/>
                <w:szCs w:val="18"/>
              </w:rPr>
              <w:t>R 255  G 255  B 255</w:t>
            </w:r>
          </w:p>
        </w:tc>
        <w:tc>
          <w:tcPr>
            <w:tcW w:w="2314" w:type="dxa"/>
            <w:vAlign w:val="center"/>
          </w:tcPr>
          <w:p w14:paraId="54653D78">
            <w:pPr>
              <w:pStyle w:val="56"/>
              <w:ind w:firstLine="0" w:firstLineChars="0"/>
              <w:jc w:val="center"/>
            </w:pPr>
            <w:r>
              <w:rPr>
                <w:rFonts w:hint="eastAsia"/>
                <w:sz w:val="18"/>
                <w:szCs w:val="18"/>
              </w:rPr>
              <w:t>白色</w:t>
            </w:r>
          </w:p>
        </w:tc>
      </w:tr>
    </w:tbl>
    <w:p w14:paraId="0C3E47F7">
      <w:pPr>
        <w:pStyle w:val="56"/>
        <w:ind w:firstLine="420"/>
      </w:pPr>
    </w:p>
    <w:p w14:paraId="4C5B98D6">
      <w:pPr>
        <w:pStyle w:val="56"/>
        <w:ind w:firstLine="420"/>
      </w:pPr>
    </w:p>
    <w:p w14:paraId="710315DE">
      <w:pPr>
        <w:pStyle w:val="56"/>
        <w:ind w:firstLine="420"/>
      </w:pPr>
    </w:p>
    <w:bookmarkEnd w:id="71"/>
    <w:p w14:paraId="1E6AD478">
      <w:pPr>
        <w:pStyle w:val="63"/>
        <w:spacing w:after="120"/>
      </w:pPr>
      <w:bookmarkStart w:id="85" w:name="_Toc29571"/>
      <w:bookmarkStart w:id="86" w:name="_Toc27681"/>
      <w:bookmarkStart w:id="87" w:name="BookMark6"/>
      <w:r>
        <w:rPr>
          <w:rFonts w:hint="eastAsia"/>
          <w:spacing w:val="105"/>
        </w:rPr>
        <w:t>参考文</w:t>
      </w:r>
      <w:r>
        <w:rPr>
          <w:rFonts w:hint="eastAsia"/>
        </w:rPr>
        <w:t>献</w:t>
      </w:r>
      <w:bookmarkEnd w:id="85"/>
      <w:bookmarkEnd w:id="86"/>
    </w:p>
    <w:p w14:paraId="0365CBF3">
      <w:pPr>
        <w:pStyle w:val="56"/>
        <w:ind w:firstLine="420"/>
      </w:pPr>
    </w:p>
    <w:p w14:paraId="734DE046">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 供应予消费者之熟食产品标签所应该遵守之条件（澳门特别行政区第50/92/M号法令）</w:t>
      </w:r>
    </w:p>
    <w:p w14:paraId="0DA1C3B6">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[2]</w:t>
      </w:r>
      <w:r>
        <w:rPr>
          <w:rFonts w:ascii="宋体" w:hAnsi="Times New Roman"/>
          <w:kern w:val="0"/>
        </w:rPr>
        <w:t xml:space="preserve"> </w:t>
      </w:r>
      <w:r>
        <w:rPr>
          <w:rFonts w:hint="eastAsia" w:ascii="宋体" w:hAnsi="宋体"/>
          <w:kern w:val="0"/>
        </w:rPr>
        <w:t>食物及药物（成分组合及标签）规例（香港特别行政区第132章，附属法例W）</w:t>
      </w:r>
    </w:p>
    <w:p w14:paraId="11DDCE59">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[3] 食物内有害物质规例（香港特别行政区第132章，附属法例AF）</w:t>
      </w:r>
    </w:p>
    <w:p w14:paraId="0541ECC6">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[4] 食品中兽药最高残留限量(澳门特别行政区第13/2013号行政法规）</w:t>
      </w:r>
    </w:p>
    <w:p w14:paraId="4D25237F">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[5] 香港特别行政区食品微生物含量指引 (食物安全中心 二零一四年六月 (修订本))</w:t>
      </w:r>
    </w:p>
    <w:p w14:paraId="24CFA87D">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[6] 食品中禁用物质清单(澳门特别行政区第3/2016号行政法规修改第6/2014号行政法规）</w:t>
      </w:r>
    </w:p>
    <w:p w14:paraId="4D7F85B9">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[7] 食品中禁用物质清单(澳门特别行政区第6/2014号行政法规）</w:t>
      </w:r>
    </w:p>
    <w:p w14:paraId="3039DA88">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[8] 食物掺杂(金属杂质含量)规例（香港特别行政区第132章，附属法例V）</w:t>
      </w:r>
    </w:p>
    <w:p w14:paraId="36816275">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[9] 食物内除害剂残余规例（香港特别行政区第132章，附属法例CM）</w:t>
      </w:r>
    </w:p>
    <w:p w14:paraId="1CAAEE2F">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[10] 食品中重金属污染物最高限量(澳门特别行政区第23/2018号行政法规）</w:t>
      </w:r>
    </w:p>
    <w:p w14:paraId="64804615">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[11] 中国康复医学会吞咽障碍康复专业委员会、中国营养学会老年营养分会，吞咽障碍膳食营养管理中国专家共识（2019版）</w:t>
      </w:r>
    </w:p>
    <w:p w14:paraId="280D78A2">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[12] 食品中农药最高残留限量(澳门特别行政区第11/2020号行政法规）</w:t>
      </w:r>
    </w:p>
    <w:p w14:paraId="27D9B2FF">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[13] 2021年食物内有害物质（修订）规例（香港特别行政区2021年第86号法律公告）</w:t>
      </w:r>
    </w:p>
    <w:p w14:paraId="65B4B9CD">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[14] 香港社会服务联会，照护食标准指引.2023年</w:t>
      </w:r>
    </w:p>
    <w:p w14:paraId="6148CD28">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[15] 国家卫生健康委办公厅关于印发成人高脂血症食养指南（2023年版）等4项食养指南的通知：国卫办食品函〔2023〕5号</w:t>
      </w:r>
    </w:p>
    <w:p w14:paraId="40F34FA6">
      <w:pPr>
        <w:widowControl/>
        <w:autoSpaceDE w:val="0"/>
        <w:autoSpaceDN w:val="0"/>
        <w:adjustRightInd/>
        <w:spacing w:line="360" w:lineRule="auto"/>
        <w:ind w:firstLine="420" w:firstLineChars="200"/>
        <w:rPr>
          <w:rFonts w:ascii="宋体" w:hAnsi="Times New Roman"/>
          <w:kern w:val="0"/>
        </w:rPr>
      </w:pPr>
      <w:r>
        <w:rPr>
          <w:rFonts w:hint="eastAsia" w:ascii="宋体" w:hAnsi="宋体"/>
          <w:kern w:val="0"/>
        </w:rPr>
        <w:t>[16] 国家卫生健康委办公厅关于印发成人高尿酸血症与痛风食养指南（2024年版）等4项食养指南的通知：国卫办食品函〔2024〕53号</w:t>
      </w:r>
    </w:p>
    <w:bookmarkEnd w:id="87"/>
    <w:p w14:paraId="51435E28">
      <w:pPr>
        <w:pStyle w:val="56"/>
        <w:ind w:firstLine="0" w:firstLineChars="0"/>
        <w:jc w:val="center"/>
      </w:pPr>
      <w:bookmarkStart w:id="88" w:name="BookMark8"/>
      <w:r>
        <w:rPr>
          <w:rFonts w:hint="eastAsia"/>
        </w:rPr>
        <w:drawing>
          <wp:inline distT="0" distB="0" distL="114300" distR="114300">
            <wp:extent cx="1485900" cy="317500"/>
            <wp:effectExtent l="0" t="0" r="0" b="4445"/>
            <wp:docPr id="6" name="图片 6" descr="1"/>
            <wp:cNvGraphicFramePr/>
            <a:graphic xmlns:a="http://schemas.openxmlformats.org/drawingml/2006/main">
              <a:graphicData uri="http://schemas.openxmlformats.org/drawingml/2006/picture">
                <pic:pic xmlns:pic="http://schemas.openxmlformats.org/drawingml/2006/picture">
                  <pic:nvPicPr>
                    <pic:cNvPr id="6" name="图片 6" descr="1"/>
                    <pic:cNvPicPr/>
                  </pic:nvPicPr>
                  <pic:blipFill>
                    <a:blip r:embed="rId52"/>
                    <a:stretch>
                      <a:fillRect/>
                    </a:stretch>
                  </pic:blipFill>
                  <pic:spPr>
                    <a:xfrm>
                      <a:off x="0" y="0"/>
                      <a:ext cx="1485900" cy="317500"/>
                    </a:xfrm>
                    <a:prstGeom prst="rect">
                      <a:avLst/>
                    </a:prstGeom>
                  </pic:spPr>
                </pic:pic>
              </a:graphicData>
            </a:graphic>
          </wp:inline>
        </w:drawing>
      </w:r>
      <w:bookmarkEnd w:id="88"/>
    </w:p>
    <w:sectPr>
      <w:headerReference r:id="rId34" w:type="default"/>
      <w:footerReference r:id="rId36" w:type="default"/>
      <w:headerReference r:id="rId35" w:type="even"/>
      <w:footerReference r:id="rId37" w:type="even"/>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6ED3A1">
    <w:pPr>
      <w:pStyle w:val="17"/>
    </w:pPr>
    <w:r>
      <w:fldChar w:fldCharType="begin"/>
    </w:r>
    <w:r>
      <w:instrText xml:space="preserve">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FA302">
    <w:pPr>
      <w:pStyle w:val="51"/>
    </w:pPr>
    <w:r>
      <w:fldChar w:fldCharType="begin"/>
    </w:r>
    <w:r>
      <w:instrText xml:space="preserve"> PAGE   \* MERGEFORMAT \* MERGEFORMAT </w:instrText>
    </w:r>
    <w:r>
      <w:fldChar w:fldCharType="separate"/>
    </w:r>
    <w:r>
      <w:t>2</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76373">
    <w:pPr>
      <w:pStyle w:val="52"/>
    </w:pPr>
    <w:r>
      <w:fldChar w:fldCharType="begin"/>
    </w:r>
    <w:r>
      <w:instrText xml:space="preserve">PAGE   \* MERGEFORMAT</w:instrText>
    </w:r>
    <w:r>
      <w:fldChar w:fldCharType="separate"/>
    </w:r>
    <w:r>
      <w:rPr>
        <w:lang w:val="zh-CN"/>
      </w:rPr>
      <w:t>1</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8C838">
    <w:pPr>
      <w:pStyle w:val="51"/>
    </w:pPr>
    <w:r>
      <w:fldChar w:fldCharType="begin"/>
    </w:r>
    <w:r>
      <w:instrText xml:space="preserve"> PAGE   \* MERGEFORMAT \* MERGEFORMAT </w:instrText>
    </w:r>
    <w:r>
      <w:fldChar w:fldCharType="separate"/>
    </w:r>
    <w:r>
      <w:t>6</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45F2B1">
    <w:pPr>
      <w:pStyle w:val="52"/>
    </w:pPr>
    <w:r>
      <w:fldChar w:fldCharType="begin"/>
    </w:r>
    <w:r>
      <w:instrText xml:space="preserve">PAGE   \* MERGEFORMAT</w:instrText>
    </w:r>
    <w:r>
      <w:fldChar w:fldCharType="separate"/>
    </w:r>
    <w:r>
      <w:rPr>
        <w:lang w:val="zh-CN"/>
      </w:rPr>
      <w:t>1</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128BF3">
    <w:pPr>
      <w:pStyle w:val="51"/>
    </w:pPr>
    <w:r>
      <w:fldChar w:fldCharType="begin"/>
    </w:r>
    <w:r>
      <w:instrText xml:space="preserve"> PAGE   \* MERGEFORMAT \* MERGEFORMAT </w:instrText>
    </w:r>
    <w:r>
      <w:fldChar w:fldCharType="separate"/>
    </w:r>
    <w:r>
      <w:t>8</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C170AE">
    <w:pPr>
      <w:pStyle w:val="52"/>
    </w:pPr>
    <w:r>
      <w:fldChar w:fldCharType="begin"/>
    </w:r>
    <w:r>
      <w:instrText xml:space="preserve">PAGE   \* MERGEFORMAT</w:instrText>
    </w:r>
    <w:r>
      <w:fldChar w:fldCharType="separate"/>
    </w:r>
    <w:r>
      <w:rPr>
        <w:lang w:val="zh-CN"/>
      </w:rPr>
      <w:t>1</w:t>
    </w:r>
    <w: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3C35F">
    <w:pPr>
      <w:pStyle w:val="51"/>
    </w:pPr>
    <w:r>
      <w:fldChar w:fldCharType="begin"/>
    </w:r>
    <w:r>
      <w:instrText xml:space="preserve"> PAGE   \* MERGEFORMAT \* MERGEFORMAT </w:instrText>
    </w:r>
    <w:r>
      <w:fldChar w:fldCharType="separate"/>
    </w:r>
    <w: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E518A">
    <w:pPr>
      <w:pStyle w:val="17"/>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33437">
    <w:pPr>
      <w:pStyle w:val="52"/>
    </w:pPr>
    <w:r>
      <w:fldChar w:fldCharType="begin"/>
    </w:r>
    <w:r>
      <w:instrText xml:space="preserve">PAGE   \* MERGEFORMAT</w:instrText>
    </w:r>
    <w:r>
      <w:fldChar w:fldCharType="separate"/>
    </w:r>
    <w:r>
      <w:rPr>
        <w:lang w:val="zh-CN"/>
      </w:rPr>
      <w:t>1</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70157B">
    <w:pPr>
      <w:pStyle w:val="51"/>
    </w:pPr>
    <w:r>
      <w:fldChar w:fldCharType="begin"/>
    </w:r>
    <w:r>
      <w:instrText xml:space="preserve"> PAGE   \* MERGEFORMAT \* MERGEFORMAT </w:instrText>
    </w:r>
    <w:r>
      <w:fldChar w:fldCharType="separate"/>
    </w:r>
    <w:r>
      <w:t>2</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EF18D1">
    <w:pPr>
      <w:pStyle w:val="52"/>
    </w:pPr>
    <w:r>
      <w:fldChar w:fldCharType="begin"/>
    </w:r>
    <w:r>
      <w:instrText xml:space="preserve">PAGE   \* MERGEFORMAT</w:instrText>
    </w:r>
    <w:r>
      <w:fldChar w:fldCharType="separate"/>
    </w:r>
    <w:r>
      <w:rPr>
        <w:lang w:val="zh-CN"/>
      </w:rPr>
      <w:t>1</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5F1338">
    <w:pPr>
      <w:pStyle w:val="51"/>
    </w:pPr>
    <w:r>
      <w:fldChar w:fldCharType="begin"/>
    </w:r>
    <w:r>
      <w:instrText xml:space="preserve"> PAGE   \* MERGEFORMAT \* MERGEFORMAT </w:instrText>
    </w:r>
    <w:r>
      <w:fldChar w:fldCharType="separate"/>
    </w:r>
    <w:r>
      <w:t>2</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D6A51">
    <w:pPr>
      <w:pStyle w:val="52"/>
    </w:pPr>
    <w:r>
      <w:fldChar w:fldCharType="begin"/>
    </w:r>
    <w:r>
      <w:instrText xml:space="preserve">PAGE   \* MERGEFORMAT</w:instrText>
    </w:r>
    <w:r>
      <w:fldChar w:fldCharType="separate"/>
    </w:r>
    <w:r>
      <w:rPr>
        <w:lang w:val="zh-CN"/>
      </w:rPr>
      <w:t>1</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CDCBDE">
    <w:pPr>
      <w:pStyle w:val="51"/>
    </w:pPr>
    <w:r>
      <w:fldChar w:fldCharType="begin"/>
    </w:r>
    <w:r>
      <w:instrText xml:space="preserve"> PAGE   \* MERGEFORMAT \* MERGEFORMAT </w:instrText>
    </w:r>
    <w:r>
      <w:fldChar w:fldCharType="separate"/>
    </w:r>
    <w:r>
      <w:t>3</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9552F">
    <w:pPr>
      <w:pStyle w:val="52"/>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015FE">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16FD6B">
    <w:pPr>
      <w:pStyle w:val="61"/>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F995D">
    <w:pPr>
      <w:pStyle w:val="62"/>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47F7">
    <w:pPr>
      <w:pStyle w:val="61"/>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AA4D81">
    <w:pPr>
      <w:pStyle w:val="62"/>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D2A763">
    <w:pPr>
      <w:pStyle w:val="61"/>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C9BCB">
    <w:pPr>
      <w:pStyle w:val="62"/>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725E6">
    <w:pPr>
      <w:pStyle w:val="61"/>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289BF">
    <w:pPr>
      <w:pStyle w:val="62"/>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00DE48">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F6D8A9">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47DE7">
    <w:pPr>
      <w:pStyle w:val="61"/>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CBFB01">
    <w:pPr>
      <w:pStyle w:val="62"/>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66183">
    <w:pPr>
      <w:pStyle w:val="61"/>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A57B37">
    <w:pPr>
      <w:pStyle w:val="62"/>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56DDAD">
    <w:pPr>
      <w:pStyle w:val="61"/>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85A00">
    <w:pPr>
      <w:pStyle w:val="62"/>
      <w:rPr>
        <w:rFonts w:hint="eastAsia"/>
      </w:rPr>
    </w:pPr>
    <w:r>
      <w:fldChar w:fldCharType="begin"/>
    </w:r>
    <w:r>
      <w:instrText xml:space="preserve"> STYLEREF  标准文件_文件编号 \* MERGEFORMAT </w:instrText>
    </w:r>
    <w:r>
      <w:fldChar w:fldCharType="separate"/>
    </w:r>
    <w:r>
      <w:t>T/SATA 084—2025</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1560" w:firstLine="0"/>
      </w:pPr>
      <w:rPr>
        <w:rFonts w:hint="eastAsia" w:ascii="黑体" w:eastAsia="黑体"/>
        <w:b w:val="0"/>
        <w:i w:val="0"/>
        <w:sz w:val="21"/>
      </w:rPr>
    </w:lvl>
    <w:lvl w:ilvl="4" w:tentative="0">
      <w:start w:val="1"/>
      <w:numFmt w:val="decimal"/>
      <w:pStyle w:val="94"/>
      <w:suff w:val="nothing"/>
      <w:lvlText w:val="%1%2.%3.%4.%5　"/>
      <w:lvlJc w:val="left"/>
      <w:pPr>
        <w:ind w:left="568"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8"/>
  <w:bordersDoNotSurroundHeader w:val="1"/>
  <w:bordersDoNotSurroundFooter w:val="1"/>
  <w:attachedTemplate r:id="rId1"/>
  <w:documentProtection w:edit="forms" w:enforcement="0"/>
  <w:defaultTabStop w:val="420"/>
  <w:evenAndOddHeaders w:val="1"/>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D8B4187"/>
    <w:rsid w:val="0000040A"/>
    <w:rsid w:val="00000A94"/>
    <w:rsid w:val="00001972"/>
    <w:rsid w:val="00001D9A"/>
    <w:rsid w:val="00002D44"/>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37B"/>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1B86"/>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495"/>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5533B"/>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0704E"/>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4A5D"/>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0F80"/>
    <w:rsid w:val="00561475"/>
    <w:rsid w:val="00562308"/>
    <w:rsid w:val="0056487B"/>
    <w:rsid w:val="00564FB9"/>
    <w:rsid w:val="00573D9E"/>
    <w:rsid w:val="005801E3"/>
    <w:rsid w:val="00581802"/>
    <w:rsid w:val="005836A8"/>
    <w:rsid w:val="0058409C"/>
    <w:rsid w:val="00584262"/>
    <w:rsid w:val="00586630"/>
    <w:rsid w:val="00587ADD"/>
    <w:rsid w:val="005907AC"/>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3D27"/>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8E0"/>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09D"/>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3B9B"/>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744"/>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6980"/>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0C4A"/>
    <w:rsid w:val="00C13319"/>
    <w:rsid w:val="00C13EE9"/>
    <w:rsid w:val="00C21540"/>
    <w:rsid w:val="00C21906"/>
    <w:rsid w:val="00C21BFA"/>
    <w:rsid w:val="00C227B9"/>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BFF"/>
    <w:rsid w:val="00D21E81"/>
    <w:rsid w:val="00D223DE"/>
    <w:rsid w:val="00D25682"/>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2F39"/>
    <w:rsid w:val="00E34A98"/>
    <w:rsid w:val="00E35D1E"/>
    <w:rsid w:val="00E364F9"/>
    <w:rsid w:val="00E365FA"/>
    <w:rsid w:val="00E36789"/>
    <w:rsid w:val="00E44A83"/>
    <w:rsid w:val="00E502C1"/>
    <w:rsid w:val="00E502DD"/>
    <w:rsid w:val="00E50D3A"/>
    <w:rsid w:val="00E51387"/>
    <w:rsid w:val="00E51E68"/>
    <w:rsid w:val="00E52EFD"/>
    <w:rsid w:val="00E5408A"/>
    <w:rsid w:val="00E55624"/>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75C2"/>
    <w:rsid w:val="00EE0350"/>
    <w:rsid w:val="00EE0719"/>
    <w:rsid w:val="00EE0E80"/>
    <w:rsid w:val="00EE613F"/>
    <w:rsid w:val="00EE7295"/>
    <w:rsid w:val="00EE7869"/>
    <w:rsid w:val="00EF054A"/>
    <w:rsid w:val="00EF3235"/>
    <w:rsid w:val="00EF7076"/>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EF055A9"/>
    <w:rsid w:val="1398630C"/>
    <w:rsid w:val="14DC2E88"/>
    <w:rsid w:val="15B11CDA"/>
    <w:rsid w:val="261A513F"/>
    <w:rsid w:val="293D2717"/>
    <w:rsid w:val="2DCD42C6"/>
    <w:rsid w:val="318178A1"/>
    <w:rsid w:val="3442004B"/>
    <w:rsid w:val="35383F87"/>
    <w:rsid w:val="3CAF1767"/>
    <w:rsid w:val="3D8B4187"/>
    <w:rsid w:val="421361F6"/>
    <w:rsid w:val="45B25078"/>
    <w:rsid w:val="46855B70"/>
    <w:rsid w:val="472D4FF9"/>
    <w:rsid w:val="4DFC48E6"/>
    <w:rsid w:val="51D016BE"/>
    <w:rsid w:val="52595FA5"/>
    <w:rsid w:val="5A1C6C52"/>
    <w:rsid w:val="5AB553D4"/>
    <w:rsid w:val="6B1125AB"/>
    <w:rsid w:val="6DB86735"/>
    <w:rsid w:val="6DC676A7"/>
    <w:rsid w:val="6F7F206D"/>
    <w:rsid w:val="76676633"/>
    <w:rsid w:val="7B1E3FF3"/>
    <w:rsid w:val="7B600119"/>
    <w:rsid w:val="7E8D6E52"/>
    <w:rsid w:val="7FE231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qFormat/>
    <w:uiPriority w:val="0"/>
    <w:rPr>
      <w:b/>
      <w:bCs/>
      <w:kern w:val="2"/>
      <w:sz w:val="28"/>
      <w:szCs w:val="28"/>
    </w:rPr>
  </w:style>
  <w:style w:type="character" w:customStyle="1" w:styleId="39">
    <w:name w:val="标题 6 字符"/>
    <w:link w:val="7"/>
    <w:qFormat/>
    <w:uiPriority w:val="0"/>
    <w:rPr>
      <w:rFonts w:ascii="Arial" w:hAnsi="Arial" w:eastAsia="黑体"/>
      <w:b/>
      <w:bCs/>
      <w:kern w:val="2"/>
      <w:sz w:val="24"/>
      <w:szCs w:val="24"/>
    </w:rPr>
  </w:style>
  <w:style w:type="character" w:customStyle="1" w:styleId="40">
    <w:name w:val="标题 7 字符"/>
    <w:link w:val="8"/>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ind w:left="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ind w:left="0"/>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Times New Roman"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style>
  <w:style w:type="paragraph" w:customStyle="1" w:styleId="189">
    <w:name w:val="标准文件_一级项2"/>
    <w:basedOn w:val="56"/>
    <w:qFormat/>
    <w:uiPriority w:val="0"/>
    <w:pPr>
      <w:numPr>
        <w:ilvl w:val="0"/>
        <w:numId w:val="31"/>
      </w:numPr>
      <w:spacing w:line="300" w:lineRule="exact"/>
      <w:ind w:firstLineChars="0"/>
    </w:p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paragraph" w:customStyle="1" w:styleId="230">
    <w:name w:val="修订1"/>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7" Type="http://schemas.openxmlformats.org/officeDocument/2006/relationships/glossaryDocument" Target="glossary/document.xml"/><Relationship Id="rId56" Type="http://schemas.openxmlformats.org/officeDocument/2006/relationships/fontTable" Target="fontTable.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14.jpeg"/><Relationship Id="rId51" Type="http://schemas.openxmlformats.org/officeDocument/2006/relationships/image" Target="media/image13.jpeg"/><Relationship Id="rId50" Type="http://schemas.openxmlformats.org/officeDocument/2006/relationships/image" Target="media/image12.jpeg"/><Relationship Id="rId5" Type="http://schemas.openxmlformats.org/officeDocument/2006/relationships/header" Target="header1.xml"/><Relationship Id="rId49" Type="http://schemas.openxmlformats.org/officeDocument/2006/relationships/image" Target="media/image11.jpeg"/><Relationship Id="rId48" Type="http://schemas.openxmlformats.org/officeDocument/2006/relationships/image" Target="media/image10.jpeg"/><Relationship Id="rId47" Type="http://schemas.openxmlformats.org/officeDocument/2006/relationships/image" Target="media/image9.jpeg"/><Relationship Id="rId46" Type="http://schemas.openxmlformats.org/officeDocument/2006/relationships/image" Target="media/image8.jpeg"/><Relationship Id="rId45" Type="http://schemas.openxmlformats.org/officeDocument/2006/relationships/image" Target="media/image7.jpeg"/><Relationship Id="rId44" Type="http://schemas.openxmlformats.org/officeDocument/2006/relationships/image" Target="media/image6.jpeg"/><Relationship Id="rId43" Type="http://schemas.openxmlformats.org/officeDocument/2006/relationships/image" Target="media/image5.jpeg"/><Relationship Id="rId42" Type="http://schemas.openxmlformats.org/officeDocument/2006/relationships/image" Target="media/image4.jpeg"/><Relationship Id="rId41" Type="http://schemas.openxmlformats.org/officeDocument/2006/relationships/image" Target="media/image3.png"/><Relationship Id="rId40" Type="http://schemas.openxmlformats.org/officeDocument/2006/relationships/image" Target="media/image2.png"/><Relationship Id="rId4" Type="http://schemas.openxmlformats.org/officeDocument/2006/relationships/endnotes" Target="endnotes.xml"/><Relationship Id="rId39" Type="http://schemas.openxmlformats.org/officeDocument/2006/relationships/image" Target="media/image1.png"/><Relationship Id="rId38" Type="http://schemas.openxmlformats.org/officeDocument/2006/relationships/theme" Target="theme/theme1.xml"/><Relationship Id="rId37" Type="http://schemas.openxmlformats.org/officeDocument/2006/relationships/footer" Target="footer16.xml"/><Relationship Id="rId36" Type="http://schemas.openxmlformats.org/officeDocument/2006/relationships/footer" Target="footer15.xml"/><Relationship Id="rId35" Type="http://schemas.openxmlformats.org/officeDocument/2006/relationships/header" Target="header17.xml"/><Relationship Id="rId34" Type="http://schemas.openxmlformats.org/officeDocument/2006/relationships/header" Target="header16.xml"/><Relationship Id="rId33" Type="http://schemas.openxmlformats.org/officeDocument/2006/relationships/footer" Target="footer14.xml"/><Relationship Id="rId32" Type="http://schemas.openxmlformats.org/officeDocument/2006/relationships/footer" Target="footer13.xml"/><Relationship Id="rId31" Type="http://schemas.openxmlformats.org/officeDocument/2006/relationships/header" Target="header15.xml"/><Relationship Id="rId30" Type="http://schemas.openxmlformats.org/officeDocument/2006/relationships/header" Target="header14.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footer" Target="footer11.xml"/><Relationship Id="rId27" Type="http://schemas.openxmlformats.org/officeDocument/2006/relationships/header" Target="header13.xml"/><Relationship Id="rId26" Type="http://schemas.openxmlformats.org/officeDocument/2006/relationships/header" Target="header12.xml"/><Relationship Id="rId25" Type="http://schemas.openxmlformats.org/officeDocument/2006/relationships/footer" Target="footer10.xml"/><Relationship Id="rId24" Type="http://schemas.openxmlformats.org/officeDocument/2006/relationships/footer" Target="footer9.xml"/><Relationship Id="rId23" Type="http://schemas.openxmlformats.org/officeDocument/2006/relationships/header" Target="header11.xml"/><Relationship Id="rId22" Type="http://schemas.openxmlformats.org/officeDocument/2006/relationships/header" Target="header10.xml"/><Relationship Id="rId21" Type="http://schemas.openxmlformats.org/officeDocument/2006/relationships/footer" Target="footer8.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footer" Target="footer6.xml"/><Relationship Id="rId16" Type="http://schemas.openxmlformats.org/officeDocument/2006/relationships/footer" Target="footer5.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footer" Target="footer4.xml"/><Relationship Id="rId12" Type="http://schemas.openxmlformats.org/officeDocument/2006/relationships/footer" Target="footer3.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StandardEditor\template\&#22242;&#20307;&#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B3BEDB4F2724F9D81F4444A5CCE266D"/>
        <w:style w:val=""/>
        <w:category>
          <w:name w:val="常规"/>
          <w:gallery w:val="placeholder"/>
        </w:category>
        <w:types>
          <w:type w:val="bbPlcHdr"/>
        </w:types>
        <w:behaviors>
          <w:behavior w:val="content"/>
        </w:behaviors>
        <w:description w:val=""/>
        <w:guid w:val="{9A791DFB-56F6-4B85-997E-8EF3CEE1C2DA}"/>
      </w:docPartPr>
      <w:docPartBody>
        <w:p w14:paraId="28905C5A">
          <w:pPr>
            <w:pStyle w:val="5"/>
            <w:rPr>
              <w:rFonts w:hint="eastAsia"/>
            </w:rPr>
          </w:pPr>
          <w:r>
            <w:rPr>
              <w:rStyle w:val="4"/>
              <w:rFonts w:hint="eastAsia"/>
            </w:rPr>
            <w:t>单击或点击此处输入文字。</w:t>
          </w:r>
        </w:p>
      </w:docPartBody>
    </w:docPart>
    <w:docPart>
      <w:docPartPr>
        <w:name w:val="78956B8278AF41489B4C226600D2E8C4"/>
        <w:style w:val=""/>
        <w:category>
          <w:name w:val="常规"/>
          <w:gallery w:val="placeholder"/>
        </w:category>
        <w:types>
          <w:type w:val="bbPlcHdr"/>
        </w:types>
        <w:behaviors>
          <w:behavior w:val="content"/>
        </w:behaviors>
        <w:description w:val=""/>
        <w:guid w:val="{35D7B9DB-82B3-43EC-9478-2F4253E62990}"/>
      </w:docPartPr>
      <w:docPartBody>
        <w:p w14:paraId="4B23BAA3">
          <w:pPr>
            <w:pStyle w:val="6"/>
            <w:rPr>
              <w:rFonts w:hint="eastAsia"/>
            </w:rPr>
          </w:pPr>
          <w:r>
            <w:rPr>
              <w:rStyle w:val="4"/>
              <w:rFonts w:hint="eastAsia"/>
            </w:rPr>
            <w:t>选择一项。</w:t>
          </w:r>
        </w:p>
      </w:docPartBody>
    </w:docPart>
    <w:docPart>
      <w:docPartPr>
        <w:name w:val="DD487E154D8B46B1811108614A11313A"/>
        <w:style w:val=""/>
        <w:category>
          <w:name w:val="常规"/>
          <w:gallery w:val="placeholder"/>
        </w:category>
        <w:types>
          <w:type w:val="bbPlcHdr"/>
        </w:types>
        <w:behaviors>
          <w:behavior w:val="content"/>
        </w:behaviors>
        <w:description w:val=""/>
        <w:guid w:val="{BDA84726-025B-4CC9-AFA0-B8C5A34685AA}"/>
      </w:docPartPr>
      <w:docPartBody>
        <w:p w14:paraId="7954C56A">
          <w:pPr>
            <w:pStyle w:val="7"/>
            <w:rPr>
              <w:rFonts w:hint="eastAsia"/>
            </w:rPr>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70EA"/>
    <w:rsid w:val="00101B86"/>
    <w:rsid w:val="001C2495"/>
    <w:rsid w:val="005D70EA"/>
    <w:rsid w:val="006537C3"/>
    <w:rsid w:val="006E28E0"/>
    <w:rsid w:val="009974E4"/>
    <w:rsid w:val="00B37098"/>
    <w:rsid w:val="00C47F70"/>
    <w:rsid w:val="00E12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9B3BEDB4F2724F9D81F4444A5CCE26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78956B8278AF41489B4C226600D2E8C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DD487E154D8B46B1811108614A11313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datastoreItem>
</file>

<file path=docProps/app.xml><?xml version="1.0" encoding="utf-8"?>
<Properties xmlns="http://schemas.openxmlformats.org/officeDocument/2006/extended-properties" xmlns:vt="http://schemas.openxmlformats.org/officeDocument/2006/docPropsVTypes">
  <Template>团体标准.dotx</Template>
  <Pages>17</Pages>
  <Words>2624</Words>
  <Characters>2971</Characters>
  <Lines>93</Lines>
  <Paragraphs>26</Paragraphs>
  <TotalTime>13</TotalTime>
  <ScaleCrop>false</ScaleCrop>
  <LinksUpToDate>false</LinksUpToDate>
  <CharactersWithSpaces>3146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2025-08-31T17:07:00Z</dcterms:created>
  <dc:creator>echo</dc:creator>
  <cp:lastModifiedBy>echo</cp:lastModifiedBy>
  <dcterms:modified xsi:type="dcterms:W3CDTF">2025-09-01T00:27:59Z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ICV">
    <vt:lpwstr>6431531DA08C48338A9631EC340CF5CD_11</vt:lpwstr>
  </property>
  <property fmtid="{D5CDD505-2E9C-101B-9397-08002B2CF9AE}" pid="15" name="DoublePage">
    <vt:lpwstr>true</vt:lpwstr>
  </property>
  <property fmtid="{D5CDD505-2E9C-101B-9397-08002B2CF9AE}" pid="16" name="KSOTemplateDocerSaveRecord">
    <vt:lpwstr>eyJoZGlkIjoiY2IxZGRlMDZjZTNjNTZhYjgzYjY3ODc0MWZlMzA4ZDEiLCJ1c2VySWQiOiI0MzEzOTAzMjYifQ==</vt:lpwstr>
  </property>
  <property fmtid="{D5CDD505-2E9C-101B-9397-08002B2CF9AE}" pid="17" name="KSOProductBuildVer">
    <vt:lpwstr>2052-12.1.0.22529</vt:lpwstr>
  </property>
</Properties>
</file>