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F9695">
      <w:pPr>
        <w:pageBreakBefore/>
        <w:jc w:val="left"/>
        <w:outlineLvl w:val="0"/>
        <w:rPr>
          <w:rFonts w:ascii="黑体" w:hAnsi="黑体" w:eastAsia="黑体" w:cs="Times New Roman"/>
          <w:sz w:val="32"/>
          <w:szCs w:val="32"/>
        </w:rPr>
      </w:pPr>
      <w:bookmarkStart w:id="0" w:name="_Toc11851"/>
      <w:r>
        <w:rPr>
          <w:rFonts w:hint="eastAsia" w:ascii="黑体" w:hAnsi="黑体" w:eastAsia="黑体" w:cs="Times New Roman"/>
          <w:sz w:val="32"/>
          <w:szCs w:val="32"/>
        </w:rPr>
        <w:t>附件2</w:t>
      </w:r>
      <w:bookmarkEnd w:id="0"/>
    </w:p>
    <w:p w14:paraId="2BAEB438">
      <w:pPr>
        <w:jc w:val="center"/>
        <w:outlineLvl w:val="9"/>
        <w:rPr>
          <w:rFonts w:hint="eastAsia" w:ascii="微软雅黑" w:hAnsi="微软雅黑" w:eastAsia="微软雅黑" w:cs="微软雅黑"/>
          <w:i w:val="0"/>
          <w:iCs w:val="0"/>
          <w:caps w:val="0"/>
          <w:color w:val="auto"/>
          <w:spacing w:val="0"/>
          <w:kern w:val="0"/>
          <w:sz w:val="44"/>
          <w:szCs w:val="44"/>
          <w:lang w:val="en-US" w:eastAsia="zh-CN" w:bidi="ar"/>
        </w:rPr>
      </w:pPr>
    </w:p>
    <w:p w14:paraId="3CA105F8">
      <w:pPr>
        <w:jc w:val="center"/>
        <w:outlineLvl w:val="9"/>
        <w:rPr>
          <w:rFonts w:hint="eastAsia" w:ascii="微软雅黑" w:hAnsi="微软雅黑" w:eastAsia="微软雅黑" w:cs="微软雅黑"/>
          <w:i w:val="0"/>
          <w:iCs w:val="0"/>
          <w:caps w:val="0"/>
          <w:color w:val="auto"/>
          <w:spacing w:val="0"/>
          <w:kern w:val="0"/>
          <w:sz w:val="44"/>
          <w:szCs w:val="44"/>
          <w:lang w:val="en-US" w:eastAsia="zh-CN" w:bidi="ar"/>
        </w:rPr>
      </w:pPr>
    </w:p>
    <w:p w14:paraId="390BB4DF">
      <w:pPr>
        <w:bidi w:val="0"/>
        <w:jc w:val="center"/>
        <w:rPr>
          <w:rFonts w:hint="eastAsia" w:ascii="微软雅黑" w:hAnsi="微软雅黑" w:eastAsia="微软雅黑" w:cs="微软雅黑"/>
          <w:b w:val="0"/>
          <w:bCs w:val="0"/>
          <w:i w:val="0"/>
          <w:iCs w:val="0"/>
          <w:caps w:val="0"/>
          <w:color w:val="auto"/>
          <w:spacing w:val="0"/>
          <w:kern w:val="0"/>
          <w:sz w:val="44"/>
          <w:szCs w:val="44"/>
          <w:lang w:val="en-US" w:eastAsia="zh-CN" w:bidi="ar"/>
        </w:rPr>
      </w:pPr>
      <w:bookmarkStart w:id="1" w:name="_Toc21796"/>
      <w:r>
        <w:rPr>
          <w:rFonts w:hint="eastAsia" w:ascii="微软雅黑" w:hAnsi="微软雅黑" w:eastAsia="微软雅黑" w:cs="微软雅黑"/>
          <w:b w:val="0"/>
          <w:bCs w:val="0"/>
          <w:i w:val="0"/>
          <w:iCs w:val="0"/>
          <w:caps w:val="0"/>
          <w:color w:val="auto"/>
          <w:spacing w:val="0"/>
          <w:kern w:val="0"/>
          <w:sz w:val="44"/>
          <w:szCs w:val="44"/>
          <w:lang w:val="en-US" w:eastAsia="zh-CN" w:bidi="ar"/>
        </w:rPr>
        <w:t>《粤港澳大湾区会展活动碳中和实施指南》</w:t>
      </w:r>
      <w:bookmarkEnd w:id="1"/>
    </w:p>
    <w:p w14:paraId="4E90C8F7">
      <w:pPr>
        <w:bidi w:val="0"/>
        <w:jc w:val="center"/>
        <w:rPr>
          <w:rFonts w:hint="eastAsia" w:ascii="微软雅黑" w:hAnsi="微软雅黑" w:eastAsia="微软雅黑" w:cs="微软雅黑"/>
          <w:b w:val="0"/>
          <w:bCs w:val="0"/>
          <w:i w:val="0"/>
          <w:iCs w:val="0"/>
          <w:caps w:val="0"/>
          <w:color w:val="auto"/>
          <w:spacing w:val="0"/>
          <w:kern w:val="0"/>
          <w:sz w:val="44"/>
          <w:szCs w:val="44"/>
          <w:lang w:val="en-US" w:eastAsia="zh-CN" w:bidi="ar"/>
        </w:rPr>
      </w:pPr>
      <w:bookmarkStart w:id="2" w:name="_Toc21977"/>
      <w:r>
        <w:rPr>
          <w:rFonts w:hint="eastAsia" w:ascii="微软雅黑" w:hAnsi="微软雅黑" w:eastAsia="微软雅黑" w:cs="微软雅黑"/>
          <w:b w:val="0"/>
          <w:bCs w:val="0"/>
          <w:i w:val="0"/>
          <w:iCs w:val="0"/>
          <w:caps w:val="0"/>
          <w:color w:val="auto"/>
          <w:spacing w:val="0"/>
          <w:kern w:val="0"/>
          <w:sz w:val="44"/>
          <w:szCs w:val="44"/>
          <w:lang w:val="en-US" w:eastAsia="zh-CN" w:bidi="ar"/>
        </w:rPr>
        <w:t>标准编制说明</w:t>
      </w:r>
      <w:bookmarkEnd w:id="2"/>
    </w:p>
    <w:p w14:paraId="1DF8EB5C">
      <w:pPr>
        <w:bidi w:val="0"/>
        <w:rPr>
          <w:rFonts w:hint="eastAsia"/>
        </w:rPr>
      </w:pPr>
    </w:p>
    <w:p w14:paraId="79BFC475">
      <w:pPr>
        <w:bidi w:val="0"/>
        <w:rPr>
          <w:rFonts w:hint="eastAsia"/>
        </w:rPr>
      </w:pPr>
    </w:p>
    <w:p w14:paraId="625FF3FE">
      <w:pPr>
        <w:bidi w:val="0"/>
        <w:rPr>
          <w:rFonts w:hint="eastAsia"/>
        </w:rPr>
      </w:pPr>
    </w:p>
    <w:p w14:paraId="3E2EB919">
      <w:pPr>
        <w:bidi w:val="0"/>
        <w:rPr>
          <w:rFonts w:hint="eastAsia"/>
        </w:rPr>
      </w:pPr>
    </w:p>
    <w:p w14:paraId="2D8282B8">
      <w:pPr>
        <w:bidi w:val="0"/>
        <w:rPr>
          <w:rFonts w:hint="eastAsia"/>
        </w:rPr>
      </w:pPr>
    </w:p>
    <w:p w14:paraId="5FDA16EF">
      <w:pPr>
        <w:bidi w:val="0"/>
        <w:rPr>
          <w:rFonts w:hint="eastAsia"/>
        </w:rPr>
      </w:pPr>
    </w:p>
    <w:p w14:paraId="44E4C76F">
      <w:pPr>
        <w:bidi w:val="0"/>
        <w:rPr>
          <w:rFonts w:hint="eastAsia"/>
        </w:rPr>
      </w:pPr>
    </w:p>
    <w:p w14:paraId="5F261622">
      <w:pPr>
        <w:bidi w:val="0"/>
        <w:rPr>
          <w:rFonts w:hint="eastAsia"/>
        </w:rPr>
      </w:pPr>
    </w:p>
    <w:p w14:paraId="39F381C9">
      <w:pPr>
        <w:bidi w:val="0"/>
        <w:rPr>
          <w:rFonts w:hint="eastAsia"/>
        </w:rPr>
      </w:pPr>
    </w:p>
    <w:p w14:paraId="0AEA0805">
      <w:pPr>
        <w:bidi w:val="0"/>
        <w:rPr>
          <w:rFonts w:hint="eastAsia"/>
        </w:rPr>
      </w:pPr>
    </w:p>
    <w:p w14:paraId="252AB00B">
      <w:pPr>
        <w:bidi w:val="0"/>
        <w:rPr>
          <w:rFonts w:hint="eastAsia"/>
        </w:rPr>
      </w:pPr>
    </w:p>
    <w:p w14:paraId="617FDD78">
      <w:pPr>
        <w:bidi w:val="0"/>
        <w:rPr>
          <w:rFonts w:hint="eastAsia"/>
        </w:rPr>
      </w:pPr>
    </w:p>
    <w:p w14:paraId="3DEE8600">
      <w:pPr>
        <w:bidi w:val="0"/>
        <w:rPr>
          <w:rFonts w:hint="eastAsia"/>
        </w:rPr>
      </w:pPr>
    </w:p>
    <w:p w14:paraId="6D158067">
      <w:pPr>
        <w:bidi w:val="0"/>
        <w:rPr>
          <w:rFonts w:hint="eastAsia"/>
        </w:rPr>
      </w:pPr>
    </w:p>
    <w:p w14:paraId="01B9183F">
      <w:pPr>
        <w:bidi w:val="0"/>
        <w:rPr>
          <w:rFonts w:hint="eastAsia"/>
        </w:rPr>
      </w:pPr>
    </w:p>
    <w:p w14:paraId="670C7E21">
      <w:pPr>
        <w:bidi w:val="0"/>
        <w:rPr>
          <w:rFonts w:hint="eastAsia"/>
        </w:rPr>
      </w:pPr>
    </w:p>
    <w:p w14:paraId="47B7F33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微软雅黑" w:hAnsi="微软雅黑" w:eastAsia="微软雅黑" w:cs="微软雅黑"/>
          <w:b w:val="0"/>
          <w:bCs w:val="0"/>
          <w:i w:val="0"/>
          <w:iCs w:val="0"/>
          <w:caps w:val="0"/>
          <w:color w:val="auto"/>
          <w:spacing w:val="0"/>
          <w:sz w:val="32"/>
          <w:szCs w:val="32"/>
          <w:lang w:val="en-US" w:eastAsia="zh-CN"/>
        </w:rPr>
      </w:pPr>
      <w:r>
        <w:rPr>
          <w:rFonts w:hint="eastAsia" w:ascii="微软雅黑" w:hAnsi="微软雅黑" w:eastAsia="微软雅黑" w:cs="微软雅黑"/>
          <w:b w:val="0"/>
          <w:bCs w:val="0"/>
          <w:i w:val="0"/>
          <w:iCs w:val="0"/>
          <w:caps w:val="0"/>
          <w:color w:val="auto"/>
          <w:spacing w:val="0"/>
          <w:sz w:val="32"/>
          <w:szCs w:val="32"/>
          <w:lang w:val="en-US" w:eastAsia="zh-CN"/>
        </w:rPr>
        <w:t>标准编制组</w:t>
      </w:r>
    </w:p>
    <w:p w14:paraId="63C9A78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微软雅黑" w:hAnsi="微软雅黑" w:eastAsia="微软雅黑" w:cs="微软雅黑"/>
          <w:b w:val="0"/>
          <w:bCs w:val="0"/>
          <w:i w:val="0"/>
          <w:iCs w:val="0"/>
          <w:caps w:val="0"/>
          <w:color w:val="auto"/>
          <w:spacing w:val="0"/>
          <w:sz w:val="32"/>
          <w:szCs w:val="32"/>
          <w:lang w:val="en-US" w:eastAsia="zh-CN"/>
        </w:rPr>
      </w:pPr>
      <w:r>
        <w:rPr>
          <w:rFonts w:hint="eastAsia" w:ascii="微软雅黑" w:hAnsi="微软雅黑" w:eastAsia="微软雅黑" w:cs="微软雅黑"/>
          <w:b w:val="0"/>
          <w:bCs w:val="0"/>
          <w:i w:val="0"/>
          <w:iCs w:val="0"/>
          <w:caps w:val="0"/>
          <w:color w:val="auto"/>
          <w:spacing w:val="0"/>
          <w:sz w:val="32"/>
          <w:szCs w:val="32"/>
          <w:lang w:val="en-US" w:eastAsia="zh-CN"/>
        </w:rPr>
        <w:t>二〇二四年</w:t>
      </w:r>
    </w:p>
    <w:p w14:paraId="22CBF6D3">
      <w:pPr>
        <w:bidi w:val="0"/>
        <w:rPr>
          <w:rFonts w:hint="eastAsia"/>
        </w:rPr>
      </w:pPr>
    </w:p>
    <w:p w14:paraId="08327997">
      <w:pPr>
        <w:bidi w:val="0"/>
        <w:rPr>
          <w:rFonts w:hint="eastAsia"/>
        </w:rPr>
      </w:pPr>
    </w:p>
    <w:p w14:paraId="16FFC0AB">
      <w:pPr>
        <w:bidi w:val="0"/>
        <w:rPr>
          <w:rFonts w:hint="eastAsia"/>
        </w:rPr>
      </w:pPr>
    </w:p>
    <w:p w14:paraId="41A41E69">
      <w:pPr>
        <w:bidi w:val="0"/>
        <w:rPr>
          <w:rFonts w:hint="eastAsia"/>
        </w:rPr>
      </w:pPr>
    </w:p>
    <w:p w14:paraId="53ACAB6F">
      <w:pPr>
        <w:bidi w:val="0"/>
        <w:rPr>
          <w:rFonts w:hint="eastAsia"/>
        </w:rPr>
      </w:pPr>
    </w:p>
    <w:p w14:paraId="3BCC0291">
      <w:pPr>
        <w:bidi w:val="0"/>
        <w:rPr>
          <w:rFonts w:hint="eastAsia"/>
        </w:rPr>
      </w:pPr>
    </w:p>
    <w:p w14:paraId="12113878">
      <w:pPr>
        <w:bidi w:val="0"/>
        <w:rPr>
          <w:rFonts w:hint="eastAsia"/>
        </w:rPr>
      </w:pPr>
    </w:p>
    <w:p w14:paraId="1E215C41">
      <w:pPr>
        <w:bidi w:val="0"/>
        <w:rPr>
          <w:rFonts w:hint="eastAsia"/>
        </w:rPr>
      </w:pPr>
    </w:p>
    <w:p w14:paraId="302D1293">
      <w:pPr>
        <w:bidi w:val="0"/>
        <w:rPr>
          <w:rFonts w:hint="eastAsia"/>
        </w:rPr>
      </w:pPr>
    </w:p>
    <w:p w14:paraId="668D4866">
      <w:pPr>
        <w:bidi w:val="0"/>
        <w:rPr>
          <w:rFonts w:hint="eastAsia"/>
        </w:rPr>
      </w:pPr>
    </w:p>
    <w:p w14:paraId="02E44C7C">
      <w:pPr>
        <w:spacing w:before="0" w:beforeLines="0" w:after="0" w:afterLines="0" w:line="240" w:lineRule="auto"/>
        <w:ind w:left="0" w:leftChars="0" w:right="0" w:rightChars="0" w:firstLine="0" w:firstLineChars="0"/>
        <w:jc w:val="center"/>
        <w:rPr>
          <w:rFonts w:ascii="宋体" w:hAnsi="宋体" w:eastAsia="宋体" w:cstheme="minorBidi"/>
          <w:kern w:val="2"/>
          <w:sz w:val="21"/>
          <w:szCs w:val="22"/>
          <w:lang w:val="en-US" w:eastAsia="zh-CN" w:bidi="ar-SA"/>
        </w:rPr>
        <w:sectPr>
          <w:pgSz w:w="11906" w:h="16838"/>
          <w:pgMar w:top="1440" w:right="1800" w:bottom="1440" w:left="1800" w:header="851" w:footer="992" w:gutter="0"/>
          <w:cols w:space="425" w:num="1"/>
          <w:docGrid w:type="lines" w:linePitch="312" w:charSpace="0"/>
        </w:sectPr>
      </w:pPr>
    </w:p>
    <w:p w14:paraId="237A88DE">
      <w:pPr>
        <w:outlineLvl w:val="0"/>
        <w:rPr>
          <w:rFonts w:ascii="黑体" w:hAnsi="黑体" w:eastAsia="黑体" w:cs="Times New Roman"/>
          <w:sz w:val="32"/>
          <w:szCs w:val="32"/>
        </w:rPr>
      </w:pPr>
      <w:bookmarkStart w:id="3" w:name="_Toc17644"/>
      <w:r>
        <w:rPr>
          <w:rFonts w:hint="eastAsia" w:ascii="黑体" w:hAnsi="黑体" w:eastAsia="黑体" w:cs="Times New Roman"/>
          <w:sz w:val="32"/>
          <w:szCs w:val="32"/>
        </w:rPr>
        <w:t>一、标准编制工作简况</w:t>
      </w:r>
      <w:bookmarkEnd w:id="3"/>
    </w:p>
    <w:p w14:paraId="2EE17E06">
      <w:pPr>
        <w:spacing w:line="360" w:lineRule="auto"/>
        <w:outlineLvl w:val="1"/>
        <w:rPr>
          <w:rFonts w:hint="eastAsia" w:ascii="仿宋" w:hAnsi="仿宋" w:eastAsia="仿宋" w:cs="Times New Roman"/>
          <w:b/>
          <w:bCs/>
          <w:sz w:val="32"/>
          <w:szCs w:val="32"/>
        </w:rPr>
      </w:pPr>
      <w:bookmarkStart w:id="4" w:name="_Toc29005"/>
      <w:r>
        <w:rPr>
          <w:rFonts w:hint="eastAsia" w:ascii="仿宋" w:hAnsi="仿宋" w:eastAsia="仿宋" w:cs="Times New Roman"/>
          <w:b/>
          <w:bCs/>
          <w:sz w:val="32"/>
          <w:szCs w:val="32"/>
        </w:rPr>
        <w:t>（一）任务来源</w:t>
      </w:r>
      <w:bookmarkEnd w:id="4"/>
    </w:p>
    <w:p w14:paraId="70469E1B">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本标准编制任务源自澳门展贸协会、广东省低碳发展促进会、广州碳排放权交易中心、香港城市大学能源及环境学院以及澳门低碳发展协会共同签署的《粤港澳大湾区会展碳中和标准联合倡议》。根据倡议，五方将联合开展研究，制定适用于粤港澳大湾区会展活动碳中和实施指南，推动大湾区会展行业绿色发展，并落实碳中和实践。</w:t>
      </w:r>
    </w:p>
    <w:p w14:paraId="15E8E534">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在此框架下，广东省低碳发展促进会于2024年6月发布了《粤港澳大湾区会展活动碳中和实施标准》的团体标准立项公告。该标准的起草工作将严格遵循 GB/T 1.1—2020《标准化工作导则 第1部分：标准化文件的结构和起草规则》以及《广东省低碳发展促进会团体标准制定程序（修改）》等相关规定，确保标准的制定过程科学、规范和透明。</w:t>
      </w:r>
    </w:p>
    <w:p w14:paraId="1BAC69B3">
      <w:pPr>
        <w:numPr>
          <w:ilvl w:val="0"/>
          <w:numId w:val="2"/>
        </w:numPr>
        <w:outlineLvl w:val="1"/>
        <w:rPr>
          <w:rFonts w:hint="eastAsia" w:ascii="仿宋" w:hAnsi="仿宋" w:eastAsia="仿宋" w:cs="Times New Roman"/>
          <w:b/>
          <w:bCs/>
          <w:sz w:val="32"/>
          <w:szCs w:val="32"/>
        </w:rPr>
      </w:pPr>
      <w:bookmarkStart w:id="5" w:name="_Toc22473"/>
      <w:r>
        <w:rPr>
          <w:rFonts w:hint="eastAsia" w:ascii="仿宋" w:hAnsi="仿宋" w:eastAsia="仿宋" w:cs="Times New Roman"/>
          <w:b/>
          <w:bCs/>
          <w:sz w:val="32"/>
          <w:szCs w:val="32"/>
        </w:rPr>
        <w:t>粤港澳三地共同参与标准起草的单位及分工</w:t>
      </w:r>
      <w:bookmarkEnd w:id="5"/>
    </w:p>
    <w:p w14:paraId="10A3082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outlineLvl w:val="2"/>
        <w:rPr>
          <w:rFonts w:hint="default"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（1）</w:t>
      </w:r>
      <w:r>
        <w:rPr>
          <w:rFonts w:hint="default" w:ascii="仿宋" w:hAnsi="仿宋" w:eastAsia="仿宋" w:cs="仿宋"/>
          <w:b w:val="0"/>
          <w:bCs w:val="0"/>
          <w:kern w:val="2"/>
          <w:sz w:val="28"/>
          <w:szCs w:val="28"/>
          <w:lang w:val="en-US" w:eastAsia="zh-CN" w:bidi="ar-SA"/>
        </w:rPr>
        <w:t>立项</w:t>
      </w:r>
      <w:r>
        <w:rPr>
          <w:rFonts w:hint="eastAsia" w:ascii="仿宋" w:hAnsi="仿宋" w:eastAsia="仿宋" w:cs="仿宋"/>
          <w:b w:val="0"/>
          <w:bCs w:val="0"/>
          <w:kern w:val="2"/>
          <w:sz w:val="28"/>
          <w:szCs w:val="28"/>
          <w:lang w:val="en-US" w:eastAsia="zh-CN" w:bidi="ar-SA"/>
        </w:rPr>
        <w:t>申请</w:t>
      </w:r>
    </w:p>
    <w:p w14:paraId="2278CC35">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《粤港澳大湾区会展活动碳中和实施标准》团体标准申请立项。经过广东省低碳发展促进会立项审查，确认该团体标准符合立项条件，并提交至全国团体标准信息网平台。经审核，最终获得了批准立项。</w:t>
      </w:r>
    </w:p>
    <w:p w14:paraId="4BFB5200">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outlineLvl w:val="2"/>
        <w:rPr>
          <w:rFonts w:hint="default"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（2）成立工作组</w:t>
      </w:r>
    </w:p>
    <w:p w14:paraId="262A5A73">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由广东省低碳发展促进会牵头成立工作组，制定标准标准编制的原则、分工及时间规划。</w:t>
      </w:r>
    </w:p>
    <w:p w14:paraId="4818E1F5">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outlineLvl w:val="2"/>
        <w:rPr>
          <w:rFonts w:hint="eastAsia" w:ascii="仿宋" w:hAnsi="仿宋" w:eastAsia="仿宋" w:cs="仿宋"/>
          <w:b w:val="0"/>
          <w:bCs w:val="0"/>
          <w:kern w:val="2"/>
          <w:sz w:val="28"/>
          <w:szCs w:val="28"/>
          <w:lang w:val="en-US" w:eastAsia="zh-CN" w:bidi="ar-SA"/>
        </w:rPr>
      </w:pPr>
      <w:r>
        <w:rPr>
          <w:rFonts w:hint="eastAsia" w:ascii="仿宋" w:hAnsi="仿宋" w:eastAsia="仿宋" w:cs="仿宋"/>
          <w:b w:val="0"/>
          <w:bCs w:val="0"/>
          <w:kern w:val="2"/>
          <w:sz w:val="28"/>
          <w:szCs w:val="28"/>
          <w:lang w:val="en-US" w:eastAsia="zh-CN" w:bidi="ar-SA"/>
        </w:rPr>
        <w:t>（3）分工情况</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3310"/>
        <w:gridCol w:w="4421"/>
      </w:tblGrid>
      <w:tr w14:paraId="7FED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1D6B8C18">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序号</w:t>
            </w:r>
          </w:p>
        </w:tc>
        <w:tc>
          <w:tcPr>
            <w:tcW w:w="3310" w:type="dxa"/>
            <w:vAlign w:val="center"/>
          </w:tcPr>
          <w:p w14:paraId="2C07D2CE">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单位名称</w:t>
            </w:r>
          </w:p>
        </w:tc>
        <w:tc>
          <w:tcPr>
            <w:tcW w:w="4421" w:type="dxa"/>
            <w:vAlign w:val="center"/>
          </w:tcPr>
          <w:p w14:paraId="3156336A">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分工情况</w:t>
            </w:r>
          </w:p>
        </w:tc>
      </w:tr>
      <w:tr w14:paraId="35A6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3BEB556C">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w:t>
            </w:r>
          </w:p>
        </w:tc>
        <w:tc>
          <w:tcPr>
            <w:tcW w:w="3310" w:type="dxa"/>
            <w:vAlign w:val="center"/>
          </w:tcPr>
          <w:p w14:paraId="1119E1FE">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澳门展贸协会</w:t>
            </w:r>
          </w:p>
        </w:tc>
        <w:tc>
          <w:tcPr>
            <w:tcW w:w="4421" w:type="dxa"/>
            <w:vAlign w:val="center"/>
          </w:tcPr>
          <w:p w14:paraId="271164A4">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负责整个标准编制工作的总体协调与进度控制</w:t>
            </w:r>
            <w:r>
              <w:rPr>
                <w:rFonts w:hint="eastAsia" w:ascii="仿宋" w:hAnsi="仿宋" w:eastAsia="仿宋" w:cs="仿宋"/>
                <w:kern w:val="2"/>
                <w:sz w:val="24"/>
                <w:szCs w:val="24"/>
                <w:vertAlign w:val="baseline"/>
                <w:lang w:val="en-US" w:eastAsia="zh-CN" w:bidi="ar-SA"/>
              </w:rPr>
              <w:t>以及编写工作。</w:t>
            </w:r>
          </w:p>
        </w:tc>
      </w:tr>
      <w:tr w14:paraId="4941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272C34B0">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w:t>
            </w:r>
          </w:p>
        </w:tc>
        <w:tc>
          <w:tcPr>
            <w:tcW w:w="3310" w:type="dxa"/>
            <w:vAlign w:val="center"/>
          </w:tcPr>
          <w:p w14:paraId="29313372">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广东省低碳发展促进会</w:t>
            </w:r>
          </w:p>
        </w:tc>
        <w:tc>
          <w:tcPr>
            <w:tcW w:w="4421" w:type="dxa"/>
            <w:vAlign w:val="center"/>
          </w:tcPr>
          <w:p w14:paraId="75F14BAD">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负责整个标准编制工作的总体协调与进度控制</w:t>
            </w:r>
            <w:r>
              <w:rPr>
                <w:rFonts w:hint="eastAsia" w:ascii="仿宋" w:hAnsi="仿宋" w:eastAsia="仿宋" w:cs="仿宋"/>
                <w:kern w:val="2"/>
                <w:sz w:val="24"/>
                <w:szCs w:val="24"/>
                <w:vertAlign w:val="baseline"/>
                <w:lang w:val="en-US" w:eastAsia="zh-CN" w:bidi="ar-SA"/>
              </w:rPr>
              <w:t>以及编写工作。</w:t>
            </w:r>
          </w:p>
        </w:tc>
      </w:tr>
      <w:tr w14:paraId="493BD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3D348EEF">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3</w:t>
            </w:r>
          </w:p>
        </w:tc>
        <w:tc>
          <w:tcPr>
            <w:tcW w:w="3310" w:type="dxa"/>
            <w:vAlign w:val="center"/>
          </w:tcPr>
          <w:p w14:paraId="21BD38BB">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香港城市大学能源及环境学院</w:t>
            </w:r>
          </w:p>
        </w:tc>
        <w:tc>
          <w:tcPr>
            <w:tcW w:w="4421" w:type="dxa"/>
            <w:vAlign w:val="center"/>
          </w:tcPr>
          <w:p w14:paraId="1BAC75D2">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负责</w:t>
            </w:r>
            <w:r>
              <w:rPr>
                <w:rFonts w:hint="eastAsia" w:ascii="仿宋" w:hAnsi="仿宋" w:eastAsia="仿宋" w:cs="仿宋"/>
                <w:kern w:val="2"/>
                <w:sz w:val="24"/>
                <w:szCs w:val="24"/>
                <w:vertAlign w:val="baseline"/>
                <w:lang w:val="en-US" w:eastAsia="zh-CN" w:bidi="ar-SA"/>
              </w:rPr>
              <w:t>协调</w:t>
            </w:r>
            <w:r>
              <w:rPr>
                <w:rFonts w:hint="default" w:ascii="仿宋" w:hAnsi="仿宋" w:eastAsia="仿宋" w:cs="仿宋"/>
                <w:kern w:val="2"/>
                <w:sz w:val="24"/>
                <w:szCs w:val="24"/>
                <w:vertAlign w:val="baseline"/>
                <w:lang w:val="en-US" w:eastAsia="zh-CN" w:bidi="ar-SA"/>
              </w:rPr>
              <w:t>标准编写工作</w:t>
            </w:r>
            <w:r>
              <w:rPr>
                <w:rFonts w:hint="eastAsia" w:ascii="仿宋" w:hAnsi="仿宋" w:eastAsia="仿宋" w:cs="仿宋"/>
                <w:kern w:val="2"/>
                <w:sz w:val="24"/>
                <w:szCs w:val="24"/>
                <w:vertAlign w:val="baseline"/>
                <w:lang w:val="en-US" w:eastAsia="zh-CN" w:bidi="ar-SA"/>
              </w:rPr>
              <w:t>，</w:t>
            </w:r>
            <w:r>
              <w:rPr>
                <w:rFonts w:hint="default" w:ascii="仿宋" w:hAnsi="仿宋" w:eastAsia="仿宋" w:cs="仿宋"/>
                <w:kern w:val="2"/>
                <w:sz w:val="24"/>
                <w:szCs w:val="24"/>
                <w:vertAlign w:val="baseline"/>
                <w:lang w:val="en-US" w:eastAsia="zh-CN" w:bidi="ar-SA"/>
              </w:rPr>
              <w:t>为标准的编制工作提供技术咨询与指导。</w:t>
            </w:r>
          </w:p>
        </w:tc>
      </w:tr>
      <w:tr w14:paraId="5CD3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51055F16">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4</w:t>
            </w:r>
          </w:p>
        </w:tc>
        <w:tc>
          <w:tcPr>
            <w:tcW w:w="3310" w:type="dxa"/>
            <w:vAlign w:val="center"/>
          </w:tcPr>
          <w:p w14:paraId="798E8167">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澳门低碳发展协会</w:t>
            </w:r>
          </w:p>
        </w:tc>
        <w:tc>
          <w:tcPr>
            <w:tcW w:w="4421" w:type="dxa"/>
            <w:vAlign w:val="center"/>
          </w:tcPr>
          <w:p w14:paraId="4BCA4CFD">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负责收集</w:t>
            </w:r>
            <w:r>
              <w:rPr>
                <w:rFonts w:hint="eastAsia" w:ascii="仿宋" w:hAnsi="仿宋" w:eastAsia="仿宋" w:cs="仿宋"/>
                <w:kern w:val="2"/>
                <w:sz w:val="24"/>
                <w:szCs w:val="24"/>
                <w:vertAlign w:val="baseline"/>
                <w:lang w:val="en-US" w:eastAsia="zh-CN" w:bidi="ar-SA"/>
              </w:rPr>
              <w:t>澳门</w:t>
            </w:r>
            <w:r>
              <w:rPr>
                <w:rFonts w:hint="default" w:ascii="仿宋" w:hAnsi="仿宋" w:eastAsia="仿宋" w:cs="仿宋"/>
                <w:kern w:val="2"/>
                <w:sz w:val="24"/>
                <w:szCs w:val="24"/>
                <w:vertAlign w:val="baseline"/>
                <w:lang w:val="en-US" w:eastAsia="zh-CN" w:bidi="ar-SA"/>
              </w:rPr>
              <w:t>会展活动的相关数据，</w:t>
            </w:r>
            <w:r>
              <w:rPr>
                <w:rFonts w:hint="eastAsia" w:ascii="仿宋" w:hAnsi="仿宋" w:eastAsia="仿宋" w:cs="仿宋"/>
                <w:kern w:val="2"/>
                <w:sz w:val="24"/>
                <w:szCs w:val="24"/>
                <w:vertAlign w:val="baseline"/>
                <w:lang w:val="en-US" w:eastAsia="zh-CN" w:bidi="ar-SA"/>
              </w:rPr>
              <w:t>并</w:t>
            </w:r>
            <w:r>
              <w:rPr>
                <w:rFonts w:hint="default" w:ascii="仿宋" w:hAnsi="仿宋" w:eastAsia="仿宋" w:cs="仿宋"/>
                <w:kern w:val="2"/>
                <w:sz w:val="24"/>
                <w:szCs w:val="24"/>
                <w:vertAlign w:val="baseline"/>
                <w:lang w:val="en-US" w:eastAsia="zh-CN" w:bidi="ar-SA"/>
              </w:rPr>
              <w:t>从标准使用者的角度验证标准的完整性、准确性、合理性，并提出编制建议</w:t>
            </w:r>
            <w:r>
              <w:rPr>
                <w:rFonts w:hint="eastAsia" w:ascii="仿宋" w:hAnsi="仿宋" w:eastAsia="仿宋" w:cs="仿宋"/>
                <w:kern w:val="2"/>
                <w:sz w:val="24"/>
                <w:szCs w:val="24"/>
                <w:vertAlign w:val="baseline"/>
                <w:lang w:val="en-US" w:eastAsia="zh-CN" w:bidi="ar-SA"/>
              </w:rPr>
              <w:t>。</w:t>
            </w:r>
          </w:p>
        </w:tc>
      </w:tr>
      <w:tr w14:paraId="495F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46466227">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5</w:t>
            </w:r>
          </w:p>
        </w:tc>
        <w:tc>
          <w:tcPr>
            <w:tcW w:w="3310" w:type="dxa"/>
            <w:vAlign w:val="center"/>
          </w:tcPr>
          <w:p w14:paraId="2B681E37">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广州碳排放权交易中心有限公司</w:t>
            </w:r>
          </w:p>
        </w:tc>
        <w:tc>
          <w:tcPr>
            <w:tcW w:w="4421" w:type="dxa"/>
            <w:vAlign w:val="center"/>
          </w:tcPr>
          <w:p w14:paraId="4319701F">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从碳排放配额、交易市场、碳中和等方面提供咨询和指导</w:t>
            </w:r>
            <w:r>
              <w:rPr>
                <w:rFonts w:hint="eastAsia" w:ascii="仿宋" w:hAnsi="仿宋" w:eastAsia="仿宋" w:cs="仿宋"/>
                <w:kern w:val="2"/>
                <w:sz w:val="24"/>
                <w:szCs w:val="24"/>
                <w:vertAlign w:val="baseline"/>
                <w:lang w:val="en-US" w:eastAsia="zh-CN" w:bidi="ar-SA"/>
              </w:rPr>
              <w:t>。</w:t>
            </w:r>
          </w:p>
        </w:tc>
      </w:tr>
      <w:tr w14:paraId="7887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10817488">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6</w:t>
            </w:r>
          </w:p>
        </w:tc>
        <w:tc>
          <w:tcPr>
            <w:tcW w:w="3310" w:type="dxa"/>
            <w:vAlign w:val="center"/>
          </w:tcPr>
          <w:p w14:paraId="59890654">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中国科学院广州能源研究所</w:t>
            </w:r>
          </w:p>
        </w:tc>
        <w:tc>
          <w:tcPr>
            <w:tcW w:w="4421" w:type="dxa"/>
            <w:vAlign w:val="center"/>
          </w:tcPr>
          <w:p w14:paraId="164A91C1">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为标准的编制工作提供技术咨询与指导。</w:t>
            </w:r>
          </w:p>
        </w:tc>
      </w:tr>
      <w:tr w14:paraId="7B48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0458DB2C">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7</w:t>
            </w:r>
          </w:p>
        </w:tc>
        <w:tc>
          <w:tcPr>
            <w:tcW w:w="3310" w:type="dxa"/>
            <w:vAlign w:val="center"/>
          </w:tcPr>
          <w:p w14:paraId="7341B9F5">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香港中华厂商联合会</w:t>
            </w:r>
          </w:p>
        </w:tc>
        <w:tc>
          <w:tcPr>
            <w:tcW w:w="4421" w:type="dxa"/>
            <w:shd w:val="clear" w:color="auto" w:fill="auto"/>
            <w:vAlign w:val="center"/>
          </w:tcPr>
          <w:p w14:paraId="0B926F07">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负责收集</w:t>
            </w:r>
            <w:r>
              <w:rPr>
                <w:rFonts w:hint="eastAsia" w:ascii="仿宋" w:hAnsi="仿宋" w:eastAsia="仿宋" w:cs="仿宋"/>
                <w:kern w:val="2"/>
                <w:sz w:val="24"/>
                <w:szCs w:val="24"/>
                <w:vertAlign w:val="baseline"/>
                <w:lang w:val="en-US" w:eastAsia="zh-CN" w:bidi="ar-SA"/>
              </w:rPr>
              <w:t>香港</w:t>
            </w:r>
            <w:r>
              <w:rPr>
                <w:rFonts w:hint="default" w:ascii="仿宋" w:hAnsi="仿宋" w:eastAsia="仿宋" w:cs="仿宋"/>
                <w:kern w:val="2"/>
                <w:sz w:val="24"/>
                <w:szCs w:val="24"/>
                <w:vertAlign w:val="baseline"/>
                <w:lang w:val="en-US" w:eastAsia="zh-CN" w:bidi="ar-SA"/>
              </w:rPr>
              <w:t>会展活动的相关数据，</w:t>
            </w:r>
            <w:r>
              <w:rPr>
                <w:rFonts w:hint="eastAsia" w:ascii="仿宋" w:hAnsi="仿宋" w:eastAsia="仿宋" w:cs="仿宋"/>
                <w:kern w:val="2"/>
                <w:sz w:val="24"/>
                <w:szCs w:val="24"/>
                <w:vertAlign w:val="baseline"/>
                <w:lang w:val="en-US" w:eastAsia="zh-CN" w:bidi="ar-SA"/>
              </w:rPr>
              <w:t>并</w:t>
            </w:r>
            <w:r>
              <w:rPr>
                <w:rFonts w:hint="default" w:ascii="仿宋" w:hAnsi="仿宋" w:eastAsia="仿宋" w:cs="仿宋"/>
                <w:kern w:val="2"/>
                <w:sz w:val="24"/>
                <w:szCs w:val="24"/>
                <w:vertAlign w:val="baseline"/>
                <w:lang w:val="en-US" w:eastAsia="zh-CN" w:bidi="ar-SA"/>
              </w:rPr>
              <w:t>为标准的编制工作提供技术咨询与指导。</w:t>
            </w:r>
          </w:p>
        </w:tc>
      </w:tr>
      <w:tr w14:paraId="7BAC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05FCF631">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8</w:t>
            </w:r>
          </w:p>
        </w:tc>
        <w:tc>
          <w:tcPr>
            <w:tcW w:w="3310" w:type="dxa"/>
            <w:vAlign w:val="center"/>
          </w:tcPr>
          <w:p w14:paraId="61C033C0">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澳门科技大学</w:t>
            </w:r>
          </w:p>
        </w:tc>
        <w:tc>
          <w:tcPr>
            <w:tcW w:w="4421" w:type="dxa"/>
            <w:vAlign w:val="center"/>
          </w:tcPr>
          <w:p w14:paraId="637E0CFC">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ascii="微软雅黑" w:hAnsi="微软雅黑" w:eastAsia="微软雅黑" w:cs="微软雅黑"/>
                <w:i w:val="0"/>
                <w:iCs w:val="0"/>
                <w:caps w:val="0"/>
                <w:color w:val="1F1F1F"/>
                <w:spacing w:val="0"/>
                <w:sz w:val="19"/>
                <w:szCs w:val="19"/>
                <w:shd w:val="clear" w:fill="FFFFFF"/>
              </w:rPr>
            </w:pPr>
            <w:r>
              <w:rPr>
                <w:rFonts w:hint="default" w:ascii="仿宋" w:hAnsi="仿宋" w:eastAsia="仿宋" w:cs="仿宋"/>
                <w:kern w:val="2"/>
                <w:sz w:val="24"/>
                <w:szCs w:val="24"/>
                <w:vertAlign w:val="baseline"/>
                <w:lang w:val="en-US" w:eastAsia="zh-CN" w:bidi="ar-SA"/>
              </w:rPr>
              <w:t>负责收集</w:t>
            </w:r>
            <w:r>
              <w:rPr>
                <w:rFonts w:hint="eastAsia" w:ascii="仿宋" w:hAnsi="仿宋" w:eastAsia="仿宋" w:cs="仿宋"/>
                <w:kern w:val="2"/>
                <w:sz w:val="24"/>
                <w:szCs w:val="24"/>
                <w:vertAlign w:val="baseline"/>
                <w:lang w:val="en-US" w:eastAsia="zh-CN" w:bidi="ar-SA"/>
              </w:rPr>
              <w:t>香港</w:t>
            </w:r>
            <w:r>
              <w:rPr>
                <w:rFonts w:hint="default" w:ascii="仿宋" w:hAnsi="仿宋" w:eastAsia="仿宋" w:cs="仿宋"/>
                <w:kern w:val="2"/>
                <w:sz w:val="24"/>
                <w:szCs w:val="24"/>
                <w:vertAlign w:val="baseline"/>
                <w:lang w:val="en-US" w:eastAsia="zh-CN" w:bidi="ar-SA"/>
              </w:rPr>
              <w:t>会展活动的相关数据，</w:t>
            </w:r>
            <w:r>
              <w:rPr>
                <w:rFonts w:hint="eastAsia" w:ascii="仿宋" w:hAnsi="仿宋" w:eastAsia="仿宋" w:cs="仿宋"/>
                <w:kern w:val="2"/>
                <w:sz w:val="24"/>
                <w:szCs w:val="24"/>
                <w:vertAlign w:val="baseline"/>
                <w:lang w:val="en-US" w:eastAsia="zh-CN" w:bidi="ar-SA"/>
              </w:rPr>
              <w:t>并</w:t>
            </w:r>
            <w:r>
              <w:rPr>
                <w:rFonts w:hint="default" w:ascii="仿宋" w:hAnsi="仿宋" w:eastAsia="仿宋" w:cs="仿宋"/>
                <w:kern w:val="2"/>
                <w:sz w:val="24"/>
                <w:szCs w:val="24"/>
                <w:vertAlign w:val="baseline"/>
                <w:lang w:val="en-US" w:eastAsia="zh-CN" w:bidi="ar-SA"/>
              </w:rPr>
              <w:t>为标准的编制工作提供技术咨询与指导。</w:t>
            </w:r>
          </w:p>
        </w:tc>
      </w:tr>
      <w:tr w14:paraId="1A80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13DE228D">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9</w:t>
            </w:r>
          </w:p>
        </w:tc>
        <w:tc>
          <w:tcPr>
            <w:tcW w:w="3310" w:type="dxa"/>
            <w:vAlign w:val="center"/>
          </w:tcPr>
          <w:p w14:paraId="0C02E807">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中国质量认证中心广州分中心</w:t>
            </w:r>
          </w:p>
        </w:tc>
        <w:tc>
          <w:tcPr>
            <w:tcW w:w="4421" w:type="dxa"/>
            <w:vAlign w:val="center"/>
          </w:tcPr>
          <w:p w14:paraId="1FF345FE">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ascii="微软雅黑" w:hAnsi="微软雅黑" w:eastAsia="微软雅黑" w:cs="微软雅黑"/>
                <w:i w:val="0"/>
                <w:iCs w:val="0"/>
                <w:caps w:val="0"/>
                <w:color w:val="1F1F1F"/>
                <w:spacing w:val="0"/>
                <w:sz w:val="19"/>
                <w:szCs w:val="19"/>
                <w:shd w:val="clear" w:fill="FFFFFF"/>
              </w:rPr>
            </w:pPr>
            <w:r>
              <w:rPr>
                <w:rFonts w:hint="default" w:ascii="仿宋" w:hAnsi="仿宋" w:eastAsia="仿宋" w:cs="仿宋"/>
                <w:kern w:val="2"/>
                <w:sz w:val="24"/>
                <w:szCs w:val="24"/>
                <w:vertAlign w:val="baseline"/>
                <w:lang w:val="en-US" w:eastAsia="zh-CN" w:bidi="ar-SA"/>
              </w:rPr>
              <w:t>从</w:t>
            </w:r>
            <w:r>
              <w:rPr>
                <w:rFonts w:hint="eastAsia" w:ascii="仿宋" w:hAnsi="仿宋" w:eastAsia="仿宋" w:cs="仿宋"/>
                <w:kern w:val="2"/>
                <w:sz w:val="24"/>
                <w:szCs w:val="24"/>
                <w:vertAlign w:val="baseline"/>
                <w:lang w:val="en-US" w:eastAsia="zh-CN" w:bidi="ar-SA"/>
              </w:rPr>
              <w:t>碳足迹、</w:t>
            </w:r>
            <w:r>
              <w:rPr>
                <w:rFonts w:hint="default" w:ascii="仿宋" w:hAnsi="仿宋" w:eastAsia="仿宋" w:cs="仿宋"/>
                <w:kern w:val="2"/>
                <w:sz w:val="24"/>
                <w:szCs w:val="24"/>
                <w:vertAlign w:val="baseline"/>
                <w:lang w:val="en-US" w:eastAsia="zh-CN" w:bidi="ar-SA"/>
              </w:rPr>
              <w:t>碳中和</w:t>
            </w:r>
            <w:r>
              <w:rPr>
                <w:rFonts w:hint="eastAsia" w:ascii="仿宋" w:hAnsi="仿宋" w:eastAsia="仿宋" w:cs="仿宋"/>
                <w:kern w:val="2"/>
                <w:sz w:val="24"/>
                <w:szCs w:val="24"/>
                <w:vertAlign w:val="baseline"/>
                <w:lang w:val="en-US" w:eastAsia="zh-CN" w:bidi="ar-SA"/>
              </w:rPr>
              <w:t>以及相关国际标准</w:t>
            </w:r>
            <w:r>
              <w:rPr>
                <w:rFonts w:hint="default" w:ascii="仿宋" w:hAnsi="仿宋" w:eastAsia="仿宋" w:cs="仿宋"/>
                <w:kern w:val="2"/>
                <w:sz w:val="24"/>
                <w:szCs w:val="24"/>
                <w:vertAlign w:val="baseline"/>
                <w:lang w:val="en-US" w:eastAsia="zh-CN" w:bidi="ar-SA"/>
              </w:rPr>
              <w:t>等方面提供咨询和指导</w:t>
            </w:r>
            <w:r>
              <w:rPr>
                <w:rFonts w:hint="eastAsia" w:ascii="仿宋" w:hAnsi="仿宋" w:eastAsia="仿宋" w:cs="仿宋"/>
                <w:kern w:val="2"/>
                <w:sz w:val="24"/>
                <w:szCs w:val="24"/>
                <w:vertAlign w:val="baseline"/>
                <w:lang w:val="en-US" w:eastAsia="zh-CN" w:bidi="ar-SA"/>
              </w:rPr>
              <w:t>。</w:t>
            </w:r>
          </w:p>
        </w:tc>
      </w:tr>
      <w:tr w14:paraId="714F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04F620BF">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10</w:t>
            </w:r>
          </w:p>
        </w:tc>
        <w:tc>
          <w:tcPr>
            <w:tcW w:w="3310" w:type="dxa"/>
            <w:vAlign w:val="center"/>
          </w:tcPr>
          <w:p w14:paraId="7A06E0AE">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广州赛宝认证中心服务有限公司</w:t>
            </w:r>
          </w:p>
        </w:tc>
        <w:tc>
          <w:tcPr>
            <w:tcW w:w="4421" w:type="dxa"/>
            <w:vAlign w:val="center"/>
          </w:tcPr>
          <w:p w14:paraId="3A406744">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right="0" w:rightChars="0"/>
              <w:jc w:val="both"/>
              <w:textAlignment w:val="auto"/>
              <w:rPr>
                <w:rFonts w:ascii="微软雅黑" w:hAnsi="微软雅黑" w:eastAsia="微软雅黑" w:cs="微软雅黑"/>
                <w:i w:val="0"/>
                <w:iCs w:val="0"/>
                <w:caps w:val="0"/>
                <w:color w:val="1F1F1F"/>
                <w:spacing w:val="0"/>
                <w:sz w:val="19"/>
                <w:szCs w:val="19"/>
                <w:shd w:val="clear" w:fill="FFFFFF"/>
              </w:rPr>
            </w:pPr>
            <w:r>
              <w:rPr>
                <w:rFonts w:hint="default" w:ascii="仿宋" w:hAnsi="仿宋" w:eastAsia="仿宋" w:cs="仿宋"/>
                <w:kern w:val="2"/>
                <w:sz w:val="24"/>
                <w:szCs w:val="24"/>
                <w:vertAlign w:val="baseline"/>
                <w:lang w:val="en-US" w:eastAsia="zh-CN" w:bidi="ar-SA"/>
              </w:rPr>
              <w:t>从</w:t>
            </w:r>
            <w:r>
              <w:rPr>
                <w:rFonts w:hint="eastAsia" w:ascii="仿宋" w:hAnsi="仿宋" w:eastAsia="仿宋" w:cs="仿宋"/>
                <w:kern w:val="2"/>
                <w:sz w:val="24"/>
                <w:szCs w:val="24"/>
                <w:vertAlign w:val="baseline"/>
                <w:lang w:val="en-US" w:eastAsia="zh-CN" w:bidi="ar-SA"/>
              </w:rPr>
              <w:t>碳普惠</w:t>
            </w:r>
            <w:r>
              <w:rPr>
                <w:rFonts w:hint="default" w:ascii="仿宋" w:hAnsi="仿宋" w:eastAsia="仿宋" w:cs="仿宋"/>
                <w:kern w:val="2"/>
                <w:sz w:val="24"/>
                <w:szCs w:val="24"/>
                <w:vertAlign w:val="baseline"/>
                <w:lang w:val="en-US" w:eastAsia="zh-CN" w:bidi="ar-SA"/>
              </w:rPr>
              <w:t>、碳中和等方面提供咨询和指导</w:t>
            </w:r>
            <w:r>
              <w:rPr>
                <w:rFonts w:hint="eastAsia" w:ascii="仿宋" w:hAnsi="仿宋" w:eastAsia="仿宋" w:cs="仿宋"/>
                <w:kern w:val="2"/>
                <w:sz w:val="24"/>
                <w:szCs w:val="24"/>
                <w:vertAlign w:val="baseline"/>
                <w:lang w:val="en-US" w:eastAsia="zh-CN" w:bidi="ar-SA"/>
              </w:rPr>
              <w:t>。</w:t>
            </w:r>
          </w:p>
        </w:tc>
      </w:tr>
      <w:tr w14:paraId="3D2C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5F1D0EF6">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11</w:t>
            </w:r>
          </w:p>
        </w:tc>
        <w:tc>
          <w:tcPr>
            <w:tcW w:w="3310" w:type="dxa"/>
            <w:vAlign w:val="center"/>
          </w:tcPr>
          <w:p w14:paraId="23053877">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广东省标准化研究院、广东工业大学、广东省环境科学研究院、广东省环境保护产业协会、广东省能源研究会、广东省清洁生产协会、广东省气象防灾减灾协会</w:t>
            </w:r>
          </w:p>
        </w:tc>
        <w:tc>
          <w:tcPr>
            <w:tcW w:w="4421" w:type="dxa"/>
            <w:vAlign w:val="center"/>
          </w:tcPr>
          <w:p w14:paraId="3EDF8822">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default"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为标准的编制工作提供技术咨询与指导</w:t>
            </w:r>
            <w:r>
              <w:rPr>
                <w:rFonts w:hint="eastAsia" w:ascii="仿宋" w:hAnsi="仿宋" w:eastAsia="仿宋" w:cs="仿宋"/>
                <w:kern w:val="2"/>
                <w:sz w:val="24"/>
                <w:szCs w:val="24"/>
                <w:vertAlign w:val="baseline"/>
                <w:lang w:val="en-US" w:eastAsia="zh-CN" w:bidi="ar-SA"/>
              </w:rPr>
              <w:t>，并</w:t>
            </w:r>
            <w:r>
              <w:rPr>
                <w:rFonts w:hint="default" w:ascii="仿宋" w:hAnsi="仿宋" w:eastAsia="仿宋" w:cs="仿宋"/>
                <w:kern w:val="2"/>
                <w:sz w:val="24"/>
                <w:szCs w:val="24"/>
                <w:vertAlign w:val="baseline"/>
                <w:lang w:val="en-US" w:eastAsia="zh-CN" w:bidi="ar-SA"/>
              </w:rPr>
              <w:t>提出</w:t>
            </w:r>
            <w:r>
              <w:rPr>
                <w:rFonts w:hint="eastAsia" w:ascii="仿宋" w:hAnsi="仿宋" w:eastAsia="仿宋" w:cs="仿宋"/>
                <w:kern w:val="2"/>
                <w:sz w:val="24"/>
                <w:szCs w:val="24"/>
                <w:vertAlign w:val="baseline"/>
                <w:lang w:val="en-US" w:eastAsia="zh-CN" w:bidi="ar-SA"/>
              </w:rPr>
              <w:t>修改</w:t>
            </w:r>
            <w:r>
              <w:rPr>
                <w:rFonts w:hint="default" w:ascii="仿宋" w:hAnsi="仿宋" w:eastAsia="仿宋" w:cs="仿宋"/>
                <w:kern w:val="2"/>
                <w:sz w:val="24"/>
                <w:szCs w:val="24"/>
                <w:vertAlign w:val="baseline"/>
                <w:lang w:val="en-US" w:eastAsia="zh-CN" w:bidi="ar-SA"/>
              </w:rPr>
              <w:t>建议</w:t>
            </w:r>
            <w:r>
              <w:rPr>
                <w:rFonts w:hint="eastAsia" w:ascii="仿宋" w:hAnsi="仿宋" w:eastAsia="仿宋" w:cs="仿宋"/>
                <w:kern w:val="2"/>
                <w:sz w:val="24"/>
                <w:szCs w:val="24"/>
                <w:vertAlign w:val="baseline"/>
                <w:lang w:val="en-US" w:eastAsia="zh-CN" w:bidi="ar-SA"/>
              </w:rPr>
              <w:t>。</w:t>
            </w:r>
          </w:p>
        </w:tc>
      </w:tr>
    </w:tbl>
    <w:p w14:paraId="405FB060">
      <w:pPr>
        <w:outlineLvl w:val="0"/>
        <w:rPr>
          <w:rFonts w:ascii="黑体" w:hAnsi="黑体" w:eastAsia="黑体" w:cs="Times New Roman"/>
          <w:sz w:val="32"/>
          <w:szCs w:val="32"/>
        </w:rPr>
      </w:pPr>
      <w:bookmarkStart w:id="6" w:name="_Toc6187"/>
      <w:r>
        <w:rPr>
          <w:rFonts w:hint="eastAsia" w:ascii="黑体" w:hAnsi="黑体" w:eastAsia="黑体" w:cs="Times New Roman"/>
          <w:sz w:val="32"/>
          <w:szCs w:val="32"/>
        </w:rPr>
        <w:t>二、标准立项的必要性</w:t>
      </w:r>
      <w:bookmarkEnd w:id="6"/>
    </w:p>
    <w:p w14:paraId="31FE1D21">
      <w:pPr>
        <w:outlineLvl w:val="1"/>
        <w:rPr>
          <w:rFonts w:hint="default" w:ascii="仿宋" w:hAnsi="仿宋" w:eastAsia="仿宋" w:cs="Times New Roman"/>
          <w:b/>
          <w:bCs/>
          <w:sz w:val="32"/>
          <w:szCs w:val="32"/>
          <w:lang w:val="en-US" w:eastAsia="zh-CN"/>
        </w:rPr>
      </w:pPr>
      <w:bookmarkStart w:id="7" w:name="_Toc6003"/>
      <w:r>
        <w:rPr>
          <w:rFonts w:hint="eastAsia" w:ascii="仿宋" w:hAnsi="仿宋" w:eastAsia="仿宋" w:cs="Times New Roman"/>
          <w:b/>
          <w:bCs/>
          <w:sz w:val="32"/>
          <w:szCs w:val="32"/>
        </w:rPr>
        <w:t>（一）粤港澳大湾区</w:t>
      </w:r>
      <w:r>
        <w:rPr>
          <w:rFonts w:hint="eastAsia" w:ascii="仿宋" w:hAnsi="仿宋" w:eastAsia="仿宋" w:cs="Times New Roman"/>
          <w:b/>
          <w:bCs/>
          <w:sz w:val="32"/>
          <w:szCs w:val="32"/>
          <w:lang w:val="en-US" w:eastAsia="zh-CN"/>
        </w:rPr>
        <w:t>会展</w:t>
      </w:r>
      <w:r>
        <w:rPr>
          <w:rFonts w:hint="eastAsia" w:ascii="仿宋" w:hAnsi="仿宋" w:eastAsia="仿宋" w:cs="Times New Roman"/>
          <w:b/>
          <w:bCs/>
          <w:sz w:val="32"/>
          <w:szCs w:val="32"/>
        </w:rPr>
        <w:t>行业发展现状</w:t>
      </w:r>
      <w:r>
        <w:rPr>
          <w:rFonts w:hint="eastAsia" w:ascii="仿宋" w:hAnsi="仿宋" w:eastAsia="仿宋" w:cs="Times New Roman"/>
          <w:b/>
          <w:bCs/>
          <w:sz w:val="32"/>
          <w:szCs w:val="32"/>
          <w:lang w:eastAsia="zh-CN"/>
        </w:rPr>
        <w:t>、</w:t>
      </w:r>
      <w:r>
        <w:rPr>
          <w:rFonts w:hint="eastAsia" w:ascii="仿宋" w:hAnsi="仿宋" w:eastAsia="仿宋" w:cs="Times New Roman"/>
          <w:b/>
          <w:bCs/>
          <w:sz w:val="32"/>
          <w:szCs w:val="32"/>
          <w:lang w:val="en-US" w:eastAsia="zh-CN"/>
        </w:rPr>
        <w:t>痛点</w:t>
      </w:r>
      <w:bookmarkEnd w:id="7"/>
    </w:p>
    <w:p w14:paraId="3323288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2"/>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（1）行业发展现状</w:t>
      </w:r>
    </w:p>
    <w:p w14:paraId="11948910">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粤港澳大湾区的会展行业近年来呈现出快速增长的态势，已成为全国会展业的重要高地。据广东省贸促会发布的《2023年广东省展览业发展白皮书》显示，2023年广东省展览业在数量和面积上均位列全国各省区市首位，展览数量和展览面积分别同比增长266.67%和224.95%，复苏强度明显高于全国。</w:t>
      </w:r>
    </w:p>
    <w:p w14:paraId="7C48FFA1">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粤港澳大湾区举办的展会规模不断扩大，影响力日益增强。以广州和深圳为例，两地举办的展会数量多、面积大，吸引了众多国内外参展商和观众。同时，一些具有国际影响力的展会如广交会、深圳文博会等，不仅促进了区域经济的发展，也提升了粤港澳大湾区的国际知名度。</w:t>
      </w:r>
    </w:p>
    <w:p w14:paraId="22764798">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随着数字化技术的广泛应用，粤港澳大湾区的会展行业也在积极探索数字化转型。通过线上展会、直播带展等形式，会展行业打破了时间和空间的限制，提高了参展效率和观众体验。此外，大湾区还积极引进国际知名展会和会展企业，推动会展业的国际化发展。</w:t>
      </w:r>
    </w:p>
    <w:p w14:paraId="7B08398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0" w:firstLineChars="200"/>
        <w:textAlignment w:val="auto"/>
        <w:outlineLvl w:val="2"/>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行业痛点</w:t>
      </w:r>
    </w:p>
    <w:p w14:paraId="037C8867">
      <w:pPr>
        <w:numPr>
          <w:ilvl w:val="0"/>
          <w:numId w:val="4"/>
        </w:numPr>
        <w:bidi w:val="0"/>
        <w:spacing w:line="360" w:lineRule="auto"/>
        <w:ind w:left="0" w:leftChars="0" w:firstLine="40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会展碳排“总量大、密度高”。作为资源消耗型活动，碳排集中于搭建、运营、物流三环节。搭建环节依赖木头、塑料材料，大型展会后常产生数千吨难回收“展位垃圾”，“搭建-拆除-废弃”模式浪费资源且增碳排；运营环节展馆空调、照明等设备能耗极高，布撤展期设备超负荷运行，单位时间碳密度远超普通商业设施；物流交通环节短时间聚集大量人流物流，展品运输及人员出行形成庞大“碳足迹”。​</w:t>
      </w:r>
    </w:p>
    <w:p w14:paraId="3E2DE577">
      <w:pPr>
        <w:numPr>
          <w:ilvl w:val="0"/>
          <w:numId w:val="4"/>
        </w:numPr>
        <w:bidi w:val="0"/>
        <w:spacing w:line="360" w:lineRule="auto"/>
        <w:ind w:left="0" w:leftChars="0" w:firstLine="40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跨区域协调不足，资源配置低效。一是大湾区场馆资源丰富但协同弱，各城市在展馆规划和招展引会时，缺乏大湾区层面的整体战略规划，导致在相近时间内，多个城市举办类似主题展会，造成了场馆设施的闲置与紧张并存的结构性矛盾。二是“一展两地”缺机制保障，无统一服务标准、通关便利措施及信息平台，展品通关重复查验、人员流动适配成本高。三是各城市、各展馆的档期数据、场馆数据、展会数据未形成有效的共享机制。一个展会主办方若要规划在大湾区的巡展，需要与多个独立的主体进行繁琐的对接，无法获得一站式的信息服务和统筹安排，极大地提高了办展的复杂度和成本。​</w:t>
      </w:r>
    </w:p>
    <w:p w14:paraId="39796C42">
      <w:pPr>
        <w:numPr>
          <w:ilvl w:val="0"/>
          <w:numId w:val="4"/>
        </w:numPr>
        <w:bidi w:val="0"/>
        <w:spacing w:line="360" w:lineRule="auto"/>
        <w:ind w:left="0" w:leftChars="0" w:firstLine="400" w:firstLineChars="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政策协调机制不足。三地分属不同关税区与法律体系，制度差异成融合阻碍。一是法律法规与管理体制不同，会展准入、知识产权保护、展品入境流程等差异大，增加跨境办展复杂度与合规成本；二是行业标准不互认，展馆安全、服务质量、数据统计口径等无统一标准；三是数据流动障碍，三地数据跨境、个人信息保护规定不同，展会核心数据难安全高效流动，制约精准营销与行业分析。​</w:t>
      </w:r>
    </w:p>
    <w:p w14:paraId="021B6208">
      <w:pPr>
        <w:bidi w:val="0"/>
        <w:spacing w:line="360" w:lineRule="auto"/>
        <w:ind w:firstLine="560" w:firstLineChars="200"/>
        <w:rPr>
          <w:rFonts w:hint="eastAsia"/>
          <w:lang w:val="en-US" w:eastAsia="zh-CN"/>
        </w:rPr>
      </w:pPr>
      <w:r>
        <w:rPr>
          <w:rFonts w:hint="eastAsia" w:ascii="仿宋" w:hAnsi="仿宋" w:eastAsia="仿宋" w:cs="仿宋"/>
          <w:kern w:val="2"/>
          <w:sz w:val="28"/>
          <w:szCs w:val="28"/>
          <w:lang w:val="en-US" w:eastAsia="zh-CN" w:bidi="ar-SA"/>
        </w:rPr>
        <w:t>大湾区会展业发展中，政策机制壁垒是根源，制约跨区域协调；协调不足又致资源重复消耗、配置低效，加剧碳排问题。零散改进难见效，需从基础工作切入——制定大湾区会展活动统一标准。通过建立大湾区统一的会展标准、协同服务标准和数据共享标准，才能为破解行业痛点提供根本性的解决方案，引领大湾区会展业迈向高质量、一体化、可持续的新发展阶段。</w:t>
      </w:r>
    </w:p>
    <w:p w14:paraId="7CB0550C">
      <w:pPr>
        <w:numPr>
          <w:ilvl w:val="0"/>
          <w:numId w:val="0"/>
        </w:numPr>
        <w:ind w:leftChars="0"/>
        <w:outlineLvl w:val="1"/>
        <w:rPr>
          <w:rFonts w:hint="eastAsia" w:ascii="仿宋" w:hAnsi="仿宋" w:eastAsia="仿宋" w:cs="Times New Roman"/>
          <w:b/>
          <w:bCs/>
          <w:sz w:val="32"/>
          <w:szCs w:val="32"/>
          <w:highlight w:val="none"/>
        </w:rPr>
      </w:pPr>
      <w:bookmarkStart w:id="8" w:name="_Toc17539"/>
      <w:r>
        <w:rPr>
          <w:rFonts w:hint="eastAsia" w:ascii="仿宋" w:hAnsi="仿宋" w:eastAsia="仿宋" w:cs="Times New Roman"/>
          <w:b/>
          <w:bCs/>
          <w:sz w:val="32"/>
          <w:szCs w:val="32"/>
          <w:highlight w:val="none"/>
          <w:lang w:eastAsia="zh-CN"/>
        </w:rPr>
        <w:t>（</w:t>
      </w:r>
      <w:r>
        <w:rPr>
          <w:rFonts w:hint="eastAsia" w:ascii="仿宋" w:hAnsi="仿宋" w:eastAsia="仿宋" w:cs="Times New Roman"/>
          <w:b/>
          <w:bCs/>
          <w:sz w:val="32"/>
          <w:szCs w:val="32"/>
          <w:highlight w:val="none"/>
          <w:lang w:val="en-US" w:eastAsia="zh-CN"/>
        </w:rPr>
        <w:t>二</w:t>
      </w:r>
      <w:r>
        <w:rPr>
          <w:rFonts w:hint="eastAsia" w:ascii="仿宋" w:hAnsi="仿宋" w:eastAsia="仿宋" w:cs="Times New Roman"/>
          <w:b/>
          <w:bCs/>
          <w:sz w:val="32"/>
          <w:szCs w:val="32"/>
          <w:highlight w:val="none"/>
          <w:lang w:eastAsia="zh-CN"/>
        </w:rPr>
        <w:t>）</w:t>
      </w:r>
      <w:r>
        <w:rPr>
          <w:rFonts w:hint="eastAsia" w:ascii="仿宋" w:hAnsi="仿宋" w:eastAsia="仿宋" w:cs="Times New Roman"/>
          <w:b/>
          <w:bCs/>
          <w:sz w:val="32"/>
          <w:szCs w:val="32"/>
          <w:highlight w:val="none"/>
        </w:rPr>
        <w:t>本标准拟解决该行业在湾区互联互通和融合发展中存在的问题</w:t>
      </w:r>
      <w:bookmarkEnd w:id="8"/>
    </w:p>
    <w:p w14:paraId="4069FD12">
      <w:pPr>
        <w:bidi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（1）填补粤港澳三地会展活动碳中和实施标准空白。</w:t>
      </w:r>
    </w:p>
    <w:p w14:paraId="62FC8E81">
      <w:pPr>
        <w:bidi w:val="0"/>
        <w:spacing w:line="360" w:lineRule="auto"/>
        <w:ind w:firstLine="560" w:firstLineChars="200"/>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粤港澳大湾区作为会展“中心枢纽”，会展产业能耗与碳排放集中。在全球碳中和趋势下，填补三地会展碳中和标准空白、实现规则衔接至关重要。</w:t>
      </w:r>
    </w:p>
    <w:p w14:paraId="6D6FC61E">
      <w:pPr>
        <w:bidi w:val="0"/>
        <w:spacing w:line="360" w:lineRule="auto"/>
        <w:ind w:firstLine="560" w:firstLineChars="200"/>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目前，</w:t>
      </w:r>
      <w:r>
        <w:rPr>
          <w:rFonts w:hint="default" w:ascii="仿宋" w:hAnsi="仿宋" w:eastAsia="仿宋" w:cs="仿宋"/>
          <w:kern w:val="2"/>
          <w:sz w:val="28"/>
          <w:szCs w:val="28"/>
          <w:lang w:val="en-US" w:eastAsia="zh-CN" w:bidi="ar-SA"/>
        </w:rPr>
        <w:t>广东2025年6月发布《大型活动碳中和实施指南》</w:t>
      </w:r>
      <w:r>
        <w:rPr>
          <w:rFonts w:hint="eastAsia" w:ascii="仿宋" w:hAnsi="仿宋" w:eastAsia="仿宋" w:cs="仿宋"/>
          <w:kern w:val="2"/>
          <w:sz w:val="28"/>
          <w:szCs w:val="28"/>
          <w:lang w:val="en-US" w:eastAsia="zh-CN" w:bidi="ar-SA"/>
        </w:rPr>
        <w:t>地方标准</w:t>
      </w:r>
      <w:r>
        <w:rPr>
          <w:rFonts w:hint="default" w:ascii="仿宋" w:hAnsi="仿宋" w:eastAsia="仿宋" w:cs="仿宋"/>
          <w:kern w:val="2"/>
          <w:sz w:val="28"/>
          <w:szCs w:val="28"/>
          <w:lang w:val="en-US" w:eastAsia="zh-CN" w:bidi="ar-SA"/>
        </w:rPr>
        <w:t>，但该标准并非专门针对会展活动，</w:t>
      </w:r>
      <w:r>
        <w:rPr>
          <w:rFonts w:hint="eastAsia" w:ascii="仿宋" w:hAnsi="仿宋" w:eastAsia="仿宋" w:cs="仿宋"/>
          <w:kern w:val="2"/>
          <w:sz w:val="28"/>
          <w:szCs w:val="28"/>
          <w:lang w:val="en-US" w:eastAsia="zh-CN" w:bidi="ar-SA"/>
        </w:rPr>
        <w:t>且</w:t>
      </w:r>
      <w:r>
        <w:rPr>
          <w:rFonts w:hint="default" w:ascii="仿宋" w:hAnsi="仿宋" w:eastAsia="仿宋" w:cs="仿宋"/>
          <w:kern w:val="2"/>
          <w:sz w:val="28"/>
          <w:szCs w:val="28"/>
          <w:lang w:val="en-US" w:eastAsia="zh-CN" w:bidi="ar-SA"/>
        </w:rPr>
        <w:t>核算方法</w:t>
      </w:r>
      <w:r>
        <w:rPr>
          <w:rFonts w:hint="eastAsia" w:ascii="仿宋" w:hAnsi="仿宋" w:eastAsia="仿宋" w:cs="仿宋"/>
          <w:kern w:val="2"/>
          <w:sz w:val="28"/>
          <w:szCs w:val="28"/>
          <w:lang w:val="en-US" w:eastAsia="zh-CN" w:bidi="ar-SA"/>
        </w:rPr>
        <w:t>和排放因子</w:t>
      </w:r>
      <w:r>
        <w:rPr>
          <w:rFonts w:hint="default" w:ascii="仿宋" w:hAnsi="仿宋" w:eastAsia="仿宋" w:cs="仿宋"/>
          <w:kern w:val="2"/>
          <w:sz w:val="28"/>
          <w:szCs w:val="28"/>
          <w:lang w:val="en-US" w:eastAsia="zh-CN" w:bidi="ar-SA"/>
        </w:rPr>
        <w:t>（如电力因子）</w:t>
      </w:r>
      <w:r>
        <w:rPr>
          <w:rFonts w:hint="eastAsia" w:ascii="仿宋" w:hAnsi="仿宋" w:eastAsia="仿宋" w:cs="仿宋"/>
          <w:kern w:val="2"/>
          <w:sz w:val="28"/>
          <w:szCs w:val="28"/>
          <w:lang w:val="en-US" w:eastAsia="zh-CN" w:bidi="ar-SA"/>
        </w:rPr>
        <w:t>等</w:t>
      </w:r>
      <w:r>
        <w:rPr>
          <w:rFonts w:hint="default" w:ascii="仿宋" w:hAnsi="仿宋" w:eastAsia="仿宋" w:cs="仿宋"/>
          <w:kern w:val="2"/>
          <w:sz w:val="28"/>
          <w:szCs w:val="28"/>
          <w:lang w:val="en-US" w:eastAsia="zh-CN" w:bidi="ar-SA"/>
        </w:rPr>
        <w:t>与港澳体系不兼容；香港</w:t>
      </w:r>
      <w:r>
        <w:rPr>
          <w:rFonts w:hint="eastAsia" w:ascii="仿宋" w:hAnsi="仿宋" w:eastAsia="仿宋" w:cs="仿宋"/>
          <w:kern w:val="2"/>
          <w:sz w:val="28"/>
          <w:szCs w:val="28"/>
          <w:lang w:val="en-US" w:eastAsia="zh-CN" w:bidi="ar-SA"/>
        </w:rPr>
        <w:t>参考</w:t>
      </w:r>
      <w:r>
        <w:rPr>
          <w:rFonts w:hint="default" w:ascii="仿宋" w:hAnsi="仿宋" w:eastAsia="仿宋" w:cs="仿宋"/>
          <w:kern w:val="2"/>
          <w:sz w:val="28"/>
          <w:szCs w:val="28"/>
          <w:lang w:val="en-US" w:eastAsia="zh-CN" w:bidi="ar-SA"/>
        </w:rPr>
        <w:t>国际标准，缺乏本地化会展专项规范；澳门有绿色会展实践，但未形成通用技术准则。</w:t>
      </w:r>
    </w:p>
    <w:p w14:paraId="139CCD4B">
      <w:pPr>
        <w:bidi w:val="0"/>
        <w:spacing w:line="360" w:lineRule="auto"/>
        <w:ind w:firstLine="560" w:firstLineChars="200"/>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本标准针对会展活动在规模、类型、跨境要素等方面的差异，创新构建协同机制，精准适配粤港澳三地会展活动的不同需求。通过明确全链条流程中的统一规范，实现三地规则的有效衔接，打破此前因标准不一造成的壁垒，进而助力共建低碳会展高地，为大湾区会展业的绿色可持续发展筑牢根基。</w:t>
      </w:r>
    </w:p>
    <w:p w14:paraId="02EBE58D">
      <w:pPr>
        <w:bidi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w:t>
      </w:r>
      <w:r>
        <w:rPr>
          <w:rFonts w:hint="default" w:ascii="仿宋" w:hAnsi="仿宋" w:eastAsia="仿宋" w:cs="仿宋"/>
          <w:kern w:val="2"/>
          <w:sz w:val="28"/>
          <w:szCs w:val="28"/>
          <w:lang w:val="en-US" w:eastAsia="zh-CN" w:bidi="ar-SA"/>
        </w:rPr>
        <w:t>解决</w:t>
      </w:r>
      <w:r>
        <w:rPr>
          <w:rFonts w:hint="eastAsia" w:ascii="仿宋" w:hAnsi="仿宋" w:eastAsia="仿宋" w:cs="仿宋"/>
          <w:kern w:val="2"/>
          <w:sz w:val="28"/>
          <w:szCs w:val="28"/>
          <w:lang w:val="en-US" w:eastAsia="zh-CN" w:bidi="ar-SA"/>
        </w:rPr>
        <w:t>粤港澳</w:t>
      </w:r>
      <w:r>
        <w:rPr>
          <w:rFonts w:hint="default" w:ascii="仿宋" w:hAnsi="仿宋" w:eastAsia="仿宋" w:cs="仿宋"/>
          <w:kern w:val="2"/>
          <w:sz w:val="28"/>
          <w:szCs w:val="28"/>
          <w:lang w:val="en-US" w:eastAsia="zh-CN" w:bidi="ar-SA"/>
        </w:rPr>
        <w:t>三地碳排放因子</w:t>
      </w:r>
      <w:r>
        <w:rPr>
          <w:rFonts w:hint="eastAsia" w:ascii="仿宋" w:hAnsi="仿宋" w:eastAsia="仿宋" w:cs="仿宋"/>
          <w:kern w:val="2"/>
          <w:sz w:val="28"/>
          <w:szCs w:val="28"/>
          <w:lang w:val="en-US" w:eastAsia="zh-CN" w:bidi="ar-SA"/>
        </w:rPr>
        <w:t>的</w:t>
      </w:r>
      <w:r>
        <w:rPr>
          <w:rFonts w:hint="default" w:ascii="仿宋" w:hAnsi="仿宋" w:eastAsia="仿宋" w:cs="仿宋"/>
          <w:kern w:val="2"/>
          <w:sz w:val="28"/>
          <w:szCs w:val="28"/>
          <w:lang w:val="en-US" w:eastAsia="zh-CN" w:bidi="ar-SA"/>
        </w:rPr>
        <w:t>统计口径问题</w:t>
      </w:r>
      <w:r>
        <w:rPr>
          <w:rFonts w:hint="eastAsia" w:ascii="仿宋" w:hAnsi="仿宋" w:eastAsia="仿宋" w:cs="仿宋"/>
          <w:kern w:val="2"/>
          <w:sz w:val="28"/>
          <w:szCs w:val="28"/>
          <w:lang w:val="en-US" w:eastAsia="zh-CN" w:bidi="ar-SA"/>
        </w:rPr>
        <w:t>。</w:t>
      </w:r>
    </w:p>
    <w:p w14:paraId="43D1515B">
      <w:pPr>
        <w:bidi w:val="0"/>
        <w:spacing w:line="360" w:lineRule="auto"/>
        <w:ind w:firstLine="560" w:firstLineChars="200"/>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附录E《温室气体排放因子和相关参数推荐值》列明粤港澳三地在电力、交通、住宿等领域的排放因子，并明确使用原则，解决了因粤港澳三地原本可能采用不同来源（如全国或国际）因子导致的统计口径不一致问题，避免了由此产生的区域间排放量可比性失真，从而显著提升了粤港澳区域碳排放核算的一致性和准确性。</w:t>
      </w:r>
    </w:p>
    <w:p w14:paraId="388CC43C">
      <w:pPr>
        <w:bidi w:val="0"/>
        <w:spacing w:line="360" w:lineRule="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（3）建立了粤港澳三地会展活动碳中和机制。</w:t>
      </w:r>
    </w:p>
    <w:p w14:paraId="0CFC65AD">
      <w:pPr>
        <w:bidi w:val="0"/>
        <w:spacing w:line="360" w:lineRule="auto"/>
        <w:ind w:firstLine="560" w:firstLineChars="200"/>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标准通过全链条流程设计实现</w:t>
      </w:r>
      <w:r>
        <w:rPr>
          <w:rFonts w:hint="eastAsia" w:ascii="仿宋" w:hAnsi="仿宋" w:eastAsia="仿宋" w:cs="仿宋"/>
          <w:kern w:val="2"/>
          <w:sz w:val="28"/>
          <w:szCs w:val="28"/>
          <w:lang w:val="en-US" w:eastAsia="zh-CN" w:bidi="ar-SA"/>
        </w:rPr>
        <w:t>粤港澳</w:t>
      </w:r>
      <w:r>
        <w:rPr>
          <w:rFonts w:hint="default" w:ascii="仿宋" w:hAnsi="仿宋" w:eastAsia="仿宋" w:cs="仿宋"/>
          <w:kern w:val="2"/>
          <w:sz w:val="28"/>
          <w:szCs w:val="28"/>
          <w:lang w:val="en-US" w:eastAsia="zh-CN" w:bidi="ar-SA"/>
        </w:rPr>
        <w:t>三地规则</w:t>
      </w:r>
      <w:r>
        <w:rPr>
          <w:rFonts w:hint="eastAsia" w:ascii="仿宋" w:hAnsi="仿宋" w:eastAsia="仿宋" w:cs="仿宋"/>
          <w:kern w:val="2"/>
          <w:sz w:val="28"/>
          <w:szCs w:val="28"/>
          <w:lang w:val="en-US" w:eastAsia="zh-CN" w:bidi="ar-SA"/>
        </w:rPr>
        <w:t>衔接：</w:t>
      </w:r>
      <w:r>
        <w:rPr>
          <w:rFonts w:hint="default" w:ascii="仿宋" w:hAnsi="仿宋" w:eastAsia="仿宋" w:cs="仿宋"/>
          <w:kern w:val="2"/>
          <w:sz w:val="28"/>
          <w:szCs w:val="28"/>
          <w:lang w:val="en-US" w:eastAsia="zh-CN" w:bidi="ar-SA"/>
        </w:rPr>
        <w:t>第5章</w:t>
      </w:r>
      <w:r>
        <w:rPr>
          <w:rFonts w:hint="eastAsia" w:ascii="仿宋" w:hAnsi="仿宋" w:eastAsia="仿宋" w:cs="仿宋"/>
          <w:kern w:val="2"/>
          <w:sz w:val="28"/>
          <w:szCs w:val="28"/>
          <w:lang w:val="en-US" w:eastAsia="zh-CN" w:bidi="ar-SA"/>
        </w:rPr>
        <w:t>提供“</w:t>
      </w:r>
      <w:r>
        <w:rPr>
          <w:rFonts w:hint="default" w:ascii="仿宋" w:hAnsi="仿宋" w:eastAsia="仿宋" w:cs="仿宋"/>
          <w:kern w:val="2"/>
          <w:sz w:val="28"/>
          <w:szCs w:val="28"/>
          <w:lang w:val="en-US" w:eastAsia="zh-CN" w:bidi="ar-SA"/>
        </w:rPr>
        <w:t>全流程、预先、直接</w:t>
      </w:r>
      <w:r>
        <w:rPr>
          <w:rFonts w:hint="eastAsia" w:ascii="仿宋" w:hAnsi="仿宋" w:eastAsia="仿宋" w:cs="仿宋"/>
          <w:kern w:val="2"/>
          <w:sz w:val="28"/>
          <w:szCs w:val="28"/>
          <w:lang w:val="en-US" w:eastAsia="zh-CN" w:bidi="ar-SA"/>
        </w:rPr>
        <w:t>”</w:t>
      </w:r>
      <w:r>
        <w:rPr>
          <w:rFonts w:hint="default" w:ascii="仿宋" w:hAnsi="仿宋" w:eastAsia="仿宋" w:cs="仿宋"/>
          <w:kern w:val="2"/>
          <w:sz w:val="28"/>
          <w:szCs w:val="28"/>
          <w:lang w:val="en-US" w:eastAsia="zh-CN" w:bidi="ar-SA"/>
        </w:rPr>
        <w:t>三种碳中和实施路径，灵活适配</w:t>
      </w:r>
      <w:r>
        <w:rPr>
          <w:rFonts w:hint="eastAsia" w:ascii="仿宋" w:hAnsi="仿宋" w:eastAsia="仿宋" w:cs="仿宋"/>
          <w:kern w:val="2"/>
          <w:sz w:val="28"/>
          <w:szCs w:val="28"/>
          <w:lang w:val="en-US" w:eastAsia="zh-CN" w:bidi="ar-SA"/>
        </w:rPr>
        <w:t>粤港澳三地</w:t>
      </w:r>
      <w:r>
        <w:rPr>
          <w:rFonts w:hint="default" w:ascii="仿宋" w:hAnsi="仿宋" w:eastAsia="仿宋" w:cs="仿宋"/>
          <w:kern w:val="2"/>
          <w:sz w:val="28"/>
          <w:szCs w:val="28"/>
          <w:lang w:val="en-US" w:eastAsia="zh-CN" w:bidi="ar-SA"/>
        </w:rPr>
        <w:t>会展</w:t>
      </w:r>
      <w:r>
        <w:rPr>
          <w:rFonts w:hint="eastAsia" w:ascii="仿宋" w:hAnsi="仿宋" w:eastAsia="仿宋" w:cs="仿宋"/>
          <w:kern w:val="2"/>
          <w:sz w:val="28"/>
          <w:szCs w:val="28"/>
          <w:lang w:val="en-US" w:eastAsia="zh-CN" w:bidi="ar-SA"/>
        </w:rPr>
        <w:t>差异</w:t>
      </w:r>
      <w:r>
        <w:rPr>
          <w:rFonts w:hint="default" w:ascii="仿宋" w:hAnsi="仿宋" w:eastAsia="仿宋" w:cs="仿宋"/>
          <w:kern w:val="2"/>
          <w:sz w:val="28"/>
          <w:szCs w:val="28"/>
          <w:lang w:val="en-US" w:eastAsia="zh-CN" w:bidi="ar-SA"/>
        </w:rPr>
        <w:t>需求；第6</w:t>
      </w:r>
      <w:r>
        <w:rPr>
          <w:rFonts w:hint="eastAsia" w:ascii="仿宋" w:hAnsi="仿宋" w:eastAsia="仿宋" w:cs="仿宋"/>
          <w:kern w:val="2"/>
          <w:sz w:val="28"/>
          <w:szCs w:val="28"/>
          <w:lang w:val="en-US" w:eastAsia="zh-CN" w:bidi="ar-SA"/>
        </w:rPr>
        <w:t>、7</w:t>
      </w:r>
      <w:r>
        <w:rPr>
          <w:rFonts w:hint="default" w:ascii="仿宋" w:hAnsi="仿宋" w:eastAsia="仿宋" w:cs="仿宋"/>
          <w:kern w:val="2"/>
          <w:sz w:val="28"/>
          <w:szCs w:val="28"/>
          <w:lang w:val="en-US" w:eastAsia="zh-CN" w:bidi="ar-SA"/>
        </w:rPr>
        <w:t>章明确“筹备、举办、收尾”全阶段核算边界；针对三地碳中和分别采用的不同减排量，例如香港澳门采用VCUs等国际碳信用、广东采用CCER和PHCER等减排量，第11章明确</w:t>
      </w:r>
      <w:r>
        <w:rPr>
          <w:rFonts w:hint="eastAsia" w:ascii="仿宋" w:hAnsi="仿宋" w:eastAsia="仿宋" w:cs="仿宋"/>
          <w:kern w:val="2"/>
          <w:sz w:val="28"/>
          <w:szCs w:val="28"/>
          <w:lang w:val="en-US" w:eastAsia="zh-CN" w:bidi="ar-SA"/>
        </w:rPr>
        <w:t>了</w:t>
      </w:r>
      <w:r>
        <w:rPr>
          <w:rFonts w:hint="default" w:ascii="仿宋" w:hAnsi="仿宋" w:eastAsia="仿宋" w:cs="仿宋"/>
          <w:kern w:val="2"/>
          <w:sz w:val="28"/>
          <w:szCs w:val="28"/>
          <w:lang w:val="en-US" w:eastAsia="zh-CN" w:bidi="ar-SA"/>
        </w:rPr>
        <w:t>CCER、CDM、VCUs及政府核准的碳普惠减排量等多种碳信用类型，构建粤港澳与国际碳信用互认</w:t>
      </w:r>
      <w:r>
        <w:rPr>
          <w:rFonts w:hint="eastAsia" w:ascii="仿宋" w:hAnsi="仿宋" w:eastAsia="仿宋" w:cs="仿宋"/>
          <w:kern w:val="2"/>
          <w:sz w:val="28"/>
          <w:szCs w:val="28"/>
          <w:lang w:val="en-US" w:eastAsia="zh-CN" w:bidi="ar-SA"/>
        </w:rPr>
        <w:t>通道；</w:t>
      </w:r>
      <w:r>
        <w:rPr>
          <w:rFonts w:hint="default" w:ascii="仿宋" w:hAnsi="仿宋" w:eastAsia="仿宋" w:cs="仿宋"/>
          <w:kern w:val="2"/>
          <w:sz w:val="28"/>
          <w:szCs w:val="28"/>
          <w:lang w:val="en-US" w:eastAsia="zh-CN" w:bidi="ar-SA"/>
        </w:rPr>
        <w:t>第12、13章建立第三方核查机制</w:t>
      </w:r>
      <w:r>
        <w:rPr>
          <w:rFonts w:hint="eastAsia" w:ascii="仿宋" w:hAnsi="仿宋" w:eastAsia="仿宋" w:cs="仿宋"/>
          <w:kern w:val="2"/>
          <w:sz w:val="28"/>
          <w:szCs w:val="28"/>
          <w:lang w:val="en-US" w:eastAsia="zh-CN" w:bidi="ar-SA"/>
        </w:rPr>
        <w:t>三地互认，</w:t>
      </w:r>
      <w:r>
        <w:rPr>
          <w:rFonts w:hint="default" w:ascii="仿宋" w:hAnsi="仿宋" w:eastAsia="仿宋" w:cs="仿宋"/>
          <w:kern w:val="2"/>
          <w:sz w:val="28"/>
          <w:szCs w:val="28"/>
          <w:lang w:val="en-US" w:eastAsia="zh-CN" w:bidi="ar-SA"/>
        </w:rPr>
        <w:t>确保结果公信力</w:t>
      </w:r>
      <w:r>
        <w:rPr>
          <w:rFonts w:hint="eastAsia" w:ascii="仿宋" w:hAnsi="仿宋" w:eastAsia="仿宋" w:cs="仿宋"/>
          <w:kern w:val="2"/>
          <w:sz w:val="28"/>
          <w:szCs w:val="28"/>
          <w:lang w:val="en-US" w:eastAsia="zh-CN" w:bidi="ar-SA"/>
        </w:rPr>
        <w:t>。</w:t>
      </w:r>
      <w:r>
        <w:rPr>
          <w:rFonts w:hint="default" w:ascii="仿宋" w:hAnsi="仿宋" w:eastAsia="仿宋" w:cs="仿宋"/>
          <w:kern w:val="2"/>
          <w:sz w:val="28"/>
          <w:szCs w:val="28"/>
          <w:lang w:val="en-US" w:eastAsia="zh-CN" w:bidi="ar-SA"/>
        </w:rPr>
        <w:t>附录</w:t>
      </w:r>
      <w:r>
        <w:rPr>
          <w:rFonts w:hint="eastAsia" w:ascii="仿宋" w:hAnsi="仿宋" w:eastAsia="仿宋" w:cs="仿宋"/>
          <w:kern w:val="2"/>
          <w:sz w:val="28"/>
          <w:szCs w:val="28"/>
          <w:lang w:val="en-US" w:eastAsia="zh-CN" w:bidi="ar-SA"/>
        </w:rPr>
        <w:t>明确计算方法、</w:t>
      </w:r>
      <w:r>
        <w:rPr>
          <w:rFonts w:hint="default" w:ascii="仿宋" w:hAnsi="仿宋" w:eastAsia="仿宋" w:cs="仿宋"/>
          <w:kern w:val="2"/>
          <w:sz w:val="28"/>
          <w:szCs w:val="28"/>
          <w:lang w:val="en-US" w:eastAsia="zh-CN" w:bidi="ar-SA"/>
        </w:rPr>
        <w:t>排放因子</w:t>
      </w:r>
      <w:r>
        <w:rPr>
          <w:rFonts w:hint="eastAsia" w:ascii="仿宋" w:hAnsi="仿宋" w:eastAsia="仿宋" w:cs="仿宋"/>
          <w:kern w:val="2"/>
          <w:sz w:val="28"/>
          <w:szCs w:val="28"/>
          <w:lang w:val="en-US" w:eastAsia="zh-CN" w:bidi="ar-SA"/>
        </w:rPr>
        <w:t>、</w:t>
      </w:r>
      <w:r>
        <w:rPr>
          <w:rFonts w:hint="default" w:ascii="仿宋" w:hAnsi="仿宋" w:eastAsia="仿宋" w:cs="仿宋"/>
          <w:kern w:val="2"/>
          <w:sz w:val="28"/>
          <w:szCs w:val="28"/>
          <w:lang w:val="en-US" w:eastAsia="zh-CN" w:bidi="ar-SA"/>
        </w:rPr>
        <w:t>数据采集</w:t>
      </w:r>
      <w:r>
        <w:rPr>
          <w:rFonts w:hint="eastAsia" w:ascii="仿宋" w:hAnsi="仿宋" w:eastAsia="仿宋" w:cs="仿宋"/>
          <w:kern w:val="2"/>
          <w:sz w:val="28"/>
          <w:szCs w:val="28"/>
          <w:lang w:val="en-US" w:eastAsia="zh-CN" w:bidi="ar-SA"/>
        </w:rPr>
        <w:t>、</w:t>
      </w:r>
      <w:r>
        <w:rPr>
          <w:rFonts w:hint="default" w:ascii="仿宋" w:hAnsi="仿宋" w:eastAsia="仿宋" w:cs="仿宋"/>
          <w:kern w:val="2"/>
          <w:sz w:val="28"/>
          <w:szCs w:val="28"/>
          <w:lang w:val="en-US" w:eastAsia="zh-CN" w:bidi="ar-SA"/>
        </w:rPr>
        <w:t>核算报告格式</w:t>
      </w:r>
      <w:r>
        <w:rPr>
          <w:rFonts w:hint="eastAsia" w:ascii="仿宋" w:hAnsi="仿宋" w:eastAsia="仿宋" w:cs="仿宋"/>
          <w:kern w:val="2"/>
          <w:sz w:val="28"/>
          <w:szCs w:val="28"/>
          <w:lang w:val="en-US" w:eastAsia="zh-CN" w:bidi="ar-SA"/>
        </w:rPr>
        <w:t>及</w:t>
      </w:r>
      <w:r>
        <w:rPr>
          <w:rFonts w:hint="default" w:ascii="仿宋" w:hAnsi="仿宋" w:eastAsia="仿宋" w:cs="仿宋"/>
          <w:kern w:val="2"/>
          <w:sz w:val="28"/>
          <w:szCs w:val="28"/>
          <w:lang w:val="en-US" w:eastAsia="zh-CN" w:bidi="ar-SA"/>
        </w:rPr>
        <w:t>减排指引，推动</w:t>
      </w:r>
      <w:r>
        <w:rPr>
          <w:rFonts w:hint="eastAsia" w:ascii="仿宋" w:hAnsi="仿宋" w:eastAsia="仿宋" w:cs="仿宋"/>
          <w:kern w:val="2"/>
          <w:sz w:val="28"/>
          <w:szCs w:val="28"/>
          <w:lang w:val="en-US" w:eastAsia="zh-CN" w:bidi="ar-SA"/>
        </w:rPr>
        <w:t>粤港澳</w:t>
      </w:r>
      <w:r>
        <w:rPr>
          <w:rFonts w:hint="default" w:ascii="仿宋" w:hAnsi="仿宋" w:eastAsia="仿宋" w:cs="仿宋"/>
          <w:kern w:val="2"/>
          <w:sz w:val="28"/>
          <w:szCs w:val="28"/>
          <w:lang w:val="en-US" w:eastAsia="zh-CN" w:bidi="ar-SA"/>
        </w:rPr>
        <w:t>三地标准</w:t>
      </w:r>
      <w:r>
        <w:rPr>
          <w:rFonts w:hint="eastAsia" w:ascii="仿宋" w:hAnsi="仿宋" w:eastAsia="仿宋" w:cs="仿宋"/>
          <w:kern w:val="2"/>
          <w:sz w:val="28"/>
          <w:szCs w:val="28"/>
          <w:lang w:val="en-US" w:eastAsia="zh-CN" w:bidi="ar-SA"/>
        </w:rPr>
        <w:t>一致</w:t>
      </w:r>
      <w:r>
        <w:rPr>
          <w:rFonts w:hint="default" w:ascii="仿宋" w:hAnsi="仿宋" w:eastAsia="仿宋" w:cs="仿宋"/>
          <w:kern w:val="2"/>
          <w:sz w:val="28"/>
          <w:szCs w:val="28"/>
          <w:lang w:val="en-US" w:eastAsia="zh-CN" w:bidi="ar-SA"/>
        </w:rPr>
        <w:t>。</w:t>
      </w:r>
      <w:r>
        <w:rPr>
          <w:rFonts w:hint="eastAsia" w:ascii="仿宋" w:hAnsi="仿宋" w:eastAsia="仿宋" w:cs="仿宋"/>
          <w:kern w:val="2"/>
          <w:sz w:val="28"/>
          <w:szCs w:val="28"/>
          <w:lang w:val="en-US" w:eastAsia="zh-CN" w:bidi="ar-SA"/>
        </w:rPr>
        <w:t>标准</w:t>
      </w:r>
      <w:r>
        <w:rPr>
          <w:rFonts w:hint="default" w:ascii="仿宋" w:hAnsi="仿宋" w:eastAsia="仿宋" w:cs="仿宋"/>
          <w:kern w:val="2"/>
          <w:sz w:val="28"/>
          <w:szCs w:val="28"/>
          <w:lang w:val="en-US" w:eastAsia="zh-CN" w:bidi="ar-SA"/>
        </w:rPr>
        <w:t>以统一的计算逻辑、数据标准、核查程序与减排要求，系统性破除三地机制对接障碍。</w:t>
      </w:r>
    </w:p>
    <w:p w14:paraId="13BBBA4D">
      <w:pPr>
        <w:outlineLvl w:val="0"/>
        <w:rPr>
          <w:rFonts w:ascii="黑体" w:hAnsi="黑体" w:eastAsia="黑体" w:cs="Times New Roman"/>
          <w:sz w:val="32"/>
          <w:szCs w:val="32"/>
        </w:rPr>
      </w:pPr>
      <w:bookmarkStart w:id="9" w:name="_Toc14346"/>
      <w:r>
        <w:rPr>
          <w:rFonts w:hint="eastAsia" w:ascii="黑体" w:hAnsi="黑体" w:eastAsia="黑体" w:cs="Times New Roman"/>
          <w:sz w:val="32"/>
          <w:szCs w:val="32"/>
        </w:rPr>
        <w:t>三、标准编制原则、主要内容及其确定依据。</w:t>
      </w:r>
      <w:bookmarkEnd w:id="9"/>
    </w:p>
    <w:p w14:paraId="50086CBA">
      <w:pPr>
        <w:numPr>
          <w:ilvl w:val="0"/>
          <w:numId w:val="0"/>
        </w:numPr>
        <w:ind w:leftChars="0"/>
        <w:outlineLvl w:val="1"/>
        <w:rPr>
          <w:rFonts w:hint="eastAsia" w:ascii="仿宋" w:hAnsi="仿宋" w:eastAsia="仿宋" w:cs="Times New Roman"/>
          <w:b/>
          <w:bCs/>
          <w:sz w:val="32"/>
          <w:szCs w:val="32"/>
        </w:rPr>
      </w:pPr>
      <w:bookmarkStart w:id="10" w:name="_Toc15101"/>
      <w:r>
        <w:rPr>
          <w:rFonts w:hint="eastAsia" w:ascii="仿宋" w:hAnsi="仿宋" w:eastAsia="仿宋" w:cs="Times New Roman"/>
          <w:b/>
          <w:bCs/>
          <w:sz w:val="32"/>
          <w:szCs w:val="32"/>
        </w:rPr>
        <w:t>（一）标准编制原则</w:t>
      </w:r>
      <w:bookmarkEnd w:id="10"/>
    </w:p>
    <w:p w14:paraId="62DE237E">
      <w:pPr>
        <w:bidi w:val="0"/>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（1）原则性：</w:t>
      </w:r>
      <w:r>
        <w:rPr>
          <w:rFonts w:hint="default" w:ascii="仿宋" w:hAnsi="仿宋" w:eastAsia="仿宋" w:cs="仿宋"/>
          <w:kern w:val="2"/>
          <w:sz w:val="28"/>
          <w:szCs w:val="28"/>
          <w:lang w:val="en-US" w:eastAsia="zh-CN" w:bidi="ar-SA"/>
        </w:rPr>
        <w:t>遵循国家有关的法规、标准和规范，体现标准的科学性，规范性和一致性，与国家现有相关规范性文件相协调，避免冲突</w:t>
      </w:r>
      <w:r>
        <w:rPr>
          <w:rFonts w:hint="eastAsia" w:ascii="仿宋" w:hAnsi="仿宋" w:eastAsia="仿宋" w:cs="仿宋"/>
          <w:kern w:val="2"/>
          <w:sz w:val="28"/>
          <w:szCs w:val="28"/>
          <w:lang w:val="en-US" w:eastAsia="zh-CN" w:bidi="ar-SA"/>
        </w:rPr>
        <w:t>；</w:t>
      </w:r>
    </w:p>
    <w:p w14:paraId="58FC797C">
      <w:pPr>
        <w:bidi w:val="0"/>
        <w:spacing w:line="360" w:lineRule="auto"/>
        <w:ind w:firstLine="560" w:firstLineChars="200"/>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（2）规范性：严格按照</w:t>
      </w:r>
      <w:r>
        <w:rPr>
          <w:rFonts w:hint="default" w:ascii="仿宋" w:hAnsi="仿宋" w:eastAsia="仿宋" w:cs="仿宋"/>
          <w:kern w:val="2"/>
          <w:sz w:val="28"/>
          <w:szCs w:val="28"/>
          <w:lang w:val="en-US" w:eastAsia="zh-CN" w:bidi="ar-SA"/>
        </w:rPr>
        <w:t>GB/T 1.1—2020《标准化工作导则》的规定起草。</w:t>
      </w:r>
    </w:p>
    <w:p w14:paraId="4DCED6EF">
      <w:pPr>
        <w:bidi w:val="0"/>
        <w:spacing w:line="360" w:lineRule="auto"/>
        <w:ind w:firstLine="560" w:firstLineChars="200"/>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（3）适用</w:t>
      </w:r>
      <w:r>
        <w:rPr>
          <w:rFonts w:hint="default" w:ascii="仿宋" w:hAnsi="仿宋" w:eastAsia="仿宋" w:cs="仿宋"/>
          <w:kern w:val="2"/>
          <w:sz w:val="28"/>
          <w:szCs w:val="28"/>
          <w:lang w:val="en-US" w:eastAsia="zh-CN" w:bidi="ar-SA"/>
        </w:rPr>
        <w:t>性：标准立足于</w:t>
      </w:r>
      <w:r>
        <w:rPr>
          <w:rFonts w:hint="eastAsia" w:ascii="仿宋" w:hAnsi="仿宋" w:eastAsia="仿宋" w:cs="仿宋"/>
          <w:kern w:val="2"/>
          <w:sz w:val="28"/>
          <w:szCs w:val="28"/>
          <w:lang w:val="en-US" w:eastAsia="zh-CN" w:bidi="ar-SA"/>
        </w:rPr>
        <w:t>粤港澳大湾区</w:t>
      </w:r>
      <w:r>
        <w:rPr>
          <w:rFonts w:hint="default" w:ascii="仿宋" w:hAnsi="仿宋" w:eastAsia="仿宋" w:cs="仿宋"/>
          <w:kern w:val="2"/>
          <w:sz w:val="28"/>
          <w:szCs w:val="28"/>
          <w:lang w:val="en-US" w:eastAsia="zh-CN" w:bidi="ar-SA"/>
        </w:rPr>
        <w:t>实际，对</w:t>
      </w:r>
      <w:r>
        <w:rPr>
          <w:rFonts w:hint="eastAsia" w:ascii="仿宋" w:hAnsi="仿宋" w:eastAsia="仿宋" w:cs="仿宋"/>
          <w:kern w:val="2"/>
          <w:sz w:val="28"/>
          <w:szCs w:val="28"/>
          <w:lang w:val="en-US" w:eastAsia="zh-CN" w:bidi="ar-SA"/>
        </w:rPr>
        <w:t>会展</w:t>
      </w:r>
      <w:r>
        <w:rPr>
          <w:rFonts w:hint="default" w:ascii="仿宋" w:hAnsi="仿宋" w:eastAsia="仿宋" w:cs="仿宋"/>
          <w:kern w:val="2"/>
          <w:sz w:val="28"/>
          <w:szCs w:val="28"/>
          <w:lang w:val="en-US" w:eastAsia="zh-CN" w:bidi="ar-SA"/>
        </w:rPr>
        <w:t>活动碳中和实施标准进一步规范和细化，用于指导</w:t>
      </w:r>
      <w:r>
        <w:rPr>
          <w:rFonts w:hint="eastAsia" w:ascii="仿宋" w:hAnsi="仿宋" w:eastAsia="仿宋" w:cs="仿宋"/>
          <w:kern w:val="2"/>
          <w:sz w:val="28"/>
          <w:szCs w:val="28"/>
          <w:lang w:val="en-US" w:eastAsia="zh-CN" w:bidi="ar-SA"/>
        </w:rPr>
        <w:t>粤港澳大湾区会展</w:t>
      </w:r>
      <w:r>
        <w:rPr>
          <w:rFonts w:hint="default" w:ascii="仿宋" w:hAnsi="仿宋" w:eastAsia="仿宋" w:cs="仿宋"/>
          <w:kern w:val="2"/>
          <w:sz w:val="28"/>
          <w:szCs w:val="28"/>
          <w:lang w:val="en-US" w:eastAsia="zh-CN" w:bidi="ar-SA"/>
        </w:rPr>
        <w:t>活动碳中和的实施。</w:t>
      </w:r>
    </w:p>
    <w:p w14:paraId="3B11DCB2">
      <w:pPr>
        <w:numPr>
          <w:ilvl w:val="0"/>
          <w:numId w:val="0"/>
        </w:numPr>
        <w:ind w:leftChars="0"/>
        <w:outlineLvl w:val="1"/>
        <w:rPr>
          <w:rFonts w:hint="eastAsia" w:ascii="仿宋" w:hAnsi="仿宋" w:eastAsia="仿宋" w:cs="Times New Roman"/>
          <w:b/>
          <w:bCs/>
          <w:sz w:val="32"/>
          <w:szCs w:val="32"/>
          <w:highlight w:val="none"/>
        </w:rPr>
      </w:pPr>
      <w:bookmarkStart w:id="11" w:name="_Toc28794"/>
      <w:r>
        <w:rPr>
          <w:rFonts w:hint="eastAsia" w:ascii="仿宋" w:hAnsi="仿宋" w:eastAsia="仿宋" w:cs="Times New Roman"/>
          <w:b/>
          <w:bCs/>
          <w:sz w:val="32"/>
          <w:szCs w:val="32"/>
          <w:highlight w:val="none"/>
        </w:rPr>
        <w:t>（二）主要内容包括标准的适用范围、每章节的标题和主要技术内容</w:t>
      </w:r>
      <w:bookmarkEnd w:id="11"/>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2429"/>
        <w:gridCol w:w="5115"/>
      </w:tblGrid>
      <w:tr w14:paraId="42D87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35" w:type="dxa"/>
            <w:vAlign w:val="center"/>
          </w:tcPr>
          <w:p w14:paraId="3CF91AD2">
            <w:pPr>
              <w:widowControl/>
              <w:jc w:val="center"/>
              <w:rPr>
                <w:rFonts w:hint="eastAsia" w:ascii="仿宋" w:hAnsi="仿宋" w:eastAsia="仿宋" w:cs="仿宋"/>
                <w:b/>
                <w:bCs/>
                <w:kern w:val="0"/>
                <w:sz w:val="24"/>
                <w:szCs w:val="24"/>
                <w:vertAlign w:val="baseline"/>
                <w:lang w:val="en-US" w:eastAsia="zh-CN"/>
              </w:rPr>
            </w:pPr>
            <w:r>
              <w:rPr>
                <w:rFonts w:hint="eastAsia" w:ascii="仿宋" w:hAnsi="仿宋" w:eastAsia="仿宋" w:cs="仿宋"/>
                <w:b/>
                <w:bCs/>
                <w:kern w:val="0"/>
                <w:sz w:val="24"/>
                <w:szCs w:val="24"/>
                <w:vertAlign w:val="baseline"/>
                <w:lang w:val="en-US" w:eastAsia="zh-CN"/>
              </w:rPr>
              <w:t>章节</w:t>
            </w:r>
          </w:p>
        </w:tc>
        <w:tc>
          <w:tcPr>
            <w:tcW w:w="2429" w:type="dxa"/>
            <w:vAlign w:val="center"/>
          </w:tcPr>
          <w:p w14:paraId="5FEB4A45">
            <w:pPr>
              <w:widowControl/>
              <w:jc w:val="center"/>
              <w:rPr>
                <w:rFonts w:hint="eastAsia" w:ascii="仿宋" w:hAnsi="仿宋" w:eastAsia="仿宋" w:cs="仿宋"/>
                <w:b/>
                <w:bCs/>
                <w:kern w:val="0"/>
                <w:sz w:val="24"/>
                <w:szCs w:val="24"/>
                <w:vertAlign w:val="baseline"/>
                <w:lang w:val="en-US" w:eastAsia="zh-CN"/>
              </w:rPr>
            </w:pPr>
            <w:r>
              <w:rPr>
                <w:rFonts w:hint="eastAsia" w:ascii="仿宋" w:hAnsi="仿宋" w:eastAsia="仿宋" w:cs="仿宋"/>
                <w:b/>
                <w:bCs/>
                <w:kern w:val="0"/>
                <w:sz w:val="24"/>
                <w:szCs w:val="24"/>
                <w:vertAlign w:val="baseline"/>
                <w:lang w:val="en-US" w:eastAsia="zh-CN"/>
              </w:rPr>
              <w:t>标题</w:t>
            </w:r>
          </w:p>
        </w:tc>
        <w:tc>
          <w:tcPr>
            <w:tcW w:w="5115" w:type="dxa"/>
            <w:vAlign w:val="center"/>
          </w:tcPr>
          <w:p w14:paraId="362C3C68">
            <w:pPr>
              <w:widowControl/>
              <w:jc w:val="center"/>
              <w:rPr>
                <w:rFonts w:hint="eastAsia" w:ascii="仿宋" w:hAnsi="仿宋" w:eastAsia="仿宋" w:cs="仿宋"/>
                <w:b/>
                <w:bCs/>
                <w:kern w:val="0"/>
                <w:sz w:val="24"/>
                <w:szCs w:val="24"/>
                <w:vertAlign w:val="baseline"/>
                <w:lang w:val="en-US" w:eastAsia="zh-CN"/>
              </w:rPr>
            </w:pPr>
            <w:r>
              <w:rPr>
                <w:rFonts w:hint="eastAsia" w:ascii="仿宋" w:hAnsi="仿宋" w:eastAsia="仿宋" w:cs="仿宋"/>
                <w:b/>
                <w:bCs/>
                <w:kern w:val="0"/>
                <w:sz w:val="24"/>
                <w:szCs w:val="24"/>
                <w:vertAlign w:val="baseline"/>
                <w:lang w:val="en-US" w:eastAsia="zh-CN"/>
              </w:rPr>
              <w:t>主要技术内容</w:t>
            </w:r>
          </w:p>
        </w:tc>
      </w:tr>
      <w:tr w14:paraId="7793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35" w:type="dxa"/>
            <w:vAlign w:val="center"/>
          </w:tcPr>
          <w:p w14:paraId="6EC6C7C0">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w:t>
            </w:r>
          </w:p>
        </w:tc>
        <w:tc>
          <w:tcPr>
            <w:tcW w:w="2429" w:type="dxa"/>
            <w:vAlign w:val="center"/>
          </w:tcPr>
          <w:p w14:paraId="30E48D8B">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范围</w:t>
            </w:r>
          </w:p>
        </w:tc>
        <w:tc>
          <w:tcPr>
            <w:tcW w:w="5115" w:type="dxa"/>
            <w:vAlign w:val="center"/>
          </w:tcPr>
          <w:p w14:paraId="4B049F44">
            <w:pPr>
              <w:pStyle w:val="19"/>
              <w:widowControl w:val="0"/>
              <w:ind w:left="0" w:leftChars="0" w:firstLine="0" w:firstLineChars="0"/>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bidi="ar-SA"/>
              </w:rPr>
              <w:t>提供了</w:t>
            </w:r>
            <w:bookmarkStart w:id="12" w:name="OLE_LINK3"/>
            <w:r>
              <w:rPr>
                <w:rFonts w:hint="eastAsia" w:ascii="仿宋" w:hAnsi="仿宋" w:eastAsia="仿宋" w:cs="仿宋"/>
                <w:kern w:val="0"/>
                <w:sz w:val="24"/>
                <w:szCs w:val="24"/>
                <w:vertAlign w:val="baseline"/>
                <w:lang w:val="en-US" w:eastAsia="zh-CN" w:bidi="ar-SA"/>
              </w:rPr>
              <w:t>粤港澳大湾区会展活动</w:t>
            </w:r>
            <w:bookmarkEnd w:id="12"/>
            <w:r>
              <w:rPr>
                <w:rFonts w:hint="eastAsia" w:ascii="仿宋" w:hAnsi="仿宋" w:eastAsia="仿宋" w:cs="仿宋"/>
                <w:kern w:val="0"/>
                <w:sz w:val="24"/>
                <w:szCs w:val="24"/>
                <w:vertAlign w:val="baseline"/>
                <w:lang w:val="en-US" w:eastAsia="zh-CN" w:bidi="ar-SA"/>
              </w:rPr>
              <w:t>碳中和的基本原则、碳中和实施流程、系统边界的确定、温室气体排放量预核算、碳中和实施计划制定与发布、减排行动的实施、实施减排后的温室气体排放量核算、碳排放量抵消、碳中和核查以及碳中和实现声明等内容的指导。</w:t>
            </w:r>
          </w:p>
        </w:tc>
      </w:tr>
      <w:tr w14:paraId="288E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35" w:type="dxa"/>
            <w:vAlign w:val="center"/>
          </w:tcPr>
          <w:p w14:paraId="5872B0D0">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2</w:t>
            </w:r>
          </w:p>
        </w:tc>
        <w:tc>
          <w:tcPr>
            <w:tcW w:w="2429" w:type="dxa"/>
            <w:vAlign w:val="center"/>
          </w:tcPr>
          <w:p w14:paraId="4CE6A138">
            <w:pPr>
              <w:widowControl/>
              <w:jc w:val="both"/>
              <w:rPr>
                <w:rFonts w:hint="default" w:ascii="Times New Roman" w:hAnsi="Times New Roman" w:eastAsia="仿宋" w:cs="Times New Roman"/>
                <w:kern w:val="0"/>
                <w:sz w:val="24"/>
                <w:szCs w:val="24"/>
                <w:vertAlign w:val="baseline"/>
                <w:lang w:val="en-US" w:eastAsia="zh-CN"/>
              </w:rPr>
            </w:pPr>
            <w:r>
              <w:rPr>
                <w:rFonts w:hint="default" w:ascii="Times New Roman" w:hAnsi="Times New Roman" w:eastAsia="仿宋" w:cs="Times New Roman"/>
                <w:kern w:val="0"/>
                <w:sz w:val="24"/>
                <w:szCs w:val="24"/>
                <w:vertAlign w:val="baseline"/>
                <w:lang w:val="en-US" w:eastAsia="zh-CN"/>
              </w:rPr>
              <w:t>规范性引用文件</w:t>
            </w:r>
          </w:p>
        </w:tc>
        <w:tc>
          <w:tcPr>
            <w:tcW w:w="5115" w:type="dxa"/>
            <w:vAlign w:val="center"/>
          </w:tcPr>
          <w:p w14:paraId="793D69BA">
            <w:pPr>
              <w:pStyle w:val="19"/>
              <w:widowControl w:val="0"/>
              <w:ind w:left="0" w:leftChars="0" w:firstLine="0" w:firstLineChars="0"/>
              <w:rPr>
                <w:rFonts w:hint="default" w:ascii="Times New Roman" w:hAnsi="Times New Roman" w:eastAsia="仿宋" w:cs="Times New Roman"/>
                <w:kern w:val="0"/>
                <w:sz w:val="24"/>
                <w:szCs w:val="24"/>
                <w:vertAlign w:val="baseline"/>
                <w:lang w:val="en-US" w:eastAsia="zh-CN" w:bidi="ar-SA"/>
              </w:rPr>
            </w:pPr>
            <w:bookmarkStart w:id="13" w:name="OLE_LINK9"/>
            <w:r>
              <w:rPr>
                <w:rFonts w:hint="default" w:ascii="Times New Roman" w:hAnsi="Times New Roman" w:eastAsia="仿宋" w:cs="Times New Roman"/>
                <w:kern w:val="0"/>
                <w:sz w:val="24"/>
                <w:szCs w:val="24"/>
                <w:vertAlign w:val="baseline"/>
                <w:lang w:val="en-US" w:eastAsia="zh-CN" w:bidi="ar-SA"/>
              </w:rPr>
              <w:t>GB/T 24067</w:t>
            </w:r>
            <w:bookmarkEnd w:id="13"/>
            <w:r>
              <w:rPr>
                <w:rFonts w:hint="default" w:ascii="Times New Roman" w:hAnsi="Times New Roman" w:eastAsia="仿宋" w:cs="Times New Roman"/>
                <w:kern w:val="0"/>
                <w:sz w:val="24"/>
                <w:szCs w:val="24"/>
                <w:vertAlign w:val="baseline"/>
                <w:lang w:val="en-US" w:eastAsia="zh-CN" w:bidi="ar-SA"/>
              </w:rPr>
              <w:t xml:space="preserve"> 温室气体 产品碳足迹 量化要求和指南</w:t>
            </w:r>
          </w:p>
          <w:p w14:paraId="38C44B75">
            <w:pPr>
              <w:pStyle w:val="19"/>
              <w:widowControl w:val="0"/>
              <w:ind w:left="0" w:leftChars="0" w:firstLine="0" w:firstLineChars="0"/>
              <w:rPr>
                <w:rFonts w:hint="default" w:ascii="Times New Roman" w:hAnsi="Times New Roman" w:eastAsia="仿宋" w:cs="Times New Roman"/>
                <w:kern w:val="0"/>
                <w:sz w:val="24"/>
                <w:szCs w:val="24"/>
                <w:vertAlign w:val="baseline"/>
                <w:lang w:val="en-US" w:eastAsia="zh-CN"/>
              </w:rPr>
            </w:pPr>
            <w:r>
              <w:rPr>
                <w:rFonts w:hint="default" w:ascii="Times New Roman" w:hAnsi="Times New Roman" w:eastAsia="仿宋" w:cs="Times New Roman"/>
                <w:kern w:val="0"/>
                <w:sz w:val="24"/>
                <w:szCs w:val="24"/>
                <w:vertAlign w:val="baseline"/>
                <w:lang w:val="en-US" w:eastAsia="zh-CN" w:bidi="ar-SA"/>
              </w:rPr>
              <w:t>ISO 14068-1气候变化管理-向净零值过度 第1部分：碳中和（Climate change management— Transition to net zero—Part 1: Carbon neutrality）</w:t>
            </w:r>
          </w:p>
        </w:tc>
      </w:tr>
      <w:tr w14:paraId="305C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35" w:type="dxa"/>
            <w:vAlign w:val="center"/>
          </w:tcPr>
          <w:p w14:paraId="36B536F7">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3</w:t>
            </w:r>
          </w:p>
        </w:tc>
        <w:tc>
          <w:tcPr>
            <w:tcW w:w="2429" w:type="dxa"/>
            <w:vAlign w:val="center"/>
          </w:tcPr>
          <w:p w14:paraId="1ABF73F3">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术语与定义</w:t>
            </w:r>
          </w:p>
        </w:tc>
        <w:tc>
          <w:tcPr>
            <w:tcW w:w="5115" w:type="dxa"/>
            <w:vAlign w:val="center"/>
          </w:tcPr>
          <w:p w14:paraId="23741DCD">
            <w:pPr>
              <w:widowControl/>
              <w:jc w:val="both"/>
              <w:rPr>
                <w:rFonts w:hint="eastAsia" w:ascii="仿宋" w:hAnsi="仿宋" w:eastAsia="仿宋" w:cs="仿宋"/>
                <w:kern w:val="0"/>
                <w:sz w:val="24"/>
                <w:szCs w:val="24"/>
                <w:vertAlign w:val="baseline"/>
              </w:rPr>
            </w:pPr>
            <w:r>
              <w:rPr>
                <w:rFonts w:hint="eastAsia" w:ascii="仿宋" w:hAnsi="仿宋" w:eastAsia="仿宋" w:cs="仿宋"/>
                <w:kern w:val="0"/>
                <w:sz w:val="24"/>
                <w:szCs w:val="24"/>
                <w:vertAlign w:val="baseline"/>
              </w:rPr>
              <w:t>界定了会展活动、会展活动组织者、</w:t>
            </w:r>
            <w:r>
              <w:rPr>
                <w:rFonts w:hint="eastAsia" w:ascii="仿宋" w:hAnsi="仿宋" w:eastAsia="仿宋" w:cs="仿宋"/>
                <w:kern w:val="0"/>
                <w:sz w:val="24"/>
                <w:szCs w:val="24"/>
                <w:vertAlign w:val="baseline"/>
                <w:lang w:val="en-US" w:eastAsia="zh-CN"/>
              </w:rPr>
              <w:t>会展人员、展览场地经营者、会展用品、绿色会展、</w:t>
            </w:r>
            <w:r>
              <w:rPr>
                <w:rFonts w:hint="eastAsia" w:ascii="仿宋" w:hAnsi="仿宋" w:eastAsia="仿宋" w:cs="仿宋"/>
                <w:kern w:val="0"/>
                <w:sz w:val="24"/>
                <w:szCs w:val="24"/>
                <w:vertAlign w:val="baseline"/>
              </w:rPr>
              <w:t>碳中和、碳抵消、碳信用等术语和定义。</w:t>
            </w:r>
          </w:p>
        </w:tc>
      </w:tr>
      <w:tr w14:paraId="68A0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35" w:type="dxa"/>
            <w:vAlign w:val="center"/>
          </w:tcPr>
          <w:p w14:paraId="67EFE8DC">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4</w:t>
            </w:r>
          </w:p>
        </w:tc>
        <w:tc>
          <w:tcPr>
            <w:tcW w:w="2429" w:type="dxa"/>
            <w:vAlign w:val="center"/>
          </w:tcPr>
          <w:p w14:paraId="5A46C49C">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基本原则</w:t>
            </w:r>
          </w:p>
        </w:tc>
        <w:tc>
          <w:tcPr>
            <w:tcW w:w="5115" w:type="dxa"/>
            <w:vAlign w:val="center"/>
          </w:tcPr>
          <w:p w14:paraId="45DEBBF5">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界定了基本原则。</w:t>
            </w:r>
          </w:p>
        </w:tc>
      </w:tr>
      <w:tr w14:paraId="5ED2E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35" w:type="dxa"/>
            <w:vAlign w:val="center"/>
          </w:tcPr>
          <w:p w14:paraId="45EF67AC">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5</w:t>
            </w:r>
          </w:p>
        </w:tc>
        <w:tc>
          <w:tcPr>
            <w:tcW w:w="2429" w:type="dxa"/>
            <w:vAlign w:val="center"/>
          </w:tcPr>
          <w:p w14:paraId="026E800D">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碳中和实施流程</w:t>
            </w:r>
          </w:p>
        </w:tc>
        <w:tc>
          <w:tcPr>
            <w:tcW w:w="5115" w:type="dxa"/>
            <w:vAlign w:val="center"/>
          </w:tcPr>
          <w:p w14:paraId="7448FAA5">
            <w:pPr>
              <w:widowControl/>
              <w:jc w:val="both"/>
              <w:rPr>
                <w:rFonts w:hint="default" w:ascii="仿宋" w:hAnsi="仿宋" w:eastAsia="宋体"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明确了会展活动碳中和实施流程。会展活动碳中和实施流程包括系统边界确定、温室气体排放预核算、碳中和实施计划制定与发布、减排行动的实施、实施减排后的温室气体排放核算、碳足迹抵消、碳中和核查及碳中和实现声明等环节。主要分为三种碳中和实施流程：全流程碳中和、预先碳中和、直接碳中和。</w:t>
            </w:r>
          </w:p>
        </w:tc>
      </w:tr>
      <w:tr w14:paraId="11E9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935" w:type="dxa"/>
            <w:vAlign w:val="center"/>
          </w:tcPr>
          <w:p w14:paraId="31A430C0">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6</w:t>
            </w:r>
          </w:p>
        </w:tc>
        <w:tc>
          <w:tcPr>
            <w:tcW w:w="2429" w:type="dxa"/>
            <w:vAlign w:val="center"/>
          </w:tcPr>
          <w:p w14:paraId="4896463C">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系统边界的确定</w:t>
            </w:r>
          </w:p>
        </w:tc>
        <w:tc>
          <w:tcPr>
            <w:tcW w:w="5115" w:type="dxa"/>
            <w:vAlign w:val="center"/>
          </w:tcPr>
          <w:p w14:paraId="72ECB705">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明确了会展活动的核算边界。</w:t>
            </w:r>
          </w:p>
        </w:tc>
      </w:tr>
      <w:tr w14:paraId="11B3B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0E6046F7">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7</w:t>
            </w:r>
          </w:p>
        </w:tc>
        <w:tc>
          <w:tcPr>
            <w:tcW w:w="2429" w:type="dxa"/>
            <w:vAlign w:val="center"/>
          </w:tcPr>
          <w:p w14:paraId="1C332B1F">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温室气体排放预核算</w:t>
            </w:r>
          </w:p>
        </w:tc>
        <w:tc>
          <w:tcPr>
            <w:tcW w:w="5115" w:type="dxa"/>
            <w:vAlign w:val="center"/>
          </w:tcPr>
          <w:p w14:paraId="4169C509">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提出了会展活动温室气体排放量的计算方法。</w:t>
            </w:r>
          </w:p>
        </w:tc>
      </w:tr>
      <w:tr w14:paraId="1778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2D92B161">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8</w:t>
            </w:r>
          </w:p>
        </w:tc>
        <w:tc>
          <w:tcPr>
            <w:tcW w:w="2429" w:type="dxa"/>
            <w:vAlign w:val="center"/>
          </w:tcPr>
          <w:p w14:paraId="25546EA8">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碳中和实施计划制定与发布</w:t>
            </w:r>
          </w:p>
        </w:tc>
        <w:tc>
          <w:tcPr>
            <w:tcW w:w="5115" w:type="dxa"/>
            <w:vAlign w:val="center"/>
          </w:tcPr>
          <w:p w14:paraId="31251DAC">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明确了</w:t>
            </w:r>
            <w:r>
              <w:rPr>
                <w:rFonts w:hint="eastAsia" w:ascii="仿宋" w:hAnsi="仿宋" w:eastAsia="仿宋" w:cs="仿宋"/>
                <w:kern w:val="0"/>
                <w:sz w:val="24"/>
                <w:szCs w:val="24"/>
                <w:vertAlign w:val="baseline"/>
              </w:rPr>
              <w:t>提出碳中和目标，明确实现时间</w:t>
            </w:r>
            <w:r>
              <w:rPr>
                <w:rFonts w:hint="eastAsia" w:ascii="仿宋" w:hAnsi="仿宋" w:eastAsia="仿宋" w:cs="仿宋"/>
                <w:kern w:val="0"/>
                <w:sz w:val="24"/>
                <w:szCs w:val="24"/>
                <w:vertAlign w:val="baseline"/>
                <w:lang w:eastAsia="zh-CN"/>
              </w:rPr>
              <w:t>；</w:t>
            </w:r>
            <w:r>
              <w:rPr>
                <w:rFonts w:hint="eastAsia" w:ascii="仿宋" w:hAnsi="仿宋" w:eastAsia="仿宋" w:cs="仿宋"/>
                <w:kern w:val="0"/>
                <w:sz w:val="24"/>
                <w:szCs w:val="24"/>
                <w:vertAlign w:val="baseline"/>
              </w:rPr>
              <w:t>结合实际情况制定减排措施实施方案</w:t>
            </w:r>
            <w:r>
              <w:rPr>
                <w:rFonts w:hint="eastAsia" w:ascii="仿宋" w:hAnsi="仿宋" w:eastAsia="仿宋" w:cs="仿宋"/>
                <w:kern w:val="0"/>
                <w:sz w:val="24"/>
                <w:szCs w:val="24"/>
                <w:vertAlign w:val="baseline"/>
                <w:lang w:eastAsia="zh-CN"/>
              </w:rPr>
              <w:t>；</w:t>
            </w:r>
            <w:r>
              <w:rPr>
                <w:rFonts w:hint="eastAsia" w:ascii="仿宋" w:hAnsi="仿宋" w:eastAsia="仿宋" w:cs="仿宋"/>
                <w:kern w:val="0"/>
                <w:sz w:val="24"/>
                <w:szCs w:val="24"/>
                <w:vertAlign w:val="baseline"/>
              </w:rPr>
              <w:t>对外公开发布碳中和承诺</w:t>
            </w:r>
            <w:r>
              <w:rPr>
                <w:rFonts w:hint="eastAsia" w:ascii="仿宋" w:hAnsi="仿宋" w:eastAsia="仿宋" w:cs="仿宋"/>
                <w:kern w:val="0"/>
                <w:sz w:val="24"/>
                <w:szCs w:val="24"/>
                <w:vertAlign w:val="baseline"/>
                <w:lang w:val="en-US" w:eastAsia="zh-CN"/>
              </w:rPr>
              <w:t>等要求。</w:t>
            </w:r>
          </w:p>
        </w:tc>
      </w:tr>
      <w:tr w14:paraId="3DA7E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36D45FFA">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9</w:t>
            </w:r>
          </w:p>
        </w:tc>
        <w:tc>
          <w:tcPr>
            <w:tcW w:w="2429" w:type="dxa"/>
            <w:vAlign w:val="center"/>
          </w:tcPr>
          <w:p w14:paraId="4A7B0D8F">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减排行动的实施</w:t>
            </w:r>
          </w:p>
        </w:tc>
        <w:tc>
          <w:tcPr>
            <w:tcW w:w="5115" w:type="dxa"/>
            <w:vAlign w:val="center"/>
          </w:tcPr>
          <w:p w14:paraId="7C805011">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rPr>
              <w:t>按照制定的减排措施实施方案，开展减排行动，最大程度减少会展活动导致的温室气体排放量</w:t>
            </w:r>
            <w:r>
              <w:rPr>
                <w:rFonts w:hint="eastAsia" w:ascii="仿宋" w:hAnsi="仿宋" w:eastAsia="仿宋" w:cs="仿宋"/>
                <w:kern w:val="0"/>
                <w:sz w:val="24"/>
                <w:szCs w:val="24"/>
                <w:vertAlign w:val="baseline"/>
                <w:lang w:eastAsia="zh-CN"/>
              </w:rPr>
              <w:t>。</w:t>
            </w:r>
          </w:p>
        </w:tc>
      </w:tr>
      <w:tr w14:paraId="5699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7C8D105C">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10</w:t>
            </w:r>
          </w:p>
        </w:tc>
        <w:tc>
          <w:tcPr>
            <w:tcW w:w="2429" w:type="dxa"/>
            <w:vAlign w:val="center"/>
          </w:tcPr>
          <w:p w14:paraId="4373D1B4">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实施减排后的温室气体排放核算</w:t>
            </w:r>
          </w:p>
        </w:tc>
        <w:tc>
          <w:tcPr>
            <w:tcW w:w="5115" w:type="dxa"/>
            <w:vAlign w:val="center"/>
          </w:tcPr>
          <w:p w14:paraId="3B3A453E">
            <w:pPr>
              <w:widowControl/>
              <w:jc w:val="both"/>
              <w:rPr>
                <w:rFonts w:hint="eastAsia" w:ascii="仿宋" w:hAnsi="仿宋" w:eastAsia="仿宋" w:cs="仿宋"/>
                <w:kern w:val="0"/>
                <w:sz w:val="24"/>
                <w:szCs w:val="24"/>
                <w:vertAlign w:val="baseline"/>
              </w:rPr>
            </w:pPr>
            <w:r>
              <w:rPr>
                <w:rFonts w:hint="eastAsia" w:ascii="仿宋" w:hAnsi="仿宋" w:eastAsia="仿宋" w:cs="仿宋"/>
                <w:kern w:val="0"/>
                <w:sz w:val="24"/>
                <w:szCs w:val="24"/>
                <w:vertAlign w:val="baseline"/>
              </w:rPr>
              <w:t>在实施减排措施后，再次对会展活动的温室气体排放量进行核算，评估减排措施的实施效果。</w:t>
            </w:r>
          </w:p>
        </w:tc>
      </w:tr>
      <w:tr w14:paraId="72C12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253D4FE4">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11</w:t>
            </w:r>
          </w:p>
        </w:tc>
        <w:tc>
          <w:tcPr>
            <w:tcW w:w="2429" w:type="dxa"/>
            <w:vAlign w:val="center"/>
          </w:tcPr>
          <w:p w14:paraId="18B2CEF2">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碳足迹抵消</w:t>
            </w:r>
          </w:p>
        </w:tc>
        <w:tc>
          <w:tcPr>
            <w:tcW w:w="5115" w:type="dxa"/>
            <w:vAlign w:val="center"/>
          </w:tcPr>
          <w:p w14:paraId="343BFDE5">
            <w:pPr>
              <w:widowControl/>
              <w:jc w:val="both"/>
              <w:rPr>
                <w:rFonts w:hint="eastAsia" w:ascii="仿宋" w:hAnsi="仿宋" w:eastAsia="仿宋" w:cs="仿宋"/>
                <w:kern w:val="0"/>
                <w:sz w:val="24"/>
                <w:szCs w:val="24"/>
                <w:vertAlign w:val="baseline"/>
                <w:lang w:eastAsia="zh-CN"/>
              </w:rPr>
            </w:pPr>
            <w:r>
              <w:rPr>
                <w:rFonts w:hint="eastAsia" w:ascii="仿宋" w:hAnsi="仿宋" w:eastAsia="仿宋" w:cs="仿宋"/>
                <w:kern w:val="0"/>
                <w:sz w:val="24"/>
                <w:szCs w:val="24"/>
                <w:vertAlign w:val="baseline"/>
              </w:rPr>
              <w:t>对于无法通过减排措施避免的温室气体排放量，可通过购买碳信用或其他碳抵消项目进行抵消</w:t>
            </w:r>
            <w:r>
              <w:rPr>
                <w:rFonts w:hint="eastAsia" w:ascii="仿宋" w:hAnsi="仿宋" w:eastAsia="仿宋" w:cs="仿宋"/>
                <w:kern w:val="0"/>
                <w:sz w:val="24"/>
                <w:szCs w:val="24"/>
                <w:vertAlign w:val="baseline"/>
                <w:lang w:eastAsia="zh-CN"/>
              </w:rPr>
              <w:t>。</w:t>
            </w:r>
          </w:p>
        </w:tc>
      </w:tr>
      <w:tr w14:paraId="653A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447C8218">
            <w:pPr>
              <w:widowControl/>
              <w:jc w:val="center"/>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12</w:t>
            </w:r>
          </w:p>
        </w:tc>
        <w:tc>
          <w:tcPr>
            <w:tcW w:w="2429" w:type="dxa"/>
            <w:vAlign w:val="center"/>
          </w:tcPr>
          <w:p w14:paraId="4CF52392">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碳中和核查</w:t>
            </w:r>
          </w:p>
        </w:tc>
        <w:tc>
          <w:tcPr>
            <w:tcW w:w="5115" w:type="dxa"/>
            <w:vAlign w:val="center"/>
          </w:tcPr>
          <w:p w14:paraId="0D006806">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rPr>
              <w:t>对会展活动的碳中和实施情况进行核查，确保碳中和目标的实现。核查方式可包括内部核查和第三方核查。</w:t>
            </w:r>
          </w:p>
        </w:tc>
      </w:tr>
      <w:tr w14:paraId="4022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30DB5938">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13</w:t>
            </w:r>
          </w:p>
        </w:tc>
        <w:tc>
          <w:tcPr>
            <w:tcW w:w="2429" w:type="dxa"/>
            <w:vAlign w:val="center"/>
          </w:tcPr>
          <w:p w14:paraId="7292E623">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碳中和实现声明</w:t>
            </w:r>
          </w:p>
        </w:tc>
        <w:tc>
          <w:tcPr>
            <w:tcW w:w="5115" w:type="dxa"/>
            <w:vAlign w:val="center"/>
          </w:tcPr>
          <w:p w14:paraId="54B9961B">
            <w:pPr>
              <w:widowControl/>
              <w:jc w:val="both"/>
              <w:rPr>
                <w:rFonts w:hint="default" w:ascii="仿宋" w:hAnsi="仿宋" w:eastAsia="仿宋" w:cs="仿宋"/>
                <w:kern w:val="0"/>
                <w:sz w:val="24"/>
                <w:szCs w:val="24"/>
                <w:vertAlign w:val="baseline"/>
                <w:lang w:val="en-US"/>
              </w:rPr>
            </w:pPr>
            <w:r>
              <w:rPr>
                <w:rFonts w:hint="eastAsia" w:ascii="仿宋" w:hAnsi="仿宋" w:eastAsia="仿宋" w:cs="仿宋"/>
                <w:kern w:val="0"/>
                <w:sz w:val="24"/>
                <w:szCs w:val="24"/>
                <w:vertAlign w:val="baseline"/>
              </w:rPr>
              <w:t>在完成碳中和核查后，如达到碳中和目标，可发布碳中和实现声明。声明内容应包括会展活动的基本信息、碳中和实施过程、碳中和成果等。</w:t>
            </w:r>
          </w:p>
        </w:tc>
      </w:tr>
      <w:tr w14:paraId="30678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444A3652">
            <w:pPr>
              <w:widowControl/>
              <w:jc w:val="center"/>
              <w:rPr>
                <w:rFonts w:hint="default" w:ascii="仿宋" w:hAnsi="仿宋" w:eastAsia="仿宋" w:cs="仿宋"/>
                <w:kern w:val="0"/>
                <w:sz w:val="24"/>
                <w:szCs w:val="24"/>
                <w:vertAlign w:val="baseline"/>
                <w:lang w:val="en-US" w:eastAsia="zh-CN"/>
              </w:rPr>
            </w:pPr>
            <w:bookmarkStart w:id="14" w:name="_Toc20531"/>
            <w:r>
              <w:rPr>
                <w:rFonts w:hint="eastAsia" w:ascii="仿宋" w:hAnsi="仿宋" w:eastAsia="仿宋" w:cs="仿宋"/>
                <w:kern w:val="0"/>
                <w:sz w:val="24"/>
                <w:szCs w:val="24"/>
                <w:vertAlign w:val="baseline"/>
                <w:lang w:val="en-US" w:eastAsia="zh-CN"/>
              </w:rPr>
              <w:t>14</w:t>
            </w:r>
          </w:p>
        </w:tc>
        <w:tc>
          <w:tcPr>
            <w:tcW w:w="2429" w:type="dxa"/>
            <w:vAlign w:val="center"/>
          </w:tcPr>
          <w:p w14:paraId="4C3C12D0">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附录A</w:t>
            </w:r>
          </w:p>
        </w:tc>
        <w:tc>
          <w:tcPr>
            <w:tcW w:w="5115" w:type="dxa"/>
            <w:vAlign w:val="center"/>
          </w:tcPr>
          <w:p w14:paraId="00319720">
            <w:pPr>
              <w:widowControl/>
              <w:jc w:val="both"/>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给出了</w:t>
            </w:r>
            <w:r>
              <w:rPr>
                <w:rFonts w:hint="eastAsia" w:ascii="仿宋" w:hAnsi="仿宋" w:eastAsia="仿宋" w:cs="仿宋"/>
                <w:kern w:val="0"/>
                <w:sz w:val="24"/>
                <w:szCs w:val="24"/>
                <w:vertAlign w:val="baseline"/>
              </w:rPr>
              <w:t>会展活动</w:t>
            </w:r>
            <w:r>
              <w:rPr>
                <w:rFonts w:hint="eastAsia" w:ascii="仿宋" w:hAnsi="仿宋" w:eastAsia="仿宋" w:cs="仿宋"/>
                <w:kern w:val="0"/>
                <w:sz w:val="24"/>
                <w:szCs w:val="24"/>
                <w:vertAlign w:val="baseline"/>
                <w:lang w:val="en-US" w:eastAsia="zh-CN"/>
              </w:rPr>
              <w:t>温室气体排放</w:t>
            </w:r>
            <w:r>
              <w:rPr>
                <w:rFonts w:hint="eastAsia" w:ascii="仿宋" w:hAnsi="仿宋" w:eastAsia="仿宋" w:cs="仿宋"/>
                <w:kern w:val="0"/>
                <w:sz w:val="24"/>
                <w:szCs w:val="24"/>
                <w:vertAlign w:val="baseline"/>
              </w:rPr>
              <w:t>核算</w:t>
            </w:r>
            <w:r>
              <w:rPr>
                <w:rFonts w:hint="eastAsia" w:ascii="仿宋" w:hAnsi="仿宋" w:eastAsia="仿宋" w:cs="仿宋"/>
                <w:kern w:val="0"/>
                <w:sz w:val="24"/>
                <w:szCs w:val="24"/>
                <w:vertAlign w:val="baseline"/>
                <w:lang w:val="en-US" w:eastAsia="zh-CN"/>
              </w:rPr>
              <w:t>方法、因子缺省值。</w:t>
            </w:r>
          </w:p>
        </w:tc>
      </w:tr>
      <w:tr w14:paraId="7D858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0A53E3C5">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15</w:t>
            </w:r>
          </w:p>
        </w:tc>
        <w:tc>
          <w:tcPr>
            <w:tcW w:w="2429" w:type="dxa"/>
            <w:vAlign w:val="center"/>
          </w:tcPr>
          <w:p w14:paraId="090CFE79">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附录B</w:t>
            </w:r>
          </w:p>
        </w:tc>
        <w:tc>
          <w:tcPr>
            <w:tcW w:w="5115" w:type="dxa"/>
            <w:vAlign w:val="center"/>
          </w:tcPr>
          <w:p w14:paraId="499916EF">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给出了具体的</w:t>
            </w:r>
            <w:r>
              <w:rPr>
                <w:rFonts w:hint="eastAsia" w:ascii="仿宋" w:hAnsi="仿宋" w:eastAsia="仿宋" w:cs="仿宋"/>
                <w:kern w:val="0"/>
                <w:sz w:val="24"/>
                <w:szCs w:val="24"/>
                <w:vertAlign w:val="baseline"/>
              </w:rPr>
              <w:t>活动数据收集表</w:t>
            </w:r>
            <w:r>
              <w:rPr>
                <w:rFonts w:hint="eastAsia" w:ascii="仿宋" w:hAnsi="仿宋" w:eastAsia="仿宋" w:cs="仿宋"/>
                <w:kern w:val="0"/>
                <w:sz w:val="24"/>
                <w:szCs w:val="24"/>
                <w:vertAlign w:val="baseline"/>
                <w:lang w:eastAsia="zh-CN"/>
              </w:rPr>
              <w:t>。</w:t>
            </w:r>
          </w:p>
        </w:tc>
      </w:tr>
      <w:tr w14:paraId="37D3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64E6AAD8">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16</w:t>
            </w:r>
          </w:p>
        </w:tc>
        <w:tc>
          <w:tcPr>
            <w:tcW w:w="2429" w:type="dxa"/>
            <w:vAlign w:val="center"/>
          </w:tcPr>
          <w:p w14:paraId="3F79F63A">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附录C</w:t>
            </w:r>
          </w:p>
        </w:tc>
        <w:tc>
          <w:tcPr>
            <w:tcW w:w="5115" w:type="dxa"/>
            <w:vAlign w:val="center"/>
          </w:tcPr>
          <w:p w14:paraId="2F39CCCF">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给出了</w:t>
            </w:r>
            <w:r>
              <w:rPr>
                <w:rFonts w:hint="eastAsia" w:ascii="仿宋" w:hAnsi="仿宋" w:eastAsia="仿宋" w:cs="仿宋"/>
                <w:kern w:val="0"/>
                <w:sz w:val="24"/>
                <w:szCs w:val="24"/>
                <w:vertAlign w:val="baseline"/>
              </w:rPr>
              <w:t>会展活动温室气体（预/实际）核算报告</w:t>
            </w:r>
            <w:r>
              <w:rPr>
                <w:rFonts w:hint="eastAsia" w:ascii="仿宋" w:hAnsi="仿宋" w:eastAsia="仿宋" w:cs="仿宋"/>
                <w:kern w:val="0"/>
                <w:sz w:val="24"/>
                <w:szCs w:val="24"/>
                <w:vertAlign w:val="baseline"/>
                <w:lang w:val="en-US" w:eastAsia="zh-CN"/>
              </w:rPr>
              <w:t>模板。</w:t>
            </w:r>
          </w:p>
        </w:tc>
      </w:tr>
      <w:tr w14:paraId="7CC6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6E659DE2">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17</w:t>
            </w:r>
          </w:p>
        </w:tc>
        <w:tc>
          <w:tcPr>
            <w:tcW w:w="2429" w:type="dxa"/>
            <w:vAlign w:val="center"/>
          </w:tcPr>
          <w:p w14:paraId="3A30A93C">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附录D</w:t>
            </w:r>
          </w:p>
        </w:tc>
        <w:tc>
          <w:tcPr>
            <w:tcW w:w="5115" w:type="dxa"/>
            <w:vAlign w:val="center"/>
          </w:tcPr>
          <w:p w14:paraId="726C25AC">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给出了</w:t>
            </w:r>
            <w:r>
              <w:rPr>
                <w:rFonts w:hint="eastAsia" w:ascii="仿宋" w:hAnsi="仿宋" w:eastAsia="仿宋" w:cs="仿宋"/>
                <w:kern w:val="0"/>
                <w:sz w:val="24"/>
                <w:szCs w:val="24"/>
                <w:vertAlign w:val="baseline"/>
              </w:rPr>
              <w:t>会展活动在筹备、举办和收尾阶段的具体减排行动</w:t>
            </w:r>
            <w:r>
              <w:rPr>
                <w:rFonts w:hint="eastAsia" w:ascii="仿宋" w:hAnsi="仿宋" w:eastAsia="仿宋" w:cs="仿宋"/>
                <w:kern w:val="0"/>
                <w:sz w:val="24"/>
                <w:szCs w:val="24"/>
                <w:vertAlign w:val="baseline"/>
                <w:lang w:val="en-US" w:eastAsia="zh-CN"/>
              </w:rPr>
              <w:t>指引。</w:t>
            </w:r>
          </w:p>
        </w:tc>
      </w:tr>
      <w:tr w14:paraId="237E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935" w:type="dxa"/>
            <w:vAlign w:val="center"/>
          </w:tcPr>
          <w:p w14:paraId="34C07A1A">
            <w:pPr>
              <w:widowControl/>
              <w:jc w:val="center"/>
              <w:rPr>
                <w:rFonts w:hint="default"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18</w:t>
            </w:r>
          </w:p>
        </w:tc>
        <w:tc>
          <w:tcPr>
            <w:tcW w:w="2429" w:type="dxa"/>
            <w:vAlign w:val="center"/>
          </w:tcPr>
          <w:p w14:paraId="6F24B119">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附录E</w:t>
            </w:r>
          </w:p>
        </w:tc>
        <w:tc>
          <w:tcPr>
            <w:tcW w:w="5115" w:type="dxa"/>
            <w:vAlign w:val="center"/>
          </w:tcPr>
          <w:p w14:paraId="0D33ED1A">
            <w:pPr>
              <w:widowControl/>
              <w:jc w:val="both"/>
              <w:rPr>
                <w:rFonts w:hint="eastAsia" w:ascii="仿宋" w:hAnsi="仿宋" w:eastAsia="仿宋" w:cs="仿宋"/>
                <w:kern w:val="0"/>
                <w:sz w:val="24"/>
                <w:szCs w:val="24"/>
                <w:vertAlign w:val="baseline"/>
                <w:lang w:val="en-US" w:eastAsia="zh-CN"/>
              </w:rPr>
            </w:pPr>
            <w:r>
              <w:rPr>
                <w:rFonts w:hint="eastAsia" w:ascii="仿宋" w:hAnsi="仿宋" w:eastAsia="仿宋" w:cs="仿宋"/>
                <w:kern w:val="0"/>
                <w:sz w:val="24"/>
                <w:szCs w:val="24"/>
                <w:vertAlign w:val="baseline"/>
                <w:lang w:val="en-US" w:eastAsia="zh-CN"/>
              </w:rPr>
              <w:t>给出了</w:t>
            </w:r>
            <w:r>
              <w:rPr>
                <w:rFonts w:hint="eastAsia" w:ascii="仿宋" w:hAnsi="仿宋" w:eastAsia="仿宋" w:cs="仿宋"/>
                <w:kern w:val="0"/>
                <w:sz w:val="24"/>
                <w:szCs w:val="24"/>
                <w:vertAlign w:val="baseline"/>
              </w:rPr>
              <w:t>会展活动温室气体复核说明内容</w:t>
            </w:r>
            <w:r>
              <w:rPr>
                <w:rFonts w:hint="eastAsia" w:ascii="仿宋" w:hAnsi="仿宋" w:eastAsia="仿宋" w:cs="仿宋"/>
                <w:kern w:val="0"/>
                <w:sz w:val="24"/>
                <w:szCs w:val="24"/>
                <w:vertAlign w:val="baseline"/>
                <w:lang w:val="en-US" w:eastAsia="zh-CN"/>
              </w:rPr>
              <w:t>模板。</w:t>
            </w:r>
          </w:p>
        </w:tc>
      </w:tr>
    </w:tbl>
    <w:p w14:paraId="4DBFD585">
      <w:pPr>
        <w:bidi w:val="0"/>
        <w:rPr>
          <w:rFonts w:hint="eastAsia"/>
          <w:lang w:eastAsia="zh-CN"/>
        </w:rPr>
      </w:pPr>
    </w:p>
    <w:p w14:paraId="237D4645">
      <w:pPr>
        <w:numPr>
          <w:ilvl w:val="0"/>
          <w:numId w:val="0"/>
        </w:numPr>
        <w:ind w:leftChars="0"/>
        <w:outlineLvl w:val="1"/>
        <w:rPr>
          <w:rFonts w:hint="eastAsia" w:ascii="仿宋" w:hAnsi="仿宋" w:eastAsia="仿宋" w:cs="Times New Roman"/>
          <w:b/>
          <w:bCs/>
          <w:sz w:val="32"/>
          <w:szCs w:val="32"/>
        </w:rPr>
      </w:pPr>
      <w:r>
        <w:rPr>
          <w:rFonts w:hint="eastAsia" w:ascii="仿宋" w:hAnsi="仿宋" w:eastAsia="仿宋" w:cs="Times New Roman"/>
          <w:b/>
          <w:bCs/>
          <w:sz w:val="32"/>
          <w:szCs w:val="32"/>
          <w:lang w:eastAsia="zh-CN"/>
        </w:rPr>
        <w:t>（</w:t>
      </w:r>
      <w:r>
        <w:rPr>
          <w:rFonts w:hint="eastAsia" w:ascii="仿宋" w:hAnsi="仿宋" w:eastAsia="仿宋" w:cs="Times New Roman"/>
          <w:b/>
          <w:bCs/>
          <w:sz w:val="32"/>
          <w:szCs w:val="32"/>
          <w:lang w:val="en-US" w:eastAsia="zh-CN"/>
        </w:rPr>
        <w:t>三</w:t>
      </w:r>
      <w:r>
        <w:rPr>
          <w:rFonts w:hint="eastAsia" w:ascii="仿宋" w:hAnsi="仿宋" w:eastAsia="仿宋" w:cs="Times New Roman"/>
          <w:b/>
          <w:bCs/>
          <w:sz w:val="32"/>
          <w:szCs w:val="32"/>
          <w:lang w:eastAsia="zh-CN"/>
        </w:rPr>
        <w:t>）</w:t>
      </w:r>
      <w:r>
        <w:rPr>
          <w:rFonts w:hint="eastAsia" w:ascii="仿宋" w:hAnsi="仿宋" w:eastAsia="仿宋" w:cs="Times New Roman"/>
          <w:b/>
          <w:bCs/>
          <w:sz w:val="32"/>
          <w:szCs w:val="32"/>
        </w:rPr>
        <w:t>确定依据</w:t>
      </w:r>
      <w:bookmarkEnd w:id="14"/>
    </w:p>
    <w:tbl>
      <w:tblPr>
        <w:tblStyle w:val="13"/>
        <w:tblW w:w="84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7697"/>
      </w:tblGrid>
      <w:tr w14:paraId="0CBE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7C8B26E9">
            <w:pPr>
              <w:pStyle w:val="11"/>
              <w:ind w:left="0" w:leftChars="0" w:firstLine="0" w:firstLineChars="0"/>
              <w:jc w:val="center"/>
              <w:rPr>
                <w:rFonts w:hint="eastAsia" w:ascii="仿宋" w:hAnsi="仿宋" w:eastAsia="仿宋" w:cs="仿宋"/>
                <w:b/>
                <w:bCs/>
                <w:kern w:val="0"/>
                <w:sz w:val="24"/>
                <w:szCs w:val="24"/>
                <w:vertAlign w:val="baseline"/>
                <w:lang w:val="en-US" w:eastAsia="zh-CN" w:bidi="ar-SA"/>
              </w:rPr>
            </w:pPr>
            <w:r>
              <w:rPr>
                <w:rFonts w:hint="eastAsia" w:ascii="仿宋" w:hAnsi="仿宋" w:eastAsia="仿宋" w:cs="仿宋"/>
                <w:b/>
                <w:bCs/>
                <w:kern w:val="0"/>
                <w:sz w:val="24"/>
                <w:szCs w:val="24"/>
                <w:vertAlign w:val="baseline"/>
                <w:lang w:val="en-US" w:eastAsia="zh-CN" w:bidi="ar-SA"/>
              </w:rPr>
              <w:t>序号</w:t>
            </w:r>
          </w:p>
        </w:tc>
        <w:tc>
          <w:tcPr>
            <w:tcW w:w="7697" w:type="dxa"/>
          </w:tcPr>
          <w:p w14:paraId="55170E00">
            <w:pPr>
              <w:pStyle w:val="11"/>
              <w:ind w:left="0" w:leftChars="0" w:firstLine="0" w:firstLineChars="0"/>
              <w:jc w:val="center"/>
              <w:rPr>
                <w:rFonts w:hint="eastAsia" w:ascii="仿宋" w:hAnsi="仿宋" w:eastAsia="仿宋" w:cs="仿宋"/>
                <w:b/>
                <w:bCs/>
                <w:kern w:val="0"/>
                <w:sz w:val="24"/>
                <w:szCs w:val="24"/>
                <w:vertAlign w:val="baseline"/>
                <w:lang w:val="en-US" w:eastAsia="zh-CN" w:bidi="ar-SA"/>
              </w:rPr>
            </w:pPr>
            <w:r>
              <w:rPr>
                <w:rFonts w:hint="eastAsia" w:ascii="仿宋" w:hAnsi="仿宋" w:eastAsia="仿宋" w:cs="仿宋"/>
                <w:b/>
                <w:bCs/>
                <w:kern w:val="0"/>
                <w:sz w:val="24"/>
                <w:szCs w:val="24"/>
                <w:vertAlign w:val="baseline"/>
                <w:lang w:val="en-US" w:eastAsia="zh-CN" w:bidi="ar-SA"/>
              </w:rPr>
              <w:t>参考文件名称</w:t>
            </w:r>
          </w:p>
        </w:tc>
      </w:tr>
      <w:tr w14:paraId="3DCB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28" w:type="dxa"/>
            <w:gridSpan w:val="2"/>
            <w:vAlign w:val="center"/>
          </w:tcPr>
          <w:p w14:paraId="22AE377E">
            <w:pPr>
              <w:pStyle w:val="11"/>
              <w:ind w:left="0" w:leftChars="0" w:firstLine="0" w:firstLineChars="0"/>
              <w:jc w:val="both"/>
              <w:rPr>
                <w:rFonts w:hint="eastAsia" w:ascii="仿宋" w:hAnsi="仿宋" w:eastAsia="仿宋" w:cs="仿宋"/>
                <w:b/>
                <w:bCs/>
                <w:kern w:val="0"/>
                <w:sz w:val="24"/>
                <w:szCs w:val="24"/>
                <w:vertAlign w:val="baseline"/>
                <w:lang w:val="en-US" w:eastAsia="zh-CN" w:bidi="ar-SA"/>
              </w:rPr>
            </w:pPr>
            <w:r>
              <w:rPr>
                <w:rFonts w:hint="eastAsia" w:ascii="仿宋" w:hAnsi="仿宋" w:eastAsia="仿宋" w:cs="仿宋"/>
                <w:b/>
                <w:bCs/>
                <w:kern w:val="0"/>
                <w:sz w:val="24"/>
                <w:szCs w:val="24"/>
                <w:vertAlign w:val="baseline"/>
                <w:lang w:val="en-US" w:eastAsia="zh-CN" w:bidi="ar-SA"/>
              </w:rPr>
              <w:t>国内参考文件</w:t>
            </w:r>
          </w:p>
        </w:tc>
      </w:tr>
      <w:tr w14:paraId="7B1A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2B79DF13">
            <w:pPr>
              <w:pStyle w:val="11"/>
              <w:ind w:left="0" w:leftChars="0" w:firstLine="0" w:firstLineChars="0"/>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w:t>
            </w:r>
          </w:p>
        </w:tc>
        <w:tc>
          <w:tcPr>
            <w:tcW w:w="7697" w:type="dxa"/>
          </w:tcPr>
          <w:p w14:paraId="34088AB9">
            <w:pPr>
              <w:pStyle w:val="2"/>
              <w:widowControl/>
              <w:numPr>
                <w:ilvl w:val="0"/>
                <w:numId w:val="0"/>
              </w:numPr>
              <w:shd w:val="clear" w:color="auto" w:fill="FFFFFF"/>
              <w:spacing w:before="0" w:after="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GB/T 31598大型活动可持续性管理体系要求及使用指南</w:t>
            </w:r>
          </w:p>
        </w:tc>
      </w:tr>
      <w:tr w14:paraId="082E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48E46476">
            <w:pPr>
              <w:pStyle w:val="11"/>
              <w:ind w:left="0" w:leftChars="0" w:firstLine="0" w:firstLineChars="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7697" w:type="dxa"/>
          </w:tcPr>
          <w:p w14:paraId="1A3B355E">
            <w:pPr>
              <w:pStyle w:val="19"/>
              <w:widowControl w:val="0"/>
              <w:ind w:left="0" w:leftChars="0" w:firstLine="0" w:firstLineChars="0"/>
              <w:rPr>
                <w:rFonts w:hint="eastAsia" w:ascii="仿宋" w:hAnsi="仿宋" w:eastAsia="仿宋" w:cs="仿宋"/>
                <w:sz w:val="24"/>
                <w:szCs w:val="24"/>
                <w:vertAlign w:val="baseline"/>
              </w:rPr>
            </w:pPr>
            <w:r>
              <w:rPr>
                <w:rFonts w:hint="eastAsia" w:ascii="仿宋" w:hAnsi="仿宋" w:eastAsia="仿宋" w:cs="仿宋"/>
                <w:kern w:val="2"/>
                <w:sz w:val="24"/>
                <w:szCs w:val="24"/>
                <w:lang w:val="en-US" w:eastAsia="zh-CN" w:bidi="ar-SA"/>
              </w:rPr>
              <w:t>GB/T 24067 温室气体 产品碳足迹 量化要求和标准</w:t>
            </w:r>
          </w:p>
        </w:tc>
      </w:tr>
      <w:tr w14:paraId="13E1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159A86EF">
            <w:pPr>
              <w:pStyle w:val="11"/>
              <w:ind w:left="0" w:leftChars="0" w:firstLine="0" w:firstLineChars="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7697" w:type="dxa"/>
          </w:tcPr>
          <w:p w14:paraId="52045AC7">
            <w:pPr>
              <w:pStyle w:val="2"/>
              <w:widowControl/>
              <w:numPr>
                <w:ilvl w:val="0"/>
                <w:numId w:val="0"/>
              </w:numPr>
              <w:shd w:val="clear" w:color="auto" w:fill="FFFFFF"/>
              <w:spacing w:beforeAutospacing="0" w:afterAutospacing="0" w:line="240" w:lineRule="auto"/>
              <w:rPr>
                <w:rFonts w:hint="eastAsia" w:ascii="仿宋" w:hAnsi="仿宋" w:eastAsia="仿宋" w:cs="仿宋"/>
                <w:sz w:val="24"/>
                <w:szCs w:val="24"/>
                <w:vertAlign w:val="baseline"/>
              </w:rPr>
            </w:pPr>
            <w:bookmarkStart w:id="15" w:name="_Toc16102"/>
            <w:r>
              <w:rPr>
                <w:rFonts w:hint="eastAsia" w:ascii="仿宋" w:hAnsi="仿宋" w:eastAsia="仿宋" w:cs="仿宋"/>
                <w:b w:val="0"/>
                <w:bCs w:val="0"/>
                <w:kern w:val="2"/>
                <w:sz w:val="24"/>
                <w:szCs w:val="24"/>
                <w:lang w:val="en-US" w:eastAsia="zh-CN" w:bidi="ar-SA"/>
              </w:rPr>
              <w:t>GB/T 31598大型活动可持续性管理体系要求及使用标准</w:t>
            </w:r>
            <w:bookmarkEnd w:id="15"/>
          </w:p>
        </w:tc>
      </w:tr>
      <w:tr w14:paraId="3AB4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FA12594">
            <w:pPr>
              <w:pStyle w:val="11"/>
              <w:ind w:left="0" w:leftChars="0" w:firstLine="0" w:firstLineChars="0"/>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4</w:t>
            </w:r>
          </w:p>
        </w:tc>
        <w:tc>
          <w:tcPr>
            <w:tcW w:w="7697" w:type="dxa"/>
          </w:tcPr>
          <w:p w14:paraId="02FE2CCF">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bookmarkStart w:id="16" w:name="_Toc24039"/>
            <w:r>
              <w:rPr>
                <w:rFonts w:hint="eastAsia" w:ascii="仿宋" w:hAnsi="仿宋" w:eastAsia="仿宋" w:cs="仿宋"/>
                <w:b w:val="0"/>
                <w:bCs w:val="0"/>
                <w:kern w:val="2"/>
                <w:sz w:val="24"/>
                <w:szCs w:val="24"/>
                <w:lang w:val="en-US" w:eastAsia="zh-CN" w:bidi="ar-SA"/>
              </w:rPr>
              <w:t>GB/T 2589-2020综合能耗计算通则</w:t>
            </w:r>
            <w:bookmarkEnd w:id="16"/>
          </w:p>
        </w:tc>
      </w:tr>
      <w:tr w14:paraId="761A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985B85C">
            <w:pPr>
              <w:pStyle w:val="11"/>
              <w:ind w:left="0" w:leftChars="0" w:firstLine="0" w:firstLineChars="0"/>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5</w:t>
            </w:r>
          </w:p>
        </w:tc>
        <w:tc>
          <w:tcPr>
            <w:tcW w:w="7697" w:type="dxa"/>
          </w:tcPr>
          <w:p w14:paraId="687EE257">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bookmarkStart w:id="17" w:name="_Toc16779"/>
            <w:r>
              <w:rPr>
                <w:rFonts w:hint="eastAsia" w:ascii="仿宋" w:hAnsi="仿宋" w:eastAsia="仿宋" w:cs="仿宋"/>
                <w:b w:val="0"/>
                <w:bCs w:val="0"/>
                <w:kern w:val="2"/>
                <w:sz w:val="24"/>
                <w:szCs w:val="24"/>
                <w:lang w:val="en-US" w:eastAsia="zh-CN" w:bidi="ar-SA"/>
              </w:rPr>
              <w:t>GB/T 14308-2023旅游饭店星级的划分与评定</w:t>
            </w:r>
            <w:bookmarkEnd w:id="17"/>
          </w:p>
        </w:tc>
      </w:tr>
      <w:tr w14:paraId="24AC1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357972FC">
            <w:pPr>
              <w:pStyle w:val="11"/>
              <w:ind w:left="0" w:leftChars="0" w:firstLine="0" w:firstLineChars="0"/>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6</w:t>
            </w:r>
          </w:p>
        </w:tc>
        <w:tc>
          <w:tcPr>
            <w:tcW w:w="7697" w:type="dxa"/>
          </w:tcPr>
          <w:p w14:paraId="03D9257E">
            <w:pPr>
              <w:pStyle w:val="2"/>
              <w:widowControl/>
              <w:numPr>
                <w:ilvl w:val="0"/>
                <w:numId w:val="0"/>
              </w:numPr>
              <w:shd w:val="clear" w:color="auto" w:fill="FFFFFF"/>
              <w:spacing w:before="0" w:after="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 xml:space="preserve">GB/T 32151.27 温室气体排放核算与报告要求 第27部分：陆上交通运输企业 </w:t>
            </w:r>
          </w:p>
        </w:tc>
      </w:tr>
      <w:tr w14:paraId="5955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57B016F">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jc w:val="center"/>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7</w:t>
            </w:r>
          </w:p>
        </w:tc>
        <w:tc>
          <w:tcPr>
            <w:tcW w:w="7697" w:type="dxa"/>
          </w:tcPr>
          <w:p w14:paraId="79C9F29C">
            <w:pPr>
              <w:pStyle w:val="2"/>
              <w:widowControl/>
              <w:numPr>
                <w:ilvl w:val="0"/>
                <w:numId w:val="0"/>
              </w:numPr>
              <w:shd w:val="clear" w:color="auto" w:fill="FFFFFF"/>
              <w:spacing w:before="0" w:after="0" w:line="240" w:lineRule="auto"/>
              <w:rPr>
                <w:rFonts w:hint="eastAsia" w:ascii="仿宋" w:hAnsi="仿宋" w:eastAsia="仿宋" w:cs="仿宋"/>
                <w:b w:val="0"/>
                <w:bCs w:val="0"/>
                <w:kern w:val="2"/>
                <w:sz w:val="24"/>
                <w:szCs w:val="24"/>
                <w:lang w:val="en-US" w:eastAsia="zh-CN" w:bidi="ar-SA"/>
              </w:rPr>
            </w:pPr>
            <w:r>
              <w:rPr>
                <w:rFonts w:hint="default" w:ascii="仿宋" w:hAnsi="仿宋" w:eastAsia="仿宋" w:cs="仿宋"/>
                <w:b w:val="0"/>
                <w:bCs w:val="0"/>
                <w:kern w:val="2"/>
                <w:sz w:val="24"/>
                <w:szCs w:val="24"/>
                <w:lang w:val="en-US" w:eastAsia="zh-CN" w:bidi="ar-SA"/>
              </w:rPr>
              <w:t>SB/T 11090 会展业节能降耗工作规范</w:t>
            </w:r>
          </w:p>
        </w:tc>
      </w:tr>
      <w:tr w14:paraId="17D3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3C5DAD49">
            <w:pPr>
              <w:pStyle w:val="11"/>
              <w:ind w:left="0" w:leftChars="0" w:firstLine="0" w:firstLineChars="0"/>
              <w:jc w:val="center"/>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8</w:t>
            </w:r>
          </w:p>
        </w:tc>
        <w:tc>
          <w:tcPr>
            <w:tcW w:w="7697" w:type="dxa"/>
            <w:vAlign w:val="top"/>
          </w:tcPr>
          <w:p w14:paraId="3C32C706">
            <w:pPr>
              <w:pStyle w:val="2"/>
              <w:widowControl/>
              <w:numPr>
                <w:ilvl w:val="0"/>
                <w:numId w:val="0"/>
              </w:numPr>
              <w:shd w:val="clear" w:color="auto" w:fill="FFFFFF"/>
              <w:spacing w:before="0" w:after="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DB4403/T 3</w:t>
            </w:r>
            <w:bookmarkStart w:id="31" w:name="_GoBack"/>
            <w:bookmarkEnd w:id="31"/>
            <w:r>
              <w:rPr>
                <w:rFonts w:hint="eastAsia" w:ascii="仿宋" w:hAnsi="仿宋" w:eastAsia="仿宋" w:cs="仿宋"/>
                <w:b w:val="0"/>
                <w:bCs w:val="0"/>
                <w:kern w:val="2"/>
                <w:sz w:val="24"/>
                <w:szCs w:val="24"/>
                <w:lang w:val="en-US" w:eastAsia="zh-CN" w:bidi="ar-SA"/>
              </w:rPr>
              <w:t>69 大型活动温室气体排放核算和报告标准</w:t>
            </w:r>
          </w:p>
        </w:tc>
      </w:tr>
      <w:tr w14:paraId="2343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36BDDCE3">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jc w:val="center"/>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9</w:t>
            </w:r>
          </w:p>
        </w:tc>
        <w:tc>
          <w:tcPr>
            <w:tcW w:w="7697" w:type="dxa"/>
            <w:vAlign w:val="top"/>
          </w:tcPr>
          <w:p w14:paraId="74F0C089">
            <w:pPr>
              <w:pStyle w:val="2"/>
              <w:widowControl/>
              <w:numPr>
                <w:ilvl w:val="0"/>
                <w:numId w:val="0"/>
              </w:numPr>
              <w:shd w:val="clear" w:color="auto" w:fill="FFFFFF"/>
              <w:spacing w:before="0" w:after="0" w:line="240" w:lineRule="auto"/>
              <w:rPr>
                <w:rFonts w:hint="eastAsia" w:ascii="仿宋" w:hAnsi="仿宋" w:eastAsia="仿宋" w:cs="仿宋"/>
                <w:b w:val="0"/>
                <w:bCs w:val="0"/>
                <w:kern w:val="2"/>
                <w:sz w:val="24"/>
                <w:szCs w:val="24"/>
                <w:lang w:val="en-US" w:eastAsia="zh-CN" w:bidi="ar-SA"/>
              </w:rPr>
            </w:pPr>
            <w:r>
              <w:rPr>
                <w:rFonts w:hint="default" w:ascii="仿宋" w:hAnsi="仿宋" w:eastAsia="仿宋" w:cs="仿宋"/>
                <w:b w:val="0"/>
                <w:bCs w:val="0"/>
                <w:kern w:val="2"/>
                <w:sz w:val="24"/>
                <w:szCs w:val="24"/>
                <w:lang w:val="en-US" w:eastAsia="zh-CN" w:bidi="ar-SA"/>
              </w:rPr>
              <w:t>DB</w:t>
            </w:r>
            <w:r>
              <w:rPr>
                <w:rFonts w:hint="eastAsia" w:ascii="仿宋" w:hAnsi="仿宋" w:eastAsia="仿宋" w:cs="仿宋"/>
                <w:b w:val="0"/>
                <w:bCs w:val="0"/>
                <w:kern w:val="2"/>
                <w:sz w:val="24"/>
                <w:szCs w:val="24"/>
                <w:lang w:val="en-US" w:eastAsia="zh-CN" w:bidi="ar-SA"/>
              </w:rPr>
              <w:t>44/T 2639 大型活动碳中和实施指南</w:t>
            </w:r>
          </w:p>
        </w:tc>
      </w:tr>
      <w:tr w14:paraId="4A5F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BFFCE12">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jc w:val="center"/>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10</w:t>
            </w:r>
          </w:p>
        </w:tc>
        <w:tc>
          <w:tcPr>
            <w:tcW w:w="7697" w:type="dxa"/>
            <w:vAlign w:val="top"/>
          </w:tcPr>
          <w:p w14:paraId="2A47BCFA">
            <w:pPr>
              <w:pStyle w:val="2"/>
              <w:widowControl/>
              <w:numPr>
                <w:ilvl w:val="0"/>
                <w:numId w:val="0"/>
              </w:numPr>
              <w:shd w:val="clear" w:color="auto" w:fill="FFFFFF"/>
              <w:spacing w:beforeAutospacing="0" w:afterAutospacing="0" w:line="240" w:lineRule="auto"/>
              <w:ind w:left="0" w:leftChars="0" w:firstLine="0" w:firstLineChars="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DB11/T 1862 大型活动碳中和实施标准</w:t>
            </w:r>
          </w:p>
        </w:tc>
      </w:tr>
      <w:tr w14:paraId="00CA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3440494">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jc w:val="center"/>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11</w:t>
            </w:r>
          </w:p>
        </w:tc>
        <w:tc>
          <w:tcPr>
            <w:tcW w:w="7697" w:type="dxa"/>
            <w:vAlign w:val="top"/>
          </w:tcPr>
          <w:p w14:paraId="294EA7AF">
            <w:pPr>
              <w:pStyle w:val="2"/>
              <w:widowControl/>
              <w:numPr>
                <w:ilvl w:val="0"/>
                <w:numId w:val="0"/>
              </w:numPr>
              <w:shd w:val="clear" w:color="auto" w:fill="FFFFFF"/>
              <w:spacing w:beforeAutospacing="0" w:afterAutospacing="0" w:line="240" w:lineRule="auto"/>
              <w:ind w:left="0" w:leftChars="0" w:firstLine="0" w:firstLineChars="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DB/J 15-126-2017旅馆五星级、四星级、三星级建筑能耗指标</w:t>
            </w:r>
          </w:p>
        </w:tc>
      </w:tr>
      <w:tr w14:paraId="55D0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25EC7293">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12</w:t>
            </w:r>
          </w:p>
        </w:tc>
        <w:tc>
          <w:tcPr>
            <w:tcW w:w="7697" w:type="dxa"/>
            <w:shd w:val="clear" w:color="auto" w:fill="auto"/>
            <w:vAlign w:val="top"/>
          </w:tcPr>
          <w:p w14:paraId="406D1568">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广东省生态环境厅关于印发《广东省市县（区）温室气体清单编制标准（试行）》的通知</w:t>
            </w:r>
          </w:p>
        </w:tc>
      </w:tr>
      <w:tr w14:paraId="70849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40D48442">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jc w:val="center"/>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13</w:t>
            </w:r>
          </w:p>
        </w:tc>
        <w:tc>
          <w:tcPr>
            <w:tcW w:w="7697" w:type="dxa"/>
            <w:shd w:val="clear" w:color="auto" w:fill="auto"/>
            <w:vAlign w:val="top"/>
          </w:tcPr>
          <w:p w14:paraId="51C3C97B">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关于发布《大型活动碳中和实施指南（试行）》的公告（生态环境部公告 2019年第19号）</w:t>
            </w:r>
          </w:p>
        </w:tc>
      </w:tr>
      <w:tr w14:paraId="3A94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430DF86">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14</w:t>
            </w:r>
          </w:p>
        </w:tc>
        <w:tc>
          <w:tcPr>
            <w:tcW w:w="7697" w:type="dxa"/>
            <w:shd w:val="clear" w:color="auto" w:fill="auto"/>
            <w:vAlign w:val="top"/>
          </w:tcPr>
          <w:p w14:paraId="320B8167">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生态环境部发布《温室气体自愿减排交易管理办法（试行）》</w:t>
            </w:r>
          </w:p>
        </w:tc>
      </w:tr>
      <w:tr w14:paraId="3D50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31" w:type="dxa"/>
            <w:shd w:val="clear" w:color="auto" w:fill="auto"/>
            <w:vAlign w:val="center"/>
          </w:tcPr>
          <w:p w14:paraId="7324C2B0">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15</w:t>
            </w:r>
          </w:p>
        </w:tc>
        <w:tc>
          <w:tcPr>
            <w:tcW w:w="7697" w:type="dxa"/>
            <w:shd w:val="clear" w:color="auto" w:fill="auto"/>
            <w:vAlign w:val="top"/>
          </w:tcPr>
          <w:p w14:paraId="2B91E9BB">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IPCC国家温室气体清单标准（2006年）</w:t>
            </w:r>
          </w:p>
        </w:tc>
      </w:tr>
      <w:tr w14:paraId="7221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31" w:type="dxa"/>
            <w:shd w:val="clear" w:color="auto" w:fill="auto"/>
            <w:vAlign w:val="center"/>
          </w:tcPr>
          <w:p w14:paraId="63DDF3D5">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16</w:t>
            </w:r>
          </w:p>
        </w:tc>
        <w:tc>
          <w:tcPr>
            <w:tcW w:w="7697" w:type="dxa"/>
            <w:shd w:val="clear" w:color="auto" w:fill="auto"/>
            <w:vAlign w:val="top"/>
          </w:tcPr>
          <w:p w14:paraId="2EE56899">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中国能源统计年鉴</w:t>
            </w:r>
          </w:p>
        </w:tc>
      </w:tr>
      <w:tr w14:paraId="1E64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31" w:type="dxa"/>
            <w:shd w:val="clear" w:color="auto" w:fill="auto"/>
            <w:vAlign w:val="center"/>
          </w:tcPr>
          <w:p w14:paraId="5195C12D">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17</w:t>
            </w:r>
          </w:p>
        </w:tc>
        <w:tc>
          <w:tcPr>
            <w:tcW w:w="7697" w:type="dxa"/>
            <w:shd w:val="clear" w:color="auto" w:fill="auto"/>
            <w:vAlign w:val="top"/>
          </w:tcPr>
          <w:p w14:paraId="3CAF699E">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中国温室气体清单研究</w:t>
            </w:r>
          </w:p>
        </w:tc>
      </w:tr>
      <w:tr w14:paraId="1036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31" w:type="dxa"/>
            <w:shd w:val="clear" w:color="auto" w:fill="auto"/>
            <w:vAlign w:val="center"/>
          </w:tcPr>
          <w:p w14:paraId="2E871515">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18</w:t>
            </w:r>
          </w:p>
        </w:tc>
        <w:tc>
          <w:tcPr>
            <w:tcW w:w="7697" w:type="dxa"/>
            <w:shd w:val="clear" w:color="auto" w:fill="auto"/>
            <w:vAlign w:val="top"/>
          </w:tcPr>
          <w:p w14:paraId="1BBCFE6C">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中国产品全生命周期温室气体排放系数库</w:t>
            </w:r>
          </w:p>
        </w:tc>
      </w:tr>
      <w:tr w14:paraId="6654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993E0C1">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19</w:t>
            </w:r>
          </w:p>
        </w:tc>
        <w:tc>
          <w:tcPr>
            <w:tcW w:w="7697" w:type="dxa"/>
            <w:shd w:val="clear" w:color="auto" w:fill="auto"/>
            <w:vAlign w:val="top"/>
          </w:tcPr>
          <w:p w14:paraId="0411FF61">
            <w:pPr>
              <w:pStyle w:val="2"/>
              <w:widowControl/>
              <w:numPr>
                <w:ilvl w:val="0"/>
                <w:numId w:val="0"/>
              </w:numPr>
              <w:shd w:val="clear" w:color="auto" w:fill="FFFFFF"/>
              <w:spacing w:beforeAutospacing="0" w:afterAutospacing="0" w:line="240" w:lineRule="auto"/>
              <w:ind w:left="0" w:leftChars="0" w:firstLine="0" w:firstLineChars="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广东省企业(单位)二氧化碳排放信息报告指南(2022年修订)</w:t>
            </w:r>
          </w:p>
        </w:tc>
      </w:tr>
      <w:tr w14:paraId="6475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7374B36A">
            <w:pPr>
              <w:pStyle w:val="11"/>
              <w:ind w:left="0" w:leftChars="0" w:firstLine="0" w:firstLineChars="0"/>
              <w:jc w:val="center"/>
              <w:rPr>
                <w:rFonts w:hint="default"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20</w:t>
            </w:r>
          </w:p>
        </w:tc>
        <w:tc>
          <w:tcPr>
            <w:tcW w:w="7697" w:type="dxa"/>
            <w:shd w:val="clear" w:color="auto" w:fill="auto"/>
            <w:vAlign w:val="top"/>
          </w:tcPr>
          <w:p w14:paraId="7CFD19AC">
            <w:pPr>
              <w:pStyle w:val="2"/>
              <w:widowControl/>
              <w:numPr>
                <w:ilvl w:val="0"/>
                <w:numId w:val="0"/>
              </w:numPr>
              <w:shd w:val="clear" w:color="auto" w:fill="FFFFFF"/>
              <w:spacing w:beforeAutospacing="0" w:afterAutospacing="0" w:line="240" w:lineRule="auto"/>
              <w:ind w:left="0" w:leftChars="0" w:firstLine="0" w:firstLineChars="0"/>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广东省宾馆和商场能耗限额(试行)</w:t>
            </w:r>
          </w:p>
        </w:tc>
      </w:tr>
      <w:tr w14:paraId="678A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8" w:type="dxa"/>
            <w:gridSpan w:val="2"/>
            <w:vAlign w:val="center"/>
          </w:tcPr>
          <w:p w14:paraId="0933EABD">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bookmarkStart w:id="18" w:name="_Toc21137"/>
            <w:r>
              <w:rPr>
                <w:rFonts w:hint="eastAsia" w:ascii="仿宋" w:hAnsi="仿宋" w:eastAsia="仿宋" w:cs="仿宋"/>
                <w:b/>
                <w:bCs/>
                <w:kern w:val="2"/>
                <w:sz w:val="24"/>
                <w:szCs w:val="24"/>
                <w:lang w:val="en-US" w:eastAsia="zh-CN" w:bidi="ar-SA"/>
              </w:rPr>
              <w:t>港澳两地参考文件</w:t>
            </w:r>
            <w:bookmarkEnd w:id="18"/>
          </w:p>
        </w:tc>
      </w:tr>
      <w:tr w14:paraId="357F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3479D54F">
            <w:pPr>
              <w:pStyle w:val="11"/>
              <w:ind w:left="0" w:leftChars="0" w:firstLine="0" w:firstLineChars="0"/>
              <w:jc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21</w:t>
            </w:r>
          </w:p>
        </w:tc>
        <w:tc>
          <w:tcPr>
            <w:tcW w:w="7697" w:type="dxa"/>
          </w:tcPr>
          <w:p w14:paraId="6F2E58B4">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bookmarkStart w:id="19" w:name="_Toc20061"/>
            <w:r>
              <w:rPr>
                <w:rFonts w:hint="eastAsia" w:ascii="仿宋" w:hAnsi="仿宋" w:eastAsia="仿宋" w:cs="仿宋"/>
                <w:b w:val="0"/>
                <w:bCs w:val="0"/>
                <w:color w:val="000000"/>
                <w:sz w:val="24"/>
                <w:szCs w:val="24"/>
                <w:lang w:val="en-US" w:eastAsia="zh-CN"/>
              </w:rPr>
              <w:t>香港</w:t>
            </w:r>
            <w:r>
              <w:rPr>
                <w:rFonts w:hint="eastAsia" w:ascii="仿宋" w:hAnsi="仿宋" w:eastAsia="仿宋" w:cs="仿宋"/>
                <w:b w:val="0"/>
                <w:bCs w:val="0"/>
                <w:color w:val="000000"/>
                <w:sz w:val="24"/>
                <w:szCs w:val="24"/>
              </w:rPr>
              <w:t>中电2023可持续发展报告</w:t>
            </w:r>
            <w:bookmarkEnd w:id="19"/>
          </w:p>
        </w:tc>
      </w:tr>
      <w:tr w14:paraId="3230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75792F53">
            <w:pPr>
              <w:pStyle w:val="11"/>
              <w:ind w:left="0" w:leftChars="0" w:firstLine="0" w:firstLineChars="0"/>
              <w:jc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22</w:t>
            </w:r>
          </w:p>
        </w:tc>
        <w:tc>
          <w:tcPr>
            <w:tcW w:w="7697" w:type="dxa"/>
          </w:tcPr>
          <w:p w14:paraId="1E68BE21">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color w:val="000000"/>
                <w:sz w:val="24"/>
                <w:szCs w:val="24"/>
                <w:lang w:val="en-US" w:eastAsia="zh-CN"/>
              </w:rPr>
            </w:pPr>
            <w:bookmarkStart w:id="20" w:name="_Toc29293"/>
            <w:r>
              <w:rPr>
                <w:rFonts w:hint="eastAsia" w:ascii="仿宋" w:hAnsi="仿宋" w:eastAsia="仿宋" w:cs="仿宋"/>
                <w:b w:val="0"/>
                <w:bCs w:val="0"/>
                <w:color w:val="000000"/>
                <w:kern w:val="0"/>
                <w:sz w:val="24"/>
                <w:szCs w:val="24"/>
                <w:lang w:bidi="ar"/>
              </w:rPr>
              <w:t>澳电可持续发展报告</w:t>
            </w:r>
            <w:bookmarkEnd w:id="20"/>
          </w:p>
        </w:tc>
      </w:tr>
      <w:tr w14:paraId="6F9D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1C69EC81">
            <w:pPr>
              <w:pStyle w:val="11"/>
              <w:ind w:left="0" w:leftChars="0" w:firstLine="0" w:firstLineChars="0"/>
              <w:jc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23</w:t>
            </w:r>
          </w:p>
        </w:tc>
        <w:tc>
          <w:tcPr>
            <w:tcW w:w="7697" w:type="dxa"/>
          </w:tcPr>
          <w:p w14:paraId="7BF08E4C">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bookmarkStart w:id="21" w:name="_Toc10067"/>
            <w:r>
              <w:rPr>
                <w:rFonts w:hint="eastAsia" w:ascii="仿宋" w:hAnsi="仿宋" w:eastAsia="仿宋" w:cs="仿宋"/>
                <w:b w:val="0"/>
                <w:bCs w:val="0"/>
                <w:kern w:val="2"/>
                <w:sz w:val="24"/>
                <w:szCs w:val="24"/>
                <w:lang w:val="en-US" w:eastAsia="zh-CN" w:bidi="ar-SA"/>
              </w:rPr>
              <w:t>香港绿建环评认证建筑</w:t>
            </w:r>
            <w:bookmarkEnd w:id="21"/>
          </w:p>
        </w:tc>
      </w:tr>
      <w:tr w14:paraId="52F5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60F999E0">
            <w:pPr>
              <w:pStyle w:val="11"/>
              <w:ind w:left="0" w:leftChars="0" w:firstLine="0" w:firstLineChars="0"/>
              <w:jc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24</w:t>
            </w:r>
          </w:p>
        </w:tc>
        <w:tc>
          <w:tcPr>
            <w:tcW w:w="7697" w:type="dxa"/>
          </w:tcPr>
          <w:p w14:paraId="40802948">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澳门环境保护规划（2021-2025）</w:t>
            </w:r>
          </w:p>
        </w:tc>
      </w:tr>
      <w:tr w14:paraId="6A25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856CC37">
            <w:pPr>
              <w:pStyle w:val="11"/>
              <w:ind w:left="0" w:leftChars="0" w:firstLine="0" w:firstLineChars="0"/>
              <w:jc w:val="center"/>
              <w:rPr>
                <w:rFonts w:hint="default" w:ascii="仿宋" w:hAnsi="仿宋" w:eastAsia="仿宋" w:cs="仿宋"/>
                <w:kern w:val="2"/>
                <w:sz w:val="24"/>
                <w:szCs w:val="24"/>
                <w:vertAlign w:val="baseline"/>
                <w:lang w:val="en-US" w:eastAsia="zh-CN" w:bidi="ar-SA"/>
              </w:rPr>
            </w:pPr>
            <w:bookmarkStart w:id="22" w:name="_Toc18317"/>
            <w:r>
              <w:rPr>
                <w:rFonts w:hint="eastAsia" w:ascii="仿宋" w:hAnsi="仿宋" w:eastAsia="仿宋" w:cs="仿宋"/>
                <w:sz w:val="24"/>
                <w:szCs w:val="24"/>
                <w:vertAlign w:val="baseline"/>
                <w:lang w:val="en-US" w:eastAsia="zh-CN"/>
              </w:rPr>
              <w:t>25</w:t>
            </w:r>
          </w:p>
        </w:tc>
        <w:tc>
          <w:tcPr>
            <w:tcW w:w="7697" w:type="dxa"/>
          </w:tcPr>
          <w:p w14:paraId="35346A8B">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澳门环境保护局《会议展览活动的减废及废料分类处理指引》</w:t>
            </w:r>
          </w:p>
        </w:tc>
      </w:tr>
      <w:tr w14:paraId="6C1B6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5923CBCD">
            <w:pPr>
              <w:pStyle w:val="11"/>
              <w:ind w:left="0" w:leftChars="0" w:firstLine="0" w:firstLineChars="0"/>
              <w:jc w:val="center"/>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val="en-US" w:eastAsia="zh-CN"/>
              </w:rPr>
              <w:t>26</w:t>
            </w:r>
          </w:p>
        </w:tc>
        <w:tc>
          <w:tcPr>
            <w:tcW w:w="7697" w:type="dxa"/>
          </w:tcPr>
          <w:p w14:paraId="12BEF7D7">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澳门绿色会展及活动指引</w:t>
            </w:r>
          </w:p>
        </w:tc>
      </w:tr>
      <w:tr w14:paraId="05B82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14:paraId="4FD91F12">
            <w:pPr>
              <w:pStyle w:val="11"/>
              <w:ind w:left="0" w:leftChars="0" w:firstLine="0" w:firstLineChars="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27</w:t>
            </w:r>
          </w:p>
        </w:tc>
        <w:tc>
          <w:tcPr>
            <w:tcW w:w="7697" w:type="dxa"/>
          </w:tcPr>
          <w:p w14:paraId="6636EE37">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香港中电可持续发展报告</w:t>
            </w:r>
          </w:p>
        </w:tc>
      </w:tr>
      <w:tr w14:paraId="1540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28" w:type="dxa"/>
            <w:gridSpan w:val="2"/>
            <w:vAlign w:val="center"/>
          </w:tcPr>
          <w:p w14:paraId="15647C38">
            <w:pPr>
              <w:pStyle w:val="2"/>
              <w:widowControl/>
              <w:numPr>
                <w:ilvl w:val="0"/>
                <w:numId w:val="0"/>
              </w:numPr>
              <w:shd w:val="clear" w:color="auto" w:fill="FFFFFF"/>
              <w:spacing w:beforeAutospacing="0" w:afterAutospacing="0" w:line="240" w:lineRule="auto"/>
              <w:rPr>
                <w:rFonts w:hint="eastAsia" w:ascii="仿宋" w:hAnsi="仿宋" w:eastAsia="仿宋" w:cs="仿宋"/>
                <w:b w:val="0"/>
                <w:bCs w:val="0"/>
                <w:kern w:val="2"/>
                <w:sz w:val="24"/>
                <w:szCs w:val="24"/>
                <w:lang w:val="en-US" w:eastAsia="zh-CN" w:bidi="ar-SA"/>
              </w:rPr>
            </w:pPr>
            <w:r>
              <w:rPr>
                <w:rFonts w:hint="eastAsia" w:ascii="仿宋" w:hAnsi="仿宋" w:eastAsia="仿宋" w:cs="仿宋"/>
                <w:b/>
                <w:bCs/>
                <w:kern w:val="2"/>
                <w:sz w:val="24"/>
                <w:szCs w:val="24"/>
                <w:lang w:val="en-US" w:eastAsia="zh-CN" w:bidi="ar-SA"/>
              </w:rPr>
              <w:t>国际参考文件</w:t>
            </w:r>
            <w:bookmarkEnd w:id="22"/>
          </w:p>
        </w:tc>
      </w:tr>
      <w:tr w14:paraId="7BBB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03DA0BC6">
            <w:pPr>
              <w:pStyle w:val="11"/>
              <w:ind w:left="0" w:leftChars="0" w:firstLine="0" w:firstLineChars="0"/>
              <w:jc w:val="center"/>
              <w:rPr>
                <w:rFonts w:hint="default" w:ascii="仿宋" w:hAnsi="仿宋" w:eastAsia="仿宋" w:cs="仿宋"/>
                <w:kern w:val="2"/>
                <w:sz w:val="24"/>
                <w:szCs w:val="24"/>
                <w:vertAlign w:val="baseline"/>
                <w:lang w:val="en-US" w:eastAsia="zh-CN" w:bidi="ar-SA"/>
              </w:rPr>
            </w:pPr>
            <w:r>
              <w:rPr>
                <w:rFonts w:hint="eastAsia" w:ascii="仿宋" w:hAnsi="仿宋" w:eastAsia="仿宋" w:cs="仿宋"/>
                <w:b w:val="0"/>
                <w:bCs w:val="0"/>
                <w:color w:val="000000"/>
                <w:kern w:val="0"/>
                <w:sz w:val="24"/>
                <w:szCs w:val="24"/>
                <w:lang w:val="en-US" w:eastAsia="zh-CN" w:bidi="ar"/>
              </w:rPr>
              <w:t>28</w:t>
            </w:r>
          </w:p>
        </w:tc>
        <w:tc>
          <w:tcPr>
            <w:tcW w:w="7697" w:type="dxa"/>
          </w:tcPr>
          <w:p w14:paraId="701E027C">
            <w:pPr>
              <w:pStyle w:val="19"/>
              <w:keepNext w:val="0"/>
              <w:keepLines w:val="0"/>
              <w:pageBreakBefore w:val="0"/>
              <w:widowControl/>
              <w:shd w:val="clear" w:color="auto" w:fill="FFFFFF"/>
              <w:kinsoku/>
              <w:wordWrap/>
              <w:overflowPunct/>
              <w:topLinePunct w:val="0"/>
              <w:autoSpaceDE w:val="0"/>
              <w:autoSpaceDN w:val="0"/>
              <w:bidi w:val="0"/>
              <w:adjustRightInd/>
              <w:snapToGrid/>
              <w:spacing w:beforeAutospacing="0" w:afterAutospacing="0"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kern w:val="2"/>
                <w:sz w:val="24"/>
                <w:szCs w:val="24"/>
                <w:lang w:val="en-US" w:eastAsia="zh-CN" w:bidi="ar-SA"/>
              </w:rPr>
              <w:t>ISO 14064-1组织层面上对温室气体排放和清除的量化和报告的规范及标准</w:t>
            </w:r>
          </w:p>
        </w:tc>
      </w:tr>
      <w:tr w14:paraId="5F7A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shd w:val="clear" w:color="auto" w:fill="auto"/>
            <w:vAlign w:val="center"/>
          </w:tcPr>
          <w:p w14:paraId="3CE838DA">
            <w:pPr>
              <w:pStyle w:val="11"/>
              <w:ind w:left="0" w:leftChars="0" w:firstLine="0" w:firstLineChars="0"/>
              <w:jc w:val="center"/>
              <w:rPr>
                <w:rFonts w:hint="default"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t>29</w:t>
            </w:r>
          </w:p>
        </w:tc>
        <w:tc>
          <w:tcPr>
            <w:tcW w:w="7697" w:type="dxa"/>
          </w:tcPr>
          <w:p w14:paraId="0D7E6CAB">
            <w:pPr>
              <w:pStyle w:val="19"/>
              <w:keepNext w:val="0"/>
              <w:keepLines w:val="0"/>
              <w:pageBreakBefore w:val="0"/>
              <w:widowControl/>
              <w:kinsoku/>
              <w:wordWrap/>
              <w:overflowPunct/>
              <w:topLinePunct w:val="0"/>
              <w:autoSpaceDE w:val="0"/>
              <w:autoSpaceDN w:val="0"/>
              <w:bidi w:val="0"/>
              <w:adjustRightInd/>
              <w:snapToGrid/>
              <w:spacing w:line="320" w:lineRule="exact"/>
              <w:ind w:left="0" w:leftChars="0" w:firstLine="0" w:firstLineChars="0"/>
              <w:textAlignment w:val="auto"/>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ISO 14068-1气候变化管理-向净零值过度 第1部分：碳中和（Climate change management—Transition to net zero—Part 1:Carbon neutrality）</w:t>
            </w:r>
          </w:p>
        </w:tc>
      </w:tr>
    </w:tbl>
    <w:p w14:paraId="17FD88A8">
      <w:pPr>
        <w:numPr>
          <w:ilvl w:val="0"/>
          <w:numId w:val="5"/>
        </w:numPr>
        <w:outlineLvl w:val="0"/>
        <w:rPr>
          <w:rFonts w:hint="eastAsia" w:ascii="黑体" w:hAnsi="黑体" w:eastAsia="黑体" w:cs="Times New Roman"/>
          <w:sz w:val="32"/>
          <w:szCs w:val="32"/>
        </w:rPr>
      </w:pPr>
      <w:bookmarkStart w:id="23" w:name="_Toc11304"/>
      <w:r>
        <w:rPr>
          <w:rFonts w:hint="eastAsia" w:ascii="黑体" w:hAnsi="黑体" w:eastAsia="黑体" w:cs="Times New Roman"/>
          <w:sz w:val="32"/>
          <w:szCs w:val="32"/>
        </w:rPr>
        <w:t>标准先进性或特色性</w:t>
      </w:r>
      <w:bookmarkEnd w:id="23"/>
    </w:p>
    <w:p w14:paraId="1F431FCC">
      <w:pPr>
        <w:pStyle w:val="10"/>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紧密贴合区域特性，精准聚焦会展领域</w:t>
      </w:r>
    </w:p>
    <w:p w14:paraId="42A8B84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本标准深度契合粤港澳大湾区的发展特点。大湾区作为中国经济发展的重要增长极，会展产业活跃、规模庞大，经济辐射力与影响力显著。标准立足区域实际，精准聚焦会展活动这一细分领域，系统识别从场馆筹备、展会举办到撤展收尾的全过程碳排放源，为大湾区会展碳中和实践提供科学、可操作的实施规范，切实解决区域会展业绿色转型的关键问题，助力大湾区抢占会展领域绿色发展先机。</w:t>
      </w:r>
    </w:p>
    <w:p w14:paraId="48BD3A7F">
      <w:pPr>
        <w:pStyle w:val="10"/>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构建系统完备框架，强化实操性与指导性</w:t>
      </w:r>
    </w:p>
    <w:p w14:paraId="33F58A9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标准内容体系严密完整，涵盖术语定义、基本原则、实施流程与评价要求，系统搭建起会展碳中和的全过程操作框架。从系统边界的科学界定、温室气体排放的事前核算，到碳中和计划的制定与发布、减排措施的具体实施，均提供清晰指引。在排放核算、碳抵消、核查与结果声明等环节，亦明确技术方法与规范要求，为会展主办方提供从筹备到验收的全链条、可落地的操作指南，显著提升标准的实用价值，有效推进行业绿色转型。</w:t>
      </w:r>
    </w:p>
    <w:p w14:paraId="1FA29D6D">
      <w:pPr>
        <w:pStyle w:val="10"/>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实现粤港澳三地规则衔接，提升核算一致性与准确性</w:t>
      </w:r>
    </w:p>
    <w:p w14:paraId="48FC1BC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标准通过全链条流程设计，创新提出“全流程碳中和”</w:t>
      </w:r>
      <w:r>
        <w:rPr>
          <w:rFonts w:hint="eastAsia" w:ascii="仿宋" w:hAnsi="仿宋" w:eastAsia="仿宋" w:cs="仿宋"/>
          <w:kern w:val="2"/>
          <w:sz w:val="28"/>
          <w:szCs w:val="28"/>
          <w:lang w:val="en-US" w:eastAsia="zh-CN" w:bidi="ar-SA"/>
        </w:rPr>
        <w:t>、</w:t>
      </w:r>
      <w:r>
        <w:rPr>
          <w:rFonts w:hint="default" w:ascii="仿宋" w:hAnsi="仿宋" w:eastAsia="仿宋" w:cs="仿宋"/>
          <w:kern w:val="2"/>
          <w:sz w:val="28"/>
          <w:szCs w:val="28"/>
          <w:lang w:val="en-US" w:eastAsia="zh-CN" w:bidi="ar-SA"/>
        </w:rPr>
        <w:t>“预先碳中和”和“直接碳中和”三类实施路径，灵活适配粤港澳三地会展活动的差异化需求。针对粤港澳三地因采用不同来源排放因子导致的统计口径不一等问题，本标准在附录《温室气体排放因子和相关参数推荐值》中，明确列出了三地在电力、交通、住宿等关键领域的推荐排放因子及使用原则，有效解决了碳排放核算中的核心难点，显著提升区域碳排放量核算的一致性和准确性，为粤港澳会展碳管理一体化提供关键基础支撑。</w:t>
      </w:r>
    </w:p>
    <w:p w14:paraId="3A0B2C39">
      <w:pPr>
        <w:pStyle w:val="10"/>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firstLine="0" w:firstLineChars="0"/>
        <w:jc w:val="both"/>
        <w:textAlignment w:val="auto"/>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对接国际先进标准，体现前瞻性与规范性</w:t>
      </w:r>
      <w:r>
        <w:rPr>
          <w:rFonts w:hint="eastAsia" w:ascii="仿宋" w:hAnsi="仿宋" w:eastAsia="仿宋" w:cs="仿宋"/>
          <w:kern w:val="2"/>
          <w:sz w:val="28"/>
          <w:szCs w:val="28"/>
          <w:lang w:val="en-US" w:eastAsia="zh-CN" w:bidi="ar-SA"/>
        </w:rPr>
        <w:t xml:space="preserve"> </w:t>
      </w:r>
    </w:p>
    <w:p w14:paraId="78E6A6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本标准积极借鉴国际最新理念与方法，与ISO 14068-1、ISO 14067及ISO 14064-1等国际标准充分衔接，在碳核算、中和目标设定、碳抵消策略及声明规范等方面吸收国际成熟经验。通过引入国际通行的标准与方法，不仅提升标准的科学性和权威性，更为大湾区会展碳中和工作提供新思路与新路径，助推区域会展碳管理实践与国际先进水平接轨，增强大湾区会展业的国际竞争力和话语权，打造具有全球影响力的绿色会展示范区。</w:t>
      </w:r>
    </w:p>
    <w:p w14:paraId="6187DF09">
      <w:pPr>
        <w:pStyle w:val="10"/>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凝聚三地共识与合力，促进区域协同与信息共享</w:t>
      </w:r>
    </w:p>
    <w:p w14:paraId="35649A5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本标准由澳门展贸协会、广东省低碳发展促进会、香港城市大学能源及环境学院等粤港澳权威机构共同参与编制，融合多方专业优势与区域经验，深化三地在会展碳中和领域的协同合作。标准实施过程中注重构建信息共享与交流机制，积极推动会展企业、机构间的案例、数据与技术互动，营造良好协作生态，凝聚区域绿色发展合力，共同助推大湾区会展业整体迈向绿色、低碳、高质量的发展新阶段。</w:t>
      </w:r>
    </w:p>
    <w:p w14:paraId="477FFF3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default" w:ascii="仿宋" w:hAnsi="仿宋" w:eastAsia="仿宋" w:cs="仿宋"/>
          <w:kern w:val="2"/>
          <w:sz w:val="28"/>
          <w:szCs w:val="28"/>
          <w:lang w:val="en-US" w:eastAsia="zh-CN" w:bidi="ar-SA"/>
        </w:rPr>
      </w:pPr>
    </w:p>
    <w:p w14:paraId="7470425C">
      <w:pPr>
        <w:numPr>
          <w:ilvl w:val="0"/>
          <w:numId w:val="7"/>
        </w:numPr>
        <w:outlineLvl w:val="0"/>
        <w:rPr>
          <w:rFonts w:hint="eastAsia" w:ascii="黑体" w:hAnsi="黑体" w:eastAsia="黑体" w:cs="Times New Roman"/>
          <w:sz w:val="32"/>
          <w:szCs w:val="32"/>
          <w:highlight w:val="none"/>
        </w:rPr>
      </w:pPr>
      <w:bookmarkStart w:id="24" w:name="_Toc7101"/>
      <w:r>
        <w:rPr>
          <w:rFonts w:hint="eastAsia" w:ascii="黑体" w:hAnsi="黑体" w:eastAsia="黑体" w:cs="Times New Roman"/>
          <w:sz w:val="32"/>
          <w:szCs w:val="32"/>
          <w:highlight w:val="none"/>
        </w:rPr>
        <w:t>标准在粤港澳三地调研、研讨、征求意见及邀请三地专家审定的情况</w:t>
      </w:r>
      <w:bookmarkEnd w:id="24"/>
    </w:p>
    <w:tbl>
      <w:tblPr>
        <w:tblStyle w:val="13"/>
        <w:tblW w:w="87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3910"/>
        <w:gridCol w:w="3129"/>
      </w:tblGrid>
      <w:tr w14:paraId="41232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39766F6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时间</w:t>
            </w:r>
          </w:p>
        </w:tc>
        <w:tc>
          <w:tcPr>
            <w:tcW w:w="3910" w:type="dxa"/>
          </w:tcPr>
          <w:p w14:paraId="3ED5F86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工作内容</w:t>
            </w:r>
          </w:p>
        </w:tc>
        <w:tc>
          <w:tcPr>
            <w:tcW w:w="3129" w:type="dxa"/>
          </w:tcPr>
          <w:p w14:paraId="1F42D8A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工作结论</w:t>
            </w:r>
          </w:p>
        </w:tc>
      </w:tr>
      <w:tr w14:paraId="5CBA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9" w:type="dxa"/>
            <w:gridSpan w:val="3"/>
          </w:tcPr>
          <w:p w14:paraId="6902153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4"/>
                <w:szCs w:val="24"/>
                <w:lang w:val="en-US" w:eastAsia="zh-CN" w:bidi="ar-SA"/>
              </w:rPr>
              <w:t>（一）调研阶段</w:t>
            </w:r>
          </w:p>
        </w:tc>
      </w:tr>
      <w:tr w14:paraId="492D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15525B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2024年5-6月</w:t>
            </w:r>
          </w:p>
        </w:tc>
        <w:tc>
          <w:tcPr>
            <w:tcW w:w="3910" w:type="dxa"/>
          </w:tcPr>
          <w:p w14:paraId="1EB10C5D">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开展两次澳门现场调研工作：</w:t>
            </w:r>
          </w:p>
          <w:p w14:paraId="2A267881">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深入澳门会展场馆，与多家当地企业及行业协会进行了访谈交流，并全面收集了相关数据。通过实地调研，了解澳门会展活动的碳排放现状，包括能源使用、交通物流、废弃物处理等方面的排放情况；了解澳门政府对于会展业碳中和的政策导向和支持措施。</w:t>
            </w:r>
          </w:p>
        </w:tc>
        <w:tc>
          <w:tcPr>
            <w:tcW w:w="3129" w:type="dxa"/>
          </w:tcPr>
          <w:p w14:paraId="018DC7A1">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澳门会展业在碳排放方面虽有一定基础，但仍存在较大的减排空间。当地政府已出台相关政策支持绿色低碳发展，市场也对绿色会展表现出浓厚兴趣。未来，澳门会展业应进一步加大减排力度，推广绿色会展理念，以满足市场需求并促进产业可持续发展。</w:t>
            </w:r>
          </w:p>
        </w:tc>
      </w:tr>
      <w:tr w14:paraId="5079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2A9409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2024年6月</w:t>
            </w:r>
          </w:p>
        </w:tc>
        <w:tc>
          <w:tcPr>
            <w:tcW w:w="3910" w:type="dxa"/>
          </w:tcPr>
          <w:p w14:paraId="26E62A6B">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开展两次广东现场调研：</w:t>
            </w:r>
          </w:p>
          <w:p w14:paraId="6877DCCC">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（1）深入广州会展场馆，与多家当地企业及行业协会进行了访谈交流，全面而了解广东会展活动的碳排放现状。调研内容涵盖了能源使用、交通物流、废弃物处理等多个关键领域。</w:t>
            </w:r>
          </w:p>
          <w:p w14:paraId="7BC974AF">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（2）开展与广东省标准化研究院的交流活动。通过这一平台，深入探讨了会展活动碳中和的相关标准制定问题，获取了最新的政策导向和技术动态，为后续的标准编制工作奠定了坚实基础。</w:t>
            </w:r>
          </w:p>
        </w:tc>
        <w:tc>
          <w:tcPr>
            <w:tcW w:w="3129" w:type="dxa"/>
          </w:tcPr>
          <w:p w14:paraId="17A828B3">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广东会展业在碳排放方面面临的挑战与机遇。一方面，会展活动在能源使用、交通物流等方面存在显著的碳排放源，减排任务艰巨；另一方面，随着绿色低碳理念的深入人心，市场对绿色会展的需求日益增长，为会展业的转型升级提供了强大动力。</w:t>
            </w:r>
          </w:p>
          <w:p w14:paraId="4FD5206E">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p>
        </w:tc>
      </w:tr>
      <w:tr w14:paraId="47BE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57C5996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2024年6月</w:t>
            </w:r>
          </w:p>
        </w:tc>
        <w:tc>
          <w:tcPr>
            <w:tcW w:w="3910" w:type="dxa"/>
          </w:tcPr>
          <w:p w14:paraId="0EFD18EF">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开展香港线上会议调研：</w:t>
            </w:r>
          </w:p>
          <w:p w14:paraId="2F8B5D2A">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与</w:t>
            </w:r>
            <w:r>
              <w:rPr>
                <w:rFonts w:hint="default" w:ascii="仿宋" w:hAnsi="仿宋" w:eastAsia="仿宋" w:cs="仿宋"/>
                <w:kern w:val="2"/>
                <w:sz w:val="24"/>
                <w:szCs w:val="24"/>
                <w:vertAlign w:val="baseline"/>
                <w:lang w:val="en-US" w:eastAsia="zh-CN" w:bidi="ar-SA"/>
              </w:rPr>
              <w:t>香港城市大学能源及环境学院</w:t>
            </w:r>
            <w:r>
              <w:rPr>
                <w:rFonts w:hint="eastAsia" w:ascii="仿宋" w:hAnsi="仿宋" w:eastAsia="仿宋" w:cs="仿宋"/>
                <w:kern w:val="2"/>
                <w:sz w:val="24"/>
                <w:szCs w:val="24"/>
                <w:vertAlign w:val="baseline"/>
                <w:lang w:val="en-US" w:eastAsia="zh-CN" w:bidi="ar-SA"/>
              </w:rPr>
              <w:t>、香港中华厂商联合会分别开展了线上讨论调研。讨论内容围绕香港会展活动的多个关键碳排放环节展开，包括能源使用效率、交通物流的碳足迹、废弃物处理过程中的碳排放等。</w:t>
            </w:r>
          </w:p>
        </w:tc>
        <w:tc>
          <w:tcPr>
            <w:tcW w:w="3129" w:type="dxa"/>
          </w:tcPr>
          <w:p w14:paraId="57DA5E79">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碳排放现状：香港会展活动在能源使用、交通物流和废弃物处理等方面均存在一定的碳排放问题，尤其是在能源效率和交通排放方面有较大提升空间。</w:t>
            </w:r>
          </w:p>
          <w:p w14:paraId="79BBF90E">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政策导向</w:t>
            </w:r>
            <w:r>
              <w:rPr>
                <w:rFonts w:hint="eastAsia" w:ascii="仿宋" w:hAnsi="仿宋" w:eastAsia="仿宋" w:cs="仿宋"/>
                <w:kern w:val="2"/>
                <w:sz w:val="24"/>
                <w:szCs w:val="24"/>
                <w:vertAlign w:val="baseline"/>
                <w:lang w:val="en-US" w:eastAsia="zh-CN" w:bidi="ar-SA"/>
              </w:rPr>
              <w:t>：高度重视会展业的碳中和发展，已出台多项政策措施以支持行业绿色低碳转型。</w:t>
            </w:r>
          </w:p>
        </w:tc>
      </w:tr>
      <w:tr w14:paraId="72BD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9" w:type="dxa"/>
            <w:gridSpan w:val="3"/>
          </w:tcPr>
          <w:p w14:paraId="2C937010">
            <w:pPr>
              <w:numPr>
                <w:ilvl w:val="0"/>
                <w:numId w:val="0"/>
              </w:numPr>
              <w:bidi w:val="0"/>
              <w:spacing w:line="360" w:lineRule="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lang w:val="en-US" w:eastAsia="zh-CN" w:bidi="ar-SA"/>
              </w:rPr>
              <w:t>（二）</w:t>
            </w:r>
            <w:r>
              <w:rPr>
                <w:rFonts w:hint="default" w:ascii="仿宋" w:hAnsi="仿宋" w:eastAsia="仿宋" w:cs="仿宋"/>
                <w:kern w:val="2"/>
                <w:sz w:val="24"/>
                <w:szCs w:val="24"/>
                <w:lang w:val="en-US" w:eastAsia="zh-CN" w:bidi="ar-SA"/>
              </w:rPr>
              <w:t>起草与研讨阶段</w:t>
            </w:r>
          </w:p>
        </w:tc>
      </w:tr>
      <w:tr w14:paraId="45A9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FE7A95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2024年6月</w:t>
            </w:r>
          </w:p>
        </w:tc>
        <w:tc>
          <w:tcPr>
            <w:tcW w:w="3910" w:type="dxa"/>
          </w:tcPr>
          <w:p w14:paraId="35AFC73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 w:lineRule="atLeast"/>
              <w:ind w:right="0" w:rightChars="0"/>
              <w:jc w:val="left"/>
              <w:rPr>
                <w:rFonts w:hint="eastAsia"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召开初步协商会议，</w:t>
            </w:r>
            <w:r>
              <w:rPr>
                <w:rFonts w:hint="eastAsia" w:ascii="仿宋" w:hAnsi="仿宋" w:eastAsia="仿宋" w:cs="仿宋"/>
                <w:kern w:val="2"/>
                <w:sz w:val="24"/>
                <w:szCs w:val="24"/>
                <w:vertAlign w:val="baseline"/>
                <w:lang w:val="en-US" w:eastAsia="zh-CN" w:bidi="ar-SA"/>
              </w:rPr>
              <w:t>由</w:t>
            </w:r>
            <w:r>
              <w:rPr>
                <w:rFonts w:hint="default" w:ascii="仿宋" w:hAnsi="仿宋" w:eastAsia="仿宋" w:cs="仿宋"/>
                <w:kern w:val="2"/>
                <w:sz w:val="24"/>
                <w:szCs w:val="24"/>
                <w:vertAlign w:val="baseline"/>
                <w:lang w:val="en-US" w:eastAsia="zh-CN" w:bidi="ar-SA"/>
              </w:rPr>
              <w:t>三地的</w:t>
            </w:r>
            <w:r>
              <w:rPr>
                <w:rFonts w:hint="eastAsia" w:ascii="仿宋" w:hAnsi="仿宋" w:eastAsia="仿宋" w:cs="仿宋"/>
                <w:kern w:val="2"/>
                <w:sz w:val="24"/>
                <w:szCs w:val="24"/>
                <w:vertAlign w:val="baseline"/>
                <w:lang w:val="en-US" w:eastAsia="zh-CN" w:bidi="ar-SA"/>
              </w:rPr>
              <w:t>代表组成工作组。工作</w:t>
            </w:r>
            <w:r>
              <w:rPr>
                <w:rFonts w:hint="default" w:ascii="仿宋" w:hAnsi="仿宋" w:eastAsia="仿宋" w:cs="仿宋"/>
                <w:kern w:val="2"/>
                <w:sz w:val="24"/>
                <w:szCs w:val="24"/>
                <w:vertAlign w:val="baseline"/>
                <w:lang w:val="en-US" w:eastAsia="zh-CN" w:bidi="ar-SA"/>
              </w:rPr>
              <w:t>组对国内外碳中和相关政策、标准进行了深入研究，特别关注了国际上如ISO</w:t>
            </w:r>
            <w:r>
              <w:rPr>
                <w:rFonts w:hint="eastAsia" w:ascii="仿宋" w:hAnsi="仿宋" w:eastAsia="仿宋" w:cs="仿宋"/>
                <w:kern w:val="2"/>
                <w:sz w:val="24"/>
                <w:szCs w:val="24"/>
                <w:vertAlign w:val="baseline"/>
                <w:lang w:val="en-US" w:eastAsia="zh-CN" w:bidi="ar-SA"/>
              </w:rPr>
              <w:t xml:space="preserve"> 14068</w:t>
            </w:r>
            <w:r>
              <w:rPr>
                <w:rFonts w:hint="default" w:ascii="仿宋" w:hAnsi="仿宋" w:eastAsia="仿宋" w:cs="仿宋"/>
                <w:kern w:val="2"/>
                <w:sz w:val="24"/>
                <w:szCs w:val="24"/>
                <w:vertAlign w:val="baseline"/>
                <w:lang w:val="en-US" w:eastAsia="zh-CN" w:bidi="ar-SA"/>
              </w:rPr>
              <w:t>、ISO</w:t>
            </w:r>
            <w:r>
              <w:rPr>
                <w:rFonts w:hint="eastAsia" w:ascii="仿宋" w:hAnsi="仿宋" w:eastAsia="仿宋" w:cs="仿宋"/>
                <w:kern w:val="2"/>
                <w:sz w:val="24"/>
                <w:szCs w:val="24"/>
                <w:vertAlign w:val="baseline"/>
                <w:lang w:val="en-US" w:eastAsia="zh-CN" w:bidi="ar-SA"/>
              </w:rPr>
              <w:t xml:space="preserve"> </w:t>
            </w:r>
            <w:r>
              <w:rPr>
                <w:rFonts w:hint="default" w:ascii="仿宋" w:hAnsi="仿宋" w:eastAsia="仿宋" w:cs="仿宋"/>
                <w:kern w:val="2"/>
                <w:sz w:val="24"/>
                <w:szCs w:val="24"/>
                <w:vertAlign w:val="baseline"/>
                <w:lang w:val="en-US" w:eastAsia="zh-CN" w:bidi="ar-SA"/>
              </w:rPr>
              <w:t>14064等标准的先进经验。同时，结合粤港澳大湾区会展业的实际情况，分析了会展活动在碳排放方面的特点与问题，确定了指南的基本框架，包括术语和定义、基本要求和原则、碳中和实施流程等关键部分。</w:t>
            </w:r>
          </w:p>
        </w:tc>
        <w:tc>
          <w:tcPr>
            <w:tcW w:w="3129" w:type="dxa"/>
          </w:tcPr>
          <w:p w14:paraId="6ED10F08">
            <w:pPr>
              <w:pStyle w:val="11"/>
              <w:keepNext w:val="0"/>
              <w:keepLines w:val="0"/>
              <w:pageBreakBefore w:val="0"/>
              <w:widowControl w:val="0"/>
              <w:kinsoku/>
              <w:wordWrap/>
              <w:overflowPunct/>
              <w:topLinePunct w:val="0"/>
              <w:autoSpaceDE/>
              <w:autoSpaceDN/>
              <w:bidi w:val="0"/>
              <w:adjustRightInd/>
              <w:snapToGrid/>
              <w:spacing w:after="0" w:line="320" w:lineRule="exact"/>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default" w:ascii="仿宋" w:hAnsi="仿宋" w:eastAsia="仿宋" w:cs="仿宋"/>
                <w:kern w:val="2"/>
                <w:sz w:val="24"/>
                <w:szCs w:val="24"/>
                <w:vertAlign w:val="baseline"/>
                <w:lang w:val="en-US" w:eastAsia="zh-CN" w:bidi="ar-SA"/>
              </w:rPr>
              <w:t>《粤港澳大湾区会展活动碳中和实施指南》初稿</w:t>
            </w:r>
            <w:r>
              <w:rPr>
                <w:rFonts w:hint="eastAsia" w:ascii="仿宋" w:hAnsi="仿宋" w:eastAsia="仿宋" w:cs="仿宋"/>
                <w:kern w:val="2"/>
                <w:sz w:val="24"/>
                <w:szCs w:val="24"/>
                <w:vertAlign w:val="baseline"/>
                <w:lang w:val="en-US" w:eastAsia="zh-CN" w:bidi="ar-SA"/>
              </w:rPr>
              <w:t>框架</w:t>
            </w:r>
            <w:r>
              <w:rPr>
                <w:rFonts w:hint="default" w:ascii="仿宋" w:hAnsi="仿宋" w:eastAsia="仿宋" w:cs="仿宋"/>
                <w:kern w:val="2"/>
                <w:sz w:val="24"/>
                <w:szCs w:val="24"/>
                <w:vertAlign w:val="baseline"/>
                <w:lang w:val="en-US" w:eastAsia="zh-CN" w:bidi="ar-SA"/>
              </w:rPr>
              <w:t>已基本成型。</w:t>
            </w:r>
          </w:p>
        </w:tc>
      </w:tr>
      <w:tr w14:paraId="6E234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0070BF8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2024年7月</w:t>
            </w:r>
          </w:p>
        </w:tc>
        <w:tc>
          <w:tcPr>
            <w:tcW w:w="3910" w:type="dxa"/>
          </w:tcPr>
          <w:p w14:paraId="1FADABEA">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工作组针对《粤港澳大湾区会展活动碳中和实施指南》初稿，深入讨论了活动系统边界的界定、排放核算方法、实施计划制定、减排行动实施、碳足迹抵消机制、碳中和核查及碳中和实现声明规范等关键内容。通过细致讨论，工作组旨在确保指南内容全面覆盖碳中和实施的关键环节，提升其实用性和可操作性，为粤港澳大湾区会展业提供科学、系统的碳中和实施指导。</w:t>
            </w:r>
          </w:p>
        </w:tc>
        <w:tc>
          <w:tcPr>
            <w:tcW w:w="3129" w:type="dxa"/>
          </w:tcPr>
          <w:p w14:paraId="78B0A7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 w:lineRule="atLeast"/>
              <w:ind w:left="0" w:right="0" w:firstLine="0"/>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本次对《粤港澳大湾区会展活动碳中和实施指南》初稿进行讨论，充分考虑三地的实际情况和利益诉求。对于存在指标不一致的情况，提出多种解决方案，并进行利弊分析，经协商达成共识，确保了指南内容的全面性、系统性和可操作性，为会展活动碳中和提供了更加清晰、科学的路径。</w:t>
            </w:r>
          </w:p>
        </w:tc>
      </w:tr>
      <w:tr w14:paraId="148F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29BF76E5">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2024年7月</w:t>
            </w:r>
          </w:p>
        </w:tc>
        <w:tc>
          <w:tcPr>
            <w:tcW w:w="3910" w:type="dxa"/>
          </w:tcPr>
          <w:p w14:paraId="79C8C9A0">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工作组针对《粤港澳大湾区会展活动碳中和实施指南》进一步讨论完善，重点聚焦于碳排放因子的确定与更新。碳排放因子是核算温室气体排放量的关键参数，直接影响碳中和计划的准确性和有效性。工作组详细讨论了粤港澳三地的碳排放因子差异，以及如何根据最新数据和科学研究成果进行更新，确保核算结果的精确性。</w:t>
            </w:r>
          </w:p>
        </w:tc>
        <w:tc>
          <w:tcPr>
            <w:tcW w:w="3129" w:type="dxa"/>
          </w:tcPr>
          <w:p w14:paraId="4FB810E8">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经过深入讨论，《粤港澳大湾区会展活动碳中和实施指南》在碳排放因子的确定与更新上取得了重要进展。工作组明确了碳排放因子在核算中的重要性，并依据最新科学数据和研究成果，对其进行了精确调整。</w:t>
            </w:r>
          </w:p>
        </w:tc>
      </w:tr>
      <w:tr w14:paraId="0DF6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60030D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2024年8月</w:t>
            </w:r>
          </w:p>
        </w:tc>
        <w:tc>
          <w:tcPr>
            <w:tcW w:w="3910" w:type="dxa"/>
          </w:tcPr>
          <w:p w14:paraId="5D82098E">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工作组就《粤港澳大湾区会展活动碳中和实施指南》征求意见稿进行了全面深入的再次讨论，对各项内容进行了细致推敲与修订。经过多轮讨论与整合，指南的框架更加清晰，内容更加完善，形成了具备较高实用性和指导性的征求意见稿。</w:t>
            </w:r>
          </w:p>
        </w:tc>
        <w:tc>
          <w:tcPr>
            <w:tcW w:w="3129" w:type="dxa"/>
          </w:tcPr>
          <w:p w14:paraId="5593DC24">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经过工作组的深入讨论与细致修订，《粤港澳大湾区会展活动碳中和实施指南》的征求意见稿已经顺利形成。该稿在全面审视初稿的基础上，进一步明确了碳中和实施的关键环节与要求，增强了指南的系统性、科学性和可操作性。</w:t>
            </w:r>
          </w:p>
        </w:tc>
      </w:tr>
      <w:tr w14:paraId="6A73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9" w:type="dxa"/>
            <w:gridSpan w:val="3"/>
          </w:tcPr>
          <w:p w14:paraId="4BEB64C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lang w:val="en-US" w:eastAsia="zh-CN" w:bidi="ar-SA"/>
              </w:rPr>
              <w:t>（三）征求意见</w:t>
            </w:r>
            <w:r>
              <w:rPr>
                <w:rFonts w:hint="default" w:ascii="仿宋" w:hAnsi="仿宋" w:eastAsia="仿宋" w:cs="仿宋"/>
                <w:kern w:val="2"/>
                <w:sz w:val="24"/>
                <w:szCs w:val="24"/>
                <w:lang w:val="en-US" w:eastAsia="zh-CN" w:bidi="ar-SA"/>
              </w:rPr>
              <w:t>阶段</w:t>
            </w:r>
          </w:p>
        </w:tc>
      </w:tr>
      <w:tr w14:paraId="06FC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5014F1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2024年8月</w:t>
            </w:r>
          </w:p>
        </w:tc>
        <w:tc>
          <w:tcPr>
            <w:tcW w:w="3910" w:type="dxa"/>
          </w:tcPr>
          <w:p w14:paraId="0E0508B4">
            <w:pPr>
              <w:numPr>
                <w:ilvl w:val="0"/>
                <w:numId w:val="0"/>
              </w:numPr>
              <w:bidi w:val="0"/>
              <w:spacing w:line="240" w:lineRule="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vertAlign w:val="baseline"/>
                <w:lang w:val="en-US" w:eastAsia="zh-CN" w:bidi="ar-SA"/>
              </w:rPr>
              <w:t>工作组将《粤港澳大湾区会展活动碳中和实施指南》征求意见稿面向社会各界公开发布，为期30天的征求意见阶段正式启动。旨在广泛收集行业内外专家、从业者及公众的意见与建议，以期进一步完善指南内容，确保其科学性与实用性。我们诚邀各界人士积极参与，共同为推动大湾区会展业的绿色低碳发展贡献力量。</w:t>
            </w:r>
          </w:p>
        </w:tc>
        <w:tc>
          <w:tcPr>
            <w:tcW w:w="3129" w:type="dxa"/>
          </w:tcPr>
          <w:p w14:paraId="63116B4F">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经过为期30天的公开征求意见，工作组收到了来自社会各界的广泛反馈与建议。</w:t>
            </w:r>
          </w:p>
        </w:tc>
      </w:tr>
      <w:tr w14:paraId="761D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7856AC8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vertAlign w:val="baseline"/>
                <w:lang w:val="en-US" w:eastAsia="zh-CN" w:bidi="ar-SA"/>
              </w:rPr>
              <w:t>2024年9月</w:t>
            </w:r>
          </w:p>
        </w:tc>
        <w:tc>
          <w:tcPr>
            <w:tcW w:w="3910" w:type="dxa"/>
          </w:tcPr>
          <w:p w14:paraId="6BC587E2">
            <w:pPr>
              <w:pStyle w:val="11"/>
              <w:keepNext w:val="0"/>
              <w:keepLines w:val="0"/>
              <w:pageBreakBefore w:val="0"/>
              <w:widowControl w:val="0"/>
              <w:numPr>
                <w:ilvl w:val="0"/>
                <w:numId w:val="0"/>
              </w:numPr>
              <w:kinsoku/>
              <w:wordWrap/>
              <w:overflowPunct/>
              <w:topLinePunct w:val="0"/>
              <w:autoSpaceDE/>
              <w:autoSpaceDN/>
              <w:bidi w:val="0"/>
              <w:adjustRightInd/>
              <w:snapToGrid/>
              <w:spacing w:after="0" w:line="240" w:lineRule="auto"/>
              <w:textAlignment w:val="auto"/>
              <w:rPr>
                <w:rFonts w:hint="eastAsia"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vertAlign w:val="baseline"/>
                <w:lang w:val="en-US" w:eastAsia="zh-CN" w:bidi="ar-SA"/>
              </w:rPr>
              <w:t>针对公开征求到的52条意见，工作组进行了全面而细致的讨论。经过慎重考虑，决定采纳其中48条意见，对于未采纳的4条意见，工作组也进行了详细解释，说明了不采纳的原因及考虑因素。在采纳意见的基础上，工作组进行了深入的协商与修改，确保每一条被采纳的意见都能得到充分体现，以进一步提升方案的合理性和可行性。</w:t>
            </w:r>
          </w:p>
        </w:tc>
        <w:tc>
          <w:tcPr>
            <w:tcW w:w="3129" w:type="dxa"/>
          </w:tcPr>
          <w:p w14:paraId="5172F894">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default"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vertAlign w:val="baseline"/>
                <w:lang w:val="en-US" w:eastAsia="zh-CN" w:bidi="ar-SA"/>
              </w:rPr>
              <w:t>工作组达成共识，形成了更加完善、更具操作性的文本，最终修改形成《粤港澳大湾区会展活动碳中和实施指南》送审稿。</w:t>
            </w:r>
          </w:p>
        </w:tc>
      </w:tr>
      <w:tr w14:paraId="5AD2C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9" w:type="dxa"/>
            <w:gridSpan w:val="3"/>
          </w:tcPr>
          <w:p w14:paraId="0712B05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lang w:val="en-US" w:eastAsia="zh-CN" w:bidi="ar-SA"/>
              </w:rPr>
              <w:t>（四）</w:t>
            </w:r>
            <w:r>
              <w:rPr>
                <w:rFonts w:hint="default" w:ascii="仿宋" w:hAnsi="仿宋" w:eastAsia="仿宋" w:cs="仿宋"/>
                <w:kern w:val="2"/>
                <w:sz w:val="24"/>
                <w:szCs w:val="24"/>
                <w:highlight w:val="none"/>
                <w:lang w:val="en-US" w:eastAsia="zh-CN" w:bidi="ar-SA"/>
              </w:rPr>
              <w:t>技术审查阶段</w:t>
            </w:r>
          </w:p>
        </w:tc>
      </w:tr>
      <w:tr w14:paraId="2FD8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0" w:type="dxa"/>
          </w:tcPr>
          <w:p w14:paraId="4046A46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default"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vertAlign w:val="baseline"/>
                <w:lang w:val="en-US" w:eastAsia="zh-CN" w:bidi="ar-SA"/>
              </w:rPr>
              <w:t>2024年10月</w:t>
            </w:r>
          </w:p>
        </w:tc>
        <w:tc>
          <w:tcPr>
            <w:tcW w:w="3910" w:type="dxa"/>
          </w:tcPr>
          <w:p w14:paraId="31C044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240" w:lineRule="auto"/>
              <w:ind w:left="0" w:right="0" w:firstLine="0"/>
              <w:jc w:val="both"/>
              <w:textAlignment w:val="baseline"/>
              <w:rPr>
                <w:rFonts w:hint="eastAsia" w:ascii="仿宋" w:hAnsi="仿宋" w:eastAsia="仿宋" w:cs="仿宋"/>
                <w:kern w:val="2"/>
                <w:sz w:val="24"/>
                <w:szCs w:val="24"/>
                <w:highlight w:val="none"/>
                <w:vertAlign w:val="baseline"/>
                <w:lang w:val="en-US" w:eastAsia="zh-CN" w:bidi="ar-SA"/>
              </w:rPr>
            </w:pPr>
            <w:r>
              <w:rPr>
                <w:rFonts w:hint="default" w:ascii="仿宋" w:hAnsi="仿宋" w:eastAsia="仿宋" w:cs="仿宋"/>
                <w:kern w:val="2"/>
                <w:sz w:val="24"/>
                <w:szCs w:val="24"/>
                <w:highlight w:val="none"/>
                <w:vertAlign w:val="baseline"/>
                <w:lang w:val="en-US" w:eastAsia="zh-CN" w:bidi="ar-SA"/>
              </w:rPr>
              <w:t>会议的核心议题是对《粤港澳大湾区会展活动碳中和实施指南》进行技术审查，目的是确保该指南内容的科学性、严谨性和实用性，以有效指导会展行业的碳中和工作。</w:t>
            </w:r>
          </w:p>
          <w:p w14:paraId="2739A9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240" w:lineRule="auto"/>
              <w:ind w:left="0" w:right="0" w:firstLine="0"/>
              <w:jc w:val="both"/>
              <w:textAlignment w:val="baseline"/>
              <w:rPr>
                <w:rFonts w:hint="default" w:ascii="仿宋" w:hAnsi="仿宋" w:eastAsia="仿宋" w:cs="仿宋"/>
                <w:kern w:val="2"/>
                <w:sz w:val="24"/>
                <w:szCs w:val="24"/>
                <w:highlight w:val="none"/>
                <w:vertAlign w:val="baseline"/>
                <w:lang w:val="en-US" w:eastAsia="zh-CN" w:bidi="ar-SA"/>
              </w:rPr>
            </w:pPr>
            <w:r>
              <w:rPr>
                <w:rFonts w:hint="default" w:ascii="仿宋" w:hAnsi="仿宋" w:eastAsia="仿宋" w:cs="仿宋"/>
                <w:kern w:val="2"/>
                <w:sz w:val="24"/>
                <w:szCs w:val="24"/>
                <w:highlight w:val="none"/>
                <w:vertAlign w:val="baseline"/>
                <w:lang w:val="en-US" w:eastAsia="zh-CN" w:bidi="ar-SA"/>
              </w:rPr>
              <w:t>会议汇集了来自粤港澳三地的专家和相关编写单位，对指南进行了深入的评审。编制团队代表详细介绍了指南的编写背景、过程和主要内容，突出了其基于全球碳中和政策与标准的研究基础，以及针对粤港澳大湾区会展业特定情况的创新之处。</w:t>
            </w:r>
          </w:p>
          <w:p w14:paraId="0611EF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240" w:lineRule="auto"/>
              <w:ind w:left="0" w:right="0" w:firstLine="0"/>
              <w:jc w:val="both"/>
              <w:textAlignment w:val="baseline"/>
              <w:rPr>
                <w:rFonts w:hint="default" w:ascii="仿宋" w:hAnsi="仿宋" w:eastAsia="仿宋" w:cs="仿宋"/>
                <w:kern w:val="2"/>
                <w:sz w:val="24"/>
                <w:szCs w:val="24"/>
                <w:highlight w:val="none"/>
                <w:vertAlign w:val="baseline"/>
                <w:lang w:val="en-US" w:eastAsia="zh-CN" w:bidi="ar-SA"/>
              </w:rPr>
            </w:pPr>
            <w:r>
              <w:rPr>
                <w:rFonts w:hint="default" w:ascii="仿宋" w:hAnsi="仿宋" w:eastAsia="仿宋" w:cs="仿宋"/>
                <w:kern w:val="2"/>
                <w:sz w:val="24"/>
                <w:szCs w:val="24"/>
                <w:highlight w:val="none"/>
                <w:vertAlign w:val="baseline"/>
                <w:lang w:val="en-US" w:eastAsia="zh-CN" w:bidi="ar-SA"/>
              </w:rPr>
              <w:t>在讨论环节中，专家们就指南的技术细节、科学依据和操作流程进行了详尽的探讨。他们对指南在术语定义、基本原则和实施步骤等方面的明确表述给予了肯定，并针对碳足迹的计算方法、减排措施的实施细节以及碳抵消机制的合理设计等方面提出了建设性的反馈和建议。</w:t>
            </w:r>
          </w:p>
          <w:p w14:paraId="53F09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Autospacing="0" w:line="240" w:lineRule="auto"/>
              <w:ind w:left="0" w:right="0" w:firstLine="0"/>
              <w:jc w:val="both"/>
              <w:textAlignment w:val="baseline"/>
              <w:rPr>
                <w:rFonts w:hint="default" w:ascii="仿宋" w:hAnsi="仿宋" w:eastAsia="仿宋"/>
                <w:sz w:val="32"/>
                <w:szCs w:val="32"/>
                <w:highlight w:val="none"/>
                <w:lang w:val="en-US" w:eastAsia="zh-CN"/>
              </w:rPr>
            </w:pPr>
            <w:r>
              <w:rPr>
                <w:rFonts w:hint="default" w:ascii="仿宋" w:hAnsi="仿宋" w:eastAsia="仿宋" w:cs="仿宋"/>
                <w:kern w:val="2"/>
                <w:sz w:val="24"/>
                <w:szCs w:val="24"/>
                <w:highlight w:val="none"/>
                <w:vertAlign w:val="baseline"/>
                <w:lang w:val="en-US" w:eastAsia="zh-CN" w:bidi="ar-SA"/>
              </w:rPr>
              <w:t>会议通过充分的交流和讨论，汇总了针对指南的改进建议。编写工作组将依据这些建议对指南进行修订，以确保其更贴近实际需求，增强其指导和操作价值。这次会议的成果将为粤港澳大湾区会展活动的碳中和实施提供坚实的理论和实践基础。</w:t>
            </w:r>
          </w:p>
        </w:tc>
        <w:tc>
          <w:tcPr>
            <w:tcW w:w="3129" w:type="dxa"/>
          </w:tcPr>
          <w:p w14:paraId="49F87A03">
            <w:pPr>
              <w:pStyle w:val="11"/>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4"/>
                <w:szCs w:val="24"/>
                <w:highlight w:val="none"/>
                <w:vertAlign w:val="baseline"/>
                <w:lang w:val="en-US" w:eastAsia="zh-CN" w:bidi="ar-SA"/>
              </w:rPr>
            </w:pPr>
            <w:r>
              <w:rPr>
                <w:rFonts w:hint="eastAsia" w:ascii="仿宋" w:hAnsi="仿宋" w:eastAsia="仿宋" w:cs="仿宋"/>
                <w:kern w:val="2"/>
                <w:sz w:val="24"/>
                <w:szCs w:val="24"/>
                <w:highlight w:val="none"/>
                <w:vertAlign w:val="baseline"/>
                <w:lang w:val="en-US" w:eastAsia="zh-CN" w:bidi="ar-SA"/>
              </w:rPr>
              <w:t>根据会议审查的结果，编制工作组将根据专家提出的修改完善意见，进一步修订《粤港澳大湾区会展活动碳中和实施指南》内容，以确保其更加符合实际需求，具有更强的指导性和可操作性。这将有助于为会展业的碳中和实践提供有力指导，确保指南内容科学严谨、操作性强。</w:t>
            </w:r>
          </w:p>
        </w:tc>
      </w:tr>
    </w:tbl>
    <w:p w14:paraId="7925040E">
      <w:pPr>
        <w:ind w:firstLine="640" w:firstLineChars="200"/>
        <w:outlineLvl w:val="0"/>
        <w:rPr>
          <w:rFonts w:ascii="黑体" w:hAnsi="黑体" w:eastAsia="黑体" w:cs="Times New Roman"/>
          <w:sz w:val="32"/>
          <w:szCs w:val="32"/>
        </w:rPr>
      </w:pPr>
      <w:bookmarkStart w:id="25" w:name="_Toc23636"/>
      <w:r>
        <w:rPr>
          <w:rFonts w:hint="eastAsia" w:ascii="黑体" w:hAnsi="黑体" w:eastAsia="黑体" w:cs="Times New Roman"/>
          <w:sz w:val="32"/>
          <w:szCs w:val="32"/>
        </w:rPr>
        <w:t>六、重大分歧意见处理情况</w:t>
      </w:r>
      <w:bookmarkEnd w:id="25"/>
    </w:p>
    <w:p w14:paraId="1C197AC9">
      <w:pPr>
        <w:ind w:firstLine="640" w:firstLineChars="200"/>
        <w:rPr>
          <w:rFonts w:ascii="仿宋" w:hAnsi="仿宋" w:eastAsia="仿宋" w:cs="Times New Roman"/>
          <w:sz w:val="32"/>
          <w:szCs w:val="32"/>
        </w:rPr>
      </w:pPr>
      <w:r>
        <w:rPr>
          <w:rFonts w:hint="eastAsia" w:ascii="仿宋" w:hAnsi="仿宋" w:eastAsia="仿宋" w:cs="Times New Roman"/>
          <w:sz w:val="32"/>
          <w:szCs w:val="32"/>
        </w:rPr>
        <w:t>标准</w:t>
      </w:r>
      <w:r>
        <w:rPr>
          <w:rFonts w:hint="eastAsia" w:ascii="仿宋" w:hAnsi="仿宋" w:eastAsia="仿宋" w:cs="Times New Roman"/>
          <w:sz w:val="32"/>
          <w:szCs w:val="32"/>
          <w:lang w:val="en-US" w:eastAsia="zh-CN"/>
        </w:rPr>
        <w:t>没</w:t>
      </w:r>
      <w:r>
        <w:rPr>
          <w:rFonts w:hint="eastAsia" w:ascii="仿宋" w:hAnsi="仿宋" w:eastAsia="仿宋" w:cs="Times New Roman"/>
          <w:sz w:val="32"/>
          <w:szCs w:val="32"/>
        </w:rPr>
        <w:t>有重大分歧意见。</w:t>
      </w:r>
    </w:p>
    <w:p w14:paraId="3C064530">
      <w:pPr>
        <w:ind w:firstLine="640" w:firstLineChars="200"/>
        <w:outlineLvl w:val="0"/>
        <w:rPr>
          <w:rFonts w:hint="eastAsia" w:ascii="黑体" w:hAnsi="黑体" w:eastAsia="黑体" w:cs="Times New Roman"/>
          <w:sz w:val="32"/>
          <w:szCs w:val="32"/>
        </w:rPr>
      </w:pPr>
      <w:bookmarkStart w:id="26" w:name="_Toc19019"/>
      <w:r>
        <w:rPr>
          <w:rFonts w:hint="eastAsia" w:ascii="黑体" w:hAnsi="黑体" w:eastAsia="黑体" w:cs="Times New Roman"/>
          <w:sz w:val="32"/>
          <w:szCs w:val="32"/>
        </w:rPr>
        <w:t>七、技术指标设置的科学性和可行性</w:t>
      </w:r>
      <w:bookmarkEnd w:id="26"/>
    </w:p>
    <w:p w14:paraId="785E175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jc w:val="both"/>
        <w:textAlignment w:val="auto"/>
        <w:rPr>
          <w:rFonts w:hint="default" w:ascii="仿宋" w:hAnsi="仿宋" w:eastAsia="仿宋" w:cs="仿宋"/>
          <w:kern w:val="2"/>
          <w:sz w:val="28"/>
          <w:szCs w:val="28"/>
          <w:lang w:val="en-US" w:eastAsia="zh-CN" w:bidi="ar-SA"/>
        </w:rPr>
      </w:pPr>
      <w:bookmarkStart w:id="27" w:name="_Toc6712"/>
      <w:r>
        <w:rPr>
          <w:rFonts w:hint="default" w:ascii="仿宋" w:hAnsi="仿宋" w:eastAsia="仿宋" w:cs="仿宋"/>
          <w:kern w:val="2"/>
          <w:sz w:val="28"/>
          <w:szCs w:val="28"/>
          <w:lang w:val="en-US" w:eastAsia="zh-CN" w:bidi="ar-SA"/>
        </w:rPr>
        <w:t>《粤港澳大湾区会展活动碳中和实施指南》中量化指标的设定，充分借鉴和融合了多维度依据，兼具科学性与实操性，主要包括以下方面：</w:t>
      </w:r>
    </w:p>
    <w:p w14:paraId="37B5DA94">
      <w:pPr>
        <w:pStyle w:val="10"/>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国内外标准与规范的系统参照</w:t>
      </w:r>
    </w:p>
    <w:p w14:paraId="264CCBD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国际层面，本标准积极对接ISO 14068-1等国际标准中有关碳中和量化方法、核算原则与抵消机制的成熟框架，确保指标设置具备国际视野与认可度。国内层面，紧密结合国家与粤港澳三地政府发布的碳达峰、碳中和系列政策、实施方案，并参考《大型活动碳中和实施指南》、GB/T 24067《温室气体 产品碳足迹 量化要求和指南》等现行标准，保证指标与国家战略相契合、与行业规范相统一。</w:t>
      </w:r>
    </w:p>
    <w:p w14:paraId="0387BD81">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（二）基于区域实际与历史数据的本土化设计</w:t>
      </w:r>
    </w:p>
    <w:p w14:paraId="1C5990B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指标设定充分考量粤港澳大湾区的经济结构、会展规模、类型特征、参与人次等区域因素，紧密结合本地会展活动温室气体排放的实际情况。同时，依托对区域内历年会展碳排放数据的统计与分析，识别典型排放特征与变化规律，增强了指标设定的代表性和可靠性，确保指标既符合区域现实，又具备前瞻性和适应性。</w:t>
      </w:r>
    </w:p>
    <w:p w14:paraId="556AFB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both"/>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（三）</w:t>
      </w:r>
      <w:r>
        <w:rPr>
          <w:rFonts w:hint="default" w:ascii="仿宋" w:hAnsi="仿宋" w:eastAsia="仿宋" w:cs="仿宋"/>
          <w:kern w:val="2"/>
          <w:sz w:val="28"/>
          <w:szCs w:val="28"/>
          <w:lang w:val="en-US" w:eastAsia="zh-CN" w:bidi="ar-SA"/>
        </w:rPr>
        <w:t>创新性实施路径与标准化核算体系的建立</w:t>
      </w:r>
    </w:p>
    <w:p w14:paraId="7E4252B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指南提出“全流程碳中和”“预先碳中和”及“直接碳中和”三类实施路径，系统涵盖减排与抵消策略的组合应用，满足不同场景和需求的差异化选择。在核算方法层面，建立统一、透明的温室气体量化公式，引入本地化排放因子，并明确活动数据收集与溯源要求，从方法论上保障核算结果的一致性和准确性，显著提升了碳中和实施的可操作性和可信度。</w:t>
      </w:r>
    </w:p>
    <w:p w14:paraId="166B6BF7">
      <w:pPr>
        <w:numPr>
          <w:ilvl w:val="0"/>
          <w:numId w:val="9"/>
        </w:numPr>
        <w:ind w:firstLine="640" w:firstLineChars="200"/>
        <w:outlineLvl w:val="0"/>
        <w:rPr>
          <w:rFonts w:ascii="黑体" w:hAnsi="黑体" w:eastAsia="黑体" w:cs="Times New Roman"/>
          <w:sz w:val="32"/>
          <w:szCs w:val="32"/>
        </w:rPr>
      </w:pPr>
      <w:r>
        <w:rPr>
          <w:rFonts w:hint="eastAsia" w:ascii="黑体" w:hAnsi="黑体" w:eastAsia="黑体" w:cs="Times New Roman"/>
          <w:sz w:val="32"/>
          <w:szCs w:val="32"/>
        </w:rPr>
        <w:t>标准</w:t>
      </w:r>
      <w:r>
        <w:rPr>
          <w:rFonts w:ascii="黑体" w:hAnsi="黑体" w:eastAsia="黑体" w:cs="Times New Roman"/>
          <w:sz w:val="32"/>
          <w:szCs w:val="32"/>
        </w:rPr>
        <w:t>对比及采标情况分析</w:t>
      </w:r>
      <w:bookmarkEnd w:id="27"/>
    </w:p>
    <w:p w14:paraId="3800446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both"/>
        <w:textAlignment w:val="auto"/>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（一）与国际标准的对比分析</w:t>
      </w:r>
    </w:p>
    <w:p w14:paraId="7538AC3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《粤港澳大湾区会展活动碳中和实施指南》</w:t>
      </w:r>
      <w:r>
        <w:rPr>
          <w:rFonts w:hint="eastAsia" w:ascii="仿宋" w:hAnsi="仿宋" w:eastAsia="仿宋" w:cs="仿宋"/>
          <w:kern w:val="2"/>
          <w:sz w:val="28"/>
          <w:szCs w:val="28"/>
          <w:lang w:val="en-US" w:eastAsia="zh-CN" w:bidi="ar-SA"/>
        </w:rPr>
        <w:t>参考</w:t>
      </w:r>
      <w:r>
        <w:rPr>
          <w:rFonts w:hint="default" w:ascii="仿宋" w:hAnsi="仿宋" w:eastAsia="仿宋" w:cs="仿宋"/>
          <w:kern w:val="2"/>
          <w:sz w:val="28"/>
          <w:szCs w:val="28"/>
          <w:lang w:val="en-US" w:eastAsia="zh-CN" w:bidi="ar-SA"/>
        </w:rPr>
        <w:t>ISO 14068-1</w:t>
      </w:r>
      <w:r>
        <w:rPr>
          <w:rFonts w:hint="eastAsia" w:ascii="仿宋" w:hAnsi="仿宋" w:eastAsia="仿宋" w:cs="仿宋"/>
          <w:kern w:val="2"/>
          <w:sz w:val="28"/>
          <w:szCs w:val="28"/>
          <w:lang w:val="en-US" w:eastAsia="zh-CN" w:bidi="ar-SA"/>
        </w:rPr>
        <w:t>国际标准</w:t>
      </w:r>
      <w:r>
        <w:rPr>
          <w:rFonts w:hint="default" w:ascii="仿宋" w:hAnsi="仿宋" w:eastAsia="仿宋" w:cs="仿宋"/>
          <w:kern w:val="2"/>
          <w:sz w:val="28"/>
          <w:szCs w:val="28"/>
          <w:lang w:val="en-US" w:eastAsia="zh-CN" w:bidi="ar-SA"/>
        </w:rPr>
        <w:t>，通过规范的量化、报告与验证，推动实现碳中和。本指南充分借鉴了ISO 14068-1在核算边界划定、排放因子选取、数据质量管理等方面的国际通行要求，并在会展活动情境中予以具体化。此外，在碳中和实施路径设计上，两项标准均强调需制定明确的策略与目标，系统融合减排与清除措施。本指南在此基础上，进一步结合大湾区会展特点，提出了更具操作性的区域化实施框架。</w:t>
      </w:r>
    </w:p>
    <w:p w14:paraId="780D0D0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both"/>
        <w:textAlignment w:val="auto"/>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（二）与国家标准的对比分析</w:t>
      </w:r>
    </w:p>
    <w:p w14:paraId="27BE6C3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Chars="0" w:right="0" w:rightChars="0" w:firstLine="560" w:firstLineChars="200"/>
        <w:jc w:val="both"/>
        <w:textAlignment w:val="auto"/>
        <w:rPr>
          <w:rFonts w:hint="eastAsia"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本指南在整体框架和基本原则上与国家《大型活动碳中和实施指南（试行）》一脉相承，但其突出优势在于针对粤港澳大湾区会展活动进行了深度适配和细化。相比国家指南的通用性定位，本指南将会展活动的类型特点、展馆运营、参展商行为等关键排放环节纳入核算体系，显著提升了在区域会展类活动中的适用性和可操作性。</w:t>
      </w:r>
      <w:r>
        <w:rPr>
          <w:rFonts w:hint="default" w:ascii="仿宋" w:hAnsi="仿宋" w:eastAsia="仿宋" w:cs="仿宋"/>
          <w:kern w:val="2"/>
          <w:sz w:val="28"/>
          <w:szCs w:val="28"/>
          <w:lang w:val="en-US" w:eastAsia="zh-CN" w:bidi="ar-SA"/>
        </w:rPr>
        <w:br w:type="textWrapping"/>
      </w:r>
      <w:r>
        <w:rPr>
          <w:rFonts w:hint="eastAsia" w:ascii="仿宋" w:hAnsi="仿宋" w:eastAsia="仿宋" w:cs="仿宋"/>
          <w:kern w:val="2"/>
          <w:sz w:val="28"/>
          <w:szCs w:val="28"/>
          <w:lang w:val="en-US" w:eastAsia="zh-CN" w:bidi="ar-SA"/>
        </w:rPr>
        <w:t xml:space="preserve">    </w:t>
      </w:r>
      <w:r>
        <w:rPr>
          <w:rFonts w:hint="default" w:ascii="仿宋" w:hAnsi="仿宋" w:eastAsia="仿宋" w:cs="仿宋"/>
          <w:kern w:val="2"/>
          <w:sz w:val="28"/>
          <w:szCs w:val="28"/>
          <w:lang w:val="en-US" w:eastAsia="zh-CN" w:bidi="ar-SA"/>
        </w:rPr>
        <w:t>GB/T 24067《温室气体 产品碳足迹 量化要求和指南》作为产品碳足迹量化的基础标准，侧重通用性原则与方法学。而本指南不仅涵盖会展碳足迹的量化要求，更系统延伸至减排措施、抵消策略、区域协同机制及声明核查等实施环节，是一部全面针对会展活动碳中和的专项操作指南，在会展领域的专业性和完整性远超前者。</w:t>
      </w:r>
    </w:p>
    <w:p w14:paraId="37DE7DA8">
      <w:pPr>
        <w:pStyle w:val="10"/>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rightChars="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与行业及地方标准的对比</w:t>
      </w:r>
    </w:p>
    <w:p w14:paraId="3108E08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本指南在编制中积极吸收了会展行业在碳管理方面的有益实践，并参考了如福建省、黑龙江省等省份已出台的大型活动碳中和实施方案的经验。相比这些文件，本指南的核心优势体现在：深度融合粤港澳区域协同发展需求，创新提出三地认可的标准化核算流程与差异化因子应用机制，并</w:t>
      </w:r>
      <w:r>
        <w:rPr>
          <w:rFonts w:hint="eastAsia" w:ascii="仿宋" w:hAnsi="仿宋" w:eastAsia="仿宋" w:cs="仿宋"/>
          <w:kern w:val="2"/>
          <w:sz w:val="28"/>
          <w:szCs w:val="28"/>
          <w:lang w:val="en-US" w:eastAsia="zh-CN" w:bidi="ar-SA"/>
        </w:rPr>
        <w:t>例举详细的</w:t>
      </w:r>
      <w:r>
        <w:rPr>
          <w:rFonts w:hint="default" w:ascii="仿宋" w:hAnsi="仿宋" w:eastAsia="仿宋" w:cs="仿宋"/>
          <w:kern w:val="2"/>
          <w:sz w:val="28"/>
          <w:szCs w:val="28"/>
          <w:lang w:val="en-US" w:eastAsia="zh-CN" w:bidi="ar-SA"/>
        </w:rPr>
        <w:t>减排行动清单，在机制的精细度和区域的针对性方面显著提升。</w:t>
      </w:r>
    </w:p>
    <w:p w14:paraId="65156BBC">
      <w:pPr>
        <w:pStyle w:val="10"/>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59" w:leftChars="266" w:right="0" w:rightChars="0" w:firstLine="0" w:firstLineChars="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采标情况说明</w:t>
      </w:r>
    </w:p>
    <w:p w14:paraId="4F7B9D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560" w:firstLineChars="200"/>
        <w:jc w:val="both"/>
        <w:textAlignment w:val="auto"/>
        <w:rPr>
          <w:rFonts w:hint="default" w:ascii="仿宋" w:hAnsi="仿宋" w:eastAsia="仿宋" w:cs="仿宋"/>
          <w:kern w:val="2"/>
          <w:sz w:val="28"/>
          <w:szCs w:val="28"/>
          <w:lang w:val="en-US" w:eastAsia="zh-CN" w:bidi="ar-SA"/>
        </w:rPr>
      </w:pPr>
      <w:r>
        <w:rPr>
          <w:rFonts w:hint="default" w:ascii="仿宋" w:hAnsi="仿宋" w:eastAsia="仿宋" w:cs="仿宋"/>
          <w:kern w:val="2"/>
          <w:sz w:val="28"/>
          <w:szCs w:val="28"/>
          <w:lang w:val="en-US" w:eastAsia="zh-CN" w:bidi="ar-SA"/>
        </w:rPr>
        <w:t>本指南的制定严格遵循规范性引用原则，积极采纳和引用了包括ISO 14068-1、ISO 14064-1、ISO 14067在内的国际标准，以及《大型活动碳中和实施指南（试行）》、GB/T 24067等国家标准中的相关条款与科学方法。通过系统性的采标和本土化转化，既保证了标准内容的先进性与规范性，也确保了其在大湾区实际会展情境中的科学可行。</w:t>
      </w:r>
    </w:p>
    <w:p w14:paraId="1C678CA0">
      <w:pPr>
        <w:ind w:firstLine="640" w:firstLineChars="200"/>
        <w:outlineLvl w:val="0"/>
        <w:rPr>
          <w:rFonts w:hint="eastAsia" w:ascii="黑体" w:hAnsi="黑体" w:eastAsia="黑体" w:cs="Times New Roman"/>
          <w:sz w:val="32"/>
          <w:szCs w:val="32"/>
        </w:rPr>
      </w:pPr>
      <w:bookmarkStart w:id="28" w:name="_Toc4490"/>
      <w:r>
        <w:rPr>
          <w:rFonts w:hint="eastAsia" w:ascii="黑体" w:hAnsi="黑体" w:eastAsia="黑体" w:cs="Times New Roman"/>
          <w:sz w:val="32"/>
          <w:szCs w:val="32"/>
          <w:lang w:val="en-US" w:eastAsia="zh-CN"/>
        </w:rPr>
        <w:t>九、</w:t>
      </w:r>
      <w:r>
        <w:rPr>
          <w:rFonts w:hint="eastAsia" w:ascii="黑体" w:hAnsi="黑体" w:eastAsia="黑体" w:cs="Times New Roman"/>
          <w:sz w:val="32"/>
          <w:szCs w:val="32"/>
        </w:rPr>
        <w:t>涉及专利的有关说明</w:t>
      </w:r>
      <w:bookmarkEnd w:id="28"/>
    </w:p>
    <w:p w14:paraId="0DA4AE2E">
      <w:pPr>
        <w:ind w:firstLine="640" w:firstLineChars="200"/>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标准不涉及专利。</w:t>
      </w:r>
    </w:p>
    <w:p w14:paraId="4B8A8E52">
      <w:pPr>
        <w:ind w:firstLine="640" w:firstLineChars="200"/>
        <w:outlineLvl w:val="0"/>
        <w:rPr>
          <w:rFonts w:hint="eastAsia" w:ascii="黑体" w:hAnsi="黑体" w:eastAsia="黑体" w:cs="Times New Roman"/>
          <w:sz w:val="32"/>
          <w:szCs w:val="32"/>
        </w:rPr>
      </w:pPr>
      <w:bookmarkStart w:id="29" w:name="_Toc14500"/>
      <w:r>
        <w:rPr>
          <w:rFonts w:hint="eastAsia" w:ascii="黑体" w:hAnsi="黑体" w:eastAsia="黑体" w:cs="Times New Roman"/>
          <w:sz w:val="32"/>
          <w:szCs w:val="32"/>
        </w:rPr>
        <w:t>十、标准信息变更说明</w:t>
      </w:r>
      <w:bookmarkEnd w:id="29"/>
    </w:p>
    <w:p w14:paraId="1D82C279">
      <w:pPr>
        <w:ind w:firstLine="640" w:firstLineChars="200"/>
        <w:rPr>
          <w:rFonts w:hint="eastAsia" w:ascii="仿宋" w:hAnsi="仿宋" w:eastAsia="仿宋" w:cs="Times New Roman"/>
          <w:sz w:val="32"/>
          <w:szCs w:val="32"/>
          <w:lang w:eastAsia="zh-CN"/>
        </w:rPr>
      </w:pPr>
      <w:r>
        <w:rPr>
          <w:rFonts w:hint="eastAsia" w:ascii="仿宋" w:hAnsi="仿宋" w:eastAsia="仿宋" w:cs="Times New Roman"/>
          <w:sz w:val="32"/>
          <w:szCs w:val="32"/>
        </w:rPr>
        <w:t>标准名称、编制单位</w:t>
      </w:r>
      <w:r>
        <w:rPr>
          <w:rFonts w:hint="eastAsia" w:ascii="仿宋" w:hAnsi="仿宋" w:eastAsia="仿宋" w:cs="Times New Roman"/>
          <w:sz w:val="32"/>
          <w:szCs w:val="32"/>
          <w:lang w:val="en-US" w:eastAsia="zh-CN"/>
        </w:rPr>
        <w:t>没有</w:t>
      </w:r>
      <w:r>
        <w:rPr>
          <w:rFonts w:hint="eastAsia" w:ascii="仿宋" w:hAnsi="仿宋" w:eastAsia="仿宋" w:cs="Times New Roman"/>
          <w:sz w:val="32"/>
          <w:szCs w:val="32"/>
        </w:rPr>
        <w:t>变更</w:t>
      </w:r>
      <w:r>
        <w:rPr>
          <w:rFonts w:hint="eastAsia" w:ascii="仿宋" w:hAnsi="仿宋" w:eastAsia="仿宋" w:cs="Times New Roman"/>
          <w:sz w:val="32"/>
          <w:szCs w:val="32"/>
          <w:lang w:eastAsia="zh-CN"/>
        </w:rPr>
        <w:t>。</w:t>
      </w:r>
    </w:p>
    <w:p w14:paraId="3C6B57E6">
      <w:pPr>
        <w:ind w:firstLine="640" w:firstLineChars="200"/>
        <w:outlineLvl w:val="0"/>
        <w:rPr>
          <w:rFonts w:ascii="黑体" w:hAnsi="黑体" w:eastAsia="黑体" w:cs="Times New Roman"/>
          <w:sz w:val="32"/>
          <w:szCs w:val="32"/>
        </w:rPr>
      </w:pPr>
      <w:bookmarkStart w:id="30" w:name="_Toc2841"/>
      <w:r>
        <w:rPr>
          <w:rFonts w:hint="eastAsia" w:ascii="黑体" w:hAnsi="黑体" w:eastAsia="黑体" w:cs="Times New Roman"/>
          <w:sz w:val="32"/>
          <w:szCs w:val="32"/>
        </w:rPr>
        <w:t>十一、其他说明事项</w:t>
      </w:r>
      <w:bookmarkEnd w:id="30"/>
    </w:p>
    <w:p w14:paraId="1458645A">
      <w:pPr>
        <w:ind w:firstLine="640" w:firstLineChars="200"/>
        <w:jc w:val="left"/>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无。</w:t>
      </w:r>
    </w:p>
    <w:p w14:paraId="21010ED4">
      <w:pPr>
        <w:ind w:firstLine="640" w:firstLineChars="200"/>
        <w:jc w:val="left"/>
        <w:rPr>
          <w:rFonts w:ascii="仿宋" w:hAnsi="仿宋" w:eastAsia="仿宋" w:cs="Times New Roman"/>
          <w:sz w:val="32"/>
          <w:szCs w:val="32"/>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68829">
    <w:pPr>
      <w:pStyle w:val="8"/>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A9376">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7BA9376">
                    <w:pPr>
                      <w:pStyle w:val="8"/>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F025D"/>
    <w:multiLevelType w:val="singleLevel"/>
    <w:tmpl w:val="814F025D"/>
    <w:lvl w:ilvl="0" w:tentative="0">
      <w:start w:val="1"/>
      <w:numFmt w:val="chineseCounting"/>
      <w:suff w:val="nothing"/>
      <w:lvlText w:val="（%1）"/>
      <w:lvlJc w:val="left"/>
      <w:rPr>
        <w:rFonts w:hint="eastAsia"/>
      </w:rPr>
    </w:lvl>
  </w:abstractNum>
  <w:abstractNum w:abstractNumId="1">
    <w:nsid w:val="A5D9F1E8"/>
    <w:multiLevelType w:val="singleLevel"/>
    <w:tmpl w:val="A5D9F1E8"/>
    <w:lvl w:ilvl="0" w:tentative="0">
      <w:start w:val="2"/>
      <w:numFmt w:val="decimal"/>
      <w:suff w:val="nothing"/>
      <w:lvlText w:val="（%1）"/>
      <w:lvlJc w:val="left"/>
    </w:lvl>
  </w:abstractNum>
  <w:abstractNum w:abstractNumId="2">
    <w:nsid w:val="F6A925BE"/>
    <w:multiLevelType w:val="singleLevel"/>
    <w:tmpl w:val="F6A925BE"/>
    <w:lvl w:ilvl="0" w:tentative="0">
      <w:start w:val="5"/>
      <w:numFmt w:val="chineseCounting"/>
      <w:suff w:val="nothing"/>
      <w:lvlText w:val="%1、"/>
      <w:lvlJc w:val="left"/>
      <w:rPr>
        <w:rFonts w:hint="eastAsia"/>
      </w:rPr>
    </w:lvl>
  </w:abstractNum>
  <w:abstractNum w:abstractNumId="3">
    <w:nsid w:val="2B3FDBF3"/>
    <w:multiLevelType w:val="singleLevel"/>
    <w:tmpl w:val="2B3FDBF3"/>
    <w:lvl w:ilvl="0" w:tentative="0">
      <w:start w:val="8"/>
      <w:numFmt w:val="chineseCounting"/>
      <w:suff w:val="nothing"/>
      <w:lvlText w:val="%1、"/>
      <w:lvlJc w:val="left"/>
      <w:rPr>
        <w:rFonts w:hint="eastAsia"/>
      </w:rPr>
    </w:lvl>
  </w:abstractNum>
  <w:abstractNum w:abstractNumId="4">
    <w:nsid w:val="63E28A03"/>
    <w:multiLevelType w:val="singleLevel"/>
    <w:tmpl w:val="63E28A03"/>
    <w:lvl w:ilvl="0" w:tentative="0">
      <w:start w:val="2"/>
      <w:numFmt w:val="chineseCounting"/>
      <w:suff w:val="nothing"/>
      <w:lvlText w:val="（%1）"/>
      <w:lvlJc w:val="left"/>
      <w:rPr>
        <w:rFonts w:hint="eastAsia"/>
      </w:rPr>
    </w:lvl>
  </w:abstractNum>
  <w:abstractNum w:abstractNumId="5">
    <w:nsid w:val="68BB90DC"/>
    <w:multiLevelType w:val="singleLevel"/>
    <w:tmpl w:val="68BB90DC"/>
    <w:lvl w:ilvl="0" w:tentative="0">
      <w:start w:val="4"/>
      <w:numFmt w:val="chineseCounting"/>
      <w:suff w:val="nothing"/>
      <w:lvlText w:val="%1、"/>
      <w:lvlJc w:val="left"/>
      <w:rPr>
        <w:rFonts w:hint="eastAsia"/>
      </w:r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3"/>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768AE9D9"/>
    <w:multiLevelType w:val="singleLevel"/>
    <w:tmpl w:val="768AE9D9"/>
    <w:lvl w:ilvl="0" w:tentative="0">
      <w:start w:val="1"/>
      <w:numFmt w:val="decimalEnclosedCircleChinese"/>
      <w:suff w:val="nothing"/>
      <w:lvlText w:val="%1　"/>
      <w:lvlJc w:val="left"/>
      <w:pPr>
        <w:ind w:left="0" w:firstLine="400"/>
      </w:pPr>
      <w:rPr>
        <w:rFonts w:hint="eastAsia"/>
      </w:rPr>
    </w:lvl>
  </w:abstractNum>
  <w:abstractNum w:abstractNumId="8">
    <w:nsid w:val="7E3C6E0C"/>
    <w:multiLevelType w:val="singleLevel"/>
    <w:tmpl w:val="7E3C6E0C"/>
    <w:lvl w:ilvl="0" w:tentative="0">
      <w:start w:val="1"/>
      <w:numFmt w:val="chineseCounting"/>
      <w:suff w:val="nothing"/>
      <w:lvlText w:val="（%1）"/>
      <w:lvlJc w:val="left"/>
      <w:rPr>
        <w:rFonts w:hint="eastAsia"/>
      </w:rPr>
    </w:lvl>
  </w:abstractNum>
  <w:num w:numId="1">
    <w:abstractNumId w:val="6"/>
  </w:num>
  <w:num w:numId="2">
    <w:abstractNumId w:val="4"/>
  </w:num>
  <w:num w:numId="3">
    <w:abstractNumId w:val="1"/>
  </w:num>
  <w:num w:numId="4">
    <w:abstractNumId w:val="7"/>
  </w:num>
  <w:num w:numId="5">
    <w:abstractNumId w:val="5"/>
  </w:num>
  <w:num w:numId="6">
    <w:abstractNumId w:val="0"/>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5YzliOWRjZjlkOTI1YzFhNjExYzE0ZjZmOTc4NjkifQ=="/>
  </w:docVars>
  <w:rsids>
    <w:rsidRoot w:val="00E51A0C"/>
    <w:rsid w:val="00052486"/>
    <w:rsid w:val="00074686"/>
    <w:rsid w:val="000A566E"/>
    <w:rsid w:val="000C05E9"/>
    <w:rsid w:val="000C5D28"/>
    <w:rsid w:val="000D4642"/>
    <w:rsid w:val="000E15EA"/>
    <w:rsid w:val="00105D22"/>
    <w:rsid w:val="001156FC"/>
    <w:rsid w:val="0017309A"/>
    <w:rsid w:val="001B525A"/>
    <w:rsid w:val="001B6ADF"/>
    <w:rsid w:val="001C1D7C"/>
    <w:rsid w:val="001D76E0"/>
    <w:rsid w:val="001E3D61"/>
    <w:rsid w:val="002460D7"/>
    <w:rsid w:val="002F3E9A"/>
    <w:rsid w:val="003077D5"/>
    <w:rsid w:val="0032118C"/>
    <w:rsid w:val="0037303D"/>
    <w:rsid w:val="00373819"/>
    <w:rsid w:val="003D027F"/>
    <w:rsid w:val="003E06B8"/>
    <w:rsid w:val="003E4B8D"/>
    <w:rsid w:val="0041325E"/>
    <w:rsid w:val="004478E7"/>
    <w:rsid w:val="00460621"/>
    <w:rsid w:val="0046548D"/>
    <w:rsid w:val="004C49BD"/>
    <w:rsid w:val="004E6763"/>
    <w:rsid w:val="00523B28"/>
    <w:rsid w:val="00525DAD"/>
    <w:rsid w:val="00530A88"/>
    <w:rsid w:val="00545EC0"/>
    <w:rsid w:val="00567797"/>
    <w:rsid w:val="00594039"/>
    <w:rsid w:val="005A3B1C"/>
    <w:rsid w:val="005A6F26"/>
    <w:rsid w:val="005B763E"/>
    <w:rsid w:val="00615776"/>
    <w:rsid w:val="006168D1"/>
    <w:rsid w:val="006D2F6F"/>
    <w:rsid w:val="006D598A"/>
    <w:rsid w:val="006E118F"/>
    <w:rsid w:val="007204E3"/>
    <w:rsid w:val="00743F8E"/>
    <w:rsid w:val="00752445"/>
    <w:rsid w:val="0075529A"/>
    <w:rsid w:val="007610C1"/>
    <w:rsid w:val="00762622"/>
    <w:rsid w:val="00767663"/>
    <w:rsid w:val="007B43B5"/>
    <w:rsid w:val="00816B2D"/>
    <w:rsid w:val="00845792"/>
    <w:rsid w:val="008513C4"/>
    <w:rsid w:val="00877FC7"/>
    <w:rsid w:val="008A6883"/>
    <w:rsid w:val="008C4B23"/>
    <w:rsid w:val="009166FA"/>
    <w:rsid w:val="00916BA0"/>
    <w:rsid w:val="009374D9"/>
    <w:rsid w:val="00952746"/>
    <w:rsid w:val="009A1C58"/>
    <w:rsid w:val="009B7BE3"/>
    <w:rsid w:val="009E43C5"/>
    <w:rsid w:val="00A071F5"/>
    <w:rsid w:val="00A362BA"/>
    <w:rsid w:val="00A543BC"/>
    <w:rsid w:val="00A55ED2"/>
    <w:rsid w:val="00A8065C"/>
    <w:rsid w:val="00A911B5"/>
    <w:rsid w:val="00AF3798"/>
    <w:rsid w:val="00B03D71"/>
    <w:rsid w:val="00B16D5D"/>
    <w:rsid w:val="00B21535"/>
    <w:rsid w:val="00B410A8"/>
    <w:rsid w:val="00B80666"/>
    <w:rsid w:val="00BB2831"/>
    <w:rsid w:val="00BC5EA8"/>
    <w:rsid w:val="00BD0EAC"/>
    <w:rsid w:val="00BD3109"/>
    <w:rsid w:val="00C02B60"/>
    <w:rsid w:val="00C14660"/>
    <w:rsid w:val="00C94CD0"/>
    <w:rsid w:val="00CC4459"/>
    <w:rsid w:val="00D11584"/>
    <w:rsid w:val="00D3687A"/>
    <w:rsid w:val="00D77FF0"/>
    <w:rsid w:val="00DB45EA"/>
    <w:rsid w:val="00DD5376"/>
    <w:rsid w:val="00E51A0C"/>
    <w:rsid w:val="00E72F87"/>
    <w:rsid w:val="00E82DC6"/>
    <w:rsid w:val="00EB42CE"/>
    <w:rsid w:val="00EC6705"/>
    <w:rsid w:val="00EE4BCB"/>
    <w:rsid w:val="00F0559E"/>
    <w:rsid w:val="00F75EFF"/>
    <w:rsid w:val="00FA46D2"/>
    <w:rsid w:val="00FC3B88"/>
    <w:rsid w:val="01764936"/>
    <w:rsid w:val="04520E02"/>
    <w:rsid w:val="04661042"/>
    <w:rsid w:val="076B3AA9"/>
    <w:rsid w:val="09BE25B6"/>
    <w:rsid w:val="0C987EE3"/>
    <w:rsid w:val="0D5D20E6"/>
    <w:rsid w:val="0D6C2329"/>
    <w:rsid w:val="0D821B4C"/>
    <w:rsid w:val="0DC12675"/>
    <w:rsid w:val="0EAA5AA5"/>
    <w:rsid w:val="15915971"/>
    <w:rsid w:val="181C64C3"/>
    <w:rsid w:val="1D104E5D"/>
    <w:rsid w:val="1D7E38F7"/>
    <w:rsid w:val="1F193E41"/>
    <w:rsid w:val="1F1C7A27"/>
    <w:rsid w:val="1F38650F"/>
    <w:rsid w:val="234F23BC"/>
    <w:rsid w:val="2492046F"/>
    <w:rsid w:val="250033F3"/>
    <w:rsid w:val="273852FE"/>
    <w:rsid w:val="27476007"/>
    <w:rsid w:val="28AD3ACA"/>
    <w:rsid w:val="28D818B2"/>
    <w:rsid w:val="2ACE31F1"/>
    <w:rsid w:val="2D2A56E9"/>
    <w:rsid w:val="2E1168A9"/>
    <w:rsid w:val="2EB55486"/>
    <w:rsid w:val="30A51AE0"/>
    <w:rsid w:val="311D68D4"/>
    <w:rsid w:val="323D106E"/>
    <w:rsid w:val="33831684"/>
    <w:rsid w:val="35EE7C50"/>
    <w:rsid w:val="39600B43"/>
    <w:rsid w:val="3BD3420D"/>
    <w:rsid w:val="3CFE3D98"/>
    <w:rsid w:val="3DE90BC1"/>
    <w:rsid w:val="3F5277EA"/>
    <w:rsid w:val="45236EB9"/>
    <w:rsid w:val="4CE92A73"/>
    <w:rsid w:val="4D07739D"/>
    <w:rsid w:val="4FC14809"/>
    <w:rsid w:val="517C7CB0"/>
    <w:rsid w:val="544B5DC1"/>
    <w:rsid w:val="554679AF"/>
    <w:rsid w:val="5CEB0141"/>
    <w:rsid w:val="5D331AE8"/>
    <w:rsid w:val="5D5D42BA"/>
    <w:rsid w:val="5FE1582B"/>
    <w:rsid w:val="60F04023"/>
    <w:rsid w:val="61443DF6"/>
    <w:rsid w:val="61840B64"/>
    <w:rsid w:val="62990DA1"/>
    <w:rsid w:val="62B66CCB"/>
    <w:rsid w:val="6324615B"/>
    <w:rsid w:val="65A705D2"/>
    <w:rsid w:val="66595417"/>
    <w:rsid w:val="685968A7"/>
    <w:rsid w:val="6B8D62E6"/>
    <w:rsid w:val="6C7C1AE6"/>
    <w:rsid w:val="6FA0300D"/>
    <w:rsid w:val="710C022E"/>
    <w:rsid w:val="71A87F57"/>
    <w:rsid w:val="733F59FB"/>
    <w:rsid w:val="73FC5259"/>
    <w:rsid w:val="755A3C5E"/>
    <w:rsid w:val="76C5533A"/>
    <w:rsid w:val="77984B85"/>
    <w:rsid w:val="7AAD65DE"/>
    <w:rsid w:val="7C321491"/>
    <w:rsid w:val="7CD24616"/>
    <w:rsid w:val="7D495FDF"/>
    <w:rsid w:val="7E540ABD"/>
    <w:rsid w:val="7EAF0D19"/>
    <w:rsid w:val="7FEC1A64"/>
    <w:rsid w:val="7FF87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spacing w:after="120"/>
      <w:ind w:left="420" w:leftChars="200"/>
    </w:pPr>
    <w:rPr>
      <w:rFonts w:ascii="Times New Roman" w:hAnsi="Times New Roman" w:cs="Times New Roman"/>
    </w:rPr>
  </w:style>
  <w:style w:type="paragraph" w:styleId="7">
    <w:name w:val="Balloon Text"/>
    <w:basedOn w:val="1"/>
    <w:link w:val="18"/>
    <w:qFormat/>
    <w:uiPriority w:val="0"/>
    <w:rPr>
      <w:rFonts w:asciiTheme="majorHAnsi" w:hAnsiTheme="majorHAnsi" w:eastAsiaTheme="majorEastAsia" w:cstheme="majorBidi"/>
      <w:sz w:val="18"/>
      <w:szCs w:val="18"/>
    </w:rPr>
  </w:style>
  <w:style w:type="paragraph" w:styleId="8">
    <w:name w:val="footer"/>
    <w:basedOn w:val="1"/>
    <w:link w:val="17"/>
    <w:qFormat/>
    <w:uiPriority w:val="0"/>
    <w:pPr>
      <w:tabs>
        <w:tab w:val="center" w:pos="4153"/>
        <w:tab w:val="right" w:pos="8306"/>
      </w:tabs>
      <w:snapToGrid w:val="0"/>
    </w:pPr>
    <w:rPr>
      <w:sz w:val="20"/>
      <w:szCs w:val="20"/>
    </w:rPr>
  </w:style>
  <w:style w:type="paragraph" w:styleId="9">
    <w:name w:val="header"/>
    <w:basedOn w:val="1"/>
    <w:link w:val="16"/>
    <w:qFormat/>
    <w:uiPriority w:val="0"/>
    <w:pPr>
      <w:tabs>
        <w:tab w:val="center" w:pos="4153"/>
        <w:tab w:val="right" w:pos="8306"/>
      </w:tabs>
      <w:snapToGrid w:val="0"/>
    </w:pPr>
    <w:rPr>
      <w:sz w:val="20"/>
      <w:szCs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2"/>
    <w:basedOn w:val="6"/>
    <w:qFormat/>
    <w:uiPriority w:val="0"/>
    <w:pPr>
      <w:ind w:firstLine="420" w:firstLineChars="200"/>
    </w:pPr>
    <w:rPr>
      <w:rFonts w:ascii="Calibri" w:hAnsi="Calibri" w:eastAsia="宋体"/>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customStyle="1" w:styleId="16">
    <w:name w:val="页眉 字符"/>
    <w:basedOn w:val="14"/>
    <w:link w:val="9"/>
    <w:qFormat/>
    <w:uiPriority w:val="0"/>
    <w:rPr>
      <w:kern w:val="2"/>
      <w:lang w:eastAsia="zh-CN"/>
    </w:rPr>
  </w:style>
  <w:style w:type="character" w:customStyle="1" w:styleId="17">
    <w:name w:val="页脚 字符"/>
    <w:basedOn w:val="14"/>
    <w:link w:val="8"/>
    <w:qFormat/>
    <w:uiPriority w:val="0"/>
    <w:rPr>
      <w:kern w:val="2"/>
      <w:lang w:eastAsia="zh-CN"/>
    </w:rPr>
  </w:style>
  <w:style w:type="character" w:customStyle="1" w:styleId="18">
    <w:name w:val="批注框文本 字符"/>
    <w:basedOn w:val="14"/>
    <w:link w:val="7"/>
    <w:qFormat/>
    <w:uiPriority w:val="0"/>
    <w:rPr>
      <w:rFonts w:asciiTheme="majorHAnsi" w:hAnsiTheme="majorHAnsi" w:eastAsiaTheme="majorEastAsia" w:cstheme="majorBidi"/>
      <w:kern w:val="2"/>
      <w:sz w:val="18"/>
      <w:szCs w:val="18"/>
      <w:lang w:eastAsia="zh-CN"/>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20">
    <w:name w:val="List Paragraph"/>
    <w:basedOn w:val="1"/>
    <w:autoRedefine/>
    <w:qFormat/>
    <w:uiPriority w:val="1"/>
    <w:pPr>
      <w:ind w:left="688" w:hanging="397"/>
    </w:p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标准文件_章标题"/>
    <w:next w:val="1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1620</Words>
  <Characters>1651</Characters>
  <Lines>6</Lines>
  <Paragraphs>1</Paragraphs>
  <TotalTime>0</TotalTime>
  <ScaleCrop>false</ScaleCrop>
  <LinksUpToDate>false</LinksUpToDate>
  <CharactersWithSpaces>1654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2023-09-21T09:26:00Z</dcterms:created>
  <dc:creator>echo</dc:creator>
  <cp:lastModifiedBy>Elizabeth</cp:lastModifiedBy>
  <dcterms:modified xsi:type="dcterms:W3CDTF">2025-08-21T06:02:27Z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ADC8E833ACCE4400BDFC52A83A58D8A6</vt:lpwstr>
  </property>
  <property fmtid="{D5CDD505-2E9C-101B-9397-08002B2CF9AE}" pid="4" name="KSOTemplateDocerSaveRecord">
    <vt:lpwstr>eyJoZGlkIjoiYjc5YzliOWRjZjlkOTI1YzFhNjExYzE0ZjZmOTc4NjkiLCJ1c2VySWQiOiI3NzY1NTU2ODQifQ==</vt:lpwstr>
  </property>
</Properties>
</file>