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AF73">
      <w:pPr>
        <w:spacing w:line="20" w:lineRule="exact"/>
        <w:jc w:val="center"/>
        <w:rPr>
          <w:rFonts w:hint="eastAsia" w:ascii="黑体" w:hAnsi="黑体" w:eastAsia="黑体"/>
          <w:color w:val="auto"/>
          <w:sz w:val="32"/>
          <w:szCs w:val="32"/>
        </w:rPr>
      </w:pPr>
      <w:bookmarkStart w:id="0" w:name="BookMark4"/>
    </w:p>
    <w:p w14:paraId="485B9DD4">
      <w:pPr>
        <w:spacing w:line="20" w:lineRule="exact"/>
        <w:jc w:val="center"/>
        <w:rPr>
          <w:rFonts w:hint="eastAsia" w:ascii="黑体" w:hAnsi="黑体" w:eastAsia="黑体"/>
          <w:color w:val="auto"/>
          <w:sz w:val="32"/>
          <w:szCs w:val="32"/>
        </w:rPr>
      </w:pPr>
    </w:p>
    <w:sdt>
      <w:sdtPr>
        <w:rPr>
          <w:color w:val="auto"/>
          <w:sz w:val="36"/>
          <w:szCs w:val="36"/>
        </w:rPr>
        <w:tag w:val="NEW_STAND_NAME"/>
        <w:id w:val="595910757"/>
        <w:lock w:val="sdtLocked"/>
        <w:placeholder>
          <w:docPart w:val="E7AD802B8F3949E7ACC9EE809326D477"/>
        </w:placeholder>
      </w:sdtPr>
      <w:sdtEndPr>
        <w:rPr>
          <w:color w:val="auto"/>
        </w:rPr>
      </w:sdtEndPr>
      <w:sdtContent>
        <w:p w14:paraId="0FE02250">
          <w:pPr>
            <w:pStyle w:val="180"/>
            <w:keepNext w:val="0"/>
            <w:keepLines w:val="0"/>
            <w:pageBreakBefore w:val="0"/>
            <w:widowControl/>
            <w:kinsoku/>
            <w:wordWrap/>
            <w:overflowPunct/>
            <w:topLinePunct w:val="0"/>
            <w:autoSpaceDE/>
            <w:autoSpaceDN/>
            <w:bidi w:val="0"/>
            <w:adjustRightInd/>
            <w:snapToGrid/>
            <w:spacing w:before="240" w:beforeLines="100" w:after="313" w:afterLines="100" w:line="240" w:lineRule="auto"/>
            <w:textAlignment w:val="auto"/>
            <w:rPr>
              <w:rFonts w:hint="eastAsia"/>
              <w:color w:val="auto"/>
              <w:sz w:val="36"/>
              <w:szCs w:val="36"/>
            </w:rPr>
          </w:pPr>
          <w:bookmarkStart w:id="1" w:name="NEW_STAND_NAME"/>
          <w:r>
            <w:rPr>
              <w:rFonts w:hint="eastAsia"/>
              <w:color w:val="auto"/>
              <w:sz w:val="36"/>
              <w:szCs w:val="36"/>
            </w:rPr>
            <w:t>超级能效工厂评价导则</w:t>
          </w:r>
        </w:p>
        <w:p w14:paraId="7DC299B1">
          <w:pPr>
            <w:pStyle w:val="180"/>
            <w:keepNext w:val="0"/>
            <w:keepLines w:val="0"/>
            <w:pageBreakBefore w:val="0"/>
            <w:widowControl/>
            <w:kinsoku/>
            <w:wordWrap/>
            <w:overflowPunct/>
            <w:topLinePunct w:val="0"/>
            <w:autoSpaceDE/>
            <w:autoSpaceDN/>
            <w:bidi w:val="0"/>
            <w:adjustRightInd/>
            <w:snapToGrid/>
            <w:spacing w:before="240" w:beforeLines="100" w:after="313" w:afterLines="100" w:line="240" w:lineRule="auto"/>
            <w:textAlignment w:val="auto"/>
            <w:rPr>
              <w:rFonts w:hint="eastAsia"/>
              <w:color w:val="auto"/>
            </w:rPr>
          </w:pPr>
          <w:r>
            <w:rPr>
              <w:rFonts w:hint="eastAsia"/>
              <w:color w:val="auto"/>
              <w:lang w:eastAsia="zh-CN"/>
            </w:rPr>
            <w:t>（</w:t>
          </w:r>
          <w:r>
            <w:rPr>
              <w:rFonts w:hint="eastAsia"/>
              <w:color w:val="auto"/>
              <w:lang w:val="en-US" w:eastAsia="zh-CN"/>
            </w:rPr>
            <w:t>征求意见稿</w:t>
          </w:r>
          <w:r>
            <w:rPr>
              <w:rFonts w:hint="eastAsia"/>
              <w:color w:val="auto"/>
              <w:lang w:eastAsia="zh-CN"/>
            </w:rPr>
            <w:t>）</w:t>
          </w:r>
        </w:p>
      </w:sdtContent>
    </w:sdt>
    <w:bookmarkEnd w:id="1"/>
    <w:p w14:paraId="2D8F06AD">
      <w:pPr>
        <w:pStyle w:val="107"/>
        <w:spacing w:before="240" w:after="240"/>
        <w:rPr>
          <w:color w:val="auto"/>
        </w:rPr>
      </w:pPr>
      <w:bookmarkStart w:id="2" w:name="_Toc26718930"/>
      <w:bookmarkStart w:id="3" w:name="_Toc26648465"/>
      <w:bookmarkStart w:id="4" w:name="_Toc97192964"/>
      <w:bookmarkStart w:id="5" w:name="_Toc17233325"/>
      <w:bookmarkStart w:id="6" w:name="_Toc26986530"/>
      <w:bookmarkStart w:id="7" w:name="_Toc24884211"/>
      <w:bookmarkStart w:id="8" w:name="_Toc24884218"/>
      <w:bookmarkStart w:id="9" w:name="_Toc17233333"/>
      <w:bookmarkStart w:id="10" w:name="_Toc26986771"/>
      <w:r>
        <w:rPr>
          <w:rFonts w:hint="eastAsia"/>
          <w:color w:val="auto"/>
        </w:rPr>
        <w:t>范围</w:t>
      </w:r>
      <w:bookmarkEnd w:id="2"/>
      <w:bookmarkEnd w:id="3"/>
      <w:bookmarkEnd w:id="4"/>
      <w:bookmarkEnd w:id="5"/>
      <w:bookmarkEnd w:id="6"/>
      <w:bookmarkEnd w:id="7"/>
      <w:bookmarkEnd w:id="8"/>
      <w:bookmarkEnd w:id="9"/>
      <w:bookmarkEnd w:id="10"/>
    </w:p>
    <w:p w14:paraId="62FFD990">
      <w:pPr>
        <w:pStyle w:val="59"/>
        <w:ind w:firstLine="420"/>
        <w:rPr>
          <w:color w:val="auto"/>
        </w:rPr>
      </w:pPr>
      <w:bookmarkStart w:id="11" w:name="_Toc24884219"/>
      <w:bookmarkStart w:id="12" w:name="_Toc17233334"/>
      <w:bookmarkStart w:id="13" w:name="_Toc24884212"/>
      <w:bookmarkStart w:id="14" w:name="_Toc17233326"/>
      <w:bookmarkStart w:id="15" w:name="_Toc26648466"/>
      <w:r>
        <w:rPr>
          <w:rFonts w:hint="eastAsia"/>
          <w:color w:val="auto"/>
        </w:rPr>
        <w:t>本文件规定了超级能效工厂评价的基本要求、评价要求。</w:t>
      </w:r>
    </w:p>
    <w:p w14:paraId="0C4A446E">
      <w:pPr>
        <w:pStyle w:val="59"/>
        <w:ind w:firstLine="420"/>
        <w:rPr>
          <w:color w:val="auto"/>
        </w:rPr>
      </w:pPr>
      <w:r>
        <w:rPr>
          <w:rFonts w:hint="eastAsia"/>
          <w:color w:val="auto"/>
        </w:rPr>
        <w:t>本文件适用于超级能效工厂的评价活动。</w:t>
      </w:r>
    </w:p>
    <w:p w14:paraId="182FDEA5">
      <w:pPr>
        <w:pStyle w:val="107"/>
        <w:spacing w:before="240" w:after="240"/>
        <w:rPr>
          <w:color w:val="auto"/>
        </w:rPr>
      </w:pPr>
      <w:bookmarkStart w:id="16" w:name="_Toc26986531"/>
      <w:bookmarkStart w:id="17" w:name="_Toc26718931"/>
      <w:bookmarkStart w:id="18" w:name="_Toc97192965"/>
      <w:bookmarkStart w:id="19" w:name="_Toc26986772"/>
      <w:r>
        <w:rPr>
          <w:rFonts w:hint="eastAsia"/>
          <w:color w:val="auto"/>
        </w:rPr>
        <w:t>规范性引用文件</w:t>
      </w:r>
      <w:bookmarkEnd w:id="11"/>
      <w:bookmarkEnd w:id="12"/>
      <w:bookmarkEnd w:id="13"/>
      <w:bookmarkEnd w:id="14"/>
      <w:bookmarkEnd w:id="15"/>
      <w:bookmarkEnd w:id="16"/>
      <w:bookmarkEnd w:id="17"/>
      <w:bookmarkEnd w:id="18"/>
      <w:bookmarkEnd w:id="19"/>
    </w:p>
    <w:sdt>
      <w:sdtPr>
        <w:rPr>
          <w:rFonts w:hint="eastAsia"/>
          <w:color w:val="auto"/>
        </w:rPr>
        <w:id w:val="715848253"/>
        <w:placeholder>
          <w:docPart w:val="64EBE43CB4BE4FEF9D02A469265434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7F7D19A2">
          <w:pPr>
            <w:pStyle w:val="59"/>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4D56CE">
      <w:pPr>
        <w:pStyle w:val="59"/>
        <w:ind w:firstLine="420"/>
        <w:rPr>
          <w:color w:val="auto"/>
        </w:rPr>
      </w:pPr>
      <w:r>
        <w:rPr>
          <w:rFonts w:hint="eastAsia"/>
          <w:color w:val="auto"/>
        </w:rPr>
        <w:t xml:space="preserve">GB/T 2589  </w:t>
      </w:r>
      <w:r>
        <w:rPr>
          <w:rFonts w:hint="eastAsia"/>
          <w:color w:val="auto"/>
          <w:lang w:val="en-US" w:eastAsia="zh-CN"/>
        </w:rPr>
        <w:t xml:space="preserve"> </w:t>
      </w:r>
      <w:r>
        <w:rPr>
          <w:rFonts w:hint="eastAsia"/>
          <w:color w:val="auto"/>
        </w:rPr>
        <w:t>综合能耗计算通则</w:t>
      </w:r>
    </w:p>
    <w:p w14:paraId="1B081FE3">
      <w:pPr>
        <w:pStyle w:val="59"/>
        <w:ind w:firstLine="420"/>
        <w:rPr>
          <w:color w:val="auto"/>
        </w:rPr>
      </w:pPr>
      <w:r>
        <w:rPr>
          <w:rFonts w:hint="eastAsia"/>
          <w:color w:val="auto"/>
        </w:rPr>
        <w:t>GB/T 17166</w:t>
      </w:r>
      <w:r>
        <w:rPr>
          <w:color w:val="auto"/>
        </w:rPr>
        <w:t xml:space="preserve">  </w:t>
      </w:r>
      <w:r>
        <w:rPr>
          <w:rFonts w:hint="eastAsia"/>
          <w:color w:val="auto"/>
        </w:rPr>
        <w:t>能源审计技术通则</w:t>
      </w:r>
    </w:p>
    <w:p w14:paraId="21BC1578">
      <w:pPr>
        <w:pStyle w:val="59"/>
        <w:ind w:firstLine="420"/>
        <w:rPr>
          <w:color w:val="auto"/>
        </w:rPr>
      </w:pPr>
      <w:r>
        <w:rPr>
          <w:rFonts w:hint="eastAsia"/>
          <w:color w:val="auto"/>
        </w:rPr>
        <w:t>GB 17167</w:t>
      </w:r>
      <w:r>
        <w:rPr>
          <w:color w:val="auto"/>
        </w:rPr>
        <w:t xml:space="preserve">  </w:t>
      </w:r>
      <w:r>
        <w:rPr>
          <w:rFonts w:hint="eastAsia"/>
          <w:color w:val="auto"/>
          <w:lang w:val="en-US" w:eastAsia="zh-CN"/>
        </w:rPr>
        <w:t xml:space="preserve">  </w:t>
      </w:r>
      <w:r>
        <w:rPr>
          <w:rFonts w:hint="eastAsia"/>
          <w:color w:val="auto"/>
        </w:rPr>
        <w:t>用能单位能源计量器具配备和管理通则</w:t>
      </w:r>
    </w:p>
    <w:p w14:paraId="47905371">
      <w:pPr>
        <w:pStyle w:val="59"/>
        <w:ind w:firstLine="420"/>
        <w:rPr>
          <w:color w:val="auto"/>
        </w:rPr>
      </w:pPr>
      <w:r>
        <w:rPr>
          <w:rFonts w:hint="eastAsia"/>
          <w:color w:val="auto"/>
        </w:rPr>
        <w:t xml:space="preserve">GB/T 23331 </w:t>
      </w:r>
      <w:r>
        <w:rPr>
          <w:color w:val="auto"/>
        </w:rPr>
        <w:t xml:space="preserve"> </w:t>
      </w:r>
      <w:r>
        <w:rPr>
          <w:rFonts w:hint="eastAsia"/>
          <w:color w:val="auto"/>
        </w:rPr>
        <w:t>能源管理体系  要求及使用指南</w:t>
      </w:r>
    </w:p>
    <w:p w14:paraId="623435BC">
      <w:pPr>
        <w:pStyle w:val="59"/>
        <w:ind w:firstLine="420"/>
        <w:rPr>
          <w:color w:val="auto"/>
        </w:rPr>
      </w:pPr>
      <w:r>
        <w:rPr>
          <w:rFonts w:hint="eastAsia"/>
          <w:color w:val="auto"/>
        </w:rPr>
        <w:t>GB/T 24789  用水单位水计量器具配备和管理通则</w:t>
      </w:r>
    </w:p>
    <w:p w14:paraId="06DDEE65">
      <w:pPr>
        <w:pStyle w:val="59"/>
        <w:ind w:firstLine="420"/>
        <w:rPr>
          <w:color w:val="auto"/>
        </w:rPr>
      </w:pPr>
      <w:r>
        <w:rPr>
          <w:rFonts w:hint="eastAsia"/>
          <w:color w:val="auto"/>
        </w:rPr>
        <w:t xml:space="preserve">GB/T 36714 </w:t>
      </w:r>
      <w:r>
        <w:rPr>
          <w:color w:val="auto"/>
        </w:rPr>
        <w:t xml:space="preserve"> </w:t>
      </w:r>
      <w:r>
        <w:rPr>
          <w:rFonts w:hint="eastAsia"/>
          <w:color w:val="auto"/>
        </w:rPr>
        <w:t>用能单位能效对标指南</w:t>
      </w:r>
    </w:p>
    <w:p w14:paraId="0B0F5217">
      <w:pPr>
        <w:pStyle w:val="107"/>
        <w:spacing w:before="240" w:after="240"/>
        <w:rPr>
          <w:color w:val="auto"/>
        </w:rPr>
      </w:pPr>
      <w:bookmarkStart w:id="20" w:name="_Toc97192966"/>
      <w:r>
        <w:rPr>
          <w:rFonts w:hint="eastAsia"/>
          <w:color w:val="auto"/>
          <w:szCs w:val="21"/>
        </w:rPr>
        <w:t>术语和定义</w:t>
      </w:r>
      <w:bookmarkEnd w:id="20"/>
    </w:p>
    <w:sdt>
      <w:sdtPr>
        <w:rPr>
          <w:color w:val="auto"/>
        </w:rPr>
        <w:id w:val="-1909835108"/>
        <w:placeholder>
          <w:docPart w:val="338125A0CCD54D32BCF5ED7C6DDAE95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65CCF513">
          <w:pPr>
            <w:pStyle w:val="59"/>
            <w:ind w:firstLine="420"/>
            <w:rPr>
              <w:color w:val="auto"/>
            </w:rPr>
          </w:pPr>
          <w:bookmarkStart w:id="21" w:name="_Toc26986532"/>
          <w:bookmarkEnd w:id="21"/>
          <w:r>
            <w:rPr>
              <w:color w:val="auto"/>
            </w:rPr>
            <w:t>GB 17167、</w:t>
          </w:r>
          <w:r>
            <w:rPr>
              <w:rFonts w:hint="eastAsia"/>
              <w:color w:val="auto"/>
            </w:rPr>
            <w:t>GB/T 2589</w:t>
          </w:r>
          <w:r>
            <w:rPr>
              <w:color w:val="auto"/>
            </w:rPr>
            <w:t>界定的以及下列术语和定义适用于本文件。</w:t>
          </w:r>
        </w:p>
      </w:sdtContent>
    </w:sdt>
    <w:p w14:paraId="02E2C701">
      <w:pPr>
        <w:pStyle w:val="226"/>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超级能效工厂</w:t>
      </w:r>
      <w:r>
        <w:rPr>
          <w:rFonts w:ascii="黑体" w:hAnsi="黑体" w:eastAsia="黑体"/>
          <w:color w:val="auto"/>
        </w:rPr>
        <w:t xml:space="preserve">  </w:t>
      </w:r>
      <w:r>
        <w:rPr>
          <w:rFonts w:hint="eastAsia" w:ascii="黑体" w:hAnsi="黑体" w:eastAsia="黑体"/>
          <w:color w:val="auto"/>
        </w:rPr>
        <w:t>super energy efficient factory</w:t>
      </w:r>
    </w:p>
    <w:p w14:paraId="50F91075">
      <w:pPr>
        <w:pStyle w:val="59"/>
        <w:ind w:firstLine="420"/>
        <w:rPr>
          <w:color w:val="auto"/>
        </w:rPr>
      </w:pPr>
      <w:r>
        <w:rPr>
          <w:rFonts w:hint="eastAsia"/>
          <w:color w:val="auto"/>
        </w:rPr>
        <w:t>全面采用节能先进前沿工艺技术装备，能源利用效率和市场竞争力在同行业内处于国内外领先水平的工业企业。</w:t>
      </w:r>
    </w:p>
    <w:p w14:paraId="7DF940F4">
      <w:pPr>
        <w:pStyle w:val="226"/>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能效对标 </w:t>
      </w:r>
      <w:r>
        <w:rPr>
          <w:rFonts w:ascii="黑体" w:hAnsi="黑体" w:eastAsia="黑体"/>
          <w:color w:val="auto"/>
        </w:rPr>
        <w:t xml:space="preserve"> </w:t>
      </w:r>
      <w:r>
        <w:rPr>
          <w:rFonts w:hint="eastAsia" w:ascii="黑体" w:hAnsi="黑体" w:eastAsia="黑体"/>
          <w:color w:val="auto"/>
        </w:rPr>
        <w:t>energy efficiency benchmarking</w:t>
      </w:r>
    </w:p>
    <w:p w14:paraId="5E3DC96C">
      <w:pPr>
        <w:pStyle w:val="59"/>
        <w:ind w:firstLine="420"/>
        <w:rPr>
          <w:color w:val="auto"/>
        </w:rPr>
      </w:pPr>
      <w:r>
        <w:rPr>
          <w:rFonts w:hint="eastAsia"/>
          <w:color w:val="auto"/>
        </w:rPr>
        <w:t>用能单位对其能源利用效率及能源利用的相关指标进行收集整理,并与先进能效水平进行对比分析，确定能效标杆、寻找差距、制定改进方案、实施改造、评估、持续改进的实践活动。</w:t>
      </w:r>
    </w:p>
    <w:p w14:paraId="03652CF3">
      <w:pPr>
        <w:pStyle w:val="59"/>
        <w:ind w:firstLine="420"/>
        <w:rPr>
          <w:color w:val="auto"/>
        </w:rPr>
      </w:pPr>
      <w:r>
        <w:rPr>
          <w:rFonts w:hint="eastAsia"/>
          <w:color w:val="auto"/>
        </w:rPr>
        <w:t>[来源：GB/T 36714—2018，3.2]</w:t>
      </w:r>
    </w:p>
    <w:p w14:paraId="5B7A0B4A">
      <w:pPr>
        <w:pStyle w:val="226"/>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单位产品综合能耗 </w:t>
      </w:r>
      <w:r>
        <w:rPr>
          <w:rFonts w:ascii="黑体" w:hAnsi="黑体" w:eastAsia="黑体"/>
          <w:color w:val="auto"/>
        </w:rPr>
        <w:t xml:space="preserve"> </w:t>
      </w:r>
      <w:r>
        <w:rPr>
          <w:rFonts w:hint="eastAsia" w:ascii="黑体" w:hAnsi="黑体" w:eastAsia="黑体"/>
          <w:color w:val="auto"/>
        </w:rPr>
        <w:t>comprehensive energy consumption for unit output of product</w:t>
      </w:r>
    </w:p>
    <w:p w14:paraId="74100BBE">
      <w:pPr>
        <w:pStyle w:val="59"/>
        <w:ind w:firstLine="420"/>
        <w:rPr>
          <w:color w:val="auto"/>
        </w:rPr>
      </w:pPr>
      <w:r>
        <w:rPr>
          <w:rFonts w:hint="eastAsia"/>
          <w:color w:val="auto"/>
        </w:rPr>
        <w:t>统计报告期内,综合能耗与合格产品产量(作业量、工作量、服务量)的比值。</w:t>
      </w:r>
    </w:p>
    <w:p w14:paraId="269F6D83">
      <w:pPr>
        <w:pStyle w:val="59"/>
        <w:ind w:firstLine="420"/>
        <w:rPr>
          <w:color w:val="auto"/>
        </w:rPr>
      </w:pPr>
      <w:r>
        <w:rPr>
          <w:rFonts w:hint="eastAsia"/>
          <w:color w:val="auto"/>
        </w:rPr>
        <w:t>[来源：GB/T 2589—2020，3.7]</w:t>
      </w:r>
    </w:p>
    <w:p w14:paraId="4D390D3C">
      <w:pPr>
        <w:pStyle w:val="107"/>
        <w:spacing w:before="240" w:after="240"/>
        <w:rPr>
          <w:color w:val="auto"/>
        </w:rPr>
      </w:pPr>
      <w:r>
        <w:rPr>
          <w:rFonts w:hint="eastAsia"/>
          <w:color w:val="auto"/>
        </w:rPr>
        <w:t>基本要求</w:t>
      </w:r>
      <w:bookmarkStart w:id="27" w:name="_GoBack"/>
      <w:bookmarkEnd w:id="27"/>
    </w:p>
    <w:p w14:paraId="20BD9E0D">
      <w:pPr>
        <w:pStyle w:val="108"/>
        <w:spacing w:before="120" w:after="120"/>
        <w:rPr>
          <w:color w:val="auto"/>
        </w:rPr>
      </w:pPr>
      <w:r>
        <w:rPr>
          <w:rFonts w:hint="eastAsia"/>
          <w:color w:val="auto"/>
        </w:rPr>
        <w:t>基础要求</w:t>
      </w:r>
    </w:p>
    <w:p w14:paraId="256517BD">
      <w:pPr>
        <w:pStyle w:val="168"/>
        <w:ind w:left="-2" w:leftChars="-1" w:firstLine="2"/>
        <w:rPr>
          <w:color w:val="auto"/>
        </w:rPr>
      </w:pPr>
      <w:r>
        <w:rPr>
          <w:rFonts w:hint="eastAsia"/>
          <w:color w:val="auto"/>
        </w:rPr>
        <w:t>工业企业应为年综合能源消费量超过5000吨标准煤的独立法人单位。</w:t>
      </w:r>
    </w:p>
    <w:p w14:paraId="324C7E49">
      <w:pPr>
        <w:pStyle w:val="168"/>
        <w:ind w:left="-2" w:leftChars="-1" w:firstLine="2"/>
        <w:rPr>
          <w:color w:val="auto"/>
        </w:rPr>
      </w:pPr>
      <w:r>
        <w:rPr>
          <w:rFonts w:hint="eastAsia"/>
          <w:color w:val="auto"/>
        </w:rPr>
        <w:t>工业企业应建立完备的能源统计和计量管理制度，能源计量器具配备符合GB 17167要求。</w:t>
      </w:r>
    </w:p>
    <w:p w14:paraId="3B957B14">
      <w:pPr>
        <w:pStyle w:val="168"/>
        <w:ind w:left="-2" w:leftChars="-1" w:firstLine="2"/>
        <w:rPr>
          <w:color w:val="auto"/>
        </w:rPr>
      </w:pPr>
      <w:r>
        <w:rPr>
          <w:rFonts w:hint="eastAsia"/>
          <w:color w:val="auto"/>
        </w:rPr>
        <w:t>工业企业应获得国家级绿色工厂或国家级能效“领跑者”称号。</w:t>
      </w:r>
    </w:p>
    <w:p w14:paraId="64874066">
      <w:pPr>
        <w:pStyle w:val="168"/>
        <w:ind w:left="-2" w:leftChars="-1" w:firstLine="2"/>
        <w:rPr>
          <w:color w:val="auto"/>
        </w:rPr>
      </w:pPr>
      <w:r>
        <w:rPr>
          <w:rFonts w:hint="eastAsia"/>
          <w:color w:val="auto"/>
        </w:rPr>
        <w:t>工业企业的建筑应满足节能设计的相关标准。</w:t>
      </w:r>
    </w:p>
    <w:p w14:paraId="06558A77">
      <w:pPr>
        <w:pStyle w:val="168"/>
        <w:ind w:left="-2" w:leftChars="-1" w:firstLine="2"/>
        <w:rPr>
          <w:color w:val="auto"/>
        </w:rPr>
      </w:pPr>
      <w:r>
        <w:rPr>
          <w:rFonts w:hint="eastAsia"/>
          <w:color w:val="auto"/>
        </w:rPr>
        <w:t>工业企业应当成立节能工作领导小组，明确能源管理部门，设立能源管理岗位</w:t>
      </w:r>
      <w:r>
        <w:rPr>
          <w:rFonts w:hint="eastAsia"/>
          <w:color w:val="auto"/>
          <w:lang w:eastAsia="zh-CN"/>
        </w:rPr>
        <w:t>，</w:t>
      </w:r>
      <w:r>
        <w:rPr>
          <w:rFonts w:hint="eastAsia"/>
          <w:color w:val="auto"/>
          <w:lang w:val="en-US" w:eastAsia="zh-CN"/>
        </w:rPr>
        <w:t>且应符合以下要求：</w:t>
      </w:r>
    </w:p>
    <w:p w14:paraId="1CB663B4">
      <w:pPr>
        <w:pStyle w:val="168"/>
        <w:numPr>
          <w:ilvl w:val="0"/>
          <w:numId w:val="0"/>
        </w:numPr>
        <w:ind w:left="0" w:leftChars="0" w:firstLine="420" w:firstLineChars="200"/>
        <w:rPr>
          <w:rFonts w:hint="eastAsia"/>
          <w:color w:val="auto"/>
          <w:lang w:eastAsia="zh-CN"/>
        </w:rPr>
      </w:pPr>
      <w:r>
        <w:rPr>
          <w:rFonts w:hint="eastAsia" w:ascii="宋体" w:hAnsi="Times New Roman" w:eastAsia="宋体" w:cs="Times New Roman"/>
          <w:color w:val="auto"/>
          <w:sz w:val="21"/>
          <w:lang w:val="en-US" w:eastAsia="zh-CN" w:bidi="ar-SA"/>
        </w:rPr>
        <w:t>a)</w:t>
      </w:r>
      <w:r>
        <w:rPr>
          <w:rFonts w:hint="eastAsia"/>
          <w:color w:val="auto"/>
        </w:rPr>
        <w:t>领导小组负责人应由单位主要领导担任</w:t>
      </w:r>
      <w:r>
        <w:rPr>
          <w:rFonts w:hint="eastAsia"/>
          <w:color w:val="auto"/>
          <w:lang w:eastAsia="zh-CN"/>
        </w:rPr>
        <w:t>；</w:t>
      </w:r>
    </w:p>
    <w:p w14:paraId="709F8FD2">
      <w:pPr>
        <w:pStyle w:val="168"/>
        <w:numPr>
          <w:ilvl w:val="0"/>
          <w:numId w:val="0"/>
        </w:numPr>
        <w:ind w:left="0" w:leftChars="0" w:firstLine="420" w:firstLineChars="200"/>
        <w:rPr>
          <w:color w:val="auto"/>
        </w:rPr>
      </w:pPr>
      <w:r>
        <w:rPr>
          <w:rFonts w:ascii="宋体" w:hAnsi="Times New Roman" w:eastAsia="宋体" w:cs="Times New Roman"/>
          <w:color w:val="auto"/>
          <w:sz w:val="21"/>
          <w:lang w:val="en-US" w:eastAsia="zh-CN" w:bidi="ar-SA"/>
        </w:rPr>
        <w:t>b)</w:t>
      </w:r>
      <w:r>
        <w:rPr>
          <w:rFonts w:hint="eastAsia"/>
          <w:color w:val="auto"/>
        </w:rPr>
        <w:t>能源管理负责人应由具有节能专业知识、实际经验以及中级以上技术职称的人员担任</w:t>
      </w:r>
      <w:r>
        <w:rPr>
          <w:rFonts w:hint="eastAsia"/>
          <w:color w:val="auto"/>
          <w:lang w:eastAsia="zh-CN"/>
        </w:rPr>
        <w:t>，</w:t>
      </w:r>
      <w:r>
        <w:rPr>
          <w:rFonts w:hint="eastAsia"/>
          <w:color w:val="auto"/>
          <w:lang w:val="en-US" w:eastAsia="zh-CN"/>
        </w:rPr>
        <w:t>且</w:t>
      </w:r>
      <w:r>
        <w:rPr>
          <w:rFonts w:hint="eastAsia"/>
          <w:color w:val="auto"/>
        </w:rPr>
        <w:t>应当接受节能培训。</w:t>
      </w:r>
    </w:p>
    <w:p w14:paraId="345D5829">
      <w:pPr>
        <w:pStyle w:val="108"/>
        <w:spacing w:before="120" w:after="120"/>
        <w:rPr>
          <w:color w:val="auto"/>
        </w:rPr>
      </w:pPr>
      <w:r>
        <w:rPr>
          <w:rFonts w:hint="eastAsia"/>
          <w:color w:val="auto"/>
        </w:rPr>
        <w:t>合规性要求</w:t>
      </w:r>
    </w:p>
    <w:p w14:paraId="7C0BF3E2">
      <w:pPr>
        <w:pStyle w:val="168"/>
        <w:ind w:left="-2" w:leftChars="-1"/>
        <w:rPr>
          <w:color w:val="auto"/>
        </w:rPr>
      </w:pPr>
      <w:r>
        <w:rPr>
          <w:rFonts w:hint="eastAsia"/>
          <w:color w:val="auto"/>
        </w:rPr>
        <w:t>工业企业应完成年度节能减排目标。</w:t>
      </w:r>
    </w:p>
    <w:p w14:paraId="719820E1">
      <w:pPr>
        <w:pStyle w:val="168"/>
        <w:ind w:left="-2" w:leftChars="-1"/>
        <w:rPr>
          <w:color w:val="auto"/>
        </w:rPr>
      </w:pPr>
      <w:r>
        <w:rPr>
          <w:rFonts w:hint="eastAsia"/>
          <w:color w:val="auto"/>
        </w:rPr>
        <w:t>工业企业纳入碳排放权交易的应按时完成碳排放权交易履约。</w:t>
      </w:r>
    </w:p>
    <w:p w14:paraId="74325AA3">
      <w:pPr>
        <w:pStyle w:val="168"/>
        <w:ind w:left="-2" w:leftChars="-1"/>
        <w:rPr>
          <w:color w:val="auto"/>
        </w:rPr>
      </w:pPr>
      <w:r>
        <w:rPr>
          <w:rFonts w:hint="eastAsia"/>
          <w:color w:val="auto"/>
        </w:rPr>
        <w:t>工业企业应符合国家产业政策要求，未使用国家明令禁止或列入限制、淘汰目录的落后工艺、设备和产品。</w:t>
      </w:r>
    </w:p>
    <w:p w14:paraId="4ACC05A4">
      <w:pPr>
        <w:pStyle w:val="168"/>
        <w:ind w:left="-2" w:leftChars="-1"/>
        <w:rPr>
          <w:color w:val="auto"/>
        </w:rPr>
      </w:pPr>
      <w:r>
        <w:rPr>
          <w:rFonts w:hint="eastAsia"/>
          <w:color w:val="auto"/>
        </w:rPr>
        <w:t>工业企业生产经营正常，近三年应无安全、质量、环境污染等事故以及偷漏税等违法违规行为，在国务院及有关部门相关督查工作中未发现存在严重问题，未被列入工业节能监察整改名单，失信被执行人等，未存在未落实国家及省节能减煤政策措施情况。</w:t>
      </w:r>
    </w:p>
    <w:p w14:paraId="10014A1C">
      <w:pPr>
        <w:pStyle w:val="107"/>
        <w:spacing w:before="240" w:after="240"/>
        <w:rPr>
          <w:color w:val="auto"/>
        </w:rPr>
      </w:pPr>
      <w:r>
        <w:rPr>
          <w:rFonts w:hint="eastAsia"/>
          <w:color w:val="auto"/>
        </w:rPr>
        <w:t>评价要求</w:t>
      </w:r>
    </w:p>
    <w:p w14:paraId="1C84CC5F">
      <w:pPr>
        <w:pStyle w:val="108"/>
        <w:spacing w:before="120" w:after="120"/>
        <w:rPr>
          <w:color w:val="auto"/>
        </w:rPr>
      </w:pPr>
      <w:r>
        <w:rPr>
          <w:rFonts w:hint="eastAsia"/>
          <w:color w:val="auto"/>
        </w:rPr>
        <w:t>评价指标</w:t>
      </w:r>
    </w:p>
    <w:p w14:paraId="2DA114D5">
      <w:pPr>
        <w:pStyle w:val="59"/>
        <w:ind w:firstLine="420"/>
        <w:rPr>
          <w:color w:val="auto"/>
        </w:rPr>
      </w:pPr>
      <w:r>
        <w:rPr>
          <w:rFonts w:hint="eastAsia"/>
          <w:color w:val="auto"/>
        </w:rPr>
        <w:t>评价指标包括能效水平、工艺技术装备和市场竞争力。</w:t>
      </w:r>
    </w:p>
    <w:p w14:paraId="4DD88A78">
      <w:pPr>
        <w:pStyle w:val="108"/>
        <w:spacing w:before="120" w:after="120"/>
        <w:rPr>
          <w:color w:val="auto"/>
        </w:rPr>
      </w:pPr>
      <w:bookmarkStart w:id="22" w:name="_Hlk162602214"/>
      <w:r>
        <w:rPr>
          <w:rFonts w:hint="eastAsia"/>
          <w:color w:val="auto"/>
        </w:rPr>
        <w:t>评价要素和内容</w:t>
      </w:r>
    </w:p>
    <w:p w14:paraId="63779C8D">
      <w:pPr>
        <w:pStyle w:val="59"/>
        <w:ind w:firstLine="420"/>
        <w:rPr>
          <w:color w:val="auto"/>
        </w:rPr>
      </w:pPr>
      <w:r>
        <w:rPr>
          <w:rFonts w:hint="eastAsia"/>
          <w:color w:val="auto"/>
        </w:rPr>
        <w:t>评价要素和内容应符合附录A。</w:t>
      </w:r>
    </w:p>
    <w:p w14:paraId="17A8EB53">
      <w:pPr>
        <w:pStyle w:val="108"/>
        <w:spacing w:before="120" w:after="120"/>
        <w:rPr>
          <w:color w:val="auto"/>
        </w:rPr>
      </w:pPr>
      <w:r>
        <w:rPr>
          <w:rFonts w:hint="eastAsia"/>
          <w:color w:val="auto"/>
        </w:rPr>
        <w:t>能效水平</w:t>
      </w:r>
    </w:p>
    <w:bookmarkEnd w:id="22"/>
    <w:p w14:paraId="46588E9E">
      <w:pPr>
        <w:pStyle w:val="168"/>
        <w:rPr>
          <w:color w:val="auto"/>
        </w:rPr>
      </w:pPr>
      <w:r>
        <w:rPr>
          <w:rFonts w:hint="eastAsia"/>
          <w:color w:val="auto"/>
        </w:rPr>
        <w:t>能效水平的统计计算方法应符合GB 2589标准要求。</w:t>
      </w:r>
    </w:p>
    <w:p w14:paraId="4E641778">
      <w:pPr>
        <w:pStyle w:val="168"/>
        <w:rPr>
          <w:color w:val="auto"/>
        </w:rPr>
      </w:pPr>
      <w:r>
        <w:rPr>
          <w:rFonts w:hint="eastAsia"/>
          <w:color w:val="auto"/>
        </w:rPr>
        <w:t>能效水平应达到国际先进水平或优于能效标杆水平。</w:t>
      </w:r>
      <w:r>
        <w:rPr>
          <w:color w:val="auto"/>
        </w:rPr>
        <w:t xml:space="preserve"> </w:t>
      </w:r>
    </w:p>
    <w:p w14:paraId="5045CB5A">
      <w:pPr>
        <w:pStyle w:val="168"/>
        <w:rPr>
          <w:color w:val="auto"/>
        </w:rPr>
      </w:pPr>
      <w:r>
        <w:rPr>
          <w:rFonts w:hint="eastAsia"/>
          <w:color w:val="auto"/>
        </w:rPr>
        <w:t>能效标杆水平参考相关部门发布的重点工业领域能效标杆水平。</w:t>
      </w:r>
    </w:p>
    <w:p w14:paraId="70E528CA">
      <w:pPr>
        <w:pStyle w:val="108"/>
        <w:spacing w:before="120" w:after="120"/>
        <w:rPr>
          <w:color w:val="auto"/>
        </w:rPr>
      </w:pPr>
      <w:r>
        <w:rPr>
          <w:rFonts w:hint="eastAsia"/>
          <w:color w:val="auto"/>
        </w:rPr>
        <w:t>工艺技术装备</w:t>
      </w:r>
    </w:p>
    <w:p w14:paraId="225AB130">
      <w:pPr>
        <w:pStyle w:val="68"/>
        <w:spacing w:before="120" w:after="120"/>
        <w:rPr>
          <w:color w:val="auto"/>
        </w:rPr>
      </w:pPr>
      <w:r>
        <w:rPr>
          <w:rFonts w:hint="eastAsia"/>
          <w:color w:val="auto"/>
        </w:rPr>
        <w:t>工艺技术</w:t>
      </w:r>
    </w:p>
    <w:p w14:paraId="0C4C562F">
      <w:pPr>
        <w:pStyle w:val="59"/>
        <w:ind w:firstLine="420"/>
        <w:rPr>
          <w:color w:val="auto"/>
        </w:rPr>
      </w:pPr>
      <w:r>
        <w:rPr>
          <w:rFonts w:hint="eastAsia"/>
          <w:color w:val="auto"/>
        </w:rPr>
        <w:t>应优化工艺技术：</w:t>
      </w:r>
    </w:p>
    <w:p w14:paraId="6792F115">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a)</w:t>
      </w:r>
      <w:r>
        <w:rPr>
          <w:rFonts w:hint="eastAsia"/>
          <w:color w:val="auto"/>
        </w:rPr>
        <w:t>采用国际、国内先进工艺技术，或依托自主工艺技术创新，提高工艺能效水平；</w:t>
      </w:r>
    </w:p>
    <w:p w14:paraId="7CF56354">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b)</w:t>
      </w:r>
      <w:r>
        <w:rPr>
          <w:rFonts w:hint="eastAsia"/>
          <w:color w:val="auto"/>
        </w:rPr>
        <w:t>建成数字化能碳管理中心，提高能源数字化管理水平；</w:t>
      </w:r>
    </w:p>
    <w:p w14:paraId="6CF0816D">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c)</w:t>
      </w:r>
      <w:r>
        <w:rPr>
          <w:rFonts w:hint="eastAsia"/>
          <w:color w:val="auto"/>
        </w:rPr>
        <w:t>建设多台同类设备集中控制系统，提高工艺自动化水平；</w:t>
      </w:r>
    </w:p>
    <w:p w14:paraId="61A232CC">
      <w:pPr>
        <w:pStyle w:val="177"/>
        <w:numPr>
          <w:ilvl w:val="0"/>
          <w:numId w:val="0"/>
        </w:numPr>
        <w:tabs>
          <w:tab w:val="clear" w:pos="851"/>
        </w:tabs>
        <w:ind w:left="851" w:leftChars="0" w:hanging="426" w:firstLineChars="0"/>
        <w:rPr>
          <w:color w:val="auto"/>
        </w:rPr>
      </w:pPr>
      <w:r>
        <w:rPr>
          <w:rFonts w:hint="eastAsia" w:ascii="宋体" w:hAnsi="Times New Roman" w:eastAsia="宋体" w:cs="Times New Roman"/>
          <w:color w:val="auto"/>
          <w:sz w:val="21"/>
          <w:lang w:val="en-US" w:eastAsia="zh-CN" w:bidi="ar-SA"/>
        </w:rPr>
        <w:t>d)</w:t>
      </w:r>
      <w:r>
        <w:rPr>
          <w:rFonts w:hint="eastAsia"/>
          <w:color w:val="auto"/>
        </w:rPr>
        <w:t>优化能源结构，提高可再生能源占比。</w:t>
      </w:r>
    </w:p>
    <w:p w14:paraId="402B6321">
      <w:pPr>
        <w:pStyle w:val="68"/>
        <w:spacing w:before="120" w:after="120"/>
        <w:rPr>
          <w:color w:val="auto"/>
        </w:rPr>
      </w:pPr>
      <w:r>
        <w:rPr>
          <w:rFonts w:hint="eastAsia"/>
          <w:color w:val="auto"/>
        </w:rPr>
        <w:t>装备</w:t>
      </w:r>
    </w:p>
    <w:p w14:paraId="3E687B7C">
      <w:pPr>
        <w:pStyle w:val="168"/>
        <w:numPr>
          <w:ilvl w:val="0"/>
          <w:numId w:val="0"/>
        </w:numPr>
        <w:ind w:firstLine="420" w:firstLineChars="200"/>
        <w:rPr>
          <w:color w:val="auto"/>
        </w:rPr>
      </w:pPr>
      <w:r>
        <w:rPr>
          <w:rFonts w:hint="eastAsia"/>
          <w:color w:val="auto"/>
        </w:rPr>
        <w:t>应提升各装备系统能效：</w:t>
      </w:r>
    </w:p>
    <w:p w14:paraId="495607B5">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a)</w:t>
      </w:r>
      <w:r>
        <w:rPr>
          <w:rFonts w:hint="eastAsia"/>
          <w:color w:val="auto"/>
        </w:rPr>
        <w:t>在用电机均为节能型电机，持续提升电机能效水平，提高一级能效电机占比；</w:t>
      </w:r>
    </w:p>
    <w:p w14:paraId="0472856C">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b)</w:t>
      </w:r>
      <w:r>
        <w:rPr>
          <w:rFonts w:hint="eastAsia"/>
          <w:color w:val="auto"/>
        </w:rPr>
        <w:t>在用变压器均为节能型变压器，持续提升变压器能效水平，提高一级能效变压器占比；</w:t>
      </w:r>
    </w:p>
    <w:p w14:paraId="38752B78">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c)</w:t>
      </w:r>
      <w:r>
        <w:rPr>
          <w:rFonts w:hint="eastAsia"/>
          <w:color w:val="auto"/>
        </w:rPr>
        <w:t>采用高效节能锅炉，锅炉系统采用在线监控、协同优化、主辅机匹配调控、余热利用等技术；</w:t>
      </w:r>
    </w:p>
    <w:p w14:paraId="02116D05">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d)</w:t>
      </w:r>
      <w:r>
        <w:rPr>
          <w:rFonts w:hint="eastAsia"/>
          <w:color w:val="auto"/>
        </w:rPr>
        <w:t>采用高效制冷机组，制冷系统采用在线监控、协同优化、主辅机匹配调控等技术；</w:t>
      </w:r>
    </w:p>
    <w:p w14:paraId="719004CC">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e)</w:t>
      </w:r>
      <w:r>
        <w:rPr>
          <w:rFonts w:hint="eastAsia"/>
          <w:color w:val="auto"/>
        </w:rPr>
        <w:t>采用高效节能压缩机，压缩空气系统采用在线监控、协同优化、主辅机匹配调控、余热利用等技术；</w:t>
      </w:r>
    </w:p>
    <w:p w14:paraId="3D14F7DA">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f)</w:t>
      </w:r>
      <w:r>
        <w:rPr>
          <w:rFonts w:hint="eastAsia"/>
          <w:color w:val="auto"/>
        </w:rPr>
        <w:t>采用高效风机、泵，持续提升风机、泵能效水平，提高一级能效风机、泵占比；</w:t>
      </w:r>
    </w:p>
    <w:p w14:paraId="07EF62E6">
      <w:pPr>
        <w:pStyle w:val="177"/>
        <w:numPr>
          <w:ilvl w:val="0"/>
          <w:numId w:val="0"/>
        </w:numPr>
        <w:tabs>
          <w:tab w:val="clear" w:pos="851"/>
        </w:tabs>
        <w:ind w:left="851" w:leftChars="0" w:hanging="426" w:firstLineChars="0"/>
        <w:rPr>
          <w:rFonts w:hint="eastAsia"/>
          <w:color w:val="auto"/>
          <w:lang w:val="en-US" w:eastAsia="zh-CN"/>
        </w:rPr>
      </w:pPr>
      <w:r>
        <w:rPr>
          <w:rFonts w:hint="eastAsia" w:ascii="宋体" w:hAnsi="Times New Roman" w:eastAsia="宋体" w:cs="Times New Roman"/>
          <w:color w:val="auto"/>
          <w:sz w:val="21"/>
          <w:lang w:val="en-US" w:eastAsia="zh-CN" w:bidi="ar-SA"/>
        </w:rPr>
        <w:t>g)</w:t>
      </w:r>
      <w:r>
        <w:rPr>
          <w:rFonts w:hint="eastAsia"/>
          <w:color w:val="auto"/>
        </w:rPr>
        <w:t>各行业专用设备采用高效节能设备，提高一级能效专用设备占比；</w:t>
      </w:r>
    </w:p>
    <w:p w14:paraId="76F08B4B">
      <w:pPr>
        <w:pStyle w:val="177"/>
        <w:numPr>
          <w:ilvl w:val="0"/>
          <w:numId w:val="0"/>
        </w:numPr>
        <w:tabs>
          <w:tab w:val="clear" w:pos="851"/>
        </w:tabs>
        <w:ind w:left="851" w:leftChars="0" w:hanging="426" w:firstLineChars="0"/>
        <w:rPr>
          <w:rFonts w:hint="eastAsia"/>
          <w:color w:val="auto"/>
          <w:lang w:val="en-US" w:eastAsia="zh-CN"/>
        </w:rPr>
      </w:pPr>
      <w:r>
        <w:rPr>
          <w:rFonts w:hint="eastAsia" w:ascii="宋体" w:hAnsi="Times New Roman" w:eastAsia="宋体" w:cs="Times New Roman"/>
          <w:color w:val="auto"/>
          <w:sz w:val="21"/>
          <w:lang w:val="en-US" w:eastAsia="zh-CN" w:bidi="ar-SA"/>
        </w:rPr>
        <w:t>h)</w:t>
      </w:r>
      <w:r>
        <w:rPr>
          <w:rFonts w:hint="eastAsia"/>
          <w:color w:val="auto"/>
          <w:lang w:val="en-US" w:eastAsia="zh-CN"/>
        </w:rPr>
        <w:t>主要用能设备容量配备适宜，使系统和设备的实际运行效率或主要运行参数符合经济运行的要求。</w:t>
      </w:r>
    </w:p>
    <w:p w14:paraId="2683B439">
      <w:pPr>
        <w:pStyle w:val="68"/>
        <w:spacing w:before="120" w:after="120"/>
        <w:rPr>
          <w:color w:val="auto"/>
        </w:rPr>
      </w:pPr>
      <w:r>
        <w:rPr>
          <w:rFonts w:hint="eastAsia"/>
          <w:color w:val="auto"/>
        </w:rPr>
        <w:t>主要用能设备评价标准</w:t>
      </w:r>
    </w:p>
    <w:p w14:paraId="25A5A8B4">
      <w:pPr>
        <w:pStyle w:val="168"/>
        <w:numPr>
          <w:ilvl w:val="0"/>
          <w:numId w:val="0"/>
        </w:numPr>
        <w:ind w:firstLine="420" w:firstLineChars="200"/>
        <w:rPr>
          <w:color w:val="auto"/>
        </w:rPr>
      </w:pPr>
      <w:r>
        <w:rPr>
          <w:rFonts w:hint="eastAsia"/>
          <w:color w:val="auto"/>
        </w:rPr>
        <w:t>主要用能设备评价标准见附录B。</w:t>
      </w:r>
    </w:p>
    <w:p w14:paraId="37867998">
      <w:pPr>
        <w:numPr>
          <w:ilvl w:val="2"/>
          <w:numId w:val="2"/>
        </w:numPr>
        <w:spacing w:before="120" w:beforeLines="50" w:after="120" w:afterLines="50"/>
        <w:outlineLvl w:val="1"/>
        <w:rPr>
          <w:rFonts w:ascii="黑体" w:hAnsi="Times New Roman" w:eastAsia="黑体"/>
          <w:color w:val="auto"/>
        </w:rPr>
      </w:pPr>
      <w:r>
        <w:rPr>
          <w:rFonts w:hint="eastAsia" w:ascii="黑体" w:hAnsi="Times New Roman" w:eastAsia="黑体"/>
          <w:color w:val="auto"/>
        </w:rPr>
        <w:t>市场竞争力</w:t>
      </w:r>
    </w:p>
    <w:p w14:paraId="3CF39C5A">
      <w:pPr>
        <w:numPr>
          <w:ilvl w:val="3"/>
          <w:numId w:val="2"/>
        </w:numPr>
        <w:spacing w:before="120" w:beforeLines="50" w:after="120" w:afterLines="50"/>
        <w:outlineLvl w:val="2"/>
        <w:rPr>
          <w:rFonts w:ascii="黑体" w:hAnsi="Times New Roman" w:eastAsia="黑体"/>
          <w:color w:val="auto"/>
        </w:rPr>
      </w:pPr>
      <w:r>
        <w:rPr>
          <w:rFonts w:hint="eastAsia" w:ascii="黑体" w:hAnsi="Times New Roman" w:eastAsia="黑体"/>
          <w:color w:val="auto"/>
        </w:rPr>
        <w:t>创新驱动发展</w:t>
      </w:r>
    </w:p>
    <w:p w14:paraId="68C20441">
      <w:pPr>
        <w:autoSpaceDE w:val="0"/>
        <w:autoSpaceDN w:val="0"/>
        <w:ind w:firstLine="420" w:firstLineChars="200"/>
        <w:rPr>
          <w:rFonts w:ascii="宋体" w:hAnsi="Times New Roman"/>
          <w:color w:val="auto"/>
        </w:rPr>
      </w:pPr>
      <w:r>
        <w:rPr>
          <w:rFonts w:hint="eastAsia" w:ascii="宋体" w:hAnsi="Times New Roman"/>
          <w:color w:val="auto"/>
        </w:rPr>
        <w:t>应大力实施创新驱动发展战略,强化企业技术创新主体作用：</w:t>
      </w:r>
    </w:p>
    <w:p w14:paraId="762A3077">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a)</w:t>
      </w:r>
      <w:r>
        <w:rPr>
          <w:rFonts w:hint="eastAsia"/>
          <w:color w:val="auto"/>
        </w:rPr>
        <w:t>提高从事研发和相关技术创新活动的科技人员在职工总数中的比例；</w:t>
      </w:r>
    </w:p>
    <w:p w14:paraId="4B9232ED">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b)</w:t>
      </w:r>
      <w:r>
        <w:rPr>
          <w:rFonts w:hint="eastAsia"/>
          <w:color w:val="auto"/>
        </w:rPr>
        <w:t>提高研发投入在销售收入中的比例；</w:t>
      </w:r>
    </w:p>
    <w:p w14:paraId="42B884F1">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c)</w:t>
      </w:r>
      <w:r>
        <w:rPr>
          <w:rFonts w:hint="eastAsia"/>
          <w:color w:val="auto"/>
        </w:rPr>
        <w:t>通过自主研发等方式，获得对其主要产品（服务）在技术上发挥核心支持作用的知识产权的所有权；</w:t>
      </w:r>
    </w:p>
    <w:p w14:paraId="3BD0D908">
      <w:pPr>
        <w:pStyle w:val="177"/>
        <w:numPr>
          <w:ilvl w:val="0"/>
          <w:numId w:val="0"/>
        </w:numPr>
        <w:tabs>
          <w:tab w:val="clear" w:pos="851"/>
        </w:tabs>
        <w:ind w:left="851" w:leftChars="0" w:hanging="426" w:firstLineChars="0"/>
        <w:rPr>
          <w:rFonts w:hint="eastAsia"/>
          <w:color w:val="auto"/>
        </w:rPr>
      </w:pPr>
      <w:r>
        <w:rPr>
          <w:rFonts w:hint="eastAsia" w:ascii="宋体" w:hAnsi="Times New Roman" w:eastAsia="宋体" w:cs="Times New Roman"/>
          <w:color w:val="auto"/>
          <w:sz w:val="21"/>
          <w:lang w:val="en-US" w:eastAsia="zh-CN" w:bidi="ar-SA"/>
        </w:rPr>
        <w:t>d)</w:t>
      </w:r>
      <w:r>
        <w:rPr>
          <w:rFonts w:hint="eastAsia"/>
          <w:color w:val="auto"/>
        </w:rPr>
        <w:t>主导省级（含）以上研发平台建设；</w:t>
      </w:r>
    </w:p>
    <w:p w14:paraId="5622ECAF">
      <w:pPr>
        <w:pStyle w:val="177"/>
        <w:numPr>
          <w:ilvl w:val="0"/>
          <w:numId w:val="0"/>
        </w:numPr>
        <w:tabs>
          <w:tab w:val="clear" w:pos="851"/>
        </w:tabs>
        <w:ind w:left="851" w:leftChars="0" w:hanging="426" w:firstLineChars="0"/>
        <w:rPr>
          <w:color w:val="auto"/>
        </w:rPr>
      </w:pPr>
      <w:r>
        <w:rPr>
          <w:rFonts w:hint="eastAsia" w:ascii="宋体" w:hAnsi="Times New Roman" w:eastAsia="宋体" w:cs="Times New Roman"/>
          <w:color w:val="auto"/>
          <w:sz w:val="21"/>
          <w:lang w:val="en-US" w:eastAsia="zh-CN" w:bidi="ar-SA"/>
        </w:rPr>
        <w:t>e)</w:t>
      </w:r>
      <w:r>
        <w:rPr>
          <w:rFonts w:hint="eastAsia"/>
          <w:color w:val="auto"/>
        </w:rPr>
        <w:t>提高企业综合创新能力，获得省级（含）以上科技进步奖、技术发明奖等奖项。</w:t>
      </w:r>
    </w:p>
    <w:p w14:paraId="14DEDB2E">
      <w:pPr>
        <w:numPr>
          <w:ilvl w:val="3"/>
          <w:numId w:val="2"/>
        </w:numPr>
        <w:spacing w:before="120" w:beforeLines="50" w:after="120" w:afterLines="50"/>
        <w:outlineLvl w:val="2"/>
        <w:rPr>
          <w:rFonts w:ascii="黑体" w:hAnsi="Times New Roman" w:eastAsia="黑体"/>
          <w:color w:val="auto"/>
        </w:rPr>
      </w:pPr>
      <w:r>
        <w:rPr>
          <w:rFonts w:hint="eastAsia" w:ascii="黑体" w:hAnsi="Times New Roman" w:eastAsia="黑体"/>
          <w:color w:val="auto"/>
        </w:rPr>
        <w:t>市场引领效应</w:t>
      </w:r>
    </w:p>
    <w:p w14:paraId="448B32E0">
      <w:pPr>
        <w:ind w:firstLine="420" w:firstLineChars="200"/>
        <w:rPr>
          <w:rFonts w:ascii="宋体" w:hAnsi="Times New Roman"/>
          <w:color w:val="auto"/>
        </w:rPr>
      </w:pPr>
      <w:r>
        <w:rPr>
          <w:rFonts w:hint="eastAsia" w:ascii="宋体" w:hAnsi="Times New Roman"/>
          <w:color w:val="auto"/>
        </w:rPr>
        <w:t>应提升市场引领效应：</w:t>
      </w:r>
    </w:p>
    <w:p w14:paraId="2B2B99F0">
      <w:pPr>
        <w:pStyle w:val="177"/>
        <w:numPr>
          <w:ilvl w:val="0"/>
          <w:numId w:val="0"/>
        </w:numPr>
        <w:tabs>
          <w:tab w:val="clear" w:pos="851"/>
        </w:tabs>
        <w:ind w:left="851" w:leftChars="0" w:hanging="426" w:firstLineChars="0"/>
        <w:rPr>
          <w:color w:val="auto"/>
        </w:rPr>
      </w:pPr>
      <w:r>
        <w:rPr>
          <w:rFonts w:hint="eastAsia" w:ascii="宋体" w:hAnsi="Times New Roman" w:eastAsia="宋体" w:cs="Times New Roman"/>
          <w:color w:val="auto"/>
          <w:sz w:val="21"/>
          <w:lang w:val="en-US" w:eastAsia="zh-CN" w:bidi="ar-SA"/>
        </w:rPr>
        <w:t>a)</w:t>
      </w:r>
      <w:r>
        <w:rPr>
          <w:rFonts w:hint="eastAsia"/>
          <w:color w:val="auto"/>
        </w:rPr>
        <w:t>主导制定国际标准、国家标准或行业标准；</w:t>
      </w:r>
    </w:p>
    <w:p w14:paraId="42BD4881">
      <w:pPr>
        <w:pStyle w:val="177"/>
        <w:numPr>
          <w:ilvl w:val="0"/>
          <w:numId w:val="0"/>
        </w:numPr>
        <w:tabs>
          <w:tab w:val="clear" w:pos="851"/>
        </w:tabs>
        <w:ind w:left="851" w:leftChars="0" w:hanging="426" w:firstLineChars="0"/>
        <w:rPr>
          <w:color w:val="auto"/>
        </w:rPr>
      </w:pPr>
      <w:r>
        <w:rPr>
          <w:rFonts w:hint="eastAsia" w:ascii="宋体" w:hAnsi="Times New Roman" w:eastAsia="宋体" w:cs="Times New Roman"/>
          <w:color w:val="auto"/>
          <w:sz w:val="21"/>
          <w:lang w:val="en-US" w:eastAsia="zh-CN" w:bidi="ar-SA"/>
        </w:rPr>
        <w:t>b)</w:t>
      </w:r>
      <w:r>
        <w:rPr>
          <w:rFonts w:hint="eastAsia"/>
          <w:color w:val="auto"/>
        </w:rPr>
        <w:t>牵头实施国家级科技计划项目（课题）、重点工程项目或省级重大科技专项、重点工程项目等；</w:t>
      </w:r>
    </w:p>
    <w:p w14:paraId="72935F2B">
      <w:pPr>
        <w:pStyle w:val="177"/>
        <w:numPr>
          <w:ilvl w:val="0"/>
          <w:numId w:val="0"/>
        </w:numPr>
        <w:tabs>
          <w:tab w:val="clear" w:pos="851"/>
        </w:tabs>
        <w:ind w:left="851" w:leftChars="0" w:hanging="426" w:firstLineChars="0"/>
        <w:rPr>
          <w:color w:val="auto"/>
        </w:rPr>
      </w:pPr>
      <w:r>
        <w:rPr>
          <w:rFonts w:hint="eastAsia" w:ascii="宋体" w:hAnsi="Times New Roman" w:eastAsia="宋体" w:cs="Times New Roman"/>
          <w:color w:val="auto"/>
          <w:sz w:val="21"/>
          <w:lang w:val="en-US" w:eastAsia="zh-CN" w:bidi="ar-SA"/>
        </w:rPr>
        <w:t>c)</w:t>
      </w:r>
      <w:r>
        <w:rPr>
          <w:rFonts w:hint="eastAsia"/>
          <w:color w:val="auto"/>
        </w:rPr>
        <w:t>具有显著的行业带动能力,主导产品市场占有率位居全国同行业（细分）前列。</w:t>
      </w:r>
    </w:p>
    <w:p w14:paraId="1AB6DA74">
      <w:pPr>
        <w:pStyle w:val="59"/>
        <w:ind w:firstLine="420"/>
        <w:rPr>
          <w:color w:val="auto"/>
        </w:rPr>
      </w:pPr>
    </w:p>
    <w:p w14:paraId="689E36AE">
      <w:pPr>
        <w:pStyle w:val="107"/>
        <w:spacing w:before="240" w:after="240"/>
        <w:rPr>
          <w:color w:val="auto"/>
        </w:rPr>
      </w:pPr>
      <w:r>
        <w:rPr>
          <w:rFonts w:hint="eastAsia"/>
          <w:color w:val="auto"/>
        </w:rPr>
        <w:t>评价</w:t>
      </w:r>
      <w:r>
        <w:rPr>
          <w:rFonts w:hint="eastAsia"/>
          <w:color w:val="auto"/>
          <w:lang w:val="en-US" w:eastAsia="zh-CN"/>
        </w:rPr>
        <w:t>程序</w:t>
      </w:r>
    </w:p>
    <w:p w14:paraId="1DEC2EEC">
      <w:pPr>
        <w:pStyle w:val="108"/>
        <w:spacing w:before="120" w:after="120"/>
        <w:rPr>
          <w:color w:val="auto"/>
        </w:rPr>
      </w:pPr>
      <w:r>
        <w:rPr>
          <w:rFonts w:hint="eastAsia"/>
          <w:color w:val="auto"/>
        </w:rPr>
        <w:t>评价准备</w:t>
      </w:r>
    </w:p>
    <w:p w14:paraId="11E79733">
      <w:pPr>
        <w:numPr>
          <w:ilvl w:val="3"/>
          <w:numId w:val="2"/>
        </w:numPr>
        <w:spacing w:before="120" w:beforeLines="50" w:after="120" w:afterLines="50"/>
        <w:outlineLvl w:val="2"/>
        <w:rPr>
          <w:rFonts w:hint="eastAsia"/>
          <w:color w:val="auto"/>
        </w:rPr>
      </w:pPr>
      <w:r>
        <w:rPr>
          <w:rFonts w:hint="eastAsia"/>
          <w:color w:val="auto"/>
          <w:lang w:val="en-US" w:eastAsia="zh-CN"/>
        </w:rPr>
        <w:t>第三方评价</w:t>
      </w:r>
      <w:r>
        <w:rPr>
          <w:rFonts w:hint="eastAsia"/>
          <w:color w:val="auto"/>
        </w:rPr>
        <w:t>机构</w:t>
      </w:r>
      <w:r>
        <w:rPr>
          <w:rFonts w:hint="eastAsia"/>
          <w:color w:val="auto"/>
          <w:lang w:val="en-US" w:eastAsia="zh-CN"/>
        </w:rPr>
        <w:t>与</w:t>
      </w:r>
      <w:r>
        <w:rPr>
          <w:rFonts w:hint="eastAsia"/>
          <w:color w:val="auto"/>
        </w:rPr>
        <w:t>工业企业</w:t>
      </w:r>
      <w:r>
        <w:rPr>
          <w:rFonts w:hint="eastAsia"/>
          <w:color w:val="auto"/>
          <w:lang w:val="en-US" w:eastAsia="zh-CN"/>
        </w:rPr>
        <w:t>签订委托协议。</w:t>
      </w:r>
    </w:p>
    <w:p w14:paraId="7F226D5E">
      <w:pPr>
        <w:numPr>
          <w:ilvl w:val="3"/>
          <w:numId w:val="2"/>
        </w:numPr>
        <w:spacing w:before="120" w:beforeLines="50" w:after="120" w:afterLines="50"/>
        <w:outlineLvl w:val="2"/>
        <w:rPr>
          <w:rFonts w:hint="eastAsia"/>
          <w:color w:val="auto"/>
        </w:rPr>
      </w:pPr>
      <w:r>
        <w:rPr>
          <w:rFonts w:hint="eastAsia"/>
          <w:color w:val="auto"/>
          <w:lang w:val="en-US" w:eastAsia="zh-CN"/>
        </w:rPr>
        <w:t>第三方评价</w:t>
      </w:r>
      <w:r>
        <w:rPr>
          <w:rFonts w:hint="eastAsia"/>
          <w:color w:val="auto"/>
        </w:rPr>
        <w:t>机构组建专家评审组，评审组的成员应为来自于节能低碳领域的专家，评审组负责能效领跑者具体评价工作。</w:t>
      </w:r>
    </w:p>
    <w:p w14:paraId="382DAE20">
      <w:pPr>
        <w:numPr>
          <w:ilvl w:val="3"/>
          <w:numId w:val="2"/>
        </w:numPr>
        <w:spacing w:before="120" w:beforeLines="50" w:after="120" w:afterLines="50"/>
        <w:outlineLvl w:val="2"/>
        <w:rPr>
          <w:rFonts w:hint="eastAsia"/>
          <w:color w:val="auto"/>
        </w:rPr>
      </w:pPr>
      <w:r>
        <w:rPr>
          <w:rFonts w:hint="eastAsia"/>
          <w:color w:val="auto"/>
        </w:rPr>
        <w:t>工业企业向</w:t>
      </w:r>
      <w:r>
        <w:rPr>
          <w:rFonts w:hint="eastAsia"/>
          <w:color w:val="auto"/>
          <w:lang w:val="en-US" w:eastAsia="zh-CN"/>
        </w:rPr>
        <w:t>第三方评价</w:t>
      </w:r>
      <w:r>
        <w:rPr>
          <w:rFonts w:hint="eastAsia"/>
          <w:color w:val="auto"/>
        </w:rPr>
        <w:t>机构提交评</w:t>
      </w:r>
      <w:r>
        <w:rPr>
          <w:rFonts w:hint="eastAsia"/>
          <w:color w:val="auto"/>
          <w:lang w:val="en-US" w:eastAsia="zh-CN"/>
        </w:rPr>
        <w:t>价所需</w:t>
      </w:r>
      <w:r>
        <w:rPr>
          <w:rFonts w:hint="eastAsia"/>
          <w:color w:val="auto"/>
        </w:rPr>
        <w:t>材料</w:t>
      </w:r>
      <w:r>
        <w:rPr>
          <w:rFonts w:hint="eastAsia"/>
          <w:color w:val="auto"/>
          <w:lang w:eastAsia="zh-CN"/>
        </w:rPr>
        <w:t>。</w:t>
      </w:r>
    </w:p>
    <w:p w14:paraId="19E0AA95">
      <w:pPr>
        <w:pStyle w:val="108"/>
        <w:spacing w:before="120" w:after="120"/>
        <w:rPr>
          <w:color w:val="auto"/>
        </w:rPr>
      </w:pPr>
      <w:r>
        <w:rPr>
          <w:rFonts w:hint="eastAsia"/>
          <w:color w:val="auto"/>
        </w:rPr>
        <w:t>评价实施</w:t>
      </w:r>
    </w:p>
    <w:p w14:paraId="7C1C2C29">
      <w:pPr>
        <w:numPr>
          <w:ilvl w:val="3"/>
          <w:numId w:val="2"/>
        </w:numPr>
        <w:spacing w:before="120" w:beforeLines="50" w:after="120" w:afterLines="50"/>
        <w:outlineLvl w:val="2"/>
        <w:rPr>
          <w:rFonts w:hint="eastAsia"/>
          <w:color w:val="auto"/>
        </w:rPr>
      </w:pPr>
      <w:r>
        <w:rPr>
          <w:rFonts w:hint="eastAsia"/>
          <w:color w:val="auto"/>
          <w:lang w:val="en-US" w:eastAsia="zh-CN"/>
        </w:rPr>
        <w:t>文件评审</w:t>
      </w:r>
    </w:p>
    <w:p w14:paraId="2924A1E6">
      <w:pPr>
        <w:numPr>
          <w:ilvl w:val="0"/>
          <w:numId w:val="0"/>
        </w:numPr>
        <w:spacing w:before="120" w:beforeLines="50" w:after="120" w:afterLines="50"/>
        <w:ind w:leftChars="0" w:firstLine="420" w:firstLineChars="200"/>
        <w:outlineLvl w:val="2"/>
        <w:rPr>
          <w:rFonts w:hint="eastAsia"/>
          <w:color w:val="auto"/>
        </w:rPr>
      </w:pPr>
      <w:r>
        <w:rPr>
          <w:rFonts w:hint="eastAsia"/>
          <w:color w:val="auto"/>
        </w:rPr>
        <w:t>评审组按照本标准要求对工业企业提交</w:t>
      </w:r>
      <w:r>
        <w:rPr>
          <w:rFonts w:hint="eastAsia"/>
          <w:color w:val="auto"/>
          <w:lang w:val="en-US" w:eastAsia="zh-CN"/>
        </w:rPr>
        <w:t>的</w:t>
      </w:r>
      <w:r>
        <w:rPr>
          <w:rFonts w:hint="eastAsia"/>
          <w:color w:val="auto"/>
        </w:rPr>
        <w:t>材料进行评审，初步核算综合评分。</w:t>
      </w:r>
    </w:p>
    <w:p w14:paraId="38FE5FB6">
      <w:pPr>
        <w:numPr>
          <w:ilvl w:val="3"/>
          <w:numId w:val="2"/>
        </w:numPr>
        <w:spacing w:before="120" w:beforeLines="50" w:after="120" w:afterLines="50"/>
        <w:outlineLvl w:val="2"/>
        <w:rPr>
          <w:rFonts w:hint="eastAsia"/>
          <w:color w:val="auto"/>
        </w:rPr>
      </w:pPr>
      <w:r>
        <w:rPr>
          <w:rFonts w:hint="eastAsia"/>
          <w:color w:val="auto"/>
        </w:rPr>
        <w:t>现场评审</w:t>
      </w:r>
    </w:p>
    <w:p w14:paraId="248A1501">
      <w:pPr>
        <w:pStyle w:val="59"/>
        <w:ind w:firstLine="420"/>
        <w:rPr>
          <w:rFonts w:hint="eastAsia"/>
          <w:color w:val="auto"/>
        </w:rPr>
      </w:pPr>
      <w:r>
        <w:rPr>
          <w:rFonts w:hint="eastAsia"/>
          <w:color w:val="auto"/>
        </w:rPr>
        <w:t>评审组根据初步评审结果确定需开展现场评审的</w:t>
      </w:r>
      <w:r>
        <w:rPr>
          <w:rFonts w:hint="eastAsia"/>
          <w:color w:val="auto"/>
          <w:lang w:val="en-US" w:eastAsia="zh-CN"/>
        </w:rPr>
        <w:t>内容</w:t>
      </w:r>
      <w:r>
        <w:rPr>
          <w:rFonts w:hint="eastAsia"/>
          <w:color w:val="auto"/>
        </w:rPr>
        <w:t>，现场评审包括如下内容：</w:t>
      </w:r>
    </w:p>
    <w:p w14:paraId="4AEBFFCD">
      <w:pPr>
        <w:pStyle w:val="59"/>
        <w:ind w:firstLine="420"/>
        <w:rPr>
          <w:rFonts w:hint="eastAsia"/>
          <w:color w:val="auto"/>
        </w:rPr>
      </w:pPr>
      <w:r>
        <w:rPr>
          <w:rFonts w:hint="eastAsia" w:ascii="宋体" w:hAnsi="Times New Roman" w:eastAsia="宋体" w:cs="Times New Roman"/>
          <w:color w:val="auto"/>
          <w:sz w:val="21"/>
          <w:lang w:val="en-US" w:eastAsia="zh-CN" w:bidi="ar-SA"/>
        </w:rPr>
        <w:t>a)</w:t>
      </w:r>
      <w:r>
        <w:rPr>
          <w:rFonts w:hint="eastAsia"/>
          <w:color w:val="auto"/>
        </w:rPr>
        <w:t>申报材料现场评审：申报材料应该包括工业企业基本情况介绍、能效水平、节能减排目标完</w:t>
      </w:r>
    </w:p>
    <w:p w14:paraId="758CA4EB">
      <w:pPr>
        <w:pStyle w:val="59"/>
        <w:ind w:left="0" w:leftChars="0" w:firstLine="0" w:firstLineChars="0"/>
        <w:rPr>
          <w:rFonts w:hint="eastAsia"/>
          <w:color w:val="auto"/>
        </w:rPr>
      </w:pPr>
      <w:r>
        <w:rPr>
          <w:rFonts w:hint="eastAsia"/>
          <w:color w:val="auto"/>
        </w:rPr>
        <w:t>成情况、能源管理、能源计量系统和节能工作开展情况及相关证明材料；</w:t>
      </w:r>
    </w:p>
    <w:p w14:paraId="26B48B2A">
      <w:pPr>
        <w:pStyle w:val="59"/>
        <w:ind w:firstLine="420"/>
        <w:rPr>
          <w:rFonts w:hint="eastAsia"/>
          <w:color w:val="auto"/>
        </w:rPr>
      </w:pPr>
      <w:r>
        <w:rPr>
          <w:rFonts w:hint="eastAsia" w:ascii="宋体" w:hAnsi="Times New Roman" w:eastAsia="宋体" w:cs="Times New Roman"/>
          <w:color w:val="auto"/>
          <w:sz w:val="21"/>
          <w:lang w:val="en-US" w:eastAsia="zh-CN" w:bidi="ar-SA"/>
        </w:rPr>
        <w:t>b)</w:t>
      </w:r>
      <w:r>
        <w:rPr>
          <w:rFonts w:hint="eastAsia"/>
          <w:color w:val="auto"/>
        </w:rPr>
        <w:t>主要用能设备及设施现场评审：评审组现场考察工业企业重点用能系统、设施的设备现状和</w:t>
      </w:r>
    </w:p>
    <w:p w14:paraId="48058DFB">
      <w:pPr>
        <w:pStyle w:val="59"/>
        <w:ind w:left="0" w:leftChars="0" w:firstLine="0" w:firstLineChars="0"/>
        <w:rPr>
          <w:rFonts w:hint="eastAsia"/>
          <w:color w:val="auto"/>
        </w:rPr>
      </w:pPr>
      <w:r>
        <w:rPr>
          <w:rFonts w:hint="eastAsia"/>
          <w:color w:val="auto"/>
        </w:rPr>
        <w:t>现场运行管理情况；</w:t>
      </w:r>
    </w:p>
    <w:p w14:paraId="5336B83A">
      <w:pPr>
        <w:keepNext w:val="0"/>
        <w:keepLines w:val="0"/>
        <w:widowControl/>
        <w:suppressLineNumbers w:val="0"/>
        <w:ind w:firstLine="420" w:firstLineChars="200"/>
        <w:jc w:val="left"/>
        <w:rPr>
          <w:rFonts w:hint="eastAsia"/>
          <w:color w:val="auto"/>
        </w:rPr>
      </w:pPr>
      <w:r>
        <w:rPr>
          <w:rFonts w:hint="eastAsia" w:ascii="宋体" w:hAnsi="Times New Roman" w:eastAsia="宋体" w:cs="Times New Roman"/>
          <w:color w:val="auto"/>
          <w:sz w:val="21"/>
          <w:lang w:val="en-US" w:eastAsia="zh-CN" w:bidi="ar-SA"/>
        </w:rPr>
        <w:t>c)</w:t>
      </w:r>
      <w:r>
        <w:rPr>
          <w:rFonts w:hint="eastAsia"/>
          <w:color w:val="auto"/>
        </w:rPr>
        <w:t>现场访谈：评审组与相关管理及技术人员交流，评价用能单位人员管理能力和管理水平。</w:t>
      </w:r>
    </w:p>
    <w:p w14:paraId="65F8D8C6">
      <w:pPr>
        <w:pStyle w:val="108"/>
        <w:spacing w:before="120" w:after="120"/>
        <w:rPr>
          <w:color w:val="auto"/>
        </w:rPr>
      </w:pPr>
      <w:r>
        <w:rPr>
          <w:rFonts w:hint="eastAsia"/>
          <w:color w:val="auto"/>
        </w:rPr>
        <w:t>评价</w:t>
      </w:r>
      <w:r>
        <w:rPr>
          <w:rFonts w:hint="eastAsia"/>
          <w:color w:val="auto"/>
          <w:lang w:val="en-US" w:eastAsia="zh-CN"/>
        </w:rPr>
        <w:t>成果</w:t>
      </w:r>
    </w:p>
    <w:p w14:paraId="4BA518BF">
      <w:pPr>
        <w:numPr>
          <w:ilvl w:val="3"/>
          <w:numId w:val="2"/>
        </w:numPr>
        <w:spacing w:before="120" w:beforeLines="50" w:after="120" w:afterLines="50"/>
        <w:outlineLvl w:val="2"/>
        <w:rPr>
          <w:color w:val="auto"/>
        </w:rPr>
        <w:sectPr>
          <w:headerReference r:id="rId5" w:type="default"/>
          <w:footerReference r:id="rId6" w:type="default"/>
          <w:pgSz w:w="11906" w:h="16838"/>
          <w:pgMar w:top="1928" w:right="1134" w:bottom="1134" w:left="1134" w:header="1418" w:footer="1134" w:gutter="284"/>
          <w:pgNumType w:fmt="decimal" w:start="1"/>
          <w:cols w:space="425" w:num="1"/>
          <w:formProt w:val="0"/>
          <w:docGrid w:linePitch="312" w:charSpace="0"/>
        </w:sectPr>
      </w:pPr>
      <w:r>
        <w:rPr>
          <w:rFonts w:hint="eastAsia" w:ascii="宋体" w:hAnsi="宋体" w:eastAsia="宋体" w:cs="宋体"/>
          <w:color w:val="auto"/>
          <w:kern w:val="0"/>
          <w:sz w:val="21"/>
          <w:szCs w:val="21"/>
          <w:lang w:val="en-US" w:eastAsia="zh-CN" w:bidi="ar"/>
        </w:rPr>
        <w:t>评审组结合文件评审和现场评审结果，综合核算各申报</w:t>
      </w:r>
      <w:r>
        <w:rPr>
          <w:rFonts w:hint="eastAsia"/>
          <w:color w:val="auto"/>
        </w:rPr>
        <w:t>工业企业</w:t>
      </w:r>
      <w:r>
        <w:rPr>
          <w:rFonts w:hint="eastAsia" w:ascii="宋体" w:hAnsi="宋体" w:eastAsia="宋体" w:cs="宋体"/>
          <w:color w:val="auto"/>
          <w:kern w:val="0"/>
          <w:sz w:val="21"/>
          <w:szCs w:val="21"/>
          <w:lang w:val="en-US" w:eastAsia="zh-CN" w:bidi="ar"/>
        </w:rPr>
        <w:t>综合评分，并形成评价</w:t>
      </w:r>
      <w:r>
        <w:rPr>
          <w:rFonts w:hint="eastAsia" w:ascii="宋体" w:hAnsi="宋体" w:cs="宋体"/>
          <w:color w:val="auto"/>
          <w:kern w:val="0"/>
          <w:sz w:val="21"/>
          <w:szCs w:val="21"/>
          <w:lang w:val="en-US" w:eastAsia="zh-CN" w:bidi="ar"/>
        </w:rPr>
        <w:t>报告。</w:t>
      </w:r>
    </w:p>
    <w:bookmarkEnd w:id="0"/>
    <w:p w14:paraId="5E45FE63">
      <w:pPr>
        <w:pStyle w:val="201"/>
        <w:rPr>
          <w:rFonts w:hint="eastAsia"/>
          <w:vanish w:val="0"/>
          <w:color w:val="auto"/>
        </w:rPr>
      </w:pPr>
      <w:bookmarkStart w:id="23" w:name="BookMark5"/>
    </w:p>
    <w:p w14:paraId="3E3D0205">
      <w:pPr>
        <w:pStyle w:val="202"/>
        <w:rPr>
          <w:vanish w:val="0"/>
          <w:color w:val="auto"/>
        </w:rPr>
      </w:pPr>
    </w:p>
    <w:p w14:paraId="45833C6D">
      <w:pPr>
        <w:pStyle w:val="79"/>
        <w:rPr>
          <w:color w:val="auto"/>
        </w:rPr>
      </w:pPr>
      <w:r>
        <w:rPr>
          <w:color w:val="auto"/>
        </w:rPr>
        <w:br w:type="textWrapping"/>
      </w:r>
      <w:r>
        <w:rPr>
          <w:rFonts w:hint="eastAsia"/>
          <w:color w:val="auto"/>
        </w:rPr>
        <w:t>（规范性）</w:t>
      </w:r>
      <w:r>
        <w:rPr>
          <w:color w:val="auto"/>
        </w:rPr>
        <w:br w:type="textWrapping"/>
      </w:r>
      <w:r>
        <w:rPr>
          <w:rFonts w:hint="eastAsia"/>
          <w:color w:val="auto"/>
        </w:rPr>
        <w:t>超级能效工厂评价要素和内容</w:t>
      </w:r>
    </w:p>
    <w:p w14:paraId="56B20DCB">
      <w:pPr>
        <w:pStyle w:val="81"/>
        <w:spacing w:before="120" w:after="120"/>
        <w:rPr>
          <w:color w:val="auto"/>
        </w:rPr>
      </w:pPr>
      <w:r>
        <w:rPr>
          <w:rFonts w:hint="eastAsia"/>
          <w:color w:val="auto"/>
        </w:rPr>
        <w:t>超级能效工厂基本要求评定</w:t>
      </w:r>
    </w:p>
    <w:p w14:paraId="07C809AE">
      <w:pPr>
        <w:pStyle w:val="59"/>
        <w:ind w:firstLine="420"/>
        <w:rPr>
          <w:color w:val="auto"/>
        </w:rPr>
      </w:pPr>
      <w:r>
        <w:rPr>
          <w:rFonts w:hint="eastAsia"/>
          <w:color w:val="auto"/>
        </w:rPr>
        <w:t>超级能效工厂基本要求按表A.1评定，评定结果为符合或不符合。</w:t>
      </w:r>
    </w:p>
    <w:p w14:paraId="2027FF07">
      <w:pPr>
        <w:pStyle w:val="80"/>
        <w:spacing w:before="120" w:after="120"/>
        <w:ind w:left="2692" w:leftChars="67" w:hanging="2551" w:hangingChars="1215"/>
        <w:rPr>
          <w:color w:val="auto"/>
        </w:rPr>
      </w:pPr>
      <w:r>
        <w:rPr>
          <w:rFonts w:hint="eastAsia"/>
          <w:color w:val="auto"/>
        </w:rPr>
        <w:t>超级能效工厂基本要求</w:t>
      </w:r>
    </w:p>
    <w:p w14:paraId="244E4834">
      <w:pPr>
        <w:pStyle w:val="59"/>
        <w:ind w:firstLine="420"/>
        <w:rPr>
          <w:color w:val="auto"/>
        </w:rPr>
      </w:pP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162"/>
        <w:gridCol w:w="6397"/>
        <w:gridCol w:w="1585"/>
      </w:tblGrid>
      <w:tr w14:paraId="6E6DA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tcBorders>
              <w:top w:val="single" w:color="auto" w:sz="8" w:space="0"/>
              <w:bottom w:val="single" w:color="auto" w:sz="8" w:space="0"/>
            </w:tcBorders>
            <w:vAlign w:val="center"/>
          </w:tcPr>
          <w:p w14:paraId="396F6677">
            <w:pPr>
              <w:spacing w:line="240" w:lineRule="auto"/>
              <w:jc w:val="center"/>
              <w:rPr>
                <w:rFonts w:hint="eastAsia" w:ascii="宋体" w:hAnsi="宋体"/>
                <w:color w:val="auto"/>
                <w:sz w:val="18"/>
                <w:szCs w:val="18"/>
              </w:rPr>
            </w:pPr>
            <w:r>
              <w:rPr>
                <w:rFonts w:hint="eastAsia" w:ascii="宋体" w:hAnsi="宋体"/>
                <w:color w:val="auto"/>
                <w:sz w:val="18"/>
                <w:szCs w:val="18"/>
              </w:rPr>
              <w:t>序号</w:t>
            </w:r>
          </w:p>
        </w:tc>
        <w:tc>
          <w:tcPr>
            <w:tcW w:w="607" w:type="pct"/>
            <w:tcBorders>
              <w:top w:val="single" w:color="auto" w:sz="8" w:space="0"/>
              <w:bottom w:val="single" w:color="auto" w:sz="8" w:space="0"/>
            </w:tcBorders>
            <w:vAlign w:val="center"/>
          </w:tcPr>
          <w:p w14:paraId="01BAC28B">
            <w:pPr>
              <w:spacing w:line="240" w:lineRule="auto"/>
              <w:jc w:val="center"/>
              <w:rPr>
                <w:rFonts w:hint="eastAsia" w:ascii="宋体" w:hAnsi="宋体"/>
                <w:color w:val="auto"/>
                <w:sz w:val="18"/>
                <w:szCs w:val="18"/>
              </w:rPr>
            </w:pPr>
            <w:r>
              <w:rPr>
                <w:rFonts w:hint="eastAsia" w:ascii="宋体" w:hAnsi="宋体"/>
                <w:color w:val="auto"/>
                <w:sz w:val="18"/>
                <w:szCs w:val="18"/>
              </w:rPr>
              <w:t>项目</w:t>
            </w:r>
          </w:p>
        </w:tc>
        <w:tc>
          <w:tcPr>
            <w:tcW w:w="3342" w:type="pct"/>
            <w:tcBorders>
              <w:top w:val="single" w:color="auto" w:sz="8" w:space="0"/>
              <w:bottom w:val="single" w:color="auto" w:sz="8" w:space="0"/>
            </w:tcBorders>
            <w:vAlign w:val="center"/>
          </w:tcPr>
          <w:p w14:paraId="74C603C4">
            <w:pPr>
              <w:spacing w:line="240" w:lineRule="auto"/>
              <w:jc w:val="center"/>
              <w:rPr>
                <w:rFonts w:hint="eastAsia" w:ascii="宋体" w:hAnsi="宋体"/>
                <w:color w:val="auto"/>
                <w:sz w:val="18"/>
                <w:szCs w:val="18"/>
              </w:rPr>
            </w:pPr>
            <w:r>
              <w:rPr>
                <w:rFonts w:hint="eastAsia" w:ascii="宋体" w:hAnsi="宋体"/>
                <w:color w:val="auto"/>
                <w:sz w:val="18"/>
                <w:szCs w:val="18"/>
              </w:rPr>
              <w:t>评价要求</w:t>
            </w:r>
          </w:p>
        </w:tc>
        <w:tc>
          <w:tcPr>
            <w:tcW w:w="828" w:type="pct"/>
            <w:tcBorders>
              <w:top w:val="single" w:color="auto" w:sz="8" w:space="0"/>
              <w:bottom w:val="single" w:color="auto" w:sz="8" w:space="0"/>
            </w:tcBorders>
            <w:vAlign w:val="center"/>
          </w:tcPr>
          <w:p w14:paraId="6B8B7C06">
            <w:pPr>
              <w:spacing w:line="240" w:lineRule="auto"/>
              <w:jc w:val="center"/>
              <w:rPr>
                <w:rFonts w:hint="eastAsia" w:ascii="宋体" w:hAnsi="宋体"/>
                <w:color w:val="auto"/>
                <w:sz w:val="18"/>
                <w:szCs w:val="18"/>
              </w:rPr>
            </w:pPr>
            <w:r>
              <w:rPr>
                <w:rFonts w:hint="eastAsia" w:ascii="宋体" w:hAnsi="宋体"/>
                <w:color w:val="auto"/>
                <w:sz w:val="18"/>
                <w:szCs w:val="18"/>
              </w:rPr>
              <w:t>评定结果</w:t>
            </w:r>
          </w:p>
          <w:p w14:paraId="6121F2D4">
            <w:pPr>
              <w:spacing w:line="240" w:lineRule="auto"/>
              <w:rPr>
                <w:rFonts w:hint="eastAsia" w:ascii="宋体" w:hAnsi="宋体"/>
                <w:color w:val="auto"/>
                <w:sz w:val="18"/>
                <w:szCs w:val="18"/>
              </w:rPr>
            </w:pPr>
            <w:r>
              <w:rPr>
                <w:rFonts w:hint="eastAsia" w:ascii="宋体" w:hAnsi="宋体"/>
                <w:color w:val="auto"/>
                <w:sz w:val="18"/>
                <w:szCs w:val="18"/>
              </w:rPr>
              <w:t>（符合/不符合）</w:t>
            </w:r>
          </w:p>
        </w:tc>
      </w:tr>
      <w:tr w14:paraId="6F07F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restart"/>
            <w:vAlign w:val="center"/>
          </w:tcPr>
          <w:p w14:paraId="0035910A">
            <w:pPr>
              <w:spacing w:line="240" w:lineRule="auto"/>
              <w:jc w:val="center"/>
              <w:rPr>
                <w:rFonts w:hint="eastAsia" w:ascii="宋体" w:hAnsi="宋体"/>
                <w:color w:val="auto"/>
                <w:sz w:val="18"/>
                <w:szCs w:val="18"/>
              </w:rPr>
            </w:pPr>
            <w:r>
              <w:rPr>
                <w:rFonts w:hint="eastAsia" w:ascii="宋体" w:hAnsi="宋体"/>
                <w:color w:val="auto"/>
                <w:sz w:val="18"/>
                <w:szCs w:val="18"/>
              </w:rPr>
              <w:t>1</w:t>
            </w:r>
          </w:p>
        </w:tc>
        <w:tc>
          <w:tcPr>
            <w:tcW w:w="607" w:type="pct"/>
            <w:vMerge w:val="restart"/>
            <w:vAlign w:val="center"/>
          </w:tcPr>
          <w:p w14:paraId="2209D2A0">
            <w:pPr>
              <w:spacing w:line="240" w:lineRule="auto"/>
              <w:rPr>
                <w:rFonts w:hint="eastAsia" w:ascii="宋体" w:hAnsi="宋体"/>
                <w:color w:val="auto"/>
                <w:sz w:val="18"/>
                <w:szCs w:val="18"/>
              </w:rPr>
            </w:pPr>
            <w:r>
              <w:rPr>
                <w:rFonts w:hint="eastAsia" w:ascii="宋体" w:hAnsi="宋体"/>
                <w:color w:val="auto"/>
                <w:sz w:val="18"/>
                <w:szCs w:val="18"/>
              </w:rPr>
              <w:t>基础要求</w:t>
            </w:r>
          </w:p>
        </w:tc>
        <w:tc>
          <w:tcPr>
            <w:tcW w:w="3342" w:type="pct"/>
            <w:vAlign w:val="center"/>
          </w:tcPr>
          <w:p w14:paraId="6DE1FB1F">
            <w:pPr>
              <w:spacing w:line="240" w:lineRule="auto"/>
              <w:jc w:val="left"/>
              <w:rPr>
                <w:rFonts w:hint="eastAsia" w:ascii="宋体" w:hAnsi="宋体"/>
                <w:color w:val="auto"/>
                <w:sz w:val="18"/>
                <w:szCs w:val="18"/>
              </w:rPr>
            </w:pPr>
            <w:r>
              <w:rPr>
                <w:rFonts w:hint="eastAsia" w:ascii="宋体" w:hAnsi="宋体"/>
                <w:color w:val="auto"/>
                <w:sz w:val="18"/>
                <w:szCs w:val="18"/>
              </w:rPr>
              <w:t>工业企业应为年能源消费量超过5000吨标准煤的独立法人单位。</w:t>
            </w:r>
          </w:p>
        </w:tc>
        <w:tc>
          <w:tcPr>
            <w:tcW w:w="828" w:type="pct"/>
            <w:vAlign w:val="center"/>
          </w:tcPr>
          <w:p w14:paraId="116BC8EE">
            <w:pPr>
              <w:spacing w:line="240" w:lineRule="auto"/>
              <w:rPr>
                <w:rFonts w:hint="eastAsia" w:ascii="宋体" w:hAnsi="宋体"/>
                <w:color w:val="auto"/>
                <w:sz w:val="18"/>
                <w:szCs w:val="18"/>
              </w:rPr>
            </w:pPr>
          </w:p>
        </w:tc>
      </w:tr>
      <w:tr w14:paraId="6FB92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continue"/>
            <w:vAlign w:val="center"/>
          </w:tcPr>
          <w:p w14:paraId="20CA6605">
            <w:pPr>
              <w:spacing w:line="240" w:lineRule="auto"/>
              <w:jc w:val="center"/>
              <w:rPr>
                <w:rFonts w:hint="eastAsia" w:ascii="宋体" w:hAnsi="宋体"/>
                <w:color w:val="auto"/>
                <w:sz w:val="18"/>
                <w:szCs w:val="18"/>
              </w:rPr>
            </w:pPr>
          </w:p>
        </w:tc>
        <w:tc>
          <w:tcPr>
            <w:tcW w:w="607" w:type="pct"/>
            <w:vMerge w:val="continue"/>
            <w:vAlign w:val="center"/>
          </w:tcPr>
          <w:p w14:paraId="0FB88498">
            <w:pPr>
              <w:spacing w:line="240" w:lineRule="auto"/>
              <w:rPr>
                <w:rFonts w:hint="eastAsia" w:ascii="宋体" w:hAnsi="宋体"/>
                <w:color w:val="auto"/>
                <w:sz w:val="18"/>
                <w:szCs w:val="18"/>
              </w:rPr>
            </w:pPr>
          </w:p>
        </w:tc>
        <w:tc>
          <w:tcPr>
            <w:tcW w:w="3342" w:type="pct"/>
            <w:vAlign w:val="center"/>
          </w:tcPr>
          <w:p w14:paraId="34C3663B">
            <w:pPr>
              <w:spacing w:line="240" w:lineRule="auto"/>
              <w:jc w:val="left"/>
              <w:rPr>
                <w:rFonts w:hint="eastAsia" w:ascii="宋体" w:hAnsi="宋体"/>
                <w:color w:val="auto"/>
                <w:sz w:val="18"/>
                <w:szCs w:val="18"/>
              </w:rPr>
            </w:pPr>
            <w:r>
              <w:rPr>
                <w:rFonts w:hint="eastAsia" w:ascii="宋体" w:hAnsi="宋体"/>
                <w:color w:val="auto"/>
                <w:sz w:val="18"/>
                <w:szCs w:val="18"/>
              </w:rPr>
              <w:t>工业企业应建立完备的能源统计和计量管理制度，能源计量器具配备符合GB 17167要求。</w:t>
            </w:r>
          </w:p>
        </w:tc>
        <w:tc>
          <w:tcPr>
            <w:tcW w:w="828" w:type="pct"/>
            <w:vAlign w:val="center"/>
          </w:tcPr>
          <w:p w14:paraId="4735A2F3">
            <w:pPr>
              <w:spacing w:line="240" w:lineRule="auto"/>
              <w:rPr>
                <w:rFonts w:hint="eastAsia" w:ascii="宋体" w:hAnsi="宋体"/>
                <w:color w:val="auto"/>
                <w:sz w:val="18"/>
                <w:szCs w:val="18"/>
              </w:rPr>
            </w:pPr>
          </w:p>
        </w:tc>
      </w:tr>
      <w:tr w14:paraId="39822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continue"/>
            <w:vAlign w:val="center"/>
          </w:tcPr>
          <w:p w14:paraId="2C800E2A">
            <w:pPr>
              <w:spacing w:line="240" w:lineRule="auto"/>
              <w:jc w:val="center"/>
              <w:rPr>
                <w:rFonts w:hint="eastAsia" w:ascii="宋体" w:hAnsi="宋体"/>
                <w:color w:val="auto"/>
                <w:sz w:val="18"/>
                <w:szCs w:val="18"/>
              </w:rPr>
            </w:pPr>
          </w:p>
        </w:tc>
        <w:tc>
          <w:tcPr>
            <w:tcW w:w="607" w:type="pct"/>
            <w:vMerge w:val="continue"/>
            <w:vAlign w:val="center"/>
          </w:tcPr>
          <w:p w14:paraId="47AC3B65">
            <w:pPr>
              <w:spacing w:line="240" w:lineRule="auto"/>
              <w:rPr>
                <w:rFonts w:hint="eastAsia" w:ascii="宋体" w:hAnsi="宋体"/>
                <w:color w:val="auto"/>
                <w:sz w:val="18"/>
                <w:szCs w:val="18"/>
              </w:rPr>
            </w:pPr>
          </w:p>
        </w:tc>
        <w:tc>
          <w:tcPr>
            <w:tcW w:w="3342" w:type="pct"/>
            <w:vAlign w:val="center"/>
          </w:tcPr>
          <w:p w14:paraId="356F7F3D">
            <w:pPr>
              <w:spacing w:line="240" w:lineRule="auto"/>
              <w:jc w:val="left"/>
              <w:rPr>
                <w:rFonts w:hint="eastAsia" w:ascii="宋体" w:hAnsi="宋体"/>
                <w:color w:val="auto"/>
                <w:sz w:val="18"/>
                <w:szCs w:val="18"/>
              </w:rPr>
            </w:pPr>
            <w:r>
              <w:rPr>
                <w:rFonts w:hint="eastAsia" w:ascii="宋体" w:hAnsi="宋体"/>
                <w:color w:val="auto"/>
                <w:sz w:val="18"/>
                <w:szCs w:val="18"/>
              </w:rPr>
              <w:t>工业企业应获得国家级绿色工厂或国家级能效“领跑者”称号。</w:t>
            </w:r>
          </w:p>
        </w:tc>
        <w:tc>
          <w:tcPr>
            <w:tcW w:w="828" w:type="pct"/>
            <w:vAlign w:val="center"/>
          </w:tcPr>
          <w:p w14:paraId="11711012">
            <w:pPr>
              <w:spacing w:line="240" w:lineRule="auto"/>
              <w:rPr>
                <w:rFonts w:hint="eastAsia" w:ascii="宋体" w:hAnsi="宋体"/>
                <w:color w:val="auto"/>
                <w:sz w:val="18"/>
                <w:szCs w:val="18"/>
              </w:rPr>
            </w:pPr>
          </w:p>
        </w:tc>
      </w:tr>
      <w:tr w14:paraId="475D9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continue"/>
            <w:vAlign w:val="center"/>
          </w:tcPr>
          <w:p w14:paraId="51DAFA95">
            <w:pPr>
              <w:spacing w:line="240" w:lineRule="auto"/>
              <w:jc w:val="center"/>
              <w:rPr>
                <w:rFonts w:hint="eastAsia" w:ascii="宋体" w:hAnsi="宋体"/>
                <w:color w:val="auto"/>
                <w:sz w:val="18"/>
                <w:szCs w:val="18"/>
              </w:rPr>
            </w:pPr>
          </w:p>
        </w:tc>
        <w:tc>
          <w:tcPr>
            <w:tcW w:w="607" w:type="pct"/>
            <w:vMerge w:val="continue"/>
            <w:vAlign w:val="center"/>
          </w:tcPr>
          <w:p w14:paraId="58CC12C6">
            <w:pPr>
              <w:spacing w:line="240" w:lineRule="auto"/>
              <w:rPr>
                <w:rFonts w:hint="eastAsia" w:ascii="宋体" w:hAnsi="宋体"/>
                <w:color w:val="auto"/>
                <w:sz w:val="18"/>
                <w:szCs w:val="18"/>
              </w:rPr>
            </w:pPr>
          </w:p>
        </w:tc>
        <w:tc>
          <w:tcPr>
            <w:tcW w:w="3342" w:type="pct"/>
            <w:vAlign w:val="center"/>
          </w:tcPr>
          <w:p w14:paraId="27F91E4E">
            <w:pPr>
              <w:spacing w:line="240" w:lineRule="auto"/>
              <w:jc w:val="left"/>
              <w:rPr>
                <w:rFonts w:hint="eastAsia" w:ascii="宋体" w:hAnsi="宋体"/>
                <w:color w:val="auto"/>
                <w:sz w:val="18"/>
                <w:szCs w:val="18"/>
              </w:rPr>
            </w:pPr>
            <w:r>
              <w:rPr>
                <w:rFonts w:hint="eastAsia" w:ascii="宋体" w:hAnsi="宋体"/>
                <w:color w:val="auto"/>
                <w:sz w:val="18"/>
                <w:szCs w:val="18"/>
              </w:rPr>
              <w:t>工业企业的建筑应满足节能设计的相关标准。</w:t>
            </w:r>
          </w:p>
        </w:tc>
        <w:tc>
          <w:tcPr>
            <w:tcW w:w="828" w:type="pct"/>
            <w:vAlign w:val="center"/>
          </w:tcPr>
          <w:p w14:paraId="1B0C7127">
            <w:pPr>
              <w:spacing w:line="240" w:lineRule="auto"/>
              <w:rPr>
                <w:rFonts w:hint="eastAsia" w:ascii="宋体" w:hAnsi="宋体"/>
                <w:color w:val="auto"/>
                <w:sz w:val="18"/>
                <w:szCs w:val="18"/>
              </w:rPr>
            </w:pPr>
          </w:p>
        </w:tc>
      </w:tr>
      <w:tr w14:paraId="3CE3B8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restart"/>
            <w:vAlign w:val="center"/>
          </w:tcPr>
          <w:p w14:paraId="6D9039C8">
            <w:pPr>
              <w:spacing w:line="240" w:lineRule="auto"/>
              <w:jc w:val="center"/>
              <w:rPr>
                <w:rFonts w:hint="eastAsia" w:ascii="宋体" w:hAnsi="宋体"/>
                <w:color w:val="auto"/>
                <w:sz w:val="18"/>
                <w:szCs w:val="18"/>
              </w:rPr>
            </w:pPr>
            <w:r>
              <w:rPr>
                <w:rFonts w:hint="eastAsia" w:ascii="宋体" w:hAnsi="宋体"/>
                <w:color w:val="auto"/>
                <w:sz w:val="18"/>
                <w:szCs w:val="18"/>
              </w:rPr>
              <w:t>2</w:t>
            </w:r>
          </w:p>
        </w:tc>
        <w:tc>
          <w:tcPr>
            <w:tcW w:w="607" w:type="pct"/>
            <w:vMerge w:val="restart"/>
            <w:vAlign w:val="center"/>
          </w:tcPr>
          <w:p w14:paraId="5105A71D">
            <w:pPr>
              <w:spacing w:line="240" w:lineRule="auto"/>
              <w:rPr>
                <w:rFonts w:hint="eastAsia" w:ascii="宋体" w:hAnsi="宋体"/>
                <w:color w:val="auto"/>
                <w:sz w:val="18"/>
                <w:szCs w:val="18"/>
              </w:rPr>
            </w:pPr>
            <w:r>
              <w:rPr>
                <w:rFonts w:hint="eastAsia" w:ascii="宋体" w:hAnsi="宋体"/>
                <w:color w:val="auto"/>
                <w:sz w:val="18"/>
                <w:szCs w:val="18"/>
              </w:rPr>
              <w:t>合规性要求</w:t>
            </w:r>
          </w:p>
        </w:tc>
        <w:tc>
          <w:tcPr>
            <w:tcW w:w="3342" w:type="pct"/>
            <w:vAlign w:val="center"/>
          </w:tcPr>
          <w:p w14:paraId="60E8EE4E">
            <w:pPr>
              <w:spacing w:line="240" w:lineRule="auto"/>
              <w:jc w:val="left"/>
              <w:rPr>
                <w:rFonts w:hint="eastAsia" w:ascii="宋体" w:hAnsi="宋体"/>
                <w:color w:val="auto"/>
                <w:sz w:val="18"/>
                <w:szCs w:val="18"/>
              </w:rPr>
            </w:pPr>
            <w:r>
              <w:rPr>
                <w:rFonts w:hint="eastAsia" w:ascii="宋体" w:hAnsi="宋体"/>
                <w:color w:val="auto"/>
                <w:sz w:val="18"/>
                <w:szCs w:val="18"/>
              </w:rPr>
              <w:t>工业企业应完成年度节能减排目标。</w:t>
            </w:r>
          </w:p>
        </w:tc>
        <w:tc>
          <w:tcPr>
            <w:tcW w:w="828" w:type="pct"/>
            <w:vAlign w:val="center"/>
          </w:tcPr>
          <w:p w14:paraId="630B2051">
            <w:pPr>
              <w:spacing w:line="240" w:lineRule="auto"/>
              <w:rPr>
                <w:rFonts w:hint="eastAsia" w:ascii="宋体" w:hAnsi="宋体"/>
                <w:color w:val="auto"/>
                <w:sz w:val="18"/>
                <w:szCs w:val="18"/>
              </w:rPr>
            </w:pPr>
          </w:p>
        </w:tc>
      </w:tr>
      <w:tr w14:paraId="7D319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continue"/>
            <w:vAlign w:val="center"/>
          </w:tcPr>
          <w:p w14:paraId="072B5C4E">
            <w:pPr>
              <w:spacing w:line="240" w:lineRule="auto"/>
              <w:rPr>
                <w:rFonts w:hint="eastAsia" w:ascii="宋体" w:hAnsi="宋体"/>
                <w:color w:val="auto"/>
                <w:sz w:val="18"/>
                <w:szCs w:val="18"/>
              </w:rPr>
            </w:pPr>
          </w:p>
        </w:tc>
        <w:tc>
          <w:tcPr>
            <w:tcW w:w="607" w:type="pct"/>
            <w:vMerge w:val="continue"/>
            <w:vAlign w:val="center"/>
          </w:tcPr>
          <w:p w14:paraId="2580CB78">
            <w:pPr>
              <w:spacing w:line="240" w:lineRule="auto"/>
              <w:rPr>
                <w:rFonts w:hint="eastAsia" w:ascii="宋体" w:hAnsi="宋体"/>
                <w:color w:val="auto"/>
                <w:sz w:val="18"/>
                <w:szCs w:val="18"/>
              </w:rPr>
            </w:pPr>
          </w:p>
        </w:tc>
        <w:tc>
          <w:tcPr>
            <w:tcW w:w="3342" w:type="pct"/>
            <w:vAlign w:val="center"/>
          </w:tcPr>
          <w:p w14:paraId="590A77BC">
            <w:pPr>
              <w:spacing w:line="240" w:lineRule="auto"/>
              <w:jc w:val="left"/>
              <w:rPr>
                <w:rFonts w:hint="eastAsia" w:ascii="宋体" w:hAnsi="宋体"/>
                <w:color w:val="auto"/>
                <w:sz w:val="18"/>
                <w:szCs w:val="18"/>
              </w:rPr>
            </w:pPr>
            <w:r>
              <w:rPr>
                <w:rFonts w:hint="eastAsia" w:ascii="宋体" w:hAnsi="宋体"/>
                <w:color w:val="auto"/>
                <w:sz w:val="18"/>
                <w:szCs w:val="18"/>
              </w:rPr>
              <w:t>工业企业纳入碳排放权交易的应按时完成碳排放权交易履约。</w:t>
            </w:r>
          </w:p>
        </w:tc>
        <w:tc>
          <w:tcPr>
            <w:tcW w:w="828" w:type="pct"/>
            <w:vAlign w:val="center"/>
          </w:tcPr>
          <w:p w14:paraId="01A04988">
            <w:pPr>
              <w:spacing w:line="240" w:lineRule="auto"/>
              <w:rPr>
                <w:rFonts w:hint="eastAsia" w:ascii="宋体" w:hAnsi="宋体"/>
                <w:color w:val="auto"/>
                <w:sz w:val="18"/>
                <w:szCs w:val="18"/>
              </w:rPr>
            </w:pPr>
          </w:p>
        </w:tc>
      </w:tr>
      <w:tr w14:paraId="0B23D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continue"/>
            <w:vAlign w:val="center"/>
          </w:tcPr>
          <w:p w14:paraId="73A9DC1B">
            <w:pPr>
              <w:spacing w:line="240" w:lineRule="auto"/>
              <w:rPr>
                <w:rFonts w:hint="eastAsia" w:ascii="宋体" w:hAnsi="宋体"/>
                <w:color w:val="auto"/>
                <w:sz w:val="18"/>
                <w:szCs w:val="18"/>
              </w:rPr>
            </w:pPr>
          </w:p>
        </w:tc>
        <w:tc>
          <w:tcPr>
            <w:tcW w:w="607" w:type="pct"/>
            <w:vMerge w:val="continue"/>
            <w:vAlign w:val="center"/>
          </w:tcPr>
          <w:p w14:paraId="566DFB9B">
            <w:pPr>
              <w:spacing w:line="240" w:lineRule="auto"/>
              <w:rPr>
                <w:rFonts w:hint="eastAsia" w:ascii="宋体" w:hAnsi="宋体"/>
                <w:color w:val="auto"/>
                <w:sz w:val="18"/>
                <w:szCs w:val="18"/>
              </w:rPr>
            </w:pPr>
          </w:p>
        </w:tc>
        <w:tc>
          <w:tcPr>
            <w:tcW w:w="3342" w:type="pct"/>
            <w:vAlign w:val="center"/>
          </w:tcPr>
          <w:p w14:paraId="545A56A1">
            <w:pPr>
              <w:spacing w:line="240" w:lineRule="auto"/>
              <w:jc w:val="left"/>
              <w:rPr>
                <w:rFonts w:hint="eastAsia" w:ascii="宋体" w:hAnsi="宋体"/>
                <w:color w:val="auto"/>
                <w:sz w:val="18"/>
                <w:szCs w:val="18"/>
              </w:rPr>
            </w:pPr>
            <w:r>
              <w:rPr>
                <w:rFonts w:hint="eastAsia" w:ascii="宋体" w:hAnsi="宋体"/>
                <w:color w:val="auto"/>
                <w:sz w:val="18"/>
                <w:szCs w:val="18"/>
              </w:rPr>
              <w:t>工业企业应符合国家产业政策要求，未使用国家明令禁止或列入限制、淘汰目录的落后工艺、设备和产品。</w:t>
            </w:r>
          </w:p>
        </w:tc>
        <w:tc>
          <w:tcPr>
            <w:tcW w:w="828" w:type="pct"/>
            <w:vAlign w:val="center"/>
          </w:tcPr>
          <w:p w14:paraId="28BA38DB">
            <w:pPr>
              <w:spacing w:line="240" w:lineRule="auto"/>
              <w:rPr>
                <w:rFonts w:hint="eastAsia" w:ascii="宋体" w:hAnsi="宋体"/>
                <w:color w:val="auto"/>
                <w:sz w:val="18"/>
                <w:szCs w:val="18"/>
              </w:rPr>
            </w:pPr>
          </w:p>
        </w:tc>
      </w:tr>
      <w:tr w14:paraId="73427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 w:type="pct"/>
            <w:vMerge w:val="continue"/>
            <w:vAlign w:val="center"/>
          </w:tcPr>
          <w:p w14:paraId="7A39B00F">
            <w:pPr>
              <w:spacing w:line="240" w:lineRule="auto"/>
              <w:rPr>
                <w:rFonts w:hint="eastAsia" w:ascii="宋体" w:hAnsi="宋体"/>
                <w:color w:val="auto"/>
                <w:sz w:val="18"/>
                <w:szCs w:val="18"/>
              </w:rPr>
            </w:pPr>
          </w:p>
        </w:tc>
        <w:tc>
          <w:tcPr>
            <w:tcW w:w="607" w:type="pct"/>
            <w:vMerge w:val="continue"/>
            <w:vAlign w:val="center"/>
          </w:tcPr>
          <w:p w14:paraId="122426AA">
            <w:pPr>
              <w:spacing w:line="240" w:lineRule="auto"/>
              <w:rPr>
                <w:rFonts w:hint="eastAsia" w:ascii="宋体" w:hAnsi="宋体"/>
                <w:color w:val="auto"/>
                <w:sz w:val="18"/>
                <w:szCs w:val="18"/>
              </w:rPr>
            </w:pPr>
          </w:p>
        </w:tc>
        <w:tc>
          <w:tcPr>
            <w:tcW w:w="3342" w:type="pct"/>
            <w:vAlign w:val="center"/>
          </w:tcPr>
          <w:p w14:paraId="0FEBFAF0">
            <w:pPr>
              <w:spacing w:line="240" w:lineRule="auto"/>
              <w:jc w:val="left"/>
              <w:rPr>
                <w:rFonts w:hint="eastAsia" w:ascii="宋体" w:hAnsi="宋体"/>
                <w:color w:val="auto"/>
                <w:sz w:val="18"/>
                <w:szCs w:val="18"/>
              </w:rPr>
            </w:pPr>
            <w:r>
              <w:rPr>
                <w:rFonts w:hint="eastAsia" w:ascii="宋体" w:hAnsi="宋体"/>
                <w:color w:val="auto"/>
                <w:sz w:val="18"/>
                <w:szCs w:val="18"/>
              </w:rPr>
              <w:t>工业企业生产经营正常，近三年应无安全、质量、环境污染等事故以及偷漏税等违法违规行为，在国务院及有关部门相关督查工作中未发现存在严重问题，未被列入工业节能监察整改名单、失信被执行人等，未存在未落实国家及省节能减煤政策措施情况。</w:t>
            </w:r>
          </w:p>
        </w:tc>
        <w:tc>
          <w:tcPr>
            <w:tcW w:w="828" w:type="pct"/>
            <w:vAlign w:val="center"/>
          </w:tcPr>
          <w:p w14:paraId="6B067EFC">
            <w:pPr>
              <w:spacing w:line="240" w:lineRule="auto"/>
              <w:rPr>
                <w:rFonts w:hint="eastAsia" w:ascii="宋体" w:hAnsi="宋体"/>
                <w:color w:val="auto"/>
                <w:sz w:val="18"/>
                <w:szCs w:val="18"/>
              </w:rPr>
            </w:pPr>
          </w:p>
        </w:tc>
      </w:tr>
    </w:tbl>
    <w:p w14:paraId="5752C309">
      <w:pPr>
        <w:pStyle w:val="59"/>
        <w:ind w:firstLine="420"/>
        <w:rPr>
          <w:color w:val="auto"/>
        </w:rPr>
      </w:pPr>
    </w:p>
    <w:p w14:paraId="1D111127">
      <w:pPr>
        <w:pStyle w:val="59"/>
        <w:ind w:firstLine="420"/>
        <w:rPr>
          <w:color w:val="auto"/>
        </w:rPr>
      </w:pPr>
    </w:p>
    <w:p w14:paraId="0D89891D">
      <w:pPr>
        <w:pStyle w:val="59"/>
        <w:ind w:firstLine="420"/>
        <w:rPr>
          <w:color w:val="auto"/>
        </w:rPr>
        <w:sectPr>
          <w:pgSz w:w="11906" w:h="16838"/>
          <w:pgMar w:top="1928" w:right="1134" w:bottom="1134" w:left="1134" w:header="1418" w:footer="1134" w:gutter="284"/>
          <w:pgNumType w:fmt="decimal"/>
          <w:cols w:space="425" w:num="1"/>
          <w:formProt w:val="0"/>
          <w:docGrid w:linePitch="312" w:charSpace="0"/>
        </w:sectPr>
      </w:pPr>
    </w:p>
    <w:p w14:paraId="516B0A94">
      <w:pPr>
        <w:pStyle w:val="81"/>
        <w:spacing w:before="120" w:after="120"/>
        <w:rPr>
          <w:color w:val="auto"/>
        </w:rPr>
      </w:pPr>
      <w:r>
        <w:rPr>
          <w:rFonts w:hint="eastAsia"/>
          <w:color w:val="auto"/>
        </w:rPr>
        <w:t>级能效工厂评分</w:t>
      </w:r>
    </w:p>
    <w:p w14:paraId="1281C136">
      <w:pPr>
        <w:pStyle w:val="59"/>
        <w:ind w:firstLine="420"/>
        <w:rPr>
          <w:color w:val="auto"/>
        </w:rPr>
      </w:pPr>
      <w:r>
        <w:rPr>
          <w:rFonts w:hint="eastAsia"/>
          <w:color w:val="auto"/>
        </w:rPr>
        <w:t>超级能效工厂按表A.2评分。</w:t>
      </w:r>
    </w:p>
    <w:p w14:paraId="6FC1C39C">
      <w:pPr>
        <w:pStyle w:val="80"/>
        <w:spacing w:before="120" w:after="120"/>
        <w:jc w:val="both"/>
        <w:rPr>
          <w:color w:val="auto"/>
        </w:rPr>
      </w:pPr>
      <w:r>
        <w:rPr>
          <w:rFonts w:hint="eastAsia"/>
          <w:color w:val="auto"/>
        </w:rPr>
        <w:t>超级能效工厂评分表</w:t>
      </w:r>
    </w:p>
    <w:tbl>
      <w:tblPr>
        <w:tblStyle w:val="28"/>
        <w:tblW w:w="13604" w:type="dxa"/>
        <w:tblInd w:w="0" w:type="dxa"/>
        <w:tblLayout w:type="fixed"/>
        <w:tblCellMar>
          <w:top w:w="0" w:type="dxa"/>
          <w:left w:w="108" w:type="dxa"/>
          <w:bottom w:w="0" w:type="dxa"/>
          <w:right w:w="108" w:type="dxa"/>
        </w:tblCellMar>
      </w:tblPr>
      <w:tblGrid>
        <w:gridCol w:w="458"/>
        <w:gridCol w:w="950"/>
        <w:gridCol w:w="567"/>
        <w:gridCol w:w="4111"/>
        <w:gridCol w:w="6095"/>
        <w:gridCol w:w="709"/>
        <w:gridCol w:w="714"/>
      </w:tblGrid>
      <w:tr w14:paraId="39445572">
        <w:tblPrEx>
          <w:tblCellMar>
            <w:top w:w="0" w:type="dxa"/>
            <w:left w:w="108" w:type="dxa"/>
            <w:bottom w:w="0" w:type="dxa"/>
            <w:right w:w="108" w:type="dxa"/>
          </w:tblCellMar>
        </w:tblPrEx>
        <w:trPr>
          <w:trHeight w:val="57" w:hRule="atLeast"/>
          <w:tblHeader/>
        </w:trPr>
        <w:tc>
          <w:tcPr>
            <w:tcW w:w="458" w:type="dxa"/>
            <w:tcBorders>
              <w:top w:val="single" w:color="auto" w:sz="8" w:space="0"/>
              <w:left w:val="single" w:color="auto" w:sz="8" w:space="0"/>
              <w:bottom w:val="single" w:color="auto" w:sz="8" w:space="0"/>
              <w:right w:val="single" w:color="auto" w:sz="4" w:space="0"/>
            </w:tcBorders>
            <w:shd w:val="clear" w:color="auto" w:fill="auto"/>
            <w:vAlign w:val="center"/>
          </w:tcPr>
          <w:p w14:paraId="777A371F">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序号</w:t>
            </w:r>
          </w:p>
        </w:tc>
        <w:tc>
          <w:tcPr>
            <w:tcW w:w="950" w:type="dxa"/>
            <w:tcBorders>
              <w:top w:val="single" w:color="auto" w:sz="8" w:space="0"/>
              <w:left w:val="nil"/>
              <w:bottom w:val="single" w:color="auto" w:sz="8" w:space="0"/>
              <w:right w:val="single" w:color="auto" w:sz="4" w:space="0"/>
            </w:tcBorders>
            <w:shd w:val="clear" w:color="auto" w:fill="auto"/>
            <w:vAlign w:val="center"/>
          </w:tcPr>
          <w:p w14:paraId="26A1AAF5">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一级指标</w:t>
            </w:r>
          </w:p>
        </w:tc>
        <w:tc>
          <w:tcPr>
            <w:tcW w:w="4678" w:type="dxa"/>
            <w:gridSpan w:val="2"/>
            <w:tcBorders>
              <w:top w:val="single" w:color="auto" w:sz="8" w:space="0"/>
              <w:left w:val="nil"/>
              <w:bottom w:val="single" w:color="auto" w:sz="8" w:space="0"/>
              <w:right w:val="single" w:color="auto" w:sz="4" w:space="0"/>
            </w:tcBorders>
            <w:shd w:val="clear" w:color="auto" w:fill="auto"/>
            <w:vAlign w:val="center"/>
          </w:tcPr>
          <w:p w14:paraId="232834E0">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二级指标</w:t>
            </w:r>
          </w:p>
        </w:tc>
        <w:tc>
          <w:tcPr>
            <w:tcW w:w="6095" w:type="dxa"/>
            <w:tcBorders>
              <w:top w:val="single" w:color="auto" w:sz="8" w:space="0"/>
              <w:left w:val="nil"/>
              <w:bottom w:val="single" w:color="auto" w:sz="8" w:space="0"/>
              <w:right w:val="single" w:color="auto" w:sz="4" w:space="0"/>
            </w:tcBorders>
            <w:shd w:val="clear" w:color="auto" w:fill="auto"/>
            <w:vAlign w:val="center"/>
          </w:tcPr>
          <w:p w14:paraId="58812DDF">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具体评价要求</w:t>
            </w:r>
          </w:p>
        </w:tc>
        <w:tc>
          <w:tcPr>
            <w:tcW w:w="709" w:type="dxa"/>
            <w:tcBorders>
              <w:top w:val="single" w:color="auto" w:sz="8" w:space="0"/>
              <w:left w:val="nil"/>
              <w:bottom w:val="single" w:color="auto" w:sz="8" w:space="0"/>
              <w:right w:val="single" w:color="auto" w:sz="8" w:space="0"/>
            </w:tcBorders>
            <w:shd w:val="clear" w:color="auto" w:fill="auto"/>
            <w:vAlign w:val="center"/>
          </w:tcPr>
          <w:p w14:paraId="6EC99C33">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分值</w:t>
            </w:r>
          </w:p>
        </w:tc>
        <w:tc>
          <w:tcPr>
            <w:tcW w:w="714" w:type="dxa"/>
            <w:tcBorders>
              <w:top w:val="single" w:color="auto" w:sz="8" w:space="0"/>
              <w:left w:val="nil"/>
              <w:bottom w:val="single" w:color="auto" w:sz="8" w:space="0"/>
              <w:right w:val="single" w:color="auto" w:sz="8" w:space="0"/>
            </w:tcBorders>
            <w:vAlign w:val="center"/>
          </w:tcPr>
          <w:p w14:paraId="477A48B6">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得分</w:t>
            </w:r>
          </w:p>
        </w:tc>
      </w:tr>
      <w:tr w14:paraId="1D4A0568">
        <w:tblPrEx>
          <w:tblCellMar>
            <w:top w:w="0" w:type="dxa"/>
            <w:left w:w="108" w:type="dxa"/>
            <w:bottom w:w="0" w:type="dxa"/>
            <w:right w:w="108" w:type="dxa"/>
          </w:tblCellMar>
        </w:tblPrEx>
        <w:trPr>
          <w:trHeight w:val="57" w:hRule="atLeast"/>
        </w:trPr>
        <w:tc>
          <w:tcPr>
            <w:tcW w:w="458" w:type="dxa"/>
            <w:tcBorders>
              <w:top w:val="single" w:color="auto" w:sz="8" w:space="0"/>
              <w:left w:val="single" w:color="auto" w:sz="8" w:space="0"/>
              <w:bottom w:val="single" w:color="auto" w:sz="4" w:space="0"/>
              <w:right w:val="single" w:color="auto" w:sz="4" w:space="0"/>
            </w:tcBorders>
            <w:shd w:val="clear" w:color="auto" w:fill="auto"/>
            <w:vAlign w:val="center"/>
          </w:tcPr>
          <w:p w14:paraId="0D8EBC67">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1</w:t>
            </w:r>
          </w:p>
        </w:tc>
        <w:tc>
          <w:tcPr>
            <w:tcW w:w="950" w:type="dxa"/>
            <w:tcBorders>
              <w:top w:val="single" w:color="auto" w:sz="8" w:space="0"/>
              <w:left w:val="nil"/>
              <w:bottom w:val="single" w:color="auto" w:sz="4" w:space="0"/>
              <w:right w:val="single" w:color="auto" w:sz="4" w:space="0"/>
            </w:tcBorders>
            <w:shd w:val="clear" w:color="auto" w:fill="auto"/>
            <w:vAlign w:val="center"/>
          </w:tcPr>
          <w:p w14:paraId="37DE618F">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能效水平</w:t>
            </w:r>
          </w:p>
        </w:tc>
        <w:tc>
          <w:tcPr>
            <w:tcW w:w="4678" w:type="dxa"/>
            <w:gridSpan w:val="2"/>
            <w:tcBorders>
              <w:top w:val="single" w:color="auto" w:sz="8" w:space="0"/>
              <w:left w:val="nil"/>
              <w:bottom w:val="single" w:color="auto" w:sz="4" w:space="0"/>
              <w:right w:val="single" w:color="auto" w:sz="4" w:space="0"/>
            </w:tcBorders>
            <w:shd w:val="clear" w:color="auto" w:fill="auto"/>
            <w:vAlign w:val="center"/>
          </w:tcPr>
          <w:p w14:paraId="69516FE2">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能效水平应优于国际先进水平、能效标杆水平。</w:t>
            </w:r>
          </w:p>
        </w:tc>
        <w:tc>
          <w:tcPr>
            <w:tcW w:w="6095" w:type="dxa"/>
            <w:tcBorders>
              <w:top w:val="single" w:color="auto" w:sz="8" w:space="0"/>
              <w:left w:val="nil"/>
              <w:bottom w:val="single" w:color="auto" w:sz="4" w:space="0"/>
              <w:right w:val="single" w:color="auto" w:sz="4" w:space="0"/>
            </w:tcBorders>
            <w:shd w:val="clear" w:color="auto" w:fill="auto"/>
            <w:vAlign w:val="center"/>
          </w:tcPr>
          <w:p w14:paraId="743E0F22">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单位产品综合能耗达到限额标准先进值或标杆值，得15分；单位产品综合能耗每低1.00%的，得1分，最高得25分。</w:t>
            </w:r>
          </w:p>
        </w:tc>
        <w:tc>
          <w:tcPr>
            <w:tcW w:w="709" w:type="dxa"/>
            <w:tcBorders>
              <w:top w:val="single" w:color="auto" w:sz="8" w:space="0"/>
              <w:left w:val="nil"/>
              <w:bottom w:val="single" w:color="auto" w:sz="4" w:space="0"/>
              <w:right w:val="single" w:color="auto" w:sz="8" w:space="0"/>
            </w:tcBorders>
            <w:shd w:val="clear" w:color="auto" w:fill="auto"/>
            <w:vAlign w:val="center"/>
          </w:tcPr>
          <w:p w14:paraId="0BD789FC">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25</w:t>
            </w:r>
          </w:p>
        </w:tc>
        <w:tc>
          <w:tcPr>
            <w:tcW w:w="714" w:type="dxa"/>
            <w:tcBorders>
              <w:top w:val="single" w:color="auto" w:sz="8" w:space="0"/>
              <w:left w:val="nil"/>
              <w:bottom w:val="single" w:color="auto" w:sz="4" w:space="0"/>
              <w:right w:val="single" w:color="auto" w:sz="8" w:space="0"/>
            </w:tcBorders>
            <w:vAlign w:val="center"/>
          </w:tcPr>
          <w:p w14:paraId="66D53B1F">
            <w:pPr>
              <w:widowControl/>
              <w:adjustRightInd/>
              <w:spacing w:line="240" w:lineRule="auto"/>
              <w:jc w:val="center"/>
              <w:rPr>
                <w:rFonts w:hint="eastAsia" w:ascii="宋体" w:hAnsi="宋体" w:cs="宋体"/>
                <w:color w:val="auto"/>
                <w:kern w:val="0"/>
                <w:sz w:val="18"/>
                <w:szCs w:val="18"/>
              </w:rPr>
            </w:pPr>
          </w:p>
        </w:tc>
      </w:tr>
      <w:tr w14:paraId="093A6F61">
        <w:tblPrEx>
          <w:tblCellMar>
            <w:top w:w="0" w:type="dxa"/>
            <w:left w:w="108" w:type="dxa"/>
            <w:bottom w:w="0" w:type="dxa"/>
            <w:right w:w="108" w:type="dxa"/>
          </w:tblCellMar>
        </w:tblPrEx>
        <w:trPr>
          <w:trHeight w:val="57" w:hRule="atLeast"/>
        </w:trPr>
        <w:tc>
          <w:tcPr>
            <w:tcW w:w="458" w:type="dxa"/>
            <w:vMerge w:val="restart"/>
            <w:tcBorders>
              <w:top w:val="nil"/>
              <w:left w:val="single" w:color="auto" w:sz="8" w:space="0"/>
              <w:right w:val="single" w:color="auto" w:sz="4" w:space="0"/>
            </w:tcBorders>
            <w:shd w:val="clear" w:color="auto" w:fill="auto"/>
            <w:vAlign w:val="center"/>
          </w:tcPr>
          <w:p w14:paraId="3BBE24E6">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950" w:type="dxa"/>
            <w:vMerge w:val="restart"/>
            <w:tcBorders>
              <w:top w:val="nil"/>
              <w:left w:val="single" w:color="auto" w:sz="4" w:space="0"/>
              <w:bottom w:val="single" w:color="auto" w:sz="4" w:space="0"/>
              <w:right w:val="single" w:color="auto" w:sz="4" w:space="0"/>
            </w:tcBorders>
            <w:shd w:val="clear" w:color="auto" w:fill="auto"/>
            <w:vAlign w:val="center"/>
          </w:tcPr>
          <w:p w14:paraId="089A554A">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工艺技术装备</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14:paraId="23C6A12C">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工艺技术</w:t>
            </w:r>
          </w:p>
        </w:tc>
        <w:tc>
          <w:tcPr>
            <w:tcW w:w="4111" w:type="dxa"/>
            <w:tcBorders>
              <w:top w:val="nil"/>
              <w:left w:val="nil"/>
              <w:bottom w:val="single" w:color="auto" w:sz="4" w:space="0"/>
              <w:right w:val="single" w:color="auto" w:sz="4" w:space="0"/>
            </w:tcBorders>
            <w:shd w:val="clear" w:color="auto" w:fill="auto"/>
            <w:vAlign w:val="center"/>
          </w:tcPr>
          <w:p w14:paraId="1621CBAF">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采用国际、国内先进工艺技术，或依托自主工艺技术创新，提高工艺能效水平</w:t>
            </w:r>
          </w:p>
        </w:tc>
        <w:tc>
          <w:tcPr>
            <w:tcW w:w="6095" w:type="dxa"/>
            <w:tcBorders>
              <w:top w:val="nil"/>
              <w:left w:val="nil"/>
              <w:bottom w:val="single" w:color="auto" w:sz="4" w:space="0"/>
              <w:right w:val="single" w:color="auto" w:sz="4" w:space="0"/>
            </w:tcBorders>
            <w:shd w:val="clear" w:color="auto" w:fill="auto"/>
            <w:vAlign w:val="center"/>
          </w:tcPr>
          <w:p w14:paraId="298FC2FB">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以上一个完整的自然年为基准：</w:t>
            </w:r>
          </w:p>
          <w:p w14:paraId="0B37D8D3">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1）相比较上一年度，工艺能效水平提升≥10%的，得15分；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2）相比较上一年度，工艺能效水平提升≥5%的，得10分；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3）相比较上一年度，工艺能效水平提升≥3%的，得5分。</w:t>
            </w:r>
          </w:p>
        </w:tc>
        <w:tc>
          <w:tcPr>
            <w:tcW w:w="709" w:type="dxa"/>
            <w:tcBorders>
              <w:top w:val="nil"/>
              <w:left w:val="nil"/>
              <w:bottom w:val="single" w:color="auto" w:sz="4" w:space="0"/>
              <w:right w:val="single" w:color="auto" w:sz="8" w:space="0"/>
            </w:tcBorders>
            <w:shd w:val="clear" w:color="auto" w:fill="auto"/>
            <w:vAlign w:val="center"/>
          </w:tcPr>
          <w:p w14:paraId="7885CE9F">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714" w:type="dxa"/>
            <w:tcBorders>
              <w:top w:val="nil"/>
              <w:left w:val="nil"/>
              <w:bottom w:val="single" w:color="auto" w:sz="4" w:space="0"/>
              <w:right w:val="single" w:color="auto" w:sz="8" w:space="0"/>
            </w:tcBorders>
            <w:vAlign w:val="center"/>
          </w:tcPr>
          <w:p w14:paraId="40549DE7">
            <w:pPr>
              <w:widowControl/>
              <w:adjustRightInd/>
              <w:spacing w:line="240" w:lineRule="auto"/>
              <w:jc w:val="center"/>
              <w:rPr>
                <w:rFonts w:hint="eastAsia" w:ascii="宋体" w:hAnsi="宋体" w:cs="宋体"/>
                <w:color w:val="auto"/>
                <w:kern w:val="0"/>
                <w:sz w:val="18"/>
                <w:szCs w:val="18"/>
              </w:rPr>
            </w:pPr>
          </w:p>
        </w:tc>
      </w:tr>
      <w:tr w14:paraId="49077D8A">
        <w:tblPrEx>
          <w:tblCellMar>
            <w:top w:w="0" w:type="dxa"/>
            <w:left w:w="108" w:type="dxa"/>
            <w:bottom w:w="0" w:type="dxa"/>
            <w:right w:w="108" w:type="dxa"/>
          </w:tblCellMar>
        </w:tblPrEx>
        <w:trPr>
          <w:trHeight w:val="57" w:hRule="atLeast"/>
        </w:trPr>
        <w:tc>
          <w:tcPr>
            <w:tcW w:w="458" w:type="dxa"/>
            <w:vMerge w:val="continue"/>
            <w:tcBorders>
              <w:left w:val="single" w:color="auto" w:sz="8" w:space="0"/>
              <w:right w:val="single" w:color="auto" w:sz="4" w:space="0"/>
            </w:tcBorders>
            <w:vAlign w:val="center"/>
          </w:tcPr>
          <w:p w14:paraId="21CF8227">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30C0E890">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73A6A058">
            <w:pPr>
              <w:widowControl/>
              <w:adjustRightInd/>
              <w:spacing w:line="240" w:lineRule="auto"/>
              <w:jc w:val="left"/>
              <w:rPr>
                <w:rFonts w:hint="eastAsia" w:ascii="宋体" w:hAnsi="宋体" w:cs="宋体"/>
                <w:color w:val="auto"/>
                <w:kern w:val="0"/>
                <w:sz w:val="18"/>
                <w:szCs w:val="18"/>
              </w:rPr>
            </w:pPr>
          </w:p>
        </w:tc>
        <w:tc>
          <w:tcPr>
            <w:tcW w:w="4111" w:type="dxa"/>
            <w:tcBorders>
              <w:top w:val="nil"/>
              <w:left w:val="nil"/>
              <w:bottom w:val="single" w:color="auto" w:sz="4" w:space="0"/>
              <w:right w:val="single" w:color="auto" w:sz="4" w:space="0"/>
            </w:tcBorders>
            <w:shd w:val="clear" w:color="auto" w:fill="auto"/>
            <w:vAlign w:val="center"/>
          </w:tcPr>
          <w:p w14:paraId="5A624D79">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建成数字化能碳管理中心，提高能源数字化管理水平；</w:t>
            </w:r>
          </w:p>
        </w:tc>
        <w:tc>
          <w:tcPr>
            <w:tcW w:w="6095" w:type="dxa"/>
            <w:tcBorders>
              <w:top w:val="nil"/>
              <w:left w:val="nil"/>
              <w:bottom w:val="single" w:color="auto" w:sz="4" w:space="0"/>
              <w:right w:val="single" w:color="auto" w:sz="4" w:space="0"/>
            </w:tcBorders>
            <w:shd w:val="clear" w:color="auto" w:fill="auto"/>
            <w:vAlign w:val="center"/>
          </w:tcPr>
          <w:p w14:paraId="0842FE64">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1）入选省级以上数字化能碳管理中心名单的，得5分；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2）建设有数字化能碳管理中心的，得2分。</w:t>
            </w:r>
          </w:p>
        </w:tc>
        <w:tc>
          <w:tcPr>
            <w:tcW w:w="709" w:type="dxa"/>
            <w:tcBorders>
              <w:top w:val="nil"/>
              <w:left w:val="nil"/>
              <w:bottom w:val="single" w:color="auto" w:sz="4" w:space="0"/>
              <w:right w:val="single" w:color="auto" w:sz="8" w:space="0"/>
            </w:tcBorders>
            <w:shd w:val="clear" w:color="auto" w:fill="auto"/>
            <w:vAlign w:val="center"/>
          </w:tcPr>
          <w:p w14:paraId="0D25F73B">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714" w:type="dxa"/>
            <w:tcBorders>
              <w:top w:val="nil"/>
              <w:left w:val="nil"/>
              <w:bottom w:val="single" w:color="auto" w:sz="4" w:space="0"/>
              <w:right w:val="single" w:color="auto" w:sz="8" w:space="0"/>
            </w:tcBorders>
            <w:vAlign w:val="center"/>
          </w:tcPr>
          <w:p w14:paraId="048A4F0E">
            <w:pPr>
              <w:widowControl/>
              <w:adjustRightInd/>
              <w:spacing w:line="240" w:lineRule="auto"/>
              <w:jc w:val="center"/>
              <w:rPr>
                <w:rFonts w:hint="eastAsia" w:ascii="宋体" w:hAnsi="宋体" w:cs="宋体"/>
                <w:color w:val="auto"/>
                <w:kern w:val="0"/>
                <w:sz w:val="18"/>
                <w:szCs w:val="18"/>
              </w:rPr>
            </w:pPr>
          </w:p>
        </w:tc>
      </w:tr>
      <w:tr w14:paraId="66A74185">
        <w:tblPrEx>
          <w:tblCellMar>
            <w:top w:w="0" w:type="dxa"/>
            <w:left w:w="108" w:type="dxa"/>
            <w:bottom w:w="0" w:type="dxa"/>
            <w:right w:w="108" w:type="dxa"/>
          </w:tblCellMar>
        </w:tblPrEx>
        <w:trPr>
          <w:trHeight w:val="57" w:hRule="atLeast"/>
        </w:trPr>
        <w:tc>
          <w:tcPr>
            <w:tcW w:w="458" w:type="dxa"/>
            <w:vMerge w:val="continue"/>
            <w:tcBorders>
              <w:left w:val="single" w:color="auto" w:sz="8" w:space="0"/>
              <w:right w:val="single" w:color="auto" w:sz="4" w:space="0"/>
            </w:tcBorders>
            <w:vAlign w:val="center"/>
          </w:tcPr>
          <w:p w14:paraId="3F67EC7A">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10E7D9E4">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299EC3F1">
            <w:pPr>
              <w:widowControl/>
              <w:adjustRightInd/>
              <w:spacing w:line="240" w:lineRule="auto"/>
              <w:jc w:val="left"/>
              <w:rPr>
                <w:rFonts w:hint="eastAsia" w:ascii="宋体" w:hAnsi="宋体" w:cs="宋体"/>
                <w:color w:val="auto"/>
                <w:kern w:val="0"/>
                <w:sz w:val="18"/>
                <w:szCs w:val="18"/>
              </w:rPr>
            </w:pPr>
          </w:p>
        </w:tc>
        <w:tc>
          <w:tcPr>
            <w:tcW w:w="4111" w:type="dxa"/>
            <w:tcBorders>
              <w:top w:val="nil"/>
              <w:left w:val="nil"/>
              <w:bottom w:val="single" w:color="auto" w:sz="4" w:space="0"/>
              <w:right w:val="single" w:color="auto" w:sz="4" w:space="0"/>
            </w:tcBorders>
            <w:shd w:val="clear" w:color="auto" w:fill="auto"/>
            <w:vAlign w:val="center"/>
          </w:tcPr>
          <w:p w14:paraId="4ACFAC4C">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建设多台同类设备集中控制系统，提高工艺自动化水平；</w:t>
            </w:r>
          </w:p>
        </w:tc>
        <w:tc>
          <w:tcPr>
            <w:tcW w:w="6095" w:type="dxa"/>
            <w:tcBorders>
              <w:top w:val="nil"/>
              <w:left w:val="nil"/>
              <w:bottom w:val="single" w:color="auto" w:sz="4" w:space="0"/>
              <w:right w:val="single" w:color="auto" w:sz="4" w:space="0"/>
            </w:tcBorders>
            <w:shd w:val="clear" w:color="auto" w:fill="auto"/>
            <w:vAlign w:val="center"/>
          </w:tcPr>
          <w:p w14:paraId="1C11BED9">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1）多台同类设备集中控制系统运行后对设备能耗的提升进行评估并取得明显效果的，得3分；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2）多台同类设备建成设备集中控制系统并系统正常运行的，得2分；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3）建成设备集中控制系统的，得1分。</w:t>
            </w:r>
          </w:p>
        </w:tc>
        <w:tc>
          <w:tcPr>
            <w:tcW w:w="709" w:type="dxa"/>
            <w:tcBorders>
              <w:top w:val="nil"/>
              <w:left w:val="nil"/>
              <w:bottom w:val="single" w:color="auto" w:sz="4" w:space="0"/>
              <w:right w:val="single" w:color="auto" w:sz="8" w:space="0"/>
            </w:tcBorders>
            <w:shd w:val="clear" w:color="auto" w:fill="auto"/>
            <w:vAlign w:val="center"/>
          </w:tcPr>
          <w:p w14:paraId="6FD33923">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1543D74C">
            <w:pPr>
              <w:widowControl/>
              <w:adjustRightInd/>
              <w:spacing w:line="240" w:lineRule="auto"/>
              <w:jc w:val="center"/>
              <w:rPr>
                <w:rFonts w:hint="eastAsia" w:ascii="宋体" w:hAnsi="宋体" w:cs="宋体"/>
                <w:color w:val="auto"/>
                <w:kern w:val="0"/>
                <w:sz w:val="18"/>
                <w:szCs w:val="18"/>
              </w:rPr>
            </w:pPr>
          </w:p>
        </w:tc>
      </w:tr>
      <w:tr w14:paraId="41270ED1">
        <w:tblPrEx>
          <w:tblCellMar>
            <w:top w:w="0" w:type="dxa"/>
            <w:left w:w="108" w:type="dxa"/>
            <w:bottom w:w="0" w:type="dxa"/>
            <w:right w:w="108" w:type="dxa"/>
          </w:tblCellMar>
        </w:tblPrEx>
        <w:trPr>
          <w:trHeight w:val="57" w:hRule="atLeast"/>
        </w:trPr>
        <w:tc>
          <w:tcPr>
            <w:tcW w:w="458" w:type="dxa"/>
            <w:vMerge w:val="continue"/>
            <w:tcBorders>
              <w:left w:val="single" w:color="auto" w:sz="8" w:space="0"/>
              <w:right w:val="single" w:color="auto" w:sz="4" w:space="0"/>
            </w:tcBorders>
            <w:vAlign w:val="center"/>
          </w:tcPr>
          <w:p w14:paraId="39896D06">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6828539F">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6E1CEFCC">
            <w:pPr>
              <w:widowControl/>
              <w:adjustRightInd/>
              <w:spacing w:line="240" w:lineRule="auto"/>
              <w:jc w:val="left"/>
              <w:rPr>
                <w:rFonts w:hint="eastAsia" w:ascii="宋体" w:hAnsi="宋体" w:cs="宋体"/>
                <w:color w:val="auto"/>
                <w:kern w:val="0"/>
                <w:sz w:val="18"/>
                <w:szCs w:val="18"/>
              </w:rPr>
            </w:pPr>
          </w:p>
        </w:tc>
        <w:tc>
          <w:tcPr>
            <w:tcW w:w="4111" w:type="dxa"/>
            <w:tcBorders>
              <w:top w:val="nil"/>
              <w:left w:val="nil"/>
              <w:bottom w:val="single" w:color="auto" w:sz="4" w:space="0"/>
              <w:right w:val="single" w:color="auto" w:sz="4" w:space="0"/>
            </w:tcBorders>
            <w:shd w:val="clear" w:color="auto" w:fill="auto"/>
            <w:vAlign w:val="center"/>
          </w:tcPr>
          <w:p w14:paraId="67285AAB">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优化能源结构，提高可再生能源占比。</w:t>
            </w:r>
          </w:p>
        </w:tc>
        <w:tc>
          <w:tcPr>
            <w:tcW w:w="6095" w:type="dxa"/>
            <w:tcBorders>
              <w:top w:val="nil"/>
              <w:left w:val="nil"/>
              <w:bottom w:val="single" w:color="auto" w:sz="4" w:space="0"/>
              <w:right w:val="single" w:color="auto" w:sz="4" w:space="0"/>
            </w:tcBorders>
            <w:shd w:val="clear" w:color="auto" w:fill="auto"/>
            <w:vAlign w:val="center"/>
          </w:tcPr>
          <w:p w14:paraId="122B522D">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1)可再生能源占比大于10%的，得3分；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2)可再生能源占比在5%-10%的，得2分；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3)可再生能源占比在2%-5%的，得1分。</w:t>
            </w:r>
          </w:p>
        </w:tc>
        <w:tc>
          <w:tcPr>
            <w:tcW w:w="709" w:type="dxa"/>
            <w:tcBorders>
              <w:top w:val="nil"/>
              <w:left w:val="nil"/>
              <w:bottom w:val="single" w:color="auto" w:sz="4" w:space="0"/>
              <w:right w:val="single" w:color="auto" w:sz="8" w:space="0"/>
            </w:tcBorders>
            <w:shd w:val="clear" w:color="auto" w:fill="auto"/>
            <w:vAlign w:val="center"/>
          </w:tcPr>
          <w:p w14:paraId="22FC4C16">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43FFA343">
            <w:pPr>
              <w:widowControl/>
              <w:adjustRightInd/>
              <w:spacing w:line="240" w:lineRule="auto"/>
              <w:jc w:val="center"/>
              <w:rPr>
                <w:rFonts w:hint="eastAsia" w:ascii="宋体" w:hAnsi="宋体" w:cs="宋体"/>
                <w:color w:val="auto"/>
                <w:kern w:val="0"/>
                <w:sz w:val="18"/>
                <w:szCs w:val="18"/>
              </w:rPr>
            </w:pPr>
          </w:p>
        </w:tc>
      </w:tr>
      <w:tr w14:paraId="3E506715">
        <w:tblPrEx>
          <w:tblCellMar>
            <w:top w:w="0" w:type="dxa"/>
            <w:left w:w="108" w:type="dxa"/>
            <w:bottom w:w="0" w:type="dxa"/>
            <w:right w:w="108" w:type="dxa"/>
          </w:tblCellMar>
        </w:tblPrEx>
        <w:trPr>
          <w:trHeight w:val="57" w:hRule="atLeast"/>
        </w:trPr>
        <w:tc>
          <w:tcPr>
            <w:tcW w:w="458" w:type="dxa"/>
            <w:vMerge w:val="continue"/>
            <w:tcBorders>
              <w:left w:val="single" w:color="auto" w:sz="8" w:space="0"/>
              <w:right w:val="single" w:color="auto" w:sz="4" w:space="0"/>
            </w:tcBorders>
            <w:shd w:val="clear" w:color="auto" w:fill="auto"/>
            <w:vAlign w:val="center"/>
          </w:tcPr>
          <w:p w14:paraId="12703ABA">
            <w:pPr>
              <w:widowControl/>
              <w:adjustRightInd/>
              <w:spacing w:line="240" w:lineRule="auto"/>
              <w:jc w:val="center"/>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76899A07">
            <w:pPr>
              <w:widowControl/>
              <w:adjustRightInd/>
              <w:spacing w:line="240" w:lineRule="auto"/>
              <w:jc w:val="left"/>
              <w:rPr>
                <w:rFonts w:hint="eastAsia" w:ascii="宋体" w:hAnsi="宋体" w:cs="宋体"/>
                <w:color w:val="auto"/>
                <w:kern w:val="0"/>
                <w:sz w:val="18"/>
                <w:szCs w:val="18"/>
              </w:rPr>
            </w:pP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14:paraId="17E7020B">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装备</w:t>
            </w:r>
          </w:p>
        </w:tc>
        <w:tc>
          <w:tcPr>
            <w:tcW w:w="4111" w:type="dxa"/>
            <w:tcBorders>
              <w:top w:val="nil"/>
              <w:left w:val="nil"/>
              <w:bottom w:val="single" w:color="auto" w:sz="4" w:space="0"/>
              <w:right w:val="single" w:color="auto" w:sz="4" w:space="0"/>
            </w:tcBorders>
            <w:shd w:val="clear" w:color="auto" w:fill="auto"/>
            <w:noWrap/>
            <w:vAlign w:val="center"/>
          </w:tcPr>
          <w:p w14:paraId="14463172">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在用电机均为节能型电机，持续提升电机能效水平，提高先进水平电机占比；</w:t>
            </w:r>
          </w:p>
        </w:tc>
        <w:tc>
          <w:tcPr>
            <w:tcW w:w="6095" w:type="dxa"/>
            <w:tcBorders>
              <w:top w:val="nil"/>
              <w:left w:val="nil"/>
              <w:bottom w:val="single" w:color="auto" w:sz="4" w:space="0"/>
              <w:right w:val="single" w:color="auto" w:sz="4" w:space="0"/>
            </w:tcBorders>
            <w:shd w:val="clear" w:color="auto" w:fill="auto"/>
            <w:vAlign w:val="center"/>
          </w:tcPr>
          <w:p w14:paraId="63E3A6E6">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在用一级能效电机占比×3分，最高得3分。</w:t>
            </w:r>
          </w:p>
        </w:tc>
        <w:tc>
          <w:tcPr>
            <w:tcW w:w="709" w:type="dxa"/>
            <w:tcBorders>
              <w:top w:val="nil"/>
              <w:left w:val="nil"/>
              <w:bottom w:val="single" w:color="auto" w:sz="4" w:space="0"/>
              <w:right w:val="single" w:color="auto" w:sz="8" w:space="0"/>
            </w:tcBorders>
            <w:shd w:val="clear" w:color="auto" w:fill="auto"/>
            <w:vAlign w:val="center"/>
          </w:tcPr>
          <w:p w14:paraId="2F86A025">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5ABA7612">
            <w:pPr>
              <w:widowControl/>
              <w:adjustRightInd/>
              <w:spacing w:line="240" w:lineRule="auto"/>
              <w:jc w:val="center"/>
              <w:rPr>
                <w:rFonts w:hint="eastAsia" w:ascii="宋体" w:hAnsi="宋体" w:cs="宋体"/>
                <w:color w:val="auto"/>
                <w:kern w:val="0"/>
                <w:sz w:val="18"/>
                <w:szCs w:val="18"/>
              </w:rPr>
            </w:pPr>
          </w:p>
        </w:tc>
      </w:tr>
      <w:tr w14:paraId="03210454">
        <w:tblPrEx>
          <w:tblCellMar>
            <w:top w:w="0" w:type="dxa"/>
            <w:left w:w="108" w:type="dxa"/>
            <w:bottom w:w="0" w:type="dxa"/>
            <w:right w:w="108" w:type="dxa"/>
          </w:tblCellMar>
        </w:tblPrEx>
        <w:trPr>
          <w:trHeight w:val="57" w:hRule="atLeast"/>
        </w:trPr>
        <w:tc>
          <w:tcPr>
            <w:tcW w:w="458" w:type="dxa"/>
            <w:vMerge w:val="continue"/>
            <w:tcBorders>
              <w:left w:val="single" w:color="auto" w:sz="8" w:space="0"/>
              <w:right w:val="single" w:color="auto" w:sz="4" w:space="0"/>
            </w:tcBorders>
            <w:vAlign w:val="center"/>
          </w:tcPr>
          <w:p w14:paraId="2D8F629A">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70C67CD8">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09B04E94">
            <w:pPr>
              <w:widowControl/>
              <w:adjustRightInd/>
              <w:spacing w:line="240" w:lineRule="auto"/>
              <w:jc w:val="left"/>
              <w:rPr>
                <w:rFonts w:hint="eastAsia" w:ascii="宋体" w:hAnsi="宋体" w:cs="宋体"/>
                <w:color w:val="auto"/>
                <w:kern w:val="0"/>
                <w:sz w:val="18"/>
                <w:szCs w:val="18"/>
              </w:rPr>
            </w:pPr>
          </w:p>
        </w:tc>
        <w:tc>
          <w:tcPr>
            <w:tcW w:w="4111" w:type="dxa"/>
            <w:tcBorders>
              <w:top w:val="nil"/>
              <w:left w:val="nil"/>
              <w:bottom w:val="single" w:color="auto" w:sz="4" w:space="0"/>
              <w:right w:val="single" w:color="auto" w:sz="4" w:space="0"/>
            </w:tcBorders>
            <w:shd w:val="clear" w:color="auto" w:fill="auto"/>
            <w:noWrap/>
            <w:vAlign w:val="center"/>
          </w:tcPr>
          <w:p w14:paraId="4BC32AA7">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在用变压器均为节能型变压器，持续提升变压器能效水平，提高先进水平变压器占比；</w:t>
            </w:r>
          </w:p>
        </w:tc>
        <w:tc>
          <w:tcPr>
            <w:tcW w:w="6095" w:type="dxa"/>
            <w:tcBorders>
              <w:top w:val="nil"/>
              <w:left w:val="nil"/>
              <w:bottom w:val="single" w:color="auto" w:sz="4" w:space="0"/>
              <w:right w:val="single" w:color="auto" w:sz="4" w:space="0"/>
            </w:tcBorders>
            <w:shd w:val="clear" w:color="auto" w:fill="auto"/>
            <w:vAlign w:val="center"/>
          </w:tcPr>
          <w:p w14:paraId="19482CED">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在用一级能效变压器占比×3分，最高得3分。</w:t>
            </w:r>
          </w:p>
        </w:tc>
        <w:tc>
          <w:tcPr>
            <w:tcW w:w="709" w:type="dxa"/>
            <w:tcBorders>
              <w:top w:val="nil"/>
              <w:left w:val="nil"/>
              <w:bottom w:val="single" w:color="auto" w:sz="4" w:space="0"/>
              <w:right w:val="single" w:color="auto" w:sz="8" w:space="0"/>
            </w:tcBorders>
            <w:shd w:val="clear" w:color="auto" w:fill="auto"/>
            <w:vAlign w:val="center"/>
          </w:tcPr>
          <w:p w14:paraId="00F034ED">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1A2B1DC0">
            <w:pPr>
              <w:widowControl/>
              <w:adjustRightInd/>
              <w:spacing w:line="240" w:lineRule="auto"/>
              <w:jc w:val="center"/>
              <w:rPr>
                <w:rFonts w:hint="eastAsia" w:ascii="宋体" w:hAnsi="宋体" w:cs="宋体"/>
                <w:color w:val="auto"/>
                <w:kern w:val="0"/>
                <w:sz w:val="18"/>
                <w:szCs w:val="18"/>
              </w:rPr>
            </w:pPr>
          </w:p>
        </w:tc>
      </w:tr>
      <w:tr w14:paraId="08E3811E">
        <w:tblPrEx>
          <w:tblCellMar>
            <w:top w:w="0" w:type="dxa"/>
            <w:left w:w="108" w:type="dxa"/>
            <w:bottom w:w="0" w:type="dxa"/>
            <w:right w:w="108" w:type="dxa"/>
          </w:tblCellMar>
        </w:tblPrEx>
        <w:trPr>
          <w:trHeight w:val="57" w:hRule="atLeast"/>
        </w:trPr>
        <w:tc>
          <w:tcPr>
            <w:tcW w:w="458" w:type="dxa"/>
            <w:vMerge w:val="continue"/>
            <w:tcBorders>
              <w:left w:val="single" w:color="auto" w:sz="8" w:space="0"/>
              <w:bottom w:val="single" w:color="auto" w:sz="8" w:space="0"/>
              <w:right w:val="single" w:color="auto" w:sz="4" w:space="0"/>
            </w:tcBorders>
            <w:vAlign w:val="center"/>
          </w:tcPr>
          <w:p w14:paraId="24AFC4A0">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8" w:space="0"/>
              <w:right w:val="single" w:color="auto" w:sz="4" w:space="0"/>
            </w:tcBorders>
            <w:vAlign w:val="center"/>
          </w:tcPr>
          <w:p w14:paraId="0616EF82">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8" w:space="0"/>
              <w:right w:val="single" w:color="auto" w:sz="4" w:space="0"/>
            </w:tcBorders>
            <w:vAlign w:val="center"/>
          </w:tcPr>
          <w:p w14:paraId="38EEF1A2">
            <w:pPr>
              <w:widowControl/>
              <w:adjustRightInd/>
              <w:spacing w:line="240" w:lineRule="auto"/>
              <w:jc w:val="left"/>
              <w:rPr>
                <w:rFonts w:hint="eastAsia" w:ascii="宋体" w:hAnsi="宋体" w:cs="宋体"/>
                <w:color w:val="auto"/>
                <w:kern w:val="0"/>
                <w:sz w:val="18"/>
                <w:szCs w:val="18"/>
              </w:rPr>
            </w:pPr>
          </w:p>
        </w:tc>
        <w:tc>
          <w:tcPr>
            <w:tcW w:w="4111" w:type="dxa"/>
            <w:tcBorders>
              <w:top w:val="nil"/>
              <w:left w:val="nil"/>
              <w:bottom w:val="single" w:color="auto" w:sz="8" w:space="0"/>
              <w:right w:val="single" w:color="auto" w:sz="4" w:space="0"/>
            </w:tcBorders>
            <w:shd w:val="clear" w:color="auto" w:fill="auto"/>
            <w:noWrap/>
            <w:vAlign w:val="center"/>
          </w:tcPr>
          <w:p w14:paraId="41B893CE">
            <w:pPr>
              <w:widowControl/>
              <w:adjustRightInd/>
              <w:spacing w:line="240" w:lineRule="auto"/>
              <w:rPr>
                <w:rFonts w:hint="eastAsia" w:ascii="宋体" w:hAnsi="宋体" w:cs="宋体"/>
                <w:color w:val="auto"/>
                <w:kern w:val="0"/>
                <w:sz w:val="18"/>
                <w:szCs w:val="18"/>
              </w:rPr>
            </w:pPr>
            <w:bookmarkStart w:id="24" w:name="RANGE!E12"/>
            <w:r>
              <w:rPr>
                <w:rFonts w:hint="eastAsia" w:ascii="宋体" w:hAnsi="宋体" w:cs="宋体"/>
                <w:color w:val="auto"/>
                <w:kern w:val="0"/>
                <w:sz w:val="18"/>
                <w:szCs w:val="18"/>
              </w:rPr>
              <w:t>采用高效节能锅炉，锅炉系统采用在线监控、协同优化、主辅机匹配调控、余热利用等技术；</w:t>
            </w:r>
            <w:bookmarkEnd w:id="24"/>
          </w:p>
        </w:tc>
        <w:tc>
          <w:tcPr>
            <w:tcW w:w="6095" w:type="dxa"/>
            <w:tcBorders>
              <w:top w:val="nil"/>
              <w:left w:val="nil"/>
              <w:bottom w:val="single" w:color="auto" w:sz="8" w:space="0"/>
              <w:right w:val="single" w:color="auto" w:sz="4" w:space="0"/>
            </w:tcBorders>
            <w:shd w:val="clear" w:color="auto" w:fill="auto"/>
            <w:vAlign w:val="center"/>
          </w:tcPr>
          <w:p w14:paraId="610B0D9E">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1）采用一级能效锅炉，锅炉系统采用在线监控、协同优化、主辅机匹配调控、余热利用等技术的，得3分；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2）仅采用一级能效锅炉的，得1分。</w:t>
            </w:r>
          </w:p>
        </w:tc>
        <w:tc>
          <w:tcPr>
            <w:tcW w:w="709" w:type="dxa"/>
            <w:tcBorders>
              <w:top w:val="nil"/>
              <w:left w:val="nil"/>
              <w:bottom w:val="single" w:color="auto" w:sz="8" w:space="0"/>
              <w:right w:val="single" w:color="auto" w:sz="8" w:space="0"/>
            </w:tcBorders>
            <w:shd w:val="clear" w:color="auto" w:fill="auto"/>
            <w:vAlign w:val="center"/>
          </w:tcPr>
          <w:p w14:paraId="001640B1">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8" w:space="0"/>
              <w:right w:val="single" w:color="auto" w:sz="8" w:space="0"/>
            </w:tcBorders>
            <w:vAlign w:val="center"/>
          </w:tcPr>
          <w:p w14:paraId="70BC750E">
            <w:pPr>
              <w:widowControl/>
              <w:adjustRightInd/>
              <w:spacing w:line="240" w:lineRule="auto"/>
              <w:jc w:val="center"/>
              <w:rPr>
                <w:rFonts w:hint="eastAsia" w:ascii="宋体" w:hAnsi="宋体" w:cs="宋体"/>
                <w:color w:val="auto"/>
                <w:kern w:val="0"/>
                <w:sz w:val="18"/>
                <w:szCs w:val="18"/>
              </w:rPr>
            </w:pPr>
          </w:p>
        </w:tc>
      </w:tr>
    </w:tbl>
    <w:p w14:paraId="69CE0E6D">
      <w:pPr>
        <w:pStyle w:val="80"/>
        <w:numPr>
          <w:ilvl w:val="0"/>
          <w:numId w:val="0"/>
        </w:numPr>
        <w:spacing w:before="120" w:after="120"/>
        <w:ind w:left="6096"/>
        <w:jc w:val="both"/>
        <w:rPr>
          <w:color w:val="auto"/>
        </w:rPr>
      </w:pPr>
    </w:p>
    <w:p w14:paraId="063CBC30">
      <w:pPr>
        <w:pStyle w:val="59"/>
        <w:ind w:firstLine="420"/>
        <w:rPr>
          <w:color w:val="auto"/>
        </w:rPr>
      </w:pPr>
    </w:p>
    <w:p w14:paraId="182EA810">
      <w:pPr>
        <w:pStyle w:val="59"/>
        <w:ind w:firstLine="420"/>
        <w:rPr>
          <w:color w:val="auto"/>
        </w:rPr>
      </w:pPr>
    </w:p>
    <w:p w14:paraId="3CB26864">
      <w:pPr>
        <w:pStyle w:val="59"/>
        <w:ind w:firstLine="420"/>
        <w:rPr>
          <w:color w:val="auto"/>
        </w:rPr>
      </w:pPr>
    </w:p>
    <w:p w14:paraId="16DDE83F">
      <w:pPr>
        <w:pStyle w:val="80"/>
        <w:numPr>
          <w:ilvl w:val="1"/>
          <w:numId w:val="32"/>
        </w:numPr>
        <w:spacing w:before="120" w:after="120"/>
        <w:jc w:val="both"/>
        <w:rPr>
          <w:color w:val="auto"/>
        </w:rPr>
      </w:pPr>
      <w:r>
        <w:rPr>
          <w:rFonts w:hint="eastAsia"/>
          <w:color w:val="auto"/>
        </w:rPr>
        <w:t xml:space="preserve"> 超级能效工厂评分表（续）</w:t>
      </w:r>
    </w:p>
    <w:p w14:paraId="6ED44EC8">
      <w:pPr>
        <w:pStyle w:val="80"/>
        <w:numPr>
          <w:ilvl w:val="0"/>
          <w:numId w:val="0"/>
        </w:numPr>
        <w:spacing w:before="120" w:after="120"/>
        <w:rPr>
          <w:color w:val="auto"/>
        </w:rPr>
      </w:pPr>
    </w:p>
    <w:tbl>
      <w:tblPr>
        <w:tblStyle w:val="28"/>
        <w:tblW w:w="13604" w:type="dxa"/>
        <w:tblInd w:w="0" w:type="dxa"/>
        <w:tblLayout w:type="fixed"/>
        <w:tblCellMar>
          <w:top w:w="0" w:type="dxa"/>
          <w:left w:w="108" w:type="dxa"/>
          <w:bottom w:w="0" w:type="dxa"/>
          <w:right w:w="108" w:type="dxa"/>
        </w:tblCellMar>
      </w:tblPr>
      <w:tblGrid>
        <w:gridCol w:w="458"/>
        <w:gridCol w:w="950"/>
        <w:gridCol w:w="567"/>
        <w:gridCol w:w="3690"/>
        <w:gridCol w:w="6516"/>
        <w:gridCol w:w="709"/>
        <w:gridCol w:w="714"/>
      </w:tblGrid>
      <w:tr w14:paraId="6E720238">
        <w:tblPrEx>
          <w:tblCellMar>
            <w:top w:w="0" w:type="dxa"/>
            <w:left w:w="108" w:type="dxa"/>
            <w:bottom w:w="0" w:type="dxa"/>
            <w:right w:w="108" w:type="dxa"/>
          </w:tblCellMar>
        </w:tblPrEx>
        <w:trPr>
          <w:trHeight w:val="57" w:hRule="atLeast"/>
          <w:tblHeader/>
        </w:trPr>
        <w:tc>
          <w:tcPr>
            <w:tcW w:w="458" w:type="dxa"/>
            <w:tcBorders>
              <w:top w:val="single" w:color="auto" w:sz="8" w:space="0"/>
              <w:left w:val="single" w:color="auto" w:sz="8" w:space="0"/>
              <w:bottom w:val="single" w:color="auto" w:sz="8" w:space="0"/>
              <w:right w:val="single" w:color="auto" w:sz="4" w:space="0"/>
            </w:tcBorders>
            <w:shd w:val="clear" w:color="auto" w:fill="auto"/>
            <w:vAlign w:val="center"/>
          </w:tcPr>
          <w:p w14:paraId="61DF4BDC">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序号</w:t>
            </w:r>
          </w:p>
        </w:tc>
        <w:tc>
          <w:tcPr>
            <w:tcW w:w="950" w:type="dxa"/>
            <w:tcBorders>
              <w:top w:val="single" w:color="auto" w:sz="8" w:space="0"/>
              <w:left w:val="nil"/>
              <w:bottom w:val="single" w:color="auto" w:sz="8" w:space="0"/>
              <w:right w:val="single" w:color="auto" w:sz="4" w:space="0"/>
            </w:tcBorders>
            <w:shd w:val="clear" w:color="auto" w:fill="auto"/>
            <w:vAlign w:val="center"/>
          </w:tcPr>
          <w:p w14:paraId="4E6E24D7">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一级指标</w:t>
            </w:r>
          </w:p>
        </w:tc>
        <w:tc>
          <w:tcPr>
            <w:tcW w:w="4257" w:type="dxa"/>
            <w:gridSpan w:val="2"/>
            <w:tcBorders>
              <w:top w:val="single" w:color="auto" w:sz="8" w:space="0"/>
              <w:left w:val="nil"/>
              <w:bottom w:val="single" w:color="auto" w:sz="8" w:space="0"/>
              <w:right w:val="single" w:color="auto" w:sz="4" w:space="0"/>
            </w:tcBorders>
            <w:shd w:val="clear" w:color="auto" w:fill="auto"/>
            <w:vAlign w:val="center"/>
          </w:tcPr>
          <w:p w14:paraId="6ED387AD">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二级指标</w:t>
            </w:r>
          </w:p>
        </w:tc>
        <w:tc>
          <w:tcPr>
            <w:tcW w:w="6516" w:type="dxa"/>
            <w:tcBorders>
              <w:top w:val="single" w:color="auto" w:sz="8" w:space="0"/>
              <w:left w:val="nil"/>
              <w:bottom w:val="single" w:color="auto" w:sz="8" w:space="0"/>
              <w:right w:val="single" w:color="auto" w:sz="4" w:space="0"/>
            </w:tcBorders>
            <w:shd w:val="clear" w:color="auto" w:fill="auto"/>
            <w:vAlign w:val="center"/>
          </w:tcPr>
          <w:p w14:paraId="4408DDD3">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具体评价要求</w:t>
            </w:r>
          </w:p>
        </w:tc>
        <w:tc>
          <w:tcPr>
            <w:tcW w:w="709" w:type="dxa"/>
            <w:tcBorders>
              <w:top w:val="single" w:color="auto" w:sz="8" w:space="0"/>
              <w:left w:val="nil"/>
              <w:bottom w:val="single" w:color="auto" w:sz="4" w:space="0"/>
              <w:right w:val="single" w:color="auto" w:sz="8" w:space="0"/>
            </w:tcBorders>
            <w:shd w:val="clear" w:color="auto" w:fill="auto"/>
            <w:vAlign w:val="center"/>
          </w:tcPr>
          <w:p w14:paraId="2332C9BC">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分值</w:t>
            </w:r>
          </w:p>
        </w:tc>
        <w:tc>
          <w:tcPr>
            <w:tcW w:w="714" w:type="dxa"/>
            <w:tcBorders>
              <w:top w:val="single" w:color="auto" w:sz="8" w:space="0"/>
              <w:left w:val="nil"/>
              <w:bottom w:val="single" w:color="auto" w:sz="4" w:space="0"/>
              <w:right w:val="single" w:color="auto" w:sz="8" w:space="0"/>
            </w:tcBorders>
            <w:vAlign w:val="center"/>
          </w:tcPr>
          <w:p w14:paraId="2B47D9CD">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得分</w:t>
            </w:r>
          </w:p>
        </w:tc>
      </w:tr>
      <w:tr w14:paraId="6E7BEA62">
        <w:tblPrEx>
          <w:tblCellMar>
            <w:top w:w="0" w:type="dxa"/>
            <w:left w:w="108" w:type="dxa"/>
            <w:bottom w:w="0" w:type="dxa"/>
            <w:right w:w="108" w:type="dxa"/>
          </w:tblCellMar>
        </w:tblPrEx>
        <w:trPr>
          <w:trHeight w:val="57" w:hRule="atLeast"/>
        </w:trPr>
        <w:tc>
          <w:tcPr>
            <w:tcW w:w="458" w:type="dxa"/>
            <w:vMerge w:val="restart"/>
            <w:tcBorders>
              <w:top w:val="single" w:color="auto" w:sz="8" w:space="0"/>
              <w:left w:val="single" w:color="auto" w:sz="8" w:space="0"/>
              <w:bottom w:val="single" w:color="auto" w:sz="4" w:space="0"/>
              <w:right w:val="single" w:color="auto" w:sz="4" w:space="0"/>
            </w:tcBorders>
            <w:vAlign w:val="center"/>
          </w:tcPr>
          <w:p w14:paraId="26CBFEC7">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950" w:type="dxa"/>
            <w:vMerge w:val="restart"/>
            <w:tcBorders>
              <w:top w:val="single" w:color="auto" w:sz="8" w:space="0"/>
              <w:left w:val="single" w:color="auto" w:sz="4" w:space="0"/>
              <w:bottom w:val="single" w:color="auto" w:sz="4" w:space="0"/>
              <w:right w:val="single" w:color="auto" w:sz="4" w:space="0"/>
            </w:tcBorders>
            <w:vAlign w:val="center"/>
          </w:tcPr>
          <w:p w14:paraId="7AF9E970">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工艺技术装备</w:t>
            </w:r>
          </w:p>
        </w:tc>
        <w:tc>
          <w:tcPr>
            <w:tcW w:w="567" w:type="dxa"/>
            <w:vMerge w:val="restart"/>
            <w:tcBorders>
              <w:top w:val="single" w:color="auto" w:sz="8" w:space="0"/>
              <w:left w:val="single" w:color="auto" w:sz="4" w:space="0"/>
              <w:bottom w:val="single" w:color="auto" w:sz="4" w:space="0"/>
              <w:right w:val="single" w:color="auto" w:sz="4" w:space="0"/>
            </w:tcBorders>
            <w:vAlign w:val="center"/>
          </w:tcPr>
          <w:p w14:paraId="454CC867">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装备</w:t>
            </w:r>
          </w:p>
        </w:tc>
        <w:tc>
          <w:tcPr>
            <w:tcW w:w="3690" w:type="dxa"/>
            <w:tcBorders>
              <w:top w:val="single" w:color="auto" w:sz="8" w:space="0"/>
              <w:left w:val="nil"/>
              <w:bottom w:val="single" w:color="auto" w:sz="4" w:space="0"/>
              <w:right w:val="single" w:color="auto" w:sz="4" w:space="0"/>
            </w:tcBorders>
            <w:shd w:val="clear" w:color="auto" w:fill="auto"/>
            <w:noWrap/>
            <w:vAlign w:val="center"/>
          </w:tcPr>
          <w:p w14:paraId="2DB0EE7C">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采用一级高效制冷机组，制冷系统采用在线监控、协同优化、主辅机匹配调控等技术；</w:t>
            </w:r>
          </w:p>
        </w:tc>
        <w:tc>
          <w:tcPr>
            <w:tcW w:w="6516" w:type="dxa"/>
            <w:tcBorders>
              <w:top w:val="single" w:color="auto" w:sz="8" w:space="0"/>
              <w:left w:val="nil"/>
              <w:bottom w:val="single" w:color="auto" w:sz="4" w:space="0"/>
              <w:right w:val="single" w:color="auto" w:sz="4" w:space="0"/>
            </w:tcBorders>
            <w:shd w:val="clear" w:color="auto" w:fill="auto"/>
            <w:vAlign w:val="center"/>
          </w:tcPr>
          <w:p w14:paraId="77B9E76E">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1）采用一级能效制冷机组，制冷系统采用在线监控、协同优化、主辅机匹配调控等技术的，得3分；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2）仅采用一级能效效制冷机组的，得1分。</w:t>
            </w:r>
          </w:p>
        </w:tc>
        <w:tc>
          <w:tcPr>
            <w:tcW w:w="709" w:type="dxa"/>
            <w:tcBorders>
              <w:top w:val="nil"/>
              <w:left w:val="nil"/>
              <w:bottom w:val="single" w:color="auto" w:sz="4" w:space="0"/>
              <w:right w:val="single" w:color="auto" w:sz="8" w:space="0"/>
            </w:tcBorders>
            <w:shd w:val="clear" w:color="auto" w:fill="auto"/>
            <w:vAlign w:val="center"/>
          </w:tcPr>
          <w:p w14:paraId="31F065BE">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5EFADC73">
            <w:pPr>
              <w:widowControl/>
              <w:adjustRightInd/>
              <w:spacing w:line="240" w:lineRule="auto"/>
              <w:jc w:val="center"/>
              <w:rPr>
                <w:rFonts w:hint="eastAsia" w:ascii="宋体" w:hAnsi="宋体" w:cs="宋体"/>
                <w:color w:val="auto"/>
                <w:kern w:val="0"/>
                <w:sz w:val="18"/>
                <w:szCs w:val="18"/>
              </w:rPr>
            </w:pPr>
          </w:p>
        </w:tc>
      </w:tr>
      <w:tr w14:paraId="42E8F79C">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auto" w:sz="4" w:space="0"/>
              <w:right w:val="single" w:color="auto" w:sz="4" w:space="0"/>
            </w:tcBorders>
            <w:vAlign w:val="center"/>
          </w:tcPr>
          <w:p w14:paraId="22DBB2EE">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616C1BB7">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6A302B72">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noWrap/>
            <w:vAlign w:val="center"/>
          </w:tcPr>
          <w:p w14:paraId="54FF98D1">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采用高效节能压缩机，压缩空气系统采用在线监控、协同优化、主辅机匹配调控、余热利用等技术；</w:t>
            </w:r>
          </w:p>
        </w:tc>
        <w:tc>
          <w:tcPr>
            <w:tcW w:w="6516" w:type="dxa"/>
            <w:tcBorders>
              <w:top w:val="nil"/>
              <w:left w:val="nil"/>
              <w:bottom w:val="single" w:color="auto" w:sz="4" w:space="0"/>
              <w:right w:val="single" w:color="auto" w:sz="4" w:space="0"/>
            </w:tcBorders>
            <w:shd w:val="clear" w:color="auto" w:fill="auto"/>
            <w:vAlign w:val="center"/>
          </w:tcPr>
          <w:p w14:paraId="6C96730C">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1）采用一级能效压缩机，压缩空气系统采用在线监控、协同优化、主辅机匹配调控、余热利用等技术的，得3分；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2）仅采用高效节能压缩机的，得1分。</w:t>
            </w:r>
          </w:p>
        </w:tc>
        <w:tc>
          <w:tcPr>
            <w:tcW w:w="709" w:type="dxa"/>
            <w:tcBorders>
              <w:top w:val="nil"/>
              <w:left w:val="nil"/>
              <w:bottom w:val="single" w:color="auto" w:sz="4" w:space="0"/>
              <w:right w:val="single" w:color="auto" w:sz="8" w:space="0"/>
            </w:tcBorders>
            <w:shd w:val="clear" w:color="auto" w:fill="auto"/>
            <w:vAlign w:val="center"/>
          </w:tcPr>
          <w:p w14:paraId="62C88D7E">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58FD0BC6">
            <w:pPr>
              <w:widowControl/>
              <w:adjustRightInd/>
              <w:spacing w:line="240" w:lineRule="auto"/>
              <w:jc w:val="center"/>
              <w:rPr>
                <w:rFonts w:hint="eastAsia" w:ascii="宋体" w:hAnsi="宋体" w:cs="宋体"/>
                <w:color w:val="auto"/>
                <w:kern w:val="0"/>
                <w:sz w:val="18"/>
                <w:szCs w:val="18"/>
              </w:rPr>
            </w:pPr>
          </w:p>
        </w:tc>
      </w:tr>
      <w:tr w14:paraId="35703E0F">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auto" w:sz="4" w:space="0"/>
              <w:right w:val="single" w:color="auto" w:sz="4" w:space="0"/>
            </w:tcBorders>
            <w:vAlign w:val="center"/>
          </w:tcPr>
          <w:p w14:paraId="7E6FF788">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287810C6">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1E33B482">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noWrap/>
            <w:vAlign w:val="center"/>
          </w:tcPr>
          <w:p w14:paraId="40A09480">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采用高效风机、泵，持续提升高效风机、泵能效水平，提高先进水平风机、泵占比；</w:t>
            </w:r>
          </w:p>
        </w:tc>
        <w:tc>
          <w:tcPr>
            <w:tcW w:w="6516" w:type="dxa"/>
            <w:tcBorders>
              <w:top w:val="nil"/>
              <w:left w:val="nil"/>
              <w:bottom w:val="single" w:color="auto" w:sz="4" w:space="0"/>
              <w:right w:val="single" w:color="auto" w:sz="4" w:space="0"/>
            </w:tcBorders>
            <w:shd w:val="clear" w:color="auto" w:fill="auto"/>
            <w:vAlign w:val="center"/>
          </w:tcPr>
          <w:p w14:paraId="6B6DD1F5">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在用一级能效风机、泵占比×3分，最高得3分。</w:t>
            </w:r>
          </w:p>
        </w:tc>
        <w:tc>
          <w:tcPr>
            <w:tcW w:w="709" w:type="dxa"/>
            <w:tcBorders>
              <w:top w:val="nil"/>
              <w:left w:val="nil"/>
              <w:bottom w:val="single" w:color="auto" w:sz="4" w:space="0"/>
              <w:right w:val="single" w:color="auto" w:sz="8" w:space="0"/>
            </w:tcBorders>
            <w:shd w:val="clear" w:color="auto" w:fill="auto"/>
            <w:vAlign w:val="center"/>
          </w:tcPr>
          <w:p w14:paraId="6F1C8D93">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30C22D3C">
            <w:pPr>
              <w:widowControl/>
              <w:adjustRightInd/>
              <w:spacing w:line="240" w:lineRule="auto"/>
              <w:jc w:val="center"/>
              <w:rPr>
                <w:rFonts w:hint="eastAsia" w:ascii="宋体" w:hAnsi="宋体" w:cs="宋体"/>
                <w:color w:val="auto"/>
                <w:kern w:val="0"/>
                <w:sz w:val="18"/>
                <w:szCs w:val="18"/>
              </w:rPr>
            </w:pPr>
          </w:p>
        </w:tc>
      </w:tr>
      <w:tr w14:paraId="780B9F76">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auto" w:sz="4" w:space="0"/>
              <w:right w:val="single" w:color="auto" w:sz="4" w:space="0"/>
            </w:tcBorders>
            <w:vAlign w:val="center"/>
          </w:tcPr>
          <w:p w14:paraId="2E099074">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3FF78529">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75C71FE5">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noWrap/>
            <w:vAlign w:val="center"/>
          </w:tcPr>
          <w:p w14:paraId="731F8D0C">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各行业专用设备采用高效节能设备，提高先进水平专用设备占比；</w:t>
            </w:r>
          </w:p>
        </w:tc>
        <w:tc>
          <w:tcPr>
            <w:tcW w:w="6516" w:type="dxa"/>
            <w:tcBorders>
              <w:top w:val="nil"/>
              <w:left w:val="nil"/>
              <w:bottom w:val="single" w:color="auto" w:sz="4" w:space="0"/>
              <w:right w:val="single" w:color="auto" w:sz="4" w:space="0"/>
            </w:tcBorders>
            <w:shd w:val="clear" w:color="auto" w:fill="auto"/>
            <w:vAlign w:val="center"/>
          </w:tcPr>
          <w:p w14:paraId="1C73051D">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在用一级能效专用设备占比×3分，最高得3分。</w:t>
            </w:r>
          </w:p>
        </w:tc>
        <w:tc>
          <w:tcPr>
            <w:tcW w:w="709" w:type="dxa"/>
            <w:tcBorders>
              <w:top w:val="nil"/>
              <w:left w:val="nil"/>
              <w:bottom w:val="single" w:color="auto" w:sz="4" w:space="0"/>
              <w:right w:val="single" w:color="auto" w:sz="8" w:space="0"/>
            </w:tcBorders>
            <w:shd w:val="clear" w:color="auto" w:fill="auto"/>
            <w:vAlign w:val="center"/>
          </w:tcPr>
          <w:p w14:paraId="0397F7D7">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67142A3B">
            <w:pPr>
              <w:widowControl/>
              <w:adjustRightInd/>
              <w:spacing w:line="240" w:lineRule="auto"/>
              <w:jc w:val="center"/>
              <w:rPr>
                <w:rFonts w:hint="eastAsia" w:ascii="宋体" w:hAnsi="宋体" w:cs="宋体"/>
                <w:color w:val="auto"/>
                <w:kern w:val="0"/>
                <w:sz w:val="18"/>
                <w:szCs w:val="18"/>
              </w:rPr>
            </w:pPr>
          </w:p>
        </w:tc>
      </w:tr>
      <w:tr w14:paraId="765BD3C4">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auto" w:sz="4" w:space="0"/>
              <w:right w:val="single" w:color="auto" w:sz="4" w:space="0"/>
            </w:tcBorders>
            <w:vAlign w:val="center"/>
          </w:tcPr>
          <w:p w14:paraId="70F16016">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4" w:space="0"/>
              <w:right w:val="single" w:color="auto" w:sz="4" w:space="0"/>
            </w:tcBorders>
            <w:vAlign w:val="center"/>
          </w:tcPr>
          <w:p w14:paraId="77000D52">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5F969F1F">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noWrap/>
            <w:vAlign w:val="center"/>
          </w:tcPr>
          <w:p w14:paraId="30635ECD">
            <w:pPr>
              <w:widowControl/>
              <w:adjustRightInd/>
              <w:spacing w:line="240" w:lineRule="auto"/>
              <w:rPr>
                <w:rFonts w:hint="eastAsia" w:ascii="宋体" w:hAnsi="宋体" w:cs="宋体"/>
                <w:color w:val="auto"/>
                <w:kern w:val="0"/>
                <w:sz w:val="18"/>
                <w:szCs w:val="18"/>
              </w:rPr>
            </w:pPr>
            <w:r>
              <w:rPr>
                <w:rFonts w:hint="eastAsia" w:ascii="宋体" w:hAnsi="宋体" w:cs="宋体"/>
                <w:color w:val="auto"/>
                <w:kern w:val="0"/>
                <w:sz w:val="18"/>
                <w:szCs w:val="18"/>
              </w:rPr>
              <w:t>主要用能设备容量配备适宜，使系统和设备的实际运行效率或主要运行参数符合经济运行的要求。</w:t>
            </w:r>
          </w:p>
        </w:tc>
        <w:tc>
          <w:tcPr>
            <w:tcW w:w="6516" w:type="dxa"/>
            <w:tcBorders>
              <w:top w:val="nil"/>
              <w:left w:val="nil"/>
              <w:bottom w:val="single" w:color="auto" w:sz="4" w:space="0"/>
              <w:right w:val="single" w:color="auto" w:sz="4" w:space="0"/>
            </w:tcBorders>
            <w:shd w:val="clear" w:color="auto" w:fill="auto"/>
            <w:vAlign w:val="center"/>
          </w:tcPr>
          <w:p w14:paraId="6F389F95">
            <w:pPr>
              <w:widowControl/>
              <w:adjustRightInd/>
              <w:spacing w:line="240" w:lineRule="auto"/>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1）主要用能设备、系统经济运行标准指标符合率达到90%的，得3分；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2）主要用能设备、系统经济运行标准指标符合率达到80%的，得2分；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3）主要用能设备、系统经济运行标准指标符合率达到70%的，得1分</w:t>
            </w:r>
            <w:r>
              <w:rPr>
                <w:rFonts w:hint="eastAsia" w:ascii="宋体" w:hAnsi="宋体" w:cs="宋体"/>
                <w:color w:val="auto"/>
                <w:kern w:val="0"/>
                <w:sz w:val="18"/>
                <w:szCs w:val="18"/>
                <w:lang w:eastAsia="zh-CN"/>
              </w:rPr>
              <w:t>。</w:t>
            </w:r>
          </w:p>
        </w:tc>
        <w:tc>
          <w:tcPr>
            <w:tcW w:w="709" w:type="dxa"/>
            <w:tcBorders>
              <w:top w:val="nil"/>
              <w:left w:val="nil"/>
              <w:bottom w:val="single" w:color="auto" w:sz="4" w:space="0"/>
              <w:right w:val="single" w:color="auto" w:sz="8" w:space="0"/>
            </w:tcBorders>
            <w:shd w:val="clear" w:color="auto" w:fill="auto"/>
            <w:vAlign w:val="center"/>
          </w:tcPr>
          <w:p w14:paraId="6A4F1169">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714" w:type="dxa"/>
            <w:tcBorders>
              <w:top w:val="nil"/>
              <w:left w:val="nil"/>
              <w:bottom w:val="single" w:color="auto" w:sz="4" w:space="0"/>
              <w:right w:val="single" w:color="auto" w:sz="8" w:space="0"/>
            </w:tcBorders>
            <w:vAlign w:val="center"/>
          </w:tcPr>
          <w:p w14:paraId="52C7CE15">
            <w:pPr>
              <w:widowControl/>
              <w:adjustRightInd/>
              <w:spacing w:line="240" w:lineRule="auto"/>
              <w:jc w:val="center"/>
              <w:rPr>
                <w:rFonts w:hint="eastAsia" w:ascii="宋体" w:hAnsi="宋体" w:cs="宋体"/>
                <w:color w:val="auto"/>
                <w:kern w:val="0"/>
                <w:sz w:val="18"/>
                <w:szCs w:val="18"/>
              </w:rPr>
            </w:pPr>
          </w:p>
        </w:tc>
      </w:tr>
      <w:tr w14:paraId="5F5397EE">
        <w:tblPrEx>
          <w:tblCellMar>
            <w:top w:w="0" w:type="dxa"/>
            <w:left w:w="108" w:type="dxa"/>
            <w:bottom w:w="0" w:type="dxa"/>
            <w:right w:w="108" w:type="dxa"/>
          </w:tblCellMar>
        </w:tblPrEx>
        <w:trPr>
          <w:trHeight w:val="57" w:hRule="atLeast"/>
        </w:trPr>
        <w:tc>
          <w:tcPr>
            <w:tcW w:w="458" w:type="dxa"/>
            <w:vMerge w:val="restart"/>
            <w:tcBorders>
              <w:top w:val="nil"/>
              <w:left w:val="single" w:color="auto" w:sz="8" w:space="0"/>
              <w:bottom w:val="single" w:color="000000" w:sz="4" w:space="0"/>
              <w:right w:val="single" w:color="auto" w:sz="4" w:space="0"/>
            </w:tcBorders>
            <w:shd w:val="clear" w:color="auto" w:fill="auto"/>
            <w:vAlign w:val="center"/>
          </w:tcPr>
          <w:p w14:paraId="3BD7F240">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950" w:type="dxa"/>
            <w:vMerge w:val="restart"/>
            <w:tcBorders>
              <w:top w:val="nil"/>
              <w:left w:val="single" w:color="auto" w:sz="4" w:space="0"/>
              <w:bottom w:val="single" w:color="000000" w:sz="4" w:space="0"/>
              <w:right w:val="single" w:color="auto" w:sz="4" w:space="0"/>
            </w:tcBorders>
            <w:shd w:val="clear" w:color="auto" w:fill="auto"/>
            <w:vAlign w:val="center"/>
          </w:tcPr>
          <w:p w14:paraId="66755864">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市场竞争力</w:t>
            </w:r>
          </w:p>
        </w:tc>
        <w:tc>
          <w:tcPr>
            <w:tcW w:w="567" w:type="dxa"/>
            <w:vMerge w:val="restart"/>
            <w:tcBorders>
              <w:top w:val="nil"/>
              <w:left w:val="single" w:color="auto" w:sz="4" w:space="0"/>
              <w:bottom w:val="single" w:color="000000" w:sz="4" w:space="0"/>
              <w:right w:val="single" w:color="auto" w:sz="4" w:space="0"/>
            </w:tcBorders>
            <w:shd w:val="clear" w:color="auto" w:fill="auto"/>
            <w:vAlign w:val="center"/>
          </w:tcPr>
          <w:p w14:paraId="537B28DE">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创新驱动发展</w:t>
            </w:r>
          </w:p>
        </w:tc>
        <w:tc>
          <w:tcPr>
            <w:tcW w:w="3690" w:type="dxa"/>
            <w:tcBorders>
              <w:top w:val="nil"/>
              <w:left w:val="nil"/>
              <w:bottom w:val="single" w:color="auto" w:sz="4" w:space="0"/>
              <w:right w:val="single" w:color="auto" w:sz="4" w:space="0"/>
            </w:tcBorders>
            <w:shd w:val="clear" w:color="auto" w:fill="auto"/>
            <w:vAlign w:val="center"/>
          </w:tcPr>
          <w:p w14:paraId="36DBB3C0">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提高从事研发和相关技术创新活动的科技人员在职工总数中的比例；</w:t>
            </w:r>
          </w:p>
        </w:tc>
        <w:tc>
          <w:tcPr>
            <w:tcW w:w="6516" w:type="dxa"/>
            <w:tcBorders>
              <w:top w:val="nil"/>
              <w:left w:val="nil"/>
              <w:bottom w:val="single" w:color="auto" w:sz="4" w:space="0"/>
              <w:right w:val="single" w:color="auto" w:sz="4" w:space="0"/>
            </w:tcBorders>
            <w:shd w:val="clear" w:color="auto" w:fill="auto"/>
            <w:vAlign w:val="center"/>
          </w:tcPr>
          <w:p w14:paraId="258BA431">
            <w:pPr>
              <w:widowControl/>
              <w:adjustRightInd/>
              <w:spacing w:line="240" w:lineRule="auto"/>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1）从事研发和相关技术创新活动的科技人员在职工总数中的比例为5%~10%（不含），得1分；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2）从事研发和相关技术创新活动的科技人员在职工总数中的比例为10%~15%，得1.5分；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3）从事研发和相关技术创新活动的科技人员在职工总数中的比例15%以上，得2分</w:t>
            </w:r>
            <w:r>
              <w:rPr>
                <w:rFonts w:hint="eastAsia" w:ascii="宋体" w:hAnsi="宋体" w:cs="宋体"/>
                <w:color w:val="auto"/>
                <w:kern w:val="0"/>
                <w:sz w:val="18"/>
                <w:szCs w:val="18"/>
                <w:lang w:eastAsia="zh-CN"/>
              </w:rPr>
              <w:t>。</w:t>
            </w:r>
          </w:p>
        </w:tc>
        <w:tc>
          <w:tcPr>
            <w:tcW w:w="709" w:type="dxa"/>
            <w:tcBorders>
              <w:top w:val="nil"/>
              <w:left w:val="nil"/>
              <w:bottom w:val="single" w:color="auto" w:sz="4" w:space="0"/>
              <w:right w:val="single" w:color="auto" w:sz="8" w:space="0"/>
            </w:tcBorders>
            <w:shd w:val="clear" w:color="auto" w:fill="auto"/>
            <w:vAlign w:val="center"/>
          </w:tcPr>
          <w:p w14:paraId="7926C4AA">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714" w:type="dxa"/>
            <w:tcBorders>
              <w:top w:val="nil"/>
              <w:left w:val="nil"/>
              <w:bottom w:val="single" w:color="auto" w:sz="4" w:space="0"/>
              <w:right w:val="single" w:color="auto" w:sz="8" w:space="0"/>
            </w:tcBorders>
            <w:vAlign w:val="center"/>
          </w:tcPr>
          <w:p w14:paraId="05A2188B">
            <w:pPr>
              <w:widowControl/>
              <w:adjustRightInd/>
              <w:spacing w:line="240" w:lineRule="auto"/>
              <w:jc w:val="center"/>
              <w:rPr>
                <w:rFonts w:hint="eastAsia" w:ascii="宋体" w:hAnsi="宋体" w:cs="宋体"/>
                <w:color w:val="auto"/>
                <w:kern w:val="0"/>
                <w:sz w:val="18"/>
                <w:szCs w:val="18"/>
              </w:rPr>
            </w:pPr>
          </w:p>
        </w:tc>
      </w:tr>
      <w:tr w14:paraId="11588080">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000000" w:sz="4" w:space="0"/>
              <w:right w:val="single" w:color="auto" w:sz="4" w:space="0"/>
            </w:tcBorders>
            <w:vAlign w:val="center"/>
          </w:tcPr>
          <w:p w14:paraId="24F86E23">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000000" w:sz="4" w:space="0"/>
              <w:right w:val="single" w:color="auto" w:sz="4" w:space="0"/>
            </w:tcBorders>
            <w:vAlign w:val="center"/>
          </w:tcPr>
          <w:p w14:paraId="69A60509">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000000" w:sz="4" w:space="0"/>
              <w:right w:val="single" w:color="auto" w:sz="4" w:space="0"/>
            </w:tcBorders>
            <w:vAlign w:val="center"/>
          </w:tcPr>
          <w:p w14:paraId="4EF84840">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vAlign w:val="center"/>
          </w:tcPr>
          <w:p w14:paraId="25F8AAA0">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提高研发投入在销售收入中的比例；</w:t>
            </w:r>
          </w:p>
        </w:tc>
        <w:tc>
          <w:tcPr>
            <w:tcW w:w="6516" w:type="dxa"/>
            <w:tcBorders>
              <w:top w:val="nil"/>
              <w:left w:val="nil"/>
              <w:bottom w:val="single" w:color="auto" w:sz="4" w:space="0"/>
              <w:right w:val="single" w:color="auto" w:sz="4" w:space="0"/>
            </w:tcBorders>
            <w:shd w:val="clear" w:color="auto" w:fill="auto"/>
            <w:vAlign w:val="center"/>
          </w:tcPr>
          <w:p w14:paraId="4FB67AC4">
            <w:pPr>
              <w:widowControl/>
              <w:adjustRightInd/>
              <w:spacing w:line="240" w:lineRule="auto"/>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1）研发投入在销售收入中的比例为3%~5%（不含），得1分；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2）研发投入在销售收入中的比例为5%~8%，得1.5分；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3）研发投入在销售收入中的比例8%以上，得2分</w:t>
            </w:r>
            <w:r>
              <w:rPr>
                <w:rFonts w:hint="eastAsia" w:ascii="宋体" w:hAnsi="宋体" w:cs="宋体"/>
                <w:color w:val="auto"/>
                <w:kern w:val="0"/>
                <w:sz w:val="18"/>
                <w:szCs w:val="18"/>
                <w:lang w:eastAsia="zh-CN"/>
              </w:rPr>
              <w:t>。</w:t>
            </w:r>
          </w:p>
        </w:tc>
        <w:tc>
          <w:tcPr>
            <w:tcW w:w="709" w:type="dxa"/>
            <w:tcBorders>
              <w:top w:val="nil"/>
              <w:left w:val="nil"/>
              <w:bottom w:val="single" w:color="auto" w:sz="4" w:space="0"/>
              <w:right w:val="single" w:color="auto" w:sz="8" w:space="0"/>
            </w:tcBorders>
            <w:shd w:val="clear" w:color="auto" w:fill="auto"/>
            <w:vAlign w:val="center"/>
          </w:tcPr>
          <w:p w14:paraId="26908559">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714" w:type="dxa"/>
            <w:tcBorders>
              <w:top w:val="nil"/>
              <w:left w:val="nil"/>
              <w:bottom w:val="single" w:color="auto" w:sz="4" w:space="0"/>
              <w:right w:val="single" w:color="auto" w:sz="8" w:space="0"/>
            </w:tcBorders>
            <w:vAlign w:val="center"/>
          </w:tcPr>
          <w:p w14:paraId="7010C902">
            <w:pPr>
              <w:widowControl/>
              <w:adjustRightInd/>
              <w:spacing w:line="240" w:lineRule="auto"/>
              <w:jc w:val="center"/>
              <w:rPr>
                <w:rFonts w:hint="eastAsia" w:ascii="宋体" w:hAnsi="宋体" w:cs="宋体"/>
                <w:color w:val="auto"/>
                <w:kern w:val="0"/>
                <w:sz w:val="18"/>
                <w:szCs w:val="18"/>
              </w:rPr>
            </w:pPr>
          </w:p>
        </w:tc>
      </w:tr>
      <w:tr w14:paraId="64B90CEA">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000000" w:sz="4" w:space="0"/>
              <w:right w:val="single" w:color="auto" w:sz="4" w:space="0"/>
            </w:tcBorders>
            <w:vAlign w:val="center"/>
          </w:tcPr>
          <w:p w14:paraId="0B4667D3">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000000" w:sz="4" w:space="0"/>
              <w:right w:val="single" w:color="auto" w:sz="4" w:space="0"/>
            </w:tcBorders>
            <w:vAlign w:val="center"/>
          </w:tcPr>
          <w:p w14:paraId="2709BB68">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000000" w:sz="4" w:space="0"/>
              <w:right w:val="single" w:color="auto" w:sz="4" w:space="0"/>
            </w:tcBorders>
            <w:vAlign w:val="center"/>
          </w:tcPr>
          <w:p w14:paraId="0566E54D">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vAlign w:val="center"/>
          </w:tcPr>
          <w:p w14:paraId="57778094">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通过自主研发等方式，获得对其主要产品（服务）在技术上发挥核心支持作用的知识产权的所有权；</w:t>
            </w:r>
          </w:p>
        </w:tc>
        <w:tc>
          <w:tcPr>
            <w:tcW w:w="6516" w:type="dxa"/>
            <w:tcBorders>
              <w:top w:val="nil"/>
              <w:left w:val="nil"/>
              <w:bottom w:val="single" w:color="auto" w:sz="4" w:space="0"/>
              <w:right w:val="single" w:color="auto" w:sz="4" w:space="0"/>
            </w:tcBorders>
            <w:shd w:val="clear" w:color="auto" w:fill="auto"/>
            <w:vAlign w:val="center"/>
          </w:tcPr>
          <w:p w14:paraId="1E8CA428">
            <w:pPr>
              <w:widowControl/>
              <w:adjustRightInd/>
              <w:spacing w:line="240" w:lineRule="auto"/>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rPr>
              <w:t>1）通过自主研发等方式，拥有有效期内的I类知识产权1-2项，得1分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2）通过自主研发等方式，拥有有效期内的I类知识产权3-5项，得1.5分；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3）通过自主研发等方式，拥有有效期内的I类知识产权6项及以上，得2分</w:t>
            </w:r>
            <w:r>
              <w:rPr>
                <w:rFonts w:hint="eastAsia" w:ascii="宋体" w:hAnsi="宋体" w:cs="宋体"/>
                <w:color w:val="auto"/>
                <w:kern w:val="0"/>
                <w:sz w:val="18"/>
                <w:szCs w:val="18"/>
                <w:lang w:eastAsia="zh-CN"/>
              </w:rPr>
              <w:t>。</w:t>
            </w:r>
          </w:p>
        </w:tc>
        <w:tc>
          <w:tcPr>
            <w:tcW w:w="709" w:type="dxa"/>
            <w:tcBorders>
              <w:top w:val="nil"/>
              <w:left w:val="nil"/>
              <w:bottom w:val="single" w:color="auto" w:sz="4" w:space="0"/>
              <w:right w:val="single" w:color="auto" w:sz="8" w:space="0"/>
            </w:tcBorders>
            <w:shd w:val="clear" w:color="auto" w:fill="auto"/>
            <w:vAlign w:val="center"/>
          </w:tcPr>
          <w:p w14:paraId="148245B6">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714" w:type="dxa"/>
            <w:tcBorders>
              <w:top w:val="nil"/>
              <w:left w:val="nil"/>
              <w:bottom w:val="single" w:color="auto" w:sz="4" w:space="0"/>
              <w:right w:val="single" w:color="auto" w:sz="8" w:space="0"/>
            </w:tcBorders>
            <w:vAlign w:val="center"/>
          </w:tcPr>
          <w:p w14:paraId="3C569D75">
            <w:pPr>
              <w:widowControl/>
              <w:adjustRightInd/>
              <w:spacing w:line="240" w:lineRule="auto"/>
              <w:jc w:val="center"/>
              <w:rPr>
                <w:rFonts w:hint="eastAsia" w:ascii="宋体" w:hAnsi="宋体" w:cs="宋体"/>
                <w:color w:val="auto"/>
                <w:kern w:val="0"/>
                <w:sz w:val="18"/>
                <w:szCs w:val="18"/>
              </w:rPr>
            </w:pPr>
          </w:p>
        </w:tc>
      </w:tr>
      <w:tr w14:paraId="5FB8EBA4">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auto" w:sz="8" w:space="0"/>
              <w:right w:val="single" w:color="auto" w:sz="4" w:space="0"/>
            </w:tcBorders>
            <w:vAlign w:val="center"/>
          </w:tcPr>
          <w:p w14:paraId="2A3156E2">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8" w:space="0"/>
              <w:right w:val="single" w:color="auto" w:sz="4" w:space="0"/>
            </w:tcBorders>
            <w:vAlign w:val="center"/>
          </w:tcPr>
          <w:p w14:paraId="41DEE8D4">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8" w:space="0"/>
              <w:right w:val="single" w:color="auto" w:sz="4" w:space="0"/>
            </w:tcBorders>
            <w:vAlign w:val="center"/>
          </w:tcPr>
          <w:p w14:paraId="7B23313A">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8" w:space="0"/>
              <w:right w:val="single" w:color="auto" w:sz="4" w:space="0"/>
            </w:tcBorders>
            <w:shd w:val="clear" w:color="auto" w:fill="auto"/>
            <w:vAlign w:val="center"/>
          </w:tcPr>
          <w:p w14:paraId="10247DD4">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主导省级（含）以上研发平台建设；</w:t>
            </w:r>
          </w:p>
        </w:tc>
        <w:tc>
          <w:tcPr>
            <w:tcW w:w="6516" w:type="dxa"/>
            <w:tcBorders>
              <w:top w:val="nil"/>
              <w:left w:val="nil"/>
              <w:bottom w:val="single" w:color="auto" w:sz="8" w:space="0"/>
              <w:right w:val="single" w:color="auto" w:sz="4" w:space="0"/>
            </w:tcBorders>
            <w:shd w:val="clear" w:color="auto" w:fill="auto"/>
            <w:vAlign w:val="center"/>
          </w:tcPr>
          <w:p w14:paraId="62FBD5F3">
            <w:pPr>
              <w:widowControl/>
              <w:adjustRightInd/>
              <w:spacing w:line="240" w:lineRule="auto"/>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1）主导省级研发平台，每个得1分；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2）主导国家级研发平台，每个得2分</w:t>
            </w:r>
            <w:r>
              <w:rPr>
                <w:rFonts w:hint="eastAsia" w:ascii="宋体" w:hAnsi="宋体" w:cs="宋体"/>
                <w:color w:val="auto"/>
                <w:kern w:val="0"/>
                <w:sz w:val="18"/>
                <w:szCs w:val="18"/>
                <w:lang w:eastAsia="zh-CN"/>
              </w:rPr>
              <w:t>。</w:t>
            </w:r>
          </w:p>
        </w:tc>
        <w:tc>
          <w:tcPr>
            <w:tcW w:w="709" w:type="dxa"/>
            <w:tcBorders>
              <w:top w:val="nil"/>
              <w:left w:val="nil"/>
              <w:bottom w:val="single" w:color="auto" w:sz="8" w:space="0"/>
              <w:right w:val="single" w:color="auto" w:sz="8" w:space="0"/>
            </w:tcBorders>
            <w:shd w:val="clear" w:color="auto" w:fill="auto"/>
            <w:vAlign w:val="center"/>
          </w:tcPr>
          <w:p w14:paraId="724BC45C">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　</w:t>
            </w:r>
          </w:p>
        </w:tc>
        <w:tc>
          <w:tcPr>
            <w:tcW w:w="714" w:type="dxa"/>
            <w:tcBorders>
              <w:top w:val="nil"/>
              <w:left w:val="nil"/>
              <w:bottom w:val="single" w:color="auto" w:sz="8" w:space="0"/>
              <w:right w:val="single" w:color="auto" w:sz="8" w:space="0"/>
            </w:tcBorders>
            <w:vAlign w:val="center"/>
          </w:tcPr>
          <w:p w14:paraId="6A1E9D38">
            <w:pPr>
              <w:widowControl/>
              <w:adjustRightInd/>
              <w:spacing w:line="240" w:lineRule="auto"/>
              <w:jc w:val="center"/>
              <w:rPr>
                <w:rFonts w:hint="eastAsia" w:ascii="宋体" w:hAnsi="宋体" w:cs="宋体"/>
                <w:color w:val="auto"/>
                <w:kern w:val="0"/>
                <w:sz w:val="18"/>
                <w:szCs w:val="18"/>
              </w:rPr>
            </w:pPr>
          </w:p>
        </w:tc>
      </w:tr>
    </w:tbl>
    <w:p w14:paraId="774770B0">
      <w:pPr>
        <w:pStyle w:val="80"/>
        <w:numPr>
          <w:ilvl w:val="1"/>
          <w:numId w:val="0"/>
        </w:numPr>
        <w:spacing w:before="120" w:after="120"/>
        <w:ind w:left="6096" w:leftChars="0"/>
        <w:jc w:val="left"/>
        <w:rPr>
          <w:color w:val="auto"/>
        </w:rPr>
      </w:pPr>
    </w:p>
    <w:p w14:paraId="0A39A12B">
      <w:pPr>
        <w:pStyle w:val="80"/>
        <w:numPr>
          <w:ilvl w:val="1"/>
          <w:numId w:val="0"/>
        </w:numPr>
        <w:spacing w:before="120" w:after="120"/>
        <w:jc w:val="left"/>
        <w:rPr>
          <w:color w:val="auto"/>
        </w:rPr>
      </w:pPr>
    </w:p>
    <w:p w14:paraId="1C8A68F4">
      <w:pPr>
        <w:pStyle w:val="80"/>
        <w:numPr>
          <w:ilvl w:val="1"/>
          <w:numId w:val="33"/>
        </w:numPr>
        <w:spacing w:before="120" w:after="120"/>
        <w:jc w:val="left"/>
        <w:rPr>
          <w:color w:val="auto"/>
        </w:rPr>
      </w:pPr>
      <w:r>
        <w:rPr>
          <w:rFonts w:hint="eastAsia"/>
          <w:color w:val="auto"/>
        </w:rPr>
        <w:t xml:space="preserve"> </w:t>
      </w:r>
      <w:r>
        <w:rPr>
          <w:color w:val="auto"/>
        </w:rPr>
        <w:t xml:space="preserve"> </w:t>
      </w:r>
      <w:r>
        <w:rPr>
          <w:rFonts w:hint="eastAsia"/>
          <w:color w:val="auto"/>
        </w:rPr>
        <w:t>超级能效工厂评分表（续）</w:t>
      </w:r>
    </w:p>
    <w:tbl>
      <w:tblPr>
        <w:tblStyle w:val="28"/>
        <w:tblW w:w="13604" w:type="dxa"/>
        <w:tblInd w:w="0" w:type="dxa"/>
        <w:tblLayout w:type="fixed"/>
        <w:tblCellMar>
          <w:top w:w="0" w:type="dxa"/>
          <w:left w:w="108" w:type="dxa"/>
          <w:bottom w:w="0" w:type="dxa"/>
          <w:right w:w="108" w:type="dxa"/>
        </w:tblCellMar>
      </w:tblPr>
      <w:tblGrid>
        <w:gridCol w:w="458"/>
        <w:gridCol w:w="950"/>
        <w:gridCol w:w="567"/>
        <w:gridCol w:w="3690"/>
        <w:gridCol w:w="6516"/>
        <w:gridCol w:w="709"/>
        <w:gridCol w:w="714"/>
      </w:tblGrid>
      <w:tr w14:paraId="07D996C3">
        <w:tblPrEx>
          <w:tblCellMar>
            <w:top w:w="0" w:type="dxa"/>
            <w:left w:w="108" w:type="dxa"/>
            <w:bottom w:w="0" w:type="dxa"/>
            <w:right w:w="108" w:type="dxa"/>
          </w:tblCellMar>
        </w:tblPrEx>
        <w:trPr>
          <w:trHeight w:val="57" w:hRule="atLeast"/>
          <w:tblHeader/>
        </w:trPr>
        <w:tc>
          <w:tcPr>
            <w:tcW w:w="458" w:type="dxa"/>
            <w:tcBorders>
              <w:top w:val="single" w:color="auto" w:sz="8" w:space="0"/>
              <w:left w:val="single" w:color="auto" w:sz="8" w:space="0"/>
              <w:bottom w:val="single" w:color="auto" w:sz="8" w:space="0"/>
              <w:right w:val="single" w:color="auto" w:sz="4" w:space="0"/>
            </w:tcBorders>
            <w:shd w:val="clear" w:color="auto" w:fill="auto"/>
            <w:vAlign w:val="center"/>
          </w:tcPr>
          <w:p w14:paraId="04E925F8">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序号</w:t>
            </w:r>
          </w:p>
        </w:tc>
        <w:tc>
          <w:tcPr>
            <w:tcW w:w="950" w:type="dxa"/>
            <w:tcBorders>
              <w:top w:val="single" w:color="auto" w:sz="8" w:space="0"/>
              <w:left w:val="nil"/>
              <w:bottom w:val="single" w:color="auto" w:sz="8" w:space="0"/>
              <w:right w:val="single" w:color="auto" w:sz="4" w:space="0"/>
            </w:tcBorders>
            <w:shd w:val="clear" w:color="auto" w:fill="auto"/>
            <w:vAlign w:val="center"/>
          </w:tcPr>
          <w:p w14:paraId="7F625FF3">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一级指标</w:t>
            </w:r>
          </w:p>
        </w:tc>
        <w:tc>
          <w:tcPr>
            <w:tcW w:w="4257" w:type="dxa"/>
            <w:gridSpan w:val="2"/>
            <w:tcBorders>
              <w:top w:val="single" w:color="auto" w:sz="8" w:space="0"/>
              <w:left w:val="nil"/>
              <w:bottom w:val="single" w:color="auto" w:sz="8" w:space="0"/>
              <w:right w:val="single" w:color="auto" w:sz="4" w:space="0"/>
            </w:tcBorders>
            <w:shd w:val="clear" w:color="auto" w:fill="auto"/>
            <w:vAlign w:val="center"/>
          </w:tcPr>
          <w:p w14:paraId="56C3FE4A">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二级指标</w:t>
            </w:r>
          </w:p>
        </w:tc>
        <w:tc>
          <w:tcPr>
            <w:tcW w:w="6516" w:type="dxa"/>
            <w:tcBorders>
              <w:top w:val="single" w:color="auto" w:sz="8" w:space="0"/>
              <w:left w:val="nil"/>
              <w:bottom w:val="single" w:color="auto" w:sz="8" w:space="0"/>
              <w:right w:val="single" w:color="auto" w:sz="4" w:space="0"/>
            </w:tcBorders>
            <w:shd w:val="clear" w:color="auto" w:fill="auto"/>
            <w:vAlign w:val="center"/>
          </w:tcPr>
          <w:p w14:paraId="37FF4350">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评分细则</w:t>
            </w:r>
          </w:p>
        </w:tc>
        <w:tc>
          <w:tcPr>
            <w:tcW w:w="709" w:type="dxa"/>
            <w:tcBorders>
              <w:top w:val="single" w:color="auto" w:sz="8" w:space="0"/>
              <w:left w:val="nil"/>
              <w:bottom w:val="single" w:color="auto" w:sz="4" w:space="0"/>
              <w:right w:val="single" w:color="auto" w:sz="8" w:space="0"/>
            </w:tcBorders>
            <w:shd w:val="clear" w:color="auto" w:fill="auto"/>
            <w:vAlign w:val="center"/>
          </w:tcPr>
          <w:p w14:paraId="56C61327">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分值</w:t>
            </w:r>
          </w:p>
        </w:tc>
        <w:tc>
          <w:tcPr>
            <w:tcW w:w="714" w:type="dxa"/>
            <w:tcBorders>
              <w:top w:val="single" w:color="auto" w:sz="8" w:space="0"/>
              <w:left w:val="nil"/>
              <w:bottom w:val="single" w:color="auto" w:sz="4" w:space="0"/>
              <w:right w:val="single" w:color="auto" w:sz="8" w:space="0"/>
            </w:tcBorders>
            <w:vAlign w:val="center"/>
          </w:tcPr>
          <w:p w14:paraId="69BD63A8">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得分</w:t>
            </w:r>
          </w:p>
        </w:tc>
      </w:tr>
      <w:tr w14:paraId="19114F5C">
        <w:tblPrEx>
          <w:tblCellMar>
            <w:top w:w="0" w:type="dxa"/>
            <w:left w:w="108" w:type="dxa"/>
            <w:bottom w:w="0" w:type="dxa"/>
            <w:right w:w="108" w:type="dxa"/>
          </w:tblCellMar>
        </w:tblPrEx>
        <w:trPr>
          <w:trHeight w:val="57" w:hRule="atLeast"/>
        </w:trPr>
        <w:tc>
          <w:tcPr>
            <w:tcW w:w="458" w:type="dxa"/>
            <w:vMerge w:val="restart"/>
            <w:tcBorders>
              <w:top w:val="single" w:color="auto" w:sz="8" w:space="0"/>
              <w:left w:val="single" w:color="auto" w:sz="8" w:space="0"/>
              <w:bottom w:val="single" w:color="000000" w:sz="4" w:space="0"/>
              <w:right w:val="single" w:color="auto" w:sz="4" w:space="0"/>
            </w:tcBorders>
            <w:vAlign w:val="center"/>
          </w:tcPr>
          <w:p w14:paraId="41797747">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950" w:type="dxa"/>
            <w:vMerge w:val="restart"/>
            <w:tcBorders>
              <w:top w:val="single" w:color="auto" w:sz="8" w:space="0"/>
              <w:left w:val="single" w:color="auto" w:sz="4" w:space="0"/>
              <w:bottom w:val="single" w:color="000000" w:sz="4" w:space="0"/>
              <w:right w:val="single" w:color="auto" w:sz="4" w:space="0"/>
            </w:tcBorders>
            <w:vAlign w:val="center"/>
          </w:tcPr>
          <w:p w14:paraId="6BE1C0B9">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市场竞争力</w:t>
            </w:r>
          </w:p>
        </w:tc>
        <w:tc>
          <w:tcPr>
            <w:tcW w:w="567" w:type="dxa"/>
            <w:tcBorders>
              <w:top w:val="single" w:color="auto" w:sz="8" w:space="0"/>
              <w:left w:val="single" w:color="auto" w:sz="4" w:space="0"/>
              <w:bottom w:val="single" w:color="000000" w:sz="4" w:space="0"/>
              <w:right w:val="single" w:color="auto" w:sz="4" w:space="0"/>
            </w:tcBorders>
            <w:vAlign w:val="center"/>
          </w:tcPr>
          <w:p w14:paraId="1FF0CA6A">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创新驱动发展</w:t>
            </w:r>
          </w:p>
        </w:tc>
        <w:tc>
          <w:tcPr>
            <w:tcW w:w="3690" w:type="dxa"/>
            <w:tcBorders>
              <w:top w:val="single" w:color="auto" w:sz="8" w:space="0"/>
              <w:left w:val="nil"/>
              <w:bottom w:val="single" w:color="auto" w:sz="4" w:space="0"/>
              <w:right w:val="single" w:color="auto" w:sz="4" w:space="0"/>
            </w:tcBorders>
            <w:shd w:val="clear" w:color="auto" w:fill="auto"/>
            <w:vAlign w:val="center"/>
          </w:tcPr>
          <w:p w14:paraId="7391FC67">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提高企业综合创新能力，获得省级（含）以上科技进步奖、技术发明奖等奖项</w:t>
            </w:r>
          </w:p>
        </w:tc>
        <w:tc>
          <w:tcPr>
            <w:tcW w:w="6516" w:type="dxa"/>
            <w:tcBorders>
              <w:top w:val="single" w:color="auto" w:sz="8" w:space="0"/>
              <w:left w:val="nil"/>
              <w:bottom w:val="single" w:color="auto" w:sz="4" w:space="0"/>
              <w:right w:val="single" w:color="auto" w:sz="4" w:space="0"/>
            </w:tcBorders>
            <w:shd w:val="clear" w:color="auto" w:fill="auto"/>
            <w:vAlign w:val="center"/>
          </w:tcPr>
          <w:p w14:paraId="428CE897">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1）近三年，获得省、全国学（协）会科学技术二等奖，每个得0.5分；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2）近三年，获得省、全国学（协）会科学技术一等奖，每个得1分；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3）近三年，获得国家科学技术二等奖，每个得1分；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4）近三年，获得国家科学技术一等奖，每个得2分</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br w:type="textWrapping"/>
            </w:r>
            <w:r>
              <w:rPr>
                <w:rFonts w:hint="eastAsia" w:ascii="宋体" w:hAnsi="宋体" w:cs="宋体"/>
                <w:color w:val="auto"/>
                <w:kern w:val="0"/>
                <w:sz w:val="18"/>
                <w:szCs w:val="18"/>
              </w:rPr>
              <w:t>若同一个项目多次获奖不重复计算，按最高级别核算。</w:t>
            </w:r>
          </w:p>
        </w:tc>
        <w:tc>
          <w:tcPr>
            <w:tcW w:w="709" w:type="dxa"/>
            <w:tcBorders>
              <w:top w:val="nil"/>
              <w:left w:val="nil"/>
              <w:bottom w:val="single" w:color="auto" w:sz="4" w:space="0"/>
              <w:right w:val="single" w:color="auto" w:sz="8" w:space="0"/>
            </w:tcBorders>
            <w:shd w:val="clear" w:color="auto" w:fill="auto"/>
            <w:vAlign w:val="center"/>
          </w:tcPr>
          <w:p w14:paraId="32C3B55C">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714" w:type="dxa"/>
            <w:tcBorders>
              <w:top w:val="nil"/>
              <w:left w:val="nil"/>
              <w:bottom w:val="single" w:color="auto" w:sz="4" w:space="0"/>
              <w:right w:val="single" w:color="auto" w:sz="8" w:space="0"/>
            </w:tcBorders>
            <w:vAlign w:val="center"/>
          </w:tcPr>
          <w:p w14:paraId="52C8B8E1">
            <w:pPr>
              <w:widowControl/>
              <w:adjustRightInd/>
              <w:spacing w:line="240" w:lineRule="auto"/>
              <w:jc w:val="center"/>
              <w:rPr>
                <w:rFonts w:hint="eastAsia" w:ascii="宋体" w:hAnsi="宋体" w:cs="宋体"/>
                <w:color w:val="auto"/>
                <w:kern w:val="0"/>
                <w:sz w:val="18"/>
                <w:szCs w:val="18"/>
              </w:rPr>
            </w:pPr>
          </w:p>
        </w:tc>
      </w:tr>
      <w:tr w14:paraId="499FE8F7">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000000" w:sz="4" w:space="0"/>
              <w:right w:val="single" w:color="auto" w:sz="4" w:space="0"/>
            </w:tcBorders>
            <w:vAlign w:val="center"/>
          </w:tcPr>
          <w:p w14:paraId="481E3418">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000000" w:sz="4" w:space="0"/>
              <w:right w:val="single" w:color="auto" w:sz="4" w:space="0"/>
            </w:tcBorders>
            <w:vAlign w:val="center"/>
          </w:tcPr>
          <w:p w14:paraId="49C154FC">
            <w:pPr>
              <w:widowControl/>
              <w:adjustRightInd/>
              <w:spacing w:line="240" w:lineRule="auto"/>
              <w:jc w:val="left"/>
              <w:rPr>
                <w:rFonts w:hint="eastAsia" w:ascii="宋体" w:hAnsi="宋体" w:cs="宋体"/>
                <w:color w:val="auto"/>
                <w:kern w:val="0"/>
                <w:sz w:val="18"/>
                <w:szCs w:val="18"/>
              </w:rPr>
            </w:pPr>
          </w:p>
        </w:tc>
        <w:tc>
          <w:tcPr>
            <w:tcW w:w="567" w:type="dxa"/>
            <w:vMerge w:val="restart"/>
            <w:tcBorders>
              <w:top w:val="nil"/>
              <w:left w:val="single" w:color="auto" w:sz="4" w:space="0"/>
              <w:bottom w:val="single" w:color="000000" w:sz="4" w:space="0"/>
              <w:right w:val="single" w:color="auto" w:sz="4" w:space="0"/>
            </w:tcBorders>
            <w:shd w:val="clear" w:color="auto" w:fill="auto"/>
            <w:vAlign w:val="center"/>
          </w:tcPr>
          <w:p w14:paraId="4F736672">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市场引领效应</w:t>
            </w:r>
          </w:p>
        </w:tc>
        <w:tc>
          <w:tcPr>
            <w:tcW w:w="3690" w:type="dxa"/>
            <w:tcBorders>
              <w:top w:val="nil"/>
              <w:left w:val="nil"/>
              <w:bottom w:val="single" w:color="auto" w:sz="4" w:space="0"/>
              <w:right w:val="single" w:color="auto" w:sz="4" w:space="0"/>
            </w:tcBorders>
            <w:shd w:val="clear" w:color="auto" w:fill="auto"/>
            <w:vAlign w:val="center"/>
          </w:tcPr>
          <w:p w14:paraId="192E1023">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主导制定国际标准、国家标准或行业标准；</w:t>
            </w:r>
          </w:p>
        </w:tc>
        <w:tc>
          <w:tcPr>
            <w:tcW w:w="6516" w:type="dxa"/>
            <w:tcBorders>
              <w:top w:val="nil"/>
              <w:left w:val="nil"/>
              <w:bottom w:val="single" w:color="auto" w:sz="4" w:space="0"/>
              <w:right w:val="single" w:color="auto" w:sz="4" w:space="0"/>
            </w:tcBorders>
            <w:shd w:val="clear" w:color="auto" w:fill="auto"/>
            <w:vAlign w:val="center"/>
          </w:tcPr>
          <w:p w14:paraId="172DD7B3">
            <w:pPr>
              <w:widowControl/>
              <w:adjustRightInd/>
              <w:spacing w:line="240" w:lineRule="auto"/>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rPr>
              <w:t>1）近三年，主导制定行业标准，每个得1分；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2）近三年，主导制定国家标准，每个得3分；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3）近三年，主导制定国际标准，每个得5分</w:t>
            </w:r>
            <w:r>
              <w:rPr>
                <w:rFonts w:hint="eastAsia" w:ascii="宋体" w:hAnsi="宋体" w:cs="宋体"/>
                <w:color w:val="auto"/>
                <w:kern w:val="0"/>
                <w:sz w:val="18"/>
                <w:szCs w:val="18"/>
                <w:lang w:eastAsia="zh-CN"/>
              </w:rPr>
              <w:t>。</w:t>
            </w:r>
          </w:p>
        </w:tc>
        <w:tc>
          <w:tcPr>
            <w:tcW w:w="709" w:type="dxa"/>
            <w:tcBorders>
              <w:top w:val="nil"/>
              <w:left w:val="nil"/>
              <w:bottom w:val="single" w:color="auto" w:sz="4" w:space="0"/>
              <w:right w:val="single" w:color="auto" w:sz="8" w:space="0"/>
            </w:tcBorders>
            <w:shd w:val="clear" w:color="auto" w:fill="auto"/>
            <w:vAlign w:val="center"/>
          </w:tcPr>
          <w:p w14:paraId="54B89E5B">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714" w:type="dxa"/>
            <w:tcBorders>
              <w:top w:val="nil"/>
              <w:left w:val="nil"/>
              <w:bottom w:val="single" w:color="auto" w:sz="4" w:space="0"/>
              <w:right w:val="single" w:color="auto" w:sz="8" w:space="0"/>
            </w:tcBorders>
            <w:vAlign w:val="center"/>
          </w:tcPr>
          <w:p w14:paraId="5E0C6D07">
            <w:pPr>
              <w:widowControl/>
              <w:adjustRightInd/>
              <w:spacing w:line="240" w:lineRule="auto"/>
              <w:jc w:val="center"/>
              <w:rPr>
                <w:rFonts w:hint="eastAsia" w:ascii="宋体" w:hAnsi="宋体" w:cs="宋体"/>
                <w:color w:val="auto"/>
                <w:kern w:val="0"/>
                <w:sz w:val="18"/>
                <w:szCs w:val="18"/>
              </w:rPr>
            </w:pPr>
          </w:p>
        </w:tc>
      </w:tr>
      <w:tr w14:paraId="146AFC71">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000000" w:sz="4" w:space="0"/>
              <w:right w:val="single" w:color="auto" w:sz="4" w:space="0"/>
            </w:tcBorders>
            <w:vAlign w:val="center"/>
          </w:tcPr>
          <w:p w14:paraId="16B938C1">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000000" w:sz="4" w:space="0"/>
              <w:right w:val="single" w:color="auto" w:sz="4" w:space="0"/>
            </w:tcBorders>
            <w:vAlign w:val="center"/>
          </w:tcPr>
          <w:p w14:paraId="5AC3029A">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000000" w:sz="4" w:space="0"/>
              <w:right w:val="single" w:color="auto" w:sz="4" w:space="0"/>
            </w:tcBorders>
            <w:vAlign w:val="center"/>
          </w:tcPr>
          <w:p w14:paraId="08CB3B5D">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4" w:space="0"/>
              <w:right w:val="single" w:color="auto" w:sz="4" w:space="0"/>
            </w:tcBorders>
            <w:shd w:val="clear" w:color="auto" w:fill="auto"/>
            <w:vAlign w:val="center"/>
          </w:tcPr>
          <w:p w14:paraId="77B1175A">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牵头实施国家级科技计划项目（课题）、重点工程项目或省级重大科技专项、重点工程项目等；</w:t>
            </w:r>
          </w:p>
        </w:tc>
        <w:tc>
          <w:tcPr>
            <w:tcW w:w="6516" w:type="dxa"/>
            <w:tcBorders>
              <w:top w:val="nil"/>
              <w:left w:val="nil"/>
              <w:bottom w:val="single" w:color="auto" w:sz="4" w:space="0"/>
              <w:right w:val="single" w:color="auto" w:sz="4" w:space="0"/>
            </w:tcBorders>
            <w:shd w:val="clear" w:color="auto" w:fill="auto"/>
            <w:vAlign w:val="center"/>
          </w:tcPr>
          <w:p w14:paraId="5FD9DD37">
            <w:pPr>
              <w:widowControl/>
              <w:adjustRightInd/>
              <w:spacing w:line="240" w:lineRule="auto"/>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1）近三年内牵头实施省级重大科技专项、重点工程项目等，得3分；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2）近三年内牵头实施国家级科技计划项目（课题）、重点工程项目等，得5分</w:t>
            </w:r>
            <w:r>
              <w:rPr>
                <w:rFonts w:hint="eastAsia" w:ascii="宋体" w:hAnsi="宋体" w:cs="宋体"/>
                <w:color w:val="auto"/>
                <w:kern w:val="0"/>
                <w:sz w:val="18"/>
                <w:szCs w:val="18"/>
                <w:lang w:eastAsia="zh-CN"/>
              </w:rPr>
              <w:t>。</w:t>
            </w:r>
          </w:p>
        </w:tc>
        <w:tc>
          <w:tcPr>
            <w:tcW w:w="709" w:type="dxa"/>
            <w:tcBorders>
              <w:top w:val="nil"/>
              <w:left w:val="nil"/>
              <w:bottom w:val="single" w:color="auto" w:sz="4" w:space="0"/>
              <w:right w:val="single" w:color="auto" w:sz="8" w:space="0"/>
            </w:tcBorders>
            <w:shd w:val="clear" w:color="auto" w:fill="auto"/>
            <w:vAlign w:val="center"/>
          </w:tcPr>
          <w:p w14:paraId="44087B32">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714" w:type="dxa"/>
            <w:tcBorders>
              <w:top w:val="nil"/>
              <w:left w:val="nil"/>
              <w:bottom w:val="single" w:color="auto" w:sz="4" w:space="0"/>
              <w:right w:val="single" w:color="auto" w:sz="8" w:space="0"/>
            </w:tcBorders>
            <w:vAlign w:val="center"/>
          </w:tcPr>
          <w:p w14:paraId="59AB8010">
            <w:pPr>
              <w:widowControl/>
              <w:adjustRightInd/>
              <w:spacing w:line="240" w:lineRule="auto"/>
              <w:jc w:val="center"/>
              <w:rPr>
                <w:rFonts w:hint="eastAsia" w:ascii="宋体" w:hAnsi="宋体" w:cs="宋体"/>
                <w:color w:val="auto"/>
                <w:kern w:val="0"/>
                <w:sz w:val="18"/>
                <w:szCs w:val="18"/>
              </w:rPr>
            </w:pPr>
          </w:p>
        </w:tc>
      </w:tr>
      <w:tr w14:paraId="36717E06">
        <w:tblPrEx>
          <w:tblCellMar>
            <w:top w:w="0" w:type="dxa"/>
            <w:left w:w="108" w:type="dxa"/>
            <w:bottom w:w="0" w:type="dxa"/>
            <w:right w:w="108" w:type="dxa"/>
          </w:tblCellMar>
        </w:tblPrEx>
        <w:trPr>
          <w:trHeight w:val="57" w:hRule="atLeast"/>
        </w:trPr>
        <w:tc>
          <w:tcPr>
            <w:tcW w:w="458" w:type="dxa"/>
            <w:vMerge w:val="continue"/>
            <w:tcBorders>
              <w:top w:val="nil"/>
              <w:left w:val="single" w:color="auto" w:sz="8" w:space="0"/>
              <w:bottom w:val="single" w:color="auto" w:sz="8" w:space="0"/>
              <w:right w:val="single" w:color="auto" w:sz="4" w:space="0"/>
            </w:tcBorders>
            <w:vAlign w:val="center"/>
          </w:tcPr>
          <w:p w14:paraId="67633545">
            <w:pPr>
              <w:widowControl/>
              <w:adjustRightInd/>
              <w:spacing w:line="240" w:lineRule="auto"/>
              <w:jc w:val="left"/>
              <w:rPr>
                <w:rFonts w:hint="eastAsia" w:ascii="宋体" w:hAnsi="宋体" w:cs="宋体"/>
                <w:color w:val="auto"/>
                <w:kern w:val="0"/>
                <w:sz w:val="18"/>
                <w:szCs w:val="18"/>
              </w:rPr>
            </w:pPr>
          </w:p>
        </w:tc>
        <w:tc>
          <w:tcPr>
            <w:tcW w:w="950" w:type="dxa"/>
            <w:vMerge w:val="continue"/>
            <w:tcBorders>
              <w:top w:val="nil"/>
              <w:left w:val="single" w:color="auto" w:sz="4" w:space="0"/>
              <w:bottom w:val="single" w:color="auto" w:sz="8" w:space="0"/>
              <w:right w:val="single" w:color="auto" w:sz="4" w:space="0"/>
            </w:tcBorders>
            <w:vAlign w:val="center"/>
          </w:tcPr>
          <w:p w14:paraId="63FF7713">
            <w:pPr>
              <w:widowControl/>
              <w:adjustRightInd/>
              <w:spacing w:line="240" w:lineRule="auto"/>
              <w:jc w:val="left"/>
              <w:rPr>
                <w:rFonts w:hint="eastAsia" w:ascii="宋体" w:hAnsi="宋体" w:cs="宋体"/>
                <w:color w:val="auto"/>
                <w:kern w:val="0"/>
                <w:sz w:val="18"/>
                <w:szCs w:val="18"/>
              </w:rPr>
            </w:pPr>
          </w:p>
        </w:tc>
        <w:tc>
          <w:tcPr>
            <w:tcW w:w="567" w:type="dxa"/>
            <w:vMerge w:val="continue"/>
            <w:tcBorders>
              <w:top w:val="nil"/>
              <w:left w:val="single" w:color="auto" w:sz="4" w:space="0"/>
              <w:bottom w:val="single" w:color="auto" w:sz="8" w:space="0"/>
              <w:right w:val="single" w:color="auto" w:sz="4" w:space="0"/>
            </w:tcBorders>
            <w:vAlign w:val="center"/>
          </w:tcPr>
          <w:p w14:paraId="2D8FCE7D">
            <w:pPr>
              <w:widowControl/>
              <w:adjustRightInd/>
              <w:spacing w:line="240" w:lineRule="auto"/>
              <w:jc w:val="left"/>
              <w:rPr>
                <w:rFonts w:hint="eastAsia" w:ascii="宋体" w:hAnsi="宋体" w:cs="宋体"/>
                <w:color w:val="auto"/>
                <w:kern w:val="0"/>
                <w:sz w:val="18"/>
                <w:szCs w:val="18"/>
              </w:rPr>
            </w:pPr>
          </w:p>
        </w:tc>
        <w:tc>
          <w:tcPr>
            <w:tcW w:w="3690" w:type="dxa"/>
            <w:tcBorders>
              <w:top w:val="nil"/>
              <w:left w:val="nil"/>
              <w:bottom w:val="single" w:color="auto" w:sz="8" w:space="0"/>
              <w:right w:val="single" w:color="auto" w:sz="4" w:space="0"/>
            </w:tcBorders>
            <w:shd w:val="clear" w:color="auto" w:fill="auto"/>
            <w:vAlign w:val="center"/>
          </w:tcPr>
          <w:p w14:paraId="00F15320">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具有显著的行业带动能力,主导产品市场占有率位居全国同行业（细分）前列</w:t>
            </w:r>
          </w:p>
        </w:tc>
        <w:tc>
          <w:tcPr>
            <w:tcW w:w="6516" w:type="dxa"/>
            <w:tcBorders>
              <w:top w:val="nil"/>
              <w:left w:val="nil"/>
              <w:bottom w:val="single" w:color="auto" w:sz="8" w:space="0"/>
              <w:right w:val="single" w:color="auto" w:sz="4" w:space="0"/>
            </w:tcBorders>
            <w:shd w:val="clear" w:color="auto" w:fill="auto"/>
            <w:vAlign w:val="center"/>
          </w:tcPr>
          <w:p w14:paraId="570EF7E2">
            <w:pPr>
              <w:widowControl/>
              <w:adjustRightInd/>
              <w:spacing w:line="240" w:lineRule="auto"/>
              <w:jc w:val="left"/>
              <w:rPr>
                <w:rFonts w:hint="eastAsia" w:ascii="宋体" w:hAnsi="宋体" w:cs="宋体"/>
                <w:color w:val="auto"/>
                <w:kern w:val="0"/>
                <w:sz w:val="18"/>
                <w:szCs w:val="18"/>
              </w:rPr>
            </w:pPr>
            <w:r>
              <w:rPr>
                <w:rFonts w:hint="eastAsia" w:ascii="宋体" w:hAnsi="宋体" w:cs="宋体"/>
                <w:color w:val="auto"/>
                <w:kern w:val="0"/>
                <w:sz w:val="18"/>
                <w:szCs w:val="18"/>
              </w:rPr>
              <w:t>1）主导产品市场占有率位居全国同行业（细分）前6名，得1分；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2）主导产品市场占有率位居全国同行业（细分）前3名，得3分；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3）属省级单项冠军企业（含培育），得4分；</w:t>
            </w:r>
          </w:p>
          <w:p w14:paraId="450EB191">
            <w:pPr>
              <w:widowControl/>
              <w:adjustRightInd/>
              <w:spacing w:line="240" w:lineRule="auto"/>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4）属国家级级单项冠军企业（含培育），得5分</w:t>
            </w:r>
            <w:r>
              <w:rPr>
                <w:rFonts w:hint="eastAsia" w:ascii="宋体" w:hAnsi="宋体" w:cs="宋体"/>
                <w:color w:val="auto"/>
                <w:kern w:val="0"/>
                <w:sz w:val="18"/>
                <w:szCs w:val="18"/>
                <w:lang w:eastAsia="zh-CN"/>
              </w:rPr>
              <w:t>。</w:t>
            </w:r>
          </w:p>
        </w:tc>
        <w:tc>
          <w:tcPr>
            <w:tcW w:w="709" w:type="dxa"/>
            <w:tcBorders>
              <w:top w:val="nil"/>
              <w:left w:val="nil"/>
              <w:bottom w:val="single" w:color="auto" w:sz="8" w:space="0"/>
              <w:right w:val="single" w:color="auto" w:sz="8" w:space="0"/>
            </w:tcBorders>
            <w:shd w:val="clear" w:color="auto" w:fill="auto"/>
            <w:vAlign w:val="center"/>
          </w:tcPr>
          <w:p w14:paraId="5FBED154">
            <w:pPr>
              <w:widowControl/>
              <w:adjustRightInd/>
              <w:spacing w:line="240" w:lineRule="auto"/>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714" w:type="dxa"/>
            <w:tcBorders>
              <w:top w:val="nil"/>
              <w:left w:val="nil"/>
              <w:bottom w:val="single" w:color="auto" w:sz="8" w:space="0"/>
              <w:right w:val="single" w:color="auto" w:sz="8" w:space="0"/>
            </w:tcBorders>
            <w:vAlign w:val="center"/>
          </w:tcPr>
          <w:p w14:paraId="37AD014A">
            <w:pPr>
              <w:widowControl/>
              <w:adjustRightInd/>
              <w:spacing w:line="240" w:lineRule="auto"/>
              <w:jc w:val="center"/>
              <w:rPr>
                <w:rFonts w:hint="eastAsia" w:ascii="宋体" w:hAnsi="宋体" w:cs="宋体"/>
                <w:color w:val="auto"/>
                <w:kern w:val="0"/>
                <w:sz w:val="18"/>
                <w:szCs w:val="18"/>
              </w:rPr>
            </w:pPr>
          </w:p>
        </w:tc>
      </w:tr>
    </w:tbl>
    <w:p w14:paraId="3AFC8558">
      <w:pPr>
        <w:widowControl/>
        <w:adjustRightInd/>
        <w:spacing w:line="240" w:lineRule="auto"/>
        <w:jc w:val="left"/>
        <w:rPr>
          <w:color w:val="auto"/>
          <w:sz w:val="18"/>
          <w:szCs w:val="18"/>
        </w:rPr>
      </w:pPr>
    </w:p>
    <w:p w14:paraId="7218FB3E">
      <w:pPr>
        <w:widowControl/>
        <w:adjustRightInd/>
        <w:spacing w:line="240" w:lineRule="auto"/>
        <w:jc w:val="left"/>
        <w:rPr>
          <w:color w:val="auto"/>
        </w:rPr>
        <w:sectPr>
          <w:headerReference r:id="rId7" w:type="default"/>
          <w:footerReference r:id="rId9" w:type="default"/>
          <w:headerReference r:id="rId8" w:type="even"/>
          <w:footerReference r:id="rId10" w:type="even"/>
          <w:pgSz w:w="16838" w:h="11906" w:orient="landscape"/>
          <w:pgMar w:top="1134" w:right="1871" w:bottom="1134" w:left="1134" w:header="1418" w:footer="1247" w:gutter="284"/>
          <w:pgNumType w:fmt="decimal"/>
          <w:cols w:space="425" w:num="1"/>
          <w:formProt w:val="0"/>
          <w:docGrid w:linePitch="312" w:charSpace="0"/>
        </w:sectPr>
      </w:pPr>
    </w:p>
    <w:p w14:paraId="4B4CBEC9">
      <w:pPr>
        <w:pStyle w:val="201"/>
        <w:rPr>
          <w:rFonts w:hint="eastAsia"/>
          <w:vanish w:val="0"/>
          <w:color w:val="auto"/>
        </w:rPr>
      </w:pPr>
    </w:p>
    <w:p w14:paraId="260152D1">
      <w:pPr>
        <w:pStyle w:val="202"/>
        <w:rPr>
          <w:vanish w:val="0"/>
          <w:color w:val="auto"/>
        </w:rPr>
      </w:pPr>
    </w:p>
    <w:p w14:paraId="15506314">
      <w:pPr>
        <w:pStyle w:val="79"/>
        <w:rPr>
          <w:color w:val="auto"/>
        </w:rPr>
      </w:pPr>
    </w:p>
    <w:p w14:paraId="2AB1369D">
      <w:pPr>
        <w:pStyle w:val="59"/>
        <w:ind w:firstLine="0" w:firstLineChars="0"/>
        <w:jc w:val="center"/>
        <w:rPr>
          <w:color w:val="auto"/>
        </w:rPr>
      </w:pPr>
      <w:r>
        <w:rPr>
          <w:rFonts w:hint="eastAsia" w:ascii="黑体" w:eastAsia="黑体"/>
          <w:color w:val="auto"/>
        </w:rPr>
        <w:t>（资料性）</w:t>
      </w:r>
    </w:p>
    <w:p w14:paraId="193A2EF3">
      <w:pPr>
        <w:pStyle w:val="81"/>
        <w:numPr>
          <w:ilvl w:val="0"/>
          <w:numId w:val="0"/>
        </w:numPr>
        <w:spacing w:before="120" w:after="120"/>
        <w:jc w:val="center"/>
        <w:rPr>
          <w:color w:val="auto"/>
        </w:rPr>
      </w:pPr>
      <w:r>
        <w:rPr>
          <w:rFonts w:hint="eastAsia"/>
          <w:color w:val="auto"/>
        </w:rPr>
        <w:t>主要用能设备能效指标评价标准</w:t>
      </w:r>
    </w:p>
    <w:p w14:paraId="6827D94C">
      <w:pPr>
        <w:pStyle w:val="59"/>
        <w:ind w:firstLine="420"/>
        <w:rPr>
          <w:color w:val="auto"/>
        </w:rPr>
      </w:pPr>
      <w:r>
        <w:rPr>
          <w:rFonts w:hint="eastAsia"/>
          <w:color w:val="auto"/>
        </w:rPr>
        <w:t>主要通用设备能效指标评价标准参见表B，各行业专用设备能效指标依据现行能效标准。</w:t>
      </w:r>
    </w:p>
    <w:p w14:paraId="5BC81B37">
      <w:pPr>
        <w:pStyle w:val="80"/>
        <w:numPr>
          <w:ilvl w:val="0"/>
          <w:numId w:val="0"/>
        </w:numPr>
        <w:spacing w:before="120" w:after="120"/>
        <w:rPr>
          <w:color w:val="auto"/>
        </w:rPr>
      </w:pPr>
      <w:r>
        <w:rPr>
          <w:rFonts w:hint="eastAsia"/>
          <w:color w:val="auto"/>
        </w:rPr>
        <w:t>表B.通用设备能效指标评价标准</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141"/>
        <w:gridCol w:w="7400"/>
      </w:tblGrid>
      <w:tr w14:paraId="657A11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tcBorders>
              <w:top w:val="single" w:color="auto" w:sz="8" w:space="0"/>
              <w:bottom w:val="single" w:color="auto" w:sz="8" w:space="0"/>
            </w:tcBorders>
            <w:vAlign w:val="center"/>
          </w:tcPr>
          <w:p w14:paraId="26C8E852">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序号</w:t>
            </w:r>
          </w:p>
        </w:tc>
        <w:tc>
          <w:tcPr>
            <w:tcW w:w="596" w:type="pct"/>
            <w:tcBorders>
              <w:top w:val="single" w:color="auto" w:sz="8" w:space="0"/>
              <w:bottom w:val="single" w:color="auto" w:sz="8" w:space="0"/>
            </w:tcBorders>
            <w:vAlign w:val="center"/>
          </w:tcPr>
          <w:p w14:paraId="04855561">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类别</w:t>
            </w:r>
          </w:p>
        </w:tc>
        <w:tc>
          <w:tcPr>
            <w:tcW w:w="3866" w:type="pct"/>
            <w:tcBorders>
              <w:top w:val="single" w:color="auto" w:sz="8" w:space="0"/>
              <w:bottom w:val="single" w:color="auto" w:sz="8" w:space="0"/>
            </w:tcBorders>
            <w:vAlign w:val="center"/>
          </w:tcPr>
          <w:p w14:paraId="0A291793">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执行标准</w:t>
            </w:r>
          </w:p>
        </w:tc>
      </w:tr>
      <w:tr w14:paraId="6FDF6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tcBorders>
              <w:top w:val="single" w:color="auto" w:sz="8" w:space="0"/>
            </w:tcBorders>
            <w:vAlign w:val="center"/>
          </w:tcPr>
          <w:p w14:paraId="17081187">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restart"/>
            <w:tcBorders>
              <w:top w:val="single" w:color="auto" w:sz="8" w:space="0"/>
            </w:tcBorders>
            <w:vAlign w:val="center"/>
          </w:tcPr>
          <w:p w14:paraId="2B95178D">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锅炉</w:t>
            </w:r>
          </w:p>
        </w:tc>
        <w:tc>
          <w:tcPr>
            <w:tcW w:w="3866" w:type="pct"/>
            <w:tcBorders>
              <w:top w:val="single" w:color="auto" w:sz="8" w:space="0"/>
            </w:tcBorders>
            <w:vAlign w:val="center"/>
          </w:tcPr>
          <w:p w14:paraId="11B535D8">
            <w:pPr>
              <w:spacing w:line="240" w:lineRule="auto"/>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GB 24500</w:t>
            </w:r>
            <w:r>
              <w:rPr>
                <w:rFonts w:ascii="宋体" w:hAnsi="宋体"/>
                <w:color w:val="auto"/>
                <w:sz w:val="18"/>
                <w:szCs w:val="18"/>
                <w:shd w:val="clear" w:color="auto" w:fill="FFFFFF"/>
              </w:rPr>
              <w:t xml:space="preserve">  </w:t>
            </w:r>
            <w:r>
              <w:rPr>
                <w:rFonts w:hint="eastAsia" w:ascii="宋体" w:hAnsi="宋体"/>
                <w:color w:val="auto"/>
                <w:sz w:val="18"/>
                <w:szCs w:val="18"/>
                <w:shd w:val="clear" w:color="auto" w:fill="FFFFFF"/>
              </w:rPr>
              <w:t>工业锅炉能效限定值及能效等级</w:t>
            </w:r>
          </w:p>
        </w:tc>
      </w:tr>
      <w:tr w14:paraId="4ED26A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69691273">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7EF5B2CB">
            <w:pPr>
              <w:spacing w:line="240" w:lineRule="auto"/>
              <w:jc w:val="center"/>
              <w:rPr>
                <w:rFonts w:hint="eastAsia" w:ascii="宋体" w:hAnsi="宋体"/>
                <w:color w:val="auto"/>
                <w:sz w:val="18"/>
                <w:szCs w:val="18"/>
                <w:shd w:val="clear" w:color="auto" w:fill="FFFFFF"/>
              </w:rPr>
            </w:pPr>
          </w:p>
        </w:tc>
        <w:tc>
          <w:tcPr>
            <w:tcW w:w="3866" w:type="pct"/>
            <w:vAlign w:val="center"/>
          </w:tcPr>
          <w:p w14:paraId="32D920F7">
            <w:pPr>
              <w:spacing w:line="240" w:lineRule="auto"/>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NB/T 47061</w:t>
            </w:r>
            <w:r>
              <w:rPr>
                <w:rFonts w:ascii="宋体" w:hAnsi="宋体"/>
                <w:color w:val="auto"/>
                <w:sz w:val="18"/>
                <w:szCs w:val="18"/>
                <w:shd w:val="clear" w:color="auto" w:fill="FFFFFF"/>
              </w:rPr>
              <w:t xml:space="preserve">  </w:t>
            </w:r>
            <w:r>
              <w:rPr>
                <w:rFonts w:hint="eastAsia" w:ascii="宋体" w:hAnsi="宋体"/>
                <w:color w:val="auto"/>
                <w:sz w:val="18"/>
                <w:szCs w:val="18"/>
                <w:shd w:val="clear" w:color="auto" w:fill="FFFFFF"/>
              </w:rPr>
              <w:t>工业锅炉系统能源利用效率指标及分级</w:t>
            </w:r>
          </w:p>
        </w:tc>
      </w:tr>
      <w:tr w14:paraId="1A9AB4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793CBD55">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Align w:val="center"/>
          </w:tcPr>
          <w:p w14:paraId="2A3862F0">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变压器</w:t>
            </w:r>
          </w:p>
        </w:tc>
        <w:tc>
          <w:tcPr>
            <w:tcW w:w="3866" w:type="pct"/>
            <w:vAlign w:val="center"/>
          </w:tcPr>
          <w:p w14:paraId="50384ACF">
            <w:pPr>
              <w:spacing w:line="240" w:lineRule="auto"/>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GB 20052</w:t>
            </w:r>
            <w:r>
              <w:rPr>
                <w:rFonts w:ascii="宋体" w:hAnsi="宋体"/>
                <w:color w:val="auto"/>
                <w:sz w:val="18"/>
                <w:szCs w:val="18"/>
                <w:shd w:val="clear" w:color="auto" w:fill="FFFFFF"/>
              </w:rPr>
              <w:t xml:space="preserve">  </w:t>
            </w:r>
            <w:r>
              <w:rPr>
                <w:rFonts w:hint="eastAsia" w:ascii="宋体" w:hAnsi="宋体"/>
                <w:color w:val="auto"/>
                <w:sz w:val="18"/>
                <w:szCs w:val="18"/>
                <w:shd w:val="clear" w:color="auto" w:fill="FFFFFF"/>
              </w:rPr>
              <w:t>电力变压器能效限定值及能效等级</w:t>
            </w:r>
          </w:p>
        </w:tc>
      </w:tr>
      <w:tr w14:paraId="7A2DCC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3C17E363">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restart"/>
            <w:vAlign w:val="center"/>
          </w:tcPr>
          <w:p w14:paraId="7B7B138B">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电动机</w:t>
            </w:r>
          </w:p>
        </w:tc>
        <w:tc>
          <w:tcPr>
            <w:tcW w:w="3866" w:type="pct"/>
            <w:vAlign w:val="center"/>
          </w:tcPr>
          <w:p w14:paraId="3BA9BFBF">
            <w:pPr>
              <w:spacing w:line="240" w:lineRule="auto"/>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GB 18613  电动机能效限定值及能效等级</w:t>
            </w:r>
          </w:p>
        </w:tc>
      </w:tr>
      <w:tr w14:paraId="123322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4A164962">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540A12EF">
            <w:pPr>
              <w:spacing w:line="240" w:lineRule="auto"/>
              <w:jc w:val="center"/>
              <w:rPr>
                <w:rFonts w:hint="eastAsia" w:ascii="宋体" w:hAnsi="宋体"/>
                <w:color w:val="auto"/>
                <w:sz w:val="18"/>
                <w:szCs w:val="18"/>
                <w:shd w:val="clear" w:color="auto" w:fill="FFFFFF"/>
              </w:rPr>
            </w:pPr>
          </w:p>
        </w:tc>
        <w:tc>
          <w:tcPr>
            <w:tcW w:w="3866" w:type="pct"/>
            <w:vAlign w:val="center"/>
          </w:tcPr>
          <w:p w14:paraId="21854EF7">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30253  </w:t>
            </w:r>
            <w:r>
              <w:rPr>
                <w:rFonts w:hint="eastAsia" w:ascii="宋体" w:hAnsi="宋体"/>
                <w:color w:val="auto"/>
                <w:sz w:val="18"/>
                <w:szCs w:val="18"/>
                <w:shd w:val="clear" w:color="auto" w:fill="FFFFFF"/>
              </w:rPr>
              <w:t>永磁同步电动机能效限定值及能效等级</w:t>
            </w:r>
          </w:p>
        </w:tc>
      </w:tr>
      <w:tr w14:paraId="721C4A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4EAD97F9">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74AC0A17">
            <w:pPr>
              <w:spacing w:line="240" w:lineRule="auto"/>
              <w:jc w:val="center"/>
              <w:rPr>
                <w:rFonts w:hint="eastAsia" w:ascii="宋体" w:hAnsi="宋体"/>
                <w:color w:val="auto"/>
                <w:sz w:val="18"/>
                <w:szCs w:val="18"/>
                <w:shd w:val="clear" w:color="auto" w:fill="FFFFFF"/>
              </w:rPr>
            </w:pPr>
          </w:p>
        </w:tc>
        <w:tc>
          <w:tcPr>
            <w:tcW w:w="3866" w:type="pct"/>
            <w:vAlign w:val="center"/>
          </w:tcPr>
          <w:p w14:paraId="070BFE02">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30254  </w:t>
            </w:r>
            <w:r>
              <w:rPr>
                <w:rFonts w:hint="eastAsia" w:ascii="宋体" w:hAnsi="宋体"/>
                <w:color w:val="auto"/>
                <w:sz w:val="18"/>
                <w:szCs w:val="18"/>
                <w:shd w:val="clear" w:color="auto" w:fill="FFFFFF"/>
              </w:rPr>
              <w:t>高压三相笼型异步电动机能效限定值及能效等级</w:t>
            </w:r>
          </w:p>
        </w:tc>
      </w:tr>
      <w:tr w14:paraId="5467D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426A82CE">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Align w:val="center"/>
          </w:tcPr>
          <w:p w14:paraId="0B28E14C">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焊机</w:t>
            </w:r>
          </w:p>
        </w:tc>
        <w:tc>
          <w:tcPr>
            <w:tcW w:w="3866" w:type="pct"/>
            <w:vAlign w:val="center"/>
          </w:tcPr>
          <w:p w14:paraId="3A57C686">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28736  </w:t>
            </w:r>
            <w:r>
              <w:rPr>
                <w:rFonts w:hint="eastAsia" w:ascii="宋体" w:hAnsi="宋体"/>
                <w:color w:val="auto"/>
                <w:sz w:val="18"/>
                <w:szCs w:val="18"/>
                <w:shd w:val="clear" w:color="auto" w:fill="FFFFFF"/>
              </w:rPr>
              <w:t>电焊机能效限定值及能效等级</w:t>
            </w:r>
          </w:p>
        </w:tc>
      </w:tr>
      <w:tr w14:paraId="6D1227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2EFF71F0">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restart"/>
            <w:vAlign w:val="center"/>
          </w:tcPr>
          <w:p w14:paraId="18C2DB55">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风机</w:t>
            </w:r>
          </w:p>
        </w:tc>
        <w:tc>
          <w:tcPr>
            <w:tcW w:w="3866" w:type="pct"/>
            <w:vAlign w:val="center"/>
          </w:tcPr>
          <w:p w14:paraId="066508E0">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19761  </w:t>
            </w:r>
            <w:r>
              <w:rPr>
                <w:rFonts w:hint="eastAsia" w:ascii="宋体" w:hAnsi="宋体"/>
                <w:color w:val="auto"/>
                <w:sz w:val="18"/>
                <w:szCs w:val="18"/>
                <w:shd w:val="clear" w:color="auto" w:fill="FFFFFF"/>
              </w:rPr>
              <w:t>通风机能效限定值及能效等级</w:t>
            </w:r>
          </w:p>
        </w:tc>
      </w:tr>
      <w:tr w14:paraId="09FB41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6C7AC26F">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3C821A21">
            <w:pPr>
              <w:spacing w:line="240" w:lineRule="auto"/>
              <w:jc w:val="center"/>
              <w:rPr>
                <w:rFonts w:hint="eastAsia" w:ascii="宋体" w:hAnsi="宋体"/>
                <w:color w:val="auto"/>
                <w:sz w:val="18"/>
                <w:szCs w:val="18"/>
                <w:shd w:val="clear" w:color="auto" w:fill="FFFFFF"/>
              </w:rPr>
            </w:pPr>
          </w:p>
        </w:tc>
        <w:tc>
          <w:tcPr>
            <w:tcW w:w="3866" w:type="pct"/>
            <w:vAlign w:val="center"/>
          </w:tcPr>
          <w:p w14:paraId="66313CED">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28381  </w:t>
            </w:r>
            <w:r>
              <w:rPr>
                <w:rFonts w:hint="eastAsia" w:ascii="宋体" w:hAnsi="宋体"/>
                <w:color w:val="auto"/>
                <w:sz w:val="18"/>
                <w:szCs w:val="18"/>
                <w:shd w:val="clear" w:color="auto" w:fill="FFFFFF"/>
              </w:rPr>
              <w:t>离心鼓风机能效限定值及节能评价值</w:t>
            </w:r>
          </w:p>
        </w:tc>
      </w:tr>
      <w:tr w14:paraId="17A6BF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0702A5A5">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restart"/>
            <w:vAlign w:val="center"/>
          </w:tcPr>
          <w:p w14:paraId="0B994E50">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空调</w:t>
            </w:r>
          </w:p>
        </w:tc>
        <w:tc>
          <w:tcPr>
            <w:tcW w:w="3866" w:type="pct"/>
            <w:vAlign w:val="center"/>
          </w:tcPr>
          <w:p w14:paraId="135DFC5A">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19576  </w:t>
            </w:r>
            <w:r>
              <w:rPr>
                <w:rFonts w:hint="eastAsia" w:ascii="宋体" w:hAnsi="宋体"/>
                <w:color w:val="auto"/>
                <w:sz w:val="18"/>
                <w:szCs w:val="18"/>
                <w:shd w:val="clear" w:color="auto" w:fill="FFFFFF"/>
              </w:rPr>
              <w:t>单元式空气调节机能效限定值及能效等级</w:t>
            </w:r>
          </w:p>
        </w:tc>
      </w:tr>
      <w:tr w14:paraId="5DADCF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73095018">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475290B8">
            <w:pPr>
              <w:spacing w:line="240" w:lineRule="auto"/>
              <w:jc w:val="center"/>
              <w:rPr>
                <w:rFonts w:hint="eastAsia" w:ascii="宋体" w:hAnsi="宋体"/>
                <w:color w:val="auto"/>
                <w:sz w:val="18"/>
                <w:szCs w:val="18"/>
                <w:shd w:val="clear" w:color="auto" w:fill="FFFFFF"/>
              </w:rPr>
            </w:pPr>
          </w:p>
        </w:tc>
        <w:tc>
          <w:tcPr>
            <w:tcW w:w="3866" w:type="pct"/>
            <w:vAlign w:val="center"/>
          </w:tcPr>
          <w:p w14:paraId="4586C12E">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19577  </w:t>
            </w:r>
            <w:r>
              <w:rPr>
                <w:rFonts w:hint="eastAsia" w:ascii="宋体" w:hAnsi="宋体"/>
                <w:color w:val="auto"/>
                <w:sz w:val="18"/>
                <w:szCs w:val="18"/>
                <w:shd w:val="clear" w:color="auto" w:fill="FFFFFF"/>
              </w:rPr>
              <w:t>冷水机组能效限定值及能效等级</w:t>
            </w:r>
          </w:p>
        </w:tc>
      </w:tr>
      <w:tr w14:paraId="5392D5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6FFDB6B7">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73576F2E">
            <w:pPr>
              <w:spacing w:line="240" w:lineRule="auto"/>
              <w:jc w:val="center"/>
              <w:rPr>
                <w:rFonts w:hint="eastAsia" w:ascii="宋体" w:hAnsi="宋体"/>
                <w:color w:val="auto"/>
                <w:sz w:val="18"/>
                <w:szCs w:val="18"/>
                <w:shd w:val="clear" w:color="auto" w:fill="FFFFFF"/>
              </w:rPr>
            </w:pPr>
          </w:p>
        </w:tc>
        <w:tc>
          <w:tcPr>
            <w:tcW w:w="3866" w:type="pct"/>
            <w:vAlign w:val="center"/>
          </w:tcPr>
          <w:p w14:paraId="7C513CB5">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21454  </w:t>
            </w:r>
            <w:r>
              <w:rPr>
                <w:rFonts w:hint="eastAsia" w:ascii="宋体" w:hAnsi="宋体"/>
                <w:color w:val="auto"/>
                <w:sz w:val="18"/>
                <w:szCs w:val="18"/>
                <w:shd w:val="clear" w:color="auto" w:fill="FFFFFF"/>
              </w:rPr>
              <w:t>多联式空调（热泵）机组能效限定值及能效等级</w:t>
            </w:r>
          </w:p>
        </w:tc>
      </w:tr>
      <w:tr w14:paraId="282672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43148E8C">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06AD79EA">
            <w:pPr>
              <w:spacing w:line="240" w:lineRule="auto"/>
              <w:jc w:val="center"/>
              <w:rPr>
                <w:rFonts w:hint="eastAsia" w:ascii="宋体" w:hAnsi="宋体"/>
                <w:color w:val="auto"/>
                <w:sz w:val="18"/>
                <w:szCs w:val="18"/>
                <w:shd w:val="clear" w:color="auto" w:fill="FFFFFF"/>
              </w:rPr>
            </w:pPr>
          </w:p>
        </w:tc>
        <w:tc>
          <w:tcPr>
            <w:tcW w:w="3866" w:type="pct"/>
            <w:vAlign w:val="center"/>
          </w:tcPr>
          <w:p w14:paraId="482AAC72">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21455  </w:t>
            </w:r>
            <w:r>
              <w:rPr>
                <w:rFonts w:hint="eastAsia" w:ascii="宋体" w:hAnsi="宋体"/>
                <w:color w:val="auto"/>
                <w:sz w:val="18"/>
                <w:szCs w:val="18"/>
                <w:shd w:val="clear" w:color="auto" w:fill="FFFFFF"/>
              </w:rPr>
              <w:t>房间空气调节器能效限定值及能效等级</w:t>
            </w:r>
          </w:p>
        </w:tc>
      </w:tr>
      <w:tr w14:paraId="65E74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65F8C241">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134137BE">
            <w:pPr>
              <w:spacing w:line="240" w:lineRule="auto"/>
              <w:jc w:val="center"/>
              <w:rPr>
                <w:rFonts w:hint="eastAsia" w:ascii="宋体" w:hAnsi="宋体"/>
                <w:color w:val="auto"/>
                <w:sz w:val="18"/>
                <w:szCs w:val="18"/>
                <w:shd w:val="clear" w:color="auto" w:fill="FFFFFF"/>
              </w:rPr>
            </w:pPr>
          </w:p>
        </w:tc>
        <w:tc>
          <w:tcPr>
            <w:tcW w:w="3866" w:type="pct"/>
            <w:vAlign w:val="center"/>
          </w:tcPr>
          <w:p w14:paraId="48043EBA">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29540  </w:t>
            </w:r>
            <w:r>
              <w:rPr>
                <w:rFonts w:hint="eastAsia" w:ascii="宋体" w:hAnsi="宋体"/>
                <w:color w:val="auto"/>
                <w:sz w:val="18"/>
                <w:szCs w:val="18"/>
                <w:shd w:val="clear" w:color="auto" w:fill="FFFFFF"/>
              </w:rPr>
              <w:t>溴化锂吸收式冷水机组能效限定值及能效等级</w:t>
            </w:r>
          </w:p>
        </w:tc>
      </w:tr>
      <w:tr w14:paraId="1B114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74054A7A">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0A071FF6">
            <w:pPr>
              <w:spacing w:line="240" w:lineRule="auto"/>
              <w:jc w:val="center"/>
              <w:rPr>
                <w:rFonts w:hint="eastAsia" w:ascii="宋体" w:hAnsi="宋体"/>
                <w:color w:val="auto"/>
                <w:sz w:val="18"/>
                <w:szCs w:val="18"/>
                <w:shd w:val="clear" w:color="auto" w:fill="FFFFFF"/>
              </w:rPr>
            </w:pPr>
          </w:p>
        </w:tc>
        <w:tc>
          <w:tcPr>
            <w:tcW w:w="3866" w:type="pct"/>
            <w:vAlign w:val="center"/>
          </w:tcPr>
          <w:p w14:paraId="4E61DABC">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29541  </w:t>
            </w:r>
            <w:r>
              <w:rPr>
                <w:rFonts w:hint="eastAsia" w:ascii="宋体" w:hAnsi="宋体"/>
                <w:color w:val="auto"/>
                <w:sz w:val="18"/>
                <w:szCs w:val="18"/>
                <w:shd w:val="clear" w:color="auto" w:fill="FFFFFF"/>
              </w:rPr>
              <w:t>热泵热水机（器）能效限定值及能效等级</w:t>
            </w:r>
          </w:p>
        </w:tc>
      </w:tr>
      <w:tr w14:paraId="1F0FC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0180676A">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360BF179">
            <w:pPr>
              <w:spacing w:line="240" w:lineRule="auto"/>
              <w:jc w:val="center"/>
              <w:rPr>
                <w:rFonts w:hint="eastAsia" w:ascii="宋体" w:hAnsi="宋体"/>
                <w:color w:val="auto"/>
                <w:sz w:val="18"/>
                <w:szCs w:val="18"/>
                <w:shd w:val="clear" w:color="auto" w:fill="FFFFFF"/>
              </w:rPr>
            </w:pPr>
          </w:p>
        </w:tc>
        <w:tc>
          <w:tcPr>
            <w:tcW w:w="3866" w:type="pct"/>
            <w:vAlign w:val="center"/>
          </w:tcPr>
          <w:p w14:paraId="033B8FFF">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30721  </w:t>
            </w:r>
            <w:r>
              <w:rPr>
                <w:rFonts w:hint="eastAsia" w:ascii="宋体" w:hAnsi="宋体"/>
                <w:color w:val="auto"/>
                <w:sz w:val="18"/>
                <w:szCs w:val="18"/>
                <w:shd w:val="clear" w:color="auto" w:fill="FFFFFF"/>
              </w:rPr>
              <w:t>水(地)源热泵机组能效限定值及能效等级</w:t>
            </w:r>
          </w:p>
        </w:tc>
      </w:tr>
      <w:tr w14:paraId="358234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3BE512C4">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5E0DBB53">
            <w:pPr>
              <w:spacing w:line="240" w:lineRule="auto"/>
              <w:jc w:val="center"/>
              <w:rPr>
                <w:rFonts w:hint="eastAsia" w:ascii="宋体" w:hAnsi="宋体"/>
                <w:color w:val="auto"/>
                <w:sz w:val="18"/>
                <w:szCs w:val="18"/>
                <w:shd w:val="clear" w:color="auto" w:fill="FFFFFF"/>
              </w:rPr>
            </w:pPr>
          </w:p>
        </w:tc>
        <w:tc>
          <w:tcPr>
            <w:tcW w:w="3866" w:type="pct"/>
            <w:vAlign w:val="center"/>
          </w:tcPr>
          <w:p w14:paraId="4FD83BFD">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37479  </w:t>
            </w:r>
            <w:r>
              <w:rPr>
                <w:rFonts w:hint="eastAsia" w:ascii="宋体" w:hAnsi="宋体"/>
                <w:color w:val="auto"/>
                <w:sz w:val="18"/>
                <w:szCs w:val="18"/>
                <w:shd w:val="clear" w:color="auto" w:fill="FFFFFF"/>
              </w:rPr>
              <w:t>风管送风式空调机组能效限定值及能效等级</w:t>
            </w:r>
          </w:p>
        </w:tc>
      </w:tr>
      <w:tr w14:paraId="1D01B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vAlign w:val="center"/>
          </w:tcPr>
          <w:p w14:paraId="5F2F5DEE">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vMerge w:val="continue"/>
            <w:vAlign w:val="center"/>
          </w:tcPr>
          <w:p w14:paraId="373350AC">
            <w:pPr>
              <w:spacing w:line="240" w:lineRule="auto"/>
              <w:jc w:val="center"/>
              <w:rPr>
                <w:rFonts w:hint="eastAsia" w:ascii="宋体" w:hAnsi="宋体"/>
                <w:color w:val="auto"/>
                <w:sz w:val="18"/>
                <w:szCs w:val="18"/>
                <w:shd w:val="clear" w:color="auto" w:fill="FFFFFF"/>
              </w:rPr>
            </w:pPr>
          </w:p>
        </w:tc>
        <w:tc>
          <w:tcPr>
            <w:tcW w:w="3866" w:type="pct"/>
            <w:vAlign w:val="center"/>
          </w:tcPr>
          <w:p w14:paraId="46AAAED3">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37480  </w:t>
            </w:r>
            <w:r>
              <w:rPr>
                <w:rFonts w:hint="eastAsia" w:ascii="宋体" w:hAnsi="宋体"/>
                <w:color w:val="auto"/>
                <w:sz w:val="18"/>
                <w:szCs w:val="18"/>
                <w:shd w:val="clear" w:color="auto" w:fill="FFFFFF"/>
              </w:rPr>
              <w:t>低环境温度空气源热泵（冷水）机组能效限定值及能效等级</w:t>
            </w:r>
          </w:p>
        </w:tc>
      </w:tr>
      <w:tr w14:paraId="664AEB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tcBorders>
              <w:bottom w:val="single" w:color="auto" w:sz="4" w:space="0"/>
            </w:tcBorders>
            <w:vAlign w:val="center"/>
          </w:tcPr>
          <w:p w14:paraId="6572FF3A">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tcBorders>
              <w:bottom w:val="single" w:color="auto" w:sz="4" w:space="0"/>
            </w:tcBorders>
            <w:vAlign w:val="center"/>
          </w:tcPr>
          <w:p w14:paraId="07B6412B">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泵</w:t>
            </w:r>
          </w:p>
        </w:tc>
        <w:tc>
          <w:tcPr>
            <w:tcW w:w="3866" w:type="pct"/>
            <w:tcBorders>
              <w:bottom w:val="single" w:color="auto" w:sz="4" w:space="0"/>
            </w:tcBorders>
            <w:vAlign w:val="center"/>
          </w:tcPr>
          <w:p w14:paraId="75EED414">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19762  </w:t>
            </w:r>
            <w:r>
              <w:rPr>
                <w:rFonts w:hint="eastAsia" w:ascii="宋体" w:hAnsi="宋体"/>
                <w:color w:val="auto"/>
                <w:sz w:val="18"/>
                <w:szCs w:val="18"/>
                <w:shd w:val="clear" w:color="auto" w:fill="FFFFFF"/>
              </w:rPr>
              <w:t>清水离心泵能效限定值及节能评价值</w:t>
            </w:r>
          </w:p>
        </w:tc>
      </w:tr>
      <w:tr w14:paraId="0E655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38" w:type="pct"/>
            <w:tcBorders>
              <w:top w:val="single" w:color="auto" w:sz="4" w:space="0"/>
              <w:bottom w:val="single" w:color="auto" w:sz="8" w:space="0"/>
            </w:tcBorders>
            <w:vAlign w:val="center"/>
          </w:tcPr>
          <w:p w14:paraId="6341AD69">
            <w:pPr>
              <w:widowControl/>
              <w:numPr>
                <w:ilvl w:val="0"/>
                <w:numId w:val="34"/>
              </w:numPr>
              <w:adjustRightInd/>
              <w:spacing w:line="240" w:lineRule="auto"/>
              <w:ind w:left="0" w:firstLine="0"/>
              <w:jc w:val="center"/>
              <w:rPr>
                <w:rFonts w:hint="eastAsia" w:ascii="宋体" w:hAnsi="宋体"/>
                <w:color w:val="auto"/>
                <w:sz w:val="18"/>
                <w:szCs w:val="18"/>
                <w:shd w:val="clear" w:color="auto" w:fill="FFFFFF"/>
              </w:rPr>
            </w:pPr>
          </w:p>
        </w:tc>
        <w:tc>
          <w:tcPr>
            <w:tcW w:w="596" w:type="pct"/>
            <w:tcBorders>
              <w:top w:val="single" w:color="auto" w:sz="4" w:space="0"/>
              <w:bottom w:val="single" w:color="auto" w:sz="8" w:space="0"/>
            </w:tcBorders>
            <w:vAlign w:val="center"/>
          </w:tcPr>
          <w:p w14:paraId="69A67E7E">
            <w:pPr>
              <w:spacing w:line="240" w:lineRule="auto"/>
              <w:jc w:val="center"/>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空压机</w:t>
            </w:r>
          </w:p>
        </w:tc>
        <w:tc>
          <w:tcPr>
            <w:tcW w:w="3866" w:type="pct"/>
            <w:tcBorders>
              <w:top w:val="single" w:color="auto" w:sz="4" w:space="0"/>
              <w:bottom w:val="single" w:color="auto" w:sz="8" w:space="0"/>
            </w:tcBorders>
            <w:vAlign w:val="center"/>
          </w:tcPr>
          <w:p w14:paraId="334F9073">
            <w:pPr>
              <w:spacing w:line="240" w:lineRule="auto"/>
              <w:jc w:val="left"/>
              <w:rPr>
                <w:rFonts w:hint="eastAsia" w:ascii="宋体" w:hAnsi="宋体"/>
                <w:color w:val="auto"/>
                <w:sz w:val="18"/>
                <w:szCs w:val="18"/>
                <w:shd w:val="clear" w:color="auto" w:fill="FFFFFF"/>
              </w:rPr>
            </w:pPr>
            <w:r>
              <w:rPr>
                <w:rFonts w:ascii="宋体" w:hAnsi="宋体"/>
                <w:color w:val="auto"/>
                <w:sz w:val="18"/>
                <w:szCs w:val="18"/>
                <w:shd w:val="clear" w:color="auto" w:fill="FFFFFF"/>
              </w:rPr>
              <w:t xml:space="preserve">GB 19153  </w:t>
            </w:r>
            <w:r>
              <w:rPr>
                <w:rFonts w:hint="eastAsia" w:ascii="宋体" w:hAnsi="宋体"/>
                <w:color w:val="auto"/>
                <w:sz w:val="18"/>
                <w:szCs w:val="18"/>
                <w:shd w:val="clear" w:color="auto" w:fill="FFFFFF"/>
              </w:rPr>
              <w:t>容积式空气压缩机能效限定值及能效等级</w:t>
            </w:r>
          </w:p>
        </w:tc>
      </w:tr>
    </w:tbl>
    <w:p w14:paraId="618B207E">
      <w:pPr>
        <w:pStyle w:val="59"/>
        <w:ind w:firstLine="420"/>
        <w:rPr>
          <w:color w:val="auto"/>
        </w:rPr>
      </w:pPr>
    </w:p>
    <w:p w14:paraId="316A73D1">
      <w:pPr>
        <w:pStyle w:val="59"/>
        <w:ind w:firstLine="420"/>
        <w:rPr>
          <w:color w:val="auto"/>
        </w:rPr>
      </w:pPr>
    </w:p>
    <w:bookmarkEnd w:id="23"/>
    <w:p w14:paraId="75125F4F">
      <w:pPr>
        <w:pStyle w:val="59"/>
        <w:ind w:firstLine="420"/>
        <w:rPr>
          <w:color w:val="auto"/>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decimal"/>
          <w:cols w:space="425" w:num="1"/>
          <w:formProt w:val="0"/>
          <w:docGrid w:linePitch="312" w:charSpace="0"/>
        </w:sectPr>
      </w:pPr>
      <w:bookmarkStart w:id="25" w:name="BookMark6"/>
    </w:p>
    <w:p w14:paraId="35F3FED4">
      <w:pPr>
        <w:pStyle w:val="66"/>
        <w:spacing w:after="120"/>
        <w:rPr>
          <w:color w:val="auto"/>
        </w:rPr>
      </w:pPr>
      <w:r>
        <w:rPr>
          <w:rFonts w:hint="eastAsia"/>
          <w:color w:val="auto"/>
          <w:spacing w:val="105"/>
        </w:rPr>
        <w:t>参考文</w:t>
      </w:r>
      <w:r>
        <w:rPr>
          <w:rFonts w:hint="eastAsia"/>
          <w:color w:val="auto"/>
        </w:rPr>
        <w:t>献</w:t>
      </w:r>
    </w:p>
    <w:p w14:paraId="6C83DF28">
      <w:pPr>
        <w:pStyle w:val="59"/>
        <w:ind w:firstLine="420"/>
        <w:rPr>
          <w:color w:val="auto"/>
        </w:rPr>
      </w:pPr>
      <w:r>
        <w:rPr>
          <w:rFonts w:hint="eastAsia"/>
          <w:color w:val="auto"/>
        </w:rPr>
        <w:t>［1］</w:t>
      </w:r>
      <w:r>
        <w:rPr>
          <w:color w:val="auto"/>
        </w:rPr>
        <w:t xml:space="preserve">  </w:t>
      </w:r>
      <w:r>
        <w:rPr>
          <w:rFonts w:hint="eastAsia"/>
          <w:color w:val="auto"/>
        </w:rPr>
        <w:t xml:space="preserve">DB11/T 1618—2019 </w:t>
      </w:r>
      <w:r>
        <w:rPr>
          <w:rFonts w:hint="eastAsia"/>
          <w:color w:val="auto"/>
          <w:lang w:val="en-US" w:eastAsia="zh-CN"/>
        </w:rPr>
        <w:t xml:space="preserve">   </w:t>
      </w:r>
      <w:r>
        <w:rPr>
          <w:rFonts w:hint="eastAsia"/>
          <w:color w:val="auto"/>
        </w:rPr>
        <w:t>能效领跑者评价导则</w:t>
      </w:r>
    </w:p>
    <w:p w14:paraId="1A150110">
      <w:pPr>
        <w:pStyle w:val="59"/>
        <w:ind w:firstLine="420"/>
        <w:rPr>
          <w:color w:val="auto"/>
        </w:rPr>
      </w:pPr>
      <w:r>
        <w:rPr>
          <w:rFonts w:hint="eastAsia"/>
          <w:color w:val="auto"/>
        </w:rPr>
        <w:t>［2］</w:t>
      </w:r>
      <w:r>
        <w:rPr>
          <w:color w:val="auto"/>
        </w:rPr>
        <w:t xml:space="preserve">  </w:t>
      </w:r>
      <w:r>
        <w:rPr>
          <w:rFonts w:hint="eastAsia"/>
          <w:color w:val="auto"/>
        </w:rPr>
        <w:t xml:space="preserve">DB32/T 1696—2011 </w:t>
      </w:r>
      <w:r>
        <w:rPr>
          <w:color w:val="auto"/>
        </w:rPr>
        <w:t xml:space="preserve"> </w:t>
      </w:r>
      <w:r>
        <w:rPr>
          <w:rFonts w:hint="eastAsia"/>
          <w:color w:val="auto"/>
          <w:lang w:val="en-US" w:eastAsia="zh-CN"/>
        </w:rPr>
        <w:t xml:space="preserve">  </w:t>
      </w:r>
      <w:r>
        <w:rPr>
          <w:rFonts w:hint="eastAsia"/>
          <w:color w:val="auto"/>
        </w:rPr>
        <w:t>“能效之星”评价规范</w:t>
      </w:r>
    </w:p>
    <w:p w14:paraId="32D67C49">
      <w:pPr>
        <w:pStyle w:val="59"/>
        <w:ind w:firstLine="420"/>
        <w:rPr>
          <w:color w:val="auto"/>
        </w:rPr>
      </w:pPr>
      <w:r>
        <w:rPr>
          <w:rFonts w:hint="eastAsia"/>
          <w:color w:val="auto"/>
        </w:rPr>
        <w:t>［3］</w:t>
      </w:r>
      <w:r>
        <w:rPr>
          <w:color w:val="auto"/>
        </w:rPr>
        <w:t xml:space="preserve">  </w:t>
      </w:r>
      <w:r>
        <w:rPr>
          <w:rFonts w:hint="eastAsia"/>
          <w:color w:val="auto"/>
        </w:rPr>
        <w:t xml:space="preserve">T/CECA-G 0171—2022 </w:t>
      </w:r>
      <w:r>
        <w:rPr>
          <w:color w:val="auto"/>
        </w:rPr>
        <w:t xml:space="preserve"> </w:t>
      </w:r>
      <w:r>
        <w:rPr>
          <w:rFonts w:hint="eastAsia"/>
          <w:color w:val="auto"/>
        </w:rPr>
        <w:t>零碳工厂评价规范</w:t>
      </w:r>
    </w:p>
    <w:p w14:paraId="696ABC35">
      <w:pPr>
        <w:pStyle w:val="59"/>
        <w:ind w:firstLine="420"/>
        <w:rPr>
          <w:color w:val="auto"/>
        </w:rPr>
      </w:pPr>
      <w:r>
        <w:rPr>
          <w:rFonts w:hint="eastAsia"/>
          <w:color w:val="auto"/>
        </w:rPr>
        <w:t>［4］</w:t>
      </w:r>
      <w:r>
        <w:rPr>
          <w:color w:val="auto"/>
        </w:rPr>
        <w:t xml:space="preserve">  </w:t>
      </w:r>
      <w:r>
        <w:rPr>
          <w:rFonts w:hint="eastAsia"/>
          <w:color w:val="auto"/>
        </w:rPr>
        <w:t>工业和信息化部办公厅 国家发展改革委办公厅 市场监管总局办公厅关于组织开展2023年度重点行业能效“领跑者”企业遴选工作的通知（工信厅联节函〔2023〕348号）</w:t>
      </w:r>
    </w:p>
    <w:p w14:paraId="3EC3263B">
      <w:pPr>
        <w:pStyle w:val="59"/>
        <w:ind w:firstLine="420"/>
        <w:rPr>
          <w:color w:val="auto"/>
        </w:rPr>
      </w:pPr>
    </w:p>
    <w:bookmarkEnd w:id="25"/>
    <w:p w14:paraId="5F9E6B44">
      <w:pPr>
        <w:pStyle w:val="59"/>
        <w:ind w:firstLine="0" w:firstLineChars="0"/>
        <w:jc w:val="center"/>
        <w:rPr>
          <w:color w:val="auto"/>
        </w:rPr>
      </w:pPr>
      <w:bookmarkStart w:id="26" w:name="BookMark8"/>
      <w:r>
        <w:rPr>
          <w:rFonts w:hint="eastAsia"/>
          <w:color w:val="auto"/>
        </w:rPr>
        <w:drawing>
          <wp:inline distT="0" distB="0" distL="0" distR="0">
            <wp:extent cx="1485900" cy="317500"/>
            <wp:effectExtent l="0" t="0" r="0" b="6350"/>
            <wp:docPr id="1115279629" name="图片 1"/>
            <wp:cNvGraphicFramePr/>
            <a:graphic xmlns:a="http://schemas.openxmlformats.org/drawingml/2006/main">
              <a:graphicData uri="http://schemas.openxmlformats.org/drawingml/2006/picture">
                <pic:pic xmlns:pic="http://schemas.openxmlformats.org/drawingml/2006/picture">
                  <pic:nvPicPr>
                    <pic:cNvPr id="1115279629"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176B0">
    <w:pPr>
      <w:pStyle w:val="5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9383691">
                          <w:pPr>
                            <w:pStyle w:val="55"/>
                          </w:pPr>
                          <w:r>
                            <w:fldChar w:fldCharType="begin"/>
                          </w:r>
                          <w:r>
                            <w:instrText xml:space="preserve">PAGE   \* MERGEFORMAT</w:instrText>
                          </w:r>
                          <w:r>
                            <w:fldChar w:fldCharType="separate"/>
                          </w:r>
                          <w:r>
                            <w:rPr>
                              <w:lang w:val="zh-CN"/>
                            </w:rP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29383691">
                    <w:pPr>
                      <w:pStyle w:val="55"/>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33A6">
    <w:pPr>
      <w:pStyle w:val="5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5080"/>
              <wp:wrapNone/>
              <wp:docPr id="41729647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059C568">
                          <w:pPr>
                            <w:pStyle w:val="55"/>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v-text-anchor:bottom;mso-width-relative:page;mso-height-relative:page;" filled="f" stroked="f" coordsize="21600,21600" o:gfxdata="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WLwYTTAAAABQEAAA8AAAAAAAAAAQAgAAAAIgAAAGRycy9kb3ducmV2LnhtbFBL&#10;AQIUABQAAAAIAIdO4kCDCgAoNAIAAF0EAAAOAAAAAAAAAAEAIAAAACIBAABkcnMvZTJvRG9jLnht&#10;bFBLBQYAAAAABgAGAFkBAADIBQAAAAA=&#10;">
              <v:fill on="f" focussize="0,0"/>
              <v:stroke on="f" weight="0.5pt"/>
              <v:imagedata o:title=""/>
              <o:lock v:ext="edit" aspectratio="f"/>
              <v:textbox inset="0mm,0mm,0mm,0mm" style="mso-fit-shape-to-text:t;">
                <w:txbxContent>
                  <w:p w14:paraId="6059C568">
                    <w:pPr>
                      <w:pStyle w:val="55"/>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3F58">
    <w:pPr>
      <w:pStyle w:val="18"/>
    </w:pPr>
    <w:r>
      <mc:AlternateContent>
        <mc:Choice Requires="wps">
          <w:drawing>
            <wp:anchor distT="0" distB="0" distL="114300" distR="114300" simplePos="0" relativeHeight="251662336"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26835801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76EBD8F">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68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GITl1gAAAAsBAAAPAAAAAAAAAAEAIAAAACIAAABkcnMvZG93bnJldi54&#10;bWxQSwECFAAUAAAACACHTuJA6Lp/5DUCAABfBAAADgAAAAAAAAABACAAAAAlAQAAZHJzL2Uyb0Rv&#10;Yy54bWxQSwUGAAAAAAYABgBZAQAAzAUAAAAA&#10;">
              <v:fill on="f" focussize="0,0"/>
              <v:stroke on="f" weight="0.5pt"/>
              <v:imagedata o:title=""/>
              <o:lock v:ext="edit" aspectratio="f"/>
              <v:textbox inset="0mm,0mm,0mm,0mm" style="layout-flow:vertical-ideographic;mso-fit-shape-to-text:t;">
                <w:txbxContent>
                  <w:p w14:paraId="776EBD8F">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4BB85">
    <w:pPr>
      <w:pStyle w:val="5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1C6330D">
                          <w:pPr>
                            <w:pStyle w:val="55"/>
                          </w:pPr>
                          <w:r>
                            <w:fldChar w:fldCharType="begin"/>
                          </w:r>
                          <w:r>
                            <w:instrText xml:space="preserve">PAGE   \* MERGEFORMAT</w:instrText>
                          </w:r>
                          <w:r>
                            <w:fldChar w:fldCharType="separate"/>
                          </w:r>
                          <w:r>
                            <w:rPr>
                              <w:lang w:val="zh-CN"/>
                            </w:rP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21C6330D">
                    <w:pPr>
                      <w:pStyle w:val="55"/>
                    </w:pPr>
                    <w:r>
                      <w:fldChar w:fldCharType="begin"/>
                    </w:r>
                    <w:r>
                      <w:instrText xml:space="preserve">PAGE   \* MERGEFORMAT</w:instrText>
                    </w:r>
                    <w:r>
                      <w:fldChar w:fldCharType="separate"/>
                    </w:r>
                    <w:r>
                      <w:rPr>
                        <w:lang w:val="zh-CN"/>
                      </w:rPr>
                      <w:t>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AF5D7">
    <w:pPr>
      <w:pStyle w:val="18"/>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EEACC">
    <w:pPr>
      <w:pStyle w:val="64"/>
      <w:jc w:val="cent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5B13">
    <w:pPr>
      <w:pStyle w:val="64"/>
      <w:rPr>
        <w:rFonts w:hint="eastAsia"/>
      </w:rPr>
    </w:pPr>
    <w: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5629275</wp:posOffset>
              </wp:positionV>
              <wp:extent cx="1828800" cy="1828800"/>
              <wp:effectExtent l="0" t="0" r="0" b="6350"/>
              <wp:wrapNone/>
              <wp:docPr id="112029727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FFCE01">
                          <w:pPr>
                            <w:pStyle w:val="64"/>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751.15pt;margin-top:443.25pt;height:144pt;width:144pt;mso-position-horizontal-relative:page;mso-position-vertical-relative:page;mso-wrap-style:none;z-index:251659264;v-text-anchor:bottom;mso-width-relative:page;mso-height-relative:page;" filled="f" stroked="f" coordsize="21600,21600" o:gfxdata="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IJpJk3QAAAA4BAAAPAAAAAAAAAAEAIAAA&#10;ACIAAABkcnMvZG93bnJldi54bWxQSwECFAAUAAAACACHTuJAHZ+y4kACAABwBAAADgAAAAAAAAAB&#10;ACAAAAAsAQAAZHJzL2Uyb0RvYy54bWxQSwUGAAAAAAYABgBZAQAA3gUAAAAA&#10;">
              <v:fill on="f" focussize="0,0"/>
              <v:stroke on="f" weight="0.5pt"/>
              <v:imagedata o:title=""/>
              <o:lock v:ext="edit" aspectratio="f"/>
              <v:textbox style="layout-flow:vertical-ideographic;mso-fit-shape-to-text:t;">
                <w:txbxContent>
                  <w:p w14:paraId="61FFCE01">
                    <w:pPr>
                      <w:pStyle w:val="64"/>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988CC">
    <w:pPr>
      <w:pStyle w:val="65"/>
      <w:rPr>
        <w:rFonts w:hint="eastAsia"/>
      </w:rPr>
    </w:pPr>
    <w:r>
      <mc:AlternateContent>
        <mc:Choice Requires="wps">
          <w:drawing>
            <wp:anchor distT="0" distB="0" distL="114300" distR="114300" simplePos="0" relativeHeight="251661312" behindDoc="0" locked="0" layoutInCell="1" allowOverlap="1">
              <wp:simplePos x="0" y="0"/>
              <wp:positionH relativeFrom="page">
                <wp:posOffset>9719945</wp:posOffset>
              </wp:positionH>
              <wp:positionV relativeFrom="page">
                <wp:posOffset>899795</wp:posOffset>
              </wp:positionV>
              <wp:extent cx="1828800" cy="1828800"/>
              <wp:effectExtent l="0" t="0" r="5080" b="2540"/>
              <wp:wrapNone/>
              <wp:docPr id="104549098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9B0CDF5">
                          <w:pPr>
                            <w:pStyle w:val="65"/>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765.35pt;margin-top:70.85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LIuxzZAAAADQEAAA8AAAAAAAAAAQAgAAAAIgAAAGRycy9kb3du&#10;cmV2LnhtbFBLAQIUABQAAAAIAIdO4kB9BHyNNwIAAGAEAAAOAAAAAAAAAAEAIAAAACgBAABkcnMv&#10;ZTJvRG9jLnhtbFBLBQYAAAAABgAGAFkBAADRBQAAAAA=&#10;">
              <v:fill on="f" focussize="0,0"/>
              <v:stroke on="f" weight="0.5pt"/>
              <v:imagedata o:title=""/>
              <o:lock v:ext="edit" aspectratio="f"/>
              <v:textbox inset="0mm,0mm,0mm,0mm" style="layout-flow:vertical-ideographic;mso-fit-shape-to-text:t;">
                <w:txbxContent>
                  <w:p w14:paraId="19B0CDF5">
                    <w:pPr>
                      <w:pStyle w:val="65"/>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89B93">
    <w:pPr>
      <w:pStyle w:val="64"/>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4AE7A">
    <w:pPr>
      <w:pStyle w:val="19"/>
      <w:jc w:val="right"/>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BFB50FF"/>
    <w:multiLevelType w:val="multilevel"/>
    <w:tmpl w:val="3BFB50FF"/>
    <w:lvl w:ilvl="0" w:tentative="0">
      <w:start w:val="1"/>
      <w:numFmt w:val="decimal"/>
      <w:suff w:val="noth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609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1842"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3OGIzMTIyZDEzMjljZTM4ZGNhOGFmZmQ4ZmI4ZGMifQ=="/>
  </w:docVars>
  <w:rsids>
    <w:rsidRoot w:val="00436140"/>
    <w:rsid w:val="0000040A"/>
    <w:rsid w:val="00000A94"/>
    <w:rsid w:val="00001972"/>
    <w:rsid w:val="00001D9A"/>
    <w:rsid w:val="00004DE3"/>
    <w:rsid w:val="00006645"/>
    <w:rsid w:val="00007B3A"/>
    <w:rsid w:val="000107E0"/>
    <w:rsid w:val="00011FDE"/>
    <w:rsid w:val="00012FFD"/>
    <w:rsid w:val="00014162"/>
    <w:rsid w:val="00014340"/>
    <w:rsid w:val="000146F7"/>
    <w:rsid w:val="0001494D"/>
    <w:rsid w:val="000150B8"/>
    <w:rsid w:val="00016745"/>
    <w:rsid w:val="00016A9C"/>
    <w:rsid w:val="000175B3"/>
    <w:rsid w:val="00017AB8"/>
    <w:rsid w:val="00022184"/>
    <w:rsid w:val="00022762"/>
    <w:rsid w:val="000238E0"/>
    <w:rsid w:val="00023BB0"/>
    <w:rsid w:val="0002464B"/>
    <w:rsid w:val="000249DB"/>
    <w:rsid w:val="00025362"/>
    <w:rsid w:val="0002595E"/>
    <w:rsid w:val="00025B68"/>
    <w:rsid w:val="000303C3"/>
    <w:rsid w:val="000304B2"/>
    <w:rsid w:val="0003078F"/>
    <w:rsid w:val="000331D3"/>
    <w:rsid w:val="000343DE"/>
    <w:rsid w:val="000346A5"/>
    <w:rsid w:val="000359C3"/>
    <w:rsid w:val="00035A7D"/>
    <w:rsid w:val="000365ED"/>
    <w:rsid w:val="00040E7D"/>
    <w:rsid w:val="00041FE0"/>
    <w:rsid w:val="0004249A"/>
    <w:rsid w:val="000429F5"/>
    <w:rsid w:val="00043282"/>
    <w:rsid w:val="00044286"/>
    <w:rsid w:val="000447A6"/>
    <w:rsid w:val="000459F4"/>
    <w:rsid w:val="00047831"/>
    <w:rsid w:val="00047F28"/>
    <w:rsid w:val="00047FF2"/>
    <w:rsid w:val="00050340"/>
    <w:rsid w:val="000503AA"/>
    <w:rsid w:val="000506A1"/>
    <w:rsid w:val="000515DD"/>
    <w:rsid w:val="00051E61"/>
    <w:rsid w:val="000525C4"/>
    <w:rsid w:val="0005265A"/>
    <w:rsid w:val="000539DD"/>
    <w:rsid w:val="00053BD3"/>
    <w:rsid w:val="00054D6D"/>
    <w:rsid w:val="000556ED"/>
    <w:rsid w:val="00055FE2"/>
    <w:rsid w:val="0005616F"/>
    <w:rsid w:val="00057706"/>
    <w:rsid w:val="000602A2"/>
    <w:rsid w:val="00060A81"/>
    <w:rsid w:val="00060B74"/>
    <w:rsid w:val="00060C2E"/>
    <w:rsid w:val="00061033"/>
    <w:rsid w:val="000619E9"/>
    <w:rsid w:val="000622D4"/>
    <w:rsid w:val="0006357D"/>
    <w:rsid w:val="000637CA"/>
    <w:rsid w:val="00063D48"/>
    <w:rsid w:val="000662AC"/>
    <w:rsid w:val="00067F1E"/>
    <w:rsid w:val="00071CC0"/>
    <w:rsid w:val="00071CFC"/>
    <w:rsid w:val="00072975"/>
    <w:rsid w:val="00073C8C"/>
    <w:rsid w:val="000760B9"/>
    <w:rsid w:val="00077B64"/>
    <w:rsid w:val="000806C3"/>
    <w:rsid w:val="00080A1C"/>
    <w:rsid w:val="00081183"/>
    <w:rsid w:val="00082317"/>
    <w:rsid w:val="00082C88"/>
    <w:rsid w:val="00083D2C"/>
    <w:rsid w:val="00086AA1"/>
    <w:rsid w:val="00087284"/>
    <w:rsid w:val="00087A77"/>
    <w:rsid w:val="00090271"/>
    <w:rsid w:val="00090C2B"/>
    <w:rsid w:val="00090CA6"/>
    <w:rsid w:val="00092B8A"/>
    <w:rsid w:val="00092FB0"/>
    <w:rsid w:val="000934C5"/>
    <w:rsid w:val="00093D25"/>
    <w:rsid w:val="00093DAB"/>
    <w:rsid w:val="00093EC3"/>
    <w:rsid w:val="000944AB"/>
    <w:rsid w:val="00094D73"/>
    <w:rsid w:val="00096D63"/>
    <w:rsid w:val="00097DA4"/>
    <w:rsid w:val="000A0B60"/>
    <w:rsid w:val="000A0EB8"/>
    <w:rsid w:val="000A187D"/>
    <w:rsid w:val="000A19FC"/>
    <w:rsid w:val="000A296B"/>
    <w:rsid w:val="000A3BE6"/>
    <w:rsid w:val="000A55C8"/>
    <w:rsid w:val="000A6B89"/>
    <w:rsid w:val="000A7311"/>
    <w:rsid w:val="000A7599"/>
    <w:rsid w:val="000B02E8"/>
    <w:rsid w:val="000B060F"/>
    <w:rsid w:val="000B0813"/>
    <w:rsid w:val="000B1592"/>
    <w:rsid w:val="000B1FF2"/>
    <w:rsid w:val="000B201D"/>
    <w:rsid w:val="000B217C"/>
    <w:rsid w:val="000B2719"/>
    <w:rsid w:val="000B35C4"/>
    <w:rsid w:val="000B3CDA"/>
    <w:rsid w:val="000B6A0B"/>
    <w:rsid w:val="000B7999"/>
    <w:rsid w:val="000B7F14"/>
    <w:rsid w:val="000C0F6C"/>
    <w:rsid w:val="000C11DB"/>
    <w:rsid w:val="000C1492"/>
    <w:rsid w:val="000C245E"/>
    <w:rsid w:val="000C2FBD"/>
    <w:rsid w:val="000C33EB"/>
    <w:rsid w:val="000C4B41"/>
    <w:rsid w:val="000C57D6"/>
    <w:rsid w:val="000C617B"/>
    <w:rsid w:val="000C6362"/>
    <w:rsid w:val="000C7666"/>
    <w:rsid w:val="000D0A9C"/>
    <w:rsid w:val="000D15B8"/>
    <w:rsid w:val="000D1781"/>
    <w:rsid w:val="000D1795"/>
    <w:rsid w:val="000D3051"/>
    <w:rsid w:val="000D329A"/>
    <w:rsid w:val="000D4B9C"/>
    <w:rsid w:val="000D4EB6"/>
    <w:rsid w:val="000D753B"/>
    <w:rsid w:val="000D7660"/>
    <w:rsid w:val="000D7FC6"/>
    <w:rsid w:val="000E0765"/>
    <w:rsid w:val="000E07B4"/>
    <w:rsid w:val="000E091E"/>
    <w:rsid w:val="000E18F1"/>
    <w:rsid w:val="000E4C9E"/>
    <w:rsid w:val="000E53C1"/>
    <w:rsid w:val="000E5F26"/>
    <w:rsid w:val="000E6FD7"/>
    <w:rsid w:val="000E7144"/>
    <w:rsid w:val="000E7E3C"/>
    <w:rsid w:val="000F06E1"/>
    <w:rsid w:val="000F0E3C"/>
    <w:rsid w:val="000F19D5"/>
    <w:rsid w:val="000F4050"/>
    <w:rsid w:val="000F4463"/>
    <w:rsid w:val="000F4AEA"/>
    <w:rsid w:val="000F67E9"/>
    <w:rsid w:val="00101016"/>
    <w:rsid w:val="00101132"/>
    <w:rsid w:val="001022D6"/>
    <w:rsid w:val="00104926"/>
    <w:rsid w:val="001109C6"/>
    <w:rsid w:val="00112AEA"/>
    <w:rsid w:val="00113B1E"/>
    <w:rsid w:val="00114CAA"/>
    <w:rsid w:val="0011519B"/>
    <w:rsid w:val="00116C89"/>
    <w:rsid w:val="0011711C"/>
    <w:rsid w:val="00122B97"/>
    <w:rsid w:val="00122EA8"/>
    <w:rsid w:val="00123EFD"/>
    <w:rsid w:val="001248E7"/>
    <w:rsid w:val="00124E4F"/>
    <w:rsid w:val="001257AB"/>
    <w:rsid w:val="001260B7"/>
    <w:rsid w:val="001265CB"/>
    <w:rsid w:val="001321C6"/>
    <w:rsid w:val="001325C4"/>
    <w:rsid w:val="00133010"/>
    <w:rsid w:val="001338EE"/>
    <w:rsid w:val="00133AAE"/>
    <w:rsid w:val="00135323"/>
    <w:rsid w:val="001356C4"/>
    <w:rsid w:val="00137565"/>
    <w:rsid w:val="00137575"/>
    <w:rsid w:val="00141114"/>
    <w:rsid w:val="00142793"/>
    <w:rsid w:val="00142969"/>
    <w:rsid w:val="00144091"/>
    <w:rsid w:val="001446C2"/>
    <w:rsid w:val="001457E7"/>
    <w:rsid w:val="00145D9D"/>
    <w:rsid w:val="00146388"/>
    <w:rsid w:val="001465BC"/>
    <w:rsid w:val="001470C7"/>
    <w:rsid w:val="00150957"/>
    <w:rsid w:val="00150D63"/>
    <w:rsid w:val="00151581"/>
    <w:rsid w:val="00151816"/>
    <w:rsid w:val="001529E5"/>
    <w:rsid w:val="00152E04"/>
    <w:rsid w:val="00152FB3"/>
    <w:rsid w:val="00153C7E"/>
    <w:rsid w:val="001559B7"/>
    <w:rsid w:val="00156B25"/>
    <w:rsid w:val="00156E1A"/>
    <w:rsid w:val="00157029"/>
    <w:rsid w:val="00157894"/>
    <w:rsid w:val="00157B55"/>
    <w:rsid w:val="00160868"/>
    <w:rsid w:val="0016110F"/>
    <w:rsid w:val="0016146B"/>
    <w:rsid w:val="001642FA"/>
    <w:rsid w:val="001649EB"/>
    <w:rsid w:val="00164BAF"/>
    <w:rsid w:val="00164FA8"/>
    <w:rsid w:val="00165065"/>
    <w:rsid w:val="00165434"/>
    <w:rsid w:val="0016580B"/>
    <w:rsid w:val="00165DEF"/>
    <w:rsid w:val="00165F49"/>
    <w:rsid w:val="00166B88"/>
    <w:rsid w:val="0016770A"/>
    <w:rsid w:val="00170804"/>
    <w:rsid w:val="001708E9"/>
    <w:rsid w:val="0017340B"/>
    <w:rsid w:val="00173FB1"/>
    <w:rsid w:val="001751C8"/>
    <w:rsid w:val="00176DFD"/>
    <w:rsid w:val="00180AE1"/>
    <w:rsid w:val="00180DD0"/>
    <w:rsid w:val="00181588"/>
    <w:rsid w:val="00182FB5"/>
    <w:rsid w:val="00185206"/>
    <w:rsid w:val="001852C9"/>
    <w:rsid w:val="0018561D"/>
    <w:rsid w:val="00187A0B"/>
    <w:rsid w:val="00190087"/>
    <w:rsid w:val="00190289"/>
    <w:rsid w:val="001913C4"/>
    <w:rsid w:val="00192A25"/>
    <w:rsid w:val="0019348F"/>
    <w:rsid w:val="00193A07"/>
    <w:rsid w:val="00194AFD"/>
    <w:rsid w:val="00194C95"/>
    <w:rsid w:val="00195C34"/>
    <w:rsid w:val="001963E2"/>
    <w:rsid w:val="00196A8B"/>
    <w:rsid w:val="00196EF5"/>
    <w:rsid w:val="00197ACF"/>
    <w:rsid w:val="001A09C9"/>
    <w:rsid w:val="001A135F"/>
    <w:rsid w:val="001A1A53"/>
    <w:rsid w:val="001A1C93"/>
    <w:rsid w:val="001A234A"/>
    <w:rsid w:val="001A439D"/>
    <w:rsid w:val="001A4CF3"/>
    <w:rsid w:val="001A51C4"/>
    <w:rsid w:val="001A5F67"/>
    <w:rsid w:val="001A608B"/>
    <w:rsid w:val="001A6696"/>
    <w:rsid w:val="001B06E8"/>
    <w:rsid w:val="001B365E"/>
    <w:rsid w:val="001B71D0"/>
    <w:rsid w:val="001B71EE"/>
    <w:rsid w:val="001C04A8"/>
    <w:rsid w:val="001C1A33"/>
    <w:rsid w:val="001C2C03"/>
    <w:rsid w:val="001C37F3"/>
    <w:rsid w:val="001C3866"/>
    <w:rsid w:val="001C42F7"/>
    <w:rsid w:val="001C49E5"/>
    <w:rsid w:val="001C4D1B"/>
    <w:rsid w:val="001C5ABA"/>
    <w:rsid w:val="001C680C"/>
    <w:rsid w:val="001C7FEA"/>
    <w:rsid w:val="001D0499"/>
    <w:rsid w:val="001D0BBE"/>
    <w:rsid w:val="001D0ED4"/>
    <w:rsid w:val="001D1B09"/>
    <w:rsid w:val="001D212F"/>
    <w:rsid w:val="001D29D7"/>
    <w:rsid w:val="001D2D4F"/>
    <w:rsid w:val="001D2DE7"/>
    <w:rsid w:val="001D302C"/>
    <w:rsid w:val="001D411C"/>
    <w:rsid w:val="001D4AE3"/>
    <w:rsid w:val="001E1B6A"/>
    <w:rsid w:val="001E1D9E"/>
    <w:rsid w:val="001E2484"/>
    <w:rsid w:val="001E24C5"/>
    <w:rsid w:val="001E3CC4"/>
    <w:rsid w:val="001E4882"/>
    <w:rsid w:val="001E73AB"/>
    <w:rsid w:val="001E792A"/>
    <w:rsid w:val="001E7A40"/>
    <w:rsid w:val="001F0098"/>
    <w:rsid w:val="001F092D"/>
    <w:rsid w:val="001F12C5"/>
    <w:rsid w:val="001F143A"/>
    <w:rsid w:val="001F1605"/>
    <w:rsid w:val="001F1FF7"/>
    <w:rsid w:val="001F2508"/>
    <w:rsid w:val="001F349C"/>
    <w:rsid w:val="001F4816"/>
    <w:rsid w:val="001F69B4"/>
    <w:rsid w:val="001F77C7"/>
    <w:rsid w:val="00200183"/>
    <w:rsid w:val="00200333"/>
    <w:rsid w:val="0020107D"/>
    <w:rsid w:val="00201836"/>
    <w:rsid w:val="00202477"/>
    <w:rsid w:val="00202AA4"/>
    <w:rsid w:val="00202BA1"/>
    <w:rsid w:val="002031F7"/>
    <w:rsid w:val="00203DDE"/>
    <w:rsid w:val="00203FA1"/>
    <w:rsid w:val="002040E6"/>
    <w:rsid w:val="0020527B"/>
    <w:rsid w:val="00205DD9"/>
    <w:rsid w:val="00205F2C"/>
    <w:rsid w:val="002078F8"/>
    <w:rsid w:val="00210B15"/>
    <w:rsid w:val="002142EA"/>
    <w:rsid w:val="00215ADD"/>
    <w:rsid w:val="00217A79"/>
    <w:rsid w:val="00217D29"/>
    <w:rsid w:val="002204BB"/>
    <w:rsid w:val="0022083F"/>
    <w:rsid w:val="00221B79"/>
    <w:rsid w:val="00221C6B"/>
    <w:rsid w:val="00221DE0"/>
    <w:rsid w:val="00222FA3"/>
    <w:rsid w:val="002253A1"/>
    <w:rsid w:val="00225CF8"/>
    <w:rsid w:val="00227348"/>
    <w:rsid w:val="0022794E"/>
    <w:rsid w:val="00227CC6"/>
    <w:rsid w:val="002338E8"/>
    <w:rsid w:val="00233D64"/>
    <w:rsid w:val="0023482A"/>
    <w:rsid w:val="00235788"/>
    <w:rsid w:val="002359CB"/>
    <w:rsid w:val="00236565"/>
    <w:rsid w:val="002369DB"/>
    <w:rsid w:val="00242C8F"/>
    <w:rsid w:val="00243540"/>
    <w:rsid w:val="00243B27"/>
    <w:rsid w:val="0024497B"/>
    <w:rsid w:val="0024515B"/>
    <w:rsid w:val="00246021"/>
    <w:rsid w:val="0024666E"/>
    <w:rsid w:val="00247D9C"/>
    <w:rsid w:val="00247F52"/>
    <w:rsid w:val="00250B25"/>
    <w:rsid w:val="00250BBE"/>
    <w:rsid w:val="002515C2"/>
    <w:rsid w:val="0025194F"/>
    <w:rsid w:val="002530EE"/>
    <w:rsid w:val="002535C7"/>
    <w:rsid w:val="00253A91"/>
    <w:rsid w:val="00254D1C"/>
    <w:rsid w:val="002555AA"/>
    <w:rsid w:val="00257D3A"/>
    <w:rsid w:val="0026071C"/>
    <w:rsid w:val="0026148A"/>
    <w:rsid w:val="002616DB"/>
    <w:rsid w:val="00261E45"/>
    <w:rsid w:val="00262696"/>
    <w:rsid w:val="002629D0"/>
    <w:rsid w:val="00263289"/>
    <w:rsid w:val="00263D25"/>
    <w:rsid w:val="002643C3"/>
    <w:rsid w:val="00264A0C"/>
    <w:rsid w:val="00266EEB"/>
    <w:rsid w:val="00267BCF"/>
    <w:rsid w:val="00267E4B"/>
    <w:rsid w:val="00267EF4"/>
    <w:rsid w:val="00270566"/>
    <w:rsid w:val="00270B0B"/>
    <w:rsid w:val="00270CB8"/>
    <w:rsid w:val="00270DD4"/>
    <w:rsid w:val="002710D7"/>
    <w:rsid w:val="00272203"/>
    <w:rsid w:val="00272B08"/>
    <w:rsid w:val="002745E7"/>
    <w:rsid w:val="00274ECC"/>
    <w:rsid w:val="0027642B"/>
    <w:rsid w:val="002768E9"/>
    <w:rsid w:val="00280EE0"/>
    <w:rsid w:val="00281BB8"/>
    <w:rsid w:val="00281E9E"/>
    <w:rsid w:val="00281F80"/>
    <w:rsid w:val="00282405"/>
    <w:rsid w:val="002829A1"/>
    <w:rsid w:val="002848DB"/>
    <w:rsid w:val="00285170"/>
    <w:rsid w:val="00285361"/>
    <w:rsid w:val="002857B1"/>
    <w:rsid w:val="00286454"/>
    <w:rsid w:val="0028672D"/>
    <w:rsid w:val="00287366"/>
    <w:rsid w:val="002927CC"/>
    <w:rsid w:val="00292969"/>
    <w:rsid w:val="00292D60"/>
    <w:rsid w:val="00293B30"/>
    <w:rsid w:val="00294D34"/>
    <w:rsid w:val="00294E3B"/>
    <w:rsid w:val="00296193"/>
    <w:rsid w:val="00296C66"/>
    <w:rsid w:val="00296EBE"/>
    <w:rsid w:val="0029717B"/>
    <w:rsid w:val="002974E3"/>
    <w:rsid w:val="002A084B"/>
    <w:rsid w:val="002A1260"/>
    <w:rsid w:val="002A1402"/>
    <w:rsid w:val="002A1589"/>
    <w:rsid w:val="002A1608"/>
    <w:rsid w:val="002A1B08"/>
    <w:rsid w:val="002A1F7D"/>
    <w:rsid w:val="002A25DC"/>
    <w:rsid w:val="002A3AAB"/>
    <w:rsid w:val="002A4CEA"/>
    <w:rsid w:val="002A500B"/>
    <w:rsid w:val="002A5977"/>
    <w:rsid w:val="002A5A13"/>
    <w:rsid w:val="002A757F"/>
    <w:rsid w:val="002A7F44"/>
    <w:rsid w:val="002B0B0B"/>
    <w:rsid w:val="002B0C40"/>
    <w:rsid w:val="002B1966"/>
    <w:rsid w:val="002B2274"/>
    <w:rsid w:val="002B37D7"/>
    <w:rsid w:val="002B38CD"/>
    <w:rsid w:val="002B4508"/>
    <w:rsid w:val="002B5779"/>
    <w:rsid w:val="002B6340"/>
    <w:rsid w:val="002B7332"/>
    <w:rsid w:val="002B7F51"/>
    <w:rsid w:val="002C0558"/>
    <w:rsid w:val="002C09E7"/>
    <w:rsid w:val="002C1E06"/>
    <w:rsid w:val="002C3F07"/>
    <w:rsid w:val="002C45CD"/>
    <w:rsid w:val="002C4E82"/>
    <w:rsid w:val="002C5278"/>
    <w:rsid w:val="002C5FDE"/>
    <w:rsid w:val="002C6417"/>
    <w:rsid w:val="002C7EBB"/>
    <w:rsid w:val="002D06C1"/>
    <w:rsid w:val="002D2762"/>
    <w:rsid w:val="002D3030"/>
    <w:rsid w:val="002D429E"/>
    <w:rsid w:val="002D42B5"/>
    <w:rsid w:val="002D4ADE"/>
    <w:rsid w:val="002D4F1A"/>
    <w:rsid w:val="002D6ACF"/>
    <w:rsid w:val="002D6EC6"/>
    <w:rsid w:val="002D79AC"/>
    <w:rsid w:val="002D7EA7"/>
    <w:rsid w:val="002E039D"/>
    <w:rsid w:val="002E22B1"/>
    <w:rsid w:val="002E3202"/>
    <w:rsid w:val="002E3DDE"/>
    <w:rsid w:val="002E4D5A"/>
    <w:rsid w:val="002E5548"/>
    <w:rsid w:val="002E6326"/>
    <w:rsid w:val="002E7279"/>
    <w:rsid w:val="002F1E9C"/>
    <w:rsid w:val="002F1FA9"/>
    <w:rsid w:val="002F30E0"/>
    <w:rsid w:val="002F35E4"/>
    <w:rsid w:val="002F3730"/>
    <w:rsid w:val="002F38E1"/>
    <w:rsid w:val="002F4092"/>
    <w:rsid w:val="002F7AF6"/>
    <w:rsid w:val="002F7F61"/>
    <w:rsid w:val="00300E63"/>
    <w:rsid w:val="00301E86"/>
    <w:rsid w:val="00302788"/>
    <w:rsid w:val="00302F5F"/>
    <w:rsid w:val="0030441D"/>
    <w:rsid w:val="00306063"/>
    <w:rsid w:val="00311F28"/>
    <w:rsid w:val="00312CF7"/>
    <w:rsid w:val="00313B31"/>
    <w:rsid w:val="00313B85"/>
    <w:rsid w:val="00317988"/>
    <w:rsid w:val="00321ED9"/>
    <w:rsid w:val="003221B4"/>
    <w:rsid w:val="0032258D"/>
    <w:rsid w:val="00322B18"/>
    <w:rsid w:val="00322E62"/>
    <w:rsid w:val="00324D13"/>
    <w:rsid w:val="00324EDD"/>
    <w:rsid w:val="00325F80"/>
    <w:rsid w:val="0032636A"/>
    <w:rsid w:val="0033075F"/>
    <w:rsid w:val="0033077D"/>
    <w:rsid w:val="003316BD"/>
    <w:rsid w:val="00332326"/>
    <w:rsid w:val="00332EBF"/>
    <w:rsid w:val="003331E4"/>
    <w:rsid w:val="00334405"/>
    <w:rsid w:val="00335142"/>
    <w:rsid w:val="00336C64"/>
    <w:rsid w:val="00337162"/>
    <w:rsid w:val="003400BE"/>
    <w:rsid w:val="0034194F"/>
    <w:rsid w:val="00341F3B"/>
    <w:rsid w:val="003443B6"/>
    <w:rsid w:val="00344605"/>
    <w:rsid w:val="003447F4"/>
    <w:rsid w:val="003474AA"/>
    <w:rsid w:val="00350D1D"/>
    <w:rsid w:val="00352C83"/>
    <w:rsid w:val="00352F1A"/>
    <w:rsid w:val="00355B22"/>
    <w:rsid w:val="00356BA1"/>
    <w:rsid w:val="003579F1"/>
    <w:rsid w:val="0036107C"/>
    <w:rsid w:val="003615D2"/>
    <w:rsid w:val="00362A36"/>
    <w:rsid w:val="0036429C"/>
    <w:rsid w:val="00364A53"/>
    <w:rsid w:val="003654CB"/>
    <w:rsid w:val="00365AA9"/>
    <w:rsid w:val="00365F86"/>
    <w:rsid w:val="00365F87"/>
    <w:rsid w:val="0036654A"/>
    <w:rsid w:val="00366E89"/>
    <w:rsid w:val="00367748"/>
    <w:rsid w:val="003678C3"/>
    <w:rsid w:val="003705F4"/>
    <w:rsid w:val="00370D58"/>
    <w:rsid w:val="00371316"/>
    <w:rsid w:val="00372AE7"/>
    <w:rsid w:val="003756E0"/>
    <w:rsid w:val="00376713"/>
    <w:rsid w:val="00377CC8"/>
    <w:rsid w:val="00377FA2"/>
    <w:rsid w:val="00381140"/>
    <w:rsid w:val="00381508"/>
    <w:rsid w:val="00381815"/>
    <w:rsid w:val="003819AF"/>
    <w:rsid w:val="003820E9"/>
    <w:rsid w:val="00382DE7"/>
    <w:rsid w:val="0038397D"/>
    <w:rsid w:val="00384D32"/>
    <w:rsid w:val="00384D4E"/>
    <w:rsid w:val="00384FFC"/>
    <w:rsid w:val="003863EB"/>
    <w:rsid w:val="00386DA7"/>
    <w:rsid w:val="003872FC"/>
    <w:rsid w:val="00387ADC"/>
    <w:rsid w:val="00390020"/>
    <w:rsid w:val="003900EC"/>
    <w:rsid w:val="003903D6"/>
    <w:rsid w:val="00390EE6"/>
    <w:rsid w:val="00390F96"/>
    <w:rsid w:val="0039118F"/>
    <w:rsid w:val="00392AD7"/>
    <w:rsid w:val="0039383E"/>
    <w:rsid w:val="003938D9"/>
    <w:rsid w:val="00394326"/>
    <w:rsid w:val="00394376"/>
    <w:rsid w:val="003943FF"/>
    <w:rsid w:val="003948C6"/>
    <w:rsid w:val="003974EB"/>
    <w:rsid w:val="00397CC5"/>
    <w:rsid w:val="003A11D1"/>
    <w:rsid w:val="003A1582"/>
    <w:rsid w:val="003A2770"/>
    <w:rsid w:val="003A3D9C"/>
    <w:rsid w:val="003A4077"/>
    <w:rsid w:val="003A4AA7"/>
    <w:rsid w:val="003A6AD8"/>
    <w:rsid w:val="003B0607"/>
    <w:rsid w:val="003B09AD"/>
    <w:rsid w:val="003B0E6B"/>
    <w:rsid w:val="003B1EAE"/>
    <w:rsid w:val="003B1F18"/>
    <w:rsid w:val="003B5549"/>
    <w:rsid w:val="003B5BF0"/>
    <w:rsid w:val="003B60BF"/>
    <w:rsid w:val="003B6BE3"/>
    <w:rsid w:val="003B6FB0"/>
    <w:rsid w:val="003B72B6"/>
    <w:rsid w:val="003B77E4"/>
    <w:rsid w:val="003C010C"/>
    <w:rsid w:val="003C0A6C"/>
    <w:rsid w:val="003C1392"/>
    <w:rsid w:val="003C14F8"/>
    <w:rsid w:val="003C2C42"/>
    <w:rsid w:val="003C33E6"/>
    <w:rsid w:val="003C34D9"/>
    <w:rsid w:val="003C48B8"/>
    <w:rsid w:val="003C53BA"/>
    <w:rsid w:val="003C56CE"/>
    <w:rsid w:val="003C5A43"/>
    <w:rsid w:val="003C60B2"/>
    <w:rsid w:val="003C7922"/>
    <w:rsid w:val="003D0519"/>
    <w:rsid w:val="003D0FF6"/>
    <w:rsid w:val="003D0FF8"/>
    <w:rsid w:val="003D1ABE"/>
    <w:rsid w:val="003D262C"/>
    <w:rsid w:val="003D5902"/>
    <w:rsid w:val="003D6D61"/>
    <w:rsid w:val="003E019F"/>
    <w:rsid w:val="003E091D"/>
    <w:rsid w:val="003E13D8"/>
    <w:rsid w:val="003E1C53"/>
    <w:rsid w:val="003E29E3"/>
    <w:rsid w:val="003E2A69"/>
    <w:rsid w:val="003E2D49"/>
    <w:rsid w:val="003E2FD4"/>
    <w:rsid w:val="003E3960"/>
    <w:rsid w:val="003E49F6"/>
    <w:rsid w:val="003E4D60"/>
    <w:rsid w:val="003E660F"/>
    <w:rsid w:val="003E6D68"/>
    <w:rsid w:val="003E7D0C"/>
    <w:rsid w:val="003F0841"/>
    <w:rsid w:val="003F23D3"/>
    <w:rsid w:val="003F2A44"/>
    <w:rsid w:val="003F2D59"/>
    <w:rsid w:val="003F37A1"/>
    <w:rsid w:val="003F3F08"/>
    <w:rsid w:val="003F49F1"/>
    <w:rsid w:val="003F53CE"/>
    <w:rsid w:val="003F6272"/>
    <w:rsid w:val="003F6458"/>
    <w:rsid w:val="00400E72"/>
    <w:rsid w:val="00401400"/>
    <w:rsid w:val="00404869"/>
    <w:rsid w:val="00404DCC"/>
    <w:rsid w:val="00405884"/>
    <w:rsid w:val="00407D39"/>
    <w:rsid w:val="0041068F"/>
    <w:rsid w:val="004111DF"/>
    <w:rsid w:val="0041364B"/>
    <w:rsid w:val="00413CA4"/>
    <w:rsid w:val="00414514"/>
    <w:rsid w:val="00414654"/>
    <w:rsid w:val="004146F8"/>
    <w:rsid w:val="0041477A"/>
    <w:rsid w:val="0041497F"/>
    <w:rsid w:val="004167A3"/>
    <w:rsid w:val="00417149"/>
    <w:rsid w:val="004174E7"/>
    <w:rsid w:val="004205DE"/>
    <w:rsid w:val="0042326B"/>
    <w:rsid w:val="004233F2"/>
    <w:rsid w:val="00423511"/>
    <w:rsid w:val="00424AAF"/>
    <w:rsid w:val="00424E39"/>
    <w:rsid w:val="00424E4A"/>
    <w:rsid w:val="00425BAC"/>
    <w:rsid w:val="00432DAA"/>
    <w:rsid w:val="00433621"/>
    <w:rsid w:val="00434305"/>
    <w:rsid w:val="00435DF7"/>
    <w:rsid w:val="00436140"/>
    <w:rsid w:val="00436D6D"/>
    <w:rsid w:val="0043741A"/>
    <w:rsid w:val="0044083F"/>
    <w:rsid w:val="00441AE7"/>
    <w:rsid w:val="0044299D"/>
    <w:rsid w:val="00442C87"/>
    <w:rsid w:val="00445574"/>
    <w:rsid w:val="004467FB"/>
    <w:rsid w:val="00446AEF"/>
    <w:rsid w:val="0044731C"/>
    <w:rsid w:val="00452D6B"/>
    <w:rsid w:val="00452E82"/>
    <w:rsid w:val="0045309A"/>
    <w:rsid w:val="00453FA0"/>
    <w:rsid w:val="00454484"/>
    <w:rsid w:val="0045517B"/>
    <w:rsid w:val="00456EFA"/>
    <w:rsid w:val="00456F1C"/>
    <w:rsid w:val="0045736C"/>
    <w:rsid w:val="00457B90"/>
    <w:rsid w:val="00460F45"/>
    <w:rsid w:val="00462D20"/>
    <w:rsid w:val="00463B77"/>
    <w:rsid w:val="00463C7B"/>
    <w:rsid w:val="004644A6"/>
    <w:rsid w:val="004659BD"/>
    <w:rsid w:val="00470775"/>
    <w:rsid w:val="004718BF"/>
    <w:rsid w:val="00472140"/>
    <w:rsid w:val="004746B1"/>
    <w:rsid w:val="00474CA8"/>
    <w:rsid w:val="004756BC"/>
    <w:rsid w:val="0047583F"/>
    <w:rsid w:val="00475DE8"/>
    <w:rsid w:val="0048109F"/>
    <w:rsid w:val="00481C44"/>
    <w:rsid w:val="00483AA8"/>
    <w:rsid w:val="00484936"/>
    <w:rsid w:val="00485C89"/>
    <w:rsid w:val="00486BE3"/>
    <w:rsid w:val="004905E4"/>
    <w:rsid w:val="00490A89"/>
    <w:rsid w:val="00490AB4"/>
    <w:rsid w:val="004922EF"/>
    <w:rsid w:val="0049281C"/>
    <w:rsid w:val="00492F02"/>
    <w:rsid w:val="004939AE"/>
    <w:rsid w:val="00495826"/>
    <w:rsid w:val="00495938"/>
    <w:rsid w:val="004A0177"/>
    <w:rsid w:val="004A03A0"/>
    <w:rsid w:val="004A0579"/>
    <w:rsid w:val="004A12DF"/>
    <w:rsid w:val="004A1BA8"/>
    <w:rsid w:val="004A2F15"/>
    <w:rsid w:val="004A48AA"/>
    <w:rsid w:val="004A4B57"/>
    <w:rsid w:val="004A4F68"/>
    <w:rsid w:val="004A63FA"/>
    <w:rsid w:val="004A6A3D"/>
    <w:rsid w:val="004A7D6F"/>
    <w:rsid w:val="004B0272"/>
    <w:rsid w:val="004B2701"/>
    <w:rsid w:val="004B2E1B"/>
    <w:rsid w:val="004B3AA8"/>
    <w:rsid w:val="004B3E93"/>
    <w:rsid w:val="004B3EF6"/>
    <w:rsid w:val="004B602B"/>
    <w:rsid w:val="004B6EE2"/>
    <w:rsid w:val="004B79EC"/>
    <w:rsid w:val="004C0DBF"/>
    <w:rsid w:val="004C1FBC"/>
    <w:rsid w:val="004C25A2"/>
    <w:rsid w:val="004C3F1D"/>
    <w:rsid w:val="004C458D"/>
    <w:rsid w:val="004C7292"/>
    <w:rsid w:val="004C74A8"/>
    <w:rsid w:val="004C7556"/>
    <w:rsid w:val="004C7587"/>
    <w:rsid w:val="004C7E8B"/>
    <w:rsid w:val="004C7E9D"/>
    <w:rsid w:val="004C7F67"/>
    <w:rsid w:val="004D076D"/>
    <w:rsid w:val="004D0EF1"/>
    <w:rsid w:val="004D2253"/>
    <w:rsid w:val="004D4406"/>
    <w:rsid w:val="004D7C42"/>
    <w:rsid w:val="004E0465"/>
    <w:rsid w:val="004E06F8"/>
    <w:rsid w:val="004E127B"/>
    <w:rsid w:val="004E1C0A"/>
    <w:rsid w:val="004E30C5"/>
    <w:rsid w:val="004E37BC"/>
    <w:rsid w:val="004E4AA5"/>
    <w:rsid w:val="004E4AEE"/>
    <w:rsid w:val="004E59E3"/>
    <w:rsid w:val="004E6471"/>
    <w:rsid w:val="004E67C0"/>
    <w:rsid w:val="004F13D9"/>
    <w:rsid w:val="004F18D2"/>
    <w:rsid w:val="004F2E97"/>
    <w:rsid w:val="004F391A"/>
    <w:rsid w:val="004F3CFB"/>
    <w:rsid w:val="004F5C4A"/>
    <w:rsid w:val="004F6456"/>
    <w:rsid w:val="004F696E"/>
    <w:rsid w:val="004F6C71"/>
    <w:rsid w:val="00501139"/>
    <w:rsid w:val="00501658"/>
    <w:rsid w:val="0050363E"/>
    <w:rsid w:val="005039BC"/>
    <w:rsid w:val="005043BB"/>
    <w:rsid w:val="00504A3D"/>
    <w:rsid w:val="00504C0B"/>
    <w:rsid w:val="00505767"/>
    <w:rsid w:val="00506FAC"/>
    <w:rsid w:val="005073F0"/>
    <w:rsid w:val="0050778F"/>
    <w:rsid w:val="00510A7B"/>
    <w:rsid w:val="00511C1D"/>
    <w:rsid w:val="005129B9"/>
    <w:rsid w:val="00512F6E"/>
    <w:rsid w:val="00513038"/>
    <w:rsid w:val="00514174"/>
    <w:rsid w:val="00516088"/>
    <w:rsid w:val="0051631D"/>
    <w:rsid w:val="00516B0B"/>
    <w:rsid w:val="00521ED3"/>
    <w:rsid w:val="00521F9D"/>
    <w:rsid w:val="005220EC"/>
    <w:rsid w:val="00523F95"/>
    <w:rsid w:val="00524D65"/>
    <w:rsid w:val="0052593D"/>
    <w:rsid w:val="00525B16"/>
    <w:rsid w:val="00526B4C"/>
    <w:rsid w:val="00527201"/>
    <w:rsid w:val="00527296"/>
    <w:rsid w:val="005312DA"/>
    <w:rsid w:val="00533D04"/>
    <w:rsid w:val="00534804"/>
    <w:rsid w:val="00534BDF"/>
    <w:rsid w:val="005354EA"/>
    <w:rsid w:val="0053585F"/>
    <w:rsid w:val="00535B11"/>
    <w:rsid w:val="00535EC4"/>
    <w:rsid w:val="00535ED9"/>
    <w:rsid w:val="005366DC"/>
    <w:rsid w:val="0053692B"/>
    <w:rsid w:val="00537961"/>
    <w:rsid w:val="00540D84"/>
    <w:rsid w:val="0054121B"/>
    <w:rsid w:val="00541528"/>
    <w:rsid w:val="00541853"/>
    <w:rsid w:val="00543BDA"/>
    <w:rsid w:val="005441CC"/>
    <w:rsid w:val="00545522"/>
    <w:rsid w:val="00546630"/>
    <w:rsid w:val="0054678E"/>
    <w:rsid w:val="005477B5"/>
    <w:rsid w:val="005479DA"/>
    <w:rsid w:val="00547BCC"/>
    <w:rsid w:val="0055013B"/>
    <w:rsid w:val="00551236"/>
    <w:rsid w:val="00551F6F"/>
    <w:rsid w:val="00553E06"/>
    <w:rsid w:val="00554D7F"/>
    <w:rsid w:val="00555044"/>
    <w:rsid w:val="0055518D"/>
    <w:rsid w:val="0055539D"/>
    <w:rsid w:val="00555A51"/>
    <w:rsid w:val="00556821"/>
    <w:rsid w:val="00560957"/>
    <w:rsid w:val="00560A79"/>
    <w:rsid w:val="00561475"/>
    <w:rsid w:val="00562308"/>
    <w:rsid w:val="0056487B"/>
    <w:rsid w:val="00564FB9"/>
    <w:rsid w:val="00570C4B"/>
    <w:rsid w:val="00573D9E"/>
    <w:rsid w:val="005801E3"/>
    <w:rsid w:val="00581802"/>
    <w:rsid w:val="00582A09"/>
    <w:rsid w:val="00582FB5"/>
    <w:rsid w:val="00583123"/>
    <w:rsid w:val="005836A8"/>
    <w:rsid w:val="0058409C"/>
    <w:rsid w:val="00584262"/>
    <w:rsid w:val="00586630"/>
    <w:rsid w:val="00586721"/>
    <w:rsid w:val="00587ADD"/>
    <w:rsid w:val="00590F65"/>
    <w:rsid w:val="005911A4"/>
    <w:rsid w:val="00592A9B"/>
    <w:rsid w:val="0059374B"/>
    <w:rsid w:val="00593A49"/>
    <w:rsid w:val="00595D80"/>
    <w:rsid w:val="00596160"/>
    <w:rsid w:val="005966E2"/>
    <w:rsid w:val="00597007"/>
    <w:rsid w:val="005976B7"/>
    <w:rsid w:val="00597F79"/>
    <w:rsid w:val="005A0966"/>
    <w:rsid w:val="005A11B7"/>
    <w:rsid w:val="005A18E2"/>
    <w:rsid w:val="005A260B"/>
    <w:rsid w:val="005A3ECA"/>
    <w:rsid w:val="005A445B"/>
    <w:rsid w:val="005A4A1B"/>
    <w:rsid w:val="005A4EF9"/>
    <w:rsid w:val="005A53FE"/>
    <w:rsid w:val="005A6B57"/>
    <w:rsid w:val="005A747C"/>
    <w:rsid w:val="005A7830"/>
    <w:rsid w:val="005A7C23"/>
    <w:rsid w:val="005A7FCE"/>
    <w:rsid w:val="005B0ECC"/>
    <w:rsid w:val="005B0F3F"/>
    <w:rsid w:val="005B191C"/>
    <w:rsid w:val="005B310B"/>
    <w:rsid w:val="005B4903"/>
    <w:rsid w:val="005B51CE"/>
    <w:rsid w:val="005B57CF"/>
    <w:rsid w:val="005B5885"/>
    <w:rsid w:val="005B5CD7"/>
    <w:rsid w:val="005B6CF6"/>
    <w:rsid w:val="005B7221"/>
    <w:rsid w:val="005B7422"/>
    <w:rsid w:val="005C0175"/>
    <w:rsid w:val="005C29B8"/>
    <w:rsid w:val="005C55D7"/>
    <w:rsid w:val="005C5F21"/>
    <w:rsid w:val="005C7156"/>
    <w:rsid w:val="005D0C75"/>
    <w:rsid w:val="005D12F6"/>
    <w:rsid w:val="005D314D"/>
    <w:rsid w:val="005D4171"/>
    <w:rsid w:val="005D6A95"/>
    <w:rsid w:val="005D6B2C"/>
    <w:rsid w:val="005D6D9C"/>
    <w:rsid w:val="005D7D29"/>
    <w:rsid w:val="005E0ACD"/>
    <w:rsid w:val="005E0FAC"/>
    <w:rsid w:val="005E2335"/>
    <w:rsid w:val="005E34CA"/>
    <w:rsid w:val="005E3B78"/>
    <w:rsid w:val="005E3C18"/>
    <w:rsid w:val="005E4250"/>
    <w:rsid w:val="005E65DF"/>
    <w:rsid w:val="005E6812"/>
    <w:rsid w:val="005E7881"/>
    <w:rsid w:val="005E78E0"/>
    <w:rsid w:val="005E7E14"/>
    <w:rsid w:val="005F02C7"/>
    <w:rsid w:val="005F0D9C"/>
    <w:rsid w:val="005F0F65"/>
    <w:rsid w:val="005F22D2"/>
    <w:rsid w:val="005F284E"/>
    <w:rsid w:val="005F4783"/>
    <w:rsid w:val="005F4A29"/>
    <w:rsid w:val="005F5764"/>
    <w:rsid w:val="006015CE"/>
    <w:rsid w:val="006042F6"/>
    <w:rsid w:val="00604784"/>
    <w:rsid w:val="00606419"/>
    <w:rsid w:val="00606926"/>
    <w:rsid w:val="00607D29"/>
    <w:rsid w:val="00610287"/>
    <w:rsid w:val="00612952"/>
    <w:rsid w:val="00614CC1"/>
    <w:rsid w:val="00615A9D"/>
    <w:rsid w:val="00617387"/>
    <w:rsid w:val="006205D6"/>
    <w:rsid w:val="00621C8C"/>
    <w:rsid w:val="0062372D"/>
    <w:rsid w:val="006252D8"/>
    <w:rsid w:val="006259BC"/>
    <w:rsid w:val="0062636B"/>
    <w:rsid w:val="00631D24"/>
    <w:rsid w:val="00632182"/>
    <w:rsid w:val="00632AE0"/>
    <w:rsid w:val="00633C17"/>
    <w:rsid w:val="00634D9E"/>
    <w:rsid w:val="006361B3"/>
    <w:rsid w:val="00636E3E"/>
    <w:rsid w:val="006379F7"/>
    <w:rsid w:val="00637E4D"/>
    <w:rsid w:val="00640620"/>
    <w:rsid w:val="00641A1F"/>
    <w:rsid w:val="006427DE"/>
    <w:rsid w:val="0064310A"/>
    <w:rsid w:val="00643929"/>
    <w:rsid w:val="00644D77"/>
    <w:rsid w:val="00645904"/>
    <w:rsid w:val="006519AB"/>
    <w:rsid w:val="00651ACB"/>
    <w:rsid w:val="00651C47"/>
    <w:rsid w:val="00652AB2"/>
    <w:rsid w:val="00653FED"/>
    <w:rsid w:val="00654EC0"/>
    <w:rsid w:val="0065525B"/>
    <w:rsid w:val="00655D4F"/>
    <w:rsid w:val="00656D29"/>
    <w:rsid w:val="006602CA"/>
    <w:rsid w:val="00662D6A"/>
    <w:rsid w:val="006640E5"/>
    <w:rsid w:val="006646F1"/>
    <w:rsid w:val="00664929"/>
    <w:rsid w:val="00664F62"/>
    <w:rsid w:val="006655E1"/>
    <w:rsid w:val="00671BA0"/>
    <w:rsid w:val="00672060"/>
    <w:rsid w:val="00672BFD"/>
    <w:rsid w:val="006761F4"/>
    <w:rsid w:val="006770F4"/>
    <w:rsid w:val="00677A84"/>
    <w:rsid w:val="0068026D"/>
    <w:rsid w:val="00680721"/>
    <w:rsid w:val="00680A27"/>
    <w:rsid w:val="006816A4"/>
    <w:rsid w:val="006819B8"/>
    <w:rsid w:val="006828CF"/>
    <w:rsid w:val="0068338A"/>
    <w:rsid w:val="00683581"/>
    <w:rsid w:val="006840A6"/>
    <w:rsid w:val="00684DE2"/>
    <w:rsid w:val="006850CD"/>
    <w:rsid w:val="00685AAB"/>
    <w:rsid w:val="006864CD"/>
    <w:rsid w:val="0068715A"/>
    <w:rsid w:val="0069263D"/>
    <w:rsid w:val="00693962"/>
    <w:rsid w:val="00694669"/>
    <w:rsid w:val="006A0106"/>
    <w:rsid w:val="006A06C4"/>
    <w:rsid w:val="006A07AA"/>
    <w:rsid w:val="006A25E5"/>
    <w:rsid w:val="006A2B46"/>
    <w:rsid w:val="006A2DCA"/>
    <w:rsid w:val="006A336D"/>
    <w:rsid w:val="006A37B9"/>
    <w:rsid w:val="006A3C12"/>
    <w:rsid w:val="006A3D02"/>
    <w:rsid w:val="006A4566"/>
    <w:rsid w:val="006A4D56"/>
    <w:rsid w:val="006A593D"/>
    <w:rsid w:val="006A5D2C"/>
    <w:rsid w:val="006A5D4A"/>
    <w:rsid w:val="006A739D"/>
    <w:rsid w:val="006B0B99"/>
    <w:rsid w:val="006B0C2C"/>
    <w:rsid w:val="006B0E7B"/>
    <w:rsid w:val="006B2672"/>
    <w:rsid w:val="006B2EA6"/>
    <w:rsid w:val="006B54BF"/>
    <w:rsid w:val="006B5C06"/>
    <w:rsid w:val="006B5F44"/>
    <w:rsid w:val="006B5F90"/>
    <w:rsid w:val="006B62E4"/>
    <w:rsid w:val="006C1BBA"/>
    <w:rsid w:val="006C2079"/>
    <w:rsid w:val="006C5A62"/>
    <w:rsid w:val="006C5D68"/>
    <w:rsid w:val="006C6976"/>
    <w:rsid w:val="006C6DD0"/>
    <w:rsid w:val="006D04EA"/>
    <w:rsid w:val="006D16C4"/>
    <w:rsid w:val="006D1D14"/>
    <w:rsid w:val="006D3169"/>
    <w:rsid w:val="006D3501"/>
    <w:rsid w:val="006D3E96"/>
    <w:rsid w:val="006D4515"/>
    <w:rsid w:val="006D4BB1"/>
    <w:rsid w:val="006D5D6E"/>
    <w:rsid w:val="006D6593"/>
    <w:rsid w:val="006D7E97"/>
    <w:rsid w:val="006E2263"/>
    <w:rsid w:val="006E2D6D"/>
    <w:rsid w:val="006E67E6"/>
    <w:rsid w:val="006F03A8"/>
    <w:rsid w:val="006F094F"/>
    <w:rsid w:val="006F0C4F"/>
    <w:rsid w:val="006F113B"/>
    <w:rsid w:val="006F1751"/>
    <w:rsid w:val="006F2ACA"/>
    <w:rsid w:val="006F2ADC"/>
    <w:rsid w:val="006F2BFE"/>
    <w:rsid w:val="006F31E9"/>
    <w:rsid w:val="006F43E3"/>
    <w:rsid w:val="006F6284"/>
    <w:rsid w:val="006F6C33"/>
    <w:rsid w:val="006F722E"/>
    <w:rsid w:val="007002C5"/>
    <w:rsid w:val="00700A58"/>
    <w:rsid w:val="00701789"/>
    <w:rsid w:val="00702862"/>
    <w:rsid w:val="007038D1"/>
    <w:rsid w:val="00704387"/>
    <w:rsid w:val="00704844"/>
    <w:rsid w:val="007059AF"/>
    <w:rsid w:val="00707669"/>
    <w:rsid w:val="00707D4D"/>
    <w:rsid w:val="00711026"/>
    <w:rsid w:val="00711CBA"/>
    <w:rsid w:val="00711FB5"/>
    <w:rsid w:val="00712322"/>
    <w:rsid w:val="00712A01"/>
    <w:rsid w:val="00714F58"/>
    <w:rsid w:val="007214B1"/>
    <w:rsid w:val="00722B1B"/>
    <w:rsid w:val="00722FBF"/>
    <w:rsid w:val="00722FC2"/>
    <w:rsid w:val="00723CB3"/>
    <w:rsid w:val="007248A2"/>
    <w:rsid w:val="00724E1B"/>
    <w:rsid w:val="00725153"/>
    <w:rsid w:val="00725949"/>
    <w:rsid w:val="00726E99"/>
    <w:rsid w:val="00727FA2"/>
    <w:rsid w:val="007322D9"/>
    <w:rsid w:val="00732BC0"/>
    <w:rsid w:val="007333B4"/>
    <w:rsid w:val="007366E5"/>
    <w:rsid w:val="0073720F"/>
    <w:rsid w:val="00737796"/>
    <w:rsid w:val="0073798D"/>
    <w:rsid w:val="0074165C"/>
    <w:rsid w:val="00742452"/>
    <w:rsid w:val="00742C35"/>
    <w:rsid w:val="007432CA"/>
    <w:rsid w:val="007439EB"/>
    <w:rsid w:val="00743CB4"/>
    <w:rsid w:val="00743F0A"/>
    <w:rsid w:val="007444E8"/>
    <w:rsid w:val="0074548E"/>
    <w:rsid w:val="00745773"/>
    <w:rsid w:val="00746800"/>
    <w:rsid w:val="00746A04"/>
    <w:rsid w:val="007501A8"/>
    <w:rsid w:val="007501BA"/>
    <w:rsid w:val="00750D61"/>
    <w:rsid w:val="00750EE1"/>
    <w:rsid w:val="00752B4D"/>
    <w:rsid w:val="00753A5E"/>
    <w:rsid w:val="00754219"/>
    <w:rsid w:val="00755402"/>
    <w:rsid w:val="00756209"/>
    <w:rsid w:val="00756528"/>
    <w:rsid w:val="00756A3A"/>
    <w:rsid w:val="00756B26"/>
    <w:rsid w:val="00756EDF"/>
    <w:rsid w:val="00757FB1"/>
    <w:rsid w:val="007600E3"/>
    <w:rsid w:val="00760F74"/>
    <w:rsid w:val="00761C20"/>
    <w:rsid w:val="00765C43"/>
    <w:rsid w:val="00765EFB"/>
    <w:rsid w:val="007668A1"/>
    <w:rsid w:val="007671CA"/>
    <w:rsid w:val="007677C3"/>
    <w:rsid w:val="00767C61"/>
    <w:rsid w:val="0077008A"/>
    <w:rsid w:val="00771497"/>
    <w:rsid w:val="007731C8"/>
    <w:rsid w:val="007738AE"/>
    <w:rsid w:val="00773C1F"/>
    <w:rsid w:val="0077447E"/>
    <w:rsid w:val="00774DA4"/>
    <w:rsid w:val="00776113"/>
    <w:rsid w:val="00776599"/>
    <w:rsid w:val="007770CF"/>
    <w:rsid w:val="00780ECB"/>
    <w:rsid w:val="0078114B"/>
    <w:rsid w:val="00781DD2"/>
    <w:rsid w:val="007831E8"/>
    <w:rsid w:val="00783985"/>
    <w:rsid w:val="00783ECF"/>
    <w:rsid w:val="0078413A"/>
    <w:rsid w:val="0078688B"/>
    <w:rsid w:val="00786CEA"/>
    <w:rsid w:val="00787381"/>
    <w:rsid w:val="00787E6A"/>
    <w:rsid w:val="007915AC"/>
    <w:rsid w:val="00792861"/>
    <w:rsid w:val="00793091"/>
    <w:rsid w:val="00795014"/>
    <w:rsid w:val="007959E8"/>
    <w:rsid w:val="00795E9C"/>
    <w:rsid w:val="00795F52"/>
    <w:rsid w:val="007966DF"/>
    <w:rsid w:val="007A0521"/>
    <w:rsid w:val="007A12C1"/>
    <w:rsid w:val="007A2E12"/>
    <w:rsid w:val="007A3475"/>
    <w:rsid w:val="007A41C8"/>
    <w:rsid w:val="007A42EE"/>
    <w:rsid w:val="007A4CB4"/>
    <w:rsid w:val="007A54CE"/>
    <w:rsid w:val="007A5D3A"/>
    <w:rsid w:val="007A60B3"/>
    <w:rsid w:val="007A6671"/>
    <w:rsid w:val="007A6FD9"/>
    <w:rsid w:val="007A7FFA"/>
    <w:rsid w:val="007B002C"/>
    <w:rsid w:val="007B04EB"/>
    <w:rsid w:val="007B0D4F"/>
    <w:rsid w:val="007B1BC9"/>
    <w:rsid w:val="007B2397"/>
    <w:rsid w:val="007B40E7"/>
    <w:rsid w:val="007B50D1"/>
    <w:rsid w:val="007B5A3D"/>
    <w:rsid w:val="007B5B95"/>
    <w:rsid w:val="007B6032"/>
    <w:rsid w:val="007B68EA"/>
    <w:rsid w:val="007B7453"/>
    <w:rsid w:val="007B74DB"/>
    <w:rsid w:val="007B7C37"/>
    <w:rsid w:val="007C2D89"/>
    <w:rsid w:val="007C2F52"/>
    <w:rsid w:val="007C309C"/>
    <w:rsid w:val="007C4593"/>
    <w:rsid w:val="007C5309"/>
    <w:rsid w:val="007C6069"/>
    <w:rsid w:val="007C6328"/>
    <w:rsid w:val="007C72EE"/>
    <w:rsid w:val="007D06C4"/>
    <w:rsid w:val="007D1352"/>
    <w:rsid w:val="007D2508"/>
    <w:rsid w:val="007D343B"/>
    <w:rsid w:val="007D346A"/>
    <w:rsid w:val="007D3B42"/>
    <w:rsid w:val="007D3FE8"/>
    <w:rsid w:val="007D41A2"/>
    <w:rsid w:val="007D6518"/>
    <w:rsid w:val="007D70C2"/>
    <w:rsid w:val="007D76BD"/>
    <w:rsid w:val="007E0064"/>
    <w:rsid w:val="007E0BF1"/>
    <w:rsid w:val="007E4E94"/>
    <w:rsid w:val="007E6184"/>
    <w:rsid w:val="007E6D28"/>
    <w:rsid w:val="007E7448"/>
    <w:rsid w:val="007F011A"/>
    <w:rsid w:val="007F0ED8"/>
    <w:rsid w:val="007F0F63"/>
    <w:rsid w:val="007F5448"/>
    <w:rsid w:val="007F6E68"/>
    <w:rsid w:val="007F75CE"/>
    <w:rsid w:val="007F7C30"/>
    <w:rsid w:val="007F7D12"/>
    <w:rsid w:val="008013A4"/>
    <w:rsid w:val="00801CEB"/>
    <w:rsid w:val="00801F1E"/>
    <w:rsid w:val="00802715"/>
    <w:rsid w:val="008027CE"/>
    <w:rsid w:val="00802AA4"/>
    <w:rsid w:val="00802AAE"/>
    <w:rsid w:val="00802F42"/>
    <w:rsid w:val="00804383"/>
    <w:rsid w:val="00804BB7"/>
    <w:rsid w:val="00804D41"/>
    <w:rsid w:val="00807399"/>
    <w:rsid w:val="00810257"/>
    <w:rsid w:val="008104F5"/>
    <w:rsid w:val="00811072"/>
    <w:rsid w:val="00811369"/>
    <w:rsid w:val="00811CA6"/>
    <w:rsid w:val="00812222"/>
    <w:rsid w:val="00812F56"/>
    <w:rsid w:val="00815419"/>
    <w:rsid w:val="008163C8"/>
    <w:rsid w:val="008164A1"/>
    <w:rsid w:val="00817325"/>
    <w:rsid w:val="00817CAC"/>
    <w:rsid w:val="00820963"/>
    <w:rsid w:val="008209E6"/>
    <w:rsid w:val="00820D3C"/>
    <w:rsid w:val="00820F53"/>
    <w:rsid w:val="00821D19"/>
    <w:rsid w:val="00822BED"/>
    <w:rsid w:val="00823303"/>
    <w:rsid w:val="008233B2"/>
    <w:rsid w:val="00823A9F"/>
    <w:rsid w:val="00823C85"/>
    <w:rsid w:val="00824557"/>
    <w:rsid w:val="00825138"/>
    <w:rsid w:val="008269DD"/>
    <w:rsid w:val="00830621"/>
    <w:rsid w:val="008326D3"/>
    <w:rsid w:val="0083348C"/>
    <w:rsid w:val="00834461"/>
    <w:rsid w:val="00835590"/>
    <w:rsid w:val="008373D3"/>
    <w:rsid w:val="008376F5"/>
    <w:rsid w:val="00840617"/>
    <w:rsid w:val="0084069D"/>
    <w:rsid w:val="00840F84"/>
    <w:rsid w:val="0084120E"/>
    <w:rsid w:val="00842880"/>
    <w:rsid w:val="00842A47"/>
    <w:rsid w:val="00843C13"/>
    <w:rsid w:val="00843DEF"/>
    <w:rsid w:val="008452C5"/>
    <w:rsid w:val="008454F8"/>
    <w:rsid w:val="00847D32"/>
    <w:rsid w:val="00850ADC"/>
    <w:rsid w:val="0085173A"/>
    <w:rsid w:val="00851D06"/>
    <w:rsid w:val="00853C56"/>
    <w:rsid w:val="00853E06"/>
    <w:rsid w:val="00856C47"/>
    <w:rsid w:val="008603CE"/>
    <w:rsid w:val="008620FC"/>
    <w:rsid w:val="008627A5"/>
    <w:rsid w:val="00863176"/>
    <w:rsid w:val="0086362F"/>
    <w:rsid w:val="00863E05"/>
    <w:rsid w:val="00865ACA"/>
    <w:rsid w:val="00865D28"/>
    <w:rsid w:val="00865F85"/>
    <w:rsid w:val="00866DCD"/>
    <w:rsid w:val="00867271"/>
    <w:rsid w:val="008677B8"/>
    <w:rsid w:val="00867C10"/>
    <w:rsid w:val="00867E68"/>
    <w:rsid w:val="00870439"/>
    <w:rsid w:val="00870DA1"/>
    <w:rsid w:val="00871A44"/>
    <w:rsid w:val="008770F6"/>
    <w:rsid w:val="00883F93"/>
    <w:rsid w:val="00884DB3"/>
    <w:rsid w:val="00884FEB"/>
    <w:rsid w:val="00885A9D"/>
    <w:rsid w:val="008864F6"/>
    <w:rsid w:val="00886E16"/>
    <w:rsid w:val="0089049D"/>
    <w:rsid w:val="00890B90"/>
    <w:rsid w:val="00891286"/>
    <w:rsid w:val="008928C9"/>
    <w:rsid w:val="008930CB"/>
    <w:rsid w:val="008938DC"/>
    <w:rsid w:val="00893FD1"/>
    <w:rsid w:val="00894052"/>
    <w:rsid w:val="00894836"/>
    <w:rsid w:val="00895172"/>
    <w:rsid w:val="0089532E"/>
    <w:rsid w:val="00895680"/>
    <w:rsid w:val="00896DFF"/>
    <w:rsid w:val="0089762C"/>
    <w:rsid w:val="008A173B"/>
    <w:rsid w:val="008A1893"/>
    <w:rsid w:val="008A2B2A"/>
    <w:rsid w:val="008A2BC5"/>
    <w:rsid w:val="008A2CAE"/>
    <w:rsid w:val="008A3331"/>
    <w:rsid w:val="008A43F8"/>
    <w:rsid w:val="008A4761"/>
    <w:rsid w:val="008A4B87"/>
    <w:rsid w:val="008A57E6"/>
    <w:rsid w:val="008A6970"/>
    <w:rsid w:val="008A6E39"/>
    <w:rsid w:val="008A6F81"/>
    <w:rsid w:val="008A769A"/>
    <w:rsid w:val="008A7F20"/>
    <w:rsid w:val="008B0C9C"/>
    <w:rsid w:val="008B166D"/>
    <w:rsid w:val="008B17F4"/>
    <w:rsid w:val="008B1F0C"/>
    <w:rsid w:val="008B30FD"/>
    <w:rsid w:val="008B3615"/>
    <w:rsid w:val="008B4AC4"/>
    <w:rsid w:val="008B50C8"/>
    <w:rsid w:val="008B5281"/>
    <w:rsid w:val="008B69EE"/>
    <w:rsid w:val="008B6D70"/>
    <w:rsid w:val="008B7A8B"/>
    <w:rsid w:val="008B7E05"/>
    <w:rsid w:val="008C1797"/>
    <w:rsid w:val="008C1874"/>
    <w:rsid w:val="008C219C"/>
    <w:rsid w:val="008C27E4"/>
    <w:rsid w:val="008C2D07"/>
    <w:rsid w:val="008C475E"/>
    <w:rsid w:val="008C6050"/>
    <w:rsid w:val="008C619A"/>
    <w:rsid w:val="008C72C6"/>
    <w:rsid w:val="008D0CE8"/>
    <w:rsid w:val="008D1BF7"/>
    <w:rsid w:val="008D2D1D"/>
    <w:rsid w:val="008D4498"/>
    <w:rsid w:val="008D453D"/>
    <w:rsid w:val="008D4A18"/>
    <w:rsid w:val="008D53AD"/>
    <w:rsid w:val="008D562B"/>
    <w:rsid w:val="008D5733"/>
    <w:rsid w:val="008D60D6"/>
    <w:rsid w:val="008D622B"/>
    <w:rsid w:val="008D666C"/>
    <w:rsid w:val="008D7B54"/>
    <w:rsid w:val="008D7DC4"/>
    <w:rsid w:val="008E0C9D"/>
    <w:rsid w:val="008E1415"/>
    <w:rsid w:val="008E1648"/>
    <w:rsid w:val="008E1B3E"/>
    <w:rsid w:val="008E228D"/>
    <w:rsid w:val="008E2319"/>
    <w:rsid w:val="008E2535"/>
    <w:rsid w:val="008E28C7"/>
    <w:rsid w:val="008E4BB6"/>
    <w:rsid w:val="008E5518"/>
    <w:rsid w:val="008E5AEC"/>
    <w:rsid w:val="008E6A84"/>
    <w:rsid w:val="008E7E56"/>
    <w:rsid w:val="008F0CDC"/>
    <w:rsid w:val="008F17A3"/>
    <w:rsid w:val="008F1ED3"/>
    <w:rsid w:val="008F3FE9"/>
    <w:rsid w:val="008F4C29"/>
    <w:rsid w:val="008F5A81"/>
    <w:rsid w:val="008F5EB8"/>
    <w:rsid w:val="008F5F59"/>
    <w:rsid w:val="008F6FDB"/>
    <w:rsid w:val="008F70BD"/>
    <w:rsid w:val="008F788F"/>
    <w:rsid w:val="008F7EA2"/>
    <w:rsid w:val="00900D79"/>
    <w:rsid w:val="00901015"/>
    <w:rsid w:val="00902722"/>
    <w:rsid w:val="009027BC"/>
    <w:rsid w:val="00905BAB"/>
    <w:rsid w:val="009062E6"/>
    <w:rsid w:val="0090675C"/>
    <w:rsid w:val="0091091E"/>
    <w:rsid w:val="00911BE5"/>
    <w:rsid w:val="00913291"/>
    <w:rsid w:val="00913CA9"/>
    <w:rsid w:val="00914552"/>
    <w:rsid w:val="009145AE"/>
    <w:rsid w:val="009146CE"/>
    <w:rsid w:val="00914CA7"/>
    <w:rsid w:val="00915C3E"/>
    <w:rsid w:val="009161A8"/>
    <w:rsid w:val="00922133"/>
    <w:rsid w:val="00922CAC"/>
    <w:rsid w:val="0092384E"/>
    <w:rsid w:val="009245AE"/>
    <w:rsid w:val="009245F5"/>
    <w:rsid w:val="009249EC"/>
    <w:rsid w:val="009273B3"/>
    <w:rsid w:val="009305B5"/>
    <w:rsid w:val="00930B2A"/>
    <w:rsid w:val="0093331F"/>
    <w:rsid w:val="00933DD2"/>
    <w:rsid w:val="009341B9"/>
    <w:rsid w:val="009378DD"/>
    <w:rsid w:val="00941933"/>
    <w:rsid w:val="00942262"/>
    <w:rsid w:val="009429D5"/>
    <w:rsid w:val="00942BF1"/>
    <w:rsid w:val="00943BA8"/>
    <w:rsid w:val="00945180"/>
    <w:rsid w:val="00945276"/>
    <w:rsid w:val="00945428"/>
    <w:rsid w:val="0094607B"/>
    <w:rsid w:val="00947350"/>
    <w:rsid w:val="00951BC0"/>
    <w:rsid w:val="009524C0"/>
    <w:rsid w:val="00953604"/>
    <w:rsid w:val="0095496B"/>
    <w:rsid w:val="00954F38"/>
    <w:rsid w:val="00956DB7"/>
    <w:rsid w:val="0095737C"/>
    <w:rsid w:val="00960F1E"/>
    <w:rsid w:val="009610DC"/>
    <w:rsid w:val="00961490"/>
    <w:rsid w:val="00961C01"/>
    <w:rsid w:val="0096381A"/>
    <w:rsid w:val="00964974"/>
    <w:rsid w:val="00965E04"/>
    <w:rsid w:val="00966A88"/>
    <w:rsid w:val="009674AD"/>
    <w:rsid w:val="00970CDC"/>
    <w:rsid w:val="00973CDF"/>
    <w:rsid w:val="00975727"/>
    <w:rsid w:val="00977010"/>
    <w:rsid w:val="00977553"/>
    <w:rsid w:val="00977D02"/>
    <w:rsid w:val="00977FF9"/>
    <w:rsid w:val="009800BC"/>
    <w:rsid w:val="00980645"/>
    <w:rsid w:val="009809BB"/>
    <w:rsid w:val="0098340C"/>
    <w:rsid w:val="0098364B"/>
    <w:rsid w:val="0098448F"/>
    <w:rsid w:val="0098523F"/>
    <w:rsid w:val="00986135"/>
    <w:rsid w:val="00986843"/>
    <w:rsid w:val="00990789"/>
    <w:rsid w:val="009908A3"/>
    <w:rsid w:val="009911AF"/>
    <w:rsid w:val="00991875"/>
    <w:rsid w:val="00991A2C"/>
    <w:rsid w:val="00991F92"/>
    <w:rsid w:val="0099280B"/>
    <w:rsid w:val="00992985"/>
    <w:rsid w:val="00993889"/>
    <w:rsid w:val="0099551B"/>
    <w:rsid w:val="00995BE2"/>
    <w:rsid w:val="00996BD2"/>
    <w:rsid w:val="00997BF1"/>
    <w:rsid w:val="009A089C"/>
    <w:rsid w:val="009A118E"/>
    <w:rsid w:val="009A21CD"/>
    <w:rsid w:val="009A278C"/>
    <w:rsid w:val="009A2BC2"/>
    <w:rsid w:val="009A42C1"/>
    <w:rsid w:val="009A53A9"/>
    <w:rsid w:val="009A5429"/>
    <w:rsid w:val="009A553E"/>
    <w:rsid w:val="009A59BD"/>
    <w:rsid w:val="009A5B5C"/>
    <w:rsid w:val="009A6EFB"/>
    <w:rsid w:val="009A6FDB"/>
    <w:rsid w:val="009A72AD"/>
    <w:rsid w:val="009B09E0"/>
    <w:rsid w:val="009B0BC5"/>
    <w:rsid w:val="009B106B"/>
    <w:rsid w:val="009B1247"/>
    <w:rsid w:val="009B5826"/>
    <w:rsid w:val="009B6029"/>
    <w:rsid w:val="009B6971"/>
    <w:rsid w:val="009B730B"/>
    <w:rsid w:val="009C0A83"/>
    <w:rsid w:val="009C27F1"/>
    <w:rsid w:val="009C3152"/>
    <w:rsid w:val="009C321A"/>
    <w:rsid w:val="009C3257"/>
    <w:rsid w:val="009C3A96"/>
    <w:rsid w:val="009C3C23"/>
    <w:rsid w:val="009C3F35"/>
    <w:rsid w:val="009C44B3"/>
    <w:rsid w:val="009C4CFA"/>
    <w:rsid w:val="009C5070"/>
    <w:rsid w:val="009C652B"/>
    <w:rsid w:val="009D112C"/>
    <w:rsid w:val="009D1385"/>
    <w:rsid w:val="009D189B"/>
    <w:rsid w:val="009D1E42"/>
    <w:rsid w:val="009D3FFE"/>
    <w:rsid w:val="009D47FA"/>
    <w:rsid w:val="009D4C5B"/>
    <w:rsid w:val="009D4D7B"/>
    <w:rsid w:val="009D50D2"/>
    <w:rsid w:val="009D5E0A"/>
    <w:rsid w:val="009D6BCA"/>
    <w:rsid w:val="009E0F62"/>
    <w:rsid w:val="009E45BE"/>
    <w:rsid w:val="009E4A58"/>
    <w:rsid w:val="009E4C13"/>
    <w:rsid w:val="009E5384"/>
    <w:rsid w:val="009E5995"/>
    <w:rsid w:val="009E5A2D"/>
    <w:rsid w:val="009E5AB2"/>
    <w:rsid w:val="009E6219"/>
    <w:rsid w:val="009F03B3"/>
    <w:rsid w:val="009F5728"/>
    <w:rsid w:val="009F71D1"/>
    <w:rsid w:val="009F7FF4"/>
    <w:rsid w:val="00A0096C"/>
    <w:rsid w:val="00A01757"/>
    <w:rsid w:val="00A028C0"/>
    <w:rsid w:val="00A02BAE"/>
    <w:rsid w:val="00A03E75"/>
    <w:rsid w:val="00A04EC8"/>
    <w:rsid w:val="00A057EE"/>
    <w:rsid w:val="00A06A6B"/>
    <w:rsid w:val="00A06F7B"/>
    <w:rsid w:val="00A07470"/>
    <w:rsid w:val="00A07E47"/>
    <w:rsid w:val="00A129D0"/>
    <w:rsid w:val="00A12C33"/>
    <w:rsid w:val="00A138BA"/>
    <w:rsid w:val="00A13E40"/>
    <w:rsid w:val="00A13FEE"/>
    <w:rsid w:val="00A14C8E"/>
    <w:rsid w:val="00A153D9"/>
    <w:rsid w:val="00A15C90"/>
    <w:rsid w:val="00A15F09"/>
    <w:rsid w:val="00A169B6"/>
    <w:rsid w:val="00A173D2"/>
    <w:rsid w:val="00A17A0A"/>
    <w:rsid w:val="00A20572"/>
    <w:rsid w:val="00A210E4"/>
    <w:rsid w:val="00A21BA8"/>
    <w:rsid w:val="00A2271D"/>
    <w:rsid w:val="00A237D5"/>
    <w:rsid w:val="00A23ACA"/>
    <w:rsid w:val="00A23BC9"/>
    <w:rsid w:val="00A242DF"/>
    <w:rsid w:val="00A24814"/>
    <w:rsid w:val="00A2541E"/>
    <w:rsid w:val="00A27DAF"/>
    <w:rsid w:val="00A3053C"/>
    <w:rsid w:val="00A30EFC"/>
    <w:rsid w:val="00A31941"/>
    <w:rsid w:val="00A31984"/>
    <w:rsid w:val="00A323BE"/>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F9E"/>
    <w:rsid w:val="00A53450"/>
    <w:rsid w:val="00A53E85"/>
    <w:rsid w:val="00A54024"/>
    <w:rsid w:val="00A55BD6"/>
    <w:rsid w:val="00A55D50"/>
    <w:rsid w:val="00A57142"/>
    <w:rsid w:val="00A621AC"/>
    <w:rsid w:val="00A648CD"/>
    <w:rsid w:val="00A6537A"/>
    <w:rsid w:val="00A67866"/>
    <w:rsid w:val="00A67E45"/>
    <w:rsid w:val="00A7051E"/>
    <w:rsid w:val="00A70B07"/>
    <w:rsid w:val="00A723F8"/>
    <w:rsid w:val="00A7387A"/>
    <w:rsid w:val="00A74D53"/>
    <w:rsid w:val="00A77CCB"/>
    <w:rsid w:val="00A80FF1"/>
    <w:rsid w:val="00A835D0"/>
    <w:rsid w:val="00A83D8D"/>
    <w:rsid w:val="00A8446B"/>
    <w:rsid w:val="00A8473F"/>
    <w:rsid w:val="00A847CE"/>
    <w:rsid w:val="00A85E84"/>
    <w:rsid w:val="00A862D6"/>
    <w:rsid w:val="00A8715E"/>
    <w:rsid w:val="00A9295B"/>
    <w:rsid w:val="00A92E97"/>
    <w:rsid w:val="00A93B09"/>
    <w:rsid w:val="00A943A5"/>
    <w:rsid w:val="00A9500C"/>
    <w:rsid w:val="00A95221"/>
    <w:rsid w:val="00A952D7"/>
    <w:rsid w:val="00A963F7"/>
    <w:rsid w:val="00A96AD8"/>
    <w:rsid w:val="00A96F5A"/>
    <w:rsid w:val="00AA052C"/>
    <w:rsid w:val="00AA1C49"/>
    <w:rsid w:val="00AA1E45"/>
    <w:rsid w:val="00AA26B9"/>
    <w:rsid w:val="00AA317D"/>
    <w:rsid w:val="00AA4286"/>
    <w:rsid w:val="00AA456B"/>
    <w:rsid w:val="00AA57F5"/>
    <w:rsid w:val="00AA5EC7"/>
    <w:rsid w:val="00AA672E"/>
    <w:rsid w:val="00AA6893"/>
    <w:rsid w:val="00AA6EC9"/>
    <w:rsid w:val="00AA7677"/>
    <w:rsid w:val="00AB0438"/>
    <w:rsid w:val="00AB0D53"/>
    <w:rsid w:val="00AB1183"/>
    <w:rsid w:val="00AB6309"/>
    <w:rsid w:val="00AB6C5F"/>
    <w:rsid w:val="00AB6F5D"/>
    <w:rsid w:val="00AB7129"/>
    <w:rsid w:val="00AB736F"/>
    <w:rsid w:val="00AB7535"/>
    <w:rsid w:val="00AC02DB"/>
    <w:rsid w:val="00AC27A6"/>
    <w:rsid w:val="00AC30F7"/>
    <w:rsid w:val="00AC34DD"/>
    <w:rsid w:val="00AC364F"/>
    <w:rsid w:val="00AC3A5A"/>
    <w:rsid w:val="00AC4D95"/>
    <w:rsid w:val="00AC50A2"/>
    <w:rsid w:val="00AC5D7C"/>
    <w:rsid w:val="00AC5DF4"/>
    <w:rsid w:val="00AC5EC8"/>
    <w:rsid w:val="00AC6526"/>
    <w:rsid w:val="00AC703E"/>
    <w:rsid w:val="00AD0AEF"/>
    <w:rsid w:val="00AD11B7"/>
    <w:rsid w:val="00AD1A94"/>
    <w:rsid w:val="00AD1C05"/>
    <w:rsid w:val="00AD2A2D"/>
    <w:rsid w:val="00AD2F1F"/>
    <w:rsid w:val="00AD36A4"/>
    <w:rsid w:val="00AD4126"/>
    <w:rsid w:val="00AD421C"/>
    <w:rsid w:val="00AD44FA"/>
    <w:rsid w:val="00AD585B"/>
    <w:rsid w:val="00AD6306"/>
    <w:rsid w:val="00AD72E7"/>
    <w:rsid w:val="00AD7A20"/>
    <w:rsid w:val="00AE070A"/>
    <w:rsid w:val="00AE0935"/>
    <w:rsid w:val="00AE0CC4"/>
    <w:rsid w:val="00AE101C"/>
    <w:rsid w:val="00AE2A69"/>
    <w:rsid w:val="00AE37E5"/>
    <w:rsid w:val="00AE4E61"/>
    <w:rsid w:val="00AE5EB4"/>
    <w:rsid w:val="00AF0218"/>
    <w:rsid w:val="00AF0C18"/>
    <w:rsid w:val="00AF1B49"/>
    <w:rsid w:val="00AF30D8"/>
    <w:rsid w:val="00AF3904"/>
    <w:rsid w:val="00AF47C5"/>
    <w:rsid w:val="00AF49BB"/>
    <w:rsid w:val="00AF4D7A"/>
    <w:rsid w:val="00AF5398"/>
    <w:rsid w:val="00B02F51"/>
    <w:rsid w:val="00B049AF"/>
    <w:rsid w:val="00B052AA"/>
    <w:rsid w:val="00B0595E"/>
    <w:rsid w:val="00B07242"/>
    <w:rsid w:val="00B10534"/>
    <w:rsid w:val="00B113DB"/>
    <w:rsid w:val="00B11D8A"/>
    <w:rsid w:val="00B12981"/>
    <w:rsid w:val="00B1451D"/>
    <w:rsid w:val="00B147DD"/>
    <w:rsid w:val="00B14CCE"/>
    <w:rsid w:val="00B156FD"/>
    <w:rsid w:val="00B16727"/>
    <w:rsid w:val="00B169CB"/>
    <w:rsid w:val="00B17341"/>
    <w:rsid w:val="00B20A9B"/>
    <w:rsid w:val="00B216F4"/>
    <w:rsid w:val="00B21F61"/>
    <w:rsid w:val="00B23B91"/>
    <w:rsid w:val="00B23F0B"/>
    <w:rsid w:val="00B25973"/>
    <w:rsid w:val="00B261F1"/>
    <w:rsid w:val="00B2626C"/>
    <w:rsid w:val="00B2654E"/>
    <w:rsid w:val="00B265BC"/>
    <w:rsid w:val="00B267C6"/>
    <w:rsid w:val="00B3085E"/>
    <w:rsid w:val="00B30B90"/>
    <w:rsid w:val="00B31FB1"/>
    <w:rsid w:val="00B33952"/>
    <w:rsid w:val="00B33C5E"/>
    <w:rsid w:val="00B342F4"/>
    <w:rsid w:val="00B34369"/>
    <w:rsid w:val="00B34DBA"/>
    <w:rsid w:val="00B34DC2"/>
    <w:rsid w:val="00B35CE8"/>
    <w:rsid w:val="00B36841"/>
    <w:rsid w:val="00B378E5"/>
    <w:rsid w:val="00B42116"/>
    <w:rsid w:val="00B4346D"/>
    <w:rsid w:val="00B440F4"/>
    <w:rsid w:val="00B447A5"/>
    <w:rsid w:val="00B4585F"/>
    <w:rsid w:val="00B4654C"/>
    <w:rsid w:val="00B4668E"/>
    <w:rsid w:val="00B47293"/>
    <w:rsid w:val="00B50E50"/>
    <w:rsid w:val="00B516FA"/>
    <w:rsid w:val="00B52120"/>
    <w:rsid w:val="00B526DD"/>
    <w:rsid w:val="00B5271B"/>
    <w:rsid w:val="00B53BCF"/>
    <w:rsid w:val="00B53C2E"/>
    <w:rsid w:val="00B53F43"/>
    <w:rsid w:val="00B54447"/>
    <w:rsid w:val="00B546D8"/>
    <w:rsid w:val="00B54AA7"/>
    <w:rsid w:val="00B54ABC"/>
    <w:rsid w:val="00B552AB"/>
    <w:rsid w:val="00B5602E"/>
    <w:rsid w:val="00B56FBE"/>
    <w:rsid w:val="00B607F4"/>
    <w:rsid w:val="00B60ACF"/>
    <w:rsid w:val="00B60F25"/>
    <w:rsid w:val="00B614A2"/>
    <w:rsid w:val="00B62B58"/>
    <w:rsid w:val="00B63617"/>
    <w:rsid w:val="00B65149"/>
    <w:rsid w:val="00B66567"/>
    <w:rsid w:val="00B66E2B"/>
    <w:rsid w:val="00B66F52"/>
    <w:rsid w:val="00B66FE5"/>
    <w:rsid w:val="00B72880"/>
    <w:rsid w:val="00B743CB"/>
    <w:rsid w:val="00B74720"/>
    <w:rsid w:val="00B758BF"/>
    <w:rsid w:val="00B77EC8"/>
    <w:rsid w:val="00B803A6"/>
    <w:rsid w:val="00B80872"/>
    <w:rsid w:val="00B81AE0"/>
    <w:rsid w:val="00B827A6"/>
    <w:rsid w:val="00B831CE"/>
    <w:rsid w:val="00B8329E"/>
    <w:rsid w:val="00B85687"/>
    <w:rsid w:val="00B86496"/>
    <w:rsid w:val="00B864E7"/>
    <w:rsid w:val="00B86677"/>
    <w:rsid w:val="00B87131"/>
    <w:rsid w:val="00B87FB5"/>
    <w:rsid w:val="00B90088"/>
    <w:rsid w:val="00B90D06"/>
    <w:rsid w:val="00B92453"/>
    <w:rsid w:val="00B939B1"/>
    <w:rsid w:val="00B94055"/>
    <w:rsid w:val="00B95204"/>
    <w:rsid w:val="00B96D40"/>
    <w:rsid w:val="00B97386"/>
    <w:rsid w:val="00BA108B"/>
    <w:rsid w:val="00BA1623"/>
    <w:rsid w:val="00BA263B"/>
    <w:rsid w:val="00BA2C2E"/>
    <w:rsid w:val="00BA42B2"/>
    <w:rsid w:val="00BA58D4"/>
    <w:rsid w:val="00BA5A11"/>
    <w:rsid w:val="00BA5B9E"/>
    <w:rsid w:val="00BA5EAF"/>
    <w:rsid w:val="00BA624D"/>
    <w:rsid w:val="00BA7C9A"/>
    <w:rsid w:val="00BB4F7D"/>
    <w:rsid w:val="00BB5A33"/>
    <w:rsid w:val="00BB5F8F"/>
    <w:rsid w:val="00BB657A"/>
    <w:rsid w:val="00BB728E"/>
    <w:rsid w:val="00BC075E"/>
    <w:rsid w:val="00BC0F36"/>
    <w:rsid w:val="00BC19F2"/>
    <w:rsid w:val="00BC1A4E"/>
    <w:rsid w:val="00BC2FE9"/>
    <w:rsid w:val="00BC40A0"/>
    <w:rsid w:val="00BC4874"/>
    <w:rsid w:val="00BC4A0B"/>
    <w:rsid w:val="00BC5DC7"/>
    <w:rsid w:val="00BC6B8B"/>
    <w:rsid w:val="00BC73D8"/>
    <w:rsid w:val="00BD0AE0"/>
    <w:rsid w:val="00BD3ADC"/>
    <w:rsid w:val="00BD52D7"/>
    <w:rsid w:val="00BD5AC7"/>
    <w:rsid w:val="00BD5AD2"/>
    <w:rsid w:val="00BD5F0A"/>
    <w:rsid w:val="00BD6D49"/>
    <w:rsid w:val="00BE010E"/>
    <w:rsid w:val="00BE1BE2"/>
    <w:rsid w:val="00BE1D81"/>
    <w:rsid w:val="00BE22F3"/>
    <w:rsid w:val="00BE3C8A"/>
    <w:rsid w:val="00BE5B52"/>
    <w:rsid w:val="00BE7B8D"/>
    <w:rsid w:val="00BF0993"/>
    <w:rsid w:val="00BF10A9"/>
    <w:rsid w:val="00BF11F2"/>
    <w:rsid w:val="00BF1703"/>
    <w:rsid w:val="00BF231C"/>
    <w:rsid w:val="00BF29FD"/>
    <w:rsid w:val="00BF2C43"/>
    <w:rsid w:val="00BF51E5"/>
    <w:rsid w:val="00BF74A6"/>
    <w:rsid w:val="00C00135"/>
    <w:rsid w:val="00C0132B"/>
    <w:rsid w:val="00C013AD"/>
    <w:rsid w:val="00C04835"/>
    <w:rsid w:val="00C04904"/>
    <w:rsid w:val="00C04FC0"/>
    <w:rsid w:val="00C056B3"/>
    <w:rsid w:val="00C06479"/>
    <w:rsid w:val="00C1020C"/>
    <w:rsid w:val="00C103E5"/>
    <w:rsid w:val="00C106CE"/>
    <w:rsid w:val="00C130F6"/>
    <w:rsid w:val="00C13319"/>
    <w:rsid w:val="00C13ABC"/>
    <w:rsid w:val="00C13EE9"/>
    <w:rsid w:val="00C143B0"/>
    <w:rsid w:val="00C14638"/>
    <w:rsid w:val="00C1568D"/>
    <w:rsid w:val="00C21540"/>
    <w:rsid w:val="00C21906"/>
    <w:rsid w:val="00C21BFA"/>
    <w:rsid w:val="00C22067"/>
    <w:rsid w:val="00C24C8D"/>
    <w:rsid w:val="00C25436"/>
    <w:rsid w:val="00C25FE2"/>
    <w:rsid w:val="00C26B53"/>
    <w:rsid w:val="00C26F6E"/>
    <w:rsid w:val="00C26FAE"/>
    <w:rsid w:val="00C279B2"/>
    <w:rsid w:val="00C33D9F"/>
    <w:rsid w:val="00C33E50"/>
    <w:rsid w:val="00C34C20"/>
    <w:rsid w:val="00C35A3E"/>
    <w:rsid w:val="00C3668C"/>
    <w:rsid w:val="00C36F77"/>
    <w:rsid w:val="00C40AE6"/>
    <w:rsid w:val="00C42130"/>
    <w:rsid w:val="00C423A4"/>
    <w:rsid w:val="00C423E3"/>
    <w:rsid w:val="00C44BF5"/>
    <w:rsid w:val="00C47028"/>
    <w:rsid w:val="00C47594"/>
    <w:rsid w:val="00C47745"/>
    <w:rsid w:val="00C47A14"/>
    <w:rsid w:val="00C47A40"/>
    <w:rsid w:val="00C51F55"/>
    <w:rsid w:val="00C521D6"/>
    <w:rsid w:val="00C52B19"/>
    <w:rsid w:val="00C53E0C"/>
    <w:rsid w:val="00C5448D"/>
    <w:rsid w:val="00C55232"/>
    <w:rsid w:val="00C553A4"/>
    <w:rsid w:val="00C55A06"/>
    <w:rsid w:val="00C55D03"/>
    <w:rsid w:val="00C57AAC"/>
    <w:rsid w:val="00C601BC"/>
    <w:rsid w:val="00C6329F"/>
    <w:rsid w:val="00C63340"/>
    <w:rsid w:val="00C63ED6"/>
    <w:rsid w:val="00C643F9"/>
    <w:rsid w:val="00C64E95"/>
    <w:rsid w:val="00C65387"/>
    <w:rsid w:val="00C65D9A"/>
    <w:rsid w:val="00C6614E"/>
    <w:rsid w:val="00C66FBE"/>
    <w:rsid w:val="00C66FFE"/>
    <w:rsid w:val="00C67AD2"/>
    <w:rsid w:val="00C70BF7"/>
    <w:rsid w:val="00C71372"/>
    <w:rsid w:val="00C72410"/>
    <w:rsid w:val="00C7287F"/>
    <w:rsid w:val="00C72A30"/>
    <w:rsid w:val="00C72B84"/>
    <w:rsid w:val="00C749A7"/>
    <w:rsid w:val="00C768BD"/>
    <w:rsid w:val="00C76F92"/>
    <w:rsid w:val="00C80644"/>
    <w:rsid w:val="00C80CB8"/>
    <w:rsid w:val="00C819B7"/>
    <w:rsid w:val="00C819F8"/>
    <w:rsid w:val="00C8248C"/>
    <w:rsid w:val="00C8325D"/>
    <w:rsid w:val="00C8418F"/>
    <w:rsid w:val="00C84E33"/>
    <w:rsid w:val="00C85097"/>
    <w:rsid w:val="00C86D6F"/>
    <w:rsid w:val="00C905FC"/>
    <w:rsid w:val="00C91593"/>
    <w:rsid w:val="00C92D03"/>
    <w:rsid w:val="00C9319C"/>
    <w:rsid w:val="00C94183"/>
    <w:rsid w:val="00C9435D"/>
    <w:rsid w:val="00C946A2"/>
    <w:rsid w:val="00C94DF2"/>
    <w:rsid w:val="00C9622E"/>
    <w:rsid w:val="00C96741"/>
    <w:rsid w:val="00C97D48"/>
    <w:rsid w:val="00CA0993"/>
    <w:rsid w:val="00CA0BFA"/>
    <w:rsid w:val="00CA2D1B"/>
    <w:rsid w:val="00CA32C7"/>
    <w:rsid w:val="00CA375D"/>
    <w:rsid w:val="00CA4128"/>
    <w:rsid w:val="00CA5B04"/>
    <w:rsid w:val="00CA5C50"/>
    <w:rsid w:val="00CA662A"/>
    <w:rsid w:val="00CA7AFD"/>
    <w:rsid w:val="00CA7C3C"/>
    <w:rsid w:val="00CA7DDA"/>
    <w:rsid w:val="00CB002B"/>
    <w:rsid w:val="00CB0189"/>
    <w:rsid w:val="00CB02D7"/>
    <w:rsid w:val="00CB03D9"/>
    <w:rsid w:val="00CB0BA2"/>
    <w:rsid w:val="00CB1A42"/>
    <w:rsid w:val="00CB1B0C"/>
    <w:rsid w:val="00CB1B77"/>
    <w:rsid w:val="00CB2C0B"/>
    <w:rsid w:val="00CB4220"/>
    <w:rsid w:val="00CB517D"/>
    <w:rsid w:val="00CB5C46"/>
    <w:rsid w:val="00CB67E9"/>
    <w:rsid w:val="00CB7CF6"/>
    <w:rsid w:val="00CC038D"/>
    <w:rsid w:val="00CC08DB"/>
    <w:rsid w:val="00CC15FD"/>
    <w:rsid w:val="00CC1B26"/>
    <w:rsid w:val="00CC33C6"/>
    <w:rsid w:val="00CC39FF"/>
    <w:rsid w:val="00CC3C2F"/>
    <w:rsid w:val="00CC42C6"/>
    <w:rsid w:val="00CC4AC8"/>
    <w:rsid w:val="00CC4EC4"/>
    <w:rsid w:val="00CC5233"/>
    <w:rsid w:val="00CC5DE6"/>
    <w:rsid w:val="00CC601F"/>
    <w:rsid w:val="00CC6E4E"/>
    <w:rsid w:val="00CC6FE8"/>
    <w:rsid w:val="00CC7202"/>
    <w:rsid w:val="00CD2808"/>
    <w:rsid w:val="00CD28BF"/>
    <w:rsid w:val="00CD2F66"/>
    <w:rsid w:val="00CD4092"/>
    <w:rsid w:val="00CD4A20"/>
    <w:rsid w:val="00CD50A1"/>
    <w:rsid w:val="00CD519E"/>
    <w:rsid w:val="00CD55B0"/>
    <w:rsid w:val="00CE0C4F"/>
    <w:rsid w:val="00CE1446"/>
    <w:rsid w:val="00CE30EA"/>
    <w:rsid w:val="00CE312A"/>
    <w:rsid w:val="00CE5596"/>
    <w:rsid w:val="00CE58EF"/>
    <w:rsid w:val="00CE67F9"/>
    <w:rsid w:val="00CF048A"/>
    <w:rsid w:val="00CF0D8C"/>
    <w:rsid w:val="00CF0F72"/>
    <w:rsid w:val="00CF155A"/>
    <w:rsid w:val="00CF1BFB"/>
    <w:rsid w:val="00CF2947"/>
    <w:rsid w:val="00CF524D"/>
    <w:rsid w:val="00CF686F"/>
    <w:rsid w:val="00CF6E60"/>
    <w:rsid w:val="00CF737C"/>
    <w:rsid w:val="00CF7BCA"/>
    <w:rsid w:val="00D008FD"/>
    <w:rsid w:val="00D0122C"/>
    <w:rsid w:val="00D031E7"/>
    <w:rsid w:val="00D0321C"/>
    <w:rsid w:val="00D03245"/>
    <w:rsid w:val="00D035EC"/>
    <w:rsid w:val="00D0427E"/>
    <w:rsid w:val="00D04D02"/>
    <w:rsid w:val="00D06143"/>
    <w:rsid w:val="00D06AB1"/>
    <w:rsid w:val="00D06FC1"/>
    <w:rsid w:val="00D072ED"/>
    <w:rsid w:val="00D07A16"/>
    <w:rsid w:val="00D07A4E"/>
    <w:rsid w:val="00D1067E"/>
    <w:rsid w:val="00D10F50"/>
    <w:rsid w:val="00D11272"/>
    <w:rsid w:val="00D126F5"/>
    <w:rsid w:val="00D13D87"/>
    <w:rsid w:val="00D1489E"/>
    <w:rsid w:val="00D17F94"/>
    <w:rsid w:val="00D20737"/>
    <w:rsid w:val="00D21E81"/>
    <w:rsid w:val="00D22304"/>
    <w:rsid w:val="00D223DE"/>
    <w:rsid w:val="00D25E37"/>
    <w:rsid w:val="00D2661A"/>
    <w:rsid w:val="00D27582"/>
    <w:rsid w:val="00D27EC4"/>
    <w:rsid w:val="00D305A0"/>
    <w:rsid w:val="00D3184D"/>
    <w:rsid w:val="00D32719"/>
    <w:rsid w:val="00D33333"/>
    <w:rsid w:val="00D352A2"/>
    <w:rsid w:val="00D35ACA"/>
    <w:rsid w:val="00D400E2"/>
    <w:rsid w:val="00D4162B"/>
    <w:rsid w:val="00D4197C"/>
    <w:rsid w:val="00D43B02"/>
    <w:rsid w:val="00D4514F"/>
    <w:rsid w:val="00D451E2"/>
    <w:rsid w:val="00D453B5"/>
    <w:rsid w:val="00D45E89"/>
    <w:rsid w:val="00D45E8D"/>
    <w:rsid w:val="00D466AE"/>
    <w:rsid w:val="00D4734F"/>
    <w:rsid w:val="00D4735E"/>
    <w:rsid w:val="00D500BD"/>
    <w:rsid w:val="00D513DC"/>
    <w:rsid w:val="00D51BF3"/>
    <w:rsid w:val="00D530FF"/>
    <w:rsid w:val="00D549D3"/>
    <w:rsid w:val="00D5787E"/>
    <w:rsid w:val="00D6240B"/>
    <w:rsid w:val="00D62E75"/>
    <w:rsid w:val="00D64597"/>
    <w:rsid w:val="00D64CA7"/>
    <w:rsid w:val="00D66846"/>
    <w:rsid w:val="00D66AD0"/>
    <w:rsid w:val="00D675FB"/>
    <w:rsid w:val="00D71D87"/>
    <w:rsid w:val="00D71F25"/>
    <w:rsid w:val="00D72916"/>
    <w:rsid w:val="00D72A9C"/>
    <w:rsid w:val="00D73E6F"/>
    <w:rsid w:val="00D748FA"/>
    <w:rsid w:val="00D754F0"/>
    <w:rsid w:val="00D769AE"/>
    <w:rsid w:val="00D76F94"/>
    <w:rsid w:val="00D77031"/>
    <w:rsid w:val="00D77BE2"/>
    <w:rsid w:val="00D77CFA"/>
    <w:rsid w:val="00D8059C"/>
    <w:rsid w:val="00D8463F"/>
    <w:rsid w:val="00D84941"/>
    <w:rsid w:val="00D84FA1"/>
    <w:rsid w:val="00D851F0"/>
    <w:rsid w:val="00D8610B"/>
    <w:rsid w:val="00D865D3"/>
    <w:rsid w:val="00D86BC5"/>
    <w:rsid w:val="00D86DB7"/>
    <w:rsid w:val="00D87BF5"/>
    <w:rsid w:val="00D90721"/>
    <w:rsid w:val="00D9081F"/>
    <w:rsid w:val="00D91AA0"/>
    <w:rsid w:val="00D926D0"/>
    <w:rsid w:val="00D92E18"/>
    <w:rsid w:val="00D92F3E"/>
    <w:rsid w:val="00D93030"/>
    <w:rsid w:val="00D94232"/>
    <w:rsid w:val="00D950E1"/>
    <w:rsid w:val="00D952A6"/>
    <w:rsid w:val="00D97F99"/>
    <w:rsid w:val="00DA1E08"/>
    <w:rsid w:val="00DA24EA"/>
    <w:rsid w:val="00DA24F8"/>
    <w:rsid w:val="00DA28E8"/>
    <w:rsid w:val="00DA2A5F"/>
    <w:rsid w:val="00DA2FA1"/>
    <w:rsid w:val="00DA38D3"/>
    <w:rsid w:val="00DA3932"/>
    <w:rsid w:val="00DA3AFC"/>
    <w:rsid w:val="00DA64F8"/>
    <w:rsid w:val="00DA6529"/>
    <w:rsid w:val="00DA6C07"/>
    <w:rsid w:val="00DA6C15"/>
    <w:rsid w:val="00DB0258"/>
    <w:rsid w:val="00DB3619"/>
    <w:rsid w:val="00DB38EE"/>
    <w:rsid w:val="00DB3BA5"/>
    <w:rsid w:val="00DB42EC"/>
    <w:rsid w:val="00DB498B"/>
    <w:rsid w:val="00DB66CA"/>
    <w:rsid w:val="00DB6BCA"/>
    <w:rsid w:val="00DB6F54"/>
    <w:rsid w:val="00DB73F7"/>
    <w:rsid w:val="00DC0321"/>
    <w:rsid w:val="00DC3067"/>
    <w:rsid w:val="00DC370B"/>
    <w:rsid w:val="00DC3F66"/>
    <w:rsid w:val="00DC591A"/>
    <w:rsid w:val="00DC5B90"/>
    <w:rsid w:val="00DD00FF"/>
    <w:rsid w:val="00DD0619"/>
    <w:rsid w:val="00DD07FB"/>
    <w:rsid w:val="00DD25C6"/>
    <w:rsid w:val="00DD3D55"/>
    <w:rsid w:val="00DD3EB8"/>
    <w:rsid w:val="00DD4FE5"/>
    <w:rsid w:val="00DD54B0"/>
    <w:rsid w:val="00DD57EE"/>
    <w:rsid w:val="00DD61A4"/>
    <w:rsid w:val="00DD6BCC"/>
    <w:rsid w:val="00DD6F42"/>
    <w:rsid w:val="00DE054E"/>
    <w:rsid w:val="00DE0A4B"/>
    <w:rsid w:val="00DE2410"/>
    <w:rsid w:val="00DE2939"/>
    <w:rsid w:val="00DE462D"/>
    <w:rsid w:val="00DE5812"/>
    <w:rsid w:val="00DE6E81"/>
    <w:rsid w:val="00DE703F"/>
    <w:rsid w:val="00DE7595"/>
    <w:rsid w:val="00DF1961"/>
    <w:rsid w:val="00DF2A8A"/>
    <w:rsid w:val="00DF4221"/>
    <w:rsid w:val="00DF44DE"/>
    <w:rsid w:val="00DF45CA"/>
    <w:rsid w:val="00DF59A3"/>
    <w:rsid w:val="00DF5A85"/>
    <w:rsid w:val="00DF77F9"/>
    <w:rsid w:val="00E00207"/>
    <w:rsid w:val="00E00E4C"/>
    <w:rsid w:val="00E01138"/>
    <w:rsid w:val="00E0130D"/>
    <w:rsid w:val="00E023E3"/>
    <w:rsid w:val="00E02DFB"/>
    <w:rsid w:val="00E030F9"/>
    <w:rsid w:val="00E0311A"/>
    <w:rsid w:val="00E03138"/>
    <w:rsid w:val="00E0451D"/>
    <w:rsid w:val="00E06404"/>
    <w:rsid w:val="00E072C2"/>
    <w:rsid w:val="00E11A85"/>
    <w:rsid w:val="00E12495"/>
    <w:rsid w:val="00E129A8"/>
    <w:rsid w:val="00E13897"/>
    <w:rsid w:val="00E151CF"/>
    <w:rsid w:val="00E15947"/>
    <w:rsid w:val="00E15CCD"/>
    <w:rsid w:val="00E17893"/>
    <w:rsid w:val="00E202EF"/>
    <w:rsid w:val="00E210B5"/>
    <w:rsid w:val="00E21812"/>
    <w:rsid w:val="00E2355F"/>
    <w:rsid w:val="00E23FFA"/>
    <w:rsid w:val="00E24AB4"/>
    <w:rsid w:val="00E2552F"/>
    <w:rsid w:val="00E26BB1"/>
    <w:rsid w:val="00E27130"/>
    <w:rsid w:val="00E3137A"/>
    <w:rsid w:val="00E32047"/>
    <w:rsid w:val="00E320E1"/>
    <w:rsid w:val="00E32CCF"/>
    <w:rsid w:val="00E34A98"/>
    <w:rsid w:val="00E35D1E"/>
    <w:rsid w:val="00E364F9"/>
    <w:rsid w:val="00E365FA"/>
    <w:rsid w:val="00E36789"/>
    <w:rsid w:val="00E44A83"/>
    <w:rsid w:val="00E45352"/>
    <w:rsid w:val="00E471AA"/>
    <w:rsid w:val="00E50144"/>
    <w:rsid w:val="00E502C1"/>
    <w:rsid w:val="00E502DD"/>
    <w:rsid w:val="00E5068C"/>
    <w:rsid w:val="00E50ABE"/>
    <w:rsid w:val="00E50D3A"/>
    <w:rsid w:val="00E51387"/>
    <w:rsid w:val="00E51E68"/>
    <w:rsid w:val="00E522A7"/>
    <w:rsid w:val="00E52EFD"/>
    <w:rsid w:val="00E53FB2"/>
    <w:rsid w:val="00E5408A"/>
    <w:rsid w:val="00E564AF"/>
    <w:rsid w:val="00E56800"/>
    <w:rsid w:val="00E60C63"/>
    <w:rsid w:val="00E62FF9"/>
    <w:rsid w:val="00E635D6"/>
    <w:rsid w:val="00E639BC"/>
    <w:rsid w:val="00E664CC"/>
    <w:rsid w:val="00E70388"/>
    <w:rsid w:val="00E70D26"/>
    <w:rsid w:val="00E70F92"/>
    <w:rsid w:val="00E728E2"/>
    <w:rsid w:val="00E74252"/>
    <w:rsid w:val="00E74313"/>
    <w:rsid w:val="00E74C54"/>
    <w:rsid w:val="00E74D14"/>
    <w:rsid w:val="00E757D9"/>
    <w:rsid w:val="00E77A03"/>
    <w:rsid w:val="00E822E8"/>
    <w:rsid w:val="00E82554"/>
    <w:rsid w:val="00E82606"/>
    <w:rsid w:val="00E831C1"/>
    <w:rsid w:val="00E846C8"/>
    <w:rsid w:val="00E84957"/>
    <w:rsid w:val="00E84A55"/>
    <w:rsid w:val="00E84BFF"/>
    <w:rsid w:val="00E85BFF"/>
    <w:rsid w:val="00E86628"/>
    <w:rsid w:val="00E86F1E"/>
    <w:rsid w:val="00E87897"/>
    <w:rsid w:val="00E87AA1"/>
    <w:rsid w:val="00E90217"/>
    <w:rsid w:val="00E90391"/>
    <w:rsid w:val="00E906C2"/>
    <w:rsid w:val="00E9311F"/>
    <w:rsid w:val="00E934D1"/>
    <w:rsid w:val="00E93AE9"/>
    <w:rsid w:val="00E9493B"/>
    <w:rsid w:val="00E94AF0"/>
    <w:rsid w:val="00E95D13"/>
    <w:rsid w:val="00E95DD3"/>
    <w:rsid w:val="00E969D5"/>
    <w:rsid w:val="00EA1FBE"/>
    <w:rsid w:val="00EA451E"/>
    <w:rsid w:val="00EA48A1"/>
    <w:rsid w:val="00EA4C1E"/>
    <w:rsid w:val="00EA51EB"/>
    <w:rsid w:val="00EA58D1"/>
    <w:rsid w:val="00EA61BC"/>
    <w:rsid w:val="00EA681A"/>
    <w:rsid w:val="00EA735B"/>
    <w:rsid w:val="00EB12DC"/>
    <w:rsid w:val="00EB1E69"/>
    <w:rsid w:val="00EB2086"/>
    <w:rsid w:val="00EB31ED"/>
    <w:rsid w:val="00EB327C"/>
    <w:rsid w:val="00EB3E98"/>
    <w:rsid w:val="00EB5EDF"/>
    <w:rsid w:val="00EB60FE"/>
    <w:rsid w:val="00EB74DB"/>
    <w:rsid w:val="00EB7AD1"/>
    <w:rsid w:val="00EC1870"/>
    <w:rsid w:val="00EC5359"/>
    <w:rsid w:val="00EC562A"/>
    <w:rsid w:val="00EC5C4A"/>
    <w:rsid w:val="00EC5FB3"/>
    <w:rsid w:val="00EC7499"/>
    <w:rsid w:val="00EC7BAB"/>
    <w:rsid w:val="00ED067A"/>
    <w:rsid w:val="00ED2B50"/>
    <w:rsid w:val="00ED305E"/>
    <w:rsid w:val="00ED307E"/>
    <w:rsid w:val="00ED7078"/>
    <w:rsid w:val="00EE0350"/>
    <w:rsid w:val="00EE0719"/>
    <w:rsid w:val="00EE0E80"/>
    <w:rsid w:val="00EE265D"/>
    <w:rsid w:val="00EE3CDE"/>
    <w:rsid w:val="00EE56C7"/>
    <w:rsid w:val="00EE613F"/>
    <w:rsid w:val="00EE7295"/>
    <w:rsid w:val="00EE7869"/>
    <w:rsid w:val="00EF054A"/>
    <w:rsid w:val="00EF0D37"/>
    <w:rsid w:val="00EF1E88"/>
    <w:rsid w:val="00EF3235"/>
    <w:rsid w:val="00EF71EE"/>
    <w:rsid w:val="00EF7E72"/>
    <w:rsid w:val="00F0370F"/>
    <w:rsid w:val="00F03FFC"/>
    <w:rsid w:val="00F05BEA"/>
    <w:rsid w:val="00F06D37"/>
    <w:rsid w:val="00F07B9D"/>
    <w:rsid w:val="00F07F2C"/>
    <w:rsid w:val="00F11586"/>
    <w:rsid w:val="00F1183B"/>
    <w:rsid w:val="00F11A68"/>
    <w:rsid w:val="00F11C9F"/>
    <w:rsid w:val="00F12263"/>
    <w:rsid w:val="00F1409D"/>
    <w:rsid w:val="00F14214"/>
    <w:rsid w:val="00F157A9"/>
    <w:rsid w:val="00F16F00"/>
    <w:rsid w:val="00F200EB"/>
    <w:rsid w:val="00F213D9"/>
    <w:rsid w:val="00F22EBB"/>
    <w:rsid w:val="00F25BB6"/>
    <w:rsid w:val="00F26B7E"/>
    <w:rsid w:val="00F27A3B"/>
    <w:rsid w:val="00F309CA"/>
    <w:rsid w:val="00F31156"/>
    <w:rsid w:val="00F32780"/>
    <w:rsid w:val="00F33817"/>
    <w:rsid w:val="00F34CB5"/>
    <w:rsid w:val="00F3594B"/>
    <w:rsid w:val="00F403C7"/>
    <w:rsid w:val="00F41349"/>
    <w:rsid w:val="00F417D1"/>
    <w:rsid w:val="00F41BF4"/>
    <w:rsid w:val="00F420B5"/>
    <w:rsid w:val="00F420D5"/>
    <w:rsid w:val="00F430E3"/>
    <w:rsid w:val="00F451EA"/>
    <w:rsid w:val="00F45447"/>
    <w:rsid w:val="00F456C6"/>
    <w:rsid w:val="00F4577B"/>
    <w:rsid w:val="00F45B80"/>
    <w:rsid w:val="00F46233"/>
    <w:rsid w:val="00F46496"/>
    <w:rsid w:val="00F474D0"/>
    <w:rsid w:val="00F50179"/>
    <w:rsid w:val="00F50DD8"/>
    <w:rsid w:val="00F515EE"/>
    <w:rsid w:val="00F52A8F"/>
    <w:rsid w:val="00F52DF6"/>
    <w:rsid w:val="00F538A5"/>
    <w:rsid w:val="00F56511"/>
    <w:rsid w:val="00F6194E"/>
    <w:rsid w:val="00F61CA1"/>
    <w:rsid w:val="00F623AC"/>
    <w:rsid w:val="00F6412A"/>
    <w:rsid w:val="00F652A3"/>
    <w:rsid w:val="00F65893"/>
    <w:rsid w:val="00F66A4A"/>
    <w:rsid w:val="00F66C6E"/>
    <w:rsid w:val="00F67326"/>
    <w:rsid w:val="00F67922"/>
    <w:rsid w:val="00F7055A"/>
    <w:rsid w:val="00F71E22"/>
    <w:rsid w:val="00F72142"/>
    <w:rsid w:val="00F724EC"/>
    <w:rsid w:val="00F72AE7"/>
    <w:rsid w:val="00F73B59"/>
    <w:rsid w:val="00F73E99"/>
    <w:rsid w:val="00F75270"/>
    <w:rsid w:val="00F754F1"/>
    <w:rsid w:val="00F833BA"/>
    <w:rsid w:val="00F84FD0"/>
    <w:rsid w:val="00F859A8"/>
    <w:rsid w:val="00F86D87"/>
    <w:rsid w:val="00F87BE5"/>
    <w:rsid w:val="00F902F6"/>
    <w:rsid w:val="00F904CE"/>
    <w:rsid w:val="00F9108B"/>
    <w:rsid w:val="00F91349"/>
    <w:rsid w:val="00F92286"/>
    <w:rsid w:val="00F93A8A"/>
    <w:rsid w:val="00F93CAC"/>
    <w:rsid w:val="00F93FAE"/>
    <w:rsid w:val="00F95248"/>
    <w:rsid w:val="00F956A9"/>
    <w:rsid w:val="00F959CD"/>
    <w:rsid w:val="00F963ED"/>
    <w:rsid w:val="00F966CF"/>
    <w:rsid w:val="00F96CAE"/>
    <w:rsid w:val="00F96F5F"/>
    <w:rsid w:val="00F97C99"/>
    <w:rsid w:val="00FA662D"/>
    <w:rsid w:val="00FA6945"/>
    <w:rsid w:val="00FA73B1"/>
    <w:rsid w:val="00FA7E65"/>
    <w:rsid w:val="00FB0CB9"/>
    <w:rsid w:val="00FB2064"/>
    <w:rsid w:val="00FB231D"/>
    <w:rsid w:val="00FB335D"/>
    <w:rsid w:val="00FB45F1"/>
    <w:rsid w:val="00FB4A72"/>
    <w:rsid w:val="00FB54C4"/>
    <w:rsid w:val="00FB54E8"/>
    <w:rsid w:val="00FB7054"/>
    <w:rsid w:val="00FC17B7"/>
    <w:rsid w:val="00FC2C00"/>
    <w:rsid w:val="00FC2CB7"/>
    <w:rsid w:val="00FC2FA4"/>
    <w:rsid w:val="00FC35F5"/>
    <w:rsid w:val="00FC3FDC"/>
    <w:rsid w:val="00FC4090"/>
    <w:rsid w:val="00FC4DF9"/>
    <w:rsid w:val="00FC55B4"/>
    <w:rsid w:val="00FC67A8"/>
    <w:rsid w:val="00FD00E6"/>
    <w:rsid w:val="00FD0478"/>
    <w:rsid w:val="00FD09A1"/>
    <w:rsid w:val="00FD175C"/>
    <w:rsid w:val="00FD2A7C"/>
    <w:rsid w:val="00FD59EB"/>
    <w:rsid w:val="00FD7299"/>
    <w:rsid w:val="00FE0C41"/>
    <w:rsid w:val="00FE1FBE"/>
    <w:rsid w:val="00FE2383"/>
    <w:rsid w:val="00FE3901"/>
    <w:rsid w:val="00FE39D3"/>
    <w:rsid w:val="00FE4BCE"/>
    <w:rsid w:val="00FE54AE"/>
    <w:rsid w:val="00FE576A"/>
    <w:rsid w:val="00FE7E79"/>
    <w:rsid w:val="00FF001D"/>
    <w:rsid w:val="00FF06DD"/>
    <w:rsid w:val="00FF11F2"/>
    <w:rsid w:val="00FF30F9"/>
    <w:rsid w:val="00FF3E7D"/>
    <w:rsid w:val="00FF516C"/>
    <w:rsid w:val="00FF5B99"/>
    <w:rsid w:val="00FF5EB5"/>
    <w:rsid w:val="00FF730C"/>
    <w:rsid w:val="00FF73F4"/>
    <w:rsid w:val="00FF7CE4"/>
    <w:rsid w:val="00FF7E39"/>
    <w:rsid w:val="03973F22"/>
    <w:rsid w:val="10CF5DBF"/>
    <w:rsid w:val="17FC5F97"/>
    <w:rsid w:val="204A474C"/>
    <w:rsid w:val="20884B83"/>
    <w:rsid w:val="2402062F"/>
    <w:rsid w:val="2C296A16"/>
    <w:rsid w:val="2C2D294B"/>
    <w:rsid w:val="2DE97DDA"/>
    <w:rsid w:val="37591D2F"/>
    <w:rsid w:val="3A8D62DF"/>
    <w:rsid w:val="47AF6ABF"/>
    <w:rsid w:val="4CA12C97"/>
    <w:rsid w:val="555C7B5A"/>
    <w:rsid w:val="57371CAC"/>
    <w:rsid w:val="59383B07"/>
    <w:rsid w:val="5AD00597"/>
    <w:rsid w:val="66BF597F"/>
    <w:rsid w:val="6A312332"/>
    <w:rsid w:val="6A4B5261"/>
    <w:rsid w:val="6EC60430"/>
    <w:rsid w:val="70652058"/>
    <w:rsid w:val="70C468D5"/>
    <w:rsid w:val="7979149E"/>
    <w:rsid w:val="79C454F9"/>
    <w:rsid w:val="7F8F6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宋体" w:eastAsia="宋体" w:cs="Times New Roman"/>
      <w:b/>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12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ind w:left="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4">
    <w:name w:val="批注文字 字符"/>
    <w:basedOn w:val="30"/>
    <w:link w:val="13"/>
    <w:qFormat/>
    <w:uiPriority w:val="99"/>
    <w:rPr>
      <w:rFonts w:ascii="Calibri" w:hAnsi="Calibri"/>
      <w:kern w:val="2"/>
      <w:sz w:val="21"/>
      <w:szCs w:val="21"/>
    </w:rPr>
  </w:style>
  <w:style w:type="character" w:customStyle="1" w:styleId="235">
    <w:name w:val="批注主题 字符"/>
    <w:basedOn w:val="234"/>
    <w:link w:val="27"/>
    <w:semiHidden/>
    <w:qFormat/>
    <w:uiPriority w:val="99"/>
    <w:rPr>
      <w:rFonts w:ascii="Calibri" w:hAnsi="Calibri"/>
      <w:b/>
      <w:bCs/>
      <w:kern w:val="2"/>
      <w:sz w:val="21"/>
      <w:szCs w:val="21"/>
    </w:rPr>
  </w:style>
  <w:style w:type="paragraph" w:styleId="23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7AD802B8F3949E7ACC9EE809326D477"/>
        <w:style w:val=""/>
        <w:category>
          <w:name w:val="常规"/>
          <w:gallery w:val="placeholder"/>
        </w:category>
        <w:types>
          <w:type w:val="bbPlcHdr"/>
        </w:types>
        <w:behaviors>
          <w:behavior w:val="content"/>
        </w:behaviors>
        <w:description w:val=""/>
        <w:guid w:val="{068B0325-86D6-427A-8516-871F5B5E4788}"/>
      </w:docPartPr>
      <w:docPartBody>
        <w:p w14:paraId="307855C4">
          <w:pPr>
            <w:pStyle w:val="5"/>
            <w:rPr>
              <w:rFonts w:hint="eastAsia"/>
            </w:rPr>
          </w:pPr>
          <w:r>
            <w:rPr>
              <w:rStyle w:val="4"/>
              <w:rFonts w:hint="eastAsia"/>
            </w:rPr>
            <w:t>单击或点击此处输入文字。</w:t>
          </w:r>
        </w:p>
      </w:docPartBody>
    </w:docPart>
    <w:docPart>
      <w:docPartPr>
        <w:name w:val="64EBE43CB4BE4FEF9D02A46926543415"/>
        <w:style w:val=""/>
        <w:category>
          <w:name w:val="常规"/>
          <w:gallery w:val="placeholder"/>
        </w:category>
        <w:types>
          <w:type w:val="bbPlcHdr"/>
        </w:types>
        <w:behaviors>
          <w:behavior w:val="content"/>
        </w:behaviors>
        <w:description w:val=""/>
        <w:guid w:val="{C3DF8465-65C5-4238-B127-B6078F851E5D}"/>
      </w:docPartPr>
      <w:docPartBody>
        <w:p w14:paraId="7F78842D">
          <w:pPr>
            <w:pStyle w:val="6"/>
            <w:rPr>
              <w:rFonts w:hint="eastAsia"/>
            </w:rPr>
          </w:pPr>
          <w:r>
            <w:rPr>
              <w:rStyle w:val="4"/>
              <w:rFonts w:hint="eastAsia"/>
            </w:rPr>
            <w:t>选择一项。</w:t>
          </w:r>
        </w:p>
      </w:docPartBody>
    </w:docPart>
    <w:docPart>
      <w:docPartPr>
        <w:name w:val="338125A0CCD54D32BCF5ED7C6DDAE954"/>
        <w:style w:val=""/>
        <w:category>
          <w:name w:val="常规"/>
          <w:gallery w:val="placeholder"/>
        </w:category>
        <w:types>
          <w:type w:val="bbPlcHdr"/>
        </w:types>
        <w:behaviors>
          <w:behavior w:val="content"/>
        </w:behaviors>
        <w:description w:val=""/>
        <w:guid w:val="{B49659CC-7090-4227-B24D-4E9C55BAFE73}"/>
      </w:docPartPr>
      <w:docPartBody>
        <w:p w14:paraId="41CC634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E73"/>
    <w:rsid w:val="00056F2C"/>
    <w:rsid w:val="00072975"/>
    <w:rsid w:val="000772BD"/>
    <w:rsid w:val="00083549"/>
    <w:rsid w:val="000E053A"/>
    <w:rsid w:val="00114CAA"/>
    <w:rsid w:val="00137575"/>
    <w:rsid w:val="00142DF4"/>
    <w:rsid w:val="001C6C84"/>
    <w:rsid w:val="00222FA3"/>
    <w:rsid w:val="0026071C"/>
    <w:rsid w:val="002B7EC7"/>
    <w:rsid w:val="002E1554"/>
    <w:rsid w:val="00312AE2"/>
    <w:rsid w:val="00360976"/>
    <w:rsid w:val="00365AF7"/>
    <w:rsid w:val="003C1054"/>
    <w:rsid w:val="00420C21"/>
    <w:rsid w:val="00447D56"/>
    <w:rsid w:val="004A3D6D"/>
    <w:rsid w:val="004B0D68"/>
    <w:rsid w:val="004F7580"/>
    <w:rsid w:val="00502D98"/>
    <w:rsid w:val="005112EF"/>
    <w:rsid w:val="00530669"/>
    <w:rsid w:val="0054678E"/>
    <w:rsid w:val="00583123"/>
    <w:rsid w:val="00597F79"/>
    <w:rsid w:val="00601CDE"/>
    <w:rsid w:val="00631998"/>
    <w:rsid w:val="00686DCF"/>
    <w:rsid w:val="006921FA"/>
    <w:rsid w:val="00692E21"/>
    <w:rsid w:val="006D1D14"/>
    <w:rsid w:val="0085500C"/>
    <w:rsid w:val="008D5CEC"/>
    <w:rsid w:val="009002C7"/>
    <w:rsid w:val="0093643C"/>
    <w:rsid w:val="00990789"/>
    <w:rsid w:val="009C0A83"/>
    <w:rsid w:val="00A057EE"/>
    <w:rsid w:val="00A217E8"/>
    <w:rsid w:val="00A21FE4"/>
    <w:rsid w:val="00A37591"/>
    <w:rsid w:val="00A45C0A"/>
    <w:rsid w:val="00AD36A4"/>
    <w:rsid w:val="00B05421"/>
    <w:rsid w:val="00B20510"/>
    <w:rsid w:val="00B207DD"/>
    <w:rsid w:val="00BC2E83"/>
    <w:rsid w:val="00C00E73"/>
    <w:rsid w:val="00C462B7"/>
    <w:rsid w:val="00C6389C"/>
    <w:rsid w:val="00CD6B05"/>
    <w:rsid w:val="00D626BA"/>
    <w:rsid w:val="00E04960"/>
    <w:rsid w:val="00E849A4"/>
    <w:rsid w:val="00E92D25"/>
    <w:rsid w:val="00EE18AD"/>
    <w:rsid w:val="00F417D1"/>
    <w:rsid w:val="00F67326"/>
    <w:rsid w:val="00FD175C"/>
    <w:rsid w:val="00FE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E7AD802B8F3949E7ACC9EE809326D47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4EBE43CB4BE4FEF9D02A4692654341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338125A0CCD54D32BCF5ED7C6DDAE954"/>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04EBB-C7D4-4253-9C2A-88CFE71760B3}">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9</Pages>
  <Words>2773</Words>
  <Characters>3075</Characters>
  <Lines>47</Lines>
  <Paragraphs>13</Paragraphs>
  <TotalTime>1</TotalTime>
  <ScaleCrop>false</ScaleCrop>
  <LinksUpToDate>false</LinksUpToDate>
  <CharactersWithSpaces>3148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2024-07-23T01:31:00Z</dcterms:created>
  <dc:creator>ltm</dc:creator>
  <cp:lastModifiedBy>摇到外婆桥。</cp:lastModifiedBy>
  <cp:lastPrinted>2021-02-02T08:22:00Z</cp:lastPrinted>
  <dcterms:modified xsi:type="dcterms:W3CDTF">2025-09-22T02:44:24Z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89DB468A026F4C028C74A33D02F39401_13</vt:lpwstr>
  </property>
  <property fmtid="{D5CDD505-2E9C-101B-9397-08002B2CF9AE}" pid="16" name="KSOTemplateDocerSaveRecord">
    <vt:lpwstr>eyJoZGlkIjoiODliNmFiM2YyYjE1MjJmZWE2MDQxYWQzMzQxMjFmYTAiLCJ1c2VySWQiOiIzNDQ0Mzc3MjMifQ==</vt:lpwstr>
  </property>
</Properties>
</file>