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BDE7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46552C0">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E249113">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w:t>
            </w:r>
            <w:r>
              <w:rPr>
                <w:rFonts w:hint="eastAsia" w:ascii="黑体" w:hAnsi="黑体" w:eastAsia="黑体"/>
                <w:sz w:val="21"/>
                <w:szCs w:val="21"/>
              </w:rPr>
              <w:t>5</w:t>
            </w:r>
            <w:r>
              <w:rPr>
                <w:rFonts w:ascii="黑体" w:hAnsi="黑体" w:eastAsia="黑体"/>
                <w:sz w:val="21"/>
                <w:szCs w:val="21"/>
              </w:rPr>
              <w:t>.0</w:t>
            </w:r>
            <w:r>
              <w:rPr>
                <w:rFonts w:hint="eastAsia" w:ascii="黑体" w:hAnsi="黑体" w:eastAsia="黑体"/>
                <w:sz w:val="21"/>
                <w:szCs w:val="21"/>
              </w:rPr>
              <w:t>2</w:t>
            </w:r>
            <w:r>
              <w:rPr>
                <w:rFonts w:ascii="黑体" w:hAnsi="黑体" w:eastAsia="黑体"/>
                <w:sz w:val="21"/>
                <w:szCs w:val="21"/>
              </w:rPr>
              <w:t>0</w:t>
            </w:r>
            <w:r>
              <w:rPr>
                <w:rFonts w:ascii="黑体" w:hAnsi="黑体" w:eastAsia="黑体"/>
                <w:sz w:val="21"/>
                <w:szCs w:val="21"/>
              </w:rPr>
              <w:fldChar w:fldCharType="end"/>
            </w:r>
            <w:bookmarkEnd w:id="0"/>
          </w:p>
        </w:tc>
      </w:tr>
      <w:tr w14:paraId="72E4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02ABA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17F120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ascii="黑体" w:hAnsi="黑体" w:eastAsia="黑体"/>
                <w:sz w:val="21"/>
                <w:szCs w:val="21"/>
              </w:rPr>
              <w:t xml:space="preserve"> </w:t>
            </w:r>
            <w:r>
              <w:rPr>
                <w:rFonts w:hint="eastAsia" w:ascii="黑体" w:hAnsi="黑体" w:eastAsia="黑体"/>
                <w:sz w:val="21"/>
                <w:szCs w:val="21"/>
              </w:rPr>
              <w:t>39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650CA8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956142C">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5115</w:t>
            </w:r>
            <w:r>
              <w:fldChar w:fldCharType="end"/>
            </w:r>
            <w:bookmarkEnd w:id="3"/>
          </w:p>
        </w:tc>
      </w:tr>
    </w:tbl>
    <w:p w14:paraId="64758DA1">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四川省（宜宾市）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CC7405E">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5115/T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t>202</w:t>
      </w:r>
      <w:r>
        <w:rPr>
          <w:rFonts w:hint="eastAsia"/>
        </w:rPr>
        <w:t>5</w:t>
      </w:r>
    </w:p>
    <w:p w14:paraId="52FD18AF">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52A8D6C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2455F86">
      <w:pPr>
        <w:pStyle w:val="50"/>
        <w:framePr w:w="9639" w:h="6976" w:hRule="exact" w:hSpace="0" w:vSpace="0" w:wrap="around" w:hAnchor="page" w:y="6408"/>
        <w:jc w:val="center"/>
        <w:rPr>
          <w:rFonts w:hint="eastAsia" w:ascii="黑体" w:hAnsi="黑体" w:eastAsia="黑体"/>
          <w:b w:val="0"/>
          <w:bCs w:val="0"/>
          <w:w w:val="100"/>
        </w:rPr>
      </w:pPr>
    </w:p>
    <w:p w14:paraId="2A6E647C">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油樟食用菌生产技术规</w:t>
      </w:r>
      <w:r>
        <w:t>范</w:t>
      </w:r>
      <w:r>
        <w:fldChar w:fldCharType="end"/>
      </w:r>
      <w:bookmarkEnd w:id="8"/>
    </w:p>
    <w:p w14:paraId="6811A37D">
      <w:pPr>
        <w:framePr w:w="9639" w:h="6974" w:hRule="exact" w:wrap="around" w:vAnchor="page" w:hAnchor="page" w:x="1419" w:y="6408" w:anchorLock="1"/>
        <w:ind w:left="-1418"/>
      </w:pPr>
    </w:p>
    <w:p w14:paraId="07B9E654">
      <w:pPr>
        <w:pStyle w:val="125"/>
        <w:framePr w:w="9639" w:h="6974" w:hRule="exact" w:wrap="around" w:vAnchor="page" w:hAnchor="page" w:x="1419" w:y="6408" w:anchorLock="1"/>
        <w:textAlignment w:val="bottom"/>
        <w:rPr>
          <w:rFonts w:hint="eastAsia" w:ascii="黑体" w:hAnsi="黑体" w:eastAsia="黑体" w:cs="黑体"/>
          <w:szCs w:val="28"/>
        </w:rPr>
      </w:pPr>
      <w:r>
        <w:rPr>
          <w:rFonts w:hint="eastAsia" w:ascii="黑体" w:hAnsi="黑体" w:eastAsia="黑体" w:cs="黑体"/>
          <w:szCs w:val="28"/>
        </w:rPr>
        <w:t xml:space="preserve">Technical specifications for the production of edible mushrooms by </w:t>
      </w:r>
    </w:p>
    <w:p w14:paraId="01C5D7EC">
      <w:pPr>
        <w:pStyle w:val="125"/>
        <w:framePr w:w="9639" w:h="6974" w:hRule="exact" w:wrap="around" w:vAnchor="page" w:hAnchor="page" w:x="1419" w:y="6408" w:anchorLock="1"/>
        <w:textAlignment w:val="bottom"/>
        <w:rPr>
          <w:rFonts w:hint="eastAsia" w:ascii="黑体" w:hAnsi="黑体" w:eastAsia="黑体" w:cs="黑体"/>
          <w:szCs w:val="28"/>
        </w:rPr>
      </w:pPr>
      <w:r>
        <w:rPr>
          <w:rFonts w:hint="eastAsia" w:ascii="黑体" w:hAnsi="黑体" w:eastAsia="黑体" w:cs="黑体"/>
          <w:i/>
          <w:iCs/>
          <w:szCs w:val="28"/>
        </w:rPr>
        <w:t>cinnamomum longipaniculatum</w:t>
      </w:r>
      <w:r>
        <w:rPr>
          <w:rFonts w:hint="eastAsia" w:ascii="黑体" w:hAnsi="黑体" w:eastAsia="黑体" w:cs="黑体"/>
          <w:szCs w:val="28"/>
        </w:rPr>
        <w:t xml:space="preserve"> leaf residues</w:t>
      </w:r>
    </w:p>
    <w:p w14:paraId="1DF91D14">
      <w:pPr>
        <w:framePr w:w="9639" w:h="6974" w:hRule="exact" w:wrap="around" w:vAnchor="page" w:hAnchor="page" w:x="1419" w:y="6408" w:anchorLock="1"/>
        <w:spacing w:line="760" w:lineRule="exact"/>
        <w:ind w:left="-1418"/>
      </w:pPr>
    </w:p>
    <w:p w14:paraId="78DD3F69">
      <w:pPr>
        <w:pStyle w:val="125"/>
        <w:framePr w:w="9639" w:h="6974" w:hRule="exact" w:wrap="around" w:vAnchor="page" w:hAnchor="page" w:x="1419" w:y="6408" w:anchorLock="1"/>
        <w:textAlignment w:val="bottom"/>
        <w:rPr>
          <w:rFonts w:eastAsia="黑体"/>
          <w:szCs w:val="28"/>
        </w:rPr>
      </w:pPr>
    </w:p>
    <w:p w14:paraId="5AD6AA5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报批稿）"/>
              <w:listEntry w:val=" "/>
              <w:listEntry w:val="草案版次选择"/>
              <w:listEntry w:val="（工作组讨论稿）"/>
              <w:listEntry w:val="（送审讨论稿）"/>
              <w:listEntry w:val="（送审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7852782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0ED7EC6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0C95C214">
      <w:pPr>
        <w:pStyle w:val="193"/>
        <w:framePr w:wrap="around" w:y="14176"/>
      </w:pPr>
      <w:r>
        <w:rPr>
          <w:rFonts w:ascii="黑体"/>
        </w:rPr>
        <w:t>2024</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684340BF">
      <w:pPr>
        <w:pStyle w:val="194"/>
        <w:framePr w:wrap="around" w:y="14176"/>
      </w:pPr>
      <w:r>
        <w:rPr>
          <w:rFonts w:ascii="黑体"/>
        </w:rPr>
        <w:t>2024</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7717C42A">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宜宾市市场监督管理局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5CD64DC">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3A33174">
      <w:pPr>
        <w:pStyle w:val="91"/>
        <w:spacing w:after="468"/>
      </w:pPr>
      <w:bookmarkStart w:id="17" w:name="BookMark1"/>
      <w:r>
        <w:rPr>
          <w:rFonts w:hint="eastAsia"/>
          <w:spacing w:val="320"/>
        </w:rPr>
        <w:t>目</w:t>
      </w:r>
      <w:r>
        <w:rPr>
          <w:rFonts w:hint="eastAsia"/>
        </w:rPr>
        <w:t>次</w:t>
      </w:r>
    </w:p>
    <w:p w14:paraId="76ACE755">
      <w:pPr>
        <w:pStyle w:val="19"/>
        <w:tabs>
          <w:tab w:val="right" w:leader="dot" w:pos="9354"/>
        </w:tabs>
      </w:pPr>
      <w:r>
        <w:fldChar w:fldCharType="begin"/>
      </w:r>
      <w:r>
        <w:instrText xml:space="preserve"> TOC \o "1-1" \h </w:instrText>
      </w:r>
      <w:r>
        <w:fldChar w:fldCharType="separate"/>
      </w:r>
      <w:r>
        <w:fldChar w:fldCharType="begin"/>
      </w:r>
      <w:r>
        <w:instrText xml:space="preserve"> HYPERLINK \l "_Toc17808" </w:instrText>
      </w:r>
      <w:r>
        <w:fldChar w:fldCharType="separate"/>
      </w:r>
      <w:r>
        <w:rPr>
          <w:spacing w:val="320"/>
        </w:rPr>
        <w:t>前</w:t>
      </w:r>
      <w:r>
        <w:t>言</w:t>
      </w:r>
      <w:r>
        <w:tab/>
      </w:r>
      <w:r>
        <w:fldChar w:fldCharType="begin"/>
      </w:r>
      <w:r>
        <w:instrText xml:space="preserve"> PAGEREF _Toc17808 \h </w:instrText>
      </w:r>
      <w:r>
        <w:fldChar w:fldCharType="separate"/>
      </w:r>
      <w:r>
        <w:t>II</w:t>
      </w:r>
      <w:r>
        <w:fldChar w:fldCharType="end"/>
      </w:r>
      <w:r>
        <w:fldChar w:fldCharType="end"/>
      </w:r>
    </w:p>
    <w:p w14:paraId="6233B0EC">
      <w:pPr>
        <w:pStyle w:val="19"/>
        <w:tabs>
          <w:tab w:val="right" w:leader="dot" w:pos="9354"/>
        </w:tabs>
      </w:pPr>
      <w:r>
        <w:fldChar w:fldCharType="begin"/>
      </w:r>
      <w:r>
        <w:instrText xml:space="preserve"> HYPERLINK \l "_Toc4404" </w:instrText>
      </w:r>
      <w:r>
        <w:fldChar w:fldCharType="separate"/>
      </w:r>
      <w:r>
        <w:rPr>
          <w:rFonts w:hint="eastAsia"/>
          <w:spacing w:val="320"/>
        </w:rPr>
        <w:t>引</w:t>
      </w:r>
      <w:r>
        <w:rPr>
          <w:rFonts w:hint="eastAsia"/>
        </w:rPr>
        <w:t>言</w:t>
      </w:r>
      <w:r>
        <w:tab/>
      </w:r>
      <w:r>
        <w:fldChar w:fldCharType="begin"/>
      </w:r>
      <w:r>
        <w:instrText xml:space="preserve"> PAGEREF _Toc4404 \h </w:instrText>
      </w:r>
      <w:r>
        <w:fldChar w:fldCharType="separate"/>
      </w:r>
      <w:r>
        <w:t>III</w:t>
      </w:r>
      <w:r>
        <w:fldChar w:fldCharType="end"/>
      </w:r>
      <w:r>
        <w:fldChar w:fldCharType="end"/>
      </w:r>
    </w:p>
    <w:p w14:paraId="7417301D">
      <w:pPr>
        <w:pStyle w:val="19"/>
        <w:tabs>
          <w:tab w:val="right" w:leader="dot" w:pos="9354"/>
        </w:tabs>
      </w:pPr>
      <w:r>
        <w:fldChar w:fldCharType="begin"/>
      </w:r>
      <w:r>
        <w:instrText xml:space="preserve"> HYPERLINK \l "_Toc23830" </w:instrText>
      </w:r>
      <w:r>
        <w:fldChar w:fldCharType="separate"/>
      </w:r>
      <w:r>
        <w:rPr>
          <w:rFonts w:hint="eastAsia" w:ascii="黑体" w:eastAsia="黑体"/>
        </w:rPr>
        <w:t xml:space="preserve">1 </w:t>
      </w:r>
      <w:r>
        <w:rPr>
          <w:rFonts w:ascii="Times New Roman"/>
        </w:rPr>
        <w:t>范围</w:t>
      </w:r>
      <w:r>
        <w:tab/>
      </w:r>
      <w:r>
        <w:fldChar w:fldCharType="begin"/>
      </w:r>
      <w:r>
        <w:instrText xml:space="preserve"> PAGEREF _Toc23830 \h </w:instrText>
      </w:r>
      <w:r>
        <w:fldChar w:fldCharType="separate"/>
      </w:r>
      <w:r>
        <w:t>1</w:t>
      </w:r>
      <w:r>
        <w:fldChar w:fldCharType="end"/>
      </w:r>
      <w:r>
        <w:fldChar w:fldCharType="end"/>
      </w:r>
    </w:p>
    <w:p w14:paraId="389DB555">
      <w:pPr>
        <w:pStyle w:val="19"/>
        <w:tabs>
          <w:tab w:val="right" w:leader="dot" w:pos="9354"/>
        </w:tabs>
      </w:pPr>
      <w:r>
        <w:fldChar w:fldCharType="begin"/>
      </w:r>
      <w:r>
        <w:instrText xml:space="preserve"> HYPERLINK \l "_Toc14835" </w:instrText>
      </w:r>
      <w:r>
        <w:fldChar w:fldCharType="separate"/>
      </w:r>
      <w:r>
        <w:rPr>
          <w:rFonts w:hint="eastAsia" w:ascii="黑体" w:eastAsia="黑体"/>
        </w:rPr>
        <w:t xml:space="preserve">2 </w:t>
      </w:r>
      <w:r>
        <w:rPr>
          <w:rFonts w:ascii="Times New Roman"/>
        </w:rPr>
        <w:t>规范性引用文件</w:t>
      </w:r>
      <w:r>
        <w:tab/>
      </w:r>
      <w:r>
        <w:fldChar w:fldCharType="begin"/>
      </w:r>
      <w:r>
        <w:instrText xml:space="preserve"> PAGEREF _Toc14835 \h </w:instrText>
      </w:r>
      <w:r>
        <w:fldChar w:fldCharType="separate"/>
      </w:r>
      <w:r>
        <w:t>1</w:t>
      </w:r>
      <w:r>
        <w:fldChar w:fldCharType="end"/>
      </w:r>
      <w:r>
        <w:fldChar w:fldCharType="end"/>
      </w:r>
    </w:p>
    <w:p w14:paraId="15424DD5">
      <w:pPr>
        <w:pStyle w:val="19"/>
        <w:tabs>
          <w:tab w:val="right" w:leader="dot" w:pos="9354"/>
        </w:tabs>
      </w:pPr>
      <w:r>
        <w:fldChar w:fldCharType="begin"/>
      </w:r>
      <w:r>
        <w:instrText xml:space="preserve"> HYPERLINK \l "_Toc15101" </w:instrText>
      </w:r>
      <w:r>
        <w:fldChar w:fldCharType="separate"/>
      </w:r>
      <w:r>
        <w:rPr>
          <w:rFonts w:hint="eastAsia" w:ascii="黑体" w:eastAsia="黑体"/>
        </w:rPr>
        <w:t xml:space="preserve">3 </w:t>
      </w:r>
      <w:r>
        <w:rPr>
          <w:rFonts w:ascii="Times New Roman"/>
        </w:rPr>
        <w:t>术语和定义</w:t>
      </w:r>
      <w:r>
        <w:tab/>
      </w:r>
      <w:r>
        <w:fldChar w:fldCharType="begin"/>
      </w:r>
      <w:r>
        <w:instrText xml:space="preserve"> PAGEREF _Toc15101 \h </w:instrText>
      </w:r>
      <w:r>
        <w:fldChar w:fldCharType="separate"/>
      </w:r>
      <w:r>
        <w:t>1</w:t>
      </w:r>
      <w:r>
        <w:fldChar w:fldCharType="end"/>
      </w:r>
      <w:r>
        <w:fldChar w:fldCharType="end"/>
      </w:r>
    </w:p>
    <w:p w14:paraId="2BB09097">
      <w:pPr>
        <w:pStyle w:val="19"/>
        <w:tabs>
          <w:tab w:val="right" w:leader="dot" w:pos="9354"/>
        </w:tabs>
      </w:pPr>
      <w:r>
        <w:fldChar w:fldCharType="begin"/>
      </w:r>
      <w:r>
        <w:instrText xml:space="preserve"> HYPERLINK \l "_Toc9576" </w:instrText>
      </w:r>
      <w:r>
        <w:fldChar w:fldCharType="separate"/>
      </w:r>
      <w:r>
        <w:rPr>
          <w:rFonts w:hint="eastAsia" w:ascii="黑体" w:eastAsia="黑体"/>
        </w:rPr>
        <w:t xml:space="preserve">4 </w:t>
      </w:r>
      <w:r>
        <w:rPr>
          <w:rFonts w:hint="eastAsia" w:ascii="Times New Roman"/>
        </w:rPr>
        <w:t>栽培场地和场所环境</w:t>
      </w:r>
      <w:r>
        <w:tab/>
      </w:r>
      <w:r>
        <w:fldChar w:fldCharType="begin"/>
      </w:r>
      <w:r>
        <w:instrText xml:space="preserve"> PAGEREF _Toc9576 \h </w:instrText>
      </w:r>
      <w:r>
        <w:fldChar w:fldCharType="separate"/>
      </w:r>
      <w:r>
        <w:t>1</w:t>
      </w:r>
      <w:r>
        <w:fldChar w:fldCharType="end"/>
      </w:r>
      <w:r>
        <w:fldChar w:fldCharType="end"/>
      </w:r>
    </w:p>
    <w:p w14:paraId="2FA7AAC7">
      <w:pPr>
        <w:pStyle w:val="19"/>
        <w:tabs>
          <w:tab w:val="right" w:leader="dot" w:pos="9354"/>
        </w:tabs>
      </w:pPr>
      <w:r>
        <w:fldChar w:fldCharType="begin"/>
      </w:r>
      <w:r>
        <w:instrText xml:space="preserve"> HYPERLINK \l "_Toc16445" </w:instrText>
      </w:r>
      <w:r>
        <w:fldChar w:fldCharType="separate"/>
      </w:r>
      <w:r>
        <w:rPr>
          <w:rFonts w:hint="eastAsia" w:ascii="黑体" w:eastAsia="黑体"/>
          <w:shd w:val="clear" w:color="auto" w:fill="FFFFFF"/>
        </w:rPr>
        <w:t xml:space="preserve">5 </w:t>
      </w:r>
      <w:r>
        <w:rPr>
          <w:rFonts w:hint="eastAsia" w:ascii="Times New Roman"/>
        </w:rPr>
        <w:t>菌种质量要求</w:t>
      </w:r>
      <w:r>
        <w:tab/>
      </w:r>
      <w:r>
        <w:fldChar w:fldCharType="begin"/>
      </w:r>
      <w:r>
        <w:instrText xml:space="preserve"> PAGEREF _Toc16445 \h </w:instrText>
      </w:r>
      <w:r>
        <w:fldChar w:fldCharType="separate"/>
      </w:r>
      <w:r>
        <w:t>1</w:t>
      </w:r>
      <w:r>
        <w:fldChar w:fldCharType="end"/>
      </w:r>
      <w:r>
        <w:fldChar w:fldCharType="end"/>
      </w:r>
    </w:p>
    <w:p w14:paraId="4E4F576E">
      <w:pPr>
        <w:pStyle w:val="19"/>
        <w:tabs>
          <w:tab w:val="right" w:leader="dot" w:pos="9354"/>
        </w:tabs>
      </w:pPr>
      <w:r>
        <w:fldChar w:fldCharType="begin"/>
      </w:r>
      <w:r>
        <w:instrText xml:space="preserve"> HYPERLINK \l "_Toc14702" </w:instrText>
      </w:r>
      <w:r>
        <w:fldChar w:fldCharType="separate"/>
      </w:r>
      <w:r>
        <w:rPr>
          <w:rFonts w:hint="eastAsia" w:ascii="黑体" w:eastAsia="黑体"/>
        </w:rPr>
        <w:t xml:space="preserve">6 </w:t>
      </w:r>
      <w:r>
        <w:rPr>
          <w:rFonts w:hint="eastAsia" w:ascii="Times New Roman"/>
        </w:rPr>
        <w:t>栽培料制备</w:t>
      </w:r>
      <w:r>
        <w:tab/>
      </w:r>
      <w:r>
        <w:fldChar w:fldCharType="begin"/>
      </w:r>
      <w:r>
        <w:instrText xml:space="preserve"> PAGEREF _Toc14702 \h </w:instrText>
      </w:r>
      <w:r>
        <w:fldChar w:fldCharType="separate"/>
      </w:r>
      <w:r>
        <w:t>2</w:t>
      </w:r>
      <w:r>
        <w:fldChar w:fldCharType="end"/>
      </w:r>
      <w:r>
        <w:fldChar w:fldCharType="end"/>
      </w:r>
    </w:p>
    <w:p w14:paraId="54D9E735">
      <w:pPr>
        <w:pStyle w:val="19"/>
        <w:tabs>
          <w:tab w:val="right" w:leader="dot" w:pos="9354"/>
        </w:tabs>
      </w:pPr>
      <w:r>
        <w:fldChar w:fldCharType="begin"/>
      </w:r>
      <w:r>
        <w:instrText xml:space="preserve"> HYPERLINK \l "_Toc10491" </w:instrText>
      </w:r>
      <w:r>
        <w:fldChar w:fldCharType="separate"/>
      </w:r>
      <w:r>
        <w:rPr>
          <w:rFonts w:hint="eastAsia" w:ascii="黑体" w:eastAsia="黑体"/>
        </w:rPr>
        <w:t xml:space="preserve">7 </w:t>
      </w:r>
      <w:r>
        <w:rPr>
          <w:rFonts w:hint="eastAsia" w:ascii="Times New Roman"/>
        </w:rPr>
        <w:t>接种</w:t>
      </w:r>
      <w:r>
        <w:tab/>
      </w:r>
      <w:r>
        <w:fldChar w:fldCharType="begin"/>
      </w:r>
      <w:r>
        <w:instrText xml:space="preserve"> PAGEREF _Toc10491 \h </w:instrText>
      </w:r>
      <w:r>
        <w:fldChar w:fldCharType="separate"/>
      </w:r>
      <w:r>
        <w:t>2</w:t>
      </w:r>
      <w:r>
        <w:fldChar w:fldCharType="end"/>
      </w:r>
      <w:r>
        <w:fldChar w:fldCharType="end"/>
      </w:r>
    </w:p>
    <w:p w14:paraId="4687CAB3">
      <w:pPr>
        <w:pStyle w:val="19"/>
        <w:tabs>
          <w:tab w:val="right" w:leader="dot" w:pos="9354"/>
        </w:tabs>
      </w:pPr>
      <w:r>
        <w:fldChar w:fldCharType="begin"/>
      </w:r>
      <w:r>
        <w:instrText xml:space="preserve"> HYPERLINK \l "_Toc24678" </w:instrText>
      </w:r>
      <w:r>
        <w:fldChar w:fldCharType="separate"/>
      </w:r>
      <w:r>
        <w:rPr>
          <w:rFonts w:hint="eastAsia" w:ascii="黑体" w:eastAsia="黑体"/>
        </w:rPr>
        <w:t xml:space="preserve">8 </w:t>
      </w:r>
      <w:r>
        <w:rPr>
          <w:rFonts w:hint="eastAsia" w:ascii="Times New Roman"/>
        </w:rPr>
        <w:t>发菌期管理</w:t>
      </w:r>
      <w:r>
        <w:tab/>
      </w:r>
      <w:r>
        <w:fldChar w:fldCharType="begin"/>
      </w:r>
      <w:r>
        <w:instrText xml:space="preserve"> PAGEREF _Toc24678 \h </w:instrText>
      </w:r>
      <w:r>
        <w:fldChar w:fldCharType="separate"/>
      </w:r>
      <w:r>
        <w:t>2</w:t>
      </w:r>
      <w:r>
        <w:fldChar w:fldCharType="end"/>
      </w:r>
      <w:r>
        <w:fldChar w:fldCharType="end"/>
      </w:r>
    </w:p>
    <w:p w14:paraId="627804D3">
      <w:pPr>
        <w:pStyle w:val="19"/>
        <w:tabs>
          <w:tab w:val="right" w:leader="dot" w:pos="9354"/>
        </w:tabs>
      </w:pPr>
      <w:r>
        <w:fldChar w:fldCharType="begin"/>
      </w:r>
      <w:r>
        <w:instrText xml:space="preserve"> HYPERLINK \l "_Toc8605" </w:instrText>
      </w:r>
      <w:r>
        <w:fldChar w:fldCharType="separate"/>
      </w:r>
      <w:r>
        <w:rPr>
          <w:rFonts w:hint="eastAsia" w:ascii="黑体" w:eastAsia="黑体"/>
        </w:rPr>
        <w:t xml:space="preserve">9 </w:t>
      </w:r>
      <w:r>
        <w:rPr>
          <w:rFonts w:hint="eastAsia" w:ascii="Times New Roman"/>
        </w:rPr>
        <w:t>出菇期管理</w:t>
      </w:r>
      <w:r>
        <w:tab/>
      </w:r>
      <w:r>
        <w:fldChar w:fldCharType="begin"/>
      </w:r>
      <w:r>
        <w:instrText xml:space="preserve"> PAGEREF _Toc8605 \h </w:instrText>
      </w:r>
      <w:r>
        <w:fldChar w:fldCharType="separate"/>
      </w:r>
      <w:r>
        <w:t>3</w:t>
      </w:r>
      <w:r>
        <w:fldChar w:fldCharType="end"/>
      </w:r>
      <w:r>
        <w:fldChar w:fldCharType="end"/>
      </w:r>
    </w:p>
    <w:p w14:paraId="315DFDA7">
      <w:pPr>
        <w:pStyle w:val="19"/>
        <w:tabs>
          <w:tab w:val="right" w:leader="dot" w:pos="9354"/>
        </w:tabs>
      </w:pPr>
      <w:r>
        <w:fldChar w:fldCharType="begin"/>
      </w:r>
      <w:r>
        <w:instrText xml:space="preserve"> HYPERLINK \l "_Toc31361" </w:instrText>
      </w:r>
      <w:r>
        <w:fldChar w:fldCharType="separate"/>
      </w:r>
      <w:r>
        <w:rPr>
          <w:rFonts w:hint="eastAsia" w:ascii="黑体" w:eastAsia="黑体"/>
        </w:rPr>
        <w:t xml:space="preserve">10 </w:t>
      </w:r>
      <w:r>
        <w:rPr>
          <w:rFonts w:hint="eastAsia" w:ascii="Times New Roman"/>
        </w:rPr>
        <w:t>病虫害防治</w:t>
      </w:r>
      <w:r>
        <w:tab/>
      </w:r>
      <w:r>
        <w:fldChar w:fldCharType="begin"/>
      </w:r>
      <w:r>
        <w:instrText xml:space="preserve"> PAGEREF _Toc31361 \h </w:instrText>
      </w:r>
      <w:r>
        <w:fldChar w:fldCharType="separate"/>
      </w:r>
      <w:r>
        <w:t>3</w:t>
      </w:r>
      <w:r>
        <w:fldChar w:fldCharType="end"/>
      </w:r>
      <w:r>
        <w:fldChar w:fldCharType="end"/>
      </w:r>
    </w:p>
    <w:p w14:paraId="7DD8B1D4">
      <w:pPr>
        <w:pStyle w:val="19"/>
        <w:tabs>
          <w:tab w:val="right" w:leader="dot" w:pos="9354"/>
        </w:tabs>
      </w:pPr>
      <w:r>
        <w:fldChar w:fldCharType="begin"/>
      </w:r>
      <w:r>
        <w:instrText xml:space="preserve"> HYPERLINK \l "_Toc24940" </w:instrText>
      </w:r>
      <w:r>
        <w:fldChar w:fldCharType="separate"/>
      </w:r>
      <w:r>
        <w:rPr>
          <w:rFonts w:hint="eastAsia" w:ascii="黑体" w:eastAsia="黑体"/>
        </w:rPr>
        <w:t xml:space="preserve">11 </w:t>
      </w:r>
      <w:r>
        <w:rPr>
          <w:rFonts w:hint="eastAsia" w:ascii="Times New Roman"/>
        </w:rPr>
        <w:t>采收</w:t>
      </w:r>
      <w:r>
        <w:tab/>
      </w:r>
      <w:r>
        <w:fldChar w:fldCharType="begin"/>
      </w:r>
      <w:r>
        <w:instrText xml:space="preserve"> PAGEREF _Toc24940 \h </w:instrText>
      </w:r>
      <w:r>
        <w:fldChar w:fldCharType="separate"/>
      </w:r>
      <w:r>
        <w:t>3</w:t>
      </w:r>
      <w:r>
        <w:fldChar w:fldCharType="end"/>
      </w:r>
      <w:r>
        <w:fldChar w:fldCharType="end"/>
      </w:r>
    </w:p>
    <w:p w14:paraId="7D2AFAC3">
      <w:pPr>
        <w:pStyle w:val="19"/>
        <w:tabs>
          <w:tab w:val="right" w:leader="dot" w:pos="9354"/>
        </w:tabs>
      </w:pPr>
      <w:r>
        <w:fldChar w:fldCharType="begin"/>
      </w:r>
      <w:r>
        <w:instrText xml:space="preserve"> HYPERLINK \l "_Toc16981" </w:instrText>
      </w:r>
      <w:r>
        <w:fldChar w:fldCharType="separate"/>
      </w:r>
      <w:r>
        <w:rPr>
          <w:rFonts w:hint="eastAsia" w:ascii="黑体" w:eastAsia="黑体"/>
        </w:rPr>
        <w:t xml:space="preserve">12 </w:t>
      </w:r>
      <w:r>
        <w:rPr>
          <w:rFonts w:hint="eastAsia" w:ascii="Times New Roman"/>
        </w:rPr>
        <w:t>包装和贮运</w:t>
      </w:r>
      <w:r>
        <w:tab/>
      </w:r>
      <w:r>
        <w:fldChar w:fldCharType="begin"/>
      </w:r>
      <w:r>
        <w:instrText xml:space="preserve"> PAGEREF _Toc16981 \h </w:instrText>
      </w:r>
      <w:r>
        <w:fldChar w:fldCharType="separate"/>
      </w:r>
      <w:r>
        <w:t>3</w:t>
      </w:r>
      <w:r>
        <w:fldChar w:fldCharType="end"/>
      </w:r>
      <w:r>
        <w:fldChar w:fldCharType="end"/>
      </w:r>
    </w:p>
    <w:p w14:paraId="74E308A4">
      <w:pPr>
        <w:pStyle w:val="19"/>
        <w:tabs>
          <w:tab w:val="right" w:leader="dot" w:pos="9354"/>
        </w:tabs>
      </w:pPr>
      <w:r>
        <w:fldChar w:fldCharType="begin"/>
      </w:r>
      <w:r>
        <w:instrText xml:space="preserve"> HYPERLINK \l "_Toc24401" </w:instrText>
      </w:r>
      <w:r>
        <w:fldChar w:fldCharType="separate"/>
      </w:r>
      <w:r>
        <w:rPr>
          <w:rFonts w:hint="eastAsia"/>
          <w:spacing w:val="105"/>
        </w:rPr>
        <w:t>参考文</w:t>
      </w:r>
      <w:r>
        <w:rPr>
          <w:rFonts w:hint="eastAsia"/>
        </w:rPr>
        <w:t>献</w:t>
      </w:r>
      <w:r>
        <w:tab/>
      </w:r>
      <w:r>
        <w:fldChar w:fldCharType="begin"/>
      </w:r>
      <w:r>
        <w:instrText xml:space="preserve"> PAGEREF _Toc24401 \h </w:instrText>
      </w:r>
      <w:r>
        <w:fldChar w:fldCharType="separate"/>
      </w:r>
      <w:r>
        <w:t>5</w:t>
      </w:r>
      <w:r>
        <w:fldChar w:fldCharType="end"/>
      </w:r>
      <w:r>
        <w:fldChar w:fldCharType="end"/>
      </w:r>
    </w:p>
    <w:p w14:paraId="44CF7AE2">
      <w:pPr>
        <w:pStyle w:val="91"/>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7"/>
    <w:p w14:paraId="66A9FAF4">
      <w:pPr>
        <w:pStyle w:val="89"/>
        <w:spacing w:after="468"/>
      </w:pPr>
      <w:bookmarkStart w:id="18" w:name="_Toc17808"/>
      <w:bookmarkStart w:id="19" w:name="BookMark2"/>
      <w:r>
        <w:rPr>
          <w:spacing w:val="320"/>
        </w:rPr>
        <w:t>前</w:t>
      </w:r>
      <w:r>
        <w:t>言</w:t>
      </w:r>
      <w:bookmarkEnd w:id="18"/>
    </w:p>
    <w:p w14:paraId="220D4E17">
      <w:pPr>
        <w:pStyle w:val="56"/>
        <w:ind w:firstLine="420"/>
      </w:pPr>
      <w:r>
        <w:rPr>
          <w:rFonts w:hint="eastAsia"/>
        </w:rPr>
        <w:t>本文件按照GB/T 1.1—2020《标准化工作导则  第1部分：标准化文件的结构和起草规则》的规定起草。</w:t>
      </w:r>
    </w:p>
    <w:p w14:paraId="73798DF6">
      <w:pPr>
        <w:pStyle w:val="56"/>
        <w:ind w:firstLine="420"/>
        <w:rPr>
          <w:rFonts w:ascii="Times New Roman"/>
        </w:rPr>
      </w:pPr>
      <w:r>
        <w:rPr>
          <w:rFonts w:ascii="Times New Roman"/>
        </w:rPr>
        <w:t>请注意本文件的某些内容可能涉及专利。本文件的发布机构不承担识别专利的责任。</w:t>
      </w:r>
    </w:p>
    <w:p w14:paraId="19480CC2">
      <w:pPr>
        <w:pStyle w:val="56"/>
        <w:ind w:firstLine="420"/>
        <w:rPr>
          <w:rFonts w:ascii="Times New Roman"/>
        </w:rPr>
      </w:pPr>
      <w:r>
        <w:rPr>
          <w:rFonts w:ascii="Times New Roman"/>
        </w:rPr>
        <w:t>本文件由</w:t>
      </w:r>
      <w:r>
        <w:rPr>
          <w:rFonts w:hint="eastAsia" w:hAnsi="宋体" w:cs="宋体"/>
        </w:rPr>
        <w:t>XX</w:t>
      </w:r>
      <w:r>
        <w:rPr>
          <w:rFonts w:ascii="Times New Roman"/>
        </w:rPr>
        <w:t>提出并归口。</w:t>
      </w:r>
    </w:p>
    <w:p w14:paraId="7C1E21A6">
      <w:pPr>
        <w:pStyle w:val="230"/>
        <w:rPr>
          <w:rFonts w:ascii="Times New Roman"/>
        </w:rPr>
      </w:pPr>
      <w:r>
        <w:rPr>
          <w:rFonts w:ascii="Times New Roman"/>
        </w:rPr>
        <w:t>本</w:t>
      </w:r>
      <w:r>
        <w:rPr>
          <w:rFonts w:hint="eastAsia" w:ascii="Times New Roman"/>
        </w:rPr>
        <w:t>文件负责</w:t>
      </w:r>
      <w:r>
        <w:rPr>
          <w:rFonts w:ascii="Times New Roman"/>
        </w:rPr>
        <w:t>起草单位：</w:t>
      </w:r>
      <w:r>
        <w:rPr>
          <w:rFonts w:hint="eastAsia" w:hAnsi="宋体" w:cs="宋体"/>
        </w:rPr>
        <w:t>XX</w:t>
      </w:r>
      <w:r>
        <w:rPr>
          <w:rFonts w:ascii="Times New Roman"/>
        </w:rPr>
        <w:t>。</w:t>
      </w:r>
    </w:p>
    <w:p w14:paraId="2AFDDFD5">
      <w:pPr>
        <w:pStyle w:val="56"/>
        <w:ind w:firstLine="420"/>
        <w:rPr>
          <w:rFonts w:ascii="Times New Roman"/>
        </w:rPr>
      </w:pPr>
      <w:r>
        <w:rPr>
          <w:rFonts w:ascii="Times New Roman"/>
        </w:rPr>
        <w:t>本文件主要起草人：</w:t>
      </w:r>
      <w:r>
        <w:rPr>
          <w:rFonts w:hint="eastAsia" w:hAnsi="宋体" w:cs="宋体"/>
        </w:rPr>
        <w:t>XX</w:t>
      </w:r>
      <w:r>
        <w:rPr>
          <w:rFonts w:ascii="Times New Roman"/>
        </w:rPr>
        <w:t>。</w:t>
      </w:r>
    </w:p>
    <w:p w14:paraId="6880B209">
      <w:pPr>
        <w:pStyle w:val="230"/>
        <w:spacing w:line="300" w:lineRule="exact"/>
        <w:rPr>
          <w:rFonts w:ascii="Times New Roman"/>
        </w:rPr>
      </w:pPr>
      <w:r>
        <w:rPr>
          <w:rFonts w:hint="eastAsia" w:hAnsi="宋体" w:cs="宋体"/>
          <w:szCs w:val="21"/>
        </w:rPr>
        <w:t>本文件为首次发布。</w:t>
      </w:r>
    </w:p>
    <w:p w14:paraId="2C3B044C">
      <w:pPr>
        <w:pStyle w:val="56"/>
        <w:ind w:firstLine="199" w:firstLineChars="95"/>
        <w:rPr>
          <w:rFonts w:ascii="Times New Roman"/>
        </w:rPr>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19"/>
    <w:p w14:paraId="6F20A934">
      <w:pPr>
        <w:pStyle w:val="89"/>
        <w:numPr>
          <w:ilvl w:val="0"/>
          <w:numId w:val="0"/>
        </w:numPr>
        <w:spacing w:before="468" w:beforeLines="150" w:after="468"/>
      </w:pPr>
      <w:bookmarkStart w:id="20" w:name="_Toc4404"/>
      <w:bookmarkStart w:id="21" w:name="BookMark3"/>
      <w:r>
        <w:rPr>
          <w:rFonts w:hint="eastAsia"/>
          <w:spacing w:val="320"/>
        </w:rPr>
        <w:t>引</w:t>
      </w:r>
      <w:r>
        <w:rPr>
          <w:rFonts w:hint="eastAsia"/>
        </w:rPr>
        <w:t>言</w:t>
      </w:r>
      <w:bookmarkEnd w:id="20"/>
    </w:p>
    <w:p w14:paraId="530828AD">
      <w:pPr>
        <w:pStyle w:val="200"/>
        <w:spacing w:before="156" w:after="156"/>
      </w:pPr>
      <w:r>
        <w:rPr>
          <w:rFonts w:hint="eastAsia"/>
        </w:rPr>
        <w:t>背景</w:t>
      </w:r>
    </w:p>
    <w:p w14:paraId="7B0D4731">
      <w:pPr>
        <w:pStyle w:val="56"/>
        <w:ind w:firstLine="420"/>
      </w:pPr>
      <w:r>
        <w:rPr>
          <w:rFonts w:hint="eastAsia"/>
        </w:rPr>
        <w:t>世界油樟看中国，中国油樟看宜宾，作为全球最大的油樟集中种植林原生资源地，宜宾油樟种植面积约60万亩，油樟天然香料油产量占全国总产量的70%、四川总产量的90%，油樟综合产值达55亿元，油樟已成为宜宾最具特色的亮点产业。而每年提取樟油后产生的油樟叶渣约50万吨，其通常被直接焚烧或就地堆放腐烂，存在污染环境的同时也带来资源浪费。研究表明，油樟叶渣中不仅含有食用菌（平菇、茶树菇、姬菇）生长所需的碳源、氮源以及生长因子等，还残留少量具有抗菌、抑菌效果的樟油成分，能够降低食用菌栽培污染率，减少农药的使用。同时，粉碎后的油樟叶渣还具有疏松栽培料的作用，其制成的栽培料具有良好的透气性。因此，利用油樟叶渣作为原料进行食用菌种植，不但可以降低食用菌种植成本，还可促进资源利用，提高油樟附加值，助力宜宾油樟产业高质量发展。</w:t>
      </w:r>
    </w:p>
    <w:p w14:paraId="4771148B">
      <w:pPr>
        <w:pStyle w:val="200"/>
        <w:spacing w:before="156" w:after="156"/>
      </w:pPr>
      <w:r>
        <w:rPr>
          <w:rFonts w:hint="eastAsia"/>
        </w:rPr>
        <w:t>技术概述</w:t>
      </w:r>
    </w:p>
    <w:p w14:paraId="582DE825">
      <w:pPr>
        <w:pStyle w:val="56"/>
        <w:ind w:firstLine="420"/>
      </w:pPr>
      <w:r>
        <w:rPr>
          <w:rFonts w:hint="eastAsia"/>
        </w:rPr>
        <w:t>本文件根据前期研究成果和宜宾油樟叶渣在食用菌种植中的实际情况，制定了从栽培场地和场所环境、菌种质量要求、栽培料制备、接种、发菌期管理、出菇期管理、病虫害防治、采收、包装和贮运等方面技术规范，旨在为油樟食用菌标准化生产提供指导。</w:t>
      </w:r>
    </w:p>
    <w:p w14:paraId="742FB080">
      <w:pPr>
        <w:pStyle w:val="200"/>
        <w:spacing w:before="156" w:after="156"/>
      </w:pPr>
      <w:r>
        <w:rPr>
          <w:rFonts w:hint="eastAsia"/>
        </w:rPr>
        <w:t>相关专利情况说明</w:t>
      </w:r>
    </w:p>
    <w:p w14:paraId="64930F44">
      <w:pPr>
        <w:pStyle w:val="56"/>
        <w:ind w:firstLine="420"/>
      </w:pPr>
      <w:r>
        <w:rPr>
          <w:rFonts w:hint="eastAsia"/>
        </w:rPr>
        <w:t>本文件的发布机构提请注意，声明符合本文件时，涉及到6.2、</w:t>
      </w:r>
      <w:r>
        <w:rPr>
          <w:rFonts w:hint="eastAsia"/>
          <w:lang w:val="en-US" w:eastAsia="zh-CN"/>
        </w:rPr>
        <w:t>6.3、</w:t>
      </w:r>
      <w:r>
        <w:rPr>
          <w:rFonts w:hint="eastAsia"/>
        </w:rPr>
        <w:t>9.1、9.2、9.3条与油樟叶渣在平菇、姬菇种植相关的专利的使用。</w:t>
      </w:r>
    </w:p>
    <w:p w14:paraId="78BD8BC6">
      <w:pPr>
        <w:pStyle w:val="56"/>
        <w:ind w:firstLine="420"/>
      </w:pPr>
      <w:r>
        <w:rPr>
          <w:rFonts w:hint="eastAsia"/>
        </w:rPr>
        <w:t>本文件的发布机构对于该专利的真实性、有效性和范围无任何立场。</w:t>
      </w:r>
    </w:p>
    <w:p w14:paraId="53BE652D">
      <w:pPr>
        <w:pStyle w:val="56"/>
        <w:ind w:firstLine="420"/>
      </w:pPr>
      <w:r>
        <w:rPr>
          <w:rFonts w:hint="eastAsia"/>
        </w:rPr>
        <w:t>该专利持有人已向本文件的发布机构承诺，他愿意同任何申请人在合理且无歧视的条款和条件下，就专利授权许可进行谈判。该专利持有人的声明已在本文件的发布机构备案。</w:t>
      </w:r>
    </w:p>
    <w:p w14:paraId="0784E091">
      <w:pPr>
        <w:pStyle w:val="56"/>
        <w:ind w:firstLine="420"/>
      </w:pPr>
      <w:r>
        <w:rPr>
          <w:rFonts w:hint="eastAsia"/>
        </w:rPr>
        <w:t>表1中列出的专利授权人持有本文件涉及的专利。</w:t>
      </w:r>
    </w:p>
    <w:p w14:paraId="2B0D7ED0">
      <w:pPr>
        <w:pStyle w:val="112"/>
        <w:spacing w:before="156" w:after="156"/>
      </w:pPr>
      <w:r>
        <w:rPr>
          <w:rFonts w:hint="eastAsia"/>
        </w:rPr>
        <w:t>持有本文件涉及的专利的专利权人相关信息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90"/>
        <w:gridCol w:w="1409"/>
        <w:gridCol w:w="1560"/>
      </w:tblGrid>
      <w:tr w14:paraId="4F20D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490" w:type="dxa"/>
            <w:tcBorders>
              <w:top w:val="single" w:color="auto" w:sz="8" w:space="0"/>
              <w:bottom w:val="single" w:color="auto" w:sz="8" w:space="0"/>
            </w:tcBorders>
            <w:shd w:val="clear" w:color="auto" w:fill="auto"/>
            <w:vAlign w:val="center"/>
          </w:tcPr>
          <w:p w14:paraId="6BB80A56">
            <w:pPr>
              <w:pStyle w:val="178"/>
            </w:pPr>
            <w:r>
              <w:rPr>
                <w:rFonts w:hint="eastAsia"/>
              </w:rPr>
              <w:t>专利名称</w:t>
            </w:r>
          </w:p>
        </w:tc>
        <w:tc>
          <w:tcPr>
            <w:tcW w:w="1409" w:type="dxa"/>
            <w:tcBorders>
              <w:top w:val="single" w:color="auto" w:sz="8" w:space="0"/>
              <w:bottom w:val="single" w:color="auto" w:sz="8" w:space="0"/>
            </w:tcBorders>
            <w:shd w:val="clear" w:color="auto" w:fill="auto"/>
            <w:vAlign w:val="center"/>
          </w:tcPr>
          <w:p w14:paraId="0E716946">
            <w:pPr>
              <w:pStyle w:val="178"/>
            </w:pPr>
            <w:r>
              <w:rPr>
                <w:rFonts w:hint="eastAsia"/>
              </w:rPr>
              <w:t>专利公布号</w:t>
            </w:r>
          </w:p>
        </w:tc>
        <w:tc>
          <w:tcPr>
            <w:tcW w:w="1560" w:type="dxa"/>
            <w:tcBorders>
              <w:top w:val="single" w:color="auto" w:sz="8" w:space="0"/>
              <w:bottom w:val="single" w:color="auto" w:sz="8" w:space="0"/>
            </w:tcBorders>
          </w:tcPr>
          <w:p w14:paraId="1A111971">
            <w:pPr>
              <w:pStyle w:val="178"/>
            </w:pPr>
            <w:r>
              <w:rPr>
                <w:rFonts w:hint="eastAsia"/>
              </w:rPr>
              <w:t>专利持有人</w:t>
            </w:r>
          </w:p>
        </w:tc>
      </w:tr>
      <w:tr w14:paraId="7F7BB9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0" w:type="dxa"/>
            <w:tcBorders>
              <w:top w:val="single" w:color="auto" w:sz="8" w:space="0"/>
            </w:tcBorders>
            <w:shd w:val="clear" w:color="auto" w:fill="auto"/>
            <w:vAlign w:val="center"/>
          </w:tcPr>
          <w:p w14:paraId="39CC847A">
            <w:pPr>
              <w:pStyle w:val="178"/>
            </w:pPr>
            <w:r>
              <w:rPr>
                <w:rFonts w:hint="eastAsia"/>
              </w:rPr>
              <w:t>利用油樟叶渣制备平菇栽培料的方法</w:t>
            </w:r>
          </w:p>
        </w:tc>
        <w:tc>
          <w:tcPr>
            <w:tcW w:w="1409" w:type="dxa"/>
            <w:tcBorders>
              <w:top w:val="single" w:color="auto" w:sz="8" w:space="0"/>
            </w:tcBorders>
            <w:shd w:val="clear" w:color="auto" w:fill="auto"/>
            <w:vAlign w:val="center"/>
          </w:tcPr>
          <w:p w14:paraId="76031C3A">
            <w:pPr>
              <w:pStyle w:val="178"/>
            </w:pPr>
            <w:r>
              <w:t>CN103319241</w:t>
            </w:r>
            <w:r>
              <w:rPr>
                <w:rFonts w:hint="eastAsia"/>
              </w:rPr>
              <w:t>A</w:t>
            </w:r>
          </w:p>
        </w:tc>
        <w:tc>
          <w:tcPr>
            <w:tcW w:w="1560" w:type="dxa"/>
            <w:tcBorders>
              <w:top w:val="single" w:color="auto" w:sz="8" w:space="0"/>
            </w:tcBorders>
            <w:vAlign w:val="center"/>
          </w:tcPr>
          <w:p w14:paraId="1C535F5E">
            <w:pPr>
              <w:pStyle w:val="178"/>
            </w:pPr>
            <w:r>
              <w:rPr>
                <w:rFonts w:hint="eastAsia"/>
              </w:rPr>
              <w:t>宜宾学院</w:t>
            </w:r>
          </w:p>
        </w:tc>
      </w:tr>
      <w:tr w14:paraId="4D32E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0" w:type="dxa"/>
            <w:shd w:val="clear" w:color="auto" w:fill="auto"/>
            <w:vAlign w:val="center"/>
          </w:tcPr>
          <w:p w14:paraId="487FF2C5">
            <w:pPr>
              <w:pStyle w:val="178"/>
            </w:pPr>
            <w:r>
              <w:rPr>
                <w:rFonts w:hint="eastAsia"/>
              </w:rPr>
              <w:t>利用油樟叶渣制备姬菇栽培料的方法</w:t>
            </w:r>
          </w:p>
        </w:tc>
        <w:tc>
          <w:tcPr>
            <w:tcW w:w="1409" w:type="dxa"/>
            <w:shd w:val="clear" w:color="auto" w:fill="auto"/>
            <w:vAlign w:val="center"/>
          </w:tcPr>
          <w:p w14:paraId="6F9153E5">
            <w:pPr>
              <w:pStyle w:val="178"/>
            </w:pPr>
            <w:r>
              <w:t>CN103304327A</w:t>
            </w:r>
          </w:p>
        </w:tc>
        <w:tc>
          <w:tcPr>
            <w:tcW w:w="1560" w:type="dxa"/>
            <w:vAlign w:val="center"/>
          </w:tcPr>
          <w:p w14:paraId="1C060881">
            <w:pPr>
              <w:pStyle w:val="178"/>
            </w:pPr>
            <w:r>
              <w:rPr>
                <w:rFonts w:hint="eastAsia"/>
              </w:rPr>
              <w:t>宜宾学院</w:t>
            </w:r>
          </w:p>
        </w:tc>
      </w:tr>
    </w:tbl>
    <w:p w14:paraId="1AA83699">
      <w:pPr>
        <w:pStyle w:val="56"/>
        <w:ind w:firstLine="420"/>
      </w:pPr>
    </w:p>
    <w:p w14:paraId="76EAD5DE">
      <w:pPr>
        <w:pStyle w:val="56"/>
        <w:ind w:firstLine="420"/>
      </w:pPr>
    </w:p>
    <w:p w14:paraId="4243553D">
      <w:pPr>
        <w:pStyle w:val="56"/>
        <w:ind w:firstLine="420"/>
      </w:pPr>
    </w:p>
    <w:p w14:paraId="2C29CDD8">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cols w:space="425" w:num="1"/>
          <w:formProt w:val="0"/>
          <w:docGrid w:type="lines" w:linePitch="312" w:charSpace="0"/>
        </w:sectPr>
      </w:pPr>
    </w:p>
    <w:bookmarkEnd w:id="21"/>
    <w:p w14:paraId="5ACA9249">
      <w:pPr>
        <w:spacing w:line="20" w:lineRule="exact"/>
        <w:jc w:val="center"/>
        <w:rPr>
          <w:rFonts w:ascii="Times New Roman" w:hAnsi="Times New Roman" w:eastAsia="黑体"/>
          <w:sz w:val="32"/>
          <w:szCs w:val="32"/>
        </w:rPr>
      </w:pPr>
      <w:bookmarkStart w:id="22" w:name="BookMark4"/>
    </w:p>
    <w:p w14:paraId="285AEAEA">
      <w:pPr>
        <w:spacing w:line="20" w:lineRule="exact"/>
        <w:jc w:val="center"/>
        <w:rPr>
          <w:rFonts w:ascii="Times New Roman" w:hAnsi="Times New Roman" w:eastAsia="黑体"/>
          <w:sz w:val="32"/>
          <w:szCs w:val="32"/>
        </w:rPr>
      </w:pPr>
    </w:p>
    <w:p w14:paraId="42F2D82B">
      <w:pPr>
        <w:pStyle w:val="177"/>
        <w:spacing w:before="3" w:beforeLines="1" w:after="686" w:afterLines="220"/>
        <w:rPr>
          <w:rFonts w:ascii="Times New Roman" w:hAnsi="Times New Roman"/>
        </w:rPr>
      </w:pPr>
      <w:bookmarkStart w:id="23" w:name="NEW_STAND_NAME"/>
      <w:r>
        <w:rPr>
          <w:rFonts w:hint="eastAsia" w:ascii="Times New Roman" w:hAnsi="Times New Roman"/>
        </w:rPr>
        <w:t>油樟食用菌生产技术规范</w:t>
      </w:r>
    </w:p>
    <w:bookmarkEnd w:id="23"/>
    <w:p w14:paraId="795BB632">
      <w:pPr>
        <w:pStyle w:val="104"/>
        <w:spacing w:before="312" w:after="312"/>
        <w:rPr>
          <w:rFonts w:ascii="Times New Roman"/>
        </w:rPr>
      </w:pPr>
      <w:bookmarkStart w:id="24" w:name="_Toc26648465"/>
      <w:bookmarkStart w:id="25" w:name="_Toc26986771"/>
      <w:bookmarkStart w:id="26" w:name="_Toc24884218"/>
      <w:bookmarkStart w:id="27" w:name="_Toc26718930"/>
      <w:bookmarkStart w:id="28" w:name="_Toc24884211"/>
      <w:bookmarkStart w:id="29" w:name="_Toc23830"/>
      <w:bookmarkStart w:id="30" w:name="_Toc26986530"/>
      <w:bookmarkStart w:id="31" w:name="_Toc17233325"/>
      <w:bookmarkStart w:id="32" w:name="_Toc97191423"/>
      <w:bookmarkStart w:id="33" w:name="_Toc17233333"/>
      <w:r>
        <w:rPr>
          <w:rFonts w:ascii="Times New Roman"/>
        </w:rPr>
        <w:t>范围</w:t>
      </w:r>
      <w:bookmarkEnd w:id="24"/>
      <w:bookmarkEnd w:id="25"/>
      <w:bookmarkEnd w:id="26"/>
      <w:bookmarkEnd w:id="27"/>
      <w:bookmarkEnd w:id="28"/>
      <w:bookmarkEnd w:id="29"/>
      <w:bookmarkEnd w:id="30"/>
      <w:bookmarkEnd w:id="31"/>
      <w:bookmarkEnd w:id="32"/>
      <w:bookmarkEnd w:id="33"/>
    </w:p>
    <w:p w14:paraId="4E698E6E">
      <w:pPr>
        <w:pStyle w:val="56"/>
        <w:ind w:firstLine="420"/>
        <w:rPr>
          <w:rFonts w:ascii="Times New Roman"/>
          <w:color w:val="000000" w:themeColor="text1"/>
          <w14:textFill>
            <w14:solidFill>
              <w14:schemeClr w14:val="tx1"/>
            </w14:solidFill>
          </w14:textFill>
        </w:rPr>
      </w:pPr>
      <w:bookmarkStart w:id="34" w:name="_Toc24884219"/>
      <w:bookmarkStart w:id="35" w:name="_Toc26648466"/>
      <w:bookmarkStart w:id="36" w:name="_Toc24884212"/>
      <w:bookmarkStart w:id="37" w:name="_Toc17233326"/>
      <w:bookmarkStart w:id="38" w:name="_Toc17233334"/>
      <w:r>
        <w:rPr>
          <w:rFonts w:hint="eastAsia" w:ascii="Times New Roman"/>
          <w:color w:val="000000" w:themeColor="text1"/>
          <w14:textFill>
            <w14:solidFill>
              <w14:schemeClr w14:val="tx1"/>
            </w14:solidFill>
          </w14:textFill>
        </w:rPr>
        <w:t>本文件界定了油樟叶渣栽培食用菌技术的术语和定义；规定了栽培场地和场所环境、菌种质量要求；描述了栽培料制备、接种、发菌期管理、出菇期管理、病虫害防治、采收、包装和贮运等方法。</w:t>
      </w:r>
    </w:p>
    <w:p w14:paraId="4289EBF3">
      <w:pPr>
        <w:pStyle w:val="56"/>
        <w:ind w:firstLine="420"/>
        <w:rPr>
          <w:rFonts w:ascii="Times New Roman"/>
          <w:color w:val="FF0000"/>
        </w:rPr>
      </w:pPr>
      <w:r>
        <w:rPr>
          <w:rFonts w:hint="eastAsia" w:ascii="Times New Roman"/>
          <w:color w:val="000000" w:themeColor="text1"/>
          <w14:textFill>
            <w14:solidFill>
              <w14:schemeClr w14:val="tx1"/>
            </w14:solidFill>
          </w14:textFill>
        </w:rPr>
        <w:t>本文件适用于宜宾市内以油樟叶渣为主要栽培料进行平菇</w:t>
      </w:r>
      <w:r>
        <w:rPr>
          <w:rFonts w:hint="eastAsia" w:hAnsi="宋体" w:cs="宋体"/>
          <w:color w:val="000000" w:themeColor="text1"/>
          <w14:textFill>
            <w14:solidFill>
              <w14:schemeClr w14:val="tx1"/>
            </w14:solidFill>
          </w14:textFill>
        </w:rPr>
        <w:t>（</w:t>
      </w:r>
      <w:r>
        <w:rPr>
          <w:rFonts w:hint="eastAsia" w:hAnsi="宋体" w:cs="宋体"/>
          <w:i/>
          <w:iCs/>
          <w:color w:val="000000" w:themeColor="text1"/>
          <w14:textFill>
            <w14:solidFill>
              <w14:schemeClr w14:val="tx1"/>
            </w14:solidFill>
          </w14:textFill>
        </w:rPr>
        <w:t>Pleurotus ostreatus</w:t>
      </w:r>
      <w:r>
        <w:rPr>
          <w:rFonts w:hint="eastAsia" w:hAnsi="宋体" w:cs="宋体"/>
          <w:color w:val="000000" w:themeColor="text1"/>
          <w14:textFill>
            <w14:solidFill>
              <w14:schemeClr w14:val="tx1"/>
            </w14:solidFill>
          </w14:textFill>
        </w:rPr>
        <w:t>）、茶树菇（</w:t>
      </w:r>
      <w:r>
        <w:rPr>
          <w:rFonts w:hint="eastAsia" w:hAnsi="宋体" w:cs="宋体"/>
          <w:i/>
          <w:iCs/>
          <w:color w:val="000000" w:themeColor="text1"/>
          <w14:textFill>
            <w14:solidFill>
              <w14:schemeClr w14:val="tx1"/>
            </w14:solidFill>
          </w14:textFill>
        </w:rPr>
        <w:t>Agrocybe cylindracea</w:t>
      </w:r>
      <w:r>
        <w:rPr>
          <w:rFonts w:hint="eastAsia" w:hAnsi="宋体" w:cs="宋体"/>
          <w:color w:val="000000" w:themeColor="text1"/>
          <w14:textFill>
            <w14:solidFill>
              <w14:schemeClr w14:val="tx1"/>
            </w14:solidFill>
          </w14:textFill>
        </w:rPr>
        <w:t>）、姬菇（</w:t>
      </w:r>
      <w:r>
        <w:rPr>
          <w:rFonts w:hint="eastAsia" w:hAnsi="宋体" w:cs="宋体"/>
          <w:i/>
          <w:iCs/>
          <w:color w:val="000000" w:themeColor="text1"/>
          <w14:textFill>
            <w14:solidFill>
              <w14:schemeClr w14:val="tx1"/>
            </w14:solidFill>
          </w14:textFill>
        </w:rPr>
        <w:t>Pleurotus cornucopiae</w:t>
      </w:r>
      <w:r>
        <w:rPr>
          <w:rFonts w:hint="eastAsia" w:hAnsi="宋体" w:cs="宋体"/>
          <w:color w:val="000000" w:themeColor="text1"/>
          <w14:textFill>
            <w14:solidFill>
              <w14:schemeClr w14:val="tx1"/>
            </w14:solidFill>
          </w14:textFill>
        </w:rPr>
        <w:t>）的种植。</w:t>
      </w:r>
    </w:p>
    <w:p w14:paraId="402DA8E3">
      <w:pPr>
        <w:pStyle w:val="104"/>
        <w:spacing w:before="312" w:after="312"/>
        <w:rPr>
          <w:rFonts w:ascii="Times New Roman"/>
        </w:rPr>
      </w:pPr>
      <w:bookmarkStart w:id="39" w:name="_Toc26986531"/>
      <w:bookmarkStart w:id="40" w:name="_Toc97191424"/>
      <w:bookmarkStart w:id="41" w:name="_Toc14835"/>
      <w:bookmarkStart w:id="42" w:name="_Toc26718931"/>
      <w:bookmarkStart w:id="43" w:name="_Toc26986772"/>
      <w:r>
        <w:rPr>
          <w:rFonts w:ascii="Times New Roman"/>
        </w:rPr>
        <w:t>规范性引用文件</w:t>
      </w:r>
      <w:bookmarkEnd w:id="34"/>
      <w:bookmarkEnd w:id="35"/>
      <w:bookmarkEnd w:id="36"/>
      <w:bookmarkEnd w:id="37"/>
      <w:bookmarkEnd w:id="38"/>
      <w:bookmarkEnd w:id="39"/>
      <w:bookmarkEnd w:id="40"/>
      <w:bookmarkEnd w:id="41"/>
      <w:bookmarkEnd w:id="42"/>
      <w:bookmarkEnd w:id="43"/>
    </w:p>
    <w:sdt>
      <w:sdtPr>
        <w:rPr>
          <w:rFonts w:ascii="Times New Roman"/>
        </w:rPr>
        <w:id w:val="715848253"/>
        <w:placeholder>
          <w:docPart w:val="5372EC9FE13840A38E1EBC04A643C09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32B4DD9D">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FA69F02">
      <w:pPr>
        <w:pStyle w:val="230"/>
        <w:spacing w:line="300" w:lineRule="exact"/>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GB 5749 </w:t>
      </w:r>
      <w:r>
        <w:rPr>
          <w:rFonts w:hint="eastAsia" w:hAnsi="宋体" w:cs="宋体"/>
          <w:color w:val="000000" w:themeColor="text1"/>
          <w:lang w:val="en-US" w:eastAsia="zh-CN"/>
          <w14:textFill>
            <w14:solidFill>
              <w14:schemeClr w14:val="tx1"/>
            </w14:solidFill>
          </w14:textFill>
        </w:rPr>
        <w:t xml:space="preserve"> </w:t>
      </w:r>
      <w:r>
        <w:rPr>
          <w:rFonts w:hint="eastAsia" w:hAnsi="宋体" w:cs="宋体"/>
          <w:color w:val="000000" w:themeColor="text1"/>
          <w14:textFill>
            <w14:solidFill>
              <w14:schemeClr w14:val="tx1"/>
            </w14:solidFill>
          </w14:textFill>
        </w:rPr>
        <w:t>生活饮用水卫生标准</w:t>
      </w:r>
    </w:p>
    <w:p w14:paraId="162EFACD">
      <w:pPr>
        <w:pStyle w:val="230"/>
        <w:spacing w:line="300" w:lineRule="exact"/>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GB/T 8321 </w:t>
      </w:r>
      <w:r>
        <w:rPr>
          <w:rFonts w:hint="eastAsia" w:hAnsi="宋体" w:cs="宋体"/>
          <w:color w:val="000000" w:themeColor="text1"/>
          <w:lang w:val="en-US" w:eastAsia="zh-CN"/>
          <w14:textFill>
            <w14:solidFill>
              <w14:schemeClr w14:val="tx1"/>
            </w14:solidFill>
          </w14:textFill>
        </w:rPr>
        <w:t xml:space="preserve"> </w:t>
      </w:r>
      <w:r>
        <w:rPr>
          <w:rFonts w:hint="eastAsia" w:hAnsi="宋体" w:cs="宋体"/>
          <w:color w:val="000000" w:themeColor="text1"/>
          <w14:textFill>
            <w14:solidFill>
              <w14:schemeClr w14:val="tx1"/>
            </w14:solidFill>
          </w14:textFill>
        </w:rPr>
        <w:t>农药合理使用准则</w:t>
      </w:r>
    </w:p>
    <w:p w14:paraId="2358539B">
      <w:pPr>
        <w:pStyle w:val="230"/>
        <w:spacing w:line="300" w:lineRule="exact"/>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GB/T 24616 </w:t>
      </w:r>
      <w:r>
        <w:rPr>
          <w:rFonts w:hint="eastAsia" w:hAnsi="宋体" w:cs="宋体"/>
          <w:color w:val="000000" w:themeColor="text1"/>
          <w:lang w:val="en-US" w:eastAsia="zh-CN"/>
          <w14:textFill>
            <w14:solidFill>
              <w14:schemeClr w14:val="tx1"/>
            </w14:solidFill>
          </w14:textFill>
        </w:rPr>
        <w:t xml:space="preserve"> </w:t>
      </w:r>
      <w:r>
        <w:rPr>
          <w:rFonts w:hint="eastAsia" w:hAnsi="宋体" w:cs="宋体"/>
          <w:color w:val="000000" w:themeColor="text1"/>
          <w14:textFill>
            <w14:solidFill>
              <w14:schemeClr w14:val="tx1"/>
            </w14:solidFill>
          </w14:textFill>
        </w:rPr>
        <w:t>冷藏、冷冻食品物流包装、标志、运输和储存</w:t>
      </w:r>
    </w:p>
    <w:p w14:paraId="0E8C1F94">
      <w:pPr>
        <w:pStyle w:val="230"/>
        <w:spacing w:line="300" w:lineRule="exact"/>
        <w:rPr>
          <w:rFonts w:hint="eastAsia"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 xml:space="preserve">NY/T 393 </w:t>
      </w:r>
      <w:r>
        <w:rPr>
          <w:rFonts w:hint="eastAsia" w:hAnsi="宋体" w:cs="宋体"/>
          <w:color w:val="000000" w:themeColor="text1"/>
          <w:szCs w:val="21"/>
          <w:lang w:val="en-US" w:eastAsia="zh-CN"/>
          <w14:textFill>
            <w14:solidFill>
              <w14:schemeClr w14:val="tx1"/>
            </w14:solidFill>
          </w14:textFill>
        </w:rPr>
        <w:t xml:space="preserve"> </w:t>
      </w:r>
      <w:r>
        <w:rPr>
          <w:rFonts w:hint="eastAsia" w:hAnsi="宋体" w:cs="宋体"/>
          <w:color w:val="000000" w:themeColor="text1"/>
          <w:szCs w:val="21"/>
          <w14:textFill>
            <w14:solidFill>
              <w14:schemeClr w14:val="tx1"/>
            </w14:solidFill>
          </w14:textFill>
        </w:rPr>
        <w:t>绿色食品农药使用准则</w:t>
      </w:r>
    </w:p>
    <w:p w14:paraId="30A42212">
      <w:pPr>
        <w:pStyle w:val="230"/>
        <w:spacing w:line="300" w:lineRule="exact"/>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NY/T 1742 </w:t>
      </w:r>
      <w:r>
        <w:rPr>
          <w:rFonts w:hint="eastAsia" w:hAnsi="宋体" w:cs="宋体"/>
          <w:color w:val="000000" w:themeColor="text1"/>
          <w:lang w:val="en-US" w:eastAsia="zh-CN"/>
          <w14:textFill>
            <w14:solidFill>
              <w14:schemeClr w14:val="tx1"/>
            </w14:solidFill>
          </w14:textFill>
        </w:rPr>
        <w:t xml:space="preserve"> </w:t>
      </w:r>
      <w:r>
        <w:rPr>
          <w:rFonts w:hint="eastAsia" w:hAnsi="宋体" w:cs="宋体"/>
          <w:color w:val="000000" w:themeColor="text1"/>
          <w14:textFill>
            <w14:solidFill>
              <w14:schemeClr w14:val="tx1"/>
            </w14:solidFill>
          </w14:textFill>
        </w:rPr>
        <w:t>食用菌菌种通用技术要求</w:t>
      </w:r>
    </w:p>
    <w:p w14:paraId="23BBD3F3">
      <w:pPr>
        <w:pStyle w:val="230"/>
        <w:spacing w:line="300" w:lineRule="exact"/>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NY/T 2375 </w:t>
      </w:r>
      <w:r>
        <w:rPr>
          <w:rFonts w:hint="eastAsia" w:hAnsi="宋体" w:cs="宋体"/>
          <w:color w:val="000000" w:themeColor="text1"/>
          <w:lang w:val="en-US" w:eastAsia="zh-CN"/>
          <w14:textFill>
            <w14:solidFill>
              <w14:schemeClr w14:val="tx1"/>
            </w14:solidFill>
          </w14:textFill>
        </w:rPr>
        <w:t xml:space="preserve"> </w:t>
      </w:r>
      <w:r>
        <w:rPr>
          <w:rFonts w:hint="eastAsia" w:hAnsi="宋体" w:cs="宋体"/>
          <w:color w:val="000000" w:themeColor="text1"/>
          <w14:textFill>
            <w14:solidFill>
              <w14:schemeClr w14:val="tx1"/>
            </w14:solidFill>
          </w14:textFill>
        </w:rPr>
        <w:t>食用菌生产技术规范</w:t>
      </w:r>
    </w:p>
    <w:p w14:paraId="77BEC8B9">
      <w:pPr>
        <w:pStyle w:val="230"/>
        <w:spacing w:line="300" w:lineRule="exact"/>
        <w:rPr>
          <w:rFonts w:hint="eastAsia"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 xml:space="preserve">NY 5099 </w:t>
      </w:r>
      <w:r>
        <w:rPr>
          <w:rFonts w:hint="eastAsia" w:hAnsi="宋体" w:cs="宋体"/>
          <w:color w:val="000000" w:themeColor="text1"/>
          <w:szCs w:val="21"/>
          <w:lang w:val="en-US" w:eastAsia="zh-CN"/>
          <w14:textFill>
            <w14:solidFill>
              <w14:schemeClr w14:val="tx1"/>
            </w14:solidFill>
          </w14:textFill>
        </w:rPr>
        <w:t xml:space="preserve"> </w:t>
      </w:r>
      <w:r>
        <w:rPr>
          <w:rFonts w:hint="eastAsia" w:hAnsi="宋体" w:cs="宋体"/>
          <w:color w:val="000000" w:themeColor="text1"/>
          <w:szCs w:val="21"/>
          <w14:textFill>
            <w14:solidFill>
              <w14:schemeClr w14:val="tx1"/>
            </w14:solidFill>
          </w14:textFill>
        </w:rPr>
        <w:t>无公害食品 食用菌栽培基质安全技术要求</w:t>
      </w:r>
    </w:p>
    <w:p w14:paraId="6D274AEE">
      <w:pPr>
        <w:pStyle w:val="104"/>
        <w:spacing w:before="312" w:after="312"/>
        <w:rPr>
          <w:rFonts w:ascii="Times New Roman"/>
        </w:rPr>
      </w:pPr>
      <w:bookmarkStart w:id="44" w:name="_Toc97191425"/>
      <w:bookmarkStart w:id="45" w:name="_Toc15101"/>
      <w:r>
        <w:rPr>
          <w:rFonts w:ascii="Times New Roman"/>
          <w:szCs w:val="21"/>
        </w:rPr>
        <w:t>术语和定义</w:t>
      </w:r>
      <w:bookmarkEnd w:id="44"/>
      <w:bookmarkEnd w:id="45"/>
    </w:p>
    <w:sdt>
      <w:sdtPr>
        <w:rPr>
          <w:rFonts w:ascii="Times New Roman"/>
        </w:rPr>
        <w:id w:val="-1909835108"/>
        <w:placeholder>
          <w:docPart w:val="E7967A1E92954A6E808AB5369265896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177271B1">
          <w:pPr>
            <w:pStyle w:val="56"/>
            <w:ind w:firstLine="420"/>
            <w:rPr>
              <w:rFonts w:ascii="Times New Roman"/>
            </w:rPr>
          </w:pPr>
          <w:bookmarkStart w:id="46" w:name="_Toc26986532"/>
          <w:bookmarkEnd w:id="46"/>
          <w:r>
            <w:rPr>
              <w:rFonts w:ascii="Times New Roman"/>
            </w:rPr>
            <w:t>下列术语和定义适用于本文件。</w:t>
          </w:r>
        </w:p>
      </w:sdtContent>
    </w:sdt>
    <w:p w14:paraId="1C805610">
      <w:pPr>
        <w:pStyle w:val="223"/>
        <w:ind w:left="420" w:hanging="420" w:hangingChars="200"/>
        <w:rPr>
          <w:rFonts w:hint="eastAsia" w:ascii="黑体" w:hAnsi="黑体" w:eastAsia="黑体"/>
        </w:rPr>
      </w:pPr>
    </w:p>
    <w:p w14:paraId="02727796">
      <w:pPr>
        <w:pStyle w:val="223"/>
        <w:numPr>
          <w:ilvl w:val="0"/>
          <w:numId w:val="0"/>
        </w:numPr>
        <w:spacing w:before="156" w:beforeLines="50" w:after="156" w:afterLines="50"/>
        <w:ind w:left="420"/>
        <w:rPr>
          <w:rFonts w:ascii="Times New Roman" w:eastAsia="黑体"/>
        </w:rPr>
      </w:pPr>
      <w:r>
        <w:rPr>
          <w:rFonts w:hint="eastAsia" w:ascii="Times New Roman" w:eastAsia="黑体"/>
          <w:szCs w:val="21"/>
        </w:rPr>
        <w:t>油樟叶渣</w:t>
      </w:r>
      <w:r>
        <w:rPr>
          <w:rFonts w:hint="eastAsia" w:ascii="黑体" w:hAnsi="黑体" w:eastAsia="黑体" w:cs="黑体"/>
          <w:szCs w:val="21"/>
        </w:rPr>
        <w:t xml:space="preserve"> </w:t>
      </w:r>
      <w:r>
        <w:rPr>
          <w:rFonts w:hint="eastAsia" w:ascii="黑体" w:hAnsi="黑体" w:eastAsia="黑体" w:cs="黑体"/>
          <w:i/>
          <w:iCs/>
          <w:szCs w:val="21"/>
          <w:lang w:val="en-US" w:eastAsia="zh-CN"/>
        </w:rPr>
        <w:t>C</w:t>
      </w:r>
      <w:bookmarkStart w:id="60" w:name="_GoBack"/>
      <w:bookmarkEnd w:id="60"/>
      <w:r>
        <w:rPr>
          <w:rFonts w:hint="eastAsia" w:ascii="黑体" w:hAnsi="黑体" w:eastAsia="黑体" w:cs="黑体"/>
          <w:i/>
          <w:iCs/>
          <w:szCs w:val="21"/>
        </w:rPr>
        <w:t>innamomum longipaniculatum</w:t>
      </w:r>
      <w:r>
        <w:rPr>
          <w:rFonts w:hint="eastAsia" w:ascii="黑体" w:hAnsi="黑体" w:eastAsia="黑体" w:cs="黑体"/>
          <w:szCs w:val="21"/>
        </w:rPr>
        <w:t xml:space="preserve"> leaf residues</w:t>
      </w:r>
    </w:p>
    <w:p w14:paraId="7C626BD0">
      <w:pPr>
        <w:pStyle w:val="230"/>
        <w:spacing w:line="300" w:lineRule="exact"/>
        <w:rPr>
          <w:rFonts w:ascii="Times New Roman"/>
          <w:szCs w:val="21"/>
        </w:rPr>
      </w:pPr>
      <w:r>
        <w:rPr>
          <w:rFonts w:hint="eastAsia" w:ascii="Times New Roman"/>
          <w:szCs w:val="21"/>
        </w:rPr>
        <w:t>油樟叶片经蒸馏提取挥发油（樟油）后剩余的固体残渣</w:t>
      </w:r>
      <w:r>
        <w:rPr>
          <w:rFonts w:ascii="Times New Roman"/>
          <w:szCs w:val="21"/>
        </w:rPr>
        <w:t>。</w:t>
      </w:r>
    </w:p>
    <w:p w14:paraId="66CEFEDA">
      <w:pPr>
        <w:pStyle w:val="223"/>
        <w:ind w:left="420" w:hanging="420" w:hangingChars="200"/>
        <w:rPr>
          <w:rFonts w:hint="eastAsia" w:ascii="黑体" w:hAnsi="黑体" w:eastAsia="黑体"/>
        </w:rPr>
      </w:pPr>
    </w:p>
    <w:p w14:paraId="2E13DE84">
      <w:pPr>
        <w:pStyle w:val="230"/>
        <w:spacing w:line="300" w:lineRule="exact"/>
        <w:rPr>
          <w:rFonts w:hint="eastAsia" w:ascii="黑体" w:hAnsi="黑体" w:eastAsia="黑体" w:cs="黑体"/>
          <w:szCs w:val="21"/>
        </w:rPr>
      </w:pPr>
      <w:r>
        <w:rPr>
          <w:rFonts w:hint="eastAsia" w:ascii="Times New Roman" w:eastAsia="黑体"/>
          <w:szCs w:val="21"/>
        </w:rPr>
        <w:t>栽培料</w:t>
      </w:r>
      <w:r>
        <w:rPr>
          <w:rFonts w:hint="eastAsia" w:ascii="黑体" w:hAnsi="黑体" w:eastAsia="黑体" w:cs="黑体"/>
          <w:szCs w:val="21"/>
        </w:rPr>
        <w:t xml:space="preserve"> cultivation material</w:t>
      </w:r>
    </w:p>
    <w:p w14:paraId="4B4C4851">
      <w:pPr>
        <w:pStyle w:val="230"/>
        <w:spacing w:line="300" w:lineRule="exact"/>
        <w:rPr>
          <w:rFonts w:ascii="Times New Roman"/>
          <w:szCs w:val="21"/>
        </w:rPr>
      </w:pPr>
      <w:r>
        <w:rPr>
          <w:rFonts w:hint="eastAsia" w:ascii="Times New Roman"/>
          <w:szCs w:val="21"/>
        </w:rPr>
        <w:t>为食用菌生长繁殖提供营养的物质。如棉籽壳、玉米秸秆、玉米芯、大豆杆、稻草、稻壳、麦秆等农作物废弃物。</w:t>
      </w:r>
    </w:p>
    <w:p w14:paraId="487F2783">
      <w:pPr>
        <w:pStyle w:val="104"/>
        <w:spacing w:before="312" w:after="312"/>
        <w:rPr>
          <w:rFonts w:ascii="Times New Roman"/>
        </w:rPr>
      </w:pPr>
      <w:bookmarkStart w:id="47" w:name="_Toc9576"/>
      <w:r>
        <w:rPr>
          <w:rFonts w:hint="eastAsia" w:ascii="Times New Roman"/>
        </w:rPr>
        <w:t>栽培场地和场所环境</w:t>
      </w:r>
      <w:bookmarkEnd w:id="47"/>
    </w:p>
    <w:p w14:paraId="511BAF7F">
      <w:pPr>
        <w:pStyle w:val="162"/>
        <w:numPr>
          <w:ilvl w:val="2"/>
          <w:numId w:val="0"/>
        </w:numPr>
        <w:ind w:firstLine="420" w:firstLineChars="200"/>
      </w:pPr>
      <w:r>
        <w:rPr>
          <w:rFonts w:hint="eastAsia" w:ascii="Times New Roman"/>
        </w:rPr>
        <w:t>栽培场地和场所环境</w:t>
      </w:r>
      <w:r>
        <w:rPr>
          <w:rFonts w:hint="eastAsia"/>
        </w:rPr>
        <w:t>应</w:t>
      </w:r>
      <w:r>
        <w:rPr>
          <w:rFonts w:hint="eastAsia" w:ascii="Times New Roman"/>
        </w:rPr>
        <w:t>符合</w:t>
      </w:r>
      <w:r>
        <w:rPr>
          <w:rFonts w:hint="eastAsia" w:hAnsi="宋体" w:cs="宋体"/>
        </w:rPr>
        <w:t>NY/T 2375</w:t>
      </w:r>
      <w:r>
        <w:rPr>
          <w:rFonts w:hint="eastAsia" w:ascii="Times New Roman"/>
        </w:rPr>
        <w:t>要求，生产用水应符合</w:t>
      </w:r>
      <w:r>
        <w:rPr>
          <w:rFonts w:hint="eastAsia" w:hAnsi="宋体" w:cs="宋体"/>
        </w:rPr>
        <w:t>GB 5749</w:t>
      </w:r>
      <w:r>
        <w:rPr>
          <w:rFonts w:hint="eastAsia" w:ascii="Times New Roman"/>
        </w:rPr>
        <w:t>要求</w:t>
      </w:r>
      <w:r>
        <w:rPr>
          <w:rFonts w:ascii="Times New Roman"/>
        </w:rPr>
        <w:t>。</w:t>
      </w:r>
    </w:p>
    <w:p w14:paraId="2E286BFC">
      <w:pPr>
        <w:pStyle w:val="104"/>
        <w:spacing w:before="312" w:after="312"/>
        <w:rPr>
          <w:rFonts w:ascii="Times New Roman" w:eastAsia="宋体"/>
          <w:shd w:val="clear" w:color="auto" w:fill="FFFFFF"/>
        </w:rPr>
      </w:pPr>
      <w:bookmarkStart w:id="48" w:name="_Toc16445"/>
      <w:r>
        <w:rPr>
          <w:rFonts w:hint="eastAsia" w:ascii="Times New Roman"/>
        </w:rPr>
        <w:t>菌种质量要求</w:t>
      </w:r>
      <w:bookmarkEnd w:id="48"/>
    </w:p>
    <w:p w14:paraId="5FC37C02">
      <w:pPr>
        <w:pStyle w:val="162"/>
        <w:numPr>
          <w:ilvl w:val="2"/>
          <w:numId w:val="0"/>
        </w:numPr>
        <w:ind w:firstLine="420" w:firstLineChars="200"/>
      </w:pPr>
      <w:r>
        <w:rPr>
          <w:rFonts w:hint="eastAsia"/>
        </w:rPr>
        <w:t>平菇、茶树菇和姬菇母种、原种、栽培种质量应符合NY/T 1742要求。</w:t>
      </w:r>
    </w:p>
    <w:p w14:paraId="69795448">
      <w:pPr>
        <w:pStyle w:val="104"/>
        <w:spacing w:before="312" w:after="312"/>
        <w:rPr>
          <w:rFonts w:ascii="Times New Roman"/>
        </w:rPr>
      </w:pPr>
      <w:bookmarkStart w:id="49" w:name="_Toc14702"/>
      <w:r>
        <w:rPr>
          <w:rFonts w:hint="eastAsia" w:ascii="Times New Roman"/>
        </w:rPr>
        <w:t>栽培料制备</w:t>
      </w:r>
      <w:bookmarkEnd w:id="49"/>
    </w:p>
    <w:p w14:paraId="6EA33C26">
      <w:pPr>
        <w:pStyle w:val="105"/>
        <w:spacing w:before="156" w:after="156"/>
      </w:pPr>
      <w:r>
        <w:rPr>
          <w:rFonts w:hint="eastAsia"/>
        </w:rPr>
        <w:t>原辅料</w:t>
      </w:r>
    </w:p>
    <w:p w14:paraId="07477086">
      <w:pPr>
        <w:pStyle w:val="162"/>
        <w:numPr>
          <w:ilvl w:val="2"/>
          <w:numId w:val="0"/>
        </w:numPr>
        <w:ind w:firstLine="420" w:firstLineChars="200"/>
        <w:rPr>
          <w:rFonts w:ascii="Times New Roman"/>
        </w:rPr>
      </w:pPr>
      <w:r>
        <w:rPr>
          <w:rFonts w:hint="eastAsia" w:ascii="Times New Roman"/>
        </w:rPr>
        <w:t>主料：油樟叶渣、</w:t>
      </w:r>
      <w:r>
        <w:rPr>
          <w:rFonts w:ascii="Times New Roman"/>
        </w:rPr>
        <w:t>棉籽壳</w:t>
      </w:r>
      <w:r>
        <w:rPr>
          <w:rFonts w:hint="eastAsia" w:ascii="Times New Roman"/>
        </w:rPr>
        <w:t>、</w:t>
      </w:r>
      <w:r>
        <w:rPr>
          <w:rFonts w:ascii="Times New Roman"/>
        </w:rPr>
        <w:t>玉米芯</w:t>
      </w:r>
      <w:r>
        <w:rPr>
          <w:rFonts w:hint="eastAsia" w:ascii="Times New Roman"/>
        </w:rPr>
        <w:t>等；辅料：</w:t>
      </w:r>
      <w:r>
        <w:rPr>
          <w:rFonts w:ascii="Times New Roman"/>
        </w:rPr>
        <w:t>麸皮、石灰、石膏粉</w:t>
      </w:r>
      <w:r>
        <w:rPr>
          <w:rFonts w:hint="eastAsia" w:ascii="Times New Roman"/>
        </w:rPr>
        <w:t>、</w:t>
      </w:r>
      <w:r>
        <w:rPr>
          <w:rFonts w:ascii="Times New Roman"/>
        </w:rPr>
        <w:t>过磷酸钙</w:t>
      </w:r>
      <w:r>
        <w:rPr>
          <w:rFonts w:hint="eastAsia" w:ascii="Times New Roman"/>
        </w:rPr>
        <w:t>、白糖等。油樟叶渣应无霉变、无腐烂，其他原料质量应符合</w:t>
      </w:r>
      <w:r>
        <w:rPr>
          <w:rFonts w:hint="eastAsia" w:hAnsi="宋体" w:cs="宋体"/>
        </w:rPr>
        <w:t>NY 5099</w:t>
      </w:r>
      <w:r>
        <w:rPr>
          <w:rFonts w:hint="eastAsia" w:ascii="Times New Roman"/>
        </w:rPr>
        <w:t>要求。</w:t>
      </w:r>
    </w:p>
    <w:p w14:paraId="5AB47BC0">
      <w:pPr>
        <w:pStyle w:val="105"/>
        <w:spacing w:before="156" w:after="156"/>
      </w:pPr>
      <w:r>
        <w:rPr>
          <w:rFonts w:hint="eastAsia"/>
        </w:rPr>
        <w:t>配方</w:t>
      </w:r>
    </w:p>
    <w:p w14:paraId="58FC61FF">
      <w:pPr>
        <w:pStyle w:val="162"/>
        <w:numPr>
          <w:ilvl w:val="2"/>
          <w:numId w:val="0"/>
        </w:numPr>
        <w:ind w:firstLine="420" w:firstLineChars="200"/>
        <w:rPr>
          <w:rFonts w:ascii="Times New Roman"/>
        </w:rPr>
      </w:pPr>
      <w:r>
        <w:rPr>
          <w:rFonts w:hint="eastAsia" w:ascii="Times New Roman"/>
        </w:rPr>
        <w:t>平菇、茶树菇和姬菇栽培料原料配方应符合表</w:t>
      </w:r>
      <w:r>
        <w:rPr>
          <w:rFonts w:hint="eastAsia" w:ascii="宋体" w:hAnsi="宋体" w:eastAsia="宋体" w:cs="宋体"/>
        </w:rPr>
        <w:t>2</w:t>
      </w:r>
      <w:r>
        <w:rPr>
          <w:rFonts w:hint="eastAsia" w:ascii="Times New Roman"/>
        </w:rPr>
        <w:t>要求。</w:t>
      </w:r>
    </w:p>
    <w:p w14:paraId="65484708">
      <w:pPr>
        <w:pStyle w:val="112"/>
        <w:spacing w:before="156" w:after="156"/>
      </w:pPr>
      <w:r>
        <w:rPr>
          <w:rFonts w:hint="eastAsia"/>
        </w:rPr>
        <w:t>油樟叶渣栽培料原料配方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088"/>
      </w:tblGrid>
      <w:tr w14:paraId="45091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shd w:val="clear" w:color="auto" w:fill="auto"/>
            <w:vAlign w:val="center"/>
          </w:tcPr>
          <w:p w14:paraId="20D9DE1E">
            <w:pPr>
              <w:pStyle w:val="178"/>
              <w:spacing w:line="360" w:lineRule="auto"/>
            </w:pPr>
            <w:r>
              <w:rPr>
                <w:rFonts w:hint="eastAsia" w:ascii="Times New Roman"/>
              </w:rPr>
              <w:t>食用菌种类</w:t>
            </w:r>
          </w:p>
        </w:tc>
        <w:tc>
          <w:tcPr>
            <w:tcW w:w="7088" w:type="dxa"/>
            <w:tcBorders>
              <w:top w:val="single" w:color="auto" w:sz="8" w:space="0"/>
              <w:bottom w:val="single" w:color="auto" w:sz="8" w:space="0"/>
            </w:tcBorders>
            <w:shd w:val="clear" w:color="auto" w:fill="auto"/>
            <w:vAlign w:val="center"/>
          </w:tcPr>
          <w:p w14:paraId="612AE110">
            <w:pPr>
              <w:pStyle w:val="178"/>
              <w:spacing w:line="360" w:lineRule="auto"/>
            </w:pPr>
            <w:r>
              <w:rPr>
                <w:rFonts w:hint="eastAsia" w:ascii="Times New Roman"/>
              </w:rPr>
              <w:t>配方</w:t>
            </w:r>
          </w:p>
        </w:tc>
      </w:tr>
      <w:tr w14:paraId="6E3F2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shd w:val="clear" w:color="auto" w:fill="auto"/>
            <w:vAlign w:val="center"/>
          </w:tcPr>
          <w:p w14:paraId="09BF4B92">
            <w:pPr>
              <w:pStyle w:val="178"/>
              <w:spacing w:line="360" w:lineRule="auto"/>
            </w:pPr>
            <w:r>
              <w:rPr>
                <w:rFonts w:hint="eastAsia" w:ascii="Times New Roman"/>
              </w:rPr>
              <w:t>平菇</w:t>
            </w:r>
          </w:p>
        </w:tc>
        <w:tc>
          <w:tcPr>
            <w:tcW w:w="7088" w:type="dxa"/>
            <w:tcBorders>
              <w:top w:val="single" w:color="auto" w:sz="8" w:space="0"/>
            </w:tcBorders>
            <w:shd w:val="clear" w:color="auto" w:fill="auto"/>
            <w:vAlign w:val="center"/>
          </w:tcPr>
          <w:p w14:paraId="0AC2CD00">
            <w:pPr>
              <w:pStyle w:val="178"/>
              <w:spacing w:line="360" w:lineRule="auto"/>
            </w:pPr>
            <w:r>
              <w:rPr>
                <w:rFonts w:ascii="Times New Roman"/>
              </w:rPr>
              <w:t>油樟叶渣68%、棉籽壳20%、麸皮10%、石灰1%、石膏粉1%</w:t>
            </w:r>
          </w:p>
        </w:tc>
      </w:tr>
      <w:tr w14:paraId="1E59A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08831708">
            <w:pPr>
              <w:pStyle w:val="178"/>
              <w:spacing w:line="360" w:lineRule="auto"/>
            </w:pPr>
            <w:r>
              <w:rPr>
                <w:rFonts w:hint="eastAsia" w:ascii="Times New Roman"/>
              </w:rPr>
              <w:t>茶树菇</w:t>
            </w:r>
          </w:p>
        </w:tc>
        <w:tc>
          <w:tcPr>
            <w:tcW w:w="7088" w:type="dxa"/>
            <w:shd w:val="clear" w:color="auto" w:fill="auto"/>
            <w:vAlign w:val="center"/>
          </w:tcPr>
          <w:p w14:paraId="28173BB0">
            <w:pPr>
              <w:pStyle w:val="178"/>
              <w:spacing w:line="360" w:lineRule="auto"/>
            </w:pPr>
            <w:r>
              <w:rPr>
                <w:rFonts w:ascii="Times New Roman"/>
              </w:rPr>
              <w:t>油樟叶渣72%、玉米芯10%、麸皮10%、玉米粉5%、过磷酸钙1%、碳酸钙1%、石膏粉1%</w:t>
            </w:r>
          </w:p>
        </w:tc>
      </w:tr>
      <w:tr w14:paraId="4C1F2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7092CD20">
            <w:pPr>
              <w:pStyle w:val="178"/>
              <w:spacing w:line="360" w:lineRule="auto"/>
            </w:pPr>
            <w:r>
              <w:rPr>
                <w:rFonts w:hint="eastAsia" w:ascii="Times New Roman"/>
              </w:rPr>
              <w:t>姬菇</w:t>
            </w:r>
          </w:p>
        </w:tc>
        <w:tc>
          <w:tcPr>
            <w:tcW w:w="7088" w:type="dxa"/>
            <w:shd w:val="clear" w:color="auto" w:fill="auto"/>
            <w:vAlign w:val="center"/>
          </w:tcPr>
          <w:p w14:paraId="4AD4431B">
            <w:pPr>
              <w:pStyle w:val="178"/>
              <w:spacing w:line="360" w:lineRule="auto"/>
            </w:pPr>
            <w:r>
              <w:rPr>
                <w:rFonts w:ascii="Times New Roman"/>
              </w:rPr>
              <w:t>油樟叶渣60%、棉籽壳28%、麸皮10%、白糖1%、石膏粉1%</w:t>
            </w:r>
          </w:p>
        </w:tc>
      </w:tr>
    </w:tbl>
    <w:p w14:paraId="632797D7">
      <w:pPr>
        <w:pStyle w:val="56"/>
        <w:ind w:firstLine="0" w:firstLineChars="0"/>
      </w:pPr>
    </w:p>
    <w:p w14:paraId="00F8FF15">
      <w:pPr>
        <w:pStyle w:val="105"/>
        <w:spacing w:before="156" w:after="156"/>
      </w:pPr>
      <w:r>
        <w:rPr>
          <w:rFonts w:hint="eastAsia"/>
        </w:rPr>
        <w:t>栽培料制备</w:t>
      </w:r>
    </w:p>
    <w:p w14:paraId="6B5E7249">
      <w:pPr>
        <w:pStyle w:val="65"/>
        <w:spacing w:before="156" w:after="156"/>
      </w:pPr>
      <w:r>
        <w:rPr>
          <w:rFonts w:hint="eastAsia"/>
        </w:rPr>
        <w:t>油樟叶渣处理</w:t>
      </w:r>
    </w:p>
    <w:p w14:paraId="21535A6D">
      <w:pPr>
        <w:pStyle w:val="162"/>
        <w:numPr>
          <w:ilvl w:val="2"/>
          <w:numId w:val="0"/>
        </w:numPr>
        <w:ind w:firstLine="420" w:firstLineChars="200"/>
        <w:rPr>
          <w:rFonts w:hint="eastAsia" w:hAnsi="宋体" w:cs="宋体"/>
        </w:rPr>
      </w:pPr>
      <w:r>
        <w:rPr>
          <w:rFonts w:hint="eastAsia" w:hAnsi="宋体" w:cs="宋体"/>
        </w:rPr>
        <w:t>油樟叶渣粉碎至直径0.5 cm～2 cm，随后用1%～2%石灰水浸泡24 h（夏季可浸泡12 h，冬季24 h），待浸出液的pH稳定在8.5～9.0后，捞起沥干，闷堆12 h后待用。</w:t>
      </w:r>
    </w:p>
    <w:p w14:paraId="15C0C903">
      <w:pPr>
        <w:pStyle w:val="65"/>
        <w:spacing w:before="156" w:after="156"/>
      </w:pPr>
      <w:r>
        <w:rPr>
          <w:rFonts w:hint="eastAsia"/>
        </w:rPr>
        <w:t>栽培料配制</w:t>
      </w:r>
    </w:p>
    <w:p w14:paraId="1FEC4186">
      <w:pPr>
        <w:pStyle w:val="56"/>
        <w:ind w:firstLine="420"/>
      </w:pPr>
      <w:r>
        <w:rPr>
          <w:rFonts w:hint="eastAsia"/>
        </w:rPr>
        <w:t>向处理好的油樟叶渣中按表</w:t>
      </w:r>
      <w:r>
        <w:rPr>
          <w:rFonts w:hint="eastAsia" w:ascii="宋体" w:hAnsi="宋体" w:eastAsia="宋体" w:cs="宋体"/>
          <w:lang w:val="en-US" w:eastAsia="zh-CN"/>
        </w:rPr>
        <w:t>2</w:t>
      </w:r>
      <w:r>
        <w:rPr>
          <w:rFonts w:hint="eastAsia"/>
        </w:rPr>
        <w:t>加入其他主料和辅料，混合均匀，同时缓慢加水，调至含水量65%左右（用手稍用力握栽培料成团，指尖有水渗出且无水滴落下），pH值调至8。注意拌料时做到原料混合均匀、吸水均匀、酸碱度均匀。</w:t>
      </w:r>
    </w:p>
    <w:p w14:paraId="459A6575">
      <w:pPr>
        <w:pStyle w:val="65"/>
        <w:spacing w:before="156" w:after="156"/>
      </w:pPr>
      <w:r>
        <w:rPr>
          <w:rFonts w:hint="eastAsia"/>
        </w:rPr>
        <w:t>栽培袋制作</w:t>
      </w:r>
    </w:p>
    <w:p w14:paraId="4F3300AF">
      <w:pPr>
        <w:pStyle w:val="162"/>
        <w:numPr>
          <w:ilvl w:val="2"/>
          <w:numId w:val="0"/>
        </w:numPr>
        <w:ind w:firstLine="420" w:firstLineChars="200"/>
        <w:rPr>
          <w:rFonts w:hint="eastAsia" w:hAnsi="宋体" w:cs="宋体"/>
        </w:rPr>
      </w:pPr>
      <w:r>
        <w:rPr>
          <w:rFonts w:hint="eastAsia" w:hAnsi="宋体" w:cs="宋体"/>
        </w:rPr>
        <w:t>将栽培料混合均匀，采用规格15 cm×35 cm×0.05 cm的聚丙烯塑料袋装料，每袋装料约200 g，清理干净袋口后用套环封口。然后110 ℃、灭菌6 h，冷却至室温后接种。</w:t>
      </w:r>
    </w:p>
    <w:p w14:paraId="72AE28D7">
      <w:pPr>
        <w:pStyle w:val="104"/>
        <w:spacing w:before="312" w:after="312"/>
        <w:rPr>
          <w:rFonts w:ascii="Times New Roman"/>
        </w:rPr>
      </w:pPr>
      <w:bookmarkStart w:id="50" w:name="_Toc10491"/>
      <w:r>
        <w:rPr>
          <w:rFonts w:hint="eastAsia" w:ascii="Times New Roman"/>
        </w:rPr>
        <w:t>接种</w:t>
      </w:r>
      <w:bookmarkEnd w:id="50"/>
    </w:p>
    <w:p w14:paraId="1E61B632">
      <w:pPr>
        <w:pStyle w:val="56"/>
        <w:ind w:firstLine="420"/>
      </w:pPr>
      <w:r>
        <w:rPr>
          <w:rFonts w:hint="eastAsia"/>
        </w:rPr>
        <w:t>在无菌条件下，按8%</w:t>
      </w:r>
      <w:r>
        <w:rPr>
          <w:rFonts w:hint="eastAsia" w:ascii="Times New Roman"/>
        </w:rPr>
        <w:t>～</w:t>
      </w:r>
      <w:r>
        <w:rPr>
          <w:rFonts w:hint="eastAsia"/>
        </w:rPr>
        <w:t>10%(生产菌种与栽培料的重量比)的接种量，将原种直接接种于栽培料表面，要求全面覆盖栽培料表面，并稍压紧，使袋内栽培料与外界空气隔开，以降低感染率和促进菌丝生长。</w:t>
      </w:r>
    </w:p>
    <w:p w14:paraId="259759D5">
      <w:pPr>
        <w:pStyle w:val="104"/>
        <w:spacing w:before="312" w:after="312"/>
        <w:rPr>
          <w:rFonts w:ascii="Times New Roman"/>
        </w:rPr>
      </w:pPr>
      <w:bookmarkStart w:id="51" w:name="_Toc24678"/>
      <w:r>
        <w:rPr>
          <w:rFonts w:hint="eastAsia" w:ascii="Times New Roman"/>
        </w:rPr>
        <w:t>发菌期管理</w:t>
      </w:r>
      <w:bookmarkEnd w:id="51"/>
    </w:p>
    <w:p w14:paraId="3A5E06AA">
      <w:pPr>
        <w:pStyle w:val="105"/>
        <w:spacing w:before="156" w:after="156"/>
      </w:pPr>
      <w:r>
        <w:rPr>
          <w:rFonts w:hint="eastAsia"/>
        </w:rPr>
        <w:t>发菌</w:t>
      </w:r>
    </w:p>
    <w:p w14:paraId="443269C5">
      <w:pPr>
        <w:pStyle w:val="56"/>
        <w:ind w:firstLine="420"/>
      </w:pPr>
      <w:r>
        <w:rPr>
          <w:rFonts w:hint="eastAsia"/>
        </w:rPr>
        <w:t>发菌条件应满足：</w:t>
      </w:r>
    </w:p>
    <w:p w14:paraId="5D108561">
      <w:pPr>
        <w:pStyle w:val="132"/>
      </w:pPr>
      <w:r>
        <w:rPr>
          <w:rFonts w:hint="eastAsia"/>
        </w:rPr>
        <w:t>温度：培养室温应控制在22 ℃～26 ℃，料温应不高于25 ℃；</w:t>
      </w:r>
    </w:p>
    <w:p w14:paraId="5DD9B9C5">
      <w:pPr>
        <w:pStyle w:val="132"/>
      </w:pPr>
      <w:r>
        <w:rPr>
          <w:rFonts w:hint="eastAsia"/>
        </w:rPr>
        <w:t>湿度：空气相对湿度应控制在60%～65%；</w:t>
      </w:r>
    </w:p>
    <w:p w14:paraId="04B8AB1D">
      <w:pPr>
        <w:pStyle w:val="132"/>
      </w:pPr>
      <w:r>
        <w:rPr>
          <w:rFonts w:hint="eastAsia"/>
        </w:rPr>
        <w:t>光照：避光培养发菌；</w:t>
      </w:r>
    </w:p>
    <w:p w14:paraId="3B892445">
      <w:pPr>
        <w:pStyle w:val="132"/>
      </w:pPr>
      <w:r>
        <w:rPr>
          <w:rFonts w:hint="eastAsia"/>
        </w:rPr>
        <w:t>通风：每天通风1次～3次，每次30 min～40 min。</w:t>
      </w:r>
    </w:p>
    <w:p w14:paraId="17412F67">
      <w:pPr>
        <w:pStyle w:val="105"/>
        <w:spacing w:before="156" w:after="156"/>
      </w:pPr>
      <w:r>
        <w:rPr>
          <w:rFonts w:hint="eastAsia"/>
        </w:rPr>
        <w:t>污染管理</w:t>
      </w:r>
    </w:p>
    <w:p w14:paraId="3AC44F12">
      <w:pPr>
        <w:pStyle w:val="56"/>
        <w:ind w:firstLine="420"/>
      </w:pPr>
      <w:r>
        <w:rPr>
          <w:rFonts w:hint="eastAsia"/>
        </w:rPr>
        <w:t>定期检查发菌情况，污染的菌袋应及时用湿布或湿纸等包裹，移到远离栽培场所的区域进行无害化处理。</w:t>
      </w:r>
    </w:p>
    <w:p w14:paraId="181A386A">
      <w:pPr>
        <w:pStyle w:val="104"/>
        <w:spacing w:before="312" w:after="312"/>
        <w:rPr>
          <w:rFonts w:ascii="Times New Roman"/>
        </w:rPr>
      </w:pPr>
      <w:bookmarkStart w:id="52" w:name="_Toc8605"/>
      <w:r>
        <w:rPr>
          <w:rFonts w:hint="eastAsia" w:ascii="Times New Roman"/>
        </w:rPr>
        <w:t>出菇期管理</w:t>
      </w:r>
      <w:bookmarkEnd w:id="52"/>
    </w:p>
    <w:p w14:paraId="40F2E9F0">
      <w:pPr>
        <w:pStyle w:val="105"/>
        <w:spacing w:before="156" w:after="156"/>
      </w:pPr>
      <w:bookmarkStart w:id="53" w:name="_Hlk202039521"/>
      <w:r>
        <w:rPr>
          <w:rFonts w:hint="eastAsia"/>
        </w:rPr>
        <w:t>平菇出菇期管理</w:t>
      </w:r>
    </w:p>
    <w:bookmarkEnd w:id="53"/>
    <w:p w14:paraId="42057534">
      <w:pPr>
        <w:pStyle w:val="56"/>
        <w:ind w:firstLine="420"/>
      </w:pPr>
      <w:r>
        <w:rPr>
          <w:rFonts w:hint="eastAsia"/>
        </w:rPr>
        <w:t>平菇出菇期管理</w:t>
      </w:r>
      <w:r>
        <w:rPr>
          <w:rFonts w:hint="eastAsia"/>
          <w:lang w:val="en-US" w:eastAsia="zh-CN"/>
        </w:rPr>
        <w:t>参见</w:t>
      </w:r>
      <w:r>
        <w:t>DB21/T 1812</w:t>
      </w:r>
      <w:r>
        <w:rPr>
          <w:rFonts w:hint="eastAsia"/>
        </w:rPr>
        <w:t>要求。</w:t>
      </w:r>
    </w:p>
    <w:p w14:paraId="666E1DA3">
      <w:pPr>
        <w:pStyle w:val="105"/>
        <w:spacing w:before="156" w:after="156"/>
      </w:pPr>
      <w:r>
        <w:rPr>
          <w:rFonts w:hint="eastAsia"/>
        </w:rPr>
        <w:t>茶树菇出菇期管理</w:t>
      </w:r>
    </w:p>
    <w:p w14:paraId="2973D693">
      <w:pPr>
        <w:pStyle w:val="56"/>
        <w:ind w:firstLine="420"/>
      </w:pPr>
      <w:r>
        <w:rPr>
          <w:rFonts w:hint="eastAsia"/>
        </w:rPr>
        <w:t>待发菌结束一周后，搬入提前熏蒸消毒的出菇房（可打开菌袋覆土2 cm～3 cm），开袋浇水，空气相对湿度应控制在85%～90%，室温应控制在18 ℃～22 ℃，并适当通风和增加光照，约7 d～10 d，陆续可见料面开始发生大量原基，调整空气相对湿度为90%～95%，随着子实体的不断长大，需要适当的降低空气湿度，直至子实体长至八分熟时，大小菇一齐采摘。</w:t>
      </w:r>
    </w:p>
    <w:p w14:paraId="5BFB8F81">
      <w:pPr>
        <w:pStyle w:val="105"/>
        <w:spacing w:before="156" w:after="156"/>
      </w:pPr>
      <w:r>
        <w:rPr>
          <w:rFonts w:hint="eastAsia"/>
        </w:rPr>
        <w:t>姬菇出菇期管理</w:t>
      </w:r>
    </w:p>
    <w:p w14:paraId="5CBD3A5A">
      <w:pPr>
        <w:pStyle w:val="56"/>
        <w:ind w:firstLine="420"/>
      </w:pPr>
      <w:r>
        <w:rPr>
          <w:rFonts w:hint="eastAsia"/>
        </w:rPr>
        <w:t>菌丝完全发满后，原地不动，后熟培养10 d左右，然后把菌袋搬入出菇房。以10001x左右的散射光照射，以刺激菌丝纽结。菇房温度控制在18 ℃～25 ℃，以喷雾方式控制空气相对湿度为85%左右，开袋浇水4</w:t>
      </w:r>
      <w:r>
        <w:rPr>
          <w:rFonts w:hint="eastAsia"/>
          <w:lang w:val="en-US" w:eastAsia="zh-CN"/>
        </w:rPr>
        <w:t xml:space="preserve"> </w:t>
      </w:r>
      <w:r>
        <w:rPr>
          <w:rFonts w:hint="eastAsia"/>
        </w:rPr>
        <w:t>d～7 d形成菇蕾,再经7</w:t>
      </w:r>
      <w:r>
        <w:rPr>
          <w:rFonts w:hint="eastAsia"/>
          <w:lang w:val="en-US" w:eastAsia="zh-CN"/>
        </w:rPr>
        <w:t xml:space="preserve"> </w:t>
      </w:r>
      <w:r>
        <w:rPr>
          <w:rFonts w:hint="eastAsia"/>
        </w:rPr>
        <w:t>d～10 d可达八分成熟，菌盖没有完全展开，孢子也未弹出，直径5</w:t>
      </w:r>
      <w:r>
        <w:rPr>
          <w:rFonts w:hint="eastAsia"/>
          <w:lang w:val="en-US" w:eastAsia="zh-CN"/>
        </w:rPr>
        <w:t xml:space="preserve"> </w:t>
      </w:r>
      <w:r>
        <w:rPr>
          <w:rFonts w:hint="eastAsia"/>
        </w:rPr>
        <w:t>cm～15 cm时，已符合商品菇要求即可采摘。出菇期2～3个月，可连续采4～5潮。</w:t>
      </w:r>
    </w:p>
    <w:p w14:paraId="62747D83">
      <w:pPr>
        <w:pStyle w:val="104"/>
        <w:spacing w:before="312" w:after="312"/>
        <w:rPr>
          <w:rFonts w:ascii="Times New Roman"/>
        </w:rPr>
      </w:pPr>
      <w:bookmarkStart w:id="54" w:name="_Toc31361"/>
      <w:r>
        <w:rPr>
          <w:rFonts w:hint="eastAsia" w:ascii="Times New Roman"/>
        </w:rPr>
        <w:t>病虫害防治</w:t>
      </w:r>
      <w:bookmarkEnd w:id="54"/>
    </w:p>
    <w:p w14:paraId="29FFFD3B">
      <w:pPr>
        <w:pStyle w:val="105"/>
        <w:spacing w:before="156" w:after="156"/>
        <w:rPr>
          <w:rFonts w:hint="eastAsia" w:ascii="宋体" w:hAnsi="宋体" w:eastAsia="宋体"/>
        </w:rPr>
      </w:pPr>
      <w:r>
        <w:rPr>
          <w:rFonts w:hint="eastAsia" w:ascii="宋体" w:hAnsi="宋体" w:eastAsia="宋体"/>
        </w:rPr>
        <w:t>采用以农业防治、物理防治、生物防治为主体的综合防治措施，禁止使用任何剧毒、高毒、高残留农药，农药使用应符合GB/T 8321的规定。</w:t>
      </w:r>
    </w:p>
    <w:p w14:paraId="5CA296D3">
      <w:pPr>
        <w:pStyle w:val="105"/>
        <w:spacing w:before="156" w:after="156"/>
        <w:rPr>
          <w:rFonts w:hint="eastAsia" w:ascii="宋体" w:hAnsi="宋体" w:eastAsia="宋体"/>
        </w:rPr>
      </w:pPr>
      <w:r>
        <w:rPr>
          <w:rFonts w:hint="eastAsia" w:ascii="宋体" w:hAnsi="宋体" w:eastAsia="宋体"/>
        </w:rPr>
        <w:t>出菇期不应使用化学农药，如需使用，需按照NY/T 393和</w:t>
      </w:r>
      <w:r>
        <w:rPr>
          <w:rFonts w:ascii="宋体" w:hAnsi="宋体" w:eastAsia="宋体"/>
        </w:rPr>
        <w:t>NY/T 2375</w:t>
      </w:r>
      <w:r>
        <w:rPr>
          <w:rFonts w:hint="eastAsia" w:ascii="宋体" w:hAnsi="宋体" w:eastAsia="宋体"/>
        </w:rPr>
        <w:t>的相关要求执行。</w:t>
      </w:r>
    </w:p>
    <w:p w14:paraId="6481070C">
      <w:pPr>
        <w:pStyle w:val="104"/>
        <w:spacing w:before="312" w:after="312"/>
        <w:rPr>
          <w:rFonts w:ascii="Times New Roman"/>
        </w:rPr>
      </w:pPr>
      <w:bookmarkStart w:id="55" w:name="_Toc24940"/>
      <w:r>
        <w:rPr>
          <w:rFonts w:hint="eastAsia" w:ascii="Times New Roman"/>
        </w:rPr>
        <w:t>采收</w:t>
      </w:r>
      <w:bookmarkEnd w:id="55"/>
    </w:p>
    <w:p w14:paraId="44F854DD">
      <w:pPr>
        <w:pStyle w:val="105"/>
        <w:spacing w:before="156" w:after="156"/>
        <w:rPr>
          <w:rFonts w:hint="eastAsia" w:ascii="宋体" w:hAnsi="宋体" w:eastAsia="宋体"/>
        </w:rPr>
      </w:pPr>
      <w:r>
        <w:rPr>
          <w:rFonts w:hint="eastAsia" w:ascii="宋体" w:hAnsi="宋体" w:eastAsia="宋体"/>
        </w:rPr>
        <w:t>根据产品用途和市场需求，确定采收标准，及时采收，随手修整，现场分级，直接包装和预冷。减少菇体间的碰触和伤损，保持菇体完整。</w:t>
      </w:r>
    </w:p>
    <w:p w14:paraId="05DC85A5">
      <w:pPr>
        <w:pStyle w:val="105"/>
        <w:spacing w:before="156" w:after="156"/>
        <w:rPr>
          <w:rFonts w:hint="eastAsia" w:ascii="宋体" w:hAnsi="宋体" w:eastAsia="宋体"/>
        </w:rPr>
      </w:pPr>
      <w:r>
        <w:rPr>
          <w:rFonts w:hint="eastAsia" w:ascii="宋体" w:hAnsi="宋体" w:eastAsia="宋体"/>
        </w:rPr>
        <w:t>采收者应穿工作衣帽、戴手套和口罩，卫生采收；采收人员不应佩戴饰品。</w:t>
      </w:r>
    </w:p>
    <w:p w14:paraId="77FFB8DF">
      <w:pPr>
        <w:pStyle w:val="104"/>
        <w:spacing w:before="312" w:after="312"/>
        <w:rPr>
          <w:rFonts w:ascii="Times New Roman"/>
        </w:rPr>
      </w:pPr>
      <w:bookmarkStart w:id="56" w:name="_Toc16981"/>
      <w:r>
        <w:rPr>
          <w:rFonts w:hint="eastAsia" w:ascii="Times New Roman"/>
        </w:rPr>
        <w:t>包装和贮运</w:t>
      </w:r>
      <w:bookmarkEnd w:id="56"/>
    </w:p>
    <w:p w14:paraId="28642A1D">
      <w:pPr>
        <w:pStyle w:val="56"/>
        <w:ind w:firstLine="420"/>
      </w:pPr>
      <w:r>
        <w:rPr>
          <w:rFonts w:hint="eastAsia"/>
        </w:rPr>
        <w:t>根据食用菌的类型、性状及特性等合理选择包装材料和包装技术，确保食用菌在物流过程中的质量和卫生安全。包装材料应符合国家相关食品安全和卫生法规和卫生安全。包装、标志应符合GB/T 24616的规定。</w:t>
      </w:r>
    </w:p>
    <w:bookmarkEnd w:id="22"/>
    <w:p w14:paraId="25B071FA">
      <w:pPr>
        <w:pStyle w:val="56"/>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type="lines" w:linePitch="312" w:charSpace="0"/>
        </w:sectPr>
      </w:pPr>
      <w:bookmarkStart w:id="57" w:name="BookMark6"/>
    </w:p>
    <w:p w14:paraId="7D115CAF">
      <w:pPr>
        <w:pStyle w:val="63"/>
        <w:spacing w:after="156"/>
      </w:pPr>
      <w:bookmarkStart w:id="58" w:name="_Toc24401"/>
      <w:r>
        <w:rPr>
          <w:rFonts w:hint="eastAsia"/>
          <w:spacing w:val="105"/>
        </w:rPr>
        <w:t>参考文</w:t>
      </w:r>
      <w:r>
        <w:rPr>
          <w:rFonts w:hint="eastAsia"/>
        </w:rPr>
        <w:t>献</w:t>
      </w:r>
      <w:bookmarkEnd w:id="58"/>
    </w:p>
    <w:p w14:paraId="1E1D8FC0">
      <w:pPr>
        <w:pStyle w:val="56"/>
        <w:ind w:firstLine="420"/>
      </w:pPr>
      <w:r>
        <w:rPr>
          <w:rFonts w:hint="eastAsia"/>
        </w:rPr>
        <w:t>[1]DB21/T 1812 平菇熟料袋式栽培技术规程</w:t>
      </w:r>
    </w:p>
    <w:p w14:paraId="6F207B0F">
      <w:pPr>
        <w:pStyle w:val="56"/>
        <w:ind w:firstLine="420"/>
      </w:pPr>
      <w:r>
        <w:rPr>
          <w:rFonts w:hint="eastAsia"/>
        </w:rPr>
        <w:t>[2]游玲，范玉琴，叶雷，等.废弃油樟叶渣栽培平菇研究[J].江苏农业科学，2014，42(9)：205-207</w:t>
      </w:r>
    </w:p>
    <w:p w14:paraId="4C1DE523">
      <w:pPr>
        <w:pStyle w:val="56"/>
        <w:ind w:firstLine="420"/>
      </w:pPr>
      <w:r>
        <w:rPr>
          <w:rFonts w:hint="eastAsia"/>
        </w:rPr>
        <w:t>[3]王松，叶雷，罗运川，等.脱油油樟叶栽培茶树菇及品质分析[J].宜宾学院学报，2017，17(6)：115-119</w:t>
      </w:r>
    </w:p>
    <w:bookmarkEnd w:id="57"/>
    <w:p w14:paraId="31EC3EC4">
      <w:pPr>
        <w:pStyle w:val="56"/>
        <w:ind w:firstLine="0" w:firstLineChars="0"/>
        <w:jc w:val="center"/>
        <w:rPr>
          <w:rFonts w:ascii="Times New Roman"/>
        </w:rPr>
      </w:pPr>
      <w:bookmarkStart w:id="59" w:name="BookMark8"/>
      <w:r>
        <w:rPr>
          <w:rFonts w:ascii="Times New Roman"/>
        </w:rPr>
        <w:drawing>
          <wp:inline distT="0" distB="0" distL="0" distR="0">
            <wp:extent cx="1485900" cy="317500"/>
            <wp:effectExtent l="0" t="0" r="0" b="6350"/>
            <wp:docPr id="1539173845" name="图片 1"/>
            <wp:cNvGraphicFramePr/>
            <a:graphic xmlns:a="http://schemas.openxmlformats.org/drawingml/2006/main">
              <a:graphicData uri="http://schemas.openxmlformats.org/drawingml/2006/picture">
                <pic:pic xmlns:pic="http://schemas.openxmlformats.org/drawingml/2006/picture">
                  <pic:nvPicPr>
                    <pic:cNvPr id="1539173845" name="图片 1"/>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F700C">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94F04">
    <w:pPr>
      <w:pStyle w:val="51"/>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77B0A">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68D7">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F5117">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10F9B">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F8AA0">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DB09B">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77DAF">
    <w:pPr>
      <w:pStyle w:val="5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647C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85C0B">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5AFEB">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5115/T XXXX—2025</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78ED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E0654">
    <w:pPr>
      <w:pStyle w:val="61"/>
      <w:rPr>
        <w:rFonts w:hint="eastAsia"/>
      </w:rPr>
    </w:pPr>
    <w:r>
      <w:fldChar w:fldCharType="begin"/>
    </w:r>
    <w:r>
      <w:instrText xml:space="preserve"> STYLEREF  标准文件_文件编号  \* MERGEFORMAT </w:instrText>
    </w:r>
    <w:r>
      <w:fldChar w:fldCharType="separate"/>
    </w:r>
    <w:r>
      <w:t>DB 5115/T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8F7AD">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5115/T XXXX—2025</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CD9FA">
    <w:pPr>
      <w:pStyle w:val="61"/>
      <w:rPr>
        <w:rFonts w:hint="eastAsia"/>
      </w:rPr>
    </w:pPr>
    <w:r>
      <w:fldChar w:fldCharType="begin"/>
    </w:r>
    <w:r>
      <w:instrText xml:space="preserve"> STYLEREF  标准文件_文件编号  \* MERGEFORMAT </w:instrText>
    </w:r>
    <w:r>
      <w:fldChar w:fldCharType="separate"/>
    </w:r>
    <w:r>
      <w:t>DB 5115/T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63371">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5115/T XXXX—2025</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C1EC6">
    <w:pPr>
      <w:pStyle w:val="61"/>
      <w:rPr>
        <w:rFonts w:hint="eastAsia"/>
      </w:rPr>
    </w:pPr>
    <w:r>
      <w:fldChar w:fldCharType="begin"/>
    </w:r>
    <w:r>
      <w:instrText xml:space="preserve"> STYLEREF  标准文件_文件编号  \* MERGEFORMAT </w:instrText>
    </w:r>
    <w:r>
      <w:fldChar w:fldCharType="separate"/>
    </w:r>
    <w:r>
      <w:t>DB 5115/T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B1A6F">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5115/T XXXX—2025</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6CA04">
    <w:pPr>
      <w:pStyle w:val="61"/>
      <w:rPr>
        <w:rFonts w:hint="eastAsia"/>
      </w:rPr>
    </w:pPr>
    <w:r>
      <w:fldChar w:fldCharType="begin"/>
    </w:r>
    <w:r>
      <w:instrText xml:space="preserve"> STYLEREF  标准文件_文件编号  \* MERGEFORMAT </w:instrText>
    </w:r>
    <w:r>
      <w:fldChar w:fldCharType="separate"/>
    </w:r>
    <w:r>
      <w:t>DB 5115/T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pStyle w:val="235"/>
      <w:suff w:val="nothing"/>
      <w:lvlText w:val="%1.%2.%3.%4　"/>
      <w:lvlJc w:val="left"/>
      <w:pPr>
        <w:ind w:left="0" w:firstLine="0"/>
      </w:pPr>
      <w:rPr>
        <w:rFonts w:hint="eastAsia" w:ascii="黑体" w:hAnsi="Times New Roman" w:eastAsia="黑体"/>
        <w:b w:val="0"/>
        <w:i w:val="0"/>
        <w:sz w:val="21"/>
      </w:rPr>
    </w:lvl>
    <w:lvl w:ilvl="4" w:tentative="0">
      <w:start w:val="1"/>
      <w:numFmt w:val="decimal"/>
      <w:pStyle w:val="236"/>
      <w:suff w:val="nothing"/>
      <w:lvlText w:val="%1.%2.%3.%4.%5　"/>
      <w:lvlJc w:val="left"/>
      <w:pPr>
        <w:ind w:left="0" w:firstLine="0"/>
      </w:pPr>
      <w:rPr>
        <w:rFonts w:hint="eastAsia" w:ascii="黑体" w:hAnsi="Times New Roman" w:eastAsia="黑体"/>
        <w:b w:val="0"/>
        <w:i w:val="0"/>
        <w:sz w:val="21"/>
      </w:rPr>
    </w:lvl>
    <w:lvl w:ilvl="5" w:tentative="0">
      <w:start w:val="1"/>
      <w:numFmt w:val="decimal"/>
      <w:pStyle w:val="2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default"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wYzQyNWIwYjljODM0ZGRjMjI1YTM2NWZkNjk1ZjUifQ=="/>
  </w:docVars>
  <w:rsids>
    <w:rsidRoot w:val="00136E41"/>
    <w:rsid w:val="0000040A"/>
    <w:rsid w:val="00000A94"/>
    <w:rsid w:val="00001972"/>
    <w:rsid w:val="00001D9A"/>
    <w:rsid w:val="00004CFE"/>
    <w:rsid w:val="00007B3A"/>
    <w:rsid w:val="0001056F"/>
    <w:rsid w:val="000107E0"/>
    <w:rsid w:val="00011FDE"/>
    <w:rsid w:val="00012FFD"/>
    <w:rsid w:val="00014162"/>
    <w:rsid w:val="00014340"/>
    <w:rsid w:val="00016501"/>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4DC"/>
    <w:rsid w:val="00067F1E"/>
    <w:rsid w:val="00071CC0"/>
    <w:rsid w:val="00073C8C"/>
    <w:rsid w:val="00077B64"/>
    <w:rsid w:val="00080281"/>
    <w:rsid w:val="00080A1C"/>
    <w:rsid w:val="00082317"/>
    <w:rsid w:val="00083D2C"/>
    <w:rsid w:val="000841B9"/>
    <w:rsid w:val="0008623E"/>
    <w:rsid w:val="00086AA1"/>
    <w:rsid w:val="00087A77"/>
    <w:rsid w:val="00090CA6"/>
    <w:rsid w:val="00092B8A"/>
    <w:rsid w:val="00092FB0"/>
    <w:rsid w:val="000934C5"/>
    <w:rsid w:val="00093D25"/>
    <w:rsid w:val="00093DAB"/>
    <w:rsid w:val="00094D73"/>
    <w:rsid w:val="00096D63"/>
    <w:rsid w:val="000971E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0CE"/>
    <w:rsid w:val="000D329A"/>
    <w:rsid w:val="000D4B9C"/>
    <w:rsid w:val="000D4EB6"/>
    <w:rsid w:val="000D753B"/>
    <w:rsid w:val="000E4C9E"/>
    <w:rsid w:val="000E6FD7"/>
    <w:rsid w:val="000F06E1"/>
    <w:rsid w:val="000F0E3C"/>
    <w:rsid w:val="000F19D5"/>
    <w:rsid w:val="000F4AEA"/>
    <w:rsid w:val="000F633F"/>
    <w:rsid w:val="000F67E9"/>
    <w:rsid w:val="00104926"/>
    <w:rsid w:val="00105FB1"/>
    <w:rsid w:val="00113B1E"/>
    <w:rsid w:val="0011711C"/>
    <w:rsid w:val="0012059C"/>
    <w:rsid w:val="00124E4F"/>
    <w:rsid w:val="001260B7"/>
    <w:rsid w:val="001265CB"/>
    <w:rsid w:val="001321C6"/>
    <w:rsid w:val="001325C4"/>
    <w:rsid w:val="00133010"/>
    <w:rsid w:val="001338EE"/>
    <w:rsid w:val="00133AAE"/>
    <w:rsid w:val="00135323"/>
    <w:rsid w:val="001356C4"/>
    <w:rsid w:val="00136E41"/>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ECA"/>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D2B"/>
    <w:rsid w:val="0025724D"/>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60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55A"/>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408"/>
    <w:rsid w:val="002F7AF6"/>
    <w:rsid w:val="00300E63"/>
    <w:rsid w:val="00302F5F"/>
    <w:rsid w:val="0030441D"/>
    <w:rsid w:val="00306063"/>
    <w:rsid w:val="00313B85"/>
    <w:rsid w:val="00317988"/>
    <w:rsid w:val="003221B4"/>
    <w:rsid w:val="0032258D"/>
    <w:rsid w:val="00322E62"/>
    <w:rsid w:val="00324D13"/>
    <w:rsid w:val="00324D2A"/>
    <w:rsid w:val="00324EDD"/>
    <w:rsid w:val="00331017"/>
    <w:rsid w:val="003331E4"/>
    <w:rsid w:val="00336C64"/>
    <w:rsid w:val="00337162"/>
    <w:rsid w:val="0033731E"/>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80"/>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B02"/>
    <w:rsid w:val="00440505"/>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89F"/>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CD4"/>
    <w:rsid w:val="00512F6E"/>
    <w:rsid w:val="00513038"/>
    <w:rsid w:val="00514174"/>
    <w:rsid w:val="00516088"/>
    <w:rsid w:val="00516B0B"/>
    <w:rsid w:val="005220EC"/>
    <w:rsid w:val="00523F95"/>
    <w:rsid w:val="00524D65"/>
    <w:rsid w:val="00525B16"/>
    <w:rsid w:val="0052698D"/>
    <w:rsid w:val="00533D04"/>
    <w:rsid w:val="00534804"/>
    <w:rsid w:val="00534BDF"/>
    <w:rsid w:val="005354EA"/>
    <w:rsid w:val="0053585F"/>
    <w:rsid w:val="00535EC4"/>
    <w:rsid w:val="00535ED9"/>
    <w:rsid w:val="0053692B"/>
    <w:rsid w:val="00541853"/>
    <w:rsid w:val="00543BDA"/>
    <w:rsid w:val="005441CC"/>
    <w:rsid w:val="00547686"/>
    <w:rsid w:val="005479DA"/>
    <w:rsid w:val="00547BCC"/>
    <w:rsid w:val="0055013B"/>
    <w:rsid w:val="00551F6F"/>
    <w:rsid w:val="00555044"/>
    <w:rsid w:val="00561475"/>
    <w:rsid w:val="0056487B"/>
    <w:rsid w:val="0056494F"/>
    <w:rsid w:val="00564FB9"/>
    <w:rsid w:val="00567928"/>
    <w:rsid w:val="00573D9E"/>
    <w:rsid w:val="005801E3"/>
    <w:rsid w:val="00581802"/>
    <w:rsid w:val="005836A8"/>
    <w:rsid w:val="0058409C"/>
    <w:rsid w:val="00584262"/>
    <w:rsid w:val="00584AAB"/>
    <w:rsid w:val="00586630"/>
    <w:rsid w:val="00587ADD"/>
    <w:rsid w:val="00591E27"/>
    <w:rsid w:val="00596160"/>
    <w:rsid w:val="005966E2"/>
    <w:rsid w:val="00597007"/>
    <w:rsid w:val="005A0966"/>
    <w:rsid w:val="005A11B7"/>
    <w:rsid w:val="005A260B"/>
    <w:rsid w:val="005A405A"/>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6EE"/>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174"/>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4519"/>
    <w:rsid w:val="006B54BF"/>
    <w:rsid w:val="006B5F44"/>
    <w:rsid w:val="006B5F90"/>
    <w:rsid w:val="006B62E4"/>
    <w:rsid w:val="006C1BBA"/>
    <w:rsid w:val="006C2079"/>
    <w:rsid w:val="006C5A62"/>
    <w:rsid w:val="006C5D68"/>
    <w:rsid w:val="006C6976"/>
    <w:rsid w:val="006C6DD0"/>
    <w:rsid w:val="006D04EA"/>
    <w:rsid w:val="006D0AB7"/>
    <w:rsid w:val="006D16C4"/>
    <w:rsid w:val="006D1C5E"/>
    <w:rsid w:val="006D3E96"/>
    <w:rsid w:val="006D4515"/>
    <w:rsid w:val="006D4BB1"/>
    <w:rsid w:val="006D6593"/>
    <w:rsid w:val="006E23EA"/>
    <w:rsid w:val="006F03A8"/>
    <w:rsid w:val="006F2ACA"/>
    <w:rsid w:val="006F2ADC"/>
    <w:rsid w:val="006F2BFE"/>
    <w:rsid w:val="006F31E9"/>
    <w:rsid w:val="006F6284"/>
    <w:rsid w:val="007002C5"/>
    <w:rsid w:val="00704387"/>
    <w:rsid w:val="00706710"/>
    <w:rsid w:val="00707669"/>
    <w:rsid w:val="00711CBA"/>
    <w:rsid w:val="00711FB5"/>
    <w:rsid w:val="00712A01"/>
    <w:rsid w:val="0071306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20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2BB"/>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DF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A27"/>
    <w:rsid w:val="008A1893"/>
    <w:rsid w:val="008A3215"/>
    <w:rsid w:val="008A57E6"/>
    <w:rsid w:val="008A67C3"/>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2E32"/>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AC4"/>
    <w:rsid w:val="009245F5"/>
    <w:rsid w:val="009249EC"/>
    <w:rsid w:val="009273B3"/>
    <w:rsid w:val="009305B5"/>
    <w:rsid w:val="009429D5"/>
    <w:rsid w:val="00942BF1"/>
    <w:rsid w:val="00945180"/>
    <w:rsid w:val="00945428"/>
    <w:rsid w:val="00945E7F"/>
    <w:rsid w:val="0094607B"/>
    <w:rsid w:val="00953604"/>
    <w:rsid w:val="0095496B"/>
    <w:rsid w:val="009610DC"/>
    <w:rsid w:val="00961490"/>
    <w:rsid w:val="0096381A"/>
    <w:rsid w:val="00965E04"/>
    <w:rsid w:val="009674AD"/>
    <w:rsid w:val="00970CDC"/>
    <w:rsid w:val="009750DA"/>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DE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CC6"/>
    <w:rsid w:val="00A129D0"/>
    <w:rsid w:val="00A12C33"/>
    <w:rsid w:val="00A138BA"/>
    <w:rsid w:val="00A14C8E"/>
    <w:rsid w:val="00A153D9"/>
    <w:rsid w:val="00A15F09"/>
    <w:rsid w:val="00A169B6"/>
    <w:rsid w:val="00A16AAC"/>
    <w:rsid w:val="00A2271D"/>
    <w:rsid w:val="00A237D5"/>
    <w:rsid w:val="00A253EC"/>
    <w:rsid w:val="00A30EFC"/>
    <w:rsid w:val="00A31984"/>
    <w:rsid w:val="00A3259A"/>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58D"/>
    <w:rsid w:val="00AB41D5"/>
    <w:rsid w:val="00AB6309"/>
    <w:rsid w:val="00AB6C5F"/>
    <w:rsid w:val="00AB7129"/>
    <w:rsid w:val="00AC0C78"/>
    <w:rsid w:val="00AC24C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2C68"/>
    <w:rsid w:val="00B147DD"/>
    <w:rsid w:val="00B156FD"/>
    <w:rsid w:val="00B167E2"/>
    <w:rsid w:val="00B21F61"/>
    <w:rsid w:val="00B261F1"/>
    <w:rsid w:val="00B265BC"/>
    <w:rsid w:val="00B31F5E"/>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89F"/>
    <w:rsid w:val="00BA13B2"/>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82A"/>
    <w:rsid w:val="00C13319"/>
    <w:rsid w:val="00C13EE9"/>
    <w:rsid w:val="00C21540"/>
    <w:rsid w:val="00C21906"/>
    <w:rsid w:val="00C21BFA"/>
    <w:rsid w:val="00C22148"/>
    <w:rsid w:val="00C24C8D"/>
    <w:rsid w:val="00C25FE2"/>
    <w:rsid w:val="00C26B53"/>
    <w:rsid w:val="00C279B2"/>
    <w:rsid w:val="00C33E50"/>
    <w:rsid w:val="00C34C20"/>
    <w:rsid w:val="00C35A3E"/>
    <w:rsid w:val="00C36D4B"/>
    <w:rsid w:val="00C41C77"/>
    <w:rsid w:val="00C42130"/>
    <w:rsid w:val="00C423A4"/>
    <w:rsid w:val="00C44BF5"/>
    <w:rsid w:val="00C452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914"/>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6DF"/>
    <w:rsid w:val="00D4514F"/>
    <w:rsid w:val="00D451E2"/>
    <w:rsid w:val="00D45E89"/>
    <w:rsid w:val="00D45E8D"/>
    <w:rsid w:val="00D466AE"/>
    <w:rsid w:val="00D4734F"/>
    <w:rsid w:val="00D51BF3"/>
    <w:rsid w:val="00D5356C"/>
    <w:rsid w:val="00D66846"/>
    <w:rsid w:val="00D66D54"/>
    <w:rsid w:val="00D675FB"/>
    <w:rsid w:val="00D71F25"/>
    <w:rsid w:val="00D72A9C"/>
    <w:rsid w:val="00D77031"/>
    <w:rsid w:val="00D84941"/>
    <w:rsid w:val="00D84E78"/>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751"/>
    <w:rsid w:val="00DA6C15"/>
    <w:rsid w:val="00DB0258"/>
    <w:rsid w:val="00DB38EE"/>
    <w:rsid w:val="00DB498B"/>
    <w:rsid w:val="00DB66CA"/>
    <w:rsid w:val="00DB6BCA"/>
    <w:rsid w:val="00DB73F7"/>
    <w:rsid w:val="00DC0321"/>
    <w:rsid w:val="00DC3067"/>
    <w:rsid w:val="00DC370B"/>
    <w:rsid w:val="00DC5B90"/>
    <w:rsid w:val="00DC7DDD"/>
    <w:rsid w:val="00DC7E4D"/>
    <w:rsid w:val="00DD00FF"/>
    <w:rsid w:val="00DD0619"/>
    <w:rsid w:val="00DD07FB"/>
    <w:rsid w:val="00DD25C6"/>
    <w:rsid w:val="00DD4FE5"/>
    <w:rsid w:val="00DD54B0"/>
    <w:rsid w:val="00DD57EE"/>
    <w:rsid w:val="00DD6BCC"/>
    <w:rsid w:val="00DE0A4B"/>
    <w:rsid w:val="00DE2410"/>
    <w:rsid w:val="00DE2548"/>
    <w:rsid w:val="00DE2939"/>
    <w:rsid w:val="00DE3311"/>
    <w:rsid w:val="00DE6E81"/>
    <w:rsid w:val="00DE703F"/>
    <w:rsid w:val="00DE7595"/>
    <w:rsid w:val="00DF1961"/>
    <w:rsid w:val="00DF3A1D"/>
    <w:rsid w:val="00DF44DE"/>
    <w:rsid w:val="00DF5F11"/>
    <w:rsid w:val="00E01138"/>
    <w:rsid w:val="00E02DFB"/>
    <w:rsid w:val="00E030F9"/>
    <w:rsid w:val="00E0311A"/>
    <w:rsid w:val="00E03138"/>
    <w:rsid w:val="00E04DEC"/>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C65"/>
    <w:rsid w:val="00E822E8"/>
    <w:rsid w:val="00E82554"/>
    <w:rsid w:val="00E82606"/>
    <w:rsid w:val="00E846C8"/>
    <w:rsid w:val="00E84957"/>
    <w:rsid w:val="00E84A55"/>
    <w:rsid w:val="00E85BFF"/>
    <w:rsid w:val="00E86651"/>
    <w:rsid w:val="00E90391"/>
    <w:rsid w:val="00E906C2"/>
    <w:rsid w:val="00E9311F"/>
    <w:rsid w:val="00E934D1"/>
    <w:rsid w:val="00E94AF0"/>
    <w:rsid w:val="00E95D13"/>
    <w:rsid w:val="00E95DD3"/>
    <w:rsid w:val="00E96499"/>
    <w:rsid w:val="00E969D5"/>
    <w:rsid w:val="00EA3A6B"/>
    <w:rsid w:val="00EA554C"/>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CD9"/>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6CE3"/>
    <w:rsid w:val="00FD00E6"/>
    <w:rsid w:val="00FD09A1"/>
    <w:rsid w:val="00FD2A7C"/>
    <w:rsid w:val="00FD59EB"/>
    <w:rsid w:val="00FD7299"/>
    <w:rsid w:val="00FE1FBE"/>
    <w:rsid w:val="00FE3901"/>
    <w:rsid w:val="00FE39D3"/>
    <w:rsid w:val="00FE4BCE"/>
    <w:rsid w:val="00FE54AE"/>
    <w:rsid w:val="00FE576A"/>
    <w:rsid w:val="00FE5A3C"/>
    <w:rsid w:val="00FE7E79"/>
    <w:rsid w:val="00FF3E7D"/>
    <w:rsid w:val="00FF3FC8"/>
    <w:rsid w:val="00FF5B99"/>
    <w:rsid w:val="00FF730C"/>
    <w:rsid w:val="00FF73F4"/>
    <w:rsid w:val="00FF7CE4"/>
    <w:rsid w:val="00FF7E39"/>
    <w:rsid w:val="01635024"/>
    <w:rsid w:val="02457232"/>
    <w:rsid w:val="04E73C71"/>
    <w:rsid w:val="058B2C04"/>
    <w:rsid w:val="079E4F09"/>
    <w:rsid w:val="0B1E1CA6"/>
    <w:rsid w:val="0C1165EB"/>
    <w:rsid w:val="0C952BC1"/>
    <w:rsid w:val="0CC06645"/>
    <w:rsid w:val="0E1559C8"/>
    <w:rsid w:val="12443874"/>
    <w:rsid w:val="142716DD"/>
    <w:rsid w:val="14D25715"/>
    <w:rsid w:val="158E49EC"/>
    <w:rsid w:val="184A57B2"/>
    <w:rsid w:val="1B0B3181"/>
    <w:rsid w:val="1BF009D6"/>
    <w:rsid w:val="1C9A1E07"/>
    <w:rsid w:val="1DAE24FF"/>
    <w:rsid w:val="1F7D5B9A"/>
    <w:rsid w:val="25330E08"/>
    <w:rsid w:val="298434C4"/>
    <w:rsid w:val="2A36189D"/>
    <w:rsid w:val="2BC453B2"/>
    <w:rsid w:val="2C83672C"/>
    <w:rsid w:val="2C925686"/>
    <w:rsid w:val="2F917CA1"/>
    <w:rsid w:val="2F9815E9"/>
    <w:rsid w:val="30C75058"/>
    <w:rsid w:val="31473376"/>
    <w:rsid w:val="334F0A81"/>
    <w:rsid w:val="36A92180"/>
    <w:rsid w:val="37E3512E"/>
    <w:rsid w:val="37EB2F17"/>
    <w:rsid w:val="37F9213C"/>
    <w:rsid w:val="390A323D"/>
    <w:rsid w:val="3A0A7FC1"/>
    <w:rsid w:val="3BF3193F"/>
    <w:rsid w:val="3D7E1994"/>
    <w:rsid w:val="44AC25E6"/>
    <w:rsid w:val="44AD5DC1"/>
    <w:rsid w:val="48645B50"/>
    <w:rsid w:val="487F0B87"/>
    <w:rsid w:val="48C77090"/>
    <w:rsid w:val="496B110B"/>
    <w:rsid w:val="4FB95C88"/>
    <w:rsid w:val="54F7276C"/>
    <w:rsid w:val="563864B3"/>
    <w:rsid w:val="56DD2BC5"/>
    <w:rsid w:val="5A9079DF"/>
    <w:rsid w:val="5FA665A1"/>
    <w:rsid w:val="606B4403"/>
    <w:rsid w:val="60A41501"/>
    <w:rsid w:val="61391E19"/>
    <w:rsid w:val="61B743B9"/>
    <w:rsid w:val="63643D86"/>
    <w:rsid w:val="639E0677"/>
    <w:rsid w:val="664D7A7F"/>
    <w:rsid w:val="6A86193B"/>
    <w:rsid w:val="6E027280"/>
    <w:rsid w:val="6E1C5151"/>
    <w:rsid w:val="6E210C0B"/>
    <w:rsid w:val="70232A8E"/>
    <w:rsid w:val="71BB1E49"/>
    <w:rsid w:val="738C3D4D"/>
    <w:rsid w:val="76572C6A"/>
    <w:rsid w:val="76B13EB6"/>
    <w:rsid w:val="785279E8"/>
    <w:rsid w:val="7E3D0E43"/>
    <w:rsid w:val="7E527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一级条标题"/>
    <w:basedOn w:val="233"/>
    <w:next w:val="230"/>
    <w:link w:val="238"/>
    <w:qFormat/>
    <w:uiPriority w:val="0"/>
    <w:pPr>
      <w:numPr>
        <w:ilvl w:val="1"/>
      </w:numPr>
      <w:spacing w:beforeLines="50" w:afterLines="50"/>
      <w:outlineLvl w:val="2"/>
    </w:pPr>
    <w:rPr>
      <w:szCs w:val="21"/>
    </w:rPr>
  </w:style>
  <w:style w:type="paragraph" w:customStyle="1" w:styleId="233">
    <w:name w:val="章标题"/>
    <w:next w:val="230"/>
    <w:link w:val="240"/>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link w:val="239"/>
    <w:qFormat/>
    <w:uiPriority w:val="0"/>
    <w:pPr>
      <w:numPr>
        <w:ilvl w:val="2"/>
      </w:numPr>
      <w:tabs>
        <w:tab w:val="left" w:pos="1730"/>
      </w:tabs>
      <w:spacing w:before="50" w:after="50"/>
      <w:ind w:left="1730" w:hanging="420"/>
      <w:outlineLvl w:val="3"/>
    </w:pPr>
  </w:style>
  <w:style w:type="paragraph" w:customStyle="1" w:styleId="235">
    <w:name w:val="三级条标题"/>
    <w:basedOn w:val="234"/>
    <w:next w:val="230"/>
    <w:qFormat/>
    <w:uiPriority w:val="0"/>
    <w:pPr>
      <w:numPr>
        <w:ilvl w:val="3"/>
      </w:numPr>
      <w:tabs>
        <w:tab w:val="left" w:pos="2150"/>
      </w:tabs>
      <w:ind w:left="2150" w:hanging="420"/>
      <w:outlineLvl w:val="4"/>
    </w:pPr>
  </w:style>
  <w:style w:type="paragraph" w:customStyle="1" w:styleId="236">
    <w:name w:val="四级条标题"/>
    <w:basedOn w:val="235"/>
    <w:next w:val="230"/>
    <w:qFormat/>
    <w:uiPriority w:val="0"/>
    <w:pPr>
      <w:numPr>
        <w:ilvl w:val="4"/>
      </w:numPr>
      <w:tabs>
        <w:tab w:val="left" w:pos="2570"/>
      </w:tabs>
      <w:ind w:left="2570" w:hanging="420"/>
      <w:outlineLvl w:val="5"/>
    </w:pPr>
  </w:style>
  <w:style w:type="paragraph" w:customStyle="1" w:styleId="237">
    <w:name w:val="五级条标题"/>
    <w:basedOn w:val="236"/>
    <w:next w:val="230"/>
    <w:qFormat/>
    <w:uiPriority w:val="0"/>
    <w:pPr>
      <w:numPr>
        <w:ilvl w:val="5"/>
      </w:numPr>
      <w:tabs>
        <w:tab w:val="left" w:pos="2990"/>
      </w:tabs>
      <w:ind w:left="2990" w:hanging="420"/>
      <w:outlineLvl w:val="6"/>
    </w:pPr>
  </w:style>
  <w:style w:type="character" w:customStyle="1" w:styleId="238">
    <w:name w:val="一级条标题 Char"/>
    <w:link w:val="232"/>
    <w:qFormat/>
    <w:uiPriority w:val="0"/>
    <w:rPr>
      <w:rFonts w:ascii="黑体" w:hAnsi="Times New Roman" w:eastAsia="黑体"/>
      <w:sz w:val="21"/>
      <w:szCs w:val="21"/>
    </w:rPr>
  </w:style>
  <w:style w:type="character" w:customStyle="1" w:styleId="239">
    <w:name w:val="二级条标题 Char"/>
    <w:link w:val="234"/>
    <w:qFormat/>
    <w:uiPriority w:val="0"/>
    <w:rPr>
      <w:rFonts w:ascii="黑体" w:hAnsi="Times New Roman" w:eastAsia="黑体"/>
      <w:sz w:val="21"/>
      <w:szCs w:val="21"/>
    </w:rPr>
  </w:style>
  <w:style w:type="character" w:customStyle="1" w:styleId="240">
    <w:name w:val="章标题 Char"/>
    <w:link w:val="233"/>
    <w:qFormat/>
    <w:uiPriority w:val="0"/>
    <w:rPr>
      <w:rFonts w:ascii="黑体" w:hAnsi="Times New Roman"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372EC9FE13840A38E1EBC04A643C098"/>
        <w:style w:val=""/>
        <w:category>
          <w:name w:val="常规"/>
          <w:gallery w:val="placeholder"/>
        </w:category>
        <w:types>
          <w:type w:val="bbPlcHdr"/>
        </w:types>
        <w:behaviors>
          <w:behavior w:val="content"/>
        </w:behaviors>
        <w:description w:val=""/>
        <w:guid w:val="{E9988918-05E5-40DF-9155-2ED2DAF9CCDD}"/>
      </w:docPartPr>
      <w:docPartBody>
        <w:p w14:paraId="797447D4">
          <w:pPr>
            <w:pStyle w:val="5"/>
            <w:rPr>
              <w:rFonts w:hint="eastAsia"/>
            </w:rPr>
          </w:pPr>
          <w:r>
            <w:rPr>
              <w:rStyle w:val="4"/>
              <w:rFonts w:hint="eastAsia"/>
            </w:rPr>
            <w:t>选择一项。</w:t>
          </w:r>
        </w:p>
      </w:docPartBody>
    </w:docPart>
    <w:docPart>
      <w:docPartPr>
        <w:name w:val="E7967A1E92954A6E808AB53692658960"/>
        <w:style w:val=""/>
        <w:category>
          <w:name w:val="常规"/>
          <w:gallery w:val="placeholder"/>
        </w:category>
        <w:types>
          <w:type w:val="bbPlcHdr"/>
        </w:types>
        <w:behaviors>
          <w:behavior w:val="content"/>
        </w:behaviors>
        <w:description w:val=""/>
        <w:guid w:val="{7E0776A1-9066-4A31-8C0D-277AA8C1FB29}"/>
      </w:docPartPr>
      <w:docPartBody>
        <w:p w14:paraId="05E760D7">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97E"/>
    <w:rsid w:val="000F57A2"/>
    <w:rsid w:val="001F139E"/>
    <w:rsid w:val="002C7E12"/>
    <w:rsid w:val="00327590"/>
    <w:rsid w:val="003F3A21"/>
    <w:rsid w:val="00421C95"/>
    <w:rsid w:val="00497B31"/>
    <w:rsid w:val="00511CD4"/>
    <w:rsid w:val="00526510"/>
    <w:rsid w:val="005457EE"/>
    <w:rsid w:val="0055462C"/>
    <w:rsid w:val="00584AAB"/>
    <w:rsid w:val="00600DFD"/>
    <w:rsid w:val="006A7292"/>
    <w:rsid w:val="006E5447"/>
    <w:rsid w:val="00835EFD"/>
    <w:rsid w:val="00903D0C"/>
    <w:rsid w:val="00964BD7"/>
    <w:rsid w:val="00AB358D"/>
    <w:rsid w:val="00B6297E"/>
    <w:rsid w:val="00C06BC7"/>
    <w:rsid w:val="00C36D4B"/>
    <w:rsid w:val="00C41C77"/>
    <w:rsid w:val="00D150B2"/>
    <w:rsid w:val="00D51E29"/>
    <w:rsid w:val="00DF3A1D"/>
    <w:rsid w:val="00E91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5372EC9FE13840A38E1EBC04A643C098"/>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E7967A1E92954A6E808AB5369265896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3044</Words>
  <Characters>3566</Characters>
  <Lines>148</Lines>
  <Paragraphs>181</Paragraphs>
  <TotalTime>25</TotalTime>
  <ScaleCrop>false</ScaleCrop>
  <LinksUpToDate>false</LinksUpToDate>
  <CharactersWithSpaces>3698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2023-11-12T12:40:00Z</dcterms:created>
  <dc:creator>LWP</dc:creator>
  <dc:description>&lt;config cover="true" show_menu="true" version="1.0.0" doctype="SDKXY"&gt;_x000d_
&lt;/config&gt;</dc:description>
  <cp:lastModifiedBy>administered</cp:lastModifiedBy>
  <cp:lastPrinted>2025-06-29T06:46:00Z</cp:lastPrinted>
  <dcterms:modified xsi:type="dcterms:W3CDTF">2025-09-19T08:58:03Z</dcterms:modified>
  <dc:title>地方标准</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875747734F74486BA036E1F99E1C85F9_13</vt:lpwstr>
  </property>
  <property fmtid="{D5CDD505-2E9C-101B-9397-08002B2CF9AE}" pid="16" name="DoublePage">
    <vt:lpwstr>true</vt:lpwstr>
  </property>
  <property fmtid="{D5CDD505-2E9C-101B-9397-08002B2CF9AE}" pid="17" name="KSOTemplateDocerSaveRecord">
    <vt:lpwstr>eyJoZGlkIjoiN2E2MmU2MDhkNzFjODM3YzljNDJhN2E2ZDhmOWEzZGMiLCJ1c2VySWQiOiIzNDczMjMyOTIifQ==</vt:lpwstr>
  </property>
</Properties>
</file>