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6F9CE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40FC433">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4BE6C83F">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13.040.40</w:t>
            </w:r>
            <w:r>
              <w:rPr>
                <w:rFonts w:ascii="黑体" w:hAnsi="黑体" w:eastAsia="黑体"/>
                <w:sz w:val="21"/>
                <w:szCs w:val="21"/>
              </w:rPr>
              <w:fldChar w:fldCharType="end"/>
            </w:r>
            <w:bookmarkEnd w:id="0"/>
          </w:p>
        </w:tc>
      </w:tr>
      <w:tr w14:paraId="43A84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7218C6C0">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3B8DA2B8">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Z60</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61"/>
      </w:tblGrid>
      <w:tr w14:paraId="6E5ABA9E">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6661" w:type="dxa"/>
          </w:tcPr>
          <w:p w14:paraId="29BDB879">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lang w:eastAsia="zh-CN"/>
              </w:rPr>
              <w:t>3</w:t>
            </w:r>
            <w:r>
              <w:rPr>
                <w:rFonts w:hint="eastAsia"/>
                <w:lang w:val="en-US" w:eastAsia="zh-CN"/>
              </w:rPr>
              <w:t>4</w:t>
            </w:r>
            <w:r>
              <w:fldChar w:fldCharType="end"/>
            </w:r>
            <w:bookmarkEnd w:id="3"/>
          </w:p>
        </w:tc>
      </w:tr>
    </w:tbl>
    <w:p w14:paraId="29B6363D">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lang w:eastAsia="zh-CN"/>
        </w:rPr>
        <w:t>安徽省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4E4B78EF">
      <w:pPr>
        <w:pStyle w:val="195"/>
        <w:framePr/>
      </w:pPr>
      <w:r>
        <w:t>DB</w:t>
      </w:r>
      <w:r>
        <w:rPr>
          <w:sz w:val="15"/>
          <w:szCs w:val="15"/>
        </w:rPr>
        <w:t xml:space="preserve"> </w:t>
      </w:r>
      <w:r>
        <w:fldChar w:fldCharType="begin">
          <w:ffData>
            <w:name w:val="文字1"/>
            <w:enabled/>
            <w:calcOnExit w:val="0"/>
            <w:textInput>
              <w:default w:val="XX"/>
            </w:textInput>
          </w:ffData>
        </w:fldChar>
      </w:r>
      <w:bookmarkStart w:id="5" w:name="文字1"/>
      <w:r>
        <w:instrText xml:space="preserve"> FORMTEXT </w:instrText>
      </w:r>
      <w:r>
        <w:fldChar w:fldCharType="separate"/>
      </w:r>
      <w:r>
        <w:rPr>
          <w:rFonts w:hint="eastAsia"/>
          <w:lang w:val="en-US" w:eastAsia="zh-CN"/>
        </w:rPr>
        <w:t>34</w:t>
      </w:r>
      <w:r>
        <w:t>/T</w:t>
      </w:r>
      <w:r>
        <w:fldChar w:fldCharType="end"/>
      </w:r>
      <w:bookmarkEnd w:id="5"/>
      <w:r>
        <w:t xml:space="preserve"> </w:t>
      </w:r>
      <w:r>
        <w:fldChar w:fldCharType="begin">
          <w:ffData>
            <w:name w:val="NSTD_CODE_F"/>
            <w:enabled/>
            <w:calcOnExit w:val="0"/>
            <w:textInput>
              <w:default w:val="XXXXX"/>
            </w:textInput>
          </w:ffData>
        </w:fldChar>
      </w:r>
      <w:bookmarkStart w:id="6" w:name="NSTD_CODE_F"/>
      <w:r>
        <w:instrText xml:space="preserve"> FORMTEXT </w:instrText>
      </w:r>
      <w:r>
        <w:fldChar w:fldCharType="separate"/>
      </w:r>
      <w:r>
        <w:t>***</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rPr>
          <w:rFonts w:hint="eastAsia"/>
          <w:lang w:eastAsia="zh-CN"/>
        </w:rPr>
        <w:t>2</w:t>
      </w:r>
      <w:r>
        <w:rPr>
          <w:rFonts w:hint="eastAsia"/>
          <w:lang w:val="en-US" w:eastAsia="zh-CN"/>
        </w:rPr>
        <w:t>025</w:t>
      </w:r>
      <w:r>
        <w:fldChar w:fldCharType="end"/>
      </w:r>
      <w:bookmarkEnd w:id="7"/>
    </w:p>
    <w:p w14:paraId="406B3A32">
      <w:pPr>
        <w:pStyle w:val="196"/>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6CA4740B">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C04A8B4">
      <w:pPr>
        <w:pStyle w:val="50"/>
        <w:framePr w:w="9639" w:h="6976" w:hRule="exact" w:hSpace="0" w:vSpace="0" w:wrap="around" w:hAnchor="page" w:y="6408"/>
        <w:jc w:val="center"/>
        <w:rPr>
          <w:rFonts w:ascii="黑体" w:hAnsi="黑体" w:eastAsia="黑体"/>
          <w:b w:val="0"/>
          <w:bCs w:val="0"/>
          <w:w w:val="100"/>
        </w:rPr>
      </w:pPr>
    </w:p>
    <w:p w14:paraId="59C8F202">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制药工业大气污染防治技术规范</w:t>
      </w:r>
      <w:r>
        <w:fldChar w:fldCharType="end"/>
      </w:r>
      <w:bookmarkEnd w:id="9"/>
    </w:p>
    <w:p w14:paraId="0CF910DE">
      <w:pPr>
        <w:framePr w:w="9639" w:h="6974" w:hRule="exact" w:wrap="around" w:vAnchor="page" w:hAnchor="page" w:x="1419" w:y="6408" w:anchorLock="1"/>
        <w:ind w:left="-1418"/>
      </w:pPr>
    </w:p>
    <w:p w14:paraId="4A08DBD4">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Technical specifications for air pollution prevention and control of pharmaceutical industry</w:t>
      </w:r>
      <w:r>
        <w:rPr>
          <w:rFonts w:eastAsia="黑体"/>
          <w:szCs w:val="28"/>
        </w:rPr>
        <w:fldChar w:fldCharType="end"/>
      </w:r>
      <w:bookmarkEnd w:id="10"/>
    </w:p>
    <w:p w14:paraId="50E64349">
      <w:pPr>
        <w:framePr w:w="9639" w:h="6974" w:hRule="exact" w:wrap="around" w:vAnchor="page" w:hAnchor="page" w:x="1419" w:y="6408" w:anchorLock="1"/>
        <w:spacing w:line="760" w:lineRule="exact"/>
        <w:ind w:left="-1418"/>
      </w:pPr>
    </w:p>
    <w:p w14:paraId="2CB0173F">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IN_STD_CODE"/>
            <w:enabled/>
            <w:calcOnExit w:val="0"/>
            <w:textInput>
              <w:default w:val="(点击此处添加与国际标准一致性程度的标识)"/>
            </w:textInput>
          </w:ffData>
        </w:fldChar>
      </w:r>
      <w:bookmarkStart w:id="11" w:name="IN_STD_CODE"/>
      <w:r>
        <w:rPr>
          <w:rFonts w:eastAsia="黑体"/>
          <w:szCs w:val="28"/>
        </w:rPr>
        <w:instrText xml:space="preserve"> FORMTEXT </w:instrText>
      </w:r>
      <w:r>
        <w:rPr>
          <w:rFonts w:eastAsia="黑体"/>
          <w:szCs w:val="28"/>
        </w:rPr>
        <w:fldChar w:fldCharType="separate"/>
      </w:r>
      <w:r>
        <w:rPr>
          <w:rFonts w:hint="eastAsia" w:eastAsia="黑体"/>
          <w:szCs w:val="28"/>
        </w:rPr>
        <w:t>(点击此处添加与国际标准一致性程度的标识)</w:t>
      </w:r>
      <w:r>
        <w:rPr>
          <w:rFonts w:eastAsia="黑体"/>
          <w:szCs w:val="28"/>
        </w:rPr>
        <w:fldChar w:fldCharType="end"/>
      </w:r>
      <w:bookmarkEnd w:id="11"/>
    </w:p>
    <w:p w14:paraId="7A78898D">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1"/>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Pr>
          <w:sz w:val="24"/>
          <w:szCs w:val="28"/>
        </w:rPr>
        <w:fldChar w:fldCharType="separate"/>
      </w:r>
      <w:r>
        <w:rPr>
          <w:sz w:val="24"/>
          <w:szCs w:val="28"/>
        </w:rPr>
        <w:fldChar w:fldCharType="end"/>
      </w:r>
      <w:bookmarkEnd w:id="12"/>
    </w:p>
    <w:p w14:paraId="7D41D2DE">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fldChar w:fldCharType="separate"/>
      </w:r>
      <w:r>
        <w:rPr>
          <w:rFonts w:hint="eastAsia"/>
          <w:sz w:val="21"/>
          <w:szCs w:val="28"/>
        </w:rPr>
        <w:t>（本草案完成时间：2</w:t>
      </w:r>
      <w:r>
        <w:rPr>
          <w:sz w:val="21"/>
          <w:szCs w:val="28"/>
        </w:rPr>
        <w:t>023.8.26</w:t>
      </w:r>
      <w:r>
        <w:rPr>
          <w:rFonts w:hint="eastAsia"/>
          <w:sz w:val="21"/>
          <w:szCs w:val="28"/>
        </w:rPr>
        <w:t>）</w:t>
      </w:r>
      <w:r>
        <w:rPr>
          <w:sz w:val="21"/>
          <w:szCs w:val="28"/>
        </w:rPr>
        <w:fldChar w:fldCharType="end"/>
      </w:r>
      <w:bookmarkEnd w:id="13"/>
    </w:p>
    <w:p w14:paraId="6143772C">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Pr>
          <w:b/>
          <w:sz w:val="21"/>
          <w:szCs w:val="28"/>
        </w:rPr>
        <w:fldChar w:fldCharType="separate"/>
      </w:r>
      <w:r>
        <w:rPr>
          <w:b/>
          <w:sz w:val="21"/>
          <w:szCs w:val="28"/>
        </w:rPr>
        <w:fldChar w:fldCharType="end"/>
      </w:r>
      <w:bookmarkEnd w:id="14"/>
    </w:p>
    <w:p w14:paraId="743FBBCE">
      <w:pPr>
        <w:pStyle w:val="193"/>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fldChar w:fldCharType="separate"/>
      </w:r>
      <w:r>
        <w:rPr>
          <w:rFonts w:ascii="黑体"/>
        </w:rPr>
        <w:t>****</w:t>
      </w:r>
      <w:r>
        <w:rPr>
          <w:rFonts w:ascii="黑体"/>
        </w:rPr>
        <w:fldChar w:fldCharType="end"/>
      </w:r>
      <w:bookmarkEnd w:id="15"/>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fldChar w:fldCharType="separate"/>
      </w:r>
      <w:r>
        <w:rPr>
          <w:rFonts w:ascii="黑体"/>
        </w:rPr>
        <w:t>**</w:t>
      </w:r>
      <w:r>
        <w:rPr>
          <w:rFonts w:ascii="黑体"/>
        </w:rPr>
        <w:fldChar w:fldCharType="end"/>
      </w:r>
      <w:bookmarkEnd w:id="16"/>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fldChar w:fldCharType="separate"/>
      </w:r>
      <w:r>
        <w:rPr>
          <w:rFonts w:ascii="黑体"/>
        </w:rPr>
        <w:t>**</w:t>
      </w:r>
      <w:r>
        <w:rPr>
          <w:rFonts w:ascii="黑体"/>
        </w:rPr>
        <w:fldChar w:fldCharType="end"/>
      </w:r>
      <w:bookmarkEnd w:id="17"/>
      <w:r>
        <w:rPr>
          <w:rFonts w:hint="eastAsia"/>
        </w:rPr>
        <w:t>发布</w:t>
      </w:r>
    </w:p>
    <w:p w14:paraId="4C14D275">
      <w:pPr>
        <w:pStyle w:val="194"/>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fldChar w:fldCharType="separate"/>
      </w:r>
      <w:r>
        <w:rPr>
          <w:rFonts w:ascii="黑体"/>
        </w:rPr>
        <w:t>****</w:t>
      </w:r>
      <w:r>
        <w:rPr>
          <w:rFonts w:ascii="黑体"/>
        </w:rPr>
        <w:fldChar w:fldCharType="end"/>
      </w:r>
      <w:bookmarkEnd w:id="18"/>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fldChar w:fldCharType="separate"/>
      </w:r>
      <w:r>
        <w:rPr>
          <w:rFonts w:ascii="黑体"/>
        </w:rPr>
        <w:t>**</w:t>
      </w:r>
      <w:r>
        <w:rPr>
          <w:rFonts w:ascii="黑体"/>
        </w:rPr>
        <w:fldChar w:fldCharType="end"/>
      </w:r>
      <w:bookmarkEnd w:id="19"/>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fldChar w:fldCharType="separate"/>
      </w:r>
      <w:r>
        <w:rPr>
          <w:rFonts w:ascii="黑体"/>
        </w:rPr>
        <w:t>*1</w:t>
      </w:r>
      <w:r>
        <w:rPr>
          <w:rFonts w:ascii="黑体"/>
        </w:rPr>
        <w:fldChar w:fldCharType="end"/>
      </w:r>
      <w:bookmarkEnd w:id="20"/>
      <w:r>
        <w:rPr>
          <w:rFonts w:hint="eastAsia"/>
        </w:rPr>
        <w:t>实施</w:t>
      </w:r>
    </w:p>
    <w:p w14:paraId="55DABFD3">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1" w:name="fm"/>
      <w:r>
        <w:rPr>
          <w:rFonts w:hAnsi="黑体"/>
          <w:w w:val="100"/>
          <w:sz w:val="28"/>
        </w:rPr>
        <w:instrText xml:space="preserve"> FORMTEXT </w:instrText>
      </w:r>
      <w:r>
        <w:rPr>
          <w:rFonts w:hAnsi="黑体"/>
          <w:w w:val="100"/>
          <w:sz w:val="28"/>
        </w:rPr>
        <w:fldChar w:fldCharType="separate"/>
      </w:r>
      <w:r>
        <w:rPr>
          <w:rFonts w:hint="eastAsia" w:hAnsi="黑体"/>
          <w:w w:val="100"/>
          <w:sz w:val="28"/>
          <w:lang w:eastAsia="zh-CN"/>
        </w:rPr>
        <w:t>安徽省生态环境厅</w:t>
      </w:r>
      <w:r>
        <w:rPr>
          <w:rFonts w:hAnsi="黑体"/>
          <w:w w:val="100"/>
          <w:sz w:val="28"/>
        </w:rPr>
        <w:fldChar w:fldCharType="end"/>
      </w:r>
      <w:bookmarkEnd w:id="21"/>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43FDDC04">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CEE6189">
      <w:pPr>
        <w:pStyle w:val="91"/>
        <w:spacing w:after="468"/>
      </w:pPr>
      <w:bookmarkStart w:id="22" w:name="BookMark1"/>
      <w:r>
        <w:rPr>
          <w:rFonts w:hint="eastAsia"/>
          <w:spacing w:val="320"/>
        </w:rPr>
        <w:t>目</w:t>
      </w:r>
      <w:r>
        <w:rPr>
          <w:rFonts w:hint="eastAsia"/>
        </w:rPr>
        <w:t>次</w:t>
      </w:r>
    </w:p>
    <w:p w14:paraId="43551776">
      <w:pPr>
        <w:pStyle w:val="19"/>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"_Toc149654114" </w:instrText>
      </w:r>
      <w:r>
        <w:fldChar w:fldCharType="separate"/>
      </w:r>
      <w:r>
        <w:rPr>
          <w:rStyle w:val="32"/>
          <w:spacing w:val="320"/>
        </w:rPr>
        <w:t>前</w:t>
      </w:r>
      <w:r>
        <w:rPr>
          <w:rStyle w:val="32"/>
        </w:rPr>
        <w:t>言</w:t>
      </w:r>
      <w:r>
        <w:tab/>
      </w:r>
      <w:r>
        <w:fldChar w:fldCharType="begin"/>
      </w:r>
      <w:r>
        <w:instrText xml:space="preserve"> PAGEREF _Toc149654114 \h </w:instrText>
      </w:r>
      <w:r>
        <w:fldChar w:fldCharType="separate"/>
      </w:r>
      <w:r>
        <w:t>III</w:t>
      </w:r>
      <w:r>
        <w:fldChar w:fldCharType="end"/>
      </w:r>
      <w:r>
        <w:fldChar w:fldCharType="end"/>
      </w:r>
    </w:p>
    <w:p w14:paraId="3271EE59">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"_Toc149654115" </w:instrText>
      </w:r>
      <w:r>
        <w:fldChar w:fldCharType="separate"/>
      </w:r>
      <w:r>
        <w:rPr>
          <w:rStyle w:val="32"/>
          <w:spacing w:val="320"/>
        </w:rPr>
        <w:t>引</w:t>
      </w:r>
      <w:r>
        <w:rPr>
          <w:rStyle w:val="32"/>
        </w:rPr>
        <w:t>言</w:t>
      </w:r>
      <w:r>
        <w:tab/>
      </w:r>
      <w:r>
        <w:fldChar w:fldCharType="begin"/>
      </w:r>
      <w:r>
        <w:instrText xml:space="preserve"> PAGEREF _Toc149654115 \h </w:instrText>
      </w:r>
      <w:r>
        <w:fldChar w:fldCharType="separate"/>
      </w:r>
      <w:r>
        <w:t>IV</w:t>
      </w:r>
      <w:r>
        <w:fldChar w:fldCharType="end"/>
      </w:r>
      <w:r>
        <w:fldChar w:fldCharType="end"/>
      </w:r>
    </w:p>
    <w:p w14:paraId="57D1960F">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"_Toc149654116" </w:instrText>
      </w:r>
      <w:r>
        <w:fldChar w:fldCharType="separate"/>
      </w:r>
      <w:r>
        <w:rPr>
          <w:rStyle w:val="32"/>
        </w:rPr>
        <w:t>1 范围</w:t>
      </w:r>
      <w:r>
        <w:tab/>
      </w:r>
      <w:r>
        <w:fldChar w:fldCharType="begin"/>
      </w:r>
      <w:r>
        <w:instrText xml:space="preserve"> PAGEREF _Toc149654116 \h </w:instrText>
      </w:r>
      <w:r>
        <w:fldChar w:fldCharType="separate"/>
      </w:r>
      <w:r>
        <w:t>1</w:t>
      </w:r>
      <w:r>
        <w:fldChar w:fldCharType="end"/>
      </w:r>
      <w:r>
        <w:fldChar w:fldCharType="end"/>
      </w:r>
    </w:p>
    <w:p w14:paraId="1E76B377">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"_Toc149654117" </w:instrText>
      </w:r>
      <w:r>
        <w:fldChar w:fldCharType="separate"/>
      </w:r>
      <w:r>
        <w:rPr>
          <w:rStyle w:val="32"/>
        </w:rPr>
        <w:t>2 规范性引用文件</w:t>
      </w:r>
      <w:r>
        <w:tab/>
      </w:r>
      <w:r>
        <w:fldChar w:fldCharType="begin"/>
      </w:r>
      <w:r>
        <w:instrText xml:space="preserve"> PAGEREF _Toc149654117 \h </w:instrText>
      </w:r>
      <w:r>
        <w:fldChar w:fldCharType="separate"/>
      </w:r>
      <w:r>
        <w:t>1</w:t>
      </w:r>
      <w:r>
        <w:fldChar w:fldCharType="end"/>
      </w:r>
      <w:r>
        <w:fldChar w:fldCharType="end"/>
      </w:r>
    </w:p>
    <w:p w14:paraId="4ACF92EE">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"_Toc149654118" </w:instrText>
      </w:r>
      <w:r>
        <w:fldChar w:fldCharType="separate"/>
      </w:r>
      <w:r>
        <w:rPr>
          <w:rStyle w:val="32"/>
        </w:rPr>
        <w:t>3 术语和定义</w:t>
      </w:r>
      <w:r>
        <w:tab/>
      </w:r>
      <w:r>
        <w:fldChar w:fldCharType="begin"/>
      </w:r>
      <w:r>
        <w:instrText xml:space="preserve"> PAGEREF _Toc149654118 \h </w:instrText>
      </w:r>
      <w:r>
        <w:fldChar w:fldCharType="separate"/>
      </w:r>
      <w:r>
        <w:t>2</w:t>
      </w:r>
      <w:r>
        <w:fldChar w:fldCharType="end"/>
      </w:r>
      <w:r>
        <w:fldChar w:fldCharType="end"/>
      </w:r>
    </w:p>
    <w:p w14:paraId="013787EE">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"_Toc149654139" </w:instrText>
      </w:r>
      <w:r>
        <w:fldChar w:fldCharType="separate"/>
      </w:r>
      <w:r>
        <w:rPr>
          <w:rStyle w:val="32"/>
        </w:rPr>
        <w:t>4 污染预防技术</w:t>
      </w:r>
      <w:r>
        <w:tab/>
      </w:r>
      <w:r>
        <w:fldChar w:fldCharType="begin"/>
      </w:r>
      <w:r>
        <w:instrText xml:space="preserve"> PAGEREF _Toc149654139 \h </w:instrText>
      </w:r>
      <w:r>
        <w:fldChar w:fldCharType="separate"/>
      </w:r>
      <w:r>
        <w:t>4</w:t>
      </w:r>
      <w:r>
        <w:fldChar w:fldCharType="end"/>
      </w:r>
      <w:r>
        <w:fldChar w:fldCharType="end"/>
      </w:r>
    </w:p>
    <w:p w14:paraId="4A667573">
      <w:pPr>
        <w:pStyle w:val="24"/>
        <w:rPr>
          <w:rFonts w:asciiTheme="minorHAnsi" w:hAnsiTheme="minorHAnsi" w:eastAsiaTheme="minorEastAsia" w:cstheme="minorBidi"/>
          <w:szCs w:val="22"/>
        </w:rPr>
      </w:pPr>
      <w:r>
        <w:fldChar w:fldCharType="begin"/>
      </w:r>
      <w:r>
        <w:instrText xml:space="preserve"> HYPERLINK \l "_Toc149654140" </w:instrText>
      </w:r>
      <w:r>
        <w:fldChar w:fldCharType="separate"/>
      </w:r>
      <w:r>
        <w:rPr>
          <w:rStyle w:val="32"/>
          <w14:scene3d w14:prst="orthographicFront">
            <w14:lightRig w14:rig="threePt" w14:dir="t">
              <w14:rot w14:lat="0" w14:lon="0" w14:rev="0"/>
            </w14:lightRig>
          </w14:scene3d>
        </w:rPr>
        <w:t>4.1</w:t>
      </w:r>
      <w:r>
        <w:rPr>
          <w:rStyle w:val="32"/>
          <w:rFonts w:ascii="Times New Roman"/>
        </w:rPr>
        <w:t xml:space="preserve"> 一般原则</w:t>
      </w:r>
      <w:r>
        <w:tab/>
      </w:r>
      <w:r>
        <w:fldChar w:fldCharType="begin"/>
      </w:r>
      <w:r>
        <w:instrText xml:space="preserve"> PAGEREF _Toc149654140 \h </w:instrText>
      </w:r>
      <w:r>
        <w:fldChar w:fldCharType="separate"/>
      </w:r>
      <w:r>
        <w:t>4</w:t>
      </w:r>
      <w:r>
        <w:fldChar w:fldCharType="end"/>
      </w:r>
      <w:r>
        <w:fldChar w:fldCharType="end"/>
      </w:r>
    </w:p>
    <w:p w14:paraId="57B49B43">
      <w:pPr>
        <w:pStyle w:val="24"/>
        <w:rPr>
          <w:rFonts w:asciiTheme="minorHAnsi" w:hAnsiTheme="minorHAnsi" w:eastAsiaTheme="minorEastAsia" w:cstheme="minorBidi"/>
          <w:szCs w:val="22"/>
        </w:rPr>
      </w:pPr>
      <w:r>
        <w:fldChar w:fldCharType="begin"/>
      </w:r>
      <w:r>
        <w:instrText xml:space="preserve"> HYPERLINK \l "_Toc149654141" </w:instrText>
      </w:r>
      <w:r>
        <w:fldChar w:fldCharType="separate"/>
      </w:r>
      <w:r>
        <w:rPr>
          <w:rStyle w:val="32"/>
          <w14:scene3d w14:prst="orthographicFront">
            <w14:lightRig w14:rig="threePt" w14:dir="t">
              <w14:rot w14:lat="0" w14:lon="0" w14:rev="0"/>
            </w14:lightRig>
          </w14:scene3d>
        </w:rPr>
        <w:t>4.2</w:t>
      </w:r>
      <w:r>
        <w:rPr>
          <w:rStyle w:val="32"/>
          <w:rFonts w:ascii="Times New Roman"/>
        </w:rPr>
        <w:t xml:space="preserve"> 原辅材料替代技术</w:t>
      </w:r>
      <w:r>
        <w:tab/>
      </w:r>
      <w:r>
        <w:fldChar w:fldCharType="begin"/>
      </w:r>
      <w:r>
        <w:instrText xml:space="preserve"> PAGEREF _Toc149654141 \h </w:instrText>
      </w:r>
      <w:r>
        <w:fldChar w:fldCharType="separate"/>
      </w:r>
      <w:r>
        <w:t>4</w:t>
      </w:r>
      <w:r>
        <w:fldChar w:fldCharType="end"/>
      </w:r>
      <w:r>
        <w:fldChar w:fldCharType="end"/>
      </w:r>
    </w:p>
    <w:p w14:paraId="46B54084">
      <w:pPr>
        <w:pStyle w:val="24"/>
        <w:rPr>
          <w:rFonts w:asciiTheme="minorHAnsi" w:hAnsiTheme="minorHAnsi" w:eastAsiaTheme="minorEastAsia" w:cstheme="minorBidi"/>
          <w:szCs w:val="22"/>
        </w:rPr>
      </w:pPr>
      <w:r>
        <w:fldChar w:fldCharType="begin"/>
      </w:r>
      <w:r>
        <w:instrText xml:space="preserve"> HYPERLINK \l "_Toc149654142" </w:instrText>
      </w:r>
      <w:r>
        <w:fldChar w:fldCharType="separate"/>
      </w:r>
      <w:r>
        <w:rPr>
          <w:rStyle w:val="32"/>
          <w14:scene3d w14:prst="orthographicFront">
            <w14:lightRig w14:rig="threePt" w14:dir="t">
              <w14:rot w14:lat="0" w14:lon="0" w14:rev="0"/>
            </w14:lightRig>
          </w14:scene3d>
        </w:rPr>
        <w:t>4.3</w:t>
      </w:r>
      <w:r>
        <w:rPr>
          <w:rStyle w:val="32"/>
          <w:rFonts w:ascii="Times New Roman"/>
        </w:rPr>
        <w:t xml:space="preserve"> 设备或工艺革新技术</w:t>
      </w:r>
      <w:r>
        <w:tab/>
      </w:r>
      <w:r>
        <w:fldChar w:fldCharType="begin"/>
      </w:r>
      <w:r>
        <w:instrText xml:space="preserve"> PAGEREF _Toc149654142 \h </w:instrText>
      </w:r>
      <w:r>
        <w:fldChar w:fldCharType="separate"/>
      </w:r>
      <w:r>
        <w:t>5</w:t>
      </w:r>
      <w:r>
        <w:fldChar w:fldCharType="end"/>
      </w:r>
      <w:r>
        <w:fldChar w:fldCharType="end"/>
      </w:r>
    </w:p>
    <w:p w14:paraId="3278E65D">
      <w:pPr>
        <w:pStyle w:val="24"/>
        <w:rPr>
          <w:rFonts w:asciiTheme="minorHAnsi" w:hAnsiTheme="minorHAnsi" w:eastAsiaTheme="minorEastAsia" w:cstheme="minorBidi"/>
          <w:szCs w:val="22"/>
        </w:rPr>
      </w:pPr>
      <w:r>
        <w:fldChar w:fldCharType="begin"/>
      </w:r>
      <w:r>
        <w:instrText xml:space="preserve"> HYPERLINK \l "_Toc149654143" </w:instrText>
      </w:r>
      <w:r>
        <w:fldChar w:fldCharType="separate"/>
      </w:r>
      <w:r>
        <w:rPr>
          <w:rStyle w:val="32"/>
          <w14:scene3d w14:prst="orthographicFront">
            <w14:lightRig w14:rig="threePt" w14:dir="t">
              <w14:rot w14:lat="0" w14:lon="0" w14:rev="0"/>
            </w14:lightRig>
          </w14:scene3d>
        </w:rPr>
        <w:t>4.4</w:t>
      </w:r>
      <w:r>
        <w:rPr>
          <w:rStyle w:val="32"/>
          <w:rFonts w:ascii="Times New Roman"/>
        </w:rPr>
        <w:t xml:space="preserve"> 过程控制技术</w:t>
      </w:r>
      <w:r>
        <w:tab/>
      </w:r>
      <w:r>
        <w:fldChar w:fldCharType="begin"/>
      </w:r>
      <w:r>
        <w:instrText xml:space="preserve"> PAGEREF _Toc149654143 \h </w:instrText>
      </w:r>
      <w:r>
        <w:fldChar w:fldCharType="separate"/>
      </w:r>
      <w:r>
        <w:t>5</w:t>
      </w:r>
      <w:r>
        <w:fldChar w:fldCharType="end"/>
      </w:r>
      <w:r>
        <w:fldChar w:fldCharType="end"/>
      </w:r>
    </w:p>
    <w:p w14:paraId="632A5287">
      <w:pPr>
        <w:pStyle w:val="24"/>
        <w:rPr>
          <w:rFonts w:asciiTheme="minorHAnsi" w:hAnsiTheme="minorHAnsi" w:eastAsiaTheme="minorEastAsia" w:cstheme="minorBidi"/>
          <w:szCs w:val="22"/>
        </w:rPr>
      </w:pPr>
      <w:r>
        <w:fldChar w:fldCharType="begin"/>
      </w:r>
      <w:r>
        <w:instrText xml:space="preserve"> HYPERLINK \l "_Toc149654144" </w:instrText>
      </w:r>
      <w:r>
        <w:fldChar w:fldCharType="separate"/>
      </w:r>
      <w:r>
        <w:rPr>
          <w:rStyle w:val="32"/>
          <w14:scene3d w14:prst="orthographicFront">
            <w14:lightRig w14:rig="threePt" w14:dir="t">
              <w14:rot w14:lat="0" w14:lon="0" w14:rev="0"/>
            </w14:lightRig>
          </w14:scene3d>
        </w:rPr>
        <w:t>4.5</w:t>
      </w:r>
      <w:r>
        <w:rPr>
          <w:rStyle w:val="32"/>
          <w:rFonts w:ascii="Times New Roman"/>
        </w:rPr>
        <w:t xml:space="preserve"> 设备改进技术</w:t>
      </w:r>
      <w:r>
        <w:tab/>
      </w:r>
      <w:r>
        <w:fldChar w:fldCharType="begin"/>
      </w:r>
      <w:r>
        <w:instrText xml:space="preserve"> PAGEREF _Toc149654144 \h </w:instrText>
      </w:r>
      <w:r>
        <w:fldChar w:fldCharType="separate"/>
      </w:r>
      <w:r>
        <w:t>7</w:t>
      </w:r>
      <w:r>
        <w:fldChar w:fldCharType="end"/>
      </w:r>
      <w:r>
        <w:fldChar w:fldCharType="end"/>
      </w:r>
    </w:p>
    <w:p w14:paraId="69ACEF97">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"_Toc149654145" </w:instrText>
      </w:r>
      <w:r>
        <w:fldChar w:fldCharType="separate"/>
      </w:r>
      <w:r>
        <w:rPr>
          <w:rStyle w:val="32"/>
        </w:rPr>
        <w:t>5 污染治理技术</w:t>
      </w:r>
      <w:r>
        <w:tab/>
      </w:r>
      <w:r>
        <w:fldChar w:fldCharType="begin"/>
      </w:r>
      <w:r>
        <w:instrText xml:space="preserve"> PAGEREF _Toc149654145 \h </w:instrText>
      </w:r>
      <w:r>
        <w:fldChar w:fldCharType="separate"/>
      </w:r>
      <w:r>
        <w:t>8</w:t>
      </w:r>
      <w:r>
        <w:fldChar w:fldCharType="end"/>
      </w:r>
      <w:r>
        <w:fldChar w:fldCharType="end"/>
      </w:r>
    </w:p>
    <w:p w14:paraId="2A7058EF">
      <w:pPr>
        <w:pStyle w:val="24"/>
        <w:rPr>
          <w:rFonts w:asciiTheme="minorHAnsi" w:hAnsiTheme="minorHAnsi" w:eastAsiaTheme="minorEastAsia" w:cstheme="minorBidi"/>
          <w:szCs w:val="22"/>
        </w:rPr>
      </w:pPr>
      <w:r>
        <w:fldChar w:fldCharType="begin"/>
      </w:r>
      <w:r>
        <w:instrText xml:space="preserve"> HYPERLINK \l "_Toc149654146" </w:instrText>
      </w:r>
      <w:r>
        <w:fldChar w:fldCharType="separate"/>
      </w:r>
      <w:r>
        <w:rPr>
          <w:rStyle w:val="32"/>
          <w14:scene3d w14:prst="orthographicFront">
            <w14:lightRig w14:rig="threePt" w14:dir="t">
              <w14:rot w14:lat="0" w14:lon="0" w14:rev="0"/>
            </w14:lightRig>
          </w14:scene3d>
        </w:rPr>
        <w:t>5.1</w:t>
      </w:r>
      <w:r>
        <w:rPr>
          <w:rStyle w:val="32"/>
          <w:rFonts w:ascii="Times New Roman"/>
        </w:rPr>
        <w:t xml:space="preserve"> 一般原则</w:t>
      </w:r>
      <w:r>
        <w:tab/>
      </w:r>
      <w:r>
        <w:fldChar w:fldCharType="begin"/>
      </w:r>
      <w:r>
        <w:instrText xml:space="preserve"> PAGEREF _Toc149654146 \h </w:instrText>
      </w:r>
      <w:r>
        <w:fldChar w:fldCharType="separate"/>
      </w:r>
      <w:r>
        <w:t>8</w:t>
      </w:r>
      <w:r>
        <w:fldChar w:fldCharType="end"/>
      </w:r>
      <w:r>
        <w:fldChar w:fldCharType="end"/>
      </w:r>
    </w:p>
    <w:p w14:paraId="3310A3F0">
      <w:pPr>
        <w:pStyle w:val="24"/>
        <w:rPr>
          <w:rFonts w:asciiTheme="minorHAnsi" w:hAnsiTheme="minorHAnsi" w:eastAsiaTheme="minorEastAsia" w:cstheme="minorBidi"/>
          <w:szCs w:val="22"/>
        </w:rPr>
      </w:pPr>
      <w:r>
        <w:fldChar w:fldCharType="begin"/>
      </w:r>
      <w:r>
        <w:instrText xml:space="preserve"> HYPERLINK \l "_Toc149654147" </w:instrText>
      </w:r>
      <w:r>
        <w:fldChar w:fldCharType="separate"/>
      </w:r>
      <w:r>
        <w:rPr>
          <w:rStyle w:val="32"/>
          <w14:scene3d w14:prst="orthographicFront">
            <w14:lightRig w14:rig="threePt" w14:dir="t">
              <w14:rot w14:lat="0" w14:lon="0" w14:rev="0"/>
            </w14:lightRig>
          </w14:scene3d>
        </w:rPr>
        <w:t>5.2</w:t>
      </w:r>
      <w:r>
        <w:rPr>
          <w:rStyle w:val="32"/>
          <w:rFonts w:ascii="Times New Roman"/>
        </w:rPr>
        <w:t xml:space="preserve"> 含尘废气处理技术</w:t>
      </w:r>
      <w:r>
        <w:tab/>
      </w:r>
      <w:r>
        <w:fldChar w:fldCharType="begin"/>
      </w:r>
      <w:r>
        <w:instrText xml:space="preserve"> PAGEREF _Toc149654147 \h </w:instrText>
      </w:r>
      <w:r>
        <w:fldChar w:fldCharType="separate"/>
      </w:r>
      <w:r>
        <w:t>8</w:t>
      </w:r>
      <w:r>
        <w:fldChar w:fldCharType="end"/>
      </w:r>
      <w:r>
        <w:fldChar w:fldCharType="end"/>
      </w:r>
    </w:p>
    <w:p w14:paraId="206E033C">
      <w:pPr>
        <w:pStyle w:val="24"/>
        <w:rPr>
          <w:rFonts w:asciiTheme="minorHAnsi" w:hAnsiTheme="minorHAnsi" w:eastAsiaTheme="minorEastAsia" w:cstheme="minorBidi"/>
          <w:szCs w:val="22"/>
        </w:rPr>
      </w:pPr>
      <w:r>
        <w:fldChar w:fldCharType="begin"/>
      </w:r>
      <w:r>
        <w:instrText xml:space="preserve"> HYPERLINK \l "_Toc149654148" </w:instrText>
      </w:r>
      <w:r>
        <w:fldChar w:fldCharType="separate"/>
      </w:r>
      <w:r>
        <w:rPr>
          <w:rStyle w:val="32"/>
          <w14:scene3d w14:prst="orthographicFront">
            <w14:lightRig w14:rig="threePt" w14:dir="t">
              <w14:rot w14:lat="0" w14:lon="0" w14:rev="0"/>
            </w14:lightRig>
          </w14:scene3d>
        </w:rPr>
        <w:t>5.3</w:t>
      </w:r>
      <w:r>
        <w:rPr>
          <w:rStyle w:val="32"/>
          <w:rFonts w:ascii="Times New Roman"/>
        </w:rPr>
        <w:t xml:space="preserve"> 有机废气处理技术的选择</w:t>
      </w:r>
      <w:r>
        <w:tab/>
      </w:r>
      <w:r>
        <w:fldChar w:fldCharType="begin"/>
      </w:r>
      <w:r>
        <w:instrText xml:space="preserve"> PAGEREF _Toc149654148 \h </w:instrText>
      </w:r>
      <w:r>
        <w:fldChar w:fldCharType="separate"/>
      </w:r>
      <w:r>
        <w:t>8</w:t>
      </w:r>
      <w:r>
        <w:fldChar w:fldCharType="end"/>
      </w:r>
      <w:r>
        <w:fldChar w:fldCharType="end"/>
      </w:r>
    </w:p>
    <w:p w14:paraId="377ECE7E">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"_Toc149654149" </w:instrText>
      </w:r>
      <w:r>
        <w:fldChar w:fldCharType="separate"/>
      </w:r>
      <w:r>
        <w:rPr>
          <w:rStyle w:val="32"/>
        </w:rPr>
        <w:t>6 污染治理技术</w:t>
      </w:r>
      <w:r>
        <w:tab/>
      </w:r>
      <w:r>
        <w:fldChar w:fldCharType="begin"/>
      </w:r>
      <w:r>
        <w:instrText xml:space="preserve"> PAGEREF _Toc149654149 \h </w:instrText>
      </w:r>
      <w:r>
        <w:fldChar w:fldCharType="separate"/>
      </w:r>
      <w:r>
        <w:t>9</w:t>
      </w:r>
      <w:r>
        <w:fldChar w:fldCharType="end"/>
      </w:r>
      <w:r>
        <w:fldChar w:fldCharType="end"/>
      </w:r>
    </w:p>
    <w:p w14:paraId="16C48C5F">
      <w:pPr>
        <w:pStyle w:val="24"/>
        <w:rPr>
          <w:rFonts w:asciiTheme="minorHAnsi" w:hAnsiTheme="minorHAnsi" w:eastAsiaTheme="minorEastAsia" w:cstheme="minorBidi"/>
          <w:szCs w:val="22"/>
        </w:rPr>
      </w:pPr>
      <w:r>
        <w:fldChar w:fldCharType="begin"/>
      </w:r>
      <w:r>
        <w:instrText xml:space="preserve"> HYPERLINK \l "_Toc149654150" </w:instrText>
      </w:r>
      <w:r>
        <w:fldChar w:fldCharType="separate"/>
      </w:r>
      <w:r>
        <w:rPr>
          <w:rStyle w:val="32"/>
          <w14:scene3d w14:prst="orthographicFront">
            <w14:lightRig w14:rig="threePt" w14:dir="t">
              <w14:rot w14:lat="0" w14:lon="0" w14:rev="0"/>
            </w14:lightRig>
          </w14:scene3d>
        </w:rPr>
        <w:t>6.1</w:t>
      </w:r>
      <w:r>
        <w:rPr>
          <w:rStyle w:val="32"/>
          <w:rFonts w:ascii="Times New Roman"/>
        </w:rPr>
        <w:t xml:space="preserve"> 冷凝回收+吸附处理技术：</w:t>
      </w:r>
      <w:r>
        <w:tab/>
      </w:r>
      <w:r>
        <w:fldChar w:fldCharType="begin"/>
      </w:r>
      <w:r>
        <w:instrText xml:space="preserve"> PAGEREF _Toc149654150 \h </w:instrText>
      </w:r>
      <w:r>
        <w:fldChar w:fldCharType="separate"/>
      </w:r>
      <w:r>
        <w:t>10</w:t>
      </w:r>
      <w:r>
        <w:fldChar w:fldCharType="end"/>
      </w:r>
      <w:r>
        <w:fldChar w:fldCharType="end"/>
      </w:r>
    </w:p>
    <w:p w14:paraId="0D49CEC3">
      <w:pPr>
        <w:pStyle w:val="24"/>
        <w:rPr>
          <w:rFonts w:asciiTheme="minorHAnsi" w:hAnsiTheme="minorHAnsi" w:eastAsiaTheme="minorEastAsia" w:cstheme="minorBidi"/>
          <w:szCs w:val="22"/>
        </w:rPr>
      </w:pPr>
      <w:r>
        <w:fldChar w:fldCharType="begin"/>
      </w:r>
      <w:r>
        <w:instrText xml:space="preserve"> HYPERLINK \l "_Toc149654151" </w:instrText>
      </w:r>
      <w:r>
        <w:fldChar w:fldCharType="separate"/>
      </w:r>
      <w:r>
        <w:rPr>
          <w:rStyle w:val="32"/>
          <w14:scene3d w14:prst="orthographicFront">
            <w14:lightRig w14:rig="threePt" w14:dir="t">
              <w14:rot w14:lat="0" w14:lon="0" w14:rev="0"/>
            </w14:lightRig>
          </w14:scene3d>
        </w:rPr>
        <w:t>6.2</w:t>
      </w:r>
      <w:r>
        <w:rPr>
          <w:rStyle w:val="32"/>
          <w:rFonts w:ascii="Times New Roman"/>
        </w:rPr>
        <w:t xml:space="preserve"> 吸附浓缩+冷凝回收技术：</w:t>
      </w:r>
      <w:r>
        <w:tab/>
      </w:r>
      <w:r>
        <w:fldChar w:fldCharType="begin"/>
      </w:r>
      <w:r>
        <w:instrText xml:space="preserve"> PAGEREF _Toc149654151 \h </w:instrText>
      </w:r>
      <w:r>
        <w:fldChar w:fldCharType="separate"/>
      </w:r>
      <w:r>
        <w:t>10</w:t>
      </w:r>
      <w:r>
        <w:fldChar w:fldCharType="end"/>
      </w:r>
      <w:r>
        <w:fldChar w:fldCharType="end"/>
      </w:r>
    </w:p>
    <w:p w14:paraId="638DD5CC">
      <w:pPr>
        <w:pStyle w:val="24"/>
        <w:rPr>
          <w:rFonts w:asciiTheme="minorHAnsi" w:hAnsiTheme="minorHAnsi" w:eastAsiaTheme="minorEastAsia" w:cstheme="minorBidi"/>
          <w:szCs w:val="22"/>
        </w:rPr>
      </w:pPr>
      <w:r>
        <w:fldChar w:fldCharType="begin"/>
      </w:r>
      <w:r>
        <w:instrText xml:space="preserve"> HYPERLINK \l "_Toc149654152" </w:instrText>
      </w:r>
      <w:r>
        <w:fldChar w:fldCharType="separate"/>
      </w:r>
      <w:r>
        <w:rPr>
          <w:rStyle w:val="32"/>
          <w14:scene3d w14:prst="orthographicFront">
            <w14:lightRig w14:rig="threePt" w14:dir="t">
              <w14:rot w14:lat="0" w14:lon="0" w14:rev="0"/>
            </w14:lightRig>
          </w14:scene3d>
        </w:rPr>
        <w:t>6.3</w:t>
      </w:r>
      <w:r>
        <w:rPr>
          <w:rStyle w:val="32"/>
          <w:rFonts w:ascii="Times New Roman"/>
        </w:rPr>
        <w:t xml:space="preserve"> 吸收处理技术：</w:t>
      </w:r>
      <w:r>
        <w:tab/>
      </w:r>
      <w:r>
        <w:fldChar w:fldCharType="begin"/>
      </w:r>
      <w:r>
        <w:instrText xml:space="preserve"> PAGEREF _Toc149654152 \h </w:instrText>
      </w:r>
      <w:r>
        <w:fldChar w:fldCharType="separate"/>
      </w:r>
      <w:r>
        <w:t>10</w:t>
      </w:r>
      <w:r>
        <w:fldChar w:fldCharType="end"/>
      </w:r>
      <w:r>
        <w:fldChar w:fldCharType="end"/>
      </w:r>
    </w:p>
    <w:p w14:paraId="534FCD79">
      <w:pPr>
        <w:pStyle w:val="24"/>
        <w:rPr>
          <w:rFonts w:asciiTheme="minorHAnsi" w:hAnsiTheme="minorHAnsi" w:eastAsiaTheme="minorEastAsia" w:cstheme="minorBidi"/>
          <w:szCs w:val="22"/>
        </w:rPr>
      </w:pPr>
      <w:r>
        <w:fldChar w:fldCharType="begin"/>
      </w:r>
      <w:r>
        <w:instrText xml:space="preserve"> HYPERLINK \l "_Toc149654153" </w:instrText>
      </w:r>
      <w:r>
        <w:fldChar w:fldCharType="separate"/>
      </w:r>
      <w:r>
        <w:rPr>
          <w:rStyle w:val="32"/>
          <w14:scene3d w14:prst="orthographicFront">
            <w14:lightRig w14:rig="threePt" w14:dir="t">
              <w14:rot w14:lat="0" w14:lon="0" w14:rev="0"/>
            </w14:lightRig>
          </w14:scene3d>
        </w:rPr>
        <w:t>6.4</w:t>
      </w:r>
      <w:r>
        <w:rPr>
          <w:rStyle w:val="32"/>
          <w:rFonts w:ascii="Times New Roman"/>
        </w:rPr>
        <w:t xml:space="preserve"> 燃烧法处理技术：</w:t>
      </w:r>
      <w:r>
        <w:tab/>
      </w:r>
      <w:r>
        <w:fldChar w:fldCharType="begin"/>
      </w:r>
      <w:r>
        <w:instrText xml:space="preserve"> PAGEREF _Toc149654153 \h </w:instrText>
      </w:r>
      <w:r>
        <w:fldChar w:fldCharType="separate"/>
      </w:r>
      <w:r>
        <w:t>10</w:t>
      </w:r>
      <w:r>
        <w:fldChar w:fldCharType="end"/>
      </w:r>
      <w:r>
        <w:fldChar w:fldCharType="end"/>
      </w:r>
    </w:p>
    <w:p w14:paraId="378A770B">
      <w:pPr>
        <w:pStyle w:val="24"/>
        <w:rPr>
          <w:rFonts w:asciiTheme="minorHAnsi" w:hAnsiTheme="minorHAnsi" w:eastAsiaTheme="minorEastAsia" w:cstheme="minorBidi"/>
          <w:szCs w:val="22"/>
        </w:rPr>
      </w:pPr>
      <w:r>
        <w:fldChar w:fldCharType="begin"/>
      </w:r>
      <w:r>
        <w:instrText xml:space="preserve"> HYPERLINK \l "_Toc149654154" </w:instrText>
      </w:r>
      <w:r>
        <w:fldChar w:fldCharType="separate"/>
      </w:r>
      <w:r>
        <w:rPr>
          <w:rStyle w:val="32"/>
          <w14:scene3d w14:prst="orthographicFront">
            <w14:lightRig w14:rig="threePt" w14:dir="t">
              <w14:rot w14:lat="0" w14:lon="0" w14:rev="0"/>
            </w14:lightRig>
          </w14:scene3d>
        </w:rPr>
        <w:t>6.5</w:t>
      </w:r>
      <w:r>
        <w:rPr>
          <w:rStyle w:val="32"/>
          <w:rFonts w:ascii="Times New Roman"/>
        </w:rPr>
        <w:t xml:space="preserve"> 吸附浓缩+催化处理技术：</w:t>
      </w:r>
      <w:r>
        <w:tab/>
      </w:r>
      <w:r>
        <w:fldChar w:fldCharType="begin"/>
      </w:r>
      <w:r>
        <w:instrText xml:space="preserve"> PAGEREF _Toc149654154 \h </w:instrText>
      </w:r>
      <w:r>
        <w:fldChar w:fldCharType="separate"/>
      </w:r>
      <w:r>
        <w:t>11</w:t>
      </w:r>
      <w:r>
        <w:fldChar w:fldCharType="end"/>
      </w:r>
      <w:r>
        <w:fldChar w:fldCharType="end"/>
      </w:r>
    </w:p>
    <w:p w14:paraId="5605C3E7">
      <w:pPr>
        <w:pStyle w:val="24"/>
        <w:rPr>
          <w:rFonts w:asciiTheme="minorHAnsi" w:hAnsiTheme="minorHAnsi" w:eastAsiaTheme="minorEastAsia" w:cstheme="minorBidi"/>
          <w:szCs w:val="22"/>
        </w:rPr>
      </w:pPr>
      <w:r>
        <w:fldChar w:fldCharType="begin"/>
      </w:r>
      <w:r>
        <w:instrText xml:space="preserve"> HYPERLINK \l "_Toc149654155" </w:instrText>
      </w:r>
      <w:r>
        <w:fldChar w:fldCharType="separate"/>
      </w:r>
      <w:r>
        <w:rPr>
          <w:rStyle w:val="32"/>
          <w14:scene3d w14:prst="orthographicFront">
            <w14:lightRig w14:rig="threePt" w14:dir="t">
              <w14:rot w14:lat="0" w14:lon="0" w14:rev="0"/>
            </w14:lightRig>
          </w14:scene3d>
        </w:rPr>
        <w:t>6.6</w:t>
      </w:r>
      <w:r>
        <w:rPr>
          <w:rStyle w:val="32"/>
          <w:rFonts w:ascii="Times New Roman"/>
        </w:rPr>
        <w:t xml:space="preserve"> 吸附浓缩+RTO处理技术：</w:t>
      </w:r>
      <w:r>
        <w:tab/>
      </w:r>
      <w:r>
        <w:fldChar w:fldCharType="begin"/>
      </w:r>
      <w:r>
        <w:instrText xml:space="preserve"> PAGEREF _Toc149654155 \h </w:instrText>
      </w:r>
      <w:r>
        <w:fldChar w:fldCharType="separate"/>
      </w:r>
      <w:r>
        <w:t>11</w:t>
      </w:r>
      <w:r>
        <w:fldChar w:fldCharType="end"/>
      </w:r>
      <w:r>
        <w:fldChar w:fldCharType="end"/>
      </w:r>
    </w:p>
    <w:p w14:paraId="363945C4">
      <w:pPr>
        <w:pStyle w:val="24"/>
        <w:rPr>
          <w:rFonts w:asciiTheme="minorHAnsi" w:hAnsiTheme="minorHAnsi" w:eastAsiaTheme="minorEastAsia" w:cstheme="minorBidi"/>
          <w:szCs w:val="22"/>
        </w:rPr>
      </w:pPr>
      <w:r>
        <w:fldChar w:fldCharType="begin"/>
      </w:r>
      <w:r>
        <w:instrText xml:space="preserve"> HYPERLINK \l "_Toc149654156" </w:instrText>
      </w:r>
      <w:r>
        <w:fldChar w:fldCharType="separate"/>
      </w:r>
      <w:r>
        <w:rPr>
          <w:rStyle w:val="32"/>
          <w14:scene3d w14:prst="orthographicFront">
            <w14:lightRig w14:rig="threePt" w14:dir="t">
              <w14:rot w14:lat="0" w14:lon="0" w14:rev="0"/>
            </w14:lightRig>
          </w14:scene3d>
        </w:rPr>
        <w:t>6.7</w:t>
      </w:r>
      <w:r>
        <w:rPr>
          <w:rStyle w:val="32"/>
          <w:rFonts w:ascii="Times New Roman"/>
        </w:rPr>
        <w:t xml:space="preserve"> 碱洗+化学氧化处理技术：</w:t>
      </w:r>
      <w:r>
        <w:tab/>
      </w:r>
      <w:r>
        <w:fldChar w:fldCharType="begin"/>
      </w:r>
      <w:r>
        <w:instrText xml:space="preserve"> PAGEREF _Toc149654156 \h </w:instrText>
      </w:r>
      <w:r>
        <w:fldChar w:fldCharType="separate"/>
      </w:r>
      <w:r>
        <w:t>11</w:t>
      </w:r>
      <w:r>
        <w:fldChar w:fldCharType="end"/>
      </w:r>
      <w:r>
        <w:fldChar w:fldCharType="end"/>
      </w:r>
    </w:p>
    <w:p w14:paraId="4E3649AB">
      <w:pPr>
        <w:pStyle w:val="24"/>
        <w:rPr>
          <w:rFonts w:asciiTheme="minorHAnsi" w:hAnsiTheme="minorHAnsi" w:eastAsiaTheme="minorEastAsia" w:cstheme="minorBidi"/>
          <w:szCs w:val="22"/>
        </w:rPr>
      </w:pPr>
      <w:r>
        <w:fldChar w:fldCharType="begin"/>
      </w:r>
      <w:r>
        <w:instrText xml:space="preserve"> HYPERLINK \l "_Toc149654157" </w:instrText>
      </w:r>
      <w:r>
        <w:fldChar w:fldCharType="separate"/>
      </w:r>
      <w:r>
        <w:rPr>
          <w:rStyle w:val="32"/>
          <w14:scene3d w14:prst="orthographicFront">
            <w14:lightRig w14:rig="threePt" w14:dir="t">
              <w14:rot w14:lat="0" w14:lon="0" w14:rev="0"/>
            </w14:lightRig>
          </w14:scene3d>
        </w:rPr>
        <w:t>6.8</w:t>
      </w:r>
      <w:r>
        <w:rPr>
          <w:rStyle w:val="32"/>
          <w:rFonts w:ascii="Times New Roman"/>
        </w:rPr>
        <w:t xml:space="preserve"> 酸碱废气处理技术</w:t>
      </w:r>
      <w:r>
        <w:tab/>
      </w:r>
      <w:r>
        <w:fldChar w:fldCharType="begin"/>
      </w:r>
      <w:r>
        <w:instrText xml:space="preserve"> PAGEREF _Toc149654157 \h </w:instrText>
      </w:r>
      <w:r>
        <w:fldChar w:fldCharType="separate"/>
      </w:r>
      <w:r>
        <w:t>11</w:t>
      </w:r>
      <w:r>
        <w:fldChar w:fldCharType="end"/>
      </w:r>
      <w:r>
        <w:fldChar w:fldCharType="end"/>
      </w:r>
    </w:p>
    <w:p w14:paraId="13B4FA51">
      <w:pPr>
        <w:pStyle w:val="24"/>
        <w:rPr>
          <w:rFonts w:asciiTheme="minorHAnsi" w:hAnsiTheme="minorHAnsi" w:eastAsiaTheme="minorEastAsia" w:cstheme="minorBidi"/>
          <w:szCs w:val="22"/>
        </w:rPr>
      </w:pPr>
      <w:r>
        <w:fldChar w:fldCharType="begin"/>
      </w:r>
      <w:r>
        <w:instrText xml:space="preserve"> HYPERLINK \l "_Toc149654158" </w:instrText>
      </w:r>
      <w:r>
        <w:fldChar w:fldCharType="separate"/>
      </w:r>
      <w:r>
        <w:rPr>
          <w:rStyle w:val="32"/>
          <w14:scene3d w14:prst="orthographicFront">
            <w14:lightRig w14:rig="threePt" w14:dir="t">
              <w14:rot w14:lat="0" w14:lon="0" w14:rev="0"/>
            </w14:lightRig>
          </w14:scene3d>
        </w:rPr>
        <w:t>6.9</w:t>
      </w:r>
      <w:r>
        <w:rPr>
          <w:rStyle w:val="32"/>
          <w:rFonts w:ascii="Times New Roman"/>
        </w:rPr>
        <w:t xml:space="preserve"> 碱吸收+生物净化+化学氧化处理技术：</w:t>
      </w:r>
      <w:r>
        <w:tab/>
      </w:r>
      <w:r>
        <w:fldChar w:fldCharType="begin"/>
      </w:r>
      <w:r>
        <w:instrText xml:space="preserve"> PAGEREF _Toc149654158 \h </w:instrText>
      </w:r>
      <w:r>
        <w:fldChar w:fldCharType="separate"/>
      </w:r>
      <w:r>
        <w:t>11</w:t>
      </w:r>
      <w:r>
        <w:fldChar w:fldCharType="end"/>
      </w:r>
      <w:r>
        <w:fldChar w:fldCharType="end"/>
      </w:r>
    </w:p>
    <w:p w14:paraId="20F3BD0F">
      <w:pPr>
        <w:pStyle w:val="24"/>
        <w:rPr>
          <w:rFonts w:asciiTheme="minorHAnsi" w:hAnsiTheme="minorHAnsi" w:eastAsiaTheme="minorEastAsia" w:cstheme="minorBidi"/>
          <w:szCs w:val="22"/>
        </w:rPr>
      </w:pPr>
      <w:r>
        <w:fldChar w:fldCharType="begin"/>
      </w:r>
      <w:r>
        <w:instrText xml:space="preserve"> HYPERLINK \l "_Toc149654159" </w:instrText>
      </w:r>
      <w:r>
        <w:fldChar w:fldCharType="separate"/>
      </w:r>
      <w:r>
        <w:rPr>
          <w:rStyle w:val="32"/>
          <w14:scene3d w14:prst="orthographicFront">
            <w14:lightRig w14:rig="threePt" w14:dir="t">
              <w14:rot w14:lat="0" w14:lon="0" w14:rev="0"/>
            </w14:lightRig>
          </w14:scene3d>
        </w:rPr>
        <w:t>6.10</w:t>
      </w:r>
      <w:r>
        <w:rPr>
          <w:rStyle w:val="32"/>
          <w:rFonts w:ascii="Times New Roman"/>
        </w:rPr>
        <w:t xml:space="preserve"> 碱吸收+化学氧化处理技术：</w:t>
      </w:r>
      <w:r>
        <w:tab/>
      </w:r>
      <w:r>
        <w:fldChar w:fldCharType="begin"/>
      </w:r>
      <w:r>
        <w:instrText xml:space="preserve"> PAGEREF _Toc149654159 \h </w:instrText>
      </w:r>
      <w:r>
        <w:fldChar w:fldCharType="separate"/>
      </w:r>
      <w:r>
        <w:t>11</w:t>
      </w:r>
      <w:r>
        <w:fldChar w:fldCharType="end"/>
      </w:r>
      <w:r>
        <w:fldChar w:fldCharType="end"/>
      </w:r>
    </w:p>
    <w:p w14:paraId="41A8B4CD">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"_Toc149654160" </w:instrText>
      </w:r>
      <w:r>
        <w:fldChar w:fldCharType="separate"/>
      </w:r>
      <w:r>
        <w:rPr>
          <w:rStyle w:val="32"/>
        </w:rPr>
        <w:t>7 污染治理技术的选择</w:t>
      </w:r>
      <w:r>
        <w:tab/>
      </w:r>
      <w:r>
        <w:fldChar w:fldCharType="begin"/>
      </w:r>
      <w:r>
        <w:instrText xml:space="preserve"> PAGEREF _Toc149654160 \h </w:instrText>
      </w:r>
      <w:r>
        <w:fldChar w:fldCharType="separate"/>
      </w:r>
      <w:r>
        <w:t>11</w:t>
      </w:r>
      <w:r>
        <w:fldChar w:fldCharType="end"/>
      </w:r>
      <w:r>
        <w:fldChar w:fldCharType="end"/>
      </w:r>
    </w:p>
    <w:p w14:paraId="566F5314">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"_Toc149654164" </w:instrText>
      </w:r>
      <w:r>
        <w:fldChar w:fldCharType="separate"/>
      </w:r>
      <w:r>
        <w:rPr>
          <w:rStyle w:val="32"/>
        </w:rPr>
        <w:t>8 环境管理措施</w:t>
      </w:r>
      <w:r>
        <w:tab/>
      </w:r>
      <w:r>
        <w:fldChar w:fldCharType="begin"/>
      </w:r>
      <w:r>
        <w:instrText xml:space="preserve"> PAGEREF _Toc149654164 \h </w:instrText>
      </w:r>
      <w:r>
        <w:fldChar w:fldCharType="separate"/>
      </w:r>
      <w:r>
        <w:t>12</w:t>
      </w:r>
      <w:r>
        <w:fldChar w:fldCharType="end"/>
      </w:r>
      <w:r>
        <w:fldChar w:fldCharType="end"/>
      </w:r>
    </w:p>
    <w:p w14:paraId="07D30787">
      <w:pPr>
        <w:pStyle w:val="24"/>
        <w:rPr>
          <w:rFonts w:asciiTheme="minorHAnsi" w:hAnsiTheme="minorHAnsi" w:eastAsiaTheme="minorEastAsia" w:cstheme="minorBidi"/>
          <w:szCs w:val="22"/>
        </w:rPr>
      </w:pPr>
      <w:r>
        <w:fldChar w:fldCharType="begin"/>
      </w:r>
      <w:r>
        <w:instrText xml:space="preserve"> HYPERLINK \l "_Toc149654165" </w:instrText>
      </w:r>
      <w:r>
        <w:fldChar w:fldCharType="separate"/>
      </w:r>
      <w:r>
        <w:rPr>
          <w:rStyle w:val="32"/>
          <w14:scene3d w14:prst="orthographicFront">
            <w14:lightRig w14:rig="threePt" w14:dir="t">
              <w14:rot w14:lat="0" w14:lon="0" w14:rev="0"/>
            </w14:lightRig>
          </w14:scene3d>
        </w:rPr>
        <w:t>8.1</w:t>
      </w:r>
      <w:r>
        <w:rPr>
          <w:rStyle w:val="32"/>
          <w:rFonts w:ascii="Times New Roman"/>
        </w:rPr>
        <w:t xml:space="preserve"> 一般原则</w:t>
      </w:r>
      <w:r>
        <w:tab/>
      </w:r>
      <w:r>
        <w:fldChar w:fldCharType="begin"/>
      </w:r>
      <w:r>
        <w:instrText xml:space="preserve"> PAGEREF _Toc149654165 \h </w:instrText>
      </w:r>
      <w:r>
        <w:fldChar w:fldCharType="separate"/>
      </w:r>
      <w:r>
        <w:t>12</w:t>
      </w:r>
      <w:r>
        <w:fldChar w:fldCharType="end"/>
      </w:r>
      <w:r>
        <w:fldChar w:fldCharType="end"/>
      </w:r>
    </w:p>
    <w:p w14:paraId="45D470AD">
      <w:pPr>
        <w:pStyle w:val="24"/>
        <w:rPr>
          <w:rFonts w:asciiTheme="minorHAnsi" w:hAnsiTheme="minorHAnsi" w:eastAsiaTheme="minorEastAsia" w:cstheme="minorBidi"/>
          <w:szCs w:val="22"/>
        </w:rPr>
      </w:pPr>
      <w:r>
        <w:fldChar w:fldCharType="begin"/>
      </w:r>
      <w:r>
        <w:instrText xml:space="preserve"> HYPERLINK \l "_Toc149654166" </w:instrText>
      </w:r>
      <w:r>
        <w:fldChar w:fldCharType="separate"/>
      </w:r>
      <w:r>
        <w:rPr>
          <w:rStyle w:val="32"/>
          <w14:scene3d w14:prst="orthographicFront">
            <w14:lightRig w14:rig="threePt" w14:dir="t">
              <w14:rot w14:lat="0" w14:lon="0" w14:rev="0"/>
            </w14:lightRig>
          </w14:scene3d>
        </w:rPr>
        <w:t>8.2</w:t>
      </w:r>
      <w:r>
        <w:rPr>
          <w:rStyle w:val="32"/>
          <w:rFonts w:ascii="Times New Roman"/>
        </w:rPr>
        <w:t xml:space="preserve"> 一般原则</w:t>
      </w:r>
      <w:r>
        <w:tab/>
      </w:r>
      <w:r>
        <w:fldChar w:fldCharType="begin"/>
      </w:r>
      <w:r>
        <w:instrText xml:space="preserve"> PAGEREF _Toc149654166 \h </w:instrText>
      </w:r>
      <w:r>
        <w:fldChar w:fldCharType="separate"/>
      </w:r>
      <w:r>
        <w:t>12</w:t>
      </w:r>
      <w:r>
        <w:fldChar w:fldCharType="end"/>
      </w:r>
      <w:r>
        <w:fldChar w:fldCharType="end"/>
      </w:r>
    </w:p>
    <w:p w14:paraId="01F38441">
      <w:pPr>
        <w:pStyle w:val="24"/>
        <w:rPr>
          <w:rFonts w:asciiTheme="minorHAnsi" w:hAnsiTheme="minorHAnsi" w:eastAsiaTheme="minorEastAsia" w:cstheme="minorBidi"/>
          <w:szCs w:val="22"/>
        </w:rPr>
      </w:pPr>
      <w:r>
        <w:fldChar w:fldCharType="begin"/>
      </w:r>
      <w:r>
        <w:instrText xml:space="preserve"> HYPERLINK \l "_Toc149654167" </w:instrText>
      </w:r>
      <w:r>
        <w:fldChar w:fldCharType="separate"/>
      </w:r>
      <w:r>
        <w:rPr>
          <w:rStyle w:val="32"/>
          <w14:scene3d w14:prst="orthographicFront">
            <w14:lightRig w14:rig="threePt" w14:dir="t">
              <w14:rot w14:lat="0" w14:lon="0" w14:rev="0"/>
            </w14:lightRig>
          </w14:scene3d>
        </w:rPr>
        <w:t>8.3</w:t>
      </w:r>
      <w:r>
        <w:rPr>
          <w:rStyle w:val="32"/>
          <w:rFonts w:ascii="Times New Roman"/>
        </w:rPr>
        <w:t xml:space="preserve"> 有组织排放管理措施</w:t>
      </w:r>
      <w:r>
        <w:tab/>
      </w:r>
      <w:r>
        <w:fldChar w:fldCharType="begin"/>
      </w:r>
      <w:r>
        <w:instrText xml:space="preserve"> PAGEREF _Toc149654167 \h </w:instrText>
      </w:r>
      <w:r>
        <w:fldChar w:fldCharType="separate"/>
      </w:r>
      <w:r>
        <w:t>12</w:t>
      </w:r>
      <w:r>
        <w:fldChar w:fldCharType="end"/>
      </w:r>
      <w:r>
        <w:fldChar w:fldCharType="end"/>
      </w:r>
    </w:p>
    <w:p w14:paraId="76255833">
      <w:pPr>
        <w:pStyle w:val="24"/>
        <w:rPr>
          <w:rFonts w:asciiTheme="minorHAnsi" w:hAnsiTheme="minorHAnsi" w:eastAsiaTheme="minorEastAsia" w:cstheme="minorBidi"/>
          <w:szCs w:val="22"/>
        </w:rPr>
      </w:pPr>
      <w:r>
        <w:fldChar w:fldCharType="begin"/>
      </w:r>
      <w:r>
        <w:instrText xml:space="preserve"> HYPERLINK \l "_Toc149654168" </w:instrText>
      </w:r>
      <w:r>
        <w:fldChar w:fldCharType="separate"/>
      </w:r>
      <w:r>
        <w:rPr>
          <w:rStyle w:val="32"/>
          <w14:scene3d w14:prst="orthographicFront">
            <w14:lightRig w14:rig="threePt" w14:dir="t">
              <w14:rot w14:lat="0" w14:lon="0" w14:rev="0"/>
            </w14:lightRig>
          </w14:scene3d>
        </w:rPr>
        <w:t>8.4</w:t>
      </w:r>
      <w:r>
        <w:rPr>
          <w:rStyle w:val="32"/>
          <w:rFonts w:ascii="Times New Roman"/>
        </w:rPr>
        <w:t xml:space="preserve"> 无组织排放控制措施</w:t>
      </w:r>
      <w:r>
        <w:tab/>
      </w:r>
      <w:r>
        <w:fldChar w:fldCharType="begin"/>
      </w:r>
      <w:r>
        <w:instrText xml:space="preserve"> PAGEREF _Toc149654168 \h </w:instrText>
      </w:r>
      <w:r>
        <w:fldChar w:fldCharType="separate"/>
      </w:r>
      <w:r>
        <w:t>12</w:t>
      </w:r>
      <w:r>
        <w:fldChar w:fldCharType="end"/>
      </w:r>
      <w:r>
        <w:fldChar w:fldCharType="end"/>
      </w:r>
    </w:p>
    <w:p w14:paraId="11B58B47">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"_Toc149654169" </w:instrText>
      </w:r>
      <w:r>
        <w:fldChar w:fldCharType="separate"/>
      </w:r>
      <w:r>
        <w:rPr>
          <w:rStyle w:val="32"/>
        </w:rPr>
        <w:t>9 安全控制措施</w:t>
      </w:r>
      <w:r>
        <w:tab/>
      </w:r>
      <w:r>
        <w:fldChar w:fldCharType="begin"/>
      </w:r>
      <w:r>
        <w:instrText xml:space="preserve"> PAGEREF _Toc149654169 \h </w:instrText>
      </w:r>
      <w:r>
        <w:fldChar w:fldCharType="separate"/>
      </w:r>
      <w:r>
        <w:t>13</w:t>
      </w:r>
      <w:r>
        <w:fldChar w:fldCharType="end"/>
      </w:r>
      <w:r>
        <w:fldChar w:fldCharType="end"/>
      </w:r>
    </w:p>
    <w:p w14:paraId="2F8ECA55">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"_Toc149654172" </w:instrText>
      </w:r>
      <w:r>
        <w:fldChar w:fldCharType="separate"/>
      </w:r>
      <w:r>
        <w:rPr>
          <w:rStyle w:val="32"/>
          <w:spacing w:val="100"/>
        </w:rPr>
        <w:t>附录A</w:t>
      </w:r>
      <w:r>
        <w:rPr>
          <w:rStyle w:val="32"/>
        </w:rPr>
        <w:t xml:space="preserve"> （资料性） 制药工业相关的典型有机溶剂的主要参数</w:t>
      </w:r>
      <w:r>
        <w:tab/>
      </w:r>
      <w:r>
        <w:fldChar w:fldCharType="begin"/>
      </w:r>
      <w:r>
        <w:instrText xml:space="preserve"> PAGEREF _Toc149654172 \h </w:instrText>
      </w:r>
      <w:r>
        <w:fldChar w:fldCharType="separate"/>
      </w:r>
      <w:r>
        <w:t>14</w:t>
      </w:r>
      <w:r>
        <w:fldChar w:fldCharType="end"/>
      </w:r>
      <w:r>
        <w:fldChar w:fldCharType="end"/>
      </w:r>
    </w:p>
    <w:p w14:paraId="6D668A3C">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"_Toc149654176" </w:instrText>
      </w:r>
      <w:r>
        <w:fldChar w:fldCharType="separate"/>
      </w:r>
      <w:r>
        <w:rPr>
          <w:rStyle w:val="32"/>
          <w:spacing w:val="100"/>
        </w:rPr>
        <w:t>附录B</w:t>
      </w:r>
      <w:r>
        <w:rPr>
          <w:rStyle w:val="32"/>
        </w:rPr>
        <w:t xml:space="preserve"> （资料性） 制药工业大气污染防治可行技术</w:t>
      </w:r>
      <w:r>
        <w:tab/>
      </w:r>
      <w:r>
        <w:fldChar w:fldCharType="begin"/>
      </w:r>
      <w:r>
        <w:instrText xml:space="preserve"> PAGEREF _Toc149654176 \h </w:instrText>
      </w:r>
      <w:r>
        <w:fldChar w:fldCharType="separate"/>
      </w:r>
      <w:r>
        <w:t>17</w:t>
      </w:r>
      <w:r>
        <w:fldChar w:fldCharType="end"/>
      </w:r>
      <w:r>
        <w:fldChar w:fldCharType="end"/>
      </w:r>
    </w:p>
    <w:p w14:paraId="11D20388">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"_Toc149654177" </w:instrText>
      </w:r>
      <w:r>
        <w:fldChar w:fldCharType="separate"/>
      </w:r>
      <w:r>
        <w:rPr>
          <w:rStyle w:val="32"/>
          <w:spacing w:val="100"/>
        </w:rPr>
        <w:t>附录C</w:t>
      </w:r>
      <w:r>
        <w:rPr>
          <w:rStyle w:val="32"/>
        </w:rPr>
        <w:t xml:space="preserve"> （资料性） 综合环境效益评价技术</w:t>
      </w:r>
      <w:r>
        <w:tab/>
      </w:r>
      <w:r>
        <w:fldChar w:fldCharType="begin"/>
      </w:r>
      <w:r>
        <w:instrText xml:space="preserve"> PAGEREF _Toc149654177 \h </w:instrText>
      </w:r>
      <w:r>
        <w:fldChar w:fldCharType="separate"/>
      </w:r>
      <w:r>
        <w:t>18</w:t>
      </w:r>
      <w:r>
        <w:fldChar w:fldCharType="end"/>
      </w:r>
      <w:r>
        <w:fldChar w:fldCharType="end"/>
      </w:r>
    </w:p>
    <w:p w14:paraId="40DE22E4">
      <w:pPr>
        <w:pStyle w:val="19"/>
        <w:tabs>
          <w:tab w:val="right" w:leader="dot" w:pos="9344"/>
        </w:tabs>
        <w:rPr>
          <w:rFonts w:asciiTheme="minorHAnsi" w:hAnsiTheme="minorHAnsi" w:eastAsiaTheme="minorEastAsia" w:cstheme="minorBidi"/>
          <w:szCs w:val="22"/>
        </w:rPr>
      </w:pPr>
      <w:r>
        <w:fldChar w:fldCharType="begin"/>
      </w:r>
      <w:r>
        <w:instrText xml:space="preserve"> HYPERLINK \l "_Toc149654178" </w:instrText>
      </w:r>
      <w:r>
        <w:fldChar w:fldCharType="separate"/>
      </w:r>
      <w:r>
        <w:rPr>
          <w:rStyle w:val="32"/>
          <w:spacing w:val="105"/>
        </w:rPr>
        <w:t>参考文</w:t>
      </w:r>
      <w:r>
        <w:rPr>
          <w:rStyle w:val="32"/>
        </w:rPr>
        <w:t>献</w:t>
      </w:r>
      <w:r>
        <w:tab/>
      </w:r>
      <w:r>
        <w:fldChar w:fldCharType="begin"/>
      </w:r>
      <w:r>
        <w:instrText xml:space="preserve"> PAGEREF _Toc149654178 \h </w:instrText>
      </w:r>
      <w:r>
        <w:fldChar w:fldCharType="separate"/>
      </w:r>
      <w:r>
        <w:t>22</w:t>
      </w:r>
      <w:r>
        <w:fldChar w:fldCharType="end"/>
      </w:r>
      <w:r>
        <w:fldChar w:fldCharType="end"/>
      </w:r>
    </w:p>
    <w:p w14:paraId="0B82D125">
      <w:pPr>
        <w:pStyle w:val="91"/>
        <w:spacing w:after="468"/>
        <w:sectPr>
          <w:headerReference r:id="rId11" w:type="default"/>
          <w:footerReference r:id="rId13" w:type="default"/>
          <w:headerReference r:id="rId12" w:type="even"/>
          <w:footerReference r:id="rId14" w:type="even"/>
          <w:pgSz w:w="11906" w:h="16838"/>
          <w:pgMar w:top="1871" w:right="1134" w:bottom="1134" w:left="1134" w:header="1418" w:footer="1134" w:gutter="284"/>
          <w:pgNumType w:fmt="upperRoman" w:start="1"/>
          <w:cols w:space="425" w:num="1"/>
          <w:formProt w:val="0"/>
          <w:docGrid w:type="lines" w:linePitch="312" w:charSpace="0"/>
        </w:sectPr>
      </w:pPr>
      <w:r>
        <w:fldChar w:fldCharType="end"/>
      </w:r>
    </w:p>
    <w:bookmarkEnd w:id="22"/>
    <w:p w14:paraId="349E38BB">
      <w:pPr>
        <w:pStyle w:val="89"/>
        <w:spacing w:after="468"/>
      </w:pPr>
      <w:bookmarkStart w:id="23" w:name="_Toc149654114"/>
      <w:bookmarkStart w:id="24" w:name="BookMark2"/>
      <w:r>
        <w:rPr>
          <w:spacing w:val="320"/>
        </w:rPr>
        <w:t>前</w:t>
      </w:r>
      <w:r>
        <w:t>言</w:t>
      </w:r>
      <w:bookmarkEnd w:id="23"/>
    </w:p>
    <w:p w14:paraId="5D635D7C">
      <w:pPr>
        <w:spacing w:line="300" w:lineRule="auto"/>
        <w:ind w:firstLine="420" w:firstLineChars="200"/>
      </w:pPr>
      <w:r>
        <w:rPr>
          <w:rFonts w:ascii="Times New Roman"/>
        </w:rPr>
        <w:t>本</w:t>
      </w:r>
      <w:r>
        <w:rPr>
          <w:rFonts w:hint="eastAsia" w:ascii="Times New Roman"/>
        </w:rPr>
        <w:t>文件</w:t>
      </w:r>
      <w:r>
        <w:rPr>
          <w:rFonts w:ascii="Times New Roman"/>
        </w:rPr>
        <w:t>按照GB/T 1.1—2020《标准化工作导则  第1部分：标准化文件的结构和起草规则》的规定起草。</w:t>
      </w:r>
    </w:p>
    <w:p w14:paraId="48065854">
      <w:pPr>
        <w:spacing w:line="300" w:lineRule="auto"/>
        <w:ind w:firstLine="420" w:firstLineChars="200"/>
        <w:rPr>
          <w:rFonts w:ascii="Times New Roman Regular" w:hAnsi="Times New Roman Regular" w:cs="Times New Roman Regular"/>
        </w:rPr>
      </w:pPr>
      <w:r>
        <w:rPr>
          <w:rFonts w:hint="eastAsia" w:ascii="Times New Roman Regular" w:hAnsi="Times New Roman Regular" w:cs="Times New Roman Regular"/>
        </w:rPr>
        <w:t>请注意本文件的某些内容可能涉及专利。本文件的发布机构不承担识别专利的责任。</w:t>
      </w:r>
    </w:p>
    <w:p w14:paraId="36777924">
      <w:pPr>
        <w:spacing w:line="300" w:lineRule="auto"/>
        <w:ind w:firstLine="420" w:firstLineChars="200"/>
        <w:rPr>
          <w:rFonts w:ascii="Arial" w:hAnsi="Arial" w:cs="Arial"/>
          <w:shd w:val="clear" w:color="auto" w:fill="F9F9F9"/>
        </w:rPr>
      </w:pPr>
      <w:r>
        <w:rPr>
          <w:rFonts w:ascii="Times New Roman Regular" w:hAnsi="Times New Roman Regular" w:cs="Times New Roman Regular"/>
        </w:rPr>
        <w:t>本文件由上海市生态环境局、江苏省生态环境厅、浙江省生态环境厅、安徽省生态环境厅联合提出并组织实施，</w:t>
      </w:r>
      <w:r>
        <w:rPr>
          <w:rFonts w:hint="eastAsia" w:ascii="Times New Roman Regular" w:hAnsi="Times New Roman Regular" w:cs="Times New Roman Regular"/>
        </w:rPr>
        <w:t>由上海市生态环境局、江苏省环境管理标准化技术委员会、浙江省环境保护标准化技术委员会、安徽省生态环境厅归口</w:t>
      </w:r>
      <w:r>
        <w:rPr>
          <w:rFonts w:ascii="Arial" w:hAnsi="Arial" w:cs="Arial"/>
          <w:shd w:val="clear" w:color="auto" w:fill="F9F9F9"/>
        </w:rPr>
        <w:t>。</w:t>
      </w:r>
    </w:p>
    <w:p w14:paraId="1D16C270">
      <w:pPr>
        <w:pStyle w:val="56"/>
        <w:spacing w:before="120" w:after="120" w:line="360" w:lineRule="exact"/>
        <w:ind w:firstLine="420"/>
      </w:pPr>
      <w:r>
        <w:rPr>
          <w:rFonts w:ascii="Times New Roman"/>
        </w:rPr>
        <w:t>本文件起草单位：华东理工大学、浙江省生态环境科学设计研究院、江苏省环境科学研究院、安徽省</w:t>
      </w:r>
      <w:r>
        <w:rPr>
          <w:rFonts w:hint="eastAsia" w:ascii="Times New Roman"/>
        </w:rPr>
        <w:t>生态</w:t>
      </w:r>
      <w:r>
        <w:rPr>
          <w:rFonts w:ascii="Times New Roman"/>
        </w:rPr>
        <w:t>环境科学研究院、</w:t>
      </w:r>
      <w:r>
        <w:rPr>
          <w:rFonts w:hint="eastAsia" w:ascii="Times New Roman"/>
        </w:rPr>
        <w:t>上海市环境科学研究院、</w:t>
      </w:r>
      <w:r>
        <w:rPr>
          <w:rFonts w:ascii="Times New Roman"/>
        </w:rPr>
        <w:t>上海市环境监测中心、台州市</w:t>
      </w:r>
      <w:r>
        <w:rPr>
          <w:rFonts w:hint="eastAsia" w:ascii="Times New Roman"/>
        </w:rPr>
        <w:t>环境</w:t>
      </w:r>
      <w:r>
        <w:rPr>
          <w:rFonts w:ascii="Times New Roman"/>
        </w:rPr>
        <w:t>科学设计研究院有限公司</w:t>
      </w:r>
      <w:r>
        <w:rPr>
          <w:rFonts w:hint="eastAsia"/>
        </w:rPr>
        <w:t>本文件由</w:t>
      </w:r>
      <w:r>
        <w:rPr>
          <w:rFonts w:ascii="Times New Roman Regular" w:hAnsi="Times New Roman Regular" w:cs="Times New Roman Regular"/>
        </w:rPr>
        <w:t>上海市生态环境局</w:t>
      </w:r>
      <w:r>
        <w:rPr>
          <w:rFonts w:hint="eastAsia"/>
        </w:rPr>
        <w:t>提出。</w:t>
      </w:r>
    </w:p>
    <w:p w14:paraId="2BFE26A0">
      <w:pPr>
        <w:pStyle w:val="56"/>
        <w:ind w:firstLine="420"/>
      </w:pPr>
    </w:p>
    <w:p w14:paraId="501C936E">
      <w:pPr>
        <w:pStyle w:val="56"/>
        <w:ind w:firstLine="420"/>
        <w:sectPr>
          <w:headerReference r:id="rId15" w:type="default"/>
          <w:footerReference r:id="rId17" w:type="default"/>
          <w:headerReference r:id="rId16" w:type="even"/>
          <w:footerReference r:id="rId18" w:type="even"/>
          <w:pgSz w:w="11906" w:h="16838"/>
          <w:pgMar w:top="1871" w:right="1134" w:bottom="1134" w:left="1134" w:header="1418" w:footer="1134" w:gutter="284"/>
          <w:pgNumType w:fmt="upperRoman"/>
          <w:cols w:space="425" w:num="1"/>
          <w:formProt w:val="0"/>
          <w:docGrid w:type="lines" w:linePitch="312" w:charSpace="0"/>
        </w:sectPr>
      </w:pPr>
    </w:p>
    <w:bookmarkEnd w:id="24"/>
    <w:p w14:paraId="7350B6FD">
      <w:pPr>
        <w:pStyle w:val="89"/>
        <w:spacing w:after="468"/>
      </w:pPr>
      <w:bookmarkStart w:id="25" w:name="_Toc149654115"/>
      <w:bookmarkStart w:id="26" w:name="BookMark3"/>
      <w:r>
        <w:rPr>
          <w:spacing w:val="320"/>
        </w:rPr>
        <w:t>引</w:t>
      </w:r>
      <w:r>
        <w:t>言</w:t>
      </w:r>
      <w:bookmarkEnd w:id="25"/>
    </w:p>
    <w:p w14:paraId="336C8543">
      <w:pPr>
        <w:spacing w:before="156" w:beforeLines="50" w:after="156" w:afterLines="50" w:line="360" w:lineRule="exact"/>
        <w:ind w:firstLine="420" w:firstLineChars="200"/>
      </w:pPr>
      <w:r>
        <w:t>为贯彻《中华人民共和国环境保护法》《中华人民共和国大气污染防治法》《</w:t>
      </w:r>
      <w:r>
        <w:rPr>
          <w:rFonts w:hint="eastAsia"/>
        </w:rPr>
        <w:t>上海市大气污染防治条例</w:t>
      </w:r>
      <w:r>
        <w:t>》，防治环境污染，改善环境质量，</w:t>
      </w:r>
      <w:r>
        <w:rPr>
          <w:rFonts w:hint="eastAsia"/>
        </w:rPr>
        <w:t>保障人体健康，引导加强</w:t>
      </w:r>
      <w:r>
        <w:t>制药工业</w:t>
      </w:r>
      <w:r>
        <w:rPr>
          <w:rFonts w:hint="eastAsia"/>
        </w:rPr>
        <w:t>大气污染物的排放控制，促进行业生产工艺和污染治理技术进步</w:t>
      </w:r>
      <w:r>
        <w:t>，</w:t>
      </w:r>
      <w:r>
        <w:rPr>
          <w:rFonts w:hint="eastAsia"/>
        </w:rPr>
        <w:t>指导企业满足制药工业大气污染物排放标准，</w:t>
      </w:r>
      <w:r>
        <w:t>制定本文件。</w:t>
      </w:r>
    </w:p>
    <w:p w14:paraId="6D3764C5">
      <w:pPr>
        <w:spacing w:line="300" w:lineRule="auto"/>
        <w:ind w:firstLine="420" w:firstLineChars="200"/>
      </w:pPr>
      <w:r>
        <w:rPr>
          <w:rFonts w:hint="eastAsia"/>
        </w:rPr>
        <w:t>本文件提出了制药工业大气污染防治可行技术。</w:t>
      </w:r>
    </w:p>
    <w:p w14:paraId="7739C528">
      <w:pPr>
        <w:pStyle w:val="56"/>
        <w:ind w:firstLine="420"/>
        <w:rPr>
          <w:rFonts w:ascii="Times New Roman"/>
        </w:rPr>
      </w:pPr>
      <w:r>
        <w:rPr>
          <w:rFonts w:hint="eastAsia"/>
        </w:rPr>
        <w:t>本文件以当前技术发展和应用状况为依据，可作为上海市、江苏省、浙江省和安徽省制药行业污染防治工作的参考文件</w:t>
      </w:r>
      <w:r>
        <w:rPr>
          <w:rFonts w:hint="eastAsia" w:ascii="Times New Roman"/>
        </w:rPr>
        <w:t>。</w:t>
      </w:r>
    </w:p>
    <w:p w14:paraId="17A6C94F">
      <w:pPr>
        <w:pStyle w:val="56"/>
        <w:ind w:firstLine="420"/>
      </w:pPr>
    </w:p>
    <w:p w14:paraId="6C8056C2">
      <w:pPr>
        <w:pStyle w:val="56"/>
        <w:ind w:firstLine="420"/>
        <w:sectPr>
          <w:headerReference r:id="rId19" w:type="default"/>
          <w:footerReference r:id="rId21" w:type="default"/>
          <w:headerReference r:id="rId20" w:type="even"/>
          <w:footerReference r:id="rId22" w:type="even"/>
          <w:pgSz w:w="11906" w:h="16838"/>
          <w:pgMar w:top="1871" w:right="1134" w:bottom="1134" w:left="1134" w:header="1418" w:footer="1134" w:gutter="284"/>
          <w:pgNumType w:fmt="upperRoman"/>
          <w:cols w:space="425" w:num="1"/>
          <w:formProt w:val="0"/>
          <w:docGrid w:type="lines" w:linePitch="312" w:charSpace="0"/>
        </w:sectPr>
      </w:pPr>
    </w:p>
    <w:bookmarkEnd w:id="26"/>
    <w:p w14:paraId="128D4598">
      <w:pPr>
        <w:spacing w:line="20" w:lineRule="exact"/>
        <w:jc w:val="center"/>
        <w:rPr>
          <w:rFonts w:ascii="黑体" w:hAnsi="黑体" w:eastAsia="黑体"/>
          <w:sz w:val="32"/>
          <w:szCs w:val="32"/>
        </w:rPr>
      </w:pPr>
      <w:bookmarkStart w:id="27" w:name="BookMark4"/>
    </w:p>
    <w:p w14:paraId="50B38819">
      <w:pPr>
        <w:spacing w:line="20" w:lineRule="exact"/>
        <w:jc w:val="center"/>
        <w:rPr>
          <w:rFonts w:ascii="黑体" w:hAnsi="黑体" w:eastAsia="黑体"/>
          <w:sz w:val="32"/>
          <w:szCs w:val="32"/>
        </w:rPr>
      </w:pPr>
    </w:p>
    <w:sdt>
      <w:sdtPr>
        <w:tag w:val="NEW_STAND_NAME"/>
        <w:id w:val="595910757"/>
        <w:lock w:val="sdtLocked"/>
        <w:placeholder>
          <w:docPart w:val="E4C036F081EA4A02845F0627F21FEB89"/>
        </w:placeholder>
      </w:sdtPr>
      <w:sdtContent>
        <w:p w14:paraId="1279038C">
          <w:pPr>
            <w:pStyle w:val="177"/>
            <w:spacing w:before="312" w:beforeLines="100" w:after="686" w:afterLines="220"/>
          </w:pPr>
          <w:bookmarkStart w:id="28" w:name="NEW_STAND_NAME"/>
          <w:r>
            <w:rPr>
              <w:rFonts w:hint="eastAsia"/>
            </w:rPr>
            <w:t>制药工业大气污染防治技术规范</w:t>
          </w:r>
        </w:p>
      </w:sdtContent>
    </w:sdt>
    <w:bookmarkEnd w:id="28"/>
    <w:p w14:paraId="4789CAE1">
      <w:pPr>
        <w:pStyle w:val="104"/>
        <w:spacing w:before="312" w:after="312"/>
      </w:pPr>
      <w:bookmarkStart w:id="29" w:name="_Toc17233333"/>
      <w:bookmarkStart w:id="30" w:name="_Toc24884218"/>
      <w:bookmarkStart w:id="31" w:name="_Toc26648465"/>
      <w:bookmarkStart w:id="32" w:name="_Toc26986530"/>
      <w:bookmarkStart w:id="33" w:name="_Toc26718930"/>
      <w:bookmarkStart w:id="34" w:name="_Toc17233325"/>
      <w:bookmarkStart w:id="35" w:name="_Toc26986771"/>
      <w:bookmarkStart w:id="36" w:name="_Toc149654116"/>
      <w:bookmarkStart w:id="37" w:name="_Toc24884211"/>
      <w:r>
        <w:rPr>
          <w:rFonts w:hint="eastAsia"/>
        </w:rPr>
        <w:t>范围</w:t>
      </w:r>
      <w:bookmarkEnd w:id="29"/>
      <w:bookmarkEnd w:id="30"/>
      <w:bookmarkEnd w:id="31"/>
      <w:bookmarkEnd w:id="32"/>
      <w:bookmarkEnd w:id="33"/>
      <w:bookmarkEnd w:id="34"/>
      <w:bookmarkEnd w:id="35"/>
      <w:bookmarkEnd w:id="36"/>
      <w:bookmarkEnd w:id="37"/>
    </w:p>
    <w:p w14:paraId="30C67B9E">
      <w:pPr>
        <w:spacing w:line="360" w:lineRule="exact"/>
        <w:ind w:firstLine="420" w:firstLineChars="200"/>
        <w:rPr>
          <w:rFonts w:ascii="宋体"/>
          <w:kern w:val="0"/>
          <w:szCs w:val="20"/>
        </w:rPr>
      </w:pPr>
      <w:bookmarkStart w:id="38" w:name="_Toc24884212"/>
      <w:bookmarkStart w:id="39" w:name="_Toc24884219"/>
      <w:bookmarkStart w:id="40" w:name="_Toc17233326"/>
      <w:bookmarkStart w:id="41" w:name="_Toc26648466"/>
      <w:bookmarkStart w:id="42" w:name="_Toc17233334"/>
      <w:r>
        <w:rPr>
          <w:rFonts w:ascii="宋体"/>
          <w:kern w:val="0"/>
          <w:szCs w:val="20"/>
        </w:rPr>
        <w:t>本文件</w:t>
      </w:r>
      <w:r>
        <w:rPr>
          <w:rFonts w:hint="eastAsia" w:ascii="宋体"/>
          <w:kern w:val="0"/>
          <w:szCs w:val="20"/>
        </w:rPr>
        <w:t>规定了</w:t>
      </w:r>
      <w:r>
        <w:rPr>
          <w:rFonts w:ascii="宋体"/>
          <w:kern w:val="0"/>
          <w:szCs w:val="20"/>
        </w:rPr>
        <w:t>制药工业大气污染</w:t>
      </w:r>
      <w:r>
        <w:rPr>
          <w:rFonts w:hint="eastAsia" w:ascii="宋体"/>
          <w:kern w:val="0"/>
          <w:szCs w:val="20"/>
        </w:rPr>
        <w:t>防治技术的污染预防技术、污染治理技术、环境管理措施、防治技术平综合评价方法。</w:t>
      </w:r>
    </w:p>
    <w:p w14:paraId="49813C3B">
      <w:pPr>
        <w:spacing w:line="360" w:lineRule="exact"/>
        <w:ind w:firstLine="420" w:firstLineChars="200"/>
        <w:rPr>
          <w:rFonts w:ascii="宋体"/>
          <w:kern w:val="0"/>
          <w:szCs w:val="20"/>
        </w:rPr>
      </w:pPr>
      <w:r>
        <w:rPr>
          <w:rFonts w:hint="eastAsia" w:ascii="宋体"/>
          <w:kern w:val="0"/>
          <w:szCs w:val="20"/>
        </w:rPr>
        <w:t>本文件可作为制药工业企业或生产设施建设项目环境影响评价、地方污染物排放标准制修订、排污许可管理和污染防治技术选择的参考</w:t>
      </w:r>
      <w:r>
        <w:rPr>
          <w:rFonts w:ascii="宋体"/>
          <w:kern w:val="0"/>
          <w:szCs w:val="20"/>
        </w:rPr>
        <w:t>。</w:t>
      </w:r>
    </w:p>
    <w:p w14:paraId="7ED5E28C">
      <w:pPr>
        <w:spacing w:line="240" w:lineRule="auto"/>
        <w:ind w:firstLine="420" w:firstLineChars="200"/>
        <w:contextualSpacing/>
        <w:rPr>
          <w:rFonts w:ascii="Times New Roman" w:hAnsi="Times New Roman"/>
        </w:rPr>
      </w:pPr>
      <w:r>
        <w:rPr>
          <w:rFonts w:ascii="宋体"/>
          <w:kern w:val="0"/>
          <w:szCs w:val="20"/>
        </w:rPr>
        <w:t>本文件适用于</w:t>
      </w:r>
      <w:r>
        <w:rPr>
          <w:rFonts w:ascii="Times New Roman" w:hAnsi="Times New Roman"/>
        </w:rPr>
        <w:t>GB/T 4754-2017</w:t>
      </w:r>
      <w:r>
        <w:rPr>
          <w:rFonts w:hint="eastAsia" w:ascii="Times New Roman" w:hAnsi="Times New Roman"/>
        </w:rPr>
        <w:t>中规定的医药制造业（</w:t>
      </w:r>
      <w:r>
        <w:rPr>
          <w:rFonts w:ascii="Times New Roman" w:hAnsi="Times New Roman"/>
        </w:rPr>
        <w:t>C27</w:t>
      </w:r>
      <w:r>
        <w:rPr>
          <w:rFonts w:hint="eastAsia" w:ascii="Times New Roman" w:hAnsi="Times New Roman"/>
        </w:rPr>
        <w:t>）中的化学药品原料药制造（</w:t>
      </w:r>
      <w:r>
        <w:rPr>
          <w:rFonts w:ascii="Times New Roman" w:hAnsi="Times New Roman"/>
        </w:rPr>
        <w:t>C271</w:t>
      </w:r>
      <w:r>
        <w:rPr>
          <w:rFonts w:hint="eastAsia" w:ascii="Times New Roman" w:hAnsi="Times New Roman"/>
        </w:rPr>
        <w:t>）、化学药品制剂制造（</w:t>
      </w:r>
      <w:r>
        <w:rPr>
          <w:rFonts w:ascii="Times New Roman" w:hAnsi="Times New Roman"/>
        </w:rPr>
        <w:t>C272</w:t>
      </w:r>
      <w:r>
        <w:rPr>
          <w:rFonts w:hint="eastAsia" w:ascii="Times New Roman" w:hAnsi="Times New Roman"/>
        </w:rPr>
        <w:t>）、中药饮片加工（</w:t>
      </w:r>
      <w:r>
        <w:rPr>
          <w:rFonts w:ascii="Times New Roman" w:hAnsi="Times New Roman"/>
        </w:rPr>
        <w:t>C273</w:t>
      </w:r>
      <w:r>
        <w:rPr>
          <w:rFonts w:hint="eastAsia" w:ascii="Times New Roman" w:hAnsi="Times New Roman"/>
        </w:rPr>
        <w:t>）、中成药生产（</w:t>
      </w:r>
      <w:r>
        <w:rPr>
          <w:rFonts w:ascii="Times New Roman" w:hAnsi="Times New Roman"/>
        </w:rPr>
        <w:t>C274</w:t>
      </w:r>
      <w:r>
        <w:rPr>
          <w:rFonts w:hint="eastAsia" w:ascii="Times New Roman" w:hAnsi="Times New Roman"/>
        </w:rPr>
        <w:t>）、兽用药品制造（</w:t>
      </w:r>
      <w:r>
        <w:rPr>
          <w:rFonts w:ascii="Times New Roman" w:hAnsi="Times New Roman"/>
        </w:rPr>
        <w:t>C275</w:t>
      </w:r>
      <w:r>
        <w:rPr>
          <w:rFonts w:hint="eastAsia" w:ascii="Times New Roman" w:hAnsi="Times New Roman"/>
        </w:rPr>
        <w:t>）、生物药品制品制造（</w:t>
      </w:r>
      <w:r>
        <w:rPr>
          <w:rFonts w:ascii="Times New Roman" w:hAnsi="Times New Roman"/>
        </w:rPr>
        <w:t>C276</w:t>
      </w:r>
      <w:r>
        <w:rPr>
          <w:rFonts w:hint="eastAsia" w:ascii="Times New Roman" w:hAnsi="Times New Roman"/>
        </w:rPr>
        <w:t>）。</w:t>
      </w:r>
    </w:p>
    <w:p w14:paraId="7689358C">
      <w:pPr>
        <w:pStyle w:val="56"/>
        <w:ind w:firstLine="420"/>
      </w:pPr>
      <w:r>
        <w:t>本文件也适用于供药物生产的医药中间体企业及其生产设施、药物研发机构及其</w:t>
      </w:r>
      <w:r>
        <w:rPr>
          <w:rFonts w:hint="eastAsia"/>
        </w:rPr>
        <w:t>实</w:t>
      </w:r>
      <w:r>
        <w:t>验设施的大气污染物排放管理</w:t>
      </w:r>
      <w:r>
        <w:rPr>
          <w:rFonts w:hint="eastAsia"/>
        </w:rPr>
        <w:t>。</w:t>
      </w:r>
    </w:p>
    <w:p w14:paraId="0135974F">
      <w:pPr>
        <w:pStyle w:val="104"/>
        <w:spacing w:before="312" w:after="312"/>
      </w:pPr>
      <w:bookmarkStart w:id="43" w:name="_Toc26718931"/>
      <w:bookmarkStart w:id="44" w:name="_Toc26986772"/>
      <w:bookmarkStart w:id="45" w:name="_Toc149654117"/>
      <w:bookmarkStart w:id="46" w:name="_Toc26986531"/>
      <w:r>
        <w:rPr>
          <w:rFonts w:hint="eastAsia"/>
        </w:rPr>
        <w:t>规范性引用文件</w:t>
      </w:r>
      <w:bookmarkEnd w:id="38"/>
      <w:bookmarkEnd w:id="39"/>
      <w:bookmarkEnd w:id="40"/>
      <w:bookmarkEnd w:id="41"/>
      <w:bookmarkEnd w:id="42"/>
      <w:bookmarkEnd w:id="43"/>
      <w:bookmarkEnd w:id="44"/>
      <w:bookmarkEnd w:id="45"/>
      <w:bookmarkEnd w:id="46"/>
    </w:p>
    <w:sdt>
      <w:sdtPr>
        <w:rPr>
          <w:rFonts w:hint="eastAsia"/>
        </w:rPr>
        <w:id w:val="715848253"/>
        <w:placeholder>
          <w:docPart w:val="5C7AE51C9E7D46F4BACDD06954006DE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FFA7548">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9790925">
      <w:pPr>
        <w:spacing w:line="240" w:lineRule="auto"/>
        <w:ind w:firstLine="420" w:firstLineChars="200"/>
        <w:rPr>
          <w:rFonts w:ascii="Times New Roman" w:hAnsi="Times New Roman"/>
        </w:rPr>
      </w:pPr>
      <w:bookmarkStart w:id="47" w:name="_Hlk146206321"/>
      <w:bookmarkStart w:id="48" w:name="_Hlk130777926"/>
      <w:r>
        <w:rPr>
          <w:rFonts w:ascii="Times New Roman" w:hAnsi="Times New Roman"/>
        </w:rPr>
        <w:t>GB/T 4754</w:t>
      </w:r>
      <w:r>
        <w:rPr>
          <w:rFonts w:ascii="宋体" w:hAnsi="宋体"/>
        </w:rPr>
        <w:t>-</w:t>
      </w:r>
      <w:r>
        <w:rPr>
          <w:rFonts w:ascii="Times New Roman" w:hAnsi="Times New Roman"/>
        </w:rPr>
        <w:t>2017  国民经济行业分类</w:t>
      </w:r>
    </w:p>
    <w:p w14:paraId="6360AF99">
      <w:pPr>
        <w:spacing w:line="240" w:lineRule="auto"/>
        <w:ind w:firstLine="420" w:firstLineChars="200"/>
        <w:rPr>
          <w:rFonts w:ascii="Times New Roman" w:hAnsi="Times New Roman"/>
        </w:rPr>
      </w:pPr>
      <w:r>
        <w:rPr>
          <w:rFonts w:hint="eastAsia" w:ascii="Times New Roman" w:hAnsi="Times New Roman"/>
        </w:rPr>
        <w:t>G</w:t>
      </w:r>
      <w:r>
        <w:rPr>
          <w:rFonts w:ascii="Times New Roman" w:hAnsi="Times New Roman"/>
        </w:rPr>
        <w:t>B/T 6165  高效空气过滤器性能试验方法</w:t>
      </w:r>
      <w:r>
        <w:rPr>
          <w:rFonts w:hint="eastAsia" w:ascii="Times New Roman" w:hAnsi="Times New Roman"/>
        </w:rPr>
        <w:t xml:space="preserve"> </w:t>
      </w:r>
      <w:r>
        <w:rPr>
          <w:rFonts w:ascii="Times New Roman" w:hAnsi="Times New Roman"/>
        </w:rPr>
        <w:t xml:space="preserve"> 效率和阻力</w:t>
      </w:r>
    </w:p>
    <w:p w14:paraId="0F3D74A6">
      <w:pPr>
        <w:spacing w:line="240" w:lineRule="auto"/>
        <w:ind w:firstLine="420" w:firstLineChars="200"/>
        <w:rPr>
          <w:rFonts w:ascii="Times New Roman" w:hAnsi="Times New Roman"/>
        </w:rPr>
      </w:pPr>
      <w:r>
        <w:rPr>
          <w:rFonts w:ascii="Times New Roman" w:hAnsi="Times New Roman"/>
        </w:rPr>
        <w:t>GB/T 13554</w:t>
      </w:r>
      <w:r>
        <w:rPr>
          <w:rFonts w:hint="eastAsia" w:ascii="Times New Roman" w:hAnsi="Times New Roman"/>
        </w:rPr>
        <w:t>-</w:t>
      </w:r>
      <w:r>
        <w:rPr>
          <w:rFonts w:ascii="Times New Roman" w:hAnsi="Times New Roman"/>
        </w:rPr>
        <w:t>2020  高效空气过滤器</w:t>
      </w:r>
    </w:p>
    <w:p w14:paraId="43B0C5A4">
      <w:pPr>
        <w:spacing w:line="240" w:lineRule="auto"/>
        <w:ind w:firstLine="420" w:firstLineChars="200"/>
        <w:rPr>
          <w:rFonts w:ascii="Times New Roman" w:hAnsi="Times New Roman"/>
        </w:rPr>
      </w:pPr>
      <w:r>
        <w:rPr>
          <w:rFonts w:ascii="Times New Roman" w:hAnsi="Times New Roman"/>
        </w:rPr>
        <w:t>GB 14554  恶臭污染物排放标准</w:t>
      </w:r>
    </w:p>
    <w:p w14:paraId="6F9B0D66">
      <w:pPr>
        <w:spacing w:line="240" w:lineRule="auto"/>
        <w:ind w:firstLine="420" w:firstLineChars="200"/>
        <w:rPr>
          <w:rFonts w:ascii="Times New Roman" w:hAnsi="Times New Roman"/>
        </w:rPr>
      </w:pPr>
      <w:r>
        <w:rPr>
          <w:rFonts w:hint="eastAsia" w:ascii="Times New Roman" w:hAnsi="Times New Roman"/>
        </w:rPr>
        <w:t>G</w:t>
      </w:r>
      <w:r>
        <w:rPr>
          <w:rFonts w:ascii="Times New Roman" w:hAnsi="Times New Roman"/>
        </w:rPr>
        <w:t xml:space="preserve">B 37822-2019 </w:t>
      </w:r>
      <w:r>
        <w:rPr>
          <w:rFonts w:hint="eastAsia" w:ascii="Times New Roman" w:hAnsi="Times New Roman"/>
        </w:rPr>
        <w:t>挥发性有机物无组织排放控制标准</w:t>
      </w:r>
    </w:p>
    <w:p w14:paraId="2A5E06AE">
      <w:pPr>
        <w:spacing w:line="240" w:lineRule="auto"/>
        <w:ind w:firstLine="420" w:firstLineChars="200"/>
        <w:rPr>
          <w:rFonts w:ascii="Times New Roman" w:hAnsi="Times New Roman"/>
        </w:rPr>
      </w:pPr>
      <w:r>
        <w:rPr>
          <w:rFonts w:ascii="Times New Roman" w:hAnsi="Times New Roman"/>
        </w:rPr>
        <w:t>GB 37823</w:t>
      </w:r>
      <w:r>
        <w:rPr>
          <w:rFonts w:ascii="宋体" w:hAnsi="宋体"/>
        </w:rPr>
        <w:t>-</w:t>
      </w:r>
      <w:r>
        <w:rPr>
          <w:rFonts w:hint="eastAsia" w:ascii="Times New Roman" w:hAnsi="Times New Roman"/>
        </w:rPr>
        <w:t>2019</w:t>
      </w:r>
      <w:r>
        <w:rPr>
          <w:rFonts w:ascii="Times New Roman" w:hAnsi="Times New Roman"/>
        </w:rPr>
        <w:t xml:space="preserve">  制药工业大气污染物排放标准</w:t>
      </w:r>
    </w:p>
    <w:p w14:paraId="7433082A">
      <w:pPr>
        <w:spacing w:line="240" w:lineRule="auto"/>
        <w:ind w:firstLine="420" w:firstLineChars="200"/>
        <w:rPr>
          <w:rFonts w:ascii="Times New Roman" w:hAnsi="Times New Roman"/>
        </w:rPr>
      </w:pPr>
      <w:r>
        <w:rPr>
          <w:rFonts w:ascii="Times New Roman" w:hAnsi="Times New Roman"/>
        </w:rPr>
        <w:t>HJ/T 55  大气污染物无组织排放监测技术导则</w:t>
      </w:r>
    </w:p>
    <w:p w14:paraId="64CD33FC">
      <w:pPr>
        <w:pStyle w:val="228"/>
        <w:ind w:firstLine="420" w:firstLineChars="200"/>
        <w:rPr>
          <w:rFonts w:ascii="Times New Roman" w:hAnsi="Times New Roman" w:eastAsia="宋体e眠副浡渀." w:cs="Times New Roman"/>
          <w:color w:val="auto"/>
          <w:sz w:val="21"/>
          <w:szCs w:val="21"/>
        </w:rPr>
      </w:pPr>
      <w:r>
        <w:rPr>
          <w:rFonts w:ascii="Times New Roman" w:hAnsi="Times New Roman" w:cs="Times New Roman"/>
          <w:color w:val="auto"/>
          <w:sz w:val="21"/>
          <w:szCs w:val="21"/>
        </w:rPr>
        <w:t xml:space="preserve">HJ/T 373  </w:t>
      </w:r>
      <w:r>
        <w:rPr>
          <w:rFonts w:ascii="Times New Roman" w:hAnsi="Times New Roman" w:eastAsia="宋体e眠副浡渀." w:cs="Times New Roman"/>
          <w:color w:val="auto"/>
          <w:sz w:val="21"/>
          <w:szCs w:val="21"/>
        </w:rPr>
        <w:t>固定污染源监测质量保证与质量控制技术规范（试行）</w:t>
      </w:r>
    </w:p>
    <w:p w14:paraId="2F5026C9">
      <w:pPr>
        <w:spacing w:line="240" w:lineRule="auto"/>
        <w:ind w:left="1701" w:leftChars="200" w:hanging="1281" w:hangingChars="610"/>
        <w:rPr>
          <w:rFonts w:ascii="Times New Roman" w:hAnsi="Times New Roman"/>
        </w:rPr>
      </w:pPr>
      <w:r>
        <w:rPr>
          <w:rFonts w:ascii="Times New Roman" w:hAnsi="Times New Roman" w:eastAsia="宋体e眠副浡渀."/>
        </w:rPr>
        <w:t>HJ/T 397  固定源废气监测技术规范</w:t>
      </w:r>
    </w:p>
    <w:p w14:paraId="30ECB780">
      <w:pPr>
        <w:spacing w:line="240" w:lineRule="auto"/>
        <w:ind w:left="1701" w:leftChars="200" w:hanging="1281" w:hangingChars="610"/>
        <w:rPr>
          <w:rFonts w:ascii="Times New Roman" w:hAnsi="Times New Roman"/>
        </w:rPr>
      </w:pPr>
      <w:r>
        <w:rPr>
          <w:rFonts w:ascii="Times New Roman" w:hAnsi="Times New Roman"/>
        </w:rPr>
        <w:t>HJ 734  固定污染源废气  挥发性有机物的测定  固相吸附-热脱附/气相色谱-质谱法</w:t>
      </w:r>
    </w:p>
    <w:p w14:paraId="0448721C">
      <w:pPr>
        <w:spacing w:line="240" w:lineRule="auto"/>
        <w:ind w:firstLine="420" w:firstLineChars="200"/>
        <w:rPr>
          <w:rFonts w:ascii="Times New Roman" w:hAnsi="Times New Roman"/>
        </w:rPr>
      </w:pPr>
      <w:r>
        <w:rPr>
          <w:rFonts w:ascii="Times New Roman" w:hAnsi="Times New Roman"/>
        </w:rPr>
        <w:t>HJ 819  排污单位自行监测技术指南  总则</w:t>
      </w:r>
    </w:p>
    <w:p w14:paraId="6A4E5005">
      <w:pPr>
        <w:spacing w:line="240" w:lineRule="auto"/>
        <w:ind w:firstLine="420" w:firstLineChars="200"/>
        <w:rPr>
          <w:rFonts w:ascii="Times New Roman" w:hAnsi="Times New Roman"/>
        </w:rPr>
      </w:pPr>
      <w:r>
        <w:rPr>
          <w:rFonts w:ascii="Times New Roman" w:hAnsi="Times New Roman"/>
        </w:rPr>
        <w:t xml:space="preserve">HJ 858.1 </w:t>
      </w:r>
      <w:r>
        <w:rPr>
          <w:rFonts w:hint="eastAsia" w:ascii="Times New Roman" w:hAnsi="Times New Roman"/>
        </w:rPr>
        <w:t>排污许可证申请与核发技术规范 制药工业-原料药制造</w:t>
      </w:r>
    </w:p>
    <w:p w14:paraId="299E81D0">
      <w:pPr>
        <w:spacing w:line="240" w:lineRule="auto"/>
        <w:ind w:firstLine="420" w:firstLineChars="200"/>
        <w:rPr>
          <w:rFonts w:ascii="Times New Roman" w:hAnsi="Times New Roman"/>
        </w:rPr>
      </w:pPr>
      <w:r>
        <w:rPr>
          <w:rFonts w:ascii="Times New Roman" w:hAnsi="Times New Roman"/>
        </w:rPr>
        <w:t xml:space="preserve">HJ 881  </w:t>
      </w:r>
      <w:r>
        <w:rPr>
          <w:rFonts w:hint="eastAsia" w:ascii="Times New Roman" w:hAnsi="Times New Roman"/>
        </w:rPr>
        <w:t>排污单位自行监测技术指南 提取类制药工业</w:t>
      </w:r>
    </w:p>
    <w:p w14:paraId="54CA5876">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882  </w:t>
      </w:r>
      <w:r>
        <w:rPr>
          <w:rFonts w:hint="eastAsia" w:ascii="Times New Roman" w:hAnsi="Times New Roman"/>
        </w:rPr>
        <w:t xml:space="preserve">排污单位自行监测技术指南 </w:t>
      </w:r>
      <w:r>
        <w:rPr>
          <w:rFonts w:ascii="Times New Roman" w:hAnsi="Times New Roman"/>
        </w:rPr>
        <w:t xml:space="preserve"> </w:t>
      </w:r>
      <w:r>
        <w:rPr>
          <w:rFonts w:hint="eastAsia" w:ascii="Times New Roman" w:hAnsi="Times New Roman"/>
        </w:rPr>
        <w:t>发酵类制药工业</w:t>
      </w:r>
    </w:p>
    <w:p w14:paraId="0F8E9566">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883  </w:t>
      </w:r>
      <w:r>
        <w:rPr>
          <w:rFonts w:hint="eastAsia" w:ascii="Times New Roman" w:hAnsi="Times New Roman"/>
        </w:rPr>
        <w:t>排污单位自行监测技术指南 化学合成类制药工业</w:t>
      </w:r>
    </w:p>
    <w:p w14:paraId="5960C454">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944  </w:t>
      </w:r>
      <w:r>
        <w:rPr>
          <w:rFonts w:hint="eastAsia" w:ascii="Times New Roman" w:hAnsi="Times New Roman"/>
        </w:rPr>
        <w:t>排污单位环境管理台账及排污许可证执行报告技术规范总则（试行）</w:t>
      </w:r>
    </w:p>
    <w:p w14:paraId="7058B5A9">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1063 </w:t>
      </w:r>
      <w:r>
        <w:rPr>
          <w:rFonts w:hint="eastAsia" w:ascii="Times New Roman" w:hAnsi="Times New Roman"/>
        </w:rPr>
        <w:t>排污许可证申请与核发技术规范 制药工业-化学药品制剂制造</w:t>
      </w:r>
    </w:p>
    <w:p w14:paraId="49D7DB70">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1093 </w:t>
      </w:r>
      <w:r>
        <w:rPr>
          <w:rFonts w:hint="eastAsia" w:ascii="Times New Roman" w:hAnsi="Times New Roman"/>
        </w:rPr>
        <w:t>蓄热燃烧法工业有机废气治理工程技术规范</w:t>
      </w:r>
    </w:p>
    <w:p w14:paraId="1CCA110E">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1256  </w:t>
      </w:r>
      <w:r>
        <w:rPr>
          <w:rFonts w:hint="eastAsia" w:ascii="Times New Roman" w:hAnsi="Times New Roman"/>
        </w:rPr>
        <w:t xml:space="preserve">排污单位自行监测技术指南 </w:t>
      </w:r>
      <w:r>
        <w:rPr>
          <w:rFonts w:ascii="Times New Roman" w:hAnsi="Times New Roman"/>
        </w:rPr>
        <w:t xml:space="preserve"> </w:t>
      </w:r>
      <w:r>
        <w:rPr>
          <w:rFonts w:hint="eastAsia" w:ascii="Times New Roman" w:hAnsi="Times New Roman"/>
        </w:rPr>
        <w:t>中药、生物药品制品、化学药品制剂制造</w:t>
      </w:r>
    </w:p>
    <w:p w14:paraId="163E0ADC">
      <w:pPr>
        <w:spacing w:line="240" w:lineRule="auto"/>
        <w:ind w:firstLine="420" w:firstLineChars="200"/>
        <w:rPr>
          <w:rFonts w:ascii="Times New Roman" w:hAnsi="Times New Roman"/>
        </w:rPr>
      </w:pPr>
      <w:r>
        <w:rPr>
          <w:rFonts w:ascii="Times New Roman" w:hAnsi="Times New Roman"/>
        </w:rPr>
        <w:t xml:space="preserve">HJ 2000 </w:t>
      </w:r>
      <w:r>
        <w:rPr>
          <w:rFonts w:hint="eastAsia" w:ascii="Times New Roman" w:hAnsi="Times New Roman"/>
        </w:rPr>
        <w:t>大气污染治理工程技术导则</w:t>
      </w:r>
    </w:p>
    <w:p w14:paraId="65335424">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2026 </w:t>
      </w:r>
      <w:r>
        <w:rPr>
          <w:rFonts w:hint="eastAsia" w:ascii="Times New Roman" w:hAnsi="Times New Roman"/>
        </w:rPr>
        <w:t>吸附法工业有机废气治理工程技术规范</w:t>
      </w:r>
    </w:p>
    <w:p w14:paraId="7D2FC815">
      <w:pPr>
        <w:spacing w:line="240" w:lineRule="auto"/>
        <w:ind w:firstLine="420" w:firstLineChars="200"/>
        <w:rPr>
          <w:rFonts w:ascii="Times New Roman" w:hAnsi="Times New Roman"/>
        </w:rPr>
      </w:pPr>
      <w:r>
        <w:rPr>
          <w:rFonts w:hint="eastAsia" w:ascii="Times New Roman" w:hAnsi="Times New Roman"/>
        </w:rPr>
        <w:t>H</w:t>
      </w:r>
      <w:r>
        <w:rPr>
          <w:rFonts w:ascii="Times New Roman" w:hAnsi="Times New Roman"/>
        </w:rPr>
        <w:t xml:space="preserve">J 2027 </w:t>
      </w:r>
      <w:r>
        <w:rPr>
          <w:rFonts w:hint="eastAsia" w:ascii="Times New Roman" w:hAnsi="Times New Roman"/>
        </w:rPr>
        <w:t>催化燃烧法工业有机废气治理工程技术规范</w:t>
      </w:r>
    </w:p>
    <w:p w14:paraId="1AC07AD0">
      <w:pPr>
        <w:spacing w:line="240" w:lineRule="auto"/>
        <w:ind w:firstLine="420" w:firstLineChars="200"/>
        <w:rPr>
          <w:rFonts w:ascii="Times New Roman" w:hAnsi="Times New Roman"/>
        </w:rPr>
      </w:pPr>
      <w:r>
        <w:rPr>
          <w:rFonts w:hint="eastAsia" w:ascii="Times New Roman" w:hAnsi="Times New Roman"/>
        </w:rPr>
        <w:t>D</w:t>
      </w:r>
      <w:r>
        <w:rPr>
          <w:rFonts w:ascii="Times New Roman" w:hAnsi="Times New Roman"/>
        </w:rPr>
        <w:t xml:space="preserve">B31/1025  </w:t>
      </w:r>
      <w:r>
        <w:rPr>
          <w:rFonts w:hint="eastAsia" w:ascii="Times New Roman" w:hAnsi="Times New Roman"/>
        </w:rPr>
        <w:t>恶臭（异味）污染物排放标准</w:t>
      </w:r>
    </w:p>
    <w:p w14:paraId="208BA0EB">
      <w:pPr>
        <w:spacing w:line="240" w:lineRule="auto"/>
        <w:ind w:firstLine="420" w:firstLineChars="200"/>
        <w:rPr>
          <w:rFonts w:ascii="Times New Roman" w:hAnsi="Times New Roman"/>
        </w:rPr>
      </w:pPr>
      <w:r>
        <w:rPr>
          <w:rFonts w:hint="eastAsia" w:ascii="Times New Roman" w:hAnsi="Times New Roman"/>
        </w:rPr>
        <w:t>D</w:t>
      </w:r>
      <w:r>
        <w:rPr>
          <w:rFonts w:ascii="Times New Roman" w:hAnsi="Times New Roman"/>
        </w:rPr>
        <w:t xml:space="preserve">B 31/310005 </w:t>
      </w:r>
      <w:r>
        <w:rPr>
          <w:rFonts w:hint="eastAsia" w:ascii="Times New Roman" w:hAnsi="Times New Roman"/>
        </w:rPr>
        <w:t>制药工业大气污染物排放标准</w:t>
      </w:r>
    </w:p>
    <w:p w14:paraId="27A9200E">
      <w:pPr>
        <w:spacing w:line="240" w:lineRule="auto"/>
        <w:ind w:firstLine="420" w:firstLineChars="200"/>
        <w:rPr>
          <w:rFonts w:ascii="Times New Roman" w:hAnsi="Times New Roman"/>
        </w:rPr>
      </w:pPr>
      <w:r>
        <w:rPr>
          <w:rFonts w:ascii="Times New Roman" w:hAnsi="Times New Roman"/>
        </w:rPr>
        <w:t xml:space="preserve">DB32/4042 </w:t>
      </w:r>
      <w:r>
        <w:rPr>
          <w:rFonts w:hint="eastAsia" w:ascii="Times New Roman" w:hAnsi="Times New Roman"/>
        </w:rPr>
        <w:t>制药工业大气污染物排放标准</w:t>
      </w:r>
    </w:p>
    <w:p w14:paraId="6E08D75D">
      <w:pPr>
        <w:spacing w:line="240" w:lineRule="auto"/>
        <w:ind w:firstLine="420" w:firstLineChars="200"/>
        <w:rPr>
          <w:rFonts w:ascii="Times New Roman" w:hAnsi="Times New Roman"/>
        </w:rPr>
      </w:pPr>
      <w:r>
        <w:rPr>
          <w:rFonts w:ascii="Times New Roman" w:hAnsi="Times New Roman"/>
        </w:rPr>
        <w:t>DB32/</w:t>
      </w:r>
      <w:r>
        <w:rPr>
          <w:rFonts w:hint="eastAsia" w:ascii="Times New Roman" w:hAnsi="Times New Roman"/>
        </w:rPr>
        <w:t>T</w:t>
      </w:r>
      <w:r>
        <w:rPr>
          <w:rFonts w:ascii="Times New Roman" w:hAnsi="Times New Roman"/>
        </w:rPr>
        <w:t xml:space="preserve"> 4350  </w:t>
      </w:r>
      <w:r>
        <w:rPr>
          <w:rFonts w:hint="eastAsia" w:ascii="Times New Roman" w:hAnsi="Times New Roman"/>
        </w:rPr>
        <w:t>大气污染源工况用电在线监测技术规范</w:t>
      </w:r>
    </w:p>
    <w:p w14:paraId="1E3F73E8">
      <w:pPr>
        <w:spacing w:line="240" w:lineRule="auto"/>
        <w:ind w:firstLine="420" w:firstLineChars="200"/>
        <w:rPr>
          <w:rFonts w:ascii="Times New Roman" w:hAnsi="Times New Roman"/>
        </w:rPr>
      </w:pPr>
      <w:r>
        <w:rPr>
          <w:rFonts w:ascii="Times New Roman" w:hAnsi="Times New Roman"/>
        </w:rPr>
        <w:t xml:space="preserve">DB33/310005 </w:t>
      </w:r>
      <w:r>
        <w:rPr>
          <w:rFonts w:hint="eastAsia" w:ascii="Times New Roman" w:hAnsi="Times New Roman"/>
        </w:rPr>
        <w:t>制药工业大气污染物排放标准</w:t>
      </w:r>
    </w:p>
    <w:p w14:paraId="034E5550">
      <w:pPr>
        <w:spacing w:line="240" w:lineRule="auto"/>
        <w:ind w:firstLine="420" w:firstLineChars="200"/>
        <w:rPr>
          <w:rFonts w:ascii="Times New Roman" w:hAnsi="Times New Roman"/>
        </w:rPr>
      </w:pPr>
      <w:r>
        <w:rPr>
          <w:rFonts w:hint="eastAsia" w:ascii="Times New Roman" w:hAnsi="Times New Roman"/>
        </w:rPr>
        <w:t>D</w:t>
      </w:r>
      <w:r>
        <w:rPr>
          <w:rFonts w:ascii="Times New Roman" w:hAnsi="Times New Roman"/>
        </w:rPr>
        <w:t xml:space="preserve">B34/310005 </w:t>
      </w:r>
      <w:r>
        <w:rPr>
          <w:rFonts w:hint="eastAsia" w:ascii="Times New Roman" w:hAnsi="Times New Roman"/>
        </w:rPr>
        <w:t>制药工业大气污染物排放标准</w:t>
      </w:r>
    </w:p>
    <w:p w14:paraId="6F2BA338">
      <w:pPr>
        <w:spacing w:line="240" w:lineRule="auto"/>
        <w:ind w:firstLine="420" w:firstLineChars="200"/>
        <w:rPr>
          <w:rFonts w:ascii="Times New Roman" w:hAnsi="Times New Roman"/>
        </w:rPr>
      </w:pPr>
      <w:r>
        <w:rPr>
          <w:rFonts w:hint="eastAsia" w:ascii="Times New Roman" w:hAnsi="Times New Roman"/>
        </w:rPr>
        <w:t>A</w:t>
      </w:r>
      <w:r>
        <w:rPr>
          <w:rFonts w:ascii="Times New Roman" w:hAnsi="Times New Roman"/>
        </w:rPr>
        <w:t xml:space="preserve">Q/T 4274 </w:t>
      </w:r>
      <w:r>
        <w:rPr>
          <w:rFonts w:hint="eastAsia" w:ascii="Times New Roman" w:hAnsi="Times New Roman"/>
        </w:rPr>
        <w:t>局部排风设施控制风速检测与评估技术规范</w:t>
      </w:r>
    </w:p>
    <w:bookmarkEnd w:id="47"/>
    <w:bookmarkEnd w:id="48"/>
    <w:p w14:paraId="28D63050">
      <w:pPr>
        <w:pStyle w:val="104"/>
        <w:spacing w:before="312" w:after="312"/>
      </w:pPr>
      <w:bookmarkStart w:id="49" w:name="_Toc149654118"/>
      <w:r>
        <w:rPr>
          <w:rFonts w:hint="eastAsia"/>
          <w:szCs w:val="21"/>
        </w:rPr>
        <w:t>术语和定义</w:t>
      </w:r>
      <w:bookmarkEnd w:id="49"/>
    </w:p>
    <w:sdt>
      <w:sdtPr>
        <w:id w:val="-1909835108"/>
        <w:placeholder>
          <w:docPart w:val="D11F93A705984862BF254C905473E7B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C084507">
          <w:pPr>
            <w:pStyle w:val="56"/>
            <w:ind w:firstLine="420"/>
          </w:pPr>
          <w:bookmarkStart w:id="50" w:name="_Toc26986532"/>
          <w:bookmarkEnd w:id="50"/>
          <w:r>
            <w:t>下列术语和定义适用于本文件。</w:t>
          </w:r>
        </w:p>
      </w:sdtContent>
    </w:sdt>
    <w:p w14:paraId="2D9BEDC6">
      <w:pPr>
        <w:pStyle w:val="105"/>
        <w:spacing w:beforeLines="0" w:afterLines="0" w:line="360" w:lineRule="exact"/>
        <w:ind w:left="142"/>
        <w:rPr>
          <w:rFonts w:ascii="Times New Roman" w:eastAsia="宋体"/>
        </w:rPr>
      </w:pPr>
      <w:bookmarkStart w:id="51" w:name="_Toc149654119"/>
      <w:bookmarkEnd w:id="51"/>
      <w:bookmarkStart w:id="52" w:name="_Toc149492607"/>
      <w:bookmarkEnd w:id="52"/>
      <w:bookmarkStart w:id="53" w:name="_Toc36447061"/>
      <w:bookmarkStart w:id="54" w:name="_Toc524255127"/>
      <w:bookmarkStart w:id="55" w:name="_Toc522210486"/>
      <w:bookmarkStart w:id="56" w:name="_Toc509209824"/>
      <w:bookmarkStart w:id="57" w:name="_Toc48400745"/>
      <w:bookmarkStart w:id="58" w:name="_Toc523486509"/>
      <w:bookmarkStart w:id="59" w:name="_Toc508724988"/>
      <w:bookmarkStart w:id="60" w:name="_Toc522211831"/>
      <w:bookmarkStart w:id="61" w:name="_Toc523486575"/>
      <w:bookmarkStart w:id="62" w:name="_Toc48718512"/>
      <w:bookmarkStart w:id="63" w:name="_Toc48290689"/>
      <w:bookmarkStart w:id="64" w:name="_Toc524291836"/>
      <w:bookmarkStart w:id="65" w:name="_Toc523486277"/>
      <w:bookmarkStart w:id="66" w:name="_Toc523485845"/>
      <w:bookmarkStart w:id="67" w:name="_Toc508829660"/>
      <w:bookmarkStart w:id="68" w:name="_Toc24397449"/>
      <w:bookmarkStart w:id="69" w:name="_Toc2160441"/>
      <w:bookmarkStart w:id="70" w:name="_Toc535395880"/>
      <w:bookmarkStart w:id="71" w:name="_Toc24394860"/>
    </w:p>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14:paraId="145EAFA6">
      <w:pPr>
        <w:pStyle w:val="234"/>
        <w:numPr>
          <w:ilvl w:val="0"/>
          <w:numId w:val="0"/>
        </w:numPr>
        <w:ind w:firstLine="420" w:firstLineChars="200"/>
        <w:contextualSpacing/>
      </w:pPr>
      <w:bookmarkStart w:id="72" w:name="_Toc48918439"/>
      <w:bookmarkStart w:id="73" w:name="_Toc48918589"/>
      <w:bookmarkStart w:id="74" w:name="_Hlk143057524"/>
      <w:r>
        <w:rPr>
          <w:bCs/>
          <w:szCs w:val="21"/>
        </w:rPr>
        <w:t>制药工业  pharmaceutical industry</w:t>
      </w:r>
      <w:bookmarkEnd w:id="72"/>
      <w:bookmarkEnd w:id="73"/>
    </w:p>
    <w:p w14:paraId="400240F1">
      <w:pPr>
        <w:spacing w:line="240" w:lineRule="auto"/>
        <w:ind w:firstLine="420" w:firstLineChars="200"/>
        <w:contextualSpacing/>
        <w:rPr>
          <w:rFonts w:ascii="Times New Roman" w:hAnsi="Times New Roman"/>
        </w:rPr>
      </w:pPr>
      <w:r>
        <w:rPr>
          <w:rFonts w:ascii="Times New Roman" w:hAnsi="Times New Roman"/>
        </w:rPr>
        <w:t>GB/T 4754-2017</w:t>
      </w:r>
      <w:r>
        <w:rPr>
          <w:rFonts w:hint="eastAsia" w:ascii="Times New Roman" w:hAnsi="Times New Roman"/>
        </w:rPr>
        <w:t>中规定的医药制造业（</w:t>
      </w:r>
      <w:r>
        <w:rPr>
          <w:rFonts w:ascii="Times New Roman" w:hAnsi="Times New Roman"/>
        </w:rPr>
        <w:t>C27</w:t>
      </w:r>
      <w:r>
        <w:rPr>
          <w:rFonts w:hint="eastAsia" w:ascii="Times New Roman" w:hAnsi="Times New Roman"/>
        </w:rPr>
        <w:t>）中的化学药品原料药制造（</w:t>
      </w:r>
      <w:r>
        <w:rPr>
          <w:rFonts w:ascii="Times New Roman" w:hAnsi="Times New Roman"/>
        </w:rPr>
        <w:t>C271</w:t>
      </w:r>
      <w:r>
        <w:rPr>
          <w:rFonts w:hint="eastAsia" w:ascii="Times New Roman" w:hAnsi="Times New Roman"/>
        </w:rPr>
        <w:t>）、化学药品制剂制造（</w:t>
      </w:r>
      <w:r>
        <w:rPr>
          <w:rFonts w:ascii="Times New Roman" w:hAnsi="Times New Roman"/>
        </w:rPr>
        <w:t>C272</w:t>
      </w:r>
      <w:r>
        <w:rPr>
          <w:rFonts w:hint="eastAsia" w:ascii="Times New Roman" w:hAnsi="Times New Roman"/>
        </w:rPr>
        <w:t>）、中药饮片加工（</w:t>
      </w:r>
      <w:r>
        <w:rPr>
          <w:rFonts w:ascii="Times New Roman" w:hAnsi="Times New Roman"/>
        </w:rPr>
        <w:t>C273</w:t>
      </w:r>
      <w:r>
        <w:rPr>
          <w:rFonts w:hint="eastAsia" w:ascii="Times New Roman" w:hAnsi="Times New Roman"/>
        </w:rPr>
        <w:t>）、中成药生产（</w:t>
      </w:r>
      <w:r>
        <w:rPr>
          <w:rFonts w:ascii="Times New Roman" w:hAnsi="Times New Roman"/>
        </w:rPr>
        <w:t>C274</w:t>
      </w:r>
      <w:r>
        <w:rPr>
          <w:rFonts w:hint="eastAsia" w:ascii="Times New Roman" w:hAnsi="Times New Roman"/>
        </w:rPr>
        <w:t>）、兽用药品制造（</w:t>
      </w:r>
      <w:r>
        <w:rPr>
          <w:rFonts w:ascii="Times New Roman" w:hAnsi="Times New Roman"/>
        </w:rPr>
        <w:t>C275</w:t>
      </w:r>
      <w:r>
        <w:rPr>
          <w:rFonts w:hint="eastAsia" w:ascii="Times New Roman" w:hAnsi="Times New Roman"/>
        </w:rPr>
        <w:t>）、生物药品制品制造（</w:t>
      </w:r>
      <w:r>
        <w:rPr>
          <w:rFonts w:ascii="Times New Roman" w:hAnsi="Times New Roman"/>
        </w:rPr>
        <w:t>C276</w:t>
      </w:r>
      <w:r>
        <w:rPr>
          <w:rFonts w:hint="eastAsia" w:ascii="Times New Roman" w:hAnsi="Times New Roman"/>
        </w:rPr>
        <w:t>）</w:t>
      </w:r>
    </w:p>
    <w:bookmarkEnd w:id="74"/>
    <w:p w14:paraId="270FEFB8">
      <w:pPr>
        <w:pStyle w:val="105"/>
        <w:spacing w:beforeLines="0" w:afterLines="0" w:line="360" w:lineRule="exact"/>
        <w:ind w:left="142"/>
        <w:rPr>
          <w:rFonts w:ascii="Times New Roman" w:eastAsia="宋体"/>
        </w:rPr>
      </w:pPr>
      <w:bookmarkStart w:id="75" w:name="_Toc149492608"/>
      <w:bookmarkEnd w:id="75"/>
      <w:bookmarkStart w:id="76" w:name="_Toc149654120"/>
      <w:bookmarkEnd w:id="76"/>
      <w:bookmarkStart w:id="77" w:name="_Toc48718514"/>
    </w:p>
    <w:bookmarkEnd w:id="77"/>
    <w:p w14:paraId="7EA81147">
      <w:pPr>
        <w:pStyle w:val="234"/>
        <w:numPr>
          <w:ilvl w:val="0"/>
          <w:numId w:val="0"/>
        </w:numPr>
        <w:ind w:firstLine="420" w:firstLineChars="200"/>
        <w:contextualSpacing/>
      </w:pPr>
      <w:bookmarkStart w:id="78" w:name="_Toc48918443"/>
      <w:bookmarkStart w:id="79" w:name="_Toc48918593"/>
      <w:r>
        <w:rPr>
          <w:rFonts w:hint="eastAsia"/>
        </w:rPr>
        <w:t>化学药品原料药制造</w:t>
      </w:r>
      <w:r>
        <w:t xml:space="preserve">  production of </w:t>
      </w:r>
      <w:bookmarkEnd w:id="78"/>
      <w:bookmarkEnd w:id="79"/>
      <w:r>
        <w:t>Active Pharmaceutical Ingredient of chemical drugs</w:t>
      </w:r>
    </w:p>
    <w:p w14:paraId="3727A184">
      <w:pPr>
        <w:spacing w:line="360" w:lineRule="exact"/>
        <w:ind w:firstLine="420" w:firstLineChars="200"/>
        <w:rPr>
          <w:rFonts w:ascii="Times New Roman" w:hAnsi="Times New Roman"/>
        </w:rPr>
      </w:pPr>
      <w:r>
        <w:rPr>
          <w:rFonts w:hint="eastAsia"/>
        </w:rPr>
        <w:t>通过化学合成、微生物发酵或天然动植物提取等手段制备具有药物活性成分的一种物质或物质的混合物的生产活动</w:t>
      </w:r>
      <w:r>
        <w:rPr>
          <w:rFonts w:ascii="Times New Roman" w:hAnsi="Times New Roman"/>
        </w:rPr>
        <w:t>。</w:t>
      </w:r>
    </w:p>
    <w:p w14:paraId="7CDD83CD">
      <w:pPr>
        <w:pStyle w:val="105"/>
        <w:spacing w:beforeLines="0" w:afterLines="0" w:line="360" w:lineRule="exact"/>
        <w:ind w:left="142"/>
        <w:rPr>
          <w:rFonts w:ascii="Times New Roman" w:eastAsia="宋体"/>
        </w:rPr>
      </w:pPr>
      <w:bookmarkStart w:id="80" w:name="_Toc149492609"/>
      <w:bookmarkEnd w:id="80"/>
      <w:bookmarkStart w:id="81" w:name="_Toc149654121"/>
      <w:bookmarkEnd w:id="81"/>
      <w:bookmarkStart w:id="82" w:name="_Toc24397455"/>
      <w:bookmarkStart w:id="83" w:name="_Toc48918440"/>
      <w:bookmarkStart w:id="84" w:name="_Toc24394866"/>
      <w:bookmarkStart w:id="85" w:name="_Toc48918590"/>
      <w:bookmarkStart w:id="86" w:name="_Toc48718513"/>
      <w:bookmarkStart w:id="87" w:name="_Toc48400748"/>
      <w:bookmarkStart w:id="88" w:name="_Toc36447064"/>
      <w:bookmarkStart w:id="89" w:name="_Toc48290692"/>
      <w:bookmarkStart w:id="90" w:name="_Toc48918594"/>
      <w:bookmarkStart w:id="91" w:name="_Toc24397465"/>
      <w:bookmarkStart w:id="92" w:name="_Toc2160456"/>
      <w:bookmarkStart w:id="93" w:name="_Toc48918444"/>
      <w:bookmarkStart w:id="94" w:name="_Toc535395895"/>
      <w:bookmarkStart w:id="95" w:name="_Toc24394876"/>
      <w:bookmarkStart w:id="96" w:name="_Toc508829668"/>
      <w:bookmarkStart w:id="97" w:name="_Toc522211839"/>
      <w:bookmarkStart w:id="98" w:name="_Toc523485853"/>
      <w:bookmarkStart w:id="99" w:name="_Toc523486285"/>
      <w:bookmarkStart w:id="100" w:name="_Toc524291844"/>
      <w:bookmarkStart w:id="101" w:name="_Toc36447067"/>
      <w:bookmarkStart w:id="102" w:name="_Toc48290695"/>
      <w:bookmarkStart w:id="103" w:name="_Toc48718515"/>
      <w:bookmarkStart w:id="104" w:name="_Toc48400751"/>
    </w:p>
    <w:p w14:paraId="3B11A1B9">
      <w:pPr>
        <w:pStyle w:val="234"/>
        <w:numPr>
          <w:ilvl w:val="0"/>
          <w:numId w:val="0"/>
        </w:numPr>
        <w:ind w:firstLine="420" w:firstLineChars="200"/>
        <w:contextualSpacing/>
      </w:pPr>
      <w:r>
        <w:rPr>
          <w:rFonts w:hint="eastAsia"/>
        </w:rPr>
        <w:t xml:space="preserve">生物制药 </w:t>
      </w:r>
      <w:r>
        <w:t xml:space="preserve"> </w:t>
      </w:r>
      <w:r>
        <w:rPr>
          <w:rFonts w:hint="eastAsia"/>
        </w:rPr>
        <w:t>bi</w:t>
      </w:r>
      <w:r>
        <w:t xml:space="preserve">opharmaceutical </w:t>
      </w:r>
      <w:r>
        <w:rPr>
          <w:rFonts w:hint="eastAsia"/>
        </w:rPr>
        <w:t>m</w:t>
      </w:r>
      <w:r>
        <w:t>anufactur</w:t>
      </w:r>
      <w:r>
        <w:rPr>
          <w:rFonts w:hint="eastAsia"/>
        </w:rPr>
        <w:t>e</w:t>
      </w:r>
    </w:p>
    <w:p w14:paraId="49C47D1B">
      <w:pPr>
        <w:spacing w:line="360" w:lineRule="exact"/>
        <w:ind w:firstLine="420" w:firstLineChars="200"/>
        <w:rPr>
          <w:rFonts w:ascii="Times New Roman" w:hAnsi="Times New Roman"/>
        </w:rPr>
      </w:pPr>
      <w:r>
        <w:rPr>
          <w:rFonts w:hint="eastAsia"/>
        </w:rPr>
        <w:t>生物工程、发酵、提取等利用生物体或生物过程制造药物的生产过程。不包括利用生物过程制备的原料药进行进一步化学修饰的半合成类制药、利用微生物氧化由一非生物产品转化为另一非生物产品（如甾体激素）、中药及中成药生产和医疗器械生产</w:t>
      </w:r>
      <w:r>
        <w:rPr>
          <w:rFonts w:ascii="Times New Roman" w:hAnsi="Times New Roman"/>
        </w:rPr>
        <w:t>。</w:t>
      </w:r>
    </w:p>
    <w:bookmarkEnd w:id="82"/>
    <w:bookmarkEnd w:id="83"/>
    <w:bookmarkEnd w:id="84"/>
    <w:bookmarkEnd w:id="85"/>
    <w:p w14:paraId="32659600">
      <w:pPr>
        <w:pStyle w:val="105"/>
        <w:spacing w:beforeLines="0" w:afterLines="0" w:line="360" w:lineRule="exact"/>
        <w:ind w:left="142"/>
        <w:rPr>
          <w:rFonts w:ascii="Times New Roman" w:eastAsia="宋体"/>
        </w:rPr>
      </w:pPr>
      <w:bookmarkStart w:id="105" w:name="_Toc149492610"/>
      <w:bookmarkEnd w:id="105"/>
      <w:bookmarkStart w:id="106" w:name="_Toc149654122"/>
      <w:bookmarkEnd w:id="106"/>
    </w:p>
    <w:bookmarkEnd w:id="86"/>
    <w:bookmarkEnd w:id="87"/>
    <w:bookmarkEnd w:id="88"/>
    <w:bookmarkEnd w:id="89"/>
    <w:p w14:paraId="7C615EB1">
      <w:pPr>
        <w:pStyle w:val="234"/>
        <w:numPr>
          <w:ilvl w:val="0"/>
          <w:numId w:val="0"/>
        </w:numPr>
        <w:ind w:firstLine="420" w:firstLineChars="200"/>
        <w:contextualSpacing/>
      </w:pPr>
      <w:bookmarkStart w:id="107" w:name="_Toc48918591"/>
      <w:bookmarkStart w:id="108" w:name="_Toc48918441"/>
      <w:r>
        <w:rPr>
          <w:rFonts w:hint="eastAsia"/>
        </w:rPr>
        <w:t xml:space="preserve">发酵类制药 </w:t>
      </w:r>
      <w:r>
        <w:t xml:space="preserve"> </w:t>
      </w:r>
      <w:r>
        <w:rPr>
          <w:rFonts w:hint="eastAsia"/>
        </w:rPr>
        <w:t>fermentation</w:t>
      </w:r>
      <w:r>
        <w:t xml:space="preserve"> </w:t>
      </w:r>
      <w:r>
        <w:rPr>
          <w:rFonts w:hint="eastAsia"/>
        </w:rPr>
        <w:t>products</w:t>
      </w:r>
      <w:r>
        <w:t xml:space="preserve"> category of pharmaceutical industry</w:t>
      </w:r>
      <w:bookmarkEnd w:id="107"/>
      <w:bookmarkEnd w:id="108"/>
      <w:r>
        <w:t xml:space="preserve"> </w:t>
      </w:r>
    </w:p>
    <w:p w14:paraId="3E7AB186">
      <w:pPr>
        <w:spacing w:line="240" w:lineRule="auto"/>
        <w:ind w:firstLine="420" w:firstLineChars="200"/>
        <w:contextualSpacing/>
        <w:rPr>
          <w:rFonts w:ascii="宋体e眠副浡渀." w:eastAsia="宋体e眠副浡渀." w:cs="宋体e眠副浡渀."/>
          <w:kern w:val="0"/>
        </w:rPr>
      </w:pPr>
      <w:r>
        <w:rPr>
          <w:rFonts w:hint="eastAsia" w:ascii="宋体e眠副浡渀." w:eastAsia="宋体e眠副浡渀." w:cs="宋体e眠副浡渀."/>
          <w:kern w:val="0"/>
        </w:rPr>
        <w:t>通过微生物发酵的方法产生抗生素、维生素、氨基酸或其他的活性成分，然后经过分离、纯化、精制等工序生产出化学药品原料的过程。不包括细胞培养（扩增）、基因工程制药过程。</w:t>
      </w:r>
    </w:p>
    <w:p w14:paraId="2BC3E08D">
      <w:pPr>
        <w:pStyle w:val="105"/>
        <w:spacing w:beforeLines="0" w:afterLines="0" w:line="360" w:lineRule="exact"/>
        <w:ind w:left="142"/>
        <w:rPr>
          <w:rFonts w:ascii="Times New Roman" w:eastAsia="宋体"/>
        </w:rPr>
      </w:pPr>
      <w:bookmarkStart w:id="109" w:name="_Toc149492611"/>
      <w:bookmarkEnd w:id="109"/>
      <w:bookmarkStart w:id="110" w:name="_Toc149654123"/>
      <w:bookmarkEnd w:id="110"/>
    </w:p>
    <w:p w14:paraId="4F6DB6F2">
      <w:pPr>
        <w:pStyle w:val="234"/>
        <w:numPr>
          <w:ilvl w:val="0"/>
          <w:numId w:val="0"/>
        </w:numPr>
        <w:ind w:firstLine="420" w:firstLineChars="200"/>
        <w:contextualSpacing/>
      </w:pPr>
      <w:r>
        <w:rPr>
          <w:rFonts w:hint="eastAsia"/>
        </w:rPr>
        <w:t xml:space="preserve">化学合成类制药 </w:t>
      </w:r>
      <w:r>
        <w:t xml:space="preserve"> </w:t>
      </w:r>
      <w:r>
        <w:rPr>
          <w:rFonts w:hint="eastAsia"/>
        </w:rPr>
        <w:t>che</w:t>
      </w:r>
      <w:r>
        <w:t xml:space="preserve">mical synthesis </w:t>
      </w:r>
      <w:r>
        <w:rPr>
          <w:rFonts w:hint="eastAsia"/>
        </w:rPr>
        <w:t>products</w:t>
      </w:r>
      <w:r>
        <w:t xml:space="preserve"> category of pharmaceutical industry </w:t>
      </w:r>
    </w:p>
    <w:p w14:paraId="3F1053E1">
      <w:pPr>
        <w:spacing w:line="240" w:lineRule="auto"/>
        <w:ind w:firstLine="420" w:firstLineChars="200"/>
        <w:contextualSpacing/>
        <w:rPr>
          <w:rFonts w:ascii="宋体e眠副浡渀." w:eastAsia="宋体e眠副浡渀." w:cs="宋体e眠副浡渀."/>
          <w:kern w:val="0"/>
        </w:rPr>
      </w:pPr>
      <w:r>
        <w:rPr>
          <w:rFonts w:hint="eastAsia" w:ascii="宋体e眠副浡渀." w:eastAsia="宋体e眠副浡渀." w:cs="宋体e眠副浡渀."/>
          <w:kern w:val="0"/>
        </w:rPr>
        <w:t>采用一个化学反应或者一系列化学反应生产药物活性成分的过程。</w:t>
      </w:r>
    </w:p>
    <w:p w14:paraId="29F132EF">
      <w:pPr>
        <w:pStyle w:val="105"/>
        <w:spacing w:beforeLines="0" w:afterLines="0" w:line="360" w:lineRule="exact"/>
        <w:ind w:left="142"/>
        <w:rPr>
          <w:rFonts w:ascii="Times New Roman" w:eastAsia="宋体"/>
        </w:rPr>
      </w:pPr>
      <w:bookmarkStart w:id="111" w:name="_Toc149492612"/>
      <w:bookmarkEnd w:id="111"/>
      <w:bookmarkStart w:id="112" w:name="_Toc149654124"/>
      <w:bookmarkEnd w:id="112"/>
    </w:p>
    <w:p w14:paraId="5AF21546">
      <w:pPr>
        <w:pStyle w:val="234"/>
        <w:numPr>
          <w:ilvl w:val="0"/>
          <w:numId w:val="0"/>
        </w:numPr>
        <w:ind w:firstLine="420" w:firstLineChars="200"/>
        <w:contextualSpacing/>
      </w:pPr>
      <w:r>
        <w:rPr>
          <w:rFonts w:hint="eastAsia"/>
        </w:rPr>
        <w:t>中药制造</w:t>
      </w:r>
      <w:r>
        <w:t xml:space="preserve">  production of traditional Chinese medicine</w:t>
      </w:r>
    </w:p>
    <w:p w14:paraId="14270D7A">
      <w:pPr>
        <w:spacing w:line="240" w:lineRule="auto"/>
        <w:ind w:firstLine="420" w:firstLineChars="200"/>
        <w:contextualSpacing/>
        <w:rPr>
          <w:rFonts w:ascii="Times New Roman" w:hAnsi="Times New Roman"/>
        </w:rPr>
      </w:pPr>
      <w:r>
        <w:rPr>
          <w:rFonts w:hint="eastAsia" w:ascii="Times New Roman" w:hAnsi="Times New Roman"/>
        </w:rPr>
        <w:t>以药用植物、药用动物和药用矿物为原料，生产中药饮片、中药提取物或中成药各种剂型药物的生产活动</w:t>
      </w:r>
      <w:r>
        <w:rPr>
          <w:rFonts w:hint="eastAsia" w:ascii="Times New Roman" w:hAnsi="Times New Roman" w:eastAsia="宋体e眠副浡渀."/>
          <w:kern w:val="0"/>
        </w:rPr>
        <w:t>，包括</w:t>
      </w:r>
      <w:r>
        <w:rPr>
          <w:rFonts w:hint="eastAsia" w:ascii="Times New Roman" w:hAnsi="Times New Roman"/>
        </w:rPr>
        <w:t>中药饮片加工（</w:t>
      </w:r>
      <w:r>
        <w:rPr>
          <w:rFonts w:ascii="Times New Roman" w:hAnsi="Times New Roman"/>
        </w:rPr>
        <w:t>C273</w:t>
      </w:r>
      <w:r>
        <w:rPr>
          <w:rFonts w:hint="eastAsia" w:ascii="Times New Roman" w:hAnsi="Times New Roman"/>
        </w:rPr>
        <w:t>）、中成药生产（</w:t>
      </w:r>
      <w:r>
        <w:rPr>
          <w:rFonts w:ascii="Times New Roman" w:hAnsi="Times New Roman"/>
        </w:rPr>
        <w:t>C274</w:t>
      </w:r>
      <w:r>
        <w:rPr>
          <w:rFonts w:hint="eastAsia" w:ascii="Times New Roman" w:hAnsi="Times New Roman"/>
        </w:rPr>
        <w:t>）。</w:t>
      </w:r>
    </w:p>
    <w:p w14:paraId="75E71EB8">
      <w:pPr>
        <w:pStyle w:val="105"/>
        <w:spacing w:beforeLines="0" w:afterLines="0" w:line="360" w:lineRule="exact"/>
        <w:ind w:left="142"/>
        <w:rPr>
          <w:rFonts w:ascii="Times New Roman" w:eastAsia="宋体"/>
        </w:rPr>
      </w:pPr>
      <w:bookmarkStart w:id="113" w:name="_Toc149654125"/>
      <w:bookmarkEnd w:id="113"/>
    </w:p>
    <w:p w14:paraId="247D0A0C">
      <w:pPr>
        <w:pStyle w:val="234"/>
        <w:numPr>
          <w:ilvl w:val="0"/>
          <w:numId w:val="0"/>
        </w:numPr>
        <w:ind w:firstLine="420" w:firstLineChars="200"/>
        <w:contextualSpacing/>
      </w:pPr>
      <w:bookmarkStart w:id="114" w:name="_Toc48918595"/>
      <w:bookmarkStart w:id="115" w:name="_Toc48918445"/>
      <w:r>
        <w:t>医药中间体  pharmaceutical intermediates</w:t>
      </w:r>
      <w:bookmarkEnd w:id="114"/>
      <w:bookmarkEnd w:id="115"/>
    </w:p>
    <w:p w14:paraId="6BF73637">
      <w:pPr>
        <w:spacing w:line="240" w:lineRule="auto"/>
        <w:ind w:firstLine="420" w:firstLineChars="200"/>
        <w:contextualSpacing/>
      </w:pPr>
      <w:r>
        <w:t>制药工业企业内生产用</w:t>
      </w:r>
      <w:r>
        <w:rPr>
          <w:rFonts w:hint="eastAsia"/>
        </w:rPr>
        <w:t>于</w:t>
      </w:r>
      <w:r>
        <w:t>药品生产的关键原料或半产品</w:t>
      </w:r>
      <w:r>
        <w:rPr>
          <w:rFonts w:hint="eastAsia"/>
        </w:rPr>
        <w:t>，</w:t>
      </w:r>
      <w:r>
        <w:t>或者专门生产以药品为主要用途的关键原料或产品</w:t>
      </w:r>
      <w:r>
        <w:rPr>
          <w:rFonts w:hint="eastAsia"/>
        </w:rPr>
        <w:t>；</w:t>
      </w:r>
      <w:r>
        <w:t>包括纳入医药工业统计制度中的所有医药中间体品种</w:t>
      </w:r>
      <w:r>
        <w:rPr>
          <w:rFonts w:hint="eastAsia"/>
        </w:rPr>
        <w:t>。</w:t>
      </w:r>
    </w:p>
    <w:p w14:paraId="2B7C7C36">
      <w:pPr>
        <w:pStyle w:val="105"/>
        <w:spacing w:beforeLines="0" w:afterLines="0" w:line="360" w:lineRule="exact"/>
        <w:ind w:left="142"/>
        <w:rPr>
          <w:rFonts w:ascii="Times New Roman" w:eastAsia="宋体"/>
        </w:rPr>
      </w:pPr>
      <w:bookmarkStart w:id="116" w:name="_Toc149654126"/>
      <w:bookmarkEnd w:id="116"/>
    </w:p>
    <w:p w14:paraId="5547DB68">
      <w:pPr>
        <w:pStyle w:val="234"/>
        <w:numPr>
          <w:ilvl w:val="0"/>
          <w:numId w:val="0"/>
        </w:numPr>
        <w:ind w:firstLine="420" w:firstLineChars="200"/>
        <w:contextualSpacing/>
      </w:pPr>
      <w:bookmarkStart w:id="117" w:name="_Toc48918447"/>
      <w:bookmarkStart w:id="118" w:name="_Toc48918597"/>
      <w:r>
        <w:rPr>
          <w:rFonts w:hint="eastAsia"/>
        </w:rPr>
        <w:t>特殊</w:t>
      </w:r>
      <w:r>
        <w:t xml:space="preserve">药品  </w:t>
      </w:r>
      <w:r>
        <w:rPr>
          <w:rFonts w:hint="eastAsia"/>
        </w:rPr>
        <w:t>special</w:t>
      </w:r>
      <w:r>
        <w:t xml:space="preserve"> medicine</w:t>
      </w:r>
      <w:bookmarkEnd w:id="117"/>
      <w:bookmarkEnd w:id="118"/>
    </w:p>
    <w:p w14:paraId="13557D68">
      <w:pPr>
        <w:spacing w:line="240" w:lineRule="auto"/>
        <w:ind w:firstLine="420" w:firstLineChars="200"/>
        <w:contextualSpacing/>
      </w:pPr>
      <w:r>
        <w:rPr>
          <w:rFonts w:ascii="宋体" w:hAnsi="宋体"/>
        </w:rPr>
        <w:t>青霉素等高致敏性药品、β-内酰胺结构类药品、避孕药品、激素类药品、抗肿瘤类药品、强毒微生物及芽孢菌制品、放射性药品</w:t>
      </w:r>
    </w:p>
    <w:p w14:paraId="534ABB22">
      <w:pPr>
        <w:pStyle w:val="105"/>
        <w:spacing w:beforeLines="0" w:afterLines="0" w:line="360" w:lineRule="exact"/>
        <w:ind w:left="142"/>
        <w:rPr>
          <w:rFonts w:ascii="Times New Roman" w:eastAsia="宋体"/>
        </w:rPr>
      </w:pPr>
      <w:bookmarkStart w:id="119" w:name="_Toc149492613"/>
      <w:bookmarkEnd w:id="119"/>
      <w:bookmarkStart w:id="120" w:name="_Toc149654127"/>
      <w:bookmarkEnd w:id="120"/>
    </w:p>
    <w:p w14:paraId="42A22816">
      <w:pPr>
        <w:pStyle w:val="234"/>
        <w:numPr>
          <w:ilvl w:val="0"/>
          <w:numId w:val="0"/>
        </w:numPr>
        <w:ind w:firstLine="420" w:firstLineChars="200"/>
      </w:pPr>
      <w:bookmarkStart w:id="121" w:name="_Toc48918449"/>
      <w:bookmarkStart w:id="122" w:name="_Toc48918599"/>
      <w:r>
        <w:t>药物研发机构  pharmaceutical research and development institutions</w:t>
      </w:r>
      <w:bookmarkEnd w:id="121"/>
      <w:bookmarkEnd w:id="122"/>
    </w:p>
    <w:p w14:paraId="61E89C72">
      <w:pPr>
        <w:snapToGrid w:val="0"/>
        <w:spacing w:line="240" w:lineRule="auto"/>
        <w:ind w:firstLine="420" w:firstLineChars="200"/>
      </w:pPr>
      <w:r>
        <w:t>从事制药及药物产品研究、开发活动的实验室、测试室、研发中心等机构。</w:t>
      </w:r>
    </w:p>
    <w:p w14:paraId="050CB3CB">
      <w:pPr>
        <w:pStyle w:val="105"/>
        <w:spacing w:beforeLines="0" w:afterLines="0" w:line="360" w:lineRule="exact"/>
        <w:ind w:left="142"/>
        <w:rPr>
          <w:rFonts w:ascii="Times New Roman" w:eastAsia="宋体"/>
        </w:rPr>
      </w:pPr>
      <w:bookmarkStart w:id="123" w:name="_Toc149654128"/>
      <w:bookmarkEnd w:id="123"/>
    </w:p>
    <w:p w14:paraId="535A21F3">
      <w:pPr>
        <w:pStyle w:val="234"/>
        <w:numPr>
          <w:ilvl w:val="0"/>
          <w:numId w:val="0"/>
        </w:numPr>
        <w:tabs>
          <w:tab w:val="clear" w:pos="360"/>
        </w:tabs>
        <w:ind w:firstLine="420" w:firstLineChars="200"/>
        <w:rPr>
          <w:rFonts w:eastAsia="宋体"/>
        </w:rPr>
      </w:pPr>
      <w:r>
        <w:rPr>
          <w:rFonts w:ascii="黑体" w:hAnsi="黑体"/>
        </w:rPr>
        <w:t>挥发性有机物</w:t>
      </w:r>
      <w:r>
        <w:rPr>
          <w:rFonts w:eastAsia="宋体"/>
        </w:rPr>
        <w:t xml:space="preserve">  volatile organic compounds </w:t>
      </w:r>
      <w:r>
        <w:rPr>
          <w:rFonts w:hint="eastAsia" w:eastAsia="宋体"/>
        </w:rPr>
        <w:t>（</w:t>
      </w:r>
      <w:r>
        <w:rPr>
          <w:rFonts w:eastAsia="宋体"/>
        </w:rPr>
        <w:t>VOCs</w:t>
      </w:r>
      <w:r>
        <w:rPr>
          <w:rFonts w:hint="eastAsia" w:eastAsia="宋体"/>
        </w:rPr>
        <w:t>）</w:t>
      </w:r>
    </w:p>
    <w:p w14:paraId="55C9A728">
      <w:pPr>
        <w:spacing w:line="360" w:lineRule="exact"/>
        <w:ind w:firstLine="420" w:firstLineChars="200"/>
        <w:rPr>
          <w:rFonts w:ascii="Times New Roman" w:hAnsi="Times New Roman"/>
        </w:rPr>
      </w:pPr>
      <w:r>
        <w:rPr>
          <w:rFonts w:ascii="Times New Roman" w:hAnsi="Times New Roman"/>
        </w:rPr>
        <w:t>参与大气光化学反应的有机化合物，或者根据</w:t>
      </w:r>
      <w:r>
        <w:rPr>
          <w:rFonts w:hint="eastAsia" w:ascii="Times New Roman" w:hAnsi="Times New Roman"/>
        </w:rPr>
        <w:t>有关规定确定</w:t>
      </w:r>
      <w:r>
        <w:rPr>
          <w:rFonts w:ascii="Times New Roman" w:hAnsi="Times New Roman"/>
        </w:rPr>
        <w:t>的有机化合物。在表征VOCs总体排放情况时，根据行业特征和环境管理要求，可采用总挥发性有机物（以TVOC表示）、非甲烷总烃（以NMHC表示）作为污染物控制项目</w:t>
      </w:r>
      <w:r>
        <w:rPr>
          <w:rFonts w:hint="eastAsia" w:ascii="Times New Roman" w:hAnsi="Times New Roman"/>
        </w:rPr>
        <w:t>。除国家规定的V</w:t>
      </w:r>
      <w:r>
        <w:rPr>
          <w:rFonts w:ascii="Times New Roman" w:hAnsi="Times New Roman"/>
        </w:rPr>
        <w:t>OCs</w:t>
      </w:r>
      <w:r>
        <w:rPr>
          <w:rFonts w:hint="eastAsia" w:ascii="Times New Roman" w:hAnsi="Times New Roman"/>
        </w:rPr>
        <w:t>情形，按照</w:t>
      </w:r>
      <w:r>
        <w:rPr>
          <w:rFonts w:ascii="Times New Roman" w:hAnsi="Times New Roman"/>
        </w:rPr>
        <w:t>20 ℃时蒸气压不小于10Pa或者101.325 kPa标准大气压下，沸点不高于250 ℃的有机化合物或者实际生产条件下具有以上相应挥发性的有机化合物（甲烷除外）</w:t>
      </w:r>
      <w:r>
        <w:rPr>
          <w:rFonts w:hint="eastAsia" w:ascii="Times New Roman" w:hAnsi="Times New Roman"/>
        </w:rPr>
        <w:t>确定</w:t>
      </w:r>
      <w:r>
        <w:rPr>
          <w:rFonts w:ascii="Times New Roman" w:hAnsi="Times New Roman"/>
        </w:rPr>
        <w:t>。</w:t>
      </w:r>
    </w:p>
    <w:bookmarkEnd w:id="90"/>
    <w:bookmarkEnd w:id="91"/>
    <w:bookmarkEnd w:id="92"/>
    <w:bookmarkEnd w:id="93"/>
    <w:bookmarkEnd w:id="94"/>
    <w:bookmarkEnd w:id="95"/>
    <w:p w14:paraId="10DC4E1C">
      <w:pPr>
        <w:pStyle w:val="105"/>
        <w:spacing w:beforeLines="0" w:afterLines="0" w:line="360" w:lineRule="exact"/>
        <w:ind w:left="142"/>
        <w:rPr>
          <w:rFonts w:ascii="Times New Roman" w:eastAsia="宋体"/>
        </w:rPr>
      </w:pPr>
      <w:bookmarkStart w:id="124" w:name="_Toc149654129"/>
      <w:bookmarkEnd w:id="124"/>
      <w:bookmarkStart w:id="125" w:name="_Toc149492614"/>
      <w:bookmarkEnd w:id="125"/>
      <w:bookmarkStart w:id="126" w:name="_Toc24394877"/>
      <w:bookmarkStart w:id="127" w:name="_Toc24397466"/>
      <w:bookmarkStart w:id="128" w:name="_Toc2160457"/>
      <w:bookmarkStart w:id="129" w:name="_Toc535395896"/>
    </w:p>
    <w:bookmarkEnd w:id="96"/>
    <w:bookmarkEnd w:id="97"/>
    <w:bookmarkEnd w:id="98"/>
    <w:bookmarkEnd w:id="99"/>
    <w:bookmarkEnd w:id="100"/>
    <w:bookmarkEnd w:id="101"/>
    <w:bookmarkEnd w:id="102"/>
    <w:bookmarkEnd w:id="103"/>
    <w:bookmarkEnd w:id="104"/>
    <w:bookmarkEnd w:id="126"/>
    <w:bookmarkEnd w:id="127"/>
    <w:bookmarkEnd w:id="128"/>
    <w:bookmarkEnd w:id="129"/>
    <w:p w14:paraId="6EAD4B01">
      <w:pPr>
        <w:pStyle w:val="234"/>
        <w:numPr>
          <w:ilvl w:val="0"/>
          <w:numId w:val="0"/>
        </w:numPr>
        <w:tabs>
          <w:tab w:val="clear" w:pos="360"/>
        </w:tabs>
        <w:spacing w:line="240" w:lineRule="exact"/>
        <w:ind w:firstLine="420" w:firstLineChars="200"/>
        <w:rPr>
          <w:rFonts w:eastAsia="宋体"/>
        </w:rPr>
      </w:pPr>
      <w:r>
        <w:rPr>
          <w:rFonts w:ascii="黑体" w:hAnsi="黑体"/>
        </w:rPr>
        <w:t>总挥发性有机物</w:t>
      </w:r>
      <w:r>
        <w:rPr>
          <w:rFonts w:hint="eastAsia" w:ascii="黑体" w:hAnsi="黑体"/>
        </w:rPr>
        <w:t xml:space="preserve"> </w:t>
      </w:r>
      <w:r>
        <w:rPr>
          <w:rFonts w:eastAsia="宋体"/>
        </w:rPr>
        <w:t xml:space="preserve"> total volatile organic compounds（TVOC）</w:t>
      </w:r>
    </w:p>
    <w:p w14:paraId="2E1EBBDF">
      <w:pPr>
        <w:spacing w:line="360" w:lineRule="exact"/>
        <w:ind w:firstLine="420" w:firstLineChars="200"/>
        <w:rPr>
          <w:rFonts w:ascii="Times New Roman" w:hAnsi="Times New Roman"/>
          <w:kern w:val="0"/>
          <w:szCs w:val="20"/>
        </w:rPr>
      </w:pPr>
      <w:r>
        <w:rPr>
          <w:rFonts w:ascii="Times New Roman" w:hAnsi="Times New Roman"/>
        </w:rPr>
        <w:t>采</w:t>
      </w:r>
      <w:r>
        <w:rPr>
          <w:rFonts w:ascii="Times New Roman" w:hAnsi="Times New Roman"/>
          <w:kern w:val="0"/>
          <w:szCs w:val="20"/>
        </w:rPr>
        <w:t>用规定的监测方法，对废气中的单项VOCs物质进行测量，加和得到VOCs物质的总量，以单VOCs物质的质量浓度之和计。实际工作中，按预期分析结果，对占总量90%以上的单项VOCs物质进行测量，加和得出。</w:t>
      </w:r>
    </w:p>
    <w:p w14:paraId="4394ABC2">
      <w:pPr>
        <w:pStyle w:val="105"/>
        <w:spacing w:beforeLines="0" w:afterLines="0" w:line="360" w:lineRule="exact"/>
        <w:ind w:left="142"/>
        <w:rPr>
          <w:rFonts w:ascii="Times New Roman" w:eastAsia="宋体"/>
        </w:rPr>
      </w:pPr>
      <w:bookmarkStart w:id="130" w:name="_Toc149654130"/>
      <w:bookmarkEnd w:id="130"/>
      <w:bookmarkStart w:id="131" w:name="_Toc149492615"/>
      <w:bookmarkEnd w:id="131"/>
      <w:bookmarkStart w:id="132" w:name="_Toc48718516"/>
      <w:bookmarkStart w:id="133" w:name="_Toc48400752"/>
    </w:p>
    <w:bookmarkEnd w:id="132"/>
    <w:bookmarkEnd w:id="133"/>
    <w:p w14:paraId="398DF9C8">
      <w:pPr>
        <w:pStyle w:val="234"/>
        <w:numPr>
          <w:ilvl w:val="0"/>
          <w:numId w:val="0"/>
        </w:numPr>
        <w:tabs>
          <w:tab w:val="clear" w:pos="360"/>
        </w:tabs>
        <w:spacing w:line="360" w:lineRule="exact"/>
        <w:ind w:firstLine="420" w:firstLineChars="200"/>
        <w:jc w:val="both"/>
        <w:outlineLvl w:val="9"/>
        <w:rPr>
          <w:rFonts w:eastAsia="宋体"/>
        </w:rPr>
      </w:pPr>
      <w:r>
        <w:rPr>
          <w:rFonts w:ascii="黑体" w:hAnsi="黑体"/>
        </w:rPr>
        <w:t>非甲烷总烃</w:t>
      </w:r>
      <w:r>
        <w:rPr>
          <w:rFonts w:hint="eastAsia" w:ascii="黑体" w:hAnsi="黑体"/>
        </w:rPr>
        <w:t xml:space="preserve"> </w:t>
      </w:r>
      <w:r>
        <w:rPr>
          <w:rFonts w:eastAsia="宋体"/>
        </w:rPr>
        <w:t xml:space="preserve"> non-methane hydrocarbons（NMHC）</w:t>
      </w:r>
    </w:p>
    <w:p w14:paraId="16B4525D">
      <w:pPr>
        <w:spacing w:line="240" w:lineRule="auto"/>
        <w:ind w:firstLine="420" w:firstLineChars="200"/>
        <w:contextualSpacing/>
      </w:pPr>
      <w:r>
        <w:rPr>
          <w:rFonts w:hint="eastAsia"/>
        </w:rPr>
        <w:t>采用规定的监测方法，氢火焰离子化检测器有响应的除甲烷外的气态有机化合物的总和，以碳的质量浓度计</w:t>
      </w:r>
      <w:r>
        <w:t>。</w:t>
      </w:r>
    </w:p>
    <w:p w14:paraId="0ACC6CBD">
      <w:pPr>
        <w:pStyle w:val="105"/>
        <w:spacing w:beforeLines="0" w:afterLines="0" w:line="360" w:lineRule="exact"/>
        <w:ind w:left="142"/>
        <w:rPr>
          <w:rFonts w:ascii="Times New Roman" w:eastAsia="宋体"/>
        </w:rPr>
      </w:pPr>
      <w:bookmarkStart w:id="134" w:name="_Toc149654131"/>
      <w:bookmarkEnd w:id="134"/>
      <w:bookmarkStart w:id="135" w:name="_Toc149492616"/>
      <w:bookmarkEnd w:id="135"/>
      <w:bookmarkStart w:id="136" w:name="_Toc523485854"/>
      <w:bookmarkStart w:id="137" w:name="_Toc523486286"/>
      <w:bookmarkStart w:id="138" w:name="_Toc48718517"/>
      <w:bookmarkStart w:id="139" w:name="_Toc24397468"/>
      <w:bookmarkStart w:id="140" w:name="_Toc24394879"/>
      <w:bookmarkStart w:id="141" w:name="_Toc535395898"/>
      <w:bookmarkStart w:id="142" w:name="_Toc48290696"/>
      <w:bookmarkStart w:id="143" w:name="_Toc2160459"/>
      <w:bookmarkStart w:id="144" w:name="_Toc36447068"/>
      <w:bookmarkStart w:id="145" w:name="_Toc522211840"/>
      <w:bookmarkStart w:id="146" w:name="_Toc508829669"/>
      <w:bookmarkStart w:id="147" w:name="_Toc524291845"/>
      <w:bookmarkStart w:id="148" w:name="_Toc48400753"/>
    </w:p>
    <w:bookmarkEnd w:id="136"/>
    <w:bookmarkEnd w:id="137"/>
    <w:bookmarkEnd w:id="138"/>
    <w:bookmarkEnd w:id="139"/>
    <w:bookmarkEnd w:id="140"/>
    <w:bookmarkEnd w:id="141"/>
    <w:bookmarkEnd w:id="142"/>
    <w:bookmarkEnd w:id="143"/>
    <w:bookmarkEnd w:id="144"/>
    <w:bookmarkEnd w:id="145"/>
    <w:bookmarkEnd w:id="146"/>
    <w:bookmarkEnd w:id="147"/>
    <w:bookmarkEnd w:id="148"/>
    <w:p w14:paraId="70F4BBC0">
      <w:pPr>
        <w:pStyle w:val="234"/>
        <w:numPr>
          <w:ilvl w:val="0"/>
          <w:numId w:val="0"/>
        </w:numPr>
        <w:ind w:firstLine="420" w:firstLineChars="200"/>
      </w:pPr>
      <w:bookmarkStart w:id="149" w:name="_Toc48918607"/>
      <w:bookmarkStart w:id="150" w:name="_Toc48918457"/>
      <w:bookmarkStart w:id="151" w:name="_Toc48918600"/>
      <w:bookmarkStart w:id="152" w:name="_Toc24397469"/>
      <w:bookmarkStart w:id="153" w:name="_Toc48918450"/>
      <w:bookmarkStart w:id="154" w:name="_Toc24394880"/>
      <w:bookmarkStart w:id="155" w:name="_Toc2160460"/>
      <w:bookmarkStart w:id="156" w:name="_Toc535395899"/>
      <w:bookmarkStart w:id="157" w:name="_Toc523485855"/>
      <w:bookmarkStart w:id="158" w:name="_Toc36447069"/>
      <w:bookmarkStart w:id="159" w:name="_Toc48290697"/>
      <w:bookmarkStart w:id="160" w:name="_Toc508829670"/>
      <w:bookmarkStart w:id="161" w:name="_Toc48718518"/>
      <w:bookmarkStart w:id="162" w:name="_Toc523486287"/>
      <w:bookmarkStart w:id="163" w:name="_Toc522211841"/>
      <w:bookmarkStart w:id="164" w:name="_Toc48400754"/>
      <w:bookmarkStart w:id="165" w:name="_Toc524291846"/>
      <w:r>
        <w:t>工艺废气  process vents</w:t>
      </w:r>
      <w:bookmarkEnd w:id="149"/>
      <w:bookmarkEnd w:id="150"/>
    </w:p>
    <w:p w14:paraId="77D3B1E1">
      <w:pPr>
        <w:snapToGrid w:val="0"/>
        <w:spacing w:line="240" w:lineRule="auto"/>
        <w:ind w:firstLine="420" w:firstLineChars="200"/>
      </w:pPr>
      <w:r>
        <w:t>制药生产工艺过程中排放的废气，包括配制、基因工程</w:t>
      </w:r>
      <w:r>
        <w:rPr>
          <w:rFonts w:hint="eastAsia"/>
        </w:rPr>
        <w:t>、</w:t>
      </w:r>
      <w:r>
        <w:t>合成、提取、结晶、</w:t>
      </w:r>
      <w:r>
        <w:rPr>
          <w:rFonts w:hint="eastAsia"/>
        </w:rPr>
        <w:t>离心、过滤、干燥、</w:t>
      </w:r>
      <w:r>
        <w:t>精制、包装、</w:t>
      </w:r>
      <w:r>
        <w:rPr>
          <w:rFonts w:hint="eastAsia"/>
        </w:rPr>
        <w:t>溶剂</w:t>
      </w:r>
      <w:r>
        <w:t>回收等工艺排气，以及真空泵</w:t>
      </w:r>
      <w:r>
        <w:rPr>
          <w:rFonts w:hint="eastAsia"/>
        </w:rPr>
        <w:t>、</w:t>
      </w:r>
      <w:r>
        <w:t>危废物暂存区和储罐区等设施的排气。</w:t>
      </w:r>
    </w:p>
    <w:bookmarkEnd w:id="151"/>
    <w:bookmarkEnd w:id="152"/>
    <w:bookmarkEnd w:id="153"/>
    <w:bookmarkEnd w:id="154"/>
    <w:bookmarkEnd w:id="155"/>
    <w:bookmarkEnd w:id="156"/>
    <w:p w14:paraId="6D410A0B">
      <w:pPr>
        <w:pStyle w:val="105"/>
        <w:spacing w:beforeLines="0" w:afterLines="0" w:line="360" w:lineRule="exact"/>
        <w:ind w:left="142"/>
        <w:rPr>
          <w:rFonts w:ascii="Times New Roman" w:eastAsia="宋体"/>
        </w:rPr>
      </w:pPr>
      <w:bookmarkStart w:id="166" w:name="_Toc149492617"/>
      <w:bookmarkEnd w:id="166"/>
      <w:bookmarkStart w:id="167" w:name="_Toc149654132"/>
      <w:bookmarkEnd w:id="167"/>
      <w:bookmarkStart w:id="168" w:name="_Toc24394881"/>
      <w:bookmarkStart w:id="169" w:name="_Toc2160461"/>
      <w:bookmarkStart w:id="170" w:name="_Toc535395900"/>
      <w:bookmarkStart w:id="171" w:name="_Toc24397470"/>
    </w:p>
    <w:bookmarkEnd w:id="157"/>
    <w:bookmarkEnd w:id="158"/>
    <w:bookmarkEnd w:id="159"/>
    <w:bookmarkEnd w:id="160"/>
    <w:bookmarkEnd w:id="161"/>
    <w:bookmarkEnd w:id="162"/>
    <w:bookmarkEnd w:id="163"/>
    <w:bookmarkEnd w:id="164"/>
    <w:bookmarkEnd w:id="165"/>
    <w:bookmarkEnd w:id="168"/>
    <w:bookmarkEnd w:id="169"/>
    <w:bookmarkEnd w:id="170"/>
    <w:bookmarkEnd w:id="171"/>
    <w:p w14:paraId="72DC9302">
      <w:pPr>
        <w:pStyle w:val="234"/>
        <w:numPr>
          <w:ilvl w:val="0"/>
          <w:numId w:val="0"/>
        </w:numPr>
        <w:ind w:firstLine="420" w:firstLineChars="200"/>
      </w:pPr>
      <w:bookmarkStart w:id="172" w:name="_Toc48918459"/>
      <w:bookmarkStart w:id="173" w:name="_Toc48918609"/>
      <w:r>
        <w:t>发酵尾气  tail gas from fermentation</w:t>
      </w:r>
      <w:bookmarkEnd w:id="172"/>
      <w:bookmarkEnd w:id="173"/>
    </w:p>
    <w:p w14:paraId="1300AB51">
      <w:pPr>
        <w:snapToGrid w:val="0"/>
        <w:spacing w:line="240" w:lineRule="auto"/>
        <w:ind w:firstLine="420" w:firstLineChars="200"/>
      </w:pPr>
      <w:r>
        <w:t>发酵类制药生产过程中，从微生物发酵罐排出的含生物代谢物质的废气，也包括发酵罐清洗、消毒过程中向外排放的含污染物的蒸气。</w:t>
      </w:r>
    </w:p>
    <w:p w14:paraId="6412BADF">
      <w:pPr>
        <w:pStyle w:val="105"/>
        <w:spacing w:beforeLines="0" w:afterLines="0" w:line="360" w:lineRule="exact"/>
        <w:ind w:left="142"/>
        <w:rPr>
          <w:rFonts w:ascii="Times New Roman" w:eastAsia="宋体"/>
        </w:rPr>
      </w:pPr>
      <w:bookmarkStart w:id="174" w:name="_Toc149492621"/>
      <w:bookmarkEnd w:id="174"/>
      <w:bookmarkStart w:id="175" w:name="_Toc149654133"/>
      <w:bookmarkEnd w:id="175"/>
      <w:bookmarkStart w:id="176" w:name="_Toc149492619"/>
      <w:bookmarkEnd w:id="176"/>
      <w:bookmarkStart w:id="177" w:name="_Toc523486295"/>
      <w:bookmarkStart w:id="178" w:name="_Toc523485863"/>
      <w:bookmarkStart w:id="179" w:name="_Toc535395916"/>
      <w:bookmarkStart w:id="180" w:name="_Toc48718524"/>
      <w:bookmarkStart w:id="181" w:name="_Toc36447075"/>
      <w:bookmarkStart w:id="182" w:name="_Toc24394893"/>
      <w:bookmarkStart w:id="183" w:name="_Toc24397482"/>
      <w:bookmarkStart w:id="184" w:name="_Toc524291854"/>
      <w:bookmarkStart w:id="185" w:name="_Toc48290703"/>
      <w:bookmarkStart w:id="186" w:name="_Toc2160477"/>
      <w:bookmarkStart w:id="187" w:name="_Toc48400760"/>
      <w:bookmarkStart w:id="188" w:name="_Toc522211849"/>
      <w:bookmarkStart w:id="189" w:name="_Toc508829678"/>
    </w:p>
    <w:p w14:paraId="3D97DD25">
      <w:pPr>
        <w:pStyle w:val="234"/>
        <w:numPr>
          <w:ilvl w:val="0"/>
          <w:numId w:val="0"/>
        </w:numPr>
        <w:ind w:firstLine="420" w:firstLineChars="200"/>
      </w:pPr>
      <w:bookmarkStart w:id="190" w:name="_Toc48918613"/>
      <w:bookmarkStart w:id="191" w:name="_Toc48918463"/>
      <w:r>
        <w:t>VOCs物料  VOCs-containing materials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60BB002">
      <w:pPr>
        <w:snapToGrid w:val="0"/>
        <w:spacing w:line="300" w:lineRule="auto"/>
        <w:ind w:firstLine="420" w:firstLineChars="200"/>
        <w:rPr>
          <w:rFonts w:ascii="Times New Roman" w:hAnsi="Times New Roman"/>
          <w:kern w:val="0"/>
        </w:rPr>
      </w:pPr>
      <w:r>
        <w:rPr>
          <w:rFonts w:ascii="Times New Roman" w:hAnsi="Times New Roman"/>
        </w:rPr>
        <w:t>VOCs质量占比大于等于10%的</w:t>
      </w:r>
      <w:r>
        <w:rPr>
          <w:rFonts w:hint="eastAsia" w:ascii="Times New Roman" w:hAnsi="Times New Roman"/>
        </w:rPr>
        <w:t>物料，以及有机聚合物材料</w:t>
      </w:r>
      <w:r>
        <w:rPr>
          <w:rFonts w:hint="eastAsia" w:ascii="Times New Roman" w:hAnsi="Times New Roman"/>
          <w:kern w:val="0"/>
        </w:rPr>
        <w:t>。</w:t>
      </w:r>
    </w:p>
    <w:p w14:paraId="096BEEDB">
      <w:pPr>
        <w:spacing w:line="360" w:lineRule="exact"/>
        <w:ind w:firstLine="422" w:firstLineChars="200"/>
        <w:rPr>
          <w:rFonts w:ascii="Times New Roman" w:hAnsi="Times New Roman"/>
        </w:rPr>
      </w:pPr>
      <w:r>
        <w:rPr>
          <w:rFonts w:ascii="黑体" w:hAnsi="黑体" w:eastAsia="黑体"/>
          <w:b/>
          <w:bCs/>
        </w:rPr>
        <w:t>注</w:t>
      </w:r>
      <w:r>
        <w:rPr>
          <w:rFonts w:hint="eastAsia" w:ascii="黑体" w:hAnsi="黑体" w:eastAsia="黑体"/>
          <w:b/>
          <w:bCs/>
        </w:rPr>
        <w:t>1</w:t>
      </w:r>
      <w:r>
        <w:rPr>
          <w:rFonts w:hint="eastAsia" w:ascii="宋体" w:hAnsi="宋体"/>
        </w:rPr>
        <w:t>：</w:t>
      </w:r>
      <w:r>
        <w:rPr>
          <w:rFonts w:hint="eastAsia" w:ascii="Times New Roman" w:hAnsi="Times New Roman"/>
        </w:rPr>
        <w:t>含V</w:t>
      </w:r>
      <w:r>
        <w:rPr>
          <w:rFonts w:ascii="Times New Roman" w:hAnsi="Times New Roman"/>
        </w:rPr>
        <w:t>OCs原辅材料、</w:t>
      </w:r>
      <w:r>
        <w:rPr>
          <w:rFonts w:hint="eastAsia" w:ascii="Times New Roman" w:hAnsi="Times New Roman"/>
        </w:rPr>
        <w:t>含V</w:t>
      </w:r>
      <w:r>
        <w:rPr>
          <w:rFonts w:ascii="Times New Roman" w:hAnsi="Times New Roman"/>
        </w:rPr>
        <w:t>OCs产品</w:t>
      </w:r>
      <w:r>
        <w:rPr>
          <w:rFonts w:hint="eastAsia" w:ascii="Times New Roman" w:hAnsi="Times New Roman"/>
        </w:rPr>
        <w:t>、含V</w:t>
      </w:r>
      <w:r>
        <w:rPr>
          <w:rFonts w:ascii="Times New Roman" w:hAnsi="Times New Roman"/>
        </w:rPr>
        <w:t>OCs废料（渣、液）</w:t>
      </w:r>
      <w:r>
        <w:rPr>
          <w:rFonts w:hint="eastAsia" w:ascii="Times New Roman" w:hAnsi="Times New Roman"/>
        </w:rPr>
        <w:t>等术语的含义与V</w:t>
      </w:r>
      <w:r>
        <w:rPr>
          <w:rFonts w:ascii="Times New Roman" w:hAnsi="Times New Roman"/>
        </w:rPr>
        <w:t>OCs</w:t>
      </w:r>
      <w:r>
        <w:rPr>
          <w:rFonts w:hint="eastAsia" w:ascii="Times New Roman" w:hAnsi="Times New Roman"/>
        </w:rPr>
        <w:t>物料相同。</w:t>
      </w:r>
    </w:p>
    <w:p w14:paraId="0CB70EE5">
      <w:pPr>
        <w:snapToGrid w:val="0"/>
        <w:spacing w:line="360" w:lineRule="exact"/>
        <w:ind w:firstLine="422" w:firstLineChars="200"/>
        <w:rPr>
          <w:rFonts w:ascii="Times New Roman" w:hAnsi="Times New Roman"/>
        </w:rPr>
      </w:pPr>
      <w:r>
        <w:rPr>
          <w:rFonts w:ascii="黑体" w:hAnsi="黑体" w:eastAsia="黑体"/>
          <w:b/>
          <w:bCs/>
        </w:rPr>
        <w:t>注</w:t>
      </w:r>
      <w:r>
        <w:rPr>
          <w:rFonts w:hint="eastAsia" w:ascii="黑体" w:hAnsi="黑体" w:eastAsia="黑体"/>
          <w:b/>
          <w:bCs/>
        </w:rPr>
        <w:t>2</w:t>
      </w:r>
      <w:r>
        <w:rPr>
          <w:rFonts w:hint="eastAsia" w:ascii="宋体" w:hAnsi="宋体"/>
        </w:rPr>
        <w:t>：</w:t>
      </w:r>
      <w:r>
        <w:rPr>
          <w:rFonts w:ascii="Times New Roman" w:hAnsi="Times New Roman"/>
        </w:rPr>
        <w:t>确定VOCs质量占比时，将20 ℃时蒸气压不小于10 Pa或者101.325 kPa标准大气压下，沸点不高于250 ℃的有机化合物或者实际生产条件下具有以上相应挥发性的有机化合物（甲烷除外）纳入核算范围。</w:t>
      </w:r>
    </w:p>
    <w:p w14:paraId="086FE8F8">
      <w:pPr>
        <w:pStyle w:val="105"/>
        <w:spacing w:beforeLines="0" w:afterLines="0" w:line="360" w:lineRule="exact"/>
        <w:ind w:left="142"/>
        <w:rPr>
          <w:rFonts w:ascii="Times New Roman" w:eastAsia="宋体"/>
        </w:rPr>
      </w:pPr>
      <w:bookmarkStart w:id="192" w:name="_Toc149654134"/>
      <w:bookmarkEnd w:id="192"/>
      <w:bookmarkStart w:id="193" w:name="_Toc149492622"/>
      <w:bookmarkEnd w:id="193"/>
    </w:p>
    <w:p w14:paraId="267294AB">
      <w:pPr>
        <w:pStyle w:val="234"/>
        <w:numPr>
          <w:ilvl w:val="0"/>
          <w:numId w:val="0"/>
        </w:numPr>
        <w:ind w:firstLine="420" w:firstLineChars="200"/>
      </w:pPr>
      <w:bookmarkStart w:id="194" w:name="_Toc149492623"/>
      <w:bookmarkEnd w:id="194"/>
      <w:bookmarkStart w:id="195" w:name="_Hlk146202567"/>
      <w:r>
        <w:rPr>
          <w:rFonts w:hint="eastAsia"/>
        </w:rPr>
        <w:t>污染预防技术</w:t>
      </w:r>
      <w:r>
        <w:t xml:space="preserve">  </w:t>
      </w:r>
      <w:r>
        <w:rPr>
          <w:rFonts w:hint="eastAsia"/>
        </w:rPr>
        <w:t>pollution</w:t>
      </w:r>
      <w:r>
        <w:t xml:space="preserve"> prevention technology</w:t>
      </w:r>
    </w:p>
    <w:p w14:paraId="14BE2BAE">
      <w:pPr>
        <w:widowControl/>
        <w:autoSpaceDE w:val="0"/>
        <w:autoSpaceDN w:val="0"/>
        <w:spacing w:line="360" w:lineRule="exact"/>
        <w:ind w:firstLine="420" w:firstLineChars="200"/>
        <w:rPr>
          <w:rFonts w:ascii="Times New Roman" w:hAnsi="Times New Roman"/>
        </w:rPr>
      </w:pPr>
      <w:r>
        <w:rPr>
          <w:rFonts w:hint="eastAsia" w:ascii="Times New Roman" w:hAnsi="Times New Roman"/>
        </w:rPr>
        <w:t>为减少污染物的排放，在生产过程中通过原辅材料替代、生产工艺革新等方法避免或减少污染物产生的技术。</w:t>
      </w:r>
    </w:p>
    <w:bookmarkEnd w:id="195"/>
    <w:p w14:paraId="21FF2F41">
      <w:pPr>
        <w:pStyle w:val="105"/>
        <w:spacing w:beforeLines="0" w:afterLines="0" w:line="360" w:lineRule="exact"/>
        <w:ind w:left="142"/>
        <w:rPr>
          <w:rFonts w:ascii="Times New Roman" w:eastAsia="宋体"/>
        </w:rPr>
      </w:pPr>
      <w:bookmarkStart w:id="196" w:name="_Toc149492624"/>
      <w:bookmarkEnd w:id="196"/>
      <w:bookmarkStart w:id="197" w:name="_Toc149654135"/>
      <w:bookmarkEnd w:id="197"/>
      <w:bookmarkStart w:id="198" w:name="_Toc522211853"/>
      <w:bookmarkStart w:id="199" w:name="_Toc523485870"/>
      <w:bookmarkStart w:id="200" w:name="_Toc2160493"/>
      <w:bookmarkStart w:id="201" w:name="_Toc48400766"/>
      <w:bookmarkStart w:id="202" w:name="_Toc524291862"/>
      <w:bookmarkStart w:id="203" w:name="_Toc24397492"/>
      <w:bookmarkStart w:id="204" w:name="_Toc535395932"/>
      <w:bookmarkStart w:id="205" w:name="_Toc48290709"/>
      <w:bookmarkStart w:id="206" w:name="_Toc48718531"/>
      <w:bookmarkStart w:id="207" w:name="_Toc24394905"/>
      <w:bookmarkStart w:id="208" w:name="_Toc523486302"/>
      <w:bookmarkStart w:id="209" w:name="_Toc36447081"/>
    </w:p>
    <w:bookmarkEnd w:id="198"/>
    <w:bookmarkEnd w:id="199"/>
    <w:bookmarkEnd w:id="200"/>
    <w:bookmarkEnd w:id="201"/>
    <w:bookmarkEnd w:id="202"/>
    <w:bookmarkEnd w:id="203"/>
    <w:bookmarkEnd w:id="204"/>
    <w:bookmarkEnd w:id="205"/>
    <w:bookmarkEnd w:id="206"/>
    <w:bookmarkEnd w:id="207"/>
    <w:bookmarkEnd w:id="208"/>
    <w:bookmarkEnd w:id="209"/>
    <w:p w14:paraId="6F513439">
      <w:pPr>
        <w:pStyle w:val="234"/>
        <w:numPr>
          <w:ilvl w:val="0"/>
          <w:numId w:val="0"/>
        </w:numPr>
        <w:ind w:firstLine="420" w:firstLineChars="200"/>
      </w:pPr>
      <w:bookmarkStart w:id="210" w:name="_Toc149492631"/>
      <w:bookmarkEnd w:id="210"/>
      <w:bookmarkStart w:id="211" w:name="_Toc36447082"/>
      <w:bookmarkStart w:id="212" w:name="_Toc535395934"/>
      <w:bookmarkStart w:id="213" w:name="_Toc48290710"/>
      <w:bookmarkStart w:id="214" w:name="_Toc523486303"/>
      <w:bookmarkStart w:id="215" w:name="_Toc48718532"/>
      <w:bookmarkStart w:id="216" w:name="_Toc523485871"/>
      <w:bookmarkStart w:id="217" w:name="_Toc48400767"/>
      <w:bookmarkStart w:id="218" w:name="_Toc524291863"/>
      <w:bookmarkStart w:id="219" w:name="_Toc522211854"/>
      <w:bookmarkStart w:id="220" w:name="_Toc24394907"/>
      <w:bookmarkStart w:id="221" w:name="_Toc2160495"/>
      <w:bookmarkStart w:id="222" w:name="_Toc24397494"/>
      <w:r>
        <w:rPr>
          <w:rFonts w:hint="eastAsia"/>
        </w:rPr>
        <w:t>污染治理技术</w:t>
      </w:r>
      <w:r>
        <w:t xml:space="preserve">  </w:t>
      </w:r>
      <w:r>
        <w:rPr>
          <w:rFonts w:hint="eastAsia"/>
        </w:rPr>
        <w:t>pollution</w:t>
      </w:r>
      <w:r>
        <w:t xml:space="preserve"> </w:t>
      </w:r>
      <w:r>
        <w:rPr>
          <w:rFonts w:hint="eastAsia"/>
        </w:rPr>
        <w:t>t</w:t>
      </w:r>
      <w:r>
        <w:t>reatment technology</w:t>
      </w:r>
    </w:p>
    <w:p w14:paraId="194D5390">
      <w:pPr>
        <w:widowControl/>
        <w:autoSpaceDE w:val="0"/>
        <w:autoSpaceDN w:val="0"/>
        <w:spacing w:line="360" w:lineRule="exact"/>
        <w:ind w:firstLine="420" w:firstLineChars="200"/>
        <w:rPr>
          <w:rFonts w:ascii="Times New Roman" w:hAnsi="Times New Roman"/>
        </w:rPr>
      </w:pPr>
      <w:r>
        <w:rPr>
          <w:rFonts w:hint="eastAsia" w:ascii="Times New Roman" w:hAnsi="Times New Roman"/>
        </w:rPr>
        <w:t>在污染物产生后，为了消除或者降低对环境的影响而采用的处理技术。</w:t>
      </w:r>
    </w:p>
    <w:p w14:paraId="0CE6CCF7">
      <w:pPr>
        <w:pStyle w:val="105"/>
        <w:spacing w:beforeLines="0" w:afterLines="0" w:line="360" w:lineRule="exact"/>
        <w:ind w:left="142"/>
        <w:rPr>
          <w:rFonts w:ascii="Times New Roman" w:eastAsia="宋体"/>
        </w:rPr>
      </w:pPr>
      <w:bookmarkStart w:id="223" w:name="_Toc149654136"/>
      <w:bookmarkEnd w:id="223"/>
    </w:p>
    <w:bookmarkEnd w:id="211"/>
    <w:bookmarkEnd w:id="212"/>
    <w:bookmarkEnd w:id="213"/>
    <w:bookmarkEnd w:id="214"/>
    <w:bookmarkEnd w:id="215"/>
    <w:bookmarkEnd w:id="216"/>
    <w:bookmarkEnd w:id="217"/>
    <w:bookmarkEnd w:id="218"/>
    <w:bookmarkEnd w:id="219"/>
    <w:bookmarkEnd w:id="220"/>
    <w:bookmarkEnd w:id="221"/>
    <w:bookmarkEnd w:id="222"/>
    <w:p w14:paraId="1FD70C8A">
      <w:pPr>
        <w:pStyle w:val="234"/>
        <w:numPr>
          <w:ilvl w:val="0"/>
          <w:numId w:val="0"/>
        </w:numPr>
        <w:ind w:firstLine="420" w:firstLineChars="200"/>
      </w:pPr>
      <w:r>
        <w:rPr>
          <w:rFonts w:hint="eastAsia"/>
        </w:rPr>
        <w:t>环境管理措施</w:t>
      </w:r>
      <w:r>
        <w:t xml:space="preserve">  </w:t>
      </w:r>
      <w:r>
        <w:rPr>
          <w:rFonts w:hint="eastAsia"/>
        </w:rPr>
        <w:t>e</w:t>
      </w:r>
      <w:r>
        <w:t>nvironmental management technology</w:t>
      </w:r>
    </w:p>
    <w:p w14:paraId="1808BE83">
      <w:pPr>
        <w:widowControl/>
        <w:autoSpaceDE w:val="0"/>
        <w:autoSpaceDN w:val="0"/>
        <w:spacing w:line="360" w:lineRule="exact"/>
        <w:ind w:firstLine="420" w:firstLineChars="200"/>
        <w:rPr>
          <w:rFonts w:ascii="Times New Roman" w:hAnsi="Times New Roman"/>
        </w:rPr>
      </w:pPr>
      <w:r>
        <w:rPr>
          <w:rFonts w:hint="eastAsia" w:ascii="Times New Roman" w:hAnsi="Times New Roman"/>
        </w:rPr>
        <w:t>企事业单位内，为实现污染物有效预防和控制而采取的管理方法和措施。</w:t>
      </w:r>
    </w:p>
    <w:p w14:paraId="38A7A1E5">
      <w:pPr>
        <w:pStyle w:val="105"/>
        <w:spacing w:beforeLines="0" w:afterLines="0" w:line="360" w:lineRule="exact"/>
        <w:ind w:left="142"/>
        <w:rPr>
          <w:rFonts w:ascii="Times New Roman" w:eastAsia="宋体"/>
        </w:rPr>
      </w:pPr>
      <w:bookmarkStart w:id="224" w:name="_Toc149654137"/>
      <w:bookmarkEnd w:id="224"/>
    </w:p>
    <w:p w14:paraId="191D5B20">
      <w:pPr>
        <w:pStyle w:val="234"/>
        <w:numPr>
          <w:ilvl w:val="0"/>
          <w:numId w:val="0"/>
        </w:numPr>
        <w:ind w:firstLine="420" w:firstLineChars="200"/>
        <w:rPr>
          <w:szCs w:val="21"/>
        </w:rPr>
      </w:pPr>
      <w:bookmarkStart w:id="225" w:name="_Toc48918473"/>
      <w:bookmarkStart w:id="226" w:name="_Toc48918623"/>
      <w:r>
        <w:rPr>
          <w:rFonts w:hint="eastAsia" w:ascii="黑体" w:hAnsi="黑体" w:cs="黑体"/>
          <w:szCs w:val="21"/>
        </w:rPr>
        <w:t xml:space="preserve">高效空气过滤器  </w:t>
      </w:r>
      <w:r>
        <w:rPr>
          <w:szCs w:val="21"/>
        </w:rPr>
        <w:t>high efficiency particulate air filter</w:t>
      </w:r>
      <w:bookmarkEnd w:id="225"/>
      <w:bookmarkEnd w:id="226"/>
      <w:r>
        <w:rPr>
          <w:szCs w:val="21"/>
        </w:rPr>
        <w:t>; HEPA</w:t>
      </w:r>
    </w:p>
    <w:p w14:paraId="163DA315">
      <w:pPr>
        <w:snapToGrid w:val="0"/>
        <w:spacing w:line="240" w:lineRule="auto"/>
        <w:ind w:firstLine="420" w:firstLineChars="200"/>
        <w:rPr>
          <w:rFonts w:ascii="Times New Roman" w:hAnsi="Times New Roman" w:eastAsia="宋体e眠副浡渀."/>
        </w:rPr>
      </w:pPr>
      <w:r>
        <w:rPr>
          <w:rFonts w:ascii="Times New Roman" w:hAnsi="Times New Roman"/>
        </w:rPr>
        <w:t>用于空气过滤其使用</w:t>
      </w:r>
      <w:r>
        <w:rPr>
          <w:rFonts w:hint="eastAsia" w:ascii="Times New Roman" w:hAnsi="Times New Roman"/>
        </w:rPr>
        <w:t>G</w:t>
      </w:r>
      <w:r>
        <w:rPr>
          <w:rFonts w:ascii="Times New Roman" w:hAnsi="Times New Roman"/>
        </w:rPr>
        <w:t>B/T 6165规定的计数法进行试验</w:t>
      </w:r>
      <w:r>
        <w:rPr>
          <w:rFonts w:hint="eastAsia" w:ascii="Times New Roman" w:hAnsi="Times New Roman"/>
        </w:rPr>
        <w:t>，</w:t>
      </w:r>
      <w:r>
        <w:rPr>
          <w:rFonts w:ascii="Times New Roman" w:hAnsi="Times New Roman"/>
        </w:rPr>
        <w:t>额定风量下未经消静电处理时的过滤效率及经消静电处理后的过滤效率均不低于</w:t>
      </w:r>
      <w:r>
        <w:rPr>
          <w:rFonts w:hint="eastAsia" w:ascii="Times New Roman" w:hAnsi="Times New Roman"/>
        </w:rPr>
        <w:t>9</w:t>
      </w:r>
      <w:r>
        <w:rPr>
          <w:rFonts w:ascii="Times New Roman" w:hAnsi="Times New Roman"/>
        </w:rPr>
        <w:t>9.95</w:t>
      </w:r>
      <w:r>
        <w:rPr>
          <w:rFonts w:hint="eastAsia" w:ascii="Times New Roman" w:hAnsi="Times New Roman"/>
        </w:rPr>
        <w:t>%</w:t>
      </w:r>
      <w:r>
        <w:rPr>
          <w:rFonts w:ascii="Times New Roman" w:hAnsi="Times New Roman"/>
        </w:rPr>
        <w:t>的过滤器</w:t>
      </w:r>
      <w:r>
        <w:rPr>
          <w:rFonts w:hint="eastAsia" w:ascii="Times New Roman" w:hAnsi="Times New Roman" w:eastAsia="宋体e眠副浡渀."/>
        </w:rPr>
        <w:t>。</w:t>
      </w:r>
    </w:p>
    <w:p w14:paraId="79460C9D">
      <w:pPr>
        <w:pStyle w:val="105"/>
        <w:spacing w:beforeLines="0" w:afterLines="0" w:line="360" w:lineRule="exact"/>
        <w:ind w:left="142"/>
        <w:rPr>
          <w:rFonts w:ascii="Times New Roman" w:eastAsia="宋体"/>
        </w:rPr>
      </w:pPr>
      <w:bookmarkStart w:id="227" w:name="_Toc149654138"/>
      <w:bookmarkEnd w:id="227"/>
    </w:p>
    <w:p w14:paraId="0F5ED7C7">
      <w:pPr>
        <w:pStyle w:val="234"/>
        <w:numPr>
          <w:ilvl w:val="0"/>
          <w:numId w:val="0"/>
        </w:numPr>
        <w:spacing w:before="124" w:beforeLines="40" w:after="124" w:afterLines="40"/>
        <w:ind w:firstLine="420" w:firstLineChars="200"/>
        <w:contextualSpacing/>
        <w:rPr>
          <w:szCs w:val="22"/>
        </w:rPr>
      </w:pPr>
      <w:r>
        <w:rPr>
          <w:szCs w:val="22"/>
        </w:rPr>
        <w:t>蓄热燃烧装置  regenerative thermal oxidizer</w:t>
      </w:r>
      <w:r>
        <w:rPr>
          <w:rFonts w:hint="eastAsia"/>
          <w:szCs w:val="22"/>
        </w:rPr>
        <w:t>（</w:t>
      </w:r>
      <w:r>
        <w:rPr>
          <w:szCs w:val="22"/>
        </w:rPr>
        <w:t>RTO</w:t>
      </w:r>
      <w:r>
        <w:rPr>
          <w:rFonts w:hint="eastAsia"/>
          <w:szCs w:val="22"/>
        </w:rPr>
        <w:t>）</w:t>
      </w:r>
    </w:p>
    <w:p w14:paraId="4488A0C5">
      <w:pPr>
        <w:widowControl/>
        <w:autoSpaceDE w:val="0"/>
        <w:autoSpaceDN w:val="0"/>
        <w:spacing w:line="360" w:lineRule="exact"/>
        <w:ind w:firstLine="420" w:firstLineChars="200"/>
        <w:rPr>
          <w:rFonts w:ascii="Times New Roman" w:hAnsi="Times New Roman"/>
        </w:rPr>
      </w:pPr>
      <w:r>
        <w:rPr>
          <w:rFonts w:ascii="Times New Roman" w:hAnsi="Times New Roman"/>
        </w:rPr>
        <w:t>将工业有机废气进行燃烧净化处理，并利用蓄热体对待处理废气进行换热升温、对净化后排气进行换热降温的装置，由换向设备、蓄热室、燃烧室和控制系统等组成。</w:t>
      </w:r>
    </w:p>
    <w:p w14:paraId="20877671">
      <w:pPr>
        <w:pStyle w:val="104"/>
        <w:spacing w:before="312" w:after="312"/>
      </w:pPr>
      <w:bookmarkStart w:id="228" w:name="_Toc149492630"/>
      <w:bookmarkEnd w:id="228"/>
      <w:bookmarkStart w:id="229" w:name="_Toc149492626"/>
      <w:bookmarkEnd w:id="229"/>
      <w:bookmarkStart w:id="230" w:name="_Toc149492627"/>
      <w:bookmarkEnd w:id="230"/>
      <w:bookmarkStart w:id="231" w:name="_Toc149492629"/>
      <w:bookmarkEnd w:id="231"/>
      <w:bookmarkStart w:id="232" w:name="_Toc149492628"/>
      <w:bookmarkEnd w:id="232"/>
      <w:bookmarkStart w:id="233" w:name="_Toc149492625"/>
      <w:bookmarkEnd w:id="233"/>
      <w:bookmarkStart w:id="234" w:name="_Toc100589076"/>
      <w:bookmarkStart w:id="235" w:name="_Toc149654139"/>
      <w:bookmarkStart w:id="236" w:name="_Toc54368469"/>
      <w:bookmarkStart w:id="237" w:name="_Toc149492633"/>
      <w:r>
        <w:rPr>
          <w:rFonts w:hint="eastAsia"/>
        </w:rPr>
        <w:t>污染预防技术</w:t>
      </w:r>
      <w:bookmarkEnd w:id="234"/>
      <w:bookmarkEnd w:id="235"/>
    </w:p>
    <w:bookmarkEnd w:id="236"/>
    <w:bookmarkEnd w:id="237"/>
    <w:p w14:paraId="667EA722">
      <w:pPr>
        <w:pStyle w:val="105"/>
        <w:spacing w:beforeLines="0" w:afterLines="0" w:line="360" w:lineRule="exact"/>
        <w:ind w:left="142"/>
        <w:rPr>
          <w:rFonts w:ascii="Times New Roman" w:eastAsia="宋体"/>
        </w:rPr>
      </w:pPr>
      <w:bookmarkStart w:id="238" w:name="_Toc149654140"/>
      <w:bookmarkStart w:id="239" w:name="_Toc36447085"/>
      <w:bookmarkStart w:id="240" w:name="_Toc48400771"/>
      <w:bookmarkStart w:id="241" w:name="_Toc149492634"/>
      <w:bookmarkStart w:id="242" w:name="_Toc48290714"/>
      <w:r>
        <w:rPr>
          <w:rFonts w:hint="eastAsia" w:ascii="Times New Roman" w:eastAsia="宋体"/>
        </w:rPr>
        <w:t>一般原则</w:t>
      </w:r>
      <w:bookmarkEnd w:id="238"/>
    </w:p>
    <w:p w14:paraId="6E302ABC">
      <w:pPr>
        <w:pStyle w:val="165"/>
      </w:pPr>
      <w:r>
        <w:rPr>
          <w:rFonts w:hint="eastAsia" w:ascii="Calibri" w:hAnsi="Calibri"/>
          <w:kern w:val="2"/>
          <w:szCs w:val="21"/>
        </w:rPr>
        <w:t>制药工业应采用无毒、无害或低毒、低害的原辅料替代高毒和难以去除高毒的原辅料，以减少废气的产生量或降低废气的特征组成及毒性</w:t>
      </w:r>
      <w:r>
        <w:rPr>
          <w:rFonts w:hint="eastAsia" w:ascii="Times New Roman"/>
        </w:rPr>
        <w:t>。</w:t>
      </w:r>
    </w:p>
    <w:p w14:paraId="5520CECD">
      <w:pPr>
        <w:pStyle w:val="165"/>
      </w:pPr>
      <w:r>
        <w:rPr>
          <w:rFonts w:hint="eastAsia" w:ascii="Times New Roman"/>
        </w:rPr>
        <w:t>制药工业</w:t>
      </w:r>
      <w:r>
        <w:rPr>
          <w:rFonts w:hint="eastAsia" w:ascii="Calibri" w:hAnsi="Calibri"/>
          <w:kern w:val="2"/>
          <w:szCs w:val="21"/>
        </w:rPr>
        <w:t>应参考附录</w:t>
      </w:r>
      <w:r>
        <w:rPr>
          <w:rFonts w:ascii="Calibri" w:hAnsi="Calibri"/>
          <w:kern w:val="2"/>
          <w:szCs w:val="21"/>
        </w:rPr>
        <w:t>A</w:t>
      </w:r>
      <w:r>
        <w:rPr>
          <w:rFonts w:hint="eastAsia" w:ascii="Calibri" w:hAnsi="Calibri"/>
          <w:kern w:val="2"/>
          <w:szCs w:val="21"/>
        </w:rPr>
        <w:t>，</w:t>
      </w:r>
      <w:r>
        <w:rPr>
          <w:rFonts w:hint="eastAsia" w:ascii="Times New Roman"/>
        </w:rPr>
        <w:t>采用低反应活性的原料代替高反应活性的原辅料，以减少废气排放对臭氧和P</w:t>
      </w:r>
      <w:r>
        <w:rPr>
          <w:rFonts w:ascii="Times New Roman"/>
        </w:rPr>
        <w:t>M</w:t>
      </w:r>
      <w:r>
        <w:rPr>
          <w:rFonts w:ascii="Times New Roman"/>
          <w:vertAlign w:val="subscript"/>
        </w:rPr>
        <w:t>2.5</w:t>
      </w:r>
      <w:r>
        <w:rPr>
          <w:rFonts w:hint="eastAsia" w:ascii="Times New Roman"/>
        </w:rPr>
        <w:t>的贡献。</w:t>
      </w:r>
    </w:p>
    <w:p w14:paraId="5AEAFF25">
      <w:pPr>
        <w:pStyle w:val="165"/>
      </w:pPr>
      <w:r>
        <w:rPr>
          <w:rFonts w:hint="eastAsia" w:ascii="Times New Roman"/>
        </w:rPr>
        <w:t>制药工业</w:t>
      </w:r>
      <w:r>
        <w:rPr>
          <w:rFonts w:hint="eastAsia" w:ascii="Calibri" w:hAnsi="Calibri"/>
          <w:kern w:val="2"/>
          <w:szCs w:val="21"/>
        </w:rPr>
        <w:t>应参考附录</w:t>
      </w:r>
      <w:r>
        <w:rPr>
          <w:rFonts w:ascii="Calibri" w:hAnsi="Calibri"/>
          <w:kern w:val="2"/>
          <w:szCs w:val="21"/>
        </w:rPr>
        <w:t>A</w:t>
      </w:r>
      <w:r>
        <w:rPr>
          <w:rFonts w:hint="eastAsia" w:ascii="Calibri" w:hAnsi="Calibri"/>
          <w:kern w:val="2"/>
          <w:szCs w:val="21"/>
        </w:rPr>
        <w:t>，</w:t>
      </w:r>
      <w:r>
        <w:rPr>
          <w:rFonts w:hint="eastAsia" w:ascii="Times New Roman"/>
        </w:rPr>
        <w:t>采用高嗅阈值的原辅料代替低嗅阈值的原辅料，以减少废气排放对周边产生的恶臭（异味）影响。</w:t>
      </w:r>
    </w:p>
    <w:p w14:paraId="0867F10D">
      <w:pPr>
        <w:pStyle w:val="165"/>
      </w:pPr>
      <w:r>
        <w:rPr>
          <w:rFonts w:hint="eastAsia"/>
        </w:rPr>
        <w:t>鼓励制药工业采用低V</w:t>
      </w:r>
      <w:r>
        <w:t>OCs</w:t>
      </w:r>
      <w:r>
        <w:rPr>
          <w:rFonts w:hint="eastAsia"/>
        </w:rPr>
        <w:t>含量的原辅材料和先进的工艺设备，从源头减少或者削减V</w:t>
      </w:r>
      <w:r>
        <w:t>OCs</w:t>
      </w:r>
      <w:r>
        <w:rPr>
          <w:rFonts w:hint="eastAsia"/>
        </w:rPr>
        <w:t>无组织排放。</w:t>
      </w:r>
    </w:p>
    <w:p w14:paraId="2AC29064">
      <w:pPr>
        <w:pStyle w:val="165"/>
      </w:pPr>
      <w:r>
        <w:rPr>
          <w:rFonts w:hint="eastAsia"/>
        </w:rPr>
        <w:t>制药工业企业应优先采用的工艺设备和运行方式，减少大气污染物的排放</w:t>
      </w:r>
    </w:p>
    <w:p w14:paraId="23DEAF2D">
      <w:pPr>
        <w:pStyle w:val="105"/>
        <w:spacing w:beforeLines="0" w:afterLines="0" w:line="360" w:lineRule="exact"/>
        <w:ind w:left="142"/>
        <w:rPr>
          <w:rFonts w:ascii="Times New Roman" w:eastAsia="宋体"/>
        </w:rPr>
      </w:pPr>
      <w:bookmarkStart w:id="243" w:name="_Toc149654141"/>
      <w:r>
        <w:rPr>
          <w:rFonts w:hint="eastAsia" w:ascii="Times New Roman" w:eastAsia="宋体"/>
        </w:rPr>
        <w:t>原辅材料替代技术</w:t>
      </w:r>
      <w:bookmarkEnd w:id="243"/>
    </w:p>
    <w:p w14:paraId="35E5CC22">
      <w:pPr>
        <w:pStyle w:val="165"/>
      </w:pPr>
      <w:r>
        <w:rPr>
          <w:rFonts w:hint="eastAsia"/>
        </w:rPr>
        <w:t>化学合成类制药：采用水性洗涤液取代其他溶剂、溶液；选择毒性低的或活性保持时间长的、不易流失的催化剂等；使用未经暴露（氧化、蒸发）和无杂质与未受到污染的原料；设备清洗时选用不腐蚀设备且本身易被清除的清洁剂等。</w:t>
      </w:r>
    </w:p>
    <w:p w14:paraId="20CDDD9C">
      <w:pPr>
        <w:pStyle w:val="165"/>
      </w:pPr>
      <w:r>
        <w:rPr>
          <w:rFonts w:hint="eastAsia"/>
        </w:rPr>
        <w:t>发酵类制药：维生素</w:t>
      </w:r>
      <w:r>
        <w:t>C</w:t>
      </w:r>
      <w:r>
        <w:rPr>
          <w:rFonts w:hint="eastAsia"/>
        </w:rPr>
        <w:t>生产结晶过程可采用水提取替代甲醇提取，维生素</w:t>
      </w:r>
      <w:r>
        <w:t>B12</w:t>
      </w:r>
      <w:r>
        <w:rPr>
          <w:rFonts w:hint="eastAsia"/>
        </w:rPr>
        <w:t>生产可采用硫氰酸盐替代氰化物；</w:t>
      </w:r>
    </w:p>
    <w:p w14:paraId="24C50975">
      <w:pPr>
        <w:pStyle w:val="165"/>
      </w:pPr>
      <w:r>
        <w:rPr>
          <w:rFonts w:hint="eastAsia"/>
        </w:rPr>
        <w:t>提取类制药：使用水提方式代替醇提技术。</w:t>
      </w:r>
    </w:p>
    <w:p w14:paraId="68E9FDA5">
      <w:pPr>
        <w:pStyle w:val="165"/>
      </w:pPr>
      <w:r>
        <w:rPr>
          <w:rFonts w:hint="eastAsia"/>
          <w:szCs w:val="21"/>
        </w:rPr>
        <w:t>混装制剂类制药：制药辅料使用可采用水代替乙醇；宜使用无毒或低毒的环境友好型溶剂，尽量减少卤代烃和芳香烃的使用。</w:t>
      </w:r>
      <w:r>
        <w:rPr>
          <w:rFonts w:hint="eastAsia" w:cs="宋体"/>
        </w:rPr>
        <w:t>使用非卤代烃和非芳香烃类溶剂，生产水基、乳液、颗粒产品。</w:t>
      </w:r>
    </w:p>
    <w:p w14:paraId="564CD52D">
      <w:pPr>
        <w:pStyle w:val="105"/>
        <w:spacing w:beforeLines="0" w:afterLines="0" w:line="360" w:lineRule="exact"/>
        <w:ind w:left="142"/>
        <w:rPr>
          <w:rFonts w:ascii="Times New Roman" w:eastAsia="宋体"/>
        </w:rPr>
      </w:pPr>
      <w:bookmarkStart w:id="244" w:name="_Toc149654142"/>
      <w:r>
        <w:rPr>
          <w:rFonts w:hint="eastAsia" w:ascii="Times New Roman" w:eastAsia="宋体"/>
        </w:rPr>
        <w:t>设备或工艺革新技术</w:t>
      </w:r>
      <w:bookmarkEnd w:id="244"/>
    </w:p>
    <w:p w14:paraId="1AEE3385">
      <w:pPr>
        <w:pStyle w:val="165"/>
        <w:rPr>
          <w:rFonts w:cs="宋体"/>
        </w:rPr>
      </w:pPr>
      <w:r>
        <w:rPr>
          <w:rFonts w:hint="eastAsia" w:cs="宋体"/>
        </w:rPr>
        <w:t>发酵类制药：推行</w:t>
      </w:r>
      <w:r>
        <w:rPr>
          <w:rFonts w:cs="宋体"/>
        </w:rPr>
        <w:t>酶法合成、半合成抗生素工艺、新型结晶、系统控制等技术开发与应用、移动式连续离子交换色谱分离技术、无机陶瓷组合膜分离、纳滤分离浓缩技术等</w:t>
      </w:r>
      <w:r>
        <w:rPr>
          <w:rFonts w:hint="eastAsia" w:cs="宋体"/>
        </w:rPr>
        <w:t>。</w:t>
      </w:r>
    </w:p>
    <w:p w14:paraId="15974C2E">
      <w:pPr>
        <w:pStyle w:val="165"/>
        <w:rPr>
          <w:rFonts w:cs="宋体"/>
        </w:rPr>
      </w:pPr>
      <w:r>
        <w:rPr>
          <w:rFonts w:hint="eastAsia" w:cs="宋体"/>
        </w:rPr>
        <w:t>化学合成类制药：</w:t>
      </w:r>
      <w:r>
        <w:rPr>
          <w:rFonts w:hint="eastAsia" w:hAnsi="宋体"/>
          <w:spacing w:val="4"/>
          <w:szCs w:val="24"/>
        </w:rPr>
        <w:t>采用空气接触氧化替代氧化剂氧化；</w:t>
      </w:r>
      <w:r>
        <w:rPr>
          <w:rFonts w:hint="eastAsia" w:cs="宋体"/>
        </w:rPr>
        <w:t>推行</w:t>
      </w:r>
      <w:r>
        <w:rPr>
          <w:rFonts w:cs="宋体"/>
        </w:rPr>
        <w:t>微通道反应、手性合成、酶促合成、连续反应、高效动态轴向压缩工业色谱技术、</w:t>
      </w:r>
      <w:r>
        <w:rPr>
          <w:rFonts w:hint="eastAsia" w:cs="宋体"/>
        </w:rPr>
        <w:t>溶剂气体低温</w:t>
      </w:r>
      <w:r>
        <w:rPr>
          <w:rFonts w:cs="宋体"/>
        </w:rPr>
        <w:t>冷凝回收技术、渗透汽化膜等技术</w:t>
      </w:r>
      <w:r>
        <w:rPr>
          <w:rFonts w:hint="eastAsia" w:cs="宋体"/>
        </w:rPr>
        <w:t>。</w:t>
      </w:r>
    </w:p>
    <w:p w14:paraId="1AF5C87C">
      <w:pPr>
        <w:pStyle w:val="165"/>
        <w:rPr>
          <w:rFonts w:cs="宋体"/>
        </w:rPr>
      </w:pPr>
      <w:r>
        <w:rPr>
          <w:rFonts w:hint="eastAsia" w:cs="宋体"/>
        </w:rPr>
        <w:t>提取类制药：推行</w:t>
      </w:r>
      <w:r>
        <w:rPr>
          <w:rFonts w:cs="宋体"/>
        </w:rPr>
        <w:t>高效提取纯化、超临界萃取、胰弹性酶和激肽原酶联产技术、肝素系列产品综合生产技术等</w:t>
      </w:r>
      <w:r>
        <w:rPr>
          <w:rFonts w:hint="eastAsia" w:cs="宋体"/>
        </w:rPr>
        <w:t>。</w:t>
      </w:r>
    </w:p>
    <w:p w14:paraId="08DBA20F">
      <w:pPr>
        <w:pStyle w:val="165"/>
        <w:rPr>
          <w:rFonts w:cs="宋体"/>
        </w:rPr>
      </w:pPr>
      <w:r>
        <w:rPr>
          <w:rFonts w:hint="eastAsia" w:cs="宋体"/>
        </w:rPr>
        <w:t>特色原料药和专利药的制备推行</w:t>
      </w:r>
      <w:r>
        <w:rPr>
          <w:rFonts w:cs="宋体"/>
        </w:rPr>
        <w:t>微通道反应、手性合成、</w:t>
      </w:r>
      <w:r>
        <w:rPr>
          <w:rFonts w:hint="eastAsia" w:cs="宋体"/>
        </w:rPr>
        <w:t>生物催化、</w:t>
      </w:r>
      <w:r>
        <w:rPr>
          <w:rFonts w:cs="宋体"/>
        </w:rPr>
        <w:t>酶促合成、移动式连续离子交换色谱分离、高效提取纯化、新型结晶、超临界萃取、系统控制等技术开发与应用、高效动态轴向压缩工业色谱技术、无机陶瓷组合膜分离、纳滤分离浓缩技术等</w:t>
      </w:r>
      <w:r>
        <w:rPr>
          <w:rFonts w:hint="eastAsia" w:cs="宋体"/>
        </w:rPr>
        <w:t>。</w:t>
      </w:r>
    </w:p>
    <w:p w14:paraId="7EE59D30">
      <w:pPr>
        <w:pStyle w:val="165"/>
        <w:rPr>
          <w:rFonts w:cs="宋体"/>
        </w:rPr>
      </w:pPr>
      <w:r>
        <w:rPr>
          <w:rFonts w:hint="eastAsia" w:cs="宋体"/>
        </w:rPr>
        <w:t>采用全自动密闭离心机、全密闭压滤罐、下卸料密闭离心机、吊袋式离心机、多功能一体式压滤机、高效版式压滤机、隔膜式压滤机、全密闭式压滤罐等；产污物料属性等原因造成采用上述固液分离设备时，对相关生产区域进行密闭隔离，将有机废气负压收集进行密闭隔离，将有机废气收集至V</w:t>
      </w:r>
      <w:r>
        <w:rPr>
          <w:rFonts w:cs="宋体"/>
        </w:rPr>
        <w:t>OCs</w:t>
      </w:r>
      <w:r>
        <w:rPr>
          <w:rFonts w:hint="eastAsia" w:cs="宋体"/>
        </w:rPr>
        <w:t>废气收集处理系统。</w:t>
      </w:r>
    </w:p>
    <w:p w14:paraId="73C9A1AE">
      <w:pPr>
        <w:pStyle w:val="165"/>
        <w:rPr>
          <w:rFonts w:cs="宋体"/>
        </w:rPr>
      </w:pPr>
      <w:r>
        <w:rPr>
          <w:rFonts w:hint="eastAsia" w:cs="宋体"/>
        </w:rPr>
        <w:t>常压带温反应釜配备冷凝或深度冷凝回流装置回收，减少反应过程中挥发性有机物料的损耗，不凝气体有效收集到V</w:t>
      </w:r>
      <w:r>
        <w:rPr>
          <w:rFonts w:cs="宋体"/>
        </w:rPr>
        <w:t>OCs</w:t>
      </w:r>
      <w:r>
        <w:rPr>
          <w:rFonts w:hint="eastAsia" w:cs="宋体"/>
        </w:rPr>
        <w:t>废气收集处理系统。</w:t>
      </w:r>
    </w:p>
    <w:p w14:paraId="1ACA7074">
      <w:pPr>
        <w:pStyle w:val="165"/>
        <w:rPr>
          <w:rFonts w:cs="宋体"/>
        </w:rPr>
      </w:pPr>
      <w:r>
        <w:rPr>
          <w:rFonts w:hint="eastAsia" w:cs="宋体"/>
        </w:rPr>
        <w:t>酶促、无溶剂技术: 适用于抗生素类等药物的生产，使用生物酶作为催化剂制药，减少原辅材料种类，提高原辅材料利用效率，减少有机化学品在运输、贮藏和使用过程中的</w:t>
      </w:r>
      <w:r>
        <w:rPr>
          <w:rFonts w:cs="宋体"/>
        </w:rPr>
        <w:t xml:space="preserve">VOCs </w:t>
      </w:r>
      <w:r>
        <w:rPr>
          <w:rFonts w:hint="eastAsia" w:cs="宋体"/>
        </w:rPr>
        <w:t>产排.</w:t>
      </w:r>
    </w:p>
    <w:p w14:paraId="2C74A4FD">
      <w:pPr>
        <w:pStyle w:val="165"/>
        <w:rPr>
          <w:rFonts w:cs="宋体"/>
        </w:rPr>
      </w:pPr>
      <w:r>
        <w:rPr>
          <w:rFonts w:hint="eastAsia"/>
          <w:szCs w:val="21"/>
        </w:rPr>
        <w:t>酶催化技术: 该技术适用于</w:t>
      </w:r>
      <w:r>
        <w:rPr>
          <w:rFonts w:ascii="Times New Roman"/>
          <w:szCs w:val="21"/>
        </w:rPr>
        <w:t>6-</w:t>
      </w:r>
      <w:r>
        <w:rPr>
          <w:rFonts w:hint="eastAsia"/>
          <w:szCs w:val="21"/>
        </w:rPr>
        <w:t>氨基青霉烷酸（</w:t>
      </w:r>
      <w:r>
        <w:rPr>
          <w:rFonts w:ascii="Times New Roman"/>
          <w:szCs w:val="21"/>
        </w:rPr>
        <w:t>6-APA</w:t>
      </w:r>
      <w:r>
        <w:rPr>
          <w:rFonts w:hint="eastAsia"/>
          <w:szCs w:val="21"/>
        </w:rPr>
        <w:t>）、</w:t>
      </w:r>
      <w:r>
        <w:rPr>
          <w:rFonts w:ascii="Times New Roman"/>
          <w:szCs w:val="21"/>
        </w:rPr>
        <w:t>7-</w:t>
      </w:r>
      <w:r>
        <w:rPr>
          <w:rFonts w:hint="eastAsia"/>
          <w:szCs w:val="21"/>
        </w:rPr>
        <w:t>氨基去乙酰氧基头孢烷酸（</w:t>
      </w:r>
      <w:r>
        <w:rPr>
          <w:rFonts w:ascii="Times New Roman"/>
          <w:szCs w:val="21"/>
        </w:rPr>
        <w:t>7-ADCA</w:t>
      </w:r>
      <w:r>
        <w:rPr>
          <w:rFonts w:hint="eastAsia"/>
          <w:szCs w:val="21"/>
        </w:rPr>
        <w:t>）、</w:t>
      </w:r>
      <w:r>
        <w:rPr>
          <w:rFonts w:ascii="Times New Roman"/>
          <w:szCs w:val="21"/>
        </w:rPr>
        <w:t>7-</w:t>
      </w:r>
      <w:r>
        <w:rPr>
          <w:rFonts w:hint="eastAsia"/>
          <w:szCs w:val="21"/>
        </w:rPr>
        <w:t>氨基头孢烷酸（</w:t>
      </w:r>
      <w:r>
        <w:rPr>
          <w:rFonts w:ascii="Times New Roman"/>
          <w:szCs w:val="21"/>
        </w:rPr>
        <w:t>7-ACA</w:t>
      </w:r>
      <w:r>
        <w:rPr>
          <w:rFonts w:hint="eastAsia"/>
          <w:szCs w:val="21"/>
        </w:rPr>
        <w:t>）、脱乙酰</w:t>
      </w:r>
      <w:r>
        <w:rPr>
          <w:rFonts w:ascii="Times New Roman"/>
          <w:szCs w:val="21"/>
        </w:rPr>
        <w:t>-7-</w:t>
      </w:r>
      <w:r>
        <w:rPr>
          <w:rFonts w:hint="eastAsia"/>
          <w:szCs w:val="21"/>
        </w:rPr>
        <w:t>氨基头孢烷酸（</w:t>
      </w:r>
      <w:r>
        <w:rPr>
          <w:rFonts w:ascii="Times New Roman"/>
          <w:szCs w:val="21"/>
        </w:rPr>
        <w:t>D-7ACA</w:t>
      </w:r>
      <w:r>
        <w:rPr>
          <w:rFonts w:hint="eastAsia"/>
          <w:szCs w:val="21"/>
        </w:rPr>
        <w:t>）、头孢西丁酸、头孢氨苄、头孢拉定、阿莫西林、头孢克洛、头孢丙烯、头孢羟氨苄等原料药产品及医药中间体生产的反应合成工序。酶催化技术替代化学法技术，原材料消耗少、毒性低，产生污染小。酶法制备头孢氨苄可避免使用二氯甲烷、丙酮和</w:t>
      </w:r>
      <w:r>
        <w:rPr>
          <w:rFonts w:ascii="Times New Roman"/>
          <w:szCs w:val="21"/>
        </w:rPr>
        <w:t>2-</w:t>
      </w:r>
      <w:r>
        <w:rPr>
          <w:rFonts w:hint="eastAsia"/>
          <w:szCs w:val="21"/>
        </w:rPr>
        <w:t>萘酚等有机溶媒；相同规模的</w:t>
      </w:r>
      <w:r>
        <w:rPr>
          <w:rFonts w:ascii="Times New Roman"/>
          <w:szCs w:val="21"/>
        </w:rPr>
        <w:t>6-APA</w:t>
      </w:r>
      <w:r>
        <w:rPr>
          <w:rFonts w:hint="eastAsia"/>
          <w:szCs w:val="21"/>
        </w:rPr>
        <w:t>酶法生产可分别减少约</w:t>
      </w:r>
      <w:r>
        <w:rPr>
          <w:rFonts w:ascii="Times New Roman"/>
          <w:szCs w:val="21"/>
        </w:rPr>
        <w:t>43% COD</w:t>
      </w:r>
      <w:r>
        <w:rPr>
          <w:rFonts w:ascii="Times New Roman"/>
          <w:sz w:val="14"/>
          <w:szCs w:val="14"/>
        </w:rPr>
        <w:t>Cr</w:t>
      </w:r>
      <w:r>
        <w:rPr>
          <w:rFonts w:hint="eastAsia"/>
          <w:szCs w:val="21"/>
        </w:rPr>
        <w:t>、</w:t>
      </w:r>
      <w:r>
        <w:rPr>
          <w:rFonts w:ascii="Times New Roman"/>
          <w:szCs w:val="21"/>
        </w:rPr>
        <w:t>9%</w:t>
      </w:r>
      <w:r>
        <w:rPr>
          <w:szCs w:val="21"/>
        </w:rPr>
        <w:t>NH3-N</w:t>
      </w:r>
      <w:r>
        <w:rPr>
          <w:rFonts w:hint="eastAsia"/>
          <w:szCs w:val="21"/>
        </w:rPr>
        <w:t>产生量，无总磷产生，减少硫酸雾挥发，原料消耗量降低约</w:t>
      </w:r>
      <w:r>
        <w:rPr>
          <w:rFonts w:ascii="Times New Roman"/>
          <w:szCs w:val="21"/>
        </w:rPr>
        <w:t>65%.</w:t>
      </w:r>
    </w:p>
    <w:p w14:paraId="7AA44762">
      <w:pPr>
        <w:pStyle w:val="165"/>
        <w:rPr>
          <w:rFonts w:cs="宋体"/>
        </w:rPr>
      </w:pPr>
      <w:r>
        <w:rPr>
          <w:rFonts w:hint="eastAsia"/>
          <w:szCs w:val="21"/>
        </w:rPr>
        <w:t>发酵液直通工艺: 该技术适用于以发酵液为原料经萃取、反萃、结晶、裂解等工序制成</w:t>
      </w:r>
      <w:r>
        <w:rPr>
          <w:rFonts w:ascii="Times New Roman"/>
          <w:szCs w:val="21"/>
        </w:rPr>
        <w:t>7-</w:t>
      </w:r>
      <w:r>
        <w:rPr>
          <w:rFonts w:hint="eastAsia"/>
          <w:szCs w:val="21"/>
        </w:rPr>
        <w:t>氨基去乙酰氧基头孢烷酸（</w:t>
      </w:r>
      <w:r>
        <w:rPr>
          <w:rFonts w:ascii="Times New Roman"/>
          <w:szCs w:val="21"/>
        </w:rPr>
        <w:t>7-ADCA</w:t>
      </w:r>
      <w:r>
        <w:rPr>
          <w:rFonts w:hint="eastAsia"/>
          <w:szCs w:val="21"/>
        </w:rPr>
        <w:t>）、</w:t>
      </w:r>
      <w:r>
        <w:rPr>
          <w:rFonts w:ascii="Times New Roman"/>
          <w:szCs w:val="21"/>
        </w:rPr>
        <w:t>6-</w:t>
      </w:r>
      <w:r>
        <w:rPr>
          <w:rFonts w:hint="eastAsia"/>
          <w:szCs w:val="21"/>
        </w:rPr>
        <w:t>氨基青霉烷酸（</w:t>
      </w:r>
      <w:r>
        <w:rPr>
          <w:rFonts w:ascii="Times New Roman"/>
          <w:szCs w:val="21"/>
        </w:rPr>
        <w:t>6-APA</w:t>
      </w:r>
      <w:r>
        <w:rPr>
          <w:rFonts w:hint="eastAsia"/>
          <w:szCs w:val="21"/>
        </w:rPr>
        <w:t>）等药品的生产工艺，是以发酵液为原料直接进行后续加工，可省去提取、反萃、结晶、溶媒回收等多个工序，物耗、能耗大幅降低。应用发酵液直通工艺生产</w:t>
      </w:r>
      <w:r>
        <w:rPr>
          <w:rFonts w:ascii="Times New Roman"/>
          <w:szCs w:val="21"/>
        </w:rPr>
        <w:t>7-</w:t>
      </w:r>
      <w:r>
        <w:rPr>
          <w:rFonts w:hint="eastAsia"/>
          <w:szCs w:val="21"/>
        </w:rPr>
        <w:t>氨基去乙酰氧基头孢烷酸（</w:t>
      </w:r>
      <w:r>
        <w:rPr>
          <w:rFonts w:ascii="Times New Roman"/>
          <w:szCs w:val="21"/>
        </w:rPr>
        <w:t>7-ADCA</w:t>
      </w:r>
      <w:r>
        <w:rPr>
          <w:rFonts w:hint="eastAsia"/>
          <w:szCs w:val="21"/>
        </w:rPr>
        <w:t>），可省去原工艺中丁酯提取、共沸结晶等高能耗、高污染的生产工序，能耗降低约</w:t>
      </w:r>
      <w:r>
        <w:rPr>
          <w:rFonts w:ascii="Times New Roman"/>
          <w:szCs w:val="21"/>
        </w:rPr>
        <w:t>30%</w:t>
      </w:r>
      <w:r>
        <w:rPr>
          <w:rFonts w:hint="eastAsia"/>
          <w:szCs w:val="21"/>
        </w:rPr>
        <w:t>，</w:t>
      </w:r>
      <w:r>
        <w:rPr>
          <w:rFonts w:ascii="Times New Roman"/>
          <w:szCs w:val="21"/>
        </w:rPr>
        <w:t>COD</w:t>
      </w:r>
      <w:r>
        <w:rPr>
          <w:rFonts w:ascii="Times New Roman"/>
          <w:sz w:val="14"/>
          <w:szCs w:val="14"/>
        </w:rPr>
        <w:t>Cr</w:t>
      </w:r>
      <w:r>
        <w:rPr>
          <w:rFonts w:hint="eastAsia"/>
          <w:szCs w:val="21"/>
        </w:rPr>
        <w:t>产生量减少约</w:t>
      </w:r>
      <w:r>
        <w:rPr>
          <w:rFonts w:ascii="Times New Roman"/>
          <w:szCs w:val="21"/>
        </w:rPr>
        <w:t>27%</w:t>
      </w:r>
      <w:r>
        <w:rPr>
          <w:rFonts w:hint="eastAsia"/>
          <w:szCs w:val="21"/>
        </w:rPr>
        <w:t>，产品收率提高</w:t>
      </w:r>
      <w:r>
        <w:rPr>
          <w:rFonts w:ascii="Times New Roman"/>
          <w:szCs w:val="21"/>
        </w:rPr>
        <w:t>1.3%</w:t>
      </w:r>
      <w:r>
        <w:rPr>
          <w:rFonts w:hint="eastAsia"/>
          <w:szCs w:val="21"/>
        </w:rPr>
        <w:t>，制造成本下降</w:t>
      </w:r>
      <w:r>
        <w:rPr>
          <w:rFonts w:ascii="Times New Roman"/>
          <w:szCs w:val="21"/>
        </w:rPr>
        <w:t>8%</w:t>
      </w:r>
      <w:r>
        <w:rPr>
          <w:rFonts w:hint="eastAsia"/>
          <w:szCs w:val="21"/>
        </w:rPr>
        <w:t>。</w:t>
      </w:r>
    </w:p>
    <w:p w14:paraId="1897129B">
      <w:pPr>
        <w:pStyle w:val="165"/>
        <w:rPr>
          <w:rFonts w:cs="宋体"/>
        </w:rPr>
      </w:pPr>
      <w:r>
        <w:rPr>
          <w:rFonts w:hint="eastAsia"/>
          <w:szCs w:val="21"/>
        </w:rPr>
        <w:t>微通道反应技术：该技术适用于原料药产品及医药中间体生产的反应合成工序，采用微通道连续流的管道式反应器，取代合成的批次（间歇）反应为连续性操作，具有高效的传质传热效率，缩短反应时间。应用微通道反应技术生产美罗培南药物，物料用量减少</w:t>
      </w:r>
      <w:r>
        <w:rPr>
          <w:rFonts w:ascii="Times New Roman"/>
          <w:szCs w:val="21"/>
        </w:rPr>
        <w:t>40%</w:t>
      </w:r>
      <w:r>
        <w:rPr>
          <w:rFonts w:hint="eastAsia"/>
          <w:szCs w:val="21"/>
        </w:rPr>
        <w:t>，污染物减少</w:t>
      </w:r>
      <w:r>
        <w:rPr>
          <w:rFonts w:ascii="Times New Roman"/>
          <w:szCs w:val="21"/>
        </w:rPr>
        <w:t>30%</w:t>
      </w:r>
      <w:r>
        <w:rPr>
          <w:rFonts w:hint="eastAsia"/>
          <w:szCs w:val="21"/>
        </w:rPr>
        <w:t>以上。</w:t>
      </w:r>
    </w:p>
    <w:p w14:paraId="6DE16F68">
      <w:pPr>
        <w:pStyle w:val="105"/>
        <w:spacing w:beforeLines="0" w:afterLines="0" w:line="360" w:lineRule="exact"/>
        <w:ind w:left="142"/>
        <w:rPr>
          <w:rFonts w:ascii="Times New Roman" w:eastAsia="宋体"/>
        </w:rPr>
      </w:pPr>
      <w:bookmarkStart w:id="245" w:name="_Toc149654143"/>
      <w:r>
        <w:rPr>
          <w:rFonts w:hint="eastAsia" w:ascii="Times New Roman" w:eastAsia="宋体"/>
        </w:rPr>
        <w:t>过程控制技术</w:t>
      </w:r>
      <w:bookmarkEnd w:id="245"/>
    </w:p>
    <w:p w14:paraId="7CD217EC">
      <w:pPr>
        <w:pStyle w:val="165"/>
        <w:rPr>
          <w:rFonts w:cs="宋体"/>
        </w:rPr>
      </w:pPr>
      <w:r>
        <w:rPr>
          <w:rFonts w:hint="eastAsia" w:cs="宋体"/>
        </w:rPr>
        <w:t>物料储存过程：</w:t>
      </w:r>
    </w:p>
    <w:p w14:paraId="19AB324C">
      <w:pPr>
        <w:pStyle w:val="165"/>
        <w:numPr>
          <w:ilvl w:val="3"/>
          <w:numId w:val="33"/>
        </w:numPr>
        <w:rPr>
          <w:rFonts w:cs="宋体"/>
        </w:rPr>
      </w:pPr>
      <w:r>
        <w:rPr>
          <w:rFonts w:hint="eastAsia" w:cs="宋体"/>
        </w:rPr>
        <w:t>储罐气相平衡管技术：在储罐和槽车之间设置气相平衡管，采用气相平衡原理使呼吸尾气形成闭路循环，消除因压力变化产生的呼吸气，避免废气外排。</w:t>
      </w:r>
    </w:p>
    <w:p w14:paraId="78E2F567">
      <w:pPr>
        <w:pStyle w:val="165"/>
        <w:numPr>
          <w:ilvl w:val="3"/>
          <w:numId w:val="33"/>
        </w:numPr>
        <w:rPr>
          <w:rFonts w:cs="宋体"/>
        </w:rPr>
      </w:pPr>
      <w:r>
        <w:rPr>
          <w:rFonts w:hint="eastAsia" w:cs="宋体"/>
        </w:rPr>
        <w:t>储罐氮封技术：氮封系统结合呼吸阀，自动调节罐内压力的变化，根据设置的压力自动补充氮气和排出废气，确保系统内压力平衡，减少直接外排。</w:t>
      </w:r>
    </w:p>
    <w:p w14:paraId="015F741A">
      <w:pPr>
        <w:pStyle w:val="165"/>
        <w:numPr>
          <w:ilvl w:val="3"/>
          <w:numId w:val="33"/>
        </w:numPr>
        <w:rPr>
          <w:rFonts w:cs="宋体"/>
        </w:rPr>
      </w:pPr>
      <w:r>
        <w:rPr>
          <w:rFonts w:hint="eastAsia" w:cs="宋体"/>
        </w:rPr>
        <w:t>苯、甲苯、二甲苯宜采用内浮顶罐并安装顶空联通置换油气回收装置。</w:t>
      </w:r>
    </w:p>
    <w:p w14:paraId="33491F86">
      <w:pPr>
        <w:pStyle w:val="165"/>
        <w:numPr>
          <w:ilvl w:val="0"/>
          <w:numId w:val="0"/>
        </w:numPr>
        <w:rPr>
          <w:rFonts w:cs="宋体"/>
        </w:rPr>
      </w:pPr>
    </w:p>
    <w:p w14:paraId="527B7400">
      <w:pPr>
        <w:pStyle w:val="165"/>
        <w:rPr>
          <w:rFonts w:cs="宋体"/>
        </w:rPr>
      </w:pPr>
      <w:r>
        <w:rPr>
          <w:rFonts w:hint="eastAsia" w:cs="宋体"/>
        </w:rPr>
        <w:t>投料技术</w:t>
      </w:r>
    </w:p>
    <w:p w14:paraId="2BDB10AD">
      <w:pPr>
        <w:pStyle w:val="165"/>
        <w:numPr>
          <w:ilvl w:val="0"/>
          <w:numId w:val="0"/>
        </w:numPr>
        <w:ind w:firstLine="420" w:firstLineChars="200"/>
        <w:rPr>
          <w:rFonts w:cs="宋体"/>
        </w:rPr>
      </w:pPr>
      <w:r>
        <w:rPr>
          <w:rFonts w:cs="宋体"/>
        </w:rPr>
        <w:t xml:space="preserve">4.4.2.1 </w:t>
      </w:r>
      <w:r>
        <w:rPr>
          <w:rFonts w:hint="eastAsia" w:cs="宋体"/>
        </w:rPr>
        <w:t>易产生</w:t>
      </w:r>
      <w:r>
        <w:rPr>
          <w:rFonts w:cs="宋体"/>
        </w:rPr>
        <w:t xml:space="preserve">VOCs </w:t>
      </w:r>
      <w:r>
        <w:rPr>
          <w:rFonts w:hint="eastAsia" w:cs="宋体"/>
        </w:rPr>
        <w:t>的固体物料采用固体粉料自动投料系统、螺旋推进式投料系统等密闭投料装置，若难以实现密闭投料的，将投料口密闭隔离，采用负压排气将投料尾气有效收集至</w:t>
      </w:r>
      <w:r>
        <w:rPr>
          <w:rFonts w:cs="宋体"/>
        </w:rPr>
        <w:t xml:space="preserve">VOCs </w:t>
      </w:r>
      <w:r>
        <w:rPr>
          <w:rFonts w:hint="eastAsia" w:cs="宋体"/>
        </w:rPr>
        <w:t>废气处理系统。</w:t>
      </w:r>
    </w:p>
    <w:p w14:paraId="50433435">
      <w:pPr>
        <w:pStyle w:val="165"/>
        <w:numPr>
          <w:ilvl w:val="0"/>
          <w:numId w:val="0"/>
        </w:numPr>
        <w:ind w:firstLine="420" w:firstLineChars="200"/>
        <w:rPr>
          <w:rFonts w:cs="宋体"/>
        </w:rPr>
      </w:pPr>
      <w:r>
        <w:rPr>
          <w:rFonts w:cs="宋体"/>
        </w:rPr>
        <w:t>4.4.2.2</w:t>
      </w:r>
      <w:r>
        <w:rPr>
          <w:rFonts w:hint="eastAsia" w:cs="宋体"/>
        </w:rPr>
        <w:t>采用无泄漏泵或高位槽（计量槽）投加，替代真空抽料，进料方式采用底部给料或使用浸入管给料，顶部添加液体采用导管贴壁给料。</w:t>
      </w:r>
    </w:p>
    <w:p w14:paraId="18AD0EF6">
      <w:pPr>
        <w:pStyle w:val="165"/>
        <w:numPr>
          <w:ilvl w:val="0"/>
          <w:numId w:val="0"/>
        </w:numPr>
        <w:ind w:firstLine="420" w:firstLineChars="200"/>
        <w:rPr>
          <w:rFonts w:cs="宋体"/>
        </w:rPr>
      </w:pPr>
      <w:r>
        <w:rPr>
          <w:rFonts w:cs="宋体"/>
        </w:rPr>
        <w:t>4.4.2.3</w:t>
      </w:r>
      <w:r>
        <w:rPr>
          <w:rFonts w:hint="eastAsia" w:cs="宋体"/>
        </w:rPr>
        <w:t>采用高位槽</w:t>
      </w:r>
      <w:r>
        <w:rPr>
          <w:rFonts w:cs="宋体"/>
        </w:rPr>
        <w:t>/</w:t>
      </w:r>
      <w:r>
        <w:rPr>
          <w:rFonts w:hint="eastAsia" w:cs="宋体"/>
        </w:rPr>
        <w:t>中间罐投加物料时，配置蒸气平衡管，使投料尾气形成闭路循环，消除投料过程无组织排放，若难以实现的，将投料尾气有效收集至</w:t>
      </w:r>
      <w:r>
        <w:rPr>
          <w:rFonts w:cs="宋体"/>
        </w:rPr>
        <w:t xml:space="preserve">VOCs </w:t>
      </w:r>
      <w:r>
        <w:rPr>
          <w:rFonts w:hint="eastAsia" w:cs="宋体"/>
        </w:rPr>
        <w:t>废气处理系统。</w:t>
      </w:r>
    </w:p>
    <w:p w14:paraId="03EEECC7">
      <w:pPr>
        <w:pStyle w:val="165"/>
        <w:numPr>
          <w:ilvl w:val="0"/>
          <w:numId w:val="0"/>
        </w:numPr>
        <w:ind w:firstLine="420" w:firstLineChars="200"/>
        <w:rPr>
          <w:rFonts w:cs="宋体"/>
        </w:rPr>
      </w:pPr>
      <w:r>
        <w:rPr>
          <w:rFonts w:cs="宋体"/>
        </w:rPr>
        <w:t xml:space="preserve">4.4.2.4 </w:t>
      </w:r>
      <w:r>
        <w:rPr>
          <w:rFonts w:hint="eastAsia" w:cs="宋体"/>
        </w:rPr>
        <w:t>反应釜投料所产生的置换尾气（放空尾气）有效收集至</w:t>
      </w:r>
      <w:r>
        <w:rPr>
          <w:rFonts w:cs="宋体"/>
        </w:rPr>
        <w:t xml:space="preserve">VOCs </w:t>
      </w:r>
      <w:r>
        <w:rPr>
          <w:rFonts w:hint="eastAsia" w:cs="宋体"/>
        </w:rPr>
        <w:t>废气处理系统。</w:t>
      </w:r>
    </w:p>
    <w:p w14:paraId="64BC8C67">
      <w:pPr>
        <w:pStyle w:val="165"/>
        <w:rPr>
          <w:rFonts w:cs="宋体"/>
        </w:rPr>
      </w:pPr>
      <w:r>
        <w:rPr>
          <w:rFonts w:hint="eastAsia" w:cs="宋体"/>
        </w:rPr>
        <w:t>物料分离技术</w:t>
      </w:r>
    </w:p>
    <w:p w14:paraId="783D6B1A">
      <w:pPr>
        <w:pStyle w:val="56"/>
        <w:ind w:firstLine="420"/>
        <w:rPr>
          <w:szCs w:val="21"/>
        </w:rPr>
      </w:pPr>
      <w:r>
        <w:rPr>
          <w:rFonts w:hint="eastAsia"/>
        </w:rPr>
        <w:t>4</w:t>
      </w:r>
      <w:r>
        <w:t xml:space="preserve">.4.3.1 </w:t>
      </w:r>
      <w:r>
        <w:rPr>
          <w:rFonts w:hint="eastAsia"/>
          <w:szCs w:val="21"/>
        </w:rPr>
        <w:t>移动式连续离子交换分离技术：该技术适用于维生素</w:t>
      </w:r>
      <w:r>
        <w:rPr>
          <w:rFonts w:ascii="Times New Roman"/>
          <w:szCs w:val="21"/>
        </w:rPr>
        <w:t>C</w:t>
      </w:r>
      <w:r>
        <w:rPr>
          <w:rFonts w:hint="eastAsia"/>
          <w:szCs w:val="21"/>
        </w:rPr>
        <w:t>、赖氨酸等产品生产的分离及精制工序，采用连续式自动旋转离子交换系统，产品成分和浓度保持稳定，可同时去除或者分离具有不同特性的物质。与传统固定床式离子交换柱法相比，树脂用量减少</w:t>
      </w:r>
      <w:r>
        <w:rPr>
          <w:rFonts w:ascii="Times New Roman"/>
          <w:szCs w:val="21"/>
        </w:rPr>
        <w:t>50%</w:t>
      </w:r>
      <w:r>
        <w:rPr>
          <w:rFonts w:hint="eastAsia"/>
          <w:szCs w:val="21"/>
        </w:rPr>
        <w:t>以上，洗涤水用量可节约</w:t>
      </w:r>
      <w:r>
        <w:rPr>
          <w:rFonts w:ascii="Times New Roman"/>
          <w:szCs w:val="21"/>
        </w:rPr>
        <w:t>20%</w:t>
      </w:r>
      <w:r>
        <w:rPr>
          <w:rFonts w:hint="eastAsia"/>
          <w:szCs w:val="21"/>
        </w:rPr>
        <w:t>以上，酸液消耗量降低</w:t>
      </w:r>
      <w:r>
        <w:rPr>
          <w:rFonts w:ascii="Times New Roman"/>
          <w:szCs w:val="21"/>
        </w:rPr>
        <w:t>9%</w:t>
      </w:r>
      <w:r>
        <w:rPr>
          <w:rFonts w:hint="eastAsia"/>
          <w:szCs w:val="21"/>
        </w:rPr>
        <w:t>，碱液消耗量降低</w:t>
      </w:r>
      <w:r>
        <w:rPr>
          <w:rFonts w:ascii="Times New Roman"/>
          <w:szCs w:val="21"/>
        </w:rPr>
        <w:t>65%</w:t>
      </w:r>
      <w:r>
        <w:rPr>
          <w:rFonts w:hint="eastAsia"/>
          <w:szCs w:val="21"/>
        </w:rPr>
        <w:t>，产品总收率有所提高。单位产品原料消耗量降低约</w:t>
      </w:r>
      <w:r>
        <w:rPr>
          <w:rFonts w:ascii="Times New Roman"/>
          <w:szCs w:val="21"/>
        </w:rPr>
        <w:t>8%</w:t>
      </w:r>
      <w:r>
        <w:rPr>
          <w:rFonts w:hint="eastAsia"/>
          <w:szCs w:val="21"/>
        </w:rPr>
        <w:t>。</w:t>
      </w:r>
    </w:p>
    <w:p w14:paraId="3A31008A">
      <w:pPr>
        <w:pStyle w:val="56"/>
        <w:ind w:firstLine="420"/>
        <w:rPr>
          <w:szCs w:val="21"/>
        </w:rPr>
      </w:pPr>
      <w:r>
        <w:rPr>
          <w:rFonts w:hint="eastAsia"/>
          <w:szCs w:val="21"/>
        </w:rPr>
        <w:t>4</w:t>
      </w:r>
      <w:r>
        <w:rPr>
          <w:szCs w:val="21"/>
        </w:rPr>
        <w:t xml:space="preserve">.4.3.2 </w:t>
      </w:r>
      <w:r>
        <w:rPr>
          <w:rFonts w:hint="eastAsia"/>
          <w:szCs w:val="21"/>
        </w:rPr>
        <w:t>高效动态轴向压缩工业色谱技术：该技术适用于天然产物和生物大分子（多肽、蛋白质等）的分离制备，采用活塞装柱，并在操作过程中保持柱床压缩状态。与传统多次结晶工艺相比，单位产品溶媒消耗量降低</w:t>
      </w:r>
      <w:r>
        <w:rPr>
          <w:rFonts w:ascii="Times New Roman"/>
          <w:szCs w:val="21"/>
        </w:rPr>
        <w:t>30%~60%</w:t>
      </w:r>
      <w:r>
        <w:rPr>
          <w:rFonts w:hint="eastAsia"/>
          <w:szCs w:val="21"/>
        </w:rPr>
        <w:t>，产品收率提高</w:t>
      </w:r>
      <w:r>
        <w:rPr>
          <w:rFonts w:ascii="Times New Roman"/>
          <w:szCs w:val="21"/>
        </w:rPr>
        <w:t>20%</w:t>
      </w:r>
      <w:r>
        <w:rPr>
          <w:rFonts w:hint="eastAsia"/>
          <w:szCs w:val="21"/>
        </w:rPr>
        <w:t>以上，单位产品运行成本下降</w:t>
      </w:r>
      <w:r>
        <w:rPr>
          <w:rFonts w:ascii="Times New Roman"/>
          <w:szCs w:val="21"/>
        </w:rPr>
        <w:t>20%</w:t>
      </w:r>
      <w:r>
        <w:rPr>
          <w:rFonts w:hint="eastAsia"/>
          <w:szCs w:val="21"/>
        </w:rPr>
        <w:t>以上。</w:t>
      </w:r>
    </w:p>
    <w:p w14:paraId="4B14FAE3">
      <w:pPr>
        <w:pStyle w:val="228"/>
        <w:ind w:firstLine="420" w:firstLineChars="200"/>
        <w:rPr>
          <w:sz w:val="21"/>
          <w:szCs w:val="21"/>
        </w:rPr>
      </w:pPr>
      <w:r>
        <w:rPr>
          <w:rFonts w:hint="eastAsia" w:hAnsi="Times New Roman" w:cs="Times New Roman"/>
          <w:color w:val="auto"/>
          <w:sz w:val="21"/>
          <w:szCs w:val="20"/>
        </w:rPr>
        <w:t>4</w:t>
      </w:r>
      <w:r>
        <w:rPr>
          <w:rFonts w:hAnsi="Times New Roman" w:cs="Times New Roman"/>
          <w:color w:val="auto"/>
          <w:sz w:val="21"/>
          <w:szCs w:val="20"/>
        </w:rPr>
        <w:t xml:space="preserve">.4.3.3 </w:t>
      </w:r>
      <w:r>
        <w:rPr>
          <w:rFonts w:hint="eastAsia" w:hAnsi="Times New Roman" w:cs="Times New Roman"/>
          <w:color w:val="auto"/>
          <w:sz w:val="21"/>
          <w:szCs w:val="20"/>
        </w:rPr>
        <w:t>液膜分离技术：该技术</w:t>
      </w:r>
      <w:r>
        <w:rPr>
          <w:rFonts w:hint="eastAsia"/>
          <w:sz w:val="21"/>
          <w:szCs w:val="21"/>
        </w:rPr>
        <w:t>适用于各种制药生产中的分离、精制与浓缩工序，利用微滤、超滤和纳滤等膜的选择性，可实现料液不同组分的分离、精制与浓缩。</w:t>
      </w:r>
    </w:p>
    <w:p w14:paraId="7EE9C043">
      <w:pPr>
        <w:pStyle w:val="228"/>
        <w:ind w:firstLine="420" w:firstLineChars="200"/>
        <w:rPr>
          <w:rFonts w:hAnsi="Times New Roman"/>
          <w:sz w:val="21"/>
          <w:szCs w:val="21"/>
        </w:rPr>
      </w:pPr>
      <w:r>
        <w:rPr>
          <w:rFonts w:ascii="Times New Roman" w:hAnsi="Times New Roman" w:cs="Times New Roman"/>
          <w:sz w:val="21"/>
          <w:szCs w:val="21"/>
        </w:rPr>
        <w:t>a</w:t>
      </w:r>
      <w:r>
        <w:rPr>
          <w:rFonts w:hint="eastAsia" w:hAnsi="Times New Roman"/>
          <w:sz w:val="21"/>
          <w:szCs w:val="21"/>
        </w:rPr>
        <w:t>）采用无机陶瓷组合膜分离工艺替代传统的板框过滤工艺适用于抗生素、维生素等产品生产，收率提高</w:t>
      </w:r>
      <w:r>
        <w:rPr>
          <w:rFonts w:ascii="Times New Roman" w:hAnsi="Times New Roman" w:cs="Times New Roman"/>
          <w:sz w:val="21"/>
          <w:szCs w:val="21"/>
        </w:rPr>
        <w:t>4%</w:t>
      </w:r>
      <w:r>
        <w:rPr>
          <w:rFonts w:hint="eastAsia" w:hAnsi="Times New Roman"/>
          <w:sz w:val="21"/>
          <w:szCs w:val="21"/>
        </w:rPr>
        <w:t>，后提取工艺中溶剂使用量削减</w:t>
      </w:r>
      <w:r>
        <w:rPr>
          <w:rFonts w:ascii="Times New Roman" w:hAnsi="Times New Roman" w:cs="Times New Roman"/>
          <w:sz w:val="21"/>
          <w:szCs w:val="21"/>
        </w:rPr>
        <w:t>85%</w:t>
      </w:r>
      <w:r>
        <w:rPr>
          <w:rFonts w:hint="eastAsia" w:hAnsi="Times New Roman"/>
          <w:sz w:val="21"/>
          <w:szCs w:val="21"/>
        </w:rPr>
        <w:t>，单位产品原料消耗量降低</w:t>
      </w:r>
      <w:r>
        <w:rPr>
          <w:rFonts w:ascii="Times New Roman" w:hAnsi="Times New Roman" w:cs="Times New Roman"/>
          <w:sz w:val="21"/>
          <w:szCs w:val="21"/>
        </w:rPr>
        <w:t>20%</w:t>
      </w:r>
      <w:r>
        <w:rPr>
          <w:rFonts w:hint="eastAsia" w:hAnsi="Times New Roman"/>
          <w:sz w:val="21"/>
          <w:szCs w:val="21"/>
        </w:rPr>
        <w:t>，无需使用絮凝剂，废水产生量减少</w:t>
      </w:r>
      <w:r>
        <w:rPr>
          <w:rFonts w:ascii="Times New Roman" w:hAnsi="Times New Roman" w:cs="Times New Roman"/>
          <w:sz w:val="21"/>
          <w:szCs w:val="21"/>
        </w:rPr>
        <w:t>50%</w:t>
      </w:r>
      <w:r>
        <w:rPr>
          <w:rFonts w:hint="eastAsia" w:hAnsi="Times New Roman"/>
          <w:sz w:val="21"/>
          <w:szCs w:val="21"/>
        </w:rPr>
        <w:t>以上，</w:t>
      </w:r>
      <w:r>
        <w:rPr>
          <w:rFonts w:ascii="Times New Roman" w:hAnsi="Times New Roman" w:cs="Times New Roman"/>
          <w:sz w:val="21"/>
          <w:szCs w:val="21"/>
        </w:rPr>
        <w:t>COD</w:t>
      </w:r>
      <w:r>
        <w:rPr>
          <w:rFonts w:ascii="Times New Roman" w:hAnsi="Times New Roman" w:cs="Times New Roman"/>
          <w:sz w:val="14"/>
          <w:szCs w:val="14"/>
        </w:rPr>
        <w:t>Cr</w:t>
      </w:r>
      <w:r>
        <w:rPr>
          <w:rFonts w:hint="eastAsia" w:hAnsi="Times New Roman"/>
          <w:sz w:val="21"/>
          <w:szCs w:val="21"/>
        </w:rPr>
        <w:t>和</w:t>
      </w:r>
      <w:r>
        <w:rPr>
          <w:rFonts w:ascii="Times New Roman" w:hAnsi="Times New Roman" w:cs="Times New Roman"/>
          <w:sz w:val="21"/>
          <w:szCs w:val="21"/>
        </w:rPr>
        <w:t>BOD</w:t>
      </w:r>
      <w:r>
        <w:rPr>
          <w:rFonts w:ascii="Times New Roman" w:hAnsi="Times New Roman" w:cs="Times New Roman"/>
          <w:sz w:val="14"/>
          <w:szCs w:val="14"/>
        </w:rPr>
        <w:t>5</w:t>
      </w:r>
      <w:r>
        <w:rPr>
          <w:rFonts w:hint="eastAsia" w:hAnsi="Times New Roman"/>
          <w:sz w:val="21"/>
          <w:szCs w:val="21"/>
        </w:rPr>
        <w:t>削减量</w:t>
      </w:r>
      <w:r>
        <w:rPr>
          <w:rFonts w:ascii="Times New Roman" w:hAnsi="Times New Roman" w:cs="Times New Roman"/>
          <w:sz w:val="21"/>
          <w:szCs w:val="21"/>
        </w:rPr>
        <w:t>10%</w:t>
      </w:r>
      <w:r>
        <w:rPr>
          <w:rFonts w:hint="eastAsia" w:hAnsi="Times New Roman"/>
          <w:sz w:val="21"/>
          <w:szCs w:val="21"/>
        </w:rPr>
        <w:t>以上。</w:t>
      </w:r>
    </w:p>
    <w:p w14:paraId="77F2B63D">
      <w:pPr>
        <w:pStyle w:val="56"/>
        <w:ind w:firstLine="420"/>
        <w:rPr>
          <w:rFonts w:ascii="Times New Roman"/>
          <w:szCs w:val="21"/>
        </w:rPr>
      </w:pPr>
      <w:r>
        <w:rPr>
          <w:rFonts w:ascii="Times New Roman"/>
          <w:szCs w:val="21"/>
        </w:rPr>
        <w:t>b</w:t>
      </w:r>
      <w:r>
        <w:rPr>
          <w:rFonts w:hint="eastAsia"/>
          <w:szCs w:val="21"/>
        </w:rPr>
        <w:t>）纳滤工艺适用于维生素</w:t>
      </w:r>
      <w:r>
        <w:rPr>
          <w:rFonts w:ascii="Times New Roman"/>
          <w:szCs w:val="21"/>
        </w:rPr>
        <w:t>C</w:t>
      </w:r>
      <w:r>
        <w:rPr>
          <w:rFonts w:hint="eastAsia"/>
          <w:szCs w:val="21"/>
        </w:rPr>
        <w:t>、红霉素等产品生产，可对小分子有机物与水、无机盐等进行分离，使脱盐和浓缩过程同时进行。与传统三效降膜减压蒸发浓缩技术相比，单位产品浓缩工序生产成本下降</w:t>
      </w:r>
      <w:r>
        <w:rPr>
          <w:rFonts w:ascii="Times New Roman"/>
          <w:szCs w:val="21"/>
        </w:rPr>
        <w:t>70%</w:t>
      </w:r>
      <w:r>
        <w:rPr>
          <w:rFonts w:hint="eastAsia"/>
          <w:szCs w:val="21"/>
        </w:rPr>
        <w:t>以上；生产过程不使用蒸汽，能源消耗低；设备占地面积减少</w:t>
      </w:r>
      <w:r>
        <w:rPr>
          <w:rFonts w:ascii="Times New Roman"/>
          <w:szCs w:val="21"/>
        </w:rPr>
        <w:t>70%</w:t>
      </w:r>
      <w:r>
        <w:rPr>
          <w:rFonts w:hint="eastAsia" w:ascii="Times New Roman"/>
          <w:szCs w:val="21"/>
        </w:rPr>
        <w:t>。</w:t>
      </w:r>
    </w:p>
    <w:p w14:paraId="12C35DB0">
      <w:pPr>
        <w:pStyle w:val="56"/>
        <w:ind w:firstLine="420"/>
        <w:rPr>
          <w:rFonts w:ascii="Times New Roman"/>
          <w:szCs w:val="21"/>
        </w:rPr>
      </w:pPr>
      <w:r>
        <w:rPr>
          <w:rFonts w:hint="eastAsia" w:ascii="Times New Roman"/>
          <w:szCs w:val="21"/>
        </w:rPr>
        <w:t>4</w:t>
      </w:r>
      <w:r>
        <w:rPr>
          <w:rFonts w:ascii="Times New Roman"/>
          <w:szCs w:val="21"/>
        </w:rPr>
        <w:t xml:space="preserve">.4.3.4 </w:t>
      </w:r>
      <w:r>
        <w:rPr>
          <w:rFonts w:hint="eastAsia" w:ascii="Times New Roman"/>
          <w:szCs w:val="21"/>
        </w:rPr>
        <w:t>溶剂回收技术：</w:t>
      </w:r>
    </w:p>
    <w:p w14:paraId="455B01B7">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a</w:t>
      </w:r>
      <w:r>
        <w:rPr>
          <w:rFonts w:hint="eastAsia" w:ascii="宋体" w:hAnsi="Times New Roman" w:cs="宋体"/>
          <w:color w:val="000000"/>
          <w:kern w:val="0"/>
        </w:rPr>
        <w:t>）渗透汽化膜技术适用于有机溶剂的回收利用，是一种以有机混合物中组分蒸发压差为推动力，依靠各组分在膜中的溶解与扩散速率不同来实现混合物分离的过程，应用于有机溶剂的脱水，比恒沸精馏法节能</w:t>
      </w:r>
      <w:r>
        <w:rPr>
          <w:rFonts w:ascii="Times New Roman" w:hAnsi="Times New Roman"/>
          <w:color w:val="000000"/>
          <w:kern w:val="0"/>
        </w:rPr>
        <w:t>50%~67%</w:t>
      </w:r>
      <w:r>
        <w:rPr>
          <w:rFonts w:hint="eastAsia" w:ascii="宋体" w:hAnsi="Times New Roman" w:cs="宋体"/>
          <w:color w:val="000000"/>
          <w:kern w:val="0"/>
        </w:rPr>
        <w:t>，提高溶剂回收率达到</w:t>
      </w:r>
      <w:r>
        <w:rPr>
          <w:rFonts w:ascii="Times New Roman" w:hAnsi="Times New Roman"/>
          <w:color w:val="000000"/>
          <w:kern w:val="0"/>
        </w:rPr>
        <w:t>97%</w:t>
      </w:r>
      <w:r>
        <w:rPr>
          <w:rFonts w:hint="eastAsia" w:ascii="宋体" w:hAnsi="Times New Roman" w:cs="宋体"/>
          <w:color w:val="000000"/>
          <w:kern w:val="0"/>
        </w:rPr>
        <w:t>以上。</w:t>
      </w:r>
    </w:p>
    <w:p w14:paraId="45C8BA9B">
      <w:pPr>
        <w:pStyle w:val="56"/>
        <w:ind w:firstLine="420"/>
        <w:rPr>
          <w:rFonts w:cs="宋体"/>
          <w:color w:val="000000"/>
          <w:szCs w:val="21"/>
        </w:rPr>
      </w:pPr>
      <w:r>
        <w:rPr>
          <w:rFonts w:ascii="Times New Roman"/>
          <w:color w:val="000000"/>
          <w:szCs w:val="21"/>
        </w:rPr>
        <w:t>b</w:t>
      </w:r>
      <w:r>
        <w:rPr>
          <w:rFonts w:hint="eastAsia" w:cs="宋体"/>
          <w:color w:val="000000"/>
          <w:szCs w:val="21"/>
        </w:rPr>
        <w:t>）碳纤维吸附回收技术适用于低浓度高风量有机工艺尾气的净化。以活性碳纤维为吸附材料，有机工艺尾气经活性碳纤维吸附、截留、脱附后，进行回收利用。有机溶剂回收率达到</w:t>
      </w:r>
      <w:r>
        <w:rPr>
          <w:rFonts w:ascii="Times New Roman"/>
          <w:color w:val="000000"/>
          <w:szCs w:val="21"/>
        </w:rPr>
        <w:t>80%</w:t>
      </w:r>
      <w:r>
        <w:rPr>
          <w:rFonts w:hint="eastAsia" w:cs="宋体"/>
          <w:color w:val="000000"/>
          <w:szCs w:val="21"/>
        </w:rPr>
        <w:t>以上。</w:t>
      </w:r>
    </w:p>
    <w:p w14:paraId="48C45874">
      <w:pPr>
        <w:pStyle w:val="56"/>
        <w:ind w:firstLine="420"/>
        <w:rPr>
          <w:rFonts w:cs="宋体"/>
          <w:color w:val="000000"/>
          <w:szCs w:val="21"/>
        </w:rPr>
      </w:pPr>
      <w:r>
        <w:rPr>
          <w:rFonts w:hint="eastAsia" w:cs="宋体"/>
          <w:color w:val="000000"/>
          <w:szCs w:val="21"/>
        </w:rPr>
        <w:t>4</w:t>
      </w:r>
      <w:r>
        <w:rPr>
          <w:rFonts w:cs="宋体"/>
          <w:color w:val="000000"/>
          <w:szCs w:val="21"/>
        </w:rPr>
        <w:t xml:space="preserve">.4.3.5 </w:t>
      </w:r>
      <w:r>
        <w:rPr>
          <w:rFonts w:hint="eastAsia" w:cs="宋体"/>
          <w:color w:val="000000"/>
          <w:szCs w:val="21"/>
        </w:rPr>
        <w:t>蒸馏和精馏技术</w:t>
      </w:r>
    </w:p>
    <w:p w14:paraId="2569155E">
      <w:pPr>
        <w:pStyle w:val="56"/>
        <w:ind w:firstLine="420"/>
        <w:rPr>
          <w:rFonts w:cs="宋体"/>
          <w:color w:val="000000"/>
          <w:szCs w:val="21"/>
        </w:rPr>
      </w:pPr>
      <w:r>
        <w:rPr>
          <w:rFonts w:hint="eastAsia" w:cs="宋体"/>
          <w:color w:val="000000"/>
          <w:szCs w:val="21"/>
        </w:rPr>
        <w:t>a</w:t>
      </w:r>
      <w:r>
        <w:rPr>
          <w:rFonts w:cs="宋体"/>
          <w:color w:val="000000"/>
          <w:szCs w:val="21"/>
        </w:rPr>
        <w:t>)</w:t>
      </w:r>
      <w:r>
        <w:rPr>
          <w:rFonts w:hint="eastAsia" w:cs="宋体"/>
          <w:color w:val="000000"/>
          <w:szCs w:val="21"/>
        </w:rPr>
        <w:t>溶剂在蒸馏</w:t>
      </w:r>
      <w:r>
        <w:rPr>
          <w:rFonts w:cs="宋体"/>
          <w:color w:val="000000"/>
          <w:szCs w:val="21"/>
        </w:rPr>
        <w:t>/</w:t>
      </w:r>
      <w:r>
        <w:rPr>
          <w:rFonts w:hint="eastAsia" w:cs="宋体"/>
          <w:color w:val="000000"/>
          <w:szCs w:val="21"/>
        </w:rPr>
        <w:t>精馏过程中采用多级梯度冷凝方式，冷凝器优先采用螺旋绕管式或板式冷凝器等高效换热设备，并有足够的换热面积和热交换时间。</w:t>
      </w:r>
    </w:p>
    <w:p w14:paraId="160E8410">
      <w:pPr>
        <w:autoSpaceDE w:val="0"/>
        <w:autoSpaceDN w:val="0"/>
        <w:spacing w:line="240" w:lineRule="auto"/>
        <w:ind w:firstLine="420" w:firstLineChars="200"/>
        <w:jc w:val="left"/>
        <w:rPr>
          <w:rFonts w:ascii="宋体" w:cs="宋体"/>
          <w:color w:val="000000"/>
          <w:kern w:val="0"/>
        </w:rPr>
      </w:pPr>
      <w:r>
        <w:rPr>
          <w:rFonts w:hint="eastAsia" w:ascii="宋体" w:hAnsi="Times New Roman" w:cs="宋体"/>
          <w:color w:val="000000"/>
          <w:kern w:val="0"/>
        </w:rPr>
        <w:t>b</w:t>
      </w:r>
      <w:r>
        <w:rPr>
          <w:rFonts w:ascii="宋体" w:hAnsi="Times New Roman" w:cs="宋体"/>
          <w:color w:val="000000"/>
          <w:kern w:val="0"/>
        </w:rPr>
        <w:t>)</w:t>
      </w:r>
      <w:r>
        <w:rPr>
          <w:rFonts w:hint="eastAsia" w:ascii="宋体" w:hAnsi="Times New Roman" w:cs="宋体"/>
          <w:color w:val="000000"/>
          <w:kern w:val="0"/>
        </w:rPr>
        <w:t>对于常压蒸馏</w:t>
      </w:r>
      <w:r>
        <w:rPr>
          <w:rFonts w:ascii="宋体" w:hAnsi="Times New Roman" w:cs="宋体"/>
          <w:color w:val="000000"/>
          <w:kern w:val="0"/>
        </w:rPr>
        <w:t>/</w:t>
      </w:r>
      <w:r>
        <w:rPr>
          <w:rFonts w:hint="eastAsia" w:ascii="宋体" w:hAnsi="Times New Roman" w:cs="宋体"/>
          <w:color w:val="000000"/>
          <w:kern w:val="0"/>
        </w:rPr>
        <w:t>精馏釜，冷凝后不凝气和冷凝液接收罐放空尾气排至</w:t>
      </w:r>
      <w:r>
        <w:rPr>
          <w:rFonts w:ascii="宋体" w:hAnsi="Times New Roman" w:cs="宋体"/>
          <w:color w:val="000000"/>
          <w:kern w:val="0"/>
        </w:rPr>
        <w:t xml:space="preserve">VOCs </w:t>
      </w:r>
      <w:r>
        <w:rPr>
          <w:rFonts w:hint="eastAsia" w:ascii="宋体" w:hAnsi="Times New Roman" w:cs="宋体"/>
          <w:color w:val="000000"/>
          <w:kern w:val="0"/>
        </w:rPr>
        <w:t>废气收集处理系统；对于减压蒸馏</w:t>
      </w:r>
      <w:r>
        <w:rPr>
          <w:rFonts w:ascii="宋体" w:hAnsi="Times New Roman" w:cs="宋体"/>
          <w:color w:val="000000"/>
          <w:kern w:val="0"/>
        </w:rPr>
        <w:t>/</w:t>
      </w:r>
      <w:r>
        <w:rPr>
          <w:rFonts w:hint="eastAsia" w:ascii="宋体" w:hAnsi="Times New Roman" w:cs="宋体"/>
          <w:color w:val="000000"/>
          <w:kern w:val="0"/>
        </w:rPr>
        <w:t>精馏釜，真空</w:t>
      </w:r>
      <w:r>
        <w:rPr>
          <w:rFonts w:hint="eastAsia" w:ascii="宋体" w:cs="宋体"/>
          <w:color w:val="000000"/>
          <w:kern w:val="0"/>
        </w:rPr>
        <w:t>泵尾气和冷凝液接收罐放空尾气排至</w:t>
      </w:r>
      <w:r>
        <w:rPr>
          <w:rFonts w:ascii="宋体" w:cs="宋体"/>
          <w:color w:val="000000"/>
          <w:kern w:val="0"/>
        </w:rPr>
        <w:t xml:space="preserve">VOCs </w:t>
      </w:r>
      <w:r>
        <w:rPr>
          <w:rFonts w:hint="eastAsia" w:ascii="宋体" w:cs="宋体"/>
          <w:color w:val="000000"/>
          <w:kern w:val="0"/>
        </w:rPr>
        <w:t>废气收集处理系统。</w:t>
      </w:r>
    </w:p>
    <w:p w14:paraId="796E4400">
      <w:pPr>
        <w:autoSpaceDE w:val="0"/>
        <w:autoSpaceDN w:val="0"/>
        <w:spacing w:line="240" w:lineRule="auto"/>
        <w:ind w:firstLine="420" w:firstLineChars="200"/>
        <w:jc w:val="left"/>
        <w:rPr>
          <w:rFonts w:ascii="宋体" w:hAnsi="Times New Roman" w:cs="宋体"/>
          <w:color w:val="000000"/>
          <w:kern w:val="0"/>
        </w:rPr>
      </w:pPr>
      <w:r>
        <w:rPr>
          <w:rFonts w:hint="eastAsia" w:ascii="宋体" w:hAnsi="Times New Roman" w:cs="宋体"/>
          <w:color w:val="000000"/>
          <w:kern w:val="0"/>
        </w:rPr>
        <w:t>c</w:t>
      </w:r>
      <w:r>
        <w:rPr>
          <w:rFonts w:ascii="宋体" w:hAnsi="Times New Roman" w:cs="宋体"/>
          <w:color w:val="000000"/>
          <w:kern w:val="0"/>
        </w:rPr>
        <w:t xml:space="preserve">) </w:t>
      </w:r>
      <w:r>
        <w:rPr>
          <w:rFonts w:hint="eastAsia" w:ascii="宋体" w:hAnsi="Times New Roman" w:cs="宋体"/>
          <w:color w:val="000000"/>
          <w:kern w:val="0"/>
        </w:rPr>
        <w:t>蒸馏</w:t>
      </w:r>
      <w:r>
        <w:rPr>
          <w:rFonts w:ascii="宋体" w:hAnsi="Times New Roman" w:cs="宋体"/>
          <w:color w:val="000000"/>
          <w:kern w:val="0"/>
        </w:rPr>
        <w:t>/</w:t>
      </w:r>
      <w:r>
        <w:rPr>
          <w:rFonts w:hint="eastAsia" w:ascii="宋体" w:hAnsi="Times New Roman" w:cs="宋体"/>
          <w:color w:val="000000"/>
          <w:kern w:val="0"/>
        </w:rPr>
        <w:t>精馏釜出渣（蒸</w:t>
      </w:r>
      <w:r>
        <w:rPr>
          <w:rFonts w:ascii="宋体" w:hAnsi="Times New Roman" w:cs="宋体"/>
          <w:color w:val="000000"/>
          <w:kern w:val="0"/>
        </w:rPr>
        <w:t>/</w:t>
      </w:r>
      <w:r>
        <w:rPr>
          <w:rFonts w:hint="eastAsia" w:ascii="宋体" w:hAnsi="Times New Roman" w:cs="宋体"/>
          <w:color w:val="000000"/>
          <w:kern w:val="0"/>
        </w:rPr>
        <w:t>精馏残渣）产生的废气排至</w:t>
      </w:r>
      <w:r>
        <w:rPr>
          <w:rFonts w:ascii="宋体" w:hAnsi="Times New Roman" w:cs="宋体"/>
          <w:color w:val="000000"/>
          <w:kern w:val="0"/>
        </w:rPr>
        <w:t xml:space="preserve">VOCs </w:t>
      </w:r>
      <w:r>
        <w:rPr>
          <w:rFonts w:hint="eastAsia" w:ascii="宋体" w:hAnsi="Times New Roman" w:cs="宋体"/>
          <w:color w:val="000000"/>
          <w:kern w:val="0"/>
        </w:rPr>
        <w:t>废气收集处理系统，蒸馏</w:t>
      </w:r>
      <w:r>
        <w:rPr>
          <w:rFonts w:ascii="宋体" w:hAnsi="Times New Roman" w:cs="宋体"/>
          <w:color w:val="000000"/>
          <w:kern w:val="0"/>
        </w:rPr>
        <w:t>/</w:t>
      </w:r>
      <w:r>
        <w:rPr>
          <w:rFonts w:hint="eastAsia" w:ascii="宋体" w:hAnsi="Times New Roman" w:cs="宋体"/>
          <w:color w:val="000000"/>
          <w:kern w:val="0"/>
        </w:rPr>
        <w:t>精馏釜清洗产生的废液采用管道密闭收集并输送至废水集输系统或密闭废液储槽，储槽放空尾气密闭收集。</w:t>
      </w:r>
    </w:p>
    <w:p w14:paraId="7C4702B3">
      <w:pPr>
        <w:pStyle w:val="56"/>
        <w:ind w:firstLine="420"/>
        <w:rPr>
          <w:rFonts w:cs="宋体"/>
          <w:color w:val="000000"/>
          <w:szCs w:val="21"/>
        </w:rPr>
      </w:pPr>
      <w:r>
        <w:rPr>
          <w:rFonts w:hint="eastAsia" w:cs="宋体"/>
          <w:color w:val="000000"/>
          <w:szCs w:val="21"/>
        </w:rPr>
        <w:t>4</w:t>
      </w:r>
      <w:r>
        <w:rPr>
          <w:rFonts w:cs="宋体"/>
          <w:color w:val="000000"/>
          <w:szCs w:val="21"/>
        </w:rPr>
        <w:t xml:space="preserve">.4.3.6 </w:t>
      </w:r>
      <w:r>
        <w:rPr>
          <w:rFonts w:hint="eastAsia" w:cs="宋体"/>
          <w:color w:val="000000"/>
          <w:szCs w:val="21"/>
        </w:rPr>
        <w:t>干燥技术</w:t>
      </w:r>
    </w:p>
    <w:p w14:paraId="1E780A9F">
      <w:pPr>
        <w:autoSpaceDE w:val="0"/>
        <w:autoSpaceDN w:val="0"/>
        <w:spacing w:line="240" w:lineRule="auto"/>
        <w:ind w:firstLine="420" w:firstLineChars="200"/>
        <w:jc w:val="left"/>
        <w:rPr>
          <w:rFonts w:ascii="宋体" w:hAnsi="Times New Roman" w:cs="宋体"/>
          <w:color w:val="000000"/>
          <w:kern w:val="0"/>
        </w:rPr>
      </w:pPr>
      <w:r>
        <w:rPr>
          <w:rFonts w:hint="eastAsia" w:ascii="宋体" w:hAnsi="Times New Roman" w:cs="宋体"/>
          <w:color w:val="000000"/>
          <w:kern w:val="0"/>
        </w:rPr>
        <w:t>a</w:t>
      </w:r>
      <w:r>
        <w:rPr>
          <w:rFonts w:ascii="宋体" w:hAnsi="Times New Roman" w:cs="宋体"/>
          <w:color w:val="000000"/>
          <w:kern w:val="0"/>
        </w:rPr>
        <w:t>)</w:t>
      </w:r>
      <w:r>
        <w:rPr>
          <w:rFonts w:hint="eastAsia" w:ascii="宋体" w:hAnsi="Times New Roman" w:cs="宋体"/>
          <w:color w:val="000000"/>
          <w:kern w:val="0"/>
        </w:rPr>
        <w:t xml:space="preserve"> 采用耙式干燥、单锥干燥、双锥干燥、真空烘箱等先进干燥设备，干燥过程中产生的真空尾气优先冷凝回收物料，不凝气排至</w:t>
      </w:r>
      <w:r>
        <w:rPr>
          <w:rFonts w:ascii="宋体" w:hAnsi="Times New Roman" w:cs="宋体"/>
          <w:color w:val="000000"/>
          <w:kern w:val="0"/>
        </w:rPr>
        <w:t xml:space="preserve">VOCs </w:t>
      </w:r>
      <w:r>
        <w:rPr>
          <w:rFonts w:hint="eastAsia" w:ascii="宋体" w:hAnsi="Times New Roman" w:cs="宋体"/>
          <w:color w:val="000000"/>
          <w:kern w:val="0"/>
        </w:rPr>
        <w:t>废气收集处理系统.</w:t>
      </w:r>
    </w:p>
    <w:p w14:paraId="0D0C781A">
      <w:pPr>
        <w:autoSpaceDE w:val="0"/>
        <w:autoSpaceDN w:val="0"/>
        <w:spacing w:line="240" w:lineRule="auto"/>
        <w:ind w:firstLine="420" w:firstLineChars="200"/>
        <w:jc w:val="left"/>
        <w:rPr>
          <w:rFonts w:ascii="宋体" w:hAnsi="Times New Roman" w:cs="宋体"/>
          <w:color w:val="000000"/>
          <w:kern w:val="0"/>
        </w:rPr>
      </w:pPr>
      <w:r>
        <w:rPr>
          <w:rFonts w:ascii="宋体" w:hAnsi="Times New Roman" w:cs="宋体"/>
          <w:color w:val="000000"/>
          <w:kern w:val="0"/>
        </w:rPr>
        <w:t>b</w:t>
      </w:r>
      <w:r>
        <w:rPr>
          <w:rFonts w:hint="eastAsia" w:ascii="宋体" w:hAnsi="Times New Roman" w:cs="宋体"/>
          <w:color w:val="000000"/>
          <w:kern w:val="0"/>
        </w:rPr>
        <w:t>）采用箱式干燥机时，则对相关生产区域进行密闭隔离，采用负压排气将无组织废气排至</w:t>
      </w:r>
      <w:r>
        <w:rPr>
          <w:rFonts w:ascii="宋体" w:hAnsi="Times New Roman" w:cs="宋体"/>
          <w:color w:val="000000"/>
          <w:kern w:val="0"/>
        </w:rPr>
        <w:t xml:space="preserve">VOCs </w:t>
      </w:r>
      <w:r>
        <w:rPr>
          <w:rFonts w:hint="eastAsia" w:ascii="宋体" w:hAnsi="Times New Roman" w:cs="宋体"/>
          <w:color w:val="000000"/>
          <w:kern w:val="0"/>
        </w:rPr>
        <w:t>废气收集处理系统。</w:t>
      </w:r>
    </w:p>
    <w:p w14:paraId="5E2BFBCD">
      <w:pPr>
        <w:autoSpaceDE w:val="0"/>
        <w:autoSpaceDN w:val="0"/>
        <w:spacing w:line="240" w:lineRule="auto"/>
        <w:ind w:firstLine="420" w:firstLineChars="200"/>
        <w:jc w:val="left"/>
        <w:rPr>
          <w:rFonts w:ascii="宋体" w:hAnsi="Times New Roman" w:cs="宋体"/>
          <w:color w:val="000000"/>
          <w:kern w:val="0"/>
        </w:rPr>
      </w:pPr>
      <w:r>
        <w:rPr>
          <w:rFonts w:hint="eastAsia" w:ascii="宋体" w:hAnsi="Times New Roman" w:cs="宋体"/>
          <w:color w:val="000000"/>
          <w:kern w:val="0"/>
        </w:rPr>
        <w:t>c</w:t>
      </w:r>
      <w:r>
        <w:rPr>
          <w:rFonts w:ascii="宋体" w:hAnsi="Times New Roman" w:cs="宋体"/>
          <w:color w:val="000000"/>
          <w:kern w:val="0"/>
        </w:rPr>
        <w:t>)</w:t>
      </w:r>
      <w:r>
        <w:rPr>
          <w:rFonts w:hint="eastAsia" w:ascii="宋体" w:hAnsi="Times New Roman" w:cs="宋体"/>
          <w:color w:val="000000"/>
          <w:kern w:val="0"/>
        </w:rPr>
        <w:t xml:space="preserve"> 采用喷雾干燥、气流干燥机等常压干燥时，干燥过程中产生的无组织废气排至</w:t>
      </w:r>
      <w:r>
        <w:rPr>
          <w:rFonts w:ascii="宋体" w:hAnsi="Times New Roman" w:cs="宋体"/>
          <w:color w:val="000000"/>
          <w:kern w:val="0"/>
        </w:rPr>
        <w:t xml:space="preserve">VOCs </w:t>
      </w:r>
      <w:r>
        <w:rPr>
          <w:rFonts w:hint="eastAsia" w:ascii="宋体" w:hAnsi="Times New Roman" w:cs="宋体"/>
          <w:color w:val="000000"/>
          <w:kern w:val="0"/>
        </w:rPr>
        <w:t>废气收集处理系统。</w:t>
      </w:r>
    </w:p>
    <w:p w14:paraId="46544CFB">
      <w:pPr>
        <w:pStyle w:val="165"/>
        <w:rPr>
          <w:rFonts w:cs="宋体"/>
        </w:rPr>
      </w:pPr>
      <w:r>
        <w:rPr>
          <w:rFonts w:hint="eastAsia" w:cs="宋体"/>
        </w:rPr>
        <w:t>生产过程控制技术</w:t>
      </w:r>
    </w:p>
    <w:p w14:paraId="5BE81B12">
      <w:pPr>
        <w:pStyle w:val="165"/>
        <w:numPr>
          <w:ilvl w:val="0"/>
          <w:numId w:val="0"/>
        </w:numPr>
        <w:ind w:firstLine="420" w:firstLineChars="200"/>
        <w:rPr>
          <w:rFonts w:cs="宋体"/>
          <w:color w:val="000000"/>
          <w:szCs w:val="21"/>
        </w:rPr>
      </w:pPr>
      <w:r>
        <w:rPr>
          <w:rFonts w:cs="宋体"/>
          <w:color w:val="000000"/>
          <w:szCs w:val="21"/>
        </w:rPr>
        <w:t xml:space="preserve">4.4.4.1 </w:t>
      </w:r>
      <w:r>
        <w:rPr>
          <w:rFonts w:hint="eastAsia" w:cs="宋体"/>
          <w:color w:val="000000"/>
          <w:szCs w:val="21"/>
        </w:rPr>
        <w:t>超声波、负离子空气洗瓶技术：</w:t>
      </w:r>
    </w:p>
    <w:p w14:paraId="2E270EDC">
      <w:pPr>
        <w:pStyle w:val="228"/>
        <w:ind w:firstLine="420" w:firstLineChars="200"/>
        <w:rPr>
          <w:rFonts w:hAnsi="Times New Roman"/>
          <w:sz w:val="21"/>
          <w:szCs w:val="21"/>
        </w:rPr>
      </w:pPr>
      <w:r>
        <w:rPr>
          <w:rFonts w:ascii="Times New Roman" w:hAnsi="Times New Roman" w:cs="Times New Roman"/>
          <w:sz w:val="21"/>
          <w:szCs w:val="21"/>
        </w:rPr>
        <w:t>a</w:t>
      </w:r>
      <w:r>
        <w:rPr>
          <w:rFonts w:hint="eastAsia" w:hAnsi="Times New Roman"/>
          <w:sz w:val="21"/>
          <w:szCs w:val="21"/>
        </w:rPr>
        <w:t>）超声波洗瓶技术适用于玻璃瓶、塑料瓶等清洗，利用超声波粗洗及高压水多级冲洗，使瓶子达到洁净要求，有利于减少玻璃瓶破损率，西林瓶利用率可达到</w:t>
      </w:r>
      <w:r>
        <w:rPr>
          <w:rFonts w:ascii="Times New Roman" w:hAnsi="Times New Roman" w:cs="Times New Roman"/>
          <w:sz w:val="21"/>
          <w:szCs w:val="21"/>
        </w:rPr>
        <w:t>100%</w:t>
      </w:r>
      <w:r>
        <w:rPr>
          <w:rFonts w:hint="eastAsia" w:hAnsi="Times New Roman"/>
          <w:sz w:val="21"/>
          <w:szCs w:val="21"/>
        </w:rPr>
        <w:t>，生产能力是毛刷洗瓶机的</w:t>
      </w:r>
      <w:r>
        <w:rPr>
          <w:rFonts w:ascii="Times New Roman" w:hAnsi="Times New Roman" w:cs="Times New Roman"/>
          <w:sz w:val="21"/>
          <w:szCs w:val="21"/>
        </w:rPr>
        <w:t>3~4</w:t>
      </w:r>
      <w:r>
        <w:rPr>
          <w:rFonts w:hint="eastAsia" w:hAnsi="Times New Roman"/>
          <w:sz w:val="21"/>
          <w:szCs w:val="21"/>
        </w:rPr>
        <w:t>倍，用水量较毛刷洗瓶机减少</w:t>
      </w:r>
      <w:r>
        <w:rPr>
          <w:rFonts w:ascii="Times New Roman" w:hAnsi="Times New Roman" w:cs="Times New Roman"/>
          <w:sz w:val="21"/>
          <w:szCs w:val="21"/>
        </w:rPr>
        <w:t>25%</w:t>
      </w:r>
      <w:r>
        <w:rPr>
          <w:rFonts w:hint="eastAsia" w:hAnsi="Times New Roman"/>
          <w:sz w:val="21"/>
          <w:szCs w:val="21"/>
        </w:rPr>
        <w:t>。</w:t>
      </w:r>
    </w:p>
    <w:p w14:paraId="635EEBA1">
      <w:pPr>
        <w:pStyle w:val="165"/>
        <w:numPr>
          <w:ilvl w:val="0"/>
          <w:numId w:val="0"/>
        </w:numPr>
        <w:ind w:firstLine="420" w:firstLineChars="200"/>
        <w:rPr>
          <w:rFonts w:cs="宋体"/>
          <w:color w:val="000000"/>
          <w:szCs w:val="21"/>
        </w:rPr>
      </w:pPr>
      <w:r>
        <w:rPr>
          <w:rFonts w:ascii="Times New Roman"/>
          <w:color w:val="000000"/>
          <w:szCs w:val="21"/>
        </w:rPr>
        <w:t>b</w:t>
      </w:r>
      <w:r>
        <w:rPr>
          <w:rFonts w:hint="eastAsia" w:cs="宋体"/>
          <w:color w:val="000000"/>
          <w:szCs w:val="21"/>
        </w:rPr>
        <w:t>）负离子空气洗瓶技术适用于塑料瓶清洗，不适用于玻璃瓶。利用产生的负离子风吸附尘埃上的静电去除粉尘，该技术是一种干洗技术，节水、节能、不使用清洗剂，无污染。负离子空气洗瓶较水清洗瓶费用降低</w:t>
      </w:r>
      <w:r>
        <w:rPr>
          <w:rFonts w:ascii="Times New Roman"/>
          <w:color w:val="000000"/>
          <w:szCs w:val="21"/>
        </w:rPr>
        <w:t>60</w:t>
      </w:r>
      <w:r>
        <w:rPr>
          <w:rFonts w:hint="eastAsia" w:cs="宋体"/>
          <w:color w:val="000000"/>
          <w:szCs w:val="21"/>
        </w:rPr>
        <w:t>％以上。</w:t>
      </w:r>
    </w:p>
    <w:p w14:paraId="3908105D">
      <w:pPr>
        <w:pStyle w:val="165"/>
        <w:numPr>
          <w:ilvl w:val="0"/>
          <w:numId w:val="0"/>
        </w:numPr>
        <w:ind w:firstLine="420" w:firstLineChars="200"/>
        <w:rPr>
          <w:szCs w:val="21"/>
        </w:rPr>
      </w:pPr>
      <w:r>
        <w:rPr>
          <w:rFonts w:hint="eastAsia" w:cs="宋体"/>
          <w:color w:val="000000"/>
          <w:szCs w:val="21"/>
        </w:rPr>
        <w:t>4</w:t>
      </w:r>
      <w:r>
        <w:rPr>
          <w:rFonts w:cs="宋体"/>
          <w:color w:val="000000"/>
          <w:szCs w:val="21"/>
        </w:rPr>
        <w:t xml:space="preserve">.4.4.2 </w:t>
      </w:r>
      <w:r>
        <w:rPr>
          <w:rFonts w:hint="eastAsia"/>
          <w:szCs w:val="21"/>
        </w:rPr>
        <w:t>三合一无菌制剂生产技术</w:t>
      </w:r>
    </w:p>
    <w:p w14:paraId="46930CCC">
      <w:pPr>
        <w:pStyle w:val="165"/>
        <w:numPr>
          <w:ilvl w:val="0"/>
          <w:numId w:val="0"/>
        </w:numPr>
        <w:ind w:firstLine="420" w:firstLineChars="200"/>
        <w:rPr>
          <w:szCs w:val="21"/>
        </w:rPr>
      </w:pPr>
      <w:r>
        <w:rPr>
          <w:rFonts w:hint="eastAsia"/>
          <w:szCs w:val="21"/>
        </w:rPr>
        <w:t>该技术适用于无菌制剂塑料容器的吹塑制瓶、灌装、封口全过程。在无菌状态下，该技术可在塑料容器内单机完成制瓶、液体灌装、封口三项工序，无需洗瓶，设备占地面积小，单位产品生产成本下降</w:t>
      </w:r>
      <w:r>
        <w:rPr>
          <w:rFonts w:ascii="Times New Roman"/>
          <w:szCs w:val="21"/>
        </w:rPr>
        <w:t>20%</w:t>
      </w:r>
      <w:r>
        <w:rPr>
          <w:rFonts w:hint="eastAsia"/>
          <w:szCs w:val="21"/>
        </w:rPr>
        <w:t>。</w:t>
      </w:r>
    </w:p>
    <w:p w14:paraId="15E8AA85">
      <w:pPr>
        <w:pStyle w:val="165"/>
        <w:numPr>
          <w:ilvl w:val="0"/>
          <w:numId w:val="0"/>
        </w:numPr>
        <w:ind w:firstLine="420" w:firstLineChars="200"/>
        <w:rPr>
          <w:rFonts w:cs="宋体"/>
        </w:rPr>
      </w:pPr>
      <w:r>
        <w:rPr>
          <w:szCs w:val="21"/>
        </w:rPr>
        <w:t xml:space="preserve">4.4.4.3 </w:t>
      </w:r>
      <w:r>
        <w:rPr>
          <w:rFonts w:hint="eastAsia"/>
          <w:szCs w:val="21"/>
        </w:rPr>
        <w:t>真空设备</w:t>
      </w:r>
    </w:p>
    <w:p w14:paraId="76B040ED">
      <w:pPr>
        <w:autoSpaceDE w:val="0"/>
        <w:autoSpaceDN w:val="0"/>
        <w:spacing w:line="240" w:lineRule="auto"/>
        <w:ind w:firstLine="420" w:firstLineChars="200"/>
        <w:jc w:val="left"/>
        <w:rPr>
          <w:rFonts w:ascii="宋体"/>
          <w:kern w:val="0"/>
        </w:rPr>
      </w:pPr>
      <w:r>
        <w:rPr>
          <w:rFonts w:hint="eastAsia" w:ascii="宋体" w:hAnsi="Times New Roman"/>
          <w:kern w:val="0"/>
        </w:rPr>
        <w:t>真空系统采用干式真空泵，真空排气排至</w:t>
      </w:r>
      <w:r>
        <w:rPr>
          <w:rFonts w:ascii="宋体" w:hAnsi="Times New Roman"/>
          <w:kern w:val="0"/>
        </w:rPr>
        <w:t xml:space="preserve">VOCs </w:t>
      </w:r>
      <w:r>
        <w:rPr>
          <w:rFonts w:hint="eastAsia" w:ascii="宋体" w:hAnsi="Times New Roman"/>
          <w:kern w:val="0"/>
        </w:rPr>
        <w:t>废气收集处理系统；若使用液环（水环）真空泵、水（水蒸气）喷射真空泵等，工作介质的循环槽（罐）密闭，真空排气、循环槽（罐）</w:t>
      </w:r>
      <w:r>
        <w:rPr>
          <w:rFonts w:hint="eastAsia" w:ascii="宋体"/>
          <w:kern w:val="0"/>
        </w:rPr>
        <w:t>排气排至</w:t>
      </w:r>
      <w:r>
        <w:rPr>
          <w:rFonts w:ascii="宋体"/>
          <w:kern w:val="0"/>
        </w:rPr>
        <w:t xml:space="preserve">VOCs </w:t>
      </w:r>
      <w:r>
        <w:rPr>
          <w:rFonts w:hint="eastAsia" w:ascii="宋体"/>
          <w:kern w:val="0"/>
        </w:rPr>
        <w:t>废气收集处理系统。</w:t>
      </w:r>
    </w:p>
    <w:p w14:paraId="445D5F42">
      <w:pPr>
        <w:pStyle w:val="105"/>
        <w:spacing w:beforeLines="0" w:afterLines="0" w:line="360" w:lineRule="exact"/>
        <w:ind w:left="142"/>
        <w:rPr>
          <w:rFonts w:ascii="Times New Roman" w:eastAsia="宋体"/>
        </w:rPr>
      </w:pPr>
      <w:bookmarkStart w:id="246" w:name="_Toc149654144"/>
      <w:r>
        <w:rPr>
          <w:rFonts w:hint="eastAsia" w:ascii="Times New Roman" w:eastAsia="宋体"/>
        </w:rPr>
        <w:t>设备改进技术</w:t>
      </w:r>
      <w:bookmarkEnd w:id="246"/>
    </w:p>
    <w:p w14:paraId="0F0FA8FB">
      <w:pPr>
        <w:pStyle w:val="165"/>
        <w:rPr>
          <w:rFonts w:cs="宋体"/>
        </w:rPr>
      </w:pPr>
      <w:r>
        <w:rPr>
          <w:rFonts w:hint="eastAsia" w:cs="宋体"/>
        </w:rPr>
        <w:t>设备及管线组件</w:t>
      </w:r>
    </w:p>
    <w:p w14:paraId="102E4D26">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a</w:t>
      </w:r>
      <w:r>
        <w:rPr>
          <w:rFonts w:hint="eastAsia" w:ascii="宋体" w:hAnsi="Times New Roman" w:cs="宋体"/>
          <w:color w:val="000000"/>
          <w:kern w:val="0"/>
        </w:rPr>
        <w:t>）优先采用低泄漏或无泄漏的泵、压缩机、搅拌机等设备和管线组件。</w:t>
      </w:r>
    </w:p>
    <w:p w14:paraId="5B5260E7">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b</w:t>
      </w:r>
      <w:r>
        <w:rPr>
          <w:rFonts w:hint="eastAsia" w:ascii="宋体" w:hAnsi="Times New Roman" w:cs="宋体"/>
          <w:color w:val="000000"/>
          <w:kern w:val="0"/>
        </w:rPr>
        <w:t>）宜减少阀门数量，并采用低泄漏或无泄漏的阀门，如屏蔽阀、隔膜阀、波纹管阀或具有同等效能的阀，以及上游配有爆破片的泄压阀。</w:t>
      </w:r>
    </w:p>
    <w:p w14:paraId="025C5D4E">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c</w:t>
      </w:r>
      <w:r>
        <w:rPr>
          <w:rFonts w:hint="eastAsia" w:ascii="宋体" w:hAnsi="Times New Roman" w:cs="宋体"/>
          <w:color w:val="000000"/>
          <w:kern w:val="0"/>
        </w:rPr>
        <w:t>）宜减少管线法兰的数量。对于不需要活动连接的，宜采用焊接管替代法兰；对于无法焊接的，采用密封性能好的密封垫，如聚四氟乙烯、石墨密封垫等。</w:t>
      </w:r>
    </w:p>
    <w:p w14:paraId="2C743594">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d</w:t>
      </w:r>
      <w:r>
        <w:rPr>
          <w:rFonts w:hint="eastAsia" w:ascii="宋体" w:hAnsi="Times New Roman" w:cs="宋体"/>
          <w:color w:val="000000"/>
          <w:kern w:val="0"/>
        </w:rPr>
        <w:t>）开口阀或开口管线配备合适尺寸的盖子、盲法兰、塞子或二次阀，采用二次阀时，应在关闭二次阀之前关闭管线上游的阀门。</w:t>
      </w:r>
    </w:p>
    <w:p w14:paraId="2A57E3D7">
      <w:pPr>
        <w:autoSpaceDE w:val="0"/>
        <w:autoSpaceDN w:val="0"/>
        <w:spacing w:line="240" w:lineRule="auto"/>
        <w:ind w:firstLine="420" w:firstLineChars="200"/>
        <w:jc w:val="left"/>
        <w:rPr>
          <w:rFonts w:ascii="宋体"/>
          <w:kern w:val="0"/>
        </w:rPr>
      </w:pPr>
      <w:r>
        <w:rPr>
          <w:rFonts w:ascii="Times New Roman" w:hAnsi="Times New Roman"/>
          <w:color w:val="000000"/>
          <w:kern w:val="0"/>
        </w:rPr>
        <w:t>e</w:t>
      </w:r>
      <w:r>
        <w:rPr>
          <w:rFonts w:hint="eastAsia" w:ascii="宋体" w:hAnsi="Times New Roman" w:cs="宋体"/>
          <w:color w:val="000000"/>
          <w:kern w:val="0"/>
        </w:rPr>
        <w:t>）气态</w:t>
      </w:r>
      <w:r>
        <w:rPr>
          <w:rFonts w:ascii="Times New Roman" w:hAnsi="Times New Roman"/>
          <w:color w:val="000000"/>
          <w:kern w:val="0"/>
        </w:rPr>
        <w:t>VOCs</w:t>
      </w:r>
      <w:r>
        <w:rPr>
          <w:rFonts w:hint="eastAsia" w:ascii="宋体" w:hAnsi="Times New Roman" w:cs="宋体"/>
          <w:color w:val="000000"/>
          <w:kern w:val="0"/>
        </w:rPr>
        <w:t>物料和挥发性有机液体采用在线取样分析系统，或采用密闭回路式取样连接系统，或将采样废气排入收集处理系统。</w:t>
      </w:r>
    </w:p>
    <w:p w14:paraId="6E4E69BF">
      <w:pPr>
        <w:pStyle w:val="165"/>
        <w:rPr>
          <w:rFonts w:cs="宋体"/>
        </w:rPr>
      </w:pPr>
      <w:r>
        <w:rPr>
          <w:rFonts w:hint="eastAsia" w:cs="宋体"/>
        </w:rPr>
        <w:t>工艺设备</w:t>
      </w:r>
    </w:p>
    <w:p w14:paraId="64623CA4">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a</w:t>
      </w:r>
      <w:r>
        <w:rPr>
          <w:rFonts w:hint="eastAsia" w:ascii="宋体" w:hAnsi="Times New Roman" w:cs="宋体"/>
          <w:color w:val="000000"/>
          <w:kern w:val="0"/>
        </w:rPr>
        <w:t>）鼓励提升工艺装备水平，采用连续化、自动化、密闭性生产工艺设备，减少物料转运次数。</w:t>
      </w:r>
    </w:p>
    <w:p w14:paraId="27BD3D3E">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b</w:t>
      </w:r>
      <w:r>
        <w:rPr>
          <w:rFonts w:hint="eastAsia" w:ascii="宋体" w:hAnsi="Times New Roman" w:cs="宋体"/>
          <w:color w:val="000000"/>
          <w:kern w:val="0"/>
        </w:rPr>
        <w:t>）宜采用垂直布置流程，选用</w:t>
      </w:r>
      <w:r>
        <w:rPr>
          <w:rFonts w:ascii="宋体" w:hAnsi="Times New Roman" w:cs="宋体"/>
          <w:color w:val="000000"/>
          <w:kern w:val="0"/>
        </w:rPr>
        <w:t>“</w:t>
      </w:r>
      <w:r>
        <w:rPr>
          <w:rFonts w:hint="eastAsia" w:ascii="宋体" w:hAnsi="Times New Roman" w:cs="宋体"/>
          <w:color w:val="000000"/>
          <w:kern w:val="0"/>
        </w:rPr>
        <w:t>离心</w:t>
      </w:r>
      <w:r>
        <w:rPr>
          <w:rFonts w:ascii="Times New Roman" w:hAnsi="Times New Roman"/>
          <w:color w:val="000000"/>
          <w:kern w:val="0"/>
        </w:rPr>
        <w:t>/</w:t>
      </w:r>
      <w:r>
        <w:rPr>
          <w:rFonts w:hint="eastAsia" w:ascii="宋体" w:hAnsi="Times New Roman" w:cs="宋体"/>
          <w:color w:val="000000"/>
          <w:kern w:val="0"/>
        </w:rPr>
        <w:t>压滤</w:t>
      </w:r>
      <w:r>
        <w:rPr>
          <w:rFonts w:ascii="Times New Roman" w:hAnsi="Times New Roman"/>
          <w:color w:val="000000"/>
          <w:kern w:val="0"/>
        </w:rPr>
        <w:t>-</w:t>
      </w:r>
      <w:r>
        <w:rPr>
          <w:rFonts w:hint="eastAsia" w:ascii="宋体" w:hAnsi="Times New Roman" w:cs="宋体"/>
          <w:color w:val="000000"/>
          <w:kern w:val="0"/>
        </w:rPr>
        <w:t>洗涤</w:t>
      </w:r>
      <w:r>
        <w:rPr>
          <w:rFonts w:ascii="宋体" w:hAnsi="Times New Roman" w:cs="宋体"/>
          <w:color w:val="000000"/>
          <w:kern w:val="0"/>
        </w:rPr>
        <w:t>”</w:t>
      </w:r>
      <w:r>
        <w:rPr>
          <w:rFonts w:hint="eastAsia" w:ascii="宋体" w:hAnsi="Times New Roman" w:cs="宋体"/>
          <w:color w:val="000000"/>
          <w:kern w:val="0"/>
        </w:rPr>
        <w:t>二合一或</w:t>
      </w:r>
      <w:r>
        <w:rPr>
          <w:rFonts w:ascii="宋体" w:hAnsi="Times New Roman" w:cs="宋体"/>
          <w:color w:val="000000"/>
          <w:kern w:val="0"/>
        </w:rPr>
        <w:t>“</w:t>
      </w:r>
      <w:r>
        <w:rPr>
          <w:rFonts w:hint="eastAsia" w:ascii="宋体" w:hAnsi="Times New Roman" w:cs="宋体"/>
          <w:color w:val="000000"/>
          <w:kern w:val="0"/>
        </w:rPr>
        <w:t>离心</w:t>
      </w:r>
      <w:r>
        <w:rPr>
          <w:rFonts w:ascii="Times New Roman" w:hAnsi="Times New Roman"/>
          <w:color w:val="000000"/>
          <w:kern w:val="0"/>
        </w:rPr>
        <w:t>/</w:t>
      </w:r>
      <w:r>
        <w:rPr>
          <w:rFonts w:hint="eastAsia" w:ascii="宋体" w:hAnsi="Times New Roman" w:cs="宋体"/>
          <w:color w:val="000000"/>
          <w:kern w:val="0"/>
        </w:rPr>
        <w:t>压滤</w:t>
      </w:r>
      <w:r>
        <w:rPr>
          <w:rFonts w:ascii="Times New Roman" w:hAnsi="Times New Roman"/>
          <w:color w:val="000000"/>
          <w:kern w:val="0"/>
        </w:rPr>
        <w:t>-</w:t>
      </w:r>
      <w:r>
        <w:rPr>
          <w:rFonts w:hint="eastAsia" w:ascii="宋体" w:hAnsi="Times New Roman" w:cs="宋体"/>
          <w:color w:val="000000"/>
          <w:kern w:val="0"/>
        </w:rPr>
        <w:t>洗涤</w:t>
      </w:r>
      <w:r>
        <w:rPr>
          <w:rFonts w:ascii="Times New Roman" w:hAnsi="Times New Roman"/>
          <w:color w:val="000000"/>
          <w:kern w:val="0"/>
        </w:rPr>
        <w:t>-</w:t>
      </w:r>
      <w:r>
        <w:rPr>
          <w:rFonts w:hint="eastAsia" w:ascii="宋体" w:hAnsi="Times New Roman" w:cs="宋体"/>
          <w:color w:val="000000"/>
          <w:kern w:val="0"/>
        </w:rPr>
        <w:t>干燥</w:t>
      </w:r>
      <w:r>
        <w:rPr>
          <w:rFonts w:ascii="宋体" w:hAnsi="Times New Roman" w:cs="宋体"/>
          <w:color w:val="000000"/>
          <w:kern w:val="0"/>
        </w:rPr>
        <w:t>”</w:t>
      </w:r>
      <w:r>
        <w:rPr>
          <w:rFonts w:hint="eastAsia" w:ascii="宋体" w:hAnsi="Times New Roman" w:cs="宋体"/>
          <w:color w:val="000000"/>
          <w:kern w:val="0"/>
        </w:rPr>
        <w:t>三合一的设备，通过合理布置实现全封闭生产。</w:t>
      </w:r>
    </w:p>
    <w:p w14:paraId="210CDBDB">
      <w:pPr>
        <w:autoSpaceDE w:val="0"/>
        <w:autoSpaceDN w:val="0"/>
        <w:spacing w:line="240" w:lineRule="auto"/>
        <w:ind w:firstLine="420" w:firstLineChars="200"/>
        <w:jc w:val="left"/>
        <w:rPr>
          <w:rFonts w:ascii="宋体" w:hAnsi="Times New Roman" w:cs="宋体"/>
          <w:color w:val="000000"/>
          <w:kern w:val="0"/>
        </w:rPr>
      </w:pPr>
      <w:r>
        <w:rPr>
          <w:rFonts w:ascii="Times New Roman" w:hAnsi="Times New Roman"/>
          <w:color w:val="000000"/>
          <w:kern w:val="0"/>
        </w:rPr>
        <w:t>c</w:t>
      </w:r>
      <w:r>
        <w:rPr>
          <w:rFonts w:hint="eastAsia" w:ascii="宋体" w:hAnsi="Times New Roman" w:cs="宋体"/>
          <w:color w:val="000000"/>
          <w:kern w:val="0"/>
        </w:rPr>
        <w:t>）优先采用密闭的过滤机、离心机和干燥机等工艺设备，如全自动隔膜式压滤机、全密闭压滤罐或下出料离心机等封闭性好的固液分离设备，</w:t>
      </w:r>
      <w:r>
        <w:rPr>
          <w:rFonts w:ascii="宋体" w:hAnsi="Times New Roman" w:cs="宋体"/>
          <w:color w:val="000000"/>
          <w:kern w:val="0"/>
        </w:rPr>
        <w:t>“</w:t>
      </w:r>
      <w:r>
        <w:rPr>
          <w:rFonts w:hint="eastAsia" w:ascii="宋体" w:hAnsi="Times New Roman" w:cs="宋体"/>
          <w:color w:val="000000"/>
          <w:kern w:val="0"/>
        </w:rPr>
        <w:t>三合一</w:t>
      </w:r>
      <w:r>
        <w:rPr>
          <w:rFonts w:ascii="宋体" w:hAnsi="Times New Roman" w:cs="宋体"/>
          <w:color w:val="000000"/>
          <w:kern w:val="0"/>
        </w:rPr>
        <w:t>”</w:t>
      </w:r>
      <w:r>
        <w:rPr>
          <w:rFonts w:hint="eastAsia" w:ascii="宋体" w:hAnsi="Times New Roman" w:cs="宋体"/>
          <w:color w:val="000000"/>
          <w:kern w:val="0"/>
        </w:rPr>
        <w:t>设备、双（单）锥真空干燥机、闪蒸干燥机或喷雾干燥机等封闭性好的干燥设备等。</w:t>
      </w:r>
    </w:p>
    <w:p w14:paraId="42D31962">
      <w:pPr>
        <w:autoSpaceDE w:val="0"/>
        <w:autoSpaceDN w:val="0"/>
        <w:spacing w:line="240" w:lineRule="auto"/>
        <w:jc w:val="left"/>
      </w:pPr>
    </w:p>
    <w:p w14:paraId="772621F1">
      <w:pPr>
        <w:autoSpaceDE w:val="0"/>
        <w:autoSpaceDN w:val="0"/>
        <w:spacing w:line="240" w:lineRule="auto"/>
        <w:jc w:val="left"/>
      </w:pPr>
    </w:p>
    <w:p w14:paraId="6B36180A">
      <w:pPr>
        <w:pStyle w:val="104"/>
        <w:spacing w:before="312" w:after="312"/>
      </w:pPr>
      <w:bookmarkStart w:id="247" w:name="_Toc149654145"/>
      <w:r>
        <w:rPr>
          <w:rFonts w:hint="eastAsia"/>
        </w:rPr>
        <w:t>污染治理技术</w:t>
      </w:r>
      <w:bookmarkEnd w:id="247"/>
    </w:p>
    <w:p w14:paraId="61F9CC39">
      <w:pPr>
        <w:pStyle w:val="105"/>
        <w:spacing w:beforeLines="0" w:afterLines="0" w:line="360" w:lineRule="exact"/>
        <w:ind w:left="142"/>
        <w:rPr>
          <w:rFonts w:ascii="Times New Roman" w:eastAsia="宋体"/>
        </w:rPr>
      </w:pPr>
      <w:bookmarkStart w:id="248" w:name="_Toc149654146"/>
      <w:r>
        <w:rPr>
          <w:rFonts w:hint="eastAsia" w:ascii="Times New Roman" w:eastAsia="宋体"/>
        </w:rPr>
        <w:t>一般原则</w:t>
      </w:r>
      <w:bookmarkEnd w:id="248"/>
    </w:p>
    <w:p w14:paraId="111C2289">
      <w:pPr>
        <w:pStyle w:val="65"/>
        <w:snapToGrid w:val="0"/>
        <w:spacing w:before="156" w:after="156"/>
        <w:rPr>
          <w:rFonts w:ascii="宋体" w:hAnsi="宋体" w:eastAsia="宋体" w:cs="仿宋_GB2312"/>
        </w:rPr>
      </w:pPr>
      <w:r>
        <w:rPr>
          <w:rFonts w:hint="eastAsia" w:ascii="宋体" w:hAnsi="宋体" w:eastAsia="宋体" w:cs="仿宋_GB2312"/>
        </w:rPr>
        <w:t>从清洁生产的角度，通过原料替代，原料储运、投加方式的改进及先进的反应、分离工艺设备的采用，工艺过程中过滤、离心分离、萃取及干燥等排气的高效物料回收等措施，可有效减少颗粒物、酸碱废气及</w:t>
      </w:r>
      <w:r>
        <w:rPr>
          <w:rFonts w:ascii="宋体" w:hAnsi="宋体" w:eastAsia="宋体" w:cs="仿宋_GB2312"/>
        </w:rPr>
        <w:t xml:space="preserve">VOCs </w:t>
      </w:r>
      <w:r>
        <w:rPr>
          <w:rFonts w:hint="eastAsia" w:ascii="宋体" w:hAnsi="宋体" w:eastAsia="宋体" w:cs="仿宋_GB2312"/>
        </w:rPr>
        <w:t>等向大气的排放。</w:t>
      </w:r>
    </w:p>
    <w:p w14:paraId="7F65A820">
      <w:pPr>
        <w:pStyle w:val="65"/>
        <w:snapToGrid w:val="0"/>
        <w:spacing w:before="156" w:after="156"/>
        <w:rPr>
          <w:rFonts w:ascii="宋体" w:hAnsi="宋体" w:eastAsia="宋体" w:cs="仿宋_GB2312"/>
        </w:rPr>
      </w:pPr>
      <w:r>
        <w:rPr>
          <w:rFonts w:hint="eastAsia" w:ascii="宋体" w:hAnsi="宋体" w:eastAsia="宋体" w:cs="仿宋_GB2312"/>
        </w:rPr>
        <w:t>应加强对制药行业生产工艺过程废气的收集，减少</w:t>
      </w:r>
      <w:r>
        <w:rPr>
          <w:rFonts w:ascii="宋体" w:hAnsi="宋体" w:eastAsia="宋体" w:cs="仿宋_GB2312"/>
        </w:rPr>
        <w:t xml:space="preserve">VOCs </w:t>
      </w:r>
      <w:r>
        <w:rPr>
          <w:rFonts w:hint="eastAsia" w:ascii="宋体" w:hAnsi="宋体" w:eastAsia="宋体" w:cs="仿宋_GB2312"/>
        </w:rPr>
        <w:t>无组织排放。</w:t>
      </w:r>
      <w:r>
        <w:rPr>
          <w:rFonts w:ascii="宋体" w:hAnsi="宋体" w:eastAsia="宋体" w:cs="仿宋_GB2312"/>
        </w:rPr>
        <w:t xml:space="preserve">VOCs </w:t>
      </w:r>
      <w:r>
        <w:rPr>
          <w:rFonts w:hint="eastAsia" w:ascii="宋体" w:hAnsi="宋体" w:eastAsia="宋体" w:cs="仿宋_GB2312"/>
        </w:rPr>
        <w:t>无组织废气的收集和控制应符合</w:t>
      </w:r>
      <w:r>
        <w:rPr>
          <w:rFonts w:ascii="宋体" w:hAnsi="宋体" w:eastAsia="宋体" w:cs="仿宋_GB2312"/>
        </w:rPr>
        <w:t xml:space="preserve">DB31/310005 </w:t>
      </w:r>
      <w:r>
        <w:rPr>
          <w:rFonts w:hint="eastAsia" w:ascii="宋体" w:hAnsi="宋体" w:eastAsia="宋体" w:cs="仿宋_GB2312"/>
        </w:rPr>
        <w:t>的要求，废气收集技术可参考附录</w:t>
      </w:r>
      <w:r>
        <w:rPr>
          <w:rFonts w:ascii="宋体" w:hAnsi="宋体" w:eastAsia="宋体" w:cs="仿宋_GB2312"/>
        </w:rPr>
        <w:t>B</w:t>
      </w:r>
      <w:r>
        <w:rPr>
          <w:rFonts w:hint="eastAsia" w:ascii="宋体" w:hAnsi="宋体" w:eastAsia="宋体" w:cs="仿宋_GB2312"/>
        </w:rPr>
        <w:t>。</w:t>
      </w:r>
    </w:p>
    <w:p w14:paraId="79EFC2F7">
      <w:pPr>
        <w:pStyle w:val="65"/>
        <w:snapToGrid w:val="0"/>
        <w:spacing w:before="156" w:after="156"/>
        <w:rPr>
          <w:rFonts w:ascii="宋体" w:hAnsi="宋体" w:eastAsia="宋体" w:cs="仿宋_GB2312"/>
        </w:rPr>
      </w:pPr>
      <w:r>
        <w:rPr>
          <w:rFonts w:hint="eastAsia" w:ascii="宋体" w:hAnsi="宋体" w:eastAsia="宋体" w:cs="仿宋_GB2312"/>
        </w:rPr>
        <w:t>制药废气污染具有多样性和复杂性，单一技术难以实现污染物的有效控制，应加强制药废气尤其是含</w:t>
      </w:r>
      <w:r>
        <w:rPr>
          <w:rFonts w:ascii="宋体" w:hAnsi="宋体" w:eastAsia="宋体" w:cs="仿宋_GB2312"/>
        </w:rPr>
        <w:t>VOCs</w:t>
      </w:r>
      <w:r>
        <w:rPr>
          <w:rFonts w:hint="eastAsia" w:ascii="宋体" w:hAnsi="宋体" w:eastAsia="宋体" w:cs="仿宋_GB2312"/>
        </w:rPr>
        <w:t>废气治理技术的集成与优化。</w:t>
      </w:r>
    </w:p>
    <w:p w14:paraId="7E177AEF">
      <w:pPr>
        <w:pStyle w:val="65"/>
        <w:snapToGrid w:val="0"/>
        <w:spacing w:before="156" w:after="156"/>
        <w:rPr>
          <w:rFonts w:ascii="宋体" w:hAnsi="宋体" w:eastAsia="宋体" w:cs="仿宋_GB2312"/>
        </w:rPr>
      </w:pPr>
      <w:r>
        <w:rPr>
          <w:rFonts w:hint="eastAsia" w:ascii="宋体" w:hAnsi="宋体" w:eastAsia="宋体" w:cs="仿宋_GB2312"/>
        </w:rPr>
        <w:t>高浓度</w:t>
      </w:r>
      <w:r>
        <w:rPr>
          <w:rFonts w:ascii="宋体" w:hAnsi="宋体" w:eastAsia="宋体" w:cs="仿宋_GB2312"/>
        </w:rPr>
        <w:t xml:space="preserve">VOCs </w:t>
      </w:r>
      <w:r>
        <w:rPr>
          <w:rFonts w:hint="eastAsia" w:ascii="宋体" w:hAnsi="宋体" w:eastAsia="宋体" w:cs="仿宋_GB2312"/>
        </w:rPr>
        <w:t>废气，优先采用冷凝、吸附回收等技术对废气中的</w:t>
      </w:r>
      <w:r>
        <w:rPr>
          <w:rFonts w:ascii="宋体" w:hAnsi="宋体" w:eastAsia="宋体" w:cs="仿宋_GB2312"/>
        </w:rPr>
        <w:t xml:space="preserve">VOCs </w:t>
      </w:r>
      <w:r>
        <w:rPr>
          <w:rFonts w:hint="eastAsia" w:ascii="宋体" w:hAnsi="宋体" w:eastAsia="宋体" w:cs="仿宋_GB2312"/>
        </w:rPr>
        <w:t>回收利用，并辅以催化燃烧、热力燃烧等治理技术实现达标排放及</w:t>
      </w:r>
      <w:r>
        <w:rPr>
          <w:rFonts w:ascii="宋体" w:hAnsi="宋体" w:eastAsia="宋体" w:cs="仿宋_GB2312"/>
        </w:rPr>
        <w:t xml:space="preserve">VOCs </w:t>
      </w:r>
      <w:r>
        <w:rPr>
          <w:rFonts w:hint="eastAsia" w:ascii="宋体" w:hAnsi="宋体" w:eastAsia="宋体" w:cs="仿宋_GB2312"/>
        </w:rPr>
        <w:t>减排。采用燃烧法</w:t>
      </w:r>
      <w:r>
        <w:rPr>
          <w:rFonts w:ascii="宋体" w:hAnsi="宋体" w:eastAsia="宋体" w:cs="仿宋_GB2312"/>
        </w:rPr>
        <w:t xml:space="preserve">VOCs </w:t>
      </w:r>
      <w:r>
        <w:rPr>
          <w:rFonts w:hint="eastAsia" w:ascii="宋体" w:hAnsi="宋体" w:eastAsia="宋体" w:cs="仿宋_GB2312"/>
        </w:rPr>
        <w:t>治理技术产生的高温废气宜进行热能回收。</w:t>
      </w:r>
    </w:p>
    <w:p w14:paraId="65D410BE">
      <w:pPr>
        <w:pStyle w:val="65"/>
        <w:snapToGrid w:val="0"/>
        <w:spacing w:before="156" w:after="156"/>
        <w:rPr>
          <w:rFonts w:ascii="宋体" w:hAnsi="宋体" w:eastAsia="宋体" w:cs="仿宋_GB2312"/>
        </w:rPr>
      </w:pPr>
      <w:r>
        <w:rPr>
          <w:rFonts w:hint="eastAsia" w:ascii="宋体" w:hAnsi="宋体" w:eastAsia="宋体" w:cs="仿宋_GB2312"/>
        </w:rPr>
        <w:t>中、低浓度</w:t>
      </w:r>
      <w:r>
        <w:rPr>
          <w:rFonts w:ascii="宋体" w:hAnsi="宋体" w:eastAsia="宋体" w:cs="仿宋_GB2312"/>
        </w:rPr>
        <w:t xml:space="preserve">VOCs </w:t>
      </w:r>
      <w:r>
        <w:rPr>
          <w:rFonts w:hint="eastAsia" w:ascii="宋体" w:hAnsi="宋体" w:eastAsia="宋体" w:cs="仿宋_GB2312"/>
        </w:rPr>
        <w:t>废气，有回收价值时宜采用吸附技术回收处理，无回收价值时优先采用吸附浓缩－燃烧技术处理。</w:t>
      </w:r>
    </w:p>
    <w:p w14:paraId="139334D9">
      <w:pPr>
        <w:pStyle w:val="65"/>
        <w:snapToGrid w:val="0"/>
        <w:spacing w:before="156" w:after="156"/>
        <w:rPr>
          <w:rFonts w:ascii="宋体" w:hAnsi="宋体" w:eastAsia="宋体" w:cs="仿宋_GB2312"/>
        </w:rPr>
      </w:pPr>
      <w:r>
        <w:rPr>
          <w:rFonts w:hint="eastAsia" w:ascii="宋体" w:hAnsi="宋体" w:eastAsia="宋体" w:cs="仿宋_GB2312"/>
        </w:rPr>
        <w:t>含非水溶性组分的废气不得仅采用水或水溶液洗涤吸收方式处理，原则上禁止将高浓度废气直接与大风量、低浓度废气混合后处理。</w:t>
      </w:r>
    </w:p>
    <w:p w14:paraId="115F2AEC">
      <w:pPr>
        <w:pStyle w:val="65"/>
        <w:snapToGrid w:val="0"/>
        <w:spacing w:before="156" w:after="156"/>
        <w:rPr>
          <w:rFonts w:ascii="宋体" w:hAnsi="宋体" w:eastAsia="宋体" w:cs="仿宋_GB2312"/>
        </w:rPr>
      </w:pPr>
      <w:r>
        <w:rPr>
          <w:rFonts w:hint="eastAsia" w:ascii="宋体" w:hAnsi="宋体" w:eastAsia="宋体" w:cs="仿宋_GB2312"/>
        </w:rPr>
        <w:t>企业或生产设施应按照《病原微生物实验室生物安全管理条例》《病原微生物实验室生物安全环境管理办法》等有关规定，对涉及生物安全的废气进行灭活灭菌后才能排放，灭活灭菌方法应符合《消毒技术规范》的规定。</w:t>
      </w:r>
    </w:p>
    <w:p w14:paraId="388A92D3">
      <w:pPr>
        <w:pStyle w:val="105"/>
        <w:spacing w:before="93" w:beforeLines="30" w:after="93" w:afterLines="30"/>
        <w:ind w:left="0"/>
        <w:rPr>
          <w:rFonts w:ascii="Times New Roman" w:eastAsia="宋体"/>
          <w:szCs w:val="24"/>
        </w:rPr>
      </w:pPr>
      <w:bookmarkStart w:id="249" w:name="_Toc149654147"/>
      <w:r>
        <w:rPr>
          <w:rFonts w:hint="eastAsia" w:ascii="Times New Roman" w:eastAsia="宋体"/>
          <w:szCs w:val="24"/>
        </w:rPr>
        <w:t>含尘废气处理技术</w:t>
      </w:r>
      <w:bookmarkEnd w:id="249"/>
    </w:p>
    <w:p w14:paraId="372F8351">
      <w:pPr>
        <w:pStyle w:val="65"/>
        <w:snapToGrid w:val="0"/>
        <w:spacing w:before="156" w:after="156"/>
        <w:rPr>
          <w:rFonts w:ascii="宋体" w:hAnsi="宋体" w:eastAsia="宋体" w:cs="仿宋_GB2312"/>
        </w:rPr>
      </w:pPr>
      <w:r>
        <w:rPr>
          <w:rFonts w:hint="eastAsia" w:ascii="宋体" w:hAnsi="宋体" w:eastAsia="宋体" w:cs="仿宋_GB2312"/>
        </w:rPr>
        <w:t>袋式除尘技术：袋式除尘技术是利用纤维织物的过滤作用对含尘气体进行净化，可去除粒径</w:t>
      </w:r>
      <w:r>
        <w:rPr>
          <w:rFonts w:ascii="宋体" w:hAnsi="宋体" w:eastAsia="宋体" w:cs="仿宋_GB2312"/>
        </w:rPr>
        <w:t xml:space="preserve">2.5 μm </w:t>
      </w:r>
      <w:r>
        <w:rPr>
          <w:rFonts w:hint="eastAsia" w:ascii="宋体" w:hAnsi="宋体" w:eastAsia="宋体" w:cs="仿宋_GB2312"/>
        </w:rPr>
        <w:t>以上的颗粒物，除尘效率达</w:t>
      </w:r>
      <w:r>
        <w:rPr>
          <w:rFonts w:ascii="宋体" w:hAnsi="宋体" w:eastAsia="宋体" w:cs="仿宋_GB2312"/>
        </w:rPr>
        <w:t>99%</w:t>
      </w:r>
      <w:r>
        <w:rPr>
          <w:rFonts w:hint="eastAsia" w:ascii="宋体" w:hAnsi="宋体" w:eastAsia="宋体" w:cs="仿宋_GB2312"/>
        </w:rPr>
        <w:t>。收集的粉尘可作为原料回收或固体废物处置。适用于制药粉碎、过筛、成品干燥、包装等工序的含尘废气处理。颗粒物浓度较高时，可采用旋风除尘作为其预处理措施。采用旋风除尘</w:t>
      </w:r>
      <w:r>
        <w:rPr>
          <w:rFonts w:ascii="宋体" w:hAnsi="宋体" w:eastAsia="宋体" w:cs="仿宋_GB2312"/>
        </w:rPr>
        <w:t>+</w:t>
      </w:r>
      <w:r>
        <w:rPr>
          <w:rFonts w:hint="eastAsia" w:ascii="宋体" w:hAnsi="宋体" w:eastAsia="宋体" w:cs="仿宋_GB2312"/>
        </w:rPr>
        <w:t>袋式除尘处理技术，总除尘效率大于</w:t>
      </w:r>
      <w:r>
        <w:rPr>
          <w:rFonts w:ascii="宋体" w:hAnsi="宋体" w:eastAsia="宋体" w:cs="仿宋_GB2312"/>
        </w:rPr>
        <w:t>99%</w:t>
      </w:r>
      <w:r>
        <w:rPr>
          <w:rFonts w:hint="eastAsia" w:ascii="宋体" w:hAnsi="宋体" w:eastAsia="宋体" w:cs="仿宋_GB2312"/>
        </w:rPr>
        <w:t>，颗粒物排放浓度小于</w:t>
      </w:r>
      <w:r>
        <w:rPr>
          <w:rFonts w:ascii="宋体" w:hAnsi="宋体" w:eastAsia="宋体" w:cs="仿宋_GB2312"/>
        </w:rPr>
        <w:t>10 mg/m</w:t>
      </w:r>
      <w:r>
        <w:rPr>
          <w:rFonts w:ascii="宋体" w:hAnsi="宋体" w:eastAsia="宋体" w:cs="仿宋_GB2312"/>
          <w:vertAlign w:val="superscript"/>
        </w:rPr>
        <w:t>3</w:t>
      </w:r>
      <w:r>
        <w:rPr>
          <w:rFonts w:ascii="宋体" w:hAnsi="宋体" w:eastAsia="宋体" w:cs="仿宋_GB2312"/>
        </w:rPr>
        <w:t xml:space="preserve"> ~ 30mg/m</w:t>
      </w:r>
      <w:r>
        <w:rPr>
          <w:rFonts w:ascii="宋体" w:hAnsi="宋体" w:eastAsia="宋体" w:cs="仿宋_GB2312"/>
          <w:vertAlign w:val="superscript"/>
        </w:rPr>
        <w:t>3</w:t>
      </w:r>
      <w:r>
        <w:rPr>
          <w:rFonts w:hint="eastAsia" w:ascii="宋体" w:hAnsi="宋体" w:eastAsia="宋体" w:cs="仿宋_GB2312"/>
        </w:rPr>
        <w:t>。</w:t>
      </w:r>
    </w:p>
    <w:p w14:paraId="34CD8C06">
      <w:pPr>
        <w:pStyle w:val="65"/>
        <w:snapToGrid w:val="0"/>
        <w:spacing w:before="156" w:after="156"/>
        <w:rPr>
          <w:rFonts w:ascii="宋体" w:eastAsia="宋体" w:cs="宋体"/>
          <w:color w:val="000000"/>
          <w:szCs w:val="21"/>
        </w:rPr>
      </w:pPr>
      <w:r>
        <w:rPr>
          <w:rFonts w:hint="eastAsia" w:ascii="宋体" w:eastAsia="宋体" w:cs="宋体"/>
          <w:color w:val="000000"/>
          <w:szCs w:val="21"/>
        </w:rPr>
        <w:t>高效空气过滤器：高效空气过滤器采用超细玻璃纤维等作为滤料，主要用于捕集</w:t>
      </w:r>
      <w:r>
        <w:rPr>
          <w:rFonts w:ascii="宋体" w:eastAsia="宋体" w:cs="宋体"/>
          <w:color w:val="000000"/>
          <w:szCs w:val="21"/>
        </w:rPr>
        <w:t>0.1um</w:t>
      </w:r>
      <w:r>
        <w:rPr>
          <w:rFonts w:hint="eastAsia" w:ascii="宋体" w:eastAsia="宋体" w:cs="宋体"/>
          <w:color w:val="000000"/>
          <w:szCs w:val="21"/>
        </w:rPr>
        <w:t>以上的颗粒灰尘及各种悬浮物。用于制药洁净室的空调净化及特殊药品生产设施排放的药尘废气处理。高效空气过滤器应满足</w:t>
      </w:r>
      <w:r>
        <w:rPr>
          <w:rFonts w:ascii="宋体" w:eastAsia="宋体" w:cs="宋体"/>
          <w:color w:val="000000"/>
          <w:szCs w:val="21"/>
        </w:rPr>
        <w:t>GB/T 13554</w:t>
      </w:r>
      <w:r>
        <w:rPr>
          <w:rFonts w:hint="eastAsia" w:ascii="宋体" w:eastAsia="宋体" w:cs="宋体"/>
          <w:color w:val="000000"/>
          <w:szCs w:val="21"/>
        </w:rPr>
        <w:t>中</w:t>
      </w:r>
      <w:r>
        <w:rPr>
          <w:rFonts w:ascii="宋体" w:eastAsia="宋体" w:cs="宋体"/>
          <w:color w:val="000000"/>
          <w:szCs w:val="21"/>
        </w:rPr>
        <w:t>A</w:t>
      </w:r>
      <w:r>
        <w:rPr>
          <w:rFonts w:hint="eastAsia" w:ascii="宋体" w:eastAsia="宋体" w:cs="宋体"/>
          <w:color w:val="000000"/>
          <w:szCs w:val="21"/>
        </w:rPr>
        <w:t>类过滤器的要求，颗粒物处理效率不低于</w:t>
      </w:r>
      <w:r>
        <w:rPr>
          <w:rFonts w:ascii="宋体" w:eastAsia="宋体" w:cs="宋体"/>
          <w:color w:val="000000"/>
          <w:szCs w:val="21"/>
        </w:rPr>
        <w:t>99.9%</w:t>
      </w:r>
      <w:r>
        <w:rPr>
          <w:rFonts w:hint="eastAsia" w:ascii="宋体" w:eastAsia="宋体" w:cs="宋体"/>
          <w:color w:val="000000"/>
          <w:szCs w:val="21"/>
        </w:rPr>
        <w:t>。</w:t>
      </w:r>
    </w:p>
    <w:p w14:paraId="7211A373">
      <w:pPr>
        <w:pStyle w:val="105"/>
        <w:spacing w:before="93" w:beforeLines="30" w:after="93" w:afterLines="30"/>
        <w:ind w:left="0"/>
        <w:rPr>
          <w:rFonts w:ascii="Times New Roman" w:eastAsia="宋体"/>
          <w:szCs w:val="24"/>
        </w:rPr>
      </w:pPr>
      <w:bookmarkStart w:id="250" w:name="_Toc149654148"/>
      <w:r>
        <w:rPr>
          <w:rFonts w:hint="eastAsia" w:ascii="Times New Roman" w:eastAsia="宋体"/>
          <w:szCs w:val="24"/>
        </w:rPr>
        <w:t>有机废气处理技术的选择</w:t>
      </w:r>
      <w:bookmarkEnd w:id="250"/>
    </w:p>
    <w:p w14:paraId="5FE22B2C">
      <w:pPr>
        <w:pStyle w:val="165"/>
        <w:rPr>
          <w:rFonts w:cs="宋体"/>
        </w:rPr>
      </w:pPr>
      <w:r>
        <w:rPr>
          <w:rFonts w:hint="eastAsia" w:cs="宋体"/>
        </w:rPr>
        <w:t>储罐呼吸气的治理技术选择</w:t>
      </w:r>
    </w:p>
    <w:p w14:paraId="031DA1BD">
      <w:pPr>
        <w:pStyle w:val="230"/>
        <w:numPr>
          <w:ilvl w:val="0"/>
          <w:numId w:val="34"/>
        </w:numPr>
        <w:autoSpaceDE w:val="0"/>
        <w:autoSpaceDN w:val="0"/>
        <w:spacing w:line="240" w:lineRule="auto"/>
        <w:ind w:firstLineChars="0"/>
        <w:jc w:val="left"/>
      </w:pPr>
      <w:bookmarkStart w:id="251" w:name="_Hlk149650421"/>
      <w:r>
        <w:rPr>
          <w:rFonts w:hint="eastAsia" w:ascii="Times New Roman"/>
        </w:rPr>
        <w:t>挥发性有机液体储罐</w:t>
      </w:r>
      <w:r>
        <w:rPr>
          <w:rFonts w:ascii="Times New Roman"/>
        </w:rPr>
        <w:t>应该优先选用内浮顶罐，使用低泄漏的呼吸阀、紧急泄压阀</w:t>
      </w:r>
    </w:p>
    <w:p w14:paraId="21BEEFBF">
      <w:pPr>
        <w:pStyle w:val="230"/>
        <w:numPr>
          <w:ilvl w:val="0"/>
          <w:numId w:val="34"/>
        </w:numPr>
        <w:autoSpaceDE w:val="0"/>
        <w:autoSpaceDN w:val="0"/>
        <w:spacing w:line="240" w:lineRule="auto"/>
        <w:ind w:firstLineChars="0"/>
        <w:jc w:val="left"/>
      </w:pPr>
      <w:r>
        <w:rPr>
          <w:rFonts w:hint="eastAsia"/>
        </w:rPr>
        <w:t>按照表1给出的标准优先选择高效呼吸阀。呼吸阀</w:t>
      </w:r>
      <w:r>
        <w:rPr>
          <w:rFonts w:ascii="Times New Roman"/>
        </w:rPr>
        <w:t>操作压力低于呼吸阀设定的开启压力75%时</w:t>
      </w:r>
      <w:r>
        <w:rPr>
          <w:rFonts w:hint="eastAsia" w:ascii="Times New Roman"/>
        </w:rPr>
        <w:t>不开启。</w:t>
      </w:r>
    </w:p>
    <w:p w14:paraId="1A025CE9">
      <w:pPr>
        <w:pStyle w:val="230"/>
        <w:numPr>
          <w:ilvl w:val="0"/>
          <w:numId w:val="34"/>
        </w:numPr>
        <w:autoSpaceDE w:val="0"/>
        <w:autoSpaceDN w:val="0"/>
        <w:spacing w:line="240" w:lineRule="auto"/>
        <w:ind w:firstLineChars="0"/>
        <w:jc w:val="left"/>
      </w:pPr>
      <w:r>
        <w:rPr>
          <w:rFonts w:hint="eastAsia" w:ascii="宋体" w:cs="宋体"/>
          <w:kern w:val="0"/>
        </w:rPr>
        <w:t>采用吸收、吸附、冷凝、膜分离等组合工艺回收处理或引至工艺有机废气治理设施处理。</w:t>
      </w:r>
    </w:p>
    <w:p w14:paraId="10C83F8B">
      <w:pPr>
        <w:pStyle w:val="230"/>
        <w:numPr>
          <w:ilvl w:val="0"/>
          <w:numId w:val="34"/>
        </w:numPr>
        <w:autoSpaceDE w:val="0"/>
        <w:autoSpaceDN w:val="0"/>
        <w:spacing w:line="240" w:lineRule="auto"/>
        <w:ind w:firstLineChars="0"/>
        <w:jc w:val="left"/>
      </w:pPr>
      <w:r>
        <w:rPr>
          <w:rFonts w:hint="eastAsia" w:ascii="宋体" w:cs="宋体"/>
          <w:kern w:val="0"/>
        </w:rPr>
        <w:t>优先选择深度冷凝技术进行储罐呼吸气处理，但冷凝温度需要考虑不宜低于净化对象的凝固点，或者采取其他等效措施，以避免结霜。</w:t>
      </w:r>
    </w:p>
    <w:p w14:paraId="09CA0061">
      <w:pPr>
        <w:pStyle w:val="230"/>
        <w:numPr>
          <w:ilvl w:val="0"/>
          <w:numId w:val="34"/>
        </w:numPr>
        <w:autoSpaceDE w:val="0"/>
        <w:autoSpaceDN w:val="0"/>
        <w:spacing w:line="240" w:lineRule="auto"/>
        <w:ind w:firstLineChars="0"/>
        <w:jc w:val="left"/>
      </w:pPr>
      <w:r>
        <w:rPr>
          <w:rFonts w:hint="eastAsia" w:ascii="宋体" w:cs="宋体"/>
          <w:kern w:val="0"/>
        </w:rPr>
        <w:t>储罐呼吸气体收集过程应该注意与紧急泄压阀、安全阀等压力的协同，控制收集系统的氧含量在安全浓度范围。</w:t>
      </w:r>
    </w:p>
    <w:p w14:paraId="546B297C">
      <w:pPr>
        <w:pStyle w:val="165"/>
        <w:rPr>
          <w:rFonts w:cs="宋体"/>
        </w:rPr>
      </w:pPr>
      <w:r>
        <w:rPr>
          <w:rFonts w:hint="eastAsia" w:cs="宋体"/>
        </w:rPr>
        <w:t>装载废气的治理技术选择</w:t>
      </w:r>
    </w:p>
    <w:p w14:paraId="6E800CAD">
      <w:pPr>
        <w:pStyle w:val="165"/>
        <w:numPr>
          <w:ilvl w:val="0"/>
          <w:numId w:val="35"/>
        </w:numPr>
      </w:pPr>
      <w:r>
        <w:rPr>
          <w:rFonts w:hint="eastAsia" w:ascii="Times New Roman"/>
        </w:rPr>
        <w:t>槽车和储罐之间挥发性有机液体在转移过程中应设置蒸汽平衡系统或者废气收集处理等其他等效措施。</w:t>
      </w:r>
    </w:p>
    <w:p w14:paraId="75B6FEE0">
      <w:pPr>
        <w:pStyle w:val="165"/>
        <w:numPr>
          <w:ilvl w:val="0"/>
          <w:numId w:val="35"/>
        </w:numPr>
      </w:pPr>
      <w:r>
        <w:rPr>
          <w:rFonts w:hint="eastAsia" w:ascii="Times New Roman"/>
        </w:rPr>
        <w:t>储罐储存的挥发性有机液体应采用密闭管道输送至生产装置。</w:t>
      </w:r>
    </w:p>
    <w:p w14:paraId="37FA85E0">
      <w:pPr>
        <w:autoSpaceDE w:val="0"/>
        <w:autoSpaceDN w:val="0"/>
        <w:spacing w:line="240" w:lineRule="auto"/>
        <w:jc w:val="left"/>
      </w:pPr>
      <w:r>
        <w:rPr>
          <w:rFonts w:hint="eastAsia" w:ascii="Times New Roman"/>
        </w:rPr>
        <w:t>。</w:t>
      </w:r>
    </w:p>
    <w:bookmarkEnd w:id="251"/>
    <w:p w14:paraId="4699C6B3">
      <w:pPr>
        <w:pStyle w:val="112"/>
        <w:spacing w:before="156" w:after="156"/>
      </w:pPr>
      <w:r>
        <w:rPr>
          <w:rFonts w:hint="eastAsia" w:ascii="Times New Roman"/>
        </w:rPr>
        <w:t>高效呼吸阀的分级及排放要求</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6"/>
        <w:gridCol w:w="2336"/>
        <w:gridCol w:w="2336"/>
        <w:gridCol w:w="2336"/>
      </w:tblGrid>
      <w:tr w14:paraId="6D75C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6" w:type="dxa"/>
            <w:vMerge w:val="restart"/>
          </w:tcPr>
          <w:p w14:paraId="3C9DE1C5">
            <w:pPr>
              <w:autoSpaceDE w:val="0"/>
              <w:autoSpaceDN w:val="0"/>
              <w:spacing w:line="240" w:lineRule="auto"/>
              <w:jc w:val="left"/>
            </w:pPr>
            <w:r>
              <w:rPr>
                <w:rFonts w:hint="eastAsia"/>
              </w:rPr>
              <w:t>规格（m</w:t>
            </w:r>
            <w:r>
              <w:t>m</w:t>
            </w:r>
            <w:r>
              <w:rPr>
                <w:rFonts w:hint="eastAsia"/>
              </w:rPr>
              <w:t>）</w:t>
            </w:r>
          </w:p>
        </w:tc>
        <w:tc>
          <w:tcPr>
            <w:tcW w:w="7008" w:type="dxa"/>
            <w:gridSpan w:val="3"/>
          </w:tcPr>
          <w:p w14:paraId="4652B1A4">
            <w:pPr>
              <w:autoSpaceDE w:val="0"/>
              <w:autoSpaceDN w:val="0"/>
              <w:spacing w:line="240" w:lineRule="auto"/>
              <w:jc w:val="center"/>
            </w:pPr>
            <w:r>
              <w:rPr>
                <w:rFonts w:hint="eastAsia"/>
              </w:rPr>
              <w:t>泄漏量 （m</w:t>
            </w:r>
            <w:r>
              <w:rPr>
                <w:vertAlign w:val="superscript"/>
              </w:rPr>
              <w:t>3</w:t>
            </w:r>
            <w:r>
              <w:t>/h</w:t>
            </w:r>
            <w:r>
              <w:rPr>
                <w:rFonts w:hint="eastAsia"/>
              </w:rPr>
              <w:t>）</w:t>
            </w:r>
          </w:p>
        </w:tc>
      </w:tr>
      <w:tr w14:paraId="4E7C8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6" w:type="dxa"/>
            <w:vMerge w:val="continue"/>
          </w:tcPr>
          <w:p w14:paraId="5A4957D9">
            <w:pPr>
              <w:autoSpaceDE w:val="0"/>
              <w:autoSpaceDN w:val="0"/>
              <w:spacing w:line="240" w:lineRule="auto"/>
              <w:jc w:val="left"/>
            </w:pPr>
          </w:p>
        </w:tc>
        <w:tc>
          <w:tcPr>
            <w:tcW w:w="2336" w:type="dxa"/>
          </w:tcPr>
          <w:p w14:paraId="4ABC188B">
            <w:pPr>
              <w:autoSpaceDE w:val="0"/>
              <w:autoSpaceDN w:val="0"/>
              <w:spacing w:line="240" w:lineRule="auto"/>
              <w:jc w:val="center"/>
            </w:pPr>
            <w:r>
              <w:rPr>
                <w:rFonts w:hint="eastAsia"/>
              </w:rPr>
              <w:t>第I</w:t>
            </w:r>
            <w:r>
              <w:t>II</w:t>
            </w:r>
            <w:r>
              <w:rPr>
                <w:rFonts w:hint="eastAsia"/>
              </w:rPr>
              <w:t>级</w:t>
            </w:r>
          </w:p>
        </w:tc>
        <w:tc>
          <w:tcPr>
            <w:tcW w:w="2336" w:type="dxa"/>
          </w:tcPr>
          <w:p w14:paraId="2D0657E0">
            <w:pPr>
              <w:autoSpaceDE w:val="0"/>
              <w:autoSpaceDN w:val="0"/>
              <w:spacing w:line="240" w:lineRule="auto"/>
              <w:jc w:val="center"/>
            </w:pPr>
            <w:r>
              <w:rPr>
                <w:rFonts w:hint="eastAsia"/>
              </w:rPr>
              <w:t>第I</w:t>
            </w:r>
            <w:r>
              <w:t>I</w:t>
            </w:r>
            <w:r>
              <w:rPr>
                <w:rFonts w:hint="eastAsia"/>
              </w:rPr>
              <w:t>级</w:t>
            </w:r>
          </w:p>
        </w:tc>
        <w:tc>
          <w:tcPr>
            <w:tcW w:w="2336" w:type="dxa"/>
          </w:tcPr>
          <w:p w14:paraId="6765FBDF">
            <w:pPr>
              <w:autoSpaceDE w:val="0"/>
              <w:autoSpaceDN w:val="0"/>
              <w:spacing w:line="240" w:lineRule="auto"/>
              <w:jc w:val="center"/>
            </w:pPr>
            <w:r>
              <w:rPr>
                <w:rFonts w:hint="eastAsia"/>
              </w:rPr>
              <w:t>第I级</w:t>
            </w:r>
          </w:p>
        </w:tc>
      </w:tr>
      <w:tr w14:paraId="5F3C9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6" w:type="dxa"/>
          </w:tcPr>
          <w:p w14:paraId="1B99F426">
            <w:pPr>
              <w:autoSpaceDE w:val="0"/>
              <w:autoSpaceDN w:val="0"/>
              <w:spacing w:line="240" w:lineRule="auto"/>
              <w:jc w:val="left"/>
            </w:pPr>
            <w:r>
              <w:rPr>
                <w:rFonts w:hint="eastAsia"/>
              </w:rPr>
              <w:t>D</w:t>
            </w:r>
            <w:r>
              <w:t>N</w:t>
            </w:r>
            <w:r>
              <w:rPr>
                <w:rFonts w:hint="eastAsia" w:ascii="宋体" w:hAnsi="宋体"/>
              </w:rPr>
              <w:t>≤</w:t>
            </w:r>
            <w:r>
              <w:t>150</w:t>
            </w:r>
          </w:p>
        </w:tc>
        <w:tc>
          <w:tcPr>
            <w:tcW w:w="2336" w:type="dxa"/>
          </w:tcPr>
          <w:p w14:paraId="7C3816B0">
            <w:pPr>
              <w:autoSpaceDE w:val="0"/>
              <w:autoSpaceDN w:val="0"/>
              <w:spacing w:line="240" w:lineRule="auto"/>
              <w:jc w:val="center"/>
            </w:pPr>
            <w:r>
              <w:rPr>
                <w:rFonts w:hint="eastAsia"/>
              </w:rPr>
              <w:t>0</w:t>
            </w:r>
            <w:r>
              <w:t>.04</w:t>
            </w:r>
          </w:p>
        </w:tc>
        <w:tc>
          <w:tcPr>
            <w:tcW w:w="2336" w:type="dxa"/>
          </w:tcPr>
          <w:p w14:paraId="0ECB69AF">
            <w:pPr>
              <w:autoSpaceDE w:val="0"/>
              <w:autoSpaceDN w:val="0"/>
              <w:spacing w:line="240" w:lineRule="auto"/>
              <w:jc w:val="center"/>
            </w:pPr>
            <w:r>
              <w:rPr>
                <w:rFonts w:hint="eastAsia"/>
              </w:rPr>
              <w:t>0</w:t>
            </w:r>
            <w:r>
              <w:t>.0142</w:t>
            </w:r>
          </w:p>
        </w:tc>
        <w:tc>
          <w:tcPr>
            <w:tcW w:w="2336" w:type="dxa"/>
          </w:tcPr>
          <w:p w14:paraId="2CA208E9">
            <w:pPr>
              <w:autoSpaceDE w:val="0"/>
              <w:autoSpaceDN w:val="0"/>
              <w:spacing w:line="240" w:lineRule="auto"/>
              <w:jc w:val="center"/>
            </w:pPr>
            <w:r>
              <w:rPr>
                <w:rFonts w:hint="eastAsia"/>
              </w:rPr>
              <w:t>0</w:t>
            </w:r>
            <w:r>
              <w:t>.0017</w:t>
            </w:r>
          </w:p>
        </w:tc>
      </w:tr>
      <w:tr w14:paraId="4B2EC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6" w:type="dxa"/>
          </w:tcPr>
          <w:p w14:paraId="338CDB6C">
            <w:pPr>
              <w:autoSpaceDE w:val="0"/>
              <w:autoSpaceDN w:val="0"/>
              <w:spacing w:line="240" w:lineRule="auto"/>
              <w:jc w:val="left"/>
            </w:pPr>
            <w:r>
              <w:t>200</w:t>
            </w:r>
            <w:r>
              <w:rPr>
                <w:rFonts w:hint="eastAsia" w:ascii="宋体" w:hAnsi="宋体"/>
              </w:rPr>
              <w:t>≤</w:t>
            </w:r>
            <w:r>
              <w:rPr>
                <w:rFonts w:hint="eastAsia"/>
              </w:rPr>
              <w:t>D</w:t>
            </w:r>
            <w:r>
              <w:t>N</w:t>
            </w:r>
            <w:r>
              <w:rPr>
                <w:rFonts w:hint="eastAsia" w:ascii="宋体" w:hAnsi="宋体"/>
              </w:rPr>
              <w:t>≤</w:t>
            </w:r>
            <w:r>
              <w:t>400</w:t>
            </w:r>
          </w:p>
        </w:tc>
        <w:tc>
          <w:tcPr>
            <w:tcW w:w="2336" w:type="dxa"/>
          </w:tcPr>
          <w:p w14:paraId="3DCA851E">
            <w:pPr>
              <w:autoSpaceDE w:val="0"/>
              <w:autoSpaceDN w:val="0"/>
              <w:spacing w:line="240" w:lineRule="auto"/>
              <w:jc w:val="center"/>
            </w:pPr>
            <w:r>
              <w:rPr>
                <w:rFonts w:hint="eastAsia"/>
              </w:rPr>
              <w:t>0</w:t>
            </w:r>
            <w:r>
              <w:t>.4</w:t>
            </w:r>
          </w:p>
        </w:tc>
        <w:tc>
          <w:tcPr>
            <w:tcW w:w="2336" w:type="dxa"/>
          </w:tcPr>
          <w:p w14:paraId="1D61A34C">
            <w:pPr>
              <w:autoSpaceDE w:val="0"/>
              <w:autoSpaceDN w:val="0"/>
              <w:spacing w:line="240" w:lineRule="auto"/>
              <w:jc w:val="center"/>
            </w:pPr>
            <w:r>
              <w:rPr>
                <w:rFonts w:hint="eastAsia"/>
              </w:rPr>
              <w:t>0</w:t>
            </w:r>
            <w:r>
              <w:t>.1416</w:t>
            </w:r>
          </w:p>
        </w:tc>
        <w:tc>
          <w:tcPr>
            <w:tcW w:w="2336" w:type="dxa"/>
          </w:tcPr>
          <w:p w14:paraId="45C25474">
            <w:pPr>
              <w:autoSpaceDE w:val="0"/>
              <w:autoSpaceDN w:val="0"/>
              <w:spacing w:line="240" w:lineRule="auto"/>
              <w:jc w:val="center"/>
            </w:pPr>
            <w:r>
              <w:rPr>
                <w:rFonts w:hint="eastAsia"/>
              </w:rPr>
              <w:t>0</w:t>
            </w:r>
            <w:r>
              <w:t>.0030</w:t>
            </w:r>
          </w:p>
        </w:tc>
      </w:tr>
      <w:tr w14:paraId="52905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6" w:type="dxa"/>
          </w:tcPr>
          <w:p w14:paraId="5CD542DA">
            <w:pPr>
              <w:autoSpaceDE w:val="0"/>
              <w:autoSpaceDN w:val="0"/>
              <w:spacing w:line="240" w:lineRule="auto"/>
              <w:jc w:val="left"/>
            </w:pPr>
            <w:r>
              <w:rPr>
                <w:rFonts w:hint="eastAsia"/>
              </w:rPr>
              <w:t>D</w:t>
            </w:r>
            <w:r>
              <w:t>N&gt;400</w:t>
            </w:r>
          </w:p>
        </w:tc>
        <w:tc>
          <w:tcPr>
            <w:tcW w:w="2336" w:type="dxa"/>
          </w:tcPr>
          <w:p w14:paraId="7C729343">
            <w:pPr>
              <w:autoSpaceDE w:val="0"/>
              <w:autoSpaceDN w:val="0"/>
              <w:spacing w:line="240" w:lineRule="auto"/>
              <w:jc w:val="center"/>
            </w:pPr>
            <w:r>
              <w:rPr>
                <w:rFonts w:hint="eastAsia"/>
              </w:rPr>
              <w:t>0</w:t>
            </w:r>
            <w:r>
              <w:t>.5663</w:t>
            </w:r>
          </w:p>
        </w:tc>
        <w:tc>
          <w:tcPr>
            <w:tcW w:w="2336" w:type="dxa"/>
          </w:tcPr>
          <w:p w14:paraId="52886B06">
            <w:pPr>
              <w:autoSpaceDE w:val="0"/>
              <w:autoSpaceDN w:val="0"/>
              <w:spacing w:line="240" w:lineRule="auto"/>
              <w:jc w:val="center"/>
            </w:pPr>
            <w:r>
              <w:rPr>
                <w:rFonts w:hint="eastAsia"/>
              </w:rPr>
              <w:t>0</w:t>
            </w:r>
            <w:r>
              <w:t>.4</w:t>
            </w:r>
          </w:p>
        </w:tc>
        <w:tc>
          <w:tcPr>
            <w:tcW w:w="2336" w:type="dxa"/>
          </w:tcPr>
          <w:p w14:paraId="567E9E6B">
            <w:pPr>
              <w:autoSpaceDE w:val="0"/>
              <w:autoSpaceDN w:val="0"/>
              <w:spacing w:line="240" w:lineRule="auto"/>
              <w:jc w:val="center"/>
            </w:pPr>
            <w:r>
              <w:rPr>
                <w:rFonts w:hint="eastAsia"/>
              </w:rPr>
              <w:t>0</w:t>
            </w:r>
            <w:r>
              <w:t>.0045</w:t>
            </w:r>
          </w:p>
        </w:tc>
      </w:tr>
    </w:tbl>
    <w:p w14:paraId="6EAF32D5">
      <w:pPr>
        <w:pStyle w:val="165"/>
        <w:numPr>
          <w:ilvl w:val="0"/>
          <w:numId w:val="0"/>
        </w:numPr>
        <w:rPr>
          <w:rFonts w:cs="宋体"/>
        </w:rPr>
      </w:pPr>
    </w:p>
    <w:p w14:paraId="7765B87C">
      <w:pPr>
        <w:pStyle w:val="165"/>
        <w:rPr>
          <w:rFonts w:cs="宋体"/>
        </w:rPr>
      </w:pPr>
      <w:r>
        <w:rPr>
          <w:rFonts w:hint="eastAsia" w:cs="宋体"/>
        </w:rPr>
        <w:t>工艺废气治理技术</w:t>
      </w:r>
    </w:p>
    <w:p w14:paraId="1A82A4F5">
      <w:pPr>
        <w:autoSpaceDE w:val="0"/>
        <w:autoSpaceDN w:val="0"/>
        <w:spacing w:line="240" w:lineRule="auto"/>
        <w:ind w:firstLine="420" w:firstLineChars="200"/>
        <w:jc w:val="left"/>
        <w:rPr>
          <w:rFonts w:ascii="Times New Roman"/>
        </w:rPr>
      </w:pPr>
      <w:r>
        <w:t>a</w:t>
      </w:r>
      <w:r>
        <w:rPr>
          <w:rFonts w:hint="eastAsia"/>
        </w:rPr>
        <w:t>）发酵类制药的发酵尾气不宜与其他废气混合后治理，宜采用碱洗+氧化+水洗、吸附浓缩+燃烧处理技术；</w:t>
      </w:r>
    </w:p>
    <w:p w14:paraId="2B8E9F4C">
      <w:pPr>
        <w:autoSpaceDE w:val="0"/>
        <w:autoSpaceDN w:val="0"/>
        <w:spacing w:line="240" w:lineRule="auto"/>
        <w:ind w:firstLine="420" w:firstLineChars="200"/>
        <w:jc w:val="left"/>
        <w:rPr>
          <w:rFonts w:ascii="Times New Roman"/>
        </w:rPr>
      </w:pPr>
      <w:r>
        <w:rPr>
          <w:rFonts w:hint="eastAsia" w:ascii="Times New Roman"/>
        </w:rPr>
        <w:t>b</w:t>
      </w:r>
      <w:r>
        <w:rPr>
          <w:rFonts w:ascii="Times New Roman"/>
        </w:rPr>
        <w:t xml:space="preserve"> ) </w:t>
      </w:r>
      <w:r>
        <w:rPr>
          <w:rFonts w:hint="eastAsia" w:ascii="Times New Roman"/>
        </w:rPr>
        <w:t>反应、分离、提取、精制、干燥、溶剂回收等工艺废气应先采用冷凝技术进行预处理，对溶剂进行回收；根据物料的特征，可以采用深度冷凝技术、多级冷凝技术，提高冷凝效果。冷凝后的废气回收利用，或者采用燃烧、吸附浓缩+燃烧进行处理，或者送工艺加热炉、锅炉、焚烧炉等燃烧系统进行处理。</w:t>
      </w:r>
    </w:p>
    <w:p w14:paraId="4B842BA8">
      <w:pPr>
        <w:pStyle w:val="230"/>
        <w:numPr>
          <w:ilvl w:val="0"/>
          <w:numId w:val="35"/>
        </w:numPr>
        <w:autoSpaceDE w:val="0"/>
        <w:autoSpaceDN w:val="0"/>
        <w:spacing w:line="240" w:lineRule="auto"/>
        <w:ind w:firstLineChars="0"/>
        <w:jc w:val="left"/>
      </w:pPr>
      <w:r>
        <w:rPr>
          <w:rFonts w:hint="eastAsia" w:ascii="宋体" w:cs="宋体"/>
          <w:kern w:val="0"/>
        </w:rPr>
        <w:t>当废气含有氯、溴、氟时，应该单独收集处理达标排放,宜采用树脂材料、活性炭等材料或吸</w:t>
      </w:r>
    </w:p>
    <w:p w14:paraId="40089693">
      <w:pPr>
        <w:autoSpaceDE w:val="0"/>
        <w:autoSpaceDN w:val="0"/>
        <w:spacing w:line="240" w:lineRule="auto"/>
        <w:jc w:val="left"/>
        <w:rPr>
          <w:rFonts w:ascii="宋体" w:cs="宋体"/>
          <w:kern w:val="0"/>
        </w:rPr>
      </w:pPr>
      <w:r>
        <w:rPr>
          <w:rFonts w:hint="eastAsia" w:ascii="宋体" w:cs="宋体"/>
          <w:kern w:val="0"/>
        </w:rPr>
        <w:t>收等方法；如果采用燃烧法处理废气，则应该采用预处理技术，降低氯、溴、氟的浓度，符合后续燃烧技术的规范要求，减少腐蚀，避免二恶英的产生和排放。</w:t>
      </w:r>
    </w:p>
    <w:p w14:paraId="1D72B782">
      <w:pPr>
        <w:pStyle w:val="230"/>
        <w:numPr>
          <w:ilvl w:val="0"/>
          <w:numId w:val="35"/>
        </w:numPr>
        <w:autoSpaceDE w:val="0"/>
        <w:autoSpaceDN w:val="0"/>
        <w:spacing w:line="240" w:lineRule="auto"/>
        <w:ind w:firstLineChars="0"/>
        <w:jc w:val="left"/>
      </w:pPr>
      <w:r>
        <w:rPr>
          <w:rFonts w:hint="eastAsia" w:ascii="Times New Roman"/>
          <w:szCs w:val="24"/>
        </w:rPr>
        <w:t>企业应该逐渐</w:t>
      </w:r>
      <w:r>
        <w:rPr>
          <w:rFonts w:ascii="Times New Roman"/>
          <w:szCs w:val="24"/>
        </w:rPr>
        <w:t>减少采用移动缸生产方式的比例</w:t>
      </w:r>
      <w:r>
        <w:rPr>
          <w:rFonts w:hint="eastAsia" w:ascii="Times New Roman"/>
          <w:szCs w:val="24"/>
        </w:rPr>
        <w:t>。</w:t>
      </w:r>
      <w:r>
        <w:rPr>
          <w:rFonts w:ascii="Times New Roman"/>
          <w:szCs w:val="24"/>
        </w:rPr>
        <w:t>当采用移动缸操作时，</w:t>
      </w:r>
      <w:r>
        <w:rPr>
          <w:rFonts w:hint="eastAsia" w:ascii="Times New Roman"/>
          <w:szCs w:val="24"/>
        </w:rPr>
        <w:t>优先</w:t>
      </w:r>
      <w:r>
        <w:rPr>
          <w:rFonts w:ascii="Times New Roman"/>
          <w:szCs w:val="24"/>
        </w:rPr>
        <w:t>采用底部、浸入</w:t>
      </w:r>
    </w:p>
    <w:p w14:paraId="6F0D2447">
      <w:pPr>
        <w:autoSpaceDE w:val="0"/>
        <w:autoSpaceDN w:val="0"/>
        <w:spacing w:line="240" w:lineRule="auto"/>
        <w:jc w:val="left"/>
        <w:rPr>
          <w:rFonts w:ascii="Times New Roman"/>
          <w:szCs w:val="24"/>
        </w:rPr>
      </w:pPr>
      <w:r>
        <w:rPr>
          <w:rFonts w:ascii="Times New Roman"/>
          <w:szCs w:val="24"/>
        </w:rPr>
        <w:t>管给料方式实施挥发性有机液体转移；移动缸及设备零件（不可拆卸的搅拌轴等除外）清洗时，应采用密闭系统或在密闭空间内操作，废气应排至VOCs废气收集处理系统</w:t>
      </w:r>
      <w:r>
        <w:rPr>
          <w:rFonts w:hint="eastAsia" w:ascii="Times New Roman"/>
        </w:rPr>
        <w:t>；</w:t>
      </w:r>
      <w:bookmarkStart w:id="252" w:name="_Hlk146204430"/>
      <w:r>
        <w:rPr>
          <w:rFonts w:hint="eastAsia" w:ascii="Times New Roman"/>
        </w:rPr>
        <w:t>不可拆卸的搅拌轴等部件清洗时，应做到有效收集，</w:t>
      </w:r>
      <w:r>
        <w:rPr>
          <w:rFonts w:ascii="Times New Roman"/>
          <w:szCs w:val="24"/>
        </w:rPr>
        <w:t>排至VOCs废气收集处理系统</w:t>
      </w:r>
      <w:bookmarkEnd w:id="252"/>
      <w:r>
        <w:rPr>
          <w:rFonts w:hint="eastAsia" w:ascii="Times New Roman"/>
          <w:szCs w:val="24"/>
        </w:rPr>
        <w:t>。</w:t>
      </w:r>
    </w:p>
    <w:p w14:paraId="52C18D7F">
      <w:pPr>
        <w:autoSpaceDE w:val="0"/>
        <w:autoSpaceDN w:val="0"/>
        <w:spacing w:line="240" w:lineRule="auto"/>
        <w:jc w:val="left"/>
      </w:pPr>
    </w:p>
    <w:p w14:paraId="0AFCBEC7">
      <w:pPr>
        <w:pStyle w:val="165"/>
        <w:rPr>
          <w:rFonts w:cs="宋体"/>
        </w:rPr>
      </w:pPr>
      <w:r>
        <w:rPr>
          <w:rFonts w:hint="eastAsia" w:cs="宋体"/>
        </w:rPr>
        <w:t>污水处理站废气治理技术</w:t>
      </w:r>
    </w:p>
    <w:p w14:paraId="02B2D18B">
      <w:pPr>
        <w:pStyle w:val="230"/>
        <w:numPr>
          <w:ilvl w:val="0"/>
          <w:numId w:val="36"/>
        </w:numPr>
        <w:autoSpaceDE w:val="0"/>
        <w:autoSpaceDN w:val="0"/>
        <w:spacing w:line="240" w:lineRule="auto"/>
        <w:ind w:firstLineChars="0"/>
        <w:jc w:val="left"/>
      </w:pPr>
      <w:r>
        <w:rPr>
          <w:rFonts w:hint="eastAsia"/>
        </w:rPr>
        <w:t>发酵类制药、化学合成类制药的污水处理站的废气可采用碱洗+氧化+水洗、吸附浓缩+燃烧处</w:t>
      </w:r>
    </w:p>
    <w:p w14:paraId="1285CB41">
      <w:pPr>
        <w:autoSpaceDE w:val="0"/>
        <w:autoSpaceDN w:val="0"/>
        <w:spacing w:line="240" w:lineRule="auto"/>
        <w:jc w:val="left"/>
      </w:pPr>
      <w:r>
        <w:rPr>
          <w:rFonts w:hint="eastAsia"/>
        </w:rPr>
        <w:t>理技术。</w:t>
      </w:r>
    </w:p>
    <w:p w14:paraId="5E8D77AD">
      <w:pPr>
        <w:pStyle w:val="230"/>
        <w:numPr>
          <w:ilvl w:val="0"/>
          <w:numId w:val="36"/>
        </w:numPr>
        <w:autoSpaceDE w:val="0"/>
        <w:autoSpaceDN w:val="0"/>
        <w:spacing w:line="240" w:lineRule="auto"/>
        <w:ind w:firstLineChars="0"/>
        <w:jc w:val="left"/>
      </w:pPr>
      <w:r>
        <w:rPr>
          <w:rFonts w:hint="eastAsia"/>
        </w:rPr>
        <w:t>中药类制药、提取类制造、生物工程类制造、混装制剂类制药的污水处理站的废气可以采用+</w:t>
      </w:r>
    </w:p>
    <w:p w14:paraId="6EAE83F5">
      <w:pPr>
        <w:autoSpaceDE w:val="0"/>
        <w:autoSpaceDN w:val="0"/>
        <w:spacing w:line="240" w:lineRule="auto"/>
        <w:jc w:val="left"/>
      </w:pPr>
      <w:r>
        <w:rPr>
          <w:rFonts w:hint="eastAsia"/>
        </w:rPr>
        <w:t>碱洗+氧化+水洗、碱洗+氧化+吸附、生物法、光催化氧化处理技术+活性炭吸附技术、低温等离子体+活性炭吸附技术、生物法等技术。</w:t>
      </w:r>
    </w:p>
    <w:bookmarkEnd w:id="239"/>
    <w:bookmarkEnd w:id="240"/>
    <w:bookmarkEnd w:id="241"/>
    <w:bookmarkEnd w:id="242"/>
    <w:p w14:paraId="592530AD">
      <w:pPr>
        <w:pStyle w:val="56"/>
        <w:ind w:firstLine="420"/>
      </w:pPr>
    </w:p>
    <w:p w14:paraId="18C443BA">
      <w:pPr>
        <w:pStyle w:val="165"/>
        <w:rPr>
          <w:rFonts w:cs="宋体"/>
        </w:rPr>
      </w:pPr>
      <w:r>
        <w:rPr>
          <w:rFonts w:hint="eastAsia" w:cs="宋体"/>
        </w:rPr>
        <w:t>非正常工况</w:t>
      </w:r>
    </w:p>
    <w:p w14:paraId="77B694E7">
      <w:pPr>
        <w:pStyle w:val="56"/>
        <w:numPr>
          <w:ilvl w:val="0"/>
          <w:numId w:val="37"/>
        </w:numPr>
        <w:ind w:firstLineChars="0"/>
      </w:pPr>
      <w:r>
        <w:rPr>
          <w:rFonts w:hint="eastAsia"/>
        </w:rPr>
        <w:t>宜采用冷凝+吸附回收、燃烧、吸附浓缩+燃烧法进行处理，或者送工艺加热炉、锅炉、焚烧炉</w:t>
      </w:r>
    </w:p>
    <w:p w14:paraId="415EC9E1">
      <w:pPr>
        <w:pStyle w:val="56"/>
        <w:ind w:firstLine="0" w:firstLineChars="0"/>
      </w:pPr>
      <w:r>
        <w:rPr>
          <w:rFonts w:hint="eastAsia"/>
        </w:rPr>
        <w:t>燃烧处理，</w:t>
      </w:r>
    </w:p>
    <w:p w14:paraId="16E59095">
      <w:pPr>
        <w:autoSpaceDE w:val="0"/>
        <w:autoSpaceDN w:val="0"/>
        <w:spacing w:line="240" w:lineRule="auto"/>
        <w:ind w:firstLine="420" w:firstLineChars="200"/>
        <w:jc w:val="left"/>
      </w:pPr>
      <w:r>
        <w:rPr>
          <w:rFonts w:hint="eastAsia" w:ascii="宋体" w:cs="宋体"/>
          <w:kern w:val="0"/>
        </w:rPr>
        <w:t>b）当废气含有氯、溴、氟时，应该单独收集处理达标排放,宜采用树脂材料、活性炭等材料或吸</w:t>
      </w:r>
    </w:p>
    <w:p w14:paraId="7FE8525B">
      <w:pPr>
        <w:autoSpaceDE w:val="0"/>
        <w:autoSpaceDN w:val="0"/>
        <w:spacing w:line="240" w:lineRule="auto"/>
        <w:jc w:val="left"/>
        <w:rPr>
          <w:rFonts w:ascii="宋体" w:cs="宋体"/>
          <w:kern w:val="0"/>
        </w:rPr>
      </w:pPr>
      <w:r>
        <w:rPr>
          <w:rFonts w:hint="eastAsia" w:ascii="宋体" w:cs="宋体"/>
          <w:kern w:val="0"/>
        </w:rPr>
        <w:t>收等方法；如果采用燃烧法处理废气，则应该采用预处理技术，降低氯、溴、氟的浓度，符合后续燃烧技术的规范要求，减少腐蚀，避免二恶英的产生和排放。</w:t>
      </w:r>
    </w:p>
    <w:p w14:paraId="3204E3E3">
      <w:pPr>
        <w:pStyle w:val="56"/>
        <w:ind w:firstLine="0" w:firstLineChars="0"/>
      </w:pPr>
    </w:p>
    <w:p w14:paraId="5D979F27">
      <w:pPr>
        <w:pStyle w:val="104"/>
        <w:spacing w:before="312" w:after="312"/>
      </w:pPr>
      <w:bookmarkStart w:id="253" w:name="_Toc149654149"/>
      <w:r>
        <w:rPr>
          <w:rFonts w:hint="eastAsia"/>
        </w:rPr>
        <w:t>污染治理技术</w:t>
      </w:r>
      <w:bookmarkEnd w:id="253"/>
    </w:p>
    <w:p w14:paraId="427E6C58">
      <w:pPr>
        <w:pStyle w:val="105"/>
        <w:spacing w:before="93" w:beforeLines="30" w:after="93" w:afterLines="30"/>
        <w:ind w:left="0"/>
        <w:rPr>
          <w:rFonts w:ascii="Times New Roman" w:eastAsia="宋体"/>
          <w:szCs w:val="24"/>
        </w:rPr>
      </w:pPr>
      <w:bookmarkStart w:id="254" w:name="_Toc149654150"/>
      <w:r>
        <w:rPr>
          <w:rFonts w:hint="eastAsia" w:ascii="Times New Roman" w:eastAsia="宋体"/>
          <w:szCs w:val="24"/>
        </w:rPr>
        <w:t>冷凝回收</w:t>
      </w:r>
      <w:r>
        <w:rPr>
          <w:rFonts w:ascii="Times New Roman" w:eastAsia="宋体"/>
          <w:szCs w:val="24"/>
        </w:rPr>
        <w:t>+</w:t>
      </w:r>
      <w:r>
        <w:rPr>
          <w:rFonts w:hint="eastAsia" w:ascii="Times New Roman" w:eastAsia="宋体"/>
          <w:szCs w:val="24"/>
        </w:rPr>
        <w:t>吸附处理技术：</w:t>
      </w:r>
      <w:bookmarkEnd w:id="254"/>
    </w:p>
    <w:p w14:paraId="070F55FF">
      <w:pPr>
        <w:pStyle w:val="65"/>
        <w:numPr>
          <w:ilvl w:val="0"/>
          <w:numId w:val="0"/>
        </w:numPr>
        <w:snapToGrid w:val="0"/>
        <w:spacing w:before="156" w:after="156"/>
        <w:ind w:firstLine="420" w:firstLineChars="200"/>
        <w:rPr>
          <w:rFonts w:ascii="宋体" w:eastAsia="宋体" w:cs="宋体"/>
          <w:color w:val="000000"/>
          <w:szCs w:val="21"/>
        </w:rPr>
      </w:pPr>
      <w:r>
        <w:rPr>
          <w:rFonts w:hint="eastAsia" w:ascii="宋体" w:eastAsia="宋体" w:cs="宋体"/>
          <w:color w:val="000000"/>
          <w:szCs w:val="21"/>
        </w:rPr>
        <w:t>冷凝法是利用</w:t>
      </w:r>
      <w:r>
        <w:rPr>
          <w:rFonts w:ascii="宋体" w:eastAsia="宋体" w:cs="宋体"/>
          <w:color w:val="000000"/>
          <w:szCs w:val="21"/>
        </w:rPr>
        <w:t>VOCs</w:t>
      </w:r>
      <w:r>
        <w:rPr>
          <w:rFonts w:hint="eastAsia" w:ascii="宋体" w:eastAsia="宋体" w:cs="宋体"/>
          <w:color w:val="000000"/>
          <w:szCs w:val="21"/>
        </w:rPr>
        <w:t>在不同温度下的饱和蒸汽压不同，通过降低温度或提高压力，使废气中挥发性有机成分冷凝分离出来的技术。对于高浓度有回收价值气体，可考虑采用先冷凝回收利用（有机气体沸点越高越适宜），冷凝处理后的废气再进行末端处理。冷凝常用的冷却介质主要有冷水、冷冻盐水和液氨，一般采用多级冷凝，废气中</w:t>
      </w:r>
      <w:r>
        <w:rPr>
          <w:rFonts w:ascii="宋体" w:eastAsia="宋体" w:cs="宋体"/>
          <w:color w:val="000000"/>
          <w:szCs w:val="21"/>
        </w:rPr>
        <w:t>VOCs</w:t>
      </w:r>
      <w:r>
        <w:rPr>
          <w:rFonts w:hint="eastAsia" w:ascii="宋体" w:eastAsia="宋体" w:cs="宋体"/>
          <w:color w:val="000000"/>
          <w:szCs w:val="21"/>
        </w:rPr>
        <w:t>总去除率可达</w:t>
      </w:r>
      <w:r>
        <w:rPr>
          <w:rFonts w:ascii="宋体" w:eastAsia="宋体" w:cs="宋体"/>
          <w:color w:val="000000"/>
          <w:szCs w:val="21"/>
        </w:rPr>
        <w:t>90%</w:t>
      </w:r>
      <w:r>
        <w:rPr>
          <w:rFonts w:hint="eastAsia" w:ascii="宋体" w:eastAsia="宋体" w:cs="宋体"/>
          <w:color w:val="000000"/>
          <w:szCs w:val="21"/>
        </w:rPr>
        <w:t>以上。</w:t>
      </w:r>
    </w:p>
    <w:p w14:paraId="7262CBEF">
      <w:pPr>
        <w:pStyle w:val="65"/>
        <w:numPr>
          <w:ilvl w:val="0"/>
          <w:numId w:val="0"/>
        </w:numPr>
        <w:snapToGrid w:val="0"/>
        <w:spacing w:before="156" w:after="156"/>
        <w:ind w:firstLine="420" w:firstLineChars="200"/>
        <w:rPr>
          <w:rFonts w:ascii="宋体" w:eastAsia="宋体" w:cs="宋体"/>
          <w:color w:val="000000"/>
          <w:szCs w:val="21"/>
        </w:rPr>
      </w:pPr>
      <w:r>
        <w:rPr>
          <w:rFonts w:hint="eastAsia" w:ascii="宋体" w:eastAsia="宋体" w:cs="宋体"/>
          <w:color w:val="000000"/>
          <w:szCs w:val="21"/>
        </w:rPr>
        <w:t>吸附法是指使用活性炭、活性炭纤维、分子筛等吸附剂对废气中</w:t>
      </w:r>
      <w:r>
        <w:rPr>
          <w:rFonts w:ascii="宋体" w:eastAsia="宋体" w:cs="宋体"/>
          <w:color w:val="000000"/>
          <w:szCs w:val="21"/>
        </w:rPr>
        <w:t>VOCs</w:t>
      </w:r>
      <w:r>
        <w:rPr>
          <w:rFonts w:hint="eastAsia" w:ascii="宋体" w:eastAsia="宋体" w:cs="宋体"/>
          <w:color w:val="000000"/>
          <w:szCs w:val="21"/>
        </w:rPr>
        <w:t>进行物理吸附，从而净化废气的方法。吸附设备主要有固定床、移动床、流化床等。适用于湿度小于</w:t>
      </w:r>
      <w:r>
        <w:rPr>
          <w:rFonts w:ascii="宋体" w:eastAsia="宋体" w:cs="宋体"/>
          <w:color w:val="000000"/>
          <w:szCs w:val="21"/>
        </w:rPr>
        <w:t>50%</w:t>
      </w:r>
      <w:r>
        <w:rPr>
          <w:rFonts w:hint="eastAsia" w:ascii="宋体" w:eastAsia="宋体" w:cs="宋体"/>
          <w:color w:val="000000"/>
          <w:szCs w:val="21"/>
        </w:rPr>
        <w:t>的有机废气治理。吸附法的设计与管理可参考</w:t>
      </w:r>
      <w:r>
        <w:rPr>
          <w:rFonts w:ascii="宋体" w:eastAsia="宋体" w:cs="宋体"/>
          <w:color w:val="000000"/>
          <w:szCs w:val="21"/>
        </w:rPr>
        <w:t>HJ 2026</w:t>
      </w:r>
      <w:r>
        <w:rPr>
          <w:rFonts w:hint="eastAsia" w:ascii="宋体" w:eastAsia="宋体" w:cs="宋体"/>
          <w:color w:val="000000"/>
          <w:szCs w:val="21"/>
        </w:rPr>
        <w:t>。</w:t>
      </w:r>
      <w:r>
        <w:rPr>
          <w:rFonts w:ascii="宋体" w:eastAsia="宋体" w:cs="宋体"/>
          <w:color w:val="000000"/>
          <w:szCs w:val="21"/>
        </w:rPr>
        <w:t xml:space="preserve"> </w:t>
      </w:r>
    </w:p>
    <w:p w14:paraId="533687C9">
      <w:pPr>
        <w:pStyle w:val="65"/>
        <w:numPr>
          <w:ilvl w:val="0"/>
          <w:numId w:val="0"/>
        </w:numPr>
        <w:snapToGrid w:val="0"/>
        <w:spacing w:before="156" w:after="156"/>
        <w:ind w:firstLine="420" w:firstLineChars="200"/>
        <w:rPr>
          <w:rFonts w:ascii="宋体" w:hAnsi="宋体" w:eastAsia="宋体" w:cs="仿宋_GB2312"/>
        </w:rPr>
      </w:pPr>
      <w:r>
        <w:rPr>
          <w:rFonts w:hint="eastAsia" w:ascii="宋体" w:eastAsia="宋体" w:cs="宋体"/>
          <w:color w:val="000000"/>
          <w:szCs w:val="21"/>
        </w:rPr>
        <w:t>采用冷凝或多级冷凝回收</w:t>
      </w:r>
      <w:r>
        <w:rPr>
          <w:rFonts w:ascii="Times New Roman" w:eastAsia="宋体"/>
          <w:color w:val="000000"/>
          <w:szCs w:val="21"/>
        </w:rPr>
        <w:t>+</w:t>
      </w:r>
      <w:r>
        <w:rPr>
          <w:rFonts w:hint="eastAsia" w:ascii="宋体" w:eastAsia="宋体" w:cs="宋体"/>
          <w:color w:val="000000"/>
          <w:szCs w:val="21"/>
        </w:rPr>
        <w:t>吸附组合技术，适用于高浓度（</w:t>
      </w:r>
      <w:r>
        <w:rPr>
          <w:rFonts w:ascii="Times New Roman" w:eastAsia="宋体"/>
          <w:color w:val="000000"/>
          <w:szCs w:val="21"/>
        </w:rPr>
        <w:t xml:space="preserve">VOCs </w:t>
      </w:r>
      <w:r>
        <w:rPr>
          <w:rFonts w:hint="eastAsia" w:ascii="宋体" w:eastAsia="宋体" w:cs="宋体"/>
          <w:color w:val="000000"/>
          <w:szCs w:val="21"/>
        </w:rPr>
        <w:t>浓度大于</w:t>
      </w:r>
      <w:r>
        <w:rPr>
          <w:rFonts w:ascii="Times New Roman" w:eastAsia="宋体"/>
          <w:color w:val="000000"/>
          <w:szCs w:val="21"/>
        </w:rPr>
        <w:t>5000mg/m3</w:t>
      </w:r>
      <w:r>
        <w:rPr>
          <w:rFonts w:hint="eastAsia" w:ascii="宋体" w:eastAsia="宋体" w:cs="宋体"/>
          <w:color w:val="000000"/>
          <w:szCs w:val="21"/>
        </w:rPr>
        <w:t>）、沸点高、流量小、有回收价值的有机废气的治理，</w:t>
      </w:r>
      <w:r>
        <w:rPr>
          <w:rFonts w:ascii="Times New Roman" w:eastAsia="宋体"/>
          <w:color w:val="000000"/>
          <w:szCs w:val="21"/>
        </w:rPr>
        <w:t>VOCs</w:t>
      </w:r>
      <w:r>
        <w:rPr>
          <w:rFonts w:hint="eastAsia" w:ascii="宋体" w:eastAsia="宋体" w:cs="宋体"/>
          <w:color w:val="000000"/>
          <w:szCs w:val="21"/>
        </w:rPr>
        <w:t>去除率大于</w:t>
      </w:r>
      <w:r>
        <w:rPr>
          <w:rFonts w:ascii="Times New Roman" w:eastAsia="宋体"/>
          <w:color w:val="000000"/>
          <w:szCs w:val="21"/>
        </w:rPr>
        <w:t>95%</w:t>
      </w:r>
      <w:r>
        <w:rPr>
          <w:rFonts w:hint="eastAsia" w:ascii="宋体" w:eastAsia="宋体" w:cs="宋体"/>
          <w:color w:val="000000"/>
          <w:szCs w:val="21"/>
        </w:rPr>
        <w:t>。</w:t>
      </w:r>
    </w:p>
    <w:p w14:paraId="6E03FC83">
      <w:pPr>
        <w:pStyle w:val="105"/>
        <w:spacing w:before="93" w:beforeLines="30" w:after="93" w:afterLines="30"/>
        <w:ind w:left="0"/>
        <w:rPr>
          <w:rFonts w:ascii="Times New Roman" w:eastAsia="宋体"/>
          <w:szCs w:val="24"/>
        </w:rPr>
      </w:pPr>
      <w:bookmarkStart w:id="255" w:name="_Toc149654151"/>
      <w:r>
        <w:rPr>
          <w:rFonts w:hint="eastAsia" w:ascii="Times New Roman" w:eastAsia="宋体"/>
          <w:szCs w:val="24"/>
        </w:rPr>
        <w:t>吸附浓缩</w:t>
      </w:r>
      <w:r>
        <w:rPr>
          <w:rFonts w:ascii="Times New Roman" w:eastAsia="宋体"/>
          <w:szCs w:val="24"/>
        </w:rPr>
        <w:t>+</w:t>
      </w:r>
      <w:r>
        <w:rPr>
          <w:rFonts w:hint="eastAsia" w:ascii="Times New Roman" w:eastAsia="宋体"/>
          <w:szCs w:val="24"/>
        </w:rPr>
        <w:t>冷凝回收技术：</w:t>
      </w:r>
      <w:bookmarkEnd w:id="255"/>
    </w:p>
    <w:p w14:paraId="24047753">
      <w:pPr>
        <w:pStyle w:val="65"/>
        <w:numPr>
          <w:ilvl w:val="0"/>
          <w:numId w:val="0"/>
        </w:numPr>
        <w:snapToGrid w:val="0"/>
        <w:spacing w:before="156" w:after="156"/>
        <w:ind w:firstLine="420" w:firstLineChars="200"/>
        <w:rPr>
          <w:rFonts w:ascii="宋体" w:eastAsia="宋体" w:cs="宋体"/>
          <w:color w:val="000000"/>
          <w:szCs w:val="21"/>
        </w:rPr>
      </w:pPr>
      <w:r>
        <w:rPr>
          <w:rFonts w:hint="eastAsia" w:ascii="宋体" w:eastAsia="宋体" w:cs="宋体"/>
          <w:color w:val="000000"/>
          <w:szCs w:val="21"/>
        </w:rPr>
        <w:t>采用活性炭、活性炭纤维、树脂材料等材料作为吸附剂，对有机废气吸附、脱附浓缩后，采用冷凝法回收有机废气。适用于浓度</w:t>
      </w:r>
      <w:r>
        <w:rPr>
          <w:rFonts w:ascii="Times New Roman" w:eastAsia="宋体"/>
          <w:color w:val="000000"/>
          <w:szCs w:val="21"/>
        </w:rPr>
        <w:t>500 mg/m</w:t>
      </w:r>
      <w:r>
        <w:rPr>
          <w:rFonts w:ascii="Times New Roman" w:eastAsia="宋体"/>
          <w:color w:val="000000"/>
          <w:sz w:val="14"/>
          <w:szCs w:val="14"/>
          <w:vertAlign w:val="superscript"/>
        </w:rPr>
        <w:t xml:space="preserve">3 </w:t>
      </w:r>
      <w:r>
        <w:rPr>
          <w:rFonts w:ascii="Times New Roman" w:eastAsia="宋体"/>
          <w:color w:val="000000"/>
          <w:szCs w:val="21"/>
        </w:rPr>
        <w:t>~ 5000 mg/m</w:t>
      </w:r>
      <w:r>
        <w:rPr>
          <w:rFonts w:ascii="Times New Roman" w:eastAsia="宋体"/>
          <w:color w:val="000000"/>
          <w:sz w:val="14"/>
          <w:szCs w:val="14"/>
          <w:vertAlign w:val="superscript"/>
        </w:rPr>
        <w:t>3</w:t>
      </w:r>
      <w:r>
        <w:rPr>
          <w:rFonts w:hint="eastAsia" w:ascii="宋体" w:eastAsia="宋体" w:cs="宋体"/>
          <w:color w:val="000000"/>
          <w:szCs w:val="21"/>
        </w:rPr>
        <w:t>，湿度小于</w:t>
      </w:r>
      <w:r>
        <w:rPr>
          <w:rFonts w:ascii="Times New Roman" w:eastAsia="宋体"/>
          <w:color w:val="000000"/>
          <w:szCs w:val="21"/>
        </w:rPr>
        <w:t xml:space="preserve">50% </w:t>
      </w:r>
      <w:r>
        <w:rPr>
          <w:rFonts w:hint="eastAsia" w:ascii="宋体" w:eastAsia="宋体" w:cs="宋体"/>
          <w:color w:val="000000"/>
          <w:szCs w:val="21"/>
        </w:rPr>
        <w:t>的有机废气治理。吸附温度宜低于</w:t>
      </w:r>
      <w:r>
        <w:rPr>
          <w:rFonts w:ascii="Times New Roman" w:eastAsia="宋体"/>
          <w:color w:val="000000"/>
          <w:szCs w:val="21"/>
        </w:rPr>
        <w:t>40℃</w:t>
      </w:r>
      <w:r>
        <w:rPr>
          <w:rFonts w:hint="eastAsia" w:ascii="宋体" w:eastAsia="宋体" w:cs="宋体"/>
          <w:color w:val="000000"/>
          <w:szCs w:val="21"/>
        </w:rPr>
        <w:t>。当采用活性炭时，热空气脱附和氮气脱附的e温度</w:t>
      </w:r>
      <w:r>
        <w:rPr>
          <w:rFonts w:ascii="Times New Roman" w:eastAsia="宋体"/>
          <w:color w:val="000000"/>
          <w:szCs w:val="21"/>
        </w:rPr>
        <w:t>100℃ ~ 120℃</w:t>
      </w:r>
      <w:r>
        <w:rPr>
          <w:rFonts w:hint="eastAsia" w:ascii="Times New Roman" w:eastAsia="宋体"/>
          <w:color w:val="000000"/>
          <w:szCs w:val="21"/>
        </w:rPr>
        <w:t>，不宜高于1</w:t>
      </w:r>
      <w:r>
        <w:rPr>
          <w:rFonts w:ascii="Times New Roman" w:eastAsia="宋体"/>
          <w:color w:val="000000"/>
          <w:szCs w:val="21"/>
        </w:rPr>
        <w:t>20</w:t>
      </w:r>
      <w:r>
        <w:rPr>
          <w:rFonts w:hint="eastAsia" w:ascii="Times New Roman" w:eastAsia="宋体"/>
          <w:color w:val="000000"/>
          <w:szCs w:val="21"/>
        </w:rPr>
        <w:t>℃；蒸汽辅助真空脱附的温度不宜超过2</w:t>
      </w:r>
      <w:r>
        <w:rPr>
          <w:rFonts w:ascii="Times New Roman" w:eastAsia="宋体"/>
          <w:color w:val="000000"/>
          <w:szCs w:val="21"/>
        </w:rPr>
        <w:t>00</w:t>
      </w:r>
      <w:r>
        <w:rPr>
          <w:rFonts w:hint="eastAsia" w:ascii="Times New Roman" w:eastAsia="宋体"/>
          <w:color w:val="000000"/>
          <w:szCs w:val="21"/>
        </w:rPr>
        <w:t>℃</w:t>
      </w:r>
      <w:r>
        <w:rPr>
          <w:rFonts w:hint="eastAsia" w:ascii="宋体" w:eastAsia="宋体" w:cs="宋体"/>
          <w:color w:val="000000"/>
          <w:szCs w:val="21"/>
        </w:rPr>
        <w:t>。</w:t>
      </w:r>
      <w:r>
        <w:rPr>
          <w:rFonts w:ascii="Times New Roman" w:eastAsia="宋体"/>
          <w:color w:val="000000"/>
          <w:szCs w:val="21"/>
        </w:rPr>
        <w:t>VOCs</w:t>
      </w:r>
      <w:r>
        <w:rPr>
          <w:rFonts w:hint="eastAsia" w:ascii="宋体" w:eastAsia="宋体" w:cs="宋体"/>
          <w:color w:val="000000"/>
          <w:szCs w:val="21"/>
        </w:rPr>
        <w:t>去除率可达</w:t>
      </w:r>
      <w:r>
        <w:rPr>
          <w:rFonts w:ascii="Times New Roman" w:eastAsia="宋体"/>
          <w:color w:val="000000"/>
          <w:szCs w:val="21"/>
        </w:rPr>
        <w:t>95%</w:t>
      </w:r>
      <w:r>
        <w:rPr>
          <w:rFonts w:hint="eastAsia" w:ascii="宋体" w:eastAsia="宋体" w:cs="宋体"/>
          <w:color w:val="000000"/>
          <w:szCs w:val="21"/>
        </w:rPr>
        <w:t>以上。</w:t>
      </w:r>
    </w:p>
    <w:p w14:paraId="5A627B06">
      <w:pPr>
        <w:pStyle w:val="105"/>
        <w:spacing w:before="93" w:beforeLines="30" w:after="93" w:afterLines="30"/>
        <w:ind w:left="0"/>
        <w:rPr>
          <w:rFonts w:ascii="Times New Roman" w:eastAsia="宋体"/>
          <w:szCs w:val="24"/>
        </w:rPr>
      </w:pPr>
      <w:bookmarkStart w:id="256" w:name="_Toc149654152"/>
      <w:r>
        <w:rPr>
          <w:rFonts w:hint="eastAsia" w:ascii="Times New Roman" w:eastAsia="宋体"/>
          <w:szCs w:val="24"/>
        </w:rPr>
        <w:t>吸收处理技术：</w:t>
      </w:r>
      <w:bookmarkEnd w:id="256"/>
    </w:p>
    <w:p w14:paraId="0F168726">
      <w:pPr>
        <w:pStyle w:val="65"/>
        <w:numPr>
          <w:ilvl w:val="0"/>
          <w:numId w:val="0"/>
        </w:numPr>
        <w:snapToGrid w:val="0"/>
        <w:spacing w:before="156" w:after="156"/>
        <w:ind w:firstLine="420" w:firstLineChars="200"/>
        <w:rPr>
          <w:rFonts w:ascii="宋体" w:eastAsia="宋体" w:cs="宋体"/>
          <w:color w:val="000000"/>
          <w:szCs w:val="21"/>
        </w:rPr>
      </w:pPr>
      <w:r>
        <w:rPr>
          <w:rFonts w:hint="eastAsia" w:ascii="宋体" w:eastAsia="宋体" w:cs="宋体"/>
          <w:color w:val="000000"/>
          <w:szCs w:val="21"/>
        </w:rPr>
        <w:t>吸收法是利用废气中各组分在吸收剂中溶解度或化学反应特性的差异，使废气中有害组分被吸收剂吸收，从而达到废气净化的目的。制药有机废气常用吸收剂有酸性溶液、水等，吸收液再进行解吸处理或精馏以回收有机溶剂。典型的技术路线为</w:t>
      </w:r>
      <w:r>
        <w:rPr>
          <w:rFonts w:ascii="宋体" w:eastAsia="宋体" w:cs="宋体"/>
          <w:color w:val="000000"/>
          <w:szCs w:val="21"/>
        </w:rPr>
        <w:t>“</w:t>
      </w:r>
      <w:r>
        <w:rPr>
          <w:rFonts w:hint="eastAsia" w:ascii="宋体" w:eastAsia="宋体" w:cs="宋体"/>
          <w:color w:val="000000"/>
          <w:szCs w:val="21"/>
        </w:rPr>
        <w:t>吸收</w:t>
      </w:r>
      <w:r>
        <w:rPr>
          <w:rFonts w:ascii="宋体" w:eastAsia="宋体" w:cs="宋体"/>
          <w:color w:val="000000"/>
          <w:szCs w:val="21"/>
        </w:rPr>
        <w:t>+</w:t>
      </w:r>
      <w:r>
        <w:rPr>
          <w:rFonts w:hint="eastAsia" w:ascii="宋体" w:eastAsia="宋体" w:cs="宋体"/>
          <w:color w:val="000000"/>
          <w:szCs w:val="21"/>
        </w:rPr>
        <w:t>回收</w:t>
      </w:r>
      <w:r>
        <w:rPr>
          <w:rFonts w:ascii="宋体" w:eastAsia="宋体" w:cs="宋体"/>
          <w:color w:val="000000"/>
          <w:szCs w:val="21"/>
        </w:rPr>
        <w:t>”</w:t>
      </w:r>
      <w:r>
        <w:rPr>
          <w:rFonts w:hint="eastAsia" w:ascii="宋体" w:eastAsia="宋体" w:cs="宋体"/>
          <w:color w:val="000000"/>
          <w:szCs w:val="21"/>
        </w:rPr>
        <w:t>、</w:t>
      </w:r>
      <w:r>
        <w:rPr>
          <w:rFonts w:ascii="宋体" w:eastAsia="宋体" w:cs="宋体"/>
          <w:color w:val="000000"/>
          <w:szCs w:val="21"/>
        </w:rPr>
        <w:t>“</w:t>
      </w:r>
      <w:r>
        <w:rPr>
          <w:rFonts w:hint="eastAsia" w:ascii="宋体" w:eastAsia="宋体" w:cs="宋体"/>
          <w:color w:val="000000"/>
          <w:szCs w:val="21"/>
        </w:rPr>
        <w:t>吸收</w:t>
      </w:r>
      <w:r>
        <w:rPr>
          <w:rFonts w:ascii="宋体" w:eastAsia="宋体" w:cs="宋体"/>
          <w:color w:val="000000"/>
          <w:szCs w:val="21"/>
        </w:rPr>
        <w:t>+</w:t>
      </w:r>
      <w:r>
        <w:rPr>
          <w:rFonts w:hint="eastAsia" w:ascii="宋体" w:eastAsia="宋体" w:cs="宋体"/>
          <w:color w:val="000000"/>
          <w:szCs w:val="21"/>
        </w:rPr>
        <w:t>活性炭吸附</w:t>
      </w:r>
      <w:r>
        <w:rPr>
          <w:rFonts w:ascii="宋体" w:eastAsia="宋体" w:cs="宋体"/>
          <w:color w:val="000000"/>
          <w:szCs w:val="21"/>
        </w:rPr>
        <w:t>”</w:t>
      </w:r>
      <w:r>
        <w:rPr>
          <w:rFonts w:hint="eastAsia" w:ascii="宋体" w:eastAsia="宋体" w:cs="宋体"/>
          <w:color w:val="000000"/>
          <w:szCs w:val="21"/>
        </w:rPr>
        <w:t>、</w:t>
      </w:r>
      <w:r>
        <w:rPr>
          <w:rFonts w:ascii="宋体" w:eastAsia="宋体" w:cs="宋体"/>
          <w:color w:val="000000"/>
          <w:szCs w:val="21"/>
        </w:rPr>
        <w:t>“</w:t>
      </w:r>
      <w:r>
        <w:rPr>
          <w:rFonts w:hint="eastAsia" w:ascii="宋体" w:eastAsia="宋体" w:cs="宋体"/>
          <w:color w:val="000000"/>
          <w:szCs w:val="21"/>
        </w:rPr>
        <w:t>化学氧化（臭氧</w:t>
      </w:r>
      <w:r>
        <w:rPr>
          <w:rFonts w:ascii="宋体" w:eastAsia="宋体" w:cs="宋体"/>
          <w:color w:val="000000"/>
          <w:szCs w:val="21"/>
        </w:rPr>
        <w:t>/</w:t>
      </w:r>
      <w:r>
        <w:rPr>
          <w:rFonts w:hint="eastAsia" w:ascii="宋体" w:eastAsia="宋体" w:cs="宋体"/>
          <w:color w:val="000000"/>
          <w:szCs w:val="21"/>
        </w:rPr>
        <w:t>次氯酸钠）</w:t>
      </w:r>
      <w:r>
        <w:rPr>
          <w:rFonts w:ascii="宋体" w:eastAsia="宋体" w:cs="宋体"/>
          <w:color w:val="000000"/>
          <w:szCs w:val="21"/>
        </w:rPr>
        <w:t>+</w:t>
      </w:r>
      <w:r>
        <w:rPr>
          <w:rFonts w:hint="eastAsia" w:ascii="宋体" w:eastAsia="宋体" w:cs="宋体"/>
          <w:color w:val="000000"/>
          <w:szCs w:val="21"/>
        </w:rPr>
        <w:t>吸收</w:t>
      </w:r>
      <w:r>
        <w:rPr>
          <w:rFonts w:ascii="宋体" w:eastAsia="宋体" w:cs="宋体"/>
          <w:color w:val="000000"/>
          <w:szCs w:val="21"/>
        </w:rPr>
        <w:t>”</w:t>
      </w:r>
      <w:r>
        <w:rPr>
          <w:rFonts w:hint="eastAsia" w:ascii="宋体" w:eastAsia="宋体" w:cs="宋体"/>
          <w:color w:val="000000"/>
          <w:szCs w:val="21"/>
        </w:rPr>
        <w:t>。采用</w:t>
      </w:r>
      <w:r>
        <w:rPr>
          <w:rFonts w:ascii="Times New Roman" w:eastAsia="宋体"/>
          <w:color w:val="000000"/>
          <w:szCs w:val="21"/>
        </w:rPr>
        <w:t>“</w:t>
      </w:r>
      <w:r>
        <w:rPr>
          <w:rFonts w:hint="eastAsia" w:ascii="宋体" w:eastAsia="宋体" w:cs="宋体"/>
          <w:color w:val="000000"/>
          <w:szCs w:val="21"/>
        </w:rPr>
        <w:t>吸收</w:t>
      </w:r>
      <w:r>
        <w:rPr>
          <w:rFonts w:ascii="Times New Roman" w:eastAsia="宋体"/>
          <w:color w:val="000000"/>
          <w:szCs w:val="21"/>
        </w:rPr>
        <w:t>+</w:t>
      </w:r>
      <w:r>
        <w:rPr>
          <w:rFonts w:hint="eastAsia" w:ascii="宋体" w:eastAsia="宋体" w:cs="宋体"/>
          <w:color w:val="000000"/>
          <w:szCs w:val="21"/>
        </w:rPr>
        <w:t>回收</w:t>
      </w:r>
      <w:r>
        <w:rPr>
          <w:rFonts w:ascii="Times New Roman" w:eastAsia="宋体"/>
          <w:color w:val="000000"/>
          <w:szCs w:val="21"/>
        </w:rPr>
        <w:t>”</w:t>
      </w:r>
      <w:r>
        <w:rPr>
          <w:rFonts w:hint="eastAsia" w:ascii="宋体" w:eastAsia="宋体" w:cs="宋体"/>
          <w:color w:val="000000"/>
          <w:szCs w:val="21"/>
        </w:rPr>
        <w:t>适用于</w:t>
      </w:r>
      <w:r>
        <w:rPr>
          <w:rFonts w:ascii="Times New Roman" w:eastAsia="宋体"/>
          <w:color w:val="000000"/>
          <w:szCs w:val="21"/>
        </w:rPr>
        <w:t xml:space="preserve">VOCs </w:t>
      </w:r>
      <w:r>
        <w:rPr>
          <w:rFonts w:hint="eastAsia" w:ascii="宋体" w:eastAsia="宋体" w:cs="宋体"/>
          <w:color w:val="000000"/>
          <w:szCs w:val="21"/>
        </w:rPr>
        <w:t>浓度大于</w:t>
      </w:r>
      <w:r>
        <w:rPr>
          <w:rFonts w:ascii="Times New Roman" w:eastAsia="宋体"/>
          <w:color w:val="000000"/>
          <w:szCs w:val="21"/>
        </w:rPr>
        <w:t>1000mg/m3</w:t>
      </w:r>
      <w:r>
        <w:rPr>
          <w:rFonts w:hint="eastAsia" w:ascii="宋体" w:eastAsia="宋体" w:cs="宋体"/>
          <w:color w:val="000000"/>
          <w:szCs w:val="21"/>
        </w:rPr>
        <w:t>、有回收价值的有机废气的治理，</w:t>
      </w:r>
      <w:r>
        <w:rPr>
          <w:rFonts w:ascii="Times New Roman" w:eastAsia="宋体"/>
          <w:color w:val="000000"/>
          <w:szCs w:val="21"/>
        </w:rPr>
        <w:t>VOCs</w:t>
      </w:r>
      <w:r>
        <w:rPr>
          <w:rFonts w:hint="eastAsia" w:ascii="宋体" w:eastAsia="宋体" w:cs="宋体"/>
          <w:color w:val="000000"/>
          <w:szCs w:val="21"/>
        </w:rPr>
        <w:t>去除率可达</w:t>
      </w:r>
      <w:r>
        <w:rPr>
          <w:rFonts w:ascii="Times New Roman" w:eastAsia="宋体"/>
          <w:color w:val="000000"/>
          <w:szCs w:val="21"/>
        </w:rPr>
        <w:t>95%</w:t>
      </w:r>
      <w:r>
        <w:rPr>
          <w:rFonts w:hint="eastAsia" w:ascii="宋体" w:eastAsia="宋体" w:cs="宋体"/>
          <w:color w:val="000000"/>
          <w:szCs w:val="21"/>
        </w:rPr>
        <w:t>以上。</w:t>
      </w:r>
    </w:p>
    <w:p w14:paraId="6E4B7AD8">
      <w:pPr>
        <w:pStyle w:val="65"/>
        <w:numPr>
          <w:ilvl w:val="0"/>
          <w:numId w:val="0"/>
        </w:numPr>
        <w:snapToGrid w:val="0"/>
        <w:spacing w:before="156" w:after="156"/>
        <w:ind w:left="142" w:firstLine="420" w:firstLineChars="200"/>
        <w:rPr>
          <w:rFonts w:ascii="宋体" w:eastAsia="宋体" w:cs="宋体"/>
          <w:color w:val="000000"/>
          <w:szCs w:val="21"/>
        </w:rPr>
      </w:pPr>
      <w:r>
        <w:rPr>
          <w:rFonts w:hint="eastAsia" w:ascii="宋体" w:eastAsia="宋体" w:cs="宋体"/>
          <w:color w:val="000000"/>
          <w:szCs w:val="21"/>
        </w:rPr>
        <w:t>采用</w:t>
      </w:r>
      <w:r>
        <w:rPr>
          <w:rFonts w:ascii="Times New Roman" w:eastAsia="宋体"/>
          <w:color w:val="000000"/>
          <w:szCs w:val="21"/>
        </w:rPr>
        <w:t>“</w:t>
      </w:r>
      <w:r>
        <w:rPr>
          <w:rFonts w:hint="eastAsia" w:ascii="宋体" w:eastAsia="宋体" w:cs="宋体"/>
          <w:color w:val="000000"/>
          <w:szCs w:val="21"/>
        </w:rPr>
        <w:t>吸收</w:t>
      </w:r>
      <w:r>
        <w:rPr>
          <w:rFonts w:ascii="Times New Roman" w:eastAsia="宋体"/>
          <w:color w:val="000000"/>
          <w:szCs w:val="21"/>
        </w:rPr>
        <w:t>+</w:t>
      </w:r>
      <w:r>
        <w:rPr>
          <w:rFonts w:hint="eastAsia" w:ascii="宋体" w:eastAsia="宋体" w:cs="宋体"/>
          <w:color w:val="000000"/>
          <w:szCs w:val="21"/>
        </w:rPr>
        <w:t>活性炭吸附</w:t>
      </w:r>
      <w:r>
        <w:rPr>
          <w:rFonts w:ascii="Times New Roman" w:eastAsia="宋体"/>
          <w:color w:val="000000"/>
          <w:szCs w:val="21"/>
        </w:rPr>
        <w:t>”</w:t>
      </w:r>
      <w:r>
        <w:rPr>
          <w:rFonts w:hint="eastAsia" w:ascii="宋体" w:eastAsia="宋体" w:cs="宋体"/>
          <w:color w:val="000000"/>
          <w:szCs w:val="21"/>
        </w:rPr>
        <w:t>技术、</w:t>
      </w:r>
      <w:r>
        <w:rPr>
          <w:rFonts w:ascii="Times New Roman" w:eastAsia="宋体"/>
          <w:color w:val="000000"/>
          <w:szCs w:val="21"/>
        </w:rPr>
        <w:t>“</w:t>
      </w:r>
      <w:r>
        <w:rPr>
          <w:rFonts w:hint="eastAsia" w:ascii="宋体" w:eastAsia="宋体" w:cs="宋体"/>
          <w:color w:val="000000"/>
          <w:szCs w:val="21"/>
        </w:rPr>
        <w:t>化学氧化（臭氧</w:t>
      </w:r>
      <w:r>
        <w:rPr>
          <w:rFonts w:ascii="Times New Roman" w:eastAsia="宋体"/>
          <w:color w:val="000000"/>
          <w:szCs w:val="21"/>
        </w:rPr>
        <w:t>/</w:t>
      </w:r>
      <w:r>
        <w:rPr>
          <w:rFonts w:hint="eastAsia" w:ascii="宋体" w:eastAsia="宋体" w:cs="宋体"/>
          <w:color w:val="000000"/>
          <w:szCs w:val="21"/>
        </w:rPr>
        <w:t>次氯酸钠）</w:t>
      </w:r>
      <w:r>
        <w:rPr>
          <w:rFonts w:ascii="Times New Roman" w:eastAsia="宋体"/>
          <w:color w:val="000000"/>
          <w:szCs w:val="21"/>
        </w:rPr>
        <w:t>+</w:t>
      </w:r>
      <w:r>
        <w:rPr>
          <w:rFonts w:hint="eastAsia" w:ascii="宋体" w:eastAsia="宋体" w:cs="宋体"/>
          <w:color w:val="000000"/>
          <w:szCs w:val="21"/>
        </w:rPr>
        <w:t>吸收</w:t>
      </w:r>
      <w:r>
        <w:rPr>
          <w:rFonts w:ascii="Times New Roman" w:eastAsia="宋体"/>
          <w:color w:val="000000"/>
          <w:szCs w:val="21"/>
        </w:rPr>
        <w:t>”</w:t>
      </w:r>
      <w:r>
        <w:rPr>
          <w:rFonts w:hint="eastAsia" w:ascii="宋体" w:eastAsia="宋体" w:cs="宋体"/>
          <w:color w:val="000000"/>
          <w:szCs w:val="21"/>
        </w:rPr>
        <w:t>，适用于</w:t>
      </w:r>
      <w:r>
        <w:rPr>
          <w:rFonts w:ascii="Times New Roman" w:eastAsia="宋体"/>
          <w:color w:val="000000"/>
          <w:szCs w:val="21"/>
        </w:rPr>
        <w:t>VOCs</w:t>
      </w:r>
      <w:r>
        <w:rPr>
          <w:rFonts w:hint="eastAsia" w:ascii="宋体" w:eastAsia="宋体" w:cs="宋体"/>
          <w:color w:val="000000"/>
          <w:szCs w:val="21"/>
        </w:rPr>
        <w:t>浓度小于</w:t>
      </w:r>
      <w:r>
        <w:rPr>
          <w:rFonts w:ascii="Times New Roman" w:eastAsia="宋体"/>
          <w:color w:val="000000"/>
          <w:szCs w:val="21"/>
        </w:rPr>
        <w:t>1000mg/m</w:t>
      </w:r>
      <w:r>
        <w:rPr>
          <w:rFonts w:ascii="Times New Roman" w:eastAsia="宋体"/>
          <w:color w:val="000000"/>
          <w:sz w:val="14"/>
          <w:szCs w:val="14"/>
        </w:rPr>
        <w:t>3</w:t>
      </w:r>
      <w:r>
        <w:rPr>
          <w:rFonts w:hint="eastAsia" w:ascii="宋体" w:eastAsia="宋体" w:cs="宋体"/>
          <w:color w:val="000000"/>
          <w:szCs w:val="21"/>
        </w:rPr>
        <w:t>的有机废气，</w:t>
      </w:r>
      <w:r>
        <w:rPr>
          <w:rFonts w:ascii="Times New Roman" w:eastAsia="宋体"/>
          <w:color w:val="000000"/>
          <w:szCs w:val="21"/>
        </w:rPr>
        <w:t>VOCs</w:t>
      </w:r>
      <w:r>
        <w:rPr>
          <w:rFonts w:hint="eastAsia" w:ascii="宋体" w:eastAsia="宋体" w:cs="宋体"/>
          <w:color w:val="000000"/>
          <w:szCs w:val="21"/>
        </w:rPr>
        <w:t>去除率可达</w:t>
      </w:r>
      <w:r>
        <w:rPr>
          <w:rFonts w:ascii="Times New Roman" w:eastAsia="宋体"/>
          <w:color w:val="000000"/>
          <w:szCs w:val="21"/>
        </w:rPr>
        <w:t>95%</w:t>
      </w:r>
      <w:r>
        <w:rPr>
          <w:rFonts w:hint="eastAsia" w:ascii="宋体" w:eastAsia="宋体" w:cs="宋体"/>
          <w:color w:val="000000"/>
          <w:szCs w:val="21"/>
        </w:rPr>
        <w:t>以上。</w:t>
      </w:r>
    </w:p>
    <w:p w14:paraId="60B49997">
      <w:pPr>
        <w:pStyle w:val="105"/>
        <w:spacing w:before="93" w:beforeLines="30" w:after="93" w:afterLines="30"/>
        <w:ind w:left="0"/>
        <w:rPr>
          <w:rFonts w:ascii="Times New Roman" w:eastAsia="宋体"/>
          <w:szCs w:val="24"/>
        </w:rPr>
      </w:pPr>
      <w:bookmarkStart w:id="257" w:name="_Toc149654153"/>
      <w:r>
        <w:rPr>
          <w:rFonts w:hint="eastAsia" w:ascii="Times New Roman" w:eastAsia="宋体"/>
          <w:szCs w:val="24"/>
        </w:rPr>
        <w:t>燃烧法处理技术：</w:t>
      </w:r>
      <w:bookmarkEnd w:id="257"/>
    </w:p>
    <w:p w14:paraId="0B753011">
      <w:pPr>
        <w:pStyle w:val="65"/>
        <w:numPr>
          <w:ilvl w:val="0"/>
          <w:numId w:val="0"/>
        </w:numPr>
        <w:snapToGrid w:val="0"/>
        <w:spacing w:before="156" w:after="156"/>
        <w:ind w:firstLine="630" w:firstLineChars="300"/>
        <w:rPr>
          <w:rFonts w:ascii="宋体" w:eastAsia="宋体" w:cs="宋体"/>
          <w:color w:val="000000"/>
          <w:szCs w:val="21"/>
        </w:rPr>
      </w:pPr>
      <w:r>
        <w:rPr>
          <w:rFonts w:hint="eastAsia" w:ascii="宋体" w:eastAsia="宋体" w:cs="宋体"/>
          <w:color w:val="000000"/>
          <w:szCs w:val="21"/>
        </w:rPr>
        <w:t>燃烧法是指通过热力燃烧或催化燃烧的方式，使废气中的</w:t>
      </w:r>
      <w:r>
        <w:rPr>
          <w:rFonts w:ascii="宋体" w:eastAsia="宋体" w:cs="宋体"/>
          <w:color w:val="000000"/>
          <w:szCs w:val="21"/>
        </w:rPr>
        <w:t>VOCs</w:t>
      </w:r>
      <w:r>
        <w:rPr>
          <w:rFonts w:hint="eastAsia" w:ascii="宋体" w:eastAsia="宋体" w:cs="宋体"/>
          <w:color w:val="000000"/>
          <w:szCs w:val="21"/>
        </w:rPr>
        <w:t>污染物反应转化为二氧化碳、水等物质，主要包括热力燃烧技术（</w:t>
      </w:r>
      <w:r>
        <w:rPr>
          <w:rFonts w:ascii="宋体" w:eastAsia="宋体" w:cs="宋体"/>
          <w:color w:val="000000"/>
          <w:szCs w:val="21"/>
        </w:rPr>
        <w:t>TO</w:t>
      </w:r>
      <w:r>
        <w:rPr>
          <w:rFonts w:hint="eastAsia" w:ascii="宋体" w:eastAsia="宋体" w:cs="宋体"/>
          <w:color w:val="000000"/>
          <w:szCs w:val="21"/>
        </w:rPr>
        <w:t>）、蓄热燃烧技术（</w:t>
      </w:r>
      <w:r>
        <w:rPr>
          <w:rFonts w:ascii="宋体" w:eastAsia="宋体" w:cs="宋体"/>
          <w:color w:val="000000"/>
          <w:szCs w:val="21"/>
        </w:rPr>
        <w:t>RTO</w:t>
      </w:r>
      <w:r>
        <w:rPr>
          <w:rFonts w:hint="eastAsia" w:ascii="宋体" w:eastAsia="宋体" w:cs="宋体"/>
          <w:color w:val="000000"/>
          <w:szCs w:val="21"/>
        </w:rPr>
        <w:t>）、催化燃烧技术（</w:t>
      </w:r>
      <w:r>
        <w:rPr>
          <w:rFonts w:ascii="宋体" w:eastAsia="宋体" w:cs="宋体"/>
          <w:color w:val="000000"/>
          <w:szCs w:val="21"/>
        </w:rPr>
        <w:t>CO</w:t>
      </w:r>
      <w:r>
        <w:rPr>
          <w:rFonts w:hint="eastAsia" w:ascii="宋体" w:eastAsia="宋体" w:cs="宋体"/>
          <w:color w:val="000000"/>
          <w:szCs w:val="21"/>
        </w:rPr>
        <w:t>）、蓄热催化燃烧技术（</w:t>
      </w:r>
      <w:r>
        <w:rPr>
          <w:rFonts w:ascii="宋体" w:eastAsia="宋体" w:cs="宋体"/>
          <w:color w:val="000000"/>
          <w:szCs w:val="21"/>
        </w:rPr>
        <w:t>RCO</w:t>
      </w:r>
      <w:r>
        <w:rPr>
          <w:rFonts w:hint="eastAsia" w:ascii="宋体" w:eastAsia="宋体" w:cs="宋体"/>
          <w:color w:val="000000"/>
          <w:szCs w:val="21"/>
        </w:rPr>
        <w:t>）。适用于无回收价值或有较大异味的、采用常规处理技术难以有效净化处理的制药高浓度有机废气治理。</w:t>
      </w:r>
    </w:p>
    <w:p w14:paraId="29C1B978">
      <w:pPr>
        <w:pStyle w:val="65"/>
        <w:numPr>
          <w:ilvl w:val="0"/>
          <w:numId w:val="0"/>
        </w:numPr>
        <w:snapToGrid w:val="0"/>
        <w:spacing w:before="156" w:after="156"/>
        <w:ind w:left="142" w:firstLine="420" w:firstLineChars="200"/>
        <w:rPr>
          <w:rFonts w:ascii="宋体" w:eastAsia="宋体" w:cs="宋体"/>
          <w:color w:val="000000"/>
          <w:szCs w:val="21"/>
        </w:rPr>
      </w:pPr>
      <w:r>
        <w:rPr>
          <w:rFonts w:hint="eastAsia" w:ascii="宋体" w:eastAsia="宋体" w:cs="宋体"/>
          <w:color w:val="000000"/>
          <w:szCs w:val="21"/>
        </w:rPr>
        <w:t>热力燃烧技术（</w:t>
      </w:r>
      <w:r>
        <w:rPr>
          <w:rFonts w:ascii="宋体" w:eastAsia="宋体" w:cs="宋体"/>
          <w:color w:val="000000"/>
          <w:szCs w:val="21"/>
        </w:rPr>
        <w:t>TO</w:t>
      </w:r>
      <w:r>
        <w:rPr>
          <w:rFonts w:hint="eastAsia" w:ascii="宋体" w:eastAsia="宋体" w:cs="宋体"/>
          <w:color w:val="000000"/>
          <w:szCs w:val="21"/>
        </w:rPr>
        <w:t>）是采用燃烧的方法使废气中的</w:t>
      </w:r>
      <w:r>
        <w:rPr>
          <w:rFonts w:ascii="宋体" w:eastAsia="宋体" w:cs="宋体"/>
          <w:color w:val="000000"/>
          <w:szCs w:val="21"/>
        </w:rPr>
        <w:t>VOCs</w:t>
      </w:r>
      <w:r>
        <w:rPr>
          <w:rFonts w:hint="eastAsia" w:ascii="宋体" w:eastAsia="宋体" w:cs="宋体"/>
          <w:color w:val="000000"/>
          <w:szCs w:val="21"/>
        </w:rPr>
        <w:t>污染物反应转化为二氧化碳、水等物质。该技术产生的高温废气宜进行热能回收，</w:t>
      </w:r>
      <w:r>
        <w:rPr>
          <w:rFonts w:ascii="宋体" w:eastAsia="宋体" w:cs="宋体"/>
          <w:color w:val="000000"/>
          <w:szCs w:val="21"/>
        </w:rPr>
        <w:t>VOCs</w:t>
      </w:r>
      <w:r>
        <w:rPr>
          <w:rFonts w:hint="eastAsia" w:ascii="宋体" w:eastAsia="宋体" w:cs="宋体"/>
          <w:color w:val="000000"/>
          <w:szCs w:val="21"/>
        </w:rPr>
        <w:t>去除率可达</w:t>
      </w:r>
      <w:r>
        <w:rPr>
          <w:rFonts w:ascii="宋体" w:eastAsia="宋体" w:cs="宋体"/>
          <w:color w:val="000000"/>
          <w:szCs w:val="21"/>
        </w:rPr>
        <w:t>95%</w:t>
      </w:r>
      <w:r>
        <w:rPr>
          <w:rFonts w:hint="eastAsia" w:ascii="宋体" w:eastAsia="宋体" w:cs="宋体"/>
          <w:color w:val="000000"/>
          <w:szCs w:val="21"/>
        </w:rPr>
        <w:t>以上。</w:t>
      </w:r>
    </w:p>
    <w:p w14:paraId="07F4FA67">
      <w:pPr>
        <w:pStyle w:val="65"/>
        <w:numPr>
          <w:ilvl w:val="0"/>
          <w:numId w:val="0"/>
        </w:numPr>
        <w:snapToGrid w:val="0"/>
        <w:spacing w:before="156" w:after="156"/>
        <w:ind w:left="142" w:firstLine="420" w:firstLineChars="200"/>
        <w:rPr>
          <w:rFonts w:ascii="宋体" w:eastAsia="宋体" w:cs="宋体"/>
          <w:color w:val="000000"/>
          <w:szCs w:val="21"/>
        </w:rPr>
      </w:pPr>
      <w:r>
        <w:rPr>
          <w:rFonts w:hint="eastAsia" w:ascii="宋体" w:eastAsia="宋体" w:cs="宋体"/>
          <w:color w:val="000000"/>
          <w:szCs w:val="21"/>
        </w:rPr>
        <w:t>蓄热燃烧技术（</w:t>
      </w:r>
      <w:r>
        <w:rPr>
          <w:rFonts w:ascii="宋体" w:eastAsia="宋体" w:cs="宋体"/>
          <w:color w:val="000000"/>
          <w:szCs w:val="21"/>
        </w:rPr>
        <w:t>RTO</w:t>
      </w:r>
      <w:r>
        <w:rPr>
          <w:rFonts w:hint="eastAsia" w:ascii="宋体" w:eastAsia="宋体" w:cs="宋体"/>
          <w:color w:val="000000"/>
          <w:szCs w:val="21"/>
        </w:rPr>
        <w:t>）将有机废气进行燃烧净化处理，并利用蓄热体对待处理废气进行换热升温、对净化后排气进行换热降温。进入蓄热燃烧装置的有机物浓度应低于其爆炸极限下限的</w:t>
      </w:r>
      <w:r>
        <w:rPr>
          <w:rFonts w:ascii="宋体" w:eastAsia="宋体" w:cs="宋体"/>
          <w:color w:val="000000"/>
          <w:szCs w:val="21"/>
        </w:rPr>
        <w:t>25%</w:t>
      </w:r>
      <w:r>
        <w:rPr>
          <w:rFonts w:hint="eastAsia" w:ascii="宋体" w:eastAsia="宋体" w:cs="宋体"/>
          <w:color w:val="000000"/>
          <w:szCs w:val="21"/>
        </w:rPr>
        <w:t>。当有机物浓度不足以支持自持燃烧时，宜适当浓缩后再进入蓄热燃烧装置。典型的技术路线为</w:t>
      </w:r>
      <w:r>
        <w:rPr>
          <w:rFonts w:ascii="宋体" w:eastAsia="宋体" w:cs="宋体"/>
          <w:color w:val="000000"/>
          <w:szCs w:val="21"/>
        </w:rPr>
        <w:t>“</w:t>
      </w:r>
      <w:r>
        <w:rPr>
          <w:rFonts w:hint="eastAsia" w:ascii="宋体" w:eastAsia="宋体" w:cs="宋体"/>
          <w:color w:val="000000"/>
          <w:szCs w:val="21"/>
        </w:rPr>
        <w:t>吸附浓缩</w:t>
      </w:r>
      <w:r>
        <w:rPr>
          <w:rFonts w:ascii="宋体" w:eastAsia="宋体" w:cs="宋体"/>
          <w:color w:val="000000"/>
          <w:szCs w:val="21"/>
        </w:rPr>
        <w:t>+RTO”</w:t>
      </w:r>
      <w:r>
        <w:rPr>
          <w:rFonts w:hint="eastAsia" w:ascii="宋体" w:eastAsia="宋体" w:cs="宋体"/>
          <w:color w:val="000000"/>
          <w:szCs w:val="21"/>
        </w:rPr>
        <w:t>。两室蓄热燃烧装置的净化效率可达</w:t>
      </w:r>
      <w:r>
        <w:rPr>
          <w:rFonts w:ascii="宋体" w:eastAsia="宋体" w:cs="宋体"/>
          <w:color w:val="000000"/>
          <w:szCs w:val="21"/>
        </w:rPr>
        <w:t>90%</w:t>
      </w:r>
      <w:r>
        <w:rPr>
          <w:rFonts w:hint="eastAsia" w:ascii="宋体" w:eastAsia="宋体" w:cs="宋体"/>
          <w:color w:val="000000"/>
          <w:szCs w:val="21"/>
        </w:rPr>
        <w:t>，多室或旋转式蓄热燃烧装置的</w:t>
      </w:r>
      <w:r>
        <w:rPr>
          <w:rFonts w:ascii="宋体" w:eastAsia="宋体" w:cs="宋体"/>
          <w:color w:val="000000"/>
          <w:szCs w:val="21"/>
        </w:rPr>
        <w:t>VOCs</w:t>
      </w:r>
      <w:r>
        <w:rPr>
          <w:rFonts w:hint="eastAsia" w:ascii="宋体" w:eastAsia="宋体" w:cs="宋体"/>
          <w:color w:val="000000"/>
          <w:szCs w:val="21"/>
        </w:rPr>
        <w:t>去除率可达</w:t>
      </w:r>
      <w:r>
        <w:rPr>
          <w:rFonts w:ascii="宋体" w:eastAsia="宋体" w:cs="宋体"/>
          <w:color w:val="000000"/>
          <w:szCs w:val="21"/>
        </w:rPr>
        <w:t>95%</w:t>
      </w:r>
      <w:r>
        <w:rPr>
          <w:rFonts w:hint="eastAsia" w:ascii="宋体" w:eastAsia="宋体" w:cs="宋体"/>
          <w:color w:val="000000"/>
          <w:szCs w:val="21"/>
        </w:rPr>
        <w:t>。非连续生产工况下或入口废气浓度水平波动较大时，采用该技术治理废气的能耗会增加。当废气中含有酸、碱类气体时，宜采用中和吸收等工艺进行预处理去除。当废气中颗粒物浓度高于</w:t>
      </w:r>
      <w:r>
        <w:rPr>
          <w:rFonts w:ascii="宋体" w:eastAsia="宋体" w:cs="宋体"/>
          <w:color w:val="000000"/>
          <w:szCs w:val="21"/>
        </w:rPr>
        <w:t>10mg/m3</w:t>
      </w:r>
      <w:r>
        <w:rPr>
          <w:rFonts w:hint="eastAsia" w:ascii="宋体" w:eastAsia="宋体" w:cs="宋体"/>
          <w:color w:val="000000"/>
          <w:szCs w:val="21"/>
        </w:rPr>
        <w:t>时，应采用过滤等方式进行预处理。</w:t>
      </w:r>
      <w:r>
        <w:rPr>
          <w:rFonts w:ascii="宋体" w:eastAsia="宋体" w:cs="宋体"/>
          <w:color w:val="000000"/>
          <w:szCs w:val="21"/>
        </w:rPr>
        <w:t>RTO</w:t>
      </w:r>
      <w:r>
        <w:rPr>
          <w:rFonts w:hint="eastAsia" w:ascii="宋体" w:eastAsia="宋体" w:cs="宋体"/>
          <w:color w:val="000000"/>
          <w:szCs w:val="21"/>
        </w:rPr>
        <w:t>的设计与运行管理应符合</w:t>
      </w:r>
      <w:r>
        <w:rPr>
          <w:rFonts w:ascii="宋体" w:eastAsia="宋体" w:cs="宋体"/>
          <w:color w:val="000000"/>
          <w:szCs w:val="21"/>
        </w:rPr>
        <w:t>HJ1093</w:t>
      </w:r>
      <w:r>
        <w:rPr>
          <w:rFonts w:hint="eastAsia" w:ascii="宋体" w:eastAsia="宋体" w:cs="宋体"/>
          <w:color w:val="000000"/>
          <w:szCs w:val="21"/>
        </w:rPr>
        <w:t>的要求。</w:t>
      </w:r>
    </w:p>
    <w:p w14:paraId="5C36F1AC">
      <w:pPr>
        <w:pStyle w:val="65"/>
        <w:numPr>
          <w:ilvl w:val="0"/>
          <w:numId w:val="0"/>
        </w:numPr>
        <w:spacing w:before="0" w:beforeLines="0" w:after="0" w:afterLines="0"/>
        <w:ind w:left="142" w:firstLine="420" w:firstLineChars="200"/>
        <w:rPr>
          <w:rFonts w:ascii="宋体" w:eastAsia="宋体" w:cs="宋体"/>
          <w:color w:val="000000"/>
          <w:szCs w:val="21"/>
        </w:rPr>
      </w:pPr>
      <w:r>
        <w:rPr>
          <w:rFonts w:hint="eastAsia" w:ascii="宋体" w:eastAsia="宋体" w:cs="宋体"/>
          <w:color w:val="000000"/>
          <w:szCs w:val="21"/>
        </w:rPr>
        <w:t>催化燃烧技术（</w:t>
      </w:r>
      <w:r>
        <w:rPr>
          <w:rFonts w:ascii="宋体" w:eastAsia="宋体" w:cs="宋体"/>
          <w:color w:val="000000"/>
          <w:szCs w:val="21"/>
        </w:rPr>
        <w:t>CO</w:t>
      </w:r>
      <w:r>
        <w:rPr>
          <w:rFonts w:hint="eastAsia" w:ascii="宋体" w:eastAsia="宋体" w:cs="宋体"/>
          <w:color w:val="000000"/>
          <w:szCs w:val="21"/>
        </w:rPr>
        <w:t>）是在催化剂作用下将废气中挥发性有机物进行燃烧净化处理。进入催化燃烧装置的废气中不得含有引起催化剂中毒的物质。进入催化燃烧装置的有机物浓度应低于其爆炸极限下限的</w:t>
      </w:r>
      <w:r>
        <w:rPr>
          <w:rFonts w:ascii="宋体" w:eastAsia="宋体" w:cs="宋体"/>
          <w:color w:val="000000"/>
          <w:szCs w:val="21"/>
        </w:rPr>
        <w:t>25%</w:t>
      </w:r>
      <w:r>
        <w:rPr>
          <w:rFonts w:hint="eastAsia" w:ascii="宋体" w:eastAsia="宋体" w:cs="宋体"/>
          <w:color w:val="000000"/>
          <w:szCs w:val="21"/>
        </w:rPr>
        <w:t>。当废气中颗粒物浓度高于</w:t>
      </w:r>
      <w:r>
        <w:rPr>
          <w:rFonts w:ascii="宋体" w:eastAsia="宋体" w:cs="宋体"/>
          <w:color w:val="000000"/>
          <w:szCs w:val="21"/>
        </w:rPr>
        <w:t>10mg/m3</w:t>
      </w:r>
      <w:r>
        <w:rPr>
          <w:rFonts w:hint="eastAsia" w:ascii="宋体" w:eastAsia="宋体" w:cs="宋体"/>
          <w:color w:val="000000"/>
          <w:szCs w:val="21"/>
        </w:rPr>
        <w:t>时，应采用过滤等方式进行预处理。典型的技术路线为</w:t>
      </w:r>
      <w:r>
        <w:rPr>
          <w:rFonts w:ascii="宋体" w:eastAsia="宋体" w:cs="宋体"/>
          <w:color w:val="000000"/>
          <w:szCs w:val="21"/>
        </w:rPr>
        <w:t>“</w:t>
      </w:r>
      <w:r>
        <w:rPr>
          <w:rFonts w:hint="eastAsia" w:ascii="宋体" w:eastAsia="宋体" w:cs="宋体"/>
          <w:color w:val="000000"/>
          <w:szCs w:val="21"/>
        </w:rPr>
        <w:t>活性炭吸附</w:t>
      </w:r>
      <w:r>
        <w:rPr>
          <w:rFonts w:ascii="宋体" w:eastAsia="宋体" w:cs="宋体"/>
          <w:color w:val="000000"/>
          <w:szCs w:val="21"/>
        </w:rPr>
        <w:t>/</w:t>
      </w:r>
      <w:r>
        <w:rPr>
          <w:rFonts w:hint="eastAsia" w:ascii="宋体" w:eastAsia="宋体" w:cs="宋体"/>
          <w:color w:val="000000"/>
          <w:szCs w:val="21"/>
        </w:rPr>
        <w:t>分子筛吸附浓缩</w:t>
      </w:r>
      <w:r>
        <w:rPr>
          <w:rFonts w:ascii="宋体" w:eastAsia="宋体" w:cs="宋体"/>
          <w:color w:val="000000"/>
          <w:szCs w:val="21"/>
        </w:rPr>
        <w:t>+CO”</w:t>
      </w:r>
      <w:r>
        <w:rPr>
          <w:rFonts w:hint="eastAsia" w:ascii="宋体" w:eastAsia="宋体" w:cs="宋体"/>
          <w:color w:val="000000"/>
          <w:szCs w:val="21"/>
        </w:rPr>
        <w:t>，</w:t>
      </w:r>
      <w:r>
        <w:rPr>
          <w:rFonts w:ascii="宋体" w:eastAsia="宋体" w:cs="宋体"/>
          <w:color w:val="000000"/>
          <w:szCs w:val="21"/>
        </w:rPr>
        <w:t>VOCs</w:t>
      </w:r>
      <w:r>
        <w:rPr>
          <w:rFonts w:hint="eastAsia" w:ascii="宋体" w:eastAsia="宋体" w:cs="宋体"/>
          <w:color w:val="000000"/>
          <w:szCs w:val="21"/>
        </w:rPr>
        <w:t>去除率可达</w:t>
      </w:r>
      <w:r>
        <w:rPr>
          <w:rFonts w:ascii="宋体" w:eastAsia="宋体" w:cs="宋体"/>
          <w:color w:val="000000"/>
          <w:szCs w:val="21"/>
        </w:rPr>
        <w:t>95%</w:t>
      </w:r>
      <w:r>
        <w:rPr>
          <w:rFonts w:hint="eastAsia" w:ascii="宋体" w:eastAsia="宋体" w:cs="宋体"/>
          <w:color w:val="000000"/>
          <w:szCs w:val="21"/>
        </w:rPr>
        <w:t>以上。</w:t>
      </w:r>
      <w:r>
        <w:rPr>
          <w:rFonts w:ascii="宋体" w:eastAsia="宋体" w:cs="宋体"/>
          <w:color w:val="000000"/>
          <w:szCs w:val="21"/>
        </w:rPr>
        <w:t>CO</w:t>
      </w:r>
      <w:r>
        <w:rPr>
          <w:rFonts w:hint="eastAsia" w:ascii="宋体" w:eastAsia="宋体" w:cs="宋体"/>
          <w:color w:val="000000"/>
          <w:szCs w:val="21"/>
        </w:rPr>
        <w:t>的设计与运行管理应符合</w:t>
      </w:r>
      <w:r>
        <w:rPr>
          <w:rFonts w:ascii="宋体" w:eastAsia="宋体" w:cs="宋体"/>
          <w:color w:val="000000"/>
          <w:szCs w:val="21"/>
        </w:rPr>
        <w:t>HJ2027</w:t>
      </w:r>
      <w:r>
        <w:rPr>
          <w:rFonts w:hint="eastAsia" w:ascii="宋体" w:eastAsia="宋体" w:cs="宋体"/>
          <w:color w:val="000000"/>
          <w:szCs w:val="21"/>
        </w:rPr>
        <w:t>的要求。</w:t>
      </w:r>
    </w:p>
    <w:p w14:paraId="42E22C6D">
      <w:pPr>
        <w:pStyle w:val="65"/>
        <w:numPr>
          <w:ilvl w:val="0"/>
          <w:numId w:val="0"/>
        </w:numPr>
        <w:spacing w:before="0" w:beforeLines="0" w:after="0" w:afterLines="0"/>
        <w:ind w:left="142" w:firstLine="420" w:firstLineChars="200"/>
        <w:rPr>
          <w:rFonts w:ascii="宋体" w:eastAsia="宋体" w:cs="宋体"/>
          <w:color w:val="000000"/>
          <w:szCs w:val="21"/>
        </w:rPr>
      </w:pPr>
      <w:r>
        <w:rPr>
          <w:rFonts w:hint="eastAsia" w:ascii="宋体" w:eastAsia="宋体" w:cs="宋体"/>
          <w:color w:val="000000"/>
          <w:szCs w:val="21"/>
        </w:rPr>
        <w:t>蓄热催化燃烧技术（</w:t>
      </w:r>
      <w:r>
        <w:rPr>
          <w:rFonts w:ascii="宋体" w:eastAsia="宋体" w:cs="宋体"/>
          <w:color w:val="000000"/>
          <w:szCs w:val="21"/>
        </w:rPr>
        <w:t>RCO</w:t>
      </w:r>
      <w:r>
        <w:rPr>
          <w:rFonts w:hint="eastAsia" w:ascii="宋体" w:eastAsia="宋体" w:cs="宋体"/>
          <w:color w:val="000000"/>
          <w:szCs w:val="21"/>
        </w:rPr>
        <w:t>）是在催化剂作用下将废气中的</w:t>
      </w:r>
      <w:r>
        <w:rPr>
          <w:rFonts w:ascii="宋体" w:eastAsia="宋体" w:cs="宋体"/>
          <w:color w:val="000000"/>
          <w:szCs w:val="21"/>
        </w:rPr>
        <w:t>VOCs</w:t>
      </w:r>
      <w:r>
        <w:rPr>
          <w:rFonts w:hint="eastAsia" w:ascii="宋体" w:eastAsia="宋体" w:cs="宋体"/>
          <w:color w:val="000000"/>
          <w:szCs w:val="21"/>
        </w:rPr>
        <w:t>通过氧化作用转化为二氧化碳和水等物质，并利用蓄热体对反应产生的热量蓄积、利用。</w:t>
      </w:r>
      <w:r>
        <w:rPr>
          <w:rFonts w:ascii="宋体" w:eastAsia="宋体" w:cs="宋体"/>
          <w:color w:val="000000"/>
          <w:szCs w:val="21"/>
        </w:rPr>
        <w:t>RCO</w:t>
      </w:r>
      <w:r>
        <w:rPr>
          <w:rFonts w:hint="eastAsia" w:ascii="宋体" w:eastAsia="宋体" w:cs="宋体"/>
          <w:color w:val="000000"/>
          <w:szCs w:val="21"/>
        </w:rPr>
        <w:t>的</w:t>
      </w:r>
      <w:r>
        <w:rPr>
          <w:rFonts w:ascii="宋体" w:eastAsia="宋体" w:cs="宋体"/>
          <w:color w:val="000000"/>
          <w:szCs w:val="21"/>
        </w:rPr>
        <w:t>VOCs</w:t>
      </w:r>
      <w:r>
        <w:rPr>
          <w:rFonts w:hint="eastAsia" w:ascii="宋体" w:eastAsia="宋体" w:cs="宋体"/>
          <w:color w:val="000000"/>
          <w:szCs w:val="21"/>
        </w:rPr>
        <w:t>去除率可达</w:t>
      </w:r>
      <w:r>
        <w:rPr>
          <w:rFonts w:ascii="宋体" w:eastAsia="宋体" w:cs="宋体"/>
          <w:color w:val="000000"/>
          <w:szCs w:val="21"/>
        </w:rPr>
        <w:t>95%</w:t>
      </w:r>
      <w:r>
        <w:rPr>
          <w:rFonts w:hint="eastAsia" w:ascii="宋体" w:eastAsia="宋体" w:cs="宋体"/>
          <w:color w:val="000000"/>
          <w:szCs w:val="21"/>
        </w:rPr>
        <w:t>以上。与</w:t>
      </w:r>
      <w:r>
        <w:rPr>
          <w:rFonts w:ascii="宋体" w:eastAsia="宋体" w:cs="宋体"/>
          <w:color w:val="000000"/>
          <w:szCs w:val="21"/>
        </w:rPr>
        <w:t>CO</w:t>
      </w:r>
      <w:r>
        <w:rPr>
          <w:rFonts w:hint="eastAsia" w:ascii="宋体" w:eastAsia="宋体" w:cs="宋体"/>
          <w:color w:val="000000"/>
          <w:szCs w:val="21"/>
        </w:rPr>
        <w:t>相比，</w:t>
      </w:r>
      <w:r>
        <w:rPr>
          <w:rFonts w:ascii="宋体" w:eastAsia="宋体" w:cs="宋体"/>
          <w:color w:val="000000"/>
          <w:szCs w:val="21"/>
        </w:rPr>
        <w:t>RCO</w:t>
      </w:r>
      <w:r>
        <w:rPr>
          <w:rFonts w:hint="eastAsia" w:ascii="宋体" w:eastAsia="宋体" w:cs="宋体"/>
          <w:color w:val="000000"/>
          <w:szCs w:val="21"/>
        </w:rPr>
        <w:t>的运行费用较低。</w:t>
      </w:r>
    </w:p>
    <w:p w14:paraId="79CF1C5F">
      <w:pPr>
        <w:pStyle w:val="65"/>
        <w:numPr>
          <w:ilvl w:val="0"/>
          <w:numId w:val="0"/>
        </w:numPr>
        <w:spacing w:before="0" w:beforeLines="0" w:after="0" w:afterLines="0"/>
        <w:ind w:left="142" w:firstLine="420" w:firstLineChars="200"/>
        <w:rPr>
          <w:rFonts w:ascii="宋体" w:eastAsia="宋体" w:cs="宋体"/>
          <w:color w:val="000000"/>
          <w:szCs w:val="21"/>
        </w:rPr>
      </w:pPr>
      <w:r>
        <w:rPr>
          <w:rFonts w:hint="eastAsia" w:ascii="宋体" w:eastAsia="宋体" w:cs="宋体"/>
          <w:color w:val="000000"/>
          <w:szCs w:val="21"/>
        </w:rPr>
        <w:t>对于</w:t>
      </w:r>
      <w:r>
        <w:rPr>
          <w:rFonts w:ascii="Times New Roman" w:eastAsia="宋体"/>
          <w:color w:val="000000"/>
          <w:szCs w:val="21"/>
        </w:rPr>
        <w:t>VOCs</w:t>
      </w:r>
      <w:r>
        <w:rPr>
          <w:rFonts w:hint="eastAsia" w:ascii="宋体" w:eastAsia="宋体" w:cs="宋体"/>
          <w:color w:val="000000"/>
          <w:szCs w:val="21"/>
        </w:rPr>
        <w:t>浓度大于</w:t>
      </w:r>
      <w:r>
        <w:rPr>
          <w:rFonts w:ascii="Times New Roman" w:eastAsia="宋体"/>
          <w:color w:val="000000"/>
          <w:szCs w:val="21"/>
        </w:rPr>
        <w:t>2000 mg/m3</w:t>
      </w:r>
      <w:r>
        <w:rPr>
          <w:rFonts w:hint="eastAsia" w:ascii="宋体" w:eastAsia="宋体" w:cs="宋体"/>
          <w:color w:val="000000"/>
          <w:szCs w:val="21"/>
        </w:rPr>
        <w:t>的有机废气可采用燃烧法进行处理。</w:t>
      </w:r>
    </w:p>
    <w:p w14:paraId="1980735B">
      <w:pPr>
        <w:pStyle w:val="105"/>
        <w:spacing w:before="0" w:beforeLines="0" w:after="0" w:afterLines="0"/>
        <w:ind w:left="0"/>
        <w:rPr>
          <w:rFonts w:ascii="Times New Roman" w:eastAsia="宋体"/>
          <w:szCs w:val="24"/>
        </w:rPr>
      </w:pPr>
      <w:bookmarkStart w:id="258" w:name="_Toc149654154"/>
      <w:r>
        <w:rPr>
          <w:rFonts w:hint="eastAsia" w:ascii="Times New Roman" w:eastAsia="宋体"/>
          <w:szCs w:val="24"/>
        </w:rPr>
        <w:t>吸附浓缩</w:t>
      </w:r>
      <w:r>
        <w:rPr>
          <w:rFonts w:ascii="Times New Roman" w:eastAsia="宋体"/>
          <w:szCs w:val="24"/>
        </w:rPr>
        <w:t>+</w:t>
      </w:r>
      <w:r>
        <w:rPr>
          <w:rFonts w:hint="eastAsia" w:ascii="Times New Roman" w:eastAsia="宋体"/>
          <w:szCs w:val="24"/>
        </w:rPr>
        <w:t>催化处理技术：</w:t>
      </w:r>
      <w:bookmarkEnd w:id="258"/>
    </w:p>
    <w:p w14:paraId="07907BE8">
      <w:pPr>
        <w:pStyle w:val="65"/>
        <w:numPr>
          <w:ilvl w:val="0"/>
          <w:numId w:val="0"/>
        </w:numPr>
        <w:spacing w:before="0" w:beforeLines="0" w:after="0" w:afterLines="0"/>
        <w:ind w:firstLine="630" w:firstLineChars="300"/>
        <w:rPr>
          <w:rFonts w:ascii="宋体" w:eastAsia="宋体" w:cs="宋体"/>
          <w:color w:val="000000"/>
          <w:szCs w:val="21"/>
        </w:rPr>
      </w:pPr>
      <w:r>
        <w:rPr>
          <w:rFonts w:hint="eastAsia" w:ascii="宋体" w:eastAsia="宋体" w:cs="宋体"/>
          <w:color w:val="000000"/>
          <w:szCs w:val="21"/>
        </w:rPr>
        <w:t>采用活性炭、活性炭纤维、树脂等材料作为吸附剂，对有机废气吸附、脱附浓缩后，采用催化氧化对有机废气进行净化处理。适用于</w:t>
      </w:r>
      <w:r>
        <w:rPr>
          <w:rFonts w:ascii="宋体" w:eastAsia="宋体" w:cs="宋体"/>
          <w:color w:val="000000"/>
          <w:szCs w:val="21"/>
        </w:rPr>
        <w:t>VOCS</w:t>
      </w:r>
      <w:r>
        <w:rPr>
          <w:rFonts w:hint="eastAsia" w:ascii="宋体" w:eastAsia="宋体" w:cs="宋体"/>
          <w:color w:val="000000"/>
          <w:szCs w:val="21"/>
        </w:rPr>
        <w:t>浓度小于</w:t>
      </w:r>
      <w:r>
        <w:rPr>
          <w:rFonts w:ascii="宋体" w:eastAsia="宋体" w:cs="宋体"/>
          <w:color w:val="000000"/>
          <w:szCs w:val="21"/>
        </w:rPr>
        <w:t>2000mg/m</w:t>
      </w:r>
      <w:r>
        <w:rPr>
          <w:rFonts w:ascii="宋体" w:eastAsia="宋体" w:cs="宋体"/>
          <w:color w:val="000000"/>
          <w:szCs w:val="21"/>
          <w:vertAlign w:val="superscript"/>
        </w:rPr>
        <w:t>3</w:t>
      </w:r>
      <w:r>
        <w:rPr>
          <w:rFonts w:hint="eastAsia" w:ascii="宋体" w:eastAsia="宋体" w:cs="宋体"/>
          <w:color w:val="000000"/>
          <w:szCs w:val="21"/>
        </w:rPr>
        <w:t>，湿度小于</w:t>
      </w:r>
      <w:r>
        <w:rPr>
          <w:rFonts w:ascii="宋体" w:eastAsia="宋体" w:cs="宋体"/>
          <w:color w:val="000000"/>
          <w:szCs w:val="21"/>
        </w:rPr>
        <w:t>50%</w:t>
      </w:r>
      <w:r>
        <w:rPr>
          <w:rFonts w:hint="eastAsia" w:ascii="宋体" w:eastAsia="宋体" w:cs="宋体"/>
          <w:color w:val="000000"/>
          <w:szCs w:val="21"/>
        </w:rPr>
        <w:t>的有机废气治理。吸附温度宜小于</w:t>
      </w:r>
      <w:r>
        <w:rPr>
          <w:rFonts w:ascii="宋体" w:eastAsia="宋体" w:cs="宋体"/>
          <w:color w:val="000000"/>
          <w:szCs w:val="21"/>
        </w:rPr>
        <w:t>40℃</w:t>
      </w:r>
      <w:r>
        <w:rPr>
          <w:rFonts w:hint="eastAsia" w:ascii="宋体" w:eastAsia="宋体" w:cs="宋体"/>
          <w:color w:val="000000"/>
          <w:szCs w:val="21"/>
        </w:rPr>
        <w:t>，脱附温度</w:t>
      </w:r>
      <w:r>
        <w:rPr>
          <w:rFonts w:ascii="宋体" w:eastAsia="宋体" w:cs="宋体"/>
          <w:color w:val="000000"/>
          <w:szCs w:val="21"/>
        </w:rPr>
        <w:t>100℃ ~ 120℃</w:t>
      </w:r>
      <w:r>
        <w:rPr>
          <w:rFonts w:hint="eastAsia" w:ascii="宋体" w:eastAsia="宋体" w:cs="宋体"/>
          <w:color w:val="000000"/>
          <w:szCs w:val="21"/>
        </w:rPr>
        <w:t>，催化燃烧温度在</w:t>
      </w:r>
      <w:r>
        <w:rPr>
          <w:rFonts w:ascii="宋体" w:eastAsia="宋体" w:cs="宋体"/>
          <w:color w:val="000000"/>
          <w:szCs w:val="21"/>
        </w:rPr>
        <w:t>200℃ ~ 400℃</w:t>
      </w:r>
      <w:r>
        <w:rPr>
          <w:rFonts w:hint="eastAsia" w:ascii="宋体" w:eastAsia="宋体" w:cs="宋体"/>
          <w:color w:val="000000"/>
          <w:szCs w:val="21"/>
        </w:rPr>
        <w:t>之间，压力总损失</w:t>
      </w:r>
      <w:r>
        <w:rPr>
          <w:rFonts w:ascii="宋体" w:eastAsia="宋体" w:cs="宋体"/>
          <w:color w:val="000000"/>
          <w:szCs w:val="21"/>
        </w:rPr>
        <w:t>1500 Pa ~ 2000 Pa</w:t>
      </w:r>
      <w:r>
        <w:rPr>
          <w:rFonts w:hint="eastAsia" w:ascii="宋体" w:eastAsia="宋体" w:cs="宋体"/>
          <w:color w:val="000000"/>
          <w:szCs w:val="21"/>
        </w:rPr>
        <w:t>。采用蒸汽辅助-真空脱附技术、热空气脱附技术等。燃烧产生的热量经换热器换热后可用于脱附工段。</w:t>
      </w:r>
      <w:r>
        <w:rPr>
          <w:rFonts w:ascii="宋体" w:eastAsia="宋体" w:cs="宋体"/>
          <w:color w:val="000000"/>
          <w:szCs w:val="21"/>
        </w:rPr>
        <w:t>VOCs</w:t>
      </w:r>
      <w:r>
        <w:rPr>
          <w:rFonts w:hint="eastAsia" w:ascii="宋体" w:eastAsia="宋体" w:cs="宋体"/>
          <w:color w:val="000000"/>
          <w:szCs w:val="21"/>
        </w:rPr>
        <w:t>去除率可达</w:t>
      </w:r>
      <w:r>
        <w:rPr>
          <w:rFonts w:ascii="宋体" w:eastAsia="宋体" w:cs="宋体"/>
          <w:color w:val="000000"/>
          <w:szCs w:val="21"/>
        </w:rPr>
        <w:t>90%</w:t>
      </w:r>
      <w:r>
        <w:rPr>
          <w:rFonts w:hint="eastAsia" w:ascii="宋体" w:eastAsia="宋体" w:cs="宋体"/>
          <w:color w:val="000000"/>
          <w:szCs w:val="21"/>
        </w:rPr>
        <w:t>以上。</w:t>
      </w:r>
    </w:p>
    <w:p w14:paraId="70ED9EFC">
      <w:pPr>
        <w:pStyle w:val="105"/>
        <w:spacing w:before="0" w:beforeLines="0" w:after="0" w:afterLines="0"/>
        <w:ind w:left="0"/>
        <w:rPr>
          <w:rFonts w:ascii="Times New Roman" w:eastAsia="宋体"/>
          <w:szCs w:val="24"/>
        </w:rPr>
      </w:pPr>
      <w:bookmarkStart w:id="259" w:name="_Toc149654155"/>
      <w:r>
        <w:rPr>
          <w:rFonts w:hint="eastAsia" w:ascii="Times New Roman" w:eastAsia="宋体"/>
          <w:szCs w:val="24"/>
        </w:rPr>
        <w:t>吸附浓缩</w:t>
      </w:r>
      <w:r>
        <w:rPr>
          <w:rFonts w:ascii="Times New Roman" w:eastAsia="宋体"/>
          <w:szCs w:val="24"/>
        </w:rPr>
        <w:t>+</w:t>
      </w:r>
      <w:r>
        <w:rPr>
          <w:rFonts w:hint="eastAsia" w:ascii="Times New Roman" w:eastAsia="宋体"/>
          <w:szCs w:val="24"/>
        </w:rPr>
        <w:t>R</w:t>
      </w:r>
      <w:r>
        <w:rPr>
          <w:rFonts w:ascii="Times New Roman" w:eastAsia="宋体"/>
          <w:szCs w:val="24"/>
        </w:rPr>
        <w:t>TO</w:t>
      </w:r>
      <w:r>
        <w:rPr>
          <w:rFonts w:hint="eastAsia" w:ascii="Times New Roman" w:eastAsia="宋体"/>
          <w:szCs w:val="24"/>
        </w:rPr>
        <w:t>处理技术：</w:t>
      </w:r>
      <w:bookmarkEnd w:id="259"/>
    </w:p>
    <w:p w14:paraId="66F91AE9">
      <w:pPr>
        <w:adjustRightInd/>
        <w:spacing w:line="240" w:lineRule="auto"/>
        <w:ind w:firstLine="420" w:firstLineChars="200"/>
        <w:outlineLvl w:val="2"/>
        <w:rPr>
          <w:rFonts w:ascii="宋体" w:hAnsi="Times New Roman" w:cs="宋体"/>
          <w:color w:val="000000"/>
          <w:kern w:val="0"/>
        </w:rPr>
      </w:pPr>
      <w:r>
        <w:rPr>
          <w:rFonts w:hint="eastAsia" w:ascii="宋体" w:hAnsi="Times New Roman" w:cs="宋体"/>
          <w:color w:val="000000"/>
          <w:kern w:val="0"/>
        </w:rPr>
        <w:t>采用活性炭、活性炭纤维、分子筛等材料作为吸附剂，对有机废气吸附、脱附浓缩后，采用R</w:t>
      </w:r>
      <w:r>
        <w:rPr>
          <w:rFonts w:ascii="宋体" w:hAnsi="Times New Roman" w:cs="宋体"/>
          <w:color w:val="000000"/>
          <w:kern w:val="0"/>
        </w:rPr>
        <w:t>TO</w:t>
      </w:r>
      <w:r>
        <w:rPr>
          <w:rFonts w:hint="eastAsia" w:ascii="宋体" w:hAnsi="Times New Roman" w:cs="宋体"/>
          <w:color w:val="000000"/>
          <w:kern w:val="0"/>
        </w:rPr>
        <w:t>对有机废气进行净化处理。适用于</w:t>
      </w:r>
      <w:r>
        <w:rPr>
          <w:rFonts w:ascii="Times New Roman" w:hAnsi="Times New Roman"/>
          <w:color w:val="000000"/>
          <w:kern w:val="0"/>
        </w:rPr>
        <w:t>VOCS</w:t>
      </w:r>
      <w:r>
        <w:rPr>
          <w:rFonts w:hint="eastAsia" w:ascii="宋体" w:hAnsi="Times New Roman" w:cs="宋体"/>
          <w:color w:val="000000"/>
          <w:kern w:val="0"/>
        </w:rPr>
        <w:t>浓度小于</w:t>
      </w:r>
      <w:r>
        <w:rPr>
          <w:rFonts w:ascii="宋体" w:hAnsi="Times New Roman" w:cs="宋体"/>
          <w:color w:val="000000"/>
          <w:kern w:val="0"/>
        </w:rPr>
        <w:t>2000mg/m</w:t>
      </w:r>
      <w:r>
        <w:rPr>
          <w:rFonts w:ascii="宋体" w:hAnsi="Times New Roman" w:cs="宋体"/>
          <w:color w:val="000000"/>
          <w:kern w:val="0"/>
          <w:vertAlign w:val="superscript"/>
        </w:rPr>
        <w:t>3</w:t>
      </w:r>
      <w:r>
        <w:rPr>
          <w:rFonts w:hint="eastAsia" w:ascii="宋体" w:hAnsi="Times New Roman" w:cs="宋体"/>
          <w:color w:val="000000"/>
          <w:kern w:val="0"/>
        </w:rPr>
        <w:t>的有机废气治理。前端可采取除湿等预处理措施。脱附技术可以采用蒸汽辅助-真空脱附技术、热空气脱附技术等。R</w:t>
      </w:r>
      <w:r>
        <w:rPr>
          <w:rFonts w:ascii="宋体" w:hAnsi="Times New Roman" w:cs="宋体"/>
          <w:color w:val="000000"/>
          <w:kern w:val="0"/>
        </w:rPr>
        <w:t>TO</w:t>
      </w:r>
      <w:r>
        <w:rPr>
          <w:rFonts w:hint="eastAsia" w:ascii="宋体" w:hAnsi="Times New Roman" w:cs="宋体"/>
          <w:color w:val="000000"/>
          <w:kern w:val="0"/>
        </w:rPr>
        <w:t>炉子的燃烧温度不得低于7</w:t>
      </w:r>
      <w:r>
        <w:rPr>
          <w:rFonts w:ascii="宋体" w:hAnsi="Times New Roman" w:cs="宋体"/>
          <w:color w:val="000000"/>
          <w:kern w:val="0"/>
        </w:rPr>
        <w:t>60</w:t>
      </w:r>
      <w:r>
        <w:rPr>
          <w:rFonts w:hint="eastAsia" w:ascii="宋体" w:hAnsi="Times New Roman" w:cs="宋体"/>
          <w:color w:val="000000"/>
          <w:kern w:val="0"/>
        </w:rPr>
        <w:t>℃，停留时间不得低于0</w:t>
      </w:r>
      <w:r>
        <w:rPr>
          <w:rFonts w:ascii="宋体" w:hAnsi="Times New Roman" w:cs="宋体"/>
          <w:color w:val="000000"/>
          <w:kern w:val="0"/>
        </w:rPr>
        <w:t>.75s</w:t>
      </w:r>
      <w:r>
        <w:rPr>
          <w:rFonts w:hint="eastAsia" w:ascii="宋体" w:hAnsi="Times New Roman" w:cs="宋体"/>
          <w:color w:val="000000"/>
          <w:kern w:val="0"/>
        </w:rPr>
        <w:t>。</w:t>
      </w:r>
    </w:p>
    <w:p w14:paraId="097B3275">
      <w:pPr>
        <w:pStyle w:val="105"/>
        <w:spacing w:before="0" w:beforeLines="0" w:after="0" w:afterLines="0"/>
        <w:ind w:left="0"/>
        <w:rPr>
          <w:rFonts w:ascii="Times New Roman" w:eastAsia="宋体"/>
          <w:szCs w:val="24"/>
        </w:rPr>
      </w:pPr>
      <w:bookmarkStart w:id="260" w:name="_Toc149654156"/>
      <w:r>
        <w:rPr>
          <w:rFonts w:hint="eastAsia" w:ascii="Times New Roman" w:eastAsia="宋体"/>
          <w:szCs w:val="24"/>
        </w:rPr>
        <w:t>碱洗</w:t>
      </w:r>
      <w:r>
        <w:rPr>
          <w:rFonts w:ascii="Times New Roman" w:eastAsia="宋体"/>
          <w:szCs w:val="24"/>
        </w:rPr>
        <w:t>+</w:t>
      </w:r>
      <w:r>
        <w:rPr>
          <w:rFonts w:hint="eastAsia" w:ascii="Times New Roman" w:eastAsia="宋体"/>
          <w:szCs w:val="24"/>
        </w:rPr>
        <w:t>化学氧化处理技术：</w:t>
      </w:r>
      <w:bookmarkEnd w:id="260"/>
    </w:p>
    <w:p w14:paraId="262F58E0">
      <w:pPr>
        <w:adjustRightInd/>
        <w:spacing w:line="240" w:lineRule="auto"/>
        <w:ind w:firstLine="420" w:firstLineChars="200"/>
        <w:outlineLvl w:val="2"/>
        <w:rPr>
          <w:rFonts w:ascii="宋体" w:hAnsi="Times New Roman" w:cs="宋体"/>
          <w:color w:val="000000"/>
          <w:kern w:val="0"/>
        </w:rPr>
      </w:pPr>
      <w:r>
        <w:rPr>
          <w:rFonts w:hint="eastAsia" w:ascii="宋体" w:hAnsi="Times New Roman" w:cs="宋体"/>
          <w:color w:val="000000"/>
          <w:kern w:val="0"/>
        </w:rPr>
        <w:t>采用碱吸收并结合氧化处理。可采用的氧化技术包括臭氧氧化、次氯酸钠氧化等技术。氧化处理后可根据需要增加水洗处理技术。该技术对发酵尾气浓度限制较小；产生的废吸收液可能造成二次污染，需要进一步处理。</w:t>
      </w:r>
    </w:p>
    <w:p w14:paraId="14B7FB8C">
      <w:pPr>
        <w:adjustRightInd/>
        <w:spacing w:line="240" w:lineRule="auto"/>
        <w:ind w:firstLine="420" w:firstLineChars="200"/>
        <w:outlineLvl w:val="2"/>
        <w:rPr>
          <w:rFonts w:ascii="宋体" w:hAnsi="Times New Roman" w:cs="宋体"/>
          <w:color w:val="000000"/>
          <w:kern w:val="0"/>
        </w:rPr>
      </w:pPr>
      <w:r>
        <w:rPr>
          <w:rFonts w:hint="eastAsia" w:ascii="宋体" w:hAnsi="Times New Roman" w:cs="宋体"/>
          <w:color w:val="000000"/>
          <w:kern w:val="0"/>
        </w:rPr>
        <w:t>燃烧产生的热量经换热器换热后可用于脱附工段。</w:t>
      </w:r>
      <w:r>
        <w:rPr>
          <w:rFonts w:ascii="Times New Roman" w:hAnsi="Times New Roman"/>
          <w:color w:val="000000"/>
          <w:kern w:val="0"/>
        </w:rPr>
        <w:t>VOCs</w:t>
      </w:r>
      <w:r>
        <w:rPr>
          <w:rFonts w:hint="eastAsia" w:ascii="宋体" w:hAnsi="Times New Roman" w:cs="宋体"/>
          <w:color w:val="000000"/>
          <w:kern w:val="0"/>
        </w:rPr>
        <w:t>去除率可达</w:t>
      </w:r>
      <w:r>
        <w:rPr>
          <w:rFonts w:ascii="Times New Roman" w:hAnsi="Times New Roman"/>
          <w:color w:val="000000"/>
          <w:kern w:val="0"/>
        </w:rPr>
        <w:t>90%</w:t>
      </w:r>
      <w:r>
        <w:rPr>
          <w:rFonts w:hint="eastAsia" w:ascii="宋体" w:hAnsi="Times New Roman" w:cs="宋体"/>
          <w:color w:val="000000"/>
          <w:kern w:val="0"/>
        </w:rPr>
        <w:t>以上。</w:t>
      </w:r>
    </w:p>
    <w:p w14:paraId="7139DAEF">
      <w:pPr>
        <w:pStyle w:val="105"/>
        <w:spacing w:before="0" w:beforeLines="0" w:after="0" w:afterLines="0"/>
        <w:ind w:left="0"/>
        <w:rPr>
          <w:rFonts w:ascii="Times New Roman" w:eastAsia="宋体"/>
          <w:szCs w:val="24"/>
        </w:rPr>
      </w:pPr>
      <w:bookmarkStart w:id="261" w:name="_Toc149654157"/>
      <w:r>
        <w:rPr>
          <w:rFonts w:hint="eastAsia" w:ascii="Times New Roman" w:eastAsia="宋体"/>
          <w:szCs w:val="24"/>
        </w:rPr>
        <w:t>酸碱废气处理技术</w:t>
      </w:r>
      <w:bookmarkEnd w:id="261"/>
    </w:p>
    <w:p w14:paraId="46D18408">
      <w:pPr>
        <w:widowControl/>
        <w:adjustRightInd/>
        <w:spacing w:line="240" w:lineRule="auto"/>
        <w:ind w:firstLine="420" w:firstLineChars="200"/>
        <w:outlineLvl w:val="1"/>
        <w:rPr>
          <w:rFonts w:ascii="宋体" w:hAnsi="Times New Roman" w:cs="宋体"/>
          <w:color w:val="000000"/>
          <w:kern w:val="0"/>
        </w:rPr>
      </w:pPr>
      <w:r>
        <w:rPr>
          <w:rFonts w:hint="eastAsia" w:ascii="宋体" w:hAnsi="Times New Roman" w:cs="宋体"/>
          <w:color w:val="000000"/>
          <w:kern w:val="0"/>
        </w:rPr>
        <w:t>采用酸碱吸收法处理技术。酸碱吸收法是指使用酸性或碱性吸收液吸收废气中的碱性或酸性成份净化废气的方法。采用</w:t>
      </w:r>
      <w:r>
        <w:rPr>
          <w:rFonts w:ascii="宋体" w:hAnsi="Times New Roman" w:cs="宋体"/>
          <w:color w:val="000000"/>
          <w:kern w:val="0"/>
        </w:rPr>
        <w:t>NaOH</w:t>
      </w:r>
      <w:r>
        <w:rPr>
          <w:rFonts w:hint="eastAsia" w:ascii="宋体" w:hAnsi="Times New Roman" w:cs="宋体"/>
          <w:color w:val="000000"/>
          <w:kern w:val="0"/>
        </w:rPr>
        <w:t>等碱性吸收液处理酸性废气，</w:t>
      </w:r>
      <w:r>
        <w:rPr>
          <w:rFonts w:ascii="宋体" w:hAnsi="Times New Roman" w:cs="宋体"/>
          <w:color w:val="000000"/>
          <w:kern w:val="0"/>
        </w:rPr>
        <w:t>pH</w:t>
      </w:r>
      <w:r>
        <w:rPr>
          <w:rFonts w:hint="eastAsia" w:ascii="宋体" w:hAnsi="Times New Roman" w:cs="宋体"/>
          <w:color w:val="000000"/>
          <w:kern w:val="0"/>
        </w:rPr>
        <w:t>值控制在</w:t>
      </w:r>
      <w:r>
        <w:rPr>
          <w:rFonts w:ascii="宋体" w:hAnsi="Times New Roman" w:cs="宋体"/>
          <w:color w:val="000000"/>
          <w:kern w:val="0"/>
        </w:rPr>
        <w:t>8 ~ 10</w:t>
      </w:r>
      <w:r>
        <w:rPr>
          <w:rFonts w:hint="eastAsia" w:ascii="宋体" w:hAnsi="Times New Roman" w:cs="宋体"/>
          <w:color w:val="000000"/>
          <w:kern w:val="0"/>
        </w:rPr>
        <w:t>之间；采用</w:t>
      </w:r>
      <w:r>
        <w:rPr>
          <w:rFonts w:ascii="宋体" w:hAnsi="Times New Roman" w:cs="宋体"/>
          <w:color w:val="000000"/>
          <w:kern w:val="0"/>
        </w:rPr>
        <w:t>H2SO4</w:t>
      </w:r>
      <w:r>
        <w:rPr>
          <w:rFonts w:hint="eastAsia" w:ascii="宋体" w:hAnsi="Times New Roman" w:cs="宋体"/>
          <w:color w:val="000000"/>
          <w:kern w:val="0"/>
        </w:rPr>
        <w:t>等酸性吸收液处理碱性废气，</w:t>
      </w:r>
      <w:r>
        <w:rPr>
          <w:rFonts w:ascii="宋体" w:hAnsi="Times New Roman" w:cs="宋体"/>
          <w:color w:val="000000"/>
          <w:kern w:val="0"/>
        </w:rPr>
        <w:t>pH</w:t>
      </w:r>
      <w:r>
        <w:rPr>
          <w:rFonts w:hint="eastAsia" w:ascii="宋体" w:hAnsi="Times New Roman" w:cs="宋体"/>
          <w:color w:val="000000"/>
          <w:kern w:val="0"/>
        </w:rPr>
        <w:t>值控制在</w:t>
      </w:r>
      <w:r>
        <w:rPr>
          <w:rFonts w:ascii="宋体" w:hAnsi="Times New Roman" w:cs="宋体"/>
          <w:color w:val="000000"/>
          <w:kern w:val="0"/>
        </w:rPr>
        <w:t>3 ~ 5</w:t>
      </w:r>
      <w:r>
        <w:rPr>
          <w:rFonts w:hint="eastAsia" w:ascii="宋体" w:hAnsi="Times New Roman" w:cs="宋体"/>
          <w:color w:val="000000"/>
          <w:kern w:val="0"/>
        </w:rPr>
        <w:t>之间。该技术净化效率大于</w:t>
      </w:r>
      <w:r>
        <w:rPr>
          <w:rFonts w:ascii="宋体" w:hAnsi="Times New Roman" w:cs="宋体"/>
          <w:color w:val="000000"/>
          <w:kern w:val="0"/>
        </w:rPr>
        <w:t>95%</w:t>
      </w:r>
      <w:r>
        <w:rPr>
          <w:rFonts w:hint="eastAsia" w:ascii="宋体" w:hAnsi="Times New Roman" w:cs="宋体"/>
          <w:color w:val="000000"/>
          <w:kern w:val="0"/>
        </w:rPr>
        <w:t>，适用范围广，对废气浓度限制较小；但产生的废吸收液可能造成二次污染，需进一步处理。</w:t>
      </w:r>
    </w:p>
    <w:p w14:paraId="3C9F82E7">
      <w:pPr>
        <w:pStyle w:val="105"/>
        <w:spacing w:before="0" w:beforeLines="0" w:after="0" w:afterLines="0"/>
        <w:ind w:left="0"/>
        <w:rPr>
          <w:rFonts w:ascii="Times New Roman" w:eastAsia="宋体"/>
          <w:szCs w:val="24"/>
        </w:rPr>
      </w:pPr>
      <w:bookmarkStart w:id="262" w:name="_Toc149654158"/>
      <w:r>
        <w:rPr>
          <w:rFonts w:hint="eastAsia" w:ascii="Times New Roman" w:eastAsia="宋体"/>
          <w:szCs w:val="24"/>
        </w:rPr>
        <w:t>碱吸收</w:t>
      </w:r>
      <w:r>
        <w:rPr>
          <w:rFonts w:ascii="Times New Roman" w:eastAsia="宋体"/>
          <w:szCs w:val="24"/>
        </w:rPr>
        <w:t>+</w:t>
      </w:r>
      <w:r>
        <w:rPr>
          <w:rFonts w:hint="eastAsia" w:ascii="Times New Roman" w:eastAsia="宋体"/>
          <w:szCs w:val="24"/>
        </w:rPr>
        <w:t>生物净化</w:t>
      </w:r>
      <w:r>
        <w:rPr>
          <w:rFonts w:ascii="Times New Roman" w:eastAsia="宋体"/>
          <w:szCs w:val="24"/>
        </w:rPr>
        <w:t>+</w:t>
      </w:r>
      <w:r>
        <w:rPr>
          <w:rFonts w:hint="eastAsia" w:ascii="Times New Roman" w:eastAsia="宋体"/>
          <w:szCs w:val="24"/>
        </w:rPr>
        <w:t>化学氧化处理技术：</w:t>
      </w:r>
      <w:bookmarkEnd w:id="262"/>
    </w:p>
    <w:p w14:paraId="63379AE7">
      <w:pPr>
        <w:pStyle w:val="65"/>
        <w:numPr>
          <w:ilvl w:val="0"/>
          <w:numId w:val="0"/>
        </w:numPr>
        <w:spacing w:before="0" w:beforeLines="0" w:after="0" w:afterLines="0"/>
        <w:ind w:firstLine="420" w:firstLineChars="200"/>
        <w:rPr>
          <w:rFonts w:ascii="宋体" w:eastAsia="宋体" w:cs="宋体"/>
          <w:color w:val="000000"/>
          <w:szCs w:val="21"/>
        </w:rPr>
      </w:pPr>
      <w:r>
        <w:rPr>
          <w:rFonts w:hint="eastAsia" w:ascii="宋体" w:eastAsia="宋体" w:cs="宋体"/>
          <w:color w:val="000000"/>
          <w:szCs w:val="21"/>
        </w:rPr>
        <w:t>使用</w:t>
      </w:r>
      <w:r>
        <w:rPr>
          <w:rFonts w:ascii="宋体" w:eastAsia="宋体" w:cs="宋体"/>
          <w:color w:val="000000"/>
          <w:szCs w:val="21"/>
        </w:rPr>
        <w:t>NaOH</w:t>
      </w:r>
      <w:r>
        <w:rPr>
          <w:rFonts w:hint="eastAsia" w:ascii="宋体" w:eastAsia="宋体" w:cs="宋体"/>
          <w:color w:val="000000"/>
          <w:szCs w:val="21"/>
        </w:rPr>
        <w:t>或</w:t>
      </w:r>
      <w:r>
        <w:rPr>
          <w:rFonts w:ascii="宋体" w:eastAsia="宋体" w:cs="宋体"/>
          <w:color w:val="000000"/>
          <w:szCs w:val="21"/>
        </w:rPr>
        <w:t>NaCO3</w:t>
      </w:r>
      <w:r>
        <w:rPr>
          <w:rFonts w:hint="eastAsia" w:ascii="宋体" w:eastAsia="宋体" w:cs="宋体"/>
          <w:color w:val="000000"/>
          <w:szCs w:val="21"/>
        </w:rPr>
        <w:t>作为吸收液对恶臭气体进行预处理，吸收后废气再进入生物处理装置进行处理，经生物处理后废气采用</w:t>
      </w:r>
      <w:r>
        <w:rPr>
          <w:rFonts w:ascii="宋体" w:eastAsia="宋体" w:cs="宋体"/>
          <w:color w:val="000000"/>
          <w:szCs w:val="21"/>
        </w:rPr>
        <w:t>NaClO</w:t>
      </w:r>
      <w:r>
        <w:rPr>
          <w:rFonts w:hint="eastAsia" w:ascii="宋体" w:eastAsia="宋体" w:cs="宋体"/>
          <w:color w:val="000000"/>
          <w:szCs w:val="21"/>
        </w:rPr>
        <w:t>进行氧化处理后排放。该技术适用于臭气浓度大于</w:t>
      </w:r>
      <w:r>
        <w:rPr>
          <w:rFonts w:ascii="宋体" w:eastAsia="宋体" w:cs="宋体"/>
          <w:color w:val="000000"/>
          <w:szCs w:val="21"/>
        </w:rPr>
        <w:t>10000</w:t>
      </w:r>
      <w:r>
        <w:rPr>
          <w:rFonts w:hint="eastAsia" w:ascii="宋体" w:eastAsia="宋体" w:cs="宋体"/>
          <w:color w:val="000000"/>
          <w:szCs w:val="21"/>
        </w:rPr>
        <w:t>的恶臭气体进行处理，处理效率大于</w:t>
      </w:r>
      <w:r>
        <w:rPr>
          <w:rFonts w:ascii="宋体" w:eastAsia="宋体" w:cs="宋体"/>
          <w:color w:val="000000"/>
          <w:szCs w:val="21"/>
        </w:rPr>
        <w:t>90%</w:t>
      </w:r>
      <w:r>
        <w:rPr>
          <w:rFonts w:hint="eastAsia" w:ascii="宋体" w:eastAsia="宋体" w:cs="宋体"/>
          <w:color w:val="000000"/>
          <w:szCs w:val="21"/>
        </w:rPr>
        <w:t>。</w:t>
      </w:r>
    </w:p>
    <w:p w14:paraId="673E7D63">
      <w:pPr>
        <w:pStyle w:val="105"/>
        <w:spacing w:before="0" w:beforeLines="0" w:after="0" w:afterLines="0"/>
        <w:ind w:left="0"/>
        <w:rPr>
          <w:rFonts w:ascii="Times New Roman" w:eastAsia="宋体"/>
          <w:szCs w:val="24"/>
        </w:rPr>
      </w:pPr>
      <w:bookmarkStart w:id="263" w:name="_Toc149654159"/>
      <w:r>
        <w:rPr>
          <w:rFonts w:hint="eastAsia" w:ascii="Times New Roman" w:eastAsia="宋体"/>
          <w:szCs w:val="24"/>
        </w:rPr>
        <w:t>碱吸收</w:t>
      </w:r>
      <w:r>
        <w:rPr>
          <w:rFonts w:ascii="Times New Roman" w:eastAsia="宋体"/>
          <w:szCs w:val="24"/>
        </w:rPr>
        <w:t>+</w:t>
      </w:r>
      <w:r>
        <w:rPr>
          <w:rFonts w:hint="eastAsia" w:ascii="Times New Roman" w:eastAsia="宋体"/>
          <w:szCs w:val="24"/>
        </w:rPr>
        <w:t>化学氧化处理技术：</w:t>
      </w:r>
      <w:bookmarkEnd w:id="263"/>
    </w:p>
    <w:p w14:paraId="07B82F8D">
      <w:pPr>
        <w:pStyle w:val="65"/>
        <w:numPr>
          <w:ilvl w:val="0"/>
          <w:numId w:val="0"/>
        </w:numPr>
        <w:spacing w:before="0" w:beforeLines="0" w:after="0" w:afterLines="0"/>
        <w:ind w:firstLine="420" w:firstLineChars="200"/>
        <w:rPr>
          <w:rFonts w:ascii="Times New Roman" w:eastAsia="宋体"/>
          <w:color w:val="000000"/>
          <w:szCs w:val="21"/>
        </w:rPr>
      </w:pPr>
      <w:r>
        <w:rPr>
          <w:rFonts w:hint="eastAsia" w:ascii="宋体" w:eastAsia="宋体" w:cs="宋体"/>
          <w:color w:val="000000"/>
          <w:szCs w:val="21"/>
        </w:rPr>
        <w:t>使用</w:t>
      </w:r>
      <w:r>
        <w:rPr>
          <w:rFonts w:ascii="宋体" w:eastAsia="宋体" w:cs="宋体"/>
          <w:color w:val="000000"/>
          <w:szCs w:val="21"/>
        </w:rPr>
        <w:t>NaOH</w:t>
      </w:r>
      <w:r>
        <w:rPr>
          <w:rFonts w:hint="eastAsia" w:ascii="宋体" w:eastAsia="宋体" w:cs="宋体"/>
          <w:color w:val="000000"/>
          <w:szCs w:val="21"/>
        </w:rPr>
        <w:t>或</w:t>
      </w:r>
      <w:r>
        <w:rPr>
          <w:rFonts w:ascii="宋体" w:eastAsia="宋体" w:cs="宋体"/>
          <w:color w:val="000000"/>
          <w:szCs w:val="21"/>
        </w:rPr>
        <w:t>NaCO3</w:t>
      </w:r>
      <w:r>
        <w:rPr>
          <w:rFonts w:hint="eastAsia" w:ascii="宋体" w:eastAsia="宋体" w:cs="宋体"/>
          <w:color w:val="000000"/>
          <w:szCs w:val="21"/>
        </w:rPr>
        <w:t>作为吸收液对恶臭气体进行预处理，吸收后废气采用</w:t>
      </w:r>
      <w:r>
        <w:rPr>
          <w:rFonts w:ascii="宋体" w:eastAsia="宋体" w:cs="宋体"/>
          <w:color w:val="000000"/>
          <w:szCs w:val="21"/>
        </w:rPr>
        <w:t>NaClO</w:t>
      </w:r>
      <w:r>
        <w:rPr>
          <w:rFonts w:hint="eastAsia" w:ascii="宋体" w:eastAsia="宋体" w:cs="宋体"/>
          <w:color w:val="000000"/>
          <w:szCs w:val="21"/>
        </w:rPr>
        <w:t>进行氧化处理后排放。该技术适用于臭气浓度小于</w:t>
      </w:r>
      <w:r>
        <w:rPr>
          <w:rFonts w:ascii="Times New Roman" w:eastAsia="宋体"/>
          <w:color w:val="000000"/>
          <w:szCs w:val="21"/>
        </w:rPr>
        <w:t>10000</w:t>
      </w:r>
      <w:r>
        <w:rPr>
          <w:rFonts w:hint="eastAsia" w:ascii="宋体" w:eastAsia="宋体" w:cs="宋体"/>
          <w:color w:val="000000"/>
          <w:szCs w:val="21"/>
        </w:rPr>
        <w:t>的恶臭气体进行处理，处理效率大于</w:t>
      </w:r>
      <w:r>
        <w:rPr>
          <w:rFonts w:ascii="Times New Roman" w:eastAsia="宋体"/>
          <w:color w:val="000000"/>
          <w:szCs w:val="21"/>
        </w:rPr>
        <w:t>90%</w:t>
      </w:r>
    </w:p>
    <w:p w14:paraId="7552A796">
      <w:pPr>
        <w:pStyle w:val="56"/>
        <w:ind w:firstLine="0" w:firstLineChars="0"/>
      </w:pPr>
    </w:p>
    <w:p w14:paraId="2A5C83C6">
      <w:pPr>
        <w:pStyle w:val="104"/>
        <w:spacing w:before="312" w:after="312"/>
      </w:pPr>
      <w:bookmarkStart w:id="264" w:name="_Toc149654160"/>
      <w:r>
        <w:rPr>
          <w:rFonts w:hint="eastAsia"/>
        </w:rPr>
        <w:t>污染治理技术的选择</w:t>
      </w:r>
      <w:bookmarkEnd w:id="264"/>
    </w:p>
    <w:p w14:paraId="53C606E9">
      <w:pPr>
        <w:pStyle w:val="105"/>
        <w:spacing w:before="0" w:beforeLines="0" w:after="0" w:afterLines="0"/>
        <w:ind w:left="0"/>
        <w:rPr>
          <w:rFonts w:ascii="Times New Roman" w:eastAsia="宋体"/>
          <w:szCs w:val="24"/>
        </w:rPr>
      </w:pPr>
      <w:bookmarkStart w:id="265" w:name="_Toc149654161"/>
      <w:r>
        <w:rPr>
          <w:rFonts w:hint="eastAsia" w:ascii="Times New Roman" w:eastAsia="宋体"/>
          <w:szCs w:val="24"/>
        </w:rPr>
        <w:t>企业应根据实际情况优先采用污染预防技术，若仍无法稳定达标排放，应采用适合的末端治理技术。</w:t>
      </w:r>
      <w:bookmarkEnd w:id="265"/>
    </w:p>
    <w:p w14:paraId="6F0406C9">
      <w:pPr>
        <w:pStyle w:val="105"/>
        <w:spacing w:before="0" w:beforeLines="0" w:after="0" w:afterLines="0"/>
        <w:ind w:left="0"/>
        <w:rPr>
          <w:rFonts w:ascii="Times New Roman" w:eastAsia="宋体"/>
          <w:szCs w:val="24"/>
        </w:rPr>
      </w:pPr>
      <w:bookmarkStart w:id="266" w:name="_Toc149654162"/>
      <w:r>
        <w:rPr>
          <w:rFonts w:hint="eastAsia" w:ascii="Times New Roman" w:eastAsia="宋体"/>
          <w:szCs w:val="24"/>
        </w:rPr>
        <w:t>企业应该在满足达标的前提下，选择低碳治理技术。</w:t>
      </w:r>
      <w:bookmarkEnd w:id="266"/>
    </w:p>
    <w:p w14:paraId="08854DAD">
      <w:pPr>
        <w:pStyle w:val="105"/>
        <w:spacing w:before="0" w:beforeLines="0" w:after="0" w:afterLines="0"/>
        <w:ind w:left="0"/>
        <w:rPr>
          <w:rFonts w:ascii="Times New Roman" w:eastAsia="宋体"/>
          <w:szCs w:val="24"/>
        </w:rPr>
      </w:pPr>
      <w:bookmarkStart w:id="267" w:name="_Toc149654163"/>
      <w:r>
        <w:rPr>
          <w:rFonts w:hint="eastAsia" w:ascii="Times New Roman" w:eastAsia="宋体"/>
          <w:szCs w:val="24"/>
        </w:rPr>
        <w:t>企业可以根据附录C的技术方法，进行综合环境效益分析，选择最优的治理技术。</w:t>
      </w:r>
      <w:bookmarkEnd w:id="267"/>
    </w:p>
    <w:p w14:paraId="495F35D8">
      <w:pPr>
        <w:pStyle w:val="56"/>
        <w:ind w:firstLine="0" w:firstLineChars="0"/>
      </w:pPr>
    </w:p>
    <w:p w14:paraId="1F1734CC">
      <w:pPr>
        <w:pStyle w:val="104"/>
        <w:spacing w:before="312" w:after="312"/>
      </w:pPr>
      <w:bookmarkStart w:id="268" w:name="_Toc149654164"/>
      <w:r>
        <w:rPr>
          <w:rFonts w:hint="eastAsia"/>
        </w:rPr>
        <w:t>环境管理措施</w:t>
      </w:r>
      <w:bookmarkEnd w:id="268"/>
    </w:p>
    <w:p w14:paraId="03CBB72D">
      <w:pPr>
        <w:pStyle w:val="105"/>
        <w:spacing w:before="0" w:beforeLines="0" w:after="0" w:afterLines="0"/>
        <w:ind w:left="0"/>
        <w:rPr>
          <w:rFonts w:ascii="Times New Roman" w:eastAsia="宋体"/>
          <w:szCs w:val="24"/>
        </w:rPr>
      </w:pPr>
      <w:bookmarkStart w:id="269" w:name="_Toc149654165"/>
      <w:r>
        <w:rPr>
          <w:rFonts w:hint="eastAsia" w:ascii="Times New Roman" w:eastAsia="宋体"/>
          <w:szCs w:val="24"/>
        </w:rPr>
        <w:t>一般原则</w:t>
      </w:r>
      <w:bookmarkEnd w:id="269"/>
    </w:p>
    <w:p w14:paraId="2DC1A811">
      <w:pPr>
        <w:pStyle w:val="65"/>
        <w:snapToGrid w:val="0"/>
        <w:spacing w:before="156" w:after="156"/>
        <w:rPr>
          <w:rFonts w:ascii="宋体" w:eastAsia="宋体" w:cs="宋体"/>
          <w:color w:val="000000"/>
          <w:szCs w:val="21"/>
        </w:rPr>
      </w:pPr>
      <w:r>
        <w:rPr>
          <w:rFonts w:hint="eastAsia" w:ascii="宋体" w:eastAsia="宋体" w:cs="宋体"/>
          <w:color w:val="000000"/>
          <w:szCs w:val="21"/>
        </w:rPr>
        <w:t>企业应建立和有效运行环境管理体系。</w:t>
      </w:r>
    </w:p>
    <w:p w14:paraId="79595356">
      <w:pPr>
        <w:pStyle w:val="65"/>
        <w:snapToGrid w:val="0"/>
        <w:spacing w:before="156" w:after="156"/>
        <w:rPr>
          <w:rFonts w:ascii="宋体" w:eastAsia="宋体" w:cs="宋体"/>
          <w:color w:val="000000"/>
          <w:szCs w:val="21"/>
        </w:rPr>
      </w:pPr>
      <w:r>
        <w:rPr>
          <w:rFonts w:hint="eastAsia" w:ascii="宋体" w:eastAsia="宋体" w:cs="宋体"/>
          <w:color w:val="000000"/>
          <w:szCs w:val="21"/>
        </w:rPr>
        <w:t>企业应建立、健全和落实环境管理制度，主要包括环境保护责任制度、污染治理设施运行维护及岗位培训制度、无组织排放控制措施管理制度、非正常情况管理制度、自行监测制度、环境管理台账及记录制度和排污许可证执行报告制度。</w:t>
      </w:r>
    </w:p>
    <w:p w14:paraId="72DF0F2A">
      <w:pPr>
        <w:pStyle w:val="65"/>
        <w:snapToGrid w:val="0"/>
        <w:spacing w:before="156" w:after="156"/>
        <w:rPr>
          <w:rFonts w:ascii="宋体" w:eastAsia="宋体" w:cs="宋体"/>
          <w:color w:val="000000"/>
          <w:szCs w:val="21"/>
        </w:rPr>
      </w:pPr>
      <w:r>
        <w:rPr>
          <w:rFonts w:hint="eastAsia" w:ascii="宋体" w:eastAsia="宋体" w:cs="宋体"/>
          <w:color w:val="000000"/>
          <w:szCs w:val="21"/>
        </w:rPr>
        <w:t>企业应建立完善的非正常生产情况下的应急预案制度。配备人力、设备、通讯等资源，预留应急处置的条件。未经当地生态环境主管部门批准，处理设施不得停止运行。由于紧急事故造成设施停止运行时，应立即报告当地生态环境主管部门。</w:t>
      </w:r>
    </w:p>
    <w:p w14:paraId="323D5CDE">
      <w:pPr>
        <w:pStyle w:val="65"/>
        <w:snapToGrid w:val="0"/>
        <w:spacing w:before="156" w:after="156"/>
        <w:rPr>
          <w:rFonts w:ascii="宋体" w:eastAsia="宋体" w:cs="宋体"/>
          <w:color w:val="000000"/>
          <w:szCs w:val="21"/>
        </w:rPr>
      </w:pPr>
      <w:r>
        <w:rPr>
          <w:rFonts w:hint="eastAsia" w:ascii="宋体" w:eastAsia="宋体" w:cs="宋体"/>
          <w:color w:val="000000"/>
          <w:szCs w:val="21"/>
        </w:rPr>
        <w:t>企业应根据实际情况优先采用污染预防技术，若仍无法稳定达标排放，应采用适合的末端治理技术加强生产设备的使用、维护和维修管理，保证设备正常运行。持续开展清洁生产，建立健康安全环境管理体系。</w:t>
      </w:r>
    </w:p>
    <w:p w14:paraId="1CED872A">
      <w:pPr>
        <w:pStyle w:val="105"/>
        <w:spacing w:before="0" w:beforeLines="0" w:after="0" w:afterLines="0"/>
        <w:ind w:left="0"/>
        <w:rPr>
          <w:rFonts w:ascii="Times New Roman" w:eastAsia="宋体"/>
          <w:szCs w:val="24"/>
        </w:rPr>
      </w:pPr>
      <w:bookmarkStart w:id="270" w:name="_Toc149654166"/>
      <w:r>
        <w:rPr>
          <w:rFonts w:hint="eastAsia" w:ascii="Times New Roman" w:eastAsia="宋体"/>
          <w:szCs w:val="24"/>
        </w:rPr>
        <w:t>一般原则</w:t>
      </w:r>
      <w:bookmarkEnd w:id="270"/>
    </w:p>
    <w:p w14:paraId="2A6B9F94">
      <w:pPr>
        <w:pStyle w:val="105"/>
        <w:spacing w:before="124" w:beforeLines="40" w:after="124" w:afterLines="40"/>
        <w:ind w:left="0"/>
        <w:rPr>
          <w:rFonts w:ascii="Times New Roman" w:eastAsia="宋体"/>
        </w:rPr>
      </w:pPr>
      <w:bookmarkStart w:id="271" w:name="_Toc149654167"/>
      <w:r>
        <w:rPr>
          <w:rFonts w:hint="eastAsia" w:ascii="Times New Roman" w:eastAsia="宋体"/>
        </w:rPr>
        <w:t>有组织排放管理措施</w:t>
      </w:r>
      <w:bookmarkEnd w:id="271"/>
    </w:p>
    <w:p w14:paraId="7DD5C3A2">
      <w:pPr>
        <w:pStyle w:val="65"/>
        <w:snapToGrid w:val="0"/>
        <w:spacing w:before="156" w:after="156"/>
        <w:rPr>
          <w:rFonts w:ascii="宋体" w:eastAsia="宋体"/>
          <w:szCs w:val="21"/>
        </w:rPr>
      </w:pPr>
      <w:r>
        <w:rPr>
          <w:rFonts w:hint="eastAsia" w:ascii="宋体" w:eastAsia="宋体"/>
          <w:szCs w:val="21"/>
        </w:rPr>
        <w:t>废水处理站废气、储存罐呼吸气、危废暂存废气的收集及治理设备宜采用负压运行方式，对于大气污染物收集、处理、排放装置的正压部分应加强密闭措施。</w:t>
      </w:r>
    </w:p>
    <w:p w14:paraId="0CBF1A03">
      <w:pPr>
        <w:pStyle w:val="65"/>
        <w:snapToGrid w:val="0"/>
        <w:spacing w:before="156" w:after="156"/>
        <w:rPr>
          <w:rFonts w:ascii="宋体" w:eastAsia="宋体"/>
          <w:szCs w:val="21"/>
        </w:rPr>
      </w:pPr>
      <w:r>
        <w:rPr>
          <w:rFonts w:hint="eastAsia" w:ascii="宋体" w:eastAsia="宋体"/>
          <w:szCs w:val="21"/>
        </w:rPr>
        <w:t>沼气利用时制定安全管理制度。在消化池、储气柜、脱硫间周边划定重点防火区，并配备消防安全设施；非工作人员未经许可不得进入厌氧消化管理区内；在可能的泄漏点设置甲烷浓度超标及氧亏报警装置。</w:t>
      </w:r>
      <w:r>
        <w:rPr>
          <w:rFonts w:ascii="宋体" w:eastAsia="宋体"/>
          <w:szCs w:val="21"/>
        </w:rPr>
        <w:t xml:space="preserve"> </w:t>
      </w:r>
    </w:p>
    <w:p w14:paraId="1A5597D2">
      <w:pPr>
        <w:pStyle w:val="65"/>
        <w:snapToGrid w:val="0"/>
        <w:spacing w:before="156" w:after="156"/>
        <w:rPr>
          <w:rFonts w:ascii="宋体" w:eastAsia="宋体"/>
          <w:szCs w:val="21"/>
        </w:rPr>
      </w:pPr>
      <w:r>
        <w:rPr>
          <w:rFonts w:hint="eastAsia" w:ascii="宋体" w:eastAsia="宋体"/>
          <w:szCs w:val="21"/>
        </w:rPr>
        <w:t>所有治理设施应制定操作规程，明确各项运行参数，实际运行参数应与操作规程一致。相关运行参数如：①冷凝装置排出的不凝尾气的温度应低于尾气中污染物的液化温度，若尾气中有数种污染物，则不凝尾气的温度应低于所有污染物中液化温度最低的污染物的液化温度；②吸附装置的吸附剂更换</w:t>
      </w:r>
      <w:r>
        <w:rPr>
          <w:rFonts w:ascii="宋体" w:eastAsia="宋体"/>
          <w:szCs w:val="21"/>
        </w:rPr>
        <w:t>/</w:t>
      </w:r>
      <w:r>
        <w:rPr>
          <w:rFonts w:hint="eastAsia" w:ascii="宋体" w:eastAsia="宋体"/>
          <w:szCs w:val="21"/>
        </w:rPr>
        <w:t>再生周期、操作温度应满足设计参数的要求；③洗涤装置的洗涤液水质（如</w:t>
      </w:r>
      <w:r>
        <w:rPr>
          <w:rFonts w:ascii="宋体" w:eastAsia="宋体"/>
          <w:szCs w:val="21"/>
        </w:rPr>
        <w:t>pH</w:t>
      </w:r>
      <w:r>
        <w:rPr>
          <w:rFonts w:hint="eastAsia" w:ascii="宋体" w:eastAsia="宋体"/>
          <w:szCs w:val="21"/>
        </w:rPr>
        <w:t>值）、水量应满足设计参数的要求；④含有机卤素成分挥发性有机物的废气，宜采用非焚烧技术处理；⑤焚烧设施运行过程中要保证系统处于负压状态，避免有害气体溢出。</w:t>
      </w:r>
      <w:r>
        <w:rPr>
          <w:rFonts w:ascii="宋体" w:eastAsia="宋体"/>
          <w:szCs w:val="21"/>
        </w:rPr>
        <w:t xml:space="preserve"> </w:t>
      </w:r>
    </w:p>
    <w:p w14:paraId="60AE05A4">
      <w:pPr>
        <w:pStyle w:val="65"/>
        <w:snapToGrid w:val="0"/>
        <w:spacing w:before="156" w:after="156"/>
        <w:rPr>
          <w:rFonts w:ascii="宋体" w:eastAsia="宋体"/>
          <w:szCs w:val="21"/>
        </w:rPr>
      </w:pPr>
      <w:r>
        <w:rPr>
          <w:rFonts w:hint="eastAsia" w:ascii="宋体" w:eastAsia="宋体"/>
          <w:szCs w:val="21"/>
        </w:rPr>
        <w:t>对所有治理设施的计量装置，如</w:t>
      </w:r>
      <w:r>
        <w:rPr>
          <w:rFonts w:ascii="宋体" w:eastAsia="宋体"/>
          <w:szCs w:val="21"/>
        </w:rPr>
        <w:t>pH</w:t>
      </w:r>
      <w:r>
        <w:rPr>
          <w:rFonts w:hint="eastAsia" w:ascii="宋体" w:eastAsia="宋体"/>
          <w:szCs w:val="21"/>
        </w:rPr>
        <w:t>计、密度计、液位计等要定期校验和比对。定期对在线监控设备进行比对校核。对所有机电设备，如风机、泵、电机等要定期检修、维护。</w:t>
      </w:r>
    </w:p>
    <w:p w14:paraId="0F1B40D1">
      <w:pPr>
        <w:pStyle w:val="105"/>
        <w:spacing w:before="124" w:beforeLines="40" w:after="124" w:afterLines="40"/>
        <w:ind w:left="0"/>
        <w:rPr>
          <w:rFonts w:ascii="Times New Roman" w:eastAsia="宋体"/>
        </w:rPr>
      </w:pPr>
      <w:bookmarkStart w:id="272" w:name="_Toc149654168"/>
      <w:r>
        <w:rPr>
          <w:rFonts w:hint="eastAsia" w:ascii="Times New Roman" w:eastAsia="宋体"/>
        </w:rPr>
        <w:t>无组织排放控制措施</w:t>
      </w:r>
      <w:bookmarkEnd w:id="272"/>
      <w:r>
        <w:rPr>
          <w:rFonts w:ascii="Times New Roman" w:eastAsia="宋体"/>
        </w:rPr>
        <w:t xml:space="preserve"> </w:t>
      </w:r>
    </w:p>
    <w:p w14:paraId="23925C68">
      <w:pPr>
        <w:pStyle w:val="65"/>
        <w:snapToGrid w:val="0"/>
        <w:spacing w:before="156" w:after="156"/>
        <w:rPr>
          <w:rFonts w:ascii="宋体" w:eastAsia="宋体"/>
          <w:szCs w:val="21"/>
        </w:rPr>
      </w:pPr>
      <w:r>
        <w:rPr>
          <w:rFonts w:hint="eastAsia" w:ascii="宋体" w:eastAsia="宋体"/>
          <w:szCs w:val="21"/>
        </w:rPr>
        <w:t>制药企业无组织排放运行管理要求应符合</w:t>
      </w:r>
      <w:r>
        <w:rPr>
          <w:rFonts w:ascii="宋体" w:eastAsia="宋体"/>
          <w:szCs w:val="21"/>
        </w:rPr>
        <w:t>GB 37822</w:t>
      </w:r>
      <w:r>
        <w:rPr>
          <w:rFonts w:hint="eastAsia" w:ascii="宋体" w:eastAsia="宋体"/>
          <w:szCs w:val="21"/>
        </w:rPr>
        <w:t>、</w:t>
      </w:r>
      <w:r>
        <w:rPr>
          <w:rFonts w:ascii="宋体" w:eastAsia="宋体"/>
          <w:szCs w:val="21"/>
        </w:rPr>
        <w:t>GB 37823</w:t>
      </w:r>
      <w:r>
        <w:rPr>
          <w:rFonts w:hint="eastAsia" w:ascii="宋体" w:eastAsia="宋体"/>
          <w:szCs w:val="21"/>
        </w:rPr>
        <w:t>、D</w:t>
      </w:r>
      <w:r>
        <w:rPr>
          <w:rFonts w:ascii="宋体" w:eastAsia="宋体"/>
          <w:szCs w:val="21"/>
        </w:rPr>
        <w:t>B31/310005</w:t>
      </w:r>
      <w:r>
        <w:rPr>
          <w:rFonts w:hint="eastAsia" w:ascii="宋体" w:eastAsia="宋体"/>
          <w:szCs w:val="21"/>
        </w:rPr>
        <w:t>、D</w:t>
      </w:r>
      <w:r>
        <w:rPr>
          <w:rFonts w:ascii="宋体" w:eastAsia="宋体"/>
          <w:szCs w:val="21"/>
        </w:rPr>
        <w:t>B32/4042</w:t>
      </w:r>
      <w:r>
        <w:rPr>
          <w:rFonts w:hint="eastAsia" w:ascii="宋体" w:eastAsia="宋体"/>
          <w:szCs w:val="21"/>
        </w:rPr>
        <w:t>、D</w:t>
      </w:r>
      <w:r>
        <w:rPr>
          <w:rFonts w:ascii="宋体" w:eastAsia="宋体"/>
          <w:szCs w:val="21"/>
        </w:rPr>
        <w:t>B33/310005</w:t>
      </w:r>
      <w:r>
        <w:rPr>
          <w:rFonts w:hint="eastAsia" w:ascii="宋体" w:eastAsia="宋体"/>
          <w:szCs w:val="21"/>
        </w:rPr>
        <w:t>、D</w:t>
      </w:r>
      <w:r>
        <w:rPr>
          <w:rFonts w:ascii="宋体" w:eastAsia="宋体"/>
          <w:szCs w:val="21"/>
        </w:rPr>
        <w:t>B34/310005</w:t>
      </w:r>
      <w:r>
        <w:rPr>
          <w:rFonts w:hint="eastAsia" w:ascii="宋体" w:eastAsia="宋体"/>
          <w:szCs w:val="21"/>
        </w:rPr>
        <w:t>规定的措施。</w:t>
      </w:r>
    </w:p>
    <w:p w14:paraId="40EFCA63">
      <w:pPr>
        <w:pStyle w:val="65"/>
        <w:snapToGrid w:val="0"/>
        <w:spacing w:before="156" w:after="156"/>
        <w:rPr>
          <w:rFonts w:ascii="宋体" w:eastAsia="宋体"/>
          <w:szCs w:val="21"/>
        </w:rPr>
      </w:pPr>
      <w:r>
        <w:rPr>
          <w:rFonts w:hint="eastAsia" w:ascii="宋体" w:eastAsia="宋体"/>
          <w:szCs w:val="21"/>
        </w:rPr>
        <w:t>物料输送过程控制措施：</w:t>
      </w:r>
    </w:p>
    <w:p w14:paraId="4A34122E">
      <w:pPr>
        <w:pStyle w:val="65"/>
        <w:numPr>
          <w:ilvl w:val="0"/>
          <w:numId w:val="0"/>
        </w:numPr>
        <w:snapToGrid w:val="0"/>
        <w:spacing w:before="156" w:after="156"/>
        <w:ind w:firstLine="630" w:firstLineChars="300"/>
        <w:rPr>
          <w:rFonts w:ascii="宋体" w:eastAsia="宋体"/>
          <w:szCs w:val="21"/>
        </w:rPr>
      </w:pPr>
      <w:r>
        <w:rPr>
          <w:rFonts w:hint="eastAsia" w:ascii="宋体" w:eastAsia="宋体"/>
          <w:szCs w:val="21"/>
        </w:rPr>
        <w:t>液体物料采用管道输送与投料，在储罐和反应釜之间实现管道化送料，并设流量计量装置，物料计量后输送至反应釜。易燃、易爆、易挥发的物料，除工艺要求外，不宜采用高位槽计量，宜采用定量输送方式。对于工艺要求必须使用高位槽计量的，易燃、易爆、易挥发物料的高位槽宜设置氮封设施，高位槽与中间槽、罐区储罐应设置气相平衡管，高位槽与料桶间宜设置气相平衡管，尾气应接入废气处理系统。</w:t>
      </w:r>
    </w:p>
    <w:p w14:paraId="4AAA3CDC">
      <w:pPr>
        <w:pStyle w:val="65"/>
        <w:numPr>
          <w:ilvl w:val="0"/>
          <w:numId w:val="0"/>
        </w:numPr>
        <w:snapToGrid w:val="0"/>
        <w:spacing w:before="156" w:after="156"/>
        <w:ind w:firstLine="630" w:firstLineChars="300"/>
        <w:rPr>
          <w:rFonts w:ascii="宋体" w:eastAsia="宋体"/>
          <w:szCs w:val="21"/>
        </w:rPr>
      </w:pPr>
      <w:r>
        <w:rPr>
          <w:rFonts w:hint="eastAsia" w:ascii="宋体" w:eastAsia="宋体"/>
          <w:szCs w:val="21"/>
        </w:rPr>
        <w:t>淘汰水冲泵，优先使用液环泵、无油立式机械真空泵等密闭性较好的真空设备，安装缓冲罐并设置两级冷凝装置。输送易燃及有毒、有害液体化工物料，采用屏蔽泵、隔膜泵、磁力泵等无泄漏的泵或管道输送液体物料。间歇生产单元应采用全过程氮气保护自动控制系统，单元系统内的设备之间输送介质宜在避免交叉污染的情况下采用气相平衡管技术。</w:t>
      </w:r>
    </w:p>
    <w:p w14:paraId="7FEDAF11">
      <w:pPr>
        <w:pStyle w:val="65"/>
        <w:numPr>
          <w:ilvl w:val="0"/>
          <w:numId w:val="0"/>
        </w:numPr>
        <w:snapToGrid w:val="0"/>
        <w:spacing w:before="156" w:after="156"/>
        <w:ind w:firstLine="630" w:firstLineChars="300"/>
        <w:rPr>
          <w:rFonts w:ascii="宋体" w:eastAsia="宋体"/>
          <w:szCs w:val="21"/>
        </w:rPr>
      </w:pPr>
      <w:r>
        <w:rPr>
          <w:rFonts w:hint="eastAsia" w:ascii="宋体" w:eastAsia="宋体"/>
          <w:szCs w:val="21"/>
        </w:rPr>
        <w:t>固体物料采用密闭式重力输送与投料，在直接投料的基础上增加设备，并进行密闭化改进，加料时打开反应系统连接废气收集系统的阀门，使物料在重力作用下自动加入至反应系统。</w:t>
      </w:r>
    </w:p>
    <w:p w14:paraId="5C6215A3">
      <w:pPr>
        <w:pStyle w:val="65"/>
        <w:snapToGrid w:val="0"/>
        <w:spacing w:before="156" w:after="156"/>
        <w:rPr>
          <w:rFonts w:ascii="宋体" w:eastAsia="宋体"/>
          <w:szCs w:val="21"/>
        </w:rPr>
      </w:pPr>
      <w:r>
        <w:rPr>
          <w:rFonts w:hint="eastAsia" w:ascii="宋体" w:eastAsia="宋体"/>
          <w:szCs w:val="21"/>
        </w:rPr>
        <w:t>离心分离过程控制措施：</w:t>
      </w:r>
    </w:p>
    <w:p w14:paraId="39E4EECC">
      <w:pPr>
        <w:pStyle w:val="65"/>
        <w:numPr>
          <w:ilvl w:val="0"/>
          <w:numId w:val="0"/>
        </w:numPr>
        <w:snapToGrid w:val="0"/>
        <w:spacing w:before="156" w:after="156"/>
        <w:ind w:firstLine="420" w:firstLineChars="200"/>
        <w:rPr>
          <w:rFonts w:ascii="宋体" w:eastAsia="宋体"/>
          <w:szCs w:val="21"/>
        </w:rPr>
      </w:pPr>
      <w:r>
        <w:rPr>
          <w:rFonts w:hint="eastAsia" w:ascii="宋体" w:eastAsia="宋体"/>
          <w:szCs w:val="21"/>
        </w:rPr>
        <w:t>淘汰敞开式、人工卸料离心机，采用密闭式、自动化程度较高的离心机。涉及到易燃、易爆、有毒、有腐蚀物料的离心机，选用密闭式自动卸料离心机；不能选用自动卸料离心机的，应设置独立离心区域，并设局部强制通风设施，排风应经收集处理后再排放。</w:t>
      </w:r>
    </w:p>
    <w:p w14:paraId="1EA9E71F">
      <w:pPr>
        <w:pStyle w:val="65"/>
        <w:numPr>
          <w:ilvl w:val="0"/>
          <w:numId w:val="0"/>
        </w:numPr>
        <w:snapToGrid w:val="0"/>
        <w:spacing w:before="156" w:after="156"/>
        <w:ind w:firstLine="420" w:firstLineChars="200"/>
        <w:rPr>
          <w:rFonts w:ascii="宋体" w:eastAsia="宋体"/>
          <w:szCs w:val="21"/>
        </w:rPr>
      </w:pPr>
      <w:r>
        <w:rPr>
          <w:rFonts w:hint="eastAsia" w:ascii="宋体" w:eastAsia="宋体"/>
          <w:szCs w:val="21"/>
        </w:rPr>
        <w:t>采用隔膜式压滤机、全密闭压滤罐、“三合一”、自动下出料离心机等封闭性好的固液分离设备。</w:t>
      </w:r>
    </w:p>
    <w:p w14:paraId="77145006">
      <w:pPr>
        <w:pStyle w:val="65"/>
        <w:numPr>
          <w:ilvl w:val="0"/>
          <w:numId w:val="0"/>
        </w:numPr>
        <w:snapToGrid w:val="0"/>
        <w:spacing w:before="156" w:after="156"/>
        <w:ind w:firstLine="420" w:firstLineChars="200"/>
        <w:rPr>
          <w:rFonts w:ascii="宋体" w:eastAsia="宋体"/>
          <w:szCs w:val="21"/>
        </w:rPr>
      </w:pPr>
      <w:r>
        <w:rPr>
          <w:rFonts w:hint="eastAsia" w:ascii="宋体" w:eastAsia="宋体"/>
          <w:szCs w:val="21"/>
        </w:rPr>
        <w:t>液液分离设备，采用连续密闭分离装置，优先采用萃取离心机、连续萃取塔等。淘汰采用普通釜式分离的设备。</w:t>
      </w:r>
    </w:p>
    <w:p w14:paraId="614EE61F">
      <w:pPr>
        <w:pStyle w:val="65"/>
        <w:snapToGrid w:val="0"/>
        <w:spacing w:before="156" w:after="156"/>
        <w:rPr>
          <w:rFonts w:ascii="宋体" w:eastAsia="宋体"/>
          <w:szCs w:val="21"/>
        </w:rPr>
      </w:pPr>
      <w:r>
        <w:rPr>
          <w:rFonts w:hint="eastAsia" w:ascii="宋体" w:eastAsia="宋体"/>
          <w:szCs w:val="21"/>
        </w:rPr>
        <w:t>干燥过程控制措施：</w:t>
      </w:r>
    </w:p>
    <w:p w14:paraId="2ADF1B7D">
      <w:pPr>
        <w:pStyle w:val="65"/>
        <w:numPr>
          <w:ilvl w:val="0"/>
          <w:numId w:val="0"/>
        </w:numPr>
        <w:snapToGrid w:val="0"/>
        <w:spacing w:before="156" w:after="156"/>
        <w:ind w:firstLine="420" w:firstLineChars="200"/>
        <w:rPr>
          <w:rFonts w:ascii="宋体" w:eastAsia="宋体"/>
          <w:szCs w:val="21"/>
        </w:rPr>
      </w:pPr>
      <w:r>
        <w:rPr>
          <w:rFonts w:hint="eastAsia" w:ascii="宋体" w:eastAsia="宋体"/>
          <w:szCs w:val="21"/>
        </w:rPr>
        <w:t>物料干燥应在密闭设备中进行，工艺条件和厂房设施允许的情况下，宜优先选用过滤洗涤干燥三合一机，以减少物料的转移，降低有害物质泄漏和有机溶剂挥发。工艺条件或者厂房层高等客观原因不适合选用过滤干燥一体机的，宜优先选用干燥效率高的双锥真空干燥机，单锥螺旋干燥机、闪蒸干燥机等。干燥设备的进料和出料应采取相对密闭的措施，进出料区域应设置强制通风设施，排风经除尘器除尘后再排放。含有机溶剂的物料避免使用热风循环烘箱。</w:t>
      </w:r>
    </w:p>
    <w:p w14:paraId="4C2E5749">
      <w:pPr>
        <w:pStyle w:val="65"/>
        <w:snapToGrid w:val="0"/>
        <w:spacing w:before="156" w:after="156"/>
        <w:rPr>
          <w:rFonts w:ascii="宋体" w:eastAsia="宋体"/>
          <w:szCs w:val="21"/>
        </w:rPr>
      </w:pPr>
      <w:r>
        <w:rPr>
          <w:rFonts w:hint="eastAsia" w:ascii="宋体" w:eastAsia="宋体"/>
          <w:szCs w:val="21"/>
        </w:rPr>
        <w:t>开停工（车）过程控制措施：</w:t>
      </w:r>
    </w:p>
    <w:p w14:paraId="28D7734C">
      <w:pPr>
        <w:pStyle w:val="65"/>
        <w:numPr>
          <w:ilvl w:val="0"/>
          <w:numId w:val="0"/>
        </w:numPr>
        <w:snapToGrid w:val="0"/>
        <w:spacing w:before="156" w:after="156"/>
        <w:ind w:firstLine="420" w:firstLineChars="200"/>
        <w:rPr>
          <w:rFonts w:ascii="宋体" w:eastAsia="宋体"/>
          <w:szCs w:val="21"/>
        </w:rPr>
      </w:pPr>
      <w:r>
        <w:rPr>
          <w:rFonts w:hint="eastAsia" w:ascii="宋体" w:eastAsia="宋体"/>
          <w:szCs w:val="21"/>
        </w:rPr>
        <w:t>载有</w:t>
      </w:r>
      <w:r>
        <w:rPr>
          <w:rFonts w:ascii="宋体" w:eastAsia="宋体"/>
          <w:szCs w:val="21"/>
        </w:rPr>
        <w:t xml:space="preserve">VOCs </w:t>
      </w:r>
      <w:r>
        <w:rPr>
          <w:rFonts w:hint="eastAsia" w:ascii="宋体" w:eastAsia="宋体"/>
          <w:szCs w:val="21"/>
        </w:rPr>
        <w:t>物料的设备及管道在开停工（车）、检维修和清洗时，应在退料阶段将残存物料退净，并用密闭容器盛装，退料过程废气应排至</w:t>
      </w:r>
      <w:r>
        <w:rPr>
          <w:rFonts w:ascii="宋体" w:eastAsia="宋体"/>
          <w:szCs w:val="21"/>
        </w:rPr>
        <w:t xml:space="preserve">VOCs </w:t>
      </w:r>
      <w:r>
        <w:rPr>
          <w:rFonts w:hint="eastAsia" w:ascii="宋体" w:eastAsia="宋体"/>
          <w:szCs w:val="21"/>
        </w:rPr>
        <w:t>废气处理系统；清洗及吹扫过程排气应排至</w:t>
      </w:r>
      <w:r>
        <w:rPr>
          <w:rFonts w:ascii="宋体" w:eastAsia="宋体"/>
          <w:szCs w:val="21"/>
        </w:rPr>
        <w:t xml:space="preserve">VOCs </w:t>
      </w:r>
      <w:r>
        <w:rPr>
          <w:rFonts w:hint="eastAsia" w:ascii="宋体" w:eastAsia="宋体"/>
          <w:szCs w:val="21"/>
        </w:rPr>
        <w:t>废气收集处理系统。</w:t>
      </w:r>
    </w:p>
    <w:p w14:paraId="317FFD53">
      <w:pPr>
        <w:pStyle w:val="104"/>
        <w:spacing w:before="312" w:after="312"/>
      </w:pPr>
      <w:bookmarkStart w:id="273" w:name="_Toc149654169"/>
      <w:r>
        <w:rPr>
          <w:rFonts w:hint="eastAsia"/>
        </w:rPr>
        <w:t>安全控制措施</w:t>
      </w:r>
      <w:bookmarkEnd w:id="273"/>
    </w:p>
    <w:p w14:paraId="3A69DF85">
      <w:pPr>
        <w:pStyle w:val="105"/>
        <w:spacing w:before="124" w:beforeLines="40" w:after="124" w:afterLines="40"/>
        <w:ind w:left="0"/>
        <w:rPr>
          <w:rFonts w:ascii="Times New Roman" w:eastAsia="宋体"/>
        </w:rPr>
      </w:pPr>
      <w:bookmarkStart w:id="274" w:name="_Toc149654170"/>
      <w:r>
        <w:rPr>
          <w:rFonts w:hint="eastAsia" w:ascii="Times New Roman" w:eastAsia="宋体"/>
        </w:rPr>
        <w:t>挥发性有机物的治理设施参照《挥发性有机物治理设施运行维护与安全管理技术规程》</w:t>
      </w:r>
      <w:r>
        <w:rPr>
          <w:rFonts w:ascii="Times New Roman" w:eastAsia="宋体"/>
        </w:rPr>
        <w:t>T/ACEF 036—2022</w:t>
      </w:r>
      <w:r>
        <w:rPr>
          <w:rFonts w:hint="eastAsia" w:ascii="Times New Roman" w:eastAsia="宋体"/>
        </w:rPr>
        <w:t>进行。</w:t>
      </w:r>
      <w:bookmarkEnd w:id="274"/>
    </w:p>
    <w:p w14:paraId="03D9BE8C">
      <w:pPr>
        <w:pStyle w:val="105"/>
        <w:spacing w:before="124" w:beforeLines="40" w:after="124" w:afterLines="40"/>
        <w:ind w:left="0"/>
        <w:rPr>
          <w:rFonts w:ascii="Times New Roman" w:eastAsia="宋体"/>
        </w:rPr>
      </w:pPr>
      <w:bookmarkStart w:id="275" w:name="_Toc149654171"/>
      <w:r>
        <w:rPr>
          <w:rFonts w:hint="eastAsia" w:ascii="Times New Roman" w:eastAsia="宋体"/>
        </w:rPr>
        <w:t>挥发性有机物的治理设施的设计需要开展安全评估，作为方案比选的依据。</w:t>
      </w:r>
      <w:bookmarkEnd w:id="275"/>
    </w:p>
    <w:p w14:paraId="642D94D2">
      <w:pPr>
        <w:pStyle w:val="56"/>
        <w:ind w:firstLine="420"/>
      </w:pPr>
    </w:p>
    <w:p w14:paraId="4665FEF1">
      <w:pPr>
        <w:pStyle w:val="56"/>
        <w:ind w:firstLine="420"/>
      </w:pPr>
    </w:p>
    <w:p w14:paraId="00A8F6FD">
      <w:pPr>
        <w:pStyle w:val="56"/>
        <w:ind w:firstLine="420"/>
        <w:sectPr>
          <w:headerReference r:id="rId23" w:type="default"/>
          <w:footerReference r:id="rId25" w:type="default"/>
          <w:headerReference r:id="rId24" w:type="even"/>
          <w:footerReference r:id="rId26" w:type="even"/>
          <w:pgSz w:w="11906" w:h="16838"/>
          <w:pgMar w:top="1871" w:right="1134" w:bottom="1134" w:left="1134" w:header="1418" w:footer="1134" w:gutter="284"/>
          <w:pgNumType w:start="1"/>
          <w:cols w:space="425" w:num="1"/>
          <w:formProt w:val="0"/>
          <w:docGrid w:type="lines" w:linePitch="312" w:charSpace="0"/>
        </w:sectPr>
      </w:pPr>
    </w:p>
    <w:bookmarkEnd w:id="27"/>
    <w:p w14:paraId="6D18043A">
      <w:pPr>
        <w:pStyle w:val="198"/>
      </w:pPr>
      <w:bookmarkStart w:id="276" w:name="BookMark5"/>
    </w:p>
    <w:p w14:paraId="4D670760">
      <w:pPr>
        <w:pStyle w:val="199"/>
      </w:pPr>
    </w:p>
    <w:p w14:paraId="0492DF3F">
      <w:pPr>
        <w:pStyle w:val="76"/>
        <w:spacing w:before="78" w:after="156"/>
      </w:pPr>
      <w:r>
        <w:br w:type="textWrapping"/>
      </w:r>
      <w:bookmarkStart w:id="277" w:name="_Toc149654172"/>
      <w:r>
        <w:rPr>
          <w:rFonts w:hint="eastAsia"/>
        </w:rPr>
        <w:t>（资料性）</w:t>
      </w:r>
      <w:r>
        <w:br w:type="textWrapping"/>
      </w:r>
      <w:r>
        <w:rPr>
          <w:rFonts w:hint="eastAsia"/>
        </w:rPr>
        <w:t>制药工业相关的典型有机溶剂的主要参数</w:t>
      </w:r>
      <w:bookmarkEnd w:id="277"/>
    </w:p>
    <w:p w14:paraId="798049D0">
      <w:pPr>
        <w:pStyle w:val="78"/>
        <w:spacing w:before="156" w:after="156"/>
      </w:pPr>
      <w:bookmarkStart w:id="278" w:name="_Toc149654173"/>
      <w:r>
        <w:rPr>
          <w:rFonts w:hint="eastAsia"/>
        </w:rPr>
        <w:t>典型有机溶剂的M</w:t>
      </w:r>
      <w:r>
        <w:t>IR</w:t>
      </w:r>
      <w:r>
        <w:rPr>
          <w:rFonts w:hint="eastAsia"/>
        </w:rPr>
        <w:t>值</w:t>
      </w:r>
      <w:bookmarkEnd w:id="278"/>
    </w:p>
    <w:p w14:paraId="7EF362D8">
      <w:pPr>
        <w:pStyle w:val="56"/>
        <w:ind w:firstLine="619" w:firstLineChars="295"/>
        <w:rPr>
          <w:rFonts w:ascii="Times New Roman"/>
        </w:rPr>
      </w:pPr>
      <w:r>
        <w:rPr>
          <w:rFonts w:hint="eastAsia" w:ascii="Times New Roman"/>
        </w:rPr>
        <w:t>表A</w:t>
      </w:r>
      <w:r>
        <w:rPr>
          <w:rFonts w:ascii="Times New Roman"/>
        </w:rPr>
        <w:t xml:space="preserve">.1 </w:t>
      </w:r>
      <w:r>
        <w:rPr>
          <w:rFonts w:hint="eastAsia" w:ascii="Times New Roman"/>
        </w:rPr>
        <w:t>给出了典型有机溶剂的M</w:t>
      </w:r>
      <w:r>
        <w:rPr>
          <w:rFonts w:ascii="Times New Roman"/>
        </w:rPr>
        <w:t>IR</w:t>
      </w:r>
      <w:r>
        <w:rPr>
          <w:rFonts w:hint="eastAsia" w:ascii="Times New Roman"/>
        </w:rPr>
        <w:t>值。</w:t>
      </w:r>
    </w:p>
    <w:p w14:paraId="356EA1F5">
      <w:pPr>
        <w:jc w:val="center"/>
      </w:pPr>
      <w:r>
        <w:rPr>
          <w:rFonts w:hint="eastAsia"/>
        </w:rPr>
        <w:t>表A</w:t>
      </w:r>
      <w:r>
        <w:t xml:space="preserve">.1 </w:t>
      </w:r>
      <w:r>
        <w:rPr>
          <w:rFonts w:hint="eastAsia"/>
        </w:rPr>
        <w:t>典型V</w:t>
      </w:r>
      <w:r>
        <w:t>OCs的</w:t>
      </w:r>
      <w:r>
        <w:rPr>
          <w:rFonts w:hint="eastAsia"/>
        </w:rPr>
        <w:t>M</w:t>
      </w:r>
      <w:r>
        <w:t>IR值</w:t>
      </w:r>
      <w:r>
        <w:rPr>
          <w:rFonts w:hint="eastAsia"/>
        </w:rPr>
        <w:t>（t臭氧/t溶剂）</w:t>
      </w:r>
    </w:p>
    <w:tbl>
      <w:tblPr>
        <w:tblStyle w:val="26"/>
        <w:tblW w:w="82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15" w:type="dxa"/>
          <w:left w:w="15" w:type="dxa"/>
          <w:bottom w:w="15" w:type="dxa"/>
          <w:right w:w="15" w:type="dxa"/>
        </w:tblCellMar>
      </w:tblPr>
      <w:tblGrid>
        <w:gridCol w:w="603"/>
        <w:gridCol w:w="1285"/>
        <w:gridCol w:w="956"/>
        <w:gridCol w:w="1134"/>
        <w:gridCol w:w="709"/>
        <w:gridCol w:w="1415"/>
        <w:gridCol w:w="1135"/>
        <w:gridCol w:w="991"/>
      </w:tblGrid>
      <w:tr w14:paraId="7CD9B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7047F1AB">
            <w:pPr>
              <w:snapToGrid w:val="0"/>
              <w:spacing w:line="240" w:lineRule="auto"/>
              <w:jc w:val="center"/>
              <w:rPr>
                <w:rFonts w:hAnsi="Lucida Sans Unicode"/>
                <w:color w:val="151515"/>
                <w:sz w:val="18"/>
                <w:szCs w:val="18"/>
              </w:rPr>
            </w:pPr>
            <w:r>
              <w:rPr>
                <w:rFonts w:hint="eastAsia" w:hAnsi="Lucida Sans Unicode"/>
                <w:color w:val="151515"/>
                <w:sz w:val="18"/>
                <w:szCs w:val="18"/>
              </w:rPr>
              <w:t>序号</w:t>
            </w:r>
          </w:p>
        </w:tc>
        <w:tc>
          <w:tcPr>
            <w:tcW w:w="1285" w:type="dxa"/>
            <w:shd w:val="clear" w:color="auto" w:fill="FFFFFF"/>
          </w:tcPr>
          <w:p w14:paraId="130F19C5">
            <w:pPr>
              <w:snapToGrid w:val="0"/>
              <w:spacing w:line="240" w:lineRule="auto"/>
              <w:jc w:val="center"/>
              <w:rPr>
                <w:rFonts w:hAnsi="Lucida Sans Unicode"/>
                <w:color w:val="151515"/>
                <w:sz w:val="18"/>
                <w:szCs w:val="18"/>
              </w:rPr>
            </w:pPr>
            <w:r>
              <w:rPr>
                <w:rFonts w:hAnsi="Lucida Sans Unicode"/>
                <w:color w:val="151515"/>
                <w:sz w:val="18"/>
                <w:szCs w:val="18"/>
              </w:rPr>
              <w:t>中文</w:t>
            </w:r>
            <w:r>
              <w:rPr>
                <w:rFonts w:hint="eastAsia" w:hAnsi="Lucida Sans Unicode"/>
                <w:color w:val="151515"/>
                <w:sz w:val="18"/>
                <w:szCs w:val="18"/>
              </w:rPr>
              <w:t>名字</w:t>
            </w:r>
          </w:p>
        </w:tc>
        <w:tc>
          <w:tcPr>
            <w:tcW w:w="956" w:type="dxa"/>
            <w:shd w:val="clear" w:color="auto" w:fill="FFFFFF"/>
          </w:tcPr>
          <w:p w14:paraId="455C5CBA">
            <w:pPr>
              <w:snapToGrid w:val="0"/>
              <w:spacing w:line="240" w:lineRule="auto"/>
              <w:jc w:val="center"/>
              <w:rPr>
                <w:rFonts w:hAnsi="Lucida Sans Unicode"/>
                <w:color w:val="151515"/>
                <w:sz w:val="18"/>
                <w:szCs w:val="18"/>
              </w:rPr>
            </w:pPr>
            <w:r>
              <w:rPr>
                <w:rFonts w:hAnsi="Lucida Sans Unicode"/>
                <w:color w:val="151515"/>
                <w:sz w:val="18"/>
                <w:szCs w:val="18"/>
              </w:rPr>
              <w:t>HAPs</w:t>
            </w:r>
          </w:p>
        </w:tc>
        <w:tc>
          <w:tcPr>
            <w:tcW w:w="1134" w:type="dxa"/>
            <w:shd w:val="clear" w:color="auto" w:fill="FFFFFF"/>
          </w:tcPr>
          <w:p w14:paraId="035E3453">
            <w:pPr>
              <w:snapToGrid w:val="0"/>
              <w:spacing w:line="240" w:lineRule="auto"/>
              <w:jc w:val="center"/>
              <w:rPr>
                <w:rFonts w:hAnsi="Lucida Sans Unicode"/>
                <w:color w:val="151515"/>
                <w:sz w:val="18"/>
                <w:szCs w:val="18"/>
              </w:rPr>
            </w:pPr>
            <w:r>
              <w:rPr>
                <w:rFonts w:hAnsi="Lucida Sans Unicode"/>
                <w:color w:val="151515"/>
                <w:sz w:val="18"/>
                <w:szCs w:val="18"/>
              </w:rPr>
              <w:t>MIR</w:t>
            </w:r>
          </w:p>
        </w:tc>
        <w:tc>
          <w:tcPr>
            <w:tcW w:w="709" w:type="dxa"/>
            <w:shd w:val="clear" w:color="auto" w:fill="FFFFFF"/>
          </w:tcPr>
          <w:p w14:paraId="500A0514">
            <w:pPr>
              <w:snapToGrid w:val="0"/>
              <w:spacing w:line="240" w:lineRule="auto"/>
              <w:jc w:val="center"/>
              <w:rPr>
                <w:rFonts w:hAnsi="Lucida Sans Unicode"/>
                <w:color w:val="151515"/>
                <w:sz w:val="18"/>
                <w:szCs w:val="18"/>
              </w:rPr>
            </w:pPr>
            <w:r>
              <w:rPr>
                <w:rFonts w:hint="eastAsia" w:hAnsi="Lucida Sans Unicode"/>
                <w:color w:val="151515"/>
                <w:sz w:val="18"/>
                <w:szCs w:val="18"/>
              </w:rPr>
              <w:t>序号</w:t>
            </w:r>
          </w:p>
        </w:tc>
        <w:tc>
          <w:tcPr>
            <w:tcW w:w="1415" w:type="dxa"/>
            <w:shd w:val="clear" w:color="auto" w:fill="FFFFFF"/>
          </w:tcPr>
          <w:p w14:paraId="2B71C18F">
            <w:pPr>
              <w:snapToGrid w:val="0"/>
              <w:spacing w:line="240" w:lineRule="auto"/>
              <w:jc w:val="center"/>
              <w:rPr>
                <w:rFonts w:hAnsi="Lucida Sans Unicode"/>
                <w:color w:val="151515"/>
                <w:sz w:val="18"/>
                <w:szCs w:val="18"/>
              </w:rPr>
            </w:pPr>
            <w:r>
              <w:rPr>
                <w:rFonts w:hAnsi="Lucida Sans Unicode"/>
                <w:color w:val="151515"/>
                <w:sz w:val="18"/>
                <w:szCs w:val="18"/>
              </w:rPr>
              <w:t>中文</w:t>
            </w:r>
            <w:r>
              <w:rPr>
                <w:rFonts w:hint="eastAsia" w:hAnsi="Lucida Sans Unicode"/>
                <w:color w:val="151515"/>
                <w:sz w:val="18"/>
                <w:szCs w:val="18"/>
              </w:rPr>
              <w:t>名字</w:t>
            </w:r>
          </w:p>
        </w:tc>
        <w:tc>
          <w:tcPr>
            <w:tcW w:w="1135" w:type="dxa"/>
            <w:shd w:val="clear" w:color="auto" w:fill="FFFFFF"/>
          </w:tcPr>
          <w:p w14:paraId="461B5700">
            <w:pPr>
              <w:snapToGrid w:val="0"/>
              <w:spacing w:line="240" w:lineRule="auto"/>
              <w:jc w:val="center"/>
              <w:rPr>
                <w:rFonts w:hAnsi="Lucida Sans Unicode"/>
                <w:color w:val="151515"/>
                <w:sz w:val="18"/>
                <w:szCs w:val="18"/>
              </w:rPr>
            </w:pPr>
            <w:r>
              <w:rPr>
                <w:rFonts w:hAnsi="Lucida Sans Unicode"/>
                <w:color w:val="151515"/>
                <w:sz w:val="18"/>
                <w:szCs w:val="18"/>
              </w:rPr>
              <w:t>HAPs</w:t>
            </w:r>
          </w:p>
        </w:tc>
        <w:tc>
          <w:tcPr>
            <w:tcW w:w="991" w:type="dxa"/>
            <w:shd w:val="clear" w:color="auto" w:fill="FFFFFF"/>
          </w:tcPr>
          <w:p w14:paraId="21E582DA">
            <w:pPr>
              <w:snapToGrid w:val="0"/>
              <w:spacing w:line="240" w:lineRule="auto"/>
              <w:jc w:val="center"/>
              <w:rPr>
                <w:rFonts w:hAnsi="Lucida Sans Unicode"/>
                <w:color w:val="151515"/>
                <w:sz w:val="18"/>
                <w:szCs w:val="18"/>
              </w:rPr>
            </w:pPr>
            <w:r>
              <w:rPr>
                <w:rFonts w:hAnsi="Lucida Sans Unicode"/>
                <w:color w:val="151515"/>
                <w:sz w:val="18"/>
                <w:szCs w:val="18"/>
              </w:rPr>
              <w:t>MIR</w:t>
            </w:r>
          </w:p>
        </w:tc>
      </w:tr>
      <w:tr w14:paraId="44D25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7185E3C">
            <w:pPr>
              <w:snapToGrid w:val="0"/>
              <w:spacing w:line="240" w:lineRule="auto"/>
              <w:jc w:val="center"/>
              <w:rPr>
                <w:rFonts w:hAnsi="Lucida Sans Unicode"/>
                <w:color w:val="151515"/>
                <w:sz w:val="18"/>
                <w:szCs w:val="18"/>
              </w:rPr>
            </w:pPr>
            <w:r>
              <w:rPr>
                <w:rFonts w:hint="eastAsia" w:hAnsi="Lucida Sans Unicode"/>
                <w:color w:val="151515"/>
                <w:sz w:val="18"/>
                <w:szCs w:val="18"/>
              </w:rPr>
              <w:t>1</w:t>
            </w:r>
          </w:p>
        </w:tc>
        <w:tc>
          <w:tcPr>
            <w:tcW w:w="1285" w:type="dxa"/>
            <w:shd w:val="clear" w:color="auto" w:fill="FFFFFF"/>
          </w:tcPr>
          <w:p w14:paraId="0CE411B8">
            <w:pPr>
              <w:snapToGrid w:val="0"/>
              <w:spacing w:line="240" w:lineRule="auto"/>
              <w:jc w:val="center"/>
              <w:rPr>
                <w:rFonts w:hAnsi="Lucida Sans Unicode"/>
                <w:color w:val="151515"/>
                <w:sz w:val="18"/>
                <w:szCs w:val="18"/>
              </w:rPr>
            </w:pPr>
            <w:r>
              <w:rPr>
                <w:rFonts w:hAnsi="Lucida Sans Unicode"/>
                <w:color w:val="151515"/>
                <w:sz w:val="18"/>
                <w:szCs w:val="18"/>
              </w:rPr>
              <w:t>苯</w:t>
            </w:r>
          </w:p>
        </w:tc>
        <w:tc>
          <w:tcPr>
            <w:tcW w:w="956" w:type="dxa"/>
            <w:shd w:val="clear" w:color="auto" w:fill="FFFFFF"/>
          </w:tcPr>
          <w:p w14:paraId="2488853B">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246BE38E">
            <w:pPr>
              <w:snapToGrid w:val="0"/>
              <w:spacing w:line="240" w:lineRule="auto"/>
              <w:jc w:val="center"/>
              <w:rPr>
                <w:rFonts w:hAnsi="Lucida Sans Unicode"/>
                <w:color w:val="151515"/>
                <w:sz w:val="18"/>
                <w:szCs w:val="18"/>
              </w:rPr>
            </w:pPr>
            <w:r>
              <w:rPr>
                <w:rFonts w:hint="eastAsia" w:hAnsi="Lucida Sans Unicode"/>
                <w:color w:val="151515"/>
                <w:sz w:val="18"/>
                <w:szCs w:val="18"/>
              </w:rPr>
              <w:t>0.7</w:t>
            </w:r>
          </w:p>
        </w:tc>
        <w:tc>
          <w:tcPr>
            <w:tcW w:w="709" w:type="dxa"/>
            <w:shd w:val="clear" w:color="auto" w:fill="FFFFFF"/>
          </w:tcPr>
          <w:p w14:paraId="5A057E20">
            <w:pPr>
              <w:snapToGrid w:val="0"/>
              <w:spacing w:line="240" w:lineRule="auto"/>
              <w:jc w:val="center"/>
              <w:rPr>
                <w:rFonts w:hAnsi="Lucida Sans Unicode"/>
                <w:color w:val="151515"/>
                <w:sz w:val="18"/>
                <w:szCs w:val="18"/>
              </w:rPr>
            </w:pPr>
            <w:r>
              <w:rPr>
                <w:rFonts w:hint="eastAsia" w:hAnsi="Lucida Sans Unicode"/>
                <w:color w:val="151515"/>
                <w:sz w:val="18"/>
                <w:szCs w:val="18"/>
              </w:rPr>
              <w:t>34</w:t>
            </w:r>
          </w:p>
        </w:tc>
        <w:tc>
          <w:tcPr>
            <w:tcW w:w="1415" w:type="dxa"/>
            <w:shd w:val="clear" w:color="auto" w:fill="FFFFFF"/>
          </w:tcPr>
          <w:p w14:paraId="1FC46CAA">
            <w:pPr>
              <w:snapToGrid w:val="0"/>
              <w:spacing w:line="240" w:lineRule="auto"/>
              <w:jc w:val="center"/>
              <w:rPr>
                <w:rFonts w:hAnsi="Lucida Sans Unicode"/>
                <w:color w:val="151515"/>
                <w:sz w:val="18"/>
                <w:szCs w:val="18"/>
              </w:rPr>
            </w:pPr>
            <w:r>
              <w:rPr>
                <w:rFonts w:hint="eastAsia" w:hAnsi="Lucida Sans Unicode"/>
                <w:color w:val="151515"/>
                <w:sz w:val="18"/>
                <w:szCs w:val="18"/>
              </w:rPr>
              <w:t>间乙基甲苯</w:t>
            </w:r>
          </w:p>
        </w:tc>
        <w:tc>
          <w:tcPr>
            <w:tcW w:w="1135" w:type="dxa"/>
            <w:shd w:val="clear" w:color="auto" w:fill="FFFFFF"/>
          </w:tcPr>
          <w:p w14:paraId="4D8983D5">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2F93668F">
            <w:pPr>
              <w:snapToGrid w:val="0"/>
              <w:spacing w:line="240" w:lineRule="auto"/>
              <w:jc w:val="center"/>
              <w:rPr>
                <w:rFonts w:hAnsi="Lucida Sans Unicode"/>
                <w:color w:val="151515"/>
                <w:sz w:val="18"/>
                <w:szCs w:val="18"/>
              </w:rPr>
            </w:pPr>
            <w:r>
              <w:rPr>
                <w:rFonts w:hint="eastAsia" w:hAnsi="Lucida Sans Unicode"/>
                <w:color w:val="151515"/>
                <w:sz w:val="18"/>
                <w:szCs w:val="18"/>
              </w:rPr>
              <w:t>7.4</w:t>
            </w:r>
          </w:p>
        </w:tc>
      </w:tr>
      <w:tr w14:paraId="08181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535A61C1">
            <w:pPr>
              <w:snapToGrid w:val="0"/>
              <w:spacing w:line="240" w:lineRule="auto"/>
              <w:jc w:val="center"/>
              <w:rPr>
                <w:rFonts w:hAnsi="Lucida Sans Unicode"/>
                <w:color w:val="151515"/>
                <w:sz w:val="18"/>
                <w:szCs w:val="18"/>
              </w:rPr>
            </w:pPr>
            <w:r>
              <w:rPr>
                <w:rFonts w:hint="eastAsia" w:hAnsi="Lucida Sans Unicode"/>
                <w:color w:val="151515"/>
                <w:sz w:val="18"/>
                <w:szCs w:val="18"/>
              </w:rPr>
              <w:t>2</w:t>
            </w:r>
          </w:p>
        </w:tc>
        <w:tc>
          <w:tcPr>
            <w:tcW w:w="1285" w:type="dxa"/>
            <w:shd w:val="clear" w:color="auto" w:fill="FFFFFF"/>
          </w:tcPr>
          <w:p w14:paraId="4D6504AD">
            <w:pPr>
              <w:snapToGrid w:val="0"/>
              <w:spacing w:line="240" w:lineRule="auto"/>
              <w:jc w:val="center"/>
              <w:rPr>
                <w:rFonts w:hAnsi="Lucida Sans Unicode"/>
                <w:color w:val="151515"/>
                <w:sz w:val="18"/>
                <w:szCs w:val="18"/>
              </w:rPr>
            </w:pPr>
            <w:r>
              <w:rPr>
                <w:rFonts w:hAnsi="Lucida Sans Unicode"/>
                <w:color w:val="151515"/>
                <w:sz w:val="18"/>
                <w:szCs w:val="18"/>
              </w:rPr>
              <w:t>甲苯</w:t>
            </w:r>
          </w:p>
        </w:tc>
        <w:tc>
          <w:tcPr>
            <w:tcW w:w="956" w:type="dxa"/>
            <w:shd w:val="clear" w:color="auto" w:fill="FFFFFF"/>
          </w:tcPr>
          <w:p w14:paraId="37713957">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0DB185F1">
            <w:pPr>
              <w:snapToGrid w:val="0"/>
              <w:spacing w:line="240" w:lineRule="auto"/>
              <w:jc w:val="center"/>
              <w:rPr>
                <w:rFonts w:hAnsi="Lucida Sans Unicode"/>
                <w:color w:val="151515"/>
                <w:sz w:val="18"/>
                <w:szCs w:val="18"/>
              </w:rPr>
            </w:pPr>
            <w:r>
              <w:rPr>
                <w:rFonts w:hint="eastAsia" w:hAnsi="Lucida Sans Unicode"/>
                <w:color w:val="151515"/>
                <w:sz w:val="18"/>
                <w:szCs w:val="18"/>
              </w:rPr>
              <w:t>4.0</w:t>
            </w:r>
          </w:p>
        </w:tc>
        <w:tc>
          <w:tcPr>
            <w:tcW w:w="709" w:type="dxa"/>
            <w:shd w:val="clear" w:color="auto" w:fill="FFFFFF"/>
          </w:tcPr>
          <w:p w14:paraId="6E6C1F07">
            <w:pPr>
              <w:snapToGrid w:val="0"/>
              <w:spacing w:line="240" w:lineRule="auto"/>
              <w:jc w:val="center"/>
              <w:rPr>
                <w:rFonts w:hAnsi="Lucida Sans Unicode"/>
                <w:color w:val="151515"/>
                <w:sz w:val="18"/>
                <w:szCs w:val="18"/>
              </w:rPr>
            </w:pPr>
            <w:r>
              <w:rPr>
                <w:rFonts w:hint="eastAsia" w:hAnsi="Lucida Sans Unicode"/>
                <w:color w:val="151515"/>
                <w:sz w:val="18"/>
                <w:szCs w:val="18"/>
              </w:rPr>
              <w:t>35</w:t>
            </w:r>
          </w:p>
        </w:tc>
        <w:tc>
          <w:tcPr>
            <w:tcW w:w="1415" w:type="dxa"/>
            <w:shd w:val="clear" w:color="auto" w:fill="FFFFFF"/>
          </w:tcPr>
          <w:p w14:paraId="44EF3D63">
            <w:pPr>
              <w:snapToGrid w:val="0"/>
              <w:spacing w:line="240" w:lineRule="auto"/>
              <w:jc w:val="center"/>
              <w:rPr>
                <w:rFonts w:hAnsi="Lucida Sans Unicode"/>
                <w:color w:val="151515"/>
                <w:sz w:val="18"/>
                <w:szCs w:val="18"/>
              </w:rPr>
            </w:pPr>
            <w:r>
              <w:rPr>
                <w:rFonts w:hint="eastAsia" w:hAnsi="Lucida Sans Unicode"/>
                <w:color w:val="151515"/>
                <w:sz w:val="18"/>
                <w:szCs w:val="18"/>
              </w:rPr>
              <w:t>对乙基甲苯</w:t>
            </w:r>
          </w:p>
        </w:tc>
        <w:tc>
          <w:tcPr>
            <w:tcW w:w="1135" w:type="dxa"/>
            <w:shd w:val="clear" w:color="auto" w:fill="FFFFFF"/>
          </w:tcPr>
          <w:p w14:paraId="2912E3E5">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4BD955E">
            <w:pPr>
              <w:snapToGrid w:val="0"/>
              <w:spacing w:line="240" w:lineRule="auto"/>
              <w:jc w:val="center"/>
              <w:rPr>
                <w:rFonts w:hAnsi="Lucida Sans Unicode"/>
                <w:color w:val="151515"/>
                <w:sz w:val="18"/>
                <w:szCs w:val="18"/>
              </w:rPr>
            </w:pPr>
            <w:r>
              <w:rPr>
                <w:rFonts w:hint="eastAsia" w:hAnsi="Lucida Sans Unicode"/>
                <w:color w:val="151515"/>
                <w:sz w:val="18"/>
                <w:szCs w:val="18"/>
              </w:rPr>
              <w:t>4.4</w:t>
            </w:r>
          </w:p>
        </w:tc>
      </w:tr>
      <w:tr w14:paraId="2B129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1ED4C5A3">
            <w:pPr>
              <w:snapToGrid w:val="0"/>
              <w:spacing w:line="240" w:lineRule="auto"/>
              <w:jc w:val="center"/>
              <w:rPr>
                <w:rFonts w:hAnsi="Lucida Sans Unicode"/>
                <w:color w:val="151515"/>
                <w:sz w:val="18"/>
                <w:szCs w:val="18"/>
              </w:rPr>
            </w:pPr>
            <w:r>
              <w:rPr>
                <w:rFonts w:hint="eastAsia" w:hAnsi="Lucida Sans Unicode"/>
                <w:color w:val="151515"/>
                <w:sz w:val="18"/>
                <w:szCs w:val="18"/>
              </w:rPr>
              <w:t>3</w:t>
            </w:r>
          </w:p>
        </w:tc>
        <w:tc>
          <w:tcPr>
            <w:tcW w:w="1285" w:type="dxa"/>
            <w:shd w:val="clear" w:color="auto" w:fill="FFFFFF"/>
          </w:tcPr>
          <w:p w14:paraId="63AEB37D">
            <w:pPr>
              <w:snapToGrid w:val="0"/>
              <w:spacing w:line="240" w:lineRule="auto"/>
              <w:jc w:val="center"/>
              <w:rPr>
                <w:rFonts w:hAnsi="Lucida Sans Unicode"/>
                <w:color w:val="151515"/>
                <w:sz w:val="18"/>
                <w:szCs w:val="18"/>
              </w:rPr>
            </w:pPr>
            <w:r>
              <w:rPr>
                <w:rFonts w:hAnsi="Lucida Sans Unicode"/>
                <w:color w:val="151515"/>
                <w:sz w:val="18"/>
                <w:szCs w:val="18"/>
              </w:rPr>
              <w:t>乙苯</w:t>
            </w:r>
          </w:p>
        </w:tc>
        <w:tc>
          <w:tcPr>
            <w:tcW w:w="956" w:type="dxa"/>
            <w:shd w:val="clear" w:color="auto" w:fill="FFFFFF"/>
          </w:tcPr>
          <w:p w14:paraId="4028A1DE">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71D6AB38">
            <w:pPr>
              <w:snapToGrid w:val="0"/>
              <w:spacing w:line="240" w:lineRule="auto"/>
              <w:jc w:val="center"/>
              <w:rPr>
                <w:rFonts w:hAnsi="Lucida Sans Unicode"/>
                <w:color w:val="151515"/>
                <w:sz w:val="18"/>
                <w:szCs w:val="18"/>
              </w:rPr>
            </w:pPr>
            <w:r>
              <w:rPr>
                <w:rFonts w:hint="eastAsia" w:hAnsi="Lucida Sans Unicode"/>
                <w:color w:val="151515"/>
                <w:sz w:val="18"/>
                <w:szCs w:val="18"/>
              </w:rPr>
              <w:t>3.0</w:t>
            </w:r>
          </w:p>
        </w:tc>
        <w:tc>
          <w:tcPr>
            <w:tcW w:w="709" w:type="dxa"/>
            <w:shd w:val="clear" w:color="auto" w:fill="FFFFFF"/>
          </w:tcPr>
          <w:p w14:paraId="537380EC">
            <w:pPr>
              <w:snapToGrid w:val="0"/>
              <w:spacing w:line="240" w:lineRule="auto"/>
              <w:jc w:val="center"/>
              <w:rPr>
                <w:rFonts w:hAnsi="Lucida Sans Unicode"/>
                <w:color w:val="151515"/>
                <w:sz w:val="18"/>
                <w:szCs w:val="18"/>
              </w:rPr>
            </w:pPr>
            <w:r>
              <w:rPr>
                <w:rFonts w:hint="eastAsia" w:hAnsi="Lucida Sans Unicode"/>
                <w:color w:val="151515"/>
                <w:sz w:val="18"/>
                <w:szCs w:val="18"/>
              </w:rPr>
              <w:t>36</w:t>
            </w:r>
          </w:p>
        </w:tc>
        <w:tc>
          <w:tcPr>
            <w:tcW w:w="1415" w:type="dxa"/>
            <w:shd w:val="clear" w:color="auto" w:fill="FFFFFF"/>
          </w:tcPr>
          <w:p w14:paraId="1125C810">
            <w:pPr>
              <w:snapToGrid w:val="0"/>
              <w:spacing w:line="240" w:lineRule="auto"/>
              <w:jc w:val="center"/>
              <w:rPr>
                <w:rFonts w:hAnsi="Lucida Sans Unicode"/>
                <w:color w:val="151515"/>
                <w:sz w:val="18"/>
                <w:szCs w:val="18"/>
              </w:rPr>
            </w:pPr>
            <w:r>
              <w:rPr>
                <w:rFonts w:hAnsi="Lucida Sans Unicode"/>
                <w:color w:val="151515"/>
                <w:sz w:val="18"/>
                <w:szCs w:val="18"/>
              </w:rPr>
              <w:t>α-蒎烯</w:t>
            </w:r>
          </w:p>
        </w:tc>
        <w:tc>
          <w:tcPr>
            <w:tcW w:w="1135" w:type="dxa"/>
            <w:shd w:val="clear" w:color="auto" w:fill="FFFFFF"/>
          </w:tcPr>
          <w:p w14:paraId="7178B79F">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3F29363D">
            <w:pPr>
              <w:snapToGrid w:val="0"/>
              <w:spacing w:line="240" w:lineRule="auto"/>
              <w:jc w:val="center"/>
              <w:rPr>
                <w:rFonts w:hAnsi="Lucida Sans Unicode"/>
                <w:color w:val="151515"/>
                <w:sz w:val="18"/>
                <w:szCs w:val="18"/>
              </w:rPr>
            </w:pPr>
            <w:r>
              <w:rPr>
                <w:rFonts w:hint="eastAsia" w:hAnsi="Lucida Sans Unicode"/>
                <w:color w:val="151515"/>
                <w:sz w:val="18"/>
                <w:szCs w:val="18"/>
              </w:rPr>
              <w:t>4.29</w:t>
            </w:r>
          </w:p>
        </w:tc>
      </w:tr>
      <w:tr w14:paraId="5C7E6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031747C3">
            <w:pPr>
              <w:snapToGrid w:val="0"/>
              <w:spacing w:line="240" w:lineRule="auto"/>
              <w:jc w:val="center"/>
              <w:rPr>
                <w:rFonts w:hAnsi="Lucida Sans Unicode"/>
                <w:color w:val="151515"/>
                <w:sz w:val="18"/>
                <w:szCs w:val="18"/>
              </w:rPr>
            </w:pPr>
            <w:r>
              <w:rPr>
                <w:rFonts w:hint="eastAsia" w:hAnsi="Lucida Sans Unicode"/>
                <w:color w:val="151515"/>
                <w:sz w:val="18"/>
                <w:szCs w:val="18"/>
              </w:rPr>
              <w:t>4</w:t>
            </w:r>
          </w:p>
        </w:tc>
        <w:tc>
          <w:tcPr>
            <w:tcW w:w="1285" w:type="dxa"/>
            <w:shd w:val="clear" w:color="auto" w:fill="FFFFFF"/>
          </w:tcPr>
          <w:p w14:paraId="2F28C567">
            <w:pPr>
              <w:snapToGrid w:val="0"/>
              <w:spacing w:line="240" w:lineRule="auto"/>
              <w:jc w:val="center"/>
              <w:rPr>
                <w:rFonts w:hAnsi="Lucida Sans Unicode"/>
                <w:color w:val="151515"/>
                <w:sz w:val="18"/>
                <w:szCs w:val="18"/>
              </w:rPr>
            </w:pPr>
            <w:r>
              <w:rPr>
                <w:rFonts w:hAnsi="Lucida Sans Unicode"/>
                <w:color w:val="151515"/>
                <w:sz w:val="18"/>
                <w:szCs w:val="18"/>
              </w:rPr>
              <w:t>邻二甲苯</w:t>
            </w:r>
          </w:p>
        </w:tc>
        <w:tc>
          <w:tcPr>
            <w:tcW w:w="956" w:type="dxa"/>
            <w:shd w:val="clear" w:color="auto" w:fill="FFFFFF"/>
          </w:tcPr>
          <w:p w14:paraId="4A29D7C9">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424822EB">
            <w:pPr>
              <w:snapToGrid w:val="0"/>
              <w:spacing w:line="240" w:lineRule="auto"/>
              <w:jc w:val="center"/>
              <w:rPr>
                <w:rFonts w:hAnsi="Lucida Sans Unicode"/>
                <w:color w:val="151515"/>
                <w:sz w:val="18"/>
                <w:szCs w:val="18"/>
              </w:rPr>
            </w:pPr>
            <w:r>
              <w:rPr>
                <w:rFonts w:hint="eastAsia" w:hAnsi="Lucida Sans Unicode"/>
                <w:color w:val="151515"/>
                <w:sz w:val="18"/>
                <w:szCs w:val="18"/>
              </w:rPr>
              <w:t>7.6</w:t>
            </w:r>
          </w:p>
        </w:tc>
        <w:tc>
          <w:tcPr>
            <w:tcW w:w="709" w:type="dxa"/>
            <w:shd w:val="clear" w:color="auto" w:fill="FFFFFF"/>
          </w:tcPr>
          <w:p w14:paraId="64707699">
            <w:pPr>
              <w:snapToGrid w:val="0"/>
              <w:spacing w:line="240" w:lineRule="auto"/>
              <w:jc w:val="center"/>
              <w:rPr>
                <w:rFonts w:hAnsi="Lucida Sans Unicode"/>
                <w:color w:val="151515"/>
                <w:sz w:val="18"/>
                <w:szCs w:val="18"/>
              </w:rPr>
            </w:pPr>
            <w:r>
              <w:rPr>
                <w:rFonts w:hint="eastAsia" w:hAnsi="Lucida Sans Unicode"/>
                <w:color w:val="151515"/>
                <w:sz w:val="18"/>
                <w:szCs w:val="18"/>
              </w:rPr>
              <w:t>37</w:t>
            </w:r>
          </w:p>
        </w:tc>
        <w:tc>
          <w:tcPr>
            <w:tcW w:w="1415" w:type="dxa"/>
            <w:shd w:val="clear" w:color="auto" w:fill="FFFFFF"/>
          </w:tcPr>
          <w:p w14:paraId="4982B4A2">
            <w:pPr>
              <w:snapToGrid w:val="0"/>
              <w:spacing w:line="240" w:lineRule="auto"/>
              <w:jc w:val="center"/>
              <w:rPr>
                <w:rFonts w:hAnsi="Lucida Sans Unicode"/>
                <w:color w:val="151515"/>
                <w:sz w:val="18"/>
                <w:szCs w:val="18"/>
              </w:rPr>
            </w:pPr>
            <w:r>
              <w:rPr>
                <w:rFonts w:hAnsi="Lucida Sans Unicode"/>
                <w:color w:val="151515"/>
                <w:sz w:val="18"/>
                <w:szCs w:val="18"/>
              </w:rPr>
              <w:t>β-蒎烯</w:t>
            </w:r>
          </w:p>
        </w:tc>
        <w:tc>
          <w:tcPr>
            <w:tcW w:w="1135" w:type="dxa"/>
            <w:shd w:val="clear" w:color="auto" w:fill="FFFFFF"/>
          </w:tcPr>
          <w:p w14:paraId="365877A7">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7AF32279">
            <w:pPr>
              <w:snapToGrid w:val="0"/>
              <w:spacing w:line="240" w:lineRule="auto"/>
              <w:jc w:val="center"/>
              <w:rPr>
                <w:rFonts w:hAnsi="Lucida Sans Unicode"/>
                <w:color w:val="151515"/>
                <w:sz w:val="18"/>
                <w:szCs w:val="18"/>
              </w:rPr>
            </w:pPr>
            <w:r>
              <w:rPr>
                <w:rFonts w:hint="eastAsia" w:hAnsi="Lucida Sans Unicode"/>
                <w:color w:val="151515"/>
                <w:sz w:val="18"/>
                <w:szCs w:val="18"/>
              </w:rPr>
              <w:t>3.28</w:t>
            </w:r>
          </w:p>
        </w:tc>
      </w:tr>
      <w:tr w14:paraId="1CD3B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99697D9">
            <w:pPr>
              <w:snapToGrid w:val="0"/>
              <w:spacing w:line="240" w:lineRule="auto"/>
              <w:jc w:val="center"/>
              <w:rPr>
                <w:rFonts w:hAnsi="Lucida Sans Unicode"/>
                <w:color w:val="151515"/>
                <w:sz w:val="18"/>
                <w:szCs w:val="18"/>
              </w:rPr>
            </w:pPr>
            <w:r>
              <w:rPr>
                <w:rFonts w:hint="eastAsia" w:hAnsi="Lucida Sans Unicode"/>
                <w:color w:val="151515"/>
                <w:sz w:val="18"/>
                <w:szCs w:val="18"/>
              </w:rPr>
              <w:t>5</w:t>
            </w:r>
          </w:p>
        </w:tc>
        <w:tc>
          <w:tcPr>
            <w:tcW w:w="1285" w:type="dxa"/>
            <w:shd w:val="clear" w:color="auto" w:fill="FFFFFF"/>
          </w:tcPr>
          <w:p w14:paraId="214C57DF">
            <w:pPr>
              <w:snapToGrid w:val="0"/>
              <w:spacing w:line="240" w:lineRule="auto"/>
              <w:jc w:val="center"/>
              <w:rPr>
                <w:rFonts w:hAnsi="Lucida Sans Unicode"/>
                <w:color w:val="151515"/>
                <w:sz w:val="18"/>
                <w:szCs w:val="18"/>
              </w:rPr>
            </w:pPr>
            <w:r>
              <w:rPr>
                <w:rFonts w:hAnsi="Lucida Sans Unicode"/>
                <w:color w:val="151515"/>
                <w:sz w:val="18"/>
                <w:szCs w:val="18"/>
              </w:rPr>
              <w:t>间二甲苯</w:t>
            </w:r>
          </w:p>
        </w:tc>
        <w:tc>
          <w:tcPr>
            <w:tcW w:w="956" w:type="dxa"/>
            <w:shd w:val="clear" w:color="auto" w:fill="FFFFFF"/>
          </w:tcPr>
          <w:p w14:paraId="08D3B931">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3D74429A">
            <w:pPr>
              <w:snapToGrid w:val="0"/>
              <w:spacing w:line="240" w:lineRule="auto"/>
              <w:jc w:val="center"/>
              <w:rPr>
                <w:rFonts w:hAnsi="Lucida Sans Unicode"/>
                <w:color w:val="151515"/>
                <w:sz w:val="18"/>
                <w:szCs w:val="18"/>
              </w:rPr>
            </w:pPr>
            <w:r>
              <w:rPr>
                <w:rFonts w:hint="eastAsia" w:hAnsi="Lucida Sans Unicode"/>
                <w:color w:val="151515"/>
                <w:sz w:val="18"/>
                <w:szCs w:val="18"/>
              </w:rPr>
              <w:t>7.8</w:t>
            </w:r>
          </w:p>
        </w:tc>
        <w:tc>
          <w:tcPr>
            <w:tcW w:w="709" w:type="dxa"/>
            <w:shd w:val="clear" w:color="auto" w:fill="FFFFFF"/>
          </w:tcPr>
          <w:p w14:paraId="302BD175">
            <w:pPr>
              <w:snapToGrid w:val="0"/>
              <w:spacing w:line="240" w:lineRule="auto"/>
              <w:jc w:val="center"/>
              <w:rPr>
                <w:rFonts w:hAnsi="Lucida Sans Unicode"/>
                <w:color w:val="151515"/>
                <w:sz w:val="18"/>
                <w:szCs w:val="18"/>
              </w:rPr>
            </w:pPr>
            <w:r>
              <w:rPr>
                <w:rFonts w:hint="eastAsia" w:hAnsi="Lucida Sans Unicode"/>
                <w:color w:val="151515"/>
                <w:sz w:val="18"/>
                <w:szCs w:val="18"/>
              </w:rPr>
              <w:t>38</w:t>
            </w:r>
          </w:p>
        </w:tc>
        <w:tc>
          <w:tcPr>
            <w:tcW w:w="1415" w:type="dxa"/>
            <w:shd w:val="clear" w:color="auto" w:fill="FFFFFF"/>
          </w:tcPr>
          <w:p w14:paraId="1C0F423C">
            <w:pPr>
              <w:snapToGrid w:val="0"/>
              <w:spacing w:line="240" w:lineRule="auto"/>
              <w:jc w:val="center"/>
              <w:rPr>
                <w:rFonts w:hAnsi="Lucida Sans Unicode"/>
                <w:color w:val="151515"/>
                <w:sz w:val="18"/>
                <w:szCs w:val="18"/>
              </w:rPr>
            </w:pPr>
            <w:r>
              <w:rPr>
                <w:rFonts w:hAnsi="Lucida Sans Unicode"/>
                <w:color w:val="151515"/>
                <w:sz w:val="18"/>
                <w:szCs w:val="18"/>
              </w:rPr>
              <w:t>双戊烯</w:t>
            </w:r>
          </w:p>
        </w:tc>
        <w:tc>
          <w:tcPr>
            <w:tcW w:w="1135" w:type="dxa"/>
            <w:shd w:val="clear" w:color="auto" w:fill="FFFFFF"/>
          </w:tcPr>
          <w:p w14:paraId="106CAB47">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33F36E1A">
            <w:pPr>
              <w:snapToGrid w:val="0"/>
              <w:spacing w:line="240" w:lineRule="auto"/>
              <w:jc w:val="center"/>
              <w:rPr>
                <w:rFonts w:hAnsi="Lucida Sans Unicode"/>
                <w:color w:val="151515"/>
                <w:sz w:val="18"/>
                <w:szCs w:val="18"/>
              </w:rPr>
            </w:pPr>
            <w:r>
              <w:rPr>
                <w:rFonts w:hint="eastAsia" w:hAnsi="Lucida Sans Unicode"/>
                <w:color w:val="151515"/>
                <w:sz w:val="18"/>
                <w:szCs w:val="18"/>
              </w:rPr>
              <w:t>3.99</w:t>
            </w:r>
          </w:p>
        </w:tc>
      </w:tr>
      <w:tr w14:paraId="64FB6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00CD43F9">
            <w:pPr>
              <w:snapToGrid w:val="0"/>
              <w:spacing w:line="240" w:lineRule="auto"/>
              <w:jc w:val="center"/>
              <w:rPr>
                <w:rFonts w:hAnsi="Lucida Sans Unicode"/>
                <w:color w:val="151515"/>
                <w:sz w:val="18"/>
                <w:szCs w:val="18"/>
              </w:rPr>
            </w:pPr>
            <w:r>
              <w:rPr>
                <w:rFonts w:hint="eastAsia" w:hAnsi="Lucida Sans Unicode"/>
                <w:color w:val="151515"/>
                <w:sz w:val="18"/>
                <w:szCs w:val="18"/>
              </w:rPr>
              <w:t>6</w:t>
            </w:r>
          </w:p>
        </w:tc>
        <w:tc>
          <w:tcPr>
            <w:tcW w:w="1285" w:type="dxa"/>
            <w:shd w:val="clear" w:color="auto" w:fill="FFFFFF"/>
          </w:tcPr>
          <w:p w14:paraId="5DB54CD8">
            <w:pPr>
              <w:snapToGrid w:val="0"/>
              <w:spacing w:line="240" w:lineRule="auto"/>
              <w:jc w:val="center"/>
              <w:rPr>
                <w:rFonts w:hAnsi="Lucida Sans Unicode"/>
                <w:color w:val="151515"/>
                <w:sz w:val="18"/>
                <w:szCs w:val="18"/>
              </w:rPr>
            </w:pPr>
            <w:r>
              <w:rPr>
                <w:rFonts w:hAnsi="Lucida Sans Unicode"/>
                <w:color w:val="151515"/>
                <w:sz w:val="18"/>
                <w:szCs w:val="18"/>
              </w:rPr>
              <w:t>对二甲苯</w:t>
            </w:r>
          </w:p>
        </w:tc>
        <w:tc>
          <w:tcPr>
            <w:tcW w:w="956" w:type="dxa"/>
            <w:shd w:val="clear" w:color="auto" w:fill="FFFFFF"/>
          </w:tcPr>
          <w:p w14:paraId="0F51ECD0">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54F6AD8B">
            <w:pPr>
              <w:snapToGrid w:val="0"/>
              <w:spacing w:line="240" w:lineRule="auto"/>
              <w:jc w:val="center"/>
              <w:rPr>
                <w:rFonts w:hAnsi="Lucida Sans Unicode"/>
                <w:color w:val="151515"/>
                <w:sz w:val="18"/>
                <w:szCs w:val="18"/>
              </w:rPr>
            </w:pPr>
            <w:r>
              <w:rPr>
                <w:rFonts w:hint="eastAsia" w:hAnsi="Lucida Sans Unicode"/>
                <w:color w:val="151515"/>
                <w:sz w:val="18"/>
                <w:szCs w:val="18"/>
              </w:rPr>
              <w:t>7.8</w:t>
            </w:r>
          </w:p>
        </w:tc>
        <w:tc>
          <w:tcPr>
            <w:tcW w:w="709" w:type="dxa"/>
            <w:shd w:val="clear" w:color="auto" w:fill="FFFFFF"/>
          </w:tcPr>
          <w:p w14:paraId="166CA05D">
            <w:pPr>
              <w:snapToGrid w:val="0"/>
              <w:spacing w:line="240" w:lineRule="auto"/>
              <w:jc w:val="center"/>
              <w:rPr>
                <w:rFonts w:hAnsi="Lucida Sans Unicode"/>
                <w:color w:val="151515"/>
                <w:sz w:val="18"/>
                <w:szCs w:val="18"/>
              </w:rPr>
            </w:pPr>
            <w:r>
              <w:rPr>
                <w:rFonts w:hint="eastAsia" w:hAnsi="Lucida Sans Unicode"/>
                <w:color w:val="151515"/>
                <w:sz w:val="18"/>
                <w:szCs w:val="18"/>
              </w:rPr>
              <w:t>39</w:t>
            </w:r>
          </w:p>
        </w:tc>
        <w:tc>
          <w:tcPr>
            <w:tcW w:w="1415" w:type="dxa"/>
            <w:shd w:val="clear" w:color="auto" w:fill="FFFFFF"/>
          </w:tcPr>
          <w:p w14:paraId="6050D4B8">
            <w:pPr>
              <w:snapToGrid w:val="0"/>
              <w:spacing w:line="240" w:lineRule="auto"/>
              <w:jc w:val="center"/>
              <w:rPr>
                <w:rFonts w:hAnsi="Lucida Sans Unicode"/>
                <w:color w:val="151515"/>
                <w:sz w:val="18"/>
                <w:szCs w:val="18"/>
              </w:rPr>
            </w:pPr>
            <w:r>
              <w:rPr>
                <w:rFonts w:hAnsi="Lucida Sans Unicode"/>
                <w:color w:val="151515"/>
                <w:sz w:val="18"/>
                <w:szCs w:val="18"/>
              </w:rPr>
              <w:t>乙醇</w:t>
            </w:r>
          </w:p>
        </w:tc>
        <w:tc>
          <w:tcPr>
            <w:tcW w:w="1135" w:type="dxa"/>
            <w:shd w:val="clear" w:color="auto" w:fill="FFFFFF"/>
          </w:tcPr>
          <w:p w14:paraId="17FD74E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7179B400">
            <w:pPr>
              <w:snapToGrid w:val="0"/>
              <w:spacing w:line="240" w:lineRule="auto"/>
              <w:jc w:val="center"/>
              <w:rPr>
                <w:rFonts w:hAnsi="Lucida Sans Unicode"/>
                <w:color w:val="151515"/>
                <w:sz w:val="18"/>
                <w:szCs w:val="18"/>
              </w:rPr>
            </w:pPr>
            <w:r>
              <w:rPr>
                <w:rFonts w:hint="eastAsia" w:hAnsi="Lucida Sans Unicode"/>
                <w:color w:val="151515"/>
                <w:sz w:val="18"/>
                <w:szCs w:val="18"/>
              </w:rPr>
              <w:t>1.69</w:t>
            </w:r>
          </w:p>
        </w:tc>
      </w:tr>
      <w:tr w14:paraId="3AF7F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1B17B273">
            <w:pPr>
              <w:snapToGrid w:val="0"/>
              <w:spacing w:line="240" w:lineRule="auto"/>
              <w:jc w:val="center"/>
              <w:rPr>
                <w:rFonts w:hAnsi="Lucida Sans Unicode"/>
                <w:color w:val="151515"/>
                <w:sz w:val="18"/>
                <w:szCs w:val="18"/>
              </w:rPr>
            </w:pPr>
            <w:r>
              <w:rPr>
                <w:rFonts w:hint="eastAsia" w:hAnsi="Lucida Sans Unicode"/>
                <w:color w:val="151515"/>
                <w:sz w:val="18"/>
                <w:szCs w:val="18"/>
              </w:rPr>
              <w:t>7</w:t>
            </w:r>
          </w:p>
        </w:tc>
        <w:tc>
          <w:tcPr>
            <w:tcW w:w="1285" w:type="dxa"/>
            <w:shd w:val="clear" w:color="auto" w:fill="FFFFFF"/>
          </w:tcPr>
          <w:p w14:paraId="7725B31A">
            <w:pPr>
              <w:snapToGrid w:val="0"/>
              <w:spacing w:line="240" w:lineRule="auto"/>
              <w:jc w:val="center"/>
              <w:rPr>
                <w:rFonts w:hAnsi="Lucida Sans Unicode"/>
                <w:color w:val="151515"/>
                <w:sz w:val="18"/>
                <w:szCs w:val="18"/>
              </w:rPr>
            </w:pPr>
            <w:r>
              <w:rPr>
                <w:rFonts w:hAnsi="Lucida Sans Unicode"/>
                <w:color w:val="151515"/>
                <w:sz w:val="18"/>
                <w:szCs w:val="18"/>
              </w:rPr>
              <w:t>1,3,5-三甲苯</w:t>
            </w:r>
            <w:r>
              <w:rPr>
                <w:rFonts w:hint="eastAsia" w:hAnsi="Lucida Sans Unicode"/>
                <w:color w:val="151515"/>
                <w:sz w:val="18"/>
                <w:szCs w:val="18"/>
              </w:rPr>
              <w:t>（均三甲苯）</w:t>
            </w:r>
          </w:p>
        </w:tc>
        <w:tc>
          <w:tcPr>
            <w:tcW w:w="956" w:type="dxa"/>
            <w:shd w:val="clear" w:color="auto" w:fill="FFFFFF"/>
          </w:tcPr>
          <w:p w14:paraId="7C54D7AA">
            <w:pPr>
              <w:snapToGrid w:val="0"/>
              <w:spacing w:line="240" w:lineRule="auto"/>
              <w:jc w:val="center"/>
              <w:rPr>
                <w:rFonts w:hAnsi="Lucida Sans Unicode"/>
                <w:color w:val="151515"/>
                <w:sz w:val="18"/>
                <w:szCs w:val="18"/>
              </w:rPr>
            </w:pPr>
            <w:r>
              <w:rPr>
                <w:rFonts w:hAnsi="Lucida Sans Unicode"/>
                <w:color w:val="151515"/>
                <w:sz w:val="18"/>
                <w:szCs w:val="18"/>
              </w:rPr>
              <w:t>否</w:t>
            </w:r>
          </w:p>
        </w:tc>
        <w:tc>
          <w:tcPr>
            <w:tcW w:w="1134" w:type="dxa"/>
            <w:shd w:val="clear" w:color="auto" w:fill="FFFFFF"/>
          </w:tcPr>
          <w:p w14:paraId="5DE29243">
            <w:pPr>
              <w:snapToGrid w:val="0"/>
              <w:spacing w:line="240" w:lineRule="auto"/>
              <w:jc w:val="center"/>
              <w:rPr>
                <w:rFonts w:hAnsi="Lucida Sans Unicode"/>
                <w:color w:val="151515"/>
                <w:sz w:val="18"/>
                <w:szCs w:val="18"/>
              </w:rPr>
            </w:pPr>
            <w:r>
              <w:rPr>
                <w:rFonts w:hint="eastAsia" w:hAnsi="Lucida Sans Unicode"/>
                <w:color w:val="151515"/>
                <w:sz w:val="18"/>
                <w:szCs w:val="18"/>
              </w:rPr>
              <w:t>11.8</w:t>
            </w:r>
          </w:p>
        </w:tc>
        <w:tc>
          <w:tcPr>
            <w:tcW w:w="709" w:type="dxa"/>
            <w:shd w:val="clear" w:color="auto" w:fill="FFFFFF"/>
          </w:tcPr>
          <w:p w14:paraId="5811F7C5">
            <w:pPr>
              <w:snapToGrid w:val="0"/>
              <w:spacing w:line="240" w:lineRule="auto"/>
              <w:jc w:val="center"/>
              <w:rPr>
                <w:rFonts w:hAnsi="Lucida Sans Unicode"/>
                <w:color w:val="151515"/>
                <w:sz w:val="18"/>
                <w:szCs w:val="18"/>
              </w:rPr>
            </w:pPr>
            <w:r>
              <w:rPr>
                <w:rFonts w:hint="eastAsia" w:hAnsi="Lucida Sans Unicode"/>
                <w:color w:val="151515"/>
                <w:sz w:val="18"/>
                <w:szCs w:val="18"/>
              </w:rPr>
              <w:t>40</w:t>
            </w:r>
          </w:p>
        </w:tc>
        <w:tc>
          <w:tcPr>
            <w:tcW w:w="1415" w:type="dxa"/>
            <w:shd w:val="clear" w:color="auto" w:fill="FFFFFF"/>
          </w:tcPr>
          <w:p w14:paraId="445B1BD4">
            <w:pPr>
              <w:snapToGrid w:val="0"/>
              <w:spacing w:line="240" w:lineRule="auto"/>
              <w:jc w:val="center"/>
              <w:rPr>
                <w:rFonts w:hAnsi="Lucida Sans Unicode"/>
                <w:color w:val="151515"/>
                <w:sz w:val="18"/>
                <w:szCs w:val="18"/>
              </w:rPr>
            </w:pPr>
            <w:r>
              <w:rPr>
                <w:rFonts w:hAnsi="Lucida Sans Unicode"/>
                <w:color w:val="151515"/>
                <w:sz w:val="18"/>
                <w:szCs w:val="18"/>
              </w:rPr>
              <w:t>正丙醇</w:t>
            </w:r>
          </w:p>
        </w:tc>
        <w:tc>
          <w:tcPr>
            <w:tcW w:w="1135" w:type="dxa"/>
            <w:shd w:val="clear" w:color="auto" w:fill="FFFFFF"/>
          </w:tcPr>
          <w:p w14:paraId="764776FE">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2EACEC74">
            <w:pPr>
              <w:snapToGrid w:val="0"/>
              <w:spacing w:line="240" w:lineRule="auto"/>
              <w:jc w:val="center"/>
              <w:rPr>
                <w:rFonts w:hAnsi="Lucida Sans Unicode"/>
                <w:color w:val="151515"/>
                <w:sz w:val="18"/>
                <w:szCs w:val="18"/>
              </w:rPr>
            </w:pPr>
            <w:r>
              <w:rPr>
                <w:rFonts w:hint="eastAsia" w:hAnsi="Lucida Sans Unicode"/>
                <w:color w:val="151515"/>
                <w:sz w:val="18"/>
                <w:szCs w:val="18"/>
              </w:rPr>
              <w:t>2.74</w:t>
            </w:r>
          </w:p>
        </w:tc>
      </w:tr>
      <w:tr w14:paraId="3C09C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5544B19D">
            <w:pPr>
              <w:snapToGrid w:val="0"/>
              <w:spacing w:line="240" w:lineRule="auto"/>
              <w:jc w:val="center"/>
              <w:rPr>
                <w:rFonts w:hAnsi="Lucida Sans Unicode"/>
                <w:color w:val="151515"/>
                <w:sz w:val="18"/>
                <w:szCs w:val="18"/>
              </w:rPr>
            </w:pPr>
            <w:r>
              <w:rPr>
                <w:rFonts w:hint="eastAsia" w:hAnsi="Lucida Sans Unicode"/>
                <w:color w:val="151515"/>
                <w:sz w:val="18"/>
                <w:szCs w:val="18"/>
              </w:rPr>
              <w:t>8</w:t>
            </w:r>
          </w:p>
        </w:tc>
        <w:tc>
          <w:tcPr>
            <w:tcW w:w="1285" w:type="dxa"/>
            <w:shd w:val="clear" w:color="auto" w:fill="FFFFFF"/>
          </w:tcPr>
          <w:p w14:paraId="475EBE82">
            <w:pPr>
              <w:snapToGrid w:val="0"/>
              <w:spacing w:line="240" w:lineRule="auto"/>
              <w:jc w:val="center"/>
              <w:rPr>
                <w:rFonts w:hAnsi="Lucida Sans Unicode"/>
                <w:color w:val="151515"/>
                <w:sz w:val="18"/>
                <w:szCs w:val="18"/>
              </w:rPr>
            </w:pPr>
            <w:r>
              <w:rPr>
                <w:rFonts w:hint="eastAsia" w:hAnsi="Lucida Sans Unicode"/>
                <w:color w:val="151515"/>
                <w:sz w:val="18"/>
                <w:szCs w:val="18"/>
              </w:rPr>
              <w:t>1,2,3-三甲苯（连三甲苯）</w:t>
            </w:r>
          </w:p>
        </w:tc>
        <w:tc>
          <w:tcPr>
            <w:tcW w:w="956" w:type="dxa"/>
            <w:shd w:val="clear" w:color="auto" w:fill="FFFFFF"/>
          </w:tcPr>
          <w:p w14:paraId="18BF5F57">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00B9457B">
            <w:pPr>
              <w:snapToGrid w:val="0"/>
              <w:spacing w:line="240" w:lineRule="auto"/>
              <w:jc w:val="center"/>
              <w:rPr>
                <w:rFonts w:hAnsi="Lucida Sans Unicode"/>
                <w:color w:val="151515"/>
                <w:sz w:val="18"/>
                <w:szCs w:val="18"/>
              </w:rPr>
            </w:pPr>
            <w:r>
              <w:rPr>
                <w:rFonts w:hint="eastAsia" w:hAnsi="Lucida Sans Unicode"/>
                <w:color w:val="151515"/>
                <w:sz w:val="18"/>
                <w:szCs w:val="18"/>
              </w:rPr>
              <w:t>12.0</w:t>
            </w:r>
          </w:p>
        </w:tc>
        <w:tc>
          <w:tcPr>
            <w:tcW w:w="709" w:type="dxa"/>
            <w:shd w:val="clear" w:color="auto" w:fill="FFFFFF"/>
          </w:tcPr>
          <w:p w14:paraId="5EAB2DFD">
            <w:pPr>
              <w:snapToGrid w:val="0"/>
              <w:spacing w:line="240" w:lineRule="auto"/>
              <w:jc w:val="center"/>
              <w:rPr>
                <w:rFonts w:hAnsi="Lucida Sans Unicode"/>
                <w:color w:val="151515"/>
                <w:sz w:val="18"/>
                <w:szCs w:val="18"/>
              </w:rPr>
            </w:pPr>
            <w:r>
              <w:rPr>
                <w:rFonts w:hint="eastAsia" w:hAnsi="Lucida Sans Unicode"/>
                <w:color w:val="151515"/>
                <w:sz w:val="18"/>
                <w:szCs w:val="18"/>
              </w:rPr>
              <w:t>41</w:t>
            </w:r>
          </w:p>
        </w:tc>
        <w:tc>
          <w:tcPr>
            <w:tcW w:w="1415" w:type="dxa"/>
            <w:shd w:val="clear" w:color="auto" w:fill="FFFFFF"/>
          </w:tcPr>
          <w:p w14:paraId="6810267D">
            <w:pPr>
              <w:snapToGrid w:val="0"/>
              <w:spacing w:line="240" w:lineRule="auto"/>
              <w:jc w:val="center"/>
              <w:rPr>
                <w:rFonts w:hAnsi="Lucida Sans Unicode"/>
                <w:color w:val="151515"/>
                <w:sz w:val="18"/>
                <w:szCs w:val="18"/>
              </w:rPr>
            </w:pPr>
            <w:r>
              <w:rPr>
                <w:rFonts w:hAnsi="Lucida Sans Unicode"/>
                <w:color w:val="151515"/>
                <w:sz w:val="18"/>
                <w:szCs w:val="18"/>
              </w:rPr>
              <w:t>异丙醇</w:t>
            </w:r>
          </w:p>
        </w:tc>
        <w:tc>
          <w:tcPr>
            <w:tcW w:w="1135" w:type="dxa"/>
            <w:shd w:val="clear" w:color="auto" w:fill="FFFFFF"/>
          </w:tcPr>
          <w:p w14:paraId="4EA17E13">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246E71A0">
            <w:pPr>
              <w:snapToGrid w:val="0"/>
              <w:spacing w:line="240" w:lineRule="auto"/>
              <w:jc w:val="center"/>
              <w:rPr>
                <w:rFonts w:hAnsi="Lucida Sans Unicode"/>
                <w:color w:val="151515"/>
                <w:sz w:val="18"/>
                <w:szCs w:val="18"/>
              </w:rPr>
            </w:pPr>
            <w:r>
              <w:rPr>
                <w:rFonts w:hint="eastAsia" w:hAnsi="Lucida Sans Unicode"/>
                <w:color w:val="151515"/>
                <w:sz w:val="18"/>
                <w:szCs w:val="18"/>
              </w:rPr>
              <w:t>0.71</w:t>
            </w:r>
          </w:p>
        </w:tc>
      </w:tr>
      <w:tr w14:paraId="0F978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5F565470">
            <w:pPr>
              <w:snapToGrid w:val="0"/>
              <w:spacing w:line="240" w:lineRule="auto"/>
              <w:jc w:val="center"/>
              <w:rPr>
                <w:rFonts w:hAnsi="Lucida Sans Unicode"/>
                <w:color w:val="151515"/>
                <w:sz w:val="18"/>
                <w:szCs w:val="18"/>
              </w:rPr>
            </w:pPr>
            <w:r>
              <w:rPr>
                <w:rFonts w:hint="eastAsia" w:hAnsi="Lucida Sans Unicode"/>
                <w:color w:val="151515"/>
                <w:sz w:val="18"/>
                <w:szCs w:val="18"/>
              </w:rPr>
              <w:t>9</w:t>
            </w:r>
          </w:p>
        </w:tc>
        <w:tc>
          <w:tcPr>
            <w:tcW w:w="1285" w:type="dxa"/>
            <w:shd w:val="clear" w:color="auto" w:fill="FFFFFF"/>
          </w:tcPr>
          <w:p w14:paraId="0DF2440D">
            <w:pPr>
              <w:snapToGrid w:val="0"/>
              <w:spacing w:line="240" w:lineRule="auto"/>
              <w:jc w:val="center"/>
              <w:rPr>
                <w:rFonts w:hAnsi="Lucida Sans Unicode"/>
                <w:color w:val="151515"/>
                <w:sz w:val="18"/>
                <w:szCs w:val="18"/>
              </w:rPr>
            </w:pPr>
            <w:r>
              <w:rPr>
                <w:rFonts w:hint="eastAsia" w:hAnsi="Lucida Sans Unicode"/>
                <w:color w:val="151515"/>
                <w:sz w:val="18"/>
                <w:szCs w:val="18"/>
              </w:rPr>
              <w:t>1,2,4-三甲苯（偏三甲苯）</w:t>
            </w:r>
          </w:p>
        </w:tc>
        <w:tc>
          <w:tcPr>
            <w:tcW w:w="956" w:type="dxa"/>
            <w:shd w:val="clear" w:color="auto" w:fill="FFFFFF"/>
          </w:tcPr>
          <w:p w14:paraId="222967C3">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297E70CB">
            <w:pPr>
              <w:snapToGrid w:val="0"/>
              <w:spacing w:line="240" w:lineRule="auto"/>
              <w:jc w:val="center"/>
              <w:rPr>
                <w:rFonts w:hAnsi="Lucida Sans Unicode"/>
                <w:color w:val="151515"/>
                <w:sz w:val="18"/>
                <w:szCs w:val="18"/>
              </w:rPr>
            </w:pPr>
            <w:r>
              <w:rPr>
                <w:rFonts w:hint="eastAsia" w:hAnsi="Lucida Sans Unicode"/>
                <w:color w:val="151515"/>
                <w:sz w:val="18"/>
                <w:szCs w:val="18"/>
              </w:rPr>
              <w:t>8.9</w:t>
            </w:r>
          </w:p>
        </w:tc>
        <w:tc>
          <w:tcPr>
            <w:tcW w:w="709" w:type="dxa"/>
            <w:shd w:val="clear" w:color="auto" w:fill="FFFFFF"/>
          </w:tcPr>
          <w:p w14:paraId="72B9E420">
            <w:pPr>
              <w:snapToGrid w:val="0"/>
              <w:spacing w:line="240" w:lineRule="auto"/>
              <w:jc w:val="center"/>
              <w:rPr>
                <w:rFonts w:hAnsi="Lucida Sans Unicode"/>
                <w:color w:val="151515"/>
                <w:sz w:val="18"/>
                <w:szCs w:val="18"/>
              </w:rPr>
            </w:pPr>
            <w:r>
              <w:rPr>
                <w:rFonts w:hint="eastAsia" w:hAnsi="Lucida Sans Unicode"/>
                <w:color w:val="151515"/>
                <w:sz w:val="18"/>
                <w:szCs w:val="18"/>
              </w:rPr>
              <w:t>42</w:t>
            </w:r>
          </w:p>
        </w:tc>
        <w:tc>
          <w:tcPr>
            <w:tcW w:w="1415" w:type="dxa"/>
            <w:shd w:val="clear" w:color="auto" w:fill="FFFFFF"/>
          </w:tcPr>
          <w:p w14:paraId="60718B4C">
            <w:pPr>
              <w:snapToGrid w:val="0"/>
              <w:spacing w:line="240" w:lineRule="auto"/>
              <w:jc w:val="center"/>
              <w:rPr>
                <w:rFonts w:hAnsi="Lucida Sans Unicode"/>
                <w:color w:val="151515"/>
                <w:sz w:val="18"/>
                <w:szCs w:val="18"/>
              </w:rPr>
            </w:pPr>
            <w:r>
              <w:rPr>
                <w:rFonts w:hAnsi="Lucida Sans Unicode"/>
                <w:color w:val="151515"/>
                <w:sz w:val="18"/>
                <w:szCs w:val="18"/>
              </w:rPr>
              <w:t>仲丁醇</w:t>
            </w:r>
          </w:p>
        </w:tc>
        <w:tc>
          <w:tcPr>
            <w:tcW w:w="1135" w:type="dxa"/>
            <w:shd w:val="clear" w:color="auto" w:fill="FFFFFF"/>
          </w:tcPr>
          <w:p w14:paraId="7EF9BD3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4DDC1828">
            <w:pPr>
              <w:snapToGrid w:val="0"/>
              <w:spacing w:line="240" w:lineRule="auto"/>
              <w:jc w:val="center"/>
              <w:rPr>
                <w:rFonts w:hAnsi="Lucida Sans Unicode"/>
                <w:color w:val="151515"/>
                <w:sz w:val="18"/>
                <w:szCs w:val="18"/>
              </w:rPr>
            </w:pPr>
            <w:r>
              <w:rPr>
                <w:rFonts w:hint="eastAsia" w:hAnsi="Lucida Sans Unicode"/>
                <w:color w:val="151515"/>
                <w:sz w:val="18"/>
                <w:szCs w:val="18"/>
              </w:rPr>
              <w:t>1.60</w:t>
            </w:r>
          </w:p>
        </w:tc>
      </w:tr>
      <w:tr w14:paraId="4806E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440BE3E0">
            <w:pPr>
              <w:snapToGrid w:val="0"/>
              <w:spacing w:line="240" w:lineRule="auto"/>
              <w:jc w:val="center"/>
              <w:rPr>
                <w:rFonts w:hAnsi="Lucida Sans Unicode"/>
                <w:color w:val="151515"/>
                <w:sz w:val="18"/>
                <w:szCs w:val="18"/>
              </w:rPr>
            </w:pPr>
            <w:r>
              <w:rPr>
                <w:rFonts w:hint="eastAsia" w:hAnsi="Lucida Sans Unicode"/>
                <w:color w:val="151515"/>
                <w:sz w:val="18"/>
                <w:szCs w:val="18"/>
              </w:rPr>
              <w:t>10</w:t>
            </w:r>
          </w:p>
        </w:tc>
        <w:tc>
          <w:tcPr>
            <w:tcW w:w="1285" w:type="dxa"/>
            <w:shd w:val="clear" w:color="auto" w:fill="FFFFFF"/>
          </w:tcPr>
          <w:p w14:paraId="1731D747">
            <w:pPr>
              <w:snapToGrid w:val="0"/>
              <w:spacing w:line="240" w:lineRule="auto"/>
              <w:jc w:val="center"/>
              <w:rPr>
                <w:rFonts w:hAnsi="Lucida Sans Unicode"/>
                <w:color w:val="151515"/>
                <w:sz w:val="18"/>
                <w:szCs w:val="18"/>
              </w:rPr>
            </w:pPr>
            <w:r>
              <w:rPr>
                <w:rFonts w:hAnsi="Lucida Sans Unicode"/>
                <w:color w:val="151515"/>
                <w:sz w:val="18"/>
                <w:szCs w:val="18"/>
              </w:rPr>
              <w:t>甲醇</w:t>
            </w:r>
          </w:p>
        </w:tc>
        <w:tc>
          <w:tcPr>
            <w:tcW w:w="956" w:type="dxa"/>
            <w:shd w:val="clear" w:color="auto" w:fill="FFFFFF"/>
          </w:tcPr>
          <w:p w14:paraId="6E1C7C88">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55E26105">
            <w:pPr>
              <w:snapToGrid w:val="0"/>
              <w:spacing w:line="240" w:lineRule="auto"/>
              <w:jc w:val="center"/>
              <w:rPr>
                <w:rFonts w:hAnsi="Lucida Sans Unicode"/>
                <w:color w:val="151515"/>
                <w:sz w:val="18"/>
                <w:szCs w:val="18"/>
              </w:rPr>
            </w:pPr>
            <w:r>
              <w:rPr>
                <w:rFonts w:hint="eastAsia" w:hAnsi="Lucida Sans Unicode"/>
                <w:color w:val="151515"/>
                <w:sz w:val="18"/>
                <w:szCs w:val="18"/>
              </w:rPr>
              <w:t>0.71</w:t>
            </w:r>
          </w:p>
        </w:tc>
        <w:tc>
          <w:tcPr>
            <w:tcW w:w="709" w:type="dxa"/>
            <w:shd w:val="clear" w:color="auto" w:fill="FFFFFF"/>
          </w:tcPr>
          <w:p w14:paraId="68B0E125">
            <w:pPr>
              <w:snapToGrid w:val="0"/>
              <w:spacing w:line="240" w:lineRule="auto"/>
              <w:jc w:val="center"/>
              <w:rPr>
                <w:rFonts w:hAnsi="Lucida Sans Unicode"/>
                <w:color w:val="151515"/>
                <w:sz w:val="18"/>
                <w:szCs w:val="18"/>
              </w:rPr>
            </w:pPr>
            <w:r>
              <w:rPr>
                <w:rFonts w:hint="eastAsia" w:hAnsi="Lucida Sans Unicode"/>
                <w:color w:val="151515"/>
                <w:sz w:val="18"/>
                <w:szCs w:val="18"/>
              </w:rPr>
              <w:t>43</w:t>
            </w:r>
          </w:p>
        </w:tc>
        <w:tc>
          <w:tcPr>
            <w:tcW w:w="1415" w:type="dxa"/>
            <w:shd w:val="clear" w:color="auto" w:fill="FFFFFF"/>
          </w:tcPr>
          <w:p w14:paraId="64BA2A98">
            <w:pPr>
              <w:snapToGrid w:val="0"/>
              <w:spacing w:line="240" w:lineRule="auto"/>
              <w:jc w:val="center"/>
              <w:rPr>
                <w:rFonts w:hAnsi="Lucida Sans Unicode"/>
                <w:color w:val="151515"/>
                <w:sz w:val="18"/>
                <w:szCs w:val="18"/>
              </w:rPr>
            </w:pPr>
            <w:r>
              <w:rPr>
                <w:rFonts w:hAnsi="Lucida Sans Unicode"/>
                <w:color w:val="151515"/>
                <w:sz w:val="18"/>
                <w:szCs w:val="18"/>
              </w:rPr>
              <w:t>异丁醇</w:t>
            </w:r>
          </w:p>
        </w:tc>
        <w:tc>
          <w:tcPr>
            <w:tcW w:w="1135" w:type="dxa"/>
            <w:shd w:val="clear" w:color="auto" w:fill="FFFFFF"/>
          </w:tcPr>
          <w:p w14:paraId="5501077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23888945">
            <w:pPr>
              <w:snapToGrid w:val="0"/>
              <w:spacing w:line="240" w:lineRule="auto"/>
              <w:jc w:val="center"/>
              <w:rPr>
                <w:rFonts w:hAnsi="Lucida Sans Unicode"/>
                <w:color w:val="151515"/>
                <w:sz w:val="18"/>
                <w:szCs w:val="18"/>
              </w:rPr>
            </w:pPr>
            <w:r>
              <w:rPr>
                <w:rFonts w:hint="eastAsia" w:hAnsi="Lucida Sans Unicode"/>
                <w:color w:val="151515"/>
                <w:sz w:val="18"/>
                <w:szCs w:val="18"/>
              </w:rPr>
              <w:t>2.24</w:t>
            </w:r>
          </w:p>
        </w:tc>
      </w:tr>
      <w:tr w14:paraId="7254B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4CD2A570">
            <w:pPr>
              <w:snapToGrid w:val="0"/>
              <w:spacing w:line="240" w:lineRule="auto"/>
              <w:jc w:val="center"/>
              <w:rPr>
                <w:rFonts w:hAnsi="Lucida Sans Unicode"/>
                <w:color w:val="151515"/>
                <w:sz w:val="18"/>
                <w:szCs w:val="18"/>
              </w:rPr>
            </w:pPr>
            <w:r>
              <w:rPr>
                <w:rFonts w:hint="eastAsia" w:hAnsi="Lucida Sans Unicode"/>
                <w:color w:val="151515"/>
                <w:sz w:val="18"/>
                <w:szCs w:val="18"/>
              </w:rPr>
              <w:t>11</w:t>
            </w:r>
          </w:p>
        </w:tc>
        <w:tc>
          <w:tcPr>
            <w:tcW w:w="1285" w:type="dxa"/>
            <w:shd w:val="clear" w:color="auto" w:fill="FFFFFF"/>
          </w:tcPr>
          <w:p w14:paraId="48219447">
            <w:pPr>
              <w:snapToGrid w:val="0"/>
              <w:spacing w:line="240" w:lineRule="auto"/>
              <w:jc w:val="center"/>
              <w:rPr>
                <w:rFonts w:hAnsi="Lucida Sans Unicode"/>
                <w:color w:val="151515"/>
                <w:sz w:val="18"/>
                <w:szCs w:val="18"/>
              </w:rPr>
            </w:pPr>
            <w:r>
              <w:rPr>
                <w:rFonts w:hAnsi="Lucida Sans Unicode"/>
                <w:color w:val="151515"/>
                <w:sz w:val="18"/>
                <w:szCs w:val="18"/>
              </w:rPr>
              <w:t>乙二醇</w:t>
            </w:r>
          </w:p>
        </w:tc>
        <w:tc>
          <w:tcPr>
            <w:tcW w:w="956" w:type="dxa"/>
            <w:shd w:val="clear" w:color="auto" w:fill="FFFFFF"/>
          </w:tcPr>
          <w:p w14:paraId="4B42326C">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45952FC7">
            <w:pPr>
              <w:snapToGrid w:val="0"/>
              <w:spacing w:line="240" w:lineRule="auto"/>
              <w:jc w:val="center"/>
              <w:rPr>
                <w:rFonts w:hAnsi="Lucida Sans Unicode"/>
                <w:color w:val="151515"/>
                <w:sz w:val="18"/>
                <w:szCs w:val="18"/>
              </w:rPr>
            </w:pPr>
            <w:r>
              <w:rPr>
                <w:rFonts w:hint="eastAsia" w:hAnsi="Lucida Sans Unicode"/>
                <w:color w:val="151515"/>
                <w:sz w:val="18"/>
                <w:szCs w:val="18"/>
              </w:rPr>
              <w:t>3.36</w:t>
            </w:r>
          </w:p>
        </w:tc>
        <w:tc>
          <w:tcPr>
            <w:tcW w:w="709" w:type="dxa"/>
            <w:shd w:val="clear" w:color="auto" w:fill="FFFFFF"/>
          </w:tcPr>
          <w:p w14:paraId="0756B745">
            <w:pPr>
              <w:snapToGrid w:val="0"/>
              <w:spacing w:line="240" w:lineRule="auto"/>
              <w:jc w:val="center"/>
              <w:rPr>
                <w:rFonts w:hAnsi="Lucida Sans Unicode"/>
                <w:color w:val="151515"/>
                <w:sz w:val="18"/>
                <w:szCs w:val="18"/>
              </w:rPr>
            </w:pPr>
            <w:r>
              <w:rPr>
                <w:rFonts w:hint="eastAsia" w:hAnsi="Lucida Sans Unicode"/>
                <w:color w:val="151515"/>
                <w:sz w:val="18"/>
                <w:szCs w:val="18"/>
              </w:rPr>
              <w:t>44</w:t>
            </w:r>
          </w:p>
        </w:tc>
        <w:tc>
          <w:tcPr>
            <w:tcW w:w="1415" w:type="dxa"/>
            <w:shd w:val="clear" w:color="auto" w:fill="FFFFFF"/>
          </w:tcPr>
          <w:p w14:paraId="24C17A9B">
            <w:pPr>
              <w:snapToGrid w:val="0"/>
              <w:spacing w:line="240" w:lineRule="auto"/>
              <w:jc w:val="center"/>
              <w:rPr>
                <w:rFonts w:hAnsi="Lucida Sans Unicode"/>
                <w:color w:val="151515"/>
                <w:sz w:val="18"/>
                <w:szCs w:val="18"/>
              </w:rPr>
            </w:pPr>
            <w:r>
              <w:rPr>
                <w:rFonts w:hAnsi="Lucida Sans Unicode"/>
                <w:color w:val="151515"/>
                <w:sz w:val="18"/>
                <w:szCs w:val="18"/>
              </w:rPr>
              <w:t>1,2-丙二醇</w:t>
            </w:r>
          </w:p>
        </w:tc>
        <w:tc>
          <w:tcPr>
            <w:tcW w:w="1135" w:type="dxa"/>
            <w:shd w:val="clear" w:color="auto" w:fill="FFFFFF"/>
          </w:tcPr>
          <w:p w14:paraId="2D894A0D">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06EAA1FA">
            <w:pPr>
              <w:snapToGrid w:val="0"/>
              <w:spacing w:line="240" w:lineRule="auto"/>
              <w:jc w:val="center"/>
              <w:rPr>
                <w:rFonts w:hAnsi="Lucida Sans Unicode"/>
                <w:color w:val="151515"/>
                <w:sz w:val="18"/>
                <w:szCs w:val="18"/>
              </w:rPr>
            </w:pPr>
            <w:r>
              <w:rPr>
                <w:rFonts w:hint="eastAsia" w:hAnsi="Lucida Sans Unicode"/>
                <w:color w:val="151515"/>
                <w:sz w:val="18"/>
                <w:szCs w:val="18"/>
              </w:rPr>
              <w:t>2.75</w:t>
            </w:r>
          </w:p>
        </w:tc>
      </w:tr>
      <w:tr w14:paraId="24188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36326E4E">
            <w:pPr>
              <w:snapToGrid w:val="0"/>
              <w:spacing w:line="240" w:lineRule="auto"/>
              <w:jc w:val="center"/>
              <w:rPr>
                <w:rFonts w:hAnsi="Lucida Sans Unicode"/>
                <w:color w:val="151515"/>
                <w:sz w:val="18"/>
                <w:szCs w:val="18"/>
              </w:rPr>
            </w:pPr>
            <w:r>
              <w:rPr>
                <w:rFonts w:hint="eastAsia" w:hAnsi="Lucida Sans Unicode"/>
                <w:color w:val="151515"/>
                <w:sz w:val="18"/>
                <w:szCs w:val="18"/>
              </w:rPr>
              <w:t>12</w:t>
            </w:r>
          </w:p>
        </w:tc>
        <w:tc>
          <w:tcPr>
            <w:tcW w:w="1285" w:type="dxa"/>
            <w:shd w:val="clear" w:color="auto" w:fill="FFFFFF"/>
          </w:tcPr>
          <w:p w14:paraId="47BE826C">
            <w:pPr>
              <w:snapToGrid w:val="0"/>
              <w:spacing w:line="240" w:lineRule="auto"/>
              <w:jc w:val="center"/>
              <w:rPr>
                <w:rFonts w:hAnsi="Lucida Sans Unicode"/>
                <w:color w:val="151515"/>
                <w:sz w:val="18"/>
                <w:szCs w:val="18"/>
              </w:rPr>
            </w:pPr>
            <w:r>
              <w:rPr>
                <w:rFonts w:hAnsi="Lucida Sans Unicode"/>
                <w:color w:val="151515"/>
                <w:sz w:val="18"/>
                <w:szCs w:val="18"/>
              </w:rPr>
              <w:t>甲乙酮</w:t>
            </w:r>
            <w:r>
              <w:rPr>
                <w:rFonts w:hint="eastAsia" w:hAnsi="Lucida Sans Unicode"/>
                <w:color w:val="151515"/>
                <w:sz w:val="18"/>
                <w:szCs w:val="18"/>
              </w:rPr>
              <w:t>（丁酮）</w:t>
            </w:r>
          </w:p>
        </w:tc>
        <w:tc>
          <w:tcPr>
            <w:tcW w:w="956" w:type="dxa"/>
            <w:shd w:val="clear" w:color="auto" w:fill="FFFFFF"/>
          </w:tcPr>
          <w:p w14:paraId="729E4C23">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3DDBD1ED">
            <w:pPr>
              <w:snapToGrid w:val="0"/>
              <w:spacing w:line="240" w:lineRule="auto"/>
              <w:jc w:val="center"/>
              <w:rPr>
                <w:rFonts w:hAnsi="Lucida Sans Unicode"/>
                <w:color w:val="151515"/>
                <w:sz w:val="18"/>
                <w:szCs w:val="18"/>
              </w:rPr>
            </w:pPr>
            <w:r>
              <w:rPr>
                <w:rFonts w:hint="eastAsia" w:hAnsi="Lucida Sans Unicode"/>
                <w:color w:val="151515"/>
                <w:sz w:val="18"/>
                <w:szCs w:val="18"/>
              </w:rPr>
              <w:t>1.49</w:t>
            </w:r>
          </w:p>
        </w:tc>
        <w:tc>
          <w:tcPr>
            <w:tcW w:w="709" w:type="dxa"/>
            <w:shd w:val="clear" w:color="auto" w:fill="FFFFFF"/>
          </w:tcPr>
          <w:p w14:paraId="35114AA3">
            <w:pPr>
              <w:snapToGrid w:val="0"/>
              <w:spacing w:line="240" w:lineRule="auto"/>
              <w:jc w:val="center"/>
              <w:rPr>
                <w:rFonts w:hAnsi="Lucida Sans Unicode"/>
                <w:color w:val="151515"/>
                <w:sz w:val="18"/>
                <w:szCs w:val="18"/>
              </w:rPr>
            </w:pPr>
            <w:r>
              <w:rPr>
                <w:rFonts w:hint="eastAsia" w:hAnsi="Lucida Sans Unicode"/>
                <w:color w:val="151515"/>
                <w:sz w:val="18"/>
                <w:szCs w:val="18"/>
              </w:rPr>
              <w:t>45</w:t>
            </w:r>
          </w:p>
        </w:tc>
        <w:tc>
          <w:tcPr>
            <w:tcW w:w="1415" w:type="dxa"/>
            <w:shd w:val="clear" w:color="auto" w:fill="FFFFFF"/>
          </w:tcPr>
          <w:p w14:paraId="73692B60">
            <w:pPr>
              <w:snapToGrid w:val="0"/>
              <w:spacing w:line="240" w:lineRule="auto"/>
              <w:jc w:val="center"/>
              <w:rPr>
                <w:rFonts w:hAnsi="Lucida Sans Unicode"/>
                <w:color w:val="151515"/>
                <w:sz w:val="18"/>
                <w:szCs w:val="18"/>
              </w:rPr>
            </w:pPr>
            <w:r>
              <w:rPr>
                <w:rFonts w:hAnsi="Lucida Sans Unicode"/>
                <w:color w:val="151515"/>
                <w:sz w:val="18"/>
                <w:szCs w:val="18"/>
              </w:rPr>
              <w:t>二丙酮醇</w:t>
            </w:r>
          </w:p>
        </w:tc>
        <w:tc>
          <w:tcPr>
            <w:tcW w:w="1135" w:type="dxa"/>
            <w:shd w:val="clear" w:color="auto" w:fill="FFFFFF"/>
          </w:tcPr>
          <w:p w14:paraId="24B1EBC0">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8ADF18D">
            <w:pPr>
              <w:snapToGrid w:val="0"/>
              <w:spacing w:line="240" w:lineRule="auto"/>
              <w:jc w:val="center"/>
              <w:rPr>
                <w:rFonts w:hAnsi="Lucida Sans Unicode"/>
                <w:color w:val="151515"/>
                <w:sz w:val="18"/>
                <w:szCs w:val="18"/>
              </w:rPr>
            </w:pPr>
            <w:r>
              <w:rPr>
                <w:rFonts w:hint="eastAsia" w:hAnsi="Lucida Sans Unicode"/>
                <w:color w:val="151515"/>
                <w:sz w:val="18"/>
                <w:szCs w:val="18"/>
              </w:rPr>
              <w:t>0.68</w:t>
            </w:r>
          </w:p>
        </w:tc>
      </w:tr>
      <w:tr w14:paraId="5A6B8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5D33F375">
            <w:pPr>
              <w:snapToGrid w:val="0"/>
              <w:spacing w:line="240" w:lineRule="auto"/>
              <w:jc w:val="center"/>
              <w:rPr>
                <w:rFonts w:hAnsi="Lucida Sans Unicode"/>
                <w:color w:val="151515"/>
                <w:sz w:val="18"/>
                <w:szCs w:val="18"/>
              </w:rPr>
            </w:pPr>
            <w:r>
              <w:rPr>
                <w:rFonts w:hint="eastAsia" w:hAnsi="Lucida Sans Unicode"/>
                <w:color w:val="151515"/>
                <w:sz w:val="18"/>
                <w:szCs w:val="18"/>
              </w:rPr>
              <w:t>13</w:t>
            </w:r>
          </w:p>
        </w:tc>
        <w:tc>
          <w:tcPr>
            <w:tcW w:w="1285" w:type="dxa"/>
            <w:shd w:val="clear" w:color="auto" w:fill="FFFFFF"/>
          </w:tcPr>
          <w:p w14:paraId="2D0FA945">
            <w:pPr>
              <w:snapToGrid w:val="0"/>
              <w:spacing w:line="240" w:lineRule="auto"/>
              <w:jc w:val="center"/>
              <w:rPr>
                <w:rFonts w:hAnsi="Lucida Sans Unicode"/>
                <w:color w:val="151515"/>
                <w:sz w:val="18"/>
                <w:szCs w:val="18"/>
              </w:rPr>
            </w:pPr>
            <w:r>
              <w:rPr>
                <w:rFonts w:hAnsi="Lucida Sans Unicode"/>
                <w:color w:val="151515"/>
                <w:sz w:val="18"/>
                <w:szCs w:val="18"/>
              </w:rPr>
              <w:t>甲基异丁基酮</w:t>
            </w:r>
            <w:r>
              <w:rPr>
                <w:rFonts w:hint="eastAsia" w:hAnsi="Lucida Sans Unicode"/>
                <w:color w:val="151515"/>
                <w:sz w:val="18"/>
                <w:szCs w:val="18"/>
              </w:rPr>
              <w:t>（4-甲基-2-戊酮）</w:t>
            </w:r>
          </w:p>
        </w:tc>
        <w:tc>
          <w:tcPr>
            <w:tcW w:w="956" w:type="dxa"/>
            <w:shd w:val="clear" w:color="auto" w:fill="FFFFFF"/>
          </w:tcPr>
          <w:p w14:paraId="4CDD86C5">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69881113">
            <w:pPr>
              <w:snapToGrid w:val="0"/>
              <w:spacing w:line="240" w:lineRule="auto"/>
              <w:jc w:val="center"/>
              <w:rPr>
                <w:rFonts w:hAnsi="Lucida Sans Unicode"/>
                <w:color w:val="151515"/>
                <w:sz w:val="18"/>
                <w:szCs w:val="18"/>
              </w:rPr>
            </w:pPr>
            <w:r>
              <w:rPr>
                <w:rFonts w:hint="eastAsia" w:hAnsi="Lucida Sans Unicode"/>
                <w:color w:val="151515"/>
                <w:sz w:val="18"/>
                <w:szCs w:val="18"/>
              </w:rPr>
              <w:t>4.31</w:t>
            </w:r>
          </w:p>
        </w:tc>
        <w:tc>
          <w:tcPr>
            <w:tcW w:w="709" w:type="dxa"/>
            <w:shd w:val="clear" w:color="auto" w:fill="FFFFFF"/>
          </w:tcPr>
          <w:p w14:paraId="2403FA1E">
            <w:pPr>
              <w:snapToGrid w:val="0"/>
              <w:spacing w:line="240" w:lineRule="auto"/>
              <w:jc w:val="center"/>
              <w:rPr>
                <w:rFonts w:hAnsi="Lucida Sans Unicode"/>
                <w:color w:val="151515"/>
                <w:sz w:val="18"/>
                <w:szCs w:val="18"/>
              </w:rPr>
            </w:pPr>
            <w:r>
              <w:rPr>
                <w:rFonts w:hint="eastAsia" w:hAnsi="Lucida Sans Unicode"/>
                <w:color w:val="151515"/>
                <w:sz w:val="18"/>
                <w:szCs w:val="18"/>
              </w:rPr>
              <w:t>46</w:t>
            </w:r>
          </w:p>
        </w:tc>
        <w:tc>
          <w:tcPr>
            <w:tcW w:w="1415" w:type="dxa"/>
            <w:shd w:val="clear" w:color="auto" w:fill="FFFFFF"/>
          </w:tcPr>
          <w:p w14:paraId="479F202C">
            <w:pPr>
              <w:snapToGrid w:val="0"/>
              <w:spacing w:line="240" w:lineRule="auto"/>
              <w:jc w:val="center"/>
              <w:rPr>
                <w:rFonts w:hAnsi="Lucida Sans Unicode"/>
                <w:color w:val="151515"/>
                <w:sz w:val="18"/>
                <w:szCs w:val="18"/>
              </w:rPr>
            </w:pPr>
            <w:r>
              <w:rPr>
                <w:rFonts w:hAnsi="Lucida Sans Unicode"/>
                <w:color w:val="151515"/>
                <w:sz w:val="18"/>
                <w:szCs w:val="18"/>
              </w:rPr>
              <w:t>丙酮</w:t>
            </w:r>
          </w:p>
        </w:tc>
        <w:tc>
          <w:tcPr>
            <w:tcW w:w="1135" w:type="dxa"/>
            <w:shd w:val="clear" w:color="auto" w:fill="FFFFFF"/>
          </w:tcPr>
          <w:p w14:paraId="3EA21891">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6B9551AF">
            <w:pPr>
              <w:snapToGrid w:val="0"/>
              <w:spacing w:line="240" w:lineRule="auto"/>
              <w:jc w:val="center"/>
              <w:rPr>
                <w:rFonts w:hAnsi="Lucida Sans Unicode"/>
                <w:color w:val="151515"/>
                <w:sz w:val="18"/>
                <w:szCs w:val="18"/>
              </w:rPr>
            </w:pPr>
            <w:r>
              <w:rPr>
                <w:rFonts w:hint="eastAsia" w:hAnsi="Lucida Sans Unicode"/>
                <w:color w:val="151515"/>
                <w:sz w:val="18"/>
                <w:szCs w:val="18"/>
              </w:rPr>
              <w:t>0.43</w:t>
            </w:r>
          </w:p>
        </w:tc>
      </w:tr>
      <w:tr w14:paraId="080CD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B019F0B">
            <w:pPr>
              <w:snapToGrid w:val="0"/>
              <w:spacing w:line="240" w:lineRule="auto"/>
              <w:jc w:val="center"/>
              <w:rPr>
                <w:rFonts w:hAnsi="Lucida Sans Unicode"/>
                <w:color w:val="151515"/>
                <w:sz w:val="18"/>
                <w:szCs w:val="18"/>
              </w:rPr>
            </w:pPr>
            <w:r>
              <w:rPr>
                <w:rFonts w:hint="eastAsia" w:hAnsi="Lucida Sans Unicode"/>
                <w:color w:val="151515"/>
                <w:sz w:val="18"/>
                <w:szCs w:val="18"/>
              </w:rPr>
              <w:t>14</w:t>
            </w:r>
          </w:p>
        </w:tc>
        <w:tc>
          <w:tcPr>
            <w:tcW w:w="1285" w:type="dxa"/>
            <w:shd w:val="clear" w:color="auto" w:fill="FFFFFF"/>
          </w:tcPr>
          <w:p w14:paraId="383F580A">
            <w:pPr>
              <w:snapToGrid w:val="0"/>
              <w:spacing w:line="240" w:lineRule="auto"/>
              <w:jc w:val="center"/>
              <w:rPr>
                <w:rFonts w:hAnsi="Lucida Sans Unicode"/>
                <w:color w:val="151515"/>
                <w:sz w:val="18"/>
                <w:szCs w:val="18"/>
              </w:rPr>
            </w:pPr>
            <w:r>
              <w:rPr>
                <w:rFonts w:hAnsi="Lucida Sans Unicode"/>
                <w:color w:val="151515"/>
                <w:sz w:val="18"/>
                <w:szCs w:val="18"/>
              </w:rPr>
              <w:t>异佛尔酮</w:t>
            </w:r>
          </w:p>
        </w:tc>
        <w:tc>
          <w:tcPr>
            <w:tcW w:w="956" w:type="dxa"/>
            <w:shd w:val="clear" w:color="auto" w:fill="FFFFFF"/>
          </w:tcPr>
          <w:p w14:paraId="712158F6">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275ED3B3">
            <w:pPr>
              <w:snapToGrid w:val="0"/>
              <w:spacing w:line="240" w:lineRule="auto"/>
              <w:jc w:val="center"/>
              <w:rPr>
                <w:rFonts w:hAnsi="Lucida Sans Unicode"/>
                <w:color w:val="151515"/>
                <w:sz w:val="18"/>
                <w:szCs w:val="18"/>
              </w:rPr>
            </w:pPr>
            <w:r>
              <w:rPr>
                <w:rFonts w:hint="eastAsia" w:hAnsi="Lucida Sans Unicode"/>
                <w:color w:val="151515"/>
                <w:sz w:val="18"/>
                <w:szCs w:val="18"/>
              </w:rPr>
              <w:t>--</w:t>
            </w:r>
          </w:p>
        </w:tc>
        <w:tc>
          <w:tcPr>
            <w:tcW w:w="709" w:type="dxa"/>
            <w:shd w:val="clear" w:color="auto" w:fill="FFFFFF"/>
          </w:tcPr>
          <w:p w14:paraId="7BEC3717">
            <w:pPr>
              <w:snapToGrid w:val="0"/>
              <w:spacing w:line="240" w:lineRule="auto"/>
              <w:jc w:val="center"/>
              <w:rPr>
                <w:rFonts w:hAnsi="Lucida Sans Unicode"/>
                <w:color w:val="151515"/>
                <w:sz w:val="18"/>
                <w:szCs w:val="18"/>
              </w:rPr>
            </w:pPr>
            <w:r>
              <w:rPr>
                <w:rFonts w:hint="eastAsia" w:hAnsi="Lucida Sans Unicode"/>
                <w:color w:val="151515"/>
                <w:sz w:val="18"/>
                <w:szCs w:val="18"/>
              </w:rPr>
              <w:t>47</w:t>
            </w:r>
          </w:p>
        </w:tc>
        <w:tc>
          <w:tcPr>
            <w:tcW w:w="1415" w:type="dxa"/>
            <w:shd w:val="clear" w:color="auto" w:fill="FFFFFF"/>
          </w:tcPr>
          <w:p w14:paraId="300A6EFC">
            <w:pPr>
              <w:snapToGrid w:val="0"/>
              <w:spacing w:line="240" w:lineRule="auto"/>
              <w:jc w:val="center"/>
              <w:rPr>
                <w:rFonts w:hAnsi="Lucida Sans Unicode"/>
                <w:color w:val="151515"/>
                <w:sz w:val="18"/>
                <w:szCs w:val="18"/>
              </w:rPr>
            </w:pPr>
            <w:r>
              <w:rPr>
                <w:rFonts w:hAnsi="Lucida Sans Unicode"/>
                <w:color w:val="151515"/>
                <w:sz w:val="18"/>
                <w:szCs w:val="18"/>
              </w:rPr>
              <w:t>甲基正戊基酮</w:t>
            </w:r>
          </w:p>
        </w:tc>
        <w:tc>
          <w:tcPr>
            <w:tcW w:w="1135" w:type="dxa"/>
            <w:shd w:val="clear" w:color="auto" w:fill="FFFFFF"/>
          </w:tcPr>
          <w:p w14:paraId="1B507651">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78D7C0D0">
            <w:pPr>
              <w:snapToGrid w:val="0"/>
              <w:spacing w:line="240" w:lineRule="auto"/>
              <w:jc w:val="center"/>
              <w:rPr>
                <w:rFonts w:hAnsi="Lucida Sans Unicode"/>
                <w:color w:val="151515"/>
                <w:sz w:val="18"/>
                <w:szCs w:val="18"/>
              </w:rPr>
            </w:pPr>
            <w:r>
              <w:rPr>
                <w:rFonts w:hint="eastAsia" w:hAnsi="Lucida Sans Unicode"/>
                <w:color w:val="151515"/>
                <w:sz w:val="18"/>
                <w:szCs w:val="18"/>
              </w:rPr>
              <w:t>2.80</w:t>
            </w:r>
          </w:p>
        </w:tc>
      </w:tr>
      <w:tr w14:paraId="293CF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70D4E5EF">
            <w:pPr>
              <w:snapToGrid w:val="0"/>
              <w:spacing w:line="240" w:lineRule="auto"/>
              <w:jc w:val="center"/>
              <w:rPr>
                <w:rFonts w:hAnsi="Lucida Sans Unicode"/>
                <w:color w:val="151515"/>
                <w:sz w:val="18"/>
                <w:szCs w:val="18"/>
              </w:rPr>
            </w:pPr>
            <w:r>
              <w:rPr>
                <w:rFonts w:hint="eastAsia" w:hAnsi="Lucida Sans Unicode"/>
                <w:color w:val="151515"/>
                <w:sz w:val="18"/>
                <w:szCs w:val="18"/>
              </w:rPr>
              <w:t>15</w:t>
            </w:r>
          </w:p>
        </w:tc>
        <w:tc>
          <w:tcPr>
            <w:tcW w:w="1285" w:type="dxa"/>
            <w:shd w:val="clear" w:color="auto" w:fill="FFFFFF"/>
          </w:tcPr>
          <w:p w14:paraId="3285EC39">
            <w:pPr>
              <w:snapToGrid w:val="0"/>
              <w:spacing w:line="240" w:lineRule="auto"/>
              <w:jc w:val="center"/>
              <w:rPr>
                <w:rFonts w:hAnsi="Lucida Sans Unicode"/>
                <w:color w:val="151515"/>
                <w:sz w:val="18"/>
                <w:szCs w:val="18"/>
              </w:rPr>
            </w:pPr>
            <w:r>
              <w:rPr>
                <w:rFonts w:hAnsi="Lucida Sans Unicode"/>
                <w:color w:val="151515"/>
                <w:sz w:val="18"/>
                <w:szCs w:val="18"/>
              </w:rPr>
              <w:t>乙酸乙酯</w:t>
            </w:r>
          </w:p>
        </w:tc>
        <w:tc>
          <w:tcPr>
            <w:tcW w:w="956" w:type="dxa"/>
            <w:shd w:val="clear" w:color="auto" w:fill="FFFFFF"/>
          </w:tcPr>
          <w:p w14:paraId="56C41DD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3CB9F130">
            <w:pPr>
              <w:snapToGrid w:val="0"/>
              <w:spacing w:line="240" w:lineRule="auto"/>
              <w:jc w:val="center"/>
              <w:rPr>
                <w:rFonts w:hAnsi="Lucida Sans Unicode"/>
                <w:color w:val="151515"/>
                <w:sz w:val="18"/>
                <w:szCs w:val="18"/>
              </w:rPr>
            </w:pPr>
            <w:r>
              <w:rPr>
                <w:rFonts w:hint="eastAsia" w:hAnsi="Lucida Sans Unicode"/>
                <w:color w:val="151515"/>
                <w:sz w:val="18"/>
                <w:szCs w:val="18"/>
              </w:rPr>
              <w:t>0.64</w:t>
            </w:r>
          </w:p>
        </w:tc>
        <w:tc>
          <w:tcPr>
            <w:tcW w:w="709" w:type="dxa"/>
            <w:shd w:val="clear" w:color="auto" w:fill="FFFFFF"/>
          </w:tcPr>
          <w:p w14:paraId="446692BB">
            <w:pPr>
              <w:snapToGrid w:val="0"/>
              <w:spacing w:line="240" w:lineRule="auto"/>
              <w:jc w:val="center"/>
              <w:rPr>
                <w:rFonts w:hAnsi="Lucida Sans Unicode"/>
                <w:color w:val="151515"/>
                <w:sz w:val="18"/>
                <w:szCs w:val="18"/>
              </w:rPr>
            </w:pPr>
            <w:r>
              <w:rPr>
                <w:rFonts w:hint="eastAsia" w:hAnsi="Lucida Sans Unicode"/>
                <w:color w:val="151515"/>
                <w:sz w:val="18"/>
                <w:szCs w:val="18"/>
              </w:rPr>
              <w:t>48</w:t>
            </w:r>
          </w:p>
        </w:tc>
        <w:tc>
          <w:tcPr>
            <w:tcW w:w="1415" w:type="dxa"/>
            <w:shd w:val="clear" w:color="auto" w:fill="FFFFFF"/>
          </w:tcPr>
          <w:p w14:paraId="2E17F709">
            <w:pPr>
              <w:snapToGrid w:val="0"/>
              <w:spacing w:line="240" w:lineRule="auto"/>
              <w:jc w:val="center"/>
              <w:rPr>
                <w:rFonts w:hAnsi="Lucida Sans Unicode"/>
                <w:color w:val="151515"/>
                <w:sz w:val="18"/>
                <w:szCs w:val="18"/>
              </w:rPr>
            </w:pPr>
            <w:r>
              <w:rPr>
                <w:rFonts w:hAnsi="Lucida Sans Unicode"/>
                <w:color w:val="151515"/>
                <w:sz w:val="18"/>
                <w:szCs w:val="18"/>
              </w:rPr>
              <w:t>二异丁基酮</w:t>
            </w:r>
          </w:p>
        </w:tc>
        <w:tc>
          <w:tcPr>
            <w:tcW w:w="1135" w:type="dxa"/>
            <w:shd w:val="clear" w:color="auto" w:fill="FFFFFF"/>
          </w:tcPr>
          <w:p w14:paraId="686CEBB5">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359B7DFC">
            <w:pPr>
              <w:snapToGrid w:val="0"/>
              <w:spacing w:line="240" w:lineRule="auto"/>
              <w:jc w:val="center"/>
              <w:rPr>
                <w:rFonts w:hAnsi="Lucida Sans Unicode"/>
                <w:color w:val="151515"/>
                <w:sz w:val="18"/>
                <w:szCs w:val="18"/>
              </w:rPr>
            </w:pPr>
            <w:r>
              <w:rPr>
                <w:rFonts w:hint="eastAsia" w:hAnsi="Lucida Sans Unicode"/>
                <w:color w:val="151515"/>
                <w:sz w:val="18"/>
                <w:szCs w:val="18"/>
              </w:rPr>
              <w:t>2.94</w:t>
            </w:r>
          </w:p>
        </w:tc>
      </w:tr>
      <w:tr w14:paraId="3EDB3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21DDBBA9">
            <w:pPr>
              <w:snapToGrid w:val="0"/>
              <w:spacing w:line="240" w:lineRule="auto"/>
              <w:jc w:val="center"/>
              <w:rPr>
                <w:rFonts w:hAnsi="Lucida Sans Unicode"/>
                <w:color w:val="151515"/>
                <w:sz w:val="18"/>
                <w:szCs w:val="18"/>
              </w:rPr>
            </w:pPr>
            <w:r>
              <w:rPr>
                <w:rFonts w:hint="eastAsia" w:hAnsi="Lucida Sans Unicode"/>
                <w:color w:val="151515"/>
                <w:sz w:val="18"/>
                <w:szCs w:val="18"/>
              </w:rPr>
              <w:t>16</w:t>
            </w:r>
          </w:p>
        </w:tc>
        <w:tc>
          <w:tcPr>
            <w:tcW w:w="1285" w:type="dxa"/>
            <w:shd w:val="clear" w:color="auto" w:fill="FFFFFF"/>
          </w:tcPr>
          <w:p w14:paraId="52750BC0">
            <w:pPr>
              <w:snapToGrid w:val="0"/>
              <w:spacing w:line="240" w:lineRule="auto"/>
              <w:jc w:val="center"/>
              <w:rPr>
                <w:rFonts w:hAnsi="Lucida Sans Unicode"/>
                <w:color w:val="151515"/>
                <w:sz w:val="18"/>
                <w:szCs w:val="18"/>
              </w:rPr>
            </w:pPr>
            <w:r>
              <w:rPr>
                <w:rFonts w:hAnsi="Lucida Sans Unicode"/>
                <w:color w:val="151515"/>
                <w:sz w:val="18"/>
                <w:szCs w:val="18"/>
              </w:rPr>
              <w:t>乙酸正丁酯</w:t>
            </w:r>
          </w:p>
        </w:tc>
        <w:tc>
          <w:tcPr>
            <w:tcW w:w="956" w:type="dxa"/>
            <w:shd w:val="clear" w:color="auto" w:fill="FFFFFF"/>
          </w:tcPr>
          <w:p w14:paraId="6F5097EB">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01E1040B">
            <w:pPr>
              <w:snapToGrid w:val="0"/>
              <w:spacing w:line="240" w:lineRule="auto"/>
              <w:jc w:val="center"/>
              <w:rPr>
                <w:rFonts w:hAnsi="Lucida Sans Unicode"/>
                <w:color w:val="151515"/>
                <w:sz w:val="18"/>
                <w:szCs w:val="18"/>
              </w:rPr>
            </w:pPr>
            <w:r>
              <w:rPr>
                <w:rFonts w:hint="eastAsia" w:hAnsi="Lucida Sans Unicode"/>
                <w:color w:val="151515"/>
                <w:sz w:val="18"/>
                <w:szCs w:val="18"/>
              </w:rPr>
              <w:t>0.89</w:t>
            </w:r>
          </w:p>
        </w:tc>
        <w:tc>
          <w:tcPr>
            <w:tcW w:w="709" w:type="dxa"/>
            <w:shd w:val="clear" w:color="auto" w:fill="FFFFFF"/>
          </w:tcPr>
          <w:p w14:paraId="3064BC3D">
            <w:pPr>
              <w:snapToGrid w:val="0"/>
              <w:spacing w:line="240" w:lineRule="auto"/>
              <w:jc w:val="center"/>
              <w:rPr>
                <w:rFonts w:hAnsi="Lucida Sans Unicode"/>
                <w:color w:val="151515"/>
                <w:sz w:val="18"/>
                <w:szCs w:val="18"/>
              </w:rPr>
            </w:pPr>
            <w:r>
              <w:rPr>
                <w:rFonts w:hint="eastAsia" w:hAnsi="Lucida Sans Unicode"/>
                <w:color w:val="151515"/>
                <w:sz w:val="18"/>
                <w:szCs w:val="18"/>
              </w:rPr>
              <w:t>49</w:t>
            </w:r>
          </w:p>
        </w:tc>
        <w:tc>
          <w:tcPr>
            <w:tcW w:w="1415" w:type="dxa"/>
            <w:shd w:val="clear" w:color="auto" w:fill="FFFFFF"/>
          </w:tcPr>
          <w:p w14:paraId="23964A61">
            <w:pPr>
              <w:snapToGrid w:val="0"/>
              <w:spacing w:line="240" w:lineRule="auto"/>
              <w:jc w:val="center"/>
              <w:rPr>
                <w:rFonts w:hAnsi="Lucida Sans Unicode"/>
                <w:color w:val="151515"/>
                <w:sz w:val="18"/>
                <w:szCs w:val="18"/>
              </w:rPr>
            </w:pPr>
            <w:r>
              <w:rPr>
                <w:rFonts w:hAnsi="Lucida Sans Unicode"/>
                <w:color w:val="151515"/>
                <w:sz w:val="18"/>
                <w:szCs w:val="18"/>
              </w:rPr>
              <w:t>乙酸甲酯</w:t>
            </w:r>
          </w:p>
        </w:tc>
        <w:tc>
          <w:tcPr>
            <w:tcW w:w="1135" w:type="dxa"/>
            <w:shd w:val="clear" w:color="auto" w:fill="FFFFFF"/>
          </w:tcPr>
          <w:p w14:paraId="57B02A07">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1C4930A0">
            <w:pPr>
              <w:snapToGrid w:val="0"/>
              <w:spacing w:line="240" w:lineRule="auto"/>
              <w:jc w:val="center"/>
              <w:rPr>
                <w:rFonts w:hAnsi="Lucida Sans Unicode"/>
                <w:color w:val="151515"/>
                <w:sz w:val="18"/>
                <w:szCs w:val="18"/>
              </w:rPr>
            </w:pPr>
            <w:r>
              <w:rPr>
                <w:rFonts w:hint="eastAsia" w:hAnsi="Lucida Sans Unicode"/>
                <w:color w:val="151515"/>
                <w:sz w:val="18"/>
                <w:szCs w:val="18"/>
              </w:rPr>
              <w:t>0.07</w:t>
            </w:r>
          </w:p>
        </w:tc>
      </w:tr>
      <w:tr w14:paraId="4BA54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7B751BCA">
            <w:pPr>
              <w:snapToGrid w:val="0"/>
              <w:spacing w:line="240" w:lineRule="auto"/>
              <w:jc w:val="center"/>
              <w:rPr>
                <w:rFonts w:hAnsi="Lucida Sans Unicode"/>
                <w:color w:val="151515"/>
                <w:sz w:val="18"/>
                <w:szCs w:val="18"/>
              </w:rPr>
            </w:pPr>
            <w:r>
              <w:rPr>
                <w:rFonts w:hint="eastAsia" w:hAnsi="Lucida Sans Unicode"/>
                <w:color w:val="151515"/>
                <w:sz w:val="18"/>
                <w:szCs w:val="18"/>
              </w:rPr>
              <w:t>17</w:t>
            </w:r>
          </w:p>
        </w:tc>
        <w:tc>
          <w:tcPr>
            <w:tcW w:w="1285" w:type="dxa"/>
            <w:shd w:val="clear" w:color="auto" w:fill="FFFFFF"/>
          </w:tcPr>
          <w:p w14:paraId="56B80BD1">
            <w:pPr>
              <w:snapToGrid w:val="0"/>
              <w:spacing w:line="240" w:lineRule="auto"/>
              <w:jc w:val="center"/>
              <w:rPr>
                <w:rFonts w:hAnsi="Lucida Sans Unicode"/>
                <w:color w:val="151515"/>
                <w:sz w:val="18"/>
                <w:szCs w:val="18"/>
              </w:rPr>
            </w:pPr>
            <w:r>
              <w:rPr>
                <w:rFonts w:hAnsi="Lucida Sans Unicode"/>
                <w:color w:val="151515"/>
                <w:sz w:val="18"/>
                <w:szCs w:val="18"/>
              </w:rPr>
              <w:t>二氯甲烷</w:t>
            </w:r>
          </w:p>
        </w:tc>
        <w:tc>
          <w:tcPr>
            <w:tcW w:w="956" w:type="dxa"/>
            <w:shd w:val="clear" w:color="auto" w:fill="FFFFFF"/>
          </w:tcPr>
          <w:p w14:paraId="6DAA3F71">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3750CF2F">
            <w:pPr>
              <w:snapToGrid w:val="0"/>
              <w:spacing w:line="240" w:lineRule="auto"/>
              <w:jc w:val="center"/>
              <w:rPr>
                <w:rFonts w:hAnsi="Lucida Sans Unicode"/>
                <w:color w:val="151515"/>
                <w:sz w:val="18"/>
                <w:szCs w:val="18"/>
              </w:rPr>
            </w:pPr>
            <w:r>
              <w:rPr>
                <w:rFonts w:hint="eastAsia" w:hAnsi="Lucida Sans Unicode"/>
                <w:color w:val="151515"/>
                <w:sz w:val="18"/>
                <w:szCs w:val="18"/>
              </w:rPr>
              <w:t>0.07</w:t>
            </w:r>
          </w:p>
        </w:tc>
        <w:tc>
          <w:tcPr>
            <w:tcW w:w="709" w:type="dxa"/>
            <w:shd w:val="clear" w:color="auto" w:fill="FFFFFF"/>
          </w:tcPr>
          <w:p w14:paraId="3228FEBD">
            <w:pPr>
              <w:snapToGrid w:val="0"/>
              <w:spacing w:line="240" w:lineRule="auto"/>
              <w:jc w:val="center"/>
              <w:rPr>
                <w:rFonts w:hAnsi="Lucida Sans Unicode"/>
                <w:color w:val="151515"/>
                <w:sz w:val="18"/>
                <w:szCs w:val="18"/>
              </w:rPr>
            </w:pPr>
            <w:r>
              <w:rPr>
                <w:rFonts w:hint="eastAsia" w:hAnsi="Lucida Sans Unicode"/>
                <w:color w:val="151515"/>
                <w:sz w:val="18"/>
                <w:szCs w:val="18"/>
              </w:rPr>
              <w:t>50</w:t>
            </w:r>
          </w:p>
        </w:tc>
        <w:tc>
          <w:tcPr>
            <w:tcW w:w="1415" w:type="dxa"/>
            <w:shd w:val="clear" w:color="auto" w:fill="FFFFFF"/>
          </w:tcPr>
          <w:p w14:paraId="69C16922">
            <w:pPr>
              <w:snapToGrid w:val="0"/>
              <w:spacing w:line="240" w:lineRule="auto"/>
              <w:jc w:val="center"/>
              <w:rPr>
                <w:rFonts w:hAnsi="Lucida Sans Unicode"/>
                <w:color w:val="151515"/>
                <w:sz w:val="18"/>
                <w:szCs w:val="18"/>
              </w:rPr>
            </w:pPr>
            <w:r>
              <w:rPr>
                <w:rFonts w:hAnsi="Lucida Sans Unicode"/>
                <w:color w:val="151515"/>
                <w:sz w:val="18"/>
                <w:szCs w:val="18"/>
              </w:rPr>
              <w:t>乙酸正丙酯</w:t>
            </w:r>
          </w:p>
        </w:tc>
        <w:tc>
          <w:tcPr>
            <w:tcW w:w="1135" w:type="dxa"/>
            <w:shd w:val="clear" w:color="auto" w:fill="FFFFFF"/>
          </w:tcPr>
          <w:p w14:paraId="3BEB1A57">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455E3F0A">
            <w:pPr>
              <w:snapToGrid w:val="0"/>
              <w:spacing w:line="240" w:lineRule="auto"/>
              <w:jc w:val="center"/>
              <w:rPr>
                <w:rFonts w:hAnsi="Lucida Sans Unicode"/>
                <w:color w:val="151515"/>
                <w:sz w:val="18"/>
                <w:szCs w:val="18"/>
              </w:rPr>
            </w:pPr>
            <w:r>
              <w:rPr>
                <w:rFonts w:hint="eastAsia" w:hAnsi="Lucida Sans Unicode"/>
                <w:color w:val="151515"/>
                <w:sz w:val="18"/>
                <w:szCs w:val="18"/>
              </w:rPr>
              <w:t>0.87</w:t>
            </w:r>
          </w:p>
        </w:tc>
      </w:tr>
      <w:tr w14:paraId="4C269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1FCB2013">
            <w:pPr>
              <w:snapToGrid w:val="0"/>
              <w:spacing w:line="240" w:lineRule="auto"/>
              <w:jc w:val="center"/>
              <w:rPr>
                <w:rFonts w:hAnsi="Lucida Sans Unicode"/>
                <w:color w:val="151515"/>
                <w:sz w:val="18"/>
                <w:szCs w:val="18"/>
              </w:rPr>
            </w:pPr>
            <w:r>
              <w:rPr>
                <w:rFonts w:hint="eastAsia" w:hAnsi="Lucida Sans Unicode"/>
                <w:color w:val="151515"/>
                <w:sz w:val="18"/>
                <w:szCs w:val="18"/>
              </w:rPr>
              <w:t>18</w:t>
            </w:r>
          </w:p>
        </w:tc>
        <w:tc>
          <w:tcPr>
            <w:tcW w:w="1285" w:type="dxa"/>
            <w:shd w:val="clear" w:color="auto" w:fill="FFFFFF"/>
          </w:tcPr>
          <w:p w14:paraId="4E9A4A33">
            <w:pPr>
              <w:snapToGrid w:val="0"/>
              <w:spacing w:line="240" w:lineRule="auto"/>
              <w:jc w:val="center"/>
              <w:rPr>
                <w:rFonts w:hAnsi="Lucida Sans Unicode"/>
                <w:color w:val="151515"/>
                <w:sz w:val="18"/>
                <w:szCs w:val="18"/>
              </w:rPr>
            </w:pPr>
            <w:r>
              <w:rPr>
                <w:rFonts w:hAnsi="Lucida Sans Unicode"/>
                <w:color w:val="151515"/>
                <w:sz w:val="18"/>
                <w:szCs w:val="18"/>
              </w:rPr>
              <w:t>1,1,1-三氯乙烷</w:t>
            </w:r>
          </w:p>
        </w:tc>
        <w:tc>
          <w:tcPr>
            <w:tcW w:w="956" w:type="dxa"/>
            <w:shd w:val="clear" w:color="auto" w:fill="FFFFFF"/>
          </w:tcPr>
          <w:p w14:paraId="101D6371">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527CA284">
            <w:pPr>
              <w:snapToGrid w:val="0"/>
              <w:spacing w:line="240" w:lineRule="auto"/>
              <w:jc w:val="center"/>
              <w:rPr>
                <w:rFonts w:hAnsi="Lucida Sans Unicode"/>
                <w:color w:val="151515"/>
                <w:sz w:val="18"/>
                <w:szCs w:val="18"/>
              </w:rPr>
            </w:pPr>
            <w:r>
              <w:rPr>
                <w:rFonts w:hint="eastAsia" w:hAnsi="Lucida Sans Unicode"/>
                <w:color w:val="151515"/>
                <w:sz w:val="18"/>
                <w:szCs w:val="18"/>
              </w:rPr>
              <w:t>0.00</w:t>
            </w:r>
          </w:p>
        </w:tc>
        <w:tc>
          <w:tcPr>
            <w:tcW w:w="709" w:type="dxa"/>
            <w:shd w:val="clear" w:color="auto" w:fill="FFFFFF"/>
          </w:tcPr>
          <w:p w14:paraId="12739233">
            <w:pPr>
              <w:snapToGrid w:val="0"/>
              <w:spacing w:line="240" w:lineRule="auto"/>
              <w:jc w:val="center"/>
              <w:rPr>
                <w:rFonts w:hAnsi="Lucida Sans Unicode"/>
                <w:color w:val="151515"/>
                <w:sz w:val="18"/>
                <w:szCs w:val="18"/>
              </w:rPr>
            </w:pPr>
            <w:r>
              <w:rPr>
                <w:rFonts w:hint="eastAsia" w:hAnsi="Lucida Sans Unicode"/>
                <w:color w:val="151515"/>
                <w:sz w:val="18"/>
                <w:szCs w:val="18"/>
              </w:rPr>
              <w:t>51</w:t>
            </w:r>
          </w:p>
        </w:tc>
        <w:tc>
          <w:tcPr>
            <w:tcW w:w="1415" w:type="dxa"/>
            <w:shd w:val="clear" w:color="auto" w:fill="FFFFFF"/>
          </w:tcPr>
          <w:p w14:paraId="76BC65BF">
            <w:pPr>
              <w:snapToGrid w:val="0"/>
              <w:spacing w:line="240" w:lineRule="auto"/>
              <w:jc w:val="center"/>
              <w:rPr>
                <w:rFonts w:hAnsi="Lucida Sans Unicode"/>
                <w:color w:val="151515"/>
                <w:sz w:val="18"/>
                <w:szCs w:val="18"/>
              </w:rPr>
            </w:pPr>
            <w:r>
              <w:rPr>
                <w:rFonts w:hAnsi="Lucida Sans Unicode"/>
                <w:color w:val="151515"/>
                <w:sz w:val="18"/>
                <w:szCs w:val="18"/>
              </w:rPr>
              <w:t>乙酸异丙酯</w:t>
            </w:r>
          </w:p>
        </w:tc>
        <w:tc>
          <w:tcPr>
            <w:tcW w:w="1135" w:type="dxa"/>
            <w:shd w:val="clear" w:color="auto" w:fill="FFFFFF"/>
          </w:tcPr>
          <w:p w14:paraId="34984B9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197EB31">
            <w:pPr>
              <w:snapToGrid w:val="0"/>
              <w:spacing w:line="240" w:lineRule="auto"/>
              <w:jc w:val="center"/>
              <w:rPr>
                <w:rFonts w:hAnsi="Lucida Sans Unicode"/>
                <w:color w:val="151515"/>
                <w:sz w:val="18"/>
                <w:szCs w:val="18"/>
              </w:rPr>
            </w:pPr>
            <w:r>
              <w:rPr>
                <w:rFonts w:hint="eastAsia" w:hAnsi="Lucida Sans Unicode"/>
                <w:color w:val="151515"/>
                <w:sz w:val="18"/>
                <w:szCs w:val="18"/>
              </w:rPr>
              <w:t>1.12</w:t>
            </w:r>
          </w:p>
        </w:tc>
      </w:tr>
      <w:tr w14:paraId="492EC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F98C8F6">
            <w:pPr>
              <w:snapToGrid w:val="0"/>
              <w:spacing w:line="240" w:lineRule="auto"/>
              <w:jc w:val="center"/>
              <w:rPr>
                <w:rFonts w:hAnsi="Lucida Sans Unicode"/>
                <w:color w:val="151515"/>
                <w:sz w:val="18"/>
                <w:szCs w:val="18"/>
              </w:rPr>
            </w:pPr>
            <w:r>
              <w:rPr>
                <w:rFonts w:hint="eastAsia" w:hAnsi="Lucida Sans Unicode"/>
                <w:color w:val="151515"/>
                <w:sz w:val="18"/>
                <w:szCs w:val="18"/>
              </w:rPr>
              <w:t>19</w:t>
            </w:r>
          </w:p>
        </w:tc>
        <w:tc>
          <w:tcPr>
            <w:tcW w:w="1285" w:type="dxa"/>
            <w:shd w:val="clear" w:color="auto" w:fill="FFFFFF"/>
          </w:tcPr>
          <w:p w14:paraId="23627D41">
            <w:pPr>
              <w:snapToGrid w:val="0"/>
              <w:spacing w:line="240" w:lineRule="auto"/>
              <w:jc w:val="center"/>
              <w:rPr>
                <w:rFonts w:hAnsi="Lucida Sans Unicode"/>
                <w:color w:val="151515"/>
                <w:sz w:val="18"/>
                <w:szCs w:val="18"/>
              </w:rPr>
            </w:pPr>
            <w:r>
              <w:rPr>
                <w:rFonts w:hAnsi="Lucida Sans Unicode"/>
                <w:color w:val="151515"/>
                <w:sz w:val="18"/>
                <w:szCs w:val="18"/>
              </w:rPr>
              <w:t>2-硝基丙烷</w:t>
            </w:r>
          </w:p>
        </w:tc>
        <w:tc>
          <w:tcPr>
            <w:tcW w:w="956" w:type="dxa"/>
            <w:shd w:val="clear" w:color="auto" w:fill="FFFFFF"/>
          </w:tcPr>
          <w:p w14:paraId="146BF21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0C324CA6">
            <w:pPr>
              <w:snapToGrid w:val="0"/>
              <w:spacing w:line="240" w:lineRule="auto"/>
              <w:jc w:val="center"/>
              <w:rPr>
                <w:rFonts w:hAnsi="Lucida Sans Unicode"/>
                <w:color w:val="151515"/>
                <w:sz w:val="18"/>
                <w:szCs w:val="18"/>
              </w:rPr>
            </w:pPr>
            <w:r>
              <w:rPr>
                <w:rFonts w:hint="eastAsia" w:hAnsi="Lucida Sans Unicode"/>
                <w:color w:val="151515"/>
                <w:sz w:val="18"/>
                <w:szCs w:val="18"/>
              </w:rPr>
              <w:t>16.16</w:t>
            </w:r>
          </w:p>
        </w:tc>
        <w:tc>
          <w:tcPr>
            <w:tcW w:w="709" w:type="dxa"/>
            <w:shd w:val="clear" w:color="auto" w:fill="FFFFFF"/>
          </w:tcPr>
          <w:p w14:paraId="00B320F3">
            <w:pPr>
              <w:snapToGrid w:val="0"/>
              <w:spacing w:line="240" w:lineRule="auto"/>
              <w:jc w:val="center"/>
              <w:rPr>
                <w:rFonts w:hAnsi="Lucida Sans Unicode"/>
                <w:color w:val="151515"/>
                <w:sz w:val="18"/>
                <w:szCs w:val="18"/>
              </w:rPr>
            </w:pPr>
            <w:r>
              <w:rPr>
                <w:rFonts w:hint="eastAsia" w:hAnsi="Lucida Sans Unicode"/>
                <w:color w:val="151515"/>
                <w:sz w:val="18"/>
                <w:szCs w:val="18"/>
              </w:rPr>
              <w:t>52</w:t>
            </w:r>
          </w:p>
        </w:tc>
        <w:tc>
          <w:tcPr>
            <w:tcW w:w="1415" w:type="dxa"/>
            <w:shd w:val="clear" w:color="auto" w:fill="FFFFFF"/>
          </w:tcPr>
          <w:p w14:paraId="7303B6EF">
            <w:pPr>
              <w:snapToGrid w:val="0"/>
              <w:spacing w:line="240" w:lineRule="auto"/>
              <w:jc w:val="center"/>
              <w:rPr>
                <w:rFonts w:hAnsi="Lucida Sans Unicode"/>
                <w:color w:val="151515"/>
                <w:sz w:val="18"/>
                <w:szCs w:val="18"/>
              </w:rPr>
            </w:pPr>
            <w:r>
              <w:rPr>
                <w:rFonts w:hAnsi="Lucida Sans Unicode"/>
                <w:color w:val="151515"/>
                <w:sz w:val="18"/>
                <w:szCs w:val="18"/>
              </w:rPr>
              <w:t>乙酸异丁酯</w:t>
            </w:r>
          </w:p>
        </w:tc>
        <w:tc>
          <w:tcPr>
            <w:tcW w:w="1135" w:type="dxa"/>
            <w:shd w:val="clear" w:color="auto" w:fill="FFFFFF"/>
          </w:tcPr>
          <w:p w14:paraId="708DD28D">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0BD36DFA">
            <w:pPr>
              <w:snapToGrid w:val="0"/>
              <w:spacing w:line="240" w:lineRule="auto"/>
              <w:jc w:val="center"/>
              <w:rPr>
                <w:rFonts w:hAnsi="Lucida Sans Unicode"/>
                <w:color w:val="151515"/>
                <w:sz w:val="18"/>
                <w:szCs w:val="18"/>
              </w:rPr>
            </w:pPr>
            <w:r>
              <w:rPr>
                <w:rFonts w:hint="eastAsia" w:hAnsi="Lucida Sans Unicode"/>
                <w:color w:val="151515"/>
                <w:sz w:val="18"/>
                <w:szCs w:val="18"/>
              </w:rPr>
              <w:t>0.67</w:t>
            </w:r>
          </w:p>
        </w:tc>
      </w:tr>
      <w:tr w14:paraId="71B87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21D34E9C">
            <w:pPr>
              <w:snapToGrid w:val="0"/>
              <w:spacing w:line="240" w:lineRule="auto"/>
              <w:jc w:val="center"/>
              <w:rPr>
                <w:rFonts w:hAnsi="Lucida Sans Unicode"/>
                <w:color w:val="151515"/>
                <w:sz w:val="18"/>
                <w:szCs w:val="18"/>
              </w:rPr>
            </w:pPr>
            <w:r>
              <w:rPr>
                <w:rFonts w:hint="eastAsia" w:hAnsi="Lucida Sans Unicode"/>
                <w:color w:val="151515"/>
                <w:sz w:val="18"/>
                <w:szCs w:val="18"/>
              </w:rPr>
              <w:t>20</w:t>
            </w:r>
          </w:p>
        </w:tc>
        <w:tc>
          <w:tcPr>
            <w:tcW w:w="1285" w:type="dxa"/>
            <w:shd w:val="clear" w:color="auto" w:fill="FFFFFF"/>
          </w:tcPr>
          <w:p w14:paraId="427B8D84">
            <w:pPr>
              <w:snapToGrid w:val="0"/>
              <w:spacing w:line="240" w:lineRule="auto"/>
              <w:jc w:val="center"/>
              <w:rPr>
                <w:rFonts w:hAnsi="Lucida Sans Unicode"/>
                <w:color w:val="151515"/>
                <w:sz w:val="18"/>
                <w:szCs w:val="18"/>
              </w:rPr>
            </w:pPr>
            <w:r>
              <w:rPr>
                <w:rFonts w:hAnsi="Lucida Sans Unicode"/>
                <w:color w:val="151515"/>
                <w:sz w:val="18"/>
                <w:szCs w:val="18"/>
              </w:rPr>
              <w:t>乙二胺</w:t>
            </w:r>
          </w:p>
        </w:tc>
        <w:tc>
          <w:tcPr>
            <w:tcW w:w="956" w:type="dxa"/>
            <w:shd w:val="clear" w:color="auto" w:fill="FFFFFF"/>
          </w:tcPr>
          <w:p w14:paraId="18F0C870">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68462F1A">
            <w:pPr>
              <w:snapToGrid w:val="0"/>
              <w:spacing w:line="240" w:lineRule="auto"/>
              <w:jc w:val="center"/>
              <w:rPr>
                <w:rFonts w:hAnsi="Lucida Sans Unicode"/>
                <w:color w:val="151515"/>
                <w:sz w:val="18"/>
                <w:szCs w:val="18"/>
              </w:rPr>
            </w:pPr>
            <w:r>
              <w:rPr>
                <w:rFonts w:hint="eastAsia" w:hAnsi="Lucida Sans Unicode"/>
                <w:color w:val="151515"/>
                <w:sz w:val="18"/>
                <w:szCs w:val="18"/>
              </w:rPr>
              <w:t>--</w:t>
            </w:r>
          </w:p>
        </w:tc>
        <w:tc>
          <w:tcPr>
            <w:tcW w:w="709" w:type="dxa"/>
            <w:shd w:val="clear" w:color="auto" w:fill="FFFFFF"/>
          </w:tcPr>
          <w:p w14:paraId="6789DE0C">
            <w:pPr>
              <w:snapToGrid w:val="0"/>
              <w:spacing w:line="240" w:lineRule="auto"/>
              <w:jc w:val="center"/>
              <w:rPr>
                <w:rFonts w:hAnsi="Lucida Sans Unicode"/>
                <w:color w:val="151515"/>
                <w:sz w:val="18"/>
                <w:szCs w:val="18"/>
              </w:rPr>
            </w:pPr>
            <w:r>
              <w:rPr>
                <w:rFonts w:hint="eastAsia" w:hAnsi="Lucida Sans Unicode"/>
                <w:color w:val="151515"/>
                <w:sz w:val="18"/>
                <w:szCs w:val="18"/>
              </w:rPr>
              <w:t>53</w:t>
            </w:r>
          </w:p>
        </w:tc>
        <w:tc>
          <w:tcPr>
            <w:tcW w:w="1415" w:type="dxa"/>
            <w:shd w:val="clear" w:color="auto" w:fill="FFFFFF"/>
          </w:tcPr>
          <w:p w14:paraId="2F1857E3">
            <w:pPr>
              <w:snapToGrid w:val="0"/>
              <w:spacing w:line="240" w:lineRule="auto"/>
              <w:jc w:val="center"/>
              <w:rPr>
                <w:rFonts w:hAnsi="Lucida Sans Unicode"/>
                <w:color w:val="151515"/>
                <w:sz w:val="18"/>
                <w:szCs w:val="18"/>
              </w:rPr>
            </w:pPr>
            <w:r>
              <w:rPr>
                <w:rFonts w:hAnsi="Lucida Sans Unicode"/>
                <w:color w:val="151515"/>
                <w:sz w:val="18"/>
                <w:szCs w:val="18"/>
              </w:rPr>
              <w:t>乙酸戊酯</w:t>
            </w:r>
          </w:p>
        </w:tc>
        <w:tc>
          <w:tcPr>
            <w:tcW w:w="1135" w:type="dxa"/>
            <w:shd w:val="clear" w:color="auto" w:fill="FFFFFF"/>
          </w:tcPr>
          <w:p w14:paraId="53F07E06">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4C1F8EDC">
            <w:pPr>
              <w:snapToGrid w:val="0"/>
              <w:spacing w:line="240" w:lineRule="auto"/>
              <w:jc w:val="center"/>
              <w:rPr>
                <w:rFonts w:hAnsi="Lucida Sans Unicode"/>
                <w:color w:val="151515"/>
                <w:sz w:val="18"/>
                <w:szCs w:val="18"/>
              </w:rPr>
            </w:pPr>
            <w:r>
              <w:rPr>
                <w:rFonts w:hint="eastAsia" w:hAnsi="Lucida Sans Unicode"/>
                <w:color w:val="151515"/>
                <w:sz w:val="18"/>
                <w:szCs w:val="18"/>
              </w:rPr>
              <w:t>0.96</w:t>
            </w:r>
          </w:p>
        </w:tc>
      </w:tr>
      <w:tr w14:paraId="047AB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BB646E6">
            <w:pPr>
              <w:snapToGrid w:val="0"/>
              <w:spacing w:line="240" w:lineRule="auto"/>
              <w:jc w:val="center"/>
              <w:rPr>
                <w:rFonts w:hAnsi="Lucida Sans Unicode"/>
                <w:color w:val="151515"/>
                <w:sz w:val="18"/>
                <w:szCs w:val="18"/>
              </w:rPr>
            </w:pPr>
            <w:r>
              <w:rPr>
                <w:rFonts w:hint="eastAsia" w:hAnsi="Lucida Sans Unicode"/>
                <w:color w:val="151515"/>
                <w:sz w:val="18"/>
                <w:szCs w:val="18"/>
              </w:rPr>
              <w:t>21</w:t>
            </w:r>
          </w:p>
        </w:tc>
        <w:tc>
          <w:tcPr>
            <w:tcW w:w="1285" w:type="dxa"/>
            <w:shd w:val="clear" w:color="auto" w:fill="FFFFFF"/>
          </w:tcPr>
          <w:p w14:paraId="2ACAB9B3">
            <w:pPr>
              <w:snapToGrid w:val="0"/>
              <w:spacing w:line="240" w:lineRule="auto"/>
              <w:jc w:val="center"/>
              <w:rPr>
                <w:rFonts w:hAnsi="Lucida Sans Unicode"/>
                <w:color w:val="151515"/>
                <w:sz w:val="18"/>
                <w:szCs w:val="18"/>
              </w:rPr>
            </w:pPr>
            <w:r>
              <w:rPr>
                <w:rFonts w:hAnsi="Lucida Sans Unicode"/>
                <w:color w:val="151515"/>
                <w:sz w:val="18"/>
                <w:szCs w:val="18"/>
              </w:rPr>
              <w:t>苯乙烯</w:t>
            </w:r>
          </w:p>
        </w:tc>
        <w:tc>
          <w:tcPr>
            <w:tcW w:w="956" w:type="dxa"/>
            <w:shd w:val="clear" w:color="auto" w:fill="FFFFFF"/>
          </w:tcPr>
          <w:p w14:paraId="3E42E131">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26C5F47C">
            <w:pPr>
              <w:snapToGrid w:val="0"/>
              <w:spacing w:line="240" w:lineRule="auto"/>
              <w:jc w:val="center"/>
              <w:rPr>
                <w:rFonts w:hAnsi="Lucida Sans Unicode"/>
                <w:color w:val="151515"/>
                <w:sz w:val="18"/>
                <w:szCs w:val="18"/>
              </w:rPr>
            </w:pPr>
            <w:r>
              <w:rPr>
                <w:rFonts w:hint="eastAsia" w:hAnsi="Lucida Sans Unicode"/>
                <w:color w:val="151515"/>
                <w:sz w:val="18"/>
                <w:szCs w:val="18"/>
              </w:rPr>
              <w:t>1.95</w:t>
            </w:r>
          </w:p>
        </w:tc>
        <w:tc>
          <w:tcPr>
            <w:tcW w:w="709" w:type="dxa"/>
            <w:shd w:val="clear" w:color="auto" w:fill="FFFFFF"/>
          </w:tcPr>
          <w:p w14:paraId="1341112A">
            <w:pPr>
              <w:snapToGrid w:val="0"/>
              <w:spacing w:line="240" w:lineRule="auto"/>
              <w:jc w:val="center"/>
              <w:rPr>
                <w:rFonts w:hAnsi="Lucida Sans Unicode"/>
                <w:color w:val="151515"/>
                <w:sz w:val="18"/>
                <w:szCs w:val="18"/>
              </w:rPr>
            </w:pPr>
            <w:r>
              <w:rPr>
                <w:rFonts w:hint="eastAsia" w:hAnsi="Lucida Sans Unicode"/>
                <w:color w:val="151515"/>
                <w:sz w:val="18"/>
                <w:szCs w:val="18"/>
              </w:rPr>
              <w:t>54</w:t>
            </w:r>
          </w:p>
        </w:tc>
        <w:tc>
          <w:tcPr>
            <w:tcW w:w="1415" w:type="dxa"/>
            <w:shd w:val="clear" w:color="auto" w:fill="FFFFFF"/>
          </w:tcPr>
          <w:p w14:paraId="423C431D">
            <w:pPr>
              <w:snapToGrid w:val="0"/>
              <w:spacing w:line="240" w:lineRule="auto"/>
              <w:jc w:val="center"/>
              <w:rPr>
                <w:rFonts w:hAnsi="Lucida Sans Unicode"/>
                <w:color w:val="151515"/>
                <w:sz w:val="18"/>
                <w:szCs w:val="18"/>
              </w:rPr>
            </w:pPr>
            <w:r>
              <w:rPr>
                <w:rFonts w:hAnsi="Lucida Sans Unicode"/>
                <w:color w:val="151515"/>
                <w:sz w:val="18"/>
                <w:szCs w:val="18"/>
              </w:rPr>
              <w:t>乙酸己酯</w:t>
            </w:r>
          </w:p>
        </w:tc>
        <w:tc>
          <w:tcPr>
            <w:tcW w:w="1135" w:type="dxa"/>
            <w:shd w:val="clear" w:color="auto" w:fill="FFFFFF"/>
          </w:tcPr>
          <w:p w14:paraId="1CE7749F">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7671BD5E">
            <w:pPr>
              <w:snapToGrid w:val="0"/>
              <w:spacing w:line="240" w:lineRule="auto"/>
              <w:jc w:val="center"/>
              <w:rPr>
                <w:rFonts w:hAnsi="Lucida Sans Unicode"/>
                <w:color w:val="151515"/>
                <w:sz w:val="18"/>
                <w:szCs w:val="18"/>
              </w:rPr>
            </w:pPr>
            <w:r>
              <w:rPr>
                <w:rFonts w:hint="eastAsia" w:hAnsi="Lucida Sans Unicode"/>
                <w:color w:val="151515"/>
                <w:sz w:val="18"/>
                <w:szCs w:val="18"/>
              </w:rPr>
              <w:t>0.87</w:t>
            </w:r>
          </w:p>
        </w:tc>
      </w:tr>
      <w:tr w14:paraId="22B91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7293224E">
            <w:pPr>
              <w:snapToGrid w:val="0"/>
              <w:spacing w:line="240" w:lineRule="auto"/>
              <w:jc w:val="center"/>
              <w:rPr>
                <w:rFonts w:hAnsi="Lucida Sans Unicode"/>
                <w:color w:val="151515"/>
                <w:sz w:val="18"/>
                <w:szCs w:val="18"/>
              </w:rPr>
            </w:pPr>
            <w:r>
              <w:rPr>
                <w:rFonts w:hint="eastAsia" w:hAnsi="Lucida Sans Unicode"/>
                <w:color w:val="151515"/>
                <w:sz w:val="18"/>
                <w:szCs w:val="18"/>
              </w:rPr>
              <w:t>22</w:t>
            </w:r>
          </w:p>
        </w:tc>
        <w:tc>
          <w:tcPr>
            <w:tcW w:w="1285" w:type="dxa"/>
            <w:shd w:val="clear" w:color="auto" w:fill="FFFFFF"/>
          </w:tcPr>
          <w:p w14:paraId="11980CDD">
            <w:pPr>
              <w:snapToGrid w:val="0"/>
              <w:spacing w:line="240" w:lineRule="auto"/>
              <w:jc w:val="center"/>
              <w:rPr>
                <w:rFonts w:hAnsi="Lucida Sans Unicode"/>
                <w:color w:val="151515"/>
                <w:sz w:val="18"/>
                <w:szCs w:val="18"/>
              </w:rPr>
            </w:pPr>
            <w:r>
              <w:rPr>
                <w:rFonts w:hAnsi="Lucida Sans Unicode"/>
                <w:color w:val="151515"/>
                <w:sz w:val="18"/>
                <w:szCs w:val="18"/>
              </w:rPr>
              <w:t>α-氰基丙烯酸甲酯</w:t>
            </w:r>
          </w:p>
        </w:tc>
        <w:tc>
          <w:tcPr>
            <w:tcW w:w="956" w:type="dxa"/>
            <w:shd w:val="clear" w:color="auto" w:fill="FFFFFF"/>
          </w:tcPr>
          <w:p w14:paraId="11323DF3">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4F7F4794">
            <w:pPr>
              <w:snapToGrid w:val="0"/>
              <w:spacing w:line="240" w:lineRule="auto"/>
              <w:jc w:val="center"/>
              <w:rPr>
                <w:rFonts w:hAnsi="Lucida Sans Unicode"/>
                <w:color w:val="151515"/>
                <w:sz w:val="18"/>
                <w:szCs w:val="18"/>
              </w:rPr>
            </w:pPr>
            <w:r>
              <w:rPr>
                <w:rFonts w:hint="eastAsia" w:hAnsi="Lucida Sans Unicode"/>
                <w:color w:val="151515"/>
                <w:sz w:val="18"/>
                <w:szCs w:val="18"/>
              </w:rPr>
              <w:t>--</w:t>
            </w:r>
          </w:p>
        </w:tc>
        <w:tc>
          <w:tcPr>
            <w:tcW w:w="709" w:type="dxa"/>
            <w:shd w:val="clear" w:color="auto" w:fill="FFFFFF"/>
          </w:tcPr>
          <w:p w14:paraId="60E9CA5C">
            <w:pPr>
              <w:snapToGrid w:val="0"/>
              <w:spacing w:line="240" w:lineRule="auto"/>
              <w:jc w:val="center"/>
              <w:rPr>
                <w:rFonts w:hAnsi="Lucida Sans Unicode"/>
                <w:color w:val="151515"/>
                <w:sz w:val="18"/>
                <w:szCs w:val="18"/>
              </w:rPr>
            </w:pPr>
            <w:r>
              <w:rPr>
                <w:rFonts w:hint="eastAsia" w:hAnsi="Lucida Sans Unicode"/>
                <w:color w:val="151515"/>
                <w:sz w:val="18"/>
                <w:szCs w:val="18"/>
              </w:rPr>
              <w:t>55</w:t>
            </w:r>
          </w:p>
        </w:tc>
        <w:tc>
          <w:tcPr>
            <w:tcW w:w="1415" w:type="dxa"/>
            <w:shd w:val="clear" w:color="auto" w:fill="FFFFFF"/>
          </w:tcPr>
          <w:p w14:paraId="04052436">
            <w:pPr>
              <w:snapToGrid w:val="0"/>
              <w:spacing w:line="240" w:lineRule="auto"/>
              <w:jc w:val="center"/>
              <w:rPr>
                <w:rFonts w:hAnsi="Lucida Sans Unicode"/>
                <w:color w:val="151515"/>
                <w:sz w:val="18"/>
                <w:szCs w:val="18"/>
              </w:rPr>
            </w:pPr>
            <w:r>
              <w:rPr>
                <w:rFonts w:hAnsi="Lucida Sans Unicode"/>
                <w:color w:val="151515"/>
                <w:sz w:val="18"/>
                <w:szCs w:val="18"/>
              </w:rPr>
              <w:t>乙酸庚酯</w:t>
            </w:r>
          </w:p>
        </w:tc>
        <w:tc>
          <w:tcPr>
            <w:tcW w:w="1135" w:type="dxa"/>
            <w:shd w:val="clear" w:color="auto" w:fill="FFFFFF"/>
          </w:tcPr>
          <w:p w14:paraId="544AD79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63DFA52">
            <w:pPr>
              <w:snapToGrid w:val="0"/>
              <w:spacing w:line="240" w:lineRule="auto"/>
              <w:jc w:val="center"/>
              <w:rPr>
                <w:rFonts w:hAnsi="Lucida Sans Unicode"/>
                <w:color w:val="151515"/>
                <w:sz w:val="18"/>
                <w:szCs w:val="18"/>
              </w:rPr>
            </w:pPr>
            <w:r>
              <w:rPr>
                <w:rFonts w:hint="eastAsia" w:hAnsi="Lucida Sans Unicode"/>
                <w:color w:val="151515"/>
                <w:sz w:val="18"/>
                <w:szCs w:val="18"/>
              </w:rPr>
              <w:t>0.73</w:t>
            </w:r>
          </w:p>
        </w:tc>
      </w:tr>
      <w:tr w14:paraId="6553F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30E702CB">
            <w:pPr>
              <w:snapToGrid w:val="0"/>
              <w:spacing w:line="240" w:lineRule="auto"/>
              <w:jc w:val="center"/>
              <w:rPr>
                <w:rFonts w:hAnsi="Lucida Sans Unicode"/>
                <w:color w:val="151515"/>
                <w:sz w:val="18"/>
                <w:szCs w:val="18"/>
              </w:rPr>
            </w:pPr>
            <w:r>
              <w:rPr>
                <w:rFonts w:hint="eastAsia" w:hAnsi="Lucida Sans Unicode"/>
                <w:color w:val="151515"/>
                <w:sz w:val="18"/>
                <w:szCs w:val="18"/>
              </w:rPr>
              <w:t>23</w:t>
            </w:r>
          </w:p>
        </w:tc>
        <w:tc>
          <w:tcPr>
            <w:tcW w:w="1285" w:type="dxa"/>
            <w:shd w:val="clear" w:color="auto" w:fill="FFFFFF"/>
          </w:tcPr>
          <w:p w14:paraId="2962F865">
            <w:pPr>
              <w:snapToGrid w:val="0"/>
              <w:spacing w:line="240" w:lineRule="auto"/>
              <w:jc w:val="center"/>
              <w:rPr>
                <w:rFonts w:hAnsi="Lucida Sans Unicode"/>
                <w:color w:val="151515"/>
                <w:sz w:val="18"/>
                <w:szCs w:val="18"/>
              </w:rPr>
            </w:pPr>
            <w:r>
              <w:rPr>
                <w:rFonts w:hAnsi="Lucida Sans Unicode"/>
                <w:color w:val="151515"/>
                <w:sz w:val="18"/>
                <w:szCs w:val="18"/>
              </w:rPr>
              <w:t>甲基丙烯酸甲酯</w:t>
            </w:r>
          </w:p>
        </w:tc>
        <w:tc>
          <w:tcPr>
            <w:tcW w:w="956" w:type="dxa"/>
            <w:shd w:val="clear" w:color="auto" w:fill="FFFFFF"/>
          </w:tcPr>
          <w:p w14:paraId="54DFFB94">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2FC34225">
            <w:pPr>
              <w:snapToGrid w:val="0"/>
              <w:spacing w:line="240" w:lineRule="auto"/>
              <w:jc w:val="center"/>
              <w:rPr>
                <w:rFonts w:hAnsi="Lucida Sans Unicode"/>
                <w:color w:val="151515"/>
                <w:sz w:val="18"/>
                <w:szCs w:val="18"/>
              </w:rPr>
            </w:pPr>
            <w:r>
              <w:rPr>
                <w:rFonts w:hint="eastAsia" w:hAnsi="Lucida Sans Unicode"/>
                <w:color w:val="151515"/>
                <w:sz w:val="18"/>
                <w:szCs w:val="18"/>
              </w:rPr>
              <w:t>15.84</w:t>
            </w:r>
          </w:p>
        </w:tc>
        <w:tc>
          <w:tcPr>
            <w:tcW w:w="709" w:type="dxa"/>
            <w:shd w:val="clear" w:color="auto" w:fill="FFFFFF"/>
          </w:tcPr>
          <w:p w14:paraId="70CD5610">
            <w:pPr>
              <w:snapToGrid w:val="0"/>
              <w:spacing w:line="240" w:lineRule="auto"/>
              <w:jc w:val="center"/>
              <w:rPr>
                <w:rFonts w:hAnsi="Lucida Sans Unicode"/>
                <w:color w:val="151515"/>
                <w:sz w:val="18"/>
                <w:szCs w:val="18"/>
              </w:rPr>
            </w:pPr>
            <w:r>
              <w:rPr>
                <w:rFonts w:hint="eastAsia" w:hAnsi="Lucida Sans Unicode"/>
                <w:color w:val="151515"/>
                <w:sz w:val="18"/>
                <w:szCs w:val="18"/>
              </w:rPr>
              <w:t>56</w:t>
            </w:r>
          </w:p>
        </w:tc>
        <w:tc>
          <w:tcPr>
            <w:tcW w:w="1415" w:type="dxa"/>
            <w:shd w:val="clear" w:color="auto" w:fill="FFFFFF"/>
          </w:tcPr>
          <w:p w14:paraId="106B8EBD">
            <w:pPr>
              <w:snapToGrid w:val="0"/>
              <w:spacing w:line="240" w:lineRule="auto"/>
              <w:jc w:val="center"/>
              <w:rPr>
                <w:rFonts w:hAnsi="Lucida Sans Unicode"/>
                <w:color w:val="151515"/>
                <w:sz w:val="18"/>
                <w:szCs w:val="18"/>
              </w:rPr>
            </w:pPr>
            <w:r>
              <w:rPr>
                <w:rFonts w:hAnsi="Lucida Sans Unicode"/>
                <w:color w:val="151515"/>
                <w:sz w:val="18"/>
                <w:szCs w:val="18"/>
              </w:rPr>
              <w:t>乙二醇二乙酸酯</w:t>
            </w:r>
          </w:p>
        </w:tc>
        <w:tc>
          <w:tcPr>
            <w:tcW w:w="1135" w:type="dxa"/>
            <w:shd w:val="clear" w:color="auto" w:fill="FFFFFF"/>
          </w:tcPr>
          <w:p w14:paraId="094FA3EF">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4F50AEF0">
            <w:pPr>
              <w:snapToGrid w:val="0"/>
              <w:spacing w:line="240" w:lineRule="auto"/>
              <w:jc w:val="center"/>
              <w:rPr>
                <w:rFonts w:hAnsi="Lucida Sans Unicode"/>
                <w:color w:val="151515"/>
                <w:sz w:val="18"/>
                <w:szCs w:val="18"/>
              </w:rPr>
            </w:pPr>
            <w:r>
              <w:rPr>
                <w:rFonts w:hint="eastAsia" w:hAnsi="Lucida Sans Unicode"/>
                <w:color w:val="151515"/>
                <w:sz w:val="18"/>
                <w:szCs w:val="18"/>
              </w:rPr>
              <w:t>0.72</w:t>
            </w:r>
          </w:p>
        </w:tc>
      </w:tr>
      <w:tr w14:paraId="0329D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6290355F">
            <w:pPr>
              <w:snapToGrid w:val="0"/>
              <w:spacing w:line="240" w:lineRule="auto"/>
              <w:jc w:val="center"/>
              <w:rPr>
                <w:rFonts w:hAnsi="Lucida Sans Unicode"/>
                <w:color w:val="151515"/>
                <w:sz w:val="18"/>
                <w:szCs w:val="18"/>
              </w:rPr>
            </w:pPr>
            <w:r>
              <w:rPr>
                <w:rFonts w:hint="eastAsia" w:hAnsi="Lucida Sans Unicode"/>
                <w:color w:val="151515"/>
                <w:sz w:val="18"/>
                <w:szCs w:val="18"/>
              </w:rPr>
              <w:t>24</w:t>
            </w:r>
          </w:p>
        </w:tc>
        <w:tc>
          <w:tcPr>
            <w:tcW w:w="1285" w:type="dxa"/>
            <w:shd w:val="clear" w:color="auto" w:fill="FFFFFF"/>
          </w:tcPr>
          <w:p w14:paraId="515C5AA6">
            <w:pPr>
              <w:snapToGrid w:val="0"/>
              <w:spacing w:line="240" w:lineRule="auto"/>
              <w:jc w:val="center"/>
              <w:rPr>
                <w:rFonts w:hAnsi="Lucida Sans Unicode"/>
                <w:color w:val="151515"/>
                <w:sz w:val="18"/>
                <w:szCs w:val="18"/>
              </w:rPr>
            </w:pPr>
            <w:r>
              <w:rPr>
                <w:rFonts w:hAnsi="Lucida Sans Unicode"/>
                <w:color w:val="151515"/>
                <w:sz w:val="18"/>
                <w:szCs w:val="18"/>
              </w:rPr>
              <w:t>甲基丙烯酸</w:t>
            </w:r>
          </w:p>
        </w:tc>
        <w:tc>
          <w:tcPr>
            <w:tcW w:w="956" w:type="dxa"/>
            <w:shd w:val="clear" w:color="auto" w:fill="FFFFFF"/>
          </w:tcPr>
          <w:p w14:paraId="5F0E63AD">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4612C7BA">
            <w:pPr>
              <w:snapToGrid w:val="0"/>
              <w:spacing w:line="240" w:lineRule="auto"/>
              <w:jc w:val="center"/>
              <w:rPr>
                <w:rFonts w:hAnsi="Lucida Sans Unicode"/>
                <w:color w:val="151515"/>
                <w:sz w:val="18"/>
                <w:szCs w:val="18"/>
              </w:rPr>
            </w:pPr>
            <w:r>
              <w:rPr>
                <w:rFonts w:hint="eastAsia" w:hAnsi="Lucida Sans Unicode"/>
                <w:color w:val="151515"/>
                <w:sz w:val="18"/>
                <w:szCs w:val="18"/>
              </w:rPr>
              <w:t>18.78</w:t>
            </w:r>
          </w:p>
        </w:tc>
        <w:tc>
          <w:tcPr>
            <w:tcW w:w="709" w:type="dxa"/>
            <w:shd w:val="clear" w:color="auto" w:fill="FFFFFF"/>
          </w:tcPr>
          <w:p w14:paraId="59850947">
            <w:pPr>
              <w:snapToGrid w:val="0"/>
              <w:spacing w:line="240" w:lineRule="auto"/>
              <w:jc w:val="center"/>
              <w:rPr>
                <w:rFonts w:hAnsi="Lucida Sans Unicode"/>
                <w:color w:val="151515"/>
                <w:sz w:val="18"/>
                <w:szCs w:val="18"/>
              </w:rPr>
            </w:pPr>
            <w:r>
              <w:rPr>
                <w:rFonts w:hint="eastAsia" w:hAnsi="Lucida Sans Unicode"/>
                <w:color w:val="151515"/>
                <w:sz w:val="18"/>
                <w:szCs w:val="18"/>
              </w:rPr>
              <w:t>57</w:t>
            </w:r>
          </w:p>
        </w:tc>
        <w:tc>
          <w:tcPr>
            <w:tcW w:w="1415" w:type="dxa"/>
            <w:shd w:val="clear" w:color="auto" w:fill="FFFFFF"/>
          </w:tcPr>
          <w:p w14:paraId="5FC1D969">
            <w:pPr>
              <w:snapToGrid w:val="0"/>
              <w:spacing w:line="240" w:lineRule="auto"/>
              <w:jc w:val="center"/>
              <w:rPr>
                <w:rFonts w:hAnsi="Lucida Sans Unicode"/>
                <w:color w:val="151515"/>
                <w:sz w:val="18"/>
                <w:szCs w:val="18"/>
              </w:rPr>
            </w:pPr>
            <w:r>
              <w:rPr>
                <w:rFonts w:hAnsi="Lucida Sans Unicode"/>
                <w:color w:val="151515"/>
                <w:sz w:val="18"/>
                <w:szCs w:val="18"/>
              </w:rPr>
              <w:t>乳酸乙酯</w:t>
            </w:r>
          </w:p>
        </w:tc>
        <w:tc>
          <w:tcPr>
            <w:tcW w:w="1135" w:type="dxa"/>
            <w:shd w:val="clear" w:color="auto" w:fill="FFFFFF"/>
          </w:tcPr>
          <w:p w14:paraId="2ABE6B36">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6623B6D4">
            <w:pPr>
              <w:snapToGrid w:val="0"/>
              <w:spacing w:line="240" w:lineRule="auto"/>
              <w:jc w:val="center"/>
              <w:rPr>
                <w:rFonts w:hAnsi="Lucida Sans Unicode"/>
                <w:color w:val="151515"/>
                <w:sz w:val="18"/>
                <w:szCs w:val="18"/>
              </w:rPr>
            </w:pPr>
            <w:r>
              <w:rPr>
                <w:rFonts w:hint="eastAsia" w:hAnsi="Lucida Sans Unicode"/>
                <w:color w:val="151515"/>
                <w:sz w:val="18"/>
                <w:szCs w:val="18"/>
              </w:rPr>
              <w:t>2.71</w:t>
            </w:r>
          </w:p>
        </w:tc>
      </w:tr>
      <w:tr w14:paraId="5F0C0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7132321">
            <w:pPr>
              <w:snapToGrid w:val="0"/>
              <w:spacing w:line="240" w:lineRule="auto"/>
              <w:jc w:val="center"/>
              <w:rPr>
                <w:rFonts w:hAnsi="Lucida Sans Unicode"/>
                <w:color w:val="151515"/>
                <w:sz w:val="18"/>
                <w:szCs w:val="18"/>
              </w:rPr>
            </w:pPr>
            <w:r>
              <w:rPr>
                <w:rFonts w:hint="eastAsia" w:hAnsi="Lucida Sans Unicode"/>
                <w:color w:val="151515"/>
                <w:sz w:val="18"/>
                <w:szCs w:val="18"/>
              </w:rPr>
              <w:t>25</w:t>
            </w:r>
          </w:p>
        </w:tc>
        <w:tc>
          <w:tcPr>
            <w:tcW w:w="1285" w:type="dxa"/>
            <w:shd w:val="clear" w:color="auto" w:fill="FFFFFF"/>
          </w:tcPr>
          <w:p w14:paraId="3437908B">
            <w:pPr>
              <w:snapToGrid w:val="0"/>
              <w:spacing w:line="240" w:lineRule="auto"/>
              <w:jc w:val="center"/>
              <w:rPr>
                <w:rFonts w:hAnsi="Lucida Sans Unicode"/>
                <w:color w:val="151515"/>
                <w:sz w:val="18"/>
                <w:szCs w:val="18"/>
              </w:rPr>
            </w:pPr>
            <w:r>
              <w:rPr>
                <w:rFonts w:hAnsi="Lucida Sans Unicode"/>
                <w:color w:val="151515"/>
                <w:sz w:val="18"/>
                <w:szCs w:val="18"/>
              </w:rPr>
              <w:t>丙烯酸甲酯</w:t>
            </w:r>
          </w:p>
        </w:tc>
        <w:tc>
          <w:tcPr>
            <w:tcW w:w="956" w:type="dxa"/>
            <w:shd w:val="clear" w:color="auto" w:fill="FFFFFF"/>
          </w:tcPr>
          <w:p w14:paraId="52B0F01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68F7D37C">
            <w:pPr>
              <w:snapToGrid w:val="0"/>
              <w:spacing w:line="240" w:lineRule="auto"/>
              <w:jc w:val="center"/>
              <w:rPr>
                <w:rFonts w:hAnsi="Lucida Sans Unicode"/>
                <w:color w:val="151515"/>
                <w:sz w:val="18"/>
                <w:szCs w:val="18"/>
              </w:rPr>
            </w:pPr>
            <w:r>
              <w:rPr>
                <w:rFonts w:hint="eastAsia" w:hAnsi="Lucida Sans Unicode"/>
                <w:color w:val="151515"/>
                <w:sz w:val="18"/>
                <w:szCs w:val="18"/>
              </w:rPr>
              <w:t>12.24</w:t>
            </w:r>
          </w:p>
        </w:tc>
        <w:tc>
          <w:tcPr>
            <w:tcW w:w="709" w:type="dxa"/>
            <w:shd w:val="clear" w:color="auto" w:fill="FFFFFF"/>
          </w:tcPr>
          <w:p w14:paraId="0679252D">
            <w:pPr>
              <w:snapToGrid w:val="0"/>
              <w:spacing w:line="240" w:lineRule="auto"/>
              <w:jc w:val="center"/>
              <w:rPr>
                <w:rFonts w:hAnsi="Lucida Sans Unicode"/>
                <w:color w:val="151515"/>
                <w:sz w:val="18"/>
                <w:szCs w:val="18"/>
              </w:rPr>
            </w:pPr>
            <w:r>
              <w:rPr>
                <w:rFonts w:hint="eastAsia" w:hAnsi="Lucida Sans Unicode"/>
                <w:color w:val="151515"/>
                <w:sz w:val="18"/>
                <w:szCs w:val="18"/>
              </w:rPr>
              <w:t>58</w:t>
            </w:r>
          </w:p>
        </w:tc>
        <w:tc>
          <w:tcPr>
            <w:tcW w:w="1415" w:type="dxa"/>
            <w:shd w:val="clear" w:color="auto" w:fill="FFFFFF"/>
          </w:tcPr>
          <w:p w14:paraId="7093DCC0">
            <w:pPr>
              <w:snapToGrid w:val="0"/>
              <w:spacing w:line="240" w:lineRule="auto"/>
              <w:jc w:val="center"/>
              <w:rPr>
                <w:rFonts w:hAnsi="Lucida Sans Unicode"/>
                <w:color w:val="151515"/>
                <w:sz w:val="18"/>
                <w:szCs w:val="18"/>
              </w:rPr>
            </w:pPr>
            <w:r>
              <w:rPr>
                <w:rFonts w:hAnsi="Lucida Sans Unicode"/>
                <w:color w:val="151515"/>
                <w:sz w:val="18"/>
                <w:szCs w:val="18"/>
              </w:rPr>
              <w:t>碳酸二甲酯</w:t>
            </w:r>
          </w:p>
        </w:tc>
        <w:tc>
          <w:tcPr>
            <w:tcW w:w="1135" w:type="dxa"/>
            <w:shd w:val="clear" w:color="auto" w:fill="FFFFFF"/>
          </w:tcPr>
          <w:p w14:paraId="7388B4CC">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E8CEA79">
            <w:pPr>
              <w:snapToGrid w:val="0"/>
              <w:spacing w:line="240" w:lineRule="auto"/>
              <w:jc w:val="center"/>
              <w:rPr>
                <w:rFonts w:hAnsi="Lucida Sans Unicode"/>
                <w:color w:val="151515"/>
                <w:sz w:val="18"/>
                <w:szCs w:val="18"/>
              </w:rPr>
            </w:pPr>
            <w:r>
              <w:rPr>
                <w:rFonts w:hint="eastAsia" w:hAnsi="Lucida Sans Unicode"/>
                <w:color w:val="151515"/>
                <w:sz w:val="18"/>
                <w:szCs w:val="18"/>
              </w:rPr>
              <w:t>0.06</w:t>
            </w:r>
          </w:p>
        </w:tc>
      </w:tr>
      <w:tr w14:paraId="5998A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6A9886D4">
            <w:pPr>
              <w:snapToGrid w:val="0"/>
              <w:spacing w:line="240" w:lineRule="auto"/>
              <w:jc w:val="center"/>
              <w:rPr>
                <w:rFonts w:hAnsi="Lucida Sans Unicode"/>
                <w:color w:val="151515"/>
                <w:sz w:val="18"/>
                <w:szCs w:val="18"/>
              </w:rPr>
            </w:pPr>
            <w:r>
              <w:rPr>
                <w:rFonts w:hint="eastAsia" w:hAnsi="Lucida Sans Unicode"/>
                <w:color w:val="151515"/>
                <w:sz w:val="18"/>
                <w:szCs w:val="18"/>
              </w:rPr>
              <w:t>26</w:t>
            </w:r>
          </w:p>
        </w:tc>
        <w:tc>
          <w:tcPr>
            <w:tcW w:w="1285" w:type="dxa"/>
            <w:shd w:val="clear" w:color="auto" w:fill="FFFFFF"/>
          </w:tcPr>
          <w:p w14:paraId="78797503">
            <w:pPr>
              <w:snapToGrid w:val="0"/>
              <w:spacing w:line="240" w:lineRule="auto"/>
              <w:jc w:val="center"/>
              <w:rPr>
                <w:rFonts w:hAnsi="Lucida Sans Unicode"/>
                <w:color w:val="151515"/>
                <w:sz w:val="18"/>
                <w:szCs w:val="18"/>
              </w:rPr>
            </w:pPr>
            <w:r>
              <w:rPr>
                <w:rFonts w:hAnsi="Lucida Sans Unicode"/>
                <w:color w:val="151515"/>
                <w:sz w:val="18"/>
                <w:szCs w:val="18"/>
              </w:rPr>
              <w:t>丙烯酸乙酯</w:t>
            </w:r>
          </w:p>
        </w:tc>
        <w:tc>
          <w:tcPr>
            <w:tcW w:w="956" w:type="dxa"/>
            <w:shd w:val="clear" w:color="auto" w:fill="FFFFFF"/>
          </w:tcPr>
          <w:p w14:paraId="668AF9E9">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7CA2495D">
            <w:pPr>
              <w:snapToGrid w:val="0"/>
              <w:spacing w:line="240" w:lineRule="auto"/>
              <w:jc w:val="center"/>
              <w:rPr>
                <w:rFonts w:hAnsi="Lucida Sans Unicode"/>
                <w:color w:val="151515"/>
                <w:sz w:val="18"/>
                <w:szCs w:val="18"/>
              </w:rPr>
            </w:pPr>
            <w:r>
              <w:rPr>
                <w:rFonts w:hint="eastAsia" w:hAnsi="Lucida Sans Unicode"/>
                <w:color w:val="151515"/>
                <w:sz w:val="18"/>
                <w:szCs w:val="18"/>
              </w:rPr>
              <w:t>8.78</w:t>
            </w:r>
          </w:p>
        </w:tc>
        <w:tc>
          <w:tcPr>
            <w:tcW w:w="709" w:type="dxa"/>
            <w:shd w:val="clear" w:color="auto" w:fill="FFFFFF"/>
          </w:tcPr>
          <w:p w14:paraId="78E5804C">
            <w:pPr>
              <w:snapToGrid w:val="0"/>
              <w:spacing w:line="240" w:lineRule="auto"/>
              <w:jc w:val="center"/>
              <w:rPr>
                <w:rFonts w:hAnsi="Lucida Sans Unicode"/>
                <w:color w:val="151515"/>
                <w:sz w:val="18"/>
                <w:szCs w:val="18"/>
              </w:rPr>
            </w:pPr>
            <w:r>
              <w:rPr>
                <w:rFonts w:hint="eastAsia" w:hAnsi="Lucida Sans Unicode"/>
                <w:color w:val="151515"/>
                <w:sz w:val="18"/>
                <w:szCs w:val="18"/>
              </w:rPr>
              <w:t>59</w:t>
            </w:r>
          </w:p>
        </w:tc>
        <w:tc>
          <w:tcPr>
            <w:tcW w:w="1415" w:type="dxa"/>
            <w:shd w:val="clear" w:color="auto" w:fill="FFFFFF"/>
          </w:tcPr>
          <w:p w14:paraId="1777EC35">
            <w:pPr>
              <w:snapToGrid w:val="0"/>
              <w:spacing w:line="240" w:lineRule="auto"/>
              <w:jc w:val="center"/>
              <w:rPr>
                <w:rFonts w:hAnsi="Lucida Sans Unicode"/>
                <w:color w:val="151515"/>
                <w:sz w:val="18"/>
                <w:szCs w:val="18"/>
              </w:rPr>
            </w:pPr>
            <w:r>
              <w:rPr>
                <w:rFonts w:hAnsi="Lucida Sans Unicode"/>
                <w:color w:val="151515"/>
                <w:sz w:val="18"/>
                <w:szCs w:val="18"/>
              </w:rPr>
              <w:t>乙二醇甲醚乙酸酯</w:t>
            </w:r>
          </w:p>
        </w:tc>
        <w:tc>
          <w:tcPr>
            <w:tcW w:w="1135" w:type="dxa"/>
            <w:shd w:val="clear" w:color="auto" w:fill="FFFFFF"/>
          </w:tcPr>
          <w:p w14:paraId="6EAD65D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0D282ED1">
            <w:pPr>
              <w:snapToGrid w:val="0"/>
              <w:spacing w:line="240" w:lineRule="auto"/>
              <w:jc w:val="center"/>
              <w:rPr>
                <w:rFonts w:hAnsi="Lucida Sans Unicode"/>
                <w:color w:val="151515"/>
                <w:sz w:val="18"/>
                <w:szCs w:val="18"/>
              </w:rPr>
            </w:pPr>
            <w:r>
              <w:rPr>
                <w:rFonts w:hint="eastAsia" w:hAnsi="Lucida Sans Unicode"/>
                <w:color w:val="151515"/>
                <w:sz w:val="18"/>
                <w:szCs w:val="18"/>
              </w:rPr>
              <w:t>1.18</w:t>
            </w:r>
          </w:p>
        </w:tc>
      </w:tr>
      <w:tr w14:paraId="3D443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518E44C8">
            <w:pPr>
              <w:snapToGrid w:val="0"/>
              <w:spacing w:line="240" w:lineRule="auto"/>
              <w:jc w:val="center"/>
              <w:rPr>
                <w:rFonts w:hAnsi="Lucida Sans Unicode"/>
                <w:color w:val="151515"/>
                <w:sz w:val="18"/>
                <w:szCs w:val="18"/>
              </w:rPr>
            </w:pPr>
            <w:r>
              <w:rPr>
                <w:rFonts w:hint="eastAsia" w:hAnsi="Lucida Sans Unicode"/>
                <w:color w:val="151515"/>
                <w:sz w:val="18"/>
                <w:szCs w:val="18"/>
              </w:rPr>
              <w:t>27</w:t>
            </w:r>
          </w:p>
        </w:tc>
        <w:tc>
          <w:tcPr>
            <w:tcW w:w="1285" w:type="dxa"/>
            <w:shd w:val="clear" w:color="auto" w:fill="FFFFFF"/>
          </w:tcPr>
          <w:p w14:paraId="59F18D3D">
            <w:pPr>
              <w:snapToGrid w:val="0"/>
              <w:spacing w:line="240" w:lineRule="auto"/>
              <w:jc w:val="center"/>
              <w:rPr>
                <w:rFonts w:hAnsi="Lucida Sans Unicode"/>
                <w:color w:val="151515"/>
                <w:sz w:val="18"/>
                <w:szCs w:val="18"/>
              </w:rPr>
            </w:pPr>
            <w:r>
              <w:rPr>
                <w:rFonts w:hAnsi="Lucida Sans Unicode"/>
                <w:color w:val="151515"/>
                <w:sz w:val="18"/>
                <w:szCs w:val="18"/>
              </w:rPr>
              <w:t>苯酚</w:t>
            </w:r>
          </w:p>
        </w:tc>
        <w:tc>
          <w:tcPr>
            <w:tcW w:w="956" w:type="dxa"/>
            <w:shd w:val="clear" w:color="auto" w:fill="FFFFFF"/>
          </w:tcPr>
          <w:p w14:paraId="22C43C2C">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5D4523BF">
            <w:pPr>
              <w:snapToGrid w:val="0"/>
              <w:spacing w:line="240" w:lineRule="auto"/>
              <w:jc w:val="center"/>
              <w:rPr>
                <w:rFonts w:hAnsi="Lucida Sans Unicode"/>
                <w:color w:val="151515"/>
                <w:sz w:val="18"/>
                <w:szCs w:val="18"/>
              </w:rPr>
            </w:pPr>
            <w:r>
              <w:rPr>
                <w:rFonts w:hint="eastAsia" w:hAnsi="Lucida Sans Unicode"/>
                <w:color w:val="151515"/>
                <w:sz w:val="18"/>
                <w:szCs w:val="18"/>
              </w:rPr>
              <w:t>1.82</w:t>
            </w:r>
          </w:p>
        </w:tc>
        <w:tc>
          <w:tcPr>
            <w:tcW w:w="709" w:type="dxa"/>
            <w:shd w:val="clear" w:color="auto" w:fill="FFFFFF"/>
          </w:tcPr>
          <w:p w14:paraId="40794654">
            <w:pPr>
              <w:snapToGrid w:val="0"/>
              <w:spacing w:line="240" w:lineRule="auto"/>
              <w:jc w:val="center"/>
              <w:rPr>
                <w:rFonts w:hAnsi="Lucida Sans Unicode"/>
                <w:color w:val="151515"/>
                <w:sz w:val="18"/>
                <w:szCs w:val="18"/>
              </w:rPr>
            </w:pPr>
            <w:r>
              <w:rPr>
                <w:rFonts w:hint="eastAsia" w:hAnsi="Lucida Sans Unicode"/>
                <w:color w:val="151515"/>
                <w:sz w:val="18"/>
                <w:szCs w:val="18"/>
              </w:rPr>
              <w:t>60</w:t>
            </w:r>
          </w:p>
        </w:tc>
        <w:tc>
          <w:tcPr>
            <w:tcW w:w="1415" w:type="dxa"/>
            <w:shd w:val="clear" w:color="auto" w:fill="FFFFFF"/>
          </w:tcPr>
          <w:p w14:paraId="078BEC98">
            <w:pPr>
              <w:snapToGrid w:val="0"/>
              <w:spacing w:line="240" w:lineRule="auto"/>
              <w:jc w:val="center"/>
              <w:rPr>
                <w:rFonts w:hAnsi="Lucida Sans Unicode"/>
                <w:color w:val="151515"/>
                <w:sz w:val="18"/>
                <w:szCs w:val="18"/>
              </w:rPr>
            </w:pPr>
            <w:r>
              <w:rPr>
                <w:rFonts w:hAnsi="Lucida Sans Unicode"/>
                <w:color w:val="151515"/>
                <w:sz w:val="18"/>
                <w:szCs w:val="18"/>
              </w:rPr>
              <w:t>乙二醇丁醚乙酸酯</w:t>
            </w:r>
          </w:p>
        </w:tc>
        <w:tc>
          <w:tcPr>
            <w:tcW w:w="1135" w:type="dxa"/>
            <w:shd w:val="clear" w:color="auto" w:fill="FFFFFF"/>
          </w:tcPr>
          <w:p w14:paraId="1E00422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0AF6E88D">
            <w:pPr>
              <w:snapToGrid w:val="0"/>
              <w:spacing w:line="240" w:lineRule="auto"/>
              <w:jc w:val="center"/>
              <w:rPr>
                <w:rFonts w:hAnsi="Lucida Sans Unicode"/>
                <w:color w:val="151515"/>
                <w:sz w:val="18"/>
                <w:szCs w:val="18"/>
              </w:rPr>
            </w:pPr>
            <w:r>
              <w:rPr>
                <w:rFonts w:hint="eastAsia" w:hAnsi="Lucida Sans Unicode"/>
                <w:color w:val="151515"/>
                <w:sz w:val="18"/>
                <w:szCs w:val="18"/>
              </w:rPr>
              <w:t>1.67</w:t>
            </w:r>
          </w:p>
        </w:tc>
      </w:tr>
      <w:tr w14:paraId="57985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C3B4C19">
            <w:pPr>
              <w:snapToGrid w:val="0"/>
              <w:spacing w:line="240" w:lineRule="auto"/>
              <w:jc w:val="center"/>
              <w:rPr>
                <w:rFonts w:hAnsi="Lucida Sans Unicode"/>
                <w:color w:val="151515"/>
                <w:sz w:val="18"/>
                <w:szCs w:val="18"/>
              </w:rPr>
            </w:pPr>
            <w:r>
              <w:rPr>
                <w:rFonts w:hint="eastAsia" w:hAnsi="Lucida Sans Unicode"/>
                <w:color w:val="151515"/>
                <w:sz w:val="18"/>
                <w:szCs w:val="18"/>
              </w:rPr>
              <w:t>28</w:t>
            </w:r>
          </w:p>
        </w:tc>
        <w:tc>
          <w:tcPr>
            <w:tcW w:w="1285" w:type="dxa"/>
            <w:shd w:val="clear" w:color="auto" w:fill="FFFFFF"/>
          </w:tcPr>
          <w:p w14:paraId="09E34B7A">
            <w:pPr>
              <w:snapToGrid w:val="0"/>
              <w:spacing w:line="240" w:lineRule="auto"/>
              <w:jc w:val="center"/>
              <w:rPr>
                <w:rFonts w:hAnsi="Lucida Sans Unicode"/>
                <w:color w:val="151515"/>
                <w:sz w:val="18"/>
                <w:szCs w:val="18"/>
              </w:rPr>
            </w:pPr>
            <w:r>
              <w:rPr>
                <w:rFonts w:hAnsi="Lucida Sans Unicode"/>
                <w:color w:val="151515"/>
                <w:sz w:val="18"/>
                <w:szCs w:val="18"/>
              </w:rPr>
              <w:t>甲醛</w:t>
            </w:r>
          </w:p>
        </w:tc>
        <w:tc>
          <w:tcPr>
            <w:tcW w:w="956" w:type="dxa"/>
            <w:shd w:val="clear" w:color="auto" w:fill="FFFFFF"/>
          </w:tcPr>
          <w:p w14:paraId="6FD34C7A">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1829D743">
            <w:pPr>
              <w:snapToGrid w:val="0"/>
              <w:spacing w:line="240" w:lineRule="auto"/>
              <w:jc w:val="center"/>
              <w:rPr>
                <w:rFonts w:hAnsi="Lucida Sans Unicode"/>
                <w:color w:val="151515"/>
                <w:sz w:val="18"/>
                <w:szCs w:val="18"/>
              </w:rPr>
            </w:pPr>
            <w:r>
              <w:rPr>
                <w:rFonts w:hint="eastAsia" w:hAnsi="Lucida Sans Unicode"/>
                <w:color w:val="151515"/>
                <w:sz w:val="18"/>
                <w:szCs w:val="18"/>
              </w:rPr>
              <w:t>8.97</w:t>
            </w:r>
          </w:p>
        </w:tc>
        <w:tc>
          <w:tcPr>
            <w:tcW w:w="709" w:type="dxa"/>
            <w:shd w:val="clear" w:color="auto" w:fill="FFFFFF"/>
          </w:tcPr>
          <w:p w14:paraId="1833F165">
            <w:pPr>
              <w:snapToGrid w:val="0"/>
              <w:spacing w:line="240" w:lineRule="auto"/>
              <w:jc w:val="center"/>
              <w:rPr>
                <w:rFonts w:hAnsi="Lucida Sans Unicode"/>
                <w:color w:val="151515"/>
                <w:sz w:val="18"/>
                <w:szCs w:val="18"/>
              </w:rPr>
            </w:pPr>
            <w:r>
              <w:rPr>
                <w:rFonts w:hint="eastAsia" w:hAnsi="Lucida Sans Unicode"/>
                <w:color w:val="151515"/>
                <w:sz w:val="18"/>
                <w:szCs w:val="18"/>
              </w:rPr>
              <w:t>61</w:t>
            </w:r>
          </w:p>
        </w:tc>
        <w:tc>
          <w:tcPr>
            <w:tcW w:w="1415" w:type="dxa"/>
            <w:shd w:val="clear" w:color="auto" w:fill="FFFFFF"/>
          </w:tcPr>
          <w:p w14:paraId="1BC0712E">
            <w:pPr>
              <w:snapToGrid w:val="0"/>
              <w:spacing w:line="240" w:lineRule="auto"/>
              <w:jc w:val="center"/>
              <w:rPr>
                <w:rFonts w:hAnsi="Lucida Sans Unicode"/>
                <w:color w:val="151515"/>
                <w:sz w:val="18"/>
                <w:szCs w:val="18"/>
              </w:rPr>
            </w:pPr>
            <w:r>
              <w:rPr>
                <w:rFonts w:hAnsi="Lucida Sans Unicode"/>
                <w:color w:val="151515"/>
                <w:sz w:val="18"/>
                <w:szCs w:val="18"/>
              </w:rPr>
              <w:t>丙二醇甲醚乙酸酯</w:t>
            </w:r>
          </w:p>
        </w:tc>
        <w:tc>
          <w:tcPr>
            <w:tcW w:w="1135" w:type="dxa"/>
            <w:shd w:val="clear" w:color="auto" w:fill="FFFFFF"/>
          </w:tcPr>
          <w:p w14:paraId="40C2C21C">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0A9D8231">
            <w:pPr>
              <w:snapToGrid w:val="0"/>
              <w:spacing w:line="240" w:lineRule="auto"/>
              <w:jc w:val="center"/>
              <w:rPr>
                <w:rFonts w:hAnsi="Lucida Sans Unicode"/>
                <w:color w:val="151515"/>
                <w:sz w:val="18"/>
                <w:szCs w:val="18"/>
              </w:rPr>
            </w:pPr>
            <w:r>
              <w:rPr>
                <w:rFonts w:hint="eastAsia" w:hAnsi="Lucida Sans Unicode"/>
                <w:color w:val="151515"/>
                <w:sz w:val="18"/>
                <w:szCs w:val="18"/>
              </w:rPr>
              <w:t>2.62</w:t>
            </w:r>
          </w:p>
        </w:tc>
      </w:tr>
      <w:tr w14:paraId="25015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0AA8E3CF">
            <w:pPr>
              <w:snapToGrid w:val="0"/>
              <w:spacing w:line="240" w:lineRule="auto"/>
              <w:jc w:val="center"/>
              <w:rPr>
                <w:rFonts w:hAnsi="Lucida Sans Unicode"/>
                <w:color w:val="151515"/>
                <w:sz w:val="18"/>
                <w:szCs w:val="18"/>
              </w:rPr>
            </w:pPr>
            <w:r>
              <w:rPr>
                <w:rFonts w:hint="eastAsia" w:hAnsi="Lucida Sans Unicode"/>
                <w:color w:val="151515"/>
                <w:sz w:val="18"/>
                <w:szCs w:val="18"/>
              </w:rPr>
              <w:t>29</w:t>
            </w:r>
          </w:p>
        </w:tc>
        <w:tc>
          <w:tcPr>
            <w:tcW w:w="1285" w:type="dxa"/>
            <w:shd w:val="clear" w:color="auto" w:fill="FFFFFF"/>
          </w:tcPr>
          <w:p w14:paraId="0C383752">
            <w:pPr>
              <w:snapToGrid w:val="0"/>
              <w:spacing w:line="240" w:lineRule="auto"/>
              <w:jc w:val="center"/>
              <w:rPr>
                <w:rFonts w:hAnsi="Lucida Sans Unicode"/>
                <w:color w:val="151515"/>
                <w:sz w:val="18"/>
                <w:szCs w:val="18"/>
              </w:rPr>
            </w:pPr>
            <w:r>
              <w:rPr>
                <w:rFonts w:hAnsi="Lucida Sans Unicode"/>
                <w:color w:val="151515"/>
                <w:sz w:val="18"/>
                <w:szCs w:val="18"/>
              </w:rPr>
              <w:t>甲苯-2,4-二异氰酸酯</w:t>
            </w:r>
          </w:p>
        </w:tc>
        <w:tc>
          <w:tcPr>
            <w:tcW w:w="956" w:type="dxa"/>
            <w:shd w:val="clear" w:color="auto" w:fill="FFFFFF"/>
          </w:tcPr>
          <w:p w14:paraId="63AF0454">
            <w:pPr>
              <w:snapToGrid w:val="0"/>
              <w:spacing w:line="240" w:lineRule="auto"/>
              <w:jc w:val="center"/>
              <w:rPr>
                <w:rFonts w:hAnsi="Lucida Sans Unicode"/>
                <w:color w:val="151515"/>
                <w:sz w:val="18"/>
                <w:szCs w:val="18"/>
              </w:rPr>
            </w:pPr>
            <w:r>
              <w:rPr>
                <w:rFonts w:hAnsi="Lucida Sans Unicode"/>
                <w:color w:val="151515"/>
                <w:sz w:val="18"/>
                <w:szCs w:val="18"/>
              </w:rPr>
              <w:t>是</w:t>
            </w:r>
          </w:p>
        </w:tc>
        <w:tc>
          <w:tcPr>
            <w:tcW w:w="1134" w:type="dxa"/>
            <w:shd w:val="clear" w:color="auto" w:fill="FFFFFF"/>
          </w:tcPr>
          <w:p w14:paraId="4C45E58E">
            <w:pPr>
              <w:snapToGrid w:val="0"/>
              <w:spacing w:line="240" w:lineRule="auto"/>
              <w:jc w:val="center"/>
              <w:rPr>
                <w:rFonts w:hAnsi="Lucida Sans Unicode"/>
                <w:color w:val="151515"/>
                <w:sz w:val="18"/>
                <w:szCs w:val="18"/>
              </w:rPr>
            </w:pPr>
            <w:r>
              <w:rPr>
                <w:rFonts w:hint="eastAsia" w:hAnsi="Lucida Sans Unicode"/>
                <w:color w:val="151515"/>
                <w:sz w:val="18"/>
                <w:szCs w:val="18"/>
              </w:rPr>
              <w:t>0.00</w:t>
            </w:r>
          </w:p>
        </w:tc>
        <w:tc>
          <w:tcPr>
            <w:tcW w:w="709" w:type="dxa"/>
            <w:shd w:val="clear" w:color="auto" w:fill="FFFFFF"/>
          </w:tcPr>
          <w:p w14:paraId="308446AA">
            <w:pPr>
              <w:snapToGrid w:val="0"/>
              <w:spacing w:line="240" w:lineRule="auto"/>
              <w:jc w:val="center"/>
              <w:rPr>
                <w:rFonts w:hAnsi="Lucida Sans Unicode"/>
                <w:color w:val="151515"/>
                <w:sz w:val="18"/>
                <w:szCs w:val="18"/>
              </w:rPr>
            </w:pPr>
            <w:r>
              <w:rPr>
                <w:rFonts w:hint="eastAsia" w:hAnsi="Lucida Sans Unicode"/>
                <w:color w:val="151515"/>
                <w:sz w:val="18"/>
                <w:szCs w:val="18"/>
              </w:rPr>
              <w:t>62</w:t>
            </w:r>
          </w:p>
        </w:tc>
        <w:tc>
          <w:tcPr>
            <w:tcW w:w="1415" w:type="dxa"/>
            <w:shd w:val="clear" w:color="auto" w:fill="FFFFFF"/>
          </w:tcPr>
          <w:p w14:paraId="5D97A592">
            <w:pPr>
              <w:snapToGrid w:val="0"/>
              <w:spacing w:line="240" w:lineRule="auto"/>
              <w:jc w:val="center"/>
              <w:rPr>
                <w:rFonts w:hAnsi="Lucida Sans Unicode"/>
                <w:color w:val="151515"/>
                <w:sz w:val="18"/>
                <w:szCs w:val="18"/>
              </w:rPr>
            </w:pPr>
            <w:r>
              <w:rPr>
                <w:rFonts w:hAnsi="Lucida Sans Unicode"/>
                <w:color w:val="151515"/>
                <w:sz w:val="18"/>
                <w:szCs w:val="18"/>
              </w:rPr>
              <w:t>二乙二醇乙醚乙酸酯</w:t>
            </w:r>
          </w:p>
        </w:tc>
        <w:tc>
          <w:tcPr>
            <w:tcW w:w="1135" w:type="dxa"/>
            <w:shd w:val="clear" w:color="auto" w:fill="FFFFFF"/>
          </w:tcPr>
          <w:p w14:paraId="1DB7CCA0">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2F31CFE5">
            <w:pPr>
              <w:snapToGrid w:val="0"/>
              <w:spacing w:line="240" w:lineRule="auto"/>
              <w:jc w:val="center"/>
              <w:rPr>
                <w:rFonts w:hAnsi="Lucida Sans Unicode"/>
                <w:color w:val="151515"/>
                <w:sz w:val="18"/>
                <w:szCs w:val="18"/>
              </w:rPr>
            </w:pPr>
            <w:r>
              <w:rPr>
                <w:rFonts w:hint="eastAsia" w:hAnsi="Lucida Sans Unicode"/>
                <w:color w:val="151515"/>
                <w:sz w:val="18"/>
                <w:szCs w:val="18"/>
              </w:rPr>
              <w:t>1.50</w:t>
            </w:r>
          </w:p>
        </w:tc>
      </w:tr>
      <w:tr w14:paraId="3FEDD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0C3479B">
            <w:pPr>
              <w:snapToGrid w:val="0"/>
              <w:spacing w:line="240" w:lineRule="auto"/>
              <w:jc w:val="center"/>
              <w:rPr>
                <w:rFonts w:hAnsi="Lucida Sans Unicode"/>
                <w:color w:val="151515"/>
                <w:sz w:val="18"/>
                <w:szCs w:val="18"/>
              </w:rPr>
            </w:pPr>
            <w:r>
              <w:rPr>
                <w:rFonts w:hint="eastAsia" w:hAnsi="Lucida Sans Unicode"/>
                <w:color w:val="151515"/>
                <w:sz w:val="18"/>
                <w:szCs w:val="18"/>
              </w:rPr>
              <w:t>30</w:t>
            </w:r>
          </w:p>
        </w:tc>
        <w:tc>
          <w:tcPr>
            <w:tcW w:w="1285" w:type="dxa"/>
            <w:shd w:val="clear" w:color="auto" w:fill="FFFFFF"/>
          </w:tcPr>
          <w:p w14:paraId="1E9ECCA5">
            <w:pPr>
              <w:snapToGrid w:val="0"/>
              <w:spacing w:line="240" w:lineRule="auto"/>
              <w:jc w:val="center"/>
              <w:rPr>
                <w:rFonts w:hAnsi="Lucida Sans Unicode"/>
                <w:color w:val="151515"/>
                <w:sz w:val="18"/>
                <w:szCs w:val="18"/>
              </w:rPr>
            </w:pPr>
            <w:r>
              <w:rPr>
                <w:rFonts w:hAnsi="Lucida Sans Unicode"/>
                <w:color w:val="151515"/>
                <w:sz w:val="18"/>
                <w:szCs w:val="18"/>
              </w:rPr>
              <w:t>环己酮</w:t>
            </w:r>
          </w:p>
        </w:tc>
        <w:tc>
          <w:tcPr>
            <w:tcW w:w="956" w:type="dxa"/>
            <w:shd w:val="clear" w:color="auto" w:fill="FFFFFF"/>
          </w:tcPr>
          <w:p w14:paraId="4D1D866B">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00BAA4B8">
            <w:pPr>
              <w:snapToGrid w:val="0"/>
              <w:spacing w:line="240" w:lineRule="auto"/>
              <w:jc w:val="center"/>
              <w:rPr>
                <w:rFonts w:hAnsi="Lucida Sans Unicode"/>
                <w:color w:val="151515"/>
                <w:sz w:val="18"/>
                <w:szCs w:val="18"/>
              </w:rPr>
            </w:pPr>
            <w:r>
              <w:rPr>
                <w:rFonts w:hint="eastAsia" w:hAnsi="Lucida Sans Unicode"/>
                <w:color w:val="151515"/>
                <w:sz w:val="18"/>
                <w:szCs w:val="18"/>
              </w:rPr>
              <w:t>1.61</w:t>
            </w:r>
          </w:p>
        </w:tc>
        <w:tc>
          <w:tcPr>
            <w:tcW w:w="709" w:type="dxa"/>
            <w:shd w:val="clear" w:color="auto" w:fill="FFFFFF"/>
          </w:tcPr>
          <w:p w14:paraId="134DE543">
            <w:pPr>
              <w:snapToGrid w:val="0"/>
              <w:spacing w:line="240" w:lineRule="auto"/>
              <w:jc w:val="center"/>
              <w:rPr>
                <w:rFonts w:hAnsi="Lucida Sans Unicode"/>
                <w:color w:val="151515"/>
                <w:sz w:val="18"/>
                <w:szCs w:val="18"/>
              </w:rPr>
            </w:pPr>
            <w:r>
              <w:rPr>
                <w:rFonts w:hint="eastAsia" w:hAnsi="Lucida Sans Unicode"/>
                <w:color w:val="151515"/>
                <w:sz w:val="18"/>
                <w:szCs w:val="18"/>
              </w:rPr>
              <w:t>63</w:t>
            </w:r>
          </w:p>
        </w:tc>
        <w:tc>
          <w:tcPr>
            <w:tcW w:w="1415" w:type="dxa"/>
            <w:shd w:val="clear" w:color="auto" w:fill="FFFFFF"/>
          </w:tcPr>
          <w:p w14:paraId="2E60FA95">
            <w:pPr>
              <w:snapToGrid w:val="0"/>
              <w:spacing w:line="240" w:lineRule="auto"/>
              <w:jc w:val="center"/>
              <w:rPr>
                <w:rFonts w:hAnsi="Lucida Sans Unicode"/>
                <w:color w:val="151515"/>
                <w:sz w:val="18"/>
                <w:szCs w:val="18"/>
              </w:rPr>
            </w:pPr>
            <w:r>
              <w:rPr>
                <w:rFonts w:hAnsi="Lucida Sans Unicode"/>
                <w:color w:val="151515"/>
                <w:sz w:val="18"/>
                <w:szCs w:val="18"/>
              </w:rPr>
              <w:t>二乙二醇丁醚乙酸酯</w:t>
            </w:r>
          </w:p>
        </w:tc>
        <w:tc>
          <w:tcPr>
            <w:tcW w:w="1135" w:type="dxa"/>
            <w:shd w:val="clear" w:color="auto" w:fill="FFFFFF"/>
          </w:tcPr>
          <w:p w14:paraId="5979F0CB">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361788F4">
            <w:pPr>
              <w:snapToGrid w:val="0"/>
              <w:spacing w:line="240" w:lineRule="auto"/>
              <w:jc w:val="center"/>
              <w:rPr>
                <w:rFonts w:hAnsi="Lucida Sans Unicode"/>
                <w:color w:val="151515"/>
                <w:sz w:val="18"/>
                <w:szCs w:val="18"/>
              </w:rPr>
            </w:pPr>
            <w:r>
              <w:rPr>
                <w:rFonts w:hint="eastAsia" w:hAnsi="Lucida Sans Unicode"/>
                <w:color w:val="151515"/>
                <w:sz w:val="18"/>
                <w:szCs w:val="18"/>
              </w:rPr>
              <w:t>1.38</w:t>
            </w:r>
          </w:p>
        </w:tc>
      </w:tr>
      <w:tr w14:paraId="1F5B6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23121A73">
            <w:pPr>
              <w:snapToGrid w:val="0"/>
              <w:spacing w:line="240" w:lineRule="auto"/>
              <w:jc w:val="center"/>
              <w:rPr>
                <w:rFonts w:hAnsi="Lucida Sans Unicode"/>
                <w:color w:val="151515"/>
                <w:sz w:val="18"/>
                <w:szCs w:val="18"/>
              </w:rPr>
            </w:pPr>
            <w:r>
              <w:rPr>
                <w:rFonts w:hint="eastAsia" w:hAnsi="Lucida Sans Unicode"/>
                <w:color w:val="151515"/>
                <w:sz w:val="18"/>
                <w:szCs w:val="18"/>
              </w:rPr>
              <w:t>31</w:t>
            </w:r>
          </w:p>
        </w:tc>
        <w:tc>
          <w:tcPr>
            <w:tcW w:w="1285" w:type="dxa"/>
            <w:shd w:val="clear" w:color="auto" w:fill="FFFFFF"/>
          </w:tcPr>
          <w:p w14:paraId="088D7F01">
            <w:pPr>
              <w:snapToGrid w:val="0"/>
              <w:spacing w:line="240" w:lineRule="auto"/>
              <w:jc w:val="center"/>
              <w:rPr>
                <w:rFonts w:hAnsi="Lucida Sans Unicode"/>
                <w:color w:val="151515"/>
                <w:sz w:val="18"/>
                <w:szCs w:val="18"/>
              </w:rPr>
            </w:pPr>
            <w:r>
              <w:rPr>
                <w:rFonts w:hAnsi="Lucida Sans Unicode"/>
                <w:color w:val="151515"/>
                <w:sz w:val="18"/>
                <w:szCs w:val="18"/>
              </w:rPr>
              <w:t>正丁醇</w:t>
            </w:r>
          </w:p>
        </w:tc>
        <w:tc>
          <w:tcPr>
            <w:tcW w:w="956" w:type="dxa"/>
            <w:shd w:val="clear" w:color="auto" w:fill="FFFFFF"/>
          </w:tcPr>
          <w:p w14:paraId="374DF8F2">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45541C81">
            <w:pPr>
              <w:snapToGrid w:val="0"/>
              <w:spacing w:line="240" w:lineRule="auto"/>
              <w:jc w:val="center"/>
              <w:rPr>
                <w:rFonts w:hAnsi="Lucida Sans Unicode"/>
                <w:color w:val="151515"/>
                <w:sz w:val="18"/>
                <w:szCs w:val="18"/>
              </w:rPr>
            </w:pPr>
            <w:r>
              <w:rPr>
                <w:rFonts w:hint="eastAsia" w:hAnsi="Lucida Sans Unicode"/>
                <w:color w:val="151515"/>
                <w:sz w:val="18"/>
                <w:szCs w:val="18"/>
              </w:rPr>
              <w:t>3.34</w:t>
            </w:r>
          </w:p>
        </w:tc>
        <w:tc>
          <w:tcPr>
            <w:tcW w:w="709" w:type="dxa"/>
            <w:shd w:val="clear" w:color="auto" w:fill="FFFFFF"/>
          </w:tcPr>
          <w:p w14:paraId="46D64A5E">
            <w:pPr>
              <w:snapToGrid w:val="0"/>
              <w:spacing w:line="240" w:lineRule="auto"/>
              <w:jc w:val="center"/>
              <w:rPr>
                <w:rFonts w:hAnsi="Lucida Sans Unicode"/>
                <w:color w:val="151515"/>
                <w:sz w:val="18"/>
                <w:szCs w:val="18"/>
              </w:rPr>
            </w:pPr>
            <w:r>
              <w:rPr>
                <w:rFonts w:hint="eastAsia" w:hAnsi="Lucida Sans Unicode"/>
                <w:color w:val="151515"/>
                <w:sz w:val="18"/>
                <w:szCs w:val="18"/>
              </w:rPr>
              <w:t>64</w:t>
            </w:r>
          </w:p>
        </w:tc>
        <w:tc>
          <w:tcPr>
            <w:tcW w:w="1415" w:type="dxa"/>
            <w:shd w:val="clear" w:color="auto" w:fill="FFFFFF"/>
          </w:tcPr>
          <w:p w14:paraId="25EFD942">
            <w:pPr>
              <w:snapToGrid w:val="0"/>
              <w:spacing w:line="240" w:lineRule="auto"/>
              <w:jc w:val="center"/>
              <w:rPr>
                <w:rFonts w:hAnsi="Lucida Sans Unicode"/>
                <w:color w:val="151515"/>
                <w:sz w:val="18"/>
                <w:szCs w:val="18"/>
              </w:rPr>
            </w:pPr>
            <w:r>
              <w:rPr>
                <w:rFonts w:hAnsi="Lucida Sans Unicode"/>
                <w:color w:val="151515"/>
                <w:sz w:val="18"/>
                <w:szCs w:val="18"/>
              </w:rPr>
              <w:t>对氯三氟化苄</w:t>
            </w:r>
            <w:r>
              <w:rPr>
                <w:rFonts w:hint="eastAsia" w:hAnsi="Lucida Sans Unicode"/>
                <w:color w:val="FF0000"/>
                <w:sz w:val="18"/>
                <w:szCs w:val="18"/>
              </w:rPr>
              <w:t>(</w:t>
            </w:r>
            <w:r>
              <w:rPr>
                <w:rFonts w:hAnsi="Lucida Sans Unicode"/>
                <w:color w:val="FF0000"/>
                <w:sz w:val="18"/>
                <w:szCs w:val="18"/>
              </w:rPr>
              <w:t>对氯三氟甲苯</w:t>
            </w:r>
            <w:r>
              <w:rPr>
                <w:rFonts w:hint="eastAsia" w:hAnsi="Lucida Sans Unicode"/>
                <w:color w:val="FF0000"/>
                <w:sz w:val="18"/>
                <w:szCs w:val="18"/>
              </w:rPr>
              <w:t>)</w:t>
            </w:r>
          </w:p>
        </w:tc>
        <w:tc>
          <w:tcPr>
            <w:tcW w:w="1135" w:type="dxa"/>
            <w:shd w:val="clear" w:color="auto" w:fill="FFFFFF"/>
          </w:tcPr>
          <w:p w14:paraId="7D6E7C09">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129954EA">
            <w:pPr>
              <w:snapToGrid w:val="0"/>
              <w:spacing w:line="240" w:lineRule="auto"/>
              <w:jc w:val="center"/>
              <w:rPr>
                <w:rFonts w:hAnsi="Lucida Sans Unicode"/>
                <w:color w:val="151515"/>
                <w:sz w:val="18"/>
                <w:szCs w:val="18"/>
              </w:rPr>
            </w:pPr>
            <w:r>
              <w:rPr>
                <w:rFonts w:hint="eastAsia" w:hAnsi="Lucida Sans Unicode"/>
                <w:color w:val="151515"/>
                <w:sz w:val="18"/>
                <w:szCs w:val="18"/>
              </w:rPr>
              <w:t>0.11</w:t>
            </w:r>
          </w:p>
        </w:tc>
      </w:tr>
      <w:tr w14:paraId="4EB9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0FB2E3C9">
            <w:pPr>
              <w:snapToGrid w:val="0"/>
              <w:spacing w:line="240" w:lineRule="auto"/>
              <w:jc w:val="center"/>
              <w:rPr>
                <w:rFonts w:hAnsi="Lucida Sans Unicode"/>
                <w:color w:val="151515"/>
                <w:sz w:val="18"/>
                <w:szCs w:val="18"/>
              </w:rPr>
            </w:pPr>
            <w:r>
              <w:rPr>
                <w:rFonts w:hint="eastAsia" w:hAnsi="Lucida Sans Unicode"/>
                <w:color w:val="151515"/>
                <w:sz w:val="18"/>
                <w:szCs w:val="18"/>
              </w:rPr>
              <w:t>32</w:t>
            </w:r>
          </w:p>
        </w:tc>
        <w:tc>
          <w:tcPr>
            <w:tcW w:w="1285" w:type="dxa"/>
            <w:shd w:val="clear" w:color="auto" w:fill="FFFFFF"/>
          </w:tcPr>
          <w:p w14:paraId="5CD955EF">
            <w:pPr>
              <w:snapToGrid w:val="0"/>
              <w:spacing w:line="240" w:lineRule="auto"/>
              <w:jc w:val="center"/>
              <w:rPr>
                <w:rFonts w:hAnsi="Lucida Sans Unicode"/>
                <w:color w:val="151515"/>
                <w:sz w:val="18"/>
                <w:szCs w:val="18"/>
              </w:rPr>
            </w:pPr>
            <w:r>
              <w:rPr>
                <w:rFonts w:hint="eastAsia" w:hAnsi="Lucida Sans Unicode"/>
                <w:color w:val="151515"/>
                <w:sz w:val="18"/>
                <w:szCs w:val="18"/>
              </w:rPr>
              <w:t>间二乙基苯</w:t>
            </w:r>
          </w:p>
        </w:tc>
        <w:tc>
          <w:tcPr>
            <w:tcW w:w="956" w:type="dxa"/>
            <w:shd w:val="clear" w:color="auto" w:fill="FFFFFF"/>
          </w:tcPr>
          <w:p w14:paraId="18C28958">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7A1BAE6F">
            <w:pPr>
              <w:snapToGrid w:val="0"/>
              <w:spacing w:line="240" w:lineRule="auto"/>
              <w:jc w:val="center"/>
              <w:rPr>
                <w:rFonts w:hAnsi="Lucida Sans Unicode"/>
                <w:color w:val="151515"/>
                <w:sz w:val="18"/>
                <w:szCs w:val="18"/>
              </w:rPr>
            </w:pPr>
            <w:r>
              <w:rPr>
                <w:rFonts w:hint="eastAsia" w:hAnsi="Lucida Sans Unicode"/>
                <w:color w:val="151515"/>
                <w:sz w:val="18"/>
                <w:szCs w:val="18"/>
              </w:rPr>
              <w:t>7.1</w:t>
            </w:r>
          </w:p>
        </w:tc>
        <w:tc>
          <w:tcPr>
            <w:tcW w:w="709" w:type="dxa"/>
            <w:shd w:val="clear" w:color="auto" w:fill="FFFFFF"/>
          </w:tcPr>
          <w:p w14:paraId="12FFE4BE">
            <w:pPr>
              <w:snapToGrid w:val="0"/>
              <w:spacing w:line="240" w:lineRule="auto"/>
              <w:jc w:val="center"/>
              <w:rPr>
                <w:rFonts w:hAnsi="Lucida Sans Unicode"/>
                <w:color w:val="151515"/>
                <w:sz w:val="18"/>
                <w:szCs w:val="18"/>
              </w:rPr>
            </w:pPr>
            <w:r>
              <w:rPr>
                <w:rFonts w:hint="eastAsia" w:hAnsi="Lucida Sans Unicode"/>
                <w:color w:val="151515"/>
                <w:sz w:val="18"/>
                <w:szCs w:val="18"/>
              </w:rPr>
              <w:t>65</w:t>
            </w:r>
          </w:p>
        </w:tc>
        <w:tc>
          <w:tcPr>
            <w:tcW w:w="1415" w:type="dxa"/>
            <w:shd w:val="clear" w:color="auto" w:fill="FFFFFF"/>
          </w:tcPr>
          <w:p w14:paraId="7DF70FC8">
            <w:pPr>
              <w:snapToGrid w:val="0"/>
              <w:spacing w:line="240" w:lineRule="auto"/>
              <w:jc w:val="center"/>
              <w:rPr>
                <w:rFonts w:hAnsi="Lucida Sans Unicode"/>
                <w:color w:val="151515"/>
                <w:sz w:val="18"/>
                <w:szCs w:val="18"/>
              </w:rPr>
            </w:pPr>
            <w:r>
              <w:rPr>
                <w:rFonts w:hAnsi="Lucida Sans Unicode"/>
                <w:color w:val="151515"/>
                <w:sz w:val="18"/>
                <w:szCs w:val="18"/>
              </w:rPr>
              <w:t>甲基丙烯酸异丁酯</w:t>
            </w:r>
          </w:p>
        </w:tc>
        <w:tc>
          <w:tcPr>
            <w:tcW w:w="1135" w:type="dxa"/>
            <w:shd w:val="clear" w:color="auto" w:fill="FFFFFF"/>
          </w:tcPr>
          <w:p w14:paraId="0A2565CB">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57BED338">
            <w:pPr>
              <w:snapToGrid w:val="0"/>
              <w:spacing w:line="240" w:lineRule="auto"/>
              <w:jc w:val="center"/>
              <w:rPr>
                <w:rFonts w:hAnsi="Lucida Sans Unicode"/>
                <w:color w:val="151515"/>
                <w:sz w:val="18"/>
                <w:szCs w:val="18"/>
              </w:rPr>
            </w:pPr>
            <w:r>
              <w:rPr>
                <w:rFonts w:hint="eastAsia" w:hAnsi="Lucida Sans Unicode"/>
                <w:color w:val="151515"/>
                <w:sz w:val="18"/>
                <w:szCs w:val="18"/>
              </w:rPr>
              <w:t>8.99</w:t>
            </w:r>
          </w:p>
        </w:tc>
      </w:tr>
      <w:tr w14:paraId="42D0F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CE7AA41">
            <w:pPr>
              <w:snapToGrid w:val="0"/>
              <w:spacing w:line="240" w:lineRule="auto"/>
              <w:jc w:val="center"/>
              <w:rPr>
                <w:rFonts w:hAnsi="Lucida Sans Unicode"/>
                <w:color w:val="151515"/>
                <w:sz w:val="18"/>
                <w:szCs w:val="18"/>
              </w:rPr>
            </w:pPr>
            <w:r>
              <w:rPr>
                <w:rFonts w:hint="eastAsia" w:hAnsi="Lucida Sans Unicode"/>
                <w:color w:val="151515"/>
                <w:sz w:val="18"/>
                <w:szCs w:val="18"/>
              </w:rPr>
              <w:t>33</w:t>
            </w:r>
          </w:p>
        </w:tc>
        <w:tc>
          <w:tcPr>
            <w:tcW w:w="1285" w:type="dxa"/>
            <w:shd w:val="clear" w:color="auto" w:fill="FFFFFF"/>
          </w:tcPr>
          <w:p w14:paraId="6E7B5CD2">
            <w:pPr>
              <w:snapToGrid w:val="0"/>
              <w:spacing w:line="240" w:lineRule="auto"/>
              <w:jc w:val="center"/>
              <w:rPr>
                <w:rFonts w:hAnsi="Lucida Sans Unicode"/>
                <w:color w:val="151515"/>
                <w:sz w:val="18"/>
                <w:szCs w:val="18"/>
              </w:rPr>
            </w:pPr>
            <w:r>
              <w:rPr>
                <w:rFonts w:hint="eastAsia" w:hAnsi="Lucida Sans Unicode"/>
                <w:color w:val="151515"/>
                <w:sz w:val="18"/>
                <w:szCs w:val="18"/>
              </w:rPr>
              <w:t>对二乙基苯</w:t>
            </w:r>
          </w:p>
        </w:tc>
        <w:tc>
          <w:tcPr>
            <w:tcW w:w="956" w:type="dxa"/>
            <w:shd w:val="clear" w:color="auto" w:fill="FFFFFF"/>
          </w:tcPr>
          <w:p w14:paraId="0DA4E2FF">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1134" w:type="dxa"/>
            <w:shd w:val="clear" w:color="auto" w:fill="FFFFFF"/>
          </w:tcPr>
          <w:p w14:paraId="09A50A1C">
            <w:pPr>
              <w:snapToGrid w:val="0"/>
              <w:spacing w:line="240" w:lineRule="auto"/>
              <w:jc w:val="center"/>
              <w:rPr>
                <w:rFonts w:hAnsi="Lucida Sans Unicode"/>
                <w:color w:val="151515"/>
                <w:sz w:val="18"/>
                <w:szCs w:val="18"/>
              </w:rPr>
            </w:pPr>
            <w:r>
              <w:rPr>
                <w:rFonts w:hint="eastAsia" w:hAnsi="Lucida Sans Unicode"/>
                <w:color w:val="151515"/>
                <w:sz w:val="18"/>
                <w:szCs w:val="18"/>
              </w:rPr>
              <w:t>4.4</w:t>
            </w:r>
          </w:p>
        </w:tc>
        <w:tc>
          <w:tcPr>
            <w:tcW w:w="709" w:type="dxa"/>
            <w:shd w:val="clear" w:color="auto" w:fill="FFFFFF"/>
          </w:tcPr>
          <w:p w14:paraId="1B8193DD">
            <w:pPr>
              <w:snapToGrid w:val="0"/>
              <w:spacing w:line="240" w:lineRule="auto"/>
              <w:jc w:val="center"/>
              <w:rPr>
                <w:rFonts w:hAnsi="Lucida Sans Unicode"/>
                <w:color w:val="151515"/>
                <w:sz w:val="18"/>
                <w:szCs w:val="18"/>
              </w:rPr>
            </w:pPr>
            <w:r>
              <w:rPr>
                <w:rFonts w:hint="eastAsia" w:hAnsi="Lucida Sans Unicode"/>
                <w:color w:val="151515"/>
                <w:sz w:val="18"/>
                <w:szCs w:val="18"/>
              </w:rPr>
              <w:t>66</w:t>
            </w:r>
          </w:p>
        </w:tc>
        <w:tc>
          <w:tcPr>
            <w:tcW w:w="1415" w:type="dxa"/>
            <w:shd w:val="clear" w:color="auto" w:fill="FFFFFF"/>
          </w:tcPr>
          <w:p w14:paraId="551247E5">
            <w:pPr>
              <w:snapToGrid w:val="0"/>
              <w:spacing w:line="240" w:lineRule="auto"/>
              <w:jc w:val="center"/>
              <w:rPr>
                <w:rFonts w:hAnsi="Lucida Sans Unicode"/>
                <w:color w:val="151515"/>
                <w:sz w:val="18"/>
                <w:szCs w:val="18"/>
              </w:rPr>
            </w:pPr>
            <w:r>
              <w:rPr>
                <w:rFonts w:hAnsi="Lucida Sans Unicode"/>
                <w:color w:val="151515"/>
                <w:sz w:val="18"/>
                <w:szCs w:val="18"/>
              </w:rPr>
              <w:t>甲基丙烯酸正丁酯</w:t>
            </w:r>
          </w:p>
        </w:tc>
        <w:tc>
          <w:tcPr>
            <w:tcW w:w="1135" w:type="dxa"/>
            <w:shd w:val="clear" w:color="auto" w:fill="FFFFFF"/>
          </w:tcPr>
          <w:p w14:paraId="395D0863">
            <w:pPr>
              <w:snapToGrid w:val="0"/>
              <w:spacing w:line="240" w:lineRule="auto"/>
              <w:jc w:val="center"/>
              <w:rPr>
                <w:rFonts w:hAnsi="Lucida Sans Unicode"/>
                <w:color w:val="151515"/>
                <w:sz w:val="18"/>
                <w:szCs w:val="18"/>
              </w:rPr>
            </w:pPr>
            <w:r>
              <w:rPr>
                <w:rFonts w:hint="eastAsia" w:hAnsi="Lucida Sans Unicode"/>
                <w:color w:val="151515"/>
                <w:sz w:val="18"/>
                <w:szCs w:val="18"/>
              </w:rPr>
              <w:t>否</w:t>
            </w:r>
          </w:p>
        </w:tc>
        <w:tc>
          <w:tcPr>
            <w:tcW w:w="991" w:type="dxa"/>
            <w:shd w:val="clear" w:color="auto" w:fill="FFFFFF"/>
          </w:tcPr>
          <w:p w14:paraId="4117A2E5">
            <w:pPr>
              <w:snapToGrid w:val="0"/>
              <w:spacing w:line="240" w:lineRule="auto"/>
              <w:jc w:val="center"/>
              <w:rPr>
                <w:rFonts w:hAnsi="Lucida Sans Unicode"/>
                <w:color w:val="151515"/>
                <w:sz w:val="18"/>
                <w:szCs w:val="18"/>
              </w:rPr>
            </w:pPr>
            <w:r>
              <w:rPr>
                <w:rFonts w:hint="eastAsia" w:hAnsi="Lucida Sans Unicode"/>
                <w:color w:val="151515"/>
                <w:sz w:val="18"/>
                <w:szCs w:val="18"/>
              </w:rPr>
              <w:t>9.09</w:t>
            </w:r>
          </w:p>
        </w:tc>
      </w:tr>
    </w:tbl>
    <w:p w14:paraId="65D50B6F">
      <w:pPr>
        <w:snapToGrid w:val="0"/>
        <w:spacing w:line="240" w:lineRule="auto"/>
        <w:rPr>
          <w:rFonts w:hAnsi="宋体"/>
          <w:sz w:val="15"/>
          <w:szCs w:val="15"/>
        </w:rPr>
      </w:pPr>
      <w:r>
        <w:rPr>
          <w:rFonts w:hint="eastAsia"/>
          <w:sz w:val="15"/>
          <w:szCs w:val="15"/>
        </w:rPr>
        <w:t xml:space="preserve">  *MIR优先选择</w:t>
      </w:r>
      <w:r>
        <w:rPr>
          <w:rFonts w:hint="eastAsia" w:hAnsi="宋体"/>
          <w:sz w:val="15"/>
          <w:szCs w:val="15"/>
        </w:rPr>
        <w:t>《</w:t>
      </w:r>
      <w:r>
        <w:rPr>
          <w:rFonts w:hAnsi="宋体"/>
          <w:sz w:val="15"/>
          <w:szCs w:val="15"/>
        </w:rPr>
        <w:t>大气污染源优先控制分级技术指南(试行)</w:t>
      </w:r>
      <w:r>
        <w:rPr>
          <w:rFonts w:hint="eastAsia" w:hAnsi="宋体"/>
          <w:sz w:val="15"/>
          <w:szCs w:val="15"/>
        </w:rPr>
        <w:t>》中值，其余则来自国外文献。</w:t>
      </w:r>
    </w:p>
    <w:p w14:paraId="2D0FB3A4">
      <w:pPr>
        <w:snapToGrid w:val="0"/>
        <w:spacing w:line="240" w:lineRule="auto"/>
        <w:rPr>
          <w:rFonts w:hAnsi="宋体"/>
          <w:sz w:val="15"/>
          <w:szCs w:val="15"/>
        </w:rPr>
      </w:pPr>
      <w:r>
        <w:rPr>
          <w:rFonts w:hint="eastAsia" w:hAnsi="宋体"/>
          <w:sz w:val="15"/>
          <w:szCs w:val="15"/>
        </w:rPr>
        <w:t xml:space="preserve">  *：MIR值处于不断修订中，不同来源会略有不同。</w:t>
      </w:r>
    </w:p>
    <w:p w14:paraId="7FCC41F4">
      <w:pPr>
        <w:pStyle w:val="78"/>
        <w:spacing w:before="156" w:after="156"/>
      </w:pPr>
      <w:bookmarkStart w:id="279" w:name="_Toc149654174"/>
      <w:r>
        <w:rPr>
          <w:rFonts w:hint="eastAsia"/>
        </w:rPr>
        <w:t>典型有机溶剂的P</w:t>
      </w:r>
      <w:r>
        <w:t>OCP</w:t>
      </w:r>
      <w:r>
        <w:rPr>
          <w:rFonts w:hint="eastAsia"/>
        </w:rPr>
        <w:t>值</w:t>
      </w:r>
      <w:bookmarkEnd w:id="279"/>
    </w:p>
    <w:p w14:paraId="0F3297A3">
      <w:pPr>
        <w:snapToGrid w:val="0"/>
        <w:spacing w:line="240" w:lineRule="auto"/>
        <w:rPr>
          <w:rFonts w:ascii="宋体" w:hAnsi="宋体"/>
        </w:rPr>
      </w:pPr>
      <w:r>
        <w:rPr>
          <w:rFonts w:hint="eastAsia" w:ascii="宋体" w:hAnsi="宋体"/>
        </w:rPr>
        <w:t xml:space="preserve"> </w:t>
      </w:r>
      <w:r>
        <w:rPr>
          <w:rFonts w:ascii="宋体" w:hAnsi="宋体"/>
        </w:rPr>
        <w:t xml:space="preserve">   </w:t>
      </w:r>
      <w:r>
        <w:rPr>
          <w:rFonts w:hint="eastAsia" w:ascii="宋体" w:hAnsi="宋体"/>
        </w:rPr>
        <w:t>典型有机溶剂的P</w:t>
      </w:r>
      <w:r>
        <w:rPr>
          <w:rFonts w:ascii="宋体" w:hAnsi="宋体"/>
        </w:rPr>
        <w:t>OCP</w:t>
      </w:r>
      <w:r>
        <w:rPr>
          <w:rFonts w:hint="eastAsia" w:ascii="宋体" w:hAnsi="宋体"/>
        </w:rPr>
        <w:t>值如表A.</w:t>
      </w:r>
      <w:r>
        <w:rPr>
          <w:rFonts w:ascii="宋体" w:hAnsi="宋体"/>
        </w:rPr>
        <w:t>2</w:t>
      </w:r>
      <w:r>
        <w:rPr>
          <w:rFonts w:hint="eastAsia" w:ascii="宋体" w:hAnsi="宋体"/>
        </w:rPr>
        <w:t>所示。</w:t>
      </w:r>
    </w:p>
    <w:p w14:paraId="4AD174DE">
      <w:pPr>
        <w:jc w:val="center"/>
      </w:pPr>
      <w:r>
        <w:rPr>
          <w:rFonts w:hint="eastAsia"/>
        </w:rPr>
        <w:t>表A</w:t>
      </w:r>
      <w:r>
        <w:t xml:space="preserve">.2  </w:t>
      </w:r>
      <w:r>
        <w:rPr>
          <w:rFonts w:hint="eastAsia"/>
        </w:rPr>
        <w:t>典型V</w:t>
      </w:r>
      <w:r>
        <w:t>OCs的POCP值</w:t>
      </w:r>
    </w:p>
    <w:tbl>
      <w:tblPr>
        <w:tblStyle w:val="26"/>
        <w:tblW w:w="8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15" w:type="dxa"/>
          <w:left w:w="15" w:type="dxa"/>
          <w:bottom w:w="15" w:type="dxa"/>
          <w:right w:w="15" w:type="dxa"/>
        </w:tblCellMar>
      </w:tblPr>
      <w:tblGrid>
        <w:gridCol w:w="603"/>
        <w:gridCol w:w="1285"/>
        <w:gridCol w:w="1134"/>
        <w:gridCol w:w="1134"/>
        <w:gridCol w:w="709"/>
        <w:gridCol w:w="1415"/>
        <w:gridCol w:w="991"/>
        <w:gridCol w:w="991"/>
      </w:tblGrid>
      <w:tr w14:paraId="10563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07D5239">
            <w:pPr>
              <w:snapToGrid w:val="0"/>
              <w:spacing w:line="240" w:lineRule="auto"/>
              <w:jc w:val="center"/>
              <w:rPr>
                <w:rFonts w:hAnsi="Lucida Sans Unicode"/>
                <w:color w:val="151515"/>
                <w:sz w:val="18"/>
                <w:szCs w:val="18"/>
              </w:rPr>
            </w:pPr>
            <w:r>
              <w:rPr>
                <w:rFonts w:hint="eastAsia" w:hAnsi="Lucida Sans Unicode"/>
                <w:color w:val="151515"/>
                <w:sz w:val="18"/>
                <w:szCs w:val="18"/>
              </w:rPr>
              <w:t>序号</w:t>
            </w:r>
          </w:p>
        </w:tc>
        <w:tc>
          <w:tcPr>
            <w:tcW w:w="1285" w:type="dxa"/>
            <w:shd w:val="clear" w:color="auto" w:fill="FFFFFF"/>
          </w:tcPr>
          <w:p w14:paraId="42C82BEC">
            <w:pPr>
              <w:snapToGrid w:val="0"/>
              <w:spacing w:line="240" w:lineRule="auto"/>
              <w:jc w:val="center"/>
              <w:rPr>
                <w:rFonts w:hAnsi="Lucida Sans Unicode"/>
                <w:color w:val="151515"/>
                <w:sz w:val="18"/>
                <w:szCs w:val="18"/>
              </w:rPr>
            </w:pPr>
            <w:r>
              <w:rPr>
                <w:rFonts w:hAnsi="Lucida Sans Unicode"/>
                <w:color w:val="151515"/>
                <w:sz w:val="18"/>
                <w:szCs w:val="18"/>
              </w:rPr>
              <w:t>中文</w:t>
            </w:r>
            <w:r>
              <w:rPr>
                <w:rFonts w:hint="eastAsia" w:hAnsi="Lucida Sans Unicode"/>
                <w:color w:val="151515"/>
                <w:sz w:val="18"/>
                <w:szCs w:val="18"/>
              </w:rPr>
              <w:t>名字</w:t>
            </w:r>
          </w:p>
        </w:tc>
        <w:tc>
          <w:tcPr>
            <w:tcW w:w="1134" w:type="dxa"/>
            <w:shd w:val="clear" w:color="auto" w:fill="FFFFFF"/>
          </w:tcPr>
          <w:p w14:paraId="1449E710">
            <w:pPr>
              <w:snapToGrid w:val="0"/>
              <w:spacing w:line="240" w:lineRule="auto"/>
              <w:jc w:val="center"/>
              <w:rPr>
                <w:rFonts w:hAnsi="Lucida Sans Unicode"/>
                <w:color w:val="151515"/>
                <w:sz w:val="18"/>
                <w:szCs w:val="18"/>
              </w:rPr>
            </w:pPr>
            <w:r>
              <w:rPr>
                <w:rFonts w:hint="eastAsia" w:hAnsi="Lucida Sans Unicode"/>
                <w:color w:val="151515"/>
                <w:sz w:val="18"/>
                <w:szCs w:val="18"/>
              </w:rPr>
              <w:t>C</w:t>
            </w:r>
            <w:r>
              <w:rPr>
                <w:rFonts w:hAnsi="Lucida Sans Unicode"/>
                <w:color w:val="151515"/>
                <w:sz w:val="18"/>
                <w:szCs w:val="18"/>
              </w:rPr>
              <w:t>AS</w:t>
            </w:r>
          </w:p>
        </w:tc>
        <w:tc>
          <w:tcPr>
            <w:tcW w:w="1134" w:type="dxa"/>
            <w:shd w:val="clear" w:color="auto" w:fill="FFFFFF"/>
          </w:tcPr>
          <w:p w14:paraId="7231FA9F">
            <w:pPr>
              <w:snapToGrid w:val="0"/>
              <w:spacing w:line="240" w:lineRule="auto"/>
              <w:jc w:val="center"/>
              <w:rPr>
                <w:rFonts w:hAnsi="Lucida Sans Unicode"/>
                <w:color w:val="151515"/>
                <w:sz w:val="18"/>
                <w:szCs w:val="18"/>
              </w:rPr>
            </w:pPr>
            <w:r>
              <w:rPr>
                <w:rFonts w:hAnsi="Lucida Sans Unicode"/>
                <w:color w:val="151515"/>
                <w:sz w:val="18"/>
                <w:szCs w:val="18"/>
              </w:rPr>
              <w:t>POCP值</w:t>
            </w:r>
          </w:p>
        </w:tc>
        <w:tc>
          <w:tcPr>
            <w:tcW w:w="709" w:type="dxa"/>
            <w:shd w:val="clear" w:color="auto" w:fill="FFFFFF"/>
          </w:tcPr>
          <w:p w14:paraId="02688D3E">
            <w:pPr>
              <w:snapToGrid w:val="0"/>
              <w:spacing w:line="240" w:lineRule="auto"/>
              <w:jc w:val="center"/>
              <w:rPr>
                <w:rFonts w:hAnsi="Lucida Sans Unicode"/>
                <w:color w:val="151515"/>
                <w:sz w:val="18"/>
                <w:szCs w:val="18"/>
              </w:rPr>
            </w:pPr>
            <w:r>
              <w:rPr>
                <w:rFonts w:hint="eastAsia" w:hAnsi="Lucida Sans Unicode"/>
                <w:color w:val="151515"/>
                <w:sz w:val="18"/>
                <w:szCs w:val="18"/>
              </w:rPr>
              <w:t>序号</w:t>
            </w:r>
          </w:p>
        </w:tc>
        <w:tc>
          <w:tcPr>
            <w:tcW w:w="1415" w:type="dxa"/>
            <w:shd w:val="clear" w:color="auto" w:fill="FFFFFF"/>
          </w:tcPr>
          <w:p w14:paraId="7FFF3127">
            <w:pPr>
              <w:snapToGrid w:val="0"/>
              <w:spacing w:line="240" w:lineRule="auto"/>
              <w:jc w:val="center"/>
              <w:rPr>
                <w:rFonts w:hAnsi="Lucida Sans Unicode"/>
                <w:color w:val="151515"/>
                <w:sz w:val="18"/>
                <w:szCs w:val="18"/>
              </w:rPr>
            </w:pPr>
            <w:r>
              <w:rPr>
                <w:rFonts w:hAnsi="Lucida Sans Unicode"/>
                <w:color w:val="151515"/>
                <w:sz w:val="18"/>
                <w:szCs w:val="18"/>
              </w:rPr>
              <w:t>中文</w:t>
            </w:r>
            <w:r>
              <w:rPr>
                <w:rFonts w:hint="eastAsia" w:hAnsi="Lucida Sans Unicode"/>
                <w:color w:val="151515"/>
                <w:sz w:val="18"/>
                <w:szCs w:val="18"/>
              </w:rPr>
              <w:t>名字</w:t>
            </w:r>
          </w:p>
        </w:tc>
        <w:tc>
          <w:tcPr>
            <w:tcW w:w="991" w:type="dxa"/>
            <w:shd w:val="clear" w:color="auto" w:fill="FFFFFF"/>
          </w:tcPr>
          <w:p w14:paraId="7C0D96C2">
            <w:pPr>
              <w:snapToGrid w:val="0"/>
              <w:spacing w:line="240" w:lineRule="auto"/>
              <w:jc w:val="center"/>
              <w:rPr>
                <w:rFonts w:hAnsi="Lucida Sans Unicode"/>
                <w:color w:val="151515"/>
                <w:sz w:val="18"/>
                <w:szCs w:val="18"/>
              </w:rPr>
            </w:pPr>
            <w:r>
              <w:rPr>
                <w:rFonts w:hint="eastAsia" w:hAnsi="Lucida Sans Unicode"/>
                <w:color w:val="151515"/>
                <w:sz w:val="18"/>
                <w:szCs w:val="18"/>
              </w:rPr>
              <w:t>C</w:t>
            </w:r>
            <w:r>
              <w:rPr>
                <w:rFonts w:hAnsi="Lucida Sans Unicode"/>
                <w:color w:val="151515"/>
                <w:sz w:val="18"/>
                <w:szCs w:val="18"/>
              </w:rPr>
              <w:t>AS</w:t>
            </w:r>
          </w:p>
        </w:tc>
        <w:tc>
          <w:tcPr>
            <w:tcW w:w="991" w:type="dxa"/>
            <w:shd w:val="clear" w:color="auto" w:fill="FFFFFF"/>
          </w:tcPr>
          <w:p w14:paraId="305D8F7B">
            <w:pPr>
              <w:snapToGrid w:val="0"/>
              <w:spacing w:line="240" w:lineRule="auto"/>
              <w:jc w:val="center"/>
              <w:rPr>
                <w:rFonts w:hAnsi="Lucida Sans Unicode"/>
                <w:color w:val="151515"/>
                <w:sz w:val="18"/>
                <w:szCs w:val="18"/>
              </w:rPr>
            </w:pPr>
            <w:r>
              <w:rPr>
                <w:rFonts w:hAnsi="Lucida Sans Unicode"/>
                <w:color w:val="151515"/>
                <w:sz w:val="18"/>
                <w:szCs w:val="18"/>
              </w:rPr>
              <w:t>POCP值</w:t>
            </w:r>
          </w:p>
        </w:tc>
      </w:tr>
      <w:tr w14:paraId="70314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5689DD1C">
            <w:pPr>
              <w:snapToGrid w:val="0"/>
              <w:spacing w:line="240" w:lineRule="auto"/>
              <w:jc w:val="center"/>
              <w:rPr>
                <w:rFonts w:hAnsi="Lucida Sans Unicode"/>
                <w:color w:val="151515"/>
                <w:sz w:val="18"/>
                <w:szCs w:val="18"/>
              </w:rPr>
            </w:pPr>
            <w:r>
              <w:rPr>
                <w:rFonts w:hint="eastAsia" w:hAnsi="Lucida Sans Unicode"/>
                <w:color w:val="151515"/>
                <w:sz w:val="18"/>
                <w:szCs w:val="18"/>
              </w:rPr>
              <w:t>1</w:t>
            </w:r>
          </w:p>
        </w:tc>
        <w:tc>
          <w:tcPr>
            <w:tcW w:w="1285" w:type="dxa"/>
            <w:shd w:val="clear" w:color="auto" w:fill="FFFFFF"/>
          </w:tcPr>
          <w:p w14:paraId="01F465A6">
            <w:pPr>
              <w:snapToGrid w:val="0"/>
              <w:spacing w:line="240" w:lineRule="auto"/>
              <w:jc w:val="center"/>
              <w:rPr>
                <w:rFonts w:hAnsi="Lucida Sans Unicode"/>
                <w:color w:val="151515"/>
                <w:sz w:val="18"/>
                <w:szCs w:val="18"/>
              </w:rPr>
            </w:pPr>
            <w:r>
              <w:rPr>
                <w:rFonts w:hAnsi="Lucida Sans Unicode"/>
                <w:color w:val="151515"/>
                <w:sz w:val="18"/>
                <w:szCs w:val="18"/>
              </w:rPr>
              <w:t>苯</w:t>
            </w:r>
          </w:p>
        </w:tc>
        <w:tc>
          <w:tcPr>
            <w:tcW w:w="1134" w:type="dxa"/>
            <w:shd w:val="clear" w:color="auto" w:fill="FFFFFF"/>
          </w:tcPr>
          <w:p w14:paraId="17EC490E">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1</w:t>
            </w:r>
            <w:r>
              <w:rPr>
                <w:rFonts w:hint="eastAsia" w:hAnsi="Lucida Sans Unicode"/>
                <w:color w:val="151515"/>
                <w:sz w:val="18"/>
                <w:szCs w:val="18"/>
              </w:rPr>
              <w:t>-</w:t>
            </w:r>
            <w:r>
              <w:rPr>
                <w:rFonts w:hAnsi="Lucida Sans Unicode"/>
                <w:color w:val="151515"/>
                <w:sz w:val="18"/>
                <w:szCs w:val="18"/>
              </w:rPr>
              <w:t>43</w:t>
            </w:r>
            <w:r>
              <w:rPr>
                <w:rFonts w:hint="eastAsia" w:hAnsi="Lucida Sans Unicode"/>
                <w:color w:val="151515"/>
                <w:sz w:val="18"/>
                <w:szCs w:val="18"/>
              </w:rPr>
              <w:t>-</w:t>
            </w:r>
            <w:r>
              <w:rPr>
                <w:rFonts w:hAnsi="Lucida Sans Unicode"/>
                <w:color w:val="151515"/>
                <w:sz w:val="18"/>
                <w:szCs w:val="18"/>
              </w:rPr>
              <w:t>2</w:t>
            </w:r>
          </w:p>
        </w:tc>
        <w:tc>
          <w:tcPr>
            <w:tcW w:w="1134" w:type="dxa"/>
            <w:shd w:val="clear" w:color="auto" w:fill="FFFFFF"/>
          </w:tcPr>
          <w:p w14:paraId="5EBB56F5">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3</w:t>
            </w:r>
          </w:p>
        </w:tc>
        <w:tc>
          <w:tcPr>
            <w:tcW w:w="709" w:type="dxa"/>
            <w:shd w:val="clear" w:color="auto" w:fill="FFFFFF"/>
          </w:tcPr>
          <w:p w14:paraId="5403E0AD">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7</w:t>
            </w:r>
          </w:p>
        </w:tc>
        <w:tc>
          <w:tcPr>
            <w:tcW w:w="1415" w:type="dxa"/>
            <w:shd w:val="clear" w:color="auto" w:fill="FFFFFF"/>
          </w:tcPr>
          <w:p w14:paraId="33CF275D">
            <w:pPr>
              <w:snapToGrid w:val="0"/>
              <w:spacing w:line="240" w:lineRule="auto"/>
              <w:jc w:val="center"/>
              <w:rPr>
                <w:rFonts w:hAnsi="Lucida Sans Unicode"/>
                <w:color w:val="151515"/>
                <w:sz w:val="18"/>
                <w:szCs w:val="18"/>
              </w:rPr>
            </w:pPr>
            <w:r>
              <w:rPr>
                <w:rFonts w:hAnsi="Lucida Sans Unicode"/>
                <w:color w:val="151515"/>
                <w:sz w:val="18"/>
                <w:szCs w:val="18"/>
              </w:rPr>
              <w:t>苯乙烯</w:t>
            </w:r>
          </w:p>
        </w:tc>
        <w:tc>
          <w:tcPr>
            <w:tcW w:w="991" w:type="dxa"/>
            <w:shd w:val="clear" w:color="auto" w:fill="FFFFFF"/>
          </w:tcPr>
          <w:p w14:paraId="2D25DE7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00</w:t>
            </w:r>
            <w:r>
              <w:rPr>
                <w:rFonts w:hint="eastAsia" w:hAnsi="Lucida Sans Unicode"/>
                <w:color w:val="151515"/>
                <w:sz w:val="18"/>
                <w:szCs w:val="18"/>
              </w:rPr>
              <w:t>-</w:t>
            </w:r>
            <w:r>
              <w:rPr>
                <w:rFonts w:hAnsi="Lucida Sans Unicode"/>
                <w:color w:val="151515"/>
                <w:sz w:val="18"/>
                <w:szCs w:val="18"/>
              </w:rPr>
              <w:t>42</w:t>
            </w:r>
            <w:r>
              <w:rPr>
                <w:rFonts w:hint="eastAsia" w:hAnsi="Lucida Sans Unicode"/>
                <w:color w:val="151515"/>
                <w:sz w:val="18"/>
                <w:szCs w:val="18"/>
              </w:rPr>
              <w:t>-</w:t>
            </w:r>
            <w:r>
              <w:rPr>
                <w:rFonts w:hAnsi="Lucida Sans Unicode"/>
                <w:color w:val="151515"/>
                <w:sz w:val="18"/>
                <w:szCs w:val="18"/>
              </w:rPr>
              <w:t>5</w:t>
            </w:r>
          </w:p>
        </w:tc>
        <w:tc>
          <w:tcPr>
            <w:tcW w:w="991" w:type="dxa"/>
            <w:shd w:val="clear" w:color="auto" w:fill="FFFFFF"/>
          </w:tcPr>
          <w:p w14:paraId="20D39614">
            <w:pPr>
              <w:snapToGrid w:val="0"/>
              <w:spacing w:line="240" w:lineRule="auto"/>
              <w:jc w:val="center"/>
              <w:rPr>
                <w:rFonts w:hAnsi="Lucida Sans Unicode"/>
                <w:color w:val="151515"/>
                <w:sz w:val="18"/>
                <w:szCs w:val="18"/>
              </w:rPr>
            </w:pPr>
            <w:r>
              <w:rPr>
                <w:rFonts w:hint="eastAsia" w:hAnsi="Lucida Sans Unicode"/>
                <w:color w:val="151515"/>
                <w:sz w:val="18"/>
                <w:szCs w:val="18"/>
              </w:rPr>
              <w:t>8</w:t>
            </w:r>
          </w:p>
        </w:tc>
      </w:tr>
      <w:tr w14:paraId="7FB18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2EAB46B5">
            <w:pPr>
              <w:snapToGrid w:val="0"/>
              <w:spacing w:line="240" w:lineRule="auto"/>
              <w:jc w:val="center"/>
              <w:rPr>
                <w:rFonts w:hAnsi="Lucida Sans Unicode"/>
                <w:color w:val="151515"/>
                <w:sz w:val="18"/>
                <w:szCs w:val="18"/>
              </w:rPr>
            </w:pPr>
            <w:r>
              <w:rPr>
                <w:rFonts w:hint="eastAsia" w:hAnsi="Lucida Sans Unicode"/>
                <w:color w:val="151515"/>
                <w:sz w:val="18"/>
                <w:szCs w:val="18"/>
              </w:rPr>
              <w:t>2</w:t>
            </w:r>
          </w:p>
        </w:tc>
        <w:tc>
          <w:tcPr>
            <w:tcW w:w="1285" w:type="dxa"/>
            <w:shd w:val="clear" w:color="auto" w:fill="FFFFFF"/>
          </w:tcPr>
          <w:p w14:paraId="7BC46019">
            <w:pPr>
              <w:snapToGrid w:val="0"/>
              <w:spacing w:line="240" w:lineRule="auto"/>
              <w:jc w:val="center"/>
              <w:rPr>
                <w:rFonts w:hAnsi="Lucida Sans Unicode"/>
                <w:color w:val="151515"/>
                <w:sz w:val="18"/>
                <w:szCs w:val="18"/>
              </w:rPr>
            </w:pPr>
            <w:r>
              <w:rPr>
                <w:rFonts w:hAnsi="Lucida Sans Unicode"/>
                <w:color w:val="151515"/>
                <w:sz w:val="18"/>
                <w:szCs w:val="18"/>
              </w:rPr>
              <w:t>甲苯</w:t>
            </w:r>
          </w:p>
        </w:tc>
        <w:tc>
          <w:tcPr>
            <w:tcW w:w="1134" w:type="dxa"/>
            <w:shd w:val="clear" w:color="auto" w:fill="FFFFFF"/>
          </w:tcPr>
          <w:p w14:paraId="37A790D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r>
              <w:rPr>
                <w:rFonts w:hint="eastAsia" w:hAnsi="Lucida Sans Unicode"/>
                <w:color w:val="151515"/>
                <w:sz w:val="18"/>
                <w:szCs w:val="18"/>
              </w:rPr>
              <w:t>-</w:t>
            </w:r>
            <w:r>
              <w:rPr>
                <w:rFonts w:hAnsi="Lucida Sans Unicode"/>
                <w:color w:val="151515"/>
                <w:sz w:val="18"/>
                <w:szCs w:val="18"/>
              </w:rPr>
              <w:t>88</w:t>
            </w:r>
            <w:r>
              <w:rPr>
                <w:rFonts w:hint="eastAsia" w:hAnsi="Lucida Sans Unicode"/>
                <w:color w:val="151515"/>
                <w:sz w:val="18"/>
                <w:szCs w:val="18"/>
              </w:rPr>
              <w:t>-</w:t>
            </w:r>
            <w:r>
              <w:rPr>
                <w:rFonts w:hAnsi="Lucida Sans Unicode"/>
                <w:color w:val="151515"/>
                <w:sz w:val="18"/>
                <w:szCs w:val="18"/>
              </w:rPr>
              <w:t>3</w:t>
            </w:r>
          </w:p>
        </w:tc>
        <w:tc>
          <w:tcPr>
            <w:tcW w:w="1134" w:type="dxa"/>
            <w:shd w:val="clear" w:color="auto" w:fill="FFFFFF"/>
          </w:tcPr>
          <w:p w14:paraId="326BBE4D">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7</w:t>
            </w:r>
          </w:p>
        </w:tc>
        <w:tc>
          <w:tcPr>
            <w:tcW w:w="709" w:type="dxa"/>
            <w:shd w:val="clear" w:color="auto" w:fill="FFFFFF"/>
          </w:tcPr>
          <w:p w14:paraId="6A706D08">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8</w:t>
            </w:r>
          </w:p>
        </w:tc>
        <w:tc>
          <w:tcPr>
            <w:tcW w:w="1415" w:type="dxa"/>
            <w:shd w:val="clear" w:color="auto" w:fill="FFFFFF"/>
          </w:tcPr>
          <w:p w14:paraId="7613BCAC">
            <w:pPr>
              <w:snapToGrid w:val="0"/>
              <w:spacing w:line="240" w:lineRule="auto"/>
              <w:jc w:val="center"/>
              <w:rPr>
                <w:rFonts w:hAnsi="Lucida Sans Unicode"/>
                <w:color w:val="151515"/>
                <w:sz w:val="18"/>
                <w:szCs w:val="18"/>
              </w:rPr>
            </w:pPr>
            <w:r>
              <w:rPr>
                <w:rFonts w:hAnsi="Lucida Sans Unicode"/>
                <w:color w:val="151515"/>
                <w:sz w:val="18"/>
                <w:szCs w:val="18"/>
              </w:rPr>
              <w:t>丙酮</w:t>
            </w:r>
          </w:p>
        </w:tc>
        <w:tc>
          <w:tcPr>
            <w:tcW w:w="991" w:type="dxa"/>
            <w:shd w:val="clear" w:color="auto" w:fill="FFFFFF"/>
          </w:tcPr>
          <w:p w14:paraId="6E39FA7B">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7</w:t>
            </w:r>
            <w:r>
              <w:rPr>
                <w:rFonts w:hint="eastAsia" w:hAnsi="Lucida Sans Unicode"/>
                <w:color w:val="151515"/>
                <w:sz w:val="18"/>
                <w:szCs w:val="18"/>
              </w:rPr>
              <w:t>-</w:t>
            </w:r>
            <w:r>
              <w:rPr>
                <w:rFonts w:hAnsi="Lucida Sans Unicode"/>
                <w:color w:val="151515"/>
                <w:sz w:val="18"/>
                <w:szCs w:val="18"/>
              </w:rPr>
              <w:t>64</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414B456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8</w:t>
            </w:r>
          </w:p>
        </w:tc>
      </w:tr>
      <w:tr w14:paraId="372AC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59B2C76A">
            <w:pPr>
              <w:snapToGrid w:val="0"/>
              <w:spacing w:line="240" w:lineRule="auto"/>
              <w:jc w:val="center"/>
              <w:rPr>
                <w:rFonts w:hAnsi="Lucida Sans Unicode"/>
                <w:color w:val="151515"/>
                <w:sz w:val="18"/>
                <w:szCs w:val="18"/>
              </w:rPr>
            </w:pPr>
            <w:r>
              <w:rPr>
                <w:rFonts w:hint="eastAsia" w:hAnsi="Lucida Sans Unicode"/>
                <w:color w:val="151515"/>
                <w:sz w:val="18"/>
                <w:szCs w:val="18"/>
              </w:rPr>
              <w:t>3</w:t>
            </w:r>
          </w:p>
        </w:tc>
        <w:tc>
          <w:tcPr>
            <w:tcW w:w="1285" w:type="dxa"/>
            <w:shd w:val="clear" w:color="auto" w:fill="FFFFFF"/>
          </w:tcPr>
          <w:p w14:paraId="3A990E3E">
            <w:pPr>
              <w:snapToGrid w:val="0"/>
              <w:spacing w:line="240" w:lineRule="auto"/>
              <w:jc w:val="center"/>
              <w:rPr>
                <w:rFonts w:hAnsi="Lucida Sans Unicode"/>
                <w:color w:val="151515"/>
                <w:sz w:val="18"/>
                <w:szCs w:val="18"/>
              </w:rPr>
            </w:pPr>
            <w:r>
              <w:rPr>
                <w:rFonts w:hAnsi="Lucida Sans Unicode"/>
                <w:color w:val="151515"/>
                <w:sz w:val="18"/>
                <w:szCs w:val="18"/>
              </w:rPr>
              <w:t>乙苯</w:t>
            </w:r>
          </w:p>
        </w:tc>
        <w:tc>
          <w:tcPr>
            <w:tcW w:w="1134" w:type="dxa"/>
            <w:shd w:val="clear" w:color="auto" w:fill="FFFFFF"/>
          </w:tcPr>
          <w:p w14:paraId="1CC4271C">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00</w:t>
            </w:r>
            <w:r>
              <w:rPr>
                <w:rFonts w:hint="eastAsia" w:hAnsi="Lucida Sans Unicode"/>
                <w:color w:val="151515"/>
                <w:sz w:val="18"/>
                <w:szCs w:val="18"/>
              </w:rPr>
              <w:t>-</w:t>
            </w:r>
            <w:r>
              <w:rPr>
                <w:rFonts w:hAnsi="Lucida Sans Unicode"/>
                <w:color w:val="151515"/>
                <w:sz w:val="18"/>
                <w:szCs w:val="18"/>
              </w:rPr>
              <w:t>41</w:t>
            </w:r>
            <w:r>
              <w:rPr>
                <w:rFonts w:hint="eastAsia" w:hAnsi="Lucida Sans Unicode"/>
                <w:color w:val="151515"/>
                <w:sz w:val="18"/>
                <w:szCs w:val="18"/>
              </w:rPr>
              <w:t>-</w:t>
            </w:r>
            <w:r>
              <w:rPr>
                <w:rFonts w:hAnsi="Lucida Sans Unicode"/>
                <w:color w:val="151515"/>
                <w:sz w:val="18"/>
                <w:szCs w:val="18"/>
              </w:rPr>
              <w:t>4</w:t>
            </w:r>
          </w:p>
        </w:tc>
        <w:tc>
          <w:tcPr>
            <w:tcW w:w="1134" w:type="dxa"/>
            <w:shd w:val="clear" w:color="auto" w:fill="FFFFFF"/>
          </w:tcPr>
          <w:p w14:paraId="2C1D14B2">
            <w:pPr>
              <w:snapToGrid w:val="0"/>
              <w:spacing w:line="240" w:lineRule="auto"/>
              <w:jc w:val="center"/>
              <w:rPr>
                <w:rFonts w:hAnsi="Lucida Sans Unicode"/>
                <w:color w:val="151515"/>
                <w:sz w:val="18"/>
                <w:szCs w:val="18"/>
              </w:rPr>
            </w:pPr>
            <w:r>
              <w:rPr>
                <w:rFonts w:hint="eastAsia" w:hAnsi="Lucida Sans Unicode"/>
                <w:color w:val="151515"/>
                <w:sz w:val="18"/>
                <w:szCs w:val="18"/>
              </w:rPr>
              <w:t>8</w:t>
            </w:r>
            <w:r>
              <w:rPr>
                <w:rFonts w:hAnsi="Lucida Sans Unicode"/>
                <w:color w:val="151515"/>
                <w:sz w:val="18"/>
                <w:szCs w:val="18"/>
              </w:rPr>
              <w:t>1</w:t>
            </w:r>
          </w:p>
        </w:tc>
        <w:tc>
          <w:tcPr>
            <w:tcW w:w="709" w:type="dxa"/>
            <w:shd w:val="clear" w:color="auto" w:fill="FFFFFF"/>
          </w:tcPr>
          <w:p w14:paraId="72AFBAFD">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9</w:t>
            </w:r>
          </w:p>
        </w:tc>
        <w:tc>
          <w:tcPr>
            <w:tcW w:w="1415" w:type="dxa"/>
            <w:shd w:val="clear" w:color="auto" w:fill="FFFFFF"/>
          </w:tcPr>
          <w:p w14:paraId="5AA5834E">
            <w:pPr>
              <w:snapToGrid w:val="0"/>
              <w:spacing w:line="240" w:lineRule="auto"/>
              <w:jc w:val="center"/>
              <w:rPr>
                <w:rFonts w:hAnsi="Lucida Sans Unicode"/>
                <w:color w:val="151515"/>
                <w:sz w:val="18"/>
                <w:szCs w:val="18"/>
              </w:rPr>
            </w:pPr>
            <w:r>
              <w:rPr>
                <w:rFonts w:hAnsi="Lucida Sans Unicode"/>
                <w:color w:val="151515"/>
                <w:sz w:val="18"/>
                <w:szCs w:val="18"/>
              </w:rPr>
              <w:t>乙酸甲酯</w:t>
            </w:r>
          </w:p>
        </w:tc>
        <w:tc>
          <w:tcPr>
            <w:tcW w:w="991" w:type="dxa"/>
            <w:shd w:val="clear" w:color="auto" w:fill="FFFFFF"/>
          </w:tcPr>
          <w:p w14:paraId="1AAB29DF">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9</w:t>
            </w:r>
            <w:r>
              <w:rPr>
                <w:rFonts w:hint="eastAsia" w:hAnsi="Lucida Sans Unicode"/>
                <w:color w:val="151515"/>
                <w:sz w:val="18"/>
                <w:szCs w:val="18"/>
              </w:rPr>
              <w:t>-</w:t>
            </w:r>
            <w:r>
              <w:rPr>
                <w:rFonts w:hAnsi="Lucida Sans Unicode"/>
                <w:color w:val="151515"/>
                <w:sz w:val="18"/>
                <w:szCs w:val="18"/>
              </w:rPr>
              <w:t>20</w:t>
            </w:r>
            <w:r>
              <w:rPr>
                <w:rFonts w:hint="eastAsia" w:hAnsi="Lucida Sans Unicode"/>
                <w:color w:val="151515"/>
                <w:sz w:val="18"/>
                <w:szCs w:val="18"/>
              </w:rPr>
              <w:t>-</w:t>
            </w:r>
            <w:r>
              <w:rPr>
                <w:rFonts w:hAnsi="Lucida Sans Unicode"/>
                <w:color w:val="151515"/>
                <w:sz w:val="18"/>
                <w:szCs w:val="18"/>
              </w:rPr>
              <w:t>9</w:t>
            </w:r>
          </w:p>
        </w:tc>
        <w:tc>
          <w:tcPr>
            <w:tcW w:w="991" w:type="dxa"/>
            <w:shd w:val="clear" w:color="auto" w:fill="FFFFFF"/>
          </w:tcPr>
          <w:p w14:paraId="3371FE05">
            <w:pPr>
              <w:snapToGrid w:val="0"/>
              <w:spacing w:line="240" w:lineRule="auto"/>
              <w:jc w:val="center"/>
              <w:rPr>
                <w:rFonts w:hAnsi="Lucida Sans Unicode"/>
                <w:color w:val="151515"/>
                <w:sz w:val="18"/>
                <w:szCs w:val="18"/>
              </w:rPr>
            </w:pPr>
            <w:r>
              <w:rPr>
                <w:rFonts w:hint="eastAsia" w:hAnsi="Lucida Sans Unicode"/>
                <w:color w:val="151515"/>
                <w:sz w:val="18"/>
                <w:szCs w:val="18"/>
              </w:rPr>
              <w:t>5</w:t>
            </w:r>
          </w:p>
        </w:tc>
      </w:tr>
      <w:tr w14:paraId="3080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001B6101">
            <w:pPr>
              <w:snapToGrid w:val="0"/>
              <w:spacing w:line="240" w:lineRule="auto"/>
              <w:jc w:val="center"/>
              <w:rPr>
                <w:rFonts w:hAnsi="Lucida Sans Unicode"/>
                <w:color w:val="151515"/>
                <w:sz w:val="18"/>
                <w:szCs w:val="18"/>
              </w:rPr>
            </w:pPr>
            <w:r>
              <w:rPr>
                <w:rFonts w:hint="eastAsia" w:hAnsi="Lucida Sans Unicode"/>
                <w:color w:val="151515"/>
                <w:sz w:val="18"/>
                <w:szCs w:val="18"/>
              </w:rPr>
              <w:t>4</w:t>
            </w:r>
          </w:p>
        </w:tc>
        <w:tc>
          <w:tcPr>
            <w:tcW w:w="1285" w:type="dxa"/>
            <w:shd w:val="clear" w:color="auto" w:fill="FFFFFF"/>
          </w:tcPr>
          <w:p w14:paraId="3565163E">
            <w:pPr>
              <w:snapToGrid w:val="0"/>
              <w:spacing w:line="240" w:lineRule="auto"/>
              <w:jc w:val="center"/>
              <w:rPr>
                <w:rFonts w:hAnsi="Lucida Sans Unicode"/>
                <w:color w:val="151515"/>
                <w:sz w:val="18"/>
                <w:szCs w:val="18"/>
              </w:rPr>
            </w:pPr>
            <w:r>
              <w:rPr>
                <w:rFonts w:hAnsi="Lucida Sans Unicode"/>
                <w:color w:val="151515"/>
                <w:sz w:val="18"/>
                <w:szCs w:val="18"/>
              </w:rPr>
              <w:t>邻二甲苯</w:t>
            </w:r>
          </w:p>
        </w:tc>
        <w:tc>
          <w:tcPr>
            <w:tcW w:w="1134" w:type="dxa"/>
            <w:shd w:val="clear" w:color="auto" w:fill="FFFFFF"/>
          </w:tcPr>
          <w:p w14:paraId="021308D1">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47</w:t>
            </w:r>
            <w:r>
              <w:rPr>
                <w:rFonts w:hint="eastAsia" w:hAnsi="Lucida Sans Unicode"/>
                <w:color w:val="151515"/>
                <w:sz w:val="18"/>
                <w:szCs w:val="18"/>
              </w:rPr>
              <w:t>-</w:t>
            </w:r>
            <w:r>
              <w:rPr>
                <w:rFonts w:hAnsi="Lucida Sans Unicode"/>
                <w:color w:val="151515"/>
                <w:sz w:val="18"/>
                <w:szCs w:val="18"/>
              </w:rPr>
              <w:t>6</w:t>
            </w:r>
          </w:p>
        </w:tc>
        <w:tc>
          <w:tcPr>
            <w:tcW w:w="1134" w:type="dxa"/>
            <w:shd w:val="clear" w:color="auto" w:fill="FFFFFF"/>
          </w:tcPr>
          <w:p w14:paraId="2F45F5F2">
            <w:pPr>
              <w:snapToGrid w:val="0"/>
              <w:spacing w:line="240" w:lineRule="auto"/>
              <w:jc w:val="center"/>
              <w:rPr>
                <w:rFonts w:hAnsi="Lucida Sans Unicode"/>
                <w:color w:val="151515"/>
                <w:sz w:val="18"/>
                <w:szCs w:val="18"/>
              </w:rPr>
            </w:pPr>
            <w:r>
              <w:rPr>
                <w:rFonts w:hint="eastAsia" w:hAnsi="Lucida Sans Unicode"/>
                <w:color w:val="151515"/>
                <w:sz w:val="18"/>
                <w:szCs w:val="18"/>
              </w:rPr>
              <w:t>8</w:t>
            </w:r>
            <w:r>
              <w:rPr>
                <w:rFonts w:hAnsi="Lucida Sans Unicode"/>
                <w:color w:val="151515"/>
                <w:sz w:val="18"/>
                <w:szCs w:val="18"/>
              </w:rPr>
              <w:t>3</w:t>
            </w:r>
          </w:p>
        </w:tc>
        <w:tc>
          <w:tcPr>
            <w:tcW w:w="709" w:type="dxa"/>
            <w:shd w:val="clear" w:color="auto" w:fill="FFFFFF"/>
          </w:tcPr>
          <w:p w14:paraId="29F90B5A">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0</w:t>
            </w:r>
          </w:p>
        </w:tc>
        <w:tc>
          <w:tcPr>
            <w:tcW w:w="1415" w:type="dxa"/>
            <w:shd w:val="clear" w:color="auto" w:fill="FFFFFF"/>
          </w:tcPr>
          <w:p w14:paraId="52353C48">
            <w:pPr>
              <w:snapToGrid w:val="0"/>
              <w:spacing w:line="240" w:lineRule="auto"/>
              <w:jc w:val="center"/>
              <w:rPr>
                <w:rFonts w:hAnsi="Lucida Sans Unicode"/>
                <w:color w:val="151515"/>
                <w:sz w:val="18"/>
                <w:szCs w:val="18"/>
              </w:rPr>
            </w:pPr>
            <w:r>
              <w:rPr>
                <w:rFonts w:hAnsi="Lucida Sans Unicode"/>
                <w:color w:val="151515"/>
                <w:sz w:val="18"/>
                <w:szCs w:val="18"/>
              </w:rPr>
              <w:t>甲醛</w:t>
            </w:r>
          </w:p>
        </w:tc>
        <w:tc>
          <w:tcPr>
            <w:tcW w:w="991" w:type="dxa"/>
            <w:shd w:val="clear" w:color="auto" w:fill="FFFFFF"/>
          </w:tcPr>
          <w:p w14:paraId="5F568606">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0</w:t>
            </w:r>
            <w:r>
              <w:rPr>
                <w:rFonts w:hint="eastAsia" w:hAnsi="Lucida Sans Unicode"/>
                <w:color w:val="151515"/>
                <w:sz w:val="18"/>
                <w:szCs w:val="18"/>
              </w:rPr>
              <w:t>-</w:t>
            </w:r>
            <w:r>
              <w:rPr>
                <w:rFonts w:hAnsi="Lucida Sans Unicode"/>
                <w:color w:val="151515"/>
                <w:sz w:val="18"/>
                <w:szCs w:val="18"/>
              </w:rPr>
              <w:t>00</w:t>
            </w:r>
            <w:r>
              <w:rPr>
                <w:rFonts w:hint="eastAsia" w:hAnsi="Lucida Sans Unicode"/>
                <w:color w:val="151515"/>
                <w:sz w:val="18"/>
                <w:szCs w:val="18"/>
              </w:rPr>
              <w:t>-</w:t>
            </w:r>
            <w:r>
              <w:rPr>
                <w:rFonts w:hAnsi="Lucida Sans Unicode"/>
                <w:color w:val="151515"/>
                <w:sz w:val="18"/>
                <w:szCs w:val="18"/>
              </w:rPr>
              <w:t>0</w:t>
            </w:r>
          </w:p>
        </w:tc>
        <w:tc>
          <w:tcPr>
            <w:tcW w:w="991" w:type="dxa"/>
            <w:shd w:val="clear" w:color="auto" w:fill="FFFFFF"/>
          </w:tcPr>
          <w:p w14:paraId="1560754A">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5</w:t>
            </w:r>
          </w:p>
        </w:tc>
      </w:tr>
      <w:tr w14:paraId="70A48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72DBF32">
            <w:pPr>
              <w:snapToGrid w:val="0"/>
              <w:spacing w:line="240" w:lineRule="auto"/>
              <w:jc w:val="center"/>
              <w:rPr>
                <w:rFonts w:hAnsi="Lucida Sans Unicode"/>
                <w:color w:val="151515"/>
                <w:sz w:val="18"/>
                <w:szCs w:val="18"/>
              </w:rPr>
            </w:pPr>
            <w:r>
              <w:rPr>
                <w:rFonts w:hint="eastAsia" w:hAnsi="Lucida Sans Unicode"/>
                <w:color w:val="151515"/>
                <w:sz w:val="18"/>
                <w:szCs w:val="18"/>
              </w:rPr>
              <w:t>5</w:t>
            </w:r>
          </w:p>
        </w:tc>
        <w:tc>
          <w:tcPr>
            <w:tcW w:w="1285" w:type="dxa"/>
            <w:shd w:val="clear" w:color="auto" w:fill="FFFFFF"/>
          </w:tcPr>
          <w:p w14:paraId="410CAD5E">
            <w:pPr>
              <w:snapToGrid w:val="0"/>
              <w:spacing w:line="240" w:lineRule="auto"/>
              <w:jc w:val="center"/>
              <w:rPr>
                <w:rFonts w:hAnsi="Lucida Sans Unicode"/>
                <w:color w:val="151515"/>
                <w:sz w:val="18"/>
                <w:szCs w:val="18"/>
              </w:rPr>
            </w:pPr>
            <w:r>
              <w:rPr>
                <w:rFonts w:hAnsi="Lucida Sans Unicode"/>
                <w:color w:val="151515"/>
                <w:sz w:val="18"/>
                <w:szCs w:val="18"/>
              </w:rPr>
              <w:t>间二甲苯</w:t>
            </w:r>
          </w:p>
        </w:tc>
        <w:tc>
          <w:tcPr>
            <w:tcW w:w="1134" w:type="dxa"/>
            <w:shd w:val="clear" w:color="auto" w:fill="FFFFFF"/>
          </w:tcPr>
          <w:p w14:paraId="1E63BE9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r>
              <w:rPr>
                <w:rFonts w:hint="eastAsia" w:hAnsi="Lucida Sans Unicode"/>
                <w:color w:val="151515"/>
                <w:sz w:val="18"/>
                <w:szCs w:val="18"/>
              </w:rPr>
              <w:t>-</w:t>
            </w:r>
            <w:r>
              <w:rPr>
                <w:rFonts w:hAnsi="Lucida Sans Unicode"/>
                <w:color w:val="151515"/>
                <w:sz w:val="18"/>
                <w:szCs w:val="18"/>
              </w:rPr>
              <w:t>38</w:t>
            </w:r>
            <w:r>
              <w:rPr>
                <w:rFonts w:hint="eastAsia" w:hAnsi="Lucida Sans Unicode"/>
                <w:color w:val="151515"/>
                <w:sz w:val="18"/>
                <w:szCs w:val="18"/>
              </w:rPr>
              <w:t>-</w:t>
            </w:r>
            <w:r>
              <w:rPr>
                <w:rFonts w:hAnsi="Lucida Sans Unicode"/>
                <w:color w:val="151515"/>
                <w:sz w:val="18"/>
                <w:szCs w:val="18"/>
              </w:rPr>
              <w:t>3</w:t>
            </w:r>
          </w:p>
        </w:tc>
        <w:tc>
          <w:tcPr>
            <w:tcW w:w="1134" w:type="dxa"/>
            <w:shd w:val="clear" w:color="auto" w:fill="FFFFFF"/>
          </w:tcPr>
          <w:p w14:paraId="7392D58E">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09</w:t>
            </w:r>
          </w:p>
        </w:tc>
        <w:tc>
          <w:tcPr>
            <w:tcW w:w="709" w:type="dxa"/>
            <w:shd w:val="clear" w:color="auto" w:fill="FFFFFF"/>
          </w:tcPr>
          <w:p w14:paraId="6317A5B7">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1</w:t>
            </w:r>
          </w:p>
        </w:tc>
        <w:tc>
          <w:tcPr>
            <w:tcW w:w="1415" w:type="dxa"/>
            <w:shd w:val="clear" w:color="auto" w:fill="FFFFFF"/>
          </w:tcPr>
          <w:p w14:paraId="1D3D4482">
            <w:pPr>
              <w:snapToGrid w:val="0"/>
              <w:spacing w:line="240" w:lineRule="auto"/>
              <w:jc w:val="center"/>
              <w:rPr>
                <w:rFonts w:hAnsi="Lucida Sans Unicode"/>
                <w:color w:val="151515"/>
                <w:sz w:val="18"/>
                <w:szCs w:val="18"/>
              </w:rPr>
            </w:pPr>
            <w:r>
              <w:rPr>
                <w:rFonts w:hAnsi="Lucida Sans Unicode"/>
                <w:color w:val="151515"/>
                <w:sz w:val="18"/>
                <w:szCs w:val="18"/>
              </w:rPr>
              <w:t>环己酮</w:t>
            </w:r>
          </w:p>
        </w:tc>
        <w:tc>
          <w:tcPr>
            <w:tcW w:w="991" w:type="dxa"/>
            <w:shd w:val="clear" w:color="auto" w:fill="FFFFFF"/>
          </w:tcPr>
          <w:p w14:paraId="5279FFB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r>
              <w:rPr>
                <w:rFonts w:hint="eastAsia" w:hAnsi="Lucida Sans Unicode"/>
                <w:color w:val="151515"/>
                <w:sz w:val="18"/>
                <w:szCs w:val="18"/>
              </w:rPr>
              <w:t>-</w:t>
            </w:r>
            <w:r>
              <w:rPr>
                <w:rFonts w:hAnsi="Lucida Sans Unicode"/>
                <w:color w:val="151515"/>
                <w:sz w:val="18"/>
                <w:szCs w:val="18"/>
              </w:rPr>
              <w:t>94</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2D535304">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3</w:t>
            </w:r>
          </w:p>
        </w:tc>
      </w:tr>
      <w:tr w14:paraId="6B8DC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2648795">
            <w:pPr>
              <w:snapToGrid w:val="0"/>
              <w:spacing w:line="240" w:lineRule="auto"/>
              <w:jc w:val="center"/>
              <w:rPr>
                <w:rFonts w:hAnsi="Lucida Sans Unicode"/>
                <w:color w:val="151515"/>
                <w:sz w:val="18"/>
                <w:szCs w:val="18"/>
              </w:rPr>
            </w:pPr>
            <w:r>
              <w:rPr>
                <w:rFonts w:hint="eastAsia" w:hAnsi="Lucida Sans Unicode"/>
                <w:color w:val="151515"/>
                <w:sz w:val="18"/>
                <w:szCs w:val="18"/>
              </w:rPr>
              <w:t>6</w:t>
            </w:r>
          </w:p>
        </w:tc>
        <w:tc>
          <w:tcPr>
            <w:tcW w:w="1285" w:type="dxa"/>
            <w:shd w:val="clear" w:color="auto" w:fill="FFFFFF"/>
          </w:tcPr>
          <w:p w14:paraId="15B26388">
            <w:pPr>
              <w:snapToGrid w:val="0"/>
              <w:spacing w:line="240" w:lineRule="auto"/>
              <w:jc w:val="center"/>
              <w:rPr>
                <w:rFonts w:hAnsi="Lucida Sans Unicode"/>
                <w:color w:val="151515"/>
                <w:sz w:val="18"/>
                <w:szCs w:val="18"/>
              </w:rPr>
            </w:pPr>
            <w:r>
              <w:rPr>
                <w:rFonts w:hAnsi="Lucida Sans Unicode"/>
                <w:color w:val="151515"/>
                <w:sz w:val="18"/>
                <w:szCs w:val="18"/>
              </w:rPr>
              <w:t>对二甲苯</w:t>
            </w:r>
          </w:p>
        </w:tc>
        <w:tc>
          <w:tcPr>
            <w:tcW w:w="1134" w:type="dxa"/>
            <w:shd w:val="clear" w:color="auto" w:fill="FFFFFF"/>
          </w:tcPr>
          <w:p w14:paraId="77A10A61">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96</w:t>
            </w:r>
            <w:r>
              <w:rPr>
                <w:rFonts w:hint="eastAsia" w:hAnsi="Lucida Sans Unicode"/>
                <w:color w:val="151515"/>
                <w:sz w:val="18"/>
                <w:szCs w:val="18"/>
              </w:rPr>
              <w:t>-</w:t>
            </w:r>
            <w:r>
              <w:rPr>
                <w:rFonts w:hAnsi="Lucida Sans Unicode"/>
                <w:color w:val="151515"/>
                <w:sz w:val="18"/>
                <w:szCs w:val="18"/>
              </w:rPr>
              <w:t>42</w:t>
            </w:r>
            <w:r>
              <w:rPr>
                <w:rFonts w:hint="eastAsia" w:hAnsi="Lucida Sans Unicode"/>
                <w:color w:val="151515"/>
                <w:sz w:val="18"/>
                <w:szCs w:val="18"/>
              </w:rPr>
              <w:t>-</w:t>
            </w:r>
            <w:r>
              <w:rPr>
                <w:rFonts w:hAnsi="Lucida Sans Unicode"/>
                <w:color w:val="151515"/>
                <w:sz w:val="18"/>
                <w:szCs w:val="18"/>
              </w:rPr>
              <w:t>3</w:t>
            </w:r>
          </w:p>
        </w:tc>
        <w:tc>
          <w:tcPr>
            <w:tcW w:w="1134" w:type="dxa"/>
            <w:shd w:val="clear" w:color="auto" w:fill="FFFFFF"/>
          </w:tcPr>
          <w:p w14:paraId="7818315B">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5</w:t>
            </w:r>
          </w:p>
        </w:tc>
        <w:tc>
          <w:tcPr>
            <w:tcW w:w="709" w:type="dxa"/>
            <w:shd w:val="clear" w:color="auto" w:fill="FFFFFF"/>
          </w:tcPr>
          <w:p w14:paraId="532A75A8">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2</w:t>
            </w:r>
          </w:p>
        </w:tc>
        <w:tc>
          <w:tcPr>
            <w:tcW w:w="1415" w:type="dxa"/>
            <w:shd w:val="clear" w:color="auto" w:fill="FFFFFF"/>
          </w:tcPr>
          <w:p w14:paraId="1EF082C7">
            <w:pPr>
              <w:snapToGrid w:val="0"/>
              <w:spacing w:line="240" w:lineRule="auto"/>
              <w:jc w:val="center"/>
              <w:rPr>
                <w:rFonts w:hAnsi="Lucida Sans Unicode"/>
                <w:color w:val="151515"/>
                <w:sz w:val="18"/>
                <w:szCs w:val="18"/>
              </w:rPr>
            </w:pPr>
            <w:r>
              <w:rPr>
                <w:rFonts w:hAnsi="Lucida Sans Unicode"/>
                <w:color w:val="151515"/>
                <w:sz w:val="18"/>
                <w:szCs w:val="18"/>
              </w:rPr>
              <w:t>正丁醇</w:t>
            </w:r>
          </w:p>
        </w:tc>
        <w:tc>
          <w:tcPr>
            <w:tcW w:w="991" w:type="dxa"/>
            <w:shd w:val="clear" w:color="auto" w:fill="FFFFFF"/>
          </w:tcPr>
          <w:p w14:paraId="0BD5D07B">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1</w:t>
            </w:r>
            <w:r>
              <w:rPr>
                <w:rFonts w:hint="eastAsia" w:hAnsi="Lucida Sans Unicode"/>
                <w:color w:val="151515"/>
                <w:sz w:val="18"/>
                <w:szCs w:val="18"/>
              </w:rPr>
              <w:t>-</w:t>
            </w:r>
            <w:r>
              <w:rPr>
                <w:rFonts w:hAnsi="Lucida Sans Unicode"/>
                <w:color w:val="151515"/>
                <w:sz w:val="18"/>
                <w:szCs w:val="18"/>
              </w:rPr>
              <w:t>36</w:t>
            </w:r>
            <w:r>
              <w:rPr>
                <w:rFonts w:hint="eastAsia" w:hAnsi="Lucida Sans Unicode"/>
                <w:color w:val="151515"/>
                <w:sz w:val="18"/>
                <w:szCs w:val="18"/>
              </w:rPr>
              <w:t>-</w:t>
            </w:r>
            <w:r>
              <w:rPr>
                <w:rFonts w:hAnsi="Lucida Sans Unicode"/>
                <w:color w:val="151515"/>
                <w:sz w:val="18"/>
                <w:szCs w:val="18"/>
              </w:rPr>
              <w:t>3</w:t>
            </w:r>
          </w:p>
        </w:tc>
        <w:tc>
          <w:tcPr>
            <w:tcW w:w="991" w:type="dxa"/>
            <w:shd w:val="clear" w:color="auto" w:fill="FFFFFF"/>
          </w:tcPr>
          <w:p w14:paraId="24ABBD67">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3</w:t>
            </w:r>
          </w:p>
        </w:tc>
      </w:tr>
      <w:tr w14:paraId="3BAFD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3A04BFAA">
            <w:pPr>
              <w:snapToGrid w:val="0"/>
              <w:spacing w:line="240" w:lineRule="auto"/>
              <w:jc w:val="center"/>
              <w:rPr>
                <w:rFonts w:hAnsi="Lucida Sans Unicode"/>
                <w:color w:val="151515"/>
                <w:sz w:val="18"/>
                <w:szCs w:val="18"/>
              </w:rPr>
            </w:pPr>
            <w:r>
              <w:rPr>
                <w:rFonts w:hint="eastAsia" w:hAnsi="Lucida Sans Unicode"/>
                <w:color w:val="151515"/>
                <w:sz w:val="18"/>
                <w:szCs w:val="18"/>
              </w:rPr>
              <w:t>7</w:t>
            </w:r>
          </w:p>
        </w:tc>
        <w:tc>
          <w:tcPr>
            <w:tcW w:w="1285" w:type="dxa"/>
            <w:shd w:val="clear" w:color="auto" w:fill="FFFFFF"/>
          </w:tcPr>
          <w:p w14:paraId="6339BCE4">
            <w:pPr>
              <w:snapToGrid w:val="0"/>
              <w:spacing w:line="240" w:lineRule="auto"/>
              <w:jc w:val="center"/>
              <w:rPr>
                <w:rFonts w:hAnsi="Lucida Sans Unicode"/>
                <w:color w:val="151515"/>
                <w:sz w:val="18"/>
                <w:szCs w:val="18"/>
              </w:rPr>
            </w:pPr>
            <w:r>
              <w:rPr>
                <w:rFonts w:hAnsi="Lucida Sans Unicode"/>
                <w:color w:val="151515"/>
                <w:sz w:val="18"/>
                <w:szCs w:val="18"/>
              </w:rPr>
              <w:t>1,3,5-三甲苯</w:t>
            </w:r>
            <w:r>
              <w:rPr>
                <w:rFonts w:hint="eastAsia" w:hAnsi="Lucida Sans Unicode"/>
                <w:color w:val="151515"/>
                <w:sz w:val="18"/>
                <w:szCs w:val="18"/>
              </w:rPr>
              <w:t>（均三甲苯）</w:t>
            </w:r>
          </w:p>
        </w:tc>
        <w:tc>
          <w:tcPr>
            <w:tcW w:w="1134" w:type="dxa"/>
            <w:shd w:val="clear" w:color="auto" w:fill="FFFFFF"/>
          </w:tcPr>
          <w:p w14:paraId="39105264">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r>
              <w:rPr>
                <w:rFonts w:hint="eastAsia" w:hAnsi="Lucida Sans Unicode"/>
                <w:color w:val="151515"/>
                <w:sz w:val="18"/>
                <w:szCs w:val="18"/>
              </w:rPr>
              <w:t>-</w:t>
            </w:r>
            <w:r>
              <w:rPr>
                <w:rFonts w:hAnsi="Lucida Sans Unicode"/>
                <w:color w:val="151515"/>
                <w:sz w:val="18"/>
                <w:szCs w:val="18"/>
              </w:rPr>
              <w:t>67</w:t>
            </w:r>
            <w:r>
              <w:rPr>
                <w:rFonts w:hint="eastAsia" w:hAnsi="Lucida Sans Unicode"/>
                <w:color w:val="151515"/>
                <w:sz w:val="18"/>
                <w:szCs w:val="18"/>
              </w:rPr>
              <w:t>-</w:t>
            </w:r>
            <w:r>
              <w:rPr>
                <w:rFonts w:hAnsi="Lucida Sans Unicode"/>
                <w:color w:val="151515"/>
                <w:sz w:val="18"/>
                <w:szCs w:val="18"/>
              </w:rPr>
              <w:t>8</w:t>
            </w:r>
          </w:p>
        </w:tc>
        <w:tc>
          <w:tcPr>
            <w:tcW w:w="1134" w:type="dxa"/>
            <w:shd w:val="clear" w:color="auto" w:fill="FFFFFF"/>
          </w:tcPr>
          <w:p w14:paraId="42359ED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30</w:t>
            </w:r>
          </w:p>
        </w:tc>
        <w:tc>
          <w:tcPr>
            <w:tcW w:w="709" w:type="dxa"/>
            <w:shd w:val="clear" w:color="auto" w:fill="FFFFFF"/>
          </w:tcPr>
          <w:p w14:paraId="1E1AA5A0">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3</w:t>
            </w:r>
          </w:p>
        </w:tc>
        <w:tc>
          <w:tcPr>
            <w:tcW w:w="1415" w:type="dxa"/>
            <w:shd w:val="clear" w:color="auto" w:fill="FFFFFF"/>
          </w:tcPr>
          <w:p w14:paraId="7F509B9A">
            <w:pPr>
              <w:snapToGrid w:val="0"/>
              <w:spacing w:line="240" w:lineRule="auto"/>
              <w:jc w:val="center"/>
              <w:rPr>
                <w:rFonts w:hAnsi="Lucida Sans Unicode"/>
                <w:color w:val="151515"/>
                <w:sz w:val="18"/>
                <w:szCs w:val="18"/>
              </w:rPr>
            </w:pPr>
            <w:r>
              <w:rPr>
                <w:rFonts w:hint="eastAsia" w:hAnsi="Lucida Sans Unicode"/>
                <w:color w:val="151515"/>
                <w:sz w:val="18"/>
                <w:szCs w:val="18"/>
              </w:rPr>
              <w:t>间乙基甲苯</w:t>
            </w:r>
          </w:p>
        </w:tc>
        <w:tc>
          <w:tcPr>
            <w:tcW w:w="991" w:type="dxa"/>
            <w:shd w:val="clear" w:color="auto" w:fill="FFFFFF"/>
          </w:tcPr>
          <w:p w14:paraId="526E50CA">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20</w:t>
            </w:r>
            <w:r>
              <w:rPr>
                <w:rFonts w:hint="eastAsia" w:hAnsi="Lucida Sans Unicode"/>
                <w:color w:val="151515"/>
                <w:sz w:val="18"/>
                <w:szCs w:val="18"/>
              </w:rPr>
              <w:t>-</w:t>
            </w:r>
            <w:r>
              <w:rPr>
                <w:rFonts w:hAnsi="Lucida Sans Unicode"/>
                <w:color w:val="151515"/>
                <w:sz w:val="18"/>
                <w:szCs w:val="18"/>
              </w:rPr>
              <w:t>14</w:t>
            </w:r>
            <w:r>
              <w:rPr>
                <w:rFonts w:hint="eastAsia" w:hAnsi="Lucida Sans Unicode"/>
                <w:color w:val="151515"/>
                <w:sz w:val="18"/>
                <w:szCs w:val="18"/>
              </w:rPr>
              <w:t>-</w:t>
            </w:r>
            <w:r>
              <w:rPr>
                <w:rFonts w:hAnsi="Lucida Sans Unicode"/>
                <w:color w:val="151515"/>
                <w:sz w:val="18"/>
                <w:szCs w:val="18"/>
              </w:rPr>
              <w:t>4</w:t>
            </w:r>
          </w:p>
        </w:tc>
        <w:tc>
          <w:tcPr>
            <w:tcW w:w="991" w:type="dxa"/>
            <w:shd w:val="clear" w:color="auto" w:fill="FFFFFF"/>
          </w:tcPr>
          <w:p w14:paraId="6D1E3A4F">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9</w:t>
            </w:r>
          </w:p>
        </w:tc>
      </w:tr>
      <w:tr w14:paraId="006E0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4A0ED98">
            <w:pPr>
              <w:snapToGrid w:val="0"/>
              <w:spacing w:line="240" w:lineRule="auto"/>
              <w:jc w:val="center"/>
              <w:rPr>
                <w:rFonts w:hAnsi="Lucida Sans Unicode"/>
                <w:color w:val="151515"/>
                <w:sz w:val="18"/>
                <w:szCs w:val="18"/>
              </w:rPr>
            </w:pPr>
            <w:r>
              <w:rPr>
                <w:rFonts w:hint="eastAsia" w:hAnsi="Lucida Sans Unicode"/>
                <w:color w:val="151515"/>
                <w:sz w:val="18"/>
                <w:szCs w:val="18"/>
              </w:rPr>
              <w:t>8</w:t>
            </w:r>
          </w:p>
        </w:tc>
        <w:tc>
          <w:tcPr>
            <w:tcW w:w="1285" w:type="dxa"/>
            <w:shd w:val="clear" w:color="auto" w:fill="FFFFFF"/>
          </w:tcPr>
          <w:p w14:paraId="0CC7CD78">
            <w:pPr>
              <w:snapToGrid w:val="0"/>
              <w:spacing w:line="240" w:lineRule="auto"/>
              <w:jc w:val="center"/>
              <w:rPr>
                <w:rFonts w:hAnsi="Lucida Sans Unicode"/>
                <w:color w:val="151515"/>
                <w:sz w:val="18"/>
                <w:szCs w:val="18"/>
              </w:rPr>
            </w:pPr>
            <w:r>
              <w:rPr>
                <w:rFonts w:hint="eastAsia" w:hAnsi="Lucida Sans Unicode"/>
                <w:color w:val="151515"/>
                <w:sz w:val="18"/>
                <w:szCs w:val="18"/>
              </w:rPr>
              <w:t>1,2,3-三甲苯（连三甲苯）</w:t>
            </w:r>
          </w:p>
        </w:tc>
        <w:tc>
          <w:tcPr>
            <w:tcW w:w="1134" w:type="dxa"/>
            <w:shd w:val="clear" w:color="auto" w:fill="FFFFFF"/>
          </w:tcPr>
          <w:p w14:paraId="682221A0">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26</w:t>
            </w:r>
            <w:r>
              <w:rPr>
                <w:rFonts w:hint="eastAsia" w:hAnsi="Lucida Sans Unicode"/>
                <w:color w:val="151515"/>
                <w:sz w:val="18"/>
                <w:szCs w:val="18"/>
              </w:rPr>
              <w:t>-</w:t>
            </w:r>
            <w:r>
              <w:rPr>
                <w:rFonts w:hAnsi="Lucida Sans Unicode"/>
                <w:color w:val="151515"/>
                <w:sz w:val="18"/>
                <w:szCs w:val="18"/>
              </w:rPr>
              <w:t>73</w:t>
            </w:r>
            <w:r>
              <w:rPr>
                <w:rFonts w:hint="eastAsia" w:hAnsi="Lucida Sans Unicode"/>
                <w:color w:val="151515"/>
                <w:sz w:val="18"/>
                <w:szCs w:val="18"/>
              </w:rPr>
              <w:t>-</w:t>
            </w:r>
            <w:r>
              <w:rPr>
                <w:rFonts w:hAnsi="Lucida Sans Unicode"/>
                <w:color w:val="151515"/>
                <w:sz w:val="18"/>
                <w:szCs w:val="18"/>
              </w:rPr>
              <w:t>8</w:t>
            </w:r>
          </w:p>
        </w:tc>
        <w:tc>
          <w:tcPr>
            <w:tcW w:w="1134" w:type="dxa"/>
            <w:shd w:val="clear" w:color="auto" w:fill="FFFFFF"/>
          </w:tcPr>
          <w:p w14:paraId="0070D756">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25</w:t>
            </w:r>
          </w:p>
        </w:tc>
        <w:tc>
          <w:tcPr>
            <w:tcW w:w="709" w:type="dxa"/>
            <w:shd w:val="clear" w:color="auto" w:fill="FFFFFF"/>
          </w:tcPr>
          <w:p w14:paraId="0401BA6A">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4</w:t>
            </w:r>
          </w:p>
        </w:tc>
        <w:tc>
          <w:tcPr>
            <w:tcW w:w="1415" w:type="dxa"/>
            <w:shd w:val="clear" w:color="auto" w:fill="FFFFFF"/>
          </w:tcPr>
          <w:p w14:paraId="51592284">
            <w:pPr>
              <w:snapToGrid w:val="0"/>
              <w:spacing w:line="240" w:lineRule="auto"/>
              <w:jc w:val="center"/>
              <w:rPr>
                <w:rFonts w:hAnsi="Lucida Sans Unicode"/>
                <w:color w:val="151515"/>
                <w:sz w:val="18"/>
                <w:szCs w:val="18"/>
              </w:rPr>
            </w:pPr>
            <w:r>
              <w:rPr>
                <w:rFonts w:hint="eastAsia" w:hAnsi="Lucida Sans Unicode"/>
                <w:color w:val="151515"/>
                <w:sz w:val="18"/>
                <w:szCs w:val="18"/>
              </w:rPr>
              <w:t>邻乙基甲苯</w:t>
            </w:r>
          </w:p>
        </w:tc>
        <w:tc>
          <w:tcPr>
            <w:tcW w:w="991" w:type="dxa"/>
            <w:shd w:val="clear" w:color="auto" w:fill="FFFFFF"/>
          </w:tcPr>
          <w:p w14:paraId="638DF528">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11</w:t>
            </w:r>
            <w:r>
              <w:rPr>
                <w:rFonts w:hint="eastAsia" w:hAnsi="Lucida Sans Unicode"/>
                <w:color w:val="151515"/>
                <w:sz w:val="18"/>
                <w:szCs w:val="18"/>
              </w:rPr>
              <w:t>-</w:t>
            </w:r>
            <w:r>
              <w:rPr>
                <w:rFonts w:hAnsi="Lucida Sans Unicode"/>
                <w:color w:val="151515"/>
                <w:sz w:val="18"/>
                <w:szCs w:val="18"/>
              </w:rPr>
              <w:t>14</w:t>
            </w:r>
            <w:r>
              <w:rPr>
                <w:rFonts w:hint="eastAsia" w:hAnsi="Lucida Sans Unicode"/>
                <w:color w:val="151515"/>
                <w:sz w:val="18"/>
                <w:szCs w:val="18"/>
              </w:rPr>
              <w:t>-</w:t>
            </w:r>
            <w:r>
              <w:rPr>
                <w:rFonts w:hAnsi="Lucida Sans Unicode"/>
                <w:color w:val="151515"/>
                <w:sz w:val="18"/>
                <w:szCs w:val="18"/>
              </w:rPr>
              <w:t>3</w:t>
            </w:r>
          </w:p>
        </w:tc>
        <w:tc>
          <w:tcPr>
            <w:tcW w:w="991" w:type="dxa"/>
            <w:shd w:val="clear" w:color="auto" w:fill="FFFFFF"/>
          </w:tcPr>
          <w:p w14:paraId="5802D9E5">
            <w:pPr>
              <w:snapToGrid w:val="0"/>
              <w:spacing w:line="240" w:lineRule="auto"/>
              <w:jc w:val="center"/>
              <w:rPr>
                <w:rFonts w:hAnsi="Lucida Sans Unicode"/>
                <w:color w:val="151515"/>
                <w:sz w:val="18"/>
                <w:szCs w:val="18"/>
              </w:rPr>
            </w:pPr>
            <w:r>
              <w:rPr>
                <w:rFonts w:hint="eastAsia" w:hAnsi="Lucida Sans Unicode"/>
                <w:color w:val="151515"/>
                <w:sz w:val="18"/>
                <w:szCs w:val="18"/>
              </w:rPr>
              <w:t>8</w:t>
            </w:r>
            <w:r>
              <w:rPr>
                <w:rFonts w:hAnsi="Lucida Sans Unicode"/>
                <w:color w:val="151515"/>
                <w:sz w:val="18"/>
                <w:szCs w:val="18"/>
              </w:rPr>
              <w:t>5</w:t>
            </w:r>
          </w:p>
        </w:tc>
      </w:tr>
      <w:tr w14:paraId="27176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175A40B3">
            <w:pPr>
              <w:snapToGrid w:val="0"/>
              <w:spacing w:line="240" w:lineRule="auto"/>
              <w:jc w:val="center"/>
              <w:rPr>
                <w:rFonts w:hAnsi="Lucida Sans Unicode"/>
                <w:color w:val="151515"/>
                <w:sz w:val="18"/>
                <w:szCs w:val="18"/>
              </w:rPr>
            </w:pPr>
            <w:r>
              <w:rPr>
                <w:rFonts w:hint="eastAsia" w:hAnsi="Lucida Sans Unicode"/>
                <w:color w:val="151515"/>
                <w:sz w:val="18"/>
                <w:szCs w:val="18"/>
              </w:rPr>
              <w:t>9</w:t>
            </w:r>
          </w:p>
        </w:tc>
        <w:tc>
          <w:tcPr>
            <w:tcW w:w="1285" w:type="dxa"/>
            <w:shd w:val="clear" w:color="auto" w:fill="FFFFFF"/>
          </w:tcPr>
          <w:p w14:paraId="7C70E3DF">
            <w:pPr>
              <w:snapToGrid w:val="0"/>
              <w:spacing w:line="240" w:lineRule="auto"/>
              <w:jc w:val="center"/>
              <w:rPr>
                <w:rFonts w:hAnsi="Lucida Sans Unicode"/>
                <w:color w:val="151515"/>
                <w:sz w:val="18"/>
                <w:szCs w:val="18"/>
              </w:rPr>
            </w:pPr>
            <w:r>
              <w:rPr>
                <w:rFonts w:hint="eastAsia" w:hAnsi="Lucida Sans Unicode"/>
                <w:color w:val="151515"/>
                <w:sz w:val="18"/>
                <w:szCs w:val="18"/>
              </w:rPr>
              <w:t>1,2,4-三甲苯（偏三甲苯）</w:t>
            </w:r>
          </w:p>
        </w:tc>
        <w:tc>
          <w:tcPr>
            <w:tcW w:w="1134" w:type="dxa"/>
            <w:shd w:val="clear" w:color="auto" w:fill="FFFFFF"/>
          </w:tcPr>
          <w:p w14:paraId="11E2ED58">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96</w:t>
            </w:r>
            <w:r>
              <w:rPr>
                <w:rFonts w:hint="eastAsia" w:hAnsi="Lucida Sans Unicode"/>
                <w:color w:val="151515"/>
                <w:sz w:val="18"/>
                <w:szCs w:val="18"/>
              </w:rPr>
              <w:t>-</w:t>
            </w:r>
            <w:r>
              <w:rPr>
                <w:rFonts w:hAnsi="Lucida Sans Unicode"/>
                <w:color w:val="151515"/>
                <w:sz w:val="18"/>
                <w:szCs w:val="18"/>
              </w:rPr>
              <w:t>6</w:t>
            </w:r>
          </w:p>
        </w:tc>
        <w:tc>
          <w:tcPr>
            <w:tcW w:w="1134" w:type="dxa"/>
            <w:shd w:val="clear" w:color="auto" w:fill="FFFFFF"/>
          </w:tcPr>
          <w:p w14:paraId="49B8067C">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32</w:t>
            </w:r>
          </w:p>
        </w:tc>
        <w:tc>
          <w:tcPr>
            <w:tcW w:w="709" w:type="dxa"/>
            <w:shd w:val="clear" w:color="auto" w:fill="FFFFFF"/>
          </w:tcPr>
          <w:p w14:paraId="33DDA1C2">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5</w:t>
            </w:r>
          </w:p>
        </w:tc>
        <w:tc>
          <w:tcPr>
            <w:tcW w:w="1415" w:type="dxa"/>
            <w:shd w:val="clear" w:color="auto" w:fill="FFFFFF"/>
          </w:tcPr>
          <w:p w14:paraId="589359BB">
            <w:pPr>
              <w:snapToGrid w:val="0"/>
              <w:spacing w:line="240" w:lineRule="auto"/>
              <w:jc w:val="center"/>
              <w:rPr>
                <w:rFonts w:hAnsi="Lucida Sans Unicode"/>
                <w:color w:val="151515"/>
                <w:sz w:val="18"/>
                <w:szCs w:val="18"/>
              </w:rPr>
            </w:pPr>
            <w:r>
              <w:rPr>
                <w:rFonts w:hint="eastAsia" w:hAnsi="Lucida Sans Unicode"/>
                <w:color w:val="151515"/>
                <w:sz w:val="18"/>
                <w:szCs w:val="18"/>
              </w:rPr>
              <w:t>对乙基甲苯</w:t>
            </w:r>
          </w:p>
        </w:tc>
        <w:tc>
          <w:tcPr>
            <w:tcW w:w="991" w:type="dxa"/>
            <w:shd w:val="clear" w:color="auto" w:fill="FFFFFF"/>
          </w:tcPr>
          <w:p w14:paraId="27E63500">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22</w:t>
            </w:r>
            <w:r>
              <w:rPr>
                <w:rFonts w:hint="eastAsia" w:hAnsi="Lucida Sans Unicode"/>
                <w:color w:val="151515"/>
                <w:sz w:val="18"/>
                <w:szCs w:val="18"/>
              </w:rPr>
              <w:t>-</w:t>
            </w:r>
            <w:r>
              <w:rPr>
                <w:rFonts w:hAnsi="Lucida Sans Unicode"/>
                <w:color w:val="151515"/>
                <w:sz w:val="18"/>
                <w:szCs w:val="18"/>
              </w:rPr>
              <w:t>96</w:t>
            </w:r>
            <w:r>
              <w:rPr>
                <w:rFonts w:hint="eastAsia" w:hAnsi="Lucida Sans Unicode"/>
                <w:color w:val="151515"/>
                <w:sz w:val="18"/>
                <w:szCs w:val="18"/>
              </w:rPr>
              <w:t>-</w:t>
            </w:r>
            <w:r>
              <w:rPr>
                <w:rFonts w:hAnsi="Lucida Sans Unicode"/>
                <w:color w:val="151515"/>
                <w:sz w:val="18"/>
                <w:szCs w:val="18"/>
              </w:rPr>
              <w:t>8</w:t>
            </w:r>
          </w:p>
        </w:tc>
        <w:tc>
          <w:tcPr>
            <w:tcW w:w="991" w:type="dxa"/>
            <w:shd w:val="clear" w:color="auto" w:fill="FFFFFF"/>
          </w:tcPr>
          <w:p w14:paraId="458C0137">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4</w:t>
            </w:r>
          </w:p>
        </w:tc>
      </w:tr>
      <w:tr w14:paraId="6B09B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7FDE41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w:t>
            </w:r>
          </w:p>
        </w:tc>
        <w:tc>
          <w:tcPr>
            <w:tcW w:w="1285" w:type="dxa"/>
            <w:shd w:val="clear" w:color="auto" w:fill="FFFFFF"/>
          </w:tcPr>
          <w:p w14:paraId="72239473">
            <w:pPr>
              <w:snapToGrid w:val="0"/>
              <w:spacing w:line="240" w:lineRule="auto"/>
              <w:jc w:val="center"/>
              <w:rPr>
                <w:rFonts w:hAnsi="Lucida Sans Unicode"/>
                <w:color w:val="151515"/>
                <w:sz w:val="18"/>
                <w:szCs w:val="18"/>
              </w:rPr>
            </w:pPr>
            <w:r>
              <w:rPr>
                <w:rFonts w:hAnsi="Lucida Sans Unicode"/>
                <w:color w:val="151515"/>
                <w:sz w:val="18"/>
                <w:szCs w:val="18"/>
              </w:rPr>
              <w:t>甲乙酮</w:t>
            </w:r>
            <w:r>
              <w:rPr>
                <w:rFonts w:hint="eastAsia" w:hAnsi="Lucida Sans Unicode"/>
                <w:color w:val="151515"/>
                <w:sz w:val="18"/>
                <w:szCs w:val="18"/>
              </w:rPr>
              <w:t>（丁酮）</w:t>
            </w:r>
          </w:p>
        </w:tc>
        <w:tc>
          <w:tcPr>
            <w:tcW w:w="1134" w:type="dxa"/>
            <w:shd w:val="clear" w:color="auto" w:fill="FFFFFF"/>
          </w:tcPr>
          <w:p w14:paraId="5A030107">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93</w:t>
            </w:r>
            <w:r>
              <w:rPr>
                <w:rFonts w:hint="eastAsia" w:hAnsi="Lucida Sans Unicode"/>
                <w:color w:val="151515"/>
                <w:sz w:val="18"/>
                <w:szCs w:val="18"/>
              </w:rPr>
              <w:t>-</w:t>
            </w:r>
            <w:r>
              <w:rPr>
                <w:rFonts w:hAnsi="Lucida Sans Unicode"/>
                <w:color w:val="151515"/>
                <w:sz w:val="18"/>
                <w:szCs w:val="18"/>
              </w:rPr>
              <w:t>3</w:t>
            </w:r>
          </w:p>
        </w:tc>
        <w:tc>
          <w:tcPr>
            <w:tcW w:w="1134" w:type="dxa"/>
            <w:shd w:val="clear" w:color="auto" w:fill="FFFFFF"/>
          </w:tcPr>
          <w:p w14:paraId="404B501F">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1</w:t>
            </w:r>
          </w:p>
        </w:tc>
        <w:tc>
          <w:tcPr>
            <w:tcW w:w="709" w:type="dxa"/>
            <w:shd w:val="clear" w:color="auto" w:fill="FFFFFF"/>
          </w:tcPr>
          <w:p w14:paraId="244D824A">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6</w:t>
            </w:r>
          </w:p>
        </w:tc>
        <w:tc>
          <w:tcPr>
            <w:tcW w:w="1415" w:type="dxa"/>
            <w:shd w:val="clear" w:color="auto" w:fill="FFFFFF"/>
          </w:tcPr>
          <w:p w14:paraId="4C8C203B">
            <w:pPr>
              <w:snapToGrid w:val="0"/>
              <w:spacing w:line="240" w:lineRule="auto"/>
              <w:jc w:val="center"/>
              <w:rPr>
                <w:rFonts w:hAnsi="Lucida Sans Unicode"/>
                <w:color w:val="151515"/>
                <w:sz w:val="18"/>
                <w:szCs w:val="18"/>
              </w:rPr>
            </w:pPr>
            <w:r>
              <w:rPr>
                <w:rFonts w:hAnsi="Lucida Sans Unicode"/>
                <w:color w:val="151515"/>
                <w:sz w:val="18"/>
                <w:szCs w:val="18"/>
              </w:rPr>
              <w:t>乙醇</w:t>
            </w:r>
          </w:p>
        </w:tc>
        <w:tc>
          <w:tcPr>
            <w:tcW w:w="991" w:type="dxa"/>
            <w:shd w:val="clear" w:color="auto" w:fill="FFFFFF"/>
          </w:tcPr>
          <w:p w14:paraId="36BD5EFC">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4</w:t>
            </w:r>
            <w:r>
              <w:rPr>
                <w:rFonts w:hint="eastAsia" w:hAnsi="Lucida Sans Unicode"/>
                <w:color w:val="151515"/>
                <w:sz w:val="18"/>
                <w:szCs w:val="18"/>
              </w:rPr>
              <w:t>-</w:t>
            </w:r>
            <w:r>
              <w:rPr>
                <w:rFonts w:hAnsi="Lucida Sans Unicode"/>
                <w:color w:val="151515"/>
                <w:sz w:val="18"/>
                <w:szCs w:val="18"/>
              </w:rPr>
              <w:t>17</w:t>
            </w:r>
            <w:r>
              <w:rPr>
                <w:rFonts w:hint="eastAsia" w:hAnsi="Lucida Sans Unicode"/>
                <w:color w:val="151515"/>
                <w:sz w:val="18"/>
                <w:szCs w:val="18"/>
              </w:rPr>
              <w:t>-</w:t>
            </w:r>
            <w:r>
              <w:rPr>
                <w:rFonts w:hAnsi="Lucida Sans Unicode"/>
                <w:color w:val="151515"/>
                <w:sz w:val="18"/>
                <w:szCs w:val="18"/>
              </w:rPr>
              <w:t>5</w:t>
            </w:r>
          </w:p>
        </w:tc>
        <w:tc>
          <w:tcPr>
            <w:tcW w:w="991" w:type="dxa"/>
            <w:shd w:val="clear" w:color="auto" w:fill="FFFFFF"/>
          </w:tcPr>
          <w:p w14:paraId="19F1C470">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5</w:t>
            </w:r>
          </w:p>
        </w:tc>
      </w:tr>
      <w:tr w14:paraId="2FFEB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F9DD71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w:t>
            </w:r>
          </w:p>
        </w:tc>
        <w:tc>
          <w:tcPr>
            <w:tcW w:w="1285" w:type="dxa"/>
            <w:shd w:val="clear" w:color="auto" w:fill="FFFFFF"/>
          </w:tcPr>
          <w:p w14:paraId="1550C773">
            <w:pPr>
              <w:snapToGrid w:val="0"/>
              <w:spacing w:line="240" w:lineRule="auto"/>
              <w:jc w:val="center"/>
              <w:rPr>
                <w:rFonts w:hAnsi="Lucida Sans Unicode"/>
                <w:color w:val="151515"/>
                <w:sz w:val="18"/>
                <w:szCs w:val="18"/>
              </w:rPr>
            </w:pPr>
            <w:r>
              <w:rPr>
                <w:rFonts w:hAnsi="Lucida Sans Unicode"/>
                <w:color w:val="151515"/>
                <w:sz w:val="18"/>
                <w:szCs w:val="18"/>
              </w:rPr>
              <w:t>甲基异丁基酮</w:t>
            </w:r>
            <w:r>
              <w:rPr>
                <w:rFonts w:hint="eastAsia" w:hAnsi="Lucida Sans Unicode"/>
                <w:color w:val="151515"/>
                <w:sz w:val="18"/>
                <w:szCs w:val="18"/>
              </w:rPr>
              <w:t>（4-甲基-2-戊酮）</w:t>
            </w:r>
          </w:p>
        </w:tc>
        <w:tc>
          <w:tcPr>
            <w:tcW w:w="1134" w:type="dxa"/>
            <w:shd w:val="clear" w:color="auto" w:fill="FFFFFF"/>
          </w:tcPr>
          <w:p w14:paraId="57004EA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r>
              <w:rPr>
                <w:rFonts w:hint="eastAsia" w:hAnsi="Lucida Sans Unicode"/>
                <w:color w:val="151515"/>
                <w:sz w:val="18"/>
                <w:szCs w:val="18"/>
              </w:rPr>
              <w:t>-</w:t>
            </w:r>
            <w:r>
              <w:rPr>
                <w:rFonts w:hAnsi="Lucida Sans Unicode"/>
                <w:color w:val="151515"/>
                <w:sz w:val="18"/>
                <w:szCs w:val="18"/>
              </w:rPr>
              <w:t>10</w:t>
            </w:r>
            <w:r>
              <w:rPr>
                <w:rFonts w:hint="eastAsia" w:hAnsi="Lucida Sans Unicode"/>
                <w:color w:val="151515"/>
                <w:sz w:val="18"/>
                <w:szCs w:val="18"/>
              </w:rPr>
              <w:t>-</w:t>
            </w:r>
            <w:r>
              <w:rPr>
                <w:rFonts w:hAnsi="Lucida Sans Unicode"/>
                <w:color w:val="151515"/>
                <w:sz w:val="18"/>
                <w:szCs w:val="18"/>
              </w:rPr>
              <w:t>1</w:t>
            </w:r>
          </w:p>
        </w:tc>
        <w:tc>
          <w:tcPr>
            <w:tcW w:w="1134" w:type="dxa"/>
            <w:shd w:val="clear" w:color="auto" w:fill="FFFFFF"/>
          </w:tcPr>
          <w:p w14:paraId="41D57E1C">
            <w:pPr>
              <w:snapToGrid w:val="0"/>
              <w:spacing w:line="240" w:lineRule="auto"/>
              <w:jc w:val="center"/>
              <w:rPr>
                <w:rFonts w:hAnsi="Lucida Sans Unicode"/>
                <w:color w:val="151515"/>
                <w:sz w:val="18"/>
                <w:szCs w:val="18"/>
              </w:rPr>
            </w:pPr>
            <w:r>
              <w:rPr>
                <w:rFonts w:hint="eastAsia" w:hAnsi="Lucida Sans Unicode"/>
                <w:color w:val="151515"/>
                <w:sz w:val="18"/>
                <w:szCs w:val="18"/>
              </w:rPr>
              <w:t>8</w:t>
            </w:r>
            <w:r>
              <w:rPr>
                <w:rFonts w:hAnsi="Lucida Sans Unicode"/>
                <w:color w:val="151515"/>
                <w:sz w:val="18"/>
                <w:szCs w:val="18"/>
              </w:rPr>
              <w:t>4</w:t>
            </w:r>
          </w:p>
        </w:tc>
        <w:tc>
          <w:tcPr>
            <w:tcW w:w="709" w:type="dxa"/>
            <w:shd w:val="clear" w:color="auto" w:fill="FFFFFF"/>
          </w:tcPr>
          <w:p w14:paraId="3653C92C">
            <w:pPr>
              <w:snapToGrid w:val="0"/>
              <w:spacing w:line="240" w:lineRule="auto"/>
              <w:jc w:val="center"/>
              <w:rPr>
                <w:rFonts w:hAnsi="Lucida Sans Unicode"/>
                <w:color w:val="151515"/>
                <w:sz w:val="18"/>
                <w:szCs w:val="18"/>
              </w:rPr>
            </w:pPr>
            <w:r>
              <w:rPr>
                <w:rFonts w:hAnsi="Lucida Sans Unicode"/>
                <w:color w:val="151515"/>
                <w:sz w:val="18"/>
                <w:szCs w:val="18"/>
              </w:rPr>
              <w:t>37</w:t>
            </w:r>
          </w:p>
        </w:tc>
        <w:tc>
          <w:tcPr>
            <w:tcW w:w="1415" w:type="dxa"/>
            <w:shd w:val="clear" w:color="auto" w:fill="FFFFFF"/>
          </w:tcPr>
          <w:p w14:paraId="47595E06">
            <w:pPr>
              <w:snapToGrid w:val="0"/>
              <w:spacing w:line="240" w:lineRule="auto"/>
              <w:jc w:val="center"/>
              <w:rPr>
                <w:rFonts w:hAnsi="Lucida Sans Unicode"/>
                <w:color w:val="151515"/>
                <w:sz w:val="18"/>
                <w:szCs w:val="18"/>
              </w:rPr>
            </w:pPr>
            <w:r>
              <w:rPr>
                <w:rFonts w:hAnsi="Lucida Sans Unicode"/>
                <w:color w:val="151515"/>
                <w:sz w:val="18"/>
                <w:szCs w:val="18"/>
              </w:rPr>
              <w:t>异丁醇</w:t>
            </w:r>
          </w:p>
        </w:tc>
        <w:tc>
          <w:tcPr>
            <w:tcW w:w="991" w:type="dxa"/>
            <w:shd w:val="clear" w:color="auto" w:fill="FFFFFF"/>
          </w:tcPr>
          <w:p w14:paraId="4A78D921">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83</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192EB5BC">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9</w:t>
            </w:r>
          </w:p>
        </w:tc>
      </w:tr>
      <w:tr w14:paraId="36483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5916BED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2</w:t>
            </w:r>
          </w:p>
        </w:tc>
        <w:tc>
          <w:tcPr>
            <w:tcW w:w="1285" w:type="dxa"/>
            <w:shd w:val="clear" w:color="auto" w:fill="FFFFFF"/>
          </w:tcPr>
          <w:p w14:paraId="58A36850">
            <w:pPr>
              <w:snapToGrid w:val="0"/>
              <w:spacing w:line="240" w:lineRule="auto"/>
              <w:jc w:val="center"/>
              <w:rPr>
                <w:rFonts w:hAnsi="Lucida Sans Unicode"/>
                <w:color w:val="151515"/>
                <w:sz w:val="18"/>
                <w:szCs w:val="18"/>
              </w:rPr>
            </w:pPr>
            <w:r>
              <w:rPr>
                <w:rFonts w:hAnsi="Lucida Sans Unicode"/>
                <w:color w:val="151515"/>
                <w:sz w:val="18"/>
                <w:szCs w:val="18"/>
              </w:rPr>
              <w:t>乙酸乙酯</w:t>
            </w:r>
          </w:p>
        </w:tc>
        <w:tc>
          <w:tcPr>
            <w:tcW w:w="1134" w:type="dxa"/>
            <w:shd w:val="clear" w:color="auto" w:fill="FFFFFF"/>
          </w:tcPr>
          <w:p w14:paraId="0FE59FBB">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41</w:t>
            </w:r>
            <w:r>
              <w:rPr>
                <w:rFonts w:hint="eastAsia" w:hAnsi="Lucida Sans Unicode"/>
                <w:color w:val="151515"/>
                <w:sz w:val="18"/>
                <w:szCs w:val="18"/>
              </w:rPr>
              <w:t>-</w:t>
            </w:r>
            <w:r>
              <w:rPr>
                <w:rFonts w:hAnsi="Lucida Sans Unicode"/>
                <w:color w:val="151515"/>
                <w:sz w:val="18"/>
                <w:szCs w:val="18"/>
              </w:rPr>
              <w:t>78</w:t>
            </w:r>
            <w:r>
              <w:rPr>
                <w:rFonts w:hint="eastAsia" w:hAnsi="Lucida Sans Unicode"/>
                <w:color w:val="151515"/>
                <w:sz w:val="18"/>
                <w:szCs w:val="18"/>
              </w:rPr>
              <w:t>-</w:t>
            </w:r>
            <w:r>
              <w:rPr>
                <w:rFonts w:hAnsi="Lucida Sans Unicode"/>
                <w:color w:val="151515"/>
                <w:sz w:val="18"/>
                <w:szCs w:val="18"/>
              </w:rPr>
              <w:t>6</w:t>
            </w:r>
          </w:p>
        </w:tc>
        <w:tc>
          <w:tcPr>
            <w:tcW w:w="1134" w:type="dxa"/>
            <w:shd w:val="clear" w:color="auto" w:fill="FFFFFF"/>
          </w:tcPr>
          <w:p w14:paraId="772D742A">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3</w:t>
            </w:r>
          </w:p>
        </w:tc>
        <w:tc>
          <w:tcPr>
            <w:tcW w:w="709" w:type="dxa"/>
            <w:shd w:val="clear" w:color="auto" w:fill="FFFFFF"/>
          </w:tcPr>
          <w:p w14:paraId="25CE680B">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8</w:t>
            </w:r>
          </w:p>
        </w:tc>
        <w:tc>
          <w:tcPr>
            <w:tcW w:w="1415" w:type="dxa"/>
            <w:shd w:val="clear" w:color="auto" w:fill="FFFFFF"/>
          </w:tcPr>
          <w:p w14:paraId="7A7A4057">
            <w:pPr>
              <w:snapToGrid w:val="0"/>
              <w:spacing w:line="240" w:lineRule="auto"/>
              <w:jc w:val="center"/>
              <w:rPr>
                <w:rFonts w:hAnsi="Lucida Sans Unicode"/>
                <w:color w:val="151515"/>
                <w:sz w:val="18"/>
                <w:szCs w:val="18"/>
              </w:rPr>
            </w:pPr>
            <w:r>
              <w:rPr>
                <w:rFonts w:hAnsi="Lucida Sans Unicode"/>
                <w:color w:val="151515"/>
                <w:sz w:val="18"/>
                <w:szCs w:val="18"/>
              </w:rPr>
              <w:t>异丁醇</w:t>
            </w:r>
          </w:p>
        </w:tc>
        <w:tc>
          <w:tcPr>
            <w:tcW w:w="991" w:type="dxa"/>
            <w:shd w:val="clear" w:color="auto" w:fill="FFFFFF"/>
          </w:tcPr>
          <w:p w14:paraId="3F033B59">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83</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7A0894FA">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9</w:t>
            </w:r>
          </w:p>
        </w:tc>
      </w:tr>
      <w:tr w14:paraId="353C1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0C88C172">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3</w:t>
            </w:r>
          </w:p>
        </w:tc>
        <w:tc>
          <w:tcPr>
            <w:tcW w:w="1285" w:type="dxa"/>
            <w:shd w:val="clear" w:color="auto" w:fill="FFFFFF"/>
          </w:tcPr>
          <w:p w14:paraId="7571DB9F">
            <w:pPr>
              <w:snapToGrid w:val="0"/>
              <w:spacing w:line="240" w:lineRule="auto"/>
              <w:jc w:val="center"/>
              <w:rPr>
                <w:rFonts w:hAnsi="Lucida Sans Unicode"/>
                <w:color w:val="151515"/>
                <w:sz w:val="18"/>
                <w:szCs w:val="18"/>
              </w:rPr>
            </w:pPr>
            <w:r>
              <w:rPr>
                <w:rFonts w:hAnsi="Lucida Sans Unicode"/>
                <w:color w:val="151515"/>
                <w:sz w:val="18"/>
                <w:szCs w:val="18"/>
              </w:rPr>
              <w:t>乙酸正丁酯</w:t>
            </w:r>
          </w:p>
        </w:tc>
        <w:tc>
          <w:tcPr>
            <w:tcW w:w="1134" w:type="dxa"/>
            <w:shd w:val="clear" w:color="auto" w:fill="FFFFFF"/>
          </w:tcPr>
          <w:p w14:paraId="2C035F38">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23</w:t>
            </w:r>
            <w:r>
              <w:rPr>
                <w:rFonts w:hint="eastAsia" w:hAnsi="Lucida Sans Unicode"/>
                <w:color w:val="151515"/>
                <w:sz w:val="18"/>
                <w:szCs w:val="18"/>
              </w:rPr>
              <w:t>-</w:t>
            </w:r>
            <w:r>
              <w:rPr>
                <w:rFonts w:hAnsi="Lucida Sans Unicode"/>
                <w:color w:val="151515"/>
                <w:sz w:val="18"/>
                <w:szCs w:val="18"/>
              </w:rPr>
              <w:t>86</w:t>
            </w:r>
            <w:r>
              <w:rPr>
                <w:rFonts w:hint="eastAsia" w:hAnsi="Lucida Sans Unicode"/>
                <w:color w:val="151515"/>
                <w:sz w:val="18"/>
                <w:szCs w:val="18"/>
              </w:rPr>
              <w:t>-</w:t>
            </w:r>
            <w:r>
              <w:rPr>
                <w:rFonts w:hAnsi="Lucida Sans Unicode"/>
                <w:color w:val="151515"/>
                <w:sz w:val="18"/>
                <w:szCs w:val="18"/>
              </w:rPr>
              <w:t>4</w:t>
            </w:r>
          </w:p>
        </w:tc>
        <w:tc>
          <w:tcPr>
            <w:tcW w:w="1134" w:type="dxa"/>
            <w:shd w:val="clear" w:color="auto" w:fill="FFFFFF"/>
          </w:tcPr>
          <w:p w14:paraId="1868B5F2">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1</w:t>
            </w:r>
          </w:p>
        </w:tc>
        <w:tc>
          <w:tcPr>
            <w:tcW w:w="709" w:type="dxa"/>
            <w:shd w:val="clear" w:color="auto" w:fill="FFFFFF"/>
          </w:tcPr>
          <w:p w14:paraId="0418CD26">
            <w:pPr>
              <w:snapToGrid w:val="0"/>
              <w:spacing w:line="240" w:lineRule="auto"/>
              <w:jc w:val="center"/>
              <w:rPr>
                <w:rFonts w:hAnsi="Lucida Sans Unicode"/>
                <w:color w:val="151515"/>
                <w:sz w:val="18"/>
                <w:szCs w:val="18"/>
              </w:rPr>
            </w:pPr>
            <w:r>
              <w:rPr>
                <w:rFonts w:hint="eastAsia" w:hAnsi="Lucida Sans Unicode"/>
                <w:color w:val="151515"/>
                <w:sz w:val="18"/>
                <w:szCs w:val="18"/>
              </w:rPr>
              <w:t>3</w:t>
            </w:r>
            <w:r>
              <w:rPr>
                <w:rFonts w:hAnsi="Lucida Sans Unicode"/>
                <w:color w:val="151515"/>
                <w:sz w:val="18"/>
                <w:szCs w:val="18"/>
              </w:rPr>
              <w:t>9</w:t>
            </w:r>
          </w:p>
        </w:tc>
        <w:tc>
          <w:tcPr>
            <w:tcW w:w="1415" w:type="dxa"/>
            <w:shd w:val="clear" w:color="auto" w:fill="FFFFFF"/>
          </w:tcPr>
          <w:p w14:paraId="4682E22D">
            <w:pPr>
              <w:snapToGrid w:val="0"/>
              <w:spacing w:line="240" w:lineRule="auto"/>
              <w:jc w:val="center"/>
              <w:rPr>
                <w:rFonts w:hAnsi="Lucida Sans Unicode"/>
                <w:color w:val="151515"/>
                <w:sz w:val="18"/>
                <w:szCs w:val="18"/>
              </w:rPr>
            </w:pPr>
            <w:r>
              <w:rPr>
                <w:rFonts w:hint="eastAsia" w:hAnsi="Lucida Sans Unicode"/>
                <w:color w:val="151515"/>
                <w:sz w:val="18"/>
                <w:szCs w:val="18"/>
              </w:rPr>
              <w:t>3-甲基戊烷</w:t>
            </w:r>
          </w:p>
        </w:tc>
        <w:tc>
          <w:tcPr>
            <w:tcW w:w="991" w:type="dxa"/>
            <w:shd w:val="clear" w:color="auto" w:fill="FFFFFF"/>
          </w:tcPr>
          <w:p w14:paraId="262BBB1B">
            <w:pPr>
              <w:snapToGrid w:val="0"/>
              <w:spacing w:line="240" w:lineRule="auto"/>
              <w:jc w:val="center"/>
              <w:rPr>
                <w:rFonts w:hAnsi="Lucida Sans Unicode"/>
                <w:color w:val="151515"/>
                <w:sz w:val="18"/>
                <w:szCs w:val="18"/>
              </w:rPr>
            </w:pPr>
            <w:r>
              <w:rPr>
                <w:rFonts w:hAnsi="Lucida Sans Unicode"/>
                <w:color w:val="151515"/>
                <w:sz w:val="18"/>
                <w:szCs w:val="18"/>
              </w:rPr>
              <w:t>96</w:t>
            </w:r>
            <w:r>
              <w:rPr>
                <w:rFonts w:hint="eastAsia" w:hAnsi="Lucida Sans Unicode"/>
                <w:color w:val="151515"/>
                <w:sz w:val="18"/>
                <w:szCs w:val="18"/>
              </w:rPr>
              <w:t>-</w:t>
            </w:r>
            <w:r>
              <w:rPr>
                <w:rFonts w:hAnsi="Lucida Sans Unicode"/>
                <w:color w:val="151515"/>
                <w:sz w:val="18"/>
                <w:szCs w:val="18"/>
              </w:rPr>
              <w:t>14</w:t>
            </w:r>
            <w:r>
              <w:rPr>
                <w:rFonts w:hint="eastAsia" w:hAnsi="Lucida Sans Unicode"/>
                <w:color w:val="151515"/>
                <w:sz w:val="18"/>
                <w:szCs w:val="18"/>
              </w:rPr>
              <w:t>-</w:t>
            </w:r>
            <w:r>
              <w:rPr>
                <w:rFonts w:hAnsi="Lucida Sans Unicode"/>
                <w:color w:val="151515"/>
                <w:sz w:val="18"/>
                <w:szCs w:val="18"/>
              </w:rPr>
              <w:t>0</w:t>
            </w:r>
          </w:p>
        </w:tc>
        <w:tc>
          <w:tcPr>
            <w:tcW w:w="991" w:type="dxa"/>
            <w:shd w:val="clear" w:color="auto" w:fill="FFFFFF"/>
          </w:tcPr>
          <w:p w14:paraId="76B5BDB7">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6</w:t>
            </w:r>
          </w:p>
        </w:tc>
      </w:tr>
      <w:tr w14:paraId="3A8D0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5E467EAA">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4</w:t>
            </w:r>
          </w:p>
        </w:tc>
        <w:tc>
          <w:tcPr>
            <w:tcW w:w="1285" w:type="dxa"/>
            <w:shd w:val="clear" w:color="auto" w:fill="FFFFFF"/>
          </w:tcPr>
          <w:p w14:paraId="517634CC">
            <w:pPr>
              <w:snapToGrid w:val="0"/>
              <w:spacing w:line="240" w:lineRule="auto"/>
              <w:jc w:val="center"/>
              <w:rPr>
                <w:rFonts w:hAnsi="Lucida Sans Unicode"/>
                <w:color w:val="151515"/>
                <w:sz w:val="18"/>
                <w:szCs w:val="18"/>
              </w:rPr>
            </w:pPr>
            <w:r>
              <w:rPr>
                <w:rFonts w:hAnsi="Lucida Sans Unicode"/>
                <w:color w:val="151515"/>
                <w:sz w:val="18"/>
                <w:szCs w:val="18"/>
              </w:rPr>
              <w:t>二氯甲烷</w:t>
            </w:r>
          </w:p>
        </w:tc>
        <w:tc>
          <w:tcPr>
            <w:tcW w:w="1134" w:type="dxa"/>
            <w:shd w:val="clear" w:color="auto" w:fill="FFFFFF"/>
          </w:tcPr>
          <w:p w14:paraId="3ED4454F">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09</w:t>
            </w:r>
            <w:r>
              <w:rPr>
                <w:rFonts w:hint="eastAsia" w:hAnsi="Lucida Sans Unicode"/>
                <w:color w:val="151515"/>
                <w:sz w:val="18"/>
                <w:szCs w:val="18"/>
              </w:rPr>
              <w:t>-</w:t>
            </w:r>
            <w:r>
              <w:rPr>
                <w:rFonts w:hAnsi="Lucida Sans Unicode"/>
                <w:color w:val="151515"/>
                <w:sz w:val="18"/>
                <w:szCs w:val="18"/>
              </w:rPr>
              <w:t>2</w:t>
            </w:r>
          </w:p>
        </w:tc>
        <w:tc>
          <w:tcPr>
            <w:tcW w:w="1134" w:type="dxa"/>
            <w:shd w:val="clear" w:color="auto" w:fill="FFFFFF"/>
          </w:tcPr>
          <w:p w14:paraId="7073C150">
            <w:pPr>
              <w:snapToGrid w:val="0"/>
              <w:spacing w:line="240" w:lineRule="auto"/>
              <w:jc w:val="center"/>
              <w:rPr>
                <w:rFonts w:hAnsi="Lucida Sans Unicode"/>
                <w:color w:val="151515"/>
                <w:sz w:val="18"/>
                <w:szCs w:val="18"/>
              </w:rPr>
            </w:pPr>
            <w:r>
              <w:rPr>
                <w:rFonts w:hint="eastAsia" w:hAnsi="Lucida Sans Unicode"/>
                <w:color w:val="151515"/>
                <w:sz w:val="18"/>
                <w:szCs w:val="18"/>
              </w:rPr>
              <w:t>3</w:t>
            </w:r>
          </w:p>
        </w:tc>
        <w:tc>
          <w:tcPr>
            <w:tcW w:w="709" w:type="dxa"/>
            <w:shd w:val="clear" w:color="auto" w:fill="FFFFFF"/>
          </w:tcPr>
          <w:p w14:paraId="23CBFD32">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0</w:t>
            </w:r>
          </w:p>
        </w:tc>
        <w:tc>
          <w:tcPr>
            <w:tcW w:w="1415" w:type="dxa"/>
            <w:shd w:val="clear" w:color="auto" w:fill="FFFFFF"/>
          </w:tcPr>
          <w:p w14:paraId="63BD26A0">
            <w:pPr>
              <w:snapToGrid w:val="0"/>
              <w:spacing w:line="240" w:lineRule="auto"/>
              <w:jc w:val="center"/>
              <w:rPr>
                <w:rFonts w:hAnsi="Lucida Sans Unicode"/>
                <w:color w:val="151515"/>
                <w:sz w:val="18"/>
                <w:szCs w:val="18"/>
              </w:rPr>
            </w:pPr>
            <w:r>
              <w:rPr>
                <w:rFonts w:hint="eastAsia" w:hAnsi="Lucida Sans Unicode"/>
                <w:color w:val="151515"/>
                <w:sz w:val="18"/>
                <w:szCs w:val="18"/>
              </w:rPr>
              <w:t>异丁烯</w:t>
            </w:r>
          </w:p>
        </w:tc>
        <w:tc>
          <w:tcPr>
            <w:tcW w:w="991" w:type="dxa"/>
            <w:shd w:val="clear" w:color="auto" w:fill="FFFFFF"/>
          </w:tcPr>
          <w:p w14:paraId="6A7FC28E">
            <w:pPr>
              <w:snapToGrid w:val="0"/>
              <w:spacing w:line="240" w:lineRule="auto"/>
              <w:jc w:val="center"/>
              <w:rPr>
                <w:rFonts w:hAnsi="Lucida Sans Unicode"/>
                <w:color w:val="151515"/>
                <w:sz w:val="18"/>
                <w:szCs w:val="18"/>
              </w:rPr>
            </w:pPr>
            <w:r>
              <w:rPr>
                <w:rFonts w:hint="eastAsia" w:hAnsi="Lucida Sans Unicode"/>
                <w:color w:val="151515"/>
                <w:sz w:val="18"/>
                <w:szCs w:val="18"/>
              </w:rPr>
              <w:t>9</w:t>
            </w:r>
            <w:r>
              <w:rPr>
                <w:rFonts w:hAnsi="Lucida Sans Unicode"/>
                <w:color w:val="151515"/>
                <w:sz w:val="18"/>
                <w:szCs w:val="18"/>
              </w:rPr>
              <w:t>003</w:t>
            </w:r>
            <w:r>
              <w:rPr>
                <w:rFonts w:hint="eastAsia" w:hAnsi="Lucida Sans Unicode"/>
                <w:color w:val="151515"/>
                <w:sz w:val="18"/>
                <w:szCs w:val="18"/>
              </w:rPr>
              <w:t>-</w:t>
            </w:r>
            <w:r>
              <w:rPr>
                <w:rFonts w:hAnsi="Lucida Sans Unicode"/>
                <w:color w:val="151515"/>
                <w:sz w:val="18"/>
                <w:szCs w:val="18"/>
              </w:rPr>
              <w:t>27</w:t>
            </w:r>
            <w:r>
              <w:rPr>
                <w:rFonts w:hint="eastAsia" w:hAnsi="Lucida Sans Unicode"/>
                <w:color w:val="151515"/>
                <w:sz w:val="18"/>
                <w:szCs w:val="18"/>
              </w:rPr>
              <w:t>-</w:t>
            </w:r>
            <w:r>
              <w:rPr>
                <w:rFonts w:hAnsi="Lucida Sans Unicode"/>
                <w:color w:val="151515"/>
                <w:sz w:val="18"/>
                <w:szCs w:val="18"/>
              </w:rPr>
              <w:t>4</w:t>
            </w:r>
          </w:p>
        </w:tc>
        <w:tc>
          <w:tcPr>
            <w:tcW w:w="991" w:type="dxa"/>
            <w:shd w:val="clear" w:color="auto" w:fill="FFFFFF"/>
          </w:tcPr>
          <w:p w14:paraId="4257BA25">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0</w:t>
            </w:r>
          </w:p>
        </w:tc>
      </w:tr>
      <w:tr w14:paraId="2B933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E75A5A1">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5</w:t>
            </w:r>
          </w:p>
        </w:tc>
        <w:tc>
          <w:tcPr>
            <w:tcW w:w="1285" w:type="dxa"/>
            <w:shd w:val="clear" w:color="auto" w:fill="FFFFFF"/>
          </w:tcPr>
          <w:p w14:paraId="125FDFDE">
            <w:pPr>
              <w:snapToGrid w:val="0"/>
              <w:spacing w:line="240" w:lineRule="auto"/>
              <w:jc w:val="center"/>
              <w:rPr>
                <w:rFonts w:hAnsi="Lucida Sans Unicode"/>
                <w:color w:val="151515"/>
                <w:sz w:val="18"/>
                <w:szCs w:val="18"/>
              </w:rPr>
            </w:pPr>
            <w:r>
              <w:rPr>
                <w:rFonts w:hAnsi="Lucida Sans Unicode"/>
                <w:color w:val="151515"/>
                <w:sz w:val="18"/>
                <w:szCs w:val="18"/>
              </w:rPr>
              <w:t>乙醛</w:t>
            </w:r>
          </w:p>
        </w:tc>
        <w:tc>
          <w:tcPr>
            <w:tcW w:w="1134" w:type="dxa"/>
            <w:shd w:val="clear" w:color="auto" w:fill="FFFFFF"/>
          </w:tcPr>
          <w:p w14:paraId="031BFAFA">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07</w:t>
            </w:r>
            <w:r>
              <w:rPr>
                <w:rFonts w:hint="eastAsia" w:hAnsi="Lucida Sans Unicode"/>
                <w:color w:val="151515"/>
                <w:sz w:val="18"/>
                <w:szCs w:val="18"/>
              </w:rPr>
              <w:t>-</w:t>
            </w:r>
            <w:r>
              <w:rPr>
                <w:rFonts w:hAnsi="Lucida Sans Unicode"/>
                <w:color w:val="151515"/>
                <w:sz w:val="18"/>
                <w:szCs w:val="18"/>
              </w:rPr>
              <w:t>0</w:t>
            </w:r>
          </w:p>
        </w:tc>
        <w:tc>
          <w:tcPr>
            <w:tcW w:w="1134" w:type="dxa"/>
            <w:shd w:val="clear" w:color="auto" w:fill="FFFFFF"/>
          </w:tcPr>
          <w:p w14:paraId="63780C8E">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5</w:t>
            </w:r>
          </w:p>
        </w:tc>
        <w:tc>
          <w:tcPr>
            <w:tcW w:w="709" w:type="dxa"/>
            <w:shd w:val="clear" w:color="auto" w:fill="FFFFFF"/>
          </w:tcPr>
          <w:p w14:paraId="0F868539">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1</w:t>
            </w:r>
          </w:p>
        </w:tc>
        <w:tc>
          <w:tcPr>
            <w:tcW w:w="1415" w:type="dxa"/>
            <w:shd w:val="clear" w:color="auto" w:fill="FFFFFF"/>
          </w:tcPr>
          <w:p w14:paraId="36B199D3">
            <w:pPr>
              <w:snapToGrid w:val="0"/>
              <w:spacing w:line="240" w:lineRule="auto"/>
              <w:jc w:val="center"/>
              <w:rPr>
                <w:rFonts w:hAnsi="Lucida Sans Unicode"/>
                <w:color w:val="151515"/>
                <w:sz w:val="18"/>
                <w:szCs w:val="18"/>
              </w:rPr>
            </w:pPr>
            <w:r>
              <w:rPr>
                <w:rFonts w:hint="eastAsia" w:hAnsi="Lucida Sans Unicode"/>
                <w:color w:val="151515"/>
                <w:sz w:val="18"/>
                <w:szCs w:val="18"/>
              </w:rPr>
              <w:t>戊醛</w:t>
            </w:r>
          </w:p>
        </w:tc>
        <w:tc>
          <w:tcPr>
            <w:tcW w:w="991" w:type="dxa"/>
            <w:shd w:val="clear" w:color="auto" w:fill="FFFFFF"/>
          </w:tcPr>
          <w:p w14:paraId="5666FD61">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10</w:t>
            </w:r>
            <w:r>
              <w:rPr>
                <w:rFonts w:hint="eastAsia" w:hAnsi="Lucida Sans Unicode"/>
                <w:color w:val="151515"/>
                <w:sz w:val="18"/>
                <w:szCs w:val="18"/>
              </w:rPr>
              <w:t>-</w:t>
            </w:r>
            <w:r>
              <w:rPr>
                <w:rFonts w:hAnsi="Lucida Sans Unicode"/>
                <w:color w:val="151515"/>
                <w:sz w:val="18"/>
                <w:szCs w:val="18"/>
              </w:rPr>
              <w:t>62</w:t>
            </w:r>
            <w:r>
              <w:rPr>
                <w:rFonts w:hint="eastAsia" w:hAnsi="Lucida Sans Unicode"/>
                <w:color w:val="151515"/>
                <w:sz w:val="18"/>
                <w:szCs w:val="18"/>
              </w:rPr>
              <w:t>-</w:t>
            </w:r>
            <w:r>
              <w:rPr>
                <w:rFonts w:hAnsi="Lucida Sans Unicode"/>
                <w:color w:val="151515"/>
                <w:sz w:val="18"/>
                <w:szCs w:val="18"/>
              </w:rPr>
              <w:t>3</w:t>
            </w:r>
          </w:p>
        </w:tc>
        <w:tc>
          <w:tcPr>
            <w:tcW w:w="991" w:type="dxa"/>
            <w:shd w:val="clear" w:color="auto" w:fill="FFFFFF"/>
          </w:tcPr>
          <w:p w14:paraId="48136840">
            <w:pPr>
              <w:snapToGrid w:val="0"/>
              <w:spacing w:line="240" w:lineRule="auto"/>
              <w:jc w:val="center"/>
              <w:rPr>
                <w:rFonts w:hAnsi="Lucida Sans Unicode"/>
                <w:color w:val="151515"/>
                <w:sz w:val="18"/>
                <w:szCs w:val="18"/>
              </w:rPr>
            </w:pPr>
            <w:r>
              <w:rPr>
                <w:rFonts w:hAnsi="Lucida Sans Unicode"/>
                <w:color w:val="151515"/>
                <w:sz w:val="18"/>
                <w:szCs w:val="18"/>
              </w:rPr>
              <w:t>89</w:t>
            </w:r>
          </w:p>
        </w:tc>
      </w:tr>
      <w:tr w14:paraId="490F3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A7D9377">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6</w:t>
            </w:r>
          </w:p>
        </w:tc>
        <w:tc>
          <w:tcPr>
            <w:tcW w:w="1285" w:type="dxa"/>
            <w:shd w:val="clear" w:color="auto" w:fill="FFFFFF"/>
          </w:tcPr>
          <w:p w14:paraId="4E8F243B">
            <w:pPr>
              <w:snapToGrid w:val="0"/>
              <w:spacing w:line="240" w:lineRule="auto"/>
              <w:jc w:val="center"/>
              <w:rPr>
                <w:rFonts w:hAnsi="Lucida Sans Unicode"/>
                <w:color w:val="151515"/>
                <w:sz w:val="18"/>
                <w:szCs w:val="18"/>
              </w:rPr>
            </w:pPr>
            <w:r>
              <w:rPr>
                <w:rFonts w:hAnsi="Lucida Sans Unicode"/>
                <w:color w:val="151515"/>
                <w:sz w:val="18"/>
                <w:szCs w:val="18"/>
              </w:rPr>
              <w:t>乙酸</w:t>
            </w:r>
          </w:p>
        </w:tc>
        <w:tc>
          <w:tcPr>
            <w:tcW w:w="1134" w:type="dxa"/>
            <w:shd w:val="clear" w:color="auto" w:fill="FFFFFF"/>
          </w:tcPr>
          <w:p w14:paraId="646DC9C4">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4</w:t>
            </w:r>
            <w:r>
              <w:rPr>
                <w:rFonts w:hint="eastAsia" w:hAnsi="Lucida Sans Unicode"/>
                <w:color w:val="151515"/>
                <w:sz w:val="18"/>
                <w:szCs w:val="18"/>
              </w:rPr>
              <w:t>-</w:t>
            </w:r>
            <w:r>
              <w:rPr>
                <w:rFonts w:hAnsi="Lucida Sans Unicode"/>
                <w:color w:val="151515"/>
                <w:sz w:val="18"/>
                <w:szCs w:val="18"/>
              </w:rPr>
              <w:t>19</w:t>
            </w:r>
            <w:r>
              <w:rPr>
                <w:rFonts w:hint="eastAsia" w:hAnsi="Lucida Sans Unicode"/>
                <w:color w:val="151515"/>
                <w:sz w:val="18"/>
                <w:szCs w:val="18"/>
              </w:rPr>
              <w:t>-</w:t>
            </w:r>
            <w:r>
              <w:rPr>
                <w:rFonts w:hAnsi="Lucida Sans Unicode"/>
                <w:color w:val="151515"/>
                <w:sz w:val="18"/>
                <w:szCs w:val="18"/>
              </w:rPr>
              <w:t>7</w:t>
            </w:r>
          </w:p>
        </w:tc>
        <w:tc>
          <w:tcPr>
            <w:tcW w:w="1134" w:type="dxa"/>
            <w:shd w:val="clear" w:color="auto" w:fill="FFFFFF"/>
          </w:tcPr>
          <w:p w14:paraId="62E25857">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6</w:t>
            </w:r>
          </w:p>
        </w:tc>
        <w:tc>
          <w:tcPr>
            <w:tcW w:w="709" w:type="dxa"/>
            <w:shd w:val="clear" w:color="auto" w:fill="FFFFFF"/>
          </w:tcPr>
          <w:p w14:paraId="2063F047">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2</w:t>
            </w:r>
          </w:p>
        </w:tc>
        <w:tc>
          <w:tcPr>
            <w:tcW w:w="1415" w:type="dxa"/>
            <w:shd w:val="clear" w:color="auto" w:fill="FFFFFF"/>
          </w:tcPr>
          <w:p w14:paraId="35059222">
            <w:pPr>
              <w:snapToGrid w:val="0"/>
              <w:spacing w:line="240" w:lineRule="auto"/>
              <w:jc w:val="center"/>
              <w:rPr>
                <w:rFonts w:hAnsi="Lucida Sans Unicode"/>
                <w:color w:val="151515"/>
                <w:sz w:val="18"/>
                <w:szCs w:val="18"/>
              </w:rPr>
            </w:pPr>
            <w:r>
              <w:rPr>
                <w:rFonts w:hint="eastAsia" w:hAnsi="Lucida Sans Unicode"/>
                <w:color w:val="151515"/>
                <w:sz w:val="18"/>
                <w:szCs w:val="18"/>
              </w:rPr>
              <w:t>戊烷</w:t>
            </w:r>
          </w:p>
        </w:tc>
        <w:tc>
          <w:tcPr>
            <w:tcW w:w="991" w:type="dxa"/>
            <w:shd w:val="clear" w:color="auto" w:fill="FFFFFF"/>
          </w:tcPr>
          <w:p w14:paraId="31C400FD">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09</w:t>
            </w:r>
            <w:r>
              <w:rPr>
                <w:rFonts w:hint="eastAsia" w:hAnsi="Lucida Sans Unicode"/>
                <w:color w:val="151515"/>
                <w:sz w:val="18"/>
                <w:szCs w:val="18"/>
              </w:rPr>
              <w:t>-</w:t>
            </w:r>
            <w:r>
              <w:rPr>
                <w:rFonts w:hAnsi="Lucida Sans Unicode"/>
                <w:color w:val="151515"/>
                <w:sz w:val="18"/>
                <w:szCs w:val="18"/>
              </w:rPr>
              <w:t>66</w:t>
            </w:r>
            <w:r>
              <w:rPr>
                <w:rFonts w:hint="eastAsia" w:hAnsi="Lucida Sans Unicode"/>
                <w:color w:val="151515"/>
                <w:sz w:val="18"/>
                <w:szCs w:val="18"/>
              </w:rPr>
              <w:t>-</w:t>
            </w:r>
            <w:r>
              <w:rPr>
                <w:rFonts w:hAnsi="Lucida Sans Unicode"/>
                <w:color w:val="151515"/>
                <w:sz w:val="18"/>
                <w:szCs w:val="18"/>
              </w:rPr>
              <w:t>0</w:t>
            </w:r>
          </w:p>
        </w:tc>
        <w:tc>
          <w:tcPr>
            <w:tcW w:w="991" w:type="dxa"/>
            <w:shd w:val="clear" w:color="auto" w:fill="FFFFFF"/>
          </w:tcPr>
          <w:p w14:paraId="4766AD32">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2</w:t>
            </w:r>
          </w:p>
        </w:tc>
      </w:tr>
      <w:tr w14:paraId="2505B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77E7D88">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7</w:t>
            </w:r>
          </w:p>
        </w:tc>
        <w:tc>
          <w:tcPr>
            <w:tcW w:w="1285" w:type="dxa"/>
            <w:shd w:val="clear" w:color="auto" w:fill="FFFFFF"/>
          </w:tcPr>
          <w:p w14:paraId="7AA2C150">
            <w:pPr>
              <w:snapToGrid w:val="0"/>
              <w:spacing w:line="240" w:lineRule="auto"/>
              <w:jc w:val="center"/>
              <w:rPr>
                <w:rFonts w:hAnsi="Lucida Sans Unicode"/>
                <w:color w:val="151515"/>
                <w:sz w:val="18"/>
                <w:szCs w:val="18"/>
              </w:rPr>
            </w:pPr>
            <w:r>
              <w:rPr>
                <w:rFonts w:hAnsi="Lucida Sans Unicode"/>
                <w:color w:val="151515"/>
                <w:sz w:val="18"/>
                <w:szCs w:val="18"/>
              </w:rPr>
              <w:t>苯甲醛</w:t>
            </w:r>
          </w:p>
        </w:tc>
        <w:tc>
          <w:tcPr>
            <w:tcW w:w="1134" w:type="dxa"/>
            <w:shd w:val="clear" w:color="auto" w:fill="FFFFFF"/>
          </w:tcPr>
          <w:p w14:paraId="50DF2461">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00</w:t>
            </w:r>
            <w:r>
              <w:rPr>
                <w:rFonts w:hint="eastAsia" w:hAnsi="Lucida Sans Unicode"/>
                <w:color w:val="151515"/>
                <w:sz w:val="18"/>
                <w:szCs w:val="18"/>
              </w:rPr>
              <w:t>-</w:t>
            </w:r>
            <w:r>
              <w:rPr>
                <w:rFonts w:hAnsi="Lucida Sans Unicode"/>
                <w:color w:val="151515"/>
                <w:sz w:val="18"/>
                <w:szCs w:val="18"/>
              </w:rPr>
              <w:t>52</w:t>
            </w:r>
            <w:r>
              <w:rPr>
                <w:rFonts w:hint="eastAsia" w:hAnsi="Lucida Sans Unicode"/>
                <w:color w:val="151515"/>
                <w:sz w:val="18"/>
                <w:szCs w:val="18"/>
              </w:rPr>
              <w:t>-</w:t>
            </w:r>
            <w:r>
              <w:rPr>
                <w:rFonts w:hAnsi="Lucida Sans Unicode"/>
                <w:color w:val="151515"/>
                <w:sz w:val="18"/>
                <w:szCs w:val="18"/>
              </w:rPr>
              <w:t>7</w:t>
            </w:r>
          </w:p>
        </w:tc>
        <w:tc>
          <w:tcPr>
            <w:tcW w:w="1134" w:type="dxa"/>
            <w:shd w:val="clear" w:color="auto" w:fill="FFFFFF"/>
          </w:tcPr>
          <w:p w14:paraId="1B838312">
            <w:pPr>
              <w:snapToGrid w:val="0"/>
              <w:spacing w:line="240" w:lineRule="auto"/>
              <w:jc w:val="center"/>
              <w:rPr>
                <w:rFonts w:hAnsi="Lucida Sans Unicode"/>
                <w:color w:val="151515"/>
                <w:sz w:val="18"/>
                <w:szCs w:val="18"/>
              </w:rPr>
            </w:pPr>
            <w:r>
              <w:rPr>
                <w:rFonts w:hint="eastAsia" w:hAnsi="Lucida Sans Unicode"/>
                <w:color w:val="151515"/>
                <w:sz w:val="18"/>
                <w:szCs w:val="18"/>
              </w:rPr>
              <w:t>-</w:t>
            </w:r>
            <w:r>
              <w:rPr>
                <w:rFonts w:hAnsi="Lucida Sans Unicode"/>
                <w:color w:val="151515"/>
                <w:sz w:val="18"/>
                <w:szCs w:val="18"/>
              </w:rPr>
              <w:t>6</w:t>
            </w:r>
          </w:p>
        </w:tc>
        <w:tc>
          <w:tcPr>
            <w:tcW w:w="709" w:type="dxa"/>
            <w:shd w:val="clear" w:color="auto" w:fill="FFFFFF"/>
          </w:tcPr>
          <w:p w14:paraId="1F47F73F">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3</w:t>
            </w:r>
          </w:p>
        </w:tc>
        <w:tc>
          <w:tcPr>
            <w:tcW w:w="1415" w:type="dxa"/>
            <w:shd w:val="clear" w:color="auto" w:fill="FFFFFF"/>
          </w:tcPr>
          <w:p w14:paraId="26E4FE16">
            <w:pPr>
              <w:snapToGrid w:val="0"/>
              <w:spacing w:line="240" w:lineRule="auto"/>
              <w:jc w:val="center"/>
              <w:rPr>
                <w:rFonts w:hAnsi="Lucida Sans Unicode"/>
                <w:color w:val="151515"/>
                <w:sz w:val="18"/>
                <w:szCs w:val="18"/>
              </w:rPr>
            </w:pPr>
            <w:r>
              <w:rPr>
                <w:rFonts w:hint="eastAsia" w:hAnsi="Lucida Sans Unicode"/>
                <w:color w:val="151515"/>
                <w:sz w:val="18"/>
                <w:szCs w:val="18"/>
              </w:rPr>
              <w:t>戊烯</w:t>
            </w:r>
          </w:p>
        </w:tc>
        <w:tc>
          <w:tcPr>
            <w:tcW w:w="991" w:type="dxa"/>
            <w:shd w:val="clear" w:color="auto" w:fill="FFFFFF"/>
          </w:tcPr>
          <w:p w14:paraId="39F44F6F">
            <w:pPr>
              <w:snapToGrid w:val="0"/>
              <w:spacing w:line="240" w:lineRule="auto"/>
              <w:jc w:val="center"/>
              <w:rPr>
                <w:rFonts w:hAnsi="Lucida Sans Unicode"/>
                <w:color w:val="151515"/>
                <w:sz w:val="18"/>
                <w:szCs w:val="18"/>
              </w:rPr>
            </w:pPr>
            <w:r>
              <w:rPr>
                <w:rFonts w:hAnsi="Lucida Sans Unicode"/>
                <w:color w:val="151515"/>
                <w:sz w:val="18"/>
                <w:szCs w:val="18"/>
              </w:rPr>
              <w:t>109</w:t>
            </w:r>
            <w:r>
              <w:rPr>
                <w:rFonts w:hint="eastAsia" w:hAnsi="Lucida Sans Unicode"/>
                <w:color w:val="151515"/>
                <w:sz w:val="18"/>
                <w:szCs w:val="18"/>
              </w:rPr>
              <w:t>-</w:t>
            </w:r>
            <w:r>
              <w:rPr>
                <w:rFonts w:hAnsi="Lucida Sans Unicode"/>
                <w:color w:val="151515"/>
                <w:sz w:val="18"/>
                <w:szCs w:val="18"/>
              </w:rPr>
              <w:t>67</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6C982D10">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04</w:t>
            </w:r>
          </w:p>
        </w:tc>
      </w:tr>
      <w:tr w14:paraId="3B724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6C6020F">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8</w:t>
            </w:r>
          </w:p>
        </w:tc>
        <w:tc>
          <w:tcPr>
            <w:tcW w:w="1285" w:type="dxa"/>
            <w:shd w:val="clear" w:color="auto" w:fill="FFFFFF"/>
          </w:tcPr>
          <w:p w14:paraId="5549F17C">
            <w:pPr>
              <w:snapToGrid w:val="0"/>
              <w:spacing w:line="240" w:lineRule="auto"/>
              <w:jc w:val="center"/>
              <w:rPr>
                <w:rFonts w:hAnsi="Lucida Sans Unicode"/>
                <w:color w:val="151515"/>
                <w:sz w:val="18"/>
                <w:szCs w:val="18"/>
              </w:rPr>
            </w:pPr>
            <w:r>
              <w:rPr>
                <w:rFonts w:hAnsi="Lucida Sans Unicode"/>
                <w:color w:val="151515"/>
                <w:sz w:val="18"/>
                <w:szCs w:val="18"/>
              </w:rPr>
              <w:t>正丁烷</w:t>
            </w:r>
          </w:p>
        </w:tc>
        <w:tc>
          <w:tcPr>
            <w:tcW w:w="1134" w:type="dxa"/>
            <w:shd w:val="clear" w:color="auto" w:fill="FFFFFF"/>
          </w:tcPr>
          <w:p w14:paraId="10C1FB71">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06</w:t>
            </w:r>
            <w:r>
              <w:rPr>
                <w:rFonts w:hint="eastAsia" w:hAnsi="Lucida Sans Unicode"/>
                <w:color w:val="151515"/>
                <w:sz w:val="18"/>
                <w:szCs w:val="18"/>
              </w:rPr>
              <w:t>-</w:t>
            </w:r>
            <w:r>
              <w:rPr>
                <w:rFonts w:hAnsi="Lucida Sans Unicode"/>
                <w:color w:val="151515"/>
                <w:sz w:val="18"/>
                <w:szCs w:val="18"/>
              </w:rPr>
              <w:t>97</w:t>
            </w:r>
            <w:r>
              <w:rPr>
                <w:rFonts w:hint="eastAsia" w:hAnsi="Lucida Sans Unicode"/>
                <w:color w:val="151515"/>
                <w:sz w:val="18"/>
                <w:szCs w:val="18"/>
              </w:rPr>
              <w:t>-</w:t>
            </w:r>
            <w:r>
              <w:rPr>
                <w:rFonts w:hAnsi="Lucida Sans Unicode"/>
                <w:color w:val="151515"/>
                <w:sz w:val="18"/>
                <w:szCs w:val="18"/>
              </w:rPr>
              <w:t>8</w:t>
            </w:r>
          </w:p>
        </w:tc>
        <w:tc>
          <w:tcPr>
            <w:tcW w:w="1134" w:type="dxa"/>
            <w:shd w:val="clear" w:color="auto" w:fill="FFFFFF"/>
          </w:tcPr>
          <w:p w14:paraId="7CD7C5E9">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0</w:t>
            </w:r>
          </w:p>
        </w:tc>
        <w:tc>
          <w:tcPr>
            <w:tcW w:w="709" w:type="dxa"/>
            <w:shd w:val="clear" w:color="auto" w:fill="FFFFFF"/>
          </w:tcPr>
          <w:p w14:paraId="7CD06DC2">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4</w:t>
            </w:r>
          </w:p>
        </w:tc>
        <w:tc>
          <w:tcPr>
            <w:tcW w:w="1415" w:type="dxa"/>
            <w:shd w:val="clear" w:color="auto" w:fill="FFFFFF"/>
          </w:tcPr>
          <w:p w14:paraId="630F9DE4">
            <w:pPr>
              <w:snapToGrid w:val="0"/>
              <w:spacing w:line="240" w:lineRule="auto"/>
              <w:jc w:val="center"/>
              <w:rPr>
                <w:rFonts w:hAnsi="Lucida Sans Unicode"/>
                <w:color w:val="151515"/>
                <w:sz w:val="18"/>
                <w:szCs w:val="18"/>
              </w:rPr>
            </w:pPr>
            <w:r>
              <w:rPr>
                <w:rFonts w:hint="eastAsia" w:hAnsi="Lucida Sans Unicode"/>
                <w:color w:val="151515"/>
                <w:sz w:val="18"/>
                <w:szCs w:val="18"/>
              </w:rPr>
              <w:t>丙醛</w:t>
            </w:r>
          </w:p>
        </w:tc>
        <w:tc>
          <w:tcPr>
            <w:tcW w:w="991" w:type="dxa"/>
            <w:shd w:val="clear" w:color="auto" w:fill="FFFFFF"/>
          </w:tcPr>
          <w:p w14:paraId="69291BC0">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23</w:t>
            </w:r>
            <w:r>
              <w:rPr>
                <w:rFonts w:hint="eastAsia" w:hAnsi="Lucida Sans Unicode"/>
                <w:color w:val="151515"/>
                <w:sz w:val="18"/>
                <w:szCs w:val="18"/>
              </w:rPr>
              <w:t>-</w:t>
            </w:r>
            <w:r>
              <w:rPr>
                <w:rFonts w:hAnsi="Lucida Sans Unicode"/>
                <w:color w:val="151515"/>
                <w:sz w:val="18"/>
                <w:szCs w:val="18"/>
              </w:rPr>
              <w:t>38</w:t>
            </w:r>
            <w:r>
              <w:rPr>
                <w:rFonts w:hint="eastAsia" w:hAnsi="Lucida Sans Unicode"/>
                <w:color w:val="151515"/>
                <w:sz w:val="18"/>
                <w:szCs w:val="18"/>
              </w:rPr>
              <w:t>-</w:t>
            </w:r>
            <w:r>
              <w:rPr>
                <w:rFonts w:hAnsi="Lucida Sans Unicode"/>
                <w:color w:val="151515"/>
                <w:sz w:val="18"/>
                <w:szCs w:val="18"/>
              </w:rPr>
              <w:t>6</w:t>
            </w:r>
          </w:p>
        </w:tc>
        <w:tc>
          <w:tcPr>
            <w:tcW w:w="991" w:type="dxa"/>
            <w:shd w:val="clear" w:color="auto" w:fill="FFFFFF"/>
          </w:tcPr>
          <w:p w14:paraId="691A927A">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6</w:t>
            </w:r>
          </w:p>
        </w:tc>
      </w:tr>
      <w:tr w14:paraId="02427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2AA3FE10">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9</w:t>
            </w:r>
          </w:p>
        </w:tc>
        <w:tc>
          <w:tcPr>
            <w:tcW w:w="1285" w:type="dxa"/>
            <w:shd w:val="clear" w:color="auto" w:fill="FFFFFF"/>
          </w:tcPr>
          <w:p w14:paraId="70566DAC">
            <w:pPr>
              <w:snapToGrid w:val="0"/>
              <w:spacing w:line="240" w:lineRule="auto"/>
              <w:jc w:val="center"/>
              <w:rPr>
                <w:rFonts w:hAnsi="Lucida Sans Unicode"/>
                <w:color w:val="151515"/>
                <w:sz w:val="18"/>
                <w:szCs w:val="18"/>
              </w:rPr>
            </w:pPr>
            <w:r>
              <w:rPr>
                <w:rFonts w:hAnsi="Lucida Sans Unicode"/>
                <w:color w:val="151515"/>
                <w:sz w:val="18"/>
                <w:szCs w:val="18"/>
              </w:rPr>
              <w:t>异丁烷</w:t>
            </w:r>
          </w:p>
        </w:tc>
        <w:tc>
          <w:tcPr>
            <w:tcW w:w="1134" w:type="dxa"/>
            <w:shd w:val="clear" w:color="auto" w:fill="FFFFFF"/>
          </w:tcPr>
          <w:p w14:paraId="3EBA52B9">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2</w:t>
            </w:r>
            <w:r>
              <w:rPr>
                <w:rFonts w:hint="eastAsia" w:hAnsi="Lucida Sans Unicode"/>
                <w:color w:val="151515"/>
                <w:sz w:val="18"/>
                <w:szCs w:val="18"/>
              </w:rPr>
              <w:t>-</w:t>
            </w:r>
            <w:r>
              <w:rPr>
                <w:rFonts w:hAnsi="Lucida Sans Unicode"/>
                <w:color w:val="151515"/>
                <w:sz w:val="18"/>
                <w:szCs w:val="18"/>
              </w:rPr>
              <w:t>28</w:t>
            </w:r>
            <w:r>
              <w:rPr>
                <w:rFonts w:hint="eastAsia" w:hAnsi="Lucida Sans Unicode"/>
                <w:color w:val="151515"/>
                <w:sz w:val="18"/>
                <w:szCs w:val="18"/>
              </w:rPr>
              <w:t>-</w:t>
            </w:r>
            <w:r>
              <w:rPr>
                <w:rFonts w:hAnsi="Lucida Sans Unicode"/>
                <w:color w:val="151515"/>
                <w:sz w:val="18"/>
                <w:szCs w:val="18"/>
              </w:rPr>
              <w:t>5</w:t>
            </w:r>
          </w:p>
        </w:tc>
        <w:tc>
          <w:tcPr>
            <w:tcW w:w="1134" w:type="dxa"/>
            <w:shd w:val="clear" w:color="auto" w:fill="FFFFFF"/>
          </w:tcPr>
          <w:p w14:paraId="0D046B23">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3</w:t>
            </w:r>
          </w:p>
        </w:tc>
        <w:tc>
          <w:tcPr>
            <w:tcW w:w="709" w:type="dxa"/>
            <w:shd w:val="clear" w:color="auto" w:fill="FFFFFF"/>
          </w:tcPr>
          <w:p w14:paraId="7D8ECEB7">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5</w:t>
            </w:r>
          </w:p>
        </w:tc>
        <w:tc>
          <w:tcPr>
            <w:tcW w:w="1415" w:type="dxa"/>
            <w:shd w:val="clear" w:color="auto" w:fill="FFFFFF"/>
          </w:tcPr>
          <w:p w14:paraId="6A9D3ABD">
            <w:pPr>
              <w:snapToGrid w:val="0"/>
              <w:spacing w:line="240" w:lineRule="auto"/>
              <w:jc w:val="center"/>
              <w:rPr>
                <w:rFonts w:hAnsi="Lucida Sans Unicode"/>
                <w:color w:val="151515"/>
                <w:sz w:val="18"/>
                <w:szCs w:val="18"/>
              </w:rPr>
            </w:pPr>
            <w:r>
              <w:rPr>
                <w:rFonts w:hint="eastAsia" w:hAnsi="Lucida Sans Unicode"/>
                <w:color w:val="151515"/>
                <w:sz w:val="18"/>
                <w:szCs w:val="18"/>
              </w:rPr>
              <w:t>丙烷</w:t>
            </w:r>
          </w:p>
        </w:tc>
        <w:tc>
          <w:tcPr>
            <w:tcW w:w="991" w:type="dxa"/>
            <w:shd w:val="clear" w:color="auto" w:fill="FFFFFF"/>
          </w:tcPr>
          <w:p w14:paraId="2CE35308">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4</w:t>
            </w:r>
            <w:r>
              <w:rPr>
                <w:rFonts w:hint="eastAsia" w:hAnsi="Lucida Sans Unicode"/>
                <w:color w:val="151515"/>
                <w:sz w:val="18"/>
                <w:szCs w:val="18"/>
              </w:rPr>
              <w:t>-</w:t>
            </w:r>
            <w:r>
              <w:rPr>
                <w:rFonts w:hAnsi="Lucida Sans Unicode"/>
                <w:color w:val="151515"/>
                <w:sz w:val="18"/>
                <w:szCs w:val="18"/>
              </w:rPr>
              <w:t>98</w:t>
            </w:r>
            <w:r>
              <w:rPr>
                <w:rFonts w:hint="eastAsia" w:hAnsi="Lucida Sans Unicode"/>
                <w:color w:val="151515"/>
                <w:sz w:val="18"/>
                <w:szCs w:val="18"/>
              </w:rPr>
              <w:t>-</w:t>
            </w:r>
            <w:r>
              <w:rPr>
                <w:rFonts w:hAnsi="Lucida Sans Unicode"/>
                <w:color w:val="151515"/>
                <w:sz w:val="18"/>
                <w:szCs w:val="18"/>
              </w:rPr>
              <w:t>6</w:t>
            </w:r>
          </w:p>
        </w:tc>
        <w:tc>
          <w:tcPr>
            <w:tcW w:w="991" w:type="dxa"/>
            <w:shd w:val="clear" w:color="auto" w:fill="FFFFFF"/>
          </w:tcPr>
          <w:p w14:paraId="27F522BD">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1</w:t>
            </w:r>
          </w:p>
        </w:tc>
      </w:tr>
      <w:tr w14:paraId="1A165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4A9F4BA8">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0</w:t>
            </w:r>
          </w:p>
        </w:tc>
        <w:tc>
          <w:tcPr>
            <w:tcW w:w="1285" w:type="dxa"/>
            <w:shd w:val="clear" w:color="auto" w:fill="FFFFFF"/>
          </w:tcPr>
          <w:p w14:paraId="5C26584E">
            <w:pPr>
              <w:snapToGrid w:val="0"/>
              <w:spacing w:line="240" w:lineRule="auto"/>
              <w:jc w:val="center"/>
              <w:rPr>
                <w:rFonts w:hAnsi="Lucida Sans Unicode"/>
                <w:color w:val="151515"/>
                <w:sz w:val="18"/>
                <w:szCs w:val="18"/>
              </w:rPr>
            </w:pPr>
            <w:r>
              <w:rPr>
                <w:rFonts w:hAnsi="Lucida Sans Unicode"/>
                <w:color w:val="151515"/>
                <w:sz w:val="18"/>
                <w:szCs w:val="18"/>
              </w:rPr>
              <w:t>丁烯</w:t>
            </w:r>
          </w:p>
        </w:tc>
        <w:tc>
          <w:tcPr>
            <w:tcW w:w="1134" w:type="dxa"/>
            <w:shd w:val="clear" w:color="auto" w:fill="FFFFFF"/>
          </w:tcPr>
          <w:p w14:paraId="461684DF">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06</w:t>
            </w:r>
            <w:r>
              <w:rPr>
                <w:rFonts w:hint="eastAsia" w:hAnsi="Lucida Sans Unicode"/>
                <w:color w:val="151515"/>
                <w:sz w:val="18"/>
                <w:szCs w:val="18"/>
              </w:rPr>
              <w:t>-</w:t>
            </w:r>
            <w:r>
              <w:rPr>
                <w:rFonts w:hAnsi="Lucida Sans Unicode"/>
                <w:color w:val="151515"/>
                <w:sz w:val="18"/>
                <w:szCs w:val="18"/>
              </w:rPr>
              <w:t>98</w:t>
            </w:r>
            <w:r>
              <w:rPr>
                <w:rFonts w:hint="eastAsia" w:hAnsi="Lucida Sans Unicode"/>
                <w:color w:val="151515"/>
                <w:sz w:val="18"/>
                <w:szCs w:val="18"/>
              </w:rPr>
              <w:t>-</w:t>
            </w:r>
            <w:r>
              <w:rPr>
                <w:rFonts w:hAnsi="Lucida Sans Unicode"/>
                <w:color w:val="151515"/>
                <w:sz w:val="18"/>
                <w:szCs w:val="18"/>
              </w:rPr>
              <w:t>9</w:t>
            </w:r>
          </w:p>
        </w:tc>
        <w:tc>
          <w:tcPr>
            <w:tcW w:w="1134" w:type="dxa"/>
            <w:shd w:val="clear" w:color="auto" w:fill="FFFFFF"/>
          </w:tcPr>
          <w:p w14:paraId="68F4455D">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13</w:t>
            </w:r>
          </w:p>
        </w:tc>
        <w:tc>
          <w:tcPr>
            <w:tcW w:w="709" w:type="dxa"/>
            <w:shd w:val="clear" w:color="auto" w:fill="FFFFFF"/>
          </w:tcPr>
          <w:p w14:paraId="7E15DF44">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6</w:t>
            </w:r>
          </w:p>
        </w:tc>
        <w:tc>
          <w:tcPr>
            <w:tcW w:w="1415" w:type="dxa"/>
            <w:shd w:val="clear" w:color="auto" w:fill="FFFFFF"/>
          </w:tcPr>
          <w:p w14:paraId="282335C8">
            <w:pPr>
              <w:snapToGrid w:val="0"/>
              <w:spacing w:line="240" w:lineRule="auto"/>
              <w:jc w:val="center"/>
              <w:rPr>
                <w:rFonts w:hAnsi="Lucida Sans Unicode"/>
                <w:color w:val="151515"/>
                <w:sz w:val="18"/>
                <w:szCs w:val="18"/>
              </w:rPr>
            </w:pPr>
            <w:r>
              <w:rPr>
                <w:rFonts w:hint="eastAsia" w:hAnsi="Lucida Sans Unicode"/>
                <w:color w:val="151515"/>
                <w:sz w:val="18"/>
                <w:szCs w:val="18"/>
              </w:rPr>
              <w:t>2-丙醇</w:t>
            </w:r>
          </w:p>
        </w:tc>
        <w:tc>
          <w:tcPr>
            <w:tcW w:w="991" w:type="dxa"/>
            <w:shd w:val="clear" w:color="auto" w:fill="FFFFFF"/>
          </w:tcPr>
          <w:p w14:paraId="69D2F9B8">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7</w:t>
            </w:r>
            <w:r>
              <w:rPr>
                <w:rFonts w:hint="eastAsia" w:hAnsi="Lucida Sans Unicode"/>
                <w:color w:val="151515"/>
                <w:sz w:val="18"/>
                <w:szCs w:val="18"/>
              </w:rPr>
              <w:t>-</w:t>
            </w:r>
            <w:r>
              <w:rPr>
                <w:rFonts w:hAnsi="Lucida Sans Unicode"/>
                <w:color w:val="151515"/>
                <w:sz w:val="18"/>
                <w:szCs w:val="18"/>
              </w:rPr>
              <w:t>63</w:t>
            </w:r>
            <w:r>
              <w:rPr>
                <w:rFonts w:hint="eastAsia" w:hAnsi="Lucida Sans Unicode"/>
                <w:color w:val="151515"/>
                <w:sz w:val="18"/>
                <w:szCs w:val="18"/>
              </w:rPr>
              <w:t>-</w:t>
            </w:r>
            <w:r>
              <w:rPr>
                <w:rFonts w:hAnsi="Lucida Sans Unicode"/>
                <w:color w:val="151515"/>
                <w:sz w:val="18"/>
                <w:szCs w:val="18"/>
              </w:rPr>
              <w:t>0</w:t>
            </w:r>
          </w:p>
        </w:tc>
        <w:tc>
          <w:tcPr>
            <w:tcW w:w="991" w:type="dxa"/>
            <w:shd w:val="clear" w:color="auto" w:fill="FFFFFF"/>
          </w:tcPr>
          <w:p w14:paraId="5DC2ED4C">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2</w:t>
            </w:r>
          </w:p>
        </w:tc>
      </w:tr>
      <w:tr w14:paraId="22CF9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65A90F54">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1</w:t>
            </w:r>
          </w:p>
        </w:tc>
        <w:tc>
          <w:tcPr>
            <w:tcW w:w="1285" w:type="dxa"/>
            <w:shd w:val="clear" w:color="auto" w:fill="FFFFFF"/>
          </w:tcPr>
          <w:p w14:paraId="21BDEB73">
            <w:pPr>
              <w:snapToGrid w:val="0"/>
              <w:spacing w:line="240" w:lineRule="auto"/>
              <w:jc w:val="center"/>
              <w:rPr>
                <w:rFonts w:hAnsi="Lucida Sans Unicode"/>
                <w:color w:val="151515"/>
                <w:sz w:val="18"/>
                <w:szCs w:val="18"/>
              </w:rPr>
            </w:pPr>
            <w:r>
              <w:rPr>
                <w:rFonts w:hAnsi="Lucida Sans Unicode"/>
                <w:color w:val="151515"/>
                <w:sz w:val="18"/>
                <w:szCs w:val="18"/>
              </w:rPr>
              <w:t>丁二醇</w:t>
            </w:r>
          </w:p>
        </w:tc>
        <w:tc>
          <w:tcPr>
            <w:tcW w:w="1134" w:type="dxa"/>
            <w:shd w:val="clear" w:color="auto" w:fill="FFFFFF"/>
          </w:tcPr>
          <w:p w14:paraId="0DFE5DC4">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w:t>
            </w:r>
            <w:r>
              <w:rPr>
                <w:rFonts w:hint="eastAsia" w:hAnsi="Lucida Sans Unicode"/>
                <w:color w:val="151515"/>
                <w:sz w:val="18"/>
                <w:szCs w:val="18"/>
              </w:rPr>
              <w:t>-</w:t>
            </w:r>
            <w:r>
              <w:rPr>
                <w:rFonts w:hAnsi="Lucida Sans Unicode"/>
                <w:color w:val="151515"/>
                <w:sz w:val="18"/>
                <w:szCs w:val="18"/>
              </w:rPr>
              <w:t>76</w:t>
            </w:r>
            <w:r>
              <w:rPr>
                <w:rFonts w:hint="eastAsia" w:hAnsi="Lucida Sans Unicode"/>
                <w:color w:val="151515"/>
                <w:sz w:val="18"/>
                <w:szCs w:val="18"/>
              </w:rPr>
              <w:t>-</w:t>
            </w:r>
            <w:r>
              <w:rPr>
                <w:rFonts w:hAnsi="Lucida Sans Unicode"/>
                <w:color w:val="151515"/>
                <w:sz w:val="18"/>
                <w:szCs w:val="18"/>
              </w:rPr>
              <w:t>2</w:t>
            </w:r>
          </w:p>
        </w:tc>
        <w:tc>
          <w:tcPr>
            <w:tcW w:w="1134" w:type="dxa"/>
            <w:shd w:val="clear" w:color="auto" w:fill="FFFFFF"/>
          </w:tcPr>
          <w:p w14:paraId="725FEA83">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3</w:t>
            </w:r>
          </w:p>
        </w:tc>
        <w:tc>
          <w:tcPr>
            <w:tcW w:w="709" w:type="dxa"/>
            <w:shd w:val="clear" w:color="auto" w:fill="FFFFFF"/>
          </w:tcPr>
          <w:p w14:paraId="64B49A46">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7</w:t>
            </w:r>
          </w:p>
        </w:tc>
        <w:tc>
          <w:tcPr>
            <w:tcW w:w="1415" w:type="dxa"/>
            <w:shd w:val="clear" w:color="auto" w:fill="FFFFFF"/>
          </w:tcPr>
          <w:p w14:paraId="7F8F64D7">
            <w:pPr>
              <w:snapToGrid w:val="0"/>
              <w:spacing w:line="240" w:lineRule="auto"/>
              <w:jc w:val="center"/>
              <w:rPr>
                <w:rFonts w:hAnsi="Lucida Sans Unicode"/>
                <w:color w:val="151515"/>
                <w:sz w:val="18"/>
                <w:szCs w:val="18"/>
              </w:rPr>
            </w:pPr>
            <w:r>
              <w:rPr>
                <w:rFonts w:hint="eastAsia" w:hAnsi="Lucida Sans Unicode"/>
                <w:color w:val="151515"/>
                <w:sz w:val="18"/>
                <w:szCs w:val="18"/>
              </w:rPr>
              <w:t>丙烯</w:t>
            </w:r>
          </w:p>
        </w:tc>
        <w:tc>
          <w:tcPr>
            <w:tcW w:w="991" w:type="dxa"/>
            <w:shd w:val="clear" w:color="auto" w:fill="FFFFFF"/>
          </w:tcPr>
          <w:p w14:paraId="3B1C7E26">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15</w:t>
            </w:r>
            <w:r>
              <w:rPr>
                <w:rFonts w:hint="eastAsia" w:hAnsi="Lucida Sans Unicode"/>
                <w:color w:val="151515"/>
                <w:sz w:val="18"/>
                <w:szCs w:val="18"/>
              </w:rPr>
              <w:t>-</w:t>
            </w:r>
            <w:r>
              <w:rPr>
                <w:rFonts w:hAnsi="Lucida Sans Unicode"/>
                <w:color w:val="151515"/>
                <w:sz w:val="18"/>
                <w:szCs w:val="18"/>
              </w:rPr>
              <w:t>07</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4F203CF7">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08</w:t>
            </w:r>
          </w:p>
        </w:tc>
      </w:tr>
      <w:tr w14:paraId="28007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11AC4E9B">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2</w:t>
            </w:r>
          </w:p>
        </w:tc>
        <w:tc>
          <w:tcPr>
            <w:tcW w:w="1285" w:type="dxa"/>
            <w:shd w:val="clear" w:color="auto" w:fill="FFFFFF"/>
          </w:tcPr>
          <w:p w14:paraId="1A5043DD">
            <w:pPr>
              <w:snapToGrid w:val="0"/>
              <w:spacing w:line="240" w:lineRule="auto"/>
              <w:jc w:val="center"/>
              <w:rPr>
                <w:rFonts w:hAnsi="Lucida Sans Unicode"/>
                <w:color w:val="151515"/>
                <w:sz w:val="18"/>
                <w:szCs w:val="18"/>
              </w:rPr>
            </w:pPr>
            <w:r>
              <w:rPr>
                <w:rFonts w:hAnsi="Lucida Sans Unicode"/>
                <w:color w:val="151515"/>
                <w:sz w:val="18"/>
                <w:szCs w:val="18"/>
              </w:rPr>
              <w:t>氯乙烯</w:t>
            </w:r>
          </w:p>
        </w:tc>
        <w:tc>
          <w:tcPr>
            <w:tcW w:w="1134" w:type="dxa"/>
            <w:shd w:val="clear" w:color="auto" w:fill="FFFFFF"/>
          </w:tcPr>
          <w:p w14:paraId="14482791">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01</w:t>
            </w:r>
            <w:r>
              <w:rPr>
                <w:rFonts w:hint="eastAsia" w:hAnsi="Lucida Sans Unicode"/>
                <w:color w:val="151515"/>
                <w:sz w:val="18"/>
                <w:szCs w:val="18"/>
              </w:rPr>
              <w:t>-</w:t>
            </w:r>
            <w:r>
              <w:rPr>
                <w:rFonts w:hAnsi="Lucida Sans Unicode"/>
                <w:color w:val="151515"/>
                <w:sz w:val="18"/>
                <w:szCs w:val="18"/>
              </w:rPr>
              <w:t>4</w:t>
            </w:r>
          </w:p>
        </w:tc>
        <w:tc>
          <w:tcPr>
            <w:tcW w:w="1134" w:type="dxa"/>
            <w:shd w:val="clear" w:color="auto" w:fill="FFFFFF"/>
          </w:tcPr>
          <w:p w14:paraId="2F229495">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7</w:t>
            </w:r>
          </w:p>
        </w:tc>
        <w:tc>
          <w:tcPr>
            <w:tcW w:w="709" w:type="dxa"/>
            <w:shd w:val="clear" w:color="auto" w:fill="FFFFFF"/>
          </w:tcPr>
          <w:p w14:paraId="5CAAE6BA">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8</w:t>
            </w:r>
          </w:p>
        </w:tc>
        <w:tc>
          <w:tcPr>
            <w:tcW w:w="1415" w:type="dxa"/>
            <w:shd w:val="clear" w:color="auto" w:fill="FFFFFF"/>
          </w:tcPr>
          <w:p w14:paraId="23625C2B">
            <w:pPr>
              <w:snapToGrid w:val="0"/>
              <w:spacing w:line="240" w:lineRule="auto"/>
              <w:jc w:val="center"/>
              <w:rPr>
                <w:rFonts w:hAnsi="Lucida Sans Unicode"/>
                <w:color w:val="151515"/>
                <w:sz w:val="18"/>
                <w:szCs w:val="18"/>
              </w:rPr>
            </w:pPr>
            <w:r>
              <w:rPr>
                <w:rFonts w:hint="eastAsia" w:hAnsi="Lucida Sans Unicode"/>
                <w:color w:val="151515"/>
                <w:sz w:val="18"/>
                <w:szCs w:val="18"/>
              </w:rPr>
              <w:t>丙酸</w:t>
            </w:r>
          </w:p>
        </w:tc>
        <w:tc>
          <w:tcPr>
            <w:tcW w:w="991" w:type="dxa"/>
            <w:shd w:val="clear" w:color="auto" w:fill="FFFFFF"/>
          </w:tcPr>
          <w:p w14:paraId="0F7694FF">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5</w:t>
            </w:r>
            <w:r>
              <w:rPr>
                <w:rFonts w:hint="eastAsia" w:hAnsi="Lucida Sans Unicode"/>
                <w:color w:val="151515"/>
                <w:sz w:val="18"/>
                <w:szCs w:val="18"/>
              </w:rPr>
              <w:t>-</w:t>
            </w:r>
            <w:r>
              <w:rPr>
                <w:rFonts w:hAnsi="Lucida Sans Unicode"/>
                <w:color w:val="151515"/>
                <w:sz w:val="18"/>
                <w:szCs w:val="18"/>
              </w:rPr>
              <w:t>98</w:t>
            </w:r>
            <w:r>
              <w:rPr>
                <w:rFonts w:hint="eastAsia" w:hAnsi="Lucida Sans Unicode"/>
                <w:color w:val="151515"/>
                <w:sz w:val="18"/>
                <w:szCs w:val="18"/>
              </w:rPr>
              <w:t>-</w:t>
            </w:r>
            <w:r>
              <w:rPr>
                <w:rFonts w:hAnsi="Lucida Sans Unicode"/>
                <w:color w:val="151515"/>
                <w:sz w:val="18"/>
                <w:szCs w:val="18"/>
              </w:rPr>
              <w:t>9</w:t>
            </w:r>
          </w:p>
        </w:tc>
        <w:tc>
          <w:tcPr>
            <w:tcW w:w="991" w:type="dxa"/>
            <w:shd w:val="clear" w:color="auto" w:fill="FFFFFF"/>
          </w:tcPr>
          <w:p w14:paraId="533EB707">
            <w:pPr>
              <w:snapToGrid w:val="0"/>
              <w:spacing w:line="240" w:lineRule="auto"/>
              <w:jc w:val="center"/>
              <w:rPr>
                <w:rFonts w:hAnsi="Lucida Sans Unicode"/>
                <w:color w:val="151515"/>
                <w:sz w:val="18"/>
                <w:szCs w:val="18"/>
              </w:rPr>
            </w:pPr>
            <w:r>
              <w:rPr>
                <w:rFonts w:hint="eastAsia" w:hAnsi="Lucida Sans Unicode"/>
                <w:color w:val="151515"/>
                <w:sz w:val="18"/>
                <w:szCs w:val="18"/>
              </w:rPr>
              <w:t>4</w:t>
            </w:r>
          </w:p>
        </w:tc>
      </w:tr>
      <w:tr w14:paraId="5FC7E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33F4E3A2">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3</w:t>
            </w:r>
          </w:p>
        </w:tc>
        <w:tc>
          <w:tcPr>
            <w:tcW w:w="1285" w:type="dxa"/>
            <w:shd w:val="clear" w:color="auto" w:fill="FFFFFF"/>
          </w:tcPr>
          <w:p w14:paraId="54CD924B">
            <w:pPr>
              <w:snapToGrid w:val="0"/>
              <w:spacing w:line="240" w:lineRule="auto"/>
              <w:jc w:val="center"/>
              <w:rPr>
                <w:rFonts w:hAnsi="Lucida Sans Unicode"/>
                <w:color w:val="151515"/>
                <w:sz w:val="18"/>
                <w:szCs w:val="18"/>
              </w:rPr>
            </w:pPr>
            <w:r>
              <w:rPr>
                <w:rFonts w:hAnsi="Lucida Sans Unicode"/>
                <w:color w:val="151515"/>
                <w:sz w:val="18"/>
                <w:szCs w:val="18"/>
              </w:rPr>
              <w:t>环己烷</w:t>
            </w:r>
          </w:p>
        </w:tc>
        <w:tc>
          <w:tcPr>
            <w:tcW w:w="1134" w:type="dxa"/>
            <w:shd w:val="clear" w:color="auto" w:fill="FFFFFF"/>
          </w:tcPr>
          <w:p w14:paraId="6D723C48">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10</w:t>
            </w:r>
            <w:r>
              <w:rPr>
                <w:rFonts w:hint="eastAsia" w:hAnsi="Lucida Sans Unicode"/>
                <w:color w:val="151515"/>
                <w:sz w:val="18"/>
                <w:szCs w:val="18"/>
              </w:rPr>
              <w:t>-</w:t>
            </w:r>
            <w:r>
              <w:rPr>
                <w:rFonts w:hAnsi="Lucida Sans Unicode"/>
                <w:color w:val="151515"/>
                <w:sz w:val="18"/>
                <w:szCs w:val="18"/>
              </w:rPr>
              <w:t>82</w:t>
            </w:r>
            <w:r>
              <w:rPr>
                <w:rFonts w:hint="eastAsia" w:hAnsi="Lucida Sans Unicode"/>
                <w:color w:val="151515"/>
                <w:sz w:val="18"/>
                <w:szCs w:val="18"/>
              </w:rPr>
              <w:t>-</w:t>
            </w:r>
            <w:r>
              <w:rPr>
                <w:rFonts w:hAnsi="Lucida Sans Unicode"/>
                <w:color w:val="151515"/>
                <w:sz w:val="18"/>
                <w:szCs w:val="18"/>
              </w:rPr>
              <w:t>7</w:t>
            </w:r>
          </w:p>
        </w:tc>
        <w:tc>
          <w:tcPr>
            <w:tcW w:w="1134" w:type="dxa"/>
            <w:shd w:val="clear" w:color="auto" w:fill="FFFFFF"/>
          </w:tcPr>
          <w:p w14:paraId="527F8BB8">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0</w:t>
            </w:r>
          </w:p>
        </w:tc>
        <w:tc>
          <w:tcPr>
            <w:tcW w:w="709" w:type="dxa"/>
            <w:shd w:val="clear" w:color="auto" w:fill="FFFFFF"/>
          </w:tcPr>
          <w:p w14:paraId="021FEB89">
            <w:pPr>
              <w:snapToGrid w:val="0"/>
              <w:spacing w:line="240" w:lineRule="auto"/>
              <w:jc w:val="center"/>
              <w:rPr>
                <w:rFonts w:hAnsi="Lucida Sans Unicode"/>
                <w:color w:val="151515"/>
                <w:sz w:val="18"/>
                <w:szCs w:val="18"/>
              </w:rPr>
            </w:pPr>
            <w:r>
              <w:rPr>
                <w:rFonts w:hint="eastAsia" w:hAnsi="Lucida Sans Unicode"/>
                <w:color w:val="151515"/>
                <w:sz w:val="18"/>
                <w:szCs w:val="18"/>
              </w:rPr>
              <w:t>4</w:t>
            </w:r>
            <w:r>
              <w:rPr>
                <w:rFonts w:hAnsi="Lucida Sans Unicode"/>
                <w:color w:val="151515"/>
                <w:sz w:val="18"/>
                <w:szCs w:val="18"/>
              </w:rPr>
              <w:t>9</w:t>
            </w:r>
          </w:p>
        </w:tc>
        <w:tc>
          <w:tcPr>
            <w:tcW w:w="1415" w:type="dxa"/>
            <w:shd w:val="clear" w:color="auto" w:fill="FFFFFF"/>
          </w:tcPr>
          <w:p w14:paraId="1D9BAA82">
            <w:pPr>
              <w:snapToGrid w:val="0"/>
              <w:spacing w:line="240" w:lineRule="auto"/>
              <w:jc w:val="center"/>
              <w:rPr>
                <w:rFonts w:hAnsi="Lucida Sans Unicode"/>
                <w:color w:val="151515"/>
                <w:sz w:val="18"/>
                <w:szCs w:val="18"/>
              </w:rPr>
            </w:pPr>
            <w:r>
              <w:rPr>
                <w:rFonts w:hint="eastAsia" w:hAnsi="Lucida Sans Unicode"/>
                <w:color w:val="151515"/>
                <w:sz w:val="18"/>
                <w:szCs w:val="18"/>
              </w:rPr>
              <w:t>丙苯</w:t>
            </w:r>
          </w:p>
        </w:tc>
        <w:tc>
          <w:tcPr>
            <w:tcW w:w="991" w:type="dxa"/>
            <w:shd w:val="clear" w:color="auto" w:fill="FFFFFF"/>
          </w:tcPr>
          <w:p w14:paraId="77E8F87E">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03</w:t>
            </w:r>
            <w:r>
              <w:rPr>
                <w:rFonts w:hint="eastAsia" w:hAnsi="Lucida Sans Unicode"/>
                <w:color w:val="151515"/>
                <w:sz w:val="18"/>
                <w:szCs w:val="18"/>
              </w:rPr>
              <w:t>-</w:t>
            </w:r>
            <w:r>
              <w:rPr>
                <w:rFonts w:hAnsi="Lucida Sans Unicode"/>
                <w:color w:val="151515"/>
                <w:sz w:val="18"/>
                <w:szCs w:val="18"/>
              </w:rPr>
              <w:t>65</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3F92049E">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1</w:t>
            </w:r>
          </w:p>
        </w:tc>
      </w:tr>
      <w:tr w14:paraId="04924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13970083">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4</w:t>
            </w:r>
          </w:p>
        </w:tc>
        <w:tc>
          <w:tcPr>
            <w:tcW w:w="1285" w:type="dxa"/>
            <w:shd w:val="clear" w:color="auto" w:fill="FFFFFF"/>
          </w:tcPr>
          <w:p w14:paraId="22FB542B">
            <w:pPr>
              <w:snapToGrid w:val="0"/>
              <w:spacing w:line="240" w:lineRule="auto"/>
              <w:jc w:val="center"/>
              <w:rPr>
                <w:rFonts w:hAnsi="Lucida Sans Unicode"/>
                <w:color w:val="151515"/>
                <w:sz w:val="18"/>
                <w:szCs w:val="18"/>
              </w:rPr>
            </w:pPr>
            <w:r>
              <w:rPr>
                <w:rFonts w:hint="eastAsia" w:hAnsi="Lucida Sans Unicode"/>
                <w:color w:val="151515"/>
                <w:sz w:val="18"/>
                <w:szCs w:val="18"/>
              </w:rPr>
              <w:t>异丁醛</w:t>
            </w:r>
          </w:p>
        </w:tc>
        <w:tc>
          <w:tcPr>
            <w:tcW w:w="1134" w:type="dxa"/>
            <w:shd w:val="clear" w:color="auto" w:fill="FFFFFF"/>
          </w:tcPr>
          <w:p w14:paraId="1ED8C067">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84</w:t>
            </w:r>
            <w:r>
              <w:rPr>
                <w:rFonts w:hint="eastAsia" w:hAnsi="Lucida Sans Unicode"/>
                <w:color w:val="151515"/>
                <w:sz w:val="18"/>
                <w:szCs w:val="18"/>
              </w:rPr>
              <w:t>-</w:t>
            </w:r>
            <w:r>
              <w:rPr>
                <w:rFonts w:hAnsi="Lucida Sans Unicode"/>
                <w:color w:val="151515"/>
                <w:sz w:val="18"/>
                <w:szCs w:val="18"/>
              </w:rPr>
              <w:t>2</w:t>
            </w:r>
          </w:p>
        </w:tc>
        <w:tc>
          <w:tcPr>
            <w:tcW w:w="1134" w:type="dxa"/>
            <w:shd w:val="clear" w:color="auto" w:fill="FFFFFF"/>
          </w:tcPr>
          <w:p w14:paraId="7C59ED88">
            <w:pPr>
              <w:snapToGrid w:val="0"/>
              <w:spacing w:line="240" w:lineRule="auto"/>
              <w:jc w:val="center"/>
              <w:rPr>
                <w:rFonts w:hAnsi="Lucida Sans Unicode"/>
                <w:color w:val="151515"/>
                <w:sz w:val="18"/>
                <w:szCs w:val="18"/>
              </w:rPr>
            </w:pPr>
            <w:r>
              <w:rPr>
                <w:rFonts w:hint="eastAsia" w:hAnsi="Lucida Sans Unicode"/>
                <w:color w:val="151515"/>
                <w:sz w:val="18"/>
                <w:szCs w:val="18"/>
              </w:rPr>
              <w:t>8</w:t>
            </w:r>
            <w:r>
              <w:rPr>
                <w:rFonts w:hAnsi="Lucida Sans Unicode"/>
                <w:color w:val="151515"/>
                <w:sz w:val="18"/>
                <w:szCs w:val="18"/>
              </w:rPr>
              <w:t>6</w:t>
            </w:r>
          </w:p>
        </w:tc>
        <w:tc>
          <w:tcPr>
            <w:tcW w:w="709" w:type="dxa"/>
            <w:shd w:val="clear" w:color="auto" w:fill="FFFFFF"/>
          </w:tcPr>
          <w:p w14:paraId="20FA6A80">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0</w:t>
            </w:r>
          </w:p>
        </w:tc>
        <w:tc>
          <w:tcPr>
            <w:tcW w:w="1415" w:type="dxa"/>
            <w:shd w:val="clear" w:color="auto" w:fill="FFFFFF"/>
          </w:tcPr>
          <w:p w14:paraId="41D48026">
            <w:pPr>
              <w:snapToGrid w:val="0"/>
              <w:spacing w:line="240" w:lineRule="auto"/>
              <w:jc w:val="center"/>
              <w:rPr>
                <w:rFonts w:hAnsi="Lucida Sans Unicode"/>
                <w:color w:val="151515"/>
                <w:sz w:val="18"/>
                <w:szCs w:val="18"/>
              </w:rPr>
            </w:pPr>
            <w:r>
              <w:rPr>
                <w:rFonts w:hAnsi="Lucida Sans Unicode"/>
                <w:color w:val="151515"/>
                <w:sz w:val="18"/>
                <w:szCs w:val="18"/>
              </w:rPr>
              <w:t>异丁醇</w:t>
            </w:r>
          </w:p>
        </w:tc>
        <w:tc>
          <w:tcPr>
            <w:tcW w:w="991" w:type="dxa"/>
            <w:shd w:val="clear" w:color="auto" w:fill="FFFFFF"/>
          </w:tcPr>
          <w:p w14:paraId="10450EDE">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83</w:t>
            </w:r>
            <w:r>
              <w:rPr>
                <w:rFonts w:hint="eastAsia" w:hAnsi="Lucida Sans Unicode"/>
                <w:color w:val="151515"/>
                <w:sz w:val="18"/>
                <w:szCs w:val="18"/>
              </w:rPr>
              <w:t>-</w:t>
            </w:r>
            <w:r>
              <w:rPr>
                <w:rFonts w:hAnsi="Lucida Sans Unicode"/>
                <w:color w:val="151515"/>
                <w:sz w:val="18"/>
                <w:szCs w:val="18"/>
              </w:rPr>
              <w:t>1</w:t>
            </w:r>
          </w:p>
        </w:tc>
        <w:tc>
          <w:tcPr>
            <w:tcW w:w="991" w:type="dxa"/>
            <w:shd w:val="clear" w:color="auto" w:fill="FFFFFF"/>
          </w:tcPr>
          <w:p w14:paraId="4458250D">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9</w:t>
            </w:r>
          </w:p>
        </w:tc>
      </w:tr>
      <w:tr w14:paraId="0EB35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7B6FD68A">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5</w:t>
            </w:r>
          </w:p>
        </w:tc>
        <w:tc>
          <w:tcPr>
            <w:tcW w:w="1285" w:type="dxa"/>
            <w:shd w:val="clear" w:color="auto" w:fill="FFFFFF"/>
          </w:tcPr>
          <w:p w14:paraId="0C866046">
            <w:pPr>
              <w:snapToGrid w:val="0"/>
              <w:spacing w:line="240" w:lineRule="auto"/>
              <w:jc w:val="center"/>
              <w:rPr>
                <w:rFonts w:hAnsi="Lucida Sans Unicode"/>
                <w:color w:val="151515"/>
                <w:sz w:val="18"/>
                <w:szCs w:val="18"/>
              </w:rPr>
            </w:pPr>
            <w:r>
              <w:rPr>
                <w:rFonts w:hint="eastAsia" w:hAnsi="Lucida Sans Unicode"/>
                <w:color w:val="151515"/>
                <w:sz w:val="18"/>
                <w:szCs w:val="18"/>
              </w:rPr>
              <w:t>癸烷</w:t>
            </w:r>
          </w:p>
        </w:tc>
        <w:tc>
          <w:tcPr>
            <w:tcW w:w="1134" w:type="dxa"/>
            <w:shd w:val="clear" w:color="auto" w:fill="FFFFFF"/>
          </w:tcPr>
          <w:p w14:paraId="1A2825E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24</w:t>
            </w:r>
            <w:r>
              <w:rPr>
                <w:rFonts w:hint="eastAsia" w:hAnsi="Lucida Sans Unicode"/>
                <w:color w:val="151515"/>
                <w:sz w:val="18"/>
                <w:szCs w:val="18"/>
              </w:rPr>
              <w:t>-</w:t>
            </w:r>
            <w:r>
              <w:rPr>
                <w:rFonts w:hAnsi="Lucida Sans Unicode"/>
                <w:color w:val="151515"/>
                <w:sz w:val="18"/>
                <w:szCs w:val="18"/>
              </w:rPr>
              <w:t>18</w:t>
            </w:r>
            <w:r>
              <w:rPr>
                <w:rFonts w:hint="eastAsia" w:hAnsi="Lucida Sans Unicode"/>
                <w:color w:val="151515"/>
                <w:sz w:val="18"/>
                <w:szCs w:val="18"/>
              </w:rPr>
              <w:t>-</w:t>
            </w:r>
            <w:r>
              <w:rPr>
                <w:rFonts w:hAnsi="Lucida Sans Unicode"/>
                <w:color w:val="151515"/>
                <w:sz w:val="18"/>
                <w:szCs w:val="18"/>
              </w:rPr>
              <w:t>5</w:t>
            </w:r>
          </w:p>
        </w:tc>
        <w:tc>
          <w:tcPr>
            <w:tcW w:w="1134" w:type="dxa"/>
            <w:shd w:val="clear" w:color="auto" w:fill="FFFFFF"/>
          </w:tcPr>
          <w:p w14:paraId="114241BF">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8</w:t>
            </w:r>
          </w:p>
        </w:tc>
        <w:tc>
          <w:tcPr>
            <w:tcW w:w="709" w:type="dxa"/>
            <w:shd w:val="clear" w:color="auto" w:fill="FFFFFF"/>
          </w:tcPr>
          <w:p w14:paraId="35E0EC6B">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1</w:t>
            </w:r>
          </w:p>
        </w:tc>
        <w:tc>
          <w:tcPr>
            <w:tcW w:w="1415" w:type="dxa"/>
            <w:shd w:val="clear" w:color="auto" w:fill="FFFFFF"/>
          </w:tcPr>
          <w:p w14:paraId="10DA88E9">
            <w:pPr>
              <w:snapToGrid w:val="0"/>
              <w:spacing w:line="240" w:lineRule="auto"/>
              <w:jc w:val="center"/>
              <w:rPr>
                <w:rFonts w:hAnsi="Lucida Sans Unicode"/>
                <w:color w:val="151515"/>
                <w:sz w:val="18"/>
                <w:szCs w:val="18"/>
              </w:rPr>
            </w:pPr>
            <w:r>
              <w:rPr>
                <w:rFonts w:hint="eastAsia" w:hAnsi="Lucida Sans Unicode"/>
                <w:color w:val="151515"/>
                <w:sz w:val="18"/>
                <w:szCs w:val="18"/>
              </w:rPr>
              <w:t>己烷</w:t>
            </w:r>
          </w:p>
        </w:tc>
        <w:tc>
          <w:tcPr>
            <w:tcW w:w="991" w:type="dxa"/>
            <w:shd w:val="clear" w:color="auto" w:fill="FFFFFF"/>
          </w:tcPr>
          <w:p w14:paraId="2AC3036D">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10</w:t>
            </w:r>
            <w:r>
              <w:rPr>
                <w:rFonts w:hint="eastAsia" w:hAnsi="Lucida Sans Unicode"/>
                <w:color w:val="151515"/>
                <w:sz w:val="18"/>
                <w:szCs w:val="18"/>
              </w:rPr>
              <w:t>-</w:t>
            </w:r>
            <w:r>
              <w:rPr>
                <w:rFonts w:hAnsi="Lucida Sans Unicode"/>
                <w:color w:val="151515"/>
                <w:sz w:val="18"/>
                <w:szCs w:val="18"/>
              </w:rPr>
              <w:t>54</w:t>
            </w:r>
            <w:r>
              <w:rPr>
                <w:rFonts w:hint="eastAsia" w:hAnsi="Lucida Sans Unicode"/>
                <w:color w:val="151515"/>
                <w:sz w:val="18"/>
                <w:szCs w:val="18"/>
              </w:rPr>
              <w:t>-</w:t>
            </w:r>
            <w:r>
              <w:rPr>
                <w:rFonts w:hAnsi="Lucida Sans Unicode"/>
                <w:color w:val="151515"/>
                <w:sz w:val="18"/>
                <w:szCs w:val="18"/>
              </w:rPr>
              <w:t>3</w:t>
            </w:r>
          </w:p>
        </w:tc>
        <w:tc>
          <w:tcPr>
            <w:tcW w:w="991" w:type="dxa"/>
            <w:shd w:val="clear" w:color="auto" w:fill="FFFFFF"/>
          </w:tcPr>
          <w:p w14:paraId="16672998">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5</w:t>
            </w:r>
          </w:p>
        </w:tc>
      </w:tr>
      <w:tr w14:paraId="06951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603" w:type="dxa"/>
            <w:shd w:val="clear" w:color="auto" w:fill="FFFFFF"/>
          </w:tcPr>
          <w:p w14:paraId="11964AE9">
            <w:pPr>
              <w:snapToGrid w:val="0"/>
              <w:spacing w:line="240" w:lineRule="auto"/>
              <w:jc w:val="center"/>
              <w:rPr>
                <w:rFonts w:hAnsi="Lucida Sans Unicode"/>
                <w:color w:val="151515"/>
                <w:sz w:val="18"/>
                <w:szCs w:val="18"/>
              </w:rPr>
            </w:pPr>
            <w:r>
              <w:rPr>
                <w:rFonts w:hint="eastAsia" w:hAnsi="Lucida Sans Unicode"/>
                <w:color w:val="151515"/>
                <w:sz w:val="18"/>
                <w:szCs w:val="18"/>
              </w:rPr>
              <w:t>2</w:t>
            </w:r>
            <w:r>
              <w:rPr>
                <w:rFonts w:hAnsi="Lucida Sans Unicode"/>
                <w:color w:val="151515"/>
                <w:sz w:val="18"/>
                <w:szCs w:val="18"/>
              </w:rPr>
              <w:t>6</w:t>
            </w:r>
          </w:p>
        </w:tc>
        <w:tc>
          <w:tcPr>
            <w:tcW w:w="1285" w:type="dxa"/>
            <w:shd w:val="clear" w:color="auto" w:fill="FFFFFF"/>
          </w:tcPr>
          <w:p w14:paraId="4DC47DB9">
            <w:pPr>
              <w:snapToGrid w:val="0"/>
              <w:spacing w:line="240" w:lineRule="auto"/>
              <w:jc w:val="center"/>
              <w:rPr>
                <w:rFonts w:hAnsi="Lucida Sans Unicode"/>
                <w:color w:val="151515"/>
                <w:sz w:val="18"/>
                <w:szCs w:val="18"/>
              </w:rPr>
            </w:pPr>
            <w:r>
              <w:rPr>
                <w:rFonts w:hint="eastAsia" w:hAnsi="Lucida Sans Unicode"/>
                <w:color w:val="151515"/>
                <w:sz w:val="18"/>
                <w:szCs w:val="18"/>
              </w:rPr>
              <w:t>庚烷</w:t>
            </w:r>
          </w:p>
        </w:tc>
        <w:tc>
          <w:tcPr>
            <w:tcW w:w="1134" w:type="dxa"/>
            <w:shd w:val="clear" w:color="auto" w:fill="FFFFFF"/>
          </w:tcPr>
          <w:p w14:paraId="0617FB1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42</w:t>
            </w:r>
            <w:r>
              <w:rPr>
                <w:rFonts w:hint="eastAsia" w:hAnsi="Lucida Sans Unicode"/>
                <w:color w:val="151515"/>
                <w:sz w:val="18"/>
                <w:szCs w:val="18"/>
              </w:rPr>
              <w:t>-</w:t>
            </w:r>
            <w:r>
              <w:rPr>
                <w:rFonts w:hAnsi="Lucida Sans Unicode"/>
                <w:color w:val="151515"/>
                <w:sz w:val="18"/>
                <w:szCs w:val="18"/>
              </w:rPr>
              <w:t>82</w:t>
            </w:r>
            <w:r>
              <w:rPr>
                <w:rFonts w:hint="eastAsia" w:hAnsi="Lucida Sans Unicode"/>
                <w:color w:val="151515"/>
                <w:sz w:val="18"/>
                <w:szCs w:val="18"/>
              </w:rPr>
              <w:t>-</w:t>
            </w:r>
            <w:r>
              <w:rPr>
                <w:rFonts w:hAnsi="Lucida Sans Unicode"/>
                <w:color w:val="151515"/>
                <w:sz w:val="18"/>
                <w:szCs w:val="18"/>
              </w:rPr>
              <w:t>5</w:t>
            </w:r>
          </w:p>
        </w:tc>
        <w:tc>
          <w:tcPr>
            <w:tcW w:w="1134" w:type="dxa"/>
            <w:shd w:val="clear" w:color="auto" w:fill="FFFFFF"/>
          </w:tcPr>
          <w:p w14:paraId="6107CBB6">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7</w:t>
            </w:r>
          </w:p>
        </w:tc>
        <w:tc>
          <w:tcPr>
            <w:tcW w:w="709" w:type="dxa"/>
            <w:shd w:val="clear" w:color="auto" w:fill="FFFFFF"/>
          </w:tcPr>
          <w:p w14:paraId="031EEDB9">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2</w:t>
            </w:r>
          </w:p>
        </w:tc>
        <w:tc>
          <w:tcPr>
            <w:tcW w:w="1415" w:type="dxa"/>
            <w:shd w:val="clear" w:color="auto" w:fill="FFFFFF"/>
          </w:tcPr>
          <w:p w14:paraId="54927533">
            <w:pPr>
              <w:snapToGrid w:val="0"/>
              <w:spacing w:line="240" w:lineRule="auto"/>
              <w:jc w:val="center"/>
              <w:rPr>
                <w:rFonts w:hAnsi="Lucida Sans Unicode"/>
                <w:color w:val="151515"/>
                <w:sz w:val="18"/>
                <w:szCs w:val="18"/>
              </w:rPr>
            </w:pPr>
            <w:r>
              <w:rPr>
                <w:rFonts w:hint="eastAsia" w:hAnsi="Lucida Sans Unicode"/>
                <w:color w:val="151515"/>
                <w:sz w:val="18"/>
                <w:szCs w:val="18"/>
              </w:rPr>
              <w:t>异戊烷</w:t>
            </w:r>
          </w:p>
        </w:tc>
        <w:tc>
          <w:tcPr>
            <w:tcW w:w="991" w:type="dxa"/>
            <w:shd w:val="clear" w:color="auto" w:fill="FFFFFF"/>
          </w:tcPr>
          <w:p w14:paraId="11A6F8B4">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r>
              <w:rPr>
                <w:rFonts w:hint="eastAsia" w:hAnsi="Lucida Sans Unicode"/>
                <w:color w:val="151515"/>
                <w:sz w:val="18"/>
                <w:szCs w:val="18"/>
              </w:rPr>
              <w:t>-</w:t>
            </w:r>
            <w:r>
              <w:rPr>
                <w:rFonts w:hAnsi="Lucida Sans Unicode"/>
                <w:color w:val="151515"/>
                <w:sz w:val="18"/>
                <w:szCs w:val="18"/>
              </w:rPr>
              <w:t>78</w:t>
            </w:r>
            <w:r>
              <w:rPr>
                <w:rFonts w:hint="eastAsia" w:hAnsi="Lucida Sans Unicode"/>
                <w:color w:val="151515"/>
                <w:sz w:val="18"/>
                <w:szCs w:val="18"/>
              </w:rPr>
              <w:t>-</w:t>
            </w:r>
            <w:r>
              <w:rPr>
                <w:rFonts w:hAnsi="Lucida Sans Unicode"/>
                <w:color w:val="151515"/>
                <w:sz w:val="18"/>
                <w:szCs w:val="18"/>
              </w:rPr>
              <w:t>4</w:t>
            </w:r>
          </w:p>
        </w:tc>
        <w:tc>
          <w:tcPr>
            <w:tcW w:w="991" w:type="dxa"/>
            <w:shd w:val="clear" w:color="auto" w:fill="FFFFFF"/>
          </w:tcPr>
          <w:p w14:paraId="4D9FCD55">
            <w:pPr>
              <w:snapToGrid w:val="0"/>
              <w:spacing w:line="240" w:lineRule="auto"/>
              <w:jc w:val="center"/>
              <w:rPr>
                <w:rFonts w:hAnsi="Lucida Sans Unicode"/>
                <w:color w:val="151515"/>
                <w:sz w:val="18"/>
                <w:szCs w:val="18"/>
              </w:rPr>
            </w:pPr>
            <w:r>
              <w:rPr>
                <w:rFonts w:hint="eastAsia" w:hAnsi="Lucida Sans Unicode"/>
                <w:color w:val="151515"/>
                <w:sz w:val="18"/>
                <w:szCs w:val="18"/>
              </w:rPr>
              <w:t>6</w:t>
            </w:r>
            <w:r>
              <w:rPr>
                <w:rFonts w:hAnsi="Lucida Sans Unicode"/>
                <w:color w:val="151515"/>
                <w:sz w:val="18"/>
                <w:szCs w:val="18"/>
              </w:rPr>
              <w:t>0</w:t>
            </w:r>
          </w:p>
        </w:tc>
      </w:tr>
      <w:tr w14:paraId="3E84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603" w:type="dxa"/>
            <w:shd w:val="clear" w:color="auto" w:fill="FFFFFF"/>
          </w:tcPr>
          <w:p w14:paraId="2154C2D3">
            <w:pPr>
              <w:snapToGrid w:val="0"/>
              <w:spacing w:line="240" w:lineRule="auto"/>
              <w:jc w:val="center"/>
              <w:rPr>
                <w:rFonts w:hAnsi="Lucida Sans Unicode"/>
                <w:color w:val="151515"/>
                <w:sz w:val="18"/>
                <w:szCs w:val="18"/>
              </w:rPr>
            </w:pPr>
          </w:p>
        </w:tc>
        <w:tc>
          <w:tcPr>
            <w:tcW w:w="1285" w:type="dxa"/>
            <w:shd w:val="clear" w:color="auto" w:fill="FFFFFF"/>
          </w:tcPr>
          <w:p w14:paraId="4BC2EAD9">
            <w:pPr>
              <w:snapToGrid w:val="0"/>
              <w:spacing w:line="240" w:lineRule="auto"/>
              <w:jc w:val="center"/>
              <w:rPr>
                <w:rFonts w:hAnsi="Lucida Sans Unicode"/>
                <w:color w:val="151515"/>
                <w:sz w:val="18"/>
                <w:szCs w:val="18"/>
              </w:rPr>
            </w:pPr>
          </w:p>
        </w:tc>
        <w:tc>
          <w:tcPr>
            <w:tcW w:w="1134" w:type="dxa"/>
            <w:shd w:val="clear" w:color="auto" w:fill="FFFFFF"/>
          </w:tcPr>
          <w:p w14:paraId="0FB86AA4">
            <w:pPr>
              <w:snapToGrid w:val="0"/>
              <w:spacing w:line="240" w:lineRule="auto"/>
              <w:jc w:val="center"/>
              <w:rPr>
                <w:rFonts w:hAnsi="Lucida Sans Unicode"/>
                <w:color w:val="151515"/>
                <w:sz w:val="18"/>
                <w:szCs w:val="18"/>
              </w:rPr>
            </w:pPr>
          </w:p>
        </w:tc>
        <w:tc>
          <w:tcPr>
            <w:tcW w:w="1134" w:type="dxa"/>
            <w:shd w:val="clear" w:color="auto" w:fill="FFFFFF"/>
          </w:tcPr>
          <w:p w14:paraId="30DFC6F5">
            <w:pPr>
              <w:snapToGrid w:val="0"/>
              <w:spacing w:line="240" w:lineRule="auto"/>
              <w:jc w:val="center"/>
              <w:rPr>
                <w:rFonts w:hAnsi="Lucida Sans Unicode"/>
                <w:color w:val="151515"/>
                <w:sz w:val="18"/>
                <w:szCs w:val="18"/>
              </w:rPr>
            </w:pPr>
          </w:p>
        </w:tc>
        <w:tc>
          <w:tcPr>
            <w:tcW w:w="709" w:type="dxa"/>
            <w:shd w:val="clear" w:color="auto" w:fill="FFFFFF"/>
          </w:tcPr>
          <w:p w14:paraId="13E07362">
            <w:pPr>
              <w:snapToGrid w:val="0"/>
              <w:spacing w:line="240" w:lineRule="auto"/>
              <w:jc w:val="center"/>
              <w:rPr>
                <w:rFonts w:hAnsi="Lucida Sans Unicode"/>
                <w:color w:val="151515"/>
                <w:sz w:val="18"/>
                <w:szCs w:val="18"/>
              </w:rPr>
            </w:pPr>
            <w:r>
              <w:rPr>
                <w:rFonts w:hint="eastAsia" w:hAnsi="Lucida Sans Unicode"/>
                <w:color w:val="151515"/>
                <w:sz w:val="18"/>
                <w:szCs w:val="18"/>
              </w:rPr>
              <w:t>5</w:t>
            </w:r>
            <w:r>
              <w:rPr>
                <w:rFonts w:hAnsi="Lucida Sans Unicode"/>
                <w:color w:val="151515"/>
                <w:sz w:val="18"/>
                <w:szCs w:val="18"/>
              </w:rPr>
              <w:t>3</w:t>
            </w:r>
          </w:p>
        </w:tc>
        <w:tc>
          <w:tcPr>
            <w:tcW w:w="1415" w:type="dxa"/>
            <w:shd w:val="clear" w:color="auto" w:fill="FFFFFF"/>
          </w:tcPr>
          <w:p w14:paraId="24B729EE">
            <w:pPr>
              <w:snapToGrid w:val="0"/>
              <w:spacing w:line="240" w:lineRule="auto"/>
              <w:jc w:val="center"/>
              <w:rPr>
                <w:rFonts w:hAnsi="Lucida Sans Unicode"/>
                <w:color w:val="151515"/>
                <w:sz w:val="18"/>
                <w:szCs w:val="18"/>
              </w:rPr>
            </w:pPr>
            <w:r>
              <w:rPr>
                <w:rFonts w:hint="eastAsia" w:hAnsi="Lucida Sans Unicode"/>
                <w:color w:val="151515"/>
                <w:sz w:val="18"/>
                <w:szCs w:val="18"/>
              </w:rPr>
              <w:t>2-甲基戊烷</w:t>
            </w:r>
          </w:p>
        </w:tc>
        <w:tc>
          <w:tcPr>
            <w:tcW w:w="991" w:type="dxa"/>
            <w:shd w:val="clear" w:color="auto" w:fill="FFFFFF"/>
          </w:tcPr>
          <w:p w14:paraId="21D05333">
            <w:pPr>
              <w:snapToGrid w:val="0"/>
              <w:spacing w:line="240" w:lineRule="auto"/>
              <w:jc w:val="center"/>
              <w:rPr>
                <w:rFonts w:hAnsi="Lucida Sans Unicode"/>
                <w:color w:val="151515"/>
                <w:sz w:val="18"/>
                <w:szCs w:val="18"/>
              </w:rPr>
            </w:pPr>
            <w:r>
              <w:rPr>
                <w:rFonts w:hint="eastAsia" w:hAnsi="Lucida Sans Unicode"/>
                <w:color w:val="151515"/>
                <w:sz w:val="18"/>
                <w:szCs w:val="18"/>
              </w:rPr>
              <w:t>1</w:t>
            </w:r>
            <w:r>
              <w:rPr>
                <w:rFonts w:hAnsi="Lucida Sans Unicode"/>
                <w:color w:val="151515"/>
                <w:sz w:val="18"/>
                <w:szCs w:val="18"/>
              </w:rPr>
              <w:t>07</w:t>
            </w:r>
            <w:r>
              <w:rPr>
                <w:rFonts w:hint="eastAsia" w:hAnsi="Lucida Sans Unicode"/>
                <w:color w:val="151515"/>
                <w:sz w:val="18"/>
                <w:szCs w:val="18"/>
              </w:rPr>
              <w:t>-</w:t>
            </w:r>
            <w:r>
              <w:rPr>
                <w:rFonts w:hAnsi="Lucida Sans Unicode"/>
                <w:color w:val="151515"/>
                <w:sz w:val="18"/>
                <w:szCs w:val="18"/>
              </w:rPr>
              <w:t>83</w:t>
            </w:r>
            <w:r>
              <w:rPr>
                <w:rFonts w:hint="eastAsia" w:hAnsi="Lucida Sans Unicode"/>
                <w:color w:val="151515"/>
                <w:sz w:val="18"/>
                <w:szCs w:val="18"/>
              </w:rPr>
              <w:t>-</w:t>
            </w:r>
            <w:r>
              <w:rPr>
                <w:rFonts w:hAnsi="Lucida Sans Unicode"/>
                <w:color w:val="151515"/>
                <w:sz w:val="18"/>
                <w:szCs w:val="18"/>
              </w:rPr>
              <w:t>5</w:t>
            </w:r>
          </w:p>
        </w:tc>
        <w:tc>
          <w:tcPr>
            <w:tcW w:w="991" w:type="dxa"/>
            <w:shd w:val="clear" w:color="auto" w:fill="FFFFFF"/>
          </w:tcPr>
          <w:p w14:paraId="501486CC">
            <w:pPr>
              <w:snapToGrid w:val="0"/>
              <w:spacing w:line="240" w:lineRule="auto"/>
              <w:jc w:val="center"/>
              <w:rPr>
                <w:rFonts w:hAnsi="Lucida Sans Unicode"/>
                <w:color w:val="151515"/>
                <w:sz w:val="18"/>
                <w:szCs w:val="18"/>
              </w:rPr>
            </w:pPr>
            <w:r>
              <w:rPr>
                <w:rFonts w:hint="eastAsia" w:hAnsi="Lucida Sans Unicode"/>
                <w:color w:val="151515"/>
                <w:sz w:val="18"/>
                <w:szCs w:val="18"/>
              </w:rPr>
              <w:t>7</w:t>
            </w:r>
            <w:r>
              <w:rPr>
                <w:rFonts w:hAnsi="Lucida Sans Unicode"/>
                <w:color w:val="151515"/>
                <w:sz w:val="18"/>
                <w:szCs w:val="18"/>
              </w:rPr>
              <w:t>8</w:t>
            </w:r>
          </w:p>
        </w:tc>
      </w:tr>
    </w:tbl>
    <w:p w14:paraId="65A0C100">
      <w:pPr>
        <w:pStyle w:val="56"/>
        <w:ind w:firstLine="0" w:firstLineChars="0"/>
        <w:rPr>
          <w:rFonts w:ascii="Times New Roman"/>
        </w:rPr>
      </w:pPr>
    </w:p>
    <w:p w14:paraId="2D4277A2">
      <w:pPr>
        <w:pStyle w:val="78"/>
        <w:spacing w:before="156" w:after="156"/>
      </w:pPr>
      <w:bookmarkStart w:id="280" w:name="_Toc149654175"/>
      <w:r>
        <w:rPr>
          <w:rFonts w:hint="eastAsia"/>
        </w:rPr>
        <w:t>典型有机溶剂的嗅阈值</w:t>
      </w:r>
      <w:bookmarkEnd w:id="280"/>
    </w:p>
    <w:p w14:paraId="6E5B494D">
      <w:pPr>
        <w:pStyle w:val="56"/>
        <w:ind w:firstLine="420"/>
      </w:pPr>
      <w:r>
        <w:rPr>
          <w:rFonts w:hint="eastAsia"/>
        </w:rPr>
        <w:t>表A</w:t>
      </w:r>
      <w:r>
        <w:t xml:space="preserve">.3 </w:t>
      </w:r>
      <w:r>
        <w:rPr>
          <w:rFonts w:hint="eastAsia"/>
        </w:rPr>
        <w:t>给出了典型的有机溶剂的嗅阈值。</w:t>
      </w:r>
    </w:p>
    <w:p w14:paraId="0AAB6ED3">
      <w:pPr>
        <w:pStyle w:val="56"/>
        <w:ind w:firstLine="420"/>
        <w:jc w:val="center"/>
      </w:pPr>
      <w:r>
        <w:rPr>
          <w:rFonts w:hint="eastAsia"/>
        </w:rPr>
        <w:t>表A</w:t>
      </w:r>
      <w:r>
        <w:t xml:space="preserve">.3  </w:t>
      </w:r>
      <w:r>
        <w:rPr>
          <w:rFonts w:hint="eastAsia"/>
        </w:rPr>
        <w:t>典型有机溶剂的嗅阈值</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1762"/>
        <w:gridCol w:w="1640"/>
        <w:gridCol w:w="1522"/>
        <w:gridCol w:w="2243"/>
      </w:tblGrid>
      <w:tr w14:paraId="78B6B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2E5C937D">
            <w:pPr>
              <w:snapToGrid w:val="0"/>
              <w:spacing w:line="240" w:lineRule="auto"/>
              <w:rPr>
                <w:sz w:val="18"/>
                <w:szCs w:val="18"/>
              </w:rPr>
            </w:pPr>
            <w:r>
              <w:rPr>
                <w:rFonts w:hint="eastAsia"/>
                <w:sz w:val="18"/>
                <w:szCs w:val="18"/>
              </w:rPr>
              <w:t>VOCs</w:t>
            </w:r>
          </w:p>
        </w:tc>
        <w:tc>
          <w:tcPr>
            <w:tcW w:w="1762" w:type="dxa"/>
          </w:tcPr>
          <w:p w14:paraId="3092E9F8">
            <w:pPr>
              <w:snapToGrid w:val="0"/>
              <w:spacing w:line="240" w:lineRule="auto"/>
              <w:jc w:val="center"/>
              <w:rPr>
                <w:sz w:val="18"/>
                <w:szCs w:val="18"/>
                <w:vertAlign w:val="superscript"/>
              </w:rPr>
            </w:pPr>
            <w:r>
              <w:rPr>
                <w:rFonts w:hint="eastAsia"/>
                <w:sz w:val="18"/>
                <w:szCs w:val="18"/>
              </w:rPr>
              <w:t>嗅觉阈值</w:t>
            </w:r>
            <w:r>
              <w:rPr>
                <w:sz w:val="18"/>
                <w:szCs w:val="18"/>
                <w:vertAlign w:val="superscript"/>
              </w:rPr>
              <w:fldChar w:fldCharType="begin"/>
            </w:r>
            <w:r>
              <w:rPr>
                <w:sz w:val="18"/>
                <w:szCs w:val="18"/>
                <w:vertAlign w:val="superscript"/>
              </w:rPr>
              <w:instrText xml:space="preserve"> </w:instrText>
            </w:r>
            <w:r>
              <w:rPr>
                <w:rFonts w:hint="eastAsia"/>
                <w:sz w:val="18"/>
                <w:szCs w:val="18"/>
                <w:vertAlign w:val="superscript"/>
              </w:rPr>
              <w:instrText xml:space="preserve">= 1 \* GB3</w:instrText>
            </w:r>
            <w:r>
              <w:rPr>
                <w:sz w:val="18"/>
                <w:szCs w:val="18"/>
                <w:vertAlign w:val="superscript"/>
              </w:rPr>
              <w:instrText xml:space="preserve"> </w:instrText>
            </w:r>
            <w:r>
              <w:rPr>
                <w:sz w:val="18"/>
                <w:szCs w:val="18"/>
                <w:vertAlign w:val="superscript"/>
              </w:rPr>
              <w:fldChar w:fldCharType="separate"/>
            </w:r>
            <w:r>
              <w:rPr>
                <w:rFonts w:hint="eastAsia"/>
                <w:sz w:val="18"/>
                <w:szCs w:val="18"/>
                <w:vertAlign w:val="superscript"/>
              </w:rPr>
              <w:t>①</w:t>
            </w:r>
            <w:r>
              <w:rPr>
                <w:sz w:val="18"/>
                <w:szCs w:val="18"/>
                <w:vertAlign w:val="superscript"/>
              </w:rPr>
              <w:fldChar w:fldCharType="end"/>
            </w:r>
          </w:p>
          <w:p w14:paraId="0F26947B">
            <w:pPr>
              <w:snapToGrid w:val="0"/>
              <w:spacing w:line="240" w:lineRule="auto"/>
              <w:jc w:val="center"/>
              <w:rPr>
                <w:sz w:val="18"/>
                <w:szCs w:val="18"/>
              </w:rPr>
            </w:pPr>
            <w:r>
              <w:rPr>
                <w:sz w:val="18"/>
                <w:szCs w:val="18"/>
              </w:rPr>
              <w:t>(</w:t>
            </w:r>
            <w:r>
              <w:rPr>
                <w:rFonts w:hint="eastAsia"/>
                <w:sz w:val="18"/>
                <w:szCs w:val="18"/>
              </w:rPr>
              <w:t>pp</w:t>
            </w:r>
            <w:r>
              <w:rPr>
                <w:sz w:val="18"/>
                <w:szCs w:val="18"/>
              </w:rPr>
              <w:t>m)</w:t>
            </w:r>
          </w:p>
        </w:tc>
        <w:tc>
          <w:tcPr>
            <w:tcW w:w="1640" w:type="dxa"/>
          </w:tcPr>
          <w:p w14:paraId="561AEDCD">
            <w:pPr>
              <w:snapToGrid w:val="0"/>
              <w:spacing w:line="240" w:lineRule="auto"/>
              <w:rPr>
                <w:sz w:val="18"/>
                <w:szCs w:val="18"/>
              </w:rPr>
            </w:pPr>
            <w:r>
              <w:rPr>
                <w:rFonts w:hint="eastAsia"/>
                <w:sz w:val="18"/>
                <w:szCs w:val="18"/>
              </w:rPr>
              <w:t>气味特点</w:t>
            </w:r>
            <w:r>
              <w:rPr>
                <w:sz w:val="18"/>
                <w:szCs w:val="18"/>
                <w:vertAlign w:val="superscript"/>
              </w:rPr>
              <w:fldChar w:fldCharType="begin"/>
            </w:r>
            <w:r>
              <w:rPr>
                <w:sz w:val="18"/>
                <w:szCs w:val="18"/>
                <w:vertAlign w:val="superscript"/>
              </w:rPr>
              <w:instrText xml:space="preserve"> </w:instrText>
            </w:r>
            <w:r>
              <w:rPr>
                <w:rFonts w:hint="eastAsia"/>
                <w:sz w:val="18"/>
                <w:szCs w:val="18"/>
                <w:vertAlign w:val="superscript"/>
              </w:rPr>
              <w:instrText xml:space="preserve">= 1 \* GB3</w:instrText>
            </w:r>
            <w:r>
              <w:rPr>
                <w:sz w:val="18"/>
                <w:szCs w:val="18"/>
                <w:vertAlign w:val="superscript"/>
              </w:rPr>
              <w:instrText xml:space="preserve"> </w:instrText>
            </w:r>
            <w:r>
              <w:rPr>
                <w:sz w:val="18"/>
                <w:szCs w:val="18"/>
                <w:vertAlign w:val="superscript"/>
              </w:rPr>
              <w:fldChar w:fldCharType="separate"/>
            </w:r>
            <w:r>
              <w:rPr>
                <w:rFonts w:hint="eastAsia"/>
                <w:sz w:val="18"/>
                <w:szCs w:val="18"/>
                <w:vertAlign w:val="superscript"/>
              </w:rPr>
              <w:t>①</w:t>
            </w:r>
            <w:r>
              <w:rPr>
                <w:sz w:val="18"/>
                <w:szCs w:val="18"/>
                <w:vertAlign w:val="superscript"/>
              </w:rPr>
              <w:fldChar w:fldCharType="end"/>
            </w:r>
          </w:p>
        </w:tc>
        <w:tc>
          <w:tcPr>
            <w:tcW w:w="1522" w:type="dxa"/>
          </w:tcPr>
          <w:p w14:paraId="6221B760">
            <w:pPr>
              <w:snapToGrid w:val="0"/>
              <w:spacing w:line="240" w:lineRule="auto"/>
              <w:rPr>
                <w:sz w:val="18"/>
                <w:szCs w:val="18"/>
              </w:rPr>
            </w:pPr>
            <w:r>
              <w:rPr>
                <w:rFonts w:hint="eastAsia"/>
                <w:sz w:val="18"/>
                <w:szCs w:val="18"/>
              </w:rPr>
              <w:t>我国恶臭污染物管控</w:t>
            </w:r>
          </w:p>
        </w:tc>
        <w:tc>
          <w:tcPr>
            <w:tcW w:w="2243" w:type="dxa"/>
          </w:tcPr>
          <w:p w14:paraId="4284B8EA">
            <w:pPr>
              <w:snapToGrid w:val="0"/>
              <w:spacing w:line="240" w:lineRule="auto"/>
              <w:rPr>
                <w:sz w:val="18"/>
                <w:szCs w:val="18"/>
              </w:rPr>
            </w:pPr>
            <w:r>
              <w:rPr>
                <w:rFonts w:hint="eastAsia"/>
                <w:sz w:val="18"/>
                <w:szCs w:val="18"/>
              </w:rPr>
              <w:t>国际管控情况</w:t>
            </w:r>
          </w:p>
        </w:tc>
      </w:tr>
      <w:tr w14:paraId="25A05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149A84D0">
            <w:pPr>
              <w:snapToGrid w:val="0"/>
              <w:spacing w:line="240" w:lineRule="auto"/>
              <w:rPr>
                <w:sz w:val="18"/>
                <w:szCs w:val="18"/>
              </w:rPr>
            </w:pPr>
            <w:r>
              <w:rPr>
                <w:rFonts w:hint="eastAsia"/>
                <w:sz w:val="18"/>
                <w:szCs w:val="18"/>
              </w:rPr>
              <w:t>三甲胺</w:t>
            </w:r>
          </w:p>
        </w:tc>
        <w:tc>
          <w:tcPr>
            <w:tcW w:w="1762" w:type="dxa"/>
          </w:tcPr>
          <w:p w14:paraId="06E5CD7F">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0.0009（0</w:t>
            </w:r>
            <w:r>
              <w:rPr>
                <w:rFonts w:asciiTheme="minorHAnsi" w:eastAsiaTheme="minorEastAsia" w:cstheme="minorBidi"/>
                <w:color w:val="auto"/>
                <w:kern w:val="2"/>
                <w:sz w:val="18"/>
                <w:szCs w:val="18"/>
              </w:rPr>
              <w:t>.000032</w:t>
            </w:r>
            <w:r>
              <w:rPr>
                <w:rFonts w:asciiTheme="minorHAnsi" w:eastAsiaTheme="minorEastAsia" w:cstheme="minorBidi"/>
                <w:color w:val="auto"/>
                <w:kern w:val="2"/>
                <w:sz w:val="18"/>
                <w:szCs w:val="18"/>
                <w:vertAlign w:val="superscript"/>
              </w:rPr>
              <w:fldChar w:fldCharType="begin"/>
            </w:r>
            <w:r>
              <w:rPr>
                <w:rFonts w:asciiTheme="minorHAnsi" w:eastAsiaTheme="minorEastAsia" w:cstheme="minorBidi"/>
                <w:color w:val="auto"/>
                <w:kern w:val="2"/>
                <w:sz w:val="18"/>
                <w:szCs w:val="18"/>
                <w:vertAlign w:val="superscript"/>
              </w:rPr>
              <w:instrText xml:space="preserve"> </w:instrText>
            </w:r>
            <w:r>
              <w:rPr>
                <w:rFonts w:hint="eastAsia" w:asciiTheme="minorHAnsi" w:eastAsiaTheme="minorEastAsia" w:cstheme="minorBidi"/>
                <w:color w:val="auto"/>
                <w:kern w:val="2"/>
                <w:sz w:val="18"/>
                <w:szCs w:val="18"/>
                <w:vertAlign w:val="superscript"/>
              </w:rPr>
              <w:instrText xml:space="preserve">= 2 \* GB3</w:instrText>
            </w:r>
            <w:r>
              <w:rPr>
                <w:rFonts w:asciiTheme="minorHAnsi" w:eastAsiaTheme="minorEastAsia" w:cstheme="minorBidi"/>
                <w:color w:val="auto"/>
                <w:kern w:val="2"/>
                <w:sz w:val="18"/>
                <w:szCs w:val="18"/>
                <w:vertAlign w:val="superscript"/>
              </w:rPr>
              <w:instrText xml:space="preserve"> </w:instrText>
            </w:r>
            <w:r>
              <w:rPr>
                <w:rFonts w:asciiTheme="minorHAnsi" w:eastAsiaTheme="minorEastAsia" w:cstheme="minorBidi"/>
                <w:color w:val="auto"/>
                <w:kern w:val="2"/>
                <w:sz w:val="18"/>
                <w:szCs w:val="18"/>
                <w:vertAlign w:val="superscript"/>
              </w:rPr>
              <w:fldChar w:fldCharType="separate"/>
            </w:r>
            <w:r>
              <w:rPr>
                <w:rFonts w:hint="eastAsia" w:asciiTheme="minorHAnsi" w:eastAsiaTheme="minorEastAsia" w:cstheme="minorBidi"/>
                <w:color w:val="auto"/>
                <w:kern w:val="2"/>
                <w:sz w:val="18"/>
                <w:szCs w:val="18"/>
                <w:vertAlign w:val="superscript"/>
              </w:rPr>
              <w:t>②</w:t>
            </w:r>
            <w:r>
              <w:rPr>
                <w:rFonts w:asciiTheme="minorHAnsi" w:eastAsiaTheme="minorEastAsia" w:cstheme="minorBidi"/>
                <w:color w:val="auto"/>
                <w:kern w:val="2"/>
                <w:sz w:val="18"/>
                <w:szCs w:val="18"/>
                <w:vertAlign w:val="superscript"/>
              </w:rPr>
              <w:fldChar w:fldCharType="end"/>
            </w:r>
            <w:r>
              <w:rPr>
                <w:rFonts w:hint="eastAsia" w:asciiTheme="minorHAnsi" w:eastAsiaTheme="minorEastAsia" w:cstheme="minorBidi"/>
                <w:color w:val="auto"/>
                <w:kern w:val="2"/>
                <w:sz w:val="18"/>
                <w:szCs w:val="18"/>
              </w:rPr>
              <w:t>）</w:t>
            </w:r>
          </w:p>
        </w:tc>
        <w:tc>
          <w:tcPr>
            <w:tcW w:w="1640" w:type="dxa"/>
          </w:tcPr>
          <w:p w14:paraId="390941E0">
            <w:pPr>
              <w:snapToGrid w:val="0"/>
              <w:spacing w:line="240" w:lineRule="auto"/>
              <w:rPr>
                <w:sz w:val="18"/>
                <w:szCs w:val="18"/>
              </w:rPr>
            </w:pPr>
            <w:r>
              <w:rPr>
                <w:rFonts w:hint="eastAsia"/>
                <w:sz w:val="18"/>
                <w:szCs w:val="18"/>
              </w:rPr>
              <w:t>鱼腥味</w:t>
            </w:r>
          </w:p>
        </w:tc>
        <w:tc>
          <w:tcPr>
            <w:tcW w:w="1522" w:type="dxa"/>
          </w:tcPr>
          <w:p w14:paraId="333105D1">
            <w:pPr>
              <w:snapToGrid w:val="0"/>
              <w:spacing w:line="240" w:lineRule="auto"/>
              <w:rPr>
                <w:sz w:val="18"/>
                <w:szCs w:val="18"/>
              </w:rPr>
            </w:pPr>
            <w:r>
              <w:rPr>
                <w:rFonts w:hint="eastAsia"/>
                <w:sz w:val="18"/>
                <w:szCs w:val="18"/>
              </w:rPr>
              <w:t>是</w:t>
            </w:r>
          </w:p>
        </w:tc>
        <w:tc>
          <w:tcPr>
            <w:tcW w:w="2243" w:type="dxa"/>
          </w:tcPr>
          <w:p w14:paraId="7AB8FBCA">
            <w:pPr>
              <w:snapToGrid w:val="0"/>
              <w:spacing w:line="240" w:lineRule="auto"/>
              <w:rPr>
                <w:sz w:val="18"/>
                <w:szCs w:val="18"/>
              </w:rPr>
            </w:pPr>
            <w:r>
              <w:rPr>
                <w:rFonts w:hint="eastAsia"/>
                <w:sz w:val="18"/>
                <w:szCs w:val="18"/>
              </w:rPr>
              <w:t>日本、韩国</w:t>
            </w:r>
          </w:p>
        </w:tc>
      </w:tr>
      <w:tr w14:paraId="3FB7E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14585644">
            <w:pPr>
              <w:snapToGrid w:val="0"/>
              <w:spacing w:line="240" w:lineRule="auto"/>
              <w:rPr>
                <w:sz w:val="18"/>
                <w:szCs w:val="18"/>
              </w:rPr>
            </w:pPr>
            <w:r>
              <w:rPr>
                <w:rFonts w:hint="eastAsia"/>
                <w:sz w:val="18"/>
                <w:szCs w:val="18"/>
              </w:rPr>
              <w:t>甲硫醇</w:t>
            </w:r>
          </w:p>
        </w:tc>
        <w:tc>
          <w:tcPr>
            <w:tcW w:w="1762" w:type="dxa"/>
          </w:tcPr>
          <w:p w14:paraId="1BF218AA">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0.000067</w:t>
            </w:r>
          </w:p>
        </w:tc>
        <w:tc>
          <w:tcPr>
            <w:tcW w:w="1640" w:type="dxa"/>
          </w:tcPr>
          <w:p w14:paraId="31A900CF">
            <w:pPr>
              <w:snapToGrid w:val="0"/>
              <w:spacing w:line="240" w:lineRule="auto"/>
              <w:rPr>
                <w:sz w:val="18"/>
                <w:szCs w:val="18"/>
              </w:rPr>
            </w:pPr>
            <w:r>
              <w:rPr>
                <w:rFonts w:hint="eastAsia"/>
                <w:sz w:val="18"/>
                <w:szCs w:val="18"/>
              </w:rPr>
              <w:t>煤气味、烂菜心气味</w:t>
            </w:r>
          </w:p>
        </w:tc>
        <w:tc>
          <w:tcPr>
            <w:tcW w:w="1522" w:type="dxa"/>
          </w:tcPr>
          <w:p w14:paraId="3B90D0E1">
            <w:pPr>
              <w:snapToGrid w:val="0"/>
              <w:spacing w:line="240" w:lineRule="auto"/>
              <w:rPr>
                <w:sz w:val="18"/>
                <w:szCs w:val="18"/>
              </w:rPr>
            </w:pPr>
            <w:r>
              <w:rPr>
                <w:rFonts w:hint="eastAsia"/>
                <w:sz w:val="18"/>
                <w:szCs w:val="18"/>
              </w:rPr>
              <w:t>是</w:t>
            </w:r>
          </w:p>
        </w:tc>
        <w:tc>
          <w:tcPr>
            <w:tcW w:w="2243" w:type="dxa"/>
          </w:tcPr>
          <w:p w14:paraId="3DAA0CBF">
            <w:pPr>
              <w:snapToGrid w:val="0"/>
              <w:spacing w:line="240" w:lineRule="auto"/>
              <w:rPr>
                <w:sz w:val="18"/>
                <w:szCs w:val="18"/>
              </w:rPr>
            </w:pPr>
            <w:r>
              <w:rPr>
                <w:rFonts w:hint="eastAsia"/>
                <w:sz w:val="18"/>
                <w:szCs w:val="18"/>
              </w:rPr>
              <w:t>加拿大、澳大利亚、日本、韩国</w:t>
            </w:r>
          </w:p>
        </w:tc>
      </w:tr>
      <w:tr w14:paraId="52823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0C28307A">
            <w:pPr>
              <w:snapToGrid w:val="0"/>
              <w:spacing w:line="240" w:lineRule="auto"/>
              <w:rPr>
                <w:sz w:val="18"/>
                <w:szCs w:val="18"/>
              </w:rPr>
            </w:pPr>
            <w:r>
              <w:rPr>
                <w:rFonts w:hint="eastAsia"/>
                <w:sz w:val="18"/>
                <w:szCs w:val="18"/>
              </w:rPr>
              <w:t>甲硫醚</w:t>
            </w:r>
          </w:p>
        </w:tc>
        <w:tc>
          <w:tcPr>
            <w:tcW w:w="1762" w:type="dxa"/>
          </w:tcPr>
          <w:p w14:paraId="7CD86B1E">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0.002</w:t>
            </w:r>
          </w:p>
        </w:tc>
        <w:tc>
          <w:tcPr>
            <w:tcW w:w="1640" w:type="dxa"/>
          </w:tcPr>
          <w:p w14:paraId="159263F3">
            <w:pPr>
              <w:snapToGrid w:val="0"/>
              <w:spacing w:line="240" w:lineRule="auto"/>
              <w:rPr>
                <w:sz w:val="18"/>
                <w:szCs w:val="18"/>
              </w:rPr>
            </w:pPr>
            <w:r>
              <w:rPr>
                <w:rFonts w:hint="eastAsia"/>
                <w:sz w:val="18"/>
                <w:szCs w:val="18"/>
              </w:rPr>
              <w:t>海鲜腥味</w:t>
            </w:r>
          </w:p>
        </w:tc>
        <w:tc>
          <w:tcPr>
            <w:tcW w:w="1522" w:type="dxa"/>
          </w:tcPr>
          <w:p w14:paraId="2C11131B">
            <w:pPr>
              <w:snapToGrid w:val="0"/>
              <w:spacing w:line="240" w:lineRule="auto"/>
              <w:rPr>
                <w:sz w:val="18"/>
                <w:szCs w:val="18"/>
              </w:rPr>
            </w:pPr>
            <w:r>
              <w:rPr>
                <w:rFonts w:hint="eastAsia"/>
                <w:sz w:val="18"/>
                <w:szCs w:val="18"/>
              </w:rPr>
              <w:t>是</w:t>
            </w:r>
          </w:p>
        </w:tc>
        <w:tc>
          <w:tcPr>
            <w:tcW w:w="2243" w:type="dxa"/>
          </w:tcPr>
          <w:p w14:paraId="2616C4A2">
            <w:pPr>
              <w:snapToGrid w:val="0"/>
              <w:spacing w:line="240" w:lineRule="auto"/>
              <w:rPr>
                <w:sz w:val="18"/>
                <w:szCs w:val="18"/>
              </w:rPr>
            </w:pPr>
            <w:r>
              <w:rPr>
                <w:rFonts w:hint="eastAsia"/>
                <w:sz w:val="18"/>
                <w:szCs w:val="18"/>
              </w:rPr>
              <w:t>加拿大、日本、韩国、</w:t>
            </w:r>
          </w:p>
        </w:tc>
      </w:tr>
      <w:tr w14:paraId="0C68E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693D86E8">
            <w:pPr>
              <w:snapToGrid w:val="0"/>
              <w:spacing w:line="240" w:lineRule="auto"/>
              <w:rPr>
                <w:sz w:val="18"/>
                <w:szCs w:val="18"/>
              </w:rPr>
            </w:pPr>
            <w:r>
              <w:rPr>
                <w:rFonts w:hint="eastAsia"/>
                <w:sz w:val="18"/>
                <w:szCs w:val="18"/>
              </w:rPr>
              <w:t>二甲二硫</w:t>
            </w:r>
          </w:p>
        </w:tc>
        <w:tc>
          <w:tcPr>
            <w:tcW w:w="1762" w:type="dxa"/>
          </w:tcPr>
          <w:p w14:paraId="786D6525">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0.011（0</w:t>
            </w:r>
            <w:r>
              <w:rPr>
                <w:rFonts w:asciiTheme="minorHAnsi" w:eastAsiaTheme="minorEastAsia" w:cstheme="minorBidi"/>
                <w:color w:val="auto"/>
                <w:kern w:val="2"/>
                <w:sz w:val="18"/>
                <w:szCs w:val="18"/>
              </w:rPr>
              <w:t>.0022</w:t>
            </w:r>
            <w:r>
              <w:rPr>
                <w:rFonts w:asciiTheme="minorHAnsi" w:eastAsiaTheme="minorEastAsia" w:cstheme="minorBidi"/>
                <w:color w:val="auto"/>
                <w:kern w:val="2"/>
                <w:sz w:val="18"/>
                <w:szCs w:val="18"/>
                <w:vertAlign w:val="superscript"/>
              </w:rPr>
              <w:fldChar w:fldCharType="begin"/>
            </w:r>
            <w:r>
              <w:rPr>
                <w:rFonts w:asciiTheme="minorHAnsi" w:eastAsiaTheme="minorEastAsia" w:cstheme="minorBidi"/>
                <w:color w:val="auto"/>
                <w:kern w:val="2"/>
                <w:sz w:val="18"/>
                <w:szCs w:val="18"/>
                <w:vertAlign w:val="superscript"/>
              </w:rPr>
              <w:instrText xml:space="preserve"> </w:instrText>
            </w:r>
            <w:r>
              <w:rPr>
                <w:rFonts w:hint="eastAsia" w:asciiTheme="minorHAnsi" w:eastAsiaTheme="minorEastAsia" w:cstheme="minorBidi"/>
                <w:color w:val="auto"/>
                <w:kern w:val="2"/>
                <w:sz w:val="18"/>
                <w:szCs w:val="18"/>
                <w:vertAlign w:val="superscript"/>
              </w:rPr>
              <w:instrText xml:space="preserve">= 2 \* GB3</w:instrText>
            </w:r>
            <w:r>
              <w:rPr>
                <w:rFonts w:asciiTheme="minorHAnsi" w:eastAsiaTheme="minorEastAsia" w:cstheme="minorBidi"/>
                <w:color w:val="auto"/>
                <w:kern w:val="2"/>
                <w:sz w:val="18"/>
                <w:szCs w:val="18"/>
                <w:vertAlign w:val="superscript"/>
              </w:rPr>
              <w:instrText xml:space="preserve"> </w:instrText>
            </w:r>
            <w:r>
              <w:rPr>
                <w:rFonts w:asciiTheme="minorHAnsi" w:eastAsiaTheme="minorEastAsia" w:cstheme="minorBidi"/>
                <w:color w:val="auto"/>
                <w:kern w:val="2"/>
                <w:sz w:val="18"/>
                <w:szCs w:val="18"/>
                <w:vertAlign w:val="superscript"/>
              </w:rPr>
              <w:fldChar w:fldCharType="separate"/>
            </w:r>
            <w:r>
              <w:rPr>
                <w:rFonts w:hint="eastAsia" w:asciiTheme="minorHAnsi" w:eastAsiaTheme="minorEastAsia" w:cstheme="minorBidi"/>
                <w:color w:val="auto"/>
                <w:kern w:val="2"/>
                <w:sz w:val="18"/>
                <w:szCs w:val="18"/>
                <w:vertAlign w:val="superscript"/>
              </w:rPr>
              <w:t>②</w:t>
            </w:r>
            <w:r>
              <w:rPr>
                <w:rFonts w:asciiTheme="minorHAnsi" w:eastAsiaTheme="minorEastAsia" w:cstheme="minorBidi"/>
                <w:color w:val="auto"/>
                <w:kern w:val="2"/>
                <w:sz w:val="18"/>
                <w:szCs w:val="18"/>
                <w:vertAlign w:val="superscript"/>
              </w:rPr>
              <w:fldChar w:fldCharType="end"/>
            </w:r>
            <w:r>
              <w:rPr>
                <w:rFonts w:hint="eastAsia" w:asciiTheme="minorHAnsi" w:eastAsiaTheme="minorEastAsia" w:cstheme="minorBidi"/>
                <w:color w:val="auto"/>
                <w:kern w:val="2"/>
                <w:sz w:val="18"/>
                <w:szCs w:val="18"/>
              </w:rPr>
              <w:t>）</w:t>
            </w:r>
          </w:p>
        </w:tc>
        <w:tc>
          <w:tcPr>
            <w:tcW w:w="1640" w:type="dxa"/>
          </w:tcPr>
          <w:p w14:paraId="17CE27BE">
            <w:pPr>
              <w:snapToGrid w:val="0"/>
              <w:spacing w:line="240" w:lineRule="auto"/>
              <w:rPr>
                <w:sz w:val="18"/>
                <w:szCs w:val="18"/>
              </w:rPr>
            </w:pPr>
            <w:r>
              <w:rPr>
                <w:rFonts w:hint="eastAsia"/>
                <w:sz w:val="18"/>
                <w:szCs w:val="18"/>
              </w:rPr>
              <w:t>洋葱味、腐烂洋白菜味道</w:t>
            </w:r>
          </w:p>
        </w:tc>
        <w:tc>
          <w:tcPr>
            <w:tcW w:w="1522" w:type="dxa"/>
          </w:tcPr>
          <w:p w14:paraId="5AD75BB2">
            <w:pPr>
              <w:snapToGrid w:val="0"/>
              <w:spacing w:line="240" w:lineRule="auto"/>
              <w:rPr>
                <w:sz w:val="18"/>
                <w:szCs w:val="18"/>
              </w:rPr>
            </w:pPr>
            <w:r>
              <w:rPr>
                <w:rFonts w:hint="eastAsia"/>
                <w:sz w:val="18"/>
                <w:szCs w:val="18"/>
              </w:rPr>
              <w:t>是</w:t>
            </w:r>
          </w:p>
        </w:tc>
        <w:tc>
          <w:tcPr>
            <w:tcW w:w="2243" w:type="dxa"/>
          </w:tcPr>
          <w:p w14:paraId="12E593EF">
            <w:pPr>
              <w:snapToGrid w:val="0"/>
              <w:spacing w:line="240" w:lineRule="auto"/>
              <w:rPr>
                <w:sz w:val="18"/>
                <w:szCs w:val="18"/>
              </w:rPr>
            </w:pPr>
            <w:r>
              <w:rPr>
                <w:rFonts w:hint="eastAsia"/>
                <w:sz w:val="18"/>
                <w:szCs w:val="18"/>
              </w:rPr>
              <w:t>日本、韩国、</w:t>
            </w:r>
          </w:p>
        </w:tc>
      </w:tr>
      <w:tr w14:paraId="011F1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2FEF7C75">
            <w:pPr>
              <w:snapToGrid w:val="0"/>
              <w:spacing w:line="240" w:lineRule="auto"/>
              <w:rPr>
                <w:sz w:val="18"/>
                <w:szCs w:val="18"/>
              </w:rPr>
            </w:pPr>
            <w:r>
              <w:rPr>
                <w:rFonts w:hint="eastAsia"/>
                <w:sz w:val="18"/>
                <w:szCs w:val="18"/>
              </w:rPr>
              <w:t>二硫化碳</w:t>
            </w:r>
          </w:p>
        </w:tc>
        <w:tc>
          <w:tcPr>
            <w:tcW w:w="1762" w:type="dxa"/>
          </w:tcPr>
          <w:p w14:paraId="11865ADD">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0.17（0</w:t>
            </w:r>
            <w:r>
              <w:rPr>
                <w:rFonts w:asciiTheme="minorHAnsi" w:eastAsiaTheme="minorEastAsia" w:cstheme="minorBidi"/>
                <w:color w:val="auto"/>
                <w:kern w:val="2"/>
                <w:sz w:val="18"/>
                <w:szCs w:val="18"/>
              </w:rPr>
              <w:t>.21</w:t>
            </w:r>
            <w:r>
              <w:rPr>
                <w:rFonts w:asciiTheme="minorHAnsi" w:eastAsiaTheme="minorEastAsia" w:cstheme="minorBidi"/>
                <w:color w:val="auto"/>
                <w:kern w:val="2"/>
                <w:sz w:val="18"/>
                <w:szCs w:val="18"/>
                <w:vertAlign w:val="superscript"/>
              </w:rPr>
              <w:fldChar w:fldCharType="begin"/>
            </w:r>
            <w:r>
              <w:rPr>
                <w:rFonts w:asciiTheme="minorHAnsi" w:eastAsiaTheme="minorEastAsia" w:cstheme="minorBidi"/>
                <w:color w:val="auto"/>
                <w:kern w:val="2"/>
                <w:sz w:val="18"/>
                <w:szCs w:val="18"/>
                <w:vertAlign w:val="superscript"/>
              </w:rPr>
              <w:instrText xml:space="preserve"> </w:instrText>
            </w:r>
            <w:r>
              <w:rPr>
                <w:rFonts w:hint="eastAsia" w:asciiTheme="minorHAnsi" w:eastAsiaTheme="minorEastAsia" w:cstheme="minorBidi"/>
                <w:color w:val="auto"/>
                <w:kern w:val="2"/>
                <w:sz w:val="18"/>
                <w:szCs w:val="18"/>
                <w:vertAlign w:val="superscript"/>
              </w:rPr>
              <w:instrText xml:space="preserve">= 2 \* GB3</w:instrText>
            </w:r>
            <w:r>
              <w:rPr>
                <w:rFonts w:asciiTheme="minorHAnsi" w:eastAsiaTheme="minorEastAsia" w:cstheme="minorBidi"/>
                <w:color w:val="auto"/>
                <w:kern w:val="2"/>
                <w:sz w:val="18"/>
                <w:szCs w:val="18"/>
                <w:vertAlign w:val="superscript"/>
              </w:rPr>
              <w:instrText xml:space="preserve"> </w:instrText>
            </w:r>
            <w:r>
              <w:rPr>
                <w:rFonts w:asciiTheme="minorHAnsi" w:eastAsiaTheme="minorEastAsia" w:cstheme="minorBidi"/>
                <w:color w:val="auto"/>
                <w:kern w:val="2"/>
                <w:sz w:val="18"/>
                <w:szCs w:val="18"/>
                <w:vertAlign w:val="superscript"/>
              </w:rPr>
              <w:fldChar w:fldCharType="separate"/>
            </w:r>
            <w:r>
              <w:rPr>
                <w:rFonts w:hint="eastAsia" w:asciiTheme="minorHAnsi" w:eastAsiaTheme="minorEastAsia" w:cstheme="minorBidi"/>
                <w:color w:val="auto"/>
                <w:kern w:val="2"/>
                <w:sz w:val="18"/>
                <w:szCs w:val="18"/>
                <w:vertAlign w:val="superscript"/>
              </w:rPr>
              <w:t>②</w:t>
            </w:r>
            <w:r>
              <w:rPr>
                <w:rFonts w:asciiTheme="minorHAnsi" w:eastAsiaTheme="minorEastAsia" w:cstheme="minorBidi"/>
                <w:color w:val="auto"/>
                <w:kern w:val="2"/>
                <w:sz w:val="18"/>
                <w:szCs w:val="18"/>
                <w:vertAlign w:val="superscript"/>
              </w:rPr>
              <w:fldChar w:fldCharType="end"/>
            </w:r>
            <w:r>
              <w:rPr>
                <w:rFonts w:hint="eastAsia" w:asciiTheme="minorHAnsi" w:eastAsiaTheme="minorEastAsia" w:cstheme="minorBidi"/>
                <w:color w:val="auto"/>
                <w:kern w:val="2"/>
                <w:sz w:val="18"/>
                <w:szCs w:val="18"/>
              </w:rPr>
              <w:t>）</w:t>
            </w:r>
          </w:p>
        </w:tc>
        <w:tc>
          <w:tcPr>
            <w:tcW w:w="1640" w:type="dxa"/>
          </w:tcPr>
          <w:p w14:paraId="6A589943">
            <w:pPr>
              <w:snapToGrid w:val="0"/>
              <w:spacing w:line="240" w:lineRule="auto"/>
              <w:rPr>
                <w:sz w:val="18"/>
                <w:szCs w:val="18"/>
              </w:rPr>
            </w:pPr>
            <w:r>
              <w:rPr>
                <w:rFonts w:hint="eastAsia"/>
                <w:sz w:val="18"/>
                <w:szCs w:val="18"/>
              </w:rPr>
              <w:t>类似氯仿的味道</w:t>
            </w:r>
          </w:p>
        </w:tc>
        <w:tc>
          <w:tcPr>
            <w:tcW w:w="1522" w:type="dxa"/>
          </w:tcPr>
          <w:p w14:paraId="63FC9C65">
            <w:pPr>
              <w:snapToGrid w:val="0"/>
              <w:spacing w:line="240" w:lineRule="auto"/>
              <w:rPr>
                <w:sz w:val="18"/>
                <w:szCs w:val="18"/>
              </w:rPr>
            </w:pPr>
            <w:r>
              <w:rPr>
                <w:rFonts w:hint="eastAsia"/>
                <w:sz w:val="18"/>
                <w:szCs w:val="18"/>
              </w:rPr>
              <w:t>是</w:t>
            </w:r>
          </w:p>
        </w:tc>
        <w:tc>
          <w:tcPr>
            <w:tcW w:w="2243" w:type="dxa"/>
          </w:tcPr>
          <w:p w14:paraId="6D08AE99">
            <w:pPr>
              <w:snapToGrid w:val="0"/>
              <w:spacing w:line="240" w:lineRule="auto"/>
              <w:rPr>
                <w:sz w:val="18"/>
                <w:szCs w:val="18"/>
              </w:rPr>
            </w:pPr>
            <w:r>
              <w:rPr>
                <w:rFonts w:hint="eastAsia"/>
                <w:sz w:val="18"/>
                <w:szCs w:val="18"/>
              </w:rPr>
              <w:t>加拿大、澳大利亚、世界卫生组织</w:t>
            </w:r>
          </w:p>
        </w:tc>
      </w:tr>
      <w:tr w14:paraId="46449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1FCCC8E0">
            <w:pPr>
              <w:snapToGrid w:val="0"/>
              <w:spacing w:line="240" w:lineRule="auto"/>
              <w:rPr>
                <w:sz w:val="18"/>
                <w:szCs w:val="18"/>
              </w:rPr>
            </w:pPr>
            <w:r>
              <w:rPr>
                <w:rFonts w:hint="eastAsia"/>
                <w:sz w:val="18"/>
                <w:szCs w:val="18"/>
              </w:rPr>
              <w:t>苯乙烯</w:t>
            </w:r>
          </w:p>
        </w:tc>
        <w:tc>
          <w:tcPr>
            <w:tcW w:w="1762" w:type="dxa"/>
          </w:tcPr>
          <w:p w14:paraId="0E43068E">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0.034</w:t>
            </w:r>
          </w:p>
        </w:tc>
        <w:tc>
          <w:tcPr>
            <w:tcW w:w="1640" w:type="dxa"/>
          </w:tcPr>
          <w:p w14:paraId="3C5F3803">
            <w:pPr>
              <w:snapToGrid w:val="0"/>
              <w:spacing w:line="240" w:lineRule="auto"/>
              <w:rPr>
                <w:sz w:val="18"/>
                <w:szCs w:val="18"/>
              </w:rPr>
            </w:pPr>
            <w:r>
              <w:rPr>
                <w:rFonts w:hint="eastAsia"/>
                <w:sz w:val="18"/>
                <w:szCs w:val="18"/>
              </w:rPr>
              <w:t>塑料味</w:t>
            </w:r>
          </w:p>
        </w:tc>
        <w:tc>
          <w:tcPr>
            <w:tcW w:w="1522" w:type="dxa"/>
          </w:tcPr>
          <w:p w14:paraId="2BF492AF">
            <w:pPr>
              <w:snapToGrid w:val="0"/>
              <w:spacing w:line="240" w:lineRule="auto"/>
              <w:rPr>
                <w:sz w:val="18"/>
                <w:szCs w:val="18"/>
              </w:rPr>
            </w:pPr>
            <w:r>
              <w:rPr>
                <w:rFonts w:hint="eastAsia"/>
                <w:sz w:val="18"/>
                <w:szCs w:val="18"/>
              </w:rPr>
              <w:t>是</w:t>
            </w:r>
          </w:p>
        </w:tc>
        <w:tc>
          <w:tcPr>
            <w:tcW w:w="2243" w:type="dxa"/>
          </w:tcPr>
          <w:p w14:paraId="60AC1F96">
            <w:pPr>
              <w:snapToGrid w:val="0"/>
              <w:spacing w:line="240" w:lineRule="auto"/>
              <w:rPr>
                <w:sz w:val="18"/>
                <w:szCs w:val="18"/>
              </w:rPr>
            </w:pPr>
            <w:r>
              <w:rPr>
                <w:rFonts w:hint="eastAsia"/>
                <w:sz w:val="18"/>
                <w:szCs w:val="18"/>
              </w:rPr>
              <w:t>加拿大、澳大利亚、世界卫生组织</w:t>
            </w:r>
          </w:p>
        </w:tc>
      </w:tr>
      <w:tr w14:paraId="14E8E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50BEE5EE">
            <w:pPr>
              <w:snapToGrid w:val="0"/>
              <w:spacing w:line="240" w:lineRule="auto"/>
              <w:rPr>
                <w:sz w:val="18"/>
                <w:szCs w:val="18"/>
              </w:rPr>
            </w:pPr>
            <w:r>
              <w:rPr>
                <w:rFonts w:hint="eastAsia"/>
                <w:sz w:val="18"/>
                <w:szCs w:val="18"/>
              </w:rPr>
              <w:t>乙酸乙酯</w:t>
            </w:r>
          </w:p>
        </w:tc>
        <w:tc>
          <w:tcPr>
            <w:tcW w:w="1762" w:type="dxa"/>
          </w:tcPr>
          <w:p w14:paraId="4687B48D">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0.84</w:t>
            </w:r>
          </w:p>
        </w:tc>
        <w:tc>
          <w:tcPr>
            <w:tcW w:w="1640" w:type="dxa"/>
          </w:tcPr>
          <w:p w14:paraId="5F265DF0">
            <w:pPr>
              <w:snapToGrid w:val="0"/>
              <w:spacing w:line="240" w:lineRule="auto"/>
              <w:rPr>
                <w:sz w:val="18"/>
                <w:szCs w:val="18"/>
              </w:rPr>
            </w:pPr>
            <w:r>
              <w:rPr>
                <w:rFonts w:hint="eastAsia"/>
                <w:sz w:val="18"/>
                <w:szCs w:val="18"/>
              </w:rPr>
              <w:t>凤梨味</w:t>
            </w:r>
          </w:p>
        </w:tc>
        <w:tc>
          <w:tcPr>
            <w:tcW w:w="1522" w:type="dxa"/>
          </w:tcPr>
          <w:p w14:paraId="5DEE9C6C">
            <w:pPr>
              <w:snapToGrid w:val="0"/>
              <w:spacing w:line="240" w:lineRule="auto"/>
              <w:rPr>
                <w:sz w:val="18"/>
                <w:szCs w:val="18"/>
              </w:rPr>
            </w:pPr>
            <w:r>
              <w:rPr>
                <w:rFonts w:hint="eastAsia"/>
                <w:sz w:val="18"/>
                <w:szCs w:val="18"/>
              </w:rPr>
              <w:t>上海市管控</w:t>
            </w:r>
          </w:p>
        </w:tc>
        <w:tc>
          <w:tcPr>
            <w:tcW w:w="2243" w:type="dxa"/>
          </w:tcPr>
          <w:p w14:paraId="25F3CC14">
            <w:pPr>
              <w:snapToGrid w:val="0"/>
              <w:spacing w:line="240" w:lineRule="auto"/>
              <w:rPr>
                <w:sz w:val="18"/>
                <w:szCs w:val="18"/>
              </w:rPr>
            </w:pPr>
            <w:r>
              <w:rPr>
                <w:rFonts w:hint="eastAsia"/>
                <w:sz w:val="18"/>
                <w:szCs w:val="18"/>
              </w:rPr>
              <w:t>澳大利亚、日本</w:t>
            </w:r>
          </w:p>
        </w:tc>
      </w:tr>
      <w:tr w14:paraId="441B4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457ABC3A">
            <w:pPr>
              <w:snapToGrid w:val="0"/>
              <w:spacing w:line="240" w:lineRule="auto"/>
              <w:rPr>
                <w:sz w:val="18"/>
                <w:szCs w:val="18"/>
              </w:rPr>
            </w:pPr>
            <w:r>
              <w:rPr>
                <w:rFonts w:hint="eastAsia"/>
                <w:sz w:val="18"/>
                <w:szCs w:val="18"/>
              </w:rPr>
              <w:t>乙酸丁酯</w:t>
            </w:r>
          </w:p>
        </w:tc>
        <w:tc>
          <w:tcPr>
            <w:tcW w:w="1762" w:type="dxa"/>
          </w:tcPr>
          <w:p w14:paraId="1093CB39">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0.0079</w:t>
            </w:r>
          </w:p>
        </w:tc>
        <w:tc>
          <w:tcPr>
            <w:tcW w:w="1640" w:type="dxa"/>
          </w:tcPr>
          <w:p w14:paraId="10E80E7F">
            <w:pPr>
              <w:snapToGrid w:val="0"/>
              <w:spacing w:line="240" w:lineRule="auto"/>
              <w:rPr>
                <w:sz w:val="18"/>
                <w:szCs w:val="18"/>
              </w:rPr>
            </w:pPr>
            <w:r>
              <w:rPr>
                <w:rFonts w:hint="eastAsia"/>
                <w:sz w:val="18"/>
                <w:szCs w:val="18"/>
              </w:rPr>
              <w:t>水果香味</w:t>
            </w:r>
          </w:p>
        </w:tc>
        <w:tc>
          <w:tcPr>
            <w:tcW w:w="1522" w:type="dxa"/>
          </w:tcPr>
          <w:p w14:paraId="3180C7DF">
            <w:pPr>
              <w:snapToGrid w:val="0"/>
              <w:spacing w:line="240" w:lineRule="auto"/>
              <w:rPr>
                <w:sz w:val="18"/>
                <w:szCs w:val="18"/>
              </w:rPr>
            </w:pPr>
            <w:r>
              <w:rPr>
                <w:rFonts w:hint="eastAsia"/>
                <w:sz w:val="18"/>
                <w:szCs w:val="18"/>
              </w:rPr>
              <w:t>上海市管控</w:t>
            </w:r>
          </w:p>
        </w:tc>
        <w:tc>
          <w:tcPr>
            <w:tcW w:w="2243" w:type="dxa"/>
          </w:tcPr>
          <w:p w14:paraId="34809685">
            <w:pPr>
              <w:snapToGrid w:val="0"/>
              <w:spacing w:line="240" w:lineRule="auto"/>
              <w:rPr>
                <w:sz w:val="18"/>
                <w:szCs w:val="18"/>
              </w:rPr>
            </w:pPr>
            <w:r>
              <w:rPr>
                <w:rFonts w:hint="eastAsia"/>
                <w:sz w:val="18"/>
                <w:szCs w:val="18"/>
              </w:rPr>
              <w:t>韩国</w:t>
            </w:r>
          </w:p>
        </w:tc>
      </w:tr>
      <w:tr w14:paraId="44535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651A414E">
            <w:pPr>
              <w:snapToGrid w:val="0"/>
              <w:spacing w:line="240" w:lineRule="auto"/>
              <w:rPr>
                <w:sz w:val="18"/>
                <w:szCs w:val="18"/>
              </w:rPr>
            </w:pPr>
            <w:r>
              <w:rPr>
                <w:rFonts w:hint="eastAsia"/>
                <w:sz w:val="18"/>
                <w:szCs w:val="18"/>
              </w:rPr>
              <w:t>甲基乙基酮</w:t>
            </w:r>
          </w:p>
        </w:tc>
        <w:tc>
          <w:tcPr>
            <w:tcW w:w="1762" w:type="dxa"/>
          </w:tcPr>
          <w:p w14:paraId="3B483CE8">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0.17</w:t>
            </w:r>
          </w:p>
        </w:tc>
        <w:tc>
          <w:tcPr>
            <w:tcW w:w="1640" w:type="dxa"/>
          </w:tcPr>
          <w:p w14:paraId="5D555583">
            <w:pPr>
              <w:snapToGrid w:val="0"/>
              <w:spacing w:line="240" w:lineRule="auto"/>
              <w:rPr>
                <w:sz w:val="18"/>
                <w:szCs w:val="18"/>
              </w:rPr>
            </w:pPr>
            <w:r>
              <w:rPr>
                <w:rFonts w:hint="eastAsia"/>
                <w:sz w:val="18"/>
                <w:szCs w:val="18"/>
              </w:rPr>
              <w:t>类似丙酮气味</w:t>
            </w:r>
          </w:p>
        </w:tc>
        <w:tc>
          <w:tcPr>
            <w:tcW w:w="1522" w:type="dxa"/>
          </w:tcPr>
          <w:p w14:paraId="2DBE7C80">
            <w:pPr>
              <w:snapToGrid w:val="0"/>
              <w:spacing w:line="240" w:lineRule="auto"/>
              <w:rPr>
                <w:sz w:val="18"/>
                <w:szCs w:val="18"/>
              </w:rPr>
            </w:pPr>
            <w:r>
              <w:rPr>
                <w:rFonts w:hint="eastAsia"/>
                <w:sz w:val="18"/>
                <w:szCs w:val="18"/>
              </w:rPr>
              <w:t>上海市管控</w:t>
            </w:r>
          </w:p>
        </w:tc>
        <w:tc>
          <w:tcPr>
            <w:tcW w:w="2243" w:type="dxa"/>
          </w:tcPr>
          <w:p w14:paraId="7FBB0247">
            <w:pPr>
              <w:snapToGrid w:val="0"/>
              <w:spacing w:line="240" w:lineRule="auto"/>
              <w:rPr>
                <w:sz w:val="18"/>
                <w:szCs w:val="18"/>
              </w:rPr>
            </w:pPr>
            <w:r>
              <w:rPr>
                <w:rFonts w:hint="eastAsia"/>
                <w:sz w:val="18"/>
                <w:szCs w:val="18"/>
              </w:rPr>
              <w:t>澳大利亚</w:t>
            </w:r>
          </w:p>
        </w:tc>
      </w:tr>
      <w:tr w14:paraId="48B42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4D5B109B">
            <w:pPr>
              <w:snapToGrid w:val="0"/>
              <w:spacing w:line="240" w:lineRule="auto"/>
              <w:rPr>
                <w:sz w:val="18"/>
                <w:szCs w:val="18"/>
              </w:rPr>
            </w:pPr>
            <w:r>
              <w:rPr>
                <w:rFonts w:hint="eastAsia"/>
                <w:sz w:val="18"/>
                <w:szCs w:val="18"/>
              </w:rPr>
              <w:t>甲基异丁基酮</w:t>
            </w:r>
          </w:p>
        </w:tc>
        <w:tc>
          <w:tcPr>
            <w:tcW w:w="1762" w:type="dxa"/>
          </w:tcPr>
          <w:p w14:paraId="3998F84E">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0.11</w:t>
            </w:r>
          </w:p>
        </w:tc>
        <w:tc>
          <w:tcPr>
            <w:tcW w:w="1640" w:type="dxa"/>
          </w:tcPr>
          <w:p w14:paraId="3C7A94B0">
            <w:pPr>
              <w:snapToGrid w:val="0"/>
              <w:spacing w:line="240" w:lineRule="auto"/>
              <w:rPr>
                <w:sz w:val="18"/>
                <w:szCs w:val="18"/>
              </w:rPr>
            </w:pPr>
            <w:r>
              <w:rPr>
                <w:rFonts w:hint="eastAsia"/>
                <w:sz w:val="18"/>
                <w:szCs w:val="18"/>
              </w:rPr>
              <w:t>令人愉快的酮样香味</w:t>
            </w:r>
          </w:p>
        </w:tc>
        <w:tc>
          <w:tcPr>
            <w:tcW w:w="1522" w:type="dxa"/>
          </w:tcPr>
          <w:p w14:paraId="45A7014C">
            <w:pPr>
              <w:snapToGrid w:val="0"/>
              <w:spacing w:line="240" w:lineRule="auto"/>
              <w:rPr>
                <w:sz w:val="18"/>
                <w:szCs w:val="18"/>
              </w:rPr>
            </w:pPr>
            <w:r>
              <w:rPr>
                <w:rFonts w:hint="eastAsia"/>
                <w:sz w:val="18"/>
                <w:szCs w:val="18"/>
              </w:rPr>
              <w:t>上海市管控</w:t>
            </w:r>
          </w:p>
        </w:tc>
        <w:tc>
          <w:tcPr>
            <w:tcW w:w="2243" w:type="dxa"/>
          </w:tcPr>
          <w:p w14:paraId="32E9A6E3">
            <w:pPr>
              <w:snapToGrid w:val="0"/>
              <w:spacing w:line="240" w:lineRule="auto"/>
              <w:rPr>
                <w:sz w:val="18"/>
                <w:szCs w:val="18"/>
              </w:rPr>
            </w:pPr>
            <w:r>
              <w:rPr>
                <w:rFonts w:hint="eastAsia"/>
                <w:sz w:val="18"/>
                <w:szCs w:val="18"/>
              </w:rPr>
              <w:t>日本、韩国</w:t>
            </w:r>
          </w:p>
        </w:tc>
      </w:tr>
      <w:tr w14:paraId="6E6D7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42BB6204">
            <w:pPr>
              <w:snapToGrid w:val="0"/>
              <w:spacing w:line="240" w:lineRule="auto"/>
              <w:rPr>
                <w:sz w:val="18"/>
                <w:szCs w:val="18"/>
              </w:rPr>
            </w:pPr>
            <w:r>
              <w:rPr>
                <w:rFonts w:hint="eastAsia"/>
                <w:sz w:val="18"/>
                <w:szCs w:val="18"/>
              </w:rPr>
              <w:t>正丁酸</w:t>
            </w:r>
          </w:p>
        </w:tc>
        <w:tc>
          <w:tcPr>
            <w:tcW w:w="1762" w:type="dxa"/>
          </w:tcPr>
          <w:p w14:paraId="29AC1982">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0.0013</w:t>
            </w:r>
          </w:p>
        </w:tc>
        <w:tc>
          <w:tcPr>
            <w:tcW w:w="1640" w:type="dxa"/>
          </w:tcPr>
          <w:p w14:paraId="4A5B52D6">
            <w:pPr>
              <w:snapToGrid w:val="0"/>
              <w:spacing w:line="240" w:lineRule="auto"/>
              <w:rPr>
                <w:sz w:val="18"/>
                <w:szCs w:val="18"/>
              </w:rPr>
            </w:pPr>
            <w:r>
              <w:rPr>
                <w:rFonts w:hint="eastAsia"/>
                <w:sz w:val="18"/>
                <w:szCs w:val="18"/>
              </w:rPr>
              <w:t>汗臭、酸臭</w:t>
            </w:r>
          </w:p>
        </w:tc>
        <w:tc>
          <w:tcPr>
            <w:tcW w:w="1522" w:type="dxa"/>
          </w:tcPr>
          <w:p w14:paraId="2C85C7F1">
            <w:pPr>
              <w:snapToGrid w:val="0"/>
              <w:spacing w:line="240" w:lineRule="auto"/>
              <w:rPr>
                <w:sz w:val="18"/>
                <w:szCs w:val="18"/>
              </w:rPr>
            </w:pPr>
            <w:r>
              <w:rPr>
                <w:rFonts w:hint="eastAsia"/>
                <w:sz w:val="18"/>
                <w:szCs w:val="18"/>
              </w:rPr>
              <w:t>否</w:t>
            </w:r>
          </w:p>
        </w:tc>
        <w:tc>
          <w:tcPr>
            <w:tcW w:w="2243" w:type="dxa"/>
          </w:tcPr>
          <w:p w14:paraId="2354271E">
            <w:pPr>
              <w:snapToGrid w:val="0"/>
              <w:spacing w:line="240" w:lineRule="auto"/>
              <w:rPr>
                <w:sz w:val="18"/>
                <w:szCs w:val="18"/>
              </w:rPr>
            </w:pPr>
            <w:r>
              <w:rPr>
                <w:rFonts w:hint="eastAsia"/>
                <w:sz w:val="18"/>
                <w:szCs w:val="18"/>
              </w:rPr>
              <w:t>日本、韩国</w:t>
            </w:r>
          </w:p>
        </w:tc>
      </w:tr>
      <w:tr w14:paraId="45F9C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787DF12F">
            <w:pPr>
              <w:snapToGrid w:val="0"/>
              <w:spacing w:line="240" w:lineRule="auto"/>
              <w:rPr>
                <w:sz w:val="18"/>
                <w:szCs w:val="18"/>
              </w:rPr>
            </w:pPr>
            <w:r>
              <w:rPr>
                <w:rFonts w:hint="eastAsia"/>
                <w:sz w:val="18"/>
                <w:szCs w:val="18"/>
              </w:rPr>
              <w:t>异丁酸</w:t>
            </w:r>
          </w:p>
        </w:tc>
        <w:tc>
          <w:tcPr>
            <w:tcW w:w="1762" w:type="dxa"/>
          </w:tcPr>
          <w:p w14:paraId="129A9DD3">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0.0031</w:t>
            </w:r>
          </w:p>
        </w:tc>
        <w:tc>
          <w:tcPr>
            <w:tcW w:w="1640" w:type="dxa"/>
          </w:tcPr>
          <w:p w14:paraId="50A563F8">
            <w:pPr>
              <w:snapToGrid w:val="0"/>
              <w:spacing w:line="240" w:lineRule="auto"/>
              <w:rPr>
                <w:sz w:val="18"/>
                <w:szCs w:val="18"/>
              </w:rPr>
            </w:pPr>
            <w:r>
              <w:rPr>
                <w:rFonts w:hint="eastAsia"/>
                <w:sz w:val="18"/>
                <w:szCs w:val="18"/>
              </w:rPr>
              <w:t>酸臭</w:t>
            </w:r>
          </w:p>
        </w:tc>
        <w:tc>
          <w:tcPr>
            <w:tcW w:w="1522" w:type="dxa"/>
          </w:tcPr>
          <w:p w14:paraId="73F90366">
            <w:pPr>
              <w:snapToGrid w:val="0"/>
              <w:spacing w:line="240" w:lineRule="auto"/>
              <w:rPr>
                <w:sz w:val="18"/>
                <w:szCs w:val="18"/>
              </w:rPr>
            </w:pPr>
            <w:r>
              <w:rPr>
                <w:rFonts w:hint="eastAsia"/>
                <w:sz w:val="18"/>
                <w:szCs w:val="18"/>
              </w:rPr>
              <w:t>否</w:t>
            </w:r>
          </w:p>
        </w:tc>
        <w:tc>
          <w:tcPr>
            <w:tcW w:w="2243" w:type="dxa"/>
          </w:tcPr>
          <w:p w14:paraId="330445E2">
            <w:pPr>
              <w:snapToGrid w:val="0"/>
              <w:spacing w:line="240" w:lineRule="auto"/>
              <w:rPr>
                <w:sz w:val="18"/>
                <w:szCs w:val="18"/>
              </w:rPr>
            </w:pPr>
          </w:p>
        </w:tc>
      </w:tr>
      <w:tr w14:paraId="5B87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19C4210E">
            <w:pPr>
              <w:snapToGrid w:val="0"/>
              <w:spacing w:line="240" w:lineRule="auto"/>
              <w:rPr>
                <w:sz w:val="18"/>
                <w:szCs w:val="18"/>
              </w:rPr>
            </w:pPr>
            <w:r>
              <w:rPr>
                <w:rFonts w:hint="eastAsia"/>
                <w:sz w:val="18"/>
                <w:szCs w:val="18"/>
              </w:rPr>
              <w:t>正戊酸</w:t>
            </w:r>
          </w:p>
        </w:tc>
        <w:tc>
          <w:tcPr>
            <w:tcW w:w="1762" w:type="dxa"/>
          </w:tcPr>
          <w:p w14:paraId="1434CF69">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0.0025</w:t>
            </w:r>
          </w:p>
        </w:tc>
        <w:tc>
          <w:tcPr>
            <w:tcW w:w="1640" w:type="dxa"/>
          </w:tcPr>
          <w:p w14:paraId="4905A0E6">
            <w:pPr>
              <w:snapToGrid w:val="0"/>
              <w:spacing w:line="240" w:lineRule="auto"/>
              <w:rPr>
                <w:sz w:val="18"/>
                <w:szCs w:val="18"/>
              </w:rPr>
            </w:pPr>
            <w:r>
              <w:rPr>
                <w:rFonts w:hint="eastAsia"/>
                <w:sz w:val="18"/>
                <w:szCs w:val="18"/>
              </w:rPr>
              <w:t>汗臭、酸臭</w:t>
            </w:r>
          </w:p>
        </w:tc>
        <w:tc>
          <w:tcPr>
            <w:tcW w:w="1522" w:type="dxa"/>
          </w:tcPr>
          <w:p w14:paraId="77FA6268">
            <w:pPr>
              <w:snapToGrid w:val="0"/>
              <w:spacing w:line="240" w:lineRule="auto"/>
              <w:rPr>
                <w:sz w:val="18"/>
                <w:szCs w:val="18"/>
              </w:rPr>
            </w:pPr>
            <w:r>
              <w:rPr>
                <w:rFonts w:hint="eastAsia"/>
                <w:sz w:val="18"/>
                <w:szCs w:val="18"/>
              </w:rPr>
              <w:t>否</w:t>
            </w:r>
          </w:p>
        </w:tc>
        <w:tc>
          <w:tcPr>
            <w:tcW w:w="2243" w:type="dxa"/>
          </w:tcPr>
          <w:p w14:paraId="5B9E1B3A">
            <w:pPr>
              <w:snapToGrid w:val="0"/>
              <w:spacing w:line="240" w:lineRule="auto"/>
              <w:rPr>
                <w:sz w:val="18"/>
                <w:szCs w:val="18"/>
              </w:rPr>
            </w:pPr>
            <w:r>
              <w:rPr>
                <w:rFonts w:hint="eastAsia"/>
                <w:sz w:val="18"/>
                <w:szCs w:val="18"/>
              </w:rPr>
              <w:t>日本、韩国</w:t>
            </w:r>
          </w:p>
        </w:tc>
      </w:tr>
      <w:tr w14:paraId="4A389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754E71C2">
            <w:pPr>
              <w:snapToGrid w:val="0"/>
              <w:spacing w:line="240" w:lineRule="auto"/>
              <w:rPr>
                <w:sz w:val="18"/>
                <w:szCs w:val="18"/>
              </w:rPr>
            </w:pPr>
            <w:r>
              <w:rPr>
                <w:rFonts w:hint="eastAsia"/>
                <w:sz w:val="18"/>
                <w:szCs w:val="18"/>
              </w:rPr>
              <w:t>异戊酸</w:t>
            </w:r>
          </w:p>
        </w:tc>
        <w:tc>
          <w:tcPr>
            <w:tcW w:w="1762" w:type="dxa"/>
          </w:tcPr>
          <w:p w14:paraId="5D6F1723">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0.00016</w:t>
            </w:r>
          </w:p>
        </w:tc>
        <w:tc>
          <w:tcPr>
            <w:tcW w:w="1640" w:type="dxa"/>
          </w:tcPr>
          <w:p w14:paraId="09D776B4">
            <w:pPr>
              <w:snapToGrid w:val="0"/>
              <w:spacing w:line="240" w:lineRule="auto"/>
              <w:rPr>
                <w:sz w:val="18"/>
                <w:szCs w:val="18"/>
              </w:rPr>
            </w:pPr>
            <w:r>
              <w:rPr>
                <w:rFonts w:hint="eastAsia"/>
                <w:sz w:val="18"/>
                <w:szCs w:val="18"/>
              </w:rPr>
              <w:t>汗臭、</w:t>
            </w:r>
          </w:p>
        </w:tc>
        <w:tc>
          <w:tcPr>
            <w:tcW w:w="1522" w:type="dxa"/>
          </w:tcPr>
          <w:p w14:paraId="29F19AD4">
            <w:pPr>
              <w:snapToGrid w:val="0"/>
              <w:spacing w:line="240" w:lineRule="auto"/>
              <w:rPr>
                <w:sz w:val="18"/>
                <w:szCs w:val="18"/>
              </w:rPr>
            </w:pPr>
            <w:r>
              <w:rPr>
                <w:rFonts w:hint="eastAsia"/>
                <w:sz w:val="18"/>
                <w:szCs w:val="18"/>
              </w:rPr>
              <w:t>否</w:t>
            </w:r>
          </w:p>
        </w:tc>
        <w:tc>
          <w:tcPr>
            <w:tcW w:w="2243" w:type="dxa"/>
          </w:tcPr>
          <w:p w14:paraId="34CD7CC6">
            <w:pPr>
              <w:snapToGrid w:val="0"/>
              <w:spacing w:line="240" w:lineRule="auto"/>
              <w:rPr>
                <w:sz w:val="18"/>
                <w:szCs w:val="18"/>
              </w:rPr>
            </w:pPr>
            <w:r>
              <w:rPr>
                <w:rFonts w:hint="eastAsia"/>
                <w:sz w:val="18"/>
                <w:szCs w:val="18"/>
              </w:rPr>
              <w:t>日本、韩国</w:t>
            </w:r>
          </w:p>
        </w:tc>
      </w:tr>
      <w:tr w14:paraId="0A979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77DB1D1F">
            <w:pPr>
              <w:snapToGrid w:val="0"/>
              <w:spacing w:line="240" w:lineRule="auto"/>
              <w:rPr>
                <w:sz w:val="18"/>
                <w:szCs w:val="18"/>
              </w:rPr>
            </w:pPr>
            <w:r>
              <w:rPr>
                <w:rFonts w:hint="eastAsia"/>
                <w:sz w:val="18"/>
                <w:szCs w:val="18"/>
              </w:rPr>
              <w:t>乙醛</w:t>
            </w:r>
          </w:p>
        </w:tc>
        <w:tc>
          <w:tcPr>
            <w:tcW w:w="1762" w:type="dxa"/>
          </w:tcPr>
          <w:p w14:paraId="2BF9318A">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.0015</w:t>
            </w:r>
            <w:r>
              <w:rPr>
                <w:rFonts w:asciiTheme="minorHAnsi" w:eastAsiaTheme="minorEastAsia" w:cstheme="minorBidi"/>
                <w:color w:val="auto"/>
                <w:kern w:val="2"/>
                <w:sz w:val="18"/>
                <w:szCs w:val="18"/>
                <w:vertAlign w:val="superscript"/>
              </w:rPr>
              <w:fldChar w:fldCharType="begin"/>
            </w:r>
            <w:r>
              <w:rPr>
                <w:rFonts w:asciiTheme="minorHAnsi" w:eastAsiaTheme="minorEastAsia" w:cstheme="minorBidi"/>
                <w:color w:val="auto"/>
                <w:kern w:val="2"/>
                <w:sz w:val="18"/>
                <w:szCs w:val="18"/>
                <w:vertAlign w:val="superscript"/>
              </w:rPr>
              <w:instrText xml:space="preserve"> </w:instrText>
            </w:r>
            <w:r>
              <w:rPr>
                <w:rFonts w:hint="eastAsia" w:asciiTheme="minorHAnsi" w:eastAsiaTheme="minorEastAsia" w:cstheme="minorBidi"/>
                <w:color w:val="auto"/>
                <w:kern w:val="2"/>
                <w:sz w:val="18"/>
                <w:szCs w:val="18"/>
                <w:vertAlign w:val="superscript"/>
              </w:rPr>
              <w:instrText xml:space="preserve">= 2 \* GB3</w:instrText>
            </w:r>
            <w:r>
              <w:rPr>
                <w:rFonts w:asciiTheme="minorHAnsi" w:eastAsiaTheme="minorEastAsia" w:cstheme="minorBidi"/>
                <w:color w:val="auto"/>
                <w:kern w:val="2"/>
                <w:sz w:val="18"/>
                <w:szCs w:val="18"/>
                <w:vertAlign w:val="superscript"/>
              </w:rPr>
              <w:instrText xml:space="preserve"> </w:instrText>
            </w:r>
            <w:r>
              <w:rPr>
                <w:rFonts w:asciiTheme="minorHAnsi" w:eastAsiaTheme="minorEastAsia" w:cstheme="minorBidi"/>
                <w:color w:val="auto"/>
                <w:kern w:val="2"/>
                <w:sz w:val="18"/>
                <w:szCs w:val="18"/>
                <w:vertAlign w:val="superscript"/>
              </w:rPr>
              <w:fldChar w:fldCharType="separate"/>
            </w:r>
            <w:r>
              <w:rPr>
                <w:rFonts w:hint="eastAsia" w:asciiTheme="minorHAnsi" w:eastAsiaTheme="minorEastAsia" w:cstheme="minorBidi"/>
                <w:color w:val="auto"/>
                <w:kern w:val="2"/>
                <w:sz w:val="18"/>
                <w:szCs w:val="18"/>
                <w:vertAlign w:val="superscript"/>
              </w:rPr>
              <w:t>②</w:t>
            </w:r>
            <w:r>
              <w:rPr>
                <w:rFonts w:asciiTheme="minorHAnsi" w:eastAsiaTheme="minorEastAsia" w:cstheme="minorBidi"/>
                <w:color w:val="auto"/>
                <w:kern w:val="2"/>
                <w:sz w:val="18"/>
                <w:szCs w:val="18"/>
                <w:vertAlign w:val="superscript"/>
              </w:rPr>
              <w:fldChar w:fldCharType="end"/>
            </w:r>
          </w:p>
        </w:tc>
        <w:tc>
          <w:tcPr>
            <w:tcW w:w="1640" w:type="dxa"/>
          </w:tcPr>
          <w:p w14:paraId="11EE379A">
            <w:pPr>
              <w:snapToGrid w:val="0"/>
              <w:spacing w:line="240" w:lineRule="auto"/>
              <w:rPr>
                <w:sz w:val="18"/>
                <w:szCs w:val="18"/>
              </w:rPr>
            </w:pPr>
          </w:p>
        </w:tc>
        <w:tc>
          <w:tcPr>
            <w:tcW w:w="1522" w:type="dxa"/>
          </w:tcPr>
          <w:p w14:paraId="7AD7D8D2">
            <w:pPr>
              <w:snapToGrid w:val="0"/>
              <w:spacing w:line="240" w:lineRule="auto"/>
              <w:rPr>
                <w:sz w:val="18"/>
                <w:szCs w:val="18"/>
              </w:rPr>
            </w:pPr>
          </w:p>
        </w:tc>
        <w:tc>
          <w:tcPr>
            <w:tcW w:w="2243" w:type="dxa"/>
          </w:tcPr>
          <w:p w14:paraId="45A5F43D">
            <w:pPr>
              <w:snapToGrid w:val="0"/>
              <w:spacing w:line="240" w:lineRule="auto"/>
              <w:rPr>
                <w:sz w:val="18"/>
                <w:szCs w:val="18"/>
              </w:rPr>
            </w:pPr>
          </w:p>
        </w:tc>
      </w:tr>
      <w:tr w14:paraId="5A34A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7570F434">
            <w:pPr>
              <w:snapToGrid w:val="0"/>
              <w:spacing w:line="240" w:lineRule="auto"/>
              <w:rPr>
                <w:sz w:val="18"/>
                <w:szCs w:val="18"/>
              </w:rPr>
            </w:pPr>
            <w:r>
              <w:rPr>
                <w:rFonts w:hint="eastAsia"/>
                <w:sz w:val="18"/>
                <w:szCs w:val="18"/>
              </w:rPr>
              <w:t>丙烯醛</w:t>
            </w:r>
          </w:p>
        </w:tc>
        <w:tc>
          <w:tcPr>
            <w:tcW w:w="1762" w:type="dxa"/>
          </w:tcPr>
          <w:p w14:paraId="09557218">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.0036</w:t>
            </w:r>
          </w:p>
        </w:tc>
        <w:tc>
          <w:tcPr>
            <w:tcW w:w="1640" w:type="dxa"/>
          </w:tcPr>
          <w:p w14:paraId="2E06B84B">
            <w:pPr>
              <w:snapToGrid w:val="0"/>
              <w:spacing w:line="240" w:lineRule="auto"/>
              <w:rPr>
                <w:sz w:val="18"/>
                <w:szCs w:val="18"/>
              </w:rPr>
            </w:pPr>
          </w:p>
        </w:tc>
        <w:tc>
          <w:tcPr>
            <w:tcW w:w="1522" w:type="dxa"/>
          </w:tcPr>
          <w:p w14:paraId="52D8EA37">
            <w:pPr>
              <w:snapToGrid w:val="0"/>
              <w:spacing w:line="240" w:lineRule="auto"/>
              <w:rPr>
                <w:sz w:val="18"/>
                <w:szCs w:val="18"/>
              </w:rPr>
            </w:pPr>
          </w:p>
        </w:tc>
        <w:tc>
          <w:tcPr>
            <w:tcW w:w="2243" w:type="dxa"/>
          </w:tcPr>
          <w:p w14:paraId="669E1911">
            <w:pPr>
              <w:snapToGrid w:val="0"/>
              <w:spacing w:line="240" w:lineRule="auto"/>
              <w:rPr>
                <w:sz w:val="18"/>
                <w:szCs w:val="18"/>
              </w:rPr>
            </w:pPr>
          </w:p>
        </w:tc>
      </w:tr>
      <w:tr w14:paraId="2B435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2FF4B9DA">
            <w:pPr>
              <w:snapToGrid w:val="0"/>
              <w:spacing w:line="240" w:lineRule="auto"/>
              <w:rPr>
                <w:sz w:val="18"/>
                <w:szCs w:val="18"/>
              </w:rPr>
            </w:pPr>
            <w:r>
              <w:rPr>
                <w:rFonts w:hint="eastAsia"/>
                <w:sz w:val="18"/>
                <w:szCs w:val="18"/>
              </w:rPr>
              <w:t>二甲苯</w:t>
            </w:r>
          </w:p>
        </w:tc>
        <w:tc>
          <w:tcPr>
            <w:tcW w:w="1762" w:type="dxa"/>
          </w:tcPr>
          <w:p w14:paraId="5A8AAAAC">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.058</w:t>
            </w:r>
          </w:p>
        </w:tc>
        <w:tc>
          <w:tcPr>
            <w:tcW w:w="1640" w:type="dxa"/>
          </w:tcPr>
          <w:p w14:paraId="14C27775">
            <w:pPr>
              <w:snapToGrid w:val="0"/>
              <w:spacing w:line="240" w:lineRule="auto"/>
              <w:rPr>
                <w:sz w:val="18"/>
                <w:szCs w:val="18"/>
              </w:rPr>
            </w:pPr>
          </w:p>
        </w:tc>
        <w:tc>
          <w:tcPr>
            <w:tcW w:w="1522" w:type="dxa"/>
          </w:tcPr>
          <w:p w14:paraId="036D775C">
            <w:pPr>
              <w:snapToGrid w:val="0"/>
              <w:spacing w:line="240" w:lineRule="auto"/>
              <w:rPr>
                <w:sz w:val="18"/>
                <w:szCs w:val="18"/>
              </w:rPr>
            </w:pPr>
          </w:p>
        </w:tc>
        <w:tc>
          <w:tcPr>
            <w:tcW w:w="2243" w:type="dxa"/>
          </w:tcPr>
          <w:p w14:paraId="1988AC36">
            <w:pPr>
              <w:snapToGrid w:val="0"/>
              <w:spacing w:line="240" w:lineRule="auto"/>
              <w:rPr>
                <w:sz w:val="18"/>
                <w:szCs w:val="18"/>
              </w:rPr>
            </w:pPr>
          </w:p>
        </w:tc>
      </w:tr>
      <w:tr w14:paraId="1CA32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51A33784">
            <w:pPr>
              <w:snapToGrid w:val="0"/>
              <w:spacing w:line="240" w:lineRule="auto"/>
              <w:rPr>
                <w:sz w:val="18"/>
                <w:szCs w:val="18"/>
              </w:rPr>
            </w:pPr>
            <w:r>
              <w:rPr>
                <w:rFonts w:hint="eastAsia"/>
                <w:sz w:val="18"/>
                <w:szCs w:val="18"/>
              </w:rPr>
              <w:t>苯酚</w:t>
            </w:r>
          </w:p>
        </w:tc>
        <w:tc>
          <w:tcPr>
            <w:tcW w:w="1762" w:type="dxa"/>
          </w:tcPr>
          <w:p w14:paraId="7D95A375">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.0056</w:t>
            </w:r>
          </w:p>
        </w:tc>
        <w:tc>
          <w:tcPr>
            <w:tcW w:w="1640" w:type="dxa"/>
          </w:tcPr>
          <w:p w14:paraId="70ACBDE8">
            <w:pPr>
              <w:snapToGrid w:val="0"/>
              <w:spacing w:line="240" w:lineRule="auto"/>
              <w:rPr>
                <w:sz w:val="18"/>
                <w:szCs w:val="18"/>
              </w:rPr>
            </w:pPr>
          </w:p>
        </w:tc>
        <w:tc>
          <w:tcPr>
            <w:tcW w:w="1522" w:type="dxa"/>
          </w:tcPr>
          <w:p w14:paraId="2DFE579B">
            <w:pPr>
              <w:snapToGrid w:val="0"/>
              <w:spacing w:line="240" w:lineRule="auto"/>
              <w:rPr>
                <w:sz w:val="18"/>
                <w:szCs w:val="18"/>
              </w:rPr>
            </w:pPr>
          </w:p>
        </w:tc>
        <w:tc>
          <w:tcPr>
            <w:tcW w:w="2243" w:type="dxa"/>
          </w:tcPr>
          <w:p w14:paraId="1173A58F">
            <w:pPr>
              <w:snapToGrid w:val="0"/>
              <w:spacing w:line="240" w:lineRule="auto"/>
              <w:rPr>
                <w:sz w:val="18"/>
                <w:szCs w:val="18"/>
              </w:rPr>
            </w:pPr>
          </w:p>
        </w:tc>
      </w:tr>
      <w:tr w14:paraId="1CA3C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3A1D2DB5">
            <w:pPr>
              <w:snapToGrid w:val="0"/>
              <w:spacing w:line="240" w:lineRule="auto"/>
              <w:rPr>
                <w:sz w:val="18"/>
                <w:szCs w:val="18"/>
              </w:rPr>
            </w:pPr>
            <w:r>
              <w:rPr>
                <w:rFonts w:hint="eastAsia"/>
                <w:sz w:val="18"/>
                <w:szCs w:val="18"/>
              </w:rPr>
              <w:t>甲苯</w:t>
            </w:r>
          </w:p>
        </w:tc>
        <w:tc>
          <w:tcPr>
            <w:tcW w:w="1762" w:type="dxa"/>
          </w:tcPr>
          <w:p w14:paraId="0C6F3D64">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.33</w:t>
            </w:r>
          </w:p>
        </w:tc>
        <w:tc>
          <w:tcPr>
            <w:tcW w:w="1640" w:type="dxa"/>
          </w:tcPr>
          <w:p w14:paraId="2292E77E">
            <w:pPr>
              <w:snapToGrid w:val="0"/>
              <w:spacing w:line="240" w:lineRule="auto"/>
              <w:rPr>
                <w:sz w:val="18"/>
                <w:szCs w:val="18"/>
              </w:rPr>
            </w:pPr>
          </w:p>
        </w:tc>
        <w:tc>
          <w:tcPr>
            <w:tcW w:w="1522" w:type="dxa"/>
          </w:tcPr>
          <w:p w14:paraId="78C78F28">
            <w:pPr>
              <w:snapToGrid w:val="0"/>
              <w:spacing w:line="240" w:lineRule="auto"/>
              <w:rPr>
                <w:sz w:val="18"/>
                <w:szCs w:val="18"/>
              </w:rPr>
            </w:pPr>
          </w:p>
        </w:tc>
        <w:tc>
          <w:tcPr>
            <w:tcW w:w="2243" w:type="dxa"/>
          </w:tcPr>
          <w:p w14:paraId="1ACBEF30">
            <w:pPr>
              <w:snapToGrid w:val="0"/>
              <w:spacing w:line="240" w:lineRule="auto"/>
              <w:rPr>
                <w:sz w:val="18"/>
                <w:szCs w:val="18"/>
              </w:rPr>
            </w:pPr>
          </w:p>
        </w:tc>
      </w:tr>
      <w:tr w14:paraId="7943C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5359F512">
            <w:pPr>
              <w:snapToGrid w:val="0"/>
              <w:spacing w:line="240" w:lineRule="auto"/>
              <w:rPr>
                <w:sz w:val="18"/>
                <w:szCs w:val="18"/>
              </w:rPr>
            </w:pPr>
            <w:r>
              <w:rPr>
                <w:rFonts w:hint="eastAsia"/>
                <w:sz w:val="18"/>
                <w:szCs w:val="18"/>
              </w:rPr>
              <w:t>乙苯</w:t>
            </w:r>
          </w:p>
        </w:tc>
        <w:tc>
          <w:tcPr>
            <w:tcW w:w="1762" w:type="dxa"/>
          </w:tcPr>
          <w:p w14:paraId="3D1B9745">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.035</w:t>
            </w:r>
          </w:p>
        </w:tc>
        <w:tc>
          <w:tcPr>
            <w:tcW w:w="1640" w:type="dxa"/>
          </w:tcPr>
          <w:p w14:paraId="668702D6">
            <w:pPr>
              <w:snapToGrid w:val="0"/>
              <w:spacing w:line="240" w:lineRule="auto"/>
              <w:rPr>
                <w:sz w:val="18"/>
                <w:szCs w:val="18"/>
              </w:rPr>
            </w:pPr>
          </w:p>
        </w:tc>
        <w:tc>
          <w:tcPr>
            <w:tcW w:w="1522" w:type="dxa"/>
          </w:tcPr>
          <w:p w14:paraId="6484C49A">
            <w:pPr>
              <w:snapToGrid w:val="0"/>
              <w:spacing w:line="240" w:lineRule="auto"/>
              <w:rPr>
                <w:sz w:val="18"/>
                <w:szCs w:val="18"/>
              </w:rPr>
            </w:pPr>
          </w:p>
        </w:tc>
        <w:tc>
          <w:tcPr>
            <w:tcW w:w="2243" w:type="dxa"/>
          </w:tcPr>
          <w:p w14:paraId="54772142">
            <w:pPr>
              <w:snapToGrid w:val="0"/>
              <w:spacing w:line="240" w:lineRule="auto"/>
              <w:rPr>
                <w:sz w:val="18"/>
                <w:szCs w:val="18"/>
              </w:rPr>
            </w:pPr>
          </w:p>
        </w:tc>
      </w:tr>
      <w:tr w14:paraId="2076E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39599375">
            <w:pPr>
              <w:snapToGrid w:val="0"/>
              <w:spacing w:line="240" w:lineRule="auto"/>
              <w:rPr>
                <w:sz w:val="18"/>
                <w:szCs w:val="18"/>
              </w:rPr>
            </w:pPr>
            <w:r>
              <w:rPr>
                <w:rFonts w:hint="eastAsia"/>
                <w:sz w:val="18"/>
                <w:szCs w:val="18"/>
              </w:rPr>
              <w:t>甲胺</w:t>
            </w:r>
          </w:p>
        </w:tc>
        <w:tc>
          <w:tcPr>
            <w:tcW w:w="1762" w:type="dxa"/>
          </w:tcPr>
          <w:p w14:paraId="3C7ABB42">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.035</w:t>
            </w:r>
          </w:p>
        </w:tc>
        <w:tc>
          <w:tcPr>
            <w:tcW w:w="1640" w:type="dxa"/>
          </w:tcPr>
          <w:p w14:paraId="4B6E9EF4">
            <w:pPr>
              <w:snapToGrid w:val="0"/>
              <w:spacing w:line="240" w:lineRule="auto"/>
              <w:rPr>
                <w:sz w:val="18"/>
                <w:szCs w:val="18"/>
              </w:rPr>
            </w:pPr>
          </w:p>
        </w:tc>
        <w:tc>
          <w:tcPr>
            <w:tcW w:w="1522" w:type="dxa"/>
          </w:tcPr>
          <w:p w14:paraId="6DD4D785">
            <w:pPr>
              <w:snapToGrid w:val="0"/>
              <w:spacing w:line="240" w:lineRule="auto"/>
              <w:rPr>
                <w:sz w:val="18"/>
                <w:szCs w:val="18"/>
              </w:rPr>
            </w:pPr>
          </w:p>
        </w:tc>
        <w:tc>
          <w:tcPr>
            <w:tcW w:w="2243" w:type="dxa"/>
          </w:tcPr>
          <w:p w14:paraId="195D0434">
            <w:pPr>
              <w:snapToGrid w:val="0"/>
              <w:spacing w:line="240" w:lineRule="auto"/>
              <w:rPr>
                <w:sz w:val="18"/>
                <w:szCs w:val="18"/>
              </w:rPr>
            </w:pPr>
          </w:p>
        </w:tc>
      </w:tr>
      <w:tr w14:paraId="62A90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0D9BD911">
            <w:pPr>
              <w:snapToGrid w:val="0"/>
              <w:spacing w:line="240" w:lineRule="auto"/>
              <w:rPr>
                <w:sz w:val="18"/>
                <w:szCs w:val="18"/>
              </w:rPr>
            </w:pPr>
            <w:r>
              <w:rPr>
                <w:rFonts w:hint="eastAsia"/>
                <w:sz w:val="18"/>
                <w:szCs w:val="18"/>
              </w:rPr>
              <w:t>氯苯</w:t>
            </w:r>
          </w:p>
        </w:tc>
        <w:tc>
          <w:tcPr>
            <w:tcW w:w="1762" w:type="dxa"/>
          </w:tcPr>
          <w:p w14:paraId="2EE314CE">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.68</w:t>
            </w:r>
          </w:p>
        </w:tc>
        <w:tc>
          <w:tcPr>
            <w:tcW w:w="1640" w:type="dxa"/>
          </w:tcPr>
          <w:p w14:paraId="58A1DC14">
            <w:pPr>
              <w:snapToGrid w:val="0"/>
              <w:spacing w:line="240" w:lineRule="auto"/>
              <w:rPr>
                <w:sz w:val="18"/>
                <w:szCs w:val="18"/>
              </w:rPr>
            </w:pPr>
          </w:p>
        </w:tc>
        <w:tc>
          <w:tcPr>
            <w:tcW w:w="1522" w:type="dxa"/>
          </w:tcPr>
          <w:p w14:paraId="5484E2C6">
            <w:pPr>
              <w:snapToGrid w:val="0"/>
              <w:spacing w:line="240" w:lineRule="auto"/>
              <w:rPr>
                <w:sz w:val="18"/>
                <w:szCs w:val="18"/>
              </w:rPr>
            </w:pPr>
          </w:p>
        </w:tc>
        <w:tc>
          <w:tcPr>
            <w:tcW w:w="2243" w:type="dxa"/>
          </w:tcPr>
          <w:p w14:paraId="08FCBB45">
            <w:pPr>
              <w:snapToGrid w:val="0"/>
              <w:spacing w:line="240" w:lineRule="auto"/>
              <w:rPr>
                <w:sz w:val="18"/>
                <w:szCs w:val="18"/>
              </w:rPr>
            </w:pPr>
          </w:p>
        </w:tc>
      </w:tr>
      <w:tr w14:paraId="16F2D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0A0F3D6D">
            <w:pPr>
              <w:snapToGrid w:val="0"/>
              <w:spacing w:line="240" w:lineRule="auto"/>
              <w:rPr>
                <w:sz w:val="18"/>
                <w:szCs w:val="18"/>
              </w:rPr>
            </w:pPr>
            <w:r>
              <w:rPr>
                <w:rFonts w:hint="eastAsia"/>
                <w:sz w:val="18"/>
                <w:szCs w:val="18"/>
              </w:rPr>
              <w:t>丙醛</w:t>
            </w:r>
          </w:p>
        </w:tc>
        <w:tc>
          <w:tcPr>
            <w:tcW w:w="1762" w:type="dxa"/>
          </w:tcPr>
          <w:p w14:paraId="05B43CDE">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.001</w:t>
            </w:r>
          </w:p>
        </w:tc>
        <w:tc>
          <w:tcPr>
            <w:tcW w:w="1640" w:type="dxa"/>
          </w:tcPr>
          <w:p w14:paraId="6E8FC1F3">
            <w:pPr>
              <w:snapToGrid w:val="0"/>
              <w:spacing w:line="240" w:lineRule="auto"/>
              <w:rPr>
                <w:sz w:val="18"/>
                <w:szCs w:val="18"/>
              </w:rPr>
            </w:pPr>
          </w:p>
        </w:tc>
        <w:tc>
          <w:tcPr>
            <w:tcW w:w="1522" w:type="dxa"/>
          </w:tcPr>
          <w:p w14:paraId="1C10750D">
            <w:pPr>
              <w:snapToGrid w:val="0"/>
              <w:spacing w:line="240" w:lineRule="auto"/>
              <w:rPr>
                <w:sz w:val="18"/>
                <w:szCs w:val="18"/>
              </w:rPr>
            </w:pPr>
          </w:p>
        </w:tc>
        <w:tc>
          <w:tcPr>
            <w:tcW w:w="2243" w:type="dxa"/>
          </w:tcPr>
          <w:p w14:paraId="3E672B3F">
            <w:pPr>
              <w:snapToGrid w:val="0"/>
              <w:spacing w:line="240" w:lineRule="auto"/>
              <w:rPr>
                <w:sz w:val="18"/>
                <w:szCs w:val="18"/>
              </w:rPr>
            </w:pPr>
          </w:p>
        </w:tc>
      </w:tr>
      <w:tr w14:paraId="6DE63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7DAA5102">
            <w:pPr>
              <w:snapToGrid w:val="0"/>
              <w:spacing w:line="240" w:lineRule="auto"/>
              <w:rPr>
                <w:sz w:val="18"/>
                <w:szCs w:val="18"/>
              </w:rPr>
            </w:pPr>
            <w:r>
              <w:rPr>
                <w:rFonts w:hint="eastAsia"/>
                <w:sz w:val="18"/>
                <w:szCs w:val="18"/>
              </w:rPr>
              <w:t>戊醛</w:t>
            </w:r>
          </w:p>
        </w:tc>
        <w:tc>
          <w:tcPr>
            <w:tcW w:w="1762" w:type="dxa"/>
          </w:tcPr>
          <w:p w14:paraId="09F2C28D">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.00041</w:t>
            </w:r>
          </w:p>
        </w:tc>
        <w:tc>
          <w:tcPr>
            <w:tcW w:w="1640" w:type="dxa"/>
          </w:tcPr>
          <w:p w14:paraId="411E4269">
            <w:pPr>
              <w:snapToGrid w:val="0"/>
              <w:spacing w:line="240" w:lineRule="auto"/>
              <w:rPr>
                <w:sz w:val="18"/>
                <w:szCs w:val="18"/>
              </w:rPr>
            </w:pPr>
          </w:p>
        </w:tc>
        <w:tc>
          <w:tcPr>
            <w:tcW w:w="1522" w:type="dxa"/>
          </w:tcPr>
          <w:p w14:paraId="40E68FE9">
            <w:pPr>
              <w:snapToGrid w:val="0"/>
              <w:spacing w:line="240" w:lineRule="auto"/>
              <w:rPr>
                <w:sz w:val="18"/>
                <w:szCs w:val="18"/>
              </w:rPr>
            </w:pPr>
          </w:p>
        </w:tc>
        <w:tc>
          <w:tcPr>
            <w:tcW w:w="2243" w:type="dxa"/>
          </w:tcPr>
          <w:p w14:paraId="682BA859">
            <w:pPr>
              <w:snapToGrid w:val="0"/>
              <w:spacing w:line="240" w:lineRule="auto"/>
              <w:rPr>
                <w:sz w:val="18"/>
                <w:szCs w:val="18"/>
              </w:rPr>
            </w:pPr>
          </w:p>
        </w:tc>
      </w:tr>
      <w:tr w14:paraId="25F4B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29" w:type="dxa"/>
          </w:tcPr>
          <w:p w14:paraId="34929B52">
            <w:pPr>
              <w:snapToGrid w:val="0"/>
              <w:spacing w:line="240" w:lineRule="auto"/>
              <w:rPr>
                <w:sz w:val="18"/>
                <w:szCs w:val="18"/>
              </w:rPr>
            </w:pPr>
            <w:r>
              <w:rPr>
                <w:rFonts w:hint="eastAsia"/>
                <w:sz w:val="18"/>
                <w:szCs w:val="18"/>
              </w:rPr>
              <w:t>丙酸</w:t>
            </w:r>
          </w:p>
        </w:tc>
        <w:tc>
          <w:tcPr>
            <w:tcW w:w="1762" w:type="dxa"/>
          </w:tcPr>
          <w:p w14:paraId="775D6823">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.0057</w:t>
            </w:r>
          </w:p>
        </w:tc>
        <w:tc>
          <w:tcPr>
            <w:tcW w:w="1640" w:type="dxa"/>
          </w:tcPr>
          <w:p w14:paraId="5570EE44">
            <w:pPr>
              <w:snapToGrid w:val="0"/>
              <w:spacing w:line="240" w:lineRule="auto"/>
              <w:rPr>
                <w:sz w:val="18"/>
                <w:szCs w:val="18"/>
              </w:rPr>
            </w:pPr>
          </w:p>
        </w:tc>
        <w:tc>
          <w:tcPr>
            <w:tcW w:w="1522" w:type="dxa"/>
          </w:tcPr>
          <w:p w14:paraId="687181BD">
            <w:pPr>
              <w:snapToGrid w:val="0"/>
              <w:spacing w:line="240" w:lineRule="auto"/>
              <w:rPr>
                <w:sz w:val="18"/>
                <w:szCs w:val="18"/>
              </w:rPr>
            </w:pPr>
          </w:p>
        </w:tc>
        <w:tc>
          <w:tcPr>
            <w:tcW w:w="2243" w:type="dxa"/>
          </w:tcPr>
          <w:p w14:paraId="658B2419">
            <w:pPr>
              <w:snapToGrid w:val="0"/>
              <w:spacing w:line="240" w:lineRule="auto"/>
              <w:rPr>
                <w:sz w:val="18"/>
                <w:szCs w:val="18"/>
              </w:rPr>
            </w:pPr>
          </w:p>
        </w:tc>
      </w:tr>
      <w:tr w14:paraId="6D034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3827598F">
            <w:pPr>
              <w:snapToGrid w:val="0"/>
              <w:spacing w:line="240" w:lineRule="auto"/>
              <w:rPr>
                <w:sz w:val="18"/>
                <w:szCs w:val="18"/>
              </w:rPr>
            </w:pPr>
            <w:r>
              <w:rPr>
                <w:sz w:val="18"/>
                <w:szCs w:val="18"/>
              </w:rPr>
              <w:t>丁醛</w:t>
            </w:r>
          </w:p>
        </w:tc>
        <w:tc>
          <w:tcPr>
            <w:tcW w:w="1762" w:type="dxa"/>
          </w:tcPr>
          <w:p w14:paraId="58A3A315">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.00067</w:t>
            </w:r>
          </w:p>
        </w:tc>
        <w:tc>
          <w:tcPr>
            <w:tcW w:w="1640" w:type="dxa"/>
          </w:tcPr>
          <w:p w14:paraId="18B43832">
            <w:pPr>
              <w:snapToGrid w:val="0"/>
              <w:spacing w:line="240" w:lineRule="auto"/>
              <w:rPr>
                <w:sz w:val="18"/>
                <w:szCs w:val="18"/>
              </w:rPr>
            </w:pPr>
          </w:p>
        </w:tc>
        <w:tc>
          <w:tcPr>
            <w:tcW w:w="1522" w:type="dxa"/>
          </w:tcPr>
          <w:p w14:paraId="54DC884A">
            <w:pPr>
              <w:snapToGrid w:val="0"/>
              <w:spacing w:line="240" w:lineRule="auto"/>
              <w:rPr>
                <w:sz w:val="18"/>
                <w:szCs w:val="18"/>
              </w:rPr>
            </w:pPr>
          </w:p>
        </w:tc>
        <w:tc>
          <w:tcPr>
            <w:tcW w:w="2243" w:type="dxa"/>
          </w:tcPr>
          <w:p w14:paraId="2B656C94">
            <w:pPr>
              <w:snapToGrid w:val="0"/>
              <w:spacing w:line="240" w:lineRule="auto"/>
              <w:rPr>
                <w:sz w:val="18"/>
                <w:szCs w:val="18"/>
              </w:rPr>
            </w:pPr>
          </w:p>
        </w:tc>
      </w:tr>
      <w:tr w14:paraId="6DA01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30D26828">
            <w:pPr>
              <w:snapToGrid w:val="0"/>
              <w:spacing w:line="240" w:lineRule="auto"/>
              <w:rPr>
                <w:sz w:val="18"/>
                <w:szCs w:val="18"/>
              </w:rPr>
            </w:pPr>
            <w:r>
              <w:rPr>
                <w:sz w:val="18"/>
                <w:szCs w:val="18"/>
              </w:rPr>
              <w:t>乙酸</w:t>
            </w:r>
          </w:p>
        </w:tc>
        <w:tc>
          <w:tcPr>
            <w:tcW w:w="1762" w:type="dxa"/>
          </w:tcPr>
          <w:p w14:paraId="12F28519">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.006</w:t>
            </w:r>
          </w:p>
        </w:tc>
        <w:tc>
          <w:tcPr>
            <w:tcW w:w="1640" w:type="dxa"/>
          </w:tcPr>
          <w:p w14:paraId="7CE8DD41">
            <w:pPr>
              <w:snapToGrid w:val="0"/>
              <w:spacing w:line="240" w:lineRule="auto"/>
              <w:rPr>
                <w:sz w:val="18"/>
                <w:szCs w:val="18"/>
              </w:rPr>
            </w:pPr>
          </w:p>
        </w:tc>
        <w:tc>
          <w:tcPr>
            <w:tcW w:w="1522" w:type="dxa"/>
          </w:tcPr>
          <w:p w14:paraId="0C7D0A44">
            <w:pPr>
              <w:snapToGrid w:val="0"/>
              <w:spacing w:line="240" w:lineRule="auto"/>
              <w:rPr>
                <w:sz w:val="18"/>
                <w:szCs w:val="18"/>
              </w:rPr>
            </w:pPr>
          </w:p>
        </w:tc>
        <w:tc>
          <w:tcPr>
            <w:tcW w:w="2243" w:type="dxa"/>
          </w:tcPr>
          <w:p w14:paraId="33FF8BBA">
            <w:pPr>
              <w:snapToGrid w:val="0"/>
              <w:spacing w:line="240" w:lineRule="auto"/>
              <w:rPr>
                <w:sz w:val="18"/>
                <w:szCs w:val="18"/>
              </w:rPr>
            </w:pPr>
          </w:p>
        </w:tc>
      </w:tr>
      <w:tr w14:paraId="267A1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323178E7">
            <w:pPr>
              <w:snapToGrid w:val="0"/>
              <w:spacing w:line="240" w:lineRule="auto"/>
              <w:rPr>
                <w:sz w:val="18"/>
                <w:szCs w:val="18"/>
              </w:rPr>
            </w:pPr>
            <w:r>
              <w:rPr>
                <w:sz w:val="18"/>
                <w:szCs w:val="18"/>
              </w:rPr>
              <w:t>三乙胺</w:t>
            </w:r>
          </w:p>
        </w:tc>
        <w:tc>
          <w:tcPr>
            <w:tcW w:w="1762" w:type="dxa"/>
          </w:tcPr>
          <w:p w14:paraId="2EF7F994">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.0054</w:t>
            </w:r>
          </w:p>
        </w:tc>
        <w:tc>
          <w:tcPr>
            <w:tcW w:w="1640" w:type="dxa"/>
          </w:tcPr>
          <w:p w14:paraId="7A2E7D6D">
            <w:pPr>
              <w:snapToGrid w:val="0"/>
              <w:spacing w:line="240" w:lineRule="auto"/>
              <w:rPr>
                <w:sz w:val="18"/>
                <w:szCs w:val="18"/>
              </w:rPr>
            </w:pPr>
          </w:p>
        </w:tc>
        <w:tc>
          <w:tcPr>
            <w:tcW w:w="1522" w:type="dxa"/>
          </w:tcPr>
          <w:p w14:paraId="648EB68E">
            <w:pPr>
              <w:snapToGrid w:val="0"/>
              <w:spacing w:line="240" w:lineRule="auto"/>
              <w:rPr>
                <w:sz w:val="18"/>
                <w:szCs w:val="18"/>
              </w:rPr>
            </w:pPr>
          </w:p>
        </w:tc>
        <w:tc>
          <w:tcPr>
            <w:tcW w:w="2243" w:type="dxa"/>
          </w:tcPr>
          <w:p w14:paraId="51FE5E72">
            <w:pPr>
              <w:snapToGrid w:val="0"/>
              <w:spacing w:line="240" w:lineRule="auto"/>
              <w:rPr>
                <w:sz w:val="18"/>
                <w:szCs w:val="18"/>
              </w:rPr>
            </w:pPr>
          </w:p>
        </w:tc>
      </w:tr>
      <w:tr w14:paraId="1837A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347A1131">
            <w:pPr>
              <w:snapToGrid w:val="0"/>
              <w:spacing w:line="240" w:lineRule="auto"/>
              <w:rPr>
                <w:sz w:val="18"/>
                <w:szCs w:val="18"/>
              </w:rPr>
            </w:pPr>
            <w:r>
              <w:rPr>
                <w:sz w:val="18"/>
                <w:szCs w:val="18"/>
              </w:rPr>
              <w:t>苯胺</w:t>
            </w:r>
          </w:p>
        </w:tc>
        <w:tc>
          <w:tcPr>
            <w:tcW w:w="1762" w:type="dxa"/>
          </w:tcPr>
          <w:p w14:paraId="49F254AD">
            <w:pPr>
              <w:pStyle w:val="228"/>
              <w:snapToGrid w:val="0"/>
              <w:jc w:val="both"/>
              <w:rPr>
                <w:rFonts w:asciiTheme="minorHAnsi" w:eastAsiaTheme="minorEastAsia" w:cstheme="minorBidi"/>
                <w:color w:val="auto"/>
                <w:kern w:val="2"/>
                <w:sz w:val="18"/>
                <w:szCs w:val="18"/>
              </w:rPr>
            </w:pPr>
            <w:r>
              <w:rPr>
                <w:rFonts w:hint="eastAsia" w:asciiTheme="minorHAnsi" w:eastAsiaTheme="minorEastAsia" w:cstheme="minorBidi"/>
                <w:color w:val="auto"/>
                <w:kern w:val="2"/>
                <w:sz w:val="18"/>
                <w:szCs w:val="18"/>
              </w:rPr>
              <w:t>0</w:t>
            </w:r>
            <w:r>
              <w:rPr>
                <w:rFonts w:asciiTheme="minorHAnsi" w:eastAsiaTheme="minorEastAsia" w:cstheme="minorBidi"/>
                <w:color w:val="auto"/>
                <w:kern w:val="2"/>
                <w:sz w:val="18"/>
                <w:szCs w:val="18"/>
              </w:rPr>
              <w:t>.676</w:t>
            </w:r>
          </w:p>
        </w:tc>
        <w:tc>
          <w:tcPr>
            <w:tcW w:w="1640" w:type="dxa"/>
          </w:tcPr>
          <w:p w14:paraId="70A73C73">
            <w:pPr>
              <w:snapToGrid w:val="0"/>
              <w:spacing w:line="240" w:lineRule="auto"/>
              <w:rPr>
                <w:sz w:val="18"/>
                <w:szCs w:val="18"/>
              </w:rPr>
            </w:pPr>
          </w:p>
        </w:tc>
        <w:tc>
          <w:tcPr>
            <w:tcW w:w="1522" w:type="dxa"/>
          </w:tcPr>
          <w:p w14:paraId="5AC6EC2E">
            <w:pPr>
              <w:snapToGrid w:val="0"/>
              <w:spacing w:line="240" w:lineRule="auto"/>
              <w:rPr>
                <w:sz w:val="18"/>
                <w:szCs w:val="18"/>
              </w:rPr>
            </w:pPr>
          </w:p>
        </w:tc>
        <w:tc>
          <w:tcPr>
            <w:tcW w:w="2243" w:type="dxa"/>
          </w:tcPr>
          <w:p w14:paraId="1C5F89D6">
            <w:pPr>
              <w:snapToGrid w:val="0"/>
              <w:spacing w:line="240" w:lineRule="auto"/>
              <w:rPr>
                <w:sz w:val="18"/>
                <w:szCs w:val="18"/>
              </w:rPr>
            </w:pPr>
          </w:p>
        </w:tc>
      </w:tr>
      <w:tr w14:paraId="50948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29" w:type="dxa"/>
          </w:tcPr>
          <w:p w14:paraId="2A954047">
            <w:pPr>
              <w:snapToGrid w:val="0"/>
              <w:spacing w:line="240" w:lineRule="auto"/>
              <w:rPr>
                <w:sz w:val="18"/>
                <w:szCs w:val="18"/>
              </w:rPr>
            </w:pPr>
          </w:p>
        </w:tc>
        <w:tc>
          <w:tcPr>
            <w:tcW w:w="1762" w:type="dxa"/>
          </w:tcPr>
          <w:p w14:paraId="3ACFB1B8">
            <w:pPr>
              <w:pStyle w:val="228"/>
              <w:snapToGrid w:val="0"/>
              <w:jc w:val="both"/>
              <w:rPr>
                <w:rFonts w:asciiTheme="minorHAnsi" w:eastAsiaTheme="minorEastAsia" w:cstheme="minorBidi"/>
                <w:color w:val="auto"/>
                <w:kern w:val="2"/>
                <w:sz w:val="18"/>
                <w:szCs w:val="18"/>
              </w:rPr>
            </w:pPr>
          </w:p>
        </w:tc>
        <w:tc>
          <w:tcPr>
            <w:tcW w:w="1640" w:type="dxa"/>
          </w:tcPr>
          <w:p w14:paraId="4CE1B616">
            <w:pPr>
              <w:snapToGrid w:val="0"/>
              <w:spacing w:line="240" w:lineRule="auto"/>
              <w:rPr>
                <w:sz w:val="18"/>
                <w:szCs w:val="18"/>
              </w:rPr>
            </w:pPr>
          </w:p>
        </w:tc>
        <w:tc>
          <w:tcPr>
            <w:tcW w:w="1522" w:type="dxa"/>
          </w:tcPr>
          <w:p w14:paraId="0A134675">
            <w:pPr>
              <w:snapToGrid w:val="0"/>
              <w:spacing w:line="240" w:lineRule="auto"/>
              <w:rPr>
                <w:sz w:val="18"/>
                <w:szCs w:val="18"/>
              </w:rPr>
            </w:pPr>
          </w:p>
        </w:tc>
        <w:tc>
          <w:tcPr>
            <w:tcW w:w="2243" w:type="dxa"/>
          </w:tcPr>
          <w:p w14:paraId="2082AF87">
            <w:pPr>
              <w:snapToGrid w:val="0"/>
              <w:spacing w:line="240" w:lineRule="auto"/>
              <w:rPr>
                <w:sz w:val="18"/>
                <w:szCs w:val="18"/>
              </w:rPr>
            </w:pPr>
          </w:p>
        </w:tc>
      </w:tr>
    </w:tbl>
    <w:p w14:paraId="7E56985E">
      <w:pPr>
        <w:pStyle w:val="56"/>
        <w:ind w:firstLine="420"/>
      </w:pPr>
    </w:p>
    <w:p w14:paraId="5012C3E3">
      <w:pPr>
        <w:pStyle w:val="56"/>
        <w:ind w:firstLine="420"/>
      </w:pPr>
    </w:p>
    <w:p w14:paraId="7DDC2F08">
      <w:pPr>
        <w:widowControl/>
        <w:adjustRightInd/>
        <w:spacing w:line="240" w:lineRule="auto"/>
        <w:jc w:val="left"/>
        <w:rPr>
          <w:rFonts w:ascii="黑体" w:hAnsi="Times New Roman" w:eastAsia="黑体"/>
          <w:kern w:val="0"/>
          <w:szCs w:val="20"/>
        </w:rPr>
      </w:pPr>
      <w:r>
        <w:br w:type="page"/>
      </w:r>
    </w:p>
    <w:p w14:paraId="43ADC87D">
      <w:pPr>
        <w:pStyle w:val="76"/>
        <w:spacing w:before="78" w:after="156"/>
      </w:pPr>
      <w:r>
        <w:br w:type="textWrapping"/>
      </w:r>
      <w:bookmarkStart w:id="281" w:name="_Toc149654176"/>
      <w:r>
        <w:rPr>
          <w:rFonts w:hint="eastAsia"/>
        </w:rPr>
        <w:t>（资料性）</w:t>
      </w:r>
      <w:r>
        <w:br w:type="textWrapping"/>
      </w:r>
      <w:r>
        <w:rPr>
          <w:rFonts w:hint="eastAsia"/>
        </w:rPr>
        <w:t>制药工业大气污染防治可行技术</w:t>
      </w:r>
      <w:bookmarkEnd w:id="281"/>
    </w:p>
    <w:p w14:paraId="34CD39F2">
      <w:pPr>
        <w:pStyle w:val="56"/>
        <w:ind w:left="0" w:leftChars="0" w:firstLine="0" w:firstLineChars="0"/>
      </w:pPr>
      <w:r>
        <w:drawing>
          <wp:inline distT="0" distB="0" distL="0" distR="0">
            <wp:extent cx="5939790" cy="3366770"/>
            <wp:effectExtent l="0" t="0" r="381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3"/>
                    <a:stretch>
                      <a:fillRect/>
                    </a:stretch>
                  </pic:blipFill>
                  <pic:spPr>
                    <a:xfrm>
                      <a:off x="0" y="0"/>
                      <a:ext cx="5939790" cy="3366770"/>
                    </a:xfrm>
                    <a:prstGeom prst="rect">
                      <a:avLst/>
                    </a:prstGeom>
                  </pic:spPr>
                </pic:pic>
              </a:graphicData>
            </a:graphic>
          </wp:inline>
        </w:drawing>
      </w:r>
    </w:p>
    <w:p w14:paraId="363EB784">
      <w:pPr>
        <w:pStyle w:val="56"/>
        <w:ind w:firstLine="420"/>
      </w:pPr>
    </w:p>
    <w:p w14:paraId="02C50A2B">
      <w:pPr>
        <w:pStyle w:val="56"/>
        <w:ind w:firstLine="420"/>
      </w:pPr>
      <w:bookmarkStart w:id="289" w:name="_GoBack"/>
      <w:bookmarkEnd w:id="289"/>
    </w:p>
    <w:p w14:paraId="33F5DAE6">
      <w:pPr>
        <w:widowControl/>
        <w:adjustRightInd/>
        <w:spacing w:line="240" w:lineRule="auto"/>
        <w:jc w:val="left"/>
        <w:rPr>
          <w:rFonts w:ascii="黑体" w:hAnsi="Times New Roman" w:eastAsia="黑体"/>
          <w:kern w:val="0"/>
          <w:szCs w:val="20"/>
        </w:rPr>
      </w:pPr>
      <w:r>
        <w:br w:type="page"/>
      </w:r>
    </w:p>
    <w:p w14:paraId="284FFDAA">
      <w:pPr>
        <w:pStyle w:val="76"/>
        <w:spacing w:before="78" w:after="156"/>
      </w:pPr>
      <w:r>
        <w:br w:type="textWrapping"/>
      </w:r>
      <w:bookmarkStart w:id="282" w:name="_Toc149654177"/>
      <w:r>
        <w:rPr>
          <w:rFonts w:hint="eastAsia"/>
        </w:rPr>
        <w:t>（资料性）</w:t>
      </w:r>
      <w:r>
        <w:br w:type="textWrapping"/>
      </w:r>
      <w:r>
        <w:rPr>
          <w:rFonts w:hint="eastAsia"/>
        </w:rPr>
        <w:t>综合环境效益评价技术</w:t>
      </w:r>
      <w:bookmarkEnd w:id="282"/>
    </w:p>
    <w:p w14:paraId="50BF698C">
      <w:pPr>
        <w:snapToGrid w:val="0"/>
        <w:spacing w:line="300" w:lineRule="auto"/>
        <w:ind w:firstLine="480" w:firstLineChars="200"/>
        <w:rPr>
          <w:color w:val="000000"/>
          <w:sz w:val="24"/>
        </w:rPr>
      </w:pPr>
      <w:r>
        <w:rPr>
          <w:rFonts w:hint="eastAsia"/>
          <w:color w:val="000000"/>
          <w:sz w:val="24"/>
        </w:rPr>
        <w:t>综合环境效益评价方法如图</w:t>
      </w:r>
      <w:r>
        <w:rPr>
          <w:color w:val="000000"/>
          <w:sz w:val="24"/>
        </w:rPr>
        <w:t>C</w:t>
      </w:r>
      <w:r>
        <w:rPr>
          <w:rFonts w:hint="eastAsia"/>
          <w:color w:val="000000"/>
          <w:sz w:val="24"/>
        </w:rPr>
        <w:t>.1所示，由人体毒性生成潜势、全球变暖潜势、水生毒性生成潜势、酸雨潜势、富营化潜势、臭氧消耗潜势和光化学臭氧生成潜势这7个生成潜势来表征。</w:t>
      </w:r>
    </w:p>
    <w:p w14:paraId="5A40F474">
      <w:pPr>
        <w:snapToGrid w:val="0"/>
        <w:spacing w:line="300" w:lineRule="auto"/>
        <w:jc w:val="center"/>
        <w:rPr>
          <w:color w:val="000000"/>
          <w:sz w:val="24"/>
        </w:rPr>
      </w:pPr>
      <w:r>
        <w:rPr>
          <w:color w:val="000000"/>
          <w:sz w:val="24"/>
        </w:rPr>
        <w:drawing>
          <wp:inline distT="0" distB="0" distL="0" distR="0">
            <wp:extent cx="4676775" cy="2933700"/>
            <wp:effectExtent l="0" t="0" r="9525" b="0"/>
            <wp:docPr id="8" name="图片 8" descr="跨介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跨介质"/>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676775" cy="2933700"/>
                    </a:xfrm>
                    <a:prstGeom prst="rect">
                      <a:avLst/>
                    </a:prstGeom>
                    <a:noFill/>
                    <a:ln>
                      <a:noFill/>
                    </a:ln>
                  </pic:spPr>
                </pic:pic>
              </a:graphicData>
            </a:graphic>
          </wp:inline>
        </w:drawing>
      </w:r>
    </w:p>
    <w:p w14:paraId="08EEE2C1">
      <w:pPr>
        <w:snapToGrid w:val="0"/>
        <w:spacing w:line="300" w:lineRule="auto"/>
        <w:jc w:val="center"/>
        <w:rPr>
          <w:b/>
        </w:rPr>
      </w:pPr>
      <w:r>
        <w:rPr>
          <w:rFonts w:hint="eastAsia"/>
          <w:b/>
        </w:rPr>
        <w:t>图</w:t>
      </w:r>
      <w:r>
        <w:rPr>
          <w:b/>
        </w:rPr>
        <w:t>C</w:t>
      </w:r>
      <w:r>
        <w:rPr>
          <w:rFonts w:hint="eastAsia"/>
          <w:b/>
        </w:rPr>
        <w:t>.1  跨介质环境污染贡献体系</w:t>
      </w:r>
    </w:p>
    <w:p w14:paraId="4F7DCD12">
      <w:pPr>
        <w:snapToGrid w:val="0"/>
        <w:spacing w:line="300" w:lineRule="auto"/>
        <w:ind w:firstLine="480" w:firstLineChars="200"/>
        <w:rPr>
          <w:color w:val="000000"/>
          <w:sz w:val="24"/>
        </w:rPr>
      </w:pPr>
      <w:r>
        <w:rPr>
          <w:rFonts w:hint="eastAsia"/>
          <w:color w:val="000000"/>
          <w:sz w:val="24"/>
        </w:rPr>
        <w:t>在核算时，可采用两种不同的方法来计算各种跨介质的影响。在评估全球变暖、酸雨、富营养化、臭氧损耗和大气光化学反应（臭氧生成潜能）等环境影响时，可通过使用“放大系数”（multiplication factors）将各种污染物转换为一种当量参考物质（equivalent reference substance）。在评估人体毒性和生物毒性时，用各污染因子排放量（质量）除以该污染因子的毒性阈值，毒性阈值是指某种污染因子向大气或水体的排放量达到能引起超出机体平衡限度生物变化的最小暴露水平或计量，也可以用某种污染因子稀释至安全水平所需的空气或水的体积当量表示。</w:t>
      </w:r>
    </w:p>
    <w:p w14:paraId="283105E8">
      <w:pPr>
        <w:pStyle w:val="5"/>
        <w:spacing w:before="0" w:after="0" w:line="240" w:lineRule="auto"/>
        <w:rPr>
          <w:sz w:val="24"/>
          <w:szCs w:val="24"/>
        </w:rPr>
      </w:pPr>
      <w:r>
        <w:rPr>
          <w:sz w:val="24"/>
          <w:szCs w:val="24"/>
        </w:rPr>
        <w:t>C.1  指标体系</w:t>
      </w:r>
    </w:p>
    <w:p w14:paraId="7BBC4B00">
      <w:pPr>
        <w:pStyle w:val="5"/>
        <w:spacing w:before="0" w:after="0" w:line="240" w:lineRule="auto"/>
        <w:rPr>
          <w:sz w:val="24"/>
          <w:szCs w:val="24"/>
        </w:rPr>
      </w:pPr>
      <w:r>
        <w:rPr>
          <w:sz w:val="24"/>
          <w:szCs w:val="24"/>
        </w:rPr>
        <w:t xml:space="preserve">C.1.1  </w:t>
      </w:r>
      <w:r>
        <w:rPr>
          <w:rFonts w:hint="eastAsia"/>
          <w:sz w:val="24"/>
          <w:szCs w:val="24"/>
        </w:rPr>
        <w:t>光化学臭氧生成潜势评估</w:t>
      </w:r>
    </w:p>
    <w:p w14:paraId="01964846"/>
    <w:p w14:paraId="7D5F4FE9">
      <w:pPr>
        <w:snapToGrid w:val="0"/>
        <w:spacing w:line="300" w:lineRule="auto"/>
        <w:ind w:firstLine="480" w:firstLineChars="200"/>
        <w:rPr>
          <w:color w:val="000000"/>
          <w:sz w:val="24"/>
        </w:rPr>
      </w:pPr>
      <w:r>
        <w:rPr>
          <w:rFonts w:hint="eastAsia"/>
          <w:color w:val="000000"/>
          <w:sz w:val="24"/>
        </w:rPr>
        <w:t>一些挥发性有机物臭氧生成潜势取决于他们的结构与反应，为了评估释放不同污染物对于臭氧生成的作用，采用光化学生成潜势（POCP）的概念。POCP用kg乙烯当量来表示。计算公式见</w:t>
      </w:r>
      <w:r>
        <w:rPr>
          <w:color w:val="000000"/>
          <w:sz w:val="24"/>
        </w:rPr>
        <w:t>C</w:t>
      </w:r>
      <w:r>
        <w:rPr>
          <w:rFonts w:hint="eastAsia"/>
          <w:color w:val="000000"/>
          <w:sz w:val="24"/>
        </w:rPr>
        <w:t>-1。</w:t>
      </w:r>
    </w:p>
    <w:p w14:paraId="4C899D79">
      <w:pPr>
        <w:wordWrap w:val="0"/>
        <w:snapToGrid w:val="0"/>
        <w:spacing w:line="300" w:lineRule="auto"/>
        <w:jc w:val="right"/>
        <w:rPr>
          <w:sz w:val="24"/>
        </w:rPr>
      </w:pPr>
      <w:r>
        <w:rPr>
          <w:rFonts w:hint="eastAsia"/>
          <w:color w:val="000000"/>
          <w:position w:val="-16"/>
          <w:sz w:val="24"/>
        </w:rPr>
        <w:object>
          <v:shape id="_x0000_i1025" o:spt="75" type="#_x0000_t75" style="height:21pt;width:266.1pt;" o:ole="t" filled="f" o:preferrelative="t" stroked="f" coordsize="21600,21600">
            <v:path/>
            <v:fill on="f" focussize="0,0"/>
            <v:stroke on="f" joinstyle="miter"/>
            <v:imagedata r:id="rId36" o:title=""/>
            <o:lock v:ext="edit" aspectratio="t"/>
            <w10:wrap type="none"/>
            <w10:anchorlock/>
          </v:shape>
          <o:OLEObject Type="Embed" ProgID="Equation.KSEE3" ShapeID="_x0000_i1025" DrawAspect="Content" ObjectID="_1468075725" r:id="rId35">
            <o:LockedField>false</o:LockedField>
          </o:OLEObject>
        </w:object>
      </w:r>
      <w:r>
        <w:rPr>
          <w:sz w:val="24"/>
        </w:rPr>
        <w:t xml:space="preserve">     </w:t>
      </w:r>
      <w:r>
        <w:rPr>
          <w:rFonts w:hint="eastAsia"/>
          <w:sz w:val="24"/>
        </w:rPr>
        <w:t xml:space="preserve">   </w:t>
      </w:r>
      <w:r>
        <w:rPr>
          <w:sz w:val="24"/>
        </w:rPr>
        <w:t xml:space="preserve">  </w:t>
      </w:r>
      <w:r>
        <w:rPr>
          <w:rFonts w:hint="eastAsia"/>
          <w:sz w:val="24"/>
        </w:rPr>
        <w:t>（</w:t>
      </w:r>
      <w:r>
        <w:rPr>
          <w:sz w:val="24"/>
        </w:rPr>
        <w:t>C</w:t>
      </w:r>
      <w:r>
        <w:rPr>
          <w:rFonts w:hint="eastAsia"/>
          <w:sz w:val="24"/>
        </w:rPr>
        <w:t>-1）</w:t>
      </w:r>
    </w:p>
    <w:p w14:paraId="566B0BB0">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2</w:t>
      </w:r>
      <w:r>
        <w:rPr>
          <w:sz w:val="24"/>
          <w:szCs w:val="24"/>
        </w:rPr>
        <w:t xml:space="preserve">  </w:t>
      </w:r>
      <w:r>
        <w:rPr>
          <w:rFonts w:hint="eastAsia"/>
          <w:sz w:val="24"/>
          <w:szCs w:val="24"/>
        </w:rPr>
        <w:t>人体毒性潜势评估</w:t>
      </w:r>
    </w:p>
    <w:p w14:paraId="63AC4BE2">
      <w:pPr>
        <w:snapToGrid w:val="0"/>
        <w:spacing w:line="300" w:lineRule="auto"/>
        <w:ind w:firstLine="480" w:firstLineChars="200"/>
        <w:rPr>
          <w:color w:val="000000"/>
          <w:sz w:val="24"/>
        </w:rPr>
      </w:pPr>
      <w:r>
        <w:rPr>
          <w:rFonts w:hint="eastAsia"/>
          <w:color w:val="000000"/>
          <w:sz w:val="24"/>
        </w:rPr>
        <w:t>对于任何VOCs处理工艺而言，消除或者使VOCs对人体的毒性影响最小化都是优先考虑的问题。在一些在</w:t>
      </w:r>
      <w:r>
        <w:rPr>
          <w:color w:val="000000"/>
          <w:sz w:val="24"/>
        </w:rPr>
        <w:t>某</w:t>
      </w:r>
      <w:r>
        <w:rPr>
          <w:rFonts w:hint="eastAsia"/>
          <w:color w:val="000000"/>
          <w:sz w:val="24"/>
        </w:rPr>
        <w:t>项</w:t>
      </w:r>
      <w:r>
        <w:rPr>
          <w:color w:val="000000"/>
          <w:sz w:val="24"/>
        </w:rPr>
        <w:t>技术的运行过程中，潜在的人体毒性</w:t>
      </w:r>
      <w:r>
        <w:rPr>
          <w:rFonts w:hint="eastAsia"/>
          <w:color w:val="000000"/>
          <w:sz w:val="24"/>
        </w:rPr>
        <w:t>取决于所</w:t>
      </w:r>
      <w:r>
        <w:rPr>
          <w:color w:val="000000"/>
          <w:sz w:val="24"/>
        </w:rPr>
        <w:t>排放的化学物质对人体的毒性</w:t>
      </w:r>
      <w:r>
        <w:rPr>
          <w:rFonts w:hint="eastAsia"/>
          <w:color w:val="000000"/>
          <w:sz w:val="24"/>
        </w:rPr>
        <w:t>，为了比较处理装置处理前后产生的化学物质对人体的毒性影响，故用人体毒性潜势（HTPs）来表示</w:t>
      </w:r>
      <w:r>
        <w:rPr>
          <w:color w:val="000000"/>
          <w:sz w:val="24"/>
        </w:rPr>
        <w:t>。</w:t>
      </w:r>
      <w:r>
        <w:rPr>
          <w:rFonts w:hint="eastAsia"/>
          <w:color w:val="000000"/>
          <w:sz w:val="24"/>
        </w:rPr>
        <w:t>HTPs用千克铅当量来表示。计算公式见</w:t>
      </w:r>
      <w:r>
        <w:rPr>
          <w:color w:val="000000"/>
          <w:sz w:val="24"/>
        </w:rPr>
        <w:t>C</w:t>
      </w:r>
      <w:r>
        <w:rPr>
          <w:rFonts w:hint="eastAsia"/>
          <w:color w:val="000000"/>
          <w:sz w:val="24"/>
        </w:rPr>
        <w:t>-2。</w:t>
      </w:r>
    </w:p>
    <w:p w14:paraId="63E7FAFC">
      <w:pPr>
        <w:snapToGrid w:val="0"/>
        <w:spacing w:line="300" w:lineRule="auto"/>
        <w:ind w:firstLine="480" w:firstLineChars="200"/>
        <w:jc w:val="right"/>
        <w:rPr>
          <w:color w:val="000000"/>
          <w:sz w:val="24"/>
        </w:rPr>
      </w:pPr>
      <w:r>
        <w:rPr>
          <w:rFonts w:hint="eastAsia"/>
          <w:color w:val="000000"/>
          <w:position w:val="-26"/>
          <w:sz w:val="24"/>
        </w:rPr>
        <w:object>
          <v:shape id="_x0000_i1026" o:spt="75" type="#_x0000_t75" style="height:33pt;width:282.9pt;" o:ole="t" filled="f" o:preferrelative="t" stroked="f" coordsize="21600,21600">
            <v:path/>
            <v:fill on="f" focussize="0,0"/>
            <v:stroke on="f" joinstyle="miter"/>
            <v:imagedata r:id="rId38" o:title=""/>
            <o:lock v:ext="edit" aspectratio="t"/>
            <w10:wrap type="none"/>
            <w10:anchorlock/>
          </v:shape>
          <o:OLEObject Type="Embed" ProgID="Equation.KSEE3" ShapeID="_x0000_i1026" DrawAspect="Content" ObjectID="_1468075726" r:id="rId37">
            <o:LockedField>false</o:LockedField>
          </o:OLEObject>
        </w:object>
      </w:r>
      <w:r>
        <w:rPr>
          <w:sz w:val="24"/>
        </w:rPr>
        <w:t xml:space="preserve">    </w:t>
      </w:r>
      <w:r>
        <w:rPr>
          <w:rFonts w:hint="eastAsia"/>
          <w:sz w:val="24"/>
        </w:rPr>
        <w:t xml:space="preserve"> </w:t>
      </w:r>
      <w:r>
        <w:rPr>
          <w:sz w:val="24"/>
        </w:rPr>
        <w:t xml:space="preserve"> </w:t>
      </w:r>
      <w:r>
        <w:rPr>
          <w:rFonts w:hint="eastAsia"/>
          <w:sz w:val="24"/>
        </w:rPr>
        <w:t xml:space="preserve">   </w:t>
      </w:r>
      <w:r>
        <w:rPr>
          <w:sz w:val="24"/>
        </w:rPr>
        <w:t xml:space="preserve">  </w:t>
      </w:r>
      <w:r>
        <w:rPr>
          <w:rFonts w:hint="eastAsia"/>
          <w:sz w:val="24"/>
        </w:rPr>
        <w:t>（</w:t>
      </w:r>
      <w:r>
        <w:rPr>
          <w:sz w:val="24"/>
        </w:rPr>
        <w:t>C</w:t>
      </w:r>
      <w:r>
        <w:rPr>
          <w:rFonts w:hint="eastAsia"/>
          <w:sz w:val="24"/>
        </w:rPr>
        <w:t>-2）</w:t>
      </w:r>
    </w:p>
    <w:p w14:paraId="5594863D">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3  全球变暖潜势评估</w:t>
      </w:r>
    </w:p>
    <w:p w14:paraId="3DEEB331">
      <w:pPr>
        <w:snapToGrid w:val="0"/>
        <w:spacing w:line="300" w:lineRule="auto"/>
        <w:ind w:firstLine="480" w:firstLineChars="200"/>
        <w:rPr>
          <w:color w:val="000000"/>
          <w:sz w:val="24"/>
        </w:rPr>
      </w:pPr>
      <w:r>
        <w:rPr>
          <w:rFonts w:hint="eastAsia"/>
          <w:color w:val="000000"/>
          <w:sz w:val="24"/>
        </w:rPr>
        <w:t>“温室效应”是指随着温室气体在大气环境中日益增多，太阳能量停留在大气中对于环境造成的影响。全球变暖会带来多方面的影响，考过全球气温升高、海平面上升等。全球</w:t>
      </w:r>
      <w:r>
        <w:rPr>
          <w:color w:val="000000"/>
          <w:sz w:val="24"/>
        </w:rPr>
        <w:t>变暖潜势（</w:t>
      </w:r>
      <w:r>
        <w:rPr>
          <w:rFonts w:hint="eastAsia"/>
          <w:color w:val="000000"/>
          <w:sz w:val="24"/>
        </w:rPr>
        <w:t>GWPs</w:t>
      </w:r>
      <w:r>
        <w:rPr>
          <w:color w:val="000000"/>
          <w:sz w:val="24"/>
        </w:rPr>
        <w:t>）</w:t>
      </w:r>
      <w:r>
        <w:rPr>
          <w:rFonts w:hint="eastAsia"/>
          <w:color w:val="000000"/>
          <w:sz w:val="24"/>
        </w:rPr>
        <w:t>指排放1kg某</w:t>
      </w:r>
      <w:r>
        <w:rPr>
          <w:color w:val="000000"/>
          <w:sz w:val="24"/>
        </w:rPr>
        <w:t>温室气体</w:t>
      </w:r>
      <w:r>
        <w:rPr>
          <w:rFonts w:hint="eastAsia"/>
          <w:color w:val="000000"/>
          <w:sz w:val="24"/>
        </w:rPr>
        <w:t>的</w:t>
      </w:r>
      <w:r>
        <w:rPr>
          <w:color w:val="000000"/>
          <w:sz w:val="24"/>
        </w:rPr>
        <w:t>排放对全球</w:t>
      </w:r>
      <w:r>
        <w:rPr>
          <w:rFonts w:hint="eastAsia"/>
          <w:color w:val="000000"/>
          <w:sz w:val="24"/>
        </w:rPr>
        <w:t>变暖</w:t>
      </w:r>
      <w:r>
        <w:rPr>
          <w:color w:val="000000"/>
          <w:sz w:val="24"/>
        </w:rPr>
        <w:t>的贡献</w:t>
      </w:r>
      <w:r>
        <w:rPr>
          <w:rFonts w:hint="eastAsia"/>
          <w:color w:val="000000"/>
          <w:sz w:val="24"/>
        </w:rPr>
        <w:t>与排放1kgCO</w:t>
      </w:r>
      <w:r>
        <w:rPr>
          <w:rFonts w:hint="eastAsia"/>
          <w:color w:val="000000"/>
          <w:sz w:val="24"/>
          <w:vertAlign w:val="subscript"/>
        </w:rPr>
        <w:t>2</w:t>
      </w:r>
      <w:r>
        <w:rPr>
          <w:rFonts w:hint="eastAsia"/>
          <w:color w:val="000000"/>
          <w:sz w:val="24"/>
        </w:rPr>
        <w:t>对全球变暖贡献相比所得到的指数</w:t>
      </w:r>
      <w:r>
        <w:rPr>
          <w:color w:val="000000"/>
          <w:sz w:val="24"/>
        </w:rPr>
        <w:t>（</w:t>
      </w:r>
      <w:r>
        <w:rPr>
          <w:rFonts w:hint="eastAsia"/>
          <w:color w:val="000000"/>
          <w:sz w:val="24"/>
        </w:rPr>
        <w:t>GW</w:t>
      </w:r>
      <w:r>
        <w:rPr>
          <w:color w:val="000000"/>
          <w:sz w:val="24"/>
        </w:rPr>
        <w:t>Ps</w:t>
      </w:r>
      <w:r>
        <w:rPr>
          <w:rFonts w:hint="eastAsia"/>
          <w:color w:val="000000"/>
          <w:sz w:val="24"/>
        </w:rPr>
        <w:t>以</w:t>
      </w:r>
      <w:r>
        <w:rPr>
          <w:color w:val="000000"/>
          <w:sz w:val="24"/>
        </w:rPr>
        <w:t>kg</w:t>
      </w:r>
      <w:r>
        <w:rPr>
          <w:rFonts w:hint="eastAsia"/>
          <w:color w:val="000000"/>
          <w:sz w:val="24"/>
        </w:rPr>
        <w:t xml:space="preserve"> </w:t>
      </w:r>
      <w:r>
        <w:rPr>
          <w:color w:val="000000"/>
          <w:sz w:val="24"/>
        </w:rPr>
        <w:t>CO</w:t>
      </w:r>
      <w:r>
        <w:rPr>
          <w:color w:val="000000"/>
          <w:sz w:val="24"/>
          <w:vertAlign w:val="subscript"/>
        </w:rPr>
        <w:t>2</w:t>
      </w:r>
      <w:r>
        <w:rPr>
          <w:rFonts w:hint="eastAsia"/>
          <w:color w:val="000000"/>
          <w:sz w:val="24"/>
        </w:rPr>
        <w:t>当量</w:t>
      </w:r>
      <w:r>
        <w:rPr>
          <w:color w:val="000000"/>
          <w:sz w:val="24"/>
        </w:rPr>
        <w:t>计）</w:t>
      </w:r>
      <w:r>
        <w:rPr>
          <w:rFonts w:hint="eastAsia"/>
          <w:color w:val="000000"/>
          <w:sz w:val="24"/>
        </w:rPr>
        <w:t>。计算公式见</w:t>
      </w:r>
      <w:r>
        <w:rPr>
          <w:color w:val="000000"/>
          <w:sz w:val="24"/>
        </w:rPr>
        <w:t>C</w:t>
      </w:r>
      <w:r>
        <w:rPr>
          <w:rFonts w:hint="eastAsia"/>
          <w:color w:val="000000"/>
          <w:sz w:val="24"/>
        </w:rPr>
        <w:t>-3。</w:t>
      </w:r>
    </w:p>
    <w:p w14:paraId="095D4143">
      <w:pPr>
        <w:snapToGrid w:val="0"/>
        <w:spacing w:line="300" w:lineRule="auto"/>
        <w:ind w:firstLine="480" w:firstLineChars="200"/>
        <w:jc w:val="right"/>
        <w:rPr>
          <w:sz w:val="24"/>
        </w:rPr>
      </w:pPr>
      <w:r>
        <w:rPr>
          <w:rFonts w:hint="eastAsia"/>
          <w:color w:val="000000"/>
          <w:position w:val="-16"/>
          <w:sz w:val="24"/>
        </w:rPr>
        <w:object>
          <v:shape id="_x0000_i1027" o:spt="75" type="#_x0000_t75" style="height:21pt;width:302.1pt;" o:ole="t" filled="f" o:preferrelative="t" stroked="f" coordsize="21600,21600">
            <v:path/>
            <v:fill on="f" focussize="0,0"/>
            <v:stroke on="f" joinstyle="miter"/>
            <v:imagedata r:id="rId40" o:title=""/>
            <o:lock v:ext="edit" aspectratio="t"/>
            <w10:wrap type="none"/>
            <w10:anchorlock/>
          </v:shape>
          <o:OLEObject Type="Embed" ProgID="Equation.KSEE3" ShapeID="_x0000_i1027" DrawAspect="Content" ObjectID="_1468075727" r:id="rId39">
            <o:LockedField>false</o:LockedField>
          </o:OLEObject>
        </w:object>
      </w:r>
      <w:r>
        <w:rPr>
          <w:sz w:val="24"/>
        </w:rPr>
        <w:t xml:space="preserve">     </w:t>
      </w:r>
      <w:r>
        <w:rPr>
          <w:rFonts w:hint="eastAsia"/>
          <w:sz w:val="24"/>
        </w:rPr>
        <w:t xml:space="preserve">   </w:t>
      </w:r>
      <w:r>
        <w:rPr>
          <w:sz w:val="24"/>
        </w:rPr>
        <w:t xml:space="preserve">  </w:t>
      </w:r>
      <w:r>
        <w:rPr>
          <w:rFonts w:hint="eastAsia"/>
          <w:sz w:val="24"/>
        </w:rPr>
        <w:t>（</w:t>
      </w:r>
      <w:r>
        <w:rPr>
          <w:sz w:val="24"/>
        </w:rPr>
        <w:t>C</w:t>
      </w:r>
      <w:r>
        <w:rPr>
          <w:rFonts w:hint="eastAsia"/>
          <w:sz w:val="24"/>
        </w:rPr>
        <w:t>-3）</w:t>
      </w:r>
    </w:p>
    <w:p w14:paraId="599D4E60">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4  水生毒性潜势评估</w:t>
      </w:r>
    </w:p>
    <w:p w14:paraId="02D4AB12">
      <w:pPr>
        <w:snapToGrid w:val="0"/>
        <w:spacing w:line="300" w:lineRule="auto"/>
        <w:ind w:firstLine="480" w:firstLineChars="200"/>
        <w:rPr>
          <w:color w:val="000000"/>
          <w:sz w:val="24"/>
        </w:rPr>
      </w:pPr>
      <w:r>
        <w:rPr>
          <w:rFonts w:hint="eastAsia"/>
          <w:color w:val="000000"/>
          <w:sz w:val="24"/>
        </w:rPr>
        <w:t>水生毒性潜势主要是为了评估排到水生环境的污染物对于水中生物毒性的评价，污染物的毒性效应可以通过污染物的“预测无效浓度”（PNEC）mg/L来表示，即达到检测不到毒性效应的浓度水平。通过将污染物排放量除以PNEC，就可以计算出该污染物稀释到低于PNEC阈值所需要的理论水量。计算公式见</w:t>
      </w:r>
      <w:r>
        <w:rPr>
          <w:color w:val="000000"/>
          <w:sz w:val="24"/>
        </w:rPr>
        <w:t>C</w:t>
      </w:r>
      <w:r>
        <w:rPr>
          <w:rFonts w:hint="eastAsia"/>
          <w:color w:val="000000"/>
          <w:sz w:val="24"/>
        </w:rPr>
        <w:t>-4。</w:t>
      </w:r>
    </w:p>
    <w:p w14:paraId="33B37E1F">
      <w:pPr>
        <w:snapToGrid w:val="0"/>
        <w:spacing w:line="300" w:lineRule="auto"/>
        <w:ind w:firstLine="480" w:firstLineChars="200"/>
        <w:jc w:val="right"/>
        <w:rPr>
          <w:color w:val="000000"/>
          <w:sz w:val="24"/>
        </w:rPr>
      </w:pPr>
      <w:r>
        <w:rPr>
          <w:color w:val="000000"/>
          <w:position w:val="-28"/>
          <w:sz w:val="24"/>
        </w:rPr>
        <w:object>
          <v:shape id="_x0000_i1028" o:spt="75" type="#_x0000_t75" style="height:35.1pt;width:353.1pt;" o:ole="t" filled="f" o:preferrelative="t" stroked="f" coordsize="21600,21600">
            <v:path/>
            <v:fill on="f" focussize="0,0"/>
            <v:stroke on="f" joinstyle="miter"/>
            <v:imagedata r:id="rId42" o:title=""/>
            <o:lock v:ext="edit" aspectratio="t"/>
            <w10:wrap type="none"/>
            <w10:anchorlock/>
          </v:shape>
          <o:OLEObject Type="Embed" ProgID="Equation.KSEE3" ShapeID="_x0000_i1028" DrawAspect="Content" ObjectID="_1468075728" r:id="rId41">
            <o:LockedField>false</o:LockedField>
          </o:OLEObject>
        </w:object>
      </w:r>
      <w:r>
        <w:rPr>
          <w:rFonts w:hint="eastAsia"/>
          <w:color w:val="000000"/>
          <w:sz w:val="24"/>
        </w:rPr>
        <w:t xml:space="preserve">    （</w:t>
      </w:r>
      <w:r>
        <w:rPr>
          <w:color w:val="000000"/>
          <w:sz w:val="24"/>
        </w:rPr>
        <w:t>C</w:t>
      </w:r>
      <w:r>
        <w:rPr>
          <w:rFonts w:hint="eastAsia"/>
          <w:color w:val="000000"/>
          <w:sz w:val="24"/>
        </w:rPr>
        <w:t>-4）</w:t>
      </w:r>
    </w:p>
    <w:p w14:paraId="07FA4807">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5  富营养化潜势评估</w:t>
      </w:r>
    </w:p>
    <w:p w14:paraId="27A9FA14">
      <w:pPr>
        <w:snapToGrid w:val="0"/>
        <w:spacing w:line="300" w:lineRule="auto"/>
        <w:ind w:firstLine="480" w:firstLineChars="200"/>
        <w:rPr>
          <w:color w:val="000000"/>
          <w:sz w:val="24"/>
        </w:rPr>
      </w:pPr>
      <w:r>
        <w:rPr>
          <w:rFonts w:hint="eastAsia"/>
          <w:color w:val="000000"/>
          <w:sz w:val="24"/>
        </w:rPr>
        <w:t>富营养化是由于氮、磷光合生物营养物质大量供给给水生态系统，从而引起的一种水质污染现象。富营养化潜势以千克 PO</w:t>
      </w:r>
      <w:r>
        <w:rPr>
          <w:rFonts w:hint="eastAsia"/>
          <w:color w:val="000000"/>
          <w:sz w:val="24"/>
          <w:vertAlign w:val="subscript"/>
        </w:rPr>
        <w:t>4</w:t>
      </w:r>
      <w:r>
        <w:rPr>
          <w:rFonts w:hint="eastAsia"/>
          <w:color w:val="000000"/>
          <w:sz w:val="24"/>
          <w:vertAlign w:val="superscript"/>
        </w:rPr>
        <w:t>3-</w:t>
      </w:r>
      <w:r>
        <w:rPr>
          <w:rFonts w:hint="eastAsia"/>
          <w:color w:val="000000"/>
          <w:sz w:val="24"/>
        </w:rPr>
        <w:t>当量表示。计算公式见</w:t>
      </w:r>
      <w:r>
        <w:rPr>
          <w:color w:val="000000"/>
          <w:sz w:val="24"/>
        </w:rPr>
        <w:t>C</w:t>
      </w:r>
      <w:r>
        <w:rPr>
          <w:rFonts w:hint="eastAsia"/>
          <w:color w:val="000000"/>
          <w:sz w:val="24"/>
        </w:rPr>
        <w:t>-5。</w:t>
      </w:r>
    </w:p>
    <w:p w14:paraId="3EEB9A52">
      <w:pPr>
        <w:snapToGrid w:val="0"/>
        <w:spacing w:line="300" w:lineRule="auto"/>
        <w:ind w:firstLine="480" w:firstLineChars="200"/>
        <w:jc w:val="right"/>
        <w:rPr>
          <w:color w:val="000000"/>
          <w:sz w:val="24"/>
        </w:rPr>
      </w:pPr>
      <w:r>
        <w:rPr>
          <w:rFonts w:hint="eastAsia"/>
          <w:color w:val="000000"/>
          <w:position w:val="-14"/>
          <w:sz w:val="24"/>
        </w:rPr>
        <w:object>
          <v:shape id="_x0000_i1029" o:spt="75" type="#_x0000_t75" style="height:20.1pt;width:309.9pt;" o:ole="t" filled="f" o:preferrelative="t" stroked="f" coordsize="21600,21600">
            <v:path/>
            <v:fill on="f" focussize="0,0"/>
            <v:stroke on="f" joinstyle="miter"/>
            <v:imagedata r:id="rId44" o:title=""/>
            <o:lock v:ext="edit" aspectratio="t"/>
            <w10:wrap type="none"/>
            <w10:anchorlock/>
          </v:shape>
          <o:OLEObject Type="Embed" ProgID="Equation.KSEE3" ShapeID="_x0000_i1029" DrawAspect="Content" ObjectID="_1468075729" r:id="rId43">
            <o:LockedField>false</o:LockedField>
          </o:OLEObject>
        </w:object>
      </w:r>
      <w:r>
        <w:rPr>
          <w:rFonts w:hint="eastAsia"/>
          <w:color w:val="000000"/>
          <w:sz w:val="24"/>
        </w:rPr>
        <w:t xml:space="preserve">       （</w:t>
      </w:r>
      <w:r>
        <w:rPr>
          <w:color w:val="000000"/>
          <w:sz w:val="24"/>
        </w:rPr>
        <w:t>C</w:t>
      </w:r>
      <w:r>
        <w:rPr>
          <w:rFonts w:hint="eastAsia"/>
          <w:color w:val="000000"/>
          <w:sz w:val="24"/>
        </w:rPr>
        <w:t>-5）</w:t>
      </w:r>
    </w:p>
    <w:p w14:paraId="6F8C1972">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6  酸雨潜势评估</w:t>
      </w:r>
    </w:p>
    <w:p w14:paraId="6CB92C90">
      <w:pPr>
        <w:snapToGrid w:val="0"/>
        <w:spacing w:line="300" w:lineRule="auto"/>
        <w:ind w:firstLine="480" w:firstLineChars="200"/>
        <w:rPr>
          <w:color w:val="000000"/>
          <w:sz w:val="24"/>
        </w:rPr>
      </w:pPr>
      <w:r>
        <w:rPr>
          <w:rFonts w:hint="eastAsia"/>
          <w:color w:val="000000"/>
          <w:sz w:val="24"/>
        </w:rPr>
        <w:t>酸雨是由空气中酸性气体形成的酸性沉积物，产生酸雨的主要气体为</w:t>
      </w:r>
      <w:r>
        <w:rPr>
          <w:rFonts w:hint="eastAsia"/>
          <w:sz w:val="24"/>
        </w:rPr>
        <w:t>二氧化硫、氨气和氮氧化物。为了研究酸雨潜势，可以通过将污染物转化为SO</w:t>
      </w:r>
      <w:r>
        <w:rPr>
          <w:rFonts w:hint="eastAsia"/>
          <w:sz w:val="24"/>
          <w:vertAlign w:val="subscript"/>
        </w:rPr>
        <w:t>2</w:t>
      </w:r>
      <w:r>
        <w:rPr>
          <w:rFonts w:hint="eastAsia"/>
          <w:sz w:val="24"/>
        </w:rPr>
        <w:t>当量来表征。</w:t>
      </w:r>
      <w:r>
        <w:rPr>
          <w:rFonts w:hint="eastAsia"/>
          <w:color w:val="000000"/>
          <w:sz w:val="24"/>
        </w:rPr>
        <w:t>酸雨潜势用千克</w:t>
      </w:r>
      <w:r>
        <w:rPr>
          <w:rFonts w:hint="eastAsia"/>
          <w:sz w:val="24"/>
        </w:rPr>
        <w:t>SO</w:t>
      </w:r>
      <w:r>
        <w:rPr>
          <w:rFonts w:hint="eastAsia"/>
          <w:sz w:val="24"/>
          <w:vertAlign w:val="subscript"/>
        </w:rPr>
        <w:t>2</w:t>
      </w:r>
      <w:r>
        <w:rPr>
          <w:rFonts w:hint="eastAsia"/>
          <w:color w:val="000000"/>
          <w:sz w:val="24"/>
        </w:rPr>
        <w:t>当量来表示。计算公式见</w:t>
      </w:r>
      <w:r>
        <w:rPr>
          <w:color w:val="000000"/>
          <w:sz w:val="24"/>
        </w:rPr>
        <w:t>C</w:t>
      </w:r>
      <w:r>
        <w:rPr>
          <w:rFonts w:hint="eastAsia"/>
          <w:color w:val="000000"/>
          <w:sz w:val="24"/>
        </w:rPr>
        <w:t>-6。</w:t>
      </w:r>
    </w:p>
    <w:p w14:paraId="16EF7DC9">
      <w:pPr>
        <w:wordWrap w:val="0"/>
        <w:snapToGrid w:val="0"/>
        <w:spacing w:line="300" w:lineRule="auto"/>
        <w:jc w:val="right"/>
        <w:rPr>
          <w:sz w:val="24"/>
        </w:rPr>
      </w:pPr>
      <w:r>
        <w:rPr>
          <w:rFonts w:hint="eastAsia"/>
          <w:color w:val="000000"/>
          <w:position w:val="-16"/>
          <w:sz w:val="24"/>
        </w:rPr>
        <w:object>
          <v:shape id="_x0000_i1030" o:spt="75" type="#_x0000_t75" style="height:21pt;width:228.9pt;" o:ole="t" filled="f" o:preferrelative="t" stroked="f" coordsize="21600,21600">
            <v:path/>
            <v:fill on="f" focussize="0,0"/>
            <v:stroke on="f" joinstyle="miter"/>
            <v:imagedata r:id="rId46" o:title=""/>
            <o:lock v:ext="edit" aspectratio="t"/>
            <w10:wrap type="none"/>
            <w10:anchorlock/>
          </v:shape>
          <o:OLEObject Type="Embed" ProgID="Equation.KSEE3" ShapeID="_x0000_i1030" DrawAspect="Content" ObjectID="_1468075730" r:id="rId45">
            <o:LockedField>false</o:LockedField>
          </o:OLEObject>
        </w:object>
      </w:r>
      <w:r>
        <w:rPr>
          <w:sz w:val="24"/>
        </w:rPr>
        <w:t xml:space="preserve">     </w:t>
      </w:r>
      <w:r>
        <w:rPr>
          <w:rFonts w:hint="eastAsia"/>
          <w:sz w:val="24"/>
        </w:rPr>
        <w:t xml:space="preserve">       </w:t>
      </w:r>
      <w:r>
        <w:rPr>
          <w:sz w:val="24"/>
        </w:rPr>
        <w:t xml:space="preserve">  </w:t>
      </w:r>
      <w:r>
        <w:rPr>
          <w:rFonts w:hint="eastAsia"/>
          <w:sz w:val="24"/>
        </w:rPr>
        <w:t>（</w:t>
      </w:r>
      <w:r>
        <w:rPr>
          <w:sz w:val="24"/>
        </w:rPr>
        <w:t>C</w:t>
      </w:r>
      <w:r>
        <w:rPr>
          <w:rFonts w:hint="eastAsia"/>
          <w:sz w:val="24"/>
        </w:rPr>
        <w:t>-6）</w:t>
      </w:r>
    </w:p>
    <w:p w14:paraId="7CB94A07">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7  臭氧消耗潜势评估</w:t>
      </w:r>
    </w:p>
    <w:p w14:paraId="6B59EFB8">
      <w:pPr>
        <w:snapToGrid w:val="0"/>
        <w:spacing w:line="300" w:lineRule="auto"/>
        <w:ind w:firstLine="480" w:firstLineChars="200"/>
        <w:rPr>
          <w:color w:val="000000"/>
          <w:sz w:val="24"/>
        </w:rPr>
      </w:pPr>
      <w:r>
        <w:rPr>
          <w:rFonts w:hint="eastAsia"/>
          <w:color w:val="000000"/>
          <w:sz w:val="24"/>
        </w:rPr>
        <w:t>臭氧的破坏是由于人类活动释放的污染物气体发生化学反应，导致平流层中的臭氧被消耗，污染气体包括氟氯烃类物质。臭氧层的消耗会影响人体健康，导致人类患上皮肤病。臭氧消耗潜势用千克</w:t>
      </w:r>
      <w:r>
        <w:rPr>
          <w:rFonts w:hint="eastAsia"/>
          <w:sz w:val="24"/>
        </w:rPr>
        <w:t>CFC-11</w:t>
      </w:r>
      <w:r>
        <w:rPr>
          <w:rFonts w:hint="eastAsia"/>
          <w:color w:val="000000"/>
          <w:sz w:val="24"/>
        </w:rPr>
        <w:t>当量来表示。计算公式见</w:t>
      </w:r>
      <w:r>
        <w:rPr>
          <w:color w:val="000000"/>
          <w:sz w:val="24"/>
        </w:rPr>
        <w:t>C</w:t>
      </w:r>
      <w:r>
        <w:rPr>
          <w:rFonts w:hint="eastAsia"/>
          <w:color w:val="000000"/>
          <w:sz w:val="24"/>
        </w:rPr>
        <w:t>-7。</w:t>
      </w:r>
    </w:p>
    <w:p w14:paraId="744E4560">
      <w:pPr>
        <w:snapToGrid w:val="0"/>
        <w:spacing w:line="300" w:lineRule="auto"/>
        <w:ind w:firstLine="480" w:firstLineChars="200"/>
        <w:jc w:val="right"/>
        <w:rPr>
          <w:color w:val="000000"/>
          <w:sz w:val="24"/>
        </w:rPr>
      </w:pPr>
      <w:r>
        <w:rPr>
          <w:rFonts w:hint="eastAsia"/>
          <w:color w:val="000000"/>
          <w:position w:val="-14"/>
          <w:sz w:val="24"/>
        </w:rPr>
        <w:object>
          <v:shape id="_x0000_i1031" o:spt="75" type="#_x0000_t75" style="height:20.1pt;width:312pt;" o:ole="t" filled="f" o:preferrelative="t" stroked="f" coordsize="21600,21600">
            <v:path/>
            <v:fill on="f" focussize="0,0"/>
            <v:stroke on="f" joinstyle="miter"/>
            <v:imagedata r:id="rId48" o:title=""/>
            <o:lock v:ext="edit" aspectratio="t"/>
            <w10:wrap type="none"/>
            <w10:anchorlock/>
          </v:shape>
          <o:OLEObject Type="Embed" ProgID="Equation.KSEE3" ShapeID="_x0000_i1031" DrawAspect="Content" ObjectID="_1468075731" r:id="rId47">
            <o:LockedField>false</o:LockedField>
          </o:OLEObject>
        </w:object>
      </w:r>
      <w:r>
        <w:rPr>
          <w:rFonts w:hint="eastAsia"/>
          <w:color w:val="000000"/>
          <w:sz w:val="24"/>
        </w:rPr>
        <w:t xml:space="preserve">         （</w:t>
      </w:r>
      <w:r>
        <w:rPr>
          <w:color w:val="000000"/>
          <w:sz w:val="24"/>
        </w:rPr>
        <w:t>C</w:t>
      </w:r>
      <w:r>
        <w:rPr>
          <w:rFonts w:hint="eastAsia"/>
          <w:color w:val="000000"/>
          <w:sz w:val="24"/>
        </w:rPr>
        <w:t>-7）</w:t>
      </w:r>
    </w:p>
    <w:p w14:paraId="79C8647D">
      <w:pPr>
        <w:pStyle w:val="5"/>
        <w:spacing w:before="0" w:after="0" w:line="240" w:lineRule="auto"/>
        <w:rPr>
          <w:sz w:val="24"/>
          <w:szCs w:val="24"/>
        </w:rPr>
      </w:pPr>
      <w:r>
        <w:rPr>
          <w:sz w:val="24"/>
          <w:szCs w:val="24"/>
        </w:rPr>
        <w:t>C</w:t>
      </w:r>
      <w:r>
        <w:rPr>
          <w:rFonts w:hint="eastAsia"/>
          <w:sz w:val="24"/>
          <w:szCs w:val="24"/>
        </w:rPr>
        <w:t>.</w:t>
      </w:r>
      <w:r>
        <w:rPr>
          <w:sz w:val="24"/>
          <w:szCs w:val="24"/>
        </w:rPr>
        <w:t>1.</w:t>
      </w:r>
      <w:r>
        <w:rPr>
          <w:rFonts w:hint="eastAsia"/>
          <w:sz w:val="24"/>
          <w:szCs w:val="24"/>
        </w:rPr>
        <w:t>8  霾污染生成潜势评估方法的建立</w:t>
      </w:r>
    </w:p>
    <w:p w14:paraId="17C40FEA">
      <w:pPr>
        <w:snapToGrid w:val="0"/>
        <w:spacing w:line="300" w:lineRule="auto"/>
        <w:ind w:firstLine="480" w:firstLineChars="200"/>
        <w:rPr>
          <w:color w:val="000000"/>
          <w:sz w:val="24"/>
        </w:rPr>
      </w:pPr>
      <w:r>
        <w:rPr>
          <w:rFonts w:hint="eastAsia"/>
          <w:color w:val="000000"/>
          <w:sz w:val="24"/>
        </w:rPr>
        <w:t>借鉴“放大系数”的思路，建立霾污染生成潜势（HPCP）评估方法。霾污染生成潜势用千克PM</w:t>
      </w:r>
      <w:r>
        <w:rPr>
          <w:rFonts w:hint="eastAsia"/>
          <w:color w:val="000000"/>
          <w:sz w:val="24"/>
          <w:vertAlign w:val="subscript"/>
        </w:rPr>
        <w:t>2.5</w:t>
      </w:r>
      <w:r>
        <w:rPr>
          <w:rFonts w:hint="eastAsia"/>
          <w:color w:val="000000"/>
          <w:sz w:val="24"/>
        </w:rPr>
        <w:t>当量来表示。计算公式见</w:t>
      </w:r>
      <w:r>
        <w:rPr>
          <w:color w:val="000000"/>
          <w:sz w:val="24"/>
        </w:rPr>
        <w:t>A</w:t>
      </w:r>
      <w:r>
        <w:rPr>
          <w:rFonts w:hint="eastAsia"/>
          <w:color w:val="000000"/>
          <w:sz w:val="24"/>
        </w:rPr>
        <w:t>-8。</w:t>
      </w:r>
    </w:p>
    <w:p w14:paraId="57A34B43">
      <w:pPr>
        <w:snapToGrid w:val="0"/>
        <w:spacing w:line="300" w:lineRule="auto"/>
        <w:ind w:firstLine="480" w:firstLineChars="200"/>
        <w:jc w:val="right"/>
        <w:rPr>
          <w:color w:val="000000"/>
          <w:sz w:val="24"/>
        </w:rPr>
      </w:pPr>
      <w:r>
        <w:rPr>
          <w:rFonts w:hint="eastAsia"/>
          <w:color w:val="000000"/>
          <w:position w:val="-14"/>
          <w:sz w:val="24"/>
        </w:rPr>
        <w:object>
          <v:shape id="_x0000_i1032" o:spt="75" type="#_x0000_t75" style="height:20.1pt;width:335.1pt;" o:ole="t" filled="f" o:preferrelative="t" stroked="f" coordsize="21600,21600">
            <v:path/>
            <v:fill on="f" focussize="0,0"/>
            <v:stroke on="f" joinstyle="miter"/>
            <v:imagedata r:id="rId50" o:title=""/>
            <o:lock v:ext="edit" aspectratio="t"/>
            <w10:wrap type="none"/>
            <w10:anchorlock/>
          </v:shape>
          <o:OLEObject Type="Embed" ProgID="Equation.KSEE3" ShapeID="_x0000_i1032" DrawAspect="Content" ObjectID="_1468075732" r:id="rId49">
            <o:LockedField>false</o:LockedField>
          </o:OLEObject>
        </w:object>
      </w:r>
      <w:r>
        <w:rPr>
          <w:rFonts w:hint="eastAsia"/>
          <w:color w:val="000000"/>
          <w:sz w:val="24"/>
        </w:rPr>
        <w:t xml:space="preserve">       （</w:t>
      </w:r>
      <w:r>
        <w:rPr>
          <w:color w:val="000000"/>
          <w:sz w:val="24"/>
        </w:rPr>
        <w:t>C</w:t>
      </w:r>
      <w:r>
        <w:rPr>
          <w:rFonts w:hint="eastAsia"/>
          <w:color w:val="000000"/>
          <w:sz w:val="24"/>
        </w:rPr>
        <w:t>-8）</w:t>
      </w:r>
    </w:p>
    <w:p w14:paraId="2E8B3F94">
      <w:pPr>
        <w:snapToGrid w:val="0"/>
        <w:spacing w:line="300" w:lineRule="auto"/>
        <w:ind w:firstLine="480" w:firstLineChars="200"/>
        <w:rPr>
          <w:color w:val="000000"/>
          <w:sz w:val="24"/>
        </w:rPr>
      </w:pPr>
    </w:p>
    <w:p w14:paraId="2F12DC5F">
      <w:pPr>
        <w:pStyle w:val="5"/>
        <w:spacing w:before="0" w:after="0" w:line="240" w:lineRule="auto"/>
        <w:rPr>
          <w:sz w:val="24"/>
          <w:szCs w:val="24"/>
        </w:rPr>
      </w:pPr>
      <w:r>
        <w:rPr>
          <w:sz w:val="24"/>
          <w:szCs w:val="24"/>
        </w:rPr>
        <w:t xml:space="preserve">C.2  </w:t>
      </w:r>
      <w:r>
        <w:rPr>
          <w:rFonts w:hint="eastAsia"/>
          <w:sz w:val="24"/>
          <w:szCs w:val="24"/>
        </w:rPr>
        <w:t>计算因子</w:t>
      </w:r>
    </w:p>
    <w:p w14:paraId="019CE68E">
      <w:pPr>
        <w:pStyle w:val="5"/>
        <w:spacing w:before="0" w:after="0" w:line="240" w:lineRule="auto"/>
        <w:rPr>
          <w:sz w:val="24"/>
          <w:szCs w:val="24"/>
        </w:rPr>
      </w:pPr>
      <w:r>
        <w:rPr>
          <w:sz w:val="24"/>
          <w:szCs w:val="24"/>
        </w:rPr>
        <w:t>C.2</w:t>
      </w:r>
      <w:r>
        <w:rPr>
          <w:rFonts w:hint="eastAsia"/>
          <w:sz w:val="24"/>
          <w:szCs w:val="24"/>
        </w:rPr>
        <w:t>.1  光化学臭氧生成潜势的污染因子计算</w:t>
      </w:r>
    </w:p>
    <w:p w14:paraId="7B459858">
      <w:pPr>
        <w:snapToGrid w:val="0"/>
        <w:spacing w:line="300" w:lineRule="auto"/>
        <w:ind w:firstLine="480" w:firstLineChars="200"/>
        <w:rPr>
          <w:color w:val="000000"/>
          <w:sz w:val="24"/>
        </w:rPr>
      </w:pPr>
      <w:r>
        <w:rPr>
          <w:rFonts w:hint="eastAsia"/>
          <w:color w:val="000000"/>
          <w:sz w:val="24"/>
        </w:rPr>
        <w:t>（1）能源消耗过程对光化学臭氧生成潜势的贡献</w:t>
      </w:r>
    </w:p>
    <w:p w14:paraId="37F2621B">
      <w:pPr>
        <w:snapToGrid w:val="0"/>
        <w:spacing w:line="300" w:lineRule="auto"/>
        <w:ind w:firstLine="480" w:firstLineChars="200"/>
        <w:rPr>
          <w:color w:val="000000"/>
          <w:sz w:val="24"/>
        </w:rPr>
      </w:pPr>
      <w:r>
        <w:rPr>
          <w:rFonts w:hint="eastAsia"/>
          <w:color w:val="000000"/>
          <w:sz w:val="24"/>
        </w:rPr>
        <w:t>生产电的过程中污染物的排放具体情况见表</w:t>
      </w:r>
      <w:r>
        <w:rPr>
          <w:color w:val="000000"/>
          <w:sz w:val="24"/>
        </w:rPr>
        <w:t>C</w:t>
      </w:r>
      <w:r>
        <w:rPr>
          <w:rFonts w:hint="eastAsia"/>
          <w:color w:val="000000"/>
          <w:sz w:val="24"/>
        </w:rPr>
        <w:t>.1。</w:t>
      </w:r>
    </w:p>
    <w:p w14:paraId="68AA67AB">
      <w:pPr>
        <w:pStyle w:val="241"/>
        <w:adjustRightInd w:val="0"/>
        <w:snapToGrid w:val="0"/>
        <w:spacing w:line="300" w:lineRule="auto"/>
        <w:ind w:firstLine="0" w:firstLineChars="0"/>
        <w:jc w:val="center"/>
        <w:rPr>
          <w:rFonts w:ascii="Times New Roman" w:hAnsi="Times New Roman" w:eastAsia="宋体"/>
          <w:b/>
        </w:rPr>
      </w:pPr>
      <w:r>
        <w:rPr>
          <w:rFonts w:ascii="Times New Roman" w:hAnsi="Times New Roman" w:eastAsia="宋体"/>
          <w:b/>
        </w:rPr>
        <w:t>表C</w:t>
      </w:r>
      <w:r>
        <w:rPr>
          <w:rFonts w:hint="eastAsia" w:ascii="Times New Roman" w:hAnsi="Times New Roman" w:eastAsia="宋体"/>
          <w:b/>
        </w:rPr>
        <w:t>.1</w:t>
      </w:r>
      <w:r>
        <w:rPr>
          <w:rFonts w:ascii="Times New Roman" w:hAnsi="Times New Roman" w:eastAsia="宋体"/>
          <w:b/>
        </w:rPr>
        <w:t xml:space="preserve">  </w:t>
      </w:r>
      <w:r>
        <w:rPr>
          <w:rFonts w:hint="eastAsia" w:ascii="Times New Roman" w:hAnsi="Times New Roman" w:eastAsia="宋体"/>
          <w:b/>
        </w:rPr>
        <w:t>生产电的过程污染物排放情况</w:t>
      </w:r>
    </w:p>
    <w:tbl>
      <w:tblPr>
        <w:tblStyle w:val="26"/>
        <w:tblW w:w="5000"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70"/>
        <w:gridCol w:w="8200"/>
      </w:tblGrid>
      <w:tr w14:paraId="73A929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16" w:type="pct"/>
            <w:tcBorders>
              <w:bottom w:val="single" w:color="auto" w:sz="4" w:space="0"/>
            </w:tcBorders>
            <w:shd w:val="clear" w:color="auto" w:fill="auto"/>
            <w:vAlign w:val="center"/>
          </w:tcPr>
          <w:p w14:paraId="6C57FE5C">
            <w:pPr>
              <w:snapToGrid w:val="0"/>
              <w:spacing w:line="300" w:lineRule="auto"/>
              <w:jc w:val="center"/>
            </w:pPr>
            <w:r>
              <w:rPr>
                <w:rFonts w:hint="eastAsia"/>
              </w:rPr>
              <w:t>污染物质</w:t>
            </w:r>
          </w:p>
        </w:tc>
        <w:tc>
          <w:tcPr>
            <w:tcW w:w="4284" w:type="pct"/>
            <w:tcBorders>
              <w:bottom w:val="single" w:color="auto" w:sz="4" w:space="0"/>
            </w:tcBorders>
            <w:shd w:val="clear" w:color="auto" w:fill="auto"/>
            <w:vAlign w:val="center"/>
          </w:tcPr>
          <w:p w14:paraId="06C5F734">
            <w:pPr>
              <w:snapToGrid w:val="0"/>
              <w:spacing w:line="300" w:lineRule="auto"/>
              <w:jc w:val="center"/>
            </w:pPr>
            <w:r>
              <w:rPr>
                <w:rFonts w:hint="eastAsia"/>
              </w:rPr>
              <w:t>产生量（kg/GJ）</w:t>
            </w:r>
          </w:p>
        </w:tc>
      </w:tr>
      <w:tr w14:paraId="2ECA7E3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16" w:type="pct"/>
            <w:tcBorders>
              <w:top w:val="single" w:color="auto" w:sz="4" w:space="0"/>
              <w:tl2br w:val="nil"/>
              <w:tr2bl w:val="nil"/>
            </w:tcBorders>
            <w:shd w:val="clear" w:color="auto" w:fill="auto"/>
            <w:vAlign w:val="center"/>
          </w:tcPr>
          <w:p w14:paraId="3B97F904">
            <w:pPr>
              <w:snapToGrid w:val="0"/>
              <w:spacing w:line="300" w:lineRule="auto"/>
              <w:jc w:val="center"/>
            </w:pPr>
            <w:r>
              <w:rPr>
                <w:rFonts w:hint="eastAsia"/>
              </w:rPr>
              <w:t>二氧化硫</w:t>
            </w:r>
          </w:p>
        </w:tc>
        <w:tc>
          <w:tcPr>
            <w:tcW w:w="4284" w:type="pct"/>
            <w:tcBorders>
              <w:top w:val="single" w:color="auto" w:sz="4" w:space="0"/>
              <w:tl2br w:val="nil"/>
              <w:tr2bl w:val="nil"/>
            </w:tcBorders>
            <w:shd w:val="clear" w:color="auto" w:fill="auto"/>
            <w:vAlign w:val="center"/>
          </w:tcPr>
          <w:p w14:paraId="5038D183">
            <w:pPr>
              <w:snapToGrid w:val="0"/>
              <w:spacing w:line="300" w:lineRule="auto"/>
              <w:jc w:val="center"/>
            </w:pPr>
            <w:r>
              <w:rPr>
                <w:rFonts w:hint="eastAsia"/>
              </w:rPr>
              <w:t>0.10</w:t>
            </w:r>
          </w:p>
        </w:tc>
      </w:tr>
      <w:tr w14:paraId="5C2060C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16" w:type="pct"/>
            <w:tcBorders>
              <w:tl2br w:val="nil"/>
              <w:tr2bl w:val="nil"/>
            </w:tcBorders>
            <w:shd w:val="clear" w:color="auto" w:fill="auto"/>
            <w:vAlign w:val="center"/>
          </w:tcPr>
          <w:p w14:paraId="29599000">
            <w:pPr>
              <w:snapToGrid w:val="0"/>
              <w:spacing w:line="300" w:lineRule="auto"/>
              <w:jc w:val="center"/>
            </w:pPr>
            <w:r>
              <w:rPr>
                <w:rFonts w:hint="eastAsia"/>
              </w:rPr>
              <w:t>二氧化碳</w:t>
            </w:r>
          </w:p>
        </w:tc>
        <w:tc>
          <w:tcPr>
            <w:tcW w:w="4284" w:type="pct"/>
            <w:tcBorders>
              <w:tl2br w:val="nil"/>
              <w:tr2bl w:val="nil"/>
            </w:tcBorders>
            <w:shd w:val="clear" w:color="auto" w:fill="auto"/>
            <w:vAlign w:val="center"/>
          </w:tcPr>
          <w:p w14:paraId="6BF61F6C">
            <w:pPr>
              <w:snapToGrid w:val="0"/>
              <w:spacing w:line="300" w:lineRule="auto"/>
              <w:jc w:val="center"/>
            </w:pPr>
            <w:r>
              <w:rPr>
                <w:rFonts w:hint="eastAsia"/>
              </w:rPr>
              <w:t>116.71</w:t>
            </w:r>
          </w:p>
        </w:tc>
      </w:tr>
      <w:tr w14:paraId="727371D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16" w:type="pct"/>
            <w:tcBorders>
              <w:tl2br w:val="nil"/>
              <w:tr2bl w:val="nil"/>
            </w:tcBorders>
            <w:shd w:val="clear" w:color="auto" w:fill="auto"/>
            <w:vAlign w:val="center"/>
          </w:tcPr>
          <w:p w14:paraId="612CA2F4">
            <w:pPr>
              <w:snapToGrid w:val="0"/>
              <w:spacing w:line="300" w:lineRule="auto"/>
              <w:jc w:val="center"/>
            </w:pPr>
            <w:r>
              <w:rPr>
                <w:rFonts w:hint="eastAsia"/>
              </w:rPr>
              <w:t>二氧化氮</w:t>
            </w:r>
          </w:p>
        </w:tc>
        <w:tc>
          <w:tcPr>
            <w:tcW w:w="4284" w:type="pct"/>
            <w:tcBorders>
              <w:tl2br w:val="nil"/>
              <w:tr2bl w:val="nil"/>
            </w:tcBorders>
            <w:shd w:val="clear" w:color="auto" w:fill="auto"/>
            <w:vAlign w:val="center"/>
          </w:tcPr>
          <w:p w14:paraId="0874587D">
            <w:pPr>
              <w:snapToGrid w:val="0"/>
              <w:spacing w:line="300" w:lineRule="auto"/>
              <w:jc w:val="center"/>
            </w:pPr>
            <w:r>
              <w:rPr>
                <w:rFonts w:hint="eastAsia"/>
              </w:rPr>
              <w:t>0.16</w:t>
            </w:r>
          </w:p>
        </w:tc>
      </w:tr>
    </w:tbl>
    <w:p w14:paraId="51E29141">
      <w:pPr>
        <w:snapToGrid w:val="0"/>
        <w:spacing w:line="300" w:lineRule="auto"/>
        <w:ind w:firstLine="480" w:firstLineChars="200"/>
        <w:rPr>
          <w:color w:val="000000"/>
          <w:sz w:val="24"/>
        </w:rPr>
      </w:pPr>
      <w:r>
        <w:rPr>
          <w:rFonts w:hint="eastAsia"/>
          <w:color w:val="000000"/>
          <w:sz w:val="24"/>
        </w:rPr>
        <w:t>从表</w:t>
      </w:r>
      <w:r>
        <w:rPr>
          <w:color w:val="000000"/>
          <w:sz w:val="24"/>
        </w:rPr>
        <w:t>C</w:t>
      </w:r>
      <w:r>
        <w:rPr>
          <w:rFonts w:hint="eastAsia"/>
          <w:color w:val="000000"/>
          <w:sz w:val="24"/>
        </w:rPr>
        <w:t>.1我们可以得知在生</w:t>
      </w:r>
      <w:r>
        <w:rPr>
          <w:color w:val="000000"/>
          <w:sz w:val="24"/>
        </w:rPr>
        <w:t>产1 kW·h</w:t>
      </w:r>
      <w:r>
        <w:rPr>
          <w:rFonts w:hint="eastAsia"/>
          <w:color w:val="000000"/>
          <w:sz w:val="24"/>
        </w:rPr>
        <w:t>的电，会排放二氧化硫0.36g，二氧化碳420.16g，二氧化氮0.576g。二氧化硫的光化学臭氧生成潜势为0.048，二氧化氮的光化学臭氧生成潜势为-0.06~3.8，故取平均值1.87。光化学臭氧生成潜势用乙烯当量来表示，所以使</w:t>
      </w:r>
      <w:r>
        <w:rPr>
          <w:color w:val="000000"/>
          <w:sz w:val="24"/>
        </w:rPr>
        <w:t>用1 kW·h</w:t>
      </w:r>
      <w:r>
        <w:rPr>
          <w:rFonts w:hint="eastAsia"/>
          <w:color w:val="000000"/>
          <w:sz w:val="24"/>
        </w:rPr>
        <w:t>的电，会产生1.09g 乙烯。</w:t>
      </w:r>
    </w:p>
    <w:p w14:paraId="7BEB5023">
      <w:pPr>
        <w:snapToGrid w:val="0"/>
        <w:spacing w:line="300" w:lineRule="auto"/>
        <w:ind w:firstLine="480" w:firstLineChars="200"/>
        <w:rPr>
          <w:color w:val="000000"/>
          <w:sz w:val="24"/>
        </w:rPr>
      </w:pPr>
      <w:r>
        <w:rPr>
          <w:rFonts w:hint="eastAsia"/>
          <w:color w:val="000000"/>
          <w:sz w:val="24"/>
        </w:rPr>
        <w:t>（2）排放过程对光化学臭氧生成潜势的贡献</w:t>
      </w:r>
    </w:p>
    <w:p w14:paraId="0D6E53A4">
      <w:pPr>
        <w:snapToGrid w:val="0"/>
        <w:spacing w:line="300" w:lineRule="auto"/>
        <w:ind w:firstLine="480" w:firstLineChars="200"/>
        <w:rPr>
          <w:color w:val="000000"/>
          <w:sz w:val="24"/>
        </w:rPr>
      </w:pPr>
      <w:r>
        <w:rPr>
          <w:rFonts w:hint="eastAsia"/>
          <w:color w:val="000000"/>
          <w:sz w:val="24"/>
        </w:rPr>
        <w:t>在工业涂装工序中，可能涉及到的VOCs对于光化学臭氧生成潜势见表</w:t>
      </w:r>
      <w:r>
        <w:rPr>
          <w:color w:val="000000"/>
          <w:sz w:val="24"/>
        </w:rPr>
        <w:t>C</w:t>
      </w:r>
      <w:r>
        <w:rPr>
          <w:rFonts w:hint="eastAsia"/>
          <w:color w:val="000000"/>
          <w:sz w:val="24"/>
        </w:rPr>
        <w:t>.2。</w:t>
      </w:r>
    </w:p>
    <w:p w14:paraId="5C8B770B">
      <w:pPr>
        <w:pStyle w:val="241"/>
        <w:adjustRightInd w:val="0"/>
        <w:snapToGrid w:val="0"/>
        <w:spacing w:line="300" w:lineRule="auto"/>
        <w:ind w:firstLine="0" w:firstLineChars="0"/>
        <w:jc w:val="center"/>
        <w:rPr>
          <w:rFonts w:ascii="Times New Roman" w:hAnsi="Times New Roman" w:eastAsia="宋体"/>
          <w:b/>
        </w:rPr>
      </w:pPr>
      <w:r>
        <w:rPr>
          <w:rFonts w:ascii="Times New Roman" w:hAnsi="Times New Roman" w:eastAsia="宋体"/>
          <w:b/>
        </w:rPr>
        <w:t>表C</w:t>
      </w:r>
      <w:r>
        <w:rPr>
          <w:rFonts w:hint="eastAsia" w:ascii="Times New Roman" w:hAnsi="Times New Roman" w:eastAsia="宋体"/>
          <w:b/>
        </w:rPr>
        <w:t>.2</w:t>
      </w:r>
      <w:r>
        <w:rPr>
          <w:rFonts w:ascii="Times New Roman" w:hAnsi="Times New Roman" w:eastAsia="宋体"/>
          <w:b/>
        </w:rPr>
        <w:t xml:space="preserve">  </w:t>
      </w:r>
      <w:r>
        <w:rPr>
          <w:rFonts w:hint="eastAsia" w:ascii="Times New Roman" w:hAnsi="Times New Roman" w:eastAsia="宋体"/>
          <w:b/>
        </w:rPr>
        <w:t>污染物光化学臭氧生成潜势表</w:t>
      </w:r>
    </w:p>
    <w:tbl>
      <w:tblPr>
        <w:tblStyle w:val="26"/>
        <w:tblW w:w="4997" w:type="pct"/>
        <w:jc w:val="center"/>
        <w:tblLayout w:type="autofit"/>
        <w:tblCellMar>
          <w:top w:w="0" w:type="dxa"/>
          <w:left w:w="108" w:type="dxa"/>
          <w:bottom w:w="0" w:type="dxa"/>
          <w:right w:w="108" w:type="dxa"/>
        </w:tblCellMar>
      </w:tblPr>
      <w:tblGrid>
        <w:gridCol w:w="3940"/>
        <w:gridCol w:w="5624"/>
      </w:tblGrid>
      <w:tr w14:paraId="7C30EA47">
        <w:trPr>
          <w:trHeight w:val="90" w:hRule="atLeast"/>
          <w:jc w:val="center"/>
        </w:trPr>
        <w:tc>
          <w:tcPr>
            <w:tcW w:w="2060" w:type="pct"/>
            <w:tcBorders>
              <w:top w:val="single" w:color="auto" w:sz="12" w:space="0"/>
              <w:bottom w:val="single" w:color="auto" w:sz="4" w:space="0"/>
            </w:tcBorders>
            <w:shd w:val="clear" w:color="auto" w:fill="auto"/>
            <w:vAlign w:val="center"/>
          </w:tcPr>
          <w:p w14:paraId="6D62D13C">
            <w:pPr>
              <w:snapToGrid w:val="0"/>
              <w:spacing w:line="300" w:lineRule="auto"/>
              <w:jc w:val="center"/>
            </w:pPr>
            <w:r>
              <w:rPr>
                <w:rFonts w:hint="eastAsia"/>
              </w:rPr>
              <w:t>物质名称</w:t>
            </w:r>
          </w:p>
        </w:tc>
        <w:tc>
          <w:tcPr>
            <w:tcW w:w="2940" w:type="pct"/>
            <w:tcBorders>
              <w:top w:val="single" w:color="auto" w:sz="12" w:space="0"/>
              <w:bottom w:val="single" w:color="auto" w:sz="4" w:space="0"/>
            </w:tcBorders>
            <w:shd w:val="clear" w:color="auto" w:fill="auto"/>
            <w:vAlign w:val="center"/>
          </w:tcPr>
          <w:p w14:paraId="0301EEC0">
            <w:pPr>
              <w:snapToGrid w:val="0"/>
              <w:spacing w:line="300" w:lineRule="auto"/>
              <w:jc w:val="center"/>
            </w:pPr>
            <w:r>
              <w:rPr>
                <w:rFonts w:hint="eastAsia"/>
              </w:rPr>
              <w:t>光化学臭氧生成潜势</w:t>
            </w:r>
          </w:p>
        </w:tc>
      </w:tr>
      <w:tr w14:paraId="0C9DE299">
        <w:tblPrEx>
          <w:tblCellMar>
            <w:top w:w="0" w:type="dxa"/>
            <w:left w:w="108" w:type="dxa"/>
            <w:bottom w:w="0" w:type="dxa"/>
            <w:right w:w="108" w:type="dxa"/>
          </w:tblCellMar>
        </w:tblPrEx>
        <w:trPr>
          <w:jc w:val="center"/>
        </w:trPr>
        <w:tc>
          <w:tcPr>
            <w:tcW w:w="2060" w:type="pct"/>
            <w:tcBorders>
              <w:top w:val="single" w:color="auto" w:sz="4" w:space="0"/>
            </w:tcBorders>
            <w:shd w:val="clear" w:color="auto" w:fill="auto"/>
            <w:vAlign w:val="center"/>
          </w:tcPr>
          <w:p w14:paraId="7B989E47">
            <w:pPr>
              <w:snapToGrid w:val="0"/>
              <w:spacing w:line="300" w:lineRule="auto"/>
              <w:jc w:val="center"/>
            </w:pPr>
            <w:r>
              <w:rPr>
                <w:rFonts w:hint="eastAsia"/>
              </w:rPr>
              <w:t>苯</w:t>
            </w:r>
          </w:p>
        </w:tc>
        <w:tc>
          <w:tcPr>
            <w:tcW w:w="2940" w:type="pct"/>
            <w:tcBorders>
              <w:top w:val="single" w:color="auto" w:sz="4" w:space="0"/>
            </w:tcBorders>
            <w:shd w:val="clear" w:color="auto" w:fill="auto"/>
            <w:vAlign w:val="center"/>
          </w:tcPr>
          <w:p w14:paraId="28FCFDB5">
            <w:pPr>
              <w:snapToGrid w:val="0"/>
              <w:spacing w:line="300" w:lineRule="auto"/>
              <w:jc w:val="center"/>
            </w:pPr>
            <w:r>
              <w:rPr>
                <w:rFonts w:hint="eastAsia"/>
              </w:rPr>
              <w:t>0.218</w:t>
            </w:r>
          </w:p>
        </w:tc>
      </w:tr>
      <w:tr w14:paraId="51916891">
        <w:tblPrEx>
          <w:tblCellMar>
            <w:top w:w="0" w:type="dxa"/>
            <w:left w:w="108" w:type="dxa"/>
            <w:bottom w:w="0" w:type="dxa"/>
            <w:right w:w="108" w:type="dxa"/>
          </w:tblCellMar>
        </w:tblPrEx>
        <w:trPr>
          <w:jc w:val="center"/>
        </w:trPr>
        <w:tc>
          <w:tcPr>
            <w:tcW w:w="2060" w:type="pct"/>
            <w:shd w:val="clear" w:color="auto" w:fill="auto"/>
            <w:vAlign w:val="center"/>
          </w:tcPr>
          <w:p w14:paraId="200AB2E5">
            <w:pPr>
              <w:snapToGrid w:val="0"/>
              <w:spacing w:line="300" w:lineRule="auto"/>
              <w:jc w:val="center"/>
            </w:pPr>
            <w:r>
              <w:rPr>
                <w:rFonts w:hint="eastAsia"/>
              </w:rPr>
              <w:t>甲苯</w:t>
            </w:r>
          </w:p>
        </w:tc>
        <w:tc>
          <w:tcPr>
            <w:tcW w:w="2940" w:type="pct"/>
            <w:shd w:val="clear" w:color="auto" w:fill="auto"/>
            <w:vAlign w:val="center"/>
          </w:tcPr>
          <w:p w14:paraId="557DAE37">
            <w:pPr>
              <w:snapToGrid w:val="0"/>
              <w:spacing w:line="300" w:lineRule="auto"/>
              <w:jc w:val="center"/>
            </w:pPr>
            <w:r>
              <w:rPr>
                <w:rFonts w:hint="eastAsia"/>
              </w:rPr>
              <w:t>0.637</w:t>
            </w:r>
          </w:p>
        </w:tc>
      </w:tr>
      <w:tr w14:paraId="0851A918">
        <w:tblPrEx>
          <w:tblCellMar>
            <w:top w:w="0" w:type="dxa"/>
            <w:left w:w="108" w:type="dxa"/>
            <w:bottom w:w="0" w:type="dxa"/>
            <w:right w:w="108" w:type="dxa"/>
          </w:tblCellMar>
        </w:tblPrEx>
        <w:trPr>
          <w:jc w:val="center"/>
        </w:trPr>
        <w:tc>
          <w:tcPr>
            <w:tcW w:w="2060" w:type="pct"/>
            <w:shd w:val="clear" w:color="auto" w:fill="auto"/>
            <w:vAlign w:val="center"/>
          </w:tcPr>
          <w:p w14:paraId="526574CA">
            <w:pPr>
              <w:snapToGrid w:val="0"/>
              <w:spacing w:line="300" w:lineRule="auto"/>
              <w:jc w:val="center"/>
            </w:pPr>
            <w:r>
              <w:rPr>
                <w:rFonts w:hint="eastAsia"/>
              </w:rPr>
              <w:t>邻二甲苯</w:t>
            </w:r>
          </w:p>
        </w:tc>
        <w:tc>
          <w:tcPr>
            <w:tcW w:w="2940" w:type="pct"/>
            <w:shd w:val="clear" w:color="auto" w:fill="auto"/>
            <w:vAlign w:val="center"/>
          </w:tcPr>
          <w:p w14:paraId="193E5BBA">
            <w:pPr>
              <w:snapToGrid w:val="0"/>
              <w:spacing w:line="300" w:lineRule="auto"/>
              <w:jc w:val="center"/>
            </w:pPr>
            <w:r>
              <w:rPr>
                <w:rFonts w:hint="eastAsia"/>
              </w:rPr>
              <w:t>1.053</w:t>
            </w:r>
          </w:p>
        </w:tc>
      </w:tr>
      <w:tr w14:paraId="1C4838E6">
        <w:tblPrEx>
          <w:tblCellMar>
            <w:top w:w="0" w:type="dxa"/>
            <w:left w:w="108" w:type="dxa"/>
            <w:bottom w:w="0" w:type="dxa"/>
            <w:right w:w="108" w:type="dxa"/>
          </w:tblCellMar>
        </w:tblPrEx>
        <w:trPr>
          <w:jc w:val="center"/>
        </w:trPr>
        <w:tc>
          <w:tcPr>
            <w:tcW w:w="2060" w:type="pct"/>
            <w:shd w:val="clear" w:color="auto" w:fill="auto"/>
            <w:vAlign w:val="center"/>
          </w:tcPr>
          <w:p w14:paraId="3FD0ABE0">
            <w:pPr>
              <w:snapToGrid w:val="0"/>
              <w:spacing w:line="300" w:lineRule="auto"/>
              <w:jc w:val="center"/>
            </w:pPr>
            <w:r>
              <w:rPr>
                <w:rFonts w:hint="eastAsia"/>
              </w:rPr>
              <w:t>间-和对-二甲苯</w:t>
            </w:r>
          </w:p>
        </w:tc>
        <w:tc>
          <w:tcPr>
            <w:tcW w:w="2940" w:type="pct"/>
            <w:shd w:val="clear" w:color="auto" w:fill="auto"/>
            <w:vAlign w:val="center"/>
          </w:tcPr>
          <w:p w14:paraId="435E8605">
            <w:pPr>
              <w:snapToGrid w:val="0"/>
              <w:spacing w:line="300" w:lineRule="auto"/>
              <w:jc w:val="center"/>
            </w:pPr>
            <w:r>
              <w:rPr>
                <w:rFonts w:hint="eastAsia"/>
              </w:rPr>
              <w:t>1.06</w:t>
            </w:r>
          </w:p>
        </w:tc>
      </w:tr>
      <w:tr w14:paraId="415029F0">
        <w:tblPrEx>
          <w:tblCellMar>
            <w:top w:w="0" w:type="dxa"/>
            <w:left w:w="108" w:type="dxa"/>
            <w:bottom w:w="0" w:type="dxa"/>
            <w:right w:w="108" w:type="dxa"/>
          </w:tblCellMar>
        </w:tblPrEx>
        <w:trPr>
          <w:trHeight w:val="328" w:hRule="atLeast"/>
          <w:jc w:val="center"/>
        </w:trPr>
        <w:tc>
          <w:tcPr>
            <w:tcW w:w="2060" w:type="pct"/>
            <w:shd w:val="clear" w:color="auto" w:fill="auto"/>
            <w:vAlign w:val="center"/>
          </w:tcPr>
          <w:p w14:paraId="19BB832F">
            <w:pPr>
              <w:snapToGrid w:val="0"/>
              <w:spacing w:line="300" w:lineRule="auto"/>
              <w:jc w:val="center"/>
            </w:pPr>
            <w:r>
              <w:rPr>
                <w:rFonts w:hint="eastAsia"/>
              </w:rPr>
              <w:t>丙酮</w:t>
            </w:r>
          </w:p>
        </w:tc>
        <w:tc>
          <w:tcPr>
            <w:tcW w:w="2940" w:type="pct"/>
            <w:shd w:val="clear" w:color="auto" w:fill="auto"/>
            <w:vAlign w:val="center"/>
          </w:tcPr>
          <w:p w14:paraId="49A45B52">
            <w:pPr>
              <w:snapToGrid w:val="0"/>
              <w:spacing w:line="300" w:lineRule="auto"/>
              <w:jc w:val="center"/>
            </w:pPr>
            <w:r>
              <w:rPr>
                <w:rFonts w:hint="eastAsia"/>
              </w:rPr>
              <w:t>0.094</w:t>
            </w:r>
          </w:p>
        </w:tc>
      </w:tr>
      <w:tr w14:paraId="0C6AA93A">
        <w:tblPrEx>
          <w:tblCellMar>
            <w:top w:w="0" w:type="dxa"/>
            <w:left w:w="108" w:type="dxa"/>
            <w:bottom w:w="0" w:type="dxa"/>
            <w:right w:w="108" w:type="dxa"/>
          </w:tblCellMar>
        </w:tblPrEx>
        <w:trPr>
          <w:jc w:val="center"/>
        </w:trPr>
        <w:tc>
          <w:tcPr>
            <w:tcW w:w="2060" w:type="pct"/>
            <w:shd w:val="clear" w:color="auto" w:fill="auto"/>
            <w:vAlign w:val="center"/>
          </w:tcPr>
          <w:p w14:paraId="3B65AB2A">
            <w:pPr>
              <w:snapToGrid w:val="0"/>
              <w:spacing w:line="300" w:lineRule="auto"/>
              <w:jc w:val="center"/>
            </w:pPr>
            <w:r>
              <w:rPr>
                <w:rFonts w:hint="eastAsia"/>
              </w:rPr>
              <w:t>甲基异丁基酮</w:t>
            </w:r>
          </w:p>
        </w:tc>
        <w:tc>
          <w:tcPr>
            <w:tcW w:w="2940" w:type="pct"/>
            <w:shd w:val="clear" w:color="auto" w:fill="auto"/>
            <w:vAlign w:val="center"/>
          </w:tcPr>
          <w:p w14:paraId="46642EF8">
            <w:pPr>
              <w:snapToGrid w:val="0"/>
              <w:spacing w:line="300" w:lineRule="auto"/>
              <w:jc w:val="center"/>
            </w:pPr>
            <w:r>
              <w:rPr>
                <w:rFonts w:hint="eastAsia"/>
              </w:rPr>
              <w:t>0.49</w:t>
            </w:r>
          </w:p>
        </w:tc>
      </w:tr>
      <w:tr w14:paraId="0A08B834">
        <w:trPr>
          <w:jc w:val="center"/>
        </w:trPr>
        <w:tc>
          <w:tcPr>
            <w:tcW w:w="2060" w:type="pct"/>
            <w:shd w:val="clear" w:color="auto" w:fill="auto"/>
            <w:vAlign w:val="center"/>
          </w:tcPr>
          <w:p w14:paraId="72EAD455">
            <w:pPr>
              <w:snapToGrid w:val="0"/>
              <w:spacing w:line="300" w:lineRule="auto"/>
              <w:jc w:val="center"/>
            </w:pPr>
            <w:r>
              <w:rPr>
                <w:rFonts w:hint="eastAsia"/>
              </w:rPr>
              <w:t>1,3,5-三甲基苯</w:t>
            </w:r>
          </w:p>
        </w:tc>
        <w:tc>
          <w:tcPr>
            <w:tcW w:w="2940" w:type="pct"/>
            <w:shd w:val="clear" w:color="auto" w:fill="auto"/>
            <w:vAlign w:val="center"/>
          </w:tcPr>
          <w:p w14:paraId="35E0BEE9">
            <w:pPr>
              <w:snapToGrid w:val="0"/>
              <w:spacing w:line="300" w:lineRule="auto"/>
              <w:jc w:val="center"/>
            </w:pPr>
            <w:r>
              <w:rPr>
                <w:rFonts w:hint="eastAsia"/>
              </w:rPr>
              <w:t>1.381</w:t>
            </w:r>
          </w:p>
        </w:tc>
      </w:tr>
      <w:tr w14:paraId="76019E8B">
        <w:tblPrEx>
          <w:tblCellMar>
            <w:top w:w="0" w:type="dxa"/>
            <w:left w:w="108" w:type="dxa"/>
            <w:bottom w:w="0" w:type="dxa"/>
            <w:right w:w="108" w:type="dxa"/>
          </w:tblCellMar>
        </w:tblPrEx>
        <w:trPr>
          <w:jc w:val="center"/>
        </w:trPr>
        <w:tc>
          <w:tcPr>
            <w:tcW w:w="2060" w:type="pct"/>
            <w:shd w:val="clear" w:color="auto" w:fill="auto"/>
            <w:vAlign w:val="center"/>
          </w:tcPr>
          <w:p w14:paraId="0B8F6847">
            <w:pPr>
              <w:snapToGrid w:val="0"/>
              <w:spacing w:line="300" w:lineRule="auto"/>
              <w:jc w:val="center"/>
            </w:pPr>
            <w:r>
              <w:rPr>
                <w:rFonts w:hint="eastAsia"/>
              </w:rPr>
              <w:t>1,2,4-三甲基苯</w:t>
            </w:r>
          </w:p>
        </w:tc>
        <w:tc>
          <w:tcPr>
            <w:tcW w:w="2940" w:type="pct"/>
            <w:shd w:val="clear" w:color="auto" w:fill="auto"/>
            <w:vAlign w:val="center"/>
          </w:tcPr>
          <w:p w14:paraId="17A026EA">
            <w:pPr>
              <w:snapToGrid w:val="0"/>
              <w:spacing w:line="300" w:lineRule="auto"/>
              <w:jc w:val="center"/>
            </w:pPr>
            <w:r>
              <w:rPr>
                <w:rFonts w:hint="eastAsia"/>
              </w:rPr>
              <w:t>1.278</w:t>
            </w:r>
          </w:p>
        </w:tc>
      </w:tr>
      <w:tr w14:paraId="7DDB4889">
        <w:tblPrEx>
          <w:tblCellMar>
            <w:top w:w="0" w:type="dxa"/>
            <w:left w:w="108" w:type="dxa"/>
            <w:bottom w:w="0" w:type="dxa"/>
            <w:right w:w="108" w:type="dxa"/>
          </w:tblCellMar>
        </w:tblPrEx>
        <w:trPr>
          <w:jc w:val="center"/>
        </w:trPr>
        <w:tc>
          <w:tcPr>
            <w:tcW w:w="2060" w:type="pct"/>
            <w:shd w:val="clear" w:color="auto" w:fill="auto"/>
            <w:vAlign w:val="center"/>
          </w:tcPr>
          <w:p w14:paraId="372C3BE6">
            <w:pPr>
              <w:snapToGrid w:val="0"/>
              <w:spacing w:line="300" w:lineRule="auto"/>
              <w:jc w:val="center"/>
            </w:pPr>
            <w:r>
              <w:rPr>
                <w:rFonts w:hint="eastAsia"/>
              </w:rPr>
              <w:t>1,2,3-三甲基苯</w:t>
            </w:r>
          </w:p>
        </w:tc>
        <w:tc>
          <w:tcPr>
            <w:tcW w:w="2940" w:type="pct"/>
            <w:shd w:val="clear" w:color="auto" w:fill="auto"/>
            <w:vAlign w:val="center"/>
          </w:tcPr>
          <w:p w14:paraId="3702B4B5">
            <w:pPr>
              <w:snapToGrid w:val="0"/>
              <w:spacing w:line="300" w:lineRule="auto"/>
              <w:jc w:val="center"/>
            </w:pPr>
            <w:r>
              <w:rPr>
                <w:rFonts w:hint="eastAsia"/>
              </w:rPr>
              <w:t>1.267</w:t>
            </w:r>
          </w:p>
        </w:tc>
      </w:tr>
      <w:tr w14:paraId="521BA676">
        <w:tblPrEx>
          <w:tblCellMar>
            <w:top w:w="0" w:type="dxa"/>
            <w:left w:w="108" w:type="dxa"/>
            <w:bottom w:w="0" w:type="dxa"/>
            <w:right w:w="108" w:type="dxa"/>
          </w:tblCellMar>
        </w:tblPrEx>
        <w:trPr>
          <w:jc w:val="center"/>
        </w:trPr>
        <w:tc>
          <w:tcPr>
            <w:tcW w:w="2060" w:type="pct"/>
            <w:shd w:val="clear" w:color="auto" w:fill="auto"/>
            <w:vAlign w:val="center"/>
          </w:tcPr>
          <w:p w14:paraId="607AA63B">
            <w:pPr>
              <w:snapToGrid w:val="0"/>
              <w:spacing w:line="300" w:lineRule="auto"/>
              <w:jc w:val="center"/>
            </w:pPr>
            <w:r>
              <w:rPr>
                <w:rFonts w:hint="eastAsia"/>
              </w:rPr>
              <w:t>甲乙酮（MEK）</w:t>
            </w:r>
          </w:p>
        </w:tc>
        <w:tc>
          <w:tcPr>
            <w:tcW w:w="2940" w:type="pct"/>
            <w:shd w:val="clear" w:color="auto" w:fill="auto"/>
            <w:vAlign w:val="center"/>
          </w:tcPr>
          <w:p w14:paraId="5C480604">
            <w:pPr>
              <w:snapToGrid w:val="0"/>
              <w:spacing w:line="300" w:lineRule="auto"/>
              <w:jc w:val="center"/>
            </w:pPr>
            <w:r>
              <w:rPr>
                <w:rFonts w:hint="eastAsia"/>
              </w:rPr>
              <w:t>0.373</w:t>
            </w:r>
          </w:p>
        </w:tc>
      </w:tr>
      <w:tr w14:paraId="5F1C980E">
        <w:trPr>
          <w:jc w:val="center"/>
        </w:trPr>
        <w:tc>
          <w:tcPr>
            <w:tcW w:w="2060" w:type="pct"/>
            <w:shd w:val="clear" w:color="auto" w:fill="auto"/>
            <w:vAlign w:val="center"/>
          </w:tcPr>
          <w:p w14:paraId="09CDE300">
            <w:pPr>
              <w:snapToGrid w:val="0"/>
              <w:spacing w:line="300" w:lineRule="auto"/>
              <w:jc w:val="center"/>
            </w:pPr>
            <w:r>
              <w:rPr>
                <w:rFonts w:hint="eastAsia"/>
              </w:rPr>
              <w:t>氯甲烷</w:t>
            </w:r>
          </w:p>
        </w:tc>
        <w:tc>
          <w:tcPr>
            <w:tcW w:w="2940" w:type="pct"/>
            <w:shd w:val="clear" w:color="auto" w:fill="auto"/>
            <w:vAlign w:val="center"/>
          </w:tcPr>
          <w:p w14:paraId="3A8A1A38">
            <w:pPr>
              <w:snapToGrid w:val="0"/>
              <w:spacing w:line="300" w:lineRule="auto"/>
              <w:jc w:val="center"/>
            </w:pPr>
            <w:r>
              <w:rPr>
                <w:rFonts w:hint="eastAsia"/>
              </w:rPr>
              <w:t>0.005</w:t>
            </w:r>
          </w:p>
        </w:tc>
      </w:tr>
      <w:tr w14:paraId="6021833A">
        <w:tblPrEx>
          <w:tblCellMar>
            <w:top w:w="0" w:type="dxa"/>
            <w:left w:w="108" w:type="dxa"/>
            <w:bottom w:w="0" w:type="dxa"/>
            <w:right w:w="108" w:type="dxa"/>
          </w:tblCellMar>
        </w:tblPrEx>
        <w:trPr>
          <w:jc w:val="center"/>
        </w:trPr>
        <w:tc>
          <w:tcPr>
            <w:tcW w:w="2060" w:type="pct"/>
            <w:shd w:val="clear" w:color="auto" w:fill="auto"/>
            <w:vAlign w:val="center"/>
          </w:tcPr>
          <w:p w14:paraId="67023663">
            <w:pPr>
              <w:snapToGrid w:val="0"/>
              <w:spacing w:line="300" w:lineRule="auto"/>
              <w:jc w:val="center"/>
            </w:pPr>
            <w:r>
              <w:rPr>
                <w:rFonts w:hint="eastAsia"/>
              </w:rPr>
              <w:t>二氯甲烷</w:t>
            </w:r>
          </w:p>
        </w:tc>
        <w:tc>
          <w:tcPr>
            <w:tcW w:w="2940" w:type="pct"/>
            <w:shd w:val="clear" w:color="auto" w:fill="auto"/>
            <w:vAlign w:val="center"/>
          </w:tcPr>
          <w:p w14:paraId="5AED63FB">
            <w:pPr>
              <w:snapToGrid w:val="0"/>
              <w:spacing w:line="300" w:lineRule="auto"/>
              <w:jc w:val="center"/>
            </w:pPr>
            <w:r>
              <w:rPr>
                <w:rFonts w:hint="eastAsia"/>
              </w:rPr>
              <w:t>0.068</w:t>
            </w:r>
          </w:p>
        </w:tc>
      </w:tr>
      <w:tr w14:paraId="7117BB19">
        <w:tblPrEx>
          <w:tblCellMar>
            <w:top w:w="0" w:type="dxa"/>
            <w:left w:w="108" w:type="dxa"/>
            <w:bottom w:w="0" w:type="dxa"/>
            <w:right w:w="108" w:type="dxa"/>
          </w:tblCellMar>
        </w:tblPrEx>
        <w:trPr>
          <w:jc w:val="center"/>
        </w:trPr>
        <w:tc>
          <w:tcPr>
            <w:tcW w:w="2060" w:type="pct"/>
            <w:shd w:val="clear" w:color="auto" w:fill="auto"/>
            <w:vAlign w:val="center"/>
          </w:tcPr>
          <w:p w14:paraId="00B42942">
            <w:pPr>
              <w:snapToGrid w:val="0"/>
              <w:spacing w:line="300" w:lineRule="auto"/>
              <w:jc w:val="center"/>
            </w:pPr>
            <w:r>
              <w:rPr>
                <w:rFonts w:hint="eastAsia"/>
              </w:rPr>
              <w:t>正丙苯</w:t>
            </w:r>
          </w:p>
        </w:tc>
        <w:tc>
          <w:tcPr>
            <w:tcW w:w="2940" w:type="pct"/>
            <w:shd w:val="clear" w:color="auto" w:fill="auto"/>
            <w:vAlign w:val="center"/>
          </w:tcPr>
          <w:p w14:paraId="1A9F6CA5">
            <w:pPr>
              <w:snapToGrid w:val="0"/>
              <w:spacing w:line="300" w:lineRule="auto"/>
              <w:jc w:val="center"/>
            </w:pPr>
            <w:r>
              <w:rPr>
                <w:rFonts w:hint="eastAsia"/>
              </w:rPr>
              <w:t>0.636</w:t>
            </w:r>
          </w:p>
        </w:tc>
      </w:tr>
      <w:tr w14:paraId="58C400B2">
        <w:trPr>
          <w:jc w:val="center"/>
        </w:trPr>
        <w:tc>
          <w:tcPr>
            <w:tcW w:w="2060" w:type="pct"/>
            <w:tcBorders>
              <w:bottom w:val="single" w:color="auto" w:sz="12" w:space="0"/>
            </w:tcBorders>
            <w:shd w:val="clear" w:color="auto" w:fill="auto"/>
            <w:vAlign w:val="center"/>
          </w:tcPr>
          <w:p w14:paraId="3671AC86">
            <w:pPr>
              <w:snapToGrid w:val="0"/>
              <w:spacing w:line="300" w:lineRule="auto"/>
              <w:jc w:val="center"/>
            </w:pPr>
            <w:r>
              <w:rPr>
                <w:rFonts w:hint="eastAsia"/>
              </w:rPr>
              <w:t>丙烷</w:t>
            </w:r>
          </w:p>
        </w:tc>
        <w:tc>
          <w:tcPr>
            <w:tcW w:w="2940" w:type="pct"/>
            <w:tcBorders>
              <w:bottom w:val="single" w:color="auto" w:sz="12" w:space="0"/>
            </w:tcBorders>
            <w:shd w:val="clear" w:color="auto" w:fill="auto"/>
            <w:vAlign w:val="center"/>
          </w:tcPr>
          <w:p w14:paraId="41F46B45">
            <w:pPr>
              <w:snapToGrid w:val="0"/>
              <w:spacing w:line="300" w:lineRule="auto"/>
              <w:jc w:val="center"/>
            </w:pPr>
            <w:r>
              <w:rPr>
                <w:rFonts w:hint="eastAsia"/>
              </w:rPr>
              <w:t>0.176</w:t>
            </w:r>
          </w:p>
        </w:tc>
      </w:tr>
    </w:tbl>
    <w:p w14:paraId="725B8334">
      <w:pPr>
        <w:pStyle w:val="5"/>
        <w:spacing w:before="0" w:after="0" w:line="240" w:lineRule="auto"/>
        <w:rPr>
          <w:sz w:val="24"/>
          <w:szCs w:val="24"/>
        </w:rPr>
      </w:pPr>
      <w:r>
        <w:rPr>
          <w:sz w:val="24"/>
          <w:szCs w:val="24"/>
        </w:rPr>
        <w:t>C.2.2</w:t>
      </w:r>
      <w:r>
        <w:rPr>
          <w:rFonts w:hint="eastAsia"/>
          <w:sz w:val="24"/>
          <w:szCs w:val="24"/>
        </w:rPr>
        <w:t xml:space="preserve">  霾污染生成潜势的污染因子计算</w:t>
      </w:r>
    </w:p>
    <w:p w14:paraId="3BC55A3A">
      <w:pPr>
        <w:snapToGrid w:val="0"/>
        <w:spacing w:line="300" w:lineRule="auto"/>
        <w:ind w:firstLine="480" w:firstLineChars="200"/>
        <w:rPr>
          <w:color w:val="000000"/>
          <w:sz w:val="24"/>
        </w:rPr>
      </w:pPr>
      <w:r>
        <w:rPr>
          <w:rFonts w:hint="eastAsia"/>
          <w:color w:val="000000"/>
          <w:sz w:val="24"/>
        </w:rPr>
        <w:t>（1）能源消耗过程对PM</w:t>
      </w:r>
      <w:r>
        <w:rPr>
          <w:rFonts w:hint="eastAsia"/>
          <w:color w:val="000000"/>
          <w:sz w:val="24"/>
          <w:vertAlign w:val="subscript"/>
        </w:rPr>
        <w:t>2.5</w:t>
      </w:r>
      <w:r>
        <w:rPr>
          <w:rFonts w:hint="eastAsia"/>
          <w:color w:val="000000"/>
          <w:sz w:val="24"/>
        </w:rPr>
        <w:t>的贡献</w:t>
      </w:r>
    </w:p>
    <w:p w14:paraId="1D23321F">
      <w:pPr>
        <w:snapToGrid w:val="0"/>
        <w:spacing w:line="300" w:lineRule="auto"/>
        <w:ind w:firstLine="480" w:firstLineChars="200"/>
        <w:rPr>
          <w:color w:val="000000"/>
          <w:sz w:val="24"/>
        </w:rPr>
      </w:pPr>
      <w:r>
        <w:rPr>
          <w:rFonts w:hint="eastAsia"/>
          <w:color w:val="000000"/>
          <w:sz w:val="24"/>
        </w:rPr>
        <w:t>1000g煤炭燃烧发电会产生0.4~0.6g PM</w:t>
      </w:r>
      <w:r>
        <w:rPr>
          <w:rFonts w:hint="eastAsia"/>
          <w:color w:val="000000"/>
          <w:sz w:val="24"/>
          <w:vertAlign w:val="subscript"/>
        </w:rPr>
        <w:t>2.5</w:t>
      </w:r>
      <w:r>
        <w:rPr>
          <w:rFonts w:hint="eastAsia"/>
          <w:color w:val="000000"/>
          <w:sz w:val="24"/>
        </w:rPr>
        <w:t>，本次研究取中间值1000g煤炭燃烧发电会直接产生0.5g PM</w:t>
      </w:r>
      <w:r>
        <w:rPr>
          <w:rFonts w:hint="eastAsia"/>
          <w:color w:val="000000"/>
          <w:sz w:val="24"/>
          <w:vertAlign w:val="subscript"/>
        </w:rPr>
        <w:t>2.5</w:t>
      </w:r>
      <w:r>
        <w:rPr>
          <w:rFonts w:hint="eastAsia"/>
          <w:color w:val="000000"/>
          <w:sz w:val="24"/>
        </w:rPr>
        <w:t>。发电过程中生产1kW·h的电直接产生0.16g PM</w:t>
      </w:r>
      <w:r>
        <w:rPr>
          <w:rFonts w:hint="eastAsia"/>
          <w:color w:val="000000"/>
          <w:sz w:val="24"/>
          <w:vertAlign w:val="subscript"/>
        </w:rPr>
        <w:t>2.5</w:t>
      </w:r>
      <w:r>
        <w:rPr>
          <w:rFonts w:hint="eastAsia"/>
          <w:color w:val="000000"/>
          <w:sz w:val="24"/>
        </w:rPr>
        <w:t>。</w:t>
      </w:r>
    </w:p>
    <w:p w14:paraId="6A469AF0">
      <w:pPr>
        <w:snapToGrid w:val="0"/>
        <w:spacing w:line="300" w:lineRule="auto"/>
        <w:ind w:firstLine="480" w:firstLineChars="200"/>
        <w:rPr>
          <w:color w:val="000000"/>
          <w:sz w:val="24"/>
        </w:rPr>
      </w:pPr>
      <w:r>
        <w:rPr>
          <w:rFonts w:hint="eastAsia"/>
          <w:color w:val="000000"/>
          <w:sz w:val="24"/>
        </w:rPr>
        <w:t>电厂生产1kW·h的电量会产生二氧化氮0.576g，二氧化硫0.36g。发电过程中生产1kW·h的电产生的二氧化硫和二氧化氮会在大气中转化成0.05g PM</w:t>
      </w:r>
      <w:r>
        <w:rPr>
          <w:rFonts w:hint="eastAsia"/>
          <w:color w:val="000000"/>
          <w:sz w:val="24"/>
          <w:vertAlign w:val="subscript"/>
        </w:rPr>
        <w:t>2.5</w:t>
      </w:r>
      <w:r>
        <w:rPr>
          <w:rFonts w:hint="eastAsia"/>
          <w:color w:val="000000"/>
          <w:sz w:val="24"/>
        </w:rPr>
        <w:t>。</w:t>
      </w:r>
    </w:p>
    <w:p w14:paraId="31B2D490">
      <w:pPr>
        <w:snapToGrid w:val="0"/>
        <w:spacing w:line="300" w:lineRule="auto"/>
        <w:ind w:firstLine="480" w:firstLineChars="200"/>
        <w:rPr>
          <w:color w:val="000000"/>
          <w:sz w:val="24"/>
        </w:rPr>
      </w:pPr>
      <w:r>
        <w:rPr>
          <w:rFonts w:hint="eastAsia"/>
          <w:color w:val="000000"/>
          <w:sz w:val="24"/>
        </w:rPr>
        <w:t>综合以上计算，使用1kW·h的电会产生0.21g PM</w:t>
      </w:r>
      <w:r>
        <w:rPr>
          <w:rFonts w:hint="eastAsia"/>
          <w:color w:val="000000"/>
          <w:sz w:val="24"/>
          <w:vertAlign w:val="subscript"/>
        </w:rPr>
        <w:t>2.5</w:t>
      </w:r>
      <w:r>
        <w:rPr>
          <w:rFonts w:hint="eastAsia"/>
          <w:color w:val="000000"/>
          <w:sz w:val="24"/>
        </w:rPr>
        <w:t>。</w:t>
      </w:r>
    </w:p>
    <w:p w14:paraId="349156F4">
      <w:pPr>
        <w:snapToGrid w:val="0"/>
        <w:spacing w:line="300" w:lineRule="auto"/>
        <w:ind w:firstLine="480" w:firstLineChars="200"/>
        <w:rPr>
          <w:color w:val="000000"/>
          <w:sz w:val="24"/>
        </w:rPr>
      </w:pPr>
      <w:r>
        <w:rPr>
          <w:rFonts w:hint="eastAsia"/>
          <w:color w:val="000000"/>
          <w:sz w:val="24"/>
        </w:rPr>
        <w:t>（2）排放过程对PM</w:t>
      </w:r>
      <w:r>
        <w:rPr>
          <w:rFonts w:hint="eastAsia"/>
          <w:color w:val="000000"/>
          <w:sz w:val="24"/>
          <w:vertAlign w:val="subscript"/>
        </w:rPr>
        <w:t>2.5</w:t>
      </w:r>
      <w:r>
        <w:rPr>
          <w:rFonts w:hint="eastAsia"/>
          <w:color w:val="000000"/>
          <w:sz w:val="24"/>
        </w:rPr>
        <w:t>的贡献</w:t>
      </w:r>
    </w:p>
    <w:p w14:paraId="46C1A2C9">
      <w:pPr>
        <w:snapToGrid w:val="0"/>
        <w:spacing w:line="300" w:lineRule="auto"/>
        <w:ind w:firstLine="480" w:firstLineChars="200"/>
        <w:rPr>
          <w:color w:val="000000"/>
          <w:sz w:val="24"/>
        </w:rPr>
      </w:pPr>
      <w:r>
        <w:rPr>
          <w:rFonts w:hint="eastAsia"/>
          <w:color w:val="000000"/>
          <w:sz w:val="24"/>
        </w:rPr>
        <w:t>单位质量二氧化氮转化为PM</w:t>
      </w:r>
      <w:r>
        <w:rPr>
          <w:rFonts w:hint="eastAsia"/>
          <w:color w:val="000000"/>
          <w:sz w:val="24"/>
          <w:vertAlign w:val="subscript"/>
        </w:rPr>
        <w:t>2.5</w:t>
      </w:r>
      <w:r>
        <w:rPr>
          <w:rFonts w:hint="eastAsia"/>
          <w:color w:val="000000"/>
          <w:sz w:val="24"/>
        </w:rPr>
        <w:t>的系数约为0.06。</w:t>
      </w:r>
    </w:p>
    <w:p w14:paraId="7854AA38">
      <w:pPr>
        <w:snapToGrid w:val="0"/>
        <w:spacing w:line="300" w:lineRule="auto"/>
        <w:ind w:left="420" w:leftChars="200"/>
        <w:rPr>
          <w:color w:val="000000"/>
          <w:sz w:val="24"/>
        </w:rPr>
      </w:pPr>
      <w:r>
        <w:rPr>
          <w:rFonts w:hint="eastAsia"/>
          <w:color w:val="000000"/>
          <w:sz w:val="24"/>
        </w:rPr>
        <w:t>大气中的二次有机气溶胶(Secondary Organic Aerosol, SOA)是PM</w:t>
      </w:r>
      <w:r>
        <w:rPr>
          <w:rFonts w:hint="eastAsia"/>
          <w:color w:val="000000"/>
          <w:sz w:val="24"/>
          <w:vertAlign w:val="subscript"/>
        </w:rPr>
        <w:t>2.5</w:t>
      </w:r>
      <w:r>
        <w:rPr>
          <w:rFonts w:hint="eastAsia"/>
          <w:color w:val="000000"/>
          <w:sz w:val="24"/>
        </w:rPr>
        <w:t>的重要组成部分，芳</w:t>
      </w:r>
    </w:p>
    <w:p w14:paraId="3B2234C2">
      <w:pPr>
        <w:snapToGrid w:val="0"/>
        <w:spacing w:line="300" w:lineRule="auto"/>
        <w:rPr>
          <w:color w:val="000000"/>
          <w:sz w:val="24"/>
        </w:rPr>
      </w:pPr>
      <w:r>
        <w:rPr>
          <w:rFonts w:hint="eastAsia"/>
          <w:color w:val="000000"/>
          <w:sz w:val="24"/>
        </w:rPr>
        <w:t>香烃对PM</w:t>
      </w:r>
      <w:r>
        <w:rPr>
          <w:rFonts w:hint="eastAsia"/>
          <w:color w:val="000000"/>
          <w:sz w:val="24"/>
          <w:vertAlign w:val="subscript"/>
        </w:rPr>
        <w:t>2.5</w:t>
      </w:r>
      <w:r>
        <w:rPr>
          <w:rFonts w:hint="eastAsia"/>
          <w:color w:val="000000"/>
          <w:sz w:val="24"/>
        </w:rPr>
        <w:t>的贡献系数为0.23，烯烃对PM</w:t>
      </w:r>
      <w:r>
        <w:rPr>
          <w:rFonts w:hint="eastAsia"/>
          <w:color w:val="000000"/>
          <w:sz w:val="24"/>
          <w:vertAlign w:val="subscript"/>
        </w:rPr>
        <w:t>2.5</w:t>
      </w:r>
      <w:r>
        <w:rPr>
          <w:rFonts w:hint="eastAsia"/>
          <w:color w:val="000000"/>
          <w:sz w:val="24"/>
        </w:rPr>
        <w:t>的贡献系数为0.05，烷烃对PM</w:t>
      </w:r>
      <w:r>
        <w:rPr>
          <w:rFonts w:hint="eastAsia"/>
          <w:color w:val="000000"/>
          <w:sz w:val="24"/>
          <w:vertAlign w:val="subscript"/>
        </w:rPr>
        <w:t>2.5</w:t>
      </w:r>
      <w:r>
        <w:rPr>
          <w:rFonts w:hint="eastAsia"/>
          <w:color w:val="000000"/>
          <w:sz w:val="24"/>
        </w:rPr>
        <w:t>的贡献系数为0.02。本研究取VOCs对PM</w:t>
      </w:r>
      <w:r>
        <w:rPr>
          <w:rFonts w:hint="eastAsia"/>
          <w:color w:val="000000"/>
          <w:sz w:val="24"/>
          <w:vertAlign w:val="subscript"/>
        </w:rPr>
        <w:t>2.5</w:t>
      </w:r>
      <w:r>
        <w:rPr>
          <w:rFonts w:hint="eastAsia"/>
          <w:color w:val="000000"/>
          <w:sz w:val="24"/>
        </w:rPr>
        <w:t>的贡献系数为0.23。</w:t>
      </w:r>
    </w:p>
    <w:p w14:paraId="25E50BB5">
      <w:pPr>
        <w:pStyle w:val="56"/>
        <w:ind w:firstLine="420"/>
      </w:pPr>
    </w:p>
    <w:bookmarkEnd w:id="276"/>
    <w:p w14:paraId="66B94E0B">
      <w:pPr>
        <w:pStyle w:val="56"/>
        <w:ind w:firstLine="420"/>
        <w:sectPr>
          <w:pgSz w:w="11906" w:h="16838"/>
          <w:pgMar w:top="1871" w:right="1134" w:bottom="1134" w:left="1134" w:header="1418" w:footer="1134" w:gutter="284"/>
          <w:cols w:space="425" w:num="1"/>
          <w:formProt w:val="0"/>
          <w:docGrid w:type="lines" w:linePitch="312" w:charSpace="0"/>
        </w:sectPr>
      </w:pPr>
      <w:bookmarkStart w:id="283" w:name="BookMark6"/>
    </w:p>
    <w:p w14:paraId="6DF3E99D">
      <w:pPr>
        <w:pStyle w:val="63"/>
        <w:spacing w:before="124" w:after="156"/>
      </w:pPr>
      <w:bookmarkStart w:id="284" w:name="_Toc149654178"/>
      <w:r>
        <w:rPr>
          <w:rFonts w:hint="eastAsia"/>
          <w:spacing w:val="105"/>
        </w:rPr>
        <w:t>参考文</w:t>
      </w:r>
      <w:r>
        <w:rPr>
          <w:rFonts w:hint="eastAsia"/>
        </w:rPr>
        <w:t>献</w:t>
      </w:r>
      <w:bookmarkEnd w:id="284"/>
    </w:p>
    <w:p w14:paraId="35AE15CE">
      <w:pPr>
        <w:pStyle w:val="56"/>
        <w:spacing w:line="360" w:lineRule="exact"/>
        <w:ind w:firstLine="420"/>
        <w:rPr>
          <w:rFonts w:ascii="Times New Roman"/>
        </w:rPr>
      </w:pPr>
      <w:bookmarkStart w:id="285" w:name="_Hlk133352512"/>
      <w:r>
        <w:rPr>
          <w:rFonts w:ascii="Times New Roman"/>
        </w:rPr>
        <w:t>[1] GB 16297—1996  大气污染物综合排放标准</w:t>
      </w:r>
    </w:p>
    <w:bookmarkEnd w:id="285"/>
    <w:p w14:paraId="728753E7">
      <w:pPr>
        <w:pStyle w:val="56"/>
        <w:spacing w:line="360" w:lineRule="exact"/>
        <w:ind w:firstLine="420"/>
        <w:rPr>
          <w:rFonts w:ascii="Times New Roman"/>
        </w:rPr>
      </w:pPr>
      <w:r>
        <w:rPr>
          <w:rFonts w:ascii="Times New Roman"/>
        </w:rPr>
        <w:t>[2] GB 31572—2015  合成树脂工业污染物排放标准</w:t>
      </w:r>
    </w:p>
    <w:p w14:paraId="4CAABD7A">
      <w:pPr>
        <w:pStyle w:val="56"/>
        <w:spacing w:line="360" w:lineRule="exact"/>
        <w:ind w:firstLine="420"/>
        <w:rPr>
          <w:rFonts w:ascii="Times New Roman"/>
        </w:rPr>
      </w:pPr>
      <w:r>
        <w:rPr>
          <w:rFonts w:ascii="Times New Roman"/>
        </w:rPr>
        <w:t>[3] GB 37822—2019  挥发性有机物无组织排放控制标准</w:t>
      </w:r>
    </w:p>
    <w:p w14:paraId="4D33D533">
      <w:pPr>
        <w:pStyle w:val="56"/>
        <w:spacing w:line="360" w:lineRule="exact"/>
        <w:ind w:firstLine="420"/>
        <w:rPr>
          <w:rFonts w:ascii="Times New Roman"/>
        </w:rPr>
      </w:pPr>
      <w:r>
        <w:rPr>
          <w:rFonts w:ascii="Times New Roman"/>
        </w:rPr>
        <w:t>[4] GB 37824—2019  涂料、油墨及胶粘剂工业大气污染物排放标准</w:t>
      </w:r>
    </w:p>
    <w:p w14:paraId="5886E43C">
      <w:pPr>
        <w:pStyle w:val="56"/>
        <w:spacing w:line="360" w:lineRule="exact"/>
        <w:ind w:firstLine="420"/>
        <w:rPr>
          <w:rFonts w:ascii="Times New Roman"/>
        </w:rPr>
      </w:pPr>
      <w:r>
        <w:rPr>
          <w:rFonts w:ascii="Times New Roman"/>
        </w:rPr>
        <w:t>[5] GB/T 13553—1996  胶粘剂分类</w:t>
      </w:r>
    </w:p>
    <w:p w14:paraId="49EEC26A">
      <w:pPr>
        <w:pStyle w:val="56"/>
        <w:spacing w:line="360" w:lineRule="exact"/>
        <w:ind w:firstLine="420"/>
        <w:rPr>
          <w:rFonts w:ascii="Times New Roman"/>
        </w:rPr>
      </w:pPr>
      <w:r>
        <w:rPr>
          <w:rFonts w:hint="eastAsia" w:ascii="Times New Roman"/>
        </w:rPr>
        <w:t>[</w:t>
      </w:r>
      <w:r>
        <w:rPr>
          <w:rFonts w:ascii="Times New Roman"/>
        </w:rPr>
        <w:t>6] HJ 1103—2020  排污许可证申请与核发技术规范</w:t>
      </w:r>
      <w:r>
        <w:rPr>
          <w:rFonts w:hint="eastAsia" w:ascii="Times New Roman"/>
        </w:rPr>
        <w:t xml:space="preserve"> </w:t>
      </w:r>
      <w:r>
        <w:rPr>
          <w:rFonts w:ascii="Times New Roman"/>
        </w:rPr>
        <w:t xml:space="preserve"> </w:t>
      </w:r>
      <w:r>
        <w:rPr>
          <w:rFonts w:hint="eastAsia" w:ascii="Times New Roman"/>
        </w:rPr>
        <w:t>专用化学产品制造工业</w:t>
      </w:r>
    </w:p>
    <w:p w14:paraId="67A53692">
      <w:pPr>
        <w:pStyle w:val="56"/>
        <w:spacing w:line="360" w:lineRule="exact"/>
        <w:ind w:firstLine="420"/>
        <w:rPr>
          <w:rFonts w:ascii="Times New Roman"/>
        </w:rPr>
      </w:pPr>
      <w:r>
        <w:rPr>
          <w:rFonts w:ascii="Times New Roman"/>
        </w:rPr>
        <w:t>[7] HJ 1116—2020  排污许可证申请与核发技术规范</w:t>
      </w:r>
      <w:r>
        <w:rPr>
          <w:rFonts w:hint="eastAsia" w:ascii="Times New Roman"/>
        </w:rPr>
        <w:t xml:space="preserve"> </w:t>
      </w:r>
      <w:r>
        <w:rPr>
          <w:rFonts w:ascii="Times New Roman"/>
        </w:rPr>
        <w:t xml:space="preserve"> 涂料、油墨、颜料及其类似产品制造业</w:t>
      </w:r>
    </w:p>
    <w:p w14:paraId="482B659E">
      <w:pPr>
        <w:pStyle w:val="56"/>
        <w:spacing w:line="360" w:lineRule="exact"/>
        <w:ind w:firstLine="420"/>
        <w:rPr>
          <w:rFonts w:ascii="Times New Roman"/>
        </w:rPr>
      </w:pPr>
      <w:r>
        <w:rPr>
          <w:rFonts w:hint="eastAsia" w:ascii="Times New Roman"/>
        </w:rPr>
        <w:t>[</w:t>
      </w:r>
      <w:r>
        <w:rPr>
          <w:rFonts w:ascii="Times New Roman"/>
        </w:rPr>
        <w:t xml:space="preserve">8] HJ 1179-2021 </w:t>
      </w:r>
      <w:r>
        <w:rPr>
          <w:rFonts w:hint="eastAsia" w:ascii="Times New Roman"/>
        </w:rPr>
        <w:t>涂料油墨工业污染防治可行技术指南</w:t>
      </w:r>
    </w:p>
    <w:p w14:paraId="43E62B6D">
      <w:pPr>
        <w:pStyle w:val="56"/>
        <w:spacing w:line="360" w:lineRule="exact"/>
        <w:ind w:firstLine="420"/>
        <w:rPr>
          <w:rFonts w:ascii="Times New Roman"/>
        </w:rPr>
      </w:pPr>
      <w:bookmarkStart w:id="286" w:name="_Hlk133534457"/>
      <w:r>
        <w:rPr>
          <w:rFonts w:ascii="Times New Roman"/>
        </w:rPr>
        <w:t>[9] 《污染源自动监控管理办法》（国家环境保护总局令第28号）</w:t>
      </w:r>
    </w:p>
    <w:p w14:paraId="701CC3F2">
      <w:pPr>
        <w:pStyle w:val="56"/>
        <w:spacing w:line="360" w:lineRule="exact"/>
        <w:ind w:firstLine="420"/>
        <w:rPr>
          <w:rFonts w:ascii="Times New Roman"/>
        </w:rPr>
      </w:pPr>
      <w:r>
        <w:rPr>
          <w:rFonts w:ascii="Times New Roman"/>
        </w:rPr>
        <w:t>[10] 《环境监测管理办法》（国家环境保护总局令第39号）</w:t>
      </w:r>
    </w:p>
    <w:p w14:paraId="1A960278">
      <w:pPr>
        <w:pStyle w:val="56"/>
        <w:spacing w:line="360" w:lineRule="exact"/>
        <w:ind w:firstLine="420"/>
        <w:rPr>
          <w:rFonts w:ascii="Times New Roman"/>
        </w:rPr>
      </w:pPr>
      <w:bookmarkStart w:id="287" w:name="_Hlk133352542"/>
      <w:r>
        <w:rPr>
          <w:rFonts w:ascii="Times New Roman"/>
        </w:rPr>
        <w:t>[11]</w:t>
      </w:r>
      <w:r>
        <w:rPr>
          <w:rFonts w:hint="eastAsia" w:ascii="Times New Roman"/>
        </w:rPr>
        <w:t xml:space="preserve"> 生态环境部大气环境司</w:t>
      </w:r>
      <w:r>
        <w:rPr>
          <w:rFonts w:hAnsi="宋体"/>
        </w:rPr>
        <w:t>.</w:t>
      </w:r>
      <w:r>
        <w:rPr>
          <w:rFonts w:ascii="Times New Roman"/>
        </w:rPr>
        <w:t xml:space="preserve"> </w:t>
      </w:r>
      <w:r>
        <w:rPr>
          <w:rFonts w:hint="eastAsia" w:ascii="Times New Roman"/>
        </w:rPr>
        <w:t>《涂料、油墨及胶粘剂制造业挥发性有机物治理实用手册》</w:t>
      </w:r>
      <w:r>
        <w:rPr>
          <w:rFonts w:hAnsi="宋体"/>
        </w:rPr>
        <w:t>.</w:t>
      </w:r>
      <w:r>
        <w:rPr>
          <w:rFonts w:ascii="Times New Roman"/>
        </w:rPr>
        <w:t xml:space="preserve"> 2020</w:t>
      </w:r>
      <w:r>
        <w:rPr>
          <w:rFonts w:hint="eastAsia" w:ascii="Times New Roman"/>
        </w:rPr>
        <w:t>年</w:t>
      </w:r>
    </w:p>
    <w:p w14:paraId="07E96A46">
      <w:pPr>
        <w:pStyle w:val="56"/>
        <w:spacing w:line="360" w:lineRule="exact"/>
        <w:ind w:firstLine="420"/>
        <w:rPr>
          <w:rFonts w:ascii="Times New Roman"/>
        </w:rPr>
      </w:pPr>
      <w:r>
        <w:rPr>
          <w:rFonts w:hint="eastAsia" w:ascii="Times New Roman"/>
        </w:rPr>
        <w:t>[</w:t>
      </w:r>
      <w:r>
        <w:rPr>
          <w:rFonts w:ascii="Times New Roman"/>
        </w:rPr>
        <w:t xml:space="preserve">12] </w:t>
      </w:r>
      <w:r>
        <w:rPr>
          <w:rFonts w:hint="eastAsia" w:ascii="Times New Roman"/>
        </w:rPr>
        <w:t>生态环境部大气环境司</w:t>
      </w:r>
      <w:r>
        <w:rPr>
          <w:rFonts w:hAnsi="宋体"/>
        </w:rPr>
        <w:t>.</w:t>
      </w:r>
      <w:r>
        <w:rPr>
          <w:rFonts w:ascii="Times New Roman"/>
        </w:rPr>
        <w:t xml:space="preserve"> </w:t>
      </w:r>
      <w:r>
        <w:rPr>
          <w:rFonts w:hint="eastAsia" w:ascii="Times New Roman"/>
        </w:rPr>
        <w:t xml:space="preserve">《挥发性有机治理实用手册》，中国环境出版集团， </w:t>
      </w:r>
      <w:r>
        <w:rPr>
          <w:rFonts w:ascii="Times New Roman"/>
        </w:rPr>
        <w:t>2020</w:t>
      </w:r>
      <w:r>
        <w:rPr>
          <w:rFonts w:hint="eastAsia" w:ascii="Times New Roman"/>
        </w:rPr>
        <w:t>年</w:t>
      </w:r>
    </w:p>
    <w:p w14:paraId="209EA725">
      <w:pPr>
        <w:pStyle w:val="56"/>
        <w:spacing w:line="360" w:lineRule="exact"/>
        <w:ind w:firstLine="420"/>
        <w:rPr>
          <w:rFonts w:ascii="Times New Roman"/>
        </w:rPr>
      </w:pPr>
      <w:r>
        <w:rPr>
          <w:rFonts w:hint="eastAsia" w:ascii="Times New Roman"/>
        </w:rPr>
        <w:t>[</w:t>
      </w:r>
      <w:r>
        <w:rPr>
          <w:rFonts w:ascii="Times New Roman"/>
        </w:rPr>
        <w:t xml:space="preserve">13] DB31/933-2015: </w:t>
      </w:r>
      <w:r>
        <w:rPr>
          <w:rFonts w:hint="eastAsia" w:ascii="Times New Roman"/>
        </w:rPr>
        <w:t>大气污染物综合排放标准</w:t>
      </w:r>
    </w:p>
    <w:bookmarkEnd w:id="286"/>
    <w:bookmarkEnd w:id="287"/>
    <w:p w14:paraId="41562246">
      <w:pPr>
        <w:pStyle w:val="56"/>
        <w:ind w:firstLine="420"/>
      </w:pPr>
    </w:p>
    <w:p w14:paraId="206DA32F">
      <w:pPr>
        <w:pStyle w:val="56"/>
        <w:ind w:firstLine="420"/>
      </w:pPr>
    </w:p>
    <w:p w14:paraId="291A0E0E">
      <w:pPr>
        <w:pStyle w:val="56"/>
        <w:ind w:firstLine="420"/>
      </w:pPr>
    </w:p>
    <w:p w14:paraId="6799E99A">
      <w:pPr>
        <w:pStyle w:val="56"/>
        <w:ind w:firstLine="420"/>
      </w:pPr>
    </w:p>
    <w:bookmarkEnd w:id="283"/>
    <w:p w14:paraId="16A3B3D5">
      <w:pPr>
        <w:pStyle w:val="56"/>
        <w:ind w:firstLine="0" w:firstLineChars="0"/>
        <w:jc w:val="center"/>
      </w:pPr>
      <w:bookmarkStart w:id="288" w:name="BookMark8"/>
      <w: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5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88"/>
    </w:p>
    <w:sectPr>
      <w:headerReference r:id="rId27" w:type="default"/>
      <w:footerReference r:id="rId29" w:type="default"/>
      <w:headerReference r:id="rId28" w:type="even"/>
      <w:footerReference r:id="rId30" w:type="even"/>
      <w:pgSz w:w="11906" w:h="16838"/>
      <w:pgMar w:top="1871"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imes New Roman Regular">
    <w:altName w:val="Arial"/>
    <w:panose1 w:val="00000000000000000000"/>
    <w:charset w:val="00"/>
    <w:family w:val="auto"/>
    <w:pitch w:val="default"/>
    <w:sig w:usb0="00000000" w:usb1="00000000" w:usb2="00000001" w:usb3="00000000" w:csb0="400001BF" w:csb1="DFF70000"/>
  </w:font>
  <w:font w:name="宋体e眠副浡渀.">
    <w:altName w:val="宋体"/>
    <w:panose1 w:val="00000000000000000000"/>
    <w:charset w:val="00"/>
    <w:family w:val="auto"/>
    <w:pitch w:val="default"/>
    <w:sig w:usb0="00000000" w:usb1="00000000" w:usb2="00000000" w:usb3="00000000" w:csb0="00000000"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Lucida Sans Unicode">
    <w:panose1 w:val="020B0602030504020204"/>
    <w:charset w:val="00"/>
    <w:family w:val="swiss"/>
    <w:pitch w:val="default"/>
    <w:sig w:usb0="80001AFF" w:usb1="0000396B" w:usb2="00000000" w:usb3="00000000" w:csb0="200000BF" w:csb1="D7F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8E759">
    <w:pPr>
      <w:pStyle w:val="1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86830">
    <w:pPr>
      <w:pStyle w:val="52"/>
    </w:pPr>
    <w:r>
      <w:fldChar w:fldCharType="begin"/>
    </w:r>
    <w:r>
      <w:instrText xml:space="preserve">PAGE   \* MERGEFORMAT</w:instrText>
    </w:r>
    <w:r>
      <w:fldChar w:fldCharType="separate"/>
    </w:r>
    <w:r>
      <w:rPr>
        <w:lang w:val="zh-CN"/>
      </w:rPr>
      <w:t>1</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F5DED">
    <w:pPr>
      <w:pStyle w:val="51"/>
    </w:pPr>
    <w:r>
      <w:fldChar w:fldCharType="begin"/>
    </w:r>
    <w:r>
      <w:instrText xml:space="preserve">PAGE   \* MERGEFORMAT</w:instrText>
    </w:r>
    <w:r>
      <w:fldChar w:fldCharType="separate"/>
    </w:r>
    <w:r>
      <w:rPr>
        <w:lang w:val="zh-CN"/>
      </w:rPr>
      <w:t>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9D029">
    <w:pPr>
      <w:pStyle w:val="52"/>
    </w:pPr>
    <w:r>
      <w:fldChar w:fldCharType="begin"/>
    </w:r>
    <w:r>
      <w:instrText xml:space="preserve">PAGE   \* MERGEFORMAT</w:instrText>
    </w:r>
    <w:r>
      <w:fldChar w:fldCharType="separate"/>
    </w:r>
    <w:r>
      <w:rPr>
        <w:lang w:val="zh-CN"/>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1EB66">
    <w:pPr>
      <w:pStyle w:val="51"/>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24EE62">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631B51">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D7656F">
    <w:pPr>
      <w:pStyle w:val="52"/>
    </w:pPr>
    <w:r>
      <w:fldChar w:fldCharType="begin"/>
    </w:r>
    <w:r>
      <w:instrText xml:space="preserve">PAGE   \* MERGEFORMAT</w:instrText>
    </w:r>
    <w:r>
      <w:fldChar w:fldCharType="separate"/>
    </w:r>
    <w:r>
      <w:rPr>
        <w:lang w:val="zh-CN"/>
      </w:rPr>
      <w:t>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5ECF4">
    <w:pPr>
      <w:pStyle w:val="51"/>
    </w:pPr>
    <w:r>
      <w:fldChar w:fldCharType="begin"/>
    </w:r>
    <w:r>
      <w:instrText xml:space="preserve">PAGE   \* MERGEFORMAT</w:instrText>
    </w:r>
    <w:r>
      <w:fldChar w:fldCharType="separate"/>
    </w:r>
    <w:r>
      <w:rPr>
        <w:lang w:val="zh-CN"/>
      </w:rPr>
      <w:t>2</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E1779">
    <w:pPr>
      <w:pStyle w:val="52"/>
    </w:pPr>
    <w:r>
      <w:fldChar w:fldCharType="begin"/>
    </w:r>
    <w:r>
      <w:instrText xml:space="preserve">PAGE   \* MERGEFORMAT</w:instrText>
    </w:r>
    <w:r>
      <w:fldChar w:fldCharType="separate"/>
    </w:r>
    <w:r>
      <w:rPr>
        <w:lang w:val="zh-CN"/>
      </w:rPr>
      <w:t>1</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CE656">
    <w:pPr>
      <w:pStyle w:val="51"/>
    </w:pPr>
    <w:r>
      <w:fldChar w:fldCharType="begin"/>
    </w:r>
    <w:r>
      <w:instrText xml:space="preserve">PAGE   \* MERGEFORMAT</w:instrText>
    </w:r>
    <w:r>
      <w:fldChar w:fldCharType="separate"/>
    </w:r>
    <w:r>
      <w:rPr>
        <w:lang w:val="zh-CN"/>
      </w:rPr>
      <w:t>2</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075F6">
    <w:pPr>
      <w:pStyle w:val="52"/>
    </w:pPr>
    <w:r>
      <w:fldChar w:fldCharType="begin"/>
    </w:r>
    <w:r>
      <w:instrText xml:space="preserve">PAGE   \* MERGEFORMAT</w:instrText>
    </w:r>
    <w:r>
      <w:fldChar w:fldCharType="separate"/>
    </w:r>
    <w:r>
      <w:rPr>
        <w:lang w:val="zh-CN"/>
      </w:rPr>
      <w:t>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847A24">
    <w:pPr>
      <w:pStyle w:val="51"/>
    </w:pPr>
    <w:r>
      <w:fldChar w:fldCharType="begin"/>
    </w:r>
    <w:r>
      <w:instrText xml:space="preserve">PAGE   \* MERGEFORMAT</w:instrText>
    </w:r>
    <w:r>
      <w:fldChar w:fldCharType="separate"/>
    </w:r>
    <w:r>
      <w:rPr>
        <w:lang w:val="zh-CN"/>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91C1A">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D165D9">
    <w:pPr>
      <w:pStyle w:val="61"/>
    </w:pPr>
    <w:r>
      <w:fldChar w:fldCharType="begin"/>
    </w:r>
    <w:r>
      <w:instrText xml:space="preserve"> STYLEREF  标准文件_文件编号  \* MERGEFORMAT </w:instrText>
    </w:r>
    <w:r>
      <w:fldChar w:fldCharType="separate"/>
    </w:r>
    <w:r>
      <w:t>DB 34/T ***—2025</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718B1">
    <w:pPr>
      <w:pStyle w:val="62"/>
    </w:pPr>
    <w:r>
      <w:fldChar w:fldCharType="begin"/>
    </w:r>
    <w:r>
      <w:instrText xml:space="preserve"> STYLEREF  标准文件_文件编号 \* MERGEFORMAT </w:instrText>
    </w:r>
    <w:r>
      <w:fldChar w:fldCharType="separate"/>
    </w:r>
    <w:r>
      <w:t>DB 34/T ***—2025</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83BBB">
    <w:pPr>
      <w:pStyle w:val="61"/>
    </w:pPr>
    <w:r>
      <w:fldChar w:fldCharType="begin"/>
    </w:r>
    <w:r>
      <w:instrText xml:space="preserve"> STYLEREF  标准文件_文件编号  \* MERGEFORMAT </w:instrText>
    </w:r>
    <w:r>
      <w:fldChar w:fldCharType="separate"/>
    </w:r>
    <w:r>
      <w:t>DB 34/T ***—2025</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6831F">
    <w:pPr>
      <w:pStyle w:val="62"/>
    </w:pPr>
    <w:r>
      <w:fldChar w:fldCharType="begin"/>
    </w:r>
    <w:r>
      <w:instrText xml:space="preserve"> STYLEREF  标准文件_文件编号 \* MERGEFORMAT </w:instrText>
    </w:r>
    <w:r>
      <w:fldChar w:fldCharType="separate"/>
    </w:r>
    <w:r>
      <w:t>DB 34/T ***—2025</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173E5">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9BB20">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CA0E8">
    <w:pPr>
      <w:pStyle w:val="61"/>
    </w:pPr>
    <w:r>
      <w:fldChar w:fldCharType="begin"/>
    </w:r>
    <w:r>
      <w:instrText xml:space="preserve"> STYLEREF  标准文件_文件编号  \* MERGEFORMAT </w:instrText>
    </w:r>
    <w:r>
      <w:fldChar w:fldCharType="separate"/>
    </w:r>
    <w:r>
      <w:t>DB 34/T ***—2025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580B8">
    <w:pPr>
      <w:pStyle w:val="62"/>
    </w:pPr>
    <w:r>
      <w:fldChar w:fldCharType="begin"/>
    </w:r>
    <w:r>
      <w:instrText xml:space="preserve"> STYLEREF  标准文件_文件编号 \* MERGEFORMAT </w:instrText>
    </w:r>
    <w:r>
      <w:fldChar w:fldCharType="separate"/>
    </w:r>
    <w:r>
      <w:t>DB 34/T ***—2025</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BF16B">
    <w:pPr>
      <w:pStyle w:val="61"/>
    </w:pPr>
    <w:r>
      <w:fldChar w:fldCharType="begin"/>
    </w:r>
    <w:r>
      <w:instrText xml:space="preserve"> STYLEREF  标准文件_文件编号  \* MERGEFORMAT </w:instrText>
    </w:r>
    <w:r>
      <w:fldChar w:fldCharType="separate"/>
    </w:r>
    <w:r>
      <w:t>DB 34/T ***—2025</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0B1FF">
    <w:pPr>
      <w:pStyle w:val="62"/>
    </w:pPr>
    <w:r>
      <w:fldChar w:fldCharType="begin"/>
    </w:r>
    <w:r>
      <w:instrText xml:space="preserve"> STYLEREF  标准文件_文件编号 \* MERGEFORMAT </w:instrText>
    </w:r>
    <w:r>
      <w:fldChar w:fldCharType="separate"/>
    </w:r>
    <w:r>
      <w:t>DB 34/T ***—2025</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BD4641">
    <w:pPr>
      <w:pStyle w:val="61"/>
    </w:pPr>
    <w:r>
      <w:fldChar w:fldCharType="begin"/>
    </w:r>
    <w:r>
      <w:instrText xml:space="preserve"> STYLEREF  标准文件_文件编号  \* MERGEFORMAT </w:instrText>
    </w:r>
    <w:r>
      <w:fldChar w:fldCharType="separate"/>
    </w:r>
    <w:r>
      <w:t>DB 34/T ***—2025</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36169">
    <w:pPr>
      <w:pStyle w:val="62"/>
    </w:pPr>
    <w:r>
      <w:fldChar w:fldCharType="begin"/>
    </w:r>
    <w:r>
      <w:instrText xml:space="preserve"> STYLEREF  标准文件_文件编号 \* MERGEFORMAT </w:instrText>
    </w:r>
    <w:r>
      <w:fldChar w:fldCharType="separate"/>
    </w:r>
    <w:r>
      <w:t>DB 34/T ***—2025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D"/>
    <w:multiLevelType w:val="multilevel"/>
    <w:tmpl w:val="0000000D"/>
    <w:lvl w:ilvl="0" w:tentative="0">
      <w:start w:val="0"/>
      <w:numFmt w:val="none"/>
      <w:pStyle w:val="235"/>
      <w:lvlText w:val=""/>
      <w:lvlJc w:val="left"/>
      <w:pPr>
        <w:tabs>
          <w:tab w:val="left" w:pos="360"/>
        </w:tabs>
      </w:pPr>
    </w:lvl>
    <w:lvl w:ilvl="1" w:tentative="0">
      <w:start w:val="1"/>
      <w:numFmt w:val="decimal"/>
      <w:pStyle w:val="236"/>
      <w:suff w:val="nothing"/>
      <w:lvlText w:val="%1%2　"/>
      <w:lvlJc w:val="left"/>
      <w:pPr>
        <w:ind w:left="0" w:firstLine="0"/>
      </w:pPr>
      <w:rPr>
        <w:rFonts w:hint="eastAsia" w:ascii="黑体" w:hAnsi="Times New Roman" w:eastAsia="黑体"/>
        <w:b w:val="0"/>
        <w:i w:val="0"/>
        <w:sz w:val="21"/>
      </w:rPr>
    </w:lvl>
    <w:lvl w:ilvl="2" w:tentative="0">
      <w:start w:val="1"/>
      <w:numFmt w:val="decimal"/>
      <w:pStyle w:val="234"/>
      <w:suff w:val="nothing"/>
      <w:lvlText w:val="%1%2.%3　"/>
      <w:lvlJc w:val="left"/>
      <w:pPr>
        <w:ind w:left="0" w:firstLine="0"/>
      </w:pPr>
      <w:rPr>
        <w:rFonts w:hint="eastAsia" w:ascii="黑体" w:hAnsi="Times New Roman" w:eastAsia="黑体"/>
        <w:b w:val="0"/>
        <w:i w:val="0"/>
        <w:sz w:val="21"/>
      </w:rPr>
    </w:lvl>
    <w:lvl w:ilvl="3" w:tentative="0">
      <w:start w:val="1"/>
      <w:numFmt w:val="decimal"/>
      <w:pStyle w:val="237"/>
      <w:suff w:val="nothing"/>
      <w:lvlText w:val="%1%2.%3.%4　"/>
      <w:lvlJc w:val="left"/>
      <w:pPr>
        <w:ind w:left="142" w:firstLine="0"/>
      </w:pPr>
      <w:rPr>
        <w:rFonts w:hint="eastAsia" w:ascii="黑体" w:hAnsi="Times New Roman" w:eastAsia="黑体"/>
        <w:b w:val="0"/>
        <w:i w:val="0"/>
        <w:sz w:val="21"/>
      </w:rPr>
    </w:lvl>
    <w:lvl w:ilvl="4" w:tentative="0">
      <w:start w:val="1"/>
      <w:numFmt w:val="decimal"/>
      <w:pStyle w:val="233"/>
      <w:suff w:val="nothing"/>
      <w:lvlText w:val="%1%2.%3.%4.%5　"/>
      <w:lvlJc w:val="left"/>
      <w:pPr>
        <w:ind w:left="0" w:firstLine="0"/>
      </w:pPr>
      <w:rPr>
        <w:rFonts w:hint="eastAsia" w:ascii="黑体" w:hAnsi="Times New Roman" w:eastAsia="黑体"/>
        <w:b w:val="0"/>
        <w:i w:val="0"/>
        <w:sz w:val="21"/>
      </w:rPr>
    </w:lvl>
    <w:lvl w:ilvl="5" w:tentative="0">
      <w:start w:val="1"/>
      <w:numFmt w:val="decimal"/>
      <w:pStyle w:val="232"/>
      <w:suff w:val="nothing"/>
      <w:lvlText w:val="%1%2.%3.%4.%5.%6　"/>
      <w:lvlJc w:val="left"/>
      <w:pPr>
        <w:ind w:left="0" w:firstLine="0"/>
      </w:pPr>
      <w:rPr>
        <w:rFonts w:hint="eastAsia" w:ascii="黑体" w:hAnsi="Times New Roman" w:eastAsia="黑体"/>
        <w:b w:val="0"/>
        <w:i w:val="0"/>
        <w:sz w:val="21"/>
      </w:rPr>
    </w:lvl>
    <w:lvl w:ilvl="6" w:tentative="0">
      <w:start w:val="1"/>
      <w:numFmt w:val="decimal"/>
      <w:pStyle w:val="231"/>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29641FB"/>
    <w:multiLevelType w:val="multilevel"/>
    <w:tmpl w:val="129641FB"/>
    <w:lvl w:ilvl="0" w:tentative="0">
      <w:start w:val="1"/>
      <w:numFmt w:val="lowerLetter"/>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1">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2">
    <w:nsid w:val="26BE07EF"/>
    <w:multiLevelType w:val="multilevel"/>
    <w:tmpl w:val="26BE07EF"/>
    <w:lvl w:ilvl="0" w:tentative="0">
      <w:start w:val="4"/>
      <w:numFmt w:val="decimal"/>
      <w:lvlText w:val="%1"/>
      <w:lvlJc w:val="left"/>
      <w:pPr>
        <w:ind w:left="735" w:hanging="735"/>
      </w:pPr>
      <w:rPr>
        <w:rFonts w:hint="default"/>
      </w:rPr>
    </w:lvl>
    <w:lvl w:ilvl="1" w:tentative="0">
      <w:start w:val="4"/>
      <w:numFmt w:val="decimal"/>
      <w:lvlText w:val="%1.%2"/>
      <w:lvlJc w:val="left"/>
      <w:pPr>
        <w:ind w:left="875" w:hanging="735"/>
      </w:pPr>
      <w:rPr>
        <w:rFonts w:hint="default"/>
      </w:rPr>
    </w:lvl>
    <w:lvl w:ilvl="2" w:tentative="0">
      <w:start w:val="1"/>
      <w:numFmt w:val="decimal"/>
      <w:lvlText w:val="%1.%2.%3"/>
      <w:lvlJc w:val="left"/>
      <w:pPr>
        <w:ind w:left="1015" w:hanging="735"/>
      </w:pPr>
      <w:rPr>
        <w:rFonts w:hint="default"/>
      </w:rPr>
    </w:lvl>
    <w:lvl w:ilvl="3" w:tentative="0">
      <w:start w:val="1"/>
      <w:numFmt w:val="decimal"/>
      <w:lvlText w:val="%1.%2.%3.%4"/>
      <w:lvlJc w:val="left"/>
      <w:pPr>
        <w:ind w:left="1500" w:hanging="1080"/>
      </w:pPr>
      <w:rPr>
        <w:rFonts w:hint="default"/>
      </w:rPr>
    </w:lvl>
    <w:lvl w:ilvl="4" w:tentative="0">
      <w:start w:val="1"/>
      <w:numFmt w:val="decimal"/>
      <w:lvlText w:val="%1.%2.%3.%4.%5"/>
      <w:lvlJc w:val="left"/>
      <w:pPr>
        <w:ind w:left="1640" w:hanging="1080"/>
      </w:pPr>
      <w:rPr>
        <w:rFonts w:hint="default"/>
      </w:rPr>
    </w:lvl>
    <w:lvl w:ilvl="5" w:tentative="0">
      <w:start w:val="1"/>
      <w:numFmt w:val="decimal"/>
      <w:lvlText w:val="%1.%2.%3.%4.%5.%6"/>
      <w:lvlJc w:val="left"/>
      <w:pPr>
        <w:ind w:left="2140" w:hanging="1440"/>
      </w:pPr>
      <w:rPr>
        <w:rFonts w:hint="default"/>
      </w:rPr>
    </w:lvl>
    <w:lvl w:ilvl="6" w:tentative="0">
      <w:start w:val="1"/>
      <w:numFmt w:val="decimal"/>
      <w:lvlText w:val="%1.%2.%3.%4.%5.%6.%7"/>
      <w:lvlJc w:val="left"/>
      <w:pPr>
        <w:ind w:left="2280" w:hanging="1440"/>
      </w:pPr>
      <w:rPr>
        <w:rFonts w:hint="default"/>
      </w:rPr>
    </w:lvl>
    <w:lvl w:ilvl="7" w:tentative="0">
      <w:start w:val="1"/>
      <w:numFmt w:val="decimal"/>
      <w:lvlText w:val="%1.%2.%3.%4.%5.%6.%7.%8"/>
      <w:lvlJc w:val="left"/>
      <w:pPr>
        <w:ind w:left="2780" w:hanging="1800"/>
      </w:pPr>
      <w:rPr>
        <w:rFonts w:hint="default"/>
      </w:rPr>
    </w:lvl>
    <w:lvl w:ilvl="8" w:tentative="0">
      <w:start w:val="1"/>
      <w:numFmt w:val="decimal"/>
      <w:lvlText w:val="%1.%2.%3.%4.%5.%6.%7.%8.%9"/>
      <w:lvlJc w:val="left"/>
      <w:pPr>
        <w:ind w:left="2920" w:hanging="1800"/>
      </w:pPr>
      <w:rPr>
        <w:rFonts w:hint="default"/>
      </w:rPr>
    </w:lvl>
  </w:abstractNum>
  <w:abstractNum w:abstractNumId="13">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4">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5">
    <w:nsid w:val="335B678A"/>
    <w:multiLevelType w:val="multilevel"/>
    <w:tmpl w:val="335B678A"/>
    <w:lvl w:ilvl="0" w:tentative="0">
      <w:start w:val="1"/>
      <w:numFmt w:val="lowerLetter"/>
      <w:lvlText w:val="%1)"/>
      <w:lvlJc w:val="left"/>
      <w:pPr>
        <w:ind w:left="780" w:hanging="360"/>
      </w:pPr>
      <w:rPr>
        <w:rFonts w:hint="default" w:ascii="Times New Roman"/>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36AE65FA"/>
    <w:multiLevelType w:val="multilevel"/>
    <w:tmpl w:val="36AE65FA"/>
    <w:lvl w:ilvl="0" w:tentative="0">
      <w:start w:val="1"/>
      <w:numFmt w:val="lowerLetter"/>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7">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8">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20">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1">
    <w:nsid w:val="513B171A"/>
    <w:multiLevelType w:val="multilevel"/>
    <w:tmpl w:val="513B171A"/>
    <w:lvl w:ilvl="0" w:tentative="0">
      <w:start w:val="1"/>
      <w:numFmt w:val="lowerLetter"/>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23">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4">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5">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7">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8">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9">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30">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31">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2">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3969"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4">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5">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6">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33"/>
  </w:num>
  <w:num w:numId="3">
    <w:abstractNumId w:val="6"/>
  </w:num>
  <w:num w:numId="4">
    <w:abstractNumId w:val="29"/>
  </w:num>
  <w:num w:numId="5">
    <w:abstractNumId w:val="24"/>
  </w:num>
  <w:num w:numId="6">
    <w:abstractNumId w:val="18"/>
  </w:num>
  <w:num w:numId="7">
    <w:abstractNumId w:val="10"/>
  </w:num>
  <w:num w:numId="8">
    <w:abstractNumId w:val="4"/>
  </w:num>
  <w:num w:numId="9">
    <w:abstractNumId w:val="11"/>
  </w:num>
  <w:num w:numId="10">
    <w:abstractNumId w:val="22"/>
  </w:num>
  <w:num w:numId="11">
    <w:abstractNumId w:val="31"/>
  </w:num>
  <w:num w:numId="12">
    <w:abstractNumId w:val="14"/>
  </w:num>
  <w:num w:numId="13">
    <w:abstractNumId w:val="17"/>
  </w:num>
  <w:num w:numId="14">
    <w:abstractNumId w:val="9"/>
  </w:num>
  <w:num w:numId="15">
    <w:abstractNumId w:val="25"/>
  </w:num>
  <w:num w:numId="16">
    <w:abstractNumId w:val="27"/>
  </w:num>
  <w:num w:numId="17">
    <w:abstractNumId w:val="23"/>
  </w:num>
  <w:num w:numId="18">
    <w:abstractNumId w:val="35"/>
  </w:num>
  <w:num w:numId="19">
    <w:abstractNumId w:val="20"/>
  </w:num>
  <w:num w:numId="20">
    <w:abstractNumId w:val="2"/>
  </w:num>
  <w:num w:numId="21">
    <w:abstractNumId w:val="13"/>
  </w:num>
  <w:num w:numId="22">
    <w:abstractNumId w:val="36"/>
  </w:num>
  <w:num w:numId="23">
    <w:abstractNumId w:val="26"/>
  </w:num>
  <w:num w:numId="24">
    <w:abstractNumId w:val="7"/>
  </w:num>
  <w:num w:numId="25">
    <w:abstractNumId w:val="32"/>
  </w:num>
  <w:num w:numId="26">
    <w:abstractNumId w:val="34"/>
  </w:num>
  <w:num w:numId="27">
    <w:abstractNumId w:val="3"/>
  </w:num>
  <w:num w:numId="28">
    <w:abstractNumId w:val="5"/>
  </w:num>
  <w:num w:numId="29">
    <w:abstractNumId w:val="19"/>
  </w:num>
  <w:num w:numId="30">
    <w:abstractNumId w:val="30"/>
  </w:num>
  <w:num w:numId="31">
    <w:abstractNumId w:val="28"/>
  </w:num>
  <w:num w:numId="32">
    <w:abstractNumId w:val="0"/>
  </w:num>
  <w:num w:numId="33">
    <w:abstractNumId w:val="12"/>
  </w:num>
  <w:num w:numId="34">
    <w:abstractNumId w:val="8"/>
  </w:num>
  <w:num w:numId="35">
    <w:abstractNumId w:val="15"/>
  </w:num>
  <w:num w:numId="36">
    <w:abstractNumId w:val="16"/>
  </w:num>
  <w:num w:numId="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attachedTemplate r:id="rId1"/>
  <w:documentProtection w:edit="forms" w:enforcement="1" w:cryptProviderType="rsaAES" w:cryptAlgorithmClass="hash" w:cryptAlgorithmType="typeAny" w:cryptAlgorithmSid="14" w:cryptSpinCount="100000" w:hash="2jp5CNY4ZhHBCg3/Ta8OgNh2euNhgHJCslbm4uhKmZsBTCq/oJZm5fHKMfiLjfPmLKl5WjRdsbwiZkLw+9lvwQ==" w:salt="A7ooBtHdAOVa8pjViL7Bsw=="/>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5A3"/>
    <w:rsid w:val="0000040A"/>
    <w:rsid w:val="00000A94"/>
    <w:rsid w:val="00001972"/>
    <w:rsid w:val="00001D9A"/>
    <w:rsid w:val="00003D33"/>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6C10"/>
    <w:rsid w:val="00087A77"/>
    <w:rsid w:val="00090CA6"/>
    <w:rsid w:val="00092B8A"/>
    <w:rsid w:val="00092FB0"/>
    <w:rsid w:val="000934C5"/>
    <w:rsid w:val="00093D25"/>
    <w:rsid w:val="00093DAB"/>
    <w:rsid w:val="00094D73"/>
    <w:rsid w:val="00096D63"/>
    <w:rsid w:val="000A0B60"/>
    <w:rsid w:val="000A0EB8"/>
    <w:rsid w:val="000A19FC"/>
    <w:rsid w:val="000A296B"/>
    <w:rsid w:val="000A6BE1"/>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3587"/>
    <w:rsid w:val="000D4B9C"/>
    <w:rsid w:val="000D4EB6"/>
    <w:rsid w:val="000D753B"/>
    <w:rsid w:val="000E4C9E"/>
    <w:rsid w:val="000E6FD7"/>
    <w:rsid w:val="000F06E1"/>
    <w:rsid w:val="000F0E3C"/>
    <w:rsid w:val="000F19D5"/>
    <w:rsid w:val="000F4AEA"/>
    <w:rsid w:val="000F5CFB"/>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0FB7"/>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3D2D"/>
    <w:rsid w:val="0024497B"/>
    <w:rsid w:val="00244F37"/>
    <w:rsid w:val="0024515B"/>
    <w:rsid w:val="00246021"/>
    <w:rsid w:val="0024666E"/>
    <w:rsid w:val="00247F52"/>
    <w:rsid w:val="00250B25"/>
    <w:rsid w:val="00250BBE"/>
    <w:rsid w:val="002515C2"/>
    <w:rsid w:val="0025194F"/>
    <w:rsid w:val="00256A47"/>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CEE"/>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4E14"/>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3988"/>
    <w:rsid w:val="003615D2"/>
    <w:rsid w:val="0036429C"/>
    <w:rsid w:val="00364A53"/>
    <w:rsid w:val="003654CB"/>
    <w:rsid w:val="00365AA9"/>
    <w:rsid w:val="00365F86"/>
    <w:rsid w:val="00365F87"/>
    <w:rsid w:val="00366E89"/>
    <w:rsid w:val="0037036B"/>
    <w:rsid w:val="003705F4"/>
    <w:rsid w:val="00370D58"/>
    <w:rsid w:val="00371316"/>
    <w:rsid w:val="00374218"/>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582"/>
    <w:rsid w:val="003A4077"/>
    <w:rsid w:val="003A58F8"/>
    <w:rsid w:val="003B09AD"/>
    <w:rsid w:val="003B1F18"/>
    <w:rsid w:val="003B5BF0"/>
    <w:rsid w:val="003B60BF"/>
    <w:rsid w:val="003B6BE3"/>
    <w:rsid w:val="003C010C"/>
    <w:rsid w:val="003C0A6C"/>
    <w:rsid w:val="003C14F8"/>
    <w:rsid w:val="003C348C"/>
    <w:rsid w:val="003C57E3"/>
    <w:rsid w:val="003C5A43"/>
    <w:rsid w:val="003D0519"/>
    <w:rsid w:val="003D0F37"/>
    <w:rsid w:val="003D0FF6"/>
    <w:rsid w:val="003D262C"/>
    <w:rsid w:val="003D56FF"/>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3521"/>
    <w:rsid w:val="0041477A"/>
    <w:rsid w:val="004167A3"/>
    <w:rsid w:val="00432DAA"/>
    <w:rsid w:val="00434305"/>
    <w:rsid w:val="00435DF7"/>
    <w:rsid w:val="0044083F"/>
    <w:rsid w:val="00441AE7"/>
    <w:rsid w:val="00444270"/>
    <w:rsid w:val="00445574"/>
    <w:rsid w:val="004467FB"/>
    <w:rsid w:val="00452D6B"/>
    <w:rsid w:val="00454484"/>
    <w:rsid w:val="0045517B"/>
    <w:rsid w:val="00463B77"/>
    <w:rsid w:val="00463C7B"/>
    <w:rsid w:val="004644A6"/>
    <w:rsid w:val="004659BD"/>
    <w:rsid w:val="00470775"/>
    <w:rsid w:val="00474076"/>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4EA"/>
    <w:rsid w:val="004A4B57"/>
    <w:rsid w:val="004A63FA"/>
    <w:rsid w:val="004B0272"/>
    <w:rsid w:val="004B2701"/>
    <w:rsid w:val="004B2E1B"/>
    <w:rsid w:val="004B3AA8"/>
    <w:rsid w:val="004B3E93"/>
    <w:rsid w:val="004C04D2"/>
    <w:rsid w:val="004C1FBC"/>
    <w:rsid w:val="004C3F1D"/>
    <w:rsid w:val="004C458D"/>
    <w:rsid w:val="004C7556"/>
    <w:rsid w:val="004C7E8B"/>
    <w:rsid w:val="004C7E9D"/>
    <w:rsid w:val="004C7F67"/>
    <w:rsid w:val="004D076D"/>
    <w:rsid w:val="004D0EF1"/>
    <w:rsid w:val="004D2253"/>
    <w:rsid w:val="004D4406"/>
    <w:rsid w:val="004D46D3"/>
    <w:rsid w:val="004D7C42"/>
    <w:rsid w:val="004E0465"/>
    <w:rsid w:val="004E127B"/>
    <w:rsid w:val="004E1C0A"/>
    <w:rsid w:val="004E2EC1"/>
    <w:rsid w:val="004E30C5"/>
    <w:rsid w:val="004E4AA5"/>
    <w:rsid w:val="004E4AEE"/>
    <w:rsid w:val="004E59E3"/>
    <w:rsid w:val="004E67C0"/>
    <w:rsid w:val="004F391A"/>
    <w:rsid w:val="004F3CFB"/>
    <w:rsid w:val="004F6456"/>
    <w:rsid w:val="004F696E"/>
    <w:rsid w:val="004F6C71"/>
    <w:rsid w:val="00501139"/>
    <w:rsid w:val="0050363E"/>
    <w:rsid w:val="005039BC"/>
    <w:rsid w:val="005040E5"/>
    <w:rsid w:val="005043BB"/>
    <w:rsid w:val="00504A3D"/>
    <w:rsid w:val="00505767"/>
    <w:rsid w:val="005073F0"/>
    <w:rsid w:val="005078ED"/>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565A"/>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50DC"/>
    <w:rsid w:val="005D6A95"/>
    <w:rsid w:val="005D6B2C"/>
    <w:rsid w:val="005D6D9C"/>
    <w:rsid w:val="005E2335"/>
    <w:rsid w:val="005E2BF6"/>
    <w:rsid w:val="005E34CA"/>
    <w:rsid w:val="005E3C18"/>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6F1B"/>
    <w:rsid w:val="006703EB"/>
    <w:rsid w:val="00672060"/>
    <w:rsid w:val="00672BFD"/>
    <w:rsid w:val="006770F4"/>
    <w:rsid w:val="00677A84"/>
    <w:rsid w:val="0068026D"/>
    <w:rsid w:val="00680A27"/>
    <w:rsid w:val="006816A4"/>
    <w:rsid w:val="006819B8"/>
    <w:rsid w:val="006840A6"/>
    <w:rsid w:val="006850CD"/>
    <w:rsid w:val="00685AAB"/>
    <w:rsid w:val="00692655"/>
    <w:rsid w:val="006A07AA"/>
    <w:rsid w:val="006A25E5"/>
    <w:rsid w:val="006A2B46"/>
    <w:rsid w:val="006A336D"/>
    <w:rsid w:val="006A37B9"/>
    <w:rsid w:val="006A53B9"/>
    <w:rsid w:val="006A6E12"/>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470C"/>
    <w:rsid w:val="006F03A8"/>
    <w:rsid w:val="006F2ACA"/>
    <w:rsid w:val="006F2ADC"/>
    <w:rsid w:val="006F2BFE"/>
    <w:rsid w:val="006F31E9"/>
    <w:rsid w:val="006F6284"/>
    <w:rsid w:val="007002C5"/>
    <w:rsid w:val="00704387"/>
    <w:rsid w:val="00705676"/>
    <w:rsid w:val="00707669"/>
    <w:rsid w:val="007100CA"/>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47452"/>
    <w:rsid w:val="007501A8"/>
    <w:rsid w:val="00750D61"/>
    <w:rsid w:val="00750EE1"/>
    <w:rsid w:val="00752B4D"/>
    <w:rsid w:val="00755402"/>
    <w:rsid w:val="00756494"/>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35A9"/>
    <w:rsid w:val="007A41C8"/>
    <w:rsid w:val="007A54CE"/>
    <w:rsid w:val="007A6FD9"/>
    <w:rsid w:val="007A7FFA"/>
    <w:rsid w:val="007B04EB"/>
    <w:rsid w:val="007B0D4F"/>
    <w:rsid w:val="007B5A3D"/>
    <w:rsid w:val="007B5B95"/>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1F8A"/>
    <w:rsid w:val="007F75CE"/>
    <w:rsid w:val="008013A4"/>
    <w:rsid w:val="008027CE"/>
    <w:rsid w:val="00802F42"/>
    <w:rsid w:val="00804383"/>
    <w:rsid w:val="00804BB7"/>
    <w:rsid w:val="00804D41"/>
    <w:rsid w:val="00810257"/>
    <w:rsid w:val="008104F5"/>
    <w:rsid w:val="00811072"/>
    <w:rsid w:val="00811369"/>
    <w:rsid w:val="00814142"/>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46969"/>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5302"/>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5B2"/>
    <w:rsid w:val="008F788F"/>
    <w:rsid w:val="008F7EA2"/>
    <w:rsid w:val="00902722"/>
    <w:rsid w:val="009027BC"/>
    <w:rsid w:val="009041B8"/>
    <w:rsid w:val="009062E6"/>
    <w:rsid w:val="00911BE5"/>
    <w:rsid w:val="00913CA9"/>
    <w:rsid w:val="009145AE"/>
    <w:rsid w:val="009146CE"/>
    <w:rsid w:val="00914CA7"/>
    <w:rsid w:val="00915A19"/>
    <w:rsid w:val="00915C3E"/>
    <w:rsid w:val="009161A8"/>
    <w:rsid w:val="009245F5"/>
    <w:rsid w:val="009249EC"/>
    <w:rsid w:val="009273B3"/>
    <w:rsid w:val="009305B5"/>
    <w:rsid w:val="00932309"/>
    <w:rsid w:val="009429D5"/>
    <w:rsid w:val="00942BF1"/>
    <w:rsid w:val="00945180"/>
    <w:rsid w:val="00945428"/>
    <w:rsid w:val="0094607B"/>
    <w:rsid w:val="00953604"/>
    <w:rsid w:val="0095496B"/>
    <w:rsid w:val="009610DC"/>
    <w:rsid w:val="00961490"/>
    <w:rsid w:val="0096381A"/>
    <w:rsid w:val="00965E04"/>
    <w:rsid w:val="009674AD"/>
    <w:rsid w:val="009676D6"/>
    <w:rsid w:val="00970CDC"/>
    <w:rsid w:val="00971B0B"/>
    <w:rsid w:val="00977010"/>
    <w:rsid w:val="00977D02"/>
    <w:rsid w:val="009809BB"/>
    <w:rsid w:val="0098364B"/>
    <w:rsid w:val="009911AF"/>
    <w:rsid w:val="00991875"/>
    <w:rsid w:val="00991F92"/>
    <w:rsid w:val="00992985"/>
    <w:rsid w:val="00993889"/>
    <w:rsid w:val="0099551B"/>
    <w:rsid w:val="0099613A"/>
    <w:rsid w:val="00997BF1"/>
    <w:rsid w:val="009A089C"/>
    <w:rsid w:val="009A118E"/>
    <w:rsid w:val="009A21CD"/>
    <w:rsid w:val="009A278C"/>
    <w:rsid w:val="009A2BC2"/>
    <w:rsid w:val="009A42C1"/>
    <w:rsid w:val="009A5429"/>
    <w:rsid w:val="009A72AD"/>
    <w:rsid w:val="009B0231"/>
    <w:rsid w:val="009B09E0"/>
    <w:rsid w:val="009B0BC5"/>
    <w:rsid w:val="009B1247"/>
    <w:rsid w:val="009B3EB8"/>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E6A9E"/>
    <w:rsid w:val="009F03B3"/>
    <w:rsid w:val="00A0096C"/>
    <w:rsid w:val="00A01757"/>
    <w:rsid w:val="00A028C0"/>
    <w:rsid w:val="00A02BAE"/>
    <w:rsid w:val="00A04E5D"/>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5154"/>
    <w:rsid w:val="00A4661E"/>
    <w:rsid w:val="00A55BD6"/>
    <w:rsid w:val="00A55D50"/>
    <w:rsid w:val="00A57142"/>
    <w:rsid w:val="00A62C49"/>
    <w:rsid w:val="00A6447D"/>
    <w:rsid w:val="00A648CD"/>
    <w:rsid w:val="00A6537A"/>
    <w:rsid w:val="00A67866"/>
    <w:rsid w:val="00A70B07"/>
    <w:rsid w:val="00A723F8"/>
    <w:rsid w:val="00A77CCB"/>
    <w:rsid w:val="00A83D8D"/>
    <w:rsid w:val="00A8446B"/>
    <w:rsid w:val="00A8473F"/>
    <w:rsid w:val="00A862D6"/>
    <w:rsid w:val="00A8715E"/>
    <w:rsid w:val="00A9295B"/>
    <w:rsid w:val="00A93B09"/>
    <w:rsid w:val="00A94C6A"/>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388F"/>
    <w:rsid w:val="00B261F1"/>
    <w:rsid w:val="00B265BC"/>
    <w:rsid w:val="00B3099A"/>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38"/>
    <w:rsid w:val="00B77EC8"/>
    <w:rsid w:val="00B827A6"/>
    <w:rsid w:val="00B831CE"/>
    <w:rsid w:val="00B86677"/>
    <w:rsid w:val="00B87131"/>
    <w:rsid w:val="00B939B1"/>
    <w:rsid w:val="00B96D40"/>
    <w:rsid w:val="00B970C0"/>
    <w:rsid w:val="00B97386"/>
    <w:rsid w:val="00BA263B"/>
    <w:rsid w:val="00BA42B2"/>
    <w:rsid w:val="00BA58D4"/>
    <w:rsid w:val="00BA5B9E"/>
    <w:rsid w:val="00BA7C9A"/>
    <w:rsid w:val="00BB0A1C"/>
    <w:rsid w:val="00BB5F8F"/>
    <w:rsid w:val="00BB657A"/>
    <w:rsid w:val="00BC1A4E"/>
    <w:rsid w:val="00BC2948"/>
    <w:rsid w:val="00BC50A8"/>
    <w:rsid w:val="00BC5DC7"/>
    <w:rsid w:val="00BC6B8B"/>
    <w:rsid w:val="00BC73D8"/>
    <w:rsid w:val="00BD52D7"/>
    <w:rsid w:val="00BD5AD2"/>
    <w:rsid w:val="00BE22F3"/>
    <w:rsid w:val="00BE5B52"/>
    <w:rsid w:val="00BE7B8D"/>
    <w:rsid w:val="00BF0993"/>
    <w:rsid w:val="00BF10A9"/>
    <w:rsid w:val="00BF1703"/>
    <w:rsid w:val="00BF231C"/>
    <w:rsid w:val="00BF51E5"/>
    <w:rsid w:val="00BF74A6"/>
    <w:rsid w:val="00BF7E88"/>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17F0"/>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0701"/>
    <w:rsid w:val="00C71372"/>
    <w:rsid w:val="00C72410"/>
    <w:rsid w:val="00C7287F"/>
    <w:rsid w:val="00C75BC9"/>
    <w:rsid w:val="00C80CB8"/>
    <w:rsid w:val="00C819F8"/>
    <w:rsid w:val="00C82016"/>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15C7"/>
    <w:rsid w:val="00D126F5"/>
    <w:rsid w:val="00D1489E"/>
    <w:rsid w:val="00D20737"/>
    <w:rsid w:val="00D21E81"/>
    <w:rsid w:val="00D223DE"/>
    <w:rsid w:val="00D25E37"/>
    <w:rsid w:val="00D2661A"/>
    <w:rsid w:val="00D27582"/>
    <w:rsid w:val="00D27EC4"/>
    <w:rsid w:val="00D307BB"/>
    <w:rsid w:val="00D32719"/>
    <w:rsid w:val="00D33333"/>
    <w:rsid w:val="00D352A2"/>
    <w:rsid w:val="00D4162B"/>
    <w:rsid w:val="00D4514F"/>
    <w:rsid w:val="00D451E2"/>
    <w:rsid w:val="00D45E89"/>
    <w:rsid w:val="00D45E8D"/>
    <w:rsid w:val="00D466AE"/>
    <w:rsid w:val="00D4734F"/>
    <w:rsid w:val="00D51BF3"/>
    <w:rsid w:val="00D6497B"/>
    <w:rsid w:val="00D66846"/>
    <w:rsid w:val="00D675FB"/>
    <w:rsid w:val="00D71F25"/>
    <w:rsid w:val="00D72A9C"/>
    <w:rsid w:val="00D77031"/>
    <w:rsid w:val="00D81733"/>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2F41"/>
    <w:rsid w:val="00DC3067"/>
    <w:rsid w:val="00DC370B"/>
    <w:rsid w:val="00DC5B90"/>
    <w:rsid w:val="00DD00FF"/>
    <w:rsid w:val="00DD0619"/>
    <w:rsid w:val="00DD07FB"/>
    <w:rsid w:val="00DD1A55"/>
    <w:rsid w:val="00DD25C6"/>
    <w:rsid w:val="00DD4FE5"/>
    <w:rsid w:val="00DD54B0"/>
    <w:rsid w:val="00DD57EE"/>
    <w:rsid w:val="00DD6BCC"/>
    <w:rsid w:val="00DE0A4B"/>
    <w:rsid w:val="00DE2410"/>
    <w:rsid w:val="00DE2939"/>
    <w:rsid w:val="00DE6E81"/>
    <w:rsid w:val="00DE703F"/>
    <w:rsid w:val="00DE7595"/>
    <w:rsid w:val="00DF1961"/>
    <w:rsid w:val="00DF1A34"/>
    <w:rsid w:val="00DF44DE"/>
    <w:rsid w:val="00E01138"/>
    <w:rsid w:val="00E02DFB"/>
    <w:rsid w:val="00E030F9"/>
    <w:rsid w:val="00E0311A"/>
    <w:rsid w:val="00E03138"/>
    <w:rsid w:val="00E06404"/>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265"/>
    <w:rsid w:val="00E635D6"/>
    <w:rsid w:val="00E639BC"/>
    <w:rsid w:val="00E664CC"/>
    <w:rsid w:val="00E70388"/>
    <w:rsid w:val="00E70F92"/>
    <w:rsid w:val="00E71419"/>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22FD"/>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1AB1"/>
    <w:rsid w:val="00F33817"/>
    <w:rsid w:val="00F420D5"/>
    <w:rsid w:val="00F43DAC"/>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899"/>
    <w:rsid w:val="00F96CAE"/>
    <w:rsid w:val="00F97C99"/>
    <w:rsid w:val="00FA4A22"/>
    <w:rsid w:val="00FA662D"/>
    <w:rsid w:val="00FA6AF9"/>
    <w:rsid w:val="00FA73B1"/>
    <w:rsid w:val="00FA7596"/>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0289"/>
    <w:rsid w:val="00FE1FBE"/>
    <w:rsid w:val="00FE3901"/>
    <w:rsid w:val="00FE39D3"/>
    <w:rsid w:val="00FE4BCE"/>
    <w:rsid w:val="00FE54AE"/>
    <w:rsid w:val="00FE55A3"/>
    <w:rsid w:val="00FE576A"/>
    <w:rsid w:val="00FE7E79"/>
    <w:rsid w:val="00FF3E7D"/>
    <w:rsid w:val="00FF5B99"/>
    <w:rsid w:val="00FF730C"/>
    <w:rsid w:val="00FF73F4"/>
    <w:rsid w:val="00FF7CE4"/>
    <w:rsid w:val="00FF7E39"/>
    <w:rsid w:val="21C4408A"/>
    <w:rsid w:val="61B73BDF"/>
    <w:rsid w:val="6C272D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0" w:name="toc 8"/>
    <w:lsdException w:uiPriority="0" w:name="toc 9"/>
    <w:lsdException w:unhideWhenUsed="0" w:uiPriority="0" w:semiHidden="0" w:name="Normal Indent"/>
    <w:lsdException w:unhideWhenUsed="0" w:uiPriority="0"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35" w:name="caption"/>
    <w:lsdException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9"/>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11">
    <w:name w:val="toc 7"/>
    <w:basedOn w:val="1"/>
    <w:next w:val="1"/>
    <w:autoRedefine/>
    <w:unhideWhenUsed/>
    <w:uiPriority w:val="39"/>
    <w:pPr>
      <w:tabs>
        <w:tab w:val="right" w:leader="dot" w:pos="9344"/>
      </w:tabs>
      <w:spacing w:line="300" w:lineRule="exact"/>
      <w:ind w:left="1259"/>
    </w:pPr>
    <w:rPr>
      <w:rFonts w:ascii="宋体"/>
    </w:rPr>
  </w:style>
  <w:style w:type="paragraph" w:styleId="12">
    <w:name w:val="Normal Indent"/>
    <w:basedOn w:val="1"/>
    <w:uiPriority w:val="0"/>
    <w:pPr>
      <w:ind w:firstLine="420"/>
    </w:pPr>
  </w:style>
  <w:style w:type="paragraph" w:styleId="13">
    <w:name w:val="Body Text"/>
    <w:basedOn w:val="1"/>
    <w:link w:val="86"/>
    <w:uiPriority w:val="0"/>
    <w:pPr>
      <w:spacing w:after="120"/>
    </w:pPr>
  </w:style>
  <w:style w:type="paragraph" w:styleId="14">
    <w:name w:val="toc 5"/>
    <w:basedOn w:val="1"/>
    <w:next w:val="1"/>
    <w:autoRedefine/>
    <w:unhideWhenUsed/>
    <w:uiPriority w:val="39"/>
    <w:pPr>
      <w:ind w:left="839"/>
    </w:pPr>
    <w:rPr>
      <w:rFonts w:ascii="宋体"/>
    </w:rPr>
  </w:style>
  <w:style w:type="paragraph" w:styleId="15">
    <w:name w:val="toc 3"/>
    <w:basedOn w:val="1"/>
    <w:next w:val="1"/>
    <w:autoRedefine/>
    <w:unhideWhenUsed/>
    <w:uiPriority w:val="39"/>
    <w:pPr>
      <w:spacing w:line="300" w:lineRule="exact"/>
      <w:ind w:left="420"/>
    </w:pPr>
    <w:rPr>
      <w:rFonts w:ascii="宋体"/>
    </w:rPr>
  </w:style>
  <w:style w:type="paragraph" w:styleId="16">
    <w:name w:val="Balloon Text"/>
    <w:basedOn w:val="1"/>
    <w:link w:val="45"/>
    <w:semiHidden/>
    <w:unhideWhenUsed/>
    <w:uiPriority w:val="99"/>
    <w:rPr>
      <w:sz w:val="18"/>
      <w:szCs w:val="18"/>
    </w:rPr>
  </w:style>
  <w:style w:type="paragraph" w:styleId="17">
    <w:name w:val="footer"/>
    <w:basedOn w:val="1"/>
    <w:link w:val="44"/>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uiPriority w:val="39"/>
    <w:rPr>
      <w:rFonts w:ascii="宋体"/>
    </w:rPr>
  </w:style>
  <w:style w:type="paragraph" w:styleId="20">
    <w:name w:val="toc 4"/>
    <w:basedOn w:val="1"/>
    <w:next w:val="1"/>
    <w:autoRedefine/>
    <w:unhideWhenUsed/>
    <w:uiPriority w:val="39"/>
    <w:pPr>
      <w:tabs>
        <w:tab w:val="right" w:leader="dot" w:pos="9344"/>
      </w:tabs>
      <w:spacing w:line="300" w:lineRule="exact"/>
      <w:ind w:left="629"/>
    </w:pPr>
    <w:rPr>
      <w:rFonts w:ascii="宋体"/>
    </w:rPr>
  </w:style>
  <w:style w:type="paragraph" w:styleId="21">
    <w:name w:val="footnote text"/>
    <w:basedOn w:val="1"/>
    <w:next w:val="1"/>
    <w:link w:val="99"/>
    <w:semiHidden/>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uiPriority w:val="39"/>
    <w:pPr>
      <w:spacing w:line="300" w:lineRule="exact"/>
      <w:ind w:left="1049"/>
    </w:pPr>
    <w:rPr>
      <w:rFonts w:ascii="宋体"/>
    </w:rPr>
  </w:style>
  <w:style w:type="paragraph" w:styleId="23">
    <w:name w:val="table of figures"/>
    <w:basedOn w:val="1"/>
    <w:next w:val="1"/>
    <w:semiHidden/>
    <w:uiPriority w:val="0"/>
    <w:pPr>
      <w:adjustRightInd/>
      <w:spacing w:line="240" w:lineRule="auto"/>
      <w:jc w:val="left"/>
    </w:pPr>
    <w:rPr>
      <w:szCs w:val="24"/>
    </w:rPr>
  </w:style>
  <w:style w:type="paragraph" w:styleId="24">
    <w:name w:val="toc 2"/>
    <w:basedOn w:val="1"/>
    <w:next w:val="1"/>
    <w:autoRedefine/>
    <w:unhideWhenUsed/>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uiPriority w:val="0"/>
    <w:rPr>
      <w:rFonts w:ascii="宋体" w:hAnsi="Times New Roman" w:eastAsia="宋体"/>
      <w:sz w:val="18"/>
    </w:rPr>
  </w:style>
  <w:style w:type="character" w:styleId="31">
    <w:name w:val="Emphasis"/>
    <w:qFormat/>
    <w:uiPriority w:val="20"/>
    <w:rPr>
      <w:i/>
      <w:iCs/>
    </w:rPr>
  </w:style>
  <w:style w:type="character" w:styleId="32">
    <w:name w:val="Hyperlink"/>
    <w:uiPriority w:val="99"/>
    <w:rPr>
      <w:rFonts w:ascii="宋体" w:hAnsi="Times New Roman" w:eastAsia="宋体"/>
      <w:color w:val="auto"/>
      <w:spacing w:val="0"/>
      <w:w w:val="100"/>
      <w:position w:val="0"/>
      <w:sz w:val="21"/>
      <w:u w:val="none"/>
      <w:vertAlign w:val="baseline"/>
    </w:rPr>
  </w:style>
  <w:style w:type="character" w:styleId="33">
    <w:name w:val="footnote reference"/>
    <w:semiHidden/>
    <w:uiPriority w:val="0"/>
    <w:rPr>
      <w:rFonts w:ascii="宋体" w:hAnsi="宋体" w:eastAsia="宋体" w:cs="Times New Roman"/>
      <w:spacing w:val="0"/>
      <w:sz w:val="18"/>
      <w:vertAlign w:val="superscript"/>
    </w:rPr>
  </w:style>
  <w:style w:type="character" w:customStyle="1" w:styleId="34">
    <w:name w:val="标题 1 字符"/>
    <w:link w:val="2"/>
    <w:uiPriority w:val="0"/>
    <w:rPr>
      <w:rFonts w:ascii="Times New Roman" w:hAnsi="Times New Roman" w:eastAsia="宋体" w:cs="Times New Roman"/>
      <w:b/>
      <w:bCs/>
      <w:kern w:val="44"/>
      <w:sz w:val="44"/>
      <w:szCs w:val="44"/>
    </w:rPr>
  </w:style>
  <w:style w:type="character" w:customStyle="1" w:styleId="35">
    <w:name w:val="标题 2 字符"/>
    <w:link w:val="3"/>
    <w:uiPriority w:val="9"/>
    <w:rPr>
      <w:rFonts w:ascii="Arial" w:hAnsi="Arial" w:eastAsia="黑体" w:cs="Times New Roman"/>
      <w:b/>
      <w:bCs/>
      <w:sz w:val="32"/>
      <w:szCs w:val="32"/>
    </w:rPr>
  </w:style>
  <w:style w:type="character" w:customStyle="1" w:styleId="36">
    <w:name w:val="标题 3 字符"/>
    <w:link w:val="4"/>
    <w:uiPriority w:val="0"/>
    <w:rPr>
      <w:rFonts w:ascii="Times New Roman" w:hAnsi="Times New Roman" w:eastAsia="宋体" w:cs="Times New Roman"/>
      <w:b/>
      <w:bCs/>
      <w:sz w:val="32"/>
      <w:szCs w:val="32"/>
    </w:rPr>
  </w:style>
  <w:style w:type="character" w:customStyle="1" w:styleId="37">
    <w:name w:val="标题 4 字符"/>
    <w:link w:val="5"/>
    <w:uiPriority w:val="0"/>
    <w:rPr>
      <w:rFonts w:ascii="Arial" w:hAnsi="Arial" w:eastAsia="黑体" w:cs="Times New Roman"/>
      <w:b/>
      <w:bCs/>
      <w:sz w:val="28"/>
      <w:szCs w:val="28"/>
    </w:rPr>
  </w:style>
  <w:style w:type="character" w:customStyle="1" w:styleId="38">
    <w:name w:val="标题 5 字符"/>
    <w:link w:val="6"/>
    <w:uiPriority w:val="0"/>
    <w:rPr>
      <w:rFonts w:ascii="Times New Roman" w:hAnsi="Times New Roman" w:eastAsia="宋体" w:cs="Times New Roman"/>
      <w:b/>
      <w:bCs/>
      <w:sz w:val="28"/>
      <w:szCs w:val="28"/>
    </w:rPr>
  </w:style>
  <w:style w:type="character" w:customStyle="1" w:styleId="39">
    <w:name w:val="标题 6 字符"/>
    <w:link w:val="7"/>
    <w:uiPriority w:val="0"/>
    <w:rPr>
      <w:rFonts w:ascii="Arial" w:hAnsi="Arial" w:eastAsia="黑体" w:cs="Times New Roman"/>
      <w:b/>
      <w:bCs/>
      <w:sz w:val="24"/>
      <w:szCs w:val="24"/>
    </w:rPr>
  </w:style>
  <w:style w:type="character" w:customStyle="1" w:styleId="40">
    <w:name w:val="标题 7 字符"/>
    <w:link w:val="8"/>
    <w:uiPriority w:val="0"/>
    <w:rPr>
      <w:rFonts w:ascii="Times New Roman" w:hAnsi="Times New Roman" w:eastAsia="宋体" w:cs="Times New Roman"/>
      <w:b/>
      <w:bCs/>
      <w:sz w:val="24"/>
      <w:szCs w:val="24"/>
    </w:rPr>
  </w:style>
  <w:style w:type="character" w:customStyle="1" w:styleId="41">
    <w:name w:val="标题 8 字符"/>
    <w:link w:val="9"/>
    <w:uiPriority w:val="0"/>
    <w:rPr>
      <w:rFonts w:ascii="Arial" w:hAnsi="Arial" w:eastAsia="黑体" w:cs="Times New Roman"/>
      <w:sz w:val="24"/>
      <w:szCs w:val="24"/>
    </w:rPr>
  </w:style>
  <w:style w:type="character" w:customStyle="1" w:styleId="42">
    <w:name w:val="标题 9 字符"/>
    <w:link w:val="10"/>
    <w:uiPriority w:val="0"/>
    <w:rPr>
      <w:rFonts w:ascii="Arial" w:hAnsi="Arial" w:eastAsia="黑体" w:cs="Times New Roman"/>
      <w:szCs w:val="21"/>
    </w:rPr>
  </w:style>
  <w:style w:type="character" w:customStyle="1" w:styleId="43">
    <w:name w:val="页眉 字符"/>
    <w:link w:val="18"/>
    <w:uiPriority w:val="99"/>
    <w:rPr>
      <w:rFonts w:ascii="Times New Roman" w:hAnsi="Times New Roman" w:eastAsia="宋体" w:cs="Times New Roman"/>
      <w:sz w:val="18"/>
      <w:szCs w:val="18"/>
    </w:rPr>
  </w:style>
  <w:style w:type="character" w:customStyle="1" w:styleId="44">
    <w:name w:val="页脚 字符"/>
    <w:link w:val="17"/>
    <w:uiPriority w:val="99"/>
    <w:rPr>
      <w:rFonts w:ascii="宋体" w:hAnsi="Times New Roman" w:eastAsia="宋体" w:cs="Times New Roman"/>
      <w:sz w:val="18"/>
      <w:szCs w:val="18"/>
    </w:rPr>
  </w:style>
  <w:style w:type="character" w:customStyle="1" w:styleId="45">
    <w:name w:val="批注框文本 字符"/>
    <w:link w:val="16"/>
    <w:semiHidden/>
    <w:uiPriority w:val="99"/>
    <w:rPr>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rPr>
  </w:style>
  <w:style w:type="character" w:customStyle="1" w:styleId="48">
    <w:name w:val="标题 字符"/>
    <w:link w:val="25"/>
    <w:qFormat/>
    <w:uiPriority w:val="0"/>
    <w:rPr>
      <w:rFonts w:ascii="Arial" w:hAnsi="Arial" w:eastAsia="宋体" w:cs="Arial"/>
      <w:b/>
      <w:bCs/>
      <w:sz w:val="32"/>
      <w:szCs w:val="32"/>
    </w:rPr>
  </w:style>
  <w:style w:type="paragraph" w:customStyle="1" w:styleId="49">
    <w:name w:val="标准标志"/>
    <w:next w:val="1"/>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uiPriority w:val="0"/>
    <w:pPr>
      <w:ind w:left="227"/>
    </w:pPr>
    <w:rPr>
      <w:rFonts w:ascii="宋体" w:hAnsi="Times New Roman" w:eastAsia="宋体" w:cs="Times New Roman"/>
      <w:sz w:val="18"/>
      <w:lang w:val="en-US" w:eastAsia="zh-CN" w:bidi="ar-SA"/>
    </w:rPr>
  </w:style>
  <w:style w:type="paragraph" w:customStyle="1" w:styleId="52">
    <w:name w:val="标准文件_页脚奇数页"/>
    <w:uiPriority w:val="0"/>
    <w:pPr>
      <w:ind w:right="227"/>
      <w:jc w:val="right"/>
    </w:pPr>
    <w:rPr>
      <w:rFonts w:ascii="宋体" w:hAnsi="Times New Roman" w:eastAsia="宋体" w:cs="Times New Roman"/>
      <w:sz w:val="18"/>
      <w:lang w:val="en-US" w:eastAsia="zh-CN" w:bidi="ar-SA"/>
    </w:rPr>
  </w:style>
  <w:style w:type="paragraph" w:customStyle="1" w:styleId="53">
    <w:name w:val="标准书眉一"/>
    <w:uiPriority w:val="0"/>
    <w:pPr>
      <w:jc w:val="both"/>
    </w:pPr>
    <w:rPr>
      <w:rFonts w:ascii="Times New Roman" w:hAnsi="Times New Roman" w:eastAsia="宋体" w:cs="Times New Roman"/>
      <w:lang w:val="en-US" w:eastAsia="zh-CN" w:bidi="ar-SA"/>
    </w:rPr>
  </w:style>
  <w:style w:type="paragraph" w:customStyle="1" w:styleId="54">
    <w:name w:val="标准文件_ICS"/>
    <w:basedOn w:val="1"/>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uiPriority w:val="0"/>
    <w:pPr>
      <w:adjustRightInd/>
      <w:snapToGrid/>
      <w:ind w:firstLine="0" w:firstLineChars="0"/>
    </w:pPr>
    <w:rPr>
      <w:rFonts w:ascii="宋体" w:hAnsi="宋体"/>
      <w:kern w:val="2"/>
    </w:rPr>
  </w:style>
  <w:style w:type="paragraph" w:customStyle="1" w:styleId="58">
    <w:name w:val="标准文件_标准部门"/>
    <w:basedOn w:val="1"/>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uiPriority w:val="0"/>
    <w:pPr>
      <w:jc w:val="left"/>
    </w:pPr>
  </w:style>
  <w:style w:type="paragraph" w:customStyle="1" w:styleId="63">
    <w:name w:val="标准文件_参考文献标题"/>
    <w:basedOn w:val="1"/>
    <w:next w:val="1"/>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4">
    <w:name w:val="标准文件_参考文献条目"/>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uiPriority w:val="0"/>
    <w:rPr>
      <w:rFonts w:ascii="黑体" w:eastAsia="黑体"/>
      <w:spacing w:val="0"/>
      <w:w w:val="100"/>
      <w:position w:val="3"/>
      <w:sz w:val="28"/>
    </w:rPr>
  </w:style>
  <w:style w:type="paragraph" w:customStyle="1" w:styleId="67">
    <w:name w:val="标准文件_方框数字列项"/>
    <w:basedOn w:val="56"/>
    <w:uiPriority w:val="0"/>
    <w:pPr>
      <w:numPr>
        <w:ilvl w:val="0"/>
        <w:numId w:val="3"/>
      </w:numPr>
      <w:ind w:firstLine="0" w:firstLineChars="0"/>
    </w:pPr>
  </w:style>
  <w:style w:type="paragraph" w:customStyle="1" w:styleId="68">
    <w:name w:val="标准文件_封面标准编号"/>
    <w:basedOn w:val="1"/>
    <w:next w:val="59"/>
    <w:uiPriority w:val="0"/>
    <w:pPr>
      <w:spacing w:line="310" w:lineRule="exact"/>
      <w:jc w:val="right"/>
    </w:pPr>
    <w:rPr>
      <w:rFonts w:ascii="黑体" w:eastAsia="黑体"/>
      <w:kern w:val="0"/>
      <w:sz w:val="28"/>
    </w:rPr>
  </w:style>
  <w:style w:type="paragraph" w:customStyle="1" w:styleId="69">
    <w:name w:val="标准文件_封面标准分类号"/>
    <w:basedOn w:val="1"/>
    <w:uiPriority w:val="0"/>
    <w:rPr>
      <w:rFonts w:ascii="黑体" w:eastAsia="黑体"/>
      <w:b/>
      <w:kern w:val="0"/>
      <w:sz w:val="28"/>
    </w:rPr>
  </w:style>
  <w:style w:type="paragraph" w:customStyle="1" w:styleId="70">
    <w:name w:val="标准文件_封面标准名称"/>
    <w:basedOn w:val="1"/>
    <w:uiPriority w:val="0"/>
    <w:pPr>
      <w:spacing w:line="240" w:lineRule="auto"/>
      <w:jc w:val="center"/>
    </w:pPr>
    <w:rPr>
      <w:rFonts w:ascii="黑体" w:eastAsia="黑体"/>
      <w:kern w:val="0"/>
      <w:sz w:val="52"/>
    </w:rPr>
  </w:style>
  <w:style w:type="paragraph" w:customStyle="1" w:styleId="71">
    <w:name w:val="标准文件_封面标准英文名称"/>
    <w:basedOn w:val="1"/>
    <w:uiPriority w:val="0"/>
    <w:pPr>
      <w:spacing w:line="240" w:lineRule="auto"/>
      <w:jc w:val="center"/>
    </w:pPr>
    <w:rPr>
      <w:rFonts w:ascii="黑体" w:eastAsia="黑体"/>
      <w:b/>
      <w:sz w:val="28"/>
    </w:rPr>
  </w:style>
  <w:style w:type="paragraph" w:customStyle="1" w:styleId="72">
    <w:name w:val="标准文件_封面发布日期"/>
    <w:basedOn w:val="1"/>
    <w:uiPriority w:val="0"/>
    <w:pPr>
      <w:spacing w:line="310" w:lineRule="exact"/>
    </w:pPr>
    <w:rPr>
      <w:rFonts w:ascii="黑体" w:eastAsia="黑体"/>
      <w:kern w:val="0"/>
      <w:sz w:val="28"/>
    </w:rPr>
  </w:style>
  <w:style w:type="paragraph" w:customStyle="1" w:styleId="73">
    <w:name w:val="标准文件_封面密级"/>
    <w:basedOn w:val="1"/>
    <w:uiPriority w:val="0"/>
    <w:rPr>
      <w:rFonts w:eastAsia="黑体"/>
      <w:sz w:val="32"/>
    </w:rPr>
  </w:style>
  <w:style w:type="paragraph" w:customStyle="1" w:styleId="74">
    <w:name w:val="标准文件_封面实施日期"/>
    <w:basedOn w:val="1"/>
    <w:uiPriority w:val="0"/>
    <w:pPr>
      <w:spacing w:line="310" w:lineRule="exact"/>
      <w:jc w:val="right"/>
    </w:pPr>
    <w:rPr>
      <w:rFonts w:ascii="黑体" w:eastAsia="黑体"/>
      <w:sz w:val="28"/>
    </w:rPr>
  </w:style>
  <w:style w:type="paragraph" w:customStyle="1" w:styleId="75">
    <w:name w:val="标准文件_封面抬头"/>
    <w:basedOn w:val="56"/>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uiPriority w:val="0"/>
    <w:rPr>
      <w:rFonts w:ascii="Times New Roman" w:hAnsi="Times New Roman" w:eastAsia="宋体" w:cs="Times New Roman"/>
      <w:szCs w:val="20"/>
    </w:rPr>
  </w:style>
  <w:style w:type="paragraph" w:customStyle="1" w:styleId="87">
    <w:name w:val="标准文件_附录章标题"/>
    <w:next w:val="56"/>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uiPriority w:val="0"/>
    <w:pPr>
      <w:ind w:left="488" w:leftChars="200" w:hanging="289" w:hangingChars="290"/>
    </w:pPr>
  </w:style>
  <w:style w:type="paragraph" w:customStyle="1" w:styleId="89">
    <w:name w:val="标准文件_前言、引言标题"/>
    <w:next w:val="1"/>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uiPriority w:val="0"/>
    <w:pPr>
      <w:spacing w:line="460" w:lineRule="exact"/>
    </w:pPr>
  </w:style>
  <w:style w:type="paragraph" w:customStyle="1" w:styleId="91">
    <w:name w:val="标准文件_目录标题"/>
    <w:basedOn w:val="1"/>
    <w:qFormat/>
    <w:uiPriority w:val="0"/>
    <w:pPr>
      <w:spacing w:after="150" w:afterLines="150" w:line="240" w:lineRule="auto"/>
      <w:jc w:val="center"/>
    </w:pPr>
    <w:rPr>
      <w:rFonts w:ascii="黑体" w:eastAsia="黑体"/>
      <w:sz w:val="32"/>
    </w:rPr>
  </w:style>
  <w:style w:type="paragraph" w:customStyle="1" w:styleId="92">
    <w:name w:val="标准文件_破折号列项"/>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uiPriority w:val="0"/>
    <w:pPr>
      <w:numPr>
        <w:numId w:val="10"/>
      </w:numPr>
      <w:ind w:left="0" w:firstLine="200"/>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uiPriority w:val="0"/>
    <w:pPr>
      <w:adjustRightInd/>
      <w:spacing w:line="240" w:lineRule="auto"/>
      <w:ind w:firstLine="200" w:firstLineChars="200"/>
    </w:pPr>
    <w:rPr>
      <w:sz w:val="18"/>
      <w:szCs w:val="24"/>
    </w:rPr>
  </w:style>
  <w:style w:type="paragraph" w:customStyle="1" w:styleId="97">
    <w:name w:val="标准文件_数字编号列项"/>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uiPriority w:val="0"/>
    <w:rPr>
      <w:rFonts w:ascii="宋体" w:hAnsi="Times New Roman" w:eastAsia="宋体" w:cs="Times New Roman"/>
      <w:sz w:val="18"/>
      <w:szCs w:val="18"/>
    </w:rPr>
  </w:style>
  <w:style w:type="paragraph" w:customStyle="1" w:styleId="100">
    <w:name w:val="标准文件_条文脚注"/>
    <w:basedOn w:val="21"/>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uiPriority w:val="0"/>
    <w:pPr>
      <w:numPr>
        <w:ilvl w:val="0"/>
        <w:numId w:val="12"/>
      </w:numPr>
      <w:spacing w:line="240" w:lineRule="auto"/>
      <w:jc w:val="left"/>
    </w:pPr>
    <w:rPr>
      <w:rFonts w:ascii="宋体" w:hAnsi="宋体"/>
      <w:sz w:val="18"/>
    </w:rPr>
  </w:style>
  <w:style w:type="character" w:customStyle="1" w:styleId="102">
    <w:name w:val="标准文件_图表脚注内容"/>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uiPriority w:val="0"/>
    <w:pPr>
      <w:spacing w:line="440" w:lineRule="exact"/>
      <w:jc w:val="center"/>
    </w:pPr>
    <w:rPr>
      <w:sz w:val="28"/>
    </w:rPr>
  </w:style>
  <w:style w:type="paragraph" w:customStyle="1" w:styleId="107">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uiPriority w:val="0"/>
    <w:pPr>
      <w:numPr>
        <w:ilvl w:val="3"/>
        <w:numId w:val="20"/>
      </w:numPr>
      <w:adjustRightInd/>
      <w:spacing w:line="240" w:lineRule="auto"/>
    </w:pPr>
    <w:rPr>
      <w:rFonts w:ascii="宋体" w:hAnsi="宋体"/>
      <w:szCs w:val="24"/>
    </w:rPr>
  </w:style>
  <w:style w:type="paragraph" w:customStyle="1" w:styleId="119">
    <w:name w:val="发布部门"/>
    <w:next w:val="56"/>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uiPriority w:val="0"/>
    <w:pPr>
      <w:outlineLvl w:val="4"/>
    </w:pPr>
  </w:style>
  <w:style w:type="paragraph" w:customStyle="1" w:styleId="130">
    <w:name w:val="附录四级无标题条"/>
    <w:basedOn w:val="129"/>
    <w:next w:val="56"/>
    <w:uiPriority w:val="0"/>
    <w:pPr>
      <w:outlineLvl w:val="5"/>
    </w:pPr>
  </w:style>
  <w:style w:type="paragraph" w:customStyle="1" w:styleId="131">
    <w:name w:val="附录图"/>
    <w:next w:val="56"/>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uiPriority w:val="0"/>
    <w:pPr>
      <w:outlineLvl w:val="6"/>
    </w:pPr>
  </w:style>
  <w:style w:type="paragraph" w:customStyle="1" w:styleId="134">
    <w:name w:val="附录性质"/>
    <w:basedOn w:val="1"/>
    <w:uiPriority w:val="0"/>
    <w:pPr>
      <w:widowControl/>
      <w:adjustRightInd/>
      <w:jc w:val="center"/>
    </w:pPr>
    <w:rPr>
      <w:rFonts w:ascii="黑体" w:eastAsia="黑体"/>
    </w:rPr>
  </w:style>
  <w:style w:type="paragraph" w:customStyle="1" w:styleId="135">
    <w:name w:val="附录一级无标题条"/>
    <w:basedOn w:val="87"/>
    <w:next w:val="56"/>
    <w:uiPriority w:val="0"/>
    <w:pPr>
      <w:autoSpaceDN w:val="0"/>
      <w:outlineLvl w:val="2"/>
    </w:pPr>
    <w:rPr>
      <w:rFonts w:ascii="宋体" w:hAnsi="宋体" w:eastAsia="宋体"/>
    </w:rPr>
  </w:style>
  <w:style w:type="character" w:customStyle="1" w:styleId="136">
    <w:name w:val="个人答复风格"/>
    <w:uiPriority w:val="0"/>
    <w:rPr>
      <w:rFonts w:ascii="Arial" w:hAnsi="Arial" w:eastAsia="宋体" w:cs="Arial"/>
      <w:color w:val="auto"/>
      <w:spacing w:val="0"/>
      <w:sz w:val="20"/>
    </w:rPr>
  </w:style>
  <w:style w:type="character" w:customStyle="1" w:styleId="137">
    <w:name w:val="个人撰写风格"/>
    <w:uiPriority w:val="0"/>
    <w:rPr>
      <w:rFonts w:ascii="Arial" w:hAnsi="Arial" w:eastAsia="宋体" w:cs="Arial"/>
      <w:color w:val="auto"/>
      <w:spacing w:val="0"/>
      <w:sz w:val="20"/>
    </w:rPr>
  </w:style>
  <w:style w:type="paragraph" w:customStyle="1" w:styleId="138">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uiPriority w:val="0"/>
    <w:pPr>
      <w:tabs>
        <w:tab w:val="left" w:pos="840"/>
      </w:tabs>
    </w:pPr>
  </w:style>
  <w:style w:type="paragraph" w:customStyle="1" w:styleId="141">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uiPriority w:val="0"/>
    <w:pPr>
      <w:adjustRightInd/>
      <w:spacing w:line="240" w:lineRule="auto"/>
      <w:jc w:val="left"/>
    </w:pPr>
    <w:rPr>
      <w:bCs/>
      <w:iCs/>
    </w:rPr>
  </w:style>
  <w:style w:type="paragraph" w:customStyle="1" w:styleId="143">
    <w:name w:val="目录 31"/>
    <w:basedOn w:val="1"/>
    <w:next w:val="1"/>
    <w:autoRedefine/>
    <w:semiHidden/>
    <w:uiPriority w:val="0"/>
    <w:pPr>
      <w:spacing w:line="240" w:lineRule="auto"/>
    </w:pPr>
    <w:rPr>
      <w:rFonts w:ascii="宋体" w:hAnsi="宋体"/>
      <w:iCs/>
    </w:rPr>
  </w:style>
  <w:style w:type="paragraph" w:customStyle="1" w:styleId="144">
    <w:name w:val="目录 41"/>
    <w:basedOn w:val="1"/>
    <w:next w:val="1"/>
    <w:autoRedefine/>
    <w:semiHidden/>
    <w:uiPriority w:val="0"/>
    <w:pPr>
      <w:adjustRightInd/>
      <w:spacing w:line="240" w:lineRule="auto"/>
      <w:jc w:val="left"/>
    </w:pPr>
  </w:style>
  <w:style w:type="paragraph" w:customStyle="1" w:styleId="145">
    <w:name w:val="目录 51"/>
    <w:basedOn w:val="1"/>
    <w:next w:val="1"/>
    <w:autoRedefine/>
    <w:semiHidden/>
    <w:uiPriority w:val="0"/>
    <w:pPr>
      <w:spacing w:line="240" w:lineRule="auto"/>
    </w:pPr>
    <w:rPr>
      <w:rFonts w:ascii="宋体" w:hAnsi="宋体"/>
    </w:rPr>
  </w:style>
  <w:style w:type="paragraph" w:customStyle="1" w:styleId="146">
    <w:name w:val="目录 61"/>
    <w:basedOn w:val="1"/>
    <w:next w:val="1"/>
    <w:autoRedefine/>
    <w:semiHidden/>
    <w:uiPriority w:val="0"/>
    <w:pPr>
      <w:adjustRightInd/>
      <w:spacing w:line="240" w:lineRule="auto"/>
      <w:jc w:val="left"/>
    </w:pPr>
  </w:style>
  <w:style w:type="paragraph" w:customStyle="1" w:styleId="147">
    <w:name w:val="目录 71"/>
    <w:basedOn w:val="146"/>
    <w:autoRedefine/>
    <w:semiHidden/>
    <w:uiPriority w:val="0"/>
    <w:pPr>
      <w:ind w:left="1260"/>
    </w:pPr>
  </w:style>
  <w:style w:type="paragraph" w:customStyle="1" w:styleId="148">
    <w:name w:val="目录 81"/>
    <w:basedOn w:val="147"/>
    <w:autoRedefine/>
    <w:semiHidden/>
    <w:uiPriority w:val="0"/>
    <w:pPr>
      <w:ind w:left="1470"/>
    </w:pPr>
  </w:style>
  <w:style w:type="paragraph" w:customStyle="1" w:styleId="149">
    <w:name w:val="目录 91"/>
    <w:basedOn w:val="148"/>
    <w:autoRedefine/>
    <w:semiHidden/>
    <w:uiPriority w:val="0"/>
    <w:pPr>
      <w:ind w:left="1680"/>
    </w:pPr>
  </w:style>
  <w:style w:type="paragraph" w:customStyle="1" w:styleId="150">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uiPriority w:val="0"/>
    <w:pPr>
      <w:numPr>
        <w:ilvl w:val="4"/>
        <w:numId w:val="20"/>
      </w:numPr>
      <w:adjustRightInd/>
      <w:spacing w:line="240" w:lineRule="auto"/>
    </w:pPr>
    <w:rPr>
      <w:rFonts w:ascii="宋体" w:hAnsi="宋体"/>
      <w:szCs w:val="24"/>
    </w:rPr>
  </w:style>
  <w:style w:type="paragraph" w:customStyle="1" w:styleId="154">
    <w:name w:val="实施日期"/>
    <w:basedOn w:val="120"/>
    <w:uiPriority w:val="0"/>
    <w:pPr>
      <w:framePr w:hSpace="0" w:wrap="around" w:xAlign="right"/>
      <w:jc w:val="right"/>
    </w:pPr>
  </w:style>
  <w:style w:type="paragraph" w:customStyle="1" w:styleId="155">
    <w:name w:val="四级无标题条"/>
    <w:basedOn w:val="1"/>
    <w:uiPriority w:val="0"/>
    <w:pPr>
      <w:numPr>
        <w:ilvl w:val="5"/>
        <w:numId w:val="20"/>
      </w:numPr>
      <w:adjustRightInd/>
      <w:spacing w:line="240" w:lineRule="auto"/>
    </w:pPr>
    <w:rPr>
      <w:rFonts w:ascii="宋体" w:hAnsi="宋体"/>
      <w:szCs w:val="24"/>
    </w:rPr>
  </w:style>
  <w:style w:type="paragraph" w:customStyle="1" w:styleId="156">
    <w:name w:val="文献分类号"/>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uiPriority w:val="0"/>
    <w:pPr>
      <w:jc w:val="both"/>
    </w:pPr>
    <w:rPr>
      <w:rFonts w:ascii="宋体" w:hAnsi="宋体" w:eastAsia="宋体" w:cs="Times New Roman"/>
      <w:sz w:val="21"/>
      <w:lang w:val="en-US" w:eastAsia="zh-CN" w:bidi="ar-SA"/>
    </w:rPr>
  </w:style>
  <w:style w:type="paragraph" w:customStyle="1" w:styleId="158">
    <w:name w:val="五级无标题条"/>
    <w:basedOn w:val="1"/>
    <w:uiPriority w:val="0"/>
    <w:pPr>
      <w:numPr>
        <w:ilvl w:val="6"/>
        <w:numId w:val="20"/>
      </w:numPr>
      <w:adjustRightInd/>
    </w:pPr>
    <w:rPr>
      <w:szCs w:val="24"/>
    </w:rPr>
  </w:style>
  <w:style w:type="paragraph" w:customStyle="1" w:styleId="159">
    <w:name w:val="一级无标题条"/>
    <w:basedOn w:val="1"/>
    <w:uiPriority w:val="0"/>
    <w:pPr>
      <w:numPr>
        <w:ilvl w:val="2"/>
        <w:numId w:val="20"/>
      </w:numPr>
      <w:adjustRightInd/>
      <w:spacing w:before="10" w:after="10" w:line="240" w:lineRule="auto"/>
    </w:pPr>
    <w:rPr>
      <w:rFonts w:ascii="宋体" w:hAnsi="宋体"/>
      <w:szCs w:val="24"/>
    </w:rPr>
  </w:style>
  <w:style w:type="paragraph" w:customStyle="1" w:styleId="160">
    <w:name w:val="注:后续"/>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uiPriority w:val="0"/>
    <w:rPr>
      <w:rFonts w:ascii="宋体" w:hAnsi="Times New Roman" w:eastAsia="宋体" w:cs="Times New Roman"/>
      <w:sz w:val="21"/>
      <w:lang w:val="en-US" w:eastAsia="zh-CN" w:bidi="ar-SA"/>
    </w:rPr>
  </w:style>
  <w:style w:type="paragraph" w:customStyle="1" w:styleId="172">
    <w:name w:val="标准文件_三级项"/>
    <w:basedOn w:val="1"/>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uiPriority w:val="0"/>
    <w:pPr>
      <w:numPr>
        <w:ilvl w:val="0"/>
        <w:numId w:val="25"/>
      </w:numPr>
      <w:adjustRightInd/>
      <w:spacing w:line="240" w:lineRule="auto"/>
      <w:ind w:left="783"/>
    </w:pPr>
    <w:rPr>
      <w:rFonts w:ascii="宋体" w:hAnsi="Times New Roman"/>
      <w:sz w:val="18"/>
      <w:szCs w:val="18"/>
    </w:rPr>
  </w:style>
  <w:style w:type="paragraph" w:customStyle="1" w:styleId="174">
    <w:name w:val="标准文件_字母编号列项（一级）"/>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uiPriority w:val="99"/>
    <w:rPr>
      <w:color w:val="808080"/>
    </w:rPr>
  </w:style>
  <w:style w:type="paragraph" w:customStyle="1" w:styleId="187">
    <w:name w:val="标准文件_二级项2"/>
    <w:basedOn w:val="56"/>
    <w:qFormat/>
    <w:uiPriority w:val="0"/>
    <w:pPr>
      <w:numPr>
        <w:ilvl w:val="1"/>
        <w:numId w:val="21"/>
      </w:numPr>
      <w:ind w:left="1271" w:hanging="420" w:firstLineChars="0"/>
    </w:pPr>
  </w:style>
  <w:style w:type="paragraph" w:customStyle="1" w:styleId="188">
    <w:name w:val="标准文件_三级项2"/>
    <w:basedOn w:val="56"/>
    <w:qFormat/>
    <w:uiPriority w:val="0"/>
    <w:pPr>
      <w:numPr>
        <w:ilvl w:val="0"/>
        <w:numId w:val="30"/>
      </w:numPr>
      <w:spacing w:line="300" w:lineRule="exact"/>
      <w:ind w:left="1276" w:hanging="425" w:firstLineChars="0"/>
    </w:pPr>
    <w:rPr>
      <w:rFonts w:ascii="Times New Roman"/>
    </w:rPr>
  </w:style>
  <w:style w:type="paragraph" w:customStyle="1" w:styleId="189">
    <w:name w:val="标准文件_一级项2"/>
    <w:basedOn w:val="56"/>
    <w:qFormat/>
    <w:uiPriority w:val="0"/>
    <w:pPr>
      <w:numPr>
        <w:ilvl w:val="0"/>
        <w:numId w:val="31"/>
      </w:numPr>
      <w:spacing w:line="300" w:lineRule="exact"/>
      <w:ind w:left="1271" w:hanging="420"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uiPriority w:val="0"/>
    <w:pPr>
      <w:framePr w:w="3997" w:h="471" w:hRule="exact" w:hSpace="0" w:vSpace="181" w:wrap="around" w:vAnchor="page" w:hAnchor="page" w:x="1419" w:y="14097"/>
    </w:pPr>
  </w:style>
  <w:style w:type="paragraph" w:customStyle="1" w:styleId="194">
    <w:name w:val="其他实施日期"/>
    <w:basedOn w:val="154"/>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next w:val="56"/>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uiPriority w:val="0"/>
    <w:rPr>
      <w:rFonts w:ascii="黑体" w:eastAsia="黑体"/>
      <w:spacing w:val="85"/>
      <w:w w:val="100"/>
      <w:position w:val="3"/>
      <w:sz w:val="28"/>
      <w:szCs w:val="28"/>
    </w:rPr>
  </w:style>
  <w:style w:type="paragraph" w:styleId="230">
    <w:name w:val="List Paragraph"/>
    <w:basedOn w:val="1"/>
    <w:qFormat/>
    <w:uiPriority w:val="34"/>
    <w:pPr>
      <w:ind w:firstLine="420" w:firstLineChars="200"/>
    </w:pPr>
  </w:style>
  <w:style w:type="paragraph" w:customStyle="1" w:styleId="231">
    <w:name w:val="五级条标题"/>
    <w:basedOn w:val="232"/>
    <w:next w:val="1"/>
    <w:qFormat/>
    <w:uiPriority w:val="0"/>
    <w:pPr>
      <w:numPr>
        <w:ilvl w:val="6"/>
      </w:numPr>
      <w:tabs>
        <w:tab w:val="left" w:pos="360"/>
      </w:tabs>
      <w:outlineLvl w:val="6"/>
    </w:pPr>
  </w:style>
  <w:style w:type="paragraph" w:customStyle="1" w:styleId="232">
    <w:name w:val="四级条标题"/>
    <w:basedOn w:val="233"/>
    <w:next w:val="1"/>
    <w:qFormat/>
    <w:uiPriority w:val="0"/>
    <w:pPr>
      <w:numPr>
        <w:ilvl w:val="5"/>
      </w:numPr>
      <w:tabs>
        <w:tab w:val="left" w:pos="360"/>
      </w:tabs>
      <w:outlineLvl w:val="5"/>
    </w:pPr>
  </w:style>
  <w:style w:type="paragraph" w:customStyle="1" w:styleId="233">
    <w:name w:val="三级条标题"/>
    <w:basedOn w:val="1"/>
    <w:next w:val="1"/>
    <w:qFormat/>
    <w:uiPriority w:val="0"/>
    <w:pPr>
      <w:widowControl/>
      <w:numPr>
        <w:ilvl w:val="4"/>
        <w:numId w:val="32"/>
      </w:numPr>
      <w:tabs>
        <w:tab w:val="left" w:pos="360"/>
      </w:tabs>
      <w:adjustRightInd/>
      <w:spacing w:line="240" w:lineRule="auto"/>
      <w:jc w:val="left"/>
      <w:outlineLvl w:val="4"/>
    </w:pPr>
    <w:rPr>
      <w:rFonts w:ascii="Times New Roman" w:hAnsi="Times New Roman"/>
      <w:kern w:val="0"/>
      <w:szCs w:val="20"/>
    </w:rPr>
  </w:style>
  <w:style w:type="paragraph" w:customStyle="1" w:styleId="234">
    <w:name w:val="一级条标题"/>
    <w:next w:val="1"/>
    <w:qFormat/>
    <w:uiPriority w:val="0"/>
    <w:pPr>
      <w:numPr>
        <w:ilvl w:val="2"/>
        <w:numId w:val="32"/>
      </w:numPr>
      <w:tabs>
        <w:tab w:val="left" w:pos="360"/>
      </w:tabs>
      <w:outlineLvl w:val="2"/>
    </w:pPr>
    <w:rPr>
      <w:rFonts w:ascii="Times New Roman" w:hAnsi="Times New Roman" w:eastAsia="黑体" w:cs="Times New Roman"/>
      <w:sz w:val="21"/>
      <w:lang w:val="en-US" w:eastAsia="zh-CN" w:bidi="ar-SA"/>
    </w:rPr>
  </w:style>
  <w:style w:type="paragraph" w:customStyle="1" w:styleId="235">
    <w:name w:val="前言、引言标题"/>
    <w:next w:val="1"/>
    <w:qFormat/>
    <w:uiPriority w:val="0"/>
    <w:pPr>
      <w:numPr>
        <w:ilvl w:val="0"/>
        <w:numId w:val="32"/>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36">
    <w:name w:val="章标题"/>
    <w:next w:val="1"/>
    <w:qFormat/>
    <w:uiPriority w:val="0"/>
    <w:pPr>
      <w:numPr>
        <w:ilvl w:val="1"/>
        <w:numId w:val="32"/>
      </w:numPr>
      <w:tabs>
        <w:tab w:val="left" w:pos="360"/>
      </w:tabs>
      <w:snapToGrid w:val="0"/>
      <w:spacing w:before="150" w:beforeLines="150" w:after="150" w:afterLines="150"/>
      <w:jc w:val="both"/>
      <w:outlineLvl w:val="1"/>
    </w:pPr>
    <w:rPr>
      <w:rFonts w:ascii="黑体" w:hAnsi="黑体" w:eastAsia="黑体" w:cs="Times New Roman"/>
      <w:sz w:val="21"/>
      <w:lang w:val="en-US" w:eastAsia="zh-CN" w:bidi="ar-SA"/>
    </w:rPr>
  </w:style>
  <w:style w:type="paragraph" w:customStyle="1" w:styleId="237">
    <w:name w:val="二级条标题"/>
    <w:basedOn w:val="1"/>
    <w:next w:val="1"/>
    <w:qFormat/>
    <w:uiPriority w:val="99"/>
    <w:pPr>
      <w:numPr>
        <w:ilvl w:val="3"/>
        <w:numId w:val="32"/>
      </w:numPr>
      <w:adjustRightInd/>
      <w:spacing w:beforeLines="25" w:line="360" w:lineRule="exact"/>
      <w:outlineLvl w:val="4"/>
    </w:pPr>
    <w:rPr>
      <w:rFonts w:ascii="Times New Roman" w:hAnsi="Times New Roman"/>
    </w:rPr>
  </w:style>
  <w:style w:type="character" w:customStyle="1" w:styleId="238">
    <w:name w:val="emtidy-1"/>
    <w:uiPriority w:val="0"/>
  </w:style>
  <w:style w:type="character" w:customStyle="1" w:styleId="239">
    <w:name w:val="emtidy-2"/>
    <w:uiPriority w:val="0"/>
  </w:style>
  <w:style w:type="paragraph" w:customStyle="1" w:styleId="240">
    <w:name w:val="段"/>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41">
    <w:name w:val="_Style 240"/>
    <w:basedOn w:val="1"/>
    <w:next w:val="230"/>
    <w:qFormat/>
    <w:uiPriority w:val="34"/>
    <w:pPr>
      <w:adjustRightInd/>
      <w:spacing w:line="240" w:lineRule="auto"/>
      <w:ind w:firstLine="420" w:firstLineChars="200"/>
    </w:pPr>
    <w:rPr>
      <w:rFonts w:ascii="等线" w:hAnsi="等线" w:eastAsia="等线"/>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6" Type="http://schemas.openxmlformats.org/officeDocument/2006/relationships/glossaryDocument" Target="glossary/document.xml"/><Relationship Id="rId55" Type="http://schemas.openxmlformats.org/officeDocument/2006/relationships/fontTable" Target="fontTable.xml"/><Relationship Id="rId54" Type="http://schemas.openxmlformats.org/officeDocument/2006/relationships/customXml" Target="../customXml/item2.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12.jpeg"/><Relationship Id="rId50" Type="http://schemas.openxmlformats.org/officeDocument/2006/relationships/image" Target="media/image11.wmf"/><Relationship Id="rId5" Type="http://schemas.openxmlformats.org/officeDocument/2006/relationships/header" Target="header1.xml"/><Relationship Id="rId49" Type="http://schemas.openxmlformats.org/officeDocument/2006/relationships/oleObject" Target="embeddings/oleObject8.bin"/><Relationship Id="rId48" Type="http://schemas.openxmlformats.org/officeDocument/2006/relationships/image" Target="media/image10.wmf"/><Relationship Id="rId47" Type="http://schemas.openxmlformats.org/officeDocument/2006/relationships/oleObject" Target="embeddings/oleObject7.bin"/><Relationship Id="rId46" Type="http://schemas.openxmlformats.org/officeDocument/2006/relationships/image" Target="media/image9.wmf"/><Relationship Id="rId45" Type="http://schemas.openxmlformats.org/officeDocument/2006/relationships/oleObject" Target="embeddings/oleObject6.bin"/><Relationship Id="rId44" Type="http://schemas.openxmlformats.org/officeDocument/2006/relationships/image" Target="media/image8.wmf"/><Relationship Id="rId43" Type="http://schemas.openxmlformats.org/officeDocument/2006/relationships/oleObject" Target="embeddings/oleObject5.bin"/><Relationship Id="rId42" Type="http://schemas.openxmlformats.org/officeDocument/2006/relationships/image" Target="media/image7.wmf"/><Relationship Id="rId41" Type="http://schemas.openxmlformats.org/officeDocument/2006/relationships/oleObject" Target="embeddings/oleObject4.bin"/><Relationship Id="rId40" Type="http://schemas.openxmlformats.org/officeDocument/2006/relationships/image" Target="media/image6.wmf"/><Relationship Id="rId4" Type="http://schemas.openxmlformats.org/officeDocument/2006/relationships/endnotes" Target="endnotes.xml"/><Relationship Id="rId39" Type="http://schemas.openxmlformats.org/officeDocument/2006/relationships/oleObject" Target="embeddings/oleObject3.bin"/><Relationship Id="rId38" Type="http://schemas.openxmlformats.org/officeDocument/2006/relationships/image" Target="media/image5.wmf"/><Relationship Id="rId37" Type="http://schemas.openxmlformats.org/officeDocument/2006/relationships/oleObject" Target="embeddings/oleObject2.bin"/><Relationship Id="rId36" Type="http://schemas.openxmlformats.org/officeDocument/2006/relationships/image" Target="media/image4.wmf"/><Relationship Id="rId35" Type="http://schemas.openxmlformats.org/officeDocument/2006/relationships/oleObject" Target="embeddings/oleObject1.bin"/><Relationship Id="rId34" Type="http://schemas.openxmlformats.org/officeDocument/2006/relationships/image" Target="media/image3.png"/><Relationship Id="rId33" Type="http://schemas.openxmlformats.org/officeDocument/2006/relationships/image" Target="media/image2.png"/><Relationship Id="rId32" Type="http://schemas.openxmlformats.org/officeDocument/2006/relationships/image" Target="media/image1.tiff"/><Relationship Id="rId31" Type="http://schemas.openxmlformats.org/officeDocument/2006/relationships/theme" Target="theme/theme1.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header" Target="header13.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4C036F081EA4A02845F0627F21FEB89"/>
        <w:style w:val=""/>
        <w:category>
          <w:name w:val="常规"/>
          <w:gallery w:val="placeholder"/>
        </w:category>
        <w:types>
          <w:type w:val="bbPlcHdr"/>
        </w:types>
        <w:behaviors>
          <w:behavior w:val="content"/>
        </w:behaviors>
        <w:description w:val=""/>
        <w:guid w:val="{9C178447-77C1-4856-B1D1-651F593F75F0}"/>
      </w:docPartPr>
      <w:docPartBody>
        <w:p w14:paraId="5AA792EB">
          <w:pPr>
            <w:pStyle w:val="5"/>
          </w:pPr>
          <w:r>
            <w:rPr>
              <w:rStyle w:val="4"/>
              <w:rFonts w:hint="eastAsia"/>
            </w:rPr>
            <w:t>单击或点击此处输入文字。</w:t>
          </w:r>
        </w:p>
      </w:docPartBody>
    </w:docPart>
    <w:docPart>
      <w:docPartPr>
        <w:name w:val="5C7AE51C9E7D46F4BACDD06954006DE1"/>
        <w:style w:val=""/>
        <w:category>
          <w:name w:val="常规"/>
          <w:gallery w:val="placeholder"/>
        </w:category>
        <w:types>
          <w:type w:val="bbPlcHdr"/>
        </w:types>
        <w:behaviors>
          <w:behavior w:val="content"/>
        </w:behaviors>
        <w:description w:val=""/>
        <w:guid w:val="{F62F6A52-E803-4958-A66A-4CE8CDF0A2A0}"/>
      </w:docPartPr>
      <w:docPartBody>
        <w:p w14:paraId="52419A18">
          <w:pPr>
            <w:pStyle w:val="6"/>
          </w:pPr>
          <w:r>
            <w:rPr>
              <w:rStyle w:val="4"/>
              <w:rFonts w:hint="eastAsia"/>
            </w:rPr>
            <w:t>选择一项。</w:t>
          </w:r>
        </w:p>
      </w:docPartBody>
    </w:docPart>
    <w:docPart>
      <w:docPartPr>
        <w:name w:val="D11F93A705984862BF254C905473E7B0"/>
        <w:style w:val=""/>
        <w:category>
          <w:name w:val="常规"/>
          <w:gallery w:val="placeholder"/>
        </w:category>
        <w:types>
          <w:type w:val="bbPlcHdr"/>
        </w:types>
        <w:behaviors>
          <w:behavior w:val="content"/>
        </w:behaviors>
        <w:description w:val=""/>
        <w:guid w:val="{66E9B31C-0DD9-4293-A12B-9C43F34CA9BC}"/>
      </w:docPartPr>
      <w:docPartBody>
        <w:p w14:paraId="0FF44380">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538"/>
    <w:rsid w:val="000F783F"/>
    <w:rsid w:val="00224538"/>
    <w:rsid w:val="00247F49"/>
    <w:rsid w:val="002A6B97"/>
    <w:rsid w:val="00402793"/>
    <w:rsid w:val="005234AF"/>
    <w:rsid w:val="00883FDB"/>
    <w:rsid w:val="008D4FB4"/>
    <w:rsid w:val="009263AE"/>
    <w:rsid w:val="00AD78C1"/>
    <w:rsid w:val="00BC171B"/>
    <w:rsid w:val="00DD2E89"/>
    <w:rsid w:val="00EE2EF4"/>
    <w:rsid w:val="00FB09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E4C036F081EA4A02845F0627F21FEB89"/>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5C7AE51C9E7D46F4BACDD06954006DE1"/>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D11F93A705984862BF254C905473E7B0"/>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6D05FD9-F6F6-44C9-8B2D-DDD279BDC688}">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28</Pages>
  <Words>778</Words>
  <Characters>978</Characters>
  <Lines>185</Lines>
  <Paragraphs>52</Paragraphs>
  <TotalTime>162</TotalTime>
  <ScaleCrop>false</ScaleCrop>
  <LinksUpToDate>false</LinksUpToDate>
  <CharactersWithSpaces>1080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2023-10-31T03:25:00Z</dcterms:created>
  <dc:creator>JIANG Ping</dc:creator>
  <dc:description>&lt;config cover="true" show_menu="true" version="1.0.0" doctype="SDKXY"&gt;_x000d_
&lt;/config&gt;</dc:description>
  <cp:lastModifiedBy>秦志勇</cp:lastModifiedBy>
  <cp:lastPrinted>2023-10-29T10:36:00Z</cp:lastPrinted>
  <dcterms:modified xsi:type="dcterms:W3CDTF">2025-09-26T09:03:49Z</dcterms:modified>
  <dc:title>地方标准</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eyJoZGlkIjoiMjg1NGNlMjU0NDhiODhlZjZmN2E4ZGEwNGViZDE5M2EiLCJ1c2VySWQiOiIxNDk0MjUwODM2In0=</vt:lpwstr>
  </property>
  <property fmtid="{D5CDD505-2E9C-101B-9397-08002B2CF9AE}" pid="16" name="KSOProductBuildVer">
    <vt:lpwstr>2052-12.1.0.22529</vt:lpwstr>
  </property>
  <property fmtid="{D5CDD505-2E9C-101B-9397-08002B2CF9AE}" pid="17" name="ICV">
    <vt:lpwstr>E8F90C2A0DE44E78918C587C9C2AE399_13</vt:lpwstr>
  </property>
</Properties>
</file>