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13.020.40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长江三角洲区域</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t>工业涂装工序大气污染防治技术规范</w:t>
      </w:r>
      <w:r>
        <w:fldChar w:fldCharType="end"/>
      </w:r>
      <w:bookmarkEnd w:id="5"/>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fldChar w:fldCharType="separate"/>
      </w:r>
      <w:r>
        <w:rPr>
          <w:rFonts w:eastAsia="黑体"/>
          <w:szCs w:val="28"/>
        </w:rPr>
        <w:t>Technical specifications for air pollution prevention and control of industrial surface coating</w:t>
      </w:r>
      <w:r>
        <w:rPr>
          <w:rFonts w:eastAsia="黑体"/>
          <w:szCs w:val="28"/>
        </w:rPr>
        <w:fldChar w:fldCharType="end"/>
      </w:r>
      <w:bookmarkEnd w:id="6"/>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51"/>
        <w:framePr w:w="8054" w:h="1473" w:hRule="exact" w:hSpace="181" w:vSpace="181" w:wrap="around" w:vAnchor="page" w:hAnchor="page" w:x="2316" w:y="14625"/>
        <w:rPr>
          <w:rFonts w:hAnsi="黑体"/>
          <w:w w:val="100"/>
          <w:sz w:val="28"/>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浙江省市场监督管理局</w:t>
      </w:r>
    </w:p>
    <w:p>
      <w:pPr>
        <w:pStyle w:val="151"/>
        <w:framePr w:w="8054" w:h="1473" w:hRule="exact" w:hSpace="181" w:vSpace="181" w:wrap="around" w:vAnchor="page" w:hAnchor="page" w:x="2316" w:y="14625"/>
        <w:rPr>
          <w:rFonts w:hAnsi="黑体"/>
        </w:rPr>
      </w:pPr>
      <w:r>
        <w:rPr>
          <w:rFonts w:hint="eastAsia" w:hAnsi="黑体"/>
          <w:w w:val="100"/>
          <w:sz w:val="28"/>
        </w:rPr>
        <w:t>上海市市场监督管理局</w:t>
      </w:r>
      <w:r>
        <w:rPr>
          <w:rFonts w:hAnsi="黑体"/>
          <w:w w:val="100"/>
          <w:sz w:val="28"/>
        </w:rPr>
        <w:br w:type="textWrapping"/>
      </w:r>
      <w:r>
        <w:rPr>
          <w:rFonts w:hint="eastAsia" w:hAnsi="黑体"/>
          <w:w w:val="100"/>
          <w:sz w:val="28"/>
        </w:rPr>
        <w:t>江苏省市场监督管理局</w:t>
      </w:r>
      <w:r>
        <w:rPr>
          <w:rFonts w:hAnsi="黑体"/>
          <w:w w:val="100"/>
          <w:sz w:val="28"/>
        </w:rPr>
        <w:br w:type="textWrapping"/>
      </w:r>
      <w:r>
        <w:rPr>
          <w:rFonts w:hint="eastAsia" w:hAnsi="黑体"/>
          <w:w w:val="100"/>
          <w:sz w:val="28"/>
        </w:rPr>
        <w:t>安徽省市场监督管理局</w:t>
      </w:r>
      <w:r>
        <w:rPr>
          <w:rFonts w:hAnsi="黑体"/>
          <w:w w:val="100"/>
          <w:sz w:val="28"/>
        </w:rPr>
        <w:fldChar w:fldCharType="end"/>
      </w:r>
      <w:bookmarkEnd w:id="16"/>
    </w:p>
    <w:p>
      <w:pPr>
        <w:pStyle w:val="195"/>
        <w:framePr w:h="1158" w:hRule="exact" w:x="1432" w:y="3000"/>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17" w:name="文字1"/>
      <w:r>
        <w:rPr>
          <w:lang w:val="fr-FR"/>
        </w:rPr>
        <w:instrText xml:space="preserve"> FORMTEXT </w:instrText>
      </w:r>
      <w:r>
        <w:fldChar w:fldCharType="separate"/>
      </w:r>
      <w:r>
        <w:t>31</w:t>
      </w:r>
      <w:r>
        <w:rPr>
          <w:lang w:val="fr-FR"/>
        </w:rPr>
        <w:t>/T</w:t>
      </w:r>
      <w:r>
        <w:fldChar w:fldCharType="end"/>
      </w:r>
      <w:bookmarkEnd w:id="17"/>
      <w:r>
        <w:rPr>
          <w:lang w:val="fr-FR"/>
        </w:rPr>
        <w:t xml:space="preserve"> </w:t>
      </w:r>
      <w:r>
        <w:fldChar w:fldCharType="begin">
          <w:ffData>
            <w:name w:val="NSTD_CODE_F"/>
            <w:enabled/>
            <w:calcOnExit w:val="0"/>
            <w:textInput>
              <w:default w:val="XXXX"/>
            </w:textInput>
          </w:ffData>
        </w:fldChar>
      </w:r>
      <w:bookmarkStart w:id="18" w:name="NSTD_CODE_F"/>
      <w:r>
        <w:rPr>
          <w:lang w:val="fr-FR"/>
        </w:rPr>
        <w:instrText xml:space="preserve"> FORMTEXT </w:instrText>
      </w:r>
      <w:r>
        <w:fldChar w:fldCharType="separate"/>
      </w:r>
      <w:r>
        <w:t>****</w:t>
      </w:r>
      <w:r>
        <w:fldChar w:fldCharType="end"/>
      </w:r>
      <w:bookmarkEnd w:id="18"/>
      <w:r>
        <w:rPr>
          <w:rFonts w:hAnsi="黑体"/>
          <w:lang w:val="fr-FR"/>
        </w:rPr>
        <w:t>—</w:t>
      </w:r>
      <w:r>
        <w:fldChar w:fldCharType="begin">
          <w:ffData>
            <w:name w:val="NSTD_CODE_B"/>
            <w:enabled/>
            <w:calcOnExit w:val="0"/>
            <w:textInput>
              <w:default w:val="XXXX"/>
            </w:textInput>
          </w:ffData>
        </w:fldChar>
      </w:r>
      <w:bookmarkStart w:id="19" w:name="NSTD_CODE_B"/>
      <w:r>
        <w:rPr>
          <w:lang w:val="fr-FR"/>
        </w:rPr>
        <w:instrText xml:space="preserve"> FORMTEXT </w:instrText>
      </w:r>
      <w:r>
        <w:fldChar w:fldCharType="separate"/>
      </w:r>
      <w:r>
        <w:t>2023</w:t>
      </w:r>
      <w:r>
        <w:br w:type="textWrapping"/>
      </w:r>
      <w:r>
        <w:t>DB 32/T ****</w:t>
      </w:r>
      <w:r>
        <w:rPr>
          <w:rFonts w:hint="eastAsia"/>
        </w:rPr>
        <w:t>—2</w:t>
      </w:r>
      <w:r>
        <w:t>023</w:t>
      </w:r>
      <w:r>
        <w:br w:type="textWrapping"/>
      </w:r>
      <w:r>
        <w:t>DB 33/T****—2023</w:t>
      </w:r>
      <w:r>
        <w:br w:type="textWrapping"/>
      </w:r>
      <w:r>
        <w:t>DB 34/T****—2023</w:t>
      </w:r>
    </w:p>
    <w:p>
      <w:pPr>
        <w:pStyle w:val="195"/>
        <w:framePr w:h="1158" w:hRule="exact" w:x="1432" w:y="3000"/>
        <w:rPr>
          <w:lang w:val="fr-FR"/>
        </w:rPr>
      </w:pPr>
      <w:r>
        <w:fldChar w:fldCharType="end"/>
      </w:r>
      <w:bookmarkEnd w:id="19"/>
    </w:p>
    <w:p>
      <w:pPr>
        <w:pStyle w:val="196"/>
        <w:framePr w:h="1158" w:hRule="exact" w:x="1432" w:y="3000"/>
        <w:rPr>
          <w:rFonts w:hAnsi="黑体"/>
        </w:rPr>
      </w:pPr>
      <w:r>
        <w:rPr>
          <w:rFonts w:hAnsi="黑体"/>
        </w:rPr>
        <w:fldChar w:fldCharType="begin">
          <w:ffData>
            <w:name w:val="OSTD_CODE"/>
            <w:enabled/>
            <w:calcOnExit w:val="0"/>
            <w:textInput/>
          </w:ffData>
        </w:fldChar>
      </w:r>
      <w:bookmarkStart w:id="20"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20"/>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0" layoutInCell="1" allowOverlap="1">
                <wp:simplePos x="0" y="0"/>
                <wp:positionH relativeFrom="column">
                  <wp:posOffset>4355465</wp:posOffset>
                </wp:positionH>
                <wp:positionV relativeFrom="paragraph">
                  <wp:posOffset>9246235</wp:posOffset>
                </wp:positionV>
                <wp:extent cx="914400" cy="406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914400" cy="406400"/>
                        </a:xfrm>
                        <a:prstGeom prst="rect">
                          <a:avLst/>
                        </a:prstGeom>
                        <a:solidFill>
                          <a:schemeClr val="lt1"/>
                        </a:solidFill>
                        <a:ln w="6350">
                          <a:noFill/>
                        </a:ln>
                      </wps:spPr>
                      <wps:txbx>
                        <w:txbxContent>
                          <w:p>
                            <w:pPr>
                              <w:rPr>
                                <w:rFonts w:ascii="黑体" w:hAnsi="黑体" w:eastAsia="黑体"/>
                                <w:sz w:val="28"/>
                              </w:rPr>
                            </w:pPr>
                            <w:r>
                              <w:rPr>
                                <w:rFonts w:hint="eastAsia" w:ascii="黑体" w:hAnsi="黑体" w:eastAsia="黑体"/>
                                <w:sz w:val="28"/>
                              </w:rPr>
                              <w:t>联合发布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95pt;margin-top:728.05pt;height:32pt;width:72pt;z-index:251661312;mso-width-relative:page;mso-height-relative:page;" fillcolor="#FFFFFF [3201]" filled="t" stroked="f" coordsize="21600,21600" o:gfxdata="UEsDBAoAAAAAAIdO4kAAAAAAAAAAAAAAAAAEAAAAZHJzL1BLAwQUAAAACACHTuJAhGQDUdcAAAAN&#10;AQAADwAAAGRycy9kb3ducmV2LnhtbE2PzU7DMBCE70i8g7VI3KidqInSEKcHJK5ItKVnN3bjCHsd&#10;2e7v07Oc4Lgzn2ZnuvXVO3Y2MU0BJRQLAczgEPSEo4Td9v2lAZayQq1cQCPhZhKs+8eHTrU6XPDT&#10;nDd5ZBSCqVUSbM5zy3karPEqLcJskLxjiF5lOuPIdVQXCveOl0LU3KsJ6YNVs3mzZvjenLyE/ejv&#10;+69ijlZ7t8SP+227C5OUz0+FeAWWzTX/wfBbn6pDT50O4YQ6MSehbqoVoWQsq7oARkhTrkg6kFSV&#10;ogDed/z/iv4HUEsDBBQAAAAIAIdO4kDs5ZdgSQIAAI4EAAAOAAAAZHJzL2Uyb0RvYy54bWytVMGO&#10;0zAQvSPxD5bvbNLSLVA1XZWuipBW7EoFcXYdp7Fke4ztNikfAH+wJy7c+a5+B2Mn7ZaFwx7oIR17&#10;Jm/mvZnJ9KrViuyE8xJMQQcXOSXCcCil2RT008fli9eU+MBMyRQYUdC98PRq9vzZtLETMYQaVCkc&#10;QRDjJ40taB2CnWSZ57XQzF+AFQadFTjNAh7dJisdaxBdq2yY5+OsAVdaB1x4j7fXnZP2iO4pgFBV&#10;kotr4FstTOhQnVAsICVfS+vpLFVbVYKH26ryIhBVUGQa0hOToL2Oz2w2ZZONY7aWvC+BPaWER5w0&#10;kwaTnqCuWWBk6+RfUFpyBx6qcMFBZx2RpAiyGOSPtFnVzIrEBaX29iS6/3+w/MPuzhFZ4iRQYpjG&#10;hh/uvx9+/Dr8/EYGUZ7G+glGrSzGhfYttDG0v/d4GVm3ldPxH/kQ9KO4+5O4og2E4+WbwWiUo4ej&#10;a5SPo40o2cPL1vnwToAm0Siow94lSdnuxocu9BgSc3lQslxKpdLBbdYL5ciOYZ+X6dej/xGmDGkK&#10;On55mSdkA/H9DloZLCZy7ThFK7Trtie6hnKP/B10A+QtX0qs8ob5cMccTgwSw50Kt/ioFGAS6C1K&#10;anBf/3Uf47GR6KWkwQksqP+yZU5Qot4bbHESDEc2HUaXr4aYw5171uces9ULQPLYRqwumTE+qKNZ&#10;OdCfcfXmMSu6mOGYu6DhaC5Ctxe4ulzM5ykIh9SycGNWlkfoKLWB+TZAJVNLokydNr16OKapqf1K&#10;xT04P6eoh8/I7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EZANR1wAAAA0BAAAPAAAAAAAAAAEA&#10;IAAAACIAAABkcnMvZG93bnJldi54bWxQSwECFAAUAAAACACHTuJA7OWXYEkCAACOBAAADgAAAAAA&#10;AAABACAAAAAmAQAAZHJzL2Uyb0RvYy54bWxQSwUGAAAAAAYABgBZAQAA4QUAAAAA&#10;">
                <v:fill on="t" focussize="0,0"/>
                <v:stroke on="f" weight="0.5pt"/>
                <v:imagedata o:title=""/>
                <o:lock v:ext="edit" aspectratio="f"/>
                <v:textbox>
                  <w:txbxContent>
                    <w:p>
                      <w:pPr>
                        <w:rPr>
                          <w:rFonts w:ascii="黑体" w:hAnsi="黑体" w:eastAsia="黑体"/>
                          <w:sz w:val="28"/>
                        </w:rPr>
                      </w:pPr>
                      <w:r>
                        <w:rPr>
                          <w:rFonts w:hint="eastAsia" w:ascii="黑体" w:hAnsi="黑体" w:eastAsia="黑体"/>
                          <w:sz w:val="28"/>
                        </w:rPr>
                        <w:t>联合发布</w:t>
                      </w:r>
                    </w:p>
                  </w:txbxContent>
                </v:textbox>
              </v:shape>
            </w:pict>
          </mc:Fallback>
        </mc:AlternateContent>
      </w: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07759384"/>
      <w:r>
        <w:rPr>
          <w:rFonts w:hint="eastAsia"/>
          <w:spacing w:val="320"/>
        </w:rPr>
        <w:t>目</w:t>
      </w:r>
      <w:r>
        <w:rPr>
          <w:rFonts w:hint="eastAsia"/>
        </w:rPr>
        <w:t>次</w:t>
      </w:r>
    </w:p>
    <w:p>
      <w:pPr>
        <w:pStyle w:val="19"/>
        <w:tabs>
          <w:tab w:val="right" w:leader="dot" w:pos="9344"/>
        </w:tabs>
        <w:rPr>
          <w:rFonts w:ascii="Times New Roman" w:hAnsi="Times New Roman" w:eastAsiaTheme="minorEastAsia"/>
          <w:szCs w:val="22"/>
        </w:rPr>
      </w:pPr>
      <w:r>
        <w:rPr>
          <w:rFonts w:ascii="Times New Roman" w:hAnsi="Times New Roman"/>
        </w:rPr>
        <w:fldChar w:fldCharType="begin"/>
      </w:r>
      <w:r>
        <w:rPr>
          <w:rFonts w:ascii="Times New Roman" w:hAnsi="Times New Roman"/>
        </w:rPr>
        <w:instrText xml:space="preserve"> TOC \o "1-1" \h </w:instrText>
      </w:r>
      <w:r>
        <w:rPr>
          <w:rFonts w:ascii="Times New Roman" w:hAnsi="Times New Roman"/>
        </w:rPr>
        <w:fldChar w:fldCharType="separate"/>
      </w:r>
      <w:r>
        <w:fldChar w:fldCharType="begin"/>
      </w:r>
      <w:r>
        <w:instrText xml:space="preserve"> HYPERLINK \l "_Toc107759812" </w:instrText>
      </w:r>
      <w:r>
        <w:fldChar w:fldCharType="separate"/>
      </w:r>
      <w:r>
        <w:rPr>
          <w:rStyle w:val="32"/>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_Toc107759812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"_Toc107759813" </w:instrText>
      </w:r>
      <w:r>
        <w:fldChar w:fldCharType="separate"/>
      </w:r>
      <w:r>
        <w:rPr>
          <w:rStyle w:val="32"/>
          <w:rFonts w:ascii="Times New Roman"/>
        </w:rPr>
        <w:t>1  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_Toc107759813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"_Toc107759814" </w:instrText>
      </w:r>
      <w:r>
        <w:fldChar w:fldCharType="separate"/>
      </w:r>
      <w:r>
        <w:rPr>
          <w:rStyle w:val="32"/>
          <w:rFonts w:ascii="Times New Roman"/>
        </w:rPr>
        <w:t>2  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_Toc107759814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"_Toc107759815" </w:instrText>
      </w:r>
      <w:r>
        <w:fldChar w:fldCharType="separate"/>
      </w:r>
      <w:r>
        <w:rPr>
          <w:rStyle w:val="32"/>
          <w:rFonts w:ascii="Times New Roman"/>
        </w:rPr>
        <w:t>3  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"_Toc107759816" </w:instrText>
      </w:r>
      <w:r>
        <w:fldChar w:fldCharType="separate"/>
      </w:r>
      <w:r>
        <w:rPr>
          <w:rStyle w:val="32"/>
          <w:rFonts w:ascii="Times New Roman"/>
        </w:rPr>
        <w:t>4  生产工艺与VOCs产排情况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_Toc107759816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"_Toc107759817" </w:instrText>
      </w:r>
      <w:r>
        <w:fldChar w:fldCharType="separate"/>
      </w:r>
      <w:r>
        <w:rPr>
          <w:rStyle w:val="32"/>
          <w:rFonts w:ascii="Times New Roman"/>
        </w:rPr>
        <w:t>5  污染预防技术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_Toc107759817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"_Toc107759818" </w:instrText>
      </w:r>
      <w:r>
        <w:fldChar w:fldCharType="separate"/>
      </w:r>
      <w:r>
        <w:rPr>
          <w:rStyle w:val="32"/>
          <w:rFonts w:ascii="Times New Roman"/>
        </w:rPr>
        <w:t>6  污染治理技术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_Toc107759818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"_Toc107759819" </w:instrText>
      </w:r>
      <w:r>
        <w:fldChar w:fldCharType="separate"/>
      </w:r>
      <w:r>
        <w:rPr>
          <w:rStyle w:val="32"/>
          <w:rFonts w:ascii="Times New Roman"/>
        </w:rPr>
        <w:t>7  环境管理措施</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_Toc107759819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"_Toc107759820" </w:instrText>
      </w:r>
      <w:r>
        <w:fldChar w:fldCharType="separate"/>
      </w:r>
      <w:r>
        <w:rPr>
          <w:rStyle w:val="32"/>
          <w:rFonts w:ascii="Times New Roman"/>
        </w:rPr>
        <w:t>8  VOCs污染防治可行技术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_Toc107759820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"_Toc107759821" </w:instrText>
      </w:r>
      <w:r>
        <w:fldChar w:fldCharType="separate"/>
      </w:r>
      <w:r>
        <w:rPr>
          <w:rStyle w:val="32"/>
          <w:rFonts w:ascii="Times New Roman"/>
        </w:rPr>
        <w:t>附录A（资料性）  典型工业涂装工艺流程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_Toc107759821 \h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rPr>
        <w:fldChar w:fldCharType="end"/>
      </w:r>
    </w:p>
    <w:p>
      <w:pPr>
        <w:pStyle w:val="19"/>
        <w:tabs>
          <w:tab w:val="right" w:leader="dot" w:pos="9344"/>
        </w:tabs>
        <w:rPr>
          <w:rFonts w:ascii="Times New Roman" w:hAnsi="Times New Roman" w:eastAsiaTheme="minorEastAsia"/>
          <w:szCs w:val="22"/>
        </w:rPr>
      </w:pPr>
      <w:r>
        <w:fldChar w:fldCharType="begin"/>
      </w:r>
      <w:r>
        <w:instrText xml:space="preserve"> HYPERLINK \l "_Toc107759822" </w:instrText>
      </w:r>
      <w:r>
        <w:fldChar w:fldCharType="separate"/>
      </w:r>
      <w:r>
        <w:rPr>
          <w:rStyle w:val="32"/>
          <w:rFonts w:ascii="Times New Roman"/>
        </w:rPr>
        <w:t>附录B（资料性）  涂装工艺废气收集技术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_Toc107759822 \h </w:instrText>
      </w:r>
      <w:r>
        <w:rPr>
          <w:rFonts w:ascii="Times New Roman" w:hAnsi="Times New Roman"/>
        </w:rPr>
        <w:fldChar w:fldCharType="separate"/>
      </w:r>
      <w:r>
        <w:rPr>
          <w:rFonts w:ascii="Times New Roman" w:hAnsi="Times New Roman"/>
        </w:rPr>
        <w:t>11</w:t>
      </w:r>
      <w:r>
        <w:rPr>
          <w:rFonts w:ascii="Times New Roman" w:hAnsi="Times New Roman"/>
        </w:rPr>
        <w:fldChar w:fldCharType="end"/>
      </w:r>
      <w:r>
        <w:rPr>
          <w:rFonts w:ascii="Times New Roman" w:hAnsi="Times New Roman"/>
        </w:rP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21"/>
    <w:p>
      <w:pPr>
        <w:pStyle w:val="89"/>
        <w:spacing w:after="468"/>
      </w:pPr>
      <w:bookmarkStart w:id="23" w:name="_Toc107759812"/>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本文件由浙江省生态环境厅、上海市生态环境局、江苏省生态环境厅、安徽省生态环境厅联合提出。</w:t>
      </w:r>
    </w:p>
    <w:p>
      <w:pPr>
        <w:pStyle w:val="56"/>
        <w:ind w:firstLine="420"/>
      </w:pPr>
      <w:r>
        <w:rPr>
          <w:rFonts w:hint="eastAsia"/>
        </w:rPr>
        <w:t>本文件由浙江省生态环境厅、上海市生态环境局、江苏省生态环境厅、安徽省生态环境厅归口。</w:t>
      </w:r>
    </w:p>
    <w:p>
      <w:pPr>
        <w:pStyle w:val="56"/>
        <w:ind w:firstLine="420"/>
      </w:pPr>
      <w:r>
        <w:rPr>
          <w:rFonts w:hint="eastAsia"/>
        </w:rPr>
        <w:t>本文件起草单位：浙江省生态环境科学设计研究院、上海市环境科学研究院、江苏省环境科学研究院、安徽省生态环境科学研究院、*</w:t>
      </w:r>
      <w:r>
        <w:t>***</w:t>
      </w:r>
      <w:r>
        <w:rPr>
          <w:rFonts w:hint="eastAsia"/>
        </w:rPr>
        <w:t>、</w:t>
      </w:r>
    </w:p>
    <w:p>
      <w:pPr>
        <w:pStyle w:val="56"/>
        <w:ind w:firstLine="420"/>
      </w:pPr>
      <w:r>
        <w:rPr>
          <w:rFonts w:hint="eastAsia"/>
        </w:rPr>
        <w:t>本文件主要起草人：</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823A57B86089449684FA9F2103BACCB3"/>
        </w:placeholder>
      </w:sdtPr>
      <w:sdtContent>
        <w:p>
          <w:pPr>
            <w:pStyle w:val="177"/>
            <w:spacing w:before="3" w:beforeLines="1" w:after="686" w:afterLines="220"/>
          </w:pPr>
          <w:bookmarkStart w:id="26" w:name="NEW_STAND_NAME"/>
          <w:r>
            <w:rPr>
              <w:rFonts w:hint="eastAsia"/>
            </w:rPr>
            <w:t>工业涂装工序大气污染防治技术规范</w:t>
          </w:r>
        </w:p>
      </w:sdtContent>
    </w:sdt>
    <w:bookmarkEnd w:id="26"/>
    <w:p>
      <w:pPr>
        <w:pStyle w:val="104"/>
        <w:spacing w:before="312" w:after="312"/>
      </w:pPr>
      <w:bookmarkStart w:id="27" w:name="_Toc97191423"/>
      <w:bookmarkStart w:id="28" w:name="_Toc24884218"/>
      <w:bookmarkStart w:id="29" w:name="_Toc107759813"/>
      <w:bookmarkStart w:id="30" w:name="_Toc24884211"/>
      <w:bookmarkStart w:id="31" w:name="_Toc26986530"/>
      <w:bookmarkStart w:id="32" w:name="_Toc26986771"/>
      <w:bookmarkStart w:id="33" w:name="_Toc26718930"/>
      <w:bookmarkStart w:id="34" w:name="_Toc17233333"/>
      <w:bookmarkStart w:id="35" w:name="_Toc107759385"/>
      <w:bookmarkStart w:id="36" w:name="_Toc17233325"/>
      <w:bookmarkStart w:id="37" w:name="_Toc26648465"/>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6"/>
        <w:ind w:firstLine="420"/>
      </w:pPr>
      <w:bookmarkStart w:id="38" w:name="_Toc17233334"/>
      <w:bookmarkStart w:id="39" w:name="_Toc17233326"/>
      <w:bookmarkStart w:id="40" w:name="_Toc24884212"/>
      <w:bookmarkStart w:id="41" w:name="_Toc24884219"/>
      <w:bookmarkStart w:id="42" w:name="_Toc26648466"/>
      <w:r>
        <w:rPr>
          <w:rFonts w:hint="eastAsia"/>
        </w:rPr>
        <w:t>本文件规定了工业涂装工序大气污染防治的</w:t>
      </w:r>
    </w:p>
    <w:p>
      <w:pPr>
        <w:pStyle w:val="56"/>
        <w:ind w:firstLine="420"/>
      </w:pPr>
      <w:r>
        <w:rPr>
          <w:rFonts w:hint="eastAsia"/>
        </w:rPr>
        <w:t>本文件适用于工业涂装工序大气污染防治，可作为环境影响评价、工程咨询、设计、施工、验收及建成后运行与管理的技术依据。汽车修理与维护的涂装VOCs污染防治可参照执行。</w:t>
      </w:r>
    </w:p>
    <w:p>
      <w:pPr>
        <w:pStyle w:val="104"/>
        <w:spacing w:before="312" w:after="312"/>
      </w:pPr>
      <w:bookmarkStart w:id="43" w:name="_Toc26986772"/>
      <w:bookmarkStart w:id="44" w:name="_Toc97191424"/>
      <w:bookmarkStart w:id="45" w:name="_Toc26718931"/>
      <w:bookmarkStart w:id="46" w:name="_Toc26986531"/>
      <w:bookmarkStart w:id="47" w:name="_Toc107759814"/>
      <w:bookmarkStart w:id="48" w:name="_Toc107759386"/>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48F57B29F0C44A23B1B6BE149537192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ascii="Times New Roman"/>
        </w:rPr>
      </w:pPr>
      <w:r>
        <w:rPr>
          <w:rFonts w:ascii="Times New Roman"/>
        </w:rPr>
        <w:t>GB 14554 恶臭污染物排放标准</w:t>
      </w:r>
    </w:p>
    <w:p>
      <w:pPr>
        <w:pStyle w:val="56"/>
        <w:ind w:firstLine="420"/>
        <w:rPr>
          <w:rFonts w:ascii="Times New Roman"/>
        </w:rPr>
      </w:pPr>
      <w:r>
        <w:rPr>
          <w:rFonts w:ascii="Times New Roman"/>
        </w:rPr>
        <w:t>GB 16297 大气污染物综合排放标准</w:t>
      </w:r>
    </w:p>
    <w:p>
      <w:pPr>
        <w:pStyle w:val="56"/>
        <w:ind w:firstLine="420"/>
        <w:rPr>
          <w:rFonts w:ascii="Times New Roman"/>
        </w:rPr>
      </w:pPr>
      <w:r>
        <w:rPr>
          <w:rFonts w:ascii="Times New Roman"/>
        </w:rPr>
        <w:t>GB 37822 挥发性有机物无组织排放控制标准</w:t>
      </w:r>
    </w:p>
    <w:p>
      <w:pPr>
        <w:pStyle w:val="56"/>
        <w:ind w:firstLine="420"/>
        <w:rPr>
          <w:rFonts w:ascii="Times New Roman"/>
        </w:rPr>
      </w:pPr>
      <w:r>
        <w:rPr>
          <w:rFonts w:ascii="Times New Roman"/>
        </w:rPr>
        <w:t>GB/T 16157 固定污染源排气中颗粒物测定与气态污染物采样方法</w:t>
      </w:r>
    </w:p>
    <w:p>
      <w:pPr>
        <w:pStyle w:val="56"/>
        <w:ind w:firstLine="420"/>
        <w:rPr>
          <w:rFonts w:ascii="Times New Roman"/>
        </w:rPr>
      </w:pPr>
      <w:r>
        <w:rPr>
          <w:rFonts w:ascii="Times New Roman"/>
        </w:rPr>
        <w:t>HJ 944 排污单位环境管理台账及排污许可证执行报告技术规范总则（试行）</w:t>
      </w:r>
    </w:p>
    <w:p>
      <w:pPr>
        <w:pStyle w:val="56"/>
        <w:ind w:firstLine="420"/>
        <w:rPr>
          <w:rFonts w:ascii="Times New Roman"/>
        </w:rPr>
      </w:pPr>
      <w:r>
        <w:rPr>
          <w:rFonts w:ascii="Times New Roman"/>
        </w:rPr>
        <w:t>HJ 2000 大气污染治理工程技术导则</w:t>
      </w:r>
    </w:p>
    <w:p>
      <w:pPr>
        <w:pStyle w:val="56"/>
        <w:ind w:firstLine="420"/>
        <w:rPr>
          <w:rFonts w:ascii="Times New Roman"/>
        </w:rPr>
      </w:pPr>
      <w:r>
        <w:rPr>
          <w:rFonts w:ascii="Times New Roman"/>
        </w:rPr>
        <w:t>HJ 2026 吸附法工业有机废气治理工程技术规范</w:t>
      </w:r>
    </w:p>
    <w:p>
      <w:pPr>
        <w:pStyle w:val="56"/>
        <w:ind w:firstLine="420"/>
        <w:rPr>
          <w:rFonts w:ascii="Times New Roman"/>
        </w:rPr>
      </w:pPr>
      <w:r>
        <w:rPr>
          <w:rFonts w:ascii="Times New Roman"/>
        </w:rPr>
        <w:t>HJ 2027 催化燃烧法工业有机废气治理工程技术规范</w:t>
      </w:r>
    </w:p>
    <w:p>
      <w:pPr>
        <w:pStyle w:val="56"/>
        <w:ind w:firstLine="420"/>
        <w:rPr>
          <w:rFonts w:ascii="Times New Roman"/>
        </w:rPr>
      </w:pPr>
      <w:r>
        <w:rPr>
          <w:rFonts w:ascii="Times New Roman"/>
        </w:rPr>
        <w:t>HJ 1093 蓄热燃烧法工业有机废气治理工程技术规范</w:t>
      </w:r>
    </w:p>
    <w:p>
      <w:pPr>
        <w:pStyle w:val="56"/>
        <w:ind w:firstLine="420"/>
        <w:rPr>
          <w:rFonts w:ascii="Times New Roman"/>
        </w:rPr>
      </w:pPr>
      <w:r>
        <w:rPr>
          <w:rFonts w:ascii="Times New Roman"/>
        </w:rPr>
        <w:t>DB 33/2146 工业涂装工序大气污染物排放标准</w:t>
      </w:r>
    </w:p>
    <w:p>
      <w:pPr>
        <w:pStyle w:val="56"/>
        <w:ind w:firstLine="420"/>
        <w:rPr>
          <w:rFonts w:ascii="Times New Roman"/>
          <w:color w:val="FF0000"/>
        </w:rPr>
      </w:pPr>
      <w:r>
        <w:rPr>
          <w:rFonts w:hint="eastAsia" w:ascii="Times New Roman"/>
          <w:color w:val="FF0000"/>
          <w:lang w:val="en-US" w:eastAsia="zh-CN"/>
        </w:rPr>
        <w:t xml:space="preserve">生态环境部 </w:t>
      </w:r>
      <w:r>
        <w:rPr>
          <w:rFonts w:ascii="Times New Roman"/>
          <w:color w:val="FF0000"/>
        </w:rPr>
        <w:t>国家污染防治技术指导目录（2024 年，限制类和淘汰类）</w:t>
      </w:r>
    </w:p>
    <w:p>
      <w:pPr>
        <w:pStyle w:val="56"/>
        <w:ind w:firstLine="420"/>
        <w:rPr>
          <w:rFonts w:ascii="Times New Roman"/>
        </w:rPr>
      </w:pPr>
    </w:p>
    <w:p>
      <w:pPr>
        <w:pStyle w:val="104"/>
        <w:spacing w:before="312" w:after="312"/>
      </w:pPr>
      <w:bookmarkStart w:id="49" w:name="_Toc107759815"/>
      <w:bookmarkStart w:id="50" w:name="_Toc107759387"/>
      <w:bookmarkStart w:id="51" w:name="_Toc97191425"/>
      <w:r>
        <w:rPr>
          <w:rFonts w:hint="eastAsia"/>
          <w:szCs w:val="21"/>
        </w:rPr>
        <w:t>术语和定义</w:t>
      </w:r>
      <w:bookmarkEnd w:id="49"/>
      <w:bookmarkEnd w:id="50"/>
      <w:bookmarkEnd w:id="51"/>
    </w:p>
    <w:sdt>
      <w:sdtPr>
        <w:id w:val="-1909835108"/>
        <w:placeholder>
          <w:docPart w:val="0D8D9A33F2DF423C81C660CF66D9039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2" w:name="_Toc26986532"/>
          <w:bookmarkEnd w:id="52"/>
          <w:r>
            <w:t>下列术语和定义适用于本文件。</w:t>
          </w:r>
        </w:p>
      </w:sdtContent>
    </w:sdt>
    <w:p>
      <w:pPr>
        <w:pStyle w:val="105"/>
        <w:spacing w:before="156" w:after="156"/>
      </w:pPr>
    </w:p>
    <w:p>
      <w:pPr>
        <w:pStyle w:val="56"/>
        <w:rPr>
          <w:rFonts w:ascii="Times New Roman" w:eastAsia="黑体"/>
        </w:rPr>
      </w:pPr>
      <w:r>
        <w:rPr>
          <w:rFonts w:ascii="Times New Roman" w:eastAsia="黑体"/>
        </w:rPr>
        <w:t>涂装 coating</w:t>
      </w:r>
    </w:p>
    <w:p>
      <w:pPr>
        <w:pStyle w:val="56"/>
        <w:ind w:firstLine="420"/>
      </w:pPr>
      <w:r>
        <w:rPr>
          <w:rFonts w:hint="eastAsia"/>
        </w:rPr>
        <w:t>将涂料涂覆于基底表面形成具有防护、装饰或特定功能的涂层过程，又叫涂料施工。</w:t>
      </w:r>
    </w:p>
    <w:p>
      <w:pPr>
        <w:pStyle w:val="105"/>
        <w:spacing w:before="156" w:after="156"/>
      </w:pPr>
    </w:p>
    <w:p>
      <w:pPr>
        <w:pStyle w:val="56"/>
        <w:ind w:firstLine="420"/>
        <w:rPr>
          <w:rFonts w:ascii="Times New Roman" w:eastAsia="黑体"/>
        </w:rPr>
      </w:pPr>
      <w:r>
        <w:rPr>
          <w:rFonts w:hint="eastAsia" w:ascii="Times New Roman" w:eastAsia="黑体"/>
        </w:rPr>
        <w:t>工业涂装工序 industrial coating process</w:t>
      </w:r>
    </w:p>
    <w:p>
      <w:pPr>
        <w:pStyle w:val="56"/>
        <w:ind w:firstLine="420"/>
      </w:pPr>
      <w:r>
        <w:rPr>
          <w:rFonts w:hint="eastAsia"/>
        </w:rPr>
        <w:t>工业生产中涂料调配、表面预处理（脱脂、除旧漆、打磨等）、涂覆（含底涂、中涂、面涂、罩光等）、流平、干燥/固化等环节的生产工序。</w:t>
      </w:r>
    </w:p>
    <w:p>
      <w:pPr>
        <w:pStyle w:val="105"/>
        <w:spacing w:before="156" w:after="156"/>
      </w:pPr>
    </w:p>
    <w:p>
      <w:pPr>
        <w:pStyle w:val="56"/>
        <w:ind w:firstLine="420"/>
        <w:rPr>
          <w:rFonts w:ascii="Times New Roman" w:eastAsia="黑体"/>
        </w:rPr>
      </w:pPr>
      <w:r>
        <w:rPr>
          <w:rFonts w:hint="eastAsia" w:ascii="Times New Roman" w:eastAsia="黑体"/>
        </w:rPr>
        <w:t>固化 curing</w:t>
      </w:r>
    </w:p>
    <w:p>
      <w:pPr>
        <w:pStyle w:val="56"/>
        <w:ind w:firstLine="420"/>
      </w:pPr>
      <w:r>
        <w:rPr>
          <w:rFonts w:hint="eastAsia"/>
        </w:rPr>
        <w:t>由于热作用、化学作用或光作用产生从涂料形成所要求性能的连续涂层的缩合、聚合或自氧化过程。</w:t>
      </w:r>
    </w:p>
    <w:p>
      <w:pPr>
        <w:pStyle w:val="105"/>
        <w:spacing w:before="156" w:after="156"/>
      </w:pPr>
    </w:p>
    <w:p>
      <w:pPr>
        <w:pStyle w:val="56"/>
        <w:ind w:firstLine="420"/>
        <w:rPr>
          <w:rFonts w:ascii="Times New Roman" w:eastAsia="黑体"/>
        </w:rPr>
      </w:pPr>
      <w:r>
        <w:rPr>
          <w:rFonts w:hint="eastAsia" w:ascii="Times New Roman" w:eastAsia="黑体"/>
        </w:rPr>
        <w:t xml:space="preserve">刷涂 </w:t>
      </w:r>
      <w:r>
        <w:rPr>
          <w:rFonts w:ascii="Times New Roman" w:eastAsia="黑体"/>
        </w:rPr>
        <w:t>brushing</w:t>
      </w:r>
    </w:p>
    <w:p>
      <w:pPr>
        <w:pStyle w:val="56"/>
        <w:ind w:firstLine="420"/>
      </w:pPr>
      <w:r>
        <w:rPr>
          <w:rFonts w:hint="eastAsia"/>
        </w:rPr>
        <w:t>利用漆刷蘸涂料进行涂装的方法。</w:t>
      </w:r>
    </w:p>
    <w:p>
      <w:pPr>
        <w:pStyle w:val="105"/>
        <w:spacing w:before="156" w:after="156"/>
      </w:pPr>
    </w:p>
    <w:p>
      <w:pPr>
        <w:pStyle w:val="56"/>
        <w:ind w:firstLine="420"/>
        <w:rPr>
          <w:rFonts w:ascii="Times New Roman" w:eastAsia="黑体"/>
        </w:rPr>
      </w:pPr>
      <w:r>
        <w:rPr>
          <w:rFonts w:hint="eastAsia" w:ascii="Times New Roman" w:eastAsia="黑体"/>
        </w:rPr>
        <w:t xml:space="preserve">喷涂 </w:t>
      </w:r>
      <w:r>
        <w:rPr>
          <w:rFonts w:ascii="Times New Roman" w:eastAsia="黑体"/>
        </w:rPr>
        <w:t>spraying</w:t>
      </w:r>
    </w:p>
    <w:p>
      <w:pPr>
        <w:pStyle w:val="56"/>
        <w:ind w:firstLine="420"/>
      </w:pPr>
      <w:r>
        <w:rPr>
          <w:rFonts w:hint="eastAsia"/>
        </w:rPr>
        <w:t>将涂料雾化并射向工件表面进行涂装的方法。</w:t>
      </w:r>
    </w:p>
    <w:p>
      <w:pPr>
        <w:pStyle w:val="105"/>
        <w:spacing w:before="156" w:after="156"/>
      </w:pPr>
    </w:p>
    <w:p>
      <w:pPr>
        <w:pStyle w:val="56"/>
        <w:ind w:firstLine="420"/>
        <w:rPr>
          <w:rFonts w:ascii="Times New Roman" w:eastAsia="黑体"/>
        </w:rPr>
      </w:pPr>
      <w:r>
        <w:rPr>
          <w:rFonts w:hint="eastAsia" w:ascii="Times New Roman" w:eastAsia="黑体"/>
        </w:rPr>
        <w:t xml:space="preserve">浸涂 </w:t>
      </w:r>
      <w:r>
        <w:rPr>
          <w:rFonts w:ascii="Times New Roman" w:eastAsia="黑体"/>
        </w:rPr>
        <w:t>dipping</w:t>
      </w:r>
    </w:p>
    <w:p>
      <w:pPr>
        <w:pStyle w:val="56"/>
        <w:ind w:firstLine="420"/>
      </w:pPr>
      <w:r>
        <w:rPr>
          <w:rFonts w:hint="eastAsia"/>
        </w:rPr>
        <w:t>将工件浸没于涂料中，取出，除去过量涂料的涂装方法。</w:t>
      </w:r>
    </w:p>
    <w:p>
      <w:pPr>
        <w:pStyle w:val="105"/>
        <w:spacing w:before="156" w:after="156"/>
      </w:pPr>
    </w:p>
    <w:p>
      <w:pPr>
        <w:pStyle w:val="56"/>
        <w:ind w:firstLine="420"/>
        <w:rPr>
          <w:rFonts w:ascii="Times New Roman" w:eastAsia="黑体"/>
        </w:rPr>
      </w:pPr>
      <w:r>
        <w:rPr>
          <w:rFonts w:hint="eastAsia" w:ascii="Times New Roman" w:eastAsia="黑体"/>
        </w:rPr>
        <w:t xml:space="preserve">淋涂 </w:t>
      </w:r>
      <w:r>
        <w:rPr>
          <w:rFonts w:ascii="Times New Roman" w:eastAsia="黑体"/>
        </w:rPr>
        <w:t>flow painting</w:t>
      </w:r>
    </w:p>
    <w:p>
      <w:pPr>
        <w:pStyle w:val="56"/>
        <w:ind w:firstLine="420"/>
      </w:pPr>
      <w:r>
        <w:rPr>
          <w:rFonts w:hint="eastAsia"/>
        </w:rPr>
        <w:t>将涂料喷淋或流淌过工件表面的涂装方法。</w:t>
      </w:r>
    </w:p>
    <w:p>
      <w:pPr>
        <w:pStyle w:val="105"/>
        <w:spacing w:before="156" w:after="156"/>
      </w:pPr>
    </w:p>
    <w:p>
      <w:pPr>
        <w:pStyle w:val="56"/>
        <w:ind w:firstLine="420"/>
        <w:rPr>
          <w:rFonts w:ascii="Times New Roman" w:eastAsia="黑体"/>
        </w:rPr>
      </w:pPr>
      <w:r>
        <w:rPr>
          <w:rFonts w:hint="eastAsia" w:ascii="Times New Roman" w:eastAsia="黑体"/>
        </w:rPr>
        <w:t xml:space="preserve">辊涂 </w:t>
      </w:r>
      <w:r>
        <w:rPr>
          <w:rFonts w:ascii="Times New Roman" w:eastAsia="黑体"/>
        </w:rPr>
        <w:t>roller painting</w:t>
      </w:r>
    </w:p>
    <w:p>
      <w:pPr>
        <w:pStyle w:val="56"/>
        <w:ind w:firstLine="420"/>
      </w:pPr>
      <w:r>
        <w:rPr>
          <w:rFonts w:hint="eastAsia"/>
        </w:rPr>
        <w:t>利用蘸涂料的辊子在工件表面上辊动的涂装方法。</w:t>
      </w:r>
    </w:p>
    <w:p>
      <w:pPr>
        <w:pStyle w:val="105"/>
        <w:spacing w:before="156" w:after="156"/>
      </w:pPr>
    </w:p>
    <w:p>
      <w:pPr>
        <w:pStyle w:val="56"/>
        <w:ind w:firstLine="420"/>
        <w:rPr>
          <w:rFonts w:ascii="Times New Roman" w:eastAsia="黑体"/>
        </w:rPr>
      </w:pPr>
      <w:r>
        <w:rPr>
          <w:rFonts w:hint="eastAsia" w:ascii="Times New Roman" w:eastAsia="黑体"/>
        </w:rPr>
        <w:t xml:space="preserve">电泳涂装 </w:t>
      </w:r>
      <w:r>
        <w:rPr>
          <w:rFonts w:ascii="Times New Roman" w:eastAsia="黑体"/>
        </w:rPr>
        <w:t>electro-coating</w:t>
      </w:r>
    </w:p>
    <w:p>
      <w:pPr>
        <w:pStyle w:val="56"/>
        <w:ind w:firstLine="420"/>
      </w:pPr>
      <w:r>
        <w:rPr>
          <w:rFonts w:hint="eastAsia"/>
        </w:rPr>
        <w:t>利用外加电场使悬浮于电泳液中颜料和树脂等微粒定向迁移并沉积于电极之一的基底表面的涂装方法。</w:t>
      </w:r>
    </w:p>
    <w:p>
      <w:pPr>
        <w:pStyle w:val="105"/>
        <w:spacing w:before="156" w:after="156"/>
      </w:pPr>
    </w:p>
    <w:p>
      <w:pPr>
        <w:pStyle w:val="56"/>
        <w:ind w:firstLine="420"/>
        <w:rPr>
          <w:rFonts w:ascii="Times New Roman" w:eastAsia="黑体"/>
        </w:rPr>
      </w:pPr>
      <w:r>
        <w:rPr>
          <w:rFonts w:hint="eastAsia" w:ascii="Times New Roman" w:eastAsia="黑体"/>
        </w:rPr>
        <w:t xml:space="preserve">静电喷涂 </w:t>
      </w:r>
    </w:p>
    <w:p>
      <w:pPr>
        <w:pStyle w:val="56"/>
        <w:ind w:firstLine="420"/>
      </w:pPr>
      <w:r>
        <w:rPr>
          <w:rFonts w:hint="eastAsia"/>
        </w:rPr>
        <w:t>指利用电晕放电原理使雾化涂料在高压直流电场作用下荷负电，并吸附于荷正电基底表面放电的涂装方法。</w:t>
      </w:r>
    </w:p>
    <w:p>
      <w:pPr>
        <w:pStyle w:val="105"/>
        <w:spacing w:before="156" w:after="156"/>
      </w:pPr>
    </w:p>
    <w:p>
      <w:pPr>
        <w:pStyle w:val="56"/>
        <w:ind w:firstLine="420"/>
        <w:rPr>
          <w:rFonts w:ascii="Times New Roman" w:eastAsia="黑体"/>
        </w:rPr>
      </w:pPr>
      <w:r>
        <w:rPr>
          <w:rFonts w:hint="eastAsia" w:ascii="Times New Roman" w:eastAsia="黑体"/>
        </w:rPr>
        <w:t xml:space="preserve">干燥 </w:t>
      </w:r>
      <w:r>
        <w:rPr>
          <w:rFonts w:ascii="Times New Roman" w:eastAsia="黑体"/>
        </w:rPr>
        <w:t>drying</w:t>
      </w:r>
    </w:p>
    <w:p>
      <w:pPr>
        <w:pStyle w:val="56"/>
        <w:ind w:firstLine="420"/>
      </w:pPr>
      <w:r>
        <w:rPr>
          <w:rFonts w:hint="eastAsia"/>
        </w:rPr>
        <w:t>涂层从液态向固态变化的过程。</w:t>
      </w:r>
    </w:p>
    <w:p>
      <w:pPr>
        <w:pStyle w:val="105"/>
        <w:spacing w:before="156" w:after="156"/>
      </w:pPr>
    </w:p>
    <w:p>
      <w:pPr>
        <w:pStyle w:val="56"/>
        <w:ind w:firstLine="420"/>
        <w:rPr>
          <w:rFonts w:ascii="Times New Roman" w:eastAsia="黑体"/>
        </w:rPr>
      </w:pPr>
      <w:r>
        <w:rPr>
          <w:rFonts w:hint="eastAsia" w:ascii="Times New Roman" w:eastAsia="黑体"/>
        </w:rPr>
        <w:t xml:space="preserve">涂料 </w:t>
      </w:r>
      <w:r>
        <w:rPr>
          <w:rFonts w:ascii="Times New Roman" w:eastAsia="黑体"/>
        </w:rPr>
        <w:t xml:space="preserve">coating </w:t>
      </w:r>
      <w:r>
        <w:rPr>
          <w:rFonts w:hint="eastAsia" w:ascii="Times New Roman" w:eastAsia="黑体"/>
        </w:rPr>
        <w:t>material</w:t>
      </w:r>
    </w:p>
    <w:p>
      <w:pPr>
        <w:pStyle w:val="56"/>
        <w:ind w:firstLine="420"/>
      </w:pPr>
      <w:r>
        <w:rPr>
          <w:rFonts w:hint="eastAsia"/>
        </w:rPr>
        <w:t>液体、糊状或粉末状的一类产品，当其施涂到底材上时，能形成具有保护、装饰和/或其他特殊功能的涂层。</w:t>
      </w:r>
    </w:p>
    <w:p>
      <w:pPr>
        <w:pStyle w:val="56"/>
        <w:ind w:firstLine="420"/>
      </w:pPr>
      <w:r>
        <w:rPr>
          <w:rFonts w:hint="eastAsia" w:ascii="Times New Roman"/>
        </w:rPr>
        <w:t xml:space="preserve">[来源：GB/T </w:t>
      </w:r>
      <w:r>
        <w:rPr>
          <w:rFonts w:ascii="Times New Roman"/>
        </w:rPr>
        <w:t>5206</w:t>
      </w:r>
      <w:r>
        <w:rPr>
          <w:rFonts w:hint="eastAsia" w:ascii="Times New Roman"/>
        </w:rPr>
        <w:t>—20</w:t>
      </w:r>
      <w:r>
        <w:rPr>
          <w:rFonts w:ascii="Times New Roman"/>
        </w:rPr>
        <w:t>15</w:t>
      </w:r>
      <w:r>
        <w:rPr>
          <w:rFonts w:hint="eastAsia" w:ascii="Times New Roman"/>
        </w:rPr>
        <w:t>，</w:t>
      </w:r>
      <w:r>
        <w:rPr>
          <w:rFonts w:ascii="Times New Roman"/>
        </w:rPr>
        <w:t>2.51</w:t>
      </w:r>
      <w:r>
        <w:rPr>
          <w:rFonts w:hint="eastAsia" w:ascii="Times New Roman"/>
        </w:rPr>
        <w:t>]</w:t>
      </w:r>
    </w:p>
    <w:p>
      <w:pPr>
        <w:pStyle w:val="105"/>
        <w:spacing w:before="156" w:after="156"/>
      </w:pPr>
    </w:p>
    <w:p>
      <w:pPr>
        <w:pStyle w:val="56"/>
        <w:ind w:firstLine="420"/>
        <w:rPr>
          <w:rFonts w:ascii="Times New Roman" w:eastAsia="黑体"/>
        </w:rPr>
      </w:pPr>
      <w:r>
        <w:rPr>
          <w:rFonts w:hint="eastAsia" w:ascii="Times New Roman" w:eastAsia="黑体"/>
        </w:rPr>
        <w:t xml:space="preserve">溶剂型涂料 </w:t>
      </w:r>
      <w:r>
        <w:rPr>
          <w:rFonts w:ascii="Times New Roman" w:eastAsia="黑体"/>
        </w:rPr>
        <w:t>solvent based coating</w:t>
      </w:r>
    </w:p>
    <w:p>
      <w:pPr>
        <w:pStyle w:val="56"/>
        <w:ind w:firstLine="420"/>
      </w:pPr>
      <w:r>
        <w:rPr>
          <w:rFonts w:hint="eastAsia"/>
        </w:rPr>
        <w:t>以有机溶剂为介质的涂料（或用有机物作为溶剂的涂料）。</w:t>
      </w:r>
    </w:p>
    <w:p>
      <w:pPr>
        <w:pStyle w:val="105"/>
        <w:spacing w:before="156" w:after="156"/>
      </w:pPr>
    </w:p>
    <w:p>
      <w:pPr>
        <w:pStyle w:val="56"/>
        <w:ind w:firstLine="420"/>
        <w:rPr>
          <w:rFonts w:ascii="Times New Roman" w:eastAsia="黑体"/>
        </w:rPr>
      </w:pPr>
      <w:r>
        <w:rPr>
          <w:rFonts w:hint="eastAsia" w:ascii="Times New Roman" w:eastAsia="黑体"/>
        </w:rPr>
        <w:t xml:space="preserve">水性涂料 </w:t>
      </w:r>
      <w:r>
        <w:rPr>
          <w:rFonts w:ascii="Times New Roman" w:eastAsia="黑体"/>
        </w:rPr>
        <w:t>water-bone coating</w:t>
      </w:r>
    </w:p>
    <w:p>
      <w:pPr>
        <w:pStyle w:val="56"/>
        <w:ind w:firstLine="420"/>
      </w:pPr>
      <w:r>
        <w:rPr>
          <w:rFonts w:hint="eastAsia"/>
        </w:rPr>
        <w:t>完全或主要以水为介质的涂料。</w:t>
      </w:r>
    </w:p>
    <w:p>
      <w:pPr>
        <w:pStyle w:val="105"/>
        <w:spacing w:before="156" w:after="156"/>
      </w:pPr>
    </w:p>
    <w:p>
      <w:pPr>
        <w:pStyle w:val="56"/>
        <w:ind w:firstLine="420"/>
        <w:rPr>
          <w:rFonts w:ascii="Times New Roman" w:eastAsia="黑体"/>
        </w:rPr>
      </w:pPr>
      <w:r>
        <w:rPr>
          <w:rFonts w:hint="eastAsia" w:ascii="Times New Roman" w:eastAsia="黑体"/>
        </w:rPr>
        <w:t xml:space="preserve">粉末涂料 </w:t>
      </w:r>
      <w:r>
        <w:rPr>
          <w:rFonts w:ascii="Times New Roman" w:eastAsia="黑体"/>
        </w:rPr>
        <w:t>powder coating</w:t>
      </w:r>
    </w:p>
    <w:p>
      <w:pPr>
        <w:pStyle w:val="56"/>
        <w:ind w:firstLine="420"/>
      </w:pPr>
      <w:r>
        <w:rPr>
          <w:rFonts w:hint="eastAsia"/>
        </w:rPr>
        <w:t>粉末状的涂料，在其熔融（也可能要经过固化）后可制得连续的漆膜。</w:t>
      </w:r>
    </w:p>
    <w:p>
      <w:pPr>
        <w:pStyle w:val="56"/>
        <w:ind w:firstLine="420"/>
        <w:rPr>
          <w:rFonts w:ascii="Times New Roman"/>
        </w:rPr>
      </w:pPr>
      <w:r>
        <w:rPr>
          <w:rFonts w:hint="eastAsia" w:ascii="Times New Roman"/>
        </w:rPr>
        <w:t>[来源：GB/T 5206—2015，2.5</w:t>
      </w:r>
      <w:r>
        <w:rPr>
          <w:rFonts w:ascii="Times New Roman"/>
        </w:rPr>
        <w:t>2</w:t>
      </w:r>
      <w:r>
        <w:rPr>
          <w:rFonts w:hint="eastAsia" w:ascii="Times New Roman"/>
        </w:rPr>
        <w:t>]</w:t>
      </w:r>
    </w:p>
    <w:p>
      <w:pPr>
        <w:pStyle w:val="105"/>
        <w:spacing w:before="156" w:after="156"/>
      </w:pPr>
    </w:p>
    <w:p>
      <w:pPr>
        <w:pStyle w:val="56"/>
        <w:ind w:firstLine="420"/>
        <w:rPr>
          <w:rFonts w:ascii="Times New Roman" w:eastAsia="黑体"/>
        </w:rPr>
      </w:pPr>
      <w:r>
        <w:rPr>
          <w:rFonts w:hint="eastAsia" w:ascii="Times New Roman" w:eastAsia="黑体"/>
        </w:rPr>
        <w:t>低挥发性有机化合物含量涂料产品 low</w:t>
      </w:r>
      <w:r>
        <w:rPr>
          <w:rFonts w:ascii="Times New Roman" w:eastAsia="黑体"/>
        </w:rPr>
        <w:t>-</w:t>
      </w:r>
      <w:r>
        <w:rPr>
          <w:rFonts w:hint="eastAsia" w:ascii="Times New Roman" w:eastAsia="黑体"/>
        </w:rPr>
        <w:t>volatile</w:t>
      </w:r>
      <w:r>
        <w:rPr>
          <w:rFonts w:ascii="Times New Roman" w:eastAsia="黑体"/>
        </w:rPr>
        <w:t>-organic-compound-concent coatings product</w:t>
      </w:r>
    </w:p>
    <w:p>
      <w:pPr>
        <w:pStyle w:val="56"/>
        <w:ind w:firstLine="420"/>
      </w:pPr>
      <w:r>
        <w:rPr>
          <w:rFonts w:hint="eastAsia"/>
        </w:rPr>
        <w:t>施工状态下涂料产品中存在的挥发性有机化合物的质量符合G</w:t>
      </w:r>
      <w:r>
        <w:t>B/T 38597</w:t>
      </w:r>
      <w:r>
        <w:rPr>
          <w:rFonts w:hint="eastAsia"/>
        </w:rPr>
        <w:t>规定的挥发性有机化合物含量限量要求的涂料产品。</w:t>
      </w:r>
    </w:p>
    <w:p>
      <w:pPr>
        <w:pStyle w:val="56"/>
        <w:ind w:firstLine="420"/>
      </w:pPr>
      <w:r>
        <w:rPr>
          <w:rFonts w:hint="eastAsia" w:ascii="Times New Roman"/>
        </w:rPr>
        <w:t>[来源：GB/T 38597—2020，3.</w:t>
      </w:r>
      <w:r>
        <w:rPr>
          <w:rFonts w:ascii="Times New Roman"/>
        </w:rPr>
        <w:t>1</w:t>
      </w:r>
      <w:r>
        <w:rPr>
          <w:rFonts w:hint="eastAsia" w:ascii="Times New Roman"/>
        </w:rPr>
        <w:t>]</w:t>
      </w:r>
    </w:p>
    <w:p>
      <w:pPr>
        <w:pStyle w:val="105"/>
        <w:spacing w:before="156" w:after="156"/>
      </w:pPr>
    </w:p>
    <w:p>
      <w:pPr>
        <w:pStyle w:val="56"/>
        <w:ind w:firstLine="420"/>
        <w:rPr>
          <w:rFonts w:ascii="Times New Roman" w:eastAsia="黑体"/>
        </w:rPr>
      </w:pPr>
      <w:r>
        <w:rPr>
          <w:rFonts w:hint="eastAsia" w:ascii="Times New Roman" w:eastAsia="黑体"/>
        </w:rPr>
        <w:t>施工状态 application condition</w:t>
      </w:r>
    </w:p>
    <w:p>
      <w:pPr>
        <w:pStyle w:val="56"/>
        <w:ind w:firstLine="420"/>
      </w:pPr>
      <w:r>
        <w:rPr>
          <w:rFonts w:hint="eastAsia"/>
        </w:rPr>
        <w:t>在施工方式和施工条件满足相应产品技术说明书中的要求时，产品所有组分混合后，可以进行施工的状态。</w:t>
      </w:r>
    </w:p>
    <w:p>
      <w:pPr>
        <w:pStyle w:val="56"/>
        <w:ind w:firstLine="420"/>
      </w:pPr>
      <w:r>
        <w:rPr>
          <w:rFonts w:ascii="Times New Roman"/>
        </w:rPr>
        <w:t>[来源：GB/T 38597</w:t>
      </w:r>
      <w:r>
        <w:rPr>
          <w:rFonts w:hAnsi="宋体"/>
        </w:rPr>
        <w:t>—</w:t>
      </w:r>
      <w:r>
        <w:rPr>
          <w:rFonts w:ascii="Times New Roman"/>
        </w:rPr>
        <w:t>2020</w:t>
      </w:r>
      <w:r>
        <w:rPr>
          <w:rFonts w:hint="eastAsia" w:ascii="Times New Roman"/>
        </w:rPr>
        <w:t>，</w:t>
      </w:r>
      <w:r>
        <w:rPr>
          <w:rFonts w:ascii="Times New Roman"/>
        </w:rPr>
        <w:t>3.5]</w:t>
      </w:r>
    </w:p>
    <w:p>
      <w:pPr>
        <w:pStyle w:val="105"/>
        <w:spacing w:before="156" w:after="156"/>
      </w:pPr>
    </w:p>
    <w:p>
      <w:pPr>
        <w:pStyle w:val="56"/>
        <w:ind w:firstLine="420"/>
        <w:rPr>
          <w:rFonts w:ascii="Times New Roman" w:eastAsia="黑体"/>
        </w:rPr>
      </w:pPr>
      <w:r>
        <w:rPr>
          <w:rFonts w:hint="eastAsia" w:ascii="Times New Roman" w:eastAsia="黑体"/>
        </w:rPr>
        <w:t>挥发性有机物 volatile organic compounds （VOCs）</w:t>
      </w:r>
    </w:p>
    <w:p>
      <w:pPr>
        <w:pStyle w:val="56"/>
        <w:ind w:firstLine="420"/>
        <w:rPr>
          <w:rFonts w:ascii="Times New Roman"/>
        </w:rPr>
      </w:pPr>
      <w:r>
        <w:rPr>
          <w:rFonts w:ascii="Times New Roman"/>
        </w:rPr>
        <w:t>参与大气光化学反应的有机化合物，或者根据有关规定确定的有机化合物。</w:t>
      </w:r>
    </w:p>
    <w:p>
      <w:pPr>
        <w:pStyle w:val="56"/>
        <w:ind w:firstLine="420"/>
        <w:rPr>
          <w:rFonts w:ascii="Times New Roman"/>
        </w:rPr>
      </w:pPr>
      <w:r>
        <w:rPr>
          <w:rFonts w:ascii="Times New Roman"/>
        </w:rPr>
        <w:t>在表征VOCs总体排放情况时，根据行业特征和环境管理要求，可采用总挥发性有机物（以TVOC表示）、非甲烷总烃（以NMHC表示）作为污染物控制项目。</w:t>
      </w:r>
    </w:p>
    <w:p>
      <w:pPr>
        <w:pStyle w:val="56"/>
        <w:ind w:firstLine="420"/>
        <w:rPr>
          <w:rFonts w:ascii="Times New Roman"/>
        </w:rPr>
      </w:pPr>
      <w:r>
        <w:rPr>
          <w:rFonts w:hint="eastAsia" w:ascii="Times New Roman"/>
        </w:rPr>
        <w:t>[来源：GB</w:t>
      </w:r>
      <w:r>
        <w:rPr>
          <w:rFonts w:ascii="Times New Roman"/>
        </w:rPr>
        <w:t xml:space="preserve"> 37822</w:t>
      </w:r>
      <w:r>
        <w:rPr>
          <w:rFonts w:hint="eastAsia" w:ascii="Times New Roman"/>
        </w:rPr>
        <w:t>—20</w:t>
      </w:r>
      <w:r>
        <w:rPr>
          <w:rFonts w:ascii="Times New Roman"/>
        </w:rPr>
        <w:t>19</w:t>
      </w:r>
      <w:r>
        <w:rPr>
          <w:rFonts w:hint="eastAsia" w:ascii="Times New Roman"/>
        </w:rPr>
        <w:t>，3.</w:t>
      </w:r>
      <w:r>
        <w:rPr>
          <w:rFonts w:ascii="Times New Roman"/>
        </w:rPr>
        <w:t>1</w:t>
      </w:r>
      <w:r>
        <w:rPr>
          <w:rFonts w:hint="eastAsia" w:ascii="Times New Roman"/>
        </w:rPr>
        <w:t>]</w:t>
      </w:r>
    </w:p>
    <w:p>
      <w:pPr>
        <w:pStyle w:val="105"/>
        <w:spacing w:before="156" w:after="156"/>
      </w:pPr>
    </w:p>
    <w:p>
      <w:pPr>
        <w:pStyle w:val="56"/>
        <w:ind w:firstLine="420"/>
        <w:rPr>
          <w:rFonts w:ascii="Times New Roman" w:eastAsia="黑体"/>
        </w:rPr>
      </w:pPr>
      <w:r>
        <w:rPr>
          <w:rFonts w:hint="eastAsia" w:ascii="Times New Roman" w:eastAsia="黑体"/>
        </w:rPr>
        <w:t>VOCs物料 VOCs-containing materials</w:t>
      </w:r>
    </w:p>
    <w:p>
      <w:pPr>
        <w:pStyle w:val="56"/>
        <w:ind w:firstLine="420"/>
        <w:rPr>
          <w:rFonts w:ascii="Times New Roman"/>
        </w:rPr>
      </w:pPr>
      <w:r>
        <w:rPr>
          <w:rFonts w:ascii="Times New Roman"/>
        </w:rPr>
        <w:t>指VOCs质量占比大于等于10%的</w:t>
      </w:r>
      <w:r>
        <w:rPr>
          <w:rFonts w:hint="eastAsia" w:ascii="Times New Roman"/>
        </w:rPr>
        <w:t>物料，以及有机聚合物材料。</w:t>
      </w:r>
    </w:p>
    <w:p>
      <w:pPr>
        <w:pStyle w:val="56"/>
        <w:ind w:firstLine="420"/>
        <w:rPr>
          <w:rFonts w:ascii="Times New Roman"/>
        </w:rPr>
      </w:pPr>
      <w:r>
        <w:rPr>
          <w:rFonts w:hint="eastAsia" w:ascii="Times New Roman"/>
        </w:rPr>
        <w:t>本标准中含有V</w:t>
      </w:r>
      <w:r>
        <w:rPr>
          <w:rFonts w:ascii="Times New Roman"/>
        </w:rPr>
        <w:t>OC</w:t>
      </w:r>
      <w:r>
        <w:rPr>
          <w:rFonts w:hint="eastAsia" w:ascii="Times New Roman"/>
        </w:rPr>
        <w:t>s</w:t>
      </w:r>
      <w:r>
        <w:rPr>
          <w:rFonts w:ascii="Times New Roman"/>
        </w:rPr>
        <w:t>原辅材料、</w:t>
      </w:r>
      <w:r>
        <w:rPr>
          <w:rFonts w:hint="eastAsia" w:ascii="Times New Roman"/>
        </w:rPr>
        <w:t>含V</w:t>
      </w:r>
      <w:r>
        <w:rPr>
          <w:rFonts w:ascii="Times New Roman"/>
        </w:rPr>
        <w:t>OC</w:t>
      </w:r>
      <w:r>
        <w:rPr>
          <w:rFonts w:hint="eastAsia" w:ascii="Times New Roman"/>
        </w:rPr>
        <w:t>s</w:t>
      </w:r>
      <w:r>
        <w:rPr>
          <w:rFonts w:ascii="Times New Roman"/>
        </w:rPr>
        <w:t>产品</w:t>
      </w:r>
      <w:r>
        <w:rPr>
          <w:rFonts w:hint="eastAsia" w:ascii="Times New Roman"/>
        </w:rPr>
        <w:t>、含V</w:t>
      </w:r>
      <w:r>
        <w:rPr>
          <w:rFonts w:ascii="Times New Roman"/>
        </w:rPr>
        <w:t>OC</w:t>
      </w:r>
      <w:r>
        <w:rPr>
          <w:rFonts w:hint="eastAsia" w:ascii="Times New Roman"/>
        </w:rPr>
        <w:t>s</w:t>
      </w:r>
      <w:r>
        <w:rPr>
          <w:rFonts w:ascii="Times New Roman"/>
        </w:rPr>
        <w:t>废料（渣、液）</w:t>
      </w:r>
      <w:r>
        <w:rPr>
          <w:rFonts w:hint="eastAsia" w:ascii="Times New Roman"/>
        </w:rPr>
        <w:t>等术语的含义与V</w:t>
      </w:r>
      <w:r>
        <w:rPr>
          <w:rFonts w:ascii="Times New Roman"/>
        </w:rPr>
        <w:t>OC</w:t>
      </w:r>
      <w:r>
        <w:rPr>
          <w:rFonts w:hint="eastAsia" w:ascii="Times New Roman"/>
        </w:rPr>
        <w:t>s物料相同。</w:t>
      </w:r>
    </w:p>
    <w:p>
      <w:pPr>
        <w:pStyle w:val="56"/>
        <w:ind w:firstLine="420"/>
        <w:rPr>
          <w:rFonts w:ascii="Times New Roman"/>
        </w:rPr>
      </w:pPr>
      <w:r>
        <w:rPr>
          <w:rFonts w:hint="eastAsia" w:ascii="Times New Roman"/>
        </w:rPr>
        <w:t>[来源：GB 37822—2019，3.</w:t>
      </w:r>
      <w:r>
        <w:rPr>
          <w:rFonts w:ascii="Times New Roman"/>
        </w:rPr>
        <w:t>7</w:t>
      </w:r>
      <w:r>
        <w:rPr>
          <w:rFonts w:hint="eastAsia" w:ascii="Times New Roman"/>
        </w:rPr>
        <w:t>]</w:t>
      </w:r>
    </w:p>
    <w:p>
      <w:pPr>
        <w:pStyle w:val="105"/>
        <w:spacing w:before="156" w:after="156"/>
      </w:pPr>
    </w:p>
    <w:p>
      <w:pPr>
        <w:pStyle w:val="56"/>
        <w:ind w:firstLine="420"/>
        <w:rPr>
          <w:rFonts w:ascii="Times New Roman" w:eastAsia="黑体"/>
        </w:rPr>
      </w:pPr>
      <w:r>
        <w:rPr>
          <w:rFonts w:hint="eastAsia" w:ascii="Times New Roman" w:eastAsia="黑体"/>
        </w:rPr>
        <w:t xml:space="preserve">密闭 </w:t>
      </w:r>
      <w:r>
        <w:rPr>
          <w:rFonts w:ascii="Times New Roman" w:eastAsia="黑体"/>
        </w:rPr>
        <w:t>closed</w:t>
      </w:r>
      <w:r>
        <w:rPr>
          <w:rFonts w:hint="eastAsia" w:ascii="Times New Roman" w:eastAsia="黑体"/>
        </w:rPr>
        <w:t>/close</w:t>
      </w:r>
    </w:p>
    <w:p>
      <w:pPr>
        <w:pStyle w:val="56"/>
        <w:ind w:firstLine="420"/>
      </w:pPr>
      <w:r>
        <w:rPr>
          <w:rFonts w:hint="eastAsia"/>
        </w:rPr>
        <w:t>污染物质不与环境空气接触，或通过密封材料、密封设备与环境空气隔离的状态或作业方式。</w:t>
      </w:r>
    </w:p>
    <w:p>
      <w:pPr>
        <w:pStyle w:val="56"/>
        <w:ind w:firstLine="420"/>
      </w:pPr>
      <w:r>
        <w:rPr>
          <w:rFonts w:hint="eastAsia" w:ascii="Times New Roman"/>
        </w:rPr>
        <w:t>[来源：GB 37822—2019，3.</w:t>
      </w:r>
      <w:r>
        <w:rPr>
          <w:rFonts w:ascii="Times New Roman"/>
        </w:rPr>
        <w:t>5</w:t>
      </w:r>
      <w:r>
        <w:rPr>
          <w:rFonts w:hint="eastAsia" w:ascii="Times New Roman"/>
        </w:rPr>
        <w:t>]</w:t>
      </w:r>
    </w:p>
    <w:p>
      <w:pPr>
        <w:pStyle w:val="105"/>
        <w:spacing w:before="156" w:after="156"/>
      </w:pPr>
    </w:p>
    <w:p>
      <w:pPr>
        <w:pStyle w:val="56"/>
        <w:ind w:firstLine="420"/>
        <w:rPr>
          <w:rFonts w:ascii="Times New Roman" w:eastAsia="黑体"/>
        </w:rPr>
      </w:pPr>
      <w:r>
        <w:rPr>
          <w:rFonts w:hint="eastAsia" w:ascii="Times New Roman" w:eastAsia="黑体"/>
        </w:rPr>
        <w:t xml:space="preserve">密闭空间 </w:t>
      </w:r>
      <w:r>
        <w:rPr>
          <w:rFonts w:ascii="Times New Roman" w:eastAsia="黑体"/>
        </w:rPr>
        <w:t>closed space</w:t>
      </w:r>
    </w:p>
    <w:p>
      <w:pPr>
        <w:pStyle w:val="56"/>
        <w:ind w:firstLine="420"/>
      </w:pPr>
      <w:r>
        <w:rPr>
          <w:rFonts w:hint="eastAsia"/>
        </w:rPr>
        <w:t>利用完整的围护结构将污染物质、作业场所等与周围空间阻隔所形成的封闭区域或封闭式建筑物。该封闭区域或封闭式建筑物除人员、车辆、设备、物料进出时，以及依法设立的排气筒、通风口外，门窗及其他开口（孔）部位应随时保持关闭状态。</w:t>
      </w:r>
    </w:p>
    <w:p>
      <w:pPr>
        <w:pStyle w:val="56"/>
        <w:ind w:firstLine="420"/>
      </w:pPr>
      <w:r>
        <w:rPr>
          <w:rFonts w:hint="eastAsia" w:ascii="Times New Roman"/>
        </w:rPr>
        <w:t>[来源：GB 37822—2019，3.</w:t>
      </w:r>
      <w:r>
        <w:rPr>
          <w:rFonts w:ascii="Times New Roman"/>
        </w:rPr>
        <w:t>6</w:t>
      </w:r>
      <w:r>
        <w:rPr>
          <w:rFonts w:hint="eastAsia" w:ascii="Times New Roman"/>
        </w:rPr>
        <w:t>]</w:t>
      </w:r>
    </w:p>
    <w:p>
      <w:pPr>
        <w:pStyle w:val="105"/>
        <w:spacing w:before="156" w:after="156"/>
      </w:pPr>
    </w:p>
    <w:p>
      <w:pPr>
        <w:pStyle w:val="56"/>
        <w:ind w:firstLine="420"/>
        <w:rPr>
          <w:rFonts w:ascii="Times New Roman" w:eastAsia="黑体"/>
        </w:rPr>
      </w:pPr>
      <w:r>
        <w:rPr>
          <w:rFonts w:hint="eastAsia" w:ascii="Times New Roman" w:eastAsia="黑体"/>
        </w:rPr>
        <w:t xml:space="preserve">污染防治可行技术 </w:t>
      </w:r>
      <w:r>
        <w:rPr>
          <w:rFonts w:ascii="Times New Roman" w:eastAsia="黑体"/>
        </w:rPr>
        <w:t>available techniques of pollution prevention and control</w:t>
      </w:r>
    </w:p>
    <w:p>
      <w:pPr>
        <w:pStyle w:val="56"/>
        <w:ind w:firstLine="420"/>
      </w:pPr>
      <w:r>
        <w:rPr>
          <w:rFonts w:hint="eastAsia"/>
        </w:rPr>
        <w:t>根据一定时期内环境需求和经济水平，在污染防治过程中综合采用污染预防技术、污染治理技术和环境管理措施，使污染物排放稳定达到污染物排放标准、规模应用的技术。</w:t>
      </w:r>
    </w:p>
    <w:p>
      <w:pPr>
        <w:pStyle w:val="56"/>
        <w:ind w:firstLine="420"/>
        <w:rPr>
          <w:rFonts w:ascii="Times New Roman"/>
        </w:rPr>
      </w:pPr>
      <w:bookmarkStart w:id="53" w:name="_Hlk107752829"/>
      <w:r>
        <w:rPr>
          <w:rFonts w:ascii="Times New Roman"/>
        </w:rPr>
        <w:t>[来源：HJ 2300—2018</w:t>
      </w:r>
      <w:r>
        <w:rPr>
          <w:rFonts w:hint="eastAsia" w:ascii="Times New Roman"/>
        </w:rPr>
        <w:t>，</w:t>
      </w:r>
      <w:r>
        <w:rPr>
          <w:rFonts w:ascii="Times New Roman"/>
        </w:rPr>
        <w:t>3.4，有修改]</w:t>
      </w:r>
      <w:bookmarkEnd w:id="53"/>
    </w:p>
    <w:p>
      <w:pPr>
        <w:pStyle w:val="105"/>
        <w:spacing w:before="156" w:after="156"/>
      </w:pPr>
    </w:p>
    <w:p>
      <w:pPr>
        <w:pStyle w:val="56"/>
        <w:ind w:firstLine="420"/>
        <w:rPr>
          <w:rFonts w:ascii="Times New Roman" w:eastAsia="黑体"/>
        </w:rPr>
      </w:pPr>
      <w:r>
        <w:rPr>
          <w:rFonts w:hint="eastAsia" w:ascii="Times New Roman" w:eastAsia="黑体"/>
        </w:rPr>
        <w:t>污染预防技术 pollution</w:t>
      </w:r>
      <w:r>
        <w:rPr>
          <w:rFonts w:ascii="Times New Roman" w:eastAsia="黑体"/>
        </w:rPr>
        <w:t xml:space="preserve"> </w:t>
      </w:r>
      <w:r>
        <w:rPr>
          <w:rFonts w:hint="eastAsia" w:ascii="Times New Roman" w:eastAsia="黑体"/>
        </w:rPr>
        <w:t>prevention</w:t>
      </w:r>
      <w:r>
        <w:rPr>
          <w:rFonts w:ascii="Times New Roman" w:eastAsia="黑体"/>
        </w:rPr>
        <w:t xml:space="preserve"> </w:t>
      </w:r>
      <w:r>
        <w:rPr>
          <w:rFonts w:hint="eastAsia" w:ascii="Times New Roman" w:eastAsia="黑体"/>
        </w:rPr>
        <w:t>techniques</w:t>
      </w:r>
    </w:p>
    <w:p>
      <w:pPr>
        <w:pStyle w:val="56"/>
        <w:ind w:firstLine="420"/>
      </w:pPr>
      <w:r>
        <w:rPr>
          <w:rFonts w:hint="eastAsia"/>
        </w:rPr>
        <w:t>为减少污染物排放，在生产过程中采用避免或减少污染物产生的技术。</w:t>
      </w:r>
    </w:p>
    <w:p>
      <w:pPr>
        <w:pStyle w:val="56"/>
        <w:ind w:firstLine="420"/>
      </w:pPr>
      <w:bookmarkStart w:id="54" w:name="_Hlk107752847"/>
      <w:r>
        <w:rPr>
          <w:rFonts w:ascii="Times New Roman"/>
        </w:rPr>
        <w:t>[来源：HJ 2300</w:t>
      </w:r>
      <w:r>
        <w:rPr>
          <w:rFonts w:hAnsi="宋体"/>
        </w:rPr>
        <w:t>—</w:t>
      </w:r>
      <w:r>
        <w:rPr>
          <w:rFonts w:ascii="Times New Roman"/>
        </w:rPr>
        <w:t>2018</w:t>
      </w:r>
      <w:r>
        <w:rPr>
          <w:rFonts w:hint="eastAsia" w:ascii="Times New Roman"/>
        </w:rPr>
        <w:t>，</w:t>
      </w:r>
      <w:r>
        <w:rPr>
          <w:rFonts w:ascii="Times New Roman"/>
        </w:rPr>
        <w:t>3.1]</w:t>
      </w:r>
    </w:p>
    <w:bookmarkEnd w:id="54"/>
    <w:p>
      <w:pPr>
        <w:pStyle w:val="105"/>
        <w:spacing w:before="156" w:after="156"/>
      </w:pPr>
    </w:p>
    <w:p>
      <w:pPr>
        <w:pStyle w:val="56"/>
        <w:ind w:firstLine="420"/>
        <w:rPr>
          <w:rFonts w:ascii="Times New Roman" w:eastAsia="黑体"/>
        </w:rPr>
      </w:pPr>
      <w:r>
        <w:rPr>
          <w:rFonts w:hint="eastAsia" w:ascii="Times New Roman" w:eastAsia="黑体"/>
        </w:rPr>
        <w:t>污染治理技术 pollution</w:t>
      </w:r>
      <w:r>
        <w:rPr>
          <w:rFonts w:ascii="Times New Roman" w:eastAsia="黑体"/>
        </w:rPr>
        <w:t xml:space="preserve"> </w:t>
      </w:r>
      <w:r>
        <w:rPr>
          <w:rFonts w:hint="eastAsia" w:ascii="Times New Roman" w:eastAsia="黑体"/>
        </w:rPr>
        <w:t>control</w:t>
      </w:r>
      <w:r>
        <w:rPr>
          <w:rFonts w:ascii="Times New Roman" w:eastAsia="黑体"/>
        </w:rPr>
        <w:t xml:space="preserve"> </w:t>
      </w:r>
      <w:r>
        <w:rPr>
          <w:rFonts w:hint="eastAsia" w:ascii="Times New Roman" w:eastAsia="黑体"/>
        </w:rPr>
        <w:t>techniques</w:t>
      </w:r>
    </w:p>
    <w:p>
      <w:pPr>
        <w:pStyle w:val="56"/>
        <w:ind w:firstLine="420"/>
      </w:pPr>
      <w:r>
        <w:rPr>
          <w:rFonts w:hint="eastAsia"/>
        </w:rPr>
        <w:t>在污染物产生后，为了消除或者降低对环境的影响而采用的处理技术。</w:t>
      </w:r>
    </w:p>
    <w:p>
      <w:pPr>
        <w:widowControl/>
        <w:autoSpaceDE w:val="0"/>
        <w:autoSpaceDN w:val="0"/>
        <w:adjustRightInd/>
        <w:spacing w:line="240" w:lineRule="auto"/>
        <w:ind w:firstLine="420" w:firstLineChars="200"/>
      </w:pPr>
      <w:r>
        <w:rPr>
          <w:rFonts w:hint="eastAsia" w:ascii="Times New Roman" w:hAnsi="Times New Roman"/>
          <w:kern w:val="0"/>
          <w:szCs w:val="20"/>
        </w:rPr>
        <w:t>[</w:t>
      </w:r>
      <w:r>
        <w:rPr>
          <w:rFonts w:ascii="Times New Roman" w:hAnsi="Times New Roman"/>
          <w:kern w:val="0"/>
          <w:szCs w:val="20"/>
        </w:rPr>
        <w:t>来源：</w:t>
      </w:r>
      <w:r>
        <w:rPr>
          <w:rFonts w:hint="eastAsia" w:ascii="Times New Roman" w:hAnsi="Times New Roman"/>
          <w:kern w:val="0"/>
          <w:szCs w:val="20"/>
        </w:rPr>
        <w:t>H</w:t>
      </w:r>
      <w:r>
        <w:rPr>
          <w:rFonts w:ascii="Times New Roman" w:hAnsi="Times New Roman"/>
          <w:kern w:val="0"/>
          <w:szCs w:val="20"/>
        </w:rPr>
        <w:t>J 2300</w:t>
      </w:r>
      <w:r>
        <w:rPr>
          <w:rFonts w:ascii="宋体" w:hAnsi="宋体"/>
          <w:kern w:val="0"/>
          <w:szCs w:val="20"/>
        </w:rPr>
        <w:t>—</w:t>
      </w:r>
      <w:r>
        <w:rPr>
          <w:rFonts w:hint="eastAsia" w:ascii="Times New Roman" w:hAnsi="Times New Roman"/>
          <w:kern w:val="0"/>
          <w:szCs w:val="20"/>
        </w:rPr>
        <w:t>2</w:t>
      </w:r>
      <w:r>
        <w:rPr>
          <w:rFonts w:ascii="Times New Roman" w:hAnsi="Times New Roman"/>
          <w:kern w:val="0"/>
          <w:szCs w:val="20"/>
        </w:rPr>
        <w:t>018，3.2]</w:t>
      </w:r>
    </w:p>
    <w:p>
      <w:pPr>
        <w:pStyle w:val="105"/>
        <w:spacing w:before="156" w:after="156"/>
      </w:pPr>
    </w:p>
    <w:p>
      <w:pPr>
        <w:pStyle w:val="56"/>
        <w:ind w:firstLine="420"/>
        <w:rPr>
          <w:rFonts w:ascii="Times New Roman" w:eastAsia="黑体"/>
        </w:rPr>
      </w:pPr>
      <w:r>
        <w:rPr>
          <w:rFonts w:hint="eastAsia" w:ascii="Times New Roman" w:eastAsia="黑体"/>
        </w:rPr>
        <w:t>环境管理措施 environment management</w:t>
      </w:r>
      <w:r>
        <w:rPr>
          <w:rFonts w:ascii="Times New Roman" w:eastAsia="黑体"/>
        </w:rPr>
        <w:t xml:space="preserve"> </w:t>
      </w:r>
      <w:r>
        <w:rPr>
          <w:rFonts w:hint="eastAsia" w:ascii="Times New Roman" w:eastAsia="黑体"/>
        </w:rPr>
        <w:t>measurement</w:t>
      </w:r>
    </w:p>
    <w:p>
      <w:pPr>
        <w:pStyle w:val="56"/>
        <w:ind w:firstLine="420"/>
      </w:pPr>
      <w:r>
        <w:rPr>
          <w:rFonts w:hint="eastAsia"/>
        </w:rPr>
        <w:t>企事业单位内，为实现污染物有效预防和控制而采取的管理方法和措施。</w:t>
      </w:r>
    </w:p>
    <w:p>
      <w:pPr>
        <w:widowControl/>
        <w:autoSpaceDE w:val="0"/>
        <w:autoSpaceDN w:val="0"/>
        <w:adjustRightInd/>
        <w:spacing w:line="240" w:lineRule="auto"/>
        <w:ind w:firstLine="420" w:firstLineChars="200"/>
      </w:pPr>
      <w:r>
        <w:rPr>
          <w:rFonts w:hint="eastAsia" w:ascii="Times New Roman" w:hAnsi="Times New Roman"/>
          <w:kern w:val="0"/>
          <w:szCs w:val="20"/>
        </w:rPr>
        <w:t>[</w:t>
      </w:r>
      <w:r>
        <w:rPr>
          <w:rFonts w:ascii="Times New Roman" w:hAnsi="Times New Roman"/>
          <w:kern w:val="0"/>
          <w:szCs w:val="20"/>
        </w:rPr>
        <w:t>来源：</w:t>
      </w:r>
      <w:r>
        <w:rPr>
          <w:rFonts w:hint="eastAsia" w:ascii="Times New Roman" w:hAnsi="Times New Roman"/>
          <w:kern w:val="0"/>
          <w:szCs w:val="20"/>
        </w:rPr>
        <w:t>H</w:t>
      </w:r>
      <w:r>
        <w:rPr>
          <w:rFonts w:ascii="Times New Roman" w:hAnsi="Times New Roman"/>
          <w:kern w:val="0"/>
          <w:szCs w:val="20"/>
        </w:rPr>
        <w:t>J 2300</w:t>
      </w:r>
      <w:r>
        <w:rPr>
          <w:rFonts w:ascii="宋体" w:hAnsi="宋体"/>
          <w:kern w:val="0"/>
          <w:szCs w:val="20"/>
        </w:rPr>
        <w:t>—</w:t>
      </w:r>
      <w:r>
        <w:rPr>
          <w:rFonts w:hint="eastAsia" w:ascii="Times New Roman" w:hAnsi="Times New Roman"/>
          <w:kern w:val="0"/>
          <w:szCs w:val="20"/>
        </w:rPr>
        <w:t>2</w:t>
      </w:r>
      <w:r>
        <w:rPr>
          <w:rFonts w:ascii="Times New Roman" w:hAnsi="Times New Roman"/>
          <w:kern w:val="0"/>
          <w:szCs w:val="20"/>
        </w:rPr>
        <w:t>018，3.3]</w:t>
      </w:r>
    </w:p>
    <w:p>
      <w:pPr>
        <w:pStyle w:val="104"/>
        <w:spacing w:before="312" w:after="312"/>
      </w:pPr>
      <w:bookmarkStart w:id="55" w:name="_Toc107759816"/>
      <w:bookmarkStart w:id="56" w:name="_Toc107759388"/>
      <w:r>
        <w:rPr>
          <w:rFonts w:hint="eastAsia"/>
        </w:rPr>
        <w:t>生产工艺与VOCs产排情况</w:t>
      </w:r>
      <w:bookmarkEnd w:id="55"/>
      <w:bookmarkEnd w:id="56"/>
    </w:p>
    <w:p>
      <w:pPr>
        <w:pStyle w:val="105"/>
        <w:spacing w:before="156" w:after="156"/>
      </w:pPr>
      <w:r>
        <w:rPr>
          <w:rFonts w:hint="eastAsia"/>
        </w:rPr>
        <w:t>生产工艺</w:t>
      </w:r>
    </w:p>
    <w:p>
      <w:pPr>
        <w:pStyle w:val="56"/>
        <w:ind w:firstLine="420"/>
        <w:rPr>
          <w:rFonts w:hAnsi="宋体"/>
        </w:rPr>
      </w:pPr>
      <w:r>
        <w:rPr>
          <w:rFonts w:ascii="Times New Roman"/>
        </w:rPr>
        <w:t>工业涂装工序一般由涂料调配、表面预处理（脱脂、除旧漆、打磨等）、涂覆（含底涂、中涂、面涂、罩光等）、流平、干燥/固化等环节组成。其中常见的表面预处理工序包括表面除锈、喷砂、脱脂、水洗、酸化、磷化等；常见的涂覆作业方式包括刷涂、喷涂、浸涂、淋涂、辊涂、电泳涂装、粉末涂装等类别，其中液体涂料一般反复涂装2</w:t>
      </w:r>
      <w:r>
        <w:rPr>
          <w:rFonts w:hint="eastAsia" w:ascii="Times New Roman"/>
        </w:rPr>
        <w:t>~</w:t>
      </w:r>
      <w:r>
        <w:rPr>
          <w:rFonts w:ascii="Times New Roman"/>
        </w:rPr>
        <w:t>3次，分为底漆涂装、中涂漆涂装、面漆涂装等；常见的干燥/固化方式包括自然晾干、烘干、紫外光（UV）固化、热聚合固化等。典型行业工艺流程详见附录A。</w:t>
      </w:r>
      <w:r>
        <w:rPr>
          <w:rFonts w:hint="eastAsia" w:hAnsi="宋体"/>
        </w:rPr>
        <w:t>~</w:t>
      </w:r>
    </w:p>
    <w:p>
      <w:pPr>
        <w:pStyle w:val="105"/>
        <w:spacing w:before="156" w:after="156"/>
      </w:pPr>
      <w:r>
        <w:rPr>
          <w:rFonts w:hint="eastAsia"/>
        </w:rPr>
        <w:t>产排特征</w:t>
      </w:r>
    </w:p>
    <w:p>
      <w:pPr>
        <w:pStyle w:val="56"/>
        <w:ind w:firstLine="420"/>
        <w:rPr>
          <w:rFonts w:ascii="Times New Roman"/>
        </w:rPr>
      </w:pPr>
      <w:r>
        <w:rPr>
          <w:rFonts w:ascii="Times New Roman"/>
        </w:rPr>
        <w:t>工业涂装过程颗粒物、VOCs主要来源于涂料、稀释剂、固化剂、清洗剂等原辅材料中的有机溶剂组分挥发</w:t>
      </w:r>
      <w:r>
        <w:rPr>
          <w:rFonts w:hint="eastAsia" w:ascii="Times New Roman"/>
        </w:rPr>
        <w:t>以及颗粒物的排放</w:t>
      </w:r>
      <w:r>
        <w:rPr>
          <w:rFonts w:ascii="Times New Roman"/>
        </w:rPr>
        <w:t>，主要排放环节包括：</w:t>
      </w:r>
    </w:p>
    <w:p>
      <w:pPr>
        <w:pStyle w:val="174"/>
      </w:pPr>
      <w:r>
        <w:rPr>
          <w:rFonts w:hint="eastAsia"/>
        </w:rPr>
        <w:t>涂料调配。涂料和稀释剂在送至生产线前，需要根据产品需要进行调配，调配一般在密闭间内进行，使用搅拌机进行混合，期间会散发VOCs废气。</w:t>
      </w:r>
    </w:p>
    <w:p>
      <w:pPr>
        <w:pStyle w:val="174"/>
      </w:pPr>
      <w:r>
        <w:rPr>
          <w:rFonts w:hint="eastAsia"/>
        </w:rPr>
        <w:t>涂覆。将调配好的涂料在涂装室涂覆在基材表面的过程产生VOCs和颗粒物，VOCs和颗粒物的产排特征与涂覆方式紧密相关。</w:t>
      </w:r>
    </w:p>
    <w:p>
      <w:pPr>
        <w:pStyle w:val="174"/>
      </w:pPr>
      <w:r>
        <w:rPr>
          <w:rFonts w:hint="eastAsia"/>
        </w:rPr>
        <w:t>干燥。</w:t>
      </w:r>
      <w:r>
        <w:rPr>
          <w:rFonts w:ascii="Times New Roman"/>
        </w:rPr>
        <w:t>表面均匀涂覆了涂料涂层的基材在干燥过程中，基材表面的剩余溶剂全部挥发，形成VOCs废气。干燥工序产生的VOCs废气风量稳定、VOCs浓度高，一般大于涂料调配、涂装工序的产生量。</w:t>
      </w:r>
    </w:p>
    <w:p>
      <w:pPr>
        <w:pStyle w:val="104"/>
        <w:spacing w:before="312" w:after="312"/>
      </w:pPr>
      <w:bookmarkStart w:id="57" w:name="_Toc107759389"/>
      <w:bookmarkStart w:id="58" w:name="_Toc107759817"/>
      <w:r>
        <w:rPr>
          <w:rFonts w:hint="eastAsia"/>
        </w:rPr>
        <w:t>污染预防技术</w:t>
      </w:r>
      <w:bookmarkEnd w:id="57"/>
      <w:bookmarkEnd w:id="58"/>
    </w:p>
    <w:p>
      <w:pPr>
        <w:pStyle w:val="105"/>
        <w:spacing w:before="156" w:after="156"/>
      </w:pPr>
      <w:r>
        <w:rPr>
          <w:rFonts w:hint="eastAsia"/>
        </w:rPr>
        <w:t>原辅料替代技术</w:t>
      </w:r>
    </w:p>
    <w:p>
      <w:pPr>
        <w:pStyle w:val="65"/>
        <w:spacing w:before="156" w:after="156"/>
      </w:pPr>
      <w:r>
        <w:rPr>
          <w:rFonts w:hint="eastAsia"/>
        </w:rPr>
        <w:t>水性涂料替代技术</w:t>
      </w:r>
    </w:p>
    <w:p>
      <w:pPr>
        <w:pStyle w:val="56"/>
        <w:ind w:firstLine="420"/>
        <w:rPr>
          <w:rFonts w:ascii="Times New Roman"/>
        </w:rPr>
      </w:pPr>
      <w:r>
        <w:rPr>
          <w:rFonts w:ascii="Times New Roman"/>
        </w:rPr>
        <w:t>适用于金属制品、木制品、塑料制品等基材涂料的替代，常见的水性涂料包括水性环氧漆、水性丙烯酸漆、水性聚氨酯漆等。采用水性涂料替代溶剂型涂料，VOCs产生量一般可减少80%以上。</w:t>
      </w:r>
    </w:p>
    <w:p>
      <w:pPr>
        <w:pStyle w:val="65"/>
        <w:spacing w:before="156" w:after="156"/>
      </w:pPr>
      <w:r>
        <w:rPr>
          <w:rFonts w:hint="eastAsia"/>
        </w:rPr>
        <w:t>UV固化涂料替代技术</w:t>
      </w:r>
    </w:p>
    <w:p>
      <w:pPr>
        <w:pStyle w:val="56"/>
        <w:ind w:firstLine="420"/>
        <w:rPr>
          <w:rFonts w:ascii="Times New Roman"/>
        </w:rPr>
      </w:pPr>
      <w:r>
        <w:rPr>
          <w:rFonts w:ascii="Times New Roman"/>
        </w:rPr>
        <w:t>适用于较为规则的木制板材表面涂料替代。UV固化涂料中的有机组分（如丙烯酸）在紫外光照射下聚合反应为固体组分，减少了VOCs产生。</w:t>
      </w:r>
    </w:p>
    <w:p>
      <w:pPr>
        <w:pStyle w:val="65"/>
        <w:spacing w:before="156" w:after="156"/>
      </w:pPr>
      <w:r>
        <w:rPr>
          <w:rFonts w:hint="eastAsia"/>
        </w:rPr>
        <w:t>粉末喷涂替代技术</w:t>
      </w:r>
    </w:p>
    <w:p>
      <w:pPr>
        <w:pStyle w:val="56"/>
        <w:ind w:firstLine="420"/>
        <w:rPr>
          <w:rFonts w:ascii="Times New Roman"/>
        </w:rPr>
      </w:pPr>
      <w:r>
        <w:rPr>
          <w:rFonts w:ascii="Times New Roman"/>
        </w:rPr>
        <w:t>适用于机械设备、钢结构、彩钢、金属容器、金属家具等领域涂料替代。使用高压静电把粉末涂料沉积附着到基板上涂装，粉末涂料的喷涂过程VOCs产生量很少。</w:t>
      </w:r>
    </w:p>
    <w:p>
      <w:pPr>
        <w:pStyle w:val="65"/>
        <w:spacing w:before="156" w:after="156"/>
      </w:pPr>
      <w:r>
        <w:rPr>
          <w:rFonts w:hint="eastAsia"/>
        </w:rPr>
        <w:t>高固体分涂料替代技术</w:t>
      </w:r>
    </w:p>
    <w:p>
      <w:pPr>
        <w:pStyle w:val="56"/>
        <w:ind w:firstLine="420"/>
      </w:pPr>
      <w:r>
        <w:rPr>
          <w:rFonts w:hint="eastAsia"/>
        </w:rPr>
        <w:t>适用于汽车制造等领域的涂料替代，例如作为轿车面漆和中涂漆的替代使用。高固体分涂料的固体组分含量高，溶剂组分含量低，一般VOCs 含量≤</w:t>
      </w:r>
      <w:r>
        <w:rPr>
          <w:rFonts w:ascii="Times New Roman"/>
        </w:rPr>
        <w:t>300 g/L</w:t>
      </w:r>
      <w:r>
        <w:rPr>
          <w:rFonts w:hint="eastAsia"/>
        </w:rPr>
        <w:t>，目前高固体分涂料的主要品种包括氨基丙烯酸、氨基聚酯及自干型醇酸漆等。</w:t>
      </w:r>
    </w:p>
    <w:p>
      <w:pPr>
        <w:pStyle w:val="105"/>
        <w:spacing w:before="156" w:after="156"/>
      </w:pPr>
      <w:r>
        <w:rPr>
          <w:rFonts w:hint="eastAsia"/>
        </w:rPr>
        <w:t>设备或工艺革新技术</w:t>
      </w:r>
    </w:p>
    <w:p>
      <w:pPr>
        <w:pStyle w:val="65"/>
        <w:spacing w:before="156" w:after="156"/>
      </w:pPr>
      <w:r>
        <w:rPr>
          <w:rFonts w:hint="eastAsia"/>
        </w:rPr>
        <w:t>高压无气喷涂技术</w:t>
      </w:r>
    </w:p>
    <w:p>
      <w:pPr>
        <w:pStyle w:val="56"/>
        <w:ind w:firstLine="420"/>
        <w:rPr>
          <w:rFonts w:ascii="Times New Roman"/>
        </w:rPr>
      </w:pPr>
      <w:r>
        <w:rPr>
          <w:rFonts w:ascii="Times New Roman"/>
        </w:rPr>
        <w:t>适用于传统空气喷涂的替代。与传统的空气喷涂相比，高压无气喷涂提高了涂料利用率，可降低涂料使用量，从源头减少VOCs排放。</w:t>
      </w:r>
    </w:p>
    <w:p>
      <w:pPr>
        <w:pStyle w:val="65"/>
        <w:spacing w:before="156" w:after="156"/>
      </w:pPr>
      <w:r>
        <w:rPr>
          <w:rFonts w:hint="eastAsia"/>
        </w:rPr>
        <w:t>静电喷涂技术</w:t>
      </w:r>
    </w:p>
    <w:p>
      <w:pPr>
        <w:pStyle w:val="56"/>
        <w:ind w:firstLine="420"/>
        <w:rPr>
          <w:rFonts w:ascii="Times New Roman"/>
        </w:rPr>
      </w:pPr>
      <w:r>
        <w:rPr>
          <w:rFonts w:hint="eastAsia" w:ascii="Times New Roman"/>
          <w:color w:val="FF0000"/>
        </w:rPr>
        <w:t>适用于</w:t>
      </w:r>
      <w:r>
        <w:rPr>
          <w:rFonts w:hint="eastAsia" w:ascii="Times New Roman"/>
          <w:color w:val="FF0000"/>
          <w:lang w:val="en-US" w:eastAsia="zh-CN"/>
        </w:rPr>
        <w:t>可导电</w:t>
      </w:r>
      <w:r>
        <w:rPr>
          <w:rFonts w:hint="eastAsia" w:ascii="Times New Roman"/>
          <w:color w:val="FF0000"/>
        </w:rPr>
        <w:t>制品表面的涂装</w:t>
      </w:r>
      <w:r>
        <w:rPr>
          <w:rFonts w:hint="eastAsia" w:ascii="Times New Roman"/>
        </w:rPr>
        <w:t>，且要求涂料电阻率较低。静电喷涂的涂料利用率可达到80%以上，涂料使用量显著减少。</w:t>
      </w:r>
    </w:p>
    <w:p>
      <w:pPr>
        <w:pStyle w:val="65"/>
        <w:spacing w:before="156" w:after="156"/>
      </w:pPr>
      <w:r>
        <w:rPr>
          <w:rFonts w:hint="eastAsia"/>
        </w:rPr>
        <w:t>流水线自动涂装技术</w:t>
      </w:r>
    </w:p>
    <w:p>
      <w:pPr>
        <w:pStyle w:val="56"/>
        <w:ind w:firstLine="420"/>
        <w:rPr>
          <w:rFonts w:ascii="Times New Roman"/>
        </w:rPr>
      </w:pPr>
      <w:r>
        <w:rPr>
          <w:rFonts w:ascii="Times New Roman"/>
        </w:rPr>
        <w:t>适用于形状较为规则的基材表面涂覆。自动化涂装线的涂料利用率高，且有利于VOCs收集治理，无组织排放较少。涂装过程自动化后可实现部分废气内循环，达到“减风增浓”的效果。</w:t>
      </w:r>
    </w:p>
    <w:p>
      <w:pPr>
        <w:pStyle w:val="104"/>
        <w:spacing w:before="312" w:after="312"/>
      </w:pPr>
      <w:bookmarkStart w:id="59" w:name="_Toc107759390"/>
      <w:bookmarkStart w:id="60" w:name="_Toc107759818"/>
      <w:r>
        <w:rPr>
          <w:rFonts w:hint="eastAsia"/>
        </w:rPr>
        <w:t>污染治理技术</w:t>
      </w:r>
      <w:bookmarkEnd w:id="59"/>
      <w:bookmarkEnd w:id="60"/>
    </w:p>
    <w:p>
      <w:pPr>
        <w:pStyle w:val="105"/>
        <w:spacing w:before="156" w:after="156"/>
      </w:pPr>
      <w:r>
        <w:rPr>
          <w:rFonts w:hint="eastAsia"/>
        </w:rPr>
        <w:t>一般原则</w:t>
      </w:r>
    </w:p>
    <w:p>
      <w:pPr>
        <w:pStyle w:val="56"/>
        <w:ind w:firstLine="420"/>
        <w:rPr>
          <w:rFonts w:ascii="Times New Roman"/>
        </w:rPr>
      </w:pPr>
      <w:r>
        <w:rPr>
          <w:rFonts w:ascii="Times New Roman"/>
        </w:rPr>
        <w:t>工业涂装工序大气污染防治宜按以下原则开展：</w:t>
      </w:r>
    </w:p>
    <w:p>
      <w:pPr>
        <w:pStyle w:val="174"/>
        <w:numPr>
          <w:ilvl w:val="0"/>
          <w:numId w:val="32"/>
        </w:numPr>
        <w:rPr>
          <w:rFonts w:ascii="Times New Roman"/>
        </w:rPr>
      </w:pPr>
      <w:r>
        <w:rPr>
          <w:rFonts w:ascii="Times New Roman"/>
        </w:rPr>
        <w:t>应加强对涂装生产工序废气的收集，减少VOCs无组织排放。VOCs无组织废气的收集和控制应符合GB 37822</w:t>
      </w:r>
      <w:r>
        <w:rPr>
          <w:rFonts w:hint="eastAsia" w:ascii="Times New Roman"/>
        </w:rPr>
        <w:t>规定</w:t>
      </w:r>
      <w:r>
        <w:rPr>
          <w:rFonts w:ascii="Times New Roman"/>
        </w:rPr>
        <w:t>的要求。废气收集技术可参考附录B。原则上</w:t>
      </w:r>
      <w:r>
        <w:rPr>
          <w:rFonts w:hint="eastAsia" w:ascii="Times New Roman"/>
        </w:rPr>
        <w:t>不应</w:t>
      </w:r>
      <w:r>
        <w:rPr>
          <w:rFonts w:ascii="Times New Roman"/>
        </w:rPr>
        <w:t>将高浓度废气直接与大风量、低浓度废气混合处理。</w:t>
      </w:r>
    </w:p>
    <w:p>
      <w:pPr>
        <w:pStyle w:val="174"/>
        <w:rPr>
          <w:rFonts w:ascii="Times New Roman"/>
        </w:rPr>
      </w:pPr>
      <w:r>
        <w:rPr>
          <w:rFonts w:ascii="Times New Roman"/>
        </w:rPr>
        <w:t>高浓度VOCs废气</w:t>
      </w:r>
      <w:r>
        <w:rPr>
          <w:rFonts w:hint="eastAsia" w:ascii="Times New Roman"/>
        </w:rPr>
        <w:t>。</w:t>
      </w:r>
      <w:r>
        <w:rPr>
          <w:rFonts w:ascii="Times New Roman"/>
        </w:rPr>
        <w:t>优先采用冷凝、吸附回收等技术对废气中的VOCs回收利用，并辅以催化燃烧、热力燃烧等治理技术实现达标排放及VOCs减排。采用燃烧法VOCs治理技术产生的高温废气宜进行热能回收。</w:t>
      </w:r>
    </w:p>
    <w:p>
      <w:pPr>
        <w:pStyle w:val="174"/>
        <w:rPr>
          <w:rFonts w:ascii="Times New Roman"/>
        </w:rPr>
      </w:pPr>
      <w:r>
        <w:rPr>
          <w:rFonts w:ascii="Times New Roman"/>
        </w:rPr>
        <w:t>中、低浓度VOCs废气</w:t>
      </w:r>
      <w:r>
        <w:rPr>
          <w:rFonts w:hint="eastAsia" w:ascii="Times New Roman"/>
        </w:rPr>
        <w:t>。</w:t>
      </w:r>
      <w:r>
        <w:rPr>
          <w:rFonts w:ascii="Times New Roman"/>
        </w:rPr>
        <w:t>有回收价值时宜采用吸附技术回收处理，无回收价值时优先采用吸附浓缩－燃烧技术处理。</w:t>
      </w:r>
    </w:p>
    <w:p>
      <w:pPr>
        <w:pStyle w:val="174"/>
        <w:rPr>
          <w:rFonts w:ascii="Times New Roman"/>
          <w:color w:val="FF0000"/>
        </w:rPr>
      </w:pPr>
      <w:r>
        <w:rPr>
          <w:rFonts w:hint="eastAsia" w:ascii="Times New Roman"/>
          <w:color w:val="FF0000"/>
          <w:lang w:val="en-US" w:eastAsia="zh-CN"/>
        </w:rPr>
        <w:t>适用场合所选技术未列入《</w:t>
      </w:r>
      <w:r>
        <w:rPr>
          <w:rFonts w:ascii="Times New Roman"/>
          <w:color w:val="FF0000"/>
        </w:rPr>
        <w:t>国家污染防治技术指导目录（2024 年，限制类和淘汰类）</w:t>
      </w:r>
      <w:r>
        <w:rPr>
          <w:rFonts w:hint="eastAsia" w:ascii="Times New Roman"/>
          <w:color w:val="FF0000"/>
          <w:lang w:val="en-US" w:eastAsia="zh-CN"/>
        </w:rPr>
        <w:t>》。</w:t>
      </w:r>
    </w:p>
    <w:p>
      <w:pPr>
        <w:pStyle w:val="105"/>
        <w:spacing w:before="156" w:after="156"/>
      </w:pPr>
      <w:r>
        <w:rPr>
          <w:rFonts w:hint="eastAsia"/>
        </w:rPr>
        <w:t>吸附法</w:t>
      </w:r>
    </w:p>
    <w:p>
      <w:pPr>
        <w:pStyle w:val="56"/>
        <w:ind w:firstLine="420"/>
      </w:pPr>
      <w:r>
        <w:rPr>
          <w:rFonts w:hint="eastAsia"/>
        </w:rPr>
        <w:t>主要包括固定床吸附技术、移动床吸附技术、流化床吸附技术、旋转式吸附技术。工业涂装工序常用的吸附技术为固定床吸附技术和旋转式吸附技术。采用吸附处理技术的含尘、含气溶胶、高湿、高温废气，应事先采用高效除尘装置、除雾装置、冷却装置等进行预处理。</w:t>
      </w:r>
    </w:p>
    <w:p>
      <w:pPr>
        <w:pStyle w:val="65"/>
        <w:spacing w:before="156" w:after="156"/>
      </w:pPr>
      <w:r>
        <w:rPr>
          <w:rFonts w:hint="eastAsia"/>
        </w:rPr>
        <w:t>固定床吸附技术</w:t>
      </w:r>
    </w:p>
    <w:p>
      <w:pPr>
        <w:pStyle w:val="56"/>
        <w:ind w:firstLine="420"/>
        <w:rPr>
          <w:rFonts w:ascii="Times New Roman"/>
        </w:rPr>
      </w:pPr>
      <w:r>
        <w:rPr>
          <w:rFonts w:ascii="Times New Roman"/>
        </w:rPr>
        <w:t>适用于调漆、喷漆、流平、晾干工艺废气的治理。工业涂装工序</w:t>
      </w:r>
      <w:r>
        <w:rPr>
          <w:rFonts w:hint="eastAsia" w:ascii="Times New Roman"/>
        </w:rPr>
        <w:t>一般使用</w:t>
      </w:r>
      <w:r>
        <w:rPr>
          <w:rFonts w:ascii="Times New Roman"/>
        </w:rPr>
        <w:t>活性炭作为吸附剂</w:t>
      </w:r>
      <w:r>
        <w:rPr>
          <w:rFonts w:hint="eastAsia" w:ascii="Times New Roman"/>
        </w:rPr>
        <w:t>，</w:t>
      </w:r>
      <w:r>
        <w:rPr>
          <w:rFonts w:ascii="Times New Roman"/>
        </w:rPr>
        <w:t>应根据污染物处理量、处理要求等定时再生或更换吸附剂以保证治理设施的去除效率。入口废气颗粒物浓度宜低于1 mg/m</w:t>
      </w:r>
      <w:r>
        <w:rPr>
          <w:rFonts w:ascii="Times New Roman"/>
          <w:vertAlign w:val="superscript"/>
        </w:rPr>
        <w:t>3</w:t>
      </w:r>
      <w:r>
        <w:rPr>
          <w:rFonts w:ascii="Times New Roman"/>
        </w:rPr>
        <w:t>，温度宜低于40 ℃，相对湿度（RH）宜低于80%。若废气中的污染物易在活性炭存在时发生聚合、交联、氧化等反应，不宜采用活性炭吸附技术。技术参数应满足HJ 2026的相关要求。活性炭吸附材料通过解吸而循环利用，脱附的VOCs可通过冷凝技术进行回收或通过燃烧技术进行销毁。</w:t>
      </w:r>
    </w:p>
    <w:p>
      <w:pPr>
        <w:pStyle w:val="65"/>
        <w:spacing w:before="156" w:after="156"/>
      </w:pPr>
      <w:r>
        <w:rPr>
          <w:rFonts w:hint="eastAsia"/>
        </w:rPr>
        <w:t>旋转式吸附技术</w:t>
      </w:r>
    </w:p>
    <w:p>
      <w:pPr>
        <w:pStyle w:val="56"/>
        <w:ind w:firstLine="420"/>
        <w:rPr>
          <w:rFonts w:ascii="Times New Roman"/>
        </w:rPr>
      </w:pPr>
      <w:r>
        <w:rPr>
          <w:rFonts w:hint="eastAsia" w:ascii="Times New Roman"/>
        </w:rPr>
        <w:t>适用于工况相对连续稳定的工艺产生的中低浓度涂装废气处理，一般包括转轮式、转筒（塔）式。工业涂装工序一般使用</w:t>
      </w:r>
      <w:r>
        <w:rPr>
          <w:rFonts w:hint="eastAsia" w:ascii="Times New Roman"/>
          <w:lang w:val="en-US" w:eastAsia="zh-CN"/>
        </w:rPr>
        <w:t>沸石</w:t>
      </w:r>
      <w:r>
        <w:rPr>
          <w:rFonts w:hint="eastAsia" w:ascii="Times New Roman"/>
        </w:rPr>
        <w:t>分子筛作为吸附剂，用于低浓度VOCs 废气的预浓缩，脱附废气一般采用催化燃烧或蓄热燃烧技术进行治理。入口废气颗粒物浓度宜低于1</w:t>
      </w:r>
      <w:r>
        <w:rPr>
          <w:rFonts w:ascii="Times New Roman"/>
        </w:rPr>
        <w:t xml:space="preserve"> </w:t>
      </w:r>
      <w:r>
        <w:rPr>
          <w:rFonts w:hint="eastAsia" w:ascii="Times New Roman"/>
        </w:rPr>
        <w:t>mg/m</w:t>
      </w:r>
      <w:r>
        <w:rPr>
          <w:rFonts w:hint="eastAsia" w:ascii="Times New Roman"/>
          <w:vertAlign w:val="superscript"/>
        </w:rPr>
        <w:t>3</w:t>
      </w:r>
      <w:r>
        <w:rPr>
          <w:rFonts w:hint="eastAsia" w:ascii="Times New Roman"/>
        </w:rPr>
        <w:t>，温度宜低于40 ℃，相对湿度（RH）宜低于80%。技术参数应满足HJ 2026的相关要求。转轮中沸石分子筛含量不宜低于50%（wt%），设计风速不宜高于3.5</w:t>
      </w:r>
      <w:r>
        <w:rPr>
          <w:rFonts w:ascii="Times New Roman"/>
        </w:rPr>
        <w:t xml:space="preserve"> </w:t>
      </w:r>
      <w:r>
        <w:rPr>
          <w:rFonts w:hint="eastAsia" w:ascii="Times New Roman"/>
        </w:rPr>
        <w:t>m/s，转轮厚度不宜低于400</w:t>
      </w:r>
      <w:r>
        <w:rPr>
          <w:rFonts w:ascii="Times New Roman"/>
        </w:rPr>
        <w:t xml:space="preserve"> </w:t>
      </w:r>
      <w:r>
        <w:rPr>
          <w:rFonts w:hint="eastAsia" w:ascii="Times New Roman"/>
        </w:rPr>
        <w:t>mm。</w:t>
      </w:r>
    </w:p>
    <w:p>
      <w:pPr>
        <w:pStyle w:val="105"/>
        <w:spacing w:before="156" w:after="156"/>
      </w:pPr>
      <w:r>
        <w:rPr>
          <w:rFonts w:hint="eastAsia"/>
        </w:rPr>
        <w:t>燃烧法</w:t>
      </w:r>
    </w:p>
    <w:p>
      <w:pPr>
        <w:pStyle w:val="56"/>
        <w:ind w:firstLine="420"/>
        <w:rPr>
          <w:rFonts w:ascii="Times New Roman"/>
        </w:rPr>
      </w:pPr>
      <w:r>
        <w:rPr>
          <w:rFonts w:hint="eastAsia" w:ascii="Times New Roman"/>
        </w:rPr>
        <w:t>通过热力燃烧或催化燃烧的方式，使废气中的VOCs污染物反应转化为二氧化碳、水等物质。工业涂装工序常用的燃烧技术包括热力燃烧技术（TO）、蓄热燃烧技术（RTO）、催化燃烧技术（CO）、蓄热催化燃烧技术（RCO）。处理含腐蚀性废气，应采用高效水喷淋装置、化学喷淋吸收装置等进行预处理。应控制进入燃烧系统的废气中卤化物的含量，可采用大孔树脂吸附等工艺进行预处理。</w:t>
      </w:r>
    </w:p>
    <w:p>
      <w:pPr>
        <w:pStyle w:val="65"/>
        <w:spacing w:before="156" w:after="156"/>
      </w:pPr>
      <w:r>
        <w:rPr>
          <w:rFonts w:hint="eastAsia"/>
        </w:rPr>
        <w:t>热力燃烧技术（TO）</w:t>
      </w:r>
    </w:p>
    <w:p>
      <w:pPr>
        <w:pStyle w:val="56"/>
        <w:ind w:firstLine="420"/>
        <w:rPr>
          <w:rFonts w:ascii="Times New Roman"/>
        </w:rPr>
      </w:pPr>
      <w:r>
        <w:rPr>
          <w:rFonts w:ascii="Times New Roman"/>
        </w:rPr>
        <w:t>适用于烘干工艺废气的治理。该技术采用燃烧的方法使废气中的VOCs污染物反应转化为二氧化碳、水等物质。该技术产生的高温废气宜进行热能回收，并用于烘干工序。</w:t>
      </w:r>
    </w:p>
    <w:p>
      <w:pPr>
        <w:pStyle w:val="65"/>
        <w:spacing w:before="156" w:after="156"/>
      </w:pPr>
      <w:r>
        <w:rPr>
          <w:rFonts w:hint="eastAsia"/>
        </w:rPr>
        <w:t>蓄热燃烧技术（RTO）</w:t>
      </w:r>
    </w:p>
    <w:p>
      <w:pPr>
        <w:pStyle w:val="56"/>
        <w:ind w:firstLine="420"/>
        <w:rPr>
          <w:rFonts w:ascii="Times New Roman"/>
        </w:rPr>
      </w:pPr>
      <w:r>
        <w:rPr>
          <w:rFonts w:ascii="Times New Roman"/>
        </w:rPr>
        <w:t>适用流水线自动涂装+减风增浓后的工艺废气的治理。无组织废气收集后，宜采用吸附技术进行预浓缩，再经RTO治理。采用固定换热床的RTO装置宜设计不少于三室，技术参数应满足HJ 1093的</w:t>
      </w:r>
      <w:r>
        <w:rPr>
          <w:rFonts w:hint="eastAsia" w:ascii="Times New Roman"/>
        </w:rPr>
        <w:t>规定</w:t>
      </w:r>
      <w:r>
        <w:rPr>
          <w:rFonts w:ascii="Times New Roman"/>
        </w:rPr>
        <w:t>要求。</w:t>
      </w:r>
    </w:p>
    <w:p>
      <w:pPr>
        <w:pStyle w:val="65"/>
        <w:spacing w:before="156" w:after="156"/>
      </w:pPr>
      <w:r>
        <w:rPr>
          <w:rFonts w:hint="eastAsia"/>
        </w:rPr>
        <w:t>催化燃烧技术（CO）</w:t>
      </w:r>
    </w:p>
    <w:p>
      <w:pPr>
        <w:pStyle w:val="56"/>
        <w:ind w:firstLine="420"/>
        <w:rPr>
          <w:rFonts w:ascii="Times New Roman"/>
        </w:rPr>
      </w:pPr>
      <w:r>
        <w:rPr>
          <w:rFonts w:hint="eastAsia"/>
        </w:rPr>
        <w:t>适用于烘干工序废气的治理。工业涂装工序采用的典型治理技术路线为“活性炭吸附/旋转式分子筛吸附浓缩+</w:t>
      </w:r>
      <w:r>
        <w:rPr>
          <w:rFonts w:ascii="Times New Roman"/>
        </w:rPr>
        <w:t>CO</w:t>
      </w:r>
      <w:r>
        <w:rPr>
          <w:rFonts w:hint="eastAsia"/>
        </w:rPr>
        <w:t>”。</w:t>
      </w:r>
      <w:r>
        <w:rPr>
          <w:rFonts w:hint="eastAsia"/>
          <w:color w:val="FF0000"/>
        </w:rPr>
        <w:t>当</w:t>
      </w:r>
      <w:r>
        <w:rPr>
          <w:rFonts w:hint="eastAsia"/>
          <w:color w:val="FF0000"/>
          <w:lang w:val="en-US" w:eastAsia="zh-CN"/>
        </w:rPr>
        <w:t>涂装</w:t>
      </w:r>
      <w:r>
        <w:rPr>
          <w:rFonts w:hint="eastAsia"/>
          <w:color w:val="FF0000"/>
        </w:rPr>
        <w:t>废气中含有卤化物等可能致催化剂中毒物质时，</w:t>
      </w:r>
      <w:r>
        <w:rPr>
          <w:rFonts w:hint="eastAsia"/>
        </w:rPr>
        <w:t>不宜采用此技术。技术参数应</w:t>
      </w:r>
      <w:r>
        <w:rPr>
          <w:rFonts w:ascii="Times New Roman"/>
        </w:rPr>
        <w:t>满足HJ 2027的规定要求。</w:t>
      </w:r>
    </w:p>
    <w:p>
      <w:pPr>
        <w:pStyle w:val="65"/>
        <w:spacing w:before="156" w:after="156"/>
      </w:pPr>
      <w:r>
        <w:rPr>
          <w:rFonts w:hint="eastAsia"/>
        </w:rPr>
        <w:t>锅炉/工艺炉热力燃烧技术</w:t>
      </w:r>
    </w:p>
    <w:p>
      <w:pPr>
        <w:pStyle w:val="56"/>
        <w:ind w:firstLine="420"/>
        <w:rPr>
          <w:rFonts w:ascii="Times New Roman"/>
        </w:rPr>
      </w:pPr>
      <w:r>
        <w:rPr>
          <w:rFonts w:ascii="Times New Roman"/>
        </w:rPr>
        <w:t>适用汽车涂装、彩钢等涂装烘干工序等工艺废气的治理。锅炉/工艺炉热力燃烧技术应充分考虑生产工艺需求、运行周期及安全性。</w:t>
      </w:r>
    </w:p>
    <w:p>
      <w:pPr>
        <w:pStyle w:val="104"/>
        <w:spacing w:before="312" w:after="312"/>
      </w:pPr>
      <w:bookmarkStart w:id="61" w:name="_Toc107759819"/>
      <w:bookmarkStart w:id="62" w:name="_Toc107759391"/>
      <w:r>
        <w:rPr>
          <w:rFonts w:hint="eastAsia"/>
        </w:rPr>
        <w:t>环境管理措施</w:t>
      </w:r>
      <w:bookmarkEnd w:id="61"/>
      <w:bookmarkEnd w:id="62"/>
    </w:p>
    <w:p>
      <w:pPr>
        <w:pStyle w:val="105"/>
        <w:spacing w:before="156" w:after="156"/>
      </w:pPr>
      <w:r>
        <w:rPr>
          <w:rFonts w:hint="eastAsia"/>
        </w:rPr>
        <w:t>一般原则</w:t>
      </w:r>
    </w:p>
    <w:p>
      <w:pPr>
        <w:pStyle w:val="56"/>
        <w:ind w:firstLine="420"/>
      </w:pPr>
      <w:r>
        <w:rPr>
          <w:rFonts w:hint="eastAsia"/>
        </w:rPr>
        <w:t>工业涂装工序环境管理措施宜按以下原则开展：</w:t>
      </w:r>
    </w:p>
    <w:p>
      <w:pPr>
        <w:pStyle w:val="174"/>
        <w:numPr>
          <w:ilvl w:val="0"/>
          <w:numId w:val="33"/>
        </w:numPr>
        <w:rPr>
          <w:rFonts w:ascii="Times New Roman"/>
        </w:rPr>
      </w:pPr>
      <w:r>
        <w:rPr>
          <w:rFonts w:ascii="Times New Roman"/>
        </w:rPr>
        <w:t>优先采用污染预防技术，若仍无法稳定达标排放，应采用适合的末端治理技术。</w:t>
      </w:r>
    </w:p>
    <w:p>
      <w:pPr>
        <w:pStyle w:val="174"/>
        <w:rPr>
          <w:rFonts w:ascii="Times New Roman"/>
        </w:rPr>
      </w:pPr>
      <w:r>
        <w:rPr>
          <w:rFonts w:hint="eastAsia" w:ascii="Times New Roman"/>
        </w:rPr>
        <w:t>优</w:t>
      </w:r>
      <w:r>
        <w:rPr>
          <w:rFonts w:ascii="Times New Roman"/>
        </w:rPr>
        <w:t>先使用</w:t>
      </w:r>
      <w:r>
        <w:rPr>
          <w:rFonts w:hint="eastAsia" w:ascii="Times New Roman"/>
        </w:rPr>
        <w:t>低挥发性有机化合物含量的原辅材料，包括</w:t>
      </w:r>
      <w:r>
        <w:rPr>
          <w:rFonts w:ascii="Times New Roman"/>
        </w:rPr>
        <w:t>水性涂料、UV涂料、粉末涂料</w:t>
      </w:r>
      <w:r>
        <w:rPr>
          <w:rFonts w:hint="eastAsia" w:ascii="Times New Roman"/>
        </w:rPr>
        <w:t>、水性清洗剂</w:t>
      </w:r>
      <w:r>
        <w:rPr>
          <w:rFonts w:ascii="Times New Roman"/>
        </w:rPr>
        <w:t>等。</w:t>
      </w:r>
    </w:p>
    <w:p>
      <w:pPr>
        <w:pStyle w:val="174"/>
        <w:rPr>
          <w:rFonts w:ascii="Times New Roman"/>
        </w:rPr>
      </w:pPr>
      <w:r>
        <w:rPr>
          <w:rFonts w:ascii="Times New Roman"/>
        </w:rPr>
        <w:t>规范</w:t>
      </w:r>
      <w:r>
        <w:rPr>
          <w:rFonts w:hint="eastAsia" w:ascii="Times New Roman"/>
        </w:rPr>
        <w:t>V</w:t>
      </w:r>
      <w:r>
        <w:rPr>
          <w:rFonts w:ascii="Times New Roman"/>
        </w:rPr>
        <w:t>OC</w:t>
      </w:r>
      <w:r>
        <w:rPr>
          <w:rFonts w:hint="eastAsia" w:ascii="Times New Roman"/>
        </w:rPr>
        <w:t>s物料的</w:t>
      </w:r>
      <w:r>
        <w:rPr>
          <w:rFonts w:ascii="Times New Roman"/>
        </w:rPr>
        <w:t>储存。对所有有机溶剂和含有有机溶剂的原辅料采取密封储存，属于危化品的管理应符合危化品储存相关规定。</w:t>
      </w:r>
    </w:p>
    <w:p>
      <w:pPr>
        <w:pStyle w:val="105"/>
        <w:spacing w:before="156" w:after="156"/>
      </w:pPr>
      <w:r>
        <w:rPr>
          <w:rFonts w:hint="eastAsia"/>
        </w:rPr>
        <w:t>环境管理制度</w:t>
      </w:r>
    </w:p>
    <w:p>
      <w:pPr>
        <w:pStyle w:val="56"/>
        <w:ind w:firstLine="420"/>
        <w:rPr>
          <w:rFonts w:ascii="Times New Roman"/>
        </w:rPr>
      </w:pPr>
      <w:r>
        <w:rPr>
          <w:rFonts w:ascii="Times New Roman"/>
        </w:rPr>
        <w:t>企业应按照HJ 944的要求建立台账，记录含VOCs原辅材料的名称、采购量、使用量、回收量、废弃量、去向、VOCs含量，污染治理设施的工艺流程、设计参数、投运时间、启停时间、温度、风量，过滤材料更换时间和更换量，吸附剂脱附周期、更换时间和更换量，催化剂更换时间和更换量等信息。台账保存期限不少于五年。</w:t>
      </w:r>
    </w:p>
    <w:p>
      <w:pPr>
        <w:pStyle w:val="105"/>
        <w:spacing w:before="156" w:after="156"/>
      </w:pPr>
      <w:r>
        <w:rPr>
          <w:rFonts w:hint="eastAsia"/>
        </w:rPr>
        <w:t>无组织排放控制措施</w:t>
      </w:r>
    </w:p>
    <w:p>
      <w:pPr>
        <w:pStyle w:val="65"/>
        <w:spacing w:before="156" w:after="156"/>
        <w:rPr>
          <w:rFonts w:ascii="Times New Roman" w:eastAsia="宋体"/>
        </w:rPr>
      </w:pPr>
      <w:r>
        <w:rPr>
          <w:rFonts w:ascii="Times New Roman" w:eastAsia="宋体"/>
        </w:rPr>
        <w:t>涂料、稀释剂、固化剂、清洗剂等VOCs物料密闭储存。盛装VOCs物料的容器或包装袋应密闭储存于室内，或存放于设置有雨棚、遮阳和防渗设施的专用场地。盛装VOCs物料的容器或包装袋在非取用状态时应加盖、封口，保持封闭。</w:t>
      </w:r>
    </w:p>
    <w:p>
      <w:pPr>
        <w:pStyle w:val="65"/>
        <w:spacing w:before="156" w:after="156"/>
        <w:rPr>
          <w:rFonts w:ascii="Times New Roman" w:eastAsia="宋体"/>
        </w:rPr>
      </w:pPr>
      <w:r>
        <w:rPr>
          <w:rFonts w:ascii="Times New Roman" w:eastAsia="宋体"/>
        </w:rPr>
        <w:t>废涂料、废稀释剂、废清洗剂、废漆渣、废活性炭等含VOCs废料（渣、液）以及VOCs物料废包装物等危险废物密封储存于危废储存间。</w:t>
      </w:r>
    </w:p>
    <w:p>
      <w:pPr>
        <w:pStyle w:val="65"/>
        <w:spacing w:before="156" w:after="156"/>
        <w:rPr>
          <w:rFonts w:ascii="Times New Roman" w:eastAsia="宋体"/>
        </w:rPr>
      </w:pPr>
      <w:r>
        <w:rPr>
          <w:rFonts w:ascii="Times New Roman" w:eastAsia="宋体"/>
        </w:rPr>
        <w:t>涂料、稀释剂、固化剂等VOCs物料的调配过程应采用密闭设备或在密闭空间内操作，并设置专门的密闭调配间，调配废气应排至VOCs废气收集处理系统；无法密闭的，应采取局部气体收集措施，废气应排至VOCs废气收集处理系统。</w:t>
      </w:r>
    </w:p>
    <w:p>
      <w:pPr>
        <w:pStyle w:val="65"/>
        <w:spacing w:before="156" w:after="156"/>
        <w:rPr>
          <w:rFonts w:ascii="Times New Roman" w:eastAsia="宋体"/>
        </w:rPr>
      </w:pPr>
      <w:r>
        <w:rPr>
          <w:rFonts w:ascii="Times New Roman" w:eastAsia="宋体"/>
        </w:rPr>
        <w:t>含VOCs物料转运和输送应采用密闭管道或密闭容器等，涂料使用量大的企业宜采用集中供料系统，其他企业涂装作业后应将剩余的涂料等原辅材料送回调漆室或储存间。</w:t>
      </w:r>
    </w:p>
    <w:p>
      <w:pPr>
        <w:pStyle w:val="65"/>
        <w:spacing w:before="156" w:after="156"/>
        <w:rPr>
          <w:rFonts w:ascii="Times New Roman" w:eastAsia="宋体"/>
        </w:rPr>
      </w:pPr>
      <w:r>
        <w:rPr>
          <w:rFonts w:ascii="Times New Roman" w:eastAsia="宋体"/>
        </w:rPr>
        <w:t>除船舶整体涂装等个别工序外，其他所有涂装作业应在设置VOCs收集系统的密闭空间内进行。</w:t>
      </w:r>
    </w:p>
    <w:p>
      <w:pPr>
        <w:pStyle w:val="105"/>
        <w:spacing w:before="156" w:after="156"/>
      </w:pPr>
      <w:r>
        <w:rPr>
          <w:rFonts w:hint="eastAsia"/>
        </w:rPr>
        <w:t>污染治理设施的运行维护</w:t>
      </w:r>
    </w:p>
    <w:p>
      <w:pPr>
        <w:pStyle w:val="65"/>
        <w:spacing w:before="156" w:after="156"/>
      </w:pPr>
      <w:r>
        <w:rPr>
          <w:rFonts w:ascii="Times New Roman" w:eastAsia="宋体"/>
        </w:rPr>
        <w:t>企业应按照相关法律法规、标准和技术规范等要求运行污染治理设施，并定期进行维护和管理，保证治理设施正常运行，污染物排放应符合DB 33/2146、GB 16297、GB 37822、GB 14554等的要求</w:t>
      </w:r>
      <w:r>
        <w:rPr>
          <w:rFonts w:hint="eastAsia" w:ascii="Times New Roman" w:eastAsia="宋体"/>
          <w:lang w:eastAsia="zh-CN"/>
        </w:rPr>
        <w:t>。</w:t>
      </w:r>
    </w:p>
    <w:p>
      <w:pPr>
        <w:pStyle w:val="65"/>
        <w:spacing w:before="156" w:after="156"/>
        <w:rPr>
          <w:rFonts w:ascii="Times New Roman" w:eastAsia="宋体"/>
        </w:rPr>
      </w:pPr>
      <w:r>
        <w:rPr>
          <w:rFonts w:ascii="Times New Roman" w:eastAsia="宋体"/>
        </w:rPr>
        <w:t>企业应按照GB/T 16157技术规范的要求，设计、建设、维护永久性采样口、采样测试平台和排污口标志。</w:t>
      </w:r>
    </w:p>
    <w:p>
      <w:pPr>
        <w:pStyle w:val="104"/>
        <w:spacing w:before="312" w:after="312"/>
      </w:pPr>
      <w:bookmarkStart w:id="63" w:name="_Toc107759392"/>
      <w:bookmarkStart w:id="64" w:name="_Toc107759820"/>
      <w:r>
        <w:rPr>
          <w:rFonts w:hint="eastAsia"/>
        </w:rPr>
        <w:t>VOCs污染防治可行技术</w:t>
      </w:r>
      <w:bookmarkEnd w:id="63"/>
      <w:bookmarkEnd w:id="64"/>
    </w:p>
    <w:p>
      <w:pPr>
        <w:pStyle w:val="56"/>
        <w:ind w:firstLine="420"/>
        <w:rPr>
          <w:rFonts w:ascii="Times New Roman"/>
        </w:rPr>
      </w:pPr>
      <w:r>
        <w:rPr>
          <w:rFonts w:ascii="Times New Roman"/>
        </w:rPr>
        <w:t>VOCs污染防治可行技术见表1。</w:t>
      </w:r>
    </w:p>
    <w:p>
      <w:pPr>
        <w:pStyle w:val="112"/>
        <w:spacing w:before="156" w:after="156"/>
        <w:rPr>
          <w:rFonts w:ascii="Times New Roman"/>
        </w:rPr>
      </w:pPr>
      <w:r>
        <w:rPr>
          <w:rFonts w:ascii="Times New Roman"/>
        </w:rPr>
        <w:t>VOCs污染防治可行技术</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9"/>
        <w:gridCol w:w="3402"/>
        <w:gridCol w:w="52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9"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类型</w:t>
            </w:r>
          </w:p>
        </w:tc>
        <w:tc>
          <w:tcPr>
            <w:tcW w:w="3402"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可行技术</w:t>
            </w:r>
          </w:p>
        </w:tc>
        <w:tc>
          <w:tcPr>
            <w:tcW w:w="5233"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适用范围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tcBorders>
              <w:top w:val="single" w:color="auto" w:sz="8" w:space="0"/>
            </w:tcBorders>
            <w:shd w:val="clear" w:color="auto" w:fill="auto"/>
            <w:vAlign w:val="center"/>
          </w:tcPr>
          <w:p>
            <w:pPr>
              <w:pStyle w:val="178"/>
              <w:rPr>
                <w:rFonts w:ascii="Times New Roman"/>
              </w:rPr>
            </w:pPr>
            <w:r>
              <w:rPr>
                <w:rFonts w:ascii="Times New Roman"/>
              </w:rPr>
              <w:t>预防</w:t>
            </w:r>
          </w:p>
          <w:p>
            <w:pPr>
              <w:pStyle w:val="178"/>
              <w:rPr>
                <w:rFonts w:ascii="Times New Roman"/>
              </w:rPr>
            </w:pPr>
            <w:r>
              <w:rPr>
                <w:rFonts w:ascii="Times New Roman"/>
              </w:rPr>
              <w:t>技术</w:t>
            </w:r>
          </w:p>
        </w:tc>
        <w:tc>
          <w:tcPr>
            <w:tcW w:w="3402" w:type="dxa"/>
            <w:tcBorders>
              <w:top w:val="single" w:color="auto" w:sz="8" w:space="0"/>
            </w:tcBorders>
            <w:shd w:val="clear" w:color="auto" w:fill="auto"/>
            <w:vAlign w:val="center"/>
          </w:tcPr>
          <w:p>
            <w:pPr>
              <w:pStyle w:val="178"/>
              <w:rPr>
                <w:rFonts w:ascii="Times New Roman"/>
              </w:rPr>
            </w:pPr>
            <w:r>
              <w:rPr>
                <w:rFonts w:ascii="Times New Roman"/>
              </w:rPr>
              <w:t>粉末涂料替代技术</w:t>
            </w:r>
          </w:p>
        </w:tc>
        <w:tc>
          <w:tcPr>
            <w:tcW w:w="5233" w:type="dxa"/>
            <w:tcBorders>
              <w:top w:val="single" w:color="auto" w:sz="8" w:space="0"/>
            </w:tcBorders>
            <w:shd w:val="clear" w:color="auto" w:fill="auto"/>
            <w:vAlign w:val="center"/>
          </w:tcPr>
          <w:p>
            <w:pPr>
              <w:pStyle w:val="178"/>
              <w:rPr>
                <w:rFonts w:ascii="Times New Roman"/>
              </w:rPr>
            </w:pPr>
            <w:r>
              <w:rPr>
                <w:rFonts w:ascii="Times New Roman"/>
              </w:rPr>
              <w:t>适用于机械设备、钢结构、彩钢、金属容器、金属家具等涂装过程涂料替代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水性涂料替代技术</w:t>
            </w:r>
          </w:p>
        </w:tc>
        <w:tc>
          <w:tcPr>
            <w:tcW w:w="5233" w:type="dxa"/>
            <w:shd w:val="clear" w:color="auto" w:fill="auto"/>
            <w:vAlign w:val="center"/>
          </w:tcPr>
          <w:p>
            <w:pPr>
              <w:pStyle w:val="178"/>
              <w:rPr>
                <w:rFonts w:ascii="Times New Roman"/>
              </w:rPr>
            </w:pPr>
            <w:r>
              <w:rPr>
                <w:rFonts w:ascii="Times New Roman"/>
              </w:rPr>
              <w:t>适用于金属防腐基材底漆涂料替代和电机线圈浸漆涂料替代，适用于木质防腐基材底漆、色漆涂料替代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UV涂料替代技术</w:t>
            </w:r>
          </w:p>
        </w:tc>
        <w:tc>
          <w:tcPr>
            <w:tcW w:w="5233" w:type="dxa"/>
            <w:shd w:val="clear" w:color="auto" w:fill="auto"/>
            <w:vAlign w:val="center"/>
          </w:tcPr>
          <w:p>
            <w:pPr>
              <w:pStyle w:val="178"/>
              <w:rPr>
                <w:rFonts w:ascii="Times New Roman"/>
              </w:rPr>
            </w:pPr>
            <w:r>
              <w:rPr>
                <w:rFonts w:ascii="Times New Roman"/>
              </w:rPr>
              <w:t>适用于木地板辊涂等涂料替代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高固体分涂料替代技术</w:t>
            </w:r>
          </w:p>
        </w:tc>
        <w:tc>
          <w:tcPr>
            <w:tcW w:w="5233" w:type="dxa"/>
            <w:shd w:val="clear" w:color="auto" w:fill="auto"/>
            <w:vAlign w:val="center"/>
          </w:tcPr>
          <w:p>
            <w:pPr>
              <w:pStyle w:val="178"/>
              <w:rPr>
                <w:rFonts w:ascii="Times New Roman"/>
              </w:rPr>
            </w:pPr>
            <w:r>
              <w:rPr>
                <w:rFonts w:ascii="Times New Roman"/>
              </w:rPr>
              <w:t>适用于汽车制造等领域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高压无气喷涂技术</w:t>
            </w:r>
          </w:p>
        </w:tc>
        <w:tc>
          <w:tcPr>
            <w:tcW w:w="5233" w:type="dxa"/>
            <w:shd w:val="clear" w:color="auto" w:fill="auto"/>
            <w:vAlign w:val="center"/>
          </w:tcPr>
          <w:p>
            <w:pPr>
              <w:pStyle w:val="178"/>
              <w:rPr>
                <w:rFonts w:ascii="Times New Roman"/>
              </w:rPr>
            </w:pPr>
            <w:r>
              <w:rPr>
                <w:rFonts w:ascii="Times New Roman"/>
              </w:rPr>
              <w:t>适用于传统空气喷涂的替代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静电喷涂工艺技术</w:t>
            </w:r>
          </w:p>
        </w:tc>
        <w:tc>
          <w:tcPr>
            <w:tcW w:w="5233" w:type="dxa"/>
            <w:shd w:val="clear" w:color="auto" w:fill="auto"/>
            <w:vAlign w:val="center"/>
          </w:tcPr>
          <w:p>
            <w:pPr>
              <w:pStyle w:val="178"/>
              <w:rPr>
                <w:rFonts w:ascii="Times New Roman"/>
              </w:rPr>
            </w:pPr>
            <w:r>
              <w:rPr>
                <w:rFonts w:ascii="Times New Roman"/>
              </w:rPr>
              <w:t>适用于具有良好导电性</w:t>
            </w:r>
            <w:r>
              <w:rPr>
                <w:rFonts w:hint="eastAsia" w:ascii="Times New Roman"/>
                <w:color w:val="FF0000"/>
                <w:lang w:eastAsia="zh-CN"/>
              </w:rPr>
              <w:t>（</w:t>
            </w:r>
            <w:r>
              <w:rPr>
                <w:rFonts w:hint="eastAsia" w:ascii="Times New Roman"/>
                <w:color w:val="FF0000"/>
                <w:lang w:val="en-US" w:eastAsia="zh-CN"/>
              </w:rPr>
              <w:t>或经预处理后获得</w:t>
            </w:r>
            <w:r>
              <w:rPr>
                <w:rFonts w:ascii="Times New Roman"/>
                <w:color w:val="FF0000"/>
              </w:rPr>
              <w:t>良好导电性</w:t>
            </w:r>
            <w:r>
              <w:rPr>
                <w:rFonts w:hint="eastAsia" w:ascii="Times New Roman"/>
                <w:color w:val="FF0000"/>
                <w:lang w:eastAsia="zh-CN"/>
              </w:rPr>
              <w:t>）</w:t>
            </w:r>
            <w:r>
              <w:rPr>
                <w:rFonts w:ascii="Times New Roman"/>
              </w:rPr>
              <w:t>的工件喷涂，适用于汽车中涂、面涂、修色过程喷涂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流水线自动涂装技术+减风增浓</w:t>
            </w:r>
          </w:p>
        </w:tc>
        <w:tc>
          <w:tcPr>
            <w:tcW w:w="5233" w:type="dxa"/>
            <w:shd w:val="clear" w:color="auto" w:fill="auto"/>
            <w:vAlign w:val="center"/>
          </w:tcPr>
          <w:p>
            <w:pPr>
              <w:pStyle w:val="178"/>
              <w:rPr>
                <w:rFonts w:ascii="Times New Roman"/>
              </w:rPr>
            </w:pPr>
            <w:r>
              <w:rPr>
                <w:rFonts w:ascii="Times New Roman"/>
              </w:rPr>
              <w:t>适用于形状较为规则的基材表面涂覆，部分废气内循环，削减风量，提高排放废气浓度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shd w:val="clear" w:color="auto" w:fill="auto"/>
            <w:vAlign w:val="center"/>
          </w:tcPr>
          <w:p>
            <w:pPr>
              <w:pStyle w:val="178"/>
              <w:rPr>
                <w:rFonts w:ascii="Times New Roman"/>
              </w:rPr>
            </w:pPr>
            <w:r>
              <w:rPr>
                <w:rFonts w:ascii="Times New Roman"/>
              </w:rPr>
              <w:t>治理</w:t>
            </w:r>
          </w:p>
          <w:p>
            <w:pPr>
              <w:pStyle w:val="178"/>
              <w:rPr>
                <w:rFonts w:ascii="Times New Roman"/>
              </w:rPr>
            </w:pPr>
            <w:r>
              <w:rPr>
                <w:rFonts w:ascii="Times New Roman"/>
              </w:rPr>
              <w:t>技术</w:t>
            </w:r>
          </w:p>
        </w:tc>
        <w:tc>
          <w:tcPr>
            <w:tcW w:w="3402" w:type="dxa"/>
            <w:shd w:val="clear" w:color="auto" w:fill="auto"/>
            <w:vAlign w:val="center"/>
          </w:tcPr>
          <w:p>
            <w:pPr>
              <w:pStyle w:val="178"/>
              <w:rPr>
                <w:rFonts w:ascii="Times New Roman"/>
              </w:rPr>
            </w:pPr>
            <w:r>
              <w:rPr>
                <w:rFonts w:ascii="Times New Roman"/>
              </w:rPr>
              <w:t>工艺炉</w:t>
            </w:r>
            <w:r>
              <w:rPr>
                <w:rFonts w:hint="eastAsia" w:ascii="Times New Roman"/>
                <w:lang w:val="en-US" w:eastAsia="zh-CN"/>
              </w:rPr>
              <w:t>焚烧</w:t>
            </w:r>
            <w:r>
              <w:rPr>
                <w:rFonts w:ascii="Times New Roman"/>
              </w:rPr>
              <w:t>技术</w:t>
            </w:r>
          </w:p>
        </w:tc>
        <w:tc>
          <w:tcPr>
            <w:tcW w:w="5233" w:type="dxa"/>
            <w:shd w:val="clear" w:color="auto" w:fill="auto"/>
            <w:vAlign w:val="center"/>
          </w:tcPr>
          <w:p>
            <w:pPr>
              <w:pStyle w:val="178"/>
              <w:rPr>
                <w:rFonts w:ascii="Times New Roman"/>
              </w:rPr>
            </w:pPr>
            <w:r>
              <w:rPr>
                <w:rFonts w:ascii="Times New Roman"/>
              </w:rPr>
              <w:t>适用于汽车涂装、彩钢、漆包线等涂装烘干工序VOCs污染治理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RTO技术</w:t>
            </w:r>
          </w:p>
        </w:tc>
        <w:tc>
          <w:tcPr>
            <w:tcW w:w="5233" w:type="dxa"/>
            <w:shd w:val="clear" w:color="auto" w:fill="auto"/>
            <w:vAlign w:val="center"/>
          </w:tcPr>
          <w:p>
            <w:pPr>
              <w:pStyle w:val="178"/>
              <w:rPr>
                <w:rFonts w:ascii="Times New Roman"/>
              </w:rPr>
            </w:pPr>
            <w:r>
              <w:rPr>
                <w:rFonts w:ascii="Times New Roman"/>
              </w:rPr>
              <w:t>适用于流水线自动涂装+减风增浓后的VOCs污染治理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hint="eastAsia" w:ascii="Times New Roman"/>
                <w:lang w:val="en-US" w:eastAsia="zh-CN"/>
              </w:rPr>
              <w:t>CO</w:t>
            </w:r>
            <w:r>
              <w:rPr>
                <w:rFonts w:ascii="Times New Roman"/>
              </w:rPr>
              <w:t>技术</w:t>
            </w:r>
          </w:p>
        </w:tc>
        <w:tc>
          <w:tcPr>
            <w:tcW w:w="5233" w:type="dxa"/>
            <w:shd w:val="clear" w:color="auto" w:fill="auto"/>
            <w:vAlign w:val="center"/>
          </w:tcPr>
          <w:p>
            <w:pPr>
              <w:pStyle w:val="178"/>
              <w:rPr>
                <w:rFonts w:ascii="Times New Roman"/>
              </w:rPr>
            </w:pPr>
            <w:r>
              <w:rPr>
                <w:rFonts w:ascii="Times New Roman"/>
              </w:rPr>
              <w:t>适用于涂装烘干工序VOCs污染治理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ascii="Times New Roman"/>
              </w:rPr>
              <w:t>水帘/水旋/喷淋除雾（仅针对喷涂废气）+多级过滤+</w:t>
            </w:r>
            <w:r>
              <w:rPr>
                <w:rFonts w:hint="eastAsia" w:ascii="Times New Roman"/>
                <w:lang w:val="en-US" w:eastAsia="zh-CN"/>
              </w:rPr>
              <w:t>沸石转轮</w:t>
            </w:r>
            <w:r>
              <w:rPr>
                <w:rFonts w:ascii="Times New Roman"/>
              </w:rPr>
              <w:t>吸附浓缩</w:t>
            </w:r>
            <w:r>
              <w:rPr>
                <w:rFonts w:hint="eastAsia" w:ascii="Times New Roman"/>
                <w:lang w:val="en-US" w:eastAsia="zh-CN"/>
              </w:rPr>
              <w:t>-</w:t>
            </w:r>
            <w:r>
              <w:rPr>
                <w:rFonts w:ascii="Times New Roman"/>
              </w:rPr>
              <w:t>脱附+RTO</w:t>
            </w:r>
            <w:r>
              <w:rPr>
                <w:rFonts w:hint="eastAsia" w:ascii="Times New Roman"/>
                <w:lang w:val="en-US" w:eastAsia="zh-CN"/>
              </w:rPr>
              <w:t>/CO</w:t>
            </w:r>
            <w:r>
              <w:rPr>
                <w:rFonts w:ascii="Times New Roman"/>
              </w:rPr>
              <w:t>技术</w:t>
            </w:r>
          </w:p>
        </w:tc>
        <w:tc>
          <w:tcPr>
            <w:tcW w:w="5233" w:type="dxa"/>
            <w:vMerge w:val="restart"/>
            <w:shd w:val="clear" w:color="auto" w:fill="auto"/>
            <w:vAlign w:val="center"/>
          </w:tcPr>
          <w:p>
            <w:pPr>
              <w:pStyle w:val="178"/>
              <w:rPr>
                <w:rFonts w:ascii="Times New Roman"/>
              </w:rPr>
            </w:pPr>
            <w:r>
              <w:rPr>
                <w:rFonts w:ascii="Times New Roman"/>
              </w:rPr>
              <w:t>适用于涂覆（指喷涂、辊涂、浸涂及晾干等非烘干工序）过程VOCs污染治理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ind w:firstLine="0" w:firstLineChars="0"/>
              <w:rPr>
                <w:rFonts w:ascii="Times New Roman"/>
              </w:rPr>
            </w:pPr>
            <w:r>
              <w:rPr>
                <w:rFonts w:ascii="Times New Roman"/>
              </w:rPr>
              <w:t>水帘/水旋/喷淋除雾（仅针对喷涂废气）+多级过滤+</w:t>
            </w:r>
            <w:r>
              <w:rPr>
                <w:rFonts w:hint="eastAsia" w:ascii="Times New Roman"/>
                <w:lang w:val="en-US" w:eastAsia="zh-CN"/>
              </w:rPr>
              <w:t>活性炭</w:t>
            </w:r>
            <w:r>
              <w:rPr>
                <w:rFonts w:ascii="Times New Roman"/>
              </w:rPr>
              <w:t>吸附浓缩</w:t>
            </w:r>
            <w:r>
              <w:rPr>
                <w:rFonts w:hint="eastAsia" w:ascii="Times New Roman"/>
                <w:lang w:val="en-US" w:eastAsia="zh-CN"/>
              </w:rPr>
              <w:t>-</w:t>
            </w:r>
            <w:r>
              <w:rPr>
                <w:rFonts w:ascii="Times New Roman"/>
              </w:rPr>
              <w:t>脱附+RTO</w:t>
            </w:r>
            <w:r>
              <w:rPr>
                <w:rFonts w:hint="eastAsia" w:ascii="Times New Roman"/>
                <w:lang w:val="en-US" w:eastAsia="zh-CN"/>
              </w:rPr>
              <w:t>/CO</w:t>
            </w:r>
            <w:r>
              <w:rPr>
                <w:rFonts w:ascii="Times New Roman"/>
              </w:rPr>
              <w:t>技术</w:t>
            </w:r>
          </w:p>
        </w:tc>
        <w:tc>
          <w:tcPr>
            <w:tcW w:w="5233" w:type="dxa"/>
            <w:vMerge w:val="continue"/>
            <w:shd w:val="clear" w:color="auto" w:fill="auto"/>
            <w:vAlign w:val="center"/>
          </w:tcPr>
          <w:p>
            <w:pPr>
              <w:pStyle w:val="178"/>
              <w:ind w:firstLine="0" w:firstLineChars="0"/>
              <w:rPr>
                <w:rFonts w:ascii="Times New Roma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shd w:val="clear" w:color="auto" w:fill="auto"/>
            <w:vAlign w:val="center"/>
          </w:tcPr>
          <w:p>
            <w:pPr>
              <w:pStyle w:val="178"/>
              <w:rPr>
                <w:rFonts w:ascii="Times New Roman"/>
              </w:rPr>
            </w:pPr>
          </w:p>
        </w:tc>
        <w:tc>
          <w:tcPr>
            <w:tcW w:w="3402" w:type="dxa"/>
            <w:shd w:val="clear" w:color="auto" w:fill="auto"/>
            <w:vAlign w:val="center"/>
          </w:tcPr>
          <w:p>
            <w:pPr>
              <w:pStyle w:val="178"/>
              <w:rPr>
                <w:rFonts w:ascii="Times New Roman"/>
              </w:rPr>
            </w:pPr>
            <w:r>
              <w:rPr>
                <w:rFonts w:hint="eastAsia" w:ascii="Times New Roman"/>
                <w:lang w:val="en-US" w:eastAsia="zh-CN"/>
              </w:rPr>
              <w:t>活性炭</w:t>
            </w:r>
            <w:r>
              <w:rPr>
                <w:rFonts w:ascii="Times New Roman"/>
              </w:rPr>
              <w:t>分散吸附-集中脱附技术</w:t>
            </w:r>
          </w:p>
        </w:tc>
        <w:tc>
          <w:tcPr>
            <w:tcW w:w="5233" w:type="dxa"/>
            <w:shd w:val="clear" w:color="auto" w:fill="auto"/>
            <w:vAlign w:val="center"/>
          </w:tcPr>
          <w:p>
            <w:pPr>
              <w:pStyle w:val="178"/>
              <w:rPr>
                <w:rFonts w:ascii="Times New Roman"/>
              </w:rPr>
            </w:pPr>
            <w:r>
              <w:rPr>
                <w:rFonts w:ascii="Times New Roman"/>
              </w:rPr>
              <w:t>适用于小微企业集中的园区、小微园、集聚区等，设置集中式活性炭脱附再生装置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restart"/>
            <w:shd w:val="clear" w:color="auto" w:fill="auto"/>
            <w:vAlign w:val="center"/>
          </w:tcPr>
          <w:p>
            <w:pPr>
              <w:pStyle w:val="178"/>
              <w:rPr>
                <w:rFonts w:hint="default" w:ascii="Times New Roman" w:eastAsia="宋体"/>
                <w:lang w:val="en-US" w:eastAsia="zh-CN"/>
              </w:rPr>
            </w:pPr>
            <w:r>
              <w:rPr>
                <w:rFonts w:hint="eastAsia" w:ascii="Times New Roman"/>
                <w:lang w:val="en-US" w:eastAsia="zh-CN"/>
              </w:rPr>
              <w:t>协同治理技术</w:t>
            </w:r>
          </w:p>
        </w:tc>
        <w:tc>
          <w:tcPr>
            <w:tcW w:w="3402" w:type="dxa"/>
            <w:shd w:val="clear" w:color="auto" w:fill="auto"/>
            <w:vAlign w:val="center"/>
          </w:tcPr>
          <w:p>
            <w:pPr>
              <w:pStyle w:val="178"/>
              <w:rPr>
                <w:rFonts w:hint="default" w:ascii="Times New Roman"/>
                <w:lang w:val="en-US" w:eastAsia="zh-CN"/>
              </w:rPr>
            </w:pPr>
            <w:r>
              <w:rPr>
                <w:rFonts w:hint="eastAsia" w:ascii="Times New Roman"/>
                <w:lang w:val="en-US" w:eastAsia="zh-CN"/>
              </w:rPr>
              <w:t>树脂吸附浓缩-蒸汽脱附</w:t>
            </w:r>
          </w:p>
        </w:tc>
        <w:tc>
          <w:tcPr>
            <w:tcW w:w="5233" w:type="dxa"/>
            <w:shd w:val="clear" w:color="auto" w:fill="auto"/>
            <w:vAlign w:val="center"/>
          </w:tcPr>
          <w:p>
            <w:pPr>
              <w:pStyle w:val="178"/>
              <w:rPr>
                <w:rFonts w:hint="eastAsia" w:ascii="Times New Roman" w:eastAsia="宋体"/>
                <w:lang w:val="en-US" w:eastAsia="zh-CN"/>
              </w:rPr>
            </w:pPr>
            <w:r>
              <w:rPr>
                <w:rFonts w:ascii="Times New Roman"/>
              </w:rPr>
              <w:t>适用于</w:t>
            </w:r>
            <w:r>
              <w:rPr>
                <w:rFonts w:hint="eastAsia" w:ascii="Times New Roman"/>
                <w:lang w:val="en-US" w:eastAsia="zh-CN"/>
              </w:rPr>
              <w:t>油漆含氯溶剂挥发的CVOCs</w:t>
            </w:r>
            <w:r>
              <w:rPr>
                <w:rFonts w:ascii="Times New Roman"/>
              </w:rPr>
              <w:t>污染</w:t>
            </w:r>
            <w:r>
              <w:rPr>
                <w:rFonts w:hint="eastAsia" w:ascii="Times New Roman"/>
                <w:lang w:val="en-US" w:eastAsia="zh-CN"/>
              </w:rPr>
              <w:t>物协同治理的预处理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9" w:type="dxa"/>
            <w:vMerge w:val="continue"/>
            <w:tcBorders/>
            <w:shd w:val="clear" w:color="auto" w:fill="auto"/>
            <w:vAlign w:val="center"/>
          </w:tcPr>
          <w:p>
            <w:pPr>
              <w:pStyle w:val="178"/>
              <w:rPr>
                <w:rFonts w:hint="eastAsia" w:ascii="Times New Roman"/>
                <w:lang w:val="en-US" w:eastAsia="zh-CN"/>
              </w:rPr>
            </w:pPr>
          </w:p>
        </w:tc>
        <w:tc>
          <w:tcPr>
            <w:tcW w:w="3402" w:type="dxa"/>
            <w:shd w:val="clear" w:color="auto" w:fill="auto"/>
            <w:vAlign w:val="center"/>
          </w:tcPr>
          <w:p>
            <w:pPr>
              <w:pStyle w:val="178"/>
              <w:ind w:firstLine="0" w:firstLineChars="0"/>
              <w:rPr>
                <w:rFonts w:hint="default" w:ascii="Times New Roman"/>
                <w:lang w:val="en-US" w:eastAsia="zh-CN"/>
              </w:rPr>
            </w:pPr>
            <w:r>
              <w:rPr>
                <w:rFonts w:hint="eastAsia" w:ascii="Times New Roman"/>
                <w:lang w:val="en-US" w:eastAsia="zh-CN"/>
              </w:rPr>
              <w:t>焚烧/催化燃烧+SCR技术</w:t>
            </w:r>
          </w:p>
        </w:tc>
        <w:tc>
          <w:tcPr>
            <w:tcW w:w="5233" w:type="dxa"/>
            <w:shd w:val="clear" w:color="auto" w:fill="auto"/>
            <w:vAlign w:val="center"/>
          </w:tcPr>
          <w:p>
            <w:pPr>
              <w:pStyle w:val="178"/>
              <w:ind w:firstLine="0" w:firstLineChars="0"/>
              <w:rPr>
                <w:rFonts w:hint="default" w:ascii="Times New Roman"/>
                <w:lang w:val="en-US"/>
              </w:rPr>
            </w:pPr>
            <w:r>
              <w:rPr>
                <w:rFonts w:ascii="Times New Roman"/>
              </w:rPr>
              <w:t>适用于</w:t>
            </w:r>
            <w:r>
              <w:rPr>
                <w:rFonts w:hint="eastAsia" w:ascii="Times New Roman"/>
                <w:lang w:val="en-US" w:eastAsia="zh-CN"/>
              </w:rPr>
              <w:t>漆包线含氮溶剂挥发</w:t>
            </w:r>
            <w:bookmarkStart w:id="71" w:name="_GoBack"/>
            <w:bookmarkEnd w:id="71"/>
            <w:r>
              <w:rPr>
                <w:rFonts w:hint="eastAsia" w:ascii="Times New Roman"/>
                <w:lang w:val="en-US" w:eastAsia="zh-CN"/>
              </w:rPr>
              <w:t>的NVOCs</w:t>
            </w:r>
            <w:r>
              <w:rPr>
                <w:rFonts w:ascii="Times New Roman"/>
              </w:rPr>
              <w:t>污染</w:t>
            </w:r>
            <w:r>
              <w:rPr>
                <w:rFonts w:hint="eastAsia" w:ascii="Times New Roman"/>
                <w:lang w:val="en-US" w:eastAsia="zh-CN"/>
              </w:rPr>
              <w:t>物协同治理</w:t>
            </w:r>
          </w:p>
        </w:tc>
      </w:tr>
    </w:tbl>
    <w:p>
      <w:pPr>
        <w:pStyle w:val="56"/>
        <w:ind w:firstLine="420"/>
      </w:pPr>
    </w:p>
    <w:p>
      <w:pPr>
        <w:pStyle w:val="56"/>
        <w:ind w:firstLine="420"/>
      </w:pPr>
    </w:p>
    <w:p>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5"/>
    <w:p>
      <w:pPr>
        <w:pStyle w:val="198"/>
      </w:pPr>
      <w:bookmarkStart w:id="65" w:name="BookMark5"/>
    </w:p>
    <w:p>
      <w:pPr>
        <w:pStyle w:val="199"/>
      </w:pPr>
    </w:p>
    <w:p>
      <w:pPr>
        <w:pStyle w:val="76"/>
        <w:spacing w:after="156"/>
      </w:pPr>
      <w:r>
        <w:br w:type="textWrapping"/>
      </w:r>
      <w:bookmarkStart w:id="66" w:name="_Toc107759821"/>
      <w:bookmarkStart w:id="67" w:name="_Toc107759393"/>
      <w:r>
        <w:rPr>
          <w:rFonts w:hint="eastAsia"/>
        </w:rPr>
        <w:t>（资料性）</w:t>
      </w:r>
      <w:r>
        <w:br w:type="textWrapping"/>
      </w:r>
      <w:r>
        <w:rPr>
          <w:rFonts w:hint="eastAsia"/>
        </w:rPr>
        <w:t>典型工业涂装工艺流程</w:t>
      </w:r>
      <w:bookmarkEnd w:id="66"/>
      <w:bookmarkEnd w:id="67"/>
    </w:p>
    <w:p>
      <w:pPr>
        <w:pStyle w:val="78"/>
        <w:spacing w:before="156" w:after="156"/>
      </w:pPr>
      <w:r>
        <w:rPr>
          <w:rFonts w:hint="eastAsia"/>
        </w:rPr>
        <w:t>汽车涂装工艺流程见图A</w:t>
      </w:r>
      <w:r>
        <w:t>.1</w:t>
      </w:r>
      <w:r>
        <w:rPr>
          <w:rFonts w:hint="eastAsia"/>
        </w:rPr>
        <w:t>。</w:t>
      </w:r>
    </w:p>
    <w:p>
      <w:pPr>
        <w:pStyle w:val="56"/>
        <w:ind w:firstLine="0" w:firstLineChars="0"/>
        <w:jc w:val="center"/>
      </w:pPr>
      <w:r>
        <w:rPr>
          <w:rFonts w:ascii="Times New Roman" w:eastAsia="黑体"/>
          <w:bCs/>
          <w:szCs w:val="21"/>
        </w:rPr>
        <w:drawing>
          <wp:inline distT="0" distB="0" distL="0" distR="0">
            <wp:extent cx="4894580" cy="1929765"/>
            <wp:effectExtent l="0" t="0" r="127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6" cstate="print"/>
                    <a:srcRect/>
                    <a:stretch>
                      <a:fillRect/>
                    </a:stretch>
                  </pic:blipFill>
                  <pic:spPr>
                    <a:xfrm>
                      <a:off x="0" y="0"/>
                      <a:ext cx="4911773" cy="1936897"/>
                    </a:xfrm>
                    <a:prstGeom prst="rect">
                      <a:avLst/>
                    </a:prstGeom>
                    <a:noFill/>
                    <a:ln w="9525">
                      <a:noFill/>
                      <a:miter lim="800000"/>
                      <a:headEnd/>
                      <a:tailEnd/>
                    </a:ln>
                  </pic:spPr>
                </pic:pic>
              </a:graphicData>
            </a:graphic>
          </wp:inline>
        </w:drawing>
      </w:r>
    </w:p>
    <w:p>
      <w:pPr>
        <w:pStyle w:val="83"/>
        <w:spacing w:before="156" w:after="156"/>
      </w:pPr>
      <w:r>
        <w:rPr>
          <w:rFonts w:hint="eastAsia"/>
        </w:rPr>
        <w:t>典型汽车涂装工艺流程</w:t>
      </w:r>
    </w:p>
    <w:p>
      <w:pPr>
        <w:pStyle w:val="78"/>
        <w:spacing w:before="156" w:after="156"/>
      </w:pPr>
      <w:r>
        <w:rPr>
          <w:rFonts w:hint="eastAsia"/>
        </w:rPr>
        <w:t>家具涂装工艺流程见图A</w:t>
      </w:r>
      <w:r>
        <w:t>.2</w:t>
      </w:r>
      <w:r>
        <w:rPr>
          <w:rFonts w:hint="eastAsia"/>
        </w:rPr>
        <w:t>。</w:t>
      </w:r>
    </w:p>
    <w:p>
      <w:pPr>
        <w:pStyle w:val="56"/>
        <w:ind w:firstLine="0" w:firstLineChars="0"/>
        <w:jc w:val="center"/>
        <w:rPr>
          <w:rFonts w:ascii="Times New Roman" w:eastAsia="黑体"/>
          <w:bCs/>
          <w:szCs w:val="21"/>
        </w:rPr>
      </w:pPr>
      <w:r>
        <w:rPr>
          <w:rFonts w:ascii="Times New Roman" w:eastAsia="黑体"/>
          <w:bCs/>
          <w:szCs w:val="21"/>
        </w:rPr>
        <w:drawing>
          <wp:inline distT="0" distB="0" distL="0" distR="0">
            <wp:extent cx="4910455" cy="1514475"/>
            <wp:effectExtent l="0" t="0" r="44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7" cstate="print"/>
                    <a:srcRect/>
                    <a:stretch>
                      <a:fillRect/>
                    </a:stretch>
                  </pic:blipFill>
                  <pic:spPr>
                    <a:xfrm>
                      <a:off x="0" y="0"/>
                      <a:ext cx="4931926" cy="1521384"/>
                    </a:xfrm>
                    <a:prstGeom prst="rect">
                      <a:avLst/>
                    </a:prstGeom>
                    <a:noFill/>
                    <a:ln w="9525">
                      <a:noFill/>
                      <a:miter lim="800000"/>
                      <a:headEnd/>
                      <a:tailEnd/>
                    </a:ln>
                  </pic:spPr>
                </pic:pic>
              </a:graphicData>
            </a:graphic>
          </wp:inline>
        </w:drawing>
      </w:r>
    </w:p>
    <w:p>
      <w:pPr>
        <w:pStyle w:val="83"/>
        <w:spacing w:before="156" w:after="156"/>
      </w:pPr>
      <w:r>
        <w:rPr>
          <w:rFonts w:hint="eastAsia"/>
        </w:rPr>
        <w:t>典型家具涂装工艺流程</w:t>
      </w:r>
    </w:p>
    <w:p>
      <w:pPr>
        <w:pStyle w:val="78"/>
        <w:spacing w:before="156" w:after="156"/>
      </w:pPr>
      <w:r>
        <w:rPr>
          <w:rFonts w:hint="eastAsia"/>
        </w:rPr>
        <w:t>摩托车配件涂装工艺流程见图A.</w:t>
      </w:r>
      <w:r>
        <w:t>3</w:t>
      </w:r>
      <w:r>
        <w:rPr>
          <w:rFonts w:hint="eastAsia"/>
        </w:rPr>
        <w:t>。</w:t>
      </w:r>
    </w:p>
    <w:p>
      <w:pPr>
        <w:pStyle w:val="56"/>
        <w:ind w:firstLine="0" w:firstLineChars="0"/>
        <w:jc w:val="center"/>
      </w:pPr>
      <w:r>
        <w:rPr>
          <w:rFonts w:ascii="Times New Roman" w:eastAsia="黑体"/>
          <w:bCs/>
          <w:szCs w:val="21"/>
        </w:rPr>
        <w:drawing>
          <wp:inline distT="0" distB="0" distL="0" distR="0">
            <wp:extent cx="5131435" cy="13582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srcRect/>
                    <a:stretch>
                      <a:fillRect/>
                    </a:stretch>
                  </pic:blipFill>
                  <pic:spPr>
                    <a:xfrm>
                      <a:off x="0" y="0"/>
                      <a:ext cx="5144806" cy="1361799"/>
                    </a:xfrm>
                    <a:prstGeom prst="rect">
                      <a:avLst/>
                    </a:prstGeom>
                    <a:noFill/>
                    <a:ln w="9525">
                      <a:noFill/>
                      <a:miter lim="800000"/>
                      <a:headEnd/>
                      <a:tailEnd/>
                    </a:ln>
                  </pic:spPr>
                </pic:pic>
              </a:graphicData>
            </a:graphic>
          </wp:inline>
        </w:drawing>
      </w:r>
    </w:p>
    <w:p>
      <w:pPr>
        <w:pStyle w:val="83"/>
        <w:spacing w:before="156" w:after="156"/>
      </w:pPr>
      <w:r>
        <w:rPr>
          <w:rFonts w:hint="eastAsia"/>
        </w:rPr>
        <w:t>摩托车配件涂装工艺流程</w:t>
      </w:r>
    </w:p>
    <w:p>
      <w:pPr>
        <w:pStyle w:val="78"/>
        <w:spacing w:before="156" w:after="156"/>
      </w:pPr>
      <w:r>
        <w:rPr>
          <w:rFonts w:hint="eastAsia"/>
        </w:rPr>
        <w:t>五金件涂装工艺流程见图A.</w:t>
      </w:r>
      <w:r>
        <w:t>4</w:t>
      </w:r>
      <w:r>
        <w:rPr>
          <w:rFonts w:hint="eastAsia"/>
        </w:rPr>
        <w:t>。</w:t>
      </w:r>
    </w:p>
    <w:p>
      <w:pPr>
        <w:pStyle w:val="56"/>
        <w:ind w:firstLine="0" w:firstLineChars="0"/>
        <w:jc w:val="center"/>
      </w:pPr>
      <w:r>
        <w:rPr>
          <w:rFonts w:ascii="Times New Roman" w:eastAsia="黑体"/>
          <w:bCs/>
          <w:szCs w:val="21"/>
        </w:rPr>
        <w:drawing>
          <wp:inline distT="0" distB="0" distL="0" distR="0">
            <wp:extent cx="5278120" cy="97155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9" cstate="print"/>
                    <a:srcRect/>
                    <a:stretch>
                      <a:fillRect/>
                    </a:stretch>
                  </pic:blipFill>
                  <pic:spPr>
                    <a:xfrm>
                      <a:off x="0" y="0"/>
                      <a:ext cx="5278120" cy="971740"/>
                    </a:xfrm>
                    <a:prstGeom prst="rect">
                      <a:avLst/>
                    </a:prstGeom>
                    <a:noFill/>
                    <a:ln w="9525">
                      <a:noFill/>
                      <a:miter lim="800000"/>
                      <a:headEnd/>
                      <a:tailEnd/>
                    </a:ln>
                  </pic:spPr>
                </pic:pic>
              </a:graphicData>
            </a:graphic>
          </wp:inline>
        </w:drawing>
      </w:r>
    </w:p>
    <w:p>
      <w:pPr>
        <w:pStyle w:val="83"/>
        <w:spacing w:before="156" w:after="156"/>
      </w:pPr>
      <w:r>
        <w:rPr>
          <w:rFonts w:hint="eastAsia"/>
        </w:rPr>
        <w:t>五金件涂装工艺流程</w:t>
      </w:r>
    </w:p>
    <w:p>
      <w:pPr>
        <w:pStyle w:val="78"/>
        <w:spacing w:before="156" w:after="156"/>
      </w:pPr>
      <w:r>
        <w:rPr>
          <w:rFonts w:hint="eastAsia"/>
        </w:rPr>
        <w:t>彩钢涂装工艺流程见图A.</w:t>
      </w:r>
      <w:r>
        <w:t>5</w:t>
      </w:r>
      <w:r>
        <w:rPr>
          <w:rFonts w:hint="eastAsia"/>
        </w:rPr>
        <w:t>。</w:t>
      </w:r>
    </w:p>
    <w:p>
      <w:pPr>
        <w:pStyle w:val="56"/>
        <w:ind w:firstLine="0" w:firstLineChars="0"/>
        <w:jc w:val="center"/>
      </w:pPr>
      <w:r>
        <w:rPr>
          <w:rFonts w:ascii="Times New Roman" w:eastAsia="黑体"/>
          <w:bCs/>
          <w:szCs w:val="21"/>
        </w:rPr>
        <w:drawing>
          <wp:inline distT="0" distB="0" distL="0" distR="0">
            <wp:extent cx="4942205" cy="13811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0" cstate="print"/>
                    <a:srcRect/>
                    <a:stretch>
                      <a:fillRect/>
                    </a:stretch>
                  </pic:blipFill>
                  <pic:spPr>
                    <a:xfrm>
                      <a:off x="0" y="0"/>
                      <a:ext cx="4962917" cy="1386915"/>
                    </a:xfrm>
                    <a:prstGeom prst="rect">
                      <a:avLst/>
                    </a:prstGeom>
                    <a:noFill/>
                    <a:ln w="9525">
                      <a:noFill/>
                      <a:miter lim="800000"/>
                      <a:headEnd/>
                      <a:tailEnd/>
                    </a:ln>
                  </pic:spPr>
                </pic:pic>
              </a:graphicData>
            </a:graphic>
          </wp:inline>
        </w:drawing>
      </w:r>
    </w:p>
    <w:p>
      <w:pPr>
        <w:pStyle w:val="83"/>
        <w:spacing w:before="156" w:after="156"/>
      </w:pPr>
      <w:r>
        <w:rPr>
          <w:rFonts w:hint="eastAsia"/>
        </w:rPr>
        <w:t>彩钢涂装工艺流程</w:t>
      </w:r>
    </w:p>
    <w:p>
      <w:pPr>
        <w:pStyle w:val="78"/>
        <w:spacing w:before="156" w:after="156"/>
      </w:pPr>
      <w:r>
        <w:rPr>
          <w:rFonts w:hint="eastAsia"/>
        </w:rPr>
        <w:t>装备制造领域涂装工艺流程见图A.</w:t>
      </w:r>
      <w:r>
        <w:t>6</w:t>
      </w:r>
      <w:r>
        <w:rPr>
          <w:rFonts w:hint="eastAsia"/>
        </w:rPr>
        <w:t>。</w:t>
      </w:r>
    </w:p>
    <w:p>
      <w:pPr>
        <w:pStyle w:val="56"/>
        <w:ind w:firstLine="0" w:firstLineChars="0"/>
        <w:jc w:val="center"/>
      </w:pPr>
      <w:r>
        <w:rPr>
          <w:rFonts w:ascii="Times New Roman" w:eastAsia="黑体"/>
          <w:bCs/>
          <w:szCs w:val="21"/>
        </w:rPr>
        <w:drawing>
          <wp:inline distT="0" distB="0" distL="0" distR="0">
            <wp:extent cx="4477385" cy="1424940"/>
            <wp:effectExtent l="0" t="0" r="18415"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1" cstate="print"/>
                    <a:srcRect/>
                    <a:stretch>
                      <a:fillRect/>
                    </a:stretch>
                  </pic:blipFill>
                  <pic:spPr>
                    <a:xfrm>
                      <a:off x="0" y="0"/>
                      <a:ext cx="4477385" cy="1424940"/>
                    </a:xfrm>
                    <a:prstGeom prst="rect">
                      <a:avLst/>
                    </a:prstGeom>
                    <a:noFill/>
                    <a:ln w="9525">
                      <a:noFill/>
                      <a:miter lim="800000"/>
                      <a:headEnd/>
                      <a:tailEnd/>
                    </a:ln>
                  </pic:spPr>
                </pic:pic>
              </a:graphicData>
            </a:graphic>
          </wp:inline>
        </w:drawing>
      </w:r>
    </w:p>
    <w:p>
      <w:pPr>
        <w:pStyle w:val="83"/>
        <w:spacing w:before="156" w:after="156"/>
      </w:pPr>
      <w:r>
        <w:rPr>
          <w:rFonts w:hint="eastAsia"/>
        </w:rPr>
        <w:t>装备制造领域涂装工艺流程</w:t>
      </w:r>
    </w:p>
    <w:p>
      <w:pPr>
        <w:pStyle w:val="78"/>
        <w:spacing w:before="156" w:after="156"/>
      </w:pPr>
      <w:r>
        <w:rPr>
          <w:rFonts w:hint="eastAsia"/>
        </w:rPr>
        <w:t>电气元器件（漆包线）涂装工艺流程见图A.</w:t>
      </w:r>
      <w:r>
        <w:t>7</w:t>
      </w:r>
      <w:r>
        <w:rPr>
          <w:rFonts w:hint="eastAsia"/>
        </w:rPr>
        <w:t>。</w:t>
      </w:r>
    </w:p>
    <w:p>
      <w:pPr>
        <w:pStyle w:val="56"/>
        <w:ind w:firstLine="0" w:firstLineChars="0"/>
        <w:jc w:val="center"/>
      </w:pPr>
      <w:r>
        <w:rPr>
          <w:rFonts w:ascii="Times New Roman" w:eastAsia="黑体"/>
          <w:bCs/>
          <w:szCs w:val="21"/>
        </w:rPr>
        <w:drawing>
          <wp:inline distT="0" distB="0" distL="0" distR="0">
            <wp:extent cx="4358640" cy="1387475"/>
            <wp:effectExtent l="0" t="0" r="381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cstate="print"/>
                    <a:srcRect/>
                    <a:stretch>
                      <a:fillRect/>
                    </a:stretch>
                  </pic:blipFill>
                  <pic:spPr>
                    <a:xfrm>
                      <a:off x="0" y="0"/>
                      <a:ext cx="4358640" cy="1387475"/>
                    </a:xfrm>
                    <a:prstGeom prst="rect">
                      <a:avLst/>
                    </a:prstGeom>
                    <a:noFill/>
                    <a:ln w="9525">
                      <a:noFill/>
                      <a:miter lim="800000"/>
                      <a:headEnd/>
                      <a:tailEnd/>
                    </a:ln>
                  </pic:spPr>
                </pic:pic>
              </a:graphicData>
            </a:graphic>
          </wp:inline>
        </w:drawing>
      </w:r>
    </w:p>
    <w:p>
      <w:pPr>
        <w:pStyle w:val="83"/>
        <w:spacing w:before="156" w:after="156"/>
      </w:pPr>
      <w:r>
        <w:rPr>
          <w:rFonts w:hint="eastAsia"/>
        </w:rPr>
        <w:t>电气元器件（漆包线）涂装工艺流程</w:t>
      </w: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pPr>
    </w:p>
    <w:p>
      <w:pPr>
        <w:pStyle w:val="199"/>
      </w:pPr>
    </w:p>
    <w:p>
      <w:pPr>
        <w:pStyle w:val="76"/>
        <w:spacing w:after="156"/>
      </w:pPr>
      <w:r>
        <w:br w:type="textWrapping"/>
      </w:r>
      <w:bookmarkStart w:id="68" w:name="_Toc107759822"/>
      <w:bookmarkStart w:id="69" w:name="_Toc107759394"/>
      <w:r>
        <w:rPr>
          <w:rFonts w:hint="eastAsia"/>
        </w:rPr>
        <w:t>（资料性）</w:t>
      </w:r>
      <w:r>
        <w:br w:type="textWrapping"/>
      </w:r>
      <w:r>
        <w:rPr>
          <w:rFonts w:hint="eastAsia"/>
        </w:rPr>
        <w:t>涂装工艺废气收集技术</w:t>
      </w:r>
      <w:bookmarkEnd w:id="68"/>
      <w:bookmarkEnd w:id="69"/>
    </w:p>
    <w:p>
      <w:pPr>
        <w:pStyle w:val="78"/>
        <w:spacing w:before="156" w:after="156"/>
      </w:pPr>
      <w:r>
        <w:rPr>
          <w:rFonts w:hint="eastAsia"/>
        </w:rPr>
        <w:t>一般规定</w:t>
      </w:r>
    </w:p>
    <w:p>
      <w:pPr>
        <w:pStyle w:val="79"/>
        <w:spacing w:before="156" w:after="156"/>
        <w:rPr>
          <w:rFonts w:ascii="Times New Roman" w:eastAsia="宋体"/>
        </w:rPr>
      </w:pPr>
      <w:r>
        <w:rPr>
          <w:rFonts w:ascii="Times New Roman" w:eastAsia="宋体"/>
        </w:rPr>
        <w:t>应根据废气性质、排放方式及污染物种类、浓度等，分类收集工业涂装工序产生的废气。</w:t>
      </w:r>
    </w:p>
    <w:p>
      <w:pPr>
        <w:pStyle w:val="79"/>
        <w:spacing w:before="156" w:after="156"/>
        <w:rPr>
          <w:rFonts w:ascii="Times New Roman" w:eastAsia="宋体"/>
        </w:rPr>
      </w:pPr>
      <w:r>
        <w:rPr>
          <w:rFonts w:ascii="Times New Roman" w:eastAsia="宋体"/>
        </w:rPr>
        <w:t>废气收集可采用密闭罩（如局部密闭罩、整体密闭罩、大容积密闭罩）、外部罩（如上吸罩、下吸罩、侧吸罩等）等方式收集，应符合GB/T 16758要求，要遵循形式适宜、位置正确、风量适中、强度足够、检修方便等设计原则，罩口风速或控制点风速足以将发生源产生废气吸入罩内，确保达到最大限度收集废气。废气收集系统宜避免横向气流干扰。</w:t>
      </w:r>
    </w:p>
    <w:p>
      <w:pPr>
        <w:pStyle w:val="79"/>
        <w:spacing w:before="156" w:after="156"/>
        <w:rPr>
          <w:rFonts w:ascii="Times New Roman" w:eastAsia="宋体"/>
        </w:rPr>
      </w:pPr>
      <w:r>
        <w:rPr>
          <w:rFonts w:ascii="Times New Roman" w:eastAsia="宋体"/>
        </w:rPr>
        <w:t>采用外部罩收集时，应该根据不同的工艺操作要求和技术经济条件选择适宜的外部罩。设置有采暖设备或空调的车间，废气宜优先采用局部收集措施。采用外部排风罩的，应按GB/T 16758、AQ/T 4274规定的方法测量控制风速，测量点应选取在距排风罩开口面最远处的VOCs无组织排放位置，控制风速不应低于0.3 m/s（行业相关规范有具体规定的，按相关规定执行）。</w:t>
      </w:r>
    </w:p>
    <w:p>
      <w:pPr>
        <w:pStyle w:val="79"/>
        <w:spacing w:before="156" w:after="156"/>
        <w:rPr>
          <w:rFonts w:ascii="Times New Roman" w:eastAsia="宋体"/>
        </w:rPr>
      </w:pPr>
      <w:r>
        <w:rPr>
          <w:rFonts w:ascii="Times New Roman" w:eastAsia="宋体"/>
        </w:rPr>
        <w:t>采用密闭收集时，可根据实际需求采用生产线密闭或车间整体密闭的形式（如涂装车间、烘干车间、流平晾干车间等），换风次数应满足设计要求。</w:t>
      </w:r>
      <w:r>
        <w:rPr>
          <w:rFonts w:hint="eastAsia" w:ascii="Times New Roman" w:eastAsia="宋体"/>
          <w:lang w:val="en-US" w:eastAsia="zh-CN"/>
        </w:rPr>
        <w:t>在满足车间安全生产及职业卫生要求的基础上，</w:t>
      </w:r>
      <w:r>
        <w:rPr>
          <w:rFonts w:ascii="Times New Roman" w:eastAsia="宋体"/>
        </w:rPr>
        <w:t>生产线密闭</w:t>
      </w:r>
      <w:r>
        <w:rPr>
          <w:rFonts w:hint="eastAsia" w:ascii="Times New Roman" w:eastAsia="宋体"/>
          <w:lang w:val="en-US" w:eastAsia="zh-CN"/>
        </w:rPr>
        <w:t>形式的</w:t>
      </w:r>
      <w:r>
        <w:rPr>
          <w:rFonts w:ascii="Times New Roman" w:eastAsia="宋体"/>
        </w:rPr>
        <w:t>换风次数原则上不少于20 次/h，车间整体换风</w:t>
      </w:r>
      <w:r>
        <w:rPr>
          <w:rFonts w:hint="eastAsia" w:ascii="Times New Roman" w:eastAsia="宋体"/>
          <w:lang w:val="en-US" w:eastAsia="zh-CN"/>
        </w:rPr>
        <w:t>形式的换风</w:t>
      </w:r>
      <w:r>
        <w:rPr>
          <w:rFonts w:ascii="Times New Roman" w:eastAsia="宋体"/>
        </w:rPr>
        <w:t>次数原则上不少于8 次/h。</w:t>
      </w:r>
    </w:p>
    <w:p>
      <w:pPr>
        <w:pStyle w:val="79"/>
        <w:spacing w:before="156" w:after="156"/>
        <w:rPr>
          <w:rFonts w:ascii="Times New Roman" w:eastAsia="宋体"/>
        </w:rPr>
      </w:pPr>
      <w:r>
        <w:rPr>
          <w:rFonts w:ascii="Times New Roman" w:eastAsia="宋体"/>
        </w:rPr>
        <w:t>采用整体收集并且有人员在密闭空间中作业时，废气收集系统风量应同时考虑控制风速和有害物质的接触限值；气流组织宜确保送风或补风先经过人员呼吸带，并保证空间内无废气滞留死角。</w:t>
      </w:r>
    </w:p>
    <w:p>
      <w:pPr>
        <w:pStyle w:val="79"/>
        <w:spacing w:before="156" w:after="156"/>
        <w:rPr>
          <w:rFonts w:ascii="Times New Roman" w:eastAsia="宋体"/>
        </w:rPr>
      </w:pPr>
      <w:r>
        <w:rPr>
          <w:rFonts w:ascii="Times New Roman" w:eastAsia="宋体"/>
        </w:rPr>
        <w:t>纯颗粒物的收集系统应独立于VOCs收集系统，收集处理应符合相关规范要求。VOCs废气中的漆雾及颗粒物进入收集系统前应先进行除尘预处理。水帘柜（或水幕）需定期换水时，应做好换水台帐记录（包括换水水量、时间等），并确保换水废水达标排放。</w:t>
      </w:r>
    </w:p>
    <w:p>
      <w:pPr>
        <w:pStyle w:val="79"/>
        <w:spacing w:before="156" w:after="156"/>
        <w:rPr>
          <w:rFonts w:ascii="Times New Roman" w:eastAsia="宋体"/>
        </w:rPr>
      </w:pPr>
      <w:r>
        <w:rPr>
          <w:rFonts w:ascii="Times New Roman" w:eastAsia="宋体"/>
        </w:rPr>
        <w:t>VOCs污染气体的收集和输送应满足HJ 2000要求，管路应有明显的区分及走向标示。所有产生VOCs的密闭、半密闭空间原则上应保持微负压，并设置负压标识。</w:t>
      </w:r>
    </w:p>
    <w:p>
      <w:pPr>
        <w:pStyle w:val="79"/>
        <w:spacing w:before="156" w:after="156"/>
        <w:rPr>
          <w:rFonts w:ascii="Times New Roman" w:eastAsia="宋体"/>
        </w:rPr>
      </w:pPr>
      <w:r>
        <w:rPr>
          <w:rFonts w:ascii="Times New Roman" w:eastAsia="宋体"/>
        </w:rPr>
        <w:t>废气收集系统的输送管道应密闭。废气收集系统应在负压下运行，若处于正压状态，应对输送管道组件的密封点进行泄漏检测，泄漏检测值不应超过500 μmol/mol，亦不应有感官可察觉泄漏。废气收集的管路系统宜设置用于调节风量平衡的调节阀门。</w:t>
      </w:r>
    </w:p>
    <w:p>
      <w:pPr>
        <w:pStyle w:val="79"/>
        <w:spacing w:before="156" w:after="156"/>
        <w:rPr>
          <w:rFonts w:ascii="Times New Roman" w:eastAsia="宋体"/>
        </w:rPr>
      </w:pPr>
      <w:r>
        <w:rPr>
          <w:rFonts w:ascii="Times New Roman" w:eastAsia="宋体"/>
        </w:rPr>
        <w:t>废气收集系统应与生产设备同步运行，VOCs废气收集处理系统发生故障或检修时，对应的生产工艺设备应停止运行，待检修完毕后同步投入使用；生产工艺设备不能停止运行或不能及时停止运行的，应设置废气应急处理设施或采取其他替代措施。</w:t>
      </w:r>
    </w:p>
    <w:p>
      <w:pPr>
        <w:pStyle w:val="79"/>
        <w:spacing w:before="156" w:after="156"/>
      </w:pPr>
      <w:r>
        <w:rPr>
          <w:rFonts w:ascii="Times New Roman" w:eastAsia="宋体"/>
        </w:rPr>
        <w:t>废气排风量应纳入车间的风量平衡计算；对于有洁净度和压差要求的车间，压差控制应考虑排风量的影响。</w:t>
      </w:r>
    </w:p>
    <w:p>
      <w:pPr>
        <w:pStyle w:val="78"/>
        <w:spacing w:before="156" w:after="156"/>
      </w:pPr>
      <w:r>
        <w:rPr>
          <w:rFonts w:hint="eastAsia"/>
        </w:rPr>
        <w:t>工艺过程废气收集规定</w:t>
      </w:r>
    </w:p>
    <w:p>
      <w:pPr>
        <w:pStyle w:val="79"/>
        <w:spacing w:before="156" w:after="156"/>
        <w:rPr>
          <w:rFonts w:ascii="Times New Roman" w:eastAsia="宋体"/>
        </w:rPr>
      </w:pPr>
      <w:r>
        <w:rPr>
          <w:rFonts w:ascii="Times New Roman" w:eastAsia="宋体"/>
        </w:rPr>
        <w:t>涂装、流平、干燥等产生VOCs 的过程应采用密闭设备或在密闭空间内操作，废气收集至VOCs处理系统；无法密闭的，应采取局部气体收集措施，废气收集至VOCs处理系统。</w:t>
      </w:r>
    </w:p>
    <w:p>
      <w:pPr>
        <w:pStyle w:val="79"/>
        <w:spacing w:before="156" w:after="156"/>
        <w:rPr>
          <w:rFonts w:ascii="Times New Roman" w:eastAsia="宋体"/>
        </w:rPr>
      </w:pPr>
      <w:r>
        <w:rPr>
          <w:rFonts w:ascii="Times New Roman" w:eastAsia="宋体"/>
        </w:rPr>
        <w:t>调漆间宜设置局部排风或整体排风系统。</w:t>
      </w:r>
    </w:p>
    <w:p>
      <w:pPr>
        <w:pStyle w:val="79"/>
        <w:spacing w:before="156" w:after="156"/>
        <w:rPr>
          <w:rFonts w:ascii="Times New Roman" w:eastAsia="宋体"/>
        </w:rPr>
      </w:pPr>
      <w:r>
        <w:rPr>
          <w:rFonts w:ascii="Times New Roman" w:eastAsia="宋体"/>
        </w:rPr>
        <w:t>温度较高的烘干废气不宜与喷涂、流平废气混合收集处理。</w:t>
      </w:r>
    </w:p>
    <w:p>
      <w:pPr>
        <w:pStyle w:val="79"/>
        <w:spacing w:before="156" w:after="156"/>
        <w:rPr>
          <w:rFonts w:ascii="Times New Roman" w:eastAsia="宋体"/>
        </w:rPr>
      </w:pPr>
      <w:r>
        <w:rPr>
          <w:rFonts w:ascii="Times New Roman" w:eastAsia="宋体"/>
        </w:rPr>
        <w:t>涂装、流平、干燥等车间应根据相应的技术规范和工艺要求设计合理的通风量，不可通过加大送排风量或其他通风措施稀释排放。</w:t>
      </w:r>
    </w:p>
    <w:p>
      <w:pPr>
        <w:pStyle w:val="79"/>
        <w:spacing w:before="156" w:after="156"/>
        <w:rPr>
          <w:rFonts w:ascii="Times New Roman" w:eastAsia="宋体"/>
        </w:rPr>
      </w:pPr>
      <w:r>
        <w:rPr>
          <w:rFonts w:ascii="Times New Roman" w:eastAsia="宋体"/>
        </w:rPr>
        <w:t>采用低挥发性涂料的工段，宜与溶剂型涂料喷漆废气分开收集处理。</w:t>
      </w:r>
    </w:p>
    <w:p>
      <w:pPr>
        <w:pStyle w:val="79"/>
        <w:spacing w:before="156" w:after="156"/>
        <w:rPr>
          <w:rFonts w:ascii="Times New Roman" w:eastAsia="宋体"/>
        </w:rPr>
      </w:pPr>
      <w:r>
        <w:rPr>
          <w:rFonts w:ascii="Times New Roman" w:eastAsia="宋体"/>
        </w:rPr>
        <w:t>采用烘箱进行序批式烘干的工序，需通过密闭区域换风方式或在开口处顶部设置吸风罩，将废气排至VOCs废气收集处理系统。</w:t>
      </w:r>
    </w:p>
    <w:p>
      <w:pPr>
        <w:pStyle w:val="79"/>
        <w:spacing w:before="156" w:after="156"/>
        <w:rPr>
          <w:rFonts w:ascii="Times New Roman" w:eastAsia="宋体"/>
        </w:rPr>
      </w:pPr>
      <w:r>
        <w:rPr>
          <w:rFonts w:ascii="Times New Roman" w:eastAsia="宋体"/>
        </w:rPr>
        <w:t>其他无组织废气收集宜优先采用整体收集的形式；在不具备整体收集条件的情况下，宜采用外部罩进行收集。</w:t>
      </w:r>
    </w:p>
    <w:bookmarkEnd w:id="65"/>
    <w:p>
      <w:pPr>
        <w:pStyle w:val="56"/>
        <w:ind w:firstLine="0" w:firstLineChars="0"/>
        <w:jc w:val="center"/>
      </w:pPr>
      <w:bookmarkStart w:id="70" w:name="BookMark8"/>
      <w:r>
        <w:rPr>
          <w:rFonts w:hint="eastAsia"/>
        </w:rPr>
        <w:drawing>
          <wp:inline distT="0" distB="0" distL="0" distR="0">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AES" w:cryptAlgorithmClass="hash" w:cryptAlgorithmType="typeAny" w:cryptAlgorithmSid="14" w:cryptSpinCount="100000" w:hash="o6g8IkN26sxcYJW/zF4bu8Lx9jusidGoDxrVTPLM51MWPYOC+RXHijkOvsUrgdpmaSwg3e2PoCGshvjf6RItdg==" w:salt="BcxY8LzQ0ZixC6L6Zk0Im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A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C4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4F25"/>
    <w:rsid w:val="000F633F"/>
    <w:rsid w:val="000F67E9"/>
    <w:rsid w:val="00104926"/>
    <w:rsid w:val="0011049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496"/>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B04"/>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FB0"/>
    <w:rsid w:val="006C1BBA"/>
    <w:rsid w:val="006C2079"/>
    <w:rsid w:val="006C442F"/>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303"/>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4FC"/>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94"/>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A63"/>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5A9"/>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8F7"/>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982"/>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E2C"/>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6200"/>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6DE7"/>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CBA0771"/>
    <w:rsid w:val="18532DBC"/>
    <w:rsid w:val="186A2B9B"/>
    <w:rsid w:val="195F43AD"/>
    <w:rsid w:val="1DE849B8"/>
    <w:rsid w:val="23A37585"/>
    <w:rsid w:val="25523A55"/>
    <w:rsid w:val="28961ECA"/>
    <w:rsid w:val="2A7E0BCD"/>
    <w:rsid w:val="2C42462B"/>
    <w:rsid w:val="34B86121"/>
    <w:rsid w:val="35A34935"/>
    <w:rsid w:val="3B170076"/>
    <w:rsid w:val="3C9B5FFF"/>
    <w:rsid w:val="431E7DB3"/>
    <w:rsid w:val="47CB5CA1"/>
    <w:rsid w:val="4A872000"/>
    <w:rsid w:val="4FF5653C"/>
    <w:rsid w:val="56D4747C"/>
    <w:rsid w:val="5BF736EF"/>
    <w:rsid w:val="6CB622D5"/>
    <w:rsid w:val="6D7A36CB"/>
    <w:rsid w:val="6DCB136F"/>
    <w:rsid w:val="736F7BCE"/>
    <w:rsid w:val="7D2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39" w:semiHidden="0" w:name="Table Grid"/>
    <w:lsdException w:unhideWhenUsed="0"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jpe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3A57B86089449684FA9F2103BACCB3"/>
        <w:style w:val=""/>
        <w:category>
          <w:name w:val="常规"/>
          <w:gallery w:val="placeholder"/>
        </w:category>
        <w:types>
          <w:type w:val="bbPlcHdr"/>
        </w:types>
        <w:behaviors>
          <w:behavior w:val="content"/>
        </w:behaviors>
        <w:description w:val=""/>
        <w:guid w:val="{9BF9A6C5-F872-41A7-9F62-A406289BDA47}"/>
      </w:docPartPr>
      <w:docPartBody>
        <w:p>
          <w:pPr>
            <w:pStyle w:val="5"/>
          </w:pPr>
          <w:r>
            <w:rPr>
              <w:rStyle w:val="4"/>
              <w:rFonts w:hint="eastAsia"/>
            </w:rPr>
            <w:t>单击或点击此处输入文字。</w:t>
          </w:r>
        </w:p>
      </w:docPartBody>
    </w:docPart>
    <w:docPart>
      <w:docPartPr>
        <w:name w:val="48F57B29F0C44A23B1B6BE149537192C"/>
        <w:style w:val=""/>
        <w:category>
          <w:name w:val="常规"/>
          <w:gallery w:val="placeholder"/>
        </w:category>
        <w:types>
          <w:type w:val="bbPlcHdr"/>
        </w:types>
        <w:behaviors>
          <w:behavior w:val="content"/>
        </w:behaviors>
        <w:description w:val=""/>
        <w:guid w:val="{EA60594F-FE29-4064-967B-493461973DD6}"/>
      </w:docPartPr>
      <w:docPartBody>
        <w:p>
          <w:pPr>
            <w:pStyle w:val="6"/>
          </w:pPr>
          <w:r>
            <w:rPr>
              <w:rStyle w:val="4"/>
              <w:rFonts w:hint="eastAsia"/>
            </w:rPr>
            <w:t>选择一项。</w:t>
          </w:r>
        </w:p>
      </w:docPartBody>
    </w:docPart>
    <w:docPart>
      <w:docPartPr>
        <w:name w:val="0D8D9A33F2DF423C81C660CF66D90399"/>
        <w:style w:val=""/>
        <w:category>
          <w:name w:val="常规"/>
          <w:gallery w:val="placeholder"/>
        </w:category>
        <w:types>
          <w:type w:val="bbPlcHdr"/>
        </w:types>
        <w:behaviors>
          <w:behavior w:val="content"/>
        </w:behaviors>
        <w:description w:val=""/>
        <w:guid w:val="{4F605B71-26FA-4902-A6B3-F5CCB45240E3}"/>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93"/>
    <w:rsid w:val="00456955"/>
    <w:rsid w:val="00744ED9"/>
    <w:rsid w:val="00786493"/>
    <w:rsid w:val="00EA2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23A57B86089449684FA9F2103BACCB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8F57B29F0C44A23B1B6BE149537192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D8D9A33F2DF423C81C660CF66D9039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906F8-B706-4569-A53B-84DEEB0BE591}">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15</Pages>
  <Words>1558</Words>
  <Characters>8886</Characters>
  <Lines>74</Lines>
  <Paragraphs>20</Paragraphs>
  <TotalTime>0</TotalTime>
  <ScaleCrop>false</ScaleCrop>
  <LinksUpToDate>false</LinksUpToDate>
  <CharactersWithSpaces>10424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2022-07-03T05:40:00Z</dcterms:created>
  <dc:creator>徐志荣</dc:creator>
  <dc:description>&lt;config cover="true" show_menu="true" version="1.0.0" doctype="SDKXY"&gt;_x000d_
&lt;/config&gt;</dc:description>
  <cp:lastModifiedBy>THINK</cp:lastModifiedBy>
  <cp:lastPrinted>2020-08-30T10:00:00Z</cp:lastPrinted>
  <dcterms:modified xsi:type="dcterms:W3CDTF">2025-09-26T02:27:23Z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2052-11.8.2.12118</vt:lpwstr>
  </property>
  <property fmtid="{D5CDD505-2E9C-101B-9397-08002B2CF9AE}" pid="15" name="ICV">
    <vt:lpwstr>CEF45A9F1A6C41CD97BA8BB7339B6BE7</vt:lpwstr>
  </property>
</Properties>
</file>