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1802CA">
      <w:pPr>
        <w:pStyle w:val="15"/>
        <w:framePr w:wrap="around"/>
        <w:rPr>
          <w:rFonts w:ascii="黑体" w:hAnsi="黑体" w:cs="黑体"/>
        </w:rPr>
      </w:pPr>
      <w:bookmarkStart w:id="0" w:name="SectionMark0"/>
      <w:r>
        <w:rPr>
          <w:rFonts w:hint="eastAsia" w:ascii="黑体" w:hAnsi="黑体" w:cs="黑体"/>
        </w:rPr>
        <w:t>ICS 67.120.10</w:t>
      </w:r>
    </w:p>
    <w:p w14:paraId="6F78D913">
      <w:pPr>
        <w:pStyle w:val="15"/>
        <w:framePr w:wrap="around"/>
        <w:rPr>
          <w:rFonts w:ascii="黑体" w:hAnsi="黑体" w:cs="黑体"/>
        </w:rPr>
      </w:pPr>
      <w:r>
        <w:rPr>
          <w:rFonts w:hint="eastAsia" w:ascii="黑体" w:hAnsi="黑体" w:cs="黑体"/>
        </w:rPr>
        <w:t>CCS X22</w:t>
      </w:r>
    </w:p>
    <w:p w14:paraId="05B7DFBF">
      <w:pPr>
        <w:pStyle w:val="16"/>
      </w:pPr>
      <w:r>
        <mc:AlternateContent>
          <mc:Choice Requires="wps">
            <w:drawing>
              <wp:anchor distT="0" distB="0" distL="114300" distR="114300" simplePos="0" relativeHeight="251662336" behindDoc="0" locked="0" layoutInCell="1" allowOverlap="1">
                <wp:simplePos x="0" y="0"/>
                <wp:positionH relativeFrom="column">
                  <wp:posOffset>-180340</wp:posOffset>
                </wp:positionH>
                <wp:positionV relativeFrom="paragraph">
                  <wp:posOffset>2273300</wp:posOffset>
                </wp:positionV>
                <wp:extent cx="6121400" cy="0"/>
                <wp:effectExtent l="0" t="6350" r="0" b="6350"/>
                <wp:wrapNone/>
                <wp:docPr id="64" name="Line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0" o:spid="_x0000_s1026" o:spt="20" style="position:absolute;left:0pt;margin-left:-14.2pt;margin-top:179pt;height:0pt;width:482pt;z-index:251662336;mso-width-relative:page;mso-height-relative:page;" filled="f" stroked="t" coordsize="21600,21600" o:gfxdata="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5WUCPaAAAACwEAAA8AAAAAAAAAAQAgAAAAIgAAAGRy&#10;cy9kb3ducmV2LnhtbFBLAQIUABQAAAAIAIdO4kB82YOQygEAAKIDAAAOAAAAAAAAAAEAIAAAACkB&#10;AABkcnMvZTJvRG9jLnhtbFBLBQYAAAAABgAGAFkBAABlBQ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3875405</wp:posOffset>
                </wp:positionH>
                <wp:positionV relativeFrom="margin">
                  <wp:posOffset>8563610</wp:posOffset>
                </wp:positionV>
                <wp:extent cx="2019300" cy="312420"/>
                <wp:effectExtent l="0" t="0" r="0" b="11430"/>
                <wp:wrapNone/>
                <wp:docPr id="62"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9C4E945">
                            <w:pPr>
                              <w:pStyle w:val="27"/>
                              <w:numPr>
                                <w:ilvl w:val="0"/>
                                <w:numId w:val="0"/>
                              </w:numPr>
                            </w:pPr>
                            <w:r>
                              <w:rPr>
                                <w:rFonts w:hint="eastAsia" w:ascii="黑体" w:hAnsi="黑体" w:cs="黑体"/>
                              </w:rPr>
                              <w:t>2025-08-28</w:t>
                            </w:r>
                            <w:r>
                              <w:rPr>
                                <w:rFonts w:hint="eastAsia"/>
                              </w:rPr>
                              <w:t>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05.15pt;margin-top:674.3pt;height:24.6pt;width:159pt;mso-position-horizontal-relative:margin;mso-position-vertical-relative:margin;z-index:251660288;mso-width-relative:page;mso-height-relative:page;" fillcolor="#FFFFFF" filled="t" stroked="f" coordsize="21600,21600" o:gfxdata="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5z183aAAAADQEAAA8AAAAAAAAA&#10;AQAgAAAAIgAAAGRycy9kb3ducmV2LnhtbFBLAQIUABQAAAAIAIdO4kDkhqGgDwIAACwEAAAOAAAA&#10;AAAAAAEAIAAAACkBAABkcnMvZTJvRG9jLnhtbFBLBQYAAAAABgAGAFkBAACqBQAAAAA=&#10;">
                <v:fill on="t" focussize="0,0"/>
                <v:stroke on="f"/>
                <v:imagedata o:title=""/>
                <o:lock v:ext="edit" aspectratio="f"/>
                <v:textbox inset="0mm,0mm,0mm,0mm">
                  <w:txbxContent>
                    <w:p w14:paraId="69C4E945">
                      <w:pPr>
                        <w:pStyle w:val="27"/>
                        <w:numPr>
                          <w:ilvl w:val="0"/>
                          <w:numId w:val="0"/>
                        </w:numPr>
                      </w:pPr>
                      <w:r>
                        <w:rPr>
                          <w:rFonts w:hint="eastAsia" w:ascii="黑体" w:hAnsi="黑体" w:cs="黑体"/>
                        </w:rPr>
                        <w:t>2025-08-28</w:t>
                      </w:r>
                      <w:r>
                        <w:rPr>
                          <w:rFonts w:hint="eastAsia"/>
                        </w:rPr>
                        <w:t>实施</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-78105</wp:posOffset>
                </wp:positionH>
                <wp:positionV relativeFrom="margin">
                  <wp:posOffset>8576945</wp:posOffset>
                </wp:positionV>
                <wp:extent cx="2019300" cy="312420"/>
                <wp:effectExtent l="0" t="0" r="0" b="11430"/>
                <wp:wrapNone/>
                <wp:docPr id="61"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1C5E8812">
                            <w:pPr>
                              <w:pStyle w:val="28"/>
                            </w:pPr>
                            <w:r>
                              <w:rPr>
                                <w:rFonts w:hint="eastAsia" w:ascii="黑体" w:hAnsi="黑体" w:cs="黑体"/>
                              </w:rPr>
                              <w:t>2025-02-28</w:t>
                            </w:r>
                            <w:r>
                              <w:rPr>
                                <w:rFonts w:hint="eastAsia"/>
                              </w:rPr>
                              <w:t>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6.15pt;margin-top:675.35pt;height:24.6pt;width:159pt;mso-position-horizontal-relative:margin;mso-position-vertical-relative:margin;z-index:251659264;mso-width-relative:page;mso-height-relative:page;" fillcolor="#FFFFFF" filled="t" stroked="f" coordsize="21600,21600" o:gfxdata="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Bs3ru2wAAAA0BAAAPAAAAAAAA&#10;AAEAIAAAACIAAABkcnMvZG93bnJldi54bWxQSwECFAAUAAAACACHTuJA/hyiQA8CAAAsBAAADgAA&#10;AAAAAAABACAAAAAqAQAAZHJzL2Uyb0RvYy54bWxQSwUGAAAAAAYABgBZAQAAqwUAAAAA&#10;">
                <v:fill on="t" focussize="0,0"/>
                <v:stroke on="f"/>
                <v:imagedata o:title=""/>
                <o:lock v:ext="edit" aspectratio="f"/>
                <v:textbox inset="0mm,0mm,0mm,0mm">
                  <w:txbxContent>
                    <w:p w14:paraId="1C5E8812">
                      <w:pPr>
                        <w:pStyle w:val="28"/>
                      </w:pPr>
                      <w:r>
                        <w:rPr>
                          <w:rFonts w:hint="eastAsia" w:ascii="黑体" w:hAnsi="黑体" w:cs="黑体"/>
                        </w:rPr>
                        <w:t>2025-02-28</w:t>
                      </w:r>
                      <w:r>
                        <w:rPr>
                          <w:rFonts w:hint="eastAsia"/>
                        </w:rPr>
                        <w:t>发布</w:t>
                      </w:r>
                    </w:p>
                  </w:txbxContent>
                </v:textbox>
                <w10:anchorlock/>
              </v:shape>
            </w:pict>
          </mc:Fallback>
        </mc:AlternateContent>
      </w:r>
      <w:r>
        <w:rPr>
          <w:rFonts w:ascii="宋体" w:hAnsi="宋体" w:cs="宋体"/>
        </w:rPr>
        <mc:AlternateContent>
          <mc:Choice Requires="wps">
            <w:drawing>
              <wp:anchor distT="0" distB="0" distL="114300" distR="114300" simplePos="0" relativeHeight="251666432" behindDoc="0" locked="1" layoutInCell="1" allowOverlap="1">
                <wp:simplePos x="0" y="0"/>
                <wp:positionH relativeFrom="margin">
                  <wp:posOffset>-104140</wp:posOffset>
                </wp:positionH>
                <wp:positionV relativeFrom="margin">
                  <wp:posOffset>3635375</wp:posOffset>
                </wp:positionV>
                <wp:extent cx="5969000" cy="4525645"/>
                <wp:effectExtent l="0" t="0" r="12700" b="825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5969000" cy="4525645"/>
                        </a:xfrm>
                        <a:prstGeom prst="rect">
                          <a:avLst/>
                        </a:prstGeom>
                        <a:solidFill>
                          <a:srgbClr val="FFFFFF"/>
                        </a:solidFill>
                        <a:ln>
                          <a:noFill/>
                        </a:ln>
                        <a:effectLst/>
                      </wps:spPr>
                      <wps:txbx>
                        <w:txbxContent>
                          <w:p w14:paraId="51532D00">
                            <w:pPr>
                              <w:pStyle w:val="29"/>
                              <w:spacing w:before="0" w:line="240" w:lineRule="auto"/>
                              <w:rPr>
                                <w:rFonts w:eastAsia="黑体"/>
                                <w:sz w:val="52"/>
                                <w:szCs w:val="22"/>
                              </w:rPr>
                            </w:pPr>
                            <w:r>
                              <w:rPr>
                                <w:rFonts w:hint="eastAsia" w:eastAsia="黑体"/>
                                <w:sz w:val="52"/>
                                <w:szCs w:val="22"/>
                              </w:rPr>
                              <w:t>通辽肉牛饲养管理技术规程</w:t>
                            </w:r>
                          </w:p>
                          <w:p w14:paraId="4621FC33">
                            <w:pPr>
                              <w:pStyle w:val="29"/>
                              <w:spacing w:before="0" w:line="240" w:lineRule="auto"/>
                              <w:rPr>
                                <w:rFonts w:ascii="黑体" w:hAnsi="黑体" w:eastAsia="黑体" w:cs="黑体"/>
                                <w:szCs w:val="28"/>
                              </w:rPr>
                            </w:pPr>
                            <w:r>
                              <w:rPr>
                                <w:rFonts w:hint="eastAsia" w:ascii="黑体" w:hAnsi="黑体" w:eastAsia="黑体" w:cs="黑体"/>
                                <w:szCs w:val="28"/>
                              </w:rPr>
                              <w:t>Technical Regulations for the Feeding and Management of Tongliao Beef Cattle</w:t>
                            </w:r>
                          </w:p>
                          <w:p w14:paraId="1D40083B">
                            <w:pPr>
                              <w:pStyle w:val="29"/>
                              <w:spacing w:before="0" w:line="240" w:lineRule="auto"/>
                              <w:rPr>
                                <w:sz w:val="21"/>
                                <w:szCs w:val="21"/>
                              </w:rPr>
                            </w:pPr>
                          </w:p>
                          <w:p w14:paraId="69AFDC2D">
                            <w:pPr>
                              <w:pStyle w:val="29"/>
                              <w:spacing w:before="0" w:line="240" w:lineRule="auto"/>
                              <w:rPr>
                                <w:rFonts w:ascii="黑体" w:hAnsi="黑体" w:eastAsia="黑体" w:cs="黑体"/>
                                <w:sz w:val="24"/>
                                <w:szCs w:val="24"/>
                              </w:rPr>
                            </w:pPr>
                            <w:r>
                              <w:rPr>
                                <w:sz w:val="24"/>
                                <w:szCs w:val="24"/>
                              </w:rPr>
                              <w:t>（征求意见稿）</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8.2pt;margin-top:286.25pt;height:356.35pt;width:470pt;mso-position-horizontal-relative:margin;mso-position-vertical-relative:margin;z-index:251666432;mso-width-relative:page;mso-height-relative:page;" fillcolor="#FFFFFF" filled="t" stroked="f" coordsize="21600,21600" o:gfxdata="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f9OV42wAAAAwBAAAPAAAAAAAAAAEAIAAAACIAAABkcnMvZG93bnJldi54bWxQSwECFAAU&#10;AAAACACHTuJAPp20yScCAAA9BAAADgAAAAAAAAABACAAAAAqAQAAZHJzL2Uyb0RvYy54bWxQSwUG&#10;AAAAAAYABgBZAQAAwwUAAAAA&#10;">
                <v:fill on="t" focussize="0,0"/>
                <v:stroke on="f"/>
                <v:imagedata o:title=""/>
                <o:lock v:ext="edit" aspectratio="f"/>
                <v:textbox inset="0mm,0mm,0mm,0mm">
                  <w:txbxContent>
                    <w:p w14:paraId="51532D00">
                      <w:pPr>
                        <w:pStyle w:val="29"/>
                        <w:spacing w:before="0" w:line="240" w:lineRule="auto"/>
                        <w:rPr>
                          <w:rFonts w:eastAsia="黑体"/>
                          <w:sz w:val="52"/>
                          <w:szCs w:val="22"/>
                        </w:rPr>
                      </w:pPr>
                      <w:r>
                        <w:rPr>
                          <w:rFonts w:hint="eastAsia" w:eastAsia="黑体"/>
                          <w:sz w:val="52"/>
                          <w:szCs w:val="22"/>
                        </w:rPr>
                        <w:t>通辽肉牛饲养管理技术规程</w:t>
                      </w:r>
                    </w:p>
                    <w:p w14:paraId="4621FC33">
                      <w:pPr>
                        <w:pStyle w:val="29"/>
                        <w:spacing w:before="0" w:line="240" w:lineRule="auto"/>
                        <w:rPr>
                          <w:rFonts w:ascii="黑体" w:hAnsi="黑体" w:eastAsia="黑体" w:cs="黑体"/>
                          <w:szCs w:val="28"/>
                        </w:rPr>
                      </w:pPr>
                      <w:r>
                        <w:rPr>
                          <w:rFonts w:hint="eastAsia" w:ascii="黑体" w:hAnsi="黑体" w:eastAsia="黑体" w:cs="黑体"/>
                          <w:szCs w:val="28"/>
                        </w:rPr>
                        <w:t>Technical Regulations for the Feeding and Management of Tongliao Beef Cattle</w:t>
                      </w:r>
                    </w:p>
                    <w:p w14:paraId="1D40083B">
                      <w:pPr>
                        <w:pStyle w:val="29"/>
                        <w:spacing w:before="0" w:line="240" w:lineRule="auto"/>
                        <w:rPr>
                          <w:sz w:val="21"/>
                          <w:szCs w:val="21"/>
                        </w:rPr>
                      </w:pPr>
                    </w:p>
                    <w:p w14:paraId="69AFDC2D">
                      <w:pPr>
                        <w:pStyle w:val="29"/>
                        <w:spacing w:before="0" w:line="240" w:lineRule="auto"/>
                        <w:rPr>
                          <w:rFonts w:ascii="黑体" w:hAnsi="黑体" w:eastAsia="黑体" w:cs="黑体"/>
                          <w:sz w:val="24"/>
                          <w:szCs w:val="24"/>
                        </w:rPr>
                      </w:pPr>
                      <w:r>
                        <w:rPr>
                          <w:sz w:val="24"/>
                          <w:szCs w:val="24"/>
                        </w:rPr>
                        <w:t>（征求意见稿）</w:t>
                      </w:r>
                    </w:p>
                  </w:txbxContent>
                </v:textbox>
                <w10:anchorlock/>
              </v:shape>
            </w:pict>
          </mc:Fallback>
        </mc:AlternateContent>
      </w:r>
      <w:r>
        <w:rPr>
          <w:rFonts w:ascii="宋体" w:hAnsi="宋体" w:cs="宋体"/>
        </w:rPr>
        <mc:AlternateContent>
          <mc:Choice Requires="wps">
            <w:drawing>
              <wp:anchor distT="0" distB="0" distL="114300" distR="114300" simplePos="0" relativeHeight="251664384" behindDoc="0" locked="1" layoutInCell="1" allowOverlap="1">
                <wp:simplePos x="0" y="0"/>
                <wp:positionH relativeFrom="margin">
                  <wp:posOffset>-20955</wp:posOffset>
                </wp:positionH>
                <wp:positionV relativeFrom="margin">
                  <wp:posOffset>1401445</wp:posOffset>
                </wp:positionV>
                <wp:extent cx="5802630" cy="860425"/>
                <wp:effectExtent l="0" t="0" r="7620" b="15875"/>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ffectLst/>
                      </wps:spPr>
                      <wps:txbx>
                        <w:txbxContent>
                          <w:p w14:paraId="392327B1">
                            <w:pPr>
                              <w:pStyle w:val="30"/>
                              <w:spacing w:before="510"/>
                              <w:ind w:left="420" w:hanging="420"/>
                              <w:rPr>
                                <w:rFonts w:ascii="黑体" w:hAnsi="黑体" w:eastAsia="黑体" w:cs="黑体"/>
                              </w:rPr>
                            </w:pPr>
                            <w:r>
                              <w:rPr>
                                <w:rFonts w:hint="eastAsia" w:ascii="黑体" w:hAnsi="黑体" w:eastAsia="黑体" w:cs="黑体"/>
                              </w:rPr>
                              <w:t>T/CMATB xxxx—2025</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65pt;margin-top:110.35pt;height:67.75pt;width:456.9pt;mso-position-horizontal-relative:margin;mso-position-vertical-relative:margin;z-index:251664384;mso-width-relative:page;mso-height-relative:page;" fillcolor="#FFFFFF" filled="t" stroked="f" coordsize="21600,21600" o:gfxdata="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QEtlh2gAAAAoBAAAPAAAAAAAAAAEAIAAAACIAAABkcnMvZG93bnJldi54bWxQSwECFAAUAAAA&#10;CACHTuJAWqlXNiUCAAA8BAAADgAAAAAAAAABACAAAAApAQAAZHJzL2Uyb0RvYy54bWxQSwUGAAAA&#10;AAYABgBZAQAAwAUAAAAA&#10;">
                <v:fill on="t" focussize="0,0"/>
                <v:stroke on="f"/>
                <v:imagedata o:title=""/>
                <o:lock v:ext="edit" aspectratio="f"/>
                <v:textbox inset="0mm,0mm,0mm,0mm">
                  <w:txbxContent>
                    <w:p w14:paraId="392327B1">
                      <w:pPr>
                        <w:pStyle w:val="30"/>
                        <w:spacing w:before="510"/>
                        <w:ind w:left="420" w:hanging="420"/>
                        <w:rPr>
                          <w:rFonts w:ascii="黑体" w:hAnsi="黑体" w:eastAsia="黑体" w:cs="黑体"/>
                        </w:rPr>
                      </w:pPr>
                      <w:r>
                        <w:rPr>
                          <w:rFonts w:hint="eastAsia" w:ascii="黑体" w:hAnsi="黑体" w:eastAsia="黑体" w:cs="黑体"/>
                        </w:rPr>
                        <w:t>T/CMATB xxxx—2025</w:t>
                      </w:r>
                    </w:p>
                  </w:txbxContent>
                </v:textbox>
                <w10:anchorlock/>
              </v:shape>
            </w:pict>
          </mc:Fallback>
        </mc:AlternateContent>
      </w:r>
      <w:r>
        <w:rPr>
          <w:rFonts w:ascii="宋体" w:hAnsi="宋体" w:cs="宋体"/>
        </w:rPr>
        <mc:AlternateContent>
          <mc:Choice Requires="wps">
            <w:drawing>
              <wp:anchor distT="0" distB="0" distL="114300" distR="114300" simplePos="0" relativeHeight="251665408" behindDoc="0" locked="1" layoutInCell="1" allowOverlap="1">
                <wp:simplePos x="0" y="0"/>
                <wp:positionH relativeFrom="margin">
                  <wp:posOffset>453390</wp:posOffset>
                </wp:positionH>
                <wp:positionV relativeFrom="margin">
                  <wp:posOffset>1010920</wp:posOffset>
                </wp:positionV>
                <wp:extent cx="5027930" cy="391160"/>
                <wp:effectExtent l="0" t="0" r="1270" b="889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5027930" cy="391160"/>
                        </a:xfrm>
                        <a:prstGeom prst="rect">
                          <a:avLst/>
                        </a:prstGeom>
                        <a:solidFill>
                          <a:srgbClr val="FFFFFF"/>
                        </a:solidFill>
                        <a:ln>
                          <a:noFill/>
                        </a:ln>
                        <a:effectLst/>
                      </wps:spPr>
                      <wps:txbx>
                        <w:txbxContent>
                          <w:p w14:paraId="73421048">
                            <w:pPr>
                              <w:pStyle w:val="31"/>
                            </w:pPr>
                            <w:r>
                              <w:rPr>
                                <w:rFonts w:hint="eastAsia"/>
                                <w:szCs w:val="52"/>
                              </w:rPr>
                              <w:t>团体标准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5.7pt;margin-top:79.6pt;height:30.8pt;width:395.9pt;mso-position-horizontal-relative:margin;mso-position-vertical-relative:margin;z-index:251665408;mso-width-relative:page;mso-height-relative:page;" fillcolor="#FFFFFF" filled="t" stroked="f" coordsize="21600,21600" o:gfxdata="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x0Jm2AAAAAoBAAAPAAAAAAAAAAEAIAAAACIAAABkcnMvZG93bnJldi54bWxQSwECFAAUAAAA&#10;CACHTuJAUqVJ6ScCAAA8BAAADgAAAAAAAAABACAAAAAnAQAAZHJzL2Uyb0RvYy54bWxQSwUGAAAA&#10;AAYABgBZAQAAwAUAAAAA&#10;">
                <v:fill on="t" focussize="0,0"/>
                <v:stroke on="f"/>
                <v:imagedata o:title=""/>
                <o:lock v:ext="edit" aspectratio="f"/>
                <v:textbox inset="0mm,0mm,0mm,0mm">
                  <w:txbxContent>
                    <w:p w14:paraId="73421048">
                      <w:pPr>
                        <w:pStyle w:val="31"/>
                      </w:pPr>
                      <w:r>
                        <w:rPr>
                          <w:rFonts w:hint="eastAsia"/>
                          <w:szCs w:val="52"/>
                        </w:rPr>
                        <w:t>团体标准</w:t>
                      </w:r>
                    </w:p>
                  </w:txbxContent>
                </v:textbox>
                <w10:anchorlock/>
              </v:shape>
            </w:pict>
          </mc:Fallback>
        </mc:AlternateContent>
      </w:r>
    </w:p>
    <w:p w14:paraId="438CE425"/>
    <w:p w14:paraId="1D41B5B1"/>
    <w:p w14:paraId="156076E3"/>
    <w:p w14:paraId="4C2CB718"/>
    <w:p w14:paraId="23B87537"/>
    <w:p w14:paraId="3E477ED1"/>
    <w:p w14:paraId="40F4C392"/>
    <w:p w14:paraId="7A525871"/>
    <w:p w14:paraId="38566AB5"/>
    <w:p w14:paraId="74D548D4"/>
    <w:p w14:paraId="5438D6F4"/>
    <w:p w14:paraId="35AFB655"/>
    <w:p w14:paraId="416A20DC"/>
    <w:p w14:paraId="79F687A1">
      <w:pPr>
        <w:tabs>
          <w:tab w:val="left" w:pos="8445"/>
        </w:tabs>
      </w:pPr>
      <w:r>
        <mc:AlternateContent>
          <mc:Choice Requires="wps">
            <w:drawing>
              <wp:anchor distT="0" distB="0" distL="114300" distR="114300" simplePos="0" relativeHeight="251663360" behindDoc="0" locked="0" layoutInCell="1" allowOverlap="1">
                <wp:simplePos x="0" y="0"/>
                <wp:positionH relativeFrom="column">
                  <wp:posOffset>-180340</wp:posOffset>
                </wp:positionH>
                <wp:positionV relativeFrom="paragraph">
                  <wp:posOffset>5605145</wp:posOffset>
                </wp:positionV>
                <wp:extent cx="6121400" cy="0"/>
                <wp:effectExtent l="0" t="6350" r="0" b="6350"/>
                <wp:wrapNone/>
                <wp:docPr id="65" name="Line 11"/>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1" o:spid="_x0000_s1026" o:spt="20" style="position:absolute;left:0pt;margin-left:-14.2pt;margin-top:441.35pt;height:0pt;width:482pt;z-index:251663360;mso-width-relative:page;mso-height-relative:page;" filled="f" stroked="t" coordsize="21600,21600" o:gfxdata="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&#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RTarPZAAAACwEAAA8AAAAAAAAAAQAgAAAAIgAAAGRy&#10;cy9kb3ducmV2LnhtbFBLAQIUABQAAAAIAIdO4kAdbf+UywEAAKIDAAAOAAAAAAAAAAEAIAAAACgB&#10;AABkcnMvZTJvRG9jLnhtbFBLBQYAAAAABgAGAFkBAABlBQAAAAA=&#10;">
                <v:fill on="f" focussize="0,0"/>
                <v:stroke weight="1pt" color="#080000" joinstyle="round"/>
                <v:imagedata o:title=""/>
                <o:lock v:ext="edit" aspectratio="f"/>
              </v:line>
            </w:pict>
          </mc:Fallback>
        </mc:AlternateContent>
      </w:r>
      <w:r>
        <w:rPr>
          <w:color w:val="FF0000"/>
        </w:rPr>
        <mc:AlternateContent>
          <mc:Choice Requires="wps">
            <w:drawing>
              <wp:anchor distT="0" distB="0" distL="114300" distR="114300" simplePos="0" relativeHeight="251667456" behindDoc="0" locked="1" layoutInCell="1" allowOverlap="1">
                <wp:simplePos x="0" y="0"/>
                <wp:positionH relativeFrom="margin">
                  <wp:posOffset>-76835</wp:posOffset>
                </wp:positionH>
                <wp:positionV relativeFrom="margin">
                  <wp:posOffset>8921750</wp:posOffset>
                </wp:positionV>
                <wp:extent cx="5757545" cy="363220"/>
                <wp:effectExtent l="0" t="0" r="14605" b="17780"/>
                <wp:wrapNone/>
                <wp:docPr id="16" name="fmFrame7"/>
                <wp:cNvGraphicFramePr/>
                <a:graphic xmlns:a="http://schemas.openxmlformats.org/drawingml/2006/main">
                  <a:graphicData uri="http://schemas.microsoft.com/office/word/2010/wordprocessingShape">
                    <wps:wsp>
                      <wps:cNvSpPr txBox="1">
                        <a:spLocks noChangeArrowheads="1"/>
                      </wps:cNvSpPr>
                      <wps:spPr bwMode="auto">
                        <a:xfrm>
                          <a:off x="0" y="0"/>
                          <a:ext cx="5757545" cy="363220"/>
                        </a:xfrm>
                        <a:prstGeom prst="rect">
                          <a:avLst/>
                        </a:prstGeom>
                        <a:solidFill>
                          <a:srgbClr val="FFFFFF"/>
                        </a:solidFill>
                        <a:ln>
                          <a:noFill/>
                        </a:ln>
                        <a:effectLst/>
                      </wps:spPr>
                      <wps:txbx>
                        <w:txbxContent>
                          <w:p w14:paraId="316DDD72">
                            <w:pPr>
                              <w:pStyle w:val="32"/>
                            </w:pPr>
                            <w:r>
                              <w:t>中国肉类协会</w:t>
                            </w:r>
                            <w:r>
                              <w:rPr>
                                <w:rStyle w:val="33"/>
                                <w:rFonts w:hint="eastAsia"/>
                              </w:rPr>
                              <w:t xml:space="preserve">  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6.05pt;margin-top:702.5pt;height:28.6pt;width:453.35pt;mso-position-horizontal-relative:margin;mso-position-vertical-relative:margin;z-index:251667456;mso-width-relative:page;mso-height-relative:page;" fillcolor="#FFFFFF" filled="t" stroked="f" coordsize="21600,21600" o:gfxdata="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GFUBvaAAAADQEAAA8A&#10;AAAAAAAAAQAgAAAAIgAAAGRycy9kb3ducmV2LnhtbFBLAQIUABQAAAAIAIdO4kAp1IoCFQIAADoE&#10;AAAOAAAAAAAAAAEAIAAAACkBAABkcnMvZTJvRG9jLnhtbFBLBQYAAAAABgAGAFkBAACwBQAAAAA=&#10;">
                <v:fill on="t" focussize="0,0"/>
                <v:stroke on="f"/>
                <v:imagedata o:title=""/>
                <o:lock v:ext="edit" aspectratio="f"/>
                <v:textbox inset="0mm,0mm,0mm,0mm">
                  <w:txbxContent>
                    <w:p w14:paraId="316DDD72">
                      <w:pPr>
                        <w:pStyle w:val="32"/>
                      </w:pPr>
                      <w:r>
                        <w:t>中国肉类协会</w:t>
                      </w:r>
                      <w:r>
                        <w:rPr>
                          <w:rStyle w:val="33"/>
                          <w:rFonts w:hint="eastAsia"/>
                        </w:rPr>
                        <w:t xml:space="preserve">  发布</w:t>
                      </w:r>
                    </w:p>
                  </w:txbxContent>
                </v:textbox>
                <w10:anchorlock/>
              </v:shape>
            </w:pict>
          </mc:Fallback>
        </mc:AlternateContent>
      </w:r>
    </w:p>
    <w:p w14:paraId="4A1BFB7A">
      <w:pPr>
        <w:sectPr>
          <w:headerReference r:id="rId4" w:type="first"/>
          <w:headerReference r:id="rId3" w:type="default"/>
          <w:footerReference r:id="rId5" w:type="default"/>
          <w:footerReference r:id="rId6" w:type="even"/>
          <w:pgSz w:w="11907" w:h="16839"/>
          <w:pgMar w:top="567" w:right="1417" w:bottom="1361" w:left="1418" w:header="0" w:footer="0" w:gutter="0"/>
          <w:pgNumType w:start="1"/>
          <w:cols w:space="0" w:num="1"/>
          <w:titlePg/>
          <w:docGrid w:type="lines" w:linePitch="312" w:charSpace="0"/>
        </w:sectPr>
      </w:pPr>
    </w:p>
    <w:bookmarkEnd w:id="0"/>
    <w:p w14:paraId="11F4B8A8">
      <w:pPr>
        <w:pStyle w:val="41"/>
        <w:ind w:firstLine="3840" w:firstLineChars="1200"/>
        <w:jc w:val="both"/>
      </w:pPr>
      <w:r>
        <w:rPr>
          <w:rFonts w:hint="eastAsia"/>
        </w:rPr>
        <w:t>前</w:t>
      </w:r>
      <w:bookmarkStart w:id="1" w:name="BKQY"/>
      <w:r>
        <w:rPr>
          <w:rFonts w:hint="eastAsia"/>
        </w:rPr>
        <w:t>  言</w:t>
      </w:r>
      <w:bookmarkEnd w:id="1"/>
    </w:p>
    <w:p w14:paraId="67EDCF1A">
      <w:pPr>
        <w:pStyle w:val="3"/>
        <w:rPr>
          <w:kern w:val="0"/>
        </w:rPr>
      </w:pPr>
      <w:bookmarkStart w:id="2" w:name="_Hlk151561528"/>
      <w:r>
        <w:rPr>
          <w:rFonts w:hint="eastAsia"/>
          <w:kern w:val="0"/>
        </w:rPr>
        <w:t>本文件按照GB/T 1.1-2020《标准化工作导则 第1部分：标准化文件的结构和起草规则》的规定起草。</w:t>
      </w:r>
    </w:p>
    <w:p w14:paraId="3ABE465A">
      <w:pPr>
        <w:ind w:firstLine="420"/>
      </w:pPr>
      <w:r>
        <w:rPr>
          <w:rFonts w:hint="eastAsia"/>
        </w:rPr>
        <w:t>请注意本文件的某些内容有可能涉及专利。本文件的发布机构不承担识别专利的责任。</w:t>
      </w:r>
    </w:p>
    <w:p w14:paraId="513F1D76">
      <w:pPr>
        <w:pStyle w:val="3"/>
        <w:rPr>
          <w:kern w:val="0"/>
        </w:rPr>
      </w:pPr>
      <w:r>
        <w:rPr>
          <w:rFonts w:hint="eastAsia"/>
          <w:kern w:val="0"/>
        </w:rPr>
        <w:t>本文件由中国肉类协会提出并归口。</w:t>
      </w:r>
    </w:p>
    <w:p w14:paraId="75FB11DB">
      <w:pPr>
        <w:pStyle w:val="18"/>
        <w:tabs>
          <w:tab w:val="center" w:pos="4201"/>
          <w:tab w:val="right" w:leader="dot" w:pos="9298"/>
        </w:tabs>
        <w:ind w:firstLine="420" w:firstLineChars="200"/>
        <w:jc w:val="left"/>
      </w:pPr>
      <w:r>
        <w:rPr>
          <w:rFonts w:hint="eastAsia" w:hAnsi="宋体"/>
        </w:rPr>
        <w:t>本文件由中国肉类协会发布。</w:t>
      </w:r>
    </w:p>
    <w:p w14:paraId="22DB1DD9">
      <w:pPr>
        <w:ind w:firstLine="420"/>
        <w:rPr>
          <w:kern w:val="0"/>
          <w:szCs w:val="20"/>
        </w:rPr>
      </w:pPr>
      <w:r>
        <w:rPr>
          <w:rFonts w:hint="eastAsia"/>
          <w:kern w:val="0"/>
          <w:szCs w:val="20"/>
        </w:rPr>
        <w:t>本文件起草单位：。</w:t>
      </w:r>
    </w:p>
    <w:p w14:paraId="1C23B84D">
      <w:pPr>
        <w:ind w:firstLine="420"/>
        <w:rPr>
          <w:rFonts w:ascii="宋体" w:hAnsi="Courier New"/>
          <w:kern w:val="0"/>
          <w:szCs w:val="20"/>
        </w:rPr>
      </w:pPr>
      <w:r>
        <w:rPr>
          <w:rFonts w:hint="eastAsia"/>
          <w:kern w:val="0"/>
          <w:szCs w:val="20"/>
        </w:rPr>
        <w:t>本文件主要起草人：</w:t>
      </w:r>
      <w:r>
        <w:rPr>
          <w:rFonts w:hint="eastAsia" w:ascii="宋体" w:hAnsi="Courier New"/>
          <w:kern w:val="0"/>
          <w:szCs w:val="20"/>
        </w:rPr>
        <w:t>。</w:t>
      </w:r>
    </w:p>
    <w:p w14:paraId="310A4CD2">
      <w:pPr>
        <w:pStyle w:val="3"/>
        <w:ind w:firstLineChars="200"/>
        <w:sectPr>
          <w:headerReference r:id="rId7" w:type="default"/>
          <w:footerReference r:id="rId8" w:type="default"/>
          <w:pgSz w:w="11906" w:h="16838"/>
          <w:pgMar w:top="1417" w:right="1417" w:bottom="1417" w:left="1417" w:header="1417" w:footer="1134" w:gutter="0"/>
          <w:pgNumType w:fmt="upperRoman" w:start="1"/>
          <w:cols w:space="0" w:num="1"/>
          <w:docGrid w:type="lines" w:linePitch="312" w:charSpace="0"/>
        </w:sectPr>
      </w:pPr>
      <w:bookmarkStart w:id="65" w:name="_GoBack"/>
      <w:bookmarkEnd w:id="65"/>
    </w:p>
    <w:bookmarkEnd w:id="2"/>
    <w:p w14:paraId="1F6E239D">
      <w:pPr>
        <w:keepNext/>
        <w:widowControl/>
        <w:shd w:val="clear" w:color="FFFFFF" w:fill="FFFFFF"/>
        <w:snapToGrid w:val="0"/>
        <w:spacing w:before="640" w:after="560"/>
        <w:ind w:firstLine="640"/>
        <w:jc w:val="center"/>
        <w:outlineLvl w:val="0"/>
        <w:rPr>
          <w:rFonts w:eastAsia="黑体"/>
          <w:kern w:val="0"/>
          <w:sz w:val="32"/>
          <w:szCs w:val="20"/>
        </w:rPr>
      </w:pPr>
      <w:bookmarkStart w:id="3" w:name="OLE_LINK2"/>
      <w:r>
        <w:rPr>
          <w:rFonts w:hint="eastAsia" w:eastAsia="黑体"/>
          <w:kern w:val="0"/>
          <w:sz w:val="32"/>
          <w:szCs w:val="20"/>
        </w:rPr>
        <w:t>通辽肉牛饲养管理技术规程</w:t>
      </w:r>
    </w:p>
    <w:bookmarkEnd w:id="3"/>
    <w:p w14:paraId="08201479">
      <w:pPr>
        <w:pStyle w:val="17"/>
        <w:numPr>
          <w:ilvl w:val="0"/>
          <w:numId w:val="2"/>
        </w:numPr>
        <w:spacing w:before="312" w:beforeLines="100" w:after="312" w:afterLines="100"/>
        <w:outlineLvl w:val="0"/>
        <w:rPr>
          <w:rFonts w:hAnsi="黑体"/>
          <w:szCs w:val="21"/>
        </w:rPr>
      </w:pPr>
      <w:bookmarkStart w:id="4" w:name="_Toc22197892"/>
      <w:bookmarkStart w:id="5" w:name="_Toc21982137"/>
      <w:bookmarkStart w:id="6" w:name="_Toc22135199"/>
      <w:bookmarkStart w:id="7" w:name="_Toc21982424"/>
      <w:r>
        <w:rPr>
          <w:rFonts w:hint="eastAsia" w:hAnsi="黑体"/>
          <w:szCs w:val="21"/>
        </w:rPr>
        <w:t>范围</w:t>
      </w:r>
      <w:bookmarkEnd w:id="4"/>
      <w:bookmarkEnd w:id="5"/>
      <w:bookmarkEnd w:id="6"/>
      <w:bookmarkEnd w:id="7"/>
    </w:p>
    <w:p w14:paraId="019D150D">
      <w:pPr>
        <w:pStyle w:val="18"/>
        <w:tabs>
          <w:tab w:val="center" w:pos="4201"/>
          <w:tab w:val="right" w:leader="dot" w:pos="9298"/>
        </w:tabs>
        <w:ind w:firstLine="420" w:firstLineChars="200"/>
      </w:pPr>
      <w:bookmarkStart w:id="8" w:name="OLE_LINK3"/>
      <w:r>
        <w:rPr>
          <w:rFonts w:hint="eastAsia" w:ascii="Times New Roman"/>
        </w:rPr>
        <w:tab/>
      </w:r>
      <w:r>
        <w:rPr>
          <w:rFonts w:hint="eastAsia" w:ascii="Times New Roman"/>
        </w:rPr>
        <w:t>本文件</w:t>
      </w:r>
      <w:r>
        <w:rPr>
          <w:rFonts w:hint="eastAsia"/>
        </w:rPr>
        <w:t>规定了通辽肉牛饲养</w:t>
      </w:r>
      <w:r>
        <w:rPr>
          <w:rFonts w:hint="eastAsia"/>
          <w:lang w:val="en-US" w:eastAsia="zh-CN"/>
        </w:rPr>
        <w:t>管理的</w:t>
      </w:r>
      <w:r>
        <w:rPr>
          <w:rFonts w:hint="eastAsia"/>
        </w:rPr>
        <w:t>饲养场建设、日常管理、饲养投入品管理、饲养管理、疫病防治、废弃物无害化处理</w:t>
      </w:r>
      <w:r>
        <w:rPr>
          <w:rFonts w:hint="eastAsia"/>
          <w:lang w:val="en-US" w:eastAsia="zh-CN"/>
        </w:rPr>
        <w:t>和</w:t>
      </w:r>
      <w:r>
        <w:rPr>
          <w:rFonts w:hint="eastAsia"/>
        </w:rPr>
        <w:t>档案管理的要求。</w:t>
      </w:r>
    </w:p>
    <w:p w14:paraId="02EF3511">
      <w:pPr>
        <w:pStyle w:val="18"/>
        <w:tabs>
          <w:tab w:val="center" w:pos="4201"/>
          <w:tab w:val="right" w:leader="dot" w:pos="9298"/>
        </w:tabs>
        <w:ind w:firstLine="420" w:firstLineChars="200"/>
      </w:pPr>
      <w:r>
        <w:rPr>
          <w:rFonts w:hint="eastAsia" w:ascii="Times New Roman"/>
        </w:rPr>
        <w:t>本文件</w:t>
      </w:r>
      <w:r>
        <w:rPr>
          <w:rFonts w:hint="eastAsia"/>
        </w:rPr>
        <w:t>适用于通辽肉牛规模化饲养场和养殖户。</w:t>
      </w:r>
    </w:p>
    <w:bookmarkEnd w:id="8"/>
    <w:p w14:paraId="0B86C626">
      <w:pPr>
        <w:pStyle w:val="17"/>
        <w:numPr>
          <w:ilvl w:val="0"/>
          <w:numId w:val="2"/>
        </w:numPr>
        <w:spacing w:before="312" w:beforeLines="100" w:after="312" w:afterLines="100"/>
        <w:outlineLvl w:val="0"/>
        <w:rPr>
          <w:rFonts w:hAnsi="黑体"/>
          <w:szCs w:val="21"/>
        </w:rPr>
      </w:pPr>
      <w:bookmarkStart w:id="9" w:name="_Toc20236394"/>
      <w:bookmarkStart w:id="10" w:name="_Toc16171934"/>
      <w:bookmarkStart w:id="11" w:name="_Toc22135200"/>
      <w:bookmarkStart w:id="12" w:name="_Toc20317838"/>
      <w:bookmarkStart w:id="13" w:name="_Toc20410158"/>
      <w:bookmarkStart w:id="14" w:name="_Toc21982425"/>
      <w:bookmarkStart w:id="15" w:name="_Toc16172012"/>
      <w:bookmarkStart w:id="16" w:name="_Toc22197893"/>
      <w:bookmarkStart w:id="17" w:name="_Toc20410231"/>
      <w:bookmarkStart w:id="18" w:name="_Toc21982138"/>
      <w:bookmarkStart w:id="19" w:name="_Toc20235279"/>
      <w:r>
        <w:rPr>
          <w:rFonts w:hint="eastAsia" w:hAnsi="黑体"/>
          <w:szCs w:val="21"/>
        </w:rPr>
        <w:t>规范性引用文件</w:t>
      </w:r>
      <w:bookmarkEnd w:id="9"/>
      <w:bookmarkEnd w:id="10"/>
      <w:bookmarkEnd w:id="11"/>
      <w:bookmarkEnd w:id="12"/>
      <w:bookmarkEnd w:id="13"/>
      <w:bookmarkEnd w:id="14"/>
      <w:bookmarkEnd w:id="15"/>
      <w:bookmarkEnd w:id="16"/>
      <w:bookmarkEnd w:id="17"/>
      <w:bookmarkEnd w:id="18"/>
      <w:bookmarkEnd w:id="19"/>
    </w:p>
    <w:p w14:paraId="1592C16B">
      <w:pPr>
        <w:pStyle w:val="18"/>
        <w:tabs>
          <w:tab w:val="center" w:pos="4201"/>
          <w:tab w:val="right" w:leader="dot" w:pos="9298"/>
        </w:tabs>
        <w:ind w:firstLine="420" w:firstLineChars="20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F643042">
      <w:pPr>
        <w:pStyle w:val="18"/>
        <w:tabs>
          <w:tab w:val="center" w:pos="4201"/>
          <w:tab w:val="right" w:leader="dot" w:pos="9298"/>
        </w:tabs>
        <w:ind w:firstLine="412" w:firstLineChars="200"/>
        <w:rPr>
          <w:rFonts w:ascii="Times New Roman"/>
          <w:spacing w:val="-2"/>
          <w:szCs w:val="21"/>
        </w:rPr>
      </w:pPr>
      <w:bookmarkStart w:id="20" w:name="_Toc20410232"/>
      <w:bookmarkStart w:id="21" w:name="_Toc21982426"/>
      <w:bookmarkStart w:id="22" w:name="_Toc20235280"/>
      <w:bookmarkStart w:id="23" w:name="_Toc22135201"/>
      <w:bookmarkStart w:id="24" w:name="_Toc20236395"/>
      <w:bookmarkStart w:id="25" w:name="_Toc21982139"/>
      <w:bookmarkStart w:id="26" w:name="_Toc20317839"/>
      <w:bookmarkStart w:id="27" w:name="_Toc20410159"/>
      <w:bookmarkStart w:id="28" w:name="_Toc22197894"/>
      <w:bookmarkStart w:id="29" w:name="_Toc16171935"/>
      <w:bookmarkStart w:id="30" w:name="_Toc16172013"/>
      <w:r>
        <w:rPr>
          <w:rFonts w:ascii="Times New Roman"/>
          <w:spacing w:val="-2"/>
          <w:szCs w:val="21"/>
        </w:rPr>
        <w:t xml:space="preserve">GB 5749 </w:t>
      </w:r>
      <w:r>
        <w:rPr>
          <w:rFonts w:hint="eastAsia" w:ascii="Times New Roman"/>
          <w:spacing w:val="-2"/>
          <w:szCs w:val="21"/>
          <w:lang w:val="en-US" w:eastAsia="zh-CN"/>
        </w:rPr>
        <w:t xml:space="preserve"> </w:t>
      </w:r>
      <w:r>
        <w:rPr>
          <w:rFonts w:ascii="Times New Roman"/>
          <w:spacing w:val="-2"/>
          <w:szCs w:val="21"/>
        </w:rPr>
        <w:t>生活饮用水卫生标准</w:t>
      </w:r>
    </w:p>
    <w:p w14:paraId="0A425197">
      <w:pPr>
        <w:pStyle w:val="18"/>
        <w:tabs>
          <w:tab w:val="center" w:pos="4201"/>
          <w:tab w:val="right" w:leader="dot" w:pos="9298"/>
        </w:tabs>
        <w:ind w:firstLine="412" w:firstLineChars="200"/>
        <w:rPr>
          <w:rFonts w:ascii="Times New Roman"/>
          <w:spacing w:val="-2"/>
          <w:szCs w:val="21"/>
        </w:rPr>
      </w:pPr>
      <w:r>
        <w:rPr>
          <w:rFonts w:ascii="Times New Roman"/>
          <w:spacing w:val="-2"/>
          <w:szCs w:val="21"/>
        </w:rPr>
        <w:t>GB 13078</w:t>
      </w:r>
      <w:r>
        <w:rPr>
          <w:rFonts w:hint="eastAsia" w:ascii="Times New Roman"/>
          <w:spacing w:val="-2"/>
          <w:szCs w:val="21"/>
          <w:lang w:val="en-US" w:eastAsia="zh-CN"/>
        </w:rPr>
        <w:t xml:space="preserve"> </w:t>
      </w:r>
      <w:r>
        <w:rPr>
          <w:rFonts w:ascii="Times New Roman"/>
          <w:spacing w:val="-2"/>
          <w:szCs w:val="21"/>
        </w:rPr>
        <w:t xml:space="preserve"> 饲料卫生标准</w:t>
      </w:r>
    </w:p>
    <w:p w14:paraId="0617F404">
      <w:pPr>
        <w:pStyle w:val="18"/>
        <w:tabs>
          <w:tab w:val="center" w:pos="4201"/>
          <w:tab w:val="right" w:leader="dot" w:pos="9298"/>
        </w:tabs>
        <w:ind w:firstLine="412" w:firstLineChars="200"/>
        <w:rPr>
          <w:rFonts w:ascii="Times New Roman"/>
          <w:spacing w:val="-2"/>
          <w:szCs w:val="21"/>
        </w:rPr>
      </w:pPr>
      <w:r>
        <w:rPr>
          <w:rFonts w:ascii="Times New Roman"/>
          <w:spacing w:val="-2"/>
          <w:szCs w:val="21"/>
        </w:rPr>
        <w:t xml:space="preserve">GB 18596 </w:t>
      </w:r>
      <w:r>
        <w:rPr>
          <w:rFonts w:hint="eastAsia" w:ascii="Times New Roman"/>
          <w:spacing w:val="-2"/>
          <w:szCs w:val="21"/>
          <w:lang w:val="en-US" w:eastAsia="zh-CN"/>
        </w:rPr>
        <w:t xml:space="preserve"> </w:t>
      </w:r>
      <w:r>
        <w:rPr>
          <w:rFonts w:ascii="Times New Roman"/>
          <w:spacing w:val="-2"/>
          <w:szCs w:val="21"/>
        </w:rPr>
        <w:t>畜禽场污染物排放标准</w:t>
      </w:r>
    </w:p>
    <w:p w14:paraId="5CA74A10">
      <w:pPr>
        <w:pStyle w:val="18"/>
        <w:tabs>
          <w:tab w:val="center" w:pos="4201"/>
          <w:tab w:val="right" w:leader="dot" w:pos="9298"/>
        </w:tabs>
        <w:ind w:firstLine="412" w:firstLineChars="200"/>
        <w:rPr>
          <w:rFonts w:ascii="Times New Roman"/>
          <w:spacing w:val="-2"/>
          <w:szCs w:val="21"/>
        </w:rPr>
      </w:pPr>
      <w:r>
        <w:rPr>
          <w:rFonts w:ascii="Times New Roman"/>
          <w:spacing w:val="-2"/>
          <w:szCs w:val="21"/>
        </w:rPr>
        <w:t xml:space="preserve">GB/T 36195 </w:t>
      </w:r>
      <w:r>
        <w:rPr>
          <w:rFonts w:hint="eastAsia" w:ascii="Times New Roman"/>
          <w:spacing w:val="-2"/>
          <w:szCs w:val="21"/>
          <w:lang w:val="en-US" w:eastAsia="zh-CN"/>
        </w:rPr>
        <w:t xml:space="preserve"> </w:t>
      </w:r>
      <w:r>
        <w:rPr>
          <w:rFonts w:ascii="Times New Roman"/>
          <w:spacing w:val="-2"/>
          <w:szCs w:val="21"/>
        </w:rPr>
        <w:t>畜禽粪便无害化处理技术规范</w:t>
      </w:r>
    </w:p>
    <w:p w14:paraId="55487541">
      <w:pPr>
        <w:pStyle w:val="18"/>
        <w:tabs>
          <w:tab w:val="center" w:pos="4201"/>
          <w:tab w:val="right" w:leader="dot" w:pos="9298"/>
        </w:tabs>
        <w:ind w:firstLine="412" w:firstLineChars="200"/>
        <w:rPr>
          <w:rFonts w:ascii="Times New Roman"/>
          <w:spacing w:val="-2"/>
          <w:szCs w:val="21"/>
        </w:rPr>
      </w:pPr>
      <w:r>
        <w:rPr>
          <w:rFonts w:ascii="Times New Roman"/>
          <w:spacing w:val="-2"/>
          <w:szCs w:val="21"/>
        </w:rPr>
        <w:t xml:space="preserve">NY/T 388 </w:t>
      </w:r>
      <w:r>
        <w:rPr>
          <w:rFonts w:hint="eastAsia" w:ascii="Times New Roman"/>
          <w:spacing w:val="-2"/>
          <w:szCs w:val="21"/>
          <w:lang w:val="en-US" w:eastAsia="zh-CN"/>
        </w:rPr>
        <w:t xml:space="preserve"> </w:t>
      </w:r>
      <w:r>
        <w:rPr>
          <w:rFonts w:ascii="Times New Roman"/>
          <w:spacing w:val="-2"/>
          <w:szCs w:val="21"/>
        </w:rPr>
        <w:t>畜禽场环境质量标准</w:t>
      </w:r>
    </w:p>
    <w:p w14:paraId="700F4145">
      <w:pPr>
        <w:pStyle w:val="18"/>
        <w:tabs>
          <w:tab w:val="center" w:pos="4201"/>
          <w:tab w:val="right" w:leader="dot" w:pos="9298"/>
        </w:tabs>
        <w:ind w:firstLine="412" w:firstLineChars="200"/>
        <w:rPr>
          <w:rFonts w:ascii="Times New Roman"/>
          <w:spacing w:val="-2"/>
          <w:szCs w:val="21"/>
        </w:rPr>
      </w:pPr>
      <w:r>
        <w:rPr>
          <w:rFonts w:ascii="Times New Roman"/>
          <w:spacing w:val="-2"/>
          <w:szCs w:val="21"/>
        </w:rPr>
        <w:t xml:space="preserve">NY/T 682 </w:t>
      </w:r>
      <w:r>
        <w:rPr>
          <w:rFonts w:hint="eastAsia" w:ascii="Times New Roman"/>
          <w:spacing w:val="-2"/>
          <w:szCs w:val="21"/>
          <w:lang w:val="en-US" w:eastAsia="zh-CN"/>
        </w:rPr>
        <w:t xml:space="preserve"> </w:t>
      </w:r>
      <w:r>
        <w:rPr>
          <w:rFonts w:ascii="Times New Roman"/>
          <w:spacing w:val="-2"/>
          <w:szCs w:val="21"/>
        </w:rPr>
        <w:t>畜禽场场区设计技术规范</w:t>
      </w:r>
    </w:p>
    <w:p w14:paraId="1216CC0B">
      <w:pPr>
        <w:pStyle w:val="18"/>
        <w:tabs>
          <w:tab w:val="center" w:pos="4201"/>
          <w:tab w:val="right" w:leader="dot" w:pos="9298"/>
        </w:tabs>
        <w:ind w:firstLine="412" w:firstLineChars="200"/>
        <w:rPr>
          <w:rFonts w:ascii="Times New Roman"/>
          <w:spacing w:val="-2"/>
          <w:szCs w:val="21"/>
        </w:rPr>
      </w:pPr>
      <w:r>
        <w:rPr>
          <w:rFonts w:ascii="Times New Roman"/>
          <w:spacing w:val="-2"/>
          <w:szCs w:val="21"/>
        </w:rPr>
        <w:t xml:space="preserve">NY/T 815 </w:t>
      </w:r>
      <w:r>
        <w:rPr>
          <w:rFonts w:hint="eastAsia" w:ascii="Times New Roman"/>
          <w:spacing w:val="-2"/>
          <w:szCs w:val="21"/>
          <w:lang w:val="en-US" w:eastAsia="zh-CN"/>
        </w:rPr>
        <w:t xml:space="preserve"> </w:t>
      </w:r>
      <w:r>
        <w:rPr>
          <w:rFonts w:ascii="Times New Roman"/>
          <w:spacing w:val="-2"/>
          <w:szCs w:val="21"/>
        </w:rPr>
        <w:t>肉牛饲养标准</w:t>
      </w:r>
    </w:p>
    <w:p w14:paraId="6D8BBEA7">
      <w:pPr>
        <w:pStyle w:val="18"/>
        <w:tabs>
          <w:tab w:val="center" w:pos="4201"/>
          <w:tab w:val="right" w:leader="dot" w:pos="9298"/>
        </w:tabs>
        <w:ind w:firstLine="412" w:firstLineChars="200"/>
        <w:rPr>
          <w:rFonts w:ascii="Times New Roman"/>
          <w:spacing w:val="-2"/>
          <w:szCs w:val="21"/>
        </w:rPr>
      </w:pPr>
      <w:r>
        <w:rPr>
          <w:rFonts w:ascii="Times New Roman"/>
          <w:spacing w:val="-2"/>
          <w:szCs w:val="21"/>
        </w:rPr>
        <w:t xml:space="preserve">NY/T 2663 </w:t>
      </w:r>
      <w:r>
        <w:rPr>
          <w:rFonts w:hint="eastAsia" w:ascii="Times New Roman"/>
          <w:spacing w:val="-2"/>
          <w:szCs w:val="21"/>
          <w:lang w:val="en-US" w:eastAsia="zh-CN"/>
        </w:rPr>
        <w:t xml:space="preserve"> </w:t>
      </w:r>
      <w:r>
        <w:rPr>
          <w:rFonts w:ascii="Times New Roman"/>
          <w:spacing w:val="-2"/>
          <w:szCs w:val="21"/>
        </w:rPr>
        <w:t>标准化养殖场</w:t>
      </w:r>
      <w:r>
        <w:rPr>
          <w:rFonts w:hint="eastAsia" w:ascii="Times New Roman"/>
          <w:color w:val="FF0000"/>
          <w:spacing w:val="-2"/>
          <w:szCs w:val="21"/>
        </w:rPr>
        <w:t xml:space="preserve"> </w:t>
      </w:r>
      <w:r>
        <w:rPr>
          <w:rFonts w:ascii="Times New Roman"/>
          <w:color w:val="FF0000"/>
          <w:spacing w:val="-2"/>
          <w:szCs w:val="21"/>
        </w:rPr>
        <w:t xml:space="preserve"> </w:t>
      </w:r>
      <w:r>
        <w:rPr>
          <w:rFonts w:ascii="Times New Roman"/>
          <w:spacing w:val="-2"/>
          <w:szCs w:val="21"/>
        </w:rPr>
        <w:t>肉牛</w:t>
      </w:r>
    </w:p>
    <w:p w14:paraId="41942D73">
      <w:pPr>
        <w:pStyle w:val="18"/>
        <w:tabs>
          <w:tab w:val="center" w:pos="4201"/>
          <w:tab w:val="right" w:leader="dot" w:pos="9298"/>
        </w:tabs>
        <w:ind w:firstLine="412" w:firstLineChars="200"/>
        <w:rPr>
          <w:rFonts w:ascii="Times New Roman"/>
          <w:spacing w:val="-2"/>
          <w:szCs w:val="21"/>
        </w:rPr>
      </w:pPr>
      <w:r>
        <w:rPr>
          <w:rFonts w:ascii="Times New Roman"/>
          <w:spacing w:val="-2"/>
          <w:szCs w:val="21"/>
        </w:rPr>
        <w:t xml:space="preserve">NY/T 2696 </w:t>
      </w:r>
      <w:r>
        <w:rPr>
          <w:rFonts w:hint="eastAsia" w:ascii="Times New Roman"/>
          <w:spacing w:val="-2"/>
          <w:szCs w:val="21"/>
          <w:lang w:val="en-US" w:eastAsia="zh-CN"/>
        </w:rPr>
        <w:t xml:space="preserve"> </w:t>
      </w:r>
      <w:r>
        <w:rPr>
          <w:rFonts w:ascii="Times New Roman"/>
          <w:spacing w:val="-2"/>
          <w:szCs w:val="21"/>
        </w:rPr>
        <w:t>饲草青贮技术规程</w:t>
      </w:r>
      <w:r>
        <w:rPr>
          <w:rFonts w:ascii="Times New Roman"/>
          <w:color w:val="FF0000"/>
          <w:spacing w:val="-2"/>
          <w:szCs w:val="21"/>
        </w:rPr>
        <w:t xml:space="preserve"> </w:t>
      </w:r>
      <w:r>
        <w:rPr>
          <w:rFonts w:hint="eastAsia" w:ascii="Times New Roman"/>
          <w:color w:val="FF0000"/>
          <w:spacing w:val="-2"/>
          <w:szCs w:val="21"/>
        </w:rPr>
        <w:t xml:space="preserve"> </w:t>
      </w:r>
      <w:r>
        <w:rPr>
          <w:rFonts w:ascii="Times New Roman"/>
          <w:spacing w:val="-2"/>
          <w:szCs w:val="21"/>
        </w:rPr>
        <w:t>玉米</w:t>
      </w:r>
    </w:p>
    <w:p w14:paraId="79D36812">
      <w:pPr>
        <w:pStyle w:val="18"/>
        <w:tabs>
          <w:tab w:val="center" w:pos="4201"/>
          <w:tab w:val="right" w:leader="dot" w:pos="9298"/>
        </w:tabs>
        <w:ind w:firstLine="412" w:firstLineChars="200"/>
        <w:rPr>
          <w:rFonts w:ascii="Times New Roman"/>
          <w:spacing w:val="-2"/>
          <w:szCs w:val="21"/>
        </w:rPr>
      </w:pPr>
      <w:r>
        <w:rPr>
          <w:rFonts w:ascii="Times New Roman"/>
          <w:spacing w:val="-2"/>
          <w:szCs w:val="21"/>
        </w:rPr>
        <w:t xml:space="preserve">NY/T 3075 </w:t>
      </w:r>
      <w:r>
        <w:rPr>
          <w:rFonts w:hint="eastAsia" w:ascii="Times New Roman"/>
          <w:spacing w:val="-2"/>
          <w:szCs w:val="21"/>
          <w:lang w:val="en-US" w:eastAsia="zh-CN"/>
        </w:rPr>
        <w:t xml:space="preserve"> </w:t>
      </w:r>
      <w:r>
        <w:rPr>
          <w:rFonts w:ascii="Times New Roman"/>
          <w:spacing w:val="-2"/>
          <w:szCs w:val="21"/>
        </w:rPr>
        <w:t xml:space="preserve">畜禽养殖场消毒技术 </w:t>
      </w:r>
    </w:p>
    <w:p w14:paraId="77037AB0">
      <w:pPr>
        <w:pStyle w:val="18"/>
        <w:tabs>
          <w:tab w:val="center" w:pos="4201"/>
          <w:tab w:val="right" w:leader="dot" w:pos="9298"/>
        </w:tabs>
        <w:ind w:firstLine="412" w:firstLineChars="200"/>
        <w:rPr>
          <w:rFonts w:ascii="Times New Roman"/>
          <w:spacing w:val="-2"/>
          <w:szCs w:val="21"/>
        </w:rPr>
      </w:pPr>
      <w:r>
        <w:rPr>
          <w:rFonts w:ascii="Times New Roman"/>
          <w:spacing w:val="-2"/>
          <w:szCs w:val="21"/>
        </w:rPr>
        <w:t>NY 5027</w:t>
      </w:r>
      <w:r>
        <w:rPr>
          <w:rFonts w:hint="eastAsia" w:ascii="Times New Roman"/>
          <w:spacing w:val="-2"/>
          <w:szCs w:val="21"/>
          <w:lang w:val="en-US" w:eastAsia="zh-CN"/>
        </w:rPr>
        <w:t xml:space="preserve"> </w:t>
      </w:r>
      <w:r>
        <w:rPr>
          <w:rFonts w:ascii="Times New Roman"/>
          <w:spacing w:val="-2"/>
          <w:szCs w:val="21"/>
        </w:rPr>
        <w:t xml:space="preserve"> 无公害食品</w:t>
      </w:r>
      <w:r>
        <w:rPr>
          <w:rFonts w:ascii="Times New Roman"/>
          <w:color w:val="FF0000"/>
          <w:spacing w:val="-2"/>
          <w:szCs w:val="21"/>
        </w:rPr>
        <w:t xml:space="preserve"> </w:t>
      </w:r>
      <w:r>
        <w:rPr>
          <w:rFonts w:hint="eastAsia" w:ascii="Times New Roman"/>
          <w:color w:val="FF0000"/>
          <w:spacing w:val="-2"/>
          <w:szCs w:val="21"/>
        </w:rPr>
        <w:t xml:space="preserve"> </w:t>
      </w:r>
      <w:r>
        <w:rPr>
          <w:rFonts w:ascii="Times New Roman"/>
          <w:spacing w:val="-2"/>
          <w:szCs w:val="21"/>
        </w:rPr>
        <w:t xml:space="preserve">畜禽饮用水水质 </w:t>
      </w:r>
    </w:p>
    <w:p w14:paraId="6DD12ECD">
      <w:pPr>
        <w:pStyle w:val="18"/>
        <w:tabs>
          <w:tab w:val="center" w:pos="4201"/>
          <w:tab w:val="right" w:leader="dot" w:pos="9298"/>
        </w:tabs>
        <w:ind w:firstLine="412" w:firstLineChars="200"/>
        <w:rPr>
          <w:rFonts w:ascii="Times New Roman"/>
          <w:spacing w:val="-2"/>
          <w:szCs w:val="21"/>
        </w:rPr>
      </w:pPr>
      <w:r>
        <w:rPr>
          <w:rFonts w:ascii="Times New Roman"/>
          <w:spacing w:val="-2"/>
          <w:szCs w:val="21"/>
        </w:rPr>
        <w:t xml:space="preserve">NY/T 5030 </w:t>
      </w:r>
      <w:r>
        <w:rPr>
          <w:rFonts w:hint="eastAsia" w:ascii="Times New Roman"/>
          <w:spacing w:val="-2"/>
          <w:szCs w:val="21"/>
          <w:lang w:val="en-US" w:eastAsia="zh-CN"/>
        </w:rPr>
        <w:t xml:space="preserve"> </w:t>
      </w:r>
      <w:r>
        <w:rPr>
          <w:rFonts w:ascii="Times New Roman"/>
          <w:spacing w:val="-2"/>
          <w:szCs w:val="21"/>
        </w:rPr>
        <w:t>无公害农产品</w:t>
      </w:r>
      <w:r>
        <w:rPr>
          <w:rFonts w:ascii="Times New Roman"/>
          <w:color w:val="FF0000"/>
          <w:spacing w:val="-2"/>
          <w:szCs w:val="21"/>
        </w:rPr>
        <w:t xml:space="preserve"> </w:t>
      </w:r>
      <w:r>
        <w:rPr>
          <w:rFonts w:hint="eastAsia" w:ascii="Times New Roman"/>
          <w:color w:val="FF0000"/>
          <w:spacing w:val="-2"/>
          <w:szCs w:val="21"/>
        </w:rPr>
        <w:t xml:space="preserve"> </w:t>
      </w:r>
      <w:r>
        <w:rPr>
          <w:rFonts w:ascii="Times New Roman"/>
          <w:spacing w:val="-2"/>
          <w:szCs w:val="21"/>
        </w:rPr>
        <w:t>兽药使用准则</w:t>
      </w:r>
    </w:p>
    <w:p w14:paraId="336DDAF7">
      <w:pPr>
        <w:pStyle w:val="18"/>
        <w:tabs>
          <w:tab w:val="center" w:pos="4201"/>
          <w:tab w:val="right" w:leader="dot" w:pos="9298"/>
        </w:tabs>
        <w:ind w:firstLine="412" w:firstLineChars="200"/>
        <w:rPr>
          <w:rFonts w:ascii="Times New Roman"/>
          <w:spacing w:val="-2"/>
          <w:szCs w:val="21"/>
        </w:rPr>
      </w:pPr>
      <w:r>
        <w:rPr>
          <w:rFonts w:ascii="Times New Roman"/>
          <w:spacing w:val="-2"/>
          <w:szCs w:val="21"/>
        </w:rPr>
        <w:t xml:space="preserve">NY 5126 </w:t>
      </w:r>
      <w:r>
        <w:rPr>
          <w:rFonts w:hint="eastAsia" w:ascii="Times New Roman"/>
          <w:spacing w:val="-2"/>
          <w:szCs w:val="21"/>
          <w:lang w:val="en-US" w:eastAsia="zh-CN"/>
        </w:rPr>
        <w:t xml:space="preserve"> </w:t>
      </w:r>
      <w:r>
        <w:rPr>
          <w:rFonts w:ascii="Times New Roman"/>
          <w:spacing w:val="-2"/>
          <w:szCs w:val="21"/>
        </w:rPr>
        <w:t>无公害食品肉牛饲养兽药防疫准则</w:t>
      </w:r>
    </w:p>
    <w:p w14:paraId="14456181">
      <w:pPr>
        <w:pStyle w:val="18"/>
        <w:tabs>
          <w:tab w:val="center" w:pos="4201"/>
          <w:tab w:val="right" w:leader="dot" w:pos="9298"/>
        </w:tabs>
        <w:ind w:firstLine="412" w:firstLineChars="200"/>
        <w:rPr>
          <w:rFonts w:ascii="Times New Roman"/>
          <w:spacing w:val="-2"/>
          <w:szCs w:val="21"/>
        </w:rPr>
      </w:pPr>
      <w:r>
        <w:rPr>
          <w:rFonts w:ascii="Times New Roman"/>
          <w:spacing w:val="-2"/>
          <w:szCs w:val="21"/>
        </w:rPr>
        <w:t>DB15/T 1716</w:t>
      </w:r>
      <w:r>
        <w:rPr>
          <w:rFonts w:hint="eastAsia" w:ascii="Times New Roman"/>
          <w:color w:val="FF0000"/>
          <w:spacing w:val="-2"/>
          <w:szCs w:val="21"/>
        </w:rPr>
        <w:t xml:space="preserve"> </w:t>
      </w:r>
      <w:r>
        <w:rPr>
          <w:rFonts w:hint="eastAsia" w:ascii="Times New Roman"/>
          <w:color w:val="FF0000"/>
          <w:spacing w:val="-2"/>
          <w:szCs w:val="21"/>
          <w:lang w:val="en-US" w:eastAsia="zh-CN"/>
        </w:rPr>
        <w:t xml:space="preserve"> </w:t>
      </w:r>
      <w:r>
        <w:rPr>
          <w:rFonts w:hint="eastAsia" w:hAnsi="宋体" w:cs="宋体"/>
          <w:spacing w:val="-2"/>
          <w:szCs w:val="21"/>
        </w:rPr>
        <w:t>“科尔沁牛”</w:t>
      </w:r>
      <w:r>
        <w:rPr>
          <w:rFonts w:ascii="Times New Roman"/>
          <w:spacing w:val="-2"/>
          <w:szCs w:val="21"/>
        </w:rPr>
        <w:t>饲养管理技术规程</w:t>
      </w:r>
    </w:p>
    <w:p w14:paraId="33BCE0E8">
      <w:pPr>
        <w:pStyle w:val="18"/>
        <w:tabs>
          <w:tab w:val="center" w:pos="4201"/>
          <w:tab w:val="right" w:leader="dot" w:pos="9298"/>
        </w:tabs>
        <w:ind w:firstLine="412" w:firstLineChars="200"/>
        <w:rPr>
          <w:rFonts w:ascii="Times New Roman"/>
          <w:spacing w:val="-2"/>
          <w:szCs w:val="21"/>
        </w:rPr>
      </w:pPr>
      <w:r>
        <w:rPr>
          <w:rFonts w:ascii="Times New Roman"/>
          <w:spacing w:val="-2"/>
          <w:szCs w:val="21"/>
        </w:rPr>
        <w:t xml:space="preserve">T/CMATB 3012 </w:t>
      </w:r>
      <w:r>
        <w:rPr>
          <w:rFonts w:hint="eastAsia" w:ascii="Times New Roman"/>
          <w:spacing w:val="-2"/>
          <w:szCs w:val="21"/>
          <w:lang w:val="en-US" w:eastAsia="zh-CN"/>
        </w:rPr>
        <w:t xml:space="preserve"> </w:t>
      </w:r>
      <w:r>
        <w:rPr>
          <w:rFonts w:ascii="Times New Roman"/>
          <w:spacing w:val="-2"/>
          <w:szCs w:val="21"/>
        </w:rPr>
        <w:t>通辽牛肉</w:t>
      </w:r>
    </w:p>
    <w:p w14:paraId="1746BE02">
      <w:pPr>
        <w:pStyle w:val="17"/>
        <w:numPr>
          <w:ilvl w:val="0"/>
          <w:numId w:val="2"/>
        </w:numPr>
        <w:spacing w:before="312" w:beforeLines="100" w:after="312" w:afterLines="100"/>
        <w:outlineLvl w:val="0"/>
        <w:rPr>
          <w:rFonts w:ascii="Times New Roman"/>
          <w:szCs w:val="21"/>
        </w:rPr>
      </w:pPr>
      <w:r>
        <w:rPr>
          <w:rFonts w:ascii="Times New Roman"/>
          <w:szCs w:val="21"/>
        </w:rPr>
        <w:t>术语和定义</w:t>
      </w:r>
      <w:bookmarkEnd w:id="20"/>
      <w:bookmarkEnd w:id="21"/>
      <w:bookmarkEnd w:id="22"/>
      <w:bookmarkEnd w:id="23"/>
      <w:bookmarkEnd w:id="24"/>
      <w:bookmarkEnd w:id="25"/>
      <w:bookmarkEnd w:id="26"/>
      <w:bookmarkEnd w:id="27"/>
      <w:bookmarkEnd w:id="28"/>
      <w:bookmarkEnd w:id="29"/>
      <w:bookmarkEnd w:id="30"/>
    </w:p>
    <w:p w14:paraId="2F48B71E">
      <w:pPr>
        <w:ind w:firstLine="420" w:firstLineChars="200"/>
      </w:pPr>
      <w:bookmarkStart w:id="31" w:name="_Toc22135202"/>
      <w:bookmarkEnd w:id="31"/>
      <w:bookmarkStart w:id="32" w:name="_Toc21982429"/>
      <w:bookmarkEnd w:id="32"/>
      <w:bookmarkStart w:id="33" w:name="_Toc20236397"/>
      <w:bookmarkEnd w:id="33"/>
      <w:bookmarkStart w:id="34" w:name="_Toc20410161"/>
      <w:bookmarkEnd w:id="34"/>
      <w:bookmarkStart w:id="35" w:name="_Toc20317841"/>
      <w:bookmarkEnd w:id="35"/>
      <w:bookmarkStart w:id="36" w:name="_Toc21982146"/>
      <w:bookmarkEnd w:id="36"/>
      <w:bookmarkStart w:id="37" w:name="_Toc21982427"/>
      <w:bookmarkEnd w:id="37"/>
      <w:bookmarkStart w:id="38" w:name="_Toc21982140"/>
      <w:bookmarkEnd w:id="38"/>
      <w:bookmarkStart w:id="39" w:name="_Toc21982142"/>
      <w:bookmarkEnd w:id="39"/>
      <w:bookmarkStart w:id="40" w:name="_Toc21982433"/>
      <w:bookmarkEnd w:id="40"/>
      <w:bookmarkStart w:id="41" w:name="_Toc20235282"/>
      <w:bookmarkEnd w:id="41"/>
      <w:bookmarkStart w:id="42" w:name="_Toc16172015"/>
      <w:bookmarkEnd w:id="42"/>
      <w:bookmarkStart w:id="43" w:name="_Toc22135206"/>
      <w:bookmarkEnd w:id="43"/>
      <w:bookmarkStart w:id="44" w:name="_Toc16171937"/>
      <w:bookmarkEnd w:id="44"/>
      <w:bookmarkStart w:id="45" w:name="_Toc20317843"/>
      <w:bookmarkStart w:id="46" w:name="_Toc20235284"/>
      <w:bookmarkStart w:id="47" w:name="_Toc20236399"/>
      <w:r>
        <w:t>下列术语和定义适用于本文件。</w:t>
      </w:r>
    </w:p>
    <w:p w14:paraId="49127419">
      <w:pPr>
        <w:pStyle w:val="17"/>
        <w:spacing w:before="156" w:after="156"/>
      </w:pPr>
      <w:bookmarkStart w:id="48" w:name="OLE_LINK6"/>
      <w:r>
        <w:rPr>
          <w:rFonts w:hint="eastAsia"/>
        </w:rPr>
        <w:t xml:space="preserve">3.1 </w:t>
      </w:r>
    </w:p>
    <w:bookmarkEnd w:id="48"/>
    <w:p w14:paraId="656727D3">
      <w:pPr>
        <w:pStyle w:val="19"/>
        <w:numPr>
          <w:ilvl w:val="1"/>
          <w:numId w:val="0"/>
        </w:numPr>
        <w:spacing w:before="156" w:beforeLines="50" w:after="156" w:afterLines="50"/>
        <w:ind w:firstLine="420" w:firstLineChars="200"/>
        <w:rPr>
          <w:rFonts w:ascii="黑体"/>
        </w:rPr>
      </w:pPr>
      <w:r>
        <w:rPr>
          <w:rFonts w:hint="eastAsia" w:ascii="黑体"/>
        </w:rPr>
        <w:t>通辽犊牛Tongliao calf</w:t>
      </w:r>
    </w:p>
    <w:p w14:paraId="23DE7C49">
      <w:pPr>
        <w:ind w:firstLine="420"/>
        <w:rPr>
          <w:rFonts w:ascii="宋体"/>
          <w:kern w:val="0"/>
          <w:szCs w:val="20"/>
        </w:rPr>
      </w:pPr>
      <w:r>
        <w:rPr>
          <w:rFonts w:hint="eastAsia" w:ascii="宋体"/>
          <w:kern w:val="0"/>
          <w:szCs w:val="20"/>
        </w:rPr>
        <w:t>出生至体重250kg的通辽肉牛。</w:t>
      </w:r>
    </w:p>
    <w:p w14:paraId="71FD9C0B">
      <w:pPr>
        <w:pStyle w:val="17"/>
        <w:spacing w:before="156" w:after="156"/>
      </w:pPr>
      <w:r>
        <w:rPr>
          <w:rFonts w:hint="eastAsia"/>
        </w:rPr>
        <w:t xml:space="preserve">3.2 </w:t>
      </w:r>
    </w:p>
    <w:p w14:paraId="53937604">
      <w:pPr>
        <w:ind w:firstLine="420"/>
        <w:rPr>
          <w:rFonts w:ascii="黑体"/>
        </w:rPr>
      </w:pPr>
      <w:r>
        <w:rPr>
          <w:rFonts w:hint="eastAsia" w:ascii="黑体"/>
        </w:rPr>
        <w:t>通辽育肥牛 Tongliao finishing cattle</w:t>
      </w:r>
    </w:p>
    <w:p w14:paraId="7B7FD110">
      <w:pPr>
        <w:spacing w:line="276" w:lineRule="auto"/>
        <w:ind w:firstLine="420" w:firstLineChars="200"/>
        <w:rPr>
          <w:kern w:val="0"/>
          <w:szCs w:val="20"/>
        </w:rPr>
      </w:pPr>
      <w:r>
        <w:rPr>
          <w:kern w:val="0"/>
          <w:szCs w:val="20"/>
        </w:rPr>
        <w:t>通过分阶段科学饲养，最终达到屠宰体重的通辽肉牛。</w:t>
      </w:r>
    </w:p>
    <w:p w14:paraId="7E56D64F">
      <w:pPr>
        <w:pStyle w:val="17"/>
        <w:numPr>
          <w:ilvl w:val="0"/>
          <w:numId w:val="2"/>
        </w:numPr>
        <w:spacing w:before="312" w:beforeLines="100" w:after="312" w:afterLines="100"/>
        <w:outlineLvl w:val="0"/>
        <w:rPr>
          <w:rFonts w:ascii="Times New Roman"/>
          <w:szCs w:val="21"/>
        </w:rPr>
      </w:pPr>
      <w:r>
        <w:rPr>
          <w:rFonts w:hint="eastAsia" w:ascii="Times New Roman"/>
          <w:szCs w:val="21"/>
        </w:rPr>
        <w:t>饲养场建设</w:t>
      </w:r>
    </w:p>
    <w:p w14:paraId="1C5E0E8E">
      <w:pPr>
        <w:pStyle w:val="17"/>
        <w:numPr>
          <w:ilvl w:val="255"/>
          <w:numId w:val="0"/>
        </w:numPr>
        <w:spacing w:before="156" w:after="156"/>
        <w:outlineLvl w:val="0"/>
        <w:rPr>
          <w:rFonts w:ascii="Times New Roman"/>
          <w:szCs w:val="21"/>
        </w:rPr>
      </w:pPr>
      <w:r>
        <w:rPr>
          <w:rFonts w:hint="eastAsia" w:hAnsi="黑体" w:cs="黑体"/>
          <w:szCs w:val="21"/>
        </w:rPr>
        <w:t>4.1</w:t>
      </w:r>
      <w:r>
        <w:rPr>
          <w:rFonts w:hint="eastAsia" w:ascii="Times New Roman"/>
          <w:szCs w:val="21"/>
        </w:rPr>
        <w:t xml:space="preserve">  饲养场环境要求</w:t>
      </w:r>
    </w:p>
    <w:p w14:paraId="108B2A31">
      <w:pPr>
        <w:ind w:firstLine="630" w:firstLineChars="300"/>
        <w:rPr>
          <w:kern w:val="0"/>
          <w:szCs w:val="20"/>
        </w:rPr>
      </w:pPr>
      <w:bookmarkStart w:id="49" w:name="_Hlk198821341"/>
      <w:r>
        <w:rPr>
          <w:kern w:val="0"/>
          <w:szCs w:val="20"/>
        </w:rPr>
        <w:t>饲养场环境应符合NY/T 682的要求。</w:t>
      </w:r>
    </w:p>
    <w:bookmarkEnd w:id="49"/>
    <w:p w14:paraId="45DE5478">
      <w:pPr>
        <w:pStyle w:val="17"/>
        <w:numPr>
          <w:ilvl w:val="255"/>
          <w:numId w:val="0"/>
        </w:numPr>
        <w:spacing w:before="156" w:after="156"/>
        <w:outlineLvl w:val="0"/>
        <w:rPr>
          <w:rFonts w:hAnsi="黑体" w:cs="黑体"/>
          <w:szCs w:val="21"/>
        </w:rPr>
      </w:pPr>
      <w:r>
        <w:rPr>
          <w:rFonts w:hint="eastAsia" w:hAnsi="黑体" w:cs="黑体"/>
          <w:szCs w:val="21"/>
        </w:rPr>
        <w:t>4.2  选址与布局</w:t>
      </w:r>
    </w:p>
    <w:p w14:paraId="7D5B620C">
      <w:pPr>
        <w:autoSpaceDE w:val="0"/>
        <w:autoSpaceDN w:val="0"/>
        <w:adjustRightInd w:val="0"/>
        <w:rPr>
          <w:color w:val="000000"/>
          <w:kern w:val="0"/>
          <w:szCs w:val="21"/>
        </w:rPr>
      </w:pPr>
      <w:r>
        <w:rPr>
          <w:rFonts w:hint="eastAsia" w:ascii="黑体" w:hAnsi="黑体" w:eastAsia="黑体" w:cs="黑体"/>
          <w:kern w:val="0"/>
          <w:szCs w:val="21"/>
        </w:rPr>
        <w:t xml:space="preserve">4.2.1  </w:t>
      </w:r>
      <w:r>
        <w:rPr>
          <w:color w:val="000000"/>
          <w:kern w:val="0"/>
          <w:szCs w:val="21"/>
        </w:rPr>
        <w:t>牛舍选址应在地势干燥、背风向阳、水源充足、排水良好的地方修建，周围延场向外≤500 m范围内应设保护区免受外界污染。</w:t>
      </w:r>
    </w:p>
    <w:p w14:paraId="35CD5A20">
      <w:pPr>
        <w:autoSpaceDE w:val="0"/>
        <w:autoSpaceDN w:val="0"/>
        <w:adjustRightInd w:val="0"/>
        <w:rPr>
          <w:color w:val="000000"/>
          <w:kern w:val="0"/>
          <w:szCs w:val="21"/>
        </w:rPr>
      </w:pPr>
      <w:r>
        <w:rPr>
          <w:rFonts w:hint="eastAsia" w:ascii="黑体" w:hAnsi="黑体" w:eastAsia="黑体" w:cs="黑体"/>
          <w:kern w:val="0"/>
          <w:szCs w:val="21"/>
        </w:rPr>
        <w:t xml:space="preserve">4.2.2  </w:t>
      </w:r>
      <w:r>
        <w:rPr>
          <w:color w:val="000000"/>
          <w:kern w:val="0"/>
          <w:szCs w:val="21"/>
        </w:rPr>
        <w:t>场区内道路</w:t>
      </w:r>
      <w:r>
        <w:rPr>
          <w:rFonts w:hint="eastAsia"/>
          <w:color w:val="000000"/>
          <w:kern w:val="0"/>
          <w:szCs w:val="21"/>
        </w:rPr>
        <w:t>应</w:t>
      </w:r>
      <w:r>
        <w:rPr>
          <w:color w:val="000000"/>
          <w:kern w:val="0"/>
          <w:szCs w:val="21"/>
        </w:rPr>
        <w:t>硬化，裸露地面绿化，净道和污道互不交叉。</w:t>
      </w:r>
    </w:p>
    <w:p w14:paraId="22074988">
      <w:pPr>
        <w:pStyle w:val="17"/>
        <w:numPr>
          <w:ilvl w:val="255"/>
          <w:numId w:val="0"/>
        </w:numPr>
        <w:spacing w:before="156" w:after="156"/>
        <w:outlineLvl w:val="0"/>
        <w:rPr>
          <w:rFonts w:hAnsi="黑体" w:cs="黑体"/>
          <w:szCs w:val="21"/>
        </w:rPr>
      </w:pPr>
      <w:bookmarkStart w:id="50" w:name="_Hlk198731488"/>
      <w:r>
        <w:rPr>
          <w:rFonts w:hint="eastAsia" w:hAnsi="黑体" w:cs="黑体"/>
          <w:szCs w:val="21"/>
        </w:rPr>
        <w:t>4.3 生产设施与设备</w:t>
      </w:r>
    </w:p>
    <w:p w14:paraId="0C9C99F6">
      <w:pPr>
        <w:ind w:firstLine="420"/>
        <w:rPr>
          <w:kern w:val="0"/>
          <w:szCs w:val="20"/>
        </w:rPr>
      </w:pPr>
      <w:r>
        <w:rPr>
          <w:kern w:val="0"/>
          <w:szCs w:val="20"/>
        </w:rPr>
        <w:t>应符合NY/T 2663的规定。</w:t>
      </w:r>
    </w:p>
    <w:bookmarkEnd w:id="50"/>
    <w:p w14:paraId="6ECB24A4">
      <w:pPr>
        <w:pStyle w:val="17"/>
        <w:numPr>
          <w:ilvl w:val="0"/>
          <w:numId w:val="2"/>
        </w:numPr>
        <w:spacing w:before="312" w:beforeLines="100" w:after="312" w:afterLines="100"/>
        <w:outlineLvl w:val="0"/>
        <w:rPr>
          <w:rFonts w:ascii="Times New Roman"/>
          <w:szCs w:val="21"/>
        </w:rPr>
      </w:pPr>
      <w:r>
        <w:rPr>
          <w:rFonts w:hint="eastAsia" w:ascii="Times New Roman"/>
          <w:szCs w:val="21"/>
        </w:rPr>
        <w:t>日常管理</w:t>
      </w:r>
    </w:p>
    <w:p w14:paraId="0249A337">
      <w:pPr>
        <w:pStyle w:val="17"/>
        <w:numPr>
          <w:ilvl w:val="255"/>
          <w:numId w:val="0"/>
        </w:numPr>
        <w:spacing w:before="156" w:after="156"/>
        <w:outlineLvl w:val="0"/>
        <w:rPr>
          <w:rFonts w:hAnsi="黑体" w:cs="黑体"/>
          <w:szCs w:val="21"/>
        </w:rPr>
      </w:pPr>
      <w:r>
        <w:rPr>
          <w:rFonts w:hint="eastAsia" w:hAnsi="黑体" w:cs="黑体"/>
          <w:szCs w:val="21"/>
        </w:rPr>
        <w:t>5.1  人员管理</w:t>
      </w:r>
    </w:p>
    <w:p w14:paraId="5E071D5E">
      <w:pPr>
        <w:autoSpaceDE w:val="0"/>
        <w:autoSpaceDN w:val="0"/>
        <w:adjustRightInd w:val="0"/>
        <w:rPr>
          <w:color w:val="000000"/>
          <w:kern w:val="0"/>
          <w:szCs w:val="21"/>
        </w:rPr>
      </w:pPr>
      <w:r>
        <w:rPr>
          <w:rFonts w:hint="eastAsia" w:ascii="黑体" w:hAnsi="黑体" w:eastAsia="黑体" w:cs="黑体"/>
          <w:kern w:val="0"/>
          <w:szCs w:val="20"/>
        </w:rPr>
        <w:t xml:space="preserve">5.1.1 </w:t>
      </w:r>
      <w:r>
        <w:rPr>
          <w:color w:val="000000"/>
          <w:kern w:val="0"/>
          <w:szCs w:val="21"/>
        </w:rPr>
        <w:t xml:space="preserve"> 根据生产需要定岗定责，执行各项规章制度。</w:t>
      </w:r>
    </w:p>
    <w:p w14:paraId="51FE7551">
      <w:pPr>
        <w:autoSpaceDE w:val="0"/>
        <w:autoSpaceDN w:val="0"/>
        <w:adjustRightInd w:val="0"/>
        <w:rPr>
          <w:color w:val="000000"/>
          <w:kern w:val="0"/>
          <w:szCs w:val="21"/>
        </w:rPr>
      </w:pPr>
      <w:r>
        <w:rPr>
          <w:rFonts w:hint="eastAsia" w:ascii="黑体" w:hAnsi="黑体" w:eastAsia="黑体" w:cs="黑体"/>
          <w:kern w:val="0"/>
          <w:szCs w:val="20"/>
        </w:rPr>
        <w:t>5.1.2</w:t>
      </w:r>
      <w:r>
        <w:rPr>
          <w:color w:val="000000"/>
          <w:kern w:val="0"/>
          <w:szCs w:val="21"/>
        </w:rPr>
        <w:t xml:space="preserve">  饲养场工作人员定期进行健康检查，有传染病者不得从事饲养工作。</w:t>
      </w:r>
    </w:p>
    <w:p w14:paraId="29E790EC">
      <w:pPr>
        <w:autoSpaceDE w:val="0"/>
        <w:autoSpaceDN w:val="0"/>
        <w:adjustRightInd w:val="0"/>
        <w:rPr>
          <w:color w:val="000000"/>
          <w:kern w:val="0"/>
          <w:szCs w:val="21"/>
        </w:rPr>
      </w:pPr>
      <w:r>
        <w:rPr>
          <w:rFonts w:hint="eastAsia" w:ascii="黑体" w:hAnsi="黑体" w:eastAsia="黑体" w:cs="黑体"/>
          <w:kern w:val="0"/>
          <w:szCs w:val="20"/>
        </w:rPr>
        <w:t>5.1.3</w:t>
      </w:r>
      <w:r>
        <w:rPr>
          <w:color w:val="000000"/>
          <w:kern w:val="0"/>
          <w:szCs w:val="21"/>
        </w:rPr>
        <w:t xml:space="preserve">  饲养场</w:t>
      </w:r>
      <w:bookmarkStart w:id="51" w:name="_Hlk198821820"/>
      <w:r>
        <w:rPr>
          <w:color w:val="000000"/>
          <w:kern w:val="0"/>
          <w:szCs w:val="21"/>
        </w:rPr>
        <w:t>工作人员</w:t>
      </w:r>
      <w:bookmarkEnd w:id="51"/>
      <w:r>
        <w:rPr>
          <w:color w:val="000000"/>
          <w:kern w:val="0"/>
          <w:szCs w:val="21"/>
        </w:rPr>
        <w:t>定期进行技术培训，新增人员应经过岗前培训。</w:t>
      </w:r>
    </w:p>
    <w:p w14:paraId="33AF882D">
      <w:pPr>
        <w:autoSpaceDE w:val="0"/>
        <w:autoSpaceDN w:val="0"/>
        <w:adjustRightInd w:val="0"/>
        <w:rPr>
          <w:color w:val="000000"/>
          <w:kern w:val="0"/>
          <w:szCs w:val="21"/>
        </w:rPr>
      </w:pPr>
      <w:r>
        <w:rPr>
          <w:rFonts w:hint="eastAsia" w:ascii="黑体" w:hAnsi="黑体" w:eastAsia="黑体" w:cs="黑体"/>
          <w:kern w:val="0"/>
          <w:szCs w:val="20"/>
        </w:rPr>
        <w:t xml:space="preserve">5.1.4 </w:t>
      </w:r>
      <w:r>
        <w:rPr>
          <w:color w:val="000000"/>
          <w:kern w:val="0"/>
          <w:szCs w:val="21"/>
        </w:rPr>
        <w:t xml:space="preserve"> 饲养场工作人员进入牛舍，</w:t>
      </w:r>
      <w:r>
        <w:rPr>
          <w:rFonts w:hint="eastAsia"/>
          <w:color w:val="000000"/>
          <w:kern w:val="0"/>
          <w:szCs w:val="21"/>
        </w:rPr>
        <w:t>应</w:t>
      </w:r>
      <w:r>
        <w:rPr>
          <w:color w:val="000000"/>
          <w:kern w:val="0"/>
          <w:szCs w:val="21"/>
        </w:rPr>
        <w:t>穿工作服、工作鞋、工作帽。</w:t>
      </w:r>
    </w:p>
    <w:p w14:paraId="7007E309">
      <w:pPr>
        <w:autoSpaceDE w:val="0"/>
        <w:autoSpaceDN w:val="0"/>
        <w:adjustRightInd w:val="0"/>
        <w:rPr>
          <w:color w:val="000000"/>
          <w:kern w:val="0"/>
          <w:szCs w:val="21"/>
        </w:rPr>
      </w:pPr>
      <w:r>
        <w:rPr>
          <w:rFonts w:hint="eastAsia" w:ascii="黑体" w:hAnsi="黑体" w:eastAsia="黑体" w:cs="黑体"/>
          <w:kern w:val="0"/>
          <w:szCs w:val="20"/>
        </w:rPr>
        <w:t xml:space="preserve">5.1.5 </w:t>
      </w:r>
      <w:r>
        <w:rPr>
          <w:color w:val="000000"/>
          <w:kern w:val="0"/>
          <w:szCs w:val="21"/>
        </w:rPr>
        <w:t xml:space="preserve"> 外来人员进入生产区要按规定程序消毒，更换防护衣、帽和鞋。</w:t>
      </w:r>
    </w:p>
    <w:p w14:paraId="799DD56A">
      <w:pPr>
        <w:pStyle w:val="17"/>
        <w:numPr>
          <w:ilvl w:val="255"/>
          <w:numId w:val="0"/>
        </w:numPr>
        <w:spacing w:before="156" w:after="156"/>
        <w:outlineLvl w:val="0"/>
        <w:rPr>
          <w:rFonts w:hAnsi="黑体" w:cs="黑体"/>
          <w:szCs w:val="21"/>
        </w:rPr>
      </w:pPr>
      <w:r>
        <w:rPr>
          <w:rFonts w:hint="eastAsia" w:hAnsi="黑体" w:cs="黑体"/>
          <w:szCs w:val="21"/>
        </w:rPr>
        <w:t>5.2  环境控制</w:t>
      </w:r>
    </w:p>
    <w:p w14:paraId="37113B2B">
      <w:pPr>
        <w:autoSpaceDE w:val="0"/>
        <w:autoSpaceDN w:val="0"/>
        <w:adjustRightInd w:val="0"/>
        <w:rPr>
          <w:color w:val="000000"/>
          <w:kern w:val="0"/>
          <w:szCs w:val="21"/>
        </w:rPr>
      </w:pPr>
      <w:r>
        <w:rPr>
          <w:rFonts w:hint="eastAsia" w:ascii="黑体" w:hAnsi="黑体" w:eastAsia="黑体" w:cs="黑体"/>
          <w:kern w:val="0"/>
          <w:szCs w:val="20"/>
        </w:rPr>
        <w:t xml:space="preserve">5.2.1 </w:t>
      </w:r>
      <w:r>
        <w:rPr>
          <w:color w:val="000000"/>
          <w:kern w:val="0"/>
          <w:szCs w:val="21"/>
        </w:rPr>
        <w:t xml:space="preserve"> 及时打扫圈舍清理粪尿，勤换垫草，减少疾病发生。</w:t>
      </w:r>
    </w:p>
    <w:p w14:paraId="2B17BD9C">
      <w:pPr>
        <w:autoSpaceDE w:val="0"/>
        <w:autoSpaceDN w:val="0"/>
        <w:adjustRightInd w:val="0"/>
        <w:rPr>
          <w:color w:val="000000"/>
          <w:kern w:val="0"/>
          <w:szCs w:val="21"/>
        </w:rPr>
      </w:pPr>
      <w:r>
        <w:rPr>
          <w:rFonts w:hint="eastAsia" w:ascii="黑体" w:hAnsi="黑体" w:eastAsia="黑体" w:cs="黑体"/>
          <w:kern w:val="0"/>
          <w:szCs w:val="20"/>
        </w:rPr>
        <w:t xml:space="preserve">5.2.2 </w:t>
      </w:r>
      <w:r>
        <w:rPr>
          <w:color w:val="000000"/>
          <w:kern w:val="0"/>
          <w:szCs w:val="21"/>
        </w:rPr>
        <w:t xml:space="preserve"> 保持地面清洁，保持料槽水槽洁净。</w:t>
      </w:r>
    </w:p>
    <w:p w14:paraId="48D1CD1B">
      <w:pPr>
        <w:autoSpaceDE w:val="0"/>
        <w:autoSpaceDN w:val="0"/>
        <w:adjustRightInd w:val="0"/>
        <w:rPr>
          <w:color w:val="000000"/>
          <w:kern w:val="0"/>
          <w:szCs w:val="21"/>
        </w:rPr>
      </w:pPr>
      <w:r>
        <w:rPr>
          <w:rFonts w:hint="eastAsia" w:ascii="黑体" w:hAnsi="黑体" w:eastAsia="黑体" w:cs="黑体"/>
          <w:kern w:val="0"/>
          <w:szCs w:val="20"/>
        </w:rPr>
        <w:t xml:space="preserve">5.2.3 </w:t>
      </w:r>
      <w:r>
        <w:rPr>
          <w:color w:val="000000"/>
          <w:kern w:val="0"/>
          <w:szCs w:val="21"/>
        </w:rPr>
        <w:t xml:space="preserve"> 夏季应防暑降温，冬季应防寒保暖，保证通风良好。</w:t>
      </w:r>
    </w:p>
    <w:p w14:paraId="33B670EE">
      <w:pPr>
        <w:pStyle w:val="17"/>
        <w:numPr>
          <w:ilvl w:val="255"/>
          <w:numId w:val="0"/>
        </w:numPr>
        <w:spacing w:before="156" w:after="156"/>
        <w:outlineLvl w:val="0"/>
        <w:rPr>
          <w:rFonts w:hAnsi="黑体" w:cs="黑体"/>
          <w:szCs w:val="21"/>
        </w:rPr>
      </w:pPr>
      <w:r>
        <w:rPr>
          <w:rFonts w:hint="eastAsia" w:hAnsi="黑体" w:cs="黑体"/>
          <w:szCs w:val="21"/>
        </w:rPr>
        <w:t>5.3  安全管理</w:t>
      </w:r>
    </w:p>
    <w:p w14:paraId="7917386B">
      <w:pPr>
        <w:autoSpaceDE w:val="0"/>
        <w:autoSpaceDN w:val="0"/>
        <w:adjustRightInd w:val="0"/>
        <w:rPr>
          <w:color w:val="000000"/>
          <w:kern w:val="0"/>
          <w:szCs w:val="21"/>
        </w:rPr>
      </w:pPr>
      <w:r>
        <w:rPr>
          <w:rFonts w:hint="eastAsia" w:ascii="黑体" w:hAnsi="黑体" w:eastAsia="黑体" w:cs="黑体"/>
          <w:kern w:val="0"/>
          <w:szCs w:val="20"/>
        </w:rPr>
        <w:t xml:space="preserve">5.3.1  </w:t>
      </w:r>
      <w:r>
        <w:rPr>
          <w:color w:val="000000"/>
          <w:kern w:val="0"/>
          <w:szCs w:val="21"/>
        </w:rPr>
        <w:t>执行安全管理的相关规定，防火防水防盗。</w:t>
      </w:r>
    </w:p>
    <w:p w14:paraId="0ADC5889">
      <w:pPr>
        <w:autoSpaceDE w:val="0"/>
        <w:autoSpaceDN w:val="0"/>
        <w:adjustRightInd w:val="0"/>
        <w:rPr>
          <w:color w:val="000000"/>
          <w:kern w:val="0"/>
          <w:szCs w:val="21"/>
        </w:rPr>
      </w:pPr>
      <w:r>
        <w:rPr>
          <w:rFonts w:hint="eastAsia" w:ascii="黑体" w:hAnsi="黑体" w:eastAsia="黑体" w:cs="黑体"/>
          <w:kern w:val="0"/>
          <w:szCs w:val="20"/>
        </w:rPr>
        <w:t xml:space="preserve">5.3.2  </w:t>
      </w:r>
      <w:r>
        <w:rPr>
          <w:color w:val="000000"/>
          <w:kern w:val="0"/>
          <w:szCs w:val="21"/>
        </w:rPr>
        <w:t>注意人员及牛只安全防护，减少外界应激对牛只的影响。</w:t>
      </w:r>
    </w:p>
    <w:p w14:paraId="423D3664">
      <w:pPr>
        <w:pStyle w:val="17"/>
        <w:numPr>
          <w:ilvl w:val="0"/>
          <w:numId w:val="2"/>
        </w:numPr>
        <w:spacing w:before="312" w:beforeLines="100" w:after="312" w:afterLines="100"/>
        <w:outlineLvl w:val="0"/>
        <w:rPr>
          <w:rFonts w:ascii="Times New Roman"/>
          <w:szCs w:val="21"/>
        </w:rPr>
      </w:pPr>
      <w:bookmarkStart w:id="52" w:name="_Hlk198737639"/>
      <w:r>
        <w:rPr>
          <w:rFonts w:hint="eastAsia" w:ascii="Times New Roman"/>
          <w:szCs w:val="21"/>
        </w:rPr>
        <w:t>饲养投入品管理</w:t>
      </w:r>
    </w:p>
    <w:p w14:paraId="415C8421">
      <w:pPr>
        <w:pStyle w:val="17"/>
        <w:numPr>
          <w:ilvl w:val="255"/>
          <w:numId w:val="0"/>
        </w:numPr>
        <w:spacing w:before="156" w:after="156"/>
        <w:outlineLvl w:val="0"/>
        <w:rPr>
          <w:rFonts w:hAnsi="黑体" w:cs="黑体"/>
          <w:szCs w:val="21"/>
        </w:rPr>
      </w:pPr>
      <w:r>
        <w:rPr>
          <w:rFonts w:hint="eastAsia" w:hAnsi="黑体" w:cs="黑体"/>
          <w:szCs w:val="21"/>
        </w:rPr>
        <w:t>6.1  饮水管理</w:t>
      </w:r>
    </w:p>
    <w:p w14:paraId="1545ABC0">
      <w:pPr>
        <w:autoSpaceDE w:val="0"/>
        <w:autoSpaceDN w:val="0"/>
        <w:adjustRightInd w:val="0"/>
        <w:rPr>
          <w:color w:val="000000"/>
          <w:kern w:val="0"/>
          <w:szCs w:val="21"/>
        </w:rPr>
      </w:pPr>
      <w:r>
        <w:rPr>
          <w:rFonts w:hint="eastAsia" w:ascii="黑体" w:hAnsi="黑体" w:eastAsia="黑体" w:cs="黑体"/>
          <w:kern w:val="0"/>
          <w:szCs w:val="20"/>
        </w:rPr>
        <w:t>6.1.1</w:t>
      </w:r>
      <w:r>
        <w:rPr>
          <w:color w:val="000000"/>
          <w:kern w:val="0"/>
          <w:szCs w:val="21"/>
        </w:rPr>
        <w:t xml:space="preserve">  水质符合GB 5749的要求。</w:t>
      </w:r>
    </w:p>
    <w:p w14:paraId="2CDA9C59">
      <w:pPr>
        <w:autoSpaceDE w:val="0"/>
        <w:autoSpaceDN w:val="0"/>
        <w:adjustRightInd w:val="0"/>
        <w:rPr>
          <w:color w:val="000000"/>
          <w:kern w:val="0"/>
          <w:szCs w:val="21"/>
        </w:rPr>
      </w:pPr>
      <w:r>
        <w:rPr>
          <w:rFonts w:hint="eastAsia" w:ascii="黑体" w:hAnsi="黑体" w:eastAsia="黑体" w:cs="黑体"/>
          <w:kern w:val="0"/>
          <w:szCs w:val="20"/>
        </w:rPr>
        <w:t xml:space="preserve">6.1.2 </w:t>
      </w:r>
      <w:r>
        <w:rPr>
          <w:color w:val="000000"/>
          <w:kern w:val="0"/>
          <w:szCs w:val="21"/>
        </w:rPr>
        <w:t xml:space="preserve"> 每个圈舍设置饮水槽，满足自由饮水的要求。</w:t>
      </w:r>
    </w:p>
    <w:p w14:paraId="59ACD3A1">
      <w:pPr>
        <w:autoSpaceDE w:val="0"/>
        <w:autoSpaceDN w:val="0"/>
        <w:adjustRightInd w:val="0"/>
        <w:rPr>
          <w:color w:val="000000"/>
          <w:kern w:val="0"/>
          <w:szCs w:val="21"/>
        </w:rPr>
      </w:pPr>
      <w:r>
        <w:rPr>
          <w:rFonts w:hint="eastAsia" w:ascii="黑体" w:hAnsi="黑体" w:eastAsia="黑体" w:cs="黑体"/>
          <w:kern w:val="0"/>
          <w:szCs w:val="20"/>
        </w:rPr>
        <w:t>6.1.3</w:t>
      </w:r>
      <w:r>
        <w:rPr>
          <w:color w:val="000000"/>
          <w:kern w:val="0"/>
          <w:szCs w:val="21"/>
        </w:rPr>
        <w:t xml:space="preserve">  夏季为常温饮水，冬季适宜饮水温度为15</w:t>
      </w:r>
      <w:r>
        <w:rPr>
          <w:rFonts w:hint="eastAsia"/>
          <w:color w:val="000000"/>
          <w:kern w:val="0"/>
          <w:szCs w:val="21"/>
          <w:lang w:val="en-US" w:eastAsia="zh-CN"/>
        </w:rPr>
        <w:t xml:space="preserve"> </w:t>
      </w:r>
      <w:r>
        <w:rPr>
          <w:color w:val="000000"/>
          <w:kern w:val="0"/>
          <w:szCs w:val="21"/>
        </w:rPr>
        <w:t>℃~25</w:t>
      </w:r>
      <w:r>
        <w:rPr>
          <w:rFonts w:hint="eastAsia"/>
          <w:color w:val="000000"/>
          <w:kern w:val="0"/>
          <w:szCs w:val="21"/>
          <w:lang w:val="en-US" w:eastAsia="zh-CN"/>
        </w:rPr>
        <w:t xml:space="preserve"> </w:t>
      </w:r>
      <w:r>
        <w:rPr>
          <w:color w:val="000000"/>
          <w:kern w:val="0"/>
          <w:szCs w:val="21"/>
        </w:rPr>
        <w:t>℃。</w:t>
      </w:r>
    </w:p>
    <w:p w14:paraId="563FA466">
      <w:pPr>
        <w:autoSpaceDE w:val="0"/>
        <w:autoSpaceDN w:val="0"/>
        <w:adjustRightInd w:val="0"/>
        <w:rPr>
          <w:color w:val="000000"/>
          <w:kern w:val="0"/>
          <w:szCs w:val="21"/>
        </w:rPr>
      </w:pPr>
      <w:r>
        <w:rPr>
          <w:rFonts w:hint="eastAsia" w:ascii="黑体" w:hAnsi="黑体" w:eastAsia="黑体" w:cs="黑体"/>
          <w:kern w:val="0"/>
          <w:szCs w:val="20"/>
        </w:rPr>
        <w:t xml:space="preserve">6.1.4 </w:t>
      </w:r>
      <w:r>
        <w:rPr>
          <w:color w:val="000000"/>
          <w:kern w:val="0"/>
          <w:szCs w:val="21"/>
        </w:rPr>
        <w:t xml:space="preserve"> 饮水设备定期清洗、消毒。</w:t>
      </w:r>
    </w:p>
    <w:p w14:paraId="6292BFE2">
      <w:pPr>
        <w:pStyle w:val="17"/>
        <w:numPr>
          <w:ilvl w:val="255"/>
          <w:numId w:val="0"/>
        </w:numPr>
        <w:spacing w:before="156" w:after="156"/>
        <w:outlineLvl w:val="0"/>
        <w:rPr>
          <w:rFonts w:hAnsi="黑体" w:cs="黑体"/>
          <w:szCs w:val="21"/>
        </w:rPr>
      </w:pPr>
      <w:r>
        <w:rPr>
          <w:rFonts w:hint="eastAsia" w:hAnsi="黑体" w:cs="黑体"/>
          <w:szCs w:val="21"/>
        </w:rPr>
        <w:t>6.2  饲料管理</w:t>
      </w:r>
    </w:p>
    <w:p w14:paraId="32D83158">
      <w:pPr>
        <w:autoSpaceDE w:val="0"/>
        <w:autoSpaceDN w:val="0"/>
        <w:adjustRightInd w:val="0"/>
        <w:rPr>
          <w:color w:val="000000"/>
          <w:kern w:val="0"/>
          <w:szCs w:val="21"/>
        </w:rPr>
      </w:pPr>
      <w:r>
        <w:rPr>
          <w:rFonts w:hint="eastAsia" w:ascii="黑体" w:hAnsi="黑体" w:eastAsia="黑体" w:cs="黑体"/>
          <w:kern w:val="0"/>
          <w:szCs w:val="20"/>
        </w:rPr>
        <w:t xml:space="preserve">6.2.1  </w:t>
      </w:r>
      <w:r>
        <w:rPr>
          <w:color w:val="000000"/>
          <w:kern w:val="0"/>
          <w:szCs w:val="21"/>
        </w:rPr>
        <w:t>定期对饲料原料进行采样和化验，不应</w:t>
      </w:r>
      <w:r>
        <w:rPr>
          <w:rFonts w:hint="eastAsia"/>
          <w:color w:val="000000"/>
          <w:kern w:val="0"/>
          <w:szCs w:val="21"/>
        </w:rPr>
        <w:t>饲</w:t>
      </w:r>
      <w:r>
        <w:rPr>
          <w:color w:val="000000"/>
          <w:kern w:val="0"/>
          <w:szCs w:val="21"/>
        </w:rPr>
        <w:t>喂发霉和变质的饲料和饲草。</w:t>
      </w:r>
    </w:p>
    <w:p w14:paraId="2AE9DA8E">
      <w:pPr>
        <w:autoSpaceDE w:val="0"/>
        <w:autoSpaceDN w:val="0"/>
        <w:adjustRightInd w:val="0"/>
        <w:rPr>
          <w:color w:val="000000"/>
          <w:kern w:val="0"/>
          <w:szCs w:val="21"/>
        </w:rPr>
      </w:pPr>
      <w:r>
        <w:rPr>
          <w:rFonts w:hint="eastAsia" w:ascii="黑体" w:hAnsi="黑体" w:eastAsia="黑体" w:cs="黑体"/>
          <w:kern w:val="0"/>
          <w:szCs w:val="20"/>
        </w:rPr>
        <w:t>6.2.2</w:t>
      </w:r>
      <w:r>
        <w:rPr>
          <w:color w:val="000000"/>
          <w:kern w:val="0"/>
          <w:szCs w:val="21"/>
        </w:rPr>
        <w:t xml:space="preserve">  饲料原料的产地环境应符合NY/T 391的要求。</w:t>
      </w:r>
    </w:p>
    <w:p w14:paraId="68724E67">
      <w:pPr>
        <w:autoSpaceDE w:val="0"/>
        <w:autoSpaceDN w:val="0"/>
        <w:adjustRightInd w:val="0"/>
        <w:rPr>
          <w:color w:val="000000"/>
          <w:kern w:val="0"/>
          <w:szCs w:val="21"/>
        </w:rPr>
      </w:pPr>
      <w:r>
        <w:rPr>
          <w:rFonts w:hint="eastAsia" w:ascii="黑体" w:hAnsi="黑体" w:eastAsia="黑体" w:cs="黑体"/>
          <w:kern w:val="0"/>
          <w:szCs w:val="20"/>
        </w:rPr>
        <w:t xml:space="preserve">6.2.3 </w:t>
      </w:r>
      <w:r>
        <w:rPr>
          <w:color w:val="000000"/>
          <w:kern w:val="0"/>
          <w:szCs w:val="21"/>
        </w:rPr>
        <w:t xml:space="preserve"> 饲料原料和饲料添加剂的使用应符合GB 13078的要求。</w:t>
      </w:r>
    </w:p>
    <w:p w14:paraId="0436B6F0">
      <w:pPr>
        <w:autoSpaceDE w:val="0"/>
        <w:autoSpaceDN w:val="0"/>
        <w:adjustRightInd w:val="0"/>
        <w:rPr>
          <w:color w:val="000000"/>
          <w:kern w:val="0"/>
          <w:szCs w:val="21"/>
        </w:rPr>
      </w:pPr>
      <w:r>
        <w:rPr>
          <w:rFonts w:hint="eastAsia" w:ascii="黑体" w:hAnsi="黑体" w:eastAsia="黑体" w:cs="黑体"/>
          <w:kern w:val="0"/>
          <w:szCs w:val="20"/>
        </w:rPr>
        <w:t xml:space="preserve">6.2.4 </w:t>
      </w:r>
      <w:r>
        <w:rPr>
          <w:color w:val="000000"/>
          <w:kern w:val="0"/>
          <w:szCs w:val="21"/>
        </w:rPr>
        <w:t xml:space="preserve"> 粗饲料宜选用通辽地区生产的优质牧草、紫花苜蓿和青贮玉米秸秆。</w:t>
      </w:r>
    </w:p>
    <w:p w14:paraId="4214CFC8">
      <w:pPr>
        <w:autoSpaceDE w:val="0"/>
        <w:autoSpaceDN w:val="0"/>
        <w:adjustRightInd w:val="0"/>
        <w:rPr>
          <w:color w:val="000000"/>
          <w:kern w:val="0"/>
          <w:szCs w:val="21"/>
        </w:rPr>
      </w:pPr>
      <w:r>
        <w:rPr>
          <w:rFonts w:hint="eastAsia" w:ascii="黑体" w:hAnsi="黑体" w:eastAsia="黑体" w:cs="黑体"/>
          <w:kern w:val="0"/>
          <w:szCs w:val="20"/>
        </w:rPr>
        <w:t xml:space="preserve">6.2.5 </w:t>
      </w:r>
      <w:r>
        <w:rPr>
          <w:color w:val="000000"/>
          <w:kern w:val="0"/>
          <w:szCs w:val="21"/>
        </w:rPr>
        <w:t xml:space="preserve"> 能量饲料宜选用通辽地区生产的优质黄玉米，饲喂前应经破碎或压扁，粉碎不易过细。</w:t>
      </w:r>
    </w:p>
    <w:p w14:paraId="33740725">
      <w:pPr>
        <w:autoSpaceDE w:val="0"/>
        <w:autoSpaceDN w:val="0"/>
        <w:adjustRightInd w:val="0"/>
        <w:rPr>
          <w:color w:val="000000"/>
          <w:kern w:val="0"/>
          <w:szCs w:val="21"/>
        </w:rPr>
      </w:pPr>
      <w:r>
        <w:rPr>
          <w:rFonts w:hint="eastAsia" w:ascii="黑体" w:hAnsi="黑体" w:eastAsia="黑体" w:cs="黑体"/>
          <w:kern w:val="0"/>
          <w:szCs w:val="20"/>
        </w:rPr>
        <w:t xml:space="preserve">6.2.6 </w:t>
      </w:r>
      <w:r>
        <w:rPr>
          <w:color w:val="000000"/>
          <w:kern w:val="0"/>
          <w:szCs w:val="21"/>
        </w:rPr>
        <w:t xml:space="preserve"> 青贮饲料的制备和使用应符合NY/T 2696的要求。</w:t>
      </w:r>
    </w:p>
    <w:p w14:paraId="0542E7F8">
      <w:pPr>
        <w:pStyle w:val="17"/>
        <w:numPr>
          <w:ilvl w:val="255"/>
          <w:numId w:val="0"/>
        </w:numPr>
        <w:spacing w:before="156" w:after="156"/>
        <w:outlineLvl w:val="0"/>
        <w:rPr>
          <w:rFonts w:hAnsi="黑体" w:cs="黑体"/>
          <w:szCs w:val="21"/>
        </w:rPr>
      </w:pPr>
      <w:r>
        <w:rPr>
          <w:rFonts w:hint="eastAsia" w:hAnsi="黑体" w:cs="黑体"/>
          <w:szCs w:val="21"/>
        </w:rPr>
        <w:t>6.3  疫苗和兽药管理</w:t>
      </w:r>
    </w:p>
    <w:p w14:paraId="72C9BA2E">
      <w:pPr>
        <w:autoSpaceDE w:val="0"/>
        <w:autoSpaceDN w:val="0"/>
        <w:adjustRightInd w:val="0"/>
        <w:rPr>
          <w:color w:val="000000"/>
          <w:kern w:val="0"/>
          <w:szCs w:val="21"/>
        </w:rPr>
      </w:pPr>
      <w:r>
        <w:rPr>
          <w:rFonts w:hint="eastAsia" w:ascii="黑体" w:hAnsi="黑体" w:eastAsia="黑体" w:cs="黑体"/>
          <w:kern w:val="0"/>
          <w:szCs w:val="20"/>
        </w:rPr>
        <w:t xml:space="preserve">6.3.1 </w:t>
      </w:r>
      <w:r>
        <w:rPr>
          <w:color w:val="000000"/>
          <w:kern w:val="0"/>
          <w:szCs w:val="21"/>
        </w:rPr>
        <w:t xml:space="preserve"> 疫苗使用应符合NY 5126的要求。</w:t>
      </w:r>
    </w:p>
    <w:p w14:paraId="3FF8738B">
      <w:pPr>
        <w:autoSpaceDE w:val="0"/>
        <w:autoSpaceDN w:val="0"/>
        <w:adjustRightInd w:val="0"/>
        <w:rPr>
          <w:color w:val="000000"/>
          <w:kern w:val="0"/>
          <w:szCs w:val="21"/>
        </w:rPr>
      </w:pPr>
      <w:r>
        <w:rPr>
          <w:rFonts w:hint="eastAsia" w:ascii="黑体" w:hAnsi="黑体" w:eastAsia="黑体" w:cs="黑体"/>
          <w:kern w:val="0"/>
          <w:szCs w:val="20"/>
        </w:rPr>
        <w:t>6.3.2</w:t>
      </w:r>
      <w:r>
        <w:rPr>
          <w:color w:val="000000"/>
          <w:kern w:val="0"/>
          <w:szCs w:val="21"/>
        </w:rPr>
        <w:t xml:space="preserve">  兽药使用应符合NY/T 5030的规定。</w:t>
      </w:r>
    </w:p>
    <w:p w14:paraId="397566A6">
      <w:pPr>
        <w:pStyle w:val="17"/>
        <w:numPr>
          <w:ilvl w:val="0"/>
          <w:numId w:val="2"/>
        </w:numPr>
        <w:spacing w:before="312" w:beforeLines="100" w:after="312" w:afterLines="100"/>
        <w:outlineLvl w:val="0"/>
        <w:rPr>
          <w:rFonts w:ascii="Times New Roman"/>
          <w:szCs w:val="21"/>
        </w:rPr>
      </w:pPr>
      <w:r>
        <w:rPr>
          <w:rFonts w:hint="eastAsia" w:ascii="Times New Roman"/>
          <w:szCs w:val="21"/>
        </w:rPr>
        <w:t>饲养管理</w:t>
      </w:r>
    </w:p>
    <w:p w14:paraId="67EFCF43">
      <w:pPr>
        <w:pStyle w:val="17"/>
        <w:numPr>
          <w:ilvl w:val="255"/>
          <w:numId w:val="0"/>
        </w:numPr>
        <w:spacing w:before="156" w:after="156"/>
        <w:outlineLvl w:val="0"/>
        <w:rPr>
          <w:rFonts w:hAnsi="黑体" w:cs="黑体"/>
          <w:szCs w:val="21"/>
        </w:rPr>
      </w:pPr>
      <w:r>
        <w:rPr>
          <w:rFonts w:hint="eastAsia" w:hAnsi="黑体" w:cs="黑体"/>
          <w:szCs w:val="21"/>
        </w:rPr>
        <w:t xml:space="preserve">7.1 通辽犊牛的饲养管理 </w:t>
      </w:r>
    </w:p>
    <w:p w14:paraId="75EF18D3">
      <w:pPr>
        <w:pStyle w:val="17"/>
        <w:numPr>
          <w:ilvl w:val="255"/>
          <w:numId w:val="0"/>
        </w:numPr>
        <w:spacing w:before="156" w:after="156"/>
        <w:outlineLvl w:val="0"/>
        <w:rPr>
          <w:rFonts w:hAnsi="黑体" w:cs="黑体"/>
          <w:szCs w:val="21"/>
        </w:rPr>
      </w:pPr>
      <w:r>
        <w:rPr>
          <w:rFonts w:hint="eastAsia" w:hAnsi="黑体" w:cs="黑体"/>
          <w:szCs w:val="21"/>
        </w:rPr>
        <w:t xml:space="preserve">7.1.1  饲养 </w:t>
      </w:r>
    </w:p>
    <w:p w14:paraId="70984E89">
      <w:pPr>
        <w:autoSpaceDE w:val="0"/>
        <w:autoSpaceDN w:val="0"/>
        <w:adjustRightInd w:val="0"/>
        <w:rPr>
          <w:color w:val="000000"/>
          <w:kern w:val="0"/>
          <w:szCs w:val="21"/>
        </w:rPr>
      </w:pPr>
      <w:r>
        <w:rPr>
          <w:rFonts w:hint="eastAsia" w:ascii="黑体" w:hAnsi="黑体" w:eastAsia="黑体" w:cs="黑体"/>
          <w:kern w:val="0"/>
          <w:szCs w:val="20"/>
        </w:rPr>
        <w:t>7.1.1.1</w:t>
      </w:r>
      <w:r>
        <w:rPr>
          <w:color w:val="000000"/>
          <w:kern w:val="0"/>
          <w:szCs w:val="21"/>
        </w:rPr>
        <w:t xml:space="preserve">  犊牛应在出生后1.5</w:t>
      </w:r>
      <w:r>
        <w:rPr>
          <w:rFonts w:hint="eastAsia"/>
          <w:color w:val="000000"/>
          <w:kern w:val="0"/>
          <w:szCs w:val="21"/>
          <w:lang w:val="en-US" w:eastAsia="zh-CN"/>
        </w:rPr>
        <w:t xml:space="preserve"> </w:t>
      </w:r>
      <w:r>
        <w:rPr>
          <w:color w:val="000000"/>
          <w:kern w:val="0"/>
          <w:szCs w:val="21"/>
        </w:rPr>
        <w:t>h内吃到初乳。</w:t>
      </w:r>
    </w:p>
    <w:p w14:paraId="1E09CF97">
      <w:pPr>
        <w:autoSpaceDE w:val="0"/>
        <w:autoSpaceDN w:val="0"/>
        <w:adjustRightInd w:val="0"/>
        <w:rPr>
          <w:color w:val="000000"/>
          <w:kern w:val="0"/>
          <w:szCs w:val="21"/>
        </w:rPr>
      </w:pPr>
      <w:r>
        <w:rPr>
          <w:rFonts w:hint="eastAsia" w:ascii="黑体" w:hAnsi="黑体" w:eastAsia="黑体" w:cs="黑体"/>
          <w:kern w:val="0"/>
          <w:szCs w:val="20"/>
        </w:rPr>
        <w:t>7.1.1.2</w:t>
      </w:r>
      <w:r>
        <w:rPr>
          <w:color w:val="000000"/>
          <w:kern w:val="0"/>
          <w:szCs w:val="21"/>
        </w:rPr>
        <w:t xml:space="preserve">  犊牛出生7日后，开始正式补饲犊牛料和粗饲料，粗饲料选用经过揉制的优质干草自由采食），任意采食粗饲料，控制精料的供给，防止腹泻、消化不良现象的发生。</w:t>
      </w:r>
    </w:p>
    <w:p w14:paraId="796D8408">
      <w:pPr>
        <w:pStyle w:val="17"/>
        <w:numPr>
          <w:ilvl w:val="255"/>
          <w:numId w:val="0"/>
        </w:numPr>
        <w:spacing w:before="156" w:after="156"/>
        <w:outlineLvl w:val="0"/>
        <w:rPr>
          <w:rFonts w:hAnsi="黑体" w:cs="黑体"/>
          <w:szCs w:val="21"/>
        </w:rPr>
      </w:pPr>
      <w:r>
        <w:rPr>
          <w:rFonts w:hint="eastAsia" w:hAnsi="黑体" w:cs="黑体"/>
          <w:szCs w:val="21"/>
        </w:rPr>
        <w:t>7.1.2  管理</w:t>
      </w:r>
    </w:p>
    <w:p w14:paraId="796F1F3D">
      <w:pPr>
        <w:pStyle w:val="17"/>
        <w:numPr>
          <w:ilvl w:val="255"/>
          <w:numId w:val="0"/>
        </w:numPr>
        <w:spacing w:before="156" w:after="156"/>
        <w:outlineLvl w:val="0"/>
        <w:rPr>
          <w:rFonts w:hAnsi="黑体" w:cs="黑体"/>
          <w:szCs w:val="21"/>
        </w:rPr>
      </w:pPr>
      <w:r>
        <w:rPr>
          <w:rFonts w:hint="eastAsia" w:hAnsi="黑体" w:cs="黑体"/>
          <w:szCs w:val="21"/>
        </w:rPr>
        <w:t>7.1.2.1  建档</w:t>
      </w:r>
    </w:p>
    <w:p w14:paraId="370E5C93">
      <w:pPr>
        <w:autoSpaceDE w:val="0"/>
        <w:autoSpaceDN w:val="0"/>
        <w:adjustRightInd w:val="0"/>
        <w:ind w:firstLine="420" w:firstLineChars="200"/>
        <w:rPr>
          <w:color w:val="000000"/>
          <w:kern w:val="0"/>
          <w:szCs w:val="21"/>
        </w:rPr>
      </w:pPr>
      <w:r>
        <w:rPr>
          <w:color w:val="000000"/>
          <w:kern w:val="0"/>
          <w:szCs w:val="21"/>
        </w:rPr>
        <w:t>犊牛吃第一次初乳前应称重，同时编号、佩戴耳标、建立档案。</w:t>
      </w:r>
    </w:p>
    <w:p w14:paraId="3D023F28">
      <w:pPr>
        <w:pStyle w:val="17"/>
        <w:numPr>
          <w:ilvl w:val="255"/>
          <w:numId w:val="0"/>
        </w:numPr>
        <w:spacing w:before="156" w:after="156"/>
        <w:outlineLvl w:val="0"/>
        <w:rPr>
          <w:rFonts w:hAnsi="黑体" w:cs="黑体"/>
          <w:szCs w:val="21"/>
        </w:rPr>
      </w:pPr>
      <w:r>
        <w:rPr>
          <w:rFonts w:hint="eastAsia" w:hAnsi="黑体" w:cs="黑体"/>
          <w:szCs w:val="21"/>
        </w:rPr>
        <w:t>7.1.2.2  防疫</w:t>
      </w:r>
    </w:p>
    <w:p w14:paraId="1A3DAD83">
      <w:pPr>
        <w:autoSpaceDE w:val="0"/>
        <w:autoSpaceDN w:val="0"/>
        <w:adjustRightInd w:val="0"/>
        <w:ind w:firstLine="420" w:firstLineChars="200"/>
        <w:rPr>
          <w:color w:val="000000"/>
          <w:kern w:val="0"/>
          <w:szCs w:val="21"/>
        </w:rPr>
      </w:pPr>
      <w:r>
        <w:rPr>
          <w:color w:val="000000"/>
          <w:kern w:val="0"/>
          <w:szCs w:val="21"/>
        </w:rPr>
        <w:t>定期对犊牛进行驱虫、预防接种。</w:t>
      </w:r>
    </w:p>
    <w:p w14:paraId="4B36351C">
      <w:pPr>
        <w:pStyle w:val="17"/>
        <w:numPr>
          <w:ilvl w:val="255"/>
          <w:numId w:val="0"/>
        </w:numPr>
        <w:spacing w:before="156" w:after="156"/>
        <w:outlineLvl w:val="0"/>
        <w:rPr>
          <w:rFonts w:hAnsi="黑体" w:cs="黑体"/>
          <w:szCs w:val="21"/>
        </w:rPr>
      </w:pPr>
      <w:r>
        <w:rPr>
          <w:rFonts w:hint="eastAsia" w:hAnsi="黑体" w:cs="黑体"/>
          <w:szCs w:val="21"/>
        </w:rPr>
        <w:t>7.1.2.3  环境</w:t>
      </w:r>
    </w:p>
    <w:p w14:paraId="79A047B0">
      <w:pPr>
        <w:autoSpaceDE w:val="0"/>
        <w:autoSpaceDN w:val="0"/>
        <w:adjustRightInd w:val="0"/>
        <w:ind w:firstLine="420" w:firstLineChars="200"/>
        <w:rPr>
          <w:color w:val="000000"/>
          <w:kern w:val="0"/>
          <w:szCs w:val="21"/>
        </w:rPr>
      </w:pPr>
      <w:r>
        <w:rPr>
          <w:color w:val="000000"/>
          <w:kern w:val="0"/>
          <w:szCs w:val="21"/>
        </w:rPr>
        <w:t>犊牛出生可在舍内、外运动场活动，夏天气温高时可驱赶到荫凉处降温，冬季气温低时可铺设干燥厚垫草防寒。</w:t>
      </w:r>
    </w:p>
    <w:p w14:paraId="14EB26F2">
      <w:pPr>
        <w:pStyle w:val="17"/>
        <w:numPr>
          <w:ilvl w:val="255"/>
          <w:numId w:val="0"/>
        </w:numPr>
        <w:spacing w:before="156" w:after="156"/>
        <w:outlineLvl w:val="0"/>
        <w:rPr>
          <w:rFonts w:hAnsi="黑体" w:cs="黑体"/>
          <w:szCs w:val="21"/>
        </w:rPr>
      </w:pPr>
      <w:r>
        <w:rPr>
          <w:rFonts w:hint="eastAsia" w:hAnsi="黑体" w:cs="黑体"/>
          <w:szCs w:val="21"/>
        </w:rPr>
        <w:t>7.1.2.4 分群</w:t>
      </w:r>
    </w:p>
    <w:p w14:paraId="1C41DD12">
      <w:pPr>
        <w:autoSpaceDE w:val="0"/>
        <w:autoSpaceDN w:val="0"/>
        <w:adjustRightInd w:val="0"/>
        <w:ind w:firstLine="420"/>
        <w:rPr>
          <w:color w:val="000000"/>
          <w:kern w:val="0"/>
          <w:szCs w:val="21"/>
        </w:rPr>
      </w:pPr>
      <w:r>
        <w:rPr>
          <w:color w:val="000000"/>
          <w:kern w:val="0"/>
          <w:szCs w:val="21"/>
        </w:rPr>
        <w:t>断奶犊牛按性别和体重进行分群，每群控制在15～20头为宜。</w:t>
      </w:r>
    </w:p>
    <w:p w14:paraId="25CAB623">
      <w:pPr>
        <w:pStyle w:val="17"/>
        <w:numPr>
          <w:ilvl w:val="255"/>
          <w:numId w:val="0"/>
        </w:numPr>
        <w:spacing w:before="156" w:after="156"/>
        <w:outlineLvl w:val="0"/>
        <w:rPr>
          <w:rFonts w:hAnsi="黑体" w:cs="黑体"/>
          <w:szCs w:val="21"/>
        </w:rPr>
      </w:pPr>
      <w:r>
        <w:rPr>
          <w:rFonts w:hint="eastAsia" w:hAnsi="黑体" w:cs="黑体"/>
          <w:szCs w:val="21"/>
        </w:rPr>
        <w:t>7.2 通辽育肥牛的饲养管理</w:t>
      </w:r>
    </w:p>
    <w:p w14:paraId="6CBA11D6">
      <w:pPr>
        <w:pStyle w:val="17"/>
        <w:numPr>
          <w:ilvl w:val="255"/>
          <w:numId w:val="0"/>
        </w:numPr>
        <w:spacing w:before="156" w:after="156"/>
        <w:outlineLvl w:val="0"/>
        <w:rPr>
          <w:rFonts w:hAnsi="黑体" w:cs="黑体"/>
          <w:szCs w:val="21"/>
        </w:rPr>
      </w:pPr>
      <w:bookmarkStart w:id="53" w:name="_Hlk198823831"/>
      <w:r>
        <w:rPr>
          <w:rFonts w:hint="eastAsia" w:hAnsi="黑体" w:cs="黑体"/>
          <w:szCs w:val="21"/>
        </w:rPr>
        <w:t>7.2.1  饲养方式</w:t>
      </w:r>
    </w:p>
    <w:p w14:paraId="394B36A1">
      <w:pPr>
        <w:pStyle w:val="18"/>
        <w:tabs>
          <w:tab w:val="left" w:pos="2181"/>
        </w:tabs>
        <w:ind w:firstLine="420" w:firstLineChars="200"/>
        <w:rPr>
          <w:rFonts w:ascii="Times New Roman"/>
        </w:rPr>
      </w:pPr>
      <w:r>
        <w:rPr>
          <w:rFonts w:ascii="Times New Roman"/>
        </w:rPr>
        <w:t>宜采用</w:t>
      </w:r>
      <w:r>
        <w:rPr>
          <w:rFonts w:hint="eastAsia" w:ascii="Times New Roman"/>
        </w:rPr>
        <w:t>散栏式饲养</w:t>
      </w:r>
      <w:r>
        <w:rPr>
          <w:rFonts w:ascii="Times New Roman"/>
        </w:rPr>
        <w:t>。</w:t>
      </w:r>
    </w:p>
    <w:p w14:paraId="157B89F2">
      <w:pPr>
        <w:pStyle w:val="17"/>
        <w:numPr>
          <w:ilvl w:val="255"/>
          <w:numId w:val="0"/>
        </w:numPr>
        <w:spacing w:before="156" w:after="156"/>
        <w:outlineLvl w:val="0"/>
        <w:rPr>
          <w:rFonts w:hAnsi="黑体" w:cs="黑体"/>
          <w:szCs w:val="21"/>
        </w:rPr>
      </w:pPr>
      <w:r>
        <w:rPr>
          <w:rFonts w:hint="eastAsia" w:hAnsi="黑体" w:cs="黑体"/>
          <w:szCs w:val="21"/>
        </w:rPr>
        <w:t>7.2.2  饲喂原则</w:t>
      </w:r>
    </w:p>
    <w:p w14:paraId="3F67B905">
      <w:pPr>
        <w:pStyle w:val="18"/>
        <w:tabs>
          <w:tab w:val="left" w:pos="2181"/>
        </w:tabs>
        <w:ind w:firstLine="420" w:firstLineChars="200"/>
        <w:rPr>
          <w:rFonts w:ascii="Times New Roman"/>
        </w:rPr>
      </w:pPr>
      <w:r>
        <w:rPr>
          <w:rFonts w:ascii="Times New Roman"/>
        </w:rPr>
        <w:t>以青粗饲料为主，精料补充料为辅，其中青粗饲料宜选用通辽地区优质饲草、紫花苜蓿和全株玉米青贮饲料。</w:t>
      </w:r>
    </w:p>
    <w:p w14:paraId="0931BFD3">
      <w:pPr>
        <w:pStyle w:val="17"/>
        <w:numPr>
          <w:ilvl w:val="255"/>
          <w:numId w:val="0"/>
        </w:numPr>
        <w:spacing w:before="156" w:after="156"/>
        <w:outlineLvl w:val="0"/>
        <w:rPr>
          <w:rFonts w:hAnsi="黑体" w:cs="黑体"/>
          <w:szCs w:val="21"/>
        </w:rPr>
      </w:pPr>
      <w:r>
        <w:rPr>
          <w:rFonts w:hint="eastAsia" w:hAnsi="黑体" w:cs="黑体"/>
          <w:szCs w:val="21"/>
        </w:rPr>
        <w:t>7.2.3  育肥方式</w:t>
      </w:r>
    </w:p>
    <w:p w14:paraId="5498AE4F">
      <w:pPr>
        <w:pStyle w:val="18"/>
        <w:tabs>
          <w:tab w:val="left" w:pos="2181"/>
        </w:tabs>
        <w:snapToGrid w:val="0"/>
        <w:rPr>
          <w:rFonts w:ascii="Times New Roman"/>
        </w:rPr>
      </w:pPr>
      <w:r>
        <w:rPr>
          <w:rFonts w:hint="eastAsia" w:ascii="黑体" w:hAnsi="黑体" w:eastAsia="黑体" w:cs="黑体"/>
        </w:rPr>
        <w:t>7.2.3.1</w:t>
      </w:r>
      <w:r>
        <w:rPr>
          <w:rFonts w:hint="eastAsia" w:ascii="Times New Roman"/>
        </w:rPr>
        <w:t xml:space="preserve">  </w:t>
      </w:r>
      <w:r>
        <w:rPr>
          <w:rFonts w:ascii="Times New Roman"/>
        </w:rPr>
        <w:t>采用分阶段育肥的方式。</w:t>
      </w:r>
    </w:p>
    <w:p w14:paraId="0063F06F">
      <w:pPr>
        <w:pStyle w:val="18"/>
        <w:tabs>
          <w:tab w:val="left" w:pos="2181"/>
        </w:tabs>
        <w:snapToGrid w:val="0"/>
        <w:rPr>
          <w:rFonts w:ascii="Times New Roman"/>
        </w:rPr>
      </w:pPr>
      <w:r>
        <w:rPr>
          <w:rFonts w:hint="eastAsia" w:ascii="黑体" w:hAnsi="黑体" w:eastAsia="黑体" w:cs="黑体"/>
        </w:rPr>
        <w:t xml:space="preserve">7.2.3.2 </w:t>
      </w:r>
      <w:r>
        <w:rPr>
          <w:rFonts w:ascii="Times New Roman"/>
        </w:rPr>
        <w:t xml:space="preserve"> 前期育肥阶段（250</w:t>
      </w:r>
      <w:r>
        <w:rPr>
          <w:rFonts w:hint="eastAsia" w:ascii="Times New Roman"/>
          <w:lang w:val="en-US" w:eastAsia="zh-CN"/>
        </w:rPr>
        <w:t xml:space="preserve"> </w:t>
      </w:r>
      <w:r>
        <w:rPr>
          <w:rFonts w:ascii="Times New Roman"/>
        </w:rPr>
        <w:t>kg~400</w:t>
      </w:r>
      <w:r>
        <w:rPr>
          <w:rFonts w:hint="eastAsia" w:ascii="Times New Roman"/>
          <w:lang w:val="en-US" w:eastAsia="zh-CN"/>
        </w:rPr>
        <w:t xml:space="preserve"> </w:t>
      </w:r>
      <w:r>
        <w:rPr>
          <w:rFonts w:ascii="Times New Roman"/>
        </w:rPr>
        <w:t>kg）</w:t>
      </w:r>
      <w:r>
        <w:rPr>
          <w:rFonts w:hint="eastAsia" w:ascii="Times New Roman"/>
        </w:rPr>
        <w:t>的</w:t>
      </w:r>
      <w:r>
        <w:rPr>
          <w:rFonts w:ascii="Times New Roman"/>
        </w:rPr>
        <w:t>精料和粗料比</w:t>
      </w:r>
      <w:r>
        <w:rPr>
          <w:rFonts w:hint="eastAsia" w:ascii="Times New Roman"/>
        </w:rPr>
        <w:t>宜</w:t>
      </w:r>
      <w:r>
        <w:rPr>
          <w:rFonts w:ascii="Times New Roman"/>
        </w:rPr>
        <w:t>为50%:50%，精料补充料中粗蛋白含量在13~14%。</w:t>
      </w:r>
    </w:p>
    <w:p w14:paraId="150B7CBD">
      <w:pPr>
        <w:pStyle w:val="18"/>
        <w:tabs>
          <w:tab w:val="left" w:pos="2181"/>
        </w:tabs>
        <w:snapToGrid w:val="0"/>
        <w:rPr>
          <w:rFonts w:ascii="Times New Roman"/>
        </w:rPr>
      </w:pPr>
      <w:r>
        <w:rPr>
          <w:rFonts w:hint="eastAsia" w:ascii="黑体" w:hAnsi="黑体" w:eastAsia="黑体" w:cs="黑体"/>
        </w:rPr>
        <w:t xml:space="preserve">7.2.3.3 </w:t>
      </w:r>
      <w:r>
        <w:rPr>
          <w:rFonts w:hint="eastAsia" w:ascii="Times New Roman"/>
        </w:rPr>
        <w:t xml:space="preserve"> </w:t>
      </w:r>
      <w:r>
        <w:rPr>
          <w:rFonts w:ascii="Times New Roman"/>
        </w:rPr>
        <w:t>中期育肥阶段（400</w:t>
      </w:r>
      <w:r>
        <w:rPr>
          <w:rFonts w:hint="eastAsia" w:ascii="Times New Roman"/>
          <w:lang w:val="en-US" w:eastAsia="zh-CN"/>
        </w:rPr>
        <w:t xml:space="preserve"> </w:t>
      </w:r>
      <w:r>
        <w:rPr>
          <w:rFonts w:ascii="Times New Roman"/>
        </w:rPr>
        <w:t>kg~500</w:t>
      </w:r>
      <w:r>
        <w:rPr>
          <w:rFonts w:hint="eastAsia" w:ascii="Times New Roman"/>
          <w:lang w:val="en-US" w:eastAsia="zh-CN"/>
        </w:rPr>
        <w:t xml:space="preserve"> </w:t>
      </w:r>
      <w:r>
        <w:rPr>
          <w:rFonts w:ascii="Times New Roman"/>
        </w:rPr>
        <w:t>kg）</w:t>
      </w:r>
      <w:r>
        <w:rPr>
          <w:rFonts w:hint="eastAsia" w:ascii="Times New Roman"/>
        </w:rPr>
        <w:t>的</w:t>
      </w:r>
      <w:r>
        <w:rPr>
          <w:rFonts w:ascii="Times New Roman"/>
        </w:rPr>
        <w:t>精料和粗料比</w:t>
      </w:r>
      <w:r>
        <w:rPr>
          <w:rFonts w:hint="eastAsia" w:ascii="Times New Roman"/>
        </w:rPr>
        <w:t>宜</w:t>
      </w:r>
      <w:r>
        <w:rPr>
          <w:rFonts w:ascii="Times New Roman"/>
        </w:rPr>
        <w:t>为60%:40%，精料补充料中粗蛋白含量在11~12%。</w:t>
      </w:r>
    </w:p>
    <w:p w14:paraId="74BD0ACB">
      <w:pPr>
        <w:pStyle w:val="18"/>
        <w:tabs>
          <w:tab w:val="left" w:pos="2181"/>
        </w:tabs>
        <w:snapToGrid w:val="0"/>
        <w:rPr>
          <w:rFonts w:ascii="Times New Roman"/>
        </w:rPr>
      </w:pPr>
      <w:r>
        <w:rPr>
          <w:rFonts w:hint="eastAsia" w:ascii="黑体" w:hAnsi="黑体" w:eastAsia="黑体" w:cs="黑体"/>
        </w:rPr>
        <w:t xml:space="preserve">7.2.3.4 </w:t>
      </w:r>
      <w:r>
        <w:rPr>
          <w:rFonts w:hint="eastAsia" w:ascii="Times New Roman"/>
        </w:rPr>
        <w:t xml:space="preserve"> </w:t>
      </w:r>
      <w:r>
        <w:rPr>
          <w:rFonts w:ascii="Times New Roman"/>
        </w:rPr>
        <w:t>后期育肥阶段（500</w:t>
      </w:r>
      <w:r>
        <w:rPr>
          <w:rFonts w:hint="eastAsia" w:ascii="Times New Roman"/>
          <w:lang w:val="en-US" w:eastAsia="zh-CN"/>
        </w:rPr>
        <w:t xml:space="preserve"> </w:t>
      </w:r>
      <w:r>
        <w:rPr>
          <w:rFonts w:ascii="Times New Roman"/>
        </w:rPr>
        <w:t>kg~出栏）</w:t>
      </w:r>
      <w:r>
        <w:rPr>
          <w:rFonts w:hint="eastAsia" w:ascii="Times New Roman"/>
        </w:rPr>
        <w:t>的</w:t>
      </w:r>
      <w:r>
        <w:rPr>
          <w:rFonts w:ascii="Times New Roman"/>
        </w:rPr>
        <w:t>精料和粗料比</w:t>
      </w:r>
      <w:r>
        <w:rPr>
          <w:rFonts w:hint="eastAsia" w:ascii="Times New Roman"/>
        </w:rPr>
        <w:t>宜</w:t>
      </w:r>
      <w:r>
        <w:rPr>
          <w:rFonts w:ascii="Times New Roman"/>
        </w:rPr>
        <w:t>为70%:30%，精料补充料中粗蛋白含量在10~12%。</w:t>
      </w:r>
    </w:p>
    <w:p w14:paraId="1353F56E">
      <w:pPr>
        <w:pStyle w:val="17"/>
        <w:numPr>
          <w:ilvl w:val="255"/>
          <w:numId w:val="0"/>
        </w:numPr>
        <w:spacing w:before="156" w:after="156"/>
        <w:outlineLvl w:val="0"/>
        <w:rPr>
          <w:rFonts w:hAnsi="黑体" w:cs="黑体"/>
          <w:szCs w:val="21"/>
        </w:rPr>
      </w:pPr>
      <w:r>
        <w:rPr>
          <w:rFonts w:hint="eastAsia" w:hAnsi="黑体" w:cs="黑体"/>
          <w:szCs w:val="21"/>
        </w:rPr>
        <w:t>7.3  通辽母牛的饲养管理</w:t>
      </w:r>
    </w:p>
    <w:p w14:paraId="16FB475E">
      <w:pPr>
        <w:pStyle w:val="17"/>
        <w:numPr>
          <w:ilvl w:val="255"/>
          <w:numId w:val="0"/>
        </w:numPr>
        <w:spacing w:before="156" w:after="156"/>
        <w:outlineLvl w:val="0"/>
        <w:rPr>
          <w:rFonts w:hAnsi="黑体" w:cs="黑体"/>
          <w:szCs w:val="21"/>
        </w:rPr>
      </w:pPr>
      <w:r>
        <w:rPr>
          <w:rFonts w:hint="eastAsia" w:hAnsi="黑体" w:cs="黑体"/>
          <w:szCs w:val="21"/>
        </w:rPr>
        <w:t>7.3.1  分群</w:t>
      </w:r>
    </w:p>
    <w:p w14:paraId="40EDA2C9">
      <w:pPr>
        <w:pStyle w:val="38"/>
        <w:snapToGrid w:val="0"/>
        <w:ind w:firstLine="420"/>
        <w:rPr>
          <w:rFonts w:hint="default" w:ascii="Times New Roman" w:hAnsi="Times New Roman"/>
          <w:color w:val="auto"/>
          <w:sz w:val="21"/>
        </w:rPr>
      </w:pPr>
      <w:r>
        <w:rPr>
          <w:rFonts w:ascii="Times New Roman" w:hAnsi="Times New Roman" w:eastAsia="宋体"/>
          <w:color w:val="auto"/>
          <w:sz w:val="21"/>
        </w:rPr>
        <w:t>分为青年母牛、妊娠母牛、围产期母牛和泌乳母牛</w:t>
      </w:r>
      <w:r>
        <w:rPr>
          <w:rFonts w:ascii="Times New Roman" w:hAnsi="Times New Roman"/>
          <w:color w:val="auto"/>
          <w:sz w:val="21"/>
        </w:rPr>
        <w:t>。</w:t>
      </w:r>
    </w:p>
    <w:p w14:paraId="778AD75A">
      <w:pPr>
        <w:pStyle w:val="17"/>
        <w:numPr>
          <w:ilvl w:val="255"/>
          <w:numId w:val="0"/>
        </w:numPr>
        <w:spacing w:before="156" w:after="156"/>
        <w:outlineLvl w:val="0"/>
        <w:rPr>
          <w:rFonts w:hAnsi="黑体" w:cs="黑体"/>
          <w:szCs w:val="21"/>
        </w:rPr>
      </w:pPr>
      <w:r>
        <w:rPr>
          <w:rFonts w:hint="eastAsia" w:hAnsi="黑体" w:cs="黑体"/>
          <w:szCs w:val="21"/>
        </w:rPr>
        <w:t>7.3.2  饲养</w:t>
      </w:r>
    </w:p>
    <w:p w14:paraId="24748BD6">
      <w:pPr>
        <w:pStyle w:val="38"/>
        <w:snapToGrid w:val="0"/>
        <w:ind w:firstLine="420"/>
        <w:rPr>
          <w:rFonts w:hint="default" w:ascii="Times New Roman" w:hAnsi="Times New Roman" w:eastAsia="宋体"/>
          <w:color w:val="auto"/>
          <w:sz w:val="21"/>
        </w:rPr>
      </w:pPr>
      <w:r>
        <w:rPr>
          <w:rFonts w:ascii="Times New Roman" w:hAnsi="Times New Roman" w:eastAsia="宋体"/>
          <w:color w:val="auto"/>
          <w:sz w:val="21"/>
        </w:rPr>
        <w:t>按照</w:t>
      </w:r>
      <w:bookmarkStart w:id="54" w:name="OLE_LINK5"/>
      <w:bookmarkStart w:id="55" w:name="OLE_LINK4"/>
      <w:r>
        <w:rPr>
          <w:rFonts w:ascii="Times New Roman" w:hAnsi="Times New Roman" w:eastAsia="宋体"/>
          <w:color w:val="auto"/>
          <w:sz w:val="21"/>
        </w:rPr>
        <w:t>NY/T 815</w:t>
      </w:r>
      <w:bookmarkEnd w:id="54"/>
      <w:bookmarkEnd w:id="55"/>
      <w:r>
        <w:rPr>
          <w:rFonts w:ascii="Times New Roman" w:hAnsi="Times New Roman" w:eastAsia="宋体"/>
          <w:color w:val="auto"/>
          <w:sz w:val="21"/>
        </w:rPr>
        <w:t>的规定执行。</w:t>
      </w:r>
    </w:p>
    <w:bookmarkEnd w:id="53"/>
    <w:p w14:paraId="26255933">
      <w:pPr>
        <w:pStyle w:val="17"/>
        <w:numPr>
          <w:ilvl w:val="0"/>
          <w:numId w:val="2"/>
        </w:numPr>
        <w:spacing w:before="312" w:beforeLines="100" w:after="312" w:afterLines="100"/>
        <w:outlineLvl w:val="0"/>
        <w:rPr>
          <w:rFonts w:ascii="Times New Roman"/>
          <w:szCs w:val="21"/>
        </w:rPr>
      </w:pPr>
      <w:r>
        <w:rPr>
          <w:rFonts w:hint="eastAsia" w:ascii="Times New Roman"/>
          <w:szCs w:val="21"/>
        </w:rPr>
        <w:t>疫病防治</w:t>
      </w:r>
    </w:p>
    <w:p w14:paraId="01DBC5CF">
      <w:pPr>
        <w:pStyle w:val="17"/>
        <w:numPr>
          <w:ilvl w:val="255"/>
          <w:numId w:val="0"/>
        </w:numPr>
        <w:spacing w:before="156" w:after="156"/>
        <w:outlineLvl w:val="0"/>
        <w:rPr>
          <w:rFonts w:hAnsi="黑体" w:cs="黑体"/>
          <w:szCs w:val="21"/>
        </w:rPr>
      </w:pPr>
      <w:bookmarkStart w:id="56" w:name="_Hlk198830212"/>
      <w:r>
        <w:rPr>
          <w:rFonts w:hint="eastAsia" w:hAnsi="黑体" w:cs="黑体"/>
          <w:szCs w:val="21"/>
        </w:rPr>
        <w:t>8.1  消毒</w:t>
      </w:r>
    </w:p>
    <w:p w14:paraId="6740463A">
      <w:pPr>
        <w:autoSpaceDE w:val="0"/>
        <w:autoSpaceDN w:val="0"/>
        <w:adjustRightInd w:val="0"/>
        <w:ind w:firstLine="420" w:firstLineChars="200"/>
        <w:jc w:val="left"/>
        <w:rPr>
          <w:color w:val="000000"/>
          <w:kern w:val="0"/>
          <w:szCs w:val="21"/>
        </w:rPr>
      </w:pPr>
      <w:r>
        <w:rPr>
          <w:color w:val="000000"/>
          <w:kern w:val="0"/>
          <w:szCs w:val="21"/>
        </w:rPr>
        <w:t xml:space="preserve">消毒工作应按NY/T 3075的要求执行。 </w:t>
      </w:r>
    </w:p>
    <w:p w14:paraId="27D30979">
      <w:pPr>
        <w:pStyle w:val="17"/>
        <w:numPr>
          <w:ilvl w:val="255"/>
          <w:numId w:val="0"/>
        </w:numPr>
        <w:spacing w:before="156" w:after="156"/>
        <w:outlineLvl w:val="0"/>
        <w:rPr>
          <w:rFonts w:hAnsi="黑体" w:cs="黑体"/>
          <w:szCs w:val="21"/>
        </w:rPr>
      </w:pPr>
      <w:r>
        <w:rPr>
          <w:rFonts w:hint="eastAsia" w:hAnsi="黑体" w:cs="黑体"/>
          <w:szCs w:val="21"/>
        </w:rPr>
        <w:t>8.2  防疫</w:t>
      </w:r>
    </w:p>
    <w:p w14:paraId="661F2EBD">
      <w:pPr>
        <w:pStyle w:val="17"/>
        <w:numPr>
          <w:ilvl w:val="255"/>
          <w:numId w:val="0"/>
        </w:numPr>
        <w:spacing w:before="156" w:after="156"/>
        <w:outlineLvl w:val="0"/>
        <w:rPr>
          <w:rFonts w:hAnsi="黑体" w:cs="黑体"/>
          <w:szCs w:val="21"/>
        </w:rPr>
      </w:pPr>
      <w:r>
        <w:rPr>
          <w:rFonts w:hint="eastAsia" w:hAnsi="黑体" w:cs="黑体"/>
          <w:szCs w:val="21"/>
        </w:rPr>
        <w:t>8.2.1  免疫接种</w:t>
      </w:r>
    </w:p>
    <w:p w14:paraId="5550E2F3">
      <w:pPr>
        <w:autoSpaceDE w:val="0"/>
        <w:autoSpaceDN w:val="0"/>
        <w:adjustRightInd w:val="0"/>
        <w:ind w:firstLine="420" w:firstLineChars="200"/>
        <w:jc w:val="left"/>
        <w:rPr>
          <w:color w:val="000000"/>
          <w:kern w:val="0"/>
          <w:szCs w:val="21"/>
          <w:highlight w:val="green"/>
        </w:rPr>
      </w:pPr>
      <w:r>
        <w:rPr>
          <w:color w:val="000000"/>
          <w:kern w:val="0"/>
          <w:szCs w:val="21"/>
        </w:rPr>
        <w:t>饲养场常规疫病预防接种工作</w:t>
      </w:r>
      <w:r>
        <w:rPr>
          <w:rFonts w:hint="eastAsia"/>
          <w:color w:val="000000"/>
          <w:kern w:val="0"/>
          <w:szCs w:val="21"/>
        </w:rPr>
        <w:t>应符合国家有关法律和法规的规定</w:t>
      </w:r>
      <w:r>
        <w:rPr>
          <w:color w:val="000000"/>
          <w:kern w:val="0"/>
          <w:szCs w:val="21"/>
        </w:rPr>
        <w:t>。</w:t>
      </w:r>
    </w:p>
    <w:p w14:paraId="1B1F5966">
      <w:pPr>
        <w:pStyle w:val="17"/>
        <w:numPr>
          <w:ilvl w:val="255"/>
          <w:numId w:val="0"/>
        </w:numPr>
        <w:spacing w:before="156" w:after="156"/>
        <w:outlineLvl w:val="0"/>
        <w:rPr>
          <w:rFonts w:hAnsi="黑体" w:cs="黑体"/>
          <w:szCs w:val="21"/>
        </w:rPr>
      </w:pPr>
      <w:r>
        <w:rPr>
          <w:rFonts w:hint="eastAsia" w:hAnsi="黑体" w:cs="黑体"/>
          <w:szCs w:val="21"/>
        </w:rPr>
        <w:t>8.2.2  布病检测</w:t>
      </w:r>
    </w:p>
    <w:p w14:paraId="1CB55EB8">
      <w:pPr>
        <w:autoSpaceDE w:val="0"/>
        <w:autoSpaceDN w:val="0"/>
        <w:adjustRightInd w:val="0"/>
        <w:ind w:firstLine="420" w:firstLineChars="200"/>
        <w:jc w:val="left"/>
        <w:rPr>
          <w:color w:val="000000"/>
          <w:kern w:val="0"/>
          <w:szCs w:val="21"/>
        </w:rPr>
      </w:pPr>
      <w:r>
        <w:rPr>
          <w:color w:val="000000"/>
          <w:kern w:val="0"/>
          <w:szCs w:val="21"/>
        </w:rPr>
        <w:t>场内3月龄以上的肉牛每半年检测1次。</w:t>
      </w:r>
    </w:p>
    <w:p w14:paraId="74FF8950">
      <w:pPr>
        <w:pStyle w:val="17"/>
        <w:numPr>
          <w:ilvl w:val="255"/>
          <w:numId w:val="0"/>
        </w:numPr>
        <w:spacing w:before="156" w:after="156"/>
        <w:outlineLvl w:val="0"/>
        <w:rPr>
          <w:rFonts w:hAnsi="黑体" w:cs="黑体"/>
          <w:szCs w:val="21"/>
        </w:rPr>
      </w:pPr>
      <w:r>
        <w:rPr>
          <w:rFonts w:hint="eastAsia" w:hAnsi="黑体" w:cs="黑体"/>
          <w:szCs w:val="21"/>
        </w:rPr>
        <w:t>8.2.3  检疫监管</w:t>
      </w:r>
    </w:p>
    <w:p w14:paraId="0A43C56A">
      <w:pPr>
        <w:autoSpaceDE w:val="0"/>
        <w:autoSpaceDN w:val="0"/>
        <w:adjustRightInd w:val="0"/>
        <w:ind w:firstLine="420"/>
        <w:jc w:val="left"/>
        <w:rPr>
          <w:color w:val="000000"/>
          <w:kern w:val="0"/>
          <w:szCs w:val="21"/>
        </w:rPr>
      </w:pPr>
      <w:r>
        <w:rPr>
          <w:color w:val="000000"/>
          <w:kern w:val="0"/>
          <w:szCs w:val="21"/>
        </w:rPr>
        <w:t>饲养场严禁从疫区购买犊牛，购买前必须查验《动物检疫合格证明》，并隔离观察至少45天，合格后方可混群。</w:t>
      </w:r>
    </w:p>
    <w:p w14:paraId="64F93704">
      <w:pPr>
        <w:pStyle w:val="17"/>
        <w:numPr>
          <w:ilvl w:val="255"/>
          <w:numId w:val="0"/>
        </w:numPr>
        <w:spacing w:before="156" w:after="156"/>
        <w:outlineLvl w:val="0"/>
        <w:rPr>
          <w:rFonts w:hAnsi="黑体" w:cs="黑体"/>
          <w:szCs w:val="21"/>
        </w:rPr>
      </w:pPr>
      <w:r>
        <w:rPr>
          <w:rFonts w:hint="eastAsia" w:hAnsi="黑体" w:cs="黑体"/>
          <w:szCs w:val="21"/>
        </w:rPr>
        <w:t>8.2.4  防治工作</w:t>
      </w:r>
    </w:p>
    <w:p w14:paraId="47C0878B">
      <w:pPr>
        <w:autoSpaceDE w:val="0"/>
        <w:autoSpaceDN w:val="0"/>
        <w:adjustRightInd w:val="0"/>
        <w:ind w:firstLine="420"/>
        <w:jc w:val="left"/>
        <w:rPr>
          <w:color w:val="000000"/>
          <w:kern w:val="0"/>
          <w:szCs w:val="21"/>
        </w:rPr>
      </w:pPr>
      <w:r>
        <w:rPr>
          <w:rFonts w:hint="eastAsia"/>
          <w:color w:val="000000"/>
          <w:kern w:val="0"/>
          <w:szCs w:val="21"/>
        </w:rPr>
        <w:t>兽医人员做好牛的疾病防治工作，每天巡视牛群，及时掌握附近50km范围内的牛群健康状况，对疾病做到早发现、早诊断、早治疗，确保牛群健康。</w:t>
      </w:r>
    </w:p>
    <w:p w14:paraId="401CB956">
      <w:pPr>
        <w:pStyle w:val="17"/>
        <w:numPr>
          <w:ilvl w:val="255"/>
          <w:numId w:val="0"/>
        </w:numPr>
        <w:spacing w:before="156" w:after="156"/>
        <w:outlineLvl w:val="0"/>
        <w:rPr>
          <w:rFonts w:hAnsi="黑体" w:cs="黑体"/>
          <w:szCs w:val="21"/>
        </w:rPr>
      </w:pPr>
      <w:r>
        <w:rPr>
          <w:rFonts w:hint="eastAsia" w:hAnsi="黑体" w:cs="黑体"/>
          <w:szCs w:val="21"/>
        </w:rPr>
        <w:t>8.2.5  出场管理</w:t>
      </w:r>
    </w:p>
    <w:p w14:paraId="28FEE9EA">
      <w:pPr>
        <w:autoSpaceDE w:val="0"/>
        <w:autoSpaceDN w:val="0"/>
        <w:adjustRightInd w:val="0"/>
        <w:ind w:firstLine="420"/>
        <w:jc w:val="left"/>
        <w:rPr>
          <w:color w:val="000000"/>
          <w:kern w:val="0"/>
          <w:szCs w:val="21"/>
        </w:rPr>
      </w:pPr>
      <w:r>
        <w:rPr>
          <w:color w:val="000000"/>
          <w:kern w:val="0"/>
          <w:szCs w:val="21"/>
        </w:rPr>
        <w:t>所有出场的牛只</w:t>
      </w:r>
      <w:r>
        <w:rPr>
          <w:rFonts w:hint="eastAsia"/>
          <w:color w:val="000000"/>
          <w:kern w:val="0"/>
          <w:szCs w:val="21"/>
        </w:rPr>
        <w:t>检疫项目合格</w:t>
      </w:r>
      <w:r>
        <w:rPr>
          <w:color w:val="000000"/>
          <w:kern w:val="0"/>
          <w:szCs w:val="21"/>
        </w:rPr>
        <w:t>，</w:t>
      </w:r>
      <w:r>
        <w:rPr>
          <w:rFonts w:hint="eastAsia"/>
          <w:color w:val="000000"/>
          <w:kern w:val="0"/>
          <w:szCs w:val="21"/>
        </w:rPr>
        <w:t>并且布病检测</w:t>
      </w:r>
      <w:r>
        <w:rPr>
          <w:color w:val="000000"/>
          <w:kern w:val="0"/>
          <w:szCs w:val="21"/>
        </w:rPr>
        <w:t>阴性后方可出具《动物检疫合格证明》。</w:t>
      </w:r>
    </w:p>
    <w:p w14:paraId="56608F65">
      <w:pPr>
        <w:pStyle w:val="17"/>
        <w:numPr>
          <w:ilvl w:val="255"/>
          <w:numId w:val="0"/>
        </w:numPr>
        <w:spacing w:before="156" w:after="156"/>
        <w:outlineLvl w:val="0"/>
        <w:rPr>
          <w:rFonts w:hAnsi="黑体" w:cs="黑体"/>
          <w:szCs w:val="21"/>
        </w:rPr>
      </w:pPr>
      <w:r>
        <w:rPr>
          <w:rFonts w:hint="eastAsia" w:hAnsi="黑体" w:cs="黑体"/>
          <w:szCs w:val="21"/>
        </w:rPr>
        <w:t>8.3 驱虫灭蝇</w:t>
      </w:r>
    </w:p>
    <w:p w14:paraId="516A0A47">
      <w:pPr>
        <w:autoSpaceDE w:val="0"/>
        <w:autoSpaceDN w:val="0"/>
        <w:adjustRightInd w:val="0"/>
        <w:ind w:firstLine="420"/>
        <w:jc w:val="left"/>
        <w:rPr>
          <w:color w:val="000000"/>
          <w:kern w:val="0"/>
          <w:szCs w:val="21"/>
        </w:rPr>
      </w:pPr>
      <w:r>
        <w:rPr>
          <w:color w:val="000000"/>
          <w:kern w:val="0"/>
          <w:szCs w:val="21"/>
        </w:rPr>
        <w:t>春秋两季各进行一次驱虫，做好灭蚊蝇、灭鼠工作。</w:t>
      </w:r>
    </w:p>
    <w:bookmarkEnd w:id="56"/>
    <w:p w14:paraId="6C1937E8">
      <w:pPr>
        <w:pStyle w:val="17"/>
        <w:numPr>
          <w:ilvl w:val="0"/>
          <w:numId w:val="2"/>
        </w:numPr>
        <w:spacing w:before="312" w:beforeLines="100" w:after="312" w:afterLines="100"/>
        <w:outlineLvl w:val="0"/>
        <w:rPr>
          <w:rFonts w:ascii="Times New Roman"/>
          <w:szCs w:val="21"/>
        </w:rPr>
      </w:pPr>
      <w:r>
        <w:rPr>
          <w:rFonts w:hint="eastAsia" w:ascii="Times New Roman"/>
          <w:szCs w:val="21"/>
        </w:rPr>
        <w:t>废弃物无害化处理</w:t>
      </w:r>
    </w:p>
    <w:p w14:paraId="1E82B1A0">
      <w:pPr>
        <w:pStyle w:val="17"/>
        <w:numPr>
          <w:ilvl w:val="255"/>
          <w:numId w:val="0"/>
        </w:numPr>
        <w:spacing w:before="156" w:after="156"/>
        <w:outlineLvl w:val="0"/>
        <w:rPr>
          <w:rFonts w:hAnsi="黑体" w:cs="黑体"/>
          <w:szCs w:val="21"/>
        </w:rPr>
      </w:pPr>
      <w:r>
        <w:rPr>
          <w:rFonts w:hint="eastAsia" w:hAnsi="黑体" w:cs="黑体"/>
          <w:szCs w:val="21"/>
        </w:rPr>
        <w:t>9.1 粪污处理</w:t>
      </w:r>
    </w:p>
    <w:p w14:paraId="16E501CC">
      <w:pPr>
        <w:pStyle w:val="18"/>
        <w:tabs>
          <w:tab w:val="left" w:pos="2181"/>
        </w:tabs>
        <w:rPr>
          <w:rFonts w:ascii="Times New Roman"/>
        </w:rPr>
      </w:pPr>
      <w:r>
        <w:rPr>
          <w:rFonts w:hint="eastAsia" w:ascii="黑体" w:hAnsi="黑体" w:eastAsia="黑体" w:cs="黑体"/>
        </w:rPr>
        <w:t xml:space="preserve">9.1.1  </w:t>
      </w:r>
      <w:r>
        <w:rPr>
          <w:rFonts w:ascii="Times New Roman"/>
        </w:rPr>
        <w:t>饲养场污染物排放应符合GB 18596的要求。</w:t>
      </w:r>
    </w:p>
    <w:p w14:paraId="6A82AB33">
      <w:pPr>
        <w:pStyle w:val="18"/>
        <w:tabs>
          <w:tab w:val="left" w:pos="2181"/>
        </w:tabs>
        <w:rPr>
          <w:rFonts w:ascii="Times New Roman"/>
        </w:rPr>
      </w:pPr>
      <w:r>
        <w:rPr>
          <w:rFonts w:hint="eastAsia" w:ascii="黑体" w:hAnsi="黑体" w:eastAsia="黑体" w:cs="黑体"/>
        </w:rPr>
        <w:t>9.1.2</w:t>
      </w:r>
      <w:r>
        <w:rPr>
          <w:rFonts w:hint="eastAsia" w:ascii="Times New Roman"/>
        </w:rPr>
        <w:t xml:space="preserve"> </w:t>
      </w:r>
      <w:r>
        <w:rPr>
          <w:rFonts w:ascii="Times New Roman"/>
        </w:rPr>
        <w:t xml:space="preserve"> 饲养场粪污处理应符合GB/T 36195的规定，可采用堆积发酵、沼气处理等方法进行无害化处理。</w:t>
      </w:r>
    </w:p>
    <w:p w14:paraId="31EEB74B">
      <w:pPr>
        <w:pStyle w:val="17"/>
        <w:numPr>
          <w:ilvl w:val="255"/>
          <w:numId w:val="0"/>
        </w:numPr>
        <w:spacing w:before="156" w:after="156"/>
        <w:outlineLvl w:val="0"/>
        <w:rPr>
          <w:rFonts w:hAnsi="黑体" w:cs="黑体"/>
          <w:szCs w:val="21"/>
        </w:rPr>
      </w:pPr>
      <w:r>
        <w:rPr>
          <w:rFonts w:hint="eastAsia" w:hAnsi="黑体" w:cs="黑体"/>
          <w:szCs w:val="21"/>
        </w:rPr>
        <w:t>9.2 病死牛处理</w:t>
      </w:r>
    </w:p>
    <w:p w14:paraId="2DFA8413">
      <w:pPr>
        <w:pStyle w:val="18"/>
        <w:tabs>
          <w:tab w:val="left" w:pos="2181"/>
        </w:tabs>
        <w:rPr>
          <w:rFonts w:ascii="Times New Roman"/>
        </w:rPr>
      </w:pPr>
      <w:r>
        <w:rPr>
          <w:rFonts w:hint="eastAsia" w:ascii="黑体" w:hAnsi="黑体" w:eastAsia="黑体" w:cs="黑体"/>
        </w:rPr>
        <w:t xml:space="preserve">9.2.1 </w:t>
      </w:r>
      <w:r>
        <w:rPr>
          <w:rFonts w:ascii="Times New Roman"/>
        </w:rPr>
        <w:t xml:space="preserve"> 饲养场不应出售病牛、死牛。</w:t>
      </w:r>
    </w:p>
    <w:p w14:paraId="7EA99FD8">
      <w:pPr>
        <w:pStyle w:val="18"/>
        <w:tabs>
          <w:tab w:val="left" w:pos="2181"/>
        </w:tabs>
        <w:rPr>
          <w:rFonts w:ascii="Times New Roman"/>
        </w:rPr>
      </w:pPr>
      <w:r>
        <w:rPr>
          <w:rFonts w:hint="eastAsia" w:ascii="黑体" w:hAnsi="黑体" w:eastAsia="黑体" w:cs="黑体"/>
        </w:rPr>
        <w:t xml:space="preserve">9.2.2 </w:t>
      </w:r>
      <w:r>
        <w:rPr>
          <w:rFonts w:ascii="Times New Roman"/>
        </w:rPr>
        <w:t xml:space="preserve"> 病</w:t>
      </w:r>
      <w:r>
        <w:rPr>
          <w:rFonts w:hint="eastAsia" w:ascii="Times New Roman"/>
        </w:rPr>
        <w:t>、死</w:t>
      </w:r>
      <w:r>
        <w:rPr>
          <w:rFonts w:ascii="Times New Roman"/>
        </w:rPr>
        <w:t>牛的处理</w:t>
      </w:r>
      <w:r>
        <w:rPr>
          <w:rFonts w:hint="eastAsia" w:ascii="Times New Roman"/>
          <w:lang w:val="en-US" w:eastAsia="zh-CN"/>
        </w:rPr>
        <w:t>见</w:t>
      </w:r>
      <w:r>
        <w:rPr>
          <w:rFonts w:ascii="Times New Roman"/>
        </w:rPr>
        <w:t>《病死及病害动物无害化处理技术规范》，及时无害化处理。</w:t>
      </w:r>
    </w:p>
    <w:p w14:paraId="4C662498">
      <w:pPr>
        <w:pStyle w:val="17"/>
        <w:numPr>
          <w:ilvl w:val="255"/>
          <w:numId w:val="0"/>
        </w:numPr>
        <w:spacing w:before="156" w:after="156"/>
        <w:outlineLvl w:val="0"/>
        <w:rPr>
          <w:rFonts w:hAnsi="黑体" w:cs="黑体"/>
          <w:szCs w:val="21"/>
        </w:rPr>
      </w:pPr>
      <w:r>
        <w:rPr>
          <w:rFonts w:hint="eastAsia" w:hAnsi="黑体" w:cs="黑体"/>
          <w:szCs w:val="21"/>
        </w:rPr>
        <w:t>9.3 其它废弃物处理</w:t>
      </w:r>
    </w:p>
    <w:p w14:paraId="0596B044">
      <w:pPr>
        <w:pStyle w:val="18"/>
        <w:tabs>
          <w:tab w:val="left" w:pos="2181"/>
        </w:tabs>
        <w:ind w:firstLine="420" w:firstLineChars="200"/>
        <w:rPr>
          <w:rFonts w:ascii="Times New Roman"/>
        </w:rPr>
      </w:pPr>
      <w:r>
        <w:rPr>
          <w:rFonts w:ascii="Times New Roman"/>
        </w:rPr>
        <w:t>应按有关规定进行无害化处理，不得随意丢弃。</w:t>
      </w:r>
    </w:p>
    <w:p w14:paraId="00F4DA67">
      <w:pPr>
        <w:pStyle w:val="17"/>
        <w:numPr>
          <w:ilvl w:val="0"/>
          <w:numId w:val="2"/>
        </w:numPr>
        <w:spacing w:before="312" w:beforeLines="100" w:after="312" w:afterLines="100"/>
        <w:outlineLvl w:val="0"/>
        <w:rPr>
          <w:rFonts w:ascii="Times New Roman"/>
          <w:szCs w:val="21"/>
        </w:rPr>
      </w:pPr>
      <w:r>
        <w:rPr>
          <w:rFonts w:hint="eastAsia" w:ascii="Times New Roman"/>
          <w:szCs w:val="21"/>
        </w:rPr>
        <w:t>档案管理</w:t>
      </w:r>
    </w:p>
    <w:p w14:paraId="4C6B4FA6">
      <w:pPr>
        <w:pStyle w:val="18"/>
        <w:tabs>
          <w:tab w:val="left" w:pos="2181"/>
        </w:tabs>
        <w:spacing w:line="240" w:lineRule="auto"/>
        <w:ind w:firstLine="420" w:firstLineChars="200"/>
        <w:rPr>
          <w:rFonts w:ascii="Times New Roman"/>
        </w:rPr>
      </w:pPr>
      <w:bookmarkStart w:id="57" w:name="OLE_LINK1"/>
      <w:r>
        <w:rPr>
          <w:rFonts w:ascii="Times New Roman"/>
        </w:rPr>
        <w:t>应及时、准确建立犊牛和各阶段育肥牛的生产记录档案，所有记录应准确、可靠、完整。</w:t>
      </w:r>
      <w:bookmarkEnd w:id="52"/>
      <w:bookmarkEnd w:id="57"/>
    </w:p>
    <w:bookmarkEnd w:id="45"/>
    <w:bookmarkEnd w:id="46"/>
    <w:bookmarkEnd w:id="47"/>
    <w:p w14:paraId="379EFEE7">
      <w:pPr>
        <w:rPr>
          <w:rFonts w:eastAsiaTheme="minorEastAsia"/>
        </w:rPr>
      </w:pPr>
      <w:bookmarkStart w:id="58" w:name="_Toc20410175"/>
      <w:bookmarkStart w:id="59" w:name="_Toc20235299"/>
      <w:bookmarkStart w:id="60" w:name="_Toc22135279"/>
      <w:bookmarkStart w:id="61" w:name="_Toc16171981"/>
      <w:bookmarkStart w:id="62" w:name="_Toc20236412"/>
      <w:bookmarkStart w:id="63" w:name="_Toc16172045"/>
      <w:bookmarkStart w:id="64" w:name="_Toc20317854"/>
    </w:p>
    <w:p w14:paraId="2C9A354D">
      <w:pPr>
        <w:pStyle w:val="18"/>
        <w:rPr>
          <w:rFonts w:ascii="Times New Roman"/>
        </w:rPr>
      </w:pPr>
    </w:p>
    <w:p w14:paraId="4A500842">
      <w:pPr>
        <w:pStyle w:val="18"/>
        <w:rPr>
          <w:rFonts w:ascii="Times New Roman"/>
        </w:rPr>
      </w:pPr>
    </w:p>
    <w:bookmarkEnd w:id="58"/>
    <w:bookmarkEnd w:id="59"/>
    <w:bookmarkEnd w:id="60"/>
    <w:bookmarkEnd w:id="61"/>
    <w:bookmarkEnd w:id="62"/>
    <w:bookmarkEnd w:id="63"/>
    <w:bookmarkEnd w:id="64"/>
    <w:p w14:paraId="2461AB29">
      <w:pPr>
        <w:rPr>
          <w:rFonts w:ascii="黑体" w:hAnsi="黑体" w:eastAsia="黑体" w:cs="黑体"/>
          <w:color w:val="000000"/>
          <w:szCs w:val="21"/>
          <w:lang w:bidi="zh-TW"/>
        </w:rPr>
      </w:pPr>
      <w:r>
        <w:rPr>
          <w:rFonts w:hint="eastAsia" w:ascii="黑体" w:hAnsi="黑体" w:eastAsia="黑体" w:cs="黑体"/>
          <w:color w:val="000000"/>
          <w:szCs w:val="21"/>
          <w:lang w:bidi="zh-TW"/>
        </w:rPr>
        <w:br w:type="page"/>
      </w:r>
    </w:p>
    <w:p w14:paraId="772D4C64">
      <w:pPr>
        <w:pStyle w:val="18"/>
        <w:tabs>
          <w:tab w:val="center" w:pos="4201"/>
          <w:tab w:val="right" w:leader="dot" w:pos="9298"/>
        </w:tabs>
        <w:adjustRightInd w:val="0"/>
        <w:snapToGrid w:val="0"/>
        <w:spacing w:before="850" w:after="283"/>
        <w:jc w:val="center"/>
        <w:outlineLvl w:val="7"/>
        <w:rPr>
          <w:rFonts w:ascii="Times New Roman" w:eastAsia="黑体"/>
        </w:rPr>
      </w:pPr>
      <w:r>
        <w:rPr>
          <w:rFonts w:hint="eastAsia" w:ascii="Times New Roman" w:eastAsia="黑体"/>
        </w:rPr>
        <w:t>参 考 文 献</w:t>
      </w:r>
    </w:p>
    <w:p w14:paraId="093FE7B9">
      <w:pPr>
        <w:pStyle w:val="18"/>
        <w:numPr>
          <w:ilvl w:val="0"/>
          <w:numId w:val="3"/>
        </w:numPr>
        <w:tabs>
          <w:tab w:val="center" w:pos="4201"/>
          <w:tab w:val="right" w:leader="dot" w:pos="9298"/>
        </w:tabs>
        <w:ind w:firstLine="420" w:firstLineChars="200"/>
        <w:rPr>
          <w:rFonts w:ascii="Times New Roman"/>
        </w:rPr>
      </w:pPr>
      <w:r>
        <w:rPr>
          <w:rFonts w:hint="eastAsia" w:ascii="Times New Roman"/>
        </w:rPr>
        <w:t>病死及病害动物无害化处理技术规范（农医发〔2017〕25号）</w:t>
      </w:r>
    </w:p>
    <w:p w14:paraId="02653E7A">
      <w:pPr>
        <w:pStyle w:val="18"/>
        <w:rPr>
          <w:rFonts w:eastAsiaTheme="minorEastAsia"/>
        </w:rPr>
      </w:pPr>
    </w:p>
    <w:p w14:paraId="32A13B97">
      <w:pPr>
        <w:pStyle w:val="18"/>
        <w:rPr>
          <w:rFonts w:eastAsiaTheme="minorEastAsia"/>
        </w:rPr>
      </w:pPr>
    </w:p>
    <w:p w14:paraId="727399A6">
      <w:pPr>
        <w:pStyle w:val="26"/>
        <w:framePr w:hSpace="0" w:vSpace="0" w:wrap="auto" w:vAnchor="margin" w:hAnchor="text" w:xAlign="left" w:yAlign="inline"/>
        <w:ind w:left="420"/>
        <w:jc w:val="center"/>
      </w:pPr>
      <w:r>
        <w:t>_________________________________</w:t>
      </w:r>
    </w:p>
    <w:p w14:paraId="248D27F5">
      <w:pPr>
        <w:pStyle w:val="18"/>
        <w:rPr>
          <w:rFonts w:eastAsiaTheme="minorEastAsia"/>
        </w:rPr>
      </w:pPr>
    </w:p>
    <w:p w14:paraId="50B9CE30">
      <w:pPr>
        <w:pStyle w:val="18"/>
        <w:rPr>
          <w:rFonts w:eastAsiaTheme="minorEastAsia"/>
        </w:rPr>
      </w:pPr>
    </w:p>
    <w:p w14:paraId="07E9451A">
      <w:pPr>
        <w:pStyle w:val="18"/>
        <w:rPr>
          <w:rFonts w:eastAsiaTheme="minorEastAsia"/>
        </w:rPr>
      </w:pPr>
    </w:p>
    <w:p w14:paraId="183FA788">
      <w:pPr>
        <w:pStyle w:val="18"/>
        <w:rPr>
          <w:rFonts w:eastAsiaTheme="minorEastAsia"/>
        </w:rPr>
      </w:pPr>
    </w:p>
    <w:p w14:paraId="3738FBAB">
      <w:pPr>
        <w:pStyle w:val="18"/>
        <w:rPr>
          <w:rFonts w:ascii="Times New Roman"/>
        </w:rPr>
      </w:pPr>
    </w:p>
    <w:p w14:paraId="46B571BD"/>
    <w:sectPr>
      <w:footerReference r:id="rId9" w:type="default"/>
      <w:pgSz w:w="11906" w:h="16838"/>
      <w:pgMar w:top="1417" w:right="1417" w:bottom="1417" w:left="1417" w:header="1417" w:footer="1134"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Malgun Gothic Semilight"/>
    <w:panose1 w:val="020B0604020202020204"/>
    <w:charset w:val="86"/>
    <w:family w:val="auto"/>
    <w:pitch w:val="default"/>
    <w:sig w:usb0="00000000" w:usb1="00000000" w:usb2="0000003F" w:usb3="00000000" w:csb0="603F01FF" w:csb1="FFFF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A4A68">
    <w:pPr>
      <w:pStyle w:val="36"/>
      <w:jc w:val="center"/>
      <w:rPr>
        <w:rStyle w:val="12"/>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404525">
                          <w:pPr>
                            <w:pStyle w:val="36"/>
                            <w:jc w:val="center"/>
                          </w:pPr>
                          <w:r>
                            <w:rPr>
                              <w:rStyle w:val="12"/>
                            </w:rPr>
                            <w:fldChar w:fldCharType="begin"/>
                          </w:r>
                          <w:r>
                            <w:rPr>
                              <w:rStyle w:val="12"/>
                            </w:rPr>
                            <w:instrText xml:space="preserve">PAGE  </w:instrText>
                          </w:r>
                          <w:r>
                            <w:rPr>
                              <w:rStyle w:val="12"/>
                            </w:rPr>
                            <w:fldChar w:fldCharType="separate"/>
                          </w:r>
                          <w:r>
                            <w:rPr>
                              <w:rStyle w:val="12"/>
                            </w:rPr>
                            <w:t>5</w:t>
                          </w:r>
                          <w:r>
                            <w:rPr>
                              <w:rStyle w:val="1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33404525">
                    <w:pPr>
                      <w:pStyle w:val="36"/>
                      <w:jc w:val="center"/>
                    </w:pPr>
                    <w:r>
                      <w:rPr>
                        <w:rStyle w:val="12"/>
                      </w:rPr>
                      <w:fldChar w:fldCharType="begin"/>
                    </w:r>
                    <w:r>
                      <w:rPr>
                        <w:rStyle w:val="12"/>
                      </w:rPr>
                      <w:instrText xml:space="preserve">PAGE  </w:instrText>
                    </w:r>
                    <w:r>
                      <w:rPr>
                        <w:rStyle w:val="12"/>
                      </w:rPr>
                      <w:fldChar w:fldCharType="separate"/>
                    </w:r>
                    <w:r>
                      <w:rPr>
                        <w:rStyle w:val="12"/>
                      </w:rPr>
                      <w:t>5</w:t>
                    </w:r>
                    <w:r>
                      <w:rPr>
                        <w:rStyle w:val="12"/>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CC034">
    <w:pPr>
      <w:pStyle w:val="5"/>
      <w:framePr w:wrap="around" w:vAnchor="text" w:hAnchor="margin" w:xAlign="right" w:y="1"/>
      <w:rPr>
        <w:rStyle w:val="12"/>
      </w:rPr>
    </w:pPr>
    <w:r>
      <w:rPr>
        <w:rStyle w:val="12"/>
      </w:rPr>
      <w:fldChar w:fldCharType="begin"/>
    </w:r>
    <w:r>
      <w:rPr>
        <w:rStyle w:val="12"/>
      </w:rPr>
      <w:instrText xml:space="preserve">PAGE  </w:instrText>
    </w:r>
    <w:r>
      <w:rPr>
        <w:rStyle w:val="12"/>
      </w:rPr>
      <w:fldChar w:fldCharType="end"/>
    </w:r>
  </w:p>
  <w:p w14:paraId="53B0D2C7">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2DDEC">
    <w:pPr>
      <w:pStyle w:val="36"/>
      <w:jc w:val="both"/>
      <w:rPr>
        <w:rStyle w:val="12"/>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2C52FE">
                          <w:pPr>
                            <w:pStyle w:val="36"/>
                            <w:jc w:val="center"/>
                          </w:pPr>
                          <w:r>
                            <w:rPr>
                              <w:rStyle w:val="12"/>
                            </w:rPr>
                            <w:fldChar w:fldCharType="begin"/>
                          </w:r>
                          <w:r>
                            <w:rPr>
                              <w:rStyle w:val="12"/>
                            </w:rPr>
                            <w:instrText xml:space="preserve">PAGE  </w:instrText>
                          </w:r>
                          <w:r>
                            <w:rPr>
                              <w:rStyle w:val="12"/>
                            </w:rPr>
                            <w:fldChar w:fldCharType="separate"/>
                          </w:r>
                          <w:r>
                            <w:rPr>
                              <w:rStyle w:val="12"/>
                            </w:rPr>
                            <w:t>I</w:t>
                          </w:r>
                          <w:r>
                            <w:rPr>
                              <w:rStyle w:val="1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682C52FE">
                    <w:pPr>
                      <w:pStyle w:val="36"/>
                      <w:jc w:val="center"/>
                    </w:pPr>
                    <w:r>
                      <w:rPr>
                        <w:rStyle w:val="12"/>
                      </w:rPr>
                      <w:fldChar w:fldCharType="begin"/>
                    </w:r>
                    <w:r>
                      <w:rPr>
                        <w:rStyle w:val="12"/>
                      </w:rPr>
                      <w:instrText xml:space="preserve">PAGE  </w:instrText>
                    </w:r>
                    <w:r>
                      <w:rPr>
                        <w:rStyle w:val="12"/>
                      </w:rPr>
                      <w:fldChar w:fldCharType="separate"/>
                    </w:r>
                    <w:r>
                      <w:rPr>
                        <w:rStyle w:val="12"/>
                      </w:rPr>
                      <w:t>I</w:t>
                    </w:r>
                    <w:r>
                      <w:rPr>
                        <w:rStyle w:val="12"/>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BB592">
    <w:pPr>
      <w:pStyle w:val="36"/>
      <w:jc w:val="center"/>
      <w:rPr>
        <w:rStyle w:val="12"/>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9A71CC">
                          <w:pPr>
                            <w:pStyle w:val="36"/>
                            <w:jc w:val="center"/>
                          </w:pPr>
                          <w:r>
                            <w:rPr>
                              <w:rStyle w:val="12"/>
                            </w:rPr>
                            <w:fldChar w:fldCharType="begin"/>
                          </w:r>
                          <w:r>
                            <w:rPr>
                              <w:rStyle w:val="12"/>
                            </w:rPr>
                            <w:instrText xml:space="preserve">PAGE  </w:instrText>
                          </w:r>
                          <w:r>
                            <w:rPr>
                              <w:rStyle w:val="12"/>
                            </w:rPr>
                            <w:fldChar w:fldCharType="separate"/>
                          </w:r>
                          <w:r>
                            <w:rPr>
                              <w:rStyle w:val="12"/>
                            </w:rPr>
                            <w:t>6</w:t>
                          </w:r>
                          <w:r>
                            <w:rPr>
                              <w:rStyle w:val="12"/>
                            </w:rPr>
                            <w:fldChar w:fldCharType="end"/>
                          </w:r>
                        </w:p>
                        <w:p w14:paraId="7050C869"/>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A9A71CC">
                    <w:pPr>
                      <w:pStyle w:val="36"/>
                      <w:jc w:val="center"/>
                    </w:pPr>
                    <w:r>
                      <w:rPr>
                        <w:rStyle w:val="12"/>
                      </w:rPr>
                      <w:fldChar w:fldCharType="begin"/>
                    </w:r>
                    <w:r>
                      <w:rPr>
                        <w:rStyle w:val="12"/>
                      </w:rPr>
                      <w:instrText xml:space="preserve">PAGE  </w:instrText>
                    </w:r>
                    <w:r>
                      <w:rPr>
                        <w:rStyle w:val="12"/>
                      </w:rPr>
                      <w:fldChar w:fldCharType="separate"/>
                    </w:r>
                    <w:r>
                      <w:rPr>
                        <w:rStyle w:val="12"/>
                      </w:rPr>
                      <w:t>6</w:t>
                    </w:r>
                    <w:r>
                      <w:rPr>
                        <w:rStyle w:val="12"/>
                      </w:rPr>
                      <w:fldChar w:fldCharType="end"/>
                    </w:r>
                  </w:p>
                  <w:p w14:paraId="7050C869"/>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C50C9">
    <w:pPr>
      <w:pStyle w:val="34"/>
    </w:pPr>
    <w:r>
      <w:t xml:space="preserve">NY/T </w:t>
    </w:r>
    <w:r>
      <w:rPr>
        <w:rFonts w:hint="eastAsia"/>
      </w:rPr>
      <w:t>1564</w:t>
    </w:r>
    <w:r>
      <w:t>—</w:t>
    </w:r>
    <w:r>
      <w:rPr>
        <w:rFonts w:hint="eastAsia"/>
      </w:rPr>
      <w:t>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99494">
    <w:pPr>
      <w:pStyle w:val="35"/>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DF739">
    <w:pPr>
      <w:pStyle w:val="30"/>
      <w:snapToGrid w:val="0"/>
      <w:spacing w:before="120" w:beforeLines="50"/>
      <w:ind w:left="1277"/>
      <w:rPr>
        <w:rFonts w:ascii="黑体" w:hAnsi="黑体" w:eastAsia="黑体"/>
        <w:sz w:val="21"/>
      </w:rPr>
    </w:pPr>
    <w:r>
      <w:rPr>
        <w:rFonts w:ascii="黑体" w:hAnsi="黑体" w:eastAsia="黑体"/>
        <w:sz w:val="21"/>
      </w:rPr>
      <w:t xml:space="preserve">T/CMATB </w:t>
    </w:r>
    <w:r>
      <w:rPr>
        <w:rFonts w:hint="eastAsia" w:ascii="黑体" w:hAnsi="黑体" w:eastAsia="黑体"/>
        <w:sz w:val="21"/>
      </w:rPr>
      <w:t>XXXX</w:t>
    </w:r>
    <w:r>
      <w:rPr>
        <w:rFonts w:ascii="黑体" w:hAnsi="黑体" w:eastAsia="黑体"/>
        <w:sz w:val="21"/>
      </w:rPr>
      <w:t>—</w:t>
    </w:r>
    <w:r>
      <w:rPr>
        <w:rFonts w:hint="eastAsia" w:ascii="黑体" w:hAnsi="黑体" w:eastAsia="黑体"/>
        <w:sz w:val="21"/>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1B6FFC"/>
    <w:multiLevelType w:val="singleLevel"/>
    <w:tmpl w:val="331B6FFC"/>
    <w:lvl w:ilvl="0" w:tentative="0">
      <w:start w:val="1"/>
      <w:numFmt w:val="decimal"/>
      <w:suff w:val="space"/>
      <w:lvlText w:val="[%1]"/>
      <w:lvlJc w:val="left"/>
    </w:lvl>
  </w:abstractNum>
  <w:abstractNum w:abstractNumId="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25"/>
      <w:suff w:val="nothing"/>
      <w:lvlText w:val="%1%2.%3　"/>
      <w:lvlJc w:val="left"/>
      <w:pPr>
        <w:ind w:left="18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27"/>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748B637C"/>
    <w:multiLevelType w:val="multilevel"/>
    <w:tmpl w:val="748B637C"/>
    <w:lvl w:ilvl="0" w:tentative="0">
      <w:start w:val="1"/>
      <w:numFmt w:val="decimal"/>
      <w:suff w:val="nothing"/>
      <w:lvlText w:val="%1  "/>
      <w:lvlJc w:val="left"/>
      <w:pPr>
        <w:ind w:left="0" w:firstLine="0"/>
      </w:pPr>
      <w:rPr>
        <w:rFonts w:hint="default"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yZjhlOTNmMGVjZTM1NjEyOGFmNGVmOTdiM2MyZjQifQ=="/>
  </w:docVars>
  <w:rsids>
    <w:rsidRoot w:val="715F158B"/>
    <w:rsid w:val="00005402"/>
    <w:rsid w:val="00101AE9"/>
    <w:rsid w:val="002410F1"/>
    <w:rsid w:val="00264751"/>
    <w:rsid w:val="003C434C"/>
    <w:rsid w:val="004407FE"/>
    <w:rsid w:val="005A6AA4"/>
    <w:rsid w:val="00671FB5"/>
    <w:rsid w:val="006E4B6B"/>
    <w:rsid w:val="00785895"/>
    <w:rsid w:val="007958E0"/>
    <w:rsid w:val="007C3A87"/>
    <w:rsid w:val="00801551"/>
    <w:rsid w:val="00814795"/>
    <w:rsid w:val="0085461B"/>
    <w:rsid w:val="008E438F"/>
    <w:rsid w:val="009115A9"/>
    <w:rsid w:val="009603FF"/>
    <w:rsid w:val="00A33C0D"/>
    <w:rsid w:val="00A4112D"/>
    <w:rsid w:val="00B7316C"/>
    <w:rsid w:val="00BA1A55"/>
    <w:rsid w:val="00BC3A1F"/>
    <w:rsid w:val="00BD3739"/>
    <w:rsid w:val="00DF2EC4"/>
    <w:rsid w:val="010333FC"/>
    <w:rsid w:val="0135355E"/>
    <w:rsid w:val="013B0ED4"/>
    <w:rsid w:val="013D4AEA"/>
    <w:rsid w:val="014310EE"/>
    <w:rsid w:val="014E16ED"/>
    <w:rsid w:val="0179546C"/>
    <w:rsid w:val="01922938"/>
    <w:rsid w:val="01A73D87"/>
    <w:rsid w:val="01C26E13"/>
    <w:rsid w:val="01CC7C92"/>
    <w:rsid w:val="01CF32DE"/>
    <w:rsid w:val="01F30184"/>
    <w:rsid w:val="022B6EA3"/>
    <w:rsid w:val="0250441F"/>
    <w:rsid w:val="02511F45"/>
    <w:rsid w:val="02647ECA"/>
    <w:rsid w:val="0284056C"/>
    <w:rsid w:val="02B06959"/>
    <w:rsid w:val="02B50726"/>
    <w:rsid w:val="02B61FAF"/>
    <w:rsid w:val="02DF57A3"/>
    <w:rsid w:val="02E06711"/>
    <w:rsid w:val="031511C4"/>
    <w:rsid w:val="031A67DB"/>
    <w:rsid w:val="03414E95"/>
    <w:rsid w:val="035179D4"/>
    <w:rsid w:val="0357490B"/>
    <w:rsid w:val="03936CB9"/>
    <w:rsid w:val="03B52E7E"/>
    <w:rsid w:val="03C50E3C"/>
    <w:rsid w:val="03EF1A15"/>
    <w:rsid w:val="03EF7C67"/>
    <w:rsid w:val="04185410"/>
    <w:rsid w:val="04294F27"/>
    <w:rsid w:val="0431202E"/>
    <w:rsid w:val="04612DAB"/>
    <w:rsid w:val="046248DD"/>
    <w:rsid w:val="04714FAC"/>
    <w:rsid w:val="04891E6A"/>
    <w:rsid w:val="04D05CEB"/>
    <w:rsid w:val="04D8694E"/>
    <w:rsid w:val="04F23586"/>
    <w:rsid w:val="052B1173"/>
    <w:rsid w:val="052F2A11"/>
    <w:rsid w:val="0539563E"/>
    <w:rsid w:val="053B0A84"/>
    <w:rsid w:val="055C757F"/>
    <w:rsid w:val="059B24B4"/>
    <w:rsid w:val="05B31193"/>
    <w:rsid w:val="05B64EE1"/>
    <w:rsid w:val="05E57574"/>
    <w:rsid w:val="05F72E03"/>
    <w:rsid w:val="060A6FDB"/>
    <w:rsid w:val="061739B6"/>
    <w:rsid w:val="062A4F87"/>
    <w:rsid w:val="064424ED"/>
    <w:rsid w:val="06451DC1"/>
    <w:rsid w:val="06514D33"/>
    <w:rsid w:val="06587AD7"/>
    <w:rsid w:val="06764EFD"/>
    <w:rsid w:val="067F1777"/>
    <w:rsid w:val="069778EF"/>
    <w:rsid w:val="06B8277C"/>
    <w:rsid w:val="06E54213"/>
    <w:rsid w:val="06EF2D4C"/>
    <w:rsid w:val="06F53DF8"/>
    <w:rsid w:val="06FD269B"/>
    <w:rsid w:val="070457D8"/>
    <w:rsid w:val="071E65E4"/>
    <w:rsid w:val="073A1CDE"/>
    <w:rsid w:val="073E12BE"/>
    <w:rsid w:val="0748600C"/>
    <w:rsid w:val="07832BA1"/>
    <w:rsid w:val="0786131B"/>
    <w:rsid w:val="07893F2F"/>
    <w:rsid w:val="07C338E5"/>
    <w:rsid w:val="07DD49A7"/>
    <w:rsid w:val="07EF0236"/>
    <w:rsid w:val="08013015"/>
    <w:rsid w:val="080D690E"/>
    <w:rsid w:val="082C148A"/>
    <w:rsid w:val="083D5469"/>
    <w:rsid w:val="0842480A"/>
    <w:rsid w:val="084F33CB"/>
    <w:rsid w:val="0878022B"/>
    <w:rsid w:val="087F5A5E"/>
    <w:rsid w:val="08856DEC"/>
    <w:rsid w:val="089805D5"/>
    <w:rsid w:val="08995DB5"/>
    <w:rsid w:val="08A21E2F"/>
    <w:rsid w:val="08B1198F"/>
    <w:rsid w:val="08BB1CB7"/>
    <w:rsid w:val="08BC62FE"/>
    <w:rsid w:val="08BE0B98"/>
    <w:rsid w:val="08C72F61"/>
    <w:rsid w:val="08F33D56"/>
    <w:rsid w:val="08FB2C0B"/>
    <w:rsid w:val="090C4E18"/>
    <w:rsid w:val="09175544"/>
    <w:rsid w:val="093E2196"/>
    <w:rsid w:val="09620BB9"/>
    <w:rsid w:val="09622C8A"/>
    <w:rsid w:val="097A0448"/>
    <w:rsid w:val="09882DBF"/>
    <w:rsid w:val="098F1CD1"/>
    <w:rsid w:val="099077F7"/>
    <w:rsid w:val="09D21BBD"/>
    <w:rsid w:val="09E42E0C"/>
    <w:rsid w:val="0A03446D"/>
    <w:rsid w:val="0A33204C"/>
    <w:rsid w:val="0A432ABB"/>
    <w:rsid w:val="0A482F82"/>
    <w:rsid w:val="0A5151D8"/>
    <w:rsid w:val="0A530D4E"/>
    <w:rsid w:val="0A5D1DCF"/>
    <w:rsid w:val="0A6A21BF"/>
    <w:rsid w:val="0A717628"/>
    <w:rsid w:val="0A801619"/>
    <w:rsid w:val="0AA35401"/>
    <w:rsid w:val="0AAA48E8"/>
    <w:rsid w:val="0AB44578"/>
    <w:rsid w:val="0AD428F5"/>
    <w:rsid w:val="0AE222D4"/>
    <w:rsid w:val="0AF344E1"/>
    <w:rsid w:val="0AF745BA"/>
    <w:rsid w:val="0B04224A"/>
    <w:rsid w:val="0B0A5387"/>
    <w:rsid w:val="0B0D6DE1"/>
    <w:rsid w:val="0B100BEF"/>
    <w:rsid w:val="0B1B1342"/>
    <w:rsid w:val="0B2B5A29"/>
    <w:rsid w:val="0B301291"/>
    <w:rsid w:val="0B871679"/>
    <w:rsid w:val="0BA64D8F"/>
    <w:rsid w:val="0BBA4FFF"/>
    <w:rsid w:val="0BC327AE"/>
    <w:rsid w:val="0BC33EB3"/>
    <w:rsid w:val="0BC52D54"/>
    <w:rsid w:val="0BDE2A9B"/>
    <w:rsid w:val="0BF00A21"/>
    <w:rsid w:val="0C3009DF"/>
    <w:rsid w:val="0C3D36B1"/>
    <w:rsid w:val="0C441043"/>
    <w:rsid w:val="0C64330E"/>
    <w:rsid w:val="0C6A75EB"/>
    <w:rsid w:val="0C825B1D"/>
    <w:rsid w:val="0C963376"/>
    <w:rsid w:val="0CA84E57"/>
    <w:rsid w:val="0CC021A1"/>
    <w:rsid w:val="0CE046D1"/>
    <w:rsid w:val="0CE2480D"/>
    <w:rsid w:val="0CE95B9C"/>
    <w:rsid w:val="0CEC568C"/>
    <w:rsid w:val="0CEF0828"/>
    <w:rsid w:val="0CEF0CD8"/>
    <w:rsid w:val="0CF935AF"/>
    <w:rsid w:val="0D103128"/>
    <w:rsid w:val="0D2070E4"/>
    <w:rsid w:val="0D29243C"/>
    <w:rsid w:val="0D405DE1"/>
    <w:rsid w:val="0D525723"/>
    <w:rsid w:val="0D735465"/>
    <w:rsid w:val="0D983C14"/>
    <w:rsid w:val="0D9B0AAB"/>
    <w:rsid w:val="0DFF4F4B"/>
    <w:rsid w:val="0E1C2556"/>
    <w:rsid w:val="0E3A41D5"/>
    <w:rsid w:val="0E8B7D5E"/>
    <w:rsid w:val="0E8D07A9"/>
    <w:rsid w:val="0E9E41EB"/>
    <w:rsid w:val="0E9E4764"/>
    <w:rsid w:val="0EC5310D"/>
    <w:rsid w:val="0ECD6DF7"/>
    <w:rsid w:val="0F1467D4"/>
    <w:rsid w:val="0F205179"/>
    <w:rsid w:val="0F40581B"/>
    <w:rsid w:val="0F53511F"/>
    <w:rsid w:val="0F66397C"/>
    <w:rsid w:val="0F711E78"/>
    <w:rsid w:val="0F8A3B8A"/>
    <w:rsid w:val="0F955B67"/>
    <w:rsid w:val="0F964CB9"/>
    <w:rsid w:val="0FA57C09"/>
    <w:rsid w:val="0FDB0233"/>
    <w:rsid w:val="100C0829"/>
    <w:rsid w:val="1015151D"/>
    <w:rsid w:val="104913C2"/>
    <w:rsid w:val="104D4694"/>
    <w:rsid w:val="10A02A15"/>
    <w:rsid w:val="10AF4A06"/>
    <w:rsid w:val="10BC7123"/>
    <w:rsid w:val="10CD6AFE"/>
    <w:rsid w:val="10F95371"/>
    <w:rsid w:val="10FD4EE8"/>
    <w:rsid w:val="111D5318"/>
    <w:rsid w:val="1122167C"/>
    <w:rsid w:val="114710E3"/>
    <w:rsid w:val="114A0BD3"/>
    <w:rsid w:val="114E421F"/>
    <w:rsid w:val="11650634"/>
    <w:rsid w:val="118F65E6"/>
    <w:rsid w:val="11902A8A"/>
    <w:rsid w:val="119500A0"/>
    <w:rsid w:val="11A55E09"/>
    <w:rsid w:val="11B524F0"/>
    <w:rsid w:val="11BC387F"/>
    <w:rsid w:val="11C8051B"/>
    <w:rsid w:val="11C866C2"/>
    <w:rsid w:val="11DB182B"/>
    <w:rsid w:val="11E64458"/>
    <w:rsid w:val="11EC3A38"/>
    <w:rsid w:val="120708DE"/>
    <w:rsid w:val="12072620"/>
    <w:rsid w:val="120D40DA"/>
    <w:rsid w:val="12216A68"/>
    <w:rsid w:val="12353631"/>
    <w:rsid w:val="124D44D7"/>
    <w:rsid w:val="125515DD"/>
    <w:rsid w:val="12664571"/>
    <w:rsid w:val="1288236D"/>
    <w:rsid w:val="12891287"/>
    <w:rsid w:val="12D26850"/>
    <w:rsid w:val="12EA15F7"/>
    <w:rsid w:val="13081728"/>
    <w:rsid w:val="13086650"/>
    <w:rsid w:val="1317796F"/>
    <w:rsid w:val="134358DA"/>
    <w:rsid w:val="134B1FE3"/>
    <w:rsid w:val="138228A6"/>
    <w:rsid w:val="13C24A0E"/>
    <w:rsid w:val="13F05A62"/>
    <w:rsid w:val="13FC61B5"/>
    <w:rsid w:val="142474B9"/>
    <w:rsid w:val="142A03FE"/>
    <w:rsid w:val="142D2812"/>
    <w:rsid w:val="142E0338"/>
    <w:rsid w:val="14402F93"/>
    <w:rsid w:val="145A45E5"/>
    <w:rsid w:val="145A6A37"/>
    <w:rsid w:val="146A5814"/>
    <w:rsid w:val="146B50E8"/>
    <w:rsid w:val="14995E73"/>
    <w:rsid w:val="14A34882"/>
    <w:rsid w:val="14C05277"/>
    <w:rsid w:val="14D233B9"/>
    <w:rsid w:val="14D94748"/>
    <w:rsid w:val="14E153AA"/>
    <w:rsid w:val="14F50E56"/>
    <w:rsid w:val="15023C9F"/>
    <w:rsid w:val="151632A6"/>
    <w:rsid w:val="15233C15"/>
    <w:rsid w:val="153100E0"/>
    <w:rsid w:val="15363948"/>
    <w:rsid w:val="15407EF2"/>
    <w:rsid w:val="15542020"/>
    <w:rsid w:val="157D3325"/>
    <w:rsid w:val="15804BC3"/>
    <w:rsid w:val="158B1482"/>
    <w:rsid w:val="15D06F8B"/>
    <w:rsid w:val="161517B0"/>
    <w:rsid w:val="16210154"/>
    <w:rsid w:val="163B0AEA"/>
    <w:rsid w:val="16421E79"/>
    <w:rsid w:val="164637E6"/>
    <w:rsid w:val="16481B85"/>
    <w:rsid w:val="164E2511"/>
    <w:rsid w:val="165C73DE"/>
    <w:rsid w:val="165D6CB3"/>
    <w:rsid w:val="166827DF"/>
    <w:rsid w:val="16706153"/>
    <w:rsid w:val="168E1562"/>
    <w:rsid w:val="16911A59"/>
    <w:rsid w:val="16BD53E0"/>
    <w:rsid w:val="16D36F75"/>
    <w:rsid w:val="16E6314C"/>
    <w:rsid w:val="16E87B93"/>
    <w:rsid w:val="1706633F"/>
    <w:rsid w:val="171001C9"/>
    <w:rsid w:val="17127177"/>
    <w:rsid w:val="17345040"/>
    <w:rsid w:val="173F13A5"/>
    <w:rsid w:val="17410382"/>
    <w:rsid w:val="175C65E8"/>
    <w:rsid w:val="17680005"/>
    <w:rsid w:val="176F3141"/>
    <w:rsid w:val="177C00C0"/>
    <w:rsid w:val="178679F1"/>
    <w:rsid w:val="17944956"/>
    <w:rsid w:val="179A3525"/>
    <w:rsid w:val="17A42639"/>
    <w:rsid w:val="17A9015C"/>
    <w:rsid w:val="17B15508"/>
    <w:rsid w:val="17B35ACD"/>
    <w:rsid w:val="17B90777"/>
    <w:rsid w:val="17BC5880"/>
    <w:rsid w:val="17D62037"/>
    <w:rsid w:val="182F341E"/>
    <w:rsid w:val="18300B23"/>
    <w:rsid w:val="1831400C"/>
    <w:rsid w:val="18341D85"/>
    <w:rsid w:val="183526D1"/>
    <w:rsid w:val="183A72AB"/>
    <w:rsid w:val="184719C8"/>
    <w:rsid w:val="18956596"/>
    <w:rsid w:val="18B52DD6"/>
    <w:rsid w:val="18DA1743"/>
    <w:rsid w:val="19094E2B"/>
    <w:rsid w:val="192A645B"/>
    <w:rsid w:val="1934019F"/>
    <w:rsid w:val="19450FD3"/>
    <w:rsid w:val="196B16E7"/>
    <w:rsid w:val="19792055"/>
    <w:rsid w:val="19940109"/>
    <w:rsid w:val="19961478"/>
    <w:rsid w:val="19AD7F51"/>
    <w:rsid w:val="19CE05F3"/>
    <w:rsid w:val="19CE23A1"/>
    <w:rsid w:val="19DB42DF"/>
    <w:rsid w:val="19FD4A34"/>
    <w:rsid w:val="1A0E6C42"/>
    <w:rsid w:val="1A0F6516"/>
    <w:rsid w:val="1A1B5BF6"/>
    <w:rsid w:val="1A3146DE"/>
    <w:rsid w:val="1A4A5089"/>
    <w:rsid w:val="1A530AF8"/>
    <w:rsid w:val="1A761766"/>
    <w:rsid w:val="1A872550"/>
    <w:rsid w:val="1A930EF5"/>
    <w:rsid w:val="1A9E1F8E"/>
    <w:rsid w:val="1AA50C28"/>
    <w:rsid w:val="1AA81F13"/>
    <w:rsid w:val="1AAE3F81"/>
    <w:rsid w:val="1AB62E35"/>
    <w:rsid w:val="1AC217DA"/>
    <w:rsid w:val="1AD37B03"/>
    <w:rsid w:val="1AD67034"/>
    <w:rsid w:val="1ADC6A1D"/>
    <w:rsid w:val="1AFF5B13"/>
    <w:rsid w:val="1B163D36"/>
    <w:rsid w:val="1B262605"/>
    <w:rsid w:val="1B2A7AAB"/>
    <w:rsid w:val="1B3F1135"/>
    <w:rsid w:val="1B414DF5"/>
    <w:rsid w:val="1B4B306E"/>
    <w:rsid w:val="1B50328A"/>
    <w:rsid w:val="1B574618"/>
    <w:rsid w:val="1B7C407F"/>
    <w:rsid w:val="1B970EB9"/>
    <w:rsid w:val="1BA4348E"/>
    <w:rsid w:val="1BAF1D5E"/>
    <w:rsid w:val="1C085913"/>
    <w:rsid w:val="1C12186A"/>
    <w:rsid w:val="1C24274C"/>
    <w:rsid w:val="1C33298F"/>
    <w:rsid w:val="1C386676"/>
    <w:rsid w:val="1C694603"/>
    <w:rsid w:val="1C8A2B02"/>
    <w:rsid w:val="1C9A2A0F"/>
    <w:rsid w:val="1CA63E1C"/>
    <w:rsid w:val="1CA728DC"/>
    <w:rsid w:val="1CE31557"/>
    <w:rsid w:val="1CF85987"/>
    <w:rsid w:val="1CFD4D4B"/>
    <w:rsid w:val="1D063C00"/>
    <w:rsid w:val="1D1231FB"/>
    <w:rsid w:val="1D255CFB"/>
    <w:rsid w:val="1D2E600F"/>
    <w:rsid w:val="1D464944"/>
    <w:rsid w:val="1D5D4F42"/>
    <w:rsid w:val="1D6D1ED1"/>
    <w:rsid w:val="1D7414B2"/>
    <w:rsid w:val="1D7E27C4"/>
    <w:rsid w:val="1D94745E"/>
    <w:rsid w:val="1D9A07EC"/>
    <w:rsid w:val="1DA750FA"/>
    <w:rsid w:val="1DA82F09"/>
    <w:rsid w:val="1DED3012"/>
    <w:rsid w:val="1E0D7210"/>
    <w:rsid w:val="1E682698"/>
    <w:rsid w:val="1E7F3A49"/>
    <w:rsid w:val="1E9516DF"/>
    <w:rsid w:val="1EA74AFA"/>
    <w:rsid w:val="1EAF69BE"/>
    <w:rsid w:val="1EB3600A"/>
    <w:rsid w:val="1EE44415"/>
    <w:rsid w:val="1EFB2B1A"/>
    <w:rsid w:val="1F3709E9"/>
    <w:rsid w:val="1F3C4E81"/>
    <w:rsid w:val="1F446D63"/>
    <w:rsid w:val="1F482287"/>
    <w:rsid w:val="1F5F584A"/>
    <w:rsid w:val="1F6E7612"/>
    <w:rsid w:val="1F9951FF"/>
    <w:rsid w:val="1F996FAD"/>
    <w:rsid w:val="1FCB2EDF"/>
    <w:rsid w:val="1FD46237"/>
    <w:rsid w:val="1FF81FA6"/>
    <w:rsid w:val="200530C6"/>
    <w:rsid w:val="201900EE"/>
    <w:rsid w:val="20234AC9"/>
    <w:rsid w:val="20286583"/>
    <w:rsid w:val="2068689C"/>
    <w:rsid w:val="208E57EA"/>
    <w:rsid w:val="209816EE"/>
    <w:rsid w:val="20A57BD4"/>
    <w:rsid w:val="20AA343C"/>
    <w:rsid w:val="21093B01"/>
    <w:rsid w:val="21093CBF"/>
    <w:rsid w:val="21113386"/>
    <w:rsid w:val="21127704"/>
    <w:rsid w:val="21134B3E"/>
    <w:rsid w:val="21192920"/>
    <w:rsid w:val="214E201A"/>
    <w:rsid w:val="215525E8"/>
    <w:rsid w:val="21564CC5"/>
    <w:rsid w:val="21571507"/>
    <w:rsid w:val="218473C3"/>
    <w:rsid w:val="219C0FD7"/>
    <w:rsid w:val="21BE2E1C"/>
    <w:rsid w:val="21BF4CC5"/>
    <w:rsid w:val="21CF315A"/>
    <w:rsid w:val="21D61DDC"/>
    <w:rsid w:val="21D73DBD"/>
    <w:rsid w:val="21F52D2D"/>
    <w:rsid w:val="22133B0F"/>
    <w:rsid w:val="221C5C74"/>
    <w:rsid w:val="226D4721"/>
    <w:rsid w:val="227B5090"/>
    <w:rsid w:val="227C7B23"/>
    <w:rsid w:val="229C1A92"/>
    <w:rsid w:val="22D64075"/>
    <w:rsid w:val="22F4274D"/>
    <w:rsid w:val="23111551"/>
    <w:rsid w:val="23114793"/>
    <w:rsid w:val="23200420"/>
    <w:rsid w:val="232C1EE7"/>
    <w:rsid w:val="232E186A"/>
    <w:rsid w:val="23334CC9"/>
    <w:rsid w:val="23414BB8"/>
    <w:rsid w:val="235002CB"/>
    <w:rsid w:val="235565C2"/>
    <w:rsid w:val="2378512C"/>
    <w:rsid w:val="237F64BA"/>
    <w:rsid w:val="23867C9E"/>
    <w:rsid w:val="238B1AF9"/>
    <w:rsid w:val="238E0DF3"/>
    <w:rsid w:val="23983A20"/>
    <w:rsid w:val="239F4DAE"/>
    <w:rsid w:val="23E028C0"/>
    <w:rsid w:val="23F30C56"/>
    <w:rsid w:val="24125580"/>
    <w:rsid w:val="24143E1B"/>
    <w:rsid w:val="2418246B"/>
    <w:rsid w:val="241F3BAD"/>
    <w:rsid w:val="242E2E48"/>
    <w:rsid w:val="24507029"/>
    <w:rsid w:val="245B6DB7"/>
    <w:rsid w:val="2478071C"/>
    <w:rsid w:val="247C0ED5"/>
    <w:rsid w:val="247E49C4"/>
    <w:rsid w:val="248024EA"/>
    <w:rsid w:val="24A05D7F"/>
    <w:rsid w:val="24D35DFB"/>
    <w:rsid w:val="24EF2718"/>
    <w:rsid w:val="24F75F2B"/>
    <w:rsid w:val="25113A8A"/>
    <w:rsid w:val="25145328"/>
    <w:rsid w:val="253F4153"/>
    <w:rsid w:val="25583889"/>
    <w:rsid w:val="258E0C37"/>
    <w:rsid w:val="258E6E89"/>
    <w:rsid w:val="25AE0D72"/>
    <w:rsid w:val="25B43229"/>
    <w:rsid w:val="25CE64B1"/>
    <w:rsid w:val="25E41FE9"/>
    <w:rsid w:val="25ED0053"/>
    <w:rsid w:val="25FA451E"/>
    <w:rsid w:val="25FA6BAC"/>
    <w:rsid w:val="26331252"/>
    <w:rsid w:val="264B6B28"/>
    <w:rsid w:val="264E2C81"/>
    <w:rsid w:val="266B541C"/>
    <w:rsid w:val="26753572"/>
    <w:rsid w:val="26C51C58"/>
    <w:rsid w:val="26D65F40"/>
    <w:rsid w:val="26E8136C"/>
    <w:rsid w:val="26F31699"/>
    <w:rsid w:val="27082C6B"/>
    <w:rsid w:val="27127645"/>
    <w:rsid w:val="271909D4"/>
    <w:rsid w:val="272555CB"/>
    <w:rsid w:val="27397709"/>
    <w:rsid w:val="27545EB0"/>
    <w:rsid w:val="276D3849"/>
    <w:rsid w:val="277A5916"/>
    <w:rsid w:val="278B355F"/>
    <w:rsid w:val="278F537C"/>
    <w:rsid w:val="27B506FD"/>
    <w:rsid w:val="27E15995"/>
    <w:rsid w:val="27EC60E8"/>
    <w:rsid w:val="28001A0F"/>
    <w:rsid w:val="280D678A"/>
    <w:rsid w:val="289E0A26"/>
    <w:rsid w:val="28A6273B"/>
    <w:rsid w:val="28B07116"/>
    <w:rsid w:val="28BF3904"/>
    <w:rsid w:val="28D64957"/>
    <w:rsid w:val="28F434A6"/>
    <w:rsid w:val="293146FB"/>
    <w:rsid w:val="29392484"/>
    <w:rsid w:val="293D65ED"/>
    <w:rsid w:val="2964687E"/>
    <w:rsid w:val="29661255"/>
    <w:rsid w:val="296F0D7F"/>
    <w:rsid w:val="29910CF5"/>
    <w:rsid w:val="29AF1F09"/>
    <w:rsid w:val="29B03871"/>
    <w:rsid w:val="29E74DB9"/>
    <w:rsid w:val="2A042ABA"/>
    <w:rsid w:val="2A222295"/>
    <w:rsid w:val="2A24600D"/>
    <w:rsid w:val="2A36189D"/>
    <w:rsid w:val="2A3B4116"/>
    <w:rsid w:val="2A63608A"/>
    <w:rsid w:val="2A6A4078"/>
    <w:rsid w:val="2A7206F0"/>
    <w:rsid w:val="2A842608"/>
    <w:rsid w:val="2AD0584D"/>
    <w:rsid w:val="2ADB2B70"/>
    <w:rsid w:val="2ADB54EC"/>
    <w:rsid w:val="2AF7636C"/>
    <w:rsid w:val="2B1C4F36"/>
    <w:rsid w:val="2B1F5B31"/>
    <w:rsid w:val="2B2230DE"/>
    <w:rsid w:val="2B317A4F"/>
    <w:rsid w:val="2B350611"/>
    <w:rsid w:val="2B3D6264"/>
    <w:rsid w:val="2B794137"/>
    <w:rsid w:val="2B9B3F1D"/>
    <w:rsid w:val="2BA576C3"/>
    <w:rsid w:val="2BA77508"/>
    <w:rsid w:val="2BCA04EF"/>
    <w:rsid w:val="2BDD46C6"/>
    <w:rsid w:val="2C2959C2"/>
    <w:rsid w:val="2C645E65"/>
    <w:rsid w:val="2C6B7F24"/>
    <w:rsid w:val="2C6E5EC2"/>
    <w:rsid w:val="2C87617D"/>
    <w:rsid w:val="2CB847EB"/>
    <w:rsid w:val="2CC25D23"/>
    <w:rsid w:val="2CCB09C2"/>
    <w:rsid w:val="2CE77338"/>
    <w:rsid w:val="2CF00429"/>
    <w:rsid w:val="2CF505DD"/>
    <w:rsid w:val="2CFA4E04"/>
    <w:rsid w:val="2D241E80"/>
    <w:rsid w:val="2D31101F"/>
    <w:rsid w:val="2D5C0C70"/>
    <w:rsid w:val="2D687FBF"/>
    <w:rsid w:val="2D6A01DB"/>
    <w:rsid w:val="2D8E211C"/>
    <w:rsid w:val="2D940755"/>
    <w:rsid w:val="2D9675D6"/>
    <w:rsid w:val="2D980D09"/>
    <w:rsid w:val="2DBE22D5"/>
    <w:rsid w:val="2DBE68CC"/>
    <w:rsid w:val="2DD03764"/>
    <w:rsid w:val="2DDD09AD"/>
    <w:rsid w:val="2E04418C"/>
    <w:rsid w:val="2E232E31"/>
    <w:rsid w:val="2E262492"/>
    <w:rsid w:val="2E276A03"/>
    <w:rsid w:val="2E2933FE"/>
    <w:rsid w:val="2E2B600A"/>
    <w:rsid w:val="2E372556"/>
    <w:rsid w:val="2E514EF7"/>
    <w:rsid w:val="2E62218D"/>
    <w:rsid w:val="2E76670C"/>
    <w:rsid w:val="2E8B21B7"/>
    <w:rsid w:val="2E992A65"/>
    <w:rsid w:val="2E9F2106"/>
    <w:rsid w:val="2EAE5EA6"/>
    <w:rsid w:val="2EB07E70"/>
    <w:rsid w:val="2F1531D0"/>
    <w:rsid w:val="2F1F6DA3"/>
    <w:rsid w:val="2F311268"/>
    <w:rsid w:val="2F6824F8"/>
    <w:rsid w:val="2F9B38D6"/>
    <w:rsid w:val="2F9B467C"/>
    <w:rsid w:val="2FA00426"/>
    <w:rsid w:val="2FBE7946"/>
    <w:rsid w:val="2FC32F68"/>
    <w:rsid w:val="2FC647F3"/>
    <w:rsid w:val="2FC75471"/>
    <w:rsid w:val="2FD44032"/>
    <w:rsid w:val="2FE34275"/>
    <w:rsid w:val="302E3742"/>
    <w:rsid w:val="30380106"/>
    <w:rsid w:val="3041038A"/>
    <w:rsid w:val="306058C5"/>
    <w:rsid w:val="30894E1C"/>
    <w:rsid w:val="309A4933"/>
    <w:rsid w:val="30AA0CCD"/>
    <w:rsid w:val="30AE1C6C"/>
    <w:rsid w:val="30B005FB"/>
    <w:rsid w:val="30F85AFE"/>
    <w:rsid w:val="31050543"/>
    <w:rsid w:val="31070819"/>
    <w:rsid w:val="31327262"/>
    <w:rsid w:val="31413001"/>
    <w:rsid w:val="314174A5"/>
    <w:rsid w:val="314235B5"/>
    <w:rsid w:val="31604D10"/>
    <w:rsid w:val="317C04DD"/>
    <w:rsid w:val="319553BB"/>
    <w:rsid w:val="319E126B"/>
    <w:rsid w:val="31A71603"/>
    <w:rsid w:val="31AD0696"/>
    <w:rsid w:val="31B71515"/>
    <w:rsid w:val="31E75151"/>
    <w:rsid w:val="31F14A27"/>
    <w:rsid w:val="31F443CB"/>
    <w:rsid w:val="31F91B2E"/>
    <w:rsid w:val="320F1351"/>
    <w:rsid w:val="321C7AAD"/>
    <w:rsid w:val="3220530C"/>
    <w:rsid w:val="324E1E79"/>
    <w:rsid w:val="32700042"/>
    <w:rsid w:val="32DD4C49"/>
    <w:rsid w:val="32E0684A"/>
    <w:rsid w:val="32EC3440"/>
    <w:rsid w:val="32F3060F"/>
    <w:rsid w:val="32FF3876"/>
    <w:rsid w:val="33174961"/>
    <w:rsid w:val="33305A23"/>
    <w:rsid w:val="333F17C2"/>
    <w:rsid w:val="33484B1B"/>
    <w:rsid w:val="334A6CCC"/>
    <w:rsid w:val="33676199"/>
    <w:rsid w:val="33C341A1"/>
    <w:rsid w:val="33F46A50"/>
    <w:rsid w:val="33F56325"/>
    <w:rsid w:val="33F61444"/>
    <w:rsid w:val="341862D2"/>
    <w:rsid w:val="342033A2"/>
    <w:rsid w:val="345F12CF"/>
    <w:rsid w:val="346040E6"/>
    <w:rsid w:val="347B0F20"/>
    <w:rsid w:val="349A13A6"/>
    <w:rsid w:val="34AE30A3"/>
    <w:rsid w:val="34C44675"/>
    <w:rsid w:val="34F565DC"/>
    <w:rsid w:val="34F767F8"/>
    <w:rsid w:val="34FC3E0F"/>
    <w:rsid w:val="34FF745B"/>
    <w:rsid w:val="35060391"/>
    <w:rsid w:val="35154ED0"/>
    <w:rsid w:val="3516045F"/>
    <w:rsid w:val="352F7287"/>
    <w:rsid w:val="35503621"/>
    <w:rsid w:val="357D65D2"/>
    <w:rsid w:val="358264BC"/>
    <w:rsid w:val="35966E67"/>
    <w:rsid w:val="35984358"/>
    <w:rsid w:val="35C45A8C"/>
    <w:rsid w:val="35CF1523"/>
    <w:rsid w:val="35DA1C76"/>
    <w:rsid w:val="360A60B7"/>
    <w:rsid w:val="361A2073"/>
    <w:rsid w:val="361E2E89"/>
    <w:rsid w:val="3652180C"/>
    <w:rsid w:val="366A4DA8"/>
    <w:rsid w:val="367C2AF7"/>
    <w:rsid w:val="368F2A60"/>
    <w:rsid w:val="369C3089"/>
    <w:rsid w:val="36AA1648"/>
    <w:rsid w:val="36B65DB6"/>
    <w:rsid w:val="36B67FED"/>
    <w:rsid w:val="36B96E85"/>
    <w:rsid w:val="36E25286"/>
    <w:rsid w:val="36EC7EB3"/>
    <w:rsid w:val="370945C1"/>
    <w:rsid w:val="373553B6"/>
    <w:rsid w:val="373A32B1"/>
    <w:rsid w:val="374D2339"/>
    <w:rsid w:val="37740F38"/>
    <w:rsid w:val="3781684D"/>
    <w:rsid w:val="37B266D6"/>
    <w:rsid w:val="381D5608"/>
    <w:rsid w:val="381E1A51"/>
    <w:rsid w:val="384358B1"/>
    <w:rsid w:val="384B29B7"/>
    <w:rsid w:val="384B4EB5"/>
    <w:rsid w:val="39072D82"/>
    <w:rsid w:val="391D07F7"/>
    <w:rsid w:val="392E030F"/>
    <w:rsid w:val="395A55A8"/>
    <w:rsid w:val="395C1320"/>
    <w:rsid w:val="39774380"/>
    <w:rsid w:val="399A59A4"/>
    <w:rsid w:val="39A46823"/>
    <w:rsid w:val="39A746F7"/>
    <w:rsid w:val="39AB5E03"/>
    <w:rsid w:val="39D24BE5"/>
    <w:rsid w:val="39DA0497"/>
    <w:rsid w:val="39E76710"/>
    <w:rsid w:val="39EC01D6"/>
    <w:rsid w:val="3A2E40D2"/>
    <w:rsid w:val="3A414072"/>
    <w:rsid w:val="3A661D2A"/>
    <w:rsid w:val="3A6B51A0"/>
    <w:rsid w:val="3A7F2761"/>
    <w:rsid w:val="3A863E86"/>
    <w:rsid w:val="3A9839D5"/>
    <w:rsid w:val="3AA50AA5"/>
    <w:rsid w:val="3AAC1E33"/>
    <w:rsid w:val="3AB64A60"/>
    <w:rsid w:val="3AC25E66"/>
    <w:rsid w:val="3ACD1DA9"/>
    <w:rsid w:val="3AD636F1"/>
    <w:rsid w:val="3AE27603"/>
    <w:rsid w:val="3AEA64B7"/>
    <w:rsid w:val="3AF96CBA"/>
    <w:rsid w:val="3B0A6C0E"/>
    <w:rsid w:val="3B263FA5"/>
    <w:rsid w:val="3B312338"/>
    <w:rsid w:val="3B430836"/>
    <w:rsid w:val="3BA7084C"/>
    <w:rsid w:val="3BD74C8E"/>
    <w:rsid w:val="3BE408F7"/>
    <w:rsid w:val="3C4816E7"/>
    <w:rsid w:val="3C7D3697"/>
    <w:rsid w:val="3C805325"/>
    <w:rsid w:val="3C9138EA"/>
    <w:rsid w:val="3CA1529C"/>
    <w:rsid w:val="3CB23005"/>
    <w:rsid w:val="3CB66F99"/>
    <w:rsid w:val="3CC03974"/>
    <w:rsid w:val="3CF0648C"/>
    <w:rsid w:val="3D1617E6"/>
    <w:rsid w:val="3D2D6B2F"/>
    <w:rsid w:val="3D556267"/>
    <w:rsid w:val="3D566086"/>
    <w:rsid w:val="3D7824A0"/>
    <w:rsid w:val="3D8C5F4C"/>
    <w:rsid w:val="3D956BAE"/>
    <w:rsid w:val="3DD35929"/>
    <w:rsid w:val="3DD551FD"/>
    <w:rsid w:val="3DDF5127"/>
    <w:rsid w:val="3DDF607B"/>
    <w:rsid w:val="3DF02037"/>
    <w:rsid w:val="3E0D2BA2"/>
    <w:rsid w:val="3E111FAD"/>
    <w:rsid w:val="3E287A22"/>
    <w:rsid w:val="3E3E7246"/>
    <w:rsid w:val="3E4660FB"/>
    <w:rsid w:val="3E4F1453"/>
    <w:rsid w:val="3E642A25"/>
    <w:rsid w:val="3E6A5CCC"/>
    <w:rsid w:val="3E8D5AD7"/>
    <w:rsid w:val="3E8F7AA2"/>
    <w:rsid w:val="3EC37F39"/>
    <w:rsid w:val="3EC647A9"/>
    <w:rsid w:val="3ED363CD"/>
    <w:rsid w:val="3EE11CA2"/>
    <w:rsid w:val="3EE17BD1"/>
    <w:rsid w:val="3EF416A3"/>
    <w:rsid w:val="3F0B728B"/>
    <w:rsid w:val="3F105341"/>
    <w:rsid w:val="3F174BBC"/>
    <w:rsid w:val="3F3356A6"/>
    <w:rsid w:val="3F3B3785"/>
    <w:rsid w:val="3F3C12AC"/>
    <w:rsid w:val="3F5B3E28"/>
    <w:rsid w:val="3F80388E"/>
    <w:rsid w:val="3F890995"/>
    <w:rsid w:val="3F963C31"/>
    <w:rsid w:val="3F9B4A8B"/>
    <w:rsid w:val="3FB157F6"/>
    <w:rsid w:val="3FBC1FE2"/>
    <w:rsid w:val="3FBD063E"/>
    <w:rsid w:val="3FC74D01"/>
    <w:rsid w:val="3FF54D36"/>
    <w:rsid w:val="4014414F"/>
    <w:rsid w:val="401C3481"/>
    <w:rsid w:val="40442B0E"/>
    <w:rsid w:val="40512B35"/>
    <w:rsid w:val="4056597A"/>
    <w:rsid w:val="4057639D"/>
    <w:rsid w:val="405A7C3B"/>
    <w:rsid w:val="40827192"/>
    <w:rsid w:val="40920B3F"/>
    <w:rsid w:val="409969B6"/>
    <w:rsid w:val="40B03B73"/>
    <w:rsid w:val="40BE641C"/>
    <w:rsid w:val="40C47A40"/>
    <w:rsid w:val="40D05E19"/>
    <w:rsid w:val="40FB141E"/>
    <w:rsid w:val="41013CC1"/>
    <w:rsid w:val="411B5933"/>
    <w:rsid w:val="414508EB"/>
    <w:rsid w:val="41556B9A"/>
    <w:rsid w:val="416A0352"/>
    <w:rsid w:val="416F7716"/>
    <w:rsid w:val="41780CC1"/>
    <w:rsid w:val="41826D0B"/>
    <w:rsid w:val="41856F3A"/>
    <w:rsid w:val="41886A2A"/>
    <w:rsid w:val="41931657"/>
    <w:rsid w:val="41BA3087"/>
    <w:rsid w:val="41D3433B"/>
    <w:rsid w:val="41D34BA9"/>
    <w:rsid w:val="41D43A1D"/>
    <w:rsid w:val="41D8350E"/>
    <w:rsid w:val="41F8770C"/>
    <w:rsid w:val="420662CD"/>
    <w:rsid w:val="42256BF8"/>
    <w:rsid w:val="422E137F"/>
    <w:rsid w:val="42363D5E"/>
    <w:rsid w:val="42423625"/>
    <w:rsid w:val="42440BA3"/>
    <w:rsid w:val="4249440B"/>
    <w:rsid w:val="42756FAE"/>
    <w:rsid w:val="428216CB"/>
    <w:rsid w:val="42997141"/>
    <w:rsid w:val="429D02B3"/>
    <w:rsid w:val="42C45597"/>
    <w:rsid w:val="42D55C9F"/>
    <w:rsid w:val="43030A5E"/>
    <w:rsid w:val="430B346F"/>
    <w:rsid w:val="434B5F61"/>
    <w:rsid w:val="434C41B3"/>
    <w:rsid w:val="4355648A"/>
    <w:rsid w:val="438518DD"/>
    <w:rsid w:val="439E2535"/>
    <w:rsid w:val="43E66BC8"/>
    <w:rsid w:val="44254A04"/>
    <w:rsid w:val="443308A1"/>
    <w:rsid w:val="444F55DD"/>
    <w:rsid w:val="446217B4"/>
    <w:rsid w:val="4469669F"/>
    <w:rsid w:val="446C43E1"/>
    <w:rsid w:val="44983428"/>
    <w:rsid w:val="44AD6ED3"/>
    <w:rsid w:val="44B94C67"/>
    <w:rsid w:val="44BC7116"/>
    <w:rsid w:val="44ED72D0"/>
    <w:rsid w:val="45264590"/>
    <w:rsid w:val="45400EC1"/>
    <w:rsid w:val="45901B57"/>
    <w:rsid w:val="45A1630C"/>
    <w:rsid w:val="45E83F3B"/>
    <w:rsid w:val="45E91604"/>
    <w:rsid w:val="46162F67"/>
    <w:rsid w:val="46170D7A"/>
    <w:rsid w:val="464242FA"/>
    <w:rsid w:val="46572CEA"/>
    <w:rsid w:val="465A0995"/>
    <w:rsid w:val="466943F9"/>
    <w:rsid w:val="469D3256"/>
    <w:rsid w:val="46AA2F9F"/>
    <w:rsid w:val="47022DDB"/>
    <w:rsid w:val="470C4453"/>
    <w:rsid w:val="47150D60"/>
    <w:rsid w:val="47170634"/>
    <w:rsid w:val="471C20EE"/>
    <w:rsid w:val="471F1BDF"/>
    <w:rsid w:val="47264693"/>
    <w:rsid w:val="474D629F"/>
    <w:rsid w:val="4750522E"/>
    <w:rsid w:val="4766336A"/>
    <w:rsid w:val="47D47504"/>
    <w:rsid w:val="47D93B3C"/>
    <w:rsid w:val="47ED75E7"/>
    <w:rsid w:val="47F0794B"/>
    <w:rsid w:val="47F646ED"/>
    <w:rsid w:val="47FB7F56"/>
    <w:rsid w:val="47FC68BF"/>
    <w:rsid w:val="48396CD0"/>
    <w:rsid w:val="486F624E"/>
    <w:rsid w:val="48811017"/>
    <w:rsid w:val="48965ED0"/>
    <w:rsid w:val="48A00AFD"/>
    <w:rsid w:val="48AB5019"/>
    <w:rsid w:val="48D507A7"/>
    <w:rsid w:val="48DC0511"/>
    <w:rsid w:val="49066BB2"/>
    <w:rsid w:val="49115557"/>
    <w:rsid w:val="492B03C7"/>
    <w:rsid w:val="493376DD"/>
    <w:rsid w:val="493C6A78"/>
    <w:rsid w:val="494722AB"/>
    <w:rsid w:val="49757894"/>
    <w:rsid w:val="49843F7B"/>
    <w:rsid w:val="49AD1724"/>
    <w:rsid w:val="49B90028"/>
    <w:rsid w:val="49F31153"/>
    <w:rsid w:val="49FB423D"/>
    <w:rsid w:val="4A054498"/>
    <w:rsid w:val="4A0D5D1E"/>
    <w:rsid w:val="4A2718EB"/>
    <w:rsid w:val="4A39600A"/>
    <w:rsid w:val="4A601C43"/>
    <w:rsid w:val="4A633B90"/>
    <w:rsid w:val="4A6F057C"/>
    <w:rsid w:val="4A81369C"/>
    <w:rsid w:val="4A851D59"/>
    <w:rsid w:val="4A9E5D86"/>
    <w:rsid w:val="4AA85A47"/>
    <w:rsid w:val="4AA93C99"/>
    <w:rsid w:val="4AAA17BF"/>
    <w:rsid w:val="4ADA0F18"/>
    <w:rsid w:val="4ADA6548"/>
    <w:rsid w:val="4AF40C8C"/>
    <w:rsid w:val="4B1355B6"/>
    <w:rsid w:val="4B327CC6"/>
    <w:rsid w:val="4B7C7600"/>
    <w:rsid w:val="4B995B21"/>
    <w:rsid w:val="4BA16A96"/>
    <w:rsid w:val="4BA37A49"/>
    <w:rsid w:val="4BBA0128"/>
    <w:rsid w:val="4BC13264"/>
    <w:rsid w:val="4BCB6653"/>
    <w:rsid w:val="4BE3142D"/>
    <w:rsid w:val="4BF3029F"/>
    <w:rsid w:val="4BF62688"/>
    <w:rsid w:val="4C207BF0"/>
    <w:rsid w:val="4C52445E"/>
    <w:rsid w:val="4C6836E0"/>
    <w:rsid w:val="4C860003"/>
    <w:rsid w:val="4C9B3AB5"/>
    <w:rsid w:val="4CA25915"/>
    <w:rsid w:val="4CA30A9C"/>
    <w:rsid w:val="4CAC181F"/>
    <w:rsid w:val="4CC0351C"/>
    <w:rsid w:val="4D0B0C3B"/>
    <w:rsid w:val="4D1B4BF6"/>
    <w:rsid w:val="4D357A66"/>
    <w:rsid w:val="4D617969"/>
    <w:rsid w:val="4D7367E0"/>
    <w:rsid w:val="4D765FA3"/>
    <w:rsid w:val="4D834C75"/>
    <w:rsid w:val="4DAB7EDA"/>
    <w:rsid w:val="4DC1754C"/>
    <w:rsid w:val="4DC31516"/>
    <w:rsid w:val="4DCE1C69"/>
    <w:rsid w:val="4DFA0CB0"/>
    <w:rsid w:val="4E0659D2"/>
    <w:rsid w:val="4E0833CC"/>
    <w:rsid w:val="4E141D71"/>
    <w:rsid w:val="4E4A5793"/>
    <w:rsid w:val="4E7520E4"/>
    <w:rsid w:val="4ECF7E2B"/>
    <w:rsid w:val="4ED60E57"/>
    <w:rsid w:val="4EED611E"/>
    <w:rsid w:val="4F050B6D"/>
    <w:rsid w:val="4F1B712F"/>
    <w:rsid w:val="4F381A8F"/>
    <w:rsid w:val="4F3F510F"/>
    <w:rsid w:val="4F462317"/>
    <w:rsid w:val="4F89256B"/>
    <w:rsid w:val="4FC1669B"/>
    <w:rsid w:val="4FDA0DF6"/>
    <w:rsid w:val="4FE47521"/>
    <w:rsid w:val="4FF45606"/>
    <w:rsid w:val="4FFE0FF2"/>
    <w:rsid w:val="50002336"/>
    <w:rsid w:val="502E28C4"/>
    <w:rsid w:val="50332E01"/>
    <w:rsid w:val="50414974"/>
    <w:rsid w:val="50487AB0"/>
    <w:rsid w:val="50552CF3"/>
    <w:rsid w:val="50666188"/>
    <w:rsid w:val="507B60D8"/>
    <w:rsid w:val="508807F5"/>
    <w:rsid w:val="50AF6900"/>
    <w:rsid w:val="50E84DEF"/>
    <w:rsid w:val="50EF2622"/>
    <w:rsid w:val="50FA09B1"/>
    <w:rsid w:val="513424C7"/>
    <w:rsid w:val="513A1AEF"/>
    <w:rsid w:val="513D1358"/>
    <w:rsid w:val="514C6F98"/>
    <w:rsid w:val="514E559A"/>
    <w:rsid w:val="516C57A1"/>
    <w:rsid w:val="518931C9"/>
    <w:rsid w:val="51A0391C"/>
    <w:rsid w:val="51BE213E"/>
    <w:rsid w:val="51E27A91"/>
    <w:rsid w:val="51E952C3"/>
    <w:rsid w:val="51EB103B"/>
    <w:rsid w:val="51FE0D6E"/>
    <w:rsid w:val="52164189"/>
    <w:rsid w:val="522105B9"/>
    <w:rsid w:val="523601F3"/>
    <w:rsid w:val="52636E23"/>
    <w:rsid w:val="5273519C"/>
    <w:rsid w:val="527E021F"/>
    <w:rsid w:val="52852FD0"/>
    <w:rsid w:val="528E031D"/>
    <w:rsid w:val="52B1623B"/>
    <w:rsid w:val="52BC1972"/>
    <w:rsid w:val="52C61160"/>
    <w:rsid w:val="52D700DE"/>
    <w:rsid w:val="52E86762"/>
    <w:rsid w:val="52F027AF"/>
    <w:rsid w:val="52FA4256"/>
    <w:rsid w:val="530A54F1"/>
    <w:rsid w:val="530B4BE6"/>
    <w:rsid w:val="53105563"/>
    <w:rsid w:val="53234805"/>
    <w:rsid w:val="533920AE"/>
    <w:rsid w:val="53416392"/>
    <w:rsid w:val="53424C8B"/>
    <w:rsid w:val="534D3630"/>
    <w:rsid w:val="53525315"/>
    <w:rsid w:val="537E2EA2"/>
    <w:rsid w:val="53A25729"/>
    <w:rsid w:val="53BF0875"/>
    <w:rsid w:val="53CA68D8"/>
    <w:rsid w:val="53E752BB"/>
    <w:rsid w:val="540E72EB"/>
    <w:rsid w:val="541D4B12"/>
    <w:rsid w:val="542304FB"/>
    <w:rsid w:val="543A3FC5"/>
    <w:rsid w:val="544F13D7"/>
    <w:rsid w:val="5479708B"/>
    <w:rsid w:val="548E5CAE"/>
    <w:rsid w:val="54A604EB"/>
    <w:rsid w:val="54B225D1"/>
    <w:rsid w:val="54C17E31"/>
    <w:rsid w:val="54C36370"/>
    <w:rsid w:val="54CF69F2"/>
    <w:rsid w:val="55230AEC"/>
    <w:rsid w:val="55327E7C"/>
    <w:rsid w:val="55436A98"/>
    <w:rsid w:val="55482300"/>
    <w:rsid w:val="554E3DBB"/>
    <w:rsid w:val="55715927"/>
    <w:rsid w:val="557C4CDF"/>
    <w:rsid w:val="55992B5C"/>
    <w:rsid w:val="559D089E"/>
    <w:rsid w:val="55C51BA3"/>
    <w:rsid w:val="56216D43"/>
    <w:rsid w:val="562543F0"/>
    <w:rsid w:val="562B40FC"/>
    <w:rsid w:val="562C577E"/>
    <w:rsid w:val="562D715C"/>
    <w:rsid w:val="5640122A"/>
    <w:rsid w:val="564927D4"/>
    <w:rsid w:val="566B44F9"/>
    <w:rsid w:val="569C2F3C"/>
    <w:rsid w:val="56B51C18"/>
    <w:rsid w:val="56C62E14"/>
    <w:rsid w:val="56CF2CD9"/>
    <w:rsid w:val="56E60023"/>
    <w:rsid w:val="56F036D9"/>
    <w:rsid w:val="571A483D"/>
    <w:rsid w:val="571E156B"/>
    <w:rsid w:val="572648C3"/>
    <w:rsid w:val="57544F8D"/>
    <w:rsid w:val="57750CCB"/>
    <w:rsid w:val="577675F9"/>
    <w:rsid w:val="57813A64"/>
    <w:rsid w:val="57A06424"/>
    <w:rsid w:val="57D11596"/>
    <w:rsid w:val="57D120D0"/>
    <w:rsid w:val="57D367F9"/>
    <w:rsid w:val="57E841D9"/>
    <w:rsid w:val="57FB5D50"/>
    <w:rsid w:val="581F3C8C"/>
    <w:rsid w:val="582E57DE"/>
    <w:rsid w:val="585E3377"/>
    <w:rsid w:val="5866766D"/>
    <w:rsid w:val="58782D8B"/>
    <w:rsid w:val="58801DB1"/>
    <w:rsid w:val="58806D6B"/>
    <w:rsid w:val="58B34C17"/>
    <w:rsid w:val="58D5034F"/>
    <w:rsid w:val="58DA7713"/>
    <w:rsid w:val="58DD4B4B"/>
    <w:rsid w:val="58FA6008"/>
    <w:rsid w:val="591F1682"/>
    <w:rsid w:val="596D0588"/>
    <w:rsid w:val="59D95C1D"/>
    <w:rsid w:val="59E44DC2"/>
    <w:rsid w:val="59FB5B93"/>
    <w:rsid w:val="5A0616B1"/>
    <w:rsid w:val="5A1530F9"/>
    <w:rsid w:val="5A1E1882"/>
    <w:rsid w:val="5A3317D1"/>
    <w:rsid w:val="5A5413E3"/>
    <w:rsid w:val="5A5D05FC"/>
    <w:rsid w:val="5A821E11"/>
    <w:rsid w:val="5AEC67FA"/>
    <w:rsid w:val="5AF076C2"/>
    <w:rsid w:val="5AF656CD"/>
    <w:rsid w:val="5AF96577"/>
    <w:rsid w:val="5B0C0741"/>
    <w:rsid w:val="5B271153"/>
    <w:rsid w:val="5B280C0A"/>
    <w:rsid w:val="5B2D6220"/>
    <w:rsid w:val="5B6339F0"/>
    <w:rsid w:val="5B6854AA"/>
    <w:rsid w:val="5BB406F0"/>
    <w:rsid w:val="5BC70423"/>
    <w:rsid w:val="5BC76675"/>
    <w:rsid w:val="5BDA4A94"/>
    <w:rsid w:val="5BEA2363"/>
    <w:rsid w:val="5BFA3A04"/>
    <w:rsid w:val="5C0F6B97"/>
    <w:rsid w:val="5C423F4D"/>
    <w:rsid w:val="5C7659A5"/>
    <w:rsid w:val="5C8271B2"/>
    <w:rsid w:val="5C8C341B"/>
    <w:rsid w:val="5CB309A7"/>
    <w:rsid w:val="5CB85FBE"/>
    <w:rsid w:val="5CCB3019"/>
    <w:rsid w:val="5CCB3F43"/>
    <w:rsid w:val="5CCE758F"/>
    <w:rsid w:val="5CDC1CAC"/>
    <w:rsid w:val="5D310209"/>
    <w:rsid w:val="5D437F7D"/>
    <w:rsid w:val="5D4635C9"/>
    <w:rsid w:val="5D4D6706"/>
    <w:rsid w:val="5D557CB0"/>
    <w:rsid w:val="5D7B0085"/>
    <w:rsid w:val="5D7C1F1D"/>
    <w:rsid w:val="5D87291D"/>
    <w:rsid w:val="5D9F7CB7"/>
    <w:rsid w:val="5DBF1DA6"/>
    <w:rsid w:val="5DCA244C"/>
    <w:rsid w:val="5DDC7A8A"/>
    <w:rsid w:val="5DF63241"/>
    <w:rsid w:val="5DFE5C52"/>
    <w:rsid w:val="5E0968EF"/>
    <w:rsid w:val="5E420235"/>
    <w:rsid w:val="5E447901"/>
    <w:rsid w:val="5E570CB0"/>
    <w:rsid w:val="5E5D0BCB"/>
    <w:rsid w:val="5E5D6E1D"/>
    <w:rsid w:val="5E5E4943"/>
    <w:rsid w:val="5E6737F7"/>
    <w:rsid w:val="5E677C9B"/>
    <w:rsid w:val="5E6C3504"/>
    <w:rsid w:val="5E761C8C"/>
    <w:rsid w:val="5EAF7159"/>
    <w:rsid w:val="5EB033F0"/>
    <w:rsid w:val="5EB279BE"/>
    <w:rsid w:val="5EB32EE1"/>
    <w:rsid w:val="5EBF1885"/>
    <w:rsid w:val="5ECC3A1D"/>
    <w:rsid w:val="5ECE7D1A"/>
    <w:rsid w:val="5ED2780B"/>
    <w:rsid w:val="5EE27322"/>
    <w:rsid w:val="5F063883"/>
    <w:rsid w:val="5F3A53B0"/>
    <w:rsid w:val="5F3C4C84"/>
    <w:rsid w:val="5F5E109E"/>
    <w:rsid w:val="5F750196"/>
    <w:rsid w:val="5F751C60"/>
    <w:rsid w:val="5F9F0303"/>
    <w:rsid w:val="5FC77D19"/>
    <w:rsid w:val="5FD47093"/>
    <w:rsid w:val="5FDC6467"/>
    <w:rsid w:val="5FF27A39"/>
    <w:rsid w:val="5FF87658"/>
    <w:rsid w:val="6025396A"/>
    <w:rsid w:val="603D6F06"/>
    <w:rsid w:val="606A457E"/>
    <w:rsid w:val="60730B79"/>
    <w:rsid w:val="608A11F9"/>
    <w:rsid w:val="60912DAE"/>
    <w:rsid w:val="60D61108"/>
    <w:rsid w:val="60F8107F"/>
    <w:rsid w:val="60FB0B6F"/>
    <w:rsid w:val="611A0FF5"/>
    <w:rsid w:val="61265BEC"/>
    <w:rsid w:val="612B4FB0"/>
    <w:rsid w:val="613B5E44"/>
    <w:rsid w:val="613C71BD"/>
    <w:rsid w:val="6148266D"/>
    <w:rsid w:val="615B0273"/>
    <w:rsid w:val="61616C24"/>
    <w:rsid w:val="61730795"/>
    <w:rsid w:val="6180119A"/>
    <w:rsid w:val="618B5012"/>
    <w:rsid w:val="61931F26"/>
    <w:rsid w:val="61932B55"/>
    <w:rsid w:val="619F599E"/>
    <w:rsid w:val="61BE41DD"/>
    <w:rsid w:val="61E0223F"/>
    <w:rsid w:val="61E33ADD"/>
    <w:rsid w:val="61E57855"/>
    <w:rsid w:val="61F5665D"/>
    <w:rsid w:val="6227631A"/>
    <w:rsid w:val="623B3920"/>
    <w:rsid w:val="624451DC"/>
    <w:rsid w:val="626C3AD2"/>
    <w:rsid w:val="6275699B"/>
    <w:rsid w:val="62854B94"/>
    <w:rsid w:val="629E1D08"/>
    <w:rsid w:val="629F060D"/>
    <w:rsid w:val="62AC72E7"/>
    <w:rsid w:val="62C332D8"/>
    <w:rsid w:val="62C751AC"/>
    <w:rsid w:val="62C87BB1"/>
    <w:rsid w:val="62E01518"/>
    <w:rsid w:val="62F51D1A"/>
    <w:rsid w:val="62F6042B"/>
    <w:rsid w:val="62FD1AA0"/>
    <w:rsid w:val="630E06AB"/>
    <w:rsid w:val="63151AC7"/>
    <w:rsid w:val="63161C90"/>
    <w:rsid w:val="63217287"/>
    <w:rsid w:val="63251ED3"/>
    <w:rsid w:val="632F323E"/>
    <w:rsid w:val="63377DE5"/>
    <w:rsid w:val="636C7565"/>
    <w:rsid w:val="639332E1"/>
    <w:rsid w:val="63BC2837"/>
    <w:rsid w:val="63F03798"/>
    <w:rsid w:val="64065861"/>
    <w:rsid w:val="641C398C"/>
    <w:rsid w:val="64276F13"/>
    <w:rsid w:val="64502F80"/>
    <w:rsid w:val="645667E8"/>
    <w:rsid w:val="64A66091"/>
    <w:rsid w:val="64B61035"/>
    <w:rsid w:val="64C03C61"/>
    <w:rsid w:val="64FD5FBF"/>
    <w:rsid w:val="650D5EDB"/>
    <w:rsid w:val="651638D5"/>
    <w:rsid w:val="65213E29"/>
    <w:rsid w:val="652C12F7"/>
    <w:rsid w:val="652F0DE7"/>
    <w:rsid w:val="653025BD"/>
    <w:rsid w:val="65432E7A"/>
    <w:rsid w:val="65876E75"/>
    <w:rsid w:val="6588004A"/>
    <w:rsid w:val="658A7C58"/>
    <w:rsid w:val="658D448B"/>
    <w:rsid w:val="65907AD8"/>
    <w:rsid w:val="659E2C19"/>
    <w:rsid w:val="65AB4E9E"/>
    <w:rsid w:val="65B337C6"/>
    <w:rsid w:val="65D35C16"/>
    <w:rsid w:val="65EE2A50"/>
    <w:rsid w:val="66080D5A"/>
    <w:rsid w:val="660D737A"/>
    <w:rsid w:val="66106E6A"/>
    <w:rsid w:val="66320C06"/>
    <w:rsid w:val="663D17DF"/>
    <w:rsid w:val="664408C2"/>
    <w:rsid w:val="669435F8"/>
    <w:rsid w:val="669730E8"/>
    <w:rsid w:val="669B6901"/>
    <w:rsid w:val="66AD46B9"/>
    <w:rsid w:val="66BC48FC"/>
    <w:rsid w:val="66C27A39"/>
    <w:rsid w:val="66D8063C"/>
    <w:rsid w:val="66ED3FEF"/>
    <w:rsid w:val="670544F5"/>
    <w:rsid w:val="67185FD7"/>
    <w:rsid w:val="67281F92"/>
    <w:rsid w:val="672D1662"/>
    <w:rsid w:val="673715E3"/>
    <w:rsid w:val="67386679"/>
    <w:rsid w:val="675C250A"/>
    <w:rsid w:val="67650AF0"/>
    <w:rsid w:val="67890C82"/>
    <w:rsid w:val="678E0047"/>
    <w:rsid w:val="679413D5"/>
    <w:rsid w:val="67B66762"/>
    <w:rsid w:val="67BD6B7E"/>
    <w:rsid w:val="67BF72FA"/>
    <w:rsid w:val="67DA1624"/>
    <w:rsid w:val="67E749C9"/>
    <w:rsid w:val="67ED7463"/>
    <w:rsid w:val="6809591F"/>
    <w:rsid w:val="681C1AF7"/>
    <w:rsid w:val="68264723"/>
    <w:rsid w:val="68420E31"/>
    <w:rsid w:val="686B65DA"/>
    <w:rsid w:val="686F5A3D"/>
    <w:rsid w:val="68757459"/>
    <w:rsid w:val="687C07E7"/>
    <w:rsid w:val="68880F3A"/>
    <w:rsid w:val="68FB170C"/>
    <w:rsid w:val="68FB3083"/>
    <w:rsid w:val="691B0000"/>
    <w:rsid w:val="69342E70"/>
    <w:rsid w:val="69362744"/>
    <w:rsid w:val="69392234"/>
    <w:rsid w:val="694B6560"/>
    <w:rsid w:val="696A24C6"/>
    <w:rsid w:val="69735746"/>
    <w:rsid w:val="697414BE"/>
    <w:rsid w:val="699975B2"/>
    <w:rsid w:val="69AA3132"/>
    <w:rsid w:val="69C547A6"/>
    <w:rsid w:val="69D44501"/>
    <w:rsid w:val="69E5107B"/>
    <w:rsid w:val="69FA19C4"/>
    <w:rsid w:val="69FF347E"/>
    <w:rsid w:val="6A040A94"/>
    <w:rsid w:val="6A1011E7"/>
    <w:rsid w:val="6A121CC6"/>
    <w:rsid w:val="6A283303"/>
    <w:rsid w:val="6A2E78BF"/>
    <w:rsid w:val="6A3D3FA6"/>
    <w:rsid w:val="6A5A0B5B"/>
    <w:rsid w:val="6A6E636E"/>
    <w:rsid w:val="6A8B2F63"/>
    <w:rsid w:val="6AA72095"/>
    <w:rsid w:val="6AB73D58"/>
    <w:rsid w:val="6AB9362D"/>
    <w:rsid w:val="6AE83F12"/>
    <w:rsid w:val="6AF4016B"/>
    <w:rsid w:val="6B166709"/>
    <w:rsid w:val="6B202B98"/>
    <w:rsid w:val="6B2F1B41"/>
    <w:rsid w:val="6B447202"/>
    <w:rsid w:val="6B4A0C7A"/>
    <w:rsid w:val="6B581098"/>
    <w:rsid w:val="6B6A0DCB"/>
    <w:rsid w:val="6B6F3193"/>
    <w:rsid w:val="6B7C24AE"/>
    <w:rsid w:val="6B7D0AFE"/>
    <w:rsid w:val="6BB838E4"/>
    <w:rsid w:val="6BBD714D"/>
    <w:rsid w:val="6BCA186A"/>
    <w:rsid w:val="6BDB3A77"/>
    <w:rsid w:val="6BE12E80"/>
    <w:rsid w:val="6BF863D7"/>
    <w:rsid w:val="6C0E5BFA"/>
    <w:rsid w:val="6C16685D"/>
    <w:rsid w:val="6C603B35"/>
    <w:rsid w:val="6C6A4D9B"/>
    <w:rsid w:val="6C702411"/>
    <w:rsid w:val="6C852CE3"/>
    <w:rsid w:val="6C8D40DA"/>
    <w:rsid w:val="6CA6748F"/>
    <w:rsid w:val="6CAD5413"/>
    <w:rsid w:val="6CB16146"/>
    <w:rsid w:val="6CB260C6"/>
    <w:rsid w:val="6CB41DBA"/>
    <w:rsid w:val="6CD01102"/>
    <w:rsid w:val="6CD52274"/>
    <w:rsid w:val="6CDB6ECE"/>
    <w:rsid w:val="6D050DAB"/>
    <w:rsid w:val="6D0668D1"/>
    <w:rsid w:val="6D28723F"/>
    <w:rsid w:val="6D4A2C62"/>
    <w:rsid w:val="6D6655C2"/>
    <w:rsid w:val="6D8D2B4F"/>
    <w:rsid w:val="6D95320C"/>
    <w:rsid w:val="6DCD73EF"/>
    <w:rsid w:val="6DD53C0F"/>
    <w:rsid w:val="6DD6296F"/>
    <w:rsid w:val="6DDD1884"/>
    <w:rsid w:val="6DDD3AD6"/>
    <w:rsid w:val="6E1F40EF"/>
    <w:rsid w:val="6E313E22"/>
    <w:rsid w:val="6E3B3E98"/>
    <w:rsid w:val="6E6715F2"/>
    <w:rsid w:val="6E7837FF"/>
    <w:rsid w:val="6E893726"/>
    <w:rsid w:val="6E8C1058"/>
    <w:rsid w:val="6E930639"/>
    <w:rsid w:val="6EA93F33"/>
    <w:rsid w:val="6EAE7221"/>
    <w:rsid w:val="6EB67795"/>
    <w:rsid w:val="6ED00F45"/>
    <w:rsid w:val="6EE40E94"/>
    <w:rsid w:val="6F045092"/>
    <w:rsid w:val="6F08090C"/>
    <w:rsid w:val="6F0F4163"/>
    <w:rsid w:val="6F2179F2"/>
    <w:rsid w:val="6F255735"/>
    <w:rsid w:val="6F327E52"/>
    <w:rsid w:val="6F4C46FB"/>
    <w:rsid w:val="6F4D4C8B"/>
    <w:rsid w:val="6F681D01"/>
    <w:rsid w:val="6F6D0E8A"/>
    <w:rsid w:val="6F8561D3"/>
    <w:rsid w:val="6FA26D85"/>
    <w:rsid w:val="6FB10D76"/>
    <w:rsid w:val="6FC41B04"/>
    <w:rsid w:val="6FCF5329"/>
    <w:rsid w:val="6FD862CD"/>
    <w:rsid w:val="6FDB4045"/>
    <w:rsid w:val="6FE27182"/>
    <w:rsid w:val="6FEF5D43"/>
    <w:rsid w:val="6FFB46E7"/>
    <w:rsid w:val="701D4F2C"/>
    <w:rsid w:val="702E23C7"/>
    <w:rsid w:val="7040034C"/>
    <w:rsid w:val="70455963"/>
    <w:rsid w:val="705B0CE2"/>
    <w:rsid w:val="706109F2"/>
    <w:rsid w:val="70645DE9"/>
    <w:rsid w:val="70912956"/>
    <w:rsid w:val="70C44AD9"/>
    <w:rsid w:val="70E94540"/>
    <w:rsid w:val="70EB475C"/>
    <w:rsid w:val="70F87828"/>
    <w:rsid w:val="71156FC1"/>
    <w:rsid w:val="71456239"/>
    <w:rsid w:val="715F158B"/>
    <w:rsid w:val="716342F2"/>
    <w:rsid w:val="71B72890"/>
    <w:rsid w:val="71C76DE6"/>
    <w:rsid w:val="71EF202A"/>
    <w:rsid w:val="71FE6BE8"/>
    <w:rsid w:val="72A154A1"/>
    <w:rsid w:val="72A93F87"/>
    <w:rsid w:val="72B333C6"/>
    <w:rsid w:val="72B62B48"/>
    <w:rsid w:val="72BF7C4E"/>
    <w:rsid w:val="72E43211"/>
    <w:rsid w:val="72E94CCB"/>
    <w:rsid w:val="734531CD"/>
    <w:rsid w:val="734F0FD2"/>
    <w:rsid w:val="73532145"/>
    <w:rsid w:val="735A1725"/>
    <w:rsid w:val="735C549D"/>
    <w:rsid w:val="738606BF"/>
    <w:rsid w:val="73A6496A"/>
    <w:rsid w:val="73B84F29"/>
    <w:rsid w:val="73C82B32"/>
    <w:rsid w:val="73D22525"/>
    <w:rsid w:val="73FC0A2E"/>
    <w:rsid w:val="7400051E"/>
    <w:rsid w:val="740718AD"/>
    <w:rsid w:val="740F2585"/>
    <w:rsid w:val="741706BB"/>
    <w:rsid w:val="741B7E2F"/>
    <w:rsid w:val="742A10F7"/>
    <w:rsid w:val="74335F8F"/>
    <w:rsid w:val="74341F76"/>
    <w:rsid w:val="743E2DF5"/>
    <w:rsid w:val="744A709B"/>
    <w:rsid w:val="748F004B"/>
    <w:rsid w:val="74932A0C"/>
    <w:rsid w:val="7496678D"/>
    <w:rsid w:val="749A7801"/>
    <w:rsid w:val="74B65081"/>
    <w:rsid w:val="74B979D2"/>
    <w:rsid w:val="74BE4085"/>
    <w:rsid w:val="74C0380A"/>
    <w:rsid w:val="74CE54BD"/>
    <w:rsid w:val="74EE70BD"/>
    <w:rsid w:val="75022074"/>
    <w:rsid w:val="75096F5F"/>
    <w:rsid w:val="75357D54"/>
    <w:rsid w:val="75385A96"/>
    <w:rsid w:val="754206C3"/>
    <w:rsid w:val="756D573F"/>
    <w:rsid w:val="7581743D"/>
    <w:rsid w:val="75925B77"/>
    <w:rsid w:val="75B06567"/>
    <w:rsid w:val="75B4336E"/>
    <w:rsid w:val="75DE488F"/>
    <w:rsid w:val="75E029B8"/>
    <w:rsid w:val="75FA2D4B"/>
    <w:rsid w:val="76045978"/>
    <w:rsid w:val="760F7C18"/>
    <w:rsid w:val="76257DC8"/>
    <w:rsid w:val="76452218"/>
    <w:rsid w:val="76515061"/>
    <w:rsid w:val="765913E1"/>
    <w:rsid w:val="766151C3"/>
    <w:rsid w:val="76684494"/>
    <w:rsid w:val="766C1E9B"/>
    <w:rsid w:val="76764AC8"/>
    <w:rsid w:val="767F128B"/>
    <w:rsid w:val="7682346D"/>
    <w:rsid w:val="76A01B45"/>
    <w:rsid w:val="76B97A4B"/>
    <w:rsid w:val="76C33B6A"/>
    <w:rsid w:val="76C61836"/>
    <w:rsid w:val="76D4359C"/>
    <w:rsid w:val="7711659E"/>
    <w:rsid w:val="77144054"/>
    <w:rsid w:val="775B6BE8"/>
    <w:rsid w:val="7762504C"/>
    <w:rsid w:val="778577E4"/>
    <w:rsid w:val="77890A18"/>
    <w:rsid w:val="778C1D38"/>
    <w:rsid w:val="779C40BA"/>
    <w:rsid w:val="779D6084"/>
    <w:rsid w:val="77AB7213"/>
    <w:rsid w:val="77B04288"/>
    <w:rsid w:val="77B57D17"/>
    <w:rsid w:val="77EB3293"/>
    <w:rsid w:val="78034139"/>
    <w:rsid w:val="78054AEE"/>
    <w:rsid w:val="780B56E4"/>
    <w:rsid w:val="783C589D"/>
    <w:rsid w:val="78531F73"/>
    <w:rsid w:val="78600961"/>
    <w:rsid w:val="786A240A"/>
    <w:rsid w:val="788A03B6"/>
    <w:rsid w:val="788A2AAC"/>
    <w:rsid w:val="78922459"/>
    <w:rsid w:val="789677DD"/>
    <w:rsid w:val="78A3200D"/>
    <w:rsid w:val="78BB4A14"/>
    <w:rsid w:val="78C87095"/>
    <w:rsid w:val="78CC4E73"/>
    <w:rsid w:val="78E0359B"/>
    <w:rsid w:val="78EC78E8"/>
    <w:rsid w:val="78F06E88"/>
    <w:rsid w:val="79143474"/>
    <w:rsid w:val="791548D9"/>
    <w:rsid w:val="791D747D"/>
    <w:rsid w:val="792878E4"/>
    <w:rsid w:val="792C76C0"/>
    <w:rsid w:val="79494343"/>
    <w:rsid w:val="7987109F"/>
    <w:rsid w:val="79905EA0"/>
    <w:rsid w:val="79A11E5C"/>
    <w:rsid w:val="79AA7ABF"/>
    <w:rsid w:val="79DD6C0C"/>
    <w:rsid w:val="79E32474"/>
    <w:rsid w:val="79F006ED"/>
    <w:rsid w:val="7A347300"/>
    <w:rsid w:val="7A380C95"/>
    <w:rsid w:val="7A5C3FD5"/>
    <w:rsid w:val="7A6F1F5A"/>
    <w:rsid w:val="7A747570"/>
    <w:rsid w:val="7A756E44"/>
    <w:rsid w:val="7A7E219D"/>
    <w:rsid w:val="7A804167"/>
    <w:rsid w:val="7A904DD0"/>
    <w:rsid w:val="7AAE4AF0"/>
    <w:rsid w:val="7AB67B89"/>
    <w:rsid w:val="7ABB519F"/>
    <w:rsid w:val="7AC1208A"/>
    <w:rsid w:val="7AC35E02"/>
    <w:rsid w:val="7AD65B35"/>
    <w:rsid w:val="7AE069B4"/>
    <w:rsid w:val="7AF97A75"/>
    <w:rsid w:val="7B590514"/>
    <w:rsid w:val="7B5C4035"/>
    <w:rsid w:val="7B620780"/>
    <w:rsid w:val="7B6969A9"/>
    <w:rsid w:val="7B7F0B72"/>
    <w:rsid w:val="7BB45177"/>
    <w:rsid w:val="7BCF49EB"/>
    <w:rsid w:val="7BD070B1"/>
    <w:rsid w:val="7BD9148B"/>
    <w:rsid w:val="7BD96F9B"/>
    <w:rsid w:val="7BDA233A"/>
    <w:rsid w:val="7BE81FC4"/>
    <w:rsid w:val="7BF47178"/>
    <w:rsid w:val="7BF72207"/>
    <w:rsid w:val="7C0D37D8"/>
    <w:rsid w:val="7C2A1694"/>
    <w:rsid w:val="7C35307A"/>
    <w:rsid w:val="7C357264"/>
    <w:rsid w:val="7C3F595C"/>
    <w:rsid w:val="7C4A4A2C"/>
    <w:rsid w:val="7C833A9B"/>
    <w:rsid w:val="7C8E1CF9"/>
    <w:rsid w:val="7CA6465A"/>
    <w:rsid w:val="7CB400F8"/>
    <w:rsid w:val="7CB71996"/>
    <w:rsid w:val="7CBE53E4"/>
    <w:rsid w:val="7CC16371"/>
    <w:rsid w:val="7CEB12FB"/>
    <w:rsid w:val="7CFF2350"/>
    <w:rsid w:val="7D364FB1"/>
    <w:rsid w:val="7D3923AB"/>
    <w:rsid w:val="7D5B4A17"/>
    <w:rsid w:val="7DB54128"/>
    <w:rsid w:val="7DCF4ABD"/>
    <w:rsid w:val="7DE85803"/>
    <w:rsid w:val="7DEB5D9B"/>
    <w:rsid w:val="7E017037"/>
    <w:rsid w:val="7E490D14"/>
    <w:rsid w:val="7E4B05E8"/>
    <w:rsid w:val="7E522354"/>
    <w:rsid w:val="7E755665"/>
    <w:rsid w:val="7E851D4C"/>
    <w:rsid w:val="7EAB72D9"/>
    <w:rsid w:val="7EB76401"/>
    <w:rsid w:val="7EF62835"/>
    <w:rsid w:val="7F0926C6"/>
    <w:rsid w:val="7F1B1071"/>
    <w:rsid w:val="7F403EC5"/>
    <w:rsid w:val="7F533BF8"/>
    <w:rsid w:val="7F5C33A6"/>
    <w:rsid w:val="7F625BE9"/>
    <w:rsid w:val="7F7F2C3F"/>
    <w:rsid w:val="7F8A15E4"/>
    <w:rsid w:val="7F912972"/>
    <w:rsid w:val="7FAA544D"/>
    <w:rsid w:val="7FB34697"/>
    <w:rsid w:val="7FC17096"/>
    <w:rsid w:val="7FC93EBA"/>
    <w:rsid w:val="7FDF5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43"/>
    <w:qFormat/>
    <w:uiPriority w:val="0"/>
    <w:pPr>
      <w:jc w:val="left"/>
    </w:pPr>
  </w:style>
  <w:style w:type="paragraph" w:styleId="3">
    <w:name w:val="Plain Text"/>
    <w:basedOn w:val="1"/>
    <w:next w:val="1"/>
    <w:autoRedefine/>
    <w:qFormat/>
    <w:uiPriority w:val="0"/>
    <w:pPr>
      <w:ind w:firstLine="420"/>
    </w:pPr>
    <w:rPr>
      <w:rFonts w:ascii="宋体" w:hAnsi="Courier New"/>
      <w:szCs w:val="20"/>
    </w:rPr>
  </w:style>
  <w:style w:type="paragraph" w:styleId="4">
    <w:name w:val="Balloon Text"/>
    <w:basedOn w:val="1"/>
    <w:link w:val="42"/>
    <w:qFormat/>
    <w:uiPriority w:val="0"/>
    <w:rPr>
      <w:sz w:val="18"/>
      <w:szCs w:val="18"/>
    </w:rPr>
  </w:style>
  <w:style w:type="paragraph" w:styleId="5">
    <w:name w:val="footer"/>
    <w:basedOn w:val="1"/>
    <w:qFormat/>
    <w:uiPriority w:val="0"/>
    <w:pPr>
      <w:tabs>
        <w:tab w:val="center" w:pos="4153"/>
        <w:tab w:val="right" w:pos="8306"/>
      </w:tabs>
      <w:snapToGrid w:val="0"/>
      <w:ind w:right="210" w:rightChars="100"/>
      <w:jc w:val="right"/>
    </w:pPr>
    <w:rPr>
      <w:sz w:val="18"/>
      <w:szCs w:val="18"/>
    </w:rPr>
  </w:style>
  <w:style w:type="paragraph" w:styleId="6">
    <w:name w:val="table of figures"/>
    <w:basedOn w:val="1"/>
    <w:next w:val="1"/>
    <w:qFormat/>
    <w:uiPriority w:val="0"/>
    <w:pPr>
      <w:ind w:left="200" w:leftChars="200" w:hanging="200" w:hangingChars="200"/>
    </w:pPr>
    <w:rPr>
      <w:sz w:val="24"/>
    </w:rPr>
  </w:style>
  <w:style w:type="paragraph" w:styleId="7">
    <w:name w:val="HTML Preformatted"/>
    <w:basedOn w:val="1"/>
    <w:autoRedefine/>
    <w:unhideWhenUsed/>
    <w:qFormat/>
    <w:uiPriority w:val="99"/>
    <w:rPr>
      <w:rFonts w:ascii="Courier New" w:hAnsi="Courier New"/>
      <w:sz w:val="20"/>
      <w:szCs w:val="20"/>
    </w:rPr>
  </w:style>
  <w:style w:type="paragraph" w:styleId="8">
    <w:name w:val="Title"/>
    <w:basedOn w:val="1"/>
    <w:next w:val="1"/>
    <w:autoRedefine/>
    <w:qFormat/>
    <w:uiPriority w:val="0"/>
    <w:pPr>
      <w:spacing w:before="240" w:after="60"/>
      <w:jc w:val="center"/>
      <w:outlineLvl w:val="0"/>
    </w:pPr>
    <w:rPr>
      <w:rFonts w:ascii="Cambria" w:hAnsi="Cambria"/>
      <w:b/>
      <w:bCs/>
      <w:sz w:val="32"/>
      <w:szCs w:val="32"/>
    </w:rPr>
  </w:style>
  <w:style w:type="paragraph" w:styleId="9">
    <w:name w:val="annotation subject"/>
    <w:basedOn w:val="2"/>
    <w:next w:val="2"/>
    <w:link w:val="44"/>
    <w:qFormat/>
    <w:uiPriority w:val="0"/>
    <w:rPr>
      <w:b/>
      <w:bCs/>
    </w:rPr>
  </w:style>
  <w:style w:type="character" w:styleId="12">
    <w:name w:val="page number"/>
    <w:autoRedefine/>
    <w:qFormat/>
    <w:uiPriority w:val="0"/>
    <w:rPr>
      <w:rFonts w:ascii="Times New Roman" w:hAnsi="Times New Roman" w:eastAsia="宋体"/>
      <w:sz w:val="18"/>
    </w:rPr>
  </w:style>
  <w:style w:type="character" w:styleId="13">
    <w:name w:val="Hyperlink"/>
    <w:basedOn w:val="11"/>
    <w:qFormat/>
    <w:uiPriority w:val="0"/>
    <w:rPr>
      <w:color w:val="0000FF"/>
      <w:u w:val="single"/>
    </w:rPr>
  </w:style>
  <w:style w:type="character" w:styleId="14">
    <w:name w:val="annotation reference"/>
    <w:basedOn w:val="11"/>
    <w:qFormat/>
    <w:uiPriority w:val="0"/>
    <w:rPr>
      <w:sz w:val="21"/>
      <w:szCs w:val="21"/>
    </w:rPr>
  </w:style>
  <w:style w:type="paragraph" w:customStyle="1" w:styleId="15">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
    <w:name w:val="封面正文"/>
    <w:autoRedefine/>
    <w:qFormat/>
    <w:uiPriority w:val="0"/>
    <w:pPr>
      <w:jc w:val="both"/>
    </w:pPr>
    <w:rPr>
      <w:rFonts w:ascii="Times New Roman" w:hAnsi="Times New Roman" w:eastAsia="宋体" w:cs="Times New Roman"/>
      <w:lang w:val="en-US" w:eastAsia="zh-CN" w:bidi="ar-SA"/>
    </w:rPr>
  </w:style>
  <w:style w:type="paragraph" w:customStyle="1" w:styleId="17">
    <w:name w:val="章标题"/>
    <w:next w:val="18"/>
    <w:autoRedefine/>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8">
    <w:name w:val="段"/>
    <w:autoRedefine/>
    <w:qFormat/>
    <w:uiPriority w:val="0"/>
    <w:pPr>
      <w:autoSpaceDE w:val="0"/>
      <w:autoSpaceDN w:val="0"/>
      <w:jc w:val="both"/>
    </w:pPr>
    <w:rPr>
      <w:rFonts w:ascii="宋体" w:hAnsi="Times New Roman" w:eastAsia="宋体" w:cs="Times New Roman"/>
      <w:sz w:val="21"/>
      <w:lang w:val="en-US" w:eastAsia="zh-CN" w:bidi="ar-SA"/>
    </w:rPr>
  </w:style>
  <w:style w:type="paragraph" w:customStyle="1" w:styleId="19">
    <w:name w:val="一级条标题"/>
    <w:next w:val="18"/>
    <w:autoRedefine/>
    <w:qFormat/>
    <w:uiPriority w:val="0"/>
    <w:pPr>
      <w:tabs>
        <w:tab w:val="left" w:pos="360"/>
      </w:tabs>
      <w:outlineLvl w:val="2"/>
    </w:pPr>
    <w:rPr>
      <w:rFonts w:ascii="Times New Roman" w:hAnsi="Times New Roman" w:eastAsia="黑体" w:cs="Times New Roman"/>
      <w:sz w:val="21"/>
      <w:lang w:val="en-US" w:eastAsia="zh-CN" w:bidi="ar-SA"/>
    </w:rPr>
  </w:style>
  <w:style w:type="paragraph" w:customStyle="1" w:styleId="20">
    <w:name w:val="正文表标题"/>
    <w:next w:val="18"/>
    <w:autoRedefine/>
    <w:qFormat/>
    <w:uiPriority w:val="0"/>
    <w:pPr>
      <w:tabs>
        <w:tab w:val="left" w:pos="360"/>
      </w:tabs>
      <w:jc w:val="center"/>
    </w:pPr>
    <w:rPr>
      <w:rFonts w:ascii="黑体" w:hAnsi="Times New Roman" w:eastAsia="黑体" w:cs="Times New Roman"/>
      <w:sz w:val="21"/>
      <w:lang w:val="en-US" w:eastAsia="zh-CN" w:bidi="ar-SA"/>
    </w:rPr>
  </w:style>
  <w:style w:type="paragraph" w:customStyle="1" w:styleId="21">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2">
    <w:name w:val="二级条标题"/>
    <w:basedOn w:val="19"/>
    <w:next w:val="18"/>
    <w:autoRedefine/>
    <w:qFormat/>
    <w:uiPriority w:val="0"/>
    <w:pPr>
      <w:tabs>
        <w:tab w:val="clear" w:pos="360"/>
      </w:tabs>
      <w:outlineLvl w:val="3"/>
    </w:pPr>
    <w:rPr>
      <w:kern w:val="2"/>
      <w:szCs w:val="24"/>
    </w:rPr>
  </w:style>
  <w:style w:type="paragraph" w:customStyle="1" w:styleId="23">
    <w:name w:val="三级条标题"/>
    <w:basedOn w:val="24"/>
    <w:next w:val="18"/>
    <w:autoRedefine/>
    <w:qFormat/>
    <w:uiPriority w:val="0"/>
    <w:pPr>
      <w:tabs>
        <w:tab w:val="left" w:pos="360"/>
      </w:tabs>
      <w:outlineLvl w:val="4"/>
    </w:pPr>
  </w:style>
  <w:style w:type="paragraph" w:customStyle="1" w:styleId="24">
    <w:name w:val="二级条标题 Char Char"/>
    <w:basedOn w:val="25"/>
    <w:next w:val="18"/>
    <w:autoRedefine/>
    <w:qFormat/>
    <w:uiPriority w:val="0"/>
    <w:pPr>
      <w:numPr>
        <w:ilvl w:val="0"/>
        <w:numId w:val="0"/>
      </w:numPr>
      <w:outlineLvl w:val="3"/>
    </w:pPr>
  </w:style>
  <w:style w:type="paragraph" w:customStyle="1" w:styleId="25">
    <w:name w:val="一级条标题 Char Char Char Char"/>
    <w:next w:val="18"/>
    <w:autoRedefine/>
    <w:qFormat/>
    <w:uiPriority w:val="0"/>
    <w:pPr>
      <w:numPr>
        <w:ilvl w:val="2"/>
        <w:numId w:val="1"/>
      </w:numPr>
      <w:outlineLvl w:val="2"/>
    </w:pPr>
    <w:rPr>
      <w:rFonts w:ascii="Times New Roman" w:hAnsi="Times New Roman" w:eastAsia="黑体" w:cs="Times New Roman"/>
      <w:kern w:val="2"/>
      <w:sz w:val="21"/>
      <w:szCs w:val="24"/>
      <w:lang w:val="en-US" w:eastAsia="zh-CN" w:bidi="ar-SA"/>
    </w:rPr>
  </w:style>
  <w:style w:type="paragraph" w:customStyle="1" w:styleId="26">
    <w:name w:val="终结线"/>
    <w:basedOn w:val="1"/>
    <w:autoRedefine/>
    <w:qFormat/>
    <w:uiPriority w:val="0"/>
    <w:pPr>
      <w:framePr w:hSpace="181" w:vSpace="181" w:wrap="around" w:vAnchor="text" w:hAnchor="margin" w:xAlign="center" w:y="285"/>
    </w:pPr>
  </w:style>
  <w:style w:type="paragraph" w:customStyle="1" w:styleId="27">
    <w:name w:val="实施日期"/>
    <w:basedOn w:val="28"/>
    <w:autoRedefine/>
    <w:qFormat/>
    <w:uiPriority w:val="0"/>
    <w:pPr>
      <w:framePr w:hSpace="0" w:wrap="around" w:xAlign="right"/>
      <w:numPr>
        <w:ilvl w:val="4"/>
        <w:numId w:val="1"/>
      </w:numPr>
      <w:jc w:val="right"/>
    </w:pPr>
  </w:style>
  <w:style w:type="paragraph" w:customStyle="1" w:styleId="28">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9">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30">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32">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33">
    <w:name w:val="发布"/>
    <w:autoRedefine/>
    <w:qFormat/>
    <w:uiPriority w:val="0"/>
    <w:rPr>
      <w:rFonts w:ascii="黑体" w:eastAsia="黑体"/>
      <w:spacing w:val="22"/>
      <w:w w:val="100"/>
      <w:position w:val="3"/>
      <w:sz w:val="28"/>
    </w:rPr>
  </w:style>
  <w:style w:type="paragraph" w:customStyle="1" w:styleId="34">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5">
    <w:name w:val="标准书眉一"/>
    <w:autoRedefine/>
    <w:qFormat/>
    <w:uiPriority w:val="0"/>
    <w:pPr>
      <w:jc w:val="both"/>
    </w:pPr>
    <w:rPr>
      <w:rFonts w:ascii="Times New Roman" w:hAnsi="Times New Roman" w:eastAsia="宋体" w:cs="Times New Roman"/>
      <w:lang w:val="en-US" w:eastAsia="zh-CN" w:bidi="ar-SA"/>
    </w:rPr>
  </w:style>
  <w:style w:type="paragraph" w:customStyle="1" w:styleId="36">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37">
    <w:name w:val="CM31"/>
    <w:basedOn w:val="38"/>
    <w:next w:val="38"/>
    <w:autoRedefine/>
    <w:unhideWhenUsed/>
    <w:qFormat/>
    <w:uiPriority w:val="99"/>
  </w:style>
  <w:style w:type="paragraph" w:customStyle="1" w:styleId="38">
    <w:name w:val="Default"/>
    <w:autoRedefine/>
    <w:unhideWhenUsed/>
    <w:qFormat/>
    <w:uiPriority w:val="99"/>
    <w:pPr>
      <w:widowControl w:val="0"/>
      <w:autoSpaceDE w:val="0"/>
      <w:autoSpaceDN w:val="0"/>
      <w:adjustRightInd w:val="0"/>
    </w:pPr>
    <w:rPr>
      <w:rFonts w:hint="eastAsia" w:ascii="Arial Unicode MS" w:hAnsi="Arial Unicode MS" w:eastAsia="Arial Unicode MS" w:cs="Times New Roman"/>
      <w:color w:val="000000"/>
      <w:sz w:val="24"/>
      <w:lang w:val="en-US" w:eastAsia="zh-CN" w:bidi="ar-SA"/>
    </w:rPr>
  </w:style>
  <w:style w:type="paragraph" w:customStyle="1" w:styleId="39">
    <w:name w:val="Table Text"/>
    <w:basedOn w:val="1"/>
    <w:semiHidden/>
    <w:qFormat/>
    <w:uiPriority w:val="0"/>
    <w:rPr>
      <w:rFonts w:ascii="宋体" w:hAnsi="宋体" w:cs="宋体"/>
      <w:sz w:val="18"/>
      <w:szCs w:val="18"/>
      <w:lang w:eastAsia="en-US"/>
    </w:rPr>
  </w:style>
  <w:style w:type="table" w:customStyle="1" w:styleId="40">
    <w:name w:val="Table Normal"/>
    <w:semiHidden/>
    <w:unhideWhenUsed/>
    <w:qFormat/>
    <w:uiPriority w:val="0"/>
    <w:tblPr>
      <w:tblCellMar>
        <w:top w:w="0" w:type="dxa"/>
        <w:left w:w="0" w:type="dxa"/>
        <w:bottom w:w="0" w:type="dxa"/>
        <w:right w:w="0" w:type="dxa"/>
      </w:tblCellMar>
    </w:tblPr>
  </w:style>
  <w:style w:type="paragraph" w:customStyle="1" w:styleId="41">
    <w:name w:val="前言、引言标题"/>
    <w:next w:val="1"/>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42">
    <w:name w:val="批注框文本 字符"/>
    <w:basedOn w:val="11"/>
    <w:link w:val="4"/>
    <w:qFormat/>
    <w:uiPriority w:val="0"/>
    <w:rPr>
      <w:kern w:val="2"/>
      <w:sz w:val="18"/>
      <w:szCs w:val="18"/>
    </w:rPr>
  </w:style>
  <w:style w:type="character" w:customStyle="1" w:styleId="43">
    <w:name w:val="批注文字 字符"/>
    <w:basedOn w:val="11"/>
    <w:link w:val="2"/>
    <w:qFormat/>
    <w:uiPriority w:val="0"/>
    <w:rPr>
      <w:kern w:val="2"/>
      <w:sz w:val="21"/>
      <w:szCs w:val="24"/>
    </w:rPr>
  </w:style>
  <w:style w:type="character" w:customStyle="1" w:styleId="44">
    <w:name w:val="批注主题 字符"/>
    <w:basedOn w:val="43"/>
    <w:link w:val="9"/>
    <w:qFormat/>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2261</Words>
  <Characters>2835</Characters>
  <Lines>22</Lines>
  <Paragraphs>6</Paragraphs>
  <TotalTime>0</TotalTime>
  <ScaleCrop>false</ScaleCrop>
  <LinksUpToDate>false</LinksUpToDate>
  <CharactersWithSpaces>3055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2025-06-06T11:27:00Z</dcterms:created>
  <dc:creator>吃了防腐剂的芒果少女</dc:creator>
  <cp:lastModifiedBy>llhliulihua</cp:lastModifiedBy>
  <cp:lastPrinted>2024-08-21T02:41:00Z</cp:lastPrinted>
  <dcterms:modified xsi:type="dcterms:W3CDTF">2025-06-10T08:38:09Z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695098094D3E41A68BA031BB3C20DA80_13</vt:lpwstr>
  </property>
  <property fmtid="{D5CDD505-2E9C-101B-9397-08002B2CF9AE}" pid="4" name="KSOTemplateDocerSaveRecord">
    <vt:lpwstr>eyJoZGlkIjoiN2JjNjlkY2Y1Y2NkZGE5Y2Q5NGZmMDVlNzZhMDkwMDUiLCJ1c2VySWQiOiI2NzY3MTU3NDcifQ==</vt:lpwstr>
  </property>
</Properties>
</file>