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9D4ADA">
      <w:pPr>
        <w:pStyle w:val="12"/>
        <w:framePr w:wrap="around"/>
        <w:rPr>
          <w:rFonts w:hint="eastAsia" w:ascii="黑体" w:hAnsi="黑体" w:cs="黑体"/>
        </w:rPr>
      </w:pPr>
      <w:bookmarkStart w:id="0" w:name="SectionMark0"/>
      <w:r>
        <w:rPr>
          <w:rFonts w:hint="eastAsia" w:ascii="黑体" w:hAnsi="黑体" w:cs="黑体"/>
        </w:rPr>
        <w:t>ICS 67.120.10</w:t>
      </w:r>
    </w:p>
    <w:p w14:paraId="03E87E27">
      <w:pPr>
        <w:pStyle w:val="12"/>
        <w:framePr w:wrap="around"/>
        <w:rPr>
          <w:rFonts w:hint="eastAsia" w:ascii="黑体" w:hAnsi="黑体" w:cs="黑体"/>
        </w:rPr>
      </w:pPr>
      <w:r>
        <w:rPr>
          <w:rFonts w:hint="eastAsia" w:ascii="黑体" w:hAnsi="黑体" w:cs="黑体"/>
        </w:rPr>
        <w:t>CCS X22</w:t>
      </w:r>
    </w:p>
    <w:p w14:paraId="0D3E9893">
      <w:pPr>
        <w:pStyle w:val="13"/>
      </w:pPr>
      <w:r>
        <mc:AlternateContent>
          <mc:Choice Requires="wps">
            <w:drawing>
              <wp:anchor distT="0" distB="0" distL="114300" distR="114300" simplePos="0" relativeHeight="251662336" behindDoc="0" locked="0" layoutInCell="1" allowOverlap="1">
                <wp:simplePos x="0" y="0"/>
                <wp:positionH relativeFrom="column">
                  <wp:posOffset>-180340</wp:posOffset>
                </wp:positionH>
                <wp:positionV relativeFrom="paragraph">
                  <wp:posOffset>2273300</wp:posOffset>
                </wp:positionV>
                <wp:extent cx="6121400" cy="0"/>
                <wp:effectExtent l="0" t="6350" r="0" b="6350"/>
                <wp:wrapNone/>
                <wp:docPr id="64" name="Line 10"/>
                <wp:cNvGraphicFramePr/>
                <a:graphic xmlns:a="http://schemas.openxmlformats.org/drawingml/2006/main">
                  <a:graphicData uri="http://schemas.microsoft.com/office/word/2010/wordprocessingShape">
                    <wps:wsp>
                      <wps:cNvCnPr>
                        <a:cxnSpLocks noChangeShapeType="1"/>
                      </wps:cNvCnPr>
                      <wps:spPr bwMode="auto">
                        <a:xfrm>
                          <a:off x="0" y="0"/>
                          <a:ext cx="6121400" cy="0"/>
                        </a:xfrm>
                        <a:prstGeom prst="line">
                          <a:avLst/>
                        </a:prstGeom>
                        <a:noFill/>
                        <a:ln w="12700">
                          <a:solidFill>
                            <a:srgbClr val="080000"/>
                          </a:solidFill>
                          <a:round/>
                        </a:ln>
                      </wps:spPr>
                      <wps:bodyPr/>
                    </wps:wsp>
                  </a:graphicData>
                </a:graphic>
              </wp:anchor>
            </w:drawing>
          </mc:Choice>
          <mc:Fallback>
            <w:pict>
              <v:line id="Line 10" o:spid="_x0000_s1026" o:spt="20" style="position:absolute;left:0pt;margin-left:-14.2pt;margin-top:179pt;height:0pt;width:482pt;z-index:251662336;mso-width-relative:page;mso-height-relative:page;" filled="f" stroked="t" coordsize="21600,21600" o:gfxdata="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">
                <v:fill on="f" focussize="0,0"/>
                <v:stroke weight="1pt" color="#080000" joinstyle="round"/>
                <v:imagedata o:title=""/>
                <o:lock v:ext="edit" aspectratio="f"/>
              </v:line>
            </w:pict>
          </mc:Fallback>
        </mc:AlternateContent>
      </w:r>
      <w:r>
        <mc:AlternateContent>
          <mc:Choice Requires="wps">
            <w:drawing>
              <wp:anchor distT="0" distB="0" distL="114300" distR="114300" simplePos="0" relativeHeight="251660288" behindDoc="0" locked="1" layoutInCell="1" allowOverlap="1">
                <wp:simplePos x="0" y="0"/>
                <wp:positionH relativeFrom="margin">
                  <wp:posOffset>3875405</wp:posOffset>
                </wp:positionH>
                <wp:positionV relativeFrom="margin">
                  <wp:posOffset>8563610</wp:posOffset>
                </wp:positionV>
                <wp:extent cx="2019300" cy="312420"/>
                <wp:effectExtent l="0" t="0" r="0" b="11430"/>
                <wp:wrapNone/>
                <wp:docPr id="62" name="fmFrame6"/>
                <wp:cNvGraphicFramePr/>
                <a:graphic xmlns:a="http://schemas.openxmlformats.org/drawingml/2006/main">
                  <a:graphicData uri="http://schemas.microsoft.com/office/word/2010/wordprocessingShape">
                    <wps:wsp>
                      <wps:cNvSpPr txBox="1">
                        <a:spLocks noChangeArrowheads="1"/>
                      </wps:cNvSpPr>
                      <wps:spPr bwMode="auto">
                        <a:xfrm>
                          <a:off x="0" y="0"/>
                          <a:ext cx="2019300" cy="312420"/>
                        </a:xfrm>
                        <a:prstGeom prst="rect">
                          <a:avLst/>
                        </a:prstGeom>
                        <a:solidFill>
                          <a:srgbClr val="FFFFFF"/>
                        </a:solidFill>
                        <a:ln>
                          <a:noFill/>
                        </a:ln>
                      </wps:spPr>
                      <wps:txbx>
                        <w:txbxContent>
                          <w:p w14:paraId="5EF6C0CC">
                            <w:pPr>
                              <w:pStyle w:val="24"/>
                              <w:numPr>
                                <w:ilvl w:val="0"/>
                                <w:numId w:val="0"/>
                              </w:numPr>
                            </w:pPr>
                            <w:r>
                              <w:rPr>
                                <w:rFonts w:hint="eastAsia" w:ascii="黑体" w:hAnsi="黑体" w:cs="黑体"/>
                              </w:rPr>
                              <w:t>2025-XX-XX</w:t>
                            </w:r>
                            <w:r>
                              <w:rPr>
                                <w:rFonts w:hint="eastAsia"/>
                              </w:rPr>
                              <w:t>实施</w:t>
                            </w:r>
                          </w:p>
                        </w:txbxContent>
                      </wps:txbx>
                      <wps:bodyPr rot="0" vert="horz" wrap="square" lIns="0" tIns="0" rIns="0" bIns="0" anchor="t" anchorCtr="0" upright="1">
                        <a:noAutofit/>
                      </wps:bodyPr>
                    </wps:wsp>
                  </a:graphicData>
                </a:graphic>
              </wp:anchor>
            </w:drawing>
          </mc:Choice>
          <mc:Fallback>
            <w:pict>
              <v:shape id="fmFrame6" o:spid="_x0000_s1026" o:spt="202" type="#_x0000_t202" style="position:absolute;left:0pt;margin-left:305.15pt;margin-top:674.3pt;height:24.6pt;width:159pt;mso-position-horizontal-relative:margin;mso-position-vertical-relative:margin;z-index:251660288;mso-width-relative:page;mso-height-relative:page;" fillcolor="#FFFFFF" filled="t" stroked="f" coordsize="21600,21600" o:gfxdata="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H5z183aAAAADQEAAA8AAAAAAAAA&#10;AQAgAAAAIgAAAGRycy9kb3ducmV2LnhtbFBLAQIUABQAAAAIAIdO4kDkhqGgDwIAACwEAAAOAAAA&#10;AAAAAAEAIAAAACkBAABkcnMvZTJvRG9jLnhtbFBLBQYAAAAABgAGAFkBAACqBQAAAAA=&#10;">
                <v:fill on="t" focussize="0,0"/>
                <v:stroke on="f"/>
                <v:imagedata o:title=""/>
                <o:lock v:ext="edit" aspectratio="f"/>
                <v:textbox inset="0mm,0mm,0mm,0mm">
                  <w:txbxContent>
                    <w:p w14:paraId="5EF6C0CC">
                      <w:pPr>
                        <w:pStyle w:val="24"/>
                        <w:numPr>
                          <w:ilvl w:val="0"/>
                          <w:numId w:val="0"/>
                        </w:numPr>
                      </w:pPr>
                      <w:r>
                        <w:rPr>
                          <w:rFonts w:hint="eastAsia" w:ascii="黑体" w:hAnsi="黑体" w:cs="黑体"/>
                        </w:rPr>
                        <w:t>2025-XX-XX</w:t>
                      </w:r>
                      <w:r>
                        <w:rPr>
                          <w:rFonts w:hint="eastAsia"/>
                        </w:rPr>
                        <w:t>实施</w:t>
                      </w:r>
                    </w:p>
                  </w:txbxContent>
                </v:textbox>
                <w10:anchorlock/>
              </v:shape>
            </w:pict>
          </mc:Fallback>
        </mc:AlternateContent>
      </w:r>
      <w:r>
        <mc:AlternateContent>
          <mc:Choice Requires="wps">
            <w:drawing>
              <wp:anchor distT="0" distB="0" distL="114300" distR="114300" simplePos="0" relativeHeight="251659264" behindDoc="0" locked="1" layoutInCell="1" allowOverlap="1">
                <wp:simplePos x="0" y="0"/>
                <wp:positionH relativeFrom="margin">
                  <wp:posOffset>-78105</wp:posOffset>
                </wp:positionH>
                <wp:positionV relativeFrom="margin">
                  <wp:posOffset>8576945</wp:posOffset>
                </wp:positionV>
                <wp:extent cx="2019300" cy="312420"/>
                <wp:effectExtent l="0" t="0" r="0" b="11430"/>
                <wp:wrapNone/>
                <wp:docPr id="61" name="fmFrame5"/>
                <wp:cNvGraphicFramePr/>
                <a:graphic xmlns:a="http://schemas.openxmlformats.org/drawingml/2006/main">
                  <a:graphicData uri="http://schemas.microsoft.com/office/word/2010/wordprocessingShape">
                    <wps:wsp>
                      <wps:cNvSpPr txBox="1">
                        <a:spLocks noChangeArrowheads="1"/>
                      </wps:cNvSpPr>
                      <wps:spPr bwMode="auto">
                        <a:xfrm>
                          <a:off x="0" y="0"/>
                          <a:ext cx="2019300" cy="312420"/>
                        </a:xfrm>
                        <a:prstGeom prst="rect">
                          <a:avLst/>
                        </a:prstGeom>
                        <a:solidFill>
                          <a:srgbClr val="FFFFFF"/>
                        </a:solidFill>
                        <a:ln>
                          <a:noFill/>
                        </a:ln>
                      </wps:spPr>
                      <wps:txbx>
                        <w:txbxContent>
                          <w:p w14:paraId="6A914E9F">
                            <w:pPr>
                              <w:pStyle w:val="25"/>
                            </w:pPr>
                            <w:r>
                              <w:rPr>
                                <w:rFonts w:hint="eastAsia" w:ascii="黑体" w:hAnsi="黑体" w:cs="黑体"/>
                              </w:rPr>
                              <w:t>2025-XX-XX</w:t>
                            </w:r>
                            <w:r>
                              <w:rPr>
                                <w:rFonts w:hint="eastAsia"/>
                              </w:rPr>
                              <w:t>发布</w:t>
                            </w:r>
                          </w:p>
                        </w:txbxContent>
                      </wps:txbx>
                      <wps:bodyPr rot="0" vert="horz" wrap="square" lIns="0" tIns="0" rIns="0" bIns="0" anchor="t" anchorCtr="0" upright="1">
                        <a:noAutofit/>
                      </wps:bodyPr>
                    </wps:wsp>
                  </a:graphicData>
                </a:graphic>
              </wp:anchor>
            </w:drawing>
          </mc:Choice>
          <mc:Fallback>
            <w:pict>
              <v:shape id="fmFrame5" o:spid="_x0000_s1026" o:spt="202" type="#_x0000_t202" style="position:absolute;left:0pt;margin-left:-6.15pt;margin-top:675.35pt;height:24.6pt;width:159pt;mso-position-horizontal-relative:margin;mso-position-vertical-relative:margin;z-index:251659264;mso-width-relative:page;mso-height-relative:page;" fillcolor="#FFFFFF" filled="t" stroked="f" coordsize="21600,21600" o:gfxdata="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DBs3ru2wAAAA0BAAAPAAAAAAAA&#10;AAEAIAAAACIAAABkcnMvZG93bnJldi54bWxQSwECFAAUAAAACACHTuJA/hyiQA8CAAAsBAAADgAA&#10;AAAAAAABACAAAAAqAQAAZHJzL2Uyb0RvYy54bWxQSwUGAAAAAAYABgBZAQAAqwUAAAAA&#10;">
                <v:fill on="t" focussize="0,0"/>
                <v:stroke on="f"/>
                <v:imagedata o:title=""/>
                <o:lock v:ext="edit" aspectratio="f"/>
                <v:textbox inset="0mm,0mm,0mm,0mm">
                  <w:txbxContent>
                    <w:p w14:paraId="6A914E9F">
                      <w:pPr>
                        <w:pStyle w:val="25"/>
                      </w:pPr>
                      <w:r>
                        <w:rPr>
                          <w:rFonts w:hint="eastAsia" w:ascii="黑体" w:hAnsi="黑体" w:cs="黑体"/>
                        </w:rPr>
                        <w:t>2025-XX-XX</w:t>
                      </w:r>
                      <w:r>
                        <w:rPr>
                          <w:rFonts w:hint="eastAsia"/>
                        </w:rPr>
                        <w:t>发布</w:t>
                      </w:r>
                    </w:p>
                  </w:txbxContent>
                </v:textbox>
                <w10:anchorlock/>
              </v:shape>
            </w:pict>
          </mc:Fallback>
        </mc:AlternateContent>
      </w:r>
      <w:r>
        <w:rPr>
          <w:rFonts w:ascii="宋体" w:hAnsi="宋体" w:cs="宋体"/>
        </w:rPr>
        <mc:AlternateContent>
          <mc:Choice Requires="wps">
            <w:drawing>
              <wp:anchor distT="0" distB="0" distL="114300" distR="114300" simplePos="0" relativeHeight="251666432" behindDoc="0" locked="1" layoutInCell="1" allowOverlap="1">
                <wp:simplePos x="0" y="0"/>
                <wp:positionH relativeFrom="margin">
                  <wp:posOffset>-104140</wp:posOffset>
                </wp:positionH>
                <wp:positionV relativeFrom="margin">
                  <wp:posOffset>3635375</wp:posOffset>
                </wp:positionV>
                <wp:extent cx="5969000" cy="4525645"/>
                <wp:effectExtent l="0" t="0" r="12700" b="8255"/>
                <wp:wrapNone/>
                <wp:docPr id="9" name="文本框 9"/>
                <wp:cNvGraphicFramePr/>
                <a:graphic xmlns:a="http://schemas.openxmlformats.org/drawingml/2006/main">
                  <a:graphicData uri="http://schemas.microsoft.com/office/word/2010/wordprocessingShape">
                    <wps:wsp>
                      <wps:cNvSpPr txBox="1">
                        <a:spLocks noChangeArrowheads="1"/>
                      </wps:cNvSpPr>
                      <wps:spPr bwMode="auto">
                        <a:xfrm>
                          <a:off x="0" y="0"/>
                          <a:ext cx="5969000" cy="4525645"/>
                        </a:xfrm>
                        <a:prstGeom prst="rect">
                          <a:avLst/>
                        </a:prstGeom>
                        <a:solidFill>
                          <a:srgbClr val="FFFFFF"/>
                        </a:solidFill>
                        <a:ln>
                          <a:noFill/>
                        </a:ln>
                        <a:effectLst/>
                      </wps:spPr>
                      <wps:txbx>
                        <w:txbxContent>
                          <w:p w14:paraId="7D7E2F0B">
                            <w:pPr>
                              <w:pStyle w:val="26"/>
                              <w:spacing w:before="0" w:line="240" w:lineRule="auto"/>
                              <w:rPr>
                                <w:rFonts w:eastAsia="黑体"/>
                                <w:sz w:val="52"/>
                                <w:szCs w:val="22"/>
                              </w:rPr>
                            </w:pPr>
                            <w:r>
                              <w:rPr>
                                <w:rFonts w:hint="eastAsia" w:eastAsia="黑体"/>
                                <w:sz w:val="52"/>
                                <w:szCs w:val="22"/>
                              </w:rPr>
                              <w:t>通辽肉牛屠宰操作规程</w:t>
                            </w:r>
                          </w:p>
                          <w:p w14:paraId="512719F7">
                            <w:pPr>
                              <w:pStyle w:val="26"/>
                              <w:spacing w:before="0" w:line="240" w:lineRule="auto"/>
                              <w:rPr>
                                <w:rFonts w:hint="eastAsia" w:ascii="黑体" w:hAnsi="黑体" w:eastAsia="黑体" w:cs="黑体"/>
                                <w:szCs w:val="28"/>
                              </w:rPr>
                            </w:pPr>
                            <w:r>
                              <w:rPr>
                                <w:rFonts w:hint="eastAsia" w:ascii="黑体" w:hAnsi="黑体" w:eastAsia="黑体" w:cs="黑体"/>
                                <w:szCs w:val="28"/>
                              </w:rPr>
                              <w:t>Tongliao Beef Cattle Slaughtering</w:t>
                            </w:r>
                          </w:p>
                          <w:p w14:paraId="31ADB635">
                            <w:pPr>
                              <w:pStyle w:val="26"/>
                              <w:spacing w:before="0" w:line="240" w:lineRule="auto"/>
                              <w:rPr>
                                <w:rFonts w:hint="eastAsia" w:ascii="黑体" w:hAnsi="黑体" w:eastAsia="黑体" w:cs="黑体"/>
                                <w:szCs w:val="28"/>
                              </w:rPr>
                            </w:pPr>
                          </w:p>
                          <w:p w14:paraId="15E0C9F3">
                            <w:pPr>
                              <w:spacing w:line="480" w:lineRule="auto"/>
                              <w:jc w:val="center"/>
                              <w:rPr>
                                <w:rFonts w:ascii="Calibri" w:hAnsi="Calibri"/>
                                <w:sz w:val="24"/>
                                <w:szCs w:val="24"/>
                              </w:rPr>
                            </w:pPr>
                            <w:r>
                              <w:rPr>
                                <w:rFonts w:hint="eastAsia"/>
                                <w:sz w:val="24"/>
                                <w:szCs w:val="24"/>
                              </w:rPr>
                              <w:t>（征求</w:t>
                            </w:r>
                            <w:r>
                              <w:rPr>
                                <w:sz w:val="24"/>
                                <w:szCs w:val="24"/>
                              </w:rPr>
                              <w:t>意见稿</w:t>
                            </w:r>
                            <w:r>
                              <w:rPr>
                                <w:rFonts w:hint="eastAsia"/>
                                <w:sz w:val="24"/>
                                <w:szCs w:val="24"/>
                              </w:rPr>
                              <w:t>）</w:t>
                            </w:r>
                          </w:p>
                          <w:p w14:paraId="23713CFE">
                            <w:pPr>
                              <w:pStyle w:val="26"/>
                              <w:spacing w:before="0" w:line="240" w:lineRule="auto"/>
                              <w:rPr>
                                <w:rFonts w:hint="eastAsia" w:ascii="宋体" w:hAnsi="宋体" w:cs="宋体"/>
                                <w:szCs w:val="28"/>
                              </w:rPr>
                            </w:pPr>
                          </w:p>
                        </w:txbxContent>
                      </wps:txbx>
                      <wps:bodyPr rot="0" vert="horz" wrap="square" lIns="0" tIns="0" rIns="0" bIns="0" anchor="t" anchorCtr="0" upright="1">
                        <a:noAutofit/>
                      </wps:bodyPr>
                    </wps:wsp>
                  </a:graphicData>
                </a:graphic>
              </wp:anchor>
            </w:drawing>
          </mc:Choice>
          <mc:Fallback>
            <w:pict>
              <v:shape id="_x0000_s1026" o:spid="_x0000_s1026" o:spt="202" type="#_x0000_t202" style="position:absolute;left:0pt;margin-left:-8.2pt;margin-top:286.25pt;height:356.35pt;width:470pt;mso-position-horizontal-relative:margin;mso-position-vertical-relative:margin;z-index:251666432;mso-width-relative:page;mso-height-relative:page;" fillcolor="#FFFFFF" filled="t" stroked="f" coordsize="21600,21600" o:gfxdata="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Bf9OV42wAAAAwBAAAPAAAAAAAAAAEAIAAAACIAAABkcnMvZG93bnJldi54bWxQSwECFAAU&#10;AAAACACHTuJAPp20yScCAAA9BAAADgAAAAAAAAABACAAAAAqAQAAZHJzL2Uyb0RvYy54bWxQSwUG&#10;AAAAAAYABgBZAQAAwwUAAAAA&#10;">
                <v:fill on="t" focussize="0,0"/>
                <v:stroke on="f"/>
                <v:imagedata o:title=""/>
                <o:lock v:ext="edit" aspectratio="f"/>
                <v:textbox inset="0mm,0mm,0mm,0mm">
                  <w:txbxContent>
                    <w:p w14:paraId="7D7E2F0B">
                      <w:pPr>
                        <w:pStyle w:val="26"/>
                        <w:spacing w:before="0" w:line="240" w:lineRule="auto"/>
                        <w:rPr>
                          <w:rFonts w:eastAsia="黑体"/>
                          <w:sz w:val="52"/>
                          <w:szCs w:val="22"/>
                        </w:rPr>
                      </w:pPr>
                      <w:r>
                        <w:rPr>
                          <w:rFonts w:hint="eastAsia" w:eastAsia="黑体"/>
                          <w:sz w:val="52"/>
                          <w:szCs w:val="22"/>
                        </w:rPr>
                        <w:t>通辽肉牛屠宰操作规程</w:t>
                      </w:r>
                    </w:p>
                    <w:p w14:paraId="512719F7">
                      <w:pPr>
                        <w:pStyle w:val="26"/>
                        <w:spacing w:before="0" w:line="240" w:lineRule="auto"/>
                        <w:rPr>
                          <w:rFonts w:hint="eastAsia" w:ascii="黑体" w:hAnsi="黑体" w:eastAsia="黑体" w:cs="黑体"/>
                          <w:szCs w:val="28"/>
                        </w:rPr>
                      </w:pPr>
                      <w:r>
                        <w:rPr>
                          <w:rFonts w:hint="eastAsia" w:ascii="黑体" w:hAnsi="黑体" w:eastAsia="黑体" w:cs="黑体"/>
                          <w:szCs w:val="28"/>
                        </w:rPr>
                        <w:t>Tongliao Beef Cattle Slaughtering</w:t>
                      </w:r>
                    </w:p>
                    <w:p w14:paraId="31ADB635">
                      <w:pPr>
                        <w:pStyle w:val="26"/>
                        <w:spacing w:before="0" w:line="240" w:lineRule="auto"/>
                        <w:rPr>
                          <w:rFonts w:hint="eastAsia" w:ascii="黑体" w:hAnsi="黑体" w:eastAsia="黑体" w:cs="黑体"/>
                          <w:szCs w:val="28"/>
                        </w:rPr>
                      </w:pPr>
                    </w:p>
                    <w:p w14:paraId="15E0C9F3">
                      <w:pPr>
                        <w:spacing w:line="480" w:lineRule="auto"/>
                        <w:jc w:val="center"/>
                        <w:rPr>
                          <w:rFonts w:ascii="Calibri" w:hAnsi="Calibri"/>
                          <w:sz w:val="24"/>
                          <w:szCs w:val="24"/>
                        </w:rPr>
                      </w:pPr>
                      <w:r>
                        <w:rPr>
                          <w:rFonts w:hint="eastAsia"/>
                          <w:sz w:val="24"/>
                          <w:szCs w:val="24"/>
                        </w:rPr>
                        <w:t>（征求</w:t>
                      </w:r>
                      <w:r>
                        <w:rPr>
                          <w:sz w:val="24"/>
                          <w:szCs w:val="24"/>
                        </w:rPr>
                        <w:t>意见稿</w:t>
                      </w:r>
                      <w:r>
                        <w:rPr>
                          <w:rFonts w:hint="eastAsia"/>
                          <w:sz w:val="24"/>
                          <w:szCs w:val="24"/>
                        </w:rPr>
                        <w:t>）</w:t>
                      </w:r>
                    </w:p>
                    <w:p w14:paraId="23713CFE">
                      <w:pPr>
                        <w:pStyle w:val="26"/>
                        <w:spacing w:before="0" w:line="240" w:lineRule="auto"/>
                        <w:rPr>
                          <w:rFonts w:hint="eastAsia" w:ascii="宋体" w:hAnsi="宋体" w:cs="宋体"/>
                          <w:szCs w:val="28"/>
                        </w:rPr>
                      </w:pPr>
                    </w:p>
                  </w:txbxContent>
                </v:textbox>
                <w10:anchorlock/>
              </v:shape>
            </w:pict>
          </mc:Fallback>
        </mc:AlternateContent>
      </w:r>
      <w:r>
        <w:rPr>
          <w:rFonts w:ascii="宋体" w:hAnsi="宋体" w:cs="宋体"/>
        </w:rPr>
        <mc:AlternateContent>
          <mc:Choice Requires="wps">
            <w:drawing>
              <wp:anchor distT="0" distB="0" distL="114300" distR="114300" simplePos="0" relativeHeight="251664384" behindDoc="0" locked="1" layoutInCell="1" allowOverlap="1">
                <wp:simplePos x="0" y="0"/>
                <wp:positionH relativeFrom="margin">
                  <wp:posOffset>-20955</wp:posOffset>
                </wp:positionH>
                <wp:positionV relativeFrom="margin">
                  <wp:posOffset>1401445</wp:posOffset>
                </wp:positionV>
                <wp:extent cx="5802630" cy="860425"/>
                <wp:effectExtent l="0" t="0" r="7620" b="15875"/>
                <wp:wrapNone/>
                <wp:docPr id="8" name="文本框 8"/>
                <wp:cNvGraphicFramePr/>
                <a:graphic xmlns:a="http://schemas.openxmlformats.org/drawingml/2006/main">
                  <a:graphicData uri="http://schemas.microsoft.com/office/word/2010/wordprocessingShape">
                    <wps:wsp>
                      <wps:cNvSpPr txBox="1">
                        <a:spLocks noChangeArrowheads="1"/>
                      </wps:cNvSpPr>
                      <wps:spPr bwMode="auto">
                        <a:xfrm>
                          <a:off x="0" y="0"/>
                          <a:ext cx="5802630" cy="860425"/>
                        </a:xfrm>
                        <a:prstGeom prst="rect">
                          <a:avLst/>
                        </a:prstGeom>
                        <a:solidFill>
                          <a:srgbClr val="FFFFFF"/>
                        </a:solidFill>
                        <a:ln>
                          <a:noFill/>
                        </a:ln>
                        <a:effectLst/>
                      </wps:spPr>
                      <wps:txbx>
                        <w:txbxContent>
                          <w:p w14:paraId="7447144F">
                            <w:pPr>
                              <w:pStyle w:val="27"/>
                              <w:spacing w:before="510"/>
                              <w:ind w:left="420" w:hanging="420"/>
                              <w:rPr>
                                <w:rFonts w:hint="eastAsia" w:ascii="黑体" w:hAnsi="黑体" w:eastAsia="黑体" w:cs="黑体"/>
                              </w:rPr>
                            </w:pPr>
                            <w:r>
                              <w:rPr>
                                <w:rFonts w:hint="eastAsia" w:ascii="黑体" w:hAnsi="黑体" w:eastAsia="黑体" w:cs="黑体"/>
                              </w:rPr>
                              <w:t>T/CMATB xxxx—2025</w:t>
                            </w:r>
                          </w:p>
                        </w:txbxContent>
                      </wps:txbx>
                      <wps:bodyPr rot="0" vert="horz" wrap="square" lIns="0" tIns="0" rIns="0" bIns="0" anchor="t" anchorCtr="0" upright="1">
                        <a:noAutofit/>
                      </wps:bodyPr>
                    </wps:wsp>
                  </a:graphicData>
                </a:graphic>
              </wp:anchor>
            </w:drawing>
          </mc:Choice>
          <mc:Fallback>
            <w:pict>
              <v:shape id="_x0000_s1026" o:spid="_x0000_s1026" o:spt="202" type="#_x0000_t202" style="position:absolute;left:0pt;margin-left:-1.65pt;margin-top:110.35pt;height:67.75pt;width:456.9pt;mso-position-horizontal-relative:margin;mso-position-vertical-relative:margin;z-index:251664384;mso-width-relative:page;mso-height-relative:page;" fillcolor="#FFFFFF" filled="t" stroked="f" coordsize="21600,21600" o:gfxdata="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">
                <v:fill on="t" focussize="0,0"/>
                <v:stroke on="f"/>
                <v:imagedata o:title=""/>
                <o:lock v:ext="edit" aspectratio="f"/>
                <v:textbox inset="0mm,0mm,0mm,0mm">
                  <w:txbxContent>
                    <w:p w14:paraId="7447144F">
                      <w:pPr>
                        <w:pStyle w:val="27"/>
                        <w:spacing w:before="510"/>
                        <w:ind w:left="420" w:hanging="420"/>
                        <w:rPr>
                          <w:rFonts w:hint="eastAsia" w:ascii="黑体" w:hAnsi="黑体" w:eastAsia="黑体" w:cs="黑体"/>
                        </w:rPr>
                      </w:pPr>
                      <w:r>
                        <w:rPr>
                          <w:rFonts w:hint="eastAsia" w:ascii="黑体" w:hAnsi="黑体" w:eastAsia="黑体" w:cs="黑体"/>
                        </w:rPr>
                        <w:t>T/CMATB xxxx—2025</w:t>
                      </w:r>
                    </w:p>
                  </w:txbxContent>
                </v:textbox>
                <w10:anchorlock/>
              </v:shape>
            </w:pict>
          </mc:Fallback>
        </mc:AlternateContent>
      </w:r>
      <w:r>
        <w:rPr>
          <w:rFonts w:ascii="宋体" w:hAnsi="宋体" w:cs="宋体"/>
        </w:rPr>
        <mc:AlternateContent>
          <mc:Choice Requires="wps">
            <w:drawing>
              <wp:anchor distT="0" distB="0" distL="114300" distR="114300" simplePos="0" relativeHeight="251665408" behindDoc="0" locked="1" layoutInCell="1" allowOverlap="1">
                <wp:simplePos x="0" y="0"/>
                <wp:positionH relativeFrom="margin">
                  <wp:posOffset>453390</wp:posOffset>
                </wp:positionH>
                <wp:positionV relativeFrom="margin">
                  <wp:posOffset>1010920</wp:posOffset>
                </wp:positionV>
                <wp:extent cx="5027930" cy="391160"/>
                <wp:effectExtent l="0" t="0" r="1270" b="8890"/>
                <wp:wrapNone/>
                <wp:docPr id="7" name="文本框 7"/>
                <wp:cNvGraphicFramePr/>
                <a:graphic xmlns:a="http://schemas.openxmlformats.org/drawingml/2006/main">
                  <a:graphicData uri="http://schemas.microsoft.com/office/word/2010/wordprocessingShape">
                    <wps:wsp>
                      <wps:cNvSpPr txBox="1">
                        <a:spLocks noChangeArrowheads="1"/>
                      </wps:cNvSpPr>
                      <wps:spPr bwMode="auto">
                        <a:xfrm>
                          <a:off x="0" y="0"/>
                          <a:ext cx="5027930" cy="391160"/>
                        </a:xfrm>
                        <a:prstGeom prst="rect">
                          <a:avLst/>
                        </a:prstGeom>
                        <a:solidFill>
                          <a:srgbClr val="FFFFFF"/>
                        </a:solidFill>
                        <a:ln>
                          <a:noFill/>
                        </a:ln>
                        <a:effectLst/>
                      </wps:spPr>
                      <wps:txbx>
                        <w:txbxContent>
                          <w:p w14:paraId="42DDA5E5">
                            <w:pPr>
                              <w:pStyle w:val="28"/>
                              <w:rPr>
                                <w:rFonts w:hint="eastAsia"/>
                              </w:rPr>
                            </w:pPr>
                            <w:r>
                              <w:rPr>
                                <w:rFonts w:hint="eastAsia"/>
                                <w:szCs w:val="52"/>
                              </w:rPr>
                              <w:t>团体标准</w:t>
                            </w:r>
                          </w:p>
                        </w:txbxContent>
                      </wps:txbx>
                      <wps:bodyPr rot="0" vert="horz" wrap="square" lIns="0" tIns="0" rIns="0" bIns="0" anchor="t" anchorCtr="0" upright="1">
                        <a:noAutofit/>
                      </wps:bodyPr>
                    </wps:wsp>
                  </a:graphicData>
                </a:graphic>
              </wp:anchor>
            </w:drawing>
          </mc:Choice>
          <mc:Fallback>
            <w:pict>
              <v:shape id="_x0000_s1026" o:spid="_x0000_s1026" o:spt="202" type="#_x0000_t202" style="position:absolute;left:0pt;margin-left:35.7pt;margin-top:79.6pt;height:30.8pt;width:395.9pt;mso-position-horizontal-relative:margin;mso-position-vertical-relative:margin;z-index:251665408;mso-width-relative:page;mso-height-relative:page;" fillcolor="#FFFFFF" filled="t" stroked="f" coordsize="21600,21600" o:gfxdata="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">
                <v:fill on="t" focussize="0,0"/>
                <v:stroke on="f"/>
                <v:imagedata o:title=""/>
                <o:lock v:ext="edit" aspectratio="f"/>
                <v:textbox inset="0mm,0mm,0mm,0mm">
                  <w:txbxContent>
                    <w:p w14:paraId="42DDA5E5">
                      <w:pPr>
                        <w:pStyle w:val="28"/>
                        <w:rPr>
                          <w:rFonts w:hint="eastAsia"/>
                        </w:rPr>
                      </w:pPr>
                      <w:r>
                        <w:rPr>
                          <w:rFonts w:hint="eastAsia"/>
                          <w:szCs w:val="52"/>
                        </w:rPr>
                        <w:t>团体标准</w:t>
                      </w:r>
                    </w:p>
                  </w:txbxContent>
                </v:textbox>
                <w10:anchorlock/>
              </v:shape>
            </w:pict>
          </mc:Fallback>
        </mc:AlternateContent>
      </w:r>
    </w:p>
    <w:p w14:paraId="74C48236"/>
    <w:p w14:paraId="3A939782"/>
    <w:p w14:paraId="1FDB07D6"/>
    <w:p w14:paraId="65F79427"/>
    <w:p w14:paraId="0942D521"/>
    <w:p w14:paraId="7D3B2EAC"/>
    <w:p w14:paraId="190E71BD"/>
    <w:p w14:paraId="79A2E6E1"/>
    <w:p w14:paraId="5DE3BD29"/>
    <w:p w14:paraId="4A725F8F"/>
    <w:p w14:paraId="6E09A110"/>
    <w:p w14:paraId="5A248729"/>
    <w:p w14:paraId="566901AD"/>
    <w:p w14:paraId="7DDB93C9">
      <w:pPr>
        <w:tabs>
          <w:tab w:val="left" w:pos="8445"/>
        </w:tabs>
      </w:pPr>
      <w:r>
        <mc:AlternateContent>
          <mc:Choice Requires="wps">
            <w:drawing>
              <wp:anchor distT="0" distB="0" distL="114300" distR="114300" simplePos="0" relativeHeight="251663360" behindDoc="0" locked="0" layoutInCell="1" allowOverlap="1">
                <wp:simplePos x="0" y="0"/>
                <wp:positionH relativeFrom="column">
                  <wp:posOffset>-180340</wp:posOffset>
                </wp:positionH>
                <wp:positionV relativeFrom="paragraph">
                  <wp:posOffset>5605145</wp:posOffset>
                </wp:positionV>
                <wp:extent cx="6121400" cy="0"/>
                <wp:effectExtent l="0" t="6350" r="0" b="6350"/>
                <wp:wrapNone/>
                <wp:docPr id="65" name="Line 11"/>
                <wp:cNvGraphicFramePr/>
                <a:graphic xmlns:a="http://schemas.openxmlformats.org/drawingml/2006/main">
                  <a:graphicData uri="http://schemas.microsoft.com/office/word/2010/wordprocessingShape">
                    <wps:wsp>
                      <wps:cNvCnPr>
                        <a:cxnSpLocks noChangeShapeType="1"/>
                      </wps:cNvCnPr>
                      <wps:spPr bwMode="auto">
                        <a:xfrm>
                          <a:off x="0" y="0"/>
                          <a:ext cx="6121400" cy="0"/>
                        </a:xfrm>
                        <a:prstGeom prst="line">
                          <a:avLst/>
                        </a:prstGeom>
                        <a:noFill/>
                        <a:ln w="12700">
                          <a:solidFill>
                            <a:srgbClr val="080000"/>
                          </a:solidFill>
                          <a:round/>
                        </a:ln>
                      </wps:spPr>
                      <wps:bodyPr/>
                    </wps:wsp>
                  </a:graphicData>
                </a:graphic>
              </wp:anchor>
            </w:drawing>
          </mc:Choice>
          <mc:Fallback>
            <w:pict>
              <v:line id="Line 11" o:spid="_x0000_s1026" o:spt="20" style="position:absolute;left:0pt;margin-left:-14.2pt;margin-top:441.35pt;height:0pt;width:482pt;z-index:251663360;mso-width-relative:page;mso-height-relative:page;" filled="f" stroked="t" coordsize="21600,21600" o:gfxdata="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">
                <v:fill on="f" focussize="0,0"/>
                <v:stroke weight="1pt" color="#080000" joinstyle="round"/>
                <v:imagedata o:title=""/>
                <o:lock v:ext="edit" aspectratio="f"/>
              </v:line>
            </w:pict>
          </mc:Fallback>
        </mc:AlternateContent>
      </w:r>
      <w:r>
        <w:rPr>
          <w:color w:val="FF0000"/>
        </w:rPr>
        <mc:AlternateContent>
          <mc:Choice Requires="wps">
            <w:drawing>
              <wp:anchor distT="0" distB="0" distL="114300" distR="114300" simplePos="0" relativeHeight="251667456" behindDoc="0" locked="1" layoutInCell="1" allowOverlap="1">
                <wp:simplePos x="0" y="0"/>
                <wp:positionH relativeFrom="margin">
                  <wp:posOffset>-76835</wp:posOffset>
                </wp:positionH>
                <wp:positionV relativeFrom="margin">
                  <wp:posOffset>8921750</wp:posOffset>
                </wp:positionV>
                <wp:extent cx="5757545" cy="363220"/>
                <wp:effectExtent l="0" t="0" r="14605" b="17780"/>
                <wp:wrapNone/>
                <wp:docPr id="16" name="fmFrame7"/>
                <wp:cNvGraphicFramePr/>
                <a:graphic xmlns:a="http://schemas.openxmlformats.org/drawingml/2006/main">
                  <a:graphicData uri="http://schemas.microsoft.com/office/word/2010/wordprocessingShape">
                    <wps:wsp>
                      <wps:cNvSpPr txBox="1">
                        <a:spLocks noChangeArrowheads="1"/>
                      </wps:cNvSpPr>
                      <wps:spPr bwMode="auto">
                        <a:xfrm>
                          <a:off x="0" y="0"/>
                          <a:ext cx="5757545" cy="363220"/>
                        </a:xfrm>
                        <a:prstGeom prst="rect">
                          <a:avLst/>
                        </a:prstGeom>
                        <a:solidFill>
                          <a:srgbClr val="FFFFFF"/>
                        </a:solidFill>
                        <a:ln>
                          <a:noFill/>
                        </a:ln>
                        <a:effectLst/>
                      </wps:spPr>
                      <wps:txbx>
                        <w:txbxContent>
                          <w:p w14:paraId="62DC2597">
                            <w:pPr>
                              <w:pStyle w:val="29"/>
                            </w:pPr>
                            <w:r>
                              <w:t>中国肉类协会</w:t>
                            </w:r>
                            <w:r>
                              <w:rPr>
                                <w:rStyle w:val="30"/>
                                <w:rFonts w:hint="eastAsia"/>
                              </w:rPr>
                              <w:t xml:space="preserve">  发布</w:t>
                            </w:r>
                          </w:p>
                        </w:txbxContent>
                      </wps:txbx>
                      <wps:bodyPr rot="0" vert="horz" wrap="square" lIns="0" tIns="0" rIns="0" bIns="0" anchor="t" anchorCtr="0" upright="1">
                        <a:noAutofit/>
                      </wps:bodyPr>
                    </wps:wsp>
                  </a:graphicData>
                </a:graphic>
              </wp:anchor>
            </w:drawing>
          </mc:Choice>
          <mc:Fallback>
            <w:pict>
              <v:shape id="fmFrame7" o:spid="_x0000_s1026" o:spt="202" type="#_x0000_t202" style="position:absolute;left:0pt;margin-left:-6.05pt;margin-top:702.5pt;height:28.6pt;width:453.35pt;mso-position-horizontal-relative:margin;mso-position-vertical-relative:margin;z-index:251667456;mso-width-relative:page;mso-height-relative:page;" fillcolor="#FFFFFF" filled="t" stroked="f" coordsize="21600,21600" o:gfxdata="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IGFUBvaAAAADQEAAA8A&#10;AAAAAAAAAQAgAAAAIgAAAGRycy9kb3ducmV2LnhtbFBLAQIUABQAAAAIAIdO4kAp1IoCFQIAADoE&#10;AAAOAAAAAAAAAAEAIAAAACkBAABkcnMvZTJvRG9jLnhtbFBLBQYAAAAABgAGAFkBAACwBQAAAAA=&#10;">
                <v:fill on="t" focussize="0,0"/>
                <v:stroke on="f"/>
                <v:imagedata o:title=""/>
                <o:lock v:ext="edit" aspectratio="f"/>
                <v:textbox inset="0mm,0mm,0mm,0mm">
                  <w:txbxContent>
                    <w:p w14:paraId="62DC2597">
                      <w:pPr>
                        <w:pStyle w:val="29"/>
                      </w:pPr>
                      <w:r>
                        <w:t>中国肉类协会</w:t>
                      </w:r>
                      <w:r>
                        <w:rPr>
                          <w:rStyle w:val="30"/>
                          <w:rFonts w:hint="eastAsia"/>
                        </w:rPr>
                        <w:t xml:space="preserve">  发布</w:t>
                      </w:r>
                    </w:p>
                  </w:txbxContent>
                </v:textbox>
                <w10:anchorlock/>
              </v:shape>
            </w:pict>
          </mc:Fallback>
        </mc:AlternateContent>
      </w:r>
    </w:p>
    <w:p w14:paraId="432293B2">
      <w:pPr>
        <w:sectPr>
          <w:headerReference r:id="rId4" w:type="first"/>
          <w:headerReference r:id="rId3" w:type="default"/>
          <w:footerReference r:id="rId5" w:type="default"/>
          <w:footerReference r:id="rId6" w:type="even"/>
          <w:pgSz w:w="11907" w:h="16839"/>
          <w:pgMar w:top="567" w:right="1417" w:bottom="1361" w:left="1418" w:header="0" w:footer="0" w:gutter="0"/>
          <w:pgNumType w:start="1"/>
          <w:cols w:space="0" w:num="1"/>
          <w:titlePg/>
          <w:docGrid w:type="lines" w:linePitch="312" w:charSpace="0"/>
        </w:sectPr>
      </w:pPr>
    </w:p>
    <w:bookmarkEnd w:id="0"/>
    <w:p w14:paraId="0FA6A3C7">
      <w:pPr>
        <w:pStyle w:val="38"/>
        <w:ind w:firstLine="3840" w:firstLineChars="1200"/>
        <w:jc w:val="both"/>
      </w:pPr>
      <w:r>
        <w:rPr>
          <w:rFonts w:hint="eastAsia"/>
        </w:rPr>
        <w:t>前</w:t>
      </w:r>
      <w:bookmarkStart w:id="1" w:name="BKQY"/>
      <w:r>
        <w:rPr>
          <w:rFonts w:hint="eastAsia"/>
        </w:rPr>
        <w:t>  言</w:t>
      </w:r>
      <w:bookmarkEnd w:id="1"/>
    </w:p>
    <w:p w14:paraId="6A8BA248">
      <w:pPr>
        <w:pStyle w:val="3"/>
        <w:rPr>
          <w:kern w:val="0"/>
        </w:rPr>
      </w:pPr>
      <w:bookmarkStart w:id="2" w:name="_Hlk151561528"/>
      <w:r>
        <w:rPr>
          <w:rFonts w:hint="eastAsia"/>
          <w:kern w:val="0"/>
        </w:rPr>
        <w:t>本文件按照GB/T 1.1-2020《标准化工作导则 第1部分：标准化文件的结构和起草规则》的规定起草。</w:t>
      </w:r>
    </w:p>
    <w:p w14:paraId="2705F7F8">
      <w:pPr>
        <w:ind w:firstLine="420"/>
      </w:pPr>
      <w:r>
        <w:rPr>
          <w:rFonts w:hint="eastAsia"/>
        </w:rPr>
        <w:t>请注意本文件的某些内容有可能涉及专利。本文件的发布机构不承担识别专利的责任。</w:t>
      </w:r>
    </w:p>
    <w:p w14:paraId="23748954">
      <w:pPr>
        <w:pStyle w:val="3"/>
        <w:rPr>
          <w:kern w:val="0"/>
        </w:rPr>
      </w:pPr>
      <w:r>
        <w:rPr>
          <w:rFonts w:hint="eastAsia"/>
          <w:kern w:val="0"/>
        </w:rPr>
        <w:t>本文件由中国肉类协会提出并归口。</w:t>
      </w:r>
    </w:p>
    <w:p w14:paraId="4EC5F3A7">
      <w:pPr>
        <w:pStyle w:val="15"/>
        <w:tabs>
          <w:tab w:val="center" w:pos="4201"/>
          <w:tab w:val="right" w:leader="dot" w:pos="9298"/>
        </w:tabs>
        <w:ind w:firstLine="420" w:firstLineChars="200"/>
        <w:jc w:val="left"/>
      </w:pPr>
      <w:r>
        <w:rPr>
          <w:rFonts w:hint="eastAsia" w:hAnsi="宋体"/>
        </w:rPr>
        <w:t>本文件由中国肉类协会发布。</w:t>
      </w:r>
    </w:p>
    <w:p w14:paraId="412FE807">
      <w:pPr>
        <w:ind w:firstLine="420"/>
        <w:rPr>
          <w:kern w:val="0"/>
          <w:szCs w:val="20"/>
        </w:rPr>
      </w:pPr>
      <w:r>
        <w:rPr>
          <w:rFonts w:hint="eastAsia"/>
          <w:kern w:val="0"/>
          <w:szCs w:val="20"/>
        </w:rPr>
        <w:t>本文件起草单位：。</w:t>
      </w:r>
    </w:p>
    <w:p w14:paraId="20BA8C43">
      <w:pPr>
        <w:ind w:firstLine="420"/>
        <w:rPr>
          <w:rFonts w:ascii="宋体" w:hAnsi="Courier New"/>
          <w:kern w:val="0"/>
          <w:szCs w:val="20"/>
        </w:rPr>
      </w:pPr>
      <w:r>
        <w:rPr>
          <w:rFonts w:hint="eastAsia"/>
          <w:kern w:val="0"/>
          <w:szCs w:val="20"/>
        </w:rPr>
        <w:t>本文件主要起草人：</w:t>
      </w:r>
      <w:r>
        <w:rPr>
          <w:rFonts w:hint="eastAsia" w:ascii="宋体" w:hAnsi="Courier New"/>
          <w:kern w:val="0"/>
          <w:szCs w:val="20"/>
        </w:rPr>
        <w:t>。</w:t>
      </w:r>
    </w:p>
    <w:p w14:paraId="28C06235">
      <w:pPr>
        <w:pStyle w:val="3"/>
        <w:ind w:firstLineChars="200"/>
        <w:sectPr>
          <w:headerReference r:id="rId7" w:type="default"/>
          <w:footerReference r:id="rId8" w:type="default"/>
          <w:pgSz w:w="11906" w:h="16838"/>
          <w:pgMar w:top="1417" w:right="1417" w:bottom="1417" w:left="1417" w:header="1417" w:footer="1134" w:gutter="0"/>
          <w:pgNumType w:fmt="upperRoman" w:start="1"/>
          <w:cols w:space="0" w:num="1"/>
          <w:docGrid w:type="lines" w:linePitch="312" w:charSpace="0"/>
        </w:sectPr>
      </w:pPr>
      <w:bookmarkStart w:id="73" w:name="_GoBack"/>
      <w:bookmarkEnd w:id="73"/>
    </w:p>
    <w:bookmarkEnd w:id="2"/>
    <w:p w14:paraId="284E45B7">
      <w:pPr>
        <w:keepNext/>
        <w:widowControl/>
        <w:shd w:val="clear" w:color="FFFFFF" w:fill="FFFFFF"/>
        <w:snapToGrid w:val="0"/>
        <w:spacing w:before="640" w:after="560"/>
        <w:jc w:val="center"/>
        <w:outlineLvl w:val="0"/>
        <w:rPr>
          <w:rFonts w:eastAsia="黑体"/>
          <w:kern w:val="0"/>
          <w:sz w:val="32"/>
          <w:szCs w:val="20"/>
        </w:rPr>
      </w:pPr>
      <w:bookmarkStart w:id="3" w:name="OLE_LINK2"/>
      <w:r>
        <w:rPr>
          <w:rFonts w:hint="eastAsia" w:eastAsia="黑体"/>
          <w:kern w:val="0"/>
          <w:sz w:val="32"/>
          <w:szCs w:val="20"/>
        </w:rPr>
        <w:t>通辽肉牛屠宰操作规程</w:t>
      </w:r>
    </w:p>
    <w:bookmarkEnd w:id="3"/>
    <w:p w14:paraId="24671F5C">
      <w:pPr>
        <w:pStyle w:val="14"/>
        <w:numPr>
          <w:ilvl w:val="0"/>
          <w:numId w:val="2"/>
        </w:numPr>
        <w:spacing w:before="312" w:beforeLines="100" w:after="312" w:afterLines="100"/>
        <w:outlineLvl w:val="0"/>
        <w:rPr>
          <w:rFonts w:hint="eastAsia" w:hAnsi="黑体"/>
          <w:szCs w:val="21"/>
        </w:rPr>
      </w:pPr>
      <w:bookmarkStart w:id="4" w:name="_Toc22197892"/>
      <w:bookmarkStart w:id="5" w:name="_Toc22135199"/>
      <w:bookmarkStart w:id="6" w:name="_Toc21982137"/>
      <w:bookmarkStart w:id="7" w:name="_Toc21982424"/>
      <w:r>
        <w:rPr>
          <w:rFonts w:hint="eastAsia" w:hAnsi="黑体"/>
          <w:szCs w:val="21"/>
        </w:rPr>
        <w:t>范围</w:t>
      </w:r>
      <w:bookmarkEnd w:id="4"/>
      <w:bookmarkEnd w:id="5"/>
      <w:bookmarkEnd w:id="6"/>
      <w:bookmarkEnd w:id="7"/>
    </w:p>
    <w:p w14:paraId="2E674D67">
      <w:pPr>
        <w:pStyle w:val="15"/>
        <w:tabs>
          <w:tab w:val="center" w:pos="4201"/>
          <w:tab w:val="right" w:leader="dot" w:pos="9298"/>
        </w:tabs>
        <w:ind w:firstLine="420" w:firstLineChars="200"/>
      </w:pPr>
      <w:r>
        <w:rPr>
          <w:rFonts w:hint="eastAsia" w:ascii="Times New Roman"/>
        </w:rPr>
        <w:tab/>
      </w:r>
      <w:bookmarkStart w:id="8" w:name="OLE_LINK3"/>
      <w:r>
        <w:rPr>
          <w:rFonts w:hint="eastAsia"/>
        </w:rPr>
        <w:t>本文件规定了通辽肉牛的宰前要求、屠宰操作程序及要求、包装、标签、标志和贮存</w:t>
      </w:r>
      <w:r>
        <w:rPr>
          <w:rFonts w:hint="eastAsia"/>
          <w:lang w:eastAsia="zh-CN"/>
        </w:rPr>
        <w:t>、</w:t>
      </w:r>
      <w:r>
        <w:rPr>
          <w:rFonts w:hint="eastAsia"/>
          <w:lang w:val="en-US" w:eastAsia="zh-CN"/>
        </w:rPr>
        <w:t>产品追溯和</w:t>
      </w:r>
      <w:r>
        <w:rPr>
          <w:rFonts w:hint="eastAsia"/>
        </w:rPr>
        <w:t>其他要求。</w:t>
      </w:r>
    </w:p>
    <w:p w14:paraId="420403F6">
      <w:pPr>
        <w:pStyle w:val="15"/>
        <w:tabs>
          <w:tab w:val="center" w:pos="4201"/>
          <w:tab w:val="right" w:leader="dot" w:pos="9298"/>
        </w:tabs>
        <w:ind w:firstLine="420" w:firstLineChars="200"/>
      </w:pPr>
      <w:r>
        <w:rPr>
          <w:rFonts w:hint="eastAsia"/>
        </w:rPr>
        <w:t>本文件适用于通辽</w:t>
      </w:r>
      <w:r>
        <w:rPr>
          <w:rFonts w:hint="eastAsia"/>
          <w:lang w:val="en-US" w:eastAsia="zh-CN"/>
        </w:rPr>
        <w:t>肉</w:t>
      </w:r>
      <w:r>
        <w:rPr>
          <w:rFonts w:hint="eastAsia"/>
        </w:rPr>
        <w:t>牛屠宰厂（场）的屠宰</w:t>
      </w:r>
      <w:r>
        <w:rPr>
          <w:rFonts w:hint="eastAsia"/>
          <w:lang w:val="en-US" w:eastAsia="zh-CN"/>
        </w:rPr>
        <w:t>操作</w:t>
      </w:r>
      <w:r>
        <w:rPr>
          <w:rFonts w:hint="eastAsia"/>
        </w:rPr>
        <w:t>。</w:t>
      </w:r>
    </w:p>
    <w:bookmarkEnd w:id="8"/>
    <w:p w14:paraId="3E7F616B">
      <w:pPr>
        <w:pStyle w:val="14"/>
        <w:numPr>
          <w:ilvl w:val="0"/>
          <w:numId w:val="2"/>
        </w:numPr>
        <w:spacing w:before="312" w:beforeLines="100" w:after="312" w:afterLines="100"/>
        <w:outlineLvl w:val="0"/>
        <w:rPr>
          <w:rFonts w:hint="eastAsia" w:hAnsi="黑体"/>
          <w:szCs w:val="21"/>
        </w:rPr>
      </w:pPr>
      <w:bookmarkStart w:id="9" w:name="_Toc16171934"/>
      <w:bookmarkStart w:id="10" w:name="_Toc20410231"/>
      <w:bookmarkStart w:id="11" w:name="_Toc22135200"/>
      <w:bookmarkStart w:id="12" w:name="_Toc21982425"/>
      <w:bookmarkStart w:id="13" w:name="_Toc20235279"/>
      <w:bookmarkStart w:id="14" w:name="_Toc21982138"/>
      <w:bookmarkStart w:id="15" w:name="_Toc20410158"/>
      <w:bookmarkStart w:id="16" w:name="_Toc16172012"/>
      <w:bookmarkStart w:id="17" w:name="_Toc20317838"/>
      <w:bookmarkStart w:id="18" w:name="_Toc22197893"/>
      <w:bookmarkStart w:id="19" w:name="_Toc20236394"/>
      <w:r>
        <w:rPr>
          <w:rFonts w:hint="eastAsia" w:hAnsi="黑体"/>
          <w:szCs w:val="21"/>
        </w:rPr>
        <w:t>规范性引用文件</w:t>
      </w:r>
      <w:bookmarkEnd w:id="9"/>
      <w:bookmarkEnd w:id="10"/>
      <w:bookmarkEnd w:id="11"/>
      <w:bookmarkEnd w:id="12"/>
      <w:bookmarkEnd w:id="13"/>
      <w:bookmarkEnd w:id="14"/>
      <w:bookmarkEnd w:id="15"/>
      <w:bookmarkEnd w:id="16"/>
      <w:bookmarkEnd w:id="17"/>
      <w:bookmarkEnd w:id="18"/>
      <w:bookmarkEnd w:id="19"/>
    </w:p>
    <w:p w14:paraId="27462118">
      <w:pPr>
        <w:pStyle w:val="15"/>
        <w:tabs>
          <w:tab w:val="center" w:pos="4201"/>
          <w:tab w:val="right" w:leader="dot" w:pos="9298"/>
        </w:tabs>
        <w:ind w:firstLine="420" w:firstLineChars="200"/>
        <w:rPr>
          <w:rFonts w:ascii="Times New Roman"/>
        </w:rPr>
      </w:pPr>
      <w:r>
        <w:rPr>
          <w:rFonts w:ascii="Times New Roman"/>
        </w:rPr>
        <w:t>下列文件中的内容通过文中的规范性引用而构成本文件必不可少的条款。其中，注日期的引用文件，仅该日期对应的版本适用于本文件。不注日期的引用文件，其最新版本（包括所有的修改单）适用于本文件。</w:t>
      </w:r>
    </w:p>
    <w:p w14:paraId="4B7AD074">
      <w:pPr>
        <w:pStyle w:val="15"/>
        <w:tabs>
          <w:tab w:val="center" w:pos="4201"/>
          <w:tab w:val="right" w:leader="dot" w:pos="9298"/>
        </w:tabs>
        <w:ind w:firstLine="412" w:firstLineChars="200"/>
        <w:rPr>
          <w:rFonts w:ascii="Times New Roman"/>
          <w:spacing w:val="-2"/>
          <w:szCs w:val="21"/>
        </w:rPr>
      </w:pPr>
      <w:bookmarkStart w:id="20" w:name="_Toc20410159"/>
      <w:bookmarkStart w:id="21" w:name="_Toc20317839"/>
      <w:bookmarkStart w:id="22" w:name="_Toc21982426"/>
      <w:bookmarkStart w:id="23" w:name="_Toc22197894"/>
      <w:bookmarkStart w:id="24" w:name="_Toc22135201"/>
      <w:bookmarkStart w:id="25" w:name="_Toc20235280"/>
      <w:bookmarkStart w:id="26" w:name="_Toc21982139"/>
      <w:bookmarkStart w:id="27" w:name="_Toc20236395"/>
      <w:bookmarkStart w:id="28" w:name="_Toc20410232"/>
      <w:bookmarkStart w:id="29" w:name="_Toc16172013"/>
      <w:bookmarkStart w:id="30" w:name="_Toc16171935"/>
      <w:r>
        <w:rPr>
          <w:rFonts w:hint="eastAsia" w:ascii="Times New Roman"/>
          <w:spacing w:val="-2"/>
          <w:szCs w:val="21"/>
        </w:rPr>
        <w:t>GB/T 191</w:t>
      </w:r>
      <w:r>
        <w:rPr>
          <w:rFonts w:hint="eastAsia" w:ascii="Times New Roman"/>
          <w:spacing w:val="-2"/>
          <w:szCs w:val="21"/>
          <w:lang w:val="en-US" w:eastAsia="zh-CN"/>
        </w:rPr>
        <w:t xml:space="preserve"> </w:t>
      </w:r>
      <w:r>
        <w:rPr>
          <w:rFonts w:hint="eastAsia" w:ascii="Times New Roman"/>
          <w:spacing w:val="-2"/>
          <w:szCs w:val="21"/>
        </w:rPr>
        <w:t xml:space="preserve"> 包装储运图示标志</w:t>
      </w:r>
    </w:p>
    <w:p w14:paraId="476F4190">
      <w:pPr>
        <w:pStyle w:val="15"/>
        <w:tabs>
          <w:tab w:val="center" w:pos="4201"/>
          <w:tab w:val="right" w:leader="dot" w:pos="9298"/>
        </w:tabs>
        <w:ind w:firstLine="412" w:firstLineChars="200"/>
        <w:rPr>
          <w:rFonts w:ascii="Times New Roman"/>
          <w:spacing w:val="-2"/>
          <w:szCs w:val="21"/>
        </w:rPr>
      </w:pPr>
      <w:r>
        <w:rPr>
          <w:rFonts w:hint="eastAsia" w:ascii="Times New Roman"/>
          <w:spacing w:val="-2"/>
          <w:szCs w:val="21"/>
        </w:rPr>
        <w:t>GB 12694</w:t>
      </w:r>
      <w:r>
        <w:rPr>
          <w:rFonts w:hint="eastAsia" w:ascii="Times New Roman"/>
          <w:spacing w:val="-2"/>
          <w:szCs w:val="21"/>
          <w:lang w:val="en-US" w:eastAsia="zh-CN"/>
        </w:rPr>
        <w:t xml:space="preserve"> </w:t>
      </w:r>
      <w:r>
        <w:rPr>
          <w:rFonts w:hint="eastAsia" w:ascii="Times New Roman"/>
          <w:spacing w:val="-2"/>
          <w:szCs w:val="21"/>
        </w:rPr>
        <w:t xml:space="preserve"> 食品安全国家标准 </w:t>
      </w:r>
      <w:r>
        <w:rPr>
          <w:rFonts w:hint="eastAsia" w:ascii="Times New Roman"/>
          <w:spacing w:val="-2"/>
          <w:szCs w:val="21"/>
          <w:lang w:val="en-US" w:eastAsia="zh-CN"/>
        </w:rPr>
        <w:t xml:space="preserve"> </w:t>
      </w:r>
      <w:r>
        <w:rPr>
          <w:rFonts w:hint="eastAsia" w:ascii="Times New Roman"/>
          <w:spacing w:val="-2"/>
          <w:szCs w:val="21"/>
        </w:rPr>
        <w:t>畜禽屠宰加工卫生规范</w:t>
      </w:r>
    </w:p>
    <w:p w14:paraId="14FC8DE9">
      <w:pPr>
        <w:pStyle w:val="15"/>
        <w:tabs>
          <w:tab w:val="center" w:pos="4201"/>
          <w:tab w:val="right" w:leader="dot" w:pos="9298"/>
        </w:tabs>
        <w:ind w:firstLine="412" w:firstLineChars="200"/>
        <w:rPr>
          <w:rFonts w:ascii="Times New Roman"/>
          <w:spacing w:val="-2"/>
          <w:szCs w:val="21"/>
        </w:rPr>
      </w:pPr>
      <w:r>
        <w:rPr>
          <w:rFonts w:hint="eastAsia" w:ascii="Times New Roman"/>
          <w:spacing w:val="-2"/>
          <w:szCs w:val="21"/>
        </w:rPr>
        <w:t xml:space="preserve">GB/T 17238 </w:t>
      </w:r>
      <w:r>
        <w:rPr>
          <w:rFonts w:hint="eastAsia" w:ascii="Times New Roman"/>
          <w:spacing w:val="-2"/>
          <w:szCs w:val="21"/>
          <w:lang w:val="en-US" w:eastAsia="zh-CN"/>
        </w:rPr>
        <w:t xml:space="preserve"> </w:t>
      </w:r>
      <w:r>
        <w:rPr>
          <w:rFonts w:hint="eastAsia" w:ascii="Times New Roman"/>
          <w:spacing w:val="-2"/>
          <w:szCs w:val="21"/>
        </w:rPr>
        <w:t>鲜、冻分割牛肉</w:t>
      </w:r>
    </w:p>
    <w:p w14:paraId="3A0E3EA8">
      <w:pPr>
        <w:pStyle w:val="15"/>
        <w:tabs>
          <w:tab w:val="center" w:pos="4201"/>
          <w:tab w:val="right" w:leader="dot" w:pos="9298"/>
        </w:tabs>
        <w:ind w:firstLine="412" w:firstLineChars="200"/>
        <w:rPr>
          <w:rFonts w:ascii="Times New Roman"/>
          <w:spacing w:val="-2"/>
          <w:szCs w:val="21"/>
        </w:rPr>
      </w:pPr>
      <w:r>
        <w:rPr>
          <w:rFonts w:hint="eastAsia" w:ascii="Times New Roman"/>
          <w:spacing w:val="-2"/>
          <w:szCs w:val="21"/>
        </w:rPr>
        <w:t xml:space="preserve">GB 18393 </w:t>
      </w:r>
      <w:r>
        <w:rPr>
          <w:rFonts w:hint="eastAsia" w:ascii="Times New Roman"/>
          <w:spacing w:val="-2"/>
          <w:szCs w:val="21"/>
          <w:lang w:val="en-US" w:eastAsia="zh-CN"/>
        </w:rPr>
        <w:t xml:space="preserve"> </w:t>
      </w:r>
      <w:r>
        <w:rPr>
          <w:rFonts w:hint="eastAsia" w:ascii="Times New Roman"/>
          <w:spacing w:val="-2"/>
          <w:szCs w:val="21"/>
        </w:rPr>
        <w:t>牛羊屠宰产品品质检验规程</w:t>
      </w:r>
    </w:p>
    <w:p w14:paraId="1A5F89D4">
      <w:pPr>
        <w:pStyle w:val="15"/>
        <w:tabs>
          <w:tab w:val="center" w:pos="4201"/>
          <w:tab w:val="right" w:leader="dot" w:pos="9298"/>
        </w:tabs>
        <w:ind w:firstLine="412" w:firstLineChars="200"/>
        <w:rPr>
          <w:rFonts w:ascii="Times New Roman"/>
          <w:spacing w:val="-2"/>
          <w:szCs w:val="21"/>
        </w:rPr>
      </w:pPr>
      <w:r>
        <w:rPr>
          <w:rFonts w:hint="eastAsia" w:ascii="Times New Roman"/>
          <w:spacing w:val="-2"/>
          <w:szCs w:val="21"/>
        </w:rPr>
        <w:t xml:space="preserve">GB/T 19477 </w:t>
      </w:r>
      <w:r>
        <w:rPr>
          <w:rFonts w:hint="eastAsia" w:ascii="Times New Roman"/>
          <w:spacing w:val="-2"/>
          <w:szCs w:val="21"/>
          <w:lang w:val="en-US" w:eastAsia="zh-CN"/>
        </w:rPr>
        <w:t xml:space="preserve"> </w:t>
      </w:r>
      <w:r>
        <w:rPr>
          <w:rFonts w:hint="eastAsia" w:ascii="Times New Roman"/>
          <w:spacing w:val="-2"/>
          <w:szCs w:val="21"/>
        </w:rPr>
        <w:t xml:space="preserve">畜禽屠宰操作规程 </w:t>
      </w:r>
      <w:r>
        <w:rPr>
          <w:rFonts w:hint="eastAsia" w:ascii="Times New Roman"/>
          <w:spacing w:val="-2"/>
          <w:szCs w:val="21"/>
          <w:lang w:val="en-US" w:eastAsia="zh-CN"/>
        </w:rPr>
        <w:t xml:space="preserve"> </w:t>
      </w:r>
      <w:r>
        <w:rPr>
          <w:rFonts w:hint="eastAsia" w:ascii="Times New Roman"/>
          <w:spacing w:val="-2"/>
          <w:szCs w:val="21"/>
        </w:rPr>
        <w:t>牛</w:t>
      </w:r>
    </w:p>
    <w:p w14:paraId="287D9D7B">
      <w:pPr>
        <w:pStyle w:val="15"/>
        <w:tabs>
          <w:tab w:val="center" w:pos="4201"/>
          <w:tab w:val="right" w:leader="dot" w:pos="9298"/>
        </w:tabs>
        <w:ind w:firstLine="412" w:firstLineChars="200"/>
        <w:rPr>
          <w:rFonts w:hint="eastAsia" w:ascii="Times New Roman"/>
          <w:spacing w:val="-2"/>
          <w:szCs w:val="21"/>
        </w:rPr>
      </w:pPr>
      <w:r>
        <w:rPr>
          <w:rFonts w:hint="eastAsia" w:ascii="Times New Roman"/>
          <w:spacing w:val="-2"/>
          <w:szCs w:val="21"/>
        </w:rPr>
        <w:t xml:space="preserve">SN/T 3774 </w:t>
      </w:r>
      <w:r>
        <w:rPr>
          <w:rFonts w:hint="eastAsia" w:ascii="Times New Roman"/>
          <w:spacing w:val="-2"/>
          <w:szCs w:val="21"/>
          <w:lang w:val="en-US" w:eastAsia="zh-CN"/>
        </w:rPr>
        <w:t xml:space="preserve"> </w:t>
      </w:r>
      <w:r>
        <w:rPr>
          <w:rFonts w:hint="eastAsia" w:ascii="Times New Roman"/>
          <w:spacing w:val="-2"/>
          <w:szCs w:val="21"/>
        </w:rPr>
        <w:t>牛的饲养、运输、屠宰动物福利规范</w:t>
      </w:r>
    </w:p>
    <w:p w14:paraId="5026B311">
      <w:pPr>
        <w:pStyle w:val="15"/>
        <w:tabs>
          <w:tab w:val="center" w:pos="4201"/>
          <w:tab w:val="right" w:leader="dot" w:pos="9298"/>
        </w:tabs>
        <w:ind w:firstLine="412" w:firstLineChars="200"/>
        <w:rPr>
          <w:rFonts w:hint="eastAsia" w:ascii="Times New Roman"/>
          <w:spacing w:val="-2"/>
          <w:szCs w:val="21"/>
        </w:rPr>
      </w:pPr>
      <w:r>
        <w:rPr>
          <w:rFonts w:hint="eastAsia" w:ascii="Times New Roman" w:hAnsi="Times New Roman" w:cs="Times New Roman"/>
          <w:spacing w:val="-2"/>
          <w:szCs w:val="21"/>
          <w:highlight w:val="none"/>
        </w:rPr>
        <w:t>T/CMATB 3012</w:t>
      </w:r>
      <w:r>
        <w:rPr>
          <w:rFonts w:hint="eastAsia" w:ascii="Times New Roman" w:cs="Times New Roman"/>
          <w:spacing w:val="-2"/>
          <w:szCs w:val="21"/>
          <w:highlight w:val="none"/>
          <w:lang w:val="en-US" w:eastAsia="zh-CN"/>
        </w:rPr>
        <w:t xml:space="preserve"> </w:t>
      </w:r>
      <w:r>
        <w:rPr>
          <w:rFonts w:hint="eastAsia" w:ascii="Times New Roman" w:hAnsi="Times New Roman" w:cs="Times New Roman"/>
          <w:spacing w:val="-2"/>
          <w:szCs w:val="21"/>
          <w:highlight w:val="none"/>
        </w:rPr>
        <w:t xml:space="preserve"> 通辽牛肉</w:t>
      </w:r>
    </w:p>
    <w:p w14:paraId="1A21A4E0">
      <w:pPr>
        <w:pStyle w:val="14"/>
        <w:numPr>
          <w:ilvl w:val="0"/>
          <w:numId w:val="2"/>
        </w:numPr>
        <w:spacing w:before="312" w:beforeLines="100" w:after="312" w:afterLines="100"/>
        <w:outlineLvl w:val="0"/>
        <w:rPr>
          <w:rFonts w:ascii="Times New Roman"/>
          <w:szCs w:val="21"/>
        </w:rPr>
      </w:pPr>
      <w:r>
        <w:rPr>
          <w:rFonts w:ascii="Times New Roman"/>
          <w:szCs w:val="21"/>
        </w:rPr>
        <w:t>术语和定义</w:t>
      </w:r>
      <w:bookmarkEnd w:id="20"/>
      <w:bookmarkEnd w:id="21"/>
      <w:bookmarkEnd w:id="22"/>
      <w:bookmarkEnd w:id="23"/>
      <w:bookmarkEnd w:id="24"/>
      <w:bookmarkEnd w:id="25"/>
      <w:bookmarkEnd w:id="26"/>
      <w:bookmarkEnd w:id="27"/>
      <w:bookmarkEnd w:id="28"/>
      <w:bookmarkEnd w:id="29"/>
      <w:bookmarkEnd w:id="30"/>
    </w:p>
    <w:p w14:paraId="18D989C3">
      <w:pPr>
        <w:ind w:firstLine="420" w:firstLineChars="200"/>
      </w:pPr>
      <w:bookmarkStart w:id="31" w:name="_Toc20235282"/>
      <w:bookmarkEnd w:id="31"/>
      <w:bookmarkStart w:id="32" w:name="_Toc21982142"/>
      <w:bookmarkEnd w:id="32"/>
      <w:bookmarkStart w:id="33" w:name="_Toc21982140"/>
      <w:bookmarkEnd w:id="33"/>
      <w:bookmarkStart w:id="34" w:name="_Toc20317841"/>
      <w:bookmarkEnd w:id="34"/>
      <w:bookmarkStart w:id="35" w:name="_Toc21982146"/>
      <w:bookmarkEnd w:id="35"/>
      <w:bookmarkStart w:id="36" w:name="_Toc16172015"/>
      <w:bookmarkEnd w:id="36"/>
      <w:bookmarkStart w:id="37" w:name="_Toc16171937"/>
      <w:bookmarkEnd w:id="37"/>
      <w:bookmarkStart w:id="38" w:name="_Toc21982429"/>
      <w:bookmarkEnd w:id="38"/>
      <w:bookmarkStart w:id="39" w:name="_Toc22135202"/>
      <w:bookmarkEnd w:id="39"/>
      <w:bookmarkStart w:id="40" w:name="_Toc20236397"/>
      <w:bookmarkEnd w:id="40"/>
      <w:bookmarkStart w:id="41" w:name="_Toc21982433"/>
      <w:bookmarkEnd w:id="41"/>
      <w:bookmarkStart w:id="42" w:name="_Toc21982427"/>
      <w:bookmarkEnd w:id="42"/>
      <w:bookmarkStart w:id="43" w:name="_Toc20410161"/>
      <w:bookmarkEnd w:id="43"/>
      <w:bookmarkStart w:id="44" w:name="_Toc22135206"/>
      <w:bookmarkEnd w:id="44"/>
      <w:bookmarkStart w:id="45" w:name="_Toc20236399"/>
      <w:bookmarkStart w:id="46" w:name="_Toc20235284"/>
      <w:bookmarkStart w:id="47" w:name="_Toc20317843"/>
      <w:r>
        <w:rPr>
          <w:rFonts w:hint="eastAsia"/>
        </w:rPr>
        <w:t>T/CMATB 3012</w:t>
      </w:r>
      <w:r>
        <w:rPr>
          <w:rFonts w:hint="eastAsia"/>
          <w:lang w:val="en-US" w:eastAsia="zh-CN"/>
        </w:rPr>
        <w:t>规定的以及</w:t>
      </w:r>
      <w:r>
        <w:t>下列术语和定义适用于本文件。</w:t>
      </w:r>
    </w:p>
    <w:p w14:paraId="5B56FC1D">
      <w:pPr>
        <w:numPr>
          <w:ilvl w:val="1"/>
          <w:numId w:val="0"/>
        </w:numPr>
        <w:spacing w:before="156" w:beforeLines="50" w:after="156" w:afterLines="50"/>
        <w:outlineLvl w:val="2"/>
        <w:rPr>
          <w:rFonts w:ascii="黑体" w:eastAsia="黑体"/>
          <w:szCs w:val="21"/>
        </w:rPr>
      </w:pPr>
      <w:r>
        <w:rPr>
          <w:rFonts w:hint="eastAsia" w:ascii="黑体" w:eastAsia="黑体"/>
          <w:szCs w:val="21"/>
        </w:rPr>
        <w:t>3.1　</w:t>
      </w:r>
    </w:p>
    <w:p w14:paraId="5A97055B">
      <w:pPr>
        <w:numPr>
          <w:ilvl w:val="1"/>
          <w:numId w:val="0"/>
        </w:numPr>
        <w:spacing w:before="156" w:beforeLines="50" w:after="156" w:afterLines="50"/>
        <w:ind w:firstLine="420" w:firstLineChars="200"/>
        <w:outlineLvl w:val="2"/>
        <w:rPr>
          <w:rFonts w:ascii="黑体" w:eastAsia="黑体"/>
          <w:szCs w:val="21"/>
        </w:rPr>
      </w:pPr>
      <w:bookmarkStart w:id="48" w:name="OLE_LINK4"/>
      <w:r>
        <w:rPr>
          <w:rFonts w:hint="eastAsia" w:ascii="黑体" w:eastAsia="黑体"/>
          <w:szCs w:val="21"/>
        </w:rPr>
        <w:t xml:space="preserve">通辽肉牛胴体  </w:t>
      </w:r>
      <w:r>
        <w:rPr>
          <w:rFonts w:ascii="黑体" w:eastAsia="黑体"/>
          <w:szCs w:val="21"/>
        </w:rPr>
        <w:t xml:space="preserve">Tongliao beef cattle </w:t>
      </w:r>
      <w:r>
        <w:rPr>
          <w:rFonts w:hint="eastAsia" w:ascii="黑体" w:eastAsia="黑体"/>
          <w:szCs w:val="21"/>
        </w:rPr>
        <w:t>carcass</w:t>
      </w:r>
    </w:p>
    <w:p w14:paraId="373C3F24">
      <w:pPr>
        <w:autoSpaceDE w:val="0"/>
        <w:autoSpaceDN w:val="0"/>
        <w:ind w:firstLine="420" w:firstLineChars="200"/>
        <w:rPr>
          <w:rFonts w:ascii="宋体"/>
          <w:kern w:val="0"/>
          <w:szCs w:val="20"/>
        </w:rPr>
      </w:pPr>
      <w:r>
        <w:rPr>
          <w:rFonts w:hint="eastAsia" w:ascii="宋体"/>
        </w:rPr>
        <w:t>检验检疫合格的通辽肉牛经宰杀放血后，除去头、蹄、皮、尾、内脏、肾周脂肪及生殖器（</w:t>
      </w:r>
      <w:r>
        <w:rPr>
          <w:rFonts w:ascii="宋体"/>
        </w:rPr>
        <w:t>母牛</w:t>
      </w:r>
      <w:r>
        <w:rPr>
          <w:rFonts w:hint="eastAsia" w:ascii="宋体"/>
        </w:rPr>
        <w:t>去除乳房）后的躯体部分。</w:t>
      </w:r>
      <w:bookmarkEnd w:id="48"/>
    </w:p>
    <w:p w14:paraId="774A04FE">
      <w:pPr>
        <w:pStyle w:val="14"/>
        <w:numPr>
          <w:ilvl w:val="0"/>
          <w:numId w:val="2"/>
        </w:numPr>
        <w:spacing w:before="312" w:beforeLines="100" w:after="312" w:afterLines="100"/>
        <w:outlineLvl w:val="0"/>
        <w:rPr>
          <w:rFonts w:ascii="Times New Roman"/>
          <w:szCs w:val="21"/>
        </w:rPr>
      </w:pPr>
      <w:bookmarkStart w:id="49" w:name="OLE_LINK7"/>
      <w:r>
        <w:rPr>
          <w:rFonts w:hint="eastAsia" w:ascii="Times New Roman"/>
          <w:szCs w:val="21"/>
        </w:rPr>
        <w:t>宰前要求</w:t>
      </w:r>
      <w:bookmarkEnd w:id="49"/>
    </w:p>
    <w:p w14:paraId="7B252B4D">
      <w:pPr>
        <w:autoSpaceDE w:val="0"/>
        <w:autoSpaceDN w:val="0"/>
        <w:adjustRightInd w:val="0"/>
        <w:spacing w:before="156" w:beforeLines="50" w:after="156" w:afterLines="50"/>
        <w:jc w:val="left"/>
        <w:rPr>
          <w:rFonts w:hint="eastAsia" w:ascii="黑体" w:hAnsi="黑体" w:eastAsia="黑体"/>
          <w:kern w:val="0"/>
          <w:szCs w:val="21"/>
        </w:rPr>
      </w:pPr>
      <w:r>
        <w:rPr>
          <w:rFonts w:hint="eastAsia" w:ascii="黑体" w:hAnsi="黑体" w:eastAsia="黑体"/>
          <w:kern w:val="0"/>
          <w:szCs w:val="21"/>
        </w:rPr>
        <w:t>4.1　运输</w:t>
      </w:r>
    </w:p>
    <w:p w14:paraId="76254113">
      <w:pPr>
        <w:autoSpaceDE w:val="0"/>
        <w:autoSpaceDN w:val="0"/>
        <w:ind w:firstLine="420" w:firstLineChars="200"/>
        <w:rPr>
          <w:rFonts w:hint="default" w:ascii="Times New Roman" w:hAnsi="Times New Roman" w:cs="Times New Roman" w:eastAsiaTheme="majorEastAsia"/>
        </w:rPr>
      </w:pPr>
      <w:r>
        <w:rPr>
          <w:rFonts w:hint="default" w:ascii="Times New Roman" w:hAnsi="Times New Roman" w:cs="Times New Roman" w:eastAsiaTheme="majorEastAsia"/>
        </w:rPr>
        <w:t>牛只运输应符合SN/T 3774</w:t>
      </w:r>
      <w:r>
        <w:rPr>
          <w:rFonts w:hint="default" w:ascii="Times New Roman" w:hAnsi="Times New Roman" w:cs="Times New Roman" w:eastAsiaTheme="majorEastAsia"/>
          <w:lang w:val="en-US" w:eastAsia="zh-CN"/>
        </w:rPr>
        <w:t>的相关</w:t>
      </w:r>
      <w:r>
        <w:rPr>
          <w:rFonts w:hint="default" w:ascii="Times New Roman" w:hAnsi="Times New Roman" w:cs="Times New Roman" w:eastAsiaTheme="majorEastAsia"/>
        </w:rPr>
        <w:t>规定。</w:t>
      </w:r>
    </w:p>
    <w:p w14:paraId="1B84BF60">
      <w:pPr>
        <w:autoSpaceDE w:val="0"/>
        <w:autoSpaceDN w:val="0"/>
        <w:adjustRightInd w:val="0"/>
        <w:spacing w:before="156" w:beforeLines="50" w:after="156" w:afterLines="50"/>
        <w:jc w:val="left"/>
        <w:rPr>
          <w:rFonts w:hint="eastAsia" w:ascii="黑体" w:hAnsi="黑体" w:eastAsia="黑体"/>
          <w:kern w:val="0"/>
          <w:szCs w:val="21"/>
        </w:rPr>
      </w:pPr>
      <w:r>
        <w:rPr>
          <w:rFonts w:hint="eastAsia" w:ascii="黑体" w:hAnsi="黑体" w:eastAsia="黑体"/>
          <w:kern w:val="0"/>
          <w:szCs w:val="21"/>
        </w:rPr>
        <w:t>4.2　待宰</w:t>
      </w:r>
    </w:p>
    <w:p w14:paraId="096CE189">
      <w:pPr>
        <w:autoSpaceDE w:val="0"/>
        <w:autoSpaceDN w:val="0"/>
        <w:rPr>
          <w:rFonts w:hint="eastAsia" w:ascii="宋体" w:hAnsi="宋体" w:cs="宋体"/>
        </w:rPr>
      </w:pPr>
      <w:r>
        <w:rPr>
          <w:rFonts w:hint="eastAsia" w:ascii="黑体" w:hAnsi="黑体" w:eastAsia="黑体" w:cs="黑体"/>
        </w:rPr>
        <w:t>4.2.1</w:t>
      </w:r>
      <w:r>
        <w:rPr>
          <w:rFonts w:hint="eastAsia" w:ascii="宋体" w:hAnsi="宋体" w:cs="宋体"/>
        </w:rPr>
        <w:t>　待宰栏设有遮阳、防雨的屋面，夏季通风良好，遇到高温天气采取必要的降温措施，冬季应设有防寒设施。</w:t>
      </w:r>
    </w:p>
    <w:p w14:paraId="2E6C107F">
      <w:pPr>
        <w:autoSpaceDE w:val="0"/>
        <w:autoSpaceDN w:val="0"/>
        <w:rPr>
          <w:rFonts w:hint="eastAsia" w:ascii="宋体" w:hAnsi="宋体" w:cs="宋体"/>
        </w:rPr>
      </w:pPr>
      <w:r>
        <w:rPr>
          <w:rFonts w:hint="eastAsia" w:ascii="黑体" w:hAnsi="黑体" w:eastAsia="黑体" w:cs="黑体"/>
        </w:rPr>
        <w:t>4.2.2</w:t>
      </w:r>
      <w:r>
        <w:rPr>
          <w:rFonts w:hint="eastAsia" w:ascii="宋体" w:hAnsi="宋体" w:cs="宋体"/>
        </w:rPr>
        <w:t>　从待宰栏到屠宰车间设有赶畜通道，赶畜通道两侧有不低于1.2 m的矮墙或金属栏杆。</w:t>
      </w:r>
    </w:p>
    <w:p w14:paraId="5F2B7FB0">
      <w:pPr>
        <w:autoSpaceDE w:val="0"/>
        <w:autoSpaceDN w:val="0"/>
        <w:rPr>
          <w:rFonts w:hint="eastAsia" w:ascii="宋体" w:hAnsi="宋体" w:cs="宋体"/>
        </w:rPr>
      </w:pPr>
      <w:r>
        <w:rPr>
          <w:rFonts w:hint="eastAsia" w:ascii="黑体" w:hAnsi="黑体" w:eastAsia="黑体" w:cs="黑体"/>
        </w:rPr>
        <w:t>4.2.3</w:t>
      </w:r>
      <w:r>
        <w:rPr>
          <w:rFonts w:hint="eastAsia" w:ascii="宋体" w:hAnsi="宋体" w:cs="宋体"/>
        </w:rPr>
        <w:t>　</w:t>
      </w:r>
      <w:r>
        <w:rPr>
          <w:rFonts w:hint="eastAsia" w:ascii="宋体"/>
        </w:rPr>
        <w:t>待宰牛应健康良好，并附有产地动物卫生监督机构出具的《动物检疫合格证明》</w:t>
      </w:r>
      <w:r>
        <w:rPr>
          <w:rFonts w:hint="eastAsia" w:ascii="宋体"/>
          <w:lang w:eastAsia="zh-CN"/>
        </w:rPr>
        <w:t>。</w:t>
      </w:r>
      <w:r>
        <w:rPr>
          <w:rFonts w:hint="eastAsia" w:ascii="宋体" w:hAnsi="宋体" w:cs="宋体"/>
        </w:rPr>
        <w:t>应对</w:t>
      </w:r>
      <w:r>
        <w:rPr>
          <w:rFonts w:asciiTheme="majorEastAsia" w:hAnsiTheme="majorEastAsia" w:eastAsiaTheme="majorEastAsia" w:cstheme="majorEastAsia"/>
        </w:rPr>
        <w:t>所有</w:t>
      </w:r>
      <w:r>
        <w:rPr>
          <w:rFonts w:hint="eastAsia" w:ascii="宋体" w:hAnsi="宋体" w:cs="宋体"/>
        </w:rPr>
        <w:t>牛</w:t>
      </w:r>
      <w:r>
        <w:rPr>
          <w:rFonts w:hint="eastAsia" w:ascii="宋体" w:hAnsi="宋体" w:cs="宋体"/>
          <w:lang w:val="en-US" w:eastAsia="zh-CN"/>
        </w:rPr>
        <w:t>只</w:t>
      </w:r>
      <w:r>
        <w:rPr>
          <w:rFonts w:hint="eastAsia" w:ascii="宋体" w:hAnsi="宋体" w:cs="宋体"/>
        </w:rPr>
        <w:t>进行</w:t>
      </w:r>
      <w:r>
        <w:rPr>
          <w:rFonts w:hint="eastAsia" w:ascii="宋体" w:hAnsi="宋体" w:cs="宋体"/>
          <w:lang w:eastAsia="zh-CN"/>
        </w:rPr>
        <w:t>“</w:t>
      </w:r>
      <w:r>
        <w:rPr>
          <w:rFonts w:hint="eastAsia" w:ascii="宋体" w:hAnsi="宋体" w:cs="宋体"/>
        </w:rPr>
        <w:t>瘦肉精</w:t>
      </w:r>
      <w:r>
        <w:rPr>
          <w:rFonts w:hint="eastAsia" w:ascii="宋体" w:hAnsi="宋体" w:cs="宋体"/>
          <w:lang w:eastAsia="zh-CN"/>
        </w:rPr>
        <w:t>”</w:t>
      </w:r>
      <w:r>
        <w:rPr>
          <w:rFonts w:hint="eastAsia" w:ascii="宋体" w:hAnsi="宋体" w:cs="宋体"/>
          <w:lang w:val="en-US" w:eastAsia="zh-CN"/>
        </w:rPr>
        <w:t>检查</w:t>
      </w:r>
      <w:r>
        <w:rPr>
          <w:rFonts w:hint="eastAsia" w:ascii="宋体" w:hAnsi="宋体" w:cs="宋体"/>
        </w:rPr>
        <w:t>，</w:t>
      </w:r>
      <w:r>
        <w:rPr>
          <w:rFonts w:hint="eastAsia" w:ascii="宋体" w:hAnsi="宋体" w:cs="宋体"/>
          <w:lang w:val="en-US" w:eastAsia="zh-CN"/>
        </w:rPr>
        <w:t>检查不合格后</w:t>
      </w:r>
      <w:r>
        <w:rPr>
          <w:rFonts w:hint="eastAsia" w:ascii="宋体" w:hAnsi="宋体" w:cs="宋体"/>
        </w:rPr>
        <w:t>拒收并及时上报处理</w:t>
      </w:r>
      <w:r>
        <w:rPr>
          <w:rFonts w:hint="eastAsia" w:ascii="宋体" w:hAnsi="宋体" w:cs="宋体"/>
          <w:lang w:eastAsia="zh-CN"/>
        </w:rPr>
        <w:t>。</w:t>
      </w:r>
      <w:r>
        <w:rPr>
          <w:rFonts w:hint="eastAsia" w:asciiTheme="majorEastAsia" w:hAnsiTheme="majorEastAsia" w:eastAsiaTheme="majorEastAsia" w:cstheme="majorEastAsia"/>
        </w:rPr>
        <w:t>应对</w:t>
      </w:r>
      <w:r>
        <w:rPr>
          <w:rFonts w:asciiTheme="majorEastAsia" w:hAnsiTheme="majorEastAsia" w:eastAsiaTheme="majorEastAsia" w:cstheme="majorEastAsia"/>
        </w:rPr>
        <w:t>所有牛只</w:t>
      </w:r>
      <w:r>
        <w:rPr>
          <w:rFonts w:hint="eastAsia" w:asciiTheme="majorEastAsia" w:hAnsiTheme="majorEastAsia" w:eastAsiaTheme="majorEastAsia" w:cstheme="majorEastAsia"/>
          <w:lang w:val="en-US" w:eastAsia="zh-CN"/>
        </w:rPr>
        <w:t>进行布鲁氏菌病</w:t>
      </w:r>
      <w:r>
        <w:rPr>
          <w:rFonts w:asciiTheme="majorEastAsia" w:hAnsiTheme="majorEastAsia" w:eastAsiaTheme="majorEastAsia" w:cstheme="majorEastAsia"/>
        </w:rPr>
        <w:t>检测，确保阴性后方可屠宰。</w:t>
      </w:r>
    </w:p>
    <w:p w14:paraId="1F85F4BE">
      <w:pPr>
        <w:autoSpaceDE w:val="0"/>
        <w:autoSpaceDN w:val="0"/>
        <w:rPr>
          <w:rFonts w:ascii="宋体"/>
        </w:rPr>
      </w:pPr>
      <w:r>
        <w:rPr>
          <w:rFonts w:hint="eastAsia" w:ascii="黑体" w:hAnsi="黑体" w:eastAsia="黑体" w:cs="黑体"/>
        </w:rPr>
        <w:t>4.2.4</w:t>
      </w:r>
      <w:r>
        <w:rPr>
          <w:rFonts w:hint="eastAsia" w:ascii="宋体"/>
        </w:rPr>
        <w:t>　牛进入待宰间后，宰前禁水不少于6</w:t>
      </w:r>
      <w:r>
        <w:rPr>
          <w:rFonts w:hint="eastAsia" w:ascii="宋体"/>
          <w:lang w:val="en-US" w:eastAsia="zh-CN"/>
        </w:rPr>
        <w:t xml:space="preserve"> </w:t>
      </w:r>
      <w:r>
        <w:rPr>
          <w:rFonts w:hint="eastAsia" w:ascii="宋体"/>
        </w:rPr>
        <w:t>h，宰前禁食不少于24</w:t>
      </w:r>
      <w:r>
        <w:rPr>
          <w:rFonts w:hint="eastAsia" w:ascii="宋体"/>
          <w:lang w:val="en-US" w:eastAsia="zh-CN"/>
        </w:rPr>
        <w:t xml:space="preserve"> </w:t>
      </w:r>
      <w:r>
        <w:rPr>
          <w:rFonts w:hint="eastAsia" w:ascii="宋体"/>
        </w:rPr>
        <w:t>h。</w:t>
      </w:r>
    </w:p>
    <w:p w14:paraId="625340E0">
      <w:pPr>
        <w:autoSpaceDE w:val="0"/>
        <w:autoSpaceDN w:val="0"/>
        <w:rPr>
          <w:rFonts w:hint="eastAsia" w:ascii="宋体" w:hAnsi="宋体" w:cs="宋体"/>
        </w:rPr>
      </w:pPr>
      <w:r>
        <w:rPr>
          <w:rFonts w:hint="eastAsia" w:ascii="黑体" w:hAnsi="黑体" w:eastAsia="黑体" w:cs="黑体"/>
        </w:rPr>
        <w:t>4.2.5</w:t>
      </w:r>
      <w:r>
        <w:rPr>
          <w:rFonts w:hint="eastAsia" w:ascii="宋体" w:hAnsi="宋体" w:cs="宋体"/>
        </w:rPr>
        <w:t xml:space="preserve">　待宰静养遵循不混群、不分离的原则，期间牛只用绳栓系；待宰牛只的静养密度应≥2.6 </w:t>
      </w:r>
      <w:r>
        <w:rPr>
          <w:rFonts w:hint="eastAsia" w:ascii="宋体" w:hAnsi="宋体" w:cs="宋体"/>
          <w:lang w:val="en-US" w:eastAsia="zh-CN"/>
        </w:rPr>
        <w:t>m</w:t>
      </w:r>
      <w:r>
        <w:rPr>
          <w:rFonts w:hint="eastAsia" w:ascii="宋体" w:hAnsi="宋体" w:cs="宋体"/>
          <w:vertAlign w:val="superscript"/>
          <w:lang w:val="en-US" w:eastAsia="zh-CN"/>
        </w:rPr>
        <w:t>2</w:t>
      </w:r>
      <w:r>
        <w:rPr>
          <w:rFonts w:hint="eastAsia" w:ascii="宋体" w:hAnsi="宋体" w:cs="宋体"/>
        </w:rPr>
        <w:t>/头。</w:t>
      </w:r>
    </w:p>
    <w:p w14:paraId="7AC1D27F">
      <w:pPr>
        <w:autoSpaceDE w:val="0"/>
        <w:autoSpaceDN w:val="0"/>
        <w:rPr>
          <w:rFonts w:hint="eastAsia" w:ascii="宋体" w:hAnsi="宋体" w:cs="宋体"/>
        </w:rPr>
      </w:pPr>
      <w:r>
        <w:rPr>
          <w:rFonts w:hint="eastAsia" w:ascii="黑体" w:hAnsi="黑体" w:eastAsia="黑体" w:cs="黑体"/>
        </w:rPr>
        <w:t>4.2.6</w:t>
      </w:r>
      <w:r>
        <w:rPr>
          <w:rFonts w:hint="eastAsia" w:ascii="宋体" w:hAnsi="宋体" w:cs="宋体"/>
        </w:rPr>
        <w:t>　定时巡圈检查，发现异常牛只做好标记，进行隔离，疑似重大传染病的牛只应立即通知官方兽医。</w:t>
      </w:r>
    </w:p>
    <w:p w14:paraId="56816C5A">
      <w:pPr>
        <w:autoSpaceDE w:val="0"/>
        <w:autoSpaceDN w:val="0"/>
        <w:rPr>
          <w:rFonts w:ascii="宋体"/>
        </w:rPr>
      </w:pPr>
      <w:r>
        <w:rPr>
          <w:rFonts w:hint="eastAsia" w:ascii="黑体" w:hAnsi="黑体" w:eastAsia="黑体" w:cs="黑体"/>
        </w:rPr>
        <w:t>4.2.7</w:t>
      </w:r>
      <w:r>
        <w:rPr>
          <w:rFonts w:hint="eastAsia" w:ascii="宋体" w:hAnsi="宋体" w:cs="宋体"/>
        </w:rPr>
        <w:t>　待宰静养过程中死亡的牛只应进行无害化处理。</w:t>
      </w:r>
    </w:p>
    <w:p w14:paraId="0F54CB3C">
      <w:pPr>
        <w:autoSpaceDE w:val="0"/>
        <w:autoSpaceDN w:val="0"/>
        <w:adjustRightInd w:val="0"/>
        <w:spacing w:before="156" w:beforeLines="50" w:after="156" w:afterLines="50"/>
        <w:jc w:val="left"/>
        <w:rPr>
          <w:rFonts w:hint="eastAsia" w:ascii="黑体" w:hAnsi="黑体" w:eastAsia="黑体"/>
          <w:kern w:val="0"/>
          <w:szCs w:val="21"/>
        </w:rPr>
      </w:pPr>
      <w:r>
        <w:rPr>
          <w:rFonts w:hint="eastAsia" w:ascii="黑体" w:hAnsi="黑体" w:eastAsia="黑体"/>
          <w:kern w:val="0"/>
          <w:szCs w:val="21"/>
        </w:rPr>
        <w:t>4.3　送宰</w:t>
      </w:r>
    </w:p>
    <w:p w14:paraId="3C505833">
      <w:pPr>
        <w:autoSpaceDE w:val="0"/>
        <w:autoSpaceDN w:val="0"/>
        <w:rPr>
          <w:rFonts w:ascii="宋体"/>
        </w:rPr>
      </w:pPr>
      <w:r>
        <w:rPr>
          <w:rFonts w:hint="eastAsia" w:ascii="黑体" w:hAnsi="黑体" w:eastAsia="黑体" w:cs="黑体"/>
        </w:rPr>
        <w:t>4.3.1</w:t>
      </w:r>
      <w:r>
        <w:rPr>
          <w:rFonts w:hint="eastAsia" w:ascii="宋体" w:hAnsi="宋体" w:cs="宋体"/>
        </w:rPr>
        <w:t>　</w:t>
      </w:r>
      <w:r>
        <w:rPr>
          <w:rFonts w:hint="eastAsia" w:ascii="宋体"/>
        </w:rPr>
        <w:t>屠宰前应向</w:t>
      </w:r>
      <w:r>
        <w:rPr>
          <w:rFonts w:hint="eastAsia" w:ascii="宋体"/>
          <w:lang w:val="en-US" w:eastAsia="zh-CN"/>
        </w:rPr>
        <w:t>所在地动物卫生监督机构</w:t>
      </w:r>
      <w:r>
        <w:rPr>
          <w:rFonts w:hint="eastAsia" w:ascii="宋体"/>
        </w:rPr>
        <w:t>申报检疫，按照《牛屠宰</w:t>
      </w:r>
      <w:r>
        <w:rPr>
          <w:rFonts w:hint="default" w:ascii="Times New Roman" w:hAnsi="Times New Roman" w:cs="Times New Roman"/>
        </w:rPr>
        <w:t>检疫规程》和GB 18393等进行</w:t>
      </w:r>
      <w:r>
        <w:rPr>
          <w:rFonts w:hint="eastAsia" w:ascii="宋体"/>
        </w:rPr>
        <w:t>检疫和检验，合格后方可屠宰。</w:t>
      </w:r>
    </w:p>
    <w:p w14:paraId="262E5D99">
      <w:pPr>
        <w:autoSpaceDE w:val="0"/>
        <w:autoSpaceDN w:val="0"/>
        <w:rPr>
          <w:rFonts w:ascii="Times New Roman"/>
        </w:rPr>
      </w:pPr>
      <w:r>
        <w:rPr>
          <w:rFonts w:hint="eastAsia" w:ascii="黑体" w:hAnsi="黑体" w:eastAsia="黑体" w:cs="黑体"/>
        </w:rPr>
        <w:t>4.3.2</w:t>
      </w:r>
      <w:r>
        <w:rPr>
          <w:rFonts w:hint="eastAsia" w:ascii="宋体"/>
        </w:rPr>
        <w:t>　屠宰</w:t>
      </w:r>
      <w:r>
        <w:rPr>
          <w:rFonts w:hint="default" w:ascii="Times New Roman"/>
        </w:rPr>
        <w:t>前2 h宜使用温水清洗牛体，牛体表应无污物。</w:t>
      </w:r>
    </w:p>
    <w:p w14:paraId="01943DCD">
      <w:pPr>
        <w:autoSpaceDE w:val="0"/>
        <w:autoSpaceDN w:val="0"/>
        <w:rPr>
          <w:rFonts w:ascii="宋体"/>
        </w:rPr>
      </w:pPr>
      <w:r>
        <w:rPr>
          <w:rFonts w:hint="eastAsia" w:ascii="黑体" w:hAnsi="黑体" w:eastAsia="黑体" w:cs="黑体"/>
        </w:rPr>
        <w:t>4.3.3</w:t>
      </w:r>
      <w:r>
        <w:rPr>
          <w:rFonts w:hint="eastAsia" w:ascii="宋体"/>
        </w:rPr>
        <w:t>　按照</w:t>
      </w:r>
      <w:r>
        <w:rPr>
          <w:rFonts w:hint="default" w:ascii="Times New Roman" w:hAnsi="Times New Roman" w:cs="Times New Roman"/>
        </w:rPr>
        <w:t>SN/T 3774的要求选择赶牛人员，使牛进入待宰车间；用塑料棒按</w:t>
      </w:r>
      <w:r>
        <w:rPr>
          <w:rFonts w:hint="eastAsia" w:ascii="宋体"/>
        </w:rPr>
        <w:t>顺序驱赶牛只，或由引领牛将待宰牛只引入上牛通道，不应采用硬器击打。</w:t>
      </w:r>
    </w:p>
    <w:p w14:paraId="7DBBED16">
      <w:pPr>
        <w:autoSpaceDE w:val="0"/>
        <w:autoSpaceDN w:val="0"/>
        <w:rPr>
          <w:rFonts w:ascii="宋体"/>
        </w:rPr>
      </w:pPr>
      <w:r>
        <w:rPr>
          <w:rFonts w:hint="eastAsia" w:ascii="黑体" w:hAnsi="黑体" w:eastAsia="黑体" w:cs="黑体"/>
        </w:rPr>
        <w:t>4.3.4</w:t>
      </w:r>
      <w:r>
        <w:rPr>
          <w:rFonts w:hint="eastAsia" w:ascii="宋体"/>
        </w:rPr>
        <w:t>　按照先入栏的牛只先行屠宰的原则分栏送宰，应对牛编号，并按顺序赶送。</w:t>
      </w:r>
    </w:p>
    <w:p w14:paraId="5AFE245F">
      <w:pPr>
        <w:autoSpaceDE w:val="0"/>
        <w:autoSpaceDN w:val="0"/>
        <w:rPr>
          <w:rFonts w:ascii="宋体"/>
        </w:rPr>
      </w:pPr>
      <w:r>
        <w:rPr>
          <w:rFonts w:hint="eastAsia" w:ascii="黑体" w:hAnsi="黑体" w:eastAsia="黑体" w:cs="黑体"/>
        </w:rPr>
        <w:t>4.3.5</w:t>
      </w:r>
      <w:r>
        <w:rPr>
          <w:rFonts w:hint="eastAsia" w:ascii="宋体"/>
        </w:rPr>
        <w:t>　赶牛道的颜色、弯曲程度应均一，保持光线明亮和围栏密闭。</w:t>
      </w:r>
    </w:p>
    <w:p w14:paraId="5C93166D">
      <w:pPr>
        <w:autoSpaceDE w:val="0"/>
        <w:autoSpaceDN w:val="0"/>
        <w:adjustRightInd w:val="0"/>
        <w:spacing w:before="156" w:beforeLines="50" w:after="156" w:afterLines="50"/>
        <w:jc w:val="left"/>
        <w:rPr>
          <w:rFonts w:hint="eastAsia" w:ascii="黑体" w:hAnsi="黑体" w:eastAsia="黑体"/>
          <w:kern w:val="0"/>
          <w:szCs w:val="21"/>
        </w:rPr>
      </w:pPr>
      <w:r>
        <w:rPr>
          <w:rFonts w:hint="eastAsia" w:ascii="黑体" w:hAnsi="黑体" w:eastAsia="黑体"/>
          <w:kern w:val="0"/>
          <w:szCs w:val="21"/>
        </w:rPr>
        <w:t>4.4　病死牛无害化处理</w:t>
      </w:r>
    </w:p>
    <w:p w14:paraId="533382E7">
      <w:pPr>
        <w:autoSpaceDE w:val="0"/>
        <w:autoSpaceDN w:val="0"/>
        <w:ind w:firstLine="420" w:firstLineChars="200"/>
        <w:rPr>
          <w:rFonts w:hint="eastAsia" w:ascii="宋体" w:hAnsi="宋体" w:cs="宋体"/>
          <w:szCs w:val="21"/>
        </w:rPr>
      </w:pPr>
      <w:r>
        <w:rPr>
          <w:rFonts w:hint="eastAsia" w:ascii="宋体" w:hAnsi="宋体" w:cs="宋体"/>
          <w:szCs w:val="21"/>
        </w:rPr>
        <w:t>病死牛无害化处理</w:t>
      </w:r>
      <w:r>
        <w:rPr>
          <w:rFonts w:hint="eastAsia" w:ascii="宋体" w:hAnsi="宋体" w:cs="宋体"/>
          <w:szCs w:val="21"/>
          <w:lang w:val="en-US" w:eastAsia="zh-CN"/>
        </w:rPr>
        <w:t>要求见</w:t>
      </w:r>
      <w:r>
        <w:rPr>
          <w:rFonts w:hint="eastAsia" w:ascii="宋体" w:hAnsi="宋体" w:cs="宋体"/>
          <w:szCs w:val="21"/>
        </w:rPr>
        <w:t>《病死及病害动物无害化处理技术规范》。</w:t>
      </w:r>
    </w:p>
    <w:p w14:paraId="467069FD">
      <w:pPr>
        <w:spacing w:before="312" w:beforeLines="100" w:after="312" w:afterLines="100"/>
        <w:outlineLvl w:val="1"/>
        <w:rPr>
          <w:rFonts w:ascii="黑体" w:eastAsia="黑体"/>
        </w:rPr>
      </w:pPr>
      <w:r>
        <w:rPr>
          <w:rFonts w:hint="eastAsia" w:ascii="黑体" w:eastAsia="黑体"/>
          <w:szCs w:val="21"/>
        </w:rPr>
        <w:t>5　</w:t>
      </w:r>
      <w:r>
        <w:rPr>
          <w:rFonts w:hint="eastAsia" w:ascii="黑体" w:eastAsia="黑体"/>
        </w:rPr>
        <w:t>屠宰操作程序及要求</w:t>
      </w:r>
    </w:p>
    <w:p w14:paraId="7FA9EA88">
      <w:pPr>
        <w:numPr>
          <w:ilvl w:val="1"/>
          <w:numId w:val="0"/>
        </w:numPr>
        <w:spacing w:before="156" w:beforeLines="50" w:after="156" w:afterLines="50"/>
        <w:outlineLvl w:val="2"/>
        <w:rPr>
          <w:rFonts w:ascii="黑体" w:eastAsia="黑体"/>
          <w:szCs w:val="21"/>
        </w:rPr>
      </w:pPr>
      <w:bookmarkStart w:id="50" w:name="_Toc22135232"/>
      <w:bookmarkEnd w:id="50"/>
      <w:bookmarkStart w:id="51" w:name="_Toc21982170"/>
      <w:bookmarkEnd w:id="51"/>
      <w:bookmarkStart w:id="52" w:name="_Toc21982477"/>
      <w:bookmarkEnd w:id="52"/>
      <w:bookmarkStart w:id="53" w:name="_Toc22135210"/>
      <w:bookmarkEnd w:id="53"/>
      <w:bookmarkStart w:id="54" w:name="_Toc22135230"/>
      <w:bookmarkEnd w:id="54"/>
      <w:bookmarkStart w:id="55" w:name="_Toc21982190"/>
      <w:bookmarkEnd w:id="55"/>
      <w:bookmarkStart w:id="56" w:name="_Toc21982192"/>
      <w:bookmarkEnd w:id="56"/>
      <w:bookmarkStart w:id="57" w:name="_Toc21982479"/>
      <w:bookmarkEnd w:id="57"/>
      <w:bookmarkStart w:id="58" w:name="_Toc21982457"/>
      <w:bookmarkEnd w:id="58"/>
      <w:bookmarkStart w:id="59" w:name="_Toc20410163"/>
      <w:bookmarkEnd w:id="59"/>
      <w:bookmarkStart w:id="60" w:name="_Toc21982437"/>
      <w:bookmarkEnd w:id="60"/>
      <w:bookmarkStart w:id="61" w:name="_Toc21982150"/>
      <w:bookmarkEnd w:id="61"/>
      <w:bookmarkStart w:id="62" w:name="OLE_LINK10"/>
      <w:r>
        <w:rPr>
          <w:rFonts w:hint="eastAsia" w:ascii="黑体" w:eastAsia="黑体"/>
          <w:szCs w:val="21"/>
        </w:rPr>
        <w:t>5.1　保定和致昏</w:t>
      </w:r>
    </w:p>
    <w:bookmarkEnd w:id="62"/>
    <w:p w14:paraId="27E5B830">
      <w:pPr>
        <w:autoSpaceDE w:val="0"/>
        <w:autoSpaceDN w:val="0"/>
        <w:spacing w:before="157" w:beforeLines="50" w:after="157" w:afterLines="50"/>
        <w:rPr>
          <w:rFonts w:ascii="宋体"/>
        </w:rPr>
      </w:pPr>
      <w:r>
        <w:rPr>
          <w:rFonts w:hint="eastAsia" w:ascii="黑体" w:hAnsi="黑体" w:eastAsia="黑体" w:cs="黑体"/>
        </w:rPr>
        <w:t>5.1.1</w:t>
      </w:r>
      <w:r>
        <w:rPr>
          <w:rFonts w:hint="eastAsia" w:ascii="宋体"/>
        </w:rPr>
        <w:t>　</w:t>
      </w:r>
      <w:r>
        <w:rPr>
          <w:rFonts w:hint="eastAsia" w:ascii="黑体" w:hAnsi="黑体" w:eastAsia="黑体" w:cs="黑体"/>
        </w:rPr>
        <w:t>保定</w:t>
      </w:r>
    </w:p>
    <w:p w14:paraId="67EDF8C0">
      <w:pPr>
        <w:autoSpaceDE w:val="0"/>
        <w:autoSpaceDN w:val="0"/>
        <w:rPr>
          <w:rFonts w:ascii="宋体"/>
        </w:rPr>
      </w:pPr>
      <w:r>
        <w:rPr>
          <w:rFonts w:hint="eastAsia" w:ascii="黑体" w:hAnsi="黑体" w:eastAsia="黑体" w:cs="黑体"/>
        </w:rPr>
        <w:t>5.1.1.1　</w:t>
      </w:r>
      <w:r>
        <w:rPr>
          <w:rFonts w:hint="eastAsia" w:ascii="宋体"/>
        </w:rPr>
        <w:t>应对牛只进行适当保定，</w:t>
      </w:r>
      <w:r>
        <w:rPr>
          <w:rFonts w:hint="eastAsia" w:ascii="宋体"/>
          <w:lang w:val="en-US" w:eastAsia="zh-CN"/>
        </w:rPr>
        <w:t>应避免</w:t>
      </w:r>
      <w:r>
        <w:rPr>
          <w:rFonts w:hint="eastAsia" w:ascii="宋体"/>
        </w:rPr>
        <w:t>不必要的痛苦、惊吓。</w:t>
      </w:r>
    </w:p>
    <w:p w14:paraId="750BCAE8">
      <w:pPr>
        <w:autoSpaceDE w:val="0"/>
        <w:autoSpaceDN w:val="0"/>
        <w:ind w:firstLine="0" w:firstLineChars="0"/>
        <w:rPr>
          <w:rFonts w:hint="eastAsia" w:ascii="宋体"/>
        </w:rPr>
      </w:pPr>
      <w:r>
        <w:rPr>
          <w:rFonts w:hint="eastAsia" w:ascii="黑体" w:hAnsi="黑体" w:eastAsia="黑体" w:cs="黑体"/>
        </w:rPr>
        <w:t>5.1.1.2</w:t>
      </w:r>
      <w:r>
        <w:rPr>
          <w:rFonts w:hint="eastAsia" w:ascii="宋体"/>
        </w:rPr>
        <w:t>　不应捆绑牛四肢、不应悬吊牛只。</w:t>
      </w:r>
    </w:p>
    <w:p w14:paraId="1F85C4D7">
      <w:pPr>
        <w:autoSpaceDE w:val="0"/>
        <w:autoSpaceDN w:val="0"/>
        <w:ind w:firstLine="0" w:firstLineChars="0"/>
        <w:rPr>
          <w:rFonts w:ascii="黑体" w:eastAsia="黑体"/>
          <w:szCs w:val="21"/>
        </w:rPr>
      </w:pPr>
      <w:r>
        <w:rPr>
          <w:rFonts w:hint="eastAsia" w:ascii="黑体" w:hAnsi="黑体" w:eastAsia="黑体" w:cs="黑体"/>
        </w:rPr>
        <w:t>5.1.1.</w:t>
      </w:r>
      <w:r>
        <w:rPr>
          <w:rFonts w:hint="eastAsia" w:ascii="黑体" w:hAnsi="黑体" w:eastAsia="黑体" w:cs="黑体"/>
          <w:lang w:val="en-US" w:eastAsia="zh-CN"/>
        </w:rPr>
        <w:t>3</w:t>
      </w:r>
      <w:r>
        <w:rPr>
          <w:rFonts w:hint="eastAsia" w:ascii="宋体"/>
        </w:rPr>
        <w:t>　用适当的方法固定牛只的头部，以便对牛进行击晕。</w:t>
      </w:r>
    </w:p>
    <w:p w14:paraId="534B0542">
      <w:pPr>
        <w:autoSpaceDE w:val="0"/>
        <w:autoSpaceDN w:val="0"/>
        <w:spacing w:before="157" w:beforeLines="50" w:after="157" w:afterLines="50"/>
        <w:rPr>
          <w:rFonts w:hint="eastAsia" w:ascii="黑体" w:hAnsi="黑体" w:eastAsia="黑体" w:cs="黑体"/>
        </w:rPr>
      </w:pPr>
      <w:r>
        <w:rPr>
          <w:rFonts w:hint="eastAsia" w:ascii="黑体" w:hAnsi="黑体" w:eastAsia="黑体" w:cs="黑体"/>
        </w:rPr>
        <w:t>5.1.2　致昏</w:t>
      </w:r>
    </w:p>
    <w:p w14:paraId="10D328E6">
      <w:pPr>
        <w:autoSpaceDE w:val="0"/>
        <w:autoSpaceDN w:val="0"/>
        <w:rPr>
          <w:rFonts w:ascii="宋体"/>
        </w:rPr>
      </w:pPr>
      <w:r>
        <w:rPr>
          <w:rFonts w:hint="eastAsia" w:ascii="黑体" w:hAnsi="黑体" w:eastAsia="黑体" w:cs="黑体"/>
        </w:rPr>
        <w:t>5.1.2.1</w:t>
      </w:r>
      <w:r>
        <w:rPr>
          <w:rFonts w:hint="eastAsia" w:ascii="宋体"/>
        </w:rPr>
        <w:t>　可选择致昏或不致昏。</w:t>
      </w:r>
    </w:p>
    <w:p w14:paraId="4C210F39">
      <w:pPr>
        <w:autoSpaceDE w:val="0"/>
        <w:autoSpaceDN w:val="0"/>
        <w:ind w:firstLine="0" w:firstLineChars="0"/>
        <w:rPr>
          <w:rFonts w:hint="default" w:ascii="Times New Roman" w:hAnsi="Times New Roman" w:cs="Times New Roman"/>
        </w:rPr>
      </w:pPr>
      <w:r>
        <w:rPr>
          <w:rFonts w:hint="eastAsia" w:ascii="黑体" w:hAnsi="黑体" w:eastAsia="黑体" w:cs="黑体"/>
        </w:rPr>
        <w:t>5.1.2.2</w:t>
      </w:r>
      <w:r>
        <w:rPr>
          <w:rFonts w:hint="eastAsia" w:ascii="宋体"/>
        </w:rPr>
        <w:t>　</w:t>
      </w:r>
      <w:r>
        <w:rPr>
          <w:rFonts w:hint="eastAsia" w:ascii="宋体" w:hAnsi="宋体" w:eastAsia="宋体" w:cs="宋体"/>
          <w:lang w:val="en-US" w:eastAsia="zh-CN"/>
        </w:rPr>
        <w:t>采用</w:t>
      </w:r>
      <w:r>
        <w:rPr>
          <w:rFonts w:hint="eastAsia" w:ascii="宋体" w:hAnsi="宋体" w:cs="宋体"/>
        </w:rPr>
        <w:t>击晕法</w:t>
      </w:r>
      <w:r>
        <w:rPr>
          <w:rFonts w:hint="eastAsia" w:ascii="宋体" w:hAnsi="宋体" w:cs="宋体"/>
          <w:lang w:val="en-US" w:eastAsia="zh-CN"/>
        </w:rPr>
        <w:t>时，</w:t>
      </w:r>
      <w:r>
        <w:rPr>
          <w:rFonts w:hint="eastAsia" w:ascii="宋体" w:hAnsi="宋体" w:cs="宋体"/>
        </w:rPr>
        <w:t>用击晕枪对</w:t>
      </w:r>
      <w:r>
        <w:rPr>
          <w:rFonts w:hint="default" w:ascii="Times New Roman" w:hAnsi="Times New Roman" w:cs="Times New Roman"/>
        </w:rPr>
        <w:t>准牛的两角与两眼对角线交叉点，快速启动，使牛昏迷。</w:t>
      </w:r>
    </w:p>
    <w:p w14:paraId="3A7E0640">
      <w:pPr>
        <w:autoSpaceDE w:val="0"/>
        <w:autoSpaceDN w:val="0"/>
        <w:ind w:firstLine="0" w:firstLineChars="0"/>
        <w:rPr>
          <w:rFonts w:hint="default" w:ascii="Times New Roman" w:hAnsi="Times New Roman" w:cs="Times New Roman"/>
        </w:rPr>
      </w:pPr>
      <w:r>
        <w:rPr>
          <w:rFonts w:hint="eastAsia" w:ascii="黑体" w:hAnsi="黑体" w:eastAsia="黑体" w:cs="黑体"/>
        </w:rPr>
        <w:t>5.1.2.</w:t>
      </w:r>
      <w:r>
        <w:rPr>
          <w:rFonts w:hint="eastAsia" w:ascii="黑体" w:hAnsi="黑体" w:eastAsia="黑体" w:cs="黑体"/>
          <w:lang w:val="en-US" w:eastAsia="zh-CN"/>
        </w:rPr>
        <w:t>3</w:t>
      </w:r>
      <w:r>
        <w:rPr>
          <w:rFonts w:hint="eastAsia" w:ascii="宋体"/>
        </w:rPr>
        <w:t>　</w:t>
      </w:r>
      <w:r>
        <w:rPr>
          <w:rFonts w:hint="default" w:ascii="Times New Roman" w:hAnsi="Times New Roman" w:cs="Times New Roman"/>
          <w:lang w:val="en-US" w:eastAsia="zh-CN"/>
        </w:rPr>
        <w:t>采用</w:t>
      </w:r>
      <w:r>
        <w:rPr>
          <w:rFonts w:hint="default" w:ascii="Times New Roman" w:hAnsi="Times New Roman" w:cs="Times New Roman"/>
        </w:rPr>
        <w:t>麻电法</w:t>
      </w:r>
      <w:r>
        <w:rPr>
          <w:rFonts w:hint="default" w:ascii="Times New Roman" w:hAnsi="Times New Roman" w:cs="Times New Roman"/>
          <w:lang w:val="en-US" w:eastAsia="zh-CN"/>
        </w:rPr>
        <w:t>时，</w:t>
      </w:r>
      <w:r>
        <w:rPr>
          <w:rFonts w:hint="default" w:ascii="Times New Roman" w:hAnsi="Times New Roman" w:cs="Times New Roman"/>
        </w:rPr>
        <w:t>用单杆式电麻器击牛体，使牛昏迷，参数宜为：电压不超过200 V，电流1 A～1.5 A，作用时间7 s～30 s。</w:t>
      </w:r>
    </w:p>
    <w:p w14:paraId="205121CC">
      <w:pPr>
        <w:autoSpaceDE w:val="0"/>
        <w:autoSpaceDN w:val="0"/>
        <w:ind w:firstLine="0" w:firstLineChars="0"/>
        <w:rPr>
          <w:rFonts w:ascii="宋体"/>
        </w:rPr>
      </w:pPr>
      <w:r>
        <w:rPr>
          <w:rFonts w:hint="eastAsia" w:ascii="黑体" w:hAnsi="黑体" w:eastAsia="黑体" w:cs="黑体"/>
        </w:rPr>
        <w:t>5.1.2.</w:t>
      </w:r>
      <w:r>
        <w:rPr>
          <w:rFonts w:hint="eastAsia" w:ascii="黑体" w:hAnsi="黑体" w:eastAsia="黑体" w:cs="黑体"/>
          <w:lang w:val="en-US" w:eastAsia="zh-CN"/>
        </w:rPr>
        <w:t>4</w:t>
      </w:r>
      <w:r>
        <w:rPr>
          <w:rFonts w:hint="eastAsia" w:ascii="宋体"/>
        </w:rPr>
        <w:t>　不应将牛致死或反复致昏，致昏后牛呈昏迷状态，心脏保持跳动。</w:t>
      </w:r>
    </w:p>
    <w:p w14:paraId="5F6B5980">
      <w:pPr>
        <w:numPr>
          <w:ilvl w:val="1"/>
          <w:numId w:val="0"/>
        </w:numPr>
        <w:spacing w:before="156" w:beforeLines="50" w:after="156" w:afterLines="50"/>
        <w:outlineLvl w:val="2"/>
        <w:rPr>
          <w:rFonts w:ascii="黑体" w:eastAsia="黑体"/>
          <w:szCs w:val="21"/>
        </w:rPr>
      </w:pPr>
      <w:r>
        <w:rPr>
          <w:rFonts w:hint="eastAsia" w:ascii="黑体" w:eastAsia="黑体"/>
          <w:szCs w:val="21"/>
        </w:rPr>
        <w:t>5.2　宰杀放血</w:t>
      </w:r>
    </w:p>
    <w:p w14:paraId="2B497F3A">
      <w:pPr>
        <w:autoSpaceDE w:val="0"/>
        <w:autoSpaceDN w:val="0"/>
        <w:rPr>
          <w:rFonts w:ascii="宋体"/>
        </w:rPr>
      </w:pPr>
      <w:r>
        <w:rPr>
          <w:rFonts w:hint="eastAsia" w:ascii="黑体" w:hAnsi="黑体" w:eastAsia="黑体" w:cs="黑体"/>
        </w:rPr>
        <w:t>5.2.1　</w:t>
      </w:r>
      <w:r>
        <w:rPr>
          <w:rFonts w:hint="eastAsia" w:ascii="宋体"/>
        </w:rPr>
        <w:t>采用</w:t>
      </w:r>
      <w:r>
        <w:rPr>
          <w:rFonts w:hint="eastAsia" w:ascii="宋体"/>
          <w:lang w:val="en-US" w:eastAsia="zh-CN"/>
        </w:rPr>
        <w:t>三管齐断放血的宰杀方式时</w:t>
      </w:r>
      <w:r>
        <w:rPr>
          <w:rFonts w:hint="eastAsia" w:ascii="宋体"/>
        </w:rPr>
        <w:t>，</w:t>
      </w:r>
      <w:r>
        <w:rPr>
          <w:rFonts w:hint="eastAsia" w:ascii="宋体"/>
          <w:lang w:val="en-US" w:eastAsia="zh-CN"/>
        </w:rPr>
        <w:t>应</w:t>
      </w:r>
      <w:r>
        <w:rPr>
          <w:rFonts w:hint="eastAsia" w:ascii="宋体"/>
        </w:rPr>
        <w:t>从牛喉部下刀，横向切断食管、气管和血管。</w:t>
      </w:r>
    </w:p>
    <w:p w14:paraId="5EA82287">
      <w:pPr>
        <w:autoSpaceDE w:val="0"/>
        <w:autoSpaceDN w:val="0"/>
        <w:rPr>
          <w:rFonts w:ascii="Times New Roman"/>
        </w:rPr>
      </w:pPr>
      <w:r>
        <w:rPr>
          <w:rFonts w:hint="eastAsia" w:ascii="黑体" w:hAnsi="黑体" w:eastAsia="黑体" w:cs="黑体"/>
        </w:rPr>
        <w:t>5.2.2　</w:t>
      </w:r>
      <w:r>
        <w:rPr>
          <w:rFonts w:hint="eastAsia" w:ascii="宋体"/>
        </w:rPr>
        <w:t>从致昏到宰杀放血</w:t>
      </w:r>
      <w:r>
        <w:rPr>
          <w:rFonts w:hint="default" w:ascii="Times New Roman"/>
        </w:rPr>
        <w:t>时间应控制在1.5 min以内。</w:t>
      </w:r>
    </w:p>
    <w:p w14:paraId="5BFE7451">
      <w:pPr>
        <w:numPr>
          <w:ilvl w:val="1"/>
          <w:numId w:val="0"/>
        </w:numPr>
        <w:spacing w:before="156" w:beforeLines="50" w:after="156" w:afterLines="50"/>
        <w:outlineLvl w:val="2"/>
        <w:rPr>
          <w:rFonts w:ascii="黑体" w:eastAsia="黑体"/>
          <w:szCs w:val="21"/>
        </w:rPr>
      </w:pPr>
      <w:r>
        <w:rPr>
          <w:rFonts w:hint="eastAsia" w:ascii="黑体" w:eastAsia="黑体"/>
          <w:szCs w:val="21"/>
        </w:rPr>
        <w:t>5.3　挂牛</w:t>
      </w:r>
    </w:p>
    <w:p w14:paraId="0DA52CCA">
      <w:pPr>
        <w:autoSpaceDE w:val="0"/>
        <w:autoSpaceDN w:val="0"/>
        <w:rPr>
          <w:rFonts w:ascii="宋体"/>
        </w:rPr>
      </w:pPr>
      <w:r>
        <w:rPr>
          <w:rFonts w:hint="eastAsia" w:ascii="黑体" w:hAnsi="黑体" w:eastAsia="黑体" w:cs="黑体"/>
        </w:rPr>
        <w:t>5.3.1　</w:t>
      </w:r>
      <w:r>
        <w:rPr>
          <w:rFonts w:hint="eastAsia" w:ascii="宋体"/>
        </w:rPr>
        <w:t>将牛的一只后小腿用扣脚链扣紧，开启提升机稳步提升，将牛悬挂至轨道上。</w:t>
      </w:r>
    </w:p>
    <w:p w14:paraId="6AAE4716">
      <w:pPr>
        <w:autoSpaceDE w:val="0"/>
        <w:autoSpaceDN w:val="0"/>
        <w:rPr>
          <w:rFonts w:ascii="Times New Roman"/>
        </w:rPr>
      </w:pPr>
      <w:r>
        <w:rPr>
          <w:rFonts w:hint="eastAsia" w:ascii="黑体" w:hAnsi="黑体" w:eastAsia="黑体" w:cs="黑体"/>
        </w:rPr>
        <w:t>5.3.2　</w:t>
      </w:r>
      <w:r>
        <w:rPr>
          <w:rFonts w:hint="eastAsia" w:ascii="宋体"/>
        </w:rPr>
        <w:t>挂牛要迅速，与放血之间的时间</w:t>
      </w:r>
      <w:r>
        <w:rPr>
          <w:rFonts w:hint="default" w:ascii="Times New Roman"/>
        </w:rPr>
        <w:t>间隔宜少于1.5 min。</w:t>
      </w:r>
    </w:p>
    <w:p w14:paraId="41EE16B2">
      <w:pPr>
        <w:numPr>
          <w:ilvl w:val="1"/>
          <w:numId w:val="0"/>
        </w:numPr>
        <w:spacing w:before="156" w:beforeLines="50" w:after="156" w:afterLines="50"/>
        <w:outlineLvl w:val="2"/>
        <w:rPr>
          <w:rFonts w:ascii="黑体" w:eastAsia="黑体"/>
          <w:szCs w:val="21"/>
        </w:rPr>
      </w:pPr>
      <w:r>
        <w:rPr>
          <w:rFonts w:hint="eastAsia" w:ascii="黑体" w:eastAsia="黑体"/>
          <w:szCs w:val="21"/>
        </w:rPr>
        <w:t>5.4　电刺激</w:t>
      </w:r>
    </w:p>
    <w:p w14:paraId="1854239D">
      <w:pPr>
        <w:autoSpaceDE w:val="0"/>
        <w:autoSpaceDN w:val="0"/>
        <w:ind w:firstLine="420" w:firstLineChars="200"/>
        <w:rPr>
          <w:rFonts w:ascii="Times New Roman" w:hAnsi="Times New Roman" w:cs="Times New Roman"/>
        </w:rPr>
      </w:pPr>
      <w:r>
        <w:rPr>
          <w:rFonts w:hint="default" w:ascii="Times New Roman" w:hAnsi="Times New Roman" w:cs="Times New Roman"/>
          <w:lang w:eastAsia="zh-CN"/>
        </w:rPr>
        <w:t>按照GB/T 19477要求执行</w:t>
      </w:r>
      <w:r>
        <w:rPr>
          <w:rFonts w:hint="default" w:ascii="Times New Roman" w:hAnsi="Times New Roman" w:cs="Times New Roman"/>
        </w:rPr>
        <w:t>。</w:t>
      </w:r>
    </w:p>
    <w:p w14:paraId="6390D322">
      <w:pPr>
        <w:numPr>
          <w:ilvl w:val="1"/>
          <w:numId w:val="0"/>
        </w:numPr>
        <w:spacing w:before="156" w:beforeLines="50" w:after="156" w:afterLines="50"/>
        <w:outlineLvl w:val="2"/>
        <w:rPr>
          <w:rFonts w:ascii="黑体" w:eastAsia="黑体"/>
          <w:szCs w:val="21"/>
        </w:rPr>
      </w:pPr>
      <w:r>
        <w:rPr>
          <w:rFonts w:hint="eastAsia" w:ascii="黑体" w:eastAsia="黑体"/>
          <w:szCs w:val="21"/>
        </w:rPr>
        <w:t>5.5　去头、前蹄、后蹄</w:t>
      </w:r>
    </w:p>
    <w:p w14:paraId="48667111">
      <w:pPr>
        <w:autoSpaceDE w:val="0"/>
        <w:autoSpaceDN w:val="0"/>
        <w:ind w:firstLine="420" w:firstLineChars="200"/>
        <w:rPr>
          <w:rFonts w:ascii="Times New Roman"/>
        </w:rPr>
      </w:pPr>
      <w:r>
        <w:rPr>
          <w:rFonts w:hint="default" w:ascii="Times New Roman"/>
          <w:lang w:eastAsia="zh-CN"/>
        </w:rPr>
        <w:t>按照GB/T 19477要求执行</w:t>
      </w:r>
      <w:r>
        <w:rPr>
          <w:rFonts w:hint="default" w:ascii="Times New Roman"/>
        </w:rPr>
        <w:t>。</w:t>
      </w:r>
    </w:p>
    <w:p w14:paraId="4382D2FB">
      <w:pPr>
        <w:numPr>
          <w:ilvl w:val="1"/>
          <w:numId w:val="0"/>
        </w:numPr>
        <w:spacing w:before="156" w:beforeLines="50" w:after="156" w:afterLines="50"/>
        <w:outlineLvl w:val="2"/>
        <w:rPr>
          <w:rFonts w:ascii="黑体" w:eastAsia="黑体"/>
          <w:szCs w:val="21"/>
        </w:rPr>
      </w:pPr>
      <w:r>
        <w:rPr>
          <w:rFonts w:hint="eastAsia" w:ascii="黑体" w:eastAsia="黑体"/>
          <w:szCs w:val="21"/>
        </w:rPr>
        <w:t>5.6　结扎食管</w:t>
      </w:r>
    </w:p>
    <w:p w14:paraId="283992BD">
      <w:pPr>
        <w:autoSpaceDE w:val="0"/>
        <w:autoSpaceDN w:val="0"/>
        <w:ind w:firstLine="420" w:firstLineChars="200"/>
        <w:rPr>
          <w:rFonts w:ascii="Times New Roman"/>
        </w:rPr>
      </w:pPr>
      <w:r>
        <w:rPr>
          <w:rFonts w:hint="default" w:ascii="Times New Roman"/>
          <w:lang w:eastAsia="zh-CN"/>
        </w:rPr>
        <w:t>按照GB/T 19477要求执行</w:t>
      </w:r>
      <w:r>
        <w:rPr>
          <w:rFonts w:hint="default" w:ascii="Times New Roman"/>
        </w:rPr>
        <w:t>。</w:t>
      </w:r>
    </w:p>
    <w:p w14:paraId="5384B8F5">
      <w:pPr>
        <w:numPr>
          <w:ilvl w:val="1"/>
          <w:numId w:val="0"/>
        </w:numPr>
        <w:spacing w:before="156" w:beforeLines="50" w:after="156" w:afterLines="50"/>
        <w:outlineLvl w:val="2"/>
        <w:rPr>
          <w:rFonts w:ascii="黑体" w:eastAsia="黑体"/>
          <w:szCs w:val="21"/>
        </w:rPr>
      </w:pPr>
      <w:r>
        <w:rPr>
          <w:rFonts w:hint="eastAsia" w:ascii="黑体" w:eastAsia="黑体"/>
          <w:szCs w:val="21"/>
        </w:rPr>
        <w:t>5.7　剥皮</w:t>
      </w:r>
    </w:p>
    <w:p w14:paraId="023CD23F">
      <w:pPr>
        <w:autoSpaceDE w:val="0"/>
        <w:autoSpaceDN w:val="0"/>
        <w:ind w:firstLine="420" w:firstLineChars="200"/>
        <w:rPr>
          <w:rFonts w:ascii="Times New Roman"/>
        </w:rPr>
      </w:pPr>
      <w:r>
        <w:rPr>
          <w:rFonts w:hint="eastAsia" w:ascii="宋体" w:hAnsi="宋体" w:cs="宋体"/>
        </w:rPr>
        <w:t>剥后腿、胸腹、颈部、前腿皮</w:t>
      </w:r>
      <w:r>
        <w:rPr>
          <w:rFonts w:hint="default" w:ascii="Times New Roman" w:hAnsi="Times New Roman" w:cs="Times New Roman"/>
        </w:rPr>
        <w:t>，</w:t>
      </w:r>
      <w:r>
        <w:rPr>
          <w:rFonts w:hint="default" w:ascii="Times New Roman" w:hAnsi="Times New Roman" w:cs="Times New Roman"/>
          <w:lang w:eastAsia="zh-CN"/>
        </w:rPr>
        <w:t>按照GB/T 19477要求执行</w:t>
      </w:r>
      <w:r>
        <w:rPr>
          <w:rFonts w:hint="default" w:ascii="Times New Roman"/>
        </w:rPr>
        <w:t>。</w:t>
      </w:r>
    </w:p>
    <w:p w14:paraId="53BD4926">
      <w:pPr>
        <w:numPr>
          <w:ilvl w:val="1"/>
          <w:numId w:val="0"/>
        </w:numPr>
        <w:spacing w:before="156" w:beforeLines="50" w:after="156" w:afterLines="50"/>
        <w:outlineLvl w:val="2"/>
        <w:rPr>
          <w:rFonts w:ascii="黑体" w:eastAsia="黑体"/>
          <w:szCs w:val="21"/>
        </w:rPr>
      </w:pPr>
      <w:r>
        <w:rPr>
          <w:rFonts w:hint="eastAsia" w:ascii="黑体" w:eastAsia="黑体"/>
          <w:szCs w:val="21"/>
        </w:rPr>
        <w:t>5.8　转挂</w:t>
      </w:r>
    </w:p>
    <w:p w14:paraId="2C07738E">
      <w:pPr>
        <w:autoSpaceDE w:val="0"/>
        <w:autoSpaceDN w:val="0"/>
        <w:ind w:firstLine="420" w:firstLineChars="200"/>
        <w:rPr>
          <w:rFonts w:ascii="Times New Roman"/>
        </w:rPr>
      </w:pPr>
      <w:r>
        <w:rPr>
          <w:rFonts w:hint="default" w:ascii="Times New Roman"/>
          <w:lang w:eastAsia="zh-CN"/>
        </w:rPr>
        <w:t>按照GB/T 19477要求执行</w:t>
      </w:r>
      <w:r>
        <w:rPr>
          <w:rFonts w:hint="default" w:ascii="Times New Roman"/>
        </w:rPr>
        <w:t>。</w:t>
      </w:r>
    </w:p>
    <w:p w14:paraId="58B58A9D">
      <w:pPr>
        <w:numPr>
          <w:ilvl w:val="1"/>
          <w:numId w:val="0"/>
        </w:numPr>
        <w:spacing w:before="156" w:beforeLines="50" w:after="156" w:afterLines="50"/>
        <w:outlineLvl w:val="2"/>
        <w:rPr>
          <w:rFonts w:ascii="黑体" w:eastAsia="黑体"/>
          <w:szCs w:val="21"/>
        </w:rPr>
      </w:pPr>
      <w:r>
        <w:rPr>
          <w:rFonts w:hint="eastAsia" w:ascii="黑体" w:eastAsia="黑体"/>
          <w:szCs w:val="21"/>
        </w:rPr>
        <w:t>5.9　结扎肛门</w:t>
      </w:r>
    </w:p>
    <w:p w14:paraId="6C0779D0">
      <w:pPr>
        <w:autoSpaceDE w:val="0"/>
        <w:autoSpaceDN w:val="0"/>
        <w:ind w:firstLine="420" w:firstLineChars="200"/>
        <w:rPr>
          <w:rFonts w:ascii="Times New Roman"/>
        </w:rPr>
      </w:pPr>
      <w:r>
        <w:rPr>
          <w:rFonts w:hint="default" w:ascii="Times New Roman"/>
          <w:lang w:eastAsia="zh-CN"/>
        </w:rPr>
        <w:t>按照GB/T 19477要求执行</w:t>
      </w:r>
      <w:r>
        <w:rPr>
          <w:rFonts w:hint="default" w:ascii="Times New Roman"/>
        </w:rPr>
        <w:t>。</w:t>
      </w:r>
    </w:p>
    <w:p w14:paraId="03879804">
      <w:pPr>
        <w:numPr>
          <w:ilvl w:val="1"/>
          <w:numId w:val="0"/>
        </w:numPr>
        <w:spacing w:before="156" w:beforeLines="50" w:after="156" w:afterLines="50"/>
        <w:outlineLvl w:val="2"/>
        <w:rPr>
          <w:rFonts w:ascii="黑体" w:eastAsia="黑体"/>
          <w:szCs w:val="21"/>
        </w:rPr>
      </w:pPr>
      <w:r>
        <w:rPr>
          <w:rFonts w:hint="eastAsia" w:ascii="黑体" w:eastAsia="黑体"/>
          <w:szCs w:val="21"/>
        </w:rPr>
        <w:t>5.10　扯皮</w:t>
      </w:r>
    </w:p>
    <w:p w14:paraId="5D02A659">
      <w:pPr>
        <w:autoSpaceDE w:val="0"/>
        <w:autoSpaceDN w:val="0"/>
        <w:rPr>
          <w:rFonts w:ascii="宋体"/>
        </w:rPr>
      </w:pPr>
      <w:r>
        <w:rPr>
          <w:rFonts w:hint="eastAsia" w:ascii="黑体" w:hAnsi="黑体" w:eastAsia="黑体" w:cs="黑体"/>
        </w:rPr>
        <w:t>5.10.1　</w:t>
      </w:r>
      <w:r>
        <w:rPr>
          <w:rFonts w:hint="eastAsia" w:ascii="宋体" w:hAnsi="宋体" w:cs="宋体"/>
        </w:rPr>
        <w:t>当扯皮机的扯皮滚筒通过液压作用上升到牛的后腿位置时，将</w:t>
      </w:r>
      <w:r>
        <w:rPr>
          <w:rFonts w:hint="eastAsia" w:ascii="宋体"/>
        </w:rPr>
        <w:t>两后腿皮锁紧，毛皮面向外，开启扯皮机，以适当的速度将牛皮卷扯分离胴体，不应将肉带在皮上。</w:t>
      </w:r>
    </w:p>
    <w:p w14:paraId="4D567CCC">
      <w:pPr>
        <w:autoSpaceDE w:val="0"/>
        <w:autoSpaceDN w:val="0"/>
        <w:rPr>
          <w:rFonts w:ascii="宋体"/>
        </w:rPr>
      </w:pPr>
      <w:r>
        <w:rPr>
          <w:rFonts w:hint="eastAsia" w:ascii="黑体" w:hAnsi="黑体" w:eastAsia="黑体" w:cs="黑体"/>
        </w:rPr>
        <w:t>5.10.2　</w:t>
      </w:r>
      <w:r>
        <w:rPr>
          <w:rFonts w:hint="eastAsia" w:ascii="宋体"/>
        </w:rPr>
        <w:t>扯皮的同时操作人员站在单柱气动升降台用刀具辅助割开皮与脂肪、皮与肉的粘连处，直至扯完牛头部皮。</w:t>
      </w:r>
    </w:p>
    <w:p w14:paraId="61C317FA">
      <w:pPr>
        <w:autoSpaceDE w:val="0"/>
        <w:autoSpaceDN w:val="0"/>
        <w:rPr>
          <w:rFonts w:ascii="宋体"/>
        </w:rPr>
      </w:pPr>
      <w:r>
        <w:rPr>
          <w:rFonts w:hint="eastAsia" w:ascii="黑体" w:hAnsi="黑体" w:eastAsia="黑体" w:cs="黑体"/>
        </w:rPr>
        <w:t>5.10.3　</w:t>
      </w:r>
      <w:r>
        <w:rPr>
          <w:rFonts w:hint="eastAsia" w:ascii="宋体"/>
        </w:rPr>
        <w:t>牛皮扯下后扯皮滚筒反转，通过牛皮自动解扣链将牛皮自动放入牛皮风送罐内。</w:t>
      </w:r>
    </w:p>
    <w:p w14:paraId="1717BC00">
      <w:pPr>
        <w:autoSpaceDE w:val="0"/>
        <w:autoSpaceDN w:val="0"/>
        <w:rPr>
          <w:rFonts w:ascii="宋体"/>
        </w:rPr>
      </w:pPr>
      <w:r>
        <w:rPr>
          <w:rFonts w:hint="eastAsia" w:ascii="黑体" w:hAnsi="黑体" w:eastAsia="黑体" w:cs="黑体"/>
        </w:rPr>
        <w:t>5.10.4　</w:t>
      </w:r>
      <w:r>
        <w:rPr>
          <w:rFonts w:hint="eastAsia" w:ascii="宋体"/>
        </w:rPr>
        <w:t>气动闸门关闭，往牛皮风送罐内充入压缩空气，将牛皮通过风送管道输送到牛皮暂存间。</w:t>
      </w:r>
    </w:p>
    <w:p w14:paraId="65117D69">
      <w:pPr>
        <w:numPr>
          <w:ilvl w:val="1"/>
          <w:numId w:val="0"/>
        </w:numPr>
        <w:spacing w:before="156" w:beforeLines="50" w:after="156" w:afterLines="50"/>
        <w:outlineLvl w:val="2"/>
        <w:rPr>
          <w:rFonts w:ascii="黑体" w:eastAsia="黑体"/>
          <w:szCs w:val="21"/>
        </w:rPr>
      </w:pPr>
      <w:r>
        <w:rPr>
          <w:rFonts w:hint="eastAsia" w:ascii="黑体" w:eastAsia="黑体"/>
          <w:szCs w:val="21"/>
        </w:rPr>
        <w:t>5.11　开胸、去内脏</w:t>
      </w:r>
    </w:p>
    <w:p w14:paraId="68D47D98">
      <w:pPr>
        <w:autoSpaceDE w:val="0"/>
        <w:autoSpaceDN w:val="0"/>
        <w:ind w:firstLine="420" w:firstLineChars="200"/>
        <w:rPr>
          <w:rFonts w:hint="default" w:ascii="Times New Roman" w:hAnsi="Times New Roman" w:eastAsia="宋体" w:cs="Times New Roman"/>
        </w:rPr>
      </w:pPr>
      <w:r>
        <w:rPr>
          <w:rFonts w:hint="default" w:ascii="Times New Roman" w:hAnsi="Times New Roman" w:cs="Times New Roman"/>
          <w:lang w:eastAsia="zh-CN"/>
        </w:rPr>
        <w:t>按照GB/T 19477要求执行</w:t>
      </w:r>
      <w:r>
        <w:rPr>
          <w:rFonts w:hint="default" w:ascii="Times New Roman" w:hAnsi="Times New Roman" w:cs="Times New Roman"/>
        </w:rPr>
        <w:t>，先开胸，取白脏后再取红脏。</w:t>
      </w:r>
    </w:p>
    <w:p w14:paraId="13D6BFE3">
      <w:pPr>
        <w:numPr>
          <w:ilvl w:val="1"/>
          <w:numId w:val="0"/>
        </w:numPr>
        <w:spacing w:before="156" w:beforeLines="50" w:after="156" w:afterLines="50"/>
        <w:outlineLvl w:val="2"/>
        <w:rPr>
          <w:rFonts w:ascii="黑体" w:eastAsia="黑体"/>
          <w:szCs w:val="21"/>
        </w:rPr>
      </w:pPr>
      <w:r>
        <w:rPr>
          <w:rFonts w:hint="eastAsia" w:ascii="黑体" w:eastAsia="黑体"/>
          <w:szCs w:val="21"/>
        </w:rPr>
        <w:t>5.12　劈半</w:t>
      </w:r>
    </w:p>
    <w:p w14:paraId="487700EE">
      <w:pPr>
        <w:autoSpaceDE w:val="0"/>
        <w:autoSpaceDN w:val="0"/>
        <w:ind w:firstLine="420" w:firstLineChars="200"/>
        <w:rPr>
          <w:rFonts w:ascii="宋体"/>
        </w:rPr>
      </w:pPr>
      <w:r>
        <w:rPr>
          <w:rFonts w:hint="eastAsia" w:ascii="宋体"/>
        </w:rPr>
        <w:t>用锯(刀)从牛后腿中间的耻骨连接处从上到下匀速沿着牛脊柱中线将牛胴体锯(劈)成二分体。锯(劈)过程中应不断喷淋清水，不宜锯(劈)偏斜，锯(劈)断面应整齐，不破坏牛胴体。</w:t>
      </w:r>
    </w:p>
    <w:p w14:paraId="1C02C36D">
      <w:pPr>
        <w:numPr>
          <w:ilvl w:val="1"/>
          <w:numId w:val="0"/>
        </w:numPr>
        <w:spacing w:before="156" w:beforeLines="50" w:after="156" w:afterLines="50"/>
        <w:outlineLvl w:val="2"/>
        <w:rPr>
          <w:rFonts w:ascii="黑体" w:eastAsia="黑体"/>
          <w:szCs w:val="21"/>
        </w:rPr>
      </w:pPr>
      <w:r>
        <w:rPr>
          <w:rFonts w:hint="eastAsia" w:ascii="黑体" w:eastAsia="黑体"/>
          <w:szCs w:val="21"/>
        </w:rPr>
        <w:t>5.13　胴体修整</w:t>
      </w:r>
    </w:p>
    <w:p w14:paraId="7BEBCC8E">
      <w:pPr>
        <w:autoSpaceDE w:val="0"/>
        <w:autoSpaceDN w:val="0"/>
        <w:ind w:firstLine="420" w:firstLineChars="200"/>
        <w:rPr>
          <w:rFonts w:hint="eastAsia" w:ascii="宋体" w:eastAsia="宋体"/>
          <w:lang w:val="en-US" w:eastAsia="zh-CN"/>
        </w:rPr>
      </w:pPr>
      <w:r>
        <w:rPr>
          <w:rFonts w:hint="eastAsia" w:ascii="宋体"/>
        </w:rPr>
        <w:t>修去胴体表面的淤血、残留甲状腺、肾上腺、病变淋巴结、污物和浮毛等，应保持肌膜和胴体的完整。</w:t>
      </w:r>
    </w:p>
    <w:p w14:paraId="1754AB68">
      <w:pPr>
        <w:numPr>
          <w:ilvl w:val="1"/>
          <w:numId w:val="0"/>
        </w:numPr>
        <w:spacing w:before="156" w:beforeLines="50" w:after="156" w:afterLines="50"/>
        <w:outlineLvl w:val="2"/>
        <w:rPr>
          <w:rFonts w:ascii="黑体" w:eastAsia="黑体"/>
          <w:szCs w:val="21"/>
        </w:rPr>
      </w:pPr>
      <w:r>
        <w:rPr>
          <w:rFonts w:hint="eastAsia" w:ascii="黑体" w:eastAsia="黑体"/>
          <w:szCs w:val="21"/>
        </w:rPr>
        <w:t>5.14　计量</w:t>
      </w:r>
    </w:p>
    <w:p w14:paraId="7BCA0A64">
      <w:pPr>
        <w:autoSpaceDE w:val="0"/>
        <w:autoSpaceDN w:val="0"/>
        <w:ind w:firstLine="420" w:firstLineChars="200"/>
        <w:rPr>
          <w:rFonts w:ascii="宋体"/>
        </w:rPr>
      </w:pPr>
      <w:r>
        <w:rPr>
          <w:rFonts w:hint="eastAsia" w:ascii="宋体"/>
        </w:rPr>
        <w:t>用电子轨道称等称量器具称量牛胴体重量并进行记录。</w:t>
      </w:r>
    </w:p>
    <w:p w14:paraId="334074C4">
      <w:pPr>
        <w:numPr>
          <w:ilvl w:val="1"/>
          <w:numId w:val="0"/>
        </w:numPr>
        <w:spacing w:before="156" w:beforeLines="50" w:after="156" w:afterLines="50"/>
        <w:outlineLvl w:val="2"/>
        <w:rPr>
          <w:rFonts w:ascii="黑体" w:eastAsia="黑体"/>
          <w:szCs w:val="21"/>
        </w:rPr>
      </w:pPr>
      <w:r>
        <w:rPr>
          <w:rFonts w:hint="eastAsia" w:ascii="黑体" w:eastAsia="黑体"/>
          <w:szCs w:val="21"/>
        </w:rPr>
        <w:t>5.15　清洗</w:t>
      </w:r>
    </w:p>
    <w:p w14:paraId="07CA655A">
      <w:pPr>
        <w:autoSpaceDE w:val="0"/>
        <w:autoSpaceDN w:val="0"/>
        <w:ind w:firstLine="420" w:firstLineChars="200"/>
        <w:rPr>
          <w:rFonts w:ascii="Times New Roman" w:hAnsi="Times New Roman" w:eastAsia="黑体" w:cs="Times New Roman"/>
          <w:szCs w:val="21"/>
        </w:rPr>
      </w:pPr>
      <w:r>
        <w:rPr>
          <w:rFonts w:hint="default" w:ascii="Times New Roman" w:hAnsi="Times New Roman" w:cs="Times New Roman"/>
        </w:rPr>
        <w:t>使用低压热水由上而下对胴体内外进行冲洗，水温不应高于55</w:t>
      </w:r>
      <w:r>
        <w:rPr>
          <w:rFonts w:hint="eastAsia" w:ascii="Times New Roman" w:hAnsi="Times New Roman" w:cs="Times New Roman"/>
          <w:lang w:val="en-US" w:eastAsia="zh-CN"/>
        </w:rPr>
        <w:t xml:space="preserve"> </w:t>
      </w:r>
      <w:r>
        <w:rPr>
          <w:rFonts w:hint="default" w:ascii="Times New Roman" w:hAnsi="Times New Roman" w:cs="Times New Roman"/>
        </w:rPr>
        <w:t>℃，水压不应高于0.5 MPa；冲洗后胴体表面不应有浮毛、血污和肉末等污物。</w:t>
      </w:r>
    </w:p>
    <w:p w14:paraId="1C3D4532">
      <w:pPr>
        <w:numPr>
          <w:ilvl w:val="1"/>
          <w:numId w:val="0"/>
        </w:numPr>
        <w:spacing w:before="156" w:beforeLines="50" w:after="156" w:afterLines="50"/>
        <w:outlineLvl w:val="2"/>
        <w:rPr>
          <w:rFonts w:ascii="黑体" w:eastAsia="黑体"/>
          <w:szCs w:val="21"/>
        </w:rPr>
      </w:pPr>
      <w:r>
        <w:rPr>
          <w:rFonts w:hint="eastAsia" w:ascii="黑体" w:eastAsia="黑体"/>
          <w:szCs w:val="21"/>
        </w:rPr>
        <w:t>5.16　检验检疫</w:t>
      </w:r>
    </w:p>
    <w:p w14:paraId="02894D73">
      <w:pPr>
        <w:autoSpaceDE w:val="0"/>
        <w:autoSpaceDN w:val="0"/>
        <w:rPr>
          <w:rFonts w:ascii="Times New Roman" w:hAnsi="Times New Roman" w:cs="Times New Roman"/>
        </w:rPr>
      </w:pPr>
      <w:r>
        <w:rPr>
          <w:rFonts w:hint="eastAsia" w:ascii="黑体" w:hAnsi="黑体" w:eastAsia="黑体" w:cs="黑体"/>
        </w:rPr>
        <w:t>5.16.1</w:t>
      </w:r>
      <w:r>
        <w:rPr>
          <w:rFonts w:hint="eastAsia" w:ascii="宋体"/>
        </w:rPr>
        <w:t>　同步检</w:t>
      </w:r>
      <w:r>
        <w:rPr>
          <w:rFonts w:hint="default" w:ascii="Times New Roman" w:hAnsi="Times New Roman" w:cs="Times New Roman"/>
        </w:rPr>
        <w:t>验按照GB 18393要求执行。</w:t>
      </w:r>
    </w:p>
    <w:p w14:paraId="0F236F6B">
      <w:pPr>
        <w:autoSpaceDE w:val="0"/>
        <w:autoSpaceDN w:val="0"/>
        <w:rPr>
          <w:rFonts w:ascii="宋体"/>
        </w:rPr>
      </w:pPr>
      <w:r>
        <w:rPr>
          <w:rFonts w:hint="eastAsia" w:ascii="黑体" w:hAnsi="黑体" w:eastAsia="黑体" w:cs="黑体"/>
        </w:rPr>
        <w:t>5.16.2</w:t>
      </w:r>
      <w:r>
        <w:rPr>
          <w:rFonts w:hint="eastAsia" w:ascii="宋体"/>
        </w:rPr>
        <w:t>　同步检疫按照《牛屠宰检疫规程》要求执行。</w:t>
      </w:r>
    </w:p>
    <w:p w14:paraId="51ACCDF4">
      <w:pPr>
        <w:autoSpaceDE w:val="0"/>
        <w:autoSpaceDN w:val="0"/>
        <w:rPr>
          <w:rFonts w:ascii="宋体"/>
        </w:rPr>
      </w:pPr>
      <w:r>
        <w:rPr>
          <w:rFonts w:hint="eastAsia" w:ascii="黑体" w:hAnsi="黑体" w:eastAsia="黑体" w:cs="黑体"/>
          <w:kern w:val="0"/>
          <w:szCs w:val="20"/>
        </w:rPr>
        <w:t>5.16.3</w:t>
      </w:r>
      <w:r>
        <w:rPr>
          <w:rFonts w:hint="eastAsia" w:ascii="宋体"/>
        </w:rPr>
        <w:t>　经检验合格的胴体或肉品应加盖统一的检验合格印章或标识，并签发检验合格证；印章染色液应对人无害、盖后不流散，附着牢固。</w:t>
      </w:r>
    </w:p>
    <w:p w14:paraId="6187E21C">
      <w:pPr>
        <w:autoSpaceDE w:val="0"/>
        <w:autoSpaceDN w:val="0"/>
        <w:rPr>
          <w:rFonts w:ascii="宋体"/>
        </w:rPr>
      </w:pPr>
      <w:r>
        <w:rPr>
          <w:rFonts w:hint="eastAsia" w:ascii="黑体" w:hAnsi="黑体" w:eastAsia="黑体" w:cs="黑体"/>
        </w:rPr>
        <w:t>5.16.4</w:t>
      </w:r>
      <w:r>
        <w:rPr>
          <w:rFonts w:hint="eastAsia" w:ascii="宋体"/>
        </w:rPr>
        <w:t>　经检验检疫不</w:t>
      </w:r>
      <w:r>
        <w:rPr>
          <w:rFonts w:hint="default" w:ascii="Times New Roman" w:hAnsi="Times New Roman" w:cs="Times New Roman"/>
        </w:rPr>
        <w:t>合格的肉品及副产品，应按GB 12694的要求和《病死</w:t>
      </w:r>
      <w:r>
        <w:rPr>
          <w:rFonts w:hint="eastAsia" w:ascii="宋体"/>
        </w:rPr>
        <w:t>及病害动物无害化处理技术规范》的规定执行。</w:t>
      </w:r>
    </w:p>
    <w:p w14:paraId="7AFA6083">
      <w:pPr>
        <w:autoSpaceDE w:val="0"/>
        <w:autoSpaceDN w:val="0"/>
      </w:pPr>
      <w:r>
        <w:rPr>
          <w:rFonts w:hint="eastAsia" w:ascii="黑体" w:hAnsi="黑体" w:eastAsia="黑体" w:cs="黑体"/>
          <w:kern w:val="0"/>
          <w:szCs w:val="20"/>
        </w:rPr>
        <w:t>5.16.5</w:t>
      </w:r>
      <w:r>
        <w:rPr>
          <w:rFonts w:hint="eastAsia" w:ascii="宋体"/>
        </w:rPr>
        <w:t>　经判定为有条件可食肉、工业用肉、销毁肉等均应分别加盖识别印章，并分别在指定场所按有关规定处理。</w:t>
      </w:r>
    </w:p>
    <w:p w14:paraId="01EC9F91">
      <w:pPr>
        <w:numPr>
          <w:ilvl w:val="1"/>
          <w:numId w:val="0"/>
        </w:numPr>
        <w:spacing w:before="156" w:beforeLines="50" w:after="156" w:afterLines="50"/>
        <w:outlineLvl w:val="2"/>
        <w:rPr>
          <w:rFonts w:ascii="黑体" w:eastAsia="黑体"/>
          <w:szCs w:val="21"/>
        </w:rPr>
      </w:pPr>
      <w:r>
        <w:rPr>
          <w:rFonts w:hint="eastAsia" w:ascii="黑体" w:eastAsia="黑体"/>
          <w:szCs w:val="21"/>
        </w:rPr>
        <w:t>5.17　预冷和冻结</w:t>
      </w:r>
    </w:p>
    <w:p w14:paraId="6BE43DB3">
      <w:pPr>
        <w:autoSpaceDE w:val="0"/>
        <w:autoSpaceDN w:val="0"/>
        <w:ind w:firstLine="420" w:firstLineChars="200"/>
        <w:rPr>
          <w:rFonts w:hint="eastAsia" w:ascii="宋体" w:hAnsi="宋体" w:cs="宋体"/>
        </w:rPr>
      </w:pPr>
      <w:r>
        <w:rPr>
          <w:rFonts w:hint="eastAsia" w:ascii="宋体" w:hAnsi="宋体" w:cs="宋体"/>
          <w:lang w:eastAsia="zh-CN"/>
        </w:rPr>
        <w:t>按照GB/T 19477要求执行</w:t>
      </w:r>
      <w:r>
        <w:rPr>
          <w:rFonts w:hint="eastAsia" w:ascii="宋体" w:hAnsi="宋体" w:cs="宋体"/>
        </w:rPr>
        <w:t>。</w:t>
      </w:r>
    </w:p>
    <w:p w14:paraId="263A7123">
      <w:pPr>
        <w:spacing w:before="312" w:beforeLines="100" w:after="312" w:afterLines="100"/>
        <w:outlineLvl w:val="1"/>
        <w:rPr>
          <w:rFonts w:eastAsia="黑体"/>
        </w:rPr>
      </w:pPr>
      <w:bookmarkStart w:id="63" w:name="_Toc23260345"/>
      <w:bookmarkStart w:id="64" w:name="_Toc23432746"/>
      <w:bookmarkStart w:id="65" w:name="_Toc23338848"/>
      <w:bookmarkStart w:id="66" w:name="_Toc23260660"/>
      <w:bookmarkStart w:id="67" w:name="_Toc23529088"/>
      <w:bookmarkStart w:id="68" w:name="_Toc24537632"/>
      <w:bookmarkStart w:id="69" w:name="_Toc23257389"/>
      <w:bookmarkStart w:id="70" w:name="_Toc23331630"/>
      <w:bookmarkStart w:id="71" w:name="_Toc23258294"/>
      <w:bookmarkStart w:id="72" w:name="_Toc23255883"/>
      <w:r>
        <w:rPr>
          <w:rFonts w:hint="eastAsia" w:ascii="黑体" w:eastAsia="黑体"/>
          <w:szCs w:val="21"/>
        </w:rPr>
        <w:t>6　</w:t>
      </w:r>
      <w:bookmarkEnd w:id="63"/>
      <w:bookmarkEnd w:id="64"/>
      <w:bookmarkEnd w:id="65"/>
      <w:bookmarkEnd w:id="66"/>
      <w:bookmarkEnd w:id="67"/>
      <w:bookmarkEnd w:id="68"/>
      <w:bookmarkEnd w:id="69"/>
      <w:bookmarkEnd w:id="70"/>
      <w:bookmarkEnd w:id="71"/>
      <w:bookmarkEnd w:id="72"/>
      <w:r>
        <w:rPr>
          <w:rFonts w:hint="eastAsia" w:ascii="黑体" w:eastAsia="黑体"/>
        </w:rPr>
        <w:t>包装、标签、标志和贮存</w:t>
      </w:r>
    </w:p>
    <w:p w14:paraId="4DCAA411">
      <w:pPr>
        <w:autoSpaceDE w:val="0"/>
        <w:autoSpaceDN w:val="0"/>
      </w:pPr>
      <w:r>
        <w:rPr>
          <w:rFonts w:hint="eastAsia"/>
        </w:rPr>
        <w:t xml:space="preserve">    </w:t>
      </w:r>
      <w:r>
        <w:rPr>
          <w:rFonts w:hint="eastAsia"/>
          <w:lang w:eastAsia="zh-CN"/>
        </w:rPr>
        <w:t>按照GB/T 19477要求执行</w:t>
      </w:r>
      <w:r>
        <w:t>。</w:t>
      </w:r>
    </w:p>
    <w:p w14:paraId="7DB09B20">
      <w:pPr>
        <w:spacing w:before="312" w:beforeLines="100" w:after="312" w:afterLines="100"/>
        <w:outlineLvl w:val="1"/>
        <w:rPr>
          <w:rFonts w:hint="eastAsia" w:ascii="宋体" w:hAnsi="宋体" w:cs="宋体"/>
        </w:rPr>
      </w:pPr>
      <w:r>
        <w:rPr>
          <w:rFonts w:hint="eastAsia" w:ascii="黑体" w:eastAsia="黑体"/>
          <w:szCs w:val="21"/>
        </w:rPr>
        <w:t>7　</w:t>
      </w:r>
      <w:r>
        <w:rPr>
          <w:rFonts w:hint="eastAsia" w:ascii="黑体" w:eastAsia="黑体"/>
        </w:rPr>
        <w:t>产品追溯</w:t>
      </w:r>
    </w:p>
    <w:p w14:paraId="75E5F960">
      <w:pPr>
        <w:autoSpaceDE w:val="0"/>
        <w:autoSpaceDN w:val="0"/>
        <w:rPr>
          <w:rFonts w:hint="eastAsia" w:ascii="Times New Roman" w:hAnsi="Times New Roman" w:eastAsia="宋体" w:cs="Times New Roman"/>
        </w:rPr>
      </w:pPr>
      <w:r>
        <w:rPr>
          <w:rFonts w:hint="eastAsia" w:ascii="Times New Roman" w:hAnsi="Times New Roman" w:cs="Times New Roman"/>
          <w:lang w:val="en-US" w:eastAsia="zh-CN"/>
        </w:rPr>
        <w:tab/>
      </w:r>
      <w:r>
        <w:rPr>
          <w:rFonts w:hint="eastAsia" w:ascii="Times New Roman" w:hAnsi="Times New Roman" w:cs="Times New Roman"/>
        </w:rPr>
        <w:t>产品追溯与召回应符合GB 12694的要求。</w:t>
      </w:r>
    </w:p>
    <w:p w14:paraId="749952FB">
      <w:pPr>
        <w:spacing w:before="312" w:beforeLines="100" w:after="312" w:afterLines="100"/>
        <w:outlineLvl w:val="1"/>
        <w:rPr>
          <w:rFonts w:hint="eastAsia" w:ascii="黑体" w:hAnsi="Times New Roman" w:eastAsia="黑体" w:cs="Times New Roman"/>
          <w:szCs w:val="21"/>
        </w:rPr>
      </w:pPr>
      <w:r>
        <w:rPr>
          <w:rFonts w:hint="eastAsia" w:ascii="黑体" w:eastAsia="黑体"/>
          <w:szCs w:val="21"/>
        </w:rPr>
        <w:t>8　其他要求</w:t>
      </w:r>
    </w:p>
    <w:p w14:paraId="4242E3BC">
      <w:pPr>
        <w:autoSpaceDE w:val="0"/>
        <w:autoSpaceDN w:val="0"/>
        <w:rPr>
          <w:rFonts w:hint="eastAsia" w:ascii="宋体" w:hAnsi="宋体" w:cs="宋体"/>
        </w:rPr>
      </w:pPr>
      <w:r>
        <w:rPr>
          <w:rFonts w:hint="eastAsia" w:ascii="黑体" w:hAnsi="黑体" w:eastAsia="黑体" w:cs="黑体"/>
        </w:rPr>
        <w:t>8.1　</w:t>
      </w:r>
      <w:r>
        <w:rPr>
          <w:rFonts w:hint="eastAsia" w:ascii="宋体" w:hAnsi="宋体" w:cs="宋体"/>
        </w:rPr>
        <w:t>屠宰供应少数民族食用的牛产品，应尊重少数民族风俗习惯，按照国家有关规定执行。</w:t>
      </w:r>
    </w:p>
    <w:p w14:paraId="1E2F2104">
      <w:pPr>
        <w:autoSpaceDE w:val="0"/>
        <w:autoSpaceDN w:val="0"/>
        <w:rPr>
          <w:rFonts w:hint="eastAsia" w:ascii="宋体" w:hAnsi="宋体" w:cs="宋体"/>
        </w:rPr>
      </w:pPr>
      <w:r>
        <w:rPr>
          <w:rFonts w:hint="eastAsia" w:ascii="黑体" w:hAnsi="黑体" w:eastAsia="黑体" w:cs="黑体"/>
        </w:rPr>
        <w:t>8.2　</w:t>
      </w:r>
      <w:r>
        <w:rPr>
          <w:rFonts w:hint="eastAsia" w:ascii="宋体" w:hAnsi="宋体" w:cs="宋体"/>
        </w:rPr>
        <w:t>各工位宜安排固定的工人进行操作，如果出现工人需要到其他工位进行操作的情况，在进行下一个工位的操作前，应先更换手套、刀具、衣物和鞋具。</w:t>
      </w:r>
    </w:p>
    <w:p w14:paraId="1DE38849">
      <w:pPr>
        <w:autoSpaceDE w:val="0"/>
        <w:autoSpaceDN w:val="0"/>
        <w:rPr>
          <w:rFonts w:hint="eastAsia" w:ascii="宋体" w:hAnsi="宋体" w:cs="宋体"/>
        </w:rPr>
      </w:pPr>
      <w:r>
        <w:rPr>
          <w:rFonts w:hint="eastAsia" w:ascii="黑体" w:hAnsi="黑体" w:eastAsia="黑体" w:cs="黑体"/>
        </w:rPr>
        <w:t>8.3</w:t>
      </w:r>
      <w:r>
        <w:rPr>
          <w:rFonts w:hint="eastAsia" w:ascii="宋体" w:hAnsi="宋体" w:cs="宋体"/>
        </w:rPr>
        <w:t>　工人的手不应与胴（屠）体表面接触，不应把刀具插在胴（屠）体上。</w:t>
      </w:r>
    </w:p>
    <w:p w14:paraId="5BCAD8AB">
      <w:pPr>
        <w:autoSpaceDE w:val="0"/>
        <w:autoSpaceDN w:val="0"/>
        <w:rPr>
          <w:rFonts w:hint="eastAsia" w:ascii="宋体" w:hAnsi="宋体" w:cs="宋体"/>
        </w:rPr>
      </w:pPr>
      <w:r>
        <w:rPr>
          <w:rFonts w:hint="eastAsia" w:ascii="黑体" w:hAnsi="黑体" w:eastAsia="黑体" w:cs="黑体"/>
        </w:rPr>
        <w:t>8.4</w:t>
      </w:r>
      <w:r>
        <w:rPr>
          <w:rFonts w:hint="eastAsia" w:ascii="宋体" w:hAnsi="宋体" w:cs="宋体"/>
        </w:rPr>
        <w:t>　工人应经过消毒才可以再次进入车间。</w:t>
      </w:r>
    </w:p>
    <w:p w14:paraId="7EB06831">
      <w:pPr>
        <w:autoSpaceDE w:val="0"/>
        <w:autoSpaceDN w:val="0"/>
        <w:rPr>
          <w:rFonts w:hint="eastAsia" w:ascii="宋体" w:hAnsi="宋体" w:cs="宋体"/>
        </w:rPr>
      </w:pPr>
      <w:r>
        <w:rPr>
          <w:rFonts w:hint="eastAsia" w:ascii="黑体" w:hAnsi="黑体" w:eastAsia="黑体" w:cs="黑体"/>
        </w:rPr>
        <w:t>8.5</w:t>
      </w:r>
      <w:r>
        <w:rPr>
          <w:rFonts w:hint="eastAsia" w:ascii="宋体" w:hAnsi="宋体" w:cs="宋体"/>
        </w:rPr>
        <w:t>　不</w:t>
      </w:r>
      <w:r>
        <w:rPr>
          <w:rFonts w:hint="eastAsia" w:ascii="宋体" w:hAnsi="宋体" w:cs="宋体"/>
          <w:lang w:val="en-US" w:eastAsia="zh-CN"/>
        </w:rPr>
        <w:t>应</w:t>
      </w:r>
      <w:r>
        <w:rPr>
          <w:rFonts w:hint="eastAsia" w:ascii="宋体" w:hAnsi="宋体" w:cs="宋体"/>
        </w:rPr>
        <w:t>将胴（屠）体长时间搁置在车间内，应及时对其进行必要的操作。</w:t>
      </w:r>
    </w:p>
    <w:p w14:paraId="1A2667AE">
      <w:pPr>
        <w:autoSpaceDE w:val="0"/>
        <w:autoSpaceDN w:val="0"/>
        <w:rPr>
          <w:rFonts w:hint="eastAsia" w:ascii="宋体" w:hAnsi="宋体" w:cs="宋体"/>
        </w:rPr>
      </w:pPr>
      <w:r>
        <w:rPr>
          <w:rFonts w:hint="eastAsia" w:ascii="黑体" w:hAnsi="黑体" w:eastAsia="黑体" w:cs="黑体"/>
        </w:rPr>
        <w:t>8.6</w:t>
      </w:r>
      <w:r>
        <w:rPr>
          <w:rFonts w:hint="eastAsia" w:ascii="宋体" w:hAnsi="宋体" w:cs="宋体"/>
        </w:rPr>
        <w:t>　工作结束后应及时对地面、案台和设备进行清洗和消毒，宜采用泡沫</w:t>
      </w:r>
      <w:r>
        <w:rPr>
          <w:rFonts w:hint="default" w:ascii="Times New Roman" w:hAnsi="Times New Roman" w:cs="Times New Roman"/>
        </w:rPr>
        <w:t>清洗的方式（水温宜</w:t>
      </w:r>
      <w:r>
        <w:rPr>
          <w:rFonts w:hint="default" w:ascii="Times New Roman" w:hAnsi="Times New Roman" w:cs="Times New Roman"/>
          <w:lang w:val="en-US" w:eastAsia="zh-CN"/>
        </w:rPr>
        <w:t>大于</w:t>
      </w:r>
      <w:r>
        <w:rPr>
          <w:rFonts w:hint="default" w:ascii="Times New Roman" w:hAnsi="Times New Roman" w:cs="Times New Roman"/>
        </w:rPr>
        <w:t>40 ℃）进行清洗；不宜采用高压水枪进行清洗；若车间内还有未加工好的</w:t>
      </w:r>
      <w:r>
        <w:rPr>
          <w:rFonts w:hint="eastAsia" w:ascii="宋体" w:hAnsi="宋体" w:cs="宋体"/>
        </w:rPr>
        <w:t>胴（屠）体和分割肉，不</w:t>
      </w:r>
      <w:r>
        <w:rPr>
          <w:rFonts w:hint="eastAsia" w:ascii="宋体" w:hAnsi="宋体" w:cs="宋体"/>
          <w:lang w:val="en-US" w:eastAsia="zh-CN"/>
        </w:rPr>
        <w:t>应</w:t>
      </w:r>
      <w:r>
        <w:rPr>
          <w:rFonts w:hint="eastAsia" w:ascii="宋体" w:hAnsi="宋体" w:cs="宋体"/>
        </w:rPr>
        <w:t>对车间进行清洗；应使用特定的消毒剂进行消毒。</w:t>
      </w:r>
    </w:p>
    <w:p w14:paraId="1CB5D735">
      <w:pPr>
        <w:autoSpaceDE w:val="0"/>
        <w:autoSpaceDN w:val="0"/>
        <w:rPr>
          <w:rFonts w:hint="eastAsia" w:ascii="宋体" w:hAnsi="宋体" w:cs="宋体"/>
        </w:rPr>
      </w:pPr>
      <w:r>
        <w:rPr>
          <w:rFonts w:hint="eastAsia" w:ascii="黑体" w:hAnsi="黑体" w:eastAsia="黑体" w:cs="黑体"/>
        </w:rPr>
        <w:t>8.7</w:t>
      </w:r>
      <w:r>
        <w:rPr>
          <w:rFonts w:hint="eastAsia" w:ascii="宋体" w:hAnsi="宋体" w:cs="宋体"/>
        </w:rPr>
        <w:t>　在屠宰、检验过程使用的某些器具、设备，如宰杀、去角设备、检验刀具、开胸和</w:t>
      </w:r>
      <w:r>
        <w:rPr>
          <w:rFonts w:hint="eastAsia" w:ascii="宋体" w:hAnsi="宋体" w:cs="宋体"/>
          <w:lang w:val="en-US" w:eastAsia="zh-CN"/>
        </w:rPr>
        <w:t>劈半</w:t>
      </w:r>
      <w:r>
        <w:rPr>
          <w:rFonts w:hint="eastAsia" w:ascii="宋体" w:hAnsi="宋体" w:cs="宋体"/>
        </w:rPr>
        <w:t>刀锯、检疫检验盛放内脏的托盘等，每次使用后，应使用82 ℃</w:t>
      </w:r>
      <w:r>
        <w:rPr>
          <w:rFonts w:hint="eastAsia" w:ascii="宋体" w:hAnsi="宋体" w:cs="宋体"/>
          <w:lang w:val="en-US" w:eastAsia="zh-CN"/>
        </w:rPr>
        <w:t>及</w:t>
      </w:r>
      <w:r>
        <w:rPr>
          <w:rFonts w:hint="eastAsia" w:ascii="宋体" w:hAnsi="宋体" w:cs="宋体"/>
        </w:rPr>
        <w:t>以上的热水进行消毒。</w:t>
      </w:r>
    </w:p>
    <w:p w14:paraId="46D1A90E">
      <w:pPr>
        <w:autoSpaceDE w:val="0"/>
        <w:autoSpaceDN w:val="0"/>
        <w:rPr>
          <w:rFonts w:hint="default" w:ascii="Times New Roman" w:hAnsi="Times New Roman" w:cs="Times New Roman"/>
          <w:szCs w:val="24"/>
        </w:rPr>
      </w:pPr>
      <w:r>
        <w:rPr>
          <w:rFonts w:hint="eastAsia" w:ascii="黑体" w:hAnsi="黑体" w:eastAsia="黑体" w:cs="黑体"/>
        </w:rPr>
        <w:t>8.</w:t>
      </w:r>
      <w:r>
        <w:rPr>
          <w:rFonts w:hint="eastAsia" w:ascii="黑体" w:hAnsi="黑体" w:eastAsia="黑体" w:cs="黑体"/>
          <w:lang w:val="en-US" w:eastAsia="zh-CN"/>
        </w:rPr>
        <w:t>8</w:t>
      </w:r>
      <w:r>
        <w:rPr>
          <w:rFonts w:hint="eastAsia" w:ascii="宋体" w:hAnsi="宋体" w:cs="宋体"/>
        </w:rPr>
        <w:t>　记录和文件应符</w:t>
      </w:r>
      <w:r>
        <w:rPr>
          <w:rFonts w:hint="default" w:ascii="Times New Roman" w:hAnsi="Times New Roman" w:cs="Times New Roman"/>
        </w:rPr>
        <w:t>合GB 12694的要求。</w:t>
      </w:r>
    </w:p>
    <w:bookmarkEnd w:id="45"/>
    <w:bookmarkEnd w:id="46"/>
    <w:bookmarkEnd w:id="47"/>
    <w:p w14:paraId="334ACD32">
      <w:pPr>
        <w:rPr>
          <w:rFonts w:eastAsiaTheme="minorEastAsia"/>
        </w:rPr>
      </w:pPr>
      <w:r>
        <w:rPr>
          <w:rFonts w:eastAsiaTheme="minorEastAsia"/>
        </w:rPr>
        <w:br w:type="page"/>
      </w:r>
    </w:p>
    <w:p w14:paraId="0A858732">
      <w:pPr>
        <w:pStyle w:val="15"/>
        <w:keepNext w:val="0"/>
        <w:keepLines w:val="0"/>
        <w:pageBreakBefore w:val="0"/>
        <w:widowControl/>
        <w:tabs>
          <w:tab w:val="center" w:pos="4201"/>
          <w:tab w:val="right" w:leader="dot" w:pos="9298"/>
        </w:tabs>
        <w:kinsoku/>
        <w:wordWrap/>
        <w:overflowPunct/>
        <w:topLinePunct w:val="0"/>
        <w:autoSpaceDE w:val="0"/>
        <w:autoSpaceDN w:val="0"/>
        <w:bidi w:val="0"/>
        <w:adjustRightInd w:val="0"/>
        <w:snapToGrid w:val="0"/>
        <w:spacing w:before="850" w:after="283"/>
        <w:jc w:val="center"/>
        <w:textAlignment w:val="auto"/>
        <w:outlineLvl w:val="7"/>
        <w:rPr>
          <w:rFonts w:ascii="Times New Roman" w:eastAsia="黑体"/>
        </w:rPr>
      </w:pPr>
      <w:r>
        <w:rPr>
          <w:rFonts w:hint="eastAsia" w:ascii="Times New Roman" w:eastAsia="黑体"/>
        </w:rPr>
        <w:t>参 考 文 献</w:t>
      </w:r>
    </w:p>
    <w:p w14:paraId="51E8B8E4">
      <w:pPr>
        <w:pStyle w:val="15"/>
        <w:keepNext w:val="0"/>
        <w:keepLines w:val="0"/>
        <w:pageBreakBefore w:val="0"/>
        <w:widowControl/>
        <w:numPr>
          <w:ilvl w:val="0"/>
          <w:numId w:val="3"/>
        </w:numPr>
        <w:tabs>
          <w:tab w:val="center" w:pos="4201"/>
          <w:tab w:val="right" w:leader="dot" w:pos="9298"/>
        </w:tabs>
        <w:kinsoku/>
        <w:wordWrap/>
        <w:overflowPunct/>
        <w:topLinePunct w:val="0"/>
        <w:autoSpaceDE w:val="0"/>
        <w:autoSpaceDN w:val="0"/>
        <w:bidi w:val="0"/>
        <w:adjustRightInd/>
        <w:snapToGrid/>
        <w:ind w:firstLine="412" w:firstLineChars="200"/>
        <w:textAlignment w:val="auto"/>
        <w:rPr>
          <w:rFonts w:hint="default" w:ascii="Times New Roman" w:hAnsi="Times New Roman" w:eastAsia="宋体" w:cs="Times New Roman"/>
          <w:i w:val="0"/>
          <w:iCs w:val="0"/>
          <w:caps w:val="0"/>
          <w:spacing w:val="0"/>
          <w:sz w:val="21"/>
          <w:szCs w:val="20"/>
          <w:highlight w:val="none"/>
          <w:shd w:val="clear"/>
        </w:rPr>
      </w:pPr>
      <w:r>
        <w:rPr>
          <w:rFonts w:hint="eastAsia" w:ascii="Times New Roman"/>
          <w:spacing w:val="-2"/>
          <w:szCs w:val="21"/>
        </w:rPr>
        <w:t>牛屠宰检疫规</w:t>
      </w:r>
      <w:r>
        <w:rPr>
          <w:rFonts w:hint="default" w:ascii="Times New Roman" w:hAnsi="Times New Roman" w:cs="Times New Roman"/>
          <w:spacing w:val="-2"/>
          <w:szCs w:val="21"/>
        </w:rPr>
        <w:t>程</w:t>
      </w:r>
      <w:r>
        <w:rPr>
          <w:rFonts w:hint="default" w:ascii="Times New Roman" w:hAnsi="Times New Roman" w:eastAsia="宋体" w:cs="Times New Roman"/>
          <w:i w:val="0"/>
          <w:iCs w:val="0"/>
          <w:caps w:val="0"/>
          <w:spacing w:val="0"/>
          <w:sz w:val="21"/>
          <w:szCs w:val="20"/>
          <w:highlight w:val="none"/>
          <w:shd w:val="clear"/>
        </w:rPr>
        <w:t>（</w:t>
      </w:r>
      <w:r>
        <w:rPr>
          <w:rFonts w:hint="default" w:ascii="Times New Roman" w:hAnsi="Times New Roman" w:cs="Times New Roman"/>
          <w:spacing w:val="-2"/>
          <w:szCs w:val="21"/>
        </w:rPr>
        <w:t>农牧发〔2023〕16号</w:t>
      </w:r>
      <w:r>
        <w:rPr>
          <w:rFonts w:hint="default" w:ascii="Times New Roman" w:hAnsi="Times New Roman" w:eastAsia="宋体" w:cs="Times New Roman"/>
          <w:i w:val="0"/>
          <w:iCs w:val="0"/>
          <w:caps w:val="0"/>
          <w:spacing w:val="0"/>
          <w:sz w:val="21"/>
          <w:szCs w:val="20"/>
          <w:highlight w:val="none"/>
          <w:shd w:val="clear"/>
        </w:rPr>
        <w:t>）</w:t>
      </w:r>
    </w:p>
    <w:p w14:paraId="50D6D7F4">
      <w:pPr>
        <w:pStyle w:val="15"/>
        <w:keepNext w:val="0"/>
        <w:keepLines w:val="0"/>
        <w:pageBreakBefore w:val="0"/>
        <w:widowControl/>
        <w:numPr>
          <w:ilvl w:val="0"/>
          <w:numId w:val="3"/>
        </w:numPr>
        <w:tabs>
          <w:tab w:val="center" w:pos="4201"/>
          <w:tab w:val="right" w:leader="dot" w:pos="9298"/>
        </w:tabs>
        <w:kinsoku/>
        <w:wordWrap/>
        <w:overflowPunct/>
        <w:topLinePunct w:val="0"/>
        <w:autoSpaceDE w:val="0"/>
        <w:autoSpaceDN w:val="0"/>
        <w:bidi w:val="0"/>
        <w:adjustRightInd/>
        <w:snapToGrid/>
        <w:ind w:firstLine="412" w:firstLineChars="200"/>
        <w:textAlignment w:val="auto"/>
        <w:rPr>
          <w:rFonts w:hint="default" w:ascii="Times New Roman" w:hAnsi="Times New Roman" w:eastAsia="宋体" w:cs="Times New Roman"/>
          <w:spacing w:val="-2"/>
          <w:szCs w:val="21"/>
        </w:rPr>
      </w:pPr>
      <w:r>
        <w:rPr>
          <w:rFonts w:hint="eastAsia" w:ascii="Times New Roman"/>
          <w:spacing w:val="-2"/>
          <w:szCs w:val="21"/>
        </w:rPr>
        <w:t>病死及病害</w:t>
      </w:r>
      <w:r>
        <w:rPr>
          <w:rFonts w:hint="eastAsia" w:ascii="Times New Roman" w:hAnsi="Times New Roman" w:eastAsia="宋体" w:cs="Times New Roman"/>
          <w:spacing w:val="-2"/>
          <w:szCs w:val="21"/>
        </w:rPr>
        <w:t>动物无害化处理技术规范（农医发</w:t>
      </w:r>
      <w:r>
        <w:rPr>
          <w:rFonts w:hint="default" w:ascii="Times New Roman" w:hAnsi="Times New Roman" w:cs="Times New Roman"/>
          <w:spacing w:val="-2"/>
          <w:szCs w:val="21"/>
        </w:rPr>
        <w:t>〔</w:t>
      </w:r>
      <w:r>
        <w:rPr>
          <w:rFonts w:hint="eastAsia" w:ascii="Times New Roman" w:hAnsi="Times New Roman" w:eastAsia="宋体" w:cs="Times New Roman"/>
          <w:spacing w:val="-2"/>
          <w:szCs w:val="21"/>
        </w:rPr>
        <w:t>2017</w:t>
      </w:r>
      <w:r>
        <w:rPr>
          <w:rFonts w:hint="default" w:ascii="Times New Roman" w:hAnsi="Times New Roman" w:cs="Times New Roman"/>
          <w:spacing w:val="-2"/>
          <w:szCs w:val="21"/>
        </w:rPr>
        <w:t>〕</w:t>
      </w:r>
      <w:r>
        <w:rPr>
          <w:rFonts w:hint="eastAsia" w:ascii="Times New Roman" w:hAnsi="Times New Roman" w:eastAsia="宋体" w:cs="Times New Roman"/>
          <w:spacing w:val="-2"/>
          <w:szCs w:val="21"/>
        </w:rPr>
        <w:t>25号）</w:t>
      </w:r>
    </w:p>
    <w:p w14:paraId="4D9BA3F7">
      <w:pPr>
        <w:pStyle w:val="23"/>
        <w:framePr w:hSpace="0" w:vSpace="0" w:wrap="auto" w:vAnchor="margin" w:hAnchor="text" w:xAlign="left" w:yAlign="inline"/>
        <w:ind w:left="420"/>
        <w:jc w:val="center"/>
      </w:pPr>
    </w:p>
    <w:p w14:paraId="6A284D65">
      <w:pPr>
        <w:pStyle w:val="23"/>
        <w:framePr w:hSpace="0" w:vSpace="0" w:wrap="auto" w:vAnchor="margin" w:hAnchor="text" w:xAlign="left" w:yAlign="inline"/>
        <w:ind w:left="420"/>
        <w:jc w:val="center"/>
      </w:pPr>
    </w:p>
    <w:p w14:paraId="26122C8C">
      <w:pPr>
        <w:pStyle w:val="23"/>
        <w:framePr w:hSpace="0" w:vSpace="0" w:wrap="auto" w:vAnchor="margin" w:hAnchor="text" w:xAlign="left" w:yAlign="inline"/>
        <w:ind w:left="420"/>
        <w:jc w:val="center"/>
      </w:pPr>
    </w:p>
    <w:p w14:paraId="34596D2A">
      <w:pPr>
        <w:pStyle w:val="23"/>
        <w:framePr w:hSpace="0" w:vSpace="0" w:wrap="auto" w:vAnchor="margin" w:hAnchor="text" w:xAlign="left" w:yAlign="inline"/>
        <w:ind w:left="420"/>
        <w:jc w:val="center"/>
      </w:pPr>
    </w:p>
    <w:p w14:paraId="4A649F8B">
      <w:pPr>
        <w:pStyle w:val="23"/>
        <w:framePr w:hSpace="0" w:vSpace="0" w:wrap="auto" w:vAnchor="margin" w:hAnchor="text" w:xAlign="left" w:yAlign="inline"/>
        <w:ind w:left="420"/>
        <w:jc w:val="center"/>
      </w:pPr>
    </w:p>
    <w:p w14:paraId="4B29A114">
      <w:pPr>
        <w:pStyle w:val="23"/>
        <w:framePr w:hSpace="0" w:vSpace="0" w:wrap="auto" w:vAnchor="margin" w:hAnchor="text" w:xAlign="left" w:yAlign="inline"/>
        <w:ind w:left="420"/>
        <w:jc w:val="center"/>
      </w:pPr>
    </w:p>
    <w:p w14:paraId="1D3C1B7A">
      <w:pPr>
        <w:pStyle w:val="23"/>
        <w:framePr w:hSpace="0" w:vSpace="0" w:wrap="auto" w:vAnchor="margin" w:hAnchor="text" w:xAlign="left" w:yAlign="inline"/>
        <w:ind w:left="420"/>
        <w:jc w:val="center"/>
      </w:pPr>
      <w:r>
        <w:t>_________________________________</w:t>
      </w:r>
    </w:p>
    <w:p w14:paraId="6D2D2B5F">
      <w:pPr>
        <w:pStyle w:val="15"/>
        <w:rPr>
          <w:rFonts w:eastAsiaTheme="minorEastAsia"/>
        </w:rPr>
      </w:pPr>
    </w:p>
    <w:p w14:paraId="01C72CD9">
      <w:pPr>
        <w:pStyle w:val="15"/>
        <w:rPr>
          <w:rFonts w:eastAsiaTheme="minorEastAsia"/>
        </w:rPr>
      </w:pPr>
    </w:p>
    <w:p w14:paraId="5CF487D2">
      <w:pPr>
        <w:pStyle w:val="15"/>
        <w:rPr>
          <w:rFonts w:eastAsiaTheme="minorEastAsia"/>
        </w:rPr>
      </w:pPr>
    </w:p>
    <w:p w14:paraId="308FF881">
      <w:pPr>
        <w:pStyle w:val="15"/>
        <w:rPr>
          <w:rFonts w:eastAsiaTheme="minorEastAsia"/>
        </w:rPr>
      </w:pPr>
    </w:p>
    <w:p w14:paraId="11CB5C2D">
      <w:pPr>
        <w:pStyle w:val="15"/>
        <w:rPr>
          <w:rFonts w:ascii="Times New Roman"/>
        </w:rPr>
      </w:pPr>
    </w:p>
    <w:p w14:paraId="599CC2B7"/>
    <w:sectPr>
      <w:footerReference r:id="rId9" w:type="default"/>
      <w:pgSz w:w="11906" w:h="16838"/>
      <w:pgMar w:top="1417" w:right="1417" w:bottom="1417" w:left="1417" w:header="1417" w:footer="1134" w:gutter="0"/>
      <w:pgNumType w:start="1"/>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 Unicode MS">
    <w:altName w:val="宋体"/>
    <w:panose1 w:val="020B0604020202020204"/>
    <w:charset w:val="86"/>
    <w:family w:val="auto"/>
    <w:pitch w:val="default"/>
    <w:sig w:usb0="00000000" w:usb1="00000000"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B89483">
    <w:pPr>
      <w:pStyle w:val="33"/>
      <w:jc w:val="center"/>
      <w:rPr>
        <w:rStyle w:val="10"/>
      </w:rPr>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14" name="文本框 1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186EBD0">
                          <w:pPr>
                            <w:pStyle w:val="33"/>
                            <w:jc w:val="center"/>
                          </w:pPr>
                          <w:r>
                            <w:rPr>
                              <w:rStyle w:val="10"/>
                            </w:rPr>
                            <w:fldChar w:fldCharType="begin"/>
                          </w:r>
                          <w:r>
                            <w:rPr>
                              <w:rStyle w:val="10"/>
                            </w:rPr>
                            <w:instrText xml:space="preserve">PAGE  </w:instrText>
                          </w:r>
                          <w:r>
                            <w:rPr>
                              <w:rStyle w:val="10"/>
                            </w:rPr>
                            <w:fldChar w:fldCharType="separate"/>
                          </w:r>
                          <w:r>
                            <w:rPr>
                              <w:rStyle w:val="10"/>
                            </w:rPr>
                            <w:t>5</w:t>
                          </w:r>
                          <w:r>
                            <w:rPr>
                              <w:rStyle w:val="10"/>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K+3r1iwCAABXBAAADgAAAAAAAAABACAAAAAfAQAAZHJzL2Uyb0RvYy54bWxQSwUGAAAAAAYA&#10;BgBZAQAAvQUAAAAA&#10;">
              <v:fill on="f" focussize="0,0"/>
              <v:stroke on="f" weight="0.5pt"/>
              <v:imagedata o:title=""/>
              <o:lock v:ext="edit" aspectratio="f"/>
              <v:textbox inset="0mm,0mm,0mm,0mm" style="mso-fit-shape-to-text:t;">
                <w:txbxContent>
                  <w:p w14:paraId="3186EBD0">
                    <w:pPr>
                      <w:pStyle w:val="33"/>
                      <w:jc w:val="center"/>
                    </w:pPr>
                    <w:r>
                      <w:rPr>
                        <w:rStyle w:val="10"/>
                      </w:rPr>
                      <w:fldChar w:fldCharType="begin"/>
                    </w:r>
                    <w:r>
                      <w:rPr>
                        <w:rStyle w:val="10"/>
                      </w:rPr>
                      <w:instrText xml:space="preserve">PAGE  </w:instrText>
                    </w:r>
                    <w:r>
                      <w:rPr>
                        <w:rStyle w:val="10"/>
                      </w:rPr>
                      <w:fldChar w:fldCharType="separate"/>
                    </w:r>
                    <w:r>
                      <w:rPr>
                        <w:rStyle w:val="10"/>
                      </w:rPr>
                      <w:t>5</w:t>
                    </w:r>
                    <w:r>
                      <w:rPr>
                        <w:rStyle w:val="10"/>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FF1FCF">
    <w:pPr>
      <w:pStyle w:val="4"/>
      <w:framePr w:wrap="around" w:vAnchor="text" w:hAnchor="margin" w:xAlign="right" w:y="1"/>
      <w:rPr>
        <w:rStyle w:val="10"/>
      </w:rPr>
    </w:pPr>
    <w:r>
      <w:rPr>
        <w:rStyle w:val="10"/>
      </w:rPr>
      <w:fldChar w:fldCharType="begin"/>
    </w:r>
    <w:r>
      <w:rPr>
        <w:rStyle w:val="10"/>
      </w:rPr>
      <w:instrText xml:space="preserve">PAGE  </w:instrText>
    </w:r>
    <w:r>
      <w:rPr>
        <w:rStyle w:val="10"/>
      </w:rPr>
      <w:fldChar w:fldCharType="end"/>
    </w:r>
  </w:p>
  <w:p w14:paraId="025DDF1B">
    <w:pPr>
      <w:pStyle w:val="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FBC550">
    <w:pPr>
      <w:pStyle w:val="33"/>
      <w:jc w:val="both"/>
      <w:rPr>
        <w:rStyle w:val="10"/>
      </w:rPr>
    </w:pPr>
    <w: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15" name="文本框 1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482B5FA">
                          <w:pPr>
                            <w:pStyle w:val="33"/>
                            <w:jc w:val="center"/>
                          </w:pPr>
                          <w:r>
                            <w:rPr>
                              <w:rStyle w:val="10"/>
                            </w:rPr>
                            <w:fldChar w:fldCharType="begin"/>
                          </w:r>
                          <w:r>
                            <w:rPr>
                              <w:rStyle w:val="10"/>
                            </w:rPr>
                            <w:instrText xml:space="preserve">PAGE  </w:instrText>
                          </w:r>
                          <w:r>
                            <w:rPr>
                              <w:rStyle w:val="10"/>
                            </w:rPr>
                            <w:fldChar w:fldCharType="separate"/>
                          </w:r>
                          <w:r>
                            <w:rPr>
                              <w:rStyle w:val="10"/>
                            </w:rPr>
                            <w:t>5</w:t>
                          </w:r>
                          <w:r>
                            <w:rPr>
                              <w:rStyle w:val="10"/>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OguJYsAgAAVwQAAA4AAABkcnMvZTJvRG9jLnhtbK1UzY7TMBC+I/EO&#10;lu80bdGu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g6C4liwCAABXBAAADgAAAAAAAAABACAAAAAfAQAAZHJzL2Uyb0RvYy54bWxQSwUGAAAAAAYA&#10;BgBZAQAAvQUAAAAA&#10;">
              <v:fill on="f" focussize="0,0"/>
              <v:stroke on="f" weight="0.5pt"/>
              <v:imagedata o:title=""/>
              <o:lock v:ext="edit" aspectratio="f"/>
              <v:textbox inset="0mm,0mm,0mm,0mm" style="mso-fit-shape-to-text:t;">
                <w:txbxContent>
                  <w:p w14:paraId="2482B5FA">
                    <w:pPr>
                      <w:pStyle w:val="33"/>
                      <w:jc w:val="center"/>
                    </w:pPr>
                    <w:r>
                      <w:rPr>
                        <w:rStyle w:val="10"/>
                      </w:rPr>
                      <w:fldChar w:fldCharType="begin"/>
                    </w:r>
                    <w:r>
                      <w:rPr>
                        <w:rStyle w:val="10"/>
                      </w:rPr>
                      <w:instrText xml:space="preserve">PAGE  </w:instrText>
                    </w:r>
                    <w:r>
                      <w:rPr>
                        <w:rStyle w:val="10"/>
                      </w:rPr>
                      <w:fldChar w:fldCharType="separate"/>
                    </w:r>
                    <w:r>
                      <w:rPr>
                        <w:rStyle w:val="10"/>
                      </w:rPr>
                      <w:t>5</w:t>
                    </w:r>
                    <w:r>
                      <w:rPr>
                        <w:rStyle w:val="10"/>
                      </w:rP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898DBD">
    <w:pPr>
      <w:pStyle w:val="33"/>
      <w:jc w:val="center"/>
      <w:rPr>
        <w:rStyle w:val="10"/>
      </w:rPr>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168B63D">
                          <w:pPr>
                            <w:pStyle w:val="33"/>
                            <w:jc w:val="center"/>
                          </w:pPr>
                          <w:r>
                            <w:rPr>
                              <w:rStyle w:val="10"/>
                            </w:rPr>
                            <w:fldChar w:fldCharType="begin"/>
                          </w:r>
                          <w:r>
                            <w:rPr>
                              <w:rStyle w:val="10"/>
                            </w:rPr>
                            <w:instrText xml:space="preserve">PAGE  </w:instrText>
                          </w:r>
                          <w:r>
                            <w:rPr>
                              <w:rStyle w:val="10"/>
                            </w:rPr>
                            <w:fldChar w:fldCharType="separate"/>
                          </w:r>
                          <w:r>
                            <w:rPr>
                              <w:rStyle w:val="10"/>
                            </w:rPr>
                            <w:t>5</w:t>
                          </w:r>
                          <w:r>
                            <w:rPr>
                              <w:rStyle w:val="10"/>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0O3bcsAgAAV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vQ7dtywCAABVBAAADgAAAAAAAAABACAAAAAfAQAAZHJzL2Uyb0RvYy54bWxQSwUGAAAAAAYA&#10;BgBZAQAAvQUAAAAA&#10;">
              <v:fill on="f" focussize="0,0"/>
              <v:stroke on="f" weight="0.5pt"/>
              <v:imagedata o:title=""/>
              <o:lock v:ext="edit" aspectratio="f"/>
              <v:textbox inset="0mm,0mm,0mm,0mm" style="mso-fit-shape-to-text:t;">
                <w:txbxContent>
                  <w:p w14:paraId="1168B63D">
                    <w:pPr>
                      <w:pStyle w:val="33"/>
                      <w:jc w:val="center"/>
                    </w:pPr>
                    <w:r>
                      <w:rPr>
                        <w:rStyle w:val="10"/>
                      </w:rPr>
                      <w:fldChar w:fldCharType="begin"/>
                    </w:r>
                    <w:r>
                      <w:rPr>
                        <w:rStyle w:val="10"/>
                      </w:rPr>
                      <w:instrText xml:space="preserve">PAGE  </w:instrText>
                    </w:r>
                    <w:r>
                      <w:rPr>
                        <w:rStyle w:val="10"/>
                      </w:rPr>
                      <w:fldChar w:fldCharType="separate"/>
                    </w:r>
                    <w:r>
                      <w:rPr>
                        <w:rStyle w:val="10"/>
                      </w:rPr>
                      <w:t>5</w:t>
                    </w:r>
                    <w:r>
                      <w:rPr>
                        <w:rStyle w:val="10"/>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767C08">
    <w:pPr>
      <w:pStyle w:val="31"/>
    </w:pPr>
    <w:r>
      <w:t xml:space="preserve">NY/T </w:t>
    </w:r>
    <w:r>
      <w:rPr>
        <w:rFonts w:hint="eastAsia"/>
      </w:rPr>
      <w:t>1564</w:t>
    </w:r>
    <w:r>
      <w:t>—</w:t>
    </w:r>
    <w:r>
      <w:rPr>
        <w:rFonts w:hint="eastAsia"/>
      </w:rPr>
      <w:t>202X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3266BE">
    <w:pPr>
      <w:pStyle w:val="32"/>
    </w:pPr>
    <w:r>
      <w:t xml:space="preserve">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819BEA">
    <w:pPr>
      <w:pStyle w:val="27"/>
      <w:snapToGrid w:val="0"/>
      <w:spacing w:before="120" w:beforeLines="50"/>
      <w:ind w:left="1277"/>
      <w:rPr>
        <w:rFonts w:hint="eastAsia" w:ascii="黑体" w:hAnsi="黑体" w:eastAsia="黑体"/>
        <w:sz w:val="21"/>
      </w:rPr>
    </w:pPr>
    <w:r>
      <w:rPr>
        <w:rFonts w:ascii="黑体" w:hAnsi="黑体" w:eastAsia="黑体"/>
        <w:sz w:val="21"/>
      </w:rPr>
      <w:t xml:space="preserve">T/CMATB </w:t>
    </w:r>
    <w:r>
      <w:rPr>
        <w:rFonts w:hint="eastAsia" w:ascii="黑体" w:hAnsi="黑体" w:eastAsia="黑体"/>
        <w:sz w:val="21"/>
      </w:rPr>
      <w:t>XXXX</w:t>
    </w:r>
    <w:r>
      <w:rPr>
        <w:rFonts w:ascii="黑体" w:hAnsi="黑体" w:eastAsia="黑体"/>
        <w:sz w:val="21"/>
      </w:rPr>
      <w:t>—</w:t>
    </w:r>
    <w:r>
      <w:rPr>
        <w:rFonts w:hint="eastAsia" w:ascii="黑体" w:hAnsi="黑体" w:eastAsia="黑体"/>
        <w:sz w:val="21"/>
      </w:rPr>
      <w:t>2025</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6D3D2DD"/>
    <w:multiLevelType w:val="multilevel"/>
    <w:tmpl w:val="F6D3D2DD"/>
    <w:lvl w:ilvl="0" w:tentative="0">
      <w:start w:val="1"/>
      <w:numFmt w:val="decimal"/>
      <w:lvlText w:val="%1  "/>
      <w:lvlJc w:val="left"/>
      <w:pPr>
        <w:ind w:left="360" w:hanging="360"/>
      </w:pPr>
      <w:rPr>
        <w:rFonts w:hint="default" w:ascii="黑体" w:hAnsi="黑体" w:eastAsia="黑体" w:cs="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331B6FFC"/>
    <w:multiLevelType w:val="singleLevel"/>
    <w:tmpl w:val="331B6FFC"/>
    <w:lvl w:ilvl="0" w:tentative="0">
      <w:start w:val="1"/>
      <w:numFmt w:val="decimal"/>
      <w:suff w:val="space"/>
      <w:lvlText w:val="[%1]"/>
      <w:lvlJc w:val="left"/>
      <w:rPr>
        <w:rFonts w:hint="default" w:ascii="黑体" w:hAnsi="黑体" w:eastAsia="黑体" w:cs="黑体"/>
        <w:sz w:val="21"/>
        <w:szCs w:val="21"/>
      </w:rPr>
    </w:lvl>
  </w:abstractNum>
  <w:abstractNum w:abstractNumId="2">
    <w:nsid w:val="6CEA2025"/>
    <w:multiLevelType w:val="multilevel"/>
    <w:tmpl w:val="6CEA2025"/>
    <w:lvl w:ilvl="0" w:tentative="0">
      <w:start w:val="1"/>
      <w:numFmt w:val="none"/>
      <w:suff w:val="nothing"/>
      <w:lvlText w:val="%1"/>
      <w:lvlJc w:val="left"/>
      <w:pPr>
        <w:ind w:left="0" w:firstLine="0"/>
      </w:pPr>
      <w:rPr>
        <w:rFonts w:hint="default" w:ascii="Times New Roman" w:hAnsi="Times New Roman"/>
        <w:b/>
        <w:i w:val="0"/>
        <w:sz w:val="21"/>
      </w:rPr>
    </w:lvl>
    <w:lvl w:ilvl="1" w:tentative="0">
      <w:start w:val="1"/>
      <w:numFmt w:val="decimal"/>
      <w:suff w:val="nothing"/>
      <w:lvlText w:val="%1%2　"/>
      <w:lvlJc w:val="left"/>
      <w:pPr>
        <w:ind w:left="0" w:firstLine="0"/>
      </w:pPr>
      <w:rPr>
        <w:rFonts w:hint="eastAsia" w:ascii="黑体" w:hAnsi="Times New Roman" w:eastAsia="黑体"/>
        <w:b w:val="0"/>
        <w:i w:val="0"/>
        <w:sz w:val="21"/>
      </w:rPr>
    </w:lvl>
    <w:lvl w:ilvl="2" w:tentative="0">
      <w:start w:val="1"/>
      <w:numFmt w:val="decimal"/>
      <w:pStyle w:val="22"/>
      <w:suff w:val="nothing"/>
      <w:lvlText w:val="%1%2.%3　"/>
      <w:lvlJc w:val="left"/>
      <w:pPr>
        <w:ind w:left="180" w:firstLine="0"/>
      </w:pPr>
      <w:rPr>
        <w:rFonts w:hint="eastAsia" w:ascii="黑体" w:hAnsi="Times New Roman" w:eastAsia="黑体"/>
        <w:b w:val="0"/>
        <w:i w:val="0"/>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pStyle w:val="24"/>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4"/>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gyZjhlOTNmMGVjZTM1NjEyOGFmNGVmOTdiM2MyZjQifQ=="/>
  </w:docVars>
  <w:rsids>
    <w:rsidRoot w:val="715F158B"/>
    <w:rsid w:val="00005402"/>
    <w:rsid w:val="000A14A5"/>
    <w:rsid w:val="00101AE9"/>
    <w:rsid w:val="001F2065"/>
    <w:rsid w:val="002410F1"/>
    <w:rsid w:val="004367CE"/>
    <w:rsid w:val="004407FE"/>
    <w:rsid w:val="00463631"/>
    <w:rsid w:val="00551661"/>
    <w:rsid w:val="00655B1E"/>
    <w:rsid w:val="00671FB5"/>
    <w:rsid w:val="00785895"/>
    <w:rsid w:val="007958E0"/>
    <w:rsid w:val="007C3A87"/>
    <w:rsid w:val="00801551"/>
    <w:rsid w:val="00814795"/>
    <w:rsid w:val="009049D8"/>
    <w:rsid w:val="009603FF"/>
    <w:rsid w:val="00A4112D"/>
    <w:rsid w:val="00BA1A55"/>
    <w:rsid w:val="00BC3A1F"/>
    <w:rsid w:val="00D41B85"/>
    <w:rsid w:val="00D7641D"/>
    <w:rsid w:val="00DE3995"/>
    <w:rsid w:val="010333FC"/>
    <w:rsid w:val="0135355E"/>
    <w:rsid w:val="013D4AEA"/>
    <w:rsid w:val="014310EE"/>
    <w:rsid w:val="014E16ED"/>
    <w:rsid w:val="0177123E"/>
    <w:rsid w:val="0179546C"/>
    <w:rsid w:val="01922938"/>
    <w:rsid w:val="01A73D87"/>
    <w:rsid w:val="01C26E13"/>
    <w:rsid w:val="01CC7C92"/>
    <w:rsid w:val="01CF32DE"/>
    <w:rsid w:val="01F30184"/>
    <w:rsid w:val="022B6EA3"/>
    <w:rsid w:val="0250441F"/>
    <w:rsid w:val="02647ECA"/>
    <w:rsid w:val="0284056C"/>
    <w:rsid w:val="0297204E"/>
    <w:rsid w:val="02AC6C1E"/>
    <w:rsid w:val="02B06959"/>
    <w:rsid w:val="02B50726"/>
    <w:rsid w:val="02B61FAF"/>
    <w:rsid w:val="02DF57A3"/>
    <w:rsid w:val="02E06711"/>
    <w:rsid w:val="031511C4"/>
    <w:rsid w:val="031A67DB"/>
    <w:rsid w:val="0321400D"/>
    <w:rsid w:val="032C298F"/>
    <w:rsid w:val="033E6633"/>
    <w:rsid w:val="03414E95"/>
    <w:rsid w:val="035179D4"/>
    <w:rsid w:val="0357490B"/>
    <w:rsid w:val="03630182"/>
    <w:rsid w:val="03936CB9"/>
    <w:rsid w:val="03A03184"/>
    <w:rsid w:val="03B52E7E"/>
    <w:rsid w:val="03C50E3C"/>
    <w:rsid w:val="03EF1A15"/>
    <w:rsid w:val="03EF7C67"/>
    <w:rsid w:val="04185410"/>
    <w:rsid w:val="04294F27"/>
    <w:rsid w:val="0431202E"/>
    <w:rsid w:val="04612DAB"/>
    <w:rsid w:val="046248DD"/>
    <w:rsid w:val="04714FAC"/>
    <w:rsid w:val="047C20F3"/>
    <w:rsid w:val="04D05CEB"/>
    <w:rsid w:val="04D8694E"/>
    <w:rsid w:val="04F23586"/>
    <w:rsid w:val="052B1173"/>
    <w:rsid w:val="052F2A11"/>
    <w:rsid w:val="0539563E"/>
    <w:rsid w:val="053B0A84"/>
    <w:rsid w:val="055C757F"/>
    <w:rsid w:val="059B24B4"/>
    <w:rsid w:val="05B31193"/>
    <w:rsid w:val="05B64EE1"/>
    <w:rsid w:val="05E57574"/>
    <w:rsid w:val="05F72E03"/>
    <w:rsid w:val="060A6FDB"/>
    <w:rsid w:val="061739B6"/>
    <w:rsid w:val="062A4F87"/>
    <w:rsid w:val="064424ED"/>
    <w:rsid w:val="06451DC1"/>
    <w:rsid w:val="06587AD7"/>
    <w:rsid w:val="06764EFD"/>
    <w:rsid w:val="067F1777"/>
    <w:rsid w:val="067F3739"/>
    <w:rsid w:val="069778EF"/>
    <w:rsid w:val="06B8277C"/>
    <w:rsid w:val="06E54213"/>
    <w:rsid w:val="06EF2D4C"/>
    <w:rsid w:val="06F53DF8"/>
    <w:rsid w:val="06FD269B"/>
    <w:rsid w:val="070457D8"/>
    <w:rsid w:val="07117EF5"/>
    <w:rsid w:val="071E65E4"/>
    <w:rsid w:val="073A1CDE"/>
    <w:rsid w:val="0748600C"/>
    <w:rsid w:val="07832BA1"/>
    <w:rsid w:val="0786131B"/>
    <w:rsid w:val="07C338E5"/>
    <w:rsid w:val="07DD49A7"/>
    <w:rsid w:val="07EF0236"/>
    <w:rsid w:val="08013015"/>
    <w:rsid w:val="08017F69"/>
    <w:rsid w:val="080A32C2"/>
    <w:rsid w:val="080C528C"/>
    <w:rsid w:val="080D690E"/>
    <w:rsid w:val="082C148A"/>
    <w:rsid w:val="083D5469"/>
    <w:rsid w:val="0842480A"/>
    <w:rsid w:val="084F33CB"/>
    <w:rsid w:val="0878022B"/>
    <w:rsid w:val="087D3A94"/>
    <w:rsid w:val="087F5A5E"/>
    <w:rsid w:val="08856DEC"/>
    <w:rsid w:val="089805D5"/>
    <w:rsid w:val="08B1198F"/>
    <w:rsid w:val="08BB1CB7"/>
    <w:rsid w:val="08BC62FE"/>
    <w:rsid w:val="08BE0B98"/>
    <w:rsid w:val="08C72F61"/>
    <w:rsid w:val="08F33D56"/>
    <w:rsid w:val="08FB2C0B"/>
    <w:rsid w:val="090C4E18"/>
    <w:rsid w:val="09175544"/>
    <w:rsid w:val="093E2196"/>
    <w:rsid w:val="09620BB9"/>
    <w:rsid w:val="09622C8A"/>
    <w:rsid w:val="097A0448"/>
    <w:rsid w:val="09882DBF"/>
    <w:rsid w:val="098F1CD1"/>
    <w:rsid w:val="099077F7"/>
    <w:rsid w:val="09CB082F"/>
    <w:rsid w:val="09D21BBD"/>
    <w:rsid w:val="09E42E0C"/>
    <w:rsid w:val="0A03446D"/>
    <w:rsid w:val="0A33204C"/>
    <w:rsid w:val="0A432ABB"/>
    <w:rsid w:val="0A482F82"/>
    <w:rsid w:val="0A5151D8"/>
    <w:rsid w:val="0A530D4E"/>
    <w:rsid w:val="0A6A21BF"/>
    <w:rsid w:val="0A717628"/>
    <w:rsid w:val="0A801619"/>
    <w:rsid w:val="0AA35401"/>
    <w:rsid w:val="0AAA48E8"/>
    <w:rsid w:val="0AB2168A"/>
    <w:rsid w:val="0AB44578"/>
    <w:rsid w:val="0AD428F5"/>
    <w:rsid w:val="0AE222D4"/>
    <w:rsid w:val="0AF344E1"/>
    <w:rsid w:val="0B04224A"/>
    <w:rsid w:val="0B043FF8"/>
    <w:rsid w:val="0B0D6DE1"/>
    <w:rsid w:val="0B100BEF"/>
    <w:rsid w:val="0B1B1342"/>
    <w:rsid w:val="0B2B5A29"/>
    <w:rsid w:val="0B301291"/>
    <w:rsid w:val="0B871679"/>
    <w:rsid w:val="0BA64D8F"/>
    <w:rsid w:val="0BBA4FFF"/>
    <w:rsid w:val="0BC327AE"/>
    <w:rsid w:val="0BC33EB3"/>
    <w:rsid w:val="0BC52D54"/>
    <w:rsid w:val="0BDE2A9B"/>
    <w:rsid w:val="0BF00A21"/>
    <w:rsid w:val="0C3009DF"/>
    <w:rsid w:val="0C3D36B1"/>
    <w:rsid w:val="0C441043"/>
    <w:rsid w:val="0C64330E"/>
    <w:rsid w:val="0C6A75EB"/>
    <w:rsid w:val="0C71390F"/>
    <w:rsid w:val="0C825B1D"/>
    <w:rsid w:val="0C963376"/>
    <w:rsid w:val="0CA84E57"/>
    <w:rsid w:val="0CC021A1"/>
    <w:rsid w:val="0CE046D1"/>
    <w:rsid w:val="0CE2480D"/>
    <w:rsid w:val="0CE95B9C"/>
    <w:rsid w:val="0CEC568C"/>
    <w:rsid w:val="0CEF0828"/>
    <w:rsid w:val="0CEF0CD8"/>
    <w:rsid w:val="0CF935AF"/>
    <w:rsid w:val="0D103128"/>
    <w:rsid w:val="0D2070E4"/>
    <w:rsid w:val="0D2564A8"/>
    <w:rsid w:val="0D29243C"/>
    <w:rsid w:val="0D405DE1"/>
    <w:rsid w:val="0D525723"/>
    <w:rsid w:val="0D58687D"/>
    <w:rsid w:val="0D735465"/>
    <w:rsid w:val="0D983C14"/>
    <w:rsid w:val="0D9B0AAB"/>
    <w:rsid w:val="0DE30E3D"/>
    <w:rsid w:val="0DFF4F4B"/>
    <w:rsid w:val="0E1C2556"/>
    <w:rsid w:val="0E3A41D5"/>
    <w:rsid w:val="0E8B7D5E"/>
    <w:rsid w:val="0E8D07A9"/>
    <w:rsid w:val="0E9E41EB"/>
    <w:rsid w:val="0E9E4764"/>
    <w:rsid w:val="0EC5310D"/>
    <w:rsid w:val="0ECD6DF7"/>
    <w:rsid w:val="0F1467D4"/>
    <w:rsid w:val="0F205179"/>
    <w:rsid w:val="0F40581B"/>
    <w:rsid w:val="0F53511F"/>
    <w:rsid w:val="0F66397C"/>
    <w:rsid w:val="0F711E78"/>
    <w:rsid w:val="0F876305"/>
    <w:rsid w:val="0F8A3B8A"/>
    <w:rsid w:val="0F8E2A2A"/>
    <w:rsid w:val="0F955B67"/>
    <w:rsid w:val="0FA57C09"/>
    <w:rsid w:val="0FB024D8"/>
    <w:rsid w:val="0FDB0233"/>
    <w:rsid w:val="100C0829"/>
    <w:rsid w:val="1015151D"/>
    <w:rsid w:val="104913C2"/>
    <w:rsid w:val="104D4694"/>
    <w:rsid w:val="10501A8E"/>
    <w:rsid w:val="10A02A15"/>
    <w:rsid w:val="10AF4A06"/>
    <w:rsid w:val="10BC7123"/>
    <w:rsid w:val="10F95371"/>
    <w:rsid w:val="10FD4EE8"/>
    <w:rsid w:val="111D5318"/>
    <w:rsid w:val="1122167C"/>
    <w:rsid w:val="113111EC"/>
    <w:rsid w:val="114710E3"/>
    <w:rsid w:val="114A0BD3"/>
    <w:rsid w:val="114E421F"/>
    <w:rsid w:val="1158509E"/>
    <w:rsid w:val="11650634"/>
    <w:rsid w:val="118F65E6"/>
    <w:rsid w:val="11902A8A"/>
    <w:rsid w:val="11A007F3"/>
    <w:rsid w:val="11A55E09"/>
    <w:rsid w:val="11B524F0"/>
    <w:rsid w:val="11BC387F"/>
    <w:rsid w:val="11C8051B"/>
    <w:rsid w:val="11C866C2"/>
    <w:rsid w:val="11CB2213"/>
    <w:rsid w:val="11DB182B"/>
    <w:rsid w:val="11E64458"/>
    <w:rsid w:val="11EB4164"/>
    <w:rsid w:val="11EC3A38"/>
    <w:rsid w:val="120708DE"/>
    <w:rsid w:val="12072620"/>
    <w:rsid w:val="120D40DA"/>
    <w:rsid w:val="12216A68"/>
    <w:rsid w:val="12353631"/>
    <w:rsid w:val="124D44D7"/>
    <w:rsid w:val="125515DD"/>
    <w:rsid w:val="12664571"/>
    <w:rsid w:val="1288236D"/>
    <w:rsid w:val="12891287"/>
    <w:rsid w:val="12D26850"/>
    <w:rsid w:val="12EA15F7"/>
    <w:rsid w:val="13081728"/>
    <w:rsid w:val="13086650"/>
    <w:rsid w:val="1317796F"/>
    <w:rsid w:val="134358DA"/>
    <w:rsid w:val="134B1FE3"/>
    <w:rsid w:val="138228A6"/>
    <w:rsid w:val="13C24A0E"/>
    <w:rsid w:val="13F05A62"/>
    <w:rsid w:val="13FC61B5"/>
    <w:rsid w:val="142474B9"/>
    <w:rsid w:val="142A03FE"/>
    <w:rsid w:val="142D2812"/>
    <w:rsid w:val="142E0338"/>
    <w:rsid w:val="143A6CDD"/>
    <w:rsid w:val="14402F93"/>
    <w:rsid w:val="14403A45"/>
    <w:rsid w:val="145A45E5"/>
    <w:rsid w:val="146A5814"/>
    <w:rsid w:val="146B50E8"/>
    <w:rsid w:val="14995E73"/>
    <w:rsid w:val="14A34882"/>
    <w:rsid w:val="14C05277"/>
    <w:rsid w:val="14D233B9"/>
    <w:rsid w:val="14D94748"/>
    <w:rsid w:val="14E153AA"/>
    <w:rsid w:val="14F50E56"/>
    <w:rsid w:val="15023C9F"/>
    <w:rsid w:val="15233C15"/>
    <w:rsid w:val="1527507F"/>
    <w:rsid w:val="153100E0"/>
    <w:rsid w:val="15363948"/>
    <w:rsid w:val="15407EF2"/>
    <w:rsid w:val="15542020"/>
    <w:rsid w:val="157D3325"/>
    <w:rsid w:val="15804BC3"/>
    <w:rsid w:val="158B1482"/>
    <w:rsid w:val="15D06F8B"/>
    <w:rsid w:val="15F230E6"/>
    <w:rsid w:val="161517B0"/>
    <w:rsid w:val="16225C7A"/>
    <w:rsid w:val="163B0AEA"/>
    <w:rsid w:val="16421E79"/>
    <w:rsid w:val="164637E6"/>
    <w:rsid w:val="16481B85"/>
    <w:rsid w:val="164E2511"/>
    <w:rsid w:val="165C73DE"/>
    <w:rsid w:val="165D6CB3"/>
    <w:rsid w:val="166827DF"/>
    <w:rsid w:val="16706153"/>
    <w:rsid w:val="16AE7671"/>
    <w:rsid w:val="16BD53E0"/>
    <w:rsid w:val="16D36F75"/>
    <w:rsid w:val="16E6314C"/>
    <w:rsid w:val="16E87B93"/>
    <w:rsid w:val="1706633F"/>
    <w:rsid w:val="171001C9"/>
    <w:rsid w:val="17345040"/>
    <w:rsid w:val="173F13A5"/>
    <w:rsid w:val="17410382"/>
    <w:rsid w:val="175C65E8"/>
    <w:rsid w:val="17680005"/>
    <w:rsid w:val="177C00C0"/>
    <w:rsid w:val="177E121B"/>
    <w:rsid w:val="178679F1"/>
    <w:rsid w:val="17944956"/>
    <w:rsid w:val="179A3525"/>
    <w:rsid w:val="17A9015C"/>
    <w:rsid w:val="17B15508"/>
    <w:rsid w:val="17B35ACD"/>
    <w:rsid w:val="17BC5880"/>
    <w:rsid w:val="18090783"/>
    <w:rsid w:val="182F341E"/>
    <w:rsid w:val="18300B23"/>
    <w:rsid w:val="1831400C"/>
    <w:rsid w:val="18341D85"/>
    <w:rsid w:val="183526D1"/>
    <w:rsid w:val="183A72AB"/>
    <w:rsid w:val="184719C8"/>
    <w:rsid w:val="185D11EC"/>
    <w:rsid w:val="188449CB"/>
    <w:rsid w:val="18956596"/>
    <w:rsid w:val="18B52DD6"/>
    <w:rsid w:val="18D72D4C"/>
    <w:rsid w:val="18DA1743"/>
    <w:rsid w:val="19094E2B"/>
    <w:rsid w:val="192A645B"/>
    <w:rsid w:val="1934019F"/>
    <w:rsid w:val="19450FD3"/>
    <w:rsid w:val="196B16E7"/>
    <w:rsid w:val="19792055"/>
    <w:rsid w:val="197B401F"/>
    <w:rsid w:val="19940109"/>
    <w:rsid w:val="19961478"/>
    <w:rsid w:val="19AD7F51"/>
    <w:rsid w:val="19B65058"/>
    <w:rsid w:val="19CE05F3"/>
    <w:rsid w:val="19CE23A1"/>
    <w:rsid w:val="19D774A7"/>
    <w:rsid w:val="19DB42DF"/>
    <w:rsid w:val="19FD4A34"/>
    <w:rsid w:val="1A0E6C42"/>
    <w:rsid w:val="1A0F6516"/>
    <w:rsid w:val="1A1B5BF6"/>
    <w:rsid w:val="1A3146DE"/>
    <w:rsid w:val="1A4A5089"/>
    <w:rsid w:val="1A530AF8"/>
    <w:rsid w:val="1A761766"/>
    <w:rsid w:val="1A7D49DD"/>
    <w:rsid w:val="1A872550"/>
    <w:rsid w:val="1A9E1F8E"/>
    <w:rsid w:val="1AA50C28"/>
    <w:rsid w:val="1AAE3F81"/>
    <w:rsid w:val="1AB62E35"/>
    <w:rsid w:val="1AC217DA"/>
    <w:rsid w:val="1AD37B03"/>
    <w:rsid w:val="1AD67034"/>
    <w:rsid w:val="1ADC6A1D"/>
    <w:rsid w:val="1AFF5B13"/>
    <w:rsid w:val="1B163D36"/>
    <w:rsid w:val="1B262605"/>
    <w:rsid w:val="1B2A7AAB"/>
    <w:rsid w:val="1B3F1135"/>
    <w:rsid w:val="1B414DF5"/>
    <w:rsid w:val="1B4B306E"/>
    <w:rsid w:val="1B50328A"/>
    <w:rsid w:val="1B574618"/>
    <w:rsid w:val="1B7C407F"/>
    <w:rsid w:val="1B970EB9"/>
    <w:rsid w:val="1BA4348E"/>
    <w:rsid w:val="1BAF1D5E"/>
    <w:rsid w:val="1BE834C2"/>
    <w:rsid w:val="1C085913"/>
    <w:rsid w:val="1C12186A"/>
    <w:rsid w:val="1C24274C"/>
    <w:rsid w:val="1C33298F"/>
    <w:rsid w:val="1C386676"/>
    <w:rsid w:val="1C694603"/>
    <w:rsid w:val="1C8A2B02"/>
    <w:rsid w:val="1C9A2A0F"/>
    <w:rsid w:val="1CA63E1C"/>
    <w:rsid w:val="1CA728DC"/>
    <w:rsid w:val="1CE31557"/>
    <w:rsid w:val="1CF85987"/>
    <w:rsid w:val="1CFD4D4B"/>
    <w:rsid w:val="1D063C00"/>
    <w:rsid w:val="1D255CFB"/>
    <w:rsid w:val="1D2E600F"/>
    <w:rsid w:val="1D3E783E"/>
    <w:rsid w:val="1D464944"/>
    <w:rsid w:val="1D5D4F42"/>
    <w:rsid w:val="1D6D1ED1"/>
    <w:rsid w:val="1D7414B2"/>
    <w:rsid w:val="1D7E27C4"/>
    <w:rsid w:val="1D94745E"/>
    <w:rsid w:val="1D9A07EC"/>
    <w:rsid w:val="1DA750FA"/>
    <w:rsid w:val="1DA82F09"/>
    <w:rsid w:val="1DB96EC4"/>
    <w:rsid w:val="1DED3012"/>
    <w:rsid w:val="1E0D7210"/>
    <w:rsid w:val="1E682698"/>
    <w:rsid w:val="1E9516DF"/>
    <w:rsid w:val="1EA74AFA"/>
    <w:rsid w:val="1EAF69BE"/>
    <w:rsid w:val="1EB3600A"/>
    <w:rsid w:val="1EE44415"/>
    <w:rsid w:val="1EFB2B1A"/>
    <w:rsid w:val="1F2C1918"/>
    <w:rsid w:val="1F3709E9"/>
    <w:rsid w:val="1F3C4E81"/>
    <w:rsid w:val="1F446D63"/>
    <w:rsid w:val="1F482287"/>
    <w:rsid w:val="1F4E5D32"/>
    <w:rsid w:val="1F5F584A"/>
    <w:rsid w:val="1F6E7612"/>
    <w:rsid w:val="1F9951FF"/>
    <w:rsid w:val="1F996FAD"/>
    <w:rsid w:val="1FCB2EDF"/>
    <w:rsid w:val="1FD46237"/>
    <w:rsid w:val="1FD75D28"/>
    <w:rsid w:val="1FF81FA6"/>
    <w:rsid w:val="200530C6"/>
    <w:rsid w:val="201900EE"/>
    <w:rsid w:val="20286583"/>
    <w:rsid w:val="204D7D98"/>
    <w:rsid w:val="2068689C"/>
    <w:rsid w:val="207E43F5"/>
    <w:rsid w:val="208E57EA"/>
    <w:rsid w:val="209816EE"/>
    <w:rsid w:val="20A57BD4"/>
    <w:rsid w:val="20AA343C"/>
    <w:rsid w:val="21093B01"/>
    <w:rsid w:val="21093CBF"/>
    <w:rsid w:val="21113386"/>
    <w:rsid w:val="21127704"/>
    <w:rsid w:val="21134B3E"/>
    <w:rsid w:val="21192920"/>
    <w:rsid w:val="214E201A"/>
    <w:rsid w:val="215525E8"/>
    <w:rsid w:val="21564CC5"/>
    <w:rsid w:val="21571507"/>
    <w:rsid w:val="215C4736"/>
    <w:rsid w:val="218473C3"/>
    <w:rsid w:val="21851DDA"/>
    <w:rsid w:val="219C0FD7"/>
    <w:rsid w:val="21B24356"/>
    <w:rsid w:val="21BE2E1C"/>
    <w:rsid w:val="21BF4CC5"/>
    <w:rsid w:val="21CF315A"/>
    <w:rsid w:val="21D61DDC"/>
    <w:rsid w:val="21D73DBD"/>
    <w:rsid w:val="21F52D2D"/>
    <w:rsid w:val="22133B0F"/>
    <w:rsid w:val="221C5C74"/>
    <w:rsid w:val="225E6D5C"/>
    <w:rsid w:val="226D4721"/>
    <w:rsid w:val="227B5090"/>
    <w:rsid w:val="227C7B23"/>
    <w:rsid w:val="228B1389"/>
    <w:rsid w:val="229C1A92"/>
    <w:rsid w:val="22C00CF5"/>
    <w:rsid w:val="22D64075"/>
    <w:rsid w:val="22F4274D"/>
    <w:rsid w:val="23111551"/>
    <w:rsid w:val="23114793"/>
    <w:rsid w:val="23200420"/>
    <w:rsid w:val="232C1EE7"/>
    <w:rsid w:val="232E186A"/>
    <w:rsid w:val="23334CC9"/>
    <w:rsid w:val="23414BB8"/>
    <w:rsid w:val="235002CB"/>
    <w:rsid w:val="235565C2"/>
    <w:rsid w:val="23573F02"/>
    <w:rsid w:val="2378512C"/>
    <w:rsid w:val="237F64BA"/>
    <w:rsid w:val="23867C9E"/>
    <w:rsid w:val="238B1AF9"/>
    <w:rsid w:val="238E0DF3"/>
    <w:rsid w:val="23966BD8"/>
    <w:rsid w:val="23983A20"/>
    <w:rsid w:val="239F4DAE"/>
    <w:rsid w:val="23F30C56"/>
    <w:rsid w:val="24125580"/>
    <w:rsid w:val="24143E1B"/>
    <w:rsid w:val="2418246B"/>
    <w:rsid w:val="241F3BAD"/>
    <w:rsid w:val="242E2E48"/>
    <w:rsid w:val="24507029"/>
    <w:rsid w:val="245B6DB7"/>
    <w:rsid w:val="2478071C"/>
    <w:rsid w:val="247C0ED5"/>
    <w:rsid w:val="247E49C4"/>
    <w:rsid w:val="248024EA"/>
    <w:rsid w:val="24A05D7F"/>
    <w:rsid w:val="24A87C93"/>
    <w:rsid w:val="24D35DFB"/>
    <w:rsid w:val="24EF2718"/>
    <w:rsid w:val="24F75F2B"/>
    <w:rsid w:val="250F33B1"/>
    <w:rsid w:val="25113A8A"/>
    <w:rsid w:val="25145328"/>
    <w:rsid w:val="252437BD"/>
    <w:rsid w:val="253F4153"/>
    <w:rsid w:val="25423C43"/>
    <w:rsid w:val="25583889"/>
    <w:rsid w:val="258E0C37"/>
    <w:rsid w:val="25AE0D72"/>
    <w:rsid w:val="25B43229"/>
    <w:rsid w:val="25BD776E"/>
    <w:rsid w:val="25CE64B1"/>
    <w:rsid w:val="25E41FE9"/>
    <w:rsid w:val="25ED0053"/>
    <w:rsid w:val="25FA451E"/>
    <w:rsid w:val="25FA6BAC"/>
    <w:rsid w:val="26331252"/>
    <w:rsid w:val="264E2C81"/>
    <w:rsid w:val="266B541C"/>
    <w:rsid w:val="26753572"/>
    <w:rsid w:val="267F3256"/>
    <w:rsid w:val="26C51C58"/>
    <w:rsid w:val="26D65F40"/>
    <w:rsid w:val="26E8136C"/>
    <w:rsid w:val="26F31699"/>
    <w:rsid w:val="27082C6B"/>
    <w:rsid w:val="271909D4"/>
    <w:rsid w:val="272555CB"/>
    <w:rsid w:val="27545EB0"/>
    <w:rsid w:val="276D3849"/>
    <w:rsid w:val="277A5916"/>
    <w:rsid w:val="277D576B"/>
    <w:rsid w:val="278B355F"/>
    <w:rsid w:val="278F537C"/>
    <w:rsid w:val="27B506FD"/>
    <w:rsid w:val="27EC60E8"/>
    <w:rsid w:val="28001A0F"/>
    <w:rsid w:val="280D678A"/>
    <w:rsid w:val="289E0A26"/>
    <w:rsid w:val="28A6273B"/>
    <w:rsid w:val="28B07116"/>
    <w:rsid w:val="28BF3904"/>
    <w:rsid w:val="28D64957"/>
    <w:rsid w:val="28F434A6"/>
    <w:rsid w:val="293146FB"/>
    <w:rsid w:val="29392484"/>
    <w:rsid w:val="293D65ED"/>
    <w:rsid w:val="2964687E"/>
    <w:rsid w:val="29661255"/>
    <w:rsid w:val="296F0D7F"/>
    <w:rsid w:val="29910CF5"/>
    <w:rsid w:val="29AF1F09"/>
    <w:rsid w:val="29B03871"/>
    <w:rsid w:val="29E74DB9"/>
    <w:rsid w:val="2A042ABA"/>
    <w:rsid w:val="2A222295"/>
    <w:rsid w:val="2A24600D"/>
    <w:rsid w:val="2A36189D"/>
    <w:rsid w:val="2A3B4116"/>
    <w:rsid w:val="2A6A4078"/>
    <w:rsid w:val="2A7206F0"/>
    <w:rsid w:val="2A7A3E7F"/>
    <w:rsid w:val="2A842608"/>
    <w:rsid w:val="2AD0584D"/>
    <w:rsid w:val="2ADB2B70"/>
    <w:rsid w:val="2ADB54EC"/>
    <w:rsid w:val="2AF7636C"/>
    <w:rsid w:val="2B116592"/>
    <w:rsid w:val="2B1C4F36"/>
    <w:rsid w:val="2B1F5B31"/>
    <w:rsid w:val="2B2230DE"/>
    <w:rsid w:val="2B317A4F"/>
    <w:rsid w:val="2B350611"/>
    <w:rsid w:val="2B3D6264"/>
    <w:rsid w:val="2B794137"/>
    <w:rsid w:val="2BA576C3"/>
    <w:rsid w:val="2BA77508"/>
    <w:rsid w:val="2BCA04EF"/>
    <w:rsid w:val="2BDD46C6"/>
    <w:rsid w:val="2C2959C2"/>
    <w:rsid w:val="2C645E65"/>
    <w:rsid w:val="2C6B7F24"/>
    <w:rsid w:val="2C6E5EC2"/>
    <w:rsid w:val="2C87617D"/>
    <w:rsid w:val="2CB847EB"/>
    <w:rsid w:val="2CC25D23"/>
    <w:rsid w:val="2CCB09C2"/>
    <w:rsid w:val="2CE77338"/>
    <w:rsid w:val="2CF00429"/>
    <w:rsid w:val="2CF505DD"/>
    <w:rsid w:val="2CFA4E04"/>
    <w:rsid w:val="2D12214D"/>
    <w:rsid w:val="2D241E80"/>
    <w:rsid w:val="2D31101F"/>
    <w:rsid w:val="2D5C0C70"/>
    <w:rsid w:val="2D687FBF"/>
    <w:rsid w:val="2D6A01DB"/>
    <w:rsid w:val="2D8E211C"/>
    <w:rsid w:val="2D940755"/>
    <w:rsid w:val="2D9675D6"/>
    <w:rsid w:val="2D980D09"/>
    <w:rsid w:val="2DBE22D5"/>
    <w:rsid w:val="2DD03764"/>
    <w:rsid w:val="2DDD09AD"/>
    <w:rsid w:val="2E04418C"/>
    <w:rsid w:val="2E232E31"/>
    <w:rsid w:val="2E262492"/>
    <w:rsid w:val="2E276A03"/>
    <w:rsid w:val="2E2933FE"/>
    <w:rsid w:val="2E2B600A"/>
    <w:rsid w:val="2E372556"/>
    <w:rsid w:val="2E514EF7"/>
    <w:rsid w:val="2E62218D"/>
    <w:rsid w:val="2E76670C"/>
    <w:rsid w:val="2E7C01C6"/>
    <w:rsid w:val="2E8B21B7"/>
    <w:rsid w:val="2E992A65"/>
    <w:rsid w:val="2E9F2106"/>
    <w:rsid w:val="2EAE5EA6"/>
    <w:rsid w:val="2EB07E70"/>
    <w:rsid w:val="2F1531D0"/>
    <w:rsid w:val="2F1F6DA3"/>
    <w:rsid w:val="2F311268"/>
    <w:rsid w:val="2F6824F8"/>
    <w:rsid w:val="2F8C0428"/>
    <w:rsid w:val="2F9B38D6"/>
    <w:rsid w:val="2F9B467C"/>
    <w:rsid w:val="2FA00426"/>
    <w:rsid w:val="2FBE7946"/>
    <w:rsid w:val="2FC17E5A"/>
    <w:rsid w:val="2FC32F68"/>
    <w:rsid w:val="2FC75471"/>
    <w:rsid w:val="2FCA31B3"/>
    <w:rsid w:val="2FD44032"/>
    <w:rsid w:val="2FE34275"/>
    <w:rsid w:val="30093CDB"/>
    <w:rsid w:val="301E4E37"/>
    <w:rsid w:val="30380106"/>
    <w:rsid w:val="3041038A"/>
    <w:rsid w:val="306058C5"/>
    <w:rsid w:val="30894E1C"/>
    <w:rsid w:val="309A4933"/>
    <w:rsid w:val="30AA0CCD"/>
    <w:rsid w:val="30AE1C6C"/>
    <w:rsid w:val="30B005FB"/>
    <w:rsid w:val="30F74D2A"/>
    <w:rsid w:val="30F85AFE"/>
    <w:rsid w:val="31050543"/>
    <w:rsid w:val="31070819"/>
    <w:rsid w:val="3114773B"/>
    <w:rsid w:val="31327262"/>
    <w:rsid w:val="314174A5"/>
    <w:rsid w:val="314235B5"/>
    <w:rsid w:val="31604D10"/>
    <w:rsid w:val="317C04DD"/>
    <w:rsid w:val="319553BB"/>
    <w:rsid w:val="319E126B"/>
    <w:rsid w:val="31A71603"/>
    <w:rsid w:val="31AD0696"/>
    <w:rsid w:val="31CC1B59"/>
    <w:rsid w:val="31E75151"/>
    <w:rsid w:val="31F13370"/>
    <w:rsid w:val="31F443CB"/>
    <w:rsid w:val="31F91B2E"/>
    <w:rsid w:val="320F1351"/>
    <w:rsid w:val="321C7AAD"/>
    <w:rsid w:val="3220530C"/>
    <w:rsid w:val="324E1E79"/>
    <w:rsid w:val="32673DFD"/>
    <w:rsid w:val="32700042"/>
    <w:rsid w:val="32DD4C49"/>
    <w:rsid w:val="32E0684A"/>
    <w:rsid w:val="32EC3440"/>
    <w:rsid w:val="32F3060F"/>
    <w:rsid w:val="32FF3876"/>
    <w:rsid w:val="33174961"/>
    <w:rsid w:val="33305A23"/>
    <w:rsid w:val="333F17C2"/>
    <w:rsid w:val="33484B1B"/>
    <w:rsid w:val="334A6CCC"/>
    <w:rsid w:val="33674B0E"/>
    <w:rsid w:val="33676199"/>
    <w:rsid w:val="33BE6B8B"/>
    <w:rsid w:val="33C341A1"/>
    <w:rsid w:val="33CC7ED2"/>
    <w:rsid w:val="33F46A50"/>
    <w:rsid w:val="33F56325"/>
    <w:rsid w:val="33F61444"/>
    <w:rsid w:val="341862D2"/>
    <w:rsid w:val="342033A2"/>
    <w:rsid w:val="34384B8F"/>
    <w:rsid w:val="344057F2"/>
    <w:rsid w:val="345F12CF"/>
    <w:rsid w:val="346040E6"/>
    <w:rsid w:val="347B0F20"/>
    <w:rsid w:val="349A13A6"/>
    <w:rsid w:val="349A203C"/>
    <w:rsid w:val="34AE30A3"/>
    <w:rsid w:val="34C44675"/>
    <w:rsid w:val="34F565DC"/>
    <w:rsid w:val="34F767F8"/>
    <w:rsid w:val="34FC3E0F"/>
    <w:rsid w:val="34FF745B"/>
    <w:rsid w:val="35154ED0"/>
    <w:rsid w:val="35156C7E"/>
    <w:rsid w:val="3516045F"/>
    <w:rsid w:val="352F7287"/>
    <w:rsid w:val="357D65D2"/>
    <w:rsid w:val="357F234A"/>
    <w:rsid w:val="358264BC"/>
    <w:rsid w:val="35984358"/>
    <w:rsid w:val="35C45A8C"/>
    <w:rsid w:val="35CF1523"/>
    <w:rsid w:val="360A60B7"/>
    <w:rsid w:val="361A2073"/>
    <w:rsid w:val="361E2E89"/>
    <w:rsid w:val="3652180C"/>
    <w:rsid w:val="366A4DA8"/>
    <w:rsid w:val="367C2AF7"/>
    <w:rsid w:val="367F4CF7"/>
    <w:rsid w:val="368F2A60"/>
    <w:rsid w:val="369C3089"/>
    <w:rsid w:val="36AA1648"/>
    <w:rsid w:val="36B65DB6"/>
    <w:rsid w:val="36B67FED"/>
    <w:rsid w:val="36B96E85"/>
    <w:rsid w:val="36E25286"/>
    <w:rsid w:val="36EC7EB3"/>
    <w:rsid w:val="370945C1"/>
    <w:rsid w:val="373553B6"/>
    <w:rsid w:val="373A32B1"/>
    <w:rsid w:val="37460FEA"/>
    <w:rsid w:val="374D2339"/>
    <w:rsid w:val="37740F38"/>
    <w:rsid w:val="377F2462"/>
    <w:rsid w:val="3781684D"/>
    <w:rsid w:val="379A16BD"/>
    <w:rsid w:val="37D4339C"/>
    <w:rsid w:val="37DB688A"/>
    <w:rsid w:val="381D5608"/>
    <w:rsid w:val="381E1A51"/>
    <w:rsid w:val="384358B1"/>
    <w:rsid w:val="384B29B7"/>
    <w:rsid w:val="384B4EB5"/>
    <w:rsid w:val="38C904E1"/>
    <w:rsid w:val="39072D82"/>
    <w:rsid w:val="391D07F7"/>
    <w:rsid w:val="392E030F"/>
    <w:rsid w:val="395A55A8"/>
    <w:rsid w:val="395C1320"/>
    <w:rsid w:val="39774380"/>
    <w:rsid w:val="399A59A4"/>
    <w:rsid w:val="39A46823"/>
    <w:rsid w:val="39A746F7"/>
    <w:rsid w:val="39AB5E03"/>
    <w:rsid w:val="39D24BE5"/>
    <w:rsid w:val="39DA0497"/>
    <w:rsid w:val="39EC01D6"/>
    <w:rsid w:val="3A1278F3"/>
    <w:rsid w:val="3A2E40D2"/>
    <w:rsid w:val="3A414072"/>
    <w:rsid w:val="3A661D2A"/>
    <w:rsid w:val="3A6B51A0"/>
    <w:rsid w:val="3A7F2761"/>
    <w:rsid w:val="3A9839D5"/>
    <w:rsid w:val="3AA50AA5"/>
    <w:rsid w:val="3AAC1E33"/>
    <w:rsid w:val="3AB64A60"/>
    <w:rsid w:val="3AC25E66"/>
    <w:rsid w:val="3ACD1DA9"/>
    <w:rsid w:val="3AD636F1"/>
    <w:rsid w:val="3AE27603"/>
    <w:rsid w:val="3AEA64B7"/>
    <w:rsid w:val="3AF96CBA"/>
    <w:rsid w:val="3B0A6C0E"/>
    <w:rsid w:val="3B263FA5"/>
    <w:rsid w:val="3B312338"/>
    <w:rsid w:val="3B3360B0"/>
    <w:rsid w:val="3B430836"/>
    <w:rsid w:val="3B602C1D"/>
    <w:rsid w:val="3BA7084C"/>
    <w:rsid w:val="3BD74C8E"/>
    <w:rsid w:val="3BE408F7"/>
    <w:rsid w:val="3C4816E7"/>
    <w:rsid w:val="3C7D3697"/>
    <w:rsid w:val="3C805325"/>
    <w:rsid w:val="3C9138EA"/>
    <w:rsid w:val="3CA1529C"/>
    <w:rsid w:val="3CB23005"/>
    <w:rsid w:val="3CB66F99"/>
    <w:rsid w:val="3CC03974"/>
    <w:rsid w:val="3CF0648C"/>
    <w:rsid w:val="3D000214"/>
    <w:rsid w:val="3D1617E6"/>
    <w:rsid w:val="3D2D6B2F"/>
    <w:rsid w:val="3D3B56F0"/>
    <w:rsid w:val="3D556267"/>
    <w:rsid w:val="3D566086"/>
    <w:rsid w:val="3D7824A0"/>
    <w:rsid w:val="3D8C5F4C"/>
    <w:rsid w:val="3D956BAE"/>
    <w:rsid w:val="3DD35929"/>
    <w:rsid w:val="3DD551FD"/>
    <w:rsid w:val="3DDF5127"/>
    <w:rsid w:val="3DDF607B"/>
    <w:rsid w:val="3DF02037"/>
    <w:rsid w:val="3E0D2BA2"/>
    <w:rsid w:val="3E111FAD"/>
    <w:rsid w:val="3E287A22"/>
    <w:rsid w:val="3E3E7246"/>
    <w:rsid w:val="3E51483C"/>
    <w:rsid w:val="3E642A25"/>
    <w:rsid w:val="3E6A5CCC"/>
    <w:rsid w:val="3E866E17"/>
    <w:rsid w:val="3E8D5AD7"/>
    <w:rsid w:val="3E8F7AA2"/>
    <w:rsid w:val="3EC37F39"/>
    <w:rsid w:val="3EC647A9"/>
    <w:rsid w:val="3ED363CD"/>
    <w:rsid w:val="3EE11CA2"/>
    <w:rsid w:val="3EE17BD1"/>
    <w:rsid w:val="3EF416A3"/>
    <w:rsid w:val="3F0B728B"/>
    <w:rsid w:val="3F105341"/>
    <w:rsid w:val="3F3356A6"/>
    <w:rsid w:val="3F3B3785"/>
    <w:rsid w:val="3F3C12AC"/>
    <w:rsid w:val="3F5B3E28"/>
    <w:rsid w:val="3F80388E"/>
    <w:rsid w:val="3F88629F"/>
    <w:rsid w:val="3F890995"/>
    <w:rsid w:val="3F963C31"/>
    <w:rsid w:val="3F9B4A8B"/>
    <w:rsid w:val="3FB157F6"/>
    <w:rsid w:val="3FBC1FE2"/>
    <w:rsid w:val="3FBD063E"/>
    <w:rsid w:val="3FC74D01"/>
    <w:rsid w:val="3FE45BCB"/>
    <w:rsid w:val="3FF35E0E"/>
    <w:rsid w:val="3FF54D36"/>
    <w:rsid w:val="4014414F"/>
    <w:rsid w:val="401C3481"/>
    <w:rsid w:val="40442B0E"/>
    <w:rsid w:val="40512B35"/>
    <w:rsid w:val="4056597A"/>
    <w:rsid w:val="4057639D"/>
    <w:rsid w:val="405A7C3B"/>
    <w:rsid w:val="40827192"/>
    <w:rsid w:val="40920B3F"/>
    <w:rsid w:val="40923879"/>
    <w:rsid w:val="409969B6"/>
    <w:rsid w:val="40A56CB3"/>
    <w:rsid w:val="40B03B73"/>
    <w:rsid w:val="40BE641C"/>
    <w:rsid w:val="40C47A40"/>
    <w:rsid w:val="41013CC1"/>
    <w:rsid w:val="411B5933"/>
    <w:rsid w:val="414508EB"/>
    <w:rsid w:val="41556B9A"/>
    <w:rsid w:val="416A0352"/>
    <w:rsid w:val="416F7716"/>
    <w:rsid w:val="41780CC1"/>
    <w:rsid w:val="41826D0B"/>
    <w:rsid w:val="41856F3A"/>
    <w:rsid w:val="41874A60"/>
    <w:rsid w:val="41886A2A"/>
    <w:rsid w:val="418F1B67"/>
    <w:rsid w:val="41931657"/>
    <w:rsid w:val="41BA3087"/>
    <w:rsid w:val="41D3433B"/>
    <w:rsid w:val="41D34BA9"/>
    <w:rsid w:val="41D43A1D"/>
    <w:rsid w:val="41D8350E"/>
    <w:rsid w:val="41F8770C"/>
    <w:rsid w:val="420662CD"/>
    <w:rsid w:val="42256BF8"/>
    <w:rsid w:val="422E137F"/>
    <w:rsid w:val="42363D5E"/>
    <w:rsid w:val="42423625"/>
    <w:rsid w:val="42440BA3"/>
    <w:rsid w:val="4249440B"/>
    <w:rsid w:val="42756FAE"/>
    <w:rsid w:val="428216CB"/>
    <w:rsid w:val="42997141"/>
    <w:rsid w:val="429D02B3"/>
    <w:rsid w:val="42A47CE4"/>
    <w:rsid w:val="42C45597"/>
    <w:rsid w:val="42D55C9F"/>
    <w:rsid w:val="430B346F"/>
    <w:rsid w:val="434B5F61"/>
    <w:rsid w:val="434C41B3"/>
    <w:rsid w:val="4355648A"/>
    <w:rsid w:val="438518DD"/>
    <w:rsid w:val="439A26DB"/>
    <w:rsid w:val="439E2535"/>
    <w:rsid w:val="43E66BC8"/>
    <w:rsid w:val="44204EDB"/>
    <w:rsid w:val="44254A04"/>
    <w:rsid w:val="44307631"/>
    <w:rsid w:val="443308A1"/>
    <w:rsid w:val="444F55DD"/>
    <w:rsid w:val="446217B4"/>
    <w:rsid w:val="4469669F"/>
    <w:rsid w:val="446C43E1"/>
    <w:rsid w:val="44983428"/>
    <w:rsid w:val="44AD6ED3"/>
    <w:rsid w:val="44B94C67"/>
    <w:rsid w:val="44BC7116"/>
    <w:rsid w:val="44ED72D0"/>
    <w:rsid w:val="45264590"/>
    <w:rsid w:val="45333D12"/>
    <w:rsid w:val="45400EC1"/>
    <w:rsid w:val="45901B57"/>
    <w:rsid w:val="45A1630C"/>
    <w:rsid w:val="45BE6EBE"/>
    <w:rsid w:val="45E83F3B"/>
    <w:rsid w:val="45E91604"/>
    <w:rsid w:val="46162F67"/>
    <w:rsid w:val="464242FA"/>
    <w:rsid w:val="46572CEA"/>
    <w:rsid w:val="465A0995"/>
    <w:rsid w:val="466943F9"/>
    <w:rsid w:val="469D3256"/>
    <w:rsid w:val="46AA2F9F"/>
    <w:rsid w:val="46DD5122"/>
    <w:rsid w:val="47022DDB"/>
    <w:rsid w:val="470C4453"/>
    <w:rsid w:val="47150D60"/>
    <w:rsid w:val="47170634"/>
    <w:rsid w:val="471C20EE"/>
    <w:rsid w:val="471F1BDF"/>
    <w:rsid w:val="47264693"/>
    <w:rsid w:val="474D629F"/>
    <w:rsid w:val="4750522E"/>
    <w:rsid w:val="4766336A"/>
    <w:rsid w:val="47A872E3"/>
    <w:rsid w:val="47D47504"/>
    <w:rsid w:val="47D93B3C"/>
    <w:rsid w:val="47DA4206"/>
    <w:rsid w:val="47ED75E7"/>
    <w:rsid w:val="47F0794B"/>
    <w:rsid w:val="47F646ED"/>
    <w:rsid w:val="47FB7F56"/>
    <w:rsid w:val="47FC68BF"/>
    <w:rsid w:val="48396CD0"/>
    <w:rsid w:val="484216E1"/>
    <w:rsid w:val="48811017"/>
    <w:rsid w:val="48965ED0"/>
    <w:rsid w:val="48A00AFD"/>
    <w:rsid w:val="48AB5019"/>
    <w:rsid w:val="48D507A7"/>
    <w:rsid w:val="48DC0511"/>
    <w:rsid w:val="49066BB2"/>
    <w:rsid w:val="49115557"/>
    <w:rsid w:val="492B03C7"/>
    <w:rsid w:val="493376DD"/>
    <w:rsid w:val="493C6A78"/>
    <w:rsid w:val="494722AB"/>
    <w:rsid w:val="49757894"/>
    <w:rsid w:val="49843F7B"/>
    <w:rsid w:val="49AD1724"/>
    <w:rsid w:val="49B90028"/>
    <w:rsid w:val="49F31153"/>
    <w:rsid w:val="49FB423D"/>
    <w:rsid w:val="4A054498"/>
    <w:rsid w:val="4A0D5D1E"/>
    <w:rsid w:val="4A2718EB"/>
    <w:rsid w:val="4A39600A"/>
    <w:rsid w:val="4A601C43"/>
    <w:rsid w:val="4A633B90"/>
    <w:rsid w:val="4A6F057C"/>
    <w:rsid w:val="4A81369C"/>
    <w:rsid w:val="4A851D59"/>
    <w:rsid w:val="4A9E5D86"/>
    <w:rsid w:val="4AA85A47"/>
    <w:rsid w:val="4AA93C99"/>
    <w:rsid w:val="4AAA17BF"/>
    <w:rsid w:val="4ADA0F18"/>
    <w:rsid w:val="4ADA6548"/>
    <w:rsid w:val="4AF40C8C"/>
    <w:rsid w:val="4AFD5D93"/>
    <w:rsid w:val="4B1355B6"/>
    <w:rsid w:val="4B294DDA"/>
    <w:rsid w:val="4B2E23F0"/>
    <w:rsid w:val="4B327CC6"/>
    <w:rsid w:val="4B413C46"/>
    <w:rsid w:val="4B7C7600"/>
    <w:rsid w:val="4B995B21"/>
    <w:rsid w:val="4BA16A96"/>
    <w:rsid w:val="4BA37A49"/>
    <w:rsid w:val="4BBA0128"/>
    <w:rsid w:val="4BC13264"/>
    <w:rsid w:val="4BCB5E91"/>
    <w:rsid w:val="4BCB6653"/>
    <w:rsid w:val="4BE3142D"/>
    <w:rsid w:val="4BEA27BB"/>
    <w:rsid w:val="4BF3029F"/>
    <w:rsid w:val="4BF62688"/>
    <w:rsid w:val="4C065B98"/>
    <w:rsid w:val="4C207BF0"/>
    <w:rsid w:val="4C52445E"/>
    <w:rsid w:val="4C6836E0"/>
    <w:rsid w:val="4C860003"/>
    <w:rsid w:val="4C9B3AB5"/>
    <w:rsid w:val="4CA25915"/>
    <w:rsid w:val="4CA30A9C"/>
    <w:rsid w:val="4CAC181F"/>
    <w:rsid w:val="4CC0351C"/>
    <w:rsid w:val="4D0B0C3B"/>
    <w:rsid w:val="4D0E24D9"/>
    <w:rsid w:val="4D1B4BF6"/>
    <w:rsid w:val="4D357A66"/>
    <w:rsid w:val="4D617969"/>
    <w:rsid w:val="4D7367E0"/>
    <w:rsid w:val="4D765FA3"/>
    <w:rsid w:val="4D834C75"/>
    <w:rsid w:val="4DAB7EDA"/>
    <w:rsid w:val="4DAE15C6"/>
    <w:rsid w:val="4DC1754C"/>
    <w:rsid w:val="4DC31516"/>
    <w:rsid w:val="4DCE1C69"/>
    <w:rsid w:val="4DD52FF7"/>
    <w:rsid w:val="4DFA0CB0"/>
    <w:rsid w:val="4E0659D2"/>
    <w:rsid w:val="4E0833CC"/>
    <w:rsid w:val="4E141D71"/>
    <w:rsid w:val="4E1F47F5"/>
    <w:rsid w:val="4E4A5793"/>
    <w:rsid w:val="4E7520E4"/>
    <w:rsid w:val="4E810A89"/>
    <w:rsid w:val="4E832A53"/>
    <w:rsid w:val="4EA708A9"/>
    <w:rsid w:val="4ECC7F56"/>
    <w:rsid w:val="4ECF7E2B"/>
    <w:rsid w:val="4ED60E57"/>
    <w:rsid w:val="4EED611E"/>
    <w:rsid w:val="4F050B6D"/>
    <w:rsid w:val="4F1B712F"/>
    <w:rsid w:val="4F381A8F"/>
    <w:rsid w:val="4F3F510F"/>
    <w:rsid w:val="4F462317"/>
    <w:rsid w:val="4F75620F"/>
    <w:rsid w:val="4F89256B"/>
    <w:rsid w:val="4FC1669B"/>
    <w:rsid w:val="4FDA0DF6"/>
    <w:rsid w:val="4FDA48F5"/>
    <w:rsid w:val="4FE47521"/>
    <w:rsid w:val="4FF45606"/>
    <w:rsid w:val="4FFE0FF2"/>
    <w:rsid w:val="50002336"/>
    <w:rsid w:val="502E28C4"/>
    <w:rsid w:val="50414974"/>
    <w:rsid w:val="50552CF3"/>
    <w:rsid w:val="50666188"/>
    <w:rsid w:val="5079410E"/>
    <w:rsid w:val="507A1C34"/>
    <w:rsid w:val="507B60D8"/>
    <w:rsid w:val="50830AE8"/>
    <w:rsid w:val="508A3156"/>
    <w:rsid w:val="50AF6900"/>
    <w:rsid w:val="50EF2622"/>
    <w:rsid w:val="50FA09B1"/>
    <w:rsid w:val="510A120A"/>
    <w:rsid w:val="51104AB0"/>
    <w:rsid w:val="513A1AEF"/>
    <w:rsid w:val="513D1358"/>
    <w:rsid w:val="5140188A"/>
    <w:rsid w:val="514C6F98"/>
    <w:rsid w:val="514E559A"/>
    <w:rsid w:val="516C57A1"/>
    <w:rsid w:val="516F0C45"/>
    <w:rsid w:val="518931C9"/>
    <w:rsid w:val="51A0391C"/>
    <w:rsid w:val="51BE213E"/>
    <w:rsid w:val="51E952C3"/>
    <w:rsid w:val="51EB103B"/>
    <w:rsid w:val="51FE0D6E"/>
    <w:rsid w:val="52164189"/>
    <w:rsid w:val="522105B9"/>
    <w:rsid w:val="523601F3"/>
    <w:rsid w:val="52636E23"/>
    <w:rsid w:val="5273519C"/>
    <w:rsid w:val="527E021F"/>
    <w:rsid w:val="528154FB"/>
    <w:rsid w:val="52852FD0"/>
    <w:rsid w:val="528E031D"/>
    <w:rsid w:val="52A15B9E"/>
    <w:rsid w:val="52B1623B"/>
    <w:rsid w:val="52BC1972"/>
    <w:rsid w:val="52BF457A"/>
    <w:rsid w:val="52C61160"/>
    <w:rsid w:val="52D700DE"/>
    <w:rsid w:val="52E86762"/>
    <w:rsid w:val="52F027AF"/>
    <w:rsid w:val="52FA4256"/>
    <w:rsid w:val="530A54F1"/>
    <w:rsid w:val="530B4BE6"/>
    <w:rsid w:val="53105563"/>
    <w:rsid w:val="53234805"/>
    <w:rsid w:val="53373E0C"/>
    <w:rsid w:val="533920AE"/>
    <w:rsid w:val="53416392"/>
    <w:rsid w:val="53424C8B"/>
    <w:rsid w:val="534D3630"/>
    <w:rsid w:val="53525315"/>
    <w:rsid w:val="539F3E70"/>
    <w:rsid w:val="53A25729"/>
    <w:rsid w:val="53BF0875"/>
    <w:rsid w:val="53CA68D8"/>
    <w:rsid w:val="53DB172D"/>
    <w:rsid w:val="53E752BB"/>
    <w:rsid w:val="53F87A3F"/>
    <w:rsid w:val="540E72EB"/>
    <w:rsid w:val="541D4B12"/>
    <w:rsid w:val="542304FB"/>
    <w:rsid w:val="543A3FC5"/>
    <w:rsid w:val="544F13D7"/>
    <w:rsid w:val="5479708B"/>
    <w:rsid w:val="548E5CAE"/>
    <w:rsid w:val="54A604EB"/>
    <w:rsid w:val="54B225D1"/>
    <w:rsid w:val="54C17E31"/>
    <w:rsid w:val="54C36370"/>
    <w:rsid w:val="54CF69F2"/>
    <w:rsid w:val="550541C2"/>
    <w:rsid w:val="55230AEC"/>
    <w:rsid w:val="55327E7C"/>
    <w:rsid w:val="55436A98"/>
    <w:rsid w:val="55482300"/>
    <w:rsid w:val="554E3DBB"/>
    <w:rsid w:val="55715927"/>
    <w:rsid w:val="557C4CDF"/>
    <w:rsid w:val="559D089E"/>
    <w:rsid w:val="55C51BA3"/>
    <w:rsid w:val="56216D43"/>
    <w:rsid w:val="562543F0"/>
    <w:rsid w:val="562B40FC"/>
    <w:rsid w:val="562C577E"/>
    <w:rsid w:val="562D715C"/>
    <w:rsid w:val="5640122A"/>
    <w:rsid w:val="564927D4"/>
    <w:rsid w:val="566B44F9"/>
    <w:rsid w:val="567315FF"/>
    <w:rsid w:val="569C2F3C"/>
    <w:rsid w:val="56B51C18"/>
    <w:rsid w:val="56C62E14"/>
    <w:rsid w:val="56CF2CD9"/>
    <w:rsid w:val="56E60023"/>
    <w:rsid w:val="56F036D9"/>
    <w:rsid w:val="571A483D"/>
    <w:rsid w:val="571E156B"/>
    <w:rsid w:val="572648C3"/>
    <w:rsid w:val="574D1E50"/>
    <w:rsid w:val="57544F8D"/>
    <w:rsid w:val="57750CCB"/>
    <w:rsid w:val="577675F9"/>
    <w:rsid w:val="57802226"/>
    <w:rsid w:val="57813A64"/>
    <w:rsid w:val="57A06424"/>
    <w:rsid w:val="57AD0DA8"/>
    <w:rsid w:val="57AF2B0B"/>
    <w:rsid w:val="57B7551B"/>
    <w:rsid w:val="57D11596"/>
    <w:rsid w:val="57E841D9"/>
    <w:rsid w:val="57FB5D50"/>
    <w:rsid w:val="581F3C8C"/>
    <w:rsid w:val="582E57DE"/>
    <w:rsid w:val="585E3377"/>
    <w:rsid w:val="585F008D"/>
    <w:rsid w:val="5866766D"/>
    <w:rsid w:val="58782D8B"/>
    <w:rsid w:val="58801DB1"/>
    <w:rsid w:val="58806D6B"/>
    <w:rsid w:val="58B34C17"/>
    <w:rsid w:val="58D5034F"/>
    <w:rsid w:val="58DA7713"/>
    <w:rsid w:val="58DD4B4B"/>
    <w:rsid w:val="58FA6008"/>
    <w:rsid w:val="59103135"/>
    <w:rsid w:val="591A3FB4"/>
    <w:rsid w:val="591F1682"/>
    <w:rsid w:val="593B28A8"/>
    <w:rsid w:val="596D0588"/>
    <w:rsid w:val="59D95C1D"/>
    <w:rsid w:val="59FB5B93"/>
    <w:rsid w:val="5A0616B1"/>
    <w:rsid w:val="5A1530F9"/>
    <w:rsid w:val="5A1E1882"/>
    <w:rsid w:val="5A3317D1"/>
    <w:rsid w:val="5A5413E3"/>
    <w:rsid w:val="5A5D05FC"/>
    <w:rsid w:val="5A821E11"/>
    <w:rsid w:val="5AEC67FA"/>
    <w:rsid w:val="5AF076C2"/>
    <w:rsid w:val="5AF656CD"/>
    <w:rsid w:val="5AF96577"/>
    <w:rsid w:val="5B0C0741"/>
    <w:rsid w:val="5B1B7148"/>
    <w:rsid w:val="5B280C0A"/>
    <w:rsid w:val="5B2D6220"/>
    <w:rsid w:val="5B6339F0"/>
    <w:rsid w:val="5B6854AA"/>
    <w:rsid w:val="5BB406F0"/>
    <w:rsid w:val="5BC70423"/>
    <w:rsid w:val="5BC76675"/>
    <w:rsid w:val="5BCA7F13"/>
    <w:rsid w:val="5BDA4A94"/>
    <w:rsid w:val="5BEA2363"/>
    <w:rsid w:val="5BFA3A04"/>
    <w:rsid w:val="5C0F6B97"/>
    <w:rsid w:val="5C423F4D"/>
    <w:rsid w:val="5C7659A5"/>
    <w:rsid w:val="5C8C341B"/>
    <w:rsid w:val="5CB309A7"/>
    <w:rsid w:val="5CB85FBE"/>
    <w:rsid w:val="5CCB3019"/>
    <w:rsid w:val="5CCB3F43"/>
    <w:rsid w:val="5CCE758F"/>
    <w:rsid w:val="5CDC1CAC"/>
    <w:rsid w:val="5CE629B9"/>
    <w:rsid w:val="5D2947D1"/>
    <w:rsid w:val="5D310209"/>
    <w:rsid w:val="5D437F7D"/>
    <w:rsid w:val="5D4635C9"/>
    <w:rsid w:val="5D4D6706"/>
    <w:rsid w:val="5D557CB0"/>
    <w:rsid w:val="5D7B0085"/>
    <w:rsid w:val="5D7C1F1D"/>
    <w:rsid w:val="5D87291D"/>
    <w:rsid w:val="5D9F7CB7"/>
    <w:rsid w:val="5DBF1DA6"/>
    <w:rsid w:val="5DCA244C"/>
    <w:rsid w:val="5DDC7A8A"/>
    <w:rsid w:val="5DF63241"/>
    <w:rsid w:val="5DFE5C52"/>
    <w:rsid w:val="5E0968EF"/>
    <w:rsid w:val="5E1E0F9C"/>
    <w:rsid w:val="5E420235"/>
    <w:rsid w:val="5E447901"/>
    <w:rsid w:val="5E570CB0"/>
    <w:rsid w:val="5E5E4943"/>
    <w:rsid w:val="5E6737F7"/>
    <w:rsid w:val="5E677C9B"/>
    <w:rsid w:val="5E6C3504"/>
    <w:rsid w:val="5E761C8C"/>
    <w:rsid w:val="5EAF7159"/>
    <w:rsid w:val="5EB279BE"/>
    <w:rsid w:val="5EB32EE1"/>
    <w:rsid w:val="5EBF1885"/>
    <w:rsid w:val="5ECC3A1D"/>
    <w:rsid w:val="5ECE7D1A"/>
    <w:rsid w:val="5ED2780B"/>
    <w:rsid w:val="5EE27322"/>
    <w:rsid w:val="5F063883"/>
    <w:rsid w:val="5F194C92"/>
    <w:rsid w:val="5F3A53B0"/>
    <w:rsid w:val="5F3C4C84"/>
    <w:rsid w:val="5F5E109E"/>
    <w:rsid w:val="5F750196"/>
    <w:rsid w:val="5F751C60"/>
    <w:rsid w:val="5F79590E"/>
    <w:rsid w:val="5F933D87"/>
    <w:rsid w:val="5F9F0303"/>
    <w:rsid w:val="5FC77D19"/>
    <w:rsid w:val="5FD47093"/>
    <w:rsid w:val="5FDC6467"/>
    <w:rsid w:val="5FF27A39"/>
    <w:rsid w:val="5FF87658"/>
    <w:rsid w:val="6025396A"/>
    <w:rsid w:val="603D6F06"/>
    <w:rsid w:val="606A457E"/>
    <w:rsid w:val="60730B79"/>
    <w:rsid w:val="608A11F9"/>
    <w:rsid w:val="60912DAE"/>
    <w:rsid w:val="60D61108"/>
    <w:rsid w:val="60F8107F"/>
    <w:rsid w:val="60FB0B6F"/>
    <w:rsid w:val="611A0FF5"/>
    <w:rsid w:val="61265BEC"/>
    <w:rsid w:val="613B5E44"/>
    <w:rsid w:val="613C71BD"/>
    <w:rsid w:val="6142054C"/>
    <w:rsid w:val="6148266D"/>
    <w:rsid w:val="615B0273"/>
    <w:rsid w:val="61616C24"/>
    <w:rsid w:val="61730795"/>
    <w:rsid w:val="617E2507"/>
    <w:rsid w:val="6180119A"/>
    <w:rsid w:val="618B5012"/>
    <w:rsid w:val="61931F26"/>
    <w:rsid w:val="61932B55"/>
    <w:rsid w:val="619F599E"/>
    <w:rsid w:val="61BE41DD"/>
    <w:rsid w:val="61E0223F"/>
    <w:rsid w:val="61E33ADD"/>
    <w:rsid w:val="61E57855"/>
    <w:rsid w:val="61F5665D"/>
    <w:rsid w:val="6227631A"/>
    <w:rsid w:val="623B3920"/>
    <w:rsid w:val="624451DC"/>
    <w:rsid w:val="626C3AD2"/>
    <w:rsid w:val="6275699B"/>
    <w:rsid w:val="62854B94"/>
    <w:rsid w:val="629E1D08"/>
    <w:rsid w:val="629F060D"/>
    <w:rsid w:val="62A37724"/>
    <w:rsid w:val="62AC72E7"/>
    <w:rsid w:val="62AE5E99"/>
    <w:rsid w:val="62C332D8"/>
    <w:rsid w:val="62C751AC"/>
    <w:rsid w:val="62C87BB1"/>
    <w:rsid w:val="62E01518"/>
    <w:rsid w:val="62F51D1A"/>
    <w:rsid w:val="62F6042B"/>
    <w:rsid w:val="62FD0BCE"/>
    <w:rsid w:val="62FD1AA0"/>
    <w:rsid w:val="630E06AB"/>
    <w:rsid w:val="63151AC7"/>
    <w:rsid w:val="63161C90"/>
    <w:rsid w:val="63251ED3"/>
    <w:rsid w:val="632F323E"/>
    <w:rsid w:val="63377DE5"/>
    <w:rsid w:val="63564074"/>
    <w:rsid w:val="63595768"/>
    <w:rsid w:val="63604CB9"/>
    <w:rsid w:val="63635B2F"/>
    <w:rsid w:val="636C7565"/>
    <w:rsid w:val="639332E1"/>
    <w:rsid w:val="63BA261B"/>
    <w:rsid w:val="63BC2837"/>
    <w:rsid w:val="63CE45CF"/>
    <w:rsid w:val="63EF31D2"/>
    <w:rsid w:val="63F03798"/>
    <w:rsid w:val="64065861"/>
    <w:rsid w:val="64255857"/>
    <w:rsid w:val="64502F80"/>
    <w:rsid w:val="645667E8"/>
    <w:rsid w:val="64A66091"/>
    <w:rsid w:val="64B11C70"/>
    <w:rsid w:val="64B61035"/>
    <w:rsid w:val="64C03C61"/>
    <w:rsid w:val="64E91D4A"/>
    <w:rsid w:val="64FD5FBF"/>
    <w:rsid w:val="651638D5"/>
    <w:rsid w:val="65213E29"/>
    <w:rsid w:val="652C12F7"/>
    <w:rsid w:val="652F0DE7"/>
    <w:rsid w:val="653025BD"/>
    <w:rsid w:val="65432E7A"/>
    <w:rsid w:val="65583F21"/>
    <w:rsid w:val="65876E75"/>
    <w:rsid w:val="6588004A"/>
    <w:rsid w:val="658A7C58"/>
    <w:rsid w:val="658D448B"/>
    <w:rsid w:val="65907AD8"/>
    <w:rsid w:val="659E2C19"/>
    <w:rsid w:val="65AB4E9E"/>
    <w:rsid w:val="65B337C6"/>
    <w:rsid w:val="65D35C16"/>
    <w:rsid w:val="65DF280D"/>
    <w:rsid w:val="65EE2A50"/>
    <w:rsid w:val="660404C6"/>
    <w:rsid w:val="66080D5A"/>
    <w:rsid w:val="660D737A"/>
    <w:rsid w:val="66106E6A"/>
    <w:rsid w:val="66140C85"/>
    <w:rsid w:val="66320C06"/>
    <w:rsid w:val="663D17DF"/>
    <w:rsid w:val="664408C2"/>
    <w:rsid w:val="669435F8"/>
    <w:rsid w:val="669730E8"/>
    <w:rsid w:val="669B6901"/>
    <w:rsid w:val="66AD46B9"/>
    <w:rsid w:val="66C27A39"/>
    <w:rsid w:val="66D8063C"/>
    <w:rsid w:val="66ED3FEF"/>
    <w:rsid w:val="670544F5"/>
    <w:rsid w:val="67185FD7"/>
    <w:rsid w:val="67281F92"/>
    <w:rsid w:val="672D1662"/>
    <w:rsid w:val="673715E3"/>
    <w:rsid w:val="67386679"/>
    <w:rsid w:val="675C250A"/>
    <w:rsid w:val="678E0047"/>
    <w:rsid w:val="679413D5"/>
    <w:rsid w:val="67B66762"/>
    <w:rsid w:val="67BD6B7E"/>
    <w:rsid w:val="67BF72FA"/>
    <w:rsid w:val="67DA1624"/>
    <w:rsid w:val="67E749C9"/>
    <w:rsid w:val="67ED7463"/>
    <w:rsid w:val="6809591F"/>
    <w:rsid w:val="681C1AF7"/>
    <w:rsid w:val="68264723"/>
    <w:rsid w:val="68420E31"/>
    <w:rsid w:val="686B65DA"/>
    <w:rsid w:val="686F5A3D"/>
    <w:rsid w:val="68757459"/>
    <w:rsid w:val="68784853"/>
    <w:rsid w:val="687C07E7"/>
    <w:rsid w:val="68880F3A"/>
    <w:rsid w:val="68D26C4D"/>
    <w:rsid w:val="68FB170C"/>
    <w:rsid w:val="68FB3083"/>
    <w:rsid w:val="691B0000"/>
    <w:rsid w:val="69342E70"/>
    <w:rsid w:val="69362744"/>
    <w:rsid w:val="69392234"/>
    <w:rsid w:val="694B6560"/>
    <w:rsid w:val="696A24C6"/>
    <w:rsid w:val="69735746"/>
    <w:rsid w:val="697414BE"/>
    <w:rsid w:val="6994390F"/>
    <w:rsid w:val="699975B2"/>
    <w:rsid w:val="69AA3132"/>
    <w:rsid w:val="69C547A6"/>
    <w:rsid w:val="69D44501"/>
    <w:rsid w:val="69E5107B"/>
    <w:rsid w:val="69FA19C4"/>
    <w:rsid w:val="69FF347E"/>
    <w:rsid w:val="6A040A94"/>
    <w:rsid w:val="6A1011E7"/>
    <w:rsid w:val="6A121CC6"/>
    <w:rsid w:val="6A283303"/>
    <w:rsid w:val="6A2E78BF"/>
    <w:rsid w:val="6A3D3FA6"/>
    <w:rsid w:val="6A5A0B5B"/>
    <w:rsid w:val="6A6E636E"/>
    <w:rsid w:val="6A8B2F63"/>
    <w:rsid w:val="6A9552F7"/>
    <w:rsid w:val="6AA72095"/>
    <w:rsid w:val="6AB73D58"/>
    <w:rsid w:val="6AB9362D"/>
    <w:rsid w:val="6AE83F12"/>
    <w:rsid w:val="6AF4016B"/>
    <w:rsid w:val="6B166709"/>
    <w:rsid w:val="6B2F1B41"/>
    <w:rsid w:val="6B447202"/>
    <w:rsid w:val="6B4A0C7A"/>
    <w:rsid w:val="6B581098"/>
    <w:rsid w:val="6B6A0DCB"/>
    <w:rsid w:val="6B6F3193"/>
    <w:rsid w:val="6B7C24AE"/>
    <w:rsid w:val="6B7D0AFE"/>
    <w:rsid w:val="6BB838E4"/>
    <w:rsid w:val="6BBD714D"/>
    <w:rsid w:val="6BCA186A"/>
    <w:rsid w:val="6BDB3A77"/>
    <w:rsid w:val="6BE12E80"/>
    <w:rsid w:val="6BF863D7"/>
    <w:rsid w:val="6C0E5BFA"/>
    <w:rsid w:val="6C16685D"/>
    <w:rsid w:val="6C603B35"/>
    <w:rsid w:val="6C6A4D9B"/>
    <w:rsid w:val="6C702411"/>
    <w:rsid w:val="6C852CE3"/>
    <w:rsid w:val="6C8D40DA"/>
    <w:rsid w:val="6CA6748F"/>
    <w:rsid w:val="6CAD5413"/>
    <w:rsid w:val="6CB00A5F"/>
    <w:rsid w:val="6CB16146"/>
    <w:rsid w:val="6CB260C6"/>
    <w:rsid w:val="6CCF02A8"/>
    <w:rsid w:val="6CD01102"/>
    <w:rsid w:val="6CE40709"/>
    <w:rsid w:val="6D050DAB"/>
    <w:rsid w:val="6D0668D1"/>
    <w:rsid w:val="6D28723F"/>
    <w:rsid w:val="6D34343E"/>
    <w:rsid w:val="6D4A2C62"/>
    <w:rsid w:val="6D513FF0"/>
    <w:rsid w:val="6D6655C2"/>
    <w:rsid w:val="6D8D2B4F"/>
    <w:rsid w:val="6D95320C"/>
    <w:rsid w:val="6DB060C9"/>
    <w:rsid w:val="6DCD73EF"/>
    <w:rsid w:val="6DD53C0F"/>
    <w:rsid w:val="6DD6296F"/>
    <w:rsid w:val="6DDD1884"/>
    <w:rsid w:val="6DDD3AD6"/>
    <w:rsid w:val="6E1F40EF"/>
    <w:rsid w:val="6E313E22"/>
    <w:rsid w:val="6E3B3E98"/>
    <w:rsid w:val="6E6715F2"/>
    <w:rsid w:val="6E7837FF"/>
    <w:rsid w:val="6E893726"/>
    <w:rsid w:val="6E8C1058"/>
    <w:rsid w:val="6E930639"/>
    <w:rsid w:val="6EA93F33"/>
    <w:rsid w:val="6EAE7221"/>
    <w:rsid w:val="6EB67795"/>
    <w:rsid w:val="6EBE06B8"/>
    <w:rsid w:val="6ED00F45"/>
    <w:rsid w:val="6EE40E94"/>
    <w:rsid w:val="6F045092"/>
    <w:rsid w:val="6F08090C"/>
    <w:rsid w:val="6F2179F2"/>
    <w:rsid w:val="6F255735"/>
    <w:rsid w:val="6F327E52"/>
    <w:rsid w:val="6F4C46FB"/>
    <w:rsid w:val="6F4D4C8B"/>
    <w:rsid w:val="6F681D01"/>
    <w:rsid w:val="6F6D0E8A"/>
    <w:rsid w:val="6F8561D3"/>
    <w:rsid w:val="6FA26D85"/>
    <w:rsid w:val="6FB10D76"/>
    <w:rsid w:val="6FC41B04"/>
    <w:rsid w:val="6FCF5329"/>
    <w:rsid w:val="6FD862CD"/>
    <w:rsid w:val="6FDB4045"/>
    <w:rsid w:val="6FE27182"/>
    <w:rsid w:val="6FEF5D43"/>
    <w:rsid w:val="6FFB46E7"/>
    <w:rsid w:val="701D4F2C"/>
    <w:rsid w:val="702E23C7"/>
    <w:rsid w:val="7040034C"/>
    <w:rsid w:val="704240C4"/>
    <w:rsid w:val="70455963"/>
    <w:rsid w:val="705B0CE2"/>
    <w:rsid w:val="706109F2"/>
    <w:rsid w:val="70645DE9"/>
    <w:rsid w:val="70912956"/>
    <w:rsid w:val="70C44AD9"/>
    <w:rsid w:val="70D53633"/>
    <w:rsid w:val="70E94540"/>
    <w:rsid w:val="70EB475C"/>
    <w:rsid w:val="70F87828"/>
    <w:rsid w:val="71156FC1"/>
    <w:rsid w:val="71456239"/>
    <w:rsid w:val="715F158B"/>
    <w:rsid w:val="716342F2"/>
    <w:rsid w:val="71B72890"/>
    <w:rsid w:val="71C76DE6"/>
    <w:rsid w:val="71EF202A"/>
    <w:rsid w:val="71FA347F"/>
    <w:rsid w:val="71FE6BE8"/>
    <w:rsid w:val="724A7260"/>
    <w:rsid w:val="7251239D"/>
    <w:rsid w:val="72A154A1"/>
    <w:rsid w:val="72A93F87"/>
    <w:rsid w:val="72B333C6"/>
    <w:rsid w:val="72B62B48"/>
    <w:rsid w:val="72BF7C4E"/>
    <w:rsid w:val="72D52DC5"/>
    <w:rsid w:val="72E43211"/>
    <w:rsid w:val="72E94CCB"/>
    <w:rsid w:val="72EA549F"/>
    <w:rsid w:val="734531CD"/>
    <w:rsid w:val="734F0FD2"/>
    <w:rsid w:val="73532145"/>
    <w:rsid w:val="735A1725"/>
    <w:rsid w:val="735C549D"/>
    <w:rsid w:val="738606BF"/>
    <w:rsid w:val="73A6496A"/>
    <w:rsid w:val="73B84F29"/>
    <w:rsid w:val="73D22525"/>
    <w:rsid w:val="73FC0A2E"/>
    <w:rsid w:val="7400051E"/>
    <w:rsid w:val="740718AD"/>
    <w:rsid w:val="740F2585"/>
    <w:rsid w:val="741706BB"/>
    <w:rsid w:val="741B7E2F"/>
    <w:rsid w:val="742A10F7"/>
    <w:rsid w:val="74335F8F"/>
    <w:rsid w:val="74341F76"/>
    <w:rsid w:val="74373814"/>
    <w:rsid w:val="743E2DF5"/>
    <w:rsid w:val="744A709B"/>
    <w:rsid w:val="74932A0C"/>
    <w:rsid w:val="7496678D"/>
    <w:rsid w:val="749A7801"/>
    <w:rsid w:val="74B17A6A"/>
    <w:rsid w:val="74B65081"/>
    <w:rsid w:val="74BE4085"/>
    <w:rsid w:val="74C0380A"/>
    <w:rsid w:val="74CE54BD"/>
    <w:rsid w:val="74EE70BD"/>
    <w:rsid w:val="75022074"/>
    <w:rsid w:val="75096F5F"/>
    <w:rsid w:val="75357D54"/>
    <w:rsid w:val="75385A96"/>
    <w:rsid w:val="754206C3"/>
    <w:rsid w:val="756D573F"/>
    <w:rsid w:val="7581743D"/>
    <w:rsid w:val="758753A2"/>
    <w:rsid w:val="75925B77"/>
    <w:rsid w:val="75AC0071"/>
    <w:rsid w:val="75B06567"/>
    <w:rsid w:val="75DE488F"/>
    <w:rsid w:val="75E029B8"/>
    <w:rsid w:val="75FA2D4B"/>
    <w:rsid w:val="75FC2F67"/>
    <w:rsid w:val="76045978"/>
    <w:rsid w:val="760F7C18"/>
    <w:rsid w:val="761B163F"/>
    <w:rsid w:val="76257DC8"/>
    <w:rsid w:val="76452218"/>
    <w:rsid w:val="76515061"/>
    <w:rsid w:val="765913E1"/>
    <w:rsid w:val="766151C3"/>
    <w:rsid w:val="76684494"/>
    <w:rsid w:val="766C1E9B"/>
    <w:rsid w:val="7682346D"/>
    <w:rsid w:val="768D3BBF"/>
    <w:rsid w:val="76A01B45"/>
    <w:rsid w:val="76B97A4B"/>
    <w:rsid w:val="76C61836"/>
    <w:rsid w:val="76D4359C"/>
    <w:rsid w:val="7711659E"/>
    <w:rsid w:val="77144054"/>
    <w:rsid w:val="7732796E"/>
    <w:rsid w:val="775B6BE8"/>
    <w:rsid w:val="7762504C"/>
    <w:rsid w:val="778577E4"/>
    <w:rsid w:val="77890A18"/>
    <w:rsid w:val="778C1D38"/>
    <w:rsid w:val="779C40BA"/>
    <w:rsid w:val="779D6084"/>
    <w:rsid w:val="77AB7213"/>
    <w:rsid w:val="77B04288"/>
    <w:rsid w:val="77B57D17"/>
    <w:rsid w:val="77B702B0"/>
    <w:rsid w:val="77D93560"/>
    <w:rsid w:val="77EB3293"/>
    <w:rsid w:val="78054AEE"/>
    <w:rsid w:val="780B56E4"/>
    <w:rsid w:val="781827D1"/>
    <w:rsid w:val="783C589D"/>
    <w:rsid w:val="78531F73"/>
    <w:rsid w:val="78600961"/>
    <w:rsid w:val="786A240A"/>
    <w:rsid w:val="788A2AAC"/>
    <w:rsid w:val="78922459"/>
    <w:rsid w:val="789677DD"/>
    <w:rsid w:val="78A3200D"/>
    <w:rsid w:val="78BB4A14"/>
    <w:rsid w:val="78C87095"/>
    <w:rsid w:val="78CC4E73"/>
    <w:rsid w:val="78E0359B"/>
    <w:rsid w:val="78EC78E8"/>
    <w:rsid w:val="78F06E88"/>
    <w:rsid w:val="79143474"/>
    <w:rsid w:val="791548D9"/>
    <w:rsid w:val="791D747D"/>
    <w:rsid w:val="792878E4"/>
    <w:rsid w:val="792A5904"/>
    <w:rsid w:val="792C76C0"/>
    <w:rsid w:val="79334EF2"/>
    <w:rsid w:val="793D7B1F"/>
    <w:rsid w:val="79494343"/>
    <w:rsid w:val="7987109F"/>
    <w:rsid w:val="79905EA0"/>
    <w:rsid w:val="79A11E5C"/>
    <w:rsid w:val="79AA7ABF"/>
    <w:rsid w:val="79DD6C0C"/>
    <w:rsid w:val="79E14DD4"/>
    <w:rsid w:val="79E32474"/>
    <w:rsid w:val="79F006ED"/>
    <w:rsid w:val="7A347300"/>
    <w:rsid w:val="7A380C95"/>
    <w:rsid w:val="7A6F1F5A"/>
    <w:rsid w:val="7A747570"/>
    <w:rsid w:val="7A756E44"/>
    <w:rsid w:val="7A7E219D"/>
    <w:rsid w:val="7A804167"/>
    <w:rsid w:val="7A904DD0"/>
    <w:rsid w:val="7A985C80"/>
    <w:rsid w:val="7AB67B89"/>
    <w:rsid w:val="7ABB519F"/>
    <w:rsid w:val="7AC1208A"/>
    <w:rsid w:val="7AC35E02"/>
    <w:rsid w:val="7AD65B35"/>
    <w:rsid w:val="7AE069B4"/>
    <w:rsid w:val="7AF97A75"/>
    <w:rsid w:val="7B590514"/>
    <w:rsid w:val="7B5C4035"/>
    <w:rsid w:val="7B620780"/>
    <w:rsid w:val="7B845591"/>
    <w:rsid w:val="7B917CAE"/>
    <w:rsid w:val="7BA2010D"/>
    <w:rsid w:val="7BAD0F8C"/>
    <w:rsid w:val="7BB45177"/>
    <w:rsid w:val="7BD070B1"/>
    <w:rsid w:val="7BD9148B"/>
    <w:rsid w:val="7BD96F9B"/>
    <w:rsid w:val="7BDA233A"/>
    <w:rsid w:val="7BE81FC4"/>
    <w:rsid w:val="7BF47178"/>
    <w:rsid w:val="7BF72207"/>
    <w:rsid w:val="7C0D37D8"/>
    <w:rsid w:val="7C2A1694"/>
    <w:rsid w:val="7C2D3E7B"/>
    <w:rsid w:val="7C35307A"/>
    <w:rsid w:val="7C357264"/>
    <w:rsid w:val="7C4A4A2C"/>
    <w:rsid w:val="7C523512"/>
    <w:rsid w:val="7C611475"/>
    <w:rsid w:val="7C833A9B"/>
    <w:rsid w:val="7C8E1CF9"/>
    <w:rsid w:val="7CA6465A"/>
    <w:rsid w:val="7CB400F8"/>
    <w:rsid w:val="7CB71996"/>
    <w:rsid w:val="7CBE53E4"/>
    <w:rsid w:val="7CC16371"/>
    <w:rsid w:val="7CD12574"/>
    <w:rsid w:val="7CEB12FB"/>
    <w:rsid w:val="7CFF2350"/>
    <w:rsid w:val="7D142945"/>
    <w:rsid w:val="7D364FB1"/>
    <w:rsid w:val="7D3923AB"/>
    <w:rsid w:val="7D5B4A17"/>
    <w:rsid w:val="7D60202E"/>
    <w:rsid w:val="7DB06B11"/>
    <w:rsid w:val="7DB54128"/>
    <w:rsid w:val="7DCF4ABD"/>
    <w:rsid w:val="7DE85803"/>
    <w:rsid w:val="7E017037"/>
    <w:rsid w:val="7E176B90"/>
    <w:rsid w:val="7E490D14"/>
    <w:rsid w:val="7E4B05E8"/>
    <w:rsid w:val="7E522354"/>
    <w:rsid w:val="7E5B590E"/>
    <w:rsid w:val="7E755665"/>
    <w:rsid w:val="7E851D4C"/>
    <w:rsid w:val="7EAB72D9"/>
    <w:rsid w:val="7EB76401"/>
    <w:rsid w:val="7EF62835"/>
    <w:rsid w:val="7F0926C6"/>
    <w:rsid w:val="7F1B1071"/>
    <w:rsid w:val="7F403EC5"/>
    <w:rsid w:val="7F533BF8"/>
    <w:rsid w:val="7F572FBC"/>
    <w:rsid w:val="7F5C33A6"/>
    <w:rsid w:val="7F625BE9"/>
    <w:rsid w:val="7F7D239B"/>
    <w:rsid w:val="7F7F2C3F"/>
    <w:rsid w:val="7F8A15E4"/>
    <w:rsid w:val="7F912972"/>
    <w:rsid w:val="7FAA01B2"/>
    <w:rsid w:val="7FAA544D"/>
    <w:rsid w:val="7FB34697"/>
    <w:rsid w:val="7FC17096"/>
    <w:rsid w:val="7FCE327F"/>
    <w:rsid w:val="7FDF548C"/>
    <w:rsid w:val="AF3C224C"/>
    <w:rsid w:val="FF7E59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qFormat="1"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iPriority="99"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Plain Text"/>
    <w:basedOn w:val="1"/>
    <w:next w:val="1"/>
    <w:qFormat/>
    <w:uiPriority w:val="0"/>
    <w:pPr>
      <w:ind w:firstLine="420"/>
    </w:pPr>
    <w:rPr>
      <w:rFonts w:ascii="宋体" w:hAnsi="Courier New"/>
      <w:szCs w:val="20"/>
    </w:rPr>
  </w:style>
  <w:style w:type="paragraph" w:styleId="4">
    <w:name w:val="footer"/>
    <w:basedOn w:val="1"/>
    <w:qFormat/>
    <w:uiPriority w:val="0"/>
    <w:pPr>
      <w:tabs>
        <w:tab w:val="center" w:pos="4153"/>
        <w:tab w:val="right" w:pos="8306"/>
      </w:tabs>
      <w:snapToGrid w:val="0"/>
      <w:ind w:right="210" w:rightChars="100"/>
      <w:jc w:val="right"/>
    </w:pPr>
    <w:rPr>
      <w:sz w:val="18"/>
      <w:szCs w:val="18"/>
    </w:rPr>
  </w:style>
  <w:style w:type="paragraph" w:styleId="5">
    <w:name w:val="table of figures"/>
    <w:basedOn w:val="1"/>
    <w:next w:val="1"/>
    <w:qFormat/>
    <w:uiPriority w:val="0"/>
    <w:pPr>
      <w:ind w:left="200" w:leftChars="200" w:hanging="200" w:hangingChars="200"/>
    </w:pPr>
    <w:rPr>
      <w:sz w:val="24"/>
    </w:rPr>
  </w:style>
  <w:style w:type="paragraph" w:styleId="6">
    <w:name w:val="HTML Preformatted"/>
    <w:basedOn w:val="1"/>
    <w:unhideWhenUsed/>
    <w:qFormat/>
    <w:uiPriority w:val="99"/>
    <w:rPr>
      <w:rFonts w:ascii="Courier New" w:hAnsi="Courier New"/>
      <w:sz w:val="20"/>
      <w:szCs w:val="20"/>
    </w:rPr>
  </w:style>
  <w:style w:type="paragraph" w:styleId="7">
    <w:name w:val="Title"/>
    <w:basedOn w:val="1"/>
    <w:next w:val="1"/>
    <w:qFormat/>
    <w:uiPriority w:val="0"/>
    <w:pPr>
      <w:spacing w:before="240" w:after="60"/>
      <w:jc w:val="center"/>
      <w:outlineLvl w:val="0"/>
    </w:pPr>
    <w:rPr>
      <w:rFonts w:ascii="Cambria" w:hAnsi="Cambria"/>
      <w:b/>
      <w:bCs/>
      <w:sz w:val="32"/>
      <w:szCs w:val="32"/>
    </w:rPr>
  </w:style>
  <w:style w:type="character" w:styleId="10">
    <w:name w:val="page number"/>
    <w:qFormat/>
    <w:uiPriority w:val="0"/>
    <w:rPr>
      <w:rFonts w:ascii="Times New Roman" w:hAnsi="Times New Roman" w:eastAsia="宋体"/>
      <w:sz w:val="18"/>
    </w:rPr>
  </w:style>
  <w:style w:type="character" w:styleId="11">
    <w:name w:val="Hyperlink"/>
    <w:basedOn w:val="9"/>
    <w:qFormat/>
    <w:uiPriority w:val="0"/>
    <w:rPr>
      <w:color w:val="0000FF"/>
      <w:u w:val="single"/>
    </w:rPr>
  </w:style>
  <w:style w:type="paragraph" w:customStyle="1" w:styleId="12">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3">
    <w:name w:val="封面正文"/>
    <w:qFormat/>
    <w:uiPriority w:val="0"/>
    <w:pPr>
      <w:jc w:val="both"/>
    </w:pPr>
    <w:rPr>
      <w:rFonts w:ascii="Times New Roman" w:hAnsi="Times New Roman" w:eastAsia="宋体" w:cs="Times New Roman"/>
      <w:lang w:val="en-US" w:eastAsia="zh-CN" w:bidi="ar-SA"/>
    </w:rPr>
  </w:style>
  <w:style w:type="paragraph" w:customStyle="1" w:styleId="14">
    <w:name w:val="章标题"/>
    <w:next w:val="15"/>
    <w:qFormat/>
    <w:uiPriority w:val="0"/>
    <w:pPr>
      <w:spacing w:before="50" w:beforeLines="50" w:after="50" w:afterLines="50"/>
      <w:jc w:val="both"/>
      <w:outlineLvl w:val="1"/>
    </w:pPr>
    <w:rPr>
      <w:rFonts w:ascii="黑体" w:hAnsi="Times New Roman" w:eastAsia="黑体" w:cs="Times New Roman"/>
      <w:sz w:val="21"/>
      <w:lang w:val="en-US" w:eastAsia="zh-CN" w:bidi="ar-SA"/>
    </w:rPr>
  </w:style>
  <w:style w:type="paragraph" w:customStyle="1" w:styleId="15">
    <w:name w:val="段"/>
    <w:qFormat/>
    <w:uiPriority w:val="0"/>
    <w:pPr>
      <w:autoSpaceDE w:val="0"/>
      <w:autoSpaceDN w:val="0"/>
      <w:jc w:val="both"/>
    </w:pPr>
    <w:rPr>
      <w:rFonts w:ascii="宋体" w:hAnsi="Times New Roman" w:eastAsia="宋体" w:cs="Times New Roman"/>
      <w:sz w:val="21"/>
      <w:lang w:val="en-US" w:eastAsia="zh-CN" w:bidi="ar-SA"/>
    </w:rPr>
  </w:style>
  <w:style w:type="paragraph" w:customStyle="1" w:styleId="16">
    <w:name w:val="一级条标题"/>
    <w:next w:val="15"/>
    <w:qFormat/>
    <w:uiPriority w:val="0"/>
    <w:pPr>
      <w:tabs>
        <w:tab w:val="left" w:pos="360"/>
      </w:tabs>
      <w:outlineLvl w:val="2"/>
    </w:pPr>
    <w:rPr>
      <w:rFonts w:ascii="Times New Roman" w:hAnsi="Times New Roman" w:eastAsia="黑体" w:cs="Times New Roman"/>
      <w:sz w:val="21"/>
      <w:lang w:val="en-US" w:eastAsia="zh-CN" w:bidi="ar-SA"/>
    </w:rPr>
  </w:style>
  <w:style w:type="paragraph" w:customStyle="1" w:styleId="17">
    <w:name w:val="正文表标题"/>
    <w:next w:val="15"/>
    <w:qFormat/>
    <w:uiPriority w:val="0"/>
    <w:pPr>
      <w:tabs>
        <w:tab w:val="left" w:pos="360"/>
      </w:tabs>
      <w:jc w:val="center"/>
    </w:pPr>
    <w:rPr>
      <w:rFonts w:ascii="黑体" w:hAnsi="Times New Roman" w:eastAsia="黑体" w:cs="Times New Roman"/>
      <w:sz w:val="21"/>
      <w:lang w:val="en-US" w:eastAsia="zh-CN" w:bidi="ar-SA"/>
    </w:rPr>
  </w:style>
  <w:style w:type="paragraph" w:customStyle="1" w:styleId="18">
    <w:name w:val="标准文件_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19">
    <w:name w:val="二级条标题"/>
    <w:basedOn w:val="16"/>
    <w:next w:val="15"/>
    <w:qFormat/>
    <w:uiPriority w:val="0"/>
    <w:pPr>
      <w:tabs>
        <w:tab w:val="clear" w:pos="360"/>
      </w:tabs>
      <w:outlineLvl w:val="3"/>
    </w:pPr>
    <w:rPr>
      <w:kern w:val="2"/>
      <w:szCs w:val="24"/>
    </w:rPr>
  </w:style>
  <w:style w:type="paragraph" w:customStyle="1" w:styleId="20">
    <w:name w:val="三级条标题"/>
    <w:basedOn w:val="21"/>
    <w:next w:val="15"/>
    <w:qFormat/>
    <w:uiPriority w:val="0"/>
    <w:pPr>
      <w:tabs>
        <w:tab w:val="left" w:pos="360"/>
      </w:tabs>
      <w:outlineLvl w:val="4"/>
    </w:pPr>
  </w:style>
  <w:style w:type="paragraph" w:customStyle="1" w:styleId="21">
    <w:name w:val="二级条标题 Char Char"/>
    <w:basedOn w:val="22"/>
    <w:next w:val="15"/>
    <w:qFormat/>
    <w:uiPriority w:val="0"/>
    <w:pPr>
      <w:numPr>
        <w:ilvl w:val="0"/>
        <w:numId w:val="0"/>
      </w:numPr>
      <w:outlineLvl w:val="3"/>
    </w:pPr>
  </w:style>
  <w:style w:type="paragraph" w:customStyle="1" w:styleId="22">
    <w:name w:val="一级条标题 Char Char Char Char"/>
    <w:next w:val="15"/>
    <w:qFormat/>
    <w:uiPriority w:val="0"/>
    <w:pPr>
      <w:numPr>
        <w:ilvl w:val="2"/>
        <w:numId w:val="1"/>
      </w:numPr>
      <w:outlineLvl w:val="2"/>
    </w:pPr>
    <w:rPr>
      <w:rFonts w:ascii="Times New Roman" w:hAnsi="Times New Roman" w:eastAsia="黑体" w:cs="Times New Roman"/>
      <w:kern w:val="2"/>
      <w:sz w:val="21"/>
      <w:szCs w:val="24"/>
      <w:lang w:val="en-US" w:eastAsia="zh-CN" w:bidi="ar-SA"/>
    </w:rPr>
  </w:style>
  <w:style w:type="paragraph" w:customStyle="1" w:styleId="23">
    <w:name w:val="终结线"/>
    <w:basedOn w:val="1"/>
    <w:qFormat/>
    <w:uiPriority w:val="0"/>
    <w:pPr>
      <w:framePr w:hSpace="181" w:vSpace="181" w:wrap="around" w:vAnchor="text" w:hAnchor="margin" w:xAlign="center" w:y="285"/>
    </w:pPr>
  </w:style>
  <w:style w:type="paragraph" w:customStyle="1" w:styleId="24">
    <w:name w:val="实施日期"/>
    <w:basedOn w:val="25"/>
    <w:qFormat/>
    <w:uiPriority w:val="0"/>
    <w:pPr>
      <w:framePr w:hSpace="0" w:wrap="around" w:xAlign="right"/>
      <w:numPr>
        <w:ilvl w:val="4"/>
        <w:numId w:val="1"/>
      </w:numPr>
      <w:jc w:val="right"/>
    </w:pPr>
  </w:style>
  <w:style w:type="paragraph" w:customStyle="1" w:styleId="25">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26">
    <w:name w:val="封面标准英文名称"/>
    <w:qFormat/>
    <w:uiPriority w:val="0"/>
    <w:pPr>
      <w:widowControl w:val="0"/>
      <w:spacing w:before="370" w:line="400" w:lineRule="exact"/>
      <w:jc w:val="center"/>
    </w:pPr>
    <w:rPr>
      <w:rFonts w:ascii="Times New Roman" w:hAnsi="Times New Roman" w:eastAsia="宋体" w:cs="Times New Roman"/>
      <w:sz w:val="28"/>
      <w:lang w:val="en-US" w:eastAsia="zh-CN" w:bidi="ar-SA"/>
    </w:rPr>
  </w:style>
  <w:style w:type="paragraph" w:customStyle="1" w:styleId="27">
    <w:name w:val="封面标准号1"/>
    <w:qFormat/>
    <w:uiPriority w:val="0"/>
    <w:pPr>
      <w:widowControl w:val="0"/>
      <w:kinsoku w:val="0"/>
      <w:overflowPunct w:val="0"/>
      <w:autoSpaceDE w:val="0"/>
      <w:autoSpaceDN w:val="0"/>
      <w:spacing w:before="308"/>
      <w:jc w:val="right"/>
      <w:textAlignment w:val="center"/>
    </w:pPr>
    <w:rPr>
      <w:rFonts w:ascii="Times New Roman" w:hAnsi="Times New Roman" w:eastAsia="宋体" w:cs="Times New Roman"/>
      <w:sz w:val="28"/>
      <w:lang w:val="en-US" w:eastAsia="zh-CN" w:bidi="ar-SA"/>
    </w:rPr>
  </w:style>
  <w:style w:type="paragraph" w:customStyle="1" w:styleId="28">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29">
    <w:name w:val="其他发布部门"/>
    <w:basedOn w:val="1"/>
    <w:qFormat/>
    <w:uiPriority w:val="0"/>
    <w:pPr>
      <w:framePr w:w="7433" w:h="585" w:hRule="exact" w:hSpace="180" w:vSpace="180" w:wrap="around" w:vAnchor="margin" w:hAnchor="margin" w:xAlign="center" w:y="14401" w:anchorLock="1"/>
      <w:widowControl/>
      <w:spacing w:line="0" w:lineRule="atLeast"/>
      <w:jc w:val="center"/>
    </w:pPr>
    <w:rPr>
      <w:rFonts w:ascii="黑体" w:eastAsia="黑体"/>
      <w:spacing w:val="20"/>
      <w:w w:val="135"/>
      <w:kern w:val="0"/>
      <w:sz w:val="36"/>
      <w:szCs w:val="20"/>
    </w:rPr>
  </w:style>
  <w:style w:type="character" w:customStyle="1" w:styleId="30">
    <w:name w:val="发布"/>
    <w:qFormat/>
    <w:uiPriority w:val="0"/>
    <w:rPr>
      <w:rFonts w:ascii="黑体" w:eastAsia="黑体"/>
      <w:spacing w:val="22"/>
      <w:w w:val="100"/>
      <w:position w:val="3"/>
      <w:sz w:val="28"/>
    </w:rPr>
  </w:style>
  <w:style w:type="paragraph" w:customStyle="1" w:styleId="31">
    <w:name w:val="标准书眉_奇数页"/>
    <w:next w:val="1"/>
    <w:qFormat/>
    <w:uiPriority w:val="0"/>
    <w:pPr>
      <w:tabs>
        <w:tab w:val="center" w:pos="4154"/>
        <w:tab w:val="right" w:pos="8306"/>
      </w:tabs>
      <w:spacing w:after="120"/>
      <w:jc w:val="right"/>
    </w:pPr>
    <w:rPr>
      <w:rFonts w:ascii="Times New Roman" w:hAnsi="Times New Roman" w:eastAsia="宋体" w:cs="Times New Roman"/>
      <w:sz w:val="21"/>
      <w:lang w:val="en-US" w:eastAsia="zh-CN" w:bidi="ar-SA"/>
    </w:rPr>
  </w:style>
  <w:style w:type="paragraph" w:customStyle="1" w:styleId="32">
    <w:name w:val="标准书眉一"/>
    <w:qFormat/>
    <w:uiPriority w:val="0"/>
    <w:pPr>
      <w:jc w:val="both"/>
    </w:pPr>
    <w:rPr>
      <w:rFonts w:ascii="Times New Roman" w:hAnsi="Times New Roman" w:eastAsia="宋体" w:cs="Times New Roman"/>
      <w:lang w:val="en-US" w:eastAsia="zh-CN" w:bidi="ar-SA"/>
    </w:rPr>
  </w:style>
  <w:style w:type="paragraph" w:customStyle="1" w:styleId="33">
    <w:name w:val="标准书脚_奇数页"/>
    <w:qFormat/>
    <w:uiPriority w:val="0"/>
    <w:pPr>
      <w:spacing w:before="120"/>
      <w:jc w:val="right"/>
    </w:pPr>
    <w:rPr>
      <w:rFonts w:ascii="Times New Roman" w:hAnsi="Times New Roman" w:eastAsia="宋体" w:cs="Times New Roman"/>
      <w:sz w:val="18"/>
      <w:lang w:val="en-US" w:eastAsia="zh-CN" w:bidi="ar-SA"/>
    </w:rPr>
  </w:style>
  <w:style w:type="paragraph" w:customStyle="1" w:styleId="34">
    <w:name w:val="CM31"/>
    <w:basedOn w:val="35"/>
    <w:next w:val="35"/>
    <w:unhideWhenUsed/>
    <w:qFormat/>
    <w:uiPriority w:val="99"/>
  </w:style>
  <w:style w:type="paragraph" w:customStyle="1" w:styleId="35">
    <w:name w:val="Default"/>
    <w:next w:val="5"/>
    <w:unhideWhenUsed/>
    <w:qFormat/>
    <w:uiPriority w:val="99"/>
    <w:pPr>
      <w:widowControl w:val="0"/>
      <w:autoSpaceDE w:val="0"/>
      <w:autoSpaceDN w:val="0"/>
      <w:adjustRightInd w:val="0"/>
    </w:pPr>
    <w:rPr>
      <w:rFonts w:hint="eastAsia" w:ascii="Arial Unicode MS" w:hAnsi="Arial Unicode MS" w:eastAsia="Arial Unicode MS" w:cs="Times New Roman"/>
      <w:color w:val="000000"/>
      <w:sz w:val="24"/>
      <w:lang w:val="en-US" w:eastAsia="zh-CN" w:bidi="ar-SA"/>
    </w:rPr>
  </w:style>
  <w:style w:type="paragraph" w:customStyle="1" w:styleId="36">
    <w:name w:val="Table Text"/>
    <w:basedOn w:val="1"/>
    <w:semiHidden/>
    <w:qFormat/>
    <w:uiPriority w:val="0"/>
    <w:rPr>
      <w:rFonts w:ascii="宋体" w:hAnsi="宋体" w:cs="宋体"/>
      <w:sz w:val="18"/>
      <w:szCs w:val="18"/>
      <w:lang w:eastAsia="en-US"/>
    </w:rPr>
  </w:style>
  <w:style w:type="table" w:customStyle="1" w:styleId="37">
    <w:name w:val="Table Normal"/>
    <w:semiHidden/>
    <w:unhideWhenUsed/>
    <w:qFormat/>
    <w:uiPriority w:val="0"/>
    <w:tblPr>
      <w:tblCellMar>
        <w:top w:w="0" w:type="dxa"/>
        <w:left w:w="0" w:type="dxa"/>
        <w:bottom w:w="0" w:type="dxa"/>
        <w:right w:w="0" w:type="dxa"/>
      </w:tblCellMar>
    </w:tblPr>
  </w:style>
  <w:style w:type="paragraph" w:customStyle="1" w:styleId="38">
    <w:name w:val="前言、引言标题"/>
    <w:next w:val="1"/>
    <w:qFormat/>
    <w:uiPriority w:val="0"/>
    <w:pPr>
      <w:keepNext/>
      <w:pageBreakBefore/>
      <w:shd w:val="clear" w:color="FFFFFF" w:fill="FFFFFF"/>
      <w:spacing w:before="640" w:after="560"/>
      <w:jc w:val="center"/>
      <w:outlineLvl w:val="0"/>
    </w:pPr>
    <w:rPr>
      <w:rFonts w:ascii="黑体" w:hAnsi="Times New Roman" w:eastAsia="黑体" w:cs="Times New Roman"/>
      <w:sz w:val="3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7</Pages>
  <Words>2668</Words>
  <Characters>3163</Characters>
  <Lines>101</Lines>
  <Paragraphs>127</Paragraphs>
  <TotalTime>31</TotalTime>
  <ScaleCrop>false</ScaleCrop>
  <LinksUpToDate>false</LinksUpToDate>
  <CharactersWithSpaces>3306</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2024-08-15T08:49:00Z</dcterms:created>
  <dc:creator>吃了防腐剂的芒果少女</dc:creator>
  <cp:lastModifiedBy>llhliulihua</cp:lastModifiedBy>
  <cp:lastPrinted>2024-08-22T02:41:00Z</cp:lastPrinted>
  <dcterms:modified xsi:type="dcterms:W3CDTF">2025-06-10T08:38:02Z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1CED4E8DF0C646A5871A2A852EF61740_13</vt:lpwstr>
  </property>
  <property fmtid="{D5CDD505-2E9C-101B-9397-08002B2CF9AE}" pid="4" name="KSOTemplateDocerSaveRecord">
    <vt:lpwstr>eyJoZGlkIjoiN2JjNjlkY2Y1Y2NkZGE5Y2Q5NGZmMDVlNzZhMDkwMDUiLCJ1c2VySWQiOiI2NzY3MTU3NDcifQ==</vt:lpwstr>
  </property>
</Properties>
</file>