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3B627">
      <w:pPr>
        <w:pStyle w:val="13"/>
        <w:framePr w:wrap="around"/>
        <w:rPr>
          <w:rFonts w:ascii="黑体" w:hAnsi="黑体" w:cs="黑体"/>
        </w:rPr>
      </w:pPr>
      <w:bookmarkStart w:id="0" w:name="SectionMark0"/>
      <w:r>
        <w:rPr>
          <w:rFonts w:hint="eastAsia" w:ascii="黑体" w:hAnsi="黑体" w:cs="黑体"/>
        </w:rPr>
        <w:t>ICS 67.120.10</w:t>
      </w:r>
    </w:p>
    <w:p w14:paraId="5AF7B3CE">
      <w:pPr>
        <w:pStyle w:val="13"/>
        <w:framePr w:wrap="around"/>
        <w:rPr>
          <w:rFonts w:ascii="黑体" w:hAnsi="黑体" w:cs="黑体"/>
        </w:rPr>
      </w:pPr>
      <w:r>
        <w:rPr>
          <w:rFonts w:hint="eastAsia" w:ascii="黑体" w:hAnsi="黑体" w:cs="黑体"/>
        </w:rPr>
        <w:t>CCS X22</w:t>
      </w:r>
    </w:p>
    <w:p w14:paraId="4A358CAF">
      <w:pPr>
        <w:pStyle w:val="14"/>
      </w:pPr>
      <w:r>
        <mc:AlternateContent>
          <mc:Choice Requires="wps">
            <w:drawing>
              <wp:anchor distT="0" distB="0" distL="114300" distR="114300" simplePos="0" relativeHeight="251663360"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3360;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0A4C3CA">
                            <w:pPr>
                              <w:pStyle w:val="25"/>
                              <w:numPr>
                                <w:ilvl w:val="0"/>
                                <w:numId w:val="0"/>
                              </w:numPr>
                            </w:pPr>
                            <w:r>
                              <w:rPr>
                                <w:rFonts w:hint="eastAsia" w:ascii="黑体" w:hAnsi="黑体" w:cs="黑体"/>
                              </w:rPr>
                              <w:t>2025-08-28</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1312;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50A4C3CA">
                      <w:pPr>
                        <w:pStyle w:val="25"/>
                        <w:numPr>
                          <w:ilvl w:val="0"/>
                          <w:numId w:val="0"/>
                        </w:numPr>
                      </w:pPr>
                      <w:r>
                        <w:rPr>
                          <w:rFonts w:hint="eastAsia" w:ascii="黑体" w:hAnsi="黑体" w:cs="黑体"/>
                        </w:rPr>
                        <w:t>2025-08-28</w:t>
                      </w:r>
                      <w:r>
                        <w:rPr>
                          <w:rFonts w:hint="eastAsia"/>
                        </w:rPr>
                        <w:t>实施</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1AE2D75">
                            <w:pPr>
                              <w:pStyle w:val="26"/>
                            </w:pPr>
                            <w:r>
                              <w:rPr>
                                <w:rFonts w:hint="eastAsia" w:ascii="黑体" w:hAnsi="黑体" w:cs="黑体"/>
                              </w:rPr>
                              <w:t>2025-02-28</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60288;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41AE2D75">
                      <w:pPr>
                        <w:pStyle w:val="26"/>
                      </w:pPr>
                      <w:r>
                        <w:rPr>
                          <w:rFonts w:hint="eastAsia" w:ascii="黑体" w:hAnsi="黑体" w:cs="黑体"/>
                        </w:rPr>
                        <w:t>2025-02-28</w:t>
                      </w:r>
                      <w:r>
                        <w:rPr>
                          <w:rFonts w:hint="eastAsia"/>
                        </w:rPr>
                        <w:t>发布</w:t>
                      </w:r>
                    </w:p>
                  </w:txbxContent>
                </v:textbox>
                <w10:anchorlock/>
              </v:shape>
            </w:pict>
          </mc:Fallback>
        </mc:AlternateContent>
      </w:r>
      <w:r>
        <w:rPr>
          <w:rFonts w:ascii="宋体" w:hAnsi="宋体" w:cs="宋体"/>
        </w:rPr>
        <mc:AlternateContent>
          <mc:Choice Requires="wps">
            <w:drawing>
              <wp:anchor distT="0" distB="0" distL="114300" distR="114300" simplePos="0" relativeHeight="251667456"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1EDA05AB">
                            <w:pPr>
                              <w:pStyle w:val="27"/>
                              <w:spacing w:before="0" w:line="240" w:lineRule="auto"/>
                              <w:rPr>
                                <w:rFonts w:eastAsia="黑体"/>
                                <w:sz w:val="52"/>
                                <w:szCs w:val="22"/>
                              </w:rPr>
                            </w:pPr>
                            <w:r>
                              <w:rPr>
                                <w:rFonts w:hint="eastAsia" w:eastAsia="黑体"/>
                                <w:sz w:val="52"/>
                                <w:szCs w:val="22"/>
                              </w:rPr>
                              <w:t>通辽牛肉质量分级</w:t>
                            </w:r>
                          </w:p>
                          <w:p w14:paraId="1990ED7C">
                            <w:pPr>
                              <w:pStyle w:val="27"/>
                              <w:spacing w:before="0" w:line="240" w:lineRule="auto"/>
                              <w:rPr>
                                <w:rFonts w:ascii="黑体" w:hAnsi="黑体" w:eastAsia="黑体" w:cs="黑体"/>
                                <w:szCs w:val="28"/>
                              </w:rPr>
                            </w:pPr>
                            <w:r>
                              <w:rPr>
                                <w:rFonts w:hint="eastAsia" w:ascii="黑体" w:hAnsi="黑体" w:eastAsia="黑体" w:cs="黑体"/>
                                <w:szCs w:val="28"/>
                              </w:rPr>
                              <w:t>Quality grading for Tongliao beef</w:t>
                            </w:r>
                          </w:p>
                          <w:p w14:paraId="19B9D641">
                            <w:pPr>
                              <w:jc w:val="center"/>
                              <w:rPr>
                                <w:rFonts w:hint="eastAsia"/>
                                <w:szCs w:val="21"/>
                              </w:rPr>
                            </w:pPr>
                          </w:p>
                          <w:p w14:paraId="2C1164BB">
                            <w:pPr>
                              <w:jc w:val="center"/>
                              <w:rPr>
                                <w:rFonts w:ascii="Calibri" w:hAnsi="Calibri"/>
                                <w:sz w:val="24"/>
                                <w:szCs w:val="24"/>
                              </w:rPr>
                            </w:pPr>
                            <w:r>
                              <w:rPr>
                                <w:rFonts w:hint="eastAsia"/>
                                <w:sz w:val="24"/>
                                <w:szCs w:val="24"/>
                              </w:rPr>
                              <w:t>（征求意见稿）</w:t>
                            </w:r>
                          </w:p>
                          <w:p w14:paraId="79506244">
                            <w:pPr>
                              <w:pStyle w:val="27"/>
                              <w:spacing w:before="0" w:line="240" w:lineRule="auto"/>
                              <w:rPr>
                                <w:rFonts w:ascii="黑体" w:hAnsi="黑体" w:eastAsia="黑体" w:cs="黑体"/>
                                <w:szCs w:val="28"/>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7456;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1EDA05AB">
                      <w:pPr>
                        <w:pStyle w:val="27"/>
                        <w:spacing w:before="0" w:line="240" w:lineRule="auto"/>
                        <w:rPr>
                          <w:rFonts w:eastAsia="黑体"/>
                          <w:sz w:val="52"/>
                          <w:szCs w:val="22"/>
                        </w:rPr>
                      </w:pPr>
                      <w:r>
                        <w:rPr>
                          <w:rFonts w:hint="eastAsia" w:eastAsia="黑体"/>
                          <w:sz w:val="52"/>
                          <w:szCs w:val="22"/>
                        </w:rPr>
                        <w:t>通辽牛肉质量分级</w:t>
                      </w:r>
                    </w:p>
                    <w:p w14:paraId="1990ED7C">
                      <w:pPr>
                        <w:pStyle w:val="27"/>
                        <w:spacing w:before="0" w:line="240" w:lineRule="auto"/>
                        <w:rPr>
                          <w:rFonts w:ascii="黑体" w:hAnsi="黑体" w:eastAsia="黑体" w:cs="黑体"/>
                          <w:szCs w:val="28"/>
                        </w:rPr>
                      </w:pPr>
                      <w:r>
                        <w:rPr>
                          <w:rFonts w:hint="eastAsia" w:ascii="黑体" w:hAnsi="黑体" w:eastAsia="黑体" w:cs="黑体"/>
                          <w:szCs w:val="28"/>
                        </w:rPr>
                        <w:t>Quality grading for Tongliao beef</w:t>
                      </w:r>
                    </w:p>
                    <w:p w14:paraId="19B9D641">
                      <w:pPr>
                        <w:jc w:val="center"/>
                        <w:rPr>
                          <w:rFonts w:hint="eastAsia"/>
                          <w:szCs w:val="21"/>
                        </w:rPr>
                      </w:pPr>
                    </w:p>
                    <w:p w14:paraId="2C1164BB">
                      <w:pPr>
                        <w:jc w:val="center"/>
                        <w:rPr>
                          <w:rFonts w:ascii="Calibri" w:hAnsi="Calibri"/>
                          <w:sz w:val="24"/>
                          <w:szCs w:val="24"/>
                        </w:rPr>
                      </w:pPr>
                      <w:r>
                        <w:rPr>
                          <w:rFonts w:hint="eastAsia"/>
                          <w:sz w:val="24"/>
                          <w:szCs w:val="24"/>
                        </w:rPr>
                        <w:t>（征求意见稿）</w:t>
                      </w:r>
                    </w:p>
                    <w:p w14:paraId="79506244">
                      <w:pPr>
                        <w:pStyle w:val="27"/>
                        <w:spacing w:before="0" w:line="240" w:lineRule="auto"/>
                        <w:rPr>
                          <w:rFonts w:ascii="黑体" w:hAnsi="黑体" w:eastAsia="黑体" w:cs="黑体"/>
                          <w:szCs w:val="28"/>
                        </w:rPr>
                      </w:pPr>
                    </w:p>
                  </w:txbxContent>
                </v:textbox>
                <w10:anchorlock/>
              </v:shape>
            </w:pict>
          </mc:Fallback>
        </mc:AlternateContent>
      </w:r>
      <w:r>
        <w:rPr>
          <w:rFonts w:ascii="宋体" w:hAnsi="宋体" w:cs="宋体"/>
        </w:rPr>
        <mc:AlternateContent>
          <mc:Choice Requires="wps">
            <w:drawing>
              <wp:anchor distT="0" distB="0" distL="114300" distR="114300" simplePos="0" relativeHeight="251665408"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6246A0C8">
                            <w:pPr>
                              <w:pStyle w:val="28"/>
                              <w:spacing w:before="510"/>
                              <w:ind w:left="420" w:hanging="420"/>
                              <w:rPr>
                                <w:rFonts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5408;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6246A0C8">
                      <w:pPr>
                        <w:pStyle w:val="28"/>
                        <w:spacing w:before="510"/>
                        <w:ind w:left="420" w:hanging="420"/>
                        <w:rPr>
                          <w:rFonts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rPr>
        <mc:AlternateContent>
          <mc:Choice Requires="wps">
            <w:drawing>
              <wp:anchor distT="0" distB="0" distL="114300" distR="114300" simplePos="0" relativeHeight="251666432"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4E8DB6F5">
                            <w:pPr>
                              <w:pStyle w:val="29"/>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6432;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4E8DB6F5">
                      <w:pPr>
                        <w:pStyle w:val="29"/>
                      </w:pPr>
                      <w:r>
                        <w:rPr>
                          <w:rFonts w:hint="eastAsia"/>
                          <w:szCs w:val="52"/>
                        </w:rPr>
                        <w:t>团体标准</w:t>
                      </w:r>
                    </w:p>
                  </w:txbxContent>
                </v:textbox>
                <w10:anchorlock/>
              </v:shape>
            </w:pict>
          </mc:Fallback>
        </mc:AlternateContent>
      </w:r>
    </w:p>
    <w:p w14:paraId="72DAEE6A"/>
    <w:p w14:paraId="09C67CE6"/>
    <w:p w14:paraId="17A96A93"/>
    <w:p w14:paraId="232BEE30"/>
    <w:p w14:paraId="52C2727C"/>
    <w:p w14:paraId="3F342C41"/>
    <w:p w14:paraId="50F49970"/>
    <w:p w14:paraId="4C107FE1"/>
    <w:p w14:paraId="2F0C6D18"/>
    <w:p w14:paraId="00C9AF77"/>
    <w:p w14:paraId="094846AC"/>
    <w:p w14:paraId="1FFF98EB"/>
    <w:p w14:paraId="5995F88E"/>
    <w:p w14:paraId="6C9FBDC7">
      <w:pPr>
        <w:tabs>
          <w:tab w:val="left" w:pos="8445"/>
        </w:tabs>
      </w:pPr>
      <w:r>
        <mc:AlternateContent>
          <mc:Choice Requires="wps">
            <w:drawing>
              <wp:anchor distT="0" distB="0" distL="114300" distR="114300" simplePos="0" relativeHeight="251664384" behindDoc="0" locked="0" layoutInCell="1" allowOverlap="1">
                <wp:simplePos x="0" y="0"/>
                <wp:positionH relativeFrom="column">
                  <wp:posOffset>-180340</wp:posOffset>
                </wp:positionH>
                <wp:positionV relativeFrom="paragraph">
                  <wp:posOffset>5605145</wp:posOffset>
                </wp:positionV>
                <wp:extent cx="6121400" cy="0"/>
                <wp:effectExtent l="0" t="6350" r="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441.35pt;height:0pt;width:482pt;z-index:251664384;mso-width-relative:page;mso-height-relative:page;" filled="f" stroked="t" coordsize="21600,21600" o:gfxdata="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TarPZAAAACw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color w:val="FF0000"/>
        </w:rPr>
        <mc:AlternateContent>
          <mc:Choice Requires="wps">
            <w:drawing>
              <wp:anchor distT="0" distB="0" distL="114300" distR="114300" simplePos="0" relativeHeight="251668480"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0F138A85">
                            <w:pPr>
                              <w:pStyle w:val="30"/>
                            </w:pPr>
                            <w:r>
                              <w:t>中国肉类协会</w:t>
                            </w:r>
                            <w:r>
                              <w:rPr>
                                <w:rStyle w:val="31"/>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8480;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0F138A85">
                      <w:pPr>
                        <w:pStyle w:val="30"/>
                      </w:pPr>
                      <w:r>
                        <w:t>中国肉类协会</w:t>
                      </w:r>
                      <w:r>
                        <w:rPr>
                          <w:rStyle w:val="31"/>
                          <w:rFonts w:hint="eastAsia"/>
                        </w:rPr>
                        <w:t xml:space="preserve">  发布</w:t>
                      </w:r>
                    </w:p>
                  </w:txbxContent>
                </v:textbox>
                <w10:anchorlock/>
              </v:shape>
            </w:pict>
          </mc:Fallback>
        </mc:AlternateContent>
      </w:r>
    </w:p>
    <w:p w14:paraId="596D28E3">
      <w:pPr>
        <w:sectPr>
          <w:headerReference r:id="rId4" w:type="first"/>
          <w:headerReference r:id="rId3" w:type="default"/>
          <w:footerReference r:id="rId5" w:type="default"/>
          <w:footerReference r:id="rId6" w:type="even"/>
          <w:pgSz w:w="11907" w:h="16839"/>
          <w:pgMar w:top="567" w:right="1417" w:bottom="1361" w:left="1418" w:header="0" w:footer="0" w:gutter="0"/>
          <w:pgNumType w:start="1"/>
          <w:cols w:space="0" w:num="1"/>
          <w:titlePg/>
          <w:docGrid w:type="lines" w:linePitch="312" w:charSpace="0"/>
        </w:sectPr>
      </w:pPr>
    </w:p>
    <w:bookmarkEnd w:id="0"/>
    <w:p w14:paraId="00D31E09">
      <w:pPr>
        <w:pStyle w:val="39"/>
        <w:ind w:firstLine="3840" w:firstLineChars="1200"/>
        <w:jc w:val="both"/>
      </w:pPr>
      <w:r>
        <w:rPr>
          <w:rFonts w:hint="eastAsia"/>
        </w:rPr>
        <w:t>前</w:t>
      </w:r>
      <w:bookmarkStart w:id="1" w:name="BKQY"/>
      <w:r>
        <w:rPr>
          <w:rFonts w:hint="eastAsia"/>
        </w:rPr>
        <w:t>  言</w:t>
      </w:r>
      <w:bookmarkEnd w:id="1"/>
    </w:p>
    <w:p w14:paraId="764B985E">
      <w:pPr>
        <w:pStyle w:val="3"/>
        <w:rPr>
          <w:kern w:val="0"/>
        </w:rPr>
      </w:pPr>
      <w:bookmarkStart w:id="2" w:name="_Hlk151561528"/>
      <w:r>
        <w:rPr>
          <w:rFonts w:hint="eastAsia"/>
          <w:kern w:val="0"/>
        </w:rPr>
        <w:t>本文件按照GB/T 1.1-2020《标准化工作导则 第1部分：标准化文件的结构和起草规则》的规定起草。</w:t>
      </w:r>
    </w:p>
    <w:p w14:paraId="353DA0E5">
      <w:pPr>
        <w:ind w:firstLine="420"/>
      </w:pPr>
      <w:r>
        <w:rPr>
          <w:rFonts w:hint="eastAsia"/>
        </w:rPr>
        <w:t>请注意本文件的某些内容有可能涉及专利。本文件的发布机构不承担识别专利的责任。</w:t>
      </w:r>
    </w:p>
    <w:p w14:paraId="0DD9B6EE">
      <w:pPr>
        <w:pStyle w:val="3"/>
        <w:rPr>
          <w:kern w:val="0"/>
        </w:rPr>
      </w:pPr>
      <w:r>
        <w:rPr>
          <w:rFonts w:hint="eastAsia"/>
          <w:kern w:val="0"/>
        </w:rPr>
        <w:t>本文件由中国肉类协会提出并归口。</w:t>
      </w:r>
    </w:p>
    <w:p w14:paraId="16500680">
      <w:pPr>
        <w:pStyle w:val="16"/>
        <w:tabs>
          <w:tab w:val="center" w:pos="4201"/>
          <w:tab w:val="right" w:leader="dot" w:pos="9298"/>
        </w:tabs>
        <w:ind w:firstLine="420" w:firstLineChars="200"/>
        <w:jc w:val="left"/>
      </w:pPr>
      <w:r>
        <w:rPr>
          <w:rFonts w:hint="eastAsia" w:hAnsi="宋体"/>
        </w:rPr>
        <w:t>本文件由中国肉类协会发布。</w:t>
      </w:r>
    </w:p>
    <w:p w14:paraId="5B069481">
      <w:pPr>
        <w:ind w:firstLine="420"/>
        <w:rPr>
          <w:kern w:val="0"/>
          <w:szCs w:val="20"/>
        </w:rPr>
      </w:pPr>
      <w:r>
        <w:rPr>
          <w:rFonts w:hint="eastAsia"/>
          <w:kern w:val="0"/>
          <w:szCs w:val="20"/>
        </w:rPr>
        <w:t>本文件起草单位：。</w:t>
      </w:r>
    </w:p>
    <w:p w14:paraId="2758B86A">
      <w:pPr>
        <w:ind w:firstLine="420"/>
        <w:rPr>
          <w:rFonts w:ascii="宋体" w:hAnsi="Courier New"/>
          <w:kern w:val="0"/>
          <w:szCs w:val="20"/>
        </w:rPr>
      </w:pPr>
      <w:r>
        <w:rPr>
          <w:rFonts w:hint="eastAsia"/>
          <w:kern w:val="0"/>
          <w:szCs w:val="20"/>
        </w:rPr>
        <w:t>本文件主要起草人：</w:t>
      </w:r>
      <w:r>
        <w:rPr>
          <w:rFonts w:hint="eastAsia" w:ascii="宋体" w:hAnsi="Courier New"/>
          <w:kern w:val="0"/>
          <w:szCs w:val="20"/>
        </w:rPr>
        <w:t>。</w:t>
      </w:r>
    </w:p>
    <w:p w14:paraId="3DF58AEA">
      <w:pPr>
        <w:pStyle w:val="3"/>
        <w:ind w:firstLineChars="200"/>
        <w:sectPr>
          <w:headerReference r:id="rId7" w:type="default"/>
          <w:footerReference r:id="rId8" w:type="default"/>
          <w:pgSz w:w="11906" w:h="16838"/>
          <w:pgMar w:top="1417" w:right="1417" w:bottom="1417" w:left="1417" w:header="1417" w:footer="1134" w:gutter="0"/>
          <w:pgNumType w:fmt="upperRoman" w:start="1"/>
          <w:cols w:space="0" w:num="1"/>
          <w:docGrid w:type="lines" w:linePitch="312" w:charSpace="0"/>
        </w:sectPr>
      </w:pPr>
      <w:bookmarkStart w:id="56" w:name="_GoBack"/>
      <w:bookmarkEnd w:id="56"/>
    </w:p>
    <w:bookmarkEnd w:id="2"/>
    <w:p w14:paraId="456B47A7">
      <w:pPr>
        <w:keepNext/>
        <w:widowControl/>
        <w:shd w:val="clear" w:color="FFFFFF" w:fill="FFFFFF"/>
        <w:snapToGrid w:val="0"/>
        <w:spacing w:before="640" w:after="560"/>
        <w:jc w:val="center"/>
        <w:outlineLvl w:val="0"/>
        <w:rPr>
          <w:rFonts w:eastAsia="黑体"/>
          <w:kern w:val="0"/>
          <w:sz w:val="32"/>
          <w:szCs w:val="20"/>
        </w:rPr>
      </w:pPr>
      <w:bookmarkStart w:id="3" w:name="OLE_LINK2"/>
      <w:r>
        <w:rPr>
          <w:rFonts w:hint="eastAsia" w:eastAsia="黑体"/>
          <w:kern w:val="0"/>
          <w:sz w:val="32"/>
          <w:szCs w:val="20"/>
        </w:rPr>
        <w:t>通辽牛肉质量分级</w:t>
      </w:r>
    </w:p>
    <w:bookmarkEnd w:id="3"/>
    <w:p w14:paraId="49D79F37">
      <w:pPr>
        <w:pStyle w:val="15"/>
        <w:numPr>
          <w:ilvl w:val="0"/>
          <w:numId w:val="2"/>
        </w:numPr>
        <w:spacing w:before="312" w:beforeLines="100" w:after="312" w:afterLines="100"/>
        <w:outlineLvl w:val="0"/>
        <w:rPr>
          <w:rFonts w:hAnsi="黑体"/>
          <w:szCs w:val="21"/>
        </w:rPr>
      </w:pPr>
      <w:bookmarkStart w:id="4" w:name="_Toc21982137"/>
      <w:bookmarkStart w:id="5" w:name="_Toc22197892"/>
      <w:bookmarkStart w:id="6" w:name="_Toc21982424"/>
      <w:bookmarkStart w:id="7" w:name="_Toc22135199"/>
      <w:r>
        <w:rPr>
          <w:rFonts w:hint="eastAsia" w:hAnsi="黑体"/>
          <w:szCs w:val="21"/>
        </w:rPr>
        <w:t>范围</w:t>
      </w:r>
      <w:bookmarkEnd w:id="4"/>
      <w:bookmarkEnd w:id="5"/>
      <w:bookmarkEnd w:id="6"/>
      <w:bookmarkEnd w:id="7"/>
    </w:p>
    <w:p w14:paraId="4D0E13BB">
      <w:pPr>
        <w:pStyle w:val="16"/>
        <w:tabs>
          <w:tab w:val="center" w:pos="4201"/>
          <w:tab w:val="right" w:leader="dot" w:pos="9298"/>
        </w:tabs>
        <w:ind w:firstLine="420" w:firstLineChars="200"/>
        <w:rPr>
          <w:rFonts w:ascii="Times New Roman"/>
        </w:rPr>
      </w:pPr>
      <w:r>
        <w:rPr>
          <w:rFonts w:hint="eastAsia" w:ascii="Times New Roman"/>
        </w:rPr>
        <w:tab/>
      </w:r>
      <w:r>
        <w:rPr>
          <w:rFonts w:hint="eastAsia" w:ascii="Times New Roman"/>
        </w:rPr>
        <w:t>本文件规定了</w:t>
      </w:r>
      <w:bookmarkStart w:id="8" w:name="OLE_LINK3"/>
      <w:r>
        <w:rPr>
          <w:rFonts w:hint="eastAsia" w:ascii="Times New Roman"/>
        </w:rPr>
        <w:t>通辽肉牛的牛胴体及分割肉分级的基本要求、等级划分、技术指标评定方法、</w:t>
      </w:r>
      <w:r>
        <w:rPr>
          <w:rFonts w:hint="eastAsia" w:ascii="Times New Roman"/>
          <w:lang w:val="en-US" w:eastAsia="zh-CN"/>
        </w:rPr>
        <w:t>等级评定方法、</w:t>
      </w:r>
      <w:r>
        <w:rPr>
          <w:rFonts w:hint="eastAsia" w:ascii="Times New Roman"/>
        </w:rPr>
        <w:t>标志、包装和记录的要求。</w:t>
      </w:r>
    </w:p>
    <w:p w14:paraId="5D21A2B7">
      <w:pPr>
        <w:pStyle w:val="16"/>
        <w:tabs>
          <w:tab w:val="center" w:pos="4201"/>
          <w:tab w:val="right" w:leader="dot" w:pos="9298"/>
        </w:tabs>
        <w:ind w:firstLine="420" w:firstLineChars="200"/>
        <w:rPr>
          <w:rFonts w:ascii="Times New Roman"/>
        </w:rPr>
      </w:pPr>
      <w:r>
        <w:rPr>
          <w:rFonts w:hint="eastAsia" w:ascii="Times New Roman"/>
        </w:rPr>
        <w:t>本文件适用于通辽肉牛的牛胴体和分割肉分级。</w:t>
      </w:r>
    </w:p>
    <w:bookmarkEnd w:id="8"/>
    <w:p w14:paraId="2BC0892E">
      <w:pPr>
        <w:pStyle w:val="15"/>
        <w:numPr>
          <w:ilvl w:val="0"/>
          <w:numId w:val="2"/>
        </w:numPr>
        <w:spacing w:before="312" w:beforeLines="100" w:after="312" w:afterLines="100"/>
        <w:outlineLvl w:val="0"/>
        <w:rPr>
          <w:rFonts w:hAnsi="黑体"/>
          <w:szCs w:val="21"/>
        </w:rPr>
      </w:pPr>
      <w:bookmarkStart w:id="9" w:name="_Toc21982138"/>
      <w:bookmarkStart w:id="10" w:name="_Toc20317838"/>
      <w:bookmarkStart w:id="11" w:name="_Toc22135200"/>
      <w:bookmarkStart w:id="12" w:name="_Toc20235279"/>
      <w:bookmarkStart w:id="13" w:name="_Toc21982425"/>
      <w:bookmarkStart w:id="14" w:name="_Toc16171934"/>
      <w:bookmarkStart w:id="15" w:name="_Toc20410158"/>
      <w:bookmarkStart w:id="16" w:name="_Toc22197893"/>
      <w:bookmarkStart w:id="17" w:name="_Toc20410231"/>
      <w:bookmarkStart w:id="18" w:name="_Toc16172012"/>
      <w:bookmarkStart w:id="19" w:name="_Toc20236394"/>
      <w:r>
        <w:rPr>
          <w:rFonts w:hint="eastAsia" w:hAnsi="黑体"/>
          <w:szCs w:val="21"/>
        </w:rPr>
        <w:t>规范性引用文件</w:t>
      </w:r>
      <w:bookmarkEnd w:id="9"/>
      <w:bookmarkEnd w:id="10"/>
      <w:bookmarkEnd w:id="11"/>
      <w:bookmarkEnd w:id="12"/>
      <w:bookmarkEnd w:id="13"/>
      <w:bookmarkEnd w:id="14"/>
      <w:bookmarkEnd w:id="15"/>
      <w:bookmarkEnd w:id="16"/>
      <w:bookmarkEnd w:id="17"/>
      <w:bookmarkEnd w:id="18"/>
      <w:bookmarkEnd w:id="19"/>
    </w:p>
    <w:p w14:paraId="22401A91">
      <w:pPr>
        <w:pStyle w:val="16"/>
        <w:tabs>
          <w:tab w:val="center" w:pos="4201"/>
          <w:tab w:val="right" w:leader="dot" w:pos="9298"/>
        </w:tabs>
        <w:ind w:firstLine="420" w:firstLineChars="20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0620372">
      <w:pPr>
        <w:pStyle w:val="16"/>
        <w:tabs>
          <w:tab w:val="center" w:pos="4201"/>
          <w:tab w:val="right" w:leader="dot" w:pos="9298"/>
        </w:tabs>
        <w:ind w:firstLine="412" w:firstLineChars="200"/>
        <w:rPr>
          <w:rFonts w:ascii="Times New Roman"/>
          <w:spacing w:val="-2"/>
          <w:szCs w:val="21"/>
        </w:rPr>
      </w:pPr>
      <w:bookmarkStart w:id="20" w:name="_Toc21982139"/>
      <w:bookmarkStart w:id="21" w:name="_Toc20236395"/>
      <w:bookmarkStart w:id="22" w:name="_Toc22135201"/>
      <w:bookmarkStart w:id="23" w:name="_Toc22197894"/>
      <w:bookmarkStart w:id="24" w:name="_Toc16172013"/>
      <w:bookmarkStart w:id="25" w:name="_Toc21982426"/>
      <w:bookmarkStart w:id="26" w:name="_Toc20410232"/>
      <w:bookmarkStart w:id="27" w:name="_Toc20235280"/>
      <w:bookmarkStart w:id="28" w:name="_Toc16171935"/>
      <w:bookmarkStart w:id="29" w:name="_Toc20410159"/>
      <w:bookmarkStart w:id="30" w:name="_Toc20317839"/>
      <w:r>
        <w:rPr>
          <w:rFonts w:hint="eastAsia" w:ascii="Times New Roman"/>
          <w:spacing w:val="-2"/>
          <w:szCs w:val="21"/>
        </w:rPr>
        <w:t>GB/T 191  包装储运图示标志</w:t>
      </w:r>
    </w:p>
    <w:p w14:paraId="496ACB15">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GB/T 6388  运输包装收发货标志</w:t>
      </w:r>
    </w:p>
    <w:p w14:paraId="1C2C114B">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GB/T 19477  畜禽屠宰操作规程  牛</w:t>
      </w:r>
    </w:p>
    <w:p w14:paraId="5459C9B3">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GB/T 27643  牛胴体及鲜肉分割</w:t>
      </w:r>
    </w:p>
    <w:p w14:paraId="080DC9D4">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GB/T 29392  畜禽肉质量分级  牛肉</w:t>
      </w:r>
    </w:p>
    <w:p w14:paraId="7E2E46B8">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GB/T 37061  畜禽肉质量分级导则</w:t>
      </w:r>
    </w:p>
    <w:p w14:paraId="74302AC5">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NY/T 676  牛肉等级规格</w:t>
      </w:r>
    </w:p>
    <w:p w14:paraId="15E99474">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NY/T 3383  畜禽产品包装与标识</w:t>
      </w:r>
    </w:p>
    <w:p w14:paraId="4B4E0540">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T/CMATB 3012 通辽牛肉</w:t>
      </w:r>
    </w:p>
    <w:p w14:paraId="36BA39DE">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T/CMATB XXXX 通辽肉牛饲养管理技术规程</w:t>
      </w:r>
    </w:p>
    <w:p w14:paraId="7C27CE6B">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T/CMATB XXXX 通辽肉牛屠宰操作规程</w:t>
      </w:r>
    </w:p>
    <w:p w14:paraId="6A6FDAB2">
      <w:pPr>
        <w:pStyle w:val="16"/>
        <w:tabs>
          <w:tab w:val="center" w:pos="4201"/>
          <w:tab w:val="right" w:leader="dot" w:pos="9298"/>
        </w:tabs>
        <w:ind w:firstLine="412" w:firstLineChars="200"/>
        <w:rPr>
          <w:rFonts w:ascii="Times New Roman"/>
          <w:spacing w:val="-2"/>
          <w:szCs w:val="21"/>
        </w:rPr>
      </w:pPr>
      <w:r>
        <w:rPr>
          <w:rFonts w:hint="eastAsia" w:ascii="Times New Roman"/>
          <w:spacing w:val="-2"/>
          <w:szCs w:val="21"/>
        </w:rPr>
        <w:t>T/CMATB XXXX 通辽牛肉分割技术规程</w:t>
      </w:r>
    </w:p>
    <w:p w14:paraId="616DDF40">
      <w:pPr>
        <w:pStyle w:val="15"/>
        <w:numPr>
          <w:ilvl w:val="0"/>
          <w:numId w:val="2"/>
        </w:numPr>
        <w:spacing w:before="312" w:beforeLines="100" w:after="312" w:afterLines="100"/>
        <w:outlineLvl w:val="0"/>
        <w:rPr>
          <w:rFonts w:ascii="Times New Roman"/>
          <w:szCs w:val="21"/>
        </w:rPr>
      </w:pPr>
      <w:r>
        <w:rPr>
          <w:rFonts w:ascii="Times New Roman"/>
          <w:szCs w:val="21"/>
        </w:rPr>
        <w:t>术语和定义</w:t>
      </w:r>
      <w:bookmarkEnd w:id="20"/>
      <w:bookmarkEnd w:id="21"/>
      <w:bookmarkEnd w:id="22"/>
      <w:bookmarkEnd w:id="23"/>
      <w:bookmarkEnd w:id="24"/>
      <w:bookmarkEnd w:id="25"/>
      <w:bookmarkEnd w:id="26"/>
      <w:bookmarkEnd w:id="27"/>
      <w:bookmarkEnd w:id="28"/>
      <w:bookmarkEnd w:id="29"/>
      <w:bookmarkEnd w:id="30"/>
    </w:p>
    <w:p w14:paraId="661AC7BF">
      <w:pPr>
        <w:pStyle w:val="17"/>
        <w:numPr>
          <w:ilvl w:val="1"/>
          <w:numId w:val="0"/>
        </w:numPr>
        <w:ind w:firstLine="420" w:firstLineChars="200"/>
        <w:rPr>
          <w:rFonts w:ascii="Times New Roman" w:hAnsi="Times New Roman" w:eastAsia="宋体" w:cs="Times New Roman"/>
        </w:rPr>
      </w:pPr>
      <w:bookmarkStart w:id="31" w:name="_Toc16171937"/>
      <w:bookmarkEnd w:id="31"/>
      <w:bookmarkStart w:id="32" w:name="_Toc21982146"/>
      <w:bookmarkEnd w:id="32"/>
      <w:bookmarkStart w:id="33" w:name="_Toc21982427"/>
      <w:bookmarkEnd w:id="33"/>
      <w:bookmarkStart w:id="34" w:name="_Toc22135202"/>
      <w:bookmarkEnd w:id="34"/>
      <w:bookmarkStart w:id="35" w:name="_Toc20317841"/>
      <w:bookmarkEnd w:id="35"/>
      <w:bookmarkStart w:id="36" w:name="_Toc16172015"/>
      <w:bookmarkEnd w:id="36"/>
      <w:bookmarkStart w:id="37" w:name="_Toc22135206"/>
      <w:bookmarkEnd w:id="37"/>
      <w:bookmarkStart w:id="38" w:name="_Toc21982429"/>
      <w:bookmarkEnd w:id="38"/>
      <w:bookmarkStart w:id="39" w:name="_Toc21982140"/>
      <w:bookmarkEnd w:id="39"/>
      <w:bookmarkStart w:id="40" w:name="_Toc20235282"/>
      <w:bookmarkEnd w:id="40"/>
      <w:bookmarkStart w:id="41" w:name="_Toc20410161"/>
      <w:bookmarkEnd w:id="41"/>
      <w:bookmarkStart w:id="42" w:name="_Toc21982433"/>
      <w:bookmarkEnd w:id="42"/>
      <w:bookmarkStart w:id="43" w:name="_Toc21982142"/>
      <w:bookmarkEnd w:id="43"/>
      <w:bookmarkStart w:id="44" w:name="_Toc20236397"/>
      <w:bookmarkEnd w:id="44"/>
      <w:bookmarkStart w:id="45" w:name="OLE_LINK6"/>
      <w:bookmarkStart w:id="46" w:name="_Toc20236399"/>
      <w:bookmarkStart w:id="47" w:name="_Toc20317843"/>
      <w:bookmarkStart w:id="48" w:name="_Toc20235284"/>
      <w:r>
        <w:rPr>
          <w:rFonts w:hint="default" w:ascii="Times New Roman" w:hAnsi="Times New Roman" w:eastAsia="宋体" w:cs="Times New Roman"/>
        </w:rPr>
        <w:t>GB/T 19477、GB/T 27643、GB/T 37061、T/CMATB 3012界定的以及下列术语和定义适用于本文件。</w:t>
      </w:r>
    </w:p>
    <w:p w14:paraId="3B73AFEA">
      <w:pPr>
        <w:pStyle w:val="15"/>
        <w:spacing w:before="156" w:after="156"/>
      </w:pPr>
      <w:r>
        <w:rPr>
          <w:rFonts w:hint="eastAsia"/>
        </w:rPr>
        <w:t xml:space="preserve">3.1 </w:t>
      </w:r>
    </w:p>
    <w:bookmarkEnd w:id="45"/>
    <w:p w14:paraId="5D9D7BDA">
      <w:pPr>
        <w:pStyle w:val="17"/>
        <w:numPr>
          <w:ilvl w:val="1"/>
          <w:numId w:val="0"/>
        </w:numPr>
        <w:ind w:firstLine="420" w:firstLineChars="200"/>
        <w:rPr>
          <w:rFonts w:ascii="黑体"/>
        </w:rPr>
      </w:pPr>
      <w:r>
        <w:rPr>
          <w:rFonts w:hint="eastAsia" w:ascii="黑体"/>
        </w:rPr>
        <w:t>通辽肉牛胴体  Tongliao beef cattle carcass</w:t>
      </w:r>
    </w:p>
    <w:p w14:paraId="55FB6A11">
      <w:pPr>
        <w:pStyle w:val="17"/>
        <w:numPr>
          <w:ilvl w:val="1"/>
          <w:numId w:val="0"/>
        </w:numPr>
        <w:ind w:firstLine="420" w:firstLineChars="200"/>
        <w:rPr>
          <w:rFonts w:ascii="宋体" w:hAnsi="宋体" w:eastAsia="宋体" w:cs="宋体"/>
        </w:rPr>
      </w:pPr>
      <w:r>
        <w:rPr>
          <w:rFonts w:hint="eastAsia" w:ascii="宋体" w:hAnsi="宋体" w:eastAsia="宋体" w:cs="宋体"/>
        </w:rPr>
        <w:t>检验检疫合格的通辽肉牛经宰杀放血后，除去头、蹄、皮、尾、内脏、肾周脂肪及生殖器（母牛去除乳房）后的躯体部分。</w:t>
      </w:r>
    </w:p>
    <w:p w14:paraId="1338C7D6">
      <w:pPr>
        <w:pStyle w:val="17"/>
        <w:numPr>
          <w:ilvl w:val="1"/>
          <w:numId w:val="0"/>
        </w:numPr>
        <w:spacing w:before="156" w:beforeLines="50" w:after="156" w:afterLines="50"/>
        <w:rPr>
          <w:rFonts w:ascii="黑体"/>
        </w:rPr>
      </w:pPr>
      <w:r>
        <w:rPr>
          <w:rFonts w:hint="eastAsia" w:ascii="黑体"/>
        </w:rPr>
        <w:t xml:space="preserve">3.2 </w:t>
      </w:r>
    </w:p>
    <w:p w14:paraId="1526688D">
      <w:pPr>
        <w:pStyle w:val="17"/>
        <w:numPr>
          <w:ilvl w:val="1"/>
          <w:numId w:val="0"/>
        </w:numPr>
        <w:ind w:firstLine="420" w:firstLineChars="200"/>
        <w:rPr>
          <w:rFonts w:ascii="黑体"/>
        </w:rPr>
      </w:pPr>
      <w:r>
        <w:rPr>
          <w:rFonts w:hint="eastAsia" w:ascii="黑体"/>
        </w:rPr>
        <w:t>通辽分割牛肉  Tongliao beef cuts</w:t>
      </w:r>
    </w:p>
    <w:p w14:paraId="2894938B">
      <w:pPr>
        <w:pStyle w:val="17"/>
        <w:numPr>
          <w:ilvl w:val="1"/>
          <w:numId w:val="0"/>
        </w:numPr>
        <w:ind w:firstLine="420" w:firstLineChars="200"/>
        <w:rPr>
          <w:rFonts w:ascii="宋体" w:hAnsi="宋体" w:eastAsia="宋体" w:cs="宋体"/>
        </w:rPr>
      </w:pPr>
      <w:r>
        <w:rPr>
          <w:rFonts w:hint="eastAsia" w:ascii="宋体" w:hAnsi="宋体" w:eastAsia="宋体" w:cs="宋体"/>
        </w:rPr>
        <w:t>从通辽肉牛胴体上剥离或切割下来的部位肉，如外脊、眼肉、上脑等。</w:t>
      </w:r>
    </w:p>
    <w:p w14:paraId="6FEEF3F8">
      <w:pPr>
        <w:pStyle w:val="17"/>
        <w:numPr>
          <w:ilvl w:val="1"/>
          <w:numId w:val="0"/>
        </w:numPr>
        <w:spacing w:before="156" w:beforeLines="50" w:after="156" w:afterLines="50"/>
        <w:rPr>
          <w:rFonts w:ascii="黑体"/>
        </w:rPr>
      </w:pPr>
      <w:r>
        <w:rPr>
          <w:rFonts w:hint="eastAsia" w:ascii="黑体"/>
        </w:rPr>
        <w:t xml:space="preserve">3.3 </w:t>
      </w:r>
    </w:p>
    <w:p w14:paraId="6F89A9A2">
      <w:pPr>
        <w:pStyle w:val="17"/>
        <w:numPr>
          <w:ilvl w:val="1"/>
          <w:numId w:val="0"/>
        </w:numPr>
        <w:ind w:firstLine="420" w:firstLineChars="200"/>
        <w:rPr>
          <w:rFonts w:ascii="黑体"/>
        </w:rPr>
      </w:pPr>
      <w:r>
        <w:rPr>
          <w:rFonts w:hint="eastAsia" w:ascii="黑体"/>
        </w:rPr>
        <w:t>产量分级  yield grading</w:t>
      </w:r>
    </w:p>
    <w:p w14:paraId="6925E4E0">
      <w:pPr>
        <w:pStyle w:val="17"/>
        <w:numPr>
          <w:ilvl w:val="1"/>
          <w:numId w:val="0"/>
        </w:numPr>
        <w:ind w:firstLine="420" w:firstLineChars="200"/>
        <w:rPr>
          <w:rFonts w:ascii="宋体" w:hAnsi="宋体" w:eastAsia="宋体" w:cs="宋体"/>
        </w:rPr>
      </w:pPr>
      <w:r>
        <w:rPr>
          <w:rFonts w:hint="eastAsia" w:ascii="宋体" w:hAnsi="宋体" w:eastAsia="宋体" w:cs="宋体"/>
        </w:rPr>
        <w:t>根据通辽肉牛胴体屠宰率高低对肉牛胴体进行的等级划分。</w:t>
      </w:r>
    </w:p>
    <w:p w14:paraId="2F5EB9BF">
      <w:pPr>
        <w:pStyle w:val="17"/>
        <w:numPr>
          <w:ilvl w:val="1"/>
          <w:numId w:val="0"/>
        </w:numPr>
        <w:spacing w:before="156" w:beforeLines="50" w:after="156" w:afterLines="50"/>
        <w:rPr>
          <w:rFonts w:ascii="黑体"/>
        </w:rPr>
      </w:pPr>
      <w:r>
        <w:rPr>
          <w:rFonts w:hint="eastAsia" w:ascii="黑体"/>
        </w:rPr>
        <w:t xml:space="preserve">3.4 </w:t>
      </w:r>
    </w:p>
    <w:p w14:paraId="51093059">
      <w:pPr>
        <w:pStyle w:val="17"/>
        <w:numPr>
          <w:ilvl w:val="1"/>
          <w:numId w:val="0"/>
        </w:numPr>
        <w:ind w:firstLine="420" w:firstLineChars="200"/>
        <w:rPr>
          <w:rFonts w:ascii="黑体"/>
        </w:rPr>
      </w:pPr>
      <w:r>
        <w:rPr>
          <w:rFonts w:hint="eastAsia" w:ascii="黑体"/>
        </w:rPr>
        <w:t>质量分级  quality grading</w:t>
      </w:r>
    </w:p>
    <w:p w14:paraId="3558EA10">
      <w:pPr>
        <w:pStyle w:val="17"/>
        <w:numPr>
          <w:ilvl w:val="1"/>
          <w:numId w:val="0"/>
        </w:numPr>
        <w:ind w:firstLine="420" w:firstLineChars="200"/>
        <w:rPr>
          <w:rFonts w:ascii="宋体" w:hAnsi="宋体" w:eastAsia="宋体" w:cs="宋体"/>
        </w:rPr>
      </w:pPr>
      <w:r>
        <w:rPr>
          <w:rFonts w:hint="eastAsia" w:ascii="宋体" w:hAnsi="宋体" w:eastAsia="宋体" w:cs="宋体"/>
        </w:rPr>
        <w:t>根据牛肉食用品质的相关指标对肉牛胴体和分割牛肉进行的等级划分。</w:t>
      </w:r>
    </w:p>
    <w:p w14:paraId="238129DE">
      <w:pPr>
        <w:pStyle w:val="15"/>
        <w:spacing w:before="156" w:after="156"/>
        <w:rPr>
          <w:szCs w:val="21"/>
        </w:rPr>
      </w:pPr>
      <w:r>
        <w:rPr>
          <w:rFonts w:hint="eastAsia"/>
          <w:szCs w:val="21"/>
        </w:rPr>
        <w:t>4　基本要求</w:t>
      </w:r>
    </w:p>
    <w:p w14:paraId="50554E0B">
      <w:pPr>
        <w:pStyle w:val="15"/>
        <w:spacing w:before="156" w:after="156"/>
        <w:outlineLvl w:val="0"/>
        <w:rPr>
          <w:rFonts w:ascii="Times New Roman"/>
          <w:szCs w:val="21"/>
        </w:rPr>
      </w:pPr>
      <w:r>
        <w:rPr>
          <w:rFonts w:hint="eastAsia" w:ascii="Times New Roman"/>
          <w:szCs w:val="21"/>
        </w:rPr>
        <w:t>4.1　原料来源</w:t>
      </w:r>
    </w:p>
    <w:p w14:paraId="6C8F71BB">
      <w:pPr>
        <w:pStyle w:val="15"/>
        <w:spacing w:before="0" w:beforeLines="0" w:after="0" w:afterLines="0"/>
        <w:ind w:firstLine="420" w:firstLineChars="200"/>
        <w:outlineLvl w:val="0"/>
        <w:rPr>
          <w:rFonts w:ascii="宋体" w:hAnsi="宋体" w:eastAsia="宋体" w:cs="宋体"/>
          <w:szCs w:val="21"/>
        </w:rPr>
      </w:pPr>
      <w:r>
        <w:rPr>
          <w:rFonts w:hint="eastAsia" w:ascii="宋体" w:hAnsi="宋体" w:eastAsia="宋体" w:cs="宋体"/>
          <w:szCs w:val="21"/>
        </w:rPr>
        <w:t>通辽肉牛养殖应符合T/CMATB XXXX 通辽肉牛饲养管理技术规程的要求。</w:t>
      </w:r>
    </w:p>
    <w:p w14:paraId="60CB6D72">
      <w:pPr>
        <w:pStyle w:val="15"/>
        <w:spacing w:before="156" w:after="156"/>
        <w:outlineLvl w:val="0"/>
        <w:rPr>
          <w:rFonts w:ascii="Times New Roman"/>
          <w:szCs w:val="21"/>
        </w:rPr>
      </w:pPr>
      <w:r>
        <w:rPr>
          <w:rFonts w:hint="eastAsia" w:ascii="Times New Roman"/>
          <w:szCs w:val="21"/>
        </w:rPr>
        <w:t>4.2　屠宰加工要求</w:t>
      </w:r>
    </w:p>
    <w:p w14:paraId="2C4ED588">
      <w:pPr>
        <w:pStyle w:val="15"/>
        <w:spacing w:before="0" w:beforeLines="0" w:after="0" w:afterLines="0"/>
        <w:ind w:firstLine="420" w:firstLineChars="200"/>
        <w:outlineLvl w:val="0"/>
        <w:rPr>
          <w:rFonts w:ascii="宋体" w:hAnsi="宋体" w:eastAsia="宋体" w:cs="宋体"/>
          <w:szCs w:val="21"/>
        </w:rPr>
      </w:pPr>
      <w:r>
        <w:rPr>
          <w:rFonts w:hint="eastAsia" w:ascii="宋体" w:hAnsi="宋体" w:eastAsia="宋体" w:cs="宋体"/>
          <w:szCs w:val="21"/>
        </w:rPr>
        <w:t>屠宰加工应按T/CMATB XXXX 通辽肉牛屠宰操作规程和T/CMATB XXXX 通辽牛肉分割技术规程执行。</w:t>
      </w:r>
    </w:p>
    <w:p w14:paraId="0A6F6002">
      <w:pPr>
        <w:pStyle w:val="15"/>
        <w:spacing w:before="312" w:beforeLines="100" w:after="312" w:afterLines="100"/>
        <w:outlineLvl w:val="0"/>
        <w:rPr>
          <w:rFonts w:ascii="Times New Roman"/>
          <w:szCs w:val="21"/>
        </w:rPr>
      </w:pPr>
      <w:r>
        <w:rPr>
          <w:rFonts w:hint="eastAsia" w:ascii="Times New Roman"/>
          <w:szCs w:val="21"/>
        </w:rPr>
        <w:t>5　等级划分</w:t>
      </w:r>
    </w:p>
    <w:p w14:paraId="42328630">
      <w:pPr>
        <w:pStyle w:val="15"/>
        <w:spacing w:before="156" w:after="156"/>
        <w:outlineLvl w:val="0"/>
        <w:rPr>
          <w:rFonts w:ascii="Times New Roman"/>
          <w:szCs w:val="21"/>
        </w:rPr>
      </w:pPr>
      <w:r>
        <w:rPr>
          <w:rFonts w:hint="eastAsia" w:ascii="Times New Roman"/>
          <w:szCs w:val="21"/>
        </w:rPr>
        <w:t>5.1　产量等级划分</w:t>
      </w:r>
    </w:p>
    <w:p w14:paraId="227B9A02">
      <w:pPr>
        <w:pStyle w:val="15"/>
        <w:spacing w:before="0" w:beforeLines="0" w:after="0" w:afterLines="0"/>
        <w:ind w:firstLine="420" w:firstLineChars="200"/>
        <w:outlineLvl w:val="0"/>
        <w:rPr>
          <w:rFonts w:ascii="宋体" w:hAnsi="宋体" w:eastAsia="宋体" w:cs="宋体"/>
          <w:szCs w:val="21"/>
        </w:rPr>
      </w:pPr>
      <w:r>
        <w:rPr>
          <w:rFonts w:hint="eastAsia" w:ascii="宋体" w:hAnsi="宋体" w:eastAsia="宋体" w:cs="宋体"/>
          <w:szCs w:val="21"/>
        </w:rPr>
        <w:t>根据屠宰率，将通辽肉牛胴体从高到低依次分为优级、良好级和普通级。</w:t>
      </w:r>
    </w:p>
    <w:p w14:paraId="50972EFE">
      <w:pPr>
        <w:pStyle w:val="15"/>
        <w:spacing w:before="156" w:after="156"/>
        <w:outlineLvl w:val="0"/>
        <w:rPr>
          <w:rFonts w:ascii="Times New Roman"/>
          <w:szCs w:val="21"/>
        </w:rPr>
      </w:pPr>
      <w:r>
        <w:rPr>
          <w:rFonts w:hint="eastAsia" w:ascii="Times New Roman"/>
          <w:szCs w:val="21"/>
        </w:rPr>
        <w:t>5.2　质量等级划分</w:t>
      </w:r>
    </w:p>
    <w:p w14:paraId="0775517B">
      <w:pPr>
        <w:pStyle w:val="15"/>
        <w:spacing w:before="0" w:beforeLines="0" w:after="0" w:afterLines="0"/>
        <w:ind w:firstLine="420" w:firstLineChars="200"/>
        <w:outlineLvl w:val="0"/>
        <w:rPr>
          <w:rFonts w:ascii="宋体" w:hAnsi="宋体" w:eastAsia="宋体" w:cs="宋体"/>
          <w:szCs w:val="21"/>
        </w:rPr>
      </w:pPr>
      <w:r>
        <w:rPr>
          <w:rFonts w:hint="eastAsia" w:ascii="宋体" w:hAnsi="宋体" w:eastAsia="宋体" w:cs="宋体"/>
          <w:szCs w:val="21"/>
        </w:rPr>
        <w:t>根据生理成熟度，以及第6肋至第7肋间或第12肋或第13肋间背最长肌横切面肉色和脂肪颜色的等级判定，将通辽肉牛胴体和通辽分割牛肉质量从高到低依次分为A级、B级、C级和D级。</w:t>
      </w:r>
    </w:p>
    <w:p w14:paraId="41B74B49">
      <w:pPr>
        <w:pStyle w:val="15"/>
        <w:spacing w:before="312" w:beforeLines="100" w:after="312" w:afterLines="100"/>
        <w:outlineLvl w:val="0"/>
        <w:rPr>
          <w:rFonts w:ascii="Times New Roman"/>
          <w:szCs w:val="21"/>
        </w:rPr>
      </w:pPr>
      <w:r>
        <w:rPr>
          <w:rFonts w:hint="eastAsia" w:ascii="Times New Roman"/>
          <w:szCs w:val="21"/>
        </w:rPr>
        <w:t>6　技术指标评定方法</w:t>
      </w:r>
    </w:p>
    <w:p w14:paraId="1B72CF54">
      <w:pPr>
        <w:pStyle w:val="15"/>
        <w:spacing w:before="156" w:after="156"/>
        <w:outlineLvl w:val="0"/>
        <w:rPr>
          <w:rFonts w:ascii="Times New Roman"/>
          <w:szCs w:val="21"/>
        </w:rPr>
      </w:pPr>
      <w:r>
        <w:rPr>
          <w:rFonts w:hint="eastAsia" w:ascii="Times New Roman"/>
          <w:szCs w:val="21"/>
        </w:rPr>
        <w:t>6.1　评定要求</w:t>
      </w:r>
    </w:p>
    <w:p w14:paraId="65A1FED8">
      <w:pPr>
        <w:pStyle w:val="15"/>
        <w:spacing w:before="0" w:beforeLines="0" w:after="0" w:afterLines="0"/>
        <w:ind w:firstLine="420" w:firstLineChars="200"/>
        <w:outlineLvl w:val="0"/>
        <w:rPr>
          <w:rFonts w:ascii="宋体" w:hAnsi="宋体" w:eastAsia="宋体" w:cs="宋体"/>
          <w:szCs w:val="21"/>
        </w:rPr>
      </w:pPr>
      <w:r>
        <w:rPr>
          <w:rFonts w:hint="eastAsia" w:ascii="宋体" w:hAnsi="宋体" w:eastAsia="宋体" w:cs="宋体"/>
          <w:szCs w:val="21"/>
        </w:rPr>
        <w:t>检验检疫合格的通辽肉牛胴体经分割暴露于空气中0.5 h后，在光照强度不低于660 lx照明的条件下进行评定。</w:t>
      </w:r>
    </w:p>
    <w:p w14:paraId="5B4DB4C2">
      <w:pPr>
        <w:pStyle w:val="15"/>
        <w:spacing w:before="156" w:after="156"/>
        <w:outlineLvl w:val="0"/>
        <w:rPr>
          <w:rFonts w:ascii="Times New Roman"/>
          <w:szCs w:val="21"/>
        </w:rPr>
      </w:pPr>
      <w:r>
        <w:rPr>
          <w:rFonts w:hint="eastAsia" w:ascii="Times New Roman"/>
          <w:szCs w:val="21"/>
        </w:rPr>
        <w:t>6.2　屠宰率</w:t>
      </w:r>
    </w:p>
    <w:p w14:paraId="4154DB83">
      <w:pPr>
        <w:pStyle w:val="15"/>
        <w:spacing w:before="0" w:beforeLines="0" w:after="0" w:afterLines="0"/>
        <w:ind w:firstLine="420" w:firstLineChars="200"/>
        <w:outlineLvl w:val="0"/>
        <w:rPr>
          <w:rFonts w:ascii="Times New Roman" w:eastAsia="宋体"/>
          <w:szCs w:val="21"/>
        </w:rPr>
      </w:pPr>
      <w:r>
        <w:rPr>
          <w:rFonts w:ascii="Times New Roman" w:eastAsia="宋体"/>
          <w:szCs w:val="21"/>
        </w:rPr>
        <w:t>通过测定通辽肉牛活体重和胴体重计算屠宰率。</w:t>
      </w:r>
    </w:p>
    <w:p w14:paraId="7AD970AB">
      <w:pPr>
        <w:pStyle w:val="15"/>
        <w:spacing w:before="0" w:beforeLines="0" w:after="0" w:afterLines="0"/>
        <w:ind w:firstLine="420" w:firstLineChars="200"/>
        <w:outlineLvl w:val="0"/>
        <w:rPr>
          <w:rFonts w:ascii="Times New Roman" w:eastAsia="宋体"/>
          <w:szCs w:val="21"/>
        </w:rPr>
      </w:pPr>
      <w:r>
        <w:rPr>
          <w:rFonts w:ascii="Times New Roman" w:eastAsia="宋体"/>
          <w:szCs w:val="21"/>
        </w:rPr>
        <w:t>通辽肉牛屠宰率计算公式见公式（1）。</w:t>
      </w:r>
    </w:p>
    <w:p w14:paraId="20453A7E">
      <w:pPr>
        <w:pStyle w:val="15"/>
        <w:spacing w:before="0" w:beforeLines="0" w:after="0" w:afterLines="0"/>
        <w:ind w:firstLine="420" w:firstLineChars="200"/>
        <w:outlineLvl w:val="0"/>
        <w:rPr>
          <w:rFonts w:ascii="Times New Roman" w:eastAsia="宋体"/>
          <w:szCs w:val="21"/>
        </w:rPr>
      </w:pPr>
      <w:r>
        <w:rPr>
          <w:rFonts w:ascii="Times New Roman" w:eastAsia="宋体"/>
          <w:szCs w:val="21"/>
        </w:rPr>
        <w:t>P=W1/W0                                                               （1）</w:t>
      </w:r>
    </w:p>
    <w:p w14:paraId="656B8F3E">
      <w:pPr>
        <w:pStyle w:val="15"/>
        <w:spacing w:before="0" w:beforeLines="0" w:after="0" w:afterLines="0"/>
        <w:ind w:firstLine="420" w:firstLineChars="200"/>
        <w:outlineLvl w:val="0"/>
        <w:rPr>
          <w:rFonts w:ascii="Times New Roman" w:eastAsia="宋体"/>
          <w:szCs w:val="21"/>
        </w:rPr>
      </w:pPr>
      <w:r>
        <w:rPr>
          <w:rFonts w:ascii="Times New Roman" w:eastAsia="宋体"/>
          <w:szCs w:val="21"/>
        </w:rPr>
        <w:t>P为通辽肉牛胴体产肉率（%）；</w:t>
      </w:r>
    </w:p>
    <w:p w14:paraId="57316FC9">
      <w:pPr>
        <w:pStyle w:val="15"/>
        <w:spacing w:before="0" w:beforeLines="0" w:after="0" w:afterLines="0"/>
        <w:ind w:firstLine="420" w:firstLineChars="200"/>
        <w:outlineLvl w:val="0"/>
        <w:rPr>
          <w:rFonts w:ascii="Times New Roman" w:eastAsia="宋体"/>
          <w:szCs w:val="21"/>
        </w:rPr>
      </w:pPr>
      <w:r>
        <w:rPr>
          <w:rFonts w:ascii="Times New Roman" w:eastAsia="宋体"/>
          <w:szCs w:val="21"/>
        </w:rPr>
        <w:t>W1为通辽肉牛胴体重；</w:t>
      </w:r>
    </w:p>
    <w:p w14:paraId="343DBE24">
      <w:pPr>
        <w:pStyle w:val="15"/>
        <w:spacing w:before="0" w:beforeLines="0" w:after="0" w:afterLines="0"/>
        <w:ind w:firstLine="420" w:firstLineChars="200"/>
        <w:outlineLvl w:val="0"/>
        <w:rPr>
          <w:rFonts w:ascii="Times New Roman" w:eastAsia="宋体"/>
          <w:szCs w:val="21"/>
        </w:rPr>
      </w:pPr>
      <w:r>
        <w:rPr>
          <w:rFonts w:ascii="Times New Roman" w:eastAsia="宋体"/>
          <w:szCs w:val="21"/>
        </w:rPr>
        <w:t>W0为通辽肉牛活体重。</w:t>
      </w:r>
    </w:p>
    <w:p w14:paraId="573217BA">
      <w:pPr>
        <w:pStyle w:val="15"/>
        <w:spacing w:before="156" w:after="156"/>
        <w:outlineLvl w:val="0"/>
        <w:rPr>
          <w:rFonts w:ascii="Times New Roman"/>
          <w:szCs w:val="21"/>
        </w:rPr>
      </w:pPr>
      <w:r>
        <w:rPr>
          <w:rFonts w:hint="eastAsia" w:ascii="Times New Roman"/>
          <w:szCs w:val="21"/>
        </w:rPr>
        <w:t>6.3　生理成熟度</w:t>
      </w:r>
    </w:p>
    <w:p w14:paraId="4F145CB1">
      <w:pPr>
        <w:pStyle w:val="15"/>
        <w:spacing w:before="0" w:beforeLines="0" w:after="0" w:afterLines="0"/>
        <w:ind w:firstLine="420" w:firstLineChars="200"/>
        <w:outlineLvl w:val="0"/>
        <w:rPr>
          <w:rFonts w:ascii="Times New Roman" w:eastAsia="宋体"/>
          <w:szCs w:val="21"/>
        </w:rPr>
      </w:pPr>
      <w:r>
        <w:rPr>
          <w:rFonts w:ascii="Times New Roman" w:eastAsia="宋体"/>
          <w:szCs w:val="21"/>
        </w:rPr>
        <w:t>生理成熟度按NY/T 676规定的门齿变化进行等级判定。</w:t>
      </w:r>
    </w:p>
    <w:p w14:paraId="7E9903C9">
      <w:pPr>
        <w:pStyle w:val="15"/>
        <w:spacing w:before="156" w:after="156"/>
        <w:outlineLvl w:val="0"/>
        <w:rPr>
          <w:rFonts w:ascii="Times New Roman"/>
          <w:szCs w:val="21"/>
        </w:rPr>
      </w:pPr>
      <w:r>
        <w:rPr>
          <w:rFonts w:hint="eastAsia" w:ascii="Times New Roman"/>
          <w:szCs w:val="21"/>
        </w:rPr>
        <w:t>6.4　肉色</w:t>
      </w:r>
    </w:p>
    <w:p w14:paraId="61E1D7FF">
      <w:pPr>
        <w:pStyle w:val="15"/>
        <w:spacing w:before="0" w:beforeLines="0" w:after="0" w:afterLines="0"/>
        <w:ind w:firstLine="420" w:firstLineChars="200"/>
        <w:outlineLvl w:val="0"/>
        <w:rPr>
          <w:rFonts w:ascii="Times New Roman" w:eastAsia="宋体"/>
          <w:szCs w:val="21"/>
        </w:rPr>
      </w:pPr>
      <w:r>
        <w:rPr>
          <w:rFonts w:ascii="Times New Roman" w:eastAsia="宋体"/>
          <w:szCs w:val="21"/>
        </w:rPr>
        <w:t>肉色按GB/T 29392规定的方法进行等级判定。</w:t>
      </w:r>
    </w:p>
    <w:p w14:paraId="4EED6F8F">
      <w:pPr>
        <w:pStyle w:val="15"/>
        <w:spacing w:before="156" w:after="156"/>
        <w:outlineLvl w:val="0"/>
        <w:rPr>
          <w:rFonts w:ascii="Times New Roman"/>
          <w:szCs w:val="21"/>
        </w:rPr>
      </w:pPr>
      <w:r>
        <w:rPr>
          <w:rFonts w:hint="eastAsia" w:ascii="Times New Roman"/>
          <w:szCs w:val="21"/>
        </w:rPr>
        <w:t>6.5　脂肪颜色</w:t>
      </w:r>
    </w:p>
    <w:p w14:paraId="4B9424B1">
      <w:pPr>
        <w:pStyle w:val="15"/>
        <w:spacing w:before="0" w:beforeLines="0" w:after="0" w:afterLines="0"/>
        <w:ind w:firstLine="420" w:firstLineChars="200"/>
        <w:outlineLvl w:val="0"/>
        <w:rPr>
          <w:rFonts w:ascii="Times New Roman" w:eastAsia="宋体"/>
          <w:szCs w:val="21"/>
        </w:rPr>
      </w:pPr>
      <w:r>
        <w:rPr>
          <w:rFonts w:ascii="Times New Roman" w:eastAsia="宋体"/>
          <w:szCs w:val="21"/>
        </w:rPr>
        <w:t>脂肪颜色按GB/T 29392规定的方法进行等级判定。</w:t>
      </w:r>
    </w:p>
    <w:p w14:paraId="1042BCB4">
      <w:pPr>
        <w:pStyle w:val="15"/>
        <w:spacing w:before="312" w:beforeLines="100" w:after="312" w:afterLines="100"/>
        <w:outlineLvl w:val="0"/>
        <w:rPr>
          <w:rFonts w:ascii="Times New Roman"/>
          <w:szCs w:val="21"/>
        </w:rPr>
      </w:pPr>
      <w:r>
        <w:rPr>
          <w:rFonts w:hint="eastAsia" w:ascii="Times New Roman"/>
          <w:szCs w:val="21"/>
        </w:rPr>
        <w:t>7　等级评定方法</w:t>
      </w:r>
    </w:p>
    <w:p w14:paraId="6A1D6069">
      <w:pPr>
        <w:pStyle w:val="15"/>
        <w:spacing w:before="156" w:after="156"/>
        <w:outlineLvl w:val="0"/>
        <w:rPr>
          <w:rFonts w:ascii="Times New Roman"/>
          <w:szCs w:val="21"/>
        </w:rPr>
      </w:pPr>
      <w:r>
        <w:rPr>
          <w:rFonts w:hint="eastAsia" w:ascii="Times New Roman"/>
          <w:szCs w:val="21"/>
        </w:rPr>
        <w:t>7.1　通辽肉牛胴体的产量等级评定</w:t>
      </w:r>
    </w:p>
    <w:p w14:paraId="384FF873">
      <w:pPr>
        <w:pStyle w:val="15"/>
        <w:spacing w:before="0" w:beforeLines="0" w:after="0" w:afterLines="0"/>
        <w:ind w:firstLine="420" w:firstLineChars="200"/>
        <w:outlineLvl w:val="0"/>
        <w:rPr>
          <w:rFonts w:ascii="Times New Roman" w:eastAsia="宋体"/>
          <w:szCs w:val="21"/>
        </w:rPr>
      </w:pPr>
      <w:r>
        <w:rPr>
          <w:rFonts w:ascii="Times New Roman" w:eastAsia="宋体"/>
          <w:szCs w:val="21"/>
        </w:rPr>
        <w:t>通辽肉牛胴体产量等级按照附录A评定。</w:t>
      </w:r>
    </w:p>
    <w:p w14:paraId="367358A8">
      <w:pPr>
        <w:pStyle w:val="15"/>
        <w:spacing w:before="156" w:after="156"/>
        <w:outlineLvl w:val="0"/>
        <w:rPr>
          <w:rFonts w:ascii="Times New Roman"/>
          <w:szCs w:val="21"/>
        </w:rPr>
      </w:pPr>
      <w:r>
        <w:rPr>
          <w:rFonts w:hint="eastAsia" w:ascii="Times New Roman"/>
          <w:szCs w:val="21"/>
        </w:rPr>
        <w:t>7.2　通辽肉牛胴体和通辽分割牛肉质量等级评定</w:t>
      </w:r>
    </w:p>
    <w:p w14:paraId="7F8FE8AB">
      <w:pPr>
        <w:pStyle w:val="15"/>
        <w:spacing w:before="0" w:beforeLines="0" w:after="0" w:afterLines="0"/>
        <w:ind w:firstLine="420" w:firstLineChars="200"/>
        <w:outlineLvl w:val="0"/>
        <w:rPr>
          <w:rFonts w:ascii="Times New Roman" w:eastAsia="宋体"/>
          <w:szCs w:val="21"/>
        </w:rPr>
      </w:pPr>
      <w:r>
        <w:rPr>
          <w:rFonts w:ascii="Times New Roman" w:eastAsia="宋体"/>
          <w:szCs w:val="21"/>
        </w:rPr>
        <w:t>通辽肉牛胴体所产生的通辽分割牛肉质量等级规格与通辽肉牛胴体质量等级规格相同，按照附录B评定。当生理成熟度等级为A级～B级、肉色等级为4级～7级，脂肪颜色等级为1级～4级时，通辽肉牛胴体和通辽分割牛肉质量等级最高。当生理成熟度等级为C级～E级，或肉色等级为1级～3级或8级，脂肪颜色等级为5级～8级时，质量等级相应降低。</w:t>
      </w:r>
    </w:p>
    <w:p w14:paraId="13CE9CAC">
      <w:pPr>
        <w:pStyle w:val="15"/>
        <w:spacing w:before="312" w:beforeLines="100" w:after="312" w:afterLines="100"/>
        <w:outlineLvl w:val="0"/>
        <w:rPr>
          <w:rFonts w:ascii="Times New Roman"/>
          <w:szCs w:val="21"/>
        </w:rPr>
      </w:pPr>
      <w:r>
        <w:rPr>
          <w:rFonts w:hint="eastAsia" w:ascii="Times New Roman"/>
          <w:szCs w:val="21"/>
        </w:rPr>
        <w:t>8　标志、包装和记录</w:t>
      </w:r>
    </w:p>
    <w:p w14:paraId="0BB50E35">
      <w:pPr>
        <w:pStyle w:val="15"/>
        <w:spacing w:before="0" w:beforeLines="0" w:after="0" w:afterLines="0"/>
        <w:outlineLvl w:val="0"/>
        <w:rPr>
          <w:rFonts w:ascii="Times New Roman" w:eastAsia="宋体"/>
          <w:szCs w:val="21"/>
        </w:rPr>
      </w:pPr>
      <w:r>
        <w:rPr>
          <w:rFonts w:hint="eastAsia" w:hAnsi="黑体" w:cs="黑体"/>
          <w:szCs w:val="21"/>
        </w:rPr>
        <w:t>8.1</w:t>
      </w:r>
      <w:r>
        <w:rPr>
          <w:rFonts w:hint="eastAsia" w:ascii="宋体" w:hAnsi="宋体" w:eastAsia="宋体" w:cs="宋体"/>
          <w:szCs w:val="21"/>
        </w:rPr>
        <w:t>　</w:t>
      </w:r>
      <w:r>
        <w:rPr>
          <w:rFonts w:ascii="Times New Roman" w:eastAsia="宋体"/>
          <w:szCs w:val="21"/>
        </w:rPr>
        <w:t>通辽肉牛胴体产量等级和质量等级、通辽分割牛肉质量等级的具体标志见附录C。</w:t>
      </w:r>
    </w:p>
    <w:p w14:paraId="44626902">
      <w:pPr>
        <w:pStyle w:val="15"/>
        <w:spacing w:before="0" w:beforeLines="0" w:after="0" w:afterLines="0"/>
        <w:outlineLvl w:val="0"/>
        <w:rPr>
          <w:rFonts w:ascii="Times New Roman" w:eastAsia="宋体"/>
          <w:szCs w:val="21"/>
        </w:rPr>
      </w:pPr>
      <w:r>
        <w:rPr>
          <w:rFonts w:hint="eastAsia" w:hAnsi="黑体" w:cs="黑体"/>
          <w:szCs w:val="21"/>
        </w:rPr>
        <w:t>8.2</w:t>
      </w:r>
      <w:r>
        <w:rPr>
          <w:rFonts w:hint="eastAsia" w:ascii="宋体" w:hAnsi="宋体" w:eastAsia="宋体" w:cs="宋体"/>
          <w:szCs w:val="21"/>
        </w:rPr>
        <w:t>　</w:t>
      </w:r>
      <w:r>
        <w:rPr>
          <w:rFonts w:ascii="Times New Roman" w:eastAsia="宋体"/>
          <w:szCs w:val="21"/>
        </w:rPr>
        <w:t>通辽肉牛胴体和通辽分割牛肉内外包装应标明相应的产品等级。包装标识应符合NY/T 3383的规定，运输包装标志应符合GB/T 191和GB/T 6388的规定。</w:t>
      </w:r>
    </w:p>
    <w:p w14:paraId="02BA0507">
      <w:pPr>
        <w:pStyle w:val="15"/>
        <w:spacing w:before="0" w:beforeLines="0" w:after="0" w:afterLines="0"/>
        <w:outlineLvl w:val="0"/>
        <w:rPr>
          <w:rFonts w:ascii="宋体" w:hAnsi="宋体" w:eastAsia="宋体" w:cs="宋体"/>
          <w:szCs w:val="21"/>
        </w:rPr>
      </w:pPr>
      <w:r>
        <w:rPr>
          <w:rFonts w:hint="eastAsia" w:hAnsi="黑体" w:cs="黑体"/>
          <w:szCs w:val="21"/>
        </w:rPr>
        <w:t>8.3</w:t>
      </w:r>
      <w:r>
        <w:rPr>
          <w:rFonts w:hint="eastAsia" w:ascii="宋体" w:hAnsi="宋体" w:eastAsia="宋体" w:cs="宋体"/>
          <w:szCs w:val="21"/>
        </w:rPr>
        <w:t>　包装上有关认证标志和商标等的印刷、加贴应符合有关法规及标准要求。</w:t>
      </w:r>
    </w:p>
    <w:p w14:paraId="6AAE5F32">
      <w:pPr>
        <w:pStyle w:val="15"/>
        <w:spacing w:before="0" w:beforeLines="0" w:after="0" w:afterLines="0"/>
        <w:outlineLvl w:val="0"/>
        <w:rPr>
          <w:rFonts w:ascii="宋体" w:hAnsi="宋体" w:eastAsia="宋体" w:cs="宋体"/>
          <w:szCs w:val="21"/>
        </w:rPr>
      </w:pPr>
      <w:r>
        <w:rPr>
          <w:rFonts w:hint="eastAsia" w:hAnsi="黑体" w:cs="黑体"/>
          <w:szCs w:val="21"/>
        </w:rPr>
        <w:t>8.4</w:t>
      </w:r>
      <w:r>
        <w:rPr>
          <w:rFonts w:hint="eastAsia" w:ascii="宋体" w:hAnsi="宋体" w:eastAsia="宋体" w:cs="宋体"/>
          <w:szCs w:val="21"/>
        </w:rPr>
        <w:t>　应清晰地记录产品分级信息。</w:t>
      </w:r>
    </w:p>
    <w:bookmarkEnd w:id="46"/>
    <w:bookmarkEnd w:id="47"/>
    <w:bookmarkEnd w:id="48"/>
    <w:p w14:paraId="08063AF4">
      <w:pPr>
        <w:pStyle w:val="16"/>
        <w:rPr>
          <w:rFonts w:ascii="Times New Roman"/>
        </w:rPr>
      </w:pPr>
      <w:bookmarkStart w:id="49" w:name="_Toc20235299"/>
      <w:bookmarkStart w:id="50" w:name="_Toc20410175"/>
      <w:bookmarkStart w:id="51" w:name="_Toc20236412"/>
      <w:bookmarkStart w:id="52" w:name="_Toc20317854"/>
      <w:bookmarkStart w:id="53" w:name="_Toc16171981"/>
      <w:bookmarkStart w:id="54" w:name="_Toc16172045"/>
      <w:bookmarkStart w:id="55" w:name="_Toc22135279"/>
    </w:p>
    <w:p w14:paraId="2A0D15E4">
      <w:pPr>
        <w:pStyle w:val="16"/>
        <w:rPr>
          <w:rFonts w:ascii="Times New Roman"/>
        </w:rPr>
      </w:pPr>
    </w:p>
    <w:bookmarkEnd w:id="49"/>
    <w:bookmarkEnd w:id="50"/>
    <w:bookmarkEnd w:id="51"/>
    <w:bookmarkEnd w:id="52"/>
    <w:bookmarkEnd w:id="53"/>
    <w:bookmarkEnd w:id="54"/>
    <w:bookmarkEnd w:id="55"/>
    <w:p w14:paraId="4D2E9BDF">
      <w:pPr>
        <w:rPr>
          <w:rFonts w:ascii="黑体" w:hAnsi="黑体" w:eastAsia="黑体" w:cs="黑体"/>
          <w:color w:val="000000"/>
          <w:szCs w:val="21"/>
          <w:lang w:bidi="zh-TW"/>
        </w:rPr>
      </w:pPr>
      <w:r>
        <w:rPr>
          <w:rFonts w:hint="eastAsia" w:ascii="黑体" w:hAnsi="黑体" w:eastAsia="黑体" w:cs="黑体"/>
          <w:color w:val="000000"/>
          <w:szCs w:val="21"/>
          <w:lang w:bidi="zh-TW"/>
        </w:rPr>
        <w:br w:type="page"/>
      </w:r>
    </w:p>
    <w:p w14:paraId="301E3DBD">
      <w:pPr>
        <w:pStyle w:val="16"/>
        <w:tabs>
          <w:tab w:val="center" w:pos="4201"/>
          <w:tab w:val="right" w:leader="dot" w:pos="9298"/>
        </w:tabs>
        <w:jc w:val="center"/>
        <w:rPr>
          <w:rFonts w:ascii="黑体" w:hAnsi="黑体" w:eastAsia="黑体" w:cs="黑体"/>
        </w:rPr>
      </w:pPr>
      <w:r>
        <w:rPr>
          <w:rFonts w:hint="eastAsia" w:ascii="黑体" w:hAnsi="黑体" w:eastAsia="黑体" w:cs="黑体"/>
        </w:rPr>
        <w:t>附录A</w:t>
      </w:r>
    </w:p>
    <w:p w14:paraId="5CD40778">
      <w:pPr>
        <w:pStyle w:val="16"/>
        <w:tabs>
          <w:tab w:val="center" w:pos="4201"/>
          <w:tab w:val="right" w:leader="dot" w:pos="9298"/>
        </w:tabs>
        <w:jc w:val="center"/>
        <w:rPr>
          <w:rFonts w:ascii="黑体" w:hAnsi="黑体" w:eastAsia="黑体" w:cs="黑体"/>
        </w:rPr>
      </w:pPr>
      <w:r>
        <w:rPr>
          <w:rFonts w:hint="eastAsia" w:ascii="黑体" w:hAnsi="黑体" w:eastAsia="黑体" w:cs="黑体"/>
        </w:rPr>
        <w:t>（规范性）</w:t>
      </w:r>
    </w:p>
    <w:p w14:paraId="4A16A6C7">
      <w:pPr>
        <w:pStyle w:val="16"/>
        <w:tabs>
          <w:tab w:val="center" w:pos="4201"/>
          <w:tab w:val="right" w:leader="dot" w:pos="9298"/>
        </w:tabs>
        <w:jc w:val="center"/>
        <w:rPr>
          <w:rFonts w:ascii="黑体" w:hAnsi="黑体" w:eastAsia="黑体" w:cs="黑体"/>
        </w:rPr>
      </w:pPr>
      <w:r>
        <w:rPr>
          <w:rFonts w:hint="eastAsia" w:ascii="黑体" w:hAnsi="黑体" w:eastAsia="黑体" w:cs="黑体"/>
        </w:rPr>
        <w:t>通辽肉牛胴体产量等级划分标准</w:t>
      </w:r>
    </w:p>
    <w:p w14:paraId="619575ED">
      <w:pPr>
        <w:pStyle w:val="16"/>
        <w:tabs>
          <w:tab w:val="center" w:pos="4201"/>
          <w:tab w:val="right" w:leader="dot" w:pos="9298"/>
        </w:tabs>
        <w:rPr>
          <w:rFonts w:ascii="Times New Roman"/>
        </w:rPr>
      </w:pPr>
      <w:r>
        <w:rPr>
          <w:rFonts w:hint="eastAsia" w:ascii="黑体" w:hAnsi="黑体" w:eastAsia="黑体" w:cs="黑体"/>
        </w:rPr>
        <w:t>A.1</w:t>
      </w:r>
      <w:r>
        <w:rPr>
          <w:rFonts w:hint="eastAsia" w:ascii="Times New Roman"/>
        </w:rPr>
        <w:t xml:space="preserve">  表</w:t>
      </w:r>
      <w:r>
        <w:rPr>
          <w:rFonts w:ascii="Times New Roman"/>
        </w:rPr>
        <w:t>A.1</w:t>
      </w:r>
      <w:r>
        <w:rPr>
          <w:rFonts w:hint="eastAsia" w:ascii="Times New Roman"/>
        </w:rPr>
        <w:t>列出了通辽肉牛胴体产量等级划分标准。</w:t>
      </w:r>
    </w:p>
    <w:p w14:paraId="2028E4F4">
      <w:pPr>
        <w:pStyle w:val="16"/>
        <w:tabs>
          <w:tab w:val="center" w:pos="4201"/>
          <w:tab w:val="right" w:leader="dot" w:pos="9298"/>
        </w:tabs>
        <w:spacing w:before="156" w:beforeLines="50" w:after="156" w:afterLines="50"/>
        <w:jc w:val="center"/>
        <w:rPr>
          <w:rFonts w:ascii="黑体" w:hAnsi="黑体" w:eastAsia="黑体" w:cs="黑体"/>
        </w:rPr>
      </w:pPr>
      <w:r>
        <w:rPr>
          <w:rFonts w:hint="eastAsia" w:ascii="黑体" w:hAnsi="黑体" w:eastAsia="黑体" w:cs="黑体"/>
        </w:rPr>
        <w:t>表A.1 通辽肉牛胴体产量等级划分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5"/>
        <w:gridCol w:w="2008"/>
      </w:tblGrid>
      <w:tr w14:paraId="3A725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35" w:type="dxa"/>
            <w:vAlign w:val="center"/>
          </w:tcPr>
          <w:p w14:paraId="2EE1770B">
            <w:pPr>
              <w:pStyle w:val="15"/>
              <w:spacing w:beforeLines="0" w:afterLines="0"/>
              <w:jc w:val="center"/>
              <w:outlineLvl w:val="0"/>
              <w:rPr>
                <w:rFonts w:ascii="Times New Roman" w:eastAsia="宋体"/>
                <w:szCs w:val="21"/>
              </w:rPr>
            </w:pPr>
            <w:r>
              <w:rPr>
                <w:rFonts w:ascii="Times New Roman" w:eastAsia="宋体"/>
                <w:szCs w:val="21"/>
              </w:rPr>
              <w:t>屠宰率</w:t>
            </w:r>
          </w:p>
        </w:tc>
        <w:tc>
          <w:tcPr>
            <w:tcW w:w="2008" w:type="dxa"/>
            <w:vAlign w:val="center"/>
          </w:tcPr>
          <w:p w14:paraId="571C6508">
            <w:pPr>
              <w:pStyle w:val="15"/>
              <w:spacing w:beforeLines="0" w:afterLines="0"/>
              <w:jc w:val="center"/>
              <w:outlineLvl w:val="0"/>
              <w:rPr>
                <w:rFonts w:ascii="Times New Roman" w:eastAsia="宋体"/>
                <w:szCs w:val="21"/>
              </w:rPr>
            </w:pPr>
            <w:r>
              <w:rPr>
                <w:rFonts w:ascii="Times New Roman" w:eastAsia="宋体"/>
                <w:szCs w:val="21"/>
              </w:rPr>
              <w:t>产量等级</w:t>
            </w:r>
          </w:p>
        </w:tc>
      </w:tr>
      <w:tr w14:paraId="4303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5" w:type="dxa"/>
            <w:vAlign w:val="center"/>
          </w:tcPr>
          <w:p w14:paraId="11687BAB">
            <w:pPr>
              <w:pStyle w:val="15"/>
              <w:spacing w:beforeLines="0" w:afterLines="0"/>
              <w:jc w:val="center"/>
              <w:outlineLvl w:val="0"/>
              <w:rPr>
                <w:rFonts w:ascii="Times New Roman" w:eastAsia="宋体"/>
                <w:szCs w:val="21"/>
              </w:rPr>
            </w:pPr>
            <w:r>
              <w:rPr>
                <w:rFonts w:ascii="Times New Roman" w:eastAsia="宋体"/>
                <w:szCs w:val="21"/>
              </w:rPr>
              <w:t>P</w:t>
            </w:r>
            <w:r>
              <w:rPr>
                <w:rFonts w:hint="eastAsia" w:ascii="Times New Roman" w:eastAsia="宋体"/>
                <w:szCs w:val="21"/>
              </w:rPr>
              <w:t>≥</w:t>
            </w:r>
            <w:r>
              <w:rPr>
                <w:rFonts w:ascii="Times New Roman" w:eastAsia="宋体"/>
                <w:szCs w:val="21"/>
              </w:rPr>
              <w:t>54%</w:t>
            </w:r>
          </w:p>
        </w:tc>
        <w:tc>
          <w:tcPr>
            <w:tcW w:w="2008" w:type="dxa"/>
            <w:vAlign w:val="center"/>
          </w:tcPr>
          <w:p w14:paraId="273A15D2">
            <w:pPr>
              <w:pStyle w:val="15"/>
              <w:spacing w:beforeLines="0" w:afterLines="0"/>
              <w:jc w:val="center"/>
              <w:outlineLvl w:val="0"/>
              <w:rPr>
                <w:rFonts w:ascii="Times New Roman" w:eastAsia="宋体"/>
                <w:szCs w:val="21"/>
              </w:rPr>
            </w:pPr>
            <w:r>
              <w:rPr>
                <w:rFonts w:ascii="Times New Roman" w:eastAsia="宋体"/>
                <w:szCs w:val="21"/>
              </w:rPr>
              <w:t>优级</w:t>
            </w:r>
          </w:p>
        </w:tc>
      </w:tr>
      <w:tr w14:paraId="43AE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5" w:type="dxa"/>
            <w:vAlign w:val="center"/>
          </w:tcPr>
          <w:p w14:paraId="1D35FD9E">
            <w:pPr>
              <w:pStyle w:val="15"/>
              <w:spacing w:beforeLines="0" w:afterLines="0"/>
              <w:jc w:val="center"/>
              <w:outlineLvl w:val="0"/>
              <w:rPr>
                <w:rFonts w:ascii="Times New Roman" w:eastAsia="宋体"/>
                <w:szCs w:val="21"/>
              </w:rPr>
            </w:pPr>
            <w:r>
              <w:rPr>
                <w:rFonts w:ascii="Times New Roman" w:eastAsia="宋体"/>
                <w:szCs w:val="21"/>
              </w:rPr>
              <w:t>50%</w:t>
            </w:r>
            <w:r>
              <w:rPr>
                <w:rFonts w:hint="eastAsia" w:ascii="Times New Roman" w:eastAsia="宋体"/>
                <w:szCs w:val="21"/>
              </w:rPr>
              <w:t>≤</w:t>
            </w:r>
            <w:r>
              <w:rPr>
                <w:rFonts w:ascii="Times New Roman" w:eastAsia="宋体"/>
                <w:szCs w:val="21"/>
              </w:rPr>
              <w:t>P＜54%</w:t>
            </w:r>
          </w:p>
        </w:tc>
        <w:tc>
          <w:tcPr>
            <w:tcW w:w="2008" w:type="dxa"/>
            <w:vAlign w:val="center"/>
          </w:tcPr>
          <w:p w14:paraId="32212EDC">
            <w:pPr>
              <w:pStyle w:val="15"/>
              <w:spacing w:beforeLines="0" w:afterLines="0"/>
              <w:jc w:val="center"/>
              <w:outlineLvl w:val="0"/>
              <w:rPr>
                <w:rFonts w:ascii="Times New Roman" w:eastAsia="宋体"/>
                <w:szCs w:val="21"/>
              </w:rPr>
            </w:pPr>
            <w:r>
              <w:rPr>
                <w:rFonts w:ascii="Times New Roman" w:eastAsia="宋体"/>
                <w:szCs w:val="21"/>
              </w:rPr>
              <w:t>良好级</w:t>
            </w:r>
          </w:p>
        </w:tc>
      </w:tr>
      <w:tr w14:paraId="2D0B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5" w:type="dxa"/>
            <w:vAlign w:val="center"/>
          </w:tcPr>
          <w:p w14:paraId="6F56DAEC">
            <w:pPr>
              <w:pStyle w:val="15"/>
              <w:spacing w:beforeLines="0" w:afterLines="0"/>
              <w:jc w:val="center"/>
              <w:outlineLvl w:val="0"/>
              <w:rPr>
                <w:rFonts w:ascii="Times New Roman" w:eastAsia="宋体"/>
                <w:szCs w:val="21"/>
              </w:rPr>
            </w:pPr>
            <w:r>
              <w:rPr>
                <w:rFonts w:ascii="Times New Roman" w:eastAsia="宋体"/>
                <w:szCs w:val="21"/>
              </w:rPr>
              <w:t>P＜50%</w:t>
            </w:r>
          </w:p>
        </w:tc>
        <w:tc>
          <w:tcPr>
            <w:tcW w:w="2008" w:type="dxa"/>
            <w:vAlign w:val="center"/>
          </w:tcPr>
          <w:p w14:paraId="5161D82C">
            <w:pPr>
              <w:pStyle w:val="15"/>
              <w:spacing w:beforeLines="0" w:afterLines="0"/>
              <w:jc w:val="center"/>
              <w:outlineLvl w:val="0"/>
              <w:rPr>
                <w:rFonts w:ascii="Times New Roman" w:eastAsia="宋体"/>
                <w:szCs w:val="21"/>
              </w:rPr>
            </w:pPr>
            <w:r>
              <w:rPr>
                <w:rFonts w:ascii="Times New Roman" w:eastAsia="宋体"/>
                <w:szCs w:val="21"/>
              </w:rPr>
              <w:t>普通级</w:t>
            </w:r>
          </w:p>
        </w:tc>
      </w:tr>
    </w:tbl>
    <w:p w14:paraId="33128A40">
      <w:pPr>
        <w:rPr>
          <w:rFonts w:eastAsia="黑体"/>
        </w:rPr>
      </w:pPr>
      <w:r>
        <w:rPr>
          <w:rFonts w:hint="eastAsia" w:eastAsia="黑体"/>
        </w:rPr>
        <w:br w:type="page"/>
      </w:r>
    </w:p>
    <w:p w14:paraId="222A2B15">
      <w:pPr>
        <w:pStyle w:val="16"/>
        <w:tabs>
          <w:tab w:val="center" w:pos="4201"/>
          <w:tab w:val="right" w:leader="dot" w:pos="9298"/>
        </w:tabs>
        <w:jc w:val="center"/>
        <w:rPr>
          <w:rFonts w:ascii="黑体" w:hAnsi="黑体" w:eastAsia="黑体" w:cs="黑体"/>
        </w:rPr>
      </w:pPr>
      <w:r>
        <w:rPr>
          <w:rFonts w:hint="eastAsia" w:ascii="黑体" w:hAnsi="黑体" w:eastAsia="黑体" w:cs="黑体"/>
        </w:rPr>
        <w:t>附录B</w:t>
      </w:r>
    </w:p>
    <w:p w14:paraId="7FA02432">
      <w:pPr>
        <w:pStyle w:val="16"/>
        <w:tabs>
          <w:tab w:val="center" w:pos="4201"/>
          <w:tab w:val="right" w:leader="dot" w:pos="9298"/>
        </w:tabs>
        <w:jc w:val="center"/>
        <w:rPr>
          <w:rFonts w:ascii="黑体" w:hAnsi="黑体" w:eastAsia="黑体" w:cs="黑体"/>
        </w:rPr>
      </w:pPr>
      <w:r>
        <w:rPr>
          <w:rFonts w:hint="eastAsia" w:ascii="黑体" w:hAnsi="黑体" w:eastAsia="黑体" w:cs="黑体"/>
        </w:rPr>
        <w:t>（规范性）</w:t>
      </w:r>
    </w:p>
    <w:p w14:paraId="2D22B619">
      <w:pPr>
        <w:pStyle w:val="16"/>
        <w:tabs>
          <w:tab w:val="center" w:pos="4201"/>
          <w:tab w:val="right" w:leader="dot" w:pos="9298"/>
        </w:tabs>
        <w:jc w:val="center"/>
        <w:rPr>
          <w:rFonts w:ascii="黑体" w:hAnsi="黑体" w:eastAsia="黑体" w:cs="黑体"/>
        </w:rPr>
      </w:pPr>
      <w:r>
        <w:rPr>
          <w:rFonts w:hint="eastAsia" w:ascii="黑体" w:hAnsi="黑体" w:eastAsia="黑体" w:cs="黑体"/>
        </w:rPr>
        <w:t>通辽肉牛胴体及通辽分割牛肉质量等级划分方法</w:t>
      </w:r>
    </w:p>
    <w:p w14:paraId="31231867">
      <w:pPr>
        <w:pStyle w:val="16"/>
        <w:tabs>
          <w:tab w:val="center" w:pos="4201"/>
          <w:tab w:val="right" w:leader="dot" w:pos="9298"/>
        </w:tabs>
        <w:rPr>
          <w:rFonts w:ascii="Times New Roman"/>
        </w:rPr>
      </w:pPr>
    </w:p>
    <w:p w14:paraId="23151D44">
      <w:pPr>
        <w:pStyle w:val="16"/>
        <w:tabs>
          <w:tab w:val="center" w:pos="4201"/>
          <w:tab w:val="right" w:leader="dot" w:pos="9298"/>
        </w:tabs>
        <w:rPr>
          <w:rFonts w:ascii="Times New Roman"/>
        </w:rPr>
      </w:pPr>
      <w:r>
        <w:rPr>
          <w:rFonts w:hint="eastAsia" w:ascii="黑体" w:hAnsi="黑体" w:eastAsia="黑体" w:cs="黑体"/>
        </w:rPr>
        <w:t xml:space="preserve">B.1 </w:t>
      </w:r>
      <w:r>
        <w:rPr>
          <w:rFonts w:hint="eastAsia" w:ascii="Times New Roman"/>
        </w:rPr>
        <w:t xml:space="preserve"> 表</w:t>
      </w:r>
      <w:r>
        <w:rPr>
          <w:rFonts w:ascii="Times New Roman"/>
        </w:rPr>
        <w:t>B.1</w:t>
      </w:r>
      <w:r>
        <w:rPr>
          <w:rFonts w:hint="eastAsia" w:ascii="Times New Roman"/>
        </w:rPr>
        <w:t>列出了通辽肉牛胴体及通辽分割牛肉质量等级划分方法。</w:t>
      </w:r>
    </w:p>
    <w:p w14:paraId="472AB90B">
      <w:pPr>
        <w:pStyle w:val="16"/>
        <w:tabs>
          <w:tab w:val="center" w:pos="4201"/>
          <w:tab w:val="right" w:leader="dot" w:pos="9298"/>
        </w:tabs>
        <w:spacing w:before="156" w:beforeLines="50" w:after="156" w:afterLines="50"/>
        <w:jc w:val="center"/>
        <w:rPr>
          <w:rFonts w:ascii="黑体" w:hAnsi="黑体" w:eastAsia="黑体" w:cs="黑体"/>
        </w:rPr>
      </w:pPr>
      <w:r>
        <w:rPr>
          <w:rFonts w:hint="eastAsia" w:ascii="黑体" w:hAnsi="黑体" w:eastAsia="黑体" w:cs="黑体"/>
        </w:rPr>
        <w:t>表B.1 通辽肉牛胴体及通辽分割牛肉质量等级划分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1690"/>
        <w:gridCol w:w="2428"/>
        <w:gridCol w:w="2257"/>
      </w:tblGrid>
      <w:tr w14:paraId="33D32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1" w:type="dxa"/>
            <w:vAlign w:val="center"/>
          </w:tcPr>
          <w:p w14:paraId="57414786">
            <w:pPr>
              <w:pStyle w:val="15"/>
              <w:spacing w:beforeLines="0" w:afterLines="0"/>
              <w:jc w:val="center"/>
              <w:outlineLvl w:val="0"/>
              <w:rPr>
                <w:rFonts w:ascii="Times New Roman" w:eastAsia="宋体"/>
                <w:szCs w:val="21"/>
              </w:rPr>
            </w:pPr>
            <w:r>
              <w:rPr>
                <w:rFonts w:ascii="Times New Roman" w:eastAsia="宋体"/>
                <w:szCs w:val="21"/>
              </w:rPr>
              <w:t>生理成熟度：</w:t>
            </w:r>
          </w:p>
          <w:p w14:paraId="151EA7E5">
            <w:pPr>
              <w:pStyle w:val="15"/>
              <w:spacing w:beforeLines="0" w:afterLines="0"/>
              <w:jc w:val="center"/>
              <w:outlineLvl w:val="0"/>
              <w:rPr>
                <w:rFonts w:ascii="Times New Roman" w:eastAsia="宋体"/>
                <w:szCs w:val="21"/>
              </w:rPr>
            </w:pPr>
            <w:r>
              <w:rPr>
                <w:rFonts w:ascii="Times New Roman" w:eastAsia="宋体"/>
                <w:szCs w:val="21"/>
              </w:rPr>
              <w:t>A级～B级</w:t>
            </w:r>
          </w:p>
        </w:tc>
        <w:tc>
          <w:tcPr>
            <w:tcW w:w="1690" w:type="dxa"/>
            <w:vAlign w:val="center"/>
          </w:tcPr>
          <w:p w14:paraId="1BE1CD80">
            <w:pPr>
              <w:pStyle w:val="15"/>
              <w:spacing w:beforeLines="0" w:afterLines="0"/>
              <w:jc w:val="center"/>
              <w:outlineLvl w:val="0"/>
              <w:rPr>
                <w:rFonts w:ascii="Times New Roman" w:eastAsia="宋体"/>
                <w:szCs w:val="21"/>
              </w:rPr>
            </w:pPr>
            <w:r>
              <w:rPr>
                <w:rFonts w:ascii="Times New Roman" w:eastAsia="宋体"/>
                <w:szCs w:val="21"/>
              </w:rPr>
              <w:t>生理成熟度：</w:t>
            </w:r>
          </w:p>
          <w:p w14:paraId="67D01BB9">
            <w:pPr>
              <w:pStyle w:val="15"/>
              <w:spacing w:beforeLines="0" w:afterLines="0"/>
              <w:jc w:val="center"/>
              <w:outlineLvl w:val="0"/>
              <w:rPr>
                <w:rFonts w:ascii="Times New Roman" w:eastAsia="宋体"/>
                <w:szCs w:val="21"/>
              </w:rPr>
            </w:pPr>
            <w:r>
              <w:rPr>
                <w:rFonts w:ascii="Times New Roman" w:eastAsia="宋体"/>
                <w:szCs w:val="21"/>
              </w:rPr>
              <w:t>C级～E级</w:t>
            </w:r>
          </w:p>
        </w:tc>
        <w:tc>
          <w:tcPr>
            <w:tcW w:w="2428" w:type="dxa"/>
            <w:vAlign w:val="center"/>
          </w:tcPr>
          <w:p w14:paraId="686B6E97">
            <w:pPr>
              <w:pStyle w:val="15"/>
              <w:spacing w:beforeLines="0" w:afterLines="0"/>
              <w:jc w:val="center"/>
              <w:outlineLvl w:val="0"/>
              <w:rPr>
                <w:rFonts w:ascii="Times New Roman" w:eastAsia="宋体"/>
                <w:szCs w:val="21"/>
              </w:rPr>
            </w:pPr>
            <w:r>
              <w:rPr>
                <w:rFonts w:ascii="Times New Roman" w:eastAsia="宋体"/>
                <w:szCs w:val="21"/>
              </w:rPr>
              <w:t>生理成熟度：</w:t>
            </w:r>
          </w:p>
          <w:p w14:paraId="6604EA02">
            <w:pPr>
              <w:pStyle w:val="15"/>
              <w:spacing w:beforeLines="0" w:afterLines="0"/>
              <w:jc w:val="center"/>
              <w:outlineLvl w:val="0"/>
              <w:rPr>
                <w:rFonts w:ascii="Times New Roman" w:eastAsia="宋体"/>
                <w:szCs w:val="21"/>
              </w:rPr>
            </w:pPr>
            <w:r>
              <w:rPr>
                <w:rFonts w:ascii="Times New Roman" w:eastAsia="宋体"/>
                <w:szCs w:val="21"/>
              </w:rPr>
              <w:t>A级～B级</w:t>
            </w:r>
          </w:p>
        </w:tc>
        <w:tc>
          <w:tcPr>
            <w:tcW w:w="2257" w:type="dxa"/>
            <w:vAlign w:val="center"/>
          </w:tcPr>
          <w:p w14:paraId="51588B8E">
            <w:pPr>
              <w:pStyle w:val="15"/>
              <w:spacing w:beforeLines="0" w:afterLines="0"/>
              <w:jc w:val="center"/>
              <w:outlineLvl w:val="0"/>
              <w:rPr>
                <w:rFonts w:ascii="Times New Roman" w:eastAsia="宋体"/>
                <w:szCs w:val="21"/>
              </w:rPr>
            </w:pPr>
            <w:r>
              <w:rPr>
                <w:rFonts w:ascii="Times New Roman" w:eastAsia="宋体"/>
                <w:szCs w:val="21"/>
              </w:rPr>
              <w:t>生理成熟度：</w:t>
            </w:r>
          </w:p>
          <w:p w14:paraId="4FB5B4BB">
            <w:pPr>
              <w:pStyle w:val="15"/>
              <w:spacing w:beforeLines="0" w:afterLines="0"/>
              <w:jc w:val="center"/>
              <w:outlineLvl w:val="0"/>
              <w:rPr>
                <w:rFonts w:ascii="Times New Roman" w:eastAsia="宋体"/>
                <w:szCs w:val="21"/>
              </w:rPr>
            </w:pPr>
            <w:r>
              <w:rPr>
                <w:rFonts w:ascii="Times New Roman" w:eastAsia="宋体"/>
                <w:szCs w:val="21"/>
              </w:rPr>
              <w:t>C级～E级</w:t>
            </w:r>
          </w:p>
        </w:tc>
      </w:tr>
      <w:tr w14:paraId="0BEE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1" w:type="dxa"/>
            <w:vAlign w:val="center"/>
          </w:tcPr>
          <w:p w14:paraId="26F5174C">
            <w:pPr>
              <w:pStyle w:val="15"/>
              <w:spacing w:beforeLines="0" w:afterLines="0"/>
              <w:jc w:val="center"/>
              <w:outlineLvl w:val="0"/>
              <w:rPr>
                <w:rFonts w:ascii="Times New Roman" w:eastAsia="宋体"/>
                <w:szCs w:val="21"/>
              </w:rPr>
            </w:pPr>
            <w:r>
              <w:rPr>
                <w:rFonts w:ascii="Times New Roman" w:eastAsia="宋体"/>
                <w:szCs w:val="21"/>
              </w:rPr>
              <w:t>肉色等级：</w:t>
            </w:r>
          </w:p>
          <w:p w14:paraId="1F42855A">
            <w:pPr>
              <w:pStyle w:val="15"/>
              <w:spacing w:beforeLines="0" w:afterLines="0"/>
              <w:jc w:val="center"/>
              <w:outlineLvl w:val="0"/>
              <w:rPr>
                <w:rFonts w:ascii="Times New Roman" w:eastAsia="宋体"/>
                <w:szCs w:val="21"/>
              </w:rPr>
            </w:pPr>
            <w:r>
              <w:rPr>
                <w:rFonts w:ascii="Times New Roman" w:eastAsia="宋体"/>
                <w:szCs w:val="21"/>
              </w:rPr>
              <w:t>4级～7级</w:t>
            </w:r>
          </w:p>
          <w:p w14:paraId="074CB04E">
            <w:pPr>
              <w:pStyle w:val="15"/>
              <w:spacing w:beforeLines="0" w:afterLines="0"/>
              <w:jc w:val="center"/>
              <w:outlineLvl w:val="0"/>
              <w:rPr>
                <w:rFonts w:ascii="Times New Roman" w:eastAsia="宋体"/>
                <w:szCs w:val="21"/>
              </w:rPr>
            </w:pPr>
            <w:r>
              <w:rPr>
                <w:rFonts w:ascii="Times New Roman" w:eastAsia="宋体"/>
                <w:szCs w:val="21"/>
              </w:rPr>
              <w:t>脂肪颜色等级：</w:t>
            </w:r>
          </w:p>
          <w:p w14:paraId="406AC908">
            <w:pPr>
              <w:pStyle w:val="15"/>
              <w:spacing w:beforeLines="0" w:afterLines="0"/>
              <w:jc w:val="center"/>
              <w:outlineLvl w:val="0"/>
              <w:rPr>
                <w:rFonts w:ascii="Times New Roman" w:eastAsia="宋体"/>
                <w:szCs w:val="21"/>
              </w:rPr>
            </w:pPr>
            <w:r>
              <w:rPr>
                <w:rFonts w:ascii="Times New Roman" w:eastAsia="宋体"/>
                <w:szCs w:val="21"/>
              </w:rPr>
              <w:t>1级～4级</w:t>
            </w:r>
          </w:p>
        </w:tc>
        <w:tc>
          <w:tcPr>
            <w:tcW w:w="1690" w:type="dxa"/>
            <w:vAlign w:val="center"/>
          </w:tcPr>
          <w:p w14:paraId="1174C5A6">
            <w:pPr>
              <w:pStyle w:val="15"/>
              <w:spacing w:beforeLines="0" w:afterLines="0"/>
              <w:jc w:val="center"/>
              <w:outlineLvl w:val="0"/>
              <w:rPr>
                <w:rFonts w:ascii="Times New Roman" w:eastAsia="宋体"/>
                <w:szCs w:val="21"/>
              </w:rPr>
            </w:pPr>
            <w:r>
              <w:rPr>
                <w:rFonts w:ascii="Times New Roman" w:eastAsia="宋体"/>
                <w:szCs w:val="21"/>
              </w:rPr>
              <w:t>肉色等级：</w:t>
            </w:r>
          </w:p>
          <w:p w14:paraId="6ECA7411">
            <w:pPr>
              <w:pStyle w:val="15"/>
              <w:spacing w:beforeLines="0" w:afterLines="0"/>
              <w:jc w:val="center"/>
              <w:outlineLvl w:val="0"/>
              <w:rPr>
                <w:rFonts w:ascii="Times New Roman" w:eastAsia="宋体"/>
                <w:szCs w:val="21"/>
              </w:rPr>
            </w:pPr>
            <w:r>
              <w:rPr>
                <w:rFonts w:ascii="Times New Roman" w:eastAsia="宋体"/>
                <w:szCs w:val="21"/>
              </w:rPr>
              <w:t>4级～7级</w:t>
            </w:r>
          </w:p>
          <w:p w14:paraId="251AF638">
            <w:pPr>
              <w:pStyle w:val="15"/>
              <w:spacing w:beforeLines="0" w:afterLines="0"/>
              <w:jc w:val="center"/>
              <w:outlineLvl w:val="0"/>
              <w:rPr>
                <w:rFonts w:ascii="Times New Roman" w:eastAsia="宋体"/>
                <w:szCs w:val="21"/>
              </w:rPr>
            </w:pPr>
            <w:r>
              <w:rPr>
                <w:rFonts w:ascii="Times New Roman" w:eastAsia="宋体"/>
                <w:szCs w:val="21"/>
              </w:rPr>
              <w:t>脂肪颜色等级：</w:t>
            </w:r>
          </w:p>
          <w:p w14:paraId="1CBDA293">
            <w:pPr>
              <w:pStyle w:val="15"/>
              <w:spacing w:beforeLines="0" w:afterLines="0"/>
              <w:jc w:val="center"/>
              <w:outlineLvl w:val="0"/>
              <w:rPr>
                <w:rFonts w:ascii="Times New Roman" w:eastAsia="宋体"/>
                <w:szCs w:val="21"/>
              </w:rPr>
            </w:pPr>
            <w:r>
              <w:rPr>
                <w:rFonts w:ascii="Times New Roman" w:eastAsia="宋体"/>
                <w:szCs w:val="21"/>
              </w:rPr>
              <w:t>1级～4级</w:t>
            </w:r>
          </w:p>
        </w:tc>
        <w:tc>
          <w:tcPr>
            <w:tcW w:w="2428" w:type="dxa"/>
            <w:vAlign w:val="center"/>
          </w:tcPr>
          <w:p w14:paraId="65A86C16">
            <w:pPr>
              <w:pStyle w:val="15"/>
              <w:spacing w:beforeLines="0" w:afterLines="0"/>
              <w:jc w:val="center"/>
              <w:outlineLvl w:val="0"/>
              <w:rPr>
                <w:rFonts w:ascii="Times New Roman" w:eastAsia="宋体"/>
                <w:szCs w:val="21"/>
              </w:rPr>
            </w:pPr>
            <w:r>
              <w:rPr>
                <w:rFonts w:ascii="Times New Roman" w:eastAsia="宋体"/>
                <w:szCs w:val="21"/>
              </w:rPr>
              <w:t>出现任意项：</w:t>
            </w:r>
          </w:p>
          <w:p w14:paraId="6BA2ED99">
            <w:pPr>
              <w:pStyle w:val="15"/>
              <w:spacing w:beforeLines="0" w:afterLines="0"/>
              <w:jc w:val="center"/>
              <w:outlineLvl w:val="0"/>
              <w:rPr>
                <w:rFonts w:ascii="Times New Roman" w:eastAsia="宋体"/>
                <w:szCs w:val="21"/>
              </w:rPr>
            </w:pPr>
            <w:r>
              <w:rPr>
                <w:rFonts w:ascii="Times New Roman" w:eastAsia="宋体"/>
                <w:szCs w:val="21"/>
              </w:rPr>
              <w:t>肉色等级</w:t>
            </w:r>
            <w:r>
              <w:rPr>
                <w:rFonts w:hint="eastAsia" w:ascii="Times New Roman" w:eastAsia="宋体"/>
                <w:szCs w:val="21"/>
              </w:rPr>
              <w:t>：</w:t>
            </w:r>
          </w:p>
          <w:p w14:paraId="0A965F1F">
            <w:pPr>
              <w:pStyle w:val="15"/>
              <w:spacing w:beforeLines="0" w:afterLines="0"/>
              <w:jc w:val="center"/>
              <w:outlineLvl w:val="0"/>
              <w:rPr>
                <w:rFonts w:ascii="Times New Roman" w:eastAsia="宋体"/>
                <w:szCs w:val="21"/>
              </w:rPr>
            </w:pPr>
            <w:r>
              <w:rPr>
                <w:rFonts w:ascii="Times New Roman" w:eastAsia="宋体"/>
                <w:szCs w:val="21"/>
              </w:rPr>
              <w:t>1级～3级或8级；</w:t>
            </w:r>
          </w:p>
          <w:p w14:paraId="6DCA2042">
            <w:pPr>
              <w:pStyle w:val="15"/>
              <w:spacing w:beforeLines="0" w:afterLines="0"/>
              <w:jc w:val="center"/>
              <w:outlineLvl w:val="0"/>
              <w:rPr>
                <w:rFonts w:ascii="Times New Roman" w:eastAsia="宋体"/>
                <w:szCs w:val="21"/>
              </w:rPr>
            </w:pPr>
            <w:r>
              <w:rPr>
                <w:rFonts w:ascii="Times New Roman" w:eastAsia="宋体"/>
                <w:szCs w:val="21"/>
              </w:rPr>
              <w:t>脂肪颜色等级：</w:t>
            </w:r>
          </w:p>
          <w:p w14:paraId="67E4CDCD">
            <w:pPr>
              <w:pStyle w:val="15"/>
              <w:spacing w:beforeLines="0" w:afterLines="0"/>
              <w:jc w:val="center"/>
              <w:outlineLvl w:val="0"/>
              <w:rPr>
                <w:rFonts w:ascii="Times New Roman" w:eastAsia="宋体"/>
                <w:szCs w:val="21"/>
              </w:rPr>
            </w:pPr>
            <w:r>
              <w:rPr>
                <w:rFonts w:ascii="Times New Roman" w:eastAsia="宋体"/>
                <w:szCs w:val="21"/>
              </w:rPr>
              <w:t>5级～8级</w:t>
            </w:r>
          </w:p>
        </w:tc>
        <w:tc>
          <w:tcPr>
            <w:tcW w:w="2257" w:type="dxa"/>
            <w:vAlign w:val="center"/>
          </w:tcPr>
          <w:p w14:paraId="1BD968B9">
            <w:pPr>
              <w:pStyle w:val="15"/>
              <w:spacing w:beforeLines="0" w:afterLines="0"/>
              <w:jc w:val="center"/>
              <w:outlineLvl w:val="0"/>
              <w:rPr>
                <w:rFonts w:ascii="Times New Roman" w:eastAsia="宋体"/>
                <w:szCs w:val="21"/>
              </w:rPr>
            </w:pPr>
            <w:r>
              <w:rPr>
                <w:rFonts w:ascii="Times New Roman" w:eastAsia="宋体"/>
                <w:szCs w:val="21"/>
              </w:rPr>
              <w:t>出现任意项：</w:t>
            </w:r>
          </w:p>
          <w:p w14:paraId="5F442A8B">
            <w:pPr>
              <w:pStyle w:val="15"/>
              <w:spacing w:beforeLines="0" w:afterLines="0"/>
              <w:jc w:val="center"/>
              <w:outlineLvl w:val="0"/>
              <w:rPr>
                <w:rFonts w:ascii="Times New Roman" w:eastAsia="宋体"/>
                <w:szCs w:val="21"/>
              </w:rPr>
            </w:pPr>
            <w:r>
              <w:rPr>
                <w:rFonts w:ascii="Times New Roman" w:eastAsia="宋体"/>
                <w:szCs w:val="21"/>
              </w:rPr>
              <w:t>肉色等级</w:t>
            </w:r>
            <w:r>
              <w:rPr>
                <w:rFonts w:hint="eastAsia" w:ascii="Times New Roman" w:eastAsia="宋体"/>
                <w:szCs w:val="21"/>
              </w:rPr>
              <w:t>：</w:t>
            </w:r>
          </w:p>
          <w:p w14:paraId="04DFEAF8">
            <w:pPr>
              <w:pStyle w:val="15"/>
              <w:spacing w:beforeLines="0" w:afterLines="0"/>
              <w:jc w:val="center"/>
              <w:outlineLvl w:val="0"/>
              <w:rPr>
                <w:rFonts w:ascii="Times New Roman" w:eastAsia="宋体"/>
                <w:szCs w:val="21"/>
              </w:rPr>
            </w:pPr>
            <w:r>
              <w:rPr>
                <w:rFonts w:ascii="Times New Roman" w:eastAsia="宋体"/>
                <w:szCs w:val="21"/>
              </w:rPr>
              <w:t>1级～3级或8级；</w:t>
            </w:r>
          </w:p>
          <w:p w14:paraId="0E06DB73">
            <w:pPr>
              <w:pStyle w:val="15"/>
              <w:spacing w:beforeLines="0" w:afterLines="0"/>
              <w:jc w:val="center"/>
              <w:outlineLvl w:val="0"/>
              <w:rPr>
                <w:rFonts w:ascii="Times New Roman" w:eastAsia="宋体"/>
                <w:szCs w:val="21"/>
              </w:rPr>
            </w:pPr>
            <w:r>
              <w:rPr>
                <w:rFonts w:ascii="Times New Roman" w:eastAsia="宋体"/>
                <w:szCs w:val="21"/>
              </w:rPr>
              <w:t>脂肪颜色等级：</w:t>
            </w:r>
          </w:p>
          <w:p w14:paraId="48BED838">
            <w:pPr>
              <w:pStyle w:val="15"/>
              <w:spacing w:beforeLines="0" w:afterLines="0"/>
              <w:jc w:val="center"/>
              <w:outlineLvl w:val="0"/>
              <w:rPr>
                <w:rFonts w:ascii="Times New Roman" w:eastAsia="宋体"/>
                <w:szCs w:val="21"/>
              </w:rPr>
            </w:pPr>
            <w:r>
              <w:rPr>
                <w:rFonts w:ascii="Times New Roman" w:eastAsia="宋体"/>
                <w:szCs w:val="21"/>
              </w:rPr>
              <w:t>5级～8级</w:t>
            </w:r>
          </w:p>
        </w:tc>
      </w:tr>
      <w:tr w14:paraId="4D9E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1" w:type="dxa"/>
            <w:vAlign w:val="center"/>
          </w:tcPr>
          <w:p w14:paraId="374CBF4A">
            <w:pPr>
              <w:pStyle w:val="15"/>
              <w:spacing w:beforeLines="0" w:afterLines="0"/>
              <w:jc w:val="center"/>
              <w:outlineLvl w:val="0"/>
              <w:rPr>
                <w:rFonts w:ascii="Times New Roman" w:eastAsia="宋体"/>
                <w:szCs w:val="21"/>
              </w:rPr>
            </w:pPr>
            <w:r>
              <w:rPr>
                <w:rFonts w:ascii="Times New Roman" w:eastAsia="宋体"/>
                <w:szCs w:val="21"/>
              </w:rPr>
              <w:t>A</w:t>
            </w:r>
          </w:p>
        </w:tc>
        <w:tc>
          <w:tcPr>
            <w:tcW w:w="1690" w:type="dxa"/>
            <w:vAlign w:val="center"/>
          </w:tcPr>
          <w:p w14:paraId="44171DA2">
            <w:pPr>
              <w:pStyle w:val="15"/>
              <w:spacing w:beforeLines="0" w:afterLines="0"/>
              <w:jc w:val="center"/>
              <w:outlineLvl w:val="0"/>
              <w:rPr>
                <w:rFonts w:ascii="Times New Roman" w:eastAsia="宋体"/>
                <w:szCs w:val="21"/>
              </w:rPr>
            </w:pPr>
            <w:r>
              <w:rPr>
                <w:rFonts w:ascii="Times New Roman" w:eastAsia="宋体"/>
                <w:szCs w:val="21"/>
              </w:rPr>
              <w:t>B</w:t>
            </w:r>
          </w:p>
        </w:tc>
        <w:tc>
          <w:tcPr>
            <w:tcW w:w="2428" w:type="dxa"/>
            <w:vAlign w:val="center"/>
          </w:tcPr>
          <w:p w14:paraId="2A95AD74">
            <w:pPr>
              <w:pStyle w:val="15"/>
              <w:spacing w:beforeLines="0" w:afterLines="0"/>
              <w:jc w:val="center"/>
              <w:outlineLvl w:val="0"/>
              <w:rPr>
                <w:rFonts w:ascii="Times New Roman" w:eastAsia="宋体"/>
                <w:szCs w:val="21"/>
              </w:rPr>
            </w:pPr>
            <w:r>
              <w:rPr>
                <w:rFonts w:ascii="Times New Roman" w:eastAsia="宋体"/>
                <w:szCs w:val="21"/>
              </w:rPr>
              <w:t>C</w:t>
            </w:r>
          </w:p>
        </w:tc>
        <w:tc>
          <w:tcPr>
            <w:tcW w:w="2257" w:type="dxa"/>
            <w:vAlign w:val="center"/>
          </w:tcPr>
          <w:p w14:paraId="636F74A8">
            <w:pPr>
              <w:pStyle w:val="15"/>
              <w:spacing w:beforeLines="0" w:afterLines="0"/>
              <w:jc w:val="center"/>
              <w:outlineLvl w:val="0"/>
              <w:rPr>
                <w:rFonts w:ascii="Times New Roman" w:eastAsia="宋体"/>
                <w:szCs w:val="21"/>
              </w:rPr>
            </w:pPr>
            <w:r>
              <w:rPr>
                <w:rFonts w:ascii="Times New Roman" w:eastAsia="宋体"/>
                <w:szCs w:val="21"/>
              </w:rPr>
              <w:t>D</w:t>
            </w:r>
          </w:p>
        </w:tc>
      </w:tr>
    </w:tbl>
    <w:p w14:paraId="23243281">
      <w:pPr>
        <w:pStyle w:val="16"/>
        <w:tabs>
          <w:tab w:val="center" w:pos="4201"/>
          <w:tab w:val="right" w:leader="dot" w:pos="9298"/>
        </w:tabs>
        <w:rPr>
          <w:rFonts w:ascii="Times New Roman"/>
        </w:rPr>
        <w:sectPr>
          <w:pgSz w:w="11906" w:h="16838"/>
          <w:pgMar w:top="1440" w:right="1800" w:bottom="1440" w:left="1800" w:header="851" w:footer="992" w:gutter="0"/>
          <w:cols w:space="425" w:num="1"/>
          <w:docGrid w:type="lines" w:linePitch="312" w:charSpace="0"/>
        </w:sectPr>
      </w:pPr>
    </w:p>
    <w:p w14:paraId="602FE412">
      <w:pPr>
        <w:pStyle w:val="16"/>
        <w:tabs>
          <w:tab w:val="center" w:pos="4201"/>
          <w:tab w:val="right" w:leader="dot" w:pos="9298"/>
        </w:tabs>
        <w:jc w:val="center"/>
        <w:rPr>
          <w:rFonts w:ascii="黑体" w:hAnsi="黑体" w:eastAsia="黑体" w:cs="黑体"/>
        </w:rPr>
      </w:pPr>
      <w:r>
        <w:rPr>
          <w:rFonts w:hint="eastAsia" w:ascii="黑体" w:hAnsi="黑体" w:eastAsia="黑体" w:cs="黑体"/>
        </w:rPr>
        <w:t>附录C</w:t>
      </w:r>
    </w:p>
    <w:p w14:paraId="15E395EA">
      <w:pPr>
        <w:pStyle w:val="16"/>
        <w:tabs>
          <w:tab w:val="center" w:pos="4201"/>
          <w:tab w:val="right" w:leader="dot" w:pos="9298"/>
        </w:tabs>
        <w:jc w:val="center"/>
        <w:rPr>
          <w:rFonts w:ascii="黑体" w:hAnsi="黑体" w:eastAsia="黑体" w:cs="黑体"/>
        </w:rPr>
      </w:pPr>
      <w:r>
        <w:rPr>
          <w:rFonts w:hint="eastAsia" w:ascii="黑体" w:hAnsi="黑体" w:eastAsia="黑体" w:cs="黑体"/>
        </w:rPr>
        <w:t>（规范性）</w:t>
      </w:r>
    </w:p>
    <w:p w14:paraId="1A2FDA5E">
      <w:pPr>
        <w:pStyle w:val="16"/>
        <w:tabs>
          <w:tab w:val="center" w:pos="4201"/>
          <w:tab w:val="right" w:leader="dot" w:pos="9298"/>
        </w:tabs>
        <w:jc w:val="center"/>
        <w:rPr>
          <w:rFonts w:ascii="黑体" w:hAnsi="黑体" w:eastAsia="黑体" w:cs="黑体"/>
        </w:rPr>
      </w:pPr>
      <w:r>
        <w:rPr>
          <w:rFonts w:hint="eastAsia" w:ascii="黑体" w:hAnsi="黑体" w:eastAsia="黑体" w:cs="黑体"/>
        </w:rPr>
        <w:t>通辽肉牛胴体和通辽分割牛肉质量等级标志</w:t>
      </w:r>
    </w:p>
    <w:p w14:paraId="5334B63B">
      <w:pPr>
        <w:pStyle w:val="16"/>
        <w:tabs>
          <w:tab w:val="center" w:pos="4201"/>
          <w:tab w:val="right" w:leader="dot" w:pos="9298"/>
        </w:tabs>
        <w:rPr>
          <w:rFonts w:ascii="Times New Roman"/>
        </w:rPr>
      </w:pPr>
    </w:p>
    <w:p w14:paraId="735A8F02">
      <w:pPr>
        <w:pStyle w:val="16"/>
        <w:tabs>
          <w:tab w:val="center" w:pos="4201"/>
          <w:tab w:val="right" w:leader="dot" w:pos="9298"/>
        </w:tabs>
        <w:spacing w:before="156" w:beforeLines="50" w:after="156" w:afterLines="50"/>
        <w:rPr>
          <w:rFonts w:ascii="Times New Roman"/>
        </w:rPr>
      </w:pPr>
      <w:r>
        <w:rPr>
          <w:rFonts w:hint="eastAsia" w:ascii="黑体" w:hAnsi="黑体" w:eastAsia="黑体" w:cs="黑体"/>
        </w:rPr>
        <w:t>C.1</w:t>
      </w:r>
      <w:r>
        <w:rPr>
          <w:rFonts w:ascii="Times New Roman"/>
        </w:rPr>
        <w:t xml:space="preserve"> </w:t>
      </w:r>
      <w:r>
        <w:rPr>
          <w:rFonts w:hint="eastAsia" w:ascii="Times New Roman"/>
        </w:rPr>
        <w:t xml:space="preserve"> 通辽肉牛胴体产量等级标志</w:t>
      </w:r>
    </w:p>
    <w:p w14:paraId="2B63E141">
      <w:pPr>
        <w:pStyle w:val="16"/>
        <w:tabs>
          <w:tab w:val="center" w:pos="4201"/>
          <w:tab w:val="right" w:leader="dot" w:pos="9298"/>
        </w:tabs>
        <w:ind w:firstLine="420" w:firstLineChars="200"/>
        <w:rPr>
          <w:rFonts w:ascii="Times New Roman"/>
        </w:rPr>
      </w:pPr>
      <w:r>
        <w:rPr>
          <w:rFonts w:hint="eastAsia" w:ascii="Times New Roman"/>
        </w:rPr>
        <w:t>可采用包装标签上文字标志或特制的图案标志。文字标志为“优级”“良好级”“普通级”。</w:t>
      </w:r>
    </w:p>
    <w:p w14:paraId="58BA2576">
      <w:pPr>
        <w:pStyle w:val="16"/>
        <w:tabs>
          <w:tab w:val="center" w:pos="4201"/>
          <w:tab w:val="right" w:leader="dot" w:pos="9298"/>
        </w:tabs>
        <w:rPr>
          <w:rFonts w:ascii="Times New Roman"/>
        </w:rPr>
      </w:pPr>
      <w:r>
        <w:rPr>
          <w:rFonts w:hint="eastAsia" w:ascii="Times New Roman"/>
        </w:rPr>
        <w:t>图案标志示例见图</w:t>
      </w:r>
      <w:r>
        <w:rPr>
          <w:rFonts w:ascii="Times New Roman"/>
        </w:rPr>
        <w:t>C</w:t>
      </w:r>
      <w:r>
        <w:rPr>
          <w:rFonts w:hint="eastAsia" w:ascii="Times New Roman"/>
        </w:rPr>
        <w:t>.1。</w:t>
      </w:r>
    </w:p>
    <w:p w14:paraId="17D41796">
      <w:pPr>
        <w:pStyle w:val="16"/>
        <w:tabs>
          <w:tab w:val="center" w:pos="4201"/>
          <w:tab w:val="right" w:leader="dot" w:pos="9298"/>
        </w:tabs>
        <w:rPr>
          <w:rFonts w:ascii="Times New Roman"/>
        </w:rPr>
      </w:pPr>
    </w:p>
    <w:p w14:paraId="19309CFB">
      <w:pPr>
        <w:pStyle w:val="16"/>
        <w:tabs>
          <w:tab w:val="center" w:pos="4201"/>
          <w:tab w:val="right" w:leader="dot" w:pos="9298"/>
        </w:tabs>
        <w:jc w:val="center"/>
        <w:rPr>
          <w:rFonts w:ascii="Times New Roman"/>
        </w:rPr>
      </w:pPr>
      <w:r>
        <w:rPr>
          <w:rFonts w:ascii="Times New Roman"/>
        </w:rPr>
        <mc:AlternateContent>
          <mc:Choice Requires="wps">
            <w:drawing>
              <wp:inline distT="0" distB="0" distL="0" distR="0">
                <wp:extent cx="581025" cy="352425"/>
                <wp:effectExtent l="0" t="0" r="28575" b="28575"/>
                <wp:docPr id="11" name="文本框 11"/>
                <wp:cNvGraphicFramePr/>
                <a:graphic xmlns:a="http://schemas.openxmlformats.org/drawingml/2006/main">
                  <a:graphicData uri="http://schemas.microsoft.com/office/word/2010/wordprocessingShape">
                    <wps:wsp>
                      <wps:cNvSpPr txBox="1"/>
                      <wps:spPr>
                        <a:xfrm>
                          <a:off x="0" y="0"/>
                          <a:ext cx="5810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EAE65">
                            <w:r>
                              <w:rPr>
                                <w:rFonts w:hint="eastAsia"/>
                              </w:rPr>
                              <w:t>优级</w:t>
                            </w:r>
                          </w:p>
                          <w:p w14:paraId="2EDA4394"/>
                          <w:p w14:paraId="06F4B0E3"/>
                        </w:txbxContent>
                      </wps:txbx>
                      <wps:bodyPr rot="0" spcFirstLastPara="0" vertOverflow="overflow" horzOverflow="overflow" vert="horz" wrap="square" lIns="72000" tIns="0" rIns="72000" bIns="45720" numCol="1" spcCol="0" rtlCol="0" fromWordArt="0" anchor="ctr" anchorCtr="0" forceAA="0" compatLnSpc="1">
                        <a:noAutofit/>
                      </wps:bodyPr>
                    </wps:wsp>
                  </a:graphicData>
                </a:graphic>
              </wp:inline>
            </w:drawing>
          </mc:Choice>
          <mc:Fallback>
            <w:pict>
              <v:shape id="_x0000_s1026" o:spid="_x0000_s1026" o:spt="202" type="#_x0000_t202" style="height:27.75pt;width:45.75pt;v-text-anchor:middle;" fillcolor="#FFFFFF [3201]" filled="t" stroked="t" coordsize="21600,21600" o:gfxdata="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I8viFNQA&#10;AAADAQAADwAAAAAAAAABACAAAAAiAAAAZHJzL2Rvd25yZXYueG1sUEsBAhQAFAAAAAgAh07iQGuQ&#10;PcZcAgAAxAQAAA4AAAAAAAAAAQAgAAAAIwEAAGRycy9lMm9Eb2MueG1sUEsFBgAAAAAGAAYAWQEA&#10;APEFAAAAAA==&#10;">
                <v:fill on="t" focussize="0,0"/>
                <v:stroke weight="0.5pt" color="#000000 [3204]" joinstyle="round"/>
                <v:imagedata o:title=""/>
                <o:lock v:ext="edit" aspectratio="f"/>
                <v:textbox inset="2mm,0mm,2mm,1.27mm">
                  <w:txbxContent>
                    <w:p w14:paraId="6E9EAE65">
                      <w:r>
                        <w:rPr>
                          <w:rFonts w:hint="eastAsia"/>
                        </w:rPr>
                        <w:t>优级</w:t>
                      </w:r>
                    </w:p>
                    <w:p w14:paraId="2EDA4394"/>
                    <w:p w14:paraId="06F4B0E3"/>
                  </w:txbxContent>
                </v:textbox>
                <w10:wrap type="none"/>
                <w10:anchorlock/>
              </v:shape>
            </w:pict>
          </mc:Fallback>
        </mc:AlternateContent>
      </w:r>
      <w:r>
        <w:rPr>
          <w:rFonts w:hint="eastAsia" w:ascii="Times New Roman"/>
        </w:rPr>
        <w:t xml:space="preserve"> </w:t>
      </w:r>
      <w:r>
        <w:rPr>
          <w:rFonts w:ascii="Times New Roman"/>
        </w:rPr>
        <mc:AlternateContent>
          <mc:Choice Requires="wps">
            <w:drawing>
              <wp:inline distT="0" distB="0" distL="0" distR="0">
                <wp:extent cx="581025" cy="352425"/>
                <wp:effectExtent l="0" t="0" r="28575" b="28575"/>
                <wp:docPr id="1" name="文本框 1"/>
                <wp:cNvGraphicFramePr/>
                <a:graphic xmlns:a="http://schemas.openxmlformats.org/drawingml/2006/main">
                  <a:graphicData uri="http://schemas.microsoft.com/office/word/2010/wordprocessingShape">
                    <wps:wsp>
                      <wps:cNvSpPr txBox="1"/>
                      <wps:spPr>
                        <a:xfrm>
                          <a:off x="0" y="0"/>
                          <a:ext cx="5810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CE5849">
                            <w:r>
                              <w:rPr>
                                <w:rFonts w:hint="eastAsia"/>
                              </w:rPr>
                              <w:t>良好级</w:t>
                            </w:r>
                          </w:p>
                          <w:p w14:paraId="496D2BCB"/>
                          <w:p w14:paraId="03DDFFEF"/>
                        </w:txbxContent>
                      </wps:txbx>
                      <wps:bodyPr rot="0" spcFirstLastPara="0" vertOverflow="overflow" horzOverflow="overflow" vert="horz" wrap="square" lIns="72000" tIns="0" rIns="72000" bIns="45720" numCol="1" spcCol="0" rtlCol="0" fromWordArt="0" anchor="ctr" anchorCtr="0" forceAA="0" compatLnSpc="1">
                        <a:noAutofit/>
                      </wps:bodyPr>
                    </wps:wsp>
                  </a:graphicData>
                </a:graphic>
              </wp:inline>
            </w:drawing>
          </mc:Choice>
          <mc:Fallback>
            <w:pict>
              <v:shape id="_x0000_s1026" o:spid="_x0000_s1026" o:spt="202" type="#_x0000_t202" style="height:27.75pt;width:45.75pt;v-text-anchor:middle;" fillcolor="#FFFFFF [3201]" filled="t" stroked="t" coordsize="21600,21600" o:gfxdata="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jy+IU1AAA&#10;AAMBAAAPAAAAAAAAAAEAIAAAACIAAABkcnMvZG93bnJldi54bWxQSwECFAAUAAAACACHTuJAtaDd&#10;jlsCAADCBAAADgAAAAAAAAABACAAAAAjAQAAZHJzL2Uyb0RvYy54bWxQSwUGAAAAAAYABgBZAQAA&#10;8AUAAAAA&#10;">
                <v:fill on="t" focussize="0,0"/>
                <v:stroke weight="0.5pt" color="#000000 [3204]" joinstyle="round"/>
                <v:imagedata o:title=""/>
                <o:lock v:ext="edit" aspectratio="f"/>
                <v:textbox inset="2mm,0mm,2mm,1.27mm">
                  <w:txbxContent>
                    <w:p w14:paraId="2CCE5849">
                      <w:r>
                        <w:rPr>
                          <w:rFonts w:hint="eastAsia"/>
                        </w:rPr>
                        <w:t>良好级</w:t>
                      </w:r>
                    </w:p>
                    <w:p w14:paraId="496D2BCB"/>
                    <w:p w14:paraId="03DDFFEF"/>
                  </w:txbxContent>
                </v:textbox>
                <w10:wrap type="none"/>
                <w10:anchorlock/>
              </v:shape>
            </w:pict>
          </mc:Fallback>
        </mc:AlternateContent>
      </w:r>
      <w:r>
        <w:rPr>
          <w:rFonts w:ascii="Times New Roman"/>
        </w:rPr>
        <w:t xml:space="preserve"> </w:t>
      </w:r>
      <w:r>
        <w:rPr>
          <w:rFonts w:ascii="Times New Roman"/>
        </w:rPr>
        <mc:AlternateContent>
          <mc:Choice Requires="wps">
            <w:drawing>
              <wp:inline distT="0" distB="0" distL="0" distR="0">
                <wp:extent cx="581025" cy="352425"/>
                <wp:effectExtent l="0" t="0" r="28575" b="28575"/>
                <wp:docPr id="2" name="文本框 2"/>
                <wp:cNvGraphicFramePr/>
                <a:graphic xmlns:a="http://schemas.openxmlformats.org/drawingml/2006/main">
                  <a:graphicData uri="http://schemas.microsoft.com/office/word/2010/wordprocessingShape">
                    <wps:wsp>
                      <wps:cNvSpPr txBox="1"/>
                      <wps:spPr>
                        <a:xfrm>
                          <a:off x="0" y="0"/>
                          <a:ext cx="5810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92F71D">
                            <w:r>
                              <w:rPr>
                                <w:rFonts w:hint="eastAsia"/>
                              </w:rPr>
                              <w:t>普通级</w:t>
                            </w:r>
                          </w:p>
                          <w:p w14:paraId="4E495B62"/>
                          <w:p w14:paraId="409FD700"/>
                        </w:txbxContent>
                      </wps:txbx>
                      <wps:bodyPr rot="0" spcFirstLastPara="0" vertOverflow="overflow" horzOverflow="overflow" vert="horz" wrap="square" lIns="72000" tIns="0" rIns="72000" bIns="45720" numCol="1" spcCol="0" rtlCol="0" fromWordArt="0" anchor="ctr" anchorCtr="0" forceAA="0" compatLnSpc="1">
                        <a:noAutofit/>
                      </wps:bodyPr>
                    </wps:wsp>
                  </a:graphicData>
                </a:graphic>
              </wp:inline>
            </w:drawing>
          </mc:Choice>
          <mc:Fallback>
            <w:pict>
              <v:shape id="_x0000_s1026" o:spid="_x0000_s1026" o:spt="202" type="#_x0000_t202" style="height:27.75pt;width:45.75pt;v-text-anchor:middle;" fillcolor="#FFFFFF [3201]" filled="t" stroked="t" coordsize="21600,21600" o:gfxdata="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PL4hTU&#10;AAAAAwEAAA8AAAAAAAAAAQAgAAAAIgAAAGRycy9kb3ducmV2LnhtbFBLAQIUABQAAAAIAIdO4kAT&#10;gSZLXQIAAMIEAAAOAAAAAAAAAAEAIAAAACMBAABkcnMvZTJvRG9jLnhtbFBLBQYAAAAABgAGAFkB&#10;AADyBQAAAAA=&#10;">
                <v:fill on="t" focussize="0,0"/>
                <v:stroke weight="0.5pt" color="#000000 [3204]" joinstyle="round"/>
                <v:imagedata o:title=""/>
                <o:lock v:ext="edit" aspectratio="f"/>
                <v:textbox inset="2mm,0mm,2mm,1.27mm">
                  <w:txbxContent>
                    <w:p w14:paraId="1E92F71D">
                      <w:r>
                        <w:rPr>
                          <w:rFonts w:hint="eastAsia"/>
                        </w:rPr>
                        <w:t>普通级</w:t>
                      </w:r>
                    </w:p>
                    <w:p w14:paraId="4E495B62"/>
                    <w:p w14:paraId="409FD700"/>
                  </w:txbxContent>
                </v:textbox>
                <w10:wrap type="none"/>
                <w10:anchorlock/>
              </v:shape>
            </w:pict>
          </mc:Fallback>
        </mc:AlternateContent>
      </w:r>
    </w:p>
    <w:p w14:paraId="161B2C96">
      <w:pPr>
        <w:pStyle w:val="16"/>
        <w:tabs>
          <w:tab w:val="center" w:pos="4201"/>
          <w:tab w:val="right" w:leader="dot" w:pos="9298"/>
        </w:tabs>
        <w:spacing w:before="156" w:beforeLines="50" w:after="156" w:afterLines="50"/>
        <w:jc w:val="center"/>
        <w:rPr>
          <w:rFonts w:ascii="黑体" w:hAnsi="黑体" w:eastAsia="黑体" w:cs="黑体"/>
        </w:rPr>
      </w:pPr>
      <w:r>
        <w:rPr>
          <w:rFonts w:hint="eastAsia" w:ascii="黑体" w:hAnsi="黑体" w:eastAsia="黑体" w:cs="黑体"/>
        </w:rPr>
        <w:t>图C.1 通辽肉牛胴体产量等级图案标志</w:t>
      </w:r>
    </w:p>
    <w:p w14:paraId="333EFAB6">
      <w:pPr>
        <w:pStyle w:val="16"/>
        <w:tabs>
          <w:tab w:val="center" w:pos="4201"/>
          <w:tab w:val="right" w:leader="dot" w:pos="9298"/>
        </w:tabs>
        <w:spacing w:before="156" w:beforeLines="50" w:after="156" w:afterLines="50"/>
        <w:rPr>
          <w:rFonts w:ascii="黑体" w:hAnsi="黑体" w:eastAsia="黑体" w:cs="黑体"/>
        </w:rPr>
      </w:pPr>
      <w:r>
        <w:rPr>
          <w:rFonts w:hint="eastAsia" w:ascii="黑体" w:hAnsi="黑体" w:eastAsia="黑体" w:cs="黑体"/>
        </w:rPr>
        <w:t xml:space="preserve">C.2  </w:t>
      </w:r>
      <w:r>
        <w:rPr>
          <w:rFonts w:hint="eastAsia" w:hAnsi="宋体" w:cs="宋体"/>
        </w:rPr>
        <w:t>通辽肉牛胴体和通辽分割牛肉质量等级标志</w:t>
      </w:r>
    </w:p>
    <w:p w14:paraId="2992EC99">
      <w:pPr>
        <w:pStyle w:val="16"/>
        <w:tabs>
          <w:tab w:val="center" w:pos="4201"/>
          <w:tab w:val="right" w:leader="dot" w:pos="9298"/>
        </w:tabs>
        <w:ind w:firstLine="420" w:firstLineChars="200"/>
        <w:rPr>
          <w:rFonts w:ascii="Times New Roman"/>
        </w:rPr>
      </w:pPr>
      <w:r>
        <w:rPr>
          <w:rFonts w:hint="eastAsia" w:ascii="Times New Roman"/>
        </w:rPr>
        <w:t>可采用包装标签上文字标志或特制的图案标志。文字标志为“A级”“B级”“C级”。</w:t>
      </w:r>
    </w:p>
    <w:p w14:paraId="6D86B9F5">
      <w:pPr>
        <w:pStyle w:val="16"/>
        <w:tabs>
          <w:tab w:val="center" w:pos="4201"/>
          <w:tab w:val="right" w:leader="dot" w:pos="9298"/>
        </w:tabs>
        <w:rPr>
          <w:rFonts w:ascii="Times New Roman"/>
        </w:rPr>
      </w:pPr>
      <w:r>
        <w:rPr>
          <w:rFonts w:hint="eastAsia" w:ascii="Times New Roman"/>
        </w:rPr>
        <w:t>图案标志示例见图</w:t>
      </w:r>
      <w:r>
        <w:rPr>
          <w:rFonts w:ascii="Times New Roman"/>
        </w:rPr>
        <w:t>C</w:t>
      </w:r>
      <w:r>
        <w:rPr>
          <w:rFonts w:hint="eastAsia" w:ascii="Times New Roman"/>
        </w:rPr>
        <w:t>.2。</w:t>
      </w:r>
    </w:p>
    <w:p w14:paraId="5DF003F8">
      <w:pPr>
        <w:pStyle w:val="16"/>
        <w:tabs>
          <w:tab w:val="center" w:pos="4201"/>
          <w:tab w:val="right" w:leader="dot" w:pos="9298"/>
        </w:tabs>
        <w:rPr>
          <w:rFonts w:ascii="Times New Roman"/>
        </w:rPr>
      </w:pPr>
    </w:p>
    <w:p w14:paraId="6576C66D">
      <w:pPr>
        <w:pStyle w:val="16"/>
        <w:tabs>
          <w:tab w:val="center" w:pos="4201"/>
          <w:tab w:val="right" w:leader="dot" w:pos="9298"/>
        </w:tabs>
        <w:jc w:val="center"/>
      </w:pPr>
      <w:r>
        <w:rPr>
          <w:rFonts w:ascii="Times New Roman"/>
        </w:rPr>
        <mc:AlternateContent>
          <mc:Choice Requires="wps">
            <w:drawing>
              <wp:inline distT="0" distB="0" distL="0" distR="0">
                <wp:extent cx="581025" cy="352425"/>
                <wp:effectExtent l="0" t="0" r="28575" b="28575"/>
                <wp:docPr id="4" name="文本框 4"/>
                <wp:cNvGraphicFramePr/>
                <a:graphic xmlns:a="http://schemas.openxmlformats.org/drawingml/2006/main">
                  <a:graphicData uri="http://schemas.microsoft.com/office/word/2010/wordprocessingShape">
                    <wps:wsp>
                      <wps:cNvSpPr txBox="1"/>
                      <wps:spPr>
                        <a:xfrm>
                          <a:off x="0" y="0"/>
                          <a:ext cx="5810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B870F8">
                            <w:r>
                              <w:rPr>
                                <w:rFonts w:hint="eastAsia"/>
                              </w:rPr>
                              <w:t>A级</w:t>
                            </w:r>
                          </w:p>
                          <w:p w14:paraId="69F551BA"/>
                          <w:p w14:paraId="74C2FBEB"/>
                        </w:txbxContent>
                      </wps:txbx>
                      <wps:bodyPr rot="0" spcFirstLastPara="0" vertOverflow="overflow" horzOverflow="overflow" vert="horz" wrap="square" lIns="91440" tIns="0" rIns="91440" bIns="45720" numCol="1" spcCol="0" rtlCol="0" fromWordArt="0" anchor="ctr" anchorCtr="0" forceAA="0" compatLnSpc="1">
                        <a:noAutofit/>
                      </wps:bodyPr>
                    </wps:wsp>
                  </a:graphicData>
                </a:graphic>
              </wp:inline>
            </w:drawing>
          </mc:Choice>
          <mc:Fallback>
            <w:pict>
              <v:shape id="_x0000_s1026" o:spid="_x0000_s1026" o:spt="202" type="#_x0000_t202" style="height:27.75pt;width:45.75pt;v-text-anchor:middle;" fillcolor="#FFFFFF [3201]" filled="t" stroked="t" coordsize="21600,21600" o:gfxdata="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NFgWtIA&#10;AAADAQAADwAAAAAAAAABACAAAAAiAAAAZHJzL2Rvd25yZXYueG1sUEsBAhQAFAAAAAgAh07iQJaY&#10;yDxeAgAAwgQAAA4AAAAAAAAAAQAgAAAAIQEAAGRycy9lMm9Eb2MueG1sUEsFBgAAAAAGAAYAWQEA&#10;APEFAAAAAA==&#10;">
                <v:fill on="t" focussize="0,0"/>
                <v:stroke weight="0.5pt" color="#000000 [3204]" joinstyle="round"/>
                <v:imagedata o:title=""/>
                <o:lock v:ext="edit" aspectratio="f"/>
                <v:textbox inset="2.54mm,0mm,2.54mm,1.27mm">
                  <w:txbxContent>
                    <w:p w14:paraId="08B870F8">
                      <w:r>
                        <w:rPr>
                          <w:rFonts w:hint="eastAsia"/>
                        </w:rPr>
                        <w:t>A级</w:t>
                      </w:r>
                    </w:p>
                    <w:p w14:paraId="69F551BA"/>
                    <w:p w14:paraId="74C2FBEB"/>
                  </w:txbxContent>
                </v:textbox>
                <w10:wrap type="none"/>
                <w10:anchorlock/>
              </v:shape>
            </w:pict>
          </mc:Fallback>
        </mc:AlternateContent>
      </w:r>
      <w:r>
        <w:rPr>
          <w:rFonts w:ascii="Times New Roman"/>
        </w:rPr>
        <w:t xml:space="preserve"> </w:t>
      </w:r>
      <w:r>
        <w:rPr>
          <w:rFonts w:ascii="Times New Roman"/>
        </w:rPr>
        <mc:AlternateContent>
          <mc:Choice Requires="wps">
            <w:drawing>
              <wp:inline distT="0" distB="0" distL="0" distR="0">
                <wp:extent cx="581025" cy="352425"/>
                <wp:effectExtent l="0" t="0" r="28575" b="28575"/>
                <wp:docPr id="5" name="文本框 5"/>
                <wp:cNvGraphicFramePr/>
                <a:graphic xmlns:a="http://schemas.openxmlformats.org/drawingml/2006/main">
                  <a:graphicData uri="http://schemas.microsoft.com/office/word/2010/wordprocessingShape">
                    <wps:wsp>
                      <wps:cNvSpPr txBox="1"/>
                      <wps:spPr>
                        <a:xfrm>
                          <a:off x="0" y="0"/>
                          <a:ext cx="5810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7BFDFE">
                            <w:r>
                              <w:t>B</w:t>
                            </w:r>
                            <w:r>
                              <w:rPr>
                                <w:rFonts w:hint="eastAsia"/>
                              </w:rPr>
                              <w:t>级</w:t>
                            </w:r>
                          </w:p>
                          <w:p w14:paraId="4D035831"/>
                          <w:p w14:paraId="40E98537"/>
                        </w:txbxContent>
                      </wps:txbx>
                      <wps:bodyPr rot="0" spcFirstLastPara="0" vertOverflow="overflow" horzOverflow="overflow" vert="horz" wrap="square" lIns="91440" tIns="0" rIns="91440" bIns="45720" numCol="1" spcCol="0" rtlCol="0" fromWordArt="0" anchor="ctr" anchorCtr="0" forceAA="0" compatLnSpc="1">
                        <a:noAutofit/>
                      </wps:bodyPr>
                    </wps:wsp>
                  </a:graphicData>
                </a:graphic>
              </wp:inline>
            </w:drawing>
          </mc:Choice>
          <mc:Fallback>
            <w:pict>
              <v:shape id="_x0000_s1026" o:spid="_x0000_s1026" o:spt="202" type="#_x0000_t202" style="height:27.75pt;width:45.75pt;v-text-anchor:middle;" fillcolor="#FFFFFF [3201]" filled="t" stroked="t" coordsize="21600,21600" o:gfxdata="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NFgWtIA&#10;AAADAQAADwAAAAAAAAABACAAAAAiAAAAZHJzL2Rvd25yZXYueG1sUEsBAhQAFAAAAAgAh07iQMuF&#10;TsleAgAAwgQAAA4AAAAAAAAAAQAgAAAAIQEAAGRycy9lMm9Eb2MueG1sUEsFBgAAAAAGAAYAWQEA&#10;APEFAAAAAA==&#10;">
                <v:fill on="t" focussize="0,0"/>
                <v:stroke weight="0.5pt" color="#000000 [3204]" joinstyle="round"/>
                <v:imagedata o:title=""/>
                <o:lock v:ext="edit" aspectratio="f"/>
                <v:textbox inset="2.54mm,0mm,2.54mm,1.27mm">
                  <w:txbxContent>
                    <w:p w14:paraId="0E7BFDFE">
                      <w:r>
                        <w:t>B</w:t>
                      </w:r>
                      <w:r>
                        <w:rPr>
                          <w:rFonts w:hint="eastAsia"/>
                        </w:rPr>
                        <w:t>级</w:t>
                      </w:r>
                    </w:p>
                    <w:p w14:paraId="4D035831"/>
                    <w:p w14:paraId="40E98537"/>
                  </w:txbxContent>
                </v:textbox>
                <w10:wrap type="none"/>
                <w10:anchorlock/>
              </v:shape>
            </w:pict>
          </mc:Fallback>
        </mc:AlternateContent>
      </w:r>
      <w:r>
        <w:rPr>
          <w:rFonts w:ascii="Times New Roman"/>
        </w:rPr>
        <w:t xml:space="preserve"> </w:t>
      </w:r>
      <w:r>
        <w:rPr>
          <w:rFonts w:ascii="Times New Roman"/>
        </w:rPr>
        <mc:AlternateContent>
          <mc:Choice Requires="wps">
            <w:drawing>
              <wp:inline distT="0" distB="0" distL="0" distR="0">
                <wp:extent cx="581025" cy="352425"/>
                <wp:effectExtent l="0" t="0" r="28575" b="28575"/>
                <wp:docPr id="6" name="文本框 6"/>
                <wp:cNvGraphicFramePr/>
                <a:graphic xmlns:a="http://schemas.openxmlformats.org/drawingml/2006/main">
                  <a:graphicData uri="http://schemas.microsoft.com/office/word/2010/wordprocessingShape">
                    <wps:wsp>
                      <wps:cNvSpPr txBox="1"/>
                      <wps:spPr>
                        <a:xfrm>
                          <a:off x="0" y="0"/>
                          <a:ext cx="5810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6DAACC">
                            <w:r>
                              <w:t>C</w:t>
                            </w:r>
                            <w:r>
                              <w:rPr>
                                <w:rFonts w:hint="eastAsia"/>
                              </w:rPr>
                              <w:t>级</w:t>
                            </w:r>
                          </w:p>
                          <w:p w14:paraId="5C138420"/>
                          <w:p w14:paraId="0901AFDB"/>
                        </w:txbxContent>
                      </wps:txbx>
                      <wps:bodyPr rot="0" spcFirstLastPara="0" vertOverflow="overflow" horzOverflow="overflow" vert="horz" wrap="square" lIns="91440" tIns="0" rIns="91440" bIns="45720" numCol="1" spcCol="0" rtlCol="0" fromWordArt="0" anchor="ctr" anchorCtr="0" forceAA="0" compatLnSpc="1">
                        <a:noAutofit/>
                      </wps:bodyPr>
                    </wps:wsp>
                  </a:graphicData>
                </a:graphic>
              </wp:inline>
            </w:drawing>
          </mc:Choice>
          <mc:Fallback>
            <w:pict>
              <v:shape id="_x0000_s1026" o:spid="_x0000_s1026" o:spt="202" type="#_x0000_t202" style="height:27.75pt;width:45.75pt;v-text-anchor:middle;" fillcolor="#FFFFFF [3201]" filled="t" stroked="t" coordsize="21600,21600" o:gfxdata="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NFgWtIA&#10;AAADAQAADwAAAAAAAAABACAAAAAiAAAAZHJzL2Rvd25yZXYueG1sUEsBAhQAFAAAAAgAh07iQG2k&#10;tQxeAgAAwgQAAA4AAAAAAAAAAQAgAAAAIQEAAGRycy9lMm9Eb2MueG1sUEsFBgAAAAAGAAYAWQEA&#10;APEFAAAAAA==&#10;">
                <v:fill on="t" focussize="0,0"/>
                <v:stroke weight="0.5pt" color="#000000 [3204]" joinstyle="round"/>
                <v:imagedata o:title=""/>
                <o:lock v:ext="edit" aspectratio="f"/>
                <v:textbox inset="2.54mm,0mm,2.54mm,1.27mm">
                  <w:txbxContent>
                    <w:p w14:paraId="616DAACC">
                      <w:r>
                        <w:t>C</w:t>
                      </w:r>
                      <w:r>
                        <w:rPr>
                          <w:rFonts w:hint="eastAsia"/>
                        </w:rPr>
                        <w:t>级</w:t>
                      </w:r>
                    </w:p>
                    <w:p w14:paraId="5C138420"/>
                    <w:p w14:paraId="0901AFDB"/>
                  </w:txbxContent>
                </v:textbox>
                <w10:wrap type="none"/>
                <w10:anchorlock/>
              </v:shape>
            </w:pict>
          </mc:Fallback>
        </mc:AlternateContent>
      </w:r>
      <w:r>
        <w:rPr>
          <w:rFonts w:ascii="Times New Roman"/>
        </w:rPr>
        <w:t xml:space="preserve"> </w:t>
      </w:r>
      <w:r>
        <w:rPr>
          <w:rFonts w:ascii="Times New Roman"/>
        </w:rPr>
        <mc:AlternateContent>
          <mc:Choice Requires="wps">
            <w:drawing>
              <wp:inline distT="0" distB="0" distL="0" distR="0">
                <wp:extent cx="581025" cy="352425"/>
                <wp:effectExtent l="0" t="0" r="28575" b="28575"/>
                <wp:docPr id="10" name="文本框 10"/>
                <wp:cNvGraphicFramePr/>
                <a:graphic xmlns:a="http://schemas.openxmlformats.org/drawingml/2006/main">
                  <a:graphicData uri="http://schemas.microsoft.com/office/word/2010/wordprocessingShape">
                    <wps:wsp>
                      <wps:cNvSpPr txBox="1"/>
                      <wps:spPr>
                        <a:xfrm>
                          <a:off x="0" y="0"/>
                          <a:ext cx="5810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346778">
                            <w:r>
                              <w:t>D</w:t>
                            </w:r>
                            <w:r>
                              <w:rPr>
                                <w:rFonts w:hint="eastAsia"/>
                              </w:rPr>
                              <w:t>级</w:t>
                            </w:r>
                          </w:p>
                          <w:p w14:paraId="589AD2F5"/>
                          <w:p w14:paraId="54D35F0F"/>
                        </w:txbxContent>
                      </wps:txbx>
                      <wps:bodyPr rot="0" spcFirstLastPara="0" vertOverflow="overflow" horzOverflow="overflow" vert="horz" wrap="square" lIns="91440" tIns="0" rIns="91440" bIns="45720" numCol="1" spcCol="0" rtlCol="0" fromWordArt="0" anchor="ctr" anchorCtr="0" forceAA="0" compatLnSpc="1">
                        <a:noAutofit/>
                      </wps:bodyPr>
                    </wps:wsp>
                  </a:graphicData>
                </a:graphic>
              </wp:inline>
            </w:drawing>
          </mc:Choice>
          <mc:Fallback>
            <w:pict>
              <v:shape id="_x0000_s1026" o:spid="_x0000_s1026" o:spt="202" type="#_x0000_t202" style="height:27.75pt;width:45.75pt;v-text-anchor:middle;" fillcolor="#FFFFFF [3201]" filled="t" stroked="t" coordsize="21600,21600" o:gfxdata="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NFgWtIA&#10;AAADAQAADwAAAAAAAAABACAAAAAiAAAAZHJzL2Rvd25yZXYueG1sUEsBAhQAFAAAAAgAh07iQE6G&#10;FaBeAgAAxAQAAA4AAAAAAAAAAQAgAAAAIQEAAGRycy9lMm9Eb2MueG1sUEsFBgAAAAAGAAYAWQEA&#10;APEFAAAAAA==&#10;">
                <v:fill on="t" focussize="0,0"/>
                <v:stroke weight="0.5pt" color="#000000 [3204]" joinstyle="round"/>
                <v:imagedata o:title=""/>
                <o:lock v:ext="edit" aspectratio="f"/>
                <v:textbox inset="2.54mm,0mm,2.54mm,1.27mm">
                  <w:txbxContent>
                    <w:p w14:paraId="2F346778">
                      <w:r>
                        <w:t>D</w:t>
                      </w:r>
                      <w:r>
                        <w:rPr>
                          <w:rFonts w:hint="eastAsia"/>
                        </w:rPr>
                        <w:t>级</w:t>
                      </w:r>
                    </w:p>
                    <w:p w14:paraId="589AD2F5"/>
                    <w:p w14:paraId="54D35F0F"/>
                  </w:txbxContent>
                </v:textbox>
                <w10:wrap type="none"/>
                <w10:anchorlock/>
              </v:shape>
            </w:pict>
          </mc:Fallback>
        </mc:AlternateContent>
      </w:r>
    </w:p>
    <w:p w14:paraId="673F6E6A">
      <w:pPr>
        <w:pStyle w:val="16"/>
        <w:tabs>
          <w:tab w:val="center" w:pos="4201"/>
          <w:tab w:val="right" w:leader="dot" w:pos="9298"/>
        </w:tabs>
        <w:spacing w:before="156" w:beforeLines="50" w:after="156" w:afterLines="50"/>
        <w:jc w:val="center"/>
        <w:rPr>
          <w:rFonts w:ascii="黑体" w:hAnsi="黑体" w:eastAsia="黑体" w:cs="黑体"/>
        </w:rPr>
      </w:pPr>
      <w:r>
        <w:rPr>
          <w:rFonts w:hint="eastAsia" w:ascii="黑体" w:hAnsi="黑体" w:eastAsia="黑体" w:cs="黑体"/>
        </w:rPr>
        <w:t>图C.2 通辽肉牛胴体和通辽分割牛肉质量等级图案标志</w:t>
      </w:r>
    </w:p>
    <w:p w14:paraId="3B2C0E80">
      <w:pPr>
        <w:pStyle w:val="16"/>
        <w:tabs>
          <w:tab w:val="center" w:pos="4201"/>
          <w:tab w:val="right" w:leader="dot" w:pos="9298"/>
        </w:tabs>
        <w:spacing w:before="156" w:beforeLines="50" w:after="156" w:afterLines="50"/>
        <w:rPr>
          <w:rFonts w:ascii="黑体" w:hAnsi="黑体" w:eastAsia="黑体" w:cs="黑体"/>
        </w:rPr>
      </w:pPr>
      <w:r>
        <w:rPr>
          <w:rFonts w:hint="eastAsia" w:ascii="黑体" w:hAnsi="黑体" w:eastAsia="黑体" w:cs="黑体"/>
        </w:rPr>
        <w:t xml:space="preserve">C.3 </w:t>
      </w:r>
      <w:r>
        <w:rPr>
          <w:rFonts w:hint="eastAsia" w:hAnsi="宋体" w:cs="宋体"/>
        </w:rPr>
        <w:t xml:space="preserve"> 图案标志要求</w:t>
      </w:r>
    </w:p>
    <w:p w14:paraId="293AFF2D">
      <w:pPr>
        <w:pStyle w:val="16"/>
        <w:tabs>
          <w:tab w:val="center" w:pos="4201"/>
          <w:tab w:val="right" w:leader="dot" w:pos="9298"/>
        </w:tabs>
        <w:ind w:firstLine="420" w:firstLineChars="200"/>
        <w:rPr>
          <w:rFonts w:ascii="Times New Roman"/>
        </w:rPr>
      </w:pPr>
      <w:r>
        <w:rPr>
          <w:rFonts w:hint="eastAsia" w:ascii="Times New Roman"/>
        </w:rPr>
        <w:t>规格为长5.5 cm、宽3 cm的矩形标志，或等比例缩放；字体为黑体；字体大小为初号；预包装食品包装物或包装容器最大表面面积大于35 cm</w:t>
      </w:r>
      <w:r>
        <w:rPr>
          <w:rFonts w:hint="eastAsia" w:ascii="Times New Roman"/>
          <w:vertAlign w:val="superscript"/>
        </w:rPr>
        <w:t>2</w:t>
      </w:r>
      <w:r>
        <w:rPr>
          <w:rFonts w:hint="eastAsia" w:ascii="Times New Roman"/>
        </w:rPr>
        <w:t>时，标志内容中文字的高度不应小于1.8 mm。</w:t>
      </w:r>
    </w:p>
    <w:p w14:paraId="2A6F00B1">
      <w:pPr>
        <w:rPr>
          <w:rFonts w:eastAsia="黑体"/>
        </w:rPr>
      </w:pPr>
      <w:r>
        <w:rPr>
          <w:rFonts w:hint="eastAsia" w:eastAsia="黑体"/>
        </w:rPr>
        <w:br w:type="page"/>
      </w:r>
    </w:p>
    <w:p w14:paraId="758E61CA">
      <w:pPr>
        <w:pStyle w:val="16"/>
        <w:tabs>
          <w:tab w:val="center" w:pos="4201"/>
          <w:tab w:val="right" w:leader="dot" w:pos="9298"/>
        </w:tabs>
        <w:adjustRightInd w:val="0"/>
        <w:snapToGrid w:val="0"/>
        <w:spacing w:before="850" w:after="283"/>
        <w:jc w:val="center"/>
        <w:outlineLvl w:val="7"/>
        <w:rPr>
          <w:rFonts w:ascii="Times New Roman" w:eastAsia="黑体"/>
        </w:rPr>
      </w:pPr>
      <w:r>
        <w:rPr>
          <w:rFonts w:hint="eastAsia" w:ascii="Times New Roman" w:eastAsia="黑体"/>
        </w:rPr>
        <w:t>参 考 文 献</w:t>
      </w:r>
    </w:p>
    <w:p w14:paraId="6D5238D2">
      <w:pPr>
        <w:pStyle w:val="16"/>
        <w:numPr>
          <w:ilvl w:val="0"/>
          <w:numId w:val="3"/>
        </w:numPr>
        <w:tabs>
          <w:tab w:val="center" w:pos="4201"/>
          <w:tab w:val="right" w:leader="dot" w:pos="9298"/>
        </w:tabs>
        <w:ind w:firstLine="420" w:firstLineChars="200"/>
        <w:rPr>
          <w:rFonts w:ascii="Times New Roman"/>
        </w:rPr>
      </w:pPr>
      <w:r>
        <w:rPr>
          <w:rFonts w:ascii="Times New Roman"/>
        </w:rPr>
        <w:t>定量包装商品计量监督管理办法（国家市场监督管理总局令第70号）</w:t>
      </w:r>
    </w:p>
    <w:p w14:paraId="69EAE95B">
      <w:pPr>
        <w:pStyle w:val="16"/>
        <w:rPr>
          <w:rFonts w:eastAsiaTheme="minorEastAsia"/>
        </w:rPr>
      </w:pPr>
    </w:p>
    <w:p w14:paraId="269D0322">
      <w:pPr>
        <w:pStyle w:val="16"/>
        <w:rPr>
          <w:rFonts w:eastAsiaTheme="minorEastAsia"/>
        </w:rPr>
      </w:pPr>
    </w:p>
    <w:p w14:paraId="5D008247">
      <w:pPr>
        <w:pStyle w:val="16"/>
        <w:rPr>
          <w:rFonts w:eastAsiaTheme="minorEastAsia"/>
        </w:rPr>
      </w:pPr>
    </w:p>
    <w:p w14:paraId="125F0C66">
      <w:pPr>
        <w:pStyle w:val="24"/>
        <w:framePr w:hSpace="0" w:vSpace="0" w:wrap="auto" w:vAnchor="margin" w:hAnchor="text" w:xAlign="left" w:yAlign="inline"/>
        <w:ind w:left="420"/>
        <w:jc w:val="center"/>
      </w:pPr>
      <w:r>
        <w:t>_________________________________</w:t>
      </w:r>
    </w:p>
    <w:p w14:paraId="2F1DB6B7">
      <w:pPr>
        <w:pStyle w:val="16"/>
        <w:rPr>
          <w:rFonts w:eastAsiaTheme="minorEastAsia"/>
        </w:rPr>
      </w:pPr>
    </w:p>
    <w:p w14:paraId="5D392CB8">
      <w:pPr>
        <w:pStyle w:val="16"/>
        <w:rPr>
          <w:rFonts w:eastAsiaTheme="minorEastAsia"/>
        </w:rPr>
      </w:pPr>
    </w:p>
    <w:p w14:paraId="24B4AD9D">
      <w:pPr>
        <w:pStyle w:val="16"/>
        <w:rPr>
          <w:rFonts w:eastAsiaTheme="minorEastAsia"/>
        </w:rPr>
      </w:pPr>
    </w:p>
    <w:p w14:paraId="48D0CC7C">
      <w:pPr>
        <w:pStyle w:val="16"/>
        <w:rPr>
          <w:rFonts w:eastAsiaTheme="minorEastAsia"/>
        </w:rPr>
      </w:pPr>
    </w:p>
    <w:p w14:paraId="4C8990AB">
      <w:pPr>
        <w:pStyle w:val="16"/>
        <w:rPr>
          <w:rFonts w:ascii="Times New Roman"/>
        </w:rPr>
      </w:pPr>
    </w:p>
    <w:p w14:paraId="2FC0907F"/>
    <w:sectPr>
      <w:footerReference r:id="rId9" w:type="default"/>
      <w:pgSz w:w="11906" w:h="16838"/>
      <w:pgMar w:top="1417" w:right="1417" w:bottom="1417" w:left="1417" w:header="1417" w:footer="1134"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9109E">
    <w:pPr>
      <w:pStyle w:val="34"/>
      <w:jc w:val="center"/>
      <w:rPr>
        <w:rStyle w:val="11"/>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6F1A7">
                          <w:pPr>
                            <w:pStyle w:val="34"/>
                            <w:jc w:val="cente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0AE6F1A7">
                    <w:pPr>
                      <w:pStyle w:val="34"/>
                      <w:jc w:val="center"/>
                    </w:pPr>
                    <w:r>
                      <w:rPr>
                        <w:rStyle w:val="11"/>
                      </w:rPr>
                      <w:fldChar w:fldCharType="begin"/>
                    </w:r>
                    <w:r>
                      <w:rPr>
                        <w:rStyle w:val="11"/>
                      </w:rPr>
                      <w:instrText xml:space="preserve">PAGE  </w:instrText>
                    </w:r>
                    <w:r>
                      <w:rPr>
                        <w:rStyle w:val="11"/>
                      </w:rPr>
                      <w:fldChar w:fldCharType="separate"/>
                    </w:r>
                    <w:r>
                      <w:rPr>
                        <w:rStyle w:val="11"/>
                      </w:rPr>
                      <w:t>5</w:t>
                    </w:r>
                    <w:r>
                      <w:rPr>
                        <w:rStyle w:val="1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87952">
    <w:pPr>
      <w:pStyle w:val="4"/>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14:paraId="730B669E">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AD7DB">
    <w:pPr>
      <w:pStyle w:val="34"/>
      <w:jc w:val="both"/>
      <w:rPr>
        <w:rStyle w:val="1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84C8B4">
                          <w:pPr>
                            <w:pStyle w:val="34"/>
                            <w:jc w:val="cente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784C8B4">
                    <w:pPr>
                      <w:pStyle w:val="34"/>
                      <w:jc w:val="cente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A5A36">
    <w:pPr>
      <w:pStyle w:val="34"/>
      <w:jc w:val="center"/>
      <w:rPr>
        <w:rStyle w:val="1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439F2F">
                          <w:pPr>
                            <w:pStyle w:val="34"/>
                            <w:jc w:val="center"/>
                          </w:pPr>
                          <w:r>
                            <w:rPr>
                              <w:rStyle w:val="11"/>
                            </w:rPr>
                            <w:fldChar w:fldCharType="begin"/>
                          </w:r>
                          <w:r>
                            <w:rPr>
                              <w:rStyle w:val="11"/>
                            </w:rPr>
                            <w:instrText xml:space="preserve">PAGE  </w:instrText>
                          </w:r>
                          <w:r>
                            <w:rPr>
                              <w:rStyle w:val="11"/>
                            </w:rPr>
                            <w:fldChar w:fldCharType="separate"/>
                          </w:r>
                          <w:r>
                            <w:rPr>
                              <w:rStyle w:val="11"/>
                            </w:rPr>
                            <w:t>7</w:t>
                          </w:r>
                          <w:r>
                            <w:rPr>
                              <w:rStyle w:val="1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0439F2F">
                    <w:pPr>
                      <w:pStyle w:val="34"/>
                      <w:jc w:val="center"/>
                    </w:pPr>
                    <w:r>
                      <w:rPr>
                        <w:rStyle w:val="11"/>
                      </w:rPr>
                      <w:fldChar w:fldCharType="begin"/>
                    </w:r>
                    <w:r>
                      <w:rPr>
                        <w:rStyle w:val="11"/>
                      </w:rPr>
                      <w:instrText xml:space="preserve">PAGE  </w:instrText>
                    </w:r>
                    <w:r>
                      <w:rPr>
                        <w:rStyle w:val="11"/>
                      </w:rPr>
                      <w:fldChar w:fldCharType="separate"/>
                    </w:r>
                    <w:r>
                      <w:rPr>
                        <w:rStyle w:val="11"/>
                      </w:rPr>
                      <w:t>7</w:t>
                    </w:r>
                    <w:r>
                      <w:rPr>
                        <w:rStyle w:val="1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E3D5D">
    <w:pPr>
      <w:pStyle w:val="32"/>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9E2FD">
    <w:pPr>
      <w:pStyle w:val="33"/>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E454E">
    <w:pPr>
      <w:pStyle w:val="28"/>
      <w:snapToGrid w:val="0"/>
      <w:spacing w:before="120" w:beforeLines="50"/>
      <w:ind w:left="1277"/>
      <w:rPr>
        <w:rFonts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3D2DD"/>
    <w:multiLevelType w:val="multilevel"/>
    <w:tmpl w:val="F6D3D2DD"/>
    <w:lvl w:ilvl="0" w:tentative="0">
      <w:start w:val="1"/>
      <w:numFmt w:val="decimal"/>
      <w:lvlText w:val="%1  "/>
      <w:lvlJc w:val="left"/>
      <w:pPr>
        <w:ind w:left="360" w:hanging="360"/>
      </w:pPr>
      <w:rPr>
        <w:rFonts w:hint="default"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1B6FFC"/>
    <w:multiLevelType w:val="singleLevel"/>
    <w:tmpl w:val="331B6FFC"/>
    <w:lvl w:ilvl="0" w:tentative="0">
      <w:start w:val="1"/>
      <w:numFmt w:val="decimal"/>
      <w:suff w:val="space"/>
      <w:lvlText w:val="[%1]"/>
      <w:lvlJc w:val="left"/>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3"/>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5"/>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ZjhlOTNmMGVjZTM1NjEyOGFmNGVmOTdiM2MyZjQifQ=="/>
  </w:docVars>
  <w:rsids>
    <w:rsidRoot w:val="715F158B"/>
    <w:rsid w:val="00005402"/>
    <w:rsid w:val="00101AE9"/>
    <w:rsid w:val="002410F1"/>
    <w:rsid w:val="004407FE"/>
    <w:rsid w:val="00657E5F"/>
    <w:rsid w:val="00671FB5"/>
    <w:rsid w:val="00785895"/>
    <w:rsid w:val="007958E0"/>
    <w:rsid w:val="007C3A87"/>
    <w:rsid w:val="00801551"/>
    <w:rsid w:val="00814795"/>
    <w:rsid w:val="009603FF"/>
    <w:rsid w:val="00A4112D"/>
    <w:rsid w:val="00A44B1E"/>
    <w:rsid w:val="00BA1A55"/>
    <w:rsid w:val="00BC3A1F"/>
    <w:rsid w:val="00C70DD6"/>
    <w:rsid w:val="010333FC"/>
    <w:rsid w:val="0135355E"/>
    <w:rsid w:val="013D4AEA"/>
    <w:rsid w:val="014310EE"/>
    <w:rsid w:val="014E16ED"/>
    <w:rsid w:val="0179546C"/>
    <w:rsid w:val="01922938"/>
    <w:rsid w:val="01A73D87"/>
    <w:rsid w:val="01C26E13"/>
    <w:rsid w:val="01CC7C92"/>
    <w:rsid w:val="01CF32DE"/>
    <w:rsid w:val="01F30184"/>
    <w:rsid w:val="022B6EA3"/>
    <w:rsid w:val="0250441F"/>
    <w:rsid w:val="02647ECA"/>
    <w:rsid w:val="0284056C"/>
    <w:rsid w:val="02B06959"/>
    <w:rsid w:val="02B50726"/>
    <w:rsid w:val="02B61FAF"/>
    <w:rsid w:val="02DF57A3"/>
    <w:rsid w:val="02E06711"/>
    <w:rsid w:val="02E1538E"/>
    <w:rsid w:val="031511C4"/>
    <w:rsid w:val="031A67DB"/>
    <w:rsid w:val="03414E95"/>
    <w:rsid w:val="035179D4"/>
    <w:rsid w:val="0357490B"/>
    <w:rsid w:val="03936CB9"/>
    <w:rsid w:val="03B52E7E"/>
    <w:rsid w:val="03C50E3C"/>
    <w:rsid w:val="03EF1A15"/>
    <w:rsid w:val="03EF7C67"/>
    <w:rsid w:val="041659F1"/>
    <w:rsid w:val="04185410"/>
    <w:rsid w:val="04294F27"/>
    <w:rsid w:val="0431202E"/>
    <w:rsid w:val="045439B3"/>
    <w:rsid w:val="04612DAB"/>
    <w:rsid w:val="046248DD"/>
    <w:rsid w:val="04714FAC"/>
    <w:rsid w:val="04D05CEB"/>
    <w:rsid w:val="04D70E27"/>
    <w:rsid w:val="04D8694E"/>
    <w:rsid w:val="04F23586"/>
    <w:rsid w:val="05143E03"/>
    <w:rsid w:val="052B1173"/>
    <w:rsid w:val="052F2A11"/>
    <w:rsid w:val="0539563E"/>
    <w:rsid w:val="053B0A84"/>
    <w:rsid w:val="055C757F"/>
    <w:rsid w:val="059B24B4"/>
    <w:rsid w:val="05B31193"/>
    <w:rsid w:val="05B64EE1"/>
    <w:rsid w:val="05E57574"/>
    <w:rsid w:val="05F72E03"/>
    <w:rsid w:val="060A6FDB"/>
    <w:rsid w:val="061739B6"/>
    <w:rsid w:val="062A4F87"/>
    <w:rsid w:val="064424ED"/>
    <w:rsid w:val="06451DC1"/>
    <w:rsid w:val="06545C68"/>
    <w:rsid w:val="06587AD7"/>
    <w:rsid w:val="06764EFD"/>
    <w:rsid w:val="067F1777"/>
    <w:rsid w:val="069778EF"/>
    <w:rsid w:val="06B8277C"/>
    <w:rsid w:val="06E54213"/>
    <w:rsid w:val="06EF2D4C"/>
    <w:rsid w:val="06F53DF8"/>
    <w:rsid w:val="06FD269B"/>
    <w:rsid w:val="070457D8"/>
    <w:rsid w:val="071E65E4"/>
    <w:rsid w:val="07243ECA"/>
    <w:rsid w:val="073A1CDE"/>
    <w:rsid w:val="0748600C"/>
    <w:rsid w:val="07832BA1"/>
    <w:rsid w:val="0786131B"/>
    <w:rsid w:val="07C338E5"/>
    <w:rsid w:val="07DD49A7"/>
    <w:rsid w:val="07EF0236"/>
    <w:rsid w:val="08013015"/>
    <w:rsid w:val="080D690E"/>
    <w:rsid w:val="082C148A"/>
    <w:rsid w:val="083D5469"/>
    <w:rsid w:val="0842480A"/>
    <w:rsid w:val="084F33CB"/>
    <w:rsid w:val="0864458C"/>
    <w:rsid w:val="0878022B"/>
    <w:rsid w:val="087F5A5E"/>
    <w:rsid w:val="08856DEC"/>
    <w:rsid w:val="089805D5"/>
    <w:rsid w:val="08B1198F"/>
    <w:rsid w:val="08BB1CB7"/>
    <w:rsid w:val="08BC62FE"/>
    <w:rsid w:val="08BE0B98"/>
    <w:rsid w:val="08C72F61"/>
    <w:rsid w:val="08F33D56"/>
    <w:rsid w:val="08FB2C0B"/>
    <w:rsid w:val="090C4E18"/>
    <w:rsid w:val="09175544"/>
    <w:rsid w:val="091F2D9D"/>
    <w:rsid w:val="093E2196"/>
    <w:rsid w:val="09620BB9"/>
    <w:rsid w:val="09622C8A"/>
    <w:rsid w:val="097A0448"/>
    <w:rsid w:val="09882DBF"/>
    <w:rsid w:val="098F1CD1"/>
    <w:rsid w:val="099077F7"/>
    <w:rsid w:val="09D21BBD"/>
    <w:rsid w:val="09E42E0C"/>
    <w:rsid w:val="0A03446D"/>
    <w:rsid w:val="0A33204C"/>
    <w:rsid w:val="0A432ABB"/>
    <w:rsid w:val="0A482F82"/>
    <w:rsid w:val="0A5142DF"/>
    <w:rsid w:val="0A5151D8"/>
    <w:rsid w:val="0A530D4E"/>
    <w:rsid w:val="0A6A21BF"/>
    <w:rsid w:val="0A717628"/>
    <w:rsid w:val="0A801619"/>
    <w:rsid w:val="0AA35401"/>
    <w:rsid w:val="0AAA48E8"/>
    <w:rsid w:val="0AB44578"/>
    <w:rsid w:val="0AD428F5"/>
    <w:rsid w:val="0AE222D4"/>
    <w:rsid w:val="0AF344E1"/>
    <w:rsid w:val="0B04224A"/>
    <w:rsid w:val="0B0D6DE1"/>
    <w:rsid w:val="0B100BEF"/>
    <w:rsid w:val="0B1B1342"/>
    <w:rsid w:val="0B241EA6"/>
    <w:rsid w:val="0B2B5A29"/>
    <w:rsid w:val="0B301291"/>
    <w:rsid w:val="0B672866"/>
    <w:rsid w:val="0B871679"/>
    <w:rsid w:val="0BA64D8F"/>
    <w:rsid w:val="0BBA4FFF"/>
    <w:rsid w:val="0BC327AE"/>
    <w:rsid w:val="0BC33EB3"/>
    <w:rsid w:val="0BC52D54"/>
    <w:rsid w:val="0BDE2A9B"/>
    <w:rsid w:val="0BF00A21"/>
    <w:rsid w:val="0C3009DF"/>
    <w:rsid w:val="0C3D36B1"/>
    <w:rsid w:val="0C441043"/>
    <w:rsid w:val="0C64330E"/>
    <w:rsid w:val="0C6A75EB"/>
    <w:rsid w:val="0C825B1D"/>
    <w:rsid w:val="0C963376"/>
    <w:rsid w:val="0CA84E57"/>
    <w:rsid w:val="0CC021A1"/>
    <w:rsid w:val="0CE046D1"/>
    <w:rsid w:val="0CE2480D"/>
    <w:rsid w:val="0CE95B9C"/>
    <w:rsid w:val="0CEC568C"/>
    <w:rsid w:val="0CEF0828"/>
    <w:rsid w:val="0CEF0CD8"/>
    <w:rsid w:val="0CF935AF"/>
    <w:rsid w:val="0CFD6DD7"/>
    <w:rsid w:val="0D103128"/>
    <w:rsid w:val="0D2070E4"/>
    <w:rsid w:val="0D29243C"/>
    <w:rsid w:val="0D405DE1"/>
    <w:rsid w:val="0D525723"/>
    <w:rsid w:val="0D735465"/>
    <w:rsid w:val="0D983C14"/>
    <w:rsid w:val="0D9B0AAB"/>
    <w:rsid w:val="0DF3274B"/>
    <w:rsid w:val="0DFF4F4B"/>
    <w:rsid w:val="0E1C2556"/>
    <w:rsid w:val="0E316732"/>
    <w:rsid w:val="0E3A41D5"/>
    <w:rsid w:val="0E7F623D"/>
    <w:rsid w:val="0E8B7D5E"/>
    <w:rsid w:val="0E8D07A9"/>
    <w:rsid w:val="0E9E41EB"/>
    <w:rsid w:val="0E9E4764"/>
    <w:rsid w:val="0EC5310D"/>
    <w:rsid w:val="0ECD6DF7"/>
    <w:rsid w:val="0F1467D4"/>
    <w:rsid w:val="0F205179"/>
    <w:rsid w:val="0F40581B"/>
    <w:rsid w:val="0F53511F"/>
    <w:rsid w:val="0F66397C"/>
    <w:rsid w:val="0F711E78"/>
    <w:rsid w:val="0F8A3B8A"/>
    <w:rsid w:val="0F955B67"/>
    <w:rsid w:val="0FA15118"/>
    <w:rsid w:val="0FA57C09"/>
    <w:rsid w:val="0FDB0233"/>
    <w:rsid w:val="100C0829"/>
    <w:rsid w:val="1015151D"/>
    <w:rsid w:val="104913C2"/>
    <w:rsid w:val="104D4694"/>
    <w:rsid w:val="10A02A15"/>
    <w:rsid w:val="10AF4A06"/>
    <w:rsid w:val="10BC7123"/>
    <w:rsid w:val="10F95371"/>
    <w:rsid w:val="10FD4EE8"/>
    <w:rsid w:val="111D5318"/>
    <w:rsid w:val="1122167C"/>
    <w:rsid w:val="114710E3"/>
    <w:rsid w:val="114A0BD3"/>
    <w:rsid w:val="114E421F"/>
    <w:rsid w:val="11650634"/>
    <w:rsid w:val="118F65E6"/>
    <w:rsid w:val="11902A8A"/>
    <w:rsid w:val="11A55E09"/>
    <w:rsid w:val="11B524F0"/>
    <w:rsid w:val="11BC387F"/>
    <w:rsid w:val="11C8051B"/>
    <w:rsid w:val="11C866C2"/>
    <w:rsid w:val="11DB182B"/>
    <w:rsid w:val="11E64458"/>
    <w:rsid w:val="11EC3A38"/>
    <w:rsid w:val="120708DE"/>
    <w:rsid w:val="12072620"/>
    <w:rsid w:val="12074558"/>
    <w:rsid w:val="120D40DA"/>
    <w:rsid w:val="12216A68"/>
    <w:rsid w:val="12353631"/>
    <w:rsid w:val="124D44D7"/>
    <w:rsid w:val="125515DD"/>
    <w:rsid w:val="12664571"/>
    <w:rsid w:val="126D3C74"/>
    <w:rsid w:val="1288236D"/>
    <w:rsid w:val="12891287"/>
    <w:rsid w:val="12D26850"/>
    <w:rsid w:val="12EA15F7"/>
    <w:rsid w:val="13081728"/>
    <w:rsid w:val="13086650"/>
    <w:rsid w:val="1317796F"/>
    <w:rsid w:val="134358DA"/>
    <w:rsid w:val="134B1FE3"/>
    <w:rsid w:val="138228A6"/>
    <w:rsid w:val="139D4FEA"/>
    <w:rsid w:val="13C0517C"/>
    <w:rsid w:val="13C24A0E"/>
    <w:rsid w:val="13F05A62"/>
    <w:rsid w:val="13FC61B5"/>
    <w:rsid w:val="142474B9"/>
    <w:rsid w:val="142A03FE"/>
    <w:rsid w:val="142D2812"/>
    <w:rsid w:val="142E0338"/>
    <w:rsid w:val="14402F93"/>
    <w:rsid w:val="145A45E5"/>
    <w:rsid w:val="146A5814"/>
    <w:rsid w:val="146B50E8"/>
    <w:rsid w:val="14995E73"/>
    <w:rsid w:val="14A34882"/>
    <w:rsid w:val="14C05277"/>
    <w:rsid w:val="14CA62B3"/>
    <w:rsid w:val="14D233B9"/>
    <w:rsid w:val="14D94748"/>
    <w:rsid w:val="14E153AA"/>
    <w:rsid w:val="14F50E56"/>
    <w:rsid w:val="15023C9F"/>
    <w:rsid w:val="15233C15"/>
    <w:rsid w:val="153100E0"/>
    <w:rsid w:val="15363948"/>
    <w:rsid w:val="15407EF2"/>
    <w:rsid w:val="15542020"/>
    <w:rsid w:val="157D3325"/>
    <w:rsid w:val="15804BC3"/>
    <w:rsid w:val="158B1482"/>
    <w:rsid w:val="15D06F8B"/>
    <w:rsid w:val="161517B0"/>
    <w:rsid w:val="163B0AEA"/>
    <w:rsid w:val="16421E79"/>
    <w:rsid w:val="164637E6"/>
    <w:rsid w:val="16481B85"/>
    <w:rsid w:val="164E2511"/>
    <w:rsid w:val="165C73DE"/>
    <w:rsid w:val="165D6CB3"/>
    <w:rsid w:val="166827DF"/>
    <w:rsid w:val="16706153"/>
    <w:rsid w:val="16BD53E0"/>
    <w:rsid w:val="16D36F75"/>
    <w:rsid w:val="16E6314C"/>
    <w:rsid w:val="16E87B93"/>
    <w:rsid w:val="1706633F"/>
    <w:rsid w:val="171001C9"/>
    <w:rsid w:val="17345040"/>
    <w:rsid w:val="173F13A5"/>
    <w:rsid w:val="17410382"/>
    <w:rsid w:val="175C65E8"/>
    <w:rsid w:val="17680005"/>
    <w:rsid w:val="177C00C0"/>
    <w:rsid w:val="178679F1"/>
    <w:rsid w:val="17944956"/>
    <w:rsid w:val="179A3525"/>
    <w:rsid w:val="17A9015C"/>
    <w:rsid w:val="17B15508"/>
    <w:rsid w:val="17B35ACD"/>
    <w:rsid w:val="17BC5880"/>
    <w:rsid w:val="182F341E"/>
    <w:rsid w:val="18300B23"/>
    <w:rsid w:val="1831400C"/>
    <w:rsid w:val="18341D85"/>
    <w:rsid w:val="183526D1"/>
    <w:rsid w:val="183A72AB"/>
    <w:rsid w:val="184719C8"/>
    <w:rsid w:val="18956596"/>
    <w:rsid w:val="189F35B2"/>
    <w:rsid w:val="18B52DD6"/>
    <w:rsid w:val="18DA1743"/>
    <w:rsid w:val="19094E2B"/>
    <w:rsid w:val="19193365"/>
    <w:rsid w:val="192A645B"/>
    <w:rsid w:val="1934019F"/>
    <w:rsid w:val="19450FD3"/>
    <w:rsid w:val="196B16E7"/>
    <w:rsid w:val="19792055"/>
    <w:rsid w:val="19940109"/>
    <w:rsid w:val="19961478"/>
    <w:rsid w:val="19AD7F51"/>
    <w:rsid w:val="19CE05F3"/>
    <w:rsid w:val="19CE23A1"/>
    <w:rsid w:val="19DB42DF"/>
    <w:rsid w:val="19FD4A34"/>
    <w:rsid w:val="1A0E6C42"/>
    <w:rsid w:val="1A0F6516"/>
    <w:rsid w:val="1A1B5BF6"/>
    <w:rsid w:val="1A3146DE"/>
    <w:rsid w:val="1A4A5089"/>
    <w:rsid w:val="1A530AF8"/>
    <w:rsid w:val="1A761766"/>
    <w:rsid w:val="1A817B24"/>
    <w:rsid w:val="1A872550"/>
    <w:rsid w:val="1A9E1F8E"/>
    <w:rsid w:val="1AA50C28"/>
    <w:rsid w:val="1AAE3F81"/>
    <w:rsid w:val="1AB62E35"/>
    <w:rsid w:val="1AC217DA"/>
    <w:rsid w:val="1AD37B03"/>
    <w:rsid w:val="1AD67034"/>
    <w:rsid w:val="1ADC6A1D"/>
    <w:rsid w:val="1AFF5B13"/>
    <w:rsid w:val="1B10179A"/>
    <w:rsid w:val="1B163D36"/>
    <w:rsid w:val="1B262605"/>
    <w:rsid w:val="1B2A7AAB"/>
    <w:rsid w:val="1B3F1135"/>
    <w:rsid w:val="1B414DF5"/>
    <w:rsid w:val="1B4B306E"/>
    <w:rsid w:val="1B50328A"/>
    <w:rsid w:val="1B574618"/>
    <w:rsid w:val="1B7C407F"/>
    <w:rsid w:val="1B970EB9"/>
    <w:rsid w:val="1BA4348E"/>
    <w:rsid w:val="1BAF1D5E"/>
    <w:rsid w:val="1C085913"/>
    <w:rsid w:val="1C12186A"/>
    <w:rsid w:val="1C24274C"/>
    <w:rsid w:val="1C33298F"/>
    <w:rsid w:val="1C386676"/>
    <w:rsid w:val="1C5F1452"/>
    <w:rsid w:val="1C694603"/>
    <w:rsid w:val="1C8A2B02"/>
    <w:rsid w:val="1C9A2A0F"/>
    <w:rsid w:val="1CA63E1C"/>
    <w:rsid w:val="1CA728DC"/>
    <w:rsid w:val="1CE31557"/>
    <w:rsid w:val="1CF85987"/>
    <w:rsid w:val="1CFD4D4B"/>
    <w:rsid w:val="1D063C00"/>
    <w:rsid w:val="1D255CFB"/>
    <w:rsid w:val="1D2E600F"/>
    <w:rsid w:val="1D464944"/>
    <w:rsid w:val="1D5801D4"/>
    <w:rsid w:val="1D5D4F42"/>
    <w:rsid w:val="1D6D1ED1"/>
    <w:rsid w:val="1D7414B2"/>
    <w:rsid w:val="1D7E27C4"/>
    <w:rsid w:val="1D94745E"/>
    <w:rsid w:val="1D9A07EC"/>
    <w:rsid w:val="1DA750FA"/>
    <w:rsid w:val="1DA82F09"/>
    <w:rsid w:val="1DED3012"/>
    <w:rsid w:val="1E0D7210"/>
    <w:rsid w:val="1E682698"/>
    <w:rsid w:val="1E9516DF"/>
    <w:rsid w:val="1EA74AFA"/>
    <w:rsid w:val="1EAF69BE"/>
    <w:rsid w:val="1EB3600A"/>
    <w:rsid w:val="1EE44415"/>
    <w:rsid w:val="1EFB2B1A"/>
    <w:rsid w:val="1F3709E9"/>
    <w:rsid w:val="1F3C4E81"/>
    <w:rsid w:val="1F446D63"/>
    <w:rsid w:val="1F482287"/>
    <w:rsid w:val="1F5F584A"/>
    <w:rsid w:val="1F6E7612"/>
    <w:rsid w:val="1F9951FF"/>
    <w:rsid w:val="1F996FAD"/>
    <w:rsid w:val="1FCB2EDF"/>
    <w:rsid w:val="1FD46237"/>
    <w:rsid w:val="1FF81FA6"/>
    <w:rsid w:val="200530C6"/>
    <w:rsid w:val="201900EE"/>
    <w:rsid w:val="20286583"/>
    <w:rsid w:val="2068689C"/>
    <w:rsid w:val="208E57EA"/>
    <w:rsid w:val="209816EE"/>
    <w:rsid w:val="20A57BD4"/>
    <w:rsid w:val="20AA343C"/>
    <w:rsid w:val="21093B01"/>
    <w:rsid w:val="21093CBF"/>
    <w:rsid w:val="21113386"/>
    <w:rsid w:val="21127704"/>
    <w:rsid w:val="21134B3E"/>
    <w:rsid w:val="21192920"/>
    <w:rsid w:val="214E201A"/>
    <w:rsid w:val="215525E8"/>
    <w:rsid w:val="21564CC5"/>
    <w:rsid w:val="21571507"/>
    <w:rsid w:val="218473C3"/>
    <w:rsid w:val="219C0FD7"/>
    <w:rsid w:val="21BE2E1C"/>
    <w:rsid w:val="21BF4CC5"/>
    <w:rsid w:val="21CF315A"/>
    <w:rsid w:val="21D61DDC"/>
    <w:rsid w:val="21D73DBD"/>
    <w:rsid w:val="21F52D2D"/>
    <w:rsid w:val="22133B0F"/>
    <w:rsid w:val="221C5C74"/>
    <w:rsid w:val="226D4721"/>
    <w:rsid w:val="227B5090"/>
    <w:rsid w:val="227C7B23"/>
    <w:rsid w:val="229C1A92"/>
    <w:rsid w:val="22D64075"/>
    <w:rsid w:val="22F4274D"/>
    <w:rsid w:val="23111551"/>
    <w:rsid w:val="23114793"/>
    <w:rsid w:val="23200420"/>
    <w:rsid w:val="232C1EE7"/>
    <w:rsid w:val="232E186A"/>
    <w:rsid w:val="23334CC9"/>
    <w:rsid w:val="23414BB8"/>
    <w:rsid w:val="235002CB"/>
    <w:rsid w:val="235565C2"/>
    <w:rsid w:val="2378512C"/>
    <w:rsid w:val="237F64BA"/>
    <w:rsid w:val="23867C9E"/>
    <w:rsid w:val="238B1AF9"/>
    <w:rsid w:val="238E0DF3"/>
    <w:rsid w:val="23934604"/>
    <w:rsid w:val="23983A20"/>
    <w:rsid w:val="239F4DAE"/>
    <w:rsid w:val="23F30C56"/>
    <w:rsid w:val="24125580"/>
    <w:rsid w:val="24143E1B"/>
    <w:rsid w:val="2418246B"/>
    <w:rsid w:val="241F3BAD"/>
    <w:rsid w:val="242E2E48"/>
    <w:rsid w:val="24507029"/>
    <w:rsid w:val="245B6DB7"/>
    <w:rsid w:val="246062EC"/>
    <w:rsid w:val="2478071C"/>
    <w:rsid w:val="247C0ED5"/>
    <w:rsid w:val="247E49C4"/>
    <w:rsid w:val="248024EA"/>
    <w:rsid w:val="24A05D7F"/>
    <w:rsid w:val="24AF2DCF"/>
    <w:rsid w:val="24D35DFB"/>
    <w:rsid w:val="24EF2718"/>
    <w:rsid w:val="24F75F2B"/>
    <w:rsid w:val="25113A8A"/>
    <w:rsid w:val="25145328"/>
    <w:rsid w:val="253F4153"/>
    <w:rsid w:val="25583889"/>
    <w:rsid w:val="258E0C37"/>
    <w:rsid w:val="25AE0D72"/>
    <w:rsid w:val="25B43229"/>
    <w:rsid w:val="25CE64B1"/>
    <w:rsid w:val="25E41FE9"/>
    <w:rsid w:val="25ED0053"/>
    <w:rsid w:val="25FA451E"/>
    <w:rsid w:val="25FA6BAC"/>
    <w:rsid w:val="26331252"/>
    <w:rsid w:val="264E2C81"/>
    <w:rsid w:val="266B541C"/>
    <w:rsid w:val="26753572"/>
    <w:rsid w:val="26C51C58"/>
    <w:rsid w:val="26D65F40"/>
    <w:rsid w:val="26E8136C"/>
    <w:rsid w:val="26F31699"/>
    <w:rsid w:val="27082C6B"/>
    <w:rsid w:val="271909D4"/>
    <w:rsid w:val="272555CB"/>
    <w:rsid w:val="27447BCE"/>
    <w:rsid w:val="27545EB0"/>
    <w:rsid w:val="276D3849"/>
    <w:rsid w:val="277A5916"/>
    <w:rsid w:val="278B355F"/>
    <w:rsid w:val="278F537C"/>
    <w:rsid w:val="27B506FD"/>
    <w:rsid w:val="27EC60E8"/>
    <w:rsid w:val="28001A0F"/>
    <w:rsid w:val="280D678A"/>
    <w:rsid w:val="281407A0"/>
    <w:rsid w:val="287E1436"/>
    <w:rsid w:val="289E0A26"/>
    <w:rsid w:val="28A6273B"/>
    <w:rsid w:val="28B07116"/>
    <w:rsid w:val="28BF3904"/>
    <w:rsid w:val="28D64957"/>
    <w:rsid w:val="28F434A6"/>
    <w:rsid w:val="293146FB"/>
    <w:rsid w:val="29392484"/>
    <w:rsid w:val="293D65ED"/>
    <w:rsid w:val="2964687E"/>
    <w:rsid w:val="29661255"/>
    <w:rsid w:val="296F0D7F"/>
    <w:rsid w:val="29910CF5"/>
    <w:rsid w:val="29AF1F09"/>
    <w:rsid w:val="29B03871"/>
    <w:rsid w:val="29E74DB9"/>
    <w:rsid w:val="2A042ABA"/>
    <w:rsid w:val="2A222295"/>
    <w:rsid w:val="2A24600D"/>
    <w:rsid w:val="2A36189D"/>
    <w:rsid w:val="2A3B4116"/>
    <w:rsid w:val="2A6A4078"/>
    <w:rsid w:val="2A7206F0"/>
    <w:rsid w:val="2A842608"/>
    <w:rsid w:val="2AAD2577"/>
    <w:rsid w:val="2AD0584D"/>
    <w:rsid w:val="2ADB2B70"/>
    <w:rsid w:val="2ADB54EC"/>
    <w:rsid w:val="2AF7636C"/>
    <w:rsid w:val="2B1C4F36"/>
    <w:rsid w:val="2B1F5B31"/>
    <w:rsid w:val="2B2230DE"/>
    <w:rsid w:val="2B317A4F"/>
    <w:rsid w:val="2B350611"/>
    <w:rsid w:val="2B3D6264"/>
    <w:rsid w:val="2B794137"/>
    <w:rsid w:val="2BA576C3"/>
    <w:rsid w:val="2BA77508"/>
    <w:rsid w:val="2BCA04EF"/>
    <w:rsid w:val="2BDD46C6"/>
    <w:rsid w:val="2C2959C2"/>
    <w:rsid w:val="2C61547F"/>
    <w:rsid w:val="2C645E65"/>
    <w:rsid w:val="2C6B7F24"/>
    <w:rsid w:val="2C6E5EC2"/>
    <w:rsid w:val="2C87617D"/>
    <w:rsid w:val="2CB847EB"/>
    <w:rsid w:val="2CC25D23"/>
    <w:rsid w:val="2CCB09C2"/>
    <w:rsid w:val="2CE77338"/>
    <w:rsid w:val="2CF00429"/>
    <w:rsid w:val="2CF505DD"/>
    <w:rsid w:val="2CFA4E04"/>
    <w:rsid w:val="2D241E80"/>
    <w:rsid w:val="2D31101F"/>
    <w:rsid w:val="2D5C0C70"/>
    <w:rsid w:val="2D687FBF"/>
    <w:rsid w:val="2D6A01DB"/>
    <w:rsid w:val="2D8E211C"/>
    <w:rsid w:val="2D940755"/>
    <w:rsid w:val="2D9675D6"/>
    <w:rsid w:val="2D980D09"/>
    <w:rsid w:val="2DBE22D5"/>
    <w:rsid w:val="2DD03764"/>
    <w:rsid w:val="2DDD09AD"/>
    <w:rsid w:val="2E04418C"/>
    <w:rsid w:val="2E232E31"/>
    <w:rsid w:val="2E262492"/>
    <w:rsid w:val="2E276A03"/>
    <w:rsid w:val="2E2933FE"/>
    <w:rsid w:val="2E2B600A"/>
    <w:rsid w:val="2E372556"/>
    <w:rsid w:val="2E514EF7"/>
    <w:rsid w:val="2E62218D"/>
    <w:rsid w:val="2E76670C"/>
    <w:rsid w:val="2E8B21B7"/>
    <w:rsid w:val="2E951288"/>
    <w:rsid w:val="2E992A65"/>
    <w:rsid w:val="2E9F2106"/>
    <w:rsid w:val="2EAE5EA6"/>
    <w:rsid w:val="2EB07E70"/>
    <w:rsid w:val="2F1531D0"/>
    <w:rsid w:val="2F1F6DA3"/>
    <w:rsid w:val="2F22371F"/>
    <w:rsid w:val="2F311268"/>
    <w:rsid w:val="2F6824F8"/>
    <w:rsid w:val="2F9B38D6"/>
    <w:rsid w:val="2F9B467C"/>
    <w:rsid w:val="2FA00426"/>
    <w:rsid w:val="2FBE7946"/>
    <w:rsid w:val="2FC32F68"/>
    <w:rsid w:val="2FC75471"/>
    <w:rsid w:val="2FD44032"/>
    <w:rsid w:val="2FE34275"/>
    <w:rsid w:val="30380106"/>
    <w:rsid w:val="3041038A"/>
    <w:rsid w:val="306058C5"/>
    <w:rsid w:val="30894E1C"/>
    <w:rsid w:val="309A4933"/>
    <w:rsid w:val="30AA0CCD"/>
    <w:rsid w:val="30AE1C6C"/>
    <w:rsid w:val="30B005FB"/>
    <w:rsid w:val="30F85AFE"/>
    <w:rsid w:val="31050543"/>
    <w:rsid w:val="31070819"/>
    <w:rsid w:val="31327262"/>
    <w:rsid w:val="314174A5"/>
    <w:rsid w:val="314235B5"/>
    <w:rsid w:val="31604D10"/>
    <w:rsid w:val="317258B0"/>
    <w:rsid w:val="317C04DD"/>
    <w:rsid w:val="319553BB"/>
    <w:rsid w:val="319E126B"/>
    <w:rsid w:val="31A71603"/>
    <w:rsid w:val="31AD0696"/>
    <w:rsid w:val="31E75151"/>
    <w:rsid w:val="31F443CB"/>
    <w:rsid w:val="31F91B2E"/>
    <w:rsid w:val="320F1351"/>
    <w:rsid w:val="321C7AAD"/>
    <w:rsid w:val="3220530C"/>
    <w:rsid w:val="324E1E79"/>
    <w:rsid w:val="32700042"/>
    <w:rsid w:val="32DD4C49"/>
    <w:rsid w:val="32E0684A"/>
    <w:rsid w:val="32E71A40"/>
    <w:rsid w:val="32EC3440"/>
    <w:rsid w:val="32F3060F"/>
    <w:rsid w:val="32FF3876"/>
    <w:rsid w:val="33174961"/>
    <w:rsid w:val="33305A23"/>
    <w:rsid w:val="33386686"/>
    <w:rsid w:val="333F17C2"/>
    <w:rsid w:val="33484B1B"/>
    <w:rsid w:val="334A6CCC"/>
    <w:rsid w:val="33676199"/>
    <w:rsid w:val="33C341A1"/>
    <w:rsid w:val="33F46A50"/>
    <w:rsid w:val="33F56325"/>
    <w:rsid w:val="33F61444"/>
    <w:rsid w:val="341862D2"/>
    <w:rsid w:val="342033A2"/>
    <w:rsid w:val="345117AD"/>
    <w:rsid w:val="345F12CF"/>
    <w:rsid w:val="346040E6"/>
    <w:rsid w:val="347B0F20"/>
    <w:rsid w:val="349A13A6"/>
    <w:rsid w:val="34AE30A3"/>
    <w:rsid w:val="34C44675"/>
    <w:rsid w:val="34F565DC"/>
    <w:rsid w:val="34F767F8"/>
    <w:rsid w:val="34FC3E0F"/>
    <w:rsid w:val="34FF745B"/>
    <w:rsid w:val="35154ED0"/>
    <w:rsid w:val="3516045F"/>
    <w:rsid w:val="352F7287"/>
    <w:rsid w:val="357D65D2"/>
    <w:rsid w:val="358264BC"/>
    <w:rsid w:val="35984358"/>
    <w:rsid w:val="35C45A8C"/>
    <w:rsid w:val="35CF1523"/>
    <w:rsid w:val="360A60B7"/>
    <w:rsid w:val="361A2073"/>
    <w:rsid w:val="361E2E89"/>
    <w:rsid w:val="3652180C"/>
    <w:rsid w:val="366A4DA8"/>
    <w:rsid w:val="367C2AF7"/>
    <w:rsid w:val="368F2A60"/>
    <w:rsid w:val="369C3089"/>
    <w:rsid w:val="36AA1648"/>
    <w:rsid w:val="36B65DB6"/>
    <w:rsid w:val="36B67FED"/>
    <w:rsid w:val="36B96E85"/>
    <w:rsid w:val="36E25286"/>
    <w:rsid w:val="36EC7EB3"/>
    <w:rsid w:val="370945C1"/>
    <w:rsid w:val="373553B6"/>
    <w:rsid w:val="373A32B1"/>
    <w:rsid w:val="374D2339"/>
    <w:rsid w:val="37740F38"/>
    <w:rsid w:val="3781684D"/>
    <w:rsid w:val="381D5608"/>
    <w:rsid w:val="381E1A51"/>
    <w:rsid w:val="384358B1"/>
    <w:rsid w:val="384B29B7"/>
    <w:rsid w:val="384B4EB5"/>
    <w:rsid w:val="39072D82"/>
    <w:rsid w:val="391D07F7"/>
    <w:rsid w:val="392E030F"/>
    <w:rsid w:val="395A55A8"/>
    <w:rsid w:val="395C1320"/>
    <w:rsid w:val="39774380"/>
    <w:rsid w:val="399A59A4"/>
    <w:rsid w:val="39A46823"/>
    <w:rsid w:val="39A746F7"/>
    <w:rsid w:val="39AB5E03"/>
    <w:rsid w:val="39D24BE5"/>
    <w:rsid w:val="39DA0497"/>
    <w:rsid w:val="39EC01D6"/>
    <w:rsid w:val="3A2E40D2"/>
    <w:rsid w:val="3A414072"/>
    <w:rsid w:val="3A661D2A"/>
    <w:rsid w:val="3A6B51A0"/>
    <w:rsid w:val="3A7F2761"/>
    <w:rsid w:val="3A9839D5"/>
    <w:rsid w:val="3AA50AA5"/>
    <w:rsid w:val="3AAC1E33"/>
    <w:rsid w:val="3AB64A60"/>
    <w:rsid w:val="3AC25E66"/>
    <w:rsid w:val="3ACD1DA9"/>
    <w:rsid w:val="3AD636F1"/>
    <w:rsid w:val="3AE27603"/>
    <w:rsid w:val="3AEA64B7"/>
    <w:rsid w:val="3AF96CBA"/>
    <w:rsid w:val="3B0A6C0E"/>
    <w:rsid w:val="3B263FA5"/>
    <w:rsid w:val="3B312338"/>
    <w:rsid w:val="3B430836"/>
    <w:rsid w:val="3BA7084C"/>
    <w:rsid w:val="3BD74C8E"/>
    <w:rsid w:val="3BE408F7"/>
    <w:rsid w:val="3C4816E7"/>
    <w:rsid w:val="3C7D3697"/>
    <w:rsid w:val="3C805325"/>
    <w:rsid w:val="3C9138EA"/>
    <w:rsid w:val="3CA1529C"/>
    <w:rsid w:val="3CB23005"/>
    <w:rsid w:val="3CB66F99"/>
    <w:rsid w:val="3CC03974"/>
    <w:rsid w:val="3CEA09F1"/>
    <w:rsid w:val="3CF0648C"/>
    <w:rsid w:val="3D1617E6"/>
    <w:rsid w:val="3D2D6B2F"/>
    <w:rsid w:val="3D2F4655"/>
    <w:rsid w:val="3D556267"/>
    <w:rsid w:val="3D566086"/>
    <w:rsid w:val="3D7824A0"/>
    <w:rsid w:val="3D8C5F4C"/>
    <w:rsid w:val="3D956BAE"/>
    <w:rsid w:val="3DD35929"/>
    <w:rsid w:val="3DD551FD"/>
    <w:rsid w:val="3DDF5127"/>
    <w:rsid w:val="3DDF607B"/>
    <w:rsid w:val="3DF02037"/>
    <w:rsid w:val="3E0D2BA2"/>
    <w:rsid w:val="3E111FAD"/>
    <w:rsid w:val="3E287A22"/>
    <w:rsid w:val="3E3E7246"/>
    <w:rsid w:val="3E642A25"/>
    <w:rsid w:val="3E6A5CCC"/>
    <w:rsid w:val="3E8D5AD7"/>
    <w:rsid w:val="3E8F7AA2"/>
    <w:rsid w:val="3EC37F39"/>
    <w:rsid w:val="3EC647A9"/>
    <w:rsid w:val="3ED363CD"/>
    <w:rsid w:val="3EE11CA2"/>
    <w:rsid w:val="3EE17BD1"/>
    <w:rsid w:val="3EF416A3"/>
    <w:rsid w:val="3F0B728B"/>
    <w:rsid w:val="3F105341"/>
    <w:rsid w:val="3F3356A6"/>
    <w:rsid w:val="3F3B3785"/>
    <w:rsid w:val="3F3C12AC"/>
    <w:rsid w:val="3F5B3E28"/>
    <w:rsid w:val="3F80388E"/>
    <w:rsid w:val="3F890995"/>
    <w:rsid w:val="3F963C31"/>
    <w:rsid w:val="3F9B4A8B"/>
    <w:rsid w:val="3FB157F6"/>
    <w:rsid w:val="3FBC1FE2"/>
    <w:rsid w:val="3FBD063E"/>
    <w:rsid w:val="3FC74D01"/>
    <w:rsid w:val="3FF54D36"/>
    <w:rsid w:val="4014414F"/>
    <w:rsid w:val="401C3481"/>
    <w:rsid w:val="40442B0E"/>
    <w:rsid w:val="40512B35"/>
    <w:rsid w:val="4056597A"/>
    <w:rsid w:val="4057639D"/>
    <w:rsid w:val="405A7C3B"/>
    <w:rsid w:val="40827192"/>
    <w:rsid w:val="40920B3F"/>
    <w:rsid w:val="409969B6"/>
    <w:rsid w:val="40B03B73"/>
    <w:rsid w:val="40BE641C"/>
    <w:rsid w:val="40C47A40"/>
    <w:rsid w:val="41013CC1"/>
    <w:rsid w:val="411B5933"/>
    <w:rsid w:val="414508EB"/>
    <w:rsid w:val="41556B9A"/>
    <w:rsid w:val="416A0352"/>
    <w:rsid w:val="416F7716"/>
    <w:rsid w:val="41780CC1"/>
    <w:rsid w:val="41826D0B"/>
    <w:rsid w:val="41856F3A"/>
    <w:rsid w:val="41886A2A"/>
    <w:rsid w:val="41931657"/>
    <w:rsid w:val="41BA3087"/>
    <w:rsid w:val="41D3433B"/>
    <w:rsid w:val="41D34BA9"/>
    <w:rsid w:val="41D43A1D"/>
    <w:rsid w:val="41D8350E"/>
    <w:rsid w:val="41F8770C"/>
    <w:rsid w:val="420662CD"/>
    <w:rsid w:val="42256BF8"/>
    <w:rsid w:val="422E137F"/>
    <w:rsid w:val="42363D5E"/>
    <w:rsid w:val="42423625"/>
    <w:rsid w:val="42440BA3"/>
    <w:rsid w:val="4249440B"/>
    <w:rsid w:val="42756FAE"/>
    <w:rsid w:val="428216CB"/>
    <w:rsid w:val="42997141"/>
    <w:rsid w:val="429D02B3"/>
    <w:rsid w:val="42C45597"/>
    <w:rsid w:val="42D55C9F"/>
    <w:rsid w:val="430B346F"/>
    <w:rsid w:val="434B5F61"/>
    <w:rsid w:val="434C41B3"/>
    <w:rsid w:val="4355648A"/>
    <w:rsid w:val="438518DD"/>
    <w:rsid w:val="439E2535"/>
    <w:rsid w:val="43E66BC8"/>
    <w:rsid w:val="44254A04"/>
    <w:rsid w:val="443308A1"/>
    <w:rsid w:val="444F55DD"/>
    <w:rsid w:val="446217B4"/>
    <w:rsid w:val="4469669F"/>
    <w:rsid w:val="446C43E1"/>
    <w:rsid w:val="44983428"/>
    <w:rsid w:val="44AD6ED3"/>
    <w:rsid w:val="44B94C67"/>
    <w:rsid w:val="44BC7116"/>
    <w:rsid w:val="44ED72D0"/>
    <w:rsid w:val="45264590"/>
    <w:rsid w:val="45400EC1"/>
    <w:rsid w:val="45901B57"/>
    <w:rsid w:val="45A1630C"/>
    <w:rsid w:val="45CF2E79"/>
    <w:rsid w:val="45E83F3B"/>
    <w:rsid w:val="45E91604"/>
    <w:rsid w:val="46162F67"/>
    <w:rsid w:val="46205483"/>
    <w:rsid w:val="464242FA"/>
    <w:rsid w:val="465539C4"/>
    <w:rsid w:val="46572CEA"/>
    <w:rsid w:val="465A0995"/>
    <w:rsid w:val="466943F9"/>
    <w:rsid w:val="469D3256"/>
    <w:rsid w:val="46AA2F9F"/>
    <w:rsid w:val="46B77E1F"/>
    <w:rsid w:val="47022DDB"/>
    <w:rsid w:val="470C4453"/>
    <w:rsid w:val="47112A55"/>
    <w:rsid w:val="47150D60"/>
    <w:rsid w:val="47170634"/>
    <w:rsid w:val="471C20EE"/>
    <w:rsid w:val="471F1BDF"/>
    <w:rsid w:val="47264693"/>
    <w:rsid w:val="474358CD"/>
    <w:rsid w:val="474D629F"/>
    <w:rsid w:val="4750522E"/>
    <w:rsid w:val="4766336A"/>
    <w:rsid w:val="47CA7D9C"/>
    <w:rsid w:val="47D47504"/>
    <w:rsid w:val="47D93B3C"/>
    <w:rsid w:val="47ED75E7"/>
    <w:rsid w:val="47F0794B"/>
    <w:rsid w:val="47F646ED"/>
    <w:rsid w:val="47FB7F56"/>
    <w:rsid w:val="47FC68BF"/>
    <w:rsid w:val="48396CD0"/>
    <w:rsid w:val="48811017"/>
    <w:rsid w:val="48965ED0"/>
    <w:rsid w:val="48A00AFD"/>
    <w:rsid w:val="48AB5019"/>
    <w:rsid w:val="48D507A7"/>
    <w:rsid w:val="48DC0511"/>
    <w:rsid w:val="49066BB2"/>
    <w:rsid w:val="49115557"/>
    <w:rsid w:val="492B03C7"/>
    <w:rsid w:val="493376DD"/>
    <w:rsid w:val="493C6A78"/>
    <w:rsid w:val="494722AB"/>
    <w:rsid w:val="49757894"/>
    <w:rsid w:val="49843F7B"/>
    <w:rsid w:val="49AD1724"/>
    <w:rsid w:val="49B90028"/>
    <w:rsid w:val="49F31153"/>
    <w:rsid w:val="49FB423D"/>
    <w:rsid w:val="4A054498"/>
    <w:rsid w:val="4A0D5D1E"/>
    <w:rsid w:val="4A1F71D6"/>
    <w:rsid w:val="4A2718EB"/>
    <w:rsid w:val="4A39600A"/>
    <w:rsid w:val="4A601C43"/>
    <w:rsid w:val="4A633B90"/>
    <w:rsid w:val="4A6F057C"/>
    <w:rsid w:val="4A81369C"/>
    <w:rsid w:val="4A851D59"/>
    <w:rsid w:val="4A9E5D86"/>
    <w:rsid w:val="4AA85A47"/>
    <w:rsid w:val="4AA93C99"/>
    <w:rsid w:val="4AAA17BF"/>
    <w:rsid w:val="4AB97C54"/>
    <w:rsid w:val="4ABF170F"/>
    <w:rsid w:val="4ADA0F18"/>
    <w:rsid w:val="4ADA6548"/>
    <w:rsid w:val="4AF40C8C"/>
    <w:rsid w:val="4B1355B6"/>
    <w:rsid w:val="4B327CC6"/>
    <w:rsid w:val="4B7C7600"/>
    <w:rsid w:val="4B995B21"/>
    <w:rsid w:val="4BA16A96"/>
    <w:rsid w:val="4BA37A49"/>
    <w:rsid w:val="4BBA0128"/>
    <w:rsid w:val="4BC13264"/>
    <w:rsid w:val="4BCB6653"/>
    <w:rsid w:val="4BE3142D"/>
    <w:rsid w:val="4BF3029F"/>
    <w:rsid w:val="4BF62688"/>
    <w:rsid w:val="4C207BF0"/>
    <w:rsid w:val="4C52445E"/>
    <w:rsid w:val="4C6836E0"/>
    <w:rsid w:val="4C860003"/>
    <w:rsid w:val="4C9B3AB5"/>
    <w:rsid w:val="4CA25915"/>
    <w:rsid w:val="4CA30A9C"/>
    <w:rsid w:val="4CAC181F"/>
    <w:rsid w:val="4CC0351C"/>
    <w:rsid w:val="4D0B0C3B"/>
    <w:rsid w:val="4D1B4BF6"/>
    <w:rsid w:val="4D357A66"/>
    <w:rsid w:val="4D617969"/>
    <w:rsid w:val="4D7367E0"/>
    <w:rsid w:val="4D765FA3"/>
    <w:rsid w:val="4D834C75"/>
    <w:rsid w:val="4DAB7EDA"/>
    <w:rsid w:val="4DC1754C"/>
    <w:rsid w:val="4DC31516"/>
    <w:rsid w:val="4DCE1C69"/>
    <w:rsid w:val="4DFA0CB0"/>
    <w:rsid w:val="4E0659D2"/>
    <w:rsid w:val="4E0833CC"/>
    <w:rsid w:val="4E141D71"/>
    <w:rsid w:val="4E4A5793"/>
    <w:rsid w:val="4E7520E4"/>
    <w:rsid w:val="4ECF7E2B"/>
    <w:rsid w:val="4ED60E57"/>
    <w:rsid w:val="4EED611E"/>
    <w:rsid w:val="4F050B6D"/>
    <w:rsid w:val="4F1B712F"/>
    <w:rsid w:val="4F334966"/>
    <w:rsid w:val="4F381A8F"/>
    <w:rsid w:val="4F3F510F"/>
    <w:rsid w:val="4F462317"/>
    <w:rsid w:val="4F89256B"/>
    <w:rsid w:val="4FC1669B"/>
    <w:rsid w:val="4FD40481"/>
    <w:rsid w:val="4FDA0DF6"/>
    <w:rsid w:val="4FE47521"/>
    <w:rsid w:val="4FF45606"/>
    <w:rsid w:val="4FFE0FF2"/>
    <w:rsid w:val="50002336"/>
    <w:rsid w:val="502E28C4"/>
    <w:rsid w:val="503E5E7C"/>
    <w:rsid w:val="50414974"/>
    <w:rsid w:val="50552CF3"/>
    <w:rsid w:val="50666188"/>
    <w:rsid w:val="507B60D8"/>
    <w:rsid w:val="5090543E"/>
    <w:rsid w:val="50AF6900"/>
    <w:rsid w:val="50EF2622"/>
    <w:rsid w:val="50FA09B1"/>
    <w:rsid w:val="513A1AEF"/>
    <w:rsid w:val="513D1358"/>
    <w:rsid w:val="514C6F98"/>
    <w:rsid w:val="514E559A"/>
    <w:rsid w:val="516C57A1"/>
    <w:rsid w:val="518931C9"/>
    <w:rsid w:val="51A0391C"/>
    <w:rsid w:val="51BE213E"/>
    <w:rsid w:val="51C05EDB"/>
    <w:rsid w:val="51E952C3"/>
    <w:rsid w:val="51EB103B"/>
    <w:rsid w:val="51FE0D6E"/>
    <w:rsid w:val="52164189"/>
    <w:rsid w:val="522105B9"/>
    <w:rsid w:val="523601F3"/>
    <w:rsid w:val="52636E23"/>
    <w:rsid w:val="5273519C"/>
    <w:rsid w:val="527E021F"/>
    <w:rsid w:val="52852FD0"/>
    <w:rsid w:val="528E031D"/>
    <w:rsid w:val="52B1623B"/>
    <w:rsid w:val="52BC1972"/>
    <w:rsid w:val="52C61160"/>
    <w:rsid w:val="52D700DE"/>
    <w:rsid w:val="52E86762"/>
    <w:rsid w:val="52F027AF"/>
    <w:rsid w:val="52FA4256"/>
    <w:rsid w:val="530A54F1"/>
    <w:rsid w:val="530B4BE6"/>
    <w:rsid w:val="53105563"/>
    <w:rsid w:val="53234805"/>
    <w:rsid w:val="533920AE"/>
    <w:rsid w:val="53416392"/>
    <w:rsid w:val="53424C8B"/>
    <w:rsid w:val="534D3630"/>
    <w:rsid w:val="53525315"/>
    <w:rsid w:val="53A25729"/>
    <w:rsid w:val="53BF0875"/>
    <w:rsid w:val="53CA68D8"/>
    <w:rsid w:val="53CC6754"/>
    <w:rsid w:val="53E752BB"/>
    <w:rsid w:val="540E72EB"/>
    <w:rsid w:val="541D4B12"/>
    <w:rsid w:val="542304FB"/>
    <w:rsid w:val="543A3FC5"/>
    <w:rsid w:val="544F13D7"/>
    <w:rsid w:val="5479708B"/>
    <w:rsid w:val="54816127"/>
    <w:rsid w:val="548E5CAE"/>
    <w:rsid w:val="54A604EB"/>
    <w:rsid w:val="54B225D1"/>
    <w:rsid w:val="54C17E31"/>
    <w:rsid w:val="54C36370"/>
    <w:rsid w:val="54CF69F2"/>
    <w:rsid w:val="55230AEC"/>
    <w:rsid w:val="55327E7C"/>
    <w:rsid w:val="55436A98"/>
    <w:rsid w:val="55482300"/>
    <w:rsid w:val="554E3DBB"/>
    <w:rsid w:val="55715927"/>
    <w:rsid w:val="557C4CDF"/>
    <w:rsid w:val="559D089E"/>
    <w:rsid w:val="55C437AB"/>
    <w:rsid w:val="55C51BA3"/>
    <w:rsid w:val="56216D43"/>
    <w:rsid w:val="562543F0"/>
    <w:rsid w:val="562B40FC"/>
    <w:rsid w:val="562C577E"/>
    <w:rsid w:val="562D715C"/>
    <w:rsid w:val="5640122A"/>
    <w:rsid w:val="56460F02"/>
    <w:rsid w:val="564927D4"/>
    <w:rsid w:val="566B44F9"/>
    <w:rsid w:val="569C2F3C"/>
    <w:rsid w:val="56B51C18"/>
    <w:rsid w:val="56C62E14"/>
    <w:rsid w:val="56CF2CD9"/>
    <w:rsid w:val="56E60023"/>
    <w:rsid w:val="56F036D9"/>
    <w:rsid w:val="571A483D"/>
    <w:rsid w:val="571E156B"/>
    <w:rsid w:val="572648C3"/>
    <w:rsid w:val="574077C9"/>
    <w:rsid w:val="57544F8D"/>
    <w:rsid w:val="57750CCB"/>
    <w:rsid w:val="577675F9"/>
    <w:rsid w:val="57813A64"/>
    <w:rsid w:val="57A06424"/>
    <w:rsid w:val="57D11596"/>
    <w:rsid w:val="57DE0CFA"/>
    <w:rsid w:val="57E841D9"/>
    <w:rsid w:val="57FB5D50"/>
    <w:rsid w:val="581F3C8C"/>
    <w:rsid w:val="582E57DE"/>
    <w:rsid w:val="585E3377"/>
    <w:rsid w:val="5866766D"/>
    <w:rsid w:val="58782D8B"/>
    <w:rsid w:val="58801DB1"/>
    <w:rsid w:val="58806D6B"/>
    <w:rsid w:val="58B34C17"/>
    <w:rsid w:val="58D5034F"/>
    <w:rsid w:val="58DA7713"/>
    <w:rsid w:val="58DD4B4B"/>
    <w:rsid w:val="58FA6008"/>
    <w:rsid w:val="591F1682"/>
    <w:rsid w:val="596D0588"/>
    <w:rsid w:val="59CA3C2C"/>
    <w:rsid w:val="59D95C1D"/>
    <w:rsid w:val="59FB5B93"/>
    <w:rsid w:val="5A0616B1"/>
    <w:rsid w:val="5A1530F9"/>
    <w:rsid w:val="5A1E1882"/>
    <w:rsid w:val="5A3317D1"/>
    <w:rsid w:val="5A5413E3"/>
    <w:rsid w:val="5A5D05FC"/>
    <w:rsid w:val="5A821E11"/>
    <w:rsid w:val="5AEC67FA"/>
    <w:rsid w:val="5AF076C2"/>
    <w:rsid w:val="5AF656CD"/>
    <w:rsid w:val="5AF96577"/>
    <w:rsid w:val="5B0C0741"/>
    <w:rsid w:val="5B280C0A"/>
    <w:rsid w:val="5B2D6220"/>
    <w:rsid w:val="5B6339F0"/>
    <w:rsid w:val="5B6854AA"/>
    <w:rsid w:val="5BB406F0"/>
    <w:rsid w:val="5BC70423"/>
    <w:rsid w:val="5BC76675"/>
    <w:rsid w:val="5BDA4A94"/>
    <w:rsid w:val="5BEA2363"/>
    <w:rsid w:val="5BFA3A04"/>
    <w:rsid w:val="5C0F6B97"/>
    <w:rsid w:val="5C423F4D"/>
    <w:rsid w:val="5C7659A5"/>
    <w:rsid w:val="5C8C341B"/>
    <w:rsid w:val="5CB309A7"/>
    <w:rsid w:val="5CB85FBE"/>
    <w:rsid w:val="5CCB3019"/>
    <w:rsid w:val="5CCB3F43"/>
    <w:rsid w:val="5CCE758F"/>
    <w:rsid w:val="5CDC1CAC"/>
    <w:rsid w:val="5CF30D95"/>
    <w:rsid w:val="5D310209"/>
    <w:rsid w:val="5D437F7D"/>
    <w:rsid w:val="5D4635C9"/>
    <w:rsid w:val="5D4D6706"/>
    <w:rsid w:val="5D557CB0"/>
    <w:rsid w:val="5D6A46F2"/>
    <w:rsid w:val="5D7B0085"/>
    <w:rsid w:val="5D7C1F1D"/>
    <w:rsid w:val="5D87291D"/>
    <w:rsid w:val="5D9F7CB7"/>
    <w:rsid w:val="5DBA21E7"/>
    <w:rsid w:val="5DBF1DA6"/>
    <w:rsid w:val="5DCA244C"/>
    <w:rsid w:val="5DDC7A8A"/>
    <w:rsid w:val="5DEC14F9"/>
    <w:rsid w:val="5DF63241"/>
    <w:rsid w:val="5DFE5C52"/>
    <w:rsid w:val="5E0968EF"/>
    <w:rsid w:val="5E3D49CC"/>
    <w:rsid w:val="5E420235"/>
    <w:rsid w:val="5E447901"/>
    <w:rsid w:val="5E570CB0"/>
    <w:rsid w:val="5E5E4943"/>
    <w:rsid w:val="5E6737F7"/>
    <w:rsid w:val="5E677C9B"/>
    <w:rsid w:val="5E6C3504"/>
    <w:rsid w:val="5E6D4B86"/>
    <w:rsid w:val="5E6F08FE"/>
    <w:rsid w:val="5E761C8C"/>
    <w:rsid w:val="5EAF7159"/>
    <w:rsid w:val="5EB279BE"/>
    <w:rsid w:val="5EB32EE1"/>
    <w:rsid w:val="5EBF1885"/>
    <w:rsid w:val="5ECC3A1D"/>
    <w:rsid w:val="5ECE7D1A"/>
    <w:rsid w:val="5ED2780B"/>
    <w:rsid w:val="5EE27322"/>
    <w:rsid w:val="5F063883"/>
    <w:rsid w:val="5F3A53B0"/>
    <w:rsid w:val="5F3C4C84"/>
    <w:rsid w:val="5F5E109E"/>
    <w:rsid w:val="5F750196"/>
    <w:rsid w:val="5F751C60"/>
    <w:rsid w:val="5F9F0303"/>
    <w:rsid w:val="5FC77D19"/>
    <w:rsid w:val="5FD47093"/>
    <w:rsid w:val="5FDC6467"/>
    <w:rsid w:val="5FF27A39"/>
    <w:rsid w:val="5FF87658"/>
    <w:rsid w:val="6025396A"/>
    <w:rsid w:val="603D6F06"/>
    <w:rsid w:val="606A457E"/>
    <w:rsid w:val="60730B79"/>
    <w:rsid w:val="608A11F9"/>
    <w:rsid w:val="60912DAE"/>
    <w:rsid w:val="60D61108"/>
    <w:rsid w:val="60F8107F"/>
    <w:rsid w:val="60FB0B6F"/>
    <w:rsid w:val="611A0FF5"/>
    <w:rsid w:val="61265BEC"/>
    <w:rsid w:val="613B5E44"/>
    <w:rsid w:val="613C71BD"/>
    <w:rsid w:val="6148266D"/>
    <w:rsid w:val="615B0273"/>
    <w:rsid w:val="61616C24"/>
    <w:rsid w:val="61730795"/>
    <w:rsid w:val="6180119A"/>
    <w:rsid w:val="618B5012"/>
    <w:rsid w:val="61931F26"/>
    <w:rsid w:val="61932B55"/>
    <w:rsid w:val="619F599E"/>
    <w:rsid w:val="61BE41DD"/>
    <w:rsid w:val="61E0223F"/>
    <w:rsid w:val="61E33ADD"/>
    <w:rsid w:val="61E57855"/>
    <w:rsid w:val="61F5665D"/>
    <w:rsid w:val="6227631A"/>
    <w:rsid w:val="623B3920"/>
    <w:rsid w:val="624451DC"/>
    <w:rsid w:val="626C3AD2"/>
    <w:rsid w:val="6275699B"/>
    <w:rsid w:val="62854B94"/>
    <w:rsid w:val="629E1D08"/>
    <w:rsid w:val="629F060D"/>
    <w:rsid w:val="62AC72E7"/>
    <w:rsid w:val="62C332D8"/>
    <w:rsid w:val="62C751AC"/>
    <w:rsid w:val="62C87BB1"/>
    <w:rsid w:val="62E01518"/>
    <w:rsid w:val="62F51D1A"/>
    <w:rsid w:val="62F6042B"/>
    <w:rsid w:val="62FD1AA0"/>
    <w:rsid w:val="630E06AB"/>
    <w:rsid w:val="63151AC7"/>
    <w:rsid w:val="63161C90"/>
    <w:rsid w:val="63251ED3"/>
    <w:rsid w:val="632F323E"/>
    <w:rsid w:val="63377DE5"/>
    <w:rsid w:val="634D1699"/>
    <w:rsid w:val="636C7565"/>
    <w:rsid w:val="639332E1"/>
    <w:rsid w:val="63950E07"/>
    <w:rsid w:val="639C03E7"/>
    <w:rsid w:val="63BC2837"/>
    <w:rsid w:val="63F03798"/>
    <w:rsid w:val="64065861"/>
    <w:rsid w:val="64502F80"/>
    <w:rsid w:val="645667E8"/>
    <w:rsid w:val="64A66091"/>
    <w:rsid w:val="64B61035"/>
    <w:rsid w:val="64C03C61"/>
    <w:rsid w:val="64FD5FBF"/>
    <w:rsid w:val="651638D5"/>
    <w:rsid w:val="65213E29"/>
    <w:rsid w:val="652C12F7"/>
    <w:rsid w:val="652F0DE7"/>
    <w:rsid w:val="653025BD"/>
    <w:rsid w:val="65432E7A"/>
    <w:rsid w:val="65876E75"/>
    <w:rsid w:val="6588004A"/>
    <w:rsid w:val="658A7C58"/>
    <w:rsid w:val="658D448B"/>
    <w:rsid w:val="65907AD8"/>
    <w:rsid w:val="659E2C19"/>
    <w:rsid w:val="65AB4E9E"/>
    <w:rsid w:val="65B337C6"/>
    <w:rsid w:val="65D35C16"/>
    <w:rsid w:val="65EE2A50"/>
    <w:rsid w:val="66080D5A"/>
    <w:rsid w:val="660D737A"/>
    <w:rsid w:val="66106E6A"/>
    <w:rsid w:val="66320C06"/>
    <w:rsid w:val="663D17DF"/>
    <w:rsid w:val="664408C2"/>
    <w:rsid w:val="669435F8"/>
    <w:rsid w:val="669730E8"/>
    <w:rsid w:val="669B6901"/>
    <w:rsid w:val="66AD46B9"/>
    <w:rsid w:val="66C27A39"/>
    <w:rsid w:val="66D8063C"/>
    <w:rsid w:val="66ED3FEF"/>
    <w:rsid w:val="670544F5"/>
    <w:rsid w:val="67185FD7"/>
    <w:rsid w:val="67281F92"/>
    <w:rsid w:val="672D1662"/>
    <w:rsid w:val="673715E3"/>
    <w:rsid w:val="67386679"/>
    <w:rsid w:val="67452B44"/>
    <w:rsid w:val="675C250A"/>
    <w:rsid w:val="678E0047"/>
    <w:rsid w:val="679413D5"/>
    <w:rsid w:val="67B66762"/>
    <w:rsid w:val="67BD6B7E"/>
    <w:rsid w:val="67BF72FA"/>
    <w:rsid w:val="67DA1624"/>
    <w:rsid w:val="67E749C9"/>
    <w:rsid w:val="67ED7463"/>
    <w:rsid w:val="6809591F"/>
    <w:rsid w:val="681C1AF7"/>
    <w:rsid w:val="68264723"/>
    <w:rsid w:val="68420E31"/>
    <w:rsid w:val="686B65DA"/>
    <w:rsid w:val="686F5A3D"/>
    <w:rsid w:val="68757459"/>
    <w:rsid w:val="687C07E7"/>
    <w:rsid w:val="68880F3A"/>
    <w:rsid w:val="68FB170C"/>
    <w:rsid w:val="68FB3083"/>
    <w:rsid w:val="69117181"/>
    <w:rsid w:val="691B0000"/>
    <w:rsid w:val="69342E70"/>
    <w:rsid w:val="69362744"/>
    <w:rsid w:val="69392234"/>
    <w:rsid w:val="694B6560"/>
    <w:rsid w:val="696A24C6"/>
    <w:rsid w:val="69735746"/>
    <w:rsid w:val="697414BE"/>
    <w:rsid w:val="699975B2"/>
    <w:rsid w:val="69AA3132"/>
    <w:rsid w:val="69C547A6"/>
    <w:rsid w:val="69D44501"/>
    <w:rsid w:val="69E5107B"/>
    <w:rsid w:val="69FA19C4"/>
    <w:rsid w:val="69FF347E"/>
    <w:rsid w:val="6A040A94"/>
    <w:rsid w:val="6A1011E7"/>
    <w:rsid w:val="6A121CC6"/>
    <w:rsid w:val="6A283303"/>
    <w:rsid w:val="6A2E78BF"/>
    <w:rsid w:val="6A3D3FA6"/>
    <w:rsid w:val="6A5A0B5B"/>
    <w:rsid w:val="6A6E636E"/>
    <w:rsid w:val="6A8B2F63"/>
    <w:rsid w:val="6AA72095"/>
    <w:rsid w:val="6AB73D58"/>
    <w:rsid w:val="6AB9362D"/>
    <w:rsid w:val="6AE83F12"/>
    <w:rsid w:val="6AF4016B"/>
    <w:rsid w:val="6B166709"/>
    <w:rsid w:val="6B2F1B41"/>
    <w:rsid w:val="6B447202"/>
    <w:rsid w:val="6B4A0C7A"/>
    <w:rsid w:val="6B581098"/>
    <w:rsid w:val="6B6A0DCB"/>
    <w:rsid w:val="6B6F3193"/>
    <w:rsid w:val="6B7C24AE"/>
    <w:rsid w:val="6B7D0AFE"/>
    <w:rsid w:val="6BB838E4"/>
    <w:rsid w:val="6BBD714D"/>
    <w:rsid w:val="6BCA186A"/>
    <w:rsid w:val="6BDB3A77"/>
    <w:rsid w:val="6BE12E80"/>
    <w:rsid w:val="6BF863D7"/>
    <w:rsid w:val="6C0E5BFA"/>
    <w:rsid w:val="6C16685D"/>
    <w:rsid w:val="6C603B35"/>
    <w:rsid w:val="6C6A4D9B"/>
    <w:rsid w:val="6C702411"/>
    <w:rsid w:val="6C852CE3"/>
    <w:rsid w:val="6C8D40DA"/>
    <w:rsid w:val="6CA6748F"/>
    <w:rsid w:val="6CAD5413"/>
    <w:rsid w:val="6CB16146"/>
    <w:rsid w:val="6CB260C6"/>
    <w:rsid w:val="6CD01102"/>
    <w:rsid w:val="6D050DAB"/>
    <w:rsid w:val="6D0668D1"/>
    <w:rsid w:val="6D28723F"/>
    <w:rsid w:val="6D4A2C62"/>
    <w:rsid w:val="6D6655C2"/>
    <w:rsid w:val="6D8D2B4F"/>
    <w:rsid w:val="6D95320C"/>
    <w:rsid w:val="6DCD73EF"/>
    <w:rsid w:val="6DD53C0F"/>
    <w:rsid w:val="6DD6296F"/>
    <w:rsid w:val="6DDD1884"/>
    <w:rsid w:val="6DDD3AD6"/>
    <w:rsid w:val="6E1F40EF"/>
    <w:rsid w:val="6E313E22"/>
    <w:rsid w:val="6E3B3E98"/>
    <w:rsid w:val="6E6715F2"/>
    <w:rsid w:val="6E7837FF"/>
    <w:rsid w:val="6E893726"/>
    <w:rsid w:val="6E8C1058"/>
    <w:rsid w:val="6E930639"/>
    <w:rsid w:val="6EA93F33"/>
    <w:rsid w:val="6EAE7221"/>
    <w:rsid w:val="6EB67795"/>
    <w:rsid w:val="6ED00F45"/>
    <w:rsid w:val="6EE40E94"/>
    <w:rsid w:val="6F045092"/>
    <w:rsid w:val="6F08090C"/>
    <w:rsid w:val="6F2179F2"/>
    <w:rsid w:val="6F255735"/>
    <w:rsid w:val="6F327E52"/>
    <w:rsid w:val="6F4C46FB"/>
    <w:rsid w:val="6F4D4C8B"/>
    <w:rsid w:val="6F681D01"/>
    <w:rsid w:val="6F6D0E8A"/>
    <w:rsid w:val="6F8561D3"/>
    <w:rsid w:val="6FA26D85"/>
    <w:rsid w:val="6FB10D76"/>
    <w:rsid w:val="6FC41B04"/>
    <w:rsid w:val="6FCF5329"/>
    <w:rsid w:val="6FD862CD"/>
    <w:rsid w:val="6FDB4045"/>
    <w:rsid w:val="6FE27182"/>
    <w:rsid w:val="6FEF5D43"/>
    <w:rsid w:val="6FFB46E7"/>
    <w:rsid w:val="701D4F2C"/>
    <w:rsid w:val="702E23C7"/>
    <w:rsid w:val="7040034C"/>
    <w:rsid w:val="70455963"/>
    <w:rsid w:val="705B0CE2"/>
    <w:rsid w:val="706109F2"/>
    <w:rsid w:val="70645DE9"/>
    <w:rsid w:val="70912956"/>
    <w:rsid w:val="70C44AD9"/>
    <w:rsid w:val="70E94540"/>
    <w:rsid w:val="70EB475C"/>
    <w:rsid w:val="70F87828"/>
    <w:rsid w:val="71156FC1"/>
    <w:rsid w:val="71456239"/>
    <w:rsid w:val="714D068C"/>
    <w:rsid w:val="715F158B"/>
    <w:rsid w:val="716342F2"/>
    <w:rsid w:val="719108A2"/>
    <w:rsid w:val="71B72890"/>
    <w:rsid w:val="71C76DE6"/>
    <w:rsid w:val="71EF202A"/>
    <w:rsid w:val="71FE6BE8"/>
    <w:rsid w:val="72A154A1"/>
    <w:rsid w:val="72A93F87"/>
    <w:rsid w:val="72B333C6"/>
    <w:rsid w:val="72B62B48"/>
    <w:rsid w:val="72BF7C4E"/>
    <w:rsid w:val="72E43211"/>
    <w:rsid w:val="72E94CCB"/>
    <w:rsid w:val="734531CD"/>
    <w:rsid w:val="734F0FD2"/>
    <w:rsid w:val="73532145"/>
    <w:rsid w:val="735A1725"/>
    <w:rsid w:val="735C549D"/>
    <w:rsid w:val="738606BF"/>
    <w:rsid w:val="73A6496A"/>
    <w:rsid w:val="73B84F29"/>
    <w:rsid w:val="73D22525"/>
    <w:rsid w:val="73E55492"/>
    <w:rsid w:val="73FC0A2E"/>
    <w:rsid w:val="7400051E"/>
    <w:rsid w:val="740718AD"/>
    <w:rsid w:val="740F2585"/>
    <w:rsid w:val="741706BB"/>
    <w:rsid w:val="741B7E2F"/>
    <w:rsid w:val="742A10F7"/>
    <w:rsid w:val="74335F8F"/>
    <w:rsid w:val="74341F76"/>
    <w:rsid w:val="743E2DF5"/>
    <w:rsid w:val="74424693"/>
    <w:rsid w:val="744A709B"/>
    <w:rsid w:val="74932A0C"/>
    <w:rsid w:val="7496678D"/>
    <w:rsid w:val="749A7801"/>
    <w:rsid w:val="74B65081"/>
    <w:rsid w:val="74BE4085"/>
    <w:rsid w:val="74C0380A"/>
    <w:rsid w:val="74CE54BD"/>
    <w:rsid w:val="74EE70BD"/>
    <w:rsid w:val="75022074"/>
    <w:rsid w:val="75096F5F"/>
    <w:rsid w:val="75357D54"/>
    <w:rsid w:val="75371D1E"/>
    <w:rsid w:val="75385A96"/>
    <w:rsid w:val="754206C3"/>
    <w:rsid w:val="756D573F"/>
    <w:rsid w:val="7581743D"/>
    <w:rsid w:val="75925B77"/>
    <w:rsid w:val="75B06567"/>
    <w:rsid w:val="75DE488F"/>
    <w:rsid w:val="75E029B8"/>
    <w:rsid w:val="75FA2D4B"/>
    <w:rsid w:val="76045978"/>
    <w:rsid w:val="760F7C18"/>
    <w:rsid w:val="76257DC8"/>
    <w:rsid w:val="76452218"/>
    <w:rsid w:val="76515061"/>
    <w:rsid w:val="765913E1"/>
    <w:rsid w:val="766151C3"/>
    <w:rsid w:val="76684494"/>
    <w:rsid w:val="766C1E9B"/>
    <w:rsid w:val="7682346D"/>
    <w:rsid w:val="76A01B45"/>
    <w:rsid w:val="76B97A4B"/>
    <w:rsid w:val="76C61836"/>
    <w:rsid w:val="76D4359C"/>
    <w:rsid w:val="77103F92"/>
    <w:rsid w:val="7711659E"/>
    <w:rsid w:val="77144054"/>
    <w:rsid w:val="775B6BE8"/>
    <w:rsid w:val="7762504C"/>
    <w:rsid w:val="778577E4"/>
    <w:rsid w:val="77890A18"/>
    <w:rsid w:val="778C1D38"/>
    <w:rsid w:val="779C40BA"/>
    <w:rsid w:val="779D6084"/>
    <w:rsid w:val="77AB7213"/>
    <w:rsid w:val="77B04288"/>
    <w:rsid w:val="77B57D17"/>
    <w:rsid w:val="77EB3293"/>
    <w:rsid w:val="78054AEE"/>
    <w:rsid w:val="780B56E4"/>
    <w:rsid w:val="783C589D"/>
    <w:rsid w:val="78531F73"/>
    <w:rsid w:val="7855070D"/>
    <w:rsid w:val="78600961"/>
    <w:rsid w:val="786A240A"/>
    <w:rsid w:val="788A2AAC"/>
    <w:rsid w:val="78922459"/>
    <w:rsid w:val="789677DD"/>
    <w:rsid w:val="78A3200D"/>
    <w:rsid w:val="78BB4A14"/>
    <w:rsid w:val="78C87095"/>
    <w:rsid w:val="78CC4E73"/>
    <w:rsid w:val="78E0359B"/>
    <w:rsid w:val="78EC78E8"/>
    <w:rsid w:val="78F06E88"/>
    <w:rsid w:val="78FF6F31"/>
    <w:rsid w:val="79143474"/>
    <w:rsid w:val="791548D9"/>
    <w:rsid w:val="791D747D"/>
    <w:rsid w:val="792878E4"/>
    <w:rsid w:val="792C76C0"/>
    <w:rsid w:val="79494343"/>
    <w:rsid w:val="7987109F"/>
    <w:rsid w:val="79905EA0"/>
    <w:rsid w:val="79A11E5C"/>
    <w:rsid w:val="79AA7ABF"/>
    <w:rsid w:val="79DD6C0C"/>
    <w:rsid w:val="79E32474"/>
    <w:rsid w:val="79F006ED"/>
    <w:rsid w:val="7A347300"/>
    <w:rsid w:val="7A380C95"/>
    <w:rsid w:val="7A6F1F5A"/>
    <w:rsid w:val="7A747570"/>
    <w:rsid w:val="7A756E44"/>
    <w:rsid w:val="7A7E219D"/>
    <w:rsid w:val="7A804167"/>
    <w:rsid w:val="7A904DD0"/>
    <w:rsid w:val="7AB67B89"/>
    <w:rsid w:val="7ABB519F"/>
    <w:rsid w:val="7AC1208A"/>
    <w:rsid w:val="7AC35E02"/>
    <w:rsid w:val="7AD65B35"/>
    <w:rsid w:val="7AE069B4"/>
    <w:rsid w:val="7AF97A75"/>
    <w:rsid w:val="7B3471FE"/>
    <w:rsid w:val="7B590514"/>
    <w:rsid w:val="7B5C4035"/>
    <w:rsid w:val="7B620780"/>
    <w:rsid w:val="7BB45177"/>
    <w:rsid w:val="7BD070B1"/>
    <w:rsid w:val="7BD9148B"/>
    <w:rsid w:val="7BD96F9B"/>
    <w:rsid w:val="7BDA233A"/>
    <w:rsid w:val="7BE81FC4"/>
    <w:rsid w:val="7BF47178"/>
    <w:rsid w:val="7BF72207"/>
    <w:rsid w:val="7C0D37D8"/>
    <w:rsid w:val="7C2A1694"/>
    <w:rsid w:val="7C35307A"/>
    <w:rsid w:val="7C357264"/>
    <w:rsid w:val="7C4A4A2C"/>
    <w:rsid w:val="7C833A9B"/>
    <w:rsid w:val="7C8E1CF9"/>
    <w:rsid w:val="7CA6465A"/>
    <w:rsid w:val="7CB400F8"/>
    <w:rsid w:val="7CB71996"/>
    <w:rsid w:val="7CBE53E4"/>
    <w:rsid w:val="7CC16371"/>
    <w:rsid w:val="7CEB12FB"/>
    <w:rsid w:val="7CFF2350"/>
    <w:rsid w:val="7D364FB1"/>
    <w:rsid w:val="7D3923AB"/>
    <w:rsid w:val="7D584E3E"/>
    <w:rsid w:val="7D5B4A17"/>
    <w:rsid w:val="7DB54128"/>
    <w:rsid w:val="7DCF4ABD"/>
    <w:rsid w:val="7DDA3B8E"/>
    <w:rsid w:val="7DE85803"/>
    <w:rsid w:val="7E017037"/>
    <w:rsid w:val="7E490D14"/>
    <w:rsid w:val="7E4B05E8"/>
    <w:rsid w:val="7E522354"/>
    <w:rsid w:val="7E755665"/>
    <w:rsid w:val="7E851D4C"/>
    <w:rsid w:val="7EAB72D9"/>
    <w:rsid w:val="7EB76401"/>
    <w:rsid w:val="7EF62835"/>
    <w:rsid w:val="7F0926C6"/>
    <w:rsid w:val="7F1B1071"/>
    <w:rsid w:val="7F403EC5"/>
    <w:rsid w:val="7F533BF8"/>
    <w:rsid w:val="7F5C33A6"/>
    <w:rsid w:val="7F625BE9"/>
    <w:rsid w:val="7F7F2C3F"/>
    <w:rsid w:val="7F8A15E4"/>
    <w:rsid w:val="7F912972"/>
    <w:rsid w:val="7FAA544D"/>
    <w:rsid w:val="7FAC753D"/>
    <w:rsid w:val="7FB34697"/>
    <w:rsid w:val="7FC17096"/>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next w:val="1"/>
    <w:autoRedefine/>
    <w:qFormat/>
    <w:uiPriority w:val="0"/>
    <w:pPr>
      <w:ind w:firstLine="420"/>
    </w:pPr>
    <w:rPr>
      <w:rFonts w:ascii="宋体" w:hAnsi="Courier New"/>
      <w:szCs w:val="20"/>
    </w:rPr>
  </w:style>
  <w:style w:type="paragraph" w:styleId="4">
    <w:name w:val="footer"/>
    <w:basedOn w:val="1"/>
    <w:qFormat/>
    <w:uiPriority w:val="0"/>
    <w:pPr>
      <w:tabs>
        <w:tab w:val="center" w:pos="4153"/>
        <w:tab w:val="right" w:pos="8306"/>
      </w:tabs>
      <w:snapToGrid w:val="0"/>
      <w:ind w:right="210" w:rightChars="100"/>
      <w:jc w:val="right"/>
    </w:pPr>
    <w:rPr>
      <w:sz w:val="18"/>
      <w:szCs w:val="18"/>
    </w:rPr>
  </w:style>
  <w:style w:type="paragraph" w:styleId="5">
    <w:name w:val="table of figures"/>
    <w:basedOn w:val="1"/>
    <w:next w:val="1"/>
    <w:qFormat/>
    <w:uiPriority w:val="0"/>
    <w:pPr>
      <w:ind w:left="200" w:leftChars="200" w:hanging="200" w:hangingChars="200"/>
    </w:pPr>
    <w:rPr>
      <w:sz w:val="24"/>
    </w:rPr>
  </w:style>
  <w:style w:type="paragraph" w:styleId="6">
    <w:name w:val="HTML Preformatted"/>
    <w:basedOn w:val="1"/>
    <w:autoRedefine/>
    <w:unhideWhenUsed/>
    <w:qFormat/>
    <w:uiPriority w:val="99"/>
    <w:rPr>
      <w:rFonts w:ascii="Courier New" w:hAnsi="Courier New"/>
      <w:sz w:val="20"/>
      <w:szCs w:val="20"/>
    </w:rPr>
  </w:style>
  <w:style w:type="paragraph" w:styleId="7">
    <w:name w:val="Title"/>
    <w:basedOn w:val="1"/>
    <w:next w:val="1"/>
    <w:autoRedefine/>
    <w:qFormat/>
    <w:uiPriority w:val="0"/>
    <w:pPr>
      <w:spacing w:before="240" w:after="60"/>
      <w:jc w:val="center"/>
      <w:outlineLvl w:val="0"/>
    </w:pPr>
    <w:rPr>
      <w:rFonts w:ascii="Cambria" w:hAnsi="Cambria"/>
      <w:b/>
      <w:bCs/>
      <w:sz w:val="32"/>
      <w:szCs w:val="32"/>
    </w:rPr>
  </w:style>
  <w:style w:type="table" w:styleId="9">
    <w:name w:val="Table Grid"/>
    <w:basedOn w:val="8"/>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autoRedefine/>
    <w:qFormat/>
    <w:uiPriority w:val="0"/>
    <w:rPr>
      <w:rFonts w:ascii="Times New Roman" w:hAnsi="Times New Roman" w:eastAsia="宋体"/>
      <w:sz w:val="18"/>
    </w:rPr>
  </w:style>
  <w:style w:type="character" w:styleId="12">
    <w:name w:val="Hyperlink"/>
    <w:basedOn w:val="10"/>
    <w:qFormat/>
    <w:uiPriority w:val="0"/>
    <w:rPr>
      <w:color w:val="0000FF"/>
      <w:u w:val="single"/>
    </w:rPr>
  </w:style>
  <w:style w:type="paragraph" w:customStyle="1" w:styleId="13">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
    <w:name w:val="封面正文"/>
    <w:autoRedefine/>
    <w:qFormat/>
    <w:uiPriority w:val="0"/>
    <w:pPr>
      <w:jc w:val="both"/>
    </w:pPr>
    <w:rPr>
      <w:rFonts w:ascii="Times New Roman" w:hAnsi="Times New Roman" w:eastAsia="宋体" w:cs="Times New Roman"/>
      <w:lang w:val="en-US" w:eastAsia="zh-CN" w:bidi="ar-SA"/>
    </w:rPr>
  </w:style>
  <w:style w:type="paragraph" w:customStyle="1" w:styleId="15">
    <w:name w:val="章标题"/>
    <w:next w:val="16"/>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autoRedefine/>
    <w:qFormat/>
    <w:uiPriority w:val="0"/>
    <w:pPr>
      <w:autoSpaceDE w:val="0"/>
      <w:autoSpaceDN w:val="0"/>
      <w:jc w:val="both"/>
    </w:pPr>
    <w:rPr>
      <w:rFonts w:ascii="宋体" w:hAnsi="Times New Roman" w:eastAsia="宋体" w:cs="Times New Roman"/>
      <w:sz w:val="21"/>
      <w:lang w:val="en-US" w:eastAsia="zh-CN" w:bidi="ar-SA"/>
    </w:rPr>
  </w:style>
  <w:style w:type="paragraph" w:customStyle="1" w:styleId="17">
    <w:name w:val="一级条标题"/>
    <w:next w:val="16"/>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18">
    <w:name w:val="正文表标题"/>
    <w:next w:val="16"/>
    <w:autoRedefine/>
    <w:qFormat/>
    <w:uiPriority w:val="0"/>
    <w:pPr>
      <w:tabs>
        <w:tab w:val="left" w:pos="360"/>
      </w:tabs>
      <w:jc w:val="center"/>
    </w:pPr>
    <w:rPr>
      <w:rFonts w:ascii="黑体" w:hAnsi="Times New Roman" w:eastAsia="黑体" w:cs="Times New Roman"/>
      <w:sz w:val="21"/>
      <w:lang w:val="en-US" w:eastAsia="zh-CN" w:bidi="ar-SA"/>
    </w:rPr>
  </w:style>
  <w:style w:type="paragraph" w:customStyle="1" w:styleId="1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二级条标题"/>
    <w:basedOn w:val="17"/>
    <w:next w:val="16"/>
    <w:autoRedefine/>
    <w:qFormat/>
    <w:uiPriority w:val="0"/>
    <w:pPr>
      <w:tabs>
        <w:tab w:val="clear" w:pos="360"/>
      </w:tabs>
      <w:outlineLvl w:val="3"/>
    </w:pPr>
    <w:rPr>
      <w:kern w:val="2"/>
      <w:szCs w:val="24"/>
    </w:rPr>
  </w:style>
  <w:style w:type="paragraph" w:customStyle="1" w:styleId="21">
    <w:name w:val="三级条标题"/>
    <w:basedOn w:val="22"/>
    <w:next w:val="16"/>
    <w:autoRedefine/>
    <w:qFormat/>
    <w:uiPriority w:val="0"/>
    <w:pPr>
      <w:tabs>
        <w:tab w:val="left" w:pos="360"/>
      </w:tabs>
      <w:outlineLvl w:val="4"/>
    </w:pPr>
  </w:style>
  <w:style w:type="paragraph" w:customStyle="1" w:styleId="22">
    <w:name w:val="二级条标题 Char Char"/>
    <w:basedOn w:val="23"/>
    <w:next w:val="16"/>
    <w:autoRedefine/>
    <w:qFormat/>
    <w:uiPriority w:val="0"/>
    <w:pPr>
      <w:numPr>
        <w:ilvl w:val="0"/>
        <w:numId w:val="0"/>
      </w:numPr>
      <w:outlineLvl w:val="3"/>
    </w:pPr>
  </w:style>
  <w:style w:type="paragraph" w:customStyle="1" w:styleId="23">
    <w:name w:val="一级条标题 Char Char Char Char"/>
    <w:next w:val="16"/>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4">
    <w:name w:val="终结线"/>
    <w:basedOn w:val="1"/>
    <w:autoRedefine/>
    <w:qFormat/>
    <w:uiPriority w:val="0"/>
    <w:pPr>
      <w:framePr w:hSpace="181" w:vSpace="181" w:wrap="around" w:vAnchor="text" w:hAnchor="margin" w:xAlign="center" w:y="285"/>
    </w:pPr>
  </w:style>
  <w:style w:type="paragraph" w:customStyle="1" w:styleId="25">
    <w:name w:val="实施日期"/>
    <w:basedOn w:val="26"/>
    <w:autoRedefine/>
    <w:qFormat/>
    <w:uiPriority w:val="0"/>
    <w:pPr>
      <w:framePr w:hSpace="0" w:wrap="around" w:xAlign="right"/>
      <w:numPr>
        <w:ilvl w:val="4"/>
        <w:numId w:val="1"/>
      </w:numPr>
      <w:jc w:val="right"/>
    </w:pPr>
  </w:style>
  <w:style w:type="paragraph" w:customStyle="1" w:styleId="26">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7">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8">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9">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0">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1">
    <w:name w:val="发布"/>
    <w:autoRedefine/>
    <w:qFormat/>
    <w:uiPriority w:val="0"/>
    <w:rPr>
      <w:rFonts w:ascii="黑体" w:eastAsia="黑体"/>
      <w:spacing w:val="22"/>
      <w:w w:val="100"/>
      <w:position w:val="3"/>
      <w:sz w:val="28"/>
    </w:rPr>
  </w:style>
  <w:style w:type="paragraph" w:customStyle="1" w:styleId="32">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3">
    <w:name w:val="标准书眉一"/>
    <w:autoRedefine/>
    <w:qFormat/>
    <w:uiPriority w:val="0"/>
    <w:pPr>
      <w:jc w:val="both"/>
    </w:pPr>
    <w:rPr>
      <w:rFonts w:ascii="Times New Roman" w:hAnsi="Times New Roman" w:eastAsia="宋体" w:cs="Times New Roman"/>
      <w:lang w:val="en-US" w:eastAsia="zh-CN" w:bidi="ar-SA"/>
    </w:rPr>
  </w:style>
  <w:style w:type="paragraph" w:customStyle="1" w:styleId="34">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35">
    <w:name w:val="CM31"/>
    <w:basedOn w:val="36"/>
    <w:next w:val="36"/>
    <w:autoRedefine/>
    <w:unhideWhenUsed/>
    <w:qFormat/>
    <w:uiPriority w:val="99"/>
  </w:style>
  <w:style w:type="paragraph" w:customStyle="1" w:styleId="36">
    <w:name w:val="Default"/>
    <w:next w:val="5"/>
    <w:autoRedefine/>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37">
    <w:name w:val="Table Text"/>
    <w:basedOn w:val="1"/>
    <w:semiHidden/>
    <w:qFormat/>
    <w:uiPriority w:val="0"/>
    <w:rPr>
      <w:rFonts w:ascii="宋体" w:hAnsi="宋体" w:cs="宋体"/>
      <w:sz w:val="18"/>
      <w:szCs w:val="18"/>
      <w:lang w:eastAsia="en-US"/>
    </w:rPr>
  </w:style>
  <w:style w:type="table" w:customStyle="1" w:styleId="38">
    <w:name w:val="Table Normal"/>
    <w:semiHidden/>
    <w:unhideWhenUsed/>
    <w:qFormat/>
    <w:uiPriority w:val="0"/>
    <w:tblPr>
      <w:tblCellMar>
        <w:top w:w="0" w:type="dxa"/>
        <w:left w:w="0" w:type="dxa"/>
        <w:bottom w:w="0" w:type="dxa"/>
        <w:right w:w="0" w:type="dxa"/>
      </w:tblCellMar>
    </w:tblPr>
  </w:style>
  <w:style w:type="paragraph" w:customStyle="1" w:styleId="39">
    <w:name w:val="前言、引言标题"/>
    <w:next w:val="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2095</Words>
  <Characters>2487</Characters>
  <Lines>20</Lines>
  <Paragraphs>5</Paragraphs>
  <TotalTime>5</TotalTime>
  <ScaleCrop>false</ScaleCrop>
  <LinksUpToDate>false</LinksUpToDate>
  <CharactersWithSpaces>2673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2024-08-14T08:49:00Z</dcterms:created>
  <dc:creator>吃了防腐剂的芒果少女</dc:creator>
  <cp:lastModifiedBy>llhliulihua</cp:lastModifiedBy>
  <cp:lastPrinted>2024-08-21T02:41:00Z</cp:lastPrinted>
  <dcterms:modified xsi:type="dcterms:W3CDTF">2025-06-10T08:38:17Z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695098094D3E41A68BA031BB3C20DA80_13</vt:lpwstr>
  </property>
  <property fmtid="{D5CDD505-2E9C-101B-9397-08002B2CF9AE}" pid="4" name="KSOTemplateDocerSaveRecord">
    <vt:lpwstr>eyJoZGlkIjoiN2JjNjlkY2Y1Y2NkZGE5Y2Q5NGZmMDVlNzZhMDkwMDUiLCJ1c2VySWQiOiI2NzY3MTU3NDcifQ==</vt:lpwstr>
  </property>
</Properties>
</file>