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74FF2">
      <w:pPr>
        <w:pStyle w:val="13"/>
        <w:framePr w:wrap="around"/>
        <w:rPr>
          <w:rFonts w:ascii="黑体" w:hAnsi="黑体" w:cs="黑体"/>
        </w:rPr>
      </w:pPr>
      <w:bookmarkStart w:id="0" w:name="SectionMark0"/>
      <w:r>
        <w:rPr>
          <w:rFonts w:hint="eastAsia" w:ascii="黑体" w:hAnsi="黑体" w:cs="黑体"/>
        </w:rPr>
        <w:t>ICS 67.120.10</w:t>
      </w:r>
    </w:p>
    <w:p w14:paraId="29B39AE6">
      <w:pPr>
        <w:pStyle w:val="13"/>
        <w:framePr w:wrap="around"/>
        <w:rPr>
          <w:rFonts w:ascii="黑体" w:hAnsi="黑体" w:cs="黑体"/>
        </w:rPr>
      </w:pPr>
      <w:r>
        <w:rPr>
          <w:rFonts w:hint="eastAsia" w:ascii="黑体" w:hAnsi="黑体" w:cs="黑体"/>
        </w:rPr>
        <w:t>CCS X22</w:t>
      </w:r>
    </w:p>
    <w:p w14:paraId="05D6BF5A">
      <w:pPr>
        <w:pStyle w:val="14"/>
      </w:pPr>
      <w:r>
        <mc:AlternateContent>
          <mc:Choice Requires="wps">
            <w:drawing>
              <wp:anchor distT="0" distB="0" distL="114300" distR="114300" simplePos="0" relativeHeight="251662336"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2336;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0C0DFE7">
                            <w:pPr>
                              <w:pStyle w:val="25"/>
                              <w:numPr>
                                <w:ilvl w:val="0"/>
                                <w:numId w:val="0"/>
                              </w:numPr>
                            </w:pPr>
                            <w:r>
                              <w:rPr>
                                <w:rFonts w:hint="eastAsia" w:ascii="黑体" w:hAnsi="黑体" w:cs="黑体"/>
                              </w:rPr>
                              <w:t>2025-XX-XX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50C0DFE7">
                      <w:pPr>
                        <w:pStyle w:val="25"/>
                        <w:numPr>
                          <w:ilvl w:val="0"/>
                          <w:numId w:val="0"/>
                        </w:numPr>
                      </w:pPr>
                      <w:r>
                        <w:rPr>
                          <w:rFonts w:hint="eastAsia" w:ascii="黑体" w:hAnsi="黑体" w:cs="黑体"/>
                        </w:rPr>
                        <w:t>2025-XX-XX</w:t>
                      </w:r>
                      <w:r>
                        <w:rPr>
                          <w:rFonts w:hint="eastAsia"/>
                        </w:rPr>
                        <w:t>实施</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6909E75">
                            <w:pPr>
                              <w:pStyle w:val="26"/>
                            </w:pPr>
                            <w:r>
                              <w:rPr>
                                <w:rFonts w:hint="eastAsia" w:ascii="黑体" w:hAnsi="黑体" w:cs="黑体"/>
                              </w:rPr>
                              <w:t>2025-XX-XX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59264;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06909E75">
                      <w:pPr>
                        <w:pStyle w:val="26"/>
                      </w:pPr>
                      <w:r>
                        <w:rPr>
                          <w:rFonts w:hint="eastAsia" w:ascii="黑体" w:hAnsi="黑体" w:cs="黑体"/>
                        </w:rPr>
                        <w:t>2025-XX-XX</w:t>
                      </w:r>
                      <w:r>
                        <w:rPr>
                          <w:rFonts w:hint="eastAsia"/>
                        </w:rPr>
                        <w:t>发布</w:t>
                      </w:r>
                    </w:p>
                  </w:txbxContent>
                </v:textbox>
                <w10:anchorlock/>
              </v:shape>
            </w:pict>
          </mc:Fallback>
        </mc:AlternateContent>
      </w:r>
      <w:r>
        <w:rPr>
          <w:rFonts w:ascii="宋体" w:hAnsi="宋体" w:cs="宋体"/>
        </w:rPr>
        <mc:AlternateContent>
          <mc:Choice Requires="wps">
            <w:drawing>
              <wp:anchor distT="0" distB="0" distL="114300" distR="114300" simplePos="0" relativeHeight="251666432"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27F29907">
                            <w:pPr>
                              <w:pStyle w:val="27"/>
                              <w:spacing w:before="0" w:line="240" w:lineRule="auto"/>
                              <w:rPr>
                                <w:rFonts w:eastAsia="黑体"/>
                                <w:sz w:val="52"/>
                                <w:szCs w:val="22"/>
                              </w:rPr>
                            </w:pPr>
                            <w:r>
                              <w:rPr>
                                <w:rFonts w:hint="eastAsia" w:eastAsia="黑体"/>
                                <w:sz w:val="52"/>
                                <w:szCs w:val="22"/>
                              </w:rPr>
                              <w:t>通辽牛肉调理制品加工技术规范</w:t>
                            </w:r>
                          </w:p>
                          <w:p w14:paraId="22E9F493">
                            <w:pPr>
                              <w:pStyle w:val="27"/>
                              <w:spacing w:before="0" w:line="240" w:lineRule="auto"/>
                              <w:rPr>
                                <w:rFonts w:ascii="黑体" w:hAnsi="黑体" w:eastAsia="黑体" w:cs="黑体"/>
                                <w:szCs w:val="28"/>
                              </w:rPr>
                            </w:pPr>
                            <w:r>
                              <w:rPr>
                                <w:rFonts w:hint="eastAsia" w:ascii="黑体" w:hAnsi="黑体" w:eastAsia="黑体" w:cs="黑体"/>
                                <w:szCs w:val="28"/>
                              </w:rPr>
                              <w:t>Technical Regulation for Processing of Tongliao Beef Prepared Products</w:t>
                            </w:r>
                          </w:p>
                          <w:p w14:paraId="192282A6">
                            <w:pPr>
                              <w:spacing w:line="480" w:lineRule="auto"/>
                              <w:jc w:val="center"/>
                              <w:rPr>
                                <w:rFonts w:hint="eastAsia"/>
                                <w:sz w:val="24"/>
                                <w:szCs w:val="24"/>
                              </w:rPr>
                            </w:pPr>
                          </w:p>
                          <w:p w14:paraId="39274AE9">
                            <w:pPr>
                              <w:spacing w:line="480" w:lineRule="auto"/>
                              <w:jc w:val="center"/>
                              <w:rPr>
                                <w:rFonts w:ascii="Calibri" w:hAnsi="Calibri"/>
                                <w:sz w:val="24"/>
                                <w:szCs w:val="24"/>
                              </w:rPr>
                            </w:pPr>
                            <w:r>
                              <w:rPr>
                                <w:rFonts w:hint="eastAsia"/>
                                <w:sz w:val="24"/>
                                <w:szCs w:val="24"/>
                              </w:rPr>
                              <w:t>（征求</w:t>
                            </w:r>
                            <w:r>
                              <w:rPr>
                                <w:sz w:val="24"/>
                                <w:szCs w:val="24"/>
                              </w:rPr>
                              <w:t>意见稿</w:t>
                            </w:r>
                            <w:r>
                              <w:rPr>
                                <w:rFonts w:hint="eastAsia"/>
                                <w:sz w:val="24"/>
                                <w:szCs w:val="24"/>
                              </w:rPr>
                              <w:t>）</w:t>
                            </w:r>
                          </w:p>
                          <w:p w14:paraId="4B4EAEC9">
                            <w:pPr>
                              <w:pStyle w:val="27"/>
                              <w:spacing w:before="0" w:line="240" w:lineRule="auto"/>
                              <w:rPr>
                                <w:rFonts w:ascii="宋体" w:hAnsi="宋体" w:cs="宋体"/>
                                <w:szCs w:val="28"/>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643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27F29907">
                      <w:pPr>
                        <w:pStyle w:val="27"/>
                        <w:spacing w:before="0" w:line="240" w:lineRule="auto"/>
                        <w:rPr>
                          <w:rFonts w:eastAsia="黑体"/>
                          <w:sz w:val="52"/>
                          <w:szCs w:val="22"/>
                        </w:rPr>
                      </w:pPr>
                      <w:r>
                        <w:rPr>
                          <w:rFonts w:hint="eastAsia" w:eastAsia="黑体"/>
                          <w:sz w:val="52"/>
                          <w:szCs w:val="22"/>
                        </w:rPr>
                        <w:t>通辽牛肉调理制品加工技术规范</w:t>
                      </w:r>
                    </w:p>
                    <w:p w14:paraId="22E9F493">
                      <w:pPr>
                        <w:pStyle w:val="27"/>
                        <w:spacing w:before="0" w:line="240" w:lineRule="auto"/>
                        <w:rPr>
                          <w:rFonts w:ascii="黑体" w:hAnsi="黑体" w:eastAsia="黑体" w:cs="黑体"/>
                          <w:szCs w:val="28"/>
                        </w:rPr>
                      </w:pPr>
                      <w:r>
                        <w:rPr>
                          <w:rFonts w:hint="eastAsia" w:ascii="黑体" w:hAnsi="黑体" w:eastAsia="黑体" w:cs="黑体"/>
                          <w:szCs w:val="28"/>
                        </w:rPr>
                        <w:t>Technical Regulation for Processing of Tongliao Beef Prepared Products</w:t>
                      </w:r>
                    </w:p>
                    <w:p w14:paraId="192282A6">
                      <w:pPr>
                        <w:spacing w:line="480" w:lineRule="auto"/>
                        <w:jc w:val="center"/>
                        <w:rPr>
                          <w:rFonts w:hint="eastAsia"/>
                          <w:sz w:val="24"/>
                          <w:szCs w:val="24"/>
                        </w:rPr>
                      </w:pPr>
                    </w:p>
                    <w:p w14:paraId="39274AE9">
                      <w:pPr>
                        <w:spacing w:line="480" w:lineRule="auto"/>
                        <w:jc w:val="center"/>
                        <w:rPr>
                          <w:rFonts w:ascii="Calibri" w:hAnsi="Calibri"/>
                          <w:sz w:val="24"/>
                          <w:szCs w:val="24"/>
                        </w:rPr>
                      </w:pPr>
                      <w:r>
                        <w:rPr>
                          <w:rFonts w:hint="eastAsia"/>
                          <w:sz w:val="24"/>
                          <w:szCs w:val="24"/>
                        </w:rPr>
                        <w:t>（征求</w:t>
                      </w:r>
                      <w:r>
                        <w:rPr>
                          <w:sz w:val="24"/>
                          <w:szCs w:val="24"/>
                        </w:rPr>
                        <w:t>意见稿</w:t>
                      </w:r>
                      <w:r>
                        <w:rPr>
                          <w:rFonts w:hint="eastAsia"/>
                          <w:sz w:val="24"/>
                          <w:szCs w:val="24"/>
                        </w:rPr>
                        <w:t>）</w:t>
                      </w:r>
                    </w:p>
                    <w:p w14:paraId="4B4EAEC9">
                      <w:pPr>
                        <w:pStyle w:val="27"/>
                        <w:spacing w:before="0" w:line="240" w:lineRule="auto"/>
                        <w:rPr>
                          <w:rFonts w:ascii="宋体" w:hAnsi="宋体" w:cs="宋体"/>
                          <w:szCs w:val="28"/>
                        </w:rPr>
                      </w:pPr>
                    </w:p>
                  </w:txbxContent>
                </v:textbox>
                <w10:anchorlock/>
              </v:shape>
            </w:pict>
          </mc:Fallback>
        </mc:AlternateContent>
      </w:r>
      <w:r>
        <w:rPr>
          <w:rFonts w:ascii="宋体" w:hAnsi="宋体" w:cs="宋体"/>
        </w:rPr>
        <mc:AlternateContent>
          <mc:Choice Requires="wps">
            <w:drawing>
              <wp:anchor distT="0" distB="0" distL="114300" distR="114300" simplePos="0" relativeHeight="251664384"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43F04F89">
                            <w:pPr>
                              <w:pStyle w:val="28"/>
                              <w:spacing w:before="510"/>
                              <w:ind w:left="420" w:hanging="420"/>
                              <w:rPr>
                                <w:rFonts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4384;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43F04F89">
                      <w:pPr>
                        <w:pStyle w:val="28"/>
                        <w:spacing w:before="510"/>
                        <w:ind w:left="420" w:hanging="420"/>
                        <w:rPr>
                          <w:rFonts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rPr>
        <mc:AlternateContent>
          <mc:Choice Requires="wps">
            <w:drawing>
              <wp:anchor distT="0" distB="0" distL="114300" distR="114300" simplePos="0" relativeHeight="251665408"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4547ABC0">
                            <w:pPr>
                              <w:pStyle w:val="29"/>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5408;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4547ABC0">
                      <w:pPr>
                        <w:pStyle w:val="29"/>
                      </w:pPr>
                      <w:r>
                        <w:rPr>
                          <w:rFonts w:hint="eastAsia"/>
                          <w:szCs w:val="52"/>
                        </w:rPr>
                        <w:t>团体标准</w:t>
                      </w:r>
                    </w:p>
                  </w:txbxContent>
                </v:textbox>
                <w10:anchorlock/>
              </v:shape>
            </w:pict>
          </mc:Fallback>
        </mc:AlternateContent>
      </w:r>
    </w:p>
    <w:p w14:paraId="1E3B633E"/>
    <w:p w14:paraId="3B230B97"/>
    <w:p w14:paraId="2158ECFE"/>
    <w:p w14:paraId="16C11D82"/>
    <w:p w14:paraId="249B18B3"/>
    <w:p w14:paraId="4F73E5B2"/>
    <w:p w14:paraId="13466573"/>
    <w:p w14:paraId="6BA3B6DF"/>
    <w:p w14:paraId="7BB722CD"/>
    <w:p w14:paraId="0D2D5E1B"/>
    <w:p w14:paraId="52E20BB3"/>
    <w:p w14:paraId="49EBADA3"/>
    <w:p w14:paraId="1F87C4DA"/>
    <w:p w14:paraId="4AC0F799">
      <w:pPr>
        <w:tabs>
          <w:tab w:val="left" w:pos="8445"/>
        </w:tabs>
      </w:pPr>
      <w:r>
        <mc:AlternateContent>
          <mc:Choice Requires="wps">
            <w:drawing>
              <wp:anchor distT="0" distB="0" distL="114300" distR="114300" simplePos="0" relativeHeight="251663360" behindDoc="0" locked="0" layoutInCell="1" allowOverlap="1">
                <wp:simplePos x="0" y="0"/>
                <wp:positionH relativeFrom="column">
                  <wp:posOffset>-180340</wp:posOffset>
                </wp:positionH>
                <wp:positionV relativeFrom="paragraph">
                  <wp:posOffset>5605145</wp:posOffset>
                </wp:positionV>
                <wp:extent cx="6121400" cy="0"/>
                <wp:effectExtent l="0" t="6350" r="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441.35pt;height:0pt;width:482pt;z-index:251663360;mso-width-relative:page;mso-height-relative:page;" filled="f" stroked="t" coordsize="21600,21600" o:gfxdata="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TarPZAAAACw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color w:val="FF0000"/>
        </w:rPr>
        <mc:AlternateContent>
          <mc:Choice Requires="wps">
            <w:drawing>
              <wp:anchor distT="0" distB="0" distL="114300" distR="114300" simplePos="0" relativeHeight="251667456"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6D24A5AA">
                            <w:pPr>
                              <w:pStyle w:val="30"/>
                            </w:pPr>
                            <w:r>
                              <w:t>中国肉类协会</w:t>
                            </w:r>
                            <w:r>
                              <w:rPr>
                                <w:rStyle w:val="31"/>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7456;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6D24A5AA">
                      <w:pPr>
                        <w:pStyle w:val="30"/>
                      </w:pPr>
                      <w:r>
                        <w:t>中国肉类协会</w:t>
                      </w:r>
                      <w:r>
                        <w:rPr>
                          <w:rStyle w:val="31"/>
                          <w:rFonts w:hint="eastAsia"/>
                        </w:rPr>
                        <w:t xml:space="preserve">  发布</w:t>
                      </w:r>
                    </w:p>
                  </w:txbxContent>
                </v:textbox>
                <w10:anchorlock/>
              </v:shape>
            </w:pict>
          </mc:Fallback>
        </mc:AlternateContent>
      </w:r>
    </w:p>
    <w:p w14:paraId="34678923">
      <w:pPr>
        <w:sectPr>
          <w:headerReference r:id="rId4" w:type="first"/>
          <w:headerReference r:id="rId3" w:type="default"/>
          <w:footerReference r:id="rId5" w:type="default"/>
          <w:footerReference r:id="rId6" w:type="even"/>
          <w:pgSz w:w="11907" w:h="16839"/>
          <w:pgMar w:top="567" w:right="1417" w:bottom="1361" w:left="1418" w:header="0" w:footer="0" w:gutter="0"/>
          <w:pgNumType w:start="1"/>
          <w:cols w:space="0" w:num="1"/>
          <w:titlePg/>
          <w:docGrid w:type="lines" w:linePitch="312" w:charSpace="0"/>
        </w:sectPr>
      </w:pPr>
    </w:p>
    <w:bookmarkEnd w:id="0"/>
    <w:p w14:paraId="00088610">
      <w:pPr>
        <w:pStyle w:val="39"/>
        <w:ind w:firstLine="3840" w:firstLineChars="1200"/>
        <w:jc w:val="both"/>
      </w:pPr>
      <w:r>
        <w:rPr>
          <w:rFonts w:hint="eastAsia"/>
        </w:rPr>
        <w:t>前</w:t>
      </w:r>
      <w:bookmarkStart w:id="1" w:name="BKQY"/>
      <w:r>
        <w:rPr>
          <w:rFonts w:hint="eastAsia"/>
        </w:rPr>
        <w:t>  言</w:t>
      </w:r>
      <w:bookmarkEnd w:id="1"/>
    </w:p>
    <w:p w14:paraId="62C70FB2">
      <w:pPr>
        <w:pStyle w:val="3"/>
        <w:rPr>
          <w:kern w:val="0"/>
        </w:rPr>
      </w:pPr>
      <w:bookmarkStart w:id="2" w:name="_Hlk151561528"/>
      <w:r>
        <w:rPr>
          <w:rFonts w:hint="eastAsia"/>
          <w:kern w:val="0"/>
        </w:rPr>
        <w:t>本文件按照GB/T 1.1-2020《标准化工作导则 第1部分：标准化文件的结构和起草规则》的规定起草。</w:t>
      </w:r>
    </w:p>
    <w:p w14:paraId="1B62E2C4">
      <w:pPr>
        <w:ind w:firstLine="420"/>
      </w:pPr>
      <w:r>
        <w:rPr>
          <w:rFonts w:hint="eastAsia"/>
        </w:rPr>
        <w:t>请注意本文件的某些内容有可能涉及专利。本文件的发布机构不承担识别专利的责任。</w:t>
      </w:r>
    </w:p>
    <w:p w14:paraId="5010EB0B">
      <w:pPr>
        <w:pStyle w:val="3"/>
        <w:rPr>
          <w:kern w:val="0"/>
        </w:rPr>
      </w:pPr>
      <w:r>
        <w:rPr>
          <w:rFonts w:hint="eastAsia"/>
          <w:kern w:val="0"/>
        </w:rPr>
        <w:t>本文件由中国肉类协会提出并归口。</w:t>
      </w:r>
    </w:p>
    <w:p w14:paraId="0B746A28">
      <w:pPr>
        <w:pStyle w:val="16"/>
        <w:tabs>
          <w:tab w:val="center" w:pos="4201"/>
          <w:tab w:val="right" w:leader="dot" w:pos="9298"/>
        </w:tabs>
        <w:ind w:firstLine="420" w:firstLineChars="200"/>
        <w:jc w:val="left"/>
      </w:pPr>
      <w:r>
        <w:rPr>
          <w:rFonts w:hint="eastAsia" w:hAnsi="宋体"/>
        </w:rPr>
        <w:t>本文件由中国肉类协会发布。</w:t>
      </w:r>
    </w:p>
    <w:p w14:paraId="304397B8">
      <w:pPr>
        <w:ind w:firstLine="420"/>
        <w:rPr>
          <w:kern w:val="0"/>
          <w:szCs w:val="20"/>
        </w:rPr>
      </w:pPr>
      <w:r>
        <w:rPr>
          <w:rFonts w:hint="eastAsia"/>
          <w:kern w:val="0"/>
          <w:szCs w:val="20"/>
        </w:rPr>
        <w:t>本文件起草单位：。</w:t>
      </w:r>
    </w:p>
    <w:p w14:paraId="060AAF98">
      <w:pPr>
        <w:ind w:firstLine="420"/>
        <w:rPr>
          <w:rFonts w:ascii="宋体" w:hAnsi="Courier New"/>
          <w:kern w:val="0"/>
          <w:szCs w:val="20"/>
        </w:rPr>
      </w:pPr>
      <w:r>
        <w:rPr>
          <w:rFonts w:hint="eastAsia"/>
          <w:kern w:val="0"/>
          <w:szCs w:val="20"/>
        </w:rPr>
        <w:t>本文件主要起草人：</w:t>
      </w:r>
      <w:r>
        <w:rPr>
          <w:rFonts w:hint="eastAsia" w:ascii="宋体" w:hAnsi="Courier New"/>
          <w:kern w:val="0"/>
          <w:szCs w:val="20"/>
        </w:rPr>
        <w:t>。</w:t>
      </w:r>
    </w:p>
    <w:p w14:paraId="274FC254">
      <w:pPr>
        <w:pStyle w:val="3"/>
        <w:ind w:firstLineChars="200"/>
        <w:sectPr>
          <w:headerReference r:id="rId7" w:type="default"/>
          <w:footerReference r:id="rId8" w:type="default"/>
          <w:pgSz w:w="11906" w:h="16838"/>
          <w:pgMar w:top="1417" w:right="1417" w:bottom="1417" w:left="1417" w:header="1417" w:footer="1134" w:gutter="0"/>
          <w:pgNumType w:fmt="upperRoman" w:start="1"/>
          <w:cols w:space="0" w:num="1"/>
          <w:docGrid w:type="lines" w:linePitch="312" w:charSpace="0"/>
        </w:sectPr>
      </w:pPr>
    </w:p>
    <w:bookmarkEnd w:id="2"/>
    <w:p w14:paraId="1AAAF903">
      <w:pPr>
        <w:keepNext/>
        <w:widowControl/>
        <w:shd w:val="clear" w:color="FFFFFF" w:fill="FFFFFF"/>
        <w:snapToGrid w:val="0"/>
        <w:spacing w:before="640" w:after="560"/>
        <w:jc w:val="center"/>
        <w:outlineLvl w:val="0"/>
        <w:rPr>
          <w:rFonts w:eastAsia="黑体"/>
          <w:kern w:val="0"/>
          <w:sz w:val="32"/>
          <w:szCs w:val="20"/>
        </w:rPr>
      </w:pPr>
      <w:bookmarkStart w:id="3" w:name="OLE_LINK2"/>
      <w:r>
        <w:rPr>
          <w:rFonts w:hint="eastAsia" w:eastAsia="黑体"/>
          <w:kern w:val="0"/>
          <w:sz w:val="32"/>
          <w:szCs w:val="20"/>
        </w:rPr>
        <w:t>通辽牛肉调理制品加工技术规范</w:t>
      </w:r>
    </w:p>
    <w:bookmarkEnd w:id="3"/>
    <w:p w14:paraId="023456F2">
      <w:pPr>
        <w:pStyle w:val="15"/>
        <w:numPr>
          <w:ilvl w:val="0"/>
          <w:numId w:val="2"/>
        </w:numPr>
        <w:spacing w:before="312" w:beforeLines="100" w:after="312" w:afterLines="100"/>
        <w:outlineLvl w:val="0"/>
        <w:rPr>
          <w:rFonts w:hAnsi="黑体"/>
          <w:szCs w:val="21"/>
        </w:rPr>
      </w:pPr>
      <w:bookmarkStart w:id="4" w:name="_Toc21982424"/>
      <w:bookmarkStart w:id="5" w:name="_Toc22197892"/>
      <w:bookmarkStart w:id="6" w:name="_Toc21982137"/>
      <w:bookmarkStart w:id="7" w:name="_Toc22135199"/>
      <w:r>
        <w:rPr>
          <w:rFonts w:hint="eastAsia" w:hAnsi="黑体"/>
          <w:szCs w:val="21"/>
        </w:rPr>
        <w:t>范围</w:t>
      </w:r>
      <w:bookmarkEnd w:id="4"/>
      <w:bookmarkEnd w:id="5"/>
      <w:bookmarkEnd w:id="6"/>
      <w:bookmarkEnd w:id="7"/>
    </w:p>
    <w:p w14:paraId="3029E8A3">
      <w:pPr>
        <w:pStyle w:val="16"/>
        <w:tabs>
          <w:tab w:val="center" w:pos="4201"/>
          <w:tab w:val="right" w:leader="dot" w:pos="9298"/>
        </w:tabs>
        <w:ind w:firstLine="420" w:firstLineChars="200"/>
        <w:rPr>
          <w:rFonts w:ascii="Times New Roman"/>
        </w:rPr>
      </w:pPr>
      <w:r>
        <w:rPr>
          <w:rFonts w:hint="eastAsia" w:ascii="Times New Roman"/>
        </w:rPr>
        <w:tab/>
      </w:r>
      <w:r>
        <w:rPr>
          <w:rFonts w:hint="eastAsia" w:ascii="Times New Roman"/>
        </w:rPr>
        <w:t>本文件规定了通辽牛肉调理制品的生产场所要求、生产管理控制、加工技术要求</w:t>
      </w:r>
      <w:r>
        <w:rPr>
          <w:rFonts w:hint="eastAsia" w:ascii="Times New Roman"/>
          <w:lang w:eastAsia="zh-CN"/>
        </w:rPr>
        <w:t>、</w:t>
      </w:r>
      <w:r>
        <w:rPr>
          <w:rFonts w:hint="eastAsia" w:ascii="Times New Roman"/>
        </w:rPr>
        <w:t>标签、标志、贮存、运输和销售</w:t>
      </w:r>
      <w:r>
        <w:rPr>
          <w:rFonts w:hint="eastAsia" w:ascii="Times New Roman"/>
          <w:lang w:val="en-US" w:eastAsia="zh-CN"/>
        </w:rPr>
        <w:t>的要求</w:t>
      </w:r>
      <w:r>
        <w:rPr>
          <w:rFonts w:hint="eastAsia" w:ascii="Times New Roman"/>
        </w:rPr>
        <w:t>。</w:t>
      </w:r>
    </w:p>
    <w:p w14:paraId="5C63A6EC">
      <w:pPr>
        <w:pStyle w:val="16"/>
        <w:tabs>
          <w:tab w:val="center" w:pos="4201"/>
          <w:tab w:val="right" w:leader="dot" w:pos="9298"/>
        </w:tabs>
        <w:ind w:firstLine="420" w:firstLineChars="200"/>
      </w:pPr>
      <w:r>
        <w:rPr>
          <w:rFonts w:hint="eastAsia"/>
        </w:rPr>
        <w:t>本文件适用于</w:t>
      </w:r>
      <w:bookmarkStart w:id="8" w:name="OLE_LINK3"/>
      <w:r>
        <w:rPr>
          <w:rFonts w:hint="eastAsia"/>
        </w:rPr>
        <w:t>通辽牛肉调理制品的生产加工。</w:t>
      </w:r>
    </w:p>
    <w:bookmarkEnd w:id="8"/>
    <w:p w14:paraId="529ADE2F">
      <w:pPr>
        <w:pStyle w:val="15"/>
        <w:numPr>
          <w:ilvl w:val="0"/>
          <w:numId w:val="2"/>
        </w:numPr>
        <w:spacing w:before="312" w:beforeLines="100" w:after="312" w:afterLines="100"/>
        <w:outlineLvl w:val="0"/>
        <w:rPr>
          <w:rFonts w:hAnsi="黑体"/>
          <w:szCs w:val="21"/>
        </w:rPr>
      </w:pPr>
      <w:bookmarkStart w:id="9" w:name="_Toc22197893"/>
      <w:bookmarkStart w:id="10" w:name="_Toc21982138"/>
      <w:bookmarkStart w:id="11" w:name="_Toc16171934"/>
      <w:bookmarkStart w:id="12" w:name="_Toc22135200"/>
      <w:bookmarkStart w:id="13" w:name="_Toc21982425"/>
      <w:bookmarkStart w:id="14" w:name="_Toc20410158"/>
      <w:bookmarkStart w:id="15" w:name="_Toc20410231"/>
      <w:bookmarkStart w:id="16" w:name="_Toc20317838"/>
      <w:bookmarkStart w:id="17" w:name="_Toc16172012"/>
      <w:bookmarkStart w:id="18" w:name="_Toc20235279"/>
      <w:bookmarkStart w:id="19" w:name="_Toc20236394"/>
      <w:r>
        <w:rPr>
          <w:rFonts w:hint="eastAsia" w:hAnsi="黑体"/>
          <w:szCs w:val="21"/>
        </w:rPr>
        <w:t>规范性引用文件</w:t>
      </w:r>
      <w:bookmarkEnd w:id="9"/>
      <w:bookmarkEnd w:id="10"/>
      <w:bookmarkEnd w:id="11"/>
      <w:bookmarkEnd w:id="12"/>
      <w:bookmarkEnd w:id="13"/>
      <w:bookmarkEnd w:id="14"/>
      <w:bookmarkEnd w:id="15"/>
      <w:bookmarkEnd w:id="16"/>
      <w:bookmarkEnd w:id="17"/>
      <w:bookmarkEnd w:id="18"/>
      <w:bookmarkEnd w:id="19"/>
    </w:p>
    <w:p w14:paraId="2BB005C3">
      <w:pPr>
        <w:pStyle w:val="16"/>
        <w:tabs>
          <w:tab w:val="center" w:pos="4201"/>
          <w:tab w:val="right" w:leader="dot" w:pos="9298"/>
        </w:tabs>
        <w:ind w:firstLine="420" w:firstLineChars="20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D1CFF0D">
      <w:pPr>
        <w:pStyle w:val="16"/>
        <w:tabs>
          <w:tab w:val="center" w:pos="4201"/>
          <w:tab w:val="right" w:leader="dot" w:pos="9298"/>
        </w:tabs>
        <w:ind w:firstLine="412" w:firstLineChars="200"/>
        <w:rPr>
          <w:rFonts w:ascii="Times New Roman"/>
          <w:spacing w:val="-2"/>
          <w:szCs w:val="21"/>
        </w:rPr>
      </w:pPr>
      <w:bookmarkStart w:id="20" w:name="_Toc20317839"/>
      <w:bookmarkStart w:id="21" w:name="_Toc16172013"/>
      <w:bookmarkStart w:id="22" w:name="_Toc20410232"/>
      <w:bookmarkStart w:id="23" w:name="_Toc21982426"/>
      <w:bookmarkStart w:id="24" w:name="_Toc16171935"/>
      <w:bookmarkStart w:id="25" w:name="_Toc20235280"/>
      <w:bookmarkStart w:id="26" w:name="_Toc21982139"/>
      <w:bookmarkStart w:id="27" w:name="_Toc20236395"/>
      <w:bookmarkStart w:id="28" w:name="_Toc22135201"/>
      <w:bookmarkStart w:id="29" w:name="_Toc22197894"/>
      <w:bookmarkStart w:id="30" w:name="_Toc20410159"/>
      <w:r>
        <w:rPr>
          <w:rFonts w:hint="eastAsia" w:ascii="Times New Roman"/>
          <w:spacing w:val="-2"/>
          <w:szCs w:val="21"/>
        </w:rPr>
        <w:t xml:space="preserve">GB/T 191 </w:t>
      </w:r>
      <w:r>
        <w:rPr>
          <w:rFonts w:hint="eastAsia" w:ascii="Times New Roman"/>
          <w:spacing w:val="-2"/>
          <w:szCs w:val="21"/>
          <w:lang w:val="en-US" w:eastAsia="zh-CN"/>
        </w:rPr>
        <w:t xml:space="preserve"> </w:t>
      </w:r>
      <w:r>
        <w:rPr>
          <w:rFonts w:hint="eastAsia" w:ascii="Times New Roman"/>
          <w:spacing w:val="-2"/>
          <w:szCs w:val="21"/>
        </w:rPr>
        <w:t>包装储运图示标志</w:t>
      </w:r>
    </w:p>
    <w:p w14:paraId="1BAEDEFE">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2760 </w:t>
      </w:r>
      <w:r>
        <w:rPr>
          <w:rFonts w:hint="eastAsia" w:ascii="Times New Roman"/>
          <w:spacing w:val="-2"/>
          <w:szCs w:val="21"/>
          <w:lang w:val="en-US" w:eastAsia="zh-CN"/>
        </w:rPr>
        <w:t xml:space="preserve"> </w:t>
      </w:r>
      <w:r>
        <w:rPr>
          <w:rFonts w:hint="eastAsia" w:ascii="Times New Roman"/>
          <w:spacing w:val="-2"/>
          <w:szCs w:val="21"/>
        </w:rPr>
        <w:t>食品安全国家标准  食品添加剂使用标准</w:t>
      </w:r>
    </w:p>
    <w:p w14:paraId="10298ECB">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GB/T 6388 </w:t>
      </w:r>
      <w:r>
        <w:rPr>
          <w:rFonts w:hint="eastAsia" w:ascii="Times New Roman"/>
          <w:spacing w:val="-2"/>
          <w:szCs w:val="21"/>
          <w:lang w:val="en-US" w:eastAsia="zh-CN"/>
        </w:rPr>
        <w:t xml:space="preserve"> </w:t>
      </w:r>
      <w:r>
        <w:rPr>
          <w:rFonts w:hint="eastAsia" w:ascii="Times New Roman"/>
          <w:spacing w:val="-2"/>
          <w:szCs w:val="21"/>
        </w:rPr>
        <w:t>运输包装收发货标志</w:t>
      </w:r>
    </w:p>
    <w:p w14:paraId="5E4A9DF8">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7718 </w:t>
      </w:r>
      <w:r>
        <w:rPr>
          <w:rFonts w:hint="eastAsia" w:ascii="Times New Roman"/>
          <w:spacing w:val="-2"/>
          <w:szCs w:val="21"/>
          <w:lang w:val="en-US" w:eastAsia="zh-CN"/>
        </w:rPr>
        <w:t xml:space="preserve"> </w:t>
      </w:r>
      <w:r>
        <w:rPr>
          <w:rFonts w:hint="eastAsia" w:ascii="Times New Roman"/>
          <w:spacing w:val="-2"/>
          <w:szCs w:val="21"/>
        </w:rPr>
        <w:t>食品安全国家标准  预包装食品标签通则</w:t>
      </w:r>
    </w:p>
    <w:p w14:paraId="346F4B0C">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14881 </w:t>
      </w:r>
      <w:r>
        <w:rPr>
          <w:rFonts w:hint="eastAsia" w:ascii="Times New Roman"/>
          <w:spacing w:val="-2"/>
          <w:szCs w:val="21"/>
          <w:lang w:val="en-US" w:eastAsia="zh-CN"/>
        </w:rPr>
        <w:t xml:space="preserve"> </w:t>
      </w:r>
      <w:r>
        <w:rPr>
          <w:rFonts w:hint="eastAsia" w:ascii="Times New Roman"/>
          <w:spacing w:val="-2"/>
          <w:szCs w:val="21"/>
        </w:rPr>
        <w:t xml:space="preserve">食品安全国家标准 </w:t>
      </w:r>
      <w:r>
        <w:rPr>
          <w:rFonts w:ascii="Times New Roman"/>
          <w:spacing w:val="-2"/>
          <w:szCs w:val="21"/>
        </w:rPr>
        <w:t xml:space="preserve"> </w:t>
      </w:r>
      <w:r>
        <w:rPr>
          <w:rFonts w:hint="eastAsia" w:ascii="Times New Roman"/>
          <w:spacing w:val="-2"/>
          <w:szCs w:val="21"/>
        </w:rPr>
        <w:t>食品生产通用卫生规范</w:t>
      </w:r>
    </w:p>
    <w:p w14:paraId="61D43A02">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20799 </w:t>
      </w:r>
      <w:r>
        <w:rPr>
          <w:rFonts w:hint="eastAsia" w:ascii="Times New Roman"/>
          <w:spacing w:val="-2"/>
          <w:szCs w:val="21"/>
          <w:lang w:val="en-US" w:eastAsia="zh-CN"/>
        </w:rPr>
        <w:t xml:space="preserve"> </w:t>
      </w:r>
      <w:r>
        <w:rPr>
          <w:rFonts w:hint="eastAsia" w:ascii="Times New Roman"/>
          <w:spacing w:val="-2"/>
          <w:szCs w:val="21"/>
        </w:rPr>
        <w:t>食品安全国家标准  肉和肉制品经营卫生规范</w:t>
      </w:r>
    </w:p>
    <w:p w14:paraId="7A81FD0E">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GB/T 20940 </w:t>
      </w:r>
      <w:r>
        <w:rPr>
          <w:rFonts w:hint="eastAsia" w:ascii="Times New Roman"/>
          <w:spacing w:val="-2"/>
          <w:szCs w:val="21"/>
          <w:lang w:val="en-US" w:eastAsia="zh-CN"/>
        </w:rPr>
        <w:t xml:space="preserve"> </w:t>
      </w:r>
      <w:r>
        <w:rPr>
          <w:rFonts w:hint="eastAsia" w:ascii="Times New Roman"/>
          <w:spacing w:val="-2"/>
          <w:szCs w:val="21"/>
        </w:rPr>
        <w:t>肉类制品企业良好操作规范</w:t>
      </w:r>
    </w:p>
    <w:p w14:paraId="3127571D">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28050 </w:t>
      </w:r>
      <w:r>
        <w:rPr>
          <w:rFonts w:hint="eastAsia" w:ascii="Times New Roman"/>
          <w:spacing w:val="-2"/>
          <w:szCs w:val="21"/>
          <w:lang w:val="en-US" w:eastAsia="zh-CN"/>
        </w:rPr>
        <w:t xml:space="preserve"> </w:t>
      </w:r>
      <w:r>
        <w:rPr>
          <w:rFonts w:hint="eastAsia" w:ascii="Times New Roman"/>
          <w:spacing w:val="-2"/>
          <w:szCs w:val="21"/>
        </w:rPr>
        <w:t>食品安全国家标准  预包装食品营养标签通则</w:t>
      </w:r>
    </w:p>
    <w:p w14:paraId="76011827">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GB 31605</w:t>
      </w:r>
      <w:r>
        <w:rPr>
          <w:rFonts w:hint="eastAsia" w:ascii="Times New Roman"/>
          <w:spacing w:val="-2"/>
          <w:szCs w:val="21"/>
          <w:lang w:val="en-US" w:eastAsia="zh-CN"/>
        </w:rPr>
        <w:t xml:space="preserve"> </w:t>
      </w:r>
      <w:r>
        <w:rPr>
          <w:rFonts w:hint="eastAsia" w:ascii="Times New Roman"/>
          <w:spacing w:val="-2"/>
          <w:szCs w:val="21"/>
        </w:rPr>
        <w:t xml:space="preserve"> 食品安全国家标准  食品冷链物流卫生规范</w:t>
      </w:r>
    </w:p>
    <w:p w14:paraId="0A3A09F6">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31621 </w:t>
      </w:r>
      <w:r>
        <w:rPr>
          <w:rFonts w:hint="eastAsia" w:ascii="Times New Roman"/>
          <w:spacing w:val="-2"/>
          <w:szCs w:val="21"/>
          <w:lang w:val="en-US" w:eastAsia="zh-CN"/>
        </w:rPr>
        <w:t xml:space="preserve"> </w:t>
      </w:r>
      <w:r>
        <w:rPr>
          <w:rFonts w:hint="eastAsia" w:ascii="Times New Roman"/>
          <w:spacing w:val="-2"/>
          <w:szCs w:val="21"/>
        </w:rPr>
        <w:t xml:space="preserve">食品安全国家标准 </w:t>
      </w:r>
      <w:r>
        <w:rPr>
          <w:rFonts w:ascii="Times New Roman"/>
          <w:spacing w:val="-2"/>
          <w:szCs w:val="21"/>
        </w:rPr>
        <w:t xml:space="preserve"> </w:t>
      </w:r>
      <w:r>
        <w:rPr>
          <w:rFonts w:hint="eastAsia" w:ascii="Times New Roman"/>
          <w:spacing w:val="-2"/>
          <w:szCs w:val="21"/>
        </w:rPr>
        <w:t>食品经营过程卫生规范</w:t>
      </w:r>
    </w:p>
    <w:p w14:paraId="5170D2D1">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31646 </w:t>
      </w:r>
      <w:r>
        <w:rPr>
          <w:rFonts w:hint="eastAsia" w:ascii="Times New Roman"/>
          <w:spacing w:val="-2"/>
          <w:szCs w:val="21"/>
          <w:lang w:val="en-US" w:eastAsia="zh-CN"/>
        </w:rPr>
        <w:t xml:space="preserve"> </w:t>
      </w:r>
      <w:r>
        <w:rPr>
          <w:rFonts w:hint="eastAsia" w:ascii="Times New Roman"/>
          <w:spacing w:val="-2"/>
          <w:szCs w:val="21"/>
        </w:rPr>
        <w:t>食品安全国家标准  速冻食品生产和经营卫生规范</w:t>
      </w:r>
    </w:p>
    <w:p w14:paraId="3277F41F">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31661 </w:t>
      </w:r>
      <w:r>
        <w:rPr>
          <w:rFonts w:hint="eastAsia" w:ascii="Times New Roman"/>
          <w:spacing w:val="-2"/>
          <w:szCs w:val="21"/>
          <w:lang w:val="en-US" w:eastAsia="zh-CN"/>
        </w:rPr>
        <w:t xml:space="preserve"> </w:t>
      </w:r>
      <w:r>
        <w:rPr>
          <w:rFonts w:hint="eastAsia" w:ascii="Times New Roman"/>
          <w:spacing w:val="-2"/>
          <w:szCs w:val="21"/>
        </w:rPr>
        <w:t>食品安全国家标准  调制肉制品生产卫生规范</w:t>
      </w:r>
    </w:p>
    <w:p w14:paraId="301F7BFE">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NY/T 2073 </w:t>
      </w:r>
      <w:r>
        <w:rPr>
          <w:rFonts w:hint="eastAsia" w:ascii="Times New Roman"/>
          <w:spacing w:val="-2"/>
          <w:szCs w:val="21"/>
          <w:lang w:val="en-US" w:eastAsia="zh-CN"/>
        </w:rPr>
        <w:t xml:space="preserve"> </w:t>
      </w:r>
      <w:r>
        <w:rPr>
          <w:rFonts w:hint="eastAsia" w:ascii="Times New Roman"/>
          <w:spacing w:val="-2"/>
          <w:szCs w:val="21"/>
        </w:rPr>
        <w:t>调理肉制品加工技术规范</w:t>
      </w:r>
    </w:p>
    <w:p w14:paraId="7C4319F7">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T/CMATB 3012 </w:t>
      </w:r>
      <w:r>
        <w:rPr>
          <w:rFonts w:hint="eastAsia" w:ascii="Times New Roman"/>
          <w:spacing w:val="-2"/>
          <w:szCs w:val="21"/>
          <w:lang w:val="en-US" w:eastAsia="zh-CN"/>
        </w:rPr>
        <w:t xml:space="preserve"> </w:t>
      </w:r>
      <w:r>
        <w:rPr>
          <w:rFonts w:hint="eastAsia" w:ascii="Times New Roman"/>
          <w:spacing w:val="-2"/>
          <w:szCs w:val="21"/>
        </w:rPr>
        <w:t>通辽牛肉</w:t>
      </w:r>
    </w:p>
    <w:p w14:paraId="22675FA6">
      <w:pPr>
        <w:pStyle w:val="15"/>
        <w:numPr>
          <w:ilvl w:val="0"/>
          <w:numId w:val="2"/>
        </w:numPr>
        <w:spacing w:before="312" w:beforeLines="100" w:after="312" w:afterLines="100"/>
        <w:outlineLvl w:val="0"/>
        <w:rPr>
          <w:rFonts w:ascii="Times New Roman"/>
          <w:szCs w:val="21"/>
        </w:rPr>
      </w:pPr>
      <w:r>
        <w:rPr>
          <w:rFonts w:ascii="Times New Roman"/>
          <w:szCs w:val="21"/>
        </w:rPr>
        <w:t>术语和定义</w:t>
      </w:r>
      <w:bookmarkEnd w:id="20"/>
      <w:bookmarkEnd w:id="21"/>
      <w:bookmarkEnd w:id="22"/>
      <w:bookmarkEnd w:id="23"/>
      <w:bookmarkEnd w:id="24"/>
      <w:bookmarkEnd w:id="25"/>
      <w:bookmarkEnd w:id="26"/>
      <w:bookmarkEnd w:id="27"/>
      <w:bookmarkEnd w:id="28"/>
      <w:bookmarkEnd w:id="29"/>
      <w:bookmarkEnd w:id="30"/>
    </w:p>
    <w:p w14:paraId="235993B2">
      <w:pPr>
        <w:ind w:firstLine="420" w:firstLineChars="200"/>
      </w:pPr>
      <w:bookmarkStart w:id="31" w:name="_Toc20410161"/>
      <w:bookmarkEnd w:id="31"/>
      <w:bookmarkStart w:id="32" w:name="_Toc21982429"/>
      <w:bookmarkEnd w:id="32"/>
      <w:bookmarkStart w:id="33" w:name="_Toc16171937"/>
      <w:bookmarkEnd w:id="33"/>
      <w:bookmarkStart w:id="34" w:name="_Toc21982146"/>
      <w:bookmarkEnd w:id="34"/>
      <w:bookmarkStart w:id="35" w:name="_Toc16172015"/>
      <w:bookmarkEnd w:id="35"/>
      <w:bookmarkStart w:id="36" w:name="_Toc21982140"/>
      <w:bookmarkEnd w:id="36"/>
      <w:bookmarkStart w:id="37" w:name="_Toc21982142"/>
      <w:bookmarkEnd w:id="37"/>
      <w:bookmarkStart w:id="38" w:name="_Toc20236397"/>
      <w:bookmarkEnd w:id="38"/>
      <w:bookmarkStart w:id="39" w:name="_Toc20317841"/>
      <w:bookmarkEnd w:id="39"/>
      <w:bookmarkStart w:id="40" w:name="_Toc22135202"/>
      <w:bookmarkEnd w:id="40"/>
      <w:bookmarkStart w:id="41" w:name="_Toc21982433"/>
      <w:bookmarkEnd w:id="41"/>
      <w:bookmarkStart w:id="42" w:name="_Toc20235282"/>
      <w:bookmarkEnd w:id="42"/>
      <w:bookmarkStart w:id="43" w:name="_Toc22135206"/>
      <w:bookmarkEnd w:id="43"/>
      <w:bookmarkStart w:id="44" w:name="_Toc21982427"/>
      <w:bookmarkEnd w:id="44"/>
      <w:bookmarkStart w:id="45" w:name="_Toc20235284"/>
      <w:bookmarkStart w:id="46" w:name="_Toc20236399"/>
      <w:bookmarkStart w:id="47" w:name="_Toc20317843"/>
      <w:r>
        <w:t>NY/T 2073 规定的以及下列术语和定义适用于本文件。</w:t>
      </w:r>
    </w:p>
    <w:p w14:paraId="789B07ED">
      <w:pPr>
        <w:pStyle w:val="15"/>
        <w:spacing w:before="156" w:after="156"/>
      </w:pPr>
      <w:bookmarkStart w:id="48" w:name="OLE_LINK6"/>
      <w:r>
        <w:rPr>
          <w:rFonts w:hint="eastAsia"/>
        </w:rPr>
        <w:t>3.1</w:t>
      </w:r>
    </w:p>
    <w:bookmarkEnd w:id="48"/>
    <w:p w14:paraId="381653A3">
      <w:pPr>
        <w:pStyle w:val="17"/>
        <w:numPr>
          <w:ilvl w:val="1"/>
          <w:numId w:val="0"/>
        </w:numPr>
        <w:spacing w:before="156" w:beforeLines="50" w:after="156" w:afterLines="50"/>
        <w:ind w:firstLine="420" w:firstLineChars="200"/>
        <w:rPr>
          <w:rFonts w:ascii="黑体"/>
        </w:rPr>
      </w:pPr>
      <w:r>
        <w:rPr>
          <w:rFonts w:hint="eastAsia" w:ascii="黑体"/>
        </w:rPr>
        <w:t>通辽牛肉调理制品 Tongliao beef prepared products</w:t>
      </w:r>
    </w:p>
    <w:p w14:paraId="68CA5B30">
      <w:pPr>
        <w:ind w:firstLine="420"/>
        <w:rPr>
          <w:rFonts w:ascii="宋体"/>
          <w:kern w:val="0"/>
          <w:szCs w:val="20"/>
        </w:rPr>
      </w:pPr>
      <w:r>
        <w:rPr>
          <w:rFonts w:hint="eastAsia" w:ascii="宋体"/>
          <w:kern w:val="0"/>
          <w:szCs w:val="20"/>
        </w:rPr>
        <w:t>在通辽地区生产的，以鲜(冻)通辽牛肉或可食副产品为原料，绞制或切制后配以辅料，经滚揉（或不滚揉）、搅拌（或不搅拌）、调味、预加热（或不加热）等工艺加工而成，需在冷藏或冻藏条件下贮藏、运输及销售，食用前需经二次加工的非即食类肉制品。</w:t>
      </w:r>
    </w:p>
    <w:p w14:paraId="4168B164">
      <w:pPr>
        <w:pStyle w:val="15"/>
        <w:numPr>
          <w:ilvl w:val="0"/>
          <w:numId w:val="2"/>
        </w:numPr>
        <w:spacing w:before="312" w:beforeLines="100" w:after="312" w:afterLines="100"/>
        <w:outlineLvl w:val="0"/>
        <w:rPr>
          <w:rFonts w:ascii="Times New Roman"/>
          <w:szCs w:val="21"/>
        </w:rPr>
      </w:pPr>
      <w:r>
        <w:rPr>
          <w:rFonts w:hint="eastAsia" w:ascii="Times New Roman"/>
          <w:szCs w:val="21"/>
        </w:rPr>
        <w:t>生产场所要求</w:t>
      </w:r>
    </w:p>
    <w:p w14:paraId="0D24882A">
      <w:pPr>
        <w:pStyle w:val="16"/>
        <w:ind w:firstLine="420"/>
        <w:rPr>
          <w:rFonts w:ascii="Times New Roman"/>
        </w:rPr>
      </w:pPr>
      <w:r>
        <w:rPr>
          <w:rFonts w:ascii="Times New Roman"/>
        </w:rPr>
        <w:t>应符合 GB 14881的规定。</w:t>
      </w:r>
    </w:p>
    <w:p w14:paraId="7A1FD340">
      <w:pPr>
        <w:pStyle w:val="15"/>
        <w:numPr>
          <w:ilvl w:val="0"/>
          <w:numId w:val="2"/>
        </w:numPr>
        <w:spacing w:before="312" w:beforeLines="100" w:after="312" w:afterLines="100"/>
        <w:outlineLvl w:val="0"/>
        <w:rPr>
          <w:rFonts w:ascii="Times New Roman"/>
          <w:szCs w:val="21"/>
        </w:rPr>
      </w:pPr>
      <w:r>
        <w:rPr>
          <w:rFonts w:hint="eastAsia" w:ascii="Times New Roman"/>
          <w:szCs w:val="21"/>
        </w:rPr>
        <w:t>生产管理控制</w:t>
      </w:r>
    </w:p>
    <w:p w14:paraId="017EBCD6">
      <w:pPr>
        <w:pStyle w:val="17"/>
        <w:numPr>
          <w:ilvl w:val="1"/>
          <w:numId w:val="0"/>
        </w:numPr>
        <w:spacing w:before="156" w:beforeLines="50" w:after="156" w:afterLines="50"/>
        <w:rPr>
          <w:rFonts w:ascii="黑体" w:hAnsi="黑体"/>
          <w:szCs w:val="21"/>
        </w:rPr>
      </w:pPr>
      <w:bookmarkStart w:id="49" w:name="OLE_LINK22"/>
      <w:bookmarkStart w:id="50" w:name="OLE_LINK23"/>
      <w:r>
        <w:rPr>
          <w:rFonts w:ascii="黑体" w:hAnsi="黑体"/>
          <w:szCs w:val="21"/>
        </w:rPr>
        <w:t>5.1</w:t>
      </w:r>
      <w:r>
        <w:rPr>
          <w:rFonts w:hint="eastAsia" w:ascii="黑体" w:hAnsi="黑体"/>
          <w:szCs w:val="21"/>
        </w:rPr>
        <w:t>　一般</w:t>
      </w:r>
      <w:r>
        <w:rPr>
          <w:rFonts w:ascii="黑体" w:hAnsi="黑体"/>
          <w:szCs w:val="21"/>
        </w:rPr>
        <w:t>要求</w:t>
      </w:r>
    </w:p>
    <w:p w14:paraId="3534AB3F">
      <w:pPr>
        <w:pStyle w:val="16"/>
        <w:ind w:firstLine="420"/>
        <w:rPr>
          <w:rFonts w:ascii="Times New Roman"/>
        </w:rPr>
      </w:pPr>
      <w:r>
        <w:rPr>
          <w:rFonts w:hint="eastAsia"/>
        </w:rPr>
        <w:t>应符</w:t>
      </w:r>
      <w:r>
        <w:rPr>
          <w:rFonts w:hint="eastAsia" w:ascii="Times New Roman"/>
          <w:szCs w:val="21"/>
        </w:rPr>
        <w:t>合</w:t>
      </w:r>
      <w:r>
        <w:rPr>
          <w:rFonts w:ascii="Times New Roman"/>
          <w:szCs w:val="21"/>
        </w:rPr>
        <w:t>GB 14881</w:t>
      </w:r>
      <w:r>
        <w:rPr>
          <w:rFonts w:hint="eastAsia" w:ascii="Times New Roman"/>
          <w:szCs w:val="21"/>
        </w:rPr>
        <w:t>、</w:t>
      </w:r>
      <w:r>
        <w:rPr>
          <w:rFonts w:ascii="Times New Roman"/>
          <w:szCs w:val="21"/>
        </w:rPr>
        <w:t>GB/T 20940</w:t>
      </w:r>
      <w:r>
        <w:rPr>
          <w:rFonts w:hint="eastAsia" w:ascii="Times New Roman"/>
          <w:szCs w:val="21"/>
        </w:rPr>
        <w:t>、</w:t>
      </w:r>
      <w:r>
        <w:rPr>
          <w:rFonts w:ascii="Times New Roman"/>
          <w:szCs w:val="21"/>
        </w:rPr>
        <w:t>GB 31621</w:t>
      </w:r>
      <w:r>
        <w:rPr>
          <w:rFonts w:hint="eastAsia" w:ascii="Times New Roman"/>
          <w:szCs w:val="21"/>
        </w:rPr>
        <w:t xml:space="preserve">、GB </w:t>
      </w:r>
      <w:r>
        <w:rPr>
          <w:rFonts w:ascii="Times New Roman"/>
          <w:szCs w:val="21"/>
        </w:rPr>
        <w:t>31661</w:t>
      </w:r>
      <w:r>
        <w:rPr>
          <w:rFonts w:hint="eastAsia" w:ascii="Times New Roman"/>
          <w:szCs w:val="21"/>
        </w:rPr>
        <w:t>等</w:t>
      </w:r>
      <w:r>
        <w:rPr>
          <w:rFonts w:ascii="Times New Roman"/>
          <w:szCs w:val="21"/>
        </w:rPr>
        <w:t>标准的</w:t>
      </w:r>
      <w:r>
        <w:rPr>
          <w:rFonts w:hint="eastAsia" w:ascii="Times New Roman"/>
          <w:szCs w:val="21"/>
        </w:rPr>
        <w:t>相关</w:t>
      </w:r>
      <w:r>
        <w:rPr>
          <w:rFonts w:hint="eastAsia"/>
        </w:rPr>
        <w:t>规定。</w:t>
      </w:r>
    </w:p>
    <w:p w14:paraId="0D3BBE0A">
      <w:pPr>
        <w:pStyle w:val="17"/>
        <w:numPr>
          <w:ilvl w:val="1"/>
          <w:numId w:val="0"/>
        </w:numPr>
        <w:spacing w:before="156" w:beforeLines="50" w:after="156" w:afterLines="50"/>
        <w:rPr>
          <w:rFonts w:ascii="黑体" w:hAnsi="黑体"/>
          <w:szCs w:val="21"/>
        </w:rPr>
      </w:pPr>
      <w:r>
        <w:rPr>
          <w:rFonts w:ascii="黑体" w:hAnsi="黑体"/>
          <w:szCs w:val="21"/>
        </w:rPr>
        <w:t>5</w:t>
      </w:r>
      <w:r>
        <w:rPr>
          <w:rFonts w:hint="eastAsia" w:ascii="黑体" w:hAnsi="黑体"/>
          <w:szCs w:val="21"/>
        </w:rPr>
        <w:t>.</w:t>
      </w:r>
      <w:r>
        <w:rPr>
          <w:rFonts w:ascii="黑体" w:hAnsi="黑体"/>
          <w:szCs w:val="21"/>
        </w:rPr>
        <w:t>2</w:t>
      </w:r>
      <w:r>
        <w:rPr>
          <w:rFonts w:hint="eastAsia" w:ascii="黑体" w:hAnsi="黑体"/>
          <w:szCs w:val="21"/>
        </w:rPr>
        <w:t>　人员卫生</w:t>
      </w:r>
      <w:r>
        <w:rPr>
          <w:rFonts w:ascii="黑体" w:hAnsi="黑体"/>
          <w:szCs w:val="21"/>
        </w:rPr>
        <w:t>控制</w:t>
      </w:r>
    </w:p>
    <w:p w14:paraId="5C0445D5">
      <w:pPr>
        <w:pStyle w:val="17"/>
        <w:numPr>
          <w:ilvl w:val="1"/>
          <w:numId w:val="0"/>
        </w:numPr>
        <w:snapToGrid w:val="0"/>
        <w:rPr>
          <w:rFonts w:eastAsia="宋体"/>
          <w:szCs w:val="21"/>
        </w:rPr>
      </w:pPr>
      <w:r>
        <w:rPr>
          <w:rFonts w:ascii="黑体"/>
          <w:szCs w:val="21"/>
        </w:rPr>
        <w:t>5</w:t>
      </w:r>
      <w:r>
        <w:rPr>
          <w:rFonts w:hint="eastAsia" w:ascii="黑体"/>
          <w:szCs w:val="21"/>
        </w:rPr>
        <w:t>.</w:t>
      </w:r>
      <w:r>
        <w:rPr>
          <w:rFonts w:ascii="黑体"/>
          <w:szCs w:val="21"/>
        </w:rPr>
        <w:t>2</w:t>
      </w:r>
      <w:r>
        <w:rPr>
          <w:rFonts w:hint="eastAsia" w:ascii="黑体"/>
          <w:szCs w:val="21"/>
        </w:rPr>
        <w:t>.1</w:t>
      </w:r>
      <w:r>
        <w:rPr>
          <w:rFonts w:hint="eastAsia" w:asciiTheme="minorEastAsia" w:hAnsiTheme="minorEastAsia" w:eastAsiaTheme="minorEastAsia" w:cstheme="minorEastAsia"/>
          <w:szCs w:val="21"/>
        </w:rPr>
        <w:t>　</w:t>
      </w:r>
      <w:r>
        <w:rPr>
          <w:rFonts w:hint="eastAsia" w:eastAsia="宋体"/>
          <w:szCs w:val="21"/>
        </w:rPr>
        <w:t>需人工操作的加工过程，员工应按要求做好手部清洗消毒，手部清洁消毒间隔时间不宜超过1h。</w:t>
      </w:r>
    </w:p>
    <w:p w14:paraId="267918BE">
      <w:pPr>
        <w:pStyle w:val="17"/>
        <w:numPr>
          <w:ilvl w:val="1"/>
          <w:numId w:val="0"/>
        </w:numPr>
        <w:snapToGrid w:val="0"/>
        <w:rPr>
          <w:rFonts w:asciiTheme="minorEastAsia" w:hAnsiTheme="minorEastAsia" w:eastAsiaTheme="minorEastAsia" w:cstheme="minorEastAsia"/>
          <w:szCs w:val="21"/>
        </w:rPr>
      </w:pPr>
      <w:r>
        <w:rPr>
          <w:rFonts w:ascii="黑体"/>
          <w:szCs w:val="21"/>
        </w:rPr>
        <w:t>5</w:t>
      </w:r>
      <w:r>
        <w:rPr>
          <w:rFonts w:hint="eastAsia" w:ascii="黑体"/>
          <w:szCs w:val="21"/>
        </w:rPr>
        <w:t>.</w:t>
      </w:r>
      <w:r>
        <w:rPr>
          <w:rFonts w:ascii="黑体"/>
          <w:szCs w:val="21"/>
        </w:rPr>
        <w:t>2</w:t>
      </w:r>
      <w:r>
        <w:rPr>
          <w:rFonts w:hint="eastAsia" w:ascii="黑体"/>
          <w:szCs w:val="21"/>
        </w:rPr>
        <w:t>.2</w:t>
      </w:r>
      <w:r>
        <w:rPr>
          <w:rFonts w:hint="eastAsia" w:asciiTheme="minorEastAsia" w:hAnsiTheme="minorEastAsia" w:eastAsiaTheme="minorEastAsia" w:cstheme="minorEastAsia"/>
          <w:szCs w:val="21"/>
        </w:rPr>
        <w:t>　使用或接触可能污染产品的物品和环境后，再次从事接触通辽牛肉调理制品和相关工具、容器、设备、包装材料等与产品经营相关的活动前，应清洗消毒。</w:t>
      </w:r>
    </w:p>
    <w:p w14:paraId="5FFB6C1E">
      <w:pPr>
        <w:pStyle w:val="17"/>
        <w:numPr>
          <w:ilvl w:val="1"/>
          <w:numId w:val="0"/>
        </w:numPr>
        <w:spacing w:before="156" w:beforeLines="50" w:after="156" w:afterLines="50"/>
        <w:rPr>
          <w:rFonts w:ascii="黑体" w:hAnsi="黑体"/>
          <w:szCs w:val="21"/>
        </w:rPr>
      </w:pPr>
      <w:r>
        <w:rPr>
          <w:rFonts w:ascii="黑体" w:hAnsi="黑体"/>
          <w:szCs w:val="21"/>
        </w:rPr>
        <w:t>5</w:t>
      </w:r>
      <w:r>
        <w:rPr>
          <w:rFonts w:hint="eastAsia" w:ascii="黑体" w:hAnsi="黑体"/>
          <w:szCs w:val="21"/>
        </w:rPr>
        <w:t>.</w:t>
      </w:r>
      <w:r>
        <w:rPr>
          <w:rFonts w:ascii="黑体" w:hAnsi="黑体"/>
          <w:szCs w:val="21"/>
        </w:rPr>
        <w:t>3</w:t>
      </w:r>
      <w:r>
        <w:rPr>
          <w:rFonts w:hint="eastAsia" w:ascii="黑体" w:hAnsi="黑体"/>
          <w:szCs w:val="21"/>
        </w:rPr>
        <w:t>　环境</w:t>
      </w:r>
      <w:r>
        <w:rPr>
          <w:rFonts w:ascii="黑体" w:hAnsi="黑体"/>
          <w:szCs w:val="21"/>
        </w:rPr>
        <w:t>、设备</w:t>
      </w:r>
      <w:r>
        <w:rPr>
          <w:rFonts w:hint="eastAsia" w:ascii="黑体" w:hAnsi="黑体"/>
          <w:szCs w:val="21"/>
        </w:rPr>
        <w:t>卫生</w:t>
      </w:r>
      <w:r>
        <w:rPr>
          <w:rFonts w:ascii="黑体" w:hAnsi="黑体"/>
          <w:szCs w:val="21"/>
        </w:rPr>
        <w:t>控制</w:t>
      </w:r>
    </w:p>
    <w:p w14:paraId="65FDB6F4">
      <w:pPr>
        <w:pStyle w:val="17"/>
        <w:numPr>
          <w:ilvl w:val="1"/>
          <w:numId w:val="0"/>
        </w:numPr>
        <w:snapToGrid w:val="0"/>
        <w:rPr>
          <w:szCs w:val="21"/>
        </w:rPr>
      </w:pPr>
      <w:r>
        <w:rPr>
          <w:rFonts w:ascii="黑体"/>
          <w:szCs w:val="21"/>
        </w:rPr>
        <w:t>5</w:t>
      </w:r>
      <w:r>
        <w:rPr>
          <w:rFonts w:hint="eastAsia" w:ascii="黑体"/>
          <w:szCs w:val="21"/>
        </w:rPr>
        <w:t>.</w:t>
      </w:r>
      <w:r>
        <w:rPr>
          <w:rFonts w:ascii="黑体"/>
          <w:szCs w:val="21"/>
        </w:rPr>
        <w:t>3</w:t>
      </w:r>
      <w:r>
        <w:rPr>
          <w:rFonts w:hint="eastAsia" w:ascii="黑体"/>
          <w:szCs w:val="21"/>
        </w:rPr>
        <w:t>.1</w:t>
      </w:r>
      <w:r>
        <w:rPr>
          <w:rFonts w:hint="eastAsia" w:asciiTheme="minorEastAsia" w:hAnsiTheme="minorEastAsia" w:eastAsiaTheme="minorEastAsia" w:cstheme="minorEastAsia"/>
          <w:szCs w:val="21"/>
        </w:rPr>
        <w:t>　</w:t>
      </w:r>
      <w:r>
        <w:rPr>
          <w:rFonts w:ascii="宋体" w:eastAsia="宋体"/>
          <w:szCs w:val="21"/>
        </w:rPr>
        <w:t>加工区域内靠近裸露产品</w:t>
      </w:r>
      <w:r>
        <w:rPr>
          <w:rFonts w:hint="eastAsia" w:ascii="宋体" w:eastAsia="宋体"/>
          <w:szCs w:val="21"/>
        </w:rPr>
        <w:t>位置</w:t>
      </w:r>
      <w:r>
        <w:rPr>
          <w:rFonts w:ascii="宋体" w:eastAsia="宋体"/>
          <w:szCs w:val="21"/>
        </w:rPr>
        <w:t>的</w:t>
      </w:r>
      <w:r>
        <w:rPr>
          <w:rFonts w:hint="eastAsia" w:ascii="宋体" w:eastAsia="宋体"/>
          <w:szCs w:val="21"/>
        </w:rPr>
        <w:t>环境空气每月</w:t>
      </w:r>
      <w:r>
        <w:rPr>
          <w:rFonts w:ascii="宋体" w:eastAsia="宋体"/>
          <w:szCs w:val="21"/>
        </w:rPr>
        <w:t>至少</w:t>
      </w:r>
      <w:r>
        <w:rPr>
          <w:rFonts w:hint="eastAsia" w:ascii="宋体" w:eastAsia="宋体"/>
          <w:szCs w:val="21"/>
        </w:rPr>
        <w:t>1次</w:t>
      </w:r>
      <w:r>
        <w:rPr>
          <w:rFonts w:ascii="宋体" w:eastAsia="宋体"/>
          <w:szCs w:val="21"/>
        </w:rPr>
        <w:t>监测菌落总数、沙门氏菌等微生物，可结合实际</w:t>
      </w:r>
      <w:r>
        <w:rPr>
          <w:rFonts w:hint="eastAsia" w:ascii="宋体" w:eastAsia="宋体"/>
          <w:szCs w:val="21"/>
        </w:rPr>
        <w:t>情况</w:t>
      </w:r>
      <w:r>
        <w:rPr>
          <w:rFonts w:ascii="宋体" w:eastAsia="宋体"/>
          <w:szCs w:val="21"/>
        </w:rPr>
        <w:t>确定监控指标限</w:t>
      </w:r>
      <w:r>
        <w:rPr>
          <w:rFonts w:hint="eastAsia" w:ascii="宋体" w:eastAsia="宋体"/>
          <w:szCs w:val="21"/>
        </w:rPr>
        <w:t>值</w:t>
      </w:r>
      <w:r>
        <w:rPr>
          <w:rFonts w:ascii="宋体" w:eastAsia="宋体"/>
          <w:szCs w:val="21"/>
        </w:rPr>
        <w:t>，</w:t>
      </w:r>
      <w:bookmarkStart w:id="51" w:name="OLE_LINK25"/>
      <w:bookmarkStart w:id="52" w:name="OLE_LINK24"/>
      <w:r>
        <w:rPr>
          <w:rFonts w:hint="eastAsia" w:ascii="宋体" w:eastAsia="宋体"/>
          <w:szCs w:val="21"/>
        </w:rPr>
        <w:t>冷却间、</w:t>
      </w:r>
      <w:r>
        <w:rPr>
          <w:rFonts w:ascii="宋体" w:eastAsia="宋体"/>
          <w:szCs w:val="21"/>
        </w:rPr>
        <w:t>内包装车间</w:t>
      </w:r>
      <w:r>
        <w:rPr>
          <w:rFonts w:hint="eastAsia" w:ascii="宋体" w:eastAsia="宋体"/>
          <w:szCs w:val="21"/>
        </w:rPr>
        <w:t>应</w:t>
      </w:r>
      <w:r>
        <w:rPr>
          <w:rFonts w:ascii="宋体" w:eastAsia="宋体"/>
          <w:szCs w:val="21"/>
        </w:rPr>
        <w:t>严格控制</w:t>
      </w:r>
      <w:bookmarkEnd w:id="51"/>
      <w:bookmarkEnd w:id="52"/>
      <w:r>
        <w:rPr>
          <w:rFonts w:hint="eastAsia" w:ascii="宋体" w:eastAsia="宋体"/>
          <w:szCs w:val="21"/>
        </w:rPr>
        <w:t>微生物</w:t>
      </w:r>
      <w:r>
        <w:rPr>
          <w:rFonts w:ascii="宋体" w:eastAsia="宋体"/>
          <w:szCs w:val="21"/>
        </w:rPr>
        <w:t>限值</w:t>
      </w:r>
      <w:r>
        <w:rPr>
          <w:rFonts w:hint="eastAsia" w:ascii="宋体" w:eastAsia="宋体"/>
          <w:szCs w:val="21"/>
        </w:rPr>
        <w:t>。</w:t>
      </w:r>
    </w:p>
    <w:p w14:paraId="1D7ED5B9">
      <w:pPr>
        <w:pStyle w:val="16"/>
        <w:rPr>
          <w:szCs w:val="21"/>
        </w:rPr>
      </w:pPr>
      <w:r>
        <w:rPr>
          <w:rFonts w:ascii="黑体"/>
          <w:szCs w:val="21"/>
        </w:rPr>
        <w:t>5</w:t>
      </w:r>
      <w:r>
        <w:rPr>
          <w:rFonts w:hint="eastAsia" w:ascii="黑体"/>
          <w:szCs w:val="21"/>
        </w:rPr>
        <w:t>.</w:t>
      </w:r>
      <w:r>
        <w:rPr>
          <w:rFonts w:ascii="黑体"/>
          <w:szCs w:val="21"/>
        </w:rPr>
        <w:t>3</w:t>
      </w:r>
      <w:r>
        <w:rPr>
          <w:rFonts w:hint="eastAsia" w:ascii="黑体"/>
          <w:szCs w:val="21"/>
        </w:rPr>
        <w:t>.2</w:t>
      </w:r>
      <w:r>
        <w:rPr>
          <w:rFonts w:hint="eastAsia" w:asciiTheme="minorEastAsia" w:hAnsiTheme="minorEastAsia" w:eastAsiaTheme="minorEastAsia" w:cstheme="minorEastAsia"/>
          <w:szCs w:val="21"/>
        </w:rPr>
        <w:t>　应</w:t>
      </w:r>
      <w:r>
        <w:rPr>
          <w:rFonts w:hint="eastAsia"/>
          <w:szCs w:val="21"/>
        </w:rPr>
        <w:t>定时清除加工区域</w:t>
      </w:r>
      <w:r>
        <w:rPr>
          <w:szCs w:val="21"/>
        </w:rPr>
        <w:t>废弃物</w:t>
      </w:r>
      <w:r>
        <w:rPr>
          <w:rFonts w:hint="eastAsia"/>
          <w:szCs w:val="21"/>
        </w:rPr>
        <w:t>；裸露产品工作台</w:t>
      </w:r>
      <w:r>
        <w:rPr>
          <w:szCs w:val="21"/>
        </w:rPr>
        <w:t>面</w:t>
      </w:r>
      <w:r>
        <w:rPr>
          <w:rFonts w:hint="eastAsia"/>
          <w:szCs w:val="21"/>
        </w:rPr>
        <w:t>的</w:t>
      </w:r>
      <w:r>
        <w:rPr>
          <w:szCs w:val="21"/>
        </w:rPr>
        <w:t>废弃物应及时清除</w:t>
      </w:r>
      <w:r>
        <w:rPr>
          <w:rFonts w:hint="eastAsia"/>
          <w:szCs w:val="21"/>
        </w:rPr>
        <w:t>，并定时</w:t>
      </w:r>
      <w:r>
        <w:rPr>
          <w:szCs w:val="21"/>
        </w:rPr>
        <w:t>进行</w:t>
      </w:r>
      <w:r>
        <w:rPr>
          <w:rFonts w:hint="eastAsia"/>
          <w:szCs w:val="21"/>
        </w:rPr>
        <w:t>工作台</w:t>
      </w:r>
      <w:r>
        <w:rPr>
          <w:szCs w:val="21"/>
        </w:rPr>
        <w:t>的清洗消毒</w:t>
      </w:r>
      <w:r>
        <w:rPr>
          <w:rFonts w:hint="eastAsia"/>
          <w:szCs w:val="21"/>
        </w:rPr>
        <w:t>，清洗消毒间隔时间不宜超过1h。</w:t>
      </w:r>
    </w:p>
    <w:p w14:paraId="5DC9CE8D">
      <w:pPr>
        <w:pStyle w:val="17"/>
        <w:numPr>
          <w:ilvl w:val="1"/>
          <w:numId w:val="0"/>
        </w:numPr>
        <w:snapToGrid w:val="0"/>
        <w:rPr>
          <w:rFonts w:asciiTheme="minorEastAsia" w:hAnsiTheme="minorEastAsia" w:eastAsiaTheme="minorEastAsia" w:cstheme="minorEastAsia"/>
          <w:szCs w:val="21"/>
        </w:rPr>
      </w:pPr>
      <w:r>
        <w:rPr>
          <w:rFonts w:ascii="黑体"/>
          <w:szCs w:val="21"/>
        </w:rPr>
        <w:t>5</w:t>
      </w:r>
      <w:r>
        <w:rPr>
          <w:rFonts w:hint="eastAsia" w:ascii="黑体"/>
          <w:szCs w:val="21"/>
        </w:rPr>
        <w:t>.</w:t>
      </w:r>
      <w:r>
        <w:rPr>
          <w:rFonts w:ascii="黑体"/>
          <w:szCs w:val="21"/>
        </w:rPr>
        <w:t>3</w:t>
      </w:r>
      <w:r>
        <w:rPr>
          <w:rFonts w:hint="eastAsia" w:ascii="黑体"/>
          <w:szCs w:val="21"/>
        </w:rPr>
        <w:t>.</w:t>
      </w:r>
      <w:r>
        <w:rPr>
          <w:rFonts w:ascii="黑体"/>
          <w:szCs w:val="21"/>
        </w:rPr>
        <w:t>3</w:t>
      </w:r>
      <w:r>
        <w:rPr>
          <w:rFonts w:hint="eastAsia" w:asciiTheme="minorEastAsia" w:hAnsiTheme="minorEastAsia" w:eastAsiaTheme="minorEastAsia" w:cstheme="minorEastAsia"/>
          <w:szCs w:val="21"/>
        </w:rPr>
        <w:t>　产品</w:t>
      </w:r>
      <w:r>
        <w:rPr>
          <w:rFonts w:asciiTheme="minorEastAsia" w:hAnsiTheme="minorEastAsia" w:eastAsiaTheme="minorEastAsia" w:cstheme="minorEastAsia"/>
          <w:szCs w:val="21"/>
        </w:rPr>
        <w:t>加工</w:t>
      </w:r>
      <w:r>
        <w:rPr>
          <w:rFonts w:hint="eastAsia" w:asciiTheme="minorEastAsia" w:hAnsiTheme="minorEastAsia" w:eastAsiaTheme="minorEastAsia" w:cstheme="minorEastAsia"/>
          <w:szCs w:val="21"/>
        </w:rPr>
        <w:t>过程</w:t>
      </w:r>
      <w:r>
        <w:rPr>
          <w:rFonts w:asciiTheme="minorEastAsia" w:hAnsiTheme="minorEastAsia" w:eastAsiaTheme="minorEastAsia" w:cstheme="minorEastAsia"/>
          <w:szCs w:val="21"/>
        </w:rPr>
        <w:t>中</w:t>
      </w:r>
      <w:r>
        <w:rPr>
          <w:rFonts w:hint="eastAsia" w:asciiTheme="minorEastAsia" w:hAnsiTheme="minorEastAsia" w:eastAsiaTheme="minorEastAsia" w:cstheme="minorEastAsia"/>
          <w:szCs w:val="21"/>
        </w:rPr>
        <w:t>刀具应及时清洁消毒，采用热水清洁消毒时水温应不低于82℃，连续</w:t>
      </w:r>
      <w:r>
        <w:rPr>
          <w:rFonts w:asciiTheme="minorEastAsia" w:hAnsiTheme="minorEastAsia" w:eastAsiaTheme="minorEastAsia" w:cstheme="minorEastAsia"/>
          <w:szCs w:val="21"/>
        </w:rPr>
        <w:t>使用时</w:t>
      </w:r>
      <w:r>
        <w:rPr>
          <w:rFonts w:hint="eastAsia" w:asciiTheme="minorEastAsia" w:hAnsiTheme="minorEastAsia" w:eastAsiaTheme="minorEastAsia" w:cstheme="minorEastAsia"/>
          <w:szCs w:val="21"/>
        </w:rPr>
        <w:t>清洁消毒间隔时间不宜超过1h。</w:t>
      </w:r>
    </w:p>
    <w:p w14:paraId="3E1113E5">
      <w:pPr>
        <w:pStyle w:val="17"/>
        <w:numPr>
          <w:ilvl w:val="1"/>
          <w:numId w:val="0"/>
        </w:numPr>
        <w:snapToGrid w:val="0"/>
        <w:rPr>
          <w:rFonts w:asciiTheme="minorEastAsia" w:hAnsiTheme="minorEastAsia" w:eastAsiaTheme="minorEastAsia" w:cstheme="minorEastAsia"/>
          <w:szCs w:val="21"/>
        </w:rPr>
      </w:pPr>
      <w:r>
        <w:rPr>
          <w:rFonts w:ascii="黑体"/>
          <w:szCs w:val="21"/>
        </w:rPr>
        <w:t>5</w:t>
      </w:r>
      <w:r>
        <w:rPr>
          <w:rFonts w:hint="eastAsia" w:ascii="黑体"/>
          <w:szCs w:val="21"/>
        </w:rPr>
        <w:t>.</w:t>
      </w:r>
      <w:r>
        <w:rPr>
          <w:rFonts w:ascii="黑体"/>
          <w:szCs w:val="21"/>
        </w:rPr>
        <w:t>3</w:t>
      </w:r>
      <w:r>
        <w:rPr>
          <w:rFonts w:hint="eastAsia" w:ascii="黑体"/>
          <w:szCs w:val="21"/>
        </w:rPr>
        <w:t>.</w:t>
      </w:r>
      <w:r>
        <w:rPr>
          <w:rFonts w:ascii="黑体"/>
          <w:szCs w:val="21"/>
        </w:rPr>
        <w:t>4</w:t>
      </w:r>
      <w:r>
        <w:rPr>
          <w:rFonts w:hint="eastAsia" w:asciiTheme="minorEastAsia" w:hAnsiTheme="minorEastAsia" w:eastAsiaTheme="minorEastAsia" w:cstheme="minorEastAsia"/>
          <w:szCs w:val="21"/>
        </w:rPr>
        <w:t>　进行现场维修、维护、清洁消毒及施工等工作时，应采取有效防护措施，避免异物、异味、碎屑、</w:t>
      </w:r>
      <w:r>
        <w:rPr>
          <w:rFonts w:asciiTheme="minorEastAsia" w:hAnsiTheme="minorEastAsia" w:eastAsiaTheme="minorEastAsia" w:cstheme="minorEastAsia"/>
          <w:szCs w:val="21"/>
        </w:rPr>
        <w:t>有毒有害气体</w:t>
      </w:r>
      <w:r>
        <w:rPr>
          <w:rFonts w:hint="eastAsia" w:asciiTheme="minorEastAsia" w:hAnsiTheme="minorEastAsia" w:eastAsiaTheme="minorEastAsia" w:cstheme="minorEastAsia"/>
          <w:szCs w:val="21"/>
        </w:rPr>
        <w:t>等污染产品。</w:t>
      </w:r>
    </w:p>
    <w:bookmarkEnd w:id="45"/>
    <w:bookmarkEnd w:id="46"/>
    <w:bookmarkEnd w:id="47"/>
    <w:bookmarkEnd w:id="49"/>
    <w:bookmarkEnd w:id="50"/>
    <w:p w14:paraId="4C608605">
      <w:pPr>
        <w:pStyle w:val="15"/>
        <w:numPr>
          <w:ilvl w:val="0"/>
          <w:numId w:val="2"/>
        </w:numPr>
        <w:spacing w:before="312" w:beforeLines="100" w:after="312" w:afterLines="100"/>
        <w:outlineLvl w:val="0"/>
        <w:rPr>
          <w:rFonts w:ascii="Times New Roman"/>
          <w:szCs w:val="21"/>
        </w:rPr>
      </w:pPr>
      <w:bookmarkStart w:id="53" w:name="_Toc16172045"/>
      <w:bookmarkStart w:id="54" w:name="_Toc20235299"/>
      <w:bookmarkStart w:id="55" w:name="_Toc20317854"/>
      <w:bookmarkStart w:id="56" w:name="_Toc20236412"/>
      <w:bookmarkStart w:id="57" w:name="_Toc16171981"/>
      <w:bookmarkStart w:id="58" w:name="_Toc20410175"/>
      <w:r>
        <w:rPr>
          <w:rFonts w:hint="eastAsia" w:ascii="Times New Roman"/>
          <w:szCs w:val="21"/>
        </w:rPr>
        <w:t>加工技术要求</w:t>
      </w:r>
    </w:p>
    <w:p w14:paraId="026B64AD">
      <w:pPr>
        <w:autoSpaceDE w:val="0"/>
        <w:autoSpaceDN w:val="0"/>
        <w:adjustRightInd w:val="0"/>
        <w:spacing w:before="156" w:beforeLines="50" w:after="156" w:afterLines="50"/>
        <w:jc w:val="left"/>
        <w:rPr>
          <w:rFonts w:ascii="黑体" w:hAnsi="黑体" w:eastAsia="黑体"/>
          <w:kern w:val="0"/>
          <w:szCs w:val="21"/>
        </w:rPr>
      </w:pPr>
      <w:r>
        <w:rPr>
          <w:rFonts w:hint="eastAsia" w:ascii="黑体" w:hAnsi="黑体" w:eastAsia="黑体"/>
          <w:kern w:val="0"/>
          <w:szCs w:val="21"/>
        </w:rPr>
        <w:t>6.1　原辅料、食品添加剂和食品相关产品要求</w:t>
      </w:r>
    </w:p>
    <w:p w14:paraId="04D3F181">
      <w:pPr>
        <w:pStyle w:val="17"/>
        <w:numPr>
          <w:ilvl w:val="1"/>
          <w:numId w:val="0"/>
        </w:numPr>
        <w:spacing w:before="156" w:beforeLines="50" w:after="156" w:afterLines="50"/>
        <w:rPr>
          <w:rFonts w:ascii="黑体" w:hAnsi="黑体"/>
          <w:szCs w:val="21"/>
        </w:rPr>
      </w:pPr>
      <w:r>
        <w:rPr>
          <w:rFonts w:hint="eastAsia" w:ascii="黑体" w:hAnsi="黑体"/>
          <w:szCs w:val="21"/>
        </w:rPr>
        <w:t>6.1.1　原料</w:t>
      </w:r>
    </w:p>
    <w:p w14:paraId="7A0C318D">
      <w:pPr>
        <w:pStyle w:val="16"/>
        <w:contextualSpacing/>
        <w:rPr>
          <w:rFonts w:ascii="Times New Roman"/>
        </w:rPr>
      </w:pPr>
      <w:r>
        <w:rPr>
          <w:rFonts w:hint="eastAsia" w:ascii="黑体" w:hAnsi="黑体"/>
          <w:szCs w:val="21"/>
        </w:rPr>
        <w:t>6.1.1.1　</w:t>
      </w:r>
      <w:r>
        <w:rPr>
          <w:rFonts w:hint="eastAsia" w:asciiTheme="minorEastAsia" w:hAnsiTheme="minorEastAsia" w:eastAsiaTheme="minorEastAsia" w:cstheme="minorEastAsia"/>
          <w:szCs w:val="21"/>
        </w:rPr>
        <w:t>应符</w:t>
      </w:r>
      <w:r>
        <w:rPr>
          <w:rFonts w:hint="eastAsia" w:ascii="Times New Roman"/>
        </w:rPr>
        <w:t>合T/CMATB 3012的相关规定。</w:t>
      </w:r>
    </w:p>
    <w:p w14:paraId="6DB8093F">
      <w:pPr>
        <w:pStyle w:val="16"/>
        <w:contextualSpacing/>
        <w:rPr>
          <w:rFonts w:ascii="Times New Roman"/>
        </w:rPr>
      </w:pPr>
      <w:r>
        <w:rPr>
          <w:rFonts w:hint="eastAsia" w:ascii="黑体" w:hAnsi="黑体"/>
          <w:szCs w:val="21"/>
        </w:rPr>
        <w:t>6.1.1.2　生鲜</w:t>
      </w:r>
      <w:r>
        <w:rPr>
          <w:rFonts w:hint="eastAsia" w:ascii="Times New Roman"/>
        </w:rPr>
        <w:t>原料应存放</w:t>
      </w:r>
      <w:r>
        <w:rPr>
          <w:rFonts w:ascii="Times New Roman"/>
        </w:rPr>
        <w:t>在0℃～4℃的储存库，冷冻原料应存放在-18℃以下</w:t>
      </w:r>
      <w:r>
        <w:rPr>
          <w:rFonts w:hint="eastAsia" w:ascii="Times New Roman"/>
        </w:rPr>
        <w:t>的储存库。</w:t>
      </w:r>
    </w:p>
    <w:p w14:paraId="23C84A6C">
      <w:pPr>
        <w:pStyle w:val="17"/>
        <w:numPr>
          <w:ilvl w:val="1"/>
          <w:numId w:val="0"/>
        </w:numPr>
        <w:spacing w:before="156" w:beforeLines="50" w:after="156" w:afterLines="50"/>
        <w:rPr>
          <w:rFonts w:ascii="黑体" w:hAnsi="黑体"/>
          <w:szCs w:val="21"/>
        </w:rPr>
      </w:pPr>
      <w:r>
        <w:rPr>
          <w:rFonts w:hint="eastAsia" w:ascii="黑体" w:hAnsi="黑体"/>
          <w:szCs w:val="21"/>
        </w:rPr>
        <w:t>6.1.2　辅料</w:t>
      </w:r>
    </w:p>
    <w:p w14:paraId="5BAC9DE4">
      <w:pPr>
        <w:pStyle w:val="16"/>
        <w:contextualSpacing/>
        <w:rPr>
          <w:rFonts w:ascii="黑体" w:hAnsi="黑体"/>
          <w:szCs w:val="21"/>
        </w:rPr>
      </w:pPr>
      <w:r>
        <w:rPr>
          <w:rFonts w:hint="eastAsia" w:ascii="黑体" w:hAnsi="黑体"/>
          <w:szCs w:val="21"/>
        </w:rPr>
        <w:t>6.1.2.1　应符合相关标准的规定。</w:t>
      </w:r>
    </w:p>
    <w:p w14:paraId="42D69A26">
      <w:pPr>
        <w:pStyle w:val="16"/>
        <w:contextualSpacing/>
        <w:rPr>
          <w:rFonts w:ascii="黑体" w:hAnsi="黑体"/>
          <w:szCs w:val="21"/>
        </w:rPr>
      </w:pPr>
      <w:r>
        <w:rPr>
          <w:rFonts w:hint="eastAsia" w:ascii="黑体" w:hAnsi="黑体"/>
          <w:szCs w:val="21"/>
        </w:rPr>
        <w:t>6.1.2.2　应查验辅料的合格证明文件，验收合格后方可入库或使用。</w:t>
      </w:r>
    </w:p>
    <w:p w14:paraId="3E33466A">
      <w:pPr>
        <w:pStyle w:val="16"/>
        <w:contextualSpacing/>
        <w:rPr>
          <w:rFonts w:ascii="黑体" w:hAnsi="黑体"/>
          <w:szCs w:val="21"/>
        </w:rPr>
      </w:pPr>
      <w:r>
        <w:rPr>
          <w:rFonts w:hint="eastAsia" w:ascii="黑体" w:hAnsi="黑体"/>
          <w:szCs w:val="21"/>
        </w:rPr>
        <w:t>6.1.2.3　存放时对贮存温度、湿度有特殊要求的，应采取有效控制措施。</w:t>
      </w:r>
    </w:p>
    <w:p w14:paraId="5463AB41">
      <w:pPr>
        <w:pStyle w:val="17"/>
        <w:numPr>
          <w:ilvl w:val="1"/>
          <w:numId w:val="0"/>
        </w:numPr>
        <w:spacing w:before="156" w:beforeLines="50" w:after="156" w:afterLines="50"/>
        <w:rPr>
          <w:rFonts w:ascii="黑体" w:hAnsi="黑体"/>
          <w:szCs w:val="21"/>
        </w:rPr>
      </w:pPr>
      <w:r>
        <w:rPr>
          <w:rFonts w:hint="eastAsia" w:ascii="黑体" w:hAnsi="黑体"/>
          <w:szCs w:val="21"/>
        </w:rPr>
        <w:t>6.1.3　食品添加剂和食品相关产品</w:t>
      </w:r>
    </w:p>
    <w:p w14:paraId="3F9C98BA">
      <w:pPr>
        <w:pStyle w:val="16"/>
        <w:ind w:firstLine="420"/>
        <w:rPr>
          <w:rFonts w:ascii="Times New Roman"/>
        </w:rPr>
      </w:pPr>
      <w:r>
        <w:rPr>
          <w:rFonts w:ascii="Times New Roman"/>
        </w:rPr>
        <w:t>应符合GB 31661的规定。</w:t>
      </w:r>
    </w:p>
    <w:p w14:paraId="6A50C61D">
      <w:pPr>
        <w:autoSpaceDE w:val="0"/>
        <w:autoSpaceDN w:val="0"/>
        <w:adjustRightInd w:val="0"/>
        <w:spacing w:before="156" w:beforeLines="50" w:after="156" w:afterLines="50"/>
        <w:jc w:val="left"/>
        <w:rPr>
          <w:rFonts w:ascii="黑体" w:hAnsi="黑体" w:eastAsia="黑体"/>
          <w:kern w:val="0"/>
          <w:szCs w:val="21"/>
        </w:rPr>
      </w:pPr>
      <w:r>
        <w:rPr>
          <w:rFonts w:hint="eastAsia" w:ascii="黑体" w:hAnsi="黑体" w:eastAsia="黑体"/>
          <w:kern w:val="0"/>
          <w:szCs w:val="21"/>
        </w:rPr>
        <w:t>6.2　原辅料预处理</w:t>
      </w:r>
    </w:p>
    <w:p w14:paraId="6DFF30DE">
      <w:pPr>
        <w:pStyle w:val="17"/>
        <w:numPr>
          <w:ilvl w:val="1"/>
          <w:numId w:val="0"/>
        </w:numPr>
        <w:spacing w:before="156" w:beforeLines="50" w:after="156" w:afterLines="50"/>
        <w:rPr>
          <w:rFonts w:ascii="黑体" w:hAnsi="黑体"/>
          <w:szCs w:val="21"/>
        </w:rPr>
      </w:pPr>
      <w:r>
        <w:rPr>
          <w:rFonts w:hint="eastAsia" w:ascii="黑体" w:hAnsi="黑体"/>
          <w:szCs w:val="21"/>
        </w:rPr>
        <w:t>6.2.1　原料预处理</w:t>
      </w:r>
    </w:p>
    <w:p w14:paraId="51AFEDF6">
      <w:pPr>
        <w:pStyle w:val="16"/>
        <w:contextualSpacing/>
        <w:rPr>
          <w:rFonts w:ascii="黑体" w:hAnsi="黑体"/>
          <w:szCs w:val="21"/>
        </w:rPr>
      </w:pPr>
      <w:r>
        <w:rPr>
          <w:rFonts w:hint="eastAsia" w:ascii="黑体" w:hAnsi="黑体"/>
          <w:szCs w:val="21"/>
        </w:rPr>
        <w:t>6.2.1.1　依据通辽牛肉调理制品需求对原料进行解冻、剔骨、分割、分拣、绞制、切块、切片、切丝等全部或部分加工预处理。</w:t>
      </w:r>
    </w:p>
    <w:p w14:paraId="27B72E4B">
      <w:pPr>
        <w:pStyle w:val="16"/>
        <w:contextualSpacing/>
        <w:rPr>
          <w:rFonts w:ascii="黑体" w:hAnsi="黑体"/>
          <w:szCs w:val="21"/>
        </w:rPr>
      </w:pPr>
      <w:r>
        <w:rPr>
          <w:rFonts w:hint="eastAsia" w:ascii="黑体" w:hAnsi="黑体"/>
          <w:szCs w:val="21"/>
        </w:rPr>
        <w:t>6.2.1.2　原料需解</w:t>
      </w:r>
      <w:r>
        <w:rPr>
          <w:rFonts w:ascii="Times New Roman"/>
          <w:szCs w:val="21"/>
        </w:rPr>
        <w:t>冻时应符合GB 31661的规定。使用新型解冻方法时还应确保方</w:t>
      </w:r>
      <w:r>
        <w:rPr>
          <w:rFonts w:hint="eastAsia" w:ascii="黑体" w:hAnsi="黑体"/>
          <w:szCs w:val="21"/>
        </w:rPr>
        <w:t>法的安全性，以使原料免受污染。</w:t>
      </w:r>
    </w:p>
    <w:p w14:paraId="5899FDED">
      <w:pPr>
        <w:pStyle w:val="16"/>
        <w:contextualSpacing/>
        <w:rPr>
          <w:rFonts w:ascii="Times New Roman"/>
          <w:szCs w:val="21"/>
        </w:rPr>
      </w:pPr>
      <w:r>
        <w:rPr>
          <w:rFonts w:hint="eastAsia" w:ascii="黑体" w:hAnsi="黑体"/>
          <w:szCs w:val="21"/>
        </w:rPr>
        <w:t>6.2.1.3　剔骨、分割、分拣、绞制、切块、切</w:t>
      </w:r>
      <w:r>
        <w:rPr>
          <w:rFonts w:hint="eastAsia" w:ascii="Times New Roman"/>
          <w:szCs w:val="21"/>
        </w:rPr>
        <w:t>片、切丝等加工预处理过程中环境温度不应高于12℃，加工过程中应严格控制原料肉温度在7℃以下，加工操作应符合GB/T 20940的规定，操作宜迅速。</w:t>
      </w:r>
    </w:p>
    <w:p w14:paraId="63A2BD3D">
      <w:pPr>
        <w:pStyle w:val="17"/>
        <w:numPr>
          <w:ilvl w:val="1"/>
          <w:numId w:val="0"/>
        </w:numPr>
        <w:spacing w:before="156" w:beforeLines="50" w:after="156" w:afterLines="50"/>
        <w:rPr>
          <w:rFonts w:ascii="黑体" w:hAnsi="黑体"/>
          <w:szCs w:val="21"/>
        </w:rPr>
      </w:pPr>
      <w:r>
        <w:rPr>
          <w:rFonts w:hint="eastAsia" w:ascii="黑体" w:hAnsi="黑体"/>
          <w:szCs w:val="21"/>
        </w:rPr>
        <w:t>6.2.2　生鲜原料加工前贮存</w:t>
      </w:r>
    </w:p>
    <w:p w14:paraId="77A99789">
      <w:pPr>
        <w:pStyle w:val="16"/>
        <w:ind w:firstLine="420"/>
        <w:rPr>
          <w:rFonts w:ascii="Times New Roman"/>
          <w:szCs w:val="21"/>
        </w:rPr>
      </w:pPr>
      <w:r>
        <w:rPr>
          <w:rFonts w:hint="eastAsia"/>
        </w:rPr>
        <w:t>生鲜原料进入加工车间后应尽快使用，</w:t>
      </w:r>
      <w:r>
        <w:rPr>
          <w:rFonts w:hint="eastAsia" w:ascii="Times New Roman"/>
          <w:szCs w:val="21"/>
        </w:rPr>
        <w:t>若6h内不能进行加工，应在0℃～4℃环境中冷藏或在-18℃及以下冷冻保存，冷藏时间不应超过3d。</w:t>
      </w:r>
    </w:p>
    <w:p w14:paraId="2534A34E">
      <w:pPr>
        <w:pStyle w:val="17"/>
        <w:numPr>
          <w:ilvl w:val="1"/>
          <w:numId w:val="0"/>
        </w:numPr>
        <w:spacing w:before="156" w:beforeLines="50" w:after="156" w:afterLines="50"/>
        <w:rPr>
          <w:rFonts w:ascii="黑体" w:hAnsi="黑体"/>
          <w:szCs w:val="21"/>
        </w:rPr>
      </w:pPr>
      <w:r>
        <w:rPr>
          <w:rFonts w:hint="eastAsia" w:ascii="黑体" w:hAnsi="黑体"/>
          <w:szCs w:val="21"/>
        </w:rPr>
        <w:t>6.2.3　辅料预处理</w:t>
      </w:r>
    </w:p>
    <w:p w14:paraId="03236583">
      <w:pPr>
        <w:pStyle w:val="16"/>
        <w:ind w:firstLine="420"/>
      </w:pPr>
      <w:r>
        <w:rPr>
          <w:rFonts w:hint="eastAsia"/>
        </w:rPr>
        <w:t>应根据通辽牛肉调理制品工艺需求对辅料进行挑选、修整、清洗、混合、溶解、浸泡等全部或部分加工处理，清洗辅料时应使用流动水。需溶解和浸泡的辅料宜当天配制和使用，应确保辅料溶解均匀、浸泡适宜。</w:t>
      </w:r>
    </w:p>
    <w:p w14:paraId="3B19EC62">
      <w:pPr>
        <w:autoSpaceDE w:val="0"/>
        <w:autoSpaceDN w:val="0"/>
        <w:adjustRightInd w:val="0"/>
        <w:spacing w:before="156" w:beforeLines="50" w:after="156" w:afterLines="50"/>
        <w:jc w:val="left"/>
        <w:rPr>
          <w:rFonts w:ascii="黑体" w:hAnsi="黑体" w:eastAsia="黑体"/>
          <w:kern w:val="0"/>
          <w:szCs w:val="21"/>
        </w:rPr>
      </w:pPr>
      <w:r>
        <w:rPr>
          <w:rFonts w:hint="eastAsia" w:ascii="黑体" w:hAnsi="黑体" w:eastAsia="黑体"/>
          <w:kern w:val="0"/>
          <w:szCs w:val="21"/>
        </w:rPr>
        <w:t>6.3　产品投料</w:t>
      </w:r>
    </w:p>
    <w:p w14:paraId="1AF68A78">
      <w:pPr>
        <w:pStyle w:val="21"/>
        <w:numPr>
          <w:ilvl w:val="255"/>
          <w:numId w:val="0"/>
        </w:numPr>
        <w:tabs>
          <w:tab w:val="clear" w:pos="360"/>
        </w:tabs>
        <w:rPr>
          <w:rFonts w:asciiTheme="minorEastAsia" w:hAnsiTheme="minorEastAsia" w:eastAsiaTheme="minorEastAsia" w:cstheme="minorEastAsia"/>
          <w:kern w:val="0"/>
          <w:szCs w:val="21"/>
        </w:rPr>
      </w:pPr>
      <w:r>
        <w:rPr>
          <w:rFonts w:hint="eastAsia" w:ascii="黑体"/>
          <w:kern w:val="0"/>
          <w:szCs w:val="21"/>
        </w:rPr>
        <w:t>6.3.1　</w:t>
      </w:r>
      <w:r>
        <w:rPr>
          <w:rFonts w:hint="eastAsia" w:asciiTheme="minorEastAsia" w:hAnsiTheme="minorEastAsia" w:eastAsiaTheme="minorEastAsia" w:cstheme="minorEastAsia"/>
          <w:kern w:val="0"/>
          <w:szCs w:val="21"/>
        </w:rPr>
        <w:t>投料操作前，应确保生产设备运行正常，并核验所用原辅料与当前生产产品一致。</w:t>
      </w:r>
    </w:p>
    <w:p w14:paraId="2447F848">
      <w:pPr>
        <w:pStyle w:val="21"/>
        <w:numPr>
          <w:ilvl w:val="255"/>
          <w:numId w:val="0"/>
        </w:numPr>
        <w:tabs>
          <w:tab w:val="clear" w:pos="360"/>
        </w:tabs>
        <w:rPr>
          <w:rFonts w:asciiTheme="minorEastAsia" w:hAnsiTheme="minorEastAsia" w:eastAsiaTheme="minorEastAsia" w:cstheme="minorEastAsia"/>
          <w:kern w:val="0"/>
          <w:szCs w:val="21"/>
        </w:rPr>
      </w:pPr>
      <w:r>
        <w:rPr>
          <w:rFonts w:hint="eastAsia" w:ascii="黑体"/>
          <w:kern w:val="0"/>
          <w:szCs w:val="21"/>
        </w:rPr>
        <w:t>6.3.2　</w:t>
      </w:r>
      <w:r>
        <w:rPr>
          <w:rFonts w:hint="eastAsia" w:asciiTheme="minorEastAsia" w:hAnsiTheme="minorEastAsia" w:eastAsiaTheme="minorEastAsia" w:cstheme="minorEastAsia"/>
          <w:kern w:val="0"/>
          <w:szCs w:val="21"/>
        </w:rPr>
        <w:t>按企业产品作业指导书的</w:t>
      </w:r>
      <w:bookmarkStart w:id="60" w:name="_GoBack"/>
      <w:bookmarkEnd w:id="60"/>
      <w:r>
        <w:rPr>
          <w:rFonts w:hint="eastAsia" w:asciiTheme="minorEastAsia" w:hAnsiTheme="minorEastAsia" w:eastAsiaTheme="minorEastAsia" w:cstheme="minorEastAsia"/>
          <w:kern w:val="0"/>
          <w:szCs w:val="21"/>
        </w:rPr>
        <w:t>相关规定投入原辅料，并应形成投料记录，投料过程应采取相应防护措施，以防加工品受外来污染。</w:t>
      </w:r>
    </w:p>
    <w:p w14:paraId="4A665368">
      <w:pPr>
        <w:autoSpaceDE w:val="0"/>
        <w:autoSpaceDN w:val="0"/>
        <w:adjustRightInd w:val="0"/>
        <w:spacing w:before="156" w:beforeLines="50" w:after="156" w:afterLines="50"/>
        <w:jc w:val="left"/>
        <w:rPr>
          <w:rFonts w:ascii="黑体" w:hAnsi="黑体" w:eastAsia="黑体"/>
          <w:kern w:val="0"/>
          <w:szCs w:val="21"/>
        </w:rPr>
      </w:pPr>
      <w:r>
        <w:rPr>
          <w:rFonts w:hint="eastAsia" w:ascii="黑体" w:hAnsi="黑体" w:eastAsia="黑体"/>
          <w:kern w:val="0"/>
          <w:szCs w:val="21"/>
        </w:rPr>
        <w:t>6.4　调制加工</w:t>
      </w:r>
    </w:p>
    <w:p w14:paraId="31DE2F93">
      <w:pPr>
        <w:pStyle w:val="21"/>
        <w:numPr>
          <w:ilvl w:val="255"/>
          <w:numId w:val="0"/>
        </w:numPr>
        <w:tabs>
          <w:tab w:val="clear" w:pos="360"/>
        </w:tabs>
        <w:rPr>
          <w:rFonts w:eastAsia="宋体"/>
          <w:kern w:val="0"/>
          <w:szCs w:val="21"/>
        </w:rPr>
      </w:pPr>
      <w:r>
        <w:rPr>
          <w:rFonts w:hint="eastAsia" w:ascii="黑体"/>
          <w:kern w:val="0"/>
          <w:szCs w:val="21"/>
        </w:rPr>
        <w:t>6.4.1　</w:t>
      </w:r>
      <w:r>
        <w:rPr>
          <w:rFonts w:hint="eastAsia" w:eastAsia="宋体"/>
          <w:kern w:val="0"/>
          <w:szCs w:val="21"/>
        </w:rPr>
        <w:t>通辽牛肉调理制品在进行搅拌、斩拌、注射、滚揉、腌制、灌制、串签等非热加工过程时，操作应符合GB/T 20940的规定，滚揉、腌制加工环境温度应不高于4℃，搅拌、滚揉后产品中心温度应不高于12℃。</w:t>
      </w:r>
    </w:p>
    <w:p w14:paraId="10054B98">
      <w:pPr>
        <w:pStyle w:val="21"/>
        <w:numPr>
          <w:ilvl w:val="255"/>
          <w:numId w:val="0"/>
        </w:numPr>
        <w:tabs>
          <w:tab w:val="clear" w:pos="360"/>
        </w:tabs>
        <w:rPr>
          <w:rFonts w:eastAsia="宋体"/>
          <w:kern w:val="0"/>
          <w:szCs w:val="21"/>
        </w:rPr>
      </w:pPr>
      <w:r>
        <w:rPr>
          <w:rFonts w:hint="eastAsia" w:ascii="黑体"/>
          <w:kern w:val="0"/>
          <w:szCs w:val="21"/>
        </w:rPr>
        <w:t>6.4.2　</w:t>
      </w:r>
      <w:r>
        <w:rPr>
          <w:rFonts w:hint="eastAsia" w:asciiTheme="minorEastAsia" w:hAnsiTheme="minorEastAsia" w:eastAsiaTheme="minorEastAsia" w:cstheme="minorEastAsia"/>
          <w:kern w:val="0"/>
          <w:szCs w:val="21"/>
        </w:rPr>
        <w:t>需裹粉、挂糊、上浆和热处</w:t>
      </w:r>
      <w:r>
        <w:rPr>
          <w:rFonts w:hint="eastAsia" w:eastAsia="宋体"/>
          <w:kern w:val="0"/>
          <w:szCs w:val="21"/>
        </w:rPr>
        <w:t>理的产品操作时应符合GB 31661的规定。</w:t>
      </w:r>
    </w:p>
    <w:p w14:paraId="23C96C7B">
      <w:pPr>
        <w:autoSpaceDE w:val="0"/>
        <w:autoSpaceDN w:val="0"/>
        <w:adjustRightInd w:val="0"/>
        <w:spacing w:before="156" w:beforeLines="50" w:after="156" w:afterLines="50"/>
        <w:jc w:val="left"/>
        <w:rPr>
          <w:rFonts w:ascii="黑体" w:hAnsi="黑体" w:eastAsia="黑体"/>
          <w:kern w:val="0"/>
          <w:szCs w:val="21"/>
        </w:rPr>
      </w:pPr>
      <w:r>
        <w:rPr>
          <w:rFonts w:hint="eastAsia" w:ascii="黑体" w:hAnsi="黑体" w:eastAsia="黑体"/>
          <w:kern w:val="0"/>
          <w:szCs w:val="21"/>
        </w:rPr>
        <w:t>6.5　冷却和冻结</w:t>
      </w:r>
    </w:p>
    <w:p w14:paraId="21689A54">
      <w:pPr>
        <w:pStyle w:val="17"/>
        <w:numPr>
          <w:ilvl w:val="1"/>
          <w:numId w:val="0"/>
        </w:numPr>
        <w:spacing w:before="156" w:beforeLines="50" w:after="156" w:afterLines="50"/>
        <w:rPr>
          <w:rFonts w:ascii="黑体" w:hAnsi="黑体"/>
          <w:szCs w:val="21"/>
        </w:rPr>
      </w:pPr>
      <w:r>
        <w:rPr>
          <w:rFonts w:hint="eastAsia" w:ascii="黑体" w:hAnsi="黑体"/>
          <w:szCs w:val="21"/>
        </w:rPr>
        <w:t>6.5.1　冷藏牛肉调理制品</w:t>
      </w:r>
    </w:p>
    <w:p w14:paraId="397A78D2">
      <w:pPr>
        <w:pStyle w:val="16"/>
        <w:ind w:firstLine="420"/>
        <w:rPr>
          <w:rFonts w:ascii="Times New Roman"/>
          <w:szCs w:val="21"/>
        </w:rPr>
      </w:pPr>
      <w:r>
        <w:rPr>
          <w:rFonts w:hint="eastAsia"/>
        </w:rPr>
        <w:t>生产冷藏牛肉调理制品</w:t>
      </w:r>
      <w:r>
        <w:rPr>
          <w:rFonts w:hint="eastAsia" w:ascii="Times New Roman"/>
          <w:szCs w:val="21"/>
        </w:rPr>
        <w:t>时，应在0℃～4℃环境中冷却处理，产品中心温度应降到4℃及以下。</w:t>
      </w:r>
    </w:p>
    <w:p w14:paraId="7066B5DE">
      <w:pPr>
        <w:pStyle w:val="17"/>
        <w:numPr>
          <w:ilvl w:val="1"/>
          <w:numId w:val="0"/>
        </w:numPr>
        <w:spacing w:before="156" w:beforeLines="50" w:after="156" w:afterLines="50"/>
        <w:rPr>
          <w:rFonts w:ascii="黑体" w:hAnsi="黑体"/>
          <w:szCs w:val="21"/>
        </w:rPr>
      </w:pPr>
      <w:r>
        <w:rPr>
          <w:rFonts w:hint="eastAsia" w:ascii="黑体" w:hAnsi="黑体"/>
          <w:szCs w:val="21"/>
        </w:rPr>
        <w:t>6.5.2　冷冻牛肉调理制品</w:t>
      </w:r>
    </w:p>
    <w:p w14:paraId="7D5D6064">
      <w:pPr>
        <w:pStyle w:val="16"/>
        <w:ind w:firstLine="420"/>
        <w:rPr>
          <w:rFonts w:ascii="Times New Roman"/>
          <w:szCs w:val="21"/>
        </w:rPr>
      </w:pPr>
      <w:r>
        <w:rPr>
          <w:rFonts w:hint="eastAsia"/>
        </w:rPr>
        <w:t>生产冷冻牛肉调理制</w:t>
      </w:r>
      <w:r>
        <w:rPr>
          <w:rFonts w:hint="eastAsia" w:ascii="Times New Roman"/>
          <w:szCs w:val="21"/>
        </w:rPr>
        <w:t>品时</w:t>
      </w:r>
      <w:r>
        <w:rPr>
          <w:rFonts w:ascii="Times New Roman"/>
          <w:szCs w:val="21"/>
        </w:rPr>
        <w:t>，应在-23℃以下环境中冻结处理，产品中心温度应降至-18℃及以下。采用速冻工艺的加工过程还应符合GB 31646的相关规定。</w:t>
      </w:r>
    </w:p>
    <w:p w14:paraId="30CE3AF3">
      <w:pPr>
        <w:pStyle w:val="17"/>
        <w:numPr>
          <w:ilvl w:val="1"/>
          <w:numId w:val="0"/>
        </w:numPr>
        <w:spacing w:before="156" w:beforeLines="50" w:after="156" w:afterLines="50"/>
        <w:rPr>
          <w:rFonts w:ascii="黑体" w:hAnsi="黑体"/>
          <w:szCs w:val="21"/>
        </w:rPr>
      </w:pPr>
      <w:r>
        <w:rPr>
          <w:rFonts w:hint="eastAsia" w:ascii="黑体" w:hAnsi="黑体"/>
          <w:szCs w:val="21"/>
        </w:rPr>
        <w:t>6.6　包装</w:t>
      </w:r>
    </w:p>
    <w:p w14:paraId="3902882D">
      <w:pPr>
        <w:pStyle w:val="17"/>
        <w:numPr>
          <w:ilvl w:val="1"/>
          <w:numId w:val="0"/>
        </w:numPr>
        <w:snapToGrid w:val="0"/>
        <w:rPr>
          <w:rFonts w:eastAsia="宋体"/>
          <w:szCs w:val="21"/>
        </w:rPr>
      </w:pPr>
      <w:r>
        <w:rPr>
          <w:rFonts w:hint="eastAsia" w:ascii="黑体"/>
          <w:szCs w:val="21"/>
        </w:rPr>
        <w:t>6.6.1</w:t>
      </w:r>
      <w:r>
        <w:rPr>
          <w:rFonts w:hint="eastAsia" w:asciiTheme="minorEastAsia" w:hAnsiTheme="minorEastAsia" w:eastAsiaTheme="minorEastAsia" w:cstheme="minorEastAsia"/>
          <w:szCs w:val="21"/>
        </w:rPr>
        <w:t>　应</w:t>
      </w:r>
      <w:r>
        <w:rPr>
          <w:rFonts w:hint="eastAsia" w:eastAsia="宋体"/>
          <w:szCs w:val="21"/>
        </w:rPr>
        <w:t>符合GB 31661的规定。</w:t>
      </w:r>
    </w:p>
    <w:p w14:paraId="230638F9">
      <w:pPr>
        <w:pStyle w:val="17"/>
        <w:numPr>
          <w:ilvl w:val="1"/>
          <w:numId w:val="0"/>
        </w:numPr>
        <w:snapToGrid w:val="0"/>
        <w:rPr>
          <w:rFonts w:asciiTheme="minorEastAsia" w:hAnsiTheme="minorEastAsia" w:eastAsiaTheme="minorEastAsia" w:cstheme="minorEastAsia"/>
          <w:szCs w:val="21"/>
        </w:rPr>
      </w:pPr>
      <w:r>
        <w:rPr>
          <w:rFonts w:hint="eastAsia" w:ascii="黑体"/>
          <w:szCs w:val="21"/>
        </w:rPr>
        <w:t>6.6.2</w:t>
      </w:r>
      <w:r>
        <w:rPr>
          <w:rFonts w:hint="eastAsia" w:asciiTheme="minorEastAsia" w:hAnsiTheme="minorEastAsia" w:eastAsiaTheme="minorEastAsia" w:cstheme="minorEastAsia"/>
          <w:szCs w:val="21"/>
        </w:rPr>
        <w:t>　包装容器与包装材料应符合相关国家标准或行业标准的规定。</w:t>
      </w:r>
    </w:p>
    <w:p w14:paraId="326AFD2E">
      <w:pPr>
        <w:pStyle w:val="17"/>
        <w:numPr>
          <w:ilvl w:val="1"/>
          <w:numId w:val="0"/>
        </w:numPr>
        <w:snapToGrid w:val="0"/>
        <w:rPr>
          <w:rFonts w:asciiTheme="minorEastAsia" w:hAnsiTheme="minorEastAsia" w:eastAsiaTheme="minorEastAsia" w:cstheme="minorEastAsia"/>
          <w:szCs w:val="21"/>
        </w:rPr>
      </w:pPr>
      <w:r>
        <w:rPr>
          <w:rFonts w:hint="eastAsia" w:ascii="黑体"/>
          <w:szCs w:val="21"/>
        </w:rPr>
        <w:t>6.6.3</w:t>
      </w:r>
      <w:r>
        <w:rPr>
          <w:rFonts w:hint="eastAsia" w:asciiTheme="minorEastAsia" w:hAnsiTheme="minorEastAsia" w:eastAsiaTheme="minorEastAsia" w:cstheme="minorEastAsia"/>
          <w:szCs w:val="21"/>
        </w:rPr>
        <w:t>　需进行清洁消毒的包装材料，清洁消毒后应无可见污渍、异味及机械损伤。</w:t>
      </w:r>
    </w:p>
    <w:p w14:paraId="21E596C9">
      <w:pPr>
        <w:pStyle w:val="17"/>
        <w:numPr>
          <w:ilvl w:val="1"/>
          <w:numId w:val="0"/>
        </w:numPr>
        <w:snapToGrid w:val="0"/>
        <w:rPr>
          <w:rFonts w:asciiTheme="minorEastAsia" w:hAnsiTheme="minorEastAsia" w:eastAsiaTheme="minorEastAsia" w:cstheme="minorEastAsia"/>
          <w:szCs w:val="21"/>
        </w:rPr>
      </w:pPr>
      <w:r>
        <w:rPr>
          <w:rFonts w:hint="eastAsia" w:ascii="黑体"/>
          <w:szCs w:val="21"/>
        </w:rPr>
        <w:t>6.6.4</w:t>
      </w:r>
      <w:r>
        <w:rPr>
          <w:rFonts w:hint="eastAsia" w:asciiTheme="minorEastAsia" w:hAnsiTheme="minorEastAsia" w:eastAsiaTheme="minorEastAsia" w:cstheme="minorEastAsia"/>
          <w:szCs w:val="21"/>
        </w:rPr>
        <w:t>　包装应完整，无损坏，无污染。</w:t>
      </w:r>
    </w:p>
    <w:p w14:paraId="7576C4E9">
      <w:pPr>
        <w:pStyle w:val="15"/>
        <w:numPr>
          <w:ilvl w:val="0"/>
          <w:numId w:val="2"/>
        </w:numPr>
        <w:spacing w:before="312" w:beforeLines="100" w:after="312" w:afterLines="100"/>
        <w:outlineLvl w:val="0"/>
        <w:rPr>
          <w:rFonts w:ascii="Times New Roman"/>
          <w:szCs w:val="21"/>
        </w:rPr>
      </w:pPr>
      <w:r>
        <w:rPr>
          <w:rFonts w:hint="eastAsia" w:ascii="Times New Roman"/>
          <w:szCs w:val="21"/>
        </w:rPr>
        <w:t>标签、标志、贮存、运输和销售</w:t>
      </w:r>
    </w:p>
    <w:p w14:paraId="753D3858">
      <w:pPr>
        <w:pStyle w:val="17"/>
        <w:numPr>
          <w:ilvl w:val="1"/>
          <w:numId w:val="0"/>
        </w:numPr>
        <w:spacing w:before="156" w:beforeLines="50" w:after="156" w:afterLines="50"/>
        <w:rPr>
          <w:rFonts w:ascii="黑体" w:hAnsi="黑体"/>
          <w:szCs w:val="21"/>
        </w:rPr>
      </w:pPr>
      <w:r>
        <w:rPr>
          <w:rFonts w:hint="eastAsia" w:ascii="黑体" w:hAnsi="黑体"/>
          <w:szCs w:val="21"/>
        </w:rPr>
        <w:t>7.1　标签与标志</w:t>
      </w:r>
    </w:p>
    <w:p w14:paraId="7723A1D6">
      <w:pPr>
        <w:pStyle w:val="17"/>
        <w:numPr>
          <w:ilvl w:val="1"/>
          <w:numId w:val="0"/>
        </w:numPr>
        <w:snapToGrid w:val="0"/>
        <w:rPr>
          <w:rFonts w:eastAsia="宋体"/>
          <w:szCs w:val="21"/>
        </w:rPr>
      </w:pPr>
      <w:r>
        <w:rPr>
          <w:rFonts w:hint="eastAsia" w:ascii="黑体"/>
          <w:szCs w:val="21"/>
        </w:rPr>
        <w:t>7.1.1　</w:t>
      </w:r>
      <w:r>
        <w:rPr>
          <w:rFonts w:hint="eastAsia" w:asciiTheme="minorEastAsia" w:hAnsiTheme="minorEastAsia" w:eastAsiaTheme="minorEastAsia" w:cstheme="minorEastAsia"/>
          <w:szCs w:val="21"/>
        </w:rPr>
        <w:t>产品标</w:t>
      </w:r>
      <w:r>
        <w:rPr>
          <w:rFonts w:hint="eastAsia" w:eastAsia="宋体"/>
          <w:szCs w:val="21"/>
        </w:rPr>
        <w:t>签应符合GB 7718和GB 28050的规定。</w:t>
      </w:r>
    </w:p>
    <w:p w14:paraId="1120843F">
      <w:pPr>
        <w:pStyle w:val="17"/>
        <w:numPr>
          <w:ilvl w:val="1"/>
          <w:numId w:val="0"/>
        </w:numPr>
        <w:snapToGrid w:val="0"/>
        <w:rPr>
          <w:rFonts w:asciiTheme="minorEastAsia" w:hAnsiTheme="minorEastAsia" w:eastAsiaTheme="minorEastAsia" w:cstheme="minorEastAsia"/>
          <w:szCs w:val="21"/>
        </w:rPr>
      </w:pPr>
      <w:r>
        <w:rPr>
          <w:rFonts w:hint="eastAsia" w:ascii="黑体"/>
          <w:szCs w:val="21"/>
        </w:rPr>
        <w:t>7.1.2</w:t>
      </w:r>
      <w:r>
        <w:rPr>
          <w:rFonts w:hint="eastAsia" w:asciiTheme="minorEastAsia" w:hAnsiTheme="minorEastAsia" w:eastAsiaTheme="minorEastAsia" w:cstheme="minorEastAsia"/>
          <w:szCs w:val="21"/>
        </w:rPr>
        <w:t>　包装储运图</w:t>
      </w:r>
      <w:r>
        <w:rPr>
          <w:rFonts w:hint="eastAsia" w:eastAsia="宋体"/>
          <w:szCs w:val="21"/>
        </w:rPr>
        <w:t>示标志应符合GB/T 191和GB/T 6388的规定。获准</w:t>
      </w:r>
      <w:r>
        <w:rPr>
          <w:rFonts w:hint="eastAsia" w:asciiTheme="minorEastAsia" w:hAnsiTheme="minorEastAsia" w:eastAsiaTheme="minorEastAsia" w:cstheme="minorEastAsia"/>
          <w:szCs w:val="21"/>
        </w:rPr>
        <w:t>使用地理标志产品专用标志的生产者，应按《地理标志专用标志使用管理办法（试行）》的规定在其产品上使用防伪专用标志。</w:t>
      </w:r>
    </w:p>
    <w:p w14:paraId="7B093815">
      <w:pPr>
        <w:pStyle w:val="17"/>
        <w:numPr>
          <w:ilvl w:val="1"/>
          <w:numId w:val="0"/>
        </w:numPr>
        <w:spacing w:before="156" w:beforeLines="50" w:after="156" w:afterLines="50"/>
        <w:rPr>
          <w:rFonts w:ascii="黑体" w:hAnsi="黑体"/>
          <w:szCs w:val="21"/>
        </w:rPr>
      </w:pPr>
      <w:r>
        <w:rPr>
          <w:rFonts w:hint="eastAsia" w:ascii="黑体" w:hAnsi="黑体"/>
          <w:szCs w:val="21"/>
        </w:rPr>
        <w:t>7.2　贮存</w:t>
      </w:r>
    </w:p>
    <w:p w14:paraId="1E0BF7C3">
      <w:pPr>
        <w:pStyle w:val="17"/>
        <w:numPr>
          <w:ilvl w:val="1"/>
          <w:numId w:val="0"/>
        </w:numPr>
        <w:snapToGrid w:val="0"/>
        <w:rPr>
          <w:rFonts w:ascii="黑体" w:eastAsia="宋体"/>
          <w:szCs w:val="21"/>
        </w:rPr>
      </w:pPr>
      <w:r>
        <w:rPr>
          <w:rFonts w:hint="eastAsia" w:ascii="黑体" w:eastAsia="宋体"/>
          <w:szCs w:val="21"/>
        </w:rPr>
        <w:t>7.2.1　应符合GB14881、GB31621的相关规定。</w:t>
      </w:r>
    </w:p>
    <w:p w14:paraId="25EDE372">
      <w:pPr>
        <w:pStyle w:val="17"/>
        <w:numPr>
          <w:ilvl w:val="1"/>
          <w:numId w:val="0"/>
        </w:numPr>
        <w:snapToGrid w:val="0"/>
        <w:rPr>
          <w:rFonts w:ascii="黑体" w:eastAsia="宋体"/>
          <w:szCs w:val="21"/>
        </w:rPr>
      </w:pPr>
      <w:r>
        <w:rPr>
          <w:rFonts w:hint="eastAsia" w:ascii="黑体" w:eastAsia="宋体"/>
          <w:szCs w:val="21"/>
        </w:rPr>
        <w:t>7.2.</w:t>
      </w:r>
      <w:r>
        <w:rPr>
          <w:rFonts w:ascii="黑体" w:eastAsia="宋体"/>
          <w:szCs w:val="21"/>
        </w:rPr>
        <w:t>2</w:t>
      </w:r>
      <w:r>
        <w:rPr>
          <w:rFonts w:hint="eastAsia" w:ascii="黑体" w:eastAsia="宋体"/>
          <w:szCs w:val="21"/>
        </w:rPr>
        <w:t>　冷藏调理制品应</w:t>
      </w:r>
      <w:r>
        <w:rPr>
          <w:rFonts w:eastAsia="宋体"/>
          <w:szCs w:val="21"/>
        </w:rPr>
        <w:t>在0℃～4℃储存库贮存，冷冻调理制品应在不高于-18℃的储存库贮存</w:t>
      </w:r>
      <w:r>
        <w:rPr>
          <w:rFonts w:hint="eastAsia" w:ascii="黑体" w:eastAsia="宋体"/>
          <w:szCs w:val="21"/>
        </w:rPr>
        <w:t>。</w:t>
      </w:r>
    </w:p>
    <w:p w14:paraId="2659909A">
      <w:pPr>
        <w:pStyle w:val="17"/>
        <w:numPr>
          <w:ilvl w:val="1"/>
          <w:numId w:val="0"/>
        </w:numPr>
        <w:snapToGrid w:val="0"/>
        <w:rPr>
          <w:rFonts w:eastAsia="宋体"/>
          <w:szCs w:val="21"/>
        </w:rPr>
      </w:pPr>
      <w:r>
        <w:rPr>
          <w:rFonts w:hint="eastAsia" w:ascii="黑体" w:eastAsia="宋体"/>
          <w:szCs w:val="21"/>
        </w:rPr>
        <w:t>7.2.</w:t>
      </w:r>
      <w:r>
        <w:rPr>
          <w:rFonts w:ascii="黑体" w:eastAsia="宋体"/>
          <w:szCs w:val="21"/>
        </w:rPr>
        <w:t>3</w:t>
      </w:r>
      <w:r>
        <w:rPr>
          <w:rFonts w:hint="eastAsia" w:ascii="黑体" w:eastAsia="宋体"/>
          <w:szCs w:val="21"/>
        </w:rPr>
        <w:t>　不同类</w:t>
      </w:r>
      <w:r>
        <w:rPr>
          <w:rFonts w:hint="eastAsia" w:eastAsia="宋体"/>
          <w:szCs w:val="21"/>
        </w:rPr>
        <w:t>别、批次、规格的调理肉制品应分区堆垛码放，垛与垛之间应有1m以上的通道，堆垛与墙壁和地面应保持适当距离。</w:t>
      </w:r>
    </w:p>
    <w:p w14:paraId="7CD67679">
      <w:pPr>
        <w:pStyle w:val="17"/>
        <w:numPr>
          <w:ilvl w:val="1"/>
          <w:numId w:val="0"/>
        </w:numPr>
        <w:snapToGrid w:val="0"/>
        <w:rPr>
          <w:rFonts w:ascii="黑体" w:eastAsia="宋体"/>
          <w:szCs w:val="21"/>
        </w:rPr>
      </w:pPr>
      <w:r>
        <w:rPr>
          <w:rFonts w:hint="eastAsia" w:ascii="黑体" w:eastAsia="宋体"/>
          <w:szCs w:val="21"/>
        </w:rPr>
        <w:t>7.2.</w:t>
      </w:r>
      <w:r>
        <w:rPr>
          <w:rFonts w:ascii="黑体" w:eastAsia="宋体"/>
          <w:szCs w:val="21"/>
        </w:rPr>
        <w:t>4</w:t>
      </w:r>
      <w:r>
        <w:rPr>
          <w:rFonts w:hint="eastAsia" w:ascii="黑体" w:eastAsia="宋体"/>
          <w:szCs w:val="21"/>
        </w:rPr>
        <w:t>　应不定期检查堆垛底部及靠墙区域，防止因变形或位移导致距离不足。</w:t>
      </w:r>
    </w:p>
    <w:p w14:paraId="272D4018">
      <w:pPr>
        <w:pStyle w:val="17"/>
        <w:numPr>
          <w:ilvl w:val="1"/>
          <w:numId w:val="0"/>
        </w:numPr>
        <w:snapToGrid w:val="0"/>
        <w:rPr>
          <w:rFonts w:ascii="黑体" w:eastAsia="宋体"/>
          <w:szCs w:val="21"/>
        </w:rPr>
      </w:pPr>
      <w:r>
        <w:rPr>
          <w:rFonts w:hint="eastAsia" w:ascii="黑体" w:eastAsia="宋体"/>
          <w:szCs w:val="21"/>
        </w:rPr>
        <w:t>7.2.</w:t>
      </w:r>
      <w:r>
        <w:rPr>
          <w:rFonts w:ascii="黑体" w:eastAsia="宋体"/>
          <w:szCs w:val="21"/>
        </w:rPr>
        <w:t>5</w:t>
      </w:r>
      <w:r>
        <w:rPr>
          <w:rFonts w:hint="eastAsia" w:ascii="黑体" w:eastAsia="宋体"/>
          <w:szCs w:val="21"/>
        </w:rPr>
        <w:t>　贮存时应包装完整，不破不漏，避免有毒物质污染。</w:t>
      </w:r>
    </w:p>
    <w:p w14:paraId="07FF89E5">
      <w:pPr>
        <w:pStyle w:val="17"/>
        <w:numPr>
          <w:ilvl w:val="1"/>
          <w:numId w:val="0"/>
        </w:numPr>
        <w:spacing w:before="156" w:beforeLines="50" w:after="156" w:afterLines="50"/>
        <w:rPr>
          <w:rFonts w:ascii="黑体" w:hAnsi="黑体"/>
          <w:szCs w:val="21"/>
        </w:rPr>
      </w:pPr>
      <w:r>
        <w:rPr>
          <w:rFonts w:hint="eastAsia" w:ascii="黑体" w:hAnsi="黑体"/>
          <w:szCs w:val="21"/>
        </w:rPr>
        <w:t>7.3　运输</w:t>
      </w:r>
    </w:p>
    <w:p w14:paraId="01D79CE0">
      <w:pPr>
        <w:pStyle w:val="17"/>
        <w:numPr>
          <w:ilvl w:val="1"/>
          <w:numId w:val="0"/>
        </w:numPr>
        <w:snapToGrid w:val="0"/>
        <w:rPr>
          <w:rFonts w:eastAsia="宋体"/>
          <w:szCs w:val="21"/>
        </w:rPr>
      </w:pPr>
      <w:r>
        <w:rPr>
          <w:rFonts w:hint="eastAsia" w:ascii="黑体" w:eastAsia="宋体"/>
          <w:szCs w:val="21"/>
        </w:rPr>
        <w:t>7.3.1　应符合</w:t>
      </w:r>
      <w:r>
        <w:rPr>
          <w:rFonts w:hint="eastAsia" w:eastAsia="宋体"/>
          <w:szCs w:val="21"/>
        </w:rPr>
        <w:t>GB14881、GB 31605、GB31621</w:t>
      </w:r>
      <w:r>
        <w:rPr>
          <w:rFonts w:eastAsia="宋体"/>
          <w:szCs w:val="21"/>
        </w:rPr>
        <w:t>的相关规定。</w:t>
      </w:r>
    </w:p>
    <w:p w14:paraId="02E64164">
      <w:pPr>
        <w:pStyle w:val="17"/>
        <w:numPr>
          <w:ilvl w:val="1"/>
          <w:numId w:val="0"/>
        </w:numPr>
        <w:snapToGrid w:val="0"/>
        <w:rPr>
          <w:rFonts w:eastAsia="宋体"/>
          <w:szCs w:val="21"/>
        </w:rPr>
      </w:pPr>
      <w:r>
        <w:rPr>
          <w:rFonts w:hint="eastAsia" w:ascii="黑体" w:eastAsia="宋体"/>
          <w:szCs w:val="21"/>
        </w:rPr>
        <w:t>7.3.2　运输冷藏调理</w:t>
      </w:r>
      <w:r>
        <w:rPr>
          <w:rFonts w:hint="eastAsia" w:eastAsia="宋体"/>
          <w:szCs w:val="21"/>
        </w:rPr>
        <w:t>制品时，运输工具内部温度应控制在0℃～4℃，运输冷冻调理制品时，运输工具内部温度应不高于-18℃。</w:t>
      </w:r>
    </w:p>
    <w:p w14:paraId="5F58DCB0">
      <w:pPr>
        <w:pStyle w:val="17"/>
        <w:numPr>
          <w:ilvl w:val="1"/>
          <w:numId w:val="0"/>
        </w:numPr>
        <w:snapToGrid w:val="0"/>
        <w:rPr>
          <w:rFonts w:eastAsia="宋体"/>
          <w:szCs w:val="21"/>
        </w:rPr>
      </w:pPr>
      <w:r>
        <w:rPr>
          <w:rFonts w:hint="eastAsia" w:ascii="黑体" w:eastAsia="宋体"/>
          <w:szCs w:val="21"/>
        </w:rPr>
        <w:t>7.3.3　应严格控制装卸作业时间，装卸过程中产品温度升高幅</w:t>
      </w:r>
      <w:r>
        <w:rPr>
          <w:rFonts w:hint="eastAsia" w:eastAsia="宋体"/>
          <w:szCs w:val="21"/>
        </w:rPr>
        <w:t>度不应超过3℃。</w:t>
      </w:r>
    </w:p>
    <w:p w14:paraId="3453FEC2">
      <w:pPr>
        <w:pStyle w:val="17"/>
        <w:numPr>
          <w:ilvl w:val="1"/>
          <w:numId w:val="0"/>
        </w:numPr>
        <w:spacing w:before="156" w:beforeLines="50" w:after="156" w:afterLines="50"/>
        <w:rPr>
          <w:rFonts w:ascii="黑体" w:hAnsi="黑体"/>
          <w:szCs w:val="21"/>
        </w:rPr>
      </w:pPr>
      <w:r>
        <w:rPr>
          <w:rFonts w:hint="eastAsia" w:ascii="黑体" w:hAnsi="黑体"/>
          <w:szCs w:val="21"/>
        </w:rPr>
        <w:t>7.4　销售</w:t>
      </w:r>
    </w:p>
    <w:p w14:paraId="0E087228">
      <w:pPr>
        <w:pStyle w:val="16"/>
        <w:ind w:firstLine="420"/>
        <w:rPr>
          <w:rFonts w:ascii="Times New Roman"/>
        </w:rPr>
      </w:pPr>
      <w:r>
        <w:rPr>
          <w:rFonts w:hint="eastAsia"/>
        </w:rPr>
        <w:t>应符</w:t>
      </w:r>
      <w:r>
        <w:rPr>
          <w:rFonts w:hint="eastAsia" w:ascii="Times New Roman"/>
          <w:szCs w:val="21"/>
        </w:rPr>
        <w:t>合GB 20799的相关</w:t>
      </w:r>
      <w:r>
        <w:rPr>
          <w:rFonts w:hint="eastAsia"/>
        </w:rPr>
        <w:t>规定。</w:t>
      </w:r>
      <w:bookmarkStart w:id="59" w:name="_Toc22135279"/>
    </w:p>
    <w:bookmarkEnd w:id="53"/>
    <w:bookmarkEnd w:id="54"/>
    <w:bookmarkEnd w:id="55"/>
    <w:bookmarkEnd w:id="56"/>
    <w:bookmarkEnd w:id="57"/>
    <w:bookmarkEnd w:id="58"/>
    <w:bookmarkEnd w:id="59"/>
    <w:p w14:paraId="34F936BC">
      <w:pPr>
        <w:rPr>
          <w:rFonts w:ascii="黑体" w:hAnsi="黑体" w:eastAsia="黑体" w:cs="黑体"/>
          <w:color w:val="000000"/>
          <w:szCs w:val="21"/>
          <w:lang w:bidi="zh-TW"/>
        </w:rPr>
      </w:pPr>
      <w:r>
        <w:rPr>
          <w:rFonts w:hint="eastAsia" w:ascii="黑体" w:hAnsi="黑体" w:eastAsia="黑体" w:cs="黑体"/>
          <w:color w:val="000000"/>
          <w:szCs w:val="21"/>
          <w:lang w:bidi="zh-TW"/>
        </w:rPr>
        <w:br w:type="page"/>
      </w:r>
    </w:p>
    <w:p w14:paraId="049C3916">
      <w:pPr>
        <w:pStyle w:val="16"/>
        <w:tabs>
          <w:tab w:val="center" w:pos="4201"/>
          <w:tab w:val="right" w:leader="dot" w:pos="9298"/>
        </w:tabs>
        <w:adjustRightInd w:val="0"/>
        <w:snapToGrid w:val="0"/>
        <w:spacing w:before="850" w:after="283"/>
        <w:jc w:val="center"/>
        <w:outlineLvl w:val="7"/>
        <w:rPr>
          <w:rFonts w:ascii="Times New Roman" w:eastAsia="黑体"/>
        </w:rPr>
      </w:pPr>
      <w:r>
        <w:rPr>
          <w:rFonts w:hint="eastAsia" w:ascii="Times New Roman" w:eastAsia="黑体"/>
        </w:rPr>
        <w:t>参 考 文 献</w:t>
      </w:r>
    </w:p>
    <w:p w14:paraId="1BEF186C">
      <w:pPr>
        <w:pStyle w:val="16"/>
        <w:numPr>
          <w:ilvl w:val="0"/>
          <w:numId w:val="3"/>
        </w:numPr>
        <w:tabs>
          <w:tab w:val="center" w:pos="4201"/>
          <w:tab w:val="right" w:leader="dot" w:pos="9298"/>
        </w:tabs>
        <w:ind w:firstLine="420" w:firstLineChars="200"/>
        <w:rPr>
          <w:rFonts w:ascii="Times New Roman"/>
        </w:rPr>
      </w:pPr>
      <w:r>
        <w:rPr>
          <w:rFonts w:ascii="Times New Roman"/>
        </w:rPr>
        <w:t>地理标志专用标志使用管理办法</w:t>
      </w:r>
      <w:r>
        <w:rPr>
          <w:rFonts w:hint="eastAsia" w:ascii="Times New Roman"/>
        </w:rPr>
        <w:t>（试行）</w:t>
      </w:r>
      <w:r>
        <w:rPr>
          <w:rFonts w:ascii="Times New Roman"/>
        </w:rPr>
        <w:t>（国家知识产权局公告第354号）</w:t>
      </w:r>
    </w:p>
    <w:p w14:paraId="3EA18B70">
      <w:pPr>
        <w:pStyle w:val="16"/>
        <w:rPr>
          <w:rFonts w:eastAsiaTheme="minorEastAsia"/>
        </w:rPr>
      </w:pPr>
    </w:p>
    <w:p w14:paraId="15127397">
      <w:pPr>
        <w:pStyle w:val="16"/>
        <w:rPr>
          <w:rFonts w:eastAsiaTheme="minorEastAsia"/>
        </w:rPr>
      </w:pPr>
    </w:p>
    <w:p w14:paraId="6950FB26">
      <w:pPr>
        <w:pStyle w:val="16"/>
        <w:rPr>
          <w:rFonts w:eastAsiaTheme="minorEastAsia"/>
        </w:rPr>
      </w:pPr>
    </w:p>
    <w:p w14:paraId="73D2AA5E">
      <w:pPr>
        <w:pStyle w:val="24"/>
        <w:framePr w:hSpace="0" w:vSpace="0" w:wrap="auto" w:vAnchor="margin" w:hAnchor="text" w:xAlign="left" w:yAlign="inline"/>
        <w:ind w:left="420"/>
        <w:jc w:val="center"/>
      </w:pPr>
      <w:r>
        <w:t>_________________________________</w:t>
      </w:r>
    </w:p>
    <w:p w14:paraId="680C36D1">
      <w:pPr>
        <w:pStyle w:val="16"/>
        <w:rPr>
          <w:rFonts w:eastAsiaTheme="minorEastAsia"/>
        </w:rPr>
      </w:pPr>
    </w:p>
    <w:p w14:paraId="676CCA39">
      <w:pPr>
        <w:pStyle w:val="16"/>
        <w:rPr>
          <w:rFonts w:eastAsiaTheme="minorEastAsia"/>
        </w:rPr>
      </w:pPr>
    </w:p>
    <w:p w14:paraId="2591E681">
      <w:pPr>
        <w:pStyle w:val="16"/>
        <w:rPr>
          <w:rFonts w:eastAsiaTheme="minorEastAsia"/>
        </w:rPr>
      </w:pPr>
    </w:p>
    <w:p w14:paraId="2EA12F79">
      <w:pPr>
        <w:pStyle w:val="16"/>
        <w:rPr>
          <w:rFonts w:eastAsiaTheme="minorEastAsia"/>
        </w:rPr>
      </w:pPr>
    </w:p>
    <w:p w14:paraId="38030AA7">
      <w:pPr>
        <w:pStyle w:val="16"/>
        <w:rPr>
          <w:rFonts w:ascii="Times New Roman"/>
        </w:rPr>
      </w:pPr>
    </w:p>
    <w:p w14:paraId="197245E1"/>
    <w:sectPr>
      <w:footerReference r:id="rId9" w:type="default"/>
      <w:pgSz w:w="11906" w:h="16838"/>
      <w:pgMar w:top="1417" w:right="1417" w:bottom="1417" w:left="1417" w:header="1417" w:footer="1134"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12D1D">
    <w:pPr>
      <w:pStyle w:val="34"/>
      <w:jc w:val="center"/>
      <w:rPr>
        <w:rStyle w:val="1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A44E0">
                          <w:pPr>
                            <w:pStyle w:val="34"/>
                            <w:jc w:val="cente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61EA44E0">
                    <w:pPr>
                      <w:pStyle w:val="34"/>
                      <w:jc w:val="cente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1CBC9">
    <w:pPr>
      <w:pStyle w:val="4"/>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14:paraId="4431E3C7">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8F81A">
    <w:pPr>
      <w:pStyle w:val="34"/>
      <w:jc w:val="both"/>
      <w:rPr>
        <w:rStyle w:val="1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1EFEF">
                          <w:pPr>
                            <w:pStyle w:val="34"/>
                            <w:jc w:val="center"/>
                          </w:pPr>
                          <w:r>
                            <w:rPr>
                              <w:rStyle w:val="11"/>
                            </w:rPr>
                            <w:fldChar w:fldCharType="begin"/>
                          </w:r>
                          <w:r>
                            <w:rPr>
                              <w:rStyle w:val="11"/>
                            </w:rPr>
                            <w:instrText xml:space="preserve">PAGE  </w:instrText>
                          </w:r>
                          <w:r>
                            <w:rPr>
                              <w:rStyle w:val="11"/>
                            </w:rPr>
                            <w:fldChar w:fldCharType="separate"/>
                          </w:r>
                          <w:r>
                            <w:rPr>
                              <w:rStyle w:val="11"/>
                            </w:rPr>
                            <w:t>I</w:t>
                          </w:r>
                          <w:r>
                            <w:rPr>
                              <w:rStyle w:val="1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A21EFEF">
                    <w:pPr>
                      <w:pStyle w:val="34"/>
                      <w:jc w:val="center"/>
                    </w:pPr>
                    <w:r>
                      <w:rPr>
                        <w:rStyle w:val="11"/>
                      </w:rPr>
                      <w:fldChar w:fldCharType="begin"/>
                    </w:r>
                    <w:r>
                      <w:rPr>
                        <w:rStyle w:val="11"/>
                      </w:rPr>
                      <w:instrText xml:space="preserve">PAGE  </w:instrText>
                    </w:r>
                    <w:r>
                      <w:rPr>
                        <w:rStyle w:val="11"/>
                      </w:rPr>
                      <w:fldChar w:fldCharType="separate"/>
                    </w:r>
                    <w:r>
                      <w:rPr>
                        <w:rStyle w:val="11"/>
                      </w:rPr>
                      <w:t>I</w:t>
                    </w:r>
                    <w:r>
                      <w:rPr>
                        <w:rStyle w:val="1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19173">
    <w:pPr>
      <w:pStyle w:val="34"/>
      <w:jc w:val="center"/>
      <w:rPr>
        <w:rStyle w:val="1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88DFA5">
                          <w:pPr>
                            <w:pStyle w:val="34"/>
                            <w:jc w:val="cente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F88DFA5">
                    <w:pPr>
                      <w:pStyle w:val="34"/>
                      <w:jc w:val="cente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C7D3F">
    <w:pPr>
      <w:pStyle w:val="32"/>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CEBF0">
    <w:pPr>
      <w:pStyle w:val="33"/>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C22E5">
    <w:pPr>
      <w:pStyle w:val="28"/>
      <w:snapToGrid w:val="0"/>
      <w:spacing w:before="120" w:beforeLines="50"/>
      <w:ind w:left="1277"/>
      <w:rPr>
        <w:rFonts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3D2DD"/>
    <w:multiLevelType w:val="multilevel"/>
    <w:tmpl w:val="F6D3D2DD"/>
    <w:lvl w:ilvl="0" w:tentative="0">
      <w:start w:val="1"/>
      <w:numFmt w:val="decimal"/>
      <w:lvlText w:val="%1  "/>
      <w:lvlJc w:val="left"/>
      <w:pPr>
        <w:ind w:left="360" w:hanging="360"/>
      </w:pPr>
      <w:rPr>
        <w:rFonts w:hint="default"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1B6FFC"/>
    <w:multiLevelType w:val="singleLevel"/>
    <w:tmpl w:val="331B6FFC"/>
    <w:lvl w:ilvl="0" w:tentative="0">
      <w:start w:val="1"/>
      <w:numFmt w:val="decimal"/>
      <w:suff w:val="space"/>
      <w:lvlText w:val="[%1]"/>
      <w:lvlJc w:val="left"/>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3"/>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5"/>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ZjhlOTNmMGVjZTM1NjEyOGFmNGVmOTdiM2MyZjQifQ=="/>
  </w:docVars>
  <w:rsids>
    <w:rsidRoot w:val="715F158B"/>
    <w:rsid w:val="00005402"/>
    <w:rsid w:val="00067836"/>
    <w:rsid w:val="000B5867"/>
    <w:rsid w:val="000C60CA"/>
    <w:rsid w:val="00101AE9"/>
    <w:rsid w:val="001104C2"/>
    <w:rsid w:val="001D4965"/>
    <w:rsid w:val="002410F1"/>
    <w:rsid w:val="002B1097"/>
    <w:rsid w:val="002D040F"/>
    <w:rsid w:val="003A27AD"/>
    <w:rsid w:val="004407FE"/>
    <w:rsid w:val="00482A8A"/>
    <w:rsid w:val="005020D4"/>
    <w:rsid w:val="005654BA"/>
    <w:rsid w:val="005751A2"/>
    <w:rsid w:val="005D4DD9"/>
    <w:rsid w:val="00671FB5"/>
    <w:rsid w:val="00691BBE"/>
    <w:rsid w:val="00724409"/>
    <w:rsid w:val="0074375F"/>
    <w:rsid w:val="00785895"/>
    <w:rsid w:val="007958E0"/>
    <w:rsid w:val="007C3A87"/>
    <w:rsid w:val="00801551"/>
    <w:rsid w:val="00814795"/>
    <w:rsid w:val="008379CB"/>
    <w:rsid w:val="008975C9"/>
    <w:rsid w:val="008D2DFB"/>
    <w:rsid w:val="009603FF"/>
    <w:rsid w:val="00A110F5"/>
    <w:rsid w:val="00A4112D"/>
    <w:rsid w:val="00A66A08"/>
    <w:rsid w:val="00A823A7"/>
    <w:rsid w:val="00B81960"/>
    <w:rsid w:val="00B905AD"/>
    <w:rsid w:val="00B965A1"/>
    <w:rsid w:val="00BA1A55"/>
    <w:rsid w:val="00BC3A1F"/>
    <w:rsid w:val="00C64E5A"/>
    <w:rsid w:val="00C748FC"/>
    <w:rsid w:val="00D155FC"/>
    <w:rsid w:val="00E010A2"/>
    <w:rsid w:val="00E57BDB"/>
    <w:rsid w:val="00EF364B"/>
    <w:rsid w:val="00F07644"/>
    <w:rsid w:val="010333FC"/>
    <w:rsid w:val="0135355E"/>
    <w:rsid w:val="013D4AEA"/>
    <w:rsid w:val="014310EE"/>
    <w:rsid w:val="014E16ED"/>
    <w:rsid w:val="0179546C"/>
    <w:rsid w:val="01922938"/>
    <w:rsid w:val="01A73D87"/>
    <w:rsid w:val="01C26E13"/>
    <w:rsid w:val="01CC7C92"/>
    <w:rsid w:val="01CF32DE"/>
    <w:rsid w:val="01F30184"/>
    <w:rsid w:val="022B6EA3"/>
    <w:rsid w:val="0250441F"/>
    <w:rsid w:val="02647ECA"/>
    <w:rsid w:val="0284056C"/>
    <w:rsid w:val="0297204E"/>
    <w:rsid w:val="02B06959"/>
    <w:rsid w:val="02B50726"/>
    <w:rsid w:val="02B61FAF"/>
    <w:rsid w:val="02DF57A3"/>
    <w:rsid w:val="02E06711"/>
    <w:rsid w:val="031511C4"/>
    <w:rsid w:val="031A67DB"/>
    <w:rsid w:val="032C298F"/>
    <w:rsid w:val="033E6633"/>
    <w:rsid w:val="03414E95"/>
    <w:rsid w:val="035179D4"/>
    <w:rsid w:val="0357490B"/>
    <w:rsid w:val="03936CB9"/>
    <w:rsid w:val="03B52E7E"/>
    <w:rsid w:val="03C50E3C"/>
    <w:rsid w:val="03EF1A15"/>
    <w:rsid w:val="03EF7C67"/>
    <w:rsid w:val="04185410"/>
    <w:rsid w:val="04294F27"/>
    <w:rsid w:val="0431202E"/>
    <w:rsid w:val="04612DAB"/>
    <w:rsid w:val="046248DD"/>
    <w:rsid w:val="04714FAC"/>
    <w:rsid w:val="047C20F3"/>
    <w:rsid w:val="04D05CEB"/>
    <w:rsid w:val="04D8694E"/>
    <w:rsid w:val="04F23586"/>
    <w:rsid w:val="052B1173"/>
    <w:rsid w:val="052F2A11"/>
    <w:rsid w:val="0539563E"/>
    <w:rsid w:val="053B0A84"/>
    <w:rsid w:val="055C757F"/>
    <w:rsid w:val="059B24B4"/>
    <w:rsid w:val="05B31193"/>
    <w:rsid w:val="05B64EE1"/>
    <w:rsid w:val="05E57574"/>
    <w:rsid w:val="05F72E03"/>
    <w:rsid w:val="060A6FDB"/>
    <w:rsid w:val="061739B6"/>
    <w:rsid w:val="062A4F87"/>
    <w:rsid w:val="064424ED"/>
    <w:rsid w:val="06451DC1"/>
    <w:rsid w:val="06587AD7"/>
    <w:rsid w:val="06764EFD"/>
    <w:rsid w:val="067F1777"/>
    <w:rsid w:val="069778EF"/>
    <w:rsid w:val="06B8277C"/>
    <w:rsid w:val="06E54213"/>
    <w:rsid w:val="06EF2D4C"/>
    <w:rsid w:val="06F53DF8"/>
    <w:rsid w:val="06FD269B"/>
    <w:rsid w:val="070457D8"/>
    <w:rsid w:val="07117EF5"/>
    <w:rsid w:val="071E65E4"/>
    <w:rsid w:val="073A1CDE"/>
    <w:rsid w:val="0748600C"/>
    <w:rsid w:val="07832BA1"/>
    <w:rsid w:val="0786131B"/>
    <w:rsid w:val="07C338E5"/>
    <w:rsid w:val="07DD49A7"/>
    <w:rsid w:val="07EF0236"/>
    <w:rsid w:val="08013015"/>
    <w:rsid w:val="08017F69"/>
    <w:rsid w:val="080A32C2"/>
    <w:rsid w:val="080C528C"/>
    <w:rsid w:val="080D690E"/>
    <w:rsid w:val="082C148A"/>
    <w:rsid w:val="083D5469"/>
    <w:rsid w:val="0842480A"/>
    <w:rsid w:val="084F33CB"/>
    <w:rsid w:val="0878022B"/>
    <w:rsid w:val="087F5A5E"/>
    <w:rsid w:val="08856DEC"/>
    <w:rsid w:val="089805D5"/>
    <w:rsid w:val="08B1198F"/>
    <w:rsid w:val="08BB1CB7"/>
    <w:rsid w:val="08BC62FE"/>
    <w:rsid w:val="08BE0B98"/>
    <w:rsid w:val="08C72F61"/>
    <w:rsid w:val="08F33D56"/>
    <w:rsid w:val="08FB2C0B"/>
    <w:rsid w:val="090C4E18"/>
    <w:rsid w:val="09175544"/>
    <w:rsid w:val="093E2196"/>
    <w:rsid w:val="09620BB9"/>
    <w:rsid w:val="09622C8A"/>
    <w:rsid w:val="097A0448"/>
    <w:rsid w:val="09882DBF"/>
    <w:rsid w:val="098F1CD1"/>
    <w:rsid w:val="099077F7"/>
    <w:rsid w:val="09D21BBD"/>
    <w:rsid w:val="09E42E0C"/>
    <w:rsid w:val="0A03446D"/>
    <w:rsid w:val="0A33204C"/>
    <w:rsid w:val="0A432ABB"/>
    <w:rsid w:val="0A482F82"/>
    <w:rsid w:val="0A5151D8"/>
    <w:rsid w:val="0A530D4E"/>
    <w:rsid w:val="0A6A21BF"/>
    <w:rsid w:val="0A717628"/>
    <w:rsid w:val="0A801619"/>
    <w:rsid w:val="0AA35401"/>
    <w:rsid w:val="0AAA48E8"/>
    <w:rsid w:val="0AB2168A"/>
    <w:rsid w:val="0AB44578"/>
    <w:rsid w:val="0AD428F5"/>
    <w:rsid w:val="0AE222D4"/>
    <w:rsid w:val="0AF344E1"/>
    <w:rsid w:val="0B04224A"/>
    <w:rsid w:val="0B0D6DE1"/>
    <w:rsid w:val="0B100BEF"/>
    <w:rsid w:val="0B1B1342"/>
    <w:rsid w:val="0B2B5A29"/>
    <w:rsid w:val="0B301291"/>
    <w:rsid w:val="0B871679"/>
    <w:rsid w:val="0BA64D8F"/>
    <w:rsid w:val="0BBA4FFF"/>
    <w:rsid w:val="0BC327AE"/>
    <w:rsid w:val="0BC33EB3"/>
    <w:rsid w:val="0BC52D54"/>
    <w:rsid w:val="0BDE2A9B"/>
    <w:rsid w:val="0BF00A21"/>
    <w:rsid w:val="0C3009DF"/>
    <w:rsid w:val="0C3D36B1"/>
    <w:rsid w:val="0C441043"/>
    <w:rsid w:val="0C64330E"/>
    <w:rsid w:val="0C6A75EB"/>
    <w:rsid w:val="0C825B1D"/>
    <w:rsid w:val="0C963376"/>
    <w:rsid w:val="0CA84E57"/>
    <w:rsid w:val="0CC021A1"/>
    <w:rsid w:val="0CE046D1"/>
    <w:rsid w:val="0CE2480D"/>
    <w:rsid w:val="0CE95B9C"/>
    <w:rsid w:val="0CEC568C"/>
    <w:rsid w:val="0CEF0828"/>
    <w:rsid w:val="0CEF0CD8"/>
    <w:rsid w:val="0CF935AF"/>
    <w:rsid w:val="0D103128"/>
    <w:rsid w:val="0D2070E4"/>
    <w:rsid w:val="0D29243C"/>
    <w:rsid w:val="0D405DE1"/>
    <w:rsid w:val="0D525723"/>
    <w:rsid w:val="0D735465"/>
    <w:rsid w:val="0D983C14"/>
    <w:rsid w:val="0D9B0AAB"/>
    <w:rsid w:val="0DFF4F4B"/>
    <w:rsid w:val="0E18234F"/>
    <w:rsid w:val="0E1C2556"/>
    <w:rsid w:val="0E3A41D5"/>
    <w:rsid w:val="0E8B7D5E"/>
    <w:rsid w:val="0E8D07A9"/>
    <w:rsid w:val="0E9E41EB"/>
    <w:rsid w:val="0E9E4764"/>
    <w:rsid w:val="0EC5310D"/>
    <w:rsid w:val="0ECD6DF7"/>
    <w:rsid w:val="0F1467D4"/>
    <w:rsid w:val="0F205179"/>
    <w:rsid w:val="0F40581B"/>
    <w:rsid w:val="0F53511F"/>
    <w:rsid w:val="0F66397C"/>
    <w:rsid w:val="0F6E00F9"/>
    <w:rsid w:val="0F711E78"/>
    <w:rsid w:val="0F8A3B8A"/>
    <w:rsid w:val="0F955B67"/>
    <w:rsid w:val="0FA57C09"/>
    <w:rsid w:val="0FB024D8"/>
    <w:rsid w:val="0FDB0233"/>
    <w:rsid w:val="100C0829"/>
    <w:rsid w:val="1015151D"/>
    <w:rsid w:val="104913C2"/>
    <w:rsid w:val="104D4694"/>
    <w:rsid w:val="10A02A15"/>
    <w:rsid w:val="10AF4A06"/>
    <w:rsid w:val="10BC7123"/>
    <w:rsid w:val="10F95371"/>
    <w:rsid w:val="10FD4EE8"/>
    <w:rsid w:val="111D5318"/>
    <w:rsid w:val="1122167C"/>
    <w:rsid w:val="113111EC"/>
    <w:rsid w:val="114710E3"/>
    <w:rsid w:val="114A0BD3"/>
    <w:rsid w:val="114E421F"/>
    <w:rsid w:val="11650634"/>
    <w:rsid w:val="118F65E6"/>
    <w:rsid w:val="11902A8A"/>
    <w:rsid w:val="11A55E09"/>
    <w:rsid w:val="11B524F0"/>
    <w:rsid w:val="11BC387F"/>
    <w:rsid w:val="11C8051B"/>
    <w:rsid w:val="11C866C2"/>
    <w:rsid w:val="11DB182B"/>
    <w:rsid w:val="11E64458"/>
    <w:rsid w:val="11EC3A38"/>
    <w:rsid w:val="120708DE"/>
    <w:rsid w:val="12072620"/>
    <w:rsid w:val="120D40DA"/>
    <w:rsid w:val="12216A68"/>
    <w:rsid w:val="12353631"/>
    <w:rsid w:val="124D44D7"/>
    <w:rsid w:val="125515DD"/>
    <w:rsid w:val="12664571"/>
    <w:rsid w:val="1288236D"/>
    <w:rsid w:val="12891287"/>
    <w:rsid w:val="12D26850"/>
    <w:rsid w:val="12EA15F7"/>
    <w:rsid w:val="13081728"/>
    <w:rsid w:val="13086650"/>
    <w:rsid w:val="1317796F"/>
    <w:rsid w:val="134358DA"/>
    <w:rsid w:val="134B1FE3"/>
    <w:rsid w:val="138228A6"/>
    <w:rsid w:val="13C24A0E"/>
    <w:rsid w:val="13F05A62"/>
    <w:rsid w:val="13FC61B5"/>
    <w:rsid w:val="142474B9"/>
    <w:rsid w:val="142A03FE"/>
    <w:rsid w:val="142D2812"/>
    <w:rsid w:val="142E0338"/>
    <w:rsid w:val="14402F93"/>
    <w:rsid w:val="145A45E5"/>
    <w:rsid w:val="146A5814"/>
    <w:rsid w:val="146B50E8"/>
    <w:rsid w:val="14995E73"/>
    <w:rsid w:val="14A34882"/>
    <w:rsid w:val="14C05277"/>
    <w:rsid w:val="14D233B9"/>
    <w:rsid w:val="14D94748"/>
    <w:rsid w:val="14E153AA"/>
    <w:rsid w:val="14F50E56"/>
    <w:rsid w:val="15023C9F"/>
    <w:rsid w:val="15233C15"/>
    <w:rsid w:val="153100E0"/>
    <w:rsid w:val="15363948"/>
    <w:rsid w:val="15407EF2"/>
    <w:rsid w:val="15542020"/>
    <w:rsid w:val="157D3325"/>
    <w:rsid w:val="15804BC3"/>
    <w:rsid w:val="158B1482"/>
    <w:rsid w:val="15D06F8B"/>
    <w:rsid w:val="161517B0"/>
    <w:rsid w:val="163B0AEA"/>
    <w:rsid w:val="16421E79"/>
    <w:rsid w:val="164637E6"/>
    <w:rsid w:val="16481B85"/>
    <w:rsid w:val="164E2511"/>
    <w:rsid w:val="165C73DE"/>
    <w:rsid w:val="165D6CB3"/>
    <w:rsid w:val="166827DF"/>
    <w:rsid w:val="16706153"/>
    <w:rsid w:val="16BD53E0"/>
    <w:rsid w:val="16D36F75"/>
    <w:rsid w:val="16E6314C"/>
    <w:rsid w:val="16E87B93"/>
    <w:rsid w:val="1706633F"/>
    <w:rsid w:val="171001C9"/>
    <w:rsid w:val="171B3273"/>
    <w:rsid w:val="17345040"/>
    <w:rsid w:val="173F13A5"/>
    <w:rsid w:val="17410382"/>
    <w:rsid w:val="175C65E8"/>
    <w:rsid w:val="17680005"/>
    <w:rsid w:val="177C00C0"/>
    <w:rsid w:val="178679F1"/>
    <w:rsid w:val="17944956"/>
    <w:rsid w:val="179A3525"/>
    <w:rsid w:val="17A9015C"/>
    <w:rsid w:val="17B15508"/>
    <w:rsid w:val="17B35ACD"/>
    <w:rsid w:val="17BC5880"/>
    <w:rsid w:val="182F341E"/>
    <w:rsid w:val="18300B23"/>
    <w:rsid w:val="1831400C"/>
    <w:rsid w:val="18341D85"/>
    <w:rsid w:val="183526D1"/>
    <w:rsid w:val="183A72AB"/>
    <w:rsid w:val="184719C8"/>
    <w:rsid w:val="188449CB"/>
    <w:rsid w:val="18956596"/>
    <w:rsid w:val="18B52DD6"/>
    <w:rsid w:val="18DA1743"/>
    <w:rsid w:val="190537B8"/>
    <w:rsid w:val="19094E2B"/>
    <w:rsid w:val="192A645B"/>
    <w:rsid w:val="1934019F"/>
    <w:rsid w:val="19450FD3"/>
    <w:rsid w:val="196B16E7"/>
    <w:rsid w:val="19792055"/>
    <w:rsid w:val="19940109"/>
    <w:rsid w:val="19961478"/>
    <w:rsid w:val="19AD7F51"/>
    <w:rsid w:val="19CE05F3"/>
    <w:rsid w:val="19CE23A1"/>
    <w:rsid w:val="19DB42DF"/>
    <w:rsid w:val="19FD4A34"/>
    <w:rsid w:val="1A0E6C42"/>
    <w:rsid w:val="1A0F6516"/>
    <w:rsid w:val="1A1B5BF6"/>
    <w:rsid w:val="1A3146DE"/>
    <w:rsid w:val="1A4A5089"/>
    <w:rsid w:val="1A530AF8"/>
    <w:rsid w:val="1A761766"/>
    <w:rsid w:val="1A7D49DD"/>
    <w:rsid w:val="1A872550"/>
    <w:rsid w:val="1A9E1F8E"/>
    <w:rsid w:val="1AA50C28"/>
    <w:rsid w:val="1AAE3F81"/>
    <w:rsid w:val="1AB62E35"/>
    <w:rsid w:val="1AC217DA"/>
    <w:rsid w:val="1AD37B03"/>
    <w:rsid w:val="1AD67034"/>
    <w:rsid w:val="1ADC6A1D"/>
    <w:rsid w:val="1AFF5B13"/>
    <w:rsid w:val="1B163D36"/>
    <w:rsid w:val="1B262605"/>
    <w:rsid w:val="1B2A7AAB"/>
    <w:rsid w:val="1B3F1135"/>
    <w:rsid w:val="1B414DF5"/>
    <w:rsid w:val="1B4B306E"/>
    <w:rsid w:val="1B50328A"/>
    <w:rsid w:val="1B574618"/>
    <w:rsid w:val="1B7C407F"/>
    <w:rsid w:val="1B970EB9"/>
    <w:rsid w:val="1BA4348E"/>
    <w:rsid w:val="1BAF1D5E"/>
    <w:rsid w:val="1C085913"/>
    <w:rsid w:val="1C12186A"/>
    <w:rsid w:val="1C24274C"/>
    <w:rsid w:val="1C33298F"/>
    <w:rsid w:val="1C386676"/>
    <w:rsid w:val="1C694603"/>
    <w:rsid w:val="1C8A2B02"/>
    <w:rsid w:val="1C9A2A0F"/>
    <w:rsid w:val="1CA63E1C"/>
    <w:rsid w:val="1CA728DC"/>
    <w:rsid w:val="1CE31557"/>
    <w:rsid w:val="1CF85987"/>
    <w:rsid w:val="1CFD4D4B"/>
    <w:rsid w:val="1D063C00"/>
    <w:rsid w:val="1D255CFB"/>
    <w:rsid w:val="1D2E600F"/>
    <w:rsid w:val="1D3E783E"/>
    <w:rsid w:val="1D464944"/>
    <w:rsid w:val="1D5D4F42"/>
    <w:rsid w:val="1D6D1ED1"/>
    <w:rsid w:val="1D7414B2"/>
    <w:rsid w:val="1D7E27C4"/>
    <w:rsid w:val="1D94745E"/>
    <w:rsid w:val="1D9A07EC"/>
    <w:rsid w:val="1DA750FA"/>
    <w:rsid w:val="1DA82F09"/>
    <w:rsid w:val="1DED3012"/>
    <w:rsid w:val="1E0D7210"/>
    <w:rsid w:val="1E682698"/>
    <w:rsid w:val="1E9516DF"/>
    <w:rsid w:val="1EA74AFA"/>
    <w:rsid w:val="1EAF69BE"/>
    <w:rsid w:val="1EB3600A"/>
    <w:rsid w:val="1EE44415"/>
    <w:rsid w:val="1EFB2B1A"/>
    <w:rsid w:val="1F3709E9"/>
    <w:rsid w:val="1F3C4E81"/>
    <w:rsid w:val="1F446D63"/>
    <w:rsid w:val="1F482287"/>
    <w:rsid w:val="1F4E5D32"/>
    <w:rsid w:val="1F5F584A"/>
    <w:rsid w:val="1F6E7612"/>
    <w:rsid w:val="1F9951FF"/>
    <w:rsid w:val="1F996FAD"/>
    <w:rsid w:val="1FCB2EDF"/>
    <w:rsid w:val="1FD46237"/>
    <w:rsid w:val="1FF81FA6"/>
    <w:rsid w:val="200530C6"/>
    <w:rsid w:val="201900EE"/>
    <w:rsid w:val="20286583"/>
    <w:rsid w:val="2068689C"/>
    <w:rsid w:val="207E43F5"/>
    <w:rsid w:val="208E57EA"/>
    <w:rsid w:val="209816EE"/>
    <w:rsid w:val="20A57BD4"/>
    <w:rsid w:val="20AA343C"/>
    <w:rsid w:val="21093B01"/>
    <w:rsid w:val="21093CBF"/>
    <w:rsid w:val="21113386"/>
    <w:rsid w:val="21127704"/>
    <w:rsid w:val="21134B3E"/>
    <w:rsid w:val="21192920"/>
    <w:rsid w:val="214E201A"/>
    <w:rsid w:val="215525E8"/>
    <w:rsid w:val="21564CC5"/>
    <w:rsid w:val="21571507"/>
    <w:rsid w:val="215C4736"/>
    <w:rsid w:val="218473C3"/>
    <w:rsid w:val="219C0FD7"/>
    <w:rsid w:val="21BE2E1C"/>
    <w:rsid w:val="21BF4CC5"/>
    <w:rsid w:val="21CF315A"/>
    <w:rsid w:val="21D61DDC"/>
    <w:rsid w:val="21D73DBD"/>
    <w:rsid w:val="21F52D2D"/>
    <w:rsid w:val="22133B0F"/>
    <w:rsid w:val="221C5C74"/>
    <w:rsid w:val="225E6D5C"/>
    <w:rsid w:val="226D4721"/>
    <w:rsid w:val="227B5090"/>
    <w:rsid w:val="227C7B23"/>
    <w:rsid w:val="229C1A92"/>
    <w:rsid w:val="22D64075"/>
    <w:rsid w:val="22F4274D"/>
    <w:rsid w:val="23111551"/>
    <w:rsid w:val="23114793"/>
    <w:rsid w:val="23200420"/>
    <w:rsid w:val="232C1EE7"/>
    <w:rsid w:val="232E186A"/>
    <w:rsid w:val="23334CC9"/>
    <w:rsid w:val="23414BB8"/>
    <w:rsid w:val="235002CB"/>
    <w:rsid w:val="235565C2"/>
    <w:rsid w:val="2378512C"/>
    <w:rsid w:val="237F64BA"/>
    <w:rsid w:val="23867C9E"/>
    <w:rsid w:val="238B1AF9"/>
    <w:rsid w:val="238E0DF3"/>
    <w:rsid w:val="23983A20"/>
    <w:rsid w:val="239F4DAE"/>
    <w:rsid w:val="23F30C56"/>
    <w:rsid w:val="24125580"/>
    <w:rsid w:val="24143E1B"/>
    <w:rsid w:val="2418246B"/>
    <w:rsid w:val="241F3BAD"/>
    <w:rsid w:val="242E2E48"/>
    <w:rsid w:val="24507029"/>
    <w:rsid w:val="245B6DB7"/>
    <w:rsid w:val="2478071C"/>
    <w:rsid w:val="247C0ED5"/>
    <w:rsid w:val="247E49C4"/>
    <w:rsid w:val="248024EA"/>
    <w:rsid w:val="24A05D7F"/>
    <w:rsid w:val="24A87C93"/>
    <w:rsid w:val="24D35DFB"/>
    <w:rsid w:val="24EF2718"/>
    <w:rsid w:val="24F75F2B"/>
    <w:rsid w:val="25113A8A"/>
    <w:rsid w:val="25145328"/>
    <w:rsid w:val="253F4153"/>
    <w:rsid w:val="25423C43"/>
    <w:rsid w:val="25583889"/>
    <w:rsid w:val="258E0C37"/>
    <w:rsid w:val="25AE0D72"/>
    <w:rsid w:val="25B43229"/>
    <w:rsid w:val="25BD776E"/>
    <w:rsid w:val="25CE64B1"/>
    <w:rsid w:val="25E41FE9"/>
    <w:rsid w:val="25ED0053"/>
    <w:rsid w:val="25FA451E"/>
    <w:rsid w:val="25FA6BAC"/>
    <w:rsid w:val="26331252"/>
    <w:rsid w:val="264E2C81"/>
    <w:rsid w:val="266B541C"/>
    <w:rsid w:val="26753572"/>
    <w:rsid w:val="26C51C58"/>
    <w:rsid w:val="26D65F40"/>
    <w:rsid w:val="26E8136C"/>
    <w:rsid w:val="26F31699"/>
    <w:rsid w:val="27082C6B"/>
    <w:rsid w:val="271909D4"/>
    <w:rsid w:val="272555CB"/>
    <w:rsid w:val="27545EB0"/>
    <w:rsid w:val="276D3849"/>
    <w:rsid w:val="277A5916"/>
    <w:rsid w:val="278B355F"/>
    <w:rsid w:val="278F537C"/>
    <w:rsid w:val="27B506FD"/>
    <w:rsid w:val="27EC60E8"/>
    <w:rsid w:val="28001A0F"/>
    <w:rsid w:val="280D678A"/>
    <w:rsid w:val="289E0A26"/>
    <w:rsid w:val="28A6273B"/>
    <w:rsid w:val="28B07116"/>
    <w:rsid w:val="28BF3904"/>
    <w:rsid w:val="28D64957"/>
    <w:rsid w:val="28F434A6"/>
    <w:rsid w:val="293146FB"/>
    <w:rsid w:val="29392484"/>
    <w:rsid w:val="293D65ED"/>
    <w:rsid w:val="2964687E"/>
    <w:rsid w:val="29661255"/>
    <w:rsid w:val="296F0D7F"/>
    <w:rsid w:val="29910CF5"/>
    <w:rsid w:val="29AF1F09"/>
    <w:rsid w:val="29B03871"/>
    <w:rsid w:val="29E74DB9"/>
    <w:rsid w:val="2A042ABA"/>
    <w:rsid w:val="2A222295"/>
    <w:rsid w:val="2A24600D"/>
    <w:rsid w:val="2A36189D"/>
    <w:rsid w:val="2A3B4116"/>
    <w:rsid w:val="2A6A4078"/>
    <w:rsid w:val="2A7206F0"/>
    <w:rsid w:val="2A842608"/>
    <w:rsid w:val="2AD0584D"/>
    <w:rsid w:val="2ADB2B70"/>
    <w:rsid w:val="2ADB54EC"/>
    <w:rsid w:val="2AF7636C"/>
    <w:rsid w:val="2B116592"/>
    <w:rsid w:val="2B1C4F36"/>
    <w:rsid w:val="2B1F5B31"/>
    <w:rsid w:val="2B2230DE"/>
    <w:rsid w:val="2B317A4F"/>
    <w:rsid w:val="2B350611"/>
    <w:rsid w:val="2B3D6264"/>
    <w:rsid w:val="2B794137"/>
    <w:rsid w:val="2BA576C3"/>
    <w:rsid w:val="2BA77508"/>
    <w:rsid w:val="2BCA04EF"/>
    <w:rsid w:val="2BDD46C6"/>
    <w:rsid w:val="2C2959C2"/>
    <w:rsid w:val="2C645E65"/>
    <w:rsid w:val="2C6B7F24"/>
    <w:rsid w:val="2C6E5EC2"/>
    <w:rsid w:val="2C87617D"/>
    <w:rsid w:val="2CB847EB"/>
    <w:rsid w:val="2CC25D23"/>
    <w:rsid w:val="2CCB09C2"/>
    <w:rsid w:val="2CE77338"/>
    <w:rsid w:val="2CF00429"/>
    <w:rsid w:val="2CF505DD"/>
    <w:rsid w:val="2CFA4E04"/>
    <w:rsid w:val="2D241E80"/>
    <w:rsid w:val="2D31101F"/>
    <w:rsid w:val="2D5C0C70"/>
    <w:rsid w:val="2D687FBF"/>
    <w:rsid w:val="2D6A01DB"/>
    <w:rsid w:val="2D8E211C"/>
    <w:rsid w:val="2D940755"/>
    <w:rsid w:val="2D9675D6"/>
    <w:rsid w:val="2D980D09"/>
    <w:rsid w:val="2DBE22D5"/>
    <w:rsid w:val="2DD03764"/>
    <w:rsid w:val="2DDD09AD"/>
    <w:rsid w:val="2E04418C"/>
    <w:rsid w:val="2E232E31"/>
    <w:rsid w:val="2E262492"/>
    <w:rsid w:val="2E276A03"/>
    <w:rsid w:val="2E2933FE"/>
    <w:rsid w:val="2E2B600A"/>
    <w:rsid w:val="2E372556"/>
    <w:rsid w:val="2E514EF7"/>
    <w:rsid w:val="2E62218D"/>
    <w:rsid w:val="2E76670C"/>
    <w:rsid w:val="2E7C01C6"/>
    <w:rsid w:val="2E8B21B7"/>
    <w:rsid w:val="2E992A65"/>
    <w:rsid w:val="2E9F2106"/>
    <w:rsid w:val="2EAE5EA6"/>
    <w:rsid w:val="2EB07E70"/>
    <w:rsid w:val="2F1531D0"/>
    <w:rsid w:val="2F1F6DA3"/>
    <w:rsid w:val="2F311268"/>
    <w:rsid w:val="2F6824F8"/>
    <w:rsid w:val="2F9B38D6"/>
    <w:rsid w:val="2F9B467C"/>
    <w:rsid w:val="2FA00426"/>
    <w:rsid w:val="2FBE7946"/>
    <w:rsid w:val="2FC32F68"/>
    <w:rsid w:val="2FC75471"/>
    <w:rsid w:val="2FCA31B3"/>
    <w:rsid w:val="2FD44032"/>
    <w:rsid w:val="2FE34275"/>
    <w:rsid w:val="301E4E37"/>
    <w:rsid w:val="30380106"/>
    <w:rsid w:val="3041038A"/>
    <w:rsid w:val="306058C5"/>
    <w:rsid w:val="30894E1C"/>
    <w:rsid w:val="309A4933"/>
    <w:rsid w:val="30AA0CCD"/>
    <w:rsid w:val="30AE1C6C"/>
    <w:rsid w:val="30B005FB"/>
    <w:rsid w:val="30F85AFE"/>
    <w:rsid w:val="31050543"/>
    <w:rsid w:val="31070819"/>
    <w:rsid w:val="31327262"/>
    <w:rsid w:val="314174A5"/>
    <w:rsid w:val="314235B5"/>
    <w:rsid w:val="31604D10"/>
    <w:rsid w:val="317C04DD"/>
    <w:rsid w:val="319553BB"/>
    <w:rsid w:val="319E126B"/>
    <w:rsid w:val="31A71603"/>
    <w:rsid w:val="31AD0696"/>
    <w:rsid w:val="31CC1B59"/>
    <w:rsid w:val="31E75151"/>
    <w:rsid w:val="31F13370"/>
    <w:rsid w:val="31F443CB"/>
    <w:rsid w:val="31F91B2E"/>
    <w:rsid w:val="320F1351"/>
    <w:rsid w:val="321C7AAD"/>
    <w:rsid w:val="3220530C"/>
    <w:rsid w:val="324E1E79"/>
    <w:rsid w:val="32700042"/>
    <w:rsid w:val="32DD4C49"/>
    <w:rsid w:val="32E0684A"/>
    <w:rsid w:val="32EC3440"/>
    <w:rsid w:val="32F3060F"/>
    <w:rsid w:val="32FF3876"/>
    <w:rsid w:val="33174961"/>
    <w:rsid w:val="33305A23"/>
    <w:rsid w:val="333F17C2"/>
    <w:rsid w:val="33484B1B"/>
    <w:rsid w:val="334A6CCC"/>
    <w:rsid w:val="33676199"/>
    <w:rsid w:val="33C341A1"/>
    <w:rsid w:val="33CC7ED2"/>
    <w:rsid w:val="33F46A50"/>
    <w:rsid w:val="33F56325"/>
    <w:rsid w:val="33F61444"/>
    <w:rsid w:val="341862D2"/>
    <w:rsid w:val="342033A2"/>
    <w:rsid w:val="345F12CF"/>
    <w:rsid w:val="346040E6"/>
    <w:rsid w:val="347B0F20"/>
    <w:rsid w:val="349A13A6"/>
    <w:rsid w:val="34AE30A3"/>
    <w:rsid w:val="34C44675"/>
    <w:rsid w:val="34F565DC"/>
    <w:rsid w:val="34F767F8"/>
    <w:rsid w:val="34FC3E0F"/>
    <w:rsid w:val="34FF745B"/>
    <w:rsid w:val="35154ED0"/>
    <w:rsid w:val="3516045F"/>
    <w:rsid w:val="352F7287"/>
    <w:rsid w:val="357D65D2"/>
    <w:rsid w:val="357F234A"/>
    <w:rsid w:val="358264BC"/>
    <w:rsid w:val="35984358"/>
    <w:rsid w:val="35C45A8C"/>
    <w:rsid w:val="35CF1523"/>
    <w:rsid w:val="360A60B7"/>
    <w:rsid w:val="361A2073"/>
    <w:rsid w:val="361E2E89"/>
    <w:rsid w:val="3652180C"/>
    <w:rsid w:val="366A4DA8"/>
    <w:rsid w:val="367C2AF7"/>
    <w:rsid w:val="367F4CF7"/>
    <w:rsid w:val="368F2A60"/>
    <w:rsid w:val="369C3089"/>
    <w:rsid w:val="36AA1648"/>
    <w:rsid w:val="36B65DB6"/>
    <w:rsid w:val="36B67FED"/>
    <w:rsid w:val="36B96E85"/>
    <w:rsid w:val="36E25286"/>
    <w:rsid w:val="36EC7EB3"/>
    <w:rsid w:val="370945C1"/>
    <w:rsid w:val="373553B6"/>
    <w:rsid w:val="373A32B1"/>
    <w:rsid w:val="374D2339"/>
    <w:rsid w:val="37740F38"/>
    <w:rsid w:val="3781684D"/>
    <w:rsid w:val="381D5608"/>
    <w:rsid w:val="381E1A51"/>
    <w:rsid w:val="384358B1"/>
    <w:rsid w:val="384B29B7"/>
    <w:rsid w:val="384B4EB5"/>
    <w:rsid w:val="38860E67"/>
    <w:rsid w:val="39072D82"/>
    <w:rsid w:val="391D07F7"/>
    <w:rsid w:val="392E030F"/>
    <w:rsid w:val="395A55A8"/>
    <w:rsid w:val="395C1320"/>
    <w:rsid w:val="39774380"/>
    <w:rsid w:val="399A59A4"/>
    <w:rsid w:val="39A46823"/>
    <w:rsid w:val="39A746F7"/>
    <w:rsid w:val="39AB5E03"/>
    <w:rsid w:val="39D24BE5"/>
    <w:rsid w:val="39DA0497"/>
    <w:rsid w:val="39EC01D6"/>
    <w:rsid w:val="3A2E40D2"/>
    <w:rsid w:val="3A414072"/>
    <w:rsid w:val="3A661D2A"/>
    <w:rsid w:val="3A6B51A0"/>
    <w:rsid w:val="3A7F2761"/>
    <w:rsid w:val="3A9839D5"/>
    <w:rsid w:val="3AA50AA5"/>
    <w:rsid w:val="3AAC1E33"/>
    <w:rsid w:val="3AB64A60"/>
    <w:rsid w:val="3AC25E66"/>
    <w:rsid w:val="3ACD1DA9"/>
    <w:rsid w:val="3AD636F1"/>
    <w:rsid w:val="3AE27603"/>
    <w:rsid w:val="3AEA64B7"/>
    <w:rsid w:val="3AF96CBA"/>
    <w:rsid w:val="3B0A6C0E"/>
    <w:rsid w:val="3B263FA5"/>
    <w:rsid w:val="3B312338"/>
    <w:rsid w:val="3B430836"/>
    <w:rsid w:val="3BA7084C"/>
    <w:rsid w:val="3BC638FF"/>
    <w:rsid w:val="3BD74C8E"/>
    <w:rsid w:val="3BE408F7"/>
    <w:rsid w:val="3C4816E7"/>
    <w:rsid w:val="3C7D3697"/>
    <w:rsid w:val="3C805325"/>
    <w:rsid w:val="3C9138EA"/>
    <w:rsid w:val="3CA1529C"/>
    <w:rsid w:val="3CB23005"/>
    <w:rsid w:val="3CB66F99"/>
    <w:rsid w:val="3CC03974"/>
    <w:rsid w:val="3CF0648C"/>
    <w:rsid w:val="3D1617E6"/>
    <w:rsid w:val="3D2D6B2F"/>
    <w:rsid w:val="3D3B56F0"/>
    <w:rsid w:val="3D556267"/>
    <w:rsid w:val="3D566086"/>
    <w:rsid w:val="3D7824A0"/>
    <w:rsid w:val="3D8C5F4C"/>
    <w:rsid w:val="3D956BAE"/>
    <w:rsid w:val="3DD35929"/>
    <w:rsid w:val="3DD551FD"/>
    <w:rsid w:val="3DDF5127"/>
    <w:rsid w:val="3DDF607B"/>
    <w:rsid w:val="3DF02037"/>
    <w:rsid w:val="3E0D2BA2"/>
    <w:rsid w:val="3E111FAD"/>
    <w:rsid w:val="3E287A22"/>
    <w:rsid w:val="3E3E7246"/>
    <w:rsid w:val="3E642A25"/>
    <w:rsid w:val="3E6A5CCC"/>
    <w:rsid w:val="3E8D5AD7"/>
    <w:rsid w:val="3E8F7AA2"/>
    <w:rsid w:val="3EC37F39"/>
    <w:rsid w:val="3EC647A9"/>
    <w:rsid w:val="3ED363CD"/>
    <w:rsid w:val="3EE11CA2"/>
    <w:rsid w:val="3EE17BD1"/>
    <w:rsid w:val="3EF416A3"/>
    <w:rsid w:val="3F0B728B"/>
    <w:rsid w:val="3F105341"/>
    <w:rsid w:val="3F3356A6"/>
    <w:rsid w:val="3F3B3785"/>
    <w:rsid w:val="3F3C12AC"/>
    <w:rsid w:val="3F5B3E28"/>
    <w:rsid w:val="3F80388E"/>
    <w:rsid w:val="3F88629F"/>
    <w:rsid w:val="3F890995"/>
    <w:rsid w:val="3F963C31"/>
    <w:rsid w:val="3F9B4A8B"/>
    <w:rsid w:val="3FB157F6"/>
    <w:rsid w:val="3FBC1FE2"/>
    <w:rsid w:val="3FBD063E"/>
    <w:rsid w:val="3FC74D01"/>
    <w:rsid w:val="3FF54D36"/>
    <w:rsid w:val="4014414F"/>
    <w:rsid w:val="401C3481"/>
    <w:rsid w:val="40442B0E"/>
    <w:rsid w:val="40512B35"/>
    <w:rsid w:val="4056597A"/>
    <w:rsid w:val="4057639D"/>
    <w:rsid w:val="405A7C3B"/>
    <w:rsid w:val="40827192"/>
    <w:rsid w:val="40920B3F"/>
    <w:rsid w:val="40923879"/>
    <w:rsid w:val="409969B6"/>
    <w:rsid w:val="40B03B73"/>
    <w:rsid w:val="40BE641C"/>
    <w:rsid w:val="40C47A40"/>
    <w:rsid w:val="41013CC1"/>
    <w:rsid w:val="411B5933"/>
    <w:rsid w:val="414508EB"/>
    <w:rsid w:val="41556B9A"/>
    <w:rsid w:val="416A0352"/>
    <w:rsid w:val="416F7716"/>
    <w:rsid w:val="41780CC1"/>
    <w:rsid w:val="41826D0B"/>
    <w:rsid w:val="41856F3A"/>
    <w:rsid w:val="41886A2A"/>
    <w:rsid w:val="41931657"/>
    <w:rsid w:val="41BA3087"/>
    <w:rsid w:val="41D3433B"/>
    <w:rsid w:val="41D34BA9"/>
    <w:rsid w:val="41D43A1D"/>
    <w:rsid w:val="41D8350E"/>
    <w:rsid w:val="41F8770C"/>
    <w:rsid w:val="420662CD"/>
    <w:rsid w:val="42256BF8"/>
    <w:rsid w:val="422E137F"/>
    <w:rsid w:val="42363D5E"/>
    <w:rsid w:val="42423625"/>
    <w:rsid w:val="42440BA3"/>
    <w:rsid w:val="4249440B"/>
    <w:rsid w:val="42756FAE"/>
    <w:rsid w:val="428216CB"/>
    <w:rsid w:val="42997141"/>
    <w:rsid w:val="429D02B3"/>
    <w:rsid w:val="42C45597"/>
    <w:rsid w:val="42D55C9F"/>
    <w:rsid w:val="430B346F"/>
    <w:rsid w:val="434B5F61"/>
    <w:rsid w:val="434C41B3"/>
    <w:rsid w:val="4355648A"/>
    <w:rsid w:val="438518DD"/>
    <w:rsid w:val="439A26DB"/>
    <w:rsid w:val="439E2535"/>
    <w:rsid w:val="43E66BC8"/>
    <w:rsid w:val="44254A04"/>
    <w:rsid w:val="443308A1"/>
    <w:rsid w:val="444F55DD"/>
    <w:rsid w:val="446217B4"/>
    <w:rsid w:val="4469669F"/>
    <w:rsid w:val="446C43E1"/>
    <w:rsid w:val="44983428"/>
    <w:rsid w:val="44AD6ED3"/>
    <w:rsid w:val="44B94C67"/>
    <w:rsid w:val="44BC7116"/>
    <w:rsid w:val="44ED72D0"/>
    <w:rsid w:val="45264590"/>
    <w:rsid w:val="45400EC1"/>
    <w:rsid w:val="45901B57"/>
    <w:rsid w:val="45A1630C"/>
    <w:rsid w:val="45E83F3B"/>
    <w:rsid w:val="45E91604"/>
    <w:rsid w:val="46162F67"/>
    <w:rsid w:val="464242FA"/>
    <w:rsid w:val="46572CEA"/>
    <w:rsid w:val="465A0995"/>
    <w:rsid w:val="466943F9"/>
    <w:rsid w:val="469D3256"/>
    <w:rsid w:val="46AA2F9F"/>
    <w:rsid w:val="47022DDB"/>
    <w:rsid w:val="470C4453"/>
    <w:rsid w:val="47150D60"/>
    <w:rsid w:val="47170634"/>
    <w:rsid w:val="471C20EE"/>
    <w:rsid w:val="471F1BDF"/>
    <w:rsid w:val="47264693"/>
    <w:rsid w:val="474D629F"/>
    <w:rsid w:val="4750522E"/>
    <w:rsid w:val="4766336A"/>
    <w:rsid w:val="47D47504"/>
    <w:rsid w:val="47D93B3C"/>
    <w:rsid w:val="47ED75E7"/>
    <w:rsid w:val="47F0794B"/>
    <w:rsid w:val="47F646ED"/>
    <w:rsid w:val="47FB7F56"/>
    <w:rsid w:val="47FC68BF"/>
    <w:rsid w:val="48396CD0"/>
    <w:rsid w:val="48811017"/>
    <w:rsid w:val="48965ED0"/>
    <w:rsid w:val="48A00AFD"/>
    <w:rsid w:val="48AB5019"/>
    <w:rsid w:val="48D507A7"/>
    <w:rsid w:val="48DC0511"/>
    <w:rsid w:val="49066BB2"/>
    <w:rsid w:val="49115557"/>
    <w:rsid w:val="492B03C7"/>
    <w:rsid w:val="493376DD"/>
    <w:rsid w:val="493C6A78"/>
    <w:rsid w:val="494722AB"/>
    <w:rsid w:val="49757894"/>
    <w:rsid w:val="49843F7B"/>
    <w:rsid w:val="49AD1724"/>
    <w:rsid w:val="49B90028"/>
    <w:rsid w:val="49F31153"/>
    <w:rsid w:val="49FB423D"/>
    <w:rsid w:val="4A054498"/>
    <w:rsid w:val="4A0D5D1E"/>
    <w:rsid w:val="4A2718EB"/>
    <w:rsid w:val="4A39600A"/>
    <w:rsid w:val="4A601C43"/>
    <w:rsid w:val="4A633B90"/>
    <w:rsid w:val="4A6F057C"/>
    <w:rsid w:val="4A81369C"/>
    <w:rsid w:val="4A851D59"/>
    <w:rsid w:val="4A9E5D86"/>
    <w:rsid w:val="4AA85A47"/>
    <w:rsid w:val="4AA93C99"/>
    <w:rsid w:val="4AAA17BF"/>
    <w:rsid w:val="4ADA0F18"/>
    <w:rsid w:val="4ADA6548"/>
    <w:rsid w:val="4AF40C8C"/>
    <w:rsid w:val="4B1355B6"/>
    <w:rsid w:val="4B327CC6"/>
    <w:rsid w:val="4B7C7600"/>
    <w:rsid w:val="4B995B21"/>
    <w:rsid w:val="4BA16A96"/>
    <w:rsid w:val="4BA37A49"/>
    <w:rsid w:val="4BBA0128"/>
    <w:rsid w:val="4BC13264"/>
    <w:rsid w:val="4BCB6653"/>
    <w:rsid w:val="4BE3142D"/>
    <w:rsid w:val="4BF3029F"/>
    <w:rsid w:val="4BF62688"/>
    <w:rsid w:val="4C207BF0"/>
    <w:rsid w:val="4C52445E"/>
    <w:rsid w:val="4C6836E0"/>
    <w:rsid w:val="4C860003"/>
    <w:rsid w:val="4C9B3AB5"/>
    <w:rsid w:val="4CA25915"/>
    <w:rsid w:val="4CA30A9C"/>
    <w:rsid w:val="4CAC181F"/>
    <w:rsid w:val="4CC0351C"/>
    <w:rsid w:val="4D0B0C3B"/>
    <w:rsid w:val="4D1B4BF6"/>
    <w:rsid w:val="4D357A66"/>
    <w:rsid w:val="4D617969"/>
    <w:rsid w:val="4D7367E0"/>
    <w:rsid w:val="4D765FA3"/>
    <w:rsid w:val="4D834C75"/>
    <w:rsid w:val="4DAB7EDA"/>
    <w:rsid w:val="4DC1754C"/>
    <w:rsid w:val="4DC31516"/>
    <w:rsid w:val="4DCE1C69"/>
    <w:rsid w:val="4DFA0CB0"/>
    <w:rsid w:val="4E0659D2"/>
    <w:rsid w:val="4E0833CC"/>
    <w:rsid w:val="4E141D71"/>
    <w:rsid w:val="4E1F47F5"/>
    <w:rsid w:val="4E4A5793"/>
    <w:rsid w:val="4E7520E4"/>
    <w:rsid w:val="4ECC7F56"/>
    <w:rsid w:val="4ECF7E2B"/>
    <w:rsid w:val="4ED60E57"/>
    <w:rsid w:val="4EED611E"/>
    <w:rsid w:val="4F050B6D"/>
    <w:rsid w:val="4F1B712F"/>
    <w:rsid w:val="4F381A8F"/>
    <w:rsid w:val="4F3F510F"/>
    <w:rsid w:val="4F462317"/>
    <w:rsid w:val="4F75620F"/>
    <w:rsid w:val="4F89256B"/>
    <w:rsid w:val="4FC1669B"/>
    <w:rsid w:val="4FDA0DF6"/>
    <w:rsid w:val="4FE47521"/>
    <w:rsid w:val="4FF45606"/>
    <w:rsid w:val="4FFE0FF2"/>
    <w:rsid w:val="50002336"/>
    <w:rsid w:val="502E28C4"/>
    <w:rsid w:val="50414974"/>
    <w:rsid w:val="50552CF3"/>
    <w:rsid w:val="50666188"/>
    <w:rsid w:val="507A1C34"/>
    <w:rsid w:val="507B60D8"/>
    <w:rsid w:val="508A3156"/>
    <w:rsid w:val="50AF6900"/>
    <w:rsid w:val="50EF2622"/>
    <w:rsid w:val="50FA09B1"/>
    <w:rsid w:val="51104AB0"/>
    <w:rsid w:val="513A1AEF"/>
    <w:rsid w:val="513D1358"/>
    <w:rsid w:val="514C6F98"/>
    <w:rsid w:val="514E559A"/>
    <w:rsid w:val="516C57A1"/>
    <w:rsid w:val="518931C9"/>
    <w:rsid w:val="51A0391C"/>
    <w:rsid w:val="51BE213E"/>
    <w:rsid w:val="51E952C3"/>
    <w:rsid w:val="51EB103B"/>
    <w:rsid w:val="51FE0D6E"/>
    <w:rsid w:val="52164189"/>
    <w:rsid w:val="522105B9"/>
    <w:rsid w:val="523601F3"/>
    <w:rsid w:val="52636E23"/>
    <w:rsid w:val="5273519C"/>
    <w:rsid w:val="527E021F"/>
    <w:rsid w:val="52852FD0"/>
    <w:rsid w:val="528E031D"/>
    <w:rsid w:val="52B1623B"/>
    <w:rsid w:val="52BC1972"/>
    <w:rsid w:val="52BF457A"/>
    <w:rsid w:val="52C61160"/>
    <w:rsid w:val="52D700DE"/>
    <w:rsid w:val="52E86762"/>
    <w:rsid w:val="52F027AF"/>
    <w:rsid w:val="52FA4256"/>
    <w:rsid w:val="530A54F1"/>
    <w:rsid w:val="530B4BE6"/>
    <w:rsid w:val="53105563"/>
    <w:rsid w:val="53234805"/>
    <w:rsid w:val="53373E0C"/>
    <w:rsid w:val="533920AE"/>
    <w:rsid w:val="53416392"/>
    <w:rsid w:val="53424C8B"/>
    <w:rsid w:val="534D3630"/>
    <w:rsid w:val="53525315"/>
    <w:rsid w:val="53A25729"/>
    <w:rsid w:val="53BF0875"/>
    <w:rsid w:val="53CA68D8"/>
    <w:rsid w:val="53DB172D"/>
    <w:rsid w:val="53E752BB"/>
    <w:rsid w:val="540E72EB"/>
    <w:rsid w:val="541D4B12"/>
    <w:rsid w:val="542304FB"/>
    <w:rsid w:val="543A3FC5"/>
    <w:rsid w:val="544F13D7"/>
    <w:rsid w:val="5479708B"/>
    <w:rsid w:val="548E5CAE"/>
    <w:rsid w:val="54A604EB"/>
    <w:rsid w:val="54B225D1"/>
    <w:rsid w:val="54C17E31"/>
    <w:rsid w:val="54C36370"/>
    <w:rsid w:val="54CF69F2"/>
    <w:rsid w:val="550541C2"/>
    <w:rsid w:val="55230AEC"/>
    <w:rsid w:val="55327E7C"/>
    <w:rsid w:val="55436A98"/>
    <w:rsid w:val="55482300"/>
    <w:rsid w:val="554E3DBB"/>
    <w:rsid w:val="55715927"/>
    <w:rsid w:val="557C4CDF"/>
    <w:rsid w:val="559D089E"/>
    <w:rsid w:val="55C51BA3"/>
    <w:rsid w:val="56216D43"/>
    <w:rsid w:val="562543F0"/>
    <w:rsid w:val="562B40FC"/>
    <w:rsid w:val="562C577E"/>
    <w:rsid w:val="562D715C"/>
    <w:rsid w:val="5640122A"/>
    <w:rsid w:val="564927D4"/>
    <w:rsid w:val="566B44F9"/>
    <w:rsid w:val="567315FF"/>
    <w:rsid w:val="569C2F3C"/>
    <w:rsid w:val="56B51C18"/>
    <w:rsid w:val="56C62E14"/>
    <w:rsid w:val="56CF2CD9"/>
    <w:rsid w:val="56E60023"/>
    <w:rsid w:val="56F036D9"/>
    <w:rsid w:val="571A483D"/>
    <w:rsid w:val="571E156B"/>
    <w:rsid w:val="572648C3"/>
    <w:rsid w:val="57544F8D"/>
    <w:rsid w:val="57750CCB"/>
    <w:rsid w:val="577675F9"/>
    <w:rsid w:val="57802226"/>
    <w:rsid w:val="57813A64"/>
    <w:rsid w:val="57A06424"/>
    <w:rsid w:val="57AF2B0B"/>
    <w:rsid w:val="57B7551B"/>
    <w:rsid w:val="57D11596"/>
    <w:rsid w:val="57E841D9"/>
    <w:rsid w:val="57FB5D50"/>
    <w:rsid w:val="581F3C8C"/>
    <w:rsid w:val="582E57DE"/>
    <w:rsid w:val="585E3377"/>
    <w:rsid w:val="5866766D"/>
    <w:rsid w:val="58782D8B"/>
    <w:rsid w:val="58801DB1"/>
    <w:rsid w:val="58806D6B"/>
    <w:rsid w:val="58B34C17"/>
    <w:rsid w:val="58D5034F"/>
    <w:rsid w:val="58DA7713"/>
    <w:rsid w:val="58DD4B4B"/>
    <w:rsid w:val="58FA6008"/>
    <w:rsid w:val="59103135"/>
    <w:rsid w:val="591A3FB4"/>
    <w:rsid w:val="591F1682"/>
    <w:rsid w:val="596D0588"/>
    <w:rsid w:val="59D95C1D"/>
    <w:rsid w:val="59FB5B93"/>
    <w:rsid w:val="5A0616B1"/>
    <w:rsid w:val="5A1530F9"/>
    <w:rsid w:val="5A1E1882"/>
    <w:rsid w:val="5A3317D1"/>
    <w:rsid w:val="5A5413E3"/>
    <w:rsid w:val="5A5D05FC"/>
    <w:rsid w:val="5A821E11"/>
    <w:rsid w:val="5AEC67FA"/>
    <w:rsid w:val="5AF076C2"/>
    <w:rsid w:val="5AF656CD"/>
    <w:rsid w:val="5AF96577"/>
    <w:rsid w:val="5B0C0741"/>
    <w:rsid w:val="5B1B7148"/>
    <w:rsid w:val="5B280C0A"/>
    <w:rsid w:val="5B2D6220"/>
    <w:rsid w:val="5B6339F0"/>
    <w:rsid w:val="5B6854AA"/>
    <w:rsid w:val="5BB406F0"/>
    <w:rsid w:val="5BC70423"/>
    <w:rsid w:val="5BC76675"/>
    <w:rsid w:val="5BDA4A94"/>
    <w:rsid w:val="5BEA2363"/>
    <w:rsid w:val="5BFA3A04"/>
    <w:rsid w:val="5C0F6B97"/>
    <w:rsid w:val="5C423F4D"/>
    <w:rsid w:val="5C7659A5"/>
    <w:rsid w:val="5C8C341B"/>
    <w:rsid w:val="5CB309A7"/>
    <w:rsid w:val="5CB85FBE"/>
    <w:rsid w:val="5CCB3019"/>
    <w:rsid w:val="5CCB3F43"/>
    <w:rsid w:val="5CCE758F"/>
    <w:rsid w:val="5CDC1CAC"/>
    <w:rsid w:val="5D310209"/>
    <w:rsid w:val="5D437F7D"/>
    <w:rsid w:val="5D4635C9"/>
    <w:rsid w:val="5D4D6706"/>
    <w:rsid w:val="5D557CB0"/>
    <w:rsid w:val="5D7B0085"/>
    <w:rsid w:val="5D7C1F1D"/>
    <w:rsid w:val="5D87291D"/>
    <w:rsid w:val="5D9F7CB7"/>
    <w:rsid w:val="5DBF1DA6"/>
    <w:rsid w:val="5DCA244C"/>
    <w:rsid w:val="5DDC7A8A"/>
    <w:rsid w:val="5DF63241"/>
    <w:rsid w:val="5DFE5C52"/>
    <w:rsid w:val="5E0968EF"/>
    <w:rsid w:val="5E1E0F9C"/>
    <w:rsid w:val="5E420235"/>
    <w:rsid w:val="5E447901"/>
    <w:rsid w:val="5E570CB0"/>
    <w:rsid w:val="5E5E4943"/>
    <w:rsid w:val="5E6737F7"/>
    <w:rsid w:val="5E677C9B"/>
    <w:rsid w:val="5E6C3504"/>
    <w:rsid w:val="5E761C8C"/>
    <w:rsid w:val="5EAF7159"/>
    <w:rsid w:val="5EB279BE"/>
    <w:rsid w:val="5EB32EE1"/>
    <w:rsid w:val="5EBF1885"/>
    <w:rsid w:val="5ECC3A1D"/>
    <w:rsid w:val="5ECE7D1A"/>
    <w:rsid w:val="5ED2780B"/>
    <w:rsid w:val="5EE27322"/>
    <w:rsid w:val="5F063883"/>
    <w:rsid w:val="5F194C92"/>
    <w:rsid w:val="5F3A53B0"/>
    <w:rsid w:val="5F3C4C84"/>
    <w:rsid w:val="5F5E109E"/>
    <w:rsid w:val="5F750196"/>
    <w:rsid w:val="5F751C60"/>
    <w:rsid w:val="5F933D87"/>
    <w:rsid w:val="5F9F0303"/>
    <w:rsid w:val="5FC77D19"/>
    <w:rsid w:val="5FD47093"/>
    <w:rsid w:val="5FDC6467"/>
    <w:rsid w:val="5FF27A39"/>
    <w:rsid w:val="5FF87658"/>
    <w:rsid w:val="6025396A"/>
    <w:rsid w:val="603D6F06"/>
    <w:rsid w:val="606A457E"/>
    <w:rsid w:val="60730B79"/>
    <w:rsid w:val="608A11F9"/>
    <w:rsid w:val="60912DAE"/>
    <w:rsid w:val="60D61108"/>
    <w:rsid w:val="60F8107F"/>
    <w:rsid w:val="60FB0B6F"/>
    <w:rsid w:val="611A0FF5"/>
    <w:rsid w:val="61265BEC"/>
    <w:rsid w:val="613B5E44"/>
    <w:rsid w:val="613C71BD"/>
    <w:rsid w:val="6148266D"/>
    <w:rsid w:val="615B0273"/>
    <w:rsid w:val="61616C24"/>
    <w:rsid w:val="61730795"/>
    <w:rsid w:val="617E2507"/>
    <w:rsid w:val="6180119A"/>
    <w:rsid w:val="618B5012"/>
    <w:rsid w:val="61931F26"/>
    <w:rsid w:val="61932B55"/>
    <w:rsid w:val="619F599E"/>
    <w:rsid w:val="61BE41DD"/>
    <w:rsid w:val="61E0223F"/>
    <w:rsid w:val="61E33ADD"/>
    <w:rsid w:val="61E57855"/>
    <w:rsid w:val="61F5665D"/>
    <w:rsid w:val="6227631A"/>
    <w:rsid w:val="623B3920"/>
    <w:rsid w:val="624451DC"/>
    <w:rsid w:val="626C3AD2"/>
    <w:rsid w:val="6275699B"/>
    <w:rsid w:val="62854B94"/>
    <w:rsid w:val="629E1D08"/>
    <w:rsid w:val="629F060D"/>
    <w:rsid w:val="62AC72E7"/>
    <w:rsid w:val="62AE5E99"/>
    <w:rsid w:val="62C332D8"/>
    <w:rsid w:val="62C751AC"/>
    <w:rsid w:val="62C87BB1"/>
    <w:rsid w:val="62E01518"/>
    <w:rsid w:val="62F51D1A"/>
    <w:rsid w:val="62F6042B"/>
    <w:rsid w:val="62FD1AA0"/>
    <w:rsid w:val="630E06AB"/>
    <w:rsid w:val="63151AC7"/>
    <w:rsid w:val="63161C90"/>
    <w:rsid w:val="63251ED3"/>
    <w:rsid w:val="632F323E"/>
    <w:rsid w:val="63377DE5"/>
    <w:rsid w:val="63564074"/>
    <w:rsid w:val="63595768"/>
    <w:rsid w:val="63604CB9"/>
    <w:rsid w:val="63635B2F"/>
    <w:rsid w:val="636C7565"/>
    <w:rsid w:val="639332E1"/>
    <w:rsid w:val="63BA261B"/>
    <w:rsid w:val="63BC2837"/>
    <w:rsid w:val="63F03798"/>
    <w:rsid w:val="64065861"/>
    <w:rsid w:val="64255857"/>
    <w:rsid w:val="64502F80"/>
    <w:rsid w:val="645667E8"/>
    <w:rsid w:val="64A66091"/>
    <w:rsid w:val="64B11C70"/>
    <w:rsid w:val="64B61035"/>
    <w:rsid w:val="64C03C61"/>
    <w:rsid w:val="64FD5FBF"/>
    <w:rsid w:val="651638D5"/>
    <w:rsid w:val="65213E29"/>
    <w:rsid w:val="652C12F7"/>
    <w:rsid w:val="652F0DE7"/>
    <w:rsid w:val="653025BD"/>
    <w:rsid w:val="65432E7A"/>
    <w:rsid w:val="65876E75"/>
    <w:rsid w:val="6588004A"/>
    <w:rsid w:val="658A7C58"/>
    <w:rsid w:val="658D448B"/>
    <w:rsid w:val="65907AD8"/>
    <w:rsid w:val="659E2C19"/>
    <w:rsid w:val="65AB4E9E"/>
    <w:rsid w:val="65B337C6"/>
    <w:rsid w:val="65D35C16"/>
    <w:rsid w:val="65EE2A50"/>
    <w:rsid w:val="66080D5A"/>
    <w:rsid w:val="660D737A"/>
    <w:rsid w:val="66106E6A"/>
    <w:rsid w:val="66320C06"/>
    <w:rsid w:val="663D17DF"/>
    <w:rsid w:val="664408C2"/>
    <w:rsid w:val="669435F8"/>
    <w:rsid w:val="669730E8"/>
    <w:rsid w:val="669B6901"/>
    <w:rsid w:val="66AD46B9"/>
    <w:rsid w:val="66C27A39"/>
    <w:rsid w:val="66D8063C"/>
    <w:rsid w:val="66ED3FEF"/>
    <w:rsid w:val="670544F5"/>
    <w:rsid w:val="67185FD7"/>
    <w:rsid w:val="67281F92"/>
    <w:rsid w:val="672D1662"/>
    <w:rsid w:val="673715E3"/>
    <w:rsid w:val="67386679"/>
    <w:rsid w:val="675C250A"/>
    <w:rsid w:val="678E0047"/>
    <w:rsid w:val="679413D5"/>
    <w:rsid w:val="67B66762"/>
    <w:rsid w:val="67BD6B7E"/>
    <w:rsid w:val="67BF72FA"/>
    <w:rsid w:val="67DA1624"/>
    <w:rsid w:val="67E749C9"/>
    <w:rsid w:val="67ED7463"/>
    <w:rsid w:val="6809591F"/>
    <w:rsid w:val="681C1AF7"/>
    <w:rsid w:val="68264723"/>
    <w:rsid w:val="68420E31"/>
    <w:rsid w:val="684652CD"/>
    <w:rsid w:val="686B65DA"/>
    <w:rsid w:val="686F5A3D"/>
    <w:rsid w:val="68757459"/>
    <w:rsid w:val="687C07E7"/>
    <w:rsid w:val="68880F3A"/>
    <w:rsid w:val="68D26C4D"/>
    <w:rsid w:val="68FB170C"/>
    <w:rsid w:val="68FB3083"/>
    <w:rsid w:val="691B0000"/>
    <w:rsid w:val="69342E70"/>
    <w:rsid w:val="69362744"/>
    <w:rsid w:val="69392234"/>
    <w:rsid w:val="694B6560"/>
    <w:rsid w:val="696A24C6"/>
    <w:rsid w:val="69735746"/>
    <w:rsid w:val="697414BE"/>
    <w:rsid w:val="699975B2"/>
    <w:rsid w:val="69AA3132"/>
    <w:rsid w:val="69C547A6"/>
    <w:rsid w:val="69D44501"/>
    <w:rsid w:val="69E5107B"/>
    <w:rsid w:val="69FA19C4"/>
    <w:rsid w:val="69FF347E"/>
    <w:rsid w:val="6A040A94"/>
    <w:rsid w:val="6A1011E7"/>
    <w:rsid w:val="6A121CC6"/>
    <w:rsid w:val="6A283303"/>
    <w:rsid w:val="6A2E78BF"/>
    <w:rsid w:val="6A3D3FA6"/>
    <w:rsid w:val="6A5A0B5B"/>
    <w:rsid w:val="6A6E636E"/>
    <w:rsid w:val="6A8B2F63"/>
    <w:rsid w:val="6A9552F7"/>
    <w:rsid w:val="6AA72095"/>
    <w:rsid w:val="6AB73D58"/>
    <w:rsid w:val="6AB9362D"/>
    <w:rsid w:val="6AE83F12"/>
    <w:rsid w:val="6AF4016B"/>
    <w:rsid w:val="6B166709"/>
    <w:rsid w:val="6B2F1B41"/>
    <w:rsid w:val="6B447202"/>
    <w:rsid w:val="6B4A0C7A"/>
    <w:rsid w:val="6B581098"/>
    <w:rsid w:val="6B6A0DCB"/>
    <w:rsid w:val="6B6F3193"/>
    <w:rsid w:val="6B7C24AE"/>
    <w:rsid w:val="6B7D0AFE"/>
    <w:rsid w:val="6BB838E4"/>
    <w:rsid w:val="6BBD714D"/>
    <w:rsid w:val="6BCA186A"/>
    <w:rsid w:val="6BDB3A77"/>
    <w:rsid w:val="6BE12E80"/>
    <w:rsid w:val="6BF863D7"/>
    <w:rsid w:val="6C0E5BFA"/>
    <w:rsid w:val="6C16685D"/>
    <w:rsid w:val="6C603B35"/>
    <w:rsid w:val="6C6A4D9B"/>
    <w:rsid w:val="6C702411"/>
    <w:rsid w:val="6C852CE3"/>
    <w:rsid w:val="6C8D40DA"/>
    <w:rsid w:val="6CA6748F"/>
    <w:rsid w:val="6CAD5413"/>
    <w:rsid w:val="6CB16146"/>
    <w:rsid w:val="6CB260C6"/>
    <w:rsid w:val="6CD01102"/>
    <w:rsid w:val="6D050DAB"/>
    <w:rsid w:val="6D0668D1"/>
    <w:rsid w:val="6D28723F"/>
    <w:rsid w:val="6D4A2C62"/>
    <w:rsid w:val="6D6655C2"/>
    <w:rsid w:val="6D8D2B4F"/>
    <w:rsid w:val="6D95320C"/>
    <w:rsid w:val="6DCD73EF"/>
    <w:rsid w:val="6DD53C0F"/>
    <w:rsid w:val="6DD6296F"/>
    <w:rsid w:val="6DDD1884"/>
    <w:rsid w:val="6DDD3AD6"/>
    <w:rsid w:val="6E1F40EF"/>
    <w:rsid w:val="6E313E22"/>
    <w:rsid w:val="6E3B3E98"/>
    <w:rsid w:val="6E6715F2"/>
    <w:rsid w:val="6E7837FF"/>
    <w:rsid w:val="6E893726"/>
    <w:rsid w:val="6E8C1058"/>
    <w:rsid w:val="6E930639"/>
    <w:rsid w:val="6EA93F33"/>
    <w:rsid w:val="6EAE7221"/>
    <w:rsid w:val="6EB67795"/>
    <w:rsid w:val="6EBE06B8"/>
    <w:rsid w:val="6ED00F45"/>
    <w:rsid w:val="6EE40E94"/>
    <w:rsid w:val="6F045092"/>
    <w:rsid w:val="6F08090C"/>
    <w:rsid w:val="6F2179F2"/>
    <w:rsid w:val="6F255735"/>
    <w:rsid w:val="6F327E52"/>
    <w:rsid w:val="6F4C46FB"/>
    <w:rsid w:val="6F4D4C8B"/>
    <w:rsid w:val="6F681D01"/>
    <w:rsid w:val="6F6D0E8A"/>
    <w:rsid w:val="6F8561D3"/>
    <w:rsid w:val="6FA26D85"/>
    <w:rsid w:val="6FB10D76"/>
    <w:rsid w:val="6FC41B04"/>
    <w:rsid w:val="6FCF5329"/>
    <w:rsid w:val="6FD862CD"/>
    <w:rsid w:val="6FDB4045"/>
    <w:rsid w:val="6FE27182"/>
    <w:rsid w:val="6FEF5D43"/>
    <w:rsid w:val="6FFB46E7"/>
    <w:rsid w:val="701D4F2C"/>
    <w:rsid w:val="702E23C7"/>
    <w:rsid w:val="7040034C"/>
    <w:rsid w:val="704240C4"/>
    <w:rsid w:val="70455963"/>
    <w:rsid w:val="705B0CE2"/>
    <w:rsid w:val="706109F2"/>
    <w:rsid w:val="70645DE9"/>
    <w:rsid w:val="70912956"/>
    <w:rsid w:val="70C44AD9"/>
    <w:rsid w:val="70D53633"/>
    <w:rsid w:val="70E94540"/>
    <w:rsid w:val="70EB475C"/>
    <w:rsid w:val="70F87828"/>
    <w:rsid w:val="71156FC1"/>
    <w:rsid w:val="71456239"/>
    <w:rsid w:val="715F158B"/>
    <w:rsid w:val="716342F2"/>
    <w:rsid w:val="71B72890"/>
    <w:rsid w:val="71C76DE6"/>
    <w:rsid w:val="71EF202A"/>
    <w:rsid w:val="71FE6BE8"/>
    <w:rsid w:val="72A154A1"/>
    <w:rsid w:val="72A93F87"/>
    <w:rsid w:val="72B333C6"/>
    <w:rsid w:val="72B62B48"/>
    <w:rsid w:val="72BF7C4E"/>
    <w:rsid w:val="72E43211"/>
    <w:rsid w:val="72E94CCB"/>
    <w:rsid w:val="72EA549F"/>
    <w:rsid w:val="734531CD"/>
    <w:rsid w:val="734F0FD2"/>
    <w:rsid w:val="73532145"/>
    <w:rsid w:val="735A1725"/>
    <w:rsid w:val="735C549D"/>
    <w:rsid w:val="738606BF"/>
    <w:rsid w:val="73A6496A"/>
    <w:rsid w:val="73B84F29"/>
    <w:rsid w:val="73D22525"/>
    <w:rsid w:val="73FC0A2E"/>
    <w:rsid w:val="7400051E"/>
    <w:rsid w:val="740718AD"/>
    <w:rsid w:val="740F2585"/>
    <w:rsid w:val="741706BB"/>
    <w:rsid w:val="741B7E2F"/>
    <w:rsid w:val="742A10F7"/>
    <w:rsid w:val="74335F8F"/>
    <w:rsid w:val="74341F76"/>
    <w:rsid w:val="743E2DF5"/>
    <w:rsid w:val="744A709B"/>
    <w:rsid w:val="74932A0C"/>
    <w:rsid w:val="7496678D"/>
    <w:rsid w:val="749A7801"/>
    <w:rsid w:val="74B65081"/>
    <w:rsid w:val="74BE4085"/>
    <w:rsid w:val="74C0380A"/>
    <w:rsid w:val="74CE54BD"/>
    <w:rsid w:val="74EE70BD"/>
    <w:rsid w:val="75022074"/>
    <w:rsid w:val="75096F5F"/>
    <w:rsid w:val="75357D54"/>
    <w:rsid w:val="75385A96"/>
    <w:rsid w:val="754206C3"/>
    <w:rsid w:val="756D573F"/>
    <w:rsid w:val="7581743D"/>
    <w:rsid w:val="758753A2"/>
    <w:rsid w:val="75925B77"/>
    <w:rsid w:val="75B06567"/>
    <w:rsid w:val="75DE488F"/>
    <w:rsid w:val="75E029B8"/>
    <w:rsid w:val="75FA2D4B"/>
    <w:rsid w:val="76045978"/>
    <w:rsid w:val="760F7C18"/>
    <w:rsid w:val="76257DC8"/>
    <w:rsid w:val="76452218"/>
    <w:rsid w:val="76515061"/>
    <w:rsid w:val="765913E1"/>
    <w:rsid w:val="766151C3"/>
    <w:rsid w:val="76684494"/>
    <w:rsid w:val="766C1E9B"/>
    <w:rsid w:val="7682346D"/>
    <w:rsid w:val="76A01B45"/>
    <w:rsid w:val="76B97A4B"/>
    <w:rsid w:val="76C61836"/>
    <w:rsid w:val="76D4359C"/>
    <w:rsid w:val="7711659E"/>
    <w:rsid w:val="77144054"/>
    <w:rsid w:val="775B6BE8"/>
    <w:rsid w:val="7762504C"/>
    <w:rsid w:val="778577E4"/>
    <w:rsid w:val="77890A18"/>
    <w:rsid w:val="778C1D38"/>
    <w:rsid w:val="779C40BA"/>
    <w:rsid w:val="779D6084"/>
    <w:rsid w:val="77AB7213"/>
    <w:rsid w:val="77B04288"/>
    <w:rsid w:val="77B57D17"/>
    <w:rsid w:val="77D93560"/>
    <w:rsid w:val="77EB3293"/>
    <w:rsid w:val="78054AEE"/>
    <w:rsid w:val="780B56E4"/>
    <w:rsid w:val="783C589D"/>
    <w:rsid w:val="78531F73"/>
    <w:rsid w:val="78600961"/>
    <w:rsid w:val="786A240A"/>
    <w:rsid w:val="788A2AAC"/>
    <w:rsid w:val="78922459"/>
    <w:rsid w:val="789677DD"/>
    <w:rsid w:val="78A3200D"/>
    <w:rsid w:val="78BB4A14"/>
    <w:rsid w:val="78C87095"/>
    <w:rsid w:val="78CC4E73"/>
    <w:rsid w:val="78E0359B"/>
    <w:rsid w:val="78EC78E8"/>
    <w:rsid w:val="78F06E88"/>
    <w:rsid w:val="79143474"/>
    <w:rsid w:val="791548D9"/>
    <w:rsid w:val="791D747D"/>
    <w:rsid w:val="792878E4"/>
    <w:rsid w:val="792A5904"/>
    <w:rsid w:val="792C76C0"/>
    <w:rsid w:val="79494343"/>
    <w:rsid w:val="7987109F"/>
    <w:rsid w:val="79905EA0"/>
    <w:rsid w:val="79A11E5C"/>
    <w:rsid w:val="79AA7ABF"/>
    <w:rsid w:val="79DD6C0C"/>
    <w:rsid w:val="79E14DD4"/>
    <w:rsid w:val="79E32474"/>
    <w:rsid w:val="79F006ED"/>
    <w:rsid w:val="7A347300"/>
    <w:rsid w:val="7A380C95"/>
    <w:rsid w:val="7A6F1F5A"/>
    <w:rsid w:val="7A747570"/>
    <w:rsid w:val="7A756E44"/>
    <w:rsid w:val="7A7E219D"/>
    <w:rsid w:val="7A804167"/>
    <w:rsid w:val="7A904DD0"/>
    <w:rsid w:val="7AB67B89"/>
    <w:rsid w:val="7ABB519F"/>
    <w:rsid w:val="7AC1208A"/>
    <w:rsid w:val="7AC35E02"/>
    <w:rsid w:val="7AD65B35"/>
    <w:rsid w:val="7AE069B4"/>
    <w:rsid w:val="7AF97A75"/>
    <w:rsid w:val="7B590514"/>
    <w:rsid w:val="7B5C4035"/>
    <w:rsid w:val="7B620780"/>
    <w:rsid w:val="7B845591"/>
    <w:rsid w:val="7B917CAE"/>
    <w:rsid w:val="7BB45177"/>
    <w:rsid w:val="7BD070B1"/>
    <w:rsid w:val="7BD9148B"/>
    <w:rsid w:val="7BD96F9B"/>
    <w:rsid w:val="7BDA233A"/>
    <w:rsid w:val="7BE81FC4"/>
    <w:rsid w:val="7BF47178"/>
    <w:rsid w:val="7BF72207"/>
    <w:rsid w:val="7C0D37D8"/>
    <w:rsid w:val="7C2A1694"/>
    <w:rsid w:val="7C35307A"/>
    <w:rsid w:val="7C357264"/>
    <w:rsid w:val="7C4A4A2C"/>
    <w:rsid w:val="7C833A9B"/>
    <w:rsid w:val="7C8E1CF9"/>
    <w:rsid w:val="7CA6465A"/>
    <w:rsid w:val="7CB400F8"/>
    <w:rsid w:val="7CB71996"/>
    <w:rsid w:val="7CBE53E4"/>
    <w:rsid w:val="7CC16371"/>
    <w:rsid w:val="7CEB12FB"/>
    <w:rsid w:val="7CFF2350"/>
    <w:rsid w:val="7D142945"/>
    <w:rsid w:val="7D364FB1"/>
    <w:rsid w:val="7D3923AB"/>
    <w:rsid w:val="7D5B4A17"/>
    <w:rsid w:val="7DB54128"/>
    <w:rsid w:val="7DCF4ABD"/>
    <w:rsid w:val="7DE85803"/>
    <w:rsid w:val="7E017037"/>
    <w:rsid w:val="7E176B90"/>
    <w:rsid w:val="7E490D14"/>
    <w:rsid w:val="7E4B05E8"/>
    <w:rsid w:val="7E522354"/>
    <w:rsid w:val="7E755665"/>
    <w:rsid w:val="7E851D4C"/>
    <w:rsid w:val="7EAB72D9"/>
    <w:rsid w:val="7EB76401"/>
    <w:rsid w:val="7EF62835"/>
    <w:rsid w:val="7F0926C6"/>
    <w:rsid w:val="7F1B1071"/>
    <w:rsid w:val="7F403EC5"/>
    <w:rsid w:val="7F533BF8"/>
    <w:rsid w:val="7F5C33A6"/>
    <w:rsid w:val="7F625BE9"/>
    <w:rsid w:val="7F7F2C3F"/>
    <w:rsid w:val="7F8A15E4"/>
    <w:rsid w:val="7F912972"/>
    <w:rsid w:val="7FAA01B2"/>
    <w:rsid w:val="7FAA544D"/>
    <w:rsid w:val="7FB34697"/>
    <w:rsid w:val="7FC17096"/>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next w:val="1"/>
    <w:autoRedefine/>
    <w:qFormat/>
    <w:uiPriority w:val="0"/>
    <w:pPr>
      <w:ind w:firstLine="420"/>
    </w:pPr>
    <w:rPr>
      <w:rFonts w:ascii="宋体" w:hAnsi="Courier New"/>
      <w:szCs w:val="20"/>
    </w:rPr>
  </w:style>
  <w:style w:type="paragraph" w:styleId="4">
    <w:name w:val="footer"/>
    <w:basedOn w:val="1"/>
    <w:qFormat/>
    <w:uiPriority w:val="0"/>
    <w:pPr>
      <w:tabs>
        <w:tab w:val="center" w:pos="4153"/>
        <w:tab w:val="right" w:pos="8306"/>
      </w:tabs>
      <w:snapToGrid w:val="0"/>
      <w:ind w:right="210" w:rightChars="100"/>
      <w:jc w:val="right"/>
    </w:pPr>
    <w:rPr>
      <w:sz w:val="18"/>
      <w:szCs w:val="18"/>
    </w:rPr>
  </w:style>
  <w:style w:type="paragraph" w:styleId="5">
    <w:name w:val="header"/>
    <w:basedOn w:val="1"/>
    <w:link w:val="40"/>
    <w:qFormat/>
    <w:uiPriority w:val="0"/>
    <w:pPr>
      <w:pBdr>
        <w:bottom w:val="single" w:color="auto" w:sz="6" w:space="1"/>
      </w:pBdr>
      <w:tabs>
        <w:tab w:val="center" w:pos="4153"/>
        <w:tab w:val="right" w:pos="8306"/>
      </w:tabs>
      <w:snapToGrid w:val="0"/>
      <w:jc w:val="center"/>
    </w:pPr>
    <w:rPr>
      <w:sz w:val="18"/>
      <w:szCs w:val="18"/>
    </w:rPr>
  </w:style>
  <w:style w:type="paragraph" w:styleId="6">
    <w:name w:val="table of figures"/>
    <w:basedOn w:val="1"/>
    <w:next w:val="1"/>
    <w:qFormat/>
    <w:uiPriority w:val="0"/>
    <w:pPr>
      <w:ind w:left="200" w:leftChars="200" w:hanging="200" w:hangingChars="200"/>
    </w:pPr>
    <w:rPr>
      <w:sz w:val="24"/>
    </w:rPr>
  </w:style>
  <w:style w:type="paragraph" w:styleId="7">
    <w:name w:val="HTML Preformatted"/>
    <w:basedOn w:val="1"/>
    <w:autoRedefine/>
    <w:unhideWhenUsed/>
    <w:qFormat/>
    <w:uiPriority w:val="99"/>
    <w:rPr>
      <w:rFonts w:ascii="Courier New" w:hAnsi="Courier New"/>
      <w:sz w:val="20"/>
      <w:szCs w:val="20"/>
    </w:rPr>
  </w:style>
  <w:style w:type="paragraph" w:styleId="8">
    <w:name w:val="Title"/>
    <w:basedOn w:val="1"/>
    <w:next w:val="1"/>
    <w:autoRedefine/>
    <w:qFormat/>
    <w:uiPriority w:val="0"/>
    <w:pPr>
      <w:spacing w:before="240" w:after="60"/>
      <w:jc w:val="center"/>
      <w:outlineLvl w:val="0"/>
    </w:pPr>
    <w:rPr>
      <w:rFonts w:ascii="Cambria" w:hAnsi="Cambria"/>
      <w:b/>
      <w:bCs/>
      <w:sz w:val="32"/>
      <w:szCs w:val="32"/>
    </w:rPr>
  </w:style>
  <w:style w:type="character" w:styleId="11">
    <w:name w:val="page number"/>
    <w:autoRedefine/>
    <w:qFormat/>
    <w:uiPriority w:val="0"/>
    <w:rPr>
      <w:rFonts w:ascii="Times New Roman" w:hAnsi="Times New Roman" w:eastAsia="宋体"/>
      <w:sz w:val="18"/>
    </w:rPr>
  </w:style>
  <w:style w:type="character" w:styleId="12">
    <w:name w:val="Hyperlink"/>
    <w:basedOn w:val="10"/>
    <w:qFormat/>
    <w:uiPriority w:val="0"/>
    <w:rPr>
      <w:color w:val="0000FF"/>
      <w:u w:val="single"/>
    </w:rPr>
  </w:style>
  <w:style w:type="paragraph" w:customStyle="1" w:styleId="13">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
    <w:name w:val="封面正文"/>
    <w:autoRedefine/>
    <w:qFormat/>
    <w:uiPriority w:val="0"/>
    <w:pPr>
      <w:jc w:val="both"/>
    </w:pPr>
    <w:rPr>
      <w:rFonts w:ascii="Times New Roman" w:hAnsi="Times New Roman" w:eastAsia="宋体" w:cs="Times New Roman"/>
      <w:lang w:val="en-US" w:eastAsia="zh-CN" w:bidi="ar-SA"/>
    </w:rPr>
  </w:style>
  <w:style w:type="paragraph" w:customStyle="1" w:styleId="15">
    <w:name w:val="章标题"/>
    <w:next w:val="16"/>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autoRedefine/>
    <w:qFormat/>
    <w:uiPriority w:val="0"/>
    <w:pPr>
      <w:autoSpaceDE w:val="0"/>
      <w:autoSpaceDN w:val="0"/>
      <w:jc w:val="both"/>
    </w:pPr>
    <w:rPr>
      <w:rFonts w:ascii="宋体" w:hAnsi="Times New Roman" w:eastAsia="宋体" w:cs="Times New Roman"/>
      <w:sz w:val="21"/>
      <w:lang w:val="en-US" w:eastAsia="zh-CN" w:bidi="ar-SA"/>
    </w:rPr>
  </w:style>
  <w:style w:type="paragraph" w:customStyle="1" w:styleId="17">
    <w:name w:val="一级条标题"/>
    <w:next w:val="16"/>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18">
    <w:name w:val="正文表标题"/>
    <w:next w:val="16"/>
    <w:autoRedefine/>
    <w:qFormat/>
    <w:uiPriority w:val="0"/>
    <w:pPr>
      <w:tabs>
        <w:tab w:val="left" w:pos="360"/>
      </w:tabs>
      <w:jc w:val="center"/>
    </w:pPr>
    <w:rPr>
      <w:rFonts w:ascii="黑体" w:hAnsi="Times New Roman" w:eastAsia="黑体" w:cs="Times New Roman"/>
      <w:sz w:val="21"/>
      <w:lang w:val="en-US" w:eastAsia="zh-CN" w:bidi="ar-SA"/>
    </w:rPr>
  </w:style>
  <w:style w:type="paragraph" w:customStyle="1" w:styleId="1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二级条标题"/>
    <w:basedOn w:val="17"/>
    <w:next w:val="16"/>
    <w:autoRedefine/>
    <w:qFormat/>
    <w:uiPriority w:val="0"/>
    <w:pPr>
      <w:tabs>
        <w:tab w:val="clear" w:pos="360"/>
      </w:tabs>
      <w:outlineLvl w:val="3"/>
    </w:pPr>
    <w:rPr>
      <w:kern w:val="2"/>
      <w:szCs w:val="24"/>
    </w:rPr>
  </w:style>
  <w:style w:type="paragraph" w:customStyle="1" w:styleId="21">
    <w:name w:val="三级条标题"/>
    <w:basedOn w:val="22"/>
    <w:next w:val="16"/>
    <w:autoRedefine/>
    <w:qFormat/>
    <w:uiPriority w:val="0"/>
    <w:pPr>
      <w:tabs>
        <w:tab w:val="left" w:pos="360"/>
      </w:tabs>
      <w:outlineLvl w:val="4"/>
    </w:pPr>
  </w:style>
  <w:style w:type="paragraph" w:customStyle="1" w:styleId="22">
    <w:name w:val="二级条标题 Char Char"/>
    <w:basedOn w:val="23"/>
    <w:next w:val="16"/>
    <w:autoRedefine/>
    <w:qFormat/>
    <w:uiPriority w:val="0"/>
    <w:pPr>
      <w:numPr>
        <w:ilvl w:val="0"/>
        <w:numId w:val="0"/>
      </w:numPr>
      <w:outlineLvl w:val="3"/>
    </w:pPr>
  </w:style>
  <w:style w:type="paragraph" w:customStyle="1" w:styleId="23">
    <w:name w:val="一级条标题 Char Char Char Char"/>
    <w:next w:val="16"/>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4">
    <w:name w:val="终结线"/>
    <w:basedOn w:val="1"/>
    <w:autoRedefine/>
    <w:qFormat/>
    <w:uiPriority w:val="0"/>
    <w:pPr>
      <w:framePr w:hSpace="181" w:vSpace="181" w:wrap="around" w:vAnchor="text" w:hAnchor="margin" w:xAlign="center" w:y="285"/>
    </w:pPr>
  </w:style>
  <w:style w:type="paragraph" w:customStyle="1" w:styleId="25">
    <w:name w:val="实施日期"/>
    <w:basedOn w:val="26"/>
    <w:autoRedefine/>
    <w:qFormat/>
    <w:uiPriority w:val="0"/>
    <w:pPr>
      <w:framePr w:hSpace="0" w:wrap="around" w:xAlign="right"/>
      <w:numPr>
        <w:ilvl w:val="4"/>
        <w:numId w:val="1"/>
      </w:numPr>
      <w:jc w:val="right"/>
    </w:pPr>
  </w:style>
  <w:style w:type="paragraph" w:customStyle="1" w:styleId="26">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7">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8">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9">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0">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1">
    <w:name w:val="发布"/>
    <w:autoRedefine/>
    <w:qFormat/>
    <w:uiPriority w:val="0"/>
    <w:rPr>
      <w:rFonts w:ascii="黑体" w:eastAsia="黑体"/>
      <w:spacing w:val="22"/>
      <w:w w:val="100"/>
      <w:position w:val="3"/>
      <w:sz w:val="28"/>
    </w:rPr>
  </w:style>
  <w:style w:type="paragraph" w:customStyle="1" w:styleId="32">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3">
    <w:name w:val="标准书眉一"/>
    <w:autoRedefine/>
    <w:qFormat/>
    <w:uiPriority w:val="0"/>
    <w:pPr>
      <w:jc w:val="both"/>
    </w:pPr>
    <w:rPr>
      <w:rFonts w:ascii="Times New Roman" w:hAnsi="Times New Roman" w:eastAsia="宋体" w:cs="Times New Roman"/>
      <w:lang w:val="en-US" w:eastAsia="zh-CN" w:bidi="ar-SA"/>
    </w:rPr>
  </w:style>
  <w:style w:type="paragraph" w:customStyle="1" w:styleId="34">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35">
    <w:name w:val="CM31"/>
    <w:basedOn w:val="36"/>
    <w:next w:val="36"/>
    <w:autoRedefine/>
    <w:unhideWhenUsed/>
    <w:qFormat/>
    <w:uiPriority w:val="99"/>
  </w:style>
  <w:style w:type="paragraph" w:customStyle="1" w:styleId="36">
    <w:name w:val="Default"/>
    <w:next w:val="6"/>
    <w:autoRedefine/>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37">
    <w:name w:val="Table Text"/>
    <w:basedOn w:val="1"/>
    <w:semiHidden/>
    <w:qFormat/>
    <w:uiPriority w:val="0"/>
    <w:rPr>
      <w:rFonts w:ascii="宋体" w:hAnsi="宋体" w:cs="宋体"/>
      <w:sz w:val="18"/>
      <w:szCs w:val="18"/>
      <w:lang w:eastAsia="en-US"/>
    </w:rPr>
  </w:style>
  <w:style w:type="table" w:customStyle="1" w:styleId="38">
    <w:name w:val="Table Normal"/>
    <w:semiHidden/>
    <w:unhideWhenUsed/>
    <w:qFormat/>
    <w:uiPriority w:val="0"/>
    <w:tblPr>
      <w:tblCellMar>
        <w:top w:w="0" w:type="dxa"/>
        <w:left w:w="0" w:type="dxa"/>
        <w:bottom w:w="0" w:type="dxa"/>
        <w:right w:w="0" w:type="dxa"/>
      </w:tblCellMar>
    </w:tblPr>
  </w:style>
  <w:style w:type="paragraph" w:customStyle="1" w:styleId="39">
    <w:name w:val="前言、引言标题"/>
    <w:next w:val="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0">
    <w:name w:val="页眉 字符"/>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7</Pages>
  <Words>2543</Words>
  <Characters>3072</Characters>
  <Lines>23</Lines>
  <Paragraphs>6</Paragraphs>
  <TotalTime>97</TotalTime>
  <ScaleCrop>false</ScaleCrop>
  <LinksUpToDate>false</LinksUpToDate>
  <CharactersWithSpaces>3218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2024-08-14T08:49:00Z</dcterms:created>
  <dc:creator>吃了防腐剂的芒果少女</dc:creator>
  <cp:lastModifiedBy>llhliulihua</cp:lastModifiedBy>
  <cp:lastPrinted>2024-08-21T02:41:00Z</cp:lastPrinted>
  <dcterms:modified xsi:type="dcterms:W3CDTF">2025-06-10T08:37:44Z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695098094D3E41A68BA031BB3C20DA80_13</vt:lpwstr>
  </property>
  <property fmtid="{D5CDD505-2E9C-101B-9397-08002B2CF9AE}" pid="4" name="KSOTemplateDocerSaveRecord">
    <vt:lpwstr>eyJoZGlkIjoiN2JjNjlkY2Y1Y2NkZGE5Y2Q5NGZmMDVlNzZhMDkwMDUiLCJ1c2VySWQiOiI2NzY3MTU3NDcifQ==</vt:lpwstr>
  </property>
</Properties>
</file>