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ind w:firstLine="0" w:firstLineChars="0"/>
        <w:jc w:val="center"/>
        <w:rPr>
          <w:rFonts w:ascii="宋体" w:hAnsi="Courier New" w:eastAsia="黑体" w:cs="Times New Roman"/>
          <w:b/>
          <w:kern w:val="2"/>
          <w:sz w:val="32"/>
          <w:szCs w:val="32"/>
          <w:lang w:bidi="ar-SA"/>
        </w:rPr>
      </w:pPr>
      <w:bookmarkStart w:id="0" w:name="OLE_LINK7"/>
      <w:bookmarkStart w:id="1" w:name="_Toc34064617"/>
      <w:bookmarkStart w:id="2" w:name="_Toc34064675"/>
      <w:r>
        <w:rPr>
          <w:rFonts w:hint="eastAsia" w:ascii="宋体" w:hAnsi="Courier New" w:eastAsia="黑体" w:cs="Times New Roman"/>
          <w:b/>
          <w:kern w:val="2"/>
          <w:sz w:val="32"/>
          <w:szCs w:val="32"/>
          <w:lang w:bidi="ar-SA"/>
        </w:rPr>
        <w:t>团体标准《通辽牛肉分割技术规程》(征求意见稿)</w:t>
      </w:r>
    </w:p>
    <w:p>
      <w:pPr>
        <w:widowControl w:val="0"/>
        <w:adjustRightInd/>
        <w:snapToGrid/>
        <w:ind w:firstLine="0" w:firstLineChars="0"/>
        <w:jc w:val="center"/>
        <w:rPr>
          <w:rFonts w:ascii="宋体" w:hAnsi="Courier New" w:eastAsia="黑体" w:cs="Times New Roman"/>
          <w:b/>
          <w:kern w:val="2"/>
          <w:sz w:val="32"/>
          <w:szCs w:val="32"/>
          <w:lang w:bidi="ar-SA"/>
        </w:rPr>
      </w:pPr>
      <w:r>
        <w:rPr>
          <w:rFonts w:hint="eastAsia" w:ascii="宋体" w:hAnsi="Courier New" w:eastAsia="黑体" w:cs="Times New Roman"/>
          <w:b/>
          <w:kern w:val="2"/>
          <w:sz w:val="32"/>
          <w:szCs w:val="32"/>
          <w:lang w:bidi="ar-SA"/>
        </w:rPr>
        <w:t>编制说明</w:t>
      </w:r>
    </w:p>
    <w:bookmarkEnd w:id="0"/>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一、工作简况</w:t>
      </w:r>
      <w:bookmarkStart w:id="3" w:name="OLE_LINK9"/>
    </w:p>
    <w:bookmarkEnd w:id="3"/>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4" w:name="OLE_LINK13"/>
      <w:r>
        <w:rPr>
          <w:rFonts w:hint="eastAsia" w:ascii="Times New Roman" w:hAnsi="Times New Roman" w:eastAsia="楷体" w:cs="Times New Roman"/>
          <w:kern w:val="2"/>
          <w:sz w:val="28"/>
          <w:lang w:bidi="ar-SA"/>
        </w:rPr>
        <w:t>（一）任务来源</w:t>
      </w:r>
    </w:p>
    <w:bookmarkEnd w:id="4"/>
    <w:p>
      <w:pPr>
        <w:ind w:firstLine="560"/>
        <w:rPr>
          <w:rFonts w:hint="eastAsia" w:ascii="Times New Roman" w:hAnsi="Times New Roman" w:cs="Times New Roman"/>
          <w:snapToGrid w:val="0"/>
          <w:sz w:val="24"/>
          <w:szCs w:val="24"/>
        </w:rPr>
      </w:pPr>
      <w:r>
        <w:rPr>
          <w:snapToGrid w:val="0"/>
          <w:sz w:val="24"/>
          <w:szCs w:val="24"/>
        </w:rPr>
        <w:t>本</w:t>
      </w:r>
      <w:r>
        <w:rPr>
          <w:rFonts w:hint="eastAsia"/>
          <w:snapToGrid w:val="0"/>
          <w:sz w:val="24"/>
          <w:szCs w:val="24"/>
        </w:rPr>
        <w:t>任务来自中国肉类</w:t>
      </w:r>
      <w:r>
        <w:rPr>
          <w:rFonts w:ascii="Times New Roman" w:hAnsi="Times New Roman" w:cs="Times New Roman"/>
          <w:snapToGrid w:val="0"/>
          <w:sz w:val="24"/>
          <w:szCs w:val="24"/>
        </w:rPr>
        <w:t>协会2024年标准修订项目。肉牛产业是通辽市优势特色主导产业，具有中国草原肉牛之都等美誉。2023年《内蒙古自治区政府工作报告》特别提出“支持通辽建设全国肉牛产业第一重镇”</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同年我市发布《通辽全国肉牛产业第一重镇建设白皮书》，为助力“通辽肉牛”向“通辽牛肉”转变，提高通辽肉牛产业发展</w:t>
      </w:r>
      <w:r>
        <w:rPr>
          <w:rFonts w:hint="eastAsia" w:ascii="Times New Roman" w:hAnsi="Times New Roman" w:cs="Times New Roman"/>
          <w:snapToGrid w:val="0"/>
          <w:sz w:val="24"/>
          <w:szCs w:val="24"/>
        </w:rPr>
        <w:t>的质量和效益、</w:t>
      </w:r>
      <w:r>
        <w:rPr>
          <w:rFonts w:ascii="Times New Roman" w:hAnsi="Times New Roman" w:cs="Times New Roman"/>
          <w:snapToGrid w:val="0"/>
          <w:sz w:val="24"/>
          <w:szCs w:val="24"/>
        </w:rPr>
        <w:t>支撑通辽牛肉品质提升</w:t>
      </w:r>
      <w:r>
        <w:rPr>
          <w:rFonts w:hint="eastAsia" w:ascii="Times New Roman" w:hAnsi="Times New Roman" w:cs="Times New Roman"/>
          <w:snapToGrid w:val="0"/>
          <w:sz w:val="24"/>
          <w:szCs w:val="24"/>
        </w:rPr>
        <w:t>、品牌打造。</w:t>
      </w:r>
    </w:p>
    <w:p>
      <w:pPr>
        <w:ind w:firstLine="560"/>
        <w:rPr>
          <w:rFonts w:ascii="Times New Roman" w:hAnsi="Times New Roman"/>
          <w:sz w:val="28"/>
        </w:rPr>
      </w:pPr>
      <w:r>
        <w:rPr>
          <w:rFonts w:ascii="Times New Roman" w:hAnsi="Times New Roman"/>
          <w:sz w:val="28"/>
        </w:rPr>
        <w:t>（二）起草单位</w:t>
      </w:r>
      <w:r>
        <w:rPr>
          <w:rFonts w:hint="eastAsia" w:ascii="Times New Roman" w:hAnsi="Times New Roman"/>
          <w:sz w:val="28"/>
        </w:rPr>
        <w:t>、起草人</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略。</w:t>
      </w:r>
    </w:p>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5" w:name="OLE_LINK18"/>
      <w:r>
        <w:rPr>
          <w:rFonts w:hint="eastAsia" w:ascii="Times New Roman" w:hAnsi="Times New Roman" w:eastAsia="楷体" w:cs="Times New Roman"/>
          <w:kern w:val="2"/>
          <w:sz w:val="28"/>
          <w:lang w:bidi="ar-SA"/>
        </w:rPr>
        <w:t>（三）主要工作过程</w:t>
      </w:r>
    </w:p>
    <w:bookmarkEnd w:id="5"/>
    <w:p>
      <w:pPr>
        <w:ind w:firstLine="482"/>
        <w:rPr>
          <w:rFonts w:hint="eastAsia"/>
          <w:b/>
          <w:bCs/>
          <w:snapToGrid w:val="0"/>
          <w:sz w:val="24"/>
          <w:szCs w:val="24"/>
        </w:rPr>
      </w:pPr>
      <w:bookmarkStart w:id="6" w:name="OLE_LINK28"/>
      <w:r>
        <w:rPr>
          <w:b/>
          <w:bCs/>
          <w:snapToGrid w:val="0"/>
          <w:sz w:val="24"/>
          <w:szCs w:val="24"/>
        </w:rPr>
        <w:t>1.起草阶段</w:t>
      </w:r>
    </w:p>
    <w:bookmarkEnd w:id="6"/>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1）</w:t>
      </w:r>
      <w:r>
        <w:rPr>
          <w:rFonts w:ascii="Times New Roman" w:hAnsi="Times New Roman" w:cs="Times New Roman"/>
          <w:snapToGrid w:val="0"/>
          <w:sz w:val="24"/>
          <w:szCs w:val="24"/>
        </w:rPr>
        <w:t>202</w:t>
      </w:r>
      <w:r>
        <w:rPr>
          <w:rFonts w:hint="eastAsia" w:ascii="Times New Roman" w:hAnsi="Times New Roman" w:cs="Times New Roman"/>
          <w:snapToGrid w:val="0"/>
          <w:sz w:val="24"/>
          <w:szCs w:val="24"/>
        </w:rPr>
        <w:t>5</w:t>
      </w:r>
      <w:r>
        <w:rPr>
          <w:rFonts w:ascii="Times New Roman" w:hAnsi="Times New Roman" w:cs="Times New Roman"/>
          <w:snapToGrid w:val="0"/>
          <w:sz w:val="24"/>
          <w:szCs w:val="24"/>
        </w:rPr>
        <w:t>年</w:t>
      </w:r>
      <w:r>
        <w:rPr>
          <w:rFonts w:hint="eastAsia" w:ascii="Times New Roman" w:hAnsi="Times New Roman" w:cs="Times New Roman"/>
          <w:snapToGrid w:val="0"/>
          <w:sz w:val="24"/>
          <w:szCs w:val="24"/>
        </w:rPr>
        <w:t>1</w:t>
      </w:r>
      <w:r>
        <w:rPr>
          <w:rFonts w:ascii="Times New Roman" w:hAnsi="Times New Roman" w:cs="Times New Roman"/>
          <w:snapToGrid w:val="0"/>
          <w:sz w:val="24"/>
          <w:szCs w:val="24"/>
        </w:rPr>
        <w:t>月-</w:t>
      </w:r>
      <w:r>
        <w:rPr>
          <w:rFonts w:hint="eastAsia" w:ascii="Times New Roman" w:hAnsi="Times New Roman" w:cs="Times New Roman"/>
          <w:snapToGrid w:val="0"/>
          <w:sz w:val="24"/>
          <w:szCs w:val="24"/>
        </w:rPr>
        <w:t>3</w:t>
      </w:r>
      <w:r>
        <w:rPr>
          <w:rFonts w:ascii="Times New Roman" w:hAnsi="Times New Roman" w:cs="Times New Roman"/>
          <w:snapToGrid w:val="0"/>
          <w:sz w:val="24"/>
          <w:szCs w:val="24"/>
        </w:rPr>
        <w:t>月，收集与起草标准需求相关的国家标准、政策法规、技术资料等信息，对资料进行分析，为标准起草工作提供依据。</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2）</w:t>
      </w:r>
      <w:r>
        <w:rPr>
          <w:rFonts w:ascii="Times New Roman" w:hAnsi="Times New Roman" w:cs="Times New Roman"/>
          <w:snapToGrid w:val="0"/>
          <w:sz w:val="24"/>
          <w:szCs w:val="24"/>
        </w:rPr>
        <w:t>202</w:t>
      </w:r>
      <w:r>
        <w:rPr>
          <w:rFonts w:hint="eastAsia" w:ascii="Times New Roman" w:hAnsi="Times New Roman" w:cs="Times New Roman"/>
          <w:snapToGrid w:val="0"/>
          <w:sz w:val="24"/>
          <w:szCs w:val="24"/>
        </w:rPr>
        <w:t>5</w:t>
      </w:r>
      <w:r>
        <w:rPr>
          <w:rFonts w:ascii="Times New Roman" w:hAnsi="Times New Roman" w:cs="Times New Roman"/>
          <w:snapToGrid w:val="0"/>
          <w:sz w:val="24"/>
          <w:szCs w:val="24"/>
        </w:rPr>
        <w:t>年</w:t>
      </w:r>
      <w:r>
        <w:rPr>
          <w:rFonts w:hint="eastAsia" w:ascii="Times New Roman" w:hAnsi="Times New Roman" w:cs="Times New Roman"/>
          <w:snapToGrid w:val="0"/>
          <w:sz w:val="24"/>
          <w:szCs w:val="24"/>
        </w:rPr>
        <w:t>4</w:t>
      </w:r>
      <w:r>
        <w:rPr>
          <w:rFonts w:ascii="Times New Roman" w:hAnsi="Times New Roman" w:cs="Times New Roman"/>
          <w:snapToGrid w:val="0"/>
          <w:sz w:val="24"/>
          <w:szCs w:val="24"/>
        </w:rPr>
        <w:t>月</w:t>
      </w:r>
      <w:r>
        <w:rPr>
          <w:rFonts w:hint="eastAsia" w:ascii="Times New Roman" w:hAnsi="Times New Roman" w:cs="Times New Roman"/>
          <w:snapToGrid w:val="0"/>
          <w:sz w:val="24"/>
          <w:szCs w:val="24"/>
        </w:rPr>
        <w:t>10</w:t>
      </w:r>
      <w:r>
        <w:rPr>
          <w:rFonts w:ascii="Times New Roman" w:hAnsi="Times New Roman" w:cs="Times New Roman"/>
          <w:snapToGrid w:val="0"/>
          <w:sz w:val="24"/>
          <w:szCs w:val="24"/>
        </w:rPr>
        <w:t>日</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团体标准起草工作组完成了《通辽牛肉分割技术规程》工作组讨论稿。</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3）</w:t>
      </w:r>
      <w:r>
        <w:rPr>
          <w:rFonts w:ascii="Times New Roman" w:hAnsi="Times New Roman" w:cs="Times New Roman"/>
          <w:snapToGrid w:val="0"/>
          <w:sz w:val="24"/>
          <w:szCs w:val="24"/>
        </w:rPr>
        <w:t>2024年</w:t>
      </w:r>
      <w:r>
        <w:rPr>
          <w:rFonts w:hint="eastAsia" w:ascii="Times New Roman" w:hAnsi="Times New Roman" w:cs="Times New Roman"/>
          <w:snapToGrid w:val="0"/>
          <w:sz w:val="24"/>
          <w:szCs w:val="24"/>
        </w:rPr>
        <w:t>4</w:t>
      </w:r>
      <w:r>
        <w:rPr>
          <w:rFonts w:ascii="Times New Roman" w:hAnsi="Times New Roman" w:cs="Times New Roman"/>
          <w:snapToGrid w:val="0"/>
          <w:sz w:val="24"/>
          <w:szCs w:val="24"/>
        </w:rPr>
        <w:t>月</w:t>
      </w:r>
      <w:r>
        <w:rPr>
          <w:rFonts w:hint="eastAsia" w:ascii="Times New Roman" w:hAnsi="Times New Roman" w:cs="Times New Roman"/>
          <w:snapToGrid w:val="0"/>
          <w:sz w:val="24"/>
          <w:szCs w:val="24"/>
        </w:rPr>
        <w:t>21-23日</w:t>
      </w:r>
      <w:r>
        <w:rPr>
          <w:rFonts w:ascii="Times New Roman" w:hAnsi="Times New Roman" w:cs="Times New Roman"/>
          <w:snapToGrid w:val="0"/>
          <w:sz w:val="24"/>
          <w:szCs w:val="24"/>
        </w:rPr>
        <w:t>，起草工作组考察了通辽市</w:t>
      </w:r>
      <w:r>
        <w:rPr>
          <w:rFonts w:hint="eastAsia" w:ascii="Times New Roman" w:hAnsi="Times New Roman" w:cs="Times New Roman"/>
          <w:snapToGrid w:val="0"/>
          <w:sz w:val="24"/>
          <w:szCs w:val="24"/>
        </w:rPr>
        <w:t>多家</w:t>
      </w:r>
      <w:r>
        <w:rPr>
          <w:rFonts w:ascii="Times New Roman" w:hAnsi="Times New Roman" w:cs="Times New Roman"/>
          <w:snapToGrid w:val="0"/>
          <w:sz w:val="24"/>
          <w:szCs w:val="24"/>
        </w:rPr>
        <w:t>肉牛加工企业</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在通辽市召开了标准起草工作组会议</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邀请行业专家代表及企业专家代表参与讨论，确保修订结果的准确性和全面性。根据会议讨论意见</w:t>
      </w:r>
      <w:r>
        <w:rPr>
          <w:rFonts w:hint="eastAsia" w:ascii="Times New Roman" w:hAnsi="Times New Roman" w:cs="Times New Roman"/>
          <w:snapToGrid w:val="0"/>
          <w:sz w:val="24"/>
          <w:szCs w:val="24"/>
        </w:rPr>
        <w:t>，对</w:t>
      </w:r>
      <w:r>
        <w:rPr>
          <w:rFonts w:ascii="Times New Roman" w:hAnsi="Times New Roman" w:cs="Times New Roman"/>
          <w:snapToGrid w:val="0"/>
          <w:sz w:val="24"/>
          <w:szCs w:val="24"/>
        </w:rPr>
        <w:t>标准讨论稿进行调整、修改</w:t>
      </w:r>
      <w:r>
        <w:rPr>
          <w:rFonts w:hint="eastAsia" w:ascii="Times New Roman" w:hAnsi="Times New Roman" w:cs="Times New Roman"/>
          <w:snapToGrid w:val="0"/>
          <w:sz w:val="24"/>
          <w:szCs w:val="24"/>
        </w:rPr>
        <w:t>和</w:t>
      </w:r>
      <w:r>
        <w:rPr>
          <w:rFonts w:ascii="Times New Roman" w:hAnsi="Times New Roman" w:cs="Times New Roman"/>
          <w:snapToGrid w:val="0"/>
          <w:sz w:val="24"/>
          <w:szCs w:val="24"/>
        </w:rPr>
        <w:t>内容补充</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形成了《通辽牛肉分割技术规程》征求意见稿。</w:t>
      </w:r>
    </w:p>
    <w:p>
      <w:pPr>
        <w:ind w:firstLine="482"/>
        <w:rPr>
          <w:rFonts w:hint="eastAsia"/>
          <w:b/>
          <w:bCs/>
          <w:snapToGrid w:val="0"/>
          <w:sz w:val="24"/>
          <w:szCs w:val="24"/>
        </w:rPr>
      </w:pPr>
      <w:r>
        <w:rPr>
          <w:rFonts w:hint="eastAsia"/>
          <w:b/>
          <w:bCs/>
          <w:snapToGrid w:val="0"/>
          <w:sz w:val="24"/>
          <w:szCs w:val="24"/>
        </w:rPr>
        <w:t>2</w:t>
      </w:r>
      <w:r>
        <w:rPr>
          <w:b/>
          <w:bCs/>
          <w:snapToGrid w:val="0"/>
          <w:sz w:val="24"/>
          <w:szCs w:val="24"/>
        </w:rPr>
        <w:t>.</w:t>
      </w:r>
      <w:r>
        <w:rPr>
          <w:rFonts w:hint="eastAsia"/>
          <w:b/>
          <w:bCs/>
          <w:snapToGrid w:val="0"/>
          <w:sz w:val="24"/>
          <w:szCs w:val="24"/>
        </w:rPr>
        <w:t>征求意见阶段</w:t>
      </w:r>
    </w:p>
    <w:p>
      <w:pPr>
        <w:pStyle w:val="6"/>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w:t>
      </w:r>
    </w:p>
    <w:p>
      <w:pPr>
        <w:ind w:firstLine="482"/>
        <w:rPr>
          <w:rFonts w:hint="eastAsia"/>
          <w:b/>
          <w:bCs/>
          <w:snapToGrid w:val="0"/>
          <w:sz w:val="24"/>
          <w:szCs w:val="24"/>
        </w:rPr>
      </w:pPr>
      <w:r>
        <w:rPr>
          <w:rFonts w:hint="eastAsia"/>
          <w:b/>
          <w:bCs/>
          <w:snapToGrid w:val="0"/>
          <w:sz w:val="24"/>
          <w:szCs w:val="24"/>
        </w:rPr>
        <w:t>3.审查阶段</w:t>
      </w:r>
      <w:bookmarkStart w:id="7" w:name="OLE_LINK129"/>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w:t>
      </w:r>
    </w:p>
    <w:p>
      <w:pPr>
        <w:pStyle w:val="2"/>
        <w:keepNext w:val="0"/>
        <w:keepLines w:val="0"/>
        <w:widowControl w:val="0"/>
        <w:adjustRightInd/>
        <w:snapToGrid/>
        <w:ind w:firstLine="560"/>
        <w:rPr>
          <w:rFonts w:ascii="Times New Roman" w:hAnsi="Times New Roman" w:cs="Times New Roman"/>
          <w:b w:val="0"/>
          <w:bCs/>
          <w:szCs w:val="44"/>
          <w:lang w:bidi="ar-SA"/>
        </w:rPr>
      </w:pPr>
      <w:bookmarkStart w:id="8" w:name="OLE_LINK20"/>
      <w:bookmarkStart w:id="9" w:name="OLE_LINK19"/>
      <w:r>
        <w:rPr>
          <w:rFonts w:hint="eastAsia" w:ascii="Times New Roman" w:hAnsi="Times New Roman" w:cs="Times New Roman"/>
          <w:b w:val="0"/>
          <w:bCs/>
          <w:szCs w:val="44"/>
          <w:lang w:bidi="ar-SA"/>
        </w:rPr>
        <w:t>二、标准编制原则和确定标准主要内容的依据</w:t>
      </w:r>
    </w:p>
    <w:bookmarkEnd w:id="7"/>
    <w:bookmarkEnd w:id="8"/>
    <w:bookmarkEnd w:id="9"/>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10" w:name="OLE_LINK21"/>
      <w:r>
        <w:rPr>
          <w:rFonts w:hint="eastAsia" w:ascii="Times New Roman" w:hAnsi="Times New Roman" w:eastAsia="楷体" w:cs="Times New Roman"/>
          <w:kern w:val="2"/>
          <w:sz w:val="28"/>
          <w:lang w:bidi="ar-SA"/>
        </w:rPr>
        <w:t>（一）标准的修订原则</w:t>
      </w:r>
    </w:p>
    <w:bookmarkEnd w:id="10"/>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按照GB/T 1.1</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第1部分：标准化文件的结构和起草规则》、GB/T 1.2</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第2部分：以ISO/IEC标准化文件为基础的标准化文件起草规则》、GB/T 20001.4</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2015《标准编制规则 第4部分：试验方法标准》的规定和要求</w:t>
      </w:r>
      <w:r>
        <w:rPr>
          <w:rFonts w:hint="eastAsia" w:ascii="Times New Roman" w:hAnsi="Times New Roman" w:cs="Times New Roman"/>
          <w:snapToGrid w:val="0"/>
          <w:sz w:val="24"/>
          <w:szCs w:val="24"/>
        </w:rPr>
        <w:t>对标准进行修订编写</w:t>
      </w:r>
      <w:r>
        <w:rPr>
          <w:rFonts w:ascii="Times New Roman" w:hAnsi="Times New Roman" w:cs="Times New Roman"/>
          <w:snapToGrid w:val="0"/>
          <w:sz w:val="24"/>
          <w:szCs w:val="24"/>
        </w:rPr>
        <w:t>。</w:t>
      </w:r>
      <w:r>
        <w:rPr>
          <w:rFonts w:hint="eastAsia" w:ascii="Times New Roman" w:hAnsi="Times New Roman" w:cs="Times New Roman"/>
          <w:snapToGrid w:val="0"/>
          <w:sz w:val="24"/>
          <w:szCs w:val="24"/>
        </w:rPr>
        <w:t>本标准的修订遵循以下原则：</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一是</w:t>
      </w:r>
      <w:r>
        <w:rPr>
          <w:rFonts w:ascii="Times New Roman" w:hAnsi="Times New Roman" w:cs="Times New Roman"/>
          <w:snapToGrid w:val="0"/>
          <w:sz w:val="24"/>
          <w:szCs w:val="24"/>
        </w:rPr>
        <w:t>先进性和前瞻性</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本标准制定中，</w:t>
      </w:r>
      <w:r>
        <w:rPr>
          <w:rFonts w:hint="eastAsia" w:ascii="Times New Roman" w:hAnsi="Times New Roman" w:cs="Times New Roman"/>
          <w:snapToGrid w:val="0"/>
          <w:sz w:val="24"/>
          <w:szCs w:val="24"/>
        </w:rPr>
        <w:t>突出</w:t>
      </w:r>
      <w:r>
        <w:rPr>
          <w:rFonts w:ascii="Times New Roman" w:hAnsi="Times New Roman" w:cs="Times New Roman"/>
          <w:snapToGrid w:val="0"/>
          <w:sz w:val="24"/>
          <w:szCs w:val="24"/>
        </w:rPr>
        <w:t>了通辽牛肉的特征，提升了产品的先进性、符合行业未来发展趋势。</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二</w:t>
      </w:r>
      <w:r>
        <w:rPr>
          <w:rFonts w:ascii="Times New Roman" w:hAnsi="Times New Roman" w:cs="Times New Roman"/>
          <w:snapToGrid w:val="0"/>
          <w:sz w:val="24"/>
          <w:szCs w:val="24"/>
        </w:rPr>
        <w:t>是科学性原则。</w:t>
      </w:r>
      <w:r>
        <w:rPr>
          <w:rFonts w:hint="eastAsia" w:ascii="Times New Roman" w:hAnsi="Times New Roman" w:cs="Times New Roman"/>
          <w:snapToGrid w:val="0"/>
          <w:sz w:val="24"/>
          <w:szCs w:val="24"/>
        </w:rPr>
        <w:t>根据实际调研情况产品特性及工艺特点合理规定技术要求，多次调研和征集通辽当地牛肉屠宰加工企业意见，遵照与我国现行食品法律、法规协调一致的原则，参考国内外法规、标准和有关文献资料，科学地确定标准体系框架与修订内容，并对其进行详细的说明。</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三</w:t>
      </w:r>
      <w:r>
        <w:rPr>
          <w:rFonts w:ascii="Times New Roman" w:hAnsi="Times New Roman" w:cs="Times New Roman"/>
          <w:snapToGrid w:val="0"/>
          <w:sz w:val="24"/>
          <w:szCs w:val="24"/>
        </w:rPr>
        <w:t>是适用性原则。本标准与我国现行食品法律、法规协调一致，标准内容便于操作实施，技术要求便于核查管理。在标准修订调研与讨论稿形成过程中，</w:t>
      </w:r>
      <w:r>
        <w:rPr>
          <w:rFonts w:hint="eastAsia" w:ascii="Times New Roman" w:hAnsi="Times New Roman" w:cs="Times New Roman"/>
          <w:snapToGrid w:val="0"/>
          <w:sz w:val="24"/>
          <w:szCs w:val="24"/>
        </w:rPr>
        <w:t>着重</w:t>
      </w:r>
      <w:r>
        <w:rPr>
          <w:rFonts w:ascii="Times New Roman" w:hAnsi="Times New Roman" w:cs="Times New Roman"/>
          <w:snapToGrid w:val="0"/>
          <w:sz w:val="24"/>
          <w:szCs w:val="24"/>
        </w:rPr>
        <w:t>考虑了中国肉类协会等相关协会、</w:t>
      </w:r>
      <w:r>
        <w:rPr>
          <w:rFonts w:hint="eastAsia" w:ascii="Times New Roman" w:hAnsi="Times New Roman" w:cs="Times New Roman"/>
          <w:snapToGrid w:val="0"/>
          <w:sz w:val="24"/>
          <w:szCs w:val="24"/>
        </w:rPr>
        <w:t>通辽当地</w:t>
      </w:r>
      <w:r>
        <w:rPr>
          <w:rFonts w:ascii="Times New Roman" w:hAnsi="Times New Roman" w:cs="Times New Roman"/>
          <w:snapToGrid w:val="0"/>
          <w:sz w:val="24"/>
          <w:szCs w:val="24"/>
        </w:rPr>
        <w:t>网络营销企业与</w:t>
      </w:r>
      <w:r>
        <w:rPr>
          <w:rFonts w:hint="eastAsia" w:ascii="Times New Roman" w:hAnsi="Times New Roman" w:cs="Times New Roman"/>
          <w:snapToGrid w:val="0"/>
          <w:sz w:val="24"/>
          <w:szCs w:val="24"/>
        </w:rPr>
        <w:t>屠宰加工</w:t>
      </w:r>
      <w:r>
        <w:rPr>
          <w:rFonts w:ascii="Times New Roman" w:hAnsi="Times New Roman" w:cs="Times New Roman"/>
          <w:snapToGrid w:val="0"/>
          <w:sz w:val="24"/>
          <w:szCs w:val="24"/>
        </w:rPr>
        <w:t>企业</w:t>
      </w:r>
      <w:r>
        <w:rPr>
          <w:rFonts w:hint="eastAsia" w:ascii="Times New Roman" w:hAnsi="Times New Roman" w:cs="Times New Roman"/>
          <w:snapToGrid w:val="0"/>
          <w:sz w:val="24"/>
          <w:szCs w:val="24"/>
        </w:rPr>
        <w:t>的</w:t>
      </w:r>
      <w:r>
        <w:rPr>
          <w:rFonts w:ascii="Times New Roman" w:hAnsi="Times New Roman" w:cs="Times New Roman"/>
          <w:snapToGrid w:val="0"/>
          <w:sz w:val="24"/>
          <w:szCs w:val="24"/>
        </w:rPr>
        <w:t>标准修订意见，以使标准在符合牛肉生产经营龙头企业的同时，也</w:t>
      </w:r>
      <w:r>
        <w:rPr>
          <w:rFonts w:hint="eastAsia" w:ascii="Times New Roman" w:hAnsi="Times New Roman" w:cs="Times New Roman"/>
          <w:snapToGrid w:val="0"/>
          <w:sz w:val="24"/>
          <w:szCs w:val="24"/>
        </w:rPr>
        <w:t>适用于通辽当地</w:t>
      </w:r>
      <w:r>
        <w:rPr>
          <w:rFonts w:ascii="Times New Roman" w:hAnsi="Times New Roman" w:cs="Times New Roman"/>
          <w:snapToGrid w:val="0"/>
          <w:sz w:val="24"/>
          <w:szCs w:val="24"/>
        </w:rPr>
        <w:t>中小规模化屠宰加工业。</w:t>
      </w:r>
    </w:p>
    <w:p>
      <w:pPr>
        <w:pStyle w:val="3"/>
        <w:keepNext w:val="0"/>
        <w:keepLines w:val="0"/>
        <w:widowControl w:val="0"/>
        <w:adjustRightInd/>
        <w:snapToGrid/>
        <w:ind w:firstLine="562"/>
        <w:rPr>
          <w:rFonts w:ascii="Times New Roman" w:hAnsi="Times New Roman" w:eastAsia="楷体" w:cs="Times New Roman"/>
          <w:kern w:val="2"/>
          <w:sz w:val="28"/>
          <w:lang w:bidi="ar-SA"/>
        </w:rPr>
      </w:pPr>
      <w:r>
        <w:rPr>
          <w:rFonts w:hint="eastAsia" w:ascii="Times New Roman" w:hAnsi="Times New Roman" w:eastAsia="楷体" w:cs="Times New Roman"/>
          <w:kern w:val="2"/>
          <w:sz w:val="28"/>
          <w:lang w:bidi="ar-SA"/>
        </w:rPr>
        <w:t>（二）主要内容的依据</w:t>
      </w:r>
    </w:p>
    <w:p>
      <w:pPr>
        <w:adjustRightInd/>
        <w:snapToGrid/>
        <w:ind w:firstLine="482"/>
        <w:rPr>
          <w:rFonts w:ascii="Times New Roman" w:hAnsi="Times New Roman" w:eastAsia="宋体" w:cs="Times New Roman"/>
          <w:b/>
          <w:bCs/>
          <w:kern w:val="2"/>
          <w:sz w:val="24"/>
          <w:szCs w:val="24"/>
          <w:lang w:bidi="ar-SA"/>
        </w:rPr>
      </w:pPr>
      <w:bookmarkStart w:id="11" w:name="OLE_LINK22"/>
      <w:r>
        <w:rPr>
          <w:rFonts w:ascii="Times New Roman" w:hAnsi="Times New Roman" w:eastAsia="宋体" w:cs="Times New Roman"/>
          <w:b/>
          <w:bCs/>
          <w:kern w:val="2"/>
          <w:sz w:val="24"/>
          <w:szCs w:val="24"/>
          <w:lang w:bidi="ar-SA"/>
        </w:rPr>
        <w:t>1 范围</w:t>
      </w:r>
      <w:bookmarkEnd w:id="1"/>
      <w:bookmarkEnd w:id="2"/>
    </w:p>
    <w:bookmarkEnd w:id="11"/>
    <w:p>
      <w:pPr>
        <w:pStyle w:val="31"/>
        <w:ind w:firstLine="482"/>
        <w:rPr>
          <w:rFonts w:ascii="Times New Roman"/>
          <w:b/>
          <w:bCs/>
          <w:snapToGrid w:val="0"/>
          <w:sz w:val="24"/>
          <w:szCs w:val="24"/>
        </w:rPr>
      </w:pPr>
      <w:r>
        <w:rPr>
          <w:rFonts w:hint="eastAsia" w:ascii="Times New Roman"/>
          <w:b/>
          <w:bCs/>
          <w:snapToGrid w:val="0"/>
          <w:sz w:val="24"/>
          <w:szCs w:val="24"/>
        </w:rPr>
        <w:t>标准文本：</w:t>
      </w:r>
    </w:p>
    <w:p>
      <w:pPr>
        <w:pStyle w:val="31"/>
        <w:ind w:firstLine="480"/>
        <w:rPr>
          <w:rFonts w:ascii="Times New Roman"/>
          <w:snapToGrid w:val="0"/>
          <w:sz w:val="24"/>
          <w:szCs w:val="24"/>
        </w:rPr>
      </w:pPr>
      <w:r>
        <w:rPr>
          <w:rFonts w:hint="eastAsia" w:ascii="Times New Roman"/>
          <w:snapToGrid w:val="0"/>
          <w:sz w:val="24"/>
          <w:szCs w:val="24"/>
        </w:rPr>
        <w:t>本文件规定了通辽牛肉分割车间的基本要求、分割加工卫生要求、技术要求、操作要求、标签、标志、包装、贮存和运输。</w:t>
      </w:r>
    </w:p>
    <w:p>
      <w:pPr>
        <w:pStyle w:val="31"/>
        <w:ind w:firstLine="480"/>
        <w:rPr>
          <w:rFonts w:ascii="Times New Roman"/>
          <w:snapToGrid w:val="0"/>
          <w:sz w:val="24"/>
          <w:szCs w:val="24"/>
        </w:rPr>
      </w:pPr>
      <w:r>
        <w:rPr>
          <w:rFonts w:hint="eastAsia" w:ascii="Times New Roman"/>
          <w:snapToGrid w:val="0"/>
          <w:sz w:val="24"/>
          <w:szCs w:val="24"/>
        </w:rPr>
        <w:t>本文件适用于通辽牛肉分割加工企业。</w:t>
      </w:r>
    </w:p>
    <w:p>
      <w:pPr>
        <w:ind w:firstLine="482"/>
        <w:rPr>
          <w:rFonts w:hint="eastAsia"/>
          <w:b/>
          <w:sz w:val="24"/>
        </w:rPr>
      </w:pPr>
      <w:bookmarkStart w:id="12" w:name="OLE_LINK31"/>
      <w:r>
        <w:rPr>
          <w:rFonts w:hint="eastAsia"/>
          <w:b/>
          <w:sz w:val="24"/>
        </w:rPr>
        <w:t>制定依据：</w:t>
      </w:r>
      <w:bookmarkEnd w:id="12"/>
    </w:p>
    <w:p>
      <w:pPr>
        <w:ind w:firstLine="480"/>
        <w:rPr>
          <w:rFonts w:hint="eastAsia"/>
          <w:b/>
          <w:sz w:val="24"/>
        </w:rPr>
      </w:pPr>
      <w:r>
        <w:rPr>
          <w:rFonts w:hint="eastAsia"/>
          <w:bCs/>
          <w:sz w:val="24"/>
        </w:rPr>
        <w:t>参考NY/T 3963-2021《畜禽肉分割技术规程 牦牛肉》的范围进行制定。</w:t>
      </w:r>
    </w:p>
    <w:p>
      <w:pPr>
        <w:pStyle w:val="35"/>
        <w:numPr>
          <w:ilvl w:val="0"/>
          <w:numId w:val="0"/>
        </w:numPr>
        <w:spacing w:beforeLines="0" w:afterLines="0" w:line="360" w:lineRule="auto"/>
        <w:ind w:firstLine="480" w:firstLineChars="200"/>
        <w:rPr>
          <w:rFonts w:ascii="Times New Roman" w:eastAsia="宋体"/>
          <w:b/>
          <w:bCs/>
          <w:snapToGrid w:val="0"/>
          <w:sz w:val="24"/>
          <w:szCs w:val="24"/>
        </w:rPr>
      </w:pPr>
      <w:bookmarkStart w:id="13" w:name="_Toc34064676"/>
      <w:bookmarkStart w:id="14" w:name="_Toc34064618"/>
      <w:bookmarkStart w:id="15" w:name="OLE_LINK34"/>
      <w:r>
        <w:rPr>
          <w:rFonts w:ascii="Times New Roman" w:eastAsia="宋体"/>
          <w:b/>
          <w:bCs/>
          <w:snapToGrid w:val="0"/>
          <w:sz w:val="24"/>
          <w:szCs w:val="24"/>
        </w:rPr>
        <w:t>2 规范性引用文件</w:t>
      </w:r>
      <w:bookmarkEnd w:id="13"/>
      <w:bookmarkEnd w:id="14"/>
    </w:p>
    <w:bookmarkEnd w:id="15"/>
    <w:p>
      <w:pPr>
        <w:pStyle w:val="31"/>
        <w:ind w:firstLine="482"/>
        <w:rPr>
          <w:rFonts w:ascii="Times New Roman"/>
          <w:b/>
          <w:bCs/>
          <w:snapToGrid w:val="0"/>
          <w:sz w:val="24"/>
          <w:szCs w:val="24"/>
        </w:rPr>
      </w:pPr>
      <w:r>
        <w:rPr>
          <w:rFonts w:hint="eastAsia" w:ascii="Times New Roman"/>
          <w:b/>
          <w:bCs/>
          <w:snapToGrid w:val="0"/>
          <w:sz w:val="24"/>
          <w:szCs w:val="24"/>
        </w:rPr>
        <w:t>标准文本：</w:t>
      </w:r>
    </w:p>
    <w:p>
      <w:pPr>
        <w:pStyle w:val="31"/>
        <w:ind w:firstLine="480"/>
        <w:rPr>
          <w:rFonts w:ascii="Times New Roman"/>
          <w:snapToGrid w:val="0"/>
          <w:sz w:val="24"/>
          <w:szCs w:val="24"/>
        </w:rPr>
      </w:pPr>
      <w:r>
        <w:rPr>
          <w:rFonts w:hint="eastAsia" w:ascii="Times New Roman"/>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31"/>
        <w:ind w:firstLine="482"/>
        <w:rPr>
          <w:rFonts w:hint="eastAsia" w:ascii="Times New Roman"/>
          <w:snapToGrid w:val="0"/>
          <w:sz w:val="24"/>
          <w:szCs w:val="24"/>
        </w:rPr>
      </w:pPr>
      <w:bookmarkStart w:id="16" w:name="OLE_LINK38"/>
      <w:bookmarkStart w:id="17" w:name="_Toc28096568"/>
      <w:bookmarkStart w:id="18" w:name="_Toc28158537"/>
      <w:bookmarkStart w:id="19" w:name="_Toc34064619"/>
      <w:bookmarkStart w:id="20" w:name="_Toc28093197"/>
      <w:bookmarkStart w:id="21" w:name="_Toc34064677"/>
      <w:r>
        <w:rPr>
          <w:rFonts w:hint="eastAsia" w:ascii="Times New Roman"/>
          <w:snapToGrid w:val="0"/>
          <w:sz w:val="24"/>
          <w:szCs w:val="24"/>
        </w:rPr>
        <w:t>GB/T 191包装储运图示标志</w:t>
      </w:r>
    </w:p>
    <w:p>
      <w:pPr>
        <w:pStyle w:val="31"/>
        <w:ind w:firstLine="482"/>
        <w:rPr>
          <w:rFonts w:hint="eastAsia" w:ascii="Times New Roman"/>
          <w:snapToGrid w:val="0"/>
          <w:sz w:val="24"/>
          <w:szCs w:val="24"/>
        </w:rPr>
      </w:pPr>
      <w:r>
        <w:rPr>
          <w:rFonts w:hint="eastAsia" w:ascii="Times New Roman"/>
          <w:snapToGrid w:val="0"/>
          <w:sz w:val="24"/>
          <w:szCs w:val="24"/>
        </w:rPr>
        <w:t>GB/T 4456 包装用聚乙烯吹塑薄膜</w:t>
      </w:r>
    </w:p>
    <w:p>
      <w:pPr>
        <w:pStyle w:val="31"/>
        <w:ind w:firstLine="482"/>
        <w:rPr>
          <w:rFonts w:hint="eastAsia" w:ascii="Times New Roman"/>
          <w:snapToGrid w:val="0"/>
          <w:sz w:val="24"/>
          <w:szCs w:val="24"/>
        </w:rPr>
      </w:pPr>
      <w:r>
        <w:rPr>
          <w:rFonts w:hint="eastAsia" w:ascii="Times New Roman"/>
          <w:snapToGrid w:val="0"/>
          <w:sz w:val="24"/>
          <w:szCs w:val="24"/>
        </w:rPr>
        <w:t>GB/T 5737 食品塑料周转箱</w:t>
      </w:r>
    </w:p>
    <w:p>
      <w:pPr>
        <w:pStyle w:val="31"/>
        <w:ind w:firstLine="482"/>
        <w:rPr>
          <w:rFonts w:hint="eastAsia" w:ascii="Times New Roman"/>
          <w:snapToGrid w:val="0"/>
          <w:sz w:val="24"/>
          <w:szCs w:val="24"/>
        </w:rPr>
      </w:pPr>
      <w:r>
        <w:rPr>
          <w:rFonts w:hint="eastAsia" w:ascii="Times New Roman"/>
          <w:snapToGrid w:val="0"/>
          <w:sz w:val="24"/>
          <w:szCs w:val="24"/>
        </w:rPr>
        <w:t>GB/T 6388 运输包装收发货标志</w:t>
      </w:r>
    </w:p>
    <w:p>
      <w:pPr>
        <w:pStyle w:val="31"/>
        <w:ind w:firstLine="482"/>
        <w:rPr>
          <w:rFonts w:hint="eastAsia" w:ascii="Times New Roman"/>
          <w:snapToGrid w:val="0"/>
          <w:sz w:val="24"/>
          <w:szCs w:val="24"/>
        </w:rPr>
      </w:pPr>
      <w:r>
        <w:rPr>
          <w:rFonts w:hint="eastAsia" w:ascii="Times New Roman"/>
          <w:snapToGrid w:val="0"/>
          <w:sz w:val="24"/>
          <w:szCs w:val="24"/>
        </w:rPr>
        <w:t>GB/T 6543 运输包装用单瓦楞纸箱和双瓦楞纸箱</w:t>
      </w:r>
    </w:p>
    <w:p>
      <w:pPr>
        <w:pStyle w:val="31"/>
        <w:ind w:firstLine="482"/>
        <w:rPr>
          <w:rFonts w:hint="eastAsia" w:ascii="Times New Roman"/>
          <w:snapToGrid w:val="0"/>
          <w:sz w:val="24"/>
          <w:szCs w:val="24"/>
        </w:rPr>
      </w:pPr>
      <w:r>
        <w:rPr>
          <w:rFonts w:hint="eastAsia" w:ascii="Times New Roman"/>
          <w:snapToGrid w:val="0"/>
          <w:sz w:val="24"/>
          <w:szCs w:val="24"/>
        </w:rPr>
        <w:t>GB/T 9960 鲜、冻四分体牛肉</w:t>
      </w:r>
    </w:p>
    <w:p>
      <w:pPr>
        <w:pStyle w:val="31"/>
        <w:ind w:firstLine="482"/>
        <w:rPr>
          <w:rFonts w:hint="eastAsia" w:ascii="Times New Roman"/>
          <w:snapToGrid w:val="0"/>
          <w:sz w:val="24"/>
          <w:szCs w:val="24"/>
        </w:rPr>
      </w:pPr>
      <w:r>
        <w:rPr>
          <w:rFonts w:hint="eastAsia" w:ascii="Times New Roman"/>
          <w:snapToGrid w:val="0"/>
          <w:sz w:val="24"/>
          <w:szCs w:val="24"/>
        </w:rPr>
        <w:t>GB/T 10457 食品用塑料自粘保鲜膜</w:t>
      </w:r>
    </w:p>
    <w:p>
      <w:pPr>
        <w:pStyle w:val="31"/>
        <w:ind w:firstLine="482"/>
        <w:rPr>
          <w:rFonts w:hint="eastAsia" w:ascii="Times New Roman"/>
          <w:snapToGrid w:val="0"/>
          <w:sz w:val="24"/>
          <w:szCs w:val="24"/>
        </w:rPr>
      </w:pPr>
      <w:r>
        <w:rPr>
          <w:rFonts w:hint="eastAsia" w:ascii="Times New Roman"/>
          <w:snapToGrid w:val="0"/>
          <w:sz w:val="24"/>
          <w:szCs w:val="24"/>
        </w:rPr>
        <w:t>GB 12694 食品安全国家标准畜禽屠宰加工卫生规范</w:t>
      </w:r>
    </w:p>
    <w:p>
      <w:pPr>
        <w:pStyle w:val="31"/>
        <w:ind w:firstLine="482"/>
        <w:rPr>
          <w:rFonts w:hint="eastAsia" w:ascii="Times New Roman"/>
          <w:snapToGrid w:val="0"/>
          <w:sz w:val="24"/>
          <w:szCs w:val="24"/>
        </w:rPr>
      </w:pPr>
      <w:r>
        <w:rPr>
          <w:rFonts w:hint="eastAsia" w:ascii="Times New Roman"/>
          <w:snapToGrid w:val="0"/>
          <w:sz w:val="24"/>
          <w:szCs w:val="24"/>
        </w:rPr>
        <w:t>GB/T 17238 鲜、冻分割牛肉</w:t>
      </w:r>
    </w:p>
    <w:p>
      <w:pPr>
        <w:pStyle w:val="31"/>
        <w:ind w:firstLine="482"/>
        <w:rPr>
          <w:rFonts w:hint="eastAsia" w:ascii="Times New Roman"/>
          <w:snapToGrid w:val="0"/>
          <w:sz w:val="24"/>
          <w:szCs w:val="24"/>
        </w:rPr>
      </w:pPr>
      <w:r>
        <w:rPr>
          <w:rFonts w:hint="eastAsia" w:ascii="Times New Roman"/>
          <w:snapToGrid w:val="0"/>
          <w:sz w:val="24"/>
          <w:szCs w:val="24"/>
        </w:rPr>
        <w:t>GB/T 19477 畜禽屠宰操作规程 牛</w:t>
      </w:r>
    </w:p>
    <w:p>
      <w:pPr>
        <w:pStyle w:val="31"/>
        <w:ind w:firstLine="482"/>
        <w:rPr>
          <w:rFonts w:hint="eastAsia" w:ascii="Times New Roman"/>
          <w:snapToGrid w:val="0"/>
          <w:sz w:val="24"/>
          <w:szCs w:val="24"/>
        </w:rPr>
      </w:pPr>
      <w:r>
        <w:rPr>
          <w:rFonts w:hint="eastAsia" w:ascii="Times New Roman"/>
          <w:snapToGrid w:val="0"/>
          <w:sz w:val="24"/>
          <w:szCs w:val="24"/>
        </w:rPr>
        <w:t>GB 20799 食品安全国家标准肉和肉制品经营卫生规范</w:t>
      </w:r>
    </w:p>
    <w:p>
      <w:pPr>
        <w:pStyle w:val="31"/>
        <w:ind w:firstLine="482"/>
        <w:rPr>
          <w:rFonts w:hint="eastAsia" w:ascii="Times New Roman"/>
          <w:snapToGrid w:val="0"/>
          <w:sz w:val="24"/>
          <w:szCs w:val="24"/>
        </w:rPr>
      </w:pPr>
      <w:r>
        <w:rPr>
          <w:rFonts w:hint="eastAsia" w:ascii="Times New Roman"/>
          <w:snapToGrid w:val="0"/>
          <w:sz w:val="24"/>
          <w:szCs w:val="24"/>
        </w:rPr>
        <w:t>NY/T 3383 畜禽产品包装与标识</w:t>
      </w:r>
    </w:p>
    <w:p>
      <w:pPr>
        <w:pStyle w:val="31"/>
        <w:ind w:firstLine="482"/>
        <w:rPr>
          <w:rFonts w:hint="eastAsia" w:ascii="Times New Roman"/>
          <w:snapToGrid w:val="0"/>
          <w:sz w:val="24"/>
          <w:szCs w:val="24"/>
        </w:rPr>
      </w:pPr>
      <w:r>
        <w:rPr>
          <w:rFonts w:hint="eastAsia" w:ascii="Times New Roman"/>
          <w:snapToGrid w:val="0"/>
          <w:sz w:val="24"/>
          <w:szCs w:val="24"/>
        </w:rPr>
        <w:t>NYT 3963 畜禽肉分割技术规程 牦牛肉</w:t>
      </w:r>
    </w:p>
    <w:p>
      <w:pPr>
        <w:pStyle w:val="31"/>
        <w:ind w:firstLine="482"/>
        <w:rPr>
          <w:rFonts w:hint="eastAsia" w:ascii="Times New Roman"/>
          <w:snapToGrid w:val="0"/>
          <w:sz w:val="24"/>
          <w:szCs w:val="24"/>
        </w:rPr>
      </w:pPr>
      <w:r>
        <w:rPr>
          <w:rFonts w:hint="eastAsia" w:ascii="Times New Roman"/>
          <w:snapToGrid w:val="0"/>
          <w:sz w:val="24"/>
          <w:szCs w:val="24"/>
        </w:rPr>
        <w:t>T/CMATB 3012 通辽牛肉</w:t>
      </w:r>
    </w:p>
    <w:p>
      <w:pPr>
        <w:pStyle w:val="31"/>
        <w:ind w:firstLine="482"/>
        <w:rPr>
          <w:b/>
          <w:bCs/>
          <w:snapToGrid w:val="0"/>
        </w:rPr>
      </w:pPr>
      <w:r>
        <w:rPr>
          <w:rFonts w:hint="eastAsia" w:cs="宋体" w:asciiTheme="minorEastAsia" w:hAnsiTheme="minorEastAsia" w:eastAsiaTheme="minorEastAsia"/>
          <w:b/>
          <w:sz w:val="24"/>
          <w:lang w:bidi="zh-TW"/>
        </w:rPr>
        <w:t>制定依据：</w:t>
      </w:r>
      <w:bookmarkEnd w:id="16"/>
    </w:p>
    <w:p>
      <w:pPr>
        <w:ind w:firstLine="480"/>
        <w:jc w:val="left"/>
        <w:rPr>
          <w:rFonts w:hint="eastAsia"/>
        </w:rPr>
      </w:pPr>
      <w:r>
        <w:rPr>
          <w:rFonts w:hint="eastAsia"/>
          <w:snapToGrid w:val="0"/>
          <w:sz w:val="24"/>
          <w:szCs w:val="24"/>
        </w:rPr>
        <w:t>本部分列出了标准正文中引用的相关标准和文件。主要包括国家、行业的通用标准和一些基础性标准。</w:t>
      </w:r>
      <w:r>
        <w:rPr>
          <w:rFonts w:hint="eastAsia" w:ascii="宋体" w:hAnsi="宋体" w:eastAsia="宋体"/>
          <w:color w:val="000000"/>
          <w:sz w:val="24"/>
          <w:szCs w:val="24"/>
          <w:lang w:bidi="ar"/>
        </w:rPr>
        <w:t>这些引用文件对于本文件是不可或缺的，在相关内容中都有引用。</w:t>
      </w:r>
    </w:p>
    <w:p>
      <w:pPr>
        <w:ind w:firstLine="482"/>
        <w:jc w:val="left"/>
        <w:rPr>
          <w:rFonts w:ascii="Times New Roman" w:hAnsi="Times New Roman" w:eastAsia="宋体" w:cs="Times New Roman"/>
          <w:b/>
          <w:bCs/>
          <w:snapToGrid w:val="0"/>
          <w:sz w:val="24"/>
          <w:szCs w:val="24"/>
          <w:lang w:bidi="ar-SA"/>
        </w:rPr>
      </w:pPr>
      <w:r>
        <w:rPr>
          <w:rFonts w:hint="eastAsia" w:ascii="Times New Roman" w:eastAsia="宋体"/>
          <w:b/>
          <w:bCs/>
          <w:snapToGrid w:val="0"/>
          <w:sz w:val="24"/>
          <w:szCs w:val="24"/>
        </w:rPr>
        <w:t xml:space="preserve">3 </w:t>
      </w:r>
      <w:r>
        <w:rPr>
          <w:rFonts w:hint="eastAsia" w:ascii="Times New Roman" w:hAnsi="Times New Roman" w:eastAsia="宋体" w:cs="Times New Roman"/>
          <w:b/>
          <w:bCs/>
          <w:snapToGrid w:val="0"/>
          <w:sz w:val="24"/>
          <w:szCs w:val="24"/>
          <w:lang w:bidi="ar-SA"/>
        </w:rPr>
        <w:t>术语和定义</w:t>
      </w:r>
    </w:p>
    <w:bookmarkEnd w:id="17"/>
    <w:bookmarkEnd w:id="18"/>
    <w:bookmarkEnd w:id="19"/>
    <w:bookmarkEnd w:id="20"/>
    <w:bookmarkEnd w:id="21"/>
    <w:p>
      <w:pPr>
        <w:pStyle w:val="9"/>
        <w:spacing w:beforeAutospacing="0" w:afterAutospacing="0"/>
        <w:ind w:firstLine="482"/>
        <w:rPr>
          <w:rFonts w:hint="default" w:ascii="Times New Roman" w:hAnsi="Times New Roman" w:eastAsia="宋体" w:cs="Times New Roman"/>
          <w:snapToGrid w:val="0"/>
          <w:szCs w:val="24"/>
          <w:lang w:bidi="ar"/>
        </w:rPr>
      </w:pPr>
      <w:bookmarkStart w:id="22" w:name="OLE_LINK97"/>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3.1　通辽肉牛胴体 Tongliao beef cattle carcass</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检验检疫合格的通辽肉牛经宰杀放血后，除去头、蹄、皮、尾、内脏、肾周脂肪及生殖器（母牛去除乳房）后的躯体部分。</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w:t>
      </w:r>
      <w:r>
        <w:rPr>
          <w:rFonts w:hint="default" w:ascii="Times New Roman" w:hAnsi="Times New Roman" w:eastAsia="宋体" w:cs="Times New Roman"/>
          <w:snapToGrid w:val="0"/>
          <w:szCs w:val="24"/>
          <w:lang w:bidi="ar"/>
        </w:rPr>
        <w:t>GB/T 17238-2023</w:t>
      </w:r>
      <w:r>
        <w:rPr>
          <w:rFonts w:ascii="Times New Roman" w:hAnsi="Times New Roman" w:eastAsia="宋体" w:cs="Times New Roman"/>
          <w:snapToGrid w:val="0"/>
          <w:szCs w:val="24"/>
          <w:lang w:bidi="ar"/>
        </w:rPr>
        <w:t>《鲜、冻分割牛肉》。</w:t>
      </w:r>
    </w:p>
    <w:p>
      <w:pPr>
        <w:pStyle w:val="9"/>
        <w:spacing w:beforeAutospacing="0" w:afterAutospacing="0"/>
        <w:ind w:firstLine="482"/>
        <w:rPr>
          <w:rFonts w:hint="default" w:ascii="Times New Roman" w:hAnsi="Times New Roman" w:eastAsia="宋体" w:cs="Times New Roman"/>
          <w:snapToGrid w:val="0"/>
          <w:szCs w:val="24"/>
          <w:lang w:bidi="ar"/>
        </w:rPr>
      </w:pPr>
      <w:bookmarkStart w:id="23" w:name="OLE_LINK4"/>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bookmarkEnd w:id="23"/>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3.2　</w:t>
      </w:r>
      <w:r>
        <w:rPr>
          <w:rFonts w:hint="default" w:ascii="Times New Roman" w:hAnsi="Times New Roman" w:eastAsia="宋体" w:cs="Times New Roman"/>
          <w:snapToGrid w:val="0"/>
          <w:szCs w:val="24"/>
          <w:lang w:bidi="ar"/>
        </w:rPr>
        <w:t>分割牛肉</w:t>
      </w:r>
      <w:r>
        <w:rPr>
          <w:rFonts w:ascii="Times New Roman" w:hAnsi="Times New Roman" w:eastAsia="宋体" w:cs="Times New Roman"/>
          <w:snapToGrid w:val="0"/>
          <w:szCs w:val="24"/>
          <w:lang w:bidi="ar"/>
        </w:rPr>
        <w:t xml:space="preserve"> </w:t>
      </w:r>
      <w:r>
        <w:rPr>
          <w:rFonts w:hint="default" w:ascii="Times New Roman" w:hAnsi="Times New Roman" w:eastAsia="宋体" w:cs="Times New Roman"/>
          <w:snapToGrid w:val="0"/>
          <w:szCs w:val="24"/>
          <w:lang w:bidi="ar"/>
        </w:rPr>
        <w:t>beef cuts</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牛胴体经剔骨，按部位分割而成的带骨或去骨的肉块</w:t>
      </w:r>
      <w:r>
        <w:rPr>
          <w:rFonts w:hint="default" w:ascii="Times New Roman" w:hAnsi="Times New Roman" w:eastAsia="宋体" w:cs="Times New Roman"/>
          <w:snapToGrid w:val="0"/>
          <w:szCs w:val="24"/>
          <w:lang w:bidi="ar"/>
        </w:rPr>
        <w:t>。（分割牛肉名称对照表见附录</w:t>
      </w:r>
      <w:r>
        <w:rPr>
          <w:rFonts w:hint="default" w:ascii="Times New Roman" w:hAnsi="Times New Roman" w:eastAsia="宋体" w:cs="Times New Roman"/>
          <w:snapToGrid w:val="0"/>
          <w:szCs w:val="24"/>
          <w:lang w:val="en-US" w:eastAsia="zh-CN" w:bidi="ar"/>
        </w:rPr>
        <w:t>A</w:t>
      </w:r>
      <w:r>
        <w:rPr>
          <w:rFonts w:hint="default"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引用自GB/T 17238-2023《鲜、冻分割牛肉》中“3.4 分割牛肉”。</w:t>
      </w:r>
    </w:p>
    <w:p>
      <w:pPr>
        <w:pStyle w:val="9"/>
        <w:spacing w:beforeAutospacing="0" w:afterAutospacing="0"/>
        <w:ind w:firstLine="482"/>
        <w:rPr>
          <w:rFonts w:hint="default" w:ascii="Times New Roman" w:hAnsi="Times New Roman" w:eastAsia="宋体" w:cs="Times New Roman"/>
          <w:b/>
          <w:snapToGrid w:val="0"/>
          <w:szCs w:val="24"/>
          <w:lang w:bidi="ar"/>
        </w:rPr>
      </w:pPr>
      <w:r>
        <w:rPr>
          <w:rFonts w:ascii="Times New Roman" w:hAnsi="Times New Roman" w:eastAsia="宋体" w:cs="Times New Roman"/>
          <w:b/>
          <w:snapToGrid w:val="0"/>
          <w:szCs w:val="24"/>
          <w:lang w:bidi="ar"/>
        </w:rPr>
        <w:t>标准文本：</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3.3　精细分割 fine segmentation</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按照规范要求，将胴体分割出的大块肉进一步分割为具有独立烹饪价值或商业属性的细分部位</w:t>
      </w:r>
      <w:r>
        <w:rPr>
          <w:rFonts w:hint="eastAsia" w:ascii="Times New Roman" w:hAnsi="Times New Roman" w:eastAsia="宋体" w:cs="Times New Roman"/>
          <w:snapToGrid w:val="0"/>
          <w:szCs w:val="24"/>
          <w:lang w:val="en-US" w:eastAsia="zh-CN" w:bidi="ar"/>
        </w:rPr>
        <w:t>肉</w:t>
      </w:r>
      <w:r>
        <w:rPr>
          <w:rFonts w:ascii="Times New Roman" w:hAnsi="Times New Roman" w:eastAsia="宋体" w:cs="Times New Roman"/>
          <w:snapToGrid w:val="0"/>
          <w:szCs w:val="24"/>
          <w:lang w:bidi="ar"/>
        </w:rPr>
        <w:t>或定量的小块部位肉。</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参考T/NAASS 062-2023《宁夏六盘山区肉牛胴体精细分割技术规程》中“3.6 精细分割”，结合通辽分割加工企业的分割产品的情况制定。</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标准文本：</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　原料要求</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加工分割通辽牛肉的原料应符合GB/T 9960、GB/T 19477的规定。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对牛分割原料的来源进行规范，参考NY/T 1564-2021 《畜禽肉分割技术规程 羊肉》中“4 原料要求”。</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标准文本：</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5分割车间基本要求</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　分割车间配套宜包括胴体预冷间、分割剔骨间、产品冷却间、包装间、包装材料间、磨刀清洗间、工器具间、更衣室、卫生间及空调设备间等。</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5.2　胴体预冷间、产品冷却间、分割剔骨间温度应符合NY/T 3963的相关规定。</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5.3　与肉品接触的设备、工器应符合NY/T 3963的相关规定。</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5.4　分割车间人流、物流管理应符合GB 12694的规定。</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5.5　应制定分割车间的微生物控制措施，结合实际情况确定监控指标限值。</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val="en-US" w:eastAsia="zh-CN" w:bidi="ar"/>
        </w:rPr>
      </w:pPr>
      <w:r>
        <w:rPr>
          <w:rFonts w:ascii="Times New Roman" w:hAnsi="Times New Roman" w:eastAsia="宋体" w:cs="Times New Roman"/>
          <w:snapToGrid w:val="0"/>
          <w:szCs w:val="24"/>
          <w:lang w:bidi="ar"/>
        </w:rPr>
        <w:t>明确通辽牛肉分割车间的基本要求，参考NY/T 3963-2021《畜禽肉分割技术规程 牦牛肉》和 NY/T 1564-2021 《畜禽肉分割技术规程 羊肉》中“5 分割车间基本要求”。</w:t>
      </w:r>
      <w:r>
        <w:rPr>
          <w:rFonts w:hint="eastAsia" w:ascii="Times New Roman" w:hAnsi="Times New Roman" w:eastAsia="宋体" w:cs="Times New Roman"/>
          <w:snapToGrid w:val="0"/>
          <w:szCs w:val="24"/>
          <w:lang w:val="en-US" w:eastAsia="zh-CN" w:bidi="ar"/>
        </w:rPr>
        <w:t>5.5参考GB 14881中附录A表A.1中加工区域环境空气微生物监控的要求，结合通辽分割企业实际情况制定。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6　分割加工卫生要求</w:t>
      </w:r>
    </w:p>
    <w:p>
      <w:pPr>
        <w:pStyle w:val="9"/>
        <w:spacing w:beforeAutospacing="0" w:afterAutospacing="0"/>
        <w:ind w:firstLine="480"/>
        <w:rPr>
          <w:rFonts w:hint="default" w:ascii="Times New Roman" w:hAnsi="Times New Roman" w:eastAsia="宋体" w:cs="Times New Roman"/>
          <w:snapToGrid w:val="0"/>
          <w:szCs w:val="24"/>
          <w:lang w:bidi="ar"/>
        </w:rPr>
      </w:pPr>
      <w:bookmarkStart w:id="24" w:name="_Toc22135243"/>
      <w:bookmarkStart w:id="25" w:name="_Toc21982490"/>
      <w:bookmarkStart w:id="26" w:name="_Toc21982203"/>
      <w:r>
        <w:rPr>
          <w:rFonts w:hint="default" w:ascii="Times New Roman" w:hAnsi="Times New Roman" w:eastAsia="宋体" w:cs="Times New Roman"/>
          <w:snapToGrid w:val="0"/>
          <w:szCs w:val="24"/>
          <w:lang w:bidi="ar"/>
        </w:rPr>
        <w:t>6.1　</w:t>
      </w:r>
      <w:bookmarkEnd w:id="24"/>
      <w:bookmarkEnd w:id="25"/>
      <w:bookmarkEnd w:id="26"/>
      <w:r>
        <w:rPr>
          <w:rFonts w:ascii="Times New Roman" w:hAnsi="Times New Roman" w:eastAsia="宋体" w:cs="Times New Roman"/>
          <w:snapToGrid w:val="0"/>
          <w:szCs w:val="24"/>
          <w:lang w:bidi="ar"/>
        </w:rPr>
        <w:t>工器</w:t>
      </w:r>
      <w:r>
        <w:rPr>
          <w:rFonts w:hint="default" w:ascii="Times New Roman" w:hAnsi="Times New Roman" w:eastAsia="宋体" w:cs="Times New Roman"/>
          <w:snapToGrid w:val="0"/>
          <w:szCs w:val="24"/>
          <w:lang w:bidi="ar"/>
        </w:rPr>
        <w:t>具</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6.1.1　接触分割产品的器具、手套和内外包装材料等应摆放整齐，避免杂物和尘土积聚。</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6.1.2　工作结束后应及时对地面、案台、工器具进行清洗和消毒，宜采用泡沫清洗的方式（水温＞40℃）进行清洗，除使用碱性发泡剂外，每月至少使用一次酸性发泡剂；消毒宜使用有效氯含量200 mg/L～300 mg/L的含氯消毒剂、0.8%氢氧化钠、二氧化氯、过氧乙酸、季铵盐类、过硫酸氢钾类等。</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对分割加工环节的</w:t>
      </w:r>
      <w:r>
        <w:rPr>
          <w:rFonts w:ascii="Times New Roman" w:hAnsi="Times New Roman" w:eastAsia="宋体" w:cs="Times New Roman"/>
          <w:snapToGrid w:val="0"/>
          <w:szCs w:val="24"/>
          <w:highlight w:val="none"/>
          <w:lang w:bidi="ar"/>
        </w:rPr>
        <w:t>用具卫生进行规范，</w:t>
      </w:r>
      <w:r>
        <w:rPr>
          <w:rFonts w:hint="eastAsia" w:ascii="Times New Roman" w:hAnsi="Times New Roman" w:eastAsia="宋体" w:cs="Times New Roman"/>
          <w:snapToGrid w:val="0"/>
          <w:szCs w:val="24"/>
          <w:highlight w:val="none"/>
          <w:lang w:val="en-US" w:eastAsia="zh-CN" w:bidi="ar"/>
        </w:rPr>
        <w:t>根据通辽分割企业实际并</w:t>
      </w:r>
      <w:r>
        <w:rPr>
          <w:rFonts w:ascii="Times New Roman" w:hAnsi="Times New Roman" w:eastAsia="宋体" w:cs="Times New Roman"/>
          <w:snapToGrid w:val="0"/>
          <w:szCs w:val="24"/>
          <w:highlight w:val="none"/>
          <w:lang w:bidi="ar"/>
        </w:rPr>
        <w:t>参考T/SDYZXCP 006.505-2024《优质牛肉生产技术规程 第5部分：屠宰  分割环节微生物控制》“4.2 分割”</w:t>
      </w:r>
      <w:r>
        <w:rPr>
          <w:rFonts w:hint="eastAsia" w:ascii="Times New Roman" w:hAnsi="Times New Roman" w:eastAsia="宋体" w:cs="Times New Roman"/>
          <w:snapToGrid w:val="0"/>
          <w:szCs w:val="24"/>
          <w:highlight w:val="none"/>
          <w:lang w:eastAsia="zh-CN"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6.2　人员</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6.2.1　从事分割加工的操作人员，应经体检合格取得健康证明后方可上岗，工作期间每年进行一次健康体检，必要时做临时健康体检。</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6.2.2　生产结束后，清洗工作服、帽、靴、套袖、围裙等衣物，并彻底消毒，消毒宜使用200 mg/L～300 mg/L的次氯酸钠溶液、0.5%过氧乙酸溶液等。</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6.2.3　分割人员手、皮肤不能直接接触分割产品；手部接触过病害肉、病变组织、腐败变质肉及其他污染物，以及进厕所、用餐及其他原因离开工作岗位后，应洗净双手并经消毒才可继续工作。</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对分割加工操作人员的卫生情况进行规定，参考NY/T 3407-2018《畜禽产品流通卫生操作技术规范》中“9 从业人员的卫生要求”和GB 12694-2016《食品安全国家标准 畜禽屠宰加工卫生规范》中“10 人员要求”。</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6.3　设备与设施</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6.3.</w:t>
      </w:r>
      <w:r>
        <w:rPr>
          <w:rFonts w:hint="default" w:ascii="Times New Roman" w:hAnsi="Times New Roman" w:eastAsia="宋体" w:cs="Times New Roman"/>
          <w:snapToGrid w:val="0"/>
          <w:szCs w:val="24"/>
          <w:lang w:val="en-US" w:eastAsia="zh-CN" w:bidi="ar"/>
        </w:rPr>
        <w:t>1</w:t>
      </w:r>
      <w:r>
        <w:rPr>
          <w:rFonts w:hint="default" w:ascii="Times New Roman" w:hAnsi="Times New Roman" w:eastAsia="宋体" w:cs="Times New Roman"/>
          <w:snapToGrid w:val="0"/>
          <w:szCs w:val="24"/>
          <w:lang w:bidi="ar"/>
        </w:rPr>
        <w:t>　若车间内还有未加工好的分割肉，不</w:t>
      </w:r>
      <w:r>
        <w:rPr>
          <w:rFonts w:hint="default" w:ascii="Times New Roman" w:hAnsi="Times New Roman" w:eastAsia="宋体" w:cs="Times New Roman"/>
          <w:snapToGrid w:val="0"/>
          <w:szCs w:val="24"/>
          <w:lang w:val="en-US" w:eastAsia="zh-CN" w:bidi="ar"/>
        </w:rPr>
        <w:t>应</w:t>
      </w:r>
      <w:r>
        <w:rPr>
          <w:rFonts w:hint="default" w:ascii="Times New Roman" w:hAnsi="Times New Roman" w:eastAsia="宋体" w:cs="Times New Roman"/>
          <w:snapToGrid w:val="0"/>
          <w:szCs w:val="24"/>
          <w:lang w:bidi="ar"/>
        </w:rPr>
        <w:t>对车间进行清洗。</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6.3.</w:t>
      </w:r>
      <w:r>
        <w:rPr>
          <w:rFonts w:hint="default" w:ascii="Times New Roman" w:hAnsi="Times New Roman" w:eastAsia="宋体" w:cs="Times New Roman"/>
          <w:snapToGrid w:val="0"/>
          <w:szCs w:val="24"/>
          <w:lang w:val="en-US" w:eastAsia="zh-CN" w:bidi="ar"/>
        </w:rPr>
        <w:t>2</w:t>
      </w:r>
      <w:r>
        <w:rPr>
          <w:rFonts w:hint="default" w:ascii="Times New Roman" w:hAnsi="Times New Roman" w:eastAsia="宋体" w:cs="Times New Roman"/>
          <w:snapToGrid w:val="0"/>
          <w:szCs w:val="24"/>
          <w:lang w:bidi="ar"/>
        </w:rPr>
        <w:t>　车间入口及更衣室设置换鞋（穿戴鞋套）设施或工作鞋靴消毒设施，消毒宜使用有效氯含量600 mg/L～700 mg/L的含氯消毒剂等。</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6.3.</w:t>
      </w:r>
      <w:r>
        <w:rPr>
          <w:rFonts w:hint="default" w:ascii="Times New Roman" w:hAnsi="Times New Roman" w:eastAsia="宋体" w:cs="Times New Roman"/>
          <w:snapToGrid w:val="0"/>
          <w:szCs w:val="24"/>
          <w:lang w:val="en-US" w:eastAsia="zh-CN" w:bidi="ar"/>
        </w:rPr>
        <w:t>3</w:t>
      </w:r>
      <w:r>
        <w:rPr>
          <w:rFonts w:hint="default" w:ascii="Times New Roman" w:hAnsi="Times New Roman" w:eastAsia="宋体" w:cs="Times New Roman"/>
          <w:snapToGrid w:val="0"/>
          <w:szCs w:val="24"/>
          <w:lang w:bidi="ar"/>
        </w:rPr>
        <w:t>　工作结束后应及时对设施和设备进行清洗和消毒，宜采用泡沫清洗的方式（水温宜＞40℃）进行清洗，除使用碱性发泡剂外，每月至少使用一次酸性发泡剂；消毒宜使用有效氯含量200 mg/L～300 mg/L的含氯消毒剂、0.8%氢氧化钠、二氧化氯、过氧乙酸、季铵盐类、过硫酸氢钾类等。</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6.3.</w:t>
      </w:r>
      <w:r>
        <w:rPr>
          <w:rFonts w:hint="default" w:ascii="Times New Roman" w:hAnsi="Times New Roman" w:eastAsia="宋体" w:cs="Times New Roman"/>
          <w:snapToGrid w:val="0"/>
          <w:szCs w:val="24"/>
          <w:lang w:val="en-US" w:eastAsia="zh-CN" w:bidi="ar"/>
        </w:rPr>
        <w:t>4</w:t>
      </w:r>
      <w:r>
        <w:rPr>
          <w:rFonts w:hint="default" w:ascii="Times New Roman" w:hAnsi="Times New Roman" w:eastAsia="宋体" w:cs="Times New Roman"/>
          <w:snapToGrid w:val="0"/>
          <w:szCs w:val="24"/>
          <w:lang w:bidi="ar"/>
        </w:rPr>
        <w:t>　生产结束后，更衣室宜使用紫外线灯或臭氧消毒30 min以上。</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对分割加工中使用的设备与设施的卫生进行规范，参考T/SDYZXCP 006.505-2024《优质牛肉生产技术规程 第5部分：屠宰 分割环节微生物控制》。消毒相关内容参考NY/T 3384-2021《畜禽屠宰企业消毒规范》“附录A 畜禽屠宰企业常用消毒剂及使用方法”。</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2"/>
        <w:rPr>
          <w:rFonts w:hint="eastAsia" w:ascii="Times New Roman" w:hAnsi="Times New Roman" w:eastAsia="宋体" w:cs="Times New Roman"/>
          <w:snapToGrid w:val="0"/>
          <w:szCs w:val="24"/>
          <w:highlight w:val="none"/>
          <w:lang w:bidi="ar"/>
        </w:rPr>
      </w:pPr>
      <w:r>
        <w:rPr>
          <w:rFonts w:hint="eastAsia" w:ascii="Times New Roman" w:hAnsi="Times New Roman" w:eastAsia="宋体" w:cs="Times New Roman"/>
          <w:snapToGrid w:val="0"/>
          <w:szCs w:val="24"/>
          <w:highlight w:val="none"/>
          <w:lang w:bidi="ar"/>
        </w:rPr>
        <w:t>7　分割基本要求</w:t>
      </w:r>
    </w:p>
    <w:p>
      <w:pPr>
        <w:pStyle w:val="9"/>
        <w:spacing w:beforeAutospacing="0" w:afterAutospacing="0"/>
        <w:ind w:firstLine="482"/>
        <w:rPr>
          <w:rFonts w:hint="eastAsia" w:ascii="Times New Roman" w:hAnsi="Times New Roman" w:eastAsia="宋体" w:cs="Times New Roman"/>
          <w:snapToGrid w:val="0"/>
          <w:szCs w:val="24"/>
          <w:highlight w:val="none"/>
          <w:lang w:bidi="ar"/>
        </w:rPr>
      </w:pPr>
      <w:r>
        <w:rPr>
          <w:rFonts w:hint="eastAsia" w:ascii="Times New Roman" w:hAnsi="Times New Roman" w:eastAsia="宋体" w:cs="Times New Roman"/>
          <w:snapToGrid w:val="0"/>
          <w:szCs w:val="24"/>
          <w:highlight w:val="none"/>
          <w:lang w:bidi="ar"/>
        </w:rPr>
        <w:t>7.1　热鲜肉分割</w:t>
      </w:r>
    </w:p>
    <w:p>
      <w:pPr>
        <w:pStyle w:val="9"/>
        <w:spacing w:beforeAutospacing="0" w:afterAutospacing="0"/>
        <w:ind w:firstLine="482"/>
        <w:rPr>
          <w:rFonts w:hint="eastAsia" w:ascii="Times New Roman" w:hAnsi="Times New Roman" w:eastAsia="宋体" w:cs="Times New Roman"/>
          <w:snapToGrid w:val="0"/>
          <w:szCs w:val="24"/>
          <w:highlight w:val="none"/>
          <w:lang w:bidi="ar"/>
        </w:rPr>
      </w:pPr>
      <w:r>
        <w:rPr>
          <w:rFonts w:hint="eastAsia" w:ascii="Times New Roman" w:hAnsi="Times New Roman" w:eastAsia="宋体" w:cs="Times New Roman"/>
          <w:snapToGrid w:val="0"/>
          <w:szCs w:val="24"/>
          <w:highlight w:val="none"/>
          <w:lang w:bidi="ar"/>
        </w:rPr>
        <w:t>以屠宰后未经冷却排酸处理的牛胴体为原料进行分割，热分割车间温度不应高于20℃，从屠宰到分割结束时间应不超过2h。</w:t>
      </w:r>
    </w:p>
    <w:p>
      <w:pPr>
        <w:pStyle w:val="9"/>
        <w:spacing w:beforeAutospacing="0" w:afterAutospacing="0"/>
        <w:ind w:firstLine="482"/>
        <w:rPr>
          <w:rFonts w:hint="eastAsia" w:ascii="Times New Roman" w:hAnsi="Times New Roman" w:eastAsia="宋体" w:cs="Times New Roman"/>
          <w:snapToGrid w:val="0"/>
          <w:szCs w:val="24"/>
          <w:highlight w:val="none"/>
          <w:lang w:bidi="ar"/>
        </w:rPr>
      </w:pPr>
      <w:bookmarkStart w:id="36" w:name="_GoBack"/>
      <w:bookmarkEnd w:id="36"/>
      <w:r>
        <w:rPr>
          <w:rFonts w:hint="eastAsia" w:ascii="Times New Roman" w:hAnsi="Times New Roman" w:eastAsia="宋体" w:cs="Times New Roman"/>
          <w:snapToGrid w:val="0"/>
          <w:szCs w:val="24"/>
          <w:highlight w:val="none"/>
          <w:lang w:bidi="ar"/>
        </w:rPr>
        <w:t>7.2　冷鲜肉分割</w:t>
      </w:r>
    </w:p>
    <w:p>
      <w:pPr>
        <w:pStyle w:val="9"/>
        <w:spacing w:beforeAutospacing="0" w:afterAutospacing="0"/>
        <w:ind w:firstLine="482"/>
        <w:rPr>
          <w:rFonts w:hint="eastAsia" w:ascii="Times New Roman" w:hAnsi="Times New Roman" w:eastAsia="宋体" w:cs="Times New Roman"/>
          <w:snapToGrid w:val="0"/>
          <w:szCs w:val="24"/>
          <w:highlight w:val="none"/>
          <w:lang w:bidi="ar"/>
        </w:rPr>
      </w:pPr>
      <w:r>
        <w:rPr>
          <w:rFonts w:hint="eastAsia" w:ascii="Times New Roman" w:hAnsi="Times New Roman" w:eastAsia="宋体" w:cs="Times New Roman"/>
          <w:snapToGrid w:val="0"/>
          <w:szCs w:val="24"/>
          <w:highlight w:val="none"/>
          <w:lang w:bidi="ar"/>
        </w:rPr>
        <w:t>以冷却排酸二分体、四分体为原料进行分割，冷分割车间温度应在10 ℃～12 ℃，冷却胴体牛肉切块的中心温度应不高于4 ℃。</w:t>
      </w:r>
    </w:p>
    <w:p>
      <w:pPr>
        <w:pStyle w:val="9"/>
        <w:spacing w:beforeAutospacing="0" w:afterAutospacing="0"/>
        <w:ind w:firstLine="482"/>
        <w:rPr>
          <w:rFonts w:hint="default" w:ascii="Times New Roman" w:hAnsi="Times New Roman" w:eastAsia="宋体" w:cs="Times New Roman"/>
          <w:b/>
          <w:bCs/>
          <w:snapToGrid w:val="0"/>
          <w:szCs w:val="24"/>
          <w:highlight w:val="none"/>
          <w:lang w:bidi="ar"/>
        </w:rPr>
      </w:pPr>
      <w:r>
        <w:rPr>
          <w:rFonts w:ascii="Times New Roman" w:hAnsi="Times New Roman" w:eastAsia="宋体" w:cs="Times New Roman"/>
          <w:b/>
          <w:bCs/>
          <w:snapToGrid w:val="0"/>
          <w:szCs w:val="24"/>
          <w:highlight w:val="none"/>
          <w:lang w:bidi="ar"/>
        </w:rPr>
        <w:t>制定依据：</w:t>
      </w:r>
    </w:p>
    <w:p>
      <w:pPr>
        <w:pStyle w:val="9"/>
        <w:spacing w:beforeAutospacing="0" w:afterAutospacing="0"/>
        <w:ind w:firstLine="480"/>
        <w:rPr>
          <w:rFonts w:hint="default" w:ascii="Times New Roman" w:hAnsi="Times New Roman" w:eastAsia="宋体" w:cs="Times New Roman"/>
          <w:snapToGrid w:val="0"/>
          <w:szCs w:val="24"/>
          <w:highlight w:val="none"/>
          <w:lang w:bidi="ar"/>
        </w:rPr>
      </w:pPr>
      <w:r>
        <w:rPr>
          <w:rFonts w:ascii="Times New Roman" w:hAnsi="Times New Roman" w:eastAsia="宋体" w:cs="Times New Roman"/>
          <w:snapToGrid w:val="0"/>
          <w:szCs w:val="24"/>
          <w:highlight w:val="none"/>
          <w:lang w:bidi="ar"/>
        </w:rPr>
        <w:t>通过调研并结合通辽肉牛分割实际情况制定。</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标准文本：</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8　分割程序及要求</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8.1　分割</w:t>
      </w:r>
      <w:r>
        <w:rPr>
          <w:rFonts w:hint="eastAsia" w:ascii="Times New Roman" w:hAnsi="Times New Roman" w:eastAsia="宋体" w:cs="Times New Roman"/>
          <w:snapToGrid w:val="0"/>
          <w:szCs w:val="24"/>
          <w:lang w:val="en-US" w:eastAsia="zh-CN" w:bidi="ar"/>
        </w:rPr>
        <w:t>工</w:t>
      </w:r>
      <w:r>
        <w:rPr>
          <w:rFonts w:hint="eastAsia" w:ascii="Times New Roman" w:hAnsi="Times New Roman" w:eastAsia="宋体" w:cs="Times New Roman"/>
          <w:snapToGrid w:val="0"/>
          <w:szCs w:val="24"/>
          <w:lang w:bidi="ar"/>
        </w:rPr>
        <w:t>序</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牛胴体</w:t>
      </w:r>
      <w:r>
        <w:rPr>
          <w:rFonts w:hint="eastAsia" w:ascii="Times New Roman" w:hAnsi="Times New Roman" w:eastAsia="宋体" w:cs="Times New Roman"/>
          <w:snapToGrid w:val="0"/>
          <w:szCs w:val="24"/>
          <w:lang w:val="en-US" w:eastAsia="zh-CN" w:bidi="ar"/>
        </w:rPr>
        <w:t>可</w:t>
      </w:r>
      <w:r>
        <w:rPr>
          <w:rFonts w:hint="eastAsia" w:ascii="Times New Roman" w:hAnsi="Times New Roman" w:eastAsia="宋体" w:cs="Times New Roman"/>
          <w:snapToGrid w:val="0"/>
          <w:szCs w:val="24"/>
          <w:lang w:bidi="ar"/>
        </w:rPr>
        <w:t>按程序进行整体分割，分为二分体和四分体</w:t>
      </w:r>
      <w:r>
        <w:rPr>
          <w:rFonts w:hint="eastAsia" w:ascii="Times New Roman" w:hAnsi="Times New Roman" w:eastAsia="宋体" w:cs="Times New Roman"/>
          <w:snapToGrid w:val="0"/>
          <w:szCs w:val="24"/>
          <w:lang w:eastAsia="zh-CN" w:bidi="ar"/>
        </w:rPr>
        <w:t>（</w:t>
      </w:r>
      <w:r>
        <w:rPr>
          <w:rFonts w:hint="eastAsia" w:ascii="Times New Roman" w:hAnsi="Times New Roman" w:eastAsia="宋体" w:cs="Times New Roman"/>
          <w:snapToGrid w:val="0"/>
          <w:szCs w:val="24"/>
          <w:lang w:bidi="ar"/>
        </w:rPr>
        <w:t>通辽牛胴体分割</w:t>
      </w:r>
      <w:r>
        <w:rPr>
          <w:rFonts w:hint="eastAsia" w:ascii="Times New Roman" w:hAnsi="Times New Roman" w:eastAsia="宋体" w:cs="Times New Roman"/>
          <w:snapToGrid w:val="0"/>
          <w:szCs w:val="24"/>
          <w:lang w:val="en-US" w:eastAsia="zh-CN" w:bidi="ar"/>
        </w:rPr>
        <w:t>部位</w:t>
      </w:r>
      <w:r>
        <w:rPr>
          <w:rFonts w:hint="eastAsia" w:ascii="Times New Roman" w:hAnsi="Times New Roman" w:eastAsia="宋体" w:cs="Times New Roman"/>
          <w:snapToGrid w:val="0"/>
          <w:szCs w:val="24"/>
          <w:lang w:bidi="ar"/>
        </w:rPr>
        <w:t>描述</w:t>
      </w:r>
      <w:r>
        <w:rPr>
          <w:rFonts w:hint="eastAsia" w:ascii="Times New Roman" w:hAnsi="Times New Roman" w:eastAsia="宋体" w:cs="Times New Roman"/>
          <w:snapToGrid w:val="0"/>
          <w:szCs w:val="24"/>
          <w:lang w:val="en-US" w:eastAsia="zh-CN" w:bidi="ar"/>
        </w:rPr>
        <w:t>见附录B</w:t>
      </w:r>
      <w:r>
        <w:rPr>
          <w:rFonts w:hint="eastAsia" w:ascii="Times New Roman" w:hAnsi="Times New Roman" w:eastAsia="宋体" w:cs="Times New Roman"/>
          <w:snapToGrid w:val="0"/>
          <w:szCs w:val="24"/>
          <w:lang w:eastAsia="zh-CN" w:bidi="ar"/>
        </w:rPr>
        <w:t>）；</w:t>
      </w:r>
      <w:r>
        <w:rPr>
          <w:rFonts w:hint="eastAsia" w:ascii="Times New Roman" w:hAnsi="Times New Roman" w:eastAsia="宋体" w:cs="Times New Roman"/>
          <w:snapToGrid w:val="0"/>
          <w:szCs w:val="24"/>
          <w:lang w:bidi="ar"/>
        </w:rPr>
        <w:t>也可进行部位分割</w:t>
      </w:r>
      <w:r>
        <w:rPr>
          <w:rFonts w:hint="eastAsia" w:ascii="Times New Roman" w:hAnsi="Times New Roman" w:eastAsia="宋体" w:cs="Times New Roman"/>
          <w:snapToGrid w:val="0"/>
          <w:szCs w:val="24"/>
          <w:lang w:eastAsia="zh-CN" w:bidi="ar"/>
        </w:rPr>
        <w:t>（</w:t>
      </w:r>
      <w:r>
        <w:rPr>
          <w:rFonts w:hint="eastAsia" w:ascii="Times New Roman" w:hAnsi="Times New Roman" w:eastAsia="宋体" w:cs="Times New Roman"/>
          <w:snapToGrid w:val="0"/>
          <w:szCs w:val="24"/>
          <w:lang w:bidi="ar"/>
        </w:rPr>
        <w:t>通辽牛胴体分割肉描述</w:t>
      </w:r>
      <w:r>
        <w:rPr>
          <w:rFonts w:hint="eastAsia" w:ascii="Times New Roman" w:hAnsi="Times New Roman" w:eastAsia="宋体" w:cs="Times New Roman"/>
          <w:snapToGrid w:val="0"/>
          <w:szCs w:val="24"/>
          <w:lang w:val="en-US" w:eastAsia="zh-CN" w:bidi="ar"/>
        </w:rPr>
        <w:t>见附录C</w:t>
      </w:r>
      <w:r>
        <w:rPr>
          <w:rFonts w:hint="eastAsia" w:ascii="Times New Roman" w:hAnsi="Times New Roman" w:eastAsia="宋体" w:cs="Times New Roman"/>
          <w:snapToGrid w:val="0"/>
          <w:szCs w:val="24"/>
          <w:lang w:eastAsia="zh-CN" w:bidi="ar"/>
        </w:rPr>
        <w:t>）</w:t>
      </w:r>
      <w:r>
        <w:rPr>
          <w:rFonts w:hint="eastAsia" w:ascii="Times New Roman" w:hAnsi="Times New Roman" w:eastAsia="宋体" w:cs="Times New Roman"/>
          <w:snapToGrid w:val="0"/>
          <w:szCs w:val="24"/>
          <w:lang w:bidi="ar"/>
        </w:rPr>
        <w:t>，</w:t>
      </w:r>
      <w:r>
        <w:rPr>
          <w:rFonts w:hint="eastAsia" w:ascii="Times New Roman" w:hAnsi="Times New Roman" w:eastAsia="宋体" w:cs="Times New Roman"/>
          <w:snapToGrid w:val="0"/>
          <w:szCs w:val="24"/>
          <w:lang w:val="en-US" w:eastAsia="zh-CN" w:bidi="ar"/>
        </w:rPr>
        <w:t>程序为牛脖及肩肉分割→牛前腿分割→牛排与腰肉分割→牛后腿分割，各工序均可采取带骨分割或去骨分割方式，分割为带骨牛肉或去骨牛肉。</w:t>
      </w:r>
      <w:r>
        <w:rPr>
          <w:rFonts w:hint="eastAsia" w:ascii="Times New Roman" w:hAnsi="Times New Roman" w:eastAsia="宋体" w:cs="Times New Roman"/>
          <w:snapToGrid w:val="0"/>
          <w:szCs w:val="24"/>
          <w:lang w:bidi="ar"/>
        </w:rPr>
        <w:t>可根据产品工艺和生产需要，调整分割程序。</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对分割牛肉的分割程序进行规范，</w:t>
      </w:r>
      <w:r>
        <w:rPr>
          <w:rFonts w:hint="default" w:ascii="Times New Roman" w:hAnsi="Times New Roman" w:eastAsia="宋体" w:cs="Times New Roman"/>
          <w:snapToGrid w:val="0"/>
          <w:szCs w:val="24"/>
          <w:lang w:bidi="ar"/>
        </w:rPr>
        <w:t>参考NY/T 3963-2021《畜禽肉分割技术规程 牦牛肉》</w:t>
      </w:r>
      <w:r>
        <w:rPr>
          <w:rFonts w:ascii="Times New Roman" w:hAnsi="Times New Roman" w:eastAsia="宋体" w:cs="Times New Roman"/>
          <w:snapToGrid w:val="0"/>
          <w:szCs w:val="24"/>
          <w:lang w:bidi="ar"/>
        </w:rPr>
        <w:t>中“6.1分割工序”。</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hint="default" w:ascii="Times New Roman" w:hAnsi="Times New Roman" w:eastAsia="宋体" w:cs="Times New Roman"/>
          <w:snapToGrid w:val="0"/>
          <w:szCs w:val="24"/>
          <w:lang w:bidi="ar"/>
        </w:rPr>
        <w:t>：</w:t>
      </w:r>
    </w:p>
    <w:p>
      <w:pPr>
        <w:pStyle w:val="9"/>
        <w:spacing w:beforeAutospacing="0" w:afterAutospacing="0"/>
        <w:ind w:firstLine="482"/>
        <w:rPr>
          <w:rFonts w:hint="eastAsia"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8.2　整体分割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8.2.1　纵二分体分割要求</w:t>
      </w:r>
    </w:p>
    <w:p>
      <w:pPr>
        <w:pStyle w:val="9"/>
        <w:spacing w:beforeAutospacing="0" w:afterAutospacing="0"/>
        <w:ind w:firstLine="482"/>
        <w:rPr>
          <w:rFonts w:hint="eastAsia"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将宰后的整个通辽牛胴体沿脊椎中线纵向锯（劈）成两片。</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8.2.2　四分体分割要求</w:t>
      </w:r>
    </w:p>
    <w:p>
      <w:pPr>
        <w:pStyle w:val="9"/>
        <w:spacing w:beforeAutospacing="0" w:afterAutospacing="0"/>
        <w:ind w:firstLine="482"/>
        <w:rPr>
          <w:rFonts w:hint="eastAsia"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普通四分体分割：在第5～第7肋，或第11～第13肋骨间将纵二分体切开后得到的前、后两个部分。</w:t>
      </w:r>
    </w:p>
    <w:p>
      <w:pPr>
        <w:pStyle w:val="9"/>
        <w:spacing w:beforeAutospacing="0" w:afterAutospacing="0"/>
        <w:ind w:firstLine="482"/>
        <w:rPr>
          <w:rFonts w:hint="eastAsia" w:ascii="Times New Roman" w:hAnsi="Times New Roman" w:eastAsia="宋体" w:cs="Times New Roman"/>
          <w:snapToGrid w:val="0"/>
          <w:szCs w:val="24"/>
          <w:lang w:val="en-US" w:eastAsia="zh-CN" w:bidi="ar"/>
        </w:rPr>
      </w:pPr>
      <w:r>
        <w:rPr>
          <w:rFonts w:hint="eastAsia" w:ascii="Times New Roman" w:hAnsi="Times New Roman" w:eastAsia="宋体" w:cs="Times New Roman"/>
          <w:snapToGrid w:val="0"/>
          <w:szCs w:val="24"/>
          <w:lang w:val="en-US" w:eastAsia="zh-CN" w:bidi="ar"/>
        </w:rPr>
        <w:t>枪形四分体分割：一端沿腹直肌与臀部轮廓处切开，平行于脊柱走向，切至第5～第7肋骨之间或第11～第13肋骨之间横切后得到的前、后两部分，称为枪形前、后四分体。</w:t>
      </w:r>
    </w:p>
    <w:p>
      <w:pPr>
        <w:pStyle w:val="9"/>
        <w:spacing w:beforeAutospacing="0" w:afterAutospacing="0"/>
        <w:ind w:firstLine="482"/>
        <w:rPr>
          <w:rFonts w:hint="eastAsia" w:ascii="Times New Roman" w:hAnsi="Times New Roman" w:eastAsia="宋体" w:cs="Times New Roman"/>
          <w:b/>
          <w:bCs/>
          <w:snapToGrid w:val="0"/>
          <w:szCs w:val="24"/>
          <w:lang w:bidi="ar"/>
        </w:rPr>
      </w:pPr>
      <w:r>
        <w:rPr>
          <w:rFonts w:hint="eastAsia" w:ascii="Times New Roman" w:hAnsi="Times New Roman" w:eastAsia="宋体" w:cs="Times New Roman"/>
          <w:b/>
          <w:bCs/>
          <w:snapToGrid w:val="0"/>
          <w:szCs w:val="24"/>
          <w:lang w:bidi="ar"/>
        </w:rPr>
        <w:t>制定依据：</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基于通辽牛胴体的分割产品及分割方式，参考GB/T 27643-2011 《牛胴体及鲜肉分割》。</w:t>
      </w:r>
    </w:p>
    <w:p>
      <w:pPr>
        <w:pStyle w:val="9"/>
        <w:spacing w:beforeAutospacing="0" w:afterAutospacing="0"/>
        <w:ind w:firstLine="482"/>
        <w:rPr>
          <w:rFonts w:hint="eastAsia" w:ascii="Times New Roman" w:hAnsi="Times New Roman" w:eastAsia="宋体" w:cs="Times New Roman"/>
          <w:b/>
          <w:bCs/>
          <w:snapToGrid w:val="0"/>
          <w:szCs w:val="24"/>
          <w:lang w:val="en-US" w:eastAsia="zh-CN" w:bidi="ar"/>
        </w:rPr>
      </w:pPr>
      <w:r>
        <w:rPr>
          <w:rFonts w:hint="eastAsia" w:ascii="Times New Roman" w:hAnsi="Times New Roman" w:eastAsia="宋体" w:cs="Times New Roman"/>
          <w:b/>
          <w:bCs/>
          <w:snapToGrid w:val="0"/>
          <w:szCs w:val="24"/>
          <w:lang w:val="en-US" w:eastAsia="zh-CN" w:bidi="ar"/>
        </w:rPr>
        <w:t>标准文本：</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　部位分割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8.3.1　牛脖及肩肉分割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8.3.1.1　颈肉分割要求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一端在第1颈椎处切断，另一端从第6节和第7节颈椎骨中间下刀，沿前腿向下分割切断，剥离颈椎，抽出筋腱，切口平滑整齐。</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8.3.1.2　肩肉分割要求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找到肩胛骨与肋骨分界线，沿肩胛骨边缘下刀，切断筋膜将整个肩胛肉群取下。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8.3.1.3　板腱分割要求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位于肩胛骨外侧，沿肩胛外侧骨膜取下的净肉。</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8.3.1.4　辣椒条分割要求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剔除前腿肱骨、桡骨和肩胛骨后，沿肉块筋膜自然走向分割，从肱骨头与肩胛骨结节处紧贴冈上窝取下的形如辣椒状的净肉。</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8.3.2　牛前腿分割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8.3.2.1　牛前腱分割要求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在牛前腿部沿肱骨与桡骨结节处剔去桡骨、尺骨，去除脂肪和暴露的筋腱，保持形态完整。</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8.3.2.2　金钱展分割要求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沿膝关节与腿骨连接处下刀，取下一个由肉膜包裹着的长条形肉。</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　牛排与腰肉分割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　外脊分割要求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在第11胸椎处和第6腰椎部切下，逐个剥离胸椎、腰椎，剔除脊椎、羽状骨和肋骨。</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8.3.3.2　F外脊分割要求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在第11胸椎处和第6腰椎部切下，逐个剥离胸椎、腰椎，剔除脊椎骨、羽状骨、肋骨和侧唇，修去所有可见脂肪、筋腱和肌膜。</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8.3.3.3　T骨扒分割要求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自第2腰椎锯开，直至荐椎，带骨修整，去侧边。</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8.3.3.4　里脊分割要求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先剥去肾周围脂肪，沿腰内侧耻骨前下方，将里脊剔下，再由里脊头到里脊尾逐个剥离腰椎骨突出，完全剥离后修整去掉覆盖在上方的脂肪，修去表层附带的脂肪，同时修去侧边筋膜。</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8.3.3.5　眼肉分割要求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从第5～第6胸椎之间垂直下刀，再从第10～第11胸椎后垂直下刀，分割时剥离胸椎，去除筋腱。</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8.3.3.6　带骨眼肉分割要求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前端为第6胸椎，后端与外脊相连，剔除脊椎骨、羽状骨保留肋骨。</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8.3.3.7　眼肉芯分割要求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前端为第6胸椎，后端与外脊相连，眼肉去盖即为眼肉芯。</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8.3.3.8　上脑分割要求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前断面从第7节颈椎处垂直切下，后断面从第5～第6节胸椎垂直切下，剥离胸椎，剔除筋腱、月牙骨。</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8.3.3.9　肉眼分割要求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前断面从第7节颈椎处垂直切下，后断面从第10～第11节胸椎垂直切下，剥离胸椎，剔除筋腱。</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8.3.3.10　胸腩连体要求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前断面在在第1肋骨处切下，后断面第13肋骨处切下。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8.3.3.11　带骨腹肉分割要求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沿第2～第5肋骨靠近脊椎处锯开，保留肋骨长20 cm～25 cm。</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8.3.3.12　美式牛排分割要求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沿第6～第10肋骨靠近脊椎骨处锯开，保留肋骨宽10cm。</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8.3.3.13　胸肉分割要求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沿着胸骨直至剑状软骨分割取下。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8.3.3.14　带盖肋排分割要求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沿第1～第13肋骨靠近脊椎处锯开。</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8.3.3.15　F肉分割要求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沿第13肋骨之后的软腹侧壁下1/3和腹腔底部分割，顺肉块自然形状修整。</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8.3.3.16　腹心肉分割要求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位于腹部软腹壁，从牛腩中分割取下。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8.3.3.17　牛腩分割要求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从股四头肌前缘沿着背最长肌边缘至第13肋骨处分割取下，去掉表面脂肪、筋膜。</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　牛后腿分割</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8.3.4.1　米龙分割要求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沿股骨内侧从臀骨二头肌与臀股四头肌边缘分割取下，去掉脂肪和疏松结缔组织。</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8.3.4.2　大黄瓜条分割要求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沿半腱肌上端至髋骨结节处与脊椎平直切断，剔除后腿股骨时沿肉块自然走向将其剔出，修整时应保持肉块形态完整，并去掉脂肪、肌膜、疏松结缔组织和肉夹层筋腱。</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8.3.4.3　小黄瓜条分割要求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沿臀股二头肌边缘分割取下，取下牛后腱子之后，小黄瓜条处于最明显的位置，可按小黄瓜条的自然走向剥离。</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8.3.4.4　牛后腱分割要求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沿胫骨与股骨结节处剔去胫骨分割取下。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8.3.4.5　霖肉分割要求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当剥离米龙、臀肉后便可见到一块长圆形肉块，沿此肉块的自然走向剥离，得到霖肉肉块，去掉膝盖骨、脂肪及外露的筋腱、筋头，保持肌膜完整无损。</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8.3.4.6　臀肉分割要求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从牛后腿髋关节下刀，沿臀股四头肌边缘分割取下。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8.3.4.7　臀肉芯分割要求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将牛后腿外侧靠近股骨一端分割取下。</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8.3.4.8　三角肉分割要求</w:t>
      </w:r>
    </w:p>
    <w:p>
      <w:pPr>
        <w:pStyle w:val="9"/>
        <w:spacing w:beforeAutospacing="0" w:afterAutospacing="0"/>
        <w:ind w:firstLine="482"/>
        <w:rPr>
          <w:rFonts w:hint="default" w:ascii="Times New Roman" w:hAnsi="Times New Roman" w:eastAsia="宋体" w:cs="Times New Roman"/>
          <w:snapToGrid w:val="0"/>
          <w:szCs w:val="24"/>
          <w:lang w:val="en-US" w:eastAsia="zh-CN" w:bidi="ar"/>
        </w:rPr>
      </w:pPr>
      <w:r>
        <w:rPr>
          <w:rFonts w:hint="default" w:ascii="Times New Roman" w:hAnsi="Times New Roman" w:eastAsia="宋体" w:cs="Times New Roman"/>
          <w:snapToGrid w:val="0"/>
          <w:szCs w:val="24"/>
          <w:lang w:val="en-US" w:eastAsia="zh-CN" w:bidi="ar"/>
        </w:rPr>
        <w:t>牛后腿外侧顺着筋膜分割取下。</w:t>
      </w:r>
    </w:p>
    <w:p>
      <w:pPr>
        <w:pStyle w:val="9"/>
        <w:spacing w:beforeAutospacing="0" w:afterAutospacing="0"/>
        <w:ind w:firstLine="482"/>
        <w:rPr>
          <w:rFonts w:hint="eastAsia" w:ascii="Times New Roman" w:hAnsi="Times New Roman" w:eastAsia="宋体" w:cs="Times New Roman"/>
          <w:b/>
          <w:bCs/>
          <w:snapToGrid w:val="0"/>
          <w:szCs w:val="24"/>
          <w:lang w:bidi="ar"/>
        </w:rPr>
      </w:pPr>
      <w:r>
        <w:rPr>
          <w:rFonts w:hint="eastAsia" w:ascii="Times New Roman" w:hAnsi="Times New Roman" w:eastAsia="宋体" w:cs="Times New Roman"/>
          <w:b/>
          <w:bCs/>
          <w:snapToGrid w:val="0"/>
          <w:szCs w:val="24"/>
          <w:lang w:bidi="ar"/>
        </w:rPr>
        <w:t>制定依据：</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基于通辽牛肉的分割产品及分割方式，参考GB/T 27643-2011 《牛胴体及鲜肉分割》“4.2 分割肉分割要求”和T/NAASS 062-2023《宁夏六盘山区肉牛胴体精细分割技术规程》中“6 部位肉及分割方法”。</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8.</w:t>
      </w:r>
      <w:r>
        <w:rPr>
          <w:rFonts w:hint="eastAsia" w:ascii="Times New Roman" w:hAnsi="Times New Roman" w:eastAsia="宋体" w:cs="Times New Roman"/>
          <w:snapToGrid w:val="0"/>
          <w:szCs w:val="24"/>
          <w:lang w:val="en-US" w:eastAsia="zh-CN" w:bidi="ar"/>
        </w:rPr>
        <w:t>4</w:t>
      </w:r>
      <w:r>
        <w:rPr>
          <w:rFonts w:hint="eastAsia" w:ascii="Times New Roman" w:hAnsi="Times New Roman" w:eastAsia="宋体" w:cs="Times New Roman"/>
          <w:snapToGrid w:val="0"/>
          <w:szCs w:val="24"/>
          <w:lang w:bidi="ar"/>
        </w:rPr>
        <w:t>　修整要求</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应符合T/CMATB 3012中5.3.2。</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引用T/CMATB 3012-2025《通辽牛肉》</w:t>
      </w:r>
      <w:r>
        <w:rPr>
          <w:rFonts w:hint="eastAsia" w:ascii="Times New Roman" w:hAnsi="Times New Roman" w:eastAsia="宋体" w:cs="Times New Roman"/>
          <w:snapToGrid w:val="0"/>
          <w:szCs w:val="24"/>
          <w:lang w:eastAsia="zh-CN" w:bidi="ar"/>
        </w:rPr>
        <w:t>，</w:t>
      </w:r>
      <w:r>
        <w:rPr>
          <w:rFonts w:hint="eastAsia" w:ascii="Times New Roman" w:hAnsi="Times New Roman" w:eastAsia="宋体" w:cs="Times New Roman"/>
          <w:snapToGrid w:val="0"/>
          <w:szCs w:val="24"/>
          <w:lang w:val="en-US" w:eastAsia="zh-CN" w:bidi="ar"/>
        </w:rPr>
        <w:t>文件运行成熟直接引用</w:t>
      </w:r>
      <w:r>
        <w:rPr>
          <w:rFonts w:hint="default"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numPr>
          <w:ilvl w:val="0"/>
          <w:numId w:val="8"/>
        </w:numPr>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标签、标志、包装、储存和运输</w:t>
      </w:r>
    </w:p>
    <w:p>
      <w:pPr>
        <w:pStyle w:val="9"/>
        <w:numPr>
          <w:ilvl w:val="0"/>
          <w:numId w:val="0"/>
        </w:numPr>
        <w:spacing w:beforeAutospacing="0" w:afterAutospacing="0"/>
        <w:ind w:firstLine="480" w:firstLineChars="20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按照NYT 3963的规定。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引用NY/T3963-2021《畜禽肉分割技术规程 牦牛肉》，文件运行成熟直接引用。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 xml:space="preserve">附录 </w:t>
      </w:r>
      <w:r>
        <w:rPr>
          <w:rFonts w:hint="eastAsia" w:ascii="Times New Roman" w:hAnsi="Times New Roman" w:eastAsia="宋体" w:cs="Times New Roman"/>
          <w:snapToGrid w:val="0"/>
          <w:szCs w:val="24"/>
          <w:lang w:val="en-US" w:eastAsia="zh-CN" w:bidi="ar"/>
        </w:rPr>
        <w:t>A</w:t>
      </w:r>
      <w:r>
        <w:rPr>
          <w:rFonts w:ascii="Times New Roman" w:hAnsi="Times New Roman" w:eastAsia="宋体" w:cs="Times New Roman"/>
          <w:snapToGrid w:val="0"/>
          <w:szCs w:val="24"/>
          <w:lang w:bidi="ar"/>
        </w:rPr>
        <w:t>（资料性附录） 分割牛肉名称对照表</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图</w:t>
      </w:r>
      <w:r>
        <w:rPr>
          <w:rFonts w:hint="eastAsia" w:ascii="Times New Roman" w:hAnsi="Times New Roman" w:eastAsia="宋体" w:cs="Times New Roman"/>
          <w:snapToGrid w:val="0"/>
          <w:szCs w:val="24"/>
          <w:lang w:val="en-US" w:eastAsia="zh-CN" w:bidi="ar"/>
        </w:rPr>
        <w:t>A</w:t>
      </w:r>
      <w:r>
        <w:rPr>
          <w:rFonts w:ascii="Times New Roman" w:hAnsi="Times New Roman" w:eastAsia="宋体" w:cs="Times New Roman"/>
          <w:snapToGrid w:val="0"/>
          <w:szCs w:val="24"/>
          <w:lang w:bidi="ar"/>
        </w:rPr>
        <w:t>.1 分割牛肉名称对照</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：基于通辽牛肉的分割产品名称，并参考GB/T 27643-2011 《牛胴体及鲜肉分割》附录</w:t>
      </w:r>
      <w:r>
        <w:rPr>
          <w:rFonts w:hint="default" w:ascii="Times New Roman" w:hAnsi="Times New Roman" w:eastAsia="宋体" w:cs="Times New Roman"/>
          <w:snapToGrid w:val="0"/>
          <w:szCs w:val="24"/>
          <w:lang w:bidi="ar"/>
        </w:rPr>
        <w:t>C</w:t>
      </w:r>
      <w:r>
        <w:rPr>
          <w:rFonts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 xml:space="preserve">附录 </w:t>
      </w:r>
      <w:r>
        <w:rPr>
          <w:rFonts w:hint="eastAsia" w:ascii="Times New Roman" w:hAnsi="Times New Roman" w:eastAsia="宋体" w:cs="Times New Roman"/>
          <w:snapToGrid w:val="0"/>
          <w:szCs w:val="24"/>
          <w:lang w:val="en-US" w:eastAsia="zh-CN" w:bidi="ar"/>
        </w:rPr>
        <w:t>B</w:t>
      </w:r>
      <w:r>
        <w:rPr>
          <w:rFonts w:ascii="Times New Roman" w:hAnsi="Times New Roman" w:eastAsia="宋体" w:cs="Times New Roman"/>
          <w:snapToGrid w:val="0"/>
          <w:szCs w:val="24"/>
          <w:lang w:bidi="ar"/>
        </w:rPr>
        <w:t xml:space="preserve">（资料性附录） </w:t>
      </w:r>
      <w:r>
        <w:rPr>
          <w:rFonts w:hint="eastAsia" w:ascii="Times New Roman" w:hAnsi="Times New Roman" w:eastAsia="宋体" w:cs="Times New Roman"/>
          <w:snapToGrid w:val="0"/>
          <w:szCs w:val="24"/>
          <w:lang w:bidi="ar"/>
        </w:rPr>
        <w:t>通辽牛胴体分割部位描述</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表</w:t>
      </w:r>
      <w:r>
        <w:rPr>
          <w:rFonts w:hint="eastAsia" w:ascii="Times New Roman" w:hAnsi="Times New Roman" w:eastAsia="宋体" w:cs="Times New Roman"/>
          <w:snapToGrid w:val="0"/>
          <w:szCs w:val="24"/>
          <w:lang w:val="en-US" w:eastAsia="zh-CN" w:bidi="ar"/>
        </w:rPr>
        <w:t>B</w:t>
      </w:r>
      <w:r>
        <w:rPr>
          <w:rFonts w:ascii="Times New Roman" w:hAnsi="Times New Roman" w:eastAsia="宋体" w:cs="Times New Roman"/>
          <w:snapToGrid w:val="0"/>
          <w:szCs w:val="24"/>
          <w:lang w:bidi="ar"/>
        </w:rPr>
        <w:t xml:space="preserve">.1 </w:t>
      </w:r>
      <w:r>
        <w:rPr>
          <w:rFonts w:hint="eastAsia" w:ascii="Times New Roman" w:hAnsi="Times New Roman" w:eastAsia="宋体" w:cs="Times New Roman"/>
          <w:snapToGrid w:val="0"/>
          <w:szCs w:val="24"/>
          <w:lang w:bidi="ar"/>
        </w:rPr>
        <w:t>列出了通辽牛胴体分割部位的产品名称</w:t>
      </w:r>
      <w:r>
        <w:rPr>
          <w:rFonts w:hint="eastAsia" w:ascii="Times New Roman" w:hAnsi="Times New Roman" w:eastAsia="宋体" w:cs="Times New Roman"/>
          <w:snapToGrid w:val="0"/>
          <w:szCs w:val="24"/>
          <w:lang w:val="en-US" w:eastAsia="zh-CN" w:bidi="ar"/>
        </w:rPr>
        <w:t>和</w:t>
      </w:r>
      <w:r>
        <w:rPr>
          <w:rFonts w:hint="eastAsia" w:ascii="Times New Roman" w:hAnsi="Times New Roman" w:eastAsia="宋体" w:cs="Times New Roman"/>
          <w:snapToGrid w:val="0"/>
          <w:szCs w:val="24"/>
          <w:lang w:bidi="ar"/>
        </w:rPr>
        <w:t>部位描述</w:t>
      </w:r>
      <w:r>
        <w:rPr>
          <w:rFonts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基于通辽牛胴体的分割产品及分割方式，参考GB/T 27643-2011 《牛胴体及鲜肉分割》“</w:t>
      </w:r>
      <w:r>
        <w:rPr>
          <w:rFonts w:hint="default" w:ascii="Times New Roman" w:hAnsi="Times New Roman" w:eastAsia="宋体" w:cs="Times New Roman"/>
          <w:snapToGrid w:val="0"/>
          <w:szCs w:val="24"/>
          <w:lang w:bidi="ar"/>
        </w:rPr>
        <w:t>4.1</w:t>
      </w:r>
      <w:r>
        <w:rPr>
          <w:rFonts w:ascii="Times New Roman" w:hAnsi="Times New Roman" w:eastAsia="宋体" w:cs="Times New Roman"/>
          <w:snapToGrid w:val="0"/>
          <w:szCs w:val="24"/>
          <w:lang w:bidi="ar"/>
        </w:rPr>
        <w:t xml:space="preserve"> 胴体分割要求”。</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 xml:space="preserve">附录 </w:t>
      </w:r>
      <w:r>
        <w:rPr>
          <w:rFonts w:hint="eastAsia" w:ascii="Times New Roman" w:hAnsi="Times New Roman" w:eastAsia="宋体" w:cs="Times New Roman"/>
          <w:snapToGrid w:val="0"/>
          <w:szCs w:val="24"/>
          <w:lang w:val="en-US" w:eastAsia="zh-CN" w:bidi="ar"/>
        </w:rPr>
        <w:t>C</w:t>
      </w:r>
      <w:r>
        <w:rPr>
          <w:rFonts w:ascii="Times New Roman" w:hAnsi="Times New Roman" w:eastAsia="宋体" w:cs="Times New Roman"/>
          <w:snapToGrid w:val="0"/>
          <w:szCs w:val="24"/>
          <w:lang w:bidi="ar"/>
        </w:rPr>
        <w:t>（资料性附录）</w:t>
      </w:r>
      <w:r>
        <w:rPr>
          <w:rFonts w:hint="eastAsia" w:ascii="Times New Roman" w:hAnsi="Times New Roman" w:eastAsia="宋体" w:cs="Times New Roman"/>
          <w:snapToGrid w:val="0"/>
          <w:szCs w:val="24"/>
          <w:lang w:bidi="ar"/>
        </w:rPr>
        <w:t>通辽牛胴体分割肉描述</w:t>
      </w:r>
    </w:p>
    <w:p>
      <w:pPr>
        <w:pStyle w:val="9"/>
        <w:spacing w:beforeAutospacing="0" w:afterAutospacing="0"/>
        <w:ind w:firstLine="480"/>
        <w:rPr>
          <w:rFonts w:hint="eastAsia" w:ascii="Times New Roman" w:hAnsi="Times New Roman" w:eastAsia="宋体" w:cs="Times New Roman"/>
          <w:snapToGrid w:val="0"/>
          <w:szCs w:val="24"/>
          <w:lang w:eastAsia="zh-CN" w:bidi="ar"/>
        </w:rPr>
      </w:pPr>
      <w:r>
        <w:rPr>
          <w:rFonts w:ascii="Times New Roman" w:hAnsi="Times New Roman" w:eastAsia="宋体" w:cs="Times New Roman"/>
          <w:snapToGrid w:val="0"/>
          <w:szCs w:val="24"/>
          <w:lang w:bidi="ar"/>
        </w:rPr>
        <w:t>表</w:t>
      </w:r>
      <w:r>
        <w:rPr>
          <w:rFonts w:hint="eastAsia" w:ascii="Times New Roman" w:hAnsi="Times New Roman" w:eastAsia="宋体" w:cs="Times New Roman"/>
          <w:snapToGrid w:val="0"/>
          <w:szCs w:val="24"/>
          <w:lang w:val="en-US" w:eastAsia="zh-CN" w:bidi="ar"/>
        </w:rPr>
        <w:t>C</w:t>
      </w:r>
      <w:r>
        <w:rPr>
          <w:rFonts w:ascii="Times New Roman" w:hAnsi="Times New Roman" w:eastAsia="宋体" w:cs="Times New Roman"/>
          <w:snapToGrid w:val="0"/>
          <w:szCs w:val="24"/>
          <w:lang w:bidi="ar"/>
        </w:rPr>
        <w:t xml:space="preserve">.1 </w:t>
      </w:r>
      <w:r>
        <w:rPr>
          <w:rFonts w:hint="eastAsia" w:ascii="Times New Roman" w:hAnsi="Times New Roman" w:eastAsia="宋体" w:cs="Times New Roman"/>
          <w:snapToGrid w:val="0"/>
          <w:szCs w:val="24"/>
          <w:lang w:bidi="ar"/>
        </w:rPr>
        <w:t>列出了通辽牛胴体分割肉的产品名称、分割部位描述</w:t>
      </w:r>
      <w:r>
        <w:rPr>
          <w:rFonts w:hint="eastAsia" w:ascii="Times New Roman" w:hAnsi="Times New Roman" w:eastAsia="宋体" w:cs="Times New Roman"/>
          <w:snapToGrid w:val="0"/>
          <w:szCs w:val="24"/>
          <w:lang w:eastAsia="zh-CN"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b/>
          <w:bCs/>
          <w:snapToGrid w:val="0"/>
          <w:szCs w:val="24"/>
          <w:lang w:bidi="ar"/>
        </w:rPr>
      </w:pPr>
      <w:r>
        <w:rPr>
          <w:rFonts w:ascii="Times New Roman" w:hAnsi="Times New Roman" w:eastAsia="宋体" w:cs="Times New Roman"/>
          <w:snapToGrid w:val="0"/>
          <w:szCs w:val="24"/>
          <w:lang w:bidi="ar"/>
        </w:rPr>
        <w:t>基于通辽牛肉的分割产品及分割方式，参考GB/T 27643-2011 《牛胴体及鲜肉分割》“4.2 分割肉分割要求”和T/NAASS 062-2023《宁夏六盘山区肉牛胴体精细分割技术规程》中“6 部位肉及分割方法”。</w:t>
      </w:r>
    </w:p>
    <w:bookmarkEnd w:id="22"/>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三、主要试验（或验证）的分析、综述报告，技术经济论证，预期的经济效果</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四、采用国际标准和国外先进标准的程度</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bookmarkStart w:id="27" w:name="OLE_LINK130"/>
      <w:r>
        <w:rPr>
          <w:rFonts w:hint="eastAsia" w:ascii="Times New Roman" w:hAnsi="Times New Roman" w:cs="Times New Roman"/>
          <w:b w:val="0"/>
          <w:bCs/>
          <w:szCs w:val="44"/>
          <w:lang w:bidi="ar-SA"/>
        </w:rPr>
        <w:t>五、与现行的法律法规和强制性国家标准的关系</w:t>
      </w:r>
    </w:p>
    <w:bookmarkEnd w:id="27"/>
    <w:p>
      <w:pPr>
        <w:pStyle w:val="31"/>
        <w:ind w:firstLine="480"/>
        <w:rPr>
          <w:snapToGrid w:val="0"/>
          <w:sz w:val="24"/>
          <w:szCs w:val="24"/>
        </w:rPr>
      </w:pPr>
      <w:bookmarkStart w:id="28" w:name="OLE_LINK128"/>
      <w:r>
        <w:rPr>
          <w:rFonts w:hint="eastAsia"/>
          <w:snapToGrid w:val="0"/>
          <w:sz w:val="24"/>
          <w:szCs w:val="24"/>
        </w:rPr>
        <w:t>本文件</w:t>
      </w:r>
      <w:r>
        <w:rPr>
          <w:snapToGrid w:val="0"/>
          <w:sz w:val="24"/>
          <w:szCs w:val="24"/>
        </w:rPr>
        <w:t>在现行法律法规的框架内起草，与现行法律法规</w:t>
      </w:r>
      <w:r>
        <w:rPr>
          <w:rFonts w:hint="eastAsia"/>
          <w:snapToGrid w:val="0"/>
          <w:sz w:val="24"/>
          <w:szCs w:val="24"/>
        </w:rPr>
        <w:t>保持协调一致，</w:t>
      </w:r>
      <w:r>
        <w:rPr>
          <w:snapToGrid w:val="0"/>
          <w:sz w:val="24"/>
          <w:szCs w:val="24"/>
        </w:rPr>
        <w:t>没有矛盾或冲突</w:t>
      </w:r>
      <w:r>
        <w:rPr>
          <w:rFonts w:hint="eastAsia"/>
          <w:snapToGrid w:val="0"/>
          <w:sz w:val="24"/>
          <w:szCs w:val="24"/>
        </w:rPr>
        <w:t>。</w:t>
      </w:r>
      <w:bookmarkEnd w:id="28"/>
      <w:r>
        <w:rPr>
          <w:rFonts w:hint="eastAsia"/>
          <w:bCs/>
          <w:snapToGrid w:val="0"/>
          <w:sz w:val="24"/>
          <w:szCs w:val="24"/>
        </w:rPr>
        <w:t>标准文本</w:t>
      </w:r>
      <w:r>
        <w:rPr>
          <w:rFonts w:hint="eastAsia"/>
          <w:snapToGrid w:val="0"/>
          <w:sz w:val="24"/>
          <w:szCs w:val="24"/>
        </w:rPr>
        <w:t>中对于产品的部分技术指标、试验方法、包装、储存和运输以及其他要求直接参考和引用了现行有关国家标准，不再进行重复规定。</w:t>
      </w:r>
    </w:p>
    <w:p>
      <w:pPr>
        <w:pStyle w:val="2"/>
        <w:keepNext w:val="0"/>
        <w:keepLines w:val="0"/>
        <w:widowControl w:val="0"/>
        <w:adjustRightInd/>
        <w:snapToGrid/>
        <w:ind w:firstLine="560"/>
        <w:rPr>
          <w:rFonts w:ascii="Times New Roman" w:hAnsi="Times New Roman" w:cs="Times New Roman"/>
          <w:b w:val="0"/>
          <w:bCs/>
          <w:szCs w:val="44"/>
          <w:lang w:bidi="ar-SA"/>
        </w:rPr>
      </w:pPr>
      <w:bookmarkStart w:id="29" w:name="OLE_LINK132"/>
      <w:r>
        <w:rPr>
          <w:rFonts w:hint="eastAsia" w:ascii="Times New Roman" w:hAnsi="Times New Roman" w:cs="Times New Roman"/>
          <w:b w:val="0"/>
          <w:bCs/>
          <w:szCs w:val="44"/>
          <w:lang w:bidi="ar-SA"/>
        </w:rPr>
        <w:t>六、重大分歧意见的处理经过和依据</w:t>
      </w:r>
    </w:p>
    <w:bookmarkEnd w:id="29"/>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七、标准作为强制性或推荐性标准的建议</w:t>
      </w:r>
    </w:p>
    <w:p>
      <w:pPr>
        <w:spacing w:line="500" w:lineRule="exact"/>
        <w:ind w:firstLine="480"/>
        <w:rPr>
          <w:rFonts w:hint="eastAsia"/>
          <w:sz w:val="24"/>
          <w:szCs w:val="24"/>
        </w:rPr>
      </w:pPr>
      <w:r>
        <w:rPr>
          <w:sz w:val="24"/>
          <w:szCs w:val="24"/>
        </w:rPr>
        <w:t>建议本标准作为推荐性标准执行。</w:t>
      </w:r>
    </w:p>
    <w:p>
      <w:pPr>
        <w:pStyle w:val="2"/>
        <w:keepNext w:val="0"/>
        <w:keepLines w:val="0"/>
        <w:widowControl w:val="0"/>
        <w:adjustRightInd/>
        <w:snapToGrid/>
        <w:ind w:firstLine="560"/>
        <w:rPr>
          <w:rFonts w:ascii="Times New Roman" w:hAnsi="Times New Roman" w:cs="Times New Roman"/>
          <w:b w:val="0"/>
          <w:bCs/>
          <w:szCs w:val="44"/>
          <w:lang w:bidi="ar-SA"/>
        </w:rPr>
      </w:pPr>
      <w:bookmarkStart w:id="30" w:name="OLE_LINK131"/>
      <w:r>
        <w:rPr>
          <w:rFonts w:hint="eastAsia" w:ascii="Times New Roman" w:hAnsi="Times New Roman" w:cs="Times New Roman"/>
          <w:b w:val="0"/>
          <w:bCs/>
          <w:szCs w:val="44"/>
          <w:lang w:bidi="ar-SA"/>
        </w:rPr>
        <w:t>八、贯彻标准的要求和措施建议（包括组织实施、技术措施、过渡办法等）</w:t>
      </w:r>
      <w:bookmarkStart w:id="31" w:name="OLE_LINK127"/>
    </w:p>
    <w:p>
      <w:pPr>
        <w:spacing w:line="500" w:lineRule="exact"/>
        <w:ind w:firstLine="480"/>
        <w:textAlignment w:val="baseline"/>
        <w:rPr>
          <w:rFonts w:hint="eastAsia"/>
          <w:sz w:val="24"/>
        </w:rPr>
      </w:pPr>
      <w:r>
        <w:rPr>
          <w:sz w:val="24"/>
        </w:rPr>
        <w:t>无</w:t>
      </w:r>
      <w:r>
        <w:rPr>
          <w:rFonts w:hint="eastAsia"/>
          <w:sz w:val="24"/>
        </w:rPr>
        <w:t>。</w:t>
      </w:r>
    </w:p>
    <w:bookmarkEnd w:id="30"/>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九、废止现行有关标准的建议</w:t>
      </w:r>
    </w:p>
    <w:bookmarkEnd w:id="31"/>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十、其他应予说明的事项</w:t>
      </w:r>
    </w:p>
    <w:p>
      <w:pPr>
        <w:spacing w:line="20" w:lineRule="exact"/>
        <w:ind w:firstLine="480"/>
        <w:textAlignment w:val="baseline"/>
        <w:rPr>
          <w:rFonts w:hint="eastAsia"/>
          <w:sz w:val="24"/>
        </w:rPr>
      </w:pPr>
      <w:r>
        <w:rPr>
          <w:sz w:val="24"/>
        </w:rPr>
        <w:t>无。</w:t>
      </w:r>
    </w:p>
    <w:p>
      <w:pPr>
        <w:spacing w:line="500" w:lineRule="exact"/>
        <w:ind w:firstLine="482"/>
        <w:rPr>
          <w:rFonts w:hint="eastAsia"/>
          <w:bCs/>
          <w:sz w:val="24"/>
          <w:szCs w:val="24"/>
        </w:rPr>
      </w:pPr>
      <w:r>
        <w:rPr>
          <w:b/>
          <w:bCs/>
          <w:sz w:val="24"/>
          <w:szCs w:val="24"/>
        </w:rPr>
        <w:t xml:space="preserve">                                                      </w:t>
      </w:r>
      <w:r>
        <w:rPr>
          <w:bCs/>
          <w:sz w:val="24"/>
          <w:szCs w:val="24"/>
        </w:rPr>
        <w:t>标准编制组</w:t>
      </w:r>
    </w:p>
    <w:p>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hint="eastAsia" w:ascii="Times New Roman" w:hAnsi="Times New Roman" w:cs="Times New Roman"/>
          <w:bCs/>
          <w:sz w:val="24"/>
          <w:szCs w:val="24"/>
        </w:rPr>
        <w:t>5</w:t>
      </w:r>
      <w:r>
        <w:rPr>
          <w:rFonts w:ascii="Times New Roman" w:hAnsi="Times New Roman" w:cs="Times New Roman"/>
          <w:bCs/>
          <w:sz w:val="24"/>
          <w:szCs w:val="24"/>
        </w:rPr>
        <w:t>年</w:t>
      </w:r>
      <w:r>
        <w:rPr>
          <w:rFonts w:hint="eastAsia" w:ascii="Times New Roman" w:hAnsi="Times New Roman" w:cs="Times New Roman"/>
          <w:bCs/>
          <w:sz w:val="24"/>
          <w:szCs w:val="24"/>
        </w:rPr>
        <w:t>5</w:t>
      </w:r>
      <w:r>
        <w:rPr>
          <w:rFonts w:ascii="Times New Roman" w:hAnsi="Times New Roman" w:cs="Times New Roman"/>
          <w:bCs/>
          <w:sz w:val="24"/>
          <w:szCs w:val="24"/>
        </w:rPr>
        <w:t>月</w:t>
      </w:r>
    </w:p>
    <w:p>
      <w:pPr>
        <w:pStyle w:val="38"/>
        <w:numPr>
          <w:ilvl w:val="1"/>
          <w:numId w:val="0"/>
        </w:numPr>
        <w:spacing w:beforeLines="0" w:afterLines="0" w:line="360" w:lineRule="auto"/>
        <w:rPr>
          <w:rFonts w:hint="eastAsia" w:ascii="宋体" w:hAnsi="宋体" w:eastAsia="宋体" w:cs="宋体"/>
          <w:snapToGrid w:val="0"/>
          <w:szCs w:val="20"/>
        </w:rPr>
      </w:pPr>
      <w:bookmarkStart w:id="32" w:name="OLE_LINK135"/>
      <w:bookmarkEnd w:id="32"/>
      <w:bookmarkStart w:id="33" w:name="OLE_LINK126"/>
      <w:bookmarkEnd w:id="33"/>
      <w:bookmarkStart w:id="34" w:name="OLE_LINK134"/>
      <w:bookmarkEnd w:id="34"/>
      <w:bookmarkStart w:id="35" w:name="OLE_LINK125"/>
      <w:bookmarkEnd w:id="35"/>
    </w:p>
    <w:sectPr>
      <w:footerReference r:id="rId5" w:type="default"/>
      <w:pgSz w:w="11906" w:h="16838"/>
      <w:pgMar w:top="1440" w:right="1800" w:bottom="1440" w:left="1800" w:header="1417" w:footer="1134"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Bold">
    <w:panose1 w:val="02020803070505020304"/>
    <w:charset w:val="00"/>
    <w:family w:val="auto"/>
    <w:pitch w:val="default"/>
    <w:sig w:usb0="E0002AEF" w:usb1="C0007841" w:usb2="00000009" w:usb3="00000000" w:csb0="400001FF" w:csb1="FFFF0000"/>
  </w:font>
  <w:font w:name="Songti SC">
    <w:panose1 w:val="02010800040101010101"/>
    <w:charset w:val="86"/>
    <w:family w:val="auto"/>
    <w:pitch w:val="default"/>
    <w:sig w:usb0="00000001" w:usb1="080F0000" w:usb2="00000000" w:usb3="00000000" w:csb0="00040000" w:csb1="00000000"/>
  </w:font>
  <w:font w:name="Songti SC Bold">
    <w:panose1 w:val="02010800040101010101"/>
    <w:charset w:val="86"/>
    <w:family w:val="auto"/>
    <w:pitch w:val="default"/>
    <w:sig w:usb0="00000001" w:usb1="080F0000" w:usb2="0000000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仿宋_GB2312">
    <w:altName w:val="方正仿宋_GBK"/>
    <w:panose1 w:val="020B0604020202020204"/>
    <w:charset w:val="86"/>
    <w:family w:val="modern"/>
    <w:pitch w:val="default"/>
    <w:sig w:usb0="00000000" w:usb1="00000000" w:usb2="00000000" w:usb3="00000000" w:csb0="00040000" w:csb1="00000000"/>
  </w:font>
  <w:font w:name="楷体_GB2312">
    <w:altName w:val="汉仪楷体简"/>
    <w:panose1 w:val="00000000000000000000"/>
    <w:charset w:val="86"/>
    <w:family w:val="auto"/>
    <w:pitch w:val="default"/>
    <w:sig w:usb0="00000000" w:usb1="00000000" w:usb2="00000000" w:usb3="00000000" w:csb0="00040000" w:csb1="00000000"/>
  </w:font>
  <w:font w:name="MingLiU">
    <w:altName w:val="宋体-繁"/>
    <w:panose1 w:val="02010609000101010101"/>
    <w:charset w:val="88"/>
    <w:family w:val="modern"/>
    <w:pitch w:val="default"/>
    <w:sig w:usb0="00000000" w:usb1="00000000" w:usb2="00000016" w:usb3="00000000" w:csb0="00100001"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宋体-繁">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15pt;margin-top:1pt;height:144pt;width:18.5pt;mso-position-horizontal-relative:margin;z-index:251660288;mso-width-relative:page;mso-height-relative:page;" filled="f" stroked="f" coordsize="21600,21600" o:gfxdata="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OGMI6zWAAAACQEAAA8AAAAAAAAAAQAgAAAA&#10;OAAAAGRycy9kb3ducmV2LnhtbFBLAQIUABQAAAAIAIdO4kA0MFUgMAIAAFYEAAAOAAAAAAAAAAEA&#10;IAAAADsBAABkcnMvZTJvRG9jLnhtbFBLBQYAAAAABgAGAFkBAADdBQAAAAA=&#10;">
              <v:fill on="f" focussize="0,0"/>
              <v:stroke on="f" weight="0.5pt"/>
              <v:imagedata o:title=""/>
              <o:lock v:ext="edit" aspectratio="f"/>
              <v:textbox inset="0mm,0mm,0mm,0mm" style="mso-fit-shape-to-text:t;">
                <w:txbxContent>
                  <w:p>
                    <w:pPr>
                      <w:pStyle w:val="7"/>
                      <w:ind w:firstLine="0" w:firstLineChars="0"/>
                      <w:jc w:val="center"/>
                      <w:rPr>
                        <w:rFonts w:hint="eastAsia"/>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CzSVju0AAAAAUBAAAPAAAAAAAAAAEAIAAAADgAAABkcnMvZG93&#10;bnJldi54bWxQSwECFAAUAAAACACHTuJABWGMPysCAABVBAAADgAAAAAAAAABACAAAAA1AQAAZHJz&#10;L2Uyb0RvYy54bWxQSwUGAAAAAAYABgBZAQAA0gUAAAAA&#10;">
              <v:fill on="f" focussize="0,0"/>
              <v:stroke on="f" weight="0.5pt"/>
              <v:imagedata o:title=""/>
              <o:lock v:ext="edit" aspectratio="f"/>
              <v:textbox inset="0mm,0mm,0mm,0mm" style="mso-fit-shape-to-text:t;">
                <w:txbxContent>
                  <w:p>
                    <w:pPr>
                      <w:pStyle w:val="7"/>
                      <w:ind w:firstLine="0" w:firstLineChars="0"/>
                      <w:jc w:val="both"/>
                      <w:rPr>
                        <w:rFonts w:hint="eastAsia"/>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6"/>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4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1961AC5"/>
    <w:multiLevelType w:val="multilevel"/>
    <w:tmpl w:val="61961AC5"/>
    <w:lvl w:ilvl="0" w:tentative="0">
      <w:start w:val="1"/>
      <w:numFmt w:val="chineseCountingThousand"/>
      <w:suff w:val="nothing"/>
      <w:lvlText w:val="第%1章"/>
      <w:lvlJc w:val="left"/>
      <w:pPr>
        <w:ind w:left="0" w:firstLine="0"/>
      </w:pPr>
      <w:rPr>
        <w:rFonts w:hint="eastAsia"/>
      </w:rPr>
    </w:lvl>
    <w:lvl w:ilvl="1" w:tentative="0">
      <w:start w:val="1"/>
      <w:numFmt w:val="none"/>
      <w:pStyle w:val="3"/>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63BFC3FF"/>
    <w:multiLevelType w:val="singleLevel"/>
    <w:tmpl w:val="63BFC3FF"/>
    <w:lvl w:ilvl="0" w:tentative="0">
      <w:start w:val="9"/>
      <w:numFmt w:val="decimal"/>
      <w:suff w:val="nothing"/>
      <w:lvlText w:val="%1　"/>
      <w:lvlJc w:val="left"/>
    </w:lvl>
  </w:abstractNum>
  <w:abstractNum w:abstractNumId="5">
    <w:nsid w:val="646260FA"/>
    <w:multiLevelType w:val="multilevel"/>
    <w:tmpl w:val="646260FA"/>
    <w:lvl w:ilvl="0" w:tentative="0">
      <w:start w:val="1"/>
      <w:numFmt w:val="decimal"/>
      <w:pStyle w:val="3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4"/>
      <w:suff w:val="nothing"/>
      <w:lvlText w:val="%1%2　"/>
      <w:lvlJc w:val="left"/>
      <w:pPr>
        <w:ind w:left="0" w:firstLine="0"/>
      </w:pPr>
      <w:rPr>
        <w:rFonts w:hint="eastAsia" w:ascii="黑体" w:eastAsia="黑体"/>
        <w:b w:val="0"/>
        <w:i w:val="0"/>
        <w:sz w:val="21"/>
      </w:rPr>
    </w:lvl>
    <w:lvl w:ilvl="2" w:tentative="0">
      <w:start w:val="1"/>
      <w:numFmt w:val="decimal"/>
      <w:pStyle w:val="5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1418"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DBF04F4"/>
    <w:multiLevelType w:val="multilevel"/>
    <w:tmpl w:val="6DBF04F4"/>
    <w:lvl w:ilvl="0" w:tentative="0">
      <w:start w:val="1"/>
      <w:numFmt w:val="none"/>
      <w:pStyle w:val="4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
  </w:num>
  <w:num w:numId="4">
    <w:abstractNumId w:val="5"/>
  </w:num>
  <w:num w:numId="5">
    <w:abstractNumId w:val="7"/>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xYmNiMmFiOWI4ODczM2I1MTRmYWYyMWE0NzVhNzQifQ=="/>
  </w:docVars>
  <w:rsids>
    <w:rsidRoot w:val="00A241FB"/>
    <w:rsid w:val="000574ED"/>
    <w:rsid w:val="00105208"/>
    <w:rsid w:val="001559B8"/>
    <w:rsid w:val="00156DCD"/>
    <w:rsid w:val="00157045"/>
    <w:rsid w:val="001D78E4"/>
    <w:rsid w:val="001E1983"/>
    <w:rsid w:val="002A1B70"/>
    <w:rsid w:val="002D213C"/>
    <w:rsid w:val="00355578"/>
    <w:rsid w:val="00366739"/>
    <w:rsid w:val="0036785B"/>
    <w:rsid w:val="003752AB"/>
    <w:rsid w:val="003C6F3B"/>
    <w:rsid w:val="003D66B4"/>
    <w:rsid w:val="003F5998"/>
    <w:rsid w:val="004279F7"/>
    <w:rsid w:val="00431B68"/>
    <w:rsid w:val="00433588"/>
    <w:rsid w:val="004C1FA8"/>
    <w:rsid w:val="004F037F"/>
    <w:rsid w:val="00500532"/>
    <w:rsid w:val="0051085F"/>
    <w:rsid w:val="00554AAE"/>
    <w:rsid w:val="005629CB"/>
    <w:rsid w:val="00577718"/>
    <w:rsid w:val="005C6ADC"/>
    <w:rsid w:val="005F067C"/>
    <w:rsid w:val="00622E60"/>
    <w:rsid w:val="00731B99"/>
    <w:rsid w:val="0075417F"/>
    <w:rsid w:val="007558C3"/>
    <w:rsid w:val="00797461"/>
    <w:rsid w:val="008A07C4"/>
    <w:rsid w:val="008D022A"/>
    <w:rsid w:val="00920750"/>
    <w:rsid w:val="00934A81"/>
    <w:rsid w:val="00965EE4"/>
    <w:rsid w:val="00987ED2"/>
    <w:rsid w:val="009B36D3"/>
    <w:rsid w:val="009B5B08"/>
    <w:rsid w:val="009E0EEB"/>
    <w:rsid w:val="009E4416"/>
    <w:rsid w:val="009E5BB5"/>
    <w:rsid w:val="00A12741"/>
    <w:rsid w:val="00A2159E"/>
    <w:rsid w:val="00A241FB"/>
    <w:rsid w:val="00A6252D"/>
    <w:rsid w:val="00AD1339"/>
    <w:rsid w:val="00BF08A7"/>
    <w:rsid w:val="00C43D7B"/>
    <w:rsid w:val="00C4675F"/>
    <w:rsid w:val="00C60D45"/>
    <w:rsid w:val="00C97C3D"/>
    <w:rsid w:val="00D258BF"/>
    <w:rsid w:val="00D56D84"/>
    <w:rsid w:val="00D67FBE"/>
    <w:rsid w:val="00D72B01"/>
    <w:rsid w:val="00D7568F"/>
    <w:rsid w:val="00DA5C53"/>
    <w:rsid w:val="00E23FFF"/>
    <w:rsid w:val="00E508A4"/>
    <w:rsid w:val="00E954BD"/>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3C02F6"/>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534803"/>
    <w:rsid w:val="3B806E1C"/>
    <w:rsid w:val="3BAC151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461224"/>
    <w:rsid w:val="7E5C45A3"/>
    <w:rsid w:val="7E8B6C36"/>
    <w:rsid w:val="7E9E4525"/>
    <w:rsid w:val="7EBE7E5E"/>
    <w:rsid w:val="7ECB1729"/>
    <w:rsid w:val="7ECF2FC7"/>
    <w:rsid w:val="7EE8052D"/>
    <w:rsid w:val="7F315A30"/>
    <w:rsid w:val="7F427C3D"/>
    <w:rsid w:val="7F97DA8B"/>
    <w:rsid w:val="7F9F508F"/>
    <w:rsid w:val="7FB81CAD"/>
    <w:rsid w:val="7FD12D6F"/>
    <w:rsid w:val="7FE5681A"/>
    <w:rsid w:val="7FF76C79"/>
    <w:rsid w:val="8FDFC48F"/>
    <w:rsid w:val="ABB6405D"/>
    <w:rsid w:val="EB78AE2B"/>
    <w:rsid w:val="FBFD4B1D"/>
    <w:rsid w:val="FD7FFD4C"/>
    <w:rsid w:val="FFA6F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firstLine="420" w:firstLineChars="200"/>
      <w:jc w:val="both"/>
    </w:pPr>
    <w:rPr>
      <w:rFonts w:cs="宋体" w:asciiTheme="minorEastAsia" w:hAnsiTheme="minorEastAsia" w:eastAsiaTheme="minorEastAsia"/>
      <w:sz w:val="21"/>
      <w:lang w:val="en-US" w:eastAsia="zh-CN" w:bidi="zh-TW"/>
    </w:rPr>
  </w:style>
  <w:style w:type="paragraph" w:styleId="2">
    <w:name w:val="heading 1"/>
    <w:basedOn w:val="1"/>
    <w:next w:val="1"/>
    <w:qFormat/>
    <w:uiPriority w:val="0"/>
    <w:pPr>
      <w:keepNext/>
      <w:keepLines/>
      <w:outlineLvl w:val="0"/>
    </w:pPr>
    <w:rPr>
      <w:rFonts w:eastAsia="黑体"/>
      <w:b/>
      <w:kern w:val="44"/>
      <w:sz w:val="28"/>
    </w:rPr>
  </w:style>
  <w:style w:type="paragraph" w:styleId="3">
    <w:name w:val="heading 2"/>
    <w:basedOn w:val="1"/>
    <w:next w:val="1"/>
    <w:unhideWhenUsed/>
    <w:qFormat/>
    <w:uiPriority w:val="0"/>
    <w:pPr>
      <w:keepNext/>
      <w:keepLines/>
      <w:numPr>
        <w:ilvl w:val="1"/>
        <w:numId w:val="1"/>
      </w:numPr>
      <w:outlineLvl w:val="1"/>
    </w:pPr>
    <w:rPr>
      <w:rFonts w:ascii="Arial" w:hAnsi="Arial" w:eastAsia="楷体_GB2312" w:cstheme="minorBidi"/>
      <w:b/>
      <w:bCs/>
      <w:sz w:val="24"/>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64"/>
    <w:qFormat/>
    <w:uiPriority w:val="0"/>
  </w:style>
  <w:style w:type="paragraph" w:styleId="5">
    <w:name w:val="Body Text"/>
    <w:basedOn w:val="1"/>
    <w:semiHidden/>
    <w:qFormat/>
    <w:uiPriority w:val="0"/>
    <w:rPr>
      <w:rFonts w:ascii="黑体" w:hAnsi="黑体" w:eastAsia="黑体" w:cs="黑体"/>
      <w:sz w:val="28"/>
      <w:szCs w:val="28"/>
      <w:lang w:eastAsia="en-US" w:bidi="ar-SA"/>
    </w:rPr>
  </w:style>
  <w:style w:type="paragraph" w:styleId="6">
    <w:name w:val="Plain Text"/>
    <w:basedOn w:val="1"/>
    <w:next w:val="1"/>
    <w:qFormat/>
    <w:uiPriority w:val="0"/>
    <w:rPr>
      <w:rFonts w:ascii="宋体" w:hAnsi="Courier New"/>
    </w:rPr>
  </w:style>
  <w:style w:type="paragraph" w:styleId="7">
    <w:name w:val="footer"/>
    <w:basedOn w:val="1"/>
    <w:qFormat/>
    <w:uiPriority w:val="99"/>
    <w:pPr>
      <w:ind w:right="210" w:rightChars="100"/>
      <w:jc w:val="righ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Normal (Web)"/>
    <w:basedOn w:val="1"/>
    <w:qFormat/>
    <w:uiPriority w:val="0"/>
    <w:pPr>
      <w:spacing w:beforeAutospacing="1" w:afterAutospacing="1"/>
    </w:pPr>
    <w:rPr>
      <w:rFonts w:hint="eastAsia" w:ascii="宋体" w:hAnsi="宋体"/>
      <w:sz w:val="24"/>
    </w:rPr>
  </w:style>
  <w:style w:type="paragraph" w:styleId="10">
    <w:name w:val="annotation subject"/>
    <w:basedOn w:val="4"/>
    <w:next w:val="4"/>
    <w:link w:val="65"/>
    <w:qFormat/>
    <w:uiPriority w:val="0"/>
    <w:pPr>
      <w:jc w:val="left"/>
    </w:pPr>
    <w:rPr>
      <w:b/>
      <w:bCs/>
    </w:rPr>
  </w:style>
  <w:style w:type="table" w:styleId="12">
    <w:name w:val="Table Grid"/>
    <w:basedOn w:val="1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Emphasis"/>
    <w:basedOn w:val="13"/>
    <w:qFormat/>
    <w:uiPriority w:val="0"/>
    <w:rPr>
      <w:i/>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封面标准英文名称"/>
    <w:basedOn w:val="20"/>
    <w:qFormat/>
    <w:uiPriority w:val="0"/>
    <w:pPr>
      <w:framePr w:wrap="around"/>
      <w:spacing w:before="370" w:line="400" w:lineRule="exact"/>
    </w:pPr>
    <w:rPr>
      <w:rFonts w:ascii="Times New Roman"/>
      <w:sz w:val="28"/>
      <w:szCs w:val="28"/>
    </w:rPr>
  </w:style>
  <w:style w:type="paragraph" w:customStyle="1" w:styleId="22">
    <w:name w:val="封面标准文稿类别"/>
    <w:basedOn w:val="23"/>
    <w:qFormat/>
    <w:uiPriority w:val="0"/>
    <w:pPr>
      <w:framePr w:wrap="around"/>
      <w:spacing w:after="160" w:line="240" w:lineRule="auto"/>
    </w:pPr>
    <w:rPr>
      <w:sz w:val="24"/>
    </w:rPr>
  </w:style>
  <w:style w:type="paragraph" w:customStyle="1" w:styleId="23">
    <w:name w:val="封面一致性程度标识"/>
    <w:basedOn w:val="21"/>
    <w:qFormat/>
    <w:uiPriority w:val="0"/>
    <w:pPr>
      <w:framePr w:wrap="around"/>
      <w:spacing w:before="440"/>
    </w:pPr>
    <w:rPr>
      <w:rFonts w:ascii="宋体" w:eastAsia="宋体"/>
    </w:rPr>
  </w:style>
  <w:style w:type="paragraph" w:customStyle="1" w:styleId="24">
    <w:name w:val="封面标准文稿编辑信息"/>
    <w:basedOn w:val="22"/>
    <w:qFormat/>
    <w:uiPriority w:val="0"/>
    <w:pPr>
      <w:framePr w:wrap="around"/>
      <w:spacing w:before="180" w:line="180" w:lineRule="exact"/>
    </w:pPr>
    <w:rPr>
      <w:sz w:val="21"/>
    </w:rPr>
  </w:style>
  <w:style w:type="paragraph" w:customStyle="1" w:styleId="25">
    <w:name w:val="其他发布日期"/>
    <w:basedOn w:val="26"/>
    <w:qFormat/>
    <w:uiPriority w:val="0"/>
    <w:pPr>
      <w:framePr w:wrap="around" w:vAnchor="page" w:hAnchor="text" w:x="1419"/>
    </w:pPr>
  </w:style>
  <w:style w:type="paragraph" w:customStyle="1" w:styleId="2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7">
    <w:name w:val="其他实施日期"/>
    <w:basedOn w:val="28"/>
    <w:qFormat/>
    <w:uiPriority w:val="0"/>
    <w:pPr>
      <w:framePr w:wrap="around"/>
    </w:pPr>
  </w:style>
  <w:style w:type="paragraph" w:customStyle="1" w:styleId="28">
    <w:name w:val="实施日期"/>
    <w:basedOn w:val="26"/>
    <w:qFormat/>
    <w:uiPriority w:val="0"/>
    <w:pPr>
      <w:framePr w:wrap="around" w:vAnchor="page" w:hAnchor="text"/>
      <w:jc w:val="right"/>
    </w:pPr>
  </w:style>
  <w:style w:type="paragraph" w:customStyle="1" w:styleId="29">
    <w:name w:val="其他发布部门"/>
    <w:basedOn w:val="30"/>
    <w:qFormat/>
    <w:uiPriority w:val="0"/>
    <w:pPr>
      <w:framePr w:wrap="around" w:y="15310"/>
      <w:spacing w:line="0" w:lineRule="atLeast"/>
    </w:pPr>
    <w:rPr>
      <w:rFonts w:ascii="黑体" w:eastAsia="黑体"/>
      <w:b w:val="0"/>
    </w:rPr>
  </w:style>
  <w:style w:type="paragraph" w:customStyle="1" w:styleId="30">
    <w:name w:val="发布部门"/>
    <w:next w:val="3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段"/>
    <w:qFormat/>
    <w:uiPriority w:val="0"/>
    <w:pPr>
      <w:tabs>
        <w:tab w:val="center" w:pos="4201"/>
        <w:tab w:val="right" w:leader="dot" w:pos="9298"/>
      </w:tabs>
      <w:autoSpaceDE w:val="0"/>
      <w:autoSpaceDN w:val="0"/>
      <w:spacing w:line="360" w:lineRule="auto"/>
      <w:ind w:firstLine="420" w:firstLineChars="200"/>
      <w:jc w:val="both"/>
    </w:pPr>
    <w:rPr>
      <w:rFonts w:ascii="宋体" w:hAnsi="Times New Roman" w:eastAsia="宋体" w:cs="Times New Roman"/>
      <w:sz w:val="21"/>
      <w:lang w:val="en-US" w:eastAsia="zh-CN" w:bidi="ar-SA"/>
    </w:rPr>
  </w:style>
  <w:style w:type="character" w:customStyle="1" w:styleId="32">
    <w:name w:val="发布"/>
    <w:basedOn w:val="13"/>
    <w:qFormat/>
    <w:uiPriority w:val="0"/>
    <w:rPr>
      <w:rFonts w:ascii="黑体" w:eastAsia="黑体"/>
      <w:spacing w:val="85"/>
      <w:w w:val="100"/>
      <w:position w:val="3"/>
      <w:sz w:val="28"/>
      <w:szCs w:val="28"/>
    </w:rPr>
  </w:style>
  <w:style w:type="paragraph" w:customStyle="1" w:styleId="33">
    <w:name w:val="前言、引言标题"/>
    <w:next w:val="3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4">
    <w:name w:val="Body text|1"/>
    <w:basedOn w:val="1"/>
    <w:qFormat/>
    <w:uiPriority w:val="0"/>
    <w:pPr>
      <w:spacing w:line="312" w:lineRule="auto"/>
    </w:pPr>
    <w:rPr>
      <w:rFonts w:ascii="MingLiU" w:hAnsi="MingLiU" w:eastAsia="MingLiU" w:cs="MingLiU"/>
      <w:sz w:val="20"/>
      <w:lang w:val="zh-TW" w:eastAsia="zh-TW"/>
    </w:rPr>
  </w:style>
  <w:style w:type="paragraph" w:customStyle="1" w:styleId="35">
    <w:name w:val="章标题"/>
    <w:next w:val="3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7">
    <w:name w:val="一级无"/>
    <w:basedOn w:val="38"/>
    <w:qFormat/>
    <w:uiPriority w:val="0"/>
    <w:pPr>
      <w:spacing w:beforeLines="0" w:afterLines="0"/>
    </w:pPr>
    <w:rPr>
      <w:rFonts w:ascii="宋体" w:eastAsia="宋体"/>
    </w:rPr>
  </w:style>
  <w:style w:type="paragraph" w:customStyle="1" w:styleId="38">
    <w:name w:val="一级条标题"/>
    <w:next w:val="3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正文表标题"/>
    <w:next w:val="31"/>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0">
    <w:name w:val="注："/>
    <w:next w:val="3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41">
    <w:name w:val="二级无"/>
    <w:basedOn w:val="42"/>
    <w:qFormat/>
    <w:uiPriority w:val="0"/>
    <w:rPr>
      <w:rFonts w:ascii="宋体" w:eastAsia="宋体"/>
    </w:rPr>
  </w:style>
  <w:style w:type="paragraph" w:customStyle="1" w:styleId="42">
    <w:name w:val="二级条标题"/>
    <w:basedOn w:val="38"/>
    <w:next w:val="31"/>
    <w:qFormat/>
    <w:uiPriority w:val="0"/>
    <w:pPr>
      <w:numPr>
        <w:ilvl w:val="2"/>
      </w:numPr>
      <w:spacing w:beforeLines="0" w:afterLines="0" w:line="360" w:lineRule="auto"/>
      <w:jc w:val="both"/>
      <w:outlineLvl w:val="3"/>
    </w:pPr>
  </w:style>
  <w:style w:type="paragraph" w:customStyle="1" w:styleId="43">
    <w:name w:val="三级无"/>
    <w:basedOn w:val="44"/>
    <w:qFormat/>
    <w:uiPriority w:val="0"/>
    <w:rPr>
      <w:rFonts w:ascii="宋体" w:eastAsia="宋体"/>
    </w:rPr>
  </w:style>
  <w:style w:type="paragraph" w:customStyle="1" w:styleId="44">
    <w:name w:val="三级条标题"/>
    <w:basedOn w:val="42"/>
    <w:next w:val="31"/>
    <w:qFormat/>
    <w:uiPriority w:val="0"/>
    <w:pPr>
      <w:numPr>
        <w:ilvl w:val="3"/>
      </w:numPr>
      <w:outlineLvl w:val="4"/>
    </w:pPr>
  </w:style>
  <w:style w:type="paragraph" w:customStyle="1" w:styleId="45">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9">
    <w:name w:val="标准书眉_奇数页"/>
    <w:next w:val="1"/>
    <w:qFormat/>
    <w:uiPriority w:val="0"/>
    <w:pPr>
      <w:spacing w:after="120"/>
      <w:jc w:val="right"/>
    </w:pPr>
    <w:rPr>
      <w:rFonts w:ascii="Times New Roman" w:hAnsi="Times New Roman" w:eastAsia="宋体" w:cs="Times New Roman"/>
      <w:sz w:val="21"/>
      <w:lang w:val="en-US" w:eastAsia="zh-CN" w:bidi="ar-SA"/>
    </w:rPr>
  </w:style>
  <w:style w:type="paragraph" w:customStyle="1" w:styleId="5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1">
    <w:name w:val="标准文件_术语条一"/>
    <w:basedOn w:val="52"/>
    <w:next w:val="55"/>
    <w:qFormat/>
    <w:uiPriority w:val="0"/>
  </w:style>
  <w:style w:type="paragraph" w:customStyle="1" w:styleId="52">
    <w:name w:val="标准文件_一级无标题"/>
    <w:basedOn w:val="53"/>
    <w:qFormat/>
    <w:uiPriority w:val="0"/>
    <w:pPr>
      <w:spacing w:before="0" w:beforeLines="0" w:after="0" w:afterLines="0"/>
      <w:outlineLvl w:val="9"/>
    </w:pPr>
    <w:rPr>
      <w:rFonts w:ascii="宋体" w:eastAsia="宋体"/>
    </w:rPr>
  </w:style>
  <w:style w:type="paragraph" w:customStyle="1" w:styleId="53">
    <w:name w:val="标准文件_一级条标题"/>
    <w:basedOn w:val="54"/>
    <w:next w:val="55"/>
    <w:qFormat/>
    <w:uiPriority w:val="0"/>
    <w:pPr>
      <w:numPr>
        <w:ilvl w:val="2"/>
      </w:numPr>
      <w:spacing w:before="50" w:beforeLines="50" w:after="50" w:afterLines="50"/>
      <w:outlineLvl w:val="1"/>
    </w:pPr>
  </w:style>
  <w:style w:type="paragraph" w:customStyle="1" w:styleId="54">
    <w:name w:val="标准文件_章标题"/>
    <w:next w:val="55"/>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6">
    <w:name w:val="font21"/>
    <w:basedOn w:val="13"/>
    <w:qFormat/>
    <w:uiPriority w:val="0"/>
    <w:rPr>
      <w:rFonts w:hint="default" w:ascii="Times New Roman" w:hAnsi="Times New Roman" w:cs="Times New Roman"/>
      <w:color w:val="000000"/>
      <w:sz w:val="21"/>
      <w:szCs w:val="21"/>
      <w:u w:val="none"/>
    </w:rPr>
  </w:style>
  <w:style w:type="character" w:customStyle="1" w:styleId="57">
    <w:name w:val="font11"/>
    <w:basedOn w:val="13"/>
    <w:qFormat/>
    <w:uiPriority w:val="0"/>
    <w:rPr>
      <w:rFonts w:hint="eastAsia" w:ascii="宋体" w:hAnsi="宋体" w:eastAsia="宋体" w:cs="宋体"/>
      <w:color w:val="000000"/>
      <w:sz w:val="21"/>
      <w:szCs w:val="21"/>
      <w:u w:val="none"/>
    </w:rPr>
  </w:style>
  <w:style w:type="paragraph" w:customStyle="1" w:styleId="58">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9">
    <w:name w:val="msolistparagraph"/>
    <w:basedOn w:val="1"/>
    <w:qFormat/>
    <w:uiPriority w:val="0"/>
    <w:rPr>
      <w:rFonts w:hint="eastAsia" w:ascii="等线" w:hAnsi="等线" w:eastAsia="等线"/>
    </w:rPr>
  </w:style>
  <w:style w:type="paragraph" w:styleId="60">
    <w:name w:val="List Paragraph"/>
    <w:basedOn w:val="1"/>
    <w:unhideWhenUsed/>
    <w:qFormat/>
    <w:uiPriority w:val="99"/>
  </w:style>
  <w:style w:type="paragraph" w:customStyle="1" w:styleId="61">
    <w:name w:val="Table Text"/>
    <w:basedOn w:val="1"/>
    <w:semiHidden/>
    <w:qFormat/>
    <w:uiPriority w:val="0"/>
    <w:rPr>
      <w:rFonts w:ascii="宋体" w:hAnsi="宋体" w:eastAsia="宋体"/>
      <w:sz w:val="18"/>
      <w:szCs w:val="18"/>
      <w:lang w:eastAsia="en-US" w:bidi="ar-SA"/>
    </w:rPr>
  </w:style>
  <w:style w:type="table" w:customStyle="1" w:styleId="62">
    <w:name w:val="Table Normal"/>
    <w:semiHidden/>
    <w:unhideWhenUsed/>
    <w:qFormat/>
    <w:uiPriority w:val="0"/>
    <w:tblPr>
      <w:tblCellMar>
        <w:top w:w="0" w:type="dxa"/>
        <w:left w:w="0" w:type="dxa"/>
        <w:bottom w:w="0" w:type="dxa"/>
        <w:right w:w="0" w:type="dxa"/>
      </w:tblCellMar>
    </w:tblPr>
  </w:style>
  <w:style w:type="paragraph" w:customStyle="1" w:styleId="63">
    <w:name w:val="Revision"/>
    <w:hidden/>
    <w:unhideWhenUsed/>
    <w:qFormat/>
    <w:uiPriority w:val="99"/>
    <w:rPr>
      <w:rFonts w:cs="宋体" w:asciiTheme="minorEastAsia" w:hAnsiTheme="minorEastAsia" w:eastAsiaTheme="minorEastAsia"/>
      <w:sz w:val="21"/>
      <w:lang w:val="en-US" w:eastAsia="zh-CN" w:bidi="zh-TW"/>
    </w:rPr>
  </w:style>
  <w:style w:type="character" w:customStyle="1" w:styleId="64">
    <w:name w:val="批注文字 字符"/>
    <w:basedOn w:val="13"/>
    <w:link w:val="4"/>
    <w:qFormat/>
    <w:uiPriority w:val="0"/>
    <w:rPr>
      <w:rFonts w:cs="宋体" w:asciiTheme="minorEastAsia" w:hAnsiTheme="minorEastAsia" w:eastAsiaTheme="minorEastAsia"/>
      <w:sz w:val="21"/>
      <w:lang w:bidi="zh-TW"/>
    </w:rPr>
  </w:style>
  <w:style w:type="character" w:customStyle="1" w:styleId="65">
    <w:name w:val="批注主题 字符"/>
    <w:basedOn w:val="64"/>
    <w:link w:val="10"/>
    <w:qFormat/>
    <w:uiPriority w:val="0"/>
    <w:rPr>
      <w:rFonts w:cs="宋体" w:asciiTheme="minorEastAsia" w:hAnsiTheme="minorEastAsia" w:eastAsiaTheme="minorEastAsia"/>
      <w:b/>
      <w:bCs/>
      <w:sz w:val="21"/>
      <w:lang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5813</Words>
  <Characters>6751</Characters>
  <Lines>168</Lines>
  <Paragraphs>206</Paragraphs>
  <TotalTime>0</TotalTime>
  <ScaleCrop>false</ScaleCrop>
  <LinksUpToDate>false</LinksUpToDate>
  <CharactersWithSpaces>7062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2024-07-25T05:47:00Z</dcterms:created>
  <dc:creator>wxx</dc:creator>
  <cp:lastModifiedBy>李丹</cp:lastModifiedBy>
  <dcterms:modified xsi:type="dcterms:W3CDTF">2025-06-13T10:09:49Z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2B605EFCCAC34BE8813B5C8E9267B31E_13</vt:lpwstr>
  </property>
  <property fmtid="{D5CDD505-2E9C-101B-9397-08002B2CF9AE}" pid="4" name="KSOTemplateDocerSaveRecord">
    <vt:lpwstr>eyJoZGlkIjoiN2JjNjlkY2Y1Y2NkZGE5Y2Q5NGZmMDVlNzZhMDkwMDUiLCJ1c2VySWQiOiI2NzY3MTU3NDcifQ==</vt:lpwstr>
  </property>
</Properties>
</file>