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A4793">
      <w:pPr>
        <w:pStyle w:val="17"/>
        <w:framePr w:wrap="around"/>
        <w:rPr>
          <w:rFonts w:ascii="黑体" w:hAnsi="黑体" w:cs="黑体"/>
        </w:rPr>
      </w:pPr>
      <w:bookmarkStart w:id="0" w:name="SectionMark0"/>
      <w:r>
        <w:rPr>
          <w:rFonts w:hint="eastAsia" w:ascii="黑体" w:hAnsi="黑体" w:cs="黑体"/>
        </w:rPr>
        <w:t>ICS 67.120.10</w:t>
      </w:r>
    </w:p>
    <w:p w14:paraId="65D8B0F6">
      <w:pPr>
        <w:pStyle w:val="17"/>
        <w:framePr w:wrap="around"/>
        <w:rPr>
          <w:rFonts w:ascii="黑体" w:hAnsi="黑体" w:cs="黑体"/>
        </w:rPr>
      </w:pPr>
      <w:r>
        <w:rPr>
          <w:rFonts w:hint="eastAsia" w:ascii="黑体" w:hAnsi="黑体" w:cs="黑体"/>
        </w:rPr>
        <w:t>CCS X22</w:t>
      </w:r>
    </w:p>
    <w:p w14:paraId="4509B00C">
      <w:pPr>
        <w:pStyle w:val="18"/>
      </w:pPr>
      <w:r>
        <mc:AlternateContent>
          <mc:Choice Requires="wps">
            <w:drawing>
              <wp:anchor distT="0" distB="0" distL="114300" distR="114300" simplePos="0" relativeHeight="251662336"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2336;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E375653">
                            <w:pPr>
                              <w:pStyle w:val="29"/>
                              <w:numPr>
                                <w:ilvl w:val="0"/>
                                <w:numId w:val="0"/>
                              </w:numPr>
                            </w:pPr>
                            <w:r>
                              <w:rPr>
                                <w:rFonts w:hint="eastAsia" w:ascii="黑体" w:hAnsi="黑体" w:cs="黑体"/>
                              </w:rPr>
                              <w:t>2025-XX-XX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1E375653">
                      <w:pPr>
                        <w:pStyle w:val="29"/>
                        <w:numPr>
                          <w:ilvl w:val="0"/>
                          <w:numId w:val="0"/>
                        </w:numPr>
                      </w:pPr>
                      <w:r>
                        <w:rPr>
                          <w:rFonts w:hint="eastAsia" w:ascii="黑体" w:hAnsi="黑体" w:cs="黑体"/>
                        </w:rPr>
                        <w:t>2025-XX-XX</w:t>
                      </w:r>
                      <w:r>
                        <w:rPr>
                          <w:rFonts w:hint="eastAsia"/>
                        </w:rPr>
                        <w:t>实施</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C0D334C">
                            <w:pPr>
                              <w:pStyle w:val="30"/>
                            </w:pPr>
                            <w:r>
                              <w:rPr>
                                <w:rFonts w:hint="eastAsia" w:ascii="黑体" w:hAnsi="黑体" w:cs="黑体"/>
                              </w:rPr>
                              <w:t>2025-XX-XX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59264;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6C0D334C">
                      <w:pPr>
                        <w:pStyle w:val="30"/>
                      </w:pPr>
                      <w:r>
                        <w:rPr>
                          <w:rFonts w:hint="eastAsia" w:ascii="黑体" w:hAnsi="黑体" w:cs="黑体"/>
                        </w:rPr>
                        <w:t>2025-XX-XX</w:t>
                      </w:r>
                      <w:r>
                        <w:rPr>
                          <w:rFonts w:hint="eastAsia"/>
                        </w:rPr>
                        <w:t>发布</w:t>
                      </w:r>
                    </w:p>
                  </w:txbxContent>
                </v:textbox>
                <w10:anchorlock/>
              </v:shape>
            </w:pict>
          </mc:Fallback>
        </mc:AlternateContent>
      </w:r>
      <w:r>
        <w:rPr>
          <w:rFonts w:ascii="宋体" w:hAnsi="宋体" w:cs="宋体"/>
        </w:rPr>
        <mc:AlternateContent>
          <mc:Choice Requires="wps">
            <w:drawing>
              <wp:anchor distT="0" distB="0" distL="114300" distR="114300" simplePos="0" relativeHeight="251666432"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3070E555">
                            <w:pPr>
                              <w:pStyle w:val="31"/>
                              <w:spacing w:before="0" w:line="240" w:lineRule="auto"/>
                              <w:rPr>
                                <w:rFonts w:eastAsia="黑体"/>
                                <w:sz w:val="52"/>
                                <w:szCs w:val="22"/>
                              </w:rPr>
                            </w:pPr>
                            <w:r>
                              <w:rPr>
                                <w:rFonts w:hint="eastAsia" w:eastAsia="黑体"/>
                                <w:sz w:val="52"/>
                                <w:szCs w:val="22"/>
                              </w:rPr>
                              <w:t>通辽牛肉干</w:t>
                            </w:r>
                          </w:p>
                          <w:p w14:paraId="761ABE33">
                            <w:pPr>
                              <w:pStyle w:val="31"/>
                              <w:spacing w:before="0" w:line="240" w:lineRule="auto"/>
                              <w:rPr>
                                <w:rFonts w:ascii="黑体" w:hAnsi="黑体" w:eastAsia="黑体" w:cs="黑体"/>
                                <w:szCs w:val="28"/>
                              </w:rPr>
                            </w:pPr>
                            <w:r>
                              <w:rPr>
                                <w:rFonts w:ascii="黑体" w:hAnsi="黑体" w:eastAsia="黑体" w:cs="黑体"/>
                                <w:szCs w:val="28"/>
                              </w:rPr>
                              <w:t>Tongliao beef jerky</w:t>
                            </w:r>
                          </w:p>
                          <w:p w14:paraId="7FC3062C">
                            <w:pPr>
                              <w:pStyle w:val="31"/>
                              <w:spacing w:before="0" w:line="240" w:lineRule="auto"/>
                              <w:rPr>
                                <w:rFonts w:hint="eastAsia" w:ascii="宋体" w:hAnsi="宋体" w:cs="宋体"/>
                                <w:sz w:val="24"/>
                                <w:szCs w:val="24"/>
                              </w:rPr>
                            </w:pPr>
                          </w:p>
                          <w:p w14:paraId="7AFF9FF0">
                            <w:pPr>
                              <w:pStyle w:val="31"/>
                              <w:spacing w:before="0" w:line="240" w:lineRule="auto"/>
                              <w:rPr>
                                <w:rFonts w:ascii="宋体" w:hAnsi="宋体" w:cs="宋体"/>
                                <w:sz w:val="24"/>
                                <w:szCs w:val="24"/>
                              </w:rPr>
                            </w:pPr>
                            <w:r>
                              <w:rPr>
                                <w:rFonts w:hint="eastAsia" w:ascii="宋体" w:hAnsi="宋体" w:cs="宋体"/>
                                <w:sz w:val="24"/>
                                <w:szCs w:val="24"/>
                              </w:rPr>
                              <w:t>（征求意见稿）</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643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3070E555">
                      <w:pPr>
                        <w:pStyle w:val="31"/>
                        <w:spacing w:before="0" w:line="240" w:lineRule="auto"/>
                        <w:rPr>
                          <w:rFonts w:eastAsia="黑体"/>
                          <w:sz w:val="52"/>
                          <w:szCs w:val="22"/>
                        </w:rPr>
                      </w:pPr>
                      <w:r>
                        <w:rPr>
                          <w:rFonts w:hint="eastAsia" w:eastAsia="黑体"/>
                          <w:sz w:val="52"/>
                          <w:szCs w:val="22"/>
                        </w:rPr>
                        <w:t>通辽牛肉干</w:t>
                      </w:r>
                    </w:p>
                    <w:p w14:paraId="761ABE33">
                      <w:pPr>
                        <w:pStyle w:val="31"/>
                        <w:spacing w:before="0" w:line="240" w:lineRule="auto"/>
                        <w:rPr>
                          <w:rFonts w:ascii="黑体" w:hAnsi="黑体" w:eastAsia="黑体" w:cs="黑体"/>
                          <w:szCs w:val="28"/>
                        </w:rPr>
                      </w:pPr>
                      <w:r>
                        <w:rPr>
                          <w:rFonts w:ascii="黑体" w:hAnsi="黑体" w:eastAsia="黑体" w:cs="黑体"/>
                          <w:szCs w:val="28"/>
                        </w:rPr>
                        <w:t>Tongliao beef jerky</w:t>
                      </w:r>
                    </w:p>
                    <w:p w14:paraId="7FC3062C">
                      <w:pPr>
                        <w:pStyle w:val="31"/>
                        <w:spacing w:before="0" w:line="240" w:lineRule="auto"/>
                        <w:rPr>
                          <w:rFonts w:hint="eastAsia" w:ascii="宋体" w:hAnsi="宋体" w:cs="宋体"/>
                          <w:sz w:val="24"/>
                          <w:szCs w:val="24"/>
                        </w:rPr>
                      </w:pPr>
                    </w:p>
                    <w:p w14:paraId="7AFF9FF0">
                      <w:pPr>
                        <w:pStyle w:val="31"/>
                        <w:spacing w:before="0" w:line="240" w:lineRule="auto"/>
                        <w:rPr>
                          <w:rFonts w:ascii="宋体" w:hAnsi="宋体" w:cs="宋体"/>
                          <w:sz w:val="24"/>
                          <w:szCs w:val="24"/>
                        </w:rPr>
                      </w:pPr>
                      <w:r>
                        <w:rPr>
                          <w:rFonts w:hint="eastAsia" w:ascii="宋体" w:hAnsi="宋体" w:cs="宋体"/>
                          <w:sz w:val="24"/>
                          <w:szCs w:val="24"/>
                        </w:rPr>
                        <w:t>（征求意见稿）</w:t>
                      </w:r>
                    </w:p>
                  </w:txbxContent>
                </v:textbox>
                <w10:anchorlock/>
              </v:shape>
            </w:pict>
          </mc:Fallback>
        </mc:AlternateContent>
      </w:r>
      <w:r>
        <w:rPr>
          <w:rFonts w:ascii="宋体" w:hAnsi="宋体" w:cs="宋体"/>
        </w:rPr>
        <mc:AlternateContent>
          <mc:Choice Requires="wps">
            <w:drawing>
              <wp:anchor distT="0" distB="0" distL="114300" distR="114300" simplePos="0" relativeHeight="251664384"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2A89F864">
                            <w:pPr>
                              <w:pStyle w:val="32"/>
                              <w:spacing w:before="510"/>
                              <w:ind w:left="420" w:hanging="420"/>
                              <w:rPr>
                                <w:rFonts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4384;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2A89F864">
                      <w:pPr>
                        <w:pStyle w:val="32"/>
                        <w:spacing w:before="510"/>
                        <w:ind w:left="420" w:hanging="420"/>
                        <w:rPr>
                          <w:rFonts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rPr>
        <mc:AlternateContent>
          <mc:Choice Requires="wps">
            <w:drawing>
              <wp:anchor distT="0" distB="0" distL="114300" distR="114300" simplePos="0" relativeHeight="251665408"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5CB98353">
                            <w:pPr>
                              <w:pStyle w:val="33"/>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5408;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5CB98353">
                      <w:pPr>
                        <w:pStyle w:val="33"/>
                      </w:pPr>
                      <w:r>
                        <w:rPr>
                          <w:rFonts w:hint="eastAsia"/>
                          <w:szCs w:val="52"/>
                        </w:rPr>
                        <w:t>团体标准</w:t>
                      </w:r>
                    </w:p>
                  </w:txbxContent>
                </v:textbox>
                <w10:anchorlock/>
              </v:shape>
            </w:pict>
          </mc:Fallback>
        </mc:AlternateContent>
      </w:r>
    </w:p>
    <w:p w14:paraId="1FB39EAB"/>
    <w:p w14:paraId="48DAC596"/>
    <w:p w14:paraId="0BDADF91"/>
    <w:p w14:paraId="66BF6982"/>
    <w:p w14:paraId="583F8408"/>
    <w:p w14:paraId="17B8FEA6"/>
    <w:p w14:paraId="2F0DF4AE"/>
    <w:p w14:paraId="457090E6"/>
    <w:p w14:paraId="0A73B1A8"/>
    <w:p w14:paraId="1373354D"/>
    <w:p w14:paraId="45D09873"/>
    <w:p w14:paraId="6E754692"/>
    <w:p w14:paraId="2421443B"/>
    <w:p w14:paraId="2B434235">
      <w:pPr>
        <w:tabs>
          <w:tab w:val="left" w:pos="8445"/>
        </w:tabs>
      </w:pPr>
      <w:r>
        <mc:AlternateContent>
          <mc:Choice Requires="wps">
            <w:drawing>
              <wp:anchor distT="0" distB="0" distL="114300" distR="114300" simplePos="0" relativeHeight="251663360" behindDoc="0" locked="0" layoutInCell="1" allowOverlap="1">
                <wp:simplePos x="0" y="0"/>
                <wp:positionH relativeFrom="column">
                  <wp:posOffset>-180340</wp:posOffset>
                </wp:positionH>
                <wp:positionV relativeFrom="paragraph">
                  <wp:posOffset>5605145</wp:posOffset>
                </wp:positionV>
                <wp:extent cx="6121400" cy="0"/>
                <wp:effectExtent l="0" t="6350" r="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441.35pt;height:0pt;width:482pt;z-index:251663360;mso-width-relative:page;mso-height-relative:page;" filled="f" stroked="t" coordsize="21600,21600" o:gfxdata="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TarPZAAAACw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color w:val="FF0000"/>
        </w:rPr>
        <mc:AlternateContent>
          <mc:Choice Requires="wps">
            <w:drawing>
              <wp:anchor distT="0" distB="0" distL="114300" distR="114300" simplePos="0" relativeHeight="251667456"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3404A88B">
                            <w:pPr>
                              <w:pStyle w:val="34"/>
                            </w:pPr>
                            <w:r>
                              <w:t>中国肉类协会</w:t>
                            </w:r>
                            <w:r>
                              <w:rPr>
                                <w:rStyle w:val="35"/>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7456;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3404A88B">
                      <w:pPr>
                        <w:pStyle w:val="34"/>
                      </w:pPr>
                      <w:r>
                        <w:t>中国肉类协会</w:t>
                      </w:r>
                      <w:r>
                        <w:rPr>
                          <w:rStyle w:val="35"/>
                          <w:rFonts w:hint="eastAsia"/>
                        </w:rPr>
                        <w:t xml:space="preserve">  发布</w:t>
                      </w:r>
                    </w:p>
                  </w:txbxContent>
                </v:textbox>
                <w10:anchorlock/>
              </v:shape>
            </w:pict>
          </mc:Fallback>
        </mc:AlternateContent>
      </w:r>
    </w:p>
    <w:p w14:paraId="4E4FBCA0">
      <w:pPr>
        <w:sectPr>
          <w:headerReference r:id="rId4" w:type="first"/>
          <w:headerReference r:id="rId3" w:type="default"/>
          <w:footerReference r:id="rId5" w:type="default"/>
          <w:footerReference r:id="rId6" w:type="even"/>
          <w:pgSz w:w="11907" w:h="16839"/>
          <w:pgMar w:top="567" w:right="1417" w:bottom="1361" w:left="1418" w:header="0" w:footer="0" w:gutter="0"/>
          <w:pgNumType w:start="1"/>
          <w:cols w:space="0" w:num="1"/>
          <w:titlePg/>
          <w:docGrid w:type="lines" w:linePitch="312" w:charSpace="0"/>
        </w:sectPr>
      </w:pPr>
    </w:p>
    <w:bookmarkEnd w:id="0"/>
    <w:p w14:paraId="64042A01">
      <w:pPr>
        <w:pStyle w:val="43"/>
        <w:ind w:firstLine="3840" w:firstLineChars="1200"/>
        <w:jc w:val="both"/>
      </w:pPr>
      <w:r>
        <w:rPr>
          <w:rFonts w:hint="eastAsia"/>
        </w:rPr>
        <w:t>前</w:t>
      </w:r>
      <w:bookmarkStart w:id="1" w:name="BKQY"/>
      <w:r>
        <w:rPr>
          <w:rFonts w:hint="eastAsia"/>
        </w:rPr>
        <w:t>  言</w:t>
      </w:r>
      <w:bookmarkEnd w:id="1"/>
    </w:p>
    <w:p w14:paraId="0ECC4713">
      <w:pPr>
        <w:pStyle w:val="3"/>
        <w:rPr>
          <w:rFonts w:ascii="Times New Roman" w:hAnsi="Times New Roman"/>
          <w:kern w:val="0"/>
        </w:rPr>
      </w:pPr>
      <w:bookmarkStart w:id="2" w:name="_Hlk151561528"/>
      <w:r>
        <w:rPr>
          <w:rFonts w:hint="eastAsia"/>
          <w:kern w:val="0"/>
        </w:rPr>
        <w:t>本文件按照</w:t>
      </w:r>
      <w:r>
        <w:rPr>
          <w:rFonts w:ascii="Times New Roman" w:hAnsi="Times New Roman"/>
          <w:kern w:val="0"/>
        </w:rPr>
        <w:t>GB/T 1.1-2020《标准化工作导则 第1部分：标准化文件的结构和起草规则》的规定起草。</w:t>
      </w:r>
    </w:p>
    <w:p w14:paraId="4DCF6E28">
      <w:pPr>
        <w:ind w:firstLine="420"/>
      </w:pPr>
      <w:r>
        <w:rPr>
          <w:rFonts w:hint="eastAsia"/>
        </w:rPr>
        <w:t>请注意本文件的某些内容有可能涉及专利。本文件的发布机构不承担识别专利的责任。</w:t>
      </w:r>
    </w:p>
    <w:p w14:paraId="3FB47712">
      <w:pPr>
        <w:pStyle w:val="3"/>
        <w:rPr>
          <w:kern w:val="0"/>
        </w:rPr>
      </w:pPr>
      <w:r>
        <w:rPr>
          <w:rFonts w:hint="eastAsia"/>
          <w:kern w:val="0"/>
        </w:rPr>
        <w:t>本文件由通辽市农畜产品质量安全中心提出。</w:t>
      </w:r>
    </w:p>
    <w:p w14:paraId="29C1CE99">
      <w:pPr>
        <w:pStyle w:val="3"/>
        <w:rPr>
          <w:kern w:val="0"/>
        </w:rPr>
      </w:pPr>
      <w:r>
        <w:rPr>
          <w:rFonts w:hint="eastAsia"/>
          <w:kern w:val="0"/>
        </w:rPr>
        <w:t>本文件</w:t>
      </w:r>
      <w:r>
        <w:rPr>
          <w:kern w:val="0"/>
        </w:rPr>
        <w:t>由</w:t>
      </w:r>
      <w:r>
        <w:rPr>
          <w:rFonts w:hint="eastAsia"/>
          <w:kern w:val="0"/>
        </w:rPr>
        <w:t>中国肉类协会归口。</w:t>
      </w:r>
    </w:p>
    <w:p w14:paraId="530FF623">
      <w:pPr>
        <w:ind w:firstLine="420"/>
        <w:rPr>
          <w:kern w:val="0"/>
          <w:szCs w:val="20"/>
        </w:rPr>
      </w:pPr>
      <w:r>
        <w:rPr>
          <w:rFonts w:hint="eastAsia"/>
          <w:kern w:val="0"/>
          <w:szCs w:val="20"/>
        </w:rPr>
        <w:t>本文件起草单位：。</w:t>
      </w:r>
    </w:p>
    <w:p w14:paraId="26626C11">
      <w:pPr>
        <w:ind w:firstLine="420"/>
        <w:rPr>
          <w:rFonts w:ascii="宋体" w:hAnsi="Courier New"/>
          <w:kern w:val="0"/>
          <w:szCs w:val="20"/>
        </w:rPr>
      </w:pPr>
      <w:r>
        <w:rPr>
          <w:rFonts w:hint="eastAsia"/>
          <w:kern w:val="0"/>
          <w:szCs w:val="20"/>
        </w:rPr>
        <w:t>本文件主要起草人：</w:t>
      </w:r>
      <w:r>
        <w:rPr>
          <w:rFonts w:hint="eastAsia" w:ascii="宋体" w:hAnsi="Courier New"/>
          <w:kern w:val="0"/>
          <w:szCs w:val="20"/>
        </w:rPr>
        <w:t>。</w:t>
      </w:r>
    </w:p>
    <w:p w14:paraId="28D8895D">
      <w:pPr>
        <w:pStyle w:val="3"/>
        <w:ind w:firstLineChars="200"/>
        <w:sectPr>
          <w:headerReference r:id="rId7" w:type="default"/>
          <w:footerReference r:id="rId8" w:type="default"/>
          <w:pgSz w:w="11906" w:h="16838"/>
          <w:pgMar w:top="1417" w:right="1417" w:bottom="1417" w:left="1417" w:header="1417" w:footer="1134" w:gutter="0"/>
          <w:pgNumType w:fmt="upperRoman" w:start="1"/>
          <w:cols w:space="0" w:num="1"/>
          <w:docGrid w:type="lines" w:linePitch="312" w:charSpace="0"/>
        </w:sectPr>
      </w:pPr>
    </w:p>
    <w:bookmarkEnd w:id="2"/>
    <w:p w14:paraId="161A8FAD">
      <w:pPr>
        <w:keepNext/>
        <w:widowControl/>
        <w:shd w:val="clear" w:color="FFFFFF" w:fill="FFFFFF"/>
        <w:snapToGrid w:val="0"/>
        <w:spacing w:before="640" w:after="560"/>
        <w:jc w:val="center"/>
        <w:outlineLvl w:val="0"/>
        <w:rPr>
          <w:rFonts w:hint="eastAsia" w:eastAsia="黑体"/>
          <w:kern w:val="0"/>
          <w:sz w:val="32"/>
          <w:szCs w:val="20"/>
        </w:rPr>
      </w:pPr>
      <w:bookmarkStart w:id="3" w:name="OLE_LINK2"/>
      <w:r>
        <w:rPr>
          <w:rFonts w:hint="eastAsia" w:eastAsia="黑体"/>
          <w:kern w:val="0"/>
          <w:sz w:val="32"/>
          <w:szCs w:val="20"/>
        </w:rPr>
        <w:t>通辽牛肉干</w:t>
      </w:r>
    </w:p>
    <w:bookmarkEnd w:id="3"/>
    <w:p w14:paraId="14069FFD">
      <w:pPr>
        <w:pStyle w:val="19"/>
        <w:numPr>
          <w:ilvl w:val="0"/>
          <w:numId w:val="2"/>
        </w:numPr>
        <w:spacing w:before="312" w:beforeLines="100" w:after="312" w:afterLines="100"/>
        <w:outlineLvl w:val="0"/>
        <w:rPr>
          <w:rFonts w:hAnsi="黑体"/>
          <w:szCs w:val="21"/>
        </w:rPr>
      </w:pPr>
      <w:bookmarkStart w:id="4" w:name="_Toc21982424"/>
      <w:bookmarkStart w:id="5" w:name="_Toc22135199"/>
      <w:bookmarkStart w:id="6" w:name="_Toc21982137"/>
      <w:bookmarkStart w:id="7" w:name="_Toc22197892"/>
      <w:r>
        <w:rPr>
          <w:rFonts w:hint="eastAsia" w:hAnsi="黑体"/>
          <w:szCs w:val="21"/>
        </w:rPr>
        <w:t>范围</w:t>
      </w:r>
      <w:bookmarkEnd w:id="4"/>
      <w:bookmarkEnd w:id="5"/>
      <w:bookmarkEnd w:id="6"/>
      <w:bookmarkEnd w:id="7"/>
    </w:p>
    <w:p w14:paraId="5D3472F7">
      <w:pPr>
        <w:pStyle w:val="20"/>
        <w:tabs>
          <w:tab w:val="center" w:pos="4201"/>
          <w:tab w:val="right" w:leader="dot" w:pos="9298"/>
        </w:tabs>
        <w:ind w:firstLine="420" w:firstLineChars="200"/>
        <w:rPr>
          <w:rFonts w:ascii="Times New Roman"/>
        </w:rPr>
      </w:pPr>
      <w:r>
        <w:rPr>
          <w:rFonts w:hint="eastAsia" w:ascii="Times New Roman"/>
        </w:rPr>
        <w:tab/>
      </w:r>
      <w:r>
        <w:rPr>
          <w:rFonts w:hint="eastAsia" w:ascii="Times New Roman"/>
        </w:rPr>
        <w:t>本文件规定了通辽牛肉干</w:t>
      </w:r>
      <w:r>
        <w:rPr>
          <w:rFonts w:hint="eastAsia" w:ascii="Times New Roman"/>
          <w:lang w:val="en-US" w:eastAsia="zh-CN"/>
        </w:rPr>
        <w:t>的</w:t>
      </w:r>
      <w:r>
        <w:rPr>
          <w:rFonts w:hint="eastAsia" w:ascii="Times New Roman"/>
        </w:rPr>
        <w:t>原辅料和</w:t>
      </w:r>
      <w:r>
        <w:rPr>
          <w:rFonts w:ascii="Times New Roman"/>
        </w:rPr>
        <w:t>投料要求、</w:t>
      </w:r>
      <w:r>
        <w:rPr>
          <w:rFonts w:hint="eastAsia" w:ascii="Times New Roman"/>
        </w:rPr>
        <w:t>技术要求、生产加工管理</w:t>
      </w:r>
      <w:r>
        <w:rPr>
          <w:rFonts w:ascii="Times New Roman"/>
        </w:rPr>
        <w:t>、</w:t>
      </w:r>
      <w:r>
        <w:rPr>
          <w:rFonts w:hint="eastAsia" w:ascii="Times New Roman"/>
        </w:rPr>
        <w:t>检验</w:t>
      </w:r>
      <w:r>
        <w:rPr>
          <w:rFonts w:hint="eastAsia" w:ascii="Times New Roman"/>
          <w:lang w:val="en-US" w:eastAsia="zh-CN"/>
        </w:rPr>
        <w:t>规则</w:t>
      </w:r>
      <w:r>
        <w:rPr>
          <w:rFonts w:hint="eastAsia" w:ascii="Times New Roman"/>
        </w:rPr>
        <w:t>、标签和标志、包装、运输、</w:t>
      </w:r>
      <w:r>
        <w:rPr>
          <w:rFonts w:ascii="Times New Roman"/>
        </w:rPr>
        <w:t>贮存</w:t>
      </w:r>
      <w:r>
        <w:rPr>
          <w:rFonts w:hint="eastAsia" w:ascii="Times New Roman"/>
        </w:rPr>
        <w:t>和销售等要求，</w:t>
      </w:r>
      <w:r>
        <w:rPr>
          <w:rFonts w:ascii="Times New Roman"/>
        </w:rPr>
        <w:t>描述了检验方法</w:t>
      </w:r>
      <w:r>
        <w:rPr>
          <w:rFonts w:hint="eastAsia" w:ascii="Times New Roman"/>
        </w:rPr>
        <w:t>。</w:t>
      </w:r>
    </w:p>
    <w:p w14:paraId="402B6790">
      <w:pPr>
        <w:pStyle w:val="20"/>
        <w:tabs>
          <w:tab w:val="center" w:pos="4201"/>
          <w:tab w:val="right" w:leader="dot" w:pos="9298"/>
        </w:tabs>
        <w:ind w:firstLine="420" w:firstLineChars="200"/>
      </w:pPr>
      <w:r>
        <w:rPr>
          <w:rFonts w:hint="eastAsia"/>
        </w:rPr>
        <w:t>本文件适用于</w:t>
      </w:r>
      <w:r>
        <w:rPr>
          <w:rFonts w:hint="eastAsia" w:ascii="Times New Roman"/>
        </w:rPr>
        <w:t>通辽牛肉干产品</w:t>
      </w:r>
      <w:r>
        <w:rPr>
          <w:rFonts w:ascii="Times New Roman"/>
        </w:rPr>
        <w:t>的生产、检验和销售</w:t>
      </w:r>
      <w:r>
        <w:rPr>
          <w:rFonts w:hint="eastAsia"/>
        </w:rPr>
        <w:t>。</w:t>
      </w:r>
      <w:bookmarkStart w:id="8" w:name="OLE_LINK3"/>
    </w:p>
    <w:bookmarkEnd w:id="8"/>
    <w:p w14:paraId="5C30E67D">
      <w:pPr>
        <w:pStyle w:val="19"/>
        <w:numPr>
          <w:ilvl w:val="0"/>
          <w:numId w:val="2"/>
        </w:numPr>
        <w:spacing w:before="312" w:beforeLines="100" w:after="312" w:afterLines="100"/>
        <w:outlineLvl w:val="0"/>
        <w:rPr>
          <w:rFonts w:hAnsi="黑体"/>
          <w:szCs w:val="21"/>
        </w:rPr>
      </w:pPr>
      <w:bookmarkStart w:id="9" w:name="_Toc21982138"/>
      <w:bookmarkStart w:id="10" w:name="_Toc16172012"/>
      <w:bookmarkStart w:id="11" w:name="_Toc22197893"/>
      <w:bookmarkStart w:id="12" w:name="_Toc20410231"/>
      <w:bookmarkStart w:id="13" w:name="_Toc16171934"/>
      <w:bookmarkStart w:id="14" w:name="_Toc22135200"/>
      <w:bookmarkStart w:id="15" w:name="_Toc20235279"/>
      <w:bookmarkStart w:id="16" w:name="_Toc20410158"/>
      <w:bookmarkStart w:id="17" w:name="_Toc21982425"/>
      <w:bookmarkStart w:id="18" w:name="_Toc20317838"/>
      <w:bookmarkStart w:id="19" w:name="_Toc20236394"/>
      <w:r>
        <w:rPr>
          <w:rFonts w:hint="eastAsia" w:hAnsi="黑体"/>
          <w:szCs w:val="21"/>
        </w:rPr>
        <w:t>规范性引用文件</w:t>
      </w:r>
      <w:bookmarkEnd w:id="9"/>
      <w:bookmarkEnd w:id="10"/>
      <w:bookmarkEnd w:id="11"/>
      <w:bookmarkEnd w:id="12"/>
      <w:bookmarkEnd w:id="13"/>
      <w:bookmarkEnd w:id="14"/>
      <w:bookmarkEnd w:id="15"/>
      <w:bookmarkEnd w:id="16"/>
      <w:bookmarkEnd w:id="17"/>
      <w:bookmarkEnd w:id="18"/>
      <w:bookmarkEnd w:id="19"/>
    </w:p>
    <w:p w14:paraId="5B0727D2">
      <w:pPr>
        <w:pStyle w:val="20"/>
        <w:tabs>
          <w:tab w:val="center" w:pos="4201"/>
          <w:tab w:val="right" w:leader="dot" w:pos="9298"/>
        </w:tabs>
        <w:ind w:firstLine="420" w:firstLineChars="20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C8F7809">
      <w:pPr>
        <w:pStyle w:val="20"/>
        <w:tabs>
          <w:tab w:val="center" w:pos="4201"/>
          <w:tab w:val="right" w:leader="dot" w:pos="9298"/>
        </w:tabs>
        <w:ind w:firstLine="412" w:firstLineChars="200"/>
        <w:rPr>
          <w:rFonts w:ascii="Times New Roman"/>
          <w:spacing w:val="-2"/>
          <w:szCs w:val="21"/>
        </w:rPr>
      </w:pPr>
      <w:bookmarkStart w:id="20" w:name="_Toc16171935"/>
      <w:bookmarkStart w:id="21" w:name="_Toc20317839"/>
      <w:bookmarkStart w:id="22" w:name="_Toc20410159"/>
      <w:bookmarkStart w:id="23" w:name="_Toc16172013"/>
      <w:bookmarkStart w:id="24" w:name="_Toc21982139"/>
      <w:bookmarkStart w:id="25" w:name="_Toc22197894"/>
      <w:bookmarkStart w:id="26" w:name="_Toc20235280"/>
      <w:bookmarkStart w:id="27" w:name="_Toc20410232"/>
      <w:bookmarkStart w:id="28" w:name="_Toc21982426"/>
      <w:bookmarkStart w:id="29" w:name="_Toc20236395"/>
      <w:bookmarkStart w:id="30" w:name="_Toc22135201"/>
      <w:r>
        <w:rPr>
          <w:rFonts w:hint="eastAsia" w:ascii="Times New Roman"/>
          <w:spacing w:val="-2"/>
          <w:szCs w:val="21"/>
        </w:rPr>
        <w:t>GB/T 191  包装储运图示标志</w:t>
      </w:r>
    </w:p>
    <w:p w14:paraId="56986FE8">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GB 2760  食品</w:t>
      </w:r>
      <w:r>
        <w:rPr>
          <w:rFonts w:ascii="Times New Roman"/>
          <w:spacing w:val="-2"/>
          <w:szCs w:val="21"/>
        </w:rPr>
        <w:t>安全</w:t>
      </w:r>
      <w:r>
        <w:rPr>
          <w:rFonts w:hint="eastAsia" w:ascii="Times New Roman"/>
          <w:spacing w:val="-2"/>
          <w:szCs w:val="21"/>
        </w:rPr>
        <w:t>国家</w:t>
      </w:r>
      <w:r>
        <w:rPr>
          <w:rFonts w:ascii="Times New Roman"/>
          <w:spacing w:val="-2"/>
          <w:szCs w:val="21"/>
        </w:rPr>
        <w:t>标准</w:t>
      </w:r>
      <w:r>
        <w:rPr>
          <w:rFonts w:hint="eastAsia" w:ascii="Times New Roman"/>
          <w:spacing w:val="-2"/>
          <w:szCs w:val="21"/>
        </w:rPr>
        <w:t xml:space="preserve"> </w:t>
      </w:r>
      <w:r>
        <w:rPr>
          <w:rFonts w:hint="eastAsia" w:ascii="Times New Roman"/>
          <w:spacing w:val="-2"/>
          <w:szCs w:val="21"/>
          <w:lang w:val="en-US" w:eastAsia="zh-CN"/>
        </w:rPr>
        <w:t xml:space="preserve"> </w:t>
      </w:r>
      <w:r>
        <w:rPr>
          <w:rFonts w:hint="eastAsia" w:ascii="Times New Roman"/>
          <w:spacing w:val="-2"/>
          <w:szCs w:val="21"/>
        </w:rPr>
        <w:t>食品</w:t>
      </w:r>
      <w:r>
        <w:rPr>
          <w:rFonts w:ascii="Times New Roman"/>
          <w:spacing w:val="-2"/>
          <w:szCs w:val="21"/>
        </w:rPr>
        <w:t>添加剂使用标准</w:t>
      </w:r>
    </w:p>
    <w:p w14:paraId="005B42FF">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GB 5009.3  食品安全国家标准  食品中水分的测定</w:t>
      </w:r>
    </w:p>
    <w:p w14:paraId="4825E5D6">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GB 5009.5  食品安全国家标准  食品中蛋白质的测定</w:t>
      </w:r>
    </w:p>
    <w:p w14:paraId="70EF1B3B">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GB 5009.6  食品安全国家标准  食品中脂肪的测定</w:t>
      </w:r>
    </w:p>
    <w:p w14:paraId="1FF4A284">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5009.44 </w:t>
      </w:r>
      <w:r>
        <w:rPr>
          <w:rFonts w:ascii="Times New Roman"/>
          <w:spacing w:val="-2"/>
          <w:szCs w:val="21"/>
        </w:rPr>
        <w:t xml:space="preserve"> </w:t>
      </w:r>
      <w:r>
        <w:rPr>
          <w:rFonts w:hint="eastAsia" w:ascii="Times New Roman"/>
          <w:spacing w:val="-2"/>
          <w:szCs w:val="21"/>
        </w:rPr>
        <w:t>食品</w:t>
      </w:r>
      <w:r>
        <w:rPr>
          <w:rFonts w:ascii="Times New Roman"/>
          <w:spacing w:val="-2"/>
          <w:szCs w:val="21"/>
        </w:rPr>
        <w:t>安全国家标准</w:t>
      </w:r>
      <w:r>
        <w:rPr>
          <w:rFonts w:hint="eastAsia" w:ascii="Times New Roman"/>
          <w:spacing w:val="-2"/>
          <w:szCs w:val="21"/>
        </w:rPr>
        <w:t xml:space="preserve">  食品中</w:t>
      </w:r>
      <w:r>
        <w:rPr>
          <w:rFonts w:ascii="Times New Roman"/>
          <w:spacing w:val="-2"/>
          <w:szCs w:val="21"/>
        </w:rPr>
        <w:t>氯化物的测定</w:t>
      </w:r>
    </w:p>
    <w:p w14:paraId="79A4F4F3">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GB 7718  食品安全国家标准  预包装食品标签通则</w:t>
      </w:r>
    </w:p>
    <w:p w14:paraId="0E72D374">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GB/T 9695.19  肉与肉制品 </w:t>
      </w:r>
      <w:r>
        <w:rPr>
          <w:rFonts w:hint="eastAsia" w:ascii="Times New Roman"/>
          <w:spacing w:val="-2"/>
          <w:szCs w:val="21"/>
          <w:lang w:val="en-US" w:eastAsia="zh-CN"/>
        </w:rPr>
        <w:t xml:space="preserve"> </w:t>
      </w:r>
      <w:r>
        <w:rPr>
          <w:rFonts w:hint="eastAsia" w:ascii="Times New Roman"/>
          <w:spacing w:val="-2"/>
          <w:szCs w:val="21"/>
        </w:rPr>
        <w:t>取样</w:t>
      </w:r>
      <w:r>
        <w:rPr>
          <w:rFonts w:ascii="Times New Roman"/>
          <w:spacing w:val="-2"/>
          <w:szCs w:val="21"/>
        </w:rPr>
        <w:t>方法</w:t>
      </w:r>
    </w:p>
    <w:p w14:paraId="070B7401">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w:t>
      </w:r>
      <w:r>
        <w:rPr>
          <w:rFonts w:ascii="Times New Roman"/>
          <w:spacing w:val="-2"/>
          <w:szCs w:val="21"/>
        </w:rPr>
        <w:t xml:space="preserve">B/T 9695.31  </w:t>
      </w:r>
      <w:r>
        <w:rPr>
          <w:rFonts w:hint="eastAsia" w:ascii="Times New Roman"/>
          <w:spacing w:val="-2"/>
          <w:szCs w:val="21"/>
        </w:rPr>
        <w:t xml:space="preserve">肉制品 </w:t>
      </w:r>
      <w:r>
        <w:rPr>
          <w:rFonts w:hint="eastAsia" w:ascii="Times New Roman"/>
          <w:spacing w:val="-2"/>
          <w:szCs w:val="21"/>
          <w:lang w:val="en-US" w:eastAsia="zh-CN"/>
        </w:rPr>
        <w:t xml:space="preserve"> </w:t>
      </w:r>
      <w:r>
        <w:rPr>
          <w:rFonts w:hint="eastAsia" w:ascii="Times New Roman"/>
          <w:spacing w:val="-2"/>
          <w:szCs w:val="21"/>
        </w:rPr>
        <w:t>总糖</w:t>
      </w:r>
      <w:r>
        <w:rPr>
          <w:rFonts w:ascii="Times New Roman"/>
          <w:spacing w:val="-2"/>
          <w:szCs w:val="21"/>
        </w:rPr>
        <w:t>含量</w:t>
      </w:r>
      <w:r>
        <w:rPr>
          <w:rFonts w:hint="eastAsia" w:ascii="Times New Roman"/>
          <w:spacing w:val="-2"/>
          <w:szCs w:val="21"/>
        </w:rPr>
        <w:t>测定</w:t>
      </w:r>
    </w:p>
    <w:p w14:paraId="6FE2357B">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GB</w:t>
      </w:r>
      <w:r>
        <w:rPr>
          <w:rFonts w:ascii="Times New Roman"/>
          <w:spacing w:val="-2"/>
          <w:szCs w:val="21"/>
        </w:rPr>
        <w:t xml:space="preserve"> 14880  </w:t>
      </w:r>
      <w:r>
        <w:rPr>
          <w:rFonts w:hint="eastAsia" w:ascii="Times New Roman"/>
          <w:spacing w:val="-2"/>
          <w:szCs w:val="21"/>
        </w:rPr>
        <w:t>食品</w:t>
      </w:r>
      <w:r>
        <w:rPr>
          <w:rFonts w:ascii="Times New Roman"/>
          <w:spacing w:val="-2"/>
          <w:szCs w:val="21"/>
        </w:rPr>
        <w:t>安全国家标准</w:t>
      </w:r>
      <w:r>
        <w:rPr>
          <w:rFonts w:hint="eastAsia" w:ascii="Times New Roman"/>
          <w:spacing w:val="-2"/>
          <w:szCs w:val="21"/>
        </w:rPr>
        <w:t xml:space="preserve"> </w:t>
      </w:r>
      <w:r>
        <w:rPr>
          <w:rFonts w:hint="eastAsia" w:ascii="Times New Roman"/>
          <w:spacing w:val="-2"/>
          <w:szCs w:val="21"/>
          <w:lang w:val="en-US" w:eastAsia="zh-CN"/>
        </w:rPr>
        <w:t xml:space="preserve"> </w:t>
      </w:r>
      <w:r>
        <w:rPr>
          <w:rFonts w:hint="eastAsia" w:ascii="Times New Roman"/>
          <w:spacing w:val="-2"/>
          <w:szCs w:val="21"/>
        </w:rPr>
        <w:t>食品</w:t>
      </w:r>
      <w:r>
        <w:rPr>
          <w:rFonts w:ascii="Times New Roman"/>
          <w:spacing w:val="-2"/>
          <w:szCs w:val="21"/>
        </w:rPr>
        <w:t>营养强化</w:t>
      </w:r>
      <w:r>
        <w:rPr>
          <w:rFonts w:hint="eastAsia" w:ascii="Times New Roman"/>
          <w:spacing w:val="-2"/>
          <w:szCs w:val="21"/>
        </w:rPr>
        <w:t>剂</w:t>
      </w:r>
      <w:r>
        <w:rPr>
          <w:rFonts w:ascii="Times New Roman"/>
          <w:spacing w:val="-2"/>
          <w:szCs w:val="21"/>
        </w:rPr>
        <w:t>使用标准</w:t>
      </w:r>
    </w:p>
    <w:p w14:paraId="12887D89">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GB 28050  食品安全国家标准  预包装食品营养标签通则</w:t>
      </w:r>
    </w:p>
    <w:p w14:paraId="458C8C1E">
      <w:pPr>
        <w:pStyle w:val="20"/>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SB/T 10826 </w:t>
      </w:r>
      <w:r>
        <w:rPr>
          <w:rFonts w:ascii="Times New Roman"/>
          <w:spacing w:val="-2"/>
          <w:szCs w:val="21"/>
        </w:rPr>
        <w:t xml:space="preserve"> </w:t>
      </w:r>
      <w:r>
        <w:rPr>
          <w:rFonts w:hint="eastAsia" w:ascii="Times New Roman"/>
          <w:spacing w:val="-2"/>
          <w:szCs w:val="21"/>
        </w:rPr>
        <w:t>加工</w:t>
      </w:r>
      <w:r>
        <w:rPr>
          <w:rFonts w:ascii="Times New Roman"/>
          <w:spacing w:val="-2"/>
          <w:szCs w:val="21"/>
        </w:rPr>
        <w:t>食品销售服务要求</w:t>
      </w:r>
      <w:r>
        <w:rPr>
          <w:rFonts w:hint="eastAsia" w:ascii="Times New Roman"/>
          <w:spacing w:val="-2"/>
          <w:szCs w:val="21"/>
          <w:lang w:val="en-US" w:eastAsia="zh-CN"/>
        </w:rPr>
        <w:t xml:space="preserve"> </w:t>
      </w:r>
      <w:r>
        <w:rPr>
          <w:rFonts w:hint="eastAsia" w:ascii="Times New Roman"/>
          <w:spacing w:val="-2"/>
          <w:szCs w:val="21"/>
        </w:rPr>
        <w:t xml:space="preserve"> 肉制品</w:t>
      </w:r>
    </w:p>
    <w:p w14:paraId="3BE83D5B">
      <w:pPr>
        <w:pStyle w:val="20"/>
        <w:tabs>
          <w:tab w:val="center" w:pos="4201"/>
          <w:tab w:val="right" w:leader="dot" w:pos="9298"/>
        </w:tabs>
        <w:ind w:firstLine="412" w:firstLineChars="200"/>
        <w:rPr>
          <w:rFonts w:hint="eastAsia" w:ascii="Times New Roman"/>
          <w:spacing w:val="-2"/>
          <w:szCs w:val="21"/>
        </w:rPr>
      </w:pPr>
      <w:r>
        <w:rPr>
          <w:rFonts w:hint="eastAsia" w:ascii="Times New Roman"/>
          <w:spacing w:val="-2"/>
          <w:szCs w:val="21"/>
        </w:rPr>
        <w:t>JJF 1070  定量包装商品净含量计量检验规则</w:t>
      </w:r>
    </w:p>
    <w:p w14:paraId="29027582">
      <w:pPr>
        <w:pStyle w:val="20"/>
        <w:tabs>
          <w:tab w:val="center" w:pos="4201"/>
          <w:tab w:val="right" w:leader="dot" w:pos="9298"/>
        </w:tabs>
        <w:ind w:firstLine="412" w:firstLineChars="200"/>
        <w:rPr>
          <w:rFonts w:hint="eastAsia" w:ascii="Times New Roman"/>
          <w:spacing w:val="-2"/>
          <w:szCs w:val="21"/>
        </w:rPr>
      </w:pPr>
      <w:r>
        <w:rPr>
          <w:rFonts w:ascii="Times New Roman"/>
          <w:spacing w:val="-2"/>
          <w:szCs w:val="21"/>
        </w:rPr>
        <w:t xml:space="preserve">T/CMATB 3012  </w:t>
      </w:r>
      <w:r>
        <w:rPr>
          <w:rFonts w:hint="eastAsia" w:ascii="Times New Roman"/>
          <w:spacing w:val="-2"/>
          <w:szCs w:val="21"/>
        </w:rPr>
        <w:t>通辽牛肉</w:t>
      </w:r>
      <w:bookmarkStart w:id="94" w:name="_GoBack"/>
      <w:bookmarkEnd w:id="94"/>
    </w:p>
    <w:p w14:paraId="57869975">
      <w:pPr>
        <w:pStyle w:val="19"/>
        <w:numPr>
          <w:ilvl w:val="0"/>
          <w:numId w:val="2"/>
        </w:numPr>
        <w:spacing w:before="312" w:beforeLines="100" w:after="312" w:afterLines="100"/>
        <w:outlineLvl w:val="0"/>
        <w:rPr>
          <w:rFonts w:ascii="Times New Roman"/>
          <w:szCs w:val="21"/>
        </w:rPr>
      </w:pPr>
      <w:r>
        <w:rPr>
          <w:rFonts w:ascii="Times New Roman"/>
          <w:szCs w:val="21"/>
        </w:rPr>
        <w:t>术语和定义</w:t>
      </w:r>
      <w:bookmarkEnd w:id="20"/>
      <w:bookmarkEnd w:id="21"/>
      <w:bookmarkEnd w:id="22"/>
      <w:bookmarkEnd w:id="23"/>
      <w:bookmarkEnd w:id="24"/>
      <w:bookmarkEnd w:id="25"/>
      <w:bookmarkEnd w:id="26"/>
      <w:bookmarkEnd w:id="27"/>
      <w:bookmarkEnd w:id="28"/>
      <w:bookmarkEnd w:id="29"/>
      <w:bookmarkEnd w:id="30"/>
    </w:p>
    <w:p w14:paraId="61BA0FB1">
      <w:pPr>
        <w:pStyle w:val="19"/>
        <w:spacing w:before="0" w:beforeLines="0" w:after="0" w:afterLines="0"/>
        <w:ind w:firstLine="420" w:firstLineChars="200"/>
        <w:rPr>
          <w:rFonts w:ascii="Times New Roman" w:eastAsia="宋体"/>
        </w:rPr>
      </w:pPr>
      <w:bookmarkStart w:id="31" w:name="_Toc21982140"/>
      <w:bookmarkEnd w:id="31"/>
      <w:bookmarkStart w:id="32" w:name="_Toc21982429"/>
      <w:bookmarkEnd w:id="32"/>
      <w:bookmarkStart w:id="33" w:name="_Toc20235282"/>
      <w:bookmarkEnd w:id="33"/>
      <w:bookmarkStart w:id="34" w:name="_Toc22135202"/>
      <w:bookmarkEnd w:id="34"/>
      <w:bookmarkStart w:id="35" w:name="_Toc20317841"/>
      <w:bookmarkEnd w:id="35"/>
      <w:bookmarkStart w:id="36" w:name="_Toc21982146"/>
      <w:bookmarkEnd w:id="36"/>
      <w:bookmarkStart w:id="37" w:name="_Toc21982427"/>
      <w:bookmarkEnd w:id="37"/>
      <w:bookmarkStart w:id="38" w:name="_Toc16172015"/>
      <w:bookmarkEnd w:id="38"/>
      <w:bookmarkStart w:id="39" w:name="_Toc21982433"/>
      <w:bookmarkEnd w:id="39"/>
      <w:bookmarkStart w:id="40" w:name="_Toc21982142"/>
      <w:bookmarkEnd w:id="40"/>
      <w:bookmarkStart w:id="41" w:name="_Toc20236397"/>
      <w:bookmarkEnd w:id="41"/>
      <w:bookmarkStart w:id="42" w:name="_Toc22135206"/>
      <w:bookmarkEnd w:id="42"/>
      <w:bookmarkStart w:id="43" w:name="_Toc20410161"/>
      <w:bookmarkEnd w:id="43"/>
      <w:bookmarkStart w:id="44" w:name="_Toc16171937"/>
      <w:bookmarkEnd w:id="44"/>
      <w:bookmarkStart w:id="45" w:name="_Toc20235284"/>
      <w:bookmarkStart w:id="46" w:name="_Toc20236399"/>
      <w:bookmarkStart w:id="47" w:name="_Toc20317843"/>
      <w:r>
        <w:rPr>
          <w:rFonts w:ascii="Times New Roman" w:eastAsia="宋体"/>
        </w:rPr>
        <w:t>下列术语和定义适用于本文件。</w:t>
      </w:r>
    </w:p>
    <w:p w14:paraId="39F8F29C">
      <w:pPr>
        <w:pStyle w:val="19"/>
        <w:spacing w:before="156" w:after="156"/>
      </w:pPr>
      <w:bookmarkStart w:id="48" w:name="OLE_LINK6"/>
      <w:r>
        <w:rPr>
          <w:rFonts w:hint="eastAsia"/>
        </w:rPr>
        <w:t xml:space="preserve">3.1 </w:t>
      </w:r>
    </w:p>
    <w:bookmarkEnd w:id="48"/>
    <w:p w14:paraId="1E80276F">
      <w:pPr>
        <w:pStyle w:val="21"/>
        <w:numPr>
          <w:ilvl w:val="1"/>
          <w:numId w:val="0"/>
        </w:numPr>
        <w:spacing w:before="156" w:beforeLines="50" w:after="156" w:afterLines="50"/>
        <w:ind w:firstLine="420" w:firstLineChars="200"/>
        <w:rPr>
          <w:rFonts w:ascii="黑体"/>
        </w:rPr>
      </w:pPr>
      <w:r>
        <w:rPr>
          <w:rFonts w:hint="eastAsia"/>
        </w:rPr>
        <w:t xml:space="preserve">通辽牛肉干 </w:t>
      </w:r>
      <w:r>
        <w:rPr>
          <w:rFonts w:ascii="黑体"/>
        </w:rPr>
        <w:t>Tongliao beef jerky</w:t>
      </w:r>
    </w:p>
    <w:p w14:paraId="3575A238">
      <w:pPr>
        <w:ind w:firstLine="420" w:firstLineChars="200"/>
        <w:rPr>
          <w:rFonts w:ascii="宋体"/>
          <w:kern w:val="0"/>
          <w:szCs w:val="20"/>
        </w:rPr>
      </w:pPr>
      <w:r>
        <w:rPr>
          <w:rFonts w:hint="eastAsia" w:ascii="宋体"/>
          <w:kern w:val="0"/>
          <w:szCs w:val="20"/>
        </w:rPr>
        <w:t>在通辽</w:t>
      </w:r>
      <w:r>
        <w:rPr>
          <w:rFonts w:ascii="宋体"/>
          <w:kern w:val="0"/>
          <w:szCs w:val="20"/>
        </w:rPr>
        <w:t>地区</w:t>
      </w:r>
      <w:r>
        <w:rPr>
          <w:rFonts w:hint="eastAsia" w:ascii="宋体"/>
          <w:kern w:val="0"/>
          <w:szCs w:val="20"/>
        </w:rPr>
        <w:t>生产的，仅以</w:t>
      </w:r>
      <w:r>
        <w:rPr>
          <w:rFonts w:ascii="宋体"/>
          <w:kern w:val="0"/>
          <w:szCs w:val="20"/>
        </w:rPr>
        <w:t>牛肉为原料，经</w:t>
      </w:r>
      <w:r>
        <w:rPr>
          <w:rFonts w:hint="eastAsia" w:ascii="宋体"/>
          <w:kern w:val="0"/>
          <w:szCs w:val="20"/>
        </w:rPr>
        <w:t>修整、切条</w:t>
      </w:r>
      <w:r>
        <w:rPr>
          <w:rFonts w:ascii="宋体"/>
          <w:kern w:val="0"/>
          <w:szCs w:val="20"/>
        </w:rPr>
        <w:t>、</w:t>
      </w:r>
      <w:r>
        <w:rPr>
          <w:rFonts w:hint="eastAsia" w:ascii="宋体"/>
          <w:kern w:val="0"/>
          <w:szCs w:val="20"/>
        </w:rPr>
        <w:t>腌制</w:t>
      </w:r>
      <w:r>
        <w:rPr>
          <w:rFonts w:ascii="宋体"/>
          <w:kern w:val="0"/>
          <w:szCs w:val="20"/>
        </w:rPr>
        <w:t>、风干、烘烤</w:t>
      </w:r>
      <w:r>
        <w:rPr>
          <w:rFonts w:hint="eastAsia" w:ascii="宋体"/>
          <w:kern w:val="0"/>
          <w:szCs w:val="20"/>
        </w:rPr>
        <w:t>/</w:t>
      </w:r>
      <w:r>
        <w:rPr>
          <w:rFonts w:ascii="宋体"/>
          <w:kern w:val="0"/>
          <w:szCs w:val="20"/>
        </w:rPr>
        <w:t>油炸</w:t>
      </w:r>
      <w:r>
        <w:rPr>
          <w:rFonts w:hint="eastAsia" w:ascii="宋体"/>
          <w:kern w:val="0"/>
          <w:szCs w:val="20"/>
        </w:rPr>
        <w:t>、</w:t>
      </w:r>
      <w:r>
        <w:rPr>
          <w:rFonts w:ascii="宋体"/>
          <w:kern w:val="0"/>
          <w:szCs w:val="20"/>
        </w:rPr>
        <w:t>包装等工艺</w:t>
      </w:r>
      <w:r>
        <w:rPr>
          <w:rFonts w:hint="eastAsia" w:ascii="宋体"/>
          <w:kern w:val="0"/>
          <w:szCs w:val="20"/>
        </w:rPr>
        <w:t>制成</w:t>
      </w:r>
      <w:r>
        <w:rPr>
          <w:rFonts w:ascii="宋体"/>
          <w:kern w:val="0"/>
          <w:szCs w:val="20"/>
        </w:rPr>
        <w:t>的熟肉制品。</w:t>
      </w:r>
    </w:p>
    <w:p w14:paraId="0B3B3D72">
      <w:pPr>
        <w:pStyle w:val="19"/>
        <w:numPr>
          <w:ilvl w:val="0"/>
          <w:numId w:val="2"/>
        </w:numPr>
        <w:spacing w:before="312" w:beforeLines="100" w:after="312" w:afterLines="100"/>
        <w:outlineLvl w:val="0"/>
        <w:rPr>
          <w:rFonts w:ascii="Times New Roman"/>
          <w:szCs w:val="21"/>
        </w:rPr>
      </w:pPr>
      <w:r>
        <w:rPr>
          <w:rFonts w:hint="eastAsia" w:ascii="Times New Roman"/>
          <w:szCs w:val="21"/>
        </w:rPr>
        <w:t>原辅料和</w:t>
      </w:r>
      <w:r>
        <w:rPr>
          <w:rFonts w:ascii="Times New Roman"/>
          <w:szCs w:val="21"/>
        </w:rPr>
        <w:t>投料要求</w:t>
      </w:r>
    </w:p>
    <w:p w14:paraId="17596043">
      <w:pPr>
        <w:pStyle w:val="21"/>
        <w:numPr>
          <w:ilvl w:val="1"/>
          <w:numId w:val="0"/>
        </w:numPr>
        <w:tabs>
          <w:tab w:val="clear" w:pos="360"/>
        </w:tabs>
        <w:spacing w:before="156" w:beforeLines="50" w:after="156" w:afterLines="50"/>
        <w:ind w:left="283" w:hanging="283"/>
        <w:outlineLvl w:val="1"/>
        <w:rPr>
          <w:rFonts w:ascii="黑体"/>
          <w:szCs w:val="21"/>
        </w:rPr>
      </w:pPr>
      <w:r>
        <w:rPr>
          <w:rFonts w:ascii="黑体"/>
          <w:szCs w:val="21"/>
        </w:rPr>
        <w:t>4</w:t>
      </w:r>
      <w:r>
        <w:rPr>
          <w:rFonts w:hint="eastAsia" w:ascii="黑体"/>
          <w:szCs w:val="21"/>
        </w:rPr>
        <w:t>.1 原料</w:t>
      </w:r>
    </w:p>
    <w:p w14:paraId="527E0D49">
      <w:pPr>
        <w:pStyle w:val="20"/>
        <w:tabs>
          <w:tab w:val="center" w:pos="4201"/>
          <w:tab w:val="right" w:leader="dot" w:pos="9298"/>
        </w:tabs>
        <w:ind w:firstLine="420"/>
        <w:rPr>
          <w:rFonts w:ascii="Times New Roman"/>
          <w:szCs w:val="21"/>
        </w:rPr>
      </w:pPr>
      <w:r>
        <w:rPr>
          <w:rFonts w:hint="default" w:ascii="Times New Roman"/>
          <w:szCs w:val="21"/>
        </w:rPr>
        <w:t>原料肉应</w:t>
      </w:r>
      <w:r>
        <w:rPr>
          <w:rFonts w:ascii="Times New Roman"/>
          <w:szCs w:val="21"/>
        </w:rPr>
        <w:t>来自非疫区，经检疫检验合格并符合T/CMATB 3012的</w:t>
      </w:r>
      <w:r>
        <w:rPr>
          <w:rFonts w:hint="default" w:ascii="Times New Roman"/>
          <w:szCs w:val="21"/>
        </w:rPr>
        <w:t>相关</w:t>
      </w:r>
      <w:r>
        <w:rPr>
          <w:rFonts w:ascii="Times New Roman"/>
          <w:szCs w:val="21"/>
        </w:rPr>
        <w:t>规定。</w:t>
      </w:r>
    </w:p>
    <w:p w14:paraId="5F2A3C85">
      <w:pPr>
        <w:pStyle w:val="21"/>
        <w:numPr>
          <w:ilvl w:val="1"/>
          <w:numId w:val="0"/>
        </w:numPr>
        <w:tabs>
          <w:tab w:val="clear" w:pos="360"/>
        </w:tabs>
        <w:spacing w:before="156" w:beforeLines="50" w:after="156" w:afterLines="50"/>
        <w:ind w:left="283" w:hanging="283"/>
        <w:outlineLvl w:val="1"/>
        <w:rPr>
          <w:rFonts w:ascii="黑体"/>
          <w:szCs w:val="21"/>
        </w:rPr>
      </w:pPr>
      <w:r>
        <w:rPr>
          <w:rFonts w:ascii="黑体"/>
          <w:szCs w:val="21"/>
        </w:rPr>
        <w:t>4</w:t>
      </w:r>
      <w:r>
        <w:rPr>
          <w:rFonts w:hint="eastAsia" w:ascii="黑体"/>
          <w:szCs w:val="21"/>
        </w:rPr>
        <w:t>.2 辅料</w:t>
      </w:r>
    </w:p>
    <w:p w14:paraId="2D34E77C">
      <w:pPr>
        <w:pStyle w:val="20"/>
        <w:ind w:firstLine="420"/>
      </w:pPr>
      <w:bookmarkStart w:id="49" w:name="OLE_LINK11"/>
      <w:bookmarkStart w:id="50" w:name="OLE_LINK7"/>
      <w:r>
        <w:rPr>
          <w:rFonts w:hint="eastAsia"/>
        </w:rPr>
        <w:t>应</w:t>
      </w:r>
      <w:r>
        <w:t>符合相关国家标准或行业标准的规定。</w:t>
      </w:r>
      <w:bookmarkEnd w:id="49"/>
      <w:bookmarkEnd w:id="50"/>
    </w:p>
    <w:p w14:paraId="69D500B9">
      <w:pPr>
        <w:pStyle w:val="21"/>
        <w:numPr>
          <w:ilvl w:val="1"/>
          <w:numId w:val="0"/>
        </w:numPr>
        <w:tabs>
          <w:tab w:val="clear" w:pos="360"/>
        </w:tabs>
        <w:spacing w:before="156" w:beforeLines="50" w:after="156" w:afterLines="50"/>
        <w:ind w:left="283" w:hanging="283"/>
        <w:outlineLvl w:val="1"/>
        <w:rPr>
          <w:rFonts w:ascii="黑体"/>
          <w:szCs w:val="21"/>
        </w:rPr>
      </w:pPr>
      <w:r>
        <w:rPr>
          <w:rFonts w:ascii="黑体"/>
          <w:szCs w:val="21"/>
        </w:rPr>
        <w:t>4</w:t>
      </w:r>
      <w:r>
        <w:rPr>
          <w:rFonts w:hint="eastAsia" w:ascii="黑体"/>
          <w:szCs w:val="21"/>
        </w:rPr>
        <w:t>.</w:t>
      </w:r>
      <w:r>
        <w:rPr>
          <w:rFonts w:ascii="黑体"/>
          <w:szCs w:val="21"/>
        </w:rPr>
        <w:t>3</w:t>
      </w:r>
      <w:r>
        <w:rPr>
          <w:rFonts w:hint="eastAsia" w:ascii="黑体"/>
          <w:szCs w:val="21"/>
        </w:rPr>
        <w:t xml:space="preserve"> 食品添加</w:t>
      </w:r>
      <w:r>
        <w:rPr>
          <w:rFonts w:ascii="黑体"/>
          <w:szCs w:val="21"/>
        </w:rPr>
        <w:t>剂</w:t>
      </w:r>
    </w:p>
    <w:p w14:paraId="2B89B5BD">
      <w:pPr>
        <w:pStyle w:val="20"/>
        <w:tabs>
          <w:tab w:val="center" w:pos="4201"/>
          <w:tab w:val="right" w:leader="dot" w:pos="9298"/>
        </w:tabs>
        <w:ind w:firstLine="420"/>
        <w:rPr>
          <w:rFonts w:ascii="Times New Roman"/>
          <w:szCs w:val="21"/>
        </w:rPr>
      </w:pPr>
      <w:r>
        <w:rPr>
          <w:rFonts w:hint="default" w:ascii="Times New Roman"/>
          <w:szCs w:val="21"/>
        </w:rPr>
        <w:t>应符合</w:t>
      </w:r>
      <w:r>
        <w:rPr>
          <w:rFonts w:ascii="Times New Roman"/>
          <w:szCs w:val="21"/>
        </w:rPr>
        <w:t>GB 2760</w:t>
      </w:r>
      <w:r>
        <w:rPr>
          <w:rFonts w:hint="default" w:ascii="Times New Roman"/>
          <w:szCs w:val="21"/>
        </w:rPr>
        <w:t>的</w:t>
      </w:r>
      <w:r>
        <w:rPr>
          <w:rFonts w:ascii="Times New Roman"/>
          <w:szCs w:val="21"/>
        </w:rPr>
        <w:t>规定。</w:t>
      </w:r>
    </w:p>
    <w:p w14:paraId="6C2B1311">
      <w:pPr>
        <w:pStyle w:val="21"/>
        <w:numPr>
          <w:ilvl w:val="1"/>
          <w:numId w:val="0"/>
        </w:numPr>
        <w:tabs>
          <w:tab w:val="clear" w:pos="360"/>
        </w:tabs>
        <w:spacing w:before="156" w:beforeLines="50" w:after="156" w:afterLines="50"/>
        <w:ind w:left="283" w:hanging="283"/>
        <w:outlineLvl w:val="1"/>
        <w:rPr>
          <w:rFonts w:ascii="黑体"/>
          <w:szCs w:val="21"/>
        </w:rPr>
      </w:pPr>
      <w:r>
        <w:rPr>
          <w:rFonts w:hint="eastAsia" w:ascii="黑体"/>
          <w:szCs w:val="21"/>
        </w:rPr>
        <w:t>4.4 食品营养</w:t>
      </w:r>
      <w:r>
        <w:rPr>
          <w:rFonts w:ascii="黑体"/>
          <w:szCs w:val="21"/>
        </w:rPr>
        <w:t>强化剂</w:t>
      </w:r>
    </w:p>
    <w:p w14:paraId="1A003D06">
      <w:pPr>
        <w:pStyle w:val="20"/>
        <w:tabs>
          <w:tab w:val="center" w:pos="4201"/>
          <w:tab w:val="right" w:leader="dot" w:pos="9298"/>
        </w:tabs>
        <w:ind w:firstLine="420"/>
        <w:rPr>
          <w:rFonts w:ascii="黑体"/>
          <w:szCs w:val="21"/>
        </w:rPr>
      </w:pPr>
      <w:r>
        <w:rPr>
          <w:rFonts w:hint="eastAsia" w:ascii="黑体"/>
          <w:szCs w:val="21"/>
        </w:rPr>
        <w:t>应</w:t>
      </w:r>
      <w:r>
        <w:rPr>
          <w:rFonts w:ascii="黑体"/>
          <w:szCs w:val="21"/>
        </w:rPr>
        <w:t>符合</w:t>
      </w:r>
      <w:r>
        <w:rPr>
          <w:rFonts w:hint="default" w:ascii="Times New Roman"/>
          <w:szCs w:val="21"/>
        </w:rPr>
        <w:t>GB 14880</w:t>
      </w:r>
      <w:r>
        <w:rPr>
          <w:rFonts w:hint="eastAsia" w:ascii="黑体"/>
          <w:szCs w:val="21"/>
        </w:rPr>
        <w:t>的</w:t>
      </w:r>
      <w:r>
        <w:rPr>
          <w:rFonts w:ascii="黑体"/>
          <w:szCs w:val="21"/>
        </w:rPr>
        <w:t>规定。</w:t>
      </w:r>
    </w:p>
    <w:p w14:paraId="2209BD84">
      <w:pPr>
        <w:pStyle w:val="21"/>
        <w:numPr>
          <w:ilvl w:val="1"/>
          <w:numId w:val="0"/>
        </w:numPr>
        <w:tabs>
          <w:tab w:val="clear" w:pos="360"/>
        </w:tabs>
        <w:spacing w:before="156" w:beforeLines="50" w:after="156" w:afterLines="50"/>
        <w:ind w:left="283" w:hanging="283"/>
        <w:outlineLvl w:val="1"/>
        <w:rPr>
          <w:rFonts w:ascii="黑体"/>
          <w:szCs w:val="21"/>
        </w:rPr>
      </w:pPr>
      <w:r>
        <w:rPr>
          <w:rFonts w:ascii="黑体"/>
          <w:szCs w:val="21"/>
        </w:rPr>
        <w:t>4</w:t>
      </w:r>
      <w:r>
        <w:rPr>
          <w:rFonts w:hint="eastAsia" w:ascii="黑体"/>
          <w:szCs w:val="21"/>
        </w:rPr>
        <w:t>.</w:t>
      </w:r>
      <w:r>
        <w:rPr>
          <w:rFonts w:ascii="黑体"/>
          <w:szCs w:val="21"/>
        </w:rPr>
        <w:t>5</w:t>
      </w:r>
      <w:r>
        <w:rPr>
          <w:rFonts w:hint="eastAsia" w:ascii="黑体"/>
          <w:szCs w:val="21"/>
        </w:rPr>
        <w:t xml:space="preserve"> 生产过程</w:t>
      </w:r>
      <w:r>
        <w:rPr>
          <w:rFonts w:ascii="黑体"/>
          <w:szCs w:val="21"/>
        </w:rPr>
        <w:t>投料要求</w:t>
      </w:r>
    </w:p>
    <w:p w14:paraId="04A719D8">
      <w:pPr>
        <w:pStyle w:val="20"/>
        <w:tabs>
          <w:tab w:val="center" w:pos="4201"/>
          <w:tab w:val="right" w:leader="dot" w:pos="9298"/>
        </w:tabs>
        <w:ind w:firstLine="420"/>
        <w:rPr>
          <w:rFonts w:ascii="Times New Roman"/>
          <w:szCs w:val="21"/>
        </w:rPr>
      </w:pPr>
      <w:r>
        <w:rPr>
          <w:rFonts w:ascii="Times New Roman"/>
          <w:szCs w:val="21"/>
        </w:rPr>
        <w:t>生产过程中不得</w:t>
      </w:r>
      <w:r>
        <w:rPr>
          <w:rFonts w:hint="default" w:ascii="Times New Roman"/>
          <w:szCs w:val="21"/>
        </w:rPr>
        <w:t>添加</w:t>
      </w:r>
      <w:r>
        <w:rPr>
          <w:rFonts w:ascii="Times New Roman"/>
          <w:szCs w:val="21"/>
        </w:rPr>
        <w:t>外源蛋白</w:t>
      </w:r>
      <w:r>
        <w:rPr>
          <w:rFonts w:hint="default" w:ascii="Times New Roman"/>
          <w:szCs w:val="21"/>
        </w:rPr>
        <w:t>和</w:t>
      </w:r>
      <w:r>
        <w:rPr>
          <w:rFonts w:ascii="Times New Roman"/>
          <w:szCs w:val="21"/>
        </w:rPr>
        <w:t>多糖类</w:t>
      </w:r>
      <w:r>
        <w:rPr>
          <w:rFonts w:hint="default" w:ascii="Times New Roman"/>
          <w:szCs w:val="21"/>
        </w:rPr>
        <w:t>物质（淀粉</w:t>
      </w:r>
      <w:r>
        <w:rPr>
          <w:rFonts w:ascii="Times New Roman"/>
          <w:szCs w:val="21"/>
        </w:rPr>
        <w:t>、膳食纤维</w:t>
      </w:r>
      <w:r>
        <w:rPr>
          <w:rFonts w:hint="default" w:ascii="Times New Roman"/>
          <w:szCs w:val="21"/>
        </w:rPr>
        <w:t>、</w:t>
      </w:r>
      <w:r>
        <w:rPr>
          <w:rFonts w:ascii="Times New Roman"/>
          <w:szCs w:val="21"/>
        </w:rPr>
        <w:t>卡拉胶等</w:t>
      </w:r>
      <w:r>
        <w:rPr>
          <w:rFonts w:hint="default" w:ascii="Times New Roman"/>
          <w:szCs w:val="21"/>
        </w:rPr>
        <w:t>）</w:t>
      </w:r>
      <w:r>
        <w:rPr>
          <w:rFonts w:ascii="Times New Roman"/>
          <w:szCs w:val="21"/>
        </w:rPr>
        <w:t>。</w:t>
      </w:r>
    </w:p>
    <w:p w14:paraId="3203A21D">
      <w:pPr>
        <w:pStyle w:val="19"/>
        <w:numPr>
          <w:ilvl w:val="0"/>
          <w:numId w:val="2"/>
        </w:numPr>
        <w:spacing w:before="312" w:beforeLines="100" w:after="312" w:afterLines="100"/>
        <w:outlineLvl w:val="0"/>
        <w:rPr>
          <w:rFonts w:ascii="Times New Roman"/>
          <w:szCs w:val="21"/>
        </w:rPr>
      </w:pPr>
      <w:r>
        <w:rPr>
          <w:rFonts w:ascii="Times New Roman"/>
          <w:szCs w:val="21"/>
        </w:rPr>
        <w:t>技术要求</w:t>
      </w:r>
    </w:p>
    <w:bookmarkEnd w:id="45"/>
    <w:bookmarkEnd w:id="46"/>
    <w:bookmarkEnd w:id="47"/>
    <w:p w14:paraId="741C3403">
      <w:pPr>
        <w:pStyle w:val="21"/>
        <w:numPr>
          <w:ilvl w:val="1"/>
          <w:numId w:val="0"/>
        </w:numPr>
        <w:tabs>
          <w:tab w:val="clear" w:pos="360"/>
        </w:tabs>
        <w:spacing w:before="156" w:beforeLines="50" w:after="156" w:afterLines="50"/>
        <w:ind w:left="283" w:hanging="283"/>
        <w:outlineLvl w:val="1"/>
        <w:rPr>
          <w:rFonts w:ascii="黑体" w:hAnsi="黑体"/>
          <w:szCs w:val="21"/>
        </w:rPr>
      </w:pPr>
      <w:bookmarkStart w:id="51" w:name="_Toc21982457"/>
      <w:bookmarkEnd w:id="51"/>
      <w:bookmarkStart w:id="52" w:name="_Toc21982170"/>
      <w:bookmarkEnd w:id="52"/>
      <w:bookmarkStart w:id="53" w:name="_Toc22135232"/>
      <w:bookmarkEnd w:id="53"/>
      <w:bookmarkStart w:id="54" w:name="_Toc22135210"/>
      <w:bookmarkEnd w:id="54"/>
      <w:bookmarkStart w:id="55" w:name="_Toc21982437"/>
      <w:bookmarkEnd w:id="55"/>
      <w:bookmarkStart w:id="56" w:name="_Toc21982150"/>
      <w:bookmarkEnd w:id="56"/>
      <w:bookmarkStart w:id="57" w:name="_Toc21982479"/>
      <w:bookmarkEnd w:id="57"/>
      <w:bookmarkStart w:id="58" w:name="_Toc21982477"/>
      <w:bookmarkEnd w:id="58"/>
      <w:bookmarkStart w:id="59" w:name="_Toc20410163"/>
      <w:bookmarkEnd w:id="59"/>
      <w:bookmarkStart w:id="60" w:name="_Toc21982190"/>
      <w:bookmarkEnd w:id="60"/>
      <w:bookmarkStart w:id="61" w:name="_Toc22135230"/>
      <w:bookmarkEnd w:id="61"/>
      <w:bookmarkStart w:id="62" w:name="_Toc21982192"/>
      <w:bookmarkEnd w:id="62"/>
      <w:bookmarkStart w:id="63" w:name="_Toc22135243"/>
      <w:bookmarkStart w:id="64" w:name="OLE_LINK10"/>
      <w:bookmarkStart w:id="65" w:name="_Toc21982203"/>
      <w:bookmarkStart w:id="66" w:name="_Toc21982490"/>
      <w:r>
        <w:rPr>
          <w:rFonts w:ascii="黑体" w:hAnsi="黑体" w:cs="黑体"/>
          <w:szCs w:val="21"/>
        </w:rPr>
        <w:t>5</w:t>
      </w:r>
      <w:r>
        <w:rPr>
          <w:rFonts w:hint="eastAsia" w:ascii="黑体" w:hAnsi="黑体" w:cs="黑体"/>
          <w:szCs w:val="21"/>
        </w:rPr>
        <w:t>.1</w:t>
      </w:r>
      <w:bookmarkEnd w:id="63"/>
      <w:bookmarkEnd w:id="64"/>
      <w:bookmarkEnd w:id="65"/>
      <w:bookmarkEnd w:id="66"/>
      <w:bookmarkStart w:id="67" w:name="_Toc16171981"/>
      <w:bookmarkStart w:id="68" w:name="_Toc20317854"/>
      <w:bookmarkStart w:id="69" w:name="_Toc20410175"/>
      <w:bookmarkStart w:id="70" w:name="_Toc20235299"/>
      <w:bookmarkStart w:id="71" w:name="_Toc16172045"/>
      <w:bookmarkStart w:id="72" w:name="_Toc20236412"/>
      <w:r>
        <w:rPr>
          <w:rFonts w:ascii="黑体" w:hAnsi="黑体" w:cs="黑体"/>
          <w:szCs w:val="21"/>
        </w:rPr>
        <w:t xml:space="preserve"> </w:t>
      </w:r>
      <w:r>
        <w:rPr>
          <w:rFonts w:ascii="黑体" w:hAnsi="黑体"/>
          <w:szCs w:val="21"/>
        </w:rPr>
        <w:t>感官要求</w:t>
      </w:r>
    </w:p>
    <w:p w14:paraId="79045484">
      <w:pPr>
        <w:pStyle w:val="20"/>
        <w:tabs>
          <w:tab w:val="center" w:pos="4201"/>
          <w:tab w:val="right" w:leader="dot" w:pos="9298"/>
        </w:tabs>
        <w:ind w:firstLine="420" w:firstLineChars="0"/>
        <w:rPr>
          <w:rFonts w:ascii="Times New Roman"/>
          <w:szCs w:val="21"/>
        </w:rPr>
      </w:pPr>
      <w:r>
        <w:rPr>
          <w:rFonts w:ascii="Times New Roman"/>
          <w:szCs w:val="21"/>
        </w:rPr>
        <w:t>应符合表1的</w:t>
      </w:r>
      <w:r>
        <w:rPr>
          <w:rFonts w:hint="default" w:ascii="Times New Roman"/>
          <w:szCs w:val="21"/>
        </w:rPr>
        <w:t>规定</w:t>
      </w:r>
      <w:r>
        <w:rPr>
          <w:rFonts w:ascii="Times New Roman"/>
          <w:szCs w:val="21"/>
        </w:rPr>
        <w:t>。</w:t>
      </w:r>
    </w:p>
    <w:p w14:paraId="362B4EDB">
      <w:pPr>
        <w:pStyle w:val="22"/>
        <w:spacing w:before="156" w:beforeLines="50" w:after="156" w:afterLines="50"/>
      </w:pPr>
      <w:r>
        <w:rPr>
          <w:rFonts w:hint="eastAsia"/>
        </w:rPr>
        <w:t>表1 感官要求</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7644"/>
      </w:tblGrid>
      <w:tr w14:paraId="427EA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367CE7A0">
            <w:pPr>
              <w:jc w:val="center"/>
              <w:rPr>
                <w:kern w:val="0"/>
                <w:sz w:val="18"/>
                <w:szCs w:val="18"/>
              </w:rPr>
            </w:pPr>
            <w:r>
              <w:rPr>
                <w:kern w:val="0"/>
                <w:sz w:val="18"/>
                <w:szCs w:val="18"/>
              </w:rPr>
              <w:t>项目</w:t>
            </w:r>
          </w:p>
        </w:tc>
        <w:tc>
          <w:tcPr>
            <w:tcW w:w="4115" w:type="pct"/>
            <w:tcBorders>
              <w:tl2br w:val="nil"/>
              <w:tr2bl w:val="nil"/>
            </w:tcBorders>
            <w:vAlign w:val="center"/>
          </w:tcPr>
          <w:p w14:paraId="70CEA436">
            <w:pPr>
              <w:jc w:val="center"/>
              <w:rPr>
                <w:kern w:val="0"/>
                <w:sz w:val="18"/>
                <w:szCs w:val="18"/>
              </w:rPr>
            </w:pPr>
            <w:r>
              <w:rPr>
                <w:kern w:val="0"/>
                <w:sz w:val="18"/>
                <w:szCs w:val="18"/>
              </w:rPr>
              <w:t>要求</w:t>
            </w:r>
          </w:p>
        </w:tc>
      </w:tr>
      <w:tr w14:paraId="1A4D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103C2CEB">
            <w:pPr>
              <w:jc w:val="center"/>
              <w:rPr>
                <w:kern w:val="0"/>
                <w:sz w:val="18"/>
                <w:szCs w:val="18"/>
              </w:rPr>
            </w:pPr>
            <w:r>
              <w:rPr>
                <w:rFonts w:hint="eastAsia"/>
                <w:kern w:val="0"/>
                <w:sz w:val="18"/>
                <w:szCs w:val="18"/>
              </w:rPr>
              <w:t>形态</w:t>
            </w:r>
          </w:p>
        </w:tc>
        <w:tc>
          <w:tcPr>
            <w:tcW w:w="4115" w:type="pct"/>
            <w:tcBorders>
              <w:tl2br w:val="nil"/>
              <w:tr2bl w:val="nil"/>
            </w:tcBorders>
            <w:vAlign w:val="center"/>
          </w:tcPr>
          <w:p w14:paraId="6F93F5E8">
            <w:pPr>
              <w:pStyle w:val="41"/>
              <w:rPr>
                <w:rFonts w:ascii="Times New Roman" w:hAnsi="Times New Roman"/>
                <w:kern w:val="0"/>
                <w:lang w:eastAsia="zh-CN"/>
              </w:rPr>
            </w:pPr>
            <w:r>
              <w:rPr>
                <w:rFonts w:hint="eastAsia"/>
                <w:lang w:eastAsia="zh-CN"/>
              </w:rPr>
              <w:t>呈条状</w:t>
            </w:r>
            <w:r>
              <w:rPr>
                <w:lang w:eastAsia="zh-CN"/>
              </w:rPr>
              <w:t>，大小基本均匀</w:t>
            </w:r>
          </w:p>
        </w:tc>
      </w:tr>
      <w:tr w14:paraId="7C249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3093265A">
            <w:pPr>
              <w:jc w:val="center"/>
              <w:rPr>
                <w:kern w:val="0"/>
                <w:sz w:val="18"/>
                <w:szCs w:val="18"/>
              </w:rPr>
            </w:pPr>
            <w:r>
              <w:rPr>
                <w:rFonts w:hint="eastAsia"/>
                <w:kern w:val="0"/>
                <w:sz w:val="18"/>
                <w:szCs w:val="18"/>
              </w:rPr>
              <w:t>色泽</w:t>
            </w:r>
          </w:p>
        </w:tc>
        <w:tc>
          <w:tcPr>
            <w:tcW w:w="4115" w:type="pct"/>
            <w:tcBorders>
              <w:tl2br w:val="nil"/>
              <w:tr2bl w:val="nil"/>
            </w:tcBorders>
            <w:vAlign w:val="center"/>
          </w:tcPr>
          <w:p w14:paraId="18331E78">
            <w:pPr>
              <w:pStyle w:val="41"/>
              <w:rPr>
                <w:lang w:eastAsia="zh-CN"/>
              </w:rPr>
            </w:pPr>
            <w:r>
              <w:rPr>
                <w:rFonts w:hint="eastAsia"/>
                <w:lang w:eastAsia="zh-CN"/>
              </w:rPr>
              <w:t>呈棕红色</w:t>
            </w:r>
            <w:r>
              <w:rPr>
                <w:lang w:eastAsia="zh-CN"/>
              </w:rPr>
              <w:t>、褐色或黑色，色泽基本均匀</w:t>
            </w:r>
          </w:p>
        </w:tc>
      </w:tr>
      <w:tr w14:paraId="0A84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22E4E04C">
            <w:pPr>
              <w:jc w:val="center"/>
              <w:rPr>
                <w:kern w:val="0"/>
                <w:sz w:val="18"/>
                <w:szCs w:val="18"/>
              </w:rPr>
            </w:pPr>
            <w:r>
              <w:rPr>
                <w:rFonts w:hint="eastAsia"/>
                <w:kern w:val="0"/>
                <w:sz w:val="18"/>
                <w:szCs w:val="18"/>
              </w:rPr>
              <w:t>滋味</w:t>
            </w:r>
            <w:r>
              <w:rPr>
                <w:kern w:val="0"/>
                <w:sz w:val="18"/>
                <w:szCs w:val="18"/>
              </w:rPr>
              <w:t>与气味</w:t>
            </w:r>
          </w:p>
        </w:tc>
        <w:tc>
          <w:tcPr>
            <w:tcW w:w="4115" w:type="pct"/>
            <w:tcBorders>
              <w:tl2br w:val="nil"/>
              <w:tr2bl w:val="nil"/>
            </w:tcBorders>
            <w:vAlign w:val="center"/>
          </w:tcPr>
          <w:p w14:paraId="417D99DA">
            <w:pPr>
              <w:pStyle w:val="41"/>
              <w:rPr>
                <w:lang w:eastAsia="zh-CN"/>
              </w:rPr>
            </w:pPr>
            <w:r>
              <w:rPr>
                <w:rFonts w:hint="eastAsia"/>
                <w:lang w:eastAsia="zh-CN"/>
              </w:rPr>
              <w:t>具</w:t>
            </w:r>
            <w:r>
              <w:rPr>
                <w:lang w:eastAsia="zh-CN"/>
              </w:rPr>
              <w:t>有</w:t>
            </w:r>
            <w:r>
              <w:rPr>
                <w:rFonts w:hint="eastAsia"/>
                <w:lang w:eastAsia="zh-CN"/>
              </w:rPr>
              <w:t>牛肉</w:t>
            </w:r>
            <w:r>
              <w:rPr>
                <w:lang w:eastAsia="zh-CN"/>
              </w:rPr>
              <w:t>干产品特有的香气和滋味</w:t>
            </w:r>
          </w:p>
        </w:tc>
      </w:tr>
      <w:tr w14:paraId="13F2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84" w:type="pct"/>
            <w:tcBorders>
              <w:tl2br w:val="nil"/>
              <w:tr2bl w:val="nil"/>
            </w:tcBorders>
            <w:vAlign w:val="center"/>
          </w:tcPr>
          <w:p w14:paraId="094C386B">
            <w:pPr>
              <w:jc w:val="center"/>
              <w:rPr>
                <w:kern w:val="0"/>
                <w:sz w:val="18"/>
                <w:szCs w:val="18"/>
              </w:rPr>
            </w:pPr>
            <w:r>
              <w:rPr>
                <w:rFonts w:hint="eastAsia"/>
                <w:kern w:val="0"/>
                <w:sz w:val="18"/>
                <w:szCs w:val="18"/>
              </w:rPr>
              <w:t>杂质</w:t>
            </w:r>
          </w:p>
        </w:tc>
        <w:tc>
          <w:tcPr>
            <w:tcW w:w="4115" w:type="pct"/>
            <w:tcBorders>
              <w:tl2br w:val="nil"/>
              <w:tr2bl w:val="nil"/>
            </w:tcBorders>
            <w:vAlign w:val="center"/>
          </w:tcPr>
          <w:p w14:paraId="4C1D1D1D">
            <w:pPr>
              <w:pStyle w:val="41"/>
              <w:rPr>
                <w:lang w:eastAsia="zh-CN"/>
              </w:rPr>
            </w:pPr>
            <w:r>
              <w:rPr>
                <w:lang w:eastAsia="zh-CN"/>
              </w:rPr>
              <w:t>无正常视力可见</w:t>
            </w:r>
            <w:r>
              <w:rPr>
                <w:rFonts w:hint="eastAsia"/>
                <w:lang w:eastAsia="zh-CN"/>
              </w:rPr>
              <w:t>外来</w:t>
            </w:r>
            <w:r>
              <w:rPr>
                <w:lang w:eastAsia="zh-CN"/>
              </w:rPr>
              <w:t>杂质</w:t>
            </w:r>
          </w:p>
        </w:tc>
      </w:tr>
    </w:tbl>
    <w:p w14:paraId="6244A0F5">
      <w:pPr>
        <w:pStyle w:val="21"/>
        <w:numPr>
          <w:ilvl w:val="1"/>
          <w:numId w:val="0"/>
        </w:numPr>
        <w:spacing w:before="156" w:after="156"/>
        <w:rPr>
          <w:rFonts w:ascii="黑体"/>
        </w:rPr>
      </w:pPr>
      <w:r>
        <w:rPr>
          <w:rFonts w:ascii="黑体"/>
        </w:rPr>
        <w:t>5.2</w:t>
      </w:r>
      <w:r>
        <w:rPr>
          <w:rFonts w:hint="eastAsia" w:ascii="黑体"/>
        </w:rPr>
        <w:t xml:space="preserve"> 理化指标</w:t>
      </w:r>
    </w:p>
    <w:p w14:paraId="7DDFD10F">
      <w:pPr>
        <w:pStyle w:val="20"/>
        <w:tabs>
          <w:tab w:val="left" w:pos="3735"/>
        </w:tabs>
        <w:ind w:firstLine="420" w:firstLineChars="200"/>
      </w:pPr>
      <w:r>
        <w:rPr>
          <w:rFonts w:hint="eastAsia"/>
        </w:rPr>
        <w:t>应符合表</w:t>
      </w:r>
      <w:r>
        <w:rPr>
          <w:rFonts w:ascii="Times New Roman"/>
        </w:rPr>
        <w:t>2</w:t>
      </w:r>
      <w:r>
        <w:rPr>
          <w:rFonts w:hint="eastAsia"/>
        </w:rPr>
        <w:t>的规定。</w:t>
      </w:r>
    </w:p>
    <w:p w14:paraId="3373BB74">
      <w:pPr>
        <w:pStyle w:val="22"/>
        <w:spacing w:before="156" w:beforeLines="50" w:after="156" w:afterLines="50"/>
      </w:pPr>
      <w:bookmarkStart w:id="73" w:name="OLE_LINK9"/>
      <w:bookmarkStart w:id="74" w:name="OLE_LINK8"/>
      <w:r>
        <w:rPr>
          <w:rFonts w:hint="eastAsia"/>
        </w:rPr>
        <w:t>表2 理化指标</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2"/>
        <w:gridCol w:w="5244"/>
      </w:tblGrid>
      <w:tr w14:paraId="51E5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176" w:type="pct"/>
            <w:tcBorders>
              <w:tl2br w:val="nil"/>
              <w:tr2bl w:val="nil"/>
            </w:tcBorders>
            <w:vAlign w:val="center"/>
          </w:tcPr>
          <w:p w14:paraId="79EB2701">
            <w:pPr>
              <w:jc w:val="center"/>
              <w:rPr>
                <w:rFonts w:ascii="Times New Roman" w:hAnsi="Times New Roman" w:cs="Times New Roman"/>
                <w:sz w:val="18"/>
                <w:szCs w:val="18"/>
                <w:lang w:eastAsia="en-US"/>
              </w:rPr>
            </w:pPr>
            <w:r>
              <w:rPr>
                <w:rFonts w:ascii="Times New Roman" w:hAnsi="Times New Roman" w:cs="Times New Roman"/>
                <w:sz w:val="18"/>
                <w:szCs w:val="18"/>
                <w:lang w:eastAsia="en-US"/>
              </w:rPr>
              <w:t>项目</w:t>
            </w:r>
          </w:p>
        </w:tc>
        <w:tc>
          <w:tcPr>
            <w:tcW w:w="2823" w:type="pct"/>
            <w:tcBorders>
              <w:tl2br w:val="nil"/>
              <w:tr2bl w:val="nil"/>
            </w:tcBorders>
            <w:vAlign w:val="center"/>
          </w:tcPr>
          <w:p w14:paraId="4D4457B6">
            <w:pPr>
              <w:jc w:val="center"/>
              <w:rPr>
                <w:rFonts w:ascii="Times New Roman" w:hAnsi="Times New Roman" w:cs="Times New Roman"/>
                <w:sz w:val="18"/>
                <w:szCs w:val="18"/>
                <w:lang w:eastAsia="en-US"/>
              </w:rPr>
            </w:pPr>
            <w:r>
              <w:rPr>
                <w:rFonts w:ascii="Times New Roman" w:hAnsi="Times New Roman" w:cs="Times New Roman"/>
                <w:sz w:val="18"/>
                <w:szCs w:val="18"/>
                <w:lang w:eastAsia="en-US"/>
              </w:rPr>
              <w:t>指标</w:t>
            </w:r>
          </w:p>
        </w:tc>
      </w:tr>
      <w:tr w14:paraId="2990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176" w:type="pct"/>
            <w:tcBorders>
              <w:tl2br w:val="nil"/>
              <w:tr2bl w:val="nil"/>
            </w:tcBorders>
            <w:vAlign w:val="center"/>
          </w:tcPr>
          <w:p w14:paraId="34AF8855">
            <w:pPr>
              <w:pStyle w:val="41"/>
              <w:rPr>
                <w:rFonts w:ascii="Times New Roman" w:hAnsi="Times New Roman" w:cs="Times New Roman"/>
              </w:rPr>
            </w:pPr>
            <w:r>
              <w:rPr>
                <w:rFonts w:ascii="Times New Roman" w:hAnsi="Times New Roman" w:cs="Times New Roman"/>
              </w:rPr>
              <w:t>水分/</w:t>
            </w:r>
            <w:bookmarkStart w:id="75" w:name="OLE_LINK4"/>
            <w:bookmarkStart w:id="76" w:name="OLE_LINK5"/>
            <w:r>
              <w:rPr>
                <w:rFonts w:ascii="Times New Roman" w:hAnsi="Times New Roman" w:cs="Times New Roman"/>
              </w:rPr>
              <w:t xml:space="preserve">（g/100g）                    </w:t>
            </w:r>
            <w:r>
              <w:rPr>
                <w:rFonts w:ascii="Times New Roman" w:hAnsi="Times New Roman" w:cs="Times New Roman"/>
                <w:sz w:val="21"/>
                <w:szCs w:val="20"/>
              </w:rPr>
              <w:t xml:space="preserve">   </w:t>
            </w:r>
            <w:r>
              <w:rPr>
                <w:rFonts w:hint="eastAsia" w:ascii="Times New Roman" w:hAnsi="Times New Roman" w:cs="Times New Roman"/>
                <w:sz w:val="21"/>
                <w:szCs w:val="20"/>
                <w:lang w:val="en-US" w:eastAsia="zh-CN"/>
              </w:rPr>
              <w:t>≤</w:t>
            </w:r>
            <w:bookmarkEnd w:id="75"/>
            <w:bookmarkEnd w:id="76"/>
          </w:p>
        </w:tc>
        <w:tc>
          <w:tcPr>
            <w:tcW w:w="2823" w:type="pct"/>
            <w:tcBorders>
              <w:tl2br w:val="nil"/>
              <w:tr2bl w:val="nil"/>
            </w:tcBorders>
            <w:vAlign w:val="center"/>
          </w:tcPr>
          <w:p w14:paraId="4D0DE82A">
            <w:pPr>
              <w:pStyle w:val="41"/>
              <w:jc w:val="center"/>
              <w:rPr>
                <w:rFonts w:ascii="Times New Roman" w:hAnsi="Times New Roman" w:cs="Times New Roman"/>
              </w:rPr>
            </w:pPr>
            <w:r>
              <w:rPr>
                <w:rFonts w:ascii="Times New Roman" w:hAnsi="Times New Roman" w:cs="Times New Roman"/>
              </w:rPr>
              <w:t>40.0</w:t>
            </w:r>
          </w:p>
        </w:tc>
      </w:tr>
      <w:tr w14:paraId="518C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176" w:type="pct"/>
            <w:tcBorders>
              <w:tl2br w:val="nil"/>
              <w:tr2bl w:val="nil"/>
            </w:tcBorders>
            <w:vAlign w:val="center"/>
          </w:tcPr>
          <w:p w14:paraId="6E648D26">
            <w:pPr>
              <w:pStyle w:val="41"/>
              <w:rPr>
                <w:rFonts w:ascii="Times New Roman" w:hAnsi="Times New Roman" w:cs="Times New Roman"/>
                <w:lang w:eastAsia="zh-CN"/>
              </w:rPr>
            </w:pPr>
            <w:r>
              <w:rPr>
                <w:rFonts w:hint="eastAsia" w:ascii="Times New Roman" w:hAnsi="Times New Roman" w:cs="Times New Roman"/>
                <w:lang w:eastAsia="zh-CN"/>
              </w:rPr>
              <w:t>脂肪/</w:t>
            </w:r>
            <w:r>
              <w:rPr>
                <w:rFonts w:ascii="Times New Roman" w:hAnsi="Times New Roman" w:cs="Times New Roman"/>
              </w:rPr>
              <w:t xml:space="preserve">（g/100g）                    </w:t>
            </w:r>
            <w:r>
              <w:rPr>
                <w:rFonts w:ascii="Times New Roman" w:hAnsi="Times New Roman" w:cs="Times New Roman"/>
                <w:sz w:val="21"/>
                <w:szCs w:val="20"/>
              </w:rPr>
              <w:t xml:space="preserve">   </w:t>
            </w:r>
            <w:r>
              <w:rPr>
                <w:rFonts w:hint="eastAsia" w:ascii="Times New Roman" w:hAnsi="Times New Roman" w:cs="Times New Roman"/>
                <w:sz w:val="21"/>
                <w:szCs w:val="20"/>
                <w:lang w:val="en-US" w:eastAsia="zh-CN"/>
              </w:rPr>
              <w:t>≤</w:t>
            </w:r>
          </w:p>
        </w:tc>
        <w:tc>
          <w:tcPr>
            <w:tcW w:w="2823" w:type="pct"/>
            <w:tcBorders>
              <w:tl2br w:val="nil"/>
              <w:tr2bl w:val="nil"/>
            </w:tcBorders>
            <w:vAlign w:val="center"/>
          </w:tcPr>
          <w:p w14:paraId="2287DF3F">
            <w:pPr>
              <w:pStyle w:val="41"/>
              <w:jc w:val="center"/>
              <w:rPr>
                <w:rFonts w:ascii="Times New Roman" w:hAnsi="Times New Roman" w:cs="Times New Roman"/>
                <w:lang w:eastAsia="zh-CN"/>
              </w:rPr>
            </w:pPr>
            <w:r>
              <w:rPr>
                <w:rFonts w:ascii="Times New Roman" w:hAnsi="Times New Roman" w:cs="Times New Roman"/>
                <w:lang w:eastAsia="zh-CN"/>
              </w:rPr>
              <w:t>6</w:t>
            </w:r>
            <w:r>
              <w:rPr>
                <w:rFonts w:hint="eastAsia" w:ascii="Times New Roman" w:hAnsi="Times New Roman" w:cs="Times New Roman"/>
                <w:lang w:eastAsia="zh-CN"/>
              </w:rPr>
              <w:t>.0</w:t>
            </w:r>
          </w:p>
        </w:tc>
      </w:tr>
      <w:tr w14:paraId="1C03B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176" w:type="pct"/>
            <w:tcBorders>
              <w:tl2br w:val="nil"/>
              <w:tr2bl w:val="nil"/>
            </w:tcBorders>
            <w:vAlign w:val="center"/>
          </w:tcPr>
          <w:p w14:paraId="470D3FE8">
            <w:pPr>
              <w:pStyle w:val="41"/>
              <w:rPr>
                <w:rFonts w:ascii="Times New Roman" w:hAnsi="Times New Roman" w:cs="Times New Roman"/>
                <w:lang w:eastAsia="zh-CN"/>
              </w:rPr>
            </w:pPr>
            <w:r>
              <w:rPr>
                <w:rFonts w:ascii="Times New Roman" w:hAnsi="Times New Roman" w:cs="Times New Roman"/>
              </w:rPr>
              <w:t xml:space="preserve">蛋白质/（g/100g）    </w:t>
            </w:r>
            <w:r>
              <w:rPr>
                <w:rFonts w:ascii="Times New Roman" w:hAnsi="Times New Roman" w:cs="Times New Roman"/>
                <w:sz w:val="21"/>
                <w:szCs w:val="20"/>
              </w:rPr>
              <w:t xml:space="preserve">               </w:t>
            </w:r>
            <w:r>
              <w:rPr>
                <w:rFonts w:hint="eastAsia" w:ascii="Times New Roman" w:hAnsi="Times New Roman" w:cs="Times New Roman"/>
                <w:sz w:val="21"/>
                <w:szCs w:val="20"/>
                <w:lang w:eastAsia="zh-CN"/>
              </w:rPr>
              <w:t>≥</w:t>
            </w:r>
          </w:p>
        </w:tc>
        <w:tc>
          <w:tcPr>
            <w:tcW w:w="2823" w:type="pct"/>
            <w:tcBorders>
              <w:tl2br w:val="nil"/>
              <w:tr2bl w:val="nil"/>
            </w:tcBorders>
            <w:vAlign w:val="center"/>
          </w:tcPr>
          <w:p w14:paraId="62596EFC">
            <w:pPr>
              <w:pStyle w:val="41"/>
              <w:jc w:val="center"/>
              <w:rPr>
                <w:rFonts w:ascii="Times New Roman" w:hAnsi="Times New Roman" w:cs="Times New Roman"/>
                <w:lang w:eastAsia="zh-CN"/>
              </w:rPr>
            </w:pPr>
            <w:r>
              <w:rPr>
                <w:rFonts w:ascii="Times New Roman" w:hAnsi="Times New Roman" w:cs="Times New Roman"/>
                <w:lang w:eastAsia="zh-CN"/>
              </w:rPr>
              <w:t>35</w:t>
            </w:r>
            <w:r>
              <w:rPr>
                <w:rFonts w:hint="eastAsia" w:ascii="Times New Roman" w:hAnsi="Times New Roman" w:cs="Times New Roman"/>
                <w:lang w:eastAsia="zh-CN"/>
              </w:rPr>
              <w:t>.0</w:t>
            </w:r>
          </w:p>
        </w:tc>
      </w:tr>
      <w:tr w14:paraId="4C53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176" w:type="pct"/>
            <w:tcBorders>
              <w:tl2br w:val="nil"/>
              <w:tr2bl w:val="nil"/>
            </w:tcBorders>
            <w:vAlign w:val="center"/>
          </w:tcPr>
          <w:p w14:paraId="3F734E24">
            <w:pPr>
              <w:pStyle w:val="41"/>
              <w:rPr>
                <w:rFonts w:ascii="Times New Roman" w:hAnsi="Times New Roman" w:cs="Times New Roman"/>
                <w:lang w:eastAsia="zh-CN"/>
              </w:rPr>
            </w:pPr>
            <w:r>
              <w:rPr>
                <w:rFonts w:hint="eastAsia" w:ascii="Times New Roman" w:hAnsi="Times New Roman" w:cs="Times New Roman"/>
                <w:lang w:eastAsia="zh-CN"/>
              </w:rPr>
              <w:t>氯化物</w:t>
            </w:r>
            <w:r>
              <w:rPr>
                <w:rFonts w:ascii="Times New Roman" w:hAnsi="Times New Roman" w:cs="Times New Roman"/>
                <w:lang w:eastAsia="zh-CN"/>
              </w:rPr>
              <w:t>（</w:t>
            </w:r>
            <w:r>
              <w:rPr>
                <w:rFonts w:hint="eastAsia" w:ascii="Times New Roman" w:hAnsi="Times New Roman" w:cs="Times New Roman"/>
                <w:lang w:eastAsia="zh-CN"/>
              </w:rPr>
              <w:t>以N</w:t>
            </w:r>
            <w:r>
              <w:rPr>
                <w:rFonts w:ascii="Times New Roman" w:hAnsi="Times New Roman" w:cs="Times New Roman"/>
                <w:lang w:eastAsia="zh-CN"/>
              </w:rPr>
              <w:t>aCl</w:t>
            </w:r>
            <w:r>
              <w:rPr>
                <w:rFonts w:hint="eastAsia" w:ascii="Times New Roman" w:hAnsi="Times New Roman" w:cs="Times New Roman"/>
                <w:lang w:eastAsia="zh-CN"/>
              </w:rPr>
              <w:t>计</w:t>
            </w:r>
            <w:r>
              <w:rPr>
                <w:rFonts w:ascii="Times New Roman" w:hAnsi="Times New Roman" w:cs="Times New Roman"/>
                <w:lang w:eastAsia="zh-CN"/>
              </w:rPr>
              <w:t>）</w:t>
            </w:r>
            <w:r>
              <w:rPr>
                <w:rFonts w:hint="eastAsia" w:ascii="Times New Roman" w:hAnsi="Times New Roman" w:cs="Times New Roman"/>
                <w:lang w:eastAsia="zh-CN"/>
              </w:rPr>
              <w:t>/</w:t>
            </w:r>
            <w:r>
              <w:rPr>
                <w:rFonts w:ascii="Times New Roman" w:hAnsi="Times New Roman" w:cs="Times New Roman"/>
              </w:rPr>
              <w:t xml:space="preserve">（g/100g）     </w:t>
            </w:r>
            <w:r>
              <w:rPr>
                <w:rFonts w:ascii="Times New Roman" w:hAnsi="Times New Roman" w:cs="Times New Roman"/>
                <w:sz w:val="21"/>
                <w:szCs w:val="20"/>
              </w:rPr>
              <w:t xml:space="preserve">   </w:t>
            </w:r>
            <w:r>
              <w:rPr>
                <w:rFonts w:hint="eastAsia" w:ascii="Times New Roman" w:hAnsi="Times New Roman" w:cs="Times New Roman"/>
                <w:sz w:val="21"/>
                <w:szCs w:val="20"/>
                <w:lang w:val="en-US" w:eastAsia="zh-CN"/>
              </w:rPr>
              <w:t>≤</w:t>
            </w:r>
          </w:p>
        </w:tc>
        <w:tc>
          <w:tcPr>
            <w:tcW w:w="2823" w:type="pct"/>
            <w:tcBorders>
              <w:tl2br w:val="nil"/>
              <w:tr2bl w:val="nil"/>
            </w:tcBorders>
            <w:vAlign w:val="center"/>
          </w:tcPr>
          <w:p w14:paraId="4589A387">
            <w:pPr>
              <w:pStyle w:val="41"/>
              <w:jc w:val="center"/>
              <w:rPr>
                <w:rFonts w:ascii="Times New Roman" w:hAnsi="Times New Roman" w:cs="Times New Roman"/>
                <w:lang w:eastAsia="zh-CN"/>
              </w:rPr>
            </w:pPr>
            <w:r>
              <w:rPr>
                <w:rFonts w:ascii="Times New Roman" w:hAnsi="Times New Roman" w:cs="Times New Roman"/>
                <w:lang w:eastAsia="zh-CN"/>
              </w:rPr>
              <w:t>2.5</w:t>
            </w:r>
          </w:p>
        </w:tc>
      </w:tr>
      <w:tr w14:paraId="72DF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176" w:type="pct"/>
            <w:tcBorders>
              <w:tl2br w:val="nil"/>
              <w:tr2bl w:val="nil"/>
            </w:tcBorders>
            <w:vAlign w:val="center"/>
          </w:tcPr>
          <w:p w14:paraId="5902EE2C">
            <w:pPr>
              <w:pStyle w:val="41"/>
              <w:rPr>
                <w:rFonts w:ascii="Times New Roman" w:hAnsi="Times New Roman" w:cs="Times New Roman"/>
                <w:lang w:eastAsia="zh-CN"/>
              </w:rPr>
            </w:pPr>
            <w:r>
              <w:rPr>
                <w:rFonts w:hint="eastAsia" w:ascii="Times New Roman" w:hAnsi="Times New Roman" w:cs="Times New Roman"/>
                <w:lang w:eastAsia="zh-CN"/>
              </w:rPr>
              <w:t>总糖</w:t>
            </w:r>
            <w:r>
              <w:rPr>
                <w:rFonts w:ascii="Times New Roman" w:hAnsi="Times New Roman" w:cs="Times New Roman"/>
                <w:lang w:eastAsia="zh-CN"/>
              </w:rPr>
              <w:t>（</w:t>
            </w:r>
            <w:r>
              <w:rPr>
                <w:rFonts w:hint="eastAsia" w:ascii="Times New Roman" w:hAnsi="Times New Roman" w:cs="Times New Roman"/>
                <w:lang w:eastAsia="zh-CN"/>
              </w:rPr>
              <w:t>以</w:t>
            </w:r>
            <w:r>
              <w:rPr>
                <w:rFonts w:ascii="Times New Roman" w:hAnsi="Times New Roman" w:cs="Times New Roman"/>
                <w:lang w:eastAsia="zh-CN"/>
              </w:rPr>
              <w:t>蔗糖</w:t>
            </w:r>
            <w:r>
              <w:rPr>
                <w:rFonts w:hint="eastAsia" w:ascii="Times New Roman" w:hAnsi="Times New Roman" w:cs="Times New Roman"/>
                <w:lang w:eastAsia="zh-CN"/>
              </w:rPr>
              <w:t>计</w:t>
            </w:r>
            <w:r>
              <w:rPr>
                <w:rFonts w:ascii="Times New Roman" w:hAnsi="Times New Roman" w:cs="Times New Roman"/>
                <w:lang w:eastAsia="zh-CN"/>
              </w:rPr>
              <w:t>）</w:t>
            </w:r>
            <w:r>
              <w:rPr>
                <w:rFonts w:hint="eastAsia" w:ascii="Times New Roman" w:hAnsi="Times New Roman" w:cs="Times New Roman"/>
                <w:lang w:eastAsia="zh-CN"/>
              </w:rPr>
              <w:t>/</w:t>
            </w:r>
            <w:r>
              <w:rPr>
                <w:rFonts w:ascii="Times New Roman" w:hAnsi="Times New Roman" w:cs="Times New Roman"/>
                <w:lang w:eastAsia="zh-CN"/>
              </w:rPr>
              <w:t xml:space="preserve">（g/100g）        </w:t>
            </w:r>
            <w:r>
              <w:rPr>
                <w:rFonts w:ascii="Times New Roman" w:hAnsi="Times New Roman" w:cs="Times New Roman"/>
                <w:sz w:val="21"/>
                <w:szCs w:val="20"/>
                <w:lang w:eastAsia="zh-CN"/>
              </w:rPr>
              <w:t xml:space="preserve">   </w:t>
            </w:r>
            <w:r>
              <w:rPr>
                <w:rFonts w:hint="eastAsia" w:ascii="Times New Roman" w:hAnsi="Times New Roman" w:cs="Times New Roman"/>
                <w:sz w:val="21"/>
                <w:szCs w:val="20"/>
                <w:lang w:val="en-US" w:eastAsia="zh-CN"/>
              </w:rPr>
              <w:t>≤</w:t>
            </w:r>
          </w:p>
        </w:tc>
        <w:tc>
          <w:tcPr>
            <w:tcW w:w="2823" w:type="pct"/>
            <w:tcBorders>
              <w:tl2br w:val="nil"/>
              <w:tr2bl w:val="nil"/>
            </w:tcBorders>
            <w:vAlign w:val="center"/>
          </w:tcPr>
          <w:p w14:paraId="6077E6D9">
            <w:pPr>
              <w:pStyle w:val="41"/>
              <w:jc w:val="center"/>
              <w:rPr>
                <w:rFonts w:ascii="Times New Roman" w:hAnsi="Times New Roman" w:cs="Times New Roman"/>
                <w:lang w:eastAsia="zh-CN"/>
              </w:rPr>
            </w:pPr>
            <w:r>
              <w:rPr>
                <w:rFonts w:ascii="Times New Roman" w:hAnsi="Times New Roman" w:cs="Times New Roman"/>
                <w:lang w:eastAsia="zh-CN"/>
              </w:rPr>
              <w:t>2.5</w:t>
            </w:r>
          </w:p>
        </w:tc>
      </w:tr>
      <w:bookmarkEnd w:id="73"/>
      <w:bookmarkEnd w:id="74"/>
    </w:tbl>
    <w:p w14:paraId="5D75EC22">
      <w:pPr>
        <w:pStyle w:val="22"/>
        <w:spacing w:before="156" w:after="156"/>
        <w:jc w:val="both"/>
      </w:pPr>
      <w:r>
        <w:t>5.3</w:t>
      </w:r>
      <w:r>
        <w:rPr>
          <w:rFonts w:hAnsi="黑体"/>
          <w:szCs w:val="21"/>
        </w:rPr>
        <w:t xml:space="preserve"> </w:t>
      </w:r>
      <w:r>
        <w:rPr>
          <w:rFonts w:hint="eastAsia"/>
        </w:rPr>
        <w:t>净含量</w:t>
      </w:r>
    </w:p>
    <w:p w14:paraId="0FF0B0DB">
      <w:pPr>
        <w:pStyle w:val="20"/>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预包装产品净含量要求符合《定量包装商品计量监督管理办法》的规定。</w:t>
      </w:r>
    </w:p>
    <w:p w14:paraId="26A010C7">
      <w:pPr>
        <w:pStyle w:val="20"/>
        <w:tabs>
          <w:tab w:val="center" w:pos="4201"/>
          <w:tab w:val="right" w:leader="dot" w:pos="9298"/>
        </w:tabs>
        <w:autoSpaceDE/>
        <w:autoSpaceDN/>
        <w:spacing w:before="312" w:beforeLines="100" w:after="312" w:afterLines="100"/>
        <w:rPr>
          <w:rFonts w:ascii="黑体" w:eastAsia="黑体"/>
          <w:szCs w:val="21"/>
        </w:rPr>
      </w:pPr>
      <w:r>
        <w:rPr>
          <w:rFonts w:ascii="黑体" w:eastAsia="黑体"/>
          <w:szCs w:val="21"/>
        </w:rPr>
        <w:t>6</w:t>
      </w:r>
      <w:r>
        <w:rPr>
          <w:rFonts w:hint="eastAsia" w:ascii="黑体" w:eastAsia="黑体"/>
          <w:szCs w:val="21"/>
        </w:rPr>
        <w:t xml:space="preserve"> 生产</w:t>
      </w:r>
      <w:r>
        <w:rPr>
          <w:rFonts w:ascii="黑体" w:eastAsia="黑体"/>
          <w:szCs w:val="21"/>
        </w:rPr>
        <w:t>加工管理</w:t>
      </w:r>
    </w:p>
    <w:p w14:paraId="215CD296">
      <w:pPr>
        <w:pStyle w:val="20"/>
        <w:rPr>
          <w:rFonts w:asciiTheme="minorEastAsia" w:hAnsiTheme="minorEastAsia" w:eastAsiaTheme="minorEastAsia"/>
          <w:szCs w:val="21"/>
        </w:rPr>
      </w:pPr>
      <w:r>
        <w:rPr>
          <w:rFonts w:hint="eastAsia" w:ascii="黑体" w:hAnsi="黑体" w:eastAsia="黑体" w:cs="黑体"/>
          <w:szCs w:val="21"/>
        </w:rPr>
        <w:t xml:space="preserve">6.1 </w:t>
      </w:r>
      <w:r>
        <w:rPr>
          <w:rFonts w:hint="eastAsia" w:asciiTheme="minorEastAsia" w:hAnsiTheme="minorEastAsia" w:eastAsiaTheme="minorEastAsia"/>
          <w:szCs w:val="21"/>
        </w:rPr>
        <w:t>应</w:t>
      </w:r>
      <w:r>
        <w:rPr>
          <w:rFonts w:asciiTheme="minorEastAsia" w:hAnsiTheme="minorEastAsia" w:eastAsiaTheme="minorEastAsia"/>
          <w:szCs w:val="21"/>
        </w:rPr>
        <w:t>符合相应的国家标准或行业标准的有关规定</w:t>
      </w:r>
      <w:r>
        <w:rPr>
          <w:rFonts w:hint="eastAsia" w:asciiTheme="minorEastAsia" w:hAnsiTheme="minorEastAsia" w:eastAsiaTheme="minorEastAsia"/>
          <w:szCs w:val="21"/>
        </w:rPr>
        <w:t>。</w:t>
      </w:r>
    </w:p>
    <w:p w14:paraId="4D0A85D8">
      <w:pPr>
        <w:pStyle w:val="20"/>
        <w:rPr>
          <w:rFonts w:asciiTheme="minorEastAsia" w:hAnsiTheme="minorEastAsia" w:eastAsiaTheme="minorEastAsia"/>
          <w:szCs w:val="21"/>
        </w:rPr>
      </w:pPr>
      <w:r>
        <w:rPr>
          <w:rFonts w:hint="eastAsia" w:ascii="黑体" w:hAnsi="黑体" w:eastAsia="黑体" w:cs="黑体"/>
          <w:szCs w:val="21"/>
        </w:rPr>
        <w:t xml:space="preserve">6.2 </w:t>
      </w:r>
      <w:r>
        <w:rPr>
          <w:rFonts w:hint="eastAsia" w:asciiTheme="minorEastAsia" w:hAnsiTheme="minorEastAsia" w:eastAsiaTheme="minorEastAsia"/>
          <w:szCs w:val="21"/>
        </w:rPr>
        <w:t>风干过程应</w:t>
      </w:r>
      <w:r>
        <w:rPr>
          <w:rFonts w:hint="eastAsia" w:asciiTheme="minorEastAsia" w:hAnsiTheme="minorEastAsia" w:eastAsiaTheme="minorEastAsia"/>
          <w:szCs w:val="21"/>
          <w:lang w:val="en-US" w:eastAsia="zh-CN"/>
        </w:rPr>
        <w:t>采用</w:t>
      </w:r>
      <w:r>
        <w:rPr>
          <w:rFonts w:asciiTheme="minorEastAsia" w:hAnsiTheme="minorEastAsia" w:eastAsiaTheme="minorEastAsia"/>
          <w:szCs w:val="21"/>
        </w:rPr>
        <w:t>自然风干，不</w:t>
      </w:r>
      <w:r>
        <w:rPr>
          <w:rFonts w:hint="eastAsia" w:asciiTheme="minorEastAsia" w:hAnsiTheme="minorEastAsia" w:eastAsiaTheme="minorEastAsia"/>
          <w:szCs w:val="21"/>
          <w:lang w:val="en-US" w:eastAsia="zh-CN"/>
        </w:rPr>
        <w:t>应</w:t>
      </w:r>
      <w:r>
        <w:rPr>
          <w:rFonts w:hint="eastAsia" w:asciiTheme="minorEastAsia" w:hAnsiTheme="minorEastAsia" w:eastAsiaTheme="minorEastAsia"/>
          <w:szCs w:val="21"/>
        </w:rPr>
        <w:t>使用</w:t>
      </w:r>
      <w:r>
        <w:rPr>
          <w:rFonts w:asciiTheme="minorEastAsia" w:hAnsiTheme="minorEastAsia" w:eastAsiaTheme="minorEastAsia"/>
          <w:szCs w:val="21"/>
        </w:rPr>
        <w:t>外</w:t>
      </w:r>
      <w:r>
        <w:rPr>
          <w:rFonts w:hint="eastAsia" w:asciiTheme="minorEastAsia" w:hAnsiTheme="minorEastAsia" w:eastAsiaTheme="minorEastAsia"/>
          <w:szCs w:val="21"/>
        </w:rPr>
        <w:t>部</w:t>
      </w:r>
      <w:r>
        <w:rPr>
          <w:rFonts w:asciiTheme="minorEastAsia" w:hAnsiTheme="minorEastAsia" w:eastAsiaTheme="minorEastAsia"/>
          <w:szCs w:val="21"/>
        </w:rPr>
        <w:t>加热设备</w:t>
      </w:r>
      <w:r>
        <w:rPr>
          <w:rFonts w:hint="eastAsia" w:asciiTheme="minorEastAsia" w:hAnsiTheme="minorEastAsia" w:eastAsiaTheme="minorEastAsia"/>
          <w:szCs w:val="21"/>
        </w:rPr>
        <w:t>干预</w:t>
      </w:r>
      <w:r>
        <w:rPr>
          <w:rFonts w:asciiTheme="minorEastAsia" w:hAnsiTheme="minorEastAsia" w:eastAsiaTheme="minorEastAsia"/>
          <w:szCs w:val="21"/>
        </w:rPr>
        <w:t>风干过程</w:t>
      </w:r>
      <w:r>
        <w:rPr>
          <w:rFonts w:hint="eastAsia" w:asciiTheme="minorEastAsia" w:hAnsiTheme="minorEastAsia" w:eastAsiaTheme="minorEastAsia"/>
          <w:szCs w:val="21"/>
        </w:rPr>
        <w:t>。</w:t>
      </w:r>
    </w:p>
    <w:p w14:paraId="02D8923F">
      <w:pPr>
        <w:pStyle w:val="20"/>
        <w:rPr>
          <w:rFonts w:ascii="Times New Roman" w:hAnsi="Times New Roman" w:eastAsiaTheme="minorEastAsia"/>
          <w:szCs w:val="21"/>
        </w:rPr>
      </w:pPr>
      <w:r>
        <w:rPr>
          <w:rFonts w:hint="eastAsia" w:ascii="黑体" w:hAnsi="黑体" w:eastAsia="黑体" w:cs="黑体"/>
          <w:szCs w:val="21"/>
        </w:rPr>
        <w:t xml:space="preserve">6.3 </w:t>
      </w:r>
      <w:r>
        <w:rPr>
          <w:rFonts w:asciiTheme="minorEastAsia" w:hAnsiTheme="minorEastAsia" w:eastAsiaTheme="minorEastAsia"/>
          <w:szCs w:val="21"/>
        </w:rPr>
        <w:t>风干时间不</w:t>
      </w:r>
      <w:r>
        <w:rPr>
          <w:rFonts w:ascii="Times New Roman" w:hAnsi="Times New Roman" w:eastAsiaTheme="minorEastAsia"/>
          <w:szCs w:val="21"/>
        </w:rPr>
        <w:t>少于</w:t>
      </w:r>
      <w:r>
        <w:rPr>
          <w:rFonts w:hint="default" w:ascii="Times New Roman" w:hAnsi="Times New Roman" w:eastAsiaTheme="minorEastAsia"/>
          <w:szCs w:val="21"/>
        </w:rPr>
        <w:t>24小时</w:t>
      </w:r>
      <w:r>
        <w:rPr>
          <w:rFonts w:ascii="Times New Roman" w:hAnsi="Times New Roman" w:eastAsiaTheme="minorEastAsia"/>
          <w:szCs w:val="21"/>
        </w:rPr>
        <w:t>。</w:t>
      </w:r>
    </w:p>
    <w:p w14:paraId="337BBBD9">
      <w:pPr>
        <w:pStyle w:val="20"/>
        <w:rPr>
          <w:rFonts w:hint="eastAsia" w:asciiTheme="minorEastAsia" w:hAnsiTheme="minorEastAsia" w:eastAsiaTheme="minorEastAsia"/>
          <w:szCs w:val="21"/>
        </w:rPr>
      </w:pPr>
      <w:r>
        <w:rPr>
          <w:rFonts w:hint="eastAsia" w:ascii="黑体" w:hAnsi="黑体" w:eastAsia="黑体" w:cs="黑体"/>
          <w:szCs w:val="21"/>
        </w:rPr>
        <w:t>6.4</w:t>
      </w:r>
      <w:r>
        <w:rPr>
          <w:rFonts w:hint="eastAsia" w:asciiTheme="minorEastAsia" w:hAnsiTheme="minorEastAsia" w:eastAsiaTheme="minorEastAsia"/>
          <w:szCs w:val="21"/>
        </w:rPr>
        <w:t xml:space="preserve"> 烘烤</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油炸</w:t>
      </w:r>
      <w:r>
        <w:rPr>
          <w:rFonts w:asciiTheme="minorEastAsia" w:hAnsiTheme="minorEastAsia" w:eastAsiaTheme="minorEastAsia"/>
          <w:szCs w:val="21"/>
        </w:rPr>
        <w:t>温度</w:t>
      </w:r>
      <w:r>
        <w:rPr>
          <w:rFonts w:hint="eastAsia" w:asciiTheme="minorEastAsia" w:hAnsiTheme="minorEastAsia" w:eastAsiaTheme="minorEastAsia"/>
          <w:szCs w:val="21"/>
        </w:rPr>
        <w:t>宜控制在140</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160</w:t>
      </w:r>
      <w:r>
        <w:rPr>
          <w:rFonts w:hint="eastAsia" w:asciiTheme="minorEastAsia" w:hAnsiTheme="minorEastAsia" w:eastAsiaTheme="minorEastAsia"/>
          <w:szCs w:val="21"/>
          <w:lang w:val="en-US" w:eastAsia="zh-CN"/>
        </w:rPr>
        <w:t xml:space="preserve"> </w:t>
      </w:r>
      <w:r>
        <w:rPr>
          <w:rFonts w:hint="eastAsia" w:asciiTheme="minorEastAsia" w:hAnsiTheme="minorEastAsia" w:eastAsiaTheme="minorEastAsia"/>
          <w:szCs w:val="21"/>
        </w:rPr>
        <w:t>℃</w:t>
      </w:r>
      <w:r>
        <w:rPr>
          <w:rFonts w:asciiTheme="minorEastAsia" w:hAnsiTheme="minorEastAsia" w:eastAsiaTheme="minorEastAsia"/>
          <w:szCs w:val="21"/>
        </w:rPr>
        <w:t>。</w:t>
      </w:r>
    </w:p>
    <w:p w14:paraId="1FBD7663">
      <w:pPr>
        <w:pStyle w:val="20"/>
        <w:tabs>
          <w:tab w:val="center" w:pos="4201"/>
          <w:tab w:val="right" w:leader="dot" w:pos="9298"/>
        </w:tabs>
        <w:autoSpaceDE/>
        <w:autoSpaceDN/>
        <w:spacing w:before="312" w:beforeLines="100" w:after="312" w:afterLines="100"/>
        <w:rPr>
          <w:rFonts w:ascii="黑体" w:eastAsia="黑体"/>
          <w:szCs w:val="21"/>
        </w:rPr>
      </w:pPr>
      <w:r>
        <w:rPr>
          <w:rFonts w:ascii="黑体" w:eastAsia="黑体"/>
          <w:szCs w:val="21"/>
        </w:rPr>
        <w:t>7</w:t>
      </w:r>
      <w:r>
        <w:rPr>
          <w:rFonts w:hint="eastAsia" w:ascii="黑体" w:eastAsia="黑体"/>
          <w:szCs w:val="21"/>
        </w:rPr>
        <w:t xml:space="preserve"> 检验方法</w:t>
      </w:r>
    </w:p>
    <w:p w14:paraId="4273699D">
      <w:pPr>
        <w:autoSpaceDE w:val="0"/>
        <w:autoSpaceDN w:val="0"/>
        <w:adjustRightInd w:val="0"/>
        <w:spacing w:before="156" w:beforeLines="50" w:after="156" w:afterLines="50"/>
        <w:jc w:val="left"/>
        <w:rPr>
          <w:rFonts w:ascii="黑体" w:hAnsi="黑体" w:eastAsia="黑体"/>
          <w:kern w:val="0"/>
          <w:szCs w:val="21"/>
        </w:rPr>
      </w:pPr>
      <w:bookmarkStart w:id="77" w:name="OLE_LINK14"/>
      <w:bookmarkStart w:id="78" w:name="_Toc23338846"/>
      <w:bookmarkStart w:id="79" w:name="_Toc23260658"/>
      <w:bookmarkStart w:id="80" w:name="_Toc23432744"/>
      <w:bookmarkStart w:id="81" w:name="_Toc23260343"/>
      <w:bookmarkStart w:id="82" w:name="_Toc24537630"/>
      <w:bookmarkStart w:id="83" w:name="_Toc23257387"/>
      <w:bookmarkStart w:id="84" w:name="_Toc23255881"/>
      <w:bookmarkStart w:id="85" w:name="_Toc23529086"/>
      <w:bookmarkStart w:id="86" w:name="_Toc23331628"/>
      <w:bookmarkStart w:id="87" w:name="_Toc23258292"/>
      <w:r>
        <w:rPr>
          <w:rFonts w:ascii="黑体" w:hAnsi="黑体" w:eastAsia="黑体"/>
          <w:kern w:val="0"/>
          <w:szCs w:val="21"/>
        </w:rPr>
        <w:t>7</w:t>
      </w:r>
      <w:r>
        <w:rPr>
          <w:rFonts w:hint="eastAsia" w:ascii="黑体" w:hAnsi="黑体" w:eastAsia="黑体"/>
          <w:kern w:val="0"/>
          <w:szCs w:val="21"/>
        </w:rPr>
        <w:t xml:space="preserve">.1 </w:t>
      </w:r>
      <w:bookmarkStart w:id="88" w:name="OLE_LINK27"/>
      <w:r>
        <w:rPr>
          <w:rFonts w:hint="eastAsia" w:ascii="黑体" w:hAnsi="黑体" w:eastAsia="黑体"/>
          <w:kern w:val="0"/>
          <w:szCs w:val="21"/>
        </w:rPr>
        <w:t>感官</w:t>
      </w:r>
      <w:bookmarkEnd w:id="88"/>
      <w:bookmarkStart w:id="89" w:name="OLE_LINK15"/>
      <w:r>
        <w:rPr>
          <w:rFonts w:hint="eastAsia" w:ascii="黑体" w:hAnsi="黑体" w:eastAsia="黑体"/>
          <w:kern w:val="0"/>
          <w:szCs w:val="21"/>
        </w:rPr>
        <w:t>检验</w:t>
      </w:r>
    </w:p>
    <w:bookmarkEnd w:id="77"/>
    <w:bookmarkEnd w:id="89"/>
    <w:p w14:paraId="60A787F8">
      <w:pPr>
        <w:autoSpaceDE w:val="0"/>
        <w:autoSpaceDN w:val="0"/>
        <w:adjustRightInd w:val="0"/>
        <w:spacing w:before="156" w:after="156"/>
        <w:ind w:firstLine="525" w:firstLineChars="250"/>
        <w:jc w:val="left"/>
        <w:rPr>
          <w:rFonts w:asciiTheme="minorEastAsia" w:hAnsiTheme="minorEastAsia" w:eastAsiaTheme="minorEastAsia"/>
        </w:rPr>
      </w:pPr>
      <w:r>
        <w:rPr>
          <w:rFonts w:asciiTheme="minorEastAsia" w:hAnsiTheme="minorEastAsia" w:eastAsiaTheme="minorEastAsia"/>
        </w:rPr>
        <w:t>取</w:t>
      </w:r>
      <w:r>
        <w:rPr>
          <w:rFonts w:hint="eastAsia" w:asciiTheme="minorEastAsia" w:hAnsiTheme="minorEastAsia" w:eastAsiaTheme="minorEastAsia"/>
        </w:rPr>
        <w:t>样品置于</w:t>
      </w:r>
      <w:r>
        <w:rPr>
          <w:rFonts w:asciiTheme="minorEastAsia" w:hAnsiTheme="minorEastAsia" w:eastAsiaTheme="minorEastAsia"/>
        </w:rPr>
        <w:t>白色器皿内，在自然光照下，由正常视力观察其形态、色泽和杂质，嗅其气味，尝其滋味</w:t>
      </w:r>
      <w:r>
        <w:rPr>
          <w:rFonts w:hint="eastAsia" w:asciiTheme="minorEastAsia" w:hAnsiTheme="minorEastAsia" w:eastAsiaTheme="minorEastAsia"/>
        </w:rPr>
        <w:t>。</w:t>
      </w:r>
    </w:p>
    <w:p w14:paraId="1618306E">
      <w:pPr>
        <w:pStyle w:val="21"/>
        <w:numPr>
          <w:ilvl w:val="1"/>
          <w:numId w:val="0"/>
        </w:numPr>
        <w:spacing w:before="156" w:beforeLines="50" w:after="156" w:afterLines="50"/>
        <w:rPr>
          <w:rFonts w:ascii="黑体" w:hAnsi="黑体"/>
          <w:szCs w:val="21"/>
        </w:rPr>
      </w:pPr>
      <w:r>
        <w:rPr>
          <w:rFonts w:ascii="黑体" w:hAnsi="黑体"/>
          <w:szCs w:val="21"/>
        </w:rPr>
        <w:t>7</w:t>
      </w:r>
      <w:r>
        <w:rPr>
          <w:rFonts w:hint="eastAsia" w:ascii="黑体" w:hAnsi="黑体"/>
          <w:szCs w:val="21"/>
        </w:rPr>
        <w:t>.2 理化检验</w:t>
      </w:r>
    </w:p>
    <w:p w14:paraId="39069EB0">
      <w:pPr>
        <w:pStyle w:val="21"/>
        <w:numPr>
          <w:ilvl w:val="1"/>
          <w:numId w:val="0"/>
        </w:numPr>
        <w:spacing w:before="156" w:after="156"/>
        <w:rPr>
          <w:rFonts w:ascii="黑体" w:hAnsi="黑体"/>
          <w:szCs w:val="21"/>
        </w:rPr>
      </w:pPr>
      <w:r>
        <w:rPr>
          <w:rFonts w:ascii="黑体" w:hAnsi="黑体"/>
          <w:szCs w:val="21"/>
        </w:rPr>
        <w:t>7</w:t>
      </w:r>
      <w:r>
        <w:rPr>
          <w:rFonts w:hint="eastAsia" w:ascii="黑体" w:hAnsi="黑体"/>
          <w:szCs w:val="21"/>
        </w:rPr>
        <w:t>.2.1</w:t>
      </w:r>
      <w:r>
        <w:rPr>
          <w:rFonts w:ascii="黑体" w:hAnsi="黑体"/>
          <w:szCs w:val="21"/>
        </w:rPr>
        <w:t xml:space="preserve"> </w:t>
      </w:r>
      <w:r>
        <w:rPr>
          <w:rFonts w:hint="eastAsia" w:ascii="黑体" w:hAnsi="黑体"/>
          <w:szCs w:val="21"/>
        </w:rPr>
        <w:t>水分</w:t>
      </w:r>
    </w:p>
    <w:p w14:paraId="4E029EA7">
      <w:pPr>
        <w:pStyle w:val="20"/>
        <w:ind w:firstLine="420"/>
        <w:rPr>
          <w:rFonts w:ascii="Times New Roman"/>
        </w:rPr>
      </w:pPr>
      <w:r>
        <w:rPr>
          <w:rFonts w:hint="default" w:ascii="Times New Roman" w:cs="Times New Roman"/>
          <w:szCs w:val="21"/>
        </w:rPr>
        <w:t>按</w:t>
      </w:r>
      <w:r>
        <w:rPr>
          <w:rFonts w:ascii="Times New Roman"/>
          <w:szCs w:val="21"/>
        </w:rPr>
        <w:t>GB 5009.3</w:t>
      </w:r>
      <w:r>
        <w:rPr>
          <w:rFonts w:hint="default" w:ascii="Times New Roman" w:cs="Times New Roman"/>
          <w:szCs w:val="21"/>
        </w:rPr>
        <w:t>规定的方法测定。</w:t>
      </w:r>
    </w:p>
    <w:p w14:paraId="46BDAED1">
      <w:pPr>
        <w:pStyle w:val="21"/>
        <w:numPr>
          <w:ilvl w:val="1"/>
          <w:numId w:val="0"/>
        </w:numPr>
        <w:spacing w:before="156" w:after="156"/>
        <w:rPr>
          <w:rFonts w:ascii="黑体" w:hAnsi="黑体"/>
          <w:szCs w:val="21"/>
        </w:rPr>
      </w:pPr>
      <w:r>
        <w:rPr>
          <w:rFonts w:ascii="黑体" w:hAnsi="黑体"/>
          <w:szCs w:val="21"/>
        </w:rPr>
        <w:t>7</w:t>
      </w:r>
      <w:r>
        <w:rPr>
          <w:rFonts w:hint="eastAsia" w:ascii="黑体" w:hAnsi="黑体"/>
          <w:szCs w:val="21"/>
        </w:rPr>
        <w:t>.2.2</w:t>
      </w:r>
      <w:r>
        <w:rPr>
          <w:rFonts w:ascii="黑体" w:hAnsi="黑体"/>
          <w:szCs w:val="21"/>
        </w:rPr>
        <w:t xml:space="preserve"> </w:t>
      </w:r>
      <w:r>
        <w:rPr>
          <w:rFonts w:hint="eastAsia" w:ascii="黑体" w:hAnsi="黑体"/>
          <w:szCs w:val="21"/>
        </w:rPr>
        <w:t>脂肪</w:t>
      </w:r>
    </w:p>
    <w:p w14:paraId="063D0425">
      <w:pPr>
        <w:pStyle w:val="20"/>
        <w:ind w:firstLine="420"/>
        <w:rPr>
          <w:rFonts w:ascii="Times New Roman" w:cs="Times New Roman"/>
          <w:szCs w:val="21"/>
        </w:rPr>
      </w:pPr>
      <w:r>
        <w:rPr>
          <w:rFonts w:hint="default" w:ascii="Times New Roman" w:cs="Times New Roman"/>
          <w:szCs w:val="21"/>
        </w:rPr>
        <w:t>按</w:t>
      </w:r>
      <w:r>
        <w:rPr>
          <w:rFonts w:ascii="Times New Roman"/>
          <w:szCs w:val="21"/>
        </w:rPr>
        <w:t>GB 5009.6</w:t>
      </w:r>
      <w:r>
        <w:rPr>
          <w:rFonts w:hint="default" w:ascii="Times New Roman" w:cs="Times New Roman"/>
          <w:szCs w:val="21"/>
        </w:rPr>
        <w:t>规定</w:t>
      </w:r>
      <w:r>
        <w:rPr>
          <w:rFonts w:ascii="Times New Roman" w:cs="Times New Roman"/>
          <w:szCs w:val="21"/>
        </w:rPr>
        <w:t>的方法测定。</w:t>
      </w:r>
    </w:p>
    <w:p w14:paraId="558D48E7">
      <w:pPr>
        <w:pStyle w:val="21"/>
        <w:numPr>
          <w:ilvl w:val="1"/>
          <w:numId w:val="0"/>
        </w:numPr>
        <w:spacing w:before="156" w:after="156"/>
        <w:rPr>
          <w:rFonts w:ascii="黑体" w:hAnsi="黑体"/>
          <w:szCs w:val="21"/>
        </w:rPr>
      </w:pPr>
      <w:r>
        <w:rPr>
          <w:rFonts w:ascii="黑体" w:hAnsi="黑体"/>
          <w:szCs w:val="21"/>
        </w:rPr>
        <w:t xml:space="preserve">7.2.3 </w:t>
      </w:r>
      <w:r>
        <w:rPr>
          <w:rFonts w:hint="eastAsia" w:ascii="黑体" w:hAnsi="黑体"/>
          <w:szCs w:val="21"/>
        </w:rPr>
        <w:t>蛋白质</w:t>
      </w:r>
    </w:p>
    <w:p w14:paraId="2832B6C3">
      <w:pPr>
        <w:pStyle w:val="20"/>
        <w:ind w:firstLine="420"/>
        <w:rPr>
          <w:rFonts w:ascii="Times New Roman" w:cs="Times New Roman"/>
          <w:szCs w:val="21"/>
        </w:rPr>
      </w:pPr>
      <w:r>
        <w:rPr>
          <w:rFonts w:hint="default" w:ascii="Times New Roman" w:cs="Times New Roman"/>
          <w:szCs w:val="21"/>
        </w:rPr>
        <w:t>按</w:t>
      </w:r>
      <w:r>
        <w:rPr>
          <w:rFonts w:hint="default" w:ascii="Times New Roman"/>
          <w:szCs w:val="21"/>
        </w:rPr>
        <w:t>GB 5009.5</w:t>
      </w:r>
      <w:r>
        <w:rPr>
          <w:rFonts w:hint="default" w:ascii="Times New Roman" w:cs="Times New Roman"/>
          <w:szCs w:val="21"/>
        </w:rPr>
        <w:t>规定的方法测定。</w:t>
      </w:r>
    </w:p>
    <w:p w14:paraId="656418A3">
      <w:pPr>
        <w:pStyle w:val="21"/>
        <w:numPr>
          <w:ilvl w:val="1"/>
          <w:numId w:val="0"/>
        </w:numPr>
        <w:spacing w:before="156" w:after="156"/>
        <w:rPr>
          <w:rFonts w:ascii="黑体" w:hAnsi="黑体"/>
          <w:szCs w:val="21"/>
        </w:rPr>
      </w:pPr>
      <w:r>
        <w:rPr>
          <w:rFonts w:ascii="黑体" w:hAnsi="黑体"/>
          <w:szCs w:val="21"/>
        </w:rPr>
        <w:t>7</w:t>
      </w:r>
      <w:r>
        <w:rPr>
          <w:rFonts w:hint="eastAsia" w:ascii="黑体" w:hAnsi="黑体"/>
          <w:szCs w:val="21"/>
        </w:rPr>
        <w:t>.2.4</w:t>
      </w:r>
      <w:r>
        <w:rPr>
          <w:rFonts w:ascii="黑体" w:hAnsi="黑体"/>
          <w:szCs w:val="21"/>
        </w:rPr>
        <w:t xml:space="preserve"> </w:t>
      </w:r>
      <w:r>
        <w:rPr>
          <w:rFonts w:hint="eastAsia" w:ascii="黑体" w:hAnsi="黑体"/>
          <w:szCs w:val="21"/>
        </w:rPr>
        <w:t>氯化物</w:t>
      </w:r>
    </w:p>
    <w:p w14:paraId="4C121070">
      <w:pPr>
        <w:pStyle w:val="20"/>
        <w:ind w:firstLine="420"/>
        <w:rPr>
          <w:rFonts w:ascii="Times New Roman"/>
          <w:szCs w:val="21"/>
        </w:rPr>
      </w:pPr>
      <w:r>
        <w:rPr>
          <w:rFonts w:hint="default" w:ascii="Times New Roman" w:cs="Times New Roman"/>
          <w:szCs w:val="21"/>
        </w:rPr>
        <w:t>按</w:t>
      </w:r>
      <w:r>
        <w:rPr>
          <w:rFonts w:hint="default" w:ascii="Times New Roman"/>
          <w:szCs w:val="21"/>
        </w:rPr>
        <w:t>GB 5009.</w:t>
      </w:r>
      <w:r>
        <w:rPr>
          <w:rFonts w:ascii="Times New Roman"/>
          <w:szCs w:val="21"/>
        </w:rPr>
        <w:t>44</w:t>
      </w:r>
      <w:r>
        <w:rPr>
          <w:rFonts w:hint="default" w:ascii="Times New Roman" w:cs="Times New Roman"/>
          <w:szCs w:val="21"/>
        </w:rPr>
        <w:t>规定的方法测定。</w:t>
      </w:r>
    </w:p>
    <w:p w14:paraId="16BDC79C">
      <w:pPr>
        <w:pStyle w:val="21"/>
        <w:numPr>
          <w:ilvl w:val="1"/>
          <w:numId w:val="0"/>
        </w:numPr>
        <w:spacing w:before="156" w:after="156"/>
        <w:rPr>
          <w:rFonts w:ascii="黑体" w:hAnsi="黑体"/>
          <w:szCs w:val="21"/>
        </w:rPr>
      </w:pPr>
      <w:r>
        <w:rPr>
          <w:rFonts w:ascii="黑体" w:hAnsi="黑体"/>
          <w:szCs w:val="21"/>
        </w:rPr>
        <w:t>7</w:t>
      </w:r>
      <w:r>
        <w:rPr>
          <w:rFonts w:hint="eastAsia" w:ascii="黑体" w:hAnsi="黑体"/>
          <w:szCs w:val="21"/>
        </w:rPr>
        <w:t>.2.</w:t>
      </w:r>
      <w:r>
        <w:rPr>
          <w:rFonts w:ascii="黑体" w:hAnsi="黑体"/>
          <w:szCs w:val="21"/>
        </w:rPr>
        <w:t xml:space="preserve">5 </w:t>
      </w:r>
      <w:r>
        <w:rPr>
          <w:rFonts w:hint="eastAsia" w:ascii="黑体" w:hAnsi="黑体"/>
          <w:szCs w:val="21"/>
        </w:rPr>
        <w:t>总糖</w:t>
      </w:r>
    </w:p>
    <w:p w14:paraId="099F60A6">
      <w:pPr>
        <w:pStyle w:val="20"/>
        <w:ind w:firstLine="420"/>
        <w:rPr>
          <w:rFonts w:ascii="Times New Roman"/>
          <w:szCs w:val="21"/>
        </w:rPr>
      </w:pPr>
      <w:r>
        <w:rPr>
          <w:rFonts w:hint="default" w:ascii="Times New Roman" w:cs="Times New Roman"/>
          <w:szCs w:val="21"/>
        </w:rPr>
        <w:t>按</w:t>
      </w:r>
      <w:r>
        <w:rPr>
          <w:rFonts w:hint="default" w:ascii="Times New Roman"/>
          <w:szCs w:val="21"/>
        </w:rPr>
        <w:t>GB</w:t>
      </w:r>
      <w:r>
        <w:rPr>
          <w:rFonts w:ascii="Times New Roman"/>
          <w:szCs w:val="21"/>
        </w:rPr>
        <w:t>/T</w:t>
      </w:r>
      <w:r>
        <w:rPr>
          <w:rFonts w:hint="default" w:ascii="Times New Roman"/>
          <w:szCs w:val="21"/>
        </w:rPr>
        <w:t xml:space="preserve"> 9695.31</w:t>
      </w:r>
      <w:r>
        <w:rPr>
          <w:rFonts w:hint="default" w:ascii="Times New Roman" w:cs="Times New Roman"/>
          <w:szCs w:val="21"/>
        </w:rPr>
        <w:t>规定的方法测定。</w:t>
      </w:r>
    </w:p>
    <w:p w14:paraId="76F4F93B">
      <w:pPr>
        <w:pStyle w:val="24"/>
        <w:numPr>
          <w:ilvl w:val="255"/>
          <w:numId w:val="0"/>
        </w:numPr>
        <w:tabs>
          <w:tab w:val="left" w:pos="360"/>
        </w:tabs>
        <w:spacing w:before="156" w:beforeLines="50" w:after="156" w:afterLines="50"/>
      </w:pPr>
      <w:r>
        <w:rPr>
          <w:rFonts w:ascii="黑体" w:hAnsi="黑体" w:eastAsia="宋体" w:cs="黑体"/>
          <w:color w:val="000000"/>
          <w:kern w:val="0"/>
        </w:rPr>
        <w:t>7.3</w:t>
      </w:r>
      <w:r>
        <w:rPr>
          <w:rFonts w:ascii="黑体" w:hAnsi="黑体"/>
          <w:kern w:val="0"/>
          <w:szCs w:val="21"/>
        </w:rPr>
        <w:t xml:space="preserve"> </w:t>
      </w:r>
      <w:r>
        <w:t>净含量</w:t>
      </w:r>
    </w:p>
    <w:p w14:paraId="2F0A400D">
      <w:pPr>
        <w:pStyle w:val="20"/>
        <w:numPr>
          <w:ilvl w:val="-1"/>
          <w:numId w:val="0"/>
        </w:numPr>
        <w:ind w:firstLine="420"/>
        <w:rPr>
          <w:rFonts w:ascii="Times New Roman"/>
          <w:szCs w:val="21"/>
        </w:rPr>
      </w:pPr>
      <w:r>
        <w:rPr>
          <w:rFonts w:hint="default" w:ascii="Times New Roman"/>
          <w:szCs w:val="21"/>
        </w:rPr>
        <w:t>按</w:t>
      </w:r>
      <w:r>
        <w:rPr>
          <w:rFonts w:ascii="Times New Roman"/>
          <w:szCs w:val="21"/>
          <w:lang w:eastAsia="zh-Hans"/>
        </w:rPr>
        <w:t>JJF</w:t>
      </w:r>
      <w:bookmarkStart w:id="90" w:name="OLE_LINK22"/>
      <w:r>
        <w:rPr>
          <w:rFonts w:ascii="Times New Roman"/>
          <w:szCs w:val="21"/>
          <w:lang w:eastAsia="zh-Hans"/>
        </w:rPr>
        <w:t xml:space="preserve"> 1070</w:t>
      </w:r>
      <w:bookmarkEnd w:id="90"/>
      <w:r>
        <w:rPr>
          <w:rFonts w:hint="default" w:ascii="Times New Roman"/>
          <w:szCs w:val="21"/>
        </w:rPr>
        <w:t>规定的方法测定。</w:t>
      </w:r>
    </w:p>
    <w:p w14:paraId="3747F0B0">
      <w:pPr>
        <w:pStyle w:val="20"/>
        <w:tabs>
          <w:tab w:val="center" w:pos="4201"/>
          <w:tab w:val="right" w:leader="dot" w:pos="9298"/>
        </w:tabs>
        <w:spacing w:before="312" w:beforeLines="100" w:after="312" w:afterLines="100"/>
        <w:rPr>
          <w:rFonts w:ascii="黑体" w:eastAsia="黑体"/>
          <w:szCs w:val="21"/>
        </w:rPr>
      </w:pPr>
      <w:r>
        <w:rPr>
          <w:rFonts w:ascii="黑体" w:eastAsia="黑体"/>
          <w:szCs w:val="21"/>
        </w:rPr>
        <w:t>8</w:t>
      </w:r>
      <w:r>
        <w:rPr>
          <w:rFonts w:hint="eastAsia" w:ascii="黑体" w:eastAsia="黑体"/>
          <w:szCs w:val="21"/>
        </w:rPr>
        <w:t xml:space="preserve"> 检验规则</w:t>
      </w:r>
    </w:p>
    <w:p w14:paraId="5DE97218">
      <w:pPr>
        <w:pStyle w:val="24"/>
        <w:numPr>
          <w:ilvl w:val="2"/>
          <w:numId w:val="0"/>
        </w:numPr>
        <w:spacing w:before="156" w:after="156"/>
        <w:rPr>
          <w:rFonts w:ascii="黑体"/>
          <w:szCs w:val="21"/>
        </w:rPr>
      </w:pPr>
      <w:r>
        <w:rPr>
          <w:rFonts w:ascii="黑体"/>
          <w:szCs w:val="21"/>
        </w:rPr>
        <w:t>8</w:t>
      </w:r>
      <w:r>
        <w:rPr>
          <w:rFonts w:hint="eastAsia" w:ascii="黑体"/>
          <w:szCs w:val="21"/>
        </w:rPr>
        <w:t>.1</w:t>
      </w:r>
      <w:r>
        <w:rPr>
          <w:rFonts w:ascii="黑体" w:hAnsi="黑体"/>
          <w:kern w:val="0"/>
          <w:szCs w:val="21"/>
        </w:rPr>
        <w:t xml:space="preserve"> </w:t>
      </w:r>
      <w:r>
        <w:rPr>
          <w:rFonts w:hint="eastAsia" w:ascii="黑体"/>
          <w:szCs w:val="21"/>
        </w:rPr>
        <w:t>组批</w:t>
      </w:r>
    </w:p>
    <w:p w14:paraId="5FCADA9C">
      <w:pPr>
        <w:autoSpaceDE w:val="0"/>
        <w:autoSpaceDN w:val="0"/>
        <w:adjustRightInd w:val="0"/>
        <w:spacing w:before="156" w:after="156"/>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同一生产</w:t>
      </w:r>
      <w:r>
        <w:rPr>
          <w:rFonts w:asciiTheme="minorEastAsia" w:hAnsiTheme="minorEastAsia" w:eastAsiaTheme="minorEastAsia"/>
          <w:kern w:val="0"/>
          <w:szCs w:val="21"/>
        </w:rPr>
        <w:t>日期</w:t>
      </w:r>
      <w:r>
        <w:rPr>
          <w:rFonts w:hint="eastAsia" w:asciiTheme="minorEastAsia" w:hAnsiTheme="minorEastAsia" w:eastAsiaTheme="minorEastAsia"/>
          <w:kern w:val="0"/>
          <w:szCs w:val="21"/>
        </w:rPr>
        <w:t>、同一品种的产品为一批。</w:t>
      </w:r>
    </w:p>
    <w:p w14:paraId="04316EFD">
      <w:pPr>
        <w:pStyle w:val="20"/>
        <w:spacing w:before="156" w:after="156"/>
        <w:rPr>
          <w:rFonts w:ascii="黑体" w:eastAsia="黑体"/>
          <w:kern w:val="2"/>
          <w:szCs w:val="21"/>
        </w:rPr>
      </w:pPr>
      <w:r>
        <w:rPr>
          <w:rFonts w:ascii="黑体" w:eastAsia="黑体"/>
          <w:kern w:val="2"/>
          <w:szCs w:val="21"/>
        </w:rPr>
        <w:t>8.2</w:t>
      </w:r>
      <w:r>
        <w:rPr>
          <w:rFonts w:ascii="黑体" w:hAnsi="黑体" w:eastAsia="黑体"/>
          <w:szCs w:val="21"/>
        </w:rPr>
        <w:t xml:space="preserve"> </w:t>
      </w:r>
      <w:r>
        <w:rPr>
          <w:rFonts w:hint="eastAsia" w:ascii="黑体" w:eastAsia="黑体"/>
          <w:kern w:val="2"/>
          <w:szCs w:val="21"/>
        </w:rPr>
        <w:t>抽样</w:t>
      </w:r>
    </w:p>
    <w:p w14:paraId="391F4CCB">
      <w:pPr>
        <w:autoSpaceDE w:val="0"/>
        <w:autoSpaceDN w:val="0"/>
        <w:adjustRightInd w:val="0"/>
        <w:spacing w:before="156" w:after="156"/>
        <w:ind w:firstLine="420" w:firstLineChars="200"/>
        <w:jc w:val="left"/>
        <w:rPr>
          <w:rFonts w:ascii="Times New Roman" w:hAnsi="Times New Roman" w:eastAsiaTheme="minorEastAsia"/>
          <w:kern w:val="0"/>
          <w:szCs w:val="21"/>
        </w:rPr>
      </w:pPr>
      <w:r>
        <w:rPr>
          <w:rFonts w:hint="default" w:ascii="Times New Roman" w:hAnsi="Times New Roman" w:eastAsiaTheme="minorEastAsia"/>
          <w:kern w:val="0"/>
          <w:szCs w:val="21"/>
        </w:rPr>
        <w:t>应符合GB</w:t>
      </w:r>
      <w:r>
        <w:rPr>
          <w:rFonts w:ascii="Times New Roman" w:hAnsi="Times New Roman" w:eastAsiaTheme="minorEastAsia"/>
          <w:kern w:val="0"/>
          <w:szCs w:val="21"/>
        </w:rPr>
        <w:t>/T 9695.19</w:t>
      </w:r>
      <w:r>
        <w:rPr>
          <w:rFonts w:hint="default" w:ascii="Times New Roman" w:hAnsi="Times New Roman" w:eastAsiaTheme="minorEastAsia"/>
          <w:kern w:val="0"/>
          <w:szCs w:val="21"/>
        </w:rPr>
        <w:t>的规定</w:t>
      </w:r>
      <w:r>
        <w:rPr>
          <w:rFonts w:ascii="Times New Roman" w:hAnsi="Times New Roman" w:eastAsiaTheme="minorEastAsia"/>
          <w:kern w:val="0"/>
          <w:szCs w:val="21"/>
        </w:rPr>
        <w:t>。</w:t>
      </w:r>
    </w:p>
    <w:p w14:paraId="59901D1F">
      <w:pPr>
        <w:pStyle w:val="24"/>
        <w:numPr>
          <w:ilvl w:val="2"/>
          <w:numId w:val="0"/>
        </w:numPr>
        <w:spacing w:before="156" w:beforeLines="50" w:after="156" w:afterLines="50"/>
        <w:rPr>
          <w:szCs w:val="21"/>
        </w:rPr>
      </w:pPr>
      <w:bookmarkStart w:id="91" w:name="OLE_LINK23"/>
      <w:r>
        <w:rPr>
          <w:szCs w:val="21"/>
        </w:rPr>
        <w:t>8.3</w:t>
      </w:r>
      <w:r>
        <w:rPr>
          <w:kern w:val="0"/>
          <w:szCs w:val="21"/>
        </w:rPr>
        <w:t xml:space="preserve"> </w:t>
      </w:r>
      <w:r>
        <w:rPr>
          <w:szCs w:val="21"/>
        </w:rPr>
        <w:t>出厂检验</w:t>
      </w:r>
    </w:p>
    <w:bookmarkEnd w:id="91"/>
    <w:p w14:paraId="63F81D90">
      <w:pPr>
        <w:pStyle w:val="25"/>
        <w:numPr>
          <w:ilvl w:val="255"/>
          <w:numId w:val="0"/>
        </w:numPr>
        <w:tabs>
          <w:tab w:val="clear" w:pos="360"/>
        </w:tabs>
        <w:rPr>
          <w:rFonts w:asciiTheme="minorEastAsia" w:hAnsiTheme="minorEastAsia" w:eastAsiaTheme="minorEastAsia"/>
          <w:kern w:val="0"/>
          <w:szCs w:val="21"/>
        </w:rPr>
      </w:pPr>
      <w:r>
        <w:rPr>
          <w:rFonts w:ascii="黑体"/>
          <w:kern w:val="0"/>
          <w:szCs w:val="21"/>
        </w:rPr>
        <w:t>8</w:t>
      </w:r>
      <w:r>
        <w:rPr>
          <w:rFonts w:hint="eastAsia" w:ascii="黑体"/>
          <w:kern w:val="0"/>
          <w:szCs w:val="21"/>
        </w:rPr>
        <w:t>.3.1</w:t>
      </w:r>
      <w:r>
        <w:rPr>
          <w:rFonts w:ascii="黑体"/>
          <w:kern w:val="0"/>
          <w:szCs w:val="21"/>
        </w:rPr>
        <w:t xml:space="preserve"> </w:t>
      </w:r>
      <w:r>
        <w:rPr>
          <w:rFonts w:asciiTheme="minorEastAsia" w:hAnsiTheme="minorEastAsia" w:eastAsiaTheme="minorEastAsia"/>
          <w:kern w:val="0"/>
          <w:szCs w:val="21"/>
        </w:rPr>
        <w:t>出厂检验项目为感官</w:t>
      </w:r>
      <w:r>
        <w:rPr>
          <w:rFonts w:hint="eastAsia" w:asciiTheme="minorEastAsia" w:hAnsiTheme="minorEastAsia" w:eastAsiaTheme="minorEastAsia"/>
          <w:kern w:val="0"/>
          <w:szCs w:val="21"/>
        </w:rPr>
        <w:t>要求</w:t>
      </w:r>
      <w:r>
        <w:rPr>
          <w:rFonts w:asciiTheme="minorEastAsia" w:hAnsiTheme="minorEastAsia" w:eastAsiaTheme="minorEastAsia"/>
          <w:kern w:val="0"/>
          <w:szCs w:val="21"/>
        </w:rPr>
        <w:t>、</w:t>
      </w:r>
      <w:r>
        <w:rPr>
          <w:rFonts w:hint="eastAsia" w:asciiTheme="minorEastAsia" w:hAnsiTheme="minorEastAsia" w:eastAsiaTheme="minorEastAsia"/>
          <w:kern w:val="0"/>
          <w:szCs w:val="21"/>
        </w:rPr>
        <w:t>水分</w:t>
      </w:r>
      <w:r>
        <w:rPr>
          <w:rFonts w:asciiTheme="minorEastAsia" w:hAnsiTheme="minorEastAsia" w:eastAsiaTheme="minorEastAsia"/>
          <w:kern w:val="0"/>
          <w:szCs w:val="21"/>
        </w:rPr>
        <w:t>、净含量。</w:t>
      </w:r>
    </w:p>
    <w:p w14:paraId="0B5537AF">
      <w:pPr>
        <w:pStyle w:val="20"/>
      </w:pPr>
      <w:r>
        <w:rPr>
          <w:rFonts w:ascii="黑体" w:hAnsi="黑体" w:eastAsia="黑体"/>
          <w:szCs w:val="21"/>
        </w:rPr>
        <w:t>8</w:t>
      </w:r>
      <w:r>
        <w:rPr>
          <w:rFonts w:hint="eastAsia" w:ascii="黑体" w:hAnsi="黑体" w:eastAsia="黑体"/>
          <w:szCs w:val="21"/>
        </w:rPr>
        <w:t>.3.</w:t>
      </w:r>
      <w:r>
        <w:rPr>
          <w:rFonts w:ascii="黑体" w:hAnsi="黑体" w:eastAsia="黑体"/>
          <w:szCs w:val="21"/>
        </w:rPr>
        <w:t>2</w:t>
      </w:r>
      <w:r>
        <w:rPr>
          <w:rFonts w:hint="eastAsia"/>
        </w:rPr>
        <w:t xml:space="preserve"> 每批</w:t>
      </w:r>
      <w:r>
        <w:t>产品应经生产厂检验部门按本文件的规定进行检验</w:t>
      </w:r>
      <w:r>
        <w:rPr>
          <w:rFonts w:hint="eastAsia"/>
        </w:rPr>
        <w:t>，</w:t>
      </w:r>
      <w:r>
        <w:t>产品合格后方可出厂。</w:t>
      </w:r>
    </w:p>
    <w:p w14:paraId="6525768A">
      <w:pPr>
        <w:pStyle w:val="20"/>
        <w:tabs>
          <w:tab w:val="center" w:pos="4201"/>
          <w:tab w:val="right" w:leader="dot" w:pos="9298"/>
        </w:tabs>
        <w:spacing w:before="156" w:beforeLines="50" w:after="156" w:afterLines="50"/>
        <w:rPr>
          <w:rFonts w:ascii="黑体" w:eastAsia="黑体"/>
          <w:kern w:val="2"/>
          <w:szCs w:val="21"/>
        </w:rPr>
      </w:pPr>
      <w:bookmarkStart w:id="92" w:name="OLE_LINK24"/>
      <w:r>
        <w:rPr>
          <w:rFonts w:ascii="黑体" w:eastAsia="黑体"/>
          <w:kern w:val="2"/>
          <w:szCs w:val="21"/>
        </w:rPr>
        <w:t>8.4</w:t>
      </w:r>
      <w:r>
        <w:rPr>
          <w:rFonts w:ascii="黑体" w:hAnsi="黑体" w:eastAsia="黑体"/>
          <w:szCs w:val="21"/>
        </w:rPr>
        <w:t xml:space="preserve">  </w:t>
      </w:r>
      <w:r>
        <w:rPr>
          <w:rFonts w:ascii="黑体" w:eastAsia="黑体"/>
          <w:kern w:val="2"/>
          <w:szCs w:val="21"/>
        </w:rPr>
        <w:t>型式检验</w:t>
      </w:r>
    </w:p>
    <w:bookmarkEnd w:id="92"/>
    <w:p w14:paraId="1F8BA082">
      <w:pPr>
        <w:pStyle w:val="20"/>
        <w:tabs>
          <w:tab w:val="center" w:pos="4201"/>
          <w:tab w:val="right" w:leader="dot" w:pos="9298"/>
        </w:tabs>
        <w:jc w:val="left"/>
        <w:rPr>
          <w:rFonts w:ascii="Times New Roman" w:eastAsiaTheme="minorEastAsia"/>
        </w:rPr>
      </w:pPr>
      <w:r>
        <w:rPr>
          <w:rFonts w:ascii="黑体" w:eastAsia="黑体"/>
          <w:szCs w:val="21"/>
        </w:rPr>
        <w:t>8</w:t>
      </w:r>
      <w:r>
        <w:rPr>
          <w:rFonts w:hint="eastAsia" w:ascii="黑体" w:eastAsia="黑体"/>
          <w:szCs w:val="21"/>
        </w:rPr>
        <w:t>.4.1</w:t>
      </w:r>
      <w:r>
        <w:rPr>
          <w:rFonts w:hint="eastAsia" w:ascii="Times New Roman" w:eastAsiaTheme="minorEastAsia"/>
        </w:rPr>
        <w:t xml:space="preserve"> 型式检验</w:t>
      </w:r>
      <w:r>
        <w:rPr>
          <w:rFonts w:ascii="Times New Roman" w:eastAsiaTheme="minorEastAsia"/>
        </w:rPr>
        <w:t>项目包括本文件第</w:t>
      </w:r>
      <w:r>
        <w:rPr>
          <w:rFonts w:hint="eastAsia" w:ascii="Times New Roman" w:eastAsiaTheme="minorEastAsia"/>
          <w:lang w:val="en-US" w:eastAsia="zh-CN"/>
        </w:rPr>
        <w:t>5</w:t>
      </w:r>
      <w:r>
        <w:rPr>
          <w:rFonts w:hint="eastAsia" w:ascii="Times New Roman" w:eastAsiaTheme="minorEastAsia"/>
        </w:rPr>
        <w:t>章规定</w:t>
      </w:r>
      <w:r>
        <w:rPr>
          <w:rFonts w:ascii="Times New Roman" w:eastAsiaTheme="minorEastAsia"/>
        </w:rPr>
        <w:t>的全部项目。</w:t>
      </w:r>
    </w:p>
    <w:p w14:paraId="69417A5A">
      <w:pPr>
        <w:pStyle w:val="20"/>
        <w:tabs>
          <w:tab w:val="center" w:pos="4201"/>
          <w:tab w:val="right" w:leader="dot" w:pos="9298"/>
        </w:tabs>
        <w:jc w:val="left"/>
        <w:rPr>
          <w:rFonts w:ascii="Times New Roman" w:eastAsiaTheme="minorEastAsia"/>
        </w:rPr>
      </w:pPr>
      <w:r>
        <w:rPr>
          <w:rFonts w:ascii="黑体" w:eastAsia="黑体"/>
          <w:szCs w:val="21"/>
        </w:rPr>
        <w:t>8</w:t>
      </w:r>
      <w:r>
        <w:rPr>
          <w:rFonts w:hint="eastAsia" w:ascii="黑体" w:eastAsia="黑体"/>
          <w:szCs w:val="21"/>
        </w:rPr>
        <w:t>.4.</w:t>
      </w:r>
      <w:r>
        <w:rPr>
          <w:rFonts w:ascii="黑体" w:eastAsia="黑体"/>
          <w:szCs w:val="21"/>
        </w:rPr>
        <w:t>2</w:t>
      </w:r>
      <w:r>
        <w:rPr>
          <w:rFonts w:ascii="黑体" w:hAnsi="黑体" w:eastAsia="黑体"/>
          <w:szCs w:val="21"/>
        </w:rPr>
        <w:t xml:space="preserve"> </w:t>
      </w:r>
      <w:r>
        <w:rPr>
          <w:rFonts w:hint="eastAsia" w:ascii="Times New Roman" w:eastAsiaTheme="minorEastAsia"/>
        </w:rPr>
        <w:t>每半年应对</w:t>
      </w:r>
      <w:r>
        <w:rPr>
          <w:rFonts w:ascii="Times New Roman" w:eastAsiaTheme="minorEastAsia"/>
        </w:rPr>
        <w:t>产品进行一次型式检验，发生下列</w:t>
      </w:r>
      <w:r>
        <w:rPr>
          <w:rFonts w:hint="eastAsia" w:ascii="Times New Roman" w:eastAsiaTheme="minorEastAsia"/>
        </w:rPr>
        <w:t>情况</w:t>
      </w:r>
      <w:r>
        <w:rPr>
          <w:rFonts w:ascii="Times New Roman" w:eastAsiaTheme="minorEastAsia"/>
        </w:rPr>
        <w:t xml:space="preserve">之一的应进行型式检验： </w:t>
      </w:r>
    </w:p>
    <w:p w14:paraId="0FFFAFF5">
      <w:pPr>
        <w:pStyle w:val="20"/>
        <w:tabs>
          <w:tab w:val="center" w:pos="4201"/>
          <w:tab w:val="right" w:leader="dot" w:pos="9298"/>
        </w:tabs>
        <w:ind w:firstLine="420" w:firstLineChars="200"/>
        <w:rPr>
          <w:rFonts w:ascii="Times New Roman"/>
        </w:rPr>
      </w:pPr>
      <w:r>
        <w:rPr>
          <w:rFonts w:hint="default" w:ascii="Times New Roman"/>
        </w:rPr>
        <w:t>a）新产品</w:t>
      </w:r>
      <w:r>
        <w:rPr>
          <w:rFonts w:ascii="Times New Roman"/>
        </w:rPr>
        <w:t>试制鉴定时；</w:t>
      </w:r>
    </w:p>
    <w:p w14:paraId="5F0DF4A3">
      <w:pPr>
        <w:pStyle w:val="20"/>
        <w:tabs>
          <w:tab w:val="center" w:pos="4201"/>
          <w:tab w:val="right" w:leader="dot" w:pos="9298"/>
        </w:tabs>
        <w:ind w:firstLine="420" w:firstLineChars="200"/>
        <w:rPr>
          <w:rFonts w:ascii="Times New Roman"/>
        </w:rPr>
      </w:pPr>
      <w:r>
        <w:rPr>
          <w:rFonts w:hint="default" w:ascii="Times New Roman"/>
        </w:rPr>
        <w:t>b）正式</w:t>
      </w:r>
      <w:r>
        <w:rPr>
          <w:rFonts w:ascii="Times New Roman"/>
        </w:rPr>
        <w:t>生产后，如原料、工艺有较大变化，可能影响产品质量</w:t>
      </w:r>
      <w:r>
        <w:rPr>
          <w:rFonts w:hint="default" w:ascii="Times New Roman"/>
        </w:rPr>
        <w:t>时</w:t>
      </w:r>
      <w:r>
        <w:rPr>
          <w:rFonts w:ascii="Times New Roman"/>
        </w:rPr>
        <w:t xml:space="preserve">； </w:t>
      </w:r>
    </w:p>
    <w:p w14:paraId="356EF89E">
      <w:pPr>
        <w:pStyle w:val="20"/>
        <w:tabs>
          <w:tab w:val="center" w:pos="4201"/>
          <w:tab w:val="right" w:leader="dot" w:pos="9298"/>
        </w:tabs>
        <w:ind w:firstLine="420" w:firstLineChars="200"/>
        <w:rPr>
          <w:rFonts w:ascii="Times New Roman"/>
        </w:rPr>
      </w:pPr>
      <w:r>
        <w:rPr>
          <w:rFonts w:hint="default" w:ascii="Times New Roman"/>
        </w:rPr>
        <w:t>c）</w:t>
      </w:r>
      <w:r>
        <w:rPr>
          <w:rFonts w:ascii="Times New Roman"/>
        </w:rPr>
        <w:t>停产</w:t>
      </w:r>
      <w:r>
        <w:rPr>
          <w:rFonts w:hint="eastAsia" w:ascii="Times New Roman"/>
        </w:rPr>
        <w:t>半年及</w:t>
      </w:r>
      <w:r>
        <w:rPr>
          <w:rFonts w:ascii="Times New Roman"/>
        </w:rPr>
        <w:t>以上恢复生产时；</w:t>
      </w:r>
    </w:p>
    <w:p w14:paraId="7D449259">
      <w:pPr>
        <w:pStyle w:val="20"/>
        <w:tabs>
          <w:tab w:val="center" w:pos="4201"/>
          <w:tab w:val="right" w:leader="dot" w:pos="9298"/>
        </w:tabs>
        <w:ind w:firstLine="420" w:firstLineChars="200"/>
        <w:rPr>
          <w:rFonts w:ascii="Times New Roman"/>
        </w:rPr>
      </w:pPr>
      <w:r>
        <w:rPr>
          <w:rFonts w:hint="default" w:ascii="Times New Roman"/>
        </w:rPr>
        <w:t>d）</w:t>
      </w:r>
      <w:r>
        <w:rPr>
          <w:rFonts w:ascii="Times New Roman"/>
        </w:rPr>
        <w:t>出厂检验结果与上次型式检验</w:t>
      </w:r>
      <w:r>
        <w:rPr>
          <w:rFonts w:hint="eastAsia" w:ascii="Times New Roman"/>
        </w:rPr>
        <w:t>结果</w:t>
      </w:r>
      <w:r>
        <w:rPr>
          <w:rFonts w:ascii="Times New Roman"/>
        </w:rPr>
        <w:t>有较大差异时；</w:t>
      </w:r>
    </w:p>
    <w:p w14:paraId="4AAF4F13">
      <w:pPr>
        <w:pStyle w:val="20"/>
        <w:tabs>
          <w:tab w:val="center" w:pos="4201"/>
          <w:tab w:val="right" w:leader="dot" w:pos="9298"/>
        </w:tabs>
        <w:ind w:firstLine="420" w:firstLineChars="200"/>
        <w:rPr>
          <w:rFonts w:ascii="Times New Roman"/>
          <w:szCs w:val="21"/>
        </w:rPr>
      </w:pPr>
      <w:r>
        <w:rPr>
          <w:rFonts w:hint="default" w:ascii="Times New Roman"/>
        </w:rPr>
        <w:t>e）</w:t>
      </w:r>
      <w:r>
        <w:rPr>
          <w:rFonts w:ascii="Times New Roman"/>
        </w:rPr>
        <w:t>国家有关</w:t>
      </w:r>
      <w:r>
        <w:rPr>
          <w:rFonts w:hint="eastAsia" w:ascii="Times New Roman"/>
        </w:rPr>
        <w:t>监管机构</w:t>
      </w:r>
      <w:r>
        <w:rPr>
          <w:rFonts w:ascii="Times New Roman"/>
        </w:rPr>
        <w:t>提出进行</w:t>
      </w:r>
      <w:r>
        <w:rPr>
          <w:rFonts w:hint="eastAsia" w:ascii="Times New Roman"/>
        </w:rPr>
        <w:t>型式检验</w:t>
      </w:r>
      <w:r>
        <w:rPr>
          <w:rFonts w:ascii="Times New Roman"/>
        </w:rPr>
        <w:t>的要求</w:t>
      </w:r>
      <w:r>
        <w:rPr>
          <w:rFonts w:hint="eastAsia" w:ascii="Times New Roman"/>
        </w:rPr>
        <w:t>时</w:t>
      </w:r>
      <w:r>
        <w:rPr>
          <w:rFonts w:ascii="Times New Roman"/>
        </w:rPr>
        <w:t>。</w:t>
      </w:r>
    </w:p>
    <w:p w14:paraId="48F2DCA8">
      <w:pPr>
        <w:pStyle w:val="24"/>
        <w:numPr>
          <w:ilvl w:val="2"/>
          <w:numId w:val="0"/>
        </w:numPr>
        <w:spacing w:before="156" w:after="156"/>
        <w:rPr>
          <w:rFonts w:ascii="黑体"/>
          <w:kern w:val="0"/>
          <w:szCs w:val="21"/>
        </w:rPr>
      </w:pPr>
      <w:r>
        <w:rPr>
          <w:rFonts w:ascii="黑体"/>
          <w:kern w:val="0"/>
          <w:szCs w:val="21"/>
        </w:rPr>
        <w:t>8</w:t>
      </w:r>
      <w:r>
        <w:rPr>
          <w:rFonts w:hint="eastAsia" w:ascii="黑体"/>
          <w:kern w:val="0"/>
          <w:szCs w:val="21"/>
        </w:rPr>
        <w:t>.5</w:t>
      </w:r>
      <w:r>
        <w:rPr>
          <w:rFonts w:ascii="黑体" w:hAnsi="黑体"/>
          <w:kern w:val="0"/>
          <w:szCs w:val="21"/>
        </w:rPr>
        <w:t xml:space="preserve"> </w:t>
      </w:r>
      <w:r>
        <w:rPr>
          <w:rFonts w:hint="eastAsia" w:ascii="黑体"/>
          <w:kern w:val="0"/>
          <w:szCs w:val="21"/>
        </w:rPr>
        <w:t>判定规则</w:t>
      </w:r>
    </w:p>
    <w:p w14:paraId="52D82EA7">
      <w:pPr>
        <w:pStyle w:val="21"/>
        <w:numPr>
          <w:ilvl w:val="1"/>
          <w:numId w:val="0"/>
        </w:numPr>
        <w:spacing w:before="156" w:after="156"/>
        <w:rPr>
          <w:rFonts w:ascii="黑体" w:hAnsi="黑体"/>
          <w:szCs w:val="21"/>
        </w:rPr>
      </w:pPr>
      <w:r>
        <w:rPr>
          <w:rFonts w:ascii="黑体" w:hAnsi="黑体"/>
          <w:szCs w:val="21"/>
        </w:rPr>
        <w:t>8</w:t>
      </w:r>
      <w:r>
        <w:rPr>
          <w:rFonts w:hint="eastAsia" w:ascii="黑体" w:hAnsi="黑体"/>
          <w:szCs w:val="21"/>
        </w:rPr>
        <w:t>.5.1 出厂</w:t>
      </w:r>
      <w:r>
        <w:rPr>
          <w:rFonts w:ascii="黑体" w:hAnsi="黑体"/>
          <w:szCs w:val="21"/>
        </w:rPr>
        <w:t>检验判定规则</w:t>
      </w:r>
    </w:p>
    <w:p w14:paraId="764E5B29">
      <w:pPr>
        <w:pStyle w:val="21"/>
        <w:numPr>
          <w:ilvl w:val="1"/>
          <w:numId w:val="0"/>
        </w:numPr>
        <w:spacing w:before="156" w:after="156"/>
        <w:ind w:firstLine="420" w:firstLineChars="200"/>
        <w:rPr>
          <w:rFonts w:eastAsiaTheme="minorEastAsia"/>
        </w:rPr>
      </w:pPr>
      <w:r>
        <w:rPr>
          <w:rFonts w:hint="eastAsia" w:asciiTheme="minorEastAsia" w:hAnsiTheme="minorEastAsia" w:eastAsiaTheme="minorEastAsia"/>
          <w:szCs w:val="21"/>
        </w:rPr>
        <w:t>出厂检验</w:t>
      </w:r>
      <w:r>
        <w:rPr>
          <w:rFonts w:asciiTheme="minorEastAsia" w:hAnsiTheme="minorEastAsia" w:eastAsiaTheme="minorEastAsia"/>
          <w:szCs w:val="21"/>
        </w:rPr>
        <w:t>项目</w:t>
      </w:r>
      <w:r>
        <w:rPr>
          <w:rFonts w:hint="eastAsia" w:asciiTheme="minorEastAsia" w:hAnsiTheme="minorEastAsia" w:eastAsiaTheme="minorEastAsia"/>
          <w:szCs w:val="21"/>
        </w:rPr>
        <w:t>全部符合本文件，</w:t>
      </w:r>
      <w:r>
        <w:rPr>
          <w:rFonts w:asciiTheme="minorEastAsia" w:hAnsiTheme="minorEastAsia" w:eastAsiaTheme="minorEastAsia"/>
          <w:szCs w:val="21"/>
        </w:rPr>
        <w:t>判定</w:t>
      </w:r>
      <w:r>
        <w:rPr>
          <w:rFonts w:hint="eastAsia" w:asciiTheme="minorEastAsia" w:hAnsiTheme="minorEastAsia" w:eastAsiaTheme="minorEastAsia"/>
          <w:szCs w:val="21"/>
        </w:rPr>
        <w:t>该批</w:t>
      </w:r>
      <w:r>
        <w:rPr>
          <w:rFonts w:asciiTheme="minorEastAsia" w:hAnsiTheme="minorEastAsia" w:eastAsiaTheme="minorEastAsia"/>
          <w:szCs w:val="21"/>
        </w:rPr>
        <w:t>产品符合本文件要求，出厂检验项目如有</w:t>
      </w:r>
      <w:r>
        <w:rPr>
          <w:rFonts w:hint="eastAsia" w:asciiTheme="minorEastAsia" w:hAnsiTheme="minorEastAsia" w:eastAsiaTheme="minorEastAsia"/>
          <w:szCs w:val="21"/>
        </w:rPr>
        <w:t>不合格</w:t>
      </w:r>
      <w:r>
        <w:rPr>
          <w:rFonts w:asciiTheme="minorEastAsia" w:hAnsiTheme="minorEastAsia" w:eastAsiaTheme="minorEastAsia"/>
          <w:szCs w:val="21"/>
        </w:rPr>
        <w:t>，应在原</w:t>
      </w:r>
      <w:r>
        <w:rPr>
          <w:rFonts w:hint="eastAsia" w:asciiTheme="minorEastAsia" w:hAnsiTheme="minorEastAsia" w:eastAsiaTheme="minorEastAsia"/>
          <w:szCs w:val="21"/>
        </w:rPr>
        <w:t>批次产品中双倍抽样复检，</w:t>
      </w:r>
      <w:r>
        <w:rPr>
          <w:rFonts w:asciiTheme="minorEastAsia" w:hAnsiTheme="minorEastAsia" w:eastAsiaTheme="minorEastAsia"/>
          <w:szCs w:val="21"/>
        </w:rPr>
        <w:t>复检后仍不合格的，判定该批产品不符合本文件要求。</w:t>
      </w:r>
    </w:p>
    <w:p w14:paraId="2A1DDC72">
      <w:pPr>
        <w:pStyle w:val="21"/>
        <w:numPr>
          <w:ilvl w:val="1"/>
          <w:numId w:val="0"/>
        </w:numPr>
        <w:spacing w:before="156" w:after="156"/>
        <w:rPr>
          <w:rFonts w:ascii="黑体" w:hAnsi="黑体"/>
          <w:szCs w:val="21"/>
        </w:rPr>
      </w:pPr>
      <w:r>
        <w:rPr>
          <w:rFonts w:ascii="黑体" w:hAnsi="黑体"/>
          <w:szCs w:val="21"/>
        </w:rPr>
        <w:t>8</w:t>
      </w:r>
      <w:r>
        <w:rPr>
          <w:rFonts w:hint="eastAsia" w:ascii="黑体" w:hAnsi="黑体"/>
          <w:szCs w:val="21"/>
        </w:rPr>
        <w:t>.5.2 型式检验</w:t>
      </w:r>
      <w:r>
        <w:rPr>
          <w:rFonts w:ascii="黑体" w:hAnsi="黑体"/>
          <w:szCs w:val="21"/>
        </w:rPr>
        <w:t>判定规则</w:t>
      </w:r>
    </w:p>
    <w:p w14:paraId="4917A974">
      <w:pPr>
        <w:pStyle w:val="20"/>
      </w:pPr>
      <w:r>
        <w:rPr>
          <w:rFonts w:hint="eastAsia"/>
        </w:rPr>
        <w:t xml:space="preserve">    型式检验</w:t>
      </w:r>
      <w:r>
        <w:t>项目全部符合本文件，判定该批产品符合本文件要求。型式检验</w:t>
      </w:r>
      <w:r>
        <w:rPr>
          <w:rFonts w:hint="eastAsia"/>
        </w:rPr>
        <w:t>如有</w:t>
      </w:r>
      <w:r>
        <w:t>不合格项目，应在原批次产品中双倍抽样复检，复检后仍不合格</w:t>
      </w:r>
      <w:r>
        <w:rPr>
          <w:rFonts w:hint="eastAsia"/>
        </w:rPr>
        <w:t>的</w:t>
      </w:r>
      <w:r>
        <w:t>，判定该批产品不符合本文件要求。</w:t>
      </w:r>
    </w:p>
    <w:p w14:paraId="552DD8F9">
      <w:pPr>
        <w:pStyle w:val="21"/>
        <w:numPr>
          <w:ilvl w:val="1"/>
          <w:numId w:val="0"/>
        </w:numPr>
        <w:spacing w:before="156" w:after="156"/>
      </w:pPr>
      <w:r>
        <w:rPr>
          <w:rFonts w:ascii="黑体" w:hAnsi="黑体" w:cs="黑体"/>
        </w:rPr>
        <w:t>9</w:t>
      </w:r>
      <w:r>
        <w:rPr>
          <w:rFonts w:ascii="黑体" w:hAnsi="黑体"/>
          <w:szCs w:val="21"/>
        </w:rPr>
        <w:t xml:space="preserve"> </w:t>
      </w:r>
      <w:r>
        <w:rPr>
          <w:rFonts w:hint="eastAsia" w:ascii="黑体" w:hAnsi="黑体"/>
          <w:szCs w:val="21"/>
        </w:rPr>
        <w:t xml:space="preserve"> </w:t>
      </w:r>
      <w:r>
        <w:rPr>
          <w:rFonts w:hint="eastAsia"/>
        </w:rPr>
        <w:t>标签和标志</w:t>
      </w:r>
    </w:p>
    <w:p w14:paraId="5AE9B95F">
      <w:pPr>
        <w:pStyle w:val="21"/>
        <w:numPr>
          <w:ilvl w:val="1"/>
          <w:numId w:val="0"/>
        </w:numPr>
        <w:spacing w:before="156" w:after="156"/>
        <w:rPr>
          <w:rFonts w:ascii="黑体"/>
        </w:rPr>
      </w:pPr>
      <w:r>
        <w:rPr>
          <w:rFonts w:ascii="黑体"/>
        </w:rPr>
        <w:t>9</w:t>
      </w:r>
      <w:r>
        <w:rPr>
          <w:rFonts w:hint="eastAsia" w:ascii="黑体"/>
        </w:rPr>
        <w:t>.1</w:t>
      </w:r>
      <w:r>
        <w:rPr>
          <w:rFonts w:ascii="黑体" w:hAnsi="黑体"/>
          <w:szCs w:val="21"/>
        </w:rPr>
        <w:t xml:space="preserve"> </w:t>
      </w:r>
      <w:r>
        <w:rPr>
          <w:rFonts w:hint="eastAsia"/>
        </w:rPr>
        <w:t>标签</w:t>
      </w:r>
    </w:p>
    <w:p w14:paraId="53796773">
      <w:pPr>
        <w:jc w:val="left"/>
        <w:rPr>
          <w:rFonts w:ascii="宋体" w:hAnsi="宋体" w:cs="宋体"/>
          <w:color w:val="000000"/>
          <w:kern w:val="0"/>
          <w:szCs w:val="21"/>
          <w:lang w:bidi="ar"/>
        </w:rPr>
      </w:pPr>
      <w:r>
        <w:rPr>
          <w:rFonts w:hint="eastAsia" w:ascii="黑体" w:hAnsi="黑体" w:eastAsia="黑体" w:cs="黑体"/>
          <w:color w:val="000000"/>
          <w:kern w:val="0"/>
          <w:szCs w:val="21"/>
          <w:lang w:bidi="ar"/>
        </w:rPr>
        <w:t xml:space="preserve">9.1.1 </w:t>
      </w:r>
      <w:r>
        <w:rPr>
          <w:rFonts w:hint="eastAsia" w:ascii="宋体" w:hAnsi="宋体" w:cs="宋体"/>
          <w:color w:val="000000"/>
          <w:kern w:val="0"/>
          <w:szCs w:val="21"/>
          <w:lang w:bidi="ar"/>
        </w:rPr>
        <w:t>产品标签应符合</w:t>
      </w:r>
      <w:r>
        <w:rPr>
          <w:color w:val="000000"/>
          <w:kern w:val="0"/>
          <w:szCs w:val="21"/>
          <w:lang w:bidi="ar"/>
        </w:rPr>
        <w:t>GB 7718和GB 28050</w:t>
      </w:r>
      <w:r>
        <w:rPr>
          <w:rFonts w:hint="eastAsia" w:ascii="宋体" w:hAnsi="宋体" w:cs="宋体"/>
          <w:color w:val="000000"/>
          <w:kern w:val="0"/>
          <w:szCs w:val="21"/>
          <w:lang w:bidi="ar"/>
        </w:rPr>
        <w:t>的规定。</w:t>
      </w:r>
    </w:p>
    <w:p w14:paraId="2A6D0A3A">
      <w:pPr>
        <w:jc w:val="left"/>
        <w:rPr>
          <w:rFonts w:asciiTheme="minorEastAsia" w:hAnsiTheme="minorEastAsia" w:eastAsiaTheme="minorEastAsia" w:cstheme="minorEastAsia"/>
        </w:rPr>
      </w:pPr>
      <w:r>
        <w:rPr>
          <w:rFonts w:hint="eastAsia" w:ascii="黑体" w:hAnsi="黑体" w:eastAsia="黑体" w:cs="黑体"/>
          <w:color w:val="000000"/>
          <w:kern w:val="0"/>
          <w:szCs w:val="21"/>
          <w:lang w:bidi="ar"/>
        </w:rPr>
        <w:t xml:space="preserve">9.1.2 </w:t>
      </w:r>
      <w:r>
        <w:rPr>
          <w:rFonts w:hint="eastAsia" w:asciiTheme="minorEastAsia" w:hAnsiTheme="minorEastAsia" w:eastAsiaTheme="minorEastAsia" w:cstheme="minorEastAsia"/>
        </w:rPr>
        <w:t>产品</w:t>
      </w:r>
      <w:r>
        <w:rPr>
          <w:rFonts w:asciiTheme="minorEastAsia" w:hAnsiTheme="minorEastAsia" w:eastAsiaTheme="minorEastAsia" w:cstheme="minorEastAsia"/>
        </w:rPr>
        <w:t>名称可</w:t>
      </w:r>
      <w:r>
        <w:rPr>
          <w:rFonts w:hint="eastAsia" w:asciiTheme="minorEastAsia" w:hAnsiTheme="minorEastAsia" w:eastAsiaTheme="minorEastAsia" w:cstheme="minorEastAsia"/>
        </w:rPr>
        <w:t>标示</w:t>
      </w:r>
      <w:r>
        <w:rPr>
          <w:rFonts w:asciiTheme="minorEastAsia" w:hAnsiTheme="minorEastAsia" w:eastAsiaTheme="minorEastAsia" w:cstheme="minorEastAsia"/>
        </w:rPr>
        <w:t>“</w:t>
      </w:r>
      <w:r>
        <w:rPr>
          <w:rFonts w:hint="eastAsia" w:asciiTheme="minorEastAsia" w:hAnsiTheme="minorEastAsia" w:eastAsiaTheme="minorEastAsia" w:cstheme="minorEastAsia"/>
        </w:rPr>
        <w:t>通辽</w:t>
      </w:r>
      <w:r>
        <w:rPr>
          <w:rFonts w:asciiTheme="minorEastAsia" w:hAnsiTheme="minorEastAsia" w:eastAsiaTheme="minorEastAsia" w:cstheme="minorEastAsia"/>
        </w:rPr>
        <w:t>牛肉干”</w:t>
      </w:r>
      <w:r>
        <w:rPr>
          <w:rFonts w:hint="eastAsia" w:asciiTheme="minorEastAsia" w:hAnsiTheme="minorEastAsia" w:eastAsiaTheme="minorEastAsia" w:cstheme="minorEastAsia"/>
        </w:rPr>
        <w:t>或</w:t>
      </w:r>
      <w:r>
        <w:rPr>
          <w:rFonts w:asciiTheme="minorEastAsia" w:hAnsiTheme="minorEastAsia" w:eastAsiaTheme="minorEastAsia" w:cstheme="minorEastAsia"/>
        </w:rPr>
        <w:t>按实际需求</w:t>
      </w:r>
      <w:r>
        <w:rPr>
          <w:rFonts w:hint="eastAsia" w:asciiTheme="minorEastAsia" w:hAnsiTheme="minorEastAsia" w:eastAsiaTheme="minorEastAsia" w:cstheme="minorEastAsia"/>
        </w:rPr>
        <w:t>标示</w:t>
      </w:r>
      <w:r>
        <w:rPr>
          <w:rFonts w:asciiTheme="minorEastAsia" w:hAnsiTheme="minorEastAsia" w:eastAsiaTheme="minorEastAsia" w:cstheme="minorEastAsia"/>
        </w:rPr>
        <w:t>。</w:t>
      </w:r>
    </w:p>
    <w:p w14:paraId="62618065">
      <w:pPr>
        <w:pStyle w:val="20"/>
        <w:tabs>
          <w:tab w:val="center" w:pos="4201"/>
          <w:tab w:val="right" w:leader="dot" w:pos="9298"/>
        </w:tabs>
        <w:spacing w:before="156" w:beforeLines="50" w:after="156" w:afterLines="50"/>
        <w:rPr>
          <w:rFonts w:ascii="黑体" w:eastAsia="黑体"/>
        </w:rPr>
      </w:pPr>
      <w:r>
        <w:rPr>
          <w:rFonts w:ascii="黑体" w:eastAsia="黑体"/>
        </w:rPr>
        <w:t>9</w:t>
      </w:r>
      <w:r>
        <w:rPr>
          <w:rFonts w:hint="eastAsia" w:ascii="黑体" w:eastAsia="黑体"/>
        </w:rPr>
        <w:t>.2</w:t>
      </w:r>
      <w:r>
        <w:rPr>
          <w:rFonts w:ascii="黑体" w:hAnsi="黑体" w:eastAsia="黑体"/>
          <w:szCs w:val="21"/>
        </w:rPr>
        <w:t xml:space="preserve"> </w:t>
      </w:r>
      <w:r>
        <w:rPr>
          <w:rFonts w:hint="eastAsia" w:ascii="黑体" w:hAnsi="黑体" w:eastAsia="黑体" w:cs="黑体"/>
        </w:rPr>
        <w:t>标志</w:t>
      </w:r>
    </w:p>
    <w:p w14:paraId="5187849F">
      <w:pPr>
        <w:ind w:left="442"/>
        <w:outlineLvl w:val="2"/>
        <w:rPr>
          <w:rFonts w:ascii="宋体" w:hAnsi="宋体" w:cs="宋体"/>
          <w:szCs w:val="21"/>
        </w:rPr>
      </w:pPr>
      <w:r>
        <w:rPr>
          <w:rFonts w:ascii="宋体" w:hAnsi="宋体" w:cs="宋体"/>
          <w:szCs w:val="21"/>
        </w:rPr>
        <w:t>应符合</w:t>
      </w:r>
      <w:r>
        <w:rPr>
          <w:rFonts w:eastAsiaTheme="minorEastAsia"/>
          <w:kern w:val="0"/>
          <w:szCs w:val="21"/>
        </w:rPr>
        <w:t>GB/T 191</w:t>
      </w:r>
      <w:r>
        <w:rPr>
          <w:rFonts w:ascii="宋体" w:hAnsi="宋体" w:cs="宋体"/>
          <w:szCs w:val="21"/>
        </w:rPr>
        <w:t>的规定</w:t>
      </w:r>
      <w:r>
        <w:rPr>
          <w:rFonts w:ascii="宋体" w:hAnsi="宋体" w:cs="宋体"/>
          <w:spacing w:val="6"/>
          <w:szCs w:val="21"/>
        </w:rPr>
        <w:t>。</w:t>
      </w:r>
    </w:p>
    <w:p w14:paraId="56F7B11C">
      <w:pPr>
        <w:pStyle w:val="21"/>
        <w:numPr>
          <w:ilvl w:val="1"/>
          <w:numId w:val="0"/>
        </w:numPr>
        <w:spacing w:before="156" w:after="156"/>
        <w:rPr>
          <w:rFonts w:ascii="黑体" w:hAnsi="黑体" w:cs="黑体"/>
        </w:rPr>
      </w:pPr>
      <w:r>
        <w:rPr>
          <w:rFonts w:ascii="黑体" w:hAnsi="黑体" w:cs="黑体"/>
        </w:rPr>
        <w:t>10</w:t>
      </w:r>
      <w:r>
        <w:rPr>
          <w:rFonts w:hint="eastAsia" w:ascii="黑体" w:hAnsi="黑体" w:cs="黑体"/>
        </w:rPr>
        <w:t xml:space="preserve"> 包装</w:t>
      </w:r>
    </w:p>
    <w:p w14:paraId="775267D8">
      <w:pPr>
        <w:pStyle w:val="20"/>
        <w:tabs>
          <w:tab w:val="center" w:pos="4201"/>
          <w:tab w:val="right" w:leader="dot" w:pos="9298"/>
        </w:tabs>
        <w:ind w:firstLine="420" w:firstLineChars="200"/>
        <w:rPr>
          <w:rFonts w:ascii="黑体"/>
        </w:rPr>
      </w:pPr>
      <w:r>
        <w:rPr>
          <w:rFonts w:hint="eastAsia" w:ascii="黑体"/>
        </w:rPr>
        <w:t>应符合相关国家标准或行业标准的规定。</w:t>
      </w:r>
    </w:p>
    <w:p w14:paraId="13E68D95">
      <w:pPr>
        <w:pStyle w:val="21"/>
        <w:numPr>
          <w:ilvl w:val="1"/>
          <w:numId w:val="0"/>
        </w:numPr>
        <w:spacing w:before="156" w:after="156"/>
        <w:rPr>
          <w:rFonts w:ascii="黑体"/>
          <w:kern w:val="2"/>
          <w:szCs w:val="24"/>
        </w:rPr>
      </w:pPr>
      <w:r>
        <w:rPr>
          <w:rFonts w:ascii="黑体"/>
        </w:rPr>
        <w:t xml:space="preserve">11 </w:t>
      </w:r>
      <w:bookmarkEnd w:id="78"/>
      <w:bookmarkEnd w:id="79"/>
      <w:bookmarkEnd w:id="80"/>
      <w:bookmarkEnd w:id="81"/>
      <w:bookmarkEnd w:id="82"/>
      <w:bookmarkEnd w:id="83"/>
      <w:bookmarkEnd w:id="84"/>
      <w:bookmarkEnd w:id="85"/>
      <w:bookmarkEnd w:id="86"/>
      <w:bookmarkEnd w:id="87"/>
      <w:bookmarkStart w:id="93" w:name="_Toc22135279"/>
      <w:r>
        <w:rPr>
          <w:rFonts w:hint="eastAsia" w:ascii="黑体"/>
          <w:kern w:val="2"/>
          <w:szCs w:val="24"/>
        </w:rPr>
        <w:t>运输</w:t>
      </w:r>
    </w:p>
    <w:p w14:paraId="1EFA8581">
      <w:pPr>
        <w:pStyle w:val="20"/>
      </w:pPr>
      <w:r>
        <w:rPr>
          <w:rFonts w:hint="eastAsia"/>
        </w:rPr>
        <w:t xml:space="preserve">    运输</w:t>
      </w:r>
      <w:r>
        <w:t>工具应清洁、卫生、防</w:t>
      </w:r>
      <w:r>
        <w:rPr>
          <w:rFonts w:hint="eastAsia"/>
        </w:rPr>
        <w:t>雨</w:t>
      </w:r>
      <w:r>
        <w:t>、防潮、防晒，不应与有毒、有害、有气味物品混装。</w:t>
      </w:r>
    </w:p>
    <w:p w14:paraId="562A076D">
      <w:pPr>
        <w:pStyle w:val="21"/>
        <w:numPr>
          <w:ilvl w:val="1"/>
          <w:numId w:val="0"/>
        </w:numPr>
        <w:spacing w:before="156" w:after="156"/>
        <w:rPr>
          <w:rFonts w:ascii="黑体" w:hAnsi="黑体" w:cs="黑体"/>
        </w:rPr>
      </w:pPr>
      <w:r>
        <w:rPr>
          <w:rFonts w:hint="eastAsia" w:ascii="黑体" w:hAnsi="黑体" w:cs="黑体"/>
        </w:rPr>
        <w:t>1</w:t>
      </w:r>
      <w:r>
        <w:rPr>
          <w:rFonts w:ascii="黑体" w:hAnsi="黑体" w:cs="黑体"/>
        </w:rPr>
        <w:t>2</w:t>
      </w:r>
      <w:r>
        <w:rPr>
          <w:rFonts w:hint="eastAsia" w:ascii="黑体" w:hAnsi="黑体" w:cs="黑体"/>
        </w:rPr>
        <w:t xml:space="preserve"> 贮存</w:t>
      </w:r>
    </w:p>
    <w:p w14:paraId="597DA5B0">
      <w:pPr>
        <w:pStyle w:val="20"/>
      </w:pPr>
      <w:r>
        <w:rPr>
          <w:rFonts w:hint="eastAsia"/>
        </w:rPr>
        <w:t xml:space="preserve">    成品</w:t>
      </w:r>
      <w:r>
        <w:t>应贮存在清洁、卫生、通风、干燥的仓库内，不应与有毒、有害、有</w:t>
      </w:r>
      <w:r>
        <w:rPr>
          <w:rFonts w:hint="eastAsia"/>
        </w:rPr>
        <w:t>异味</w:t>
      </w:r>
      <w:r>
        <w:t>的物品混存，并防止阳光直接照射。</w:t>
      </w:r>
    </w:p>
    <w:p w14:paraId="748547F9">
      <w:pPr>
        <w:pStyle w:val="21"/>
        <w:numPr>
          <w:ilvl w:val="1"/>
          <w:numId w:val="0"/>
        </w:numPr>
        <w:spacing w:before="156" w:after="156"/>
        <w:rPr>
          <w:rFonts w:ascii="黑体" w:hAnsi="黑体" w:cs="黑体"/>
        </w:rPr>
      </w:pPr>
      <w:r>
        <w:rPr>
          <w:rFonts w:hint="eastAsia" w:ascii="黑体" w:hAnsi="黑体" w:cs="黑体"/>
        </w:rPr>
        <w:t>1</w:t>
      </w:r>
      <w:r>
        <w:rPr>
          <w:rFonts w:ascii="黑体" w:hAnsi="黑体" w:cs="黑体"/>
        </w:rPr>
        <w:t>3</w:t>
      </w:r>
      <w:r>
        <w:rPr>
          <w:rFonts w:hint="eastAsia" w:ascii="黑体" w:hAnsi="黑体" w:cs="黑体"/>
        </w:rPr>
        <w:t xml:space="preserve"> 销售</w:t>
      </w:r>
    </w:p>
    <w:p w14:paraId="1AD40349">
      <w:pPr>
        <w:pStyle w:val="20"/>
        <w:tabs>
          <w:tab w:val="center" w:pos="4201"/>
          <w:tab w:val="right" w:leader="dot" w:pos="9298"/>
        </w:tabs>
        <w:rPr>
          <w:rFonts w:ascii="黑体"/>
        </w:rPr>
      </w:pPr>
      <w:r>
        <w:rPr>
          <w:rFonts w:hint="eastAsia" w:ascii="黑体"/>
        </w:rPr>
        <w:t xml:space="preserve">    应符合</w:t>
      </w:r>
      <w:r>
        <w:rPr>
          <w:rFonts w:ascii="Times New Roman"/>
        </w:rPr>
        <w:t>SB/T 10826</w:t>
      </w:r>
      <w:r>
        <w:rPr>
          <w:rFonts w:hint="eastAsia" w:ascii="黑体"/>
        </w:rPr>
        <w:t>的</w:t>
      </w:r>
      <w:r>
        <w:rPr>
          <w:rFonts w:ascii="黑体"/>
        </w:rPr>
        <w:t>规定。</w:t>
      </w:r>
    </w:p>
    <w:bookmarkEnd w:id="67"/>
    <w:bookmarkEnd w:id="68"/>
    <w:bookmarkEnd w:id="69"/>
    <w:bookmarkEnd w:id="70"/>
    <w:bookmarkEnd w:id="71"/>
    <w:bookmarkEnd w:id="72"/>
    <w:bookmarkEnd w:id="93"/>
    <w:p w14:paraId="528EB945">
      <w:pPr>
        <w:rPr>
          <w:rFonts w:ascii="黑体" w:hAnsi="黑体" w:eastAsia="黑体" w:cs="黑体"/>
          <w:color w:val="000000"/>
          <w:szCs w:val="21"/>
          <w:lang w:bidi="zh-TW"/>
        </w:rPr>
      </w:pPr>
      <w:r>
        <w:rPr>
          <w:rFonts w:hint="eastAsia" w:ascii="黑体" w:hAnsi="黑体" w:eastAsia="黑体" w:cs="黑体"/>
          <w:color w:val="000000"/>
          <w:szCs w:val="21"/>
          <w:lang w:bidi="zh-TW"/>
        </w:rPr>
        <w:br w:type="page"/>
      </w:r>
    </w:p>
    <w:p w14:paraId="48667D48">
      <w:pPr>
        <w:spacing w:before="850" w:after="283"/>
        <w:ind w:firstLine="420" w:firstLineChars="200"/>
        <w:jc w:val="center"/>
        <w:rPr>
          <w:rFonts w:ascii="黑体" w:hAnsi="黑体" w:eastAsia="黑体" w:cs="黑体"/>
          <w:color w:val="000000"/>
          <w:szCs w:val="21"/>
          <w:lang w:bidi="zh-TW"/>
        </w:rPr>
      </w:pPr>
      <w:r>
        <w:rPr>
          <w:rFonts w:hint="eastAsia" w:ascii="黑体" w:hAnsi="黑体" w:eastAsia="黑体" w:cs="黑体"/>
          <w:color w:val="000000"/>
          <w:szCs w:val="21"/>
          <w:lang w:bidi="zh-TW"/>
        </w:rPr>
        <w:t>参 考 文 献</w:t>
      </w:r>
    </w:p>
    <w:p w14:paraId="1EE11E9B">
      <w:pPr>
        <w:pStyle w:val="20"/>
        <w:numPr>
          <w:ilvl w:val="0"/>
          <w:numId w:val="3"/>
        </w:numPr>
        <w:tabs>
          <w:tab w:val="center" w:pos="4201"/>
          <w:tab w:val="right" w:leader="dot" w:pos="9298"/>
        </w:tabs>
        <w:ind w:firstLine="420" w:firstLineChars="200"/>
        <w:rPr>
          <w:rFonts w:ascii="Times New Roman"/>
        </w:rPr>
      </w:pPr>
      <w:r>
        <w:rPr>
          <w:rFonts w:ascii="Times New Roman"/>
        </w:rPr>
        <w:t>定量包装商品计量监督管理办法（</w:t>
      </w:r>
      <w:r>
        <w:rPr>
          <w:rFonts w:hint="eastAsia" w:ascii="Times New Roman"/>
        </w:rPr>
        <w:t>国家市场监督管理总局[20</w:t>
      </w:r>
      <w:r>
        <w:rPr>
          <w:rFonts w:hint="eastAsia" w:ascii="Times New Roman"/>
          <w:lang w:val="en-US" w:eastAsia="zh-CN"/>
        </w:rPr>
        <w:t>23</w:t>
      </w:r>
      <w:r>
        <w:rPr>
          <w:rFonts w:hint="eastAsia" w:ascii="Times New Roman"/>
        </w:rPr>
        <w:t>]</w:t>
      </w:r>
      <w:r>
        <w:rPr>
          <w:rFonts w:ascii="Times New Roman"/>
        </w:rPr>
        <w:t>第7</w:t>
      </w:r>
      <w:r>
        <w:rPr>
          <w:rFonts w:hint="eastAsia" w:ascii="Times New Roman"/>
          <w:lang w:val="en-US" w:eastAsia="zh-CN"/>
        </w:rPr>
        <w:t>0</w:t>
      </w:r>
      <w:r>
        <w:rPr>
          <w:rFonts w:ascii="Times New Roman"/>
        </w:rPr>
        <w:t>号令）</w:t>
      </w:r>
    </w:p>
    <w:p w14:paraId="23043866">
      <w:pPr>
        <w:pStyle w:val="20"/>
        <w:rPr>
          <w:rFonts w:eastAsiaTheme="minorEastAsia"/>
        </w:rPr>
      </w:pPr>
    </w:p>
    <w:p w14:paraId="73F4543A">
      <w:pPr>
        <w:pStyle w:val="20"/>
        <w:rPr>
          <w:rFonts w:eastAsiaTheme="minorEastAsia"/>
        </w:rPr>
      </w:pPr>
    </w:p>
    <w:p w14:paraId="7F503798">
      <w:pPr>
        <w:pStyle w:val="28"/>
        <w:framePr w:hSpace="0" w:vSpace="0" w:wrap="auto" w:vAnchor="margin" w:hAnchor="text" w:xAlign="left" w:yAlign="inline"/>
        <w:ind w:left="420"/>
        <w:jc w:val="center"/>
      </w:pPr>
      <w:r>
        <w:t>_________________________________</w:t>
      </w:r>
    </w:p>
    <w:p w14:paraId="4371AC3E">
      <w:pPr>
        <w:pStyle w:val="20"/>
        <w:rPr>
          <w:rFonts w:eastAsiaTheme="minorEastAsia"/>
        </w:rPr>
      </w:pPr>
    </w:p>
    <w:p w14:paraId="7AE9A142">
      <w:pPr>
        <w:pStyle w:val="20"/>
        <w:rPr>
          <w:rFonts w:eastAsiaTheme="minorEastAsia"/>
        </w:rPr>
      </w:pPr>
    </w:p>
    <w:p w14:paraId="6FDC5FE7">
      <w:pPr>
        <w:pStyle w:val="20"/>
        <w:rPr>
          <w:rFonts w:eastAsiaTheme="minorEastAsia"/>
        </w:rPr>
      </w:pPr>
    </w:p>
    <w:p w14:paraId="745815BA">
      <w:pPr>
        <w:pStyle w:val="20"/>
        <w:rPr>
          <w:rFonts w:eastAsiaTheme="minorEastAsia"/>
        </w:rPr>
      </w:pPr>
    </w:p>
    <w:p w14:paraId="724687AA">
      <w:pPr>
        <w:pStyle w:val="20"/>
        <w:rPr>
          <w:rFonts w:ascii="Times New Roman"/>
        </w:rPr>
      </w:pPr>
    </w:p>
    <w:p w14:paraId="16CF71C8"/>
    <w:sectPr>
      <w:footerReference r:id="rId9" w:type="default"/>
      <w:pgSz w:w="11906" w:h="16838"/>
      <w:pgMar w:top="1417" w:right="1417" w:bottom="1417" w:left="1417" w:header="1417"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F0E43">
    <w:pPr>
      <w:pStyle w:val="38"/>
      <w:jc w:val="center"/>
      <w:rPr>
        <w:rStyle w:val="14"/>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66483F">
                          <w:pPr>
                            <w:pStyle w:val="38"/>
                            <w:jc w:val="cente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66483F">
                    <w:pPr>
                      <w:pStyle w:val="38"/>
                      <w:jc w:val="center"/>
                    </w:pPr>
                    <w:r>
                      <w:rPr>
                        <w:rStyle w:val="14"/>
                      </w:rPr>
                      <w:fldChar w:fldCharType="begin"/>
                    </w:r>
                    <w:r>
                      <w:rPr>
                        <w:rStyle w:val="14"/>
                      </w:rPr>
                      <w:instrText xml:space="preserve">PAGE  </w:instrText>
                    </w:r>
                    <w:r>
                      <w:rPr>
                        <w:rStyle w:val="14"/>
                      </w:rPr>
                      <w:fldChar w:fldCharType="separate"/>
                    </w:r>
                    <w:r>
                      <w:rPr>
                        <w:rStyle w:val="14"/>
                      </w:rPr>
                      <w:t>5</w:t>
                    </w:r>
                    <w:r>
                      <w:rPr>
                        <w:rStyle w:val="1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E4C07">
    <w:pPr>
      <w:pStyle w:val="6"/>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78075652">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2233D">
    <w:pPr>
      <w:pStyle w:val="38"/>
      <w:jc w:val="both"/>
      <w:rPr>
        <w:rStyle w:val="14"/>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E2192D">
                          <w:pPr>
                            <w:pStyle w:val="38"/>
                            <w:jc w:val="center"/>
                          </w:pPr>
                          <w:r>
                            <w:rPr>
                              <w:rStyle w:val="14"/>
                            </w:rPr>
                            <w:fldChar w:fldCharType="begin"/>
                          </w:r>
                          <w:r>
                            <w:rPr>
                              <w:rStyle w:val="14"/>
                            </w:rPr>
                            <w:instrText xml:space="preserve">PAGE  </w:instrText>
                          </w:r>
                          <w:r>
                            <w:rPr>
                              <w:rStyle w:val="14"/>
                            </w:rPr>
                            <w:fldChar w:fldCharType="separate"/>
                          </w:r>
                          <w:r>
                            <w:rPr>
                              <w:rStyle w:val="14"/>
                            </w:rPr>
                            <w:t>I</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0BE2192D">
                    <w:pPr>
                      <w:pStyle w:val="38"/>
                      <w:jc w:val="center"/>
                    </w:pPr>
                    <w:r>
                      <w:rPr>
                        <w:rStyle w:val="14"/>
                      </w:rPr>
                      <w:fldChar w:fldCharType="begin"/>
                    </w:r>
                    <w:r>
                      <w:rPr>
                        <w:rStyle w:val="14"/>
                      </w:rPr>
                      <w:instrText xml:space="preserve">PAGE  </w:instrText>
                    </w:r>
                    <w:r>
                      <w:rPr>
                        <w:rStyle w:val="14"/>
                      </w:rPr>
                      <w:fldChar w:fldCharType="separate"/>
                    </w:r>
                    <w:r>
                      <w:rPr>
                        <w:rStyle w:val="14"/>
                      </w:rPr>
                      <w:t>I</w:t>
                    </w:r>
                    <w:r>
                      <w:rPr>
                        <w:rStyle w:val="1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42704">
    <w:pPr>
      <w:pStyle w:val="38"/>
      <w:jc w:val="center"/>
      <w:rPr>
        <w:rStyle w:val="14"/>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89CC7A">
                          <w:pPr>
                            <w:pStyle w:val="38"/>
                            <w:jc w:val="center"/>
                          </w:pPr>
                          <w:r>
                            <w:rPr>
                              <w:rStyle w:val="14"/>
                            </w:rPr>
                            <w:fldChar w:fldCharType="begin"/>
                          </w:r>
                          <w:r>
                            <w:rPr>
                              <w:rStyle w:val="14"/>
                            </w:rPr>
                            <w:instrText xml:space="preserve">PAGE  </w:instrText>
                          </w:r>
                          <w:r>
                            <w:rPr>
                              <w:rStyle w:val="14"/>
                            </w:rPr>
                            <w:fldChar w:fldCharType="separate"/>
                          </w:r>
                          <w:r>
                            <w:rPr>
                              <w:rStyle w:val="14"/>
                            </w:rPr>
                            <w:t>3</w:t>
                          </w:r>
                          <w:r>
                            <w:rPr>
                              <w:rStyle w:val="1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D89CC7A">
                    <w:pPr>
                      <w:pStyle w:val="38"/>
                      <w:jc w:val="center"/>
                    </w:pPr>
                    <w:r>
                      <w:rPr>
                        <w:rStyle w:val="14"/>
                      </w:rPr>
                      <w:fldChar w:fldCharType="begin"/>
                    </w:r>
                    <w:r>
                      <w:rPr>
                        <w:rStyle w:val="14"/>
                      </w:rPr>
                      <w:instrText xml:space="preserve">PAGE  </w:instrText>
                    </w:r>
                    <w:r>
                      <w:rPr>
                        <w:rStyle w:val="14"/>
                      </w:rPr>
                      <w:fldChar w:fldCharType="separate"/>
                    </w:r>
                    <w:r>
                      <w:rPr>
                        <w:rStyle w:val="14"/>
                      </w:rPr>
                      <w:t>3</w:t>
                    </w:r>
                    <w:r>
                      <w:rPr>
                        <w:rStyle w:val="1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FED86">
    <w:pPr>
      <w:pStyle w:val="36"/>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95584">
    <w:pPr>
      <w:pStyle w:val="37"/>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0B7BC">
    <w:pPr>
      <w:pStyle w:val="32"/>
      <w:snapToGrid w:val="0"/>
      <w:spacing w:before="120" w:beforeLines="50"/>
      <w:ind w:left="1277"/>
      <w:rPr>
        <w:rFonts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3D2DD"/>
    <w:multiLevelType w:val="multilevel"/>
    <w:tmpl w:val="F6D3D2DD"/>
    <w:lvl w:ilvl="0" w:tentative="0">
      <w:start w:val="1"/>
      <w:numFmt w:val="decimal"/>
      <w:lvlText w:val="%1  "/>
      <w:lvlJc w:val="left"/>
      <w:pPr>
        <w:ind w:left="360" w:hanging="360"/>
      </w:pPr>
      <w:rPr>
        <w:rFonts w:hint="default" w:ascii="黑体" w:hAnsi="黑体" w:eastAsia="黑体" w:cs="黑体"/>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1B6FFC"/>
    <w:multiLevelType w:val="singleLevel"/>
    <w:tmpl w:val="331B6FFC"/>
    <w:lvl w:ilvl="0" w:tentative="0">
      <w:start w:val="1"/>
      <w:numFmt w:val="decimal"/>
      <w:suff w:val="space"/>
      <w:lvlText w:val="[%1]"/>
      <w:lvlJc w:val="left"/>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7"/>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ZjhlOTNmMGVjZTM1NjEyOGFmNGVmOTdiM2MyZjQifQ=="/>
  </w:docVars>
  <w:rsids>
    <w:rsidRoot w:val="715F158B"/>
    <w:rsid w:val="00005402"/>
    <w:rsid w:val="00021288"/>
    <w:rsid w:val="000303F0"/>
    <w:rsid w:val="000364F5"/>
    <w:rsid w:val="000543B8"/>
    <w:rsid w:val="00067568"/>
    <w:rsid w:val="00081410"/>
    <w:rsid w:val="000871AD"/>
    <w:rsid w:val="000901F0"/>
    <w:rsid w:val="00090D03"/>
    <w:rsid w:val="000A7C35"/>
    <w:rsid w:val="000E17DC"/>
    <w:rsid w:val="000F25C3"/>
    <w:rsid w:val="00101AE9"/>
    <w:rsid w:val="00155414"/>
    <w:rsid w:val="001843AD"/>
    <w:rsid w:val="0019137D"/>
    <w:rsid w:val="001D1B7A"/>
    <w:rsid w:val="001F30E0"/>
    <w:rsid w:val="002346EA"/>
    <w:rsid w:val="00242280"/>
    <w:rsid w:val="00260913"/>
    <w:rsid w:val="002B0AF0"/>
    <w:rsid w:val="002D0152"/>
    <w:rsid w:val="002E0B5E"/>
    <w:rsid w:val="003301EA"/>
    <w:rsid w:val="003334CA"/>
    <w:rsid w:val="003F76FD"/>
    <w:rsid w:val="00405CC6"/>
    <w:rsid w:val="00442B0D"/>
    <w:rsid w:val="00473797"/>
    <w:rsid w:val="004B4994"/>
    <w:rsid w:val="004F5ABF"/>
    <w:rsid w:val="005573CE"/>
    <w:rsid w:val="00572926"/>
    <w:rsid w:val="00584C5F"/>
    <w:rsid w:val="00585089"/>
    <w:rsid w:val="005F521A"/>
    <w:rsid w:val="00660F16"/>
    <w:rsid w:val="00663630"/>
    <w:rsid w:val="00671FB5"/>
    <w:rsid w:val="006732E4"/>
    <w:rsid w:val="00685027"/>
    <w:rsid w:val="006A70F6"/>
    <w:rsid w:val="006B462E"/>
    <w:rsid w:val="0072700B"/>
    <w:rsid w:val="00754A7F"/>
    <w:rsid w:val="0077341B"/>
    <w:rsid w:val="007866EC"/>
    <w:rsid w:val="007958E0"/>
    <w:rsid w:val="007B2BFC"/>
    <w:rsid w:val="007D02AE"/>
    <w:rsid w:val="007D246A"/>
    <w:rsid w:val="00801551"/>
    <w:rsid w:val="00810EBF"/>
    <w:rsid w:val="00814795"/>
    <w:rsid w:val="00814810"/>
    <w:rsid w:val="00844F93"/>
    <w:rsid w:val="008D75A1"/>
    <w:rsid w:val="008E7984"/>
    <w:rsid w:val="0094623D"/>
    <w:rsid w:val="009F3ACF"/>
    <w:rsid w:val="009F4B47"/>
    <w:rsid w:val="00A00E4C"/>
    <w:rsid w:val="00A80874"/>
    <w:rsid w:val="00A91378"/>
    <w:rsid w:val="00AB48C7"/>
    <w:rsid w:val="00AE1B0D"/>
    <w:rsid w:val="00B76680"/>
    <w:rsid w:val="00B842D9"/>
    <w:rsid w:val="00BA1A55"/>
    <w:rsid w:val="00BB69F8"/>
    <w:rsid w:val="00BC3A1F"/>
    <w:rsid w:val="00BD7859"/>
    <w:rsid w:val="00C2179C"/>
    <w:rsid w:val="00C659B7"/>
    <w:rsid w:val="00CB3C08"/>
    <w:rsid w:val="00CC1547"/>
    <w:rsid w:val="00CD79DC"/>
    <w:rsid w:val="00CF518C"/>
    <w:rsid w:val="00D1299E"/>
    <w:rsid w:val="00D42943"/>
    <w:rsid w:val="00D60628"/>
    <w:rsid w:val="00D934F3"/>
    <w:rsid w:val="00DA02A4"/>
    <w:rsid w:val="00DC097C"/>
    <w:rsid w:val="00E02D5F"/>
    <w:rsid w:val="00E22A66"/>
    <w:rsid w:val="00E27DC7"/>
    <w:rsid w:val="00E677D9"/>
    <w:rsid w:val="00EC3136"/>
    <w:rsid w:val="00EC6811"/>
    <w:rsid w:val="00F10F8C"/>
    <w:rsid w:val="00F3029C"/>
    <w:rsid w:val="00F34AF8"/>
    <w:rsid w:val="00F432F2"/>
    <w:rsid w:val="00F52EF6"/>
    <w:rsid w:val="00F66251"/>
    <w:rsid w:val="00FC5741"/>
    <w:rsid w:val="00FC7E97"/>
    <w:rsid w:val="00FE4853"/>
    <w:rsid w:val="010333FC"/>
    <w:rsid w:val="0179546C"/>
    <w:rsid w:val="01A73D87"/>
    <w:rsid w:val="01C26E13"/>
    <w:rsid w:val="01CC7C92"/>
    <w:rsid w:val="01F30184"/>
    <w:rsid w:val="0284056C"/>
    <w:rsid w:val="02DF57A3"/>
    <w:rsid w:val="031511C4"/>
    <w:rsid w:val="0357490B"/>
    <w:rsid w:val="03C50E3C"/>
    <w:rsid w:val="03EF1A15"/>
    <w:rsid w:val="03EF7C67"/>
    <w:rsid w:val="04185410"/>
    <w:rsid w:val="04294F27"/>
    <w:rsid w:val="0431202E"/>
    <w:rsid w:val="04612DAB"/>
    <w:rsid w:val="046248DD"/>
    <w:rsid w:val="04D8694E"/>
    <w:rsid w:val="04F23586"/>
    <w:rsid w:val="052F2A11"/>
    <w:rsid w:val="0539563E"/>
    <w:rsid w:val="055C757F"/>
    <w:rsid w:val="059B24B4"/>
    <w:rsid w:val="05F72E03"/>
    <w:rsid w:val="060A46DF"/>
    <w:rsid w:val="060A6FDB"/>
    <w:rsid w:val="067F1777"/>
    <w:rsid w:val="069778EF"/>
    <w:rsid w:val="06F53DF8"/>
    <w:rsid w:val="06FD269B"/>
    <w:rsid w:val="070457D8"/>
    <w:rsid w:val="071E65E4"/>
    <w:rsid w:val="0748600C"/>
    <w:rsid w:val="076D15CF"/>
    <w:rsid w:val="07832BA1"/>
    <w:rsid w:val="0786131B"/>
    <w:rsid w:val="07C338E5"/>
    <w:rsid w:val="07DD49A7"/>
    <w:rsid w:val="07EB3A46"/>
    <w:rsid w:val="080D690E"/>
    <w:rsid w:val="0842480A"/>
    <w:rsid w:val="0878022B"/>
    <w:rsid w:val="089808CE"/>
    <w:rsid w:val="08B1198F"/>
    <w:rsid w:val="08BB1CB7"/>
    <w:rsid w:val="08BC62FE"/>
    <w:rsid w:val="08BE0B98"/>
    <w:rsid w:val="08F33D56"/>
    <w:rsid w:val="08FB2C0B"/>
    <w:rsid w:val="090C4E18"/>
    <w:rsid w:val="09622C8A"/>
    <w:rsid w:val="09882DBF"/>
    <w:rsid w:val="098E3A7F"/>
    <w:rsid w:val="099077F7"/>
    <w:rsid w:val="09E42E0C"/>
    <w:rsid w:val="0A03446D"/>
    <w:rsid w:val="0A33204C"/>
    <w:rsid w:val="0A432ABB"/>
    <w:rsid w:val="0A482F82"/>
    <w:rsid w:val="0A6A21BF"/>
    <w:rsid w:val="0A717628"/>
    <w:rsid w:val="0A801619"/>
    <w:rsid w:val="0AA35401"/>
    <w:rsid w:val="0AE222D4"/>
    <w:rsid w:val="0B04224A"/>
    <w:rsid w:val="0B0D6DE1"/>
    <w:rsid w:val="0B100BEF"/>
    <w:rsid w:val="0B1B1342"/>
    <w:rsid w:val="0B2B5A29"/>
    <w:rsid w:val="0B301291"/>
    <w:rsid w:val="0B871679"/>
    <w:rsid w:val="0BA64D8F"/>
    <w:rsid w:val="0BBA4FFF"/>
    <w:rsid w:val="0BC327AE"/>
    <w:rsid w:val="0BC33EB3"/>
    <w:rsid w:val="0BDE2A9B"/>
    <w:rsid w:val="0BF00A21"/>
    <w:rsid w:val="0C0149DC"/>
    <w:rsid w:val="0C3009DF"/>
    <w:rsid w:val="0C64330E"/>
    <w:rsid w:val="0C825B1D"/>
    <w:rsid w:val="0C963376"/>
    <w:rsid w:val="0CA84E57"/>
    <w:rsid w:val="0CB87790"/>
    <w:rsid w:val="0CC021A1"/>
    <w:rsid w:val="0CE2480D"/>
    <w:rsid w:val="0CE95B9C"/>
    <w:rsid w:val="0CEC568C"/>
    <w:rsid w:val="0CF935AF"/>
    <w:rsid w:val="0D29243C"/>
    <w:rsid w:val="0D525723"/>
    <w:rsid w:val="0D735465"/>
    <w:rsid w:val="0D983C14"/>
    <w:rsid w:val="0E1C2556"/>
    <w:rsid w:val="0E8B7D5E"/>
    <w:rsid w:val="0E8D07A9"/>
    <w:rsid w:val="0E9E41EB"/>
    <w:rsid w:val="0E9E4764"/>
    <w:rsid w:val="0EC5310D"/>
    <w:rsid w:val="0F1467D4"/>
    <w:rsid w:val="0F40581B"/>
    <w:rsid w:val="0F66397C"/>
    <w:rsid w:val="0F711E78"/>
    <w:rsid w:val="0F955B67"/>
    <w:rsid w:val="0FA57C09"/>
    <w:rsid w:val="0FDB0233"/>
    <w:rsid w:val="104D4694"/>
    <w:rsid w:val="10A02A15"/>
    <w:rsid w:val="10BC7123"/>
    <w:rsid w:val="10F95371"/>
    <w:rsid w:val="10FD4EE8"/>
    <w:rsid w:val="111D5318"/>
    <w:rsid w:val="1122167C"/>
    <w:rsid w:val="114710E3"/>
    <w:rsid w:val="114A0BD3"/>
    <w:rsid w:val="114E421F"/>
    <w:rsid w:val="11A55E09"/>
    <w:rsid w:val="11B524F0"/>
    <w:rsid w:val="11BC387F"/>
    <w:rsid w:val="11C866C2"/>
    <w:rsid w:val="11DB182B"/>
    <w:rsid w:val="11E64458"/>
    <w:rsid w:val="11EC3A38"/>
    <w:rsid w:val="120708DE"/>
    <w:rsid w:val="12072620"/>
    <w:rsid w:val="124D44D7"/>
    <w:rsid w:val="12664571"/>
    <w:rsid w:val="1288236D"/>
    <w:rsid w:val="12D26850"/>
    <w:rsid w:val="13081728"/>
    <w:rsid w:val="13086650"/>
    <w:rsid w:val="134358DA"/>
    <w:rsid w:val="134B1FE3"/>
    <w:rsid w:val="138228A6"/>
    <w:rsid w:val="13F05A62"/>
    <w:rsid w:val="142474B9"/>
    <w:rsid w:val="142D2812"/>
    <w:rsid w:val="142E0338"/>
    <w:rsid w:val="14402F93"/>
    <w:rsid w:val="146B50E8"/>
    <w:rsid w:val="14A34882"/>
    <w:rsid w:val="14D233B9"/>
    <w:rsid w:val="14E153AA"/>
    <w:rsid w:val="15023C9F"/>
    <w:rsid w:val="153100E0"/>
    <w:rsid w:val="15363948"/>
    <w:rsid w:val="15542020"/>
    <w:rsid w:val="157D3325"/>
    <w:rsid w:val="15D06F8B"/>
    <w:rsid w:val="161517B0"/>
    <w:rsid w:val="16421E79"/>
    <w:rsid w:val="16481B85"/>
    <w:rsid w:val="165C73DE"/>
    <w:rsid w:val="165D6CB3"/>
    <w:rsid w:val="166827DF"/>
    <w:rsid w:val="16D36F75"/>
    <w:rsid w:val="16E6314C"/>
    <w:rsid w:val="16E87B93"/>
    <w:rsid w:val="1706633F"/>
    <w:rsid w:val="171001C9"/>
    <w:rsid w:val="17410382"/>
    <w:rsid w:val="175C65E8"/>
    <w:rsid w:val="17680005"/>
    <w:rsid w:val="177C00C0"/>
    <w:rsid w:val="178679F1"/>
    <w:rsid w:val="17944956"/>
    <w:rsid w:val="179A3525"/>
    <w:rsid w:val="17A9015C"/>
    <w:rsid w:val="17B15508"/>
    <w:rsid w:val="18300B23"/>
    <w:rsid w:val="1831400C"/>
    <w:rsid w:val="18341D85"/>
    <w:rsid w:val="18956596"/>
    <w:rsid w:val="18DA1743"/>
    <w:rsid w:val="19020FD3"/>
    <w:rsid w:val="1934019F"/>
    <w:rsid w:val="19516FA3"/>
    <w:rsid w:val="196B16E7"/>
    <w:rsid w:val="19792055"/>
    <w:rsid w:val="19940109"/>
    <w:rsid w:val="19EE7B83"/>
    <w:rsid w:val="1A0E6C42"/>
    <w:rsid w:val="1A3146DE"/>
    <w:rsid w:val="1A4A5089"/>
    <w:rsid w:val="1A761766"/>
    <w:rsid w:val="1AAE3F81"/>
    <w:rsid w:val="1AC217DA"/>
    <w:rsid w:val="1AD67034"/>
    <w:rsid w:val="1B163D36"/>
    <w:rsid w:val="1B262605"/>
    <w:rsid w:val="1B3F1135"/>
    <w:rsid w:val="1B414DF5"/>
    <w:rsid w:val="1B50328A"/>
    <w:rsid w:val="1B574618"/>
    <w:rsid w:val="1B7C407F"/>
    <w:rsid w:val="1B970EB9"/>
    <w:rsid w:val="1BAF1D5E"/>
    <w:rsid w:val="1C085913"/>
    <w:rsid w:val="1C12186A"/>
    <w:rsid w:val="1C1442B7"/>
    <w:rsid w:val="1C24274C"/>
    <w:rsid w:val="1C33298F"/>
    <w:rsid w:val="1C386676"/>
    <w:rsid w:val="1C694603"/>
    <w:rsid w:val="1C8A2B02"/>
    <w:rsid w:val="1CA728DC"/>
    <w:rsid w:val="1CFD4D4B"/>
    <w:rsid w:val="1D255CFB"/>
    <w:rsid w:val="1D464944"/>
    <w:rsid w:val="1D6D1ED1"/>
    <w:rsid w:val="1D7414B2"/>
    <w:rsid w:val="1D7E27C4"/>
    <w:rsid w:val="1D9A07EC"/>
    <w:rsid w:val="1DA82F09"/>
    <w:rsid w:val="1E0D7210"/>
    <w:rsid w:val="1E682698"/>
    <w:rsid w:val="1E9516DF"/>
    <w:rsid w:val="1EA40424"/>
    <w:rsid w:val="1EA74AFA"/>
    <w:rsid w:val="1EAF69BE"/>
    <w:rsid w:val="1EB3600A"/>
    <w:rsid w:val="1EE44415"/>
    <w:rsid w:val="1F1840BF"/>
    <w:rsid w:val="1F3709E9"/>
    <w:rsid w:val="1F446D63"/>
    <w:rsid w:val="1F482287"/>
    <w:rsid w:val="1F5F584A"/>
    <w:rsid w:val="1F6E7612"/>
    <w:rsid w:val="1F9951FF"/>
    <w:rsid w:val="1F996FAD"/>
    <w:rsid w:val="1FCB2EDF"/>
    <w:rsid w:val="1FD46237"/>
    <w:rsid w:val="1FF81FA6"/>
    <w:rsid w:val="201B4CE7"/>
    <w:rsid w:val="2068689C"/>
    <w:rsid w:val="208E57EA"/>
    <w:rsid w:val="209816EE"/>
    <w:rsid w:val="20AA343C"/>
    <w:rsid w:val="21093B01"/>
    <w:rsid w:val="21113386"/>
    <w:rsid w:val="214E201A"/>
    <w:rsid w:val="21564CC5"/>
    <w:rsid w:val="21571507"/>
    <w:rsid w:val="21BE2E1C"/>
    <w:rsid w:val="21BF4CC5"/>
    <w:rsid w:val="21CF315A"/>
    <w:rsid w:val="21D61DDC"/>
    <w:rsid w:val="21D73DBD"/>
    <w:rsid w:val="21F52D2D"/>
    <w:rsid w:val="22133B0F"/>
    <w:rsid w:val="221C5C74"/>
    <w:rsid w:val="226D4721"/>
    <w:rsid w:val="227B5090"/>
    <w:rsid w:val="227C7B23"/>
    <w:rsid w:val="229C1A92"/>
    <w:rsid w:val="22D64075"/>
    <w:rsid w:val="22F4274D"/>
    <w:rsid w:val="23111551"/>
    <w:rsid w:val="23114793"/>
    <w:rsid w:val="232C1EE7"/>
    <w:rsid w:val="232E186A"/>
    <w:rsid w:val="235002CB"/>
    <w:rsid w:val="237F64BA"/>
    <w:rsid w:val="23867C9E"/>
    <w:rsid w:val="238E0DF3"/>
    <w:rsid w:val="239F4DAE"/>
    <w:rsid w:val="24143E1B"/>
    <w:rsid w:val="241F3BAD"/>
    <w:rsid w:val="2478071C"/>
    <w:rsid w:val="247E49C4"/>
    <w:rsid w:val="248024EA"/>
    <w:rsid w:val="24D35DFB"/>
    <w:rsid w:val="24EF2718"/>
    <w:rsid w:val="24F20F0E"/>
    <w:rsid w:val="24F75F2B"/>
    <w:rsid w:val="24FF348E"/>
    <w:rsid w:val="25113A8A"/>
    <w:rsid w:val="25145328"/>
    <w:rsid w:val="253F4153"/>
    <w:rsid w:val="25583889"/>
    <w:rsid w:val="25C24D84"/>
    <w:rsid w:val="25E41FE9"/>
    <w:rsid w:val="25ED0053"/>
    <w:rsid w:val="264E2C81"/>
    <w:rsid w:val="266B541C"/>
    <w:rsid w:val="26753572"/>
    <w:rsid w:val="26C51C58"/>
    <w:rsid w:val="26E8136C"/>
    <w:rsid w:val="26F31699"/>
    <w:rsid w:val="27082C6B"/>
    <w:rsid w:val="27545EB0"/>
    <w:rsid w:val="276D3849"/>
    <w:rsid w:val="278F537C"/>
    <w:rsid w:val="27B506FD"/>
    <w:rsid w:val="280D678A"/>
    <w:rsid w:val="28A6273B"/>
    <w:rsid w:val="28B07116"/>
    <w:rsid w:val="28BF3904"/>
    <w:rsid w:val="29392484"/>
    <w:rsid w:val="29661255"/>
    <w:rsid w:val="296F0D7F"/>
    <w:rsid w:val="29AF1F09"/>
    <w:rsid w:val="29E74DB9"/>
    <w:rsid w:val="2A042ABA"/>
    <w:rsid w:val="2A3B4116"/>
    <w:rsid w:val="2A842608"/>
    <w:rsid w:val="2AD0584D"/>
    <w:rsid w:val="2AF7636C"/>
    <w:rsid w:val="2B2230DE"/>
    <w:rsid w:val="2BA77508"/>
    <w:rsid w:val="2BDD46C6"/>
    <w:rsid w:val="2C645E65"/>
    <w:rsid w:val="2C6E5EC2"/>
    <w:rsid w:val="2C87617D"/>
    <w:rsid w:val="2C8B2374"/>
    <w:rsid w:val="2CB847EB"/>
    <w:rsid w:val="2CCB09C2"/>
    <w:rsid w:val="2CE77338"/>
    <w:rsid w:val="2CF00429"/>
    <w:rsid w:val="2D244711"/>
    <w:rsid w:val="2D31101F"/>
    <w:rsid w:val="2D8E211C"/>
    <w:rsid w:val="2D940755"/>
    <w:rsid w:val="2D9675D6"/>
    <w:rsid w:val="2E262492"/>
    <w:rsid w:val="2E2B600A"/>
    <w:rsid w:val="2E514EF7"/>
    <w:rsid w:val="2E62218D"/>
    <w:rsid w:val="2E8B21B7"/>
    <w:rsid w:val="2EB07E70"/>
    <w:rsid w:val="2F1531D0"/>
    <w:rsid w:val="2F1F6DA3"/>
    <w:rsid w:val="2F311268"/>
    <w:rsid w:val="2F6824F8"/>
    <w:rsid w:val="2F9B467C"/>
    <w:rsid w:val="2FBE7946"/>
    <w:rsid w:val="2FC32F68"/>
    <w:rsid w:val="2FD44032"/>
    <w:rsid w:val="2FE34275"/>
    <w:rsid w:val="30380106"/>
    <w:rsid w:val="306058C5"/>
    <w:rsid w:val="30AA0CCD"/>
    <w:rsid w:val="30AE1C6C"/>
    <w:rsid w:val="30B005FB"/>
    <w:rsid w:val="31070819"/>
    <w:rsid w:val="317C04DD"/>
    <w:rsid w:val="319D671E"/>
    <w:rsid w:val="31A71603"/>
    <w:rsid w:val="31E7004C"/>
    <w:rsid w:val="31F91B2E"/>
    <w:rsid w:val="320F1351"/>
    <w:rsid w:val="321C7AAD"/>
    <w:rsid w:val="3220530C"/>
    <w:rsid w:val="324E1E79"/>
    <w:rsid w:val="32DA2F0D"/>
    <w:rsid w:val="32EC3440"/>
    <w:rsid w:val="32F17889"/>
    <w:rsid w:val="32F3060F"/>
    <w:rsid w:val="32FF3876"/>
    <w:rsid w:val="33305A23"/>
    <w:rsid w:val="334A6CCC"/>
    <w:rsid w:val="33F56325"/>
    <w:rsid w:val="33F61444"/>
    <w:rsid w:val="341862D2"/>
    <w:rsid w:val="345F12CF"/>
    <w:rsid w:val="346040E6"/>
    <w:rsid w:val="347B0F20"/>
    <w:rsid w:val="34AE30A3"/>
    <w:rsid w:val="34C44675"/>
    <w:rsid w:val="34F767F8"/>
    <w:rsid w:val="34FF745B"/>
    <w:rsid w:val="35154ED0"/>
    <w:rsid w:val="35531555"/>
    <w:rsid w:val="35984358"/>
    <w:rsid w:val="35C45A8C"/>
    <w:rsid w:val="35CF1523"/>
    <w:rsid w:val="361A2073"/>
    <w:rsid w:val="361E2E89"/>
    <w:rsid w:val="3652180C"/>
    <w:rsid w:val="368F2A60"/>
    <w:rsid w:val="369C3089"/>
    <w:rsid w:val="36AA1648"/>
    <w:rsid w:val="36B65DB6"/>
    <w:rsid w:val="36B96E85"/>
    <w:rsid w:val="36EC7EB3"/>
    <w:rsid w:val="370945C1"/>
    <w:rsid w:val="373553B6"/>
    <w:rsid w:val="374D2339"/>
    <w:rsid w:val="3781684D"/>
    <w:rsid w:val="384358B1"/>
    <w:rsid w:val="384B29B7"/>
    <w:rsid w:val="384B4EB5"/>
    <w:rsid w:val="392E030F"/>
    <w:rsid w:val="395A55A8"/>
    <w:rsid w:val="395C1320"/>
    <w:rsid w:val="39774380"/>
    <w:rsid w:val="39AB5E03"/>
    <w:rsid w:val="39DA0497"/>
    <w:rsid w:val="3A414072"/>
    <w:rsid w:val="3A661D2A"/>
    <w:rsid w:val="3A6B51A0"/>
    <w:rsid w:val="3A7F2761"/>
    <w:rsid w:val="3A9839D5"/>
    <w:rsid w:val="3AA50AA5"/>
    <w:rsid w:val="3AAC1E33"/>
    <w:rsid w:val="3AB64A60"/>
    <w:rsid w:val="3ACD1DA9"/>
    <w:rsid w:val="3AE27603"/>
    <w:rsid w:val="3AEA64B7"/>
    <w:rsid w:val="3B0A6C0E"/>
    <w:rsid w:val="3B312338"/>
    <w:rsid w:val="3BA7084C"/>
    <w:rsid w:val="3BD74C8E"/>
    <w:rsid w:val="3C805325"/>
    <w:rsid w:val="3C9138EA"/>
    <w:rsid w:val="3CB66F99"/>
    <w:rsid w:val="3CC03974"/>
    <w:rsid w:val="3D2E2FD3"/>
    <w:rsid w:val="3D556267"/>
    <w:rsid w:val="3D566086"/>
    <w:rsid w:val="3D8C5F4C"/>
    <w:rsid w:val="3D956BAE"/>
    <w:rsid w:val="3DF02037"/>
    <w:rsid w:val="3E0D2BA2"/>
    <w:rsid w:val="3E111FAD"/>
    <w:rsid w:val="3E287A22"/>
    <w:rsid w:val="3E6A5CCC"/>
    <w:rsid w:val="3E8D5AD7"/>
    <w:rsid w:val="3E8F7AA2"/>
    <w:rsid w:val="3EE11CA2"/>
    <w:rsid w:val="3F0B728B"/>
    <w:rsid w:val="3F105341"/>
    <w:rsid w:val="3F3B3785"/>
    <w:rsid w:val="3F5B3E28"/>
    <w:rsid w:val="3F80388E"/>
    <w:rsid w:val="3F890995"/>
    <w:rsid w:val="3FB157F6"/>
    <w:rsid w:val="3FBC1FE2"/>
    <w:rsid w:val="3FBD063E"/>
    <w:rsid w:val="3FC74D01"/>
    <w:rsid w:val="3FF54D36"/>
    <w:rsid w:val="4014414F"/>
    <w:rsid w:val="40442B0E"/>
    <w:rsid w:val="40512B35"/>
    <w:rsid w:val="4057639D"/>
    <w:rsid w:val="405A7C3B"/>
    <w:rsid w:val="40827192"/>
    <w:rsid w:val="40920B3F"/>
    <w:rsid w:val="40B03B73"/>
    <w:rsid w:val="40BE641C"/>
    <w:rsid w:val="40C47A40"/>
    <w:rsid w:val="414508EB"/>
    <w:rsid w:val="416A0352"/>
    <w:rsid w:val="416F7716"/>
    <w:rsid w:val="41780CC1"/>
    <w:rsid w:val="41826D0B"/>
    <w:rsid w:val="41856F3A"/>
    <w:rsid w:val="41886A2A"/>
    <w:rsid w:val="41931657"/>
    <w:rsid w:val="41BA3087"/>
    <w:rsid w:val="41D3433B"/>
    <w:rsid w:val="41D34BA9"/>
    <w:rsid w:val="41D43A1D"/>
    <w:rsid w:val="41D8350E"/>
    <w:rsid w:val="422E137F"/>
    <w:rsid w:val="42423625"/>
    <w:rsid w:val="4249440B"/>
    <w:rsid w:val="42756FAE"/>
    <w:rsid w:val="428216CB"/>
    <w:rsid w:val="430B346F"/>
    <w:rsid w:val="433E3844"/>
    <w:rsid w:val="438518DD"/>
    <w:rsid w:val="43E66BC8"/>
    <w:rsid w:val="44254A04"/>
    <w:rsid w:val="446217B4"/>
    <w:rsid w:val="4469669F"/>
    <w:rsid w:val="44B94C67"/>
    <w:rsid w:val="45264590"/>
    <w:rsid w:val="458F559E"/>
    <w:rsid w:val="45901B57"/>
    <w:rsid w:val="45A1630C"/>
    <w:rsid w:val="45E83F3B"/>
    <w:rsid w:val="46162F67"/>
    <w:rsid w:val="464242FA"/>
    <w:rsid w:val="46AA2F9F"/>
    <w:rsid w:val="470C4453"/>
    <w:rsid w:val="47150D60"/>
    <w:rsid w:val="47170634"/>
    <w:rsid w:val="471C20EE"/>
    <w:rsid w:val="471F1BDF"/>
    <w:rsid w:val="474D629F"/>
    <w:rsid w:val="4750522E"/>
    <w:rsid w:val="4766336A"/>
    <w:rsid w:val="47D93B3C"/>
    <w:rsid w:val="47F0794B"/>
    <w:rsid w:val="47F646ED"/>
    <w:rsid w:val="48396CD0"/>
    <w:rsid w:val="48965ED0"/>
    <w:rsid w:val="48A00AFD"/>
    <w:rsid w:val="48AB5019"/>
    <w:rsid w:val="48D507A7"/>
    <w:rsid w:val="48DC0511"/>
    <w:rsid w:val="49066BB2"/>
    <w:rsid w:val="49115557"/>
    <w:rsid w:val="492B03C7"/>
    <w:rsid w:val="493376DD"/>
    <w:rsid w:val="493C6A78"/>
    <w:rsid w:val="494722AB"/>
    <w:rsid w:val="49583186"/>
    <w:rsid w:val="49757894"/>
    <w:rsid w:val="49AD1724"/>
    <w:rsid w:val="49B90028"/>
    <w:rsid w:val="49F31153"/>
    <w:rsid w:val="49FB423D"/>
    <w:rsid w:val="4A054498"/>
    <w:rsid w:val="4A0D5D1E"/>
    <w:rsid w:val="4A2718EB"/>
    <w:rsid w:val="4A413C1A"/>
    <w:rsid w:val="4A527BD5"/>
    <w:rsid w:val="4A601C43"/>
    <w:rsid w:val="4A633B90"/>
    <w:rsid w:val="4A6F057C"/>
    <w:rsid w:val="4A851D59"/>
    <w:rsid w:val="4AA85A47"/>
    <w:rsid w:val="4AA93C99"/>
    <w:rsid w:val="4AAA17BF"/>
    <w:rsid w:val="4ADA6548"/>
    <w:rsid w:val="4AF40C8C"/>
    <w:rsid w:val="4B1355B6"/>
    <w:rsid w:val="4B327CC6"/>
    <w:rsid w:val="4B995B21"/>
    <w:rsid w:val="4BA16A96"/>
    <w:rsid w:val="4BA37A49"/>
    <w:rsid w:val="4BB87F0C"/>
    <w:rsid w:val="4BBA0128"/>
    <w:rsid w:val="4BCB6653"/>
    <w:rsid w:val="4BE3142D"/>
    <w:rsid w:val="4BF3029F"/>
    <w:rsid w:val="4C207BF0"/>
    <w:rsid w:val="4C6836E0"/>
    <w:rsid w:val="4C860003"/>
    <w:rsid w:val="4CAC181F"/>
    <w:rsid w:val="4D0B0C3B"/>
    <w:rsid w:val="4D357A66"/>
    <w:rsid w:val="4D765FA3"/>
    <w:rsid w:val="4D834C75"/>
    <w:rsid w:val="4DAB7EDA"/>
    <w:rsid w:val="4DC31516"/>
    <w:rsid w:val="4DCE1C69"/>
    <w:rsid w:val="4DD21759"/>
    <w:rsid w:val="4DFA0CB0"/>
    <w:rsid w:val="4E0833CC"/>
    <w:rsid w:val="4E141D71"/>
    <w:rsid w:val="4E4A5793"/>
    <w:rsid w:val="4ECF7E2B"/>
    <w:rsid w:val="4ED60E57"/>
    <w:rsid w:val="4F050B6D"/>
    <w:rsid w:val="4F1B712F"/>
    <w:rsid w:val="4F381A8F"/>
    <w:rsid w:val="4F462317"/>
    <w:rsid w:val="4FC1669B"/>
    <w:rsid w:val="4FDA0DF6"/>
    <w:rsid w:val="4FF45606"/>
    <w:rsid w:val="4FFE0FF2"/>
    <w:rsid w:val="50002336"/>
    <w:rsid w:val="50414974"/>
    <w:rsid w:val="50552CF3"/>
    <w:rsid w:val="50666188"/>
    <w:rsid w:val="507B60D8"/>
    <w:rsid w:val="50AF6900"/>
    <w:rsid w:val="50FA09B1"/>
    <w:rsid w:val="514E559A"/>
    <w:rsid w:val="51A0391C"/>
    <w:rsid w:val="51BE213E"/>
    <w:rsid w:val="51E952C3"/>
    <w:rsid w:val="52164189"/>
    <w:rsid w:val="523601F3"/>
    <w:rsid w:val="5273519C"/>
    <w:rsid w:val="528E031D"/>
    <w:rsid w:val="52BC1972"/>
    <w:rsid w:val="52D700DE"/>
    <w:rsid w:val="52F027AF"/>
    <w:rsid w:val="530A54F1"/>
    <w:rsid w:val="530B4BE6"/>
    <w:rsid w:val="53105563"/>
    <w:rsid w:val="53234805"/>
    <w:rsid w:val="533920AE"/>
    <w:rsid w:val="53416392"/>
    <w:rsid w:val="53424C8B"/>
    <w:rsid w:val="53525315"/>
    <w:rsid w:val="53A25729"/>
    <w:rsid w:val="53BF0875"/>
    <w:rsid w:val="53CA68D8"/>
    <w:rsid w:val="53E752BB"/>
    <w:rsid w:val="53E977FC"/>
    <w:rsid w:val="540E72EB"/>
    <w:rsid w:val="541D4B12"/>
    <w:rsid w:val="543C792C"/>
    <w:rsid w:val="5479708B"/>
    <w:rsid w:val="54A604EB"/>
    <w:rsid w:val="54CF69F2"/>
    <w:rsid w:val="55436A98"/>
    <w:rsid w:val="55482300"/>
    <w:rsid w:val="554E3DBB"/>
    <w:rsid w:val="55715927"/>
    <w:rsid w:val="557C4CDF"/>
    <w:rsid w:val="559D089E"/>
    <w:rsid w:val="562543F0"/>
    <w:rsid w:val="562C577E"/>
    <w:rsid w:val="562D715C"/>
    <w:rsid w:val="5640122A"/>
    <w:rsid w:val="566B44F9"/>
    <w:rsid w:val="569C2F3C"/>
    <w:rsid w:val="56B51C18"/>
    <w:rsid w:val="56C62E14"/>
    <w:rsid w:val="56CF2CD9"/>
    <w:rsid w:val="56E60023"/>
    <w:rsid w:val="571A483D"/>
    <w:rsid w:val="572648C3"/>
    <w:rsid w:val="57544F8D"/>
    <w:rsid w:val="57750CCB"/>
    <w:rsid w:val="577675F9"/>
    <w:rsid w:val="57A06424"/>
    <w:rsid w:val="57D11596"/>
    <w:rsid w:val="57FB5D50"/>
    <w:rsid w:val="581F3C8C"/>
    <w:rsid w:val="582E57DE"/>
    <w:rsid w:val="585E3377"/>
    <w:rsid w:val="5866766D"/>
    <w:rsid w:val="58801DB1"/>
    <w:rsid w:val="58806D6B"/>
    <w:rsid w:val="58B34C17"/>
    <w:rsid w:val="58D5034F"/>
    <w:rsid w:val="58DA7713"/>
    <w:rsid w:val="58FA6008"/>
    <w:rsid w:val="59D95C1D"/>
    <w:rsid w:val="59FB5B93"/>
    <w:rsid w:val="5A0616B1"/>
    <w:rsid w:val="5A1E1882"/>
    <w:rsid w:val="5A470DD9"/>
    <w:rsid w:val="5A5413E3"/>
    <w:rsid w:val="5AEC67FA"/>
    <w:rsid w:val="5AF96577"/>
    <w:rsid w:val="5B280C0A"/>
    <w:rsid w:val="5B2D6220"/>
    <w:rsid w:val="5B4B66A7"/>
    <w:rsid w:val="5B6854AA"/>
    <w:rsid w:val="5BC76675"/>
    <w:rsid w:val="5BDA4A94"/>
    <w:rsid w:val="5BEA2363"/>
    <w:rsid w:val="5BFA3A04"/>
    <w:rsid w:val="5C0374B9"/>
    <w:rsid w:val="5C0F6B97"/>
    <w:rsid w:val="5C423F4D"/>
    <w:rsid w:val="5C8C341B"/>
    <w:rsid w:val="5CB309A7"/>
    <w:rsid w:val="5CB85FBE"/>
    <w:rsid w:val="5CCB3F43"/>
    <w:rsid w:val="5CCE758F"/>
    <w:rsid w:val="5CDC1CAC"/>
    <w:rsid w:val="5D310209"/>
    <w:rsid w:val="5D7B0085"/>
    <w:rsid w:val="5D7C1F1D"/>
    <w:rsid w:val="5E447901"/>
    <w:rsid w:val="5E570CB0"/>
    <w:rsid w:val="5E5E4943"/>
    <w:rsid w:val="5E6737F7"/>
    <w:rsid w:val="5E677C9B"/>
    <w:rsid w:val="5E6C3504"/>
    <w:rsid w:val="5ECC3A1D"/>
    <w:rsid w:val="5EE27322"/>
    <w:rsid w:val="5F063883"/>
    <w:rsid w:val="5F5E109E"/>
    <w:rsid w:val="5F750196"/>
    <w:rsid w:val="5F751C60"/>
    <w:rsid w:val="5FC77D19"/>
    <w:rsid w:val="5FDC6467"/>
    <w:rsid w:val="5FF27A39"/>
    <w:rsid w:val="5FF87658"/>
    <w:rsid w:val="603D6F06"/>
    <w:rsid w:val="6071095D"/>
    <w:rsid w:val="60912DAE"/>
    <w:rsid w:val="60D61108"/>
    <w:rsid w:val="60F8107F"/>
    <w:rsid w:val="60FB0B6F"/>
    <w:rsid w:val="610F0176"/>
    <w:rsid w:val="613B5E44"/>
    <w:rsid w:val="613C71BD"/>
    <w:rsid w:val="6148266D"/>
    <w:rsid w:val="61616C24"/>
    <w:rsid w:val="6180119A"/>
    <w:rsid w:val="618B5012"/>
    <w:rsid w:val="61932B55"/>
    <w:rsid w:val="619F599E"/>
    <w:rsid w:val="61E0223F"/>
    <w:rsid w:val="61E57855"/>
    <w:rsid w:val="61F5665D"/>
    <w:rsid w:val="6227631A"/>
    <w:rsid w:val="626C3AD2"/>
    <w:rsid w:val="6275699B"/>
    <w:rsid w:val="62854B94"/>
    <w:rsid w:val="629F060D"/>
    <w:rsid w:val="62C23B42"/>
    <w:rsid w:val="62C332D8"/>
    <w:rsid w:val="62C751AC"/>
    <w:rsid w:val="62C87BB1"/>
    <w:rsid w:val="62E01518"/>
    <w:rsid w:val="62F51D1A"/>
    <w:rsid w:val="630E2DDB"/>
    <w:rsid w:val="63161C90"/>
    <w:rsid w:val="63251ED3"/>
    <w:rsid w:val="63377DE5"/>
    <w:rsid w:val="636C7565"/>
    <w:rsid w:val="639332E1"/>
    <w:rsid w:val="64065861"/>
    <w:rsid w:val="642C4739"/>
    <w:rsid w:val="645667E8"/>
    <w:rsid w:val="64FD5FBF"/>
    <w:rsid w:val="651638D5"/>
    <w:rsid w:val="652F0DE7"/>
    <w:rsid w:val="653025BD"/>
    <w:rsid w:val="65432E7A"/>
    <w:rsid w:val="65876E75"/>
    <w:rsid w:val="6588004A"/>
    <w:rsid w:val="658A7C58"/>
    <w:rsid w:val="65907AD8"/>
    <w:rsid w:val="65B337C6"/>
    <w:rsid w:val="65D11E9E"/>
    <w:rsid w:val="65D35C16"/>
    <w:rsid w:val="66080D5A"/>
    <w:rsid w:val="660D737A"/>
    <w:rsid w:val="663D17DF"/>
    <w:rsid w:val="664408C2"/>
    <w:rsid w:val="669435F8"/>
    <w:rsid w:val="669B6901"/>
    <w:rsid w:val="66AD46B9"/>
    <w:rsid w:val="66D8063C"/>
    <w:rsid w:val="67185FD7"/>
    <w:rsid w:val="672D1662"/>
    <w:rsid w:val="673715E3"/>
    <w:rsid w:val="67386679"/>
    <w:rsid w:val="67576D49"/>
    <w:rsid w:val="675C250A"/>
    <w:rsid w:val="678A67A9"/>
    <w:rsid w:val="679413D5"/>
    <w:rsid w:val="67BD6B7E"/>
    <w:rsid w:val="67DA1624"/>
    <w:rsid w:val="67ED7463"/>
    <w:rsid w:val="6809591F"/>
    <w:rsid w:val="68264723"/>
    <w:rsid w:val="68420E31"/>
    <w:rsid w:val="686B65DA"/>
    <w:rsid w:val="686F5A3D"/>
    <w:rsid w:val="68757459"/>
    <w:rsid w:val="687C07E7"/>
    <w:rsid w:val="68880F3A"/>
    <w:rsid w:val="68FB3083"/>
    <w:rsid w:val="691B0000"/>
    <w:rsid w:val="69342E70"/>
    <w:rsid w:val="696A24C6"/>
    <w:rsid w:val="69735746"/>
    <w:rsid w:val="697414BE"/>
    <w:rsid w:val="699975B2"/>
    <w:rsid w:val="69AA3132"/>
    <w:rsid w:val="69C547A6"/>
    <w:rsid w:val="69FA19C4"/>
    <w:rsid w:val="69FF347E"/>
    <w:rsid w:val="6A040A94"/>
    <w:rsid w:val="6A1011E7"/>
    <w:rsid w:val="6A121CC6"/>
    <w:rsid w:val="6A2E78BF"/>
    <w:rsid w:val="6A3D3FA6"/>
    <w:rsid w:val="6A5A0B5B"/>
    <w:rsid w:val="6A8B2F63"/>
    <w:rsid w:val="6AA70E9C"/>
    <w:rsid w:val="6AB73D58"/>
    <w:rsid w:val="6AB9362D"/>
    <w:rsid w:val="6AE83F12"/>
    <w:rsid w:val="6B166709"/>
    <w:rsid w:val="6B581098"/>
    <w:rsid w:val="6B6A0DCB"/>
    <w:rsid w:val="6B6F3193"/>
    <w:rsid w:val="6B7C24AE"/>
    <w:rsid w:val="6B7D0AFE"/>
    <w:rsid w:val="6BB838E4"/>
    <w:rsid w:val="6BCA186A"/>
    <w:rsid w:val="6BDB3A77"/>
    <w:rsid w:val="6BF863D7"/>
    <w:rsid w:val="6BFA4991"/>
    <w:rsid w:val="6C0E5BFA"/>
    <w:rsid w:val="6C603B35"/>
    <w:rsid w:val="6C702411"/>
    <w:rsid w:val="6C8D40DA"/>
    <w:rsid w:val="6CB260C6"/>
    <w:rsid w:val="6D050DAB"/>
    <w:rsid w:val="6D4A2C62"/>
    <w:rsid w:val="6D6655C2"/>
    <w:rsid w:val="6D8D2B4F"/>
    <w:rsid w:val="6D95320C"/>
    <w:rsid w:val="6DCD73EF"/>
    <w:rsid w:val="6DD53C0F"/>
    <w:rsid w:val="6DD6296F"/>
    <w:rsid w:val="6DDD1884"/>
    <w:rsid w:val="6DDD3AD6"/>
    <w:rsid w:val="6E1F40EF"/>
    <w:rsid w:val="6E313E22"/>
    <w:rsid w:val="6E3B3E98"/>
    <w:rsid w:val="6E6715F2"/>
    <w:rsid w:val="6E893726"/>
    <w:rsid w:val="6E8C1058"/>
    <w:rsid w:val="6E930639"/>
    <w:rsid w:val="6EA93F33"/>
    <w:rsid w:val="6EAE7221"/>
    <w:rsid w:val="6EB67795"/>
    <w:rsid w:val="6ED00F45"/>
    <w:rsid w:val="6EE40E94"/>
    <w:rsid w:val="6EE82732"/>
    <w:rsid w:val="6F08090C"/>
    <w:rsid w:val="6F2179F2"/>
    <w:rsid w:val="6F255735"/>
    <w:rsid w:val="6F327E52"/>
    <w:rsid w:val="6F4D4C8B"/>
    <w:rsid w:val="6F8561D3"/>
    <w:rsid w:val="6FB10D76"/>
    <w:rsid w:val="6FCF5329"/>
    <w:rsid w:val="6FD862CD"/>
    <w:rsid w:val="6FEF5D43"/>
    <w:rsid w:val="6FFB46E7"/>
    <w:rsid w:val="7040034C"/>
    <w:rsid w:val="70455963"/>
    <w:rsid w:val="705B0CE2"/>
    <w:rsid w:val="706109F2"/>
    <w:rsid w:val="70645DE9"/>
    <w:rsid w:val="70912956"/>
    <w:rsid w:val="70C44AD9"/>
    <w:rsid w:val="70E94540"/>
    <w:rsid w:val="70EB475C"/>
    <w:rsid w:val="70FD3B36"/>
    <w:rsid w:val="71156FC1"/>
    <w:rsid w:val="71213CDA"/>
    <w:rsid w:val="71456239"/>
    <w:rsid w:val="715F158B"/>
    <w:rsid w:val="716342F2"/>
    <w:rsid w:val="71B72890"/>
    <w:rsid w:val="71C76DE6"/>
    <w:rsid w:val="71EF202A"/>
    <w:rsid w:val="71FE6BE8"/>
    <w:rsid w:val="72A93F87"/>
    <w:rsid w:val="72B333C6"/>
    <w:rsid w:val="72BF7C4E"/>
    <w:rsid w:val="72E43211"/>
    <w:rsid w:val="72E94CCB"/>
    <w:rsid w:val="734531CD"/>
    <w:rsid w:val="73532145"/>
    <w:rsid w:val="73A6496A"/>
    <w:rsid w:val="73B84F29"/>
    <w:rsid w:val="73FC0A2E"/>
    <w:rsid w:val="7400051E"/>
    <w:rsid w:val="740F2585"/>
    <w:rsid w:val="741706BB"/>
    <w:rsid w:val="742A10F7"/>
    <w:rsid w:val="74335F8F"/>
    <w:rsid w:val="743E2DF5"/>
    <w:rsid w:val="74932A0C"/>
    <w:rsid w:val="7496678D"/>
    <w:rsid w:val="749A7801"/>
    <w:rsid w:val="74B65081"/>
    <w:rsid w:val="74C0380A"/>
    <w:rsid w:val="75022074"/>
    <w:rsid w:val="75096F5F"/>
    <w:rsid w:val="75385A96"/>
    <w:rsid w:val="754206C3"/>
    <w:rsid w:val="756D573F"/>
    <w:rsid w:val="7581743D"/>
    <w:rsid w:val="75B06567"/>
    <w:rsid w:val="75C13CDD"/>
    <w:rsid w:val="75DE488F"/>
    <w:rsid w:val="75FA2D4B"/>
    <w:rsid w:val="760F7C18"/>
    <w:rsid w:val="76257DC8"/>
    <w:rsid w:val="76452218"/>
    <w:rsid w:val="76515061"/>
    <w:rsid w:val="765913E1"/>
    <w:rsid w:val="766151C3"/>
    <w:rsid w:val="76684494"/>
    <w:rsid w:val="766C1E9B"/>
    <w:rsid w:val="7682346D"/>
    <w:rsid w:val="76A01B45"/>
    <w:rsid w:val="76C61836"/>
    <w:rsid w:val="76D4359C"/>
    <w:rsid w:val="7711659E"/>
    <w:rsid w:val="77144054"/>
    <w:rsid w:val="775B6BE8"/>
    <w:rsid w:val="7762504C"/>
    <w:rsid w:val="77890A18"/>
    <w:rsid w:val="778C1D38"/>
    <w:rsid w:val="77AB7213"/>
    <w:rsid w:val="78054AEE"/>
    <w:rsid w:val="780B56E4"/>
    <w:rsid w:val="783C589D"/>
    <w:rsid w:val="7847671C"/>
    <w:rsid w:val="78531F73"/>
    <w:rsid w:val="78A3200D"/>
    <w:rsid w:val="78B32A89"/>
    <w:rsid w:val="78CC4E73"/>
    <w:rsid w:val="78EC78E8"/>
    <w:rsid w:val="791548D9"/>
    <w:rsid w:val="791D747D"/>
    <w:rsid w:val="792878E4"/>
    <w:rsid w:val="792C76C0"/>
    <w:rsid w:val="79494343"/>
    <w:rsid w:val="7987109F"/>
    <w:rsid w:val="79905EA0"/>
    <w:rsid w:val="79A11E5C"/>
    <w:rsid w:val="79AA7ABF"/>
    <w:rsid w:val="79E32474"/>
    <w:rsid w:val="79F006ED"/>
    <w:rsid w:val="7A347300"/>
    <w:rsid w:val="7A380C95"/>
    <w:rsid w:val="7A6F1F5A"/>
    <w:rsid w:val="7A756E44"/>
    <w:rsid w:val="7A7E219D"/>
    <w:rsid w:val="7A904DD0"/>
    <w:rsid w:val="7AB67B89"/>
    <w:rsid w:val="7ABB519F"/>
    <w:rsid w:val="7AC35E02"/>
    <w:rsid w:val="7AD65B35"/>
    <w:rsid w:val="7AE069B4"/>
    <w:rsid w:val="7B5C4035"/>
    <w:rsid w:val="7B620780"/>
    <w:rsid w:val="7BD070B1"/>
    <w:rsid w:val="7BD9148B"/>
    <w:rsid w:val="7BD96F9B"/>
    <w:rsid w:val="7BE81FC4"/>
    <w:rsid w:val="7BF47178"/>
    <w:rsid w:val="7C0D37D8"/>
    <w:rsid w:val="7C35307A"/>
    <w:rsid w:val="7C4A4A2C"/>
    <w:rsid w:val="7C554F73"/>
    <w:rsid w:val="7C8E1CF9"/>
    <w:rsid w:val="7CB71996"/>
    <w:rsid w:val="7CC16371"/>
    <w:rsid w:val="7CFF2350"/>
    <w:rsid w:val="7D364FB1"/>
    <w:rsid w:val="7DB54128"/>
    <w:rsid w:val="7DCF4ABD"/>
    <w:rsid w:val="7E490D14"/>
    <w:rsid w:val="7E4B05E8"/>
    <w:rsid w:val="7E522354"/>
    <w:rsid w:val="7E543940"/>
    <w:rsid w:val="7E755665"/>
    <w:rsid w:val="7EAB72D9"/>
    <w:rsid w:val="7EB76401"/>
    <w:rsid w:val="7EE051D4"/>
    <w:rsid w:val="7F403EC5"/>
    <w:rsid w:val="7F647332"/>
    <w:rsid w:val="7F7F2C3F"/>
    <w:rsid w:val="7FB34697"/>
    <w:rsid w:val="7FC17096"/>
    <w:rsid w:val="7FCC39AA"/>
    <w:rsid w:val="7FD0349B"/>
    <w:rsid w:val="7FDF5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44"/>
    <w:qFormat/>
    <w:uiPriority w:val="0"/>
    <w:pPr>
      <w:jc w:val="left"/>
    </w:pPr>
  </w:style>
  <w:style w:type="paragraph" w:styleId="3">
    <w:name w:val="Plain Text"/>
    <w:basedOn w:val="1"/>
    <w:next w:val="1"/>
    <w:autoRedefine/>
    <w:qFormat/>
    <w:uiPriority w:val="0"/>
    <w:pPr>
      <w:ind w:firstLine="420"/>
    </w:pPr>
    <w:rPr>
      <w:rFonts w:ascii="宋体" w:hAnsi="Courier New"/>
      <w:szCs w:val="20"/>
    </w:rPr>
  </w:style>
  <w:style w:type="paragraph" w:styleId="4">
    <w:name w:val="Date"/>
    <w:basedOn w:val="1"/>
    <w:next w:val="1"/>
    <w:link w:val="47"/>
    <w:qFormat/>
    <w:uiPriority w:val="0"/>
    <w:pPr>
      <w:ind w:left="100" w:leftChars="2500"/>
    </w:pPr>
  </w:style>
  <w:style w:type="paragraph" w:styleId="5">
    <w:name w:val="Balloon Text"/>
    <w:basedOn w:val="1"/>
    <w:link w:val="46"/>
    <w:qFormat/>
    <w:uiPriority w:val="0"/>
    <w:rPr>
      <w:sz w:val="18"/>
      <w:szCs w:val="18"/>
    </w:rPr>
  </w:style>
  <w:style w:type="paragraph" w:styleId="6">
    <w:name w:val="footer"/>
    <w:basedOn w:val="1"/>
    <w:qFormat/>
    <w:uiPriority w:val="0"/>
    <w:pPr>
      <w:tabs>
        <w:tab w:val="center" w:pos="4153"/>
        <w:tab w:val="right" w:pos="8306"/>
      </w:tabs>
      <w:snapToGrid w:val="0"/>
      <w:ind w:right="210" w:rightChars="100"/>
      <w:jc w:val="right"/>
    </w:pPr>
    <w:rPr>
      <w:sz w:val="18"/>
      <w:szCs w:val="18"/>
    </w:rPr>
  </w:style>
  <w:style w:type="paragraph" w:styleId="7">
    <w:name w:val="header"/>
    <w:basedOn w:val="1"/>
    <w:link w:val="48"/>
    <w:qFormat/>
    <w:uiPriority w:val="0"/>
    <w:pPr>
      <w:pBdr>
        <w:bottom w:val="single" w:color="auto" w:sz="6" w:space="1"/>
      </w:pBdr>
      <w:tabs>
        <w:tab w:val="center" w:pos="4153"/>
        <w:tab w:val="right" w:pos="8306"/>
      </w:tabs>
      <w:snapToGrid w:val="0"/>
      <w:jc w:val="center"/>
    </w:pPr>
    <w:rPr>
      <w:sz w:val="18"/>
      <w:szCs w:val="18"/>
    </w:rPr>
  </w:style>
  <w:style w:type="paragraph" w:styleId="8">
    <w:name w:val="table of figures"/>
    <w:basedOn w:val="1"/>
    <w:next w:val="1"/>
    <w:qFormat/>
    <w:uiPriority w:val="0"/>
    <w:pPr>
      <w:ind w:left="200" w:leftChars="200" w:hanging="200" w:hangingChars="200"/>
    </w:pPr>
    <w:rPr>
      <w:sz w:val="24"/>
    </w:rPr>
  </w:style>
  <w:style w:type="paragraph" w:styleId="9">
    <w:name w:val="HTML Preformatted"/>
    <w:basedOn w:val="1"/>
    <w:autoRedefine/>
    <w:unhideWhenUsed/>
    <w:qFormat/>
    <w:uiPriority w:val="99"/>
    <w:rPr>
      <w:rFonts w:ascii="Courier New" w:hAnsi="Courier New"/>
      <w:sz w:val="20"/>
      <w:szCs w:val="20"/>
    </w:rPr>
  </w:style>
  <w:style w:type="paragraph" w:styleId="10">
    <w:name w:val="Title"/>
    <w:basedOn w:val="1"/>
    <w:next w:val="1"/>
    <w:autoRedefine/>
    <w:qFormat/>
    <w:uiPriority w:val="0"/>
    <w:pPr>
      <w:spacing w:before="240" w:after="60"/>
      <w:jc w:val="center"/>
      <w:outlineLvl w:val="0"/>
    </w:pPr>
    <w:rPr>
      <w:rFonts w:ascii="Cambria" w:hAnsi="Cambria"/>
      <w:b/>
      <w:bCs/>
      <w:sz w:val="32"/>
      <w:szCs w:val="32"/>
    </w:rPr>
  </w:style>
  <w:style w:type="paragraph" w:styleId="11">
    <w:name w:val="annotation subject"/>
    <w:basedOn w:val="2"/>
    <w:next w:val="2"/>
    <w:link w:val="45"/>
    <w:qFormat/>
    <w:uiPriority w:val="0"/>
    <w:rPr>
      <w:b/>
      <w:bCs/>
    </w:rPr>
  </w:style>
  <w:style w:type="character" w:styleId="14">
    <w:name w:val="page number"/>
    <w:autoRedefine/>
    <w:qFormat/>
    <w:uiPriority w:val="0"/>
    <w:rPr>
      <w:rFonts w:ascii="Times New Roman" w:hAnsi="Times New Roman" w:eastAsia="宋体"/>
      <w:sz w:val="18"/>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paragraph" w:customStyle="1" w:styleId="1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
    <w:name w:val="封面正文"/>
    <w:autoRedefine/>
    <w:qFormat/>
    <w:uiPriority w:val="0"/>
    <w:pPr>
      <w:jc w:val="both"/>
    </w:pPr>
    <w:rPr>
      <w:rFonts w:ascii="Times New Roman" w:hAnsi="Times New Roman" w:eastAsia="宋体" w:cs="Times New Roman"/>
      <w:lang w:val="en-US" w:eastAsia="zh-CN" w:bidi="ar-SA"/>
    </w:rPr>
  </w:style>
  <w:style w:type="paragraph" w:customStyle="1" w:styleId="19">
    <w:name w:val="章标题"/>
    <w:next w:val="20"/>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20">
    <w:name w:val="段"/>
    <w:autoRedefine/>
    <w:qFormat/>
    <w:uiPriority w:val="0"/>
    <w:pPr>
      <w:autoSpaceDE w:val="0"/>
      <w:autoSpaceDN w:val="0"/>
      <w:jc w:val="both"/>
    </w:pPr>
    <w:rPr>
      <w:rFonts w:ascii="宋体" w:hAnsi="Times New Roman" w:eastAsia="宋体" w:cs="Times New Roman"/>
      <w:sz w:val="21"/>
      <w:lang w:val="en-US" w:eastAsia="zh-CN" w:bidi="ar-SA"/>
    </w:rPr>
  </w:style>
  <w:style w:type="paragraph" w:customStyle="1" w:styleId="21">
    <w:name w:val="一级条标题"/>
    <w:next w:val="20"/>
    <w:autoRedefine/>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22">
    <w:name w:val="正文表标题"/>
    <w:next w:val="20"/>
    <w:autoRedefine/>
    <w:qFormat/>
    <w:uiPriority w:val="0"/>
    <w:pPr>
      <w:tabs>
        <w:tab w:val="left" w:pos="360"/>
      </w:tabs>
      <w:jc w:val="center"/>
    </w:pPr>
    <w:rPr>
      <w:rFonts w:ascii="黑体" w:hAnsi="Times New Roman" w:eastAsia="黑体" w:cs="Times New Roman"/>
      <w:sz w:val="21"/>
      <w:lang w:val="en-US" w:eastAsia="zh-CN" w:bidi="ar-SA"/>
    </w:rPr>
  </w:style>
  <w:style w:type="paragraph" w:customStyle="1" w:styleId="2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二级条标题"/>
    <w:basedOn w:val="21"/>
    <w:next w:val="20"/>
    <w:autoRedefine/>
    <w:qFormat/>
    <w:uiPriority w:val="0"/>
    <w:pPr>
      <w:tabs>
        <w:tab w:val="clear" w:pos="360"/>
      </w:tabs>
      <w:outlineLvl w:val="3"/>
    </w:pPr>
    <w:rPr>
      <w:kern w:val="2"/>
      <w:szCs w:val="24"/>
    </w:rPr>
  </w:style>
  <w:style w:type="paragraph" w:customStyle="1" w:styleId="25">
    <w:name w:val="三级条标题"/>
    <w:basedOn w:val="26"/>
    <w:next w:val="20"/>
    <w:autoRedefine/>
    <w:qFormat/>
    <w:uiPriority w:val="0"/>
    <w:pPr>
      <w:tabs>
        <w:tab w:val="left" w:pos="360"/>
      </w:tabs>
      <w:outlineLvl w:val="4"/>
    </w:pPr>
  </w:style>
  <w:style w:type="paragraph" w:customStyle="1" w:styleId="26">
    <w:name w:val="二级条标题 Char Char"/>
    <w:basedOn w:val="27"/>
    <w:next w:val="20"/>
    <w:autoRedefine/>
    <w:qFormat/>
    <w:uiPriority w:val="0"/>
    <w:pPr>
      <w:numPr>
        <w:ilvl w:val="0"/>
        <w:numId w:val="0"/>
      </w:numPr>
      <w:outlineLvl w:val="3"/>
    </w:pPr>
  </w:style>
  <w:style w:type="paragraph" w:customStyle="1" w:styleId="27">
    <w:name w:val="一级条标题 Char Char Char Char"/>
    <w:next w:val="20"/>
    <w:autoRedefine/>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8">
    <w:name w:val="终结线"/>
    <w:basedOn w:val="1"/>
    <w:autoRedefine/>
    <w:qFormat/>
    <w:uiPriority w:val="0"/>
    <w:pPr>
      <w:framePr w:hSpace="181" w:vSpace="181" w:wrap="around" w:vAnchor="text" w:hAnchor="margin" w:xAlign="center" w:y="285"/>
    </w:pPr>
  </w:style>
  <w:style w:type="paragraph" w:customStyle="1" w:styleId="29">
    <w:name w:val="实施日期"/>
    <w:basedOn w:val="30"/>
    <w:autoRedefine/>
    <w:qFormat/>
    <w:uiPriority w:val="0"/>
    <w:pPr>
      <w:framePr w:hSpace="0" w:wrap="around" w:xAlign="right"/>
      <w:numPr>
        <w:ilvl w:val="4"/>
        <w:numId w:val="1"/>
      </w:numPr>
      <w:jc w:val="right"/>
    </w:pPr>
  </w:style>
  <w:style w:type="paragraph" w:customStyle="1" w:styleId="3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1">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2">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4">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5">
    <w:name w:val="发布"/>
    <w:autoRedefine/>
    <w:qFormat/>
    <w:uiPriority w:val="0"/>
    <w:rPr>
      <w:rFonts w:ascii="黑体" w:eastAsia="黑体"/>
      <w:spacing w:val="22"/>
      <w:w w:val="100"/>
      <w:position w:val="3"/>
      <w:sz w:val="28"/>
    </w:rPr>
  </w:style>
  <w:style w:type="paragraph" w:customStyle="1" w:styleId="36">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7">
    <w:name w:val="标准书眉一"/>
    <w:autoRedefine/>
    <w:qFormat/>
    <w:uiPriority w:val="0"/>
    <w:pPr>
      <w:jc w:val="both"/>
    </w:pPr>
    <w:rPr>
      <w:rFonts w:ascii="Times New Roman" w:hAnsi="Times New Roman" w:eastAsia="宋体" w:cs="Times New Roman"/>
      <w:lang w:val="en-US" w:eastAsia="zh-CN" w:bidi="ar-SA"/>
    </w:rPr>
  </w:style>
  <w:style w:type="paragraph" w:customStyle="1" w:styleId="38">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39">
    <w:name w:val="CM31"/>
    <w:basedOn w:val="40"/>
    <w:next w:val="40"/>
    <w:autoRedefine/>
    <w:unhideWhenUsed/>
    <w:qFormat/>
    <w:uiPriority w:val="99"/>
  </w:style>
  <w:style w:type="paragraph" w:customStyle="1" w:styleId="40">
    <w:name w:val="Default"/>
    <w:next w:val="8"/>
    <w:autoRedefine/>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41">
    <w:name w:val="Table Text"/>
    <w:basedOn w:val="1"/>
    <w:semiHidden/>
    <w:qFormat/>
    <w:uiPriority w:val="0"/>
    <w:rPr>
      <w:rFonts w:ascii="宋体" w:hAnsi="宋体" w:cs="宋体"/>
      <w:sz w:val="18"/>
      <w:szCs w:val="18"/>
      <w:lang w:eastAsia="en-US"/>
    </w:rPr>
  </w:style>
  <w:style w:type="table" w:customStyle="1" w:styleId="42">
    <w:name w:val="Table Normal"/>
    <w:semiHidden/>
    <w:unhideWhenUsed/>
    <w:qFormat/>
    <w:uiPriority w:val="0"/>
    <w:tblPr>
      <w:tblCellMar>
        <w:top w:w="0" w:type="dxa"/>
        <w:left w:w="0" w:type="dxa"/>
        <w:bottom w:w="0" w:type="dxa"/>
        <w:right w:w="0" w:type="dxa"/>
      </w:tblCellMar>
    </w:tblPr>
  </w:style>
  <w:style w:type="paragraph" w:customStyle="1" w:styleId="43">
    <w:name w:val="前言、引言标题"/>
    <w:next w:val="1"/>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44">
    <w:name w:val="批注文字 字符"/>
    <w:basedOn w:val="13"/>
    <w:link w:val="2"/>
    <w:qFormat/>
    <w:uiPriority w:val="0"/>
    <w:rPr>
      <w:kern w:val="2"/>
      <w:sz w:val="21"/>
      <w:szCs w:val="24"/>
    </w:rPr>
  </w:style>
  <w:style w:type="character" w:customStyle="1" w:styleId="45">
    <w:name w:val="批注主题 字符"/>
    <w:basedOn w:val="44"/>
    <w:link w:val="11"/>
    <w:qFormat/>
    <w:uiPriority w:val="0"/>
    <w:rPr>
      <w:b/>
      <w:bCs/>
      <w:kern w:val="2"/>
      <w:sz w:val="21"/>
      <w:szCs w:val="24"/>
    </w:rPr>
  </w:style>
  <w:style w:type="character" w:customStyle="1" w:styleId="46">
    <w:name w:val="批注框文本 字符"/>
    <w:basedOn w:val="13"/>
    <w:link w:val="5"/>
    <w:qFormat/>
    <w:uiPriority w:val="0"/>
    <w:rPr>
      <w:kern w:val="2"/>
      <w:sz w:val="18"/>
      <w:szCs w:val="18"/>
    </w:rPr>
  </w:style>
  <w:style w:type="character" w:customStyle="1" w:styleId="47">
    <w:name w:val="日期 字符"/>
    <w:basedOn w:val="13"/>
    <w:link w:val="4"/>
    <w:qFormat/>
    <w:uiPriority w:val="0"/>
    <w:rPr>
      <w:kern w:val="2"/>
      <w:sz w:val="21"/>
      <w:szCs w:val="24"/>
    </w:rPr>
  </w:style>
  <w:style w:type="character" w:customStyle="1" w:styleId="48">
    <w:name w:val="页眉 字符"/>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E2345-8169-4BD5-90D6-6A2BAB5A9CB5}">
  <ds:schemaRefs/>
</ds:datastoreItem>
</file>

<file path=docProps/app.xml><?xml version="1.0" encoding="utf-8"?>
<Properties xmlns="http://schemas.openxmlformats.org/officeDocument/2006/extended-properties" xmlns:vt="http://schemas.openxmlformats.org/officeDocument/2006/docPropsVTypes">
  <Template>Normal</Template>
  <Pages>7</Pages>
  <Words>1878</Words>
  <Characters>2278</Characters>
  <Lines>19</Lines>
  <Paragraphs>5</Paragraphs>
  <TotalTime>0</TotalTime>
  <ScaleCrop>false</ScaleCrop>
  <LinksUpToDate>false</LinksUpToDate>
  <CharactersWithSpaces>2518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2024-08-14T08:49:00Z</dcterms:created>
  <dc:creator>吃了防腐剂的芒果少女</dc:creator>
  <cp:lastModifiedBy>llhliulihua</cp:lastModifiedBy>
  <cp:lastPrinted>2024-08-21T02:41:00Z</cp:lastPrinted>
  <dcterms:modified xsi:type="dcterms:W3CDTF">2025-06-20T08:07:55Z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76A526D0AC334BF5AC1D33452F09FDFC_13</vt:lpwstr>
  </property>
  <property fmtid="{D5CDD505-2E9C-101B-9397-08002B2CF9AE}" pid="4" name="KSOTemplateDocerSaveRecord">
    <vt:lpwstr>eyJoZGlkIjoiN2JjNjlkY2Y1Y2NkZGE5Y2Q5NGZmMDVlNzZhMDkwMDUiLCJ1c2VySWQiOiI2NzY3MTU3NDcifQ==</vt:lpwstr>
  </property>
</Properties>
</file>