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F9B90">
      <w:pPr>
        <w:pStyle w:val="17"/>
        <w:framePr w:wrap="around"/>
        <w:rPr>
          <w:rFonts w:ascii="黑体" w:hAnsi="黑体" w:cs="黑体"/>
        </w:rPr>
      </w:pPr>
      <w:bookmarkStart w:id="0" w:name="SectionMark0"/>
      <w:r>
        <w:rPr>
          <w:rFonts w:hint="eastAsia" w:ascii="黑体" w:hAnsi="黑体" w:cs="黑体"/>
        </w:rPr>
        <w:t>ICS 67.120.10</w:t>
      </w:r>
    </w:p>
    <w:p w14:paraId="72AA038F">
      <w:pPr>
        <w:pStyle w:val="17"/>
        <w:framePr w:wrap="around"/>
        <w:rPr>
          <w:rFonts w:ascii="黑体" w:hAnsi="黑体" w:cs="黑体"/>
        </w:rPr>
      </w:pPr>
      <w:r>
        <w:rPr>
          <w:rFonts w:hint="eastAsia" w:ascii="黑体" w:hAnsi="黑体" w:cs="黑体"/>
        </w:rPr>
        <w:t>CCS X22</w:t>
      </w:r>
    </w:p>
    <w:p w14:paraId="7E9FB4F5">
      <w:pPr>
        <w:pStyle w:val="18"/>
      </w:pPr>
      <w:r>
        <mc:AlternateContent>
          <mc:Choice Requires="wps">
            <w:drawing>
              <wp:anchor distT="0" distB="0" distL="114300" distR="114300" simplePos="0" relativeHeight="251662336" behindDoc="0" locked="0" layoutInCell="1" allowOverlap="1">
                <wp:simplePos x="0" y="0"/>
                <wp:positionH relativeFrom="column">
                  <wp:posOffset>-180340</wp:posOffset>
                </wp:positionH>
                <wp:positionV relativeFrom="paragraph">
                  <wp:posOffset>2273300</wp:posOffset>
                </wp:positionV>
                <wp:extent cx="6121400" cy="0"/>
                <wp:effectExtent l="0" t="6350" r="0" b="635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14.2pt;margin-top:179pt;height:0pt;width:482pt;z-index:251662336;mso-width-relative:page;mso-height-relative:page;" filled="f" stroked="t" coordsize="21600,21600" o:gfxdata="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5WUCPaAAAACwEAAA8AAAAAAAAAAQAgAAAAIgAAAGRy&#10;cy9kb3ducmV2LnhtbFBLAQIUABQAAAAIAIdO4kB82YOQygEAAKIDAAAOAAAAAAAAAAEAIAAAACkB&#10;AABkcnMvZTJvRG9jLnhtbFBLBQYAAAAABgAGAFkBAABlBQ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3875405</wp:posOffset>
                </wp:positionH>
                <wp:positionV relativeFrom="margin">
                  <wp:posOffset>8563610</wp:posOffset>
                </wp:positionV>
                <wp:extent cx="2019300" cy="312420"/>
                <wp:effectExtent l="0" t="0" r="0" b="11430"/>
                <wp:wrapNone/>
                <wp:docPr id="62"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94888FF">
                            <w:pPr>
                              <w:pStyle w:val="29"/>
                              <w:numPr>
                                <w:ilvl w:val="0"/>
                                <w:numId w:val="0"/>
                              </w:numPr>
                            </w:pPr>
                            <w:r>
                              <w:rPr>
                                <w:rFonts w:hint="eastAsia" w:ascii="黑体" w:hAnsi="黑体" w:cs="黑体"/>
                              </w:rPr>
                              <w:t>2025-XX-XX</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05.15pt;margin-top:674.3pt;height:24.6pt;width:159pt;mso-position-horizontal-relative:margin;mso-position-vertical-relative:margin;z-index:251660288;mso-width-relative:page;mso-height-relative:page;" fillcolor="#FFFFFF" filled="t" stroked="f" coordsize="21600,21600" o:gfxdata="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5z183aAAAADQEAAA8AAAAAAAAA&#10;AQAgAAAAIgAAAGRycy9kb3ducmV2LnhtbFBLAQIUABQAAAAIAIdO4kDkhqGgDwIAACwEAAAOAAAA&#10;AAAAAAEAIAAAACkBAABkcnMvZTJvRG9jLnhtbFBLBQYAAAAABgAGAFkBAACqBQAAAAA=&#10;">
                <v:fill on="t" focussize="0,0"/>
                <v:stroke on="f"/>
                <v:imagedata o:title=""/>
                <o:lock v:ext="edit" aspectratio="f"/>
                <v:textbox inset="0mm,0mm,0mm,0mm">
                  <w:txbxContent>
                    <w:p w14:paraId="694888FF">
                      <w:pPr>
                        <w:pStyle w:val="29"/>
                        <w:numPr>
                          <w:ilvl w:val="0"/>
                          <w:numId w:val="0"/>
                        </w:numPr>
                      </w:pPr>
                      <w:r>
                        <w:rPr>
                          <w:rFonts w:hint="eastAsia" w:ascii="黑体" w:hAnsi="黑体" w:cs="黑体"/>
                        </w:rPr>
                        <w:t>2025-XX-XX</w:t>
                      </w:r>
                      <w:r>
                        <w:rPr>
                          <w:rFonts w:hint="eastAsia"/>
                        </w:rPr>
                        <w:t>实施</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-78105</wp:posOffset>
                </wp:positionH>
                <wp:positionV relativeFrom="margin">
                  <wp:posOffset>8576945</wp:posOffset>
                </wp:positionV>
                <wp:extent cx="2019300" cy="312420"/>
                <wp:effectExtent l="0" t="0" r="0" b="11430"/>
                <wp:wrapNone/>
                <wp:docPr id="61"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553304D">
                            <w:pPr>
                              <w:pStyle w:val="30"/>
                            </w:pPr>
                            <w:r>
                              <w:rPr>
                                <w:rFonts w:hint="eastAsia" w:ascii="黑体" w:hAnsi="黑体" w:cs="黑体"/>
                              </w:rPr>
                              <w:t>2025-XX-XX</w:t>
                            </w:r>
                            <w:r>
                              <w:rPr>
                                <w:rFonts w:hint="eastAsia"/>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6.15pt;margin-top:675.35pt;height:24.6pt;width:159pt;mso-position-horizontal-relative:margin;mso-position-vertical-relative:margin;z-index:251659264;mso-width-relative:page;mso-height-relative:page;" fillcolor="#FFFFFF" filled="t" stroked="f" coordsize="21600,21600" o:gfxdata="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s3ru2wAAAA0BAAAPAAAAAAAA&#10;AAEAIAAAACIAAABkcnMvZG93bnJldi54bWxQSwECFAAUAAAACACHTuJA/hyiQA8CAAAsBAAADgAA&#10;AAAAAAABACAAAAAqAQAAZHJzL2Uyb0RvYy54bWxQSwUGAAAAAAYABgBZAQAAqwUAAAAA&#10;">
                <v:fill on="t" focussize="0,0"/>
                <v:stroke on="f"/>
                <v:imagedata o:title=""/>
                <o:lock v:ext="edit" aspectratio="f"/>
                <v:textbox inset="0mm,0mm,0mm,0mm">
                  <w:txbxContent>
                    <w:p w14:paraId="0553304D">
                      <w:pPr>
                        <w:pStyle w:val="30"/>
                      </w:pPr>
                      <w:r>
                        <w:rPr>
                          <w:rFonts w:hint="eastAsia" w:ascii="黑体" w:hAnsi="黑体" w:cs="黑体"/>
                        </w:rPr>
                        <w:t>2025-XX-XX</w:t>
                      </w:r>
                      <w:r>
                        <w:rPr>
                          <w:rFonts w:hint="eastAsia"/>
                        </w:rPr>
                        <w:t>发布</w:t>
                      </w:r>
                    </w:p>
                  </w:txbxContent>
                </v:textbox>
                <w10:anchorlock/>
              </v:shape>
            </w:pict>
          </mc:Fallback>
        </mc:AlternateContent>
      </w:r>
      <w:r>
        <w:rPr>
          <w:rFonts w:ascii="宋体" w:hAnsi="宋体" w:cs="宋体"/>
        </w:rPr>
        <mc:AlternateContent>
          <mc:Choice Requires="wps">
            <w:drawing>
              <wp:anchor distT="0" distB="0" distL="114300" distR="114300" simplePos="0" relativeHeight="251666432" behindDoc="0" locked="1" layoutInCell="1" allowOverlap="1">
                <wp:simplePos x="0" y="0"/>
                <wp:positionH relativeFrom="margin">
                  <wp:posOffset>-104140</wp:posOffset>
                </wp:positionH>
                <wp:positionV relativeFrom="margin">
                  <wp:posOffset>3635375</wp:posOffset>
                </wp:positionV>
                <wp:extent cx="5969000" cy="4525645"/>
                <wp:effectExtent l="0" t="0" r="12700" b="825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969000" cy="4525645"/>
                        </a:xfrm>
                        <a:prstGeom prst="rect">
                          <a:avLst/>
                        </a:prstGeom>
                        <a:solidFill>
                          <a:srgbClr val="FFFFFF"/>
                        </a:solidFill>
                        <a:ln>
                          <a:noFill/>
                        </a:ln>
                        <a:effectLst/>
                      </wps:spPr>
                      <wps:txbx>
                        <w:txbxContent>
                          <w:p w14:paraId="549F8267">
                            <w:pPr>
                              <w:pStyle w:val="31"/>
                              <w:spacing w:before="0" w:line="240" w:lineRule="auto"/>
                              <w:rPr>
                                <w:rFonts w:eastAsia="黑体"/>
                                <w:sz w:val="52"/>
                                <w:szCs w:val="22"/>
                              </w:rPr>
                            </w:pPr>
                            <w:r>
                              <w:rPr>
                                <w:rFonts w:hint="eastAsia" w:eastAsia="黑体"/>
                                <w:sz w:val="52"/>
                                <w:szCs w:val="22"/>
                              </w:rPr>
                              <w:t>通辽牛肉片</w:t>
                            </w:r>
                          </w:p>
                          <w:p w14:paraId="1EE12FCC">
                            <w:pPr>
                              <w:pStyle w:val="31"/>
                              <w:spacing w:before="0" w:line="240" w:lineRule="auto"/>
                              <w:rPr>
                                <w:rFonts w:ascii="黑体" w:hAnsi="黑体" w:eastAsia="黑体" w:cs="黑体"/>
                                <w:szCs w:val="28"/>
                              </w:rPr>
                            </w:pPr>
                            <w:r>
                              <w:rPr>
                                <w:rFonts w:ascii="黑体" w:hAnsi="黑体" w:eastAsia="黑体" w:cs="黑体"/>
                                <w:szCs w:val="28"/>
                              </w:rPr>
                              <w:t>Tongliao</w:t>
                            </w:r>
                            <w:r>
                              <w:rPr>
                                <w:rFonts w:hint="eastAsia" w:ascii="黑体" w:hAnsi="黑体" w:eastAsia="黑体" w:cs="黑体"/>
                                <w:szCs w:val="28"/>
                              </w:rPr>
                              <w:t xml:space="preserve"> </w:t>
                            </w:r>
                            <w:r>
                              <w:rPr>
                                <w:rFonts w:ascii="黑体" w:hAnsi="黑体" w:eastAsia="黑体" w:cs="黑体"/>
                                <w:szCs w:val="28"/>
                              </w:rPr>
                              <w:t>beef slices</w:t>
                            </w:r>
                          </w:p>
                          <w:p w14:paraId="117172E7">
                            <w:pPr>
                              <w:pStyle w:val="31"/>
                              <w:spacing w:before="0" w:line="240" w:lineRule="auto"/>
                              <w:rPr>
                                <w:rFonts w:ascii="黑体" w:hAnsi="黑体" w:eastAsia="黑体" w:cs="黑体"/>
                                <w:szCs w:val="28"/>
                              </w:rPr>
                            </w:pPr>
                          </w:p>
                          <w:p w14:paraId="099FDB34">
                            <w:pPr>
                              <w:pStyle w:val="31"/>
                              <w:spacing w:before="0" w:line="240" w:lineRule="auto"/>
                              <w:rPr>
                                <w:rFonts w:ascii="宋体" w:hAnsi="宋体" w:cs="宋体"/>
                                <w:sz w:val="24"/>
                                <w:szCs w:val="24"/>
                              </w:rPr>
                            </w:pPr>
                            <w:r>
                              <w:rPr>
                                <w:rFonts w:hint="eastAsia" w:ascii="宋体" w:hAnsi="宋体" w:cs="宋体"/>
                                <w:sz w:val="24"/>
                                <w:szCs w:val="24"/>
                              </w:rPr>
                              <w:t>（征求意见稿）</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2pt;margin-top:286.25pt;height:356.35pt;width:470pt;mso-position-horizontal-relative:margin;mso-position-vertical-relative:margin;z-index:251666432;mso-width-relative:page;mso-height-relative:page;" fillcolor="#FFFFFF" filled="t" stroked="f" coordsize="21600,21600" o:gfxdata="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f9OV42wAAAAwBAAAPAAAAAAAAAAEAIAAAACIAAABkcnMvZG93bnJldi54bWxQSwECFAAU&#10;AAAACACHTuJAPp20yScCAAA9BAAADgAAAAAAAAABACAAAAAqAQAAZHJzL2Uyb0RvYy54bWxQSwUG&#10;AAAAAAYABgBZAQAAwwUAAAAA&#10;">
                <v:fill on="t" focussize="0,0"/>
                <v:stroke on="f"/>
                <v:imagedata o:title=""/>
                <o:lock v:ext="edit" aspectratio="f"/>
                <v:textbox inset="0mm,0mm,0mm,0mm">
                  <w:txbxContent>
                    <w:p w14:paraId="549F8267">
                      <w:pPr>
                        <w:pStyle w:val="31"/>
                        <w:spacing w:before="0" w:line="240" w:lineRule="auto"/>
                        <w:rPr>
                          <w:rFonts w:eastAsia="黑体"/>
                          <w:sz w:val="52"/>
                          <w:szCs w:val="22"/>
                        </w:rPr>
                      </w:pPr>
                      <w:r>
                        <w:rPr>
                          <w:rFonts w:hint="eastAsia" w:eastAsia="黑体"/>
                          <w:sz w:val="52"/>
                          <w:szCs w:val="22"/>
                        </w:rPr>
                        <w:t>通辽牛肉片</w:t>
                      </w:r>
                    </w:p>
                    <w:p w14:paraId="1EE12FCC">
                      <w:pPr>
                        <w:pStyle w:val="31"/>
                        <w:spacing w:before="0" w:line="240" w:lineRule="auto"/>
                        <w:rPr>
                          <w:rFonts w:ascii="黑体" w:hAnsi="黑体" w:eastAsia="黑体" w:cs="黑体"/>
                          <w:szCs w:val="28"/>
                        </w:rPr>
                      </w:pPr>
                      <w:r>
                        <w:rPr>
                          <w:rFonts w:ascii="黑体" w:hAnsi="黑体" w:eastAsia="黑体" w:cs="黑体"/>
                          <w:szCs w:val="28"/>
                        </w:rPr>
                        <w:t>Tongliao</w:t>
                      </w:r>
                      <w:r>
                        <w:rPr>
                          <w:rFonts w:hint="eastAsia" w:ascii="黑体" w:hAnsi="黑体" w:eastAsia="黑体" w:cs="黑体"/>
                          <w:szCs w:val="28"/>
                        </w:rPr>
                        <w:t xml:space="preserve"> </w:t>
                      </w:r>
                      <w:r>
                        <w:rPr>
                          <w:rFonts w:ascii="黑体" w:hAnsi="黑体" w:eastAsia="黑体" w:cs="黑体"/>
                          <w:szCs w:val="28"/>
                        </w:rPr>
                        <w:t>beef slices</w:t>
                      </w:r>
                    </w:p>
                    <w:p w14:paraId="117172E7">
                      <w:pPr>
                        <w:pStyle w:val="31"/>
                        <w:spacing w:before="0" w:line="240" w:lineRule="auto"/>
                        <w:rPr>
                          <w:rFonts w:ascii="黑体" w:hAnsi="黑体" w:eastAsia="黑体" w:cs="黑体"/>
                          <w:szCs w:val="28"/>
                        </w:rPr>
                      </w:pPr>
                    </w:p>
                    <w:p w14:paraId="099FDB34">
                      <w:pPr>
                        <w:pStyle w:val="31"/>
                        <w:spacing w:before="0" w:line="240" w:lineRule="auto"/>
                        <w:rPr>
                          <w:rFonts w:ascii="宋体" w:hAnsi="宋体" w:cs="宋体"/>
                          <w:sz w:val="24"/>
                          <w:szCs w:val="24"/>
                        </w:rPr>
                      </w:pPr>
                      <w:r>
                        <w:rPr>
                          <w:rFonts w:hint="eastAsia" w:ascii="宋体" w:hAnsi="宋体" w:cs="宋体"/>
                          <w:sz w:val="24"/>
                          <w:szCs w:val="24"/>
                        </w:rPr>
                        <w:t>（征求意见稿）</w:t>
                      </w:r>
                    </w:p>
                  </w:txbxContent>
                </v:textbox>
                <w10:anchorlock/>
              </v:shape>
            </w:pict>
          </mc:Fallback>
        </mc:AlternateContent>
      </w:r>
      <w:r>
        <w:rPr>
          <w:rFonts w:ascii="宋体" w:hAnsi="宋体" w:cs="宋体"/>
        </w:rPr>
        <mc:AlternateContent>
          <mc:Choice Requires="wps">
            <w:drawing>
              <wp:anchor distT="0" distB="0" distL="114300" distR="114300" simplePos="0" relativeHeight="251664384" behindDoc="0" locked="1" layoutInCell="1" allowOverlap="1">
                <wp:simplePos x="0" y="0"/>
                <wp:positionH relativeFrom="margin">
                  <wp:posOffset>-20955</wp:posOffset>
                </wp:positionH>
                <wp:positionV relativeFrom="margin">
                  <wp:posOffset>1401445</wp:posOffset>
                </wp:positionV>
                <wp:extent cx="5802630" cy="860425"/>
                <wp:effectExtent l="0" t="0" r="7620" b="158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7CC9C4B3">
                            <w:pPr>
                              <w:pStyle w:val="32"/>
                              <w:spacing w:before="510"/>
                              <w:ind w:left="420" w:hanging="420"/>
                              <w:rPr>
                                <w:rFonts w:ascii="黑体" w:hAnsi="黑体" w:eastAsia="黑体" w:cs="黑体"/>
                              </w:rPr>
                            </w:pPr>
                            <w:r>
                              <w:rPr>
                                <w:rFonts w:hint="eastAsia" w:ascii="黑体" w:hAnsi="黑体" w:eastAsia="黑体" w:cs="黑体"/>
                              </w:rPr>
                              <w:t>T/CMATB XXXX—2025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5pt;margin-top:110.35pt;height:67.75pt;width:456.9pt;mso-position-horizontal-relative:margin;mso-position-vertical-relative:margin;z-index:251664384;mso-width-relative:page;mso-height-relative:page;" fillcolor="#FFFFFF" filled="t" stroked="f" coordsize="21600,21600" o:gfxdata="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Etlh2gAAAAoBAAAPAAAAAAAAAAEAIAAAACIAAABkcnMvZG93bnJldi54bWxQSwECFAAUAAAA&#10;CACHTuJAWqlXNiUCAAA8BAAADgAAAAAAAAABACAAAAApAQAAZHJzL2Uyb0RvYy54bWxQSwUGAAAA&#10;AAYABgBZAQAAwAUAAAAA&#10;">
                <v:fill on="t" focussize="0,0"/>
                <v:stroke on="f"/>
                <v:imagedata o:title=""/>
                <o:lock v:ext="edit" aspectratio="f"/>
                <v:textbox inset="0mm,0mm,0mm,0mm">
                  <w:txbxContent>
                    <w:p w14:paraId="7CC9C4B3">
                      <w:pPr>
                        <w:pStyle w:val="32"/>
                        <w:spacing w:before="510"/>
                        <w:ind w:left="420" w:hanging="420"/>
                        <w:rPr>
                          <w:rFonts w:ascii="黑体" w:hAnsi="黑体" w:eastAsia="黑体" w:cs="黑体"/>
                        </w:rPr>
                      </w:pPr>
                      <w:r>
                        <w:rPr>
                          <w:rFonts w:hint="eastAsia" w:ascii="黑体" w:hAnsi="黑体" w:eastAsia="黑体" w:cs="黑体"/>
                        </w:rPr>
                        <w:t>T/CMATB XXXX—2025</w:t>
                      </w:r>
                    </w:p>
                  </w:txbxContent>
                </v:textbox>
                <w10:anchorlock/>
              </v:shape>
            </w:pict>
          </mc:Fallback>
        </mc:AlternateContent>
      </w:r>
      <w:r>
        <w:rPr>
          <w:rFonts w:ascii="宋体" w:hAnsi="宋体" w:cs="宋体"/>
        </w:rPr>
        <mc:AlternateContent>
          <mc:Choice Requires="wps">
            <w:drawing>
              <wp:anchor distT="0" distB="0" distL="114300" distR="114300" simplePos="0" relativeHeight="251665408" behindDoc="0" locked="1" layoutInCell="1" allowOverlap="1">
                <wp:simplePos x="0" y="0"/>
                <wp:positionH relativeFrom="margin">
                  <wp:posOffset>453390</wp:posOffset>
                </wp:positionH>
                <wp:positionV relativeFrom="margin">
                  <wp:posOffset>1010920</wp:posOffset>
                </wp:positionV>
                <wp:extent cx="5027930" cy="391160"/>
                <wp:effectExtent l="0" t="0" r="1270" b="889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027930" cy="391160"/>
                        </a:xfrm>
                        <a:prstGeom prst="rect">
                          <a:avLst/>
                        </a:prstGeom>
                        <a:solidFill>
                          <a:srgbClr val="FFFFFF"/>
                        </a:solidFill>
                        <a:ln>
                          <a:noFill/>
                        </a:ln>
                        <a:effectLst/>
                      </wps:spPr>
                      <wps:txbx>
                        <w:txbxContent>
                          <w:p w14:paraId="35596C82">
                            <w:pPr>
                              <w:pStyle w:val="33"/>
                            </w:pPr>
                            <w:r>
                              <w:rPr>
                                <w:rFonts w:hint="eastAsia"/>
                                <w:szCs w:val="52"/>
                              </w:rPr>
                              <w:t>团体标准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7pt;margin-top:79.6pt;height:30.8pt;width:395.9pt;mso-position-horizontal-relative:margin;mso-position-vertical-relative:margin;z-index:251665408;mso-width-relative:page;mso-height-relative:page;" fillcolor="#FFFFFF" filled="t" stroked="f" coordsize="21600,21600" o:gfxdata="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x0Jm2AAAAAoBAAAPAAAAAAAAAAEAIAAAACIAAABkcnMvZG93bnJldi54bWxQSwECFAAUAAAA&#10;CACHTuJAUqVJ6ScCAAA8BAAADgAAAAAAAAABACAAAAAnAQAAZHJzL2Uyb0RvYy54bWxQSwUGAAAA&#10;AAYABgBZAQAAwAUAAAAA&#10;">
                <v:fill on="t" focussize="0,0"/>
                <v:stroke on="f"/>
                <v:imagedata o:title=""/>
                <o:lock v:ext="edit" aspectratio="f"/>
                <v:textbox inset="0mm,0mm,0mm,0mm">
                  <w:txbxContent>
                    <w:p w14:paraId="35596C82">
                      <w:pPr>
                        <w:pStyle w:val="33"/>
                      </w:pPr>
                      <w:r>
                        <w:rPr>
                          <w:rFonts w:hint="eastAsia"/>
                          <w:szCs w:val="52"/>
                        </w:rPr>
                        <w:t>团体标准</w:t>
                      </w:r>
                    </w:p>
                  </w:txbxContent>
                </v:textbox>
                <w10:anchorlock/>
              </v:shape>
            </w:pict>
          </mc:Fallback>
        </mc:AlternateContent>
      </w:r>
    </w:p>
    <w:p w14:paraId="52CEBE5F"/>
    <w:p w14:paraId="535601BE"/>
    <w:p w14:paraId="62ADAAF3"/>
    <w:p w14:paraId="75238E3D"/>
    <w:p w14:paraId="42570725"/>
    <w:p w14:paraId="303666F2"/>
    <w:p w14:paraId="46549F1A"/>
    <w:p w14:paraId="092AD315"/>
    <w:p w14:paraId="6ED1E398"/>
    <w:p w14:paraId="4B514F87"/>
    <w:p w14:paraId="77796CFF"/>
    <w:p w14:paraId="41596C73"/>
    <w:p w14:paraId="15ABBB38"/>
    <w:p w14:paraId="7B49EC4D">
      <w:r>
        <mc:AlternateContent>
          <mc:Choice Requires="wps">
            <w:drawing>
              <wp:anchor distT="0" distB="0" distL="114300" distR="114300" simplePos="0" relativeHeight="251668480" behindDoc="0" locked="0" layoutInCell="1" allowOverlap="1">
                <wp:simplePos x="0" y="0"/>
                <wp:positionH relativeFrom="column">
                  <wp:posOffset>-97790</wp:posOffset>
                </wp:positionH>
                <wp:positionV relativeFrom="paragraph">
                  <wp:posOffset>5936615</wp:posOffset>
                </wp:positionV>
                <wp:extent cx="6121400" cy="0"/>
                <wp:effectExtent l="0" t="0" r="31750" b="19050"/>
                <wp:wrapNone/>
                <wp:docPr id="65"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7.7pt;margin-top:467.45pt;height:0pt;width:482pt;z-index:251668480;mso-width-relative:page;mso-height-relative:page;" filled="f" stroked="t" coordsize="21600,21600" o:gfxdata="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lKjD/9sAAAALAQAADwAAAAAAAAABACAAAAAiAAAA&#10;ZHJzL2Rvd25yZXYueG1sUEsBAhQAFAAAAAgAh07iQB1t/5TLAQAAogMAAA4AAAAAAAAAAQAgAAAA&#10;KgEAAGRycy9lMm9Eb2MueG1sUEsFBgAAAAAGAAYAWQEAAGcFAAAAAA==&#10;">
                <v:fill on="f" focussize="0,0"/>
                <v:stroke weight="1pt" color="#080000" joinstyle="round"/>
                <v:imagedata o:title=""/>
                <o:lock v:ext="edit" aspectratio="f"/>
              </v:line>
            </w:pict>
          </mc:Fallback>
        </mc:AlternateContent>
      </w:r>
      <w:r>
        <w:rPr>
          <w:color w:val="FF0000"/>
        </w:rPr>
        <mc:AlternateContent>
          <mc:Choice Requires="wps">
            <w:drawing>
              <wp:anchor distT="0" distB="0" distL="114300" distR="114300" simplePos="0" relativeHeight="251667456" behindDoc="0" locked="1" layoutInCell="1" allowOverlap="1">
                <wp:simplePos x="0" y="0"/>
                <wp:positionH relativeFrom="margin">
                  <wp:posOffset>-76835</wp:posOffset>
                </wp:positionH>
                <wp:positionV relativeFrom="margin">
                  <wp:posOffset>8921750</wp:posOffset>
                </wp:positionV>
                <wp:extent cx="5757545" cy="363220"/>
                <wp:effectExtent l="0" t="0" r="14605" b="17780"/>
                <wp:wrapNone/>
                <wp:docPr id="16" name="fmFrame7"/>
                <wp:cNvGraphicFramePr/>
                <a:graphic xmlns:a="http://schemas.openxmlformats.org/drawingml/2006/main">
                  <a:graphicData uri="http://schemas.microsoft.com/office/word/2010/wordprocessingShape">
                    <wps:wsp>
                      <wps:cNvSpPr txBox="1">
                        <a:spLocks noChangeArrowheads="1"/>
                      </wps:cNvSpPr>
                      <wps:spPr bwMode="auto">
                        <a:xfrm>
                          <a:off x="0" y="0"/>
                          <a:ext cx="5757545" cy="363220"/>
                        </a:xfrm>
                        <a:prstGeom prst="rect">
                          <a:avLst/>
                        </a:prstGeom>
                        <a:solidFill>
                          <a:srgbClr val="FFFFFF"/>
                        </a:solidFill>
                        <a:ln>
                          <a:noFill/>
                        </a:ln>
                        <a:effectLst/>
                      </wps:spPr>
                      <wps:txbx>
                        <w:txbxContent>
                          <w:p w14:paraId="05B5DF49">
                            <w:pPr>
                              <w:pStyle w:val="34"/>
                              <w:ind w:firstLine="1048"/>
                            </w:pPr>
                            <w:r>
                              <w:t>中国肉类协会</w:t>
                            </w:r>
                            <w:r>
                              <w:rPr>
                                <w:rStyle w:val="35"/>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6.05pt;margin-top:702.5pt;height:28.6pt;width:453.35pt;mso-position-horizontal-relative:margin;mso-position-vertical-relative:margin;z-index:251667456;mso-width-relative:page;mso-height-relative:page;" fillcolor="#FFFFFF" filled="t" stroked="f" coordsize="21600,21600" o:gfxdata="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GFUBvaAAAADQEAAA8A&#10;AAAAAAAAAQAgAAAAIgAAAGRycy9kb3ducmV2LnhtbFBLAQIUABQAAAAIAIdO4kAp1IoCFQIAADoE&#10;AAAOAAAAAAAAAAEAIAAAACkBAABkcnMvZTJvRG9jLnhtbFBLBQYAAAAABgAGAFkBAACwBQAAAAA=&#10;">
                <v:fill on="t" focussize="0,0"/>
                <v:stroke on="f"/>
                <v:imagedata o:title=""/>
                <o:lock v:ext="edit" aspectratio="f"/>
                <v:textbox inset="0mm,0mm,0mm,0mm">
                  <w:txbxContent>
                    <w:p w14:paraId="05B5DF49">
                      <w:pPr>
                        <w:pStyle w:val="34"/>
                        <w:ind w:firstLine="1048"/>
                      </w:pPr>
                      <w:r>
                        <w:t>中国肉类协会</w:t>
                      </w:r>
                      <w:r>
                        <w:rPr>
                          <w:rStyle w:val="35"/>
                          <w:rFonts w:hint="eastAsia"/>
                        </w:rPr>
                        <w:t xml:space="preserve">  发布</w:t>
                      </w:r>
                    </w:p>
                  </w:txbxContent>
                </v:textbox>
                <w10:anchorlock/>
              </v:shape>
            </w:pict>
          </mc:Fallback>
        </mc:AlternateContent>
      </w:r>
    </w:p>
    <w:p w14:paraId="1794CA7A">
      <w:pPr>
        <w:sectPr>
          <w:headerReference r:id="rId7" w:type="first"/>
          <w:footerReference r:id="rId10" w:type="first"/>
          <w:headerReference r:id="rId5" w:type="default"/>
          <w:footerReference r:id="rId8" w:type="default"/>
          <w:headerReference r:id="rId6" w:type="even"/>
          <w:footerReference r:id="rId9" w:type="even"/>
          <w:pgSz w:w="11907" w:h="16839"/>
          <w:pgMar w:top="567" w:right="1417" w:bottom="1361" w:left="1418" w:header="0" w:footer="0" w:gutter="0"/>
          <w:pgNumType w:start="1"/>
          <w:cols w:space="0" w:num="1"/>
          <w:titlePg/>
          <w:docGrid w:type="lines" w:linePitch="312" w:charSpace="0"/>
        </w:sectPr>
      </w:pPr>
    </w:p>
    <w:bookmarkEnd w:id="0"/>
    <w:p w14:paraId="6AD981C1">
      <w:pPr>
        <w:pStyle w:val="43"/>
        <w:ind w:firstLine="3840" w:firstLineChars="1200"/>
        <w:jc w:val="both"/>
      </w:pPr>
      <w:r>
        <w:rPr>
          <w:rFonts w:hint="eastAsia"/>
        </w:rPr>
        <w:t>前</w:t>
      </w:r>
      <w:bookmarkStart w:id="1" w:name="BKQY"/>
      <w:r>
        <w:rPr>
          <w:rFonts w:hint="eastAsia"/>
        </w:rPr>
        <w:t>  言</w:t>
      </w:r>
      <w:bookmarkEnd w:id="1"/>
    </w:p>
    <w:p w14:paraId="02951DD9">
      <w:pPr>
        <w:pStyle w:val="4"/>
        <w:autoSpaceDE/>
        <w:autoSpaceDN/>
        <w:adjustRightInd/>
        <w:snapToGrid/>
        <w:ind w:firstLineChars="0"/>
        <w:rPr>
          <w:rFonts w:eastAsia="宋体"/>
          <w:kern w:val="0"/>
        </w:rPr>
      </w:pPr>
      <w:bookmarkStart w:id="2" w:name="_Hlk151561528"/>
      <w:r>
        <w:rPr>
          <w:rFonts w:hint="eastAsia" w:eastAsia="宋体"/>
          <w:kern w:val="0"/>
        </w:rPr>
        <w:t>本文件按照GB/T 1.1-2020《标准化工作导则 第1部分：标准化文件的结构和起草规则》的规定起草。</w:t>
      </w:r>
    </w:p>
    <w:p w14:paraId="12B4350C">
      <w:pPr>
        <w:pStyle w:val="4"/>
        <w:autoSpaceDE/>
        <w:autoSpaceDN/>
        <w:adjustRightInd/>
        <w:snapToGrid/>
        <w:ind w:firstLineChars="0"/>
        <w:rPr>
          <w:rFonts w:eastAsia="宋体"/>
          <w:kern w:val="0"/>
        </w:rPr>
      </w:pPr>
      <w:r>
        <w:rPr>
          <w:rFonts w:hint="eastAsia" w:eastAsia="宋体"/>
          <w:kern w:val="0"/>
        </w:rPr>
        <w:t>请注意本文件的某些内容有可能涉及专利。本文件的发布机构不承担识别专利的责任。</w:t>
      </w:r>
    </w:p>
    <w:p w14:paraId="460A218A">
      <w:pPr>
        <w:pStyle w:val="4"/>
        <w:autoSpaceDE/>
        <w:autoSpaceDN/>
        <w:adjustRightInd/>
        <w:snapToGrid/>
        <w:ind w:firstLineChars="0"/>
        <w:rPr>
          <w:rFonts w:eastAsia="宋体"/>
          <w:kern w:val="0"/>
        </w:rPr>
      </w:pPr>
      <w:r>
        <w:rPr>
          <w:rFonts w:hint="eastAsia" w:eastAsia="宋体"/>
          <w:kern w:val="0"/>
        </w:rPr>
        <w:t>本文件由通辽市农畜产品质量安全中心提出。</w:t>
      </w:r>
    </w:p>
    <w:p w14:paraId="78E85EB1">
      <w:pPr>
        <w:pStyle w:val="4"/>
        <w:autoSpaceDE/>
        <w:autoSpaceDN/>
        <w:adjustRightInd/>
        <w:snapToGrid/>
        <w:ind w:firstLineChars="0"/>
        <w:rPr>
          <w:rFonts w:eastAsia="宋体"/>
          <w:kern w:val="0"/>
        </w:rPr>
      </w:pPr>
      <w:r>
        <w:rPr>
          <w:rFonts w:hint="eastAsia" w:eastAsia="宋体"/>
          <w:kern w:val="0"/>
        </w:rPr>
        <w:t>本文件由中国肉类协会归口。</w:t>
      </w:r>
    </w:p>
    <w:p w14:paraId="29012D15">
      <w:pPr>
        <w:pStyle w:val="4"/>
        <w:autoSpaceDE/>
        <w:autoSpaceDN/>
        <w:adjustRightInd/>
        <w:snapToGrid/>
        <w:ind w:firstLineChars="0"/>
        <w:rPr>
          <w:rFonts w:eastAsia="宋体"/>
          <w:kern w:val="0"/>
        </w:rPr>
      </w:pPr>
      <w:r>
        <w:rPr>
          <w:rFonts w:hint="eastAsia" w:eastAsia="宋体"/>
          <w:kern w:val="0"/>
        </w:rPr>
        <w:t>本文件起草单位：。</w:t>
      </w:r>
    </w:p>
    <w:p w14:paraId="7185960F">
      <w:pPr>
        <w:pStyle w:val="4"/>
        <w:autoSpaceDE/>
        <w:autoSpaceDN/>
        <w:adjustRightInd/>
        <w:snapToGrid/>
        <w:ind w:firstLineChars="0"/>
        <w:rPr>
          <w:rFonts w:eastAsia="宋体"/>
          <w:kern w:val="0"/>
        </w:rPr>
      </w:pPr>
      <w:r>
        <w:rPr>
          <w:rFonts w:hint="eastAsia" w:eastAsia="宋体"/>
          <w:kern w:val="0"/>
        </w:rPr>
        <w:t>本文件主要起草人：。</w:t>
      </w:r>
    </w:p>
    <w:p w14:paraId="4A974CED"/>
    <w:p w14:paraId="2BEDFC77">
      <w:pPr>
        <w:pStyle w:val="4"/>
        <w:sectPr>
          <w:headerReference r:id="rId11" w:type="default"/>
          <w:footerReference r:id="rId12" w:type="default"/>
          <w:pgSz w:w="11906" w:h="16838"/>
          <w:pgMar w:top="1417" w:right="1417" w:bottom="1417" w:left="1417" w:header="1417" w:footer="1134" w:gutter="0"/>
          <w:pgNumType w:fmt="upperRoman" w:start="1"/>
          <w:cols w:space="0" w:num="1"/>
          <w:docGrid w:type="lines" w:linePitch="312" w:charSpace="0"/>
        </w:sectPr>
      </w:pPr>
    </w:p>
    <w:bookmarkEnd w:id="2"/>
    <w:p w14:paraId="7AC9CA41">
      <w:pPr>
        <w:keepNext/>
        <w:widowControl/>
        <w:shd w:val="clear" w:color="FFFFFF" w:fill="FFFFFF"/>
        <w:autoSpaceDE/>
        <w:autoSpaceDN/>
        <w:adjustRightInd/>
        <w:spacing w:before="640" w:after="560"/>
        <w:ind w:firstLine="0" w:firstLineChars="0"/>
        <w:jc w:val="center"/>
        <w:outlineLvl w:val="0"/>
        <w:rPr>
          <w:rFonts w:ascii="Times New Roman" w:hAnsi="Times New Roman" w:eastAsia="黑体"/>
          <w:kern w:val="0"/>
          <w:sz w:val="32"/>
          <w:szCs w:val="20"/>
        </w:rPr>
      </w:pPr>
      <w:bookmarkStart w:id="3" w:name="OLE_LINK2"/>
      <w:r>
        <w:rPr>
          <w:rFonts w:hint="eastAsia" w:ascii="Times New Roman" w:hAnsi="Times New Roman" w:eastAsia="黑体"/>
          <w:kern w:val="0"/>
          <w:sz w:val="32"/>
          <w:szCs w:val="20"/>
        </w:rPr>
        <w:t>通辽牛肉片</w:t>
      </w:r>
    </w:p>
    <w:bookmarkEnd w:id="3"/>
    <w:p w14:paraId="33F2E6E5">
      <w:pPr>
        <w:pStyle w:val="19"/>
        <w:numPr>
          <w:ilvl w:val="0"/>
          <w:numId w:val="2"/>
        </w:numPr>
        <w:spacing w:before="312" w:beforeLines="100" w:after="312" w:afterLines="100"/>
        <w:ind w:firstLineChars="0"/>
        <w:outlineLvl w:val="0"/>
        <w:rPr>
          <w:rFonts w:ascii="黑体" w:hAnsi="黑体" w:eastAsia="黑体"/>
          <w:szCs w:val="21"/>
        </w:rPr>
      </w:pPr>
      <w:bookmarkStart w:id="4" w:name="_Toc21982137"/>
      <w:bookmarkStart w:id="5" w:name="_Toc21982424"/>
      <w:bookmarkStart w:id="6" w:name="_Toc22135199"/>
      <w:bookmarkStart w:id="7" w:name="_Toc22197892"/>
      <w:r>
        <w:rPr>
          <w:rFonts w:hint="eastAsia" w:ascii="黑体" w:hAnsi="黑体" w:eastAsia="黑体"/>
          <w:szCs w:val="21"/>
        </w:rPr>
        <w:t>范围</w:t>
      </w:r>
      <w:bookmarkEnd w:id="4"/>
      <w:bookmarkEnd w:id="5"/>
      <w:bookmarkEnd w:id="6"/>
      <w:bookmarkEnd w:id="7"/>
    </w:p>
    <w:p w14:paraId="34569664">
      <w:pPr>
        <w:pStyle w:val="20"/>
      </w:pPr>
      <w:r>
        <w:rPr>
          <w:rFonts w:hint="eastAsia"/>
        </w:rPr>
        <w:t>本文件规定了通辽牛肉片的术语和定义、分类、技术要求、检验方法、检验规则、标签、标志、包装、贮存、运输及销售的要求。</w:t>
      </w:r>
    </w:p>
    <w:p w14:paraId="373FACE0">
      <w:pPr>
        <w:pStyle w:val="20"/>
      </w:pPr>
      <w:r>
        <w:rPr>
          <w:rFonts w:hint="eastAsia"/>
        </w:rPr>
        <w:t>本文件适用于通辽牛肉片的生产和经营。</w:t>
      </w:r>
      <w:bookmarkStart w:id="8" w:name="OLE_LINK3"/>
    </w:p>
    <w:bookmarkEnd w:id="8"/>
    <w:p w14:paraId="704B3B7B">
      <w:pPr>
        <w:pStyle w:val="19"/>
        <w:numPr>
          <w:ilvl w:val="0"/>
          <w:numId w:val="2"/>
        </w:numPr>
        <w:spacing w:before="312" w:beforeLines="100" w:after="312" w:afterLines="100"/>
        <w:ind w:firstLineChars="0"/>
        <w:outlineLvl w:val="0"/>
        <w:rPr>
          <w:rFonts w:ascii="黑体" w:hAnsi="黑体" w:eastAsia="黑体"/>
          <w:szCs w:val="21"/>
        </w:rPr>
      </w:pPr>
      <w:bookmarkStart w:id="9" w:name="_Toc20410231"/>
      <w:bookmarkStart w:id="10" w:name="_Toc20317838"/>
      <w:bookmarkStart w:id="11" w:name="_Toc22135200"/>
      <w:bookmarkStart w:id="12" w:name="_Toc22197893"/>
      <w:bookmarkStart w:id="13" w:name="_Toc21982425"/>
      <w:bookmarkStart w:id="14" w:name="_Toc20410158"/>
      <w:bookmarkStart w:id="15" w:name="_Toc16171934"/>
      <w:bookmarkStart w:id="16" w:name="_Toc20236394"/>
      <w:bookmarkStart w:id="17" w:name="_Toc16172012"/>
      <w:bookmarkStart w:id="18" w:name="_Toc21982138"/>
      <w:bookmarkStart w:id="19" w:name="_Toc20235279"/>
      <w:r>
        <w:rPr>
          <w:rFonts w:hint="eastAsia" w:ascii="黑体" w:hAnsi="黑体" w:eastAsia="黑体"/>
          <w:szCs w:val="21"/>
        </w:rPr>
        <w:t>规范性引用文件</w:t>
      </w:r>
      <w:bookmarkEnd w:id="9"/>
      <w:bookmarkEnd w:id="10"/>
      <w:bookmarkEnd w:id="11"/>
      <w:bookmarkEnd w:id="12"/>
      <w:bookmarkEnd w:id="13"/>
      <w:bookmarkEnd w:id="14"/>
      <w:bookmarkEnd w:id="15"/>
      <w:bookmarkEnd w:id="16"/>
      <w:bookmarkEnd w:id="17"/>
      <w:bookmarkEnd w:id="18"/>
      <w:bookmarkEnd w:id="19"/>
    </w:p>
    <w:p w14:paraId="2F315716">
      <w:pPr>
        <w:pStyle w:val="20"/>
      </w:pPr>
      <w:r>
        <w:t>下列文件中的内容通过文中的规范性引用而构成本文件必不可少的条款。其中，注日期的引用文件，仅该日期对应的版本适用于本文件。不注日期的引用文件，其最新版本（包括所有的修改单）适用于本文件。</w:t>
      </w:r>
    </w:p>
    <w:p w14:paraId="3EA04CBF">
      <w:pPr>
        <w:pStyle w:val="20"/>
      </w:pPr>
      <w:bookmarkStart w:id="20" w:name="_Toc20317839"/>
      <w:bookmarkStart w:id="21" w:name="_Toc22197894"/>
      <w:bookmarkStart w:id="22" w:name="_Toc22135201"/>
      <w:bookmarkStart w:id="23" w:name="_Toc20410232"/>
      <w:bookmarkStart w:id="24" w:name="_Toc16172013"/>
      <w:bookmarkStart w:id="25" w:name="_Toc20236395"/>
      <w:bookmarkStart w:id="26" w:name="_Toc20235280"/>
      <w:bookmarkStart w:id="27" w:name="_Toc16171935"/>
      <w:bookmarkStart w:id="28" w:name="_Toc21982139"/>
      <w:bookmarkStart w:id="29" w:name="_Toc21982426"/>
      <w:bookmarkStart w:id="30" w:name="_Toc20410159"/>
      <w:r>
        <w:rPr>
          <w:rFonts w:hint="eastAsia"/>
        </w:rPr>
        <w:t>GB/T 191  包装储运图示标志</w:t>
      </w:r>
    </w:p>
    <w:p w14:paraId="26A0A6EB">
      <w:pPr>
        <w:pStyle w:val="20"/>
      </w:pPr>
      <w:r>
        <w:rPr>
          <w:rFonts w:hint="eastAsia"/>
        </w:rPr>
        <w:t>GB 2707  食品安全国家标准  鲜（冻）畜、禽产品</w:t>
      </w:r>
    </w:p>
    <w:p w14:paraId="01E33EB9">
      <w:pPr>
        <w:pStyle w:val="20"/>
      </w:pPr>
      <w:r>
        <w:rPr>
          <w:rFonts w:hint="eastAsia"/>
        </w:rPr>
        <w:t>GB 2760  食品安全国家标准  食品添加剂使用标准</w:t>
      </w:r>
    </w:p>
    <w:p w14:paraId="6EC5A3E0">
      <w:pPr>
        <w:pStyle w:val="20"/>
      </w:pPr>
      <w:r>
        <w:rPr>
          <w:rFonts w:hint="eastAsia"/>
        </w:rPr>
        <w:t xml:space="preserve">GB 2762  食品安全国家标准  食品中污染物限量 </w:t>
      </w:r>
    </w:p>
    <w:p w14:paraId="6E7D4E72">
      <w:pPr>
        <w:pStyle w:val="20"/>
      </w:pPr>
      <w:r>
        <w:rPr>
          <w:rFonts w:hint="eastAsia"/>
        </w:rPr>
        <w:t>GB</w:t>
      </w:r>
      <w:r>
        <w:t xml:space="preserve"> 4789.2  </w:t>
      </w:r>
      <w:r>
        <w:rPr>
          <w:rFonts w:hint="eastAsia"/>
        </w:rPr>
        <w:t xml:space="preserve">食品安全国家标准  </w:t>
      </w:r>
      <w:r>
        <w:t>食品微生物学检验  菌落总数测定</w:t>
      </w:r>
    </w:p>
    <w:p w14:paraId="1FFC0726">
      <w:pPr>
        <w:pStyle w:val="20"/>
        <w:rPr>
          <w:rFonts w:hint="eastAsia"/>
        </w:rPr>
      </w:pPr>
      <w:r>
        <w:rPr>
          <w:rFonts w:hint="eastAsia"/>
        </w:rPr>
        <w:t>GB</w:t>
      </w:r>
      <w:r>
        <w:t xml:space="preserve"> 4789.3  </w:t>
      </w:r>
      <w:r>
        <w:rPr>
          <w:rFonts w:hint="eastAsia"/>
        </w:rPr>
        <w:t xml:space="preserve">食品安全国家标准  </w:t>
      </w:r>
      <w:r>
        <w:t>食品微生物学检验  大肠菌群计数</w:t>
      </w:r>
    </w:p>
    <w:p w14:paraId="58D30395">
      <w:pPr>
        <w:pStyle w:val="20"/>
      </w:pPr>
      <w:r>
        <w:rPr>
          <w:rFonts w:hint="eastAsia"/>
        </w:rPr>
        <w:t>GB</w:t>
      </w:r>
      <w:r>
        <w:t xml:space="preserve"> 4806.7</w:t>
      </w:r>
      <w:r>
        <w:rPr>
          <w:rFonts w:hint="eastAsia"/>
        </w:rPr>
        <w:t xml:space="preserve">  食品安全国家标准</w:t>
      </w:r>
      <w:r>
        <w:t xml:space="preserve"> 食品接触用塑料材料及制品</w:t>
      </w:r>
    </w:p>
    <w:p w14:paraId="721F8838">
      <w:pPr>
        <w:pStyle w:val="20"/>
      </w:pPr>
      <w:r>
        <w:rPr>
          <w:rFonts w:hint="eastAsia"/>
        </w:rPr>
        <w:t xml:space="preserve">GB 5009.5  食品安全国家标准  食品中蛋白质的测定 </w:t>
      </w:r>
    </w:p>
    <w:p w14:paraId="310BDA52">
      <w:pPr>
        <w:pStyle w:val="20"/>
      </w:pPr>
      <w:r>
        <w:rPr>
          <w:rFonts w:hint="eastAsia"/>
        </w:rPr>
        <w:t>GB 5009.6  食品安全国家标准  食品中脂肪的测定</w:t>
      </w:r>
    </w:p>
    <w:p w14:paraId="0C9580A3">
      <w:pPr>
        <w:pStyle w:val="20"/>
        <w:rPr>
          <w:rFonts w:hint="eastAsia"/>
        </w:rPr>
      </w:pPr>
      <w:r>
        <w:rPr>
          <w:rFonts w:hint="eastAsia"/>
        </w:rPr>
        <w:t xml:space="preserve">GB </w:t>
      </w:r>
      <w:r>
        <w:t xml:space="preserve">5009.227  </w:t>
      </w:r>
      <w:r>
        <w:rPr>
          <w:rFonts w:hint="eastAsia"/>
        </w:rPr>
        <w:t>食品安全国家标准  食品中过氧化值的测定</w:t>
      </w:r>
    </w:p>
    <w:p w14:paraId="193D2086">
      <w:pPr>
        <w:pStyle w:val="20"/>
      </w:pPr>
      <w:r>
        <w:rPr>
          <w:rFonts w:hint="eastAsia"/>
        </w:rPr>
        <w:t xml:space="preserve">GB </w:t>
      </w:r>
      <w:r>
        <w:t xml:space="preserve">5009.228  </w:t>
      </w:r>
      <w:r>
        <w:rPr>
          <w:rFonts w:hint="eastAsia"/>
        </w:rPr>
        <w:t>食品安全国家标准</w:t>
      </w:r>
      <w:r>
        <w:t xml:space="preserve"> 食品中挥发性盐基氮的测定</w:t>
      </w:r>
    </w:p>
    <w:p w14:paraId="7373F967">
      <w:pPr>
        <w:pStyle w:val="20"/>
      </w:pPr>
      <w:r>
        <w:t xml:space="preserve">GB/T 6543  </w:t>
      </w:r>
      <w:r>
        <w:rPr>
          <w:rFonts w:hint="eastAsia"/>
        </w:rPr>
        <w:t>运输包装用单瓦楞纸箱和双瓦楞纸箱</w:t>
      </w:r>
    </w:p>
    <w:p w14:paraId="15D47C3C">
      <w:pPr>
        <w:pStyle w:val="20"/>
      </w:pPr>
      <w:r>
        <w:rPr>
          <w:rFonts w:hint="eastAsia"/>
        </w:rPr>
        <w:t>GB 7718  食品安全国家标准  预包装食品标签通则</w:t>
      </w:r>
    </w:p>
    <w:p w14:paraId="6094D64C">
      <w:pPr>
        <w:pStyle w:val="20"/>
      </w:pPr>
      <w:r>
        <w:t xml:space="preserve">GB/T 17238 </w:t>
      </w:r>
      <w:r>
        <w:rPr>
          <w:rFonts w:hint="eastAsia"/>
        </w:rPr>
        <w:t>鲜、</w:t>
      </w:r>
      <w:r>
        <w:t>冻</w:t>
      </w:r>
      <w:r>
        <w:rPr>
          <w:rFonts w:hint="eastAsia"/>
        </w:rPr>
        <w:t>分割牛肉</w:t>
      </w:r>
    </w:p>
    <w:p w14:paraId="7F0777EC">
      <w:pPr>
        <w:pStyle w:val="20"/>
      </w:pPr>
      <w:r>
        <w:rPr>
          <w:rFonts w:hint="eastAsia"/>
        </w:rPr>
        <w:t>GB</w:t>
      </w:r>
      <w:r>
        <w:t xml:space="preserve"> 18394  </w:t>
      </w:r>
      <w:r>
        <w:rPr>
          <w:rFonts w:hint="eastAsia"/>
        </w:rPr>
        <w:t>畜禽肉水分限量</w:t>
      </w:r>
    </w:p>
    <w:p w14:paraId="158F4BDD">
      <w:pPr>
        <w:pStyle w:val="20"/>
      </w:pPr>
      <w:r>
        <w:t xml:space="preserve">GB 19295  </w:t>
      </w:r>
      <w:r>
        <w:rPr>
          <w:rFonts w:hint="eastAsia"/>
        </w:rPr>
        <w:t xml:space="preserve">食品安全国家标准 </w:t>
      </w:r>
      <w:r>
        <w:t xml:space="preserve"> </w:t>
      </w:r>
      <w:r>
        <w:rPr>
          <w:rFonts w:hint="eastAsia"/>
        </w:rPr>
        <w:t>速冻米面与调制食品</w:t>
      </w:r>
    </w:p>
    <w:p w14:paraId="60DE6A2B">
      <w:pPr>
        <w:pStyle w:val="20"/>
      </w:pPr>
      <w:r>
        <w:t xml:space="preserve">GB/T 20575  </w:t>
      </w:r>
      <w:r>
        <w:rPr>
          <w:rFonts w:hint="eastAsia"/>
        </w:rPr>
        <w:t>鲜、</w:t>
      </w:r>
      <w:r>
        <w:t>冻肉</w:t>
      </w:r>
      <w:r>
        <w:rPr>
          <w:rFonts w:hint="eastAsia"/>
        </w:rPr>
        <w:t>生产良好操作规范</w:t>
      </w:r>
    </w:p>
    <w:p w14:paraId="2D9D6966">
      <w:pPr>
        <w:pStyle w:val="20"/>
      </w:pPr>
      <w:r>
        <w:rPr>
          <w:rFonts w:hint="eastAsia"/>
        </w:rPr>
        <w:t>GB 20799  食品安全国家标准  肉和肉制品经营卫生规范</w:t>
      </w:r>
    </w:p>
    <w:p w14:paraId="5F9C6829">
      <w:pPr>
        <w:pStyle w:val="20"/>
      </w:pPr>
      <w:r>
        <w:rPr>
          <w:rFonts w:hint="eastAsia"/>
        </w:rPr>
        <w:t>GB 28050  食品安全国家标准  预包装食品营养标签通则</w:t>
      </w:r>
    </w:p>
    <w:p w14:paraId="206D2407">
      <w:pPr>
        <w:pStyle w:val="20"/>
      </w:pPr>
      <w:r>
        <w:rPr>
          <w:rFonts w:hint="eastAsia"/>
        </w:rPr>
        <w:t>GB</w:t>
      </w:r>
      <w:r>
        <w:t xml:space="preserve"> 31605  </w:t>
      </w:r>
      <w:r>
        <w:rPr>
          <w:rFonts w:hint="eastAsia"/>
        </w:rPr>
        <w:t>食品安全国家标准  食品冷链物流卫生规范</w:t>
      </w:r>
    </w:p>
    <w:p w14:paraId="262D5B5B">
      <w:pPr>
        <w:pStyle w:val="20"/>
      </w:pPr>
      <w:r>
        <w:rPr>
          <w:rFonts w:hint="eastAsia"/>
        </w:rPr>
        <w:t>GB</w:t>
      </w:r>
      <w:r>
        <w:t xml:space="preserve"> 31646  </w:t>
      </w:r>
      <w:r>
        <w:rPr>
          <w:rFonts w:hint="eastAsia"/>
        </w:rPr>
        <w:t>食品安全国家标准  速冻食品生产和经营卫生规范</w:t>
      </w:r>
    </w:p>
    <w:p w14:paraId="6146F369">
      <w:pPr>
        <w:pStyle w:val="20"/>
      </w:pPr>
      <w:r>
        <w:rPr>
          <w:rFonts w:hint="eastAsia"/>
        </w:rPr>
        <w:t>GB</w:t>
      </w:r>
      <w:r>
        <w:t xml:space="preserve"> 31661  </w:t>
      </w:r>
      <w:r>
        <w:rPr>
          <w:rFonts w:hint="eastAsia"/>
        </w:rPr>
        <w:t>食品安全国家标准  调制肉制品生产卫生规范</w:t>
      </w:r>
    </w:p>
    <w:p w14:paraId="5802BC50">
      <w:pPr>
        <w:pStyle w:val="20"/>
      </w:pPr>
      <w:r>
        <w:t xml:space="preserve">NY/T 2799  </w:t>
      </w:r>
      <w:r>
        <w:rPr>
          <w:rFonts w:hint="eastAsia"/>
        </w:rPr>
        <w:t>绿色食品  畜肉</w:t>
      </w:r>
    </w:p>
    <w:p w14:paraId="55470BEF">
      <w:pPr>
        <w:pStyle w:val="20"/>
      </w:pPr>
      <w:r>
        <w:rPr>
          <w:rFonts w:hint="eastAsia"/>
        </w:rPr>
        <w:t>NY/T</w:t>
      </w:r>
      <w:r>
        <w:t xml:space="preserve"> 3524  </w:t>
      </w:r>
      <w:r>
        <w:rPr>
          <w:rFonts w:hint="eastAsia"/>
        </w:rPr>
        <w:t>冷冻肉解冻技术规范</w:t>
      </w:r>
    </w:p>
    <w:p w14:paraId="2980BEF5">
      <w:pPr>
        <w:pStyle w:val="20"/>
      </w:pPr>
      <w:r>
        <w:rPr>
          <w:rFonts w:hint="eastAsia"/>
        </w:rPr>
        <w:t>NY</w:t>
      </w:r>
      <w:r>
        <w:t xml:space="preserve">/T 3905  </w:t>
      </w:r>
      <w:r>
        <w:rPr>
          <w:rFonts w:hint="eastAsia"/>
        </w:rPr>
        <w:t>冷冻肉解冻失水率的测定</w:t>
      </w:r>
    </w:p>
    <w:p w14:paraId="1DE9E750">
      <w:pPr>
        <w:pStyle w:val="20"/>
      </w:pPr>
      <w:r>
        <w:rPr>
          <w:rFonts w:hint="eastAsia"/>
        </w:rPr>
        <w:t>JJF 1070  定量包装商品净含量计量检验规则</w:t>
      </w:r>
    </w:p>
    <w:p w14:paraId="42F2CF0D">
      <w:pPr>
        <w:pStyle w:val="20"/>
      </w:pPr>
      <w:r>
        <w:rPr>
          <w:rFonts w:hint="eastAsia"/>
        </w:rPr>
        <w:t>T</w:t>
      </w:r>
      <w:r>
        <w:t xml:space="preserve">/CMATB 3012  </w:t>
      </w:r>
      <w:r>
        <w:rPr>
          <w:rFonts w:hint="eastAsia"/>
        </w:rPr>
        <w:t>通辽牛肉</w:t>
      </w:r>
    </w:p>
    <w:bookmarkEnd w:id="20"/>
    <w:bookmarkEnd w:id="21"/>
    <w:bookmarkEnd w:id="22"/>
    <w:bookmarkEnd w:id="23"/>
    <w:bookmarkEnd w:id="24"/>
    <w:bookmarkEnd w:id="25"/>
    <w:bookmarkEnd w:id="26"/>
    <w:bookmarkEnd w:id="27"/>
    <w:bookmarkEnd w:id="28"/>
    <w:bookmarkEnd w:id="29"/>
    <w:bookmarkEnd w:id="30"/>
    <w:p w14:paraId="1C904F24">
      <w:pPr>
        <w:pStyle w:val="19"/>
        <w:numPr>
          <w:ilvl w:val="0"/>
          <w:numId w:val="2"/>
        </w:numPr>
        <w:spacing w:before="312" w:beforeLines="100" w:after="312" w:afterLines="100"/>
        <w:ind w:firstLineChars="0"/>
        <w:outlineLvl w:val="0"/>
        <w:rPr>
          <w:rFonts w:ascii="Times New Roman" w:hAnsi="Times New Roman" w:eastAsia="黑体"/>
          <w:szCs w:val="21"/>
        </w:rPr>
      </w:pPr>
      <w:bookmarkStart w:id="31" w:name="_Toc20235282"/>
      <w:bookmarkEnd w:id="31"/>
      <w:bookmarkStart w:id="32" w:name="_Toc22135202"/>
      <w:bookmarkEnd w:id="32"/>
      <w:bookmarkStart w:id="33" w:name="_Toc20236397"/>
      <w:bookmarkEnd w:id="33"/>
      <w:bookmarkStart w:id="34" w:name="_Toc22135206"/>
      <w:bookmarkEnd w:id="34"/>
      <w:bookmarkStart w:id="35" w:name="_Toc21982146"/>
      <w:bookmarkEnd w:id="35"/>
      <w:bookmarkStart w:id="36" w:name="_Toc20317841"/>
      <w:bookmarkEnd w:id="36"/>
      <w:bookmarkStart w:id="37" w:name="_Toc21982142"/>
      <w:bookmarkEnd w:id="37"/>
      <w:bookmarkStart w:id="38" w:name="_Toc16171937"/>
      <w:bookmarkEnd w:id="38"/>
      <w:bookmarkStart w:id="39" w:name="_Toc21982433"/>
      <w:bookmarkEnd w:id="39"/>
      <w:bookmarkStart w:id="40" w:name="_Toc16172015"/>
      <w:bookmarkEnd w:id="40"/>
      <w:bookmarkStart w:id="41" w:name="_Toc21982140"/>
      <w:bookmarkEnd w:id="41"/>
      <w:bookmarkStart w:id="42" w:name="_Toc21982429"/>
      <w:bookmarkEnd w:id="42"/>
      <w:bookmarkStart w:id="43" w:name="_Toc20410161"/>
      <w:bookmarkEnd w:id="43"/>
      <w:bookmarkStart w:id="44" w:name="_Toc21982427"/>
      <w:bookmarkEnd w:id="44"/>
      <w:bookmarkStart w:id="45" w:name="_Toc20235284"/>
      <w:bookmarkStart w:id="46" w:name="_Toc20236399"/>
      <w:bookmarkStart w:id="47" w:name="_Toc20317843"/>
      <w:r>
        <w:rPr>
          <w:rFonts w:ascii="Times New Roman" w:hAnsi="Times New Roman" w:eastAsia="黑体"/>
          <w:szCs w:val="21"/>
        </w:rPr>
        <w:t>术语和定义</w:t>
      </w:r>
    </w:p>
    <w:p w14:paraId="0BCC07E9">
      <w:pPr>
        <w:autoSpaceDE/>
        <w:autoSpaceDN/>
        <w:adjustRightInd/>
        <w:snapToGrid/>
        <w:rPr>
          <w:rFonts w:ascii="Times New Roman" w:hAnsi="Times New Roman" w:eastAsia="宋体"/>
          <w:szCs w:val="24"/>
        </w:rPr>
      </w:pPr>
      <w:r>
        <w:rPr>
          <w:rFonts w:ascii="Times New Roman" w:hAnsi="Times New Roman" w:eastAsia="宋体"/>
          <w:szCs w:val="24"/>
        </w:rPr>
        <w:t>T/CMATB 3012</w:t>
      </w:r>
      <w:r>
        <w:rPr>
          <w:rFonts w:hint="eastAsia" w:ascii="Times New Roman" w:hAnsi="Times New Roman" w:eastAsia="宋体"/>
          <w:szCs w:val="24"/>
        </w:rPr>
        <w:t>规定的以及</w:t>
      </w:r>
      <w:r>
        <w:rPr>
          <w:rFonts w:ascii="Times New Roman" w:hAnsi="Times New Roman" w:eastAsia="宋体"/>
          <w:szCs w:val="24"/>
        </w:rPr>
        <w:t>下列术语和定义适用于本文件。</w:t>
      </w:r>
    </w:p>
    <w:p w14:paraId="67723F0C">
      <w:pPr>
        <w:pStyle w:val="19"/>
        <w:numPr>
          <w:ilvl w:val="1"/>
          <w:numId w:val="0"/>
        </w:numPr>
        <w:outlineLvl w:val="1"/>
        <w:rPr>
          <w:rFonts w:ascii="黑体" w:hAnsi="Times New Roman" w:eastAsia="黑体"/>
        </w:rPr>
      </w:pPr>
      <w:r>
        <w:rPr>
          <w:rFonts w:hint="eastAsia" w:ascii="黑体" w:hAnsi="Times New Roman" w:eastAsia="黑体"/>
        </w:rPr>
        <w:t>3.</w:t>
      </w:r>
      <w:r>
        <w:rPr>
          <w:rFonts w:ascii="黑体" w:hAnsi="Times New Roman" w:eastAsia="黑体"/>
        </w:rPr>
        <w:t>1</w:t>
      </w:r>
    </w:p>
    <w:p w14:paraId="7E3D0516">
      <w:pPr>
        <w:pStyle w:val="21"/>
        <w:numPr>
          <w:ilvl w:val="1"/>
          <w:numId w:val="0"/>
        </w:numPr>
        <w:ind w:firstLine="420" w:firstLineChars="200"/>
        <w:outlineLvl w:val="2"/>
        <w:rPr>
          <w:rFonts w:ascii="黑体" w:hAnsi="Times New Roman" w:eastAsia="黑体" w:cs="Times New Roman"/>
        </w:rPr>
      </w:pPr>
      <w:r>
        <w:rPr>
          <w:rFonts w:hint="eastAsia" w:ascii="黑体" w:hAnsi="Times New Roman" w:eastAsia="黑体" w:cs="Times New Roman"/>
        </w:rPr>
        <w:t xml:space="preserve">通辽牛肉片 </w:t>
      </w:r>
      <w:r>
        <w:rPr>
          <w:rFonts w:ascii="黑体" w:hAnsi="Times New Roman" w:eastAsia="黑体" w:cs="Times New Roman"/>
        </w:rPr>
        <w:t>Tongliao</w:t>
      </w:r>
      <w:r>
        <w:rPr>
          <w:rFonts w:hint="eastAsia" w:ascii="黑体" w:hAnsi="Times New Roman" w:eastAsia="黑体" w:cs="Times New Roman"/>
        </w:rPr>
        <w:t xml:space="preserve"> </w:t>
      </w:r>
      <w:r>
        <w:rPr>
          <w:rFonts w:ascii="黑体" w:hAnsi="Times New Roman" w:eastAsia="黑体" w:cs="Times New Roman"/>
        </w:rPr>
        <w:t>beef slices</w:t>
      </w:r>
    </w:p>
    <w:p w14:paraId="4F4B8ED0">
      <w:pPr>
        <w:autoSpaceDE/>
        <w:autoSpaceDN/>
        <w:adjustRightInd/>
        <w:snapToGrid/>
        <w:ind w:firstLineChars="0"/>
        <w:rPr>
          <w:rFonts w:ascii="宋体" w:hAnsi="Times New Roman" w:eastAsia="宋体"/>
          <w:kern w:val="0"/>
          <w:szCs w:val="20"/>
        </w:rPr>
      </w:pPr>
      <w:r>
        <w:rPr>
          <w:rFonts w:hint="eastAsia" w:ascii="宋体" w:hAnsi="Times New Roman" w:eastAsia="宋体"/>
          <w:kern w:val="0"/>
          <w:szCs w:val="20"/>
        </w:rPr>
        <w:t>在通辽地区内生产的，以鲜（</w:t>
      </w:r>
      <w:r>
        <w:rPr>
          <w:rFonts w:ascii="宋体" w:hAnsi="Times New Roman" w:eastAsia="宋体"/>
          <w:kern w:val="0"/>
          <w:szCs w:val="20"/>
        </w:rPr>
        <w:t>冻</w:t>
      </w:r>
      <w:r>
        <w:rPr>
          <w:rFonts w:hint="eastAsia" w:ascii="宋体" w:hAnsi="Times New Roman" w:eastAsia="宋体"/>
          <w:kern w:val="0"/>
          <w:szCs w:val="20"/>
        </w:rPr>
        <w:t>）通辽牛肉为原料，经前处理、调理（或不调理）、</w:t>
      </w:r>
      <w:r>
        <w:rPr>
          <w:rFonts w:ascii="宋体" w:hAnsi="Times New Roman" w:eastAsia="宋体"/>
          <w:kern w:val="0"/>
          <w:szCs w:val="20"/>
        </w:rPr>
        <w:t>成型</w:t>
      </w:r>
      <w:r>
        <w:rPr>
          <w:rFonts w:hint="eastAsia" w:ascii="宋体" w:hAnsi="Times New Roman" w:eastAsia="宋体"/>
          <w:kern w:val="0"/>
          <w:szCs w:val="20"/>
        </w:rPr>
        <w:t>（或不成型）、速冻、</w:t>
      </w:r>
      <w:r>
        <w:rPr>
          <w:rFonts w:ascii="宋体" w:hAnsi="Times New Roman" w:eastAsia="宋体"/>
          <w:kern w:val="0"/>
          <w:szCs w:val="20"/>
        </w:rPr>
        <w:t>切片</w:t>
      </w:r>
      <w:r>
        <w:rPr>
          <w:rFonts w:hint="eastAsia" w:ascii="宋体" w:hAnsi="Times New Roman" w:eastAsia="宋体"/>
          <w:kern w:val="0"/>
          <w:szCs w:val="20"/>
        </w:rPr>
        <w:t>（或成卷）等工艺制作的卷状薄片类产品。</w:t>
      </w:r>
    </w:p>
    <w:p w14:paraId="5EABBABB">
      <w:pPr>
        <w:pStyle w:val="19"/>
        <w:numPr>
          <w:ilvl w:val="0"/>
          <w:numId w:val="2"/>
        </w:numPr>
        <w:spacing w:before="312" w:beforeLines="100" w:after="312" w:afterLines="100"/>
        <w:ind w:firstLineChars="0"/>
        <w:outlineLvl w:val="0"/>
        <w:rPr>
          <w:rFonts w:ascii="Times New Roman" w:hAnsi="Times New Roman" w:eastAsia="黑体"/>
          <w:szCs w:val="21"/>
        </w:rPr>
      </w:pPr>
      <w:bookmarkStart w:id="48" w:name="OLE_LINK8"/>
      <w:r>
        <w:rPr>
          <w:rFonts w:hint="eastAsia" w:ascii="Times New Roman" w:hAnsi="Times New Roman" w:eastAsia="黑体"/>
          <w:szCs w:val="21"/>
        </w:rPr>
        <w:t>产品分类</w:t>
      </w:r>
    </w:p>
    <w:p w14:paraId="5687B795">
      <w:pPr>
        <w:pStyle w:val="20"/>
        <w:ind w:firstLine="0" w:firstLineChars="0"/>
      </w:pPr>
      <w:r>
        <w:rPr>
          <w:rFonts w:ascii="黑体" w:hAnsi="黑体" w:eastAsia="黑体"/>
        </w:rPr>
        <w:t>4</w:t>
      </w:r>
      <w:r>
        <w:rPr>
          <w:rFonts w:hint="eastAsia" w:ascii="黑体" w:hAnsi="黑体" w:eastAsia="黑体"/>
        </w:rPr>
        <w:t>.1　</w:t>
      </w:r>
      <w:r>
        <w:rPr>
          <w:rFonts w:hint="eastAsia"/>
        </w:rPr>
        <w:t>根据工艺不同可</w:t>
      </w:r>
      <w:r>
        <w:t>分为</w:t>
      </w:r>
      <w:r>
        <w:rPr>
          <w:rFonts w:hint="eastAsia"/>
        </w:rPr>
        <w:t>：</w:t>
      </w:r>
    </w:p>
    <w:p w14:paraId="60C73C46">
      <w:pPr>
        <w:pStyle w:val="20"/>
        <w:ind w:firstLineChars="0"/>
      </w:pPr>
      <w:r>
        <w:t>a</w:t>
      </w:r>
      <w:r>
        <w:rPr>
          <w:rFonts w:hint="eastAsia"/>
        </w:rPr>
        <w:t>）非调理类通辽牛肉片：不经过调理工艺制作的通辽牛肉片；</w:t>
      </w:r>
    </w:p>
    <w:p w14:paraId="0A4BE604">
      <w:pPr>
        <w:pStyle w:val="20"/>
        <w:ind w:firstLineChars="0"/>
      </w:pPr>
      <w:r>
        <w:rPr>
          <w:rFonts w:hint="eastAsia"/>
        </w:rPr>
        <w:t>b）调理类通辽牛肉片：经过调理工艺制作的通辽牛肉片。</w:t>
      </w:r>
    </w:p>
    <w:p w14:paraId="3591B62C">
      <w:pPr>
        <w:pStyle w:val="20"/>
        <w:ind w:firstLine="0" w:firstLineChars="0"/>
      </w:pPr>
      <w:r>
        <w:rPr>
          <w:rFonts w:ascii="黑体" w:hAnsi="黑体" w:eastAsia="黑体"/>
        </w:rPr>
        <w:t>4</w:t>
      </w:r>
      <w:r>
        <w:rPr>
          <w:rFonts w:hint="eastAsia" w:ascii="黑体" w:hAnsi="黑体" w:eastAsia="黑体"/>
        </w:rPr>
        <w:t>.</w:t>
      </w:r>
      <w:r>
        <w:rPr>
          <w:rFonts w:ascii="黑体" w:hAnsi="黑体" w:eastAsia="黑体"/>
        </w:rPr>
        <w:t>2</w:t>
      </w:r>
      <w:r>
        <w:rPr>
          <w:rFonts w:hint="eastAsia" w:ascii="黑体" w:hAnsi="黑体" w:eastAsia="黑体"/>
        </w:rPr>
        <w:t>　</w:t>
      </w:r>
      <w:r>
        <w:rPr>
          <w:rFonts w:hint="eastAsia"/>
        </w:rPr>
        <w:t>按原料肉部位不同，</w:t>
      </w:r>
      <w:r>
        <w:t>非</w:t>
      </w:r>
      <w:r>
        <w:rPr>
          <w:rFonts w:hint="eastAsia"/>
        </w:rPr>
        <w:t>调理类通辽牛肉片可</w:t>
      </w:r>
      <w:r>
        <w:t>分为</w:t>
      </w:r>
      <w:r>
        <w:rPr>
          <w:rFonts w:hint="eastAsia"/>
        </w:rPr>
        <w:t>：</w:t>
      </w:r>
    </w:p>
    <w:p w14:paraId="07CB2C48">
      <w:pPr>
        <w:pStyle w:val="20"/>
      </w:pPr>
      <w:r>
        <w:t>a</w:t>
      </w:r>
      <w:r>
        <w:rPr>
          <w:rFonts w:hint="eastAsia"/>
        </w:rPr>
        <w:t>）部位肉类；</w:t>
      </w:r>
      <w:r>
        <w:t>以</w:t>
      </w:r>
      <w:r>
        <w:rPr>
          <w:rFonts w:hint="eastAsia"/>
        </w:rPr>
        <w:t>通辽牛肉单一分割部位肉（</w:t>
      </w:r>
      <w:r>
        <w:t>如</w:t>
      </w:r>
      <w:r>
        <w:rPr>
          <w:rFonts w:hint="eastAsia"/>
        </w:rPr>
        <w:t>上脑、通脊等）加工而成的产品；</w:t>
      </w:r>
    </w:p>
    <w:p w14:paraId="10A085EC">
      <w:pPr>
        <w:pStyle w:val="20"/>
      </w:pPr>
      <w:r>
        <w:rPr>
          <w:rFonts w:hint="eastAsia"/>
        </w:rPr>
        <w:t>b）</w:t>
      </w:r>
      <w:r>
        <w:t>肥牛卷</w:t>
      </w:r>
      <w:r>
        <w:rPr>
          <w:rFonts w:hint="eastAsia"/>
        </w:rPr>
        <w:t>：以通辽牛肉瘦肉和牛脂肪加工而成的产品；</w:t>
      </w:r>
    </w:p>
    <w:p w14:paraId="3965BAD3">
      <w:pPr>
        <w:pStyle w:val="20"/>
      </w:pPr>
      <w:r>
        <w:t>c</w:t>
      </w:r>
      <w:r>
        <w:rPr>
          <w:rFonts w:hint="eastAsia"/>
        </w:rPr>
        <w:t>）其他：以通辽牛肉非单一部位肉混合加工而成的产品。</w:t>
      </w:r>
    </w:p>
    <w:bookmarkEnd w:id="45"/>
    <w:bookmarkEnd w:id="46"/>
    <w:bookmarkEnd w:id="47"/>
    <w:bookmarkEnd w:id="48"/>
    <w:p w14:paraId="085A5528">
      <w:pPr>
        <w:pStyle w:val="19"/>
        <w:numPr>
          <w:ilvl w:val="0"/>
          <w:numId w:val="2"/>
        </w:numPr>
        <w:spacing w:before="312" w:beforeLines="100" w:after="312" w:afterLines="100"/>
        <w:ind w:firstLineChars="0"/>
        <w:outlineLvl w:val="0"/>
        <w:rPr>
          <w:rFonts w:ascii="黑体" w:hAnsi="黑体" w:eastAsia="黑体"/>
          <w:szCs w:val="21"/>
        </w:rPr>
      </w:pPr>
      <w:bookmarkStart w:id="49" w:name="_Toc21982479"/>
      <w:bookmarkEnd w:id="49"/>
      <w:bookmarkStart w:id="50" w:name="_Toc21982190"/>
      <w:bookmarkEnd w:id="50"/>
      <w:bookmarkStart w:id="51" w:name="_Toc21982437"/>
      <w:bookmarkEnd w:id="51"/>
      <w:bookmarkStart w:id="52" w:name="_Toc21982150"/>
      <w:bookmarkEnd w:id="52"/>
      <w:bookmarkStart w:id="53" w:name="_Toc22135230"/>
      <w:bookmarkEnd w:id="53"/>
      <w:bookmarkStart w:id="54" w:name="_Toc21982457"/>
      <w:bookmarkEnd w:id="54"/>
      <w:bookmarkStart w:id="55" w:name="_Toc22135210"/>
      <w:bookmarkEnd w:id="55"/>
      <w:bookmarkStart w:id="56" w:name="_Toc20410163"/>
      <w:bookmarkEnd w:id="56"/>
      <w:bookmarkStart w:id="57" w:name="_Toc21982192"/>
      <w:bookmarkEnd w:id="57"/>
      <w:bookmarkStart w:id="58" w:name="_Toc22135232"/>
      <w:bookmarkEnd w:id="58"/>
      <w:bookmarkStart w:id="59" w:name="_Toc21982477"/>
      <w:bookmarkEnd w:id="59"/>
      <w:bookmarkStart w:id="60" w:name="_Toc21982170"/>
      <w:bookmarkEnd w:id="60"/>
      <w:bookmarkStart w:id="61" w:name="OLE_LINK10"/>
      <w:bookmarkStart w:id="62" w:name="_Toc22135243"/>
      <w:bookmarkStart w:id="63" w:name="_Toc21982490"/>
      <w:bookmarkStart w:id="64" w:name="_Toc21982203"/>
      <w:r>
        <w:rPr>
          <w:rFonts w:hint="eastAsia" w:ascii="Times New Roman" w:hAnsi="Times New Roman" w:eastAsia="黑体"/>
          <w:szCs w:val="21"/>
        </w:rPr>
        <w:t>原辅料、</w:t>
      </w:r>
      <w:r>
        <w:rPr>
          <w:rFonts w:ascii="Times New Roman" w:hAnsi="Times New Roman" w:eastAsia="黑体"/>
          <w:szCs w:val="21"/>
        </w:rPr>
        <w:t>添加剂</w:t>
      </w:r>
      <w:r>
        <w:rPr>
          <w:rFonts w:hint="eastAsia" w:ascii="Times New Roman" w:hAnsi="Times New Roman" w:eastAsia="黑体"/>
          <w:szCs w:val="21"/>
        </w:rPr>
        <w:t>和投料要求</w:t>
      </w:r>
    </w:p>
    <w:bookmarkEnd w:id="61"/>
    <w:bookmarkEnd w:id="62"/>
    <w:bookmarkEnd w:id="63"/>
    <w:bookmarkEnd w:id="64"/>
    <w:p w14:paraId="15382DEF">
      <w:pPr>
        <w:snapToGrid/>
        <w:spacing w:before="156" w:beforeLines="50" w:after="156" w:afterLines="50"/>
        <w:ind w:firstLine="0" w:firstLineChars="0"/>
        <w:jc w:val="left"/>
        <w:rPr>
          <w:rFonts w:ascii="黑体" w:hAnsi="黑体" w:eastAsia="黑体"/>
          <w:kern w:val="0"/>
        </w:rPr>
      </w:pPr>
      <w:r>
        <w:rPr>
          <w:rFonts w:ascii="黑体" w:hAnsi="黑体" w:eastAsia="黑体"/>
          <w:kern w:val="0"/>
        </w:rPr>
        <w:t>5</w:t>
      </w:r>
      <w:r>
        <w:rPr>
          <w:rFonts w:hint="eastAsia" w:ascii="黑体" w:hAnsi="黑体" w:eastAsia="黑体"/>
          <w:kern w:val="0"/>
        </w:rPr>
        <w:t>.1　原辅料和添加剂要求</w:t>
      </w:r>
    </w:p>
    <w:p w14:paraId="000915A7">
      <w:pPr>
        <w:widowControl/>
        <w:numPr>
          <w:ilvl w:val="1"/>
          <w:numId w:val="0"/>
        </w:numPr>
        <w:tabs>
          <w:tab w:val="left" w:pos="360"/>
        </w:tabs>
        <w:autoSpaceDE/>
        <w:autoSpaceDN/>
        <w:adjustRightInd/>
        <w:jc w:val="left"/>
        <w:outlineLvl w:val="2"/>
        <w:rPr>
          <w:rFonts w:ascii="Times New Roman" w:hAnsi="Times New Roman" w:eastAsia="宋体"/>
          <w:kern w:val="0"/>
        </w:rPr>
      </w:pPr>
      <w:r>
        <w:rPr>
          <w:rFonts w:ascii="黑体" w:hAnsi="Times New Roman" w:eastAsia="黑体"/>
          <w:kern w:val="0"/>
        </w:rPr>
        <w:t>5</w:t>
      </w:r>
      <w:r>
        <w:rPr>
          <w:rFonts w:hint="eastAsia" w:ascii="黑体" w:hAnsi="Times New Roman" w:eastAsia="黑体"/>
          <w:kern w:val="0"/>
        </w:rPr>
        <w:t>.</w:t>
      </w:r>
      <w:r>
        <w:rPr>
          <w:rFonts w:ascii="黑体" w:hAnsi="Times New Roman" w:eastAsia="黑体"/>
          <w:kern w:val="0"/>
        </w:rPr>
        <w:t>1</w:t>
      </w:r>
      <w:r>
        <w:rPr>
          <w:rFonts w:hint="eastAsia" w:ascii="黑体" w:hAnsi="Times New Roman" w:eastAsia="黑体"/>
          <w:kern w:val="0"/>
        </w:rPr>
        <w:t>.1</w:t>
      </w:r>
      <w:r>
        <w:rPr>
          <w:rFonts w:hint="eastAsia" w:cstheme="minorEastAsia"/>
          <w:kern w:val="0"/>
        </w:rPr>
        <w:t>　</w:t>
      </w:r>
      <w:r>
        <w:rPr>
          <w:rFonts w:hint="eastAsia" w:ascii="Times New Roman" w:hAnsi="Times New Roman" w:eastAsia="宋体"/>
          <w:kern w:val="0"/>
        </w:rPr>
        <w:t>原料应符合T/CMATB 3012的相关规定。</w:t>
      </w:r>
    </w:p>
    <w:p w14:paraId="47AFB4B1">
      <w:pPr>
        <w:widowControl/>
        <w:numPr>
          <w:ilvl w:val="1"/>
          <w:numId w:val="0"/>
        </w:numPr>
        <w:tabs>
          <w:tab w:val="left" w:pos="360"/>
        </w:tabs>
        <w:autoSpaceDE/>
        <w:autoSpaceDN/>
        <w:adjustRightInd/>
        <w:jc w:val="left"/>
        <w:outlineLvl w:val="2"/>
        <w:rPr>
          <w:rFonts w:cstheme="minorEastAsia"/>
          <w:kern w:val="0"/>
        </w:rPr>
      </w:pPr>
      <w:r>
        <w:rPr>
          <w:rFonts w:ascii="黑体" w:hAnsi="Times New Roman" w:eastAsia="黑体"/>
          <w:kern w:val="0"/>
        </w:rPr>
        <w:t>5</w:t>
      </w:r>
      <w:r>
        <w:rPr>
          <w:rFonts w:hint="eastAsia" w:ascii="黑体" w:hAnsi="Times New Roman" w:eastAsia="黑体"/>
          <w:kern w:val="0"/>
        </w:rPr>
        <w:t>.</w:t>
      </w:r>
      <w:r>
        <w:rPr>
          <w:rFonts w:ascii="黑体" w:hAnsi="Times New Roman" w:eastAsia="黑体"/>
          <w:kern w:val="0"/>
        </w:rPr>
        <w:t>1</w:t>
      </w:r>
      <w:r>
        <w:rPr>
          <w:rFonts w:hint="eastAsia" w:ascii="黑体" w:hAnsi="Times New Roman" w:eastAsia="黑体"/>
          <w:kern w:val="0"/>
        </w:rPr>
        <w:t>.2</w:t>
      </w:r>
      <w:r>
        <w:rPr>
          <w:rFonts w:hint="eastAsia" w:cstheme="minorEastAsia"/>
          <w:kern w:val="0"/>
        </w:rPr>
        <w:t>　辅料应符合相关产品标准和有关规定。</w:t>
      </w:r>
    </w:p>
    <w:p w14:paraId="0A92F2FE">
      <w:pPr>
        <w:widowControl/>
        <w:numPr>
          <w:ilvl w:val="1"/>
          <w:numId w:val="0"/>
        </w:numPr>
        <w:tabs>
          <w:tab w:val="left" w:pos="360"/>
        </w:tabs>
        <w:autoSpaceDE/>
        <w:autoSpaceDN/>
        <w:adjustRightInd/>
        <w:jc w:val="left"/>
        <w:outlineLvl w:val="2"/>
        <w:rPr>
          <w:rFonts w:cstheme="minorEastAsia"/>
          <w:kern w:val="0"/>
        </w:rPr>
      </w:pPr>
      <w:r>
        <w:rPr>
          <w:rFonts w:ascii="黑体" w:hAnsi="Times New Roman" w:eastAsia="黑体"/>
          <w:kern w:val="0"/>
        </w:rPr>
        <w:t>5</w:t>
      </w:r>
      <w:r>
        <w:rPr>
          <w:rFonts w:hint="eastAsia" w:ascii="黑体" w:hAnsi="Times New Roman" w:eastAsia="黑体"/>
          <w:kern w:val="0"/>
        </w:rPr>
        <w:t>.</w:t>
      </w:r>
      <w:r>
        <w:rPr>
          <w:rFonts w:ascii="黑体" w:hAnsi="Times New Roman" w:eastAsia="黑体"/>
          <w:kern w:val="0"/>
        </w:rPr>
        <w:t>1</w:t>
      </w:r>
      <w:r>
        <w:rPr>
          <w:rFonts w:hint="eastAsia" w:ascii="黑体" w:hAnsi="Times New Roman" w:eastAsia="黑体"/>
          <w:kern w:val="0"/>
        </w:rPr>
        <w:t>.</w:t>
      </w:r>
      <w:r>
        <w:rPr>
          <w:rFonts w:ascii="黑体" w:hAnsi="Times New Roman" w:eastAsia="黑体"/>
          <w:kern w:val="0"/>
        </w:rPr>
        <w:t>3</w:t>
      </w:r>
      <w:r>
        <w:rPr>
          <w:rFonts w:hint="eastAsia" w:ascii="黑体" w:hAnsi="Times New Roman" w:eastAsia="黑体"/>
          <w:kern w:val="0"/>
        </w:rPr>
        <w:t>　</w:t>
      </w:r>
      <w:r>
        <w:rPr>
          <w:rFonts w:hint="eastAsia" w:cstheme="minorEastAsia"/>
          <w:kern w:val="0"/>
        </w:rPr>
        <w:t>食品添加剂及使用应符合</w:t>
      </w:r>
      <w:r>
        <w:rPr>
          <w:rFonts w:ascii="Times New Roman" w:hAnsi="Times New Roman" w:eastAsia="宋体"/>
          <w:kern w:val="0"/>
        </w:rPr>
        <w:t>GB 2760</w:t>
      </w:r>
      <w:r>
        <w:rPr>
          <w:rFonts w:hint="eastAsia" w:cstheme="minorEastAsia"/>
          <w:kern w:val="0"/>
        </w:rPr>
        <w:t>的相关规定。</w:t>
      </w:r>
    </w:p>
    <w:p w14:paraId="5F460D68">
      <w:pPr>
        <w:snapToGrid/>
        <w:spacing w:before="156" w:beforeLines="50" w:after="156" w:afterLines="50"/>
        <w:ind w:firstLine="0" w:firstLineChars="0"/>
        <w:jc w:val="left"/>
        <w:rPr>
          <w:rFonts w:ascii="黑体" w:hAnsi="黑体" w:eastAsia="黑体"/>
          <w:kern w:val="0"/>
        </w:rPr>
      </w:pPr>
      <w:bookmarkStart w:id="65" w:name="_Toc16172045"/>
      <w:bookmarkStart w:id="66" w:name="_Toc20317854"/>
      <w:bookmarkStart w:id="67" w:name="_Toc20235299"/>
      <w:bookmarkStart w:id="68" w:name="_Toc20236412"/>
      <w:bookmarkStart w:id="69" w:name="_Toc20410175"/>
      <w:bookmarkStart w:id="70" w:name="_Toc16171981"/>
      <w:r>
        <w:rPr>
          <w:rFonts w:ascii="黑体" w:hAnsi="黑体" w:eastAsia="黑体"/>
          <w:kern w:val="0"/>
        </w:rPr>
        <w:t>5.2</w:t>
      </w:r>
      <w:r>
        <w:rPr>
          <w:rFonts w:hint="eastAsia" w:ascii="黑体" w:hAnsi="黑体" w:eastAsia="黑体"/>
          <w:kern w:val="0"/>
        </w:rPr>
        <w:t>　投料要求</w:t>
      </w:r>
    </w:p>
    <w:p w14:paraId="0412BA4E">
      <w:pPr>
        <w:pStyle w:val="21"/>
        <w:snapToGrid w:val="0"/>
        <w:spacing w:before="0" w:beforeLines="0" w:after="0" w:afterLines="0"/>
        <w:outlineLvl w:val="2"/>
      </w:pPr>
      <w:r>
        <w:rPr>
          <w:rFonts w:hint="eastAsia" w:ascii="黑体" w:hAnsi="Times New Roman" w:eastAsia="黑体" w:cs="Times New Roman"/>
          <w:szCs w:val="21"/>
        </w:rPr>
        <w:t>5.</w:t>
      </w:r>
      <w:r>
        <w:rPr>
          <w:rFonts w:ascii="黑体" w:hAnsi="Times New Roman" w:eastAsia="黑体" w:cs="Times New Roman"/>
          <w:szCs w:val="21"/>
        </w:rPr>
        <w:t>2</w:t>
      </w:r>
      <w:r>
        <w:rPr>
          <w:rFonts w:hint="eastAsia" w:ascii="黑体" w:hAnsi="Times New Roman" w:eastAsia="黑体" w:cs="Times New Roman"/>
          <w:szCs w:val="21"/>
        </w:rPr>
        <w:t>.</w:t>
      </w:r>
      <w:r>
        <w:rPr>
          <w:rFonts w:ascii="黑体" w:hAnsi="Times New Roman" w:eastAsia="黑体" w:cs="Times New Roman"/>
          <w:szCs w:val="21"/>
        </w:rPr>
        <w:t>1</w:t>
      </w:r>
      <w:r>
        <w:rPr>
          <w:rFonts w:hint="eastAsia" w:ascii="宋体" w:hAnsi="宋体" w:eastAsia="宋体" w:cs="Times New Roman"/>
          <w:szCs w:val="21"/>
        </w:rPr>
        <w:t>　部位肉类非调理通辽牛肉片应使用</w:t>
      </w:r>
      <w:r>
        <w:rPr>
          <w:rFonts w:hint="eastAsia"/>
        </w:rPr>
        <w:t>同一部位牛肉为原料，且</w:t>
      </w:r>
      <w:r>
        <w:t>不</w:t>
      </w:r>
      <w:r>
        <w:rPr>
          <w:rFonts w:hint="eastAsia"/>
        </w:rPr>
        <w:t>应使用碎肉。</w:t>
      </w:r>
    </w:p>
    <w:p w14:paraId="512450FF">
      <w:pPr>
        <w:pStyle w:val="21"/>
        <w:snapToGrid w:val="0"/>
        <w:spacing w:before="0" w:beforeLines="0" w:after="0" w:afterLines="0"/>
        <w:outlineLvl w:val="2"/>
        <w:rPr>
          <w:rFonts w:ascii="Times New Roman" w:hAnsi="Times New Roman" w:eastAsia="宋体" w:cs="Times New Roman"/>
          <w:szCs w:val="21"/>
        </w:rPr>
      </w:pPr>
      <w:r>
        <w:rPr>
          <w:rFonts w:hint="eastAsia" w:ascii="黑体" w:hAnsi="Times New Roman" w:eastAsia="黑体" w:cs="Times New Roman"/>
          <w:szCs w:val="21"/>
        </w:rPr>
        <w:t>5.</w:t>
      </w:r>
      <w:r>
        <w:rPr>
          <w:rFonts w:ascii="黑体" w:hAnsi="Times New Roman" w:eastAsia="黑体" w:cs="Times New Roman"/>
          <w:szCs w:val="21"/>
        </w:rPr>
        <w:t>2</w:t>
      </w:r>
      <w:r>
        <w:rPr>
          <w:rFonts w:hint="eastAsia" w:ascii="黑体" w:hAnsi="Times New Roman" w:eastAsia="黑体" w:cs="Times New Roman"/>
          <w:szCs w:val="21"/>
        </w:rPr>
        <w:t>.</w:t>
      </w:r>
      <w:r>
        <w:rPr>
          <w:rFonts w:ascii="黑体" w:hAnsi="Times New Roman" w:eastAsia="黑体" w:cs="Times New Roman"/>
          <w:szCs w:val="21"/>
        </w:rPr>
        <w:t>2</w:t>
      </w:r>
      <w:r>
        <w:rPr>
          <w:rFonts w:hint="eastAsia" w:ascii="宋体" w:hAnsi="宋体" w:eastAsia="宋体" w:cs="Times New Roman"/>
          <w:szCs w:val="21"/>
        </w:rPr>
        <w:t>　肥牛卷加工过程中，不应使用</w:t>
      </w:r>
      <w:r>
        <w:rPr>
          <w:rFonts w:ascii="Times New Roman" w:hAnsi="Times New Roman" w:eastAsia="宋体" w:cs="Times New Roman"/>
          <w:szCs w:val="21"/>
        </w:rPr>
        <w:t>50 g</w:t>
      </w:r>
      <w:r>
        <w:rPr>
          <w:rFonts w:hint="eastAsia" w:ascii="宋体" w:hAnsi="宋体" w:eastAsia="宋体" w:cs="Times New Roman"/>
          <w:szCs w:val="21"/>
        </w:rPr>
        <w:t>以下的碎肉</w:t>
      </w:r>
      <w:r>
        <w:rPr>
          <w:rFonts w:hint="eastAsia" w:ascii="Times New Roman" w:hAnsi="Times New Roman" w:eastAsia="宋体" w:cs="Times New Roman"/>
          <w:szCs w:val="21"/>
        </w:rPr>
        <w:t>。</w:t>
      </w:r>
      <w:r>
        <w:rPr>
          <w:rFonts w:hint="eastAsia" w:ascii="宋体" w:hAnsi="宋体" w:eastAsia="宋体" w:cs="Times New Roman"/>
          <w:szCs w:val="21"/>
        </w:rPr>
        <w:t>根据配方计，肥牛卷加工过程中</w:t>
      </w:r>
      <w:r>
        <w:rPr>
          <w:rFonts w:ascii="宋体" w:hAnsi="宋体" w:eastAsia="宋体" w:cs="Times New Roman"/>
          <w:szCs w:val="21"/>
        </w:rPr>
        <w:t>牛</w:t>
      </w:r>
      <w:r>
        <w:rPr>
          <w:rFonts w:hint="eastAsia" w:ascii="宋体" w:hAnsi="宋体" w:eastAsia="宋体" w:cs="Times New Roman"/>
          <w:szCs w:val="21"/>
        </w:rPr>
        <w:t>脂肪的添加量不应超过</w:t>
      </w:r>
      <w:r>
        <w:rPr>
          <w:rFonts w:hint="eastAsia" w:ascii="Times New Roman" w:hAnsi="Times New Roman" w:eastAsia="宋体" w:cs="Times New Roman"/>
          <w:szCs w:val="21"/>
        </w:rPr>
        <w:t>30</w:t>
      </w:r>
      <w:r>
        <w:rPr>
          <w:rFonts w:ascii="Times New Roman" w:hAnsi="Times New Roman" w:eastAsia="宋体" w:cs="Times New Roman"/>
          <w:szCs w:val="21"/>
        </w:rPr>
        <w:t>%。</w:t>
      </w:r>
    </w:p>
    <w:p w14:paraId="7F4598A1">
      <w:pPr>
        <w:pStyle w:val="21"/>
        <w:snapToGrid w:val="0"/>
        <w:spacing w:before="0" w:beforeLines="0" w:after="0" w:afterLines="0"/>
        <w:outlineLvl w:val="2"/>
        <w:rPr>
          <w:rFonts w:ascii="Times New Roman" w:hAnsi="Times New Roman" w:eastAsia="宋体" w:cs="Times New Roman"/>
          <w:szCs w:val="21"/>
        </w:rPr>
      </w:pPr>
      <w:r>
        <w:rPr>
          <w:rFonts w:hint="eastAsia" w:ascii="黑体" w:hAnsi="Times New Roman" w:eastAsia="黑体" w:cs="Times New Roman"/>
          <w:szCs w:val="21"/>
        </w:rPr>
        <w:t>5.</w:t>
      </w:r>
      <w:r>
        <w:rPr>
          <w:rFonts w:ascii="黑体" w:hAnsi="Times New Roman" w:eastAsia="黑体" w:cs="Times New Roman"/>
          <w:szCs w:val="21"/>
        </w:rPr>
        <w:t>2</w:t>
      </w:r>
      <w:r>
        <w:rPr>
          <w:rFonts w:hint="eastAsia" w:ascii="黑体" w:hAnsi="Times New Roman" w:eastAsia="黑体" w:cs="Times New Roman"/>
          <w:szCs w:val="21"/>
        </w:rPr>
        <w:t>.</w:t>
      </w:r>
      <w:r>
        <w:rPr>
          <w:rFonts w:ascii="黑体" w:hAnsi="Times New Roman" w:eastAsia="黑体" w:cs="Times New Roman"/>
          <w:szCs w:val="21"/>
        </w:rPr>
        <w:t>3</w:t>
      </w:r>
      <w:r>
        <w:rPr>
          <w:rFonts w:hint="eastAsia" w:ascii="宋体" w:hAnsi="宋体" w:eastAsia="宋体" w:cs="Times New Roman"/>
          <w:szCs w:val="21"/>
        </w:rPr>
        <w:t>　调理类通辽牛肉片</w:t>
      </w:r>
      <w:r>
        <w:rPr>
          <w:rFonts w:hint="eastAsia" w:ascii="Times New Roman" w:hAnsi="Times New Roman" w:eastAsia="宋体" w:cs="Times New Roman"/>
          <w:szCs w:val="21"/>
        </w:rPr>
        <w:t>加工过程中不应添加外源蛋白和多糖类物质。</w:t>
      </w:r>
    </w:p>
    <w:p w14:paraId="19B42AF7">
      <w:pPr>
        <w:pStyle w:val="19"/>
        <w:numPr>
          <w:ilvl w:val="0"/>
          <w:numId w:val="2"/>
        </w:numPr>
        <w:spacing w:before="312" w:beforeLines="100" w:after="312" w:afterLines="100"/>
        <w:ind w:firstLineChars="0"/>
        <w:outlineLvl w:val="0"/>
        <w:rPr>
          <w:rFonts w:ascii="黑体" w:hAnsi="黑体" w:eastAsia="黑体"/>
          <w:szCs w:val="21"/>
        </w:rPr>
      </w:pPr>
      <w:r>
        <w:rPr>
          <w:rFonts w:hint="eastAsia" w:ascii="Times New Roman" w:hAnsi="Times New Roman" w:eastAsia="黑体"/>
          <w:szCs w:val="21"/>
        </w:rPr>
        <w:t>技术要求</w:t>
      </w:r>
    </w:p>
    <w:p w14:paraId="163F1AE8">
      <w:pPr>
        <w:snapToGrid/>
        <w:spacing w:before="156" w:beforeLines="50" w:after="156" w:afterLines="50"/>
        <w:ind w:firstLine="0" w:firstLineChars="0"/>
        <w:jc w:val="left"/>
        <w:rPr>
          <w:rFonts w:ascii="黑体" w:hAnsi="黑体" w:eastAsia="黑体"/>
          <w:kern w:val="0"/>
        </w:rPr>
      </w:pPr>
      <w:r>
        <w:rPr>
          <w:rFonts w:ascii="黑体" w:hAnsi="黑体" w:eastAsia="黑体"/>
          <w:kern w:val="0"/>
        </w:rPr>
        <w:t>6</w:t>
      </w:r>
      <w:r>
        <w:rPr>
          <w:rFonts w:hint="eastAsia" w:ascii="黑体" w:hAnsi="黑体" w:eastAsia="黑体"/>
          <w:kern w:val="0"/>
        </w:rPr>
        <w:t>.</w:t>
      </w:r>
      <w:r>
        <w:rPr>
          <w:rFonts w:ascii="黑体" w:hAnsi="黑体" w:eastAsia="黑体"/>
          <w:kern w:val="0"/>
        </w:rPr>
        <w:t>1</w:t>
      </w:r>
      <w:r>
        <w:rPr>
          <w:rFonts w:hint="eastAsia" w:ascii="黑体" w:hAnsi="黑体" w:eastAsia="黑体"/>
          <w:kern w:val="0"/>
        </w:rPr>
        <w:t>　</w:t>
      </w:r>
      <w:r>
        <w:rPr>
          <w:rFonts w:ascii="黑体" w:hAnsi="黑体" w:eastAsia="黑体"/>
          <w:kern w:val="0"/>
        </w:rPr>
        <w:t>感官要求</w:t>
      </w:r>
    </w:p>
    <w:p w14:paraId="02BD05F3">
      <w:pPr>
        <w:pStyle w:val="20"/>
        <w:rPr>
          <w:szCs w:val="21"/>
        </w:rPr>
      </w:pPr>
      <w:r>
        <w:rPr>
          <w:szCs w:val="21"/>
        </w:rPr>
        <w:t>应符合表1的</w:t>
      </w:r>
      <w:r>
        <w:rPr>
          <w:rFonts w:hint="eastAsia"/>
          <w:szCs w:val="21"/>
        </w:rPr>
        <w:t>规定</w:t>
      </w:r>
      <w:r>
        <w:rPr>
          <w:szCs w:val="21"/>
        </w:rPr>
        <w:t>。</w:t>
      </w:r>
    </w:p>
    <w:p w14:paraId="12AA0DC1">
      <w:pPr>
        <w:pStyle w:val="22"/>
        <w:spacing w:before="156" w:beforeLines="50" w:after="156" w:afterLines="50"/>
      </w:pPr>
      <w:r>
        <w:rPr>
          <w:rFonts w:hint="eastAsia"/>
        </w:rPr>
        <w:t>表1 产品感官要求</w:t>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7644"/>
      </w:tblGrid>
      <w:tr w14:paraId="79D1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0366A746">
            <w:pPr>
              <w:autoSpaceDE/>
              <w:autoSpaceDN/>
              <w:adjustRightInd/>
              <w:snapToGrid/>
              <w:ind w:firstLine="0" w:firstLineChars="0"/>
              <w:jc w:val="center"/>
              <w:rPr>
                <w:rFonts w:ascii="Times New Roman" w:hAnsi="Times New Roman" w:eastAsia="宋体"/>
                <w:kern w:val="0"/>
                <w:sz w:val="18"/>
                <w:szCs w:val="18"/>
              </w:rPr>
            </w:pPr>
            <w:r>
              <w:rPr>
                <w:rFonts w:ascii="Times New Roman" w:hAnsi="Times New Roman" w:eastAsia="宋体"/>
                <w:kern w:val="0"/>
                <w:sz w:val="18"/>
                <w:szCs w:val="18"/>
              </w:rPr>
              <w:t>项目</w:t>
            </w:r>
          </w:p>
        </w:tc>
        <w:tc>
          <w:tcPr>
            <w:tcW w:w="4116" w:type="pct"/>
            <w:tcBorders>
              <w:tl2br w:val="nil"/>
              <w:tr2bl w:val="nil"/>
            </w:tcBorders>
            <w:vAlign w:val="center"/>
          </w:tcPr>
          <w:p w14:paraId="7F5F5122">
            <w:pPr>
              <w:autoSpaceDE/>
              <w:autoSpaceDN/>
              <w:adjustRightInd/>
              <w:snapToGrid/>
              <w:ind w:firstLine="0" w:firstLineChars="0"/>
              <w:jc w:val="center"/>
              <w:rPr>
                <w:rFonts w:ascii="Times New Roman" w:hAnsi="Times New Roman" w:eastAsia="宋体"/>
                <w:kern w:val="0"/>
                <w:sz w:val="18"/>
                <w:szCs w:val="18"/>
              </w:rPr>
            </w:pPr>
            <w:r>
              <w:rPr>
                <w:rFonts w:ascii="Times New Roman" w:hAnsi="Times New Roman" w:eastAsia="宋体"/>
                <w:kern w:val="0"/>
                <w:sz w:val="18"/>
                <w:szCs w:val="18"/>
              </w:rPr>
              <w:t>要求</w:t>
            </w:r>
          </w:p>
        </w:tc>
      </w:tr>
      <w:tr w14:paraId="393D1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48F3A5E5">
            <w:pPr>
              <w:autoSpaceDE/>
              <w:autoSpaceDN/>
              <w:adjustRightInd/>
              <w:snapToGrid/>
              <w:ind w:firstLine="0" w:firstLineChars="0"/>
              <w:jc w:val="center"/>
              <w:rPr>
                <w:rFonts w:ascii="Times New Roman" w:hAnsi="Times New Roman" w:eastAsia="宋体"/>
                <w:kern w:val="0"/>
                <w:sz w:val="18"/>
                <w:szCs w:val="18"/>
              </w:rPr>
            </w:pPr>
            <w:r>
              <w:rPr>
                <w:rFonts w:hint="eastAsia" w:ascii="Times New Roman" w:hAnsi="Times New Roman" w:eastAsia="宋体"/>
                <w:kern w:val="0"/>
                <w:sz w:val="18"/>
                <w:szCs w:val="18"/>
              </w:rPr>
              <w:t>外观、</w:t>
            </w:r>
            <w:r>
              <w:rPr>
                <w:rFonts w:ascii="Times New Roman" w:hAnsi="Times New Roman" w:eastAsia="宋体"/>
                <w:kern w:val="0"/>
                <w:sz w:val="18"/>
                <w:szCs w:val="18"/>
              </w:rPr>
              <w:t>色泽</w:t>
            </w:r>
          </w:p>
        </w:tc>
        <w:tc>
          <w:tcPr>
            <w:tcW w:w="4116" w:type="pct"/>
            <w:tcBorders>
              <w:tl2br w:val="nil"/>
              <w:tr2bl w:val="nil"/>
            </w:tcBorders>
            <w:vAlign w:val="center"/>
          </w:tcPr>
          <w:p w14:paraId="79C76276">
            <w:pPr>
              <w:pStyle w:val="41"/>
              <w:autoSpaceDE/>
              <w:autoSpaceDN/>
              <w:adjustRightInd/>
              <w:snapToGrid/>
              <w:ind w:firstLine="0" w:firstLineChars="0"/>
              <w:jc w:val="center"/>
              <w:rPr>
                <w:rFonts w:ascii="Times New Roman" w:hAnsi="Times New Roman" w:cs="Times New Roman"/>
                <w:kern w:val="0"/>
                <w:lang w:eastAsia="zh-CN"/>
              </w:rPr>
            </w:pPr>
            <w:r>
              <w:rPr>
                <w:rFonts w:hint="eastAsia" w:ascii="Times New Roman" w:hAnsi="Times New Roman" w:cs="Times New Roman"/>
                <w:kern w:val="0"/>
                <w:lang w:eastAsia="zh-CN"/>
              </w:rPr>
              <w:t>肌肉呈红色，</w:t>
            </w:r>
            <w:r>
              <w:rPr>
                <w:rFonts w:ascii="Times New Roman" w:hAnsi="Times New Roman" w:cs="Times New Roman"/>
                <w:kern w:val="0"/>
                <w:lang w:eastAsia="zh-CN"/>
              </w:rPr>
              <w:t>脂肪</w:t>
            </w:r>
            <w:r>
              <w:rPr>
                <w:rFonts w:hint="eastAsia" w:ascii="Times New Roman" w:hAnsi="Times New Roman" w:cs="Times New Roman"/>
                <w:kern w:val="0"/>
                <w:lang w:eastAsia="zh-CN"/>
              </w:rPr>
              <w:t>呈白色或淡黄色</w:t>
            </w:r>
          </w:p>
        </w:tc>
      </w:tr>
      <w:tr w14:paraId="00DC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6C66604B">
            <w:pPr>
              <w:autoSpaceDE/>
              <w:autoSpaceDN/>
              <w:adjustRightInd/>
              <w:snapToGrid/>
              <w:ind w:firstLine="0" w:firstLineChars="0"/>
              <w:jc w:val="center"/>
              <w:rPr>
                <w:rFonts w:ascii="Times New Roman" w:hAnsi="Times New Roman" w:eastAsia="宋体"/>
                <w:kern w:val="0"/>
                <w:sz w:val="18"/>
                <w:szCs w:val="18"/>
              </w:rPr>
            </w:pPr>
            <w:r>
              <w:rPr>
                <w:rFonts w:ascii="Times New Roman" w:hAnsi="Times New Roman" w:eastAsia="宋体"/>
                <w:kern w:val="0"/>
                <w:sz w:val="18"/>
                <w:szCs w:val="18"/>
              </w:rPr>
              <w:t>组织状态</w:t>
            </w:r>
          </w:p>
        </w:tc>
        <w:tc>
          <w:tcPr>
            <w:tcW w:w="4116" w:type="pct"/>
            <w:tcBorders>
              <w:tl2br w:val="nil"/>
              <w:tr2bl w:val="nil"/>
            </w:tcBorders>
            <w:vAlign w:val="center"/>
          </w:tcPr>
          <w:p w14:paraId="14C65E6B">
            <w:pPr>
              <w:pStyle w:val="41"/>
              <w:autoSpaceDE/>
              <w:autoSpaceDN/>
              <w:adjustRightInd/>
              <w:snapToGrid/>
              <w:ind w:firstLine="0" w:firstLineChars="0"/>
              <w:jc w:val="center"/>
              <w:rPr>
                <w:rFonts w:ascii="Times New Roman" w:hAnsi="Times New Roman" w:cs="Times New Roman"/>
                <w:kern w:val="0"/>
                <w:lang w:eastAsia="zh-CN"/>
              </w:rPr>
            </w:pPr>
            <w:r>
              <w:rPr>
                <w:rFonts w:hint="eastAsia" w:ascii="Times New Roman" w:hAnsi="Times New Roman" w:cs="Times New Roman"/>
                <w:kern w:val="0"/>
                <w:lang w:eastAsia="zh-CN"/>
              </w:rPr>
              <w:t>脂肪与肌肉无明显分离，</w:t>
            </w:r>
            <w:r>
              <w:rPr>
                <w:rFonts w:ascii="Times New Roman" w:hAnsi="Times New Roman" w:cs="Times New Roman"/>
                <w:kern w:val="0"/>
                <w:lang w:eastAsia="zh-CN"/>
              </w:rPr>
              <w:t>无</w:t>
            </w:r>
            <w:r>
              <w:rPr>
                <w:rFonts w:hint="eastAsia" w:ascii="Times New Roman" w:hAnsi="Times New Roman" w:cs="Times New Roman"/>
                <w:kern w:val="0"/>
                <w:lang w:eastAsia="zh-CN"/>
              </w:rPr>
              <w:t>大颗粒冰晶，</w:t>
            </w:r>
            <w:r>
              <w:rPr>
                <w:rFonts w:ascii="Times New Roman" w:hAnsi="Times New Roman" w:cs="Times New Roman"/>
                <w:kern w:val="0"/>
                <w:lang w:eastAsia="zh-CN"/>
              </w:rPr>
              <w:t>肉卷</w:t>
            </w:r>
            <w:r>
              <w:rPr>
                <w:rFonts w:hint="eastAsia" w:ascii="Times New Roman" w:hAnsi="Times New Roman" w:cs="Times New Roman"/>
                <w:kern w:val="0"/>
                <w:lang w:eastAsia="zh-CN"/>
              </w:rPr>
              <w:t>无裂痕、破碎</w:t>
            </w:r>
          </w:p>
        </w:tc>
      </w:tr>
      <w:tr w14:paraId="6690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2B4A93F1">
            <w:pPr>
              <w:autoSpaceDE/>
              <w:autoSpaceDN/>
              <w:adjustRightInd/>
              <w:snapToGrid/>
              <w:ind w:firstLine="0" w:firstLineChars="0"/>
              <w:jc w:val="center"/>
              <w:rPr>
                <w:rFonts w:ascii="Times New Roman" w:hAnsi="Times New Roman" w:eastAsia="宋体"/>
                <w:kern w:val="0"/>
                <w:sz w:val="18"/>
                <w:szCs w:val="18"/>
              </w:rPr>
            </w:pPr>
            <w:r>
              <w:rPr>
                <w:rFonts w:ascii="Times New Roman" w:hAnsi="Times New Roman" w:eastAsia="宋体"/>
                <w:kern w:val="0"/>
                <w:sz w:val="18"/>
                <w:szCs w:val="18"/>
              </w:rPr>
              <w:t>气味</w:t>
            </w:r>
          </w:p>
        </w:tc>
        <w:tc>
          <w:tcPr>
            <w:tcW w:w="4116" w:type="pct"/>
            <w:tcBorders>
              <w:tl2br w:val="nil"/>
              <w:tr2bl w:val="nil"/>
            </w:tcBorders>
            <w:vAlign w:val="center"/>
          </w:tcPr>
          <w:p w14:paraId="21C0716A">
            <w:pPr>
              <w:pStyle w:val="41"/>
              <w:autoSpaceDE/>
              <w:autoSpaceDN/>
              <w:adjustRightInd/>
              <w:snapToGrid/>
              <w:ind w:firstLine="0" w:firstLineChars="0"/>
              <w:jc w:val="center"/>
              <w:rPr>
                <w:rFonts w:ascii="Times New Roman" w:hAnsi="Times New Roman" w:cs="Times New Roman"/>
                <w:kern w:val="0"/>
                <w:lang w:eastAsia="zh-CN"/>
              </w:rPr>
            </w:pPr>
            <w:r>
              <w:rPr>
                <w:rFonts w:hint="eastAsia" w:ascii="Times New Roman" w:hAnsi="Times New Roman" w:cs="Times New Roman"/>
                <w:kern w:val="0"/>
                <w:lang w:eastAsia="zh-CN"/>
              </w:rPr>
              <w:t>具有牛肉固有气味</w:t>
            </w:r>
            <w:r>
              <w:rPr>
                <w:rFonts w:ascii="Times New Roman" w:hAnsi="Times New Roman" w:cs="Times New Roman"/>
                <w:kern w:val="0"/>
                <w:lang w:eastAsia="zh-CN"/>
              </w:rPr>
              <w:t>，无异味</w:t>
            </w:r>
          </w:p>
        </w:tc>
      </w:tr>
      <w:tr w14:paraId="2242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1D7DCF54">
            <w:pPr>
              <w:autoSpaceDE/>
              <w:autoSpaceDN/>
              <w:adjustRightInd/>
              <w:snapToGrid/>
              <w:ind w:firstLine="0" w:firstLineChars="0"/>
              <w:jc w:val="center"/>
              <w:rPr>
                <w:rFonts w:ascii="Times New Roman" w:hAnsi="Times New Roman" w:eastAsia="宋体"/>
                <w:kern w:val="0"/>
                <w:sz w:val="18"/>
                <w:szCs w:val="18"/>
              </w:rPr>
            </w:pPr>
            <w:r>
              <w:rPr>
                <w:rFonts w:hint="eastAsia" w:ascii="Times New Roman" w:hAnsi="Times New Roman" w:eastAsia="宋体"/>
                <w:kern w:val="0"/>
                <w:sz w:val="18"/>
                <w:szCs w:val="18"/>
              </w:rPr>
              <w:t>煮沸后肉汤</w:t>
            </w:r>
          </w:p>
        </w:tc>
        <w:tc>
          <w:tcPr>
            <w:tcW w:w="4116" w:type="pct"/>
            <w:tcBorders>
              <w:tl2br w:val="nil"/>
              <w:tr2bl w:val="nil"/>
            </w:tcBorders>
            <w:vAlign w:val="center"/>
          </w:tcPr>
          <w:p w14:paraId="236999CA">
            <w:pPr>
              <w:pStyle w:val="41"/>
              <w:autoSpaceDE/>
              <w:autoSpaceDN/>
              <w:adjustRightInd/>
              <w:snapToGrid/>
              <w:ind w:firstLine="0" w:firstLineChars="0"/>
              <w:jc w:val="center"/>
              <w:rPr>
                <w:rFonts w:ascii="Times New Roman" w:hAnsi="Times New Roman" w:cs="Times New Roman"/>
                <w:kern w:val="0"/>
                <w:lang w:eastAsia="zh-CN"/>
              </w:rPr>
            </w:pPr>
            <w:r>
              <w:rPr>
                <w:rFonts w:hint="eastAsia" w:ascii="Times New Roman" w:hAnsi="Times New Roman" w:cs="Times New Roman"/>
                <w:kern w:val="0"/>
                <w:lang w:eastAsia="zh-CN"/>
              </w:rPr>
              <w:t>澄清透明，</w:t>
            </w:r>
            <w:r>
              <w:rPr>
                <w:rFonts w:ascii="Times New Roman" w:hAnsi="Times New Roman" w:cs="Times New Roman"/>
                <w:kern w:val="0"/>
                <w:lang w:eastAsia="zh-CN"/>
              </w:rPr>
              <w:t>脂肪</w:t>
            </w:r>
            <w:r>
              <w:rPr>
                <w:rFonts w:hint="eastAsia" w:ascii="Times New Roman" w:hAnsi="Times New Roman" w:cs="Times New Roman"/>
                <w:kern w:val="0"/>
                <w:lang w:eastAsia="zh-CN"/>
              </w:rPr>
              <w:t>团聚于表面，具特有香味</w:t>
            </w:r>
          </w:p>
        </w:tc>
      </w:tr>
      <w:tr w14:paraId="6A86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70E9FA05">
            <w:pPr>
              <w:autoSpaceDE/>
              <w:autoSpaceDN/>
              <w:adjustRightInd/>
              <w:snapToGrid/>
              <w:ind w:firstLine="0" w:firstLineChars="0"/>
              <w:jc w:val="center"/>
              <w:rPr>
                <w:rFonts w:ascii="Times New Roman" w:hAnsi="Times New Roman" w:eastAsia="宋体"/>
                <w:kern w:val="0"/>
                <w:sz w:val="18"/>
                <w:szCs w:val="18"/>
              </w:rPr>
            </w:pPr>
            <w:r>
              <w:rPr>
                <w:rFonts w:hint="eastAsia" w:ascii="Times New Roman" w:hAnsi="Times New Roman" w:eastAsia="宋体"/>
                <w:kern w:val="0"/>
                <w:sz w:val="18"/>
                <w:szCs w:val="18"/>
              </w:rPr>
              <w:t>肉眼可见异物</w:t>
            </w:r>
          </w:p>
        </w:tc>
        <w:tc>
          <w:tcPr>
            <w:tcW w:w="4116" w:type="pct"/>
            <w:tcBorders>
              <w:tl2br w:val="nil"/>
              <w:tr2bl w:val="nil"/>
            </w:tcBorders>
            <w:vAlign w:val="center"/>
          </w:tcPr>
          <w:p w14:paraId="5E771442">
            <w:pPr>
              <w:pStyle w:val="41"/>
              <w:autoSpaceDE/>
              <w:autoSpaceDN/>
              <w:adjustRightInd/>
              <w:snapToGrid/>
              <w:ind w:firstLine="0" w:firstLineChars="0"/>
              <w:jc w:val="center"/>
              <w:rPr>
                <w:rFonts w:ascii="Times New Roman" w:hAnsi="Times New Roman" w:cs="Times New Roman"/>
                <w:kern w:val="0"/>
                <w:lang w:eastAsia="zh-CN"/>
              </w:rPr>
            </w:pPr>
            <w:r>
              <w:rPr>
                <w:rFonts w:hint="eastAsia" w:ascii="Times New Roman" w:hAnsi="Times New Roman" w:cs="Times New Roman"/>
                <w:kern w:val="0"/>
                <w:lang w:eastAsia="zh-CN"/>
              </w:rPr>
              <w:t>不应有碎骨、</w:t>
            </w:r>
            <w:r>
              <w:rPr>
                <w:rFonts w:ascii="Times New Roman" w:hAnsi="Times New Roman" w:cs="Times New Roman"/>
                <w:kern w:val="0"/>
                <w:lang w:eastAsia="zh-CN"/>
              </w:rPr>
              <w:t>血污</w:t>
            </w:r>
            <w:r>
              <w:rPr>
                <w:rFonts w:hint="eastAsia" w:ascii="Times New Roman" w:hAnsi="Times New Roman" w:cs="Times New Roman"/>
                <w:kern w:val="0"/>
                <w:lang w:eastAsia="zh-CN"/>
              </w:rPr>
              <w:t>、</w:t>
            </w:r>
            <w:r>
              <w:rPr>
                <w:rFonts w:ascii="Times New Roman" w:hAnsi="Times New Roman" w:cs="Times New Roman"/>
                <w:kern w:val="0"/>
                <w:lang w:eastAsia="zh-CN"/>
              </w:rPr>
              <w:t>淋巴</w:t>
            </w:r>
            <w:r>
              <w:rPr>
                <w:rFonts w:hint="eastAsia" w:ascii="Times New Roman" w:hAnsi="Times New Roman" w:cs="Times New Roman"/>
                <w:kern w:val="0"/>
                <w:lang w:eastAsia="zh-CN"/>
              </w:rPr>
              <w:t>、</w:t>
            </w:r>
            <w:r>
              <w:rPr>
                <w:rFonts w:ascii="Times New Roman" w:hAnsi="Times New Roman" w:cs="Times New Roman"/>
                <w:kern w:val="0"/>
                <w:lang w:eastAsia="zh-CN"/>
              </w:rPr>
              <w:t>浮毛</w:t>
            </w:r>
            <w:r>
              <w:rPr>
                <w:rFonts w:hint="eastAsia" w:ascii="Times New Roman" w:hAnsi="Times New Roman" w:cs="Times New Roman"/>
                <w:kern w:val="0"/>
                <w:lang w:eastAsia="zh-CN"/>
              </w:rPr>
              <w:t>及外来杂质</w:t>
            </w:r>
          </w:p>
        </w:tc>
      </w:tr>
    </w:tbl>
    <w:p w14:paraId="59044776">
      <w:pPr>
        <w:snapToGrid/>
        <w:spacing w:before="156" w:beforeLines="50" w:after="156" w:afterLines="50"/>
        <w:ind w:firstLine="0" w:firstLineChars="0"/>
        <w:jc w:val="left"/>
        <w:rPr>
          <w:rFonts w:ascii="黑体" w:hAnsi="黑体" w:eastAsia="黑体"/>
          <w:kern w:val="0"/>
        </w:rPr>
      </w:pPr>
      <w:r>
        <w:rPr>
          <w:rFonts w:ascii="黑体" w:hAnsi="黑体" w:eastAsia="黑体"/>
          <w:kern w:val="0"/>
        </w:rPr>
        <w:t>6.2</w:t>
      </w:r>
      <w:r>
        <w:rPr>
          <w:rFonts w:hint="eastAsia" w:ascii="黑体" w:hAnsi="黑体" w:eastAsia="黑体"/>
          <w:kern w:val="0"/>
        </w:rPr>
        <w:t>　理化指标</w:t>
      </w:r>
    </w:p>
    <w:p w14:paraId="4BEE8EA7">
      <w:pPr>
        <w:pStyle w:val="20"/>
        <w:rPr>
          <w:szCs w:val="21"/>
        </w:rPr>
      </w:pPr>
      <w:r>
        <w:rPr>
          <w:rFonts w:hint="eastAsia"/>
          <w:szCs w:val="21"/>
        </w:rPr>
        <w:t>应符合表</w:t>
      </w:r>
      <w:r>
        <w:rPr>
          <w:szCs w:val="21"/>
        </w:rPr>
        <w:t>2</w:t>
      </w:r>
      <w:r>
        <w:rPr>
          <w:rFonts w:hint="eastAsia"/>
          <w:szCs w:val="21"/>
        </w:rPr>
        <w:t>的规定。</w:t>
      </w:r>
    </w:p>
    <w:p w14:paraId="79B5C04C">
      <w:pPr>
        <w:pStyle w:val="22"/>
        <w:spacing w:before="156" w:beforeLines="50" w:after="156" w:afterLines="50"/>
      </w:pPr>
      <w:r>
        <w:rPr>
          <w:rFonts w:hint="eastAsia"/>
        </w:rPr>
        <w:t>表</w:t>
      </w:r>
      <w:r>
        <w:t>2</w:t>
      </w:r>
      <w:r>
        <w:rPr>
          <w:rFonts w:hint="eastAsia"/>
        </w:rPr>
        <w:t xml:space="preserve"> 理化指标</w:t>
      </w:r>
    </w:p>
    <w:tbl>
      <w:tblPr>
        <w:tblStyle w:val="12"/>
        <w:tblW w:w="9059" w:type="dxa"/>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9"/>
        <w:gridCol w:w="1945"/>
        <w:gridCol w:w="1276"/>
        <w:gridCol w:w="1134"/>
        <w:gridCol w:w="1685"/>
      </w:tblGrid>
      <w:tr w14:paraId="4849C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3019" w:type="dxa"/>
            <w:vMerge w:val="restart"/>
            <w:tcBorders>
              <w:tl2br w:val="nil"/>
              <w:tr2bl w:val="nil"/>
            </w:tcBorders>
            <w:vAlign w:val="center"/>
          </w:tcPr>
          <w:p w14:paraId="7D7E75A5">
            <w:pPr>
              <w:autoSpaceDE/>
              <w:autoSpaceDN/>
              <w:adjustRightInd/>
              <w:snapToGrid/>
              <w:ind w:firstLine="0" w:firstLineChars="0"/>
              <w:jc w:val="center"/>
              <w:rPr>
                <w:lang w:eastAsia="en-US"/>
              </w:rPr>
            </w:pPr>
            <w:r>
              <w:rPr>
                <w:rFonts w:ascii="Times New Roman" w:hAnsi="Times New Roman" w:eastAsia="宋体"/>
                <w:kern w:val="0"/>
                <w:sz w:val="18"/>
                <w:szCs w:val="18"/>
              </w:rPr>
              <w:t>项目</w:t>
            </w:r>
          </w:p>
        </w:tc>
        <w:tc>
          <w:tcPr>
            <w:tcW w:w="4355" w:type="dxa"/>
            <w:gridSpan w:val="3"/>
            <w:tcBorders>
              <w:tl2br w:val="nil"/>
              <w:tr2bl w:val="nil"/>
            </w:tcBorders>
            <w:vAlign w:val="center"/>
          </w:tcPr>
          <w:p w14:paraId="2523993A">
            <w:pPr>
              <w:pStyle w:val="41"/>
              <w:ind w:firstLine="360"/>
              <w:jc w:val="center"/>
            </w:pPr>
            <w:r>
              <w:rPr>
                <w:rFonts w:hint="eastAsia"/>
                <w:lang w:eastAsia="zh-CN"/>
              </w:rPr>
              <w:t>非调理类通辽牛肉片</w:t>
            </w:r>
          </w:p>
        </w:tc>
        <w:tc>
          <w:tcPr>
            <w:tcW w:w="1685" w:type="dxa"/>
            <w:vMerge w:val="restart"/>
            <w:tcBorders>
              <w:tl2br w:val="nil"/>
              <w:tr2bl w:val="nil"/>
            </w:tcBorders>
            <w:vAlign w:val="center"/>
          </w:tcPr>
          <w:p w14:paraId="37D113FB">
            <w:pPr>
              <w:pStyle w:val="41"/>
              <w:ind w:firstLine="0" w:firstLineChars="0"/>
              <w:jc w:val="center"/>
            </w:pPr>
            <w:r>
              <w:rPr>
                <w:rFonts w:hint="eastAsia"/>
                <w:lang w:eastAsia="zh-CN"/>
              </w:rPr>
              <w:t>调理类通辽牛肉片</w:t>
            </w:r>
          </w:p>
        </w:tc>
      </w:tr>
      <w:tr w14:paraId="680D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3019" w:type="dxa"/>
            <w:vMerge w:val="continue"/>
            <w:tcBorders>
              <w:tl2br w:val="nil"/>
              <w:tr2bl w:val="nil"/>
            </w:tcBorders>
            <w:vAlign w:val="center"/>
          </w:tcPr>
          <w:p w14:paraId="2F8DE304">
            <w:pPr>
              <w:autoSpaceDE/>
              <w:autoSpaceDN/>
              <w:adjustRightInd/>
              <w:snapToGrid/>
              <w:ind w:firstLine="0" w:firstLineChars="0"/>
              <w:jc w:val="center"/>
              <w:rPr>
                <w:rFonts w:ascii="Times New Roman" w:hAnsi="Times New Roman" w:eastAsia="宋体"/>
                <w:kern w:val="0"/>
                <w:sz w:val="18"/>
                <w:szCs w:val="18"/>
              </w:rPr>
            </w:pPr>
          </w:p>
        </w:tc>
        <w:tc>
          <w:tcPr>
            <w:tcW w:w="1945" w:type="dxa"/>
            <w:tcBorders>
              <w:tl2br w:val="nil"/>
              <w:tr2bl w:val="nil"/>
            </w:tcBorders>
            <w:vAlign w:val="center"/>
          </w:tcPr>
          <w:p w14:paraId="428A2297">
            <w:pPr>
              <w:pStyle w:val="41"/>
              <w:ind w:firstLine="0" w:firstLineChars="0"/>
              <w:jc w:val="center"/>
              <w:rPr>
                <w:lang w:eastAsia="zh-CN"/>
              </w:rPr>
            </w:pPr>
            <w:r>
              <w:rPr>
                <w:rFonts w:hint="eastAsia"/>
                <w:lang w:eastAsia="zh-CN"/>
              </w:rPr>
              <w:t>部位肉类（</w:t>
            </w:r>
            <w:r>
              <w:rPr>
                <w:lang w:eastAsia="zh-CN"/>
              </w:rPr>
              <w:t>除</w:t>
            </w:r>
            <w:r>
              <w:rPr>
                <w:rFonts w:hint="eastAsia"/>
                <w:lang w:eastAsia="zh-CN"/>
              </w:rPr>
              <w:t>胸口）</w:t>
            </w:r>
          </w:p>
        </w:tc>
        <w:tc>
          <w:tcPr>
            <w:tcW w:w="1276" w:type="dxa"/>
            <w:tcBorders>
              <w:tl2br w:val="nil"/>
              <w:tr2bl w:val="nil"/>
            </w:tcBorders>
            <w:vAlign w:val="center"/>
          </w:tcPr>
          <w:p w14:paraId="7A2F2C84">
            <w:pPr>
              <w:pStyle w:val="41"/>
              <w:ind w:firstLine="0" w:firstLineChars="0"/>
              <w:jc w:val="center"/>
              <w:rPr>
                <w:lang w:eastAsia="zh-CN"/>
              </w:rPr>
            </w:pPr>
            <w:r>
              <w:rPr>
                <w:rFonts w:hint="eastAsia"/>
                <w:lang w:eastAsia="zh-CN"/>
              </w:rPr>
              <w:t>肥牛卷</w:t>
            </w:r>
          </w:p>
        </w:tc>
        <w:tc>
          <w:tcPr>
            <w:tcW w:w="1134" w:type="dxa"/>
            <w:tcBorders>
              <w:tl2br w:val="nil"/>
              <w:tr2bl w:val="nil"/>
            </w:tcBorders>
            <w:vAlign w:val="center"/>
          </w:tcPr>
          <w:p w14:paraId="7B8EA15A">
            <w:pPr>
              <w:pStyle w:val="41"/>
              <w:ind w:firstLine="360"/>
              <w:jc w:val="center"/>
              <w:rPr>
                <w:lang w:eastAsia="zh-CN"/>
              </w:rPr>
            </w:pPr>
            <w:r>
              <w:rPr>
                <w:rFonts w:hint="eastAsia"/>
                <w:lang w:eastAsia="zh-CN"/>
              </w:rPr>
              <w:t>其他</w:t>
            </w:r>
          </w:p>
        </w:tc>
        <w:tc>
          <w:tcPr>
            <w:tcW w:w="1685" w:type="dxa"/>
            <w:vMerge w:val="continue"/>
            <w:tcBorders>
              <w:tl2br w:val="nil"/>
              <w:tr2bl w:val="nil"/>
            </w:tcBorders>
            <w:vAlign w:val="center"/>
          </w:tcPr>
          <w:p w14:paraId="0ABD25C8">
            <w:pPr>
              <w:pStyle w:val="41"/>
              <w:ind w:firstLine="360"/>
              <w:jc w:val="center"/>
              <w:rPr>
                <w:lang w:eastAsia="zh-CN"/>
              </w:rPr>
            </w:pPr>
          </w:p>
        </w:tc>
      </w:tr>
      <w:tr w14:paraId="4AAD8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19" w:type="dxa"/>
            <w:tcBorders>
              <w:tl2br w:val="nil"/>
              <w:tr2bl w:val="nil"/>
            </w:tcBorders>
            <w:vAlign w:val="center"/>
          </w:tcPr>
          <w:p w14:paraId="46F17D53">
            <w:pPr>
              <w:pStyle w:val="41"/>
              <w:autoSpaceDE/>
              <w:autoSpaceDN/>
              <w:adjustRightInd/>
              <w:snapToGrid/>
              <w:ind w:firstLine="0" w:firstLineChars="0"/>
              <w:rPr>
                <w:rFonts w:ascii="Times New Roman" w:hAnsi="Times New Roman" w:cs="Times New Roman"/>
              </w:rPr>
            </w:pPr>
            <w:r>
              <w:rPr>
                <w:rFonts w:ascii="Times New Roman" w:hAnsi="Times New Roman" w:cs="Times New Roman"/>
              </w:rPr>
              <w:t>水分/（g/100g）                ≤</w:t>
            </w:r>
          </w:p>
        </w:tc>
        <w:tc>
          <w:tcPr>
            <w:tcW w:w="4355" w:type="dxa"/>
            <w:gridSpan w:val="3"/>
            <w:tcBorders>
              <w:tl2br w:val="nil"/>
              <w:tr2bl w:val="nil"/>
            </w:tcBorders>
            <w:vAlign w:val="center"/>
          </w:tcPr>
          <w:p w14:paraId="0DD5E147">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77</w:t>
            </w:r>
          </w:p>
        </w:tc>
        <w:tc>
          <w:tcPr>
            <w:tcW w:w="1685" w:type="dxa"/>
            <w:tcBorders>
              <w:tl2br w:val="nil"/>
              <w:tr2bl w:val="nil"/>
            </w:tcBorders>
            <w:vAlign w:val="center"/>
          </w:tcPr>
          <w:p w14:paraId="56F4A402">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79</w:t>
            </w:r>
          </w:p>
        </w:tc>
      </w:tr>
      <w:tr w14:paraId="6658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3019" w:type="dxa"/>
            <w:tcBorders>
              <w:tl2br w:val="nil"/>
              <w:tr2bl w:val="nil"/>
            </w:tcBorders>
            <w:vAlign w:val="center"/>
          </w:tcPr>
          <w:p w14:paraId="224CAAA1">
            <w:pPr>
              <w:pStyle w:val="41"/>
              <w:autoSpaceDE/>
              <w:autoSpaceDN/>
              <w:adjustRightInd/>
              <w:snapToGrid/>
              <w:ind w:firstLine="0" w:firstLineChars="0"/>
              <w:rPr>
                <w:rFonts w:ascii="Times New Roman" w:hAnsi="Times New Roman" w:cs="Times New Roman"/>
              </w:rPr>
            </w:pPr>
            <w:r>
              <w:rPr>
                <w:rFonts w:ascii="Times New Roman" w:hAnsi="Times New Roman" w:cs="Times New Roman"/>
              </w:rPr>
              <w:t>蛋白质/（g/100g）               ≥</w:t>
            </w:r>
          </w:p>
        </w:tc>
        <w:tc>
          <w:tcPr>
            <w:tcW w:w="1945" w:type="dxa"/>
            <w:tcBorders>
              <w:tl2br w:val="nil"/>
              <w:tr2bl w:val="nil"/>
            </w:tcBorders>
            <w:vAlign w:val="center"/>
          </w:tcPr>
          <w:p w14:paraId="31CAEC75">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20</w:t>
            </w:r>
          </w:p>
        </w:tc>
        <w:tc>
          <w:tcPr>
            <w:tcW w:w="1276" w:type="dxa"/>
            <w:tcBorders>
              <w:tl2br w:val="nil"/>
              <w:tr2bl w:val="nil"/>
            </w:tcBorders>
            <w:vAlign w:val="center"/>
          </w:tcPr>
          <w:p w14:paraId="6214D4A4">
            <w:pPr>
              <w:pStyle w:val="41"/>
              <w:autoSpaceDE/>
              <w:autoSpaceDN/>
              <w:adjustRightInd/>
              <w:snapToGrid/>
              <w:ind w:firstLine="0" w:firstLineChars="0"/>
              <w:jc w:val="center"/>
              <w:rPr>
                <w:rFonts w:ascii="Times New Roman" w:hAnsi="Times New Roman" w:cs="Times New Roman"/>
                <w:lang w:eastAsia="zh-CN"/>
              </w:rPr>
            </w:pPr>
            <w:r>
              <w:rPr>
                <w:rFonts w:hint="eastAsia" w:ascii="Times New Roman" w:hAnsi="Times New Roman" w:cs="Times New Roman"/>
                <w:lang w:eastAsia="zh-CN"/>
              </w:rPr>
              <w:t>18</w:t>
            </w:r>
          </w:p>
        </w:tc>
        <w:tc>
          <w:tcPr>
            <w:tcW w:w="1134" w:type="dxa"/>
            <w:tcBorders>
              <w:tl2br w:val="nil"/>
              <w:tr2bl w:val="nil"/>
            </w:tcBorders>
            <w:vAlign w:val="center"/>
          </w:tcPr>
          <w:p w14:paraId="7CA0C93E">
            <w:pPr>
              <w:pStyle w:val="41"/>
              <w:autoSpaceDE/>
              <w:autoSpaceDN/>
              <w:adjustRightInd/>
              <w:snapToGrid/>
              <w:ind w:firstLine="0" w:firstLineChars="0"/>
              <w:jc w:val="center"/>
              <w:rPr>
                <w:rFonts w:ascii="Times New Roman" w:hAnsi="Times New Roman" w:cs="Times New Roman"/>
                <w:lang w:eastAsia="zh-CN"/>
              </w:rPr>
            </w:pPr>
            <w:r>
              <w:rPr>
                <w:rFonts w:hint="eastAsia" w:ascii="Times New Roman" w:hAnsi="Times New Roman" w:cs="Times New Roman"/>
                <w:lang w:eastAsia="zh-CN"/>
              </w:rPr>
              <w:t>-</w:t>
            </w:r>
          </w:p>
        </w:tc>
        <w:tc>
          <w:tcPr>
            <w:tcW w:w="1685" w:type="dxa"/>
            <w:tcBorders>
              <w:tl2br w:val="nil"/>
              <w:tr2bl w:val="nil"/>
            </w:tcBorders>
            <w:vAlign w:val="center"/>
          </w:tcPr>
          <w:p w14:paraId="6DD32208">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14</w:t>
            </w:r>
          </w:p>
        </w:tc>
      </w:tr>
      <w:tr w14:paraId="40BC5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19" w:type="dxa"/>
            <w:tcBorders>
              <w:tl2br w:val="nil"/>
              <w:tr2bl w:val="nil"/>
            </w:tcBorders>
            <w:vAlign w:val="center"/>
          </w:tcPr>
          <w:p w14:paraId="0882F1E2">
            <w:pPr>
              <w:pStyle w:val="41"/>
              <w:autoSpaceDE/>
              <w:autoSpaceDN/>
              <w:adjustRightInd/>
              <w:snapToGrid/>
              <w:ind w:firstLine="0" w:firstLineChars="0"/>
              <w:rPr>
                <w:rFonts w:ascii="Times New Roman" w:hAnsi="Times New Roman" w:cs="Times New Roman"/>
              </w:rPr>
            </w:pPr>
            <w:r>
              <w:rPr>
                <w:rFonts w:ascii="Times New Roman" w:hAnsi="Times New Roman" w:cs="Times New Roman"/>
              </w:rPr>
              <w:t>脂肪/（g/100g）                ≤</w:t>
            </w:r>
          </w:p>
        </w:tc>
        <w:tc>
          <w:tcPr>
            <w:tcW w:w="1945" w:type="dxa"/>
            <w:tcBorders>
              <w:tl2br w:val="nil"/>
              <w:tr2bl w:val="nil"/>
            </w:tcBorders>
            <w:vAlign w:val="center"/>
          </w:tcPr>
          <w:p w14:paraId="23BBEACE">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w:t>
            </w:r>
          </w:p>
        </w:tc>
        <w:tc>
          <w:tcPr>
            <w:tcW w:w="1276" w:type="dxa"/>
            <w:tcBorders>
              <w:tl2br w:val="nil"/>
              <w:tr2bl w:val="nil"/>
            </w:tcBorders>
            <w:vAlign w:val="center"/>
          </w:tcPr>
          <w:p w14:paraId="469E5F54">
            <w:pPr>
              <w:pStyle w:val="41"/>
              <w:autoSpaceDE/>
              <w:autoSpaceDN/>
              <w:adjustRightInd/>
              <w:snapToGrid/>
              <w:ind w:firstLine="0" w:firstLineChars="0"/>
              <w:jc w:val="center"/>
              <w:rPr>
                <w:rFonts w:ascii="Times New Roman" w:hAnsi="Times New Roman" w:cs="Times New Roman"/>
                <w:lang w:eastAsia="zh-CN"/>
              </w:rPr>
            </w:pPr>
            <w:r>
              <w:rPr>
                <w:rFonts w:hint="eastAsia" w:ascii="Times New Roman" w:hAnsi="Times New Roman" w:cs="Times New Roman"/>
                <w:lang w:eastAsia="zh-CN"/>
              </w:rPr>
              <w:t>25</w:t>
            </w:r>
          </w:p>
        </w:tc>
        <w:tc>
          <w:tcPr>
            <w:tcW w:w="1134" w:type="dxa"/>
            <w:tcBorders>
              <w:tl2br w:val="nil"/>
              <w:tr2bl w:val="nil"/>
            </w:tcBorders>
            <w:vAlign w:val="center"/>
          </w:tcPr>
          <w:p w14:paraId="06CB030F">
            <w:pPr>
              <w:pStyle w:val="41"/>
              <w:autoSpaceDE/>
              <w:autoSpaceDN/>
              <w:adjustRightInd/>
              <w:snapToGrid/>
              <w:ind w:firstLine="0" w:firstLineChars="0"/>
              <w:jc w:val="center"/>
              <w:rPr>
                <w:rFonts w:ascii="Times New Roman" w:hAnsi="Times New Roman" w:cs="Times New Roman"/>
                <w:lang w:eastAsia="zh-CN"/>
              </w:rPr>
            </w:pPr>
            <w:r>
              <w:rPr>
                <w:rFonts w:hint="eastAsia" w:ascii="Times New Roman" w:hAnsi="Times New Roman" w:cs="Times New Roman"/>
                <w:lang w:eastAsia="zh-CN"/>
              </w:rPr>
              <w:t>-</w:t>
            </w:r>
          </w:p>
        </w:tc>
        <w:tc>
          <w:tcPr>
            <w:tcW w:w="1685" w:type="dxa"/>
            <w:tcBorders>
              <w:tl2br w:val="nil"/>
              <w:tr2bl w:val="nil"/>
            </w:tcBorders>
            <w:vAlign w:val="center"/>
          </w:tcPr>
          <w:p w14:paraId="4C2CB987">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25</w:t>
            </w:r>
          </w:p>
        </w:tc>
      </w:tr>
      <w:tr w14:paraId="0B0E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19" w:type="dxa"/>
            <w:tcBorders>
              <w:tl2br w:val="nil"/>
              <w:tr2bl w:val="nil"/>
            </w:tcBorders>
            <w:vAlign w:val="center"/>
          </w:tcPr>
          <w:p w14:paraId="6864137E">
            <w:pPr>
              <w:pStyle w:val="41"/>
              <w:autoSpaceDE/>
              <w:autoSpaceDN/>
              <w:adjustRightInd/>
              <w:snapToGrid/>
              <w:ind w:firstLine="0" w:firstLineChars="0"/>
              <w:rPr>
                <w:rFonts w:ascii="Times New Roman" w:hAnsi="Times New Roman" w:cs="Times New Roman"/>
                <w:lang w:eastAsia="zh-CN"/>
              </w:rPr>
            </w:pPr>
            <w:r>
              <w:rPr>
                <w:rFonts w:hint="eastAsia" w:ascii="Times New Roman" w:hAnsi="Times New Roman" w:cs="Times New Roman"/>
                <w:lang w:eastAsia="zh-CN"/>
              </w:rPr>
              <w:t>挥发性盐基氮/</w:t>
            </w:r>
            <w:r>
              <w:rPr>
                <w:rFonts w:ascii="Times New Roman" w:hAnsi="Times New Roman" w:cs="Times New Roman"/>
                <w:lang w:eastAsia="zh-CN"/>
              </w:rPr>
              <w:t>（mg/100g）</w:t>
            </w:r>
            <w:r>
              <w:rPr>
                <w:rFonts w:hint="eastAsia" w:ascii="Times New Roman" w:hAnsi="Times New Roman" w:cs="Times New Roman"/>
                <w:lang w:eastAsia="zh-CN"/>
              </w:rPr>
              <w:t xml:space="preserve"> </w:t>
            </w:r>
            <w:r>
              <w:rPr>
                <w:rFonts w:ascii="Times New Roman" w:hAnsi="Times New Roman" w:cs="Times New Roman"/>
                <w:lang w:eastAsia="zh-CN"/>
              </w:rPr>
              <w:t xml:space="preserve">     ≤</w:t>
            </w:r>
          </w:p>
        </w:tc>
        <w:tc>
          <w:tcPr>
            <w:tcW w:w="4355" w:type="dxa"/>
            <w:gridSpan w:val="3"/>
            <w:tcBorders>
              <w:tl2br w:val="nil"/>
              <w:tr2bl w:val="nil"/>
            </w:tcBorders>
            <w:vAlign w:val="center"/>
          </w:tcPr>
          <w:p w14:paraId="59E725F2">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13</w:t>
            </w:r>
          </w:p>
        </w:tc>
        <w:tc>
          <w:tcPr>
            <w:tcW w:w="1685" w:type="dxa"/>
            <w:tcBorders>
              <w:tl2br w:val="nil"/>
              <w:tr2bl w:val="nil"/>
            </w:tcBorders>
            <w:vAlign w:val="center"/>
          </w:tcPr>
          <w:p w14:paraId="7C1051CE">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w:t>
            </w:r>
          </w:p>
        </w:tc>
      </w:tr>
      <w:tr w14:paraId="3684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19" w:type="dxa"/>
            <w:tcBorders>
              <w:tl2br w:val="nil"/>
              <w:tr2bl w:val="nil"/>
            </w:tcBorders>
            <w:vAlign w:val="center"/>
          </w:tcPr>
          <w:p w14:paraId="62BDA7A7">
            <w:pPr>
              <w:pStyle w:val="41"/>
              <w:autoSpaceDE/>
              <w:autoSpaceDN/>
              <w:adjustRightInd/>
              <w:snapToGrid/>
              <w:ind w:firstLine="0" w:firstLineChars="0"/>
              <w:rPr>
                <w:rFonts w:ascii="Times New Roman" w:hAnsi="Times New Roman" w:cs="Times New Roman"/>
                <w:lang w:eastAsia="zh-CN"/>
              </w:rPr>
            </w:pPr>
            <w:r>
              <w:rPr>
                <w:rFonts w:hint="eastAsia" w:ascii="Times New Roman" w:hAnsi="Times New Roman" w:cs="Times New Roman"/>
                <w:lang w:eastAsia="zh-CN"/>
              </w:rPr>
              <w:t>解冻失水率（</w:t>
            </w:r>
            <w:r>
              <w:rPr>
                <w:rFonts w:ascii="Times New Roman" w:hAnsi="Times New Roman" w:cs="Times New Roman"/>
                <w:lang w:eastAsia="zh-CN"/>
              </w:rPr>
              <w:t>%）</w:t>
            </w:r>
            <w:r>
              <w:rPr>
                <w:rFonts w:hint="eastAsia" w:ascii="Times New Roman" w:hAnsi="Times New Roman" w:cs="Times New Roman"/>
                <w:lang w:eastAsia="zh-CN"/>
              </w:rPr>
              <w:t xml:space="preserve">               </w:t>
            </w:r>
            <w:r>
              <w:rPr>
                <w:rFonts w:ascii="Times New Roman" w:hAnsi="Times New Roman" w:cs="Times New Roman"/>
                <w:lang w:eastAsia="zh-CN"/>
              </w:rPr>
              <w:t xml:space="preserve"> </w:t>
            </w:r>
            <w:r>
              <w:rPr>
                <w:rFonts w:ascii="Times New Roman" w:hAnsi="Times New Roman" w:cs="Times New Roman"/>
              </w:rPr>
              <w:t>≤</w:t>
            </w:r>
          </w:p>
        </w:tc>
        <w:tc>
          <w:tcPr>
            <w:tcW w:w="4355" w:type="dxa"/>
            <w:gridSpan w:val="3"/>
            <w:tcBorders>
              <w:tl2br w:val="nil"/>
              <w:tr2bl w:val="nil"/>
            </w:tcBorders>
            <w:vAlign w:val="center"/>
          </w:tcPr>
          <w:p w14:paraId="415B6642">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5</w:t>
            </w:r>
          </w:p>
        </w:tc>
        <w:tc>
          <w:tcPr>
            <w:tcW w:w="1685" w:type="dxa"/>
            <w:tcBorders>
              <w:tl2br w:val="nil"/>
              <w:tr2bl w:val="nil"/>
            </w:tcBorders>
            <w:vAlign w:val="center"/>
          </w:tcPr>
          <w:p w14:paraId="113E35E0">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5</w:t>
            </w:r>
          </w:p>
        </w:tc>
      </w:tr>
      <w:tr w14:paraId="0E14B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19" w:type="dxa"/>
            <w:tcBorders>
              <w:tl2br w:val="nil"/>
              <w:tr2bl w:val="nil"/>
            </w:tcBorders>
            <w:vAlign w:val="center"/>
          </w:tcPr>
          <w:p w14:paraId="5CC8123C">
            <w:pPr>
              <w:pStyle w:val="41"/>
              <w:autoSpaceDE/>
              <w:autoSpaceDN/>
              <w:adjustRightInd/>
              <w:snapToGrid/>
              <w:ind w:firstLine="0" w:firstLineChars="0"/>
              <w:rPr>
                <w:rFonts w:ascii="Times New Roman" w:hAnsi="Times New Roman" w:cs="Times New Roman"/>
                <w:lang w:eastAsia="zh-CN"/>
              </w:rPr>
            </w:pPr>
            <w:r>
              <w:rPr>
                <w:rFonts w:hint="eastAsia" w:ascii="Times New Roman" w:hAnsi="Times New Roman" w:cs="Times New Roman"/>
                <w:lang w:eastAsia="zh-CN"/>
              </w:rPr>
              <w:t>过氧化值（</w:t>
            </w:r>
            <w:r>
              <w:rPr>
                <w:rFonts w:ascii="Times New Roman" w:hAnsi="Times New Roman" w:cs="Times New Roman"/>
                <w:lang w:eastAsia="zh-CN"/>
              </w:rPr>
              <w:t>以</w:t>
            </w:r>
            <w:r>
              <w:rPr>
                <w:rFonts w:hint="eastAsia" w:ascii="Times New Roman" w:hAnsi="Times New Roman" w:cs="Times New Roman"/>
                <w:lang w:eastAsia="zh-CN"/>
              </w:rPr>
              <w:t>脂肪计）（</w:t>
            </w:r>
            <w:r>
              <w:rPr>
                <w:rFonts w:ascii="Times New Roman" w:hAnsi="Times New Roman" w:cs="Times New Roman"/>
                <w:lang w:eastAsia="zh-CN"/>
              </w:rPr>
              <w:t>g/100g</w:t>
            </w:r>
            <w:r>
              <w:rPr>
                <w:rFonts w:hint="eastAsia" w:ascii="Times New Roman" w:hAnsi="Times New Roman" w:cs="Times New Roman"/>
                <w:lang w:eastAsia="zh-CN"/>
              </w:rPr>
              <w:t>）</w:t>
            </w:r>
            <w:r>
              <w:rPr>
                <w:rFonts w:ascii="Times New Roman" w:hAnsi="Times New Roman" w:cs="Times New Roman"/>
                <w:lang w:eastAsia="zh-CN"/>
              </w:rPr>
              <w:t>≤</w:t>
            </w:r>
          </w:p>
        </w:tc>
        <w:tc>
          <w:tcPr>
            <w:tcW w:w="4355" w:type="dxa"/>
            <w:gridSpan w:val="3"/>
            <w:tcBorders>
              <w:tl2br w:val="nil"/>
              <w:tr2bl w:val="nil"/>
            </w:tcBorders>
            <w:vAlign w:val="center"/>
          </w:tcPr>
          <w:p w14:paraId="6C4D0393">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w:t>
            </w:r>
          </w:p>
        </w:tc>
        <w:tc>
          <w:tcPr>
            <w:tcW w:w="1685" w:type="dxa"/>
            <w:tcBorders>
              <w:tl2br w:val="nil"/>
              <w:tr2bl w:val="nil"/>
            </w:tcBorders>
            <w:vAlign w:val="center"/>
          </w:tcPr>
          <w:p w14:paraId="2725489B">
            <w:pPr>
              <w:pStyle w:val="41"/>
              <w:autoSpaceDE/>
              <w:autoSpaceDN/>
              <w:adjustRightInd/>
              <w:snapToGrid/>
              <w:ind w:firstLine="0" w:firstLineChars="0"/>
              <w:jc w:val="center"/>
              <w:rPr>
                <w:rFonts w:ascii="Times New Roman" w:hAnsi="Times New Roman" w:cs="Times New Roman"/>
                <w:lang w:eastAsia="zh-CN"/>
              </w:rPr>
            </w:pPr>
            <w:r>
              <w:rPr>
                <w:rFonts w:ascii="Times New Roman" w:hAnsi="Times New Roman" w:cs="Times New Roman"/>
                <w:lang w:eastAsia="zh-CN"/>
              </w:rPr>
              <w:t>0.25</w:t>
            </w:r>
          </w:p>
        </w:tc>
      </w:tr>
    </w:tbl>
    <w:p w14:paraId="5358858F">
      <w:pPr>
        <w:snapToGrid/>
        <w:spacing w:before="156" w:beforeLines="50" w:after="156" w:afterLines="50"/>
        <w:ind w:firstLine="0" w:firstLineChars="0"/>
        <w:jc w:val="left"/>
        <w:rPr>
          <w:rFonts w:ascii="黑体" w:hAnsi="黑体" w:eastAsia="黑体"/>
          <w:kern w:val="0"/>
        </w:rPr>
      </w:pPr>
      <w:r>
        <w:rPr>
          <w:rFonts w:ascii="黑体" w:hAnsi="黑体" w:eastAsia="黑体"/>
          <w:kern w:val="0"/>
        </w:rPr>
        <w:t>6.3</w:t>
      </w:r>
      <w:r>
        <w:rPr>
          <w:rFonts w:hint="eastAsia" w:ascii="黑体" w:hAnsi="黑体" w:eastAsia="黑体"/>
          <w:kern w:val="0"/>
        </w:rPr>
        <w:t>　</w:t>
      </w:r>
      <w:r>
        <w:rPr>
          <w:rFonts w:ascii="黑体" w:hAnsi="黑体" w:eastAsia="黑体"/>
          <w:kern w:val="0"/>
        </w:rPr>
        <w:t>食品安全指标</w:t>
      </w:r>
    </w:p>
    <w:p w14:paraId="2B7D4080">
      <w:pPr>
        <w:pStyle w:val="21"/>
        <w:outlineLvl w:val="2"/>
        <w:rPr>
          <w:rFonts w:ascii="黑体" w:hAnsi="黑体" w:eastAsia="黑体" w:cs="Times New Roman"/>
          <w:szCs w:val="21"/>
        </w:rPr>
      </w:pPr>
      <w:r>
        <w:rPr>
          <w:rFonts w:ascii="黑体" w:hAnsi="黑体" w:eastAsia="黑体" w:cs="Times New Roman"/>
          <w:szCs w:val="21"/>
        </w:rPr>
        <w:t>6.3</w:t>
      </w:r>
      <w:r>
        <w:rPr>
          <w:rFonts w:hint="eastAsia" w:ascii="黑体" w:hAnsi="黑体" w:eastAsia="黑体" w:cs="Times New Roman"/>
          <w:szCs w:val="21"/>
        </w:rPr>
        <w:t>.1　污染物限量</w:t>
      </w:r>
    </w:p>
    <w:p w14:paraId="33386D8E">
      <w:pPr>
        <w:pStyle w:val="20"/>
      </w:pPr>
      <w:r>
        <w:t>应符合GB 2762的规定。</w:t>
      </w:r>
    </w:p>
    <w:p w14:paraId="6F209267">
      <w:pPr>
        <w:pStyle w:val="21"/>
        <w:outlineLvl w:val="2"/>
        <w:rPr>
          <w:rFonts w:ascii="黑体" w:hAnsi="黑体" w:eastAsia="黑体" w:cs="Times New Roman"/>
          <w:szCs w:val="21"/>
        </w:rPr>
      </w:pPr>
      <w:r>
        <w:rPr>
          <w:rFonts w:ascii="黑体" w:hAnsi="黑体" w:eastAsia="黑体" w:cs="Times New Roman"/>
          <w:szCs w:val="21"/>
        </w:rPr>
        <w:t>6.3</w:t>
      </w:r>
      <w:r>
        <w:rPr>
          <w:rFonts w:hint="eastAsia" w:ascii="黑体" w:hAnsi="黑体" w:eastAsia="黑体" w:cs="Times New Roman"/>
          <w:szCs w:val="21"/>
        </w:rPr>
        <w:t>.2　微生物限量</w:t>
      </w:r>
    </w:p>
    <w:p w14:paraId="65181F15">
      <w:pPr>
        <w:spacing w:line="300" w:lineRule="exact"/>
        <w:rPr>
          <w:rFonts w:ascii="Times New Roman"/>
          <w:highlight w:val="none"/>
        </w:rPr>
      </w:pPr>
      <w:bookmarkStart w:id="71" w:name="OLE_LINK13"/>
      <w:r>
        <w:rPr>
          <w:rFonts w:hint="eastAsia"/>
          <w:highlight w:val="none"/>
        </w:rPr>
        <w:t>非调理类通辽牛肉片的</w:t>
      </w:r>
      <w:r>
        <w:rPr>
          <w:rFonts w:hint="eastAsia"/>
          <w:kern w:val="0"/>
          <w:szCs w:val="20"/>
          <w:highlight w:val="none"/>
        </w:rPr>
        <w:t>菌落总数和大肠菌群应符合</w:t>
      </w:r>
      <w:r>
        <w:rPr>
          <w:rFonts w:ascii="Times New Roman" w:hAnsi="Times New Roman" w:eastAsia="宋体"/>
          <w:kern w:val="0"/>
          <w:szCs w:val="20"/>
          <w:highlight w:val="none"/>
        </w:rPr>
        <w:t>NY/T 2799</w:t>
      </w:r>
      <w:r>
        <w:rPr>
          <w:rFonts w:ascii="Times New Roman"/>
          <w:kern w:val="0"/>
          <w:szCs w:val="20"/>
          <w:highlight w:val="none"/>
        </w:rPr>
        <w:t>的规定</w:t>
      </w:r>
      <w:r>
        <w:rPr>
          <w:rFonts w:ascii="Times New Roman" w:hAnsi="Times New Roman"/>
          <w:kern w:val="0"/>
          <w:szCs w:val="20"/>
          <w:highlight w:val="none"/>
        </w:rPr>
        <w:t>。</w:t>
      </w:r>
    </w:p>
    <w:bookmarkEnd w:id="71"/>
    <w:p w14:paraId="23C62EF4">
      <w:pPr>
        <w:snapToGrid/>
        <w:spacing w:before="156" w:beforeLines="50" w:after="156" w:afterLines="50"/>
        <w:ind w:firstLine="0" w:firstLineChars="0"/>
        <w:jc w:val="left"/>
        <w:rPr>
          <w:rFonts w:ascii="黑体" w:hAnsi="黑体" w:eastAsia="黑体"/>
          <w:kern w:val="0"/>
        </w:rPr>
      </w:pPr>
      <w:r>
        <w:rPr>
          <w:rFonts w:ascii="黑体" w:hAnsi="黑体" w:eastAsia="黑体"/>
          <w:kern w:val="0"/>
        </w:rPr>
        <w:t>6.4</w:t>
      </w:r>
      <w:r>
        <w:rPr>
          <w:rFonts w:hint="eastAsia" w:ascii="黑体" w:hAnsi="黑体" w:eastAsia="黑体"/>
          <w:kern w:val="0"/>
        </w:rPr>
        <w:t>　净含量</w:t>
      </w:r>
    </w:p>
    <w:p w14:paraId="65DC1B7C">
      <w:pPr>
        <w:pStyle w:val="20"/>
      </w:pPr>
      <w:r>
        <w:rPr>
          <w:rFonts w:hint="eastAsia"/>
        </w:rPr>
        <w:t>预包装产品净含量见《定量包装商品计量监督管理办法》的规定。</w:t>
      </w:r>
    </w:p>
    <w:p w14:paraId="2A17585C">
      <w:pPr>
        <w:pStyle w:val="19"/>
        <w:numPr>
          <w:ilvl w:val="0"/>
          <w:numId w:val="2"/>
        </w:numPr>
        <w:spacing w:before="312" w:beforeLines="100" w:after="312" w:afterLines="100"/>
        <w:ind w:firstLineChars="0"/>
        <w:outlineLvl w:val="0"/>
        <w:rPr>
          <w:rFonts w:ascii="Times New Roman" w:hAnsi="Times New Roman" w:eastAsia="黑体"/>
          <w:szCs w:val="21"/>
        </w:rPr>
      </w:pPr>
      <w:bookmarkStart w:id="72" w:name="OLE_LINK14"/>
      <w:bookmarkStart w:id="73" w:name="_Toc23338846"/>
      <w:bookmarkStart w:id="74" w:name="_Toc23260658"/>
      <w:bookmarkStart w:id="75" w:name="_Toc23260343"/>
      <w:bookmarkStart w:id="76" w:name="_Toc24537630"/>
      <w:bookmarkStart w:id="77" w:name="_Toc23529086"/>
      <w:bookmarkStart w:id="78" w:name="_Toc23257387"/>
      <w:bookmarkStart w:id="79" w:name="_Toc23331628"/>
      <w:bookmarkStart w:id="80" w:name="_Toc23432744"/>
      <w:bookmarkStart w:id="81" w:name="_Toc23258292"/>
      <w:bookmarkStart w:id="82" w:name="_Toc23255881"/>
      <w:r>
        <w:rPr>
          <w:rFonts w:hint="eastAsia" w:ascii="Times New Roman" w:hAnsi="Times New Roman" w:eastAsia="黑体"/>
          <w:szCs w:val="21"/>
        </w:rPr>
        <w:t>试验方法</w:t>
      </w:r>
    </w:p>
    <w:p w14:paraId="68B76433">
      <w:pPr>
        <w:pStyle w:val="21"/>
        <w:outlineLvl w:val="2"/>
        <w:rPr>
          <w:rFonts w:ascii="黑体" w:hAnsi="黑体" w:eastAsia="黑体" w:cs="Times New Roman"/>
          <w:szCs w:val="21"/>
        </w:rPr>
      </w:pPr>
      <w:bookmarkStart w:id="83" w:name="OLE_LINK27"/>
      <w:r>
        <w:rPr>
          <w:rFonts w:ascii="黑体" w:hAnsi="黑体" w:eastAsia="黑体" w:cs="Times New Roman"/>
          <w:szCs w:val="21"/>
        </w:rPr>
        <w:t>7.1</w:t>
      </w:r>
      <w:r>
        <w:rPr>
          <w:rFonts w:hint="eastAsia" w:ascii="黑体" w:hAnsi="黑体" w:eastAsia="黑体" w:cs="Times New Roman"/>
          <w:szCs w:val="21"/>
        </w:rPr>
        <w:t>　感官指标测定</w:t>
      </w:r>
      <w:bookmarkEnd w:id="83"/>
      <w:bookmarkStart w:id="84" w:name="OLE_LINK15"/>
    </w:p>
    <w:bookmarkEnd w:id="72"/>
    <w:bookmarkEnd w:id="84"/>
    <w:p w14:paraId="424EBF28">
      <w:pPr>
        <w:pStyle w:val="21"/>
        <w:outlineLvl w:val="2"/>
        <w:rPr>
          <w:rFonts w:ascii="黑体" w:hAnsi="黑体" w:eastAsia="黑体" w:cs="Times New Roman"/>
          <w:szCs w:val="21"/>
        </w:rPr>
      </w:pPr>
      <w:r>
        <w:rPr>
          <w:rFonts w:ascii="黑体" w:hAnsi="黑体" w:eastAsia="黑体" w:cs="Times New Roman"/>
          <w:szCs w:val="21"/>
        </w:rPr>
        <w:t>7</w:t>
      </w:r>
      <w:r>
        <w:rPr>
          <w:rFonts w:hint="eastAsia" w:ascii="黑体" w:hAnsi="黑体" w:eastAsia="黑体" w:cs="Times New Roman"/>
          <w:szCs w:val="21"/>
        </w:rPr>
        <w:t>.1.1　产品感官指标</w:t>
      </w:r>
      <w:r>
        <w:rPr>
          <w:rFonts w:ascii="黑体" w:hAnsi="黑体" w:eastAsia="黑体" w:cs="Times New Roman"/>
          <w:szCs w:val="21"/>
        </w:rPr>
        <w:t>测定</w:t>
      </w:r>
    </w:p>
    <w:p w14:paraId="326E8CC5">
      <w:pPr>
        <w:pStyle w:val="20"/>
      </w:pPr>
      <w:r>
        <w:t>取适量试样置于洁净的白色盘（瓷盘或同类容器）中</w:t>
      </w:r>
      <w:r>
        <w:rPr>
          <w:rFonts w:hint="eastAsia"/>
        </w:rPr>
        <w:t>自然解冻</w:t>
      </w:r>
      <w:r>
        <w:t>，在自然光下观察</w:t>
      </w:r>
      <w:r>
        <w:rPr>
          <w:rFonts w:hint="eastAsia"/>
        </w:rPr>
        <w:t>外观、</w:t>
      </w:r>
      <w:r>
        <w:t>色泽、组织状态、肉眼可见异物，闻其气味。</w:t>
      </w:r>
    </w:p>
    <w:p w14:paraId="124C4B54">
      <w:pPr>
        <w:pStyle w:val="21"/>
        <w:outlineLvl w:val="2"/>
        <w:rPr>
          <w:rFonts w:ascii="黑体" w:hAnsi="黑体" w:eastAsia="黑体" w:cs="Times New Roman"/>
          <w:szCs w:val="21"/>
        </w:rPr>
      </w:pPr>
      <w:r>
        <w:rPr>
          <w:rFonts w:ascii="黑体" w:hAnsi="黑体" w:eastAsia="黑体" w:cs="Times New Roman"/>
          <w:szCs w:val="21"/>
        </w:rPr>
        <w:t>7</w:t>
      </w:r>
      <w:r>
        <w:rPr>
          <w:rFonts w:hint="eastAsia" w:ascii="黑体" w:hAnsi="黑体" w:eastAsia="黑体" w:cs="Times New Roman"/>
          <w:szCs w:val="21"/>
        </w:rPr>
        <w:t>.1.2　煮后肉汤</w:t>
      </w:r>
    </w:p>
    <w:p w14:paraId="74B56F66">
      <w:pPr>
        <w:pStyle w:val="20"/>
      </w:pPr>
      <w:r>
        <w:t>称取50 g试样，置于500 mL烧杯中，加300 mL水，用表面皿盖上加热至50</w:t>
      </w:r>
      <w:r>
        <w:rPr>
          <w:rFonts w:hint="eastAsia"/>
        </w:rPr>
        <w:t>℃～</w:t>
      </w:r>
      <w:r>
        <w:t>60</w:t>
      </w:r>
      <w:r>
        <w:rPr>
          <w:rFonts w:hint="eastAsia"/>
        </w:rPr>
        <w:t>℃</w:t>
      </w:r>
      <w:r>
        <w:t>，开盖</w:t>
      </w:r>
      <w:r>
        <w:rPr>
          <w:rFonts w:hint="eastAsia"/>
        </w:rPr>
        <w:t>闻其气味，</w:t>
      </w:r>
      <w:r>
        <w:t>继续</w:t>
      </w:r>
      <w:r>
        <w:rPr>
          <w:rFonts w:hint="eastAsia"/>
        </w:rPr>
        <w:t xml:space="preserve">加热煮沸20 </w:t>
      </w:r>
      <w:r>
        <w:t>min</w:t>
      </w:r>
      <w:r>
        <w:rPr>
          <w:rFonts w:hint="eastAsia"/>
        </w:rPr>
        <w:t>～</w:t>
      </w:r>
      <w:r>
        <w:t>30 min</w:t>
      </w:r>
      <w:r>
        <w:rPr>
          <w:rFonts w:hint="eastAsia"/>
        </w:rPr>
        <w:t>，</w:t>
      </w:r>
      <w:r>
        <w:t>观察</w:t>
      </w:r>
      <w:r>
        <w:rPr>
          <w:rFonts w:hint="eastAsia"/>
        </w:rPr>
        <w:t>肉汤色泽状态。</w:t>
      </w:r>
    </w:p>
    <w:p w14:paraId="6C9590F0">
      <w:pPr>
        <w:pStyle w:val="21"/>
        <w:outlineLvl w:val="2"/>
        <w:rPr>
          <w:rFonts w:ascii="黑体" w:hAnsi="黑体" w:eastAsia="黑体" w:cs="Times New Roman"/>
          <w:szCs w:val="21"/>
        </w:rPr>
      </w:pPr>
      <w:r>
        <w:rPr>
          <w:rFonts w:ascii="黑体" w:hAnsi="黑体" w:eastAsia="黑体" w:cs="Times New Roman"/>
          <w:szCs w:val="21"/>
        </w:rPr>
        <w:t>7</w:t>
      </w:r>
      <w:r>
        <w:rPr>
          <w:rFonts w:hint="eastAsia" w:ascii="黑体" w:hAnsi="黑体" w:eastAsia="黑体" w:cs="Times New Roman"/>
          <w:szCs w:val="21"/>
        </w:rPr>
        <w:t>.2　理化指标测定</w:t>
      </w:r>
    </w:p>
    <w:p w14:paraId="3680FD7A">
      <w:pPr>
        <w:pStyle w:val="21"/>
        <w:outlineLvl w:val="2"/>
        <w:rPr>
          <w:rFonts w:ascii="黑体" w:hAnsi="黑体" w:eastAsia="黑体" w:cs="Times New Roman"/>
          <w:szCs w:val="21"/>
        </w:rPr>
      </w:pPr>
      <w:r>
        <w:rPr>
          <w:rFonts w:ascii="黑体" w:hAnsi="黑体" w:eastAsia="黑体" w:cs="Times New Roman"/>
          <w:szCs w:val="21"/>
        </w:rPr>
        <w:t>7</w:t>
      </w:r>
      <w:r>
        <w:rPr>
          <w:rFonts w:hint="eastAsia" w:ascii="黑体" w:hAnsi="黑体" w:eastAsia="黑体" w:cs="Times New Roman"/>
          <w:szCs w:val="21"/>
        </w:rPr>
        <w:t>.2.1　水分</w:t>
      </w:r>
    </w:p>
    <w:p w14:paraId="3713F74A">
      <w:pPr>
        <w:pStyle w:val="20"/>
      </w:pPr>
      <w:r>
        <w:rPr>
          <w:rFonts w:hint="eastAsia"/>
        </w:rPr>
        <w:t>按GB 18394规定的方法测定。</w:t>
      </w:r>
    </w:p>
    <w:p w14:paraId="1D136C59">
      <w:pPr>
        <w:pStyle w:val="21"/>
        <w:outlineLvl w:val="2"/>
        <w:rPr>
          <w:rFonts w:ascii="黑体" w:hAnsi="黑体" w:eastAsia="黑体" w:cs="Times New Roman"/>
          <w:szCs w:val="21"/>
        </w:rPr>
      </w:pPr>
      <w:r>
        <w:rPr>
          <w:rFonts w:ascii="黑体" w:hAnsi="黑体" w:eastAsia="黑体" w:cs="Times New Roman"/>
          <w:szCs w:val="21"/>
        </w:rPr>
        <w:t>7</w:t>
      </w:r>
      <w:r>
        <w:rPr>
          <w:rFonts w:hint="eastAsia" w:ascii="黑体" w:hAnsi="黑体" w:eastAsia="黑体" w:cs="Times New Roman"/>
          <w:szCs w:val="21"/>
        </w:rPr>
        <w:t>.2.2　蛋白质</w:t>
      </w:r>
    </w:p>
    <w:p w14:paraId="0BBDB615">
      <w:pPr>
        <w:pStyle w:val="20"/>
      </w:pPr>
      <w:r>
        <w:rPr>
          <w:rFonts w:hint="eastAsia"/>
        </w:rPr>
        <w:t>按GB 5009.5规定的方法测定。</w:t>
      </w:r>
    </w:p>
    <w:p w14:paraId="406F5D7C">
      <w:pPr>
        <w:pStyle w:val="21"/>
        <w:spacing w:beforeLines="0" w:afterLines="0"/>
        <w:outlineLvl w:val="2"/>
        <w:rPr>
          <w:rFonts w:ascii="黑体" w:hAnsi="Times New Roman" w:eastAsia="黑体" w:cs="Times New Roman"/>
        </w:rPr>
      </w:pPr>
      <w:r>
        <w:rPr>
          <w:rFonts w:ascii="黑体" w:hAnsi="Times New Roman" w:eastAsia="黑体" w:cs="Times New Roman"/>
        </w:rPr>
        <w:t>7</w:t>
      </w:r>
      <w:r>
        <w:rPr>
          <w:rFonts w:hint="eastAsia" w:ascii="黑体" w:hAnsi="Times New Roman" w:eastAsia="黑体" w:cs="Times New Roman"/>
        </w:rPr>
        <w:t>.2.</w:t>
      </w:r>
      <w:r>
        <w:rPr>
          <w:rFonts w:ascii="黑体" w:hAnsi="Times New Roman" w:eastAsia="黑体" w:cs="Times New Roman"/>
        </w:rPr>
        <w:t>3</w:t>
      </w:r>
      <w:r>
        <w:rPr>
          <w:rFonts w:hint="eastAsia" w:ascii="黑体" w:hAnsi="黑体" w:eastAsia="黑体" w:cs="Times New Roman"/>
          <w:szCs w:val="21"/>
        </w:rPr>
        <w:t>　</w:t>
      </w:r>
      <w:r>
        <w:rPr>
          <w:rFonts w:hint="eastAsia" w:ascii="黑体" w:hAnsi="Times New Roman" w:eastAsia="黑体" w:cs="Times New Roman"/>
        </w:rPr>
        <w:t>脂肪</w:t>
      </w:r>
    </w:p>
    <w:p w14:paraId="0C1B85AC">
      <w:pPr>
        <w:pStyle w:val="20"/>
      </w:pPr>
      <w:r>
        <w:rPr>
          <w:rFonts w:hint="eastAsia"/>
        </w:rPr>
        <w:t>按GB 5009.6规定的方法测定。</w:t>
      </w:r>
    </w:p>
    <w:p w14:paraId="77E510DC">
      <w:pPr>
        <w:pStyle w:val="21"/>
        <w:spacing w:beforeLines="0" w:afterLines="0"/>
        <w:outlineLvl w:val="2"/>
        <w:rPr>
          <w:rFonts w:ascii="黑体" w:hAnsi="Times New Roman" w:eastAsia="黑体" w:cs="Times New Roman"/>
        </w:rPr>
      </w:pPr>
      <w:r>
        <w:rPr>
          <w:rFonts w:ascii="黑体" w:hAnsi="Times New Roman" w:eastAsia="黑体" w:cs="Times New Roman"/>
        </w:rPr>
        <w:t>7</w:t>
      </w:r>
      <w:r>
        <w:rPr>
          <w:rFonts w:hint="eastAsia" w:ascii="黑体" w:hAnsi="Times New Roman" w:eastAsia="黑体" w:cs="Times New Roman"/>
        </w:rPr>
        <w:t>.2.</w:t>
      </w:r>
      <w:r>
        <w:rPr>
          <w:rFonts w:ascii="黑体" w:hAnsi="Times New Roman" w:eastAsia="黑体" w:cs="Times New Roman"/>
        </w:rPr>
        <w:t>4</w:t>
      </w:r>
      <w:r>
        <w:rPr>
          <w:rFonts w:hint="eastAsia" w:ascii="黑体" w:hAnsi="黑体" w:eastAsia="黑体" w:cs="Times New Roman"/>
          <w:szCs w:val="21"/>
        </w:rPr>
        <w:t>　</w:t>
      </w:r>
      <w:r>
        <w:rPr>
          <w:rFonts w:hint="eastAsia" w:ascii="黑体" w:hAnsi="Times New Roman" w:eastAsia="黑体" w:cs="Times New Roman"/>
        </w:rPr>
        <w:t>挥发性盐基氮</w:t>
      </w:r>
    </w:p>
    <w:p w14:paraId="49FA90E4">
      <w:pPr>
        <w:pStyle w:val="20"/>
      </w:pPr>
      <w:r>
        <w:rPr>
          <w:rFonts w:hint="eastAsia"/>
        </w:rPr>
        <w:t xml:space="preserve">按GB </w:t>
      </w:r>
      <w:r>
        <w:t>5009.228</w:t>
      </w:r>
      <w:r>
        <w:rPr>
          <w:rFonts w:hint="eastAsia"/>
        </w:rPr>
        <w:t>规定的方法测定。</w:t>
      </w:r>
    </w:p>
    <w:p w14:paraId="5F9CEC05">
      <w:pPr>
        <w:pStyle w:val="21"/>
        <w:spacing w:beforeLines="0" w:afterLines="0"/>
        <w:outlineLvl w:val="2"/>
        <w:rPr>
          <w:rFonts w:ascii="黑体" w:hAnsi="Times New Roman" w:eastAsia="黑体" w:cs="Times New Roman"/>
        </w:rPr>
      </w:pPr>
      <w:r>
        <w:rPr>
          <w:rFonts w:ascii="黑体" w:hAnsi="Times New Roman" w:eastAsia="黑体" w:cs="Times New Roman"/>
        </w:rPr>
        <w:t>7</w:t>
      </w:r>
      <w:r>
        <w:rPr>
          <w:rFonts w:hint="eastAsia" w:ascii="黑体" w:hAnsi="Times New Roman" w:eastAsia="黑体" w:cs="Times New Roman"/>
        </w:rPr>
        <w:t>.2.</w:t>
      </w:r>
      <w:r>
        <w:rPr>
          <w:rFonts w:ascii="黑体" w:hAnsi="Times New Roman" w:eastAsia="黑体" w:cs="Times New Roman"/>
        </w:rPr>
        <w:t>5</w:t>
      </w:r>
      <w:r>
        <w:rPr>
          <w:rFonts w:hint="eastAsia" w:ascii="黑体" w:hAnsi="黑体" w:eastAsia="黑体" w:cs="Times New Roman"/>
          <w:szCs w:val="21"/>
        </w:rPr>
        <w:t>　</w:t>
      </w:r>
      <w:r>
        <w:rPr>
          <w:rFonts w:hint="eastAsia" w:ascii="黑体" w:hAnsi="Times New Roman" w:eastAsia="黑体" w:cs="Times New Roman"/>
        </w:rPr>
        <w:t>解冻失水率</w:t>
      </w:r>
    </w:p>
    <w:p w14:paraId="3FEB58AC">
      <w:pPr>
        <w:pStyle w:val="20"/>
      </w:pPr>
      <w:r>
        <w:rPr>
          <w:rFonts w:hint="eastAsia"/>
        </w:rPr>
        <w:t>按NY/T</w:t>
      </w:r>
      <w:r>
        <w:t xml:space="preserve"> 3905</w:t>
      </w:r>
      <w:r>
        <w:rPr>
          <w:rFonts w:hint="eastAsia"/>
        </w:rPr>
        <w:t>规定的方法测定。</w:t>
      </w:r>
    </w:p>
    <w:p w14:paraId="134F8891">
      <w:pPr>
        <w:pStyle w:val="21"/>
        <w:spacing w:beforeLines="0" w:afterLines="0"/>
        <w:outlineLvl w:val="2"/>
        <w:rPr>
          <w:rFonts w:ascii="黑体" w:hAnsi="Times New Roman" w:eastAsia="黑体" w:cs="Times New Roman"/>
        </w:rPr>
      </w:pPr>
      <w:r>
        <w:rPr>
          <w:rFonts w:ascii="黑体" w:hAnsi="Times New Roman" w:eastAsia="黑体" w:cs="Times New Roman"/>
        </w:rPr>
        <w:t>7</w:t>
      </w:r>
      <w:r>
        <w:rPr>
          <w:rFonts w:hint="eastAsia" w:ascii="黑体" w:hAnsi="Times New Roman" w:eastAsia="黑体" w:cs="Times New Roman"/>
        </w:rPr>
        <w:t>.2.</w:t>
      </w:r>
      <w:r>
        <w:rPr>
          <w:rFonts w:ascii="黑体" w:hAnsi="Times New Roman" w:eastAsia="黑体" w:cs="Times New Roman"/>
        </w:rPr>
        <w:t>6</w:t>
      </w:r>
      <w:r>
        <w:rPr>
          <w:rFonts w:hint="eastAsia" w:ascii="黑体" w:hAnsi="黑体" w:eastAsia="黑体" w:cs="Times New Roman"/>
          <w:szCs w:val="21"/>
        </w:rPr>
        <w:t>　</w:t>
      </w:r>
      <w:r>
        <w:rPr>
          <w:rFonts w:hint="eastAsia" w:ascii="黑体" w:hAnsi="Times New Roman" w:eastAsia="黑体" w:cs="Times New Roman"/>
        </w:rPr>
        <w:t>过氧化值</w:t>
      </w:r>
    </w:p>
    <w:p w14:paraId="340DAA62">
      <w:pPr>
        <w:pStyle w:val="20"/>
      </w:pPr>
      <w:r>
        <w:rPr>
          <w:rFonts w:hint="eastAsia"/>
        </w:rPr>
        <w:t>按</w:t>
      </w:r>
      <w:r>
        <w:t>GB 5009.227规定的方法测定</w:t>
      </w:r>
      <w:r>
        <w:rPr>
          <w:rFonts w:hint="eastAsia"/>
        </w:rPr>
        <w:t>。</w:t>
      </w:r>
    </w:p>
    <w:p w14:paraId="3F527C79">
      <w:pPr>
        <w:pStyle w:val="21"/>
        <w:outlineLvl w:val="2"/>
        <w:rPr>
          <w:rFonts w:ascii="黑体" w:hAnsi="黑体" w:eastAsia="黑体" w:cs="Times New Roman"/>
          <w:szCs w:val="21"/>
        </w:rPr>
      </w:pPr>
      <w:r>
        <w:rPr>
          <w:rFonts w:ascii="黑体" w:hAnsi="黑体" w:eastAsia="黑体" w:cs="Times New Roman"/>
          <w:szCs w:val="21"/>
        </w:rPr>
        <w:t>7</w:t>
      </w:r>
      <w:r>
        <w:rPr>
          <w:rFonts w:hint="eastAsia" w:ascii="黑体" w:hAnsi="黑体" w:eastAsia="黑体" w:cs="Times New Roman"/>
          <w:szCs w:val="21"/>
        </w:rPr>
        <w:t>.3　</w:t>
      </w:r>
      <w:r>
        <w:rPr>
          <w:rFonts w:ascii="黑体" w:hAnsi="黑体" w:eastAsia="黑体" w:cs="Times New Roman"/>
          <w:szCs w:val="21"/>
        </w:rPr>
        <w:t>食品安全指标</w:t>
      </w:r>
    </w:p>
    <w:p w14:paraId="17BF4E77">
      <w:pPr>
        <w:pStyle w:val="21"/>
        <w:numPr>
          <w:ilvl w:val="1"/>
          <w:numId w:val="0"/>
        </w:numPr>
        <w:rPr>
          <w:rFonts w:ascii="黑体" w:hAnsi="黑体" w:eastAsia="黑体" w:cs="Times New Roman"/>
          <w:szCs w:val="21"/>
        </w:rPr>
      </w:pPr>
      <w:r>
        <w:rPr>
          <w:rFonts w:hint="eastAsia" w:ascii="黑体" w:hAnsi="黑体" w:eastAsia="黑体" w:cs="Times New Roman"/>
          <w:szCs w:val="21"/>
        </w:rPr>
        <w:t>7.3.1</w:t>
      </w:r>
      <w:r>
        <w:rPr>
          <w:rFonts w:hint="eastAsia" w:ascii="黑体" w:hAnsi="黑体" w:cs="Times New Roman"/>
          <w:szCs w:val="21"/>
        </w:rPr>
        <w:t xml:space="preserve"> </w:t>
      </w:r>
      <w:r>
        <w:rPr>
          <w:rFonts w:ascii="黑体" w:hAnsi="黑体" w:eastAsia="黑体" w:cs="Times New Roman"/>
          <w:szCs w:val="21"/>
        </w:rPr>
        <w:t xml:space="preserve"> </w:t>
      </w:r>
      <w:r>
        <w:rPr>
          <w:rFonts w:hint="eastAsia" w:ascii="黑体" w:hAnsi="黑体" w:eastAsia="黑体" w:cs="Times New Roman"/>
          <w:szCs w:val="21"/>
        </w:rPr>
        <w:t>污染物限量</w:t>
      </w:r>
      <w:bookmarkStart w:id="92" w:name="_GoBack"/>
      <w:bookmarkEnd w:id="92"/>
    </w:p>
    <w:p w14:paraId="3CA0417A">
      <w:pPr>
        <w:pStyle w:val="20"/>
        <w:ind w:firstLineChars="0"/>
        <w:rPr>
          <w:rFonts w:eastAsiaTheme="minorEastAsia"/>
          <w:kern w:val="2"/>
          <w:szCs w:val="24"/>
        </w:rPr>
      </w:pPr>
      <w:r>
        <w:rPr>
          <w:rFonts w:eastAsiaTheme="minorEastAsia"/>
          <w:kern w:val="2"/>
          <w:szCs w:val="24"/>
        </w:rPr>
        <w:t>按</w:t>
      </w:r>
      <w:r>
        <w:rPr>
          <w:rFonts w:hint="eastAsia" w:eastAsiaTheme="minorEastAsia"/>
          <w:kern w:val="2"/>
          <w:szCs w:val="24"/>
        </w:rPr>
        <w:t>GB 2762规定的</w:t>
      </w:r>
      <w:r>
        <w:rPr>
          <w:rFonts w:eastAsiaTheme="minorEastAsia"/>
          <w:kern w:val="2"/>
          <w:szCs w:val="24"/>
        </w:rPr>
        <w:t>方法测定。</w:t>
      </w:r>
    </w:p>
    <w:p w14:paraId="48459B8D">
      <w:pPr>
        <w:pStyle w:val="21"/>
        <w:numPr>
          <w:ilvl w:val="1"/>
          <w:numId w:val="0"/>
        </w:numPr>
        <w:rPr>
          <w:rFonts w:ascii="黑体" w:hAnsi="黑体" w:eastAsia="黑体" w:cs="Times New Roman"/>
          <w:szCs w:val="21"/>
        </w:rPr>
      </w:pPr>
      <w:r>
        <w:rPr>
          <w:rFonts w:hint="eastAsia" w:ascii="黑体" w:hAnsi="黑体" w:eastAsia="黑体" w:cs="Times New Roman"/>
          <w:szCs w:val="21"/>
        </w:rPr>
        <w:t>7.3.2</w:t>
      </w:r>
      <w:r>
        <w:rPr>
          <w:rFonts w:hint="eastAsia" w:ascii="黑体" w:hAnsi="黑体" w:cs="Times New Roman"/>
          <w:szCs w:val="21"/>
        </w:rPr>
        <w:t xml:space="preserve"> </w:t>
      </w:r>
      <w:r>
        <w:rPr>
          <w:rFonts w:hint="eastAsia" w:ascii="黑体" w:hAnsi="黑体" w:eastAsia="黑体" w:cs="Times New Roman"/>
          <w:szCs w:val="21"/>
        </w:rPr>
        <w:t xml:space="preserve"> 微生物限量</w:t>
      </w:r>
    </w:p>
    <w:p w14:paraId="2874CEE3">
      <w:pPr>
        <w:pStyle w:val="20"/>
        <w:ind w:firstLine="0" w:firstLineChars="0"/>
        <w:outlineLvl w:val="2"/>
        <w:rPr>
          <w:rFonts w:ascii="宋体" w:hAnsi="宋体" w:cs="宋体"/>
          <w:highlight w:val="none"/>
        </w:rPr>
      </w:pPr>
      <w:bookmarkStart w:id="85" w:name="OLE_LINK19"/>
      <w:r>
        <w:rPr>
          <w:rFonts w:hint="eastAsia" w:ascii="黑体" w:hAnsi="黑体" w:eastAsia="黑体" w:cs="黑体"/>
          <w:highlight w:val="none"/>
        </w:rPr>
        <w:t xml:space="preserve">7.3.2.1  </w:t>
      </w:r>
      <w:r>
        <w:rPr>
          <w:rFonts w:hint="eastAsia" w:ascii="宋体" w:hAnsi="宋体" w:cs="宋体"/>
          <w:highlight w:val="none"/>
        </w:rPr>
        <w:t>非调理类通辽牛肉片的</w:t>
      </w:r>
      <w:r>
        <w:rPr>
          <w:rFonts w:hint="eastAsia" w:ascii="宋体" w:hAnsi="宋体" w:cs="宋体"/>
          <w:color w:val="000000"/>
          <w:highlight w:val="none"/>
        </w:rPr>
        <w:t>菌落总数</w:t>
      </w:r>
      <w:r>
        <w:rPr>
          <w:rFonts w:hint="eastAsia" w:ascii="宋体" w:hAnsi="宋体" w:cs="宋体"/>
          <w:highlight w:val="none"/>
        </w:rPr>
        <w:t>按</w:t>
      </w:r>
      <w:r>
        <w:rPr>
          <w:rFonts w:hint="eastAsia" w:ascii="Times New Roman" w:hAnsi="Times New Roman" w:cs="Times New Roman"/>
          <w:highlight w:val="none"/>
        </w:rPr>
        <w:t xml:space="preserve">GB </w:t>
      </w:r>
      <w:bookmarkStart w:id="86" w:name="OLE_LINK29"/>
      <w:r>
        <w:rPr>
          <w:rFonts w:hint="eastAsia" w:ascii="Times New Roman" w:hAnsi="Times New Roman" w:cs="Times New Roman"/>
          <w:highlight w:val="none"/>
        </w:rPr>
        <w:t>4789.2</w:t>
      </w:r>
      <w:bookmarkEnd w:id="86"/>
      <w:r>
        <w:rPr>
          <w:rFonts w:hint="eastAsia" w:ascii="宋体" w:hAnsi="宋体" w:cs="宋体"/>
          <w:highlight w:val="none"/>
        </w:rPr>
        <w:t>规定的方法测定。</w:t>
      </w:r>
    </w:p>
    <w:p w14:paraId="0AD20B10">
      <w:pPr>
        <w:pStyle w:val="20"/>
        <w:ind w:firstLine="0" w:firstLineChars="0"/>
        <w:rPr>
          <w:rFonts w:ascii="宋体" w:hAnsi="宋体" w:cs="宋体"/>
          <w:highlight w:val="none"/>
        </w:rPr>
      </w:pPr>
      <w:r>
        <w:rPr>
          <w:rFonts w:hint="eastAsia" w:ascii="黑体" w:hAnsi="黑体" w:eastAsia="黑体" w:cs="黑体"/>
          <w:highlight w:val="none"/>
        </w:rPr>
        <w:t xml:space="preserve">7.3.2.2  </w:t>
      </w:r>
      <w:r>
        <w:rPr>
          <w:rFonts w:hint="eastAsia" w:ascii="宋体" w:hAnsi="宋体" w:cs="宋体"/>
          <w:highlight w:val="none"/>
        </w:rPr>
        <w:t>非调理类通辽牛肉片的大肠菌群按</w:t>
      </w:r>
      <w:r>
        <w:rPr>
          <w:rFonts w:hint="eastAsia" w:ascii="Times New Roman" w:hAnsi="Times New Roman" w:cs="Times New Roman"/>
          <w:highlight w:val="none"/>
        </w:rPr>
        <w:t>GB 4789.3</w:t>
      </w:r>
      <w:r>
        <w:rPr>
          <w:rFonts w:hint="eastAsia" w:ascii="宋体" w:hAnsi="宋体" w:cs="宋体"/>
          <w:highlight w:val="none"/>
        </w:rPr>
        <w:t>规定的方法测定。</w:t>
      </w:r>
    </w:p>
    <w:bookmarkEnd w:id="85"/>
    <w:p w14:paraId="708230D9">
      <w:pPr>
        <w:pStyle w:val="21"/>
        <w:tabs>
          <w:tab w:val="clear" w:pos="360"/>
        </w:tabs>
        <w:ind w:left="283" w:hanging="283"/>
        <w:outlineLvl w:val="1"/>
        <w:rPr>
          <w:rFonts w:ascii="黑体" w:hAnsi="黑体" w:eastAsia="黑体"/>
          <w:szCs w:val="21"/>
        </w:rPr>
      </w:pPr>
      <w:bookmarkStart w:id="87" w:name="OLE_LINK20"/>
      <w:r>
        <w:rPr>
          <w:rFonts w:ascii="黑体" w:hAnsi="黑体" w:eastAsia="黑体"/>
          <w:szCs w:val="21"/>
        </w:rPr>
        <w:t>7</w:t>
      </w:r>
      <w:r>
        <w:rPr>
          <w:rFonts w:hint="eastAsia" w:ascii="黑体" w:hAnsi="黑体" w:eastAsia="黑体"/>
          <w:szCs w:val="21"/>
        </w:rPr>
        <w:t>.4</w:t>
      </w:r>
      <w:bookmarkEnd w:id="87"/>
      <w:r>
        <w:rPr>
          <w:rFonts w:hint="eastAsia" w:ascii="黑体" w:hAnsi="黑体" w:eastAsia="黑体" w:cs="Times New Roman"/>
          <w:szCs w:val="21"/>
        </w:rPr>
        <w:t>　</w:t>
      </w:r>
      <w:r>
        <w:rPr>
          <w:rFonts w:ascii="黑体" w:hAnsi="黑体" w:eastAsia="黑体"/>
          <w:szCs w:val="21"/>
        </w:rPr>
        <w:t>净含量</w:t>
      </w:r>
      <w:r>
        <w:rPr>
          <w:rFonts w:hint="eastAsia" w:ascii="黑体" w:hAnsi="黑体" w:eastAsia="黑体"/>
          <w:szCs w:val="21"/>
        </w:rPr>
        <w:t>测定</w:t>
      </w:r>
    </w:p>
    <w:p w14:paraId="7602E13D">
      <w:pPr>
        <w:pStyle w:val="20"/>
      </w:pPr>
      <w:r>
        <w:rPr>
          <w:rFonts w:hint="eastAsia"/>
        </w:rPr>
        <w:t>按</w:t>
      </w:r>
      <w:r>
        <w:t>JJF</w:t>
      </w:r>
      <w:bookmarkStart w:id="88" w:name="OLE_LINK22"/>
      <w:r>
        <w:t xml:space="preserve"> 1070</w:t>
      </w:r>
      <w:bookmarkEnd w:id="88"/>
      <w:r>
        <w:rPr>
          <w:rFonts w:hint="eastAsia"/>
        </w:rPr>
        <w:t>的规定进行测定。</w:t>
      </w:r>
    </w:p>
    <w:p w14:paraId="176B1CBA">
      <w:pPr>
        <w:pStyle w:val="19"/>
        <w:numPr>
          <w:ilvl w:val="0"/>
          <w:numId w:val="2"/>
        </w:numPr>
        <w:spacing w:before="312" w:beforeLines="100" w:after="312" w:afterLines="100"/>
        <w:ind w:firstLineChars="0"/>
        <w:outlineLvl w:val="0"/>
        <w:rPr>
          <w:rFonts w:ascii="Times New Roman" w:hAnsi="Times New Roman" w:eastAsia="黑体"/>
          <w:szCs w:val="21"/>
        </w:rPr>
      </w:pPr>
      <w:r>
        <w:rPr>
          <w:rFonts w:hint="eastAsia" w:ascii="Times New Roman" w:hAnsi="Times New Roman" w:eastAsia="黑体"/>
          <w:szCs w:val="21"/>
        </w:rPr>
        <w:t>检验规则</w:t>
      </w:r>
    </w:p>
    <w:p w14:paraId="43844A90">
      <w:pPr>
        <w:pStyle w:val="21"/>
        <w:tabs>
          <w:tab w:val="clear" w:pos="360"/>
        </w:tabs>
        <w:ind w:left="283" w:hanging="283"/>
        <w:outlineLvl w:val="1"/>
        <w:rPr>
          <w:rFonts w:ascii="黑体" w:hAnsi="黑体" w:eastAsia="黑体"/>
          <w:szCs w:val="21"/>
        </w:rPr>
      </w:pPr>
      <w:r>
        <w:rPr>
          <w:rFonts w:ascii="黑体" w:hAnsi="黑体" w:eastAsia="黑体"/>
          <w:szCs w:val="21"/>
        </w:rPr>
        <w:t>8</w:t>
      </w:r>
      <w:r>
        <w:rPr>
          <w:rFonts w:hint="eastAsia" w:ascii="黑体" w:hAnsi="黑体" w:eastAsia="黑体"/>
          <w:szCs w:val="21"/>
        </w:rPr>
        <w:t>.1　组批</w:t>
      </w:r>
    </w:p>
    <w:p w14:paraId="51DB3EE0">
      <w:pPr>
        <w:pStyle w:val="20"/>
      </w:pPr>
      <w:r>
        <w:rPr>
          <w:rFonts w:hint="eastAsia"/>
        </w:rPr>
        <w:t>同日生产、同一品种的产品为一批。</w:t>
      </w:r>
    </w:p>
    <w:p w14:paraId="0534506A">
      <w:pPr>
        <w:pStyle w:val="21"/>
        <w:tabs>
          <w:tab w:val="clear" w:pos="360"/>
        </w:tabs>
        <w:ind w:left="283" w:hanging="283"/>
        <w:outlineLvl w:val="1"/>
        <w:rPr>
          <w:rFonts w:ascii="黑体" w:hAnsi="黑体" w:eastAsia="黑体"/>
          <w:szCs w:val="21"/>
        </w:rPr>
      </w:pPr>
      <w:r>
        <w:rPr>
          <w:rFonts w:ascii="黑体" w:hAnsi="黑体" w:eastAsia="黑体"/>
          <w:szCs w:val="21"/>
        </w:rPr>
        <w:t>8.2</w:t>
      </w:r>
      <w:r>
        <w:rPr>
          <w:rFonts w:hint="eastAsia" w:ascii="黑体" w:hAnsi="黑体" w:eastAsia="黑体"/>
          <w:szCs w:val="21"/>
        </w:rPr>
        <w:t>　抽样</w:t>
      </w:r>
    </w:p>
    <w:p w14:paraId="59EC602D">
      <w:pPr>
        <w:pStyle w:val="20"/>
      </w:pPr>
      <w:r>
        <w:rPr>
          <w:rFonts w:hint="eastAsia"/>
        </w:rPr>
        <w:t>从同一批次产品中随机抽取，抽取数量应满足检验项目的需要，分成两份，一份用于检验，一份用于备查。</w:t>
      </w:r>
    </w:p>
    <w:p w14:paraId="10F12C47">
      <w:pPr>
        <w:pStyle w:val="21"/>
        <w:tabs>
          <w:tab w:val="clear" w:pos="360"/>
        </w:tabs>
        <w:ind w:left="283" w:hanging="283"/>
        <w:outlineLvl w:val="1"/>
        <w:rPr>
          <w:rFonts w:ascii="黑体" w:hAnsi="黑体" w:eastAsia="黑体"/>
          <w:szCs w:val="21"/>
        </w:rPr>
      </w:pPr>
      <w:bookmarkStart w:id="89" w:name="OLE_LINK23"/>
      <w:r>
        <w:rPr>
          <w:rFonts w:ascii="黑体" w:hAnsi="黑体" w:eastAsia="黑体"/>
          <w:szCs w:val="21"/>
        </w:rPr>
        <w:t>8</w:t>
      </w:r>
      <w:r>
        <w:rPr>
          <w:rFonts w:hint="eastAsia" w:ascii="黑体" w:hAnsi="黑体" w:eastAsia="黑体"/>
          <w:szCs w:val="21"/>
        </w:rPr>
        <w:t>.3　出厂检验</w:t>
      </w:r>
    </w:p>
    <w:bookmarkEnd w:id="89"/>
    <w:p w14:paraId="1F1A2281">
      <w:pPr>
        <w:pStyle w:val="21"/>
        <w:snapToGrid w:val="0"/>
        <w:spacing w:before="0" w:beforeLines="0" w:after="0" w:afterLines="0"/>
        <w:outlineLvl w:val="2"/>
        <w:rPr>
          <w:rFonts w:ascii="Times New Roman" w:hAnsi="Times New Roman" w:eastAsia="宋体" w:cs="Times New Roman"/>
          <w:szCs w:val="21"/>
        </w:rPr>
      </w:pPr>
      <w:r>
        <w:rPr>
          <w:rFonts w:ascii="黑体" w:hAnsi="Times New Roman" w:eastAsia="黑体" w:cs="Times New Roman"/>
          <w:szCs w:val="21"/>
        </w:rPr>
        <w:t>8</w:t>
      </w:r>
      <w:r>
        <w:rPr>
          <w:rFonts w:hint="eastAsia" w:ascii="黑体" w:hAnsi="Times New Roman" w:eastAsia="黑体" w:cs="Times New Roman"/>
          <w:szCs w:val="21"/>
        </w:rPr>
        <w:t>.3.1　</w:t>
      </w:r>
      <w:r>
        <w:rPr>
          <w:rFonts w:ascii="Times New Roman" w:hAnsi="Times New Roman" w:eastAsia="宋体" w:cs="Times New Roman"/>
          <w:szCs w:val="21"/>
        </w:rPr>
        <w:t>预包装产品出厂前应逐批进行检验，检验合格后方可出厂。</w:t>
      </w:r>
    </w:p>
    <w:p w14:paraId="64434E89">
      <w:pPr>
        <w:pStyle w:val="20"/>
        <w:snapToGrid w:val="0"/>
        <w:ind w:firstLine="0" w:firstLineChars="0"/>
        <w:rPr>
          <w:rFonts w:ascii="黑体" w:hAnsi="黑体" w:eastAsia="黑体" w:cs="黑体"/>
          <w:szCs w:val="21"/>
        </w:rPr>
      </w:pPr>
      <w:r>
        <w:rPr>
          <w:rFonts w:ascii="黑体" w:hAnsi="黑体" w:eastAsia="黑体" w:cs="黑体"/>
          <w:szCs w:val="21"/>
        </w:rPr>
        <w:t>8.3.2</w:t>
      </w:r>
      <w:r>
        <w:rPr>
          <w:rFonts w:hint="eastAsia" w:ascii="黑体" w:hAnsi="黑体" w:eastAsia="黑体"/>
          <w:szCs w:val="21"/>
        </w:rPr>
        <w:t>　</w:t>
      </w:r>
      <w:r>
        <w:rPr>
          <w:szCs w:val="21"/>
        </w:rPr>
        <w:t>预包装产品出厂检验项目为感官、净含量。</w:t>
      </w:r>
    </w:p>
    <w:p w14:paraId="12328271">
      <w:pPr>
        <w:pStyle w:val="21"/>
        <w:tabs>
          <w:tab w:val="clear" w:pos="360"/>
        </w:tabs>
        <w:ind w:left="283" w:hanging="283"/>
        <w:outlineLvl w:val="1"/>
        <w:rPr>
          <w:rFonts w:ascii="黑体" w:hAnsi="黑体" w:eastAsia="黑体"/>
          <w:szCs w:val="21"/>
        </w:rPr>
      </w:pPr>
      <w:bookmarkStart w:id="90" w:name="OLE_LINK24"/>
      <w:r>
        <w:rPr>
          <w:rFonts w:ascii="黑体" w:hAnsi="黑体" w:eastAsia="黑体"/>
          <w:szCs w:val="21"/>
        </w:rPr>
        <w:t>8.4</w:t>
      </w:r>
      <w:r>
        <w:rPr>
          <w:rFonts w:hint="eastAsia" w:ascii="黑体" w:hAnsi="黑体" w:eastAsia="黑体"/>
          <w:szCs w:val="21"/>
        </w:rPr>
        <w:t>　</w:t>
      </w:r>
      <w:r>
        <w:rPr>
          <w:rFonts w:ascii="黑体" w:hAnsi="黑体" w:eastAsia="黑体"/>
          <w:szCs w:val="21"/>
        </w:rPr>
        <w:t>型式检验</w:t>
      </w:r>
    </w:p>
    <w:bookmarkEnd w:id="90"/>
    <w:p w14:paraId="6C179B8A">
      <w:pPr>
        <w:pStyle w:val="20"/>
        <w:ind w:firstLine="0" w:firstLineChars="0"/>
      </w:pPr>
      <w:r>
        <w:rPr>
          <w:rFonts w:ascii="黑体" w:eastAsia="黑体"/>
          <w:szCs w:val="21"/>
        </w:rPr>
        <w:t>8</w:t>
      </w:r>
      <w:r>
        <w:rPr>
          <w:rFonts w:hint="eastAsia" w:ascii="黑体" w:eastAsia="黑体"/>
          <w:szCs w:val="21"/>
        </w:rPr>
        <w:t>.4.1　</w:t>
      </w:r>
      <w:r>
        <w:rPr>
          <w:rFonts w:hint="eastAsia"/>
        </w:rPr>
        <w:t>每半年至少进行一次。有下列情况之一者，应进行型式检验：</w:t>
      </w:r>
    </w:p>
    <w:p w14:paraId="656898AC">
      <w:pPr>
        <w:pStyle w:val="20"/>
      </w:pPr>
      <w:r>
        <w:rPr>
          <w:rFonts w:hint="eastAsia"/>
        </w:rPr>
        <w:t>a）</w:t>
      </w:r>
      <w:r>
        <w:t>产品投产时；</w:t>
      </w:r>
    </w:p>
    <w:p w14:paraId="791B406F">
      <w:pPr>
        <w:pStyle w:val="20"/>
      </w:pPr>
      <w:r>
        <w:rPr>
          <w:rFonts w:hint="eastAsia"/>
        </w:rPr>
        <w:t>b）</w:t>
      </w:r>
      <w:r>
        <w:t>工艺发生较大改变时；</w:t>
      </w:r>
    </w:p>
    <w:p w14:paraId="367D4197">
      <w:pPr>
        <w:pStyle w:val="20"/>
      </w:pPr>
      <w:r>
        <w:rPr>
          <w:rFonts w:hint="eastAsia"/>
        </w:rPr>
        <w:t>c）</w:t>
      </w:r>
      <w:r>
        <w:t>停产三个月以上恢复生产时；</w:t>
      </w:r>
    </w:p>
    <w:p w14:paraId="7C011782">
      <w:pPr>
        <w:pStyle w:val="20"/>
      </w:pPr>
      <w:r>
        <w:rPr>
          <w:rFonts w:hint="eastAsia"/>
        </w:rPr>
        <w:t>d）</w:t>
      </w:r>
      <w:r>
        <w:t>出厂检验结果与上次型式检验有较大差异时；</w:t>
      </w:r>
    </w:p>
    <w:p w14:paraId="633CC118">
      <w:pPr>
        <w:pStyle w:val="20"/>
        <w:rPr>
          <w:szCs w:val="21"/>
        </w:rPr>
      </w:pPr>
      <w:r>
        <w:rPr>
          <w:rFonts w:hint="eastAsia"/>
        </w:rPr>
        <w:t>e）</w:t>
      </w:r>
      <w:r>
        <w:t>国家有关主管部门提出要求时。</w:t>
      </w:r>
    </w:p>
    <w:p w14:paraId="47D206FB">
      <w:pPr>
        <w:pStyle w:val="20"/>
        <w:ind w:firstLine="0" w:firstLineChars="0"/>
        <w:rPr>
          <w:rFonts w:ascii="黑体" w:eastAsia="黑体"/>
          <w:szCs w:val="21"/>
        </w:rPr>
      </w:pPr>
      <w:r>
        <w:rPr>
          <w:rFonts w:ascii="黑体" w:eastAsia="黑体"/>
          <w:szCs w:val="21"/>
        </w:rPr>
        <w:t>8</w:t>
      </w:r>
      <w:r>
        <w:rPr>
          <w:rFonts w:hint="eastAsia" w:ascii="黑体" w:eastAsia="黑体"/>
          <w:szCs w:val="21"/>
        </w:rPr>
        <w:t>.4.2　</w:t>
      </w:r>
      <w:r>
        <w:rPr>
          <w:rFonts w:hint="eastAsia"/>
        </w:rPr>
        <w:t>型式检验项目应包含6.1～6.4以及相关规定的项目。</w:t>
      </w:r>
    </w:p>
    <w:p w14:paraId="36AEA105">
      <w:pPr>
        <w:pStyle w:val="21"/>
        <w:tabs>
          <w:tab w:val="clear" w:pos="360"/>
        </w:tabs>
        <w:ind w:left="283" w:hanging="283"/>
        <w:outlineLvl w:val="1"/>
        <w:rPr>
          <w:rFonts w:ascii="黑体" w:hAnsi="黑体" w:eastAsia="黑体"/>
          <w:szCs w:val="21"/>
        </w:rPr>
      </w:pPr>
      <w:r>
        <w:rPr>
          <w:rFonts w:ascii="黑体" w:hAnsi="黑体" w:eastAsia="黑体"/>
          <w:szCs w:val="21"/>
        </w:rPr>
        <w:t>8</w:t>
      </w:r>
      <w:r>
        <w:rPr>
          <w:rFonts w:hint="eastAsia" w:ascii="黑体" w:hAnsi="黑体" w:eastAsia="黑体"/>
          <w:szCs w:val="21"/>
        </w:rPr>
        <w:t>.5　判定规则</w:t>
      </w:r>
    </w:p>
    <w:p w14:paraId="6C314CC3">
      <w:pPr>
        <w:pStyle w:val="20"/>
      </w:pPr>
      <w:r>
        <w:rPr>
          <w:rFonts w:hint="eastAsia"/>
        </w:rPr>
        <w:t>检验项目全部符合本文件的规定，判该批产品为合格产品。如有一项以上（含一项，</w:t>
      </w:r>
      <w:r>
        <w:t>微生物</w:t>
      </w:r>
      <w:r>
        <w:rPr>
          <w:rFonts w:hint="eastAsia"/>
        </w:rPr>
        <w:t>项目除外）不合格，应在同批产品中加倍抽样复检，以复检结果为准。若复检项目仍有一项不合格，则判该批产品为不合格品。微生物指标中有一项不符合相关食品安全国家标准的规定，</w:t>
      </w:r>
      <w:r>
        <w:t>不应</w:t>
      </w:r>
      <w:r>
        <w:rPr>
          <w:rFonts w:hint="eastAsia"/>
        </w:rPr>
        <w:t>复检，</w:t>
      </w:r>
      <w:r>
        <w:t>判</w:t>
      </w:r>
      <w:r>
        <w:rPr>
          <w:rFonts w:hint="eastAsia"/>
        </w:rPr>
        <w:t>该批产品为不合格品。</w:t>
      </w:r>
    </w:p>
    <w:p w14:paraId="5A34ED34">
      <w:pPr>
        <w:pStyle w:val="19"/>
        <w:numPr>
          <w:ilvl w:val="0"/>
          <w:numId w:val="2"/>
        </w:numPr>
        <w:spacing w:before="312" w:beforeLines="100" w:after="312" w:afterLines="100"/>
        <w:ind w:firstLineChars="0"/>
        <w:outlineLvl w:val="0"/>
        <w:rPr>
          <w:rFonts w:ascii="Times New Roman" w:hAnsi="Times New Roman" w:eastAsia="黑体"/>
          <w:szCs w:val="21"/>
        </w:rPr>
      </w:pPr>
      <w:r>
        <w:rPr>
          <w:rFonts w:hint="eastAsia" w:ascii="Times New Roman" w:hAnsi="Times New Roman" w:eastAsia="黑体"/>
          <w:szCs w:val="21"/>
        </w:rPr>
        <w:t>标签、标志、包装、贮存、运输和销售</w:t>
      </w:r>
    </w:p>
    <w:p w14:paraId="522D7E59">
      <w:pPr>
        <w:pStyle w:val="21"/>
        <w:tabs>
          <w:tab w:val="clear" w:pos="360"/>
        </w:tabs>
        <w:ind w:left="283" w:hanging="283"/>
        <w:outlineLvl w:val="1"/>
        <w:rPr>
          <w:rFonts w:ascii="黑体" w:hAnsi="黑体" w:eastAsia="黑体"/>
          <w:szCs w:val="21"/>
        </w:rPr>
      </w:pPr>
      <w:r>
        <w:rPr>
          <w:rFonts w:ascii="黑体" w:hAnsi="黑体" w:eastAsia="黑体"/>
          <w:szCs w:val="21"/>
        </w:rPr>
        <w:t>9</w:t>
      </w:r>
      <w:r>
        <w:rPr>
          <w:rFonts w:hint="eastAsia" w:ascii="黑体" w:hAnsi="黑体" w:eastAsia="黑体"/>
          <w:szCs w:val="21"/>
        </w:rPr>
        <w:t>.1</w:t>
      </w:r>
      <w:r>
        <w:rPr>
          <w:rFonts w:hint="eastAsia" w:ascii="黑体" w:hAnsi="黑体" w:eastAsia="黑体" w:cs="Times New Roman"/>
          <w:szCs w:val="21"/>
        </w:rPr>
        <w:t>　</w:t>
      </w:r>
      <w:r>
        <w:rPr>
          <w:rFonts w:hint="eastAsia" w:ascii="黑体" w:hAnsi="黑体" w:eastAsia="黑体"/>
          <w:szCs w:val="21"/>
        </w:rPr>
        <w:t>标签</w:t>
      </w:r>
    </w:p>
    <w:p w14:paraId="2E9B1785">
      <w:pPr>
        <w:pStyle w:val="20"/>
        <w:snapToGrid w:val="0"/>
        <w:ind w:firstLine="0" w:firstLineChars="0"/>
      </w:pPr>
      <w:r>
        <w:rPr>
          <w:rFonts w:ascii="黑体" w:eastAsia="黑体"/>
          <w:szCs w:val="21"/>
        </w:rPr>
        <w:t>9</w:t>
      </w:r>
      <w:r>
        <w:rPr>
          <w:rFonts w:hint="eastAsia" w:ascii="黑体" w:eastAsia="黑体"/>
          <w:szCs w:val="21"/>
        </w:rPr>
        <w:t>.1.1</w:t>
      </w:r>
      <w:r>
        <w:rPr>
          <w:rFonts w:hint="eastAsia" w:ascii="黑体" w:hAnsi="黑体" w:eastAsia="黑体"/>
          <w:szCs w:val="21"/>
        </w:rPr>
        <w:t>　</w:t>
      </w:r>
      <w:r>
        <w:rPr>
          <w:rFonts w:hint="eastAsia"/>
        </w:rPr>
        <w:t>产品标签应符合GB 7718和GB 28050的规定。</w:t>
      </w:r>
    </w:p>
    <w:p w14:paraId="4A1BD8A7">
      <w:pPr>
        <w:pStyle w:val="20"/>
        <w:snapToGrid w:val="0"/>
        <w:ind w:firstLine="0" w:firstLineChars="0"/>
      </w:pPr>
      <w:r>
        <w:rPr>
          <w:rFonts w:ascii="黑体" w:eastAsia="黑体"/>
          <w:szCs w:val="21"/>
        </w:rPr>
        <w:t>9</w:t>
      </w:r>
      <w:r>
        <w:rPr>
          <w:rFonts w:hint="eastAsia" w:ascii="黑体" w:eastAsia="黑体"/>
          <w:szCs w:val="21"/>
        </w:rPr>
        <w:t>.1.2</w:t>
      </w:r>
      <w:r>
        <w:rPr>
          <w:rFonts w:hint="eastAsia" w:ascii="黑体" w:hAnsi="黑体" w:eastAsia="黑体"/>
          <w:szCs w:val="21"/>
        </w:rPr>
        <w:t>　</w:t>
      </w:r>
      <w:r>
        <w:rPr>
          <w:rFonts w:hint="eastAsia"/>
        </w:rPr>
        <w:t>调理类通辽牛肉片应在标签上以醒目的字体标出“</w:t>
      </w:r>
      <w:r>
        <w:t>调理</w:t>
      </w:r>
      <w:r>
        <w:rPr>
          <w:rFonts w:hint="eastAsia"/>
        </w:rPr>
        <w:t>”等提示语</w:t>
      </w:r>
      <w:r>
        <w:t>，且</w:t>
      </w:r>
      <w:r>
        <w:rPr>
          <w:rFonts w:hint="eastAsia"/>
        </w:rPr>
        <w:t>标签中不应出现“</w:t>
      </w:r>
      <w:r>
        <w:t>原切</w:t>
      </w:r>
      <w:r>
        <w:rPr>
          <w:rFonts w:hint="eastAsia"/>
        </w:rPr>
        <w:t>”</w:t>
      </w:r>
      <w:r>
        <w:t>字样</w:t>
      </w:r>
      <w:r>
        <w:rPr>
          <w:rFonts w:hint="eastAsia"/>
        </w:rPr>
        <w:t>。</w:t>
      </w:r>
    </w:p>
    <w:p w14:paraId="565EAFF0">
      <w:pPr>
        <w:pStyle w:val="20"/>
        <w:snapToGrid w:val="0"/>
        <w:ind w:firstLine="0" w:firstLineChars="0"/>
      </w:pPr>
      <w:r>
        <w:rPr>
          <w:rFonts w:ascii="黑体" w:eastAsia="黑体"/>
          <w:szCs w:val="21"/>
        </w:rPr>
        <w:t>9</w:t>
      </w:r>
      <w:r>
        <w:rPr>
          <w:rFonts w:hint="eastAsia" w:ascii="黑体" w:eastAsia="黑体"/>
          <w:szCs w:val="21"/>
        </w:rPr>
        <w:t>.1.3</w:t>
      </w:r>
      <w:r>
        <w:rPr>
          <w:rFonts w:hint="eastAsia" w:ascii="黑体" w:hAnsi="黑体" w:eastAsia="黑体"/>
          <w:szCs w:val="21"/>
        </w:rPr>
        <w:t>　</w:t>
      </w:r>
      <w:r>
        <w:rPr>
          <w:rFonts w:hint="eastAsia"/>
        </w:rPr>
        <w:t>以牛肉的特定部位名称命名的非调理类通辽牛肉片产品在配料表中应明确标示原料肉的部位名称。使用非单一部位肉加工的非调理类通辽牛肉片不应以特定部位肉名称命名。</w:t>
      </w:r>
    </w:p>
    <w:p w14:paraId="50EB4EEA">
      <w:pPr>
        <w:pStyle w:val="20"/>
        <w:snapToGrid w:val="0"/>
        <w:ind w:firstLine="0" w:firstLineChars="0"/>
      </w:pPr>
      <w:r>
        <w:rPr>
          <w:rFonts w:ascii="黑体" w:eastAsia="黑体"/>
          <w:szCs w:val="21"/>
        </w:rPr>
        <w:t>9</w:t>
      </w:r>
      <w:r>
        <w:rPr>
          <w:rFonts w:hint="eastAsia" w:ascii="黑体" w:eastAsia="黑体"/>
          <w:szCs w:val="21"/>
        </w:rPr>
        <w:t>.1.4</w:t>
      </w:r>
      <w:r>
        <w:rPr>
          <w:rFonts w:hint="eastAsia" w:ascii="黑体" w:hAnsi="黑体" w:eastAsia="黑体"/>
          <w:szCs w:val="21"/>
        </w:rPr>
        <w:t>　</w:t>
      </w:r>
      <w:r>
        <w:rPr>
          <w:rFonts w:hint="eastAsia"/>
        </w:rPr>
        <w:t>包装上有关认证标志和商标等的印刷、</w:t>
      </w:r>
      <w:r>
        <w:t>加贴应符合有关法规及标准要求。</w:t>
      </w:r>
    </w:p>
    <w:p w14:paraId="58200149">
      <w:pPr>
        <w:pStyle w:val="21"/>
        <w:outlineLvl w:val="2"/>
        <w:rPr>
          <w:rFonts w:ascii="黑体" w:hAnsi="黑体" w:eastAsia="黑体" w:cs="Times New Roman"/>
          <w:szCs w:val="21"/>
        </w:rPr>
      </w:pPr>
      <w:r>
        <w:rPr>
          <w:rFonts w:ascii="黑体" w:hAnsi="黑体" w:eastAsia="黑体" w:cs="Times New Roman"/>
          <w:szCs w:val="21"/>
        </w:rPr>
        <w:t>9</w:t>
      </w:r>
      <w:r>
        <w:rPr>
          <w:rFonts w:hint="eastAsia" w:ascii="黑体" w:hAnsi="黑体" w:eastAsia="黑体" w:cs="Times New Roman"/>
          <w:szCs w:val="21"/>
        </w:rPr>
        <w:t>.2　标志</w:t>
      </w:r>
    </w:p>
    <w:p w14:paraId="4C210E32">
      <w:r>
        <w:t>包装储运图示标志应符</w:t>
      </w:r>
      <w:r>
        <w:rPr>
          <w:rFonts w:ascii="Times New Roman" w:hAnsi="Times New Roman"/>
        </w:rPr>
        <w:t>合GB/T 191的</w:t>
      </w:r>
      <w:r>
        <w:t>规定。</w:t>
      </w:r>
    </w:p>
    <w:p w14:paraId="3970627E">
      <w:pPr>
        <w:pStyle w:val="21"/>
        <w:outlineLvl w:val="2"/>
        <w:rPr>
          <w:rFonts w:ascii="黑体" w:hAnsi="黑体" w:eastAsia="黑体" w:cs="Times New Roman"/>
          <w:szCs w:val="21"/>
        </w:rPr>
      </w:pPr>
      <w:r>
        <w:rPr>
          <w:rFonts w:ascii="黑体" w:hAnsi="黑体" w:eastAsia="黑体" w:cs="Times New Roman"/>
          <w:szCs w:val="21"/>
        </w:rPr>
        <w:t>9</w:t>
      </w:r>
      <w:r>
        <w:rPr>
          <w:rFonts w:hint="eastAsia" w:ascii="黑体" w:hAnsi="黑体" w:eastAsia="黑体" w:cs="Times New Roman"/>
          <w:szCs w:val="21"/>
        </w:rPr>
        <w:t>.3　包装</w:t>
      </w:r>
    </w:p>
    <w:p w14:paraId="7FE2D5BC">
      <w:pPr>
        <w:pStyle w:val="20"/>
        <w:snapToGrid w:val="0"/>
        <w:ind w:firstLine="0" w:firstLineChars="0"/>
      </w:pPr>
      <w:r>
        <w:rPr>
          <w:rFonts w:ascii="黑体" w:hAnsi="黑体" w:eastAsia="黑体"/>
        </w:rPr>
        <w:t>9</w:t>
      </w:r>
      <w:r>
        <w:rPr>
          <w:rFonts w:hint="eastAsia" w:ascii="黑体" w:hAnsi="黑体" w:eastAsia="黑体"/>
        </w:rPr>
        <w:t>.3.1</w:t>
      </w:r>
      <w:r>
        <w:rPr>
          <w:rFonts w:hint="eastAsia" w:ascii="黑体" w:hAnsi="黑体" w:eastAsia="黑体"/>
          <w:szCs w:val="21"/>
        </w:rPr>
        <w:t>　</w:t>
      </w:r>
      <w:r>
        <w:rPr>
          <w:rFonts w:hint="eastAsia"/>
        </w:rPr>
        <w:t>包装容器与材料应符合GB</w:t>
      </w:r>
      <w:r>
        <w:t xml:space="preserve"> 4806.7</w:t>
      </w:r>
      <w:r>
        <w:rPr>
          <w:rFonts w:hint="eastAsia"/>
        </w:rPr>
        <w:t>、</w:t>
      </w:r>
      <w:r>
        <w:t>GB/T 6543</w:t>
      </w:r>
      <w:r>
        <w:rPr>
          <w:rFonts w:hint="eastAsia"/>
        </w:rPr>
        <w:t>等相关国家标准或行业标准的规定。</w:t>
      </w:r>
    </w:p>
    <w:p w14:paraId="72B3FA8D">
      <w:pPr>
        <w:pStyle w:val="20"/>
        <w:snapToGrid w:val="0"/>
        <w:ind w:firstLine="0" w:firstLineChars="0"/>
      </w:pPr>
      <w:r>
        <w:rPr>
          <w:rFonts w:ascii="黑体" w:hAnsi="黑体" w:eastAsia="黑体"/>
        </w:rPr>
        <w:t>9</w:t>
      </w:r>
      <w:r>
        <w:rPr>
          <w:rFonts w:hint="eastAsia" w:ascii="黑体" w:hAnsi="黑体" w:eastAsia="黑体"/>
        </w:rPr>
        <w:t>.3.2</w:t>
      </w:r>
      <w:r>
        <w:rPr>
          <w:rFonts w:hint="eastAsia" w:ascii="黑体" w:hAnsi="黑体" w:eastAsia="黑体"/>
          <w:szCs w:val="21"/>
        </w:rPr>
        <w:t>　</w:t>
      </w:r>
      <w:r>
        <w:rPr>
          <w:rFonts w:hint="eastAsia"/>
        </w:rPr>
        <w:t>包装应完整，无损坏，无污染。</w:t>
      </w:r>
    </w:p>
    <w:p w14:paraId="2A76892A">
      <w:pPr>
        <w:pStyle w:val="21"/>
        <w:tabs>
          <w:tab w:val="clear" w:pos="360"/>
        </w:tabs>
        <w:ind w:left="283" w:hanging="283"/>
        <w:outlineLvl w:val="1"/>
        <w:rPr>
          <w:rFonts w:ascii="黑体" w:hAnsi="黑体" w:eastAsia="黑体"/>
          <w:szCs w:val="21"/>
        </w:rPr>
      </w:pPr>
      <w:r>
        <w:rPr>
          <w:rFonts w:ascii="黑体" w:hAnsi="黑体" w:eastAsia="黑体"/>
          <w:szCs w:val="21"/>
        </w:rPr>
        <w:t>9</w:t>
      </w:r>
      <w:r>
        <w:rPr>
          <w:rFonts w:hint="eastAsia" w:ascii="黑体" w:hAnsi="黑体" w:eastAsia="黑体" w:cs="Times New Roman"/>
          <w:szCs w:val="21"/>
        </w:rPr>
        <w:t>.4　贮存</w:t>
      </w:r>
      <w:bookmarkEnd w:id="73"/>
      <w:bookmarkEnd w:id="74"/>
      <w:bookmarkEnd w:id="75"/>
      <w:bookmarkEnd w:id="76"/>
      <w:bookmarkEnd w:id="77"/>
      <w:bookmarkEnd w:id="78"/>
      <w:bookmarkEnd w:id="79"/>
      <w:bookmarkEnd w:id="80"/>
      <w:bookmarkEnd w:id="81"/>
      <w:bookmarkEnd w:id="82"/>
      <w:bookmarkStart w:id="91" w:name="_Toc22135279"/>
      <w:r>
        <w:rPr>
          <w:rFonts w:hint="eastAsia" w:ascii="黑体" w:hAnsi="黑体" w:eastAsia="黑体" w:cs="Times New Roman"/>
          <w:szCs w:val="21"/>
        </w:rPr>
        <w:t>、运输和销售</w:t>
      </w:r>
    </w:p>
    <w:p w14:paraId="0957908A">
      <w:pPr>
        <w:pStyle w:val="25"/>
        <w:snapToGrid w:val="0"/>
        <w:rPr>
          <w:rFonts w:ascii="黑体" w:eastAsia="宋体"/>
        </w:rPr>
      </w:pPr>
      <w:r>
        <w:rPr>
          <w:rFonts w:ascii="黑体" w:eastAsia="宋体"/>
        </w:rPr>
        <w:t>9</w:t>
      </w:r>
      <w:r>
        <w:rPr>
          <w:rFonts w:hint="eastAsia" w:ascii="黑体" w:eastAsia="宋体"/>
        </w:rPr>
        <w:t>.</w:t>
      </w:r>
      <w:r>
        <w:rPr>
          <w:rFonts w:hint="eastAsia" w:ascii="黑体"/>
        </w:rPr>
        <w:t>4</w:t>
      </w:r>
      <w:r>
        <w:rPr>
          <w:rFonts w:hint="eastAsia" w:ascii="黑体" w:eastAsia="宋体"/>
        </w:rPr>
        <w:t>.1</w:t>
      </w:r>
      <w:r>
        <w:rPr>
          <w:rFonts w:hint="eastAsia" w:ascii="黑体" w:hAnsi="黑体"/>
          <w:szCs w:val="21"/>
        </w:rPr>
        <w:t>　</w:t>
      </w:r>
      <w:r>
        <w:rPr>
          <w:rFonts w:eastAsia="宋体"/>
        </w:rPr>
        <w:t>应符合GB</w:t>
      </w:r>
      <w:r>
        <w:rPr>
          <w:rFonts w:hint="eastAsia" w:eastAsia="宋体"/>
        </w:rPr>
        <w:t xml:space="preserve"> 20799、</w:t>
      </w:r>
      <w:r>
        <w:rPr>
          <w:rFonts w:eastAsia="宋体"/>
        </w:rPr>
        <w:t>GB 31605</w:t>
      </w:r>
      <w:r>
        <w:rPr>
          <w:rFonts w:hint="eastAsia" w:eastAsia="宋体"/>
        </w:rPr>
        <w:t>、</w:t>
      </w:r>
      <w:r>
        <w:rPr>
          <w:rFonts w:eastAsia="宋体"/>
        </w:rPr>
        <w:t>GB 31646的规定。</w:t>
      </w:r>
    </w:p>
    <w:p w14:paraId="093E966E">
      <w:pPr>
        <w:pStyle w:val="20"/>
        <w:snapToGrid w:val="0"/>
        <w:ind w:firstLine="0" w:firstLineChars="0"/>
        <w:rPr>
          <w:rFonts w:ascii="黑体" w:hAnsi="黑体" w:eastAsia="黑体"/>
        </w:rPr>
      </w:pPr>
      <w:r>
        <w:rPr>
          <w:rFonts w:ascii="黑体" w:hAnsi="黑体" w:eastAsia="黑体"/>
        </w:rPr>
        <w:t>9</w:t>
      </w:r>
      <w:r>
        <w:rPr>
          <w:rFonts w:hint="eastAsia" w:ascii="黑体" w:hAnsi="黑体" w:eastAsia="黑体"/>
        </w:rPr>
        <w:t>.4.2</w:t>
      </w:r>
      <w:r>
        <w:rPr>
          <w:rFonts w:hint="eastAsia" w:ascii="黑体" w:hAnsi="黑体" w:eastAsia="黑体"/>
          <w:szCs w:val="21"/>
        </w:rPr>
        <w:t>　</w:t>
      </w:r>
      <w:r>
        <w:rPr>
          <w:rFonts w:hint="eastAsia"/>
        </w:rPr>
        <w:t>产品贮存、运输和销售过程中环境</w:t>
      </w:r>
      <w:r>
        <w:t>温度</w:t>
      </w:r>
      <w:r>
        <w:rPr>
          <w:rFonts w:hint="eastAsia"/>
        </w:rPr>
        <w:t>应不高于-18℃。贮存时应包装完整，不破不漏，避免有毒物质污染。</w:t>
      </w:r>
    </w:p>
    <w:p w14:paraId="7E845870">
      <w:pPr>
        <w:pStyle w:val="20"/>
      </w:pPr>
    </w:p>
    <w:bookmarkEnd w:id="65"/>
    <w:bookmarkEnd w:id="66"/>
    <w:bookmarkEnd w:id="67"/>
    <w:bookmarkEnd w:id="68"/>
    <w:bookmarkEnd w:id="69"/>
    <w:bookmarkEnd w:id="70"/>
    <w:bookmarkEnd w:id="91"/>
    <w:p w14:paraId="5A37F4D9">
      <w:pPr>
        <w:rPr>
          <w:lang w:bidi="zh-TW"/>
        </w:rPr>
      </w:pPr>
      <w:r>
        <w:rPr>
          <w:rFonts w:hint="eastAsia"/>
          <w:lang w:bidi="zh-TW"/>
        </w:rPr>
        <w:br w:type="page"/>
      </w:r>
    </w:p>
    <w:p w14:paraId="1BAAC918">
      <w:pPr>
        <w:autoSpaceDE/>
        <w:autoSpaceDN/>
        <w:adjustRightInd/>
        <w:snapToGrid/>
        <w:spacing w:before="850" w:after="283"/>
        <w:jc w:val="center"/>
        <w:rPr>
          <w:rFonts w:ascii="黑体" w:hAnsi="黑体" w:eastAsia="黑体" w:cs="黑体"/>
          <w:color w:val="000000"/>
          <w:lang w:bidi="zh-TW"/>
        </w:rPr>
      </w:pPr>
      <w:r>
        <w:rPr>
          <w:rFonts w:hint="eastAsia" w:ascii="黑体" w:hAnsi="黑体" w:eastAsia="黑体" w:cs="黑体"/>
          <w:color w:val="000000"/>
          <w:lang w:bidi="zh-TW"/>
        </w:rPr>
        <w:t>参 考 文 献</w:t>
      </w:r>
    </w:p>
    <w:p w14:paraId="3497D68D">
      <w:pPr>
        <w:pStyle w:val="20"/>
        <w:numPr>
          <w:ilvl w:val="0"/>
          <w:numId w:val="3"/>
        </w:numPr>
        <w:ind w:firstLineChars="0"/>
      </w:pPr>
      <w:r>
        <w:t>定量包装商品计量监督管理办法（</w:t>
      </w:r>
      <w:r>
        <w:rPr>
          <w:rFonts w:hint="eastAsia"/>
        </w:rPr>
        <w:t>国家市场监督管理总局</w:t>
      </w:r>
      <w:r>
        <w:t>第70号令）</w:t>
      </w:r>
    </w:p>
    <w:p w14:paraId="08A78F1E">
      <w:pPr>
        <w:pStyle w:val="20"/>
      </w:pPr>
    </w:p>
    <w:p w14:paraId="731CB112">
      <w:pPr>
        <w:pStyle w:val="20"/>
      </w:pPr>
    </w:p>
    <w:p w14:paraId="335B1224">
      <w:pPr>
        <w:pStyle w:val="20"/>
      </w:pPr>
    </w:p>
    <w:p w14:paraId="4792BB32">
      <w:pPr>
        <w:pStyle w:val="28"/>
        <w:framePr w:wrap="around"/>
      </w:pPr>
      <w:r>
        <w:t>_________________________________</w:t>
      </w:r>
    </w:p>
    <w:p w14:paraId="69299FD6">
      <w:pPr>
        <w:pStyle w:val="20"/>
      </w:pPr>
    </w:p>
    <w:p w14:paraId="0B66C3A3">
      <w:pPr>
        <w:pStyle w:val="20"/>
      </w:pPr>
    </w:p>
    <w:p w14:paraId="7F9AB210">
      <w:pPr>
        <w:pStyle w:val="20"/>
      </w:pPr>
    </w:p>
    <w:p w14:paraId="5B95D791">
      <w:pPr>
        <w:pStyle w:val="20"/>
      </w:pPr>
    </w:p>
    <w:p w14:paraId="4B30E579">
      <w:pPr>
        <w:pStyle w:val="20"/>
      </w:pPr>
    </w:p>
    <w:p w14:paraId="508FDF7E"/>
    <w:sectPr>
      <w:footerReference r:id="rId13" w:type="default"/>
      <w:pgSz w:w="11906" w:h="16838"/>
      <w:pgMar w:top="1417" w:right="1417" w:bottom="1417" w:left="1417" w:header="1417" w:footer="992" w:gutter="0"/>
      <w:pgNumType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E8123">
    <w:pPr>
      <w:pStyle w:val="38"/>
      <w:jc w:val="center"/>
      <w:rPr>
        <w:rStyle w:val="14"/>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8E658B">
                          <w:pPr>
                            <w:pStyle w:val="38"/>
                            <w:jc w:val="center"/>
                          </w:pPr>
                          <w:r>
                            <w:rPr>
                              <w:rStyle w:val="14"/>
                            </w:rPr>
                            <w:fldChar w:fldCharType="begin"/>
                          </w:r>
                          <w:r>
                            <w:rPr>
                              <w:rStyle w:val="14"/>
                            </w:rPr>
                            <w:instrText xml:space="preserve">PAGE  </w:instrText>
                          </w:r>
                          <w:r>
                            <w:rPr>
                              <w:rStyle w:val="14"/>
                            </w:rPr>
                            <w:fldChar w:fldCharType="separate"/>
                          </w:r>
                          <w:r>
                            <w:rPr>
                              <w:rStyle w:val="14"/>
                            </w:rPr>
                            <w:t>5</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E8E658B">
                    <w:pPr>
                      <w:pStyle w:val="38"/>
                      <w:jc w:val="center"/>
                    </w:pPr>
                    <w:r>
                      <w:rPr>
                        <w:rStyle w:val="14"/>
                      </w:rPr>
                      <w:fldChar w:fldCharType="begin"/>
                    </w:r>
                    <w:r>
                      <w:rPr>
                        <w:rStyle w:val="14"/>
                      </w:rPr>
                      <w:instrText xml:space="preserve">PAGE  </w:instrText>
                    </w:r>
                    <w:r>
                      <w:rPr>
                        <w:rStyle w:val="14"/>
                      </w:rPr>
                      <w:fldChar w:fldCharType="separate"/>
                    </w:r>
                    <w:r>
                      <w:rPr>
                        <w:rStyle w:val="14"/>
                      </w:rPr>
                      <w:t>5</w:t>
                    </w:r>
                    <w:r>
                      <w:rPr>
                        <w:rStyle w:val="1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1B11A">
    <w:pPr>
      <w:pStyle w:val="6"/>
      <w:ind w:firstLine="360"/>
      <w:rPr>
        <w:rStyle w:val="14"/>
      </w:rPr>
    </w:pPr>
    <w:r>
      <w:rPr>
        <w:rStyle w:val="14"/>
      </w:rPr>
      <w:fldChar w:fldCharType="begin"/>
    </w:r>
    <w:r>
      <w:rPr>
        <w:rStyle w:val="14"/>
      </w:rPr>
      <w:instrText xml:space="preserve">PAGE  </w:instrText>
    </w:r>
    <w:r>
      <w:rPr>
        <w:rStyle w:val="14"/>
      </w:rPr>
      <w:fldChar w:fldCharType="end"/>
    </w:r>
  </w:p>
  <w:p w14:paraId="7E519DAE">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6EC13">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295B3">
    <w:pPr>
      <w:pStyle w:val="38"/>
      <w:jc w:val="both"/>
      <w:rPr>
        <w:rStyle w:val="14"/>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0CD19">
                          <w:pPr>
                            <w:pStyle w:val="38"/>
                            <w:jc w:val="center"/>
                          </w:pPr>
                          <w:r>
                            <w:rPr>
                              <w:rStyle w:val="14"/>
                            </w:rPr>
                            <w:fldChar w:fldCharType="begin"/>
                          </w:r>
                          <w:r>
                            <w:rPr>
                              <w:rStyle w:val="14"/>
                            </w:rPr>
                            <w:instrText xml:space="preserve">PAGE  </w:instrText>
                          </w:r>
                          <w:r>
                            <w:rPr>
                              <w:rStyle w:val="14"/>
                            </w:rPr>
                            <w:fldChar w:fldCharType="separate"/>
                          </w:r>
                          <w:r>
                            <w:rPr>
                              <w:rStyle w:val="14"/>
                            </w:rPr>
                            <w:t>I</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6A00CD19">
                    <w:pPr>
                      <w:pStyle w:val="38"/>
                      <w:jc w:val="center"/>
                    </w:pPr>
                    <w:r>
                      <w:rPr>
                        <w:rStyle w:val="14"/>
                      </w:rPr>
                      <w:fldChar w:fldCharType="begin"/>
                    </w:r>
                    <w:r>
                      <w:rPr>
                        <w:rStyle w:val="14"/>
                      </w:rPr>
                      <w:instrText xml:space="preserve">PAGE  </w:instrText>
                    </w:r>
                    <w:r>
                      <w:rPr>
                        <w:rStyle w:val="14"/>
                      </w:rPr>
                      <w:fldChar w:fldCharType="separate"/>
                    </w:r>
                    <w:r>
                      <w:rPr>
                        <w:rStyle w:val="14"/>
                      </w:rPr>
                      <w:t>I</w:t>
                    </w:r>
                    <w:r>
                      <w:rPr>
                        <w:rStyle w:val="14"/>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F06B">
    <w:pPr>
      <w:pStyle w:val="38"/>
      <w:jc w:val="center"/>
      <w:rPr>
        <w:rStyle w:val="14"/>
      </w:rPr>
    </w:pPr>
    <w:r>
      <mc:AlternateContent>
        <mc:Choice Requires="wps">
          <w:drawing>
            <wp:anchor distT="0" distB="0" distL="114300" distR="114300" simplePos="0" relativeHeight="251660288" behindDoc="0" locked="0" layoutInCell="1" allowOverlap="1">
              <wp:simplePos x="0" y="0"/>
              <wp:positionH relativeFrom="margin">
                <wp:posOffset>2809875</wp:posOffset>
              </wp:positionH>
              <wp:positionV relativeFrom="paragraph">
                <wp:posOffset>1270</wp:posOffset>
              </wp:positionV>
              <wp:extent cx="212725" cy="1828800"/>
              <wp:effectExtent l="0" t="0" r="0" b="14605"/>
              <wp:wrapNone/>
              <wp:docPr id="3" name="文本框 3"/>
              <wp:cNvGraphicFramePr/>
              <a:graphic xmlns:a="http://schemas.openxmlformats.org/drawingml/2006/main">
                <a:graphicData uri="http://schemas.microsoft.com/office/word/2010/wordprocessingShape">
                  <wps:wsp>
                    <wps:cNvSpPr txBox="1"/>
                    <wps:spPr>
                      <a:xfrm>
                        <a:off x="0" y="0"/>
                        <a:ext cx="212651"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9AB17C">
                          <w:pPr>
                            <w:pStyle w:val="38"/>
                            <w:jc w:val="cente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p w14:paraId="5F66AD0F"/>
                        <w:p w14:paraId="181B610A"/>
                        <w:p w14:paraId="72B2E87A"/>
                        <w:p w14:paraId="2AE5F8DE"/>
                        <w:p w14:paraId="58987D7B"/>
                        <w:p w14:paraId="4D839C36"/>
                        <w:p w14:paraId="356AE2F8"/>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21.25pt;margin-top:0.1pt;height:144pt;width:16.75pt;mso-position-horizontal-relative:margin;z-index:251660288;mso-width-relative:page;mso-height-relative:page;" filled="f" stroked="f" coordsize="21600,21600" o:gfxdata="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4QXJX1wAAAAgBAAAPAAAAAAAAAAEAIAAAACIAAABkcnMvZG93bnJldi54bWxQ&#10;SwECFAAUAAAACACHTuJA7+45AjECAABWBAAADgAAAAAAAAABACAAAAAmAQAAZHJzL2Uyb0RvYy54&#10;bWxQSwUGAAAAAAYABgBZAQAAyQUAAAAA&#10;">
              <v:fill on="f" focussize="0,0"/>
              <v:stroke on="f" weight="0.5pt"/>
              <v:imagedata o:title=""/>
              <o:lock v:ext="edit" aspectratio="f"/>
              <v:textbox inset="0mm,0mm,0mm,0mm" style="mso-fit-shape-to-text:t;">
                <w:txbxContent>
                  <w:p w14:paraId="159AB17C">
                    <w:pPr>
                      <w:pStyle w:val="38"/>
                      <w:jc w:val="cente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p w14:paraId="5F66AD0F"/>
                  <w:p w14:paraId="181B610A"/>
                  <w:p w14:paraId="72B2E87A"/>
                  <w:p w14:paraId="2AE5F8DE"/>
                  <w:p w14:paraId="58987D7B"/>
                  <w:p w14:paraId="4D839C36"/>
                  <w:p w14:paraId="356AE2F8"/>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510BB">
    <w:pPr>
      <w:pStyle w:val="36"/>
    </w:pPr>
    <w:r>
      <w:t xml:space="preserve">NY/T </w:t>
    </w:r>
    <w:r>
      <w:rPr>
        <w:rFonts w:hint="eastAsia"/>
      </w:rPr>
      <w:t>1564</w:t>
    </w:r>
    <w:r>
      <w:t>—</w:t>
    </w:r>
    <w:r>
      <w:rPr>
        <w:rFonts w:hint="eastAsia"/>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3B329">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C62F">
    <w:pPr>
      <w:pStyle w:val="37"/>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D31D7">
    <w:pPr>
      <w:pStyle w:val="32"/>
      <w:snapToGrid w:val="0"/>
      <w:spacing w:before="120" w:beforeLines="50"/>
      <w:ind w:left="1277"/>
      <w:rPr>
        <w:rFonts w:ascii="黑体" w:hAnsi="黑体" w:eastAsia="黑体"/>
        <w:sz w:val="21"/>
      </w:rPr>
    </w:pPr>
    <w:r>
      <w:rPr>
        <w:rFonts w:ascii="黑体" w:hAnsi="黑体" w:eastAsia="黑体"/>
        <w:sz w:val="21"/>
      </w:rPr>
      <w:t xml:space="preserve">T/CMATB </w:t>
    </w:r>
    <w:r>
      <w:rPr>
        <w:rFonts w:hint="eastAsia" w:ascii="黑体" w:hAnsi="黑体" w:eastAsia="黑体"/>
        <w:sz w:val="21"/>
      </w:rPr>
      <w:t>XXXX</w:t>
    </w:r>
    <w:r>
      <w:rPr>
        <w:rFonts w:ascii="黑体" w:hAnsi="黑体" w:eastAsia="黑体"/>
        <w:sz w:val="21"/>
      </w:rPr>
      <w:t>—</w:t>
    </w:r>
    <w:r>
      <w:rPr>
        <w:rFonts w:hint="eastAsia" w:ascii="黑体" w:hAnsi="黑体" w:eastAsia="黑体"/>
        <w:sz w:val="21"/>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D3D2DD"/>
    <w:multiLevelType w:val="multilevel"/>
    <w:tmpl w:val="F6D3D2DD"/>
    <w:lvl w:ilvl="0" w:tentative="0">
      <w:start w:val="1"/>
      <w:numFmt w:val="decimal"/>
      <w:lvlText w:val="%1  "/>
      <w:lvlJc w:val="left"/>
      <w:pPr>
        <w:ind w:left="360" w:hanging="360"/>
      </w:pPr>
      <w:rPr>
        <w:rFonts w:hint="default" w:ascii="黑体" w:hAnsi="黑体" w:eastAsia="黑体"/>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1B6FFC"/>
    <w:multiLevelType w:val="singleLevel"/>
    <w:tmpl w:val="331B6FFC"/>
    <w:lvl w:ilvl="0" w:tentative="0">
      <w:start w:val="1"/>
      <w:numFmt w:val="decimal"/>
      <w:suff w:val="space"/>
      <w:lvlText w:val="[%1]"/>
      <w:lvlJc w:val="left"/>
    </w:lvl>
  </w:abstractNum>
  <w:abstractNum w:abstractNumId="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27"/>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yZjhlOTNmMGVjZTM1NjEyOGFmNGVmOTdiM2MyZjQifQ=="/>
  </w:docVars>
  <w:rsids>
    <w:rsidRoot w:val="715F158B"/>
    <w:rsid w:val="00005402"/>
    <w:rsid w:val="000125AE"/>
    <w:rsid w:val="00032262"/>
    <w:rsid w:val="00042C86"/>
    <w:rsid w:val="0004410C"/>
    <w:rsid w:val="00054482"/>
    <w:rsid w:val="0005697D"/>
    <w:rsid w:val="000668DB"/>
    <w:rsid w:val="00084025"/>
    <w:rsid w:val="000A60BE"/>
    <w:rsid w:val="000A69C5"/>
    <w:rsid w:val="000B008B"/>
    <w:rsid w:val="000C0016"/>
    <w:rsid w:val="000C7868"/>
    <w:rsid w:val="000D0B6A"/>
    <w:rsid w:val="000D2BA9"/>
    <w:rsid w:val="000E2C4C"/>
    <w:rsid w:val="000E356E"/>
    <w:rsid w:val="000F2222"/>
    <w:rsid w:val="00101AE9"/>
    <w:rsid w:val="00123AB0"/>
    <w:rsid w:val="00145DB6"/>
    <w:rsid w:val="00164482"/>
    <w:rsid w:val="00194A40"/>
    <w:rsid w:val="001C1C61"/>
    <w:rsid w:val="001C3D70"/>
    <w:rsid w:val="0020311C"/>
    <w:rsid w:val="00235DFD"/>
    <w:rsid w:val="002551D0"/>
    <w:rsid w:val="002551F2"/>
    <w:rsid w:val="0026376F"/>
    <w:rsid w:val="00275B71"/>
    <w:rsid w:val="00276CE4"/>
    <w:rsid w:val="00286FF0"/>
    <w:rsid w:val="00287F92"/>
    <w:rsid w:val="00294A5F"/>
    <w:rsid w:val="00294CC9"/>
    <w:rsid w:val="002951FC"/>
    <w:rsid w:val="002B12D4"/>
    <w:rsid w:val="002E3142"/>
    <w:rsid w:val="002E4FD1"/>
    <w:rsid w:val="00322AC3"/>
    <w:rsid w:val="00324FEF"/>
    <w:rsid w:val="00327D44"/>
    <w:rsid w:val="003526FA"/>
    <w:rsid w:val="003557F3"/>
    <w:rsid w:val="00356252"/>
    <w:rsid w:val="00357CA7"/>
    <w:rsid w:val="003701BF"/>
    <w:rsid w:val="00387D63"/>
    <w:rsid w:val="00391DF2"/>
    <w:rsid w:val="003B098D"/>
    <w:rsid w:val="003D4140"/>
    <w:rsid w:val="003E5351"/>
    <w:rsid w:val="00415BF1"/>
    <w:rsid w:val="00422527"/>
    <w:rsid w:val="00446B4F"/>
    <w:rsid w:val="00446C28"/>
    <w:rsid w:val="004604D3"/>
    <w:rsid w:val="0046081E"/>
    <w:rsid w:val="004733F8"/>
    <w:rsid w:val="0047553F"/>
    <w:rsid w:val="004A3DE8"/>
    <w:rsid w:val="004E2CF5"/>
    <w:rsid w:val="004F6296"/>
    <w:rsid w:val="004F7065"/>
    <w:rsid w:val="004F7E82"/>
    <w:rsid w:val="00504C72"/>
    <w:rsid w:val="005058A7"/>
    <w:rsid w:val="00505AE0"/>
    <w:rsid w:val="00512F67"/>
    <w:rsid w:val="00530954"/>
    <w:rsid w:val="00533D91"/>
    <w:rsid w:val="005422AA"/>
    <w:rsid w:val="00552FEC"/>
    <w:rsid w:val="0055528B"/>
    <w:rsid w:val="0055775F"/>
    <w:rsid w:val="0056528E"/>
    <w:rsid w:val="00570266"/>
    <w:rsid w:val="00577497"/>
    <w:rsid w:val="00583F76"/>
    <w:rsid w:val="00585F93"/>
    <w:rsid w:val="005A02DF"/>
    <w:rsid w:val="005A1FD1"/>
    <w:rsid w:val="005B5432"/>
    <w:rsid w:val="005B5E49"/>
    <w:rsid w:val="005D5B60"/>
    <w:rsid w:val="005F1EF8"/>
    <w:rsid w:val="005F30D2"/>
    <w:rsid w:val="00603079"/>
    <w:rsid w:val="0061071E"/>
    <w:rsid w:val="0061523A"/>
    <w:rsid w:val="006428B8"/>
    <w:rsid w:val="0064558A"/>
    <w:rsid w:val="006556E8"/>
    <w:rsid w:val="00663EDE"/>
    <w:rsid w:val="006704AD"/>
    <w:rsid w:val="00671FB5"/>
    <w:rsid w:val="0068490A"/>
    <w:rsid w:val="0069069E"/>
    <w:rsid w:val="006A1192"/>
    <w:rsid w:val="006C1EB6"/>
    <w:rsid w:val="006C20A4"/>
    <w:rsid w:val="006C3453"/>
    <w:rsid w:val="006D3A7C"/>
    <w:rsid w:val="006D4572"/>
    <w:rsid w:val="006D6772"/>
    <w:rsid w:val="00715B7C"/>
    <w:rsid w:val="00725931"/>
    <w:rsid w:val="007265AB"/>
    <w:rsid w:val="00727FFE"/>
    <w:rsid w:val="007541DC"/>
    <w:rsid w:val="00771FD2"/>
    <w:rsid w:val="0077474F"/>
    <w:rsid w:val="007749B8"/>
    <w:rsid w:val="00782F3D"/>
    <w:rsid w:val="007958E0"/>
    <w:rsid w:val="00801551"/>
    <w:rsid w:val="0081187E"/>
    <w:rsid w:val="0081266B"/>
    <w:rsid w:val="00814795"/>
    <w:rsid w:val="00822B8F"/>
    <w:rsid w:val="0085719C"/>
    <w:rsid w:val="00861638"/>
    <w:rsid w:val="00861D40"/>
    <w:rsid w:val="0087591A"/>
    <w:rsid w:val="008A792C"/>
    <w:rsid w:val="008B59F0"/>
    <w:rsid w:val="008C30EB"/>
    <w:rsid w:val="008C6687"/>
    <w:rsid w:val="008F08E4"/>
    <w:rsid w:val="00932BD8"/>
    <w:rsid w:val="00967F5F"/>
    <w:rsid w:val="009701FD"/>
    <w:rsid w:val="009758A1"/>
    <w:rsid w:val="009A2B5A"/>
    <w:rsid w:val="009A6E46"/>
    <w:rsid w:val="009E2740"/>
    <w:rsid w:val="009E6AE2"/>
    <w:rsid w:val="00A067CF"/>
    <w:rsid w:val="00A158B8"/>
    <w:rsid w:val="00A245D5"/>
    <w:rsid w:val="00A37E07"/>
    <w:rsid w:val="00A403AB"/>
    <w:rsid w:val="00A44105"/>
    <w:rsid w:val="00A46E7C"/>
    <w:rsid w:val="00A52255"/>
    <w:rsid w:val="00A6044D"/>
    <w:rsid w:val="00A62E59"/>
    <w:rsid w:val="00A76F87"/>
    <w:rsid w:val="00A8591B"/>
    <w:rsid w:val="00AF2769"/>
    <w:rsid w:val="00AF5D6C"/>
    <w:rsid w:val="00B04DE7"/>
    <w:rsid w:val="00B07DD3"/>
    <w:rsid w:val="00B12B99"/>
    <w:rsid w:val="00B13F8B"/>
    <w:rsid w:val="00B14F37"/>
    <w:rsid w:val="00B23164"/>
    <w:rsid w:val="00B2491F"/>
    <w:rsid w:val="00B273DC"/>
    <w:rsid w:val="00B6617C"/>
    <w:rsid w:val="00B84C6C"/>
    <w:rsid w:val="00BA1A55"/>
    <w:rsid w:val="00BB4CAD"/>
    <w:rsid w:val="00BC3A1F"/>
    <w:rsid w:val="00BC4187"/>
    <w:rsid w:val="00BD65FB"/>
    <w:rsid w:val="00BF0856"/>
    <w:rsid w:val="00BF3533"/>
    <w:rsid w:val="00C208E3"/>
    <w:rsid w:val="00C20D84"/>
    <w:rsid w:val="00C266D3"/>
    <w:rsid w:val="00C66BDC"/>
    <w:rsid w:val="00C66D1F"/>
    <w:rsid w:val="00C718A8"/>
    <w:rsid w:val="00C863DC"/>
    <w:rsid w:val="00CB600D"/>
    <w:rsid w:val="00CB78F3"/>
    <w:rsid w:val="00CC725D"/>
    <w:rsid w:val="00CD395E"/>
    <w:rsid w:val="00D01290"/>
    <w:rsid w:val="00D179F0"/>
    <w:rsid w:val="00D20535"/>
    <w:rsid w:val="00D3059A"/>
    <w:rsid w:val="00D3470D"/>
    <w:rsid w:val="00D44DDD"/>
    <w:rsid w:val="00D46AAF"/>
    <w:rsid w:val="00D5648B"/>
    <w:rsid w:val="00D576EF"/>
    <w:rsid w:val="00D70C66"/>
    <w:rsid w:val="00D76234"/>
    <w:rsid w:val="00DA1012"/>
    <w:rsid w:val="00DB3444"/>
    <w:rsid w:val="00DC08C9"/>
    <w:rsid w:val="00DD3BD9"/>
    <w:rsid w:val="00DF715C"/>
    <w:rsid w:val="00E01486"/>
    <w:rsid w:val="00E07C7C"/>
    <w:rsid w:val="00E1656D"/>
    <w:rsid w:val="00E31CB0"/>
    <w:rsid w:val="00E44E0D"/>
    <w:rsid w:val="00E66855"/>
    <w:rsid w:val="00E66F1D"/>
    <w:rsid w:val="00E67B1D"/>
    <w:rsid w:val="00E82832"/>
    <w:rsid w:val="00EA37B5"/>
    <w:rsid w:val="00EC092E"/>
    <w:rsid w:val="00ED0330"/>
    <w:rsid w:val="00EF1F55"/>
    <w:rsid w:val="00EF6B45"/>
    <w:rsid w:val="00F06908"/>
    <w:rsid w:val="00F46B72"/>
    <w:rsid w:val="00F84C5E"/>
    <w:rsid w:val="00F91384"/>
    <w:rsid w:val="00F95BE5"/>
    <w:rsid w:val="00F97EF1"/>
    <w:rsid w:val="00FA0ABB"/>
    <w:rsid w:val="00FB6C35"/>
    <w:rsid w:val="00FB6E37"/>
    <w:rsid w:val="00FC0E5D"/>
    <w:rsid w:val="00FE4F20"/>
    <w:rsid w:val="00FE531A"/>
    <w:rsid w:val="010333FC"/>
    <w:rsid w:val="0179546C"/>
    <w:rsid w:val="01A73D87"/>
    <w:rsid w:val="01C26E13"/>
    <w:rsid w:val="01CC7C92"/>
    <w:rsid w:val="01F30184"/>
    <w:rsid w:val="0284056C"/>
    <w:rsid w:val="02AD7AC3"/>
    <w:rsid w:val="02DF57A3"/>
    <w:rsid w:val="031511C4"/>
    <w:rsid w:val="0357490B"/>
    <w:rsid w:val="03C50E3C"/>
    <w:rsid w:val="03EF1A15"/>
    <w:rsid w:val="03EF7C67"/>
    <w:rsid w:val="04185410"/>
    <w:rsid w:val="04294F27"/>
    <w:rsid w:val="0431202E"/>
    <w:rsid w:val="04612DAB"/>
    <w:rsid w:val="046248DD"/>
    <w:rsid w:val="04D8694E"/>
    <w:rsid w:val="04F23586"/>
    <w:rsid w:val="052F2A11"/>
    <w:rsid w:val="0539563E"/>
    <w:rsid w:val="055C757F"/>
    <w:rsid w:val="059B24B4"/>
    <w:rsid w:val="05F72E03"/>
    <w:rsid w:val="060A6FDB"/>
    <w:rsid w:val="067F1777"/>
    <w:rsid w:val="068648B3"/>
    <w:rsid w:val="069778EF"/>
    <w:rsid w:val="06EB0BBA"/>
    <w:rsid w:val="06F53DF8"/>
    <w:rsid w:val="06FD269B"/>
    <w:rsid w:val="070457D8"/>
    <w:rsid w:val="071E65E4"/>
    <w:rsid w:val="0748600C"/>
    <w:rsid w:val="07746E01"/>
    <w:rsid w:val="07832BA1"/>
    <w:rsid w:val="0786131B"/>
    <w:rsid w:val="07A96CD1"/>
    <w:rsid w:val="07C338E5"/>
    <w:rsid w:val="07DD49A7"/>
    <w:rsid w:val="080D690E"/>
    <w:rsid w:val="0842480A"/>
    <w:rsid w:val="0878022B"/>
    <w:rsid w:val="08B1198F"/>
    <w:rsid w:val="08BB1CB7"/>
    <w:rsid w:val="08BC62FE"/>
    <w:rsid w:val="08BE0B98"/>
    <w:rsid w:val="08F33D56"/>
    <w:rsid w:val="08FB2C0B"/>
    <w:rsid w:val="090C4E18"/>
    <w:rsid w:val="09622C8A"/>
    <w:rsid w:val="09882DBF"/>
    <w:rsid w:val="099077F7"/>
    <w:rsid w:val="09E42E0C"/>
    <w:rsid w:val="0A03446D"/>
    <w:rsid w:val="0A33204C"/>
    <w:rsid w:val="0A432ABB"/>
    <w:rsid w:val="0A482F82"/>
    <w:rsid w:val="0A6A21BF"/>
    <w:rsid w:val="0A717628"/>
    <w:rsid w:val="0A801619"/>
    <w:rsid w:val="0AA35401"/>
    <w:rsid w:val="0AD007F3"/>
    <w:rsid w:val="0AE222D4"/>
    <w:rsid w:val="0B04224A"/>
    <w:rsid w:val="0B0D6DE1"/>
    <w:rsid w:val="0B100BEF"/>
    <w:rsid w:val="0B1B1342"/>
    <w:rsid w:val="0B2B5A29"/>
    <w:rsid w:val="0B301291"/>
    <w:rsid w:val="0B871679"/>
    <w:rsid w:val="0BA64D8F"/>
    <w:rsid w:val="0BB53545"/>
    <w:rsid w:val="0BBA4FFF"/>
    <w:rsid w:val="0BC327AE"/>
    <w:rsid w:val="0BC33EB3"/>
    <w:rsid w:val="0BDE2A9B"/>
    <w:rsid w:val="0BF00A21"/>
    <w:rsid w:val="0C3009DF"/>
    <w:rsid w:val="0C64330E"/>
    <w:rsid w:val="0C825B1D"/>
    <w:rsid w:val="0C963376"/>
    <w:rsid w:val="0CA84E57"/>
    <w:rsid w:val="0CC021A1"/>
    <w:rsid w:val="0CE2480D"/>
    <w:rsid w:val="0CE95B9C"/>
    <w:rsid w:val="0CEC568C"/>
    <w:rsid w:val="0CF935AF"/>
    <w:rsid w:val="0D29243C"/>
    <w:rsid w:val="0D525723"/>
    <w:rsid w:val="0D735465"/>
    <w:rsid w:val="0D983C14"/>
    <w:rsid w:val="0D9A07AF"/>
    <w:rsid w:val="0DE03C6A"/>
    <w:rsid w:val="0E1C2556"/>
    <w:rsid w:val="0E8B7D5E"/>
    <w:rsid w:val="0E8D07A9"/>
    <w:rsid w:val="0E9E41EB"/>
    <w:rsid w:val="0E9E4764"/>
    <w:rsid w:val="0EC5310D"/>
    <w:rsid w:val="0F1467D4"/>
    <w:rsid w:val="0F1F58A5"/>
    <w:rsid w:val="0F40581B"/>
    <w:rsid w:val="0F66397C"/>
    <w:rsid w:val="0F711E78"/>
    <w:rsid w:val="0F955B67"/>
    <w:rsid w:val="0FA57C09"/>
    <w:rsid w:val="0FDB0233"/>
    <w:rsid w:val="102E3D1E"/>
    <w:rsid w:val="104D4694"/>
    <w:rsid w:val="10A02A15"/>
    <w:rsid w:val="10BC7123"/>
    <w:rsid w:val="10F95371"/>
    <w:rsid w:val="10FD4EE8"/>
    <w:rsid w:val="111D5318"/>
    <w:rsid w:val="1122167C"/>
    <w:rsid w:val="114710E3"/>
    <w:rsid w:val="114A0BD3"/>
    <w:rsid w:val="114E421F"/>
    <w:rsid w:val="11A55E09"/>
    <w:rsid w:val="11B524F0"/>
    <w:rsid w:val="11BC387F"/>
    <w:rsid w:val="11C866C2"/>
    <w:rsid w:val="11DB182B"/>
    <w:rsid w:val="11DC4C13"/>
    <w:rsid w:val="11E64458"/>
    <w:rsid w:val="11EC3A38"/>
    <w:rsid w:val="120708DE"/>
    <w:rsid w:val="12072620"/>
    <w:rsid w:val="124D44D7"/>
    <w:rsid w:val="12664571"/>
    <w:rsid w:val="1288236D"/>
    <w:rsid w:val="12D26850"/>
    <w:rsid w:val="13081728"/>
    <w:rsid w:val="13086650"/>
    <w:rsid w:val="134358DA"/>
    <w:rsid w:val="134B1FE3"/>
    <w:rsid w:val="138228A6"/>
    <w:rsid w:val="13F05A62"/>
    <w:rsid w:val="142474B9"/>
    <w:rsid w:val="142D2812"/>
    <w:rsid w:val="142E0338"/>
    <w:rsid w:val="14402F93"/>
    <w:rsid w:val="146B50E8"/>
    <w:rsid w:val="14A34882"/>
    <w:rsid w:val="14D233B9"/>
    <w:rsid w:val="14E153AA"/>
    <w:rsid w:val="15023C9F"/>
    <w:rsid w:val="153100E0"/>
    <w:rsid w:val="15363948"/>
    <w:rsid w:val="15542020"/>
    <w:rsid w:val="157D3325"/>
    <w:rsid w:val="15D06F8B"/>
    <w:rsid w:val="160E21CF"/>
    <w:rsid w:val="161517B0"/>
    <w:rsid w:val="16421E79"/>
    <w:rsid w:val="16481B85"/>
    <w:rsid w:val="165C73DE"/>
    <w:rsid w:val="165D6CB3"/>
    <w:rsid w:val="166827DF"/>
    <w:rsid w:val="16D36F75"/>
    <w:rsid w:val="16E6314C"/>
    <w:rsid w:val="16E87B93"/>
    <w:rsid w:val="1706633F"/>
    <w:rsid w:val="171001C9"/>
    <w:rsid w:val="17410382"/>
    <w:rsid w:val="175C65E8"/>
    <w:rsid w:val="17680005"/>
    <w:rsid w:val="177C00C0"/>
    <w:rsid w:val="178679F1"/>
    <w:rsid w:val="17944956"/>
    <w:rsid w:val="179A3525"/>
    <w:rsid w:val="17A9015C"/>
    <w:rsid w:val="17B15508"/>
    <w:rsid w:val="18300B23"/>
    <w:rsid w:val="1831400C"/>
    <w:rsid w:val="18341D85"/>
    <w:rsid w:val="18956596"/>
    <w:rsid w:val="18DA1743"/>
    <w:rsid w:val="1934019F"/>
    <w:rsid w:val="196B16E7"/>
    <w:rsid w:val="19792055"/>
    <w:rsid w:val="19940109"/>
    <w:rsid w:val="1A0E6C42"/>
    <w:rsid w:val="1A3146DE"/>
    <w:rsid w:val="1A4A5089"/>
    <w:rsid w:val="1A761766"/>
    <w:rsid w:val="1AAE3F81"/>
    <w:rsid w:val="1AC217DA"/>
    <w:rsid w:val="1ACE4623"/>
    <w:rsid w:val="1AD67034"/>
    <w:rsid w:val="1B163D36"/>
    <w:rsid w:val="1B262605"/>
    <w:rsid w:val="1B3F1135"/>
    <w:rsid w:val="1B414DF5"/>
    <w:rsid w:val="1B50328A"/>
    <w:rsid w:val="1B574618"/>
    <w:rsid w:val="1B7C407F"/>
    <w:rsid w:val="1B970EB9"/>
    <w:rsid w:val="1BAF1D5E"/>
    <w:rsid w:val="1BEF2AE3"/>
    <w:rsid w:val="1C085913"/>
    <w:rsid w:val="1C12186A"/>
    <w:rsid w:val="1C24274C"/>
    <w:rsid w:val="1C33298F"/>
    <w:rsid w:val="1C386676"/>
    <w:rsid w:val="1C694603"/>
    <w:rsid w:val="1C8A2B02"/>
    <w:rsid w:val="1CA728DC"/>
    <w:rsid w:val="1CFD4D4B"/>
    <w:rsid w:val="1D255CFB"/>
    <w:rsid w:val="1D464944"/>
    <w:rsid w:val="1D6D1ED1"/>
    <w:rsid w:val="1D7414B2"/>
    <w:rsid w:val="1D7E27C4"/>
    <w:rsid w:val="1D9A07EC"/>
    <w:rsid w:val="1DA82F09"/>
    <w:rsid w:val="1E0D7210"/>
    <w:rsid w:val="1E311151"/>
    <w:rsid w:val="1E682698"/>
    <w:rsid w:val="1E9516DF"/>
    <w:rsid w:val="1EA74AFA"/>
    <w:rsid w:val="1EAF69BE"/>
    <w:rsid w:val="1EB3600A"/>
    <w:rsid w:val="1EE44415"/>
    <w:rsid w:val="1F3709E9"/>
    <w:rsid w:val="1F3802BD"/>
    <w:rsid w:val="1F446D63"/>
    <w:rsid w:val="1F482287"/>
    <w:rsid w:val="1F5F584A"/>
    <w:rsid w:val="1F6E7612"/>
    <w:rsid w:val="1F9951FF"/>
    <w:rsid w:val="1F996FAD"/>
    <w:rsid w:val="1FCB2EDF"/>
    <w:rsid w:val="1FD46237"/>
    <w:rsid w:val="1FD53D5E"/>
    <w:rsid w:val="1FF81FA6"/>
    <w:rsid w:val="200C6AA4"/>
    <w:rsid w:val="2068689C"/>
    <w:rsid w:val="208E57EA"/>
    <w:rsid w:val="209816EE"/>
    <w:rsid w:val="20AA343C"/>
    <w:rsid w:val="21093B01"/>
    <w:rsid w:val="21113386"/>
    <w:rsid w:val="214E201A"/>
    <w:rsid w:val="21564CC5"/>
    <w:rsid w:val="21571507"/>
    <w:rsid w:val="21BE2E1C"/>
    <w:rsid w:val="21BF4CC5"/>
    <w:rsid w:val="21CF315A"/>
    <w:rsid w:val="21D61DDC"/>
    <w:rsid w:val="21D73DBD"/>
    <w:rsid w:val="21F52D2D"/>
    <w:rsid w:val="22133B0F"/>
    <w:rsid w:val="221C5C74"/>
    <w:rsid w:val="226D4721"/>
    <w:rsid w:val="227B5090"/>
    <w:rsid w:val="227C7B23"/>
    <w:rsid w:val="229C1A92"/>
    <w:rsid w:val="22AC68D2"/>
    <w:rsid w:val="22D64075"/>
    <w:rsid w:val="22F4274D"/>
    <w:rsid w:val="23111551"/>
    <w:rsid w:val="23114793"/>
    <w:rsid w:val="232C1EE7"/>
    <w:rsid w:val="232E186A"/>
    <w:rsid w:val="235002CB"/>
    <w:rsid w:val="237F64BA"/>
    <w:rsid w:val="23867C9E"/>
    <w:rsid w:val="238E0DF3"/>
    <w:rsid w:val="239F4DAE"/>
    <w:rsid w:val="24143E1B"/>
    <w:rsid w:val="241F3BAD"/>
    <w:rsid w:val="2478071C"/>
    <w:rsid w:val="247E49C4"/>
    <w:rsid w:val="248024EA"/>
    <w:rsid w:val="24D35DFB"/>
    <w:rsid w:val="24EF2718"/>
    <w:rsid w:val="24F75F2B"/>
    <w:rsid w:val="25113A8A"/>
    <w:rsid w:val="25145328"/>
    <w:rsid w:val="253F4153"/>
    <w:rsid w:val="25583889"/>
    <w:rsid w:val="25E41FE9"/>
    <w:rsid w:val="25ED0053"/>
    <w:rsid w:val="262C0801"/>
    <w:rsid w:val="264E2C81"/>
    <w:rsid w:val="266B541C"/>
    <w:rsid w:val="26753572"/>
    <w:rsid w:val="26C51C58"/>
    <w:rsid w:val="26E8136C"/>
    <w:rsid w:val="26F31699"/>
    <w:rsid w:val="27082C6B"/>
    <w:rsid w:val="273D0B66"/>
    <w:rsid w:val="27545EB0"/>
    <w:rsid w:val="275525FD"/>
    <w:rsid w:val="276D3849"/>
    <w:rsid w:val="278F537C"/>
    <w:rsid w:val="27B506FD"/>
    <w:rsid w:val="280D678A"/>
    <w:rsid w:val="286F4AFA"/>
    <w:rsid w:val="28A6273B"/>
    <w:rsid w:val="28B07116"/>
    <w:rsid w:val="28BF3904"/>
    <w:rsid w:val="29392484"/>
    <w:rsid w:val="29661255"/>
    <w:rsid w:val="296F0D7F"/>
    <w:rsid w:val="29AF1F09"/>
    <w:rsid w:val="29E74DB9"/>
    <w:rsid w:val="2A042ABA"/>
    <w:rsid w:val="2A3B4116"/>
    <w:rsid w:val="2A842608"/>
    <w:rsid w:val="2AAB4039"/>
    <w:rsid w:val="2AD0584D"/>
    <w:rsid w:val="2AF7636C"/>
    <w:rsid w:val="2B2230DE"/>
    <w:rsid w:val="2BA77508"/>
    <w:rsid w:val="2BDD46C6"/>
    <w:rsid w:val="2C645E65"/>
    <w:rsid w:val="2C6E5EC2"/>
    <w:rsid w:val="2C87617D"/>
    <w:rsid w:val="2CB847EB"/>
    <w:rsid w:val="2CCB09C2"/>
    <w:rsid w:val="2CE77338"/>
    <w:rsid w:val="2CF00429"/>
    <w:rsid w:val="2D31101F"/>
    <w:rsid w:val="2D8E211C"/>
    <w:rsid w:val="2D940755"/>
    <w:rsid w:val="2D9675D6"/>
    <w:rsid w:val="2E262492"/>
    <w:rsid w:val="2E2B600A"/>
    <w:rsid w:val="2E514EF7"/>
    <w:rsid w:val="2E62218D"/>
    <w:rsid w:val="2E8B21B7"/>
    <w:rsid w:val="2EB07E70"/>
    <w:rsid w:val="2F1531D0"/>
    <w:rsid w:val="2F1F6DA3"/>
    <w:rsid w:val="2F311268"/>
    <w:rsid w:val="2F6824F8"/>
    <w:rsid w:val="2F9B467C"/>
    <w:rsid w:val="2FBE7946"/>
    <w:rsid w:val="2FC32F68"/>
    <w:rsid w:val="2FD44032"/>
    <w:rsid w:val="2FE34275"/>
    <w:rsid w:val="30380106"/>
    <w:rsid w:val="306058C5"/>
    <w:rsid w:val="30AA0CCD"/>
    <w:rsid w:val="30AE1C6C"/>
    <w:rsid w:val="30B005FB"/>
    <w:rsid w:val="31070819"/>
    <w:rsid w:val="317C04DD"/>
    <w:rsid w:val="31A71603"/>
    <w:rsid w:val="31F91B2E"/>
    <w:rsid w:val="320F1351"/>
    <w:rsid w:val="321C7AAD"/>
    <w:rsid w:val="3220530C"/>
    <w:rsid w:val="324E1E79"/>
    <w:rsid w:val="32EC3440"/>
    <w:rsid w:val="32F3060F"/>
    <w:rsid w:val="32FF3876"/>
    <w:rsid w:val="33305A23"/>
    <w:rsid w:val="334A6CCC"/>
    <w:rsid w:val="33F56325"/>
    <w:rsid w:val="33F61444"/>
    <w:rsid w:val="341862D2"/>
    <w:rsid w:val="345F12CF"/>
    <w:rsid w:val="346040E6"/>
    <w:rsid w:val="347B0F20"/>
    <w:rsid w:val="34AE30A3"/>
    <w:rsid w:val="34C44675"/>
    <w:rsid w:val="34EE73B4"/>
    <w:rsid w:val="34F767F8"/>
    <w:rsid w:val="34FF745B"/>
    <w:rsid w:val="35154ED0"/>
    <w:rsid w:val="35984358"/>
    <w:rsid w:val="35C45A8C"/>
    <w:rsid w:val="35CF1523"/>
    <w:rsid w:val="35DE286E"/>
    <w:rsid w:val="361A2073"/>
    <w:rsid w:val="361E2E89"/>
    <w:rsid w:val="3652180C"/>
    <w:rsid w:val="366A3757"/>
    <w:rsid w:val="368F2A60"/>
    <w:rsid w:val="369C3089"/>
    <w:rsid w:val="36AA1648"/>
    <w:rsid w:val="36B65DB6"/>
    <w:rsid w:val="36B96E85"/>
    <w:rsid w:val="36E763F9"/>
    <w:rsid w:val="36EC7EB3"/>
    <w:rsid w:val="370945C1"/>
    <w:rsid w:val="373553B6"/>
    <w:rsid w:val="374D2339"/>
    <w:rsid w:val="3781684D"/>
    <w:rsid w:val="38431AED"/>
    <w:rsid w:val="384358B1"/>
    <w:rsid w:val="384B29B7"/>
    <w:rsid w:val="384B4EB5"/>
    <w:rsid w:val="38FD7510"/>
    <w:rsid w:val="392E030F"/>
    <w:rsid w:val="395A55A8"/>
    <w:rsid w:val="395C1320"/>
    <w:rsid w:val="39774380"/>
    <w:rsid w:val="39AB5E03"/>
    <w:rsid w:val="39DA0497"/>
    <w:rsid w:val="3A414072"/>
    <w:rsid w:val="3A661D2A"/>
    <w:rsid w:val="3A6B51A0"/>
    <w:rsid w:val="3A7F2761"/>
    <w:rsid w:val="3A9839D5"/>
    <w:rsid w:val="3AA50AA5"/>
    <w:rsid w:val="3AAC1E33"/>
    <w:rsid w:val="3AB64A60"/>
    <w:rsid w:val="3ACD1DA9"/>
    <w:rsid w:val="3AE27603"/>
    <w:rsid w:val="3AEA64B7"/>
    <w:rsid w:val="3B0A6C0E"/>
    <w:rsid w:val="3B312338"/>
    <w:rsid w:val="3B53405D"/>
    <w:rsid w:val="3BA7084C"/>
    <w:rsid w:val="3BD74C8E"/>
    <w:rsid w:val="3C805325"/>
    <w:rsid w:val="3C9138EA"/>
    <w:rsid w:val="3CB66F99"/>
    <w:rsid w:val="3CC03974"/>
    <w:rsid w:val="3D556267"/>
    <w:rsid w:val="3D566086"/>
    <w:rsid w:val="3D8C5F4C"/>
    <w:rsid w:val="3D956BAE"/>
    <w:rsid w:val="3DF02037"/>
    <w:rsid w:val="3E0D2BA2"/>
    <w:rsid w:val="3E111FAD"/>
    <w:rsid w:val="3E287A22"/>
    <w:rsid w:val="3E6A5CCC"/>
    <w:rsid w:val="3E8D5AD7"/>
    <w:rsid w:val="3E8F7AA2"/>
    <w:rsid w:val="3EE11CA2"/>
    <w:rsid w:val="3F0B728B"/>
    <w:rsid w:val="3F105341"/>
    <w:rsid w:val="3F3B3785"/>
    <w:rsid w:val="3F5B3E28"/>
    <w:rsid w:val="3F80388E"/>
    <w:rsid w:val="3F890995"/>
    <w:rsid w:val="3FB157F6"/>
    <w:rsid w:val="3FBC1FE2"/>
    <w:rsid w:val="3FBD063E"/>
    <w:rsid w:val="3FC74D01"/>
    <w:rsid w:val="3FF54D36"/>
    <w:rsid w:val="4014414F"/>
    <w:rsid w:val="40442B0E"/>
    <w:rsid w:val="40512B35"/>
    <w:rsid w:val="4057639D"/>
    <w:rsid w:val="405A7C3B"/>
    <w:rsid w:val="40827192"/>
    <w:rsid w:val="40920B3F"/>
    <w:rsid w:val="40B03B73"/>
    <w:rsid w:val="40BE641C"/>
    <w:rsid w:val="40BF2AA7"/>
    <w:rsid w:val="40C47A40"/>
    <w:rsid w:val="414508EB"/>
    <w:rsid w:val="416A0352"/>
    <w:rsid w:val="416F7716"/>
    <w:rsid w:val="41780CC1"/>
    <w:rsid w:val="41826D0B"/>
    <w:rsid w:val="41856F3A"/>
    <w:rsid w:val="41886A2A"/>
    <w:rsid w:val="41931657"/>
    <w:rsid w:val="41BA3087"/>
    <w:rsid w:val="41D34149"/>
    <w:rsid w:val="41D3433B"/>
    <w:rsid w:val="41D34BA9"/>
    <w:rsid w:val="41D43A1D"/>
    <w:rsid w:val="41D8350E"/>
    <w:rsid w:val="422E137F"/>
    <w:rsid w:val="42423625"/>
    <w:rsid w:val="4249440B"/>
    <w:rsid w:val="42756FAE"/>
    <w:rsid w:val="428216CB"/>
    <w:rsid w:val="42E172F0"/>
    <w:rsid w:val="430B346F"/>
    <w:rsid w:val="438518DD"/>
    <w:rsid w:val="43E66BC8"/>
    <w:rsid w:val="44103433"/>
    <w:rsid w:val="44254A04"/>
    <w:rsid w:val="446217B4"/>
    <w:rsid w:val="4469669F"/>
    <w:rsid w:val="44B94C67"/>
    <w:rsid w:val="45264590"/>
    <w:rsid w:val="45435142"/>
    <w:rsid w:val="45901B57"/>
    <w:rsid w:val="45A1630C"/>
    <w:rsid w:val="45E83F3B"/>
    <w:rsid w:val="46162F67"/>
    <w:rsid w:val="464242FA"/>
    <w:rsid w:val="4645313C"/>
    <w:rsid w:val="46AA2F9F"/>
    <w:rsid w:val="470C4453"/>
    <w:rsid w:val="47150D60"/>
    <w:rsid w:val="47170634"/>
    <w:rsid w:val="471C20EE"/>
    <w:rsid w:val="471F1BDF"/>
    <w:rsid w:val="474D629F"/>
    <w:rsid w:val="4750522E"/>
    <w:rsid w:val="4766336A"/>
    <w:rsid w:val="47D93B3C"/>
    <w:rsid w:val="47F0794B"/>
    <w:rsid w:val="47F646ED"/>
    <w:rsid w:val="48396CD0"/>
    <w:rsid w:val="48965ED0"/>
    <w:rsid w:val="48A00AFD"/>
    <w:rsid w:val="48AB5019"/>
    <w:rsid w:val="48D507A7"/>
    <w:rsid w:val="48DC0511"/>
    <w:rsid w:val="49066BB2"/>
    <w:rsid w:val="49115557"/>
    <w:rsid w:val="492B03C7"/>
    <w:rsid w:val="493376DD"/>
    <w:rsid w:val="493C6A78"/>
    <w:rsid w:val="494722AB"/>
    <w:rsid w:val="49757894"/>
    <w:rsid w:val="499B0F8E"/>
    <w:rsid w:val="49AD1724"/>
    <w:rsid w:val="49B90028"/>
    <w:rsid w:val="49F31153"/>
    <w:rsid w:val="49FB423D"/>
    <w:rsid w:val="4A054498"/>
    <w:rsid w:val="4A0D5D1E"/>
    <w:rsid w:val="4A2718EB"/>
    <w:rsid w:val="4A601C43"/>
    <w:rsid w:val="4A633B90"/>
    <w:rsid w:val="4A6F057C"/>
    <w:rsid w:val="4A851D59"/>
    <w:rsid w:val="4AA85A47"/>
    <w:rsid w:val="4AA93C99"/>
    <w:rsid w:val="4AAA17BF"/>
    <w:rsid w:val="4ADA6548"/>
    <w:rsid w:val="4AF40C8C"/>
    <w:rsid w:val="4B1355B6"/>
    <w:rsid w:val="4B2270A7"/>
    <w:rsid w:val="4B327CC6"/>
    <w:rsid w:val="4B995B21"/>
    <w:rsid w:val="4BA16A96"/>
    <w:rsid w:val="4BA37A49"/>
    <w:rsid w:val="4BBA0128"/>
    <w:rsid w:val="4BCB6653"/>
    <w:rsid w:val="4BE3142D"/>
    <w:rsid w:val="4BF3029F"/>
    <w:rsid w:val="4C207BF0"/>
    <w:rsid w:val="4C6836E0"/>
    <w:rsid w:val="4C860003"/>
    <w:rsid w:val="4CAC181F"/>
    <w:rsid w:val="4D0B0C3B"/>
    <w:rsid w:val="4D357A66"/>
    <w:rsid w:val="4D765FA3"/>
    <w:rsid w:val="4D834C75"/>
    <w:rsid w:val="4DAB7EDA"/>
    <w:rsid w:val="4DC31516"/>
    <w:rsid w:val="4DCE1C69"/>
    <w:rsid w:val="4DFA0CB0"/>
    <w:rsid w:val="4E0833CC"/>
    <w:rsid w:val="4E141D71"/>
    <w:rsid w:val="4E4A5793"/>
    <w:rsid w:val="4ECF7E2B"/>
    <w:rsid w:val="4ED60E57"/>
    <w:rsid w:val="4F050B6D"/>
    <w:rsid w:val="4F1B712F"/>
    <w:rsid w:val="4F381A8F"/>
    <w:rsid w:val="4F462317"/>
    <w:rsid w:val="4FC1669B"/>
    <w:rsid w:val="4FDA0DF6"/>
    <w:rsid w:val="4FF45606"/>
    <w:rsid w:val="4FFE0FF2"/>
    <w:rsid w:val="50002336"/>
    <w:rsid w:val="50414974"/>
    <w:rsid w:val="50552CF3"/>
    <w:rsid w:val="50666188"/>
    <w:rsid w:val="507B60D8"/>
    <w:rsid w:val="50AF6900"/>
    <w:rsid w:val="50FA09B1"/>
    <w:rsid w:val="514E559A"/>
    <w:rsid w:val="51A0391C"/>
    <w:rsid w:val="51BE213E"/>
    <w:rsid w:val="51E952C3"/>
    <w:rsid w:val="52164189"/>
    <w:rsid w:val="523601F3"/>
    <w:rsid w:val="5273519C"/>
    <w:rsid w:val="528E031D"/>
    <w:rsid w:val="52BC1972"/>
    <w:rsid w:val="52D700DE"/>
    <w:rsid w:val="52F027AF"/>
    <w:rsid w:val="530A54F1"/>
    <w:rsid w:val="530B4BE6"/>
    <w:rsid w:val="53105563"/>
    <w:rsid w:val="53234805"/>
    <w:rsid w:val="533920AE"/>
    <w:rsid w:val="53416392"/>
    <w:rsid w:val="53424C8B"/>
    <w:rsid w:val="53491786"/>
    <w:rsid w:val="53525315"/>
    <w:rsid w:val="53A25729"/>
    <w:rsid w:val="53BF0875"/>
    <w:rsid w:val="53CA68D8"/>
    <w:rsid w:val="53E752BB"/>
    <w:rsid w:val="540E72EB"/>
    <w:rsid w:val="541D4B12"/>
    <w:rsid w:val="5479708B"/>
    <w:rsid w:val="54A604EB"/>
    <w:rsid w:val="54CF69F2"/>
    <w:rsid w:val="552716EA"/>
    <w:rsid w:val="55436A98"/>
    <w:rsid w:val="55482300"/>
    <w:rsid w:val="554E3DBB"/>
    <w:rsid w:val="55715927"/>
    <w:rsid w:val="557C4CDF"/>
    <w:rsid w:val="559D089E"/>
    <w:rsid w:val="562543F0"/>
    <w:rsid w:val="562C577E"/>
    <w:rsid w:val="562D715C"/>
    <w:rsid w:val="5640122A"/>
    <w:rsid w:val="566B44F9"/>
    <w:rsid w:val="569C2F3C"/>
    <w:rsid w:val="56B51C18"/>
    <w:rsid w:val="56C62E14"/>
    <w:rsid w:val="56CF2CD9"/>
    <w:rsid w:val="56E60023"/>
    <w:rsid w:val="571A483D"/>
    <w:rsid w:val="572648C3"/>
    <w:rsid w:val="57544F8D"/>
    <w:rsid w:val="57750CCB"/>
    <w:rsid w:val="577675F9"/>
    <w:rsid w:val="57A06424"/>
    <w:rsid w:val="57D11596"/>
    <w:rsid w:val="57FB5D50"/>
    <w:rsid w:val="581F3C8C"/>
    <w:rsid w:val="582E57DE"/>
    <w:rsid w:val="585E3377"/>
    <w:rsid w:val="5866766D"/>
    <w:rsid w:val="58801DB1"/>
    <w:rsid w:val="58806D6B"/>
    <w:rsid w:val="58B34C17"/>
    <w:rsid w:val="58D5034F"/>
    <w:rsid w:val="58DA7713"/>
    <w:rsid w:val="58FA6008"/>
    <w:rsid w:val="59701E26"/>
    <w:rsid w:val="597115E6"/>
    <w:rsid w:val="59D95C1D"/>
    <w:rsid w:val="59FB5B93"/>
    <w:rsid w:val="5A0616B1"/>
    <w:rsid w:val="5A1E1882"/>
    <w:rsid w:val="5A5413E3"/>
    <w:rsid w:val="5AEC67FA"/>
    <w:rsid w:val="5AF96577"/>
    <w:rsid w:val="5B280C0A"/>
    <w:rsid w:val="5B2D6220"/>
    <w:rsid w:val="5B6854AA"/>
    <w:rsid w:val="5BC76675"/>
    <w:rsid w:val="5BDA4A94"/>
    <w:rsid w:val="5BEA2363"/>
    <w:rsid w:val="5BFA3A04"/>
    <w:rsid w:val="5C0F6B97"/>
    <w:rsid w:val="5C423F4D"/>
    <w:rsid w:val="5C8C341B"/>
    <w:rsid w:val="5CB309A7"/>
    <w:rsid w:val="5CB85FBE"/>
    <w:rsid w:val="5CCB3F43"/>
    <w:rsid w:val="5CCE758F"/>
    <w:rsid w:val="5CDC1CAC"/>
    <w:rsid w:val="5D310209"/>
    <w:rsid w:val="5D7B0085"/>
    <w:rsid w:val="5D7C1F1D"/>
    <w:rsid w:val="5E447901"/>
    <w:rsid w:val="5E523662"/>
    <w:rsid w:val="5E570CB0"/>
    <w:rsid w:val="5E5E4943"/>
    <w:rsid w:val="5E6737F7"/>
    <w:rsid w:val="5E677C9B"/>
    <w:rsid w:val="5E6C3504"/>
    <w:rsid w:val="5E993BCD"/>
    <w:rsid w:val="5ECC3A1D"/>
    <w:rsid w:val="5EE27322"/>
    <w:rsid w:val="5F063883"/>
    <w:rsid w:val="5F5E109E"/>
    <w:rsid w:val="5F750196"/>
    <w:rsid w:val="5F751C60"/>
    <w:rsid w:val="5FC77D19"/>
    <w:rsid w:val="5FDC6467"/>
    <w:rsid w:val="5FF27A39"/>
    <w:rsid w:val="5FF87658"/>
    <w:rsid w:val="603D6F06"/>
    <w:rsid w:val="6059717C"/>
    <w:rsid w:val="60912DAE"/>
    <w:rsid w:val="60D61108"/>
    <w:rsid w:val="60F8107F"/>
    <w:rsid w:val="60FB0B6F"/>
    <w:rsid w:val="613B5E44"/>
    <w:rsid w:val="613C71BD"/>
    <w:rsid w:val="6148266D"/>
    <w:rsid w:val="61616C24"/>
    <w:rsid w:val="6180119A"/>
    <w:rsid w:val="61877A7A"/>
    <w:rsid w:val="618B5012"/>
    <w:rsid w:val="61932B55"/>
    <w:rsid w:val="619F599E"/>
    <w:rsid w:val="61E0223F"/>
    <w:rsid w:val="61E57855"/>
    <w:rsid w:val="61F5665D"/>
    <w:rsid w:val="6227631A"/>
    <w:rsid w:val="62360ED6"/>
    <w:rsid w:val="626C3AD2"/>
    <w:rsid w:val="6275699B"/>
    <w:rsid w:val="62854B94"/>
    <w:rsid w:val="629F060D"/>
    <w:rsid w:val="62C332D8"/>
    <w:rsid w:val="62C751AC"/>
    <w:rsid w:val="62C87BB1"/>
    <w:rsid w:val="62E01518"/>
    <w:rsid w:val="62F51D1A"/>
    <w:rsid w:val="63161C90"/>
    <w:rsid w:val="63251ED3"/>
    <w:rsid w:val="63377DE5"/>
    <w:rsid w:val="636C7565"/>
    <w:rsid w:val="639332E1"/>
    <w:rsid w:val="64065861"/>
    <w:rsid w:val="645667E8"/>
    <w:rsid w:val="64FD5FBF"/>
    <w:rsid w:val="651638D5"/>
    <w:rsid w:val="652F0DE7"/>
    <w:rsid w:val="653025BD"/>
    <w:rsid w:val="65432E7A"/>
    <w:rsid w:val="65876E75"/>
    <w:rsid w:val="6588004A"/>
    <w:rsid w:val="658A7C58"/>
    <w:rsid w:val="65907AD8"/>
    <w:rsid w:val="65B337C6"/>
    <w:rsid w:val="65D35C16"/>
    <w:rsid w:val="66080D5A"/>
    <w:rsid w:val="660D737A"/>
    <w:rsid w:val="663D17DF"/>
    <w:rsid w:val="664408C2"/>
    <w:rsid w:val="66740F5C"/>
    <w:rsid w:val="66820005"/>
    <w:rsid w:val="669435F8"/>
    <w:rsid w:val="669B6901"/>
    <w:rsid w:val="66AD46B9"/>
    <w:rsid w:val="66D8063C"/>
    <w:rsid w:val="671169F6"/>
    <w:rsid w:val="67185FD7"/>
    <w:rsid w:val="672D1662"/>
    <w:rsid w:val="673715E3"/>
    <w:rsid w:val="67386679"/>
    <w:rsid w:val="675C250A"/>
    <w:rsid w:val="679413D5"/>
    <w:rsid w:val="67BD6B7E"/>
    <w:rsid w:val="67DA1624"/>
    <w:rsid w:val="67ED7463"/>
    <w:rsid w:val="6809591F"/>
    <w:rsid w:val="68264723"/>
    <w:rsid w:val="68420E31"/>
    <w:rsid w:val="686B65DA"/>
    <w:rsid w:val="686F5A3D"/>
    <w:rsid w:val="68757459"/>
    <w:rsid w:val="687C07E7"/>
    <w:rsid w:val="68880F3A"/>
    <w:rsid w:val="68FB3083"/>
    <w:rsid w:val="691B0000"/>
    <w:rsid w:val="69342E70"/>
    <w:rsid w:val="696A24C6"/>
    <w:rsid w:val="69735746"/>
    <w:rsid w:val="697414BE"/>
    <w:rsid w:val="699975B2"/>
    <w:rsid w:val="69AA3132"/>
    <w:rsid w:val="69C547A6"/>
    <w:rsid w:val="69FA19C4"/>
    <w:rsid w:val="69FF347E"/>
    <w:rsid w:val="6A040A94"/>
    <w:rsid w:val="6A1011E7"/>
    <w:rsid w:val="6A121CC6"/>
    <w:rsid w:val="6A2E78BF"/>
    <w:rsid w:val="6A3D3FA6"/>
    <w:rsid w:val="6A5A0B5B"/>
    <w:rsid w:val="6A8B2F63"/>
    <w:rsid w:val="6AB73D58"/>
    <w:rsid w:val="6AB9362D"/>
    <w:rsid w:val="6AE83F12"/>
    <w:rsid w:val="6B166709"/>
    <w:rsid w:val="6B581098"/>
    <w:rsid w:val="6B6A0DCB"/>
    <w:rsid w:val="6B6B0204"/>
    <w:rsid w:val="6B6F3193"/>
    <w:rsid w:val="6B7C24AE"/>
    <w:rsid w:val="6B7D0AFE"/>
    <w:rsid w:val="6BB838E4"/>
    <w:rsid w:val="6BCA186A"/>
    <w:rsid w:val="6BDB3A77"/>
    <w:rsid w:val="6BF863D7"/>
    <w:rsid w:val="6C0E5BFA"/>
    <w:rsid w:val="6C603B35"/>
    <w:rsid w:val="6C702411"/>
    <w:rsid w:val="6C8D40DA"/>
    <w:rsid w:val="6CB260C6"/>
    <w:rsid w:val="6D050DAB"/>
    <w:rsid w:val="6D4A2C62"/>
    <w:rsid w:val="6D6655C2"/>
    <w:rsid w:val="6D8D2B4F"/>
    <w:rsid w:val="6D95320C"/>
    <w:rsid w:val="6DCD73EF"/>
    <w:rsid w:val="6DD53C0F"/>
    <w:rsid w:val="6DD6296F"/>
    <w:rsid w:val="6DDD1884"/>
    <w:rsid w:val="6DDD3AD6"/>
    <w:rsid w:val="6E1F40EF"/>
    <w:rsid w:val="6E313E22"/>
    <w:rsid w:val="6E3B3E98"/>
    <w:rsid w:val="6E6715F2"/>
    <w:rsid w:val="6E893726"/>
    <w:rsid w:val="6E8C1058"/>
    <w:rsid w:val="6E930639"/>
    <w:rsid w:val="6EA93F33"/>
    <w:rsid w:val="6EAE7221"/>
    <w:rsid w:val="6EB67795"/>
    <w:rsid w:val="6ED00F45"/>
    <w:rsid w:val="6EE40E94"/>
    <w:rsid w:val="6F08090C"/>
    <w:rsid w:val="6F2179F2"/>
    <w:rsid w:val="6F255735"/>
    <w:rsid w:val="6F327E52"/>
    <w:rsid w:val="6F4D4C8B"/>
    <w:rsid w:val="6F8561D3"/>
    <w:rsid w:val="6FB10D76"/>
    <w:rsid w:val="6FCF5329"/>
    <w:rsid w:val="6FD862CD"/>
    <w:rsid w:val="6FEF5D43"/>
    <w:rsid w:val="6FFB46E7"/>
    <w:rsid w:val="7040034C"/>
    <w:rsid w:val="70455963"/>
    <w:rsid w:val="705B0CE2"/>
    <w:rsid w:val="706109F2"/>
    <w:rsid w:val="70645DE9"/>
    <w:rsid w:val="70912956"/>
    <w:rsid w:val="70C44AD9"/>
    <w:rsid w:val="70E94540"/>
    <w:rsid w:val="70EB475C"/>
    <w:rsid w:val="71063344"/>
    <w:rsid w:val="71156FC1"/>
    <w:rsid w:val="71456239"/>
    <w:rsid w:val="715F158B"/>
    <w:rsid w:val="716342F2"/>
    <w:rsid w:val="71B72890"/>
    <w:rsid w:val="71C76DE6"/>
    <w:rsid w:val="71EF202A"/>
    <w:rsid w:val="71FE6BE8"/>
    <w:rsid w:val="72A93F87"/>
    <w:rsid w:val="72B333C6"/>
    <w:rsid w:val="72BF7C4E"/>
    <w:rsid w:val="72E43211"/>
    <w:rsid w:val="72E94CCB"/>
    <w:rsid w:val="730D17FE"/>
    <w:rsid w:val="734531CD"/>
    <w:rsid w:val="73532145"/>
    <w:rsid w:val="73A6496A"/>
    <w:rsid w:val="73B84F29"/>
    <w:rsid w:val="73FC0A2E"/>
    <w:rsid w:val="7400051E"/>
    <w:rsid w:val="740F2585"/>
    <w:rsid w:val="741706BB"/>
    <w:rsid w:val="742A10F7"/>
    <w:rsid w:val="74335F8F"/>
    <w:rsid w:val="743E2DF5"/>
    <w:rsid w:val="74932A0C"/>
    <w:rsid w:val="7496678D"/>
    <w:rsid w:val="749A7801"/>
    <w:rsid w:val="74B65081"/>
    <w:rsid w:val="74C0380A"/>
    <w:rsid w:val="75022074"/>
    <w:rsid w:val="75096F5F"/>
    <w:rsid w:val="75385A96"/>
    <w:rsid w:val="754206C3"/>
    <w:rsid w:val="756D573F"/>
    <w:rsid w:val="7581743D"/>
    <w:rsid w:val="75B06567"/>
    <w:rsid w:val="75DE488F"/>
    <w:rsid w:val="75FA2D4B"/>
    <w:rsid w:val="760F7C18"/>
    <w:rsid w:val="76257DC8"/>
    <w:rsid w:val="76337EEA"/>
    <w:rsid w:val="76452218"/>
    <w:rsid w:val="76515061"/>
    <w:rsid w:val="765913E1"/>
    <w:rsid w:val="766151C3"/>
    <w:rsid w:val="76684494"/>
    <w:rsid w:val="766C1E9B"/>
    <w:rsid w:val="7682346D"/>
    <w:rsid w:val="76A01B45"/>
    <w:rsid w:val="76C61836"/>
    <w:rsid w:val="76CC46E8"/>
    <w:rsid w:val="76D4359C"/>
    <w:rsid w:val="7711659E"/>
    <w:rsid w:val="77144054"/>
    <w:rsid w:val="775B6BE8"/>
    <w:rsid w:val="7762504C"/>
    <w:rsid w:val="77890A18"/>
    <w:rsid w:val="778C1D38"/>
    <w:rsid w:val="77AB7213"/>
    <w:rsid w:val="78054AEE"/>
    <w:rsid w:val="780B56E4"/>
    <w:rsid w:val="783C589D"/>
    <w:rsid w:val="78531F73"/>
    <w:rsid w:val="78A3200D"/>
    <w:rsid w:val="78CC4E73"/>
    <w:rsid w:val="78EC78E8"/>
    <w:rsid w:val="791548D9"/>
    <w:rsid w:val="791D747D"/>
    <w:rsid w:val="792878E4"/>
    <w:rsid w:val="792C76C0"/>
    <w:rsid w:val="79494343"/>
    <w:rsid w:val="7987109F"/>
    <w:rsid w:val="79905EA0"/>
    <w:rsid w:val="79A11E5C"/>
    <w:rsid w:val="79AA7ABF"/>
    <w:rsid w:val="79DF2984"/>
    <w:rsid w:val="79E32474"/>
    <w:rsid w:val="79F006ED"/>
    <w:rsid w:val="7A347300"/>
    <w:rsid w:val="7A380C95"/>
    <w:rsid w:val="7A6F1F5A"/>
    <w:rsid w:val="7A756E44"/>
    <w:rsid w:val="7A7E219D"/>
    <w:rsid w:val="7A904DD0"/>
    <w:rsid w:val="7AB67B89"/>
    <w:rsid w:val="7ABB519F"/>
    <w:rsid w:val="7AC35E02"/>
    <w:rsid w:val="7AD65B35"/>
    <w:rsid w:val="7AE069B4"/>
    <w:rsid w:val="7B5C4035"/>
    <w:rsid w:val="7B620780"/>
    <w:rsid w:val="7BA05373"/>
    <w:rsid w:val="7BD070B1"/>
    <w:rsid w:val="7BD9148B"/>
    <w:rsid w:val="7BD96F9B"/>
    <w:rsid w:val="7BE81FC4"/>
    <w:rsid w:val="7BF47178"/>
    <w:rsid w:val="7C0D37D8"/>
    <w:rsid w:val="7C35307A"/>
    <w:rsid w:val="7C4A4A2C"/>
    <w:rsid w:val="7C8E1CF9"/>
    <w:rsid w:val="7C996707"/>
    <w:rsid w:val="7CB71996"/>
    <w:rsid w:val="7CC16371"/>
    <w:rsid w:val="7CFF2350"/>
    <w:rsid w:val="7D364FB1"/>
    <w:rsid w:val="7DB54128"/>
    <w:rsid w:val="7DCF4ABD"/>
    <w:rsid w:val="7E490D14"/>
    <w:rsid w:val="7E4B05E8"/>
    <w:rsid w:val="7E522354"/>
    <w:rsid w:val="7E755665"/>
    <w:rsid w:val="7EAB72D9"/>
    <w:rsid w:val="7EB76401"/>
    <w:rsid w:val="7F35094F"/>
    <w:rsid w:val="7F403EC5"/>
    <w:rsid w:val="7F5636E8"/>
    <w:rsid w:val="7F7F2C3F"/>
    <w:rsid w:val="7FB34697"/>
    <w:rsid w:val="7FC17096"/>
    <w:rsid w:val="7FD828C9"/>
    <w:rsid w:val="7FDF5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snapToGrid w:val="0"/>
      <w:ind w:firstLine="420" w:firstLineChars="200"/>
      <w:jc w:val="both"/>
    </w:pPr>
    <w:rPr>
      <w:rFonts w:cs="Times New Roman" w:asciiTheme="minorEastAsia" w:hAnsiTheme="minorEastAsia" w:eastAsiaTheme="minorEastAsia"/>
      <w:kern w:val="2"/>
      <w:sz w:val="21"/>
      <w:szCs w:val="21"/>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50"/>
    <w:qFormat/>
    <w:uiPriority w:val="0"/>
  </w:style>
  <w:style w:type="paragraph" w:styleId="4">
    <w:name w:val="Plain Text"/>
    <w:basedOn w:val="1"/>
    <w:next w:val="1"/>
    <w:autoRedefine/>
    <w:qFormat/>
    <w:uiPriority w:val="0"/>
    <w:rPr>
      <w:rFonts w:ascii="宋体" w:hAnsi="Courier New"/>
      <w:szCs w:val="20"/>
    </w:rPr>
  </w:style>
  <w:style w:type="paragraph" w:styleId="5">
    <w:name w:val="Balloon Text"/>
    <w:basedOn w:val="1"/>
    <w:link w:val="49"/>
    <w:qFormat/>
    <w:uiPriority w:val="0"/>
    <w:rPr>
      <w:sz w:val="18"/>
      <w:szCs w:val="18"/>
    </w:rPr>
  </w:style>
  <w:style w:type="paragraph" w:styleId="6">
    <w:name w:val="footer"/>
    <w:basedOn w:val="1"/>
    <w:qFormat/>
    <w:uiPriority w:val="0"/>
    <w:pPr>
      <w:tabs>
        <w:tab w:val="center" w:pos="4153"/>
        <w:tab w:val="right" w:pos="8306"/>
      </w:tabs>
      <w:ind w:right="210" w:rightChars="100"/>
      <w:jc w:val="right"/>
    </w:pPr>
    <w:rPr>
      <w:sz w:val="18"/>
      <w:szCs w:val="18"/>
    </w:rPr>
  </w:style>
  <w:style w:type="paragraph" w:styleId="7">
    <w:name w:val="header"/>
    <w:basedOn w:val="1"/>
    <w:link w:val="44"/>
    <w:qFormat/>
    <w:uiPriority w:val="0"/>
    <w:pPr>
      <w:pBdr>
        <w:bottom w:val="single" w:color="auto" w:sz="6" w:space="1"/>
      </w:pBdr>
      <w:tabs>
        <w:tab w:val="center" w:pos="4153"/>
        <w:tab w:val="right" w:pos="8306"/>
      </w:tabs>
      <w:jc w:val="center"/>
    </w:pPr>
    <w:rPr>
      <w:sz w:val="18"/>
      <w:szCs w:val="18"/>
    </w:rPr>
  </w:style>
  <w:style w:type="paragraph" w:styleId="8">
    <w:name w:val="table of figures"/>
    <w:basedOn w:val="1"/>
    <w:next w:val="1"/>
    <w:qFormat/>
    <w:uiPriority w:val="0"/>
    <w:pPr>
      <w:ind w:left="200" w:leftChars="200" w:hanging="200" w:hangingChars="200"/>
    </w:pPr>
    <w:rPr>
      <w:sz w:val="24"/>
    </w:rPr>
  </w:style>
  <w:style w:type="paragraph" w:styleId="9">
    <w:name w:val="HTML Preformatted"/>
    <w:basedOn w:val="1"/>
    <w:autoRedefine/>
    <w:unhideWhenUsed/>
    <w:qFormat/>
    <w:uiPriority w:val="99"/>
    <w:rPr>
      <w:rFonts w:ascii="Courier New" w:hAnsi="Courier New"/>
      <w:sz w:val="20"/>
      <w:szCs w:val="20"/>
    </w:rPr>
  </w:style>
  <w:style w:type="paragraph" w:styleId="10">
    <w:name w:val="Title"/>
    <w:basedOn w:val="1"/>
    <w:next w:val="1"/>
    <w:autoRedefine/>
    <w:qFormat/>
    <w:uiPriority w:val="0"/>
    <w:pPr>
      <w:spacing w:before="240" w:after="60"/>
      <w:jc w:val="center"/>
      <w:outlineLvl w:val="0"/>
    </w:pPr>
    <w:rPr>
      <w:rFonts w:ascii="Cambria" w:hAnsi="Cambria"/>
      <w:b/>
      <w:bCs/>
      <w:sz w:val="32"/>
      <w:szCs w:val="32"/>
    </w:rPr>
  </w:style>
  <w:style w:type="paragraph" w:styleId="11">
    <w:name w:val="annotation subject"/>
    <w:basedOn w:val="3"/>
    <w:next w:val="3"/>
    <w:link w:val="51"/>
    <w:qFormat/>
    <w:uiPriority w:val="0"/>
    <w:pPr>
      <w:jc w:val="left"/>
    </w:pPr>
    <w:rPr>
      <w:b/>
      <w:bCs/>
    </w:rPr>
  </w:style>
  <w:style w:type="character" w:styleId="14">
    <w:name w:val="page number"/>
    <w:autoRedefine/>
    <w:qFormat/>
    <w:uiPriority w:val="0"/>
    <w:rPr>
      <w:rFonts w:ascii="Times New Roman" w:hAnsi="Times New Roman" w:eastAsia="宋体"/>
      <w:sz w:val="18"/>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paragraph" w:customStyle="1" w:styleId="1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
    <w:name w:val="封面正文"/>
    <w:autoRedefine/>
    <w:qFormat/>
    <w:uiPriority w:val="0"/>
    <w:pPr>
      <w:jc w:val="both"/>
    </w:pPr>
    <w:rPr>
      <w:rFonts w:ascii="Times New Roman" w:hAnsi="Times New Roman" w:eastAsia="宋体" w:cs="Times New Roman"/>
      <w:lang w:val="en-US" w:eastAsia="zh-CN" w:bidi="ar-SA"/>
    </w:rPr>
  </w:style>
  <w:style w:type="paragraph" w:customStyle="1" w:styleId="19">
    <w:name w:val="章标题"/>
    <w:next w:val="20"/>
    <w:autoRedefine/>
    <w:qFormat/>
    <w:uiPriority w:val="0"/>
    <w:pPr>
      <w:spacing w:before="156" w:beforeLines="50" w:after="156" w:afterLines="50"/>
      <w:ind w:firstLine="420" w:firstLineChars="200"/>
      <w:jc w:val="both"/>
    </w:pPr>
    <w:rPr>
      <w:rFonts w:cs="Times New Roman" w:asciiTheme="minorEastAsia" w:hAnsiTheme="minorEastAsia" w:eastAsiaTheme="minorEastAsia"/>
      <w:sz w:val="21"/>
      <w:lang w:val="en-US" w:eastAsia="zh-CN" w:bidi="ar-SA"/>
    </w:rPr>
  </w:style>
  <w:style w:type="paragraph" w:customStyle="1" w:styleId="20">
    <w:name w:val="段"/>
    <w:autoRedefine/>
    <w:qFormat/>
    <w:uiPriority w:val="0"/>
    <w:pPr>
      <w:autoSpaceDE w:val="0"/>
      <w:autoSpaceDN w:val="0"/>
      <w:ind w:firstLine="420" w:firstLineChars="200"/>
      <w:jc w:val="both"/>
    </w:pPr>
    <w:rPr>
      <w:rFonts w:ascii="Times New Roman" w:hAnsi="Times New Roman" w:eastAsia="宋体" w:cs="Times New Roman"/>
      <w:sz w:val="21"/>
      <w:lang w:val="en-US" w:eastAsia="zh-CN" w:bidi="ar-SA"/>
    </w:rPr>
  </w:style>
  <w:style w:type="paragraph" w:customStyle="1" w:styleId="21">
    <w:name w:val="一级条标题"/>
    <w:next w:val="20"/>
    <w:autoRedefine/>
    <w:qFormat/>
    <w:uiPriority w:val="0"/>
    <w:pPr>
      <w:tabs>
        <w:tab w:val="left" w:pos="360"/>
      </w:tabs>
      <w:spacing w:before="156" w:beforeLines="50" w:after="156" w:afterLines="50"/>
    </w:pPr>
    <w:rPr>
      <w:rFonts w:cs="黑体" w:asciiTheme="minorEastAsia" w:hAnsiTheme="minorEastAsia" w:eastAsiaTheme="minorEastAsia"/>
      <w:sz w:val="21"/>
      <w:lang w:val="en-US" w:eastAsia="zh-CN" w:bidi="ar-SA"/>
    </w:rPr>
  </w:style>
  <w:style w:type="paragraph" w:customStyle="1" w:styleId="22">
    <w:name w:val="正文表标题"/>
    <w:next w:val="20"/>
    <w:autoRedefine/>
    <w:qFormat/>
    <w:uiPriority w:val="0"/>
    <w:pPr>
      <w:tabs>
        <w:tab w:val="left" w:pos="360"/>
      </w:tabs>
      <w:jc w:val="center"/>
    </w:pPr>
    <w:rPr>
      <w:rFonts w:ascii="黑体" w:hAnsi="Times New Roman" w:eastAsia="黑体" w:cs="Times New Roman"/>
      <w:sz w:val="21"/>
      <w:lang w:val="en-US" w:eastAsia="zh-CN" w:bidi="ar-SA"/>
    </w:rPr>
  </w:style>
  <w:style w:type="paragraph" w:customStyle="1" w:styleId="2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4">
    <w:name w:val="二级条标题"/>
    <w:basedOn w:val="21"/>
    <w:next w:val="20"/>
    <w:autoRedefine/>
    <w:qFormat/>
    <w:uiPriority w:val="0"/>
    <w:pPr>
      <w:tabs>
        <w:tab w:val="clear" w:pos="360"/>
      </w:tabs>
      <w:outlineLvl w:val="3"/>
    </w:pPr>
    <w:rPr>
      <w:kern w:val="2"/>
      <w:szCs w:val="24"/>
    </w:rPr>
  </w:style>
  <w:style w:type="paragraph" w:customStyle="1" w:styleId="25">
    <w:name w:val="三级条标题"/>
    <w:basedOn w:val="26"/>
    <w:next w:val="20"/>
    <w:autoRedefine/>
    <w:qFormat/>
    <w:uiPriority w:val="0"/>
    <w:pPr>
      <w:tabs>
        <w:tab w:val="left" w:pos="360"/>
      </w:tabs>
      <w:outlineLvl w:val="4"/>
    </w:pPr>
  </w:style>
  <w:style w:type="paragraph" w:customStyle="1" w:styleId="26">
    <w:name w:val="二级条标题 Char Char"/>
    <w:basedOn w:val="27"/>
    <w:next w:val="20"/>
    <w:autoRedefine/>
    <w:qFormat/>
    <w:uiPriority w:val="0"/>
    <w:pPr>
      <w:numPr>
        <w:ilvl w:val="0"/>
        <w:numId w:val="0"/>
      </w:numPr>
      <w:outlineLvl w:val="3"/>
    </w:pPr>
  </w:style>
  <w:style w:type="paragraph" w:customStyle="1" w:styleId="27">
    <w:name w:val="一级条标题 Char Char Char Char"/>
    <w:next w:val="20"/>
    <w:autoRedefine/>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28">
    <w:name w:val="终结线"/>
    <w:basedOn w:val="1"/>
    <w:autoRedefine/>
    <w:qFormat/>
    <w:uiPriority w:val="0"/>
    <w:pPr>
      <w:framePr w:hSpace="181" w:vSpace="181" w:wrap="around" w:vAnchor="text" w:hAnchor="margin" w:xAlign="center" w:y="285"/>
    </w:pPr>
  </w:style>
  <w:style w:type="paragraph" w:customStyle="1" w:styleId="29">
    <w:name w:val="实施日期"/>
    <w:basedOn w:val="30"/>
    <w:autoRedefine/>
    <w:qFormat/>
    <w:uiPriority w:val="0"/>
    <w:pPr>
      <w:framePr w:hSpace="0" w:wrap="around" w:xAlign="right"/>
      <w:numPr>
        <w:ilvl w:val="4"/>
        <w:numId w:val="1"/>
      </w:numPr>
      <w:jc w:val="right"/>
    </w:pPr>
  </w:style>
  <w:style w:type="paragraph" w:customStyle="1" w:styleId="3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1">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2">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34">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35">
    <w:name w:val="发布"/>
    <w:autoRedefine/>
    <w:qFormat/>
    <w:uiPriority w:val="0"/>
    <w:rPr>
      <w:rFonts w:ascii="黑体" w:eastAsia="黑体"/>
      <w:spacing w:val="22"/>
      <w:w w:val="100"/>
      <w:position w:val="3"/>
      <w:sz w:val="28"/>
    </w:rPr>
  </w:style>
  <w:style w:type="paragraph" w:customStyle="1" w:styleId="36">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7">
    <w:name w:val="标准书眉一"/>
    <w:autoRedefine/>
    <w:qFormat/>
    <w:uiPriority w:val="0"/>
    <w:pPr>
      <w:jc w:val="both"/>
    </w:pPr>
    <w:rPr>
      <w:rFonts w:ascii="Times New Roman" w:hAnsi="Times New Roman" w:eastAsia="宋体" w:cs="Times New Roman"/>
      <w:lang w:val="en-US" w:eastAsia="zh-CN" w:bidi="ar-SA"/>
    </w:rPr>
  </w:style>
  <w:style w:type="paragraph" w:customStyle="1" w:styleId="38">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39">
    <w:name w:val="CM31"/>
    <w:basedOn w:val="40"/>
    <w:next w:val="40"/>
    <w:autoRedefine/>
    <w:unhideWhenUsed/>
    <w:qFormat/>
    <w:uiPriority w:val="99"/>
  </w:style>
  <w:style w:type="paragraph" w:customStyle="1" w:styleId="40">
    <w:name w:val="Default"/>
    <w:next w:val="8"/>
    <w:autoRedefine/>
    <w:unhideWhenUsed/>
    <w:qFormat/>
    <w:uiPriority w:val="99"/>
    <w:pPr>
      <w:widowControl w:val="0"/>
      <w:autoSpaceDE w:val="0"/>
      <w:autoSpaceDN w:val="0"/>
      <w:adjustRightInd w:val="0"/>
    </w:pPr>
    <w:rPr>
      <w:rFonts w:hint="eastAsia" w:ascii="Arial Unicode MS" w:hAnsi="Arial Unicode MS" w:eastAsia="Arial Unicode MS" w:cs="Times New Roman"/>
      <w:color w:val="000000"/>
      <w:sz w:val="24"/>
      <w:lang w:val="en-US" w:eastAsia="zh-CN" w:bidi="ar-SA"/>
    </w:rPr>
  </w:style>
  <w:style w:type="paragraph" w:customStyle="1" w:styleId="41">
    <w:name w:val="Table Text"/>
    <w:basedOn w:val="1"/>
    <w:semiHidden/>
    <w:qFormat/>
    <w:uiPriority w:val="0"/>
    <w:rPr>
      <w:rFonts w:ascii="宋体" w:hAnsi="宋体" w:eastAsia="宋体" w:cs="宋体"/>
      <w:sz w:val="18"/>
      <w:szCs w:val="18"/>
      <w:lang w:eastAsia="en-US"/>
    </w:rPr>
  </w:style>
  <w:style w:type="table" w:customStyle="1" w:styleId="42">
    <w:name w:val="Table Normal"/>
    <w:semiHidden/>
    <w:unhideWhenUsed/>
    <w:qFormat/>
    <w:uiPriority w:val="0"/>
    <w:tblPr>
      <w:tblCellMar>
        <w:top w:w="0" w:type="dxa"/>
        <w:left w:w="0" w:type="dxa"/>
        <w:bottom w:w="0" w:type="dxa"/>
        <w:right w:w="0" w:type="dxa"/>
      </w:tblCellMar>
    </w:tblPr>
  </w:style>
  <w:style w:type="paragraph" w:customStyle="1" w:styleId="43">
    <w:name w:val="前言、引言标题"/>
    <w:next w:val="1"/>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44">
    <w:name w:val="页眉 Char"/>
    <w:basedOn w:val="13"/>
    <w:link w:val="7"/>
    <w:qFormat/>
    <w:uiPriority w:val="0"/>
    <w:rPr>
      <w:rFonts w:eastAsiaTheme="minorEastAsia"/>
      <w:kern w:val="2"/>
      <w:sz w:val="18"/>
      <w:szCs w:val="18"/>
    </w:rPr>
  </w:style>
  <w:style w:type="character" w:customStyle="1" w:styleId="45">
    <w:name w:val="标题 1 Char"/>
    <w:basedOn w:val="13"/>
    <w:link w:val="2"/>
    <w:qFormat/>
    <w:uiPriority w:val="0"/>
    <w:rPr>
      <w:rFonts w:ascii="黑体" w:hAnsi="黑体" w:eastAsia="黑体"/>
      <w:b/>
      <w:bCs/>
      <w:kern w:val="44"/>
      <w:sz w:val="44"/>
      <w:szCs w:val="44"/>
    </w:rPr>
  </w:style>
  <w:style w:type="character" w:styleId="46">
    <w:name w:val="Placeholder Text"/>
    <w:basedOn w:val="13"/>
    <w:semiHidden/>
    <w:qFormat/>
    <w:uiPriority w:val="99"/>
    <w:rPr>
      <w:color w:val="808080"/>
    </w:rPr>
  </w:style>
  <w:style w:type="paragraph" w:customStyle="1" w:styleId="47">
    <w:name w:val="目次、标准名称标题"/>
    <w:basedOn w:val="1"/>
    <w:next w:val="20"/>
    <w:autoRedefine/>
    <w:qFormat/>
    <w:uiPriority w:val="0"/>
    <w:pPr>
      <w:keepNext/>
      <w:pageBreakBefore/>
      <w:widowControl/>
      <w:shd w:val="clear" w:color="FFFFFF" w:fill="FFFFFF"/>
      <w:autoSpaceDE/>
      <w:autoSpaceDN/>
      <w:adjustRightInd/>
      <w:snapToGrid/>
      <w:spacing w:before="640" w:after="560" w:line="460" w:lineRule="exact"/>
      <w:ind w:firstLine="0" w:firstLineChars="0"/>
      <w:jc w:val="center"/>
      <w:outlineLvl w:val="0"/>
    </w:pPr>
    <w:rPr>
      <w:rFonts w:ascii="黑体" w:hAnsi="Times New Roman" w:eastAsia="黑体"/>
      <w:kern w:val="0"/>
      <w:sz w:val="32"/>
      <w:szCs w:val="20"/>
    </w:rPr>
  </w:style>
  <w:style w:type="paragraph" w:styleId="48">
    <w:name w:val="List Paragraph"/>
    <w:basedOn w:val="1"/>
    <w:qFormat/>
    <w:uiPriority w:val="99"/>
  </w:style>
  <w:style w:type="character" w:customStyle="1" w:styleId="49">
    <w:name w:val="批注框文本 Char"/>
    <w:basedOn w:val="13"/>
    <w:link w:val="5"/>
    <w:qFormat/>
    <w:uiPriority w:val="0"/>
    <w:rPr>
      <w:rFonts w:asciiTheme="minorEastAsia" w:hAnsiTheme="minorEastAsia" w:eastAsiaTheme="minorEastAsia"/>
      <w:kern w:val="2"/>
      <w:sz w:val="18"/>
      <w:szCs w:val="18"/>
    </w:rPr>
  </w:style>
  <w:style w:type="character" w:customStyle="1" w:styleId="50">
    <w:name w:val="批注文字 Char"/>
    <w:basedOn w:val="13"/>
    <w:link w:val="3"/>
    <w:qFormat/>
    <w:uiPriority w:val="0"/>
    <w:rPr>
      <w:rFonts w:asciiTheme="minorEastAsia" w:hAnsiTheme="minorEastAsia" w:eastAsiaTheme="minorEastAsia"/>
      <w:kern w:val="2"/>
      <w:sz w:val="21"/>
      <w:szCs w:val="21"/>
    </w:rPr>
  </w:style>
  <w:style w:type="character" w:customStyle="1" w:styleId="51">
    <w:name w:val="批注主题 Char"/>
    <w:basedOn w:val="50"/>
    <w:link w:val="11"/>
    <w:qFormat/>
    <w:uiPriority w:val="0"/>
    <w:rPr>
      <w:rFonts w:asciiTheme="minorEastAsia" w:hAnsiTheme="minorEastAsia" w:eastAsiaTheme="minorEastAsia"/>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C89B9A-D06F-4C54-B669-86FA16217DCE}">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1472</Words>
  <Characters>1736</Characters>
  <Lines>27</Lines>
  <Paragraphs>7</Paragraphs>
  <TotalTime>0</TotalTime>
  <ScaleCrop>false</ScaleCrop>
  <LinksUpToDate>false</LinksUpToDate>
  <CharactersWithSpaces>1885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2025-06-20T02:44:00Z</dcterms:created>
  <dc:creator>吃了防腐剂的芒果少女</dc:creator>
  <cp:lastModifiedBy>llhliulihua</cp:lastModifiedBy>
  <cp:lastPrinted>2024-08-21T02:41:00Z</cp:lastPrinted>
  <dcterms:modified xsi:type="dcterms:W3CDTF">2025-06-20T06:31:20Z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09EC8AF648CA4C2983FA7A8E80CC2478_13</vt:lpwstr>
  </property>
  <property fmtid="{D5CDD505-2E9C-101B-9397-08002B2CF9AE}" pid="4" name="KSOTemplateDocerSaveRecord">
    <vt:lpwstr>eyJoZGlkIjoiN2JjNjlkY2Y1Y2NkZGE5Y2Q5NGZmMDVlNzZhMDkwMDUiLCJ1c2VySWQiOiI2NzY3MTU3NDcifQ==</vt:lpwstr>
  </property>
</Properties>
</file>