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62365">
      <w:pPr>
        <w:spacing w:line="360" w:lineRule="auto"/>
        <w:jc w:val="center"/>
        <w:rPr>
          <w:rFonts w:ascii="宋体" w:hAnsi="Courier New" w:eastAsia="黑体" w:cs="Times New Roman"/>
          <w:b/>
          <w:sz w:val="32"/>
          <w:szCs w:val="32"/>
        </w:rPr>
      </w:pPr>
      <w:bookmarkStart w:id="20" w:name="_GoBack"/>
      <w:bookmarkEnd w:id="20"/>
      <w:r>
        <w:rPr>
          <w:rFonts w:hint="eastAsia" w:ascii="宋体" w:hAnsi="Courier New" w:eastAsia="黑体" w:cs="Times New Roman"/>
          <w:b/>
          <w:sz w:val="32"/>
          <w:szCs w:val="32"/>
        </w:rPr>
        <w:t>团体标准</w:t>
      </w:r>
      <w:r>
        <w:rPr>
          <w:rFonts w:ascii="宋体" w:hAnsi="Courier New" w:eastAsia="黑体" w:cs="Times New Roman"/>
          <w:b/>
          <w:sz w:val="32"/>
          <w:szCs w:val="32"/>
        </w:rPr>
        <w:t>《</w:t>
      </w:r>
      <w:r>
        <w:rPr>
          <w:rFonts w:hint="eastAsia" w:ascii="宋体" w:hAnsi="Courier New" w:eastAsia="黑体" w:cs="Times New Roman"/>
          <w:b/>
          <w:sz w:val="32"/>
          <w:szCs w:val="32"/>
        </w:rPr>
        <w:t>通辽牛肉片</w:t>
      </w:r>
      <w:r>
        <w:rPr>
          <w:rFonts w:ascii="宋体" w:hAnsi="Courier New" w:eastAsia="黑体" w:cs="Times New Roman"/>
          <w:b/>
          <w:sz w:val="32"/>
          <w:szCs w:val="32"/>
        </w:rPr>
        <w:t>》（</w:t>
      </w:r>
      <w:r>
        <w:rPr>
          <w:rFonts w:hint="eastAsia" w:ascii="宋体" w:hAnsi="Courier New" w:eastAsia="黑体" w:cs="Times New Roman"/>
          <w:b/>
          <w:sz w:val="32"/>
          <w:szCs w:val="32"/>
        </w:rPr>
        <w:t>征求意见稿</w:t>
      </w:r>
      <w:r>
        <w:rPr>
          <w:rFonts w:ascii="宋体" w:hAnsi="Courier New" w:eastAsia="黑体" w:cs="Times New Roman"/>
          <w:b/>
          <w:sz w:val="32"/>
          <w:szCs w:val="32"/>
        </w:rPr>
        <w:t>）编制说明</w:t>
      </w:r>
    </w:p>
    <w:p w14:paraId="45A89961">
      <w:pPr>
        <w:spacing w:line="360" w:lineRule="auto"/>
        <w:outlineLvl w:val="0"/>
        <w:rPr>
          <w:rFonts w:ascii="楷体" w:hAnsi="楷体" w:eastAsia="楷体" w:cs="楷体"/>
          <w:b/>
          <w:bCs/>
          <w:spacing w:val="-8"/>
          <w:sz w:val="28"/>
          <w:szCs w:val="28"/>
        </w:rPr>
      </w:pPr>
      <w:r>
        <w:rPr>
          <w:rFonts w:ascii="楷体" w:hAnsi="楷体" w:eastAsia="楷体" w:cs="楷体"/>
          <w:b/>
          <w:bCs/>
          <w:spacing w:val="-8"/>
          <w:sz w:val="28"/>
          <w:szCs w:val="28"/>
        </w:rPr>
        <w:t>一、工作简况</w:t>
      </w:r>
    </w:p>
    <w:p w14:paraId="70110736">
      <w:pPr>
        <w:spacing w:line="360" w:lineRule="auto"/>
        <w:ind w:left="23" w:firstLine="420"/>
        <w:outlineLvl w:val="1"/>
        <w:rPr>
          <w:rFonts w:ascii="宋体" w:hAnsi="宋体" w:eastAsia="楷体" w:cs="宋体"/>
          <w:spacing w:val="-1"/>
          <w:sz w:val="24"/>
        </w:rPr>
      </w:pPr>
      <w:r>
        <w:rPr>
          <w:rFonts w:ascii="楷体" w:hAnsi="楷体" w:eastAsia="楷体" w:cs="楷体"/>
          <w:b/>
          <w:bCs/>
          <w:spacing w:val="-8"/>
          <w:sz w:val="28"/>
          <w:szCs w:val="28"/>
        </w:rPr>
        <w:t>（</w:t>
      </w:r>
      <w:r>
        <w:rPr>
          <w:rFonts w:hint="eastAsia" w:ascii="楷体" w:hAnsi="楷体" w:eastAsia="楷体" w:cs="楷体"/>
          <w:b/>
          <w:bCs/>
          <w:spacing w:val="-8"/>
          <w:sz w:val="28"/>
          <w:szCs w:val="28"/>
        </w:rPr>
        <w:t>一</w:t>
      </w:r>
      <w:r>
        <w:rPr>
          <w:rFonts w:ascii="楷体" w:hAnsi="楷体" w:eastAsia="楷体" w:cs="楷体"/>
          <w:b/>
          <w:bCs/>
          <w:spacing w:val="-8"/>
          <w:sz w:val="28"/>
          <w:szCs w:val="28"/>
        </w:rPr>
        <w:t>）</w:t>
      </w:r>
      <w:r>
        <w:rPr>
          <w:rFonts w:hint="eastAsia" w:ascii="楷体" w:hAnsi="楷体" w:eastAsia="楷体" w:cs="楷体"/>
          <w:b/>
          <w:bCs/>
          <w:spacing w:val="-8"/>
          <w:sz w:val="28"/>
          <w:szCs w:val="28"/>
        </w:rPr>
        <w:t>任务来源</w:t>
      </w:r>
    </w:p>
    <w:p w14:paraId="797D5D79">
      <w:pPr>
        <w:spacing w:line="360" w:lineRule="auto"/>
        <w:ind w:firstLine="420"/>
        <w:rPr>
          <w:rFonts w:ascii="宋体" w:hAnsi="宋体" w:eastAsia="宋体" w:cs="宋体"/>
          <w:sz w:val="24"/>
        </w:rPr>
      </w:pPr>
      <w:r>
        <w:rPr>
          <w:rFonts w:hint="eastAsia" w:ascii="宋体" w:hAnsi="宋体" w:eastAsia="宋体" w:cs="宋体"/>
          <w:sz w:val="24"/>
        </w:rPr>
        <w:t>本任务来自中国肉类协会2025年标准制定项目。</w:t>
      </w:r>
    </w:p>
    <w:p w14:paraId="584E8ED0">
      <w:pPr>
        <w:spacing w:line="360" w:lineRule="auto"/>
        <w:ind w:firstLine="420"/>
        <w:rPr>
          <w:rFonts w:ascii="宋体" w:hAnsi="宋体" w:eastAsia="宋体" w:cs="宋体"/>
          <w:sz w:val="24"/>
        </w:rPr>
      </w:pPr>
      <w:r>
        <w:rPr>
          <w:rFonts w:hint="eastAsia" w:ascii="宋体" w:hAnsi="宋体" w:eastAsia="宋体" w:cs="宋体"/>
          <w:sz w:val="24"/>
        </w:rPr>
        <w:t>牛肉片（卷）是外出餐饮和居家饮食的重要肉类消费品类。近年来，原切牛肉片（卷）和调理牛肉片（卷）在市场上均有销售。原切牛肉片是牛肉添加（</w:t>
      </w:r>
      <w:r>
        <w:rPr>
          <w:rFonts w:ascii="宋体" w:hAnsi="宋体" w:eastAsia="宋体" w:cs="宋体"/>
          <w:sz w:val="24"/>
        </w:rPr>
        <w:t>或</w:t>
      </w:r>
      <w:r>
        <w:rPr>
          <w:rFonts w:hint="eastAsia" w:ascii="宋体" w:hAnsi="宋体" w:eastAsia="宋体" w:cs="宋体"/>
          <w:sz w:val="24"/>
        </w:rPr>
        <w:t>不添加）部分脂肪冷冻、切削而成，不添加其他成分；调理牛肉片则添加水、食用盐、食品添加剂等经调理、冷冻、切削等工艺加工而成。目前，国家和行业部门对原切牛肉片质量指标、调理牛肉片质量指标尚无明确的限定，使得市场销售的产品质量参差不齐，极大影响产品的优质优价，甚至不少商家通过打“擦边球”，将调理牛肉片（卷）与原切牛肉片混在一起销售。</w:t>
      </w:r>
    </w:p>
    <w:p w14:paraId="58C9A67D">
      <w:pPr>
        <w:spacing w:line="360" w:lineRule="auto"/>
        <w:ind w:firstLine="420"/>
        <w:rPr>
          <w:rFonts w:ascii="微软雅黑" w:hAnsi="微软雅黑" w:eastAsia="微软雅黑" w:cs="微软雅黑"/>
          <w:color w:val="171A1D"/>
          <w:sz w:val="16"/>
          <w:szCs w:val="16"/>
          <w:shd w:val="clear" w:color="auto" w:fill="FFFFFF"/>
        </w:rPr>
      </w:pPr>
      <w:r>
        <w:rPr>
          <w:rFonts w:ascii="宋体" w:hAnsi="宋体" w:eastAsia="宋体" w:cs="宋体"/>
          <w:sz w:val="24"/>
        </w:rPr>
        <w:t>随着消费者对食品安全和产品质量要求的不断提高，以及行业发展的需要，为了规范</w:t>
      </w:r>
      <w:r>
        <w:rPr>
          <w:rFonts w:hint="eastAsia" w:ascii="宋体" w:hAnsi="宋体" w:eastAsia="宋体" w:cs="宋体"/>
          <w:sz w:val="24"/>
        </w:rPr>
        <w:t>通辽牛肉片</w:t>
      </w:r>
      <w:r>
        <w:rPr>
          <w:rFonts w:ascii="宋体" w:hAnsi="宋体" w:eastAsia="宋体" w:cs="宋体"/>
          <w:sz w:val="24"/>
        </w:rPr>
        <w:t>的生产加工过程，确保产品的质量和安全，提升产品竞争力，促进</w:t>
      </w:r>
      <w:r>
        <w:rPr>
          <w:rFonts w:hint="eastAsia" w:ascii="宋体" w:hAnsi="宋体" w:eastAsia="宋体" w:cs="宋体"/>
          <w:sz w:val="24"/>
        </w:rPr>
        <w:t>通辽牛肉</w:t>
      </w:r>
      <w:r>
        <w:rPr>
          <w:rFonts w:ascii="宋体" w:hAnsi="宋体" w:eastAsia="宋体" w:cs="宋体"/>
          <w:sz w:val="24"/>
        </w:rPr>
        <w:t>产业健康可持续发展，特制定了团体标准《</w:t>
      </w:r>
      <w:r>
        <w:rPr>
          <w:rFonts w:hint="eastAsia" w:ascii="宋体" w:hAnsi="宋体" w:eastAsia="宋体" w:cs="宋体"/>
          <w:sz w:val="24"/>
        </w:rPr>
        <w:t>通辽牛肉片</w:t>
      </w:r>
      <w:r>
        <w:rPr>
          <w:rFonts w:ascii="宋体" w:hAnsi="宋体" w:eastAsia="宋体" w:cs="宋体"/>
          <w:sz w:val="24"/>
        </w:rPr>
        <w:t>》。</w:t>
      </w:r>
    </w:p>
    <w:p w14:paraId="4B04FCF3">
      <w:pPr>
        <w:spacing w:line="360" w:lineRule="auto"/>
        <w:ind w:left="607"/>
        <w:outlineLvl w:val="1"/>
        <w:rPr>
          <w:rFonts w:ascii="楷体" w:hAnsi="楷体" w:eastAsia="楷体" w:cs="楷体"/>
          <w:sz w:val="28"/>
          <w:szCs w:val="28"/>
        </w:rPr>
      </w:pPr>
      <w:r>
        <w:rPr>
          <w:rFonts w:ascii="楷体" w:hAnsi="楷体" w:eastAsia="楷体" w:cs="楷体"/>
          <w:b/>
          <w:bCs/>
          <w:spacing w:val="-8"/>
          <w:sz w:val="28"/>
          <w:szCs w:val="28"/>
        </w:rPr>
        <w:t>（二）起草单位</w:t>
      </w:r>
    </w:p>
    <w:p w14:paraId="1968D391">
      <w:pPr>
        <w:spacing w:line="360" w:lineRule="auto"/>
        <w:ind w:firstLine="420"/>
        <w:rPr>
          <w:rFonts w:ascii="宋体" w:hAnsi="宋体" w:eastAsia="宋体" w:cs="宋体"/>
          <w:spacing w:val="-4"/>
          <w:sz w:val="24"/>
        </w:rPr>
      </w:pPr>
      <w:r>
        <w:rPr>
          <w:rFonts w:ascii="宋体" w:hAnsi="宋体" w:eastAsia="宋体" w:cs="宋体"/>
          <w:spacing w:val="-4"/>
          <w:sz w:val="24"/>
        </w:rPr>
        <w:t>起草单位包括：</w:t>
      </w:r>
    </w:p>
    <w:p w14:paraId="65891A9F">
      <w:pPr>
        <w:spacing w:line="360" w:lineRule="auto"/>
        <w:ind w:firstLine="480"/>
        <w:rPr>
          <w:rFonts w:ascii="Times New Roman" w:hAnsi="Times New Roman" w:cs="Times New Roman"/>
          <w:snapToGrid w:val="0"/>
          <w:sz w:val="24"/>
        </w:rPr>
      </w:pPr>
      <w:r>
        <w:rPr>
          <w:rFonts w:hint="eastAsia" w:ascii="Times New Roman" w:hAnsi="Times New Roman" w:cs="Times New Roman"/>
          <w:snapToGrid w:val="0"/>
          <w:sz w:val="24"/>
        </w:rPr>
        <w:t>略。</w:t>
      </w:r>
    </w:p>
    <w:p w14:paraId="57CF2166">
      <w:pPr>
        <w:spacing w:line="360" w:lineRule="auto"/>
        <w:ind w:firstLine="420"/>
        <w:rPr>
          <w:rFonts w:ascii="宋体" w:hAnsi="宋体" w:eastAsia="宋体" w:cs="宋体"/>
          <w:spacing w:val="-1"/>
          <w:sz w:val="24"/>
        </w:rPr>
      </w:pPr>
      <w:r>
        <w:rPr>
          <w:rFonts w:ascii="宋体" w:hAnsi="宋体" w:eastAsia="宋体" w:cs="宋体"/>
          <w:spacing w:val="-1"/>
          <w:sz w:val="24"/>
        </w:rPr>
        <w:t>主要起草人员：</w:t>
      </w:r>
    </w:p>
    <w:p w14:paraId="40412583">
      <w:pPr>
        <w:spacing w:line="360" w:lineRule="auto"/>
        <w:ind w:firstLine="420"/>
        <w:rPr>
          <w:rFonts w:ascii="宋体" w:hAnsi="宋体" w:eastAsia="宋体" w:cs="宋体"/>
          <w:spacing w:val="-1"/>
          <w:sz w:val="24"/>
        </w:rPr>
      </w:pPr>
      <w:r>
        <w:rPr>
          <w:rFonts w:hint="eastAsia" w:ascii="Times New Roman" w:hAnsi="Times New Roman" w:cs="Times New Roman"/>
          <w:snapToGrid w:val="0"/>
          <w:sz w:val="24"/>
        </w:rPr>
        <w:t>略。</w:t>
      </w:r>
    </w:p>
    <w:p w14:paraId="1E48FC2B">
      <w:pPr>
        <w:spacing w:line="360" w:lineRule="auto"/>
        <w:ind w:left="607"/>
        <w:outlineLvl w:val="1"/>
        <w:rPr>
          <w:rFonts w:ascii="楷体" w:hAnsi="楷体" w:eastAsia="楷体" w:cs="楷体"/>
          <w:sz w:val="28"/>
          <w:szCs w:val="28"/>
        </w:rPr>
      </w:pPr>
      <w:r>
        <w:rPr>
          <w:rFonts w:ascii="楷体" w:hAnsi="楷体" w:eastAsia="楷体" w:cs="楷体"/>
          <w:b/>
          <w:bCs/>
          <w:spacing w:val="-6"/>
          <w:sz w:val="28"/>
          <w:szCs w:val="28"/>
        </w:rPr>
        <w:t>（三）主要工作过程</w:t>
      </w:r>
    </w:p>
    <w:p w14:paraId="70FEAE79">
      <w:pPr>
        <w:spacing w:line="360" w:lineRule="auto"/>
        <w:ind w:left="24" w:firstLine="421"/>
        <w:rPr>
          <w:rFonts w:ascii="宋体" w:hAnsi="宋体" w:eastAsia="宋体" w:cs="宋体"/>
          <w:spacing w:val="-1"/>
          <w:sz w:val="24"/>
        </w:rPr>
      </w:pPr>
      <w:r>
        <w:rPr>
          <w:rFonts w:ascii="宋体" w:hAnsi="宋体" w:eastAsia="宋体" w:cs="宋体"/>
          <w:spacing w:val="-1"/>
          <w:sz w:val="24"/>
        </w:rPr>
        <w:t>1.起草阶段</w:t>
      </w:r>
    </w:p>
    <w:p w14:paraId="75784247">
      <w:pPr>
        <w:spacing w:line="360" w:lineRule="auto"/>
        <w:ind w:left="24" w:firstLine="421"/>
        <w:rPr>
          <w:rFonts w:ascii="宋体" w:hAnsi="宋体" w:eastAsia="宋体" w:cs="宋体"/>
          <w:spacing w:val="-1"/>
          <w:sz w:val="24"/>
        </w:rPr>
      </w:pPr>
      <w:bookmarkStart w:id="0" w:name="OLE_LINK27"/>
      <w:r>
        <w:rPr>
          <w:rFonts w:ascii="宋体" w:hAnsi="宋体" w:eastAsia="宋体" w:cs="宋体"/>
          <w:spacing w:val="-1"/>
          <w:sz w:val="24"/>
        </w:rPr>
        <w:t>标准立项后，</w:t>
      </w:r>
      <w:r>
        <w:rPr>
          <w:rFonts w:hint="eastAsia" w:ascii="宋体" w:hAnsi="宋体" w:eastAsia="宋体" w:cs="宋体"/>
          <w:spacing w:val="-1"/>
          <w:sz w:val="24"/>
        </w:rPr>
        <w:t>中国肉类食品综合研究中心</w:t>
      </w:r>
      <w:r>
        <w:rPr>
          <w:rFonts w:ascii="宋体" w:hAnsi="宋体" w:eastAsia="宋体" w:cs="宋体"/>
          <w:spacing w:val="-1"/>
          <w:sz w:val="24"/>
        </w:rPr>
        <w:t>成立标准起草组</w:t>
      </w:r>
      <w:r>
        <w:rPr>
          <w:rFonts w:hint="eastAsia" w:ascii="宋体" w:hAnsi="宋体" w:eastAsia="宋体" w:cs="宋体"/>
          <w:spacing w:val="-1"/>
          <w:sz w:val="24"/>
        </w:rPr>
        <w:t>，</w:t>
      </w:r>
      <w:r>
        <w:rPr>
          <w:rFonts w:ascii="宋体" w:hAnsi="宋体" w:eastAsia="宋体" w:cs="宋体"/>
          <w:spacing w:val="-1"/>
          <w:sz w:val="24"/>
        </w:rPr>
        <w:t>制定</w:t>
      </w:r>
      <w:r>
        <w:rPr>
          <w:rFonts w:hint="eastAsia" w:ascii="宋体" w:hAnsi="宋体" w:eastAsia="宋体" w:cs="宋体"/>
          <w:spacing w:val="-1"/>
          <w:sz w:val="24"/>
        </w:rPr>
        <w:t>标准工作计划，</w:t>
      </w:r>
      <w:r>
        <w:rPr>
          <w:rFonts w:ascii="宋体" w:hAnsi="宋体" w:eastAsia="宋体" w:cs="宋体"/>
          <w:spacing w:val="-1"/>
          <w:sz w:val="24"/>
        </w:rPr>
        <w:t>明确</w:t>
      </w:r>
      <w:r>
        <w:rPr>
          <w:rFonts w:hint="eastAsia" w:ascii="宋体" w:hAnsi="宋体" w:eastAsia="宋体" w:cs="宋体"/>
          <w:spacing w:val="-1"/>
          <w:sz w:val="24"/>
        </w:rPr>
        <w:t>参与起草单位和</w:t>
      </w:r>
      <w:r>
        <w:rPr>
          <w:rFonts w:ascii="宋体" w:hAnsi="宋体" w:eastAsia="宋体" w:cs="宋体"/>
          <w:spacing w:val="-1"/>
          <w:sz w:val="24"/>
        </w:rPr>
        <w:t>人员</w:t>
      </w:r>
      <w:r>
        <w:rPr>
          <w:rFonts w:hint="eastAsia" w:ascii="宋体" w:hAnsi="宋体" w:eastAsia="宋体" w:cs="宋体"/>
          <w:spacing w:val="-1"/>
          <w:sz w:val="24"/>
        </w:rPr>
        <w:t>及其职责分工</w:t>
      </w:r>
      <w:r>
        <w:rPr>
          <w:rFonts w:ascii="宋体" w:hAnsi="宋体" w:eastAsia="宋体" w:cs="宋体"/>
          <w:spacing w:val="-1"/>
          <w:sz w:val="24"/>
        </w:rPr>
        <w:t>，研讨</w:t>
      </w:r>
      <w:r>
        <w:rPr>
          <w:rFonts w:hint="eastAsia" w:ascii="宋体" w:hAnsi="宋体" w:eastAsia="宋体" w:cs="宋体"/>
          <w:spacing w:val="-1"/>
          <w:sz w:val="24"/>
        </w:rPr>
        <w:t>标准框架和提纲，</w:t>
      </w:r>
      <w:r>
        <w:rPr>
          <w:rFonts w:ascii="宋体" w:hAnsi="宋体" w:eastAsia="宋体" w:cs="宋体"/>
          <w:spacing w:val="-1"/>
          <w:sz w:val="24"/>
        </w:rPr>
        <w:t>确定</w:t>
      </w:r>
      <w:r>
        <w:rPr>
          <w:rFonts w:hint="eastAsia" w:ascii="宋体" w:hAnsi="宋体" w:eastAsia="宋体" w:cs="宋体"/>
          <w:spacing w:val="-1"/>
          <w:sz w:val="24"/>
        </w:rPr>
        <w:t>标准编制工作进度安排及要求</w:t>
      </w:r>
      <w:r>
        <w:rPr>
          <w:rFonts w:ascii="宋体" w:hAnsi="宋体" w:eastAsia="宋体" w:cs="宋体"/>
          <w:spacing w:val="-1"/>
          <w:sz w:val="24"/>
        </w:rPr>
        <w:t>。</w:t>
      </w:r>
    </w:p>
    <w:p w14:paraId="21939468">
      <w:pPr>
        <w:spacing w:line="360" w:lineRule="auto"/>
        <w:ind w:left="24" w:firstLine="421"/>
        <w:rPr>
          <w:rFonts w:ascii="宋体" w:hAnsi="宋体" w:eastAsia="宋体" w:cs="宋体"/>
          <w:spacing w:val="-1"/>
          <w:sz w:val="24"/>
        </w:rPr>
      </w:pPr>
      <w:r>
        <w:rPr>
          <w:rFonts w:ascii="宋体" w:hAnsi="宋体" w:eastAsia="宋体" w:cs="宋体"/>
          <w:spacing w:val="-1"/>
          <w:sz w:val="24"/>
        </w:rPr>
        <w:t>标准起草组对国内外同类或类似标准、研究文献、研究成果等进行收集整理，</w:t>
      </w:r>
      <w:r>
        <w:rPr>
          <w:rFonts w:hint="eastAsia" w:ascii="宋体" w:hAnsi="宋体" w:eastAsia="宋体" w:cs="宋体"/>
          <w:spacing w:val="-1"/>
          <w:sz w:val="24"/>
        </w:rPr>
        <w:t>编制标准草案。起草组组织召开标准研讨会，研讨标准技术要求，</w:t>
      </w:r>
      <w:r>
        <w:rPr>
          <w:rFonts w:ascii="宋体" w:hAnsi="宋体" w:eastAsia="宋体" w:cs="宋体"/>
          <w:spacing w:val="-1"/>
          <w:sz w:val="24"/>
        </w:rPr>
        <w:t>修改</w:t>
      </w:r>
      <w:r>
        <w:rPr>
          <w:rFonts w:hint="eastAsia" w:ascii="宋体" w:hAnsi="宋体" w:eastAsia="宋体" w:cs="宋体"/>
          <w:spacing w:val="-1"/>
          <w:sz w:val="24"/>
        </w:rPr>
        <w:t>标准草案。</w:t>
      </w:r>
    </w:p>
    <w:p w14:paraId="35B121F0">
      <w:pPr>
        <w:spacing w:line="360" w:lineRule="auto"/>
        <w:ind w:left="24" w:firstLine="421"/>
        <w:rPr>
          <w:rFonts w:ascii="宋体" w:hAnsi="宋体" w:eastAsia="宋体" w:cs="宋体"/>
          <w:spacing w:val="-1"/>
          <w:sz w:val="24"/>
        </w:rPr>
      </w:pPr>
      <w:r>
        <w:rPr>
          <w:rFonts w:ascii="宋体" w:hAnsi="宋体" w:eastAsia="宋体" w:cs="宋体"/>
          <w:spacing w:val="-1"/>
          <w:sz w:val="24"/>
        </w:rPr>
        <w:t>2025</w:t>
      </w:r>
      <w:r>
        <w:rPr>
          <w:rFonts w:hint="eastAsia" w:ascii="宋体" w:hAnsi="宋体" w:eastAsia="宋体" w:cs="宋体"/>
          <w:spacing w:val="-1"/>
          <w:sz w:val="24"/>
        </w:rPr>
        <w:t>年4月，</w:t>
      </w:r>
      <w:r>
        <w:rPr>
          <w:rFonts w:ascii="宋体" w:hAnsi="宋体" w:eastAsia="宋体" w:cs="宋体"/>
          <w:spacing w:val="-1"/>
          <w:sz w:val="24"/>
        </w:rPr>
        <w:t>起草组</w:t>
      </w:r>
      <w:r>
        <w:rPr>
          <w:rFonts w:hint="eastAsia" w:ascii="宋体" w:hAnsi="宋体" w:eastAsia="宋体" w:cs="宋体"/>
          <w:spacing w:val="-1"/>
          <w:sz w:val="24"/>
        </w:rPr>
        <w:t>赴通辽牛肉片生产企业进行调研，</w:t>
      </w:r>
      <w:r>
        <w:rPr>
          <w:rFonts w:ascii="宋体" w:hAnsi="宋体" w:eastAsia="宋体" w:cs="宋体"/>
          <w:spacing w:val="-1"/>
          <w:sz w:val="24"/>
        </w:rPr>
        <w:t>通过</w:t>
      </w:r>
      <w:r>
        <w:rPr>
          <w:rFonts w:hint="eastAsia" w:ascii="宋体" w:hAnsi="宋体" w:eastAsia="宋体" w:cs="宋体"/>
          <w:spacing w:val="-1"/>
          <w:sz w:val="24"/>
        </w:rPr>
        <w:t>考察、产品理化指标测定，</w:t>
      </w:r>
      <w:r>
        <w:rPr>
          <w:rFonts w:ascii="宋体" w:hAnsi="宋体" w:eastAsia="宋体" w:cs="宋体"/>
          <w:spacing w:val="-1"/>
          <w:sz w:val="24"/>
        </w:rPr>
        <w:t>进一步</w:t>
      </w:r>
      <w:r>
        <w:rPr>
          <w:rFonts w:hint="eastAsia" w:ascii="宋体" w:hAnsi="宋体" w:eastAsia="宋体" w:cs="宋体"/>
          <w:spacing w:val="-1"/>
          <w:sz w:val="24"/>
        </w:rPr>
        <w:t>完善标准内容；</w:t>
      </w:r>
      <w:r>
        <w:rPr>
          <w:rFonts w:hint="eastAsia" w:ascii="Times New Roman" w:hAnsi="Times New Roman" w:cs="Times New Roman"/>
          <w:snapToGrid w:val="0"/>
          <w:sz w:val="24"/>
        </w:rPr>
        <w:t>202</w:t>
      </w:r>
      <w:r>
        <w:rPr>
          <w:rFonts w:ascii="Times New Roman" w:hAnsi="Times New Roman" w:cs="Times New Roman"/>
          <w:snapToGrid w:val="0"/>
          <w:sz w:val="24"/>
        </w:rPr>
        <w:t>5</w:t>
      </w:r>
      <w:r>
        <w:rPr>
          <w:rFonts w:hint="eastAsia" w:ascii="Times New Roman" w:hAnsi="Times New Roman" w:cs="Times New Roman"/>
          <w:snapToGrid w:val="0"/>
          <w:sz w:val="24"/>
        </w:rPr>
        <w:t>年</w:t>
      </w:r>
      <w:r>
        <w:rPr>
          <w:rFonts w:ascii="Times New Roman" w:hAnsi="Times New Roman" w:cs="Times New Roman"/>
          <w:snapToGrid w:val="0"/>
          <w:sz w:val="24"/>
        </w:rPr>
        <w:t>5</w:t>
      </w:r>
      <w:r>
        <w:rPr>
          <w:rFonts w:hint="eastAsia" w:ascii="Times New Roman" w:hAnsi="Times New Roman" w:cs="Times New Roman"/>
          <w:snapToGrid w:val="0"/>
          <w:sz w:val="24"/>
        </w:rPr>
        <w:t>月</w:t>
      </w:r>
      <w:r>
        <w:rPr>
          <w:rFonts w:ascii="Times New Roman" w:hAnsi="Times New Roman" w:cs="Times New Roman"/>
          <w:snapToGrid w:val="0"/>
          <w:sz w:val="24"/>
        </w:rPr>
        <w:t>15</w:t>
      </w:r>
      <w:r>
        <w:rPr>
          <w:rFonts w:hint="eastAsia" w:ascii="Times New Roman" w:hAnsi="Times New Roman" w:cs="Times New Roman"/>
          <w:snapToGrid w:val="0"/>
          <w:sz w:val="24"/>
        </w:rPr>
        <w:t>日召开了标准研讨会，</w:t>
      </w:r>
      <w:r>
        <w:rPr>
          <w:rFonts w:ascii="Times New Roman" w:hAnsi="Times New Roman" w:cs="Times New Roman"/>
          <w:snapToGrid w:val="0"/>
          <w:sz w:val="24"/>
        </w:rPr>
        <w:t>起草组根据专家意见进行了修改，</w:t>
      </w:r>
      <w:r>
        <w:rPr>
          <w:rFonts w:ascii="宋体" w:hAnsi="宋体" w:eastAsia="宋体" w:cs="宋体"/>
          <w:spacing w:val="-1"/>
          <w:sz w:val="24"/>
        </w:rPr>
        <w:t>形成标准</w:t>
      </w:r>
      <w:bookmarkEnd w:id="0"/>
      <w:r>
        <w:rPr>
          <w:rFonts w:ascii="宋体" w:hAnsi="宋体" w:eastAsia="宋体" w:cs="宋体"/>
          <w:spacing w:val="-1"/>
          <w:sz w:val="24"/>
        </w:rPr>
        <w:t>征求意见稿。</w:t>
      </w:r>
    </w:p>
    <w:p w14:paraId="676FCAF4">
      <w:pPr>
        <w:spacing w:line="360" w:lineRule="auto"/>
        <w:ind w:left="24" w:firstLine="421"/>
        <w:rPr>
          <w:rFonts w:ascii="宋体" w:hAnsi="宋体" w:eastAsia="宋体" w:cs="宋体"/>
          <w:spacing w:val="-1"/>
          <w:sz w:val="24"/>
        </w:rPr>
      </w:pPr>
      <w:r>
        <w:rPr>
          <w:rFonts w:ascii="宋体" w:hAnsi="宋体" w:eastAsia="宋体" w:cs="宋体"/>
          <w:spacing w:val="-1"/>
          <w:sz w:val="24"/>
        </w:rPr>
        <w:t>2.征求意见阶段</w:t>
      </w:r>
    </w:p>
    <w:p w14:paraId="46C9D984">
      <w:pPr>
        <w:pStyle w:val="2"/>
        <w:ind w:firstLine="420" w:firstLineChars="200"/>
      </w:pPr>
    </w:p>
    <w:p w14:paraId="48AA85DA">
      <w:pPr>
        <w:spacing w:line="360" w:lineRule="auto"/>
        <w:ind w:left="24" w:firstLine="421"/>
        <w:rPr>
          <w:rFonts w:ascii="宋体" w:hAnsi="宋体" w:eastAsia="宋体" w:cs="宋体"/>
          <w:spacing w:val="-1"/>
          <w:sz w:val="24"/>
        </w:rPr>
      </w:pPr>
      <w:r>
        <w:rPr>
          <w:rFonts w:hint="eastAsia" w:ascii="宋体" w:hAnsi="宋体" w:eastAsia="宋体" w:cs="宋体"/>
          <w:spacing w:val="-1"/>
          <w:sz w:val="24"/>
        </w:rPr>
        <w:t>3.审查阶段</w:t>
      </w:r>
    </w:p>
    <w:p w14:paraId="50DDE16C">
      <w:pPr>
        <w:spacing w:line="360" w:lineRule="auto"/>
        <w:ind w:firstLine="476" w:firstLineChars="200"/>
        <w:rPr>
          <w:rFonts w:ascii="宋体" w:hAnsi="宋体" w:eastAsia="宋体" w:cs="宋体"/>
          <w:spacing w:val="-1"/>
          <w:sz w:val="24"/>
        </w:rPr>
      </w:pPr>
    </w:p>
    <w:p w14:paraId="6B1DD548">
      <w:pPr>
        <w:pStyle w:val="5"/>
        <w:spacing w:after="0" w:line="360" w:lineRule="auto"/>
        <w:ind w:left="589"/>
        <w:outlineLvl w:val="0"/>
        <w:rPr>
          <w:rFonts w:ascii="楷体" w:hAnsi="楷体" w:eastAsia="楷体" w:cs="楷体"/>
          <w:b/>
          <w:bCs/>
          <w:spacing w:val="-8"/>
          <w:sz w:val="28"/>
          <w:szCs w:val="28"/>
        </w:rPr>
      </w:pPr>
      <w:r>
        <w:rPr>
          <w:rFonts w:ascii="楷体" w:hAnsi="楷体" w:eastAsia="楷体" w:cs="楷体"/>
          <w:b/>
          <w:bCs/>
          <w:spacing w:val="-8"/>
          <w:sz w:val="28"/>
          <w:szCs w:val="28"/>
        </w:rPr>
        <w:t>二、标准编制原则和确定标准主要内容的依据</w:t>
      </w:r>
    </w:p>
    <w:p w14:paraId="728C1E51">
      <w:pPr>
        <w:spacing w:line="360" w:lineRule="auto"/>
        <w:ind w:left="605"/>
        <w:outlineLvl w:val="2"/>
        <w:rPr>
          <w:rFonts w:ascii="楷体" w:hAnsi="楷体" w:eastAsia="楷体" w:cs="楷体"/>
          <w:sz w:val="28"/>
          <w:szCs w:val="28"/>
        </w:rPr>
      </w:pPr>
      <w:r>
        <w:rPr>
          <w:rFonts w:ascii="楷体" w:hAnsi="楷体" w:eastAsia="楷体" w:cs="楷体"/>
          <w:b/>
          <w:bCs/>
          <w:spacing w:val="-6"/>
          <w:sz w:val="28"/>
          <w:szCs w:val="28"/>
        </w:rPr>
        <w:t>（一）编制原则</w:t>
      </w:r>
    </w:p>
    <w:p w14:paraId="726900D8">
      <w:pPr>
        <w:spacing w:line="360" w:lineRule="auto"/>
        <w:ind w:firstLine="468" w:firstLineChars="200"/>
        <w:rPr>
          <w:rFonts w:ascii="宋体" w:hAnsi="宋体" w:eastAsia="宋体" w:cs="宋体"/>
          <w:spacing w:val="-3"/>
          <w:sz w:val="24"/>
        </w:rPr>
      </w:pPr>
      <w:r>
        <w:rPr>
          <w:rFonts w:hint="eastAsia" w:ascii="宋体" w:hAnsi="宋体" w:eastAsia="宋体" w:cs="宋体"/>
          <w:spacing w:val="-3"/>
          <w:sz w:val="24"/>
        </w:rPr>
        <w:t>按照GB/T 1.1-2020《标准化工作导则 第1部分：标准化文件的结构和起草规则》、GB/T 1.2-2020《标准化工作导则 第2部分：以ISO/IEC标准化文件为基础的标准化文件起草规则》、GB/T 20001.4-2015《标准编制规则 第4部分：试验方法标准》的规定和要求对标准进行修订编写。本标准的修订遵循以下原则：</w:t>
      </w:r>
    </w:p>
    <w:p w14:paraId="41526065">
      <w:pPr>
        <w:spacing w:line="360" w:lineRule="auto"/>
        <w:ind w:firstLine="468" w:firstLineChars="200"/>
        <w:rPr>
          <w:rFonts w:ascii="宋体" w:hAnsi="宋体" w:eastAsia="宋体" w:cs="宋体"/>
          <w:spacing w:val="-3"/>
          <w:sz w:val="24"/>
        </w:rPr>
      </w:pPr>
      <w:r>
        <w:rPr>
          <w:rFonts w:hint="eastAsia" w:ascii="宋体" w:hAnsi="宋体" w:eastAsia="宋体" w:cs="宋体"/>
          <w:spacing w:val="-3"/>
          <w:sz w:val="24"/>
        </w:rPr>
        <w:t>一是科学性原则。参考国内外法规、标准和有关文献资料，结合行业和产品特点，密切联系企业生产实践，科学地确定标准体系框架，并对其进行详细的说明。</w:t>
      </w:r>
    </w:p>
    <w:p w14:paraId="047410AD">
      <w:pPr>
        <w:spacing w:line="360" w:lineRule="auto"/>
        <w:ind w:firstLine="468" w:firstLineChars="200"/>
        <w:rPr>
          <w:rFonts w:ascii="宋体" w:hAnsi="宋体" w:eastAsia="宋体" w:cs="宋体"/>
          <w:spacing w:val="-3"/>
          <w:sz w:val="24"/>
        </w:rPr>
      </w:pPr>
      <w:r>
        <w:rPr>
          <w:rFonts w:hint="eastAsia" w:ascii="宋体" w:hAnsi="宋体" w:eastAsia="宋体" w:cs="宋体"/>
          <w:spacing w:val="-3"/>
          <w:sz w:val="24"/>
        </w:rPr>
        <w:t>二是适用性原则。与我国现行食品法律法规协调一致。标准内容便于实施，易于被其他标准或文件所引用，确保标准的适用性。</w:t>
      </w:r>
    </w:p>
    <w:p w14:paraId="33F610B2">
      <w:pPr>
        <w:pStyle w:val="3"/>
        <w:keepNext w:val="0"/>
        <w:keepLines w:val="0"/>
        <w:widowControl w:val="0"/>
        <w:adjustRightInd/>
        <w:snapToGrid/>
        <w:ind w:firstLine="562"/>
        <w:rPr>
          <w:rFonts w:ascii="Times New Roman" w:hAnsi="Times New Roman" w:eastAsia="楷体" w:cs="Times New Roman"/>
          <w:kern w:val="2"/>
          <w:sz w:val="28"/>
          <w:lang w:bidi="ar-SA"/>
        </w:rPr>
      </w:pPr>
      <w:r>
        <w:rPr>
          <w:rFonts w:ascii="Times New Roman" w:hAnsi="Times New Roman" w:eastAsia="楷体" w:cs="Times New Roman"/>
          <w:kern w:val="2"/>
          <w:sz w:val="28"/>
          <w:lang w:bidi="ar-SA"/>
        </w:rPr>
        <w:t>（二）主要内容的依据</w:t>
      </w:r>
    </w:p>
    <w:p w14:paraId="3C7683A1">
      <w:pPr>
        <w:widowControl/>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1 范围</w:t>
      </w:r>
    </w:p>
    <w:p w14:paraId="56CF91D3">
      <w:pPr>
        <w:pStyle w:val="18"/>
      </w:pPr>
      <w:r>
        <w:rPr>
          <w:rFonts w:hint="eastAsia"/>
        </w:rPr>
        <w:t>标准文本：</w:t>
      </w:r>
    </w:p>
    <w:p w14:paraId="29A49A66">
      <w:pPr>
        <w:spacing w:line="360" w:lineRule="auto"/>
        <w:ind w:firstLine="420"/>
        <w:rPr>
          <w:rFonts w:ascii="宋体" w:hAnsi="宋体" w:eastAsia="宋体" w:cs="宋体"/>
          <w:spacing w:val="-6"/>
          <w:sz w:val="24"/>
        </w:rPr>
      </w:pPr>
      <w:r>
        <w:rPr>
          <w:rFonts w:hint="eastAsia" w:ascii="宋体" w:hAnsi="宋体" w:eastAsia="宋体" w:cs="宋体"/>
          <w:spacing w:val="-6"/>
          <w:sz w:val="24"/>
        </w:rPr>
        <w:t>本文件规定了通辽牛肉片的术语和定义、分类、技术要求、检验方法、检验规则、标签、标志、包装、贮存、运输及销售的要求。</w:t>
      </w:r>
    </w:p>
    <w:p w14:paraId="2AC3FC8B">
      <w:pPr>
        <w:spacing w:line="360" w:lineRule="auto"/>
        <w:ind w:firstLine="420"/>
        <w:rPr>
          <w:rFonts w:ascii="宋体" w:hAnsi="宋体" w:eastAsia="宋体" w:cs="宋体"/>
          <w:b/>
          <w:bCs/>
          <w:spacing w:val="-10"/>
          <w:sz w:val="24"/>
        </w:rPr>
      </w:pPr>
      <w:r>
        <w:rPr>
          <w:rFonts w:hint="eastAsia" w:ascii="宋体" w:hAnsi="宋体" w:eastAsia="宋体" w:cs="宋体"/>
          <w:spacing w:val="-6"/>
          <w:sz w:val="24"/>
        </w:rPr>
        <w:t>本文件适用于通辽牛肉片的生产和经营。</w:t>
      </w:r>
    </w:p>
    <w:p w14:paraId="0035C2D4">
      <w:pPr>
        <w:widowControl/>
        <w:adjustRightInd w:val="0"/>
        <w:snapToGrid w:val="0"/>
        <w:spacing w:line="360" w:lineRule="auto"/>
        <w:ind w:firstLine="482" w:firstLineChars="200"/>
        <w:rPr>
          <w:rFonts w:cs="宋体" w:asciiTheme="minorEastAsia" w:hAnsiTheme="minorEastAsia"/>
          <w:b/>
          <w:kern w:val="0"/>
          <w:sz w:val="24"/>
          <w:szCs w:val="20"/>
          <w:lang w:bidi="zh-TW"/>
        </w:rPr>
      </w:pPr>
      <w:bookmarkStart w:id="1" w:name="OLE_LINK31"/>
      <w:r>
        <w:rPr>
          <w:rFonts w:hint="eastAsia" w:cs="宋体" w:asciiTheme="minorEastAsia" w:hAnsiTheme="minorEastAsia"/>
          <w:b/>
          <w:kern w:val="0"/>
          <w:sz w:val="24"/>
          <w:szCs w:val="20"/>
          <w:lang w:bidi="zh-TW"/>
        </w:rPr>
        <w:t>制定依据：</w:t>
      </w:r>
      <w:bookmarkEnd w:id="1"/>
    </w:p>
    <w:p w14:paraId="3DAC9736">
      <w:pPr>
        <w:spacing w:line="360" w:lineRule="auto"/>
        <w:ind w:left="444"/>
        <w:rPr>
          <w:rFonts w:ascii="宋体" w:hAnsi="宋体" w:eastAsia="宋体" w:cs="宋体"/>
          <w:sz w:val="24"/>
        </w:rPr>
      </w:pPr>
      <w:r>
        <w:rPr>
          <w:rFonts w:ascii="宋体" w:hAnsi="宋体" w:eastAsia="宋体" w:cs="宋体"/>
          <w:spacing w:val="-2"/>
          <w:sz w:val="24"/>
        </w:rPr>
        <w:t>本条规定了</w:t>
      </w:r>
      <w:r>
        <w:rPr>
          <w:rFonts w:hint="eastAsia" w:ascii="宋体" w:hAnsi="宋体" w:eastAsia="宋体" w:cs="宋体"/>
          <w:spacing w:val="-2"/>
          <w:sz w:val="24"/>
        </w:rPr>
        <w:t>通辽牛肉片</w:t>
      </w:r>
      <w:r>
        <w:rPr>
          <w:rFonts w:ascii="宋体" w:hAnsi="宋体" w:eastAsia="宋体" w:cs="宋体"/>
          <w:spacing w:val="-2"/>
          <w:sz w:val="24"/>
        </w:rPr>
        <w:t>所涉及的各方面技术内容及适用范围。</w:t>
      </w:r>
    </w:p>
    <w:p w14:paraId="2131BA2D">
      <w:pPr>
        <w:spacing w:line="360" w:lineRule="auto"/>
        <w:ind w:left="23" w:firstLine="420"/>
        <w:rPr>
          <w:rFonts w:ascii="宋体" w:hAnsi="宋体" w:eastAsia="宋体" w:cs="宋体"/>
          <w:spacing w:val="-4"/>
          <w:sz w:val="24"/>
        </w:rPr>
      </w:pPr>
      <w:r>
        <w:rPr>
          <w:rFonts w:hint="eastAsia" w:ascii="宋体" w:hAnsi="宋体" w:eastAsia="宋体" w:cs="宋体"/>
          <w:spacing w:val="-5"/>
          <w:sz w:val="24"/>
        </w:rPr>
        <w:t>本文件</w:t>
      </w:r>
      <w:r>
        <w:rPr>
          <w:rFonts w:ascii="宋体" w:hAnsi="宋体" w:eastAsia="宋体" w:cs="宋体"/>
          <w:spacing w:val="-5"/>
          <w:sz w:val="24"/>
        </w:rPr>
        <w:t>规定的技术内容包括</w:t>
      </w:r>
      <w:r>
        <w:rPr>
          <w:rFonts w:hint="eastAsia" w:ascii="宋体" w:hAnsi="宋体" w:eastAsia="宋体" w:cs="宋体"/>
          <w:spacing w:val="-5"/>
          <w:sz w:val="24"/>
        </w:rPr>
        <w:t>通辽牛肉片产品分类，技术</w:t>
      </w:r>
      <w:r>
        <w:rPr>
          <w:rFonts w:ascii="宋体" w:hAnsi="宋体" w:eastAsia="宋体" w:cs="宋体"/>
          <w:spacing w:val="-5"/>
          <w:sz w:val="24"/>
        </w:rPr>
        <w:t>要求；</w:t>
      </w:r>
      <w:r>
        <w:rPr>
          <w:rFonts w:ascii="宋体" w:hAnsi="宋体" w:eastAsia="宋体" w:cs="宋体"/>
          <w:spacing w:val="-6"/>
          <w:sz w:val="24"/>
        </w:rPr>
        <w:t>同时对</w:t>
      </w:r>
      <w:r>
        <w:rPr>
          <w:rFonts w:hint="eastAsia" w:ascii="宋体" w:hAnsi="宋体" w:eastAsia="宋体" w:cs="宋体"/>
          <w:spacing w:val="-6"/>
          <w:sz w:val="24"/>
        </w:rPr>
        <w:t>成品的检验方法，检验规则</w:t>
      </w:r>
      <w:r>
        <w:rPr>
          <w:rFonts w:ascii="宋体" w:hAnsi="宋体" w:eastAsia="宋体" w:cs="宋体"/>
          <w:spacing w:val="-7"/>
          <w:sz w:val="24"/>
        </w:rPr>
        <w:t>作出规定；包装、标</w:t>
      </w:r>
      <w:r>
        <w:rPr>
          <w:rFonts w:ascii="宋体" w:hAnsi="宋体" w:eastAsia="宋体" w:cs="宋体"/>
          <w:spacing w:val="-6"/>
          <w:sz w:val="24"/>
        </w:rPr>
        <w:t>签与</w:t>
      </w:r>
      <w:r>
        <w:rPr>
          <w:rFonts w:hint="eastAsia" w:ascii="宋体" w:hAnsi="宋体" w:eastAsia="宋体" w:cs="宋体"/>
          <w:spacing w:val="-6"/>
          <w:sz w:val="24"/>
        </w:rPr>
        <w:t>标志</w:t>
      </w:r>
      <w:r>
        <w:rPr>
          <w:rFonts w:ascii="宋体" w:hAnsi="宋体" w:eastAsia="宋体" w:cs="宋体"/>
          <w:spacing w:val="-6"/>
          <w:sz w:val="24"/>
        </w:rPr>
        <w:t>方面，规定了</w:t>
      </w:r>
      <w:r>
        <w:rPr>
          <w:rFonts w:hint="eastAsia" w:ascii="宋体" w:hAnsi="宋体" w:eastAsia="宋体" w:cs="宋体"/>
          <w:spacing w:val="-6"/>
          <w:sz w:val="24"/>
        </w:rPr>
        <w:t>通辽牛肉片</w:t>
      </w:r>
      <w:r>
        <w:rPr>
          <w:rFonts w:ascii="宋体" w:hAnsi="宋体" w:eastAsia="宋体" w:cs="宋体"/>
          <w:spacing w:val="-6"/>
          <w:sz w:val="24"/>
        </w:rPr>
        <w:t>生产应当满足的包装、标签与标识</w:t>
      </w:r>
      <w:r>
        <w:rPr>
          <w:rFonts w:ascii="宋体" w:hAnsi="宋体" w:eastAsia="宋体" w:cs="宋体"/>
          <w:spacing w:val="-7"/>
          <w:sz w:val="24"/>
        </w:rPr>
        <w:t>要求；</w:t>
      </w:r>
      <w:r>
        <w:rPr>
          <w:rFonts w:hint="eastAsia" w:ascii="宋体" w:hAnsi="宋体" w:eastAsia="宋体" w:cs="宋体"/>
          <w:spacing w:val="-7"/>
          <w:sz w:val="24"/>
        </w:rPr>
        <w:t>本文件</w:t>
      </w:r>
      <w:r>
        <w:rPr>
          <w:rFonts w:ascii="宋体" w:hAnsi="宋体" w:eastAsia="宋体" w:cs="宋体"/>
          <w:spacing w:val="-7"/>
          <w:sz w:val="24"/>
        </w:rPr>
        <w:t>还对</w:t>
      </w:r>
      <w:r>
        <w:rPr>
          <w:rFonts w:hint="eastAsia" w:ascii="宋体" w:hAnsi="宋体" w:eastAsia="宋体" w:cs="宋体"/>
          <w:spacing w:val="-6"/>
          <w:sz w:val="24"/>
        </w:rPr>
        <w:t>通辽牛肉片的贮</w:t>
      </w:r>
      <w:r>
        <w:rPr>
          <w:rFonts w:ascii="宋体" w:hAnsi="宋体" w:eastAsia="宋体" w:cs="宋体"/>
          <w:spacing w:val="-6"/>
          <w:sz w:val="24"/>
        </w:rPr>
        <w:t>存与运输、</w:t>
      </w:r>
      <w:r>
        <w:rPr>
          <w:rFonts w:hint="eastAsia" w:ascii="宋体" w:hAnsi="宋体" w:eastAsia="宋体" w:cs="宋体"/>
          <w:spacing w:val="-6"/>
          <w:sz w:val="24"/>
        </w:rPr>
        <w:t>销售</w:t>
      </w:r>
      <w:r>
        <w:rPr>
          <w:rFonts w:ascii="宋体" w:hAnsi="宋体" w:eastAsia="宋体" w:cs="宋体"/>
          <w:spacing w:val="-6"/>
          <w:sz w:val="24"/>
        </w:rPr>
        <w:t>方面的技术要求作了规定</w:t>
      </w:r>
      <w:r>
        <w:rPr>
          <w:rFonts w:ascii="宋体" w:hAnsi="宋体" w:eastAsia="宋体" w:cs="宋体"/>
          <w:spacing w:val="-4"/>
          <w:sz w:val="24"/>
        </w:rPr>
        <w:t>。</w:t>
      </w:r>
    </w:p>
    <w:p w14:paraId="0BC015BC">
      <w:pPr>
        <w:spacing w:line="360" w:lineRule="auto"/>
        <w:ind w:left="23" w:firstLine="420"/>
        <w:rPr>
          <w:rFonts w:ascii="宋体" w:hAnsi="宋体" w:eastAsia="宋体" w:cs="宋体"/>
          <w:spacing w:val="-4"/>
          <w:sz w:val="24"/>
        </w:rPr>
      </w:pPr>
      <w:r>
        <w:rPr>
          <w:rFonts w:hint="eastAsia" w:ascii="宋体" w:hAnsi="宋体" w:eastAsia="宋体" w:cs="宋体"/>
          <w:spacing w:val="-4"/>
          <w:sz w:val="24"/>
        </w:rPr>
        <w:t>本文件适用于通辽牛肉片的生产、检验和销售。</w:t>
      </w:r>
    </w:p>
    <w:p w14:paraId="132E59CC">
      <w:pPr>
        <w:pStyle w:val="22"/>
        <w:spacing w:beforeLines="0" w:afterLines="0" w:line="360" w:lineRule="auto"/>
        <w:ind w:firstLine="482" w:firstLineChars="200"/>
        <w:rPr>
          <w:rFonts w:ascii="Times New Roman" w:eastAsia="宋体"/>
          <w:b/>
          <w:bCs/>
          <w:snapToGrid w:val="0"/>
          <w:sz w:val="24"/>
          <w:szCs w:val="24"/>
        </w:rPr>
      </w:pPr>
      <w:bookmarkStart w:id="2" w:name="_Toc34064618"/>
      <w:bookmarkStart w:id="3" w:name="_Toc34064676"/>
      <w:bookmarkStart w:id="4" w:name="OLE_LINK34"/>
      <w:r>
        <w:rPr>
          <w:rFonts w:ascii="Times New Roman" w:eastAsia="宋体"/>
          <w:b/>
          <w:bCs/>
          <w:snapToGrid w:val="0"/>
          <w:sz w:val="24"/>
          <w:szCs w:val="24"/>
        </w:rPr>
        <w:t>2 规范性引用文件</w:t>
      </w:r>
      <w:bookmarkEnd w:id="2"/>
      <w:bookmarkEnd w:id="3"/>
    </w:p>
    <w:bookmarkEnd w:id="4"/>
    <w:p w14:paraId="14185F55">
      <w:pPr>
        <w:pStyle w:val="18"/>
      </w:pPr>
      <w:r>
        <w:rPr>
          <w:rFonts w:hint="eastAsia"/>
        </w:rPr>
        <w:t>标准文本：</w:t>
      </w:r>
    </w:p>
    <w:p w14:paraId="609954A6">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DBCA510">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GB/T 191  包装储运图示标志</w:t>
      </w:r>
    </w:p>
    <w:p w14:paraId="39153393">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2707  食品安全国家标准  鲜（冻）畜、禽产品</w:t>
      </w:r>
    </w:p>
    <w:p w14:paraId="7D68634B">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2760  食品安全国家标准  食品添加剂使用标准</w:t>
      </w:r>
    </w:p>
    <w:p w14:paraId="28B62CBC">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 xml:space="preserve">GB 2762  食品安全国家标准  食品中污染物限量 </w:t>
      </w:r>
    </w:p>
    <w:p w14:paraId="40FC9380">
      <w:pPr>
        <w:widowControl/>
        <w:adjustRightInd w:val="0"/>
        <w:snapToGrid w:val="0"/>
        <w:spacing w:line="360" w:lineRule="auto"/>
        <w:ind w:firstLine="452" w:firstLineChars="200"/>
        <w:rPr>
          <w:rFonts w:hint="eastAsia" w:ascii="宋体" w:hAnsi="宋体" w:eastAsia="宋体" w:cs="宋体"/>
          <w:spacing w:val="-7"/>
          <w:sz w:val="24"/>
        </w:rPr>
      </w:pPr>
      <w:r>
        <w:rPr>
          <w:rFonts w:hint="eastAsia" w:ascii="宋体" w:hAnsi="宋体" w:eastAsia="宋体" w:cs="宋体"/>
          <w:spacing w:val="-7"/>
          <w:sz w:val="24"/>
        </w:rPr>
        <w:t>GB 4789.2  食品安全国家标准  食品微生物学检验  菌落总数测定</w:t>
      </w:r>
    </w:p>
    <w:p w14:paraId="60DA8443">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4789.3  食品安全国家标准  食品微生物学检验  大肠菌群计数</w:t>
      </w:r>
    </w:p>
    <w:p w14:paraId="6FDEDEC4">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4806.7  食品安全国家标准 食品接触用塑料材料及制品</w:t>
      </w:r>
    </w:p>
    <w:p w14:paraId="5415076D">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 xml:space="preserve">GB 5009.5  食品安全国家标准  食品中蛋白质的测定 </w:t>
      </w:r>
    </w:p>
    <w:p w14:paraId="45CAD51C">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5009.6  食品安全国家标准  食品中脂肪的测定</w:t>
      </w:r>
    </w:p>
    <w:p w14:paraId="596BD50B">
      <w:pPr>
        <w:widowControl/>
        <w:adjustRightInd w:val="0"/>
        <w:snapToGrid w:val="0"/>
        <w:spacing w:line="360" w:lineRule="auto"/>
        <w:ind w:firstLine="452" w:firstLineChars="200"/>
        <w:rPr>
          <w:rFonts w:hint="eastAsia" w:ascii="宋体" w:hAnsi="宋体" w:eastAsia="宋体" w:cs="宋体"/>
          <w:spacing w:val="-7"/>
          <w:sz w:val="24"/>
        </w:rPr>
      </w:pPr>
      <w:r>
        <w:rPr>
          <w:rFonts w:hint="eastAsia" w:ascii="宋体" w:hAnsi="宋体" w:eastAsia="宋体" w:cs="宋体"/>
          <w:spacing w:val="-7"/>
          <w:sz w:val="24"/>
        </w:rPr>
        <w:t>GB 5009.227  食品安全国家标准  食品中过氧化值的测定</w:t>
      </w:r>
    </w:p>
    <w:p w14:paraId="18D8FBE3">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5009.228  食品安全国家标准 食品中挥发性盐基氮的测定</w:t>
      </w:r>
    </w:p>
    <w:p w14:paraId="115E7E53">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GB/T 6543  运输包装用单瓦楞纸箱和双瓦楞纸箱</w:t>
      </w:r>
    </w:p>
    <w:p w14:paraId="7120DFE2">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7718  食品安全国家标准  预包装食品标签通则</w:t>
      </w:r>
    </w:p>
    <w:p w14:paraId="1539E7FA">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GB/T 17238 鲜、冻分割牛肉</w:t>
      </w:r>
    </w:p>
    <w:p w14:paraId="6985137F">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18394  畜禽肉水分限量</w:t>
      </w:r>
    </w:p>
    <w:p w14:paraId="3149D963">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19295  食品安全国家标准  速冻米面与调制食品</w:t>
      </w:r>
    </w:p>
    <w:p w14:paraId="7925742B">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GB/T 20575  鲜、冻肉生产良好操作规范</w:t>
      </w:r>
    </w:p>
    <w:p w14:paraId="2CE68138">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20799  食品安全国家标准  肉和肉制品经营卫生规范</w:t>
      </w:r>
    </w:p>
    <w:p w14:paraId="21F814E4">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28050  食品安全国家标准  预包装食品营养标签通则</w:t>
      </w:r>
    </w:p>
    <w:p w14:paraId="31A9D8F6">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31605  食品安全国家标准  食品冷链物流卫生规范</w:t>
      </w:r>
    </w:p>
    <w:p w14:paraId="5BF52A7C">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31646  食品安全国家标准  速冻食品生产和经营卫生规范</w:t>
      </w:r>
    </w:p>
    <w:p w14:paraId="676BBE12">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GB 31661  食品安全国家标准  调制肉制品生产卫生规范</w:t>
      </w:r>
    </w:p>
    <w:p w14:paraId="1185A645">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NY/T 2799  绿色食品  畜肉</w:t>
      </w:r>
    </w:p>
    <w:p w14:paraId="2B67AF60">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NY/T 3524  冷冻肉解冻技术规范</w:t>
      </w:r>
    </w:p>
    <w:p w14:paraId="43BFD2DC">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NY/T 3905  冷冻肉解冻失水率的测定</w:t>
      </w:r>
    </w:p>
    <w:p w14:paraId="31092BB9">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JJF 1070  定量包装商品净含量计量检验规则</w:t>
      </w:r>
    </w:p>
    <w:p w14:paraId="47DF1DF7">
      <w:pPr>
        <w:widowControl/>
        <w:adjustRightInd w:val="0"/>
        <w:snapToGrid w:val="0"/>
        <w:spacing w:line="360" w:lineRule="auto"/>
        <w:ind w:firstLine="452" w:firstLineChars="200"/>
        <w:rPr>
          <w:rFonts w:ascii="宋体" w:hAnsi="宋体" w:eastAsia="宋体" w:cs="宋体"/>
          <w:spacing w:val="-7"/>
          <w:sz w:val="24"/>
        </w:rPr>
      </w:pPr>
      <w:r>
        <w:rPr>
          <w:rFonts w:hint="eastAsia" w:ascii="宋体" w:hAnsi="宋体" w:eastAsia="宋体" w:cs="宋体"/>
          <w:spacing w:val="-7"/>
          <w:sz w:val="24"/>
        </w:rPr>
        <w:t>T/CMATB 3012  通辽牛肉</w:t>
      </w:r>
    </w:p>
    <w:p w14:paraId="15BFA943">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74CD3518">
      <w:pPr>
        <w:spacing w:line="360" w:lineRule="auto"/>
        <w:ind w:firstLine="420"/>
        <w:rPr>
          <w:rFonts w:ascii="宋体" w:hAnsi="宋体" w:eastAsia="宋体" w:cs="宋体"/>
          <w:spacing w:val="-3"/>
          <w:sz w:val="24"/>
        </w:rPr>
      </w:pPr>
      <w:r>
        <w:rPr>
          <w:rFonts w:ascii="宋体" w:hAnsi="宋体" w:eastAsia="宋体" w:cs="宋体"/>
          <w:spacing w:val="-3"/>
          <w:sz w:val="24"/>
        </w:rPr>
        <w:t>本条列出了</w:t>
      </w:r>
      <w:r>
        <w:rPr>
          <w:rFonts w:hint="eastAsia" w:ascii="宋体" w:hAnsi="宋体" w:eastAsia="宋体" w:cs="宋体"/>
          <w:spacing w:val="-3"/>
          <w:sz w:val="24"/>
        </w:rPr>
        <w:t>本文件</w:t>
      </w:r>
      <w:r>
        <w:rPr>
          <w:rFonts w:ascii="宋体" w:hAnsi="宋体" w:eastAsia="宋体" w:cs="宋体"/>
          <w:spacing w:val="-3"/>
          <w:sz w:val="24"/>
        </w:rPr>
        <w:t>中规范引用的其他文件清单</w:t>
      </w:r>
      <w:r>
        <w:rPr>
          <w:rFonts w:hint="eastAsia" w:ascii="宋体" w:hAnsi="宋体" w:eastAsia="宋体" w:cs="宋体"/>
          <w:spacing w:val="-3"/>
          <w:sz w:val="24"/>
        </w:rPr>
        <w:t>。</w:t>
      </w:r>
    </w:p>
    <w:p w14:paraId="6A042FEA">
      <w:pPr>
        <w:pStyle w:val="22"/>
        <w:spacing w:beforeLines="0" w:afterLines="0" w:line="360" w:lineRule="auto"/>
        <w:ind w:firstLine="482" w:firstLineChars="200"/>
        <w:rPr>
          <w:rFonts w:ascii="Times New Roman" w:eastAsia="宋体"/>
          <w:b/>
          <w:bCs/>
          <w:snapToGrid w:val="0"/>
          <w:sz w:val="24"/>
          <w:szCs w:val="24"/>
        </w:rPr>
      </w:pPr>
      <w:r>
        <w:rPr>
          <w:rFonts w:hint="eastAsia" w:ascii="Times New Roman" w:eastAsia="宋体"/>
          <w:b/>
          <w:bCs/>
          <w:snapToGrid w:val="0"/>
          <w:sz w:val="24"/>
          <w:szCs w:val="24"/>
        </w:rPr>
        <w:t>3 术语和定义</w:t>
      </w:r>
    </w:p>
    <w:p w14:paraId="7F7ADE0A">
      <w:pPr>
        <w:pStyle w:val="18"/>
      </w:pPr>
      <w:r>
        <w:rPr>
          <w:rFonts w:hint="eastAsia"/>
        </w:rPr>
        <w:t>标准文本</w:t>
      </w:r>
    </w:p>
    <w:p w14:paraId="046762FA">
      <w:pPr>
        <w:widowControl/>
        <w:adjustRightInd w:val="0"/>
        <w:snapToGrid w:val="0"/>
        <w:spacing w:line="360" w:lineRule="auto"/>
        <w:ind w:firstLine="452" w:firstLineChars="200"/>
        <w:rPr>
          <w:rFonts w:ascii="宋体" w:hAnsi="宋体" w:eastAsia="宋体" w:cs="宋体"/>
          <w:spacing w:val="-7"/>
          <w:sz w:val="24"/>
        </w:rPr>
      </w:pPr>
      <w:bookmarkStart w:id="5" w:name="_Toc22135202"/>
      <w:bookmarkEnd w:id="5"/>
      <w:bookmarkStart w:id="6" w:name="_Toc20410161"/>
      <w:bookmarkEnd w:id="6"/>
      <w:bookmarkStart w:id="7" w:name="_Toc21982429"/>
      <w:bookmarkEnd w:id="7"/>
      <w:bookmarkStart w:id="8" w:name="_Toc21982427"/>
      <w:bookmarkEnd w:id="8"/>
      <w:bookmarkStart w:id="9" w:name="_Toc21982140"/>
      <w:bookmarkEnd w:id="9"/>
      <w:bookmarkStart w:id="10" w:name="_Toc22135206"/>
      <w:bookmarkEnd w:id="10"/>
      <w:bookmarkStart w:id="11" w:name="_Toc20317841"/>
      <w:bookmarkEnd w:id="11"/>
      <w:bookmarkStart w:id="12" w:name="_Toc21982433"/>
      <w:bookmarkEnd w:id="12"/>
      <w:bookmarkStart w:id="13" w:name="_Toc16171937"/>
      <w:bookmarkEnd w:id="13"/>
      <w:bookmarkStart w:id="14" w:name="_Toc16172015"/>
      <w:bookmarkEnd w:id="14"/>
      <w:bookmarkStart w:id="15" w:name="_Toc20235282"/>
      <w:bookmarkEnd w:id="15"/>
      <w:bookmarkStart w:id="16" w:name="_Toc21982146"/>
      <w:bookmarkEnd w:id="16"/>
      <w:bookmarkStart w:id="17" w:name="_Toc21982142"/>
      <w:bookmarkEnd w:id="17"/>
      <w:bookmarkStart w:id="18" w:name="_Toc20236397"/>
      <w:bookmarkEnd w:id="18"/>
      <w:r>
        <w:rPr>
          <w:rFonts w:hint="eastAsia" w:ascii="宋体" w:hAnsi="宋体" w:eastAsia="宋体" w:cs="宋体"/>
          <w:spacing w:val="-7"/>
          <w:sz w:val="24"/>
        </w:rPr>
        <w:t>T/CMATB 3012规定的以及</w:t>
      </w:r>
      <w:r>
        <w:rPr>
          <w:rFonts w:ascii="宋体" w:hAnsi="宋体" w:eastAsia="宋体" w:cs="宋体"/>
          <w:spacing w:val="-7"/>
          <w:sz w:val="24"/>
        </w:rPr>
        <w:t>下列术语和定义适用于本文件。</w:t>
      </w:r>
    </w:p>
    <w:p w14:paraId="5A0D15AA">
      <w:pPr>
        <w:pStyle w:val="17"/>
        <w:tabs>
          <w:tab w:val="clear" w:pos="360"/>
        </w:tabs>
        <w:spacing w:before="156" w:beforeLines="50" w:after="156" w:afterLines="50"/>
        <w:rPr>
          <w:rFonts w:eastAsia="宋体"/>
          <w:snapToGrid w:val="0"/>
          <w:sz w:val="24"/>
          <w:szCs w:val="24"/>
        </w:rPr>
      </w:pPr>
      <w:r>
        <w:rPr>
          <w:rFonts w:hint="eastAsia" w:eastAsia="宋体"/>
          <w:snapToGrid w:val="0"/>
          <w:sz w:val="24"/>
          <w:szCs w:val="24"/>
        </w:rPr>
        <w:t>3.</w:t>
      </w:r>
      <w:r>
        <w:rPr>
          <w:rFonts w:eastAsia="宋体"/>
          <w:snapToGrid w:val="0"/>
          <w:sz w:val="24"/>
          <w:szCs w:val="24"/>
        </w:rPr>
        <w:t>1</w:t>
      </w:r>
    </w:p>
    <w:p w14:paraId="430513FF">
      <w:pPr>
        <w:pStyle w:val="17"/>
        <w:numPr>
          <w:ilvl w:val="1"/>
          <w:numId w:val="0"/>
        </w:numPr>
        <w:tabs>
          <w:tab w:val="clear" w:pos="360"/>
        </w:tabs>
        <w:spacing w:before="156" w:beforeLines="50" w:after="156" w:afterLines="50"/>
        <w:ind w:firstLine="480" w:firstLineChars="200"/>
        <w:rPr>
          <w:rFonts w:eastAsia="宋体"/>
          <w:snapToGrid w:val="0"/>
          <w:sz w:val="24"/>
          <w:szCs w:val="24"/>
        </w:rPr>
      </w:pPr>
      <w:r>
        <w:rPr>
          <w:rFonts w:hint="eastAsia" w:eastAsia="宋体"/>
          <w:snapToGrid w:val="0"/>
          <w:sz w:val="24"/>
          <w:szCs w:val="24"/>
        </w:rPr>
        <w:t xml:space="preserve">通辽牛肉片 </w:t>
      </w:r>
      <w:r>
        <w:rPr>
          <w:rFonts w:eastAsia="宋体"/>
          <w:snapToGrid w:val="0"/>
          <w:sz w:val="24"/>
          <w:szCs w:val="24"/>
        </w:rPr>
        <w:t>Tongliao</w:t>
      </w:r>
      <w:r>
        <w:rPr>
          <w:rFonts w:hint="eastAsia" w:eastAsia="宋体"/>
          <w:snapToGrid w:val="0"/>
          <w:sz w:val="24"/>
          <w:szCs w:val="24"/>
        </w:rPr>
        <w:t xml:space="preserve"> </w:t>
      </w:r>
      <w:r>
        <w:rPr>
          <w:rFonts w:eastAsia="宋体"/>
          <w:snapToGrid w:val="0"/>
          <w:sz w:val="24"/>
          <w:szCs w:val="24"/>
        </w:rPr>
        <w:t>beef slices</w:t>
      </w:r>
    </w:p>
    <w:p w14:paraId="34DCE412">
      <w:pPr>
        <w:pStyle w:val="18"/>
        <w:ind w:firstLine="480"/>
        <w:rPr>
          <w:b w:val="0"/>
          <w:szCs w:val="24"/>
        </w:rPr>
      </w:pPr>
      <w:r>
        <w:rPr>
          <w:rFonts w:hint="eastAsia"/>
          <w:b w:val="0"/>
          <w:szCs w:val="24"/>
        </w:rPr>
        <w:t>在通辽地区生产的，以鲜（</w:t>
      </w:r>
      <w:r>
        <w:rPr>
          <w:b w:val="0"/>
          <w:szCs w:val="24"/>
        </w:rPr>
        <w:t>冻</w:t>
      </w:r>
      <w:r>
        <w:rPr>
          <w:rFonts w:hint="eastAsia"/>
          <w:b w:val="0"/>
          <w:szCs w:val="24"/>
        </w:rPr>
        <w:t>）通辽牛肉为原料，经前处理、调理（或不调理）、</w:t>
      </w:r>
      <w:r>
        <w:rPr>
          <w:b w:val="0"/>
          <w:szCs w:val="24"/>
        </w:rPr>
        <w:t>成型</w:t>
      </w:r>
      <w:r>
        <w:rPr>
          <w:rFonts w:hint="eastAsia"/>
          <w:b w:val="0"/>
          <w:szCs w:val="24"/>
        </w:rPr>
        <w:t>（或不成型）、速冻、</w:t>
      </w:r>
      <w:r>
        <w:rPr>
          <w:b w:val="0"/>
          <w:szCs w:val="24"/>
        </w:rPr>
        <w:t>切片</w:t>
      </w:r>
      <w:r>
        <w:rPr>
          <w:rFonts w:hint="eastAsia"/>
          <w:b w:val="0"/>
          <w:szCs w:val="24"/>
        </w:rPr>
        <w:t>（或成卷）等工艺制作的卷状薄片类产品。</w:t>
      </w:r>
    </w:p>
    <w:p w14:paraId="42DA92C1">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563CC1A4">
      <w:pPr>
        <w:pStyle w:val="5"/>
        <w:spacing w:after="0" w:line="360" w:lineRule="auto"/>
        <w:ind w:firstLine="420"/>
        <w:jc w:val="left"/>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本条定义了通辽牛肉片、非调理类</w:t>
      </w:r>
      <w:r>
        <w:rPr>
          <w:rFonts w:ascii="宋体" w:hAnsi="Times New Roman" w:eastAsia="宋体" w:cs="Times New Roman"/>
          <w:snapToGrid w:val="0"/>
          <w:kern w:val="0"/>
          <w:sz w:val="24"/>
        </w:rPr>
        <w:t>通辽</w:t>
      </w:r>
      <w:r>
        <w:rPr>
          <w:rFonts w:hint="eastAsia" w:ascii="宋体" w:hAnsi="Times New Roman" w:eastAsia="宋体" w:cs="Times New Roman"/>
          <w:snapToGrid w:val="0"/>
          <w:kern w:val="0"/>
          <w:sz w:val="24"/>
        </w:rPr>
        <w:t>牛肉片、调理类通辽牛肉片的概念。</w:t>
      </w:r>
    </w:p>
    <w:p w14:paraId="73DD8E03">
      <w:pPr>
        <w:pStyle w:val="5"/>
        <w:spacing w:after="0" w:line="360" w:lineRule="auto"/>
        <w:ind w:firstLine="420"/>
        <w:jc w:val="left"/>
        <w:rPr>
          <w:rFonts w:ascii="宋体" w:hAnsi="宋体" w:eastAsia="宋体" w:cs="宋体"/>
          <w:spacing w:val="-7"/>
          <w:sz w:val="24"/>
        </w:rPr>
      </w:pPr>
      <w:r>
        <w:rPr>
          <w:rFonts w:hint="eastAsia" w:ascii="宋体" w:hAnsi="Times New Roman" w:eastAsia="宋体" w:cs="Times New Roman"/>
          <w:snapToGrid w:val="0"/>
          <w:kern w:val="0"/>
          <w:sz w:val="24"/>
        </w:rPr>
        <w:t>T/CMATB 3012《</w:t>
      </w:r>
      <w:r>
        <w:rPr>
          <w:rFonts w:ascii="宋体" w:hAnsi="Times New Roman" w:eastAsia="宋体" w:cs="Times New Roman"/>
          <w:snapToGrid w:val="0"/>
          <w:kern w:val="0"/>
          <w:sz w:val="24"/>
        </w:rPr>
        <w:t>通辽</w:t>
      </w:r>
      <w:r>
        <w:rPr>
          <w:rFonts w:hint="eastAsia" w:ascii="宋体" w:hAnsi="Times New Roman" w:eastAsia="宋体" w:cs="Times New Roman"/>
          <w:snapToGrid w:val="0"/>
          <w:kern w:val="0"/>
          <w:sz w:val="24"/>
        </w:rPr>
        <w:t>牛肉》是通辽牛肉标准体系的首个标准和最基础的标准，首次</w:t>
      </w:r>
      <w:r>
        <w:rPr>
          <w:rFonts w:ascii="宋体" w:hAnsi="Times New Roman" w:eastAsia="宋体" w:cs="Times New Roman"/>
          <w:snapToGrid w:val="0"/>
          <w:kern w:val="0"/>
          <w:sz w:val="24"/>
        </w:rPr>
        <w:t>明确</w:t>
      </w:r>
      <w:r>
        <w:rPr>
          <w:rFonts w:hint="eastAsia" w:ascii="宋体" w:hAnsi="Times New Roman" w:eastAsia="宋体" w:cs="Times New Roman"/>
          <w:snapToGrid w:val="0"/>
          <w:kern w:val="0"/>
          <w:sz w:val="24"/>
        </w:rPr>
        <w:t>了通辽肉牛和通辽牛肉的定义。本文件也是通辽牛肉标准体系的重要</w:t>
      </w:r>
      <w:r>
        <w:rPr>
          <w:rFonts w:ascii="宋体" w:hAnsi="Times New Roman" w:eastAsia="宋体" w:cs="Times New Roman"/>
          <w:snapToGrid w:val="0"/>
          <w:kern w:val="0"/>
          <w:sz w:val="24"/>
        </w:rPr>
        <w:t>组成</w:t>
      </w:r>
      <w:r>
        <w:rPr>
          <w:rFonts w:hint="eastAsia" w:ascii="宋体" w:hAnsi="Times New Roman" w:eastAsia="宋体" w:cs="Times New Roman"/>
          <w:snapToGrid w:val="0"/>
          <w:kern w:val="0"/>
          <w:sz w:val="24"/>
        </w:rPr>
        <w:t>部分，</w:t>
      </w:r>
      <w:r>
        <w:rPr>
          <w:rFonts w:ascii="宋体" w:hAnsi="Times New Roman" w:eastAsia="宋体" w:cs="Times New Roman"/>
          <w:snapToGrid w:val="0"/>
          <w:kern w:val="0"/>
          <w:sz w:val="24"/>
        </w:rPr>
        <w:t>因此</w:t>
      </w:r>
      <w:r>
        <w:rPr>
          <w:rFonts w:hint="eastAsia" w:ascii="宋体" w:hAnsi="Times New Roman" w:eastAsia="宋体" w:cs="Times New Roman"/>
          <w:snapToGrid w:val="0"/>
          <w:kern w:val="0"/>
          <w:sz w:val="24"/>
        </w:rPr>
        <w:t>直接引用T/CMATB 3012的已有术语，</w:t>
      </w:r>
      <w:r>
        <w:rPr>
          <w:rFonts w:ascii="宋体" w:hAnsi="Times New Roman" w:eastAsia="宋体" w:cs="Times New Roman"/>
          <w:snapToGrid w:val="0"/>
          <w:kern w:val="0"/>
          <w:sz w:val="24"/>
        </w:rPr>
        <w:t>以</w:t>
      </w:r>
      <w:r>
        <w:rPr>
          <w:rFonts w:hint="eastAsia" w:ascii="宋体" w:hAnsi="Times New Roman" w:eastAsia="宋体" w:cs="Times New Roman"/>
          <w:snapToGrid w:val="0"/>
          <w:kern w:val="0"/>
          <w:sz w:val="24"/>
        </w:rPr>
        <w:t>保持与通辽牛肉系列标准的统一性和一致性。同时，结合通辽地区牛肉片的生产实际及产品类型，经起草组成员讨论、</w:t>
      </w:r>
      <w:r>
        <w:rPr>
          <w:rFonts w:ascii="宋体" w:hAnsi="Times New Roman" w:eastAsia="宋体" w:cs="Times New Roman"/>
          <w:snapToGrid w:val="0"/>
          <w:kern w:val="0"/>
          <w:sz w:val="24"/>
        </w:rPr>
        <w:t>实地</w:t>
      </w:r>
      <w:r>
        <w:rPr>
          <w:rFonts w:hint="eastAsia" w:ascii="宋体" w:hAnsi="Times New Roman" w:eastAsia="宋体" w:cs="Times New Roman"/>
          <w:snapToGrid w:val="0"/>
          <w:kern w:val="0"/>
          <w:sz w:val="24"/>
        </w:rPr>
        <w:t>考察调研及研讨，首次提出了通辽牛肉片的定义，特别是</w:t>
      </w:r>
      <w:r>
        <w:rPr>
          <w:rFonts w:ascii="宋体" w:hAnsi="Times New Roman" w:eastAsia="宋体" w:cs="Times New Roman"/>
          <w:snapToGrid w:val="0"/>
          <w:kern w:val="0"/>
          <w:sz w:val="24"/>
        </w:rPr>
        <w:t>从</w:t>
      </w:r>
      <w:r>
        <w:rPr>
          <w:rFonts w:hint="eastAsia" w:ascii="宋体" w:hAnsi="Times New Roman" w:eastAsia="宋体" w:cs="Times New Roman"/>
          <w:snapToGrid w:val="0"/>
          <w:kern w:val="0"/>
          <w:sz w:val="24"/>
        </w:rPr>
        <w:t>原料和加工区域对通辽牛肉片进行限定。</w:t>
      </w:r>
    </w:p>
    <w:p w14:paraId="680014C9">
      <w:pPr>
        <w:widowControl/>
        <w:numPr>
          <w:ilvl w:val="255"/>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bookmarkStart w:id="19" w:name="OLE_LINK7"/>
      <w:r>
        <w:rPr>
          <w:rFonts w:hint="eastAsia" w:ascii="Times New Roman" w:eastAsia="宋体" w:cs="宋体" w:hAnsiTheme="minorEastAsia"/>
          <w:b/>
          <w:bCs/>
          <w:snapToGrid w:val="0"/>
          <w:kern w:val="0"/>
          <w:sz w:val="24"/>
          <w:lang w:bidi="zh-TW"/>
        </w:rPr>
        <w:t>4  产品分类</w:t>
      </w:r>
    </w:p>
    <w:p w14:paraId="205F3E97">
      <w:pPr>
        <w:pStyle w:val="18"/>
      </w:pPr>
      <w:r>
        <w:rPr>
          <w:rFonts w:hint="eastAsia"/>
        </w:rPr>
        <w:t>标准文本：</w:t>
      </w:r>
    </w:p>
    <w:bookmarkEnd w:id="19"/>
    <w:p w14:paraId="72F00DB7">
      <w:pPr>
        <w:widowControl/>
        <w:adjustRightInd w:val="0"/>
        <w:snapToGrid w:val="0"/>
        <w:spacing w:line="360" w:lineRule="auto"/>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4.1  根据工艺不同可分为：</w:t>
      </w:r>
    </w:p>
    <w:p w14:paraId="30BE6D8A">
      <w:pPr>
        <w:widowControl/>
        <w:adjustRightInd w:val="0"/>
        <w:snapToGrid w:val="0"/>
        <w:spacing w:line="360" w:lineRule="auto"/>
        <w:ind w:firstLine="480" w:firstLineChars="200"/>
        <w:rPr>
          <w:rFonts w:ascii="宋体" w:hAnsi="Times New Roman" w:eastAsia="宋体" w:cs="Times New Roman"/>
          <w:snapToGrid w:val="0"/>
          <w:kern w:val="0"/>
          <w:sz w:val="24"/>
        </w:rPr>
      </w:pPr>
      <w:r>
        <w:rPr>
          <w:rFonts w:ascii="宋体" w:hAnsi="Times New Roman" w:eastAsia="宋体" w:cs="Times New Roman"/>
          <w:snapToGrid w:val="0"/>
          <w:kern w:val="0"/>
          <w:sz w:val="24"/>
        </w:rPr>
        <w:t>a</w:t>
      </w:r>
      <w:r>
        <w:rPr>
          <w:rFonts w:hint="eastAsia" w:ascii="宋体" w:hAnsi="Times New Roman" w:eastAsia="宋体" w:cs="Times New Roman"/>
          <w:snapToGrid w:val="0"/>
          <w:kern w:val="0"/>
          <w:sz w:val="24"/>
        </w:rPr>
        <w:t>）非调理类通辽牛肉片：</w:t>
      </w:r>
      <w:r>
        <w:rPr>
          <w:rFonts w:ascii="宋体" w:hAnsi="Times New Roman" w:eastAsia="宋体" w:cs="Times New Roman"/>
          <w:snapToGrid w:val="0"/>
          <w:kern w:val="0"/>
          <w:sz w:val="24"/>
        </w:rPr>
        <w:t>不经过</w:t>
      </w:r>
      <w:r>
        <w:rPr>
          <w:rFonts w:hint="eastAsia" w:ascii="宋体" w:hAnsi="Times New Roman" w:eastAsia="宋体" w:cs="Times New Roman"/>
          <w:snapToGrid w:val="0"/>
          <w:kern w:val="0"/>
          <w:sz w:val="24"/>
        </w:rPr>
        <w:t>调理工艺制作的通辽牛肉片；</w:t>
      </w:r>
    </w:p>
    <w:p w14:paraId="31BD169F">
      <w:pPr>
        <w:widowControl/>
        <w:adjustRightInd w:val="0"/>
        <w:snapToGrid w:val="0"/>
        <w:spacing w:line="360" w:lineRule="auto"/>
        <w:ind w:firstLine="480" w:firstLineChars="200"/>
        <w:rPr>
          <w:rFonts w:ascii="宋体" w:hAnsi="Times New Roman" w:eastAsia="宋体" w:cs="Times New Roman"/>
          <w:snapToGrid w:val="0"/>
          <w:kern w:val="0"/>
          <w:sz w:val="24"/>
        </w:rPr>
      </w:pPr>
      <w:r>
        <w:rPr>
          <w:rFonts w:ascii="宋体" w:hAnsi="Times New Roman" w:eastAsia="宋体" w:cs="Times New Roman"/>
          <w:snapToGrid w:val="0"/>
          <w:kern w:val="0"/>
          <w:sz w:val="24"/>
        </w:rPr>
        <w:t>b）</w:t>
      </w:r>
      <w:r>
        <w:rPr>
          <w:rFonts w:hint="eastAsia" w:ascii="宋体" w:hAnsi="Times New Roman" w:eastAsia="宋体" w:cs="Times New Roman"/>
          <w:snapToGrid w:val="0"/>
          <w:kern w:val="0"/>
          <w:sz w:val="24"/>
        </w:rPr>
        <w:t>调理类通辽牛肉片：</w:t>
      </w:r>
      <w:r>
        <w:rPr>
          <w:rFonts w:ascii="宋体" w:hAnsi="Times New Roman" w:eastAsia="宋体" w:cs="Times New Roman"/>
          <w:snapToGrid w:val="0"/>
          <w:kern w:val="0"/>
          <w:sz w:val="24"/>
        </w:rPr>
        <w:t>经过</w:t>
      </w:r>
      <w:r>
        <w:rPr>
          <w:rFonts w:hint="eastAsia" w:ascii="宋体" w:hAnsi="Times New Roman" w:eastAsia="宋体" w:cs="Times New Roman"/>
          <w:snapToGrid w:val="0"/>
          <w:kern w:val="0"/>
          <w:sz w:val="24"/>
        </w:rPr>
        <w:t>调理工艺制作的通辽牛肉片。</w:t>
      </w:r>
    </w:p>
    <w:p w14:paraId="31E6F0A3">
      <w:pPr>
        <w:widowControl/>
        <w:adjustRightInd w:val="0"/>
        <w:snapToGrid w:val="0"/>
        <w:spacing w:line="360" w:lineRule="auto"/>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4.2  按原料肉部位不同，非调理类通辽牛肉片可分为：</w:t>
      </w:r>
    </w:p>
    <w:p w14:paraId="03AA5BC9">
      <w:pPr>
        <w:widowControl/>
        <w:adjustRightInd w:val="0"/>
        <w:snapToGrid w:val="0"/>
        <w:spacing w:line="360" w:lineRule="auto"/>
        <w:ind w:firstLine="480" w:firstLineChars="200"/>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a）部位肉类；以通辽牛肉单一分割部位肉（如上脑、通脊等）加工而成的产品；</w:t>
      </w:r>
    </w:p>
    <w:p w14:paraId="398FD4D5">
      <w:pPr>
        <w:widowControl/>
        <w:adjustRightInd w:val="0"/>
        <w:snapToGrid w:val="0"/>
        <w:spacing w:line="360" w:lineRule="auto"/>
        <w:ind w:firstLine="480" w:firstLineChars="200"/>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b）肥牛卷：以通辽牛肉瘦肉和牛脂肪加工而成的产品；</w:t>
      </w:r>
    </w:p>
    <w:p w14:paraId="2D8C7511">
      <w:pPr>
        <w:widowControl/>
        <w:adjustRightInd w:val="0"/>
        <w:snapToGrid w:val="0"/>
        <w:spacing w:line="360" w:lineRule="auto"/>
        <w:ind w:firstLine="480" w:firstLineChars="200"/>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c）其他：以通辽牛肉非单一部位肉混合加工而成的产品。</w:t>
      </w:r>
    </w:p>
    <w:p w14:paraId="0078928D">
      <w:pPr>
        <w:widowControl/>
        <w:adjustRightInd w:val="0"/>
        <w:snapToGrid w:val="0"/>
        <w:spacing w:line="360" w:lineRule="auto"/>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2C9AD9FB">
      <w:pPr>
        <w:pStyle w:val="5"/>
        <w:spacing w:after="0" w:line="360" w:lineRule="auto"/>
        <w:ind w:firstLine="420"/>
        <w:jc w:val="left"/>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结合通辽牛肉片加工工艺和原料肉部位，</w:t>
      </w:r>
      <w:r>
        <w:rPr>
          <w:rFonts w:ascii="宋体" w:hAnsi="Times New Roman" w:eastAsia="宋体" w:cs="Times New Roman"/>
          <w:snapToGrid w:val="0"/>
          <w:kern w:val="0"/>
          <w:sz w:val="24"/>
        </w:rPr>
        <w:t>对</w:t>
      </w:r>
      <w:r>
        <w:rPr>
          <w:rFonts w:hint="eastAsia" w:ascii="宋体" w:hAnsi="Times New Roman" w:eastAsia="宋体" w:cs="Times New Roman"/>
          <w:snapToGrid w:val="0"/>
          <w:kern w:val="0"/>
          <w:sz w:val="24"/>
        </w:rPr>
        <w:t>通辽牛肉片进行了分类。</w:t>
      </w:r>
    </w:p>
    <w:p w14:paraId="35108ACF">
      <w:pPr>
        <w:widowControl/>
        <w:numPr>
          <w:ilvl w:val="255"/>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r>
        <w:rPr>
          <w:rFonts w:hint="eastAsia" w:ascii="Times New Roman" w:eastAsia="宋体" w:cs="宋体" w:hAnsiTheme="minorEastAsia"/>
          <w:b/>
          <w:bCs/>
          <w:snapToGrid w:val="0"/>
          <w:kern w:val="0"/>
          <w:sz w:val="24"/>
          <w:lang w:bidi="zh-TW"/>
        </w:rPr>
        <w:t>5  原辅料、</w:t>
      </w:r>
      <w:r>
        <w:rPr>
          <w:rFonts w:ascii="Times New Roman" w:eastAsia="宋体" w:cs="宋体" w:hAnsiTheme="minorEastAsia"/>
          <w:b/>
          <w:bCs/>
          <w:snapToGrid w:val="0"/>
          <w:kern w:val="0"/>
          <w:sz w:val="24"/>
          <w:lang w:bidi="zh-TW"/>
        </w:rPr>
        <w:t>添加剂</w:t>
      </w:r>
      <w:r>
        <w:rPr>
          <w:rFonts w:hint="eastAsia" w:ascii="Times New Roman" w:eastAsia="宋体" w:cs="宋体" w:hAnsiTheme="minorEastAsia"/>
          <w:b/>
          <w:bCs/>
          <w:snapToGrid w:val="0"/>
          <w:kern w:val="0"/>
          <w:sz w:val="24"/>
          <w:lang w:bidi="zh-TW"/>
        </w:rPr>
        <w:t>和投料要求</w:t>
      </w:r>
    </w:p>
    <w:p w14:paraId="38E57604">
      <w:pPr>
        <w:pStyle w:val="18"/>
      </w:pPr>
      <w:r>
        <w:rPr>
          <w:rFonts w:hint="eastAsia"/>
        </w:rPr>
        <w:t>标准文本：</w:t>
      </w:r>
    </w:p>
    <w:p w14:paraId="74F3159B">
      <w:pPr>
        <w:pStyle w:val="17"/>
        <w:numPr>
          <w:ilvl w:val="255"/>
          <w:numId w:val="0"/>
        </w:numPr>
        <w:tabs>
          <w:tab w:val="clear" w:pos="360"/>
        </w:tabs>
        <w:spacing w:before="156" w:beforeLines="50" w:after="156" w:afterLines="50"/>
        <w:rPr>
          <w:rFonts w:eastAsia="宋体"/>
          <w:snapToGrid w:val="0"/>
          <w:sz w:val="24"/>
          <w:szCs w:val="24"/>
        </w:rPr>
      </w:pPr>
      <w:r>
        <w:rPr>
          <w:rFonts w:hint="eastAsia" w:eastAsia="宋体"/>
          <w:snapToGrid w:val="0"/>
          <w:sz w:val="24"/>
          <w:szCs w:val="24"/>
        </w:rPr>
        <w:t>5.1 原辅料和添加剂要求</w:t>
      </w:r>
    </w:p>
    <w:p w14:paraId="045070B2">
      <w:pPr>
        <w:pStyle w:val="18"/>
        <w:ind w:firstLine="0" w:firstLineChars="0"/>
        <w:rPr>
          <w:rFonts w:ascii="Times New Roman"/>
          <w:b w:val="0"/>
          <w:szCs w:val="24"/>
        </w:rPr>
      </w:pPr>
      <w:r>
        <w:rPr>
          <w:rFonts w:hint="eastAsia" w:ascii="Times New Roman"/>
          <w:b w:val="0"/>
          <w:szCs w:val="24"/>
        </w:rPr>
        <w:t>5.1.1  原料应符合T/CMATB 3012的规定。</w:t>
      </w:r>
    </w:p>
    <w:p w14:paraId="1D00147D">
      <w:pPr>
        <w:pStyle w:val="18"/>
        <w:ind w:firstLine="0" w:firstLineChars="0"/>
        <w:rPr>
          <w:rFonts w:ascii="Times New Roman"/>
          <w:b w:val="0"/>
          <w:szCs w:val="24"/>
        </w:rPr>
      </w:pPr>
      <w:r>
        <w:rPr>
          <w:rFonts w:hint="eastAsia" w:ascii="Times New Roman"/>
          <w:b w:val="0"/>
          <w:szCs w:val="24"/>
        </w:rPr>
        <w:t>5.1.2  辅料应符合相关产品标准和有关规定。</w:t>
      </w:r>
    </w:p>
    <w:p w14:paraId="102F2762">
      <w:pPr>
        <w:pStyle w:val="18"/>
        <w:ind w:firstLine="0" w:firstLineChars="0"/>
        <w:rPr>
          <w:b w:val="0"/>
          <w:szCs w:val="24"/>
        </w:rPr>
      </w:pPr>
      <w:r>
        <w:rPr>
          <w:rFonts w:hint="eastAsia" w:ascii="Times New Roman"/>
          <w:b w:val="0"/>
          <w:szCs w:val="24"/>
        </w:rPr>
        <w:t>5.1.3  食品添加剂及使用应符合GB 2760的规定。</w:t>
      </w:r>
    </w:p>
    <w:p w14:paraId="3F02D363">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6A7463FD">
      <w:pPr>
        <w:pStyle w:val="5"/>
        <w:spacing w:after="0" w:line="360" w:lineRule="auto"/>
        <w:ind w:firstLine="420"/>
        <w:jc w:val="left"/>
        <w:rPr>
          <w:rFonts w:ascii="宋体" w:hAnsi="Times New Roman" w:eastAsia="宋体" w:cs="Times New Roman"/>
          <w:snapToGrid w:val="0"/>
          <w:kern w:val="0"/>
          <w:sz w:val="24"/>
        </w:rPr>
      </w:pPr>
      <w:r>
        <w:rPr>
          <w:rFonts w:hint="eastAsia" w:ascii="宋体" w:hAnsi="Times New Roman" w:eastAsia="宋体" w:cs="Times New Roman"/>
          <w:snapToGrid w:val="0"/>
          <w:kern w:val="0"/>
          <w:sz w:val="24"/>
        </w:rPr>
        <w:t>本条对产品所使用的原料、辅料和食品添加剂的标准进行了规定。其中，T/CMATB 3012在食品安全国家标准的基础上，对通辽牛肉的蛋白质、</w:t>
      </w:r>
      <w:r>
        <w:rPr>
          <w:rFonts w:ascii="宋体" w:hAnsi="Times New Roman" w:eastAsia="宋体" w:cs="Times New Roman"/>
          <w:snapToGrid w:val="0"/>
          <w:kern w:val="0"/>
          <w:sz w:val="24"/>
        </w:rPr>
        <w:t>谷甘酸</w:t>
      </w:r>
      <w:r>
        <w:rPr>
          <w:rFonts w:hint="eastAsia" w:ascii="宋体" w:hAnsi="Times New Roman" w:eastAsia="宋体" w:cs="Times New Roman"/>
          <w:snapToGrid w:val="0"/>
          <w:kern w:val="0"/>
          <w:sz w:val="24"/>
        </w:rPr>
        <w:t>、挥发性盐基氮、</w:t>
      </w:r>
      <w:r>
        <w:rPr>
          <w:rFonts w:ascii="宋体" w:hAnsi="Times New Roman" w:eastAsia="宋体" w:cs="Times New Roman"/>
          <w:snapToGrid w:val="0"/>
          <w:kern w:val="0"/>
          <w:sz w:val="24"/>
        </w:rPr>
        <w:t>铅</w:t>
      </w:r>
      <w:r>
        <w:rPr>
          <w:rFonts w:hint="eastAsia" w:ascii="宋体" w:hAnsi="Times New Roman" w:eastAsia="宋体" w:cs="Times New Roman"/>
          <w:snapToGrid w:val="0"/>
          <w:kern w:val="0"/>
          <w:sz w:val="24"/>
        </w:rPr>
        <w:t>、总砷、</w:t>
      </w:r>
      <w:r>
        <w:rPr>
          <w:rFonts w:ascii="宋体" w:hAnsi="Times New Roman" w:eastAsia="宋体" w:cs="Times New Roman"/>
          <w:snapToGrid w:val="0"/>
          <w:kern w:val="0"/>
          <w:sz w:val="24"/>
        </w:rPr>
        <w:t>铬</w:t>
      </w:r>
      <w:r>
        <w:rPr>
          <w:rFonts w:hint="eastAsia" w:ascii="宋体" w:hAnsi="Times New Roman" w:eastAsia="宋体" w:cs="Times New Roman"/>
          <w:snapToGrid w:val="0"/>
          <w:kern w:val="0"/>
          <w:sz w:val="24"/>
        </w:rPr>
        <w:t>、</w:t>
      </w:r>
      <w:r>
        <w:rPr>
          <w:rFonts w:ascii="宋体" w:hAnsi="Times New Roman" w:eastAsia="宋体" w:cs="Times New Roman"/>
          <w:snapToGrid w:val="0"/>
          <w:kern w:val="0"/>
          <w:sz w:val="24"/>
        </w:rPr>
        <w:t>伊维菌素</w:t>
      </w:r>
      <w:r>
        <w:rPr>
          <w:rFonts w:hint="eastAsia" w:ascii="宋体" w:hAnsi="Times New Roman" w:eastAsia="宋体" w:cs="Times New Roman"/>
          <w:snapToGrid w:val="0"/>
          <w:kern w:val="0"/>
          <w:sz w:val="24"/>
        </w:rPr>
        <w:t>、</w:t>
      </w:r>
      <w:r>
        <w:rPr>
          <w:rFonts w:ascii="宋体" w:hAnsi="Times New Roman" w:eastAsia="宋体" w:cs="Times New Roman"/>
          <w:snapToGrid w:val="0"/>
          <w:kern w:val="0"/>
          <w:sz w:val="24"/>
        </w:rPr>
        <w:t>氟苯尼考</w:t>
      </w:r>
      <w:r>
        <w:rPr>
          <w:rFonts w:hint="eastAsia" w:ascii="宋体" w:hAnsi="Times New Roman" w:eastAsia="宋体" w:cs="Times New Roman"/>
          <w:snapToGrid w:val="0"/>
          <w:kern w:val="0"/>
          <w:sz w:val="24"/>
        </w:rPr>
        <w:t>和林可霉素等进行了严格的限定，</w:t>
      </w:r>
      <w:r>
        <w:rPr>
          <w:rFonts w:ascii="宋体" w:hAnsi="Times New Roman" w:eastAsia="宋体" w:cs="Times New Roman"/>
          <w:snapToGrid w:val="0"/>
          <w:kern w:val="0"/>
          <w:sz w:val="24"/>
        </w:rPr>
        <w:t>如</w:t>
      </w:r>
      <w:r>
        <w:rPr>
          <w:rFonts w:hint="eastAsia" w:ascii="宋体" w:hAnsi="Times New Roman" w:eastAsia="宋体" w:cs="Times New Roman"/>
          <w:snapToGrid w:val="0"/>
          <w:kern w:val="0"/>
          <w:sz w:val="24"/>
        </w:rPr>
        <w:t>挥发性盐基氮≤ 13</w:t>
      </w:r>
      <w:r>
        <w:rPr>
          <w:rFonts w:ascii="宋体" w:hAnsi="Times New Roman" w:eastAsia="宋体" w:cs="Times New Roman"/>
          <w:snapToGrid w:val="0"/>
          <w:kern w:val="0"/>
          <w:sz w:val="24"/>
        </w:rPr>
        <w:t>mg/100 g</w:t>
      </w:r>
      <w:r>
        <w:rPr>
          <w:rFonts w:hint="eastAsia" w:ascii="宋体" w:hAnsi="Times New Roman" w:eastAsia="宋体" w:cs="Times New Roman"/>
          <w:snapToGrid w:val="0"/>
          <w:kern w:val="0"/>
          <w:sz w:val="24"/>
        </w:rPr>
        <w:t>（</w:t>
      </w:r>
      <w:r>
        <w:rPr>
          <w:rFonts w:ascii="宋体" w:hAnsi="Times New Roman" w:eastAsia="宋体" w:cs="Times New Roman"/>
          <w:snapToGrid w:val="0"/>
          <w:kern w:val="0"/>
          <w:sz w:val="24"/>
        </w:rPr>
        <w:t>GB 2707</w:t>
      </w:r>
      <w:r>
        <w:rPr>
          <w:rFonts w:hint="eastAsia" w:ascii="宋体" w:hAnsi="Times New Roman" w:eastAsia="宋体" w:cs="Times New Roman"/>
          <w:snapToGrid w:val="0"/>
          <w:kern w:val="0"/>
          <w:sz w:val="24"/>
        </w:rPr>
        <w:t>为15</w:t>
      </w:r>
      <w:r>
        <w:rPr>
          <w:rFonts w:ascii="宋体" w:hAnsi="Times New Roman" w:eastAsia="宋体" w:cs="Times New Roman"/>
          <w:snapToGrid w:val="0"/>
          <w:kern w:val="0"/>
          <w:sz w:val="24"/>
        </w:rPr>
        <w:t xml:space="preserve"> mg/100 g）</w:t>
      </w:r>
      <w:r>
        <w:rPr>
          <w:rFonts w:hint="eastAsia" w:ascii="宋体" w:hAnsi="Times New Roman" w:eastAsia="宋体" w:cs="Times New Roman"/>
          <w:snapToGrid w:val="0"/>
          <w:kern w:val="0"/>
          <w:sz w:val="24"/>
        </w:rPr>
        <w:t>、</w:t>
      </w:r>
      <w:r>
        <w:rPr>
          <w:rFonts w:ascii="宋体" w:hAnsi="Times New Roman" w:eastAsia="宋体" w:cs="Times New Roman"/>
          <w:snapToGrid w:val="0"/>
          <w:kern w:val="0"/>
          <w:sz w:val="24"/>
        </w:rPr>
        <w:t>铅</w:t>
      </w:r>
      <w:r>
        <w:rPr>
          <w:rFonts w:hint="eastAsia" w:ascii="宋体" w:hAnsi="Times New Roman" w:eastAsia="宋体" w:cs="Times New Roman"/>
          <w:snapToGrid w:val="0"/>
          <w:kern w:val="0"/>
          <w:sz w:val="24"/>
        </w:rPr>
        <w:t>≤0.1</w:t>
      </w:r>
      <w:r>
        <w:rPr>
          <w:rFonts w:ascii="宋体" w:hAnsi="Times New Roman" w:eastAsia="宋体" w:cs="Times New Roman"/>
          <w:snapToGrid w:val="0"/>
          <w:kern w:val="0"/>
          <w:sz w:val="24"/>
        </w:rPr>
        <w:t xml:space="preserve"> mg/kg</w:t>
      </w:r>
      <w:r>
        <w:rPr>
          <w:rFonts w:hint="eastAsia" w:ascii="宋体" w:hAnsi="Times New Roman" w:eastAsia="宋体" w:cs="Times New Roman"/>
          <w:snapToGrid w:val="0"/>
          <w:kern w:val="0"/>
          <w:sz w:val="24"/>
        </w:rPr>
        <w:t>（GB</w:t>
      </w:r>
      <w:r>
        <w:rPr>
          <w:rFonts w:ascii="宋体" w:hAnsi="Times New Roman" w:eastAsia="宋体" w:cs="Times New Roman"/>
          <w:snapToGrid w:val="0"/>
          <w:kern w:val="0"/>
          <w:sz w:val="24"/>
        </w:rPr>
        <w:t xml:space="preserve"> 2762</w:t>
      </w:r>
      <w:r>
        <w:rPr>
          <w:rFonts w:hint="eastAsia" w:ascii="宋体" w:hAnsi="Times New Roman" w:eastAsia="宋体" w:cs="Times New Roman"/>
          <w:snapToGrid w:val="0"/>
          <w:kern w:val="0"/>
          <w:sz w:val="24"/>
        </w:rPr>
        <w:t>为0.2</w:t>
      </w:r>
      <w:r>
        <w:rPr>
          <w:rFonts w:ascii="宋体" w:hAnsi="Times New Roman" w:eastAsia="宋体" w:cs="Times New Roman"/>
          <w:snapToGrid w:val="0"/>
          <w:kern w:val="0"/>
          <w:sz w:val="24"/>
        </w:rPr>
        <w:t xml:space="preserve"> mg/kg</w:t>
      </w:r>
      <w:r>
        <w:rPr>
          <w:rFonts w:hint="eastAsia" w:ascii="宋体" w:hAnsi="Times New Roman" w:eastAsia="宋体" w:cs="Times New Roman"/>
          <w:snapToGrid w:val="0"/>
          <w:kern w:val="0"/>
          <w:sz w:val="24"/>
        </w:rPr>
        <w:t>）</w:t>
      </w:r>
      <w:r>
        <w:rPr>
          <w:rFonts w:ascii="宋体" w:hAnsi="Times New Roman" w:eastAsia="宋体" w:cs="Times New Roman"/>
          <w:snapToGrid w:val="0"/>
          <w:kern w:val="0"/>
          <w:sz w:val="24"/>
        </w:rPr>
        <w:t>。</w:t>
      </w:r>
      <w:r>
        <w:rPr>
          <w:rFonts w:hint="eastAsia" w:ascii="宋体" w:hAnsi="Times New Roman" w:eastAsia="宋体" w:cs="Times New Roman"/>
          <w:snapToGrid w:val="0"/>
          <w:kern w:val="0"/>
          <w:sz w:val="24"/>
        </w:rPr>
        <w:t>因此，</w:t>
      </w:r>
      <w:r>
        <w:rPr>
          <w:rFonts w:ascii="宋体" w:hAnsi="Times New Roman" w:eastAsia="宋体" w:cs="Times New Roman"/>
          <w:snapToGrid w:val="0"/>
          <w:kern w:val="0"/>
          <w:sz w:val="24"/>
        </w:rPr>
        <w:t>本</w:t>
      </w:r>
      <w:r>
        <w:rPr>
          <w:rFonts w:hint="eastAsia" w:ascii="宋体" w:hAnsi="Times New Roman" w:eastAsia="宋体" w:cs="Times New Roman"/>
          <w:snapToGrid w:val="0"/>
          <w:kern w:val="0"/>
          <w:sz w:val="24"/>
        </w:rPr>
        <w:t>文件直接</w:t>
      </w:r>
      <w:r>
        <w:rPr>
          <w:rFonts w:ascii="宋体" w:hAnsi="Times New Roman" w:eastAsia="宋体" w:cs="Times New Roman"/>
          <w:snapToGrid w:val="0"/>
          <w:kern w:val="0"/>
          <w:sz w:val="24"/>
        </w:rPr>
        <w:t>引用</w:t>
      </w:r>
      <w:r>
        <w:rPr>
          <w:rFonts w:hint="eastAsia" w:ascii="宋体" w:hAnsi="Times New Roman" w:eastAsia="宋体" w:cs="Times New Roman"/>
          <w:snapToGrid w:val="0"/>
          <w:kern w:val="0"/>
          <w:sz w:val="24"/>
        </w:rPr>
        <w:t>。</w:t>
      </w:r>
    </w:p>
    <w:p w14:paraId="0E2CD7C0">
      <w:pPr>
        <w:pStyle w:val="18"/>
      </w:pPr>
      <w:r>
        <w:rPr>
          <w:rFonts w:hint="eastAsia"/>
        </w:rPr>
        <w:t>标准文本</w:t>
      </w:r>
    </w:p>
    <w:p w14:paraId="695D975F">
      <w:pPr>
        <w:pStyle w:val="22"/>
        <w:numPr>
          <w:ilvl w:val="255"/>
          <w:numId w:val="0"/>
        </w:numPr>
        <w:spacing w:before="0" w:beforeLines="0" w:after="0" w:afterLines="0" w:line="360" w:lineRule="auto"/>
        <w:outlineLvl w:val="0"/>
        <w:rPr>
          <w:rFonts w:ascii="宋体" w:hAnsi="宋体" w:eastAsia="宋体" w:cs="宋体"/>
          <w:kern w:val="2"/>
          <w:sz w:val="24"/>
          <w:szCs w:val="24"/>
        </w:rPr>
      </w:pPr>
      <w:r>
        <w:rPr>
          <w:rFonts w:hint="eastAsia" w:ascii="宋体" w:hAnsi="宋体" w:eastAsia="宋体" w:cs="宋体"/>
          <w:kern w:val="2"/>
          <w:sz w:val="24"/>
          <w:szCs w:val="24"/>
        </w:rPr>
        <w:t>5.</w:t>
      </w:r>
      <w:r>
        <w:rPr>
          <w:rFonts w:ascii="宋体" w:hAnsi="宋体" w:eastAsia="宋体" w:cs="宋体"/>
          <w:kern w:val="2"/>
          <w:sz w:val="24"/>
          <w:szCs w:val="24"/>
        </w:rPr>
        <w:t>2</w:t>
      </w:r>
      <w:r>
        <w:rPr>
          <w:rFonts w:hint="eastAsia" w:ascii="宋体" w:hAnsi="宋体" w:eastAsia="宋体" w:cs="宋体"/>
          <w:kern w:val="2"/>
          <w:sz w:val="24"/>
          <w:szCs w:val="24"/>
        </w:rPr>
        <w:t xml:space="preserve"> 投料要求</w:t>
      </w:r>
    </w:p>
    <w:p w14:paraId="258CE768">
      <w:pPr>
        <w:widowControl/>
        <w:adjustRightInd w:val="0"/>
        <w:snapToGrid w:val="0"/>
        <w:spacing w:line="360" w:lineRule="auto"/>
        <w:rPr>
          <w:rFonts w:ascii="宋体" w:hAnsi="宋体" w:eastAsia="宋体" w:cs="宋体"/>
          <w:sz w:val="24"/>
          <w:szCs w:val="20"/>
        </w:rPr>
      </w:pPr>
      <w:r>
        <w:rPr>
          <w:rFonts w:hint="eastAsia" w:ascii="宋体" w:hAnsi="宋体" w:eastAsia="宋体" w:cs="宋体"/>
          <w:sz w:val="24"/>
          <w:szCs w:val="20"/>
        </w:rPr>
        <w:t>5.2.1部位肉类非调理通辽牛肉片应使用同一部位牛肉为原料，且不应使用碎肉。</w:t>
      </w:r>
    </w:p>
    <w:p w14:paraId="29965168">
      <w:pPr>
        <w:widowControl/>
        <w:adjustRightInd w:val="0"/>
        <w:snapToGrid w:val="0"/>
        <w:spacing w:line="360" w:lineRule="auto"/>
        <w:rPr>
          <w:rFonts w:ascii="宋体" w:hAnsi="宋体" w:eastAsia="宋体" w:cs="宋体"/>
          <w:sz w:val="24"/>
          <w:szCs w:val="20"/>
        </w:rPr>
      </w:pPr>
      <w:r>
        <w:rPr>
          <w:rFonts w:hint="eastAsia" w:ascii="宋体" w:hAnsi="宋体" w:eastAsia="宋体" w:cs="宋体"/>
          <w:sz w:val="24"/>
          <w:szCs w:val="20"/>
        </w:rPr>
        <w:t>5.2.2肥牛卷加工过程中，不应使用</w:t>
      </w:r>
      <w:r>
        <w:rPr>
          <w:rFonts w:ascii="Times New Roman" w:hAnsi="Times New Roman" w:eastAsia="宋体" w:cs="Times New Roman"/>
          <w:sz w:val="24"/>
          <w:szCs w:val="20"/>
        </w:rPr>
        <w:t>50 g</w:t>
      </w:r>
      <w:r>
        <w:rPr>
          <w:rFonts w:hint="eastAsia" w:ascii="宋体" w:hAnsi="宋体" w:eastAsia="宋体" w:cs="宋体"/>
          <w:sz w:val="24"/>
          <w:szCs w:val="20"/>
        </w:rPr>
        <w:t>以下的碎肉。根据配方计，肥牛卷加工过程中牛脂肪的添加量不应超过</w:t>
      </w:r>
      <w:r>
        <w:rPr>
          <w:rFonts w:ascii="Times New Roman" w:hAnsi="Times New Roman" w:eastAsia="宋体" w:cs="Times New Roman"/>
          <w:sz w:val="24"/>
          <w:szCs w:val="20"/>
        </w:rPr>
        <w:t>30%</w:t>
      </w:r>
      <w:r>
        <w:rPr>
          <w:rFonts w:hint="eastAsia" w:ascii="Times New Roman" w:hAnsi="Times New Roman" w:eastAsia="宋体" w:cs="Times New Roman"/>
          <w:sz w:val="24"/>
          <w:szCs w:val="20"/>
        </w:rPr>
        <w:t>。</w:t>
      </w:r>
    </w:p>
    <w:p w14:paraId="0F4C35A4">
      <w:pPr>
        <w:widowControl/>
        <w:adjustRightInd w:val="0"/>
        <w:snapToGrid w:val="0"/>
        <w:spacing w:line="360" w:lineRule="auto"/>
        <w:rPr>
          <w:rFonts w:ascii="宋体" w:hAnsi="宋体" w:eastAsia="宋体" w:cs="宋体"/>
          <w:sz w:val="24"/>
          <w:szCs w:val="20"/>
        </w:rPr>
      </w:pPr>
      <w:r>
        <w:rPr>
          <w:rFonts w:hint="eastAsia" w:ascii="宋体" w:hAnsi="宋体" w:eastAsia="宋体" w:cs="宋体"/>
          <w:sz w:val="24"/>
          <w:szCs w:val="20"/>
        </w:rPr>
        <w:t>5.2.3 调理类通辽牛肉片加工过程中不应添加外源蛋白和多糖类物质。</w:t>
      </w:r>
    </w:p>
    <w:p w14:paraId="7C118095">
      <w:pPr>
        <w:widowControl/>
        <w:adjustRightInd w:val="0"/>
        <w:snapToGrid w:val="0"/>
        <w:spacing w:line="360" w:lineRule="auto"/>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467EDC20">
      <w:pPr>
        <w:pStyle w:val="5"/>
        <w:spacing w:after="0" w:line="360" w:lineRule="auto"/>
        <w:ind w:firstLine="420"/>
        <w:jc w:val="left"/>
        <w:rPr>
          <w:rFonts w:ascii="宋体" w:hAnsi="宋体" w:eastAsia="宋体" w:cs="宋体"/>
          <w:sz w:val="24"/>
        </w:rPr>
      </w:pPr>
      <w:r>
        <w:rPr>
          <w:rFonts w:hint="eastAsia" w:ascii="宋体" w:hAnsi="宋体" w:eastAsia="宋体" w:cs="宋体"/>
          <w:sz w:val="24"/>
        </w:rPr>
        <w:t>通辽牛肉片生产加工</w:t>
      </w:r>
      <w:r>
        <w:rPr>
          <w:rFonts w:ascii="宋体" w:hAnsi="宋体" w:eastAsia="宋体" w:cs="宋体"/>
          <w:sz w:val="24"/>
        </w:rPr>
        <w:t>涉及</w:t>
      </w:r>
      <w:r>
        <w:rPr>
          <w:rFonts w:hint="eastAsia" w:ascii="宋体" w:hAnsi="宋体" w:eastAsia="宋体" w:cs="宋体"/>
          <w:sz w:val="24"/>
        </w:rPr>
        <w:t>冷冻肉和肉制品加工，应符合</w:t>
      </w:r>
      <w:r>
        <w:rPr>
          <w:rFonts w:ascii="宋体" w:hAnsi="宋体" w:eastAsia="宋体" w:cs="宋体"/>
          <w:sz w:val="24"/>
        </w:rPr>
        <w:t>冻肉</w:t>
      </w:r>
      <w:r>
        <w:rPr>
          <w:rFonts w:hint="eastAsia" w:ascii="宋体" w:hAnsi="宋体" w:eastAsia="宋体" w:cs="宋体"/>
          <w:sz w:val="24"/>
        </w:rPr>
        <w:t>和肉制品相关生产规范；</w:t>
      </w:r>
      <w:r>
        <w:rPr>
          <w:rFonts w:ascii="宋体" w:hAnsi="宋体" w:eastAsia="宋体" w:cs="宋体"/>
          <w:sz w:val="24"/>
        </w:rPr>
        <w:t>GB 14881</w:t>
      </w:r>
      <w:r>
        <w:rPr>
          <w:rFonts w:hint="eastAsia" w:ascii="宋体" w:hAnsi="宋体" w:eastAsia="宋体" w:cs="宋体"/>
          <w:sz w:val="24"/>
        </w:rPr>
        <w:t>、GB/T 20575、GB/T 20809、GB/T 29342分别涉及食品、</w:t>
      </w:r>
      <w:r>
        <w:rPr>
          <w:rFonts w:ascii="宋体" w:hAnsi="宋体" w:eastAsia="宋体" w:cs="宋体"/>
          <w:sz w:val="24"/>
        </w:rPr>
        <w:t>冻</w:t>
      </w:r>
      <w:r>
        <w:rPr>
          <w:rFonts w:hint="eastAsia" w:ascii="宋体" w:hAnsi="宋体" w:eastAsia="宋体" w:cs="宋体"/>
          <w:sz w:val="24"/>
        </w:rPr>
        <w:t>肉和肉制品生产相关规范，</w:t>
      </w:r>
      <w:r>
        <w:rPr>
          <w:rFonts w:ascii="宋体" w:hAnsi="宋体" w:eastAsia="宋体" w:cs="宋体"/>
          <w:sz w:val="24"/>
        </w:rPr>
        <w:t>因此</w:t>
      </w:r>
      <w:r>
        <w:rPr>
          <w:rFonts w:hint="eastAsia" w:ascii="宋体" w:hAnsi="宋体" w:eastAsia="宋体" w:cs="宋体"/>
          <w:sz w:val="24"/>
        </w:rPr>
        <w:t>本文直接引用。</w:t>
      </w:r>
    </w:p>
    <w:p w14:paraId="3334E91D">
      <w:pPr>
        <w:pStyle w:val="5"/>
        <w:spacing w:after="0" w:line="360" w:lineRule="auto"/>
        <w:ind w:firstLine="420"/>
        <w:jc w:val="left"/>
        <w:rPr>
          <w:rFonts w:ascii="宋体" w:hAnsi="宋体" w:eastAsia="宋体" w:cs="宋体"/>
          <w:sz w:val="24"/>
        </w:rPr>
      </w:pPr>
      <w:r>
        <w:rPr>
          <w:rFonts w:hint="eastAsia" w:ascii="宋体" w:hAnsi="宋体" w:eastAsia="宋体" w:cs="宋体"/>
          <w:sz w:val="24"/>
        </w:rPr>
        <w:t>不同部位牛肉品质各异，加工而成的特定部位非调理类通辽牛肉片（牛</w:t>
      </w:r>
      <w:r>
        <w:rPr>
          <w:rFonts w:ascii="宋体" w:hAnsi="宋体" w:eastAsia="宋体" w:cs="宋体"/>
          <w:sz w:val="24"/>
        </w:rPr>
        <w:t>上脑</w:t>
      </w:r>
      <w:r>
        <w:rPr>
          <w:rFonts w:hint="eastAsia" w:ascii="宋体" w:hAnsi="宋体" w:eastAsia="宋体" w:cs="宋体"/>
          <w:sz w:val="24"/>
        </w:rPr>
        <w:t>片、</w:t>
      </w:r>
      <w:r>
        <w:rPr>
          <w:rFonts w:ascii="宋体" w:hAnsi="宋体" w:eastAsia="宋体" w:cs="宋体"/>
          <w:sz w:val="24"/>
        </w:rPr>
        <w:t>胸口</w:t>
      </w:r>
      <w:r>
        <w:rPr>
          <w:rFonts w:hint="eastAsia" w:ascii="宋体" w:hAnsi="宋体" w:eastAsia="宋体" w:cs="宋体"/>
          <w:sz w:val="24"/>
        </w:rPr>
        <w:t>牛肉片等）品质和价格也各有不同。为避免用低价部位肉冒充高价部位肉，要求以牛肉的特定部位名称命名的非调理类通辽牛肉片产品不得使用其他部位牛肉为原料。牛碎肉是分割后剩余的形状不规则的小肉块或肉条。为体现特定部位牛肉片的优质优价，</w:t>
      </w:r>
      <w:r>
        <w:rPr>
          <w:rFonts w:ascii="宋体" w:hAnsi="宋体" w:eastAsia="宋体" w:cs="宋体"/>
          <w:sz w:val="24"/>
        </w:rPr>
        <w:t>加工</w:t>
      </w:r>
      <w:r>
        <w:rPr>
          <w:rFonts w:hint="eastAsia" w:ascii="宋体" w:hAnsi="宋体" w:eastAsia="宋体" w:cs="宋体"/>
          <w:sz w:val="24"/>
        </w:rPr>
        <w:t>中不得使用牛碎肉。肥牛卷添加一定量脂肪，</w:t>
      </w:r>
      <w:r>
        <w:rPr>
          <w:rFonts w:ascii="宋体" w:hAnsi="宋体" w:eastAsia="宋体" w:cs="宋体"/>
          <w:sz w:val="24"/>
        </w:rPr>
        <w:t>其</w:t>
      </w:r>
      <w:r>
        <w:rPr>
          <w:rFonts w:hint="eastAsia" w:ascii="宋体" w:hAnsi="宋体" w:eastAsia="宋体" w:cs="宋体"/>
          <w:sz w:val="24"/>
        </w:rPr>
        <w:t>口感较好，脂肪含量过高，会降低生产成本和口感，</w:t>
      </w:r>
      <w:r>
        <w:rPr>
          <w:rFonts w:ascii="宋体" w:hAnsi="宋体" w:eastAsia="宋体" w:cs="宋体"/>
          <w:sz w:val="24"/>
        </w:rPr>
        <w:t>结合</w:t>
      </w:r>
      <w:r>
        <w:rPr>
          <w:rFonts w:hint="eastAsia" w:ascii="宋体" w:hAnsi="宋体" w:eastAsia="宋体" w:cs="宋体"/>
          <w:sz w:val="24"/>
        </w:rPr>
        <w:t>生产实践，</w:t>
      </w:r>
      <w:r>
        <w:rPr>
          <w:rFonts w:ascii="宋体" w:hAnsi="宋体" w:eastAsia="宋体" w:cs="宋体"/>
          <w:sz w:val="24"/>
        </w:rPr>
        <w:t>规定</w:t>
      </w:r>
      <w:r>
        <w:rPr>
          <w:rFonts w:hint="eastAsia" w:ascii="宋体" w:hAnsi="宋体" w:eastAsia="宋体" w:cs="宋体"/>
          <w:sz w:val="24"/>
        </w:rPr>
        <w:t>牛脂肪添加量不得超过30</w:t>
      </w:r>
      <w:r>
        <w:rPr>
          <w:rFonts w:ascii="宋体" w:hAnsi="宋体" w:eastAsia="宋体" w:cs="宋体"/>
          <w:sz w:val="24"/>
        </w:rPr>
        <w:t>%。</w:t>
      </w:r>
      <w:r>
        <w:rPr>
          <w:rFonts w:hint="eastAsia" w:ascii="宋体" w:hAnsi="宋体" w:eastAsia="宋体" w:cs="宋体"/>
          <w:sz w:val="24"/>
        </w:rPr>
        <w:t>考虑各企业用于切片的肉卷或肉砖规格不一，</w:t>
      </w:r>
      <w:r>
        <w:rPr>
          <w:rFonts w:ascii="宋体" w:hAnsi="宋体" w:eastAsia="宋体" w:cs="宋体"/>
          <w:sz w:val="24"/>
        </w:rPr>
        <w:t>因此</w:t>
      </w:r>
      <w:r>
        <w:rPr>
          <w:rFonts w:hint="eastAsia" w:ascii="宋体" w:hAnsi="宋体" w:eastAsia="宋体" w:cs="宋体"/>
          <w:sz w:val="24"/>
        </w:rPr>
        <w:t>，不对使用块数做详细限制，</w:t>
      </w:r>
      <w:r>
        <w:rPr>
          <w:rFonts w:ascii="宋体" w:hAnsi="宋体" w:eastAsia="宋体" w:cs="宋体"/>
          <w:sz w:val="24"/>
        </w:rPr>
        <w:t>仅</w:t>
      </w:r>
      <w:r>
        <w:rPr>
          <w:rFonts w:hint="eastAsia" w:ascii="宋体" w:hAnsi="宋体" w:eastAsia="宋体" w:cs="宋体"/>
          <w:sz w:val="24"/>
        </w:rPr>
        <w:t xml:space="preserve">规定不应使用50 </w:t>
      </w:r>
      <w:r>
        <w:rPr>
          <w:rFonts w:ascii="宋体" w:hAnsi="宋体" w:eastAsia="宋体" w:cs="宋体"/>
          <w:sz w:val="24"/>
        </w:rPr>
        <w:t>g以下</w:t>
      </w:r>
      <w:r>
        <w:rPr>
          <w:rFonts w:hint="eastAsia" w:ascii="宋体" w:hAnsi="宋体" w:eastAsia="宋体" w:cs="宋体"/>
          <w:sz w:val="24"/>
        </w:rPr>
        <w:t>的碎肉。为杜绝不法分子使用非牛肉原料（如鸭肉等）来生产牛肉片，本文件要求不得添加牛肉</w:t>
      </w:r>
      <w:r>
        <w:rPr>
          <w:rFonts w:ascii="宋体" w:hAnsi="宋体" w:eastAsia="宋体" w:cs="宋体"/>
          <w:sz w:val="24"/>
        </w:rPr>
        <w:t>以外</w:t>
      </w:r>
      <w:r>
        <w:rPr>
          <w:rFonts w:hint="eastAsia" w:ascii="宋体" w:hAnsi="宋体" w:eastAsia="宋体" w:cs="宋体"/>
          <w:sz w:val="24"/>
        </w:rPr>
        <w:t>的外源动物蛋白。植物蛋白和多糖（</w:t>
      </w:r>
      <w:r>
        <w:rPr>
          <w:rFonts w:ascii="宋体" w:hAnsi="宋体" w:eastAsia="宋体" w:cs="宋体"/>
          <w:sz w:val="24"/>
        </w:rPr>
        <w:t>如</w:t>
      </w:r>
      <w:r>
        <w:rPr>
          <w:rFonts w:hint="eastAsia" w:ascii="宋体" w:hAnsi="宋体" w:eastAsia="宋体" w:cs="宋体"/>
          <w:sz w:val="24"/>
        </w:rPr>
        <w:t>卡拉胶、</w:t>
      </w:r>
      <w:r>
        <w:rPr>
          <w:rFonts w:ascii="宋体" w:hAnsi="宋体" w:eastAsia="宋体" w:cs="宋体"/>
          <w:sz w:val="24"/>
        </w:rPr>
        <w:t>纤维素</w:t>
      </w:r>
      <w:r>
        <w:rPr>
          <w:rFonts w:hint="eastAsia" w:ascii="宋体" w:hAnsi="宋体" w:eastAsia="宋体" w:cs="宋体"/>
          <w:sz w:val="24"/>
        </w:rPr>
        <w:t>等）添加会显著增加产品保水能力和出品率，使得产品成本降低，</w:t>
      </w:r>
      <w:r>
        <w:rPr>
          <w:rFonts w:ascii="宋体" w:hAnsi="宋体" w:eastAsia="宋体" w:cs="宋体"/>
          <w:sz w:val="24"/>
        </w:rPr>
        <w:t>为</w:t>
      </w:r>
      <w:r>
        <w:rPr>
          <w:rFonts w:hint="eastAsia" w:ascii="宋体" w:hAnsi="宋体" w:eastAsia="宋体" w:cs="宋体"/>
          <w:sz w:val="24"/>
        </w:rPr>
        <w:t>体现优质优价，要求调理类通辽牛肉片不得添加外源蛋白和多糖类</w:t>
      </w:r>
      <w:r>
        <w:rPr>
          <w:rFonts w:ascii="宋体" w:hAnsi="宋体" w:eastAsia="宋体" w:cs="宋体"/>
          <w:sz w:val="24"/>
        </w:rPr>
        <w:t>物质</w:t>
      </w:r>
      <w:r>
        <w:rPr>
          <w:rFonts w:hint="eastAsia" w:ascii="宋体" w:hAnsi="宋体" w:eastAsia="宋体" w:cs="宋体"/>
          <w:sz w:val="24"/>
        </w:rPr>
        <w:t>。</w:t>
      </w:r>
    </w:p>
    <w:p w14:paraId="4992AAAB">
      <w:pPr>
        <w:widowControl/>
        <w:numPr>
          <w:ilvl w:val="255"/>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r>
        <w:rPr>
          <w:rFonts w:ascii="Times New Roman" w:eastAsia="宋体" w:cs="宋体" w:hAnsiTheme="minorEastAsia"/>
          <w:b/>
          <w:bCs/>
          <w:snapToGrid w:val="0"/>
          <w:kern w:val="0"/>
          <w:sz w:val="24"/>
          <w:lang w:bidi="zh-TW"/>
        </w:rPr>
        <w:t xml:space="preserve">6 </w:t>
      </w:r>
      <w:r>
        <w:rPr>
          <w:rFonts w:hint="eastAsia" w:ascii="Times New Roman" w:eastAsia="宋体" w:cs="宋体" w:hAnsiTheme="minorEastAsia"/>
          <w:b/>
          <w:bCs/>
          <w:snapToGrid w:val="0"/>
          <w:kern w:val="0"/>
          <w:sz w:val="24"/>
          <w:lang w:bidi="zh-TW"/>
        </w:rPr>
        <w:t>技术要求</w:t>
      </w:r>
    </w:p>
    <w:p w14:paraId="1711A9AC">
      <w:pPr>
        <w:pStyle w:val="18"/>
      </w:pPr>
      <w:r>
        <w:rPr>
          <w:rFonts w:hint="eastAsia"/>
        </w:rPr>
        <w:t>标准文本：</w:t>
      </w:r>
    </w:p>
    <w:p w14:paraId="1BA6F956">
      <w:pPr>
        <w:pStyle w:val="5"/>
        <w:spacing w:after="0" w:line="360" w:lineRule="auto"/>
        <w:ind w:left="25"/>
        <w:rPr>
          <w:rFonts w:asciiTheme="minorEastAsia" w:hAnsiTheme="minorEastAsia" w:cstheme="minorEastAsia"/>
          <w:sz w:val="24"/>
        </w:rPr>
      </w:pPr>
      <w:r>
        <w:rPr>
          <w:rFonts w:asciiTheme="minorEastAsia" w:hAnsiTheme="minorEastAsia" w:cstheme="minorEastAsia"/>
          <w:spacing w:val="6"/>
          <w:sz w:val="24"/>
        </w:rPr>
        <w:t>6.1</w:t>
      </w:r>
      <w:r>
        <w:rPr>
          <w:rFonts w:hint="eastAsia" w:asciiTheme="minorEastAsia" w:hAnsiTheme="minorEastAsia" w:cstheme="minorEastAsia"/>
          <w:spacing w:val="6"/>
          <w:sz w:val="24"/>
        </w:rPr>
        <w:t xml:space="preserve"> 感官要求</w:t>
      </w:r>
    </w:p>
    <w:p w14:paraId="6FB82784">
      <w:pPr>
        <w:pStyle w:val="5"/>
        <w:spacing w:after="0" w:line="360" w:lineRule="auto"/>
        <w:ind w:firstLine="420"/>
        <w:jc w:val="left"/>
        <w:rPr>
          <w:rFonts w:ascii="宋体" w:hAnsi="宋体" w:eastAsia="宋体" w:cs="宋体"/>
          <w:sz w:val="24"/>
        </w:rPr>
      </w:pPr>
      <w:r>
        <w:rPr>
          <w:rFonts w:hint="eastAsia" w:ascii="宋体" w:hAnsi="宋体" w:eastAsia="宋体" w:cs="宋体"/>
          <w:sz w:val="24"/>
        </w:rPr>
        <w:t>应符合表1的规定。</w:t>
      </w:r>
    </w:p>
    <w:p w14:paraId="06D0D38A">
      <w:pPr>
        <w:pStyle w:val="5"/>
        <w:spacing w:after="0" w:line="360" w:lineRule="auto"/>
        <w:ind w:left="3530"/>
        <w:rPr>
          <w:rFonts w:ascii="宋体" w:hAnsi="宋体" w:eastAsia="宋体" w:cs="宋体"/>
          <w:sz w:val="24"/>
        </w:rPr>
      </w:pPr>
      <w:r>
        <w:rPr>
          <w:rFonts w:hint="eastAsia" w:ascii="宋体" w:hAnsi="宋体" w:eastAsia="宋体" w:cs="宋体"/>
          <w:spacing w:val="2"/>
          <w:sz w:val="24"/>
        </w:rPr>
        <w:t>表</w:t>
      </w:r>
      <w:r>
        <w:rPr>
          <w:rFonts w:hint="eastAsia" w:ascii="宋体" w:hAnsi="宋体" w:eastAsia="宋体" w:cs="宋体"/>
          <w:spacing w:val="-29"/>
          <w:sz w:val="24"/>
        </w:rPr>
        <w:t xml:space="preserve"> </w:t>
      </w:r>
      <w:r>
        <w:rPr>
          <w:rFonts w:hint="eastAsia" w:ascii="宋体" w:hAnsi="宋体" w:eastAsia="宋体" w:cs="宋体"/>
          <w:spacing w:val="2"/>
          <w:sz w:val="24"/>
        </w:rPr>
        <w:t>1</w:t>
      </w:r>
      <w:r>
        <w:rPr>
          <w:rFonts w:hint="eastAsia" w:ascii="宋体" w:hAnsi="宋体" w:eastAsia="宋体" w:cs="宋体"/>
          <w:spacing w:val="13"/>
          <w:sz w:val="24"/>
        </w:rPr>
        <w:t xml:space="preserve"> </w:t>
      </w:r>
      <w:r>
        <w:rPr>
          <w:rFonts w:hint="eastAsia" w:ascii="宋体" w:hAnsi="宋体" w:eastAsia="宋体" w:cs="宋体"/>
          <w:spacing w:val="2"/>
          <w:sz w:val="24"/>
        </w:rPr>
        <w:t>感官要求</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7014"/>
      </w:tblGrid>
      <w:tr w14:paraId="7EAB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14500DDB">
            <w:pPr>
              <w:spacing w:line="360" w:lineRule="auto"/>
              <w:jc w:val="center"/>
              <w:rPr>
                <w:rFonts w:ascii="Times New Roman" w:hAnsi="Times New Roman"/>
                <w:kern w:val="0"/>
                <w:sz w:val="18"/>
                <w:szCs w:val="18"/>
              </w:rPr>
            </w:pPr>
            <w:r>
              <w:rPr>
                <w:rFonts w:ascii="Times New Roman" w:hAnsi="Times New Roman"/>
                <w:kern w:val="0"/>
                <w:sz w:val="18"/>
                <w:szCs w:val="18"/>
              </w:rPr>
              <w:t>项目</w:t>
            </w:r>
          </w:p>
        </w:tc>
        <w:tc>
          <w:tcPr>
            <w:tcW w:w="4116" w:type="pct"/>
            <w:tcBorders>
              <w:tl2br w:val="nil"/>
              <w:tr2bl w:val="nil"/>
            </w:tcBorders>
            <w:vAlign w:val="center"/>
          </w:tcPr>
          <w:p w14:paraId="5E30514A">
            <w:pPr>
              <w:spacing w:line="360" w:lineRule="auto"/>
              <w:jc w:val="center"/>
              <w:rPr>
                <w:rFonts w:ascii="Times New Roman" w:hAnsi="Times New Roman"/>
                <w:kern w:val="0"/>
                <w:sz w:val="18"/>
                <w:szCs w:val="18"/>
              </w:rPr>
            </w:pPr>
            <w:r>
              <w:rPr>
                <w:rFonts w:ascii="Times New Roman" w:hAnsi="Times New Roman"/>
                <w:kern w:val="0"/>
                <w:sz w:val="18"/>
                <w:szCs w:val="18"/>
              </w:rPr>
              <w:t>要求</w:t>
            </w:r>
          </w:p>
        </w:tc>
      </w:tr>
      <w:tr w14:paraId="33CA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11E934D8">
            <w:pPr>
              <w:spacing w:line="360" w:lineRule="auto"/>
              <w:jc w:val="center"/>
              <w:rPr>
                <w:rFonts w:ascii="Times New Roman" w:hAnsi="Times New Roman"/>
                <w:kern w:val="0"/>
                <w:sz w:val="18"/>
                <w:szCs w:val="18"/>
              </w:rPr>
            </w:pPr>
            <w:r>
              <w:rPr>
                <w:rFonts w:hint="eastAsia"/>
                <w:kern w:val="0"/>
                <w:sz w:val="18"/>
                <w:szCs w:val="18"/>
              </w:rPr>
              <w:t>外观、</w:t>
            </w:r>
            <w:r>
              <w:rPr>
                <w:rFonts w:ascii="Times New Roman" w:hAnsi="Times New Roman"/>
                <w:kern w:val="0"/>
                <w:sz w:val="18"/>
                <w:szCs w:val="18"/>
              </w:rPr>
              <w:t>色泽</w:t>
            </w:r>
          </w:p>
        </w:tc>
        <w:tc>
          <w:tcPr>
            <w:tcW w:w="4116" w:type="pct"/>
            <w:tcBorders>
              <w:tl2br w:val="nil"/>
              <w:tr2bl w:val="nil"/>
            </w:tcBorders>
            <w:vAlign w:val="center"/>
          </w:tcPr>
          <w:p w14:paraId="3A9CFE0A">
            <w:pPr>
              <w:pStyle w:val="15"/>
              <w:spacing w:line="360" w:lineRule="auto"/>
              <w:jc w:val="center"/>
              <w:rPr>
                <w:rFonts w:ascii="Times New Roman" w:hAnsi="Times New Roman"/>
                <w:kern w:val="0"/>
                <w:lang w:eastAsia="zh-CN"/>
              </w:rPr>
            </w:pPr>
            <w:r>
              <w:rPr>
                <w:rFonts w:hint="eastAsia"/>
                <w:lang w:eastAsia="zh-CN"/>
              </w:rPr>
              <w:t>肌肉呈红色，脂肪呈白色或淡黄色</w:t>
            </w:r>
          </w:p>
        </w:tc>
      </w:tr>
      <w:tr w14:paraId="5488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7BE7FE12">
            <w:pPr>
              <w:spacing w:line="360" w:lineRule="auto"/>
              <w:jc w:val="center"/>
              <w:rPr>
                <w:rFonts w:ascii="Times New Roman" w:hAnsi="Times New Roman"/>
                <w:kern w:val="0"/>
                <w:sz w:val="18"/>
                <w:szCs w:val="18"/>
              </w:rPr>
            </w:pPr>
            <w:r>
              <w:rPr>
                <w:rFonts w:ascii="Times New Roman" w:hAnsi="Times New Roman"/>
                <w:kern w:val="0"/>
                <w:sz w:val="18"/>
                <w:szCs w:val="18"/>
              </w:rPr>
              <w:t>组织状态</w:t>
            </w:r>
          </w:p>
        </w:tc>
        <w:tc>
          <w:tcPr>
            <w:tcW w:w="4116" w:type="pct"/>
            <w:tcBorders>
              <w:tl2br w:val="nil"/>
              <w:tr2bl w:val="nil"/>
            </w:tcBorders>
            <w:vAlign w:val="center"/>
          </w:tcPr>
          <w:p w14:paraId="0E0AEF3B">
            <w:pPr>
              <w:pStyle w:val="15"/>
              <w:spacing w:line="360" w:lineRule="auto"/>
              <w:jc w:val="center"/>
              <w:rPr>
                <w:lang w:eastAsia="zh-CN"/>
              </w:rPr>
            </w:pPr>
            <w:r>
              <w:rPr>
                <w:lang w:eastAsia="zh-CN"/>
              </w:rPr>
              <w:t>组</w:t>
            </w:r>
            <w:r>
              <w:rPr>
                <w:rFonts w:hint="eastAsia" w:ascii="Times New Roman" w:hAnsi="Times New Roman" w:cs="Times New Roman"/>
                <w:kern w:val="0"/>
                <w:lang w:eastAsia="zh-CN"/>
              </w:rPr>
              <w:t>脂肪与肌肉无明显分离，</w:t>
            </w:r>
            <w:r>
              <w:rPr>
                <w:rFonts w:ascii="Times New Roman" w:hAnsi="Times New Roman" w:cs="Times New Roman"/>
                <w:kern w:val="0"/>
                <w:lang w:eastAsia="zh-CN"/>
              </w:rPr>
              <w:t>无</w:t>
            </w:r>
            <w:r>
              <w:rPr>
                <w:rFonts w:hint="eastAsia" w:ascii="Times New Roman" w:hAnsi="Times New Roman" w:cs="Times New Roman"/>
                <w:kern w:val="0"/>
                <w:lang w:eastAsia="zh-CN"/>
              </w:rPr>
              <w:t>大颗粒冰晶，</w:t>
            </w:r>
            <w:r>
              <w:rPr>
                <w:rFonts w:ascii="Times New Roman" w:hAnsi="Times New Roman" w:cs="Times New Roman"/>
                <w:kern w:val="0"/>
                <w:lang w:eastAsia="zh-CN"/>
              </w:rPr>
              <w:t>肉卷</w:t>
            </w:r>
            <w:r>
              <w:rPr>
                <w:rFonts w:hint="eastAsia" w:ascii="Times New Roman" w:hAnsi="Times New Roman" w:cs="Times New Roman"/>
                <w:kern w:val="0"/>
                <w:lang w:eastAsia="zh-CN"/>
              </w:rPr>
              <w:t>无裂痕、</w:t>
            </w:r>
            <w:r>
              <w:rPr>
                <w:rFonts w:ascii="Times New Roman" w:hAnsi="Times New Roman" w:cs="Times New Roman"/>
                <w:kern w:val="0"/>
                <w:lang w:eastAsia="zh-CN"/>
              </w:rPr>
              <w:t>破碎</w:t>
            </w:r>
          </w:p>
        </w:tc>
      </w:tr>
      <w:tr w14:paraId="7E5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0CE997F1">
            <w:pPr>
              <w:spacing w:line="360" w:lineRule="auto"/>
              <w:jc w:val="center"/>
              <w:rPr>
                <w:rFonts w:ascii="Times New Roman" w:hAnsi="Times New Roman"/>
                <w:kern w:val="0"/>
                <w:sz w:val="18"/>
                <w:szCs w:val="18"/>
              </w:rPr>
            </w:pPr>
            <w:r>
              <w:rPr>
                <w:rFonts w:ascii="Times New Roman" w:hAnsi="Times New Roman"/>
                <w:kern w:val="0"/>
                <w:sz w:val="18"/>
                <w:szCs w:val="18"/>
              </w:rPr>
              <w:t>气味</w:t>
            </w:r>
          </w:p>
        </w:tc>
        <w:tc>
          <w:tcPr>
            <w:tcW w:w="4116" w:type="pct"/>
            <w:tcBorders>
              <w:tl2br w:val="nil"/>
              <w:tr2bl w:val="nil"/>
            </w:tcBorders>
            <w:vAlign w:val="center"/>
          </w:tcPr>
          <w:p w14:paraId="7876BD8E">
            <w:pPr>
              <w:pStyle w:val="15"/>
              <w:spacing w:line="360" w:lineRule="auto"/>
              <w:jc w:val="center"/>
              <w:rPr>
                <w:lang w:eastAsia="zh-CN"/>
              </w:rPr>
            </w:pPr>
            <w:r>
              <w:rPr>
                <w:rFonts w:hint="eastAsia" w:ascii="Times New Roman" w:hAnsi="Times New Roman" w:cs="Times New Roman"/>
                <w:kern w:val="0"/>
                <w:lang w:eastAsia="zh-CN"/>
              </w:rPr>
              <w:t>具有牛肉固有气味</w:t>
            </w:r>
            <w:r>
              <w:rPr>
                <w:rFonts w:ascii="Times New Roman" w:hAnsi="Times New Roman" w:cs="Times New Roman"/>
                <w:kern w:val="0"/>
                <w:lang w:eastAsia="zh-CN"/>
              </w:rPr>
              <w:t>，无异味</w:t>
            </w:r>
          </w:p>
        </w:tc>
      </w:tr>
      <w:tr w14:paraId="66B6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4FF3EA5E">
            <w:pPr>
              <w:spacing w:line="360" w:lineRule="auto"/>
              <w:jc w:val="center"/>
              <w:rPr>
                <w:rFonts w:ascii="Times New Roman" w:hAnsi="Times New Roman"/>
                <w:kern w:val="0"/>
                <w:sz w:val="18"/>
                <w:szCs w:val="18"/>
              </w:rPr>
            </w:pPr>
            <w:r>
              <w:rPr>
                <w:rFonts w:hint="eastAsia" w:ascii="Times New Roman" w:hAnsi="Times New Roman" w:eastAsia="宋体"/>
                <w:kern w:val="0"/>
                <w:sz w:val="18"/>
                <w:szCs w:val="18"/>
              </w:rPr>
              <w:t>煮沸后肉汤</w:t>
            </w:r>
          </w:p>
        </w:tc>
        <w:tc>
          <w:tcPr>
            <w:tcW w:w="4116" w:type="pct"/>
            <w:tcBorders>
              <w:tl2br w:val="nil"/>
              <w:tr2bl w:val="nil"/>
            </w:tcBorders>
            <w:vAlign w:val="center"/>
          </w:tcPr>
          <w:p w14:paraId="5B7305EB">
            <w:pPr>
              <w:pStyle w:val="15"/>
              <w:spacing w:line="360" w:lineRule="auto"/>
              <w:jc w:val="center"/>
              <w:rPr>
                <w:rFonts w:ascii="Times New Roman" w:hAnsi="Times New Roman" w:cs="Times New Roman"/>
                <w:kern w:val="0"/>
                <w:lang w:eastAsia="zh-CN"/>
              </w:rPr>
            </w:pPr>
            <w:r>
              <w:rPr>
                <w:rFonts w:hint="eastAsia" w:ascii="Times New Roman" w:hAnsi="Times New Roman" w:cs="Times New Roman"/>
                <w:kern w:val="0"/>
                <w:lang w:eastAsia="zh-CN"/>
              </w:rPr>
              <w:t>澄清透明，</w:t>
            </w:r>
            <w:r>
              <w:rPr>
                <w:rFonts w:ascii="Times New Roman" w:hAnsi="Times New Roman" w:cs="Times New Roman"/>
                <w:kern w:val="0"/>
                <w:lang w:eastAsia="zh-CN"/>
              </w:rPr>
              <w:t>脂肪</w:t>
            </w:r>
            <w:r>
              <w:rPr>
                <w:rFonts w:hint="eastAsia" w:ascii="Times New Roman" w:hAnsi="Times New Roman" w:cs="Times New Roman"/>
                <w:kern w:val="0"/>
                <w:lang w:eastAsia="zh-CN"/>
              </w:rPr>
              <w:t>团聚于表面，具特有香味</w:t>
            </w:r>
          </w:p>
        </w:tc>
      </w:tr>
      <w:tr w14:paraId="73D5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509893C9">
            <w:pPr>
              <w:spacing w:line="360" w:lineRule="auto"/>
              <w:jc w:val="center"/>
              <w:rPr>
                <w:rFonts w:ascii="Times New Roman" w:hAnsi="Times New Roman" w:eastAsia="宋体"/>
                <w:kern w:val="0"/>
                <w:sz w:val="18"/>
                <w:szCs w:val="18"/>
              </w:rPr>
            </w:pPr>
            <w:r>
              <w:rPr>
                <w:rFonts w:hint="eastAsia"/>
                <w:kern w:val="0"/>
                <w:sz w:val="18"/>
                <w:szCs w:val="18"/>
              </w:rPr>
              <w:t>肉眼可见异物</w:t>
            </w:r>
          </w:p>
        </w:tc>
        <w:tc>
          <w:tcPr>
            <w:tcW w:w="4116" w:type="pct"/>
            <w:tcBorders>
              <w:tl2br w:val="nil"/>
              <w:tr2bl w:val="nil"/>
            </w:tcBorders>
            <w:vAlign w:val="center"/>
          </w:tcPr>
          <w:p w14:paraId="086A5F43">
            <w:pPr>
              <w:pStyle w:val="15"/>
              <w:spacing w:line="360" w:lineRule="auto"/>
              <w:jc w:val="center"/>
              <w:rPr>
                <w:lang w:eastAsia="zh-CN"/>
              </w:rPr>
            </w:pPr>
            <w:r>
              <w:rPr>
                <w:rFonts w:hint="eastAsia" w:ascii="Times New Roman" w:hAnsi="Times New Roman" w:cs="Times New Roman"/>
                <w:kern w:val="0"/>
                <w:lang w:eastAsia="zh-CN"/>
              </w:rPr>
              <w:t>不应有碎骨、</w:t>
            </w:r>
            <w:r>
              <w:rPr>
                <w:rFonts w:ascii="Times New Roman" w:hAnsi="Times New Roman" w:cs="Times New Roman"/>
                <w:kern w:val="0"/>
                <w:lang w:eastAsia="zh-CN"/>
              </w:rPr>
              <w:t>血污</w:t>
            </w:r>
            <w:r>
              <w:rPr>
                <w:rFonts w:hint="eastAsia" w:ascii="Times New Roman" w:hAnsi="Times New Roman" w:cs="Times New Roman"/>
                <w:kern w:val="0"/>
                <w:lang w:eastAsia="zh-CN"/>
              </w:rPr>
              <w:t>、</w:t>
            </w:r>
            <w:r>
              <w:rPr>
                <w:rFonts w:ascii="Times New Roman" w:hAnsi="Times New Roman" w:cs="Times New Roman"/>
                <w:kern w:val="0"/>
                <w:lang w:eastAsia="zh-CN"/>
              </w:rPr>
              <w:t>淋巴</w:t>
            </w:r>
            <w:r>
              <w:rPr>
                <w:rFonts w:hint="eastAsia" w:ascii="Times New Roman" w:hAnsi="Times New Roman" w:cs="Times New Roman"/>
                <w:kern w:val="0"/>
                <w:lang w:eastAsia="zh-CN"/>
              </w:rPr>
              <w:t>、</w:t>
            </w:r>
            <w:r>
              <w:rPr>
                <w:rFonts w:ascii="Times New Roman" w:hAnsi="Times New Roman" w:cs="Times New Roman"/>
                <w:kern w:val="0"/>
                <w:lang w:eastAsia="zh-CN"/>
              </w:rPr>
              <w:t>浮毛</w:t>
            </w:r>
            <w:r>
              <w:rPr>
                <w:rFonts w:hint="eastAsia" w:ascii="Times New Roman" w:hAnsi="Times New Roman" w:cs="Times New Roman"/>
                <w:kern w:val="0"/>
                <w:lang w:eastAsia="zh-CN"/>
              </w:rPr>
              <w:t>及外来杂质</w:t>
            </w:r>
          </w:p>
        </w:tc>
      </w:tr>
    </w:tbl>
    <w:p w14:paraId="19FCDC22">
      <w:pPr>
        <w:widowControl/>
        <w:adjustRightInd w:val="0"/>
        <w:snapToGrid w:val="0"/>
        <w:spacing w:line="360" w:lineRule="auto"/>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1495C4DE">
      <w:pPr>
        <w:pStyle w:val="5"/>
        <w:spacing w:after="0" w:line="360" w:lineRule="auto"/>
        <w:ind w:firstLine="420"/>
        <w:jc w:val="left"/>
        <w:rPr>
          <w:rFonts w:ascii="宋体" w:hAnsi="宋体" w:eastAsia="宋体" w:cs="宋体"/>
          <w:sz w:val="24"/>
        </w:rPr>
      </w:pPr>
      <w:r>
        <w:rPr>
          <w:rFonts w:hint="eastAsia" w:ascii="宋体" w:hAnsi="宋体" w:eastAsia="宋体" w:cs="宋体"/>
          <w:sz w:val="24"/>
        </w:rPr>
        <w:t>感官指标是描述和判断产品质量最直观的指标，科学合理的感官指标能反映产品的特征品质和质量。牛肉片主要食用方式为煮（</w:t>
      </w:r>
      <w:r>
        <w:rPr>
          <w:rFonts w:ascii="宋体" w:hAnsi="宋体" w:eastAsia="宋体" w:cs="宋体"/>
          <w:sz w:val="24"/>
        </w:rPr>
        <w:t>涮</w:t>
      </w:r>
      <w:r>
        <w:rPr>
          <w:rFonts w:hint="eastAsia" w:ascii="宋体" w:hAnsi="宋体" w:eastAsia="宋体" w:cs="宋体"/>
          <w:sz w:val="24"/>
        </w:rPr>
        <w:t>）制，本文件从通辽牛肉片</w:t>
      </w:r>
      <w:r>
        <w:rPr>
          <w:rFonts w:ascii="宋体" w:hAnsi="宋体" w:eastAsia="宋体" w:cs="宋体"/>
          <w:sz w:val="24"/>
        </w:rPr>
        <w:t>的</w:t>
      </w:r>
      <w:r>
        <w:rPr>
          <w:rFonts w:hint="eastAsia" w:ascii="宋体" w:hAnsi="宋体" w:eastAsia="宋体" w:cs="宋体"/>
          <w:sz w:val="24"/>
        </w:rPr>
        <w:t>外观、</w:t>
      </w:r>
      <w:r>
        <w:rPr>
          <w:rFonts w:ascii="宋体" w:hAnsi="宋体" w:eastAsia="宋体" w:cs="宋体"/>
          <w:sz w:val="24"/>
        </w:rPr>
        <w:t>色泽</w:t>
      </w:r>
      <w:r>
        <w:rPr>
          <w:rFonts w:hint="eastAsia" w:ascii="宋体" w:hAnsi="宋体" w:eastAsia="宋体" w:cs="宋体"/>
          <w:sz w:val="24"/>
        </w:rPr>
        <w:t>、组织状态、气味、肉眼可见异味及煮后肉汤进行感官要求。</w:t>
      </w:r>
    </w:p>
    <w:p w14:paraId="50AE3B2F">
      <w:pPr>
        <w:pStyle w:val="18"/>
      </w:pPr>
      <w:r>
        <w:rPr>
          <w:rFonts w:hint="eastAsia"/>
        </w:rPr>
        <w:t>标准文本：</w:t>
      </w:r>
    </w:p>
    <w:p w14:paraId="47215F4D">
      <w:pPr>
        <w:pStyle w:val="5"/>
        <w:spacing w:after="0" w:line="360" w:lineRule="auto"/>
        <w:ind w:left="25"/>
        <w:rPr>
          <w:rFonts w:asciiTheme="minorEastAsia" w:hAnsiTheme="minorEastAsia" w:cstheme="minorEastAsia"/>
          <w:spacing w:val="6"/>
          <w:sz w:val="24"/>
        </w:rPr>
      </w:pPr>
      <w:r>
        <w:rPr>
          <w:rFonts w:asciiTheme="minorEastAsia" w:hAnsiTheme="minorEastAsia" w:cstheme="minorEastAsia"/>
          <w:spacing w:val="6"/>
          <w:sz w:val="24"/>
        </w:rPr>
        <w:t>6.2</w:t>
      </w:r>
      <w:r>
        <w:rPr>
          <w:rFonts w:hint="eastAsia" w:asciiTheme="minorEastAsia" w:hAnsiTheme="minorEastAsia" w:cstheme="minorEastAsia"/>
          <w:spacing w:val="6"/>
          <w:sz w:val="24"/>
        </w:rPr>
        <w:t xml:space="preserve"> 理化指标</w:t>
      </w:r>
    </w:p>
    <w:p w14:paraId="6651F605">
      <w:pPr>
        <w:pStyle w:val="5"/>
        <w:spacing w:after="0" w:line="360" w:lineRule="auto"/>
        <w:ind w:firstLine="420"/>
        <w:jc w:val="left"/>
        <w:rPr>
          <w:rFonts w:ascii="宋体" w:hAnsi="宋体" w:eastAsia="宋体" w:cs="宋体"/>
          <w:sz w:val="24"/>
        </w:rPr>
      </w:pPr>
      <w:r>
        <w:rPr>
          <w:rFonts w:hint="eastAsia" w:ascii="宋体" w:hAnsi="宋体" w:eastAsia="宋体" w:cs="宋体"/>
          <w:sz w:val="24"/>
        </w:rPr>
        <w:t>应符合表</w:t>
      </w:r>
      <w:r>
        <w:rPr>
          <w:rFonts w:ascii="宋体" w:hAnsi="宋体" w:eastAsia="宋体" w:cs="宋体"/>
          <w:sz w:val="24"/>
        </w:rPr>
        <w:t>2</w:t>
      </w:r>
      <w:r>
        <w:rPr>
          <w:rFonts w:hint="eastAsia" w:ascii="宋体" w:hAnsi="宋体" w:eastAsia="宋体" w:cs="宋体"/>
          <w:sz w:val="24"/>
        </w:rPr>
        <w:t>的规定。</w:t>
      </w:r>
    </w:p>
    <w:p w14:paraId="715810FA">
      <w:pPr>
        <w:pStyle w:val="5"/>
        <w:spacing w:after="0" w:line="360" w:lineRule="auto"/>
        <w:ind w:left="3589"/>
        <w:rPr>
          <w:rFonts w:ascii="宋体" w:hAnsi="宋体" w:eastAsia="宋体" w:cs="宋体"/>
          <w:sz w:val="24"/>
        </w:rPr>
      </w:pPr>
      <w:r>
        <w:rPr>
          <w:rFonts w:hint="eastAsia" w:ascii="宋体" w:hAnsi="宋体" w:eastAsia="宋体" w:cs="宋体"/>
          <w:spacing w:val="5"/>
          <w:sz w:val="24"/>
        </w:rPr>
        <w:t>表</w:t>
      </w:r>
      <w:r>
        <w:rPr>
          <w:rFonts w:hint="eastAsia" w:ascii="宋体" w:hAnsi="宋体" w:eastAsia="宋体" w:cs="宋体"/>
          <w:spacing w:val="-40"/>
          <w:sz w:val="24"/>
        </w:rPr>
        <w:t xml:space="preserve"> </w:t>
      </w:r>
      <w:r>
        <w:rPr>
          <w:rFonts w:ascii="宋体" w:hAnsi="宋体" w:eastAsia="宋体" w:cs="宋体"/>
          <w:spacing w:val="5"/>
          <w:sz w:val="24"/>
        </w:rPr>
        <w:t>2</w:t>
      </w:r>
      <w:r>
        <w:rPr>
          <w:rFonts w:hint="eastAsia" w:ascii="宋体" w:hAnsi="宋体" w:eastAsia="宋体" w:cs="宋体"/>
          <w:spacing w:val="5"/>
          <w:sz w:val="24"/>
        </w:rPr>
        <w:t xml:space="preserve"> 理化指标</w:t>
      </w:r>
    </w:p>
    <w:tbl>
      <w:tblPr>
        <w:tblStyle w:val="11"/>
        <w:tblW w:w="9059"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1945"/>
        <w:gridCol w:w="1276"/>
        <w:gridCol w:w="1134"/>
        <w:gridCol w:w="1685"/>
      </w:tblGrid>
      <w:tr w14:paraId="74C1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019" w:type="dxa"/>
            <w:vMerge w:val="restart"/>
            <w:tcBorders>
              <w:tl2br w:val="nil"/>
              <w:tr2bl w:val="nil"/>
            </w:tcBorders>
            <w:vAlign w:val="center"/>
          </w:tcPr>
          <w:p w14:paraId="3083C486">
            <w:pPr>
              <w:jc w:val="center"/>
              <w:rPr>
                <w:lang w:eastAsia="en-US"/>
              </w:rPr>
            </w:pPr>
            <w:r>
              <w:rPr>
                <w:rFonts w:ascii="Times New Roman" w:hAnsi="Times New Roman" w:eastAsia="宋体"/>
                <w:kern w:val="0"/>
                <w:sz w:val="18"/>
                <w:szCs w:val="18"/>
              </w:rPr>
              <w:t>项目</w:t>
            </w:r>
          </w:p>
        </w:tc>
        <w:tc>
          <w:tcPr>
            <w:tcW w:w="4355" w:type="dxa"/>
            <w:gridSpan w:val="3"/>
            <w:tcBorders>
              <w:tl2br w:val="nil"/>
              <w:tr2bl w:val="nil"/>
            </w:tcBorders>
            <w:vAlign w:val="center"/>
          </w:tcPr>
          <w:p w14:paraId="4A171E2C">
            <w:pPr>
              <w:pStyle w:val="15"/>
              <w:ind w:firstLine="360"/>
              <w:jc w:val="center"/>
            </w:pPr>
            <w:r>
              <w:rPr>
                <w:rFonts w:hint="eastAsia"/>
                <w:lang w:eastAsia="zh-CN"/>
              </w:rPr>
              <w:t>非调理类通辽牛肉片</w:t>
            </w:r>
          </w:p>
        </w:tc>
        <w:tc>
          <w:tcPr>
            <w:tcW w:w="1685" w:type="dxa"/>
            <w:vMerge w:val="restart"/>
            <w:tcBorders>
              <w:tl2br w:val="nil"/>
              <w:tr2bl w:val="nil"/>
            </w:tcBorders>
            <w:vAlign w:val="center"/>
          </w:tcPr>
          <w:p w14:paraId="73ED617C">
            <w:pPr>
              <w:pStyle w:val="15"/>
              <w:jc w:val="center"/>
            </w:pPr>
            <w:r>
              <w:rPr>
                <w:rFonts w:hint="eastAsia"/>
                <w:lang w:eastAsia="zh-CN"/>
              </w:rPr>
              <w:t>调理类通辽牛肉片</w:t>
            </w:r>
          </w:p>
        </w:tc>
      </w:tr>
      <w:tr w14:paraId="4D7C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019" w:type="dxa"/>
            <w:vMerge w:val="continue"/>
            <w:tcBorders>
              <w:tl2br w:val="nil"/>
              <w:tr2bl w:val="nil"/>
            </w:tcBorders>
            <w:vAlign w:val="center"/>
          </w:tcPr>
          <w:p w14:paraId="4BEDA483">
            <w:pPr>
              <w:jc w:val="center"/>
              <w:rPr>
                <w:rFonts w:ascii="Times New Roman" w:hAnsi="Times New Roman" w:eastAsia="宋体"/>
                <w:kern w:val="0"/>
                <w:sz w:val="18"/>
                <w:szCs w:val="18"/>
              </w:rPr>
            </w:pPr>
          </w:p>
        </w:tc>
        <w:tc>
          <w:tcPr>
            <w:tcW w:w="1945" w:type="dxa"/>
            <w:tcBorders>
              <w:tl2br w:val="nil"/>
              <w:tr2bl w:val="nil"/>
            </w:tcBorders>
            <w:vAlign w:val="center"/>
          </w:tcPr>
          <w:p w14:paraId="76CD14D2">
            <w:pPr>
              <w:pStyle w:val="15"/>
              <w:jc w:val="center"/>
              <w:rPr>
                <w:lang w:eastAsia="zh-CN"/>
              </w:rPr>
            </w:pPr>
            <w:r>
              <w:rPr>
                <w:rFonts w:hint="eastAsia"/>
                <w:lang w:eastAsia="zh-CN"/>
              </w:rPr>
              <w:t>部位肉类（</w:t>
            </w:r>
            <w:r>
              <w:rPr>
                <w:lang w:eastAsia="zh-CN"/>
              </w:rPr>
              <w:t>除</w:t>
            </w:r>
            <w:r>
              <w:rPr>
                <w:rFonts w:hint="eastAsia"/>
                <w:lang w:eastAsia="zh-CN"/>
              </w:rPr>
              <w:t>胸口）</w:t>
            </w:r>
          </w:p>
        </w:tc>
        <w:tc>
          <w:tcPr>
            <w:tcW w:w="1276" w:type="dxa"/>
            <w:tcBorders>
              <w:tl2br w:val="nil"/>
              <w:tr2bl w:val="nil"/>
            </w:tcBorders>
            <w:vAlign w:val="center"/>
          </w:tcPr>
          <w:p w14:paraId="34A4B753">
            <w:pPr>
              <w:pStyle w:val="15"/>
              <w:jc w:val="center"/>
              <w:rPr>
                <w:lang w:eastAsia="zh-CN"/>
              </w:rPr>
            </w:pPr>
            <w:r>
              <w:rPr>
                <w:rFonts w:hint="eastAsia"/>
                <w:lang w:eastAsia="zh-CN"/>
              </w:rPr>
              <w:t>肥牛卷</w:t>
            </w:r>
          </w:p>
        </w:tc>
        <w:tc>
          <w:tcPr>
            <w:tcW w:w="1134" w:type="dxa"/>
            <w:tcBorders>
              <w:tl2br w:val="nil"/>
              <w:tr2bl w:val="nil"/>
            </w:tcBorders>
            <w:vAlign w:val="center"/>
          </w:tcPr>
          <w:p w14:paraId="2E19A885">
            <w:pPr>
              <w:pStyle w:val="15"/>
              <w:ind w:firstLine="360"/>
              <w:jc w:val="center"/>
              <w:rPr>
                <w:lang w:eastAsia="zh-CN"/>
              </w:rPr>
            </w:pPr>
            <w:r>
              <w:rPr>
                <w:rFonts w:hint="eastAsia"/>
                <w:lang w:eastAsia="zh-CN"/>
              </w:rPr>
              <w:t>其他</w:t>
            </w:r>
          </w:p>
        </w:tc>
        <w:tc>
          <w:tcPr>
            <w:tcW w:w="1685" w:type="dxa"/>
            <w:vMerge w:val="continue"/>
            <w:tcBorders>
              <w:tl2br w:val="nil"/>
              <w:tr2bl w:val="nil"/>
            </w:tcBorders>
            <w:vAlign w:val="center"/>
          </w:tcPr>
          <w:p w14:paraId="2962C717">
            <w:pPr>
              <w:pStyle w:val="15"/>
              <w:ind w:firstLine="360"/>
              <w:jc w:val="center"/>
              <w:rPr>
                <w:lang w:eastAsia="zh-CN"/>
              </w:rPr>
            </w:pPr>
          </w:p>
        </w:tc>
      </w:tr>
      <w:tr w14:paraId="298E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3EA77783">
            <w:pPr>
              <w:pStyle w:val="15"/>
              <w:rPr>
                <w:rFonts w:ascii="Times New Roman" w:hAnsi="Times New Roman" w:cs="Times New Roman"/>
              </w:rPr>
            </w:pPr>
            <w:r>
              <w:rPr>
                <w:rFonts w:ascii="Times New Roman" w:hAnsi="Times New Roman" w:cs="Times New Roman"/>
              </w:rPr>
              <w:t>水分/（g/100g）                ≤</w:t>
            </w:r>
          </w:p>
        </w:tc>
        <w:tc>
          <w:tcPr>
            <w:tcW w:w="4355" w:type="dxa"/>
            <w:gridSpan w:val="3"/>
            <w:tcBorders>
              <w:tl2br w:val="nil"/>
              <w:tr2bl w:val="nil"/>
            </w:tcBorders>
            <w:vAlign w:val="center"/>
          </w:tcPr>
          <w:p w14:paraId="39A0A3D9">
            <w:pPr>
              <w:pStyle w:val="15"/>
              <w:jc w:val="center"/>
              <w:rPr>
                <w:rFonts w:ascii="Times New Roman" w:hAnsi="Times New Roman" w:cs="Times New Roman"/>
                <w:lang w:eastAsia="zh-CN"/>
              </w:rPr>
            </w:pPr>
            <w:r>
              <w:rPr>
                <w:rFonts w:ascii="Times New Roman" w:hAnsi="Times New Roman" w:cs="Times New Roman"/>
                <w:lang w:eastAsia="zh-CN"/>
              </w:rPr>
              <w:t>77</w:t>
            </w:r>
          </w:p>
        </w:tc>
        <w:tc>
          <w:tcPr>
            <w:tcW w:w="1685" w:type="dxa"/>
            <w:tcBorders>
              <w:tl2br w:val="nil"/>
              <w:tr2bl w:val="nil"/>
            </w:tcBorders>
            <w:vAlign w:val="center"/>
          </w:tcPr>
          <w:p w14:paraId="62BA8BB4">
            <w:pPr>
              <w:pStyle w:val="15"/>
              <w:jc w:val="center"/>
              <w:rPr>
                <w:rFonts w:ascii="Times New Roman" w:hAnsi="Times New Roman" w:cs="Times New Roman"/>
                <w:lang w:eastAsia="zh-CN"/>
              </w:rPr>
            </w:pPr>
            <w:r>
              <w:rPr>
                <w:rFonts w:ascii="Times New Roman" w:hAnsi="Times New Roman" w:cs="Times New Roman"/>
                <w:lang w:eastAsia="zh-CN"/>
              </w:rPr>
              <w:t>79</w:t>
            </w:r>
          </w:p>
        </w:tc>
      </w:tr>
      <w:tr w14:paraId="6A49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019" w:type="dxa"/>
            <w:tcBorders>
              <w:tl2br w:val="nil"/>
              <w:tr2bl w:val="nil"/>
            </w:tcBorders>
            <w:vAlign w:val="center"/>
          </w:tcPr>
          <w:p w14:paraId="57930976">
            <w:pPr>
              <w:pStyle w:val="15"/>
              <w:rPr>
                <w:rFonts w:ascii="Times New Roman" w:hAnsi="Times New Roman" w:cs="Times New Roman"/>
              </w:rPr>
            </w:pPr>
            <w:r>
              <w:rPr>
                <w:rFonts w:ascii="Times New Roman" w:hAnsi="Times New Roman" w:cs="Times New Roman"/>
              </w:rPr>
              <w:t>蛋白质/（g/100g）               ≥</w:t>
            </w:r>
          </w:p>
        </w:tc>
        <w:tc>
          <w:tcPr>
            <w:tcW w:w="1945" w:type="dxa"/>
            <w:tcBorders>
              <w:tl2br w:val="nil"/>
              <w:tr2bl w:val="nil"/>
            </w:tcBorders>
            <w:vAlign w:val="center"/>
          </w:tcPr>
          <w:p w14:paraId="3EDEDCFE">
            <w:pPr>
              <w:pStyle w:val="15"/>
              <w:jc w:val="center"/>
              <w:rPr>
                <w:rFonts w:ascii="Times New Roman" w:hAnsi="Times New Roman" w:cs="Times New Roman"/>
                <w:lang w:eastAsia="zh-CN"/>
              </w:rPr>
            </w:pPr>
            <w:r>
              <w:rPr>
                <w:rFonts w:ascii="Times New Roman" w:hAnsi="Times New Roman" w:cs="Times New Roman"/>
                <w:lang w:eastAsia="zh-CN"/>
              </w:rPr>
              <w:t>20</w:t>
            </w:r>
          </w:p>
        </w:tc>
        <w:tc>
          <w:tcPr>
            <w:tcW w:w="1276" w:type="dxa"/>
            <w:tcBorders>
              <w:tl2br w:val="nil"/>
              <w:tr2bl w:val="nil"/>
            </w:tcBorders>
            <w:vAlign w:val="center"/>
          </w:tcPr>
          <w:p w14:paraId="06D0D00C">
            <w:pPr>
              <w:pStyle w:val="15"/>
              <w:jc w:val="center"/>
              <w:rPr>
                <w:rFonts w:ascii="Times New Roman" w:hAnsi="Times New Roman" w:cs="Times New Roman"/>
                <w:lang w:eastAsia="zh-CN"/>
              </w:rPr>
            </w:pPr>
            <w:r>
              <w:rPr>
                <w:rFonts w:hint="eastAsia" w:ascii="Times New Roman" w:hAnsi="Times New Roman" w:cs="Times New Roman"/>
                <w:lang w:eastAsia="zh-CN"/>
              </w:rPr>
              <w:t>18</w:t>
            </w:r>
          </w:p>
        </w:tc>
        <w:tc>
          <w:tcPr>
            <w:tcW w:w="1134" w:type="dxa"/>
            <w:tcBorders>
              <w:tl2br w:val="nil"/>
              <w:tr2bl w:val="nil"/>
            </w:tcBorders>
            <w:vAlign w:val="center"/>
          </w:tcPr>
          <w:p w14:paraId="13CA12AF">
            <w:pPr>
              <w:pStyle w:val="15"/>
              <w:jc w:val="center"/>
              <w:rPr>
                <w:rFonts w:ascii="Times New Roman" w:hAnsi="Times New Roman" w:cs="Times New Roman"/>
                <w:lang w:eastAsia="zh-CN"/>
              </w:rPr>
            </w:pPr>
            <w:r>
              <w:rPr>
                <w:rFonts w:hint="eastAsia" w:ascii="Times New Roman" w:hAnsi="Times New Roman" w:cs="Times New Roman"/>
                <w:lang w:eastAsia="zh-CN"/>
              </w:rPr>
              <w:t>-</w:t>
            </w:r>
          </w:p>
        </w:tc>
        <w:tc>
          <w:tcPr>
            <w:tcW w:w="1685" w:type="dxa"/>
            <w:tcBorders>
              <w:tl2br w:val="nil"/>
              <w:tr2bl w:val="nil"/>
            </w:tcBorders>
            <w:vAlign w:val="center"/>
          </w:tcPr>
          <w:p w14:paraId="4A3B9180">
            <w:pPr>
              <w:pStyle w:val="15"/>
              <w:jc w:val="center"/>
              <w:rPr>
                <w:rFonts w:ascii="Times New Roman" w:hAnsi="Times New Roman" w:cs="Times New Roman"/>
                <w:lang w:eastAsia="zh-CN"/>
              </w:rPr>
            </w:pPr>
            <w:r>
              <w:rPr>
                <w:rFonts w:ascii="Times New Roman" w:hAnsi="Times New Roman" w:cs="Times New Roman"/>
                <w:lang w:eastAsia="zh-CN"/>
              </w:rPr>
              <w:t>14</w:t>
            </w:r>
          </w:p>
        </w:tc>
      </w:tr>
      <w:tr w14:paraId="66AE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2834A27D">
            <w:pPr>
              <w:pStyle w:val="15"/>
              <w:rPr>
                <w:rFonts w:ascii="Times New Roman" w:hAnsi="Times New Roman" w:cs="Times New Roman"/>
              </w:rPr>
            </w:pPr>
            <w:r>
              <w:rPr>
                <w:rFonts w:ascii="Times New Roman" w:hAnsi="Times New Roman" w:cs="Times New Roman"/>
              </w:rPr>
              <w:t>脂肪/（g/100g）                ≤</w:t>
            </w:r>
          </w:p>
        </w:tc>
        <w:tc>
          <w:tcPr>
            <w:tcW w:w="1945" w:type="dxa"/>
            <w:tcBorders>
              <w:tl2br w:val="nil"/>
              <w:tr2bl w:val="nil"/>
            </w:tcBorders>
            <w:vAlign w:val="center"/>
          </w:tcPr>
          <w:p w14:paraId="064A4E6F">
            <w:pPr>
              <w:pStyle w:val="15"/>
              <w:jc w:val="center"/>
              <w:rPr>
                <w:rFonts w:ascii="Times New Roman" w:hAnsi="Times New Roman" w:cs="Times New Roman"/>
                <w:lang w:eastAsia="zh-CN"/>
              </w:rPr>
            </w:pPr>
            <w:r>
              <w:rPr>
                <w:rFonts w:ascii="Times New Roman" w:hAnsi="Times New Roman" w:cs="Times New Roman"/>
                <w:lang w:eastAsia="zh-CN"/>
              </w:rPr>
              <w:t>-</w:t>
            </w:r>
          </w:p>
        </w:tc>
        <w:tc>
          <w:tcPr>
            <w:tcW w:w="1276" w:type="dxa"/>
            <w:tcBorders>
              <w:tl2br w:val="nil"/>
              <w:tr2bl w:val="nil"/>
            </w:tcBorders>
            <w:vAlign w:val="center"/>
          </w:tcPr>
          <w:p w14:paraId="6BAFB490">
            <w:pPr>
              <w:pStyle w:val="15"/>
              <w:jc w:val="center"/>
              <w:rPr>
                <w:rFonts w:ascii="Times New Roman" w:hAnsi="Times New Roman" w:cs="Times New Roman"/>
                <w:lang w:eastAsia="zh-CN"/>
              </w:rPr>
            </w:pPr>
            <w:r>
              <w:rPr>
                <w:rFonts w:hint="eastAsia" w:ascii="Times New Roman" w:hAnsi="Times New Roman" w:cs="Times New Roman"/>
                <w:lang w:eastAsia="zh-CN"/>
              </w:rPr>
              <w:t>25</w:t>
            </w:r>
          </w:p>
        </w:tc>
        <w:tc>
          <w:tcPr>
            <w:tcW w:w="1134" w:type="dxa"/>
            <w:tcBorders>
              <w:tl2br w:val="nil"/>
              <w:tr2bl w:val="nil"/>
            </w:tcBorders>
            <w:vAlign w:val="center"/>
          </w:tcPr>
          <w:p w14:paraId="4EAEFA03">
            <w:pPr>
              <w:pStyle w:val="15"/>
              <w:jc w:val="center"/>
              <w:rPr>
                <w:rFonts w:ascii="Times New Roman" w:hAnsi="Times New Roman" w:cs="Times New Roman"/>
                <w:lang w:eastAsia="zh-CN"/>
              </w:rPr>
            </w:pPr>
            <w:r>
              <w:rPr>
                <w:rFonts w:hint="eastAsia" w:ascii="Times New Roman" w:hAnsi="Times New Roman" w:cs="Times New Roman"/>
                <w:lang w:eastAsia="zh-CN"/>
              </w:rPr>
              <w:t>-</w:t>
            </w:r>
          </w:p>
        </w:tc>
        <w:tc>
          <w:tcPr>
            <w:tcW w:w="1685" w:type="dxa"/>
            <w:tcBorders>
              <w:tl2br w:val="nil"/>
              <w:tr2bl w:val="nil"/>
            </w:tcBorders>
            <w:vAlign w:val="center"/>
          </w:tcPr>
          <w:p w14:paraId="29BA2F1D">
            <w:pPr>
              <w:pStyle w:val="15"/>
              <w:jc w:val="center"/>
              <w:rPr>
                <w:rFonts w:ascii="Times New Roman" w:hAnsi="Times New Roman" w:cs="Times New Roman"/>
                <w:lang w:eastAsia="zh-CN"/>
              </w:rPr>
            </w:pPr>
            <w:r>
              <w:rPr>
                <w:rFonts w:ascii="Times New Roman" w:hAnsi="Times New Roman" w:cs="Times New Roman"/>
                <w:lang w:eastAsia="zh-CN"/>
              </w:rPr>
              <w:t>25</w:t>
            </w:r>
          </w:p>
        </w:tc>
      </w:tr>
      <w:tr w14:paraId="376D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46C7E420">
            <w:pPr>
              <w:pStyle w:val="15"/>
              <w:rPr>
                <w:rFonts w:ascii="Times New Roman" w:hAnsi="Times New Roman" w:cs="Times New Roman"/>
                <w:lang w:eastAsia="zh-CN"/>
              </w:rPr>
            </w:pPr>
            <w:r>
              <w:rPr>
                <w:rFonts w:hint="eastAsia" w:ascii="Times New Roman" w:hAnsi="Times New Roman" w:cs="Times New Roman"/>
                <w:lang w:eastAsia="zh-CN"/>
              </w:rPr>
              <w:t>挥发性盐基氮/</w:t>
            </w:r>
            <w:r>
              <w:rPr>
                <w:rFonts w:ascii="Times New Roman" w:hAnsi="Times New Roman" w:cs="Times New Roman"/>
                <w:lang w:eastAsia="zh-CN"/>
              </w:rPr>
              <w:t>（mg/100g）</w:t>
            </w:r>
            <w:r>
              <w:rPr>
                <w:rFonts w:hint="eastAsia" w:ascii="Times New Roman" w:hAnsi="Times New Roman" w:cs="Times New Roman"/>
                <w:lang w:eastAsia="zh-CN"/>
              </w:rPr>
              <w:t xml:space="preserve"> </w:t>
            </w:r>
            <w:r>
              <w:rPr>
                <w:rFonts w:ascii="Times New Roman" w:hAnsi="Times New Roman" w:cs="Times New Roman"/>
                <w:lang w:eastAsia="zh-CN"/>
              </w:rPr>
              <w:t xml:space="preserve">     ≤</w:t>
            </w:r>
          </w:p>
        </w:tc>
        <w:tc>
          <w:tcPr>
            <w:tcW w:w="4355" w:type="dxa"/>
            <w:gridSpan w:val="3"/>
            <w:tcBorders>
              <w:tl2br w:val="nil"/>
              <w:tr2bl w:val="nil"/>
            </w:tcBorders>
            <w:vAlign w:val="center"/>
          </w:tcPr>
          <w:p w14:paraId="7D87720B">
            <w:pPr>
              <w:pStyle w:val="15"/>
              <w:jc w:val="center"/>
              <w:rPr>
                <w:rFonts w:ascii="Times New Roman" w:hAnsi="Times New Roman" w:cs="Times New Roman"/>
                <w:lang w:eastAsia="zh-CN"/>
              </w:rPr>
            </w:pPr>
            <w:r>
              <w:rPr>
                <w:rFonts w:ascii="Times New Roman" w:hAnsi="Times New Roman" w:cs="Times New Roman"/>
                <w:lang w:eastAsia="zh-CN"/>
              </w:rPr>
              <w:t>13</w:t>
            </w:r>
          </w:p>
        </w:tc>
        <w:tc>
          <w:tcPr>
            <w:tcW w:w="1685" w:type="dxa"/>
            <w:tcBorders>
              <w:tl2br w:val="nil"/>
              <w:tr2bl w:val="nil"/>
            </w:tcBorders>
            <w:vAlign w:val="center"/>
          </w:tcPr>
          <w:p w14:paraId="502F08B4">
            <w:pPr>
              <w:pStyle w:val="15"/>
              <w:jc w:val="center"/>
              <w:rPr>
                <w:rFonts w:ascii="Times New Roman" w:hAnsi="Times New Roman" w:cs="Times New Roman"/>
                <w:lang w:eastAsia="zh-CN"/>
              </w:rPr>
            </w:pPr>
            <w:r>
              <w:rPr>
                <w:rFonts w:ascii="Times New Roman" w:hAnsi="Times New Roman" w:cs="Times New Roman"/>
                <w:lang w:eastAsia="zh-CN"/>
              </w:rPr>
              <w:t>-</w:t>
            </w:r>
          </w:p>
        </w:tc>
      </w:tr>
      <w:tr w14:paraId="5D2C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0B4C6EBA">
            <w:pPr>
              <w:pStyle w:val="15"/>
              <w:rPr>
                <w:rFonts w:ascii="Times New Roman" w:hAnsi="Times New Roman" w:cs="Times New Roman"/>
                <w:lang w:eastAsia="zh-CN"/>
              </w:rPr>
            </w:pPr>
            <w:r>
              <w:rPr>
                <w:rFonts w:hint="eastAsia" w:ascii="Times New Roman" w:hAnsi="Times New Roman" w:cs="Times New Roman"/>
                <w:lang w:eastAsia="zh-CN"/>
              </w:rPr>
              <w:t>解冻失水率（</w:t>
            </w:r>
            <w:r>
              <w:rPr>
                <w:rFonts w:ascii="Times New Roman" w:hAnsi="Times New Roman" w:cs="Times New Roman"/>
                <w:lang w:eastAsia="zh-CN"/>
              </w:rPr>
              <w:t>%）</w:t>
            </w:r>
            <w:r>
              <w:rPr>
                <w:rFonts w:hint="eastAsia" w:ascii="Times New Roman" w:hAnsi="Times New Roman" w:cs="Times New Roman"/>
                <w:lang w:eastAsia="zh-CN"/>
              </w:rPr>
              <w:t xml:space="preserve">               </w:t>
            </w:r>
            <w:r>
              <w:rPr>
                <w:rFonts w:ascii="Times New Roman" w:hAnsi="Times New Roman" w:cs="Times New Roman"/>
                <w:lang w:eastAsia="zh-CN"/>
              </w:rPr>
              <w:t xml:space="preserve"> </w:t>
            </w:r>
            <w:r>
              <w:rPr>
                <w:rFonts w:ascii="Times New Roman" w:hAnsi="Times New Roman" w:cs="Times New Roman"/>
              </w:rPr>
              <w:t>≤</w:t>
            </w:r>
          </w:p>
        </w:tc>
        <w:tc>
          <w:tcPr>
            <w:tcW w:w="4355" w:type="dxa"/>
            <w:gridSpan w:val="3"/>
            <w:tcBorders>
              <w:tl2br w:val="nil"/>
              <w:tr2bl w:val="nil"/>
            </w:tcBorders>
            <w:vAlign w:val="center"/>
          </w:tcPr>
          <w:p w14:paraId="0E407A37">
            <w:pPr>
              <w:pStyle w:val="15"/>
              <w:jc w:val="center"/>
              <w:rPr>
                <w:rFonts w:ascii="Times New Roman" w:hAnsi="Times New Roman" w:cs="Times New Roman"/>
                <w:lang w:eastAsia="zh-CN"/>
              </w:rPr>
            </w:pPr>
            <w:r>
              <w:rPr>
                <w:rFonts w:ascii="Times New Roman" w:hAnsi="Times New Roman" w:cs="Times New Roman"/>
                <w:lang w:eastAsia="zh-CN"/>
              </w:rPr>
              <w:t>5</w:t>
            </w:r>
          </w:p>
        </w:tc>
        <w:tc>
          <w:tcPr>
            <w:tcW w:w="1685" w:type="dxa"/>
            <w:tcBorders>
              <w:tl2br w:val="nil"/>
              <w:tr2bl w:val="nil"/>
            </w:tcBorders>
            <w:vAlign w:val="center"/>
          </w:tcPr>
          <w:p w14:paraId="5A9D3CA3">
            <w:pPr>
              <w:pStyle w:val="15"/>
              <w:jc w:val="center"/>
              <w:rPr>
                <w:rFonts w:ascii="Times New Roman" w:hAnsi="Times New Roman" w:cs="Times New Roman"/>
                <w:lang w:eastAsia="zh-CN"/>
              </w:rPr>
            </w:pPr>
            <w:r>
              <w:rPr>
                <w:rFonts w:ascii="Times New Roman" w:hAnsi="Times New Roman" w:cs="Times New Roman"/>
                <w:lang w:eastAsia="zh-CN"/>
              </w:rPr>
              <w:t>5</w:t>
            </w:r>
          </w:p>
        </w:tc>
      </w:tr>
      <w:tr w14:paraId="10A9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005F40B1">
            <w:pPr>
              <w:pStyle w:val="15"/>
              <w:rPr>
                <w:rFonts w:ascii="Times New Roman" w:hAnsi="Times New Roman" w:cs="Times New Roman"/>
                <w:lang w:eastAsia="zh-CN"/>
              </w:rPr>
            </w:pPr>
            <w:r>
              <w:rPr>
                <w:rFonts w:hint="eastAsia" w:ascii="Times New Roman" w:hAnsi="Times New Roman" w:cs="Times New Roman"/>
                <w:lang w:eastAsia="zh-CN"/>
              </w:rPr>
              <w:t>过氧化值（</w:t>
            </w:r>
            <w:r>
              <w:rPr>
                <w:rFonts w:ascii="Times New Roman" w:hAnsi="Times New Roman" w:cs="Times New Roman"/>
                <w:lang w:eastAsia="zh-CN"/>
              </w:rPr>
              <w:t>以</w:t>
            </w:r>
            <w:r>
              <w:rPr>
                <w:rFonts w:hint="eastAsia" w:ascii="Times New Roman" w:hAnsi="Times New Roman" w:cs="Times New Roman"/>
                <w:lang w:eastAsia="zh-CN"/>
              </w:rPr>
              <w:t>脂肪计）（</w:t>
            </w:r>
            <w:r>
              <w:rPr>
                <w:rFonts w:ascii="Times New Roman" w:hAnsi="Times New Roman" w:cs="Times New Roman"/>
                <w:lang w:eastAsia="zh-CN"/>
              </w:rPr>
              <w:t>g/100g</w:t>
            </w:r>
            <w:r>
              <w:rPr>
                <w:rFonts w:hint="eastAsia" w:ascii="Times New Roman" w:hAnsi="Times New Roman" w:cs="Times New Roman"/>
                <w:lang w:eastAsia="zh-CN"/>
              </w:rPr>
              <w:t>）</w:t>
            </w:r>
            <w:r>
              <w:rPr>
                <w:rFonts w:ascii="Times New Roman" w:hAnsi="Times New Roman" w:cs="Times New Roman"/>
                <w:lang w:eastAsia="zh-CN"/>
              </w:rPr>
              <w:t>≤</w:t>
            </w:r>
          </w:p>
        </w:tc>
        <w:tc>
          <w:tcPr>
            <w:tcW w:w="4355" w:type="dxa"/>
            <w:gridSpan w:val="3"/>
            <w:tcBorders>
              <w:tl2br w:val="nil"/>
              <w:tr2bl w:val="nil"/>
            </w:tcBorders>
            <w:vAlign w:val="center"/>
          </w:tcPr>
          <w:p w14:paraId="6141726F">
            <w:pPr>
              <w:pStyle w:val="15"/>
              <w:jc w:val="center"/>
              <w:rPr>
                <w:rFonts w:ascii="Times New Roman" w:hAnsi="Times New Roman" w:cs="Times New Roman"/>
                <w:lang w:eastAsia="zh-CN"/>
              </w:rPr>
            </w:pPr>
            <w:r>
              <w:rPr>
                <w:rFonts w:ascii="Times New Roman" w:hAnsi="Times New Roman" w:cs="Times New Roman"/>
                <w:lang w:eastAsia="zh-CN"/>
              </w:rPr>
              <w:t>-</w:t>
            </w:r>
          </w:p>
        </w:tc>
        <w:tc>
          <w:tcPr>
            <w:tcW w:w="1685" w:type="dxa"/>
            <w:tcBorders>
              <w:tl2br w:val="nil"/>
              <w:tr2bl w:val="nil"/>
            </w:tcBorders>
            <w:vAlign w:val="center"/>
          </w:tcPr>
          <w:p w14:paraId="26CFE5A4">
            <w:pPr>
              <w:pStyle w:val="15"/>
              <w:jc w:val="center"/>
              <w:rPr>
                <w:rFonts w:ascii="Times New Roman" w:hAnsi="Times New Roman" w:cs="Times New Roman"/>
                <w:lang w:eastAsia="zh-CN"/>
              </w:rPr>
            </w:pPr>
            <w:r>
              <w:rPr>
                <w:rFonts w:ascii="Times New Roman" w:hAnsi="Times New Roman" w:cs="Times New Roman"/>
                <w:lang w:eastAsia="zh-CN"/>
              </w:rPr>
              <w:t>0.25</w:t>
            </w:r>
          </w:p>
        </w:tc>
      </w:tr>
    </w:tbl>
    <w:p w14:paraId="218D8F85">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3DE27974">
      <w:pPr>
        <w:tabs>
          <w:tab w:val="left" w:pos="895"/>
        </w:tabs>
        <w:spacing w:line="360" w:lineRule="auto"/>
        <w:ind w:firstLine="480" w:firstLineChars="200"/>
        <w:jc w:val="left"/>
        <w:rPr>
          <w:rFonts w:asciiTheme="minorEastAsia" w:hAnsiTheme="minorEastAsia"/>
          <w:sz w:val="24"/>
        </w:rPr>
      </w:pPr>
      <w:r>
        <w:rPr>
          <w:rFonts w:ascii="Times New Roman" w:hAnsi="Times New Roman" w:cs="Times New Roman"/>
          <w:sz w:val="24"/>
        </w:rPr>
        <w:t>GB 18394《畜禽肉水分限量》规定，牛肉水分含量≤77 g/100g。挥发性盐基氮是评价鲜、冻畜禽产品新鲜程度的指标。GB 2707《</w:t>
      </w:r>
      <w:r>
        <w:rPr>
          <w:rFonts w:hint="eastAsia" w:ascii="Times New Roman" w:hAnsi="Times New Roman" w:cs="Times New Roman"/>
          <w:sz w:val="24"/>
        </w:rPr>
        <w:t xml:space="preserve">食品安全国家标准 </w:t>
      </w:r>
      <w:r>
        <w:rPr>
          <w:rFonts w:ascii="Times New Roman" w:hAnsi="Times New Roman" w:cs="Times New Roman"/>
          <w:sz w:val="24"/>
        </w:rPr>
        <w:t>鲜、冻畜、禽产品》规定，鲜、冻畜禽产品挥发性盐基氮≤15 mg/100 g。</w:t>
      </w:r>
      <w:r>
        <w:rPr>
          <w:rFonts w:hint="eastAsia" w:ascii="宋体" w:hAnsi="宋体" w:eastAsia="宋体" w:cs="宋体"/>
          <w:sz w:val="24"/>
        </w:rPr>
        <w:t>T/CMATB 3012规定，</w:t>
      </w:r>
      <w:r>
        <w:rPr>
          <w:rFonts w:ascii="宋体" w:hAnsi="宋体" w:eastAsia="宋体" w:cs="宋体"/>
          <w:sz w:val="24"/>
        </w:rPr>
        <w:t>通辽</w:t>
      </w:r>
      <w:r>
        <w:rPr>
          <w:rFonts w:hint="eastAsia" w:ascii="宋体" w:hAnsi="宋体" w:eastAsia="宋体" w:cs="宋体"/>
          <w:sz w:val="24"/>
        </w:rPr>
        <w:t>牛肉蛋白质含量</w:t>
      </w:r>
      <w:r>
        <w:rPr>
          <w:rFonts w:ascii="Times New Roman" w:hAnsi="Times New Roman" w:eastAsia="宋体" w:cs="Times New Roman"/>
          <w:sz w:val="24"/>
        </w:rPr>
        <w:t>≥</w:t>
      </w:r>
      <w:r>
        <w:rPr>
          <w:rFonts w:hint="eastAsia" w:ascii="宋体" w:hAnsi="宋体" w:eastAsia="宋体" w:cs="宋体"/>
          <w:sz w:val="24"/>
        </w:rPr>
        <w:t>20</w:t>
      </w:r>
      <w:r>
        <w:rPr>
          <w:rFonts w:ascii="宋体" w:hAnsi="宋体" w:eastAsia="宋体" w:cs="宋体"/>
          <w:sz w:val="24"/>
        </w:rPr>
        <w:t>g/100g</w:t>
      </w:r>
      <w:r>
        <w:rPr>
          <w:rFonts w:hint="eastAsia" w:ascii="宋体" w:hAnsi="宋体" w:eastAsia="宋体" w:cs="宋体"/>
          <w:sz w:val="24"/>
        </w:rPr>
        <w:t>，挥发性盐基氮</w:t>
      </w:r>
      <w:r>
        <w:rPr>
          <w:rFonts w:ascii="Times New Roman" w:hAnsi="Times New Roman" w:cs="Times New Roman"/>
          <w:sz w:val="24"/>
        </w:rPr>
        <w:t>≤13 mg/100 g。</w:t>
      </w:r>
      <w:r>
        <w:rPr>
          <w:rFonts w:hint="eastAsia"/>
          <w:sz w:val="24"/>
        </w:rPr>
        <w:t>解冻失水率是评价牛肉片品质的关键指标，</w:t>
      </w:r>
      <w:r>
        <w:rPr>
          <w:rFonts w:hint="eastAsia" w:asciiTheme="minorEastAsia" w:hAnsiTheme="minorEastAsia"/>
          <w:sz w:val="24"/>
        </w:rPr>
        <w:t>NY/T 3524-2019</w:t>
      </w:r>
      <w:r>
        <w:rPr>
          <w:rFonts w:hint="eastAsia"/>
          <w:sz w:val="24"/>
        </w:rPr>
        <w:t>《冷冻肉解冻技术规范》中规定，冷冻肉的解冻汁液流失率应不高于</w:t>
      </w:r>
      <w:r>
        <w:rPr>
          <w:rFonts w:hint="eastAsia" w:asciiTheme="minorEastAsia" w:hAnsiTheme="minorEastAsia"/>
          <w:sz w:val="24"/>
        </w:rPr>
        <w:t>5</w:t>
      </w:r>
      <w:r>
        <w:rPr>
          <w:rFonts w:hint="eastAsia"/>
          <w:sz w:val="24"/>
        </w:rPr>
        <w:t>%。</w:t>
      </w:r>
      <w:r>
        <w:rPr>
          <w:rFonts w:hint="eastAsia" w:asciiTheme="minorEastAsia" w:hAnsiTheme="minorEastAsia"/>
          <w:sz w:val="24"/>
        </w:rPr>
        <w:t>样品实测数据（详见第三部分表1）也显示，调理类和非调理类通辽牛肉片解冻失水率低于5</w:t>
      </w:r>
      <w:r>
        <w:rPr>
          <w:rFonts w:asciiTheme="minorEastAsia" w:hAnsiTheme="minorEastAsia"/>
          <w:sz w:val="24"/>
        </w:rPr>
        <w:t>%的</w:t>
      </w:r>
      <w:r>
        <w:rPr>
          <w:rFonts w:hint="eastAsia" w:asciiTheme="minorEastAsia" w:hAnsiTheme="minorEastAsia"/>
          <w:sz w:val="24"/>
        </w:rPr>
        <w:t>比例在90</w:t>
      </w:r>
      <w:r>
        <w:rPr>
          <w:rFonts w:asciiTheme="minorEastAsia" w:hAnsiTheme="minorEastAsia"/>
          <w:sz w:val="24"/>
        </w:rPr>
        <w:t>%。</w:t>
      </w:r>
      <w:r>
        <w:rPr>
          <w:rFonts w:hint="eastAsia" w:ascii="Times New Roman" w:hAnsi="Times New Roman" w:cs="Times New Roman"/>
          <w:sz w:val="24"/>
        </w:rPr>
        <w:t>考虑非调理类通辽牛肉片既有以单一部位肉加工而成的，</w:t>
      </w:r>
      <w:r>
        <w:rPr>
          <w:rFonts w:ascii="Times New Roman" w:hAnsi="Times New Roman" w:cs="Times New Roman"/>
          <w:sz w:val="24"/>
        </w:rPr>
        <w:t>也有</w:t>
      </w:r>
      <w:r>
        <w:rPr>
          <w:rFonts w:hint="eastAsia" w:ascii="Times New Roman" w:hAnsi="Times New Roman" w:cs="Times New Roman"/>
          <w:sz w:val="24"/>
        </w:rPr>
        <w:t>瘦肉和脂肪混合成型再切片的肥牛卷，</w:t>
      </w:r>
      <w:r>
        <w:rPr>
          <w:rFonts w:ascii="Times New Roman" w:hAnsi="Times New Roman" w:cs="Times New Roman"/>
          <w:sz w:val="24"/>
        </w:rPr>
        <w:t>其</w:t>
      </w:r>
      <w:r>
        <w:rPr>
          <w:rFonts w:hint="eastAsia" w:ascii="Times New Roman" w:hAnsi="Times New Roman" w:cs="Times New Roman"/>
          <w:sz w:val="24"/>
        </w:rPr>
        <w:t>蛋白质含量和脂肪含量差异较大（</w:t>
      </w:r>
      <w:r>
        <w:rPr>
          <w:rFonts w:ascii="Times New Roman" w:hAnsi="Times New Roman" w:cs="Times New Roman"/>
          <w:sz w:val="24"/>
        </w:rPr>
        <w:t>详见</w:t>
      </w:r>
      <w:r>
        <w:rPr>
          <w:rFonts w:hint="eastAsia" w:ascii="Times New Roman" w:hAnsi="Times New Roman" w:cs="Times New Roman"/>
          <w:sz w:val="24"/>
        </w:rPr>
        <w:t>第三部分表2），</w:t>
      </w:r>
      <w:r>
        <w:rPr>
          <w:rFonts w:ascii="Times New Roman" w:hAnsi="Times New Roman" w:cs="Times New Roman"/>
          <w:sz w:val="24"/>
        </w:rPr>
        <w:t>因此</w:t>
      </w:r>
      <w:r>
        <w:rPr>
          <w:rFonts w:hint="eastAsia" w:ascii="Times New Roman" w:hAnsi="Times New Roman" w:cs="Times New Roman"/>
          <w:sz w:val="24"/>
        </w:rPr>
        <w:t>，分别对其进行限定。其中，部位肉（</w:t>
      </w:r>
      <w:r>
        <w:rPr>
          <w:rFonts w:ascii="Times New Roman" w:hAnsi="Times New Roman" w:cs="Times New Roman"/>
          <w:sz w:val="24"/>
        </w:rPr>
        <w:t>除</w:t>
      </w:r>
      <w:r>
        <w:rPr>
          <w:rFonts w:hint="eastAsia" w:ascii="Times New Roman" w:hAnsi="Times New Roman" w:cs="Times New Roman"/>
          <w:sz w:val="24"/>
        </w:rPr>
        <w:t>胸口）均为瘦肉、</w:t>
      </w:r>
      <w:r>
        <w:rPr>
          <w:rFonts w:ascii="Times New Roman" w:hAnsi="Times New Roman" w:cs="Times New Roman"/>
          <w:sz w:val="24"/>
        </w:rPr>
        <w:t>脂肪</w:t>
      </w:r>
      <w:r>
        <w:rPr>
          <w:rFonts w:hint="eastAsia" w:ascii="Times New Roman" w:hAnsi="Times New Roman" w:cs="Times New Roman"/>
          <w:sz w:val="24"/>
        </w:rPr>
        <w:t>含量极少，蛋白质含量引标</w:t>
      </w:r>
      <w:r>
        <w:rPr>
          <w:rFonts w:hint="eastAsia" w:ascii="宋体" w:hAnsi="宋体" w:eastAsia="宋体" w:cs="宋体"/>
          <w:sz w:val="24"/>
        </w:rPr>
        <w:t>T/CMATB 3012；肥牛卷是牛瘦肉和牛脂肪按一定比例混合定型而成，瘦肉和脂肪比一般在7:3，结合产品指标测定，</w:t>
      </w:r>
      <w:r>
        <w:rPr>
          <w:rFonts w:ascii="宋体" w:hAnsi="宋体" w:eastAsia="宋体" w:cs="宋体"/>
          <w:sz w:val="24"/>
        </w:rPr>
        <w:t>规定</w:t>
      </w:r>
      <w:r>
        <w:rPr>
          <w:rFonts w:hint="eastAsia" w:ascii="宋体" w:hAnsi="宋体" w:eastAsia="宋体" w:cs="宋体"/>
          <w:sz w:val="24"/>
        </w:rPr>
        <w:t xml:space="preserve">其蛋白质含量≥18 </w:t>
      </w:r>
      <w:r>
        <w:rPr>
          <w:rFonts w:ascii="宋体" w:hAnsi="宋体" w:eastAsia="宋体" w:cs="宋体"/>
          <w:sz w:val="24"/>
        </w:rPr>
        <w:t>g/100 g</w:t>
      </w:r>
      <w:r>
        <w:rPr>
          <w:rFonts w:hint="eastAsia" w:ascii="宋体" w:hAnsi="宋体" w:eastAsia="宋体" w:cs="宋体"/>
          <w:sz w:val="24"/>
        </w:rPr>
        <w:t>，</w:t>
      </w:r>
      <w:r>
        <w:rPr>
          <w:rFonts w:ascii="宋体" w:hAnsi="宋体" w:eastAsia="宋体" w:cs="宋体"/>
          <w:sz w:val="24"/>
        </w:rPr>
        <w:t>脂肪</w:t>
      </w:r>
      <w:r>
        <w:rPr>
          <w:rFonts w:hint="eastAsia" w:ascii="宋体" w:hAnsi="宋体" w:eastAsia="宋体" w:cs="宋体"/>
          <w:sz w:val="24"/>
        </w:rPr>
        <w:t xml:space="preserve">含量≤25 </w:t>
      </w:r>
      <w:r>
        <w:rPr>
          <w:rFonts w:ascii="宋体" w:hAnsi="宋体" w:eastAsia="宋体" w:cs="宋体"/>
          <w:sz w:val="24"/>
        </w:rPr>
        <w:t>g/100 g</w:t>
      </w:r>
      <w:r>
        <w:rPr>
          <w:rFonts w:hint="eastAsia" w:ascii="宋体" w:hAnsi="宋体" w:eastAsia="宋体" w:cs="宋体"/>
          <w:sz w:val="24"/>
        </w:rPr>
        <w:t>；</w:t>
      </w:r>
      <w:r>
        <w:rPr>
          <w:rFonts w:ascii="宋体" w:hAnsi="宋体" w:eastAsia="宋体" w:cs="宋体"/>
          <w:sz w:val="24"/>
        </w:rPr>
        <w:t>其他</w:t>
      </w:r>
      <w:r>
        <w:rPr>
          <w:rFonts w:hint="eastAsia" w:ascii="宋体" w:hAnsi="宋体" w:eastAsia="宋体" w:cs="宋体"/>
          <w:sz w:val="24"/>
        </w:rPr>
        <w:t>则</w:t>
      </w:r>
      <w:r>
        <w:rPr>
          <w:rFonts w:hint="eastAsia" w:ascii="Times New Roman" w:hAnsi="Times New Roman" w:cs="Times New Roman"/>
          <w:sz w:val="24"/>
        </w:rPr>
        <w:t>不对其蛋白质和脂肪含量进行限定。</w:t>
      </w:r>
      <w:r>
        <w:rPr>
          <w:rFonts w:hint="eastAsia"/>
          <w:sz w:val="24"/>
        </w:rPr>
        <w:t>因此，非调理类通辽牛肉部分引标</w:t>
      </w:r>
      <w:r>
        <w:rPr>
          <w:rFonts w:hint="eastAsia" w:ascii="宋体" w:hAnsi="宋体" w:eastAsia="宋体" w:cs="宋体"/>
          <w:sz w:val="24"/>
        </w:rPr>
        <w:t>T/CMATB 3012和</w:t>
      </w:r>
      <w:r>
        <w:rPr>
          <w:rFonts w:hint="eastAsia" w:asciiTheme="minorEastAsia" w:hAnsiTheme="minorEastAsia"/>
          <w:sz w:val="24"/>
        </w:rPr>
        <w:t>NY/T 3524-2019。</w:t>
      </w:r>
    </w:p>
    <w:p w14:paraId="4EC7B310">
      <w:pPr>
        <w:tabs>
          <w:tab w:val="left" w:pos="895"/>
        </w:tabs>
        <w:spacing w:line="360" w:lineRule="auto"/>
        <w:ind w:firstLine="480" w:firstLineChars="200"/>
        <w:jc w:val="left"/>
        <w:rPr>
          <w:rFonts w:ascii="Times New Roman" w:hAnsi="Times New Roman" w:cs="Times New Roman"/>
          <w:sz w:val="24"/>
        </w:rPr>
      </w:pPr>
      <w:r>
        <w:rPr>
          <w:rFonts w:hint="eastAsia" w:ascii="Times New Roman" w:hAnsi="Times New Roman" w:cs="Times New Roman"/>
          <w:sz w:val="24"/>
        </w:rPr>
        <w:t>GB 19295《食品安全国家标准  速冻米面与调制食品》规定，以动物性食品、坚果籽类食品为馅料/</w:t>
      </w:r>
      <w:r>
        <w:rPr>
          <w:rFonts w:ascii="Times New Roman" w:hAnsi="Times New Roman" w:cs="Times New Roman"/>
          <w:sz w:val="24"/>
        </w:rPr>
        <w:t>辅料</w:t>
      </w:r>
      <w:r>
        <w:rPr>
          <w:rFonts w:hint="eastAsia" w:ascii="Times New Roman" w:hAnsi="Times New Roman" w:cs="Times New Roman"/>
          <w:sz w:val="24"/>
        </w:rPr>
        <w:t>，</w:t>
      </w:r>
      <w:r>
        <w:rPr>
          <w:rFonts w:ascii="Times New Roman" w:hAnsi="Times New Roman" w:cs="Times New Roman"/>
          <w:sz w:val="24"/>
        </w:rPr>
        <w:t>或</w:t>
      </w:r>
      <w:r>
        <w:rPr>
          <w:rFonts w:hint="eastAsia" w:ascii="Times New Roman" w:hAnsi="Times New Roman" w:cs="Times New Roman"/>
          <w:sz w:val="24"/>
        </w:rPr>
        <w:t>经油脂调制的速冻米面食品和速冻调制食品，其过氧化值（</w:t>
      </w:r>
      <w:r>
        <w:rPr>
          <w:rFonts w:ascii="Times New Roman" w:hAnsi="Times New Roman" w:cs="Times New Roman"/>
          <w:sz w:val="24"/>
        </w:rPr>
        <w:t>以</w:t>
      </w:r>
      <w:r>
        <w:rPr>
          <w:rFonts w:hint="eastAsia" w:ascii="Times New Roman" w:hAnsi="Times New Roman" w:cs="Times New Roman"/>
          <w:sz w:val="24"/>
        </w:rPr>
        <w:t xml:space="preserve">脂肪计）应≤0.25 </w:t>
      </w:r>
      <w:r>
        <w:rPr>
          <w:rFonts w:ascii="Times New Roman" w:hAnsi="Times New Roman" w:cs="Times New Roman"/>
          <w:sz w:val="24"/>
        </w:rPr>
        <w:t>g/100g</w:t>
      </w:r>
      <w:r>
        <w:rPr>
          <w:rFonts w:hint="eastAsia" w:ascii="Times New Roman" w:hAnsi="Times New Roman" w:cs="Times New Roman"/>
          <w:sz w:val="24"/>
        </w:rPr>
        <w:t>。调理类通辽牛肉片属于速冻调制食品，</w:t>
      </w:r>
      <w:r>
        <w:rPr>
          <w:rFonts w:ascii="Times New Roman" w:hAnsi="Times New Roman" w:cs="Times New Roman"/>
          <w:sz w:val="24"/>
        </w:rPr>
        <w:t>应</w:t>
      </w:r>
      <w:r>
        <w:rPr>
          <w:rFonts w:hint="eastAsia" w:ascii="Times New Roman" w:hAnsi="Times New Roman" w:cs="Times New Roman"/>
          <w:sz w:val="24"/>
        </w:rPr>
        <w:t>执行GB</w:t>
      </w:r>
      <w:r>
        <w:rPr>
          <w:rFonts w:ascii="Times New Roman" w:hAnsi="Times New Roman" w:cs="Times New Roman"/>
          <w:sz w:val="24"/>
        </w:rPr>
        <w:t>19295</w:t>
      </w:r>
      <w:r>
        <w:rPr>
          <w:rFonts w:hint="eastAsia" w:ascii="Times New Roman" w:hAnsi="Times New Roman" w:cs="Times New Roman"/>
          <w:sz w:val="24"/>
        </w:rPr>
        <w:t>。蛋白质是通辽牛肉片重要的营养组分之一，调理牛肉片中水分、脂肪、</w:t>
      </w:r>
      <w:r>
        <w:rPr>
          <w:rFonts w:ascii="Times New Roman" w:hAnsi="Times New Roman" w:cs="Times New Roman"/>
          <w:sz w:val="24"/>
        </w:rPr>
        <w:t>食品</w:t>
      </w:r>
      <w:r>
        <w:rPr>
          <w:rFonts w:hint="eastAsia" w:ascii="Times New Roman" w:hAnsi="Times New Roman" w:cs="Times New Roman"/>
          <w:sz w:val="24"/>
        </w:rPr>
        <w:t>添加剂添加过多，</w:t>
      </w:r>
      <w:r>
        <w:rPr>
          <w:rFonts w:ascii="Times New Roman" w:hAnsi="Times New Roman" w:cs="Times New Roman"/>
          <w:sz w:val="24"/>
        </w:rPr>
        <w:t>其</w:t>
      </w:r>
      <w:r>
        <w:rPr>
          <w:rFonts w:hint="eastAsia" w:ascii="Times New Roman" w:hAnsi="Times New Roman" w:cs="Times New Roman"/>
          <w:sz w:val="24"/>
        </w:rPr>
        <w:t>蛋白质和脂肪含量会变化，</w:t>
      </w:r>
      <w:r>
        <w:rPr>
          <w:rFonts w:ascii="Times New Roman" w:hAnsi="Times New Roman" w:cs="Times New Roman"/>
          <w:sz w:val="24"/>
        </w:rPr>
        <w:t>因此</w:t>
      </w:r>
      <w:r>
        <w:rPr>
          <w:rFonts w:hint="eastAsia" w:ascii="Times New Roman" w:hAnsi="Times New Roman" w:cs="Times New Roman"/>
          <w:sz w:val="24"/>
        </w:rPr>
        <w:t>，</w:t>
      </w:r>
      <w:r>
        <w:rPr>
          <w:rFonts w:ascii="Times New Roman" w:hAnsi="Times New Roman" w:cs="Times New Roman"/>
          <w:sz w:val="24"/>
        </w:rPr>
        <w:t>通过</w:t>
      </w:r>
      <w:r>
        <w:rPr>
          <w:rFonts w:hint="eastAsia" w:ascii="Times New Roman" w:hAnsi="Times New Roman" w:cs="Times New Roman"/>
          <w:sz w:val="24"/>
        </w:rPr>
        <w:t>规范蛋白和脂肪含量能够更好保持调理类通辽牛肉的品质。实际指标测定显示，调理类通辽牛肉片蛋白质含量在14.24-17.49 g/100 g范围内波动，其他区域同类产品蛋白质含量在12.4-19 g/100 g范围内波动；调理类通辽牛肉片脂肪含量在15.30-24.89 g/100 g，其他区域同类产品脂肪含量在12.1-35.6 g/100 g。</w:t>
      </w:r>
      <w:r>
        <w:rPr>
          <w:rFonts w:ascii="Times New Roman" w:hAnsi="Times New Roman" w:cs="Times New Roman"/>
          <w:sz w:val="24"/>
        </w:rPr>
        <w:t>因此</w:t>
      </w:r>
      <w:r>
        <w:rPr>
          <w:rFonts w:hint="eastAsia" w:ascii="Times New Roman" w:hAnsi="Times New Roman" w:cs="Times New Roman"/>
          <w:sz w:val="24"/>
        </w:rPr>
        <w:t>，</w:t>
      </w:r>
      <w:r>
        <w:rPr>
          <w:rFonts w:ascii="Times New Roman" w:hAnsi="Times New Roman" w:cs="Times New Roman"/>
          <w:sz w:val="24"/>
        </w:rPr>
        <w:t>规定</w:t>
      </w:r>
      <w:r>
        <w:rPr>
          <w:rFonts w:hint="eastAsia" w:ascii="Times New Roman" w:hAnsi="Times New Roman" w:cs="Times New Roman"/>
          <w:sz w:val="24"/>
        </w:rPr>
        <w:t>调理类通辽牛肉片蛋白质含量不得低于1</w:t>
      </w:r>
      <w:r>
        <w:rPr>
          <w:rFonts w:ascii="Times New Roman" w:hAnsi="Times New Roman" w:cs="Times New Roman"/>
          <w:sz w:val="24"/>
        </w:rPr>
        <w:t>4</w:t>
      </w:r>
      <w:r>
        <w:rPr>
          <w:rFonts w:hint="eastAsia" w:ascii="Times New Roman" w:hAnsi="Times New Roman" w:cs="Times New Roman"/>
          <w:sz w:val="24"/>
        </w:rPr>
        <w:t xml:space="preserve"> </w:t>
      </w:r>
      <w:r>
        <w:rPr>
          <w:rFonts w:ascii="Times New Roman" w:hAnsi="Times New Roman" w:cs="Times New Roman"/>
          <w:sz w:val="24"/>
        </w:rPr>
        <w:t>g/100 g</w:t>
      </w:r>
      <w:r>
        <w:rPr>
          <w:rFonts w:hint="eastAsia" w:ascii="Times New Roman" w:hAnsi="Times New Roman" w:cs="Times New Roman"/>
          <w:sz w:val="24"/>
        </w:rPr>
        <w:t>，</w:t>
      </w:r>
      <w:r>
        <w:rPr>
          <w:rFonts w:ascii="Times New Roman" w:hAnsi="Times New Roman" w:cs="Times New Roman"/>
          <w:sz w:val="24"/>
        </w:rPr>
        <w:t>脂肪</w:t>
      </w:r>
      <w:r>
        <w:rPr>
          <w:rFonts w:hint="eastAsia" w:ascii="Times New Roman" w:hAnsi="Times New Roman" w:cs="Times New Roman"/>
          <w:sz w:val="24"/>
        </w:rPr>
        <w:t>含量不得超过25</w:t>
      </w:r>
      <w:r>
        <w:rPr>
          <w:rFonts w:ascii="Times New Roman" w:hAnsi="Times New Roman" w:cs="Times New Roman"/>
          <w:sz w:val="24"/>
        </w:rPr>
        <w:t xml:space="preserve"> g/100 g</w:t>
      </w:r>
      <w:r>
        <w:rPr>
          <w:rFonts w:hint="eastAsia" w:ascii="Times New Roman" w:hAnsi="Times New Roman" w:cs="Times New Roman"/>
          <w:sz w:val="24"/>
        </w:rPr>
        <w:t>。经测定，24份</w:t>
      </w:r>
      <w:r>
        <w:rPr>
          <w:rFonts w:ascii="Times New Roman" w:hAnsi="Times New Roman" w:cs="Times New Roman"/>
          <w:sz w:val="24"/>
        </w:rPr>
        <w:t>调理</w:t>
      </w:r>
      <w:r>
        <w:rPr>
          <w:rFonts w:hint="eastAsia" w:ascii="Times New Roman" w:hAnsi="Times New Roman" w:cs="Times New Roman"/>
          <w:sz w:val="24"/>
        </w:rPr>
        <w:t>牛肉片水分含量在70.14</w:t>
      </w:r>
      <w:r>
        <w:rPr>
          <w:rFonts w:ascii="Times New Roman" w:hAnsi="Times New Roman" w:cs="Times New Roman"/>
          <w:sz w:val="24"/>
        </w:rPr>
        <w:t>-78.66 g/100g</w:t>
      </w:r>
      <w:r>
        <w:rPr>
          <w:rFonts w:hint="eastAsia" w:ascii="Times New Roman" w:hAnsi="Times New Roman" w:cs="Times New Roman"/>
          <w:sz w:val="24"/>
        </w:rPr>
        <w:t>范围内波动，</w:t>
      </w:r>
      <w:r>
        <w:rPr>
          <w:rFonts w:ascii="Times New Roman" w:hAnsi="Times New Roman" w:cs="Times New Roman"/>
          <w:sz w:val="24"/>
        </w:rPr>
        <w:t>因此</w:t>
      </w:r>
      <w:r>
        <w:rPr>
          <w:rFonts w:hint="eastAsia" w:ascii="Times New Roman" w:hAnsi="Times New Roman" w:cs="Times New Roman"/>
          <w:sz w:val="24"/>
        </w:rPr>
        <w:t>，建议调理类通辽牛肉水分含量不得高于</w:t>
      </w:r>
      <w:r>
        <w:rPr>
          <w:rFonts w:ascii="Times New Roman" w:hAnsi="Times New Roman" w:cs="Times New Roman"/>
          <w:sz w:val="24"/>
        </w:rPr>
        <w:t>79</w:t>
      </w:r>
      <w:r>
        <w:rPr>
          <w:rFonts w:hint="eastAsia" w:ascii="Times New Roman" w:hAnsi="Times New Roman" w:cs="Times New Roman"/>
          <w:sz w:val="24"/>
        </w:rPr>
        <w:t xml:space="preserve"> </w:t>
      </w:r>
      <w:r>
        <w:rPr>
          <w:rFonts w:ascii="Times New Roman" w:hAnsi="Times New Roman" w:cs="Times New Roman"/>
          <w:sz w:val="24"/>
        </w:rPr>
        <w:t>g/100g</w:t>
      </w:r>
      <w:r>
        <w:rPr>
          <w:rFonts w:hint="eastAsia" w:ascii="Times New Roman" w:hAnsi="Times New Roman" w:cs="Times New Roman"/>
          <w:sz w:val="24"/>
        </w:rPr>
        <w:t>。</w:t>
      </w:r>
    </w:p>
    <w:p w14:paraId="3AD65681">
      <w:pPr>
        <w:pStyle w:val="18"/>
      </w:pPr>
      <w:r>
        <w:rPr>
          <w:rFonts w:hint="eastAsia"/>
        </w:rPr>
        <w:t>标准文本：</w:t>
      </w:r>
    </w:p>
    <w:p w14:paraId="4BC15F24">
      <w:pPr>
        <w:pStyle w:val="5"/>
        <w:spacing w:after="0" w:line="360" w:lineRule="auto"/>
        <w:jc w:val="left"/>
        <w:rPr>
          <w:rFonts w:ascii="宋体" w:hAnsi="宋体" w:eastAsia="宋体" w:cs="宋体"/>
          <w:sz w:val="24"/>
        </w:rPr>
      </w:pPr>
      <w:r>
        <w:rPr>
          <w:rFonts w:ascii="宋体" w:hAnsi="宋体" w:eastAsia="宋体" w:cs="宋体"/>
          <w:sz w:val="24"/>
        </w:rPr>
        <w:t>6.3</w:t>
      </w:r>
      <w:r>
        <w:rPr>
          <w:rFonts w:hint="eastAsia" w:ascii="宋体" w:hAnsi="宋体" w:eastAsia="宋体" w:cs="宋体"/>
          <w:sz w:val="24"/>
        </w:rPr>
        <w:t xml:space="preserve"> 食品安全指标</w:t>
      </w:r>
    </w:p>
    <w:p w14:paraId="546BBE78">
      <w:pPr>
        <w:pStyle w:val="5"/>
        <w:spacing w:after="0" w:line="360" w:lineRule="auto"/>
        <w:jc w:val="left"/>
        <w:rPr>
          <w:rFonts w:ascii="宋体" w:hAnsi="宋体" w:eastAsia="宋体" w:cs="宋体"/>
          <w:sz w:val="24"/>
        </w:rPr>
      </w:pPr>
      <w:r>
        <w:rPr>
          <w:rFonts w:ascii="宋体" w:hAnsi="宋体" w:eastAsia="宋体" w:cs="宋体"/>
          <w:sz w:val="24"/>
        </w:rPr>
        <w:t>6.3</w:t>
      </w:r>
      <w:r>
        <w:rPr>
          <w:rFonts w:hint="eastAsia" w:ascii="宋体" w:hAnsi="宋体" w:eastAsia="宋体" w:cs="宋体"/>
          <w:sz w:val="24"/>
        </w:rPr>
        <w:t>.1 污染物限量</w:t>
      </w:r>
    </w:p>
    <w:p w14:paraId="4476EBFE">
      <w:pPr>
        <w:pStyle w:val="5"/>
        <w:spacing w:after="0" w:line="360" w:lineRule="auto"/>
        <w:ind w:firstLine="480" w:firstLineChars="200"/>
        <w:jc w:val="left"/>
        <w:rPr>
          <w:rFonts w:ascii="宋体" w:hAnsi="宋体" w:eastAsia="宋体" w:cs="宋体"/>
          <w:sz w:val="24"/>
        </w:rPr>
      </w:pPr>
      <w:r>
        <w:rPr>
          <w:rFonts w:hint="eastAsia" w:ascii="宋体" w:hAnsi="宋体" w:eastAsia="宋体" w:cs="宋体"/>
          <w:sz w:val="24"/>
        </w:rPr>
        <w:t>应符合GB 2762的规定。</w:t>
      </w:r>
    </w:p>
    <w:p w14:paraId="005AF599">
      <w:pPr>
        <w:pStyle w:val="5"/>
        <w:spacing w:after="0" w:line="360" w:lineRule="auto"/>
        <w:jc w:val="left"/>
        <w:rPr>
          <w:rFonts w:ascii="宋体" w:hAnsi="宋体" w:eastAsia="宋体" w:cs="宋体"/>
          <w:sz w:val="24"/>
        </w:rPr>
      </w:pPr>
      <w:r>
        <w:rPr>
          <w:rFonts w:ascii="宋体" w:hAnsi="宋体" w:eastAsia="宋体" w:cs="宋体"/>
          <w:sz w:val="24"/>
        </w:rPr>
        <w:t>6.3</w:t>
      </w:r>
      <w:r>
        <w:rPr>
          <w:rFonts w:hint="eastAsia" w:ascii="宋体" w:hAnsi="宋体" w:eastAsia="宋体" w:cs="宋体"/>
          <w:sz w:val="24"/>
        </w:rPr>
        <w:t>.2 微生物限量</w:t>
      </w:r>
    </w:p>
    <w:p w14:paraId="48885604">
      <w:pPr>
        <w:pStyle w:val="5"/>
        <w:spacing w:after="0" w:line="360" w:lineRule="auto"/>
        <w:ind w:firstLine="480" w:firstLineChars="200"/>
        <w:jc w:val="left"/>
        <w:rPr>
          <w:rFonts w:ascii="宋体" w:hAnsi="宋体" w:eastAsia="宋体" w:cs="宋体"/>
          <w:sz w:val="24"/>
        </w:rPr>
      </w:pPr>
      <w:r>
        <w:rPr>
          <w:rFonts w:hint="eastAsia" w:ascii="宋体" w:hAnsi="宋体" w:eastAsia="宋体" w:cs="宋体"/>
          <w:sz w:val="24"/>
        </w:rPr>
        <w:t>非调理类通辽牛肉片应的菌落总数和大肠菌群应符合NY/T 2799的规定。</w:t>
      </w:r>
    </w:p>
    <w:p w14:paraId="1DE109F2">
      <w:pPr>
        <w:pStyle w:val="5"/>
        <w:spacing w:after="0" w:line="360" w:lineRule="auto"/>
        <w:jc w:val="left"/>
        <w:rPr>
          <w:rFonts w:ascii="宋体" w:hAnsi="宋体" w:eastAsia="宋体" w:cs="宋体"/>
          <w:sz w:val="24"/>
        </w:rPr>
      </w:pPr>
      <w:r>
        <w:rPr>
          <w:rFonts w:ascii="宋体" w:hAnsi="宋体" w:eastAsia="宋体" w:cs="宋体"/>
          <w:sz w:val="24"/>
        </w:rPr>
        <w:t>6.4</w:t>
      </w:r>
      <w:r>
        <w:rPr>
          <w:rFonts w:hint="eastAsia" w:ascii="宋体" w:hAnsi="宋体" w:eastAsia="宋体" w:cs="宋体"/>
          <w:sz w:val="24"/>
        </w:rPr>
        <w:t xml:space="preserve"> 净含量</w:t>
      </w:r>
    </w:p>
    <w:p w14:paraId="5D474109">
      <w:pPr>
        <w:tabs>
          <w:tab w:val="left" w:pos="895"/>
        </w:tabs>
        <w:spacing w:line="360" w:lineRule="auto"/>
        <w:ind w:firstLine="480" w:firstLineChars="200"/>
        <w:jc w:val="left"/>
        <w:rPr>
          <w:b/>
          <w:bCs/>
          <w:sz w:val="24"/>
        </w:rPr>
      </w:pPr>
      <w:r>
        <w:rPr>
          <w:rFonts w:hint="eastAsia" w:ascii="宋体" w:hAnsi="宋体" w:eastAsia="宋体" w:cs="宋体"/>
          <w:sz w:val="24"/>
        </w:rPr>
        <w:t>预包装产品净含量要求符合《定量包装商品计量监督管理办法》的规定。</w:t>
      </w:r>
    </w:p>
    <w:p w14:paraId="1196D1FC">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6202709C">
      <w:pPr>
        <w:pStyle w:val="5"/>
        <w:spacing w:line="360" w:lineRule="auto"/>
        <w:ind w:firstLine="420"/>
        <w:jc w:val="left"/>
        <w:rPr>
          <w:rFonts w:hint="eastAsia" w:ascii="宋体" w:hAnsi="宋体" w:eastAsia="宋体" w:cs="宋体"/>
          <w:sz w:val="24"/>
        </w:rPr>
      </w:pPr>
      <w:r>
        <w:rPr>
          <w:rFonts w:hint="eastAsia" w:ascii="宋体" w:hAnsi="宋体" w:eastAsia="宋体" w:cs="宋体"/>
          <w:sz w:val="24"/>
        </w:rPr>
        <w:t>依据食品安全国家标准和T/CMATB 3012《</w:t>
      </w:r>
      <w:r>
        <w:rPr>
          <w:rFonts w:ascii="宋体" w:hAnsi="宋体" w:eastAsia="宋体" w:cs="宋体"/>
          <w:sz w:val="24"/>
        </w:rPr>
        <w:t>通辽</w:t>
      </w:r>
      <w:r>
        <w:rPr>
          <w:rFonts w:hint="eastAsia" w:ascii="宋体" w:hAnsi="宋体" w:eastAsia="宋体" w:cs="宋体"/>
          <w:sz w:val="24"/>
        </w:rPr>
        <w:t>牛肉》对非调理类通辽牛肉片和调理类通辽牛肉片的污染物限量、食品添加剂、微生物限量和净含量进行了要求。非调理类通辽牛肉片属于通辽牛肉，</w:t>
      </w:r>
      <w:r>
        <w:rPr>
          <w:rFonts w:ascii="宋体" w:hAnsi="宋体" w:eastAsia="宋体" w:cs="宋体"/>
          <w:sz w:val="24"/>
        </w:rPr>
        <w:t>因此</w:t>
      </w:r>
      <w:r>
        <w:rPr>
          <w:rFonts w:hint="eastAsia" w:ascii="宋体" w:hAnsi="宋体" w:eastAsia="宋体" w:cs="宋体"/>
          <w:sz w:val="24"/>
        </w:rPr>
        <w:t>，本文件中非调理类通辽牛肉片微生物限量参考T/CMATB 3012，T/CMATB 3012引用的是NY</w:t>
      </w:r>
      <w:r>
        <w:rPr>
          <w:rFonts w:ascii="宋体" w:hAnsi="宋体" w:eastAsia="宋体" w:cs="宋体"/>
          <w:sz w:val="24"/>
        </w:rPr>
        <w:t>/T 2799</w:t>
      </w:r>
      <w:r>
        <w:rPr>
          <w:rFonts w:hint="eastAsia" w:ascii="宋体" w:hAnsi="宋体" w:eastAsia="宋体" w:cs="宋体"/>
          <w:sz w:val="24"/>
        </w:rPr>
        <w:t>，</w:t>
      </w:r>
      <w:r>
        <w:rPr>
          <w:rFonts w:ascii="宋体" w:hAnsi="宋体" w:eastAsia="宋体" w:cs="宋体"/>
          <w:sz w:val="24"/>
        </w:rPr>
        <w:t>故</w:t>
      </w:r>
      <w:r>
        <w:rPr>
          <w:rFonts w:hint="eastAsia" w:ascii="宋体" w:hAnsi="宋体" w:eastAsia="宋体" w:cs="宋体"/>
          <w:sz w:val="24"/>
        </w:rPr>
        <w:t>本文件直接引用NY</w:t>
      </w:r>
      <w:r>
        <w:rPr>
          <w:rFonts w:ascii="宋体" w:hAnsi="宋体" w:eastAsia="宋体" w:cs="宋体"/>
          <w:sz w:val="24"/>
        </w:rPr>
        <w:t>/T 2799</w:t>
      </w:r>
      <w:r>
        <w:rPr>
          <w:rFonts w:hint="eastAsia" w:ascii="宋体" w:hAnsi="宋体" w:eastAsia="宋体" w:cs="宋体"/>
          <w:sz w:val="24"/>
        </w:rPr>
        <w:t>。目前，国家和行业标准考虑非即食、</w:t>
      </w:r>
      <w:r>
        <w:rPr>
          <w:rFonts w:ascii="宋体" w:hAnsi="宋体" w:eastAsia="宋体" w:cs="宋体"/>
          <w:sz w:val="24"/>
        </w:rPr>
        <w:t>需</w:t>
      </w:r>
      <w:r>
        <w:rPr>
          <w:rFonts w:hint="eastAsia" w:ascii="宋体" w:hAnsi="宋体" w:eastAsia="宋体" w:cs="宋体"/>
          <w:sz w:val="24"/>
        </w:rPr>
        <w:t>加热后食用，调理类肉制品均未设置微生物限量要求，故本文不对调理类通辽牛肉片微生物限量进行限制。</w:t>
      </w:r>
    </w:p>
    <w:p w14:paraId="2A3D0138">
      <w:pPr>
        <w:widowControl/>
        <w:numPr>
          <w:ilvl w:val="1"/>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r>
        <w:rPr>
          <w:rFonts w:hint="eastAsia" w:ascii="Times New Roman" w:eastAsia="宋体" w:cs="宋体" w:hAnsiTheme="minorEastAsia"/>
          <w:b/>
          <w:bCs/>
          <w:snapToGrid w:val="0"/>
          <w:kern w:val="0"/>
          <w:sz w:val="24"/>
          <w:lang w:bidi="zh-TW"/>
        </w:rPr>
        <w:t>7   试验方法</w:t>
      </w:r>
    </w:p>
    <w:p w14:paraId="46B03F89">
      <w:pPr>
        <w:pStyle w:val="18"/>
      </w:pPr>
      <w:r>
        <w:rPr>
          <w:rFonts w:hint="eastAsia"/>
        </w:rPr>
        <w:t>标准文本：</w:t>
      </w:r>
    </w:p>
    <w:p w14:paraId="016481C9">
      <w:pPr>
        <w:pStyle w:val="5"/>
        <w:spacing w:after="0" w:line="360" w:lineRule="auto"/>
        <w:jc w:val="left"/>
        <w:rPr>
          <w:rFonts w:ascii="宋体" w:hAnsi="宋体" w:eastAsia="宋体" w:cs="宋体"/>
          <w:sz w:val="24"/>
        </w:rPr>
      </w:pPr>
      <w:r>
        <w:rPr>
          <w:rFonts w:hint="eastAsia" w:ascii="宋体" w:hAnsi="宋体" w:eastAsia="宋体" w:cs="宋体"/>
          <w:sz w:val="24"/>
        </w:rPr>
        <w:t>7.1 感官指标测定</w:t>
      </w:r>
    </w:p>
    <w:p w14:paraId="75A5A5A6">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.1.1</w:t>
      </w:r>
      <w:r>
        <w:rPr>
          <w:rFonts w:ascii="宋体" w:hAnsi="宋体" w:eastAsia="宋体" w:cs="宋体"/>
          <w:sz w:val="24"/>
        </w:rPr>
        <w:t xml:space="preserve"> </w:t>
      </w:r>
      <w:r>
        <w:rPr>
          <w:rFonts w:hint="eastAsia" w:ascii="宋体" w:hAnsi="宋体" w:eastAsia="宋体" w:cs="宋体"/>
          <w:sz w:val="24"/>
        </w:rPr>
        <w:t>产品感官指标测定</w:t>
      </w:r>
    </w:p>
    <w:p w14:paraId="01E7D0FD">
      <w:pPr>
        <w:pStyle w:val="5"/>
        <w:spacing w:after="0" w:line="360" w:lineRule="auto"/>
        <w:ind w:firstLine="420"/>
        <w:jc w:val="left"/>
        <w:rPr>
          <w:rFonts w:ascii="宋体" w:hAnsi="宋体" w:eastAsia="宋体" w:cs="宋体"/>
          <w:sz w:val="24"/>
        </w:rPr>
      </w:pPr>
      <w:r>
        <w:rPr>
          <w:rFonts w:hint="eastAsia" w:ascii="宋体" w:hAnsi="宋体" w:eastAsia="宋体" w:cs="宋体"/>
          <w:sz w:val="24"/>
        </w:rPr>
        <w:t>取适量试样置于洁净的白色盘（瓷盘或同类容器）中自然解冻，在自然光下观察外观、色泽、组织状态、肉眼可见异物，闻其气味。</w:t>
      </w:r>
    </w:p>
    <w:p w14:paraId="2D9098F3">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.1.2 煮后肉汤</w:t>
      </w:r>
    </w:p>
    <w:p w14:paraId="5A2B5BE2">
      <w:pPr>
        <w:pStyle w:val="5"/>
        <w:spacing w:after="0" w:line="360" w:lineRule="auto"/>
        <w:ind w:firstLine="420"/>
        <w:jc w:val="left"/>
        <w:rPr>
          <w:rFonts w:ascii="宋体" w:hAnsi="宋体" w:eastAsia="宋体" w:cs="宋体"/>
          <w:sz w:val="24"/>
        </w:rPr>
      </w:pPr>
      <w:r>
        <w:rPr>
          <w:rFonts w:hint="eastAsia" w:ascii="宋体" w:hAnsi="宋体" w:eastAsia="宋体" w:cs="宋体"/>
          <w:sz w:val="24"/>
        </w:rPr>
        <w:t>称取50 g试样，置于500 mL烧杯中，加300 mL水，用表面皿盖上加热至50℃</w:t>
      </w:r>
      <w:r>
        <w:rPr>
          <w:rFonts w:hint="eastAsia"/>
        </w:rPr>
        <w:t>～</w:t>
      </w:r>
      <w:r>
        <w:rPr>
          <w:rFonts w:hint="eastAsia" w:ascii="宋体" w:hAnsi="宋体" w:eastAsia="宋体" w:cs="宋体"/>
          <w:sz w:val="24"/>
        </w:rPr>
        <w:t>60℃，开盖闻其气味，继续加热煮沸20 min</w:t>
      </w:r>
      <w:r>
        <w:rPr>
          <w:rFonts w:hint="eastAsia"/>
        </w:rPr>
        <w:t>～</w:t>
      </w:r>
      <w:r>
        <w:rPr>
          <w:rFonts w:hint="eastAsia" w:ascii="宋体" w:hAnsi="宋体" w:eastAsia="宋体" w:cs="宋体"/>
          <w:sz w:val="24"/>
        </w:rPr>
        <w:t>30 min，观察肉汤色泽状态。。</w:t>
      </w:r>
    </w:p>
    <w:p w14:paraId="6036DED7">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07E470F0">
      <w:pPr>
        <w:pStyle w:val="5"/>
        <w:spacing w:line="360" w:lineRule="auto"/>
        <w:ind w:firstLine="480" w:firstLineChars="200"/>
        <w:jc w:val="left"/>
        <w:rPr>
          <w:rFonts w:ascii="宋体" w:hAnsi="宋体" w:eastAsia="宋体" w:cs="宋体"/>
          <w:sz w:val="24"/>
        </w:rPr>
      </w:pPr>
      <w:r>
        <w:rPr>
          <w:rFonts w:hint="eastAsia" w:ascii="宋体" w:hAnsi="宋体" w:eastAsia="宋体" w:cs="宋体"/>
          <w:sz w:val="24"/>
        </w:rPr>
        <w:t>感官指标是描述和判断产品质量最直观的指标，科学合理的感官指标能反映产品的特征品质和质量。GB/T 22210-2008《肉与肉制品感官评定规范》中的感官指标，从色泽、滋味、气味、状态等方面对冷冻肉和调理肉制品感官指标进行了规定。本文件结合生产实际和已有标准规定，规定了通辽牛肉片外观、</w:t>
      </w:r>
      <w:r>
        <w:rPr>
          <w:rFonts w:ascii="宋体" w:hAnsi="宋体" w:eastAsia="宋体" w:cs="宋体"/>
          <w:sz w:val="24"/>
        </w:rPr>
        <w:t>色泽</w:t>
      </w:r>
      <w:r>
        <w:rPr>
          <w:rFonts w:hint="eastAsia" w:ascii="宋体" w:hAnsi="宋体" w:eastAsia="宋体" w:cs="宋体"/>
          <w:sz w:val="24"/>
        </w:rPr>
        <w:t>、</w:t>
      </w:r>
      <w:r>
        <w:rPr>
          <w:rFonts w:ascii="宋体" w:hAnsi="宋体" w:eastAsia="宋体" w:cs="宋体"/>
          <w:sz w:val="24"/>
        </w:rPr>
        <w:t>组织</w:t>
      </w:r>
      <w:r>
        <w:rPr>
          <w:rFonts w:hint="eastAsia" w:ascii="宋体" w:hAnsi="宋体" w:eastAsia="宋体" w:cs="宋体"/>
          <w:sz w:val="24"/>
        </w:rPr>
        <w:t>状态、异物、</w:t>
      </w:r>
      <w:r>
        <w:rPr>
          <w:rFonts w:ascii="宋体" w:hAnsi="宋体" w:eastAsia="宋体" w:cs="宋体"/>
          <w:sz w:val="24"/>
        </w:rPr>
        <w:t>气味</w:t>
      </w:r>
      <w:r>
        <w:rPr>
          <w:rFonts w:hint="eastAsia" w:ascii="宋体" w:hAnsi="宋体" w:eastAsia="宋体" w:cs="宋体"/>
          <w:sz w:val="24"/>
        </w:rPr>
        <w:t>及煮后肉汤感官要求。</w:t>
      </w:r>
    </w:p>
    <w:p w14:paraId="72823878">
      <w:pPr>
        <w:pStyle w:val="18"/>
      </w:pPr>
      <w:r>
        <w:rPr>
          <w:rFonts w:hint="eastAsia"/>
        </w:rPr>
        <w:t>标准文本：</w:t>
      </w:r>
    </w:p>
    <w:p w14:paraId="32377863">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 理化指标测定</w:t>
      </w:r>
    </w:p>
    <w:p w14:paraId="1512378C">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2.1 水分</w:t>
      </w:r>
    </w:p>
    <w:p w14:paraId="76E9B792">
      <w:pPr>
        <w:pStyle w:val="5"/>
        <w:spacing w:after="0" w:line="360" w:lineRule="auto"/>
        <w:ind w:firstLine="420"/>
        <w:jc w:val="left"/>
        <w:rPr>
          <w:rFonts w:ascii="宋体" w:hAnsi="宋体" w:eastAsia="宋体" w:cs="宋体"/>
          <w:sz w:val="24"/>
        </w:rPr>
      </w:pPr>
      <w:r>
        <w:rPr>
          <w:rFonts w:hint="eastAsia" w:ascii="宋体" w:hAnsi="宋体" w:eastAsia="宋体" w:cs="宋体"/>
          <w:sz w:val="24"/>
        </w:rPr>
        <w:t>按GB</w:t>
      </w:r>
      <w:r>
        <w:rPr>
          <w:rFonts w:ascii="宋体" w:hAnsi="宋体" w:eastAsia="宋体" w:cs="宋体"/>
          <w:sz w:val="24"/>
        </w:rPr>
        <w:t xml:space="preserve"> 18394</w:t>
      </w:r>
      <w:r>
        <w:rPr>
          <w:rFonts w:hint="eastAsia" w:ascii="宋体" w:hAnsi="宋体" w:eastAsia="宋体" w:cs="宋体"/>
          <w:sz w:val="24"/>
        </w:rPr>
        <w:t>规定的方法测定。</w:t>
      </w:r>
    </w:p>
    <w:p w14:paraId="7F344157">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.2.2 蛋白质</w:t>
      </w:r>
    </w:p>
    <w:p w14:paraId="12BB96A0">
      <w:pPr>
        <w:pStyle w:val="5"/>
        <w:spacing w:after="0" w:line="360" w:lineRule="auto"/>
        <w:ind w:firstLine="420"/>
        <w:jc w:val="left"/>
        <w:rPr>
          <w:rFonts w:ascii="宋体" w:hAnsi="宋体" w:eastAsia="宋体" w:cs="宋体"/>
          <w:sz w:val="24"/>
        </w:rPr>
      </w:pPr>
      <w:r>
        <w:rPr>
          <w:rFonts w:hint="eastAsia" w:ascii="宋体" w:hAnsi="宋体" w:eastAsia="宋体" w:cs="宋体"/>
          <w:sz w:val="24"/>
        </w:rPr>
        <w:t>按GB 5009.5规定的方法测定。</w:t>
      </w:r>
    </w:p>
    <w:p w14:paraId="24A8F3BD">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.2.3 脂肪</w:t>
      </w:r>
    </w:p>
    <w:p w14:paraId="009B5F33">
      <w:pPr>
        <w:pStyle w:val="5"/>
        <w:spacing w:after="0" w:line="360" w:lineRule="auto"/>
        <w:ind w:firstLine="420"/>
        <w:jc w:val="left"/>
        <w:rPr>
          <w:rFonts w:ascii="宋体" w:hAnsi="宋体" w:eastAsia="宋体" w:cs="宋体"/>
          <w:sz w:val="24"/>
        </w:rPr>
      </w:pPr>
      <w:r>
        <w:rPr>
          <w:rFonts w:hint="eastAsia" w:ascii="宋体" w:hAnsi="宋体" w:eastAsia="宋体" w:cs="宋体"/>
          <w:sz w:val="24"/>
        </w:rPr>
        <w:t>按GB 5009.6规定的方法测定。</w:t>
      </w:r>
    </w:p>
    <w:p w14:paraId="513F1501">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.2.4 挥发性盐基氮</w:t>
      </w:r>
    </w:p>
    <w:p w14:paraId="7C15AB04">
      <w:pPr>
        <w:pStyle w:val="5"/>
        <w:spacing w:after="0" w:line="360" w:lineRule="auto"/>
        <w:ind w:firstLine="420"/>
        <w:jc w:val="left"/>
        <w:rPr>
          <w:rFonts w:ascii="宋体" w:hAnsi="宋体" w:eastAsia="宋体" w:cs="宋体"/>
          <w:sz w:val="24"/>
        </w:rPr>
      </w:pPr>
      <w:r>
        <w:rPr>
          <w:rFonts w:hint="eastAsia" w:ascii="宋体" w:hAnsi="宋体" w:eastAsia="宋体" w:cs="宋体"/>
          <w:sz w:val="24"/>
        </w:rPr>
        <w:t>按</w:t>
      </w:r>
      <w:r>
        <w:rPr>
          <w:rFonts w:ascii="宋体" w:hAnsi="宋体" w:eastAsia="宋体" w:cs="宋体"/>
          <w:sz w:val="24"/>
        </w:rPr>
        <w:t>5009.228</w:t>
      </w:r>
      <w:r>
        <w:rPr>
          <w:rFonts w:hint="eastAsia" w:ascii="宋体" w:hAnsi="宋体" w:eastAsia="宋体" w:cs="宋体"/>
          <w:sz w:val="24"/>
        </w:rPr>
        <w:t>规定的方法测定。</w:t>
      </w:r>
    </w:p>
    <w:p w14:paraId="469FB6BD">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.2.5 解冻失水率</w:t>
      </w:r>
    </w:p>
    <w:p w14:paraId="37E3B6B5">
      <w:pPr>
        <w:pStyle w:val="5"/>
        <w:spacing w:after="0" w:line="360" w:lineRule="auto"/>
        <w:ind w:firstLine="480" w:firstLineChars="200"/>
        <w:jc w:val="left"/>
        <w:rPr>
          <w:rFonts w:ascii="宋体" w:hAnsi="宋体" w:eastAsia="宋体" w:cs="宋体"/>
          <w:sz w:val="24"/>
        </w:rPr>
      </w:pPr>
      <w:r>
        <w:rPr>
          <w:rFonts w:hint="eastAsia" w:ascii="宋体" w:hAnsi="宋体" w:eastAsia="宋体" w:cs="宋体"/>
          <w:sz w:val="24"/>
        </w:rPr>
        <w:t>按NY/T 3905规定的方法测定。</w:t>
      </w:r>
    </w:p>
    <w:p w14:paraId="6E7A485B">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.2.6 过氧化值</w:t>
      </w:r>
    </w:p>
    <w:p w14:paraId="7847D527">
      <w:pPr>
        <w:pStyle w:val="5"/>
        <w:spacing w:after="0" w:line="360" w:lineRule="auto"/>
        <w:ind w:firstLine="480" w:firstLineChars="200"/>
        <w:jc w:val="left"/>
        <w:rPr>
          <w:rFonts w:ascii="宋体" w:hAnsi="宋体" w:eastAsia="宋体" w:cs="宋体"/>
          <w:sz w:val="24"/>
        </w:rPr>
      </w:pPr>
      <w:r>
        <w:rPr>
          <w:rFonts w:hint="eastAsia" w:ascii="宋体" w:hAnsi="宋体" w:eastAsia="宋体" w:cs="宋体"/>
          <w:sz w:val="24"/>
        </w:rPr>
        <w:t>按GB 5009.227规定的方法测定。</w:t>
      </w:r>
    </w:p>
    <w:p w14:paraId="2FCE1AD2">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38731331">
      <w:pPr>
        <w:pStyle w:val="5"/>
        <w:spacing w:after="0" w:line="360" w:lineRule="auto"/>
        <w:ind w:firstLine="420"/>
        <w:jc w:val="left"/>
        <w:rPr>
          <w:rFonts w:ascii="宋体" w:hAnsi="宋体" w:eastAsia="宋体" w:cs="宋体"/>
          <w:sz w:val="24"/>
        </w:rPr>
      </w:pPr>
      <w:r>
        <w:rPr>
          <w:rFonts w:hint="eastAsia" w:ascii="宋体" w:hAnsi="宋体" w:eastAsia="宋体" w:cs="宋体"/>
          <w:sz w:val="24"/>
        </w:rPr>
        <w:t>列出了通辽牛肉片水分、</w:t>
      </w:r>
      <w:r>
        <w:rPr>
          <w:rFonts w:ascii="宋体" w:hAnsi="宋体" w:eastAsia="宋体" w:cs="宋体"/>
          <w:sz w:val="24"/>
        </w:rPr>
        <w:t>蛋白质</w:t>
      </w:r>
      <w:r>
        <w:rPr>
          <w:rFonts w:hint="eastAsia" w:ascii="宋体" w:hAnsi="宋体" w:eastAsia="宋体" w:cs="宋体"/>
          <w:sz w:val="24"/>
        </w:rPr>
        <w:t>、</w:t>
      </w:r>
      <w:r>
        <w:rPr>
          <w:rFonts w:ascii="宋体" w:hAnsi="宋体" w:eastAsia="宋体" w:cs="宋体"/>
          <w:sz w:val="24"/>
        </w:rPr>
        <w:t>脂肪</w:t>
      </w:r>
      <w:r>
        <w:rPr>
          <w:rFonts w:hint="eastAsia" w:ascii="宋体" w:hAnsi="宋体" w:eastAsia="宋体" w:cs="宋体"/>
          <w:sz w:val="24"/>
        </w:rPr>
        <w:t>和</w:t>
      </w:r>
      <w:r>
        <w:rPr>
          <w:rFonts w:ascii="宋体" w:hAnsi="宋体" w:eastAsia="宋体" w:cs="宋体"/>
          <w:sz w:val="24"/>
        </w:rPr>
        <w:t>解冻</w:t>
      </w:r>
      <w:r>
        <w:rPr>
          <w:rFonts w:hint="eastAsia" w:ascii="宋体" w:hAnsi="宋体" w:eastAsia="宋体" w:cs="宋体"/>
          <w:sz w:val="24"/>
        </w:rPr>
        <w:t>失水率的检测方法。</w:t>
      </w:r>
    </w:p>
    <w:p w14:paraId="08BD3B4C">
      <w:pPr>
        <w:pStyle w:val="18"/>
      </w:pPr>
      <w:r>
        <w:rPr>
          <w:rFonts w:hint="eastAsia"/>
        </w:rPr>
        <w:t>标准文本：</w:t>
      </w:r>
    </w:p>
    <w:p w14:paraId="639FCA38">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.3 食品安全指标</w:t>
      </w:r>
    </w:p>
    <w:p w14:paraId="2CBFE30E">
      <w:pPr>
        <w:pStyle w:val="5"/>
        <w:spacing w:after="0" w:line="360" w:lineRule="auto"/>
        <w:ind w:firstLine="0" w:firstLineChars="0"/>
        <w:jc w:val="left"/>
        <w:rPr>
          <w:rFonts w:ascii="宋体" w:hAnsi="宋体" w:eastAsia="宋体" w:cs="宋体"/>
          <w:sz w:val="24"/>
        </w:rPr>
      </w:pPr>
      <w:r>
        <w:rPr>
          <w:rFonts w:hint="eastAsia" w:ascii="宋体" w:hAnsi="宋体" w:eastAsia="宋体" w:cs="宋体"/>
          <w:sz w:val="24"/>
        </w:rPr>
        <w:t>7</w:t>
      </w:r>
      <w:r>
        <w:rPr>
          <w:rFonts w:ascii="宋体" w:hAnsi="宋体" w:eastAsia="宋体" w:cs="宋体"/>
          <w:sz w:val="24"/>
        </w:rPr>
        <w:t xml:space="preserve">.3.1  </w:t>
      </w:r>
      <w:r>
        <w:rPr>
          <w:rFonts w:hint="eastAsia" w:ascii="宋体" w:hAnsi="宋体" w:eastAsia="宋体" w:cs="宋体"/>
          <w:sz w:val="24"/>
        </w:rPr>
        <w:t>污染物限量</w:t>
      </w:r>
    </w:p>
    <w:p w14:paraId="23092BC4">
      <w:pPr>
        <w:pStyle w:val="5"/>
        <w:spacing w:after="0" w:line="360" w:lineRule="auto"/>
        <w:ind w:firstLine="480" w:firstLineChars="200"/>
        <w:jc w:val="left"/>
        <w:rPr>
          <w:rFonts w:ascii="宋体" w:hAnsi="宋体" w:eastAsia="宋体" w:cs="宋体"/>
          <w:sz w:val="24"/>
        </w:rPr>
      </w:pPr>
      <w:r>
        <w:rPr>
          <w:rFonts w:hint="eastAsia" w:ascii="宋体" w:hAnsi="宋体" w:eastAsia="宋体" w:cs="宋体"/>
          <w:sz w:val="24"/>
        </w:rPr>
        <w:t>按GB</w:t>
      </w:r>
      <w:r>
        <w:rPr>
          <w:rFonts w:ascii="宋体" w:hAnsi="宋体" w:eastAsia="宋体" w:cs="宋体"/>
          <w:sz w:val="24"/>
        </w:rPr>
        <w:t xml:space="preserve"> 2762</w:t>
      </w:r>
      <w:r>
        <w:rPr>
          <w:rFonts w:hint="eastAsia" w:ascii="宋体" w:hAnsi="宋体" w:eastAsia="宋体" w:cs="宋体"/>
          <w:sz w:val="24"/>
        </w:rPr>
        <w:t>规定的方法测定。</w:t>
      </w:r>
    </w:p>
    <w:p w14:paraId="53520B84">
      <w:pPr>
        <w:pStyle w:val="5"/>
        <w:spacing w:after="0" w:line="360" w:lineRule="auto"/>
        <w:ind w:firstLine="0" w:firstLineChars="0"/>
        <w:jc w:val="left"/>
        <w:rPr>
          <w:rFonts w:ascii="宋体" w:hAnsi="宋体" w:eastAsia="宋体" w:cs="宋体"/>
          <w:sz w:val="24"/>
        </w:rPr>
      </w:pPr>
      <w:r>
        <w:rPr>
          <w:rFonts w:hint="eastAsia" w:ascii="宋体" w:hAnsi="宋体" w:eastAsia="宋体" w:cs="宋体"/>
          <w:sz w:val="24"/>
        </w:rPr>
        <w:t>7.3.2</w:t>
      </w:r>
      <w:r>
        <w:rPr>
          <w:rFonts w:ascii="宋体" w:hAnsi="宋体" w:eastAsia="宋体" w:cs="宋体"/>
          <w:sz w:val="24"/>
        </w:rPr>
        <w:t xml:space="preserve"> </w:t>
      </w:r>
      <w:r>
        <w:rPr>
          <w:rFonts w:hint="eastAsia" w:ascii="宋体" w:hAnsi="宋体" w:eastAsia="宋体" w:cs="宋体"/>
          <w:sz w:val="24"/>
        </w:rPr>
        <w:t>微生物限量</w:t>
      </w:r>
    </w:p>
    <w:p w14:paraId="5C3378AE">
      <w:pPr>
        <w:pStyle w:val="5"/>
        <w:spacing w:line="360" w:lineRule="auto"/>
        <w:jc w:val="left"/>
        <w:rPr>
          <w:rFonts w:hint="eastAsia" w:ascii="宋体" w:hAnsi="宋体" w:eastAsia="宋体" w:cs="宋体"/>
          <w:sz w:val="24"/>
        </w:rPr>
      </w:pPr>
      <w:r>
        <w:rPr>
          <w:rFonts w:hint="eastAsia" w:ascii="宋体" w:hAnsi="宋体" w:eastAsia="宋体" w:cs="宋体"/>
          <w:sz w:val="24"/>
        </w:rPr>
        <w:t>7.3.2.1  非调理类通辽牛肉片的菌落总数按GB 4789.2规定的方法测定。</w:t>
      </w:r>
    </w:p>
    <w:p w14:paraId="2DBDBA3D">
      <w:pPr>
        <w:pStyle w:val="5"/>
        <w:spacing w:after="0" w:line="360" w:lineRule="auto"/>
        <w:ind w:firstLine="0" w:firstLineChars="0"/>
        <w:jc w:val="left"/>
        <w:rPr>
          <w:rFonts w:hint="eastAsia" w:ascii="宋体" w:hAnsi="宋体" w:eastAsia="宋体" w:cs="宋体"/>
          <w:sz w:val="24"/>
        </w:rPr>
      </w:pPr>
      <w:r>
        <w:rPr>
          <w:rFonts w:hint="eastAsia" w:ascii="宋体" w:hAnsi="宋体" w:eastAsia="宋体" w:cs="宋体"/>
          <w:sz w:val="24"/>
        </w:rPr>
        <w:t>7.3.2.2  非调理类通辽牛肉片的大肠菌群按GB 4789.3规定的方法测定。</w:t>
      </w:r>
    </w:p>
    <w:p w14:paraId="2205B75F">
      <w:pPr>
        <w:pStyle w:val="5"/>
        <w:spacing w:after="0" w:line="360" w:lineRule="auto"/>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.4 净含量测定</w:t>
      </w:r>
    </w:p>
    <w:p w14:paraId="50588C68">
      <w:pPr>
        <w:pStyle w:val="5"/>
        <w:spacing w:after="0" w:line="360" w:lineRule="auto"/>
        <w:ind w:firstLine="420"/>
        <w:jc w:val="left"/>
        <w:rPr>
          <w:rFonts w:ascii="宋体" w:hAnsi="宋体" w:eastAsia="宋体" w:cs="宋体"/>
          <w:sz w:val="24"/>
        </w:rPr>
      </w:pPr>
      <w:r>
        <w:rPr>
          <w:rFonts w:hint="eastAsia" w:ascii="宋体" w:hAnsi="宋体" w:eastAsia="宋体" w:cs="宋体"/>
          <w:sz w:val="24"/>
        </w:rPr>
        <w:t>按JJF 1070规定进行测定。</w:t>
      </w:r>
    </w:p>
    <w:p w14:paraId="700F43E6">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44F7B50D">
      <w:pPr>
        <w:pStyle w:val="5"/>
        <w:spacing w:after="0" w:line="360" w:lineRule="auto"/>
        <w:ind w:firstLine="420"/>
        <w:jc w:val="left"/>
        <w:rPr>
          <w:rFonts w:ascii="宋体" w:hAnsi="宋体" w:eastAsia="宋体" w:cs="宋体"/>
          <w:sz w:val="24"/>
        </w:rPr>
      </w:pPr>
      <w:r>
        <w:rPr>
          <w:rFonts w:hint="eastAsia" w:ascii="宋体" w:hAnsi="宋体" w:eastAsia="宋体" w:cs="宋体"/>
          <w:sz w:val="24"/>
        </w:rPr>
        <w:t>参照相关食品安全国家标准及JJF</w:t>
      </w:r>
      <w:r>
        <w:rPr>
          <w:rFonts w:ascii="宋体" w:hAnsi="宋体" w:eastAsia="宋体" w:cs="宋体"/>
          <w:sz w:val="24"/>
        </w:rPr>
        <w:t xml:space="preserve"> 1070</w:t>
      </w:r>
      <w:r>
        <w:rPr>
          <w:rFonts w:hint="eastAsia" w:ascii="宋体" w:hAnsi="宋体" w:eastAsia="宋体" w:cs="宋体"/>
          <w:sz w:val="24"/>
        </w:rPr>
        <w:t>，列出了污染物限量、食品添加剂、微生物限量和净含量的检测方法。</w:t>
      </w:r>
    </w:p>
    <w:p w14:paraId="332DC764">
      <w:pPr>
        <w:widowControl/>
        <w:numPr>
          <w:ilvl w:val="1"/>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r>
        <w:rPr>
          <w:rFonts w:ascii="Times New Roman" w:eastAsia="宋体" w:cs="宋体" w:hAnsiTheme="minorEastAsia"/>
          <w:b/>
          <w:bCs/>
          <w:snapToGrid w:val="0"/>
          <w:kern w:val="0"/>
          <w:sz w:val="24"/>
          <w:lang w:bidi="zh-TW"/>
        </w:rPr>
        <w:t>8</w:t>
      </w:r>
      <w:r>
        <w:rPr>
          <w:rFonts w:hint="eastAsia" w:ascii="Times New Roman" w:eastAsia="宋体" w:cs="宋体" w:hAnsiTheme="minorEastAsia"/>
          <w:b/>
          <w:bCs/>
          <w:snapToGrid w:val="0"/>
          <w:kern w:val="0"/>
          <w:sz w:val="24"/>
          <w:lang w:bidi="zh-TW"/>
        </w:rPr>
        <w:t xml:space="preserve">   检验规则</w:t>
      </w:r>
    </w:p>
    <w:p w14:paraId="5E989512">
      <w:pPr>
        <w:pStyle w:val="18"/>
      </w:pPr>
      <w:r>
        <w:rPr>
          <w:rFonts w:hint="eastAsia"/>
        </w:rPr>
        <w:t>标准文本：</w:t>
      </w:r>
    </w:p>
    <w:p w14:paraId="7E47201D">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1 组批</w:t>
      </w:r>
    </w:p>
    <w:p w14:paraId="09A8021B">
      <w:pPr>
        <w:pStyle w:val="5"/>
        <w:spacing w:after="0" w:line="360" w:lineRule="auto"/>
        <w:ind w:firstLine="420"/>
        <w:jc w:val="left"/>
        <w:rPr>
          <w:rFonts w:ascii="宋体" w:hAnsi="宋体" w:eastAsia="宋体" w:cs="宋体"/>
          <w:sz w:val="24"/>
        </w:rPr>
      </w:pPr>
      <w:r>
        <w:rPr>
          <w:rFonts w:hint="eastAsia" w:ascii="宋体" w:hAnsi="宋体" w:eastAsia="宋体" w:cs="宋体"/>
          <w:sz w:val="24"/>
        </w:rPr>
        <w:t>同日生产、同一品种产品为一批。</w:t>
      </w:r>
    </w:p>
    <w:p w14:paraId="0D658C2B">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 抽样</w:t>
      </w:r>
    </w:p>
    <w:p w14:paraId="0BBF169B">
      <w:pPr>
        <w:pStyle w:val="5"/>
        <w:spacing w:after="0" w:line="360" w:lineRule="auto"/>
        <w:ind w:firstLine="420"/>
        <w:jc w:val="left"/>
        <w:rPr>
          <w:rFonts w:ascii="宋体" w:hAnsi="宋体" w:eastAsia="宋体" w:cs="宋体"/>
          <w:sz w:val="24"/>
        </w:rPr>
      </w:pPr>
      <w:r>
        <w:rPr>
          <w:rFonts w:hint="eastAsia" w:ascii="宋体" w:hAnsi="宋体" w:eastAsia="宋体" w:cs="宋体"/>
          <w:sz w:val="24"/>
        </w:rPr>
        <w:t>从同一批次产品中随机抽取，抽取数量应满足检验项目的需要，分成两份，一份用于检验，一份用于备查。</w:t>
      </w:r>
    </w:p>
    <w:p w14:paraId="3CD2E8A3">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 出厂检验</w:t>
      </w:r>
    </w:p>
    <w:p w14:paraId="02339521">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预包装产品出厂前应逐批进行检验，检验合格后方可出厂。</w:t>
      </w:r>
    </w:p>
    <w:p w14:paraId="0FECB349">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预包装产品出厂检验项目为感官和净含量。</w:t>
      </w:r>
    </w:p>
    <w:p w14:paraId="44A16E4D">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.4 型式检验</w:t>
      </w:r>
    </w:p>
    <w:p w14:paraId="00115851">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 xml:space="preserve">.4.1 每半年应对产品进行一次形式检验，发生下列情况之一时，应进行型式检验： </w:t>
      </w:r>
    </w:p>
    <w:p w14:paraId="3475D4D2">
      <w:pPr>
        <w:pStyle w:val="5"/>
        <w:spacing w:after="0" w:line="360" w:lineRule="auto"/>
        <w:ind w:firstLine="420"/>
        <w:jc w:val="left"/>
        <w:rPr>
          <w:rFonts w:ascii="宋体" w:hAnsi="宋体" w:eastAsia="宋体" w:cs="宋体"/>
          <w:sz w:val="24"/>
        </w:rPr>
      </w:pPr>
      <w:r>
        <w:rPr>
          <w:rFonts w:hint="eastAsia" w:ascii="宋体" w:hAnsi="宋体" w:eastAsia="宋体" w:cs="宋体"/>
          <w:sz w:val="24"/>
        </w:rPr>
        <w:t>a）产品投产时；</w:t>
      </w:r>
    </w:p>
    <w:p w14:paraId="27725B60">
      <w:pPr>
        <w:pStyle w:val="5"/>
        <w:spacing w:after="0" w:line="360" w:lineRule="auto"/>
        <w:ind w:firstLine="420"/>
        <w:jc w:val="left"/>
        <w:rPr>
          <w:rFonts w:ascii="宋体" w:hAnsi="宋体" w:eastAsia="宋体" w:cs="宋体"/>
          <w:sz w:val="24"/>
        </w:rPr>
      </w:pPr>
      <w:r>
        <w:rPr>
          <w:rFonts w:hint="eastAsia" w:ascii="宋体" w:hAnsi="宋体" w:eastAsia="宋体" w:cs="宋体"/>
          <w:sz w:val="24"/>
        </w:rPr>
        <w:t>b）工艺发生较大改变时；</w:t>
      </w:r>
    </w:p>
    <w:p w14:paraId="6928463E">
      <w:pPr>
        <w:pStyle w:val="5"/>
        <w:spacing w:after="0" w:line="360" w:lineRule="auto"/>
        <w:ind w:firstLine="420"/>
        <w:jc w:val="left"/>
        <w:rPr>
          <w:rFonts w:ascii="宋体" w:hAnsi="宋体" w:eastAsia="宋体" w:cs="宋体"/>
          <w:sz w:val="24"/>
        </w:rPr>
      </w:pPr>
      <w:r>
        <w:rPr>
          <w:rFonts w:hint="eastAsia" w:ascii="宋体" w:hAnsi="宋体" w:eastAsia="宋体" w:cs="宋体"/>
          <w:sz w:val="24"/>
        </w:rPr>
        <w:t>c）停产三个月以上恢复生产时；</w:t>
      </w:r>
    </w:p>
    <w:p w14:paraId="491BA698">
      <w:pPr>
        <w:pStyle w:val="5"/>
        <w:spacing w:after="0" w:line="360" w:lineRule="auto"/>
        <w:ind w:firstLine="420"/>
        <w:jc w:val="left"/>
        <w:rPr>
          <w:rFonts w:ascii="宋体" w:hAnsi="宋体" w:eastAsia="宋体" w:cs="宋体"/>
          <w:sz w:val="24"/>
        </w:rPr>
      </w:pPr>
      <w:r>
        <w:rPr>
          <w:rFonts w:hint="eastAsia" w:ascii="宋体" w:hAnsi="宋体" w:eastAsia="宋体" w:cs="宋体"/>
          <w:sz w:val="24"/>
        </w:rPr>
        <w:t>d）出厂检验结果与上次型式检验有较大差异时；</w:t>
      </w:r>
    </w:p>
    <w:p w14:paraId="44D2E88A">
      <w:pPr>
        <w:pStyle w:val="5"/>
        <w:spacing w:after="0" w:line="360" w:lineRule="auto"/>
        <w:ind w:firstLine="420"/>
        <w:jc w:val="left"/>
        <w:rPr>
          <w:rFonts w:ascii="宋体" w:hAnsi="宋体" w:eastAsia="宋体" w:cs="宋体"/>
          <w:sz w:val="24"/>
        </w:rPr>
      </w:pPr>
      <w:r>
        <w:rPr>
          <w:rFonts w:hint="eastAsia" w:ascii="宋体" w:hAnsi="宋体" w:eastAsia="宋体" w:cs="宋体"/>
          <w:sz w:val="24"/>
        </w:rPr>
        <w:t>e）国家有关主管部门提出要求时。</w:t>
      </w:r>
    </w:p>
    <w:p w14:paraId="6A2FCF5F">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.4.2 检验项目为本文件中 5.3</w:t>
      </w:r>
      <w:r>
        <w:rPr>
          <w:rFonts w:hint="eastAsia"/>
        </w:rPr>
        <w:t>～</w:t>
      </w:r>
      <w:r>
        <w:rPr>
          <w:rFonts w:hint="eastAsia" w:ascii="宋体" w:hAnsi="宋体" w:eastAsia="宋体" w:cs="宋体"/>
          <w:sz w:val="24"/>
        </w:rPr>
        <w:t>5.6 和8.1 规定的项目。</w:t>
      </w:r>
    </w:p>
    <w:p w14:paraId="4733562A">
      <w:pPr>
        <w:pStyle w:val="5"/>
        <w:spacing w:after="0" w:line="360" w:lineRule="auto"/>
        <w:jc w:val="left"/>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 xml:space="preserve">.5 判定规则 </w:t>
      </w:r>
    </w:p>
    <w:p w14:paraId="177D5D41">
      <w:pPr>
        <w:pStyle w:val="15"/>
        <w:spacing w:line="360" w:lineRule="auto"/>
        <w:ind w:firstLine="480" w:firstLineChars="200"/>
        <w:rPr>
          <w:b/>
          <w:bCs/>
          <w:spacing w:val="7"/>
          <w:sz w:val="24"/>
          <w:szCs w:val="24"/>
          <w:lang w:eastAsia="zh-CN"/>
        </w:rPr>
      </w:pPr>
      <w:r>
        <w:rPr>
          <w:rFonts w:hint="eastAsia"/>
          <w:sz w:val="24"/>
          <w:szCs w:val="24"/>
          <w:lang w:eastAsia="zh-CN"/>
        </w:rPr>
        <w:t>检验项目全部符合本文件的规定，判该批产品为合格产品。如有一项以上（含一项，微生物项目除外）不合格，应在同批产品中加倍抽样复检，以复检结果为准。若复检项目仍有一项不合格，则判该批产品为不合格品。微生物指标中有一项不符合相关食品安全国家标准的规定，不应复检，判该批产品为不合格品。</w:t>
      </w:r>
    </w:p>
    <w:p w14:paraId="3F6F51D7">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19664346">
      <w:pPr>
        <w:pStyle w:val="5"/>
        <w:spacing w:after="0" w:line="360" w:lineRule="auto"/>
        <w:ind w:firstLine="420"/>
        <w:jc w:val="left"/>
        <w:rPr>
          <w:rFonts w:ascii="宋体" w:hAnsi="宋体" w:eastAsia="宋体" w:cs="宋体"/>
          <w:sz w:val="24"/>
        </w:rPr>
      </w:pPr>
      <w:r>
        <w:rPr>
          <w:rFonts w:hint="eastAsia" w:ascii="宋体" w:hAnsi="宋体" w:eastAsia="宋体" w:cs="宋体"/>
          <w:sz w:val="24"/>
        </w:rPr>
        <w:t>依据</w:t>
      </w:r>
      <w:r>
        <w:rPr>
          <w:rFonts w:ascii="宋体" w:hAnsi="宋体" w:eastAsia="宋体" w:cs="宋体"/>
          <w:sz w:val="24"/>
        </w:rPr>
        <w:t>T/CMATB 3012</w:t>
      </w:r>
      <w:r>
        <w:rPr>
          <w:rFonts w:hint="eastAsia" w:ascii="宋体" w:hAnsi="宋体" w:eastAsia="宋体" w:cs="宋体"/>
          <w:sz w:val="24"/>
        </w:rPr>
        <w:t>中的检验规则制定。</w:t>
      </w:r>
    </w:p>
    <w:p w14:paraId="560CAC72">
      <w:pPr>
        <w:widowControl/>
        <w:numPr>
          <w:ilvl w:val="1"/>
          <w:numId w:val="0"/>
        </w:numPr>
        <w:adjustRightInd w:val="0"/>
        <w:snapToGrid w:val="0"/>
        <w:spacing w:line="360" w:lineRule="auto"/>
        <w:ind w:firstLine="482" w:firstLineChars="200"/>
        <w:jc w:val="left"/>
        <w:rPr>
          <w:rFonts w:ascii="Times New Roman" w:eastAsia="宋体" w:cs="宋体" w:hAnsiTheme="minorEastAsia"/>
          <w:b/>
          <w:bCs/>
          <w:snapToGrid w:val="0"/>
          <w:kern w:val="0"/>
          <w:sz w:val="24"/>
          <w:lang w:bidi="zh-TW"/>
        </w:rPr>
      </w:pPr>
      <w:r>
        <w:rPr>
          <w:rFonts w:ascii="Times New Roman" w:eastAsia="宋体" w:cs="宋体" w:hAnsiTheme="minorEastAsia"/>
          <w:b/>
          <w:bCs/>
          <w:snapToGrid w:val="0"/>
          <w:kern w:val="0"/>
          <w:sz w:val="24"/>
          <w:lang w:bidi="zh-TW"/>
        </w:rPr>
        <w:t>9</w:t>
      </w:r>
      <w:r>
        <w:rPr>
          <w:rFonts w:hint="eastAsia" w:ascii="Times New Roman" w:eastAsia="宋体" w:cs="宋体" w:hAnsiTheme="minorEastAsia"/>
          <w:b/>
          <w:bCs/>
          <w:snapToGrid w:val="0"/>
          <w:kern w:val="0"/>
          <w:sz w:val="24"/>
          <w:lang w:bidi="zh-TW"/>
        </w:rPr>
        <w:t xml:space="preserve">  标签、标志、包装、贮存、运输及销售</w:t>
      </w:r>
    </w:p>
    <w:p w14:paraId="1E9BB1CD">
      <w:pPr>
        <w:pStyle w:val="18"/>
      </w:pPr>
      <w:r>
        <w:rPr>
          <w:rFonts w:hint="eastAsia"/>
        </w:rPr>
        <w:t>标准文本：</w:t>
      </w:r>
    </w:p>
    <w:p w14:paraId="3F4079A4">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.1 标签</w:t>
      </w:r>
    </w:p>
    <w:p w14:paraId="27876C76">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.1.1 产品标签应符合 GB 7718 和 GB 28050 的规定。</w:t>
      </w:r>
    </w:p>
    <w:p w14:paraId="1158A337">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.1.2</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调理类通辽牛肉片应在标签上以醒目的字体标出“调理”等提示语，且标签中不应出现“原切”字样。</w:t>
      </w:r>
    </w:p>
    <w:p w14:paraId="107A3F3D">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.1.3</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以牛肉的特定部分名称命名的通辽牛肉片产品在配料表中应明确标示原料肉的部位名称。使用非单一部位肉加工的非调理类通辽牛肉片不应以特定部位肉名称命名。</w:t>
      </w:r>
    </w:p>
    <w:p w14:paraId="291B5728">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.1.4包装上有关认证标志和商标等的印刷、加贴应符合有关法规及标准要求。</w:t>
      </w:r>
    </w:p>
    <w:p w14:paraId="3CD8BADC">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.2 标志</w:t>
      </w:r>
    </w:p>
    <w:p w14:paraId="6185707F">
      <w:pPr>
        <w:pStyle w:val="17"/>
        <w:numPr>
          <w:ilvl w:val="1"/>
          <w:numId w:val="0"/>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包装储运图示标志应符合GB/T 191的规定。</w:t>
      </w:r>
    </w:p>
    <w:p w14:paraId="5739AB86">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.3 包装</w:t>
      </w:r>
    </w:p>
    <w:p w14:paraId="5A762964">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.3.1 包装容器与材料应符合GB 4806.7、GB/T 6543等相关国家标准或行业标准的规定。</w:t>
      </w:r>
    </w:p>
    <w:p w14:paraId="021EC8E2">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.3.2 包装完整，无损坏，无污染。</w:t>
      </w:r>
    </w:p>
    <w:p w14:paraId="720D3AA0">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.4 贮存、运输和销售</w:t>
      </w:r>
    </w:p>
    <w:p w14:paraId="008EF2A2">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.4.1.应符合GB 20799、GB 31605、GB 31646的规定。</w:t>
      </w:r>
    </w:p>
    <w:p w14:paraId="06FEE7A1">
      <w:pPr>
        <w:pStyle w:val="17"/>
        <w:numPr>
          <w:ilvl w:val="1"/>
          <w:numId w:val="0"/>
        </w:numPr>
        <w:spacing w:line="360" w:lineRule="auto"/>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t>.4.2产品贮存和运输过程中环境温度应不高于-18℃。贮存时应包装完整，不破不漏，避免有毒物质污染。</w:t>
      </w:r>
    </w:p>
    <w:p w14:paraId="754E1584">
      <w:pPr>
        <w:widowControl/>
        <w:adjustRightInd w:val="0"/>
        <w:snapToGrid w:val="0"/>
        <w:spacing w:line="360" w:lineRule="auto"/>
        <w:ind w:firstLine="482" w:firstLineChars="200"/>
        <w:rPr>
          <w:rFonts w:cs="宋体" w:asciiTheme="minorEastAsia" w:hAnsiTheme="minorEastAsia"/>
          <w:b/>
          <w:kern w:val="0"/>
          <w:sz w:val="24"/>
          <w:szCs w:val="20"/>
          <w:lang w:bidi="zh-TW"/>
        </w:rPr>
      </w:pPr>
      <w:r>
        <w:rPr>
          <w:rFonts w:hint="eastAsia" w:cs="宋体" w:asciiTheme="minorEastAsia" w:hAnsiTheme="minorEastAsia"/>
          <w:b/>
          <w:kern w:val="0"/>
          <w:sz w:val="24"/>
          <w:szCs w:val="20"/>
          <w:lang w:bidi="zh-TW"/>
        </w:rPr>
        <w:t>制定依据：</w:t>
      </w:r>
    </w:p>
    <w:p w14:paraId="06153088">
      <w:pPr>
        <w:pStyle w:val="5"/>
        <w:spacing w:after="0" w:line="360" w:lineRule="auto"/>
        <w:ind w:firstLine="420"/>
        <w:jc w:val="left"/>
        <w:rPr>
          <w:rFonts w:ascii="宋体" w:hAnsi="宋体" w:eastAsia="宋体" w:cs="宋体"/>
          <w:sz w:val="24"/>
        </w:rPr>
      </w:pPr>
      <w:r>
        <w:rPr>
          <w:rFonts w:hint="eastAsia" w:ascii="宋体" w:hAnsi="宋体" w:eastAsia="宋体" w:cs="宋体"/>
          <w:sz w:val="24"/>
        </w:rPr>
        <w:t>GB 7718《食品安全国家标准 预包装食品标签通则》、GB 28050《食品安全国家标准 预包装食品营养标签通则》对预包装食品标签进行了规定，</w:t>
      </w:r>
      <w:r>
        <w:rPr>
          <w:rFonts w:ascii="宋体" w:hAnsi="宋体" w:eastAsia="宋体" w:cs="宋体"/>
          <w:sz w:val="24"/>
        </w:rPr>
        <w:t>本文件</w:t>
      </w:r>
      <w:r>
        <w:rPr>
          <w:rFonts w:hint="eastAsia" w:ascii="宋体" w:hAnsi="宋体" w:eastAsia="宋体" w:cs="宋体"/>
          <w:sz w:val="24"/>
        </w:rPr>
        <w:t>直接引用。GB/T 191《包装储运图示标志》对包装储运图示标志进行了规定，本文件直接引用。产品包装在正常的运输、销售、储存条件下可最大限度的保护产品的品质和安全。</w:t>
      </w:r>
      <w:r>
        <w:rPr>
          <w:rFonts w:ascii="宋体" w:hAnsi="宋体" w:eastAsia="宋体" w:cs="宋体"/>
          <w:sz w:val="24"/>
        </w:rPr>
        <w:t>本</w:t>
      </w:r>
      <w:r>
        <w:rPr>
          <w:rFonts w:hint="eastAsia" w:ascii="宋体" w:hAnsi="宋体" w:eastAsia="宋体" w:cs="宋体"/>
          <w:sz w:val="24"/>
        </w:rPr>
        <w:t>文件直接引用了GB 4806.7《食品安全国家标准 食品接触用塑料材料及制品》、GB/T 6543《运输包装用单瓦楞纸箱和双瓦楞纸箱》等。同时，为保护消费者知情权、使消费者更好</w:t>
      </w:r>
      <w:r>
        <w:rPr>
          <w:rFonts w:ascii="宋体" w:hAnsi="宋体" w:eastAsia="宋体" w:cs="宋体"/>
          <w:sz w:val="24"/>
        </w:rPr>
        <w:t>区分</w:t>
      </w:r>
      <w:r>
        <w:rPr>
          <w:rFonts w:hint="eastAsia" w:ascii="宋体" w:hAnsi="宋体" w:eastAsia="宋体" w:cs="宋体"/>
          <w:sz w:val="24"/>
        </w:rPr>
        <w:t>非调理类通辽牛肉片和调理类通辽牛肉片，要求调理类通辽牛肉片标识“</w:t>
      </w:r>
      <w:r>
        <w:rPr>
          <w:rFonts w:ascii="宋体" w:hAnsi="宋体" w:eastAsia="宋体" w:cs="宋体"/>
          <w:sz w:val="24"/>
        </w:rPr>
        <w:t>调理</w:t>
      </w:r>
      <w:r>
        <w:rPr>
          <w:rFonts w:hint="eastAsia" w:ascii="宋体" w:hAnsi="宋体" w:eastAsia="宋体" w:cs="宋体"/>
          <w:sz w:val="24"/>
        </w:rPr>
        <w:t>”</w:t>
      </w:r>
      <w:r>
        <w:rPr>
          <w:rFonts w:ascii="宋体" w:hAnsi="宋体" w:eastAsia="宋体" w:cs="宋体"/>
          <w:sz w:val="24"/>
        </w:rPr>
        <w:t>字样</w:t>
      </w:r>
      <w:r>
        <w:rPr>
          <w:rFonts w:hint="eastAsia" w:ascii="宋体" w:hAnsi="宋体" w:eastAsia="宋体" w:cs="宋体"/>
          <w:sz w:val="24"/>
        </w:rPr>
        <w:t>、</w:t>
      </w:r>
      <w:r>
        <w:rPr>
          <w:rFonts w:ascii="宋体" w:hAnsi="宋体" w:eastAsia="宋体" w:cs="宋体"/>
          <w:sz w:val="24"/>
        </w:rPr>
        <w:t>且</w:t>
      </w:r>
      <w:r>
        <w:rPr>
          <w:rFonts w:hint="eastAsia" w:ascii="宋体" w:hAnsi="宋体" w:eastAsia="宋体" w:cs="宋体"/>
          <w:sz w:val="24"/>
        </w:rPr>
        <w:t>不得标识“</w:t>
      </w:r>
      <w:r>
        <w:rPr>
          <w:rFonts w:ascii="宋体" w:hAnsi="宋体" w:eastAsia="宋体" w:cs="宋体"/>
          <w:sz w:val="24"/>
        </w:rPr>
        <w:t>原切</w:t>
      </w:r>
      <w:r>
        <w:rPr>
          <w:rFonts w:hint="eastAsia" w:ascii="宋体" w:hAnsi="宋体" w:eastAsia="宋体" w:cs="宋体"/>
          <w:sz w:val="24"/>
        </w:rPr>
        <w:t>”</w:t>
      </w:r>
      <w:r>
        <w:rPr>
          <w:rFonts w:ascii="宋体" w:hAnsi="宋体" w:eastAsia="宋体" w:cs="宋体"/>
          <w:sz w:val="24"/>
        </w:rPr>
        <w:t>。</w:t>
      </w:r>
    </w:p>
    <w:p w14:paraId="3BAC559C">
      <w:pPr>
        <w:pStyle w:val="5"/>
        <w:spacing w:after="0" w:line="360" w:lineRule="auto"/>
        <w:ind w:firstLine="420"/>
        <w:jc w:val="left"/>
        <w:rPr>
          <w:rFonts w:ascii="宋体" w:hAnsi="宋体" w:eastAsia="宋体" w:cs="宋体"/>
          <w:sz w:val="24"/>
        </w:rPr>
      </w:pPr>
      <w:r>
        <w:rPr>
          <w:rFonts w:hint="eastAsia" w:ascii="宋体" w:hAnsi="宋体" w:eastAsia="宋体" w:cs="宋体"/>
          <w:sz w:val="24"/>
        </w:rPr>
        <w:t>GB 20799-2016《食品安全国家标准  肉和肉制品经营卫生规范》、GB 31605《食品安全国家标准 食品冷链物流卫生规范》和GB 31646《食品安全国家标准 速冻食品生产和经营卫生规范》规定了冷冻肉及肉制品的贮存、</w:t>
      </w:r>
      <w:r>
        <w:rPr>
          <w:rFonts w:ascii="宋体" w:hAnsi="宋体" w:eastAsia="宋体" w:cs="宋体"/>
          <w:sz w:val="24"/>
        </w:rPr>
        <w:t>运输</w:t>
      </w:r>
      <w:r>
        <w:rPr>
          <w:rFonts w:hint="eastAsia" w:ascii="宋体" w:hAnsi="宋体" w:eastAsia="宋体" w:cs="宋体"/>
          <w:sz w:val="24"/>
        </w:rPr>
        <w:t>和销售要求，其中</w:t>
      </w:r>
      <w:r>
        <w:rPr>
          <w:rFonts w:ascii="宋体" w:hAnsi="宋体" w:eastAsia="宋体" w:cs="宋体"/>
          <w:sz w:val="24"/>
        </w:rPr>
        <w:t>冷冻</w:t>
      </w:r>
      <w:r>
        <w:rPr>
          <w:rFonts w:hint="eastAsia" w:ascii="宋体" w:hAnsi="宋体" w:eastAsia="宋体" w:cs="宋体"/>
          <w:sz w:val="24"/>
        </w:rPr>
        <w:t>产品运输温度分别为-</w:t>
      </w:r>
      <w:r>
        <w:rPr>
          <w:rFonts w:ascii="宋体" w:hAnsi="宋体" w:eastAsia="宋体" w:cs="宋体"/>
          <w:sz w:val="24"/>
        </w:rPr>
        <w:t>15℃</w:t>
      </w:r>
      <w:r>
        <w:rPr>
          <w:rFonts w:hint="eastAsia" w:ascii="宋体" w:hAnsi="宋体" w:eastAsia="宋体" w:cs="宋体"/>
          <w:sz w:val="24"/>
        </w:rPr>
        <w:t>、</w:t>
      </w:r>
      <w:r>
        <w:rPr>
          <w:rFonts w:ascii="宋体" w:hAnsi="宋体" w:eastAsia="宋体" w:cs="宋体"/>
          <w:sz w:val="24"/>
        </w:rPr>
        <w:t>-18</w:t>
      </w:r>
      <w:r>
        <w:rPr>
          <w:rFonts w:hint="eastAsia" w:ascii="宋体" w:hAnsi="宋体" w:eastAsia="宋体" w:cs="宋体"/>
          <w:sz w:val="24"/>
        </w:rPr>
        <w:t>℃和-</w:t>
      </w:r>
      <w:r>
        <w:rPr>
          <w:rFonts w:ascii="宋体" w:hAnsi="宋体" w:eastAsia="宋体" w:cs="宋体"/>
          <w:sz w:val="24"/>
        </w:rPr>
        <w:t>12</w:t>
      </w:r>
      <w:r>
        <w:rPr>
          <w:rFonts w:hint="eastAsia" w:ascii="宋体" w:hAnsi="宋体" w:eastAsia="宋体" w:cs="宋体"/>
          <w:sz w:val="24"/>
        </w:rPr>
        <w:t>℃。为更好保持通辽牛肉片品质及外观，本文件规定贮存和运输环境温度应不高于-18℃。</w:t>
      </w:r>
    </w:p>
    <w:p w14:paraId="5D5D1C7C">
      <w:pPr>
        <w:pStyle w:val="5"/>
        <w:widowControl/>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三、主要试验或验证的分析、综述报告，技术经济论证，预期的经济效果</w:t>
      </w:r>
    </w:p>
    <w:p w14:paraId="7CAF9FC8">
      <w:pPr>
        <w:pStyle w:val="5"/>
        <w:widowControl/>
        <w:tabs>
          <w:tab w:val="left" w:pos="442"/>
        </w:tabs>
        <w:kinsoku w:val="0"/>
        <w:overflowPunct w:val="0"/>
        <w:autoSpaceDE w:val="0"/>
        <w:autoSpaceDN w:val="0"/>
        <w:adjustRightInd w:val="0"/>
        <w:snapToGrid w:val="0"/>
        <w:spacing w:after="0" w:line="360" w:lineRule="auto"/>
        <w:jc w:val="left"/>
        <w:textAlignment w:val="baseline"/>
        <w:rPr>
          <w:rFonts w:ascii="楷体" w:hAnsi="楷体" w:eastAsia="楷体" w:cs="楷体"/>
          <w:b/>
          <w:bCs/>
          <w:spacing w:val="-8"/>
          <w:sz w:val="28"/>
          <w:szCs w:val="28"/>
        </w:rPr>
      </w:pPr>
      <w:r>
        <w:rPr>
          <w:rFonts w:hint="eastAsia" w:ascii="楷体" w:hAnsi="楷体" w:eastAsia="楷体" w:cs="楷体"/>
          <w:b/>
          <w:bCs/>
          <w:spacing w:val="-8"/>
          <w:sz w:val="28"/>
          <w:szCs w:val="28"/>
        </w:rPr>
        <w:t>（一）解冻失水率</w:t>
      </w:r>
    </w:p>
    <w:p w14:paraId="0191FFFB">
      <w:pPr>
        <w:pStyle w:val="5"/>
        <w:widowControl/>
        <w:tabs>
          <w:tab w:val="left" w:pos="442"/>
        </w:tabs>
        <w:kinsoku w:val="0"/>
        <w:overflowPunct w:val="0"/>
        <w:autoSpaceDE w:val="0"/>
        <w:autoSpaceDN w:val="0"/>
        <w:adjustRightInd w:val="0"/>
        <w:snapToGrid w:val="0"/>
        <w:spacing w:after="0" w:line="360" w:lineRule="auto"/>
        <w:ind w:firstLine="480" w:firstLineChars="200"/>
        <w:jc w:val="left"/>
        <w:textAlignment w:val="baseline"/>
        <w:rPr>
          <w:rFonts w:ascii="宋体" w:hAnsi="宋体" w:eastAsia="宋体" w:cs="宋体"/>
          <w:sz w:val="24"/>
        </w:rPr>
      </w:pPr>
      <w:r>
        <w:rPr>
          <w:rFonts w:hint="eastAsia" w:ascii="宋体" w:hAnsi="宋体" w:eastAsia="宋体" w:cs="宋体"/>
          <w:sz w:val="24"/>
        </w:rPr>
        <w:t>经检测，调理类和非调理类通辽牛肉片，</w:t>
      </w:r>
      <w:r>
        <w:rPr>
          <w:rFonts w:ascii="宋体" w:hAnsi="宋体" w:eastAsia="宋体" w:cs="宋体"/>
          <w:sz w:val="24"/>
        </w:rPr>
        <w:t>10</w:t>
      </w:r>
      <w:r>
        <w:rPr>
          <w:rFonts w:hint="eastAsia" w:ascii="宋体" w:hAnsi="宋体" w:eastAsia="宋体" w:cs="宋体"/>
          <w:sz w:val="24"/>
        </w:rPr>
        <w:t>个样品中解冻失水率在5</w:t>
      </w:r>
      <w:r>
        <w:rPr>
          <w:rFonts w:ascii="宋体" w:hAnsi="宋体" w:eastAsia="宋体" w:cs="宋体"/>
          <w:sz w:val="24"/>
        </w:rPr>
        <w:t>%</w:t>
      </w:r>
      <w:r>
        <w:rPr>
          <w:rFonts w:hint="eastAsia" w:ascii="宋体" w:hAnsi="宋体" w:eastAsia="宋体" w:cs="宋体"/>
          <w:sz w:val="24"/>
        </w:rPr>
        <w:t>以下的占比为90</w:t>
      </w:r>
      <w:r>
        <w:rPr>
          <w:rFonts w:ascii="宋体" w:hAnsi="宋体" w:eastAsia="宋体" w:cs="宋体"/>
          <w:sz w:val="24"/>
        </w:rPr>
        <w:t>%</w:t>
      </w:r>
      <w:r>
        <w:rPr>
          <w:rFonts w:hint="eastAsia" w:ascii="宋体" w:hAnsi="宋体" w:eastAsia="宋体" w:cs="宋体"/>
          <w:sz w:val="24"/>
        </w:rPr>
        <w:t>，因此，参照NY/T 3524-2019《冷冻肉解冻技术规范》规定，绝大部分产品能够满足解冻失水率的要求。</w:t>
      </w:r>
    </w:p>
    <w:p w14:paraId="5873A1F9">
      <w:pPr>
        <w:pStyle w:val="5"/>
        <w:widowControl/>
        <w:tabs>
          <w:tab w:val="left" w:pos="442"/>
        </w:tabs>
        <w:kinsoku w:val="0"/>
        <w:overflowPunct w:val="0"/>
        <w:autoSpaceDE w:val="0"/>
        <w:autoSpaceDN w:val="0"/>
        <w:adjustRightInd w:val="0"/>
        <w:snapToGrid w:val="0"/>
        <w:spacing w:after="0" w:line="360" w:lineRule="auto"/>
        <w:ind w:firstLine="480" w:firstLineChars="200"/>
        <w:jc w:val="center"/>
        <w:textAlignment w:val="baseline"/>
        <w:rPr>
          <w:rFonts w:ascii="宋体" w:hAnsi="宋体" w:eastAsia="宋体" w:cs="宋体"/>
          <w:sz w:val="24"/>
        </w:rPr>
      </w:pPr>
      <w:r>
        <w:rPr>
          <w:rFonts w:hint="eastAsia" w:ascii="宋体" w:hAnsi="宋体" w:eastAsia="宋体" w:cs="宋体"/>
          <w:sz w:val="24"/>
        </w:rPr>
        <w:t>表1 通辽牛肉片解冻失水率</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tblGrid>
      <w:tr w14:paraId="756D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09B956C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分类</w:t>
            </w:r>
          </w:p>
        </w:tc>
        <w:tc>
          <w:tcPr>
            <w:tcW w:w="2074" w:type="dxa"/>
            <w:vAlign w:val="center"/>
          </w:tcPr>
          <w:p w14:paraId="264338C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p>
        </w:tc>
        <w:tc>
          <w:tcPr>
            <w:tcW w:w="2074" w:type="dxa"/>
            <w:vAlign w:val="center"/>
          </w:tcPr>
          <w:p w14:paraId="6D65CCC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解冻损失（</w:t>
            </w:r>
            <w:r>
              <w:rPr>
                <w:rFonts w:ascii="宋体" w:hAnsi="宋体" w:eastAsia="宋体" w:cs="宋体"/>
                <w:sz w:val="24"/>
              </w:rPr>
              <w:t>%）</w:t>
            </w:r>
          </w:p>
        </w:tc>
      </w:tr>
      <w:tr w14:paraId="251F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restart"/>
            <w:vAlign w:val="center"/>
          </w:tcPr>
          <w:p w14:paraId="7E1F5BD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调理类</w:t>
            </w:r>
          </w:p>
        </w:tc>
        <w:tc>
          <w:tcPr>
            <w:tcW w:w="2074" w:type="dxa"/>
            <w:vAlign w:val="center"/>
          </w:tcPr>
          <w:p w14:paraId="1413641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样品1</w:t>
            </w:r>
          </w:p>
        </w:tc>
        <w:tc>
          <w:tcPr>
            <w:tcW w:w="2074" w:type="dxa"/>
            <w:vAlign w:val="bottom"/>
          </w:tcPr>
          <w:p w14:paraId="7D2F92C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w:t>
            </w:r>
            <w:r>
              <w:rPr>
                <w:rFonts w:hint="eastAsia" w:ascii="Times New Roman" w:hAnsi="Times New Roman" w:eastAsia="宋体" w:cs="Times New Roman"/>
                <w:sz w:val="24"/>
              </w:rPr>
              <w:t>2</w:t>
            </w:r>
            <w:r>
              <w:rPr>
                <w:rFonts w:ascii="Times New Roman" w:hAnsi="Times New Roman" w:eastAsia="宋体" w:cs="Times New Roman"/>
                <w:sz w:val="24"/>
              </w:rPr>
              <w:t>9</w:t>
            </w:r>
          </w:p>
        </w:tc>
      </w:tr>
      <w:tr w14:paraId="0AD57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33B1AD2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424D107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2</w:t>
            </w:r>
          </w:p>
        </w:tc>
        <w:tc>
          <w:tcPr>
            <w:tcW w:w="2074" w:type="dxa"/>
            <w:vAlign w:val="bottom"/>
          </w:tcPr>
          <w:p w14:paraId="56EADAB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w:t>
            </w:r>
            <w:r>
              <w:rPr>
                <w:rFonts w:hint="eastAsia" w:ascii="Times New Roman" w:hAnsi="Times New Roman" w:eastAsia="宋体" w:cs="Times New Roman"/>
                <w:sz w:val="24"/>
              </w:rPr>
              <w:t>08</w:t>
            </w:r>
          </w:p>
        </w:tc>
      </w:tr>
      <w:tr w14:paraId="4574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3AF9ED8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2119963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3</w:t>
            </w:r>
          </w:p>
        </w:tc>
        <w:tc>
          <w:tcPr>
            <w:tcW w:w="2074" w:type="dxa"/>
            <w:vAlign w:val="bottom"/>
          </w:tcPr>
          <w:p w14:paraId="702B3A9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w:t>
            </w:r>
            <w:r>
              <w:rPr>
                <w:rFonts w:hint="eastAsia" w:ascii="Times New Roman" w:hAnsi="Times New Roman" w:eastAsia="宋体" w:cs="Times New Roman"/>
                <w:sz w:val="24"/>
              </w:rPr>
              <w:t>05</w:t>
            </w:r>
          </w:p>
        </w:tc>
      </w:tr>
      <w:tr w14:paraId="5858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24C5CF4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53AEB65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4</w:t>
            </w:r>
          </w:p>
        </w:tc>
        <w:tc>
          <w:tcPr>
            <w:tcW w:w="2074" w:type="dxa"/>
            <w:vAlign w:val="bottom"/>
          </w:tcPr>
          <w:p w14:paraId="5E3CAA2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w:t>
            </w:r>
            <w:r>
              <w:rPr>
                <w:rFonts w:hint="eastAsia" w:ascii="Times New Roman" w:hAnsi="Times New Roman" w:eastAsia="宋体" w:cs="Times New Roman"/>
                <w:sz w:val="24"/>
              </w:rPr>
              <w:t>34</w:t>
            </w:r>
          </w:p>
        </w:tc>
      </w:tr>
      <w:tr w14:paraId="1588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7ECB791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5EF0868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样品5</w:t>
            </w:r>
          </w:p>
        </w:tc>
        <w:tc>
          <w:tcPr>
            <w:tcW w:w="2074" w:type="dxa"/>
            <w:vAlign w:val="bottom"/>
          </w:tcPr>
          <w:p w14:paraId="4C668EF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2.56</w:t>
            </w:r>
          </w:p>
        </w:tc>
      </w:tr>
      <w:tr w14:paraId="4ED4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5D7B15C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55FEF41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6</w:t>
            </w:r>
          </w:p>
        </w:tc>
        <w:tc>
          <w:tcPr>
            <w:tcW w:w="2074" w:type="dxa"/>
            <w:vAlign w:val="bottom"/>
          </w:tcPr>
          <w:p w14:paraId="30E7FCA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3.48</w:t>
            </w:r>
          </w:p>
        </w:tc>
      </w:tr>
      <w:tr w14:paraId="2EC5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27EA92E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6D132D5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7</w:t>
            </w:r>
          </w:p>
        </w:tc>
        <w:tc>
          <w:tcPr>
            <w:tcW w:w="2074" w:type="dxa"/>
            <w:vAlign w:val="bottom"/>
          </w:tcPr>
          <w:p w14:paraId="13BF58F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3.79</w:t>
            </w:r>
          </w:p>
        </w:tc>
      </w:tr>
      <w:tr w14:paraId="4D91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327F2C8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53DB39E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8</w:t>
            </w:r>
          </w:p>
        </w:tc>
        <w:tc>
          <w:tcPr>
            <w:tcW w:w="2074" w:type="dxa"/>
            <w:vAlign w:val="bottom"/>
          </w:tcPr>
          <w:p w14:paraId="1C4992D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5</w:t>
            </w:r>
            <w:r>
              <w:rPr>
                <w:rFonts w:hint="eastAsia" w:ascii="Times New Roman" w:hAnsi="Times New Roman" w:eastAsia="宋体" w:cs="Times New Roman"/>
                <w:sz w:val="24"/>
              </w:rPr>
              <w:t>.12</w:t>
            </w:r>
          </w:p>
        </w:tc>
      </w:tr>
      <w:tr w14:paraId="0E87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19358B8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3637453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9</w:t>
            </w:r>
          </w:p>
        </w:tc>
        <w:tc>
          <w:tcPr>
            <w:tcW w:w="2074" w:type="dxa"/>
            <w:vAlign w:val="bottom"/>
          </w:tcPr>
          <w:p w14:paraId="016804A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3.89</w:t>
            </w:r>
          </w:p>
        </w:tc>
      </w:tr>
      <w:tr w14:paraId="4E3F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5FCE5C1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0AB0096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10</w:t>
            </w:r>
          </w:p>
        </w:tc>
        <w:tc>
          <w:tcPr>
            <w:tcW w:w="2074" w:type="dxa"/>
            <w:vAlign w:val="bottom"/>
          </w:tcPr>
          <w:p w14:paraId="1E661BA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4.03</w:t>
            </w:r>
          </w:p>
        </w:tc>
      </w:tr>
      <w:tr w14:paraId="1DF9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restart"/>
            <w:vAlign w:val="center"/>
          </w:tcPr>
          <w:p w14:paraId="59130C9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非调理类</w:t>
            </w:r>
          </w:p>
        </w:tc>
        <w:tc>
          <w:tcPr>
            <w:tcW w:w="2074" w:type="dxa"/>
            <w:vAlign w:val="center"/>
          </w:tcPr>
          <w:p w14:paraId="4AD72EF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11</w:t>
            </w:r>
          </w:p>
        </w:tc>
        <w:tc>
          <w:tcPr>
            <w:tcW w:w="2074" w:type="dxa"/>
          </w:tcPr>
          <w:p w14:paraId="4DD5CBD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4.25</w:t>
            </w:r>
          </w:p>
        </w:tc>
      </w:tr>
      <w:tr w14:paraId="11A9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097A3CB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31774F9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12</w:t>
            </w:r>
          </w:p>
        </w:tc>
        <w:tc>
          <w:tcPr>
            <w:tcW w:w="2074" w:type="dxa"/>
          </w:tcPr>
          <w:p w14:paraId="0AF26F6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1.83</w:t>
            </w:r>
          </w:p>
        </w:tc>
      </w:tr>
      <w:tr w14:paraId="6164E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3E46072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1F8E727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13</w:t>
            </w:r>
          </w:p>
        </w:tc>
        <w:tc>
          <w:tcPr>
            <w:tcW w:w="2074" w:type="dxa"/>
          </w:tcPr>
          <w:p w14:paraId="7C3A3DE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4.73</w:t>
            </w:r>
          </w:p>
        </w:tc>
      </w:tr>
      <w:tr w14:paraId="6F1C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5336D84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7A12F90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14</w:t>
            </w:r>
          </w:p>
        </w:tc>
        <w:tc>
          <w:tcPr>
            <w:tcW w:w="2074" w:type="dxa"/>
            <w:vAlign w:val="center"/>
          </w:tcPr>
          <w:p w14:paraId="4082A5B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3.60</w:t>
            </w:r>
          </w:p>
        </w:tc>
      </w:tr>
      <w:tr w14:paraId="639A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721190C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26EBFE4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15</w:t>
            </w:r>
          </w:p>
        </w:tc>
        <w:tc>
          <w:tcPr>
            <w:tcW w:w="2074" w:type="dxa"/>
            <w:vAlign w:val="center"/>
          </w:tcPr>
          <w:p w14:paraId="4687D24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4.36</w:t>
            </w:r>
          </w:p>
        </w:tc>
      </w:tr>
      <w:tr w14:paraId="16DC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6811DE1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1082293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16</w:t>
            </w:r>
          </w:p>
        </w:tc>
        <w:tc>
          <w:tcPr>
            <w:tcW w:w="2074" w:type="dxa"/>
            <w:vAlign w:val="center"/>
          </w:tcPr>
          <w:p w14:paraId="6C731AE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4.25</w:t>
            </w:r>
          </w:p>
        </w:tc>
      </w:tr>
      <w:tr w14:paraId="30C0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1A2F8F6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2D9D744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17</w:t>
            </w:r>
          </w:p>
        </w:tc>
        <w:tc>
          <w:tcPr>
            <w:tcW w:w="2074" w:type="dxa"/>
            <w:vAlign w:val="center"/>
          </w:tcPr>
          <w:p w14:paraId="0C83A0E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3.69</w:t>
            </w:r>
          </w:p>
        </w:tc>
      </w:tr>
      <w:tr w14:paraId="2FA0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2075481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4E5AC43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18</w:t>
            </w:r>
          </w:p>
        </w:tc>
        <w:tc>
          <w:tcPr>
            <w:tcW w:w="2074" w:type="dxa"/>
            <w:vAlign w:val="center"/>
          </w:tcPr>
          <w:p w14:paraId="0B2543A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3.88</w:t>
            </w:r>
          </w:p>
        </w:tc>
      </w:tr>
      <w:tr w14:paraId="1B40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0B61780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3545A8F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19</w:t>
            </w:r>
          </w:p>
        </w:tc>
        <w:tc>
          <w:tcPr>
            <w:tcW w:w="2074" w:type="dxa"/>
            <w:vAlign w:val="center"/>
          </w:tcPr>
          <w:p w14:paraId="4C70B79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5</w:t>
            </w:r>
            <w:r>
              <w:rPr>
                <w:rFonts w:hint="eastAsia" w:ascii="Times New Roman" w:hAnsi="Times New Roman" w:eastAsia="宋体" w:cs="Times New Roman"/>
                <w:sz w:val="24"/>
              </w:rPr>
              <w:t>.47</w:t>
            </w:r>
          </w:p>
        </w:tc>
      </w:tr>
      <w:tr w14:paraId="326C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Merge w:val="continue"/>
            <w:vAlign w:val="center"/>
          </w:tcPr>
          <w:p w14:paraId="63ACB8F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p>
        </w:tc>
        <w:tc>
          <w:tcPr>
            <w:tcW w:w="2074" w:type="dxa"/>
            <w:vAlign w:val="center"/>
          </w:tcPr>
          <w:p w14:paraId="7441FA3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宋体" w:hAnsi="宋体" w:eastAsia="宋体" w:cs="宋体"/>
                <w:sz w:val="24"/>
              </w:rPr>
            </w:pPr>
            <w:r>
              <w:rPr>
                <w:rFonts w:hint="eastAsia" w:ascii="宋体" w:hAnsi="宋体" w:eastAsia="宋体" w:cs="宋体"/>
                <w:sz w:val="24"/>
              </w:rPr>
              <w:t>样品</w:t>
            </w:r>
            <w:r>
              <w:rPr>
                <w:rFonts w:ascii="宋体" w:hAnsi="宋体" w:eastAsia="宋体" w:cs="宋体"/>
                <w:sz w:val="24"/>
              </w:rPr>
              <w:t>20</w:t>
            </w:r>
          </w:p>
        </w:tc>
        <w:tc>
          <w:tcPr>
            <w:tcW w:w="2074" w:type="dxa"/>
            <w:vAlign w:val="center"/>
          </w:tcPr>
          <w:p w14:paraId="2229A35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2.45</w:t>
            </w:r>
          </w:p>
        </w:tc>
      </w:tr>
    </w:tbl>
    <w:p w14:paraId="306C7A93">
      <w:pPr>
        <w:pStyle w:val="5"/>
        <w:widowControl/>
        <w:tabs>
          <w:tab w:val="left" w:pos="442"/>
        </w:tabs>
        <w:kinsoku w:val="0"/>
        <w:overflowPunct w:val="0"/>
        <w:autoSpaceDE w:val="0"/>
        <w:autoSpaceDN w:val="0"/>
        <w:adjustRightInd w:val="0"/>
        <w:snapToGrid w:val="0"/>
        <w:spacing w:after="0" w:line="360" w:lineRule="auto"/>
        <w:jc w:val="left"/>
        <w:textAlignment w:val="baseline"/>
        <w:rPr>
          <w:rFonts w:ascii="楷体" w:hAnsi="楷体" w:eastAsia="楷体" w:cs="楷体"/>
          <w:b/>
          <w:bCs/>
          <w:spacing w:val="-8"/>
          <w:sz w:val="28"/>
          <w:szCs w:val="28"/>
        </w:rPr>
      </w:pPr>
      <w:r>
        <w:rPr>
          <w:rFonts w:hint="eastAsia" w:ascii="楷体" w:hAnsi="楷体" w:eastAsia="楷体" w:cs="楷体"/>
          <w:b/>
          <w:bCs/>
          <w:spacing w:val="-8"/>
          <w:sz w:val="28"/>
          <w:szCs w:val="28"/>
        </w:rPr>
        <w:t>（二）非调理类通辽牛肉片蛋白和脂肪含量</w:t>
      </w:r>
    </w:p>
    <w:p w14:paraId="02FD0059">
      <w:pPr>
        <w:pStyle w:val="5"/>
        <w:widowControl/>
        <w:tabs>
          <w:tab w:val="left" w:pos="442"/>
        </w:tabs>
        <w:kinsoku w:val="0"/>
        <w:overflowPunct w:val="0"/>
        <w:autoSpaceDE w:val="0"/>
        <w:autoSpaceDN w:val="0"/>
        <w:adjustRightInd w:val="0"/>
        <w:snapToGrid w:val="0"/>
        <w:spacing w:after="0" w:line="360" w:lineRule="auto"/>
        <w:ind w:firstLine="480" w:firstLineChars="200"/>
        <w:textAlignment w:val="baseline"/>
        <w:rPr>
          <w:rFonts w:ascii="宋体" w:hAnsi="宋体" w:eastAsia="宋体" w:cs="宋体"/>
          <w:sz w:val="24"/>
        </w:rPr>
      </w:pPr>
      <w:r>
        <w:rPr>
          <w:rFonts w:hint="eastAsia" w:ascii="宋体" w:hAnsi="宋体" w:eastAsia="宋体" w:cs="宋体"/>
          <w:sz w:val="24"/>
        </w:rPr>
        <w:t>通过非调理类通辽牛肉片（部位肉、</w:t>
      </w:r>
      <w:r>
        <w:rPr>
          <w:rFonts w:ascii="宋体" w:hAnsi="宋体" w:eastAsia="宋体" w:cs="宋体"/>
          <w:sz w:val="24"/>
        </w:rPr>
        <w:t>肥牛卷</w:t>
      </w:r>
      <w:r>
        <w:rPr>
          <w:rFonts w:hint="eastAsia" w:ascii="宋体" w:hAnsi="宋体" w:eastAsia="宋体" w:cs="宋体"/>
          <w:sz w:val="24"/>
        </w:rPr>
        <w:t>）</w:t>
      </w:r>
      <w:r>
        <w:rPr>
          <w:rFonts w:ascii="宋体" w:hAnsi="宋体" w:eastAsia="宋体" w:cs="宋体"/>
          <w:sz w:val="24"/>
        </w:rPr>
        <w:t>检测</w:t>
      </w:r>
      <w:r>
        <w:rPr>
          <w:rFonts w:hint="eastAsia" w:ascii="宋体" w:hAnsi="宋体" w:eastAsia="宋体" w:cs="宋体"/>
          <w:sz w:val="24"/>
        </w:rPr>
        <w:t>发现，上脑牛肉片蛋白质含量在</w:t>
      </w:r>
      <w:r>
        <w:rPr>
          <w:rFonts w:ascii="宋体" w:hAnsi="宋体" w:eastAsia="宋体" w:cs="宋体"/>
          <w:sz w:val="24"/>
        </w:rPr>
        <w:t>21.83-22.02 g/100 g</w:t>
      </w:r>
      <w:r>
        <w:rPr>
          <w:rFonts w:hint="eastAsia" w:ascii="宋体" w:hAnsi="宋体" w:eastAsia="宋体" w:cs="宋体"/>
          <w:sz w:val="24"/>
        </w:rPr>
        <w:t>范围内波动，胸口牛肉片蛋白质含量在</w:t>
      </w:r>
      <w:r>
        <w:rPr>
          <w:rFonts w:ascii="宋体" w:hAnsi="宋体" w:eastAsia="宋体" w:cs="宋体"/>
          <w:sz w:val="24"/>
        </w:rPr>
        <w:t>13.68-19.85 g/100 g</w:t>
      </w:r>
      <w:r>
        <w:rPr>
          <w:rFonts w:hint="eastAsia" w:ascii="宋体" w:hAnsi="宋体" w:eastAsia="宋体" w:cs="宋体"/>
          <w:sz w:val="24"/>
        </w:rPr>
        <w:t>范围内波动，</w:t>
      </w:r>
      <w:r>
        <w:rPr>
          <w:rFonts w:ascii="宋体" w:hAnsi="宋体" w:eastAsia="宋体" w:cs="宋体"/>
          <w:sz w:val="24"/>
        </w:rPr>
        <w:t>肥牛卷</w:t>
      </w:r>
      <w:r>
        <w:rPr>
          <w:rFonts w:hint="eastAsia" w:ascii="宋体" w:hAnsi="宋体" w:eastAsia="宋体" w:cs="宋体"/>
          <w:sz w:val="24"/>
        </w:rPr>
        <w:t>蛋白质含量在18</w:t>
      </w:r>
      <w:r>
        <w:rPr>
          <w:rFonts w:ascii="宋体" w:hAnsi="宋体" w:eastAsia="宋体" w:cs="宋体"/>
          <w:sz w:val="24"/>
        </w:rPr>
        <w:t>.8</w:t>
      </w:r>
      <w:r>
        <w:rPr>
          <w:rFonts w:hint="eastAsia" w:ascii="宋体" w:hAnsi="宋体" w:eastAsia="宋体" w:cs="宋体"/>
          <w:sz w:val="24"/>
        </w:rPr>
        <w:t>9</w:t>
      </w:r>
      <w:r>
        <w:rPr>
          <w:rFonts w:ascii="宋体" w:hAnsi="宋体" w:eastAsia="宋体" w:cs="宋体"/>
          <w:sz w:val="24"/>
        </w:rPr>
        <w:t>-19.28 g/100 g</w:t>
      </w:r>
      <w:r>
        <w:rPr>
          <w:rFonts w:hint="eastAsia" w:ascii="宋体" w:hAnsi="宋体" w:eastAsia="宋体" w:cs="宋体"/>
          <w:sz w:val="24"/>
        </w:rPr>
        <w:t>范围内波动。上脑牛肉片脂肪含量在</w:t>
      </w:r>
      <w:r>
        <w:rPr>
          <w:rFonts w:ascii="宋体" w:hAnsi="宋体" w:eastAsia="宋体" w:cs="宋体"/>
          <w:sz w:val="24"/>
        </w:rPr>
        <w:t>6.57-15.78 g/100 g</w:t>
      </w:r>
      <w:r>
        <w:rPr>
          <w:rFonts w:hint="eastAsia" w:ascii="宋体" w:hAnsi="宋体" w:eastAsia="宋体" w:cs="宋体"/>
          <w:sz w:val="24"/>
        </w:rPr>
        <w:t>范围内波动，胸口牛肉片脂肪含量在</w:t>
      </w:r>
      <w:r>
        <w:rPr>
          <w:rFonts w:ascii="宋体" w:hAnsi="宋体" w:eastAsia="宋体" w:cs="宋体"/>
          <w:sz w:val="24"/>
        </w:rPr>
        <w:t>19.46-32.81 g/100 g</w:t>
      </w:r>
      <w:r>
        <w:rPr>
          <w:rFonts w:hint="eastAsia" w:ascii="宋体" w:hAnsi="宋体" w:eastAsia="宋体" w:cs="宋体"/>
          <w:sz w:val="24"/>
        </w:rPr>
        <w:t>范围内波动，</w:t>
      </w:r>
      <w:r>
        <w:rPr>
          <w:rFonts w:ascii="宋体" w:hAnsi="宋体" w:eastAsia="宋体" w:cs="宋体"/>
          <w:sz w:val="24"/>
        </w:rPr>
        <w:t>肥牛卷</w:t>
      </w:r>
      <w:r>
        <w:rPr>
          <w:rFonts w:hint="eastAsia" w:ascii="宋体" w:hAnsi="宋体" w:eastAsia="宋体" w:cs="宋体"/>
          <w:sz w:val="24"/>
        </w:rPr>
        <w:t>脂肪含量在</w:t>
      </w:r>
      <w:r>
        <w:rPr>
          <w:rFonts w:ascii="宋体" w:hAnsi="宋体" w:eastAsia="宋体" w:cs="宋体"/>
          <w:sz w:val="24"/>
        </w:rPr>
        <w:t>24.25-24.82 g/100 g</w:t>
      </w:r>
      <w:r>
        <w:rPr>
          <w:rFonts w:hint="eastAsia" w:ascii="宋体" w:hAnsi="宋体" w:eastAsia="宋体" w:cs="宋体"/>
          <w:sz w:val="24"/>
        </w:rPr>
        <w:t>范围内波动。可见，</w:t>
      </w:r>
      <w:r>
        <w:rPr>
          <w:rFonts w:ascii="宋体" w:hAnsi="宋体" w:eastAsia="宋体" w:cs="宋体"/>
          <w:sz w:val="24"/>
        </w:rPr>
        <w:t>受</w:t>
      </w:r>
      <w:r>
        <w:rPr>
          <w:rFonts w:hint="eastAsia" w:ascii="宋体" w:hAnsi="宋体" w:eastAsia="宋体" w:cs="宋体"/>
          <w:sz w:val="24"/>
        </w:rPr>
        <w:t>不同部位影响，</w:t>
      </w:r>
      <w:r>
        <w:rPr>
          <w:rFonts w:ascii="宋体" w:hAnsi="宋体" w:eastAsia="宋体" w:cs="宋体"/>
          <w:sz w:val="24"/>
        </w:rPr>
        <w:t>非</w:t>
      </w:r>
      <w:r>
        <w:rPr>
          <w:rFonts w:hint="eastAsia" w:ascii="宋体" w:hAnsi="宋体" w:eastAsia="宋体" w:cs="宋体"/>
          <w:sz w:val="24"/>
        </w:rPr>
        <w:t>调理类通辽牛肉片蛋白质和脂肪含量差异较大，难以统一对蛋白质和脂肪含量进行限定。</w:t>
      </w:r>
    </w:p>
    <w:p w14:paraId="3F210BEF">
      <w:pPr>
        <w:pStyle w:val="5"/>
        <w:widowControl/>
        <w:tabs>
          <w:tab w:val="left" w:pos="442"/>
        </w:tabs>
        <w:kinsoku w:val="0"/>
        <w:overflowPunct w:val="0"/>
        <w:autoSpaceDE w:val="0"/>
        <w:autoSpaceDN w:val="0"/>
        <w:adjustRightInd w:val="0"/>
        <w:snapToGrid w:val="0"/>
        <w:spacing w:after="0" w:line="360" w:lineRule="auto"/>
        <w:ind w:firstLine="480" w:firstLineChars="200"/>
        <w:jc w:val="center"/>
        <w:textAlignment w:val="baseline"/>
        <w:rPr>
          <w:rFonts w:ascii="宋体" w:hAnsi="宋体" w:eastAsia="宋体" w:cs="宋体"/>
          <w:sz w:val="24"/>
        </w:rPr>
      </w:pPr>
      <w:r>
        <w:rPr>
          <w:rFonts w:hint="eastAsia" w:ascii="宋体" w:hAnsi="宋体" w:eastAsia="宋体" w:cs="宋体"/>
          <w:sz w:val="24"/>
        </w:rPr>
        <w:t>表</w:t>
      </w:r>
      <w:r>
        <w:rPr>
          <w:rFonts w:ascii="宋体" w:hAnsi="宋体" w:eastAsia="宋体" w:cs="宋体"/>
          <w:sz w:val="24"/>
        </w:rPr>
        <w:t>2</w:t>
      </w:r>
      <w:r>
        <w:rPr>
          <w:rFonts w:hint="eastAsia" w:ascii="宋体" w:hAnsi="宋体" w:eastAsia="宋体" w:cs="宋体"/>
          <w:sz w:val="24"/>
        </w:rPr>
        <w:t xml:space="preserve"> 非调理类通辽牛肉片蛋白质和脂肪含量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310"/>
        <w:gridCol w:w="2074"/>
      </w:tblGrid>
      <w:tr w14:paraId="3CA3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F3832A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p>
        </w:tc>
        <w:tc>
          <w:tcPr>
            <w:tcW w:w="2310" w:type="dxa"/>
            <w:vAlign w:val="center"/>
          </w:tcPr>
          <w:p w14:paraId="59FC8D4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蛋白</w:t>
            </w:r>
            <w:r>
              <w:rPr>
                <w:rFonts w:hint="eastAsia" w:ascii="Times New Roman" w:hAnsi="Times New Roman" w:eastAsia="宋体" w:cs="Times New Roman"/>
                <w:sz w:val="24"/>
              </w:rPr>
              <w:t>质</w:t>
            </w:r>
            <w:r>
              <w:rPr>
                <w:rFonts w:ascii="Times New Roman" w:hAnsi="Times New Roman" w:eastAsia="宋体" w:cs="Times New Roman"/>
                <w:sz w:val="24"/>
              </w:rPr>
              <w:t>（g/100g）</w:t>
            </w:r>
          </w:p>
        </w:tc>
        <w:tc>
          <w:tcPr>
            <w:tcW w:w="2074" w:type="dxa"/>
            <w:vAlign w:val="center"/>
          </w:tcPr>
          <w:p w14:paraId="48C3ED3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脂肪（g/100 g）</w:t>
            </w:r>
          </w:p>
        </w:tc>
      </w:tr>
      <w:tr w14:paraId="1320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EEF3BB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上脑1</w:t>
            </w:r>
          </w:p>
        </w:tc>
        <w:tc>
          <w:tcPr>
            <w:tcW w:w="2310" w:type="dxa"/>
            <w:vAlign w:val="center"/>
          </w:tcPr>
          <w:p w14:paraId="6AD3371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21.94</w:t>
            </w:r>
          </w:p>
        </w:tc>
        <w:tc>
          <w:tcPr>
            <w:tcW w:w="2074" w:type="dxa"/>
            <w:vAlign w:val="center"/>
          </w:tcPr>
          <w:p w14:paraId="43F57C8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6.62</w:t>
            </w:r>
          </w:p>
        </w:tc>
      </w:tr>
      <w:tr w14:paraId="77B8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A5229D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上脑2</w:t>
            </w:r>
          </w:p>
        </w:tc>
        <w:tc>
          <w:tcPr>
            <w:tcW w:w="2310" w:type="dxa"/>
            <w:vAlign w:val="center"/>
          </w:tcPr>
          <w:p w14:paraId="6D1BDB7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21.86</w:t>
            </w:r>
          </w:p>
        </w:tc>
        <w:tc>
          <w:tcPr>
            <w:tcW w:w="2074" w:type="dxa"/>
            <w:vAlign w:val="center"/>
          </w:tcPr>
          <w:p w14:paraId="60BE830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6.57</w:t>
            </w:r>
          </w:p>
        </w:tc>
      </w:tr>
      <w:tr w14:paraId="5E52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975F1B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上脑3</w:t>
            </w:r>
          </w:p>
        </w:tc>
        <w:tc>
          <w:tcPr>
            <w:tcW w:w="2310" w:type="dxa"/>
            <w:vAlign w:val="center"/>
          </w:tcPr>
          <w:p w14:paraId="6CC7B0A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22.02</w:t>
            </w:r>
          </w:p>
        </w:tc>
        <w:tc>
          <w:tcPr>
            <w:tcW w:w="2074" w:type="dxa"/>
            <w:vAlign w:val="center"/>
          </w:tcPr>
          <w:p w14:paraId="43D1046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6.66</w:t>
            </w:r>
          </w:p>
        </w:tc>
      </w:tr>
      <w:tr w14:paraId="1EDB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2CE1FAA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上脑4</w:t>
            </w:r>
          </w:p>
        </w:tc>
        <w:tc>
          <w:tcPr>
            <w:tcW w:w="2310" w:type="dxa"/>
            <w:vAlign w:val="center"/>
          </w:tcPr>
          <w:p w14:paraId="7459D98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21.86</w:t>
            </w:r>
          </w:p>
        </w:tc>
        <w:tc>
          <w:tcPr>
            <w:tcW w:w="2074" w:type="dxa"/>
            <w:vAlign w:val="center"/>
          </w:tcPr>
          <w:p w14:paraId="35FB938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15.45</w:t>
            </w:r>
          </w:p>
        </w:tc>
      </w:tr>
      <w:tr w14:paraId="2668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13E11F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上脑5</w:t>
            </w:r>
          </w:p>
        </w:tc>
        <w:tc>
          <w:tcPr>
            <w:tcW w:w="2310" w:type="dxa"/>
            <w:vAlign w:val="center"/>
          </w:tcPr>
          <w:p w14:paraId="254429D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21.89</w:t>
            </w:r>
          </w:p>
        </w:tc>
        <w:tc>
          <w:tcPr>
            <w:tcW w:w="2074" w:type="dxa"/>
            <w:vAlign w:val="center"/>
          </w:tcPr>
          <w:p w14:paraId="4304FEC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15.11</w:t>
            </w:r>
          </w:p>
        </w:tc>
      </w:tr>
      <w:tr w14:paraId="50D4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04607EC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上脑6</w:t>
            </w:r>
          </w:p>
        </w:tc>
        <w:tc>
          <w:tcPr>
            <w:tcW w:w="2310" w:type="dxa"/>
            <w:vAlign w:val="center"/>
          </w:tcPr>
          <w:p w14:paraId="04EBF22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21.83</w:t>
            </w:r>
          </w:p>
        </w:tc>
        <w:tc>
          <w:tcPr>
            <w:tcW w:w="2074" w:type="dxa"/>
            <w:vAlign w:val="center"/>
          </w:tcPr>
          <w:p w14:paraId="6AB5B0E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15.78</w:t>
            </w:r>
          </w:p>
        </w:tc>
      </w:tr>
      <w:tr w14:paraId="47100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136C403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胸口1</w:t>
            </w:r>
          </w:p>
        </w:tc>
        <w:tc>
          <w:tcPr>
            <w:tcW w:w="2310" w:type="dxa"/>
            <w:vAlign w:val="center"/>
          </w:tcPr>
          <w:p w14:paraId="3AE8324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16.35</w:t>
            </w:r>
          </w:p>
        </w:tc>
        <w:tc>
          <w:tcPr>
            <w:tcW w:w="2074" w:type="dxa"/>
            <w:vAlign w:val="center"/>
          </w:tcPr>
          <w:p w14:paraId="78DDC5C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30.37</w:t>
            </w:r>
          </w:p>
        </w:tc>
      </w:tr>
      <w:tr w14:paraId="0C6F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3D70854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胸口2</w:t>
            </w:r>
          </w:p>
        </w:tc>
        <w:tc>
          <w:tcPr>
            <w:tcW w:w="2310" w:type="dxa"/>
            <w:vAlign w:val="center"/>
          </w:tcPr>
          <w:p w14:paraId="20B6D5A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16.34</w:t>
            </w:r>
          </w:p>
        </w:tc>
        <w:tc>
          <w:tcPr>
            <w:tcW w:w="2074" w:type="dxa"/>
            <w:vAlign w:val="center"/>
          </w:tcPr>
          <w:p w14:paraId="212E689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29.81</w:t>
            </w:r>
          </w:p>
        </w:tc>
      </w:tr>
      <w:tr w14:paraId="4A36B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41E5CB0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胸口3</w:t>
            </w:r>
          </w:p>
        </w:tc>
        <w:tc>
          <w:tcPr>
            <w:tcW w:w="2310" w:type="dxa"/>
            <w:vAlign w:val="center"/>
          </w:tcPr>
          <w:p w14:paraId="27AA249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16.36</w:t>
            </w:r>
          </w:p>
        </w:tc>
        <w:tc>
          <w:tcPr>
            <w:tcW w:w="2074" w:type="dxa"/>
            <w:vAlign w:val="center"/>
          </w:tcPr>
          <w:p w14:paraId="454A309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30.92</w:t>
            </w:r>
          </w:p>
        </w:tc>
      </w:tr>
      <w:tr w14:paraId="36F7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0BC27EC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胸口4</w:t>
            </w:r>
          </w:p>
        </w:tc>
        <w:tc>
          <w:tcPr>
            <w:tcW w:w="2310" w:type="dxa"/>
            <w:vAlign w:val="center"/>
          </w:tcPr>
          <w:p w14:paraId="3F85BAC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19.73</w:t>
            </w:r>
          </w:p>
        </w:tc>
        <w:tc>
          <w:tcPr>
            <w:tcW w:w="2074" w:type="dxa"/>
            <w:vAlign w:val="center"/>
          </w:tcPr>
          <w:p w14:paraId="085B707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19.63</w:t>
            </w:r>
          </w:p>
        </w:tc>
      </w:tr>
      <w:tr w14:paraId="43BE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03873E2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胸口5</w:t>
            </w:r>
          </w:p>
        </w:tc>
        <w:tc>
          <w:tcPr>
            <w:tcW w:w="2310" w:type="dxa"/>
            <w:vAlign w:val="center"/>
          </w:tcPr>
          <w:p w14:paraId="7669244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19.85</w:t>
            </w:r>
          </w:p>
        </w:tc>
        <w:tc>
          <w:tcPr>
            <w:tcW w:w="2074" w:type="dxa"/>
            <w:vAlign w:val="center"/>
          </w:tcPr>
          <w:p w14:paraId="3AA0BEA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19.46</w:t>
            </w:r>
          </w:p>
        </w:tc>
      </w:tr>
      <w:tr w14:paraId="207A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36F566E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胸口6</w:t>
            </w:r>
          </w:p>
        </w:tc>
        <w:tc>
          <w:tcPr>
            <w:tcW w:w="2310" w:type="dxa"/>
            <w:vAlign w:val="center"/>
          </w:tcPr>
          <w:p w14:paraId="7F7AB3C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19.61</w:t>
            </w:r>
          </w:p>
        </w:tc>
        <w:tc>
          <w:tcPr>
            <w:tcW w:w="2074" w:type="dxa"/>
            <w:vAlign w:val="center"/>
          </w:tcPr>
          <w:p w14:paraId="21504BD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 xml:space="preserve">19.80 </w:t>
            </w:r>
          </w:p>
        </w:tc>
      </w:tr>
      <w:tr w14:paraId="734E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474D61B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胸口7</w:t>
            </w:r>
          </w:p>
        </w:tc>
        <w:tc>
          <w:tcPr>
            <w:tcW w:w="2310" w:type="dxa"/>
            <w:vAlign w:val="center"/>
          </w:tcPr>
          <w:p w14:paraId="7EAA51D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13.77</w:t>
            </w:r>
          </w:p>
        </w:tc>
        <w:tc>
          <w:tcPr>
            <w:tcW w:w="2074" w:type="dxa"/>
            <w:vAlign w:val="center"/>
          </w:tcPr>
          <w:p w14:paraId="671387D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32.57</w:t>
            </w:r>
          </w:p>
        </w:tc>
      </w:tr>
      <w:tr w14:paraId="16E8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1EB73A2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胸口8</w:t>
            </w:r>
          </w:p>
        </w:tc>
        <w:tc>
          <w:tcPr>
            <w:tcW w:w="2310" w:type="dxa"/>
            <w:vAlign w:val="center"/>
          </w:tcPr>
          <w:p w14:paraId="763E566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13.68</w:t>
            </w:r>
          </w:p>
        </w:tc>
        <w:tc>
          <w:tcPr>
            <w:tcW w:w="2074" w:type="dxa"/>
            <w:vAlign w:val="center"/>
          </w:tcPr>
          <w:p w14:paraId="5084EF9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32.32</w:t>
            </w:r>
          </w:p>
        </w:tc>
      </w:tr>
      <w:tr w14:paraId="0A43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3E042C1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胸口9</w:t>
            </w:r>
          </w:p>
        </w:tc>
        <w:tc>
          <w:tcPr>
            <w:tcW w:w="2310" w:type="dxa"/>
            <w:vAlign w:val="center"/>
          </w:tcPr>
          <w:p w14:paraId="411D811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13.85</w:t>
            </w:r>
          </w:p>
        </w:tc>
        <w:tc>
          <w:tcPr>
            <w:tcW w:w="2074" w:type="dxa"/>
            <w:vAlign w:val="center"/>
          </w:tcPr>
          <w:p w14:paraId="23EE5BC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32.81</w:t>
            </w:r>
          </w:p>
        </w:tc>
      </w:tr>
      <w:tr w14:paraId="5158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52BAA4E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肥牛卷1</w:t>
            </w:r>
          </w:p>
        </w:tc>
        <w:tc>
          <w:tcPr>
            <w:tcW w:w="2310" w:type="dxa"/>
            <w:vAlign w:val="center"/>
          </w:tcPr>
          <w:p w14:paraId="5D55B43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19.09</w:t>
            </w:r>
          </w:p>
        </w:tc>
        <w:tc>
          <w:tcPr>
            <w:tcW w:w="2074" w:type="dxa"/>
            <w:vAlign w:val="center"/>
          </w:tcPr>
          <w:p w14:paraId="3BEEC06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24.54</w:t>
            </w:r>
          </w:p>
        </w:tc>
      </w:tr>
      <w:tr w14:paraId="15C8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6EBC31E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肥牛卷2</w:t>
            </w:r>
          </w:p>
        </w:tc>
        <w:tc>
          <w:tcPr>
            <w:tcW w:w="2310" w:type="dxa"/>
            <w:vAlign w:val="center"/>
          </w:tcPr>
          <w:p w14:paraId="44D47B2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18.89</w:t>
            </w:r>
          </w:p>
        </w:tc>
        <w:tc>
          <w:tcPr>
            <w:tcW w:w="2074" w:type="dxa"/>
            <w:vAlign w:val="center"/>
          </w:tcPr>
          <w:p w14:paraId="2686A08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24.25</w:t>
            </w:r>
          </w:p>
        </w:tc>
      </w:tr>
      <w:tr w14:paraId="1AF1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Align w:val="center"/>
          </w:tcPr>
          <w:p w14:paraId="78A5302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肥牛卷3</w:t>
            </w:r>
          </w:p>
        </w:tc>
        <w:tc>
          <w:tcPr>
            <w:tcW w:w="2310" w:type="dxa"/>
            <w:vAlign w:val="center"/>
          </w:tcPr>
          <w:p w14:paraId="7436288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19.28</w:t>
            </w:r>
          </w:p>
        </w:tc>
        <w:tc>
          <w:tcPr>
            <w:tcW w:w="2074" w:type="dxa"/>
            <w:vAlign w:val="center"/>
          </w:tcPr>
          <w:p w14:paraId="5CBEB350">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24.82</w:t>
            </w:r>
          </w:p>
        </w:tc>
      </w:tr>
    </w:tbl>
    <w:p w14:paraId="28772D04">
      <w:pPr>
        <w:pStyle w:val="5"/>
        <w:widowControl/>
        <w:tabs>
          <w:tab w:val="left" w:pos="442"/>
        </w:tabs>
        <w:kinsoku w:val="0"/>
        <w:overflowPunct w:val="0"/>
        <w:autoSpaceDE w:val="0"/>
        <w:autoSpaceDN w:val="0"/>
        <w:adjustRightInd w:val="0"/>
        <w:snapToGrid w:val="0"/>
        <w:spacing w:after="0" w:line="360" w:lineRule="auto"/>
        <w:textAlignment w:val="baseline"/>
        <w:rPr>
          <w:rFonts w:ascii="宋体" w:hAnsi="宋体" w:eastAsia="宋体" w:cs="宋体"/>
          <w:sz w:val="24"/>
        </w:rPr>
      </w:pPr>
    </w:p>
    <w:p w14:paraId="358F6FFF">
      <w:pPr>
        <w:pStyle w:val="5"/>
        <w:widowControl/>
        <w:tabs>
          <w:tab w:val="left" w:pos="442"/>
        </w:tabs>
        <w:kinsoku w:val="0"/>
        <w:overflowPunct w:val="0"/>
        <w:autoSpaceDE w:val="0"/>
        <w:autoSpaceDN w:val="0"/>
        <w:adjustRightInd w:val="0"/>
        <w:snapToGrid w:val="0"/>
        <w:spacing w:after="0" w:line="360" w:lineRule="auto"/>
        <w:jc w:val="left"/>
        <w:textAlignment w:val="baseline"/>
        <w:rPr>
          <w:rFonts w:ascii="楷体" w:hAnsi="楷体" w:eastAsia="楷体" w:cs="楷体"/>
          <w:b/>
          <w:bCs/>
          <w:spacing w:val="-8"/>
          <w:sz w:val="28"/>
          <w:szCs w:val="28"/>
        </w:rPr>
      </w:pPr>
      <w:r>
        <w:rPr>
          <w:rFonts w:hint="eastAsia" w:ascii="楷体" w:hAnsi="楷体" w:eastAsia="楷体" w:cs="楷体"/>
          <w:b/>
          <w:bCs/>
          <w:spacing w:val="-8"/>
          <w:sz w:val="28"/>
          <w:szCs w:val="28"/>
        </w:rPr>
        <w:t>（三）调理类通辽牛肉片蛋白和脂肪含量</w:t>
      </w:r>
    </w:p>
    <w:p w14:paraId="0425628A">
      <w:pPr>
        <w:pStyle w:val="5"/>
        <w:widowControl/>
        <w:tabs>
          <w:tab w:val="left" w:pos="442"/>
        </w:tabs>
        <w:kinsoku w:val="0"/>
        <w:overflowPunct w:val="0"/>
        <w:autoSpaceDE w:val="0"/>
        <w:autoSpaceDN w:val="0"/>
        <w:adjustRightInd w:val="0"/>
        <w:snapToGrid w:val="0"/>
        <w:spacing w:after="0" w:line="360" w:lineRule="auto"/>
        <w:ind w:firstLine="480" w:firstLineChars="200"/>
        <w:textAlignment w:val="baseline"/>
        <w:rPr>
          <w:rFonts w:ascii="宋体" w:hAnsi="宋体" w:eastAsia="宋体" w:cs="宋体"/>
          <w:sz w:val="24"/>
        </w:rPr>
      </w:pPr>
      <w:r>
        <w:rPr>
          <w:rFonts w:hint="eastAsia" w:ascii="宋体" w:hAnsi="宋体" w:eastAsia="宋体" w:cs="宋体"/>
          <w:sz w:val="24"/>
        </w:rPr>
        <w:t>通过调理类牛肉片（</w:t>
      </w:r>
      <w:r>
        <w:rPr>
          <w:rFonts w:ascii="宋体" w:hAnsi="宋体" w:eastAsia="宋体" w:cs="宋体"/>
          <w:sz w:val="24"/>
        </w:rPr>
        <w:t>肥牛卷</w:t>
      </w:r>
      <w:r>
        <w:rPr>
          <w:rFonts w:hint="eastAsia" w:ascii="宋体" w:hAnsi="宋体" w:eastAsia="宋体" w:cs="宋体"/>
          <w:sz w:val="24"/>
        </w:rPr>
        <w:t>）</w:t>
      </w:r>
      <w:r>
        <w:rPr>
          <w:rFonts w:ascii="宋体" w:hAnsi="宋体" w:eastAsia="宋体" w:cs="宋体"/>
          <w:sz w:val="24"/>
        </w:rPr>
        <w:t>检测</w:t>
      </w:r>
      <w:r>
        <w:rPr>
          <w:rFonts w:hint="eastAsia" w:ascii="宋体" w:hAnsi="宋体" w:eastAsia="宋体" w:cs="宋体"/>
          <w:sz w:val="24"/>
        </w:rPr>
        <w:t>发现，调理类通辽牛肉片蛋白质含量在1</w:t>
      </w:r>
      <w:r>
        <w:rPr>
          <w:rFonts w:ascii="宋体" w:hAnsi="宋体" w:eastAsia="宋体" w:cs="宋体"/>
          <w:sz w:val="24"/>
        </w:rPr>
        <w:t>4</w:t>
      </w:r>
      <w:r>
        <w:rPr>
          <w:rFonts w:hint="eastAsia" w:ascii="宋体" w:hAnsi="宋体" w:eastAsia="宋体" w:cs="宋体"/>
          <w:sz w:val="24"/>
        </w:rPr>
        <w:t>.</w:t>
      </w:r>
      <w:r>
        <w:rPr>
          <w:rFonts w:ascii="宋体" w:hAnsi="宋体" w:eastAsia="宋体" w:cs="宋体"/>
          <w:sz w:val="24"/>
        </w:rPr>
        <w:t>24-17.49 g/100 g</w:t>
      </w:r>
      <w:r>
        <w:rPr>
          <w:rFonts w:hint="eastAsia" w:ascii="宋体" w:hAnsi="宋体" w:eastAsia="宋体" w:cs="宋体"/>
          <w:sz w:val="24"/>
        </w:rPr>
        <w:t>范围内波动，其他区域同类产品蛋白质含量在12.4</w:t>
      </w:r>
      <w:r>
        <w:rPr>
          <w:rFonts w:ascii="宋体" w:hAnsi="宋体" w:eastAsia="宋体" w:cs="宋体"/>
          <w:sz w:val="24"/>
        </w:rPr>
        <w:t>-19 g/100 g</w:t>
      </w:r>
      <w:r>
        <w:rPr>
          <w:rFonts w:hint="eastAsia" w:ascii="宋体" w:hAnsi="宋体" w:eastAsia="宋体" w:cs="宋体"/>
          <w:sz w:val="24"/>
        </w:rPr>
        <w:t>范围内波动。为体现调理类通辽牛肉片的高品质，将蛋白质含量限定为≥1</w:t>
      </w:r>
      <w:r>
        <w:rPr>
          <w:rFonts w:ascii="宋体" w:hAnsi="宋体" w:eastAsia="宋体" w:cs="宋体"/>
          <w:sz w:val="24"/>
        </w:rPr>
        <w:t>4</w:t>
      </w:r>
      <w:r>
        <w:rPr>
          <w:rFonts w:hint="eastAsia" w:ascii="宋体" w:hAnsi="宋体" w:eastAsia="宋体" w:cs="宋体"/>
          <w:sz w:val="24"/>
        </w:rPr>
        <w:t xml:space="preserve"> </w:t>
      </w:r>
      <w:r>
        <w:rPr>
          <w:rFonts w:ascii="宋体" w:hAnsi="宋体" w:eastAsia="宋体" w:cs="宋体"/>
          <w:sz w:val="24"/>
        </w:rPr>
        <w:t>g/100 g</w:t>
      </w:r>
      <w:r>
        <w:rPr>
          <w:rFonts w:hint="eastAsia" w:ascii="宋体" w:hAnsi="宋体" w:eastAsia="宋体" w:cs="宋体"/>
          <w:sz w:val="24"/>
        </w:rPr>
        <w:t>。肥牛卷中会有一定含量的脂肪，调理类通辽牛肉片脂肪含量在1</w:t>
      </w:r>
      <w:r>
        <w:rPr>
          <w:rFonts w:ascii="宋体" w:hAnsi="宋体" w:eastAsia="宋体" w:cs="宋体"/>
          <w:sz w:val="24"/>
        </w:rPr>
        <w:t>5.30-24.89 g/100 g</w:t>
      </w:r>
      <w:r>
        <w:rPr>
          <w:rFonts w:hint="eastAsia" w:ascii="宋体" w:hAnsi="宋体" w:eastAsia="宋体" w:cs="宋体"/>
          <w:sz w:val="24"/>
        </w:rPr>
        <w:t>，</w:t>
      </w:r>
      <w:r>
        <w:rPr>
          <w:rFonts w:ascii="宋体" w:hAnsi="宋体" w:eastAsia="宋体" w:cs="宋体"/>
          <w:sz w:val="24"/>
        </w:rPr>
        <w:t>其他</w:t>
      </w:r>
      <w:r>
        <w:rPr>
          <w:rFonts w:hint="eastAsia" w:ascii="宋体" w:hAnsi="宋体" w:eastAsia="宋体" w:cs="宋体"/>
          <w:sz w:val="24"/>
        </w:rPr>
        <w:t>区域同类产品脂肪含量在12.1</w:t>
      </w:r>
      <w:r>
        <w:rPr>
          <w:rFonts w:ascii="宋体" w:hAnsi="宋体" w:eastAsia="宋体" w:cs="宋体"/>
          <w:sz w:val="24"/>
        </w:rPr>
        <w:t>-35.6 g/100 g</w:t>
      </w:r>
      <w:r>
        <w:rPr>
          <w:rFonts w:hint="eastAsia" w:ascii="宋体" w:hAnsi="宋体" w:eastAsia="宋体" w:cs="宋体"/>
          <w:sz w:val="24"/>
        </w:rPr>
        <w:t xml:space="preserve">，将脂肪含量限定在≤25 </w:t>
      </w:r>
      <w:r>
        <w:rPr>
          <w:rFonts w:ascii="宋体" w:hAnsi="宋体" w:eastAsia="宋体" w:cs="宋体"/>
          <w:sz w:val="24"/>
        </w:rPr>
        <w:t>g/100 g</w:t>
      </w:r>
      <w:r>
        <w:rPr>
          <w:rFonts w:hint="eastAsia" w:ascii="宋体" w:hAnsi="宋体" w:eastAsia="宋体" w:cs="宋体"/>
          <w:sz w:val="24"/>
        </w:rPr>
        <w:t>，</w:t>
      </w:r>
      <w:r>
        <w:rPr>
          <w:rFonts w:ascii="宋体" w:hAnsi="宋体" w:eastAsia="宋体" w:cs="宋体"/>
          <w:sz w:val="24"/>
        </w:rPr>
        <w:t>能够</w:t>
      </w:r>
      <w:r>
        <w:rPr>
          <w:rFonts w:hint="eastAsia" w:ascii="宋体" w:hAnsi="宋体" w:eastAsia="宋体" w:cs="宋体"/>
          <w:sz w:val="24"/>
        </w:rPr>
        <w:t>保持通辽肥牛卷的较好口感。</w:t>
      </w:r>
    </w:p>
    <w:p w14:paraId="7A9E2431">
      <w:pPr>
        <w:pStyle w:val="5"/>
        <w:widowControl/>
        <w:tabs>
          <w:tab w:val="left" w:pos="442"/>
        </w:tabs>
        <w:kinsoku w:val="0"/>
        <w:overflowPunct w:val="0"/>
        <w:autoSpaceDE w:val="0"/>
        <w:autoSpaceDN w:val="0"/>
        <w:adjustRightInd w:val="0"/>
        <w:snapToGrid w:val="0"/>
        <w:spacing w:after="0" w:line="360" w:lineRule="auto"/>
        <w:ind w:firstLine="480" w:firstLineChars="200"/>
        <w:jc w:val="center"/>
        <w:textAlignment w:val="baseline"/>
        <w:rPr>
          <w:rFonts w:ascii="宋体" w:hAnsi="宋体" w:eastAsia="宋体" w:cs="宋体"/>
          <w:sz w:val="24"/>
        </w:rPr>
      </w:pPr>
      <w:r>
        <w:rPr>
          <w:rFonts w:hint="eastAsia" w:ascii="宋体" w:hAnsi="宋体" w:eastAsia="宋体" w:cs="宋体"/>
          <w:sz w:val="24"/>
        </w:rPr>
        <w:t>表</w:t>
      </w:r>
      <w:r>
        <w:rPr>
          <w:rFonts w:ascii="宋体" w:hAnsi="宋体" w:eastAsia="宋体" w:cs="宋体"/>
          <w:sz w:val="24"/>
        </w:rPr>
        <w:t>3</w:t>
      </w:r>
      <w:r>
        <w:rPr>
          <w:rFonts w:hint="eastAsia" w:ascii="宋体" w:hAnsi="宋体" w:eastAsia="宋体" w:cs="宋体"/>
          <w:sz w:val="24"/>
        </w:rPr>
        <w:t xml:space="preserve"> 非调理类通辽牛肉片蛋白质和脂肪含量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599"/>
        <w:gridCol w:w="2552"/>
      </w:tblGrid>
      <w:tr w14:paraId="7862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71F4EBA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p>
        </w:tc>
        <w:tc>
          <w:tcPr>
            <w:tcW w:w="2599" w:type="dxa"/>
            <w:vAlign w:val="center"/>
          </w:tcPr>
          <w:p w14:paraId="5C01DF6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蛋白</w:t>
            </w:r>
            <w:r>
              <w:rPr>
                <w:rFonts w:hint="eastAsia" w:ascii="Times New Roman" w:hAnsi="Times New Roman" w:eastAsia="宋体" w:cs="Times New Roman"/>
                <w:sz w:val="24"/>
              </w:rPr>
              <w:t>质</w:t>
            </w:r>
            <w:r>
              <w:rPr>
                <w:rFonts w:ascii="Times New Roman" w:hAnsi="Times New Roman" w:eastAsia="宋体" w:cs="Times New Roman"/>
                <w:sz w:val="24"/>
              </w:rPr>
              <w:t>含量（g/100g）</w:t>
            </w:r>
          </w:p>
        </w:tc>
        <w:tc>
          <w:tcPr>
            <w:tcW w:w="2552" w:type="dxa"/>
            <w:vAlign w:val="center"/>
          </w:tcPr>
          <w:p w14:paraId="4EE45BF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脂肪（g/100g）</w:t>
            </w:r>
          </w:p>
        </w:tc>
      </w:tr>
      <w:tr w14:paraId="12A7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6336137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w:t>
            </w:r>
          </w:p>
        </w:tc>
        <w:tc>
          <w:tcPr>
            <w:tcW w:w="2599" w:type="dxa"/>
            <w:vAlign w:val="center"/>
          </w:tcPr>
          <w:p w14:paraId="2C95CA3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14.26</w:t>
            </w:r>
          </w:p>
        </w:tc>
        <w:tc>
          <w:tcPr>
            <w:tcW w:w="2552" w:type="dxa"/>
            <w:vAlign w:val="center"/>
          </w:tcPr>
          <w:p w14:paraId="097BA83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20.37</w:t>
            </w:r>
          </w:p>
        </w:tc>
      </w:tr>
      <w:tr w14:paraId="4590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65E9A3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w:t>
            </w:r>
          </w:p>
        </w:tc>
        <w:tc>
          <w:tcPr>
            <w:tcW w:w="2599" w:type="dxa"/>
            <w:vAlign w:val="center"/>
          </w:tcPr>
          <w:p w14:paraId="664F028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14.24</w:t>
            </w:r>
          </w:p>
        </w:tc>
        <w:tc>
          <w:tcPr>
            <w:tcW w:w="2552" w:type="dxa"/>
            <w:vAlign w:val="center"/>
          </w:tcPr>
          <w:p w14:paraId="0021BB8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20.09</w:t>
            </w:r>
          </w:p>
        </w:tc>
      </w:tr>
      <w:tr w14:paraId="0B79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441D44B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调理牛肉片3</w:t>
            </w:r>
          </w:p>
        </w:tc>
        <w:tc>
          <w:tcPr>
            <w:tcW w:w="2599" w:type="dxa"/>
            <w:vAlign w:val="center"/>
          </w:tcPr>
          <w:p w14:paraId="31E2D1A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14.28</w:t>
            </w:r>
          </w:p>
        </w:tc>
        <w:tc>
          <w:tcPr>
            <w:tcW w:w="2552" w:type="dxa"/>
            <w:vAlign w:val="center"/>
          </w:tcPr>
          <w:p w14:paraId="659239C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20.64</w:t>
            </w:r>
          </w:p>
        </w:tc>
      </w:tr>
      <w:tr w14:paraId="4CCC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7BB4283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调理牛肉片4</w:t>
            </w:r>
          </w:p>
        </w:tc>
        <w:tc>
          <w:tcPr>
            <w:tcW w:w="2599" w:type="dxa"/>
            <w:vAlign w:val="center"/>
          </w:tcPr>
          <w:p w14:paraId="4977F4A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15.12</w:t>
            </w:r>
          </w:p>
        </w:tc>
        <w:tc>
          <w:tcPr>
            <w:tcW w:w="2552" w:type="dxa"/>
            <w:vAlign w:val="center"/>
          </w:tcPr>
          <w:p w14:paraId="19F0FAA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19.11</w:t>
            </w:r>
          </w:p>
        </w:tc>
      </w:tr>
      <w:tr w14:paraId="3ACF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080D0E4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调理牛肉片5</w:t>
            </w:r>
          </w:p>
        </w:tc>
        <w:tc>
          <w:tcPr>
            <w:tcW w:w="2599" w:type="dxa"/>
            <w:vAlign w:val="center"/>
          </w:tcPr>
          <w:p w14:paraId="77E92A2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15.13</w:t>
            </w:r>
          </w:p>
        </w:tc>
        <w:tc>
          <w:tcPr>
            <w:tcW w:w="2552" w:type="dxa"/>
            <w:vAlign w:val="center"/>
          </w:tcPr>
          <w:p w14:paraId="4702359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19.03</w:t>
            </w:r>
          </w:p>
        </w:tc>
      </w:tr>
      <w:tr w14:paraId="1C91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4C564C5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调理牛肉片6</w:t>
            </w:r>
          </w:p>
        </w:tc>
        <w:tc>
          <w:tcPr>
            <w:tcW w:w="2599" w:type="dxa"/>
            <w:vAlign w:val="center"/>
          </w:tcPr>
          <w:p w14:paraId="25BBA5F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15.11</w:t>
            </w:r>
          </w:p>
        </w:tc>
        <w:tc>
          <w:tcPr>
            <w:tcW w:w="2552" w:type="dxa"/>
            <w:vAlign w:val="center"/>
          </w:tcPr>
          <w:p w14:paraId="2ADA879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19.19</w:t>
            </w:r>
          </w:p>
        </w:tc>
      </w:tr>
      <w:tr w14:paraId="0A73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29E8BB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调理牛肉片7</w:t>
            </w:r>
          </w:p>
        </w:tc>
        <w:tc>
          <w:tcPr>
            <w:tcW w:w="2599" w:type="dxa"/>
            <w:vAlign w:val="center"/>
          </w:tcPr>
          <w:p w14:paraId="0762050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15.24</w:t>
            </w:r>
          </w:p>
        </w:tc>
        <w:tc>
          <w:tcPr>
            <w:tcW w:w="2552" w:type="dxa"/>
            <w:vAlign w:val="center"/>
          </w:tcPr>
          <w:p w14:paraId="5668B84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24.65</w:t>
            </w:r>
          </w:p>
        </w:tc>
      </w:tr>
      <w:tr w14:paraId="6E78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5165806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调理牛肉片8</w:t>
            </w:r>
          </w:p>
        </w:tc>
        <w:tc>
          <w:tcPr>
            <w:tcW w:w="2599" w:type="dxa"/>
            <w:vAlign w:val="center"/>
          </w:tcPr>
          <w:p w14:paraId="3DFB17A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15.03</w:t>
            </w:r>
          </w:p>
        </w:tc>
        <w:tc>
          <w:tcPr>
            <w:tcW w:w="2552" w:type="dxa"/>
            <w:vAlign w:val="center"/>
          </w:tcPr>
          <w:p w14:paraId="64C82D2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24.89</w:t>
            </w:r>
          </w:p>
        </w:tc>
      </w:tr>
      <w:tr w14:paraId="094D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DBE8D0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调理牛肉片9</w:t>
            </w:r>
          </w:p>
        </w:tc>
        <w:tc>
          <w:tcPr>
            <w:tcW w:w="2599" w:type="dxa"/>
            <w:vAlign w:val="center"/>
          </w:tcPr>
          <w:p w14:paraId="5235230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15.45</w:t>
            </w:r>
          </w:p>
        </w:tc>
        <w:tc>
          <w:tcPr>
            <w:tcW w:w="2552" w:type="dxa"/>
            <w:vAlign w:val="center"/>
          </w:tcPr>
          <w:p w14:paraId="5B8E9DE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cs="Times New Roman"/>
                <w:color w:val="000000"/>
                <w:sz w:val="22"/>
                <w:szCs w:val="22"/>
              </w:rPr>
              <w:t>24.41</w:t>
            </w:r>
          </w:p>
        </w:tc>
      </w:tr>
      <w:tr w14:paraId="3B80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62A9FD3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调理牛肉片10</w:t>
            </w:r>
          </w:p>
        </w:tc>
        <w:tc>
          <w:tcPr>
            <w:tcW w:w="2599" w:type="dxa"/>
            <w:vAlign w:val="center"/>
          </w:tcPr>
          <w:p w14:paraId="2E64602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17.47</w:t>
            </w:r>
          </w:p>
        </w:tc>
        <w:tc>
          <w:tcPr>
            <w:tcW w:w="2552" w:type="dxa"/>
            <w:vAlign w:val="center"/>
          </w:tcPr>
          <w:p w14:paraId="5BC8A57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15.59</w:t>
            </w:r>
          </w:p>
        </w:tc>
      </w:tr>
      <w:tr w14:paraId="7D2F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269607E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调理牛肉片11</w:t>
            </w:r>
          </w:p>
        </w:tc>
        <w:tc>
          <w:tcPr>
            <w:tcW w:w="2599" w:type="dxa"/>
            <w:vAlign w:val="center"/>
          </w:tcPr>
          <w:p w14:paraId="64B9121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17.49</w:t>
            </w:r>
          </w:p>
        </w:tc>
        <w:tc>
          <w:tcPr>
            <w:tcW w:w="2552" w:type="dxa"/>
            <w:vAlign w:val="center"/>
          </w:tcPr>
          <w:p w14:paraId="2AF7BD8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15.30</w:t>
            </w:r>
          </w:p>
        </w:tc>
      </w:tr>
      <w:tr w14:paraId="51E9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601441F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调理牛肉片12</w:t>
            </w:r>
          </w:p>
        </w:tc>
        <w:tc>
          <w:tcPr>
            <w:tcW w:w="2599" w:type="dxa"/>
            <w:vAlign w:val="center"/>
          </w:tcPr>
          <w:p w14:paraId="0433FA6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17.44</w:t>
            </w:r>
          </w:p>
        </w:tc>
        <w:tc>
          <w:tcPr>
            <w:tcW w:w="2552" w:type="dxa"/>
            <w:vAlign w:val="center"/>
          </w:tcPr>
          <w:p w14:paraId="5919E81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cs="Times New Roman"/>
                <w:color w:val="000000"/>
                <w:sz w:val="22"/>
                <w:szCs w:val="22"/>
              </w:rPr>
            </w:pPr>
            <w:r>
              <w:rPr>
                <w:rFonts w:ascii="Times New Roman" w:hAnsi="Times New Roman" w:cs="Times New Roman"/>
                <w:color w:val="000000"/>
                <w:sz w:val="22"/>
                <w:szCs w:val="22"/>
              </w:rPr>
              <w:t>15.88</w:t>
            </w:r>
          </w:p>
        </w:tc>
      </w:tr>
    </w:tbl>
    <w:p w14:paraId="70E070F2">
      <w:pPr>
        <w:pStyle w:val="5"/>
        <w:widowControl/>
        <w:tabs>
          <w:tab w:val="left" w:pos="442"/>
        </w:tabs>
        <w:kinsoku w:val="0"/>
        <w:overflowPunct w:val="0"/>
        <w:autoSpaceDE w:val="0"/>
        <w:autoSpaceDN w:val="0"/>
        <w:adjustRightInd w:val="0"/>
        <w:snapToGrid w:val="0"/>
        <w:spacing w:after="0" w:line="360" w:lineRule="auto"/>
        <w:textAlignment w:val="baseline"/>
        <w:rPr>
          <w:rFonts w:ascii="宋体" w:hAnsi="宋体" w:eastAsia="宋体" w:cs="宋体"/>
          <w:sz w:val="24"/>
        </w:rPr>
      </w:pPr>
    </w:p>
    <w:p w14:paraId="3A03E7BD">
      <w:pPr>
        <w:pStyle w:val="5"/>
        <w:widowControl/>
        <w:tabs>
          <w:tab w:val="left" w:pos="442"/>
        </w:tabs>
        <w:kinsoku w:val="0"/>
        <w:overflowPunct w:val="0"/>
        <w:autoSpaceDE w:val="0"/>
        <w:autoSpaceDN w:val="0"/>
        <w:adjustRightInd w:val="0"/>
        <w:snapToGrid w:val="0"/>
        <w:spacing w:after="0" w:line="360" w:lineRule="auto"/>
        <w:ind w:firstLine="480" w:firstLineChars="200"/>
        <w:jc w:val="center"/>
        <w:textAlignment w:val="baseline"/>
        <w:rPr>
          <w:rFonts w:ascii="宋体" w:hAnsi="宋体" w:eastAsia="宋体" w:cs="宋体"/>
          <w:sz w:val="24"/>
        </w:rPr>
      </w:pPr>
      <w:r>
        <w:rPr>
          <w:rFonts w:hint="eastAsia" w:ascii="宋体" w:hAnsi="宋体" w:eastAsia="宋体" w:cs="宋体"/>
          <w:sz w:val="24"/>
        </w:rPr>
        <w:t>表</w:t>
      </w:r>
      <w:r>
        <w:rPr>
          <w:rFonts w:ascii="宋体" w:hAnsi="宋体" w:eastAsia="宋体" w:cs="宋体"/>
          <w:sz w:val="24"/>
        </w:rPr>
        <w:t>4</w:t>
      </w:r>
      <w:r>
        <w:rPr>
          <w:rFonts w:hint="eastAsia" w:ascii="宋体" w:hAnsi="宋体" w:eastAsia="宋体" w:cs="宋体"/>
          <w:sz w:val="24"/>
        </w:rPr>
        <w:t xml:space="preserve"> 其他区域调理类牛肉片蛋白质和脂肪含量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599"/>
        <w:gridCol w:w="2552"/>
      </w:tblGrid>
      <w:tr w14:paraId="2D84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769DB2D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p>
        </w:tc>
        <w:tc>
          <w:tcPr>
            <w:tcW w:w="2599" w:type="dxa"/>
            <w:vAlign w:val="center"/>
          </w:tcPr>
          <w:p w14:paraId="1AE3855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蛋白</w:t>
            </w:r>
            <w:r>
              <w:rPr>
                <w:rFonts w:hint="eastAsia" w:ascii="Times New Roman" w:hAnsi="Times New Roman" w:eastAsia="宋体" w:cs="Times New Roman"/>
                <w:sz w:val="24"/>
              </w:rPr>
              <w:t>质</w:t>
            </w:r>
            <w:r>
              <w:rPr>
                <w:rFonts w:ascii="Times New Roman" w:hAnsi="Times New Roman" w:eastAsia="宋体" w:cs="Times New Roman"/>
                <w:sz w:val="24"/>
              </w:rPr>
              <w:t>含量（g/100g）</w:t>
            </w:r>
          </w:p>
        </w:tc>
        <w:tc>
          <w:tcPr>
            <w:tcW w:w="2552" w:type="dxa"/>
            <w:vAlign w:val="center"/>
          </w:tcPr>
          <w:p w14:paraId="257FA90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脂肪（g/100g）</w:t>
            </w:r>
          </w:p>
        </w:tc>
      </w:tr>
      <w:tr w14:paraId="071A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38C4E6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样品1</w:t>
            </w:r>
          </w:p>
        </w:tc>
        <w:tc>
          <w:tcPr>
            <w:tcW w:w="2599" w:type="dxa"/>
            <w:vAlign w:val="center"/>
          </w:tcPr>
          <w:p w14:paraId="28A8A9E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12.4</w:t>
            </w:r>
          </w:p>
        </w:tc>
        <w:tc>
          <w:tcPr>
            <w:tcW w:w="2552" w:type="dxa"/>
            <w:vAlign w:val="center"/>
          </w:tcPr>
          <w:p w14:paraId="698AA64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27.6</w:t>
            </w:r>
          </w:p>
        </w:tc>
      </w:tr>
      <w:tr w14:paraId="04FB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FCA810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样品2</w:t>
            </w:r>
          </w:p>
        </w:tc>
        <w:tc>
          <w:tcPr>
            <w:tcW w:w="2599" w:type="dxa"/>
            <w:vAlign w:val="center"/>
          </w:tcPr>
          <w:p w14:paraId="56C5942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12.6</w:t>
            </w:r>
          </w:p>
        </w:tc>
        <w:tc>
          <w:tcPr>
            <w:tcW w:w="2552" w:type="dxa"/>
            <w:vAlign w:val="center"/>
          </w:tcPr>
          <w:p w14:paraId="74D0AFF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35.6</w:t>
            </w:r>
          </w:p>
        </w:tc>
      </w:tr>
      <w:tr w14:paraId="18D3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46F0717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样品3</w:t>
            </w:r>
          </w:p>
        </w:tc>
        <w:tc>
          <w:tcPr>
            <w:tcW w:w="2599" w:type="dxa"/>
            <w:vAlign w:val="center"/>
          </w:tcPr>
          <w:p w14:paraId="113EF19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13.2</w:t>
            </w:r>
          </w:p>
        </w:tc>
        <w:tc>
          <w:tcPr>
            <w:tcW w:w="2552" w:type="dxa"/>
            <w:vAlign w:val="center"/>
          </w:tcPr>
          <w:p w14:paraId="36C759F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12.1</w:t>
            </w:r>
          </w:p>
        </w:tc>
      </w:tr>
      <w:tr w14:paraId="30E1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7A982D9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样品4</w:t>
            </w:r>
          </w:p>
        </w:tc>
        <w:tc>
          <w:tcPr>
            <w:tcW w:w="2599" w:type="dxa"/>
            <w:vAlign w:val="center"/>
          </w:tcPr>
          <w:p w14:paraId="3B1970B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19</w:t>
            </w:r>
          </w:p>
        </w:tc>
        <w:tc>
          <w:tcPr>
            <w:tcW w:w="2552" w:type="dxa"/>
            <w:vAlign w:val="center"/>
          </w:tcPr>
          <w:p w14:paraId="5A05F05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15.6</w:t>
            </w:r>
          </w:p>
        </w:tc>
      </w:tr>
    </w:tbl>
    <w:p w14:paraId="00E9870D">
      <w:pPr>
        <w:pStyle w:val="5"/>
        <w:widowControl/>
        <w:tabs>
          <w:tab w:val="left" w:pos="442"/>
        </w:tabs>
        <w:kinsoku w:val="0"/>
        <w:overflowPunct w:val="0"/>
        <w:autoSpaceDE w:val="0"/>
        <w:autoSpaceDN w:val="0"/>
        <w:adjustRightInd w:val="0"/>
        <w:snapToGrid w:val="0"/>
        <w:spacing w:after="0" w:line="360" w:lineRule="auto"/>
        <w:jc w:val="left"/>
        <w:textAlignment w:val="baseline"/>
        <w:rPr>
          <w:rFonts w:ascii="楷体" w:hAnsi="楷体" w:eastAsia="楷体" w:cs="楷体"/>
          <w:b/>
          <w:bCs/>
          <w:spacing w:val="-8"/>
          <w:sz w:val="28"/>
          <w:szCs w:val="28"/>
        </w:rPr>
      </w:pPr>
      <w:r>
        <w:rPr>
          <w:rFonts w:hint="eastAsia" w:ascii="楷体" w:hAnsi="楷体" w:eastAsia="楷体" w:cs="楷体"/>
          <w:b/>
          <w:bCs/>
          <w:spacing w:val="-8"/>
          <w:sz w:val="28"/>
          <w:szCs w:val="28"/>
        </w:rPr>
        <w:t>（四）调理类通辽牛肉片水分含量</w:t>
      </w:r>
    </w:p>
    <w:p w14:paraId="19EEB001">
      <w:pPr>
        <w:pStyle w:val="5"/>
        <w:widowControl/>
        <w:tabs>
          <w:tab w:val="left" w:pos="442"/>
        </w:tabs>
        <w:kinsoku w:val="0"/>
        <w:overflowPunct w:val="0"/>
        <w:autoSpaceDE w:val="0"/>
        <w:autoSpaceDN w:val="0"/>
        <w:adjustRightInd w:val="0"/>
        <w:snapToGrid w:val="0"/>
        <w:spacing w:after="0" w:line="360" w:lineRule="auto"/>
        <w:ind w:firstLine="720" w:firstLineChars="300"/>
        <w:jc w:val="left"/>
        <w:textAlignment w:val="baseline"/>
        <w:rPr>
          <w:rFonts w:ascii="宋体" w:hAnsi="宋体" w:eastAsia="宋体" w:cs="宋体"/>
          <w:sz w:val="24"/>
        </w:rPr>
      </w:pPr>
      <w:r>
        <w:rPr>
          <w:rFonts w:hint="eastAsia" w:ascii="宋体" w:hAnsi="宋体" w:eastAsia="宋体" w:cs="宋体"/>
          <w:sz w:val="24"/>
        </w:rPr>
        <w:t>经</w:t>
      </w:r>
      <w:r>
        <w:rPr>
          <w:rFonts w:ascii="宋体" w:hAnsi="宋体" w:eastAsia="宋体" w:cs="宋体"/>
          <w:sz w:val="24"/>
        </w:rPr>
        <w:t>检测</w:t>
      </w:r>
      <w:r>
        <w:rPr>
          <w:rFonts w:hint="eastAsia" w:ascii="宋体" w:hAnsi="宋体" w:eastAsia="宋体" w:cs="宋体"/>
          <w:sz w:val="24"/>
        </w:rPr>
        <w:t>发现，24份调理类通辽牛肉片水分含量在</w:t>
      </w:r>
      <w:r>
        <w:rPr>
          <w:rFonts w:ascii="宋体" w:hAnsi="宋体" w:eastAsia="宋体" w:cs="宋体"/>
          <w:color w:val="auto"/>
          <w:sz w:val="24"/>
        </w:rPr>
        <w:t>70.14-78.66</w:t>
      </w:r>
      <w:r>
        <w:rPr>
          <w:rFonts w:ascii="宋体" w:hAnsi="宋体" w:eastAsia="宋体" w:cs="宋体"/>
          <w:sz w:val="24"/>
        </w:rPr>
        <w:t xml:space="preserve"> g/100 g</w:t>
      </w:r>
      <w:r>
        <w:rPr>
          <w:rFonts w:hint="eastAsia" w:ascii="宋体" w:hAnsi="宋体" w:eastAsia="宋体" w:cs="宋体"/>
          <w:sz w:val="24"/>
        </w:rPr>
        <w:t>范围内波动，因此，调理类通辽牛肉水分含量不得高于</w:t>
      </w:r>
      <w:r>
        <w:rPr>
          <w:rFonts w:ascii="宋体" w:hAnsi="宋体" w:eastAsia="宋体" w:cs="宋体"/>
          <w:sz w:val="24"/>
        </w:rPr>
        <w:t>79</w:t>
      </w:r>
      <w:r>
        <w:rPr>
          <w:rFonts w:hint="eastAsia" w:ascii="宋体" w:hAnsi="宋体" w:eastAsia="宋体" w:cs="宋体"/>
          <w:sz w:val="24"/>
        </w:rPr>
        <w:t xml:space="preserve"> g/100g。</w:t>
      </w:r>
    </w:p>
    <w:p w14:paraId="74E2C544">
      <w:pPr>
        <w:pStyle w:val="5"/>
        <w:widowControl/>
        <w:tabs>
          <w:tab w:val="left" w:pos="442"/>
        </w:tabs>
        <w:kinsoku w:val="0"/>
        <w:overflowPunct w:val="0"/>
        <w:autoSpaceDE w:val="0"/>
        <w:autoSpaceDN w:val="0"/>
        <w:adjustRightInd w:val="0"/>
        <w:snapToGrid w:val="0"/>
        <w:spacing w:after="0" w:line="360" w:lineRule="auto"/>
        <w:ind w:firstLine="480" w:firstLineChars="200"/>
        <w:jc w:val="center"/>
        <w:textAlignment w:val="baseline"/>
        <w:rPr>
          <w:rFonts w:ascii="宋体" w:hAnsi="宋体" w:eastAsia="宋体" w:cs="宋体"/>
          <w:sz w:val="24"/>
        </w:rPr>
      </w:pPr>
      <w:r>
        <w:rPr>
          <w:rFonts w:hint="eastAsia" w:ascii="宋体" w:hAnsi="宋体" w:eastAsia="宋体" w:cs="宋体"/>
          <w:sz w:val="24"/>
        </w:rPr>
        <w:t>表</w:t>
      </w:r>
      <w:r>
        <w:rPr>
          <w:rFonts w:ascii="宋体" w:hAnsi="宋体" w:eastAsia="宋体" w:cs="宋体"/>
          <w:sz w:val="24"/>
        </w:rPr>
        <w:t>5</w:t>
      </w:r>
      <w:r>
        <w:rPr>
          <w:rFonts w:hint="eastAsia" w:ascii="宋体" w:hAnsi="宋体" w:eastAsia="宋体" w:cs="宋体"/>
          <w:sz w:val="24"/>
        </w:rPr>
        <w:t xml:space="preserve"> 调理类通辽牛肉片水分含量</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599"/>
      </w:tblGrid>
      <w:tr w14:paraId="128D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AB6C22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p>
        </w:tc>
        <w:tc>
          <w:tcPr>
            <w:tcW w:w="2599" w:type="dxa"/>
            <w:vAlign w:val="center"/>
          </w:tcPr>
          <w:p w14:paraId="1043C29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水分</w:t>
            </w:r>
            <w:r>
              <w:rPr>
                <w:rFonts w:ascii="Times New Roman" w:hAnsi="Times New Roman" w:eastAsia="宋体" w:cs="Times New Roman"/>
                <w:sz w:val="24"/>
              </w:rPr>
              <w:t>含量（g/100g）</w:t>
            </w:r>
          </w:p>
        </w:tc>
      </w:tr>
      <w:tr w14:paraId="29FB0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6668FCAD">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w:t>
            </w:r>
          </w:p>
        </w:tc>
        <w:tc>
          <w:tcPr>
            <w:tcW w:w="2599" w:type="dxa"/>
            <w:vAlign w:val="center"/>
          </w:tcPr>
          <w:p w14:paraId="64B25F3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78.01</w:t>
            </w:r>
          </w:p>
        </w:tc>
      </w:tr>
      <w:tr w14:paraId="161B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1E227CC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w:t>
            </w:r>
          </w:p>
        </w:tc>
        <w:tc>
          <w:tcPr>
            <w:tcW w:w="2599" w:type="dxa"/>
            <w:vAlign w:val="center"/>
          </w:tcPr>
          <w:p w14:paraId="2C1AAAE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70.14</w:t>
            </w:r>
          </w:p>
        </w:tc>
      </w:tr>
      <w:tr w14:paraId="234F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2981675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调理牛肉片3</w:t>
            </w:r>
          </w:p>
        </w:tc>
        <w:tc>
          <w:tcPr>
            <w:tcW w:w="2599" w:type="dxa"/>
            <w:vAlign w:val="center"/>
          </w:tcPr>
          <w:p w14:paraId="6465753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72.15</w:t>
            </w:r>
          </w:p>
        </w:tc>
      </w:tr>
      <w:tr w14:paraId="6943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2BBF2D5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调理牛肉片4</w:t>
            </w:r>
          </w:p>
        </w:tc>
        <w:tc>
          <w:tcPr>
            <w:tcW w:w="2599" w:type="dxa"/>
            <w:vAlign w:val="center"/>
          </w:tcPr>
          <w:p w14:paraId="603B980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77.84</w:t>
            </w:r>
          </w:p>
        </w:tc>
      </w:tr>
      <w:tr w14:paraId="2106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5722A2C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调理牛肉片5</w:t>
            </w:r>
          </w:p>
        </w:tc>
        <w:tc>
          <w:tcPr>
            <w:tcW w:w="2599" w:type="dxa"/>
            <w:vAlign w:val="center"/>
          </w:tcPr>
          <w:p w14:paraId="66CB519B">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74.25</w:t>
            </w:r>
          </w:p>
        </w:tc>
      </w:tr>
      <w:tr w14:paraId="4E46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1436023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调理牛肉片6</w:t>
            </w:r>
          </w:p>
        </w:tc>
        <w:tc>
          <w:tcPr>
            <w:tcW w:w="2599" w:type="dxa"/>
            <w:vAlign w:val="center"/>
          </w:tcPr>
          <w:p w14:paraId="76FFCC1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72.95</w:t>
            </w:r>
          </w:p>
        </w:tc>
      </w:tr>
      <w:tr w14:paraId="6CA6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0B5EE53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调理牛肉片7</w:t>
            </w:r>
          </w:p>
        </w:tc>
        <w:tc>
          <w:tcPr>
            <w:tcW w:w="2599" w:type="dxa"/>
            <w:vAlign w:val="center"/>
          </w:tcPr>
          <w:p w14:paraId="528C550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75.60</w:t>
            </w:r>
          </w:p>
        </w:tc>
      </w:tr>
      <w:tr w14:paraId="61D1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5D402FE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调理牛肉片8</w:t>
            </w:r>
          </w:p>
        </w:tc>
        <w:tc>
          <w:tcPr>
            <w:tcW w:w="2599" w:type="dxa"/>
            <w:vAlign w:val="center"/>
          </w:tcPr>
          <w:p w14:paraId="027BC8C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76.18</w:t>
            </w:r>
          </w:p>
        </w:tc>
      </w:tr>
      <w:tr w14:paraId="4358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88E312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调理牛肉片9</w:t>
            </w:r>
          </w:p>
        </w:tc>
        <w:tc>
          <w:tcPr>
            <w:tcW w:w="2599" w:type="dxa"/>
            <w:vAlign w:val="center"/>
          </w:tcPr>
          <w:p w14:paraId="420134E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78.6</w:t>
            </w:r>
            <w:r>
              <w:rPr>
                <w:rFonts w:ascii="Times New Roman" w:hAnsi="Times New Roman" w:eastAsia="宋体" w:cs="Times New Roman"/>
                <w:sz w:val="24"/>
              </w:rPr>
              <w:t>5</w:t>
            </w:r>
          </w:p>
        </w:tc>
      </w:tr>
      <w:tr w14:paraId="2490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64F0DF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调理牛肉片10</w:t>
            </w:r>
          </w:p>
        </w:tc>
        <w:tc>
          <w:tcPr>
            <w:tcW w:w="2599" w:type="dxa"/>
            <w:vAlign w:val="center"/>
          </w:tcPr>
          <w:p w14:paraId="11D7F2F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71.80</w:t>
            </w:r>
          </w:p>
        </w:tc>
      </w:tr>
      <w:tr w14:paraId="26D8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545592B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调理牛肉片11</w:t>
            </w:r>
          </w:p>
        </w:tc>
        <w:tc>
          <w:tcPr>
            <w:tcW w:w="2599" w:type="dxa"/>
            <w:vAlign w:val="center"/>
          </w:tcPr>
          <w:p w14:paraId="71E9867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70.</w:t>
            </w:r>
            <w:r>
              <w:rPr>
                <w:rFonts w:ascii="Times New Roman" w:hAnsi="Times New Roman" w:eastAsia="宋体" w:cs="Times New Roman"/>
                <w:sz w:val="24"/>
              </w:rPr>
              <w:t>80</w:t>
            </w:r>
          </w:p>
        </w:tc>
      </w:tr>
      <w:tr w14:paraId="0996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5249D1C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调理牛肉片12</w:t>
            </w:r>
          </w:p>
        </w:tc>
        <w:tc>
          <w:tcPr>
            <w:tcW w:w="2599" w:type="dxa"/>
            <w:vAlign w:val="center"/>
          </w:tcPr>
          <w:p w14:paraId="7502DAF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78.65</w:t>
            </w:r>
          </w:p>
        </w:tc>
      </w:tr>
      <w:tr w14:paraId="5342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6BDC730A">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调理牛肉片13</w:t>
            </w:r>
          </w:p>
        </w:tc>
        <w:tc>
          <w:tcPr>
            <w:tcW w:w="2599" w:type="dxa"/>
            <w:vAlign w:val="center"/>
          </w:tcPr>
          <w:p w14:paraId="0336400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74.31</w:t>
            </w:r>
          </w:p>
        </w:tc>
      </w:tr>
      <w:tr w14:paraId="142A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426084D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调理牛肉片14</w:t>
            </w:r>
          </w:p>
        </w:tc>
        <w:tc>
          <w:tcPr>
            <w:tcW w:w="2599" w:type="dxa"/>
            <w:vAlign w:val="center"/>
          </w:tcPr>
          <w:p w14:paraId="0BD5625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73.78</w:t>
            </w:r>
          </w:p>
        </w:tc>
      </w:tr>
      <w:tr w14:paraId="528F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302BE512">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调理牛肉片15</w:t>
            </w:r>
          </w:p>
        </w:tc>
        <w:tc>
          <w:tcPr>
            <w:tcW w:w="2599" w:type="dxa"/>
            <w:vAlign w:val="center"/>
          </w:tcPr>
          <w:p w14:paraId="1EFFB357">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77.41</w:t>
            </w:r>
          </w:p>
        </w:tc>
      </w:tr>
      <w:tr w14:paraId="50BF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vAlign w:val="center"/>
          </w:tcPr>
          <w:p w14:paraId="72F46DAF">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调理牛肉片16</w:t>
            </w:r>
          </w:p>
        </w:tc>
        <w:tc>
          <w:tcPr>
            <w:tcW w:w="2599" w:type="dxa"/>
            <w:vAlign w:val="center"/>
          </w:tcPr>
          <w:p w14:paraId="2620BB5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76.72</w:t>
            </w:r>
          </w:p>
        </w:tc>
      </w:tr>
      <w:tr w14:paraId="463F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529E3E15">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调理牛肉片17</w:t>
            </w:r>
          </w:p>
        </w:tc>
        <w:tc>
          <w:tcPr>
            <w:tcW w:w="2599" w:type="dxa"/>
            <w:vAlign w:val="center"/>
          </w:tcPr>
          <w:p w14:paraId="1BC095C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78.3</w:t>
            </w:r>
            <w:r>
              <w:rPr>
                <w:rFonts w:ascii="Times New Roman" w:hAnsi="Times New Roman" w:eastAsia="宋体" w:cs="Times New Roman"/>
                <w:sz w:val="24"/>
              </w:rPr>
              <w:t>3</w:t>
            </w:r>
          </w:p>
        </w:tc>
      </w:tr>
      <w:tr w14:paraId="0E2BF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17051C4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调理牛肉片18</w:t>
            </w:r>
          </w:p>
        </w:tc>
        <w:tc>
          <w:tcPr>
            <w:tcW w:w="2599" w:type="dxa"/>
            <w:vAlign w:val="center"/>
          </w:tcPr>
          <w:p w14:paraId="3A19E32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70.9</w:t>
            </w:r>
            <w:r>
              <w:rPr>
                <w:rFonts w:ascii="Times New Roman" w:hAnsi="Times New Roman" w:eastAsia="宋体" w:cs="Times New Roman"/>
                <w:sz w:val="24"/>
              </w:rPr>
              <w:t>7</w:t>
            </w:r>
          </w:p>
        </w:tc>
      </w:tr>
      <w:tr w14:paraId="6944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47409EB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调理牛肉片19</w:t>
            </w:r>
          </w:p>
        </w:tc>
        <w:tc>
          <w:tcPr>
            <w:tcW w:w="2599" w:type="dxa"/>
            <w:vAlign w:val="center"/>
          </w:tcPr>
          <w:p w14:paraId="151532A4">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71.47</w:t>
            </w:r>
          </w:p>
        </w:tc>
      </w:tr>
      <w:tr w14:paraId="6644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008FA4D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调理牛肉片20</w:t>
            </w:r>
          </w:p>
        </w:tc>
        <w:tc>
          <w:tcPr>
            <w:tcW w:w="2599" w:type="dxa"/>
            <w:vAlign w:val="center"/>
          </w:tcPr>
          <w:p w14:paraId="21B2DFE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78.25</w:t>
            </w:r>
          </w:p>
        </w:tc>
      </w:tr>
      <w:tr w14:paraId="03AA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75FC505C">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调理牛肉片21</w:t>
            </w:r>
          </w:p>
        </w:tc>
        <w:tc>
          <w:tcPr>
            <w:tcW w:w="2599" w:type="dxa"/>
            <w:vAlign w:val="center"/>
          </w:tcPr>
          <w:p w14:paraId="6BA3BD86">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74.28</w:t>
            </w:r>
          </w:p>
        </w:tc>
      </w:tr>
      <w:tr w14:paraId="2A53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46606E93">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调理牛肉片22</w:t>
            </w:r>
          </w:p>
        </w:tc>
        <w:tc>
          <w:tcPr>
            <w:tcW w:w="2599" w:type="dxa"/>
            <w:vAlign w:val="center"/>
          </w:tcPr>
          <w:p w14:paraId="7C7EDF8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73.37</w:t>
            </w:r>
          </w:p>
        </w:tc>
      </w:tr>
      <w:tr w14:paraId="713F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581E3C7E">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调理牛肉片23</w:t>
            </w:r>
          </w:p>
        </w:tc>
        <w:tc>
          <w:tcPr>
            <w:tcW w:w="2599" w:type="dxa"/>
            <w:vAlign w:val="center"/>
          </w:tcPr>
          <w:p w14:paraId="1B038631">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76.51</w:t>
            </w:r>
          </w:p>
        </w:tc>
      </w:tr>
      <w:tr w14:paraId="15FB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14:paraId="36A21439">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ascii="Times New Roman" w:hAnsi="Times New Roman" w:eastAsia="宋体" w:cs="Times New Roman"/>
                <w:sz w:val="24"/>
              </w:rPr>
              <w:t>调理牛肉片24</w:t>
            </w:r>
          </w:p>
        </w:tc>
        <w:tc>
          <w:tcPr>
            <w:tcW w:w="2599" w:type="dxa"/>
            <w:vAlign w:val="center"/>
          </w:tcPr>
          <w:p w14:paraId="02EE95F8">
            <w:pPr>
              <w:pStyle w:val="5"/>
              <w:widowControl/>
              <w:tabs>
                <w:tab w:val="left" w:pos="442"/>
              </w:tabs>
              <w:kinsoku w:val="0"/>
              <w:overflowPunct w:val="0"/>
              <w:autoSpaceDE w:val="0"/>
              <w:autoSpaceDN w:val="0"/>
              <w:adjustRightInd w:val="0"/>
              <w:snapToGrid w:val="0"/>
              <w:spacing w:after="0" w:line="360" w:lineRule="auto"/>
              <w:jc w:val="center"/>
              <w:textAlignment w:val="baseline"/>
              <w:rPr>
                <w:rFonts w:ascii="Times New Roman" w:hAnsi="Times New Roman" w:eastAsia="宋体" w:cs="Times New Roman"/>
                <w:sz w:val="24"/>
              </w:rPr>
            </w:pPr>
            <w:r>
              <w:rPr>
                <w:rFonts w:hint="eastAsia" w:ascii="Times New Roman" w:hAnsi="Times New Roman" w:eastAsia="宋体" w:cs="Times New Roman"/>
                <w:sz w:val="24"/>
              </w:rPr>
              <w:t>76.45</w:t>
            </w:r>
          </w:p>
        </w:tc>
      </w:tr>
    </w:tbl>
    <w:p w14:paraId="2CFB2695">
      <w:pPr>
        <w:pStyle w:val="5"/>
        <w:widowControl/>
        <w:tabs>
          <w:tab w:val="left" w:pos="442"/>
        </w:tabs>
        <w:kinsoku w:val="0"/>
        <w:overflowPunct w:val="0"/>
        <w:autoSpaceDE w:val="0"/>
        <w:autoSpaceDN w:val="0"/>
        <w:adjustRightInd w:val="0"/>
        <w:snapToGrid w:val="0"/>
        <w:spacing w:after="0" w:line="360" w:lineRule="auto"/>
        <w:textAlignment w:val="baseline"/>
        <w:rPr>
          <w:rFonts w:ascii="宋体" w:hAnsi="宋体" w:eastAsia="宋体" w:cs="宋体"/>
          <w:sz w:val="24"/>
        </w:rPr>
      </w:pPr>
    </w:p>
    <w:p w14:paraId="581AA094">
      <w:pPr>
        <w:pStyle w:val="5"/>
        <w:widowControl/>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四、采用国际标准和国外先进标准的程度</w:t>
      </w:r>
    </w:p>
    <w:p w14:paraId="108F3E50">
      <w:pPr>
        <w:pStyle w:val="5"/>
        <w:spacing w:after="0" w:line="360" w:lineRule="auto"/>
        <w:ind w:firstLine="420"/>
        <w:jc w:val="left"/>
        <w:rPr>
          <w:rFonts w:ascii="宋体" w:hAnsi="宋体" w:eastAsia="宋体" w:cs="宋体"/>
          <w:sz w:val="24"/>
        </w:rPr>
      </w:pPr>
      <w:r>
        <w:rPr>
          <w:rFonts w:hint="eastAsia" w:ascii="宋体" w:hAnsi="宋体" w:eastAsia="宋体" w:cs="宋体"/>
          <w:sz w:val="24"/>
        </w:rPr>
        <w:t>本文件未采用国际标准。</w:t>
      </w:r>
    </w:p>
    <w:p w14:paraId="62562FCB">
      <w:pPr>
        <w:pStyle w:val="5"/>
        <w:widowControl/>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五、与现行的法律法规和强制性国家标准的关系</w:t>
      </w:r>
    </w:p>
    <w:p w14:paraId="1F746972">
      <w:pPr>
        <w:pStyle w:val="5"/>
        <w:spacing w:after="0" w:line="360" w:lineRule="auto"/>
        <w:ind w:firstLine="420"/>
        <w:jc w:val="left"/>
        <w:rPr>
          <w:rFonts w:ascii="宋体" w:hAnsi="宋体" w:eastAsia="宋体" w:cs="宋体"/>
          <w:sz w:val="24"/>
        </w:rPr>
      </w:pPr>
      <w:r>
        <w:rPr>
          <w:rFonts w:hint="eastAsia" w:ascii="宋体" w:hAnsi="宋体" w:eastAsia="宋体" w:cs="宋体"/>
          <w:sz w:val="24"/>
        </w:rPr>
        <w:t>本文件在现行法律法规的框架内起草，引用或参照相关法律法规的有关规定，与现行法律法规和强制性国家标准保持协调一致，没有矛盾或冲突，涉及 GB/T 191《包装储运图示标志》、GB2760《食品安全国家标准 食品添加剂使用标准》、GB 7718《食品安全国家标准 预包装食品标签通则》、GB 28050《食品安全国家标准 预包装食品营养标签通则》、GB 2707《食品安全国家标准 鲜（冻）畜、禽产品》、GB 2762 《食品安全国家标准 食品中污染物限量标准》、GB 5009.3 《食品安全国家标准 食品中水分的测定》、GB 5009.5《食品安全国家标准 食品中蛋白质的测定》、GB 5009.6《食品安全国家标准 食品中脂肪的测定》、GB 20799《食品安全国家标准 肉和肉制品经营卫生规范》、JJF 1070《定量包装商品净含量计量检验规则》等、并按照GB/T 1.1-2009《标准化工作导则 第一部分：标准的结构和编写》制定。</w:t>
      </w:r>
    </w:p>
    <w:p w14:paraId="4FFE0711">
      <w:pPr>
        <w:pStyle w:val="5"/>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 xml:space="preserve">重大分歧意见的处理经过和依据 </w:t>
      </w:r>
    </w:p>
    <w:p w14:paraId="5F61EA0B">
      <w:pPr>
        <w:pStyle w:val="5"/>
        <w:spacing w:after="0" w:line="360" w:lineRule="auto"/>
        <w:ind w:firstLine="420"/>
        <w:jc w:val="left"/>
        <w:rPr>
          <w:rFonts w:ascii="宋体" w:hAnsi="宋体" w:eastAsia="宋体" w:cs="宋体"/>
          <w:sz w:val="24"/>
        </w:rPr>
      </w:pPr>
      <w:r>
        <w:rPr>
          <w:rFonts w:hint="eastAsia" w:ascii="宋体" w:hAnsi="宋体" w:eastAsia="宋体" w:cs="宋体"/>
          <w:sz w:val="24"/>
        </w:rPr>
        <w:t>无。</w:t>
      </w:r>
    </w:p>
    <w:p w14:paraId="4A5CA427">
      <w:pPr>
        <w:pStyle w:val="5"/>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 xml:space="preserve">标准作为强制性或推荐性标准的建议 </w:t>
      </w:r>
    </w:p>
    <w:p w14:paraId="5F12452E">
      <w:pPr>
        <w:pStyle w:val="5"/>
        <w:spacing w:after="0" w:line="360" w:lineRule="auto"/>
        <w:ind w:firstLine="420"/>
        <w:jc w:val="left"/>
        <w:rPr>
          <w:rFonts w:ascii="宋体" w:hAnsi="宋体" w:eastAsia="宋体" w:cs="宋体"/>
          <w:sz w:val="24"/>
        </w:rPr>
      </w:pPr>
      <w:r>
        <w:rPr>
          <w:rFonts w:hint="eastAsia" w:ascii="宋体" w:hAnsi="宋体" w:eastAsia="宋体" w:cs="宋体"/>
          <w:sz w:val="24"/>
        </w:rPr>
        <w:t>建议本标准作为团体标准发布实施。</w:t>
      </w:r>
    </w:p>
    <w:p w14:paraId="5AF4EDD2">
      <w:pPr>
        <w:pStyle w:val="5"/>
        <w:widowControl/>
        <w:numPr>
          <w:ilvl w:val="0"/>
          <w:numId w:val="2"/>
        </w:numPr>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贯彻标准的要求和措施建议</w:t>
      </w:r>
    </w:p>
    <w:p w14:paraId="015471A7">
      <w:pPr>
        <w:pStyle w:val="5"/>
        <w:spacing w:after="0" w:line="360" w:lineRule="auto"/>
        <w:outlineLvl w:val="4"/>
      </w:pPr>
      <w:r>
        <w:rPr>
          <w:rFonts w:ascii="楷体" w:hAnsi="楷体" w:eastAsia="楷体" w:cs="楷体"/>
          <w:b/>
          <w:bCs/>
          <w:spacing w:val="-8"/>
          <w:sz w:val="28"/>
          <w:szCs w:val="28"/>
        </w:rPr>
        <w:t>九、废止现行有关标准的建议</w:t>
      </w:r>
    </w:p>
    <w:p w14:paraId="1F98B769">
      <w:pPr>
        <w:pStyle w:val="5"/>
        <w:spacing w:after="0" w:line="360" w:lineRule="auto"/>
        <w:ind w:firstLine="420"/>
        <w:jc w:val="left"/>
        <w:rPr>
          <w:rFonts w:ascii="宋体" w:hAnsi="宋体" w:eastAsia="宋体" w:cs="宋体"/>
          <w:sz w:val="24"/>
        </w:rPr>
      </w:pPr>
      <w:r>
        <w:rPr>
          <w:rFonts w:hint="eastAsia" w:ascii="宋体" w:hAnsi="宋体" w:eastAsia="宋体" w:cs="宋体"/>
          <w:sz w:val="24"/>
        </w:rPr>
        <w:t>无。</w:t>
      </w:r>
    </w:p>
    <w:p w14:paraId="40C10346">
      <w:pPr>
        <w:pStyle w:val="5"/>
        <w:widowControl/>
        <w:tabs>
          <w:tab w:val="left" w:pos="442"/>
        </w:tabs>
        <w:kinsoku w:val="0"/>
        <w:overflowPunct w:val="0"/>
        <w:autoSpaceDE w:val="0"/>
        <w:autoSpaceDN w:val="0"/>
        <w:adjustRightInd w:val="0"/>
        <w:snapToGrid w:val="0"/>
        <w:spacing w:after="0" w:line="360" w:lineRule="auto"/>
        <w:textAlignment w:val="baseline"/>
        <w:outlineLvl w:val="0"/>
        <w:rPr>
          <w:rFonts w:ascii="楷体" w:hAnsi="楷体" w:eastAsia="楷体" w:cs="楷体"/>
          <w:b/>
          <w:bCs/>
          <w:spacing w:val="-8"/>
          <w:sz w:val="28"/>
          <w:szCs w:val="28"/>
        </w:rPr>
      </w:pPr>
      <w:r>
        <w:rPr>
          <w:rFonts w:ascii="楷体" w:hAnsi="楷体" w:eastAsia="楷体" w:cs="楷体"/>
          <w:b/>
          <w:bCs/>
          <w:spacing w:val="-8"/>
          <w:sz w:val="28"/>
          <w:szCs w:val="28"/>
        </w:rPr>
        <w:t>十、其他应予说明的事项</w:t>
      </w:r>
    </w:p>
    <w:p w14:paraId="47A76863">
      <w:pPr>
        <w:pStyle w:val="5"/>
        <w:spacing w:after="0" w:line="360" w:lineRule="auto"/>
        <w:ind w:firstLine="420"/>
        <w:jc w:val="left"/>
        <w:rPr>
          <w:rFonts w:ascii="宋体" w:hAnsi="宋体" w:eastAsia="宋体" w:cs="宋体"/>
          <w:sz w:val="24"/>
        </w:rPr>
      </w:pPr>
      <w:r>
        <w:rPr>
          <w:rFonts w:hint="eastAsia" w:ascii="宋体" w:hAnsi="宋体" w:eastAsia="宋体" w:cs="宋体"/>
          <w:sz w:val="24"/>
        </w:rPr>
        <w:t>无。</w:t>
      </w:r>
    </w:p>
    <w:p w14:paraId="7C5C78ED">
      <w:pPr>
        <w:wordWrap w:val="0"/>
        <w:spacing w:line="500" w:lineRule="exact"/>
        <w:ind w:firstLine="482"/>
        <w:jc w:val="right"/>
        <w:rPr>
          <w:bCs/>
          <w:sz w:val="24"/>
        </w:rPr>
      </w:pPr>
      <w:r>
        <w:rPr>
          <w:b/>
          <w:bCs/>
          <w:sz w:val="24"/>
        </w:rPr>
        <w:t xml:space="preserve"> </w:t>
      </w:r>
      <w:r>
        <w:rPr>
          <w:bCs/>
          <w:sz w:val="24"/>
        </w:rPr>
        <w:t>标准编制组</w:t>
      </w:r>
      <w:r>
        <w:rPr>
          <w:rFonts w:hint="eastAsia"/>
          <w:bCs/>
          <w:sz w:val="24"/>
        </w:rPr>
        <w:t xml:space="preserve"> </w:t>
      </w:r>
    </w:p>
    <w:p w14:paraId="02980992">
      <w:pPr>
        <w:wordWrap w:val="0"/>
        <w:spacing w:line="500" w:lineRule="exact"/>
        <w:ind w:firstLine="480"/>
        <w:jc w:val="right"/>
        <w:rPr>
          <w:rFonts w:ascii="宋体" w:hAnsi="宋体" w:cs="宋体"/>
          <w:sz w:val="24"/>
        </w:rPr>
      </w:pPr>
      <w:r>
        <w:rPr>
          <w:bCs/>
          <w:sz w:val="24"/>
        </w:rPr>
        <w:t xml:space="preserve">                                                      </w:t>
      </w:r>
      <w:r>
        <w:rPr>
          <w:rFonts w:ascii="Times New Roman" w:hAnsi="Times New Roman" w:cs="Times New Roman"/>
          <w:bCs/>
          <w:sz w:val="24"/>
        </w:rPr>
        <w:t>202</w:t>
      </w:r>
      <w:r>
        <w:rPr>
          <w:rFonts w:hint="eastAsia" w:ascii="Times New Roman" w:hAnsi="Times New Roman" w:cs="Times New Roman"/>
          <w:bCs/>
          <w:sz w:val="24"/>
        </w:rPr>
        <w:t>5</w:t>
      </w:r>
      <w:r>
        <w:rPr>
          <w:rFonts w:ascii="Times New Roman" w:hAnsi="Times New Roman" w:cs="Times New Roman"/>
          <w:bCs/>
          <w:sz w:val="24"/>
        </w:rPr>
        <w:t>年5月</w:t>
      </w:r>
      <w:r>
        <w:rPr>
          <w:rFonts w:hint="eastAsia" w:ascii="Times New Roman" w:hAnsi="Times New Roman" w:cs="Times New Roman"/>
          <w:bCs/>
          <w:sz w:val="24"/>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57D3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19BF06">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419BF06">
                    <w:pPr>
                      <w:pStyle w:val="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6C522"/>
    <w:multiLevelType w:val="singleLevel"/>
    <w:tmpl w:val="3CD6C522"/>
    <w:lvl w:ilvl="0" w:tentative="0">
      <w:start w:val="6"/>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1"/>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0NmY2ZTM2ZDI3ODk4OWZhYmU5MjY5MzMyNDYxYjMifQ=="/>
  </w:docVars>
  <w:rsids>
    <w:rsidRoot w:val="7DB76654"/>
    <w:rsid w:val="000368A1"/>
    <w:rsid w:val="00071806"/>
    <w:rsid w:val="00082527"/>
    <w:rsid w:val="001062AB"/>
    <w:rsid w:val="00133D5E"/>
    <w:rsid w:val="001478AE"/>
    <w:rsid w:val="00187DEB"/>
    <w:rsid w:val="00190FB3"/>
    <w:rsid w:val="001D1D35"/>
    <w:rsid w:val="00215C83"/>
    <w:rsid w:val="00221D64"/>
    <w:rsid w:val="002319BF"/>
    <w:rsid w:val="002433EF"/>
    <w:rsid w:val="00243663"/>
    <w:rsid w:val="00247D92"/>
    <w:rsid w:val="002853CD"/>
    <w:rsid w:val="00292897"/>
    <w:rsid w:val="00296392"/>
    <w:rsid w:val="002B3E30"/>
    <w:rsid w:val="002E26FD"/>
    <w:rsid w:val="00315EAE"/>
    <w:rsid w:val="00326876"/>
    <w:rsid w:val="00331B5D"/>
    <w:rsid w:val="003402AF"/>
    <w:rsid w:val="00366BCB"/>
    <w:rsid w:val="003777A7"/>
    <w:rsid w:val="00377944"/>
    <w:rsid w:val="003869BE"/>
    <w:rsid w:val="003B5E60"/>
    <w:rsid w:val="003D170A"/>
    <w:rsid w:val="0040558F"/>
    <w:rsid w:val="0040643A"/>
    <w:rsid w:val="004A2D16"/>
    <w:rsid w:val="004A66C5"/>
    <w:rsid w:val="004C71E7"/>
    <w:rsid w:val="004C7C2F"/>
    <w:rsid w:val="004D0293"/>
    <w:rsid w:val="004D2169"/>
    <w:rsid w:val="004E61BC"/>
    <w:rsid w:val="00500FB9"/>
    <w:rsid w:val="005454D4"/>
    <w:rsid w:val="00560B41"/>
    <w:rsid w:val="0058523E"/>
    <w:rsid w:val="005B71A0"/>
    <w:rsid w:val="005D6B3B"/>
    <w:rsid w:val="005E01CF"/>
    <w:rsid w:val="006004AC"/>
    <w:rsid w:val="00650C74"/>
    <w:rsid w:val="00665555"/>
    <w:rsid w:val="006A4FA7"/>
    <w:rsid w:val="006C101D"/>
    <w:rsid w:val="006F617C"/>
    <w:rsid w:val="00712C99"/>
    <w:rsid w:val="007205D3"/>
    <w:rsid w:val="007334C1"/>
    <w:rsid w:val="007425BB"/>
    <w:rsid w:val="007839ED"/>
    <w:rsid w:val="007C076C"/>
    <w:rsid w:val="007D7238"/>
    <w:rsid w:val="00811F7E"/>
    <w:rsid w:val="008177A1"/>
    <w:rsid w:val="00825286"/>
    <w:rsid w:val="00835072"/>
    <w:rsid w:val="00891EF9"/>
    <w:rsid w:val="008A455E"/>
    <w:rsid w:val="008A7957"/>
    <w:rsid w:val="008B27D2"/>
    <w:rsid w:val="00916D1F"/>
    <w:rsid w:val="00921126"/>
    <w:rsid w:val="00921E64"/>
    <w:rsid w:val="00945495"/>
    <w:rsid w:val="0094706E"/>
    <w:rsid w:val="00963E5A"/>
    <w:rsid w:val="00973D01"/>
    <w:rsid w:val="00975686"/>
    <w:rsid w:val="0099379D"/>
    <w:rsid w:val="009A10D1"/>
    <w:rsid w:val="009E3A04"/>
    <w:rsid w:val="009E616D"/>
    <w:rsid w:val="009F0290"/>
    <w:rsid w:val="00A15149"/>
    <w:rsid w:val="00A216F0"/>
    <w:rsid w:val="00A46DE4"/>
    <w:rsid w:val="00A50966"/>
    <w:rsid w:val="00A5177F"/>
    <w:rsid w:val="00A54A17"/>
    <w:rsid w:val="00A867C9"/>
    <w:rsid w:val="00AE6307"/>
    <w:rsid w:val="00B10CB8"/>
    <w:rsid w:val="00B3015B"/>
    <w:rsid w:val="00B42C1F"/>
    <w:rsid w:val="00B672C1"/>
    <w:rsid w:val="00B672F2"/>
    <w:rsid w:val="00B86510"/>
    <w:rsid w:val="00B967C0"/>
    <w:rsid w:val="00BA019D"/>
    <w:rsid w:val="00BD254B"/>
    <w:rsid w:val="00BE1CE8"/>
    <w:rsid w:val="00BF0A7E"/>
    <w:rsid w:val="00C07069"/>
    <w:rsid w:val="00C80748"/>
    <w:rsid w:val="00C94D04"/>
    <w:rsid w:val="00C97CDE"/>
    <w:rsid w:val="00CB36A6"/>
    <w:rsid w:val="00CC1131"/>
    <w:rsid w:val="00CE7F41"/>
    <w:rsid w:val="00CF6488"/>
    <w:rsid w:val="00D158FE"/>
    <w:rsid w:val="00D300AF"/>
    <w:rsid w:val="00D3622E"/>
    <w:rsid w:val="00D45E77"/>
    <w:rsid w:val="00D5693D"/>
    <w:rsid w:val="00D9136A"/>
    <w:rsid w:val="00D97C14"/>
    <w:rsid w:val="00DD581A"/>
    <w:rsid w:val="00E1049B"/>
    <w:rsid w:val="00E11E2F"/>
    <w:rsid w:val="00E41AD5"/>
    <w:rsid w:val="00E50DB6"/>
    <w:rsid w:val="00E553C1"/>
    <w:rsid w:val="00EB1C04"/>
    <w:rsid w:val="00EB7AAC"/>
    <w:rsid w:val="00F03308"/>
    <w:rsid w:val="00F17B70"/>
    <w:rsid w:val="00F81847"/>
    <w:rsid w:val="00FA56AA"/>
    <w:rsid w:val="00FC5B2C"/>
    <w:rsid w:val="01F80A87"/>
    <w:rsid w:val="025C7268"/>
    <w:rsid w:val="03435D32"/>
    <w:rsid w:val="03630182"/>
    <w:rsid w:val="04806B11"/>
    <w:rsid w:val="04C410F4"/>
    <w:rsid w:val="06986394"/>
    <w:rsid w:val="07133F23"/>
    <w:rsid w:val="0731167A"/>
    <w:rsid w:val="07852DBD"/>
    <w:rsid w:val="07E35DEC"/>
    <w:rsid w:val="083C6B36"/>
    <w:rsid w:val="08BB45BC"/>
    <w:rsid w:val="0ABB3E3F"/>
    <w:rsid w:val="0B655FB4"/>
    <w:rsid w:val="0BCF6B5B"/>
    <w:rsid w:val="0E72571D"/>
    <w:rsid w:val="0F44530B"/>
    <w:rsid w:val="0F4E113C"/>
    <w:rsid w:val="0FAB6A21"/>
    <w:rsid w:val="0FFC3E38"/>
    <w:rsid w:val="10545A22"/>
    <w:rsid w:val="116F23E8"/>
    <w:rsid w:val="11902A8A"/>
    <w:rsid w:val="12045226"/>
    <w:rsid w:val="13C45A4C"/>
    <w:rsid w:val="147072F3"/>
    <w:rsid w:val="14E82BDD"/>
    <w:rsid w:val="151439D2"/>
    <w:rsid w:val="152359C3"/>
    <w:rsid w:val="15654D91"/>
    <w:rsid w:val="157F1C29"/>
    <w:rsid w:val="158741A4"/>
    <w:rsid w:val="15A8039B"/>
    <w:rsid w:val="166F711D"/>
    <w:rsid w:val="16930995"/>
    <w:rsid w:val="16D84472"/>
    <w:rsid w:val="17544559"/>
    <w:rsid w:val="1763479D"/>
    <w:rsid w:val="17A9198A"/>
    <w:rsid w:val="17BB1EE3"/>
    <w:rsid w:val="180606C5"/>
    <w:rsid w:val="18D94D16"/>
    <w:rsid w:val="19C44422"/>
    <w:rsid w:val="1BB50563"/>
    <w:rsid w:val="1BC111D7"/>
    <w:rsid w:val="1F260691"/>
    <w:rsid w:val="2020147D"/>
    <w:rsid w:val="20D86F49"/>
    <w:rsid w:val="216A6083"/>
    <w:rsid w:val="22146DBF"/>
    <w:rsid w:val="222F59A7"/>
    <w:rsid w:val="23571659"/>
    <w:rsid w:val="23D55BE6"/>
    <w:rsid w:val="24377932"/>
    <w:rsid w:val="249E0BC2"/>
    <w:rsid w:val="24B228BF"/>
    <w:rsid w:val="24C3687B"/>
    <w:rsid w:val="257D4C7B"/>
    <w:rsid w:val="25965263"/>
    <w:rsid w:val="259C1936"/>
    <w:rsid w:val="265951C3"/>
    <w:rsid w:val="273870AC"/>
    <w:rsid w:val="274F4378"/>
    <w:rsid w:val="276C144B"/>
    <w:rsid w:val="283F090E"/>
    <w:rsid w:val="28594DB8"/>
    <w:rsid w:val="28966A91"/>
    <w:rsid w:val="289C18BC"/>
    <w:rsid w:val="29C56BF1"/>
    <w:rsid w:val="2AB9263D"/>
    <w:rsid w:val="2DF950BB"/>
    <w:rsid w:val="308C66BA"/>
    <w:rsid w:val="30CC4D09"/>
    <w:rsid w:val="31230DCD"/>
    <w:rsid w:val="31B41A25"/>
    <w:rsid w:val="33857B1D"/>
    <w:rsid w:val="347A7513"/>
    <w:rsid w:val="355210DD"/>
    <w:rsid w:val="369D7429"/>
    <w:rsid w:val="37F05781"/>
    <w:rsid w:val="38237904"/>
    <w:rsid w:val="39FC040D"/>
    <w:rsid w:val="3A260C4E"/>
    <w:rsid w:val="3A2B79DF"/>
    <w:rsid w:val="3A377697"/>
    <w:rsid w:val="3A8A77C7"/>
    <w:rsid w:val="3C2854E9"/>
    <w:rsid w:val="3C3A5903"/>
    <w:rsid w:val="3C666012"/>
    <w:rsid w:val="3E8F7C6E"/>
    <w:rsid w:val="3F722AF3"/>
    <w:rsid w:val="40063D93"/>
    <w:rsid w:val="40776A3F"/>
    <w:rsid w:val="40A178EB"/>
    <w:rsid w:val="40CF0629"/>
    <w:rsid w:val="41B05F50"/>
    <w:rsid w:val="41CE08E1"/>
    <w:rsid w:val="41DF2AEE"/>
    <w:rsid w:val="437B6846"/>
    <w:rsid w:val="442F13DF"/>
    <w:rsid w:val="44AB18FE"/>
    <w:rsid w:val="462E5DF2"/>
    <w:rsid w:val="473860EE"/>
    <w:rsid w:val="473C62ED"/>
    <w:rsid w:val="479223B1"/>
    <w:rsid w:val="4814724D"/>
    <w:rsid w:val="49374FBE"/>
    <w:rsid w:val="4A67792E"/>
    <w:rsid w:val="4ADF5221"/>
    <w:rsid w:val="4B223A4B"/>
    <w:rsid w:val="4B804747"/>
    <w:rsid w:val="4C2D468A"/>
    <w:rsid w:val="4C3312B7"/>
    <w:rsid w:val="4DC8028C"/>
    <w:rsid w:val="4E762216"/>
    <w:rsid w:val="4F522086"/>
    <w:rsid w:val="50593A6B"/>
    <w:rsid w:val="50EF2622"/>
    <w:rsid w:val="521C11F4"/>
    <w:rsid w:val="527C60D0"/>
    <w:rsid w:val="528079D5"/>
    <w:rsid w:val="52A027E3"/>
    <w:rsid w:val="53D63D41"/>
    <w:rsid w:val="53D80EDC"/>
    <w:rsid w:val="5517656B"/>
    <w:rsid w:val="55287EB0"/>
    <w:rsid w:val="55630D18"/>
    <w:rsid w:val="55A12616"/>
    <w:rsid w:val="570375C9"/>
    <w:rsid w:val="58515970"/>
    <w:rsid w:val="58A12453"/>
    <w:rsid w:val="58A3441E"/>
    <w:rsid w:val="58BD6B62"/>
    <w:rsid w:val="58FF660A"/>
    <w:rsid w:val="59747B68"/>
    <w:rsid w:val="5A144EA7"/>
    <w:rsid w:val="5A386DE8"/>
    <w:rsid w:val="5A723129"/>
    <w:rsid w:val="5A752BA8"/>
    <w:rsid w:val="5AC42429"/>
    <w:rsid w:val="5B5C56B4"/>
    <w:rsid w:val="5C5679F9"/>
    <w:rsid w:val="5DB65B7E"/>
    <w:rsid w:val="5E055233"/>
    <w:rsid w:val="5EF3152F"/>
    <w:rsid w:val="5FD90725"/>
    <w:rsid w:val="60940AF0"/>
    <w:rsid w:val="61B56F70"/>
    <w:rsid w:val="62101F6B"/>
    <w:rsid w:val="621B3277"/>
    <w:rsid w:val="628A3697"/>
    <w:rsid w:val="63EF49BB"/>
    <w:rsid w:val="641A55BD"/>
    <w:rsid w:val="64FF1026"/>
    <w:rsid w:val="65766A16"/>
    <w:rsid w:val="65D96A22"/>
    <w:rsid w:val="660758C0"/>
    <w:rsid w:val="66161B88"/>
    <w:rsid w:val="667E5B82"/>
    <w:rsid w:val="68032B9E"/>
    <w:rsid w:val="687436E1"/>
    <w:rsid w:val="68F33825"/>
    <w:rsid w:val="69664D3A"/>
    <w:rsid w:val="69A07208"/>
    <w:rsid w:val="6A114F5F"/>
    <w:rsid w:val="6B533A81"/>
    <w:rsid w:val="6BFC3DB2"/>
    <w:rsid w:val="6C705F6D"/>
    <w:rsid w:val="6C783B29"/>
    <w:rsid w:val="6CA125CA"/>
    <w:rsid w:val="6CA6001D"/>
    <w:rsid w:val="6D8B6DD7"/>
    <w:rsid w:val="6D941A92"/>
    <w:rsid w:val="6DF20A14"/>
    <w:rsid w:val="70D47343"/>
    <w:rsid w:val="71F72C8D"/>
    <w:rsid w:val="72984B04"/>
    <w:rsid w:val="74B310ED"/>
    <w:rsid w:val="74CD0D26"/>
    <w:rsid w:val="750616C5"/>
    <w:rsid w:val="758E56B6"/>
    <w:rsid w:val="75FC2F67"/>
    <w:rsid w:val="76EF6628"/>
    <w:rsid w:val="784C75EC"/>
    <w:rsid w:val="7895434C"/>
    <w:rsid w:val="78E636B9"/>
    <w:rsid w:val="79655759"/>
    <w:rsid w:val="7B017E0B"/>
    <w:rsid w:val="7B2965AD"/>
    <w:rsid w:val="7B854EA3"/>
    <w:rsid w:val="7CB400F8"/>
    <w:rsid w:val="7D20450B"/>
    <w:rsid w:val="7DA076EF"/>
    <w:rsid w:val="7DAC1720"/>
    <w:rsid w:val="7DB76654"/>
    <w:rsid w:val="7E041567"/>
    <w:rsid w:val="7EAD3051"/>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28"/>
    <w:unhideWhenUsed/>
    <w:qFormat/>
    <w:uiPriority w:val="0"/>
    <w:pPr>
      <w:keepNext/>
      <w:keepLines/>
      <w:widowControl/>
      <w:adjustRightInd w:val="0"/>
      <w:snapToGrid w:val="0"/>
      <w:spacing w:line="360" w:lineRule="auto"/>
      <w:ind w:firstLine="200" w:firstLineChars="200"/>
      <w:outlineLvl w:val="1"/>
    </w:pPr>
    <w:rPr>
      <w:rFonts w:ascii="Arial" w:hAnsi="Arial" w:eastAsia="楷体_GB2312"/>
      <w:b/>
      <w:bCs/>
      <w:kern w:val="0"/>
      <w:sz w:val="24"/>
      <w:szCs w:val="32"/>
      <w:lang w:bidi="zh-TW"/>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4">
    <w:name w:val="annotation text"/>
    <w:basedOn w:val="1"/>
    <w:link w:val="23"/>
    <w:qFormat/>
    <w:uiPriority w:val="0"/>
    <w:pPr>
      <w:jc w:val="left"/>
    </w:pPr>
  </w:style>
  <w:style w:type="paragraph" w:styleId="5">
    <w:name w:val="Body Text"/>
    <w:basedOn w:val="1"/>
    <w:link w:val="31"/>
    <w:qFormat/>
    <w:uiPriority w:val="0"/>
    <w:pPr>
      <w:spacing w:after="120"/>
    </w:pPr>
  </w:style>
  <w:style w:type="paragraph" w:styleId="6">
    <w:name w:val="Date"/>
    <w:basedOn w:val="1"/>
    <w:next w:val="1"/>
    <w:link w:val="26"/>
    <w:qFormat/>
    <w:uiPriority w:val="0"/>
    <w:pPr>
      <w:ind w:left="100" w:leftChars="2500"/>
    </w:pPr>
  </w:style>
  <w:style w:type="paragraph" w:styleId="7">
    <w:name w:val="Balloon Text"/>
    <w:basedOn w:val="1"/>
    <w:link w:val="25"/>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annotation subject"/>
    <w:basedOn w:val="4"/>
    <w:next w:val="4"/>
    <w:link w:val="24"/>
    <w:uiPriority w:val="0"/>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qFormat/>
    <w:uiPriority w:val="0"/>
    <w:rPr>
      <w:sz w:val="21"/>
      <w:szCs w:val="21"/>
    </w:rPr>
  </w:style>
  <w:style w:type="paragraph" w:customStyle="1" w:styleId="15">
    <w:name w:val="Table Text"/>
    <w:basedOn w:val="1"/>
    <w:semiHidden/>
    <w:qFormat/>
    <w:uiPriority w:val="0"/>
    <w:rPr>
      <w:rFonts w:ascii="宋体" w:hAnsi="宋体" w:eastAsia="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一级条标题"/>
    <w:next w:val="18"/>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8">
    <w:name w:val="段"/>
    <w:link w:val="30"/>
    <w:autoRedefine/>
    <w:qFormat/>
    <w:uiPriority w:val="0"/>
    <w:pPr>
      <w:autoSpaceDE w:val="0"/>
      <w:autoSpaceDN w:val="0"/>
      <w:spacing w:before="156" w:after="156"/>
      <w:ind w:firstLine="482" w:firstLineChars="200"/>
      <w:jc w:val="both"/>
    </w:pPr>
    <w:rPr>
      <w:rFonts w:ascii="宋体" w:hAnsi="Times New Roman" w:eastAsia="宋体" w:cs="Times New Roman"/>
      <w:b/>
      <w:snapToGrid w:val="0"/>
      <w:sz w:val="24"/>
      <w:lang w:val="en-US" w:eastAsia="zh-CN" w:bidi="ar-SA"/>
    </w:rPr>
  </w:style>
  <w:style w:type="paragraph" w:customStyle="1" w:styleId="19">
    <w:name w:val="三级条标题"/>
    <w:basedOn w:val="20"/>
    <w:next w:val="18"/>
    <w:autoRedefine/>
    <w:qFormat/>
    <w:uiPriority w:val="0"/>
    <w:pPr>
      <w:tabs>
        <w:tab w:val="left" w:pos="360"/>
      </w:tabs>
      <w:outlineLvl w:val="4"/>
    </w:pPr>
  </w:style>
  <w:style w:type="paragraph" w:customStyle="1" w:styleId="20">
    <w:name w:val="二级条标题 Char Char"/>
    <w:basedOn w:val="21"/>
    <w:next w:val="18"/>
    <w:autoRedefine/>
    <w:qFormat/>
    <w:uiPriority w:val="0"/>
    <w:pPr>
      <w:numPr>
        <w:ilvl w:val="0"/>
        <w:numId w:val="0"/>
      </w:numPr>
      <w:outlineLvl w:val="3"/>
    </w:pPr>
  </w:style>
  <w:style w:type="paragraph" w:customStyle="1" w:styleId="21">
    <w:name w:val="一级条标题 Char Char Char Char"/>
    <w:next w:val="18"/>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2">
    <w:name w:val="章标题"/>
    <w:next w:val="18"/>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character" w:customStyle="1" w:styleId="23">
    <w:name w:val="批注文字 Char"/>
    <w:basedOn w:val="13"/>
    <w:link w:val="4"/>
    <w:qFormat/>
    <w:uiPriority w:val="0"/>
    <w:rPr>
      <w:rFonts w:asciiTheme="minorHAnsi" w:hAnsiTheme="minorHAnsi" w:eastAsiaTheme="minorEastAsia" w:cstheme="minorBidi"/>
      <w:kern w:val="2"/>
      <w:sz w:val="21"/>
      <w:szCs w:val="24"/>
    </w:rPr>
  </w:style>
  <w:style w:type="character" w:customStyle="1" w:styleId="24">
    <w:name w:val="批注主题 Char"/>
    <w:basedOn w:val="23"/>
    <w:link w:val="10"/>
    <w:uiPriority w:val="0"/>
    <w:rPr>
      <w:rFonts w:asciiTheme="minorHAnsi" w:hAnsiTheme="minorHAnsi" w:eastAsiaTheme="minorEastAsia" w:cstheme="minorBidi"/>
      <w:b/>
      <w:bCs/>
      <w:kern w:val="2"/>
      <w:sz w:val="21"/>
      <w:szCs w:val="24"/>
    </w:rPr>
  </w:style>
  <w:style w:type="character" w:customStyle="1" w:styleId="25">
    <w:name w:val="批注框文本 Char"/>
    <w:basedOn w:val="13"/>
    <w:link w:val="7"/>
    <w:qFormat/>
    <w:uiPriority w:val="0"/>
    <w:rPr>
      <w:rFonts w:asciiTheme="minorHAnsi" w:hAnsiTheme="minorHAnsi" w:eastAsiaTheme="minorEastAsia" w:cstheme="minorBidi"/>
      <w:kern w:val="2"/>
      <w:sz w:val="18"/>
      <w:szCs w:val="18"/>
    </w:rPr>
  </w:style>
  <w:style w:type="character" w:customStyle="1" w:styleId="26">
    <w:name w:val="日期 Char"/>
    <w:basedOn w:val="13"/>
    <w:link w:val="6"/>
    <w:qFormat/>
    <w:uiPriority w:val="0"/>
    <w:rPr>
      <w:rFonts w:asciiTheme="minorHAnsi" w:hAnsiTheme="minorHAnsi" w:eastAsiaTheme="minorEastAsia" w:cstheme="minorBidi"/>
      <w:kern w:val="2"/>
      <w:sz w:val="21"/>
      <w:szCs w:val="24"/>
    </w:rPr>
  </w:style>
  <w:style w:type="paragraph" w:customStyle="1" w:styleId="27">
    <w:name w:val="实施日期"/>
    <w:basedOn w:val="1"/>
    <w:autoRedefine/>
    <w:qFormat/>
    <w:uiPriority w:val="0"/>
    <w:pPr>
      <w:framePr w:w="4000" w:h="473" w:hRule="exact" w:vSpace="180" w:wrap="around" w:vAnchor="margin" w:hAnchor="margin" w:xAlign="right" w:y="13511" w:anchorLock="1"/>
      <w:widowControl/>
      <w:jc w:val="right"/>
    </w:pPr>
    <w:rPr>
      <w:rFonts w:ascii="Times New Roman" w:hAnsi="Times New Roman" w:eastAsia="黑体" w:cs="Times New Roman"/>
      <w:kern w:val="0"/>
      <w:sz w:val="28"/>
      <w:szCs w:val="20"/>
    </w:rPr>
  </w:style>
  <w:style w:type="character" w:customStyle="1" w:styleId="28">
    <w:name w:val="标题 2 Char"/>
    <w:basedOn w:val="13"/>
    <w:link w:val="3"/>
    <w:qFormat/>
    <w:uiPriority w:val="0"/>
    <w:rPr>
      <w:rFonts w:ascii="Arial" w:hAnsi="Arial" w:eastAsia="楷体_GB2312" w:cstheme="minorBidi"/>
      <w:b/>
      <w:bCs/>
      <w:sz w:val="24"/>
      <w:szCs w:val="32"/>
      <w:lang w:bidi="zh-TW"/>
    </w:rPr>
  </w:style>
  <w:style w:type="paragraph" w:customStyle="1" w:styleId="29">
    <w:name w:val="二级条标题"/>
    <w:basedOn w:val="17"/>
    <w:next w:val="18"/>
    <w:autoRedefine/>
    <w:qFormat/>
    <w:uiPriority w:val="0"/>
    <w:pPr>
      <w:tabs>
        <w:tab w:val="clear" w:pos="360"/>
      </w:tabs>
      <w:spacing w:line="360" w:lineRule="auto"/>
      <w:jc w:val="both"/>
      <w:outlineLvl w:val="3"/>
    </w:pPr>
    <w:rPr>
      <w:rFonts w:ascii="黑体"/>
      <w:szCs w:val="21"/>
    </w:rPr>
  </w:style>
  <w:style w:type="character" w:customStyle="1" w:styleId="30">
    <w:name w:val="段 Char"/>
    <w:link w:val="18"/>
    <w:qFormat/>
    <w:locked/>
    <w:uiPriority w:val="0"/>
    <w:rPr>
      <w:rFonts w:ascii="宋体"/>
      <w:b/>
      <w:snapToGrid w:val="0"/>
      <w:sz w:val="24"/>
    </w:rPr>
  </w:style>
  <w:style w:type="character" w:customStyle="1" w:styleId="31">
    <w:name w:val="正文文本 Char"/>
    <w:basedOn w:val="13"/>
    <w:link w:val="5"/>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CA36C7-1E53-4658-92F7-70309949C333}">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2158</Words>
  <Characters>2414</Characters>
  <Lines>80</Lines>
  <Paragraphs>22</Paragraphs>
  <TotalTime>4</TotalTime>
  <ScaleCrop>false</ScaleCrop>
  <LinksUpToDate>false</LinksUpToDate>
  <CharactersWithSpaces>2556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2025-06-20T02:49:00Z</dcterms:created>
  <dc:creator>余笙\</dc:creator>
  <cp:lastModifiedBy>llhliulihua</cp:lastModifiedBy>
  <dcterms:modified xsi:type="dcterms:W3CDTF">2025-06-20T06:32:05Z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684CA85BDF1C422AA2196BBC7C8ECF67_13</vt:lpwstr>
  </property>
  <property fmtid="{D5CDD505-2E9C-101B-9397-08002B2CF9AE}" pid="4" name="KSOTemplateDocerSaveRecord">
    <vt:lpwstr>eyJoZGlkIjoiN2JjNjlkY2Y1Y2NkZGE5Y2Q5NGZmMDVlNzZhMDkwMDUiLCJ1c2VySWQiOiI2NzY3MTU3NDcifQ==</vt:lpwstr>
  </property>
</Properties>
</file>