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C94F8">
      <w:pPr>
        <w:pStyle w:val="17"/>
        <w:framePr w:wrap="around"/>
        <w:rPr>
          <w:rFonts w:ascii="黑体" w:hAnsi="黑体" w:cs="黑体"/>
          <w:highlight w:val="none"/>
        </w:rPr>
      </w:pPr>
      <w:bookmarkStart w:id="0" w:name="SectionMark0"/>
      <w:r>
        <w:rPr>
          <w:rFonts w:hint="eastAsia" w:ascii="黑体" w:hAnsi="黑体" w:cs="黑体"/>
          <w:highlight w:val="none"/>
        </w:rPr>
        <w:t>ICS 67.120.10</w:t>
      </w:r>
    </w:p>
    <w:p w14:paraId="6F3BC382">
      <w:pPr>
        <w:pStyle w:val="17"/>
        <w:framePr w:wrap="around"/>
        <w:rPr>
          <w:rFonts w:ascii="黑体" w:hAnsi="黑体" w:cs="黑体"/>
          <w:highlight w:val="none"/>
        </w:rPr>
      </w:pPr>
      <w:r>
        <w:rPr>
          <w:rFonts w:hint="eastAsia" w:ascii="黑体" w:hAnsi="黑体" w:cs="黑体"/>
          <w:highlight w:val="none"/>
        </w:rPr>
        <w:t>CCS X22</w:t>
      </w:r>
    </w:p>
    <w:p w14:paraId="62C85520">
      <w:pPr>
        <w:pStyle w:val="18"/>
        <w:rPr>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column">
                  <wp:posOffset>-180340</wp:posOffset>
                </wp:positionH>
                <wp:positionV relativeFrom="paragraph">
                  <wp:posOffset>2273300</wp:posOffset>
                </wp:positionV>
                <wp:extent cx="6121400" cy="0"/>
                <wp:effectExtent l="0" t="6350" r="0" b="6350"/>
                <wp:wrapNone/>
                <wp:docPr id="64" name="Line 10"/>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0" o:spid="_x0000_s1026" o:spt="20" style="position:absolute;left:0pt;margin-left:-14.2pt;margin-top:179pt;height:0pt;width:482pt;z-index:251662336;mso-width-relative:page;mso-height-relative:page;" filled="f" stroked="t" coordsize="21600,21600" o:gfxdata="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5WUCPaAAAACwEAAA8AAAAAAAAAAQAgAAAAIgAAAGRy&#10;cy9kb3ducmV2LnhtbFBLAQIUABQAAAAIAIdO4kB82YOQygEAAKIDAAAOAAAAAAAAAAEAIAAAACkB&#10;AABkcnMvZTJvRG9jLnhtbFBLBQYAAAAABgAGAFkBAABlBQAAAAA=&#10;">
                <v:fill on="f" focussize="0,0"/>
                <v:stroke weight="1pt" color="#080000" joinstyle="round"/>
                <v:imagedata o:title=""/>
                <o:lock v:ext="edit" aspectratio="f"/>
              </v:line>
            </w:pict>
          </mc:Fallback>
        </mc:AlternateContent>
      </w:r>
      <w:r>
        <w:rPr>
          <w:highlight w:val="none"/>
        </w:rPr>
        <mc:AlternateContent>
          <mc:Choice Requires="wps">
            <w:drawing>
              <wp:anchor distT="0" distB="0" distL="114300" distR="114300" simplePos="0" relativeHeight="251660288" behindDoc="0" locked="1" layoutInCell="1" allowOverlap="1">
                <wp:simplePos x="0" y="0"/>
                <wp:positionH relativeFrom="margin">
                  <wp:posOffset>3875405</wp:posOffset>
                </wp:positionH>
                <wp:positionV relativeFrom="margin">
                  <wp:posOffset>8563610</wp:posOffset>
                </wp:positionV>
                <wp:extent cx="2019300" cy="312420"/>
                <wp:effectExtent l="0" t="0" r="0" b="11430"/>
                <wp:wrapNone/>
                <wp:docPr id="62"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66C5ABC1">
                            <w:pPr>
                              <w:pStyle w:val="29"/>
                              <w:numPr>
                                <w:ilvl w:val="0"/>
                                <w:numId w:val="0"/>
                              </w:numPr>
                            </w:pPr>
                            <w:r>
                              <w:rPr>
                                <w:rFonts w:hint="eastAsia" w:ascii="黑体" w:hAnsi="黑体" w:cs="黑体"/>
                              </w:rPr>
                              <w:t>2025-XX-XX</w:t>
                            </w:r>
                            <w:r>
                              <w:rPr>
                                <w:rFonts w:hint="eastAsia"/>
                              </w:rPr>
                              <w:t>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05.15pt;margin-top:674.3pt;height:24.6pt;width:159pt;mso-position-horizontal-relative:margin;mso-position-vertical-relative:margin;z-index:251660288;mso-width-relative:page;mso-height-relative:page;" fillcolor="#FFFFFF" filled="t" stroked="f" coordsize="21600,21600" o:gfxdata="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5z183aAAAADQEAAA8AAAAAAAAA&#10;AQAgAAAAIgAAAGRycy9kb3ducmV2LnhtbFBLAQIUABQAAAAIAIdO4kDkhqGgDwIAACwEAAAOAAAA&#10;AAAAAAEAIAAAACkBAABkcnMvZTJvRG9jLnhtbFBLBQYAAAAABgAGAFkBAACqBQAAAAA=&#10;">
                <v:fill on="t" focussize="0,0"/>
                <v:stroke on="f"/>
                <v:imagedata o:title=""/>
                <o:lock v:ext="edit" aspectratio="f"/>
                <v:textbox inset="0mm,0mm,0mm,0mm">
                  <w:txbxContent>
                    <w:p w14:paraId="66C5ABC1">
                      <w:pPr>
                        <w:pStyle w:val="29"/>
                        <w:numPr>
                          <w:ilvl w:val="0"/>
                          <w:numId w:val="0"/>
                        </w:numPr>
                      </w:pPr>
                      <w:r>
                        <w:rPr>
                          <w:rFonts w:hint="eastAsia" w:ascii="黑体" w:hAnsi="黑体" w:cs="黑体"/>
                        </w:rPr>
                        <w:t>2025-XX-XX</w:t>
                      </w:r>
                      <w:r>
                        <w:rPr>
                          <w:rFonts w:hint="eastAsia"/>
                        </w:rPr>
                        <w:t>实施</w:t>
                      </w:r>
                    </w:p>
                  </w:txbxContent>
                </v:textbox>
                <w10:anchorlock/>
              </v:shape>
            </w:pict>
          </mc:Fallback>
        </mc:AlternateContent>
      </w:r>
      <w:r>
        <w:rPr>
          <w:highlight w:val="none"/>
        </w:rPr>
        <mc:AlternateContent>
          <mc:Choice Requires="wps">
            <w:drawing>
              <wp:anchor distT="0" distB="0" distL="114300" distR="114300" simplePos="0" relativeHeight="251659264" behindDoc="0" locked="1" layoutInCell="1" allowOverlap="1">
                <wp:simplePos x="0" y="0"/>
                <wp:positionH relativeFrom="margin">
                  <wp:posOffset>-78105</wp:posOffset>
                </wp:positionH>
                <wp:positionV relativeFrom="margin">
                  <wp:posOffset>8576945</wp:posOffset>
                </wp:positionV>
                <wp:extent cx="2019300" cy="312420"/>
                <wp:effectExtent l="0" t="0" r="0" b="11430"/>
                <wp:wrapNone/>
                <wp:docPr id="61"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66FEFD68">
                            <w:pPr>
                              <w:pStyle w:val="30"/>
                            </w:pPr>
                            <w:r>
                              <w:rPr>
                                <w:rFonts w:hint="eastAsia" w:ascii="黑体" w:hAnsi="黑体" w:cs="黑体"/>
                              </w:rPr>
                              <w:t>2025-XX-XX</w:t>
                            </w:r>
                            <w:r>
                              <w:rPr>
                                <w:rFonts w:hint="eastAsia"/>
                              </w:rPr>
                              <w:t>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6.15pt;margin-top:675.35pt;height:24.6pt;width:159pt;mso-position-horizontal-relative:margin;mso-position-vertical-relative:margin;z-index:251659264;mso-width-relative:page;mso-height-relative:page;" fillcolor="#FFFFFF" filled="t" stroked="f" coordsize="21600,21600" o:gfxdata="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Bs3ru2wAAAA0BAAAPAAAAAAAA&#10;AAEAIAAAACIAAABkcnMvZG93bnJldi54bWxQSwECFAAUAAAACACHTuJA/hyiQA8CAAAsBAAADgAA&#10;AAAAAAABACAAAAAqAQAAZHJzL2Uyb0RvYy54bWxQSwUGAAAAAAYABgBZAQAAqwUAAAAA&#10;">
                <v:fill on="t" focussize="0,0"/>
                <v:stroke on="f"/>
                <v:imagedata o:title=""/>
                <o:lock v:ext="edit" aspectratio="f"/>
                <v:textbox inset="0mm,0mm,0mm,0mm">
                  <w:txbxContent>
                    <w:p w14:paraId="66FEFD68">
                      <w:pPr>
                        <w:pStyle w:val="30"/>
                      </w:pPr>
                      <w:r>
                        <w:rPr>
                          <w:rFonts w:hint="eastAsia" w:ascii="黑体" w:hAnsi="黑体" w:cs="黑体"/>
                        </w:rPr>
                        <w:t>2025-XX-XX</w:t>
                      </w:r>
                      <w:r>
                        <w:rPr>
                          <w:rFonts w:hint="eastAsia"/>
                        </w:rPr>
                        <w:t>发布</w:t>
                      </w:r>
                    </w:p>
                  </w:txbxContent>
                </v:textbox>
                <w10:anchorlock/>
              </v:shape>
            </w:pict>
          </mc:Fallback>
        </mc:AlternateContent>
      </w:r>
      <w:r>
        <w:rPr>
          <w:rFonts w:ascii="宋体" w:hAnsi="宋体" w:cs="宋体"/>
          <w:highlight w:val="none"/>
        </w:rPr>
        <mc:AlternateContent>
          <mc:Choice Requires="wps">
            <w:drawing>
              <wp:anchor distT="0" distB="0" distL="114300" distR="114300" simplePos="0" relativeHeight="251666432" behindDoc="0" locked="1" layoutInCell="1" allowOverlap="1">
                <wp:simplePos x="0" y="0"/>
                <wp:positionH relativeFrom="margin">
                  <wp:posOffset>-104140</wp:posOffset>
                </wp:positionH>
                <wp:positionV relativeFrom="margin">
                  <wp:posOffset>3635375</wp:posOffset>
                </wp:positionV>
                <wp:extent cx="5969000" cy="4525645"/>
                <wp:effectExtent l="0" t="0" r="12700" b="8255"/>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5969000" cy="4525645"/>
                        </a:xfrm>
                        <a:prstGeom prst="rect">
                          <a:avLst/>
                        </a:prstGeom>
                        <a:solidFill>
                          <a:srgbClr val="FFFFFF"/>
                        </a:solidFill>
                        <a:ln>
                          <a:noFill/>
                        </a:ln>
                        <a:effectLst/>
                      </wps:spPr>
                      <wps:txbx>
                        <w:txbxContent>
                          <w:p w14:paraId="13182D96">
                            <w:pPr>
                              <w:pStyle w:val="31"/>
                              <w:spacing w:before="0" w:line="240" w:lineRule="auto"/>
                              <w:rPr>
                                <w:rFonts w:eastAsia="黑体"/>
                                <w:sz w:val="52"/>
                                <w:szCs w:val="22"/>
                              </w:rPr>
                            </w:pPr>
                            <w:r>
                              <w:rPr>
                                <w:rFonts w:hint="eastAsia" w:eastAsia="黑体"/>
                                <w:sz w:val="52"/>
                                <w:szCs w:val="22"/>
                              </w:rPr>
                              <w:t>通辽牛肉酱卤制品</w:t>
                            </w:r>
                          </w:p>
                          <w:p w14:paraId="21999043">
                            <w:pPr>
                              <w:pStyle w:val="31"/>
                              <w:spacing w:before="0" w:line="240" w:lineRule="auto"/>
                              <w:rPr>
                                <w:rFonts w:ascii="黑体" w:hAnsi="黑体" w:eastAsia="黑体" w:cs="黑体"/>
                                <w:szCs w:val="28"/>
                              </w:rPr>
                            </w:pPr>
                            <w:r>
                              <w:rPr>
                                <w:rFonts w:hint="eastAsia" w:ascii="黑体" w:hAnsi="黑体" w:eastAsia="黑体" w:cs="黑体"/>
                                <w:szCs w:val="28"/>
                              </w:rPr>
                              <w:t>Tongliao beef s</w:t>
                            </w:r>
                            <w:r>
                              <w:rPr>
                                <w:rFonts w:ascii="黑体" w:hAnsi="黑体" w:eastAsia="黑体" w:cs="黑体"/>
                                <w:szCs w:val="28"/>
                              </w:rPr>
                              <w:t xml:space="preserve">oy </w:t>
                            </w:r>
                            <w:r>
                              <w:rPr>
                                <w:rFonts w:hint="eastAsia" w:ascii="黑体" w:hAnsi="黑体" w:eastAsia="黑体" w:cs="黑体"/>
                                <w:szCs w:val="28"/>
                              </w:rPr>
                              <w:t>s</w:t>
                            </w:r>
                            <w:r>
                              <w:rPr>
                                <w:rFonts w:ascii="黑体" w:hAnsi="黑体" w:eastAsia="黑体" w:cs="黑体"/>
                                <w:szCs w:val="28"/>
                              </w:rPr>
                              <w:t xml:space="preserve">auce and </w:t>
                            </w:r>
                            <w:r>
                              <w:rPr>
                                <w:rFonts w:hint="eastAsia" w:ascii="黑体" w:hAnsi="黑体" w:eastAsia="黑体" w:cs="黑体"/>
                                <w:szCs w:val="28"/>
                              </w:rPr>
                              <w:t>p</w:t>
                            </w:r>
                            <w:r>
                              <w:rPr>
                                <w:rFonts w:ascii="黑体" w:hAnsi="黑体" w:eastAsia="黑体" w:cs="黑体"/>
                                <w:szCs w:val="28"/>
                              </w:rPr>
                              <w:t>ot-</w:t>
                            </w:r>
                            <w:r>
                              <w:rPr>
                                <w:rFonts w:hint="eastAsia" w:ascii="黑体" w:hAnsi="黑体" w:eastAsia="黑体" w:cs="黑体"/>
                                <w:szCs w:val="28"/>
                              </w:rPr>
                              <w:t>r</w:t>
                            </w:r>
                            <w:r>
                              <w:rPr>
                                <w:rFonts w:ascii="黑体" w:hAnsi="黑体" w:eastAsia="黑体" w:cs="黑体"/>
                                <w:szCs w:val="28"/>
                              </w:rPr>
                              <w:t xml:space="preserve">oast </w:t>
                            </w:r>
                            <w:r>
                              <w:rPr>
                                <w:rFonts w:hint="eastAsia" w:ascii="黑体" w:hAnsi="黑体" w:eastAsia="黑体" w:cs="黑体"/>
                                <w:szCs w:val="28"/>
                              </w:rPr>
                              <w:t>p</w:t>
                            </w:r>
                            <w:r>
                              <w:rPr>
                                <w:rFonts w:ascii="黑体" w:hAnsi="黑体" w:eastAsia="黑体" w:cs="黑体"/>
                                <w:szCs w:val="28"/>
                              </w:rPr>
                              <w:t>roducts</w:t>
                            </w:r>
                          </w:p>
                          <w:p w14:paraId="1B4019BB">
                            <w:pPr>
                              <w:pStyle w:val="31"/>
                              <w:spacing w:before="0" w:line="240" w:lineRule="auto"/>
                              <w:rPr>
                                <w:rFonts w:ascii="Calibri" w:hAnsi="Calibri"/>
                                <w:szCs w:val="21"/>
                              </w:rPr>
                            </w:pPr>
                            <w:r>
                              <w:rPr>
                                <w:rFonts w:hint="eastAsia"/>
                                <w:szCs w:val="21"/>
                              </w:rPr>
                              <w:t>（征求</w:t>
                            </w:r>
                            <w:r>
                              <w:rPr>
                                <w:szCs w:val="21"/>
                              </w:rPr>
                              <w:t>意见稿</w:t>
                            </w:r>
                            <w:r>
                              <w:rPr>
                                <w:rFonts w:hint="eastAsia"/>
                                <w:szCs w:val="21"/>
                              </w:rPr>
                              <w:t>）</w:t>
                            </w:r>
                          </w:p>
                          <w:p w14:paraId="0527E80A">
                            <w:pPr>
                              <w:pStyle w:val="31"/>
                              <w:spacing w:before="0" w:line="240" w:lineRule="auto"/>
                              <w:rPr>
                                <w:rFonts w:ascii="宋体" w:hAnsi="宋体" w:cs="宋体"/>
                                <w:szCs w:val="28"/>
                              </w:rPr>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8.2pt;margin-top:286.25pt;height:356.35pt;width:470pt;mso-position-horizontal-relative:margin;mso-position-vertical-relative:margin;z-index:251666432;mso-width-relative:page;mso-height-relative:page;" fillcolor="#FFFFFF" filled="t" stroked="f" coordsize="21600,21600" o:gfxdata="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f9OV42wAAAAwBAAAPAAAAAAAAAAEAIAAAACIAAABkcnMvZG93bnJldi54bWxQSwECFAAU&#10;AAAACACHTuJAPp20yScCAAA9BAAADgAAAAAAAAABACAAAAAqAQAAZHJzL2Uyb0RvYy54bWxQSwUG&#10;AAAAAAYABgBZAQAAwwUAAAAA&#10;">
                <v:fill on="t" focussize="0,0"/>
                <v:stroke on="f"/>
                <v:imagedata o:title=""/>
                <o:lock v:ext="edit" aspectratio="f"/>
                <v:textbox inset="0mm,0mm,0mm,0mm">
                  <w:txbxContent>
                    <w:p w14:paraId="13182D96">
                      <w:pPr>
                        <w:pStyle w:val="31"/>
                        <w:spacing w:before="0" w:line="240" w:lineRule="auto"/>
                        <w:rPr>
                          <w:rFonts w:eastAsia="黑体"/>
                          <w:sz w:val="52"/>
                          <w:szCs w:val="22"/>
                        </w:rPr>
                      </w:pPr>
                      <w:r>
                        <w:rPr>
                          <w:rFonts w:hint="eastAsia" w:eastAsia="黑体"/>
                          <w:sz w:val="52"/>
                          <w:szCs w:val="22"/>
                        </w:rPr>
                        <w:t>通辽牛肉酱卤制品</w:t>
                      </w:r>
                    </w:p>
                    <w:p w14:paraId="21999043">
                      <w:pPr>
                        <w:pStyle w:val="31"/>
                        <w:spacing w:before="0" w:line="240" w:lineRule="auto"/>
                        <w:rPr>
                          <w:rFonts w:ascii="黑体" w:hAnsi="黑体" w:eastAsia="黑体" w:cs="黑体"/>
                          <w:szCs w:val="28"/>
                        </w:rPr>
                      </w:pPr>
                      <w:r>
                        <w:rPr>
                          <w:rFonts w:hint="eastAsia" w:ascii="黑体" w:hAnsi="黑体" w:eastAsia="黑体" w:cs="黑体"/>
                          <w:szCs w:val="28"/>
                        </w:rPr>
                        <w:t>Tongliao beef s</w:t>
                      </w:r>
                      <w:r>
                        <w:rPr>
                          <w:rFonts w:ascii="黑体" w:hAnsi="黑体" w:eastAsia="黑体" w:cs="黑体"/>
                          <w:szCs w:val="28"/>
                        </w:rPr>
                        <w:t xml:space="preserve">oy </w:t>
                      </w:r>
                      <w:r>
                        <w:rPr>
                          <w:rFonts w:hint="eastAsia" w:ascii="黑体" w:hAnsi="黑体" w:eastAsia="黑体" w:cs="黑体"/>
                          <w:szCs w:val="28"/>
                        </w:rPr>
                        <w:t>s</w:t>
                      </w:r>
                      <w:r>
                        <w:rPr>
                          <w:rFonts w:ascii="黑体" w:hAnsi="黑体" w:eastAsia="黑体" w:cs="黑体"/>
                          <w:szCs w:val="28"/>
                        </w:rPr>
                        <w:t xml:space="preserve">auce and </w:t>
                      </w:r>
                      <w:r>
                        <w:rPr>
                          <w:rFonts w:hint="eastAsia" w:ascii="黑体" w:hAnsi="黑体" w:eastAsia="黑体" w:cs="黑体"/>
                          <w:szCs w:val="28"/>
                        </w:rPr>
                        <w:t>p</w:t>
                      </w:r>
                      <w:r>
                        <w:rPr>
                          <w:rFonts w:ascii="黑体" w:hAnsi="黑体" w:eastAsia="黑体" w:cs="黑体"/>
                          <w:szCs w:val="28"/>
                        </w:rPr>
                        <w:t>ot-</w:t>
                      </w:r>
                      <w:r>
                        <w:rPr>
                          <w:rFonts w:hint="eastAsia" w:ascii="黑体" w:hAnsi="黑体" w:eastAsia="黑体" w:cs="黑体"/>
                          <w:szCs w:val="28"/>
                        </w:rPr>
                        <w:t>r</w:t>
                      </w:r>
                      <w:r>
                        <w:rPr>
                          <w:rFonts w:ascii="黑体" w:hAnsi="黑体" w:eastAsia="黑体" w:cs="黑体"/>
                          <w:szCs w:val="28"/>
                        </w:rPr>
                        <w:t xml:space="preserve">oast </w:t>
                      </w:r>
                      <w:r>
                        <w:rPr>
                          <w:rFonts w:hint="eastAsia" w:ascii="黑体" w:hAnsi="黑体" w:eastAsia="黑体" w:cs="黑体"/>
                          <w:szCs w:val="28"/>
                        </w:rPr>
                        <w:t>p</w:t>
                      </w:r>
                      <w:r>
                        <w:rPr>
                          <w:rFonts w:ascii="黑体" w:hAnsi="黑体" w:eastAsia="黑体" w:cs="黑体"/>
                          <w:szCs w:val="28"/>
                        </w:rPr>
                        <w:t>roducts</w:t>
                      </w:r>
                    </w:p>
                    <w:p w14:paraId="1B4019BB">
                      <w:pPr>
                        <w:pStyle w:val="31"/>
                        <w:spacing w:before="0" w:line="240" w:lineRule="auto"/>
                        <w:rPr>
                          <w:rFonts w:ascii="Calibri" w:hAnsi="Calibri"/>
                          <w:szCs w:val="21"/>
                        </w:rPr>
                      </w:pPr>
                      <w:r>
                        <w:rPr>
                          <w:rFonts w:hint="eastAsia"/>
                          <w:szCs w:val="21"/>
                        </w:rPr>
                        <w:t>（征求</w:t>
                      </w:r>
                      <w:r>
                        <w:rPr>
                          <w:szCs w:val="21"/>
                        </w:rPr>
                        <w:t>意见稿</w:t>
                      </w:r>
                      <w:r>
                        <w:rPr>
                          <w:rFonts w:hint="eastAsia"/>
                          <w:szCs w:val="21"/>
                        </w:rPr>
                        <w:t>）</w:t>
                      </w:r>
                    </w:p>
                    <w:p w14:paraId="0527E80A">
                      <w:pPr>
                        <w:pStyle w:val="31"/>
                        <w:spacing w:before="0" w:line="240" w:lineRule="auto"/>
                        <w:rPr>
                          <w:rFonts w:ascii="宋体" w:hAnsi="宋体" w:cs="宋体"/>
                          <w:szCs w:val="28"/>
                        </w:rPr>
                      </w:pPr>
                    </w:p>
                  </w:txbxContent>
                </v:textbox>
                <w10:anchorlock/>
              </v:shape>
            </w:pict>
          </mc:Fallback>
        </mc:AlternateContent>
      </w:r>
      <w:r>
        <w:rPr>
          <w:rFonts w:ascii="宋体" w:hAnsi="宋体" w:cs="宋体"/>
          <w:highlight w:val="none"/>
        </w:rPr>
        <mc:AlternateContent>
          <mc:Choice Requires="wps">
            <w:drawing>
              <wp:anchor distT="0" distB="0" distL="114300" distR="114300" simplePos="0" relativeHeight="251664384" behindDoc="0" locked="1" layoutInCell="1" allowOverlap="1">
                <wp:simplePos x="0" y="0"/>
                <wp:positionH relativeFrom="margin">
                  <wp:posOffset>-20955</wp:posOffset>
                </wp:positionH>
                <wp:positionV relativeFrom="margin">
                  <wp:posOffset>1401445</wp:posOffset>
                </wp:positionV>
                <wp:extent cx="5802630" cy="860425"/>
                <wp:effectExtent l="0" t="0" r="7620" b="15875"/>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ffectLst/>
                      </wps:spPr>
                      <wps:txbx>
                        <w:txbxContent>
                          <w:p w14:paraId="24E198ED">
                            <w:pPr>
                              <w:pStyle w:val="32"/>
                              <w:spacing w:before="510"/>
                              <w:ind w:left="420" w:hanging="420"/>
                              <w:rPr>
                                <w:rFonts w:ascii="黑体" w:hAnsi="黑体" w:eastAsia="黑体" w:cs="黑体"/>
                              </w:rPr>
                            </w:pPr>
                            <w:r>
                              <w:rPr>
                                <w:rFonts w:hint="eastAsia" w:ascii="黑体" w:hAnsi="黑体" w:eastAsia="黑体" w:cs="黑体"/>
                              </w:rPr>
                              <w:t>T/CMATB xxxx—2025</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65pt;margin-top:110.35pt;height:67.75pt;width:456.9pt;mso-position-horizontal-relative:margin;mso-position-vertical-relative:margin;z-index:251664384;mso-width-relative:page;mso-height-relative:page;" fillcolor="#FFFFFF" filled="t" stroked="f" coordsize="21600,21600" o:gfxdata="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QEtlh2gAAAAoBAAAPAAAAAAAAAAEAIAAAACIAAABkcnMvZG93bnJldi54bWxQSwECFAAUAAAA&#10;CACHTuJAWqlXNiUCAAA8BAAADgAAAAAAAAABACAAAAApAQAAZHJzL2Uyb0RvYy54bWxQSwUGAAAA&#10;AAYABgBZAQAAwAUAAAAA&#10;">
                <v:fill on="t" focussize="0,0"/>
                <v:stroke on="f"/>
                <v:imagedata o:title=""/>
                <o:lock v:ext="edit" aspectratio="f"/>
                <v:textbox inset="0mm,0mm,0mm,0mm">
                  <w:txbxContent>
                    <w:p w14:paraId="24E198ED">
                      <w:pPr>
                        <w:pStyle w:val="32"/>
                        <w:spacing w:before="510"/>
                        <w:ind w:left="420" w:hanging="420"/>
                        <w:rPr>
                          <w:rFonts w:ascii="黑体" w:hAnsi="黑体" w:eastAsia="黑体" w:cs="黑体"/>
                        </w:rPr>
                      </w:pPr>
                      <w:r>
                        <w:rPr>
                          <w:rFonts w:hint="eastAsia" w:ascii="黑体" w:hAnsi="黑体" w:eastAsia="黑体" w:cs="黑体"/>
                        </w:rPr>
                        <w:t>T/CMATB xxxx—2025</w:t>
                      </w:r>
                    </w:p>
                  </w:txbxContent>
                </v:textbox>
                <w10:anchorlock/>
              </v:shape>
            </w:pict>
          </mc:Fallback>
        </mc:AlternateContent>
      </w:r>
      <w:r>
        <w:rPr>
          <w:rFonts w:ascii="宋体" w:hAnsi="宋体" w:cs="宋体"/>
          <w:highlight w:val="none"/>
        </w:rPr>
        <mc:AlternateContent>
          <mc:Choice Requires="wps">
            <w:drawing>
              <wp:anchor distT="0" distB="0" distL="114300" distR="114300" simplePos="0" relativeHeight="251665408" behindDoc="0" locked="1" layoutInCell="1" allowOverlap="1">
                <wp:simplePos x="0" y="0"/>
                <wp:positionH relativeFrom="margin">
                  <wp:posOffset>453390</wp:posOffset>
                </wp:positionH>
                <wp:positionV relativeFrom="margin">
                  <wp:posOffset>1010920</wp:posOffset>
                </wp:positionV>
                <wp:extent cx="5027930" cy="391160"/>
                <wp:effectExtent l="0" t="0" r="1270" b="889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5027930" cy="391160"/>
                        </a:xfrm>
                        <a:prstGeom prst="rect">
                          <a:avLst/>
                        </a:prstGeom>
                        <a:solidFill>
                          <a:srgbClr val="FFFFFF"/>
                        </a:solidFill>
                        <a:ln>
                          <a:noFill/>
                        </a:ln>
                        <a:effectLst/>
                      </wps:spPr>
                      <wps:txbx>
                        <w:txbxContent>
                          <w:p w14:paraId="0E5FC99F">
                            <w:pPr>
                              <w:pStyle w:val="33"/>
                              <w:rPr>
                                <w:szCs w:val="52"/>
                              </w:rPr>
                            </w:pPr>
                            <w:r>
                              <w:rPr>
                                <w:rFonts w:hint="eastAsia"/>
                                <w:szCs w:val="52"/>
                              </w:rPr>
                              <w:t>团体标准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5.7pt;margin-top:79.6pt;height:30.8pt;width:395.9pt;mso-position-horizontal-relative:margin;mso-position-vertical-relative:margin;z-index:251665408;mso-width-relative:page;mso-height-relative:page;" fillcolor="#FFFFFF" filled="t" stroked="f" coordsize="21600,21600" o:gfxdata="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x0Jm2AAAAAoBAAAPAAAAAAAAAAEAIAAAACIAAABkcnMvZG93bnJldi54bWxQSwECFAAUAAAA&#10;CACHTuJAUqVJ6ScCAAA8BAAADgAAAAAAAAABACAAAAAnAQAAZHJzL2Uyb0RvYy54bWxQSwUGAAAA&#10;AAYABgBZAQAAwAUAAAAA&#10;">
                <v:fill on="t" focussize="0,0"/>
                <v:stroke on="f"/>
                <v:imagedata o:title=""/>
                <o:lock v:ext="edit" aspectratio="f"/>
                <v:textbox inset="0mm,0mm,0mm,0mm">
                  <w:txbxContent>
                    <w:p w14:paraId="0E5FC99F">
                      <w:pPr>
                        <w:pStyle w:val="33"/>
                        <w:rPr>
                          <w:szCs w:val="52"/>
                        </w:rPr>
                      </w:pPr>
                      <w:r>
                        <w:rPr>
                          <w:rFonts w:hint="eastAsia"/>
                          <w:szCs w:val="52"/>
                        </w:rPr>
                        <w:t>团体标准</w:t>
                      </w:r>
                    </w:p>
                  </w:txbxContent>
                </v:textbox>
                <w10:anchorlock/>
              </v:shape>
            </w:pict>
          </mc:Fallback>
        </mc:AlternateContent>
      </w:r>
    </w:p>
    <w:p w14:paraId="3A76930D">
      <w:pPr>
        <w:rPr>
          <w:highlight w:val="none"/>
        </w:rPr>
      </w:pPr>
    </w:p>
    <w:p w14:paraId="71F43F2C">
      <w:pPr>
        <w:rPr>
          <w:highlight w:val="none"/>
        </w:rPr>
      </w:pPr>
    </w:p>
    <w:p w14:paraId="422878F0">
      <w:pPr>
        <w:rPr>
          <w:highlight w:val="none"/>
        </w:rPr>
      </w:pPr>
    </w:p>
    <w:p w14:paraId="25B47611">
      <w:pPr>
        <w:rPr>
          <w:highlight w:val="none"/>
        </w:rPr>
      </w:pPr>
    </w:p>
    <w:p w14:paraId="17222CB7">
      <w:pPr>
        <w:rPr>
          <w:highlight w:val="none"/>
        </w:rPr>
      </w:pPr>
    </w:p>
    <w:p w14:paraId="151A2759">
      <w:pPr>
        <w:rPr>
          <w:highlight w:val="none"/>
        </w:rPr>
      </w:pPr>
    </w:p>
    <w:p w14:paraId="27644405">
      <w:pPr>
        <w:rPr>
          <w:highlight w:val="none"/>
        </w:rPr>
      </w:pPr>
    </w:p>
    <w:p w14:paraId="4C92409E">
      <w:pPr>
        <w:rPr>
          <w:highlight w:val="none"/>
        </w:rPr>
      </w:pPr>
    </w:p>
    <w:p w14:paraId="21C5CE35">
      <w:pPr>
        <w:rPr>
          <w:highlight w:val="none"/>
        </w:rPr>
      </w:pPr>
    </w:p>
    <w:p w14:paraId="3C8494CE">
      <w:pPr>
        <w:rPr>
          <w:highlight w:val="none"/>
        </w:rPr>
      </w:pPr>
    </w:p>
    <w:p w14:paraId="454D7C9A">
      <w:pPr>
        <w:rPr>
          <w:highlight w:val="none"/>
        </w:rPr>
      </w:pPr>
    </w:p>
    <w:p w14:paraId="48B1EAA6">
      <w:pPr>
        <w:rPr>
          <w:highlight w:val="none"/>
        </w:rPr>
      </w:pPr>
    </w:p>
    <w:p w14:paraId="6C83BFD0">
      <w:pPr>
        <w:rPr>
          <w:highlight w:val="none"/>
        </w:rPr>
      </w:pPr>
    </w:p>
    <w:p w14:paraId="156282C7">
      <w:pPr>
        <w:tabs>
          <w:tab w:val="left" w:pos="8445"/>
        </w:tabs>
        <w:rPr>
          <w:highlight w:val="none"/>
        </w:rPr>
      </w:pPr>
      <w:r>
        <w:rPr>
          <w:highlight w:val="none"/>
        </w:rPr>
        <mc:AlternateContent>
          <mc:Choice Requires="wps">
            <w:drawing>
              <wp:anchor distT="0" distB="0" distL="114300" distR="114300" simplePos="0" relativeHeight="251663360" behindDoc="0" locked="0" layoutInCell="1" allowOverlap="1">
                <wp:simplePos x="0" y="0"/>
                <wp:positionH relativeFrom="column">
                  <wp:posOffset>-180340</wp:posOffset>
                </wp:positionH>
                <wp:positionV relativeFrom="paragraph">
                  <wp:posOffset>5605145</wp:posOffset>
                </wp:positionV>
                <wp:extent cx="6121400" cy="0"/>
                <wp:effectExtent l="0" t="6350" r="0" b="6350"/>
                <wp:wrapNone/>
                <wp:docPr id="65" name="Line 11"/>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1" o:spid="_x0000_s1026" o:spt="20" style="position:absolute;left:0pt;margin-left:-14.2pt;margin-top:441.35pt;height:0pt;width:482pt;z-index:251663360;mso-width-relative:page;mso-height-relative:page;" filled="f" stroked="t" coordsize="21600,21600" o:gfxdata="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&#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RTarPZAAAACwEAAA8AAAAAAAAAAQAgAAAAIgAAAGRy&#10;cy9kb3ducmV2LnhtbFBLAQIUABQAAAAIAIdO4kAdbf+UywEAAKIDAAAOAAAAAAAAAAEAIAAAACgB&#10;AABkcnMvZTJvRG9jLnhtbFBLBQYAAAAABgAGAFkBAABlBQAAAAA=&#10;">
                <v:fill on="f" focussize="0,0"/>
                <v:stroke weight="1pt" color="#080000" joinstyle="round"/>
                <v:imagedata o:title=""/>
                <o:lock v:ext="edit" aspectratio="f"/>
              </v:line>
            </w:pict>
          </mc:Fallback>
        </mc:AlternateContent>
      </w:r>
      <w:r>
        <w:rPr>
          <w:color w:val="FF0000"/>
          <w:highlight w:val="none"/>
        </w:rPr>
        <mc:AlternateContent>
          <mc:Choice Requires="wps">
            <w:drawing>
              <wp:anchor distT="0" distB="0" distL="114300" distR="114300" simplePos="0" relativeHeight="251667456" behindDoc="0" locked="1" layoutInCell="1" allowOverlap="1">
                <wp:simplePos x="0" y="0"/>
                <wp:positionH relativeFrom="margin">
                  <wp:posOffset>-76835</wp:posOffset>
                </wp:positionH>
                <wp:positionV relativeFrom="margin">
                  <wp:posOffset>8921750</wp:posOffset>
                </wp:positionV>
                <wp:extent cx="5757545" cy="363220"/>
                <wp:effectExtent l="0" t="0" r="14605" b="17780"/>
                <wp:wrapNone/>
                <wp:docPr id="16" name="fmFrame7"/>
                <wp:cNvGraphicFramePr/>
                <a:graphic xmlns:a="http://schemas.openxmlformats.org/drawingml/2006/main">
                  <a:graphicData uri="http://schemas.microsoft.com/office/word/2010/wordprocessingShape">
                    <wps:wsp>
                      <wps:cNvSpPr txBox="1">
                        <a:spLocks noChangeArrowheads="1"/>
                      </wps:cNvSpPr>
                      <wps:spPr bwMode="auto">
                        <a:xfrm>
                          <a:off x="0" y="0"/>
                          <a:ext cx="5757545" cy="363220"/>
                        </a:xfrm>
                        <a:prstGeom prst="rect">
                          <a:avLst/>
                        </a:prstGeom>
                        <a:solidFill>
                          <a:srgbClr val="FFFFFF"/>
                        </a:solidFill>
                        <a:ln>
                          <a:noFill/>
                        </a:ln>
                        <a:effectLst/>
                      </wps:spPr>
                      <wps:txbx>
                        <w:txbxContent>
                          <w:p w14:paraId="5AB41531">
                            <w:pPr>
                              <w:pStyle w:val="34"/>
                            </w:pPr>
                            <w:r>
                              <w:t>中国肉类协会</w:t>
                            </w:r>
                            <w:r>
                              <w:rPr>
                                <w:rStyle w:val="35"/>
                                <w:rFonts w:hint="eastAsia"/>
                              </w:rPr>
                              <w:t xml:space="preserve">  发布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6.05pt;margin-top:702.5pt;height:28.6pt;width:453.35pt;mso-position-horizontal-relative:margin;mso-position-vertical-relative:margin;z-index:251667456;mso-width-relative:page;mso-height-relative:page;" fillcolor="#FFFFFF" filled="t" stroked="f" coordsize="21600,21600" o:gfxdata="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GFUBvaAAAADQEAAA8A&#10;AAAAAAAAAQAgAAAAIgAAAGRycy9kb3ducmV2LnhtbFBLAQIUABQAAAAIAIdO4kAp1IoCFQIAADoE&#10;AAAOAAAAAAAAAAEAIAAAACkBAABkcnMvZTJvRG9jLnhtbFBLBQYAAAAABgAGAFkBAACwBQAAAAA=&#10;">
                <v:fill on="t" focussize="0,0"/>
                <v:stroke on="f"/>
                <v:imagedata o:title=""/>
                <o:lock v:ext="edit" aspectratio="f"/>
                <v:textbox inset="0mm,0mm,0mm,0mm">
                  <w:txbxContent>
                    <w:p w14:paraId="5AB41531">
                      <w:pPr>
                        <w:pStyle w:val="34"/>
                      </w:pPr>
                      <w:r>
                        <w:t>中国肉类协会</w:t>
                      </w:r>
                      <w:r>
                        <w:rPr>
                          <w:rStyle w:val="35"/>
                          <w:rFonts w:hint="eastAsia"/>
                        </w:rPr>
                        <w:t xml:space="preserve">  发布</w:t>
                      </w:r>
                    </w:p>
                  </w:txbxContent>
                </v:textbox>
                <w10:anchorlock/>
              </v:shape>
            </w:pict>
          </mc:Fallback>
        </mc:AlternateContent>
      </w:r>
    </w:p>
    <w:p w14:paraId="7F3FDBA3">
      <w:pPr>
        <w:rPr>
          <w:highlight w:val="none"/>
        </w:rPr>
        <w:sectPr>
          <w:headerReference r:id="rId6" w:type="first"/>
          <w:headerReference r:id="rId5" w:type="default"/>
          <w:footerReference r:id="rId7" w:type="default"/>
          <w:footerReference r:id="rId8" w:type="even"/>
          <w:pgSz w:w="11907" w:h="16839"/>
          <w:pgMar w:top="567" w:right="1417" w:bottom="1361" w:left="1418" w:header="0" w:footer="0" w:gutter="0"/>
          <w:pgNumType w:start="1"/>
          <w:cols w:space="0" w:num="1"/>
          <w:titlePg/>
          <w:docGrid w:type="lines" w:linePitch="312" w:charSpace="0"/>
        </w:sectPr>
      </w:pPr>
    </w:p>
    <w:bookmarkEnd w:id="0"/>
    <w:p w14:paraId="4FDA0A21">
      <w:pPr>
        <w:pStyle w:val="43"/>
        <w:ind w:firstLine="3840" w:firstLineChars="1200"/>
        <w:jc w:val="both"/>
        <w:rPr>
          <w:highlight w:val="none"/>
        </w:rPr>
      </w:pPr>
      <w:r>
        <w:rPr>
          <w:rFonts w:hint="eastAsia"/>
          <w:highlight w:val="none"/>
        </w:rPr>
        <w:t>前</w:t>
      </w:r>
      <w:bookmarkStart w:id="1" w:name="BKQY"/>
      <w:r>
        <w:rPr>
          <w:rFonts w:hint="eastAsia"/>
          <w:highlight w:val="none"/>
        </w:rPr>
        <w:t>  言</w:t>
      </w:r>
      <w:bookmarkEnd w:id="1"/>
    </w:p>
    <w:p w14:paraId="7AC36F06">
      <w:pPr>
        <w:pStyle w:val="3"/>
        <w:rPr>
          <w:kern w:val="0"/>
          <w:highlight w:val="none"/>
        </w:rPr>
      </w:pPr>
      <w:bookmarkStart w:id="2" w:name="_Hlk151561528"/>
      <w:r>
        <w:rPr>
          <w:rFonts w:hint="eastAsia"/>
          <w:kern w:val="0"/>
          <w:highlight w:val="none"/>
        </w:rPr>
        <w:t>本文件按照GB/T 1.1-2020《标准化工作导则 第1部分：标准化文件的结构和起草规则》的规定起草。</w:t>
      </w:r>
    </w:p>
    <w:p w14:paraId="36872D9F">
      <w:pPr>
        <w:ind w:firstLine="420"/>
        <w:rPr>
          <w:highlight w:val="none"/>
        </w:rPr>
      </w:pPr>
      <w:r>
        <w:rPr>
          <w:rFonts w:hint="eastAsia"/>
          <w:highlight w:val="none"/>
        </w:rPr>
        <w:t>请注意本文件的某些内容有可能涉及专利。本文件的发布机构不承担识别专利的责任。</w:t>
      </w:r>
    </w:p>
    <w:p w14:paraId="7AEDEAB9">
      <w:pPr>
        <w:pStyle w:val="3"/>
        <w:rPr>
          <w:kern w:val="0"/>
          <w:highlight w:val="none"/>
        </w:rPr>
      </w:pPr>
      <w:r>
        <w:rPr>
          <w:rFonts w:hint="eastAsia"/>
          <w:kern w:val="0"/>
          <w:highlight w:val="none"/>
        </w:rPr>
        <w:t>本文件由中国肉类协会提出并归口。</w:t>
      </w:r>
    </w:p>
    <w:p w14:paraId="1452C3BB">
      <w:pPr>
        <w:pStyle w:val="20"/>
        <w:rPr>
          <w:highlight w:val="none"/>
        </w:rPr>
      </w:pPr>
      <w:r>
        <w:rPr>
          <w:rFonts w:hint="eastAsia"/>
          <w:highlight w:val="none"/>
        </w:rPr>
        <w:t>本文件由中国肉类协会发布。</w:t>
      </w:r>
    </w:p>
    <w:p w14:paraId="462B8E9C">
      <w:pPr>
        <w:ind w:firstLine="420"/>
        <w:rPr>
          <w:kern w:val="0"/>
          <w:szCs w:val="20"/>
          <w:highlight w:val="none"/>
        </w:rPr>
      </w:pPr>
      <w:r>
        <w:rPr>
          <w:rFonts w:hint="eastAsia"/>
          <w:kern w:val="0"/>
          <w:szCs w:val="20"/>
          <w:highlight w:val="none"/>
        </w:rPr>
        <w:t>本文件起草单位：。</w:t>
      </w:r>
    </w:p>
    <w:p w14:paraId="100AE0EC">
      <w:pPr>
        <w:ind w:firstLine="420"/>
        <w:rPr>
          <w:rFonts w:ascii="宋体" w:hAnsi="Courier New"/>
          <w:kern w:val="0"/>
          <w:szCs w:val="20"/>
          <w:highlight w:val="none"/>
        </w:rPr>
      </w:pPr>
      <w:r>
        <w:rPr>
          <w:rFonts w:hint="eastAsia"/>
          <w:kern w:val="0"/>
          <w:szCs w:val="20"/>
          <w:highlight w:val="none"/>
        </w:rPr>
        <w:t>本文件主要起草人：</w:t>
      </w:r>
      <w:r>
        <w:rPr>
          <w:rFonts w:hint="eastAsia" w:ascii="宋体" w:hAnsi="Courier New"/>
          <w:kern w:val="0"/>
          <w:szCs w:val="20"/>
          <w:highlight w:val="none"/>
        </w:rPr>
        <w:t>。</w:t>
      </w:r>
    </w:p>
    <w:p w14:paraId="0C6386F1">
      <w:pPr>
        <w:pStyle w:val="3"/>
        <w:ind w:firstLineChars="200"/>
        <w:rPr>
          <w:highlight w:val="none"/>
        </w:rPr>
        <w:sectPr>
          <w:headerReference r:id="rId9" w:type="default"/>
          <w:footerReference r:id="rId10" w:type="default"/>
          <w:pgSz w:w="11906" w:h="16838"/>
          <w:pgMar w:top="1417" w:right="1417" w:bottom="1417" w:left="1417" w:header="1417" w:footer="1134" w:gutter="0"/>
          <w:pgNumType w:fmt="upperRoman" w:start="1"/>
          <w:cols w:space="0" w:num="1"/>
          <w:docGrid w:type="lines" w:linePitch="312" w:charSpace="0"/>
        </w:sectPr>
      </w:pPr>
    </w:p>
    <w:bookmarkEnd w:id="2"/>
    <w:p w14:paraId="613C90C8">
      <w:pPr>
        <w:keepNext/>
        <w:widowControl/>
        <w:shd w:val="clear" w:color="FFFFFF" w:fill="FFFFFF"/>
        <w:snapToGrid w:val="0"/>
        <w:spacing w:before="640" w:after="560"/>
        <w:jc w:val="center"/>
        <w:outlineLvl w:val="0"/>
        <w:rPr>
          <w:rFonts w:eastAsia="黑体"/>
          <w:kern w:val="0"/>
          <w:sz w:val="32"/>
          <w:szCs w:val="20"/>
          <w:highlight w:val="none"/>
        </w:rPr>
      </w:pPr>
      <w:bookmarkStart w:id="3" w:name="OLE_LINK2"/>
      <w:r>
        <w:rPr>
          <w:rFonts w:hint="eastAsia" w:eastAsia="黑体"/>
          <w:kern w:val="0"/>
          <w:sz w:val="32"/>
          <w:szCs w:val="20"/>
          <w:highlight w:val="none"/>
        </w:rPr>
        <w:t>通辽牛肉酱卤制品</w:t>
      </w:r>
    </w:p>
    <w:bookmarkEnd w:id="3"/>
    <w:p w14:paraId="6B8B4290">
      <w:pPr>
        <w:pStyle w:val="19"/>
        <w:numPr>
          <w:ilvl w:val="0"/>
          <w:numId w:val="2"/>
        </w:numPr>
        <w:spacing w:before="312" w:beforeLines="100" w:after="312" w:afterLines="100"/>
        <w:outlineLvl w:val="0"/>
        <w:rPr>
          <w:rFonts w:hAnsi="黑体"/>
          <w:szCs w:val="21"/>
          <w:highlight w:val="none"/>
        </w:rPr>
      </w:pPr>
      <w:bookmarkStart w:id="4" w:name="_Toc22197892"/>
      <w:bookmarkStart w:id="5" w:name="_Toc22135199"/>
      <w:bookmarkStart w:id="6" w:name="_Toc21982137"/>
      <w:bookmarkStart w:id="7" w:name="_Toc21982424"/>
      <w:r>
        <w:rPr>
          <w:rFonts w:hint="eastAsia" w:hAnsi="黑体"/>
          <w:szCs w:val="21"/>
          <w:highlight w:val="none"/>
        </w:rPr>
        <w:t>范围</w:t>
      </w:r>
      <w:bookmarkEnd w:id="4"/>
      <w:bookmarkEnd w:id="5"/>
      <w:bookmarkEnd w:id="6"/>
      <w:bookmarkEnd w:id="7"/>
    </w:p>
    <w:p w14:paraId="58857C75">
      <w:pPr>
        <w:pStyle w:val="20"/>
        <w:rPr>
          <w:highlight w:val="none"/>
        </w:rPr>
      </w:pPr>
      <w:r>
        <w:rPr>
          <w:rFonts w:hint="eastAsia"/>
          <w:highlight w:val="none"/>
        </w:rPr>
        <w:t>本标准规定了通辽牛肉酱卤制品的产品分类、</w:t>
      </w:r>
      <w:r>
        <w:rPr>
          <w:highlight w:val="none"/>
        </w:rPr>
        <w:t>技术要求</w:t>
      </w:r>
      <w:r>
        <w:rPr>
          <w:rFonts w:hint="eastAsia"/>
          <w:highlight w:val="none"/>
        </w:rPr>
        <w:t>、生产加工管理、</w:t>
      </w:r>
      <w:r>
        <w:rPr>
          <w:rFonts w:hint="eastAsia"/>
          <w:highlight w:val="none"/>
        </w:rPr>
        <w:t>试验</w:t>
      </w:r>
      <w:r>
        <w:rPr>
          <w:rFonts w:hint="eastAsia"/>
          <w:highlight w:val="none"/>
        </w:rPr>
        <w:t>方法</w:t>
      </w:r>
      <w:r>
        <w:rPr>
          <w:highlight w:val="none"/>
        </w:rPr>
        <w:t>、检验</w:t>
      </w:r>
      <w:r>
        <w:rPr>
          <w:rFonts w:hint="eastAsia"/>
          <w:highlight w:val="none"/>
        </w:rPr>
        <w:t>规则、标签、标志、包装、贮存</w:t>
      </w:r>
      <w:r>
        <w:rPr>
          <w:rFonts w:hint="eastAsia"/>
          <w:highlight w:val="none"/>
        </w:rPr>
        <w:t>及</w:t>
      </w:r>
      <w:r>
        <w:rPr>
          <w:rFonts w:hint="eastAsia"/>
          <w:highlight w:val="none"/>
        </w:rPr>
        <w:t>运输的要求。</w:t>
      </w:r>
    </w:p>
    <w:p w14:paraId="14046EF2">
      <w:pPr>
        <w:pStyle w:val="20"/>
        <w:rPr>
          <w:highlight w:val="none"/>
        </w:rPr>
      </w:pPr>
      <w:bookmarkStart w:id="8" w:name="OLE_LINK3"/>
      <w:r>
        <w:rPr>
          <w:rFonts w:hint="eastAsia"/>
          <w:highlight w:val="none"/>
        </w:rPr>
        <w:t>本文件适用于通辽牛肉酱卤制品的生产、检验和销售。</w:t>
      </w:r>
    </w:p>
    <w:bookmarkEnd w:id="8"/>
    <w:p w14:paraId="0920F69C">
      <w:pPr>
        <w:pStyle w:val="19"/>
        <w:numPr>
          <w:ilvl w:val="0"/>
          <w:numId w:val="2"/>
        </w:numPr>
        <w:spacing w:before="312" w:beforeLines="100" w:after="312" w:afterLines="100"/>
        <w:outlineLvl w:val="0"/>
        <w:rPr>
          <w:rFonts w:hAnsi="黑体"/>
          <w:szCs w:val="21"/>
          <w:highlight w:val="none"/>
        </w:rPr>
      </w:pPr>
      <w:bookmarkStart w:id="9" w:name="_Toc21982425"/>
      <w:bookmarkStart w:id="10" w:name="_Toc20235279"/>
      <w:bookmarkStart w:id="11" w:name="_Toc20236394"/>
      <w:bookmarkStart w:id="12" w:name="_Toc16171934"/>
      <w:bookmarkStart w:id="13" w:name="_Toc22135200"/>
      <w:bookmarkStart w:id="14" w:name="_Toc20317838"/>
      <w:bookmarkStart w:id="15" w:name="_Toc21982138"/>
      <w:bookmarkStart w:id="16" w:name="_Toc20410231"/>
      <w:bookmarkStart w:id="17" w:name="_Toc22197893"/>
      <w:bookmarkStart w:id="18" w:name="_Toc20410158"/>
      <w:bookmarkStart w:id="19" w:name="_Toc16172012"/>
      <w:r>
        <w:rPr>
          <w:rFonts w:hint="eastAsia" w:hAnsi="黑体"/>
          <w:szCs w:val="21"/>
          <w:highlight w:val="none"/>
        </w:rPr>
        <w:t>规范性引用文件</w:t>
      </w:r>
      <w:bookmarkEnd w:id="9"/>
      <w:bookmarkEnd w:id="10"/>
      <w:bookmarkEnd w:id="11"/>
      <w:bookmarkEnd w:id="12"/>
      <w:bookmarkEnd w:id="13"/>
      <w:bookmarkEnd w:id="14"/>
      <w:bookmarkEnd w:id="15"/>
      <w:bookmarkEnd w:id="16"/>
      <w:bookmarkEnd w:id="17"/>
      <w:bookmarkEnd w:id="18"/>
      <w:bookmarkEnd w:id="19"/>
    </w:p>
    <w:p w14:paraId="50A17718">
      <w:pPr>
        <w:pStyle w:val="20"/>
        <w:rPr>
          <w:highlight w:val="none"/>
        </w:rPr>
      </w:pPr>
      <w:r>
        <w:rPr>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D62A4F1">
      <w:pPr>
        <w:pStyle w:val="20"/>
        <w:rPr>
          <w:rFonts w:ascii="Times New Roman"/>
          <w:highlight w:val="none"/>
        </w:rPr>
      </w:pPr>
      <w:bookmarkStart w:id="20" w:name="_Toc20410159"/>
      <w:bookmarkStart w:id="21" w:name="_Toc20317839"/>
      <w:bookmarkStart w:id="22" w:name="_Toc16171935"/>
      <w:bookmarkStart w:id="23" w:name="_Toc20236395"/>
      <w:bookmarkStart w:id="24" w:name="_Toc21982139"/>
      <w:bookmarkStart w:id="25" w:name="_Toc20410232"/>
      <w:bookmarkStart w:id="26" w:name="_Toc22135201"/>
      <w:bookmarkStart w:id="27" w:name="_Toc22197894"/>
      <w:bookmarkStart w:id="28" w:name="_Toc16172013"/>
      <w:bookmarkStart w:id="29" w:name="_Toc20235280"/>
      <w:bookmarkStart w:id="30" w:name="_Toc21982426"/>
      <w:r>
        <w:rPr>
          <w:rFonts w:ascii="Times New Roman"/>
          <w:highlight w:val="none"/>
        </w:rPr>
        <w:t>GB/T 191 包装储运图示标志</w:t>
      </w:r>
    </w:p>
    <w:p w14:paraId="2C5E877F">
      <w:pPr>
        <w:pStyle w:val="20"/>
        <w:rPr>
          <w:rFonts w:ascii="Times New Roman"/>
          <w:highlight w:val="none"/>
        </w:rPr>
      </w:pPr>
      <w:r>
        <w:rPr>
          <w:rFonts w:ascii="Times New Roman"/>
          <w:highlight w:val="none"/>
        </w:rPr>
        <w:t>GB 2726  食品安全国家标准  熟肉制品</w:t>
      </w:r>
    </w:p>
    <w:p w14:paraId="4180D3BA">
      <w:pPr>
        <w:pStyle w:val="20"/>
        <w:rPr>
          <w:rFonts w:ascii="Times New Roman"/>
          <w:highlight w:val="none"/>
        </w:rPr>
      </w:pPr>
      <w:r>
        <w:rPr>
          <w:rFonts w:ascii="Times New Roman"/>
          <w:highlight w:val="none"/>
        </w:rPr>
        <w:t>GB 2760  食品安全国家标准  食品添加剂使用标准</w:t>
      </w:r>
    </w:p>
    <w:p w14:paraId="06475014">
      <w:pPr>
        <w:pStyle w:val="20"/>
        <w:rPr>
          <w:rFonts w:ascii="Times New Roman"/>
          <w:highlight w:val="none"/>
        </w:rPr>
      </w:pPr>
      <w:r>
        <w:rPr>
          <w:rFonts w:ascii="Times New Roman"/>
          <w:highlight w:val="none"/>
        </w:rPr>
        <w:t>GB 2762  食品安全国家标准  食品中污染物限量</w:t>
      </w:r>
    </w:p>
    <w:p w14:paraId="78D7CA02">
      <w:pPr>
        <w:pStyle w:val="20"/>
        <w:rPr>
          <w:rFonts w:ascii="Times New Roman"/>
          <w:highlight w:val="none"/>
        </w:rPr>
      </w:pPr>
      <w:r>
        <w:rPr>
          <w:rFonts w:ascii="Times New Roman"/>
          <w:highlight w:val="none"/>
        </w:rPr>
        <w:t xml:space="preserve">GB 4789.17 食品安全国家标准  食品微生物学检验 </w:t>
      </w:r>
      <w:r>
        <w:rPr>
          <w:rFonts w:hint="eastAsia" w:ascii="Times New Roman"/>
          <w:highlight w:val="none"/>
        </w:rPr>
        <w:t xml:space="preserve"> </w:t>
      </w:r>
      <w:r>
        <w:rPr>
          <w:rFonts w:ascii="Times New Roman"/>
          <w:highlight w:val="none"/>
        </w:rPr>
        <w:t>肉与肉制品采样和检样处理</w:t>
      </w:r>
    </w:p>
    <w:p w14:paraId="096D9828">
      <w:pPr>
        <w:pStyle w:val="20"/>
        <w:rPr>
          <w:rFonts w:ascii="Times New Roman"/>
          <w:highlight w:val="none"/>
        </w:rPr>
      </w:pPr>
      <w:r>
        <w:rPr>
          <w:rFonts w:ascii="Times New Roman"/>
          <w:highlight w:val="none"/>
        </w:rPr>
        <w:t>GB 5009.3  食品安全国家标准  食品中水分的测定</w:t>
      </w:r>
    </w:p>
    <w:p w14:paraId="4C72D986">
      <w:pPr>
        <w:pStyle w:val="20"/>
        <w:rPr>
          <w:rFonts w:ascii="Times New Roman"/>
          <w:highlight w:val="none"/>
        </w:rPr>
      </w:pPr>
      <w:r>
        <w:rPr>
          <w:rFonts w:ascii="Times New Roman"/>
          <w:highlight w:val="none"/>
        </w:rPr>
        <w:t>GB 5009.5  食品安全国家标准  食品中蛋白质的测定</w:t>
      </w:r>
    </w:p>
    <w:p w14:paraId="0FCCC280">
      <w:pPr>
        <w:pStyle w:val="20"/>
        <w:rPr>
          <w:rFonts w:ascii="Times New Roman"/>
          <w:highlight w:val="none"/>
        </w:rPr>
      </w:pPr>
      <w:r>
        <w:rPr>
          <w:rFonts w:ascii="Times New Roman"/>
          <w:highlight w:val="none"/>
        </w:rPr>
        <w:t>GB 5009.44  食品安全国家标准  食品中氯化物的测定</w:t>
      </w:r>
    </w:p>
    <w:p w14:paraId="3D4E711B">
      <w:pPr>
        <w:pStyle w:val="20"/>
        <w:rPr>
          <w:rFonts w:ascii="Times New Roman"/>
          <w:highlight w:val="none"/>
        </w:rPr>
      </w:pPr>
      <w:r>
        <w:rPr>
          <w:rFonts w:ascii="Times New Roman"/>
          <w:highlight w:val="none"/>
        </w:rPr>
        <w:t>GB 7718  食品安全国家标准  预包装食品标签通则</w:t>
      </w:r>
    </w:p>
    <w:p w14:paraId="0555F307">
      <w:pPr>
        <w:pStyle w:val="20"/>
        <w:rPr>
          <w:rFonts w:ascii="Times New Roman"/>
          <w:highlight w:val="none"/>
        </w:rPr>
      </w:pPr>
      <w:r>
        <w:rPr>
          <w:rFonts w:ascii="Times New Roman"/>
          <w:highlight w:val="none"/>
        </w:rPr>
        <w:t>GB/T 9695.19  肉与肉制品  取样方法</w:t>
      </w:r>
    </w:p>
    <w:p w14:paraId="69046710">
      <w:pPr>
        <w:pStyle w:val="20"/>
        <w:rPr>
          <w:rFonts w:ascii="Times New Roman"/>
          <w:highlight w:val="none"/>
        </w:rPr>
      </w:pPr>
      <w:r>
        <w:rPr>
          <w:rFonts w:ascii="Times New Roman"/>
          <w:highlight w:val="none"/>
        </w:rPr>
        <w:t>GB 28050  食品安全国家标准  预包装食品营养标签通则</w:t>
      </w:r>
    </w:p>
    <w:p w14:paraId="68F2CF37">
      <w:pPr>
        <w:pStyle w:val="20"/>
        <w:rPr>
          <w:rFonts w:ascii="Times New Roman"/>
          <w:highlight w:val="none"/>
        </w:rPr>
      </w:pPr>
      <w:r>
        <w:rPr>
          <w:rFonts w:ascii="Times New Roman"/>
          <w:highlight w:val="none"/>
        </w:rPr>
        <w:t>JJF 1070  定量包装商品净含量计量检验规则</w:t>
      </w:r>
    </w:p>
    <w:p w14:paraId="46045B3B">
      <w:pPr>
        <w:pStyle w:val="20"/>
        <w:rPr>
          <w:highlight w:val="none"/>
        </w:rPr>
      </w:pPr>
      <w:r>
        <w:rPr>
          <w:rFonts w:ascii="Times New Roman"/>
          <w:highlight w:val="none"/>
        </w:rPr>
        <w:t xml:space="preserve">T/CMATB 3012 </w:t>
      </w:r>
      <w:r>
        <w:rPr>
          <w:rFonts w:hint="eastAsia" w:ascii="Times New Roman"/>
          <w:highlight w:val="none"/>
        </w:rPr>
        <w:t xml:space="preserve"> </w:t>
      </w:r>
      <w:r>
        <w:rPr>
          <w:rFonts w:ascii="Times New Roman"/>
          <w:highlight w:val="none"/>
        </w:rPr>
        <w:t>通</w:t>
      </w:r>
      <w:r>
        <w:rPr>
          <w:rFonts w:hint="eastAsia"/>
          <w:highlight w:val="none"/>
        </w:rPr>
        <w:t>辽牛肉</w:t>
      </w:r>
    </w:p>
    <w:p w14:paraId="302CAFA4">
      <w:pPr>
        <w:pStyle w:val="19"/>
        <w:numPr>
          <w:ilvl w:val="0"/>
          <w:numId w:val="2"/>
        </w:numPr>
        <w:spacing w:before="312" w:beforeLines="100" w:after="312" w:afterLines="100"/>
        <w:outlineLvl w:val="0"/>
        <w:rPr>
          <w:rFonts w:ascii="Times New Roman"/>
          <w:szCs w:val="21"/>
          <w:highlight w:val="none"/>
        </w:rPr>
      </w:pPr>
      <w:r>
        <w:rPr>
          <w:rFonts w:ascii="Times New Roman"/>
          <w:szCs w:val="21"/>
          <w:highlight w:val="none"/>
        </w:rPr>
        <w:t>术语和定义</w:t>
      </w:r>
      <w:bookmarkEnd w:id="20"/>
      <w:bookmarkEnd w:id="21"/>
      <w:bookmarkEnd w:id="22"/>
      <w:bookmarkEnd w:id="23"/>
      <w:bookmarkEnd w:id="24"/>
      <w:bookmarkEnd w:id="25"/>
      <w:bookmarkEnd w:id="26"/>
      <w:bookmarkEnd w:id="27"/>
      <w:bookmarkEnd w:id="28"/>
      <w:bookmarkEnd w:id="29"/>
      <w:bookmarkEnd w:id="30"/>
    </w:p>
    <w:p w14:paraId="3D5AEBD0">
      <w:pPr>
        <w:ind w:firstLine="420" w:firstLineChars="200"/>
        <w:rPr>
          <w:highlight w:val="none"/>
        </w:rPr>
      </w:pPr>
      <w:bookmarkStart w:id="31" w:name="_Toc21982433"/>
      <w:bookmarkEnd w:id="31"/>
      <w:bookmarkStart w:id="32" w:name="_Toc20317841"/>
      <w:bookmarkEnd w:id="32"/>
      <w:bookmarkStart w:id="33" w:name="_Toc21982427"/>
      <w:bookmarkEnd w:id="33"/>
      <w:bookmarkStart w:id="34" w:name="_Toc16171937"/>
      <w:bookmarkEnd w:id="34"/>
      <w:bookmarkStart w:id="35" w:name="_Toc22135206"/>
      <w:bookmarkEnd w:id="35"/>
      <w:bookmarkStart w:id="36" w:name="_Toc20410161"/>
      <w:bookmarkEnd w:id="36"/>
      <w:bookmarkStart w:id="37" w:name="_Toc21982146"/>
      <w:bookmarkEnd w:id="37"/>
      <w:bookmarkStart w:id="38" w:name="_Toc21982142"/>
      <w:bookmarkEnd w:id="38"/>
      <w:bookmarkStart w:id="39" w:name="_Toc22135202"/>
      <w:bookmarkEnd w:id="39"/>
      <w:bookmarkStart w:id="40" w:name="_Toc16172015"/>
      <w:bookmarkEnd w:id="40"/>
      <w:bookmarkStart w:id="41" w:name="_Toc21982140"/>
      <w:bookmarkEnd w:id="41"/>
      <w:bookmarkStart w:id="42" w:name="_Toc20235282"/>
      <w:bookmarkEnd w:id="42"/>
      <w:bookmarkStart w:id="43" w:name="_Toc21982429"/>
      <w:bookmarkEnd w:id="43"/>
      <w:bookmarkStart w:id="44" w:name="_Toc20236397"/>
      <w:bookmarkEnd w:id="44"/>
      <w:bookmarkStart w:id="45" w:name="_Toc20317843"/>
      <w:bookmarkStart w:id="46" w:name="_Toc20235284"/>
      <w:bookmarkStart w:id="47" w:name="_Toc20236399"/>
      <w:r>
        <w:rPr>
          <w:rFonts w:hint="eastAsia"/>
          <w:highlight w:val="none"/>
        </w:rPr>
        <w:t>下列术语和定义适用于本文件。</w:t>
      </w:r>
    </w:p>
    <w:p w14:paraId="64155E1B">
      <w:pPr>
        <w:pStyle w:val="19"/>
        <w:spacing w:before="156" w:after="156"/>
        <w:rPr>
          <w:highlight w:val="none"/>
        </w:rPr>
      </w:pPr>
      <w:bookmarkStart w:id="48" w:name="OLE_LINK6"/>
      <w:r>
        <w:rPr>
          <w:rFonts w:hint="eastAsia"/>
          <w:highlight w:val="none"/>
        </w:rPr>
        <w:t>3.1</w:t>
      </w:r>
    </w:p>
    <w:bookmarkEnd w:id="48"/>
    <w:p w14:paraId="22C81FF5">
      <w:pPr>
        <w:pStyle w:val="21"/>
        <w:numPr>
          <w:ilvl w:val="1"/>
          <w:numId w:val="0"/>
        </w:numPr>
        <w:spacing w:before="156" w:beforeLines="50" w:after="156" w:afterLines="50"/>
        <w:ind w:firstLine="420" w:firstLineChars="200"/>
        <w:rPr>
          <w:rFonts w:ascii="黑体"/>
          <w:highlight w:val="none"/>
        </w:rPr>
      </w:pPr>
      <w:r>
        <w:rPr>
          <w:rFonts w:hint="eastAsia" w:ascii="黑体"/>
          <w:highlight w:val="none"/>
        </w:rPr>
        <w:t xml:space="preserve">通辽牛肉酱卤制品 Tongliao beef </w:t>
      </w:r>
      <w:r>
        <w:rPr>
          <w:rFonts w:ascii="黑体"/>
          <w:highlight w:val="none"/>
        </w:rPr>
        <w:t>soy sauce and pot-roast products</w:t>
      </w:r>
    </w:p>
    <w:p w14:paraId="727EADED">
      <w:pPr>
        <w:ind w:firstLine="420"/>
        <w:rPr>
          <w:rFonts w:ascii="宋体"/>
          <w:kern w:val="0"/>
          <w:szCs w:val="20"/>
          <w:highlight w:val="none"/>
        </w:rPr>
      </w:pPr>
      <w:r>
        <w:rPr>
          <w:rFonts w:hint="eastAsia" w:ascii="宋体"/>
          <w:kern w:val="0"/>
          <w:szCs w:val="20"/>
          <w:highlight w:val="none"/>
        </w:rPr>
        <w:t>在通辽地区生产的，以鲜(冻)通辽牛肉或通辽</w:t>
      </w:r>
      <w:r>
        <w:rPr>
          <w:rFonts w:ascii="宋体"/>
          <w:kern w:val="0"/>
          <w:szCs w:val="20"/>
          <w:highlight w:val="none"/>
        </w:rPr>
        <w:t>肉牛的可食副产物</w:t>
      </w:r>
      <w:r>
        <w:rPr>
          <w:rFonts w:hint="eastAsia" w:ascii="宋体"/>
          <w:kern w:val="0"/>
          <w:szCs w:val="20"/>
          <w:highlight w:val="none"/>
        </w:rPr>
        <w:t>为原料，经预处理后，配以食品辅料，经腌制(或不腌制)、预煮（或</w:t>
      </w:r>
      <w:r>
        <w:rPr>
          <w:rFonts w:ascii="宋体"/>
          <w:kern w:val="0"/>
          <w:szCs w:val="20"/>
          <w:highlight w:val="none"/>
        </w:rPr>
        <w:t>不预煮</w:t>
      </w:r>
      <w:r>
        <w:rPr>
          <w:rFonts w:hint="eastAsia" w:ascii="宋体"/>
          <w:kern w:val="0"/>
          <w:szCs w:val="20"/>
          <w:highlight w:val="none"/>
        </w:rPr>
        <w:t>）、酱制或卤制、包装、杀菌、冷却等工艺加工而成的熟肉制品。</w:t>
      </w:r>
    </w:p>
    <w:p w14:paraId="7270DA81">
      <w:pPr>
        <w:pStyle w:val="19"/>
        <w:numPr>
          <w:ilvl w:val="0"/>
          <w:numId w:val="2"/>
        </w:numPr>
        <w:spacing w:before="312" w:beforeLines="100" w:after="312" w:afterLines="100"/>
        <w:outlineLvl w:val="0"/>
        <w:rPr>
          <w:rFonts w:ascii="Times New Roman"/>
          <w:szCs w:val="21"/>
          <w:highlight w:val="none"/>
        </w:rPr>
      </w:pPr>
      <w:r>
        <w:rPr>
          <w:rFonts w:hint="eastAsia" w:ascii="Times New Roman"/>
          <w:szCs w:val="21"/>
          <w:highlight w:val="none"/>
        </w:rPr>
        <w:t>产品分类</w:t>
      </w:r>
    </w:p>
    <w:p w14:paraId="79C2B726">
      <w:pPr>
        <w:pStyle w:val="21"/>
        <w:numPr>
          <w:ilvl w:val="1"/>
          <w:numId w:val="0"/>
        </w:numPr>
        <w:spacing w:before="156" w:beforeLines="50" w:after="156" w:afterLines="50"/>
        <w:rPr>
          <w:rFonts w:ascii="黑体" w:hAnsi="黑体"/>
          <w:szCs w:val="21"/>
          <w:highlight w:val="none"/>
        </w:rPr>
      </w:pPr>
      <w:r>
        <w:rPr>
          <w:rFonts w:ascii="黑体" w:hAnsi="黑体"/>
          <w:szCs w:val="21"/>
          <w:highlight w:val="none"/>
        </w:rPr>
        <w:t>4</w:t>
      </w:r>
      <w:r>
        <w:rPr>
          <w:rFonts w:hint="eastAsia" w:ascii="黑体" w:hAnsi="黑体"/>
          <w:szCs w:val="21"/>
          <w:highlight w:val="none"/>
        </w:rPr>
        <w:t>.1　酱卤牛肉类</w:t>
      </w:r>
    </w:p>
    <w:p w14:paraId="43E67318">
      <w:pPr>
        <w:pStyle w:val="20"/>
        <w:snapToGrid w:val="0"/>
        <w:rPr>
          <w:highlight w:val="none"/>
        </w:rPr>
      </w:pPr>
      <w:r>
        <w:rPr>
          <w:rFonts w:hint="eastAsia"/>
          <w:highlight w:val="none"/>
        </w:rPr>
        <w:t>以通辽牛肉为主要原料加工而成的酱卤肉制品。其中，酱卤牛肉类根据是否添加外源蛋白（非肉类蛋白质）分为：</w:t>
      </w:r>
    </w:p>
    <w:p w14:paraId="520A44D7">
      <w:pPr>
        <w:pStyle w:val="49"/>
        <w:numPr>
          <w:ilvl w:val="1"/>
          <w:numId w:val="2"/>
        </w:numPr>
        <w:snapToGrid w:val="0"/>
        <w:ind w:firstLineChars="0"/>
        <w:rPr>
          <w:rFonts w:ascii="宋体"/>
          <w:kern w:val="0"/>
          <w:szCs w:val="20"/>
          <w:highlight w:val="none"/>
        </w:rPr>
      </w:pPr>
      <w:r>
        <w:rPr>
          <w:rFonts w:hint="eastAsia" w:ascii="宋体"/>
          <w:kern w:val="0"/>
          <w:szCs w:val="20"/>
          <w:highlight w:val="none"/>
        </w:rPr>
        <w:t xml:space="preserve">  优级产品：不应添加</w:t>
      </w:r>
      <w:r>
        <w:rPr>
          <w:rFonts w:ascii="宋体"/>
          <w:kern w:val="0"/>
          <w:szCs w:val="20"/>
          <w:highlight w:val="none"/>
        </w:rPr>
        <w:t>任何外源蛋白</w:t>
      </w:r>
      <w:r>
        <w:rPr>
          <w:rFonts w:hint="eastAsia" w:ascii="宋体"/>
          <w:kern w:val="0"/>
          <w:szCs w:val="20"/>
          <w:highlight w:val="none"/>
        </w:rPr>
        <w:t>（非</w:t>
      </w:r>
      <w:r>
        <w:rPr>
          <w:rFonts w:ascii="宋体"/>
          <w:kern w:val="0"/>
          <w:szCs w:val="20"/>
          <w:highlight w:val="none"/>
        </w:rPr>
        <w:t>肉类蛋白质</w:t>
      </w:r>
      <w:r>
        <w:rPr>
          <w:rFonts w:hint="eastAsia" w:ascii="宋体"/>
          <w:kern w:val="0"/>
          <w:szCs w:val="20"/>
          <w:highlight w:val="none"/>
        </w:rPr>
        <w:t>）类</w:t>
      </w:r>
      <w:r>
        <w:rPr>
          <w:rFonts w:ascii="宋体"/>
          <w:kern w:val="0"/>
          <w:szCs w:val="20"/>
          <w:highlight w:val="none"/>
        </w:rPr>
        <w:t>物质和</w:t>
      </w:r>
      <w:r>
        <w:rPr>
          <w:rFonts w:hint="eastAsia" w:ascii="宋体"/>
          <w:kern w:val="0"/>
          <w:szCs w:val="20"/>
          <w:highlight w:val="none"/>
        </w:rPr>
        <w:t>多糖类物质（如</w:t>
      </w:r>
      <w:r>
        <w:rPr>
          <w:rFonts w:ascii="宋体"/>
          <w:kern w:val="0"/>
          <w:szCs w:val="20"/>
          <w:highlight w:val="none"/>
        </w:rPr>
        <w:t>膳食纤维</w:t>
      </w:r>
      <w:r>
        <w:rPr>
          <w:rFonts w:hint="eastAsia" w:ascii="宋体"/>
          <w:kern w:val="0"/>
          <w:szCs w:val="20"/>
          <w:highlight w:val="none"/>
        </w:rPr>
        <w:t>、</w:t>
      </w:r>
      <w:r>
        <w:rPr>
          <w:rFonts w:ascii="宋体"/>
          <w:kern w:val="0"/>
          <w:szCs w:val="20"/>
          <w:highlight w:val="none"/>
        </w:rPr>
        <w:t>淀粉、卡拉胶等</w:t>
      </w:r>
      <w:r>
        <w:rPr>
          <w:rFonts w:hint="eastAsia" w:ascii="宋体"/>
          <w:kern w:val="0"/>
          <w:szCs w:val="20"/>
          <w:highlight w:val="none"/>
        </w:rPr>
        <w:t>）。</w:t>
      </w:r>
      <w:r>
        <w:rPr>
          <w:highlight w:val="none"/>
        </w:rPr>
        <w:commentReference w:id="0"/>
      </w:r>
      <w:r>
        <w:rPr>
          <w:rStyle w:val="16"/>
          <w:highlight w:val="none"/>
        </w:rPr>
        <w:commentReference w:id="1"/>
      </w:r>
    </w:p>
    <w:p w14:paraId="4F79B71A">
      <w:pPr>
        <w:pStyle w:val="49"/>
        <w:numPr>
          <w:ilvl w:val="1"/>
          <w:numId w:val="2"/>
        </w:numPr>
        <w:snapToGrid w:val="0"/>
        <w:ind w:firstLineChars="0"/>
        <w:rPr>
          <w:rFonts w:ascii="宋体"/>
          <w:kern w:val="0"/>
          <w:szCs w:val="20"/>
          <w:highlight w:val="none"/>
        </w:rPr>
      </w:pPr>
      <w:r>
        <w:rPr>
          <w:rFonts w:hint="eastAsia" w:ascii="宋体"/>
          <w:kern w:val="0"/>
          <w:szCs w:val="20"/>
          <w:highlight w:val="none"/>
        </w:rPr>
        <w:t xml:space="preserve">  普通级产品：可适当添加外源蛋白（非肉类蛋白质）类物质，外源蛋白（非肉类蛋白质）添加量不应大于1.5%。</w:t>
      </w:r>
    </w:p>
    <w:p w14:paraId="0C6F26BC">
      <w:pPr>
        <w:widowControl/>
        <w:numPr>
          <w:ilvl w:val="1"/>
          <w:numId w:val="0"/>
        </w:numPr>
        <w:tabs>
          <w:tab w:val="left" w:pos="360"/>
        </w:tabs>
        <w:autoSpaceDE w:val="0"/>
        <w:autoSpaceDN w:val="0"/>
        <w:snapToGrid w:val="0"/>
        <w:spacing w:before="156" w:beforeLines="50" w:after="156" w:afterLines="50"/>
        <w:jc w:val="left"/>
        <w:outlineLvl w:val="2"/>
        <w:rPr>
          <w:rFonts w:ascii="黑体" w:eastAsia="黑体"/>
          <w:kern w:val="0"/>
          <w:szCs w:val="21"/>
          <w:highlight w:val="none"/>
        </w:rPr>
      </w:pPr>
      <w:r>
        <w:rPr>
          <w:rFonts w:ascii="黑体" w:eastAsia="黑体"/>
          <w:kern w:val="0"/>
          <w:szCs w:val="21"/>
          <w:highlight w:val="none"/>
        </w:rPr>
        <w:t>4</w:t>
      </w:r>
      <w:r>
        <w:rPr>
          <w:rFonts w:hint="eastAsia" w:ascii="黑体" w:eastAsia="黑体"/>
          <w:kern w:val="0"/>
          <w:szCs w:val="21"/>
          <w:highlight w:val="none"/>
        </w:rPr>
        <w:t>.2</w:t>
      </w:r>
      <w:r>
        <w:rPr>
          <w:rFonts w:hint="eastAsia" w:ascii="黑体" w:hAnsi="黑体"/>
          <w:szCs w:val="21"/>
          <w:highlight w:val="none"/>
        </w:rPr>
        <w:t>　</w:t>
      </w:r>
      <w:r>
        <w:rPr>
          <w:rFonts w:hint="eastAsia" w:ascii="黑体" w:eastAsia="黑体"/>
          <w:kern w:val="0"/>
          <w:szCs w:val="21"/>
          <w:highlight w:val="none"/>
        </w:rPr>
        <w:t>酱卤牛蹄筋</w:t>
      </w:r>
    </w:p>
    <w:p w14:paraId="7179C700">
      <w:pPr>
        <w:pStyle w:val="20"/>
        <w:rPr>
          <w:highlight w:val="none"/>
        </w:rPr>
      </w:pPr>
      <w:r>
        <w:rPr>
          <w:rFonts w:hint="eastAsia"/>
          <w:highlight w:val="none"/>
        </w:rPr>
        <w:t>以通辽肉牛的牛蹄筋为主要原料加工而成的酱卤制品。</w:t>
      </w:r>
    </w:p>
    <w:p w14:paraId="6F34A075">
      <w:pPr>
        <w:widowControl/>
        <w:numPr>
          <w:ilvl w:val="1"/>
          <w:numId w:val="0"/>
        </w:numPr>
        <w:tabs>
          <w:tab w:val="left" w:pos="360"/>
        </w:tabs>
        <w:snapToGrid w:val="0"/>
        <w:spacing w:before="156" w:beforeLines="50" w:after="156" w:afterLines="50"/>
        <w:jc w:val="left"/>
        <w:outlineLvl w:val="2"/>
        <w:rPr>
          <w:rFonts w:ascii="黑体" w:eastAsia="黑体"/>
          <w:kern w:val="0"/>
          <w:szCs w:val="21"/>
          <w:highlight w:val="none"/>
        </w:rPr>
      </w:pPr>
      <w:r>
        <w:rPr>
          <w:rFonts w:ascii="黑体" w:eastAsia="黑体"/>
          <w:kern w:val="0"/>
          <w:szCs w:val="21"/>
          <w:highlight w:val="none"/>
        </w:rPr>
        <w:t>4</w:t>
      </w:r>
      <w:r>
        <w:rPr>
          <w:rFonts w:hint="eastAsia" w:ascii="黑体" w:eastAsia="黑体"/>
          <w:kern w:val="0"/>
          <w:szCs w:val="21"/>
          <w:highlight w:val="none"/>
        </w:rPr>
        <w:t>.3</w:t>
      </w:r>
      <w:r>
        <w:rPr>
          <w:rFonts w:hint="eastAsia" w:ascii="黑体" w:hAnsi="黑体"/>
          <w:szCs w:val="21"/>
          <w:highlight w:val="none"/>
        </w:rPr>
        <w:t>　</w:t>
      </w:r>
      <w:r>
        <w:rPr>
          <w:rFonts w:hint="eastAsia" w:ascii="黑体" w:eastAsia="黑体"/>
          <w:kern w:val="0"/>
          <w:szCs w:val="21"/>
          <w:highlight w:val="none"/>
        </w:rPr>
        <w:t>酱卤其他类</w:t>
      </w:r>
    </w:p>
    <w:p w14:paraId="260B1199">
      <w:pPr>
        <w:pStyle w:val="20"/>
        <w:rPr>
          <w:highlight w:val="none"/>
        </w:rPr>
      </w:pPr>
      <w:r>
        <w:rPr>
          <w:rFonts w:hint="eastAsia"/>
          <w:highlight w:val="none"/>
        </w:rPr>
        <w:t>以通辽肉牛的可食副产品（包括头、蹄、尾、皮、骨、内脏等部位）为主要原料加工而成的酱卤肉制品。</w:t>
      </w:r>
    </w:p>
    <w:p w14:paraId="3CC1B180">
      <w:pPr>
        <w:pStyle w:val="19"/>
        <w:numPr>
          <w:ilvl w:val="0"/>
          <w:numId w:val="2"/>
        </w:numPr>
        <w:spacing w:before="312" w:beforeLines="100" w:after="312" w:afterLines="100"/>
        <w:outlineLvl w:val="0"/>
        <w:rPr>
          <w:rFonts w:ascii="Times New Roman"/>
          <w:szCs w:val="21"/>
          <w:highlight w:val="none"/>
        </w:rPr>
      </w:pPr>
      <w:r>
        <w:rPr>
          <w:rFonts w:hint="eastAsia" w:ascii="Times New Roman"/>
          <w:szCs w:val="21"/>
          <w:highlight w:val="none"/>
        </w:rPr>
        <w:t>技术</w:t>
      </w:r>
      <w:r>
        <w:rPr>
          <w:rFonts w:hint="eastAsia" w:ascii="Times New Roman"/>
          <w:szCs w:val="21"/>
          <w:highlight w:val="none"/>
        </w:rPr>
        <w:t>要求</w:t>
      </w:r>
    </w:p>
    <w:p w14:paraId="541D54F5">
      <w:pPr>
        <w:pStyle w:val="21"/>
        <w:numPr>
          <w:ilvl w:val="1"/>
          <w:numId w:val="0"/>
        </w:numPr>
        <w:spacing w:before="156" w:beforeLines="50" w:after="156" w:afterLines="50"/>
        <w:rPr>
          <w:rFonts w:ascii="黑体" w:hAnsi="黑体"/>
          <w:szCs w:val="21"/>
          <w:highlight w:val="none"/>
        </w:rPr>
      </w:pPr>
      <w:bookmarkStart w:id="49" w:name="OLE_LINK22"/>
      <w:bookmarkStart w:id="50" w:name="OLE_LINK23"/>
      <w:r>
        <w:rPr>
          <w:rFonts w:ascii="黑体" w:hAnsi="黑体"/>
          <w:szCs w:val="21"/>
          <w:highlight w:val="none"/>
        </w:rPr>
        <w:t>5</w:t>
      </w:r>
      <w:r>
        <w:rPr>
          <w:rFonts w:hint="eastAsia" w:ascii="黑体" w:hAnsi="黑体"/>
          <w:szCs w:val="21"/>
          <w:highlight w:val="none"/>
        </w:rPr>
        <w:t>.</w:t>
      </w:r>
      <w:r>
        <w:rPr>
          <w:rFonts w:ascii="黑体" w:hAnsi="黑体"/>
          <w:szCs w:val="21"/>
          <w:highlight w:val="none"/>
        </w:rPr>
        <w:t>1</w:t>
      </w:r>
      <w:r>
        <w:rPr>
          <w:rFonts w:hint="eastAsia" w:ascii="黑体" w:hAnsi="黑体"/>
          <w:szCs w:val="21"/>
          <w:highlight w:val="none"/>
        </w:rPr>
        <w:t>　原辅料要求</w:t>
      </w:r>
    </w:p>
    <w:p w14:paraId="0451263B">
      <w:pPr>
        <w:pStyle w:val="21"/>
        <w:numPr>
          <w:ilvl w:val="1"/>
          <w:numId w:val="0"/>
        </w:numPr>
        <w:snapToGrid w:val="0"/>
        <w:rPr>
          <w:rFonts w:eastAsia="宋体"/>
          <w:szCs w:val="21"/>
          <w:highlight w:val="none"/>
        </w:rPr>
      </w:pPr>
      <w:r>
        <w:rPr>
          <w:rFonts w:ascii="黑体"/>
          <w:szCs w:val="21"/>
          <w:highlight w:val="none"/>
        </w:rPr>
        <w:t>5</w:t>
      </w:r>
      <w:r>
        <w:rPr>
          <w:rFonts w:hint="eastAsia" w:ascii="黑体"/>
          <w:szCs w:val="21"/>
          <w:highlight w:val="none"/>
        </w:rPr>
        <w:t>.</w:t>
      </w:r>
      <w:r>
        <w:rPr>
          <w:rFonts w:ascii="黑体"/>
          <w:szCs w:val="21"/>
          <w:highlight w:val="none"/>
        </w:rPr>
        <w:t>1</w:t>
      </w:r>
      <w:r>
        <w:rPr>
          <w:rFonts w:hint="eastAsia" w:ascii="黑体"/>
          <w:szCs w:val="21"/>
          <w:highlight w:val="none"/>
        </w:rPr>
        <w:t>.1</w:t>
      </w:r>
      <w:r>
        <w:rPr>
          <w:rFonts w:hint="eastAsia" w:asciiTheme="minorEastAsia" w:hAnsiTheme="minorEastAsia" w:eastAsiaTheme="minorEastAsia" w:cstheme="minorEastAsia"/>
          <w:szCs w:val="21"/>
          <w:highlight w:val="none"/>
        </w:rPr>
        <w:t>　</w:t>
      </w:r>
      <w:r>
        <w:rPr>
          <w:rFonts w:hint="eastAsia" w:eastAsia="宋体"/>
          <w:szCs w:val="21"/>
          <w:highlight w:val="none"/>
        </w:rPr>
        <w:t>原料应符合T/CMATB 3012的</w:t>
      </w:r>
      <w:r>
        <w:rPr>
          <w:rFonts w:hint="eastAsia" w:asciiTheme="minorEastAsia" w:hAnsiTheme="minorEastAsia" w:eastAsiaTheme="minorEastAsia" w:cstheme="minorEastAsia"/>
          <w:szCs w:val="21"/>
          <w:highlight w:val="none"/>
        </w:rPr>
        <w:t>相关</w:t>
      </w:r>
      <w:r>
        <w:rPr>
          <w:rFonts w:hint="eastAsia" w:eastAsia="宋体"/>
          <w:szCs w:val="21"/>
          <w:highlight w:val="none"/>
        </w:rPr>
        <w:t>规定。</w:t>
      </w:r>
    </w:p>
    <w:p w14:paraId="38345623">
      <w:pPr>
        <w:pStyle w:val="21"/>
        <w:numPr>
          <w:ilvl w:val="1"/>
          <w:numId w:val="0"/>
        </w:numPr>
        <w:snapToGrid w:val="0"/>
        <w:rPr>
          <w:rFonts w:asciiTheme="minorEastAsia" w:hAnsiTheme="minorEastAsia" w:eastAsiaTheme="minorEastAsia" w:cstheme="minorEastAsia"/>
          <w:szCs w:val="21"/>
          <w:highlight w:val="none"/>
        </w:rPr>
      </w:pPr>
      <w:r>
        <w:rPr>
          <w:rFonts w:ascii="黑体"/>
          <w:szCs w:val="21"/>
          <w:highlight w:val="none"/>
        </w:rPr>
        <w:t>5</w:t>
      </w:r>
      <w:r>
        <w:rPr>
          <w:rFonts w:hint="eastAsia" w:ascii="黑体"/>
          <w:szCs w:val="21"/>
          <w:highlight w:val="none"/>
        </w:rPr>
        <w:t>.</w:t>
      </w:r>
      <w:r>
        <w:rPr>
          <w:rFonts w:ascii="黑体"/>
          <w:szCs w:val="21"/>
          <w:highlight w:val="none"/>
        </w:rPr>
        <w:t>1</w:t>
      </w:r>
      <w:r>
        <w:rPr>
          <w:rFonts w:hint="eastAsia" w:ascii="黑体"/>
          <w:szCs w:val="21"/>
          <w:highlight w:val="none"/>
        </w:rPr>
        <w:t>.2</w:t>
      </w:r>
      <w:r>
        <w:rPr>
          <w:rFonts w:hint="eastAsia" w:asciiTheme="minorEastAsia" w:hAnsiTheme="minorEastAsia" w:eastAsiaTheme="minorEastAsia" w:cstheme="minorEastAsia"/>
          <w:szCs w:val="21"/>
          <w:highlight w:val="none"/>
        </w:rPr>
        <w:t>　辅料应符合相关产品标准和有关规定。</w:t>
      </w:r>
    </w:p>
    <w:p w14:paraId="11F5CAC9">
      <w:pPr>
        <w:pStyle w:val="21"/>
        <w:numPr>
          <w:ilvl w:val="1"/>
          <w:numId w:val="0"/>
        </w:numPr>
        <w:snapToGrid w:val="0"/>
        <w:rPr>
          <w:rFonts w:ascii="黑体" w:hAnsi="黑体"/>
          <w:szCs w:val="21"/>
          <w:highlight w:val="none"/>
        </w:rPr>
      </w:pPr>
      <w:r>
        <w:rPr>
          <w:rFonts w:ascii="黑体"/>
          <w:szCs w:val="21"/>
          <w:highlight w:val="none"/>
        </w:rPr>
        <w:t>5</w:t>
      </w:r>
      <w:r>
        <w:rPr>
          <w:rFonts w:hint="eastAsia" w:ascii="黑体"/>
          <w:szCs w:val="21"/>
          <w:highlight w:val="none"/>
        </w:rPr>
        <w:t>.</w:t>
      </w:r>
      <w:r>
        <w:rPr>
          <w:rFonts w:ascii="黑体"/>
          <w:szCs w:val="21"/>
          <w:highlight w:val="none"/>
        </w:rPr>
        <w:t>1</w:t>
      </w:r>
      <w:r>
        <w:rPr>
          <w:rFonts w:hint="eastAsia" w:ascii="黑体"/>
          <w:szCs w:val="21"/>
          <w:highlight w:val="none"/>
        </w:rPr>
        <w:t>.</w:t>
      </w:r>
      <w:r>
        <w:rPr>
          <w:rFonts w:ascii="黑体"/>
          <w:szCs w:val="21"/>
          <w:highlight w:val="none"/>
        </w:rPr>
        <w:t>3</w:t>
      </w:r>
      <w:r>
        <w:rPr>
          <w:rFonts w:hint="eastAsia" w:asciiTheme="minorEastAsia" w:hAnsiTheme="minorEastAsia" w:eastAsiaTheme="minorEastAsia" w:cstheme="minorEastAsia"/>
          <w:szCs w:val="21"/>
          <w:highlight w:val="none"/>
        </w:rPr>
        <w:t>　食品添加剂及使用应符合</w:t>
      </w:r>
      <w:r>
        <w:rPr>
          <w:rFonts w:eastAsiaTheme="minorEastAsia"/>
          <w:szCs w:val="21"/>
          <w:highlight w:val="none"/>
        </w:rPr>
        <w:t>GB 2760</w:t>
      </w:r>
      <w:r>
        <w:rPr>
          <w:rFonts w:hint="eastAsia" w:asciiTheme="minorEastAsia" w:hAnsiTheme="minorEastAsia" w:eastAsiaTheme="minorEastAsia" w:cstheme="minorEastAsia"/>
          <w:szCs w:val="21"/>
          <w:highlight w:val="none"/>
        </w:rPr>
        <w:t>的</w:t>
      </w:r>
      <w:r>
        <w:rPr>
          <w:rFonts w:hint="eastAsia" w:asciiTheme="minorEastAsia" w:hAnsiTheme="minorEastAsia" w:eastAsiaTheme="minorEastAsia" w:cstheme="minorEastAsia"/>
          <w:szCs w:val="21"/>
          <w:highlight w:val="none"/>
        </w:rPr>
        <w:t>相关</w:t>
      </w:r>
      <w:r>
        <w:rPr>
          <w:rFonts w:hint="eastAsia" w:asciiTheme="minorEastAsia" w:hAnsiTheme="minorEastAsia" w:eastAsiaTheme="minorEastAsia" w:cstheme="minorEastAsia"/>
          <w:szCs w:val="21"/>
          <w:highlight w:val="none"/>
        </w:rPr>
        <w:t>规定。</w:t>
      </w:r>
    </w:p>
    <w:p w14:paraId="0EAC68A7">
      <w:pPr>
        <w:widowControl/>
        <w:numPr>
          <w:ilvl w:val="1"/>
          <w:numId w:val="0"/>
        </w:numPr>
        <w:tabs>
          <w:tab w:val="left" w:pos="360"/>
        </w:tabs>
        <w:snapToGrid w:val="0"/>
        <w:spacing w:before="156" w:beforeLines="50" w:after="156" w:afterLines="50"/>
        <w:jc w:val="left"/>
        <w:outlineLvl w:val="2"/>
        <w:rPr>
          <w:rFonts w:ascii="黑体" w:eastAsia="黑体"/>
          <w:kern w:val="0"/>
          <w:szCs w:val="21"/>
          <w:highlight w:val="none"/>
        </w:rPr>
      </w:pPr>
      <w:r>
        <w:rPr>
          <w:rFonts w:hint="eastAsia" w:ascii="黑体" w:hAnsi="黑体" w:eastAsia="黑体" w:cs="黑体"/>
          <w:highlight w:val="none"/>
        </w:rPr>
        <w:t>5.2</w:t>
      </w:r>
      <w:r>
        <w:rPr>
          <w:rFonts w:hint="eastAsia" w:ascii="黑体" w:eastAsia="黑体"/>
          <w:kern w:val="0"/>
          <w:szCs w:val="21"/>
          <w:highlight w:val="none"/>
        </w:rPr>
        <w:t>　感官</w:t>
      </w:r>
      <w:r>
        <w:rPr>
          <w:rFonts w:ascii="黑体" w:eastAsia="黑体"/>
          <w:kern w:val="0"/>
          <w:szCs w:val="21"/>
          <w:highlight w:val="none"/>
        </w:rPr>
        <w:t>要求</w:t>
      </w:r>
    </w:p>
    <w:p w14:paraId="07378345">
      <w:pPr>
        <w:pStyle w:val="20"/>
        <w:rPr>
          <w:highlight w:val="none"/>
        </w:rPr>
      </w:pPr>
      <w:r>
        <w:rPr>
          <w:rFonts w:hint="eastAsia"/>
          <w:highlight w:val="none"/>
        </w:rPr>
        <w:t>感官应符合表</w:t>
      </w:r>
      <w:r>
        <w:rPr>
          <w:rFonts w:ascii="Times New Roman"/>
          <w:highlight w:val="none"/>
        </w:rPr>
        <w:t>1</w:t>
      </w:r>
      <w:r>
        <w:rPr>
          <w:rFonts w:hint="eastAsia"/>
          <w:highlight w:val="none"/>
        </w:rPr>
        <w:t>的要求。</w:t>
      </w:r>
    </w:p>
    <w:p w14:paraId="77B3B52C">
      <w:pPr>
        <w:pStyle w:val="22"/>
        <w:numPr>
          <w:ilvl w:val="0"/>
          <w:numId w:val="3"/>
        </w:numPr>
        <w:spacing w:before="156" w:beforeLines="50" w:after="156" w:afterLines="50"/>
        <w:ind w:left="0"/>
        <w:rPr>
          <w:highlight w:val="none"/>
        </w:rPr>
      </w:pPr>
      <w:r>
        <w:rPr>
          <w:rFonts w:hint="eastAsia"/>
          <w:highlight w:val="none"/>
        </w:rPr>
        <w:t>感官要求</w:t>
      </w:r>
    </w:p>
    <w:tbl>
      <w:tblPr>
        <w:tblStyle w:val="12"/>
        <w:tblW w:w="93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60"/>
        <w:gridCol w:w="6662"/>
      </w:tblGrid>
      <w:tr w14:paraId="677688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660" w:type="dxa"/>
            <w:tcBorders>
              <w:top w:val="single" w:color="auto" w:sz="8" w:space="0"/>
              <w:left w:val="single" w:color="auto" w:sz="8" w:space="0"/>
              <w:bottom w:val="single" w:color="auto" w:sz="8" w:space="0"/>
            </w:tcBorders>
            <w:vAlign w:val="center"/>
          </w:tcPr>
          <w:p w14:paraId="443A4149">
            <w:pPr>
              <w:jc w:val="center"/>
              <w:rPr>
                <w:kern w:val="0"/>
                <w:sz w:val="18"/>
                <w:szCs w:val="18"/>
                <w:highlight w:val="none"/>
              </w:rPr>
            </w:pPr>
            <w:r>
              <w:rPr>
                <w:kern w:val="0"/>
                <w:sz w:val="18"/>
                <w:szCs w:val="18"/>
                <w:highlight w:val="none"/>
              </w:rPr>
              <w:t>项目</w:t>
            </w:r>
          </w:p>
        </w:tc>
        <w:tc>
          <w:tcPr>
            <w:tcW w:w="6662" w:type="dxa"/>
            <w:tcBorders>
              <w:top w:val="single" w:color="auto" w:sz="8" w:space="0"/>
              <w:bottom w:val="single" w:color="auto" w:sz="8" w:space="0"/>
            </w:tcBorders>
            <w:vAlign w:val="center"/>
          </w:tcPr>
          <w:p w14:paraId="09E7615E">
            <w:pPr>
              <w:jc w:val="center"/>
              <w:rPr>
                <w:kern w:val="0"/>
                <w:sz w:val="18"/>
                <w:szCs w:val="18"/>
                <w:highlight w:val="none"/>
              </w:rPr>
            </w:pPr>
            <w:r>
              <w:rPr>
                <w:kern w:val="0"/>
                <w:sz w:val="18"/>
                <w:szCs w:val="18"/>
                <w:highlight w:val="none"/>
              </w:rPr>
              <w:t>要求</w:t>
            </w:r>
          </w:p>
        </w:tc>
      </w:tr>
      <w:tr w14:paraId="33B6D4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660" w:type="dxa"/>
            <w:tcBorders>
              <w:left w:val="single" w:color="auto" w:sz="8" w:space="0"/>
            </w:tcBorders>
            <w:vAlign w:val="center"/>
          </w:tcPr>
          <w:p w14:paraId="496D102D">
            <w:pPr>
              <w:jc w:val="center"/>
              <w:rPr>
                <w:kern w:val="0"/>
                <w:sz w:val="18"/>
                <w:szCs w:val="18"/>
                <w:highlight w:val="none"/>
              </w:rPr>
            </w:pPr>
            <w:r>
              <w:rPr>
                <w:rFonts w:hint="eastAsia"/>
                <w:kern w:val="0"/>
                <w:sz w:val="18"/>
                <w:szCs w:val="18"/>
                <w:highlight w:val="none"/>
              </w:rPr>
              <w:t>外观</w:t>
            </w:r>
            <w:r>
              <w:rPr>
                <w:kern w:val="0"/>
                <w:sz w:val="18"/>
                <w:szCs w:val="18"/>
                <w:highlight w:val="none"/>
              </w:rPr>
              <w:t>、色泽</w:t>
            </w:r>
          </w:p>
        </w:tc>
        <w:tc>
          <w:tcPr>
            <w:tcW w:w="6662" w:type="dxa"/>
            <w:vAlign w:val="center"/>
          </w:tcPr>
          <w:p w14:paraId="78126749">
            <w:pPr>
              <w:jc w:val="center"/>
              <w:rPr>
                <w:kern w:val="0"/>
                <w:sz w:val="18"/>
                <w:szCs w:val="18"/>
                <w:highlight w:val="none"/>
              </w:rPr>
            </w:pPr>
            <w:r>
              <w:rPr>
                <w:rFonts w:hint="eastAsia"/>
                <w:kern w:val="0"/>
                <w:sz w:val="18"/>
                <w:szCs w:val="18"/>
                <w:highlight w:val="none"/>
              </w:rPr>
              <w:t>具有产品应有的外观</w:t>
            </w:r>
            <w:r>
              <w:rPr>
                <w:kern w:val="0"/>
                <w:sz w:val="18"/>
                <w:szCs w:val="18"/>
                <w:highlight w:val="none"/>
              </w:rPr>
              <w:t>和</w:t>
            </w:r>
            <w:r>
              <w:rPr>
                <w:rFonts w:hint="eastAsia"/>
                <w:kern w:val="0"/>
                <w:sz w:val="18"/>
                <w:szCs w:val="18"/>
                <w:highlight w:val="none"/>
              </w:rPr>
              <w:t>色泽</w:t>
            </w:r>
          </w:p>
        </w:tc>
      </w:tr>
      <w:tr w14:paraId="06CB32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660" w:type="dxa"/>
            <w:tcBorders>
              <w:left w:val="single" w:color="auto" w:sz="8" w:space="0"/>
            </w:tcBorders>
            <w:vAlign w:val="center"/>
          </w:tcPr>
          <w:p w14:paraId="07F0C1ED">
            <w:pPr>
              <w:jc w:val="center"/>
              <w:rPr>
                <w:kern w:val="0"/>
                <w:sz w:val="18"/>
                <w:szCs w:val="18"/>
                <w:highlight w:val="none"/>
              </w:rPr>
            </w:pPr>
            <w:r>
              <w:rPr>
                <w:kern w:val="0"/>
                <w:sz w:val="18"/>
                <w:szCs w:val="18"/>
                <w:highlight w:val="none"/>
              </w:rPr>
              <w:t>组织状态</w:t>
            </w:r>
          </w:p>
        </w:tc>
        <w:tc>
          <w:tcPr>
            <w:tcW w:w="6662" w:type="dxa"/>
            <w:vAlign w:val="center"/>
          </w:tcPr>
          <w:p w14:paraId="3A4C491C">
            <w:pPr>
              <w:jc w:val="center"/>
              <w:rPr>
                <w:kern w:val="0"/>
                <w:sz w:val="18"/>
                <w:szCs w:val="18"/>
                <w:highlight w:val="none"/>
              </w:rPr>
            </w:pPr>
            <w:r>
              <w:rPr>
                <w:rFonts w:hint="eastAsia"/>
                <w:kern w:val="0"/>
                <w:sz w:val="18"/>
                <w:szCs w:val="18"/>
                <w:highlight w:val="none"/>
              </w:rPr>
              <w:t>具有产品应有的组织形态</w:t>
            </w:r>
          </w:p>
        </w:tc>
      </w:tr>
      <w:tr w14:paraId="66F6E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660" w:type="dxa"/>
            <w:tcBorders>
              <w:left w:val="single" w:color="auto" w:sz="8" w:space="0"/>
            </w:tcBorders>
            <w:vAlign w:val="center"/>
          </w:tcPr>
          <w:p w14:paraId="3C4ACB73">
            <w:pPr>
              <w:jc w:val="center"/>
              <w:rPr>
                <w:kern w:val="0"/>
                <w:sz w:val="18"/>
                <w:szCs w:val="18"/>
                <w:highlight w:val="none"/>
              </w:rPr>
            </w:pPr>
            <w:r>
              <w:rPr>
                <w:rFonts w:hint="eastAsia"/>
                <w:kern w:val="0"/>
                <w:sz w:val="18"/>
                <w:szCs w:val="18"/>
                <w:highlight w:val="none"/>
              </w:rPr>
              <w:t>风</w:t>
            </w:r>
            <w:r>
              <w:rPr>
                <w:kern w:val="0"/>
                <w:sz w:val="18"/>
                <w:szCs w:val="18"/>
                <w:highlight w:val="none"/>
              </w:rPr>
              <w:t>味</w:t>
            </w:r>
          </w:p>
        </w:tc>
        <w:tc>
          <w:tcPr>
            <w:tcW w:w="6662" w:type="dxa"/>
            <w:vAlign w:val="center"/>
          </w:tcPr>
          <w:p w14:paraId="1C6BC841">
            <w:pPr>
              <w:jc w:val="center"/>
              <w:rPr>
                <w:kern w:val="0"/>
                <w:sz w:val="18"/>
                <w:szCs w:val="18"/>
                <w:highlight w:val="none"/>
              </w:rPr>
            </w:pPr>
            <w:r>
              <w:rPr>
                <w:rFonts w:hint="eastAsia"/>
                <w:kern w:val="0"/>
                <w:sz w:val="18"/>
                <w:szCs w:val="18"/>
                <w:highlight w:val="none"/>
              </w:rPr>
              <w:t>具有产品应有的滋味和气味，无异味</w:t>
            </w:r>
          </w:p>
        </w:tc>
      </w:tr>
      <w:tr w14:paraId="18D152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2660" w:type="dxa"/>
            <w:tcBorders>
              <w:left w:val="single" w:color="auto" w:sz="8" w:space="0"/>
              <w:bottom w:val="single" w:color="auto" w:sz="8" w:space="0"/>
            </w:tcBorders>
            <w:vAlign w:val="center"/>
          </w:tcPr>
          <w:p w14:paraId="286E213B">
            <w:pPr>
              <w:jc w:val="center"/>
              <w:rPr>
                <w:kern w:val="0"/>
                <w:sz w:val="18"/>
                <w:szCs w:val="18"/>
                <w:highlight w:val="none"/>
              </w:rPr>
            </w:pPr>
            <w:r>
              <w:rPr>
                <w:rFonts w:hint="eastAsia"/>
                <w:kern w:val="0"/>
                <w:sz w:val="18"/>
                <w:szCs w:val="18"/>
                <w:highlight w:val="none"/>
              </w:rPr>
              <w:t>杂质</w:t>
            </w:r>
          </w:p>
        </w:tc>
        <w:tc>
          <w:tcPr>
            <w:tcW w:w="6662" w:type="dxa"/>
            <w:tcBorders>
              <w:bottom w:val="single" w:color="auto" w:sz="8" w:space="0"/>
            </w:tcBorders>
            <w:vAlign w:val="center"/>
          </w:tcPr>
          <w:p w14:paraId="23FDA5CF">
            <w:pPr>
              <w:jc w:val="center"/>
              <w:rPr>
                <w:kern w:val="0"/>
                <w:sz w:val="18"/>
                <w:szCs w:val="18"/>
                <w:highlight w:val="none"/>
              </w:rPr>
            </w:pPr>
            <w:r>
              <w:rPr>
                <w:rFonts w:hint="eastAsia"/>
                <w:kern w:val="0"/>
                <w:sz w:val="18"/>
                <w:szCs w:val="18"/>
                <w:highlight w:val="none"/>
              </w:rPr>
              <w:t>无正常视力可见的</w:t>
            </w:r>
            <w:r>
              <w:rPr>
                <w:kern w:val="0"/>
                <w:sz w:val="18"/>
                <w:szCs w:val="18"/>
                <w:highlight w:val="none"/>
              </w:rPr>
              <w:t>外来</w:t>
            </w:r>
            <w:r>
              <w:rPr>
                <w:rFonts w:hint="eastAsia"/>
                <w:kern w:val="0"/>
                <w:sz w:val="18"/>
                <w:szCs w:val="18"/>
                <w:highlight w:val="none"/>
              </w:rPr>
              <w:t>杂质</w:t>
            </w:r>
          </w:p>
        </w:tc>
      </w:tr>
    </w:tbl>
    <w:p w14:paraId="314AEC0E">
      <w:pPr>
        <w:widowControl/>
        <w:numPr>
          <w:ilvl w:val="1"/>
          <w:numId w:val="0"/>
        </w:numPr>
        <w:tabs>
          <w:tab w:val="left" w:pos="360"/>
        </w:tabs>
        <w:snapToGrid w:val="0"/>
        <w:spacing w:before="156" w:beforeLines="50" w:after="156" w:afterLines="50"/>
        <w:jc w:val="left"/>
        <w:outlineLvl w:val="2"/>
        <w:rPr>
          <w:rFonts w:ascii="黑体" w:eastAsia="黑体"/>
          <w:kern w:val="0"/>
          <w:szCs w:val="21"/>
          <w:highlight w:val="none"/>
        </w:rPr>
      </w:pPr>
      <w:r>
        <w:rPr>
          <w:rFonts w:ascii="黑体" w:eastAsia="黑体"/>
          <w:kern w:val="0"/>
          <w:szCs w:val="21"/>
          <w:highlight w:val="none"/>
        </w:rPr>
        <w:t>5.</w:t>
      </w:r>
      <w:r>
        <w:rPr>
          <w:rFonts w:hint="eastAsia" w:ascii="黑体" w:eastAsia="黑体"/>
          <w:kern w:val="0"/>
          <w:szCs w:val="21"/>
          <w:highlight w:val="none"/>
        </w:rPr>
        <w:t>3</w:t>
      </w:r>
      <w:r>
        <w:rPr>
          <w:rFonts w:hint="eastAsia" w:ascii="黑体" w:eastAsia="黑体"/>
          <w:kern w:val="0"/>
          <w:szCs w:val="21"/>
          <w:highlight w:val="none"/>
        </w:rPr>
        <w:t>　理化指标</w:t>
      </w:r>
    </w:p>
    <w:p w14:paraId="224EAF27">
      <w:pPr>
        <w:pStyle w:val="20"/>
        <w:rPr>
          <w:highlight w:val="none"/>
        </w:rPr>
      </w:pPr>
      <w:r>
        <w:rPr>
          <w:rFonts w:hint="eastAsia"/>
          <w:highlight w:val="none"/>
        </w:rPr>
        <w:t>理化指标应符合表</w:t>
      </w:r>
      <w:r>
        <w:rPr>
          <w:rFonts w:ascii="Times New Roman"/>
          <w:highlight w:val="none"/>
        </w:rPr>
        <w:t>2</w:t>
      </w:r>
      <w:r>
        <w:rPr>
          <w:rFonts w:hint="eastAsia"/>
          <w:highlight w:val="none"/>
        </w:rPr>
        <w:t>的规定。</w:t>
      </w:r>
    </w:p>
    <w:p w14:paraId="3FA22B62">
      <w:pPr>
        <w:pStyle w:val="22"/>
        <w:numPr>
          <w:ilvl w:val="0"/>
          <w:numId w:val="3"/>
        </w:numPr>
        <w:spacing w:before="156" w:beforeLines="50" w:after="156" w:afterLines="50"/>
        <w:ind w:left="0"/>
        <w:rPr>
          <w:highlight w:val="none"/>
        </w:rPr>
      </w:pPr>
      <w:r>
        <w:rPr>
          <w:rFonts w:hint="eastAsia"/>
          <w:highlight w:val="none"/>
        </w:rPr>
        <w:t>理化指标</w:t>
      </w:r>
    </w:p>
    <w:tbl>
      <w:tblPr>
        <w:tblStyle w:val="1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481"/>
        <w:gridCol w:w="1702"/>
        <w:gridCol w:w="1703"/>
        <w:gridCol w:w="1702"/>
        <w:gridCol w:w="1700"/>
      </w:tblGrid>
      <w:tr w14:paraId="53F2BB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1336" w:type="pct"/>
            <w:vMerge w:val="restart"/>
            <w:tcBorders>
              <w:top w:val="single" w:color="auto" w:sz="8" w:space="0"/>
              <w:left w:val="single" w:color="auto" w:sz="8" w:space="0"/>
            </w:tcBorders>
            <w:vAlign w:val="center"/>
          </w:tcPr>
          <w:p w14:paraId="4B671BA1">
            <w:pPr>
              <w:jc w:val="center"/>
              <w:rPr>
                <w:kern w:val="0"/>
                <w:sz w:val="18"/>
                <w:szCs w:val="18"/>
                <w:highlight w:val="none"/>
              </w:rPr>
            </w:pPr>
            <w:r>
              <w:rPr>
                <w:kern w:val="0"/>
                <w:sz w:val="18"/>
                <w:szCs w:val="18"/>
                <w:highlight w:val="none"/>
              </w:rPr>
              <w:t>项目</w:t>
            </w:r>
          </w:p>
        </w:tc>
        <w:tc>
          <w:tcPr>
            <w:tcW w:w="3664" w:type="pct"/>
            <w:gridSpan w:val="4"/>
            <w:tcBorders>
              <w:top w:val="single" w:color="auto" w:sz="8" w:space="0"/>
            </w:tcBorders>
          </w:tcPr>
          <w:p w14:paraId="4D9BBED6">
            <w:pPr>
              <w:jc w:val="center"/>
              <w:rPr>
                <w:kern w:val="0"/>
                <w:sz w:val="18"/>
                <w:szCs w:val="18"/>
                <w:highlight w:val="none"/>
              </w:rPr>
            </w:pPr>
            <w:r>
              <w:rPr>
                <w:kern w:val="0"/>
                <w:sz w:val="18"/>
                <w:szCs w:val="18"/>
                <w:highlight w:val="none"/>
              </w:rPr>
              <w:t>指标</w:t>
            </w:r>
          </w:p>
        </w:tc>
      </w:tr>
      <w:tr w14:paraId="62E6E3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336" w:type="pct"/>
            <w:vMerge w:val="continue"/>
            <w:tcBorders>
              <w:left w:val="single" w:color="auto" w:sz="8" w:space="0"/>
            </w:tcBorders>
            <w:vAlign w:val="center"/>
          </w:tcPr>
          <w:p w14:paraId="2201EDEE">
            <w:pPr>
              <w:jc w:val="center"/>
              <w:rPr>
                <w:kern w:val="0"/>
                <w:sz w:val="18"/>
                <w:szCs w:val="18"/>
                <w:highlight w:val="none"/>
              </w:rPr>
            </w:pPr>
          </w:p>
        </w:tc>
        <w:tc>
          <w:tcPr>
            <w:tcW w:w="1833" w:type="pct"/>
            <w:gridSpan w:val="2"/>
            <w:tcBorders>
              <w:top w:val="single" w:color="auto" w:sz="8" w:space="0"/>
              <w:bottom w:val="single" w:color="auto" w:sz="4" w:space="0"/>
            </w:tcBorders>
            <w:vAlign w:val="center"/>
          </w:tcPr>
          <w:p w14:paraId="27F913D9">
            <w:pPr>
              <w:jc w:val="center"/>
              <w:rPr>
                <w:sz w:val="18"/>
                <w:szCs w:val="18"/>
                <w:highlight w:val="none"/>
              </w:rPr>
            </w:pPr>
            <w:r>
              <w:rPr>
                <w:rFonts w:hint="eastAsia"/>
                <w:sz w:val="18"/>
                <w:szCs w:val="18"/>
                <w:highlight w:val="none"/>
              </w:rPr>
              <w:t>酱卤</w:t>
            </w:r>
            <w:r>
              <w:rPr>
                <w:sz w:val="18"/>
                <w:szCs w:val="18"/>
                <w:highlight w:val="none"/>
              </w:rPr>
              <w:t>牛肉类</w:t>
            </w:r>
          </w:p>
        </w:tc>
        <w:tc>
          <w:tcPr>
            <w:tcW w:w="916" w:type="pct"/>
            <w:vMerge w:val="restart"/>
            <w:tcBorders>
              <w:top w:val="single" w:color="auto" w:sz="8" w:space="0"/>
            </w:tcBorders>
            <w:vAlign w:val="center"/>
          </w:tcPr>
          <w:p w14:paraId="11AC91A5">
            <w:pPr>
              <w:jc w:val="center"/>
              <w:rPr>
                <w:sz w:val="18"/>
                <w:szCs w:val="18"/>
                <w:highlight w:val="none"/>
              </w:rPr>
            </w:pPr>
            <w:r>
              <w:rPr>
                <w:rFonts w:hint="eastAsia"/>
                <w:sz w:val="18"/>
                <w:szCs w:val="18"/>
                <w:highlight w:val="none"/>
              </w:rPr>
              <w:t>酱卤</w:t>
            </w:r>
            <w:r>
              <w:rPr>
                <w:sz w:val="18"/>
                <w:szCs w:val="18"/>
                <w:highlight w:val="none"/>
              </w:rPr>
              <w:t>牛蹄筋</w:t>
            </w:r>
          </w:p>
        </w:tc>
        <w:tc>
          <w:tcPr>
            <w:tcW w:w="915" w:type="pct"/>
            <w:vMerge w:val="restart"/>
            <w:tcBorders>
              <w:top w:val="single" w:color="auto" w:sz="8" w:space="0"/>
            </w:tcBorders>
            <w:vAlign w:val="center"/>
          </w:tcPr>
          <w:p w14:paraId="1FE0DAC3">
            <w:pPr>
              <w:jc w:val="center"/>
              <w:rPr>
                <w:sz w:val="18"/>
                <w:szCs w:val="18"/>
                <w:highlight w:val="none"/>
              </w:rPr>
            </w:pPr>
            <w:r>
              <w:rPr>
                <w:rFonts w:hint="eastAsia"/>
                <w:sz w:val="18"/>
                <w:szCs w:val="18"/>
                <w:highlight w:val="none"/>
              </w:rPr>
              <w:t>酱卤</w:t>
            </w:r>
            <w:r>
              <w:rPr>
                <w:sz w:val="18"/>
                <w:szCs w:val="18"/>
                <w:highlight w:val="none"/>
              </w:rPr>
              <w:t>其他类</w:t>
            </w:r>
          </w:p>
        </w:tc>
      </w:tr>
      <w:tr w14:paraId="62654C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336" w:type="pct"/>
            <w:vMerge w:val="continue"/>
            <w:tcBorders>
              <w:left w:val="single" w:color="auto" w:sz="8" w:space="0"/>
            </w:tcBorders>
            <w:vAlign w:val="center"/>
          </w:tcPr>
          <w:p w14:paraId="24D1D99D">
            <w:pPr>
              <w:jc w:val="center"/>
              <w:rPr>
                <w:kern w:val="0"/>
                <w:sz w:val="18"/>
                <w:szCs w:val="18"/>
                <w:highlight w:val="none"/>
              </w:rPr>
            </w:pPr>
          </w:p>
        </w:tc>
        <w:tc>
          <w:tcPr>
            <w:tcW w:w="916" w:type="pct"/>
            <w:tcBorders>
              <w:top w:val="single" w:color="auto" w:sz="4" w:space="0"/>
              <w:right w:val="single" w:color="auto" w:sz="4" w:space="0"/>
            </w:tcBorders>
            <w:vAlign w:val="center"/>
          </w:tcPr>
          <w:p w14:paraId="21961F66">
            <w:pPr>
              <w:jc w:val="center"/>
              <w:rPr>
                <w:sz w:val="18"/>
                <w:szCs w:val="18"/>
                <w:highlight w:val="none"/>
              </w:rPr>
            </w:pPr>
            <w:r>
              <w:rPr>
                <w:rFonts w:hint="eastAsia"/>
                <w:sz w:val="18"/>
                <w:szCs w:val="18"/>
                <w:highlight w:val="none"/>
              </w:rPr>
              <w:t>优级</w:t>
            </w:r>
          </w:p>
        </w:tc>
        <w:tc>
          <w:tcPr>
            <w:tcW w:w="917" w:type="pct"/>
            <w:tcBorders>
              <w:top w:val="single" w:color="auto" w:sz="4" w:space="0"/>
              <w:left w:val="single" w:color="auto" w:sz="4" w:space="0"/>
            </w:tcBorders>
            <w:vAlign w:val="center"/>
          </w:tcPr>
          <w:p w14:paraId="173F4AD9">
            <w:pPr>
              <w:jc w:val="center"/>
              <w:rPr>
                <w:sz w:val="18"/>
                <w:szCs w:val="18"/>
                <w:highlight w:val="none"/>
              </w:rPr>
            </w:pPr>
            <w:r>
              <w:rPr>
                <w:rFonts w:hint="eastAsia"/>
                <w:sz w:val="18"/>
                <w:szCs w:val="18"/>
                <w:highlight w:val="none"/>
              </w:rPr>
              <w:t>普通级</w:t>
            </w:r>
          </w:p>
        </w:tc>
        <w:tc>
          <w:tcPr>
            <w:tcW w:w="916" w:type="pct"/>
            <w:vMerge w:val="continue"/>
          </w:tcPr>
          <w:p w14:paraId="0025C1BE">
            <w:pPr>
              <w:jc w:val="center"/>
              <w:rPr>
                <w:sz w:val="18"/>
                <w:szCs w:val="18"/>
                <w:highlight w:val="none"/>
              </w:rPr>
            </w:pPr>
          </w:p>
        </w:tc>
        <w:tc>
          <w:tcPr>
            <w:tcW w:w="915" w:type="pct"/>
            <w:vMerge w:val="continue"/>
            <w:vAlign w:val="center"/>
          </w:tcPr>
          <w:p w14:paraId="7227228C">
            <w:pPr>
              <w:jc w:val="center"/>
              <w:rPr>
                <w:sz w:val="18"/>
                <w:szCs w:val="18"/>
                <w:highlight w:val="none"/>
              </w:rPr>
            </w:pPr>
          </w:p>
        </w:tc>
      </w:tr>
      <w:tr w14:paraId="6AFB3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1336" w:type="pct"/>
            <w:tcBorders>
              <w:top w:val="single" w:color="auto" w:sz="8" w:space="0"/>
              <w:left w:val="single" w:color="auto" w:sz="8" w:space="0"/>
              <w:bottom w:val="single" w:color="auto" w:sz="8" w:space="0"/>
            </w:tcBorders>
            <w:vAlign w:val="center"/>
          </w:tcPr>
          <w:p w14:paraId="380AEAAB">
            <w:pPr>
              <w:jc w:val="center"/>
              <w:rPr>
                <w:kern w:val="0"/>
                <w:sz w:val="18"/>
                <w:szCs w:val="18"/>
                <w:highlight w:val="none"/>
              </w:rPr>
            </w:pPr>
            <w:r>
              <w:rPr>
                <w:kern w:val="0"/>
                <w:sz w:val="18"/>
                <w:szCs w:val="18"/>
                <w:highlight w:val="none"/>
              </w:rPr>
              <w:t>蛋白质（g/100g)</w:t>
            </w:r>
          </w:p>
        </w:tc>
        <w:tc>
          <w:tcPr>
            <w:tcW w:w="916" w:type="pct"/>
            <w:tcBorders>
              <w:top w:val="single" w:color="auto" w:sz="8" w:space="0"/>
              <w:bottom w:val="single" w:color="auto" w:sz="8" w:space="0"/>
              <w:right w:val="single" w:color="auto" w:sz="4" w:space="0"/>
            </w:tcBorders>
            <w:vAlign w:val="center"/>
          </w:tcPr>
          <w:p w14:paraId="15D961AA">
            <w:pPr>
              <w:jc w:val="center"/>
              <w:rPr>
                <w:sz w:val="18"/>
                <w:szCs w:val="18"/>
                <w:highlight w:val="none"/>
              </w:rPr>
            </w:pPr>
            <w:r>
              <w:rPr>
                <w:rFonts w:hint="eastAsia" w:ascii="宋体" w:hAnsi="宋体" w:cs="宋体"/>
                <w:color w:val="000000"/>
                <w:kern w:val="0"/>
                <w:sz w:val="18"/>
                <w:szCs w:val="18"/>
                <w:highlight w:val="none"/>
              </w:rPr>
              <w:t>≥</w:t>
            </w:r>
            <w:r>
              <w:rPr>
                <w:kern w:val="0"/>
                <w:sz w:val="18"/>
                <w:szCs w:val="18"/>
                <w:highlight w:val="none"/>
              </w:rPr>
              <w:t>30</w:t>
            </w:r>
            <w:r>
              <w:rPr>
                <w:rFonts w:hint="eastAsia"/>
                <w:kern w:val="0"/>
                <w:sz w:val="18"/>
                <w:szCs w:val="18"/>
                <w:highlight w:val="none"/>
              </w:rPr>
              <w:t>.0</w:t>
            </w:r>
          </w:p>
        </w:tc>
        <w:tc>
          <w:tcPr>
            <w:tcW w:w="917" w:type="pct"/>
            <w:tcBorders>
              <w:top w:val="single" w:color="auto" w:sz="8" w:space="0"/>
              <w:left w:val="single" w:color="auto" w:sz="4" w:space="0"/>
              <w:bottom w:val="single" w:color="auto" w:sz="8" w:space="0"/>
            </w:tcBorders>
            <w:vAlign w:val="center"/>
          </w:tcPr>
          <w:p w14:paraId="4F846B6F">
            <w:pPr>
              <w:jc w:val="center"/>
              <w:rPr>
                <w:sz w:val="18"/>
                <w:szCs w:val="18"/>
                <w:highlight w:val="none"/>
              </w:rPr>
            </w:pPr>
            <w:r>
              <w:rPr>
                <w:rFonts w:hint="eastAsia" w:ascii="宋体" w:hAnsi="宋体" w:cs="宋体"/>
                <w:color w:val="000000"/>
                <w:kern w:val="0"/>
                <w:sz w:val="18"/>
                <w:szCs w:val="18"/>
                <w:highlight w:val="none"/>
              </w:rPr>
              <w:t>≥</w:t>
            </w:r>
            <w:r>
              <w:rPr>
                <w:rFonts w:hint="eastAsia"/>
                <w:kern w:val="0"/>
                <w:sz w:val="18"/>
                <w:szCs w:val="18"/>
                <w:highlight w:val="none"/>
              </w:rPr>
              <w:t>20.0</w:t>
            </w:r>
          </w:p>
        </w:tc>
        <w:tc>
          <w:tcPr>
            <w:tcW w:w="916" w:type="pct"/>
            <w:tcBorders>
              <w:top w:val="single" w:color="auto" w:sz="8" w:space="0"/>
              <w:bottom w:val="single" w:color="auto" w:sz="8" w:space="0"/>
            </w:tcBorders>
          </w:tcPr>
          <w:p w14:paraId="0E7A0ACF">
            <w:pP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w:t>
            </w:r>
            <w:r>
              <w:rPr>
                <w:kern w:val="0"/>
                <w:sz w:val="18"/>
                <w:szCs w:val="18"/>
                <w:highlight w:val="none"/>
              </w:rPr>
              <w:t>30</w:t>
            </w:r>
            <w:r>
              <w:rPr>
                <w:rFonts w:hint="eastAsia"/>
                <w:kern w:val="0"/>
                <w:sz w:val="18"/>
                <w:szCs w:val="18"/>
                <w:highlight w:val="none"/>
              </w:rPr>
              <w:t>.0</w:t>
            </w:r>
          </w:p>
        </w:tc>
        <w:tc>
          <w:tcPr>
            <w:tcW w:w="915" w:type="pct"/>
            <w:tcBorders>
              <w:top w:val="single" w:color="auto" w:sz="8" w:space="0"/>
              <w:bottom w:val="single" w:color="auto" w:sz="8" w:space="0"/>
            </w:tcBorders>
          </w:tcPr>
          <w:p w14:paraId="261A4F67">
            <w:pPr>
              <w:jc w:val="center"/>
              <w:rPr>
                <w:kern w:val="0"/>
                <w:sz w:val="18"/>
                <w:szCs w:val="18"/>
                <w:highlight w:val="none"/>
              </w:rPr>
            </w:pPr>
            <w:r>
              <w:rPr>
                <w:rFonts w:hint="eastAsia" w:ascii="宋体" w:hAnsi="宋体" w:cs="宋体"/>
                <w:color w:val="000000"/>
                <w:kern w:val="0"/>
                <w:sz w:val="18"/>
                <w:szCs w:val="18"/>
                <w:highlight w:val="none"/>
              </w:rPr>
              <w:t>≥</w:t>
            </w:r>
            <w:r>
              <w:rPr>
                <w:kern w:val="0"/>
                <w:sz w:val="18"/>
                <w:szCs w:val="18"/>
                <w:highlight w:val="none"/>
              </w:rPr>
              <w:t>10</w:t>
            </w:r>
            <w:r>
              <w:rPr>
                <w:rFonts w:hint="eastAsia"/>
                <w:kern w:val="0"/>
                <w:sz w:val="18"/>
                <w:szCs w:val="18"/>
                <w:highlight w:val="none"/>
              </w:rPr>
              <w:t>.0</w:t>
            </w:r>
          </w:p>
        </w:tc>
      </w:tr>
      <w:tr w14:paraId="65EAE1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1336" w:type="pct"/>
            <w:tcBorders>
              <w:top w:val="single" w:color="auto" w:sz="8" w:space="0"/>
              <w:left w:val="single" w:color="auto" w:sz="8" w:space="0"/>
              <w:bottom w:val="single" w:color="auto" w:sz="8" w:space="0"/>
            </w:tcBorders>
            <w:vAlign w:val="center"/>
          </w:tcPr>
          <w:p w14:paraId="41BAA396">
            <w:pPr>
              <w:jc w:val="center"/>
              <w:rPr>
                <w:kern w:val="0"/>
                <w:sz w:val="18"/>
                <w:szCs w:val="18"/>
                <w:highlight w:val="none"/>
              </w:rPr>
            </w:pPr>
            <w:r>
              <w:rPr>
                <w:kern w:val="0"/>
                <w:sz w:val="18"/>
                <w:szCs w:val="18"/>
                <w:highlight w:val="none"/>
              </w:rPr>
              <w:t>水分（g/100g）</w:t>
            </w:r>
          </w:p>
        </w:tc>
        <w:tc>
          <w:tcPr>
            <w:tcW w:w="916" w:type="pct"/>
            <w:tcBorders>
              <w:top w:val="single" w:color="auto" w:sz="8" w:space="0"/>
              <w:bottom w:val="single" w:color="auto" w:sz="8" w:space="0"/>
              <w:right w:val="single" w:color="auto" w:sz="4" w:space="0"/>
            </w:tcBorders>
            <w:vAlign w:val="center"/>
          </w:tcPr>
          <w:p w14:paraId="30228D21">
            <w:pPr>
              <w:jc w:val="center"/>
              <w:rPr>
                <w:kern w:val="0"/>
                <w:sz w:val="18"/>
                <w:szCs w:val="18"/>
                <w:highlight w:val="none"/>
              </w:rPr>
            </w:pPr>
            <w:r>
              <w:rPr>
                <w:rFonts w:hint="eastAsia"/>
                <w:sz w:val="18"/>
                <w:szCs w:val="18"/>
                <w:highlight w:val="none"/>
              </w:rPr>
              <w:t>≤</w:t>
            </w:r>
            <w:r>
              <w:rPr>
                <w:kern w:val="0"/>
                <w:sz w:val="18"/>
                <w:szCs w:val="18"/>
                <w:highlight w:val="none"/>
              </w:rPr>
              <w:t>60.0</w:t>
            </w:r>
          </w:p>
        </w:tc>
        <w:tc>
          <w:tcPr>
            <w:tcW w:w="917" w:type="pct"/>
            <w:tcBorders>
              <w:top w:val="single" w:color="auto" w:sz="8" w:space="0"/>
              <w:left w:val="single" w:color="auto" w:sz="4" w:space="0"/>
              <w:bottom w:val="single" w:color="auto" w:sz="8" w:space="0"/>
            </w:tcBorders>
            <w:vAlign w:val="center"/>
          </w:tcPr>
          <w:p w14:paraId="6BABA050">
            <w:pPr>
              <w:jc w:val="center"/>
              <w:rPr>
                <w:kern w:val="0"/>
                <w:sz w:val="18"/>
                <w:szCs w:val="18"/>
                <w:highlight w:val="none"/>
              </w:rPr>
            </w:pPr>
            <w:r>
              <w:rPr>
                <w:rFonts w:hint="eastAsia"/>
                <w:sz w:val="18"/>
                <w:szCs w:val="18"/>
                <w:highlight w:val="none"/>
              </w:rPr>
              <w:t>≤</w:t>
            </w:r>
            <w:r>
              <w:rPr>
                <w:kern w:val="0"/>
                <w:sz w:val="18"/>
                <w:szCs w:val="18"/>
                <w:highlight w:val="none"/>
              </w:rPr>
              <w:t>70.0</w:t>
            </w:r>
          </w:p>
        </w:tc>
        <w:tc>
          <w:tcPr>
            <w:tcW w:w="916" w:type="pct"/>
            <w:tcBorders>
              <w:top w:val="single" w:color="auto" w:sz="8" w:space="0"/>
              <w:bottom w:val="single" w:color="auto" w:sz="8" w:space="0"/>
            </w:tcBorders>
          </w:tcPr>
          <w:p w14:paraId="68216743">
            <w:pPr>
              <w:jc w:val="center"/>
              <w:rPr>
                <w:sz w:val="18"/>
                <w:szCs w:val="18"/>
                <w:highlight w:val="none"/>
              </w:rPr>
            </w:pPr>
            <w:r>
              <w:rPr>
                <w:rFonts w:hint="eastAsia"/>
                <w:sz w:val="18"/>
                <w:szCs w:val="18"/>
                <w:highlight w:val="none"/>
              </w:rPr>
              <w:t>≤55.0</w:t>
            </w:r>
          </w:p>
        </w:tc>
        <w:tc>
          <w:tcPr>
            <w:tcW w:w="915" w:type="pct"/>
            <w:tcBorders>
              <w:top w:val="single" w:color="auto" w:sz="8" w:space="0"/>
              <w:bottom w:val="single" w:color="auto" w:sz="8" w:space="0"/>
            </w:tcBorders>
          </w:tcPr>
          <w:p w14:paraId="388D0A73">
            <w:pPr>
              <w:jc w:val="center"/>
              <w:rPr>
                <w:kern w:val="0"/>
                <w:sz w:val="18"/>
                <w:szCs w:val="18"/>
                <w:highlight w:val="none"/>
              </w:rPr>
            </w:pPr>
            <w:r>
              <w:rPr>
                <w:rFonts w:hint="eastAsia"/>
                <w:sz w:val="18"/>
                <w:szCs w:val="18"/>
                <w:highlight w:val="none"/>
              </w:rPr>
              <w:t>≤</w:t>
            </w:r>
            <w:r>
              <w:rPr>
                <w:kern w:val="0"/>
                <w:sz w:val="18"/>
                <w:szCs w:val="18"/>
                <w:highlight w:val="none"/>
              </w:rPr>
              <w:t>80.0</w:t>
            </w:r>
          </w:p>
        </w:tc>
      </w:tr>
      <w:tr w14:paraId="46C2CC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1336" w:type="pct"/>
            <w:tcBorders>
              <w:top w:val="single" w:color="auto" w:sz="8" w:space="0"/>
              <w:left w:val="single" w:color="auto" w:sz="8" w:space="0"/>
              <w:bottom w:val="single" w:color="auto" w:sz="8" w:space="0"/>
            </w:tcBorders>
            <w:vAlign w:val="center"/>
          </w:tcPr>
          <w:p w14:paraId="7ECB72F2">
            <w:pPr>
              <w:jc w:val="center"/>
              <w:rPr>
                <w:kern w:val="0"/>
                <w:sz w:val="18"/>
                <w:szCs w:val="18"/>
                <w:highlight w:val="none"/>
              </w:rPr>
            </w:pPr>
            <w:r>
              <w:rPr>
                <w:rFonts w:hint="eastAsia"/>
                <w:kern w:val="0"/>
                <w:sz w:val="18"/>
                <w:szCs w:val="18"/>
                <w:highlight w:val="none"/>
              </w:rPr>
              <w:t>氯化物（以NaCl计）</w:t>
            </w:r>
            <w:r>
              <w:rPr>
                <w:kern w:val="0"/>
                <w:sz w:val="18"/>
                <w:szCs w:val="18"/>
                <w:highlight w:val="none"/>
              </w:rPr>
              <w:t>（g/100g）</w:t>
            </w:r>
          </w:p>
        </w:tc>
        <w:tc>
          <w:tcPr>
            <w:tcW w:w="3664" w:type="pct"/>
            <w:gridSpan w:val="4"/>
            <w:tcBorders>
              <w:top w:val="single" w:color="auto" w:sz="8" w:space="0"/>
              <w:bottom w:val="single" w:color="auto" w:sz="8" w:space="0"/>
            </w:tcBorders>
          </w:tcPr>
          <w:p w14:paraId="515B06B1">
            <w:pPr>
              <w:jc w:val="center"/>
              <w:rPr>
                <w:kern w:val="0"/>
                <w:sz w:val="18"/>
                <w:szCs w:val="18"/>
                <w:highlight w:val="none"/>
              </w:rPr>
            </w:pPr>
            <w:r>
              <w:rPr>
                <w:rFonts w:hint="eastAsia"/>
                <w:sz w:val="18"/>
                <w:szCs w:val="18"/>
                <w:highlight w:val="none"/>
              </w:rPr>
              <w:t>≤</w:t>
            </w:r>
            <w:r>
              <w:rPr>
                <w:kern w:val="0"/>
                <w:sz w:val="18"/>
                <w:szCs w:val="18"/>
                <w:highlight w:val="none"/>
              </w:rPr>
              <w:t>2.5</w:t>
            </w:r>
          </w:p>
        </w:tc>
      </w:tr>
      <w:tr w14:paraId="1C9A26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5000" w:type="pct"/>
            <w:gridSpan w:val="5"/>
            <w:tcBorders>
              <w:top w:val="single" w:color="auto" w:sz="8" w:space="0"/>
              <w:left w:val="single" w:color="auto" w:sz="8" w:space="0"/>
              <w:right w:val="single" w:color="auto" w:sz="4" w:space="0"/>
            </w:tcBorders>
          </w:tcPr>
          <w:p w14:paraId="1E10D6F5">
            <w:pPr>
              <w:ind w:left="420" w:leftChars="200"/>
              <w:rPr>
                <w:kern w:val="0"/>
                <w:sz w:val="18"/>
                <w:szCs w:val="18"/>
                <w:highlight w:val="none"/>
              </w:rPr>
            </w:pPr>
            <w:r>
              <w:rPr>
                <w:rFonts w:hint="eastAsia" w:ascii="黑体" w:hAnsi="黑体" w:eastAsia="黑体" w:cs="黑体"/>
                <w:kern w:val="0"/>
                <w:sz w:val="18"/>
                <w:szCs w:val="18"/>
                <w:highlight w:val="none"/>
              </w:rPr>
              <w:t>注1：</w:t>
            </w:r>
            <w:r>
              <w:rPr>
                <w:rFonts w:hint="eastAsia"/>
                <w:kern w:val="0"/>
                <w:sz w:val="18"/>
                <w:szCs w:val="18"/>
                <w:highlight w:val="none"/>
              </w:rPr>
              <w:t>蛋白质、水分指可食部分。</w:t>
            </w:r>
          </w:p>
          <w:p w14:paraId="7E51A0FE">
            <w:pPr>
              <w:ind w:left="960" w:leftChars="200" w:hanging="540" w:hangingChars="300"/>
              <w:rPr>
                <w:kern w:val="0"/>
                <w:sz w:val="18"/>
                <w:szCs w:val="18"/>
                <w:highlight w:val="none"/>
              </w:rPr>
            </w:pPr>
            <w:r>
              <w:rPr>
                <w:rFonts w:hint="eastAsia" w:ascii="黑体" w:hAnsi="黑体" w:eastAsia="黑体" w:cs="黑体"/>
                <w:kern w:val="0"/>
                <w:sz w:val="18"/>
                <w:szCs w:val="18"/>
                <w:highlight w:val="none"/>
              </w:rPr>
              <w:t>注2：</w:t>
            </w:r>
            <w:r>
              <w:rPr>
                <w:rFonts w:hint="eastAsia"/>
                <w:kern w:val="0"/>
                <w:sz w:val="18"/>
                <w:szCs w:val="18"/>
                <w:highlight w:val="none"/>
              </w:rPr>
              <w:t>用肥瘦相间的通辽牛肉为原料的酱卤肉制品蛋白质含量参照</w:t>
            </w:r>
            <w:r>
              <w:rPr>
                <w:rFonts w:hint="eastAsia"/>
                <w:sz w:val="18"/>
                <w:szCs w:val="18"/>
                <w:highlight w:val="none"/>
              </w:rPr>
              <w:t>酱卤</w:t>
            </w:r>
            <w:r>
              <w:rPr>
                <w:rFonts w:hint="eastAsia"/>
                <w:kern w:val="0"/>
                <w:sz w:val="18"/>
                <w:szCs w:val="18"/>
                <w:highlight w:val="none"/>
              </w:rPr>
              <w:t>其他类产品执行（例如带皮带脂的酱汁牛肉、卤汁</w:t>
            </w:r>
            <w:r>
              <w:rPr>
                <w:kern w:val="0"/>
                <w:sz w:val="18"/>
                <w:szCs w:val="18"/>
                <w:highlight w:val="none"/>
              </w:rPr>
              <w:t>牛肉、</w:t>
            </w:r>
            <w:r>
              <w:rPr>
                <w:rFonts w:hint="eastAsia"/>
                <w:kern w:val="0"/>
                <w:sz w:val="18"/>
                <w:szCs w:val="18"/>
                <w:highlight w:val="none"/>
              </w:rPr>
              <w:t>酱卤牛腩等）。</w:t>
            </w:r>
          </w:p>
        </w:tc>
      </w:tr>
    </w:tbl>
    <w:p w14:paraId="76BB8731">
      <w:pPr>
        <w:widowControl/>
        <w:numPr>
          <w:ilvl w:val="1"/>
          <w:numId w:val="0"/>
        </w:numPr>
        <w:tabs>
          <w:tab w:val="left" w:pos="360"/>
        </w:tabs>
        <w:snapToGrid w:val="0"/>
        <w:spacing w:before="156" w:beforeLines="50" w:after="156" w:afterLines="50"/>
        <w:jc w:val="left"/>
        <w:outlineLvl w:val="2"/>
        <w:rPr>
          <w:rFonts w:ascii="黑体" w:hAnsi="黑体" w:eastAsia="黑体"/>
          <w:kern w:val="0"/>
          <w:highlight w:val="none"/>
        </w:rPr>
      </w:pPr>
      <w:r>
        <w:rPr>
          <w:rFonts w:ascii="黑体" w:eastAsia="黑体"/>
          <w:kern w:val="0"/>
          <w:szCs w:val="21"/>
          <w:highlight w:val="none"/>
        </w:rPr>
        <w:t>5.</w:t>
      </w:r>
      <w:r>
        <w:rPr>
          <w:rFonts w:hint="eastAsia" w:ascii="黑体" w:eastAsia="黑体"/>
          <w:kern w:val="0"/>
          <w:szCs w:val="21"/>
          <w:highlight w:val="none"/>
        </w:rPr>
        <w:t>3</w:t>
      </w:r>
      <w:r>
        <w:rPr>
          <w:rFonts w:hint="eastAsia" w:ascii="黑体" w:eastAsia="黑体"/>
          <w:kern w:val="0"/>
          <w:szCs w:val="21"/>
          <w:highlight w:val="none"/>
        </w:rPr>
        <w:t>　</w:t>
      </w:r>
      <w:r>
        <w:rPr>
          <w:rFonts w:ascii="黑体" w:hAnsi="黑体" w:eastAsia="黑体"/>
          <w:kern w:val="0"/>
          <w:highlight w:val="none"/>
        </w:rPr>
        <w:t>食品安全指标</w:t>
      </w:r>
    </w:p>
    <w:p w14:paraId="60C71B23">
      <w:pPr>
        <w:widowControl/>
        <w:numPr>
          <w:ilvl w:val="1"/>
          <w:numId w:val="0"/>
        </w:numPr>
        <w:tabs>
          <w:tab w:val="left" w:pos="360"/>
        </w:tabs>
        <w:snapToGrid w:val="0"/>
        <w:spacing w:before="156" w:beforeLines="50" w:after="156" w:afterLines="50"/>
        <w:jc w:val="left"/>
        <w:outlineLvl w:val="2"/>
        <w:rPr>
          <w:rFonts w:ascii="黑体" w:eastAsia="黑体"/>
          <w:kern w:val="0"/>
          <w:szCs w:val="21"/>
          <w:highlight w:val="none"/>
        </w:rPr>
      </w:pPr>
      <w:r>
        <w:rPr>
          <w:rFonts w:hint="eastAsia" w:ascii="黑体" w:eastAsia="黑体"/>
          <w:kern w:val="0"/>
          <w:szCs w:val="21"/>
          <w:highlight w:val="none"/>
        </w:rPr>
        <w:t>5.3.1</w:t>
      </w:r>
      <w:r>
        <w:rPr>
          <w:rFonts w:hint="eastAsia" w:ascii="黑体" w:eastAsia="黑体"/>
          <w:kern w:val="0"/>
          <w:szCs w:val="21"/>
          <w:highlight w:val="none"/>
        </w:rPr>
        <w:t>污染物</w:t>
      </w:r>
      <w:r>
        <w:rPr>
          <w:rFonts w:ascii="黑体" w:eastAsia="黑体"/>
          <w:kern w:val="0"/>
          <w:szCs w:val="21"/>
          <w:highlight w:val="none"/>
        </w:rPr>
        <w:t>限量</w:t>
      </w:r>
    </w:p>
    <w:p w14:paraId="5168F4F7">
      <w:pPr>
        <w:pStyle w:val="20"/>
        <w:rPr>
          <w:highlight w:val="none"/>
        </w:rPr>
      </w:pPr>
      <w:r>
        <w:rPr>
          <w:rFonts w:hint="eastAsia"/>
          <w:highlight w:val="none"/>
        </w:rPr>
        <w:t>应符合</w:t>
      </w:r>
      <w:r>
        <w:rPr>
          <w:rFonts w:ascii="Times New Roman"/>
          <w:highlight w:val="none"/>
        </w:rPr>
        <w:t>GB 2762</w:t>
      </w:r>
      <w:r>
        <w:rPr>
          <w:rFonts w:hint="eastAsia"/>
          <w:highlight w:val="none"/>
        </w:rPr>
        <w:t>的规定。</w:t>
      </w:r>
    </w:p>
    <w:p w14:paraId="428A8D1C">
      <w:pPr>
        <w:widowControl/>
        <w:numPr>
          <w:ilvl w:val="1"/>
          <w:numId w:val="0"/>
        </w:numPr>
        <w:tabs>
          <w:tab w:val="left" w:pos="360"/>
        </w:tabs>
        <w:snapToGrid w:val="0"/>
        <w:spacing w:before="156" w:beforeLines="50" w:after="156" w:afterLines="50"/>
        <w:jc w:val="left"/>
        <w:outlineLvl w:val="2"/>
        <w:rPr>
          <w:rFonts w:ascii="黑体" w:eastAsia="黑体"/>
          <w:kern w:val="0"/>
          <w:szCs w:val="21"/>
          <w:highlight w:val="none"/>
        </w:rPr>
      </w:pPr>
      <w:r>
        <w:rPr>
          <w:rFonts w:hint="eastAsia" w:ascii="黑体" w:eastAsia="黑体"/>
          <w:kern w:val="0"/>
          <w:szCs w:val="21"/>
          <w:highlight w:val="none"/>
        </w:rPr>
        <w:t>5.3.2</w:t>
      </w:r>
      <w:r>
        <w:rPr>
          <w:rFonts w:hint="eastAsia" w:ascii="黑体" w:eastAsia="黑体"/>
          <w:kern w:val="0"/>
          <w:szCs w:val="21"/>
          <w:highlight w:val="none"/>
        </w:rPr>
        <w:t>　微生物指标</w:t>
      </w:r>
    </w:p>
    <w:p w14:paraId="107211EF">
      <w:pPr>
        <w:pStyle w:val="20"/>
        <w:rPr>
          <w:highlight w:val="none"/>
        </w:rPr>
      </w:pPr>
      <w:r>
        <w:rPr>
          <w:rFonts w:hint="eastAsia"/>
          <w:highlight w:val="none"/>
        </w:rPr>
        <w:t>预包装产品应符合</w:t>
      </w:r>
      <w:r>
        <w:rPr>
          <w:rFonts w:ascii="Times New Roman"/>
          <w:highlight w:val="none"/>
        </w:rPr>
        <w:t>GB 2726</w:t>
      </w:r>
      <w:r>
        <w:rPr>
          <w:rFonts w:hint="eastAsia"/>
          <w:highlight w:val="none"/>
        </w:rPr>
        <w:t>的规定。</w:t>
      </w:r>
    </w:p>
    <w:p w14:paraId="3286C5AB">
      <w:pPr>
        <w:widowControl/>
        <w:numPr>
          <w:ilvl w:val="1"/>
          <w:numId w:val="0"/>
        </w:numPr>
        <w:tabs>
          <w:tab w:val="left" w:pos="360"/>
        </w:tabs>
        <w:snapToGrid w:val="0"/>
        <w:spacing w:before="156" w:beforeLines="50" w:after="156" w:afterLines="50"/>
        <w:jc w:val="left"/>
        <w:outlineLvl w:val="2"/>
        <w:rPr>
          <w:rFonts w:ascii="黑体" w:eastAsia="黑体"/>
          <w:kern w:val="0"/>
          <w:szCs w:val="21"/>
          <w:highlight w:val="none"/>
        </w:rPr>
      </w:pPr>
      <w:r>
        <w:rPr>
          <w:rFonts w:ascii="黑体" w:eastAsia="黑体"/>
          <w:kern w:val="0"/>
          <w:szCs w:val="21"/>
          <w:highlight w:val="none"/>
        </w:rPr>
        <w:t>5.</w:t>
      </w:r>
      <w:r>
        <w:rPr>
          <w:rFonts w:hint="eastAsia" w:ascii="黑体" w:eastAsia="黑体"/>
          <w:kern w:val="0"/>
          <w:szCs w:val="21"/>
          <w:highlight w:val="none"/>
        </w:rPr>
        <w:t>4</w:t>
      </w:r>
      <w:r>
        <w:rPr>
          <w:rFonts w:hint="eastAsia" w:ascii="黑体" w:eastAsia="黑体"/>
          <w:kern w:val="0"/>
          <w:szCs w:val="21"/>
          <w:highlight w:val="none"/>
        </w:rPr>
        <w:t>　净含量</w:t>
      </w:r>
    </w:p>
    <w:p w14:paraId="775A12AD">
      <w:pPr>
        <w:pStyle w:val="20"/>
        <w:rPr>
          <w:highlight w:val="none"/>
        </w:rPr>
      </w:pPr>
      <w:r>
        <w:rPr>
          <w:rFonts w:hint="eastAsia"/>
          <w:highlight w:val="none"/>
        </w:rPr>
        <w:t>预包装产品净含量应符合</w:t>
      </w:r>
      <w:bookmarkStart w:id="51" w:name="OLE_LINK27"/>
      <w:bookmarkStart w:id="52" w:name="OLE_LINK26"/>
      <w:r>
        <w:rPr>
          <w:rFonts w:hint="eastAsia"/>
          <w:highlight w:val="none"/>
        </w:rPr>
        <w:t>《定量包装商品计量监督管理办法》</w:t>
      </w:r>
      <w:bookmarkEnd w:id="51"/>
      <w:bookmarkEnd w:id="52"/>
      <w:r>
        <w:rPr>
          <w:rFonts w:hint="eastAsia"/>
          <w:highlight w:val="none"/>
        </w:rPr>
        <w:t>的规定。</w:t>
      </w:r>
    </w:p>
    <w:p w14:paraId="558B63B8">
      <w:pPr>
        <w:pStyle w:val="19"/>
        <w:numPr>
          <w:ilvl w:val="0"/>
          <w:numId w:val="2"/>
        </w:numPr>
        <w:spacing w:before="312" w:beforeLines="100" w:after="312" w:afterLines="100"/>
        <w:outlineLvl w:val="0"/>
        <w:rPr>
          <w:rFonts w:ascii="Times New Roman"/>
          <w:szCs w:val="21"/>
          <w:highlight w:val="none"/>
        </w:rPr>
      </w:pPr>
      <w:r>
        <w:rPr>
          <w:rFonts w:hint="eastAsia" w:ascii="Times New Roman"/>
          <w:szCs w:val="21"/>
          <w:highlight w:val="none"/>
        </w:rPr>
        <w:t>　生产加工管理</w:t>
      </w:r>
    </w:p>
    <w:p w14:paraId="5F7D60D5">
      <w:pPr>
        <w:pStyle w:val="20"/>
        <w:rPr>
          <w:highlight w:val="none"/>
        </w:rPr>
      </w:pPr>
      <w:r>
        <w:rPr>
          <w:rFonts w:hint="eastAsia"/>
          <w:highlight w:val="none"/>
        </w:rPr>
        <w:t>应符合相应的国家标准或行业标准的有关规定。</w:t>
      </w:r>
    </w:p>
    <w:p w14:paraId="6AF8FC4A">
      <w:pPr>
        <w:pStyle w:val="19"/>
        <w:numPr>
          <w:ilvl w:val="0"/>
          <w:numId w:val="2"/>
        </w:numPr>
        <w:spacing w:before="312" w:beforeLines="100" w:after="312" w:afterLines="100"/>
        <w:outlineLvl w:val="0"/>
        <w:rPr>
          <w:rFonts w:ascii="Times New Roman"/>
          <w:szCs w:val="21"/>
          <w:highlight w:val="none"/>
        </w:rPr>
      </w:pPr>
      <w:r>
        <w:rPr>
          <w:rFonts w:hint="eastAsia" w:ascii="Times New Roman"/>
          <w:szCs w:val="21"/>
          <w:highlight w:val="none"/>
        </w:rPr>
        <w:t>试验</w:t>
      </w:r>
      <w:r>
        <w:rPr>
          <w:rFonts w:hint="eastAsia" w:ascii="Times New Roman"/>
          <w:szCs w:val="21"/>
          <w:highlight w:val="none"/>
        </w:rPr>
        <w:t>方</w:t>
      </w:r>
      <w:r>
        <w:rPr>
          <w:rFonts w:ascii="Times New Roman"/>
          <w:szCs w:val="21"/>
          <w:highlight w:val="none"/>
        </w:rPr>
        <w:t>法</w:t>
      </w:r>
    </w:p>
    <w:p w14:paraId="6ABD4754">
      <w:pPr>
        <w:pStyle w:val="21"/>
        <w:numPr>
          <w:ilvl w:val="1"/>
          <w:numId w:val="0"/>
        </w:numPr>
        <w:spacing w:before="156" w:beforeLines="50" w:after="156" w:afterLines="50"/>
        <w:rPr>
          <w:rFonts w:ascii="黑体" w:hAnsi="黑体"/>
          <w:szCs w:val="21"/>
          <w:highlight w:val="none"/>
        </w:rPr>
      </w:pPr>
      <w:bookmarkStart w:id="53" w:name="OLE_LINK14"/>
      <w:r>
        <w:rPr>
          <w:rFonts w:ascii="黑体" w:hAnsi="黑体"/>
          <w:szCs w:val="21"/>
          <w:highlight w:val="none"/>
        </w:rPr>
        <w:t>7</w:t>
      </w:r>
      <w:r>
        <w:rPr>
          <w:rFonts w:hint="eastAsia" w:ascii="黑体" w:hAnsi="黑体"/>
          <w:szCs w:val="21"/>
          <w:highlight w:val="none"/>
        </w:rPr>
        <w:t>.1 感官指标测定</w:t>
      </w:r>
      <w:bookmarkStart w:id="54" w:name="OLE_LINK15"/>
    </w:p>
    <w:bookmarkEnd w:id="53"/>
    <w:bookmarkEnd w:id="54"/>
    <w:p w14:paraId="7A665906">
      <w:pPr>
        <w:pStyle w:val="49"/>
        <w:autoSpaceDE w:val="0"/>
        <w:autoSpaceDN w:val="0"/>
        <w:adjustRightInd w:val="0"/>
        <w:ind w:firstLineChars="0"/>
        <w:jc w:val="left"/>
        <w:rPr>
          <w:rFonts w:ascii="宋体"/>
          <w:kern w:val="0"/>
          <w:szCs w:val="20"/>
          <w:highlight w:val="none"/>
        </w:rPr>
      </w:pPr>
      <w:r>
        <w:rPr>
          <w:rFonts w:ascii="宋体"/>
          <w:kern w:val="0"/>
          <w:szCs w:val="20"/>
          <w:highlight w:val="none"/>
        </w:rPr>
        <w:t>取适量试样（冻品应预先解冻）置于</w:t>
      </w:r>
      <w:r>
        <w:rPr>
          <w:rFonts w:hint="eastAsia" w:ascii="宋体"/>
          <w:kern w:val="0"/>
          <w:szCs w:val="20"/>
          <w:highlight w:val="none"/>
        </w:rPr>
        <w:t>白色器皿内</w:t>
      </w:r>
      <w:r>
        <w:rPr>
          <w:rFonts w:ascii="宋体"/>
          <w:kern w:val="0"/>
          <w:szCs w:val="20"/>
          <w:highlight w:val="none"/>
        </w:rPr>
        <w:t>，在自然光</w:t>
      </w:r>
      <w:r>
        <w:rPr>
          <w:rFonts w:hint="eastAsia" w:ascii="宋体"/>
          <w:kern w:val="0"/>
          <w:szCs w:val="20"/>
          <w:highlight w:val="none"/>
        </w:rPr>
        <w:t>照</w:t>
      </w:r>
      <w:r>
        <w:rPr>
          <w:rFonts w:ascii="宋体"/>
          <w:kern w:val="0"/>
          <w:szCs w:val="20"/>
          <w:highlight w:val="none"/>
        </w:rPr>
        <w:t>下观察</w:t>
      </w:r>
      <w:r>
        <w:rPr>
          <w:rFonts w:hint="eastAsia" w:ascii="宋体"/>
          <w:kern w:val="0"/>
          <w:szCs w:val="20"/>
          <w:highlight w:val="none"/>
        </w:rPr>
        <w:t>其外观、</w:t>
      </w:r>
      <w:r>
        <w:rPr>
          <w:rFonts w:ascii="宋体"/>
          <w:kern w:val="0"/>
          <w:szCs w:val="20"/>
          <w:highlight w:val="none"/>
        </w:rPr>
        <w:t>色泽、组织状态</w:t>
      </w:r>
      <w:r>
        <w:rPr>
          <w:rFonts w:hint="eastAsia" w:ascii="宋体"/>
          <w:kern w:val="0"/>
          <w:szCs w:val="20"/>
          <w:highlight w:val="none"/>
        </w:rPr>
        <w:t>和杂质</w:t>
      </w:r>
      <w:r>
        <w:rPr>
          <w:rFonts w:ascii="宋体"/>
          <w:kern w:val="0"/>
          <w:szCs w:val="20"/>
          <w:highlight w:val="none"/>
        </w:rPr>
        <w:t>，</w:t>
      </w:r>
      <w:r>
        <w:rPr>
          <w:rFonts w:hint="eastAsia" w:ascii="宋体"/>
          <w:kern w:val="0"/>
          <w:szCs w:val="20"/>
          <w:highlight w:val="none"/>
        </w:rPr>
        <w:t>嗅</w:t>
      </w:r>
      <w:r>
        <w:rPr>
          <w:rFonts w:ascii="宋体"/>
          <w:kern w:val="0"/>
          <w:szCs w:val="20"/>
          <w:highlight w:val="none"/>
        </w:rPr>
        <w:t>其气味，</w:t>
      </w:r>
      <w:r>
        <w:rPr>
          <w:rFonts w:hint="eastAsia" w:ascii="宋体"/>
          <w:kern w:val="0"/>
          <w:szCs w:val="20"/>
          <w:highlight w:val="none"/>
        </w:rPr>
        <w:t>尝</w:t>
      </w:r>
      <w:r>
        <w:rPr>
          <w:rFonts w:ascii="宋体"/>
          <w:kern w:val="0"/>
          <w:szCs w:val="20"/>
          <w:highlight w:val="none"/>
        </w:rPr>
        <w:t>其滋味，手触感觉组织状态。</w:t>
      </w:r>
    </w:p>
    <w:p w14:paraId="727C109F">
      <w:pPr>
        <w:pStyle w:val="21"/>
        <w:numPr>
          <w:ilvl w:val="1"/>
          <w:numId w:val="0"/>
        </w:numPr>
        <w:spacing w:before="156" w:beforeLines="50" w:after="156" w:afterLines="50"/>
        <w:rPr>
          <w:rFonts w:ascii="黑体" w:hAnsi="黑体"/>
          <w:szCs w:val="21"/>
          <w:highlight w:val="none"/>
        </w:rPr>
      </w:pPr>
      <w:r>
        <w:rPr>
          <w:rFonts w:ascii="黑体" w:hAnsi="黑体"/>
          <w:szCs w:val="21"/>
          <w:highlight w:val="none"/>
        </w:rPr>
        <w:t>7</w:t>
      </w:r>
      <w:r>
        <w:rPr>
          <w:rFonts w:hint="eastAsia" w:ascii="黑体" w:hAnsi="黑体"/>
          <w:szCs w:val="21"/>
          <w:highlight w:val="none"/>
        </w:rPr>
        <w:t>.</w:t>
      </w:r>
      <w:r>
        <w:rPr>
          <w:rFonts w:ascii="黑体" w:hAnsi="黑体"/>
          <w:szCs w:val="21"/>
          <w:highlight w:val="none"/>
        </w:rPr>
        <w:t>2</w:t>
      </w:r>
      <w:r>
        <w:rPr>
          <w:rFonts w:hint="eastAsia" w:ascii="黑体" w:hAnsi="黑体"/>
          <w:szCs w:val="21"/>
          <w:highlight w:val="none"/>
        </w:rPr>
        <w:t xml:space="preserve"> 理化指标测定</w:t>
      </w:r>
    </w:p>
    <w:p w14:paraId="665B4745">
      <w:pPr>
        <w:widowControl/>
        <w:numPr>
          <w:ilvl w:val="1"/>
          <w:numId w:val="0"/>
        </w:numPr>
        <w:tabs>
          <w:tab w:val="left" w:pos="360"/>
        </w:tabs>
        <w:snapToGrid w:val="0"/>
        <w:spacing w:before="156" w:beforeLines="50" w:after="156" w:afterLines="50"/>
        <w:jc w:val="left"/>
        <w:outlineLvl w:val="2"/>
        <w:rPr>
          <w:rFonts w:ascii="黑体" w:eastAsia="黑体"/>
          <w:kern w:val="0"/>
          <w:szCs w:val="21"/>
          <w:highlight w:val="none"/>
        </w:rPr>
      </w:pPr>
      <w:r>
        <w:rPr>
          <w:rFonts w:ascii="黑体" w:eastAsia="黑体"/>
          <w:kern w:val="0"/>
          <w:szCs w:val="21"/>
          <w:highlight w:val="none"/>
        </w:rPr>
        <w:t>7</w:t>
      </w:r>
      <w:r>
        <w:rPr>
          <w:rFonts w:hint="eastAsia" w:ascii="黑体" w:eastAsia="黑体"/>
          <w:kern w:val="0"/>
          <w:szCs w:val="21"/>
          <w:highlight w:val="none"/>
        </w:rPr>
        <w:t>.2.1</w:t>
      </w:r>
      <w:r>
        <w:rPr>
          <w:rFonts w:ascii="黑体" w:eastAsia="黑体"/>
          <w:kern w:val="0"/>
          <w:szCs w:val="21"/>
          <w:highlight w:val="none"/>
        </w:rPr>
        <w:t xml:space="preserve"> </w:t>
      </w:r>
      <w:r>
        <w:rPr>
          <w:rFonts w:hint="eastAsia" w:ascii="黑体" w:eastAsia="黑体"/>
          <w:kern w:val="0"/>
          <w:szCs w:val="21"/>
          <w:highlight w:val="none"/>
        </w:rPr>
        <w:t>水分</w:t>
      </w:r>
    </w:p>
    <w:p w14:paraId="56CA00A0">
      <w:pPr>
        <w:pStyle w:val="20"/>
        <w:rPr>
          <w:highlight w:val="none"/>
        </w:rPr>
      </w:pPr>
      <w:r>
        <w:rPr>
          <w:rFonts w:hint="eastAsia" w:cs="宋体"/>
          <w:highlight w:val="none"/>
        </w:rPr>
        <w:t>按</w:t>
      </w:r>
      <w:r>
        <w:rPr>
          <w:rFonts w:ascii="Times New Roman"/>
          <w:highlight w:val="none"/>
        </w:rPr>
        <w:t>GB 5009.3</w:t>
      </w:r>
      <w:r>
        <w:rPr>
          <w:rFonts w:hint="eastAsia" w:cs="宋体"/>
          <w:highlight w:val="none"/>
        </w:rPr>
        <w:t>规定的方法测定。</w:t>
      </w:r>
    </w:p>
    <w:p w14:paraId="1E86DCCF">
      <w:pPr>
        <w:widowControl/>
        <w:numPr>
          <w:ilvl w:val="1"/>
          <w:numId w:val="0"/>
        </w:numPr>
        <w:tabs>
          <w:tab w:val="left" w:pos="360"/>
        </w:tabs>
        <w:snapToGrid w:val="0"/>
        <w:spacing w:before="156" w:beforeLines="50" w:after="156" w:afterLines="50"/>
        <w:jc w:val="left"/>
        <w:outlineLvl w:val="2"/>
        <w:rPr>
          <w:rFonts w:ascii="黑体" w:eastAsia="黑体"/>
          <w:kern w:val="0"/>
          <w:szCs w:val="21"/>
          <w:highlight w:val="none"/>
        </w:rPr>
      </w:pPr>
      <w:r>
        <w:rPr>
          <w:rFonts w:ascii="黑体" w:eastAsia="黑体"/>
          <w:kern w:val="0"/>
          <w:szCs w:val="21"/>
          <w:highlight w:val="none"/>
        </w:rPr>
        <w:t>7</w:t>
      </w:r>
      <w:r>
        <w:rPr>
          <w:rFonts w:hint="eastAsia" w:ascii="黑体" w:eastAsia="黑体"/>
          <w:kern w:val="0"/>
          <w:szCs w:val="21"/>
          <w:highlight w:val="none"/>
        </w:rPr>
        <w:t>.2.2</w:t>
      </w:r>
      <w:r>
        <w:rPr>
          <w:rFonts w:ascii="黑体" w:eastAsia="黑体"/>
          <w:kern w:val="0"/>
          <w:szCs w:val="21"/>
          <w:highlight w:val="none"/>
        </w:rPr>
        <w:t xml:space="preserve"> </w:t>
      </w:r>
      <w:r>
        <w:rPr>
          <w:rFonts w:hint="eastAsia" w:ascii="黑体" w:eastAsia="黑体"/>
          <w:kern w:val="0"/>
          <w:szCs w:val="21"/>
          <w:highlight w:val="none"/>
        </w:rPr>
        <w:t>蛋白质</w:t>
      </w:r>
    </w:p>
    <w:p w14:paraId="36D1AD25">
      <w:pPr>
        <w:pStyle w:val="20"/>
        <w:rPr>
          <w:highlight w:val="none"/>
        </w:rPr>
      </w:pPr>
      <w:r>
        <w:rPr>
          <w:rFonts w:hint="eastAsia"/>
          <w:highlight w:val="none"/>
        </w:rPr>
        <w:t>按</w:t>
      </w:r>
      <w:r>
        <w:rPr>
          <w:rFonts w:hint="eastAsia" w:ascii="Times New Roman"/>
          <w:highlight w:val="none"/>
        </w:rPr>
        <w:t>GB 5009.5</w:t>
      </w:r>
      <w:r>
        <w:rPr>
          <w:rFonts w:hint="eastAsia"/>
          <w:highlight w:val="none"/>
        </w:rPr>
        <w:t>规定的方法测定。</w:t>
      </w:r>
    </w:p>
    <w:p w14:paraId="24EC23E8">
      <w:pPr>
        <w:widowControl/>
        <w:numPr>
          <w:ilvl w:val="1"/>
          <w:numId w:val="0"/>
        </w:numPr>
        <w:tabs>
          <w:tab w:val="left" w:pos="360"/>
        </w:tabs>
        <w:snapToGrid w:val="0"/>
        <w:spacing w:before="156" w:beforeLines="50" w:after="156" w:afterLines="50"/>
        <w:jc w:val="left"/>
        <w:outlineLvl w:val="2"/>
        <w:rPr>
          <w:rFonts w:ascii="黑体" w:eastAsia="黑体"/>
          <w:kern w:val="0"/>
          <w:szCs w:val="21"/>
          <w:highlight w:val="none"/>
        </w:rPr>
      </w:pPr>
      <w:r>
        <w:rPr>
          <w:rFonts w:ascii="黑体" w:eastAsia="黑体"/>
          <w:kern w:val="0"/>
          <w:szCs w:val="21"/>
          <w:highlight w:val="none"/>
        </w:rPr>
        <w:t>7</w:t>
      </w:r>
      <w:r>
        <w:rPr>
          <w:rFonts w:hint="eastAsia" w:ascii="黑体" w:eastAsia="黑体"/>
          <w:kern w:val="0"/>
          <w:szCs w:val="21"/>
          <w:highlight w:val="none"/>
        </w:rPr>
        <w:t>.2.3</w:t>
      </w:r>
      <w:r>
        <w:rPr>
          <w:rFonts w:ascii="黑体" w:eastAsia="黑体"/>
          <w:kern w:val="0"/>
          <w:szCs w:val="21"/>
          <w:highlight w:val="none"/>
        </w:rPr>
        <w:t xml:space="preserve"> </w:t>
      </w:r>
      <w:r>
        <w:rPr>
          <w:rFonts w:hint="eastAsia" w:ascii="黑体" w:eastAsia="黑体"/>
          <w:kern w:val="0"/>
          <w:szCs w:val="21"/>
          <w:highlight w:val="none"/>
        </w:rPr>
        <w:t>氯化物</w:t>
      </w:r>
    </w:p>
    <w:p w14:paraId="122A4F5B">
      <w:pPr>
        <w:pStyle w:val="20"/>
        <w:rPr>
          <w:highlight w:val="none"/>
        </w:rPr>
      </w:pPr>
      <w:r>
        <w:rPr>
          <w:rFonts w:hint="eastAsia"/>
          <w:highlight w:val="none"/>
        </w:rPr>
        <w:t>按</w:t>
      </w:r>
      <w:r>
        <w:rPr>
          <w:rFonts w:hint="eastAsia" w:ascii="Times New Roman"/>
          <w:highlight w:val="none"/>
        </w:rPr>
        <w:t>GB 5009.5</w:t>
      </w:r>
      <w:r>
        <w:rPr>
          <w:rFonts w:hint="eastAsia"/>
          <w:highlight w:val="none"/>
        </w:rPr>
        <w:t>规定的方法测定。</w:t>
      </w:r>
    </w:p>
    <w:p w14:paraId="7F4B24E7">
      <w:pPr>
        <w:pStyle w:val="21"/>
        <w:numPr>
          <w:ilvl w:val="1"/>
          <w:numId w:val="0"/>
        </w:numPr>
        <w:spacing w:before="156" w:beforeLines="50" w:after="156" w:afterLines="50"/>
        <w:rPr>
          <w:rFonts w:ascii="黑体" w:hAnsi="黑体"/>
          <w:szCs w:val="21"/>
          <w:highlight w:val="none"/>
        </w:rPr>
      </w:pPr>
      <w:r>
        <w:rPr>
          <w:rFonts w:ascii="黑体" w:hAnsi="黑体"/>
          <w:szCs w:val="21"/>
          <w:highlight w:val="none"/>
        </w:rPr>
        <w:t>7</w:t>
      </w:r>
      <w:r>
        <w:rPr>
          <w:rFonts w:hint="eastAsia" w:ascii="黑体" w:hAnsi="黑体"/>
          <w:szCs w:val="21"/>
          <w:highlight w:val="none"/>
        </w:rPr>
        <w:t>.3</w:t>
      </w:r>
      <w:r>
        <w:rPr>
          <w:rFonts w:ascii="黑体" w:hAnsi="黑体"/>
          <w:szCs w:val="21"/>
          <w:highlight w:val="none"/>
        </w:rPr>
        <w:t xml:space="preserve"> 食品安全指标</w:t>
      </w:r>
    </w:p>
    <w:p w14:paraId="71088BA7">
      <w:pPr>
        <w:pStyle w:val="21"/>
        <w:numPr>
          <w:ilvl w:val="1"/>
          <w:numId w:val="0"/>
        </w:numPr>
        <w:spacing w:before="156" w:beforeLines="50" w:after="156" w:afterLines="50"/>
        <w:rPr>
          <w:rFonts w:ascii="黑体" w:hAnsi="黑体"/>
          <w:szCs w:val="21"/>
          <w:highlight w:val="none"/>
        </w:rPr>
      </w:pPr>
      <w:r>
        <w:rPr>
          <w:rFonts w:hint="eastAsia" w:ascii="黑体" w:hAnsi="黑体"/>
          <w:szCs w:val="21"/>
          <w:highlight w:val="none"/>
        </w:rPr>
        <w:t xml:space="preserve">7.3.1 </w:t>
      </w:r>
      <w:r>
        <w:rPr>
          <w:rFonts w:ascii="黑体" w:hAnsi="黑体"/>
          <w:szCs w:val="21"/>
          <w:highlight w:val="none"/>
        </w:rPr>
        <w:t xml:space="preserve"> </w:t>
      </w:r>
      <w:r>
        <w:rPr>
          <w:rFonts w:hint="eastAsia" w:ascii="黑体" w:hAnsi="黑体"/>
          <w:szCs w:val="21"/>
          <w:highlight w:val="none"/>
        </w:rPr>
        <w:t>污染物限量</w:t>
      </w:r>
    </w:p>
    <w:p w14:paraId="39C9BE72">
      <w:pPr>
        <w:pStyle w:val="20"/>
        <w:rPr>
          <w:rFonts w:ascii="Times New Roman" w:eastAsiaTheme="minorEastAsia"/>
          <w:kern w:val="2"/>
          <w:szCs w:val="24"/>
          <w:highlight w:val="none"/>
        </w:rPr>
      </w:pPr>
      <w:r>
        <w:rPr>
          <w:rFonts w:ascii="Times New Roman" w:eastAsiaTheme="minorEastAsia"/>
          <w:kern w:val="2"/>
          <w:szCs w:val="24"/>
          <w:highlight w:val="none"/>
        </w:rPr>
        <w:t>按</w:t>
      </w:r>
      <w:r>
        <w:rPr>
          <w:rFonts w:hint="eastAsia" w:ascii="Times New Roman" w:eastAsiaTheme="minorEastAsia"/>
          <w:kern w:val="2"/>
          <w:szCs w:val="24"/>
          <w:highlight w:val="none"/>
        </w:rPr>
        <w:t>GB 2762规定的</w:t>
      </w:r>
      <w:r>
        <w:rPr>
          <w:rFonts w:ascii="Times New Roman" w:eastAsiaTheme="minorEastAsia"/>
          <w:kern w:val="2"/>
          <w:szCs w:val="24"/>
          <w:highlight w:val="none"/>
        </w:rPr>
        <w:t>方法测定。</w:t>
      </w:r>
    </w:p>
    <w:p w14:paraId="69396BAA">
      <w:pPr>
        <w:pStyle w:val="21"/>
        <w:numPr>
          <w:ilvl w:val="1"/>
          <w:numId w:val="0"/>
        </w:numPr>
        <w:spacing w:before="156" w:beforeLines="50" w:after="156" w:afterLines="50"/>
        <w:rPr>
          <w:rFonts w:ascii="黑体" w:hAnsi="黑体"/>
          <w:szCs w:val="21"/>
          <w:highlight w:val="none"/>
        </w:rPr>
      </w:pPr>
      <w:r>
        <w:rPr>
          <w:rFonts w:hint="eastAsia" w:ascii="黑体" w:hAnsi="黑体"/>
          <w:szCs w:val="21"/>
          <w:highlight w:val="none"/>
        </w:rPr>
        <w:t>7.3.2</w:t>
      </w:r>
      <w:r>
        <w:rPr>
          <w:rFonts w:ascii="黑体" w:hAnsi="黑体"/>
          <w:szCs w:val="21"/>
          <w:highlight w:val="none"/>
        </w:rPr>
        <w:t xml:space="preserve"> </w:t>
      </w:r>
      <w:r>
        <w:rPr>
          <w:rFonts w:hint="eastAsia" w:ascii="黑体" w:hAnsi="黑体"/>
          <w:szCs w:val="21"/>
          <w:highlight w:val="none"/>
        </w:rPr>
        <w:t xml:space="preserve"> 微生物限量</w:t>
      </w:r>
    </w:p>
    <w:p w14:paraId="654266BE">
      <w:pPr>
        <w:pStyle w:val="20"/>
        <w:rPr>
          <w:highlight w:val="none"/>
        </w:rPr>
      </w:pPr>
      <w:r>
        <w:rPr>
          <w:rFonts w:hint="eastAsia"/>
          <w:highlight w:val="none"/>
        </w:rPr>
        <w:t>按</w:t>
      </w:r>
      <w:r>
        <w:rPr>
          <w:rFonts w:hint="eastAsia" w:ascii="Times New Roman"/>
          <w:highlight w:val="none"/>
        </w:rPr>
        <w:t xml:space="preserve">GB </w:t>
      </w:r>
      <w:r>
        <w:rPr>
          <w:rFonts w:ascii="Times New Roman"/>
          <w:highlight w:val="none"/>
        </w:rPr>
        <w:t>2726</w:t>
      </w:r>
      <w:r>
        <w:rPr>
          <w:rFonts w:hint="eastAsia"/>
          <w:highlight w:val="none"/>
        </w:rPr>
        <w:t>规定的方法测定。</w:t>
      </w:r>
    </w:p>
    <w:p w14:paraId="3EFBBC61">
      <w:pPr>
        <w:pStyle w:val="21"/>
        <w:numPr>
          <w:ilvl w:val="1"/>
          <w:numId w:val="0"/>
        </w:numPr>
        <w:spacing w:before="156" w:beforeLines="50" w:after="156" w:afterLines="50"/>
        <w:rPr>
          <w:rFonts w:ascii="黑体" w:hAnsi="黑体"/>
          <w:szCs w:val="21"/>
          <w:highlight w:val="none"/>
        </w:rPr>
      </w:pPr>
      <w:bookmarkStart w:id="55" w:name="OLE_LINK20"/>
      <w:r>
        <w:rPr>
          <w:rFonts w:ascii="黑体" w:hAnsi="黑体"/>
          <w:szCs w:val="21"/>
          <w:highlight w:val="none"/>
        </w:rPr>
        <w:t>7</w:t>
      </w:r>
      <w:r>
        <w:rPr>
          <w:rFonts w:hint="eastAsia" w:ascii="黑体" w:hAnsi="黑体"/>
          <w:szCs w:val="21"/>
          <w:highlight w:val="none"/>
        </w:rPr>
        <w:t>.4</w:t>
      </w:r>
      <w:bookmarkEnd w:id="55"/>
      <w:r>
        <w:rPr>
          <w:rFonts w:ascii="黑体" w:hAnsi="黑体"/>
          <w:szCs w:val="21"/>
          <w:highlight w:val="none"/>
        </w:rPr>
        <w:t xml:space="preserve"> 净含量</w:t>
      </w:r>
      <w:r>
        <w:rPr>
          <w:rFonts w:hint="eastAsia" w:ascii="黑体"/>
          <w:szCs w:val="21"/>
          <w:highlight w:val="none"/>
        </w:rPr>
        <w:t>测定</w:t>
      </w:r>
    </w:p>
    <w:p w14:paraId="1C96956E">
      <w:pPr>
        <w:pStyle w:val="20"/>
        <w:rPr>
          <w:highlight w:val="none"/>
        </w:rPr>
      </w:pPr>
      <w:r>
        <w:rPr>
          <w:rFonts w:hint="eastAsia"/>
          <w:highlight w:val="none"/>
        </w:rPr>
        <w:t>按</w:t>
      </w:r>
      <w:r>
        <w:rPr>
          <w:highlight w:val="none"/>
        </w:rPr>
        <w:t>JJF 1070</w:t>
      </w:r>
      <w:r>
        <w:rPr>
          <w:rFonts w:hint="eastAsia"/>
          <w:highlight w:val="none"/>
        </w:rPr>
        <w:t>的规定进行测定。</w:t>
      </w:r>
    </w:p>
    <w:p w14:paraId="3E8417EA">
      <w:pPr>
        <w:pStyle w:val="19"/>
        <w:numPr>
          <w:ilvl w:val="0"/>
          <w:numId w:val="2"/>
        </w:numPr>
        <w:spacing w:before="312" w:beforeLines="100" w:after="312" w:afterLines="100"/>
        <w:outlineLvl w:val="0"/>
        <w:rPr>
          <w:rFonts w:ascii="Times New Roman"/>
          <w:szCs w:val="21"/>
          <w:highlight w:val="none"/>
        </w:rPr>
      </w:pPr>
      <w:r>
        <w:rPr>
          <w:rFonts w:hint="eastAsia" w:ascii="Times New Roman"/>
          <w:szCs w:val="21"/>
          <w:highlight w:val="none"/>
        </w:rPr>
        <w:t>检验规则</w:t>
      </w:r>
    </w:p>
    <w:p w14:paraId="4DFD4C6E">
      <w:pPr>
        <w:pStyle w:val="21"/>
        <w:numPr>
          <w:ilvl w:val="1"/>
          <w:numId w:val="0"/>
        </w:numPr>
        <w:spacing w:before="156" w:beforeLines="50" w:after="156" w:afterLines="50"/>
        <w:rPr>
          <w:rFonts w:ascii="黑体" w:hAnsi="黑体"/>
          <w:szCs w:val="21"/>
          <w:highlight w:val="none"/>
        </w:rPr>
      </w:pPr>
      <w:r>
        <w:rPr>
          <w:rFonts w:ascii="黑体" w:hAnsi="黑体"/>
          <w:szCs w:val="21"/>
          <w:highlight w:val="none"/>
        </w:rPr>
        <w:t>8</w:t>
      </w:r>
      <w:r>
        <w:rPr>
          <w:rFonts w:ascii="黑体" w:hAnsi="黑体"/>
          <w:szCs w:val="21"/>
          <w:highlight w:val="none"/>
        </w:rPr>
        <w:t>.1</w:t>
      </w:r>
      <w:r>
        <w:rPr>
          <w:rFonts w:hint="eastAsia" w:ascii="黑体" w:hAnsi="黑体"/>
          <w:szCs w:val="21"/>
          <w:highlight w:val="none"/>
        </w:rPr>
        <w:t>　组批</w:t>
      </w:r>
    </w:p>
    <w:p w14:paraId="0969FE51">
      <w:pPr>
        <w:widowControl/>
        <w:autoSpaceDE w:val="0"/>
        <w:autoSpaceDN w:val="0"/>
        <w:ind w:firstLine="420"/>
        <w:rPr>
          <w:rFonts w:ascii="宋体"/>
          <w:kern w:val="0"/>
          <w:szCs w:val="20"/>
          <w:highlight w:val="none"/>
        </w:rPr>
      </w:pPr>
      <w:r>
        <w:rPr>
          <w:rFonts w:hint="eastAsia" w:ascii="宋体"/>
          <w:kern w:val="0"/>
          <w:szCs w:val="20"/>
          <w:highlight w:val="none"/>
        </w:rPr>
        <w:t>同一生产日期、同一品种的产品为一批。</w:t>
      </w:r>
    </w:p>
    <w:p w14:paraId="424E218C">
      <w:pPr>
        <w:widowControl/>
        <w:numPr>
          <w:ilvl w:val="1"/>
          <w:numId w:val="0"/>
        </w:numPr>
        <w:tabs>
          <w:tab w:val="left" w:pos="360"/>
        </w:tabs>
        <w:snapToGrid w:val="0"/>
        <w:spacing w:before="156" w:beforeLines="50" w:after="156" w:afterLines="50"/>
        <w:jc w:val="left"/>
        <w:outlineLvl w:val="2"/>
        <w:rPr>
          <w:rFonts w:ascii="黑体" w:hAnsi="黑体" w:eastAsia="黑体"/>
          <w:kern w:val="0"/>
          <w:szCs w:val="21"/>
          <w:highlight w:val="none"/>
        </w:rPr>
      </w:pPr>
      <w:r>
        <w:rPr>
          <w:rFonts w:ascii="黑体" w:hAnsi="黑体" w:eastAsia="黑体"/>
          <w:kern w:val="0"/>
          <w:szCs w:val="21"/>
          <w:highlight w:val="none"/>
        </w:rPr>
        <w:t>8</w:t>
      </w:r>
      <w:r>
        <w:rPr>
          <w:rFonts w:ascii="黑体" w:hAnsi="黑体" w:eastAsia="黑体"/>
          <w:kern w:val="0"/>
          <w:szCs w:val="21"/>
          <w:highlight w:val="none"/>
        </w:rPr>
        <w:t>.2</w:t>
      </w:r>
      <w:r>
        <w:rPr>
          <w:rFonts w:hint="eastAsia" w:ascii="黑体" w:hAnsi="黑体" w:eastAsia="黑体"/>
          <w:kern w:val="0"/>
          <w:szCs w:val="21"/>
          <w:highlight w:val="none"/>
        </w:rPr>
        <w:t>　抽样</w:t>
      </w:r>
    </w:p>
    <w:p w14:paraId="4A69D392">
      <w:pPr>
        <w:widowControl/>
        <w:autoSpaceDE w:val="0"/>
        <w:autoSpaceDN w:val="0"/>
        <w:ind w:firstLine="420"/>
        <w:rPr>
          <w:rFonts w:ascii="宋体"/>
          <w:kern w:val="0"/>
          <w:szCs w:val="20"/>
          <w:highlight w:val="none"/>
        </w:rPr>
      </w:pPr>
      <w:r>
        <w:rPr>
          <w:rFonts w:hint="eastAsia" w:ascii="宋体"/>
          <w:kern w:val="0"/>
          <w:szCs w:val="20"/>
          <w:highlight w:val="none"/>
        </w:rPr>
        <w:t>按照</w:t>
      </w:r>
      <w:r>
        <w:rPr>
          <w:kern w:val="0"/>
          <w:szCs w:val="20"/>
          <w:highlight w:val="none"/>
        </w:rPr>
        <w:t>GB/T 9695.19、GB 4789.17</w:t>
      </w:r>
      <w:r>
        <w:rPr>
          <w:rFonts w:hint="eastAsia" w:ascii="宋体"/>
          <w:kern w:val="0"/>
          <w:szCs w:val="20"/>
          <w:highlight w:val="none"/>
        </w:rPr>
        <w:t>中规定的方法取样,保证抽样数量满足检验和</w:t>
      </w:r>
      <w:r>
        <w:rPr>
          <w:rFonts w:ascii="宋体"/>
          <w:kern w:val="0"/>
          <w:szCs w:val="20"/>
          <w:highlight w:val="none"/>
        </w:rPr>
        <w:t>留样</w:t>
      </w:r>
      <w:r>
        <w:rPr>
          <w:rFonts w:hint="eastAsia" w:ascii="宋体"/>
          <w:kern w:val="0"/>
          <w:szCs w:val="20"/>
          <w:highlight w:val="none"/>
        </w:rPr>
        <w:t>的需求。</w:t>
      </w:r>
    </w:p>
    <w:p w14:paraId="58E66E77">
      <w:pPr>
        <w:widowControl/>
        <w:numPr>
          <w:ilvl w:val="1"/>
          <w:numId w:val="0"/>
        </w:numPr>
        <w:tabs>
          <w:tab w:val="left" w:pos="360"/>
        </w:tabs>
        <w:snapToGrid w:val="0"/>
        <w:spacing w:before="156" w:beforeLines="50" w:after="156" w:afterLines="50"/>
        <w:jc w:val="left"/>
        <w:outlineLvl w:val="2"/>
        <w:rPr>
          <w:rFonts w:ascii="黑体" w:hAnsi="黑体" w:eastAsia="黑体"/>
          <w:kern w:val="0"/>
          <w:szCs w:val="21"/>
          <w:highlight w:val="none"/>
        </w:rPr>
      </w:pPr>
      <w:r>
        <w:rPr>
          <w:rFonts w:ascii="黑体" w:hAnsi="黑体" w:eastAsia="黑体"/>
          <w:kern w:val="0"/>
          <w:szCs w:val="21"/>
          <w:highlight w:val="none"/>
        </w:rPr>
        <w:t>8</w:t>
      </w:r>
      <w:r>
        <w:rPr>
          <w:rFonts w:ascii="黑体" w:hAnsi="黑体" w:eastAsia="黑体"/>
          <w:kern w:val="0"/>
          <w:szCs w:val="21"/>
          <w:highlight w:val="none"/>
        </w:rPr>
        <w:t>.3</w:t>
      </w:r>
      <w:r>
        <w:rPr>
          <w:rFonts w:hint="eastAsia" w:ascii="黑体" w:hAnsi="黑体" w:eastAsia="黑体"/>
          <w:kern w:val="0"/>
          <w:szCs w:val="21"/>
          <w:highlight w:val="none"/>
        </w:rPr>
        <w:t>　出厂检验</w:t>
      </w:r>
    </w:p>
    <w:p w14:paraId="1B28B0B0">
      <w:pPr>
        <w:pStyle w:val="20"/>
        <w:rPr>
          <w:highlight w:val="none"/>
        </w:rPr>
      </w:pPr>
      <w:r>
        <w:rPr>
          <w:rFonts w:ascii="黑体" w:eastAsia="黑体"/>
          <w:szCs w:val="21"/>
          <w:highlight w:val="none"/>
        </w:rPr>
        <w:t>8</w:t>
      </w:r>
      <w:r>
        <w:rPr>
          <w:rFonts w:hint="eastAsia" w:ascii="黑体" w:eastAsia="黑体"/>
          <w:szCs w:val="21"/>
          <w:highlight w:val="none"/>
        </w:rPr>
        <w:t>.</w:t>
      </w:r>
      <w:r>
        <w:rPr>
          <w:rFonts w:ascii="黑体" w:eastAsia="黑体"/>
          <w:szCs w:val="21"/>
          <w:highlight w:val="none"/>
        </w:rPr>
        <w:t>3</w:t>
      </w:r>
      <w:r>
        <w:rPr>
          <w:rFonts w:hint="eastAsia" w:ascii="黑体" w:eastAsia="黑体"/>
          <w:szCs w:val="21"/>
          <w:highlight w:val="none"/>
        </w:rPr>
        <w:t>.1</w:t>
      </w:r>
      <w:r>
        <w:rPr>
          <w:rFonts w:hint="eastAsia" w:ascii="黑体" w:hAnsi="黑体"/>
          <w:szCs w:val="21"/>
          <w:highlight w:val="none"/>
        </w:rPr>
        <w:t>　</w:t>
      </w:r>
      <w:r>
        <w:rPr>
          <w:rFonts w:hint="eastAsia"/>
          <w:highlight w:val="none"/>
        </w:rPr>
        <w:t>每批产品应经生产厂检验部门按本文件的规定进行检验，产品合格后方可出厂。</w:t>
      </w:r>
    </w:p>
    <w:p w14:paraId="030F012B">
      <w:pPr>
        <w:pStyle w:val="20"/>
        <w:rPr>
          <w:rFonts w:ascii="Times New Roman"/>
          <w:highlight w:val="none"/>
        </w:rPr>
      </w:pPr>
      <w:r>
        <w:rPr>
          <w:rFonts w:ascii="黑体" w:eastAsia="黑体"/>
          <w:szCs w:val="21"/>
          <w:highlight w:val="none"/>
        </w:rPr>
        <w:t>8</w:t>
      </w:r>
      <w:r>
        <w:rPr>
          <w:rFonts w:hint="eastAsia" w:ascii="黑体" w:eastAsia="黑体"/>
          <w:szCs w:val="21"/>
          <w:highlight w:val="none"/>
        </w:rPr>
        <w:t>.</w:t>
      </w:r>
      <w:r>
        <w:rPr>
          <w:rFonts w:ascii="黑体" w:eastAsia="黑体"/>
          <w:szCs w:val="21"/>
          <w:highlight w:val="none"/>
        </w:rPr>
        <w:t>3</w:t>
      </w:r>
      <w:r>
        <w:rPr>
          <w:rFonts w:hint="eastAsia" w:ascii="黑体" w:eastAsia="黑体"/>
          <w:szCs w:val="21"/>
          <w:highlight w:val="none"/>
        </w:rPr>
        <w:t>.2</w:t>
      </w:r>
      <w:r>
        <w:rPr>
          <w:rFonts w:hint="eastAsia"/>
          <w:highlight w:val="none"/>
        </w:rPr>
        <w:t>　出厂检验的项目包括感官要求、净含量。</w:t>
      </w:r>
    </w:p>
    <w:p w14:paraId="71AC8F0F">
      <w:pPr>
        <w:widowControl/>
        <w:numPr>
          <w:ilvl w:val="1"/>
          <w:numId w:val="0"/>
        </w:numPr>
        <w:tabs>
          <w:tab w:val="left" w:pos="360"/>
        </w:tabs>
        <w:snapToGrid w:val="0"/>
        <w:spacing w:before="156" w:beforeLines="50" w:after="156" w:afterLines="50"/>
        <w:jc w:val="left"/>
        <w:outlineLvl w:val="2"/>
        <w:rPr>
          <w:rFonts w:asciiTheme="minorEastAsia" w:hAnsiTheme="minorEastAsia" w:eastAsiaTheme="minorEastAsia" w:cstheme="minorEastAsia"/>
          <w:kern w:val="0"/>
          <w:szCs w:val="21"/>
          <w:highlight w:val="none"/>
        </w:rPr>
      </w:pPr>
      <w:r>
        <w:rPr>
          <w:rFonts w:ascii="黑体" w:eastAsia="黑体"/>
          <w:kern w:val="0"/>
          <w:szCs w:val="21"/>
          <w:highlight w:val="none"/>
        </w:rPr>
        <w:t>8</w:t>
      </w:r>
      <w:r>
        <w:rPr>
          <w:rFonts w:hint="eastAsia" w:ascii="黑体" w:eastAsia="黑体"/>
          <w:kern w:val="0"/>
          <w:szCs w:val="21"/>
          <w:highlight w:val="none"/>
        </w:rPr>
        <w:t>.</w:t>
      </w:r>
      <w:r>
        <w:rPr>
          <w:rFonts w:ascii="黑体" w:eastAsia="黑体"/>
          <w:kern w:val="0"/>
          <w:szCs w:val="21"/>
          <w:highlight w:val="none"/>
        </w:rPr>
        <w:t>4</w:t>
      </w:r>
      <w:r>
        <w:rPr>
          <w:rFonts w:hint="eastAsia" w:ascii="黑体" w:hAnsi="黑体" w:eastAsia="黑体"/>
          <w:kern w:val="0"/>
          <w:szCs w:val="21"/>
          <w:highlight w:val="none"/>
        </w:rPr>
        <w:t>　型式检验</w:t>
      </w:r>
    </w:p>
    <w:p w14:paraId="03F91463">
      <w:pPr>
        <w:rPr>
          <w:rFonts w:ascii="黑体" w:hAnsi="黑体"/>
          <w:kern w:val="0"/>
          <w:szCs w:val="21"/>
          <w:highlight w:val="none"/>
        </w:rPr>
      </w:pPr>
      <w:r>
        <w:rPr>
          <w:rFonts w:ascii="黑体" w:hAnsi="黑体"/>
          <w:kern w:val="0"/>
          <w:szCs w:val="21"/>
          <w:highlight w:val="none"/>
        </w:rPr>
        <w:t>8</w:t>
      </w:r>
      <w:r>
        <w:rPr>
          <w:rFonts w:hint="eastAsia" w:ascii="黑体" w:hAnsi="黑体"/>
          <w:kern w:val="0"/>
          <w:szCs w:val="21"/>
          <w:highlight w:val="none"/>
        </w:rPr>
        <w:t>.</w:t>
      </w:r>
      <w:r>
        <w:rPr>
          <w:rFonts w:ascii="黑体" w:hAnsi="黑体"/>
          <w:kern w:val="0"/>
          <w:szCs w:val="21"/>
          <w:highlight w:val="none"/>
        </w:rPr>
        <w:t>4</w:t>
      </w:r>
      <w:r>
        <w:rPr>
          <w:rFonts w:hint="eastAsia" w:ascii="黑体" w:hAnsi="黑体"/>
          <w:kern w:val="0"/>
          <w:szCs w:val="21"/>
          <w:highlight w:val="none"/>
        </w:rPr>
        <w:t>.1　</w:t>
      </w:r>
      <w:r>
        <w:rPr>
          <w:rFonts w:ascii="黑体" w:hAnsi="黑体"/>
          <w:kern w:val="0"/>
          <w:szCs w:val="21"/>
          <w:highlight w:val="none"/>
        </w:rPr>
        <w:t>每半年进行一次型式检验，</w:t>
      </w:r>
      <w:r>
        <w:rPr>
          <w:rFonts w:hint="eastAsia" w:ascii="黑体" w:hAnsi="黑体"/>
          <w:kern w:val="0"/>
          <w:szCs w:val="21"/>
          <w:highlight w:val="none"/>
        </w:rPr>
        <w:t>发生</w:t>
      </w:r>
      <w:r>
        <w:rPr>
          <w:rFonts w:ascii="黑体" w:hAnsi="黑体"/>
          <w:kern w:val="0"/>
          <w:szCs w:val="21"/>
          <w:highlight w:val="none"/>
        </w:rPr>
        <w:t>下列情况之一</w:t>
      </w:r>
      <w:r>
        <w:rPr>
          <w:rFonts w:hint="eastAsia" w:ascii="黑体" w:hAnsi="黑体"/>
          <w:kern w:val="0"/>
          <w:szCs w:val="21"/>
          <w:highlight w:val="none"/>
        </w:rPr>
        <w:t>时</w:t>
      </w:r>
      <w:r>
        <w:rPr>
          <w:rFonts w:ascii="黑体" w:hAnsi="黑体"/>
          <w:kern w:val="0"/>
          <w:szCs w:val="21"/>
          <w:highlight w:val="none"/>
        </w:rPr>
        <w:t>也</w:t>
      </w:r>
      <w:r>
        <w:rPr>
          <w:rFonts w:hint="eastAsia" w:ascii="黑体" w:hAnsi="黑体"/>
          <w:kern w:val="0"/>
          <w:szCs w:val="21"/>
          <w:highlight w:val="none"/>
        </w:rPr>
        <w:t>应</w:t>
      </w:r>
      <w:r>
        <w:rPr>
          <w:rFonts w:ascii="黑体" w:hAnsi="黑体"/>
          <w:kern w:val="0"/>
          <w:szCs w:val="21"/>
          <w:highlight w:val="none"/>
        </w:rPr>
        <w:t>进行型式检验：</w:t>
      </w:r>
    </w:p>
    <w:p w14:paraId="058FCD98">
      <w:pPr>
        <w:ind w:firstLine="420" w:firstLineChars="200"/>
        <w:rPr>
          <w:kern w:val="0"/>
          <w:szCs w:val="20"/>
          <w:highlight w:val="none"/>
        </w:rPr>
      </w:pPr>
      <w:r>
        <w:rPr>
          <w:rFonts w:hint="eastAsia"/>
          <w:kern w:val="0"/>
          <w:szCs w:val="20"/>
          <w:highlight w:val="none"/>
        </w:rPr>
        <w:t>-------新产品试制鉴定及正式投产时；</w:t>
      </w:r>
    </w:p>
    <w:p w14:paraId="78CEF976">
      <w:pPr>
        <w:ind w:firstLine="420" w:firstLineChars="200"/>
        <w:rPr>
          <w:kern w:val="0"/>
          <w:szCs w:val="20"/>
          <w:highlight w:val="none"/>
        </w:rPr>
      </w:pPr>
      <w:r>
        <w:rPr>
          <w:rFonts w:hint="eastAsia"/>
          <w:kern w:val="0"/>
          <w:szCs w:val="20"/>
          <w:highlight w:val="none"/>
        </w:rPr>
        <w:t>-------正式生产后，如原料、工艺有较大变化，可能影响产品质量时；</w:t>
      </w:r>
    </w:p>
    <w:p w14:paraId="37451B61">
      <w:pPr>
        <w:ind w:firstLine="420" w:firstLineChars="200"/>
        <w:rPr>
          <w:kern w:val="0"/>
          <w:szCs w:val="20"/>
          <w:highlight w:val="none"/>
        </w:rPr>
      </w:pPr>
      <w:r>
        <w:rPr>
          <w:rFonts w:hint="eastAsia"/>
          <w:kern w:val="0"/>
          <w:szCs w:val="20"/>
          <w:highlight w:val="none"/>
        </w:rPr>
        <w:t>-------停产半年及以上恢复生产时；</w:t>
      </w:r>
    </w:p>
    <w:p w14:paraId="71382749">
      <w:pPr>
        <w:ind w:firstLine="420" w:firstLineChars="200"/>
        <w:rPr>
          <w:kern w:val="0"/>
          <w:szCs w:val="20"/>
          <w:highlight w:val="none"/>
        </w:rPr>
      </w:pPr>
      <w:r>
        <w:rPr>
          <w:rFonts w:hint="eastAsia"/>
          <w:kern w:val="0"/>
          <w:szCs w:val="20"/>
          <w:highlight w:val="none"/>
        </w:rPr>
        <w:t>-------出厂检验结果与上次型式检验有较大差异时；</w:t>
      </w:r>
    </w:p>
    <w:p w14:paraId="12480D90">
      <w:pPr>
        <w:ind w:firstLine="420" w:firstLineChars="200"/>
        <w:rPr>
          <w:kern w:val="0"/>
          <w:szCs w:val="20"/>
          <w:highlight w:val="none"/>
        </w:rPr>
      </w:pPr>
      <w:r>
        <w:rPr>
          <w:rFonts w:hint="eastAsia"/>
          <w:kern w:val="0"/>
          <w:szCs w:val="20"/>
          <w:highlight w:val="none"/>
        </w:rPr>
        <w:t>-------国家有关监管机构提出进行型式检验的要求时。</w:t>
      </w:r>
    </w:p>
    <w:p w14:paraId="713D1278">
      <w:pPr>
        <w:rPr>
          <w:kern w:val="0"/>
          <w:szCs w:val="20"/>
          <w:highlight w:val="none"/>
        </w:rPr>
      </w:pPr>
      <w:r>
        <w:rPr>
          <w:rFonts w:ascii="黑体" w:hAnsi="黑体"/>
          <w:kern w:val="0"/>
          <w:szCs w:val="21"/>
          <w:highlight w:val="none"/>
        </w:rPr>
        <w:t>8</w:t>
      </w:r>
      <w:r>
        <w:rPr>
          <w:rFonts w:hint="eastAsia" w:ascii="黑体" w:hAnsi="黑体"/>
          <w:kern w:val="0"/>
          <w:szCs w:val="21"/>
          <w:highlight w:val="none"/>
        </w:rPr>
        <w:t>.</w:t>
      </w:r>
      <w:r>
        <w:rPr>
          <w:rFonts w:ascii="黑体" w:hAnsi="黑体"/>
          <w:kern w:val="0"/>
          <w:szCs w:val="21"/>
          <w:highlight w:val="none"/>
        </w:rPr>
        <w:t>4</w:t>
      </w:r>
      <w:r>
        <w:rPr>
          <w:rFonts w:hint="eastAsia" w:ascii="黑体" w:hAnsi="黑体"/>
          <w:kern w:val="0"/>
          <w:szCs w:val="21"/>
          <w:highlight w:val="none"/>
        </w:rPr>
        <w:t>.</w:t>
      </w:r>
      <w:r>
        <w:rPr>
          <w:rFonts w:ascii="黑体" w:hAnsi="黑体"/>
          <w:kern w:val="0"/>
          <w:szCs w:val="21"/>
          <w:highlight w:val="none"/>
        </w:rPr>
        <w:t>2</w:t>
      </w:r>
      <w:r>
        <w:rPr>
          <w:rFonts w:hint="eastAsia"/>
          <w:highlight w:val="none"/>
        </w:rPr>
        <w:t>　型式检验项目应包含5.</w:t>
      </w:r>
      <w:r>
        <w:rPr>
          <w:rFonts w:hint="eastAsia"/>
          <w:highlight w:val="none"/>
        </w:rPr>
        <w:t>2</w:t>
      </w:r>
      <w:r>
        <w:rPr>
          <w:rFonts w:hint="eastAsia" w:ascii="宋体" w:hAnsi="宋体"/>
          <w:highlight w:val="none"/>
        </w:rPr>
        <w:t>～</w:t>
      </w:r>
      <w:r>
        <w:rPr>
          <w:rFonts w:hint="eastAsia"/>
          <w:highlight w:val="none"/>
        </w:rPr>
        <w:t>5.4</w:t>
      </w:r>
      <w:r>
        <w:rPr>
          <w:rFonts w:hint="eastAsia"/>
          <w:highlight w:val="none"/>
        </w:rPr>
        <w:t>规定的全部项目。</w:t>
      </w:r>
    </w:p>
    <w:p w14:paraId="4EFA7888">
      <w:pPr>
        <w:pStyle w:val="24"/>
        <w:rPr>
          <w:rFonts w:ascii="黑体" w:hAnsi="黑体"/>
          <w:kern w:val="0"/>
          <w:szCs w:val="21"/>
          <w:highlight w:val="none"/>
        </w:rPr>
      </w:pPr>
      <w:r>
        <w:rPr>
          <w:rFonts w:ascii="黑体" w:hAnsi="黑体"/>
          <w:kern w:val="0"/>
          <w:szCs w:val="21"/>
          <w:highlight w:val="none"/>
        </w:rPr>
        <w:t>8</w:t>
      </w:r>
      <w:r>
        <w:rPr>
          <w:rFonts w:hint="eastAsia" w:ascii="黑体" w:hAnsi="黑体"/>
          <w:kern w:val="0"/>
          <w:szCs w:val="21"/>
          <w:highlight w:val="none"/>
        </w:rPr>
        <w:t>.</w:t>
      </w:r>
      <w:r>
        <w:rPr>
          <w:rFonts w:ascii="黑体" w:hAnsi="黑体"/>
          <w:kern w:val="0"/>
          <w:szCs w:val="21"/>
          <w:highlight w:val="none"/>
        </w:rPr>
        <w:t>5</w:t>
      </w:r>
      <w:r>
        <w:rPr>
          <w:rFonts w:hint="eastAsia" w:ascii="黑体" w:hAnsi="黑体"/>
          <w:kern w:val="0"/>
          <w:szCs w:val="21"/>
          <w:highlight w:val="none"/>
        </w:rPr>
        <w:t xml:space="preserve"> 判定规则</w:t>
      </w:r>
    </w:p>
    <w:p w14:paraId="5E11F8D0">
      <w:pPr>
        <w:pStyle w:val="25"/>
        <w:numPr>
          <w:ilvl w:val="3"/>
          <w:numId w:val="0"/>
        </w:numPr>
        <w:jc w:val="both"/>
        <w:rPr>
          <w:rFonts w:eastAsia="宋体"/>
          <w:kern w:val="0"/>
          <w:szCs w:val="20"/>
          <w:highlight w:val="none"/>
        </w:rPr>
      </w:pPr>
      <w:r>
        <w:rPr>
          <w:rFonts w:ascii="黑体" w:hAnsi="黑体" w:eastAsia="宋体"/>
          <w:kern w:val="0"/>
          <w:szCs w:val="21"/>
          <w:highlight w:val="none"/>
        </w:rPr>
        <w:t>8</w:t>
      </w:r>
      <w:r>
        <w:rPr>
          <w:rFonts w:hint="eastAsia" w:ascii="黑体" w:hAnsi="黑体" w:eastAsia="宋体"/>
          <w:kern w:val="0"/>
          <w:szCs w:val="21"/>
          <w:highlight w:val="none"/>
        </w:rPr>
        <w:t>.5.1</w:t>
      </w:r>
      <w:r>
        <w:rPr>
          <w:rFonts w:hint="eastAsia"/>
          <w:highlight w:val="none"/>
        </w:rPr>
        <w:t>　</w:t>
      </w:r>
      <w:r>
        <w:rPr>
          <w:rFonts w:hint="eastAsia" w:eastAsia="宋体"/>
          <w:kern w:val="0"/>
          <w:szCs w:val="20"/>
          <w:highlight w:val="none"/>
        </w:rPr>
        <w:t>出厂检验判定规则：</w:t>
      </w:r>
      <w:r>
        <w:rPr>
          <w:rFonts w:hint="eastAsia" w:eastAsia="宋体"/>
          <w:kern w:val="0"/>
          <w:szCs w:val="20"/>
          <w:highlight w:val="none"/>
        </w:rPr>
        <w:t>出厂检验项目全部符合本文件，判定该批产品符合本文件要求。出厂检验项目如有不合格，应在原批次产品中双倍抽样复检，复检后仍不合格的，判定该批产品不符合本文件要求。</w:t>
      </w:r>
    </w:p>
    <w:p w14:paraId="40CB2FD3">
      <w:pPr>
        <w:pStyle w:val="25"/>
        <w:numPr>
          <w:ilvl w:val="3"/>
          <w:numId w:val="0"/>
        </w:numPr>
        <w:rPr>
          <w:rFonts w:eastAsia="宋体"/>
          <w:kern w:val="0"/>
          <w:szCs w:val="20"/>
          <w:highlight w:val="none"/>
        </w:rPr>
      </w:pPr>
      <w:r>
        <w:rPr>
          <w:rFonts w:ascii="黑体" w:hAnsi="黑体" w:eastAsia="宋体"/>
          <w:kern w:val="0"/>
          <w:szCs w:val="21"/>
          <w:highlight w:val="none"/>
        </w:rPr>
        <w:t>8</w:t>
      </w:r>
      <w:r>
        <w:rPr>
          <w:rFonts w:hint="eastAsia" w:ascii="黑体" w:hAnsi="黑体" w:eastAsia="宋体"/>
          <w:kern w:val="0"/>
          <w:szCs w:val="21"/>
          <w:highlight w:val="none"/>
        </w:rPr>
        <w:t>.5.2　</w:t>
      </w:r>
      <w:r>
        <w:rPr>
          <w:rFonts w:hint="eastAsia" w:eastAsia="宋体"/>
          <w:kern w:val="0"/>
          <w:szCs w:val="20"/>
          <w:highlight w:val="none"/>
        </w:rPr>
        <w:t>型式检验判定规则：</w:t>
      </w:r>
      <w:r>
        <w:rPr>
          <w:rFonts w:hint="eastAsia" w:eastAsia="宋体"/>
          <w:kern w:val="0"/>
          <w:szCs w:val="20"/>
          <w:highlight w:val="none"/>
        </w:rPr>
        <w:t>检验项目全部符合本文件要求时，判定产品为合格；除微生物限量外，所检项目中若有1项指标不符合本文件规定时，可加倍抽样将此项指标复验一次，按复验结果判定本批产品是否合格。其它指标检验结果中若有2项或2项以上指标不符合文件规定时，则判该批产品不合格；微生物指标有1项或1项以上检验结果不合格，则判该产品为不合格，不应复检。</w:t>
      </w:r>
    </w:p>
    <w:p w14:paraId="0D4DE2F2">
      <w:pPr>
        <w:pStyle w:val="19"/>
        <w:numPr>
          <w:ilvl w:val="0"/>
          <w:numId w:val="2"/>
        </w:numPr>
        <w:spacing w:before="312" w:beforeLines="100" w:after="312" w:afterLines="100"/>
        <w:ind w:left="363" w:hanging="363"/>
        <w:outlineLvl w:val="0"/>
        <w:rPr>
          <w:rFonts w:ascii="Times New Roman"/>
          <w:szCs w:val="21"/>
          <w:highlight w:val="none"/>
        </w:rPr>
      </w:pPr>
      <w:r>
        <w:rPr>
          <w:rFonts w:hint="eastAsia" w:ascii="Times New Roman"/>
          <w:szCs w:val="21"/>
          <w:highlight w:val="none"/>
        </w:rPr>
        <w:t>标签、标志、包装、贮存</w:t>
      </w:r>
      <w:r>
        <w:rPr>
          <w:rFonts w:hint="eastAsia" w:ascii="Times New Roman"/>
          <w:szCs w:val="21"/>
          <w:highlight w:val="none"/>
        </w:rPr>
        <w:t>及</w:t>
      </w:r>
      <w:r>
        <w:rPr>
          <w:rFonts w:hint="eastAsia" w:ascii="Times New Roman"/>
          <w:szCs w:val="21"/>
          <w:highlight w:val="none"/>
        </w:rPr>
        <w:t>运输</w:t>
      </w:r>
    </w:p>
    <w:p w14:paraId="0008240D">
      <w:pPr>
        <w:pStyle w:val="24"/>
        <w:rPr>
          <w:rFonts w:ascii="黑体" w:hAnsi="黑体"/>
          <w:kern w:val="0"/>
          <w:szCs w:val="21"/>
          <w:highlight w:val="none"/>
        </w:rPr>
      </w:pPr>
      <w:bookmarkStart w:id="56" w:name="OLE_LINK4"/>
      <w:r>
        <w:rPr>
          <w:rFonts w:hint="eastAsia" w:ascii="黑体" w:hAnsi="黑体"/>
          <w:kern w:val="0"/>
          <w:szCs w:val="21"/>
          <w:highlight w:val="none"/>
        </w:rPr>
        <w:t>9</w:t>
      </w:r>
      <w:r>
        <w:rPr>
          <w:rFonts w:hint="eastAsia" w:ascii="黑体" w:hAnsi="黑体"/>
          <w:kern w:val="0"/>
          <w:szCs w:val="21"/>
          <w:highlight w:val="none"/>
        </w:rPr>
        <w:t>.1　标签与标志</w:t>
      </w:r>
    </w:p>
    <w:p w14:paraId="535BBACC">
      <w:pPr>
        <w:pStyle w:val="25"/>
        <w:numPr>
          <w:ilvl w:val="3"/>
          <w:numId w:val="0"/>
        </w:numPr>
        <w:rPr>
          <w:rFonts w:ascii="宋体" w:eastAsia="宋体"/>
          <w:highlight w:val="none"/>
        </w:rPr>
      </w:pPr>
      <w:r>
        <w:rPr>
          <w:rFonts w:ascii="黑体" w:hAnsi="黑体" w:eastAsia="宋体"/>
          <w:kern w:val="0"/>
          <w:szCs w:val="21"/>
          <w:highlight w:val="none"/>
        </w:rPr>
        <w:t>9</w:t>
      </w:r>
      <w:r>
        <w:rPr>
          <w:rFonts w:hint="eastAsia" w:ascii="黑体" w:hAnsi="黑体" w:eastAsia="宋体"/>
          <w:kern w:val="0"/>
          <w:szCs w:val="21"/>
          <w:highlight w:val="none"/>
        </w:rPr>
        <w:t>.1.1</w:t>
      </w:r>
      <w:r>
        <w:rPr>
          <w:rFonts w:hint="eastAsia"/>
          <w:highlight w:val="none"/>
        </w:rPr>
        <w:t>　</w:t>
      </w:r>
      <w:r>
        <w:rPr>
          <w:rFonts w:hint="eastAsia" w:eastAsia="宋体"/>
          <w:highlight w:val="none"/>
        </w:rPr>
        <w:t>产品标签应符合GB 7718和GB 28050的规定，并注明等级。</w:t>
      </w:r>
    </w:p>
    <w:p w14:paraId="011A072C">
      <w:pPr>
        <w:pStyle w:val="25"/>
        <w:numPr>
          <w:ilvl w:val="3"/>
          <w:numId w:val="0"/>
        </w:numPr>
        <w:rPr>
          <w:rFonts w:ascii="宋体" w:eastAsia="宋体"/>
          <w:highlight w:val="none"/>
        </w:rPr>
      </w:pPr>
      <w:r>
        <w:rPr>
          <w:rFonts w:ascii="黑体" w:hAnsi="黑体" w:eastAsia="宋体"/>
          <w:kern w:val="0"/>
          <w:szCs w:val="21"/>
          <w:highlight w:val="none"/>
        </w:rPr>
        <w:t>9</w:t>
      </w:r>
      <w:r>
        <w:rPr>
          <w:rFonts w:hint="eastAsia" w:ascii="黑体" w:hAnsi="黑体" w:eastAsia="宋体"/>
          <w:kern w:val="0"/>
          <w:szCs w:val="21"/>
          <w:highlight w:val="none"/>
        </w:rPr>
        <w:t>.1.2</w:t>
      </w:r>
      <w:r>
        <w:rPr>
          <w:rFonts w:hint="eastAsia"/>
          <w:highlight w:val="none"/>
        </w:rPr>
        <w:t>　</w:t>
      </w:r>
      <w:r>
        <w:rPr>
          <w:rFonts w:hint="eastAsia" w:eastAsia="宋体"/>
          <w:highlight w:val="none"/>
        </w:rPr>
        <w:t>包装储运图示标志应符合GB/T 191的规定。获准使用地理标志产品专用标志的生产者，应按《地理标志专用标志使用管理办法（试行）》的规定在其产品上使用防伪专用标志。</w:t>
      </w:r>
    </w:p>
    <w:p w14:paraId="5E91C2AD">
      <w:pPr>
        <w:pStyle w:val="24"/>
        <w:rPr>
          <w:rFonts w:ascii="黑体" w:hAnsi="黑体"/>
          <w:kern w:val="0"/>
          <w:szCs w:val="21"/>
          <w:highlight w:val="none"/>
        </w:rPr>
      </w:pPr>
      <w:r>
        <w:rPr>
          <w:rFonts w:ascii="黑体" w:hAnsi="黑体"/>
          <w:kern w:val="0"/>
          <w:szCs w:val="21"/>
          <w:highlight w:val="none"/>
        </w:rPr>
        <w:t>9</w:t>
      </w:r>
      <w:r>
        <w:rPr>
          <w:rFonts w:hint="eastAsia" w:ascii="黑体" w:hAnsi="黑体"/>
          <w:kern w:val="0"/>
          <w:szCs w:val="21"/>
          <w:highlight w:val="none"/>
        </w:rPr>
        <w:t>.</w:t>
      </w:r>
      <w:r>
        <w:rPr>
          <w:rFonts w:ascii="黑体" w:hAnsi="黑体"/>
          <w:kern w:val="0"/>
          <w:szCs w:val="21"/>
          <w:highlight w:val="none"/>
        </w:rPr>
        <w:t>2</w:t>
      </w:r>
      <w:r>
        <w:rPr>
          <w:rFonts w:hint="eastAsia" w:ascii="黑体" w:hAnsi="黑体"/>
          <w:kern w:val="0"/>
          <w:szCs w:val="21"/>
          <w:highlight w:val="none"/>
        </w:rPr>
        <w:t>　包装</w:t>
      </w:r>
    </w:p>
    <w:p w14:paraId="18E660AF">
      <w:pPr>
        <w:pStyle w:val="25"/>
        <w:numPr>
          <w:ilvl w:val="3"/>
          <w:numId w:val="0"/>
        </w:numPr>
        <w:rPr>
          <w:rFonts w:ascii="宋体" w:eastAsia="宋体"/>
          <w:highlight w:val="none"/>
        </w:rPr>
      </w:pPr>
      <w:r>
        <w:rPr>
          <w:rFonts w:ascii="黑体" w:hAnsi="黑体" w:eastAsia="宋体"/>
          <w:kern w:val="0"/>
          <w:szCs w:val="21"/>
          <w:highlight w:val="none"/>
        </w:rPr>
        <w:t>9</w:t>
      </w:r>
      <w:r>
        <w:rPr>
          <w:rFonts w:hint="eastAsia" w:ascii="黑体" w:hAnsi="黑体" w:eastAsia="宋体"/>
          <w:kern w:val="0"/>
          <w:szCs w:val="21"/>
          <w:highlight w:val="none"/>
        </w:rPr>
        <w:t>.</w:t>
      </w:r>
      <w:r>
        <w:rPr>
          <w:rFonts w:ascii="黑体" w:hAnsi="黑体" w:eastAsia="宋体"/>
          <w:kern w:val="0"/>
          <w:szCs w:val="21"/>
          <w:highlight w:val="none"/>
        </w:rPr>
        <w:t>2</w:t>
      </w:r>
      <w:r>
        <w:rPr>
          <w:rFonts w:hint="eastAsia" w:ascii="黑体" w:hAnsi="黑体" w:eastAsia="宋体"/>
          <w:kern w:val="0"/>
          <w:szCs w:val="21"/>
          <w:highlight w:val="none"/>
        </w:rPr>
        <w:t>.1</w:t>
      </w:r>
      <w:r>
        <w:rPr>
          <w:rFonts w:hint="eastAsia"/>
          <w:highlight w:val="none"/>
        </w:rPr>
        <w:t>　</w:t>
      </w:r>
      <w:r>
        <w:rPr>
          <w:rFonts w:hint="eastAsia" w:eastAsia="宋体"/>
          <w:highlight w:val="none"/>
        </w:rPr>
        <w:t>包装容器与材料应符合相关国家标准或行业标准的规定。</w:t>
      </w:r>
    </w:p>
    <w:p w14:paraId="5917E5DA">
      <w:pPr>
        <w:pStyle w:val="25"/>
        <w:numPr>
          <w:ilvl w:val="3"/>
          <w:numId w:val="0"/>
        </w:numPr>
        <w:rPr>
          <w:rFonts w:ascii="宋体" w:eastAsia="宋体"/>
          <w:highlight w:val="none"/>
        </w:rPr>
      </w:pPr>
      <w:r>
        <w:rPr>
          <w:rFonts w:ascii="黑体" w:hAnsi="黑体" w:eastAsia="宋体"/>
          <w:kern w:val="0"/>
          <w:szCs w:val="21"/>
          <w:highlight w:val="none"/>
        </w:rPr>
        <w:t>9</w:t>
      </w:r>
      <w:r>
        <w:rPr>
          <w:rFonts w:hint="eastAsia" w:ascii="黑体" w:hAnsi="黑体" w:eastAsia="宋体"/>
          <w:kern w:val="0"/>
          <w:szCs w:val="21"/>
          <w:highlight w:val="none"/>
        </w:rPr>
        <w:t>.</w:t>
      </w:r>
      <w:r>
        <w:rPr>
          <w:rFonts w:ascii="黑体" w:hAnsi="黑体" w:eastAsia="宋体"/>
          <w:kern w:val="0"/>
          <w:szCs w:val="21"/>
          <w:highlight w:val="none"/>
        </w:rPr>
        <w:t>2</w:t>
      </w:r>
      <w:r>
        <w:rPr>
          <w:rFonts w:hint="eastAsia" w:ascii="黑体" w:hAnsi="黑体" w:eastAsia="宋体"/>
          <w:kern w:val="0"/>
          <w:szCs w:val="21"/>
          <w:highlight w:val="none"/>
        </w:rPr>
        <w:t>.2</w:t>
      </w:r>
      <w:r>
        <w:rPr>
          <w:rFonts w:hint="eastAsia"/>
          <w:highlight w:val="none"/>
        </w:rPr>
        <w:t>　</w:t>
      </w:r>
      <w:r>
        <w:rPr>
          <w:rFonts w:hint="eastAsia" w:eastAsia="宋体"/>
          <w:highlight w:val="none"/>
        </w:rPr>
        <w:t>包装完整，无损坏，无污染。</w:t>
      </w:r>
    </w:p>
    <w:p w14:paraId="04D9B297">
      <w:pPr>
        <w:pStyle w:val="24"/>
        <w:rPr>
          <w:rFonts w:ascii="黑体" w:hAnsi="黑体"/>
          <w:kern w:val="0"/>
          <w:szCs w:val="21"/>
          <w:highlight w:val="none"/>
        </w:rPr>
      </w:pPr>
      <w:bookmarkStart w:id="57" w:name="_Toc22135280"/>
      <w:bookmarkStart w:id="58" w:name="OLE_LINK1"/>
      <w:r>
        <w:rPr>
          <w:rFonts w:ascii="黑体" w:hAnsi="黑体"/>
          <w:kern w:val="0"/>
          <w:szCs w:val="21"/>
          <w:highlight w:val="none"/>
        </w:rPr>
        <w:t>9</w:t>
      </w:r>
      <w:r>
        <w:rPr>
          <w:rFonts w:hint="eastAsia" w:ascii="黑体" w:hAnsi="黑体"/>
          <w:kern w:val="0"/>
          <w:szCs w:val="21"/>
          <w:highlight w:val="none"/>
        </w:rPr>
        <w:t>.</w:t>
      </w:r>
      <w:r>
        <w:rPr>
          <w:rFonts w:ascii="黑体" w:hAnsi="黑体"/>
          <w:kern w:val="0"/>
          <w:szCs w:val="21"/>
          <w:highlight w:val="none"/>
        </w:rPr>
        <w:t>3</w:t>
      </w:r>
      <w:r>
        <w:rPr>
          <w:rFonts w:hint="eastAsia" w:ascii="黑体" w:hAnsi="黑体"/>
          <w:kern w:val="0"/>
          <w:szCs w:val="21"/>
          <w:highlight w:val="none"/>
        </w:rPr>
        <w:t>　贮存</w:t>
      </w:r>
      <w:bookmarkEnd w:id="57"/>
    </w:p>
    <w:bookmarkEnd w:id="58"/>
    <w:p w14:paraId="2EA50EE4">
      <w:pPr>
        <w:pStyle w:val="25"/>
        <w:numPr>
          <w:ilvl w:val="3"/>
          <w:numId w:val="0"/>
        </w:numPr>
        <w:rPr>
          <w:rFonts w:ascii="宋体" w:eastAsia="宋体"/>
          <w:highlight w:val="none"/>
        </w:rPr>
      </w:pPr>
      <w:bookmarkStart w:id="59" w:name="_Toc23255883"/>
      <w:bookmarkStart w:id="60" w:name="_Toc23260345"/>
      <w:bookmarkStart w:id="61" w:name="_Toc23257389"/>
      <w:bookmarkStart w:id="62" w:name="_Toc23338848"/>
      <w:bookmarkStart w:id="63" w:name="_Toc23432746"/>
      <w:bookmarkStart w:id="64" w:name="_Toc23260660"/>
      <w:bookmarkStart w:id="65" w:name="_Toc23258294"/>
      <w:bookmarkStart w:id="66" w:name="_Toc24537632"/>
      <w:bookmarkStart w:id="67" w:name="_Toc23331630"/>
      <w:bookmarkStart w:id="68" w:name="_Toc23529088"/>
      <w:r>
        <w:rPr>
          <w:rFonts w:ascii="黑体" w:hAnsi="黑体" w:eastAsia="宋体"/>
          <w:kern w:val="0"/>
          <w:szCs w:val="21"/>
          <w:highlight w:val="none"/>
        </w:rPr>
        <w:t>9</w:t>
      </w:r>
      <w:r>
        <w:rPr>
          <w:rFonts w:hint="eastAsia" w:ascii="黑体" w:hAnsi="黑体" w:eastAsia="宋体"/>
          <w:kern w:val="0"/>
          <w:szCs w:val="21"/>
          <w:highlight w:val="none"/>
        </w:rPr>
        <w:t>.</w:t>
      </w:r>
      <w:r>
        <w:rPr>
          <w:rFonts w:ascii="黑体" w:hAnsi="黑体" w:eastAsia="宋体"/>
          <w:kern w:val="0"/>
          <w:szCs w:val="21"/>
          <w:highlight w:val="none"/>
        </w:rPr>
        <w:t>3</w:t>
      </w:r>
      <w:r>
        <w:rPr>
          <w:rFonts w:hint="eastAsia" w:ascii="黑体" w:hAnsi="黑体" w:eastAsia="宋体"/>
          <w:kern w:val="0"/>
          <w:szCs w:val="21"/>
          <w:highlight w:val="none"/>
        </w:rPr>
        <w:t>.1</w:t>
      </w:r>
      <w:r>
        <w:rPr>
          <w:rFonts w:hint="eastAsia"/>
          <w:highlight w:val="none"/>
        </w:rPr>
        <w:t>　</w:t>
      </w:r>
      <w:r>
        <w:rPr>
          <w:rFonts w:hint="eastAsia" w:eastAsia="宋体"/>
          <w:highlight w:val="none"/>
        </w:rPr>
        <w:t>产品应贮存在卫生、阴凉、通风、干燥处或</w:t>
      </w:r>
      <w:commentRangeStart w:id="2"/>
      <w:commentRangeStart w:id="3"/>
      <w:r>
        <w:rPr>
          <w:rFonts w:hint="eastAsia" w:eastAsia="宋体"/>
          <w:highlight w:val="none"/>
        </w:rPr>
        <w:t>0</w:t>
      </w:r>
      <w:r>
        <w:rPr>
          <w:rFonts w:hint="eastAsia" w:eastAsia="宋体"/>
          <w:highlight w:val="none"/>
          <w:lang w:val="en-US" w:eastAsia="zh-CN"/>
        </w:rPr>
        <w:t xml:space="preserve"> </w:t>
      </w:r>
      <w:r>
        <w:rPr>
          <w:rFonts w:hint="eastAsia" w:eastAsia="宋体"/>
          <w:highlight w:val="none"/>
        </w:rPr>
        <w:t>℃</w:t>
      </w:r>
      <w:r>
        <w:rPr>
          <w:highlight w:val="none"/>
        </w:rPr>
        <w:commentReference w:id="4"/>
      </w:r>
      <w:r>
        <w:rPr>
          <w:rStyle w:val="16"/>
          <w:rFonts w:eastAsia="宋体"/>
          <w:highlight w:val="none"/>
        </w:rPr>
        <w:commentReference w:id="5"/>
      </w:r>
      <w:r>
        <w:rPr>
          <w:rFonts w:hint="eastAsia" w:eastAsia="宋体"/>
          <w:highlight w:val="none"/>
        </w:rPr>
        <w:t>～</w:t>
      </w:r>
      <w:r>
        <w:rPr>
          <w:rFonts w:hint="eastAsia" w:eastAsia="宋体"/>
          <w:highlight w:val="none"/>
          <w:lang w:eastAsia="zh-CN"/>
        </w:rPr>
        <w:t>4</w:t>
      </w:r>
      <w:r>
        <w:rPr>
          <w:rFonts w:hint="eastAsia" w:eastAsia="宋体"/>
          <w:highlight w:val="none"/>
          <w:lang w:val="en-US" w:eastAsia="zh-CN"/>
        </w:rPr>
        <w:t xml:space="preserve"> </w:t>
      </w:r>
      <w:r>
        <w:rPr>
          <w:rFonts w:hint="eastAsia" w:eastAsia="宋体"/>
          <w:highlight w:val="none"/>
        </w:rPr>
        <w:t>℃</w:t>
      </w:r>
      <w:commentRangeEnd w:id="2"/>
      <w:r>
        <w:rPr>
          <w:highlight w:val="none"/>
        </w:rPr>
        <w:commentReference w:id="2"/>
      </w:r>
      <w:commentRangeEnd w:id="3"/>
      <w:r>
        <w:rPr>
          <w:rStyle w:val="16"/>
          <w:rFonts w:eastAsia="宋体"/>
          <w:highlight w:val="none"/>
        </w:rPr>
        <w:commentReference w:id="3"/>
      </w:r>
      <w:r>
        <w:rPr>
          <w:rFonts w:hint="eastAsia" w:eastAsia="宋体"/>
          <w:highlight w:val="none"/>
        </w:rPr>
        <w:t>，每个</w:t>
      </w:r>
      <w:r>
        <w:rPr>
          <w:rFonts w:eastAsia="宋体"/>
          <w:highlight w:val="none"/>
        </w:rPr>
        <w:t>包装上只能标注</w:t>
      </w:r>
      <w:r>
        <w:rPr>
          <w:rFonts w:hint="eastAsia" w:eastAsia="宋体"/>
          <w:highlight w:val="none"/>
        </w:rPr>
        <w:t>一种</w:t>
      </w:r>
      <w:r>
        <w:rPr>
          <w:rFonts w:eastAsia="宋体"/>
          <w:highlight w:val="none"/>
        </w:rPr>
        <w:t>类型的贮存条件</w:t>
      </w:r>
      <w:r>
        <w:rPr>
          <w:rFonts w:hint="eastAsia" w:eastAsia="宋体"/>
          <w:highlight w:val="none"/>
        </w:rPr>
        <w:t>。</w:t>
      </w:r>
    </w:p>
    <w:p w14:paraId="0D3917F9">
      <w:pPr>
        <w:pStyle w:val="25"/>
        <w:numPr>
          <w:ilvl w:val="3"/>
          <w:numId w:val="0"/>
        </w:numPr>
        <w:rPr>
          <w:rFonts w:eastAsia="宋体"/>
          <w:highlight w:val="none"/>
        </w:rPr>
      </w:pPr>
      <w:r>
        <w:rPr>
          <w:rFonts w:ascii="黑体" w:hAnsi="黑体" w:eastAsia="宋体"/>
          <w:kern w:val="0"/>
          <w:szCs w:val="21"/>
          <w:highlight w:val="none"/>
        </w:rPr>
        <w:t>9</w:t>
      </w:r>
      <w:r>
        <w:rPr>
          <w:rFonts w:hint="eastAsia" w:ascii="黑体" w:hAnsi="黑体" w:eastAsia="宋体"/>
          <w:kern w:val="0"/>
          <w:szCs w:val="21"/>
          <w:highlight w:val="none"/>
        </w:rPr>
        <w:t>.</w:t>
      </w:r>
      <w:r>
        <w:rPr>
          <w:rFonts w:ascii="黑体" w:hAnsi="黑体" w:eastAsia="宋体"/>
          <w:kern w:val="0"/>
          <w:szCs w:val="21"/>
          <w:highlight w:val="none"/>
        </w:rPr>
        <w:t>3</w:t>
      </w:r>
      <w:r>
        <w:rPr>
          <w:rFonts w:hint="eastAsia" w:ascii="黑体" w:hAnsi="黑体" w:eastAsia="宋体"/>
          <w:kern w:val="0"/>
          <w:szCs w:val="21"/>
          <w:highlight w:val="none"/>
        </w:rPr>
        <w:t>.2</w:t>
      </w:r>
      <w:r>
        <w:rPr>
          <w:rFonts w:hint="eastAsia"/>
          <w:highlight w:val="none"/>
        </w:rPr>
        <w:t>　</w:t>
      </w:r>
      <w:r>
        <w:rPr>
          <w:rFonts w:hint="eastAsia" w:eastAsia="宋体"/>
          <w:highlight w:val="none"/>
        </w:rPr>
        <w:t>贮存时应包装完整、不破不漏，避免有毒物质污染。不应与有害、有异味、有腐蚀性的物质混放。</w:t>
      </w:r>
    </w:p>
    <w:p w14:paraId="6FE4033C">
      <w:pPr>
        <w:pStyle w:val="24"/>
        <w:rPr>
          <w:rFonts w:ascii="黑体" w:hAnsi="黑体"/>
          <w:kern w:val="0"/>
          <w:szCs w:val="21"/>
          <w:highlight w:val="none"/>
        </w:rPr>
      </w:pPr>
      <w:r>
        <w:rPr>
          <w:rFonts w:ascii="黑体" w:hAnsi="黑体"/>
          <w:kern w:val="0"/>
          <w:szCs w:val="21"/>
          <w:highlight w:val="none"/>
        </w:rPr>
        <w:t>9</w:t>
      </w:r>
      <w:r>
        <w:rPr>
          <w:rFonts w:hint="eastAsia" w:ascii="黑体" w:hAnsi="黑体"/>
          <w:kern w:val="0"/>
          <w:szCs w:val="21"/>
          <w:highlight w:val="none"/>
        </w:rPr>
        <w:t>.</w:t>
      </w:r>
      <w:r>
        <w:rPr>
          <w:rFonts w:ascii="黑体" w:hAnsi="黑体"/>
          <w:kern w:val="0"/>
          <w:szCs w:val="21"/>
          <w:highlight w:val="none"/>
        </w:rPr>
        <w:t>4</w:t>
      </w:r>
      <w:r>
        <w:rPr>
          <w:rFonts w:hint="eastAsia" w:ascii="黑体" w:hAnsi="黑体"/>
          <w:kern w:val="0"/>
          <w:szCs w:val="21"/>
          <w:highlight w:val="none"/>
        </w:rPr>
        <w:t>　运输</w:t>
      </w:r>
    </w:p>
    <w:p w14:paraId="75E1D1B4">
      <w:pPr>
        <w:pStyle w:val="20"/>
        <w:ind w:firstLine="0"/>
        <w:rPr>
          <w:highlight w:val="none"/>
        </w:rPr>
      </w:pPr>
      <w:r>
        <w:rPr>
          <w:rFonts w:ascii="黑体" w:hAnsi="黑体"/>
          <w:szCs w:val="21"/>
          <w:highlight w:val="none"/>
        </w:rPr>
        <w:t>9</w:t>
      </w:r>
      <w:r>
        <w:rPr>
          <w:rFonts w:hint="eastAsia" w:ascii="黑体" w:hAnsi="黑体"/>
          <w:szCs w:val="21"/>
          <w:highlight w:val="none"/>
        </w:rPr>
        <w:t>.4.1</w:t>
      </w:r>
      <w:r>
        <w:rPr>
          <w:rFonts w:hint="eastAsia"/>
          <w:highlight w:val="none"/>
        </w:rPr>
        <w:t>　运输和装卸食品的容器、工器具和设备应当安全、无害，保持清洁，降低食品污染的风险。</w:t>
      </w:r>
    </w:p>
    <w:p w14:paraId="19B543F0">
      <w:pPr>
        <w:pStyle w:val="20"/>
        <w:ind w:firstLine="0"/>
        <w:rPr>
          <w:highlight w:val="none"/>
        </w:rPr>
      </w:pPr>
      <w:r>
        <w:rPr>
          <w:rFonts w:ascii="黑体" w:hAnsi="黑体"/>
          <w:szCs w:val="21"/>
          <w:highlight w:val="none"/>
        </w:rPr>
        <w:t>9</w:t>
      </w:r>
      <w:r>
        <w:rPr>
          <w:rFonts w:hint="eastAsia" w:ascii="黑体" w:hAnsi="黑体"/>
          <w:szCs w:val="21"/>
          <w:highlight w:val="none"/>
        </w:rPr>
        <w:t>.</w:t>
      </w:r>
      <w:r>
        <w:rPr>
          <w:rFonts w:ascii="黑体" w:hAnsi="黑体"/>
          <w:szCs w:val="21"/>
          <w:highlight w:val="none"/>
        </w:rPr>
        <w:t>4</w:t>
      </w:r>
      <w:r>
        <w:rPr>
          <w:rFonts w:hint="eastAsia" w:ascii="黑体" w:hAnsi="黑体"/>
          <w:szCs w:val="21"/>
          <w:highlight w:val="none"/>
        </w:rPr>
        <w:t>.2</w:t>
      </w:r>
      <w:r>
        <w:rPr>
          <w:rFonts w:hint="eastAsia"/>
          <w:highlight w:val="none"/>
        </w:rPr>
        <w:t>　运输过程中应避免日光直射、雨淋、显著的温度变化和剧烈碰撞等，防止食品受到不良影响。</w:t>
      </w:r>
    </w:p>
    <w:p w14:paraId="3741988C">
      <w:pPr>
        <w:pStyle w:val="20"/>
        <w:ind w:firstLine="0"/>
        <w:rPr>
          <w:highlight w:val="none"/>
        </w:rPr>
      </w:pPr>
      <w:r>
        <w:rPr>
          <w:rFonts w:ascii="黑体" w:hAnsi="黑体"/>
          <w:szCs w:val="21"/>
          <w:highlight w:val="none"/>
        </w:rPr>
        <w:t>9</w:t>
      </w:r>
      <w:r>
        <w:rPr>
          <w:rFonts w:hint="eastAsia" w:ascii="黑体" w:hAnsi="黑体"/>
          <w:szCs w:val="21"/>
          <w:highlight w:val="none"/>
        </w:rPr>
        <w:t>.</w:t>
      </w:r>
      <w:r>
        <w:rPr>
          <w:rFonts w:ascii="黑体" w:hAnsi="黑体"/>
          <w:szCs w:val="21"/>
          <w:highlight w:val="none"/>
        </w:rPr>
        <w:t>4</w:t>
      </w:r>
      <w:r>
        <w:rPr>
          <w:rFonts w:hint="eastAsia" w:ascii="黑体" w:hAnsi="黑体"/>
          <w:szCs w:val="21"/>
          <w:highlight w:val="none"/>
        </w:rPr>
        <w:t>.</w:t>
      </w:r>
      <w:r>
        <w:rPr>
          <w:rFonts w:ascii="黑体" w:hAnsi="黑体"/>
          <w:szCs w:val="21"/>
          <w:highlight w:val="none"/>
        </w:rPr>
        <w:t>3</w:t>
      </w:r>
      <w:r>
        <w:rPr>
          <w:rFonts w:hint="eastAsia"/>
          <w:highlight w:val="none"/>
        </w:rPr>
        <w:t>　有低温贮存要求的产品，应配有符合相应温度要求的运输条件。</w:t>
      </w:r>
    </w:p>
    <w:bookmarkEnd w:id="56"/>
    <w:bookmarkEnd w:id="59"/>
    <w:bookmarkEnd w:id="60"/>
    <w:bookmarkEnd w:id="61"/>
    <w:bookmarkEnd w:id="62"/>
    <w:bookmarkEnd w:id="63"/>
    <w:bookmarkEnd w:id="64"/>
    <w:bookmarkEnd w:id="65"/>
    <w:bookmarkEnd w:id="66"/>
    <w:bookmarkEnd w:id="67"/>
    <w:bookmarkEnd w:id="68"/>
    <w:p w14:paraId="3D5611A4">
      <w:pPr>
        <w:widowControl/>
        <w:autoSpaceDE w:val="0"/>
        <w:autoSpaceDN w:val="0"/>
        <w:rPr>
          <w:rFonts w:ascii="宋体"/>
          <w:kern w:val="0"/>
          <w:szCs w:val="20"/>
          <w:highlight w:val="none"/>
        </w:rPr>
      </w:pPr>
    </w:p>
    <w:bookmarkEnd w:id="45"/>
    <w:bookmarkEnd w:id="46"/>
    <w:bookmarkEnd w:id="47"/>
    <w:bookmarkEnd w:id="49"/>
    <w:bookmarkEnd w:id="50"/>
    <w:p w14:paraId="29EF9805">
      <w:pPr>
        <w:rPr>
          <w:rFonts w:ascii="黑体" w:hAnsi="黑体" w:eastAsia="黑体" w:cs="黑体"/>
          <w:color w:val="000000"/>
          <w:szCs w:val="21"/>
          <w:highlight w:val="none"/>
          <w:lang w:bidi="zh-TW"/>
        </w:rPr>
      </w:pPr>
      <w:r>
        <w:rPr>
          <w:rFonts w:hint="eastAsia" w:ascii="黑体" w:hAnsi="黑体" w:eastAsia="黑体" w:cs="黑体"/>
          <w:color w:val="000000"/>
          <w:szCs w:val="21"/>
          <w:highlight w:val="none"/>
          <w:lang w:bidi="zh-TW"/>
        </w:rPr>
        <w:br w:type="page"/>
      </w:r>
    </w:p>
    <w:p w14:paraId="67A7D0AE">
      <w:pPr>
        <w:pStyle w:val="20"/>
        <w:tabs>
          <w:tab w:val="center" w:pos="4201"/>
          <w:tab w:val="right" w:leader="dot" w:pos="9298"/>
        </w:tabs>
        <w:adjustRightInd w:val="0"/>
        <w:snapToGrid w:val="0"/>
        <w:spacing w:before="850" w:after="283"/>
        <w:ind w:firstLine="0"/>
        <w:jc w:val="center"/>
        <w:outlineLvl w:val="7"/>
        <w:rPr>
          <w:rFonts w:ascii="Times New Roman" w:eastAsia="黑体"/>
          <w:highlight w:val="none"/>
        </w:rPr>
      </w:pPr>
      <w:r>
        <w:rPr>
          <w:rFonts w:hint="eastAsia" w:ascii="Times New Roman" w:eastAsia="黑体"/>
          <w:highlight w:val="none"/>
        </w:rPr>
        <w:t>参 考 文 献</w:t>
      </w:r>
    </w:p>
    <w:p w14:paraId="2BFD8D63">
      <w:pPr>
        <w:pStyle w:val="20"/>
        <w:numPr>
          <w:ilvl w:val="0"/>
          <w:numId w:val="4"/>
        </w:numPr>
        <w:tabs>
          <w:tab w:val="center" w:pos="4201"/>
          <w:tab w:val="right" w:leader="dot" w:pos="9298"/>
        </w:tabs>
        <w:ind w:firstLineChars="200"/>
        <w:rPr>
          <w:highlight w:val="none"/>
        </w:rPr>
      </w:pPr>
      <w:bookmarkStart w:id="69" w:name="OLE_LINK30"/>
      <w:r>
        <w:rPr>
          <w:highlight w:val="none"/>
        </w:rPr>
        <w:t>定量包装商品计量监督管理办法</w:t>
      </w:r>
      <w:bookmarkEnd w:id="69"/>
      <w:r>
        <w:rPr>
          <w:highlight w:val="none"/>
        </w:rPr>
        <w:t>（</w:t>
      </w:r>
      <w:bookmarkStart w:id="70" w:name="OLE_LINK28"/>
      <w:bookmarkStart w:id="71" w:name="OLE_LINK29"/>
      <w:r>
        <w:rPr>
          <w:highlight w:val="none"/>
        </w:rPr>
        <w:t>国家</w:t>
      </w:r>
      <w:r>
        <w:rPr>
          <w:rFonts w:hint="eastAsia"/>
          <w:highlight w:val="none"/>
        </w:rPr>
        <w:t>市场</w:t>
      </w:r>
      <w:r>
        <w:rPr>
          <w:highlight w:val="none"/>
        </w:rPr>
        <w:t>监督管理总局</w:t>
      </w:r>
      <w:bookmarkEnd w:id="70"/>
      <w:bookmarkEnd w:id="71"/>
      <w:r>
        <w:rPr>
          <w:rFonts w:hint="eastAsia"/>
          <w:highlight w:val="none"/>
        </w:rPr>
        <w:t>〔20</w:t>
      </w:r>
      <w:r>
        <w:rPr>
          <w:highlight w:val="none"/>
        </w:rPr>
        <w:t>23</w:t>
      </w:r>
      <w:r>
        <w:rPr>
          <w:rFonts w:hint="eastAsia"/>
          <w:highlight w:val="none"/>
        </w:rPr>
        <w:t>〕第7</w:t>
      </w:r>
      <w:r>
        <w:rPr>
          <w:highlight w:val="none"/>
        </w:rPr>
        <w:t>0号</w:t>
      </w:r>
      <w:r>
        <w:rPr>
          <w:rFonts w:hint="eastAsia"/>
          <w:highlight w:val="none"/>
        </w:rPr>
        <w:t>令</w:t>
      </w:r>
      <w:r>
        <w:rPr>
          <w:highlight w:val="none"/>
        </w:rPr>
        <w:t>）</w:t>
      </w:r>
    </w:p>
    <w:p w14:paraId="3925D134">
      <w:pPr>
        <w:pStyle w:val="20"/>
        <w:numPr>
          <w:ilvl w:val="0"/>
          <w:numId w:val="4"/>
        </w:numPr>
        <w:tabs>
          <w:tab w:val="center" w:pos="4201"/>
          <w:tab w:val="right" w:leader="dot" w:pos="9298"/>
        </w:tabs>
        <w:ind w:firstLineChars="200"/>
        <w:rPr>
          <w:highlight w:val="none"/>
        </w:rPr>
      </w:pPr>
      <w:bookmarkStart w:id="72" w:name="OLE_LINK7"/>
      <w:r>
        <w:rPr>
          <w:highlight w:val="none"/>
        </w:rPr>
        <w:t>地理标志专用标志使用管理办法</w:t>
      </w:r>
      <w:r>
        <w:rPr>
          <w:rFonts w:hint="eastAsia"/>
          <w:highlight w:val="none"/>
        </w:rPr>
        <w:t>（试行）</w:t>
      </w:r>
      <w:r>
        <w:rPr>
          <w:highlight w:val="none"/>
        </w:rPr>
        <w:t>（国家知识产权局公告第354号）</w:t>
      </w:r>
      <w:bookmarkEnd w:id="72"/>
    </w:p>
    <w:p w14:paraId="7AD7813E">
      <w:pPr>
        <w:pStyle w:val="20"/>
        <w:rPr>
          <w:highlight w:val="none"/>
        </w:rPr>
      </w:pPr>
    </w:p>
    <w:p w14:paraId="3886210F">
      <w:pPr>
        <w:pStyle w:val="20"/>
        <w:rPr>
          <w:highlight w:val="none"/>
        </w:rPr>
      </w:pPr>
    </w:p>
    <w:p w14:paraId="0CAF07E8">
      <w:pPr>
        <w:pStyle w:val="20"/>
        <w:rPr>
          <w:highlight w:val="none"/>
        </w:rPr>
      </w:pPr>
    </w:p>
    <w:p w14:paraId="31CEFF63">
      <w:pPr>
        <w:pStyle w:val="28"/>
        <w:framePr w:hSpace="0" w:vSpace="0" w:wrap="auto" w:vAnchor="margin" w:hAnchor="text" w:xAlign="left" w:yAlign="inline"/>
        <w:ind w:left="420"/>
        <w:jc w:val="center"/>
        <w:rPr>
          <w:highlight w:val="none"/>
        </w:rPr>
      </w:pPr>
      <w:r>
        <w:rPr>
          <w:highlight w:val="none"/>
        </w:rPr>
        <w:t>_________________________________</w:t>
      </w:r>
    </w:p>
    <w:p w14:paraId="6D2843F7">
      <w:pPr>
        <w:pStyle w:val="20"/>
        <w:rPr>
          <w:highlight w:val="none"/>
        </w:rPr>
      </w:pPr>
    </w:p>
    <w:p w14:paraId="3CC4541D">
      <w:pPr>
        <w:pStyle w:val="20"/>
        <w:rPr>
          <w:highlight w:val="none"/>
        </w:rPr>
      </w:pPr>
    </w:p>
    <w:p w14:paraId="52DBC044">
      <w:pPr>
        <w:pStyle w:val="20"/>
        <w:rPr>
          <w:highlight w:val="none"/>
        </w:rPr>
      </w:pPr>
    </w:p>
    <w:p w14:paraId="536BC17A">
      <w:pPr>
        <w:pStyle w:val="20"/>
        <w:rPr>
          <w:highlight w:val="none"/>
        </w:rPr>
      </w:pPr>
    </w:p>
    <w:p w14:paraId="67EA37D0">
      <w:pPr>
        <w:pStyle w:val="20"/>
        <w:rPr>
          <w:highlight w:val="none"/>
        </w:rPr>
      </w:pPr>
    </w:p>
    <w:p w14:paraId="1F6C263E">
      <w:pPr>
        <w:rPr>
          <w:highlight w:val="none"/>
        </w:rPr>
      </w:pPr>
      <w:bookmarkStart w:id="73" w:name="_GoBack"/>
      <w:bookmarkEnd w:id="73"/>
    </w:p>
    <w:sectPr>
      <w:footerReference r:id="rId11" w:type="default"/>
      <w:pgSz w:w="11906" w:h="16838"/>
      <w:pgMar w:top="1417" w:right="1417" w:bottom="1417" w:left="1417" w:header="1417" w:footer="1134" w:gutter="0"/>
      <w:paperSrc/>
      <w:pgNumType w:start="1"/>
      <w:cols w:space="0" w:num="1"/>
      <w:rtlGutter w:val="0"/>
      <w:docGrid w:type="lines" w:linePitch="285"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lhliulihua" w:date="2025-06-20T09:25:00Z" w:initials="">
    <w:p w14:paraId="1F87744A">
      <w:pPr>
        <w:pStyle w:val="2"/>
      </w:pPr>
      <w:r>
        <w:rPr>
          <w:rFonts w:hint="eastAsia"/>
        </w:rPr>
        <w:t>多糖类物质是指哪类食品添加剂，例如保水剂，或者其他？</w:t>
      </w:r>
    </w:p>
  </w:comment>
  <w:comment w:id="1" w:author="Qianrong Wu" w:date="2025-06-20T10:59:00Z" w:initials="">
    <w:p w14:paraId="59AE2C29">
      <w:pPr>
        <w:pStyle w:val="2"/>
        <w:rPr>
          <w:rFonts w:hint="eastAsia"/>
        </w:rPr>
      </w:pPr>
      <w:r>
        <w:rPr>
          <w:rFonts w:hint="eastAsia"/>
        </w:rPr>
        <w:t>多糖</w:t>
      </w:r>
      <w:r>
        <w:t>类物质列举几个例子</w:t>
      </w:r>
    </w:p>
  </w:comment>
  <w:comment w:id="4" w:author="llhliulihua" w:date="2025-06-20T09:26:00Z" w:initials="">
    <w:p w14:paraId="1CD8C1C6">
      <w:pPr>
        <w:pStyle w:val="2"/>
      </w:pPr>
      <w:r>
        <w:rPr>
          <w:rFonts w:hint="eastAsia"/>
        </w:rPr>
        <w:t>肉制品多是0-4，确认下温度范围</w:t>
      </w:r>
    </w:p>
  </w:comment>
  <w:comment w:id="5" w:author="Qianrong Wu" w:date="2025-06-20T10:42:00Z" w:initials="">
    <w:p w14:paraId="16D3D306">
      <w:pPr>
        <w:pStyle w:val="2"/>
        <w:rPr>
          <w:rFonts w:hint="eastAsia"/>
        </w:rPr>
      </w:pPr>
      <w:r>
        <w:rPr>
          <w:rFonts w:hint="eastAsia"/>
        </w:rPr>
        <w:t>老师</w:t>
      </w:r>
      <w:r>
        <w:t>您好，</w:t>
      </w:r>
      <w:r>
        <w:rPr>
          <w:rFonts w:hint="eastAsia"/>
        </w:rPr>
        <w:t>该</w:t>
      </w:r>
      <w:r>
        <w:t>温度范围参考国标</w:t>
      </w:r>
      <w:r>
        <w:rPr>
          <w:rFonts w:hint="eastAsia"/>
        </w:rPr>
        <w:t>23586，0-4为</w:t>
      </w:r>
      <w:r>
        <w:t>理想贮存</w:t>
      </w:r>
      <w:r>
        <w:rPr>
          <w:rFonts w:hint="eastAsia"/>
        </w:rPr>
        <w:t>条件</w:t>
      </w:r>
      <w:r>
        <w:t>，但实际</w:t>
      </w:r>
      <w:r>
        <w:rPr>
          <w:rFonts w:hint="eastAsia"/>
        </w:rPr>
        <w:t>情况</w:t>
      </w:r>
      <w:r>
        <w:t>会范围更广一些，温度定</w:t>
      </w:r>
      <w:r>
        <w:rPr>
          <w:rFonts w:hint="eastAsia"/>
        </w:rPr>
        <w:t>为0-10更利于</w:t>
      </w:r>
      <w:r>
        <w:t>标准的执行</w:t>
      </w:r>
      <w:r>
        <w:rPr>
          <w:rFonts w:hint="eastAsia"/>
        </w:rPr>
        <w:t>。</w:t>
      </w:r>
    </w:p>
  </w:comment>
  <w:comment w:id="2" w:author="llhliulihua" w:date="2025-06-20T09:26:00Z" w:initials="">
    <w:p w14:paraId="24B1C2A1">
      <w:pPr>
        <w:pStyle w:val="2"/>
      </w:pPr>
      <w:r>
        <w:rPr>
          <w:rFonts w:hint="eastAsia"/>
        </w:rPr>
        <w:t>肉制品多是0-4，确认下温度范围</w:t>
      </w:r>
    </w:p>
  </w:comment>
  <w:comment w:id="3" w:author="Qianrong Wu" w:date="2025-06-20T10:42:00Z" w:initials="">
    <w:p w14:paraId="331E505B">
      <w:pPr>
        <w:pStyle w:val="2"/>
        <w:rPr>
          <w:rFonts w:hint="eastAsia"/>
        </w:rPr>
      </w:pPr>
      <w:r>
        <w:rPr>
          <w:rFonts w:hint="eastAsia"/>
        </w:rPr>
        <w:t>老师</w:t>
      </w:r>
      <w:r>
        <w:t>您好，</w:t>
      </w:r>
      <w:r>
        <w:rPr>
          <w:rFonts w:hint="eastAsia"/>
        </w:rPr>
        <w:t>该</w:t>
      </w:r>
      <w:r>
        <w:t>温度范围参考国标</w:t>
      </w:r>
      <w:r>
        <w:rPr>
          <w:rFonts w:hint="eastAsia"/>
        </w:rPr>
        <w:t>23586，0-4为</w:t>
      </w:r>
      <w:r>
        <w:t>理想贮存</w:t>
      </w:r>
      <w:r>
        <w:rPr>
          <w:rFonts w:hint="eastAsia"/>
        </w:rPr>
        <w:t>条件</w:t>
      </w:r>
      <w:r>
        <w:t>，但实际</w:t>
      </w:r>
      <w:r>
        <w:rPr>
          <w:rFonts w:hint="eastAsia"/>
        </w:rPr>
        <w:t>情况</w:t>
      </w:r>
      <w:r>
        <w:t>会范围更广一些，温度定</w:t>
      </w:r>
      <w:r>
        <w:rPr>
          <w:rFonts w:hint="eastAsia"/>
        </w:rPr>
        <w:t>为0-10更利于</w:t>
      </w:r>
      <w:r>
        <w:t>标准的执行</w:t>
      </w:r>
      <w:r>
        <w:rPr>
          <w:rFonts w:hint="eastAsia"/>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87744A" w15:done="0"/>
  <w15:commentEx w15:paraId="59AE2C29" w15:done="0" w15:paraIdParent="1F87744A"/>
  <w15:commentEx w15:paraId="1CD8C1C6" w15:done="0"/>
  <w15:commentEx w15:paraId="16D3D306" w15:done="0" w15:paraIdParent="1CD8C1C6"/>
  <w15:commentEx w15:paraId="24B1C2A1" w15:done="0"/>
  <w15:commentEx w15:paraId="331E505B" w15:done="0" w15:paraIdParent="24B1C2A1"/>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B68B3">
    <w:pPr>
      <w:pStyle w:val="38"/>
      <w:jc w:val="center"/>
      <w:rPr>
        <w:rStyle w:val="14"/>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A377E7">
                          <w:pPr>
                            <w:pStyle w:val="38"/>
                            <w:jc w:val="center"/>
                          </w:pPr>
                          <w:r>
                            <w:rPr>
                              <w:rStyle w:val="14"/>
                            </w:rPr>
                            <w:fldChar w:fldCharType="begin"/>
                          </w:r>
                          <w:r>
                            <w:rPr>
                              <w:rStyle w:val="14"/>
                            </w:rPr>
                            <w:instrText xml:space="preserve">PAGE  </w:instrText>
                          </w:r>
                          <w:r>
                            <w:rPr>
                              <w:rStyle w:val="14"/>
                            </w:rPr>
                            <w:fldChar w:fldCharType="separate"/>
                          </w:r>
                          <w:r>
                            <w:rPr>
                              <w:rStyle w:val="14"/>
                            </w:rPr>
                            <w:t>5</w:t>
                          </w:r>
                          <w:r>
                            <w:rPr>
                              <w:rStyle w:val="1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51A377E7">
                    <w:pPr>
                      <w:pStyle w:val="38"/>
                      <w:jc w:val="center"/>
                    </w:pPr>
                    <w:r>
                      <w:rPr>
                        <w:rStyle w:val="14"/>
                      </w:rPr>
                      <w:fldChar w:fldCharType="begin"/>
                    </w:r>
                    <w:r>
                      <w:rPr>
                        <w:rStyle w:val="14"/>
                      </w:rPr>
                      <w:instrText xml:space="preserve">PAGE  </w:instrText>
                    </w:r>
                    <w:r>
                      <w:rPr>
                        <w:rStyle w:val="14"/>
                      </w:rPr>
                      <w:fldChar w:fldCharType="separate"/>
                    </w:r>
                    <w:r>
                      <w:rPr>
                        <w:rStyle w:val="14"/>
                      </w:rPr>
                      <w:t>5</w:t>
                    </w:r>
                    <w:r>
                      <w:rPr>
                        <w:rStyle w:val="1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EEA6C">
    <w:pPr>
      <w:pStyle w:val="6"/>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14:paraId="77F40BD2">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60D8D">
    <w:pPr>
      <w:pStyle w:val="38"/>
      <w:jc w:val="both"/>
      <w:rPr>
        <w:rStyle w:val="14"/>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BDC630">
                          <w:pPr>
                            <w:pStyle w:val="38"/>
                            <w:jc w:val="center"/>
                          </w:pPr>
                          <w:r>
                            <w:rPr>
                              <w:rStyle w:val="14"/>
                            </w:rPr>
                            <w:fldChar w:fldCharType="begin"/>
                          </w:r>
                          <w:r>
                            <w:rPr>
                              <w:rStyle w:val="14"/>
                            </w:rPr>
                            <w:instrText xml:space="preserve">PAGE  </w:instrText>
                          </w:r>
                          <w:r>
                            <w:rPr>
                              <w:rStyle w:val="14"/>
                            </w:rPr>
                            <w:fldChar w:fldCharType="separate"/>
                          </w:r>
                          <w:r>
                            <w:rPr>
                              <w:rStyle w:val="14"/>
                            </w:rPr>
                            <w:t>I</w:t>
                          </w:r>
                          <w:r>
                            <w:rPr>
                              <w:rStyle w:val="1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1BBDC630">
                    <w:pPr>
                      <w:pStyle w:val="38"/>
                      <w:jc w:val="center"/>
                    </w:pPr>
                    <w:r>
                      <w:rPr>
                        <w:rStyle w:val="14"/>
                      </w:rPr>
                      <w:fldChar w:fldCharType="begin"/>
                    </w:r>
                    <w:r>
                      <w:rPr>
                        <w:rStyle w:val="14"/>
                      </w:rPr>
                      <w:instrText xml:space="preserve">PAGE  </w:instrText>
                    </w:r>
                    <w:r>
                      <w:rPr>
                        <w:rStyle w:val="14"/>
                      </w:rPr>
                      <w:fldChar w:fldCharType="separate"/>
                    </w:r>
                    <w:r>
                      <w:rPr>
                        <w:rStyle w:val="14"/>
                      </w:rPr>
                      <w:t>I</w:t>
                    </w:r>
                    <w:r>
                      <w:rPr>
                        <w:rStyle w:val="14"/>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45B57">
    <w:pPr>
      <w:pStyle w:val="38"/>
      <w:jc w:val="center"/>
      <w:rPr>
        <w:rStyle w:val="14"/>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02180C">
                          <w:pPr>
                            <w:pStyle w:val="38"/>
                            <w:jc w:val="center"/>
                          </w:pPr>
                          <w:r>
                            <w:rPr>
                              <w:rStyle w:val="14"/>
                            </w:rPr>
                            <w:fldChar w:fldCharType="begin"/>
                          </w:r>
                          <w:r>
                            <w:rPr>
                              <w:rStyle w:val="14"/>
                            </w:rPr>
                            <w:instrText xml:space="preserve">PAGE  </w:instrText>
                          </w:r>
                          <w:r>
                            <w:rPr>
                              <w:rStyle w:val="14"/>
                            </w:rPr>
                            <w:fldChar w:fldCharType="separate"/>
                          </w:r>
                          <w:r>
                            <w:rPr>
                              <w:rStyle w:val="14"/>
                            </w:rPr>
                            <w:t>2</w:t>
                          </w:r>
                          <w:r>
                            <w:rPr>
                              <w:rStyle w:val="14"/>
                            </w:rPr>
                            <w:fldChar w:fldCharType="end"/>
                          </w:r>
                        </w:p>
                        <w:p w14:paraId="38FEF82A"/>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702180C">
                    <w:pPr>
                      <w:pStyle w:val="38"/>
                      <w:jc w:val="center"/>
                    </w:pPr>
                    <w:r>
                      <w:rPr>
                        <w:rStyle w:val="14"/>
                      </w:rPr>
                      <w:fldChar w:fldCharType="begin"/>
                    </w:r>
                    <w:r>
                      <w:rPr>
                        <w:rStyle w:val="14"/>
                      </w:rPr>
                      <w:instrText xml:space="preserve">PAGE  </w:instrText>
                    </w:r>
                    <w:r>
                      <w:rPr>
                        <w:rStyle w:val="14"/>
                      </w:rPr>
                      <w:fldChar w:fldCharType="separate"/>
                    </w:r>
                    <w:r>
                      <w:rPr>
                        <w:rStyle w:val="14"/>
                      </w:rPr>
                      <w:t>2</w:t>
                    </w:r>
                    <w:r>
                      <w:rPr>
                        <w:rStyle w:val="14"/>
                      </w:rPr>
                      <w:fldChar w:fldCharType="end"/>
                    </w:r>
                  </w:p>
                  <w:p w14:paraId="38FEF82A"/>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57461">
    <w:pPr>
      <w:pStyle w:val="36"/>
    </w:pPr>
    <w:r>
      <w:t xml:space="preserve">NY/T </w:t>
    </w:r>
    <w:r>
      <w:rPr>
        <w:rFonts w:hint="eastAsia"/>
      </w:rPr>
      <w:t>1564</w:t>
    </w:r>
    <w:r>
      <w:t>—</w:t>
    </w:r>
    <w:r>
      <w:rPr>
        <w:rFonts w:hint="eastAsia"/>
      </w:rPr>
      <w:t>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E67E7">
    <w:pPr>
      <w:pStyle w:val="37"/>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8EE84">
    <w:pPr>
      <w:pStyle w:val="32"/>
      <w:snapToGrid w:val="0"/>
      <w:spacing w:before="120" w:beforeLines="50"/>
      <w:ind w:left="1277"/>
      <w:rPr>
        <w:rFonts w:ascii="黑体" w:hAnsi="黑体" w:eastAsia="黑体"/>
        <w:sz w:val="21"/>
      </w:rPr>
    </w:pPr>
    <w:r>
      <w:rPr>
        <w:rFonts w:ascii="黑体" w:hAnsi="黑体" w:eastAsia="黑体"/>
        <w:sz w:val="21"/>
      </w:rPr>
      <w:t xml:space="preserve">T/CMATB </w:t>
    </w:r>
    <w:r>
      <w:rPr>
        <w:rFonts w:hint="eastAsia" w:ascii="黑体" w:hAnsi="黑体" w:eastAsia="黑体"/>
        <w:sz w:val="21"/>
      </w:rPr>
      <w:t>XXXX</w:t>
    </w:r>
    <w:r>
      <w:rPr>
        <w:rFonts w:ascii="黑体" w:hAnsi="黑体" w:eastAsia="黑体"/>
        <w:sz w:val="21"/>
      </w:rPr>
      <w:t>—</w:t>
    </w:r>
    <w:r>
      <w:rPr>
        <w:rFonts w:hint="eastAsia" w:ascii="黑体" w:hAnsi="黑体" w:eastAsia="黑体"/>
        <w:sz w:val="21"/>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8FAFF3"/>
    <w:multiLevelType w:val="multilevel"/>
    <w:tmpl w:val="DD8FAFF3"/>
    <w:lvl w:ilvl="0" w:tentative="0">
      <w:start w:val="1"/>
      <w:numFmt w:val="decimal"/>
      <w:lvlText w:val="%1  "/>
      <w:lvlJc w:val="left"/>
      <w:pPr>
        <w:ind w:left="360" w:hanging="360"/>
      </w:pPr>
      <w:rPr>
        <w:rFonts w:hint="default" w:ascii="黑体" w:hAnsi="黑体" w:eastAsia="黑体" w:cs="黑体"/>
      </w:rPr>
    </w:lvl>
    <w:lvl w:ilvl="1" w:tentative="0">
      <w:start w:val="1"/>
      <w:numFmt w:val="lowerLetter"/>
      <w:suff w:val="nothing"/>
      <w:lvlText w:val="%2)"/>
      <w:lvlJc w:val="left"/>
      <w:pPr>
        <w:ind w:left="840" w:hanging="420"/>
      </w:pPr>
      <w:rPr>
        <w:rFonts w:hint="default" w:ascii="Times New Roman" w:hAnsi="Times New Roman" w:cs="Times New Roman"/>
        <w:sz w:val="21"/>
        <w:szCs w:val="21"/>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31B6FFC"/>
    <w:multiLevelType w:val="singleLevel"/>
    <w:tmpl w:val="331B6FFC"/>
    <w:lvl w:ilvl="0" w:tentative="0">
      <w:start w:val="1"/>
      <w:numFmt w:val="decimal"/>
      <w:suff w:val="space"/>
      <w:lvlText w:val="[%1]"/>
      <w:lvlJc w:val="left"/>
      <w:rPr>
        <w:rFonts w:hint="default" w:ascii="Times New Roman" w:hAnsi="Times New Roman" w:cs="Times New Roman"/>
      </w:rPr>
    </w:lvl>
  </w:abstractNum>
  <w:abstractNum w:abstractNumId="2">
    <w:nsid w:val="646260FA"/>
    <w:multiLevelType w:val="multilevel"/>
    <w:tmpl w:val="646260FA"/>
    <w:lvl w:ilvl="0" w:tentative="0">
      <w:start w:val="1"/>
      <w:numFmt w:val="decimal"/>
      <w:suff w:val="nothing"/>
      <w:lvlText w:val="表%1　"/>
      <w:lvlJc w:val="left"/>
      <w:pPr>
        <w:ind w:left="4111" w:firstLine="0"/>
      </w:pPr>
      <w:rPr>
        <w:rFonts w:hint="eastAsia" w:ascii="黑体" w:hAnsi="Times New Roman" w:eastAsia="黑体"/>
        <w:b w:val="0"/>
        <w:i w:val="0"/>
        <w:sz w:val="21"/>
        <w:lang w:val="en-US"/>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27"/>
      <w:suff w:val="nothing"/>
      <w:lvlText w:val="%1%2.%3　"/>
      <w:lvlJc w:val="left"/>
      <w:pPr>
        <w:ind w:left="18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29"/>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lhliulihua">
    <w15:presenceInfo w15:providerId="None" w15:userId="llhliulihua"/>
  </w15:person>
  <w15:person w15:author="Qianrong Wu">
    <w15:presenceInfo w15:providerId="None" w15:userId="Qianrong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43"/>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yZjhlOTNmMGVjZTM1NjEyOGFmNGVmOTdiM2MyZjQifQ=="/>
  </w:docVars>
  <w:rsids>
    <w:rsidRoot w:val="715F158B"/>
    <w:rsid w:val="00005402"/>
    <w:rsid w:val="000427B3"/>
    <w:rsid w:val="00046C6E"/>
    <w:rsid w:val="000745DC"/>
    <w:rsid w:val="0009295B"/>
    <w:rsid w:val="000B5867"/>
    <w:rsid w:val="000B79CC"/>
    <w:rsid w:val="000C60CA"/>
    <w:rsid w:val="000F2C1F"/>
    <w:rsid w:val="000F4469"/>
    <w:rsid w:val="001019C6"/>
    <w:rsid w:val="00101AE9"/>
    <w:rsid w:val="00103548"/>
    <w:rsid w:val="00106AAC"/>
    <w:rsid w:val="001104C2"/>
    <w:rsid w:val="00142E75"/>
    <w:rsid w:val="00183331"/>
    <w:rsid w:val="0019058B"/>
    <w:rsid w:val="001D4965"/>
    <w:rsid w:val="00211C53"/>
    <w:rsid w:val="00214C7E"/>
    <w:rsid w:val="002410F1"/>
    <w:rsid w:val="0025181F"/>
    <w:rsid w:val="00265981"/>
    <w:rsid w:val="002670F4"/>
    <w:rsid w:val="00270A3D"/>
    <w:rsid w:val="002A2639"/>
    <w:rsid w:val="002B1097"/>
    <w:rsid w:val="002E44E9"/>
    <w:rsid w:val="0031297F"/>
    <w:rsid w:val="0034374E"/>
    <w:rsid w:val="00346261"/>
    <w:rsid w:val="00374439"/>
    <w:rsid w:val="003823C9"/>
    <w:rsid w:val="00383CA1"/>
    <w:rsid w:val="003A5A25"/>
    <w:rsid w:val="003D5D09"/>
    <w:rsid w:val="003E0A2C"/>
    <w:rsid w:val="003E45FC"/>
    <w:rsid w:val="00416B1D"/>
    <w:rsid w:val="00434DFB"/>
    <w:rsid w:val="004407FE"/>
    <w:rsid w:val="00482A8A"/>
    <w:rsid w:val="004A0D91"/>
    <w:rsid w:val="004E5511"/>
    <w:rsid w:val="005020D4"/>
    <w:rsid w:val="0052239B"/>
    <w:rsid w:val="00527703"/>
    <w:rsid w:val="005311CC"/>
    <w:rsid w:val="005751A2"/>
    <w:rsid w:val="00586B5F"/>
    <w:rsid w:val="005A4602"/>
    <w:rsid w:val="005D4DD9"/>
    <w:rsid w:val="00604140"/>
    <w:rsid w:val="00624470"/>
    <w:rsid w:val="00631E6F"/>
    <w:rsid w:val="006413AC"/>
    <w:rsid w:val="00662C8A"/>
    <w:rsid w:val="00664DB2"/>
    <w:rsid w:val="00671FB5"/>
    <w:rsid w:val="0068090D"/>
    <w:rsid w:val="00691BBE"/>
    <w:rsid w:val="006930F4"/>
    <w:rsid w:val="006B6EB6"/>
    <w:rsid w:val="006F1DDA"/>
    <w:rsid w:val="006F6888"/>
    <w:rsid w:val="00724409"/>
    <w:rsid w:val="00730BCC"/>
    <w:rsid w:val="00734C11"/>
    <w:rsid w:val="0074375F"/>
    <w:rsid w:val="00752430"/>
    <w:rsid w:val="00760867"/>
    <w:rsid w:val="00765269"/>
    <w:rsid w:val="007667CC"/>
    <w:rsid w:val="0077351F"/>
    <w:rsid w:val="007779CF"/>
    <w:rsid w:val="007803DB"/>
    <w:rsid w:val="00785895"/>
    <w:rsid w:val="007958E0"/>
    <w:rsid w:val="007A5619"/>
    <w:rsid w:val="007B0FD4"/>
    <w:rsid w:val="007B6A97"/>
    <w:rsid w:val="007C178A"/>
    <w:rsid w:val="007C31EA"/>
    <w:rsid w:val="007C3A87"/>
    <w:rsid w:val="007E597F"/>
    <w:rsid w:val="007F0C90"/>
    <w:rsid w:val="00801551"/>
    <w:rsid w:val="00814795"/>
    <w:rsid w:val="008379CB"/>
    <w:rsid w:val="00851E53"/>
    <w:rsid w:val="008955EB"/>
    <w:rsid w:val="008972B9"/>
    <w:rsid w:val="008975C9"/>
    <w:rsid w:val="008C68D7"/>
    <w:rsid w:val="008D2DFB"/>
    <w:rsid w:val="0091279B"/>
    <w:rsid w:val="00927408"/>
    <w:rsid w:val="00937F7E"/>
    <w:rsid w:val="009547BA"/>
    <w:rsid w:val="00957697"/>
    <w:rsid w:val="009603FF"/>
    <w:rsid w:val="009628D3"/>
    <w:rsid w:val="00973FF8"/>
    <w:rsid w:val="00977703"/>
    <w:rsid w:val="009A637A"/>
    <w:rsid w:val="009D6A52"/>
    <w:rsid w:val="009D7371"/>
    <w:rsid w:val="009E557D"/>
    <w:rsid w:val="009F0C5F"/>
    <w:rsid w:val="009F597F"/>
    <w:rsid w:val="009F6B70"/>
    <w:rsid w:val="00A110F5"/>
    <w:rsid w:val="00A25866"/>
    <w:rsid w:val="00A33656"/>
    <w:rsid w:val="00A4112D"/>
    <w:rsid w:val="00A543D9"/>
    <w:rsid w:val="00A6512C"/>
    <w:rsid w:val="00A66A08"/>
    <w:rsid w:val="00AB29D8"/>
    <w:rsid w:val="00AB480C"/>
    <w:rsid w:val="00AC37AA"/>
    <w:rsid w:val="00AF33D2"/>
    <w:rsid w:val="00B074A8"/>
    <w:rsid w:val="00B10B6E"/>
    <w:rsid w:val="00B328AD"/>
    <w:rsid w:val="00B40B97"/>
    <w:rsid w:val="00B55F6B"/>
    <w:rsid w:val="00B70D71"/>
    <w:rsid w:val="00B759E0"/>
    <w:rsid w:val="00B81960"/>
    <w:rsid w:val="00B955CF"/>
    <w:rsid w:val="00B965A1"/>
    <w:rsid w:val="00BA1A55"/>
    <w:rsid w:val="00BC0FB7"/>
    <w:rsid w:val="00BC2333"/>
    <w:rsid w:val="00BC3A1F"/>
    <w:rsid w:val="00BE0AC4"/>
    <w:rsid w:val="00BF2762"/>
    <w:rsid w:val="00C25463"/>
    <w:rsid w:val="00C64E5A"/>
    <w:rsid w:val="00C7210B"/>
    <w:rsid w:val="00C748FC"/>
    <w:rsid w:val="00C75715"/>
    <w:rsid w:val="00CB63D3"/>
    <w:rsid w:val="00CB7C62"/>
    <w:rsid w:val="00CD0B16"/>
    <w:rsid w:val="00CD25B1"/>
    <w:rsid w:val="00D148A6"/>
    <w:rsid w:val="00D14C76"/>
    <w:rsid w:val="00D155FC"/>
    <w:rsid w:val="00D175AD"/>
    <w:rsid w:val="00D20558"/>
    <w:rsid w:val="00D42238"/>
    <w:rsid w:val="00D60E1A"/>
    <w:rsid w:val="00D61259"/>
    <w:rsid w:val="00D809D2"/>
    <w:rsid w:val="00D84B45"/>
    <w:rsid w:val="00DA1C1A"/>
    <w:rsid w:val="00DB2D3B"/>
    <w:rsid w:val="00DC5F7B"/>
    <w:rsid w:val="00DC7D18"/>
    <w:rsid w:val="00DE4448"/>
    <w:rsid w:val="00DF34CE"/>
    <w:rsid w:val="00DF7B57"/>
    <w:rsid w:val="00E010A2"/>
    <w:rsid w:val="00E05F3B"/>
    <w:rsid w:val="00E137DC"/>
    <w:rsid w:val="00E26297"/>
    <w:rsid w:val="00E35A21"/>
    <w:rsid w:val="00E57BDB"/>
    <w:rsid w:val="00EA16AF"/>
    <w:rsid w:val="00EA568E"/>
    <w:rsid w:val="00EC316A"/>
    <w:rsid w:val="00EE41D0"/>
    <w:rsid w:val="00EF108E"/>
    <w:rsid w:val="00F07644"/>
    <w:rsid w:val="00F374BD"/>
    <w:rsid w:val="00F46622"/>
    <w:rsid w:val="00F850BA"/>
    <w:rsid w:val="00F9605E"/>
    <w:rsid w:val="00FD4CB6"/>
    <w:rsid w:val="010333FC"/>
    <w:rsid w:val="0135355E"/>
    <w:rsid w:val="013D4AEA"/>
    <w:rsid w:val="014310EE"/>
    <w:rsid w:val="014E16ED"/>
    <w:rsid w:val="0179546C"/>
    <w:rsid w:val="01922938"/>
    <w:rsid w:val="01A73D87"/>
    <w:rsid w:val="01C26E13"/>
    <w:rsid w:val="01CC7C92"/>
    <w:rsid w:val="01CF32DE"/>
    <w:rsid w:val="01F30184"/>
    <w:rsid w:val="022B6EA3"/>
    <w:rsid w:val="023C3805"/>
    <w:rsid w:val="0250441F"/>
    <w:rsid w:val="02647ECA"/>
    <w:rsid w:val="0284056C"/>
    <w:rsid w:val="0297204E"/>
    <w:rsid w:val="02B06959"/>
    <w:rsid w:val="02B50726"/>
    <w:rsid w:val="02B61FAF"/>
    <w:rsid w:val="02DF57A3"/>
    <w:rsid w:val="02E06711"/>
    <w:rsid w:val="031511C4"/>
    <w:rsid w:val="031A67DB"/>
    <w:rsid w:val="032C298F"/>
    <w:rsid w:val="033E6633"/>
    <w:rsid w:val="03414E95"/>
    <w:rsid w:val="035179D4"/>
    <w:rsid w:val="0357490B"/>
    <w:rsid w:val="03936CB9"/>
    <w:rsid w:val="03B52E7E"/>
    <w:rsid w:val="03C50E3C"/>
    <w:rsid w:val="03EF1A15"/>
    <w:rsid w:val="03EF7C67"/>
    <w:rsid w:val="04185410"/>
    <w:rsid w:val="04294F27"/>
    <w:rsid w:val="0431202E"/>
    <w:rsid w:val="04612DAB"/>
    <w:rsid w:val="046248DD"/>
    <w:rsid w:val="04714FAC"/>
    <w:rsid w:val="047C20F3"/>
    <w:rsid w:val="04D05CEB"/>
    <w:rsid w:val="04D8694E"/>
    <w:rsid w:val="04F23586"/>
    <w:rsid w:val="052B1173"/>
    <w:rsid w:val="052F2A11"/>
    <w:rsid w:val="0539563E"/>
    <w:rsid w:val="053B0A84"/>
    <w:rsid w:val="055C757F"/>
    <w:rsid w:val="059B00A7"/>
    <w:rsid w:val="059B24B4"/>
    <w:rsid w:val="05B31193"/>
    <w:rsid w:val="05B64EE1"/>
    <w:rsid w:val="05E57574"/>
    <w:rsid w:val="05F72E03"/>
    <w:rsid w:val="060A6FDB"/>
    <w:rsid w:val="061739B6"/>
    <w:rsid w:val="062A4F87"/>
    <w:rsid w:val="064424ED"/>
    <w:rsid w:val="06451DC1"/>
    <w:rsid w:val="06587AD7"/>
    <w:rsid w:val="06764EFD"/>
    <w:rsid w:val="067F1777"/>
    <w:rsid w:val="069778EF"/>
    <w:rsid w:val="06B036DE"/>
    <w:rsid w:val="06B8277C"/>
    <w:rsid w:val="06E54213"/>
    <w:rsid w:val="06EF2D4C"/>
    <w:rsid w:val="06F53DF8"/>
    <w:rsid w:val="06FD269B"/>
    <w:rsid w:val="070457D8"/>
    <w:rsid w:val="07117EF5"/>
    <w:rsid w:val="071E65E4"/>
    <w:rsid w:val="073A1CDE"/>
    <w:rsid w:val="0748600C"/>
    <w:rsid w:val="07832BA1"/>
    <w:rsid w:val="0786131B"/>
    <w:rsid w:val="07BB6CC0"/>
    <w:rsid w:val="07C338E5"/>
    <w:rsid w:val="07DD49A7"/>
    <w:rsid w:val="07EF0236"/>
    <w:rsid w:val="08013015"/>
    <w:rsid w:val="08017F69"/>
    <w:rsid w:val="080A32C2"/>
    <w:rsid w:val="080C528C"/>
    <w:rsid w:val="080D690E"/>
    <w:rsid w:val="082C148A"/>
    <w:rsid w:val="083D5469"/>
    <w:rsid w:val="0842480A"/>
    <w:rsid w:val="084F33CB"/>
    <w:rsid w:val="0878022B"/>
    <w:rsid w:val="087F5A5E"/>
    <w:rsid w:val="08856DEC"/>
    <w:rsid w:val="089805D5"/>
    <w:rsid w:val="08B1198F"/>
    <w:rsid w:val="08BB1CB7"/>
    <w:rsid w:val="08BC62FE"/>
    <w:rsid w:val="08BE0B98"/>
    <w:rsid w:val="08C72F61"/>
    <w:rsid w:val="08F33D56"/>
    <w:rsid w:val="08FB2C0B"/>
    <w:rsid w:val="090C4E18"/>
    <w:rsid w:val="09175544"/>
    <w:rsid w:val="093E2196"/>
    <w:rsid w:val="09620BB9"/>
    <w:rsid w:val="09622C8A"/>
    <w:rsid w:val="097A0448"/>
    <w:rsid w:val="09882DBF"/>
    <w:rsid w:val="098F1CD1"/>
    <w:rsid w:val="099077F7"/>
    <w:rsid w:val="09D21BBD"/>
    <w:rsid w:val="09E42E0C"/>
    <w:rsid w:val="0A03446D"/>
    <w:rsid w:val="0A33204C"/>
    <w:rsid w:val="0A432ABB"/>
    <w:rsid w:val="0A482F82"/>
    <w:rsid w:val="0A5151D8"/>
    <w:rsid w:val="0A530D4E"/>
    <w:rsid w:val="0A6A21BF"/>
    <w:rsid w:val="0A717628"/>
    <w:rsid w:val="0A801619"/>
    <w:rsid w:val="0AA35401"/>
    <w:rsid w:val="0AAA48E8"/>
    <w:rsid w:val="0AB2168A"/>
    <w:rsid w:val="0AB44578"/>
    <w:rsid w:val="0AD428F5"/>
    <w:rsid w:val="0AE207A2"/>
    <w:rsid w:val="0AE222D4"/>
    <w:rsid w:val="0AF344E1"/>
    <w:rsid w:val="0B04224A"/>
    <w:rsid w:val="0B0D6DE1"/>
    <w:rsid w:val="0B100BEF"/>
    <w:rsid w:val="0B1B1342"/>
    <w:rsid w:val="0B2B5A29"/>
    <w:rsid w:val="0B301291"/>
    <w:rsid w:val="0B871679"/>
    <w:rsid w:val="0BA64D8F"/>
    <w:rsid w:val="0BBA4FFF"/>
    <w:rsid w:val="0BC327AE"/>
    <w:rsid w:val="0BC33EB3"/>
    <w:rsid w:val="0BC52D54"/>
    <w:rsid w:val="0BDE2A9B"/>
    <w:rsid w:val="0BF00A21"/>
    <w:rsid w:val="0C3009DF"/>
    <w:rsid w:val="0C3D36B1"/>
    <w:rsid w:val="0C4068A9"/>
    <w:rsid w:val="0C441043"/>
    <w:rsid w:val="0C64330E"/>
    <w:rsid w:val="0C6A75EB"/>
    <w:rsid w:val="0C825B1D"/>
    <w:rsid w:val="0C963376"/>
    <w:rsid w:val="0CA84E57"/>
    <w:rsid w:val="0CC021A1"/>
    <w:rsid w:val="0CE046D1"/>
    <w:rsid w:val="0CE2480D"/>
    <w:rsid w:val="0CE95B9C"/>
    <w:rsid w:val="0CEC568C"/>
    <w:rsid w:val="0CEF0828"/>
    <w:rsid w:val="0CEF0CD8"/>
    <w:rsid w:val="0CF935AF"/>
    <w:rsid w:val="0CFB1DA6"/>
    <w:rsid w:val="0D103128"/>
    <w:rsid w:val="0D2070E4"/>
    <w:rsid w:val="0D29243C"/>
    <w:rsid w:val="0D405DE1"/>
    <w:rsid w:val="0D525723"/>
    <w:rsid w:val="0D735465"/>
    <w:rsid w:val="0D983C14"/>
    <w:rsid w:val="0D9B0AAB"/>
    <w:rsid w:val="0DFF4F4B"/>
    <w:rsid w:val="0E1C2556"/>
    <w:rsid w:val="0E26072A"/>
    <w:rsid w:val="0E3A41D5"/>
    <w:rsid w:val="0E8B7D5E"/>
    <w:rsid w:val="0E8D07A9"/>
    <w:rsid w:val="0E9E41EB"/>
    <w:rsid w:val="0E9E4764"/>
    <w:rsid w:val="0EC5310D"/>
    <w:rsid w:val="0ECD6DF7"/>
    <w:rsid w:val="0F1467D4"/>
    <w:rsid w:val="0F205179"/>
    <w:rsid w:val="0F40581B"/>
    <w:rsid w:val="0F53511F"/>
    <w:rsid w:val="0F66397C"/>
    <w:rsid w:val="0F711E78"/>
    <w:rsid w:val="0F8A3B8A"/>
    <w:rsid w:val="0F955B67"/>
    <w:rsid w:val="0FA57C09"/>
    <w:rsid w:val="0FB024D8"/>
    <w:rsid w:val="0FDB0233"/>
    <w:rsid w:val="100C0829"/>
    <w:rsid w:val="1015151D"/>
    <w:rsid w:val="104913C2"/>
    <w:rsid w:val="104D4694"/>
    <w:rsid w:val="105243C6"/>
    <w:rsid w:val="10A02A15"/>
    <w:rsid w:val="10AF4A06"/>
    <w:rsid w:val="10BC7123"/>
    <w:rsid w:val="10F95371"/>
    <w:rsid w:val="10FD4EE8"/>
    <w:rsid w:val="111D5318"/>
    <w:rsid w:val="1122167C"/>
    <w:rsid w:val="113111EC"/>
    <w:rsid w:val="114710E3"/>
    <w:rsid w:val="114A0BD3"/>
    <w:rsid w:val="114E421F"/>
    <w:rsid w:val="11650634"/>
    <w:rsid w:val="118F65E6"/>
    <w:rsid w:val="11902A8A"/>
    <w:rsid w:val="11A55E09"/>
    <w:rsid w:val="11B20C52"/>
    <w:rsid w:val="11B524F0"/>
    <w:rsid w:val="11BC387F"/>
    <w:rsid w:val="11C8051B"/>
    <w:rsid w:val="11C866C2"/>
    <w:rsid w:val="11DB182B"/>
    <w:rsid w:val="11E64458"/>
    <w:rsid w:val="11EC3A38"/>
    <w:rsid w:val="120708DE"/>
    <w:rsid w:val="12072620"/>
    <w:rsid w:val="120D40DA"/>
    <w:rsid w:val="12216A68"/>
    <w:rsid w:val="12353631"/>
    <w:rsid w:val="124D44D7"/>
    <w:rsid w:val="125211CE"/>
    <w:rsid w:val="125515DD"/>
    <w:rsid w:val="12664571"/>
    <w:rsid w:val="1288236D"/>
    <w:rsid w:val="12891287"/>
    <w:rsid w:val="12D26850"/>
    <w:rsid w:val="12EA15F7"/>
    <w:rsid w:val="13081728"/>
    <w:rsid w:val="13086650"/>
    <w:rsid w:val="1317796F"/>
    <w:rsid w:val="134358DA"/>
    <w:rsid w:val="134B1FE3"/>
    <w:rsid w:val="138228A6"/>
    <w:rsid w:val="13C24A0E"/>
    <w:rsid w:val="13F05A62"/>
    <w:rsid w:val="13FC61B5"/>
    <w:rsid w:val="142474B9"/>
    <w:rsid w:val="142A03FE"/>
    <w:rsid w:val="142D2812"/>
    <w:rsid w:val="142E0338"/>
    <w:rsid w:val="14402F93"/>
    <w:rsid w:val="145A45E5"/>
    <w:rsid w:val="146A5814"/>
    <w:rsid w:val="146B50E8"/>
    <w:rsid w:val="14995E73"/>
    <w:rsid w:val="14A34882"/>
    <w:rsid w:val="14C05277"/>
    <w:rsid w:val="14D233B9"/>
    <w:rsid w:val="14D94748"/>
    <w:rsid w:val="14E153AA"/>
    <w:rsid w:val="14F50E56"/>
    <w:rsid w:val="15023C9F"/>
    <w:rsid w:val="15233C15"/>
    <w:rsid w:val="153100E0"/>
    <w:rsid w:val="15363948"/>
    <w:rsid w:val="15407EF2"/>
    <w:rsid w:val="15542020"/>
    <w:rsid w:val="157D3325"/>
    <w:rsid w:val="15804BC3"/>
    <w:rsid w:val="158B1482"/>
    <w:rsid w:val="15D06F8B"/>
    <w:rsid w:val="161517B0"/>
    <w:rsid w:val="163B0AEA"/>
    <w:rsid w:val="16421E79"/>
    <w:rsid w:val="164637E6"/>
    <w:rsid w:val="16481B85"/>
    <w:rsid w:val="164E2511"/>
    <w:rsid w:val="165C73DE"/>
    <w:rsid w:val="165D6CB3"/>
    <w:rsid w:val="166827DF"/>
    <w:rsid w:val="16706153"/>
    <w:rsid w:val="16BD53E0"/>
    <w:rsid w:val="16D36F75"/>
    <w:rsid w:val="16E6314C"/>
    <w:rsid w:val="16E87B93"/>
    <w:rsid w:val="1706633F"/>
    <w:rsid w:val="171001C9"/>
    <w:rsid w:val="17345040"/>
    <w:rsid w:val="173F13A5"/>
    <w:rsid w:val="17410382"/>
    <w:rsid w:val="175C65E8"/>
    <w:rsid w:val="17680005"/>
    <w:rsid w:val="177C00C0"/>
    <w:rsid w:val="178679F1"/>
    <w:rsid w:val="17944956"/>
    <w:rsid w:val="17974DC1"/>
    <w:rsid w:val="179A3525"/>
    <w:rsid w:val="17A9015C"/>
    <w:rsid w:val="17B15508"/>
    <w:rsid w:val="17B35ACD"/>
    <w:rsid w:val="17BC5880"/>
    <w:rsid w:val="182F341E"/>
    <w:rsid w:val="18300B23"/>
    <w:rsid w:val="1831400C"/>
    <w:rsid w:val="18341D85"/>
    <w:rsid w:val="183526D1"/>
    <w:rsid w:val="183A72AB"/>
    <w:rsid w:val="184719C8"/>
    <w:rsid w:val="188449CB"/>
    <w:rsid w:val="18915312"/>
    <w:rsid w:val="18956596"/>
    <w:rsid w:val="18B52DD6"/>
    <w:rsid w:val="18DA1743"/>
    <w:rsid w:val="19094E2B"/>
    <w:rsid w:val="192A645B"/>
    <w:rsid w:val="1934019F"/>
    <w:rsid w:val="19450FD3"/>
    <w:rsid w:val="196B16E7"/>
    <w:rsid w:val="19792055"/>
    <w:rsid w:val="19940109"/>
    <w:rsid w:val="19961478"/>
    <w:rsid w:val="19AD7F51"/>
    <w:rsid w:val="19CE05F3"/>
    <w:rsid w:val="19CE23A1"/>
    <w:rsid w:val="19DB42DF"/>
    <w:rsid w:val="19FD4A34"/>
    <w:rsid w:val="1A0E6C42"/>
    <w:rsid w:val="1A0F6516"/>
    <w:rsid w:val="1A1B5BF6"/>
    <w:rsid w:val="1A3146DE"/>
    <w:rsid w:val="1A4A5089"/>
    <w:rsid w:val="1A530AF8"/>
    <w:rsid w:val="1A761766"/>
    <w:rsid w:val="1A7D49DD"/>
    <w:rsid w:val="1A872550"/>
    <w:rsid w:val="1A9E1F8E"/>
    <w:rsid w:val="1AA50C28"/>
    <w:rsid w:val="1AAE3F81"/>
    <w:rsid w:val="1AB62E35"/>
    <w:rsid w:val="1AC217DA"/>
    <w:rsid w:val="1AD37B03"/>
    <w:rsid w:val="1AD67034"/>
    <w:rsid w:val="1ADC6A1D"/>
    <w:rsid w:val="1AFF5B13"/>
    <w:rsid w:val="1B163D36"/>
    <w:rsid w:val="1B262605"/>
    <w:rsid w:val="1B2A7AAB"/>
    <w:rsid w:val="1B300E3A"/>
    <w:rsid w:val="1B3F1135"/>
    <w:rsid w:val="1B414DF5"/>
    <w:rsid w:val="1B4B306E"/>
    <w:rsid w:val="1B50328A"/>
    <w:rsid w:val="1B574618"/>
    <w:rsid w:val="1B7C407F"/>
    <w:rsid w:val="1B970EB9"/>
    <w:rsid w:val="1B974A15"/>
    <w:rsid w:val="1BA4348E"/>
    <w:rsid w:val="1BAF1D5E"/>
    <w:rsid w:val="1C085913"/>
    <w:rsid w:val="1C12186A"/>
    <w:rsid w:val="1C24274C"/>
    <w:rsid w:val="1C33298F"/>
    <w:rsid w:val="1C386676"/>
    <w:rsid w:val="1C694603"/>
    <w:rsid w:val="1C8A2B02"/>
    <w:rsid w:val="1C9A2A0F"/>
    <w:rsid w:val="1CA63E1C"/>
    <w:rsid w:val="1CA728DC"/>
    <w:rsid w:val="1CE31557"/>
    <w:rsid w:val="1CF85987"/>
    <w:rsid w:val="1CFD4D4B"/>
    <w:rsid w:val="1D063C00"/>
    <w:rsid w:val="1D255CFB"/>
    <w:rsid w:val="1D2E600F"/>
    <w:rsid w:val="1D3E783E"/>
    <w:rsid w:val="1D464944"/>
    <w:rsid w:val="1D5D4F42"/>
    <w:rsid w:val="1D6D1ED1"/>
    <w:rsid w:val="1D7414B2"/>
    <w:rsid w:val="1D7E27C4"/>
    <w:rsid w:val="1D94745E"/>
    <w:rsid w:val="1D9A07EC"/>
    <w:rsid w:val="1DA750FA"/>
    <w:rsid w:val="1DA82F09"/>
    <w:rsid w:val="1DED3012"/>
    <w:rsid w:val="1E0D7210"/>
    <w:rsid w:val="1E682698"/>
    <w:rsid w:val="1E9516DF"/>
    <w:rsid w:val="1EA74AFA"/>
    <w:rsid w:val="1EAF69BE"/>
    <w:rsid w:val="1EB3600A"/>
    <w:rsid w:val="1EE44415"/>
    <w:rsid w:val="1EFB2B1A"/>
    <w:rsid w:val="1F3709E9"/>
    <w:rsid w:val="1F3C4E81"/>
    <w:rsid w:val="1F446D63"/>
    <w:rsid w:val="1F482287"/>
    <w:rsid w:val="1F4E5D32"/>
    <w:rsid w:val="1F5F584A"/>
    <w:rsid w:val="1F6E7612"/>
    <w:rsid w:val="1F9951FF"/>
    <w:rsid w:val="1F996FAD"/>
    <w:rsid w:val="1FCB2EDF"/>
    <w:rsid w:val="1FCE229E"/>
    <w:rsid w:val="1FD46237"/>
    <w:rsid w:val="1FF81FA6"/>
    <w:rsid w:val="200530C6"/>
    <w:rsid w:val="201900EE"/>
    <w:rsid w:val="20286583"/>
    <w:rsid w:val="2068689C"/>
    <w:rsid w:val="207E43F5"/>
    <w:rsid w:val="208E57EA"/>
    <w:rsid w:val="209816EE"/>
    <w:rsid w:val="20A57BD4"/>
    <w:rsid w:val="20AA343C"/>
    <w:rsid w:val="21093B01"/>
    <w:rsid w:val="21093CBF"/>
    <w:rsid w:val="21113386"/>
    <w:rsid w:val="21127704"/>
    <w:rsid w:val="21134B3E"/>
    <w:rsid w:val="21192920"/>
    <w:rsid w:val="214E201A"/>
    <w:rsid w:val="215525E8"/>
    <w:rsid w:val="21564CC5"/>
    <w:rsid w:val="21571507"/>
    <w:rsid w:val="215B0355"/>
    <w:rsid w:val="215C4736"/>
    <w:rsid w:val="218473C3"/>
    <w:rsid w:val="219C0FD7"/>
    <w:rsid w:val="21A96AB3"/>
    <w:rsid w:val="21BE2E1C"/>
    <w:rsid w:val="21BF4CC5"/>
    <w:rsid w:val="21CF315A"/>
    <w:rsid w:val="21D61DDC"/>
    <w:rsid w:val="21D73DBD"/>
    <w:rsid w:val="21F52D2D"/>
    <w:rsid w:val="21FC3824"/>
    <w:rsid w:val="22133B0F"/>
    <w:rsid w:val="22146DBF"/>
    <w:rsid w:val="221C5C74"/>
    <w:rsid w:val="2230280D"/>
    <w:rsid w:val="225E6D5C"/>
    <w:rsid w:val="226D4721"/>
    <w:rsid w:val="227B5090"/>
    <w:rsid w:val="227C7B23"/>
    <w:rsid w:val="22987647"/>
    <w:rsid w:val="229C1A92"/>
    <w:rsid w:val="22D64075"/>
    <w:rsid w:val="22F4274D"/>
    <w:rsid w:val="23111551"/>
    <w:rsid w:val="23114793"/>
    <w:rsid w:val="23200420"/>
    <w:rsid w:val="232C1EE7"/>
    <w:rsid w:val="232E186A"/>
    <w:rsid w:val="23334CC9"/>
    <w:rsid w:val="23414BB8"/>
    <w:rsid w:val="235002CB"/>
    <w:rsid w:val="235565C2"/>
    <w:rsid w:val="2378512C"/>
    <w:rsid w:val="237F64BA"/>
    <w:rsid w:val="23867C9E"/>
    <w:rsid w:val="238B1AF9"/>
    <w:rsid w:val="238E0DF3"/>
    <w:rsid w:val="23983A20"/>
    <w:rsid w:val="239F4DAE"/>
    <w:rsid w:val="23F30C56"/>
    <w:rsid w:val="24125580"/>
    <w:rsid w:val="24143E1B"/>
    <w:rsid w:val="2418246B"/>
    <w:rsid w:val="241F3BAD"/>
    <w:rsid w:val="242E2E48"/>
    <w:rsid w:val="24507029"/>
    <w:rsid w:val="245B6DB7"/>
    <w:rsid w:val="2478071C"/>
    <w:rsid w:val="247C0ED5"/>
    <w:rsid w:val="247E49C4"/>
    <w:rsid w:val="248024EA"/>
    <w:rsid w:val="24A05D7F"/>
    <w:rsid w:val="24A87C93"/>
    <w:rsid w:val="24D35DFB"/>
    <w:rsid w:val="24EF2718"/>
    <w:rsid w:val="24F75F2B"/>
    <w:rsid w:val="25113A8A"/>
    <w:rsid w:val="25145328"/>
    <w:rsid w:val="253F4153"/>
    <w:rsid w:val="25423C43"/>
    <w:rsid w:val="25583889"/>
    <w:rsid w:val="258E0C37"/>
    <w:rsid w:val="25AE0D72"/>
    <w:rsid w:val="25B43229"/>
    <w:rsid w:val="25BD776E"/>
    <w:rsid w:val="25CE64B1"/>
    <w:rsid w:val="25E41FE9"/>
    <w:rsid w:val="25ED0053"/>
    <w:rsid w:val="25FA451E"/>
    <w:rsid w:val="25FA6BAC"/>
    <w:rsid w:val="26331252"/>
    <w:rsid w:val="264E2C81"/>
    <w:rsid w:val="266B541C"/>
    <w:rsid w:val="26753572"/>
    <w:rsid w:val="26C51C58"/>
    <w:rsid w:val="26D65F40"/>
    <w:rsid w:val="26E8136C"/>
    <w:rsid w:val="26F31699"/>
    <w:rsid w:val="27082C6B"/>
    <w:rsid w:val="27141940"/>
    <w:rsid w:val="271909D4"/>
    <w:rsid w:val="272555CB"/>
    <w:rsid w:val="27545EB0"/>
    <w:rsid w:val="276D3849"/>
    <w:rsid w:val="277A5916"/>
    <w:rsid w:val="278B355F"/>
    <w:rsid w:val="278F537C"/>
    <w:rsid w:val="27B506FD"/>
    <w:rsid w:val="27EC60E8"/>
    <w:rsid w:val="28001A0F"/>
    <w:rsid w:val="280D678A"/>
    <w:rsid w:val="289E0A26"/>
    <w:rsid w:val="28A6273B"/>
    <w:rsid w:val="28B07116"/>
    <w:rsid w:val="28BF3904"/>
    <w:rsid w:val="28D64957"/>
    <w:rsid w:val="28F434A6"/>
    <w:rsid w:val="291B693A"/>
    <w:rsid w:val="293146FB"/>
    <w:rsid w:val="29392484"/>
    <w:rsid w:val="293D65ED"/>
    <w:rsid w:val="2964687E"/>
    <w:rsid w:val="29661255"/>
    <w:rsid w:val="296F0D7F"/>
    <w:rsid w:val="29910CF5"/>
    <w:rsid w:val="29AF1F09"/>
    <w:rsid w:val="29B03871"/>
    <w:rsid w:val="29E74DB9"/>
    <w:rsid w:val="2A042ABA"/>
    <w:rsid w:val="2A222295"/>
    <w:rsid w:val="2A24600D"/>
    <w:rsid w:val="2A36189D"/>
    <w:rsid w:val="2A3B4116"/>
    <w:rsid w:val="2A6A4078"/>
    <w:rsid w:val="2A7206F0"/>
    <w:rsid w:val="2A842608"/>
    <w:rsid w:val="2AD0584D"/>
    <w:rsid w:val="2ADB2B70"/>
    <w:rsid w:val="2ADB54EC"/>
    <w:rsid w:val="2AF7636C"/>
    <w:rsid w:val="2B116592"/>
    <w:rsid w:val="2B1C4F36"/>
    <w:rsid w:val="2B1F5B31"/>
    <w:rsid w:val="2B2230DE"/>
    <w:rsid w:val="2B317A4F"/>
    <w:rsid w:val="2B350611"/>
    <w:rsid w:val="2B3D6264"/>
    <w:rsid w:val="2B794137"/>
    <w:rsid w:val="2BA576C3"/>
    <w:rsid w:val="2BA77508"/>
    <w:rsid w:val="2BCA04EF"/>
    <w:rsid w:val="2BDD46C6"/>
    <w:rsid w:val="2C2959C2"/>
    <w:rsid w:val="2C645E65"/>
    <w:rsid w:val="2C6B7F24"/>
    <w:rsid w:val="2C6E5EC2"/>
    <w:rsid w:val="2C7C232F"/>
    <w:rsid w:val="2C87617D"/>
    <w:rsid w:val="2CB847EB"/>
    <w:rsid w:val="2CBF351C"/>
    <w:rsid w:val="2CC25D23"/>
    <w:rsid w:val="2CCB09C2"/>
    <w:rsid w:val="2CDE5CC4"/>
    <w:rsid w:val="2CE77338"/>
    <w:rsid w:val="2CF00429"/>
    <w:rsid w:val="2CF505DD"/>
    <w:rsid w:val="2CFA4E04"/>
    <w:rsid w:val="2D241E80"/>
    <w:rsid w:val="2D31101F"/>
    <w:rsid w:val="2D5C0C70"/>
    <w:rsid w:val="2D687FBF"/>
    <w:rsid w:val="2D6A01DB"/>
    <w:rsid w:val="2D8E211C"/>
    <w:rsid w:val="2D940755"/>
    <w:rsid w:val="2D9675D6"/>
    <w:rsid w:val="2D980D09"/>
    <w:rsid w:val="2DBE22D5"/>
    <w:rsid w:val="2DD03764"/>
    <w:rsid w:val="2DDD09AD"/>
    <w:rsid w:val="2E04418C"/>
    <w:rsid w:val="2E232E31"/>
    <w:rsid w:val="2E262492"/>
    <w:rsid w:val="2E276A03"/>
    <w:rsid w:val="2E2933FE"/>
    <w:rsid w:val="2E2B600A"/>
    <w:rsid w:val="2E372556"/>
    <w:rsid w:val="2E514EF7"/>
    <w:rsid w:val="2E574914"/>
    <w:rsid w:val="2E62218D"/>
    <w:rsid w:val="2E76670C"/>
    <w:rsid w:val="2E7C01C6"/>
    <w:rsid w:val="2E7F16EC"/>
    <w:rsid w:val="2E8B21B7"/>
    <w:rsid w:val="2E992A65"/>
    <w:rsid w:val="2E9F2106"/>
    <w:rsid w:val="2EAE5EA6"/>
    <w:rsid w:val="2EB07E70"/>
    <w:rsid w:val="2F1531D0"/>
    <w:rsid w:val="2F1F6DA3"/>
    <w:rsid w:val="2F311268"/>
    <w:rsid w:val="2F6824F8"/>
    <w:rsid w:val="2F6A44C2"/>
    <w:rsid w:val="2F9B38D6"/>
    <w:rsid w:val="2F9B467C"/>
    <w:rsid w:val="2FA00426"/>
    <w:rsid w:val="2FBE7946"/>
    <w:rsid w:val="2FC32F68"/>
    <w:rsid w:val="2FC75471"/>
    <w:rsid w:val="2FCA31B3"/>
    <w:rsid w:val="2FD44032"/>
    <w:rsid w:val="2FE34275"/>
    <w:rsid w:val="301E4E37"/>
    <w:rsid w:val="30380106"/>
    <w:rsid w:val="3041038A"/>
    <w:rsid w:val="306058C5"/>
    <w:rsid w:val="306A6BB4"/>
    <w:rsid w:val="30894E1C"/>
    <w:rsid w:val="309A4933"/>
    <w:rsid w:val="30AA0CCD"/>
    <w:rsid w:val="30AE1C6C"/>
    <w:rsid w:val="30B005FB"/>
    <w:rsid w:val="30F85AFE"/>
    <w:rsid w:val="31050543"/>
    <w:rsid w:val="31070819"/>
    <w:rsid w:val="31327262"/>
    <w:rsid w:val="314174A5"/>
    <w:rsid w:val="314235B5"/>
    <w:rsid w:val="31604D10"/>
    <w:rsid w:val="317C04DD"/>
    <w:rsid w:val="319553BB"/>
    <w:rsid w:val="319E126B"/>
    <w:rsid w:val="31A71603"/>
    <w:rsid w:val="31AD0696"/>
    <w:rsid w:val="31CC1B59"/>
    <w:rsid w:val="31E75151"/>
    <w:rsid w:val="31F13370"/>
    <w:rsid w:val="31F443CB"/>
    <w:rsid w:val="31F91B2E"/>
    <w:rsid w:val="320F1351"/>
    <w:rsid w:val="321C7AAD"/>
    <w:rsid w:val="3220530C"/>
    <w:rsid w:val="324E1E79"/>
    <w:rsid w:val="32700042"/>
    <w:rsid w:val="32DD4C49"/>
    <w:rsid w:val="32E0684A"/>
    <w:rsid w:val="32EC3440"/>
    <w:rsid w:val="32F3060F"/>
    <w:rsid w:val="32FF3876"/>
    <w:rsid w:val="33174961"/>
    <w:rsid w:val="33305A23"/>
    <w:rsid w:val="333F17C2"/>
    <w:rsid w:val="33484B1B"/>
    <w:rsid w:val="334A6CCC"/>
    <w:rsid w:val="33676199"/>
    <w:rsid w:val="33BB3C04"/>
    <w:rsid w:val="33C341A1"/>
    <w:rsid w:val="33CC7ED2"/>
    <w:rsid w:val="33F46A50"/>
    <w:rsid w:val="33F56325"/>
    <w:rsid w:val="33F61444"/>
    <w:rsid w:val="341862D2"/>
    <w:rsid w:val="342033A2"/>
    <w:rsid w:val="345F12CF"/>
    <w:rsid w:val="346040E6"/>
    <w:rsid w:val="347B0F20"/>
    <w:rsid w:val="349A13A6"/>
    <w:rsid w:val="34AE30A3"/>
    <w:rsid w:val="34C44675"/>
    <w:rsid w:val="34F565DC"/>
    <w:rsid w:val="34F767F8"/>
    <w:rsid w:val="34FC3E0F"/>
    <w:rsid w:val="34FF745B"/>
    <w:rsid w:val="35154ED0"/>
    <w:rsid w:val="3516045F"/>
    <w:rsid w:val="352F7287"/>
    <w:rsid w:val="357D65D2"/>
    <w:rsid w:val="357F234A"/>
    <w:rsid w:val="358264BC"/>
    <w:rsid w:val="35984358"/>
    <w:rsid w:val="35C45A8C"/>
    <w:rsid w:val="35CF1523"/>
    <w:rsid w:val="360A60B7"/>
    <w:rsid w:val="361A2073"/>
    <w:rsid w:val="361E2E89"/>
    <w:rsid w:val="3652180C"/>
    <w:rsid w:val="36614CED"/>
    <w:rsid w:val="366A4DA8"/>
    <w:rsid w:val="367C2AF7"/>
    <w:rsid w:val="367F4CF7"/>
    <w:rsid w:val="368F2A60"/>
    <w:rsid w:val="369C3089"/>
    <w:rsid w:val="36AA1648"/>
    <w:rsid w:val="36B65DB6"/>
    <w:rsid w:val="36B67FED"/>
    <w:rsid w:val="36B96E85"/>
    <w:rsid w:val="36D641EB"/>
    <w:rsid w:val="36E25286"/>
    <w:rsid w:val="36EC7EB3"/>
    <w:rsid w:val="370945C1"/>
    <w:rsid w:val="372506A9"/>
    <w:rsid w:val="373553B6"/>
    <w:rsid w:val="373A32B1"/>
    <w:rsid w:val="373C4996"/>
    <w:rsid w:val="374D2339"/>
    <w:rsid w:val="37740F38"/>
    <w:rsid w:val="3781684D"/>
    <w:rsid w:val="381D5608"/>
    <w:rsid w:val="381E1A51"/>
    <w:rsid w:val="384358B1"/>
    <w:rsid w:val="384B29B7"/>
    <w:rsid w:val="384B4EB5"/>
    <w:rsid w:val="39072D82"/>
    <w:rsid w:val="391D07F7"/>
    <w:rsid w:val="392E030F"/>
    <w:rsid w:val="395A55A8"/>
    <w:rsid w:val="395C1320"/>
    <w:rsid w:val="39774380"/>
    <w:rsid w:val="397A79F8"/>
    <w:rsid w:val="399A59A4"/>
    <w:rsid w:val="39A46823"/>
    <w:rsid w:val="39A746F7"/>
    <w:rsid w:val="39AB5E03"/>
    <w:rsid w:val="39B53C0B"/>
    <w:rsid w:val="39D24BE5"/>
    <w:rsid w:val="39DA0497"/>
    <w:rsid w:val="39EC01D6"/>
    <w:rsid w:val="3A2E40D2"/>
    <w:rsid w:val="3A414072"/>
    <w:rsid w:val="3A661D2A"/>
    <w:rsid w:val="3A6B51A0"/>
    <w:rsid w:val="3A7F2761"/>
    <w:rsid w:val="3A9839D5"/>
    <w:rsid w:val="3AA50AA5"/>
    <w:rsid w:val="3AAC1E33"/>
    <w:rsid w:val="3AB64A60"/>
    <w:rsid w:val="3AC25E66"/>
    <w:rsid w:val="3ACD1DA9"/>
    <w:rsid w:val="3AD636F1"/>
    <w:rsid w:val="3AE27603"/>
    <w:rsid w:val="3AEA64B7"/>
    <w:rsid w:val="3AF96CBA"/>
    <w:rsid w:val="3B0A6C0E"/>
    <w:rsid w:val="3B263FA5"/>
    <w:rsid w:val="3B312338"/>
    <w:rsid w:val="3B430836"/>
    <w:rsid w:val="3BA7084C"/>
    <w:rsid w:val="3BD74C8E"/>
    <w:rsid w:val="3BE408F7"/>
    <w:rsid w:val="3C4816E7"/>
    <w:rsid w:val="3C7D3697"/>
    <w:rsid w:val="3C805325"/>
    <w:rsid w:val="3C9138EA"/>
    <w:rsid w:val="3CA1529C"/>
    <w:rsid w:val="3CB23005"/>
    <w:rsid w:val="3CB66F99"/>
    <w:rsid w:val="3CC03974"/>
    <w:rsid w:val="3CF0648C"/>
    <w:rsid w:val="3D0E0B83"/>
    <w:rsid w:val="3D1617E6"/>
    <w:rsid w:val="3D2D6B2F"/>
    <w:rsid w:val="3D392EAA"/>
    <w:rsid w:val="3D3B56F0"/>
    <w:rsid w:val="3D556267"/>
    <w:rsid w:val="3D566086"/>
    <w:rsid w:val="3D7824A0"/>
    <w:rsid w:val="3D8C5F4C"/>
    <w:rsid w:val="3D956BAE"/>
    <w:rsid w:val="3DD35929"/>
    <w:rsid w:val="3DD551FD"/>
    <w:rsid w:val="3DDA0A65"/>
    <w:rsid w:val="3DDF5127"/>
    <w:rsid w:val="3DDF607B"/>
    <w:rsid w:val="3DF02037"/>
    <w:rsid w:val="3E0D2BA2"/>
    <w:rsid w:val="3E111FAD"/>
    <w:rsid w:val="3E287A22"/>
    <w:rsid w:val="3E3E7246"/>
    <w:rsid w:val="3E642A25"/>
    <w:rsid w:val="3E6A5CCC"/>
    <w:rsid w:val="3E7A3FA5"/>
    <w:rsid w:val="3E8D5AD7"/>
    <w:rsid w:val="3E8F7AA2"/>
    <w:rsid w:val="3EC37F39"/>
    <w:rsid w:val="3EC647A9"/>
    <w:rsid w:val="3ED363CD"/>
    <w:rsid w:val="3EE11CA2"/>
    <w:rsid w:val="3EE17BD1"/>
    <w:rsid w:val="3EF416A3"/>
    <w:rsid w:val="3F0B728B"/>
    <w:rsid w:val="3F105341"/>
    <w:rsid w:val="3F3356A6"/>
    <w:rsid w:val="3F3B3785"/>
    <w:rsid w:val="3F3C12AC"/>
    <w:rsid w:val="3F5B3E28"/>
    <w:rsid w:val="3F602105"/>
    <w:rsid w:val="3F80388E"/>
    <w:rsid w:val="3F88629F"/>
    <w:rsid w:val="3F890995"/>
    <w:rsid w:val="3F963C31"/>
    <w:rsid w:val="3F9B4A8B"/>
    <w:rsid w:val="3FB157F6"/>
    <w:rsid w:val="3FBC1FE2"/>
    <w:rsid w:val="3FBD063E"/>
    <w:rsid w:val="3FC74D01"/>
    <w:rsid w:val="3FF54D36"/>
    <w:rsid w:val="40041DC9"/>
    <w:rsid w:val="4014414F"/>
    <w:rsid w:val="401C3481"/>
    <w:rsid w:val="403A3A3D"/>
    <w:rsid w:val="40442B0E"/>
    <w:rsid w:val="40512B35"/>
    <w:rsid w:val="4056597A"/>
    <w:rsid w:val="4057639D"/>
    <w:rsid w:val="405A7C3B"/>
    <w:rsid w:val="40754391"/>
    <w:rsid w:val="40827192"/>
    <w:rsid w:val="40920B3F"/>
    <w:rsid w:val="40923879"/>
    <w:rsid w:val="409969B6"/>
    <w:rsid w:val="40B03B73"/>
    <w:rsid w:val="40BE641C"/>
    <w:rsid w:val="40C47A40"/>
    <w:rsid w:val="41013CC1"/>
    <w:rsid w:val="411B5933"/>
    <w:rsid w:val="414508EB"/>
    <w:rsid w:val="41556B9A"/>
    <w:rsid w:val="416A0352"/>
    <w:rsid w:val="416F7716"/>
    <w:rsid w:val="41780CC1"/>
    <w:rsid w:val="41826D0B"/>
    <w:rsid w:val="41856F3A"/>
    <w:rsid w:val="41886A2A"/>
    <w:rsid w:val="41931657"/>
    <w:rsid w:val="41AE6491"/>
    <w:rsid w:val="41BA3087"/>
    <w:rsid w:val="41D3433B"/>
    <w:rsid w:val="41D34BA9"/>
    <w:rsid w:val="41D43A1D"/>
    <w:rsid w:val="41D8350E"/>
    <w:rsid w:val="41F8770C"/>
    <w:rsid w:val="420662CD"/>
    <w:rsid w:val="42256BF8"/>
    <w:rsid w:val="422E137F"/>
    <w:rsid w:val="42363D5E"/>
    <w:rsid w:val="42423625"/>
    <w:rsid w:val="42440BA3"/>
    <w:rsid w:val="4249440B"/>
    <w:rsid w:val="42756FAE"/>
    <w:rsid w:val="428216CB"/>
    <w:rsid w:val="42997141"/>
    <w:rsid w:val="429C7EA3"/>
    <w:rsid w:val="429D02B3"/>
    <w:rsid w:val="42C45597"/>
    <w:rsid w:val="42D55C9F"/>
    <w:rsid w:val="430B346F"/>
    <w:rsid w:val="434B5F61"/>
    <w:rsid w:val="434C41B3"/>
    <w:rsid w:val="4355648A"/>
    <w:rsid w:val="438518DD"/>
    <w:rsid w:val="439A26DB"/>
    <w:rsid w:val="439E2535"/>
    <w:rsid w:val="43E66BC8"/>
    <w:rsid w:val="44177BC5"/>
    <w:rsid w:val="44254A04"/>
    <w:rsid w:val="443308A1"/>
    <w:rsid w:val="444F55DD"/>
    <w:rsid w:val="446217B4"/>
    <w:rsid w:val="4469669F"/>
    <w:rsid w:val="446C43E1"/>
    <w:rsid w:val="44983428"/>
    <w:rsid w:val="44AD6ED3"/>
    <w:rsid w:val="44B94C67"/>
    <w:rsid w:val="44BC7116"/>
    <w:rsid w:val="44DA759D"/>
    <w:rsid w:val="44ED72D0"/>
    <w:rsid w:val="45264590"/>
    <w:rsid w:val="45400EC1"/>
    <w:rsid w:val="45901B57"/>
    <w:rsid w:val="45A1630C"/>
    <w:rsid w:val="45E83F3B"/>
    <w:rsid w:val="45E91604"/>
    <w:rsid w:val="46162F67"/>
    <w:rsid w:val="464242FA"/>
    <w:rsid w:val="46572CEA"/>
    <w:rsid w:val="465A0995"/>
    <w:rsid w:val="466943F9"/>
    <w:rsid w:val="469D3256"/>
    <w:rsid w:val="46AA2F9F"/>
    <w:rsid w:val="47022DDB"/>
    <w:rsid w:val="470C4453"/>
    <w:rsid w:val="47150D60"/>
    <w:rsid w:val="47170634"/>
    <w:rsid w:val="471C20EE"/>
    <w:rsid w:val="471F1BDF"/>
    <w:rsid w:val="47264693"/>
    <w:rsid w:val="474D629F"/>
    <w:rsid w:val="4750522E"/>
    <w:rsid w:val="4766336A"/>
    <w:rsid w:val="47D47504"/>
    <w:rsid w:val="47D93B3C"/>
    <w:rsid w:val="47ED75E7"/>
    <w:rsid w:val="47F0794B"/>
    <w:rsid w:val="47F646ED"/>
    <w:rsid w:val="47FB7F56"/>
    <w:rsid w:val="47FC68BF"/>
    <w:rsid w:val="48396CD0"/>
    <w:rsid w:val="48811017"/>
    <w:rsid w:val="48965ED0"/>
    <w:rsid w:val="48A00AFD"/>
    <w:rsid w:val="48AB5019"/>
    <w:rsid w:val="48D507A7"/>
    <w:rsid w:val="48DC0511"/>
    <w:rsid w:val="49066BB2"/>
    <w:rsid w:val="49115557"/>
    <w:rsid w:val="492B03C7"/>
    <w:rsid w:val="493376DD"/>
    <w:rsid w:val="493C6A78"/>
    <w:rsid w:val="494722AB"/>
    <w:rsid w:val="49757894"/>
    <w:rsid w:val="49843F7B"/>
    <w:rsid w:val="49AD1724"/>
    <w:rsid w:val="49B90028"/>
    <w:rsid w:val="49F31153"/>
    <w:rsid w:val="49F66B3A"/>
    <w:rsid w:val="49FB423D"/>
    <w:rsid w:val="4A054498"/>
    <w:rsid w:val="4A0D5D1E"/>
    <w:rsid w:val="4A2718EB"/>
    <w:rsid w:val="4A2A2D74"/>
    <w:rsid w:val="4A39600A"/>
    <w:rsid w:val="4A601C43"/>
    <w:rsid w:val="4A633B90"/>
    <w:rsid w:val="4A6F057C"/>
    <w:rsid w:val="4A81369C"/>
    <w:rsid w:val="4A851D59"/>
    <w:rsid w:val="4A9E5D86"/>
    <w:rsid w:val="4AA85A47"/>
    <w:rsid w:val="4AA93C99"/>
    <w:rsid w:val="4AAA17BF"/>
    <w:rsid w:val="4AB2113C"/>
    <w:rsid w:val="4ADA0F18"/>
    <w:rsid w:val="4ADA6548"/>
    <w:rsid w:val="4AF40C8C"/>
    <w:rsid w:val="4B1355B6"/>
    <w:rsid w:val="4B327CC6"/>
    <w:rsid w:val="4B7C7600"/>
    <w:rsid w:val="4B995B21"/>
    <w:rsid w:val="4BA16A96"/>
    <w:rsid w:val="4BA37A49"/>
    <w:rsid w:val="4BBA0128"/>
    <w:rsid w:val="4BC13264"/>
    <w:rsid w:val="4BCB6653"/>
    <w:rsid w:val="4BE3142D"/>
    <w:rsid w:val="4BF03B4A"/>
    <w:rsid w:val="4BF3029F"/>
    <w:rsid w:val="4BF62688"/>
    <w:rsid w:val="4C207BF0"/>
    <w:rsid w:val="4C52445E"/>
    <w:rsid w:val="4C6836E0"/>
    <w:rsid w:val="4C860003"/>
    <w:rsid w:val="4C9B3AB5"/>
    <w:rsid w:val="4CA25915"/>
    <w:rsid w:val="4CA30A9C"/>
    <w:rsid w:val="4CAC181F"/>
    <w:rsid w:val="4CC0351C"/>
    <w:rsid w:val="4D0B0C3B"/>
    <w:rsid w:val="4D1B4BF6"/>
    <w:rsid w:val="4D357A66"/>
    <w:rsid w:val="4D617969"/>
    <w:rsid w:val="4D7367E0"/>
    <w:rsid w:val="4D765FA3"/>
    <w:rsid w:val="4D834C75"/>
    <w:rsid w:val="4DAB7EDA"/>
    <w:rsid w:val="4DC1754C"/>
    <w:rsid w:val="4DC31516"/>
    <w:rsid w:val="4DCE1C69"/>
    <w:rsid w:val="4DFA0CB0"/>
    <w:rsid w:val="4E0659D2"/>
    <w:rsid w:val="4E0833CC"/>
    <w:rsid w:val="4E141D71"/>
    <w:rsid w:val="4E1F47F5"/>
    <w:rsid w:val="4E4A5793"/>
    <w:rsid w:val="4E7520E4"/>
    <w:rsid w:val="4E976206"/>
    <w:rsid w:val="4ECC7F56"/>
    <w:rsid w:val="4ECF7E2B"/>
    <w:rsid w:val="4ED60E57"/>
    <w:rsid w:val="4EED611E"/>
    <w:rsid w:val="4F050B6D"/>
    <w:rsid w:val="4F1B712F"/>
    <w:rsid w:val="4F381A8F"/>
    <w:rsid w:val="4F3F510F"/>
    <w:rsid w:val="4F462317"/>
    <w:rsid w:val="4F75620F"/>
    <w:rsid w:val="4F89256B"/>
    <w:rsid w:val="4FC1669B"/>
    <w:rsid w:val="4FD96788"/>
    <w:rsid w:val="4FDA0DF6"/>
    <w:rsid w:val="4FE47521"/>
    <w:rsid w:val="4FF45606"/>
    <w:rsid w:val="4FFE0FF2"/>
    <w:rsid w:val="50002336"/>
    <w:rsid w:val="502E28C4"/>
    <w:rsid w:val="50414974"/>
    <w:rsid w:val="50552CF3"/>
    <w:rsid w:val="50666188"/>
    <w:rsid w:val="507A1C34"/>
    <w:rsid w:val="507B60D8"/>
    <w:rsid w:val="508A3156"/>
    <w:rsid w:val="509176A9"/>
    <w:rsid w:val="50AF6900"/>
    <w:rsid w:val="50BD5676"/>
    <w:rsid w:val="50EF2622"/>
    <w:rsid w:val="50FA09B1"/>
    <w:rsid w:val="51104AB0"/>
    <w:rsid w:val="513A1AEF"/>
    <w:rsid w:val="513D1358"/>
    <w:rsid w:val="514C6F98"/>
    <w:rsid w:val="514E559A"/>
    <w:rsid w:val="516C57A1"/>
    <w:rsid w:val="51730B5D"/>
    <w:rsid w:val="518931C9"/>
    <w:rsid w:val="51937451"/>
    <w:rsid w:val="51A0391C"/>
    <w:rsid w:val="51BE213E"/>
    <w:rsid w:val="51CE0489"/>
    <w:rsid w:val="51E952C3"/>
    <w:rsid w:val="51EB103B"/>
    <w:rsid w:val="51FE0D6E"/>
    <w:rsid w:val="52164189"/>
    <w:rsid w:val="522105B9"/>
    <w:rsid w:val="523601F3"/>
    <w:rsid w:val="52636E23"/>
    <w:rsid w:val="5273519C"/>
    <w:rsid w:val="527E021F"/>
    <w:rsid w:val="52852FD0"/>
    <w:rsid w:val="528E031D"/>
    <w:rsid w:val="52B1623B"/>
    <w:rsid w:val="52BC1972"/>
    <w:rsid w:val="52BF457A"/>
    <w:rsid w:val="52C61160"/>
    <w:rsid w:val="52D700DE"/>
    <w:rsid w:val="52E86762"/>
    <w:rsid w:val="52F027AF"/>
    <w:rsid w:val="52FA4256"/>
    <w:rsid w:val="530A54F1"/>
    <w:rsid w:val="530B4BE6"/>
    <w:rsid w:val="53105563"/>
    <w:rsid w:val="53234805"/>
    <w:rsid w:val="53373E0C"/>
    <w:rsid w:val="533920AE"/>
    <w:rsid w:val="53416392"/>
    <w:rsid w:val="53424C8B"/>
    <w:rsid w:val="534D3630"/>
    <w:rsid w:val="53525315"/>
    <w:rsid w:val="539D45B7"/>
    <w:rsid w:val="53A25729"/>
    <w:rsid w:val="53BF0875"/>
    <w:rsid w:val="53CA68D8"/>
    <w:rsid w:val="53DB172D"/>
    <w:rsid w:val="53E752BB"/>
    <w:rsid w:val="540E72EB"/>
    <w:rsid w:val="541D4B12"/>
    <w:rsid w:val="542304FB"/>
    <w:rsid w:val="543A3FC5"/>
    <w:rsid w:val="544F13D7"/>
    <w:rsid w:val="5479708B"/>
    <w:rsid w:val="548E5CAE"/>
    <w:rsid w:val="54A604EB"/>
    <w:rsid w:val="54B225D1"/>
    <w:rsid w:val="54C17E31"/>
    <w:rsid w:val="54C36370"/>
    <w:rsid w:val="54CF69F2"/>
    <w:rsid w:val="550541C2"/>
    <w:rsid w:val="550707B1"/>
    <w:rsid w:val="55230AEC"/>
    <w:rsid w:val="55327E7C"/>
    <w:rsid w:val="55436A98"/>
    <w:rsid w:val="55482300"/>
    <w:rsid w:val="554E3DBB"/>
    <w:rsid w:val="55715927"/>
    <w:rsid w:val="557C4CDF"/>
    <w:rsid w:val="559D089E"/>
    <w:rsid w:val="55C027DF"/>
    <w:rsid w:val="55C51BA3"/>
    <w:rsid w:val="56216D43"/>
    <w:rsid w:val="562543F0"/>
    <w:rsid w:val="562B40FC"/>
    <w:rsid w:val="562C577E"/>
    <w:rsid w:val="562D715C"/>
    <w:rsid w:val="5640122A"/>
    <w:rsid w:val="564927D4"/>
    <w:rsid w:val="566B44F9"/>
    <w:rsid w:val="567315FF"/>
    <w:rsid w:val="569C2F3C"/>
    <w:rsid w:val="56B51C18"/>
    <w:rsid w:val="56C62E14"/>
    <w:rsid w:val="56CF2CD9"/>
    <w:rsid w:val="56E60023"/>
    <w:rsid w:val="56F036D9"/>
    <w:rsid w:val="571A483D"/>
    <w:rsid w:val="571E156B"/>
    <w:rsid w:val="572648C3"/>
    <w:rsid w:val="57544F8D"/>
    <w:rsid w:val="576C30D0"/>
    <w:rsid w:val="57750CCB"/>
    <w:rsid w:val="577675F9"/>
    <w:rsid w:val="57802226"/>
    <w:rsid w:val="57813A64"/>
    <w:rsid w:val="57A06424"/>
    <w:rsid w:val="57AF2B0B"/>
    <w:rsid w:val="57B7551B"/>
    <w:rsid w:val="57D11596"/>
    <w:rsid w:val="57E841D9"/>
    <w:rsid w:val="57EC2541"/>
    <w:rsid w:val="57FB5D50"/>
    <w:rsid w:val="581F3C8C"/>
    <w:rsid w:val="582E57DE"/>
    <w:rsid w:val="585E3377"/>
    <w:rsid w:val="5866766D"/>
    <w:rsid w:val="58782D8B"/>
    <w:rsid w:val="58801DB1"/>
    <w:rsid w:val="58806D6B"/>
    <w:rsid w:val="58B34C17"/>
    <w:rsid w:val="58D5034F"/>
    <w:rsid w:val="58DA7713"/>
    <w:rsid w:val="58DD4B4B"/>
    <w:rsid w:val="58FA6008"/>
    <w:rsid w:val="59103135"/>
    <w:rsid w:val="591A3FB4"/>
    <w:rsid w:val="591F1682"/>
    <w:rsid w:val="596D0588"/>
    <w:rsid w:val="59C83A10"/>
    <w:rsid w:val="59D95C1D"/>
    <w:rsid w:val="59F8427A"/>
    <w:rsid w:val="59FB5B93"/>
    <w:rsid w:val="5A0616B1"/>
    <w:rsid w:val="5A1530F9"/>
    <w:rsid w:val="5A1E1882"/>
    <w:rsid w:val="5A3317D1"/>
    <w:rsid w:val="5A5413E3"/>
    <w:rsid w:val="5A5D05FC"/>
    <w:rsid w:val="5A821E11"/>
    <w:rsid w:val="5AEC67FA"/>
    <w:rsid w:val="5AF076C2"/>
    <w:rsid w:val="5AF656CD"/>
    <w:rsid w:val="5AF96577"/>
    <w:rsid w:val="5B0C0741"/>
    <w:rsid w:val="5B1B7148"/>
    <w:rsid w:val="5B280C0A"/>
    <w:rsid w:val="5B2D6220"/>
    <w:rsid w:val="5B6339F0"/>
    <w:rsid w:val="5B6854AA"/>
    <w:rsid w:val="5BB406F0"/>
    <w:rsid w:val="5BC70423"/>
    <w:rsid w:val="5BC76675"/>
    <w:rsid w:val="5BDA4A94"/>
    <w:rsid w:val="5BEA2363"/>
    <w:rsid w:val="5BFA3A04"/>
    <w:rsid w:val="5C0F6B97"/>
    <w:rsid w:val="5C282780"/>
    <w:rsid w:val="5C2E290C"/>
    <w:rsid w:val="5C423F4D"/>
    <w:rsid w:val="5C7659A5"/>
    <w:rsid w:val="5C8C341B"/>
    <w:rsid w:val="5C924C82"/>
    <w:rsid w:val="5CB309A7"/>
    <w:rsid w:val="5CB85FBE"/>
    <w:rsid w:val="5CCB3019"/>
    <w:rsid w:val="5CCB3F43"/>
    <w:rsid w:val="5CCE758F"/>
    <w:rsid w:val="5CDC1CAC"/>
    <w:rsid w:val="5D310209"/>
    <w:rsid w:val="5D437F7D"/>
    <w:rsid w:val="5D4635C9"/>
    <w:rsid w:val="5D4D6706"/>
    <w:rsid w:val="5D557CB0"/>
    <w:rsid w:val="5D7B0085"/>
    <w:rsid w:val="5D7C1F1D"/>
    <w:rsid w:val="5D87291D"/>
    <w:rsid w:val="5D9F7CB7"/>
    <w:rsid w:val="5DBF1DA6"/>
    <w:rsid w:val="5DCA244C"/>
    <w:rsid w:val="5DDC7A8A"/>
    <w:rsid w:val="5DF63241"/>
    <w:rsid w:val="5DFE5C52"/>
    <w:rsid w:val="5E082AC2"/>
    <w:rsid w:val="5E0968EF"/>
    <w:rsid w:val="5E1E0F9C"/>
    <w:rsid w:val="5E420235"/>
    <w:rsid w:val="5E447901"/>
    <w:rsid w:val="5E570CB0"/>
    <w:rsid w:val="5E5E4943"/>
    <w:rsid w:val="5E6737F7"/>
    <w:rsid w:val="5E677C9B"/>
    <w:rsid w:val="5E6C3504"/>
    <w:rsid w:val="5E761C8C"/>
    <w:rsid w:val="5EAF7159"/>
    <w:rsid w:val="5EB279BE"/>
    <w:rsid w:val="5EB32EE1"/>
    <w:rsid w:val="5EBF1885"/>
    <w:rsid w:val="5ECC3A1D"/>
    <w:rsid w:val="5ECE7D1A"/>
    <w:rsid w:val="5ED2780B"/>
    <w:rsid w:val="5EE27322"/>
    <w:rsid w:val="5F063883"/>
    <w:rsid w:val="5F0738D1"/>
    <w:rsid w:val="5F194C92"/>
    <w:rsid w:val="5F3A53B0"/>
    <w:rsid w:val="5F3C4C84"/>
    <w:rsid w:val="5F5E109E"/>
    <w:rsid w:val="5F750196"/>
    <w:rsid w:val="5F751C60"/>
    <w:rsid w:val="5F933D87"/>
    <w:rsid w:val="5F9F0303"/>
    <w:rsid w:val="5FB7623B"/>
    <w:rsid w:val="5FC77D19"/>
    <w:rsid w:val="5FD47093"/>
    <w:rsid w:val="5FDC6467"/>
    <w:rsid w:val="5FF27A39"/>
    <w:rsid w:val="5FF87658"/>
    <w:rsid w:val="6025396A"/>
    <w:rsid w:val="603D6F06"/>
    <w:rsid w:val="606A457E"/>
    <w:rsid w:val="60730B79"/>
    <w:rsid w:val="608A11F9"/>
    <w:rsid w:val="60912DAE"/>
    <w:rsid w:val="60D61108"/>
    <w:rsid w:val="60F8107F"/>
    <w:rsid w:val="60FB0B6F"/>
    <w:rsid w:val="611A0FF5"/>
    <w:rsid w:val="61265BEC"/>
    <w:rsid w:val="61306A6A"/>
    <w:rsid w:val="613B5E44"/>
    <w:rsid w:val="613C71BD"/>
    <w:rsid w:val="6148266D"/>
    <w:rsid w:val="615B0273"/>
    <w:rsid w:val="61616C24"/>
    <w:rsid w:val="61730795"/>
    <w:rsid w:val="617E2507"/>
    <w:rsid w:val="6180119A"/>
    <w:rsid w:val="618B5012"/>
    <w:rsid w:val="61931F26"/>
    <w:rsid w:val="61932B55"/>
    <w:rsid w:val="619F599E"/>
    <w:rsid w:val="61BE41DD"/>
    <w:rsid w:val="61E0223F"/>
    <w:rsid w:val="61E33ADD"/>
    <w:rsid w:val="61E57855"/>
    <w:rsid w:val="61F5665D"/>
    <w:rsid w:val="6227631A"/>
    <w:rsid w:val="623B3920"/>
    <w:rsid w:val="624451DC"/>
    <w:rsid w:val="626C3AD2"/>
    <w:rsid w:val="6275699B"/>
    <w:rsid w:val="62854B94"/>
    <w:rsid w:val="628C1A7E"/>
    <w:rsid w:val="629E1D08"/>
    <w:rsid w:val="629F060D"/>
    <w:rsid w:val="62A3326C"/>
    <w:rsid w:val="62AC72E7"/>
    <w:rsid w:val="62AE5E99"/>
    <w:rsid w:val="62C332D8"/>
    <w:rsid w:val="62C751AC"/>
    <w:rsid w:val="62C87BB1"/>
    <w:rsid w:val="62E01518"/>
    <w:rsid w:val="62F51D1A"/>
    <w:rsid w:val="62F6042B"/>
    <w:rsid w:val="62FD1AA0"/>
    <w:rsid w:val="630E06AB"/>
    <w:rsid w:val="63151AC7"/>
    <w:rsid w:val="63161C90"/>
    <w:rsid w:val="63251ED3"/>
    <w:rsid w:val="632F323E"/>
    <w:rsid w:val="63377DE5"/>
    <w:rsid w:val="63564074"/>
    <w:rsid w:val="63595768"/>
    <w:rsid w:val="63604CB9"/>
    <w:rsid w:val="63635B2F"/>
    <w:rsid w:val="636C7565"/>
    <w:rsid w:val="639332E1"/>
    <w:rsid w:val="63BA261B"/>
    <w:rsid w:val="63BC2837"/>
    <w:rsid w:val="63F03798"/>
    <w:rsid w:val="64065861"/>
    <w:rsid w:val="64255857"/>
    <w:rsid w:val="64502F80"/>
    <w:rsid w:val="645667E8"/>
    <w:rsid w:val="645A33BD"/>
    <w:rsid w:val="64A66091"/>
    <w:rsid w:val="64B11C70"/>
    <w:rsid w:val="64B61035"/>
    <w:rsid w:val="64C03C61"/>
    <w:rsid w:val="64FD5FBF"/>
    <w:rsid w:val="651638D5"/>
    <w:rsid w:val="65213E29"/>
    <w:rsid w:val="652C12F7"/>
    <w:rsid w:val="652F0DE7"/>
    <w:rsid w:val="653025BD"/>
    <w:rsid w:val="65432E7A"/>
    <w:rsid w:val="65876E75"/>
    <w:rsid w:val="6588004A"/>
    <w:rsid w:val="658A7C58"/>
    <w:rsid w:val="658D448B"/>
    <w:rsid w:val="65907AD8"/>
    <w:rsid w:val="659E2C19"/>
    <w:rsid w:val="65AB4E9E"/>
    <w:rsid w:val="65B337C6"/>
    <w:rsid w:val="65D35C16"/>
    <w:rsid w:val="65EE2A50"/>
    <w:rsid w:val="66080D5A"/>
    <w:rsid w:val="660D737A"/>
    <w:rsid w:val="66106E6A"/>
    <w:rsid w:val="66320C06"/>
    <w:rsid w:val="663D17DF"/>
    <w:rsid w:val="664408C2"/>
    <w:rsid w:val="669435F8"/>
    <w:rsid w:val="669730E8"/>
    <w:rsid w:val="669B6901"/>
    <w:rsid w:val="66AD46B9"/>
    <w:rsid w:val="66C27A39"/>
    <w:rsid w:val="66D8063C"/>
    <w:rsid w:val="66ED3FEF"/>
    <w:rsid w:val="670544F5"/>
    <w:rsid w:val="67185FD7"/>
    <w:rsid w:val="67281F92"/>
    <w:rsid w:val="672D1662"/>
    <w:rsid w:val="673715E3"/>
    <w:rsid w:val="67386679"/>
    <w:rsid w:val="675C250A"/>
    <w:rsid w:val="678E0047"/>
    <w:rsid w:val="679413D5"/>
    <w:rsid w:val="67B66762"/>
    <w:rsid w:val="67BD6B7E"/>
    <w:rsid w:val="67BF72FA"/>
    <w:rsid w:val="67DA1624"/>
    <w:rsid w:val="67E61C31"/>
    <w:rsid w:val="67E749C9"/>
    <w:rsid w:val="67ED7463"/>
    <w:rsid w:val="6809591F"/>
    <w:rsid w:val="681C1AF7"/>
    <w:rsid w:val="68264723"/>
    <w:rsid w:val="68420E31"/>
    <w:rsid w:val="68490412"/>
    <w:rsid w:val="685471D9"/>
    <w:rsid w:val="686B65DA"/>
    <w:rsid w:val="686F5A3D"/>
    <w:rsid w:val="68757459"/>
    <w:rsid w:val="687C07E7"/>
    <w:rsid w:val="68880F3A"/>
    <w:rsid w:val="68A35D74"/>
    <w:rsid w:val="68D26C4D"/>
    <w:rsid w:val="68FB170C"/>
    <w:rsid w:val="68FB3083"/>
    <w:rsid w:val="691B0000"/>
    <w:rsid w:val="69342E70"/>
    <w:rsid w:val="69362744"/>
    <w:rsid w:val="69392234"/>
    <w:rsid w:val="694B6560"/>
    <w:rsid w:val="696A24C6"/>
    <w:rsid w:val="69735746"/>
    <w:rsid w:val="697414BE"/>
    <w:rsid w:val="699975B2"/>
    <w:rsid w:val="69AA3132"/>
    <w:rsid w:val="69C547A6"/>
    <w:rsid w:val="69D44501"/>
    <w:rsid w:val="69E5107B"/>
    <w:rsid w:val="69FA19C4"/>
    <w:rsid w:val="69FF347E"/>
    <w:rsid w:val="6A040A94"/>
    <w:rsid w:val="6A1011E7"/>
    <w:rsid w:val="6A121CC6"/>
    <w:rsid w:val="6A283303"/>
    <w:rsid w:val="6A2E78BF"/>
    <w:rsid w:val="6A3D3FA6"/>
    <w:rsid w:val="6A5A0B5B"/>
    <w:rsid w:val="6A6E636E"/>
    <w:rsid w:val="6A8B2F63"/>
    <w:rsid w:val="6A9552F7"/>
    <w:rsid w:val="6AA72095"/>
    <w:rsid w:val="6AB73D58"/>
    <w:rsid w:val="6AB9362D"/>
    <w:rsid w:val="6AE83F12"/>
    <w:rsid w:val="6AF4016B"/>
    <w:rsid w:val="6B166709"/>
    <w:rsid w:val="6B2F1B41"/>
    <w:rsid w:val="6B413622"/>
    <w:rsid w:val="6B447202"/>
    <w:rsid w:val="6B4A0C7A"/>
    <w:rsid w:val="6B581098"/>
    <w:rsid w:val="6B6A0DCB"/>
    <w:rsid w:val="6B6F3193"/>
    <w:rsid w:val="6B7C24AE"/>
    <w:rsid w:val="6B7D0AFE"/>
    <w:rsid w:val="6B862E53"/>
    <w:rsid w:val="6BA0659B"/>
    <w:rsid w:val="6BB838E4"/>
    <w:rsid w:val="6BBD714D"/>
    <w:rsid w:val="6BC11893"/>
    <w:rsid w:val="6BCA186A"/>
    <w:rsid w:val="6BDB3A77"/>
    <w:rsid w:val="6BE12E80"/>
    <w:rsid w:val="6BF863D7"/>
    <w:rsid w:val="6BFE311E"/>
    <w:rsid w:val="6C0E5BFA"/>
    <w:rsid w:val="6C16685D"/>
    <w:rsid w:val="6C603B35"/>
    <w:rsid w:val="6C6A4D9B"/>
    <w:rsid w:val="6C702411"/>
    <w:rsid w:val="6C852CE3"/>
    <w:rsid w:val="6C8D40DA"/>
    <w:rsid w:val="6CA6748F"/>
    <w:rsid w:val="6CAD5413"/>
    <w:rsid w:val="6CB16146"/>
    <w:rsid w:val="6CB260C6"/>
    <w:rsid w:val="6CB70040"/>
    <w:rsid w:val="6CD01102"/>
    <w:rsid w:val="6D050DAB"/>
    <w:rsid w:val="6D0668D1"/>
    <w:rsid w:val="6D28723F"/>
    <w:rsid w:val="6D4A2C62"/>
    <w:rsid w:val="6D6655C2"/>
    <w:rsid w:val="6D8D2B4F"/>
    <w:rsid w:val="6D95320C"/>
    <w:rsid w:val="6DCD73EF"/>
    <w:rsid w:val="6DD53069"/>
    <w:rsid w:val="6DD53C0F"/>
    <w:rsid w:val="6DD6296F"/>
    <w:rsid w:val="6DDD1884"/>
    <w:rsid w:val="6DDD3AD6"/>
    <w:rsid w:val="6E1F40EF"/>
    <w:rsid w:val="6E313E22"/>
    <w:rsid w:val="6E3B3E98"/>
    <w:rsid w:val="6E6715F2"/>
    <w:rsid w:val="6E7837FF"/>
    <w:rsid w:val="6E893726"/>
    <w:rsid w:val="6E8C1058"/>
    <w:rsid w:val="6E930639"/>
    <w:rsid w:val="6EA93F33"/>
    <w:rsid w:val="6EAE7221"/>
    <w:rsid w:val="6EB67795"/>
    <w:rsid w:val="6EBE06B8"/>
    <w:rsid w:val="6ED00F45"/>
    <w:rsid w:val="6EE40E94"/>
    <w:rsid w:val="6F045092"/>
    <w:rsid w:val="6F08090C"/>
    <w:rsid w:val="6F2179F2"/>
    <w:rsid w:val="6F255735"/>
    <w:rsid w:val="6F327E52"/>
    <w:rsid w:val="6F4C46FB"/>
    <w:rsid w:val="6F4D4C8B"/>
    <w:rsid w:val="6F681D01"/>
    <w:rsid w:val="6F6D0E8A"/>
    <w:rsid w:val="6F8561D3"/>
    <w:rsid w:val="6FA26D85"/>
    <w:rsid w:val="6FB10D76"/>
    <w:rsid w:val="6FC41B04"/>
    <w:rsid w:val="6FCF5329"/>
    <w:rsid w:val="6FD862CD"/>
    <w:rsid w:val="6FDB4045"/>
    <w:rsid w:val="6FE27182"/>
    <w:rsid w:val="6FEF5D43"/>
    <w:rsid w:val="6FFB46E7"/>
    <w:rsid w:val="701D4F2C"/>
    <w:rsid w:val="702E23C7"/>
    <w:rsid w:val="7040034C"/>
    <w:rsid w:val="704240C4"/>
    <w:rsid w:val="70455963"/>
    <w:rsid w:val="705B0CE2"/>
    <w:rsid w:val="706109F2"/>
    <w:rsid w:val="70645DE9"/>
    <w:rsid w:val="70912956"/>
    <w:rsid w:val="70C44AD9"/>
    <w:rsid w:val="70D53633"/>
    <w:rsid w:val="70E94540"/>
    <w:rsid w:val="70EB475C"/>
    <w:rsid w:val="70F87828"/>
    <w:rsid w:val="71156FC1"/>
    <w:rsid w:val="71456239"/>
    <w:rsid w:val="715F158B"/>
    <w:rsid w:val="716342F2"/>
    <w:rsid w:val="71B72890"/>
    <w:rsid w:val="71C76DE6"/>
    <w:rsid w:val="71EF202A"/>
    <w:rsid w:val="71FE6BE8"/>
    <w:rsid w:val="72125D60"/>
    <w:rsid w:val="72A154A1"/>
    <w:rsid w:val="72A93F87"/>
    <w:rsid w:val="72B333C6"/>
    <w:rsid w:val="72B62B48"/>
    <w:rsid w:val="72BF7C4E"/>
    <w:rsid w:val="72E43211"/>
    <w:rsid w:val="72E94CCB"/>
    <w:rsid w:val="72EA549F"/>
    <w:rsid w:val="734531CD"/>
    <w:rsid w:val="734F0FD2"/>
    <w:rsid w:val="73532145"/>
    <w:rsid w:val="735A1725"/>
    <w:rsid w:val="735C549D"/>
    <w:rsid w:val="738606BF"/>
    <w:rsid w:val="73A6496A"/>
    <w:rsid w:val="73B84F29"/>
    <w:rsid w:val="73D22525"/>
    <w:rsid w:val="73FC0A2E"/>
    <w:rsid w:val="7400051E"/>
    <w:rsid w:val="740718AD"/>
    <w:rsid w:val="740F2585"/>
    <w:rsid w:val="741706BB"/>
    <w:rsid w:val="741B7E2F"/>
    <w:rsid w:val="742A10F7"/>
    <w:rsid w:val="74335F8F"/>
    <w:rsid w:val="74341F76"/>
    <w:rsid w:val="743E2DF5"/>
    <w:rsid w:val="744A709B"/>
    <w:rsid w:val="74932A0C"/>
    <w:rsid w:val="74954AC5"/>
    <w:rsid w:val="7496678D"/>
    <w:rsid w:val="749A7801"/>
    <w:rsid w:val="74AA5A49"/>
    <w:rsid w:val="74B65081"/>
    <w:rsid w:val="74BE4085"/>
    <w:rsid w:val="74C0380A"/>
    <w:rsid w:val="74CC68B0"/>
    <w:rsid w:val="74CE54BD"/>
    <w:rsid w:val="74EE70BD"/>
    <w:rsid w:val="75022074"/>
    <w:rsid w:val="75096F5F"/>
    <w:rsid w:val="75357D54"/>
    <w:rsid w:val="75385A96"/>
    <w:rsid w:val="754206C3"/>
    <w:rsid w:val="756248C1"/>
    <w:rsid w:val="756D573F"/>
    <w:rsid w:val="7581743D"/>
    <w:rsid w:val="758753A2"/>
    <w:rsid w:val="75925B77"/>
    <w:rsid w:val="75B06567"/>
    <w:rsid w:val="75DE488F"/>
    <w:rsid w:val="75E029B8"/>
    <w:rsid w:val="75FA2D4B"/>
    <w:rsid w:val="76045978"/>
    <w:rsid w:val="760F7C18"/>
    <w:rsid w:val="761C2291"/>
    <w:rsid w:val="76257DC8"/>
    <w:rsid w:val="76452218"/>
    <w:rsid w:val="76515061"/>
    <w:rsid w:val="765913E1"/>
    <w:rsid w:val="766151C3"/>
    <w:rsid w:val="76684494"/>
    <w:rsid w:val="766C1E9B"/>
    <w:rsid w:val="7682346D"/>
    <w:rsid w:val="76A01B45"/>
    <w:rsid w:val="76A5715B"/>
    <w:rsid w:val="76B97A4B"/>
    <w:rsid w:val="76C61836"/>
    <w:rsid w:val="76D4359C"/>
    <w:rsid w:val="7711659E"/>
    <w:rsid w:val="77144054"/>
    <w:rsid w:val="775B6BE8"/>
    <w:rsid w:val="7762504C"/>
    <w:rsid w:val="778577E4"/>
    <w:rsid w:val="77890A18"/>
    <w:rsid w:val="778C1D38"/>
    <w:rsid w:val="779C40BA"/>
    <w:rsid w:val="779D6084"/>
    <w:rsid w:val="77AB7213"/>
    <w:rsid w:val="77B04288"/>
    <w:rsid w:val="77B57D17"/>
    <w:rsid w:val="77D93560"/>
    <w:rsid w:val="77EB3293"/>
    <w:rsid w:val="78054AEE"/>
    <w:rsid w:val="780B56E4"/>
    <w:rsid w:val="783C589D"/>
    <w:rsid w:val="78531F73"/>
    <w:rsid w:val="78600961"/>
    <w:rsid w:val="786A240A"/>
    <w:rsid w:val="788A2AAC"/>
    <w:rsid w:val="78922459"/>
    <w:rsid w:val="789677DD"/>
    <w:rsid w:val="78A3200D"/>
    <w:rsid w:val="78BB4A14"/>
    <w:rsid w:val="78C87095"/>
    <w:rsid w:val="78CC4E73"/>
    <w:rsid w:val="78D43D28"/>
    <w:rsid w:val="78D67AA0"/>
    <w:rsid w:val="78E0359B"/>
    <w:rsid w:val="78EC78E8"/>
    <w:rsid w:val="78F06E88"/>
    <w:rsid w:val="79143474"/>
    <w:rsid w:val="791548D9"/>
    <w:rsid w:val="791D747D"/>
    <w:rsid w:val="792878E4"/>
    <w:rsid w:val="792A5904"/>
    <w:rsid w:val="792C76C0"/>
    <w:rsid w:val="79494343"/>
    <w:rsid w:val="7987109F"/>
    <w:rsid w:val="79905EA0"/>
    <w:rsid w:val="79A11E5C"/>
    <w:rsid w:val="79AA7ABF"/>
    <w:rsid w:val="79B9347E"/>
    <w:rsid w:val="79DD6C0C"/>
    <w:rsid w:val="79E14DD4"/>
    <w:rsid w:val="79E32474"/>
    <w:rsid w:val="79F006ED"/>
    <w:rsid w:val="7A347300"/>
    <w:rsid w:val="7A380C95"/>
    <w:rsid w:val="7A6F1F5A"/>
    <w:rsid w:val="7A747570"/>
    <w:rsid w:val="7A756E44"/>
    <w:rsid w:val="7A7E219D"/>
    <w:rsid w:val="7A804167"/>
    <w:rsid w:val="7A904DD0"/>
    <w:rsid w:val="7AB67B89"/>
    <w:rsid w:val="7ABB519F"/>
    <w:rsid w:val="7AC1208A"/>
    <w:rsid w:val="7AC35E02"/>
    <w:rsid w:val="7AC41B51"/>
    <w:rsid w:val="7AD65B35"/>
    <w:rsid w:val="7AE069B4"/>
    <w:rsid w:val="7AF97A75"/>
    <w:rsid w:val="7B590514"/>
    <w:rsid w:val="7B5C4035"/>
    <w:rsid w:val="7B620780"/>
    <w:rsid w:val="7B845591"/>
    <w:rsid w:val="7B917CAE"/>
    <w:rsid w:val="7BB45177"/>
    <w:rsid w:val="7BD070B1"/>
    <w:rsid w:val="7BD9148B"/>
    <w:rsid w:val="7BD96F9B"/>
    <w:rsid w:val="7BDA233A"/>
    <w:rsid w:val="7BE81FC4"/>
    <w:rsid w:val="7BF47178"/>
    <w:rsid w:val="7BF72207"/>
    <w:rsid w:val="7C0D37D8"/>
    <w:rsid w:val="7C2A1694"/>
    <w:rsid w:val="7C2B3C5E"/>
    <w:rsid w:val="7C35307A"/>
    <w:rsid w:val="7C357264"/>
    <w:rsid w:val="7C4A4A2C"/>
    <w:rsid w:val="7C833A9B"/>
    <w:rsid w:val="7C8E1CF9"/>
    <w:rsid w:val="7CA6465A"/>
    <w:rsid w:val="7CB400F8"/>
    <w:rsid w:val="7CB71996"/>
    <w:rsid w:val="7CBE53E4"/>
    <w:rsid w:val="7CC16371"/>
    <w:rsid w:val="7CEB12FB"/>
    <w:rsid w:val="7CFF2350"/>
    <w:rsid w:val="7D142945"/>
    <w:rsid w:val="7D2C2AAE"/>
    <w:rsid w:val="7D364FB1"/>
    <w:rsid w:val="7D3923AB"/>
    <w:rsid w:val="7D5B4A17"/>
    <w:rsid w:val="7D910439"/>
    <w:rsid w:val="7DB54128"/>
    <w:rsid w:val="7DCF4ABD"/>
    <w:rsid w:val="7DE85803"/>
    <w:rsid w:val="7E017037"/>
    <w:rsid w:val="7E176B90"/>
    <w:rsid w:val="7E490D14"/>
    <w:rsid w:val="7E4B05E8"/>
    <w:rsid w:val="7E522354"/>
    <w:rsid w:val="7E755665"/>
    <w:rsid w:val="7E851D4C"/>
    <w:rsid w:val="7EAB72D9"/>
    <w:rsid w:val="7EB76401"/>
    <w:rsid w:val="7EF62835"/>
    <w:rsid w:val="7F0926C6"/>
    <w:rsid w:val="7F1B1071"/>
    <w:rsid w:val="7F403EC5"/>
    <w:rsid w:val="7F533BF8"/>
    <w:rsid w:val="7F5C33A6"/>
    <w:rsid w:val="7F625BE9"/>
    <w:rsid w:val="7F7F2C3F"/>
    <w:rsid w:val="7F8A15E4"/>
    <w:rsid w:val="7F912972"/>
    <w:rsid w:val="7FAA01B2"/>
    <w:rsid w:val="7FAA544D"/>
    <w:rsid w:val="7FB34697"/>
    <w:rsid w:val="7FC17096"/>
    <w:rsid w:val="7FDF5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50"/>
    <w:qFormat/>
    <w:uiPriority w:val="0"/>
    <w:pPr>
      <w:jc w:val="left"/>
    </w:pPr>
  </w:style>
  <w:style w:type="paragraph" w:styleId="3">
    <w:name w:val="Plain Text"/>
    <w:basedOn w:val="1"/>
    <w:next w:val="1"/>
    <w:autoRedefine/>
    <w:qFormat/>
    <w:uiPriority w:val="0"/>
    <w:pPr>
      <w:ind w:firstLine="420"/>
    </w:pPr>
    <w:rPr>
      <w:rFonts w:ascii="宋体" w:hAnsi="Courier New"/>
      <w:szCs w:val="20"/>
    </w:rPr>
  </w:style>
  <w:style w:type="paragraph" w:styleId="4">
    <w:name w:val="Date"/>
    <w:basedOn w:val="1"/>
    <w:next w:val="1"/>
    <w:link w:val="45"/>
    <w:qFormat/>
    <w:uiPriority w:val="0"/>
    <w:pPr>
      <w:ind w:left="100" w:leftChars="2500"/>
    </w:pPr>
  </w:style>
  <w:style w:type="paragraph" w:styleId="5">
    <w:name w:val="Balloon Text"/>
    <w:basedOn w:val="1"/>
    <w:link w:val="48"/>
    <w:qFormat/>
    <w:uiPriority w:val="0"/>
    <w:rPr>
      <w:sz w:val="18"/>
      <w:szCs w:val="18"/>
    </w:rPr>
  </w:style>
  <w:style w:type="paragraph" w:styleId="6">
    <w:name w:val="footer"/>
    <w:basedOn w:val="1"/>
    <w:qFormat/>
    <w:uiPriority w:val="0"/>
    <w:pPr>
      <w:tabs>
        <w:tab w:val="center" w:pos="4153"/>
        <w:tab w:val="right" w:pos="8306"/>
      </w:tabs>
      <w:snapToGrid w:val="0"/>
      <w:ind w:right="210" w:rightChars="100"/>
      <w:jc w:val="right"/>
    </w:pPr>
    <w:rPr>
      <w:sz w:val="18"/>
      <w:szCs w:val="18"/>
    </w:rPr>
  </w:style>
  <w:style w:type="paragraph" w:styleId="7">
    <w:name w:val="header"/>
    <w:basedOn w:val="1"/>
    <w:link w:val="44"/>
    <w:qFormat/>
    <w:uiPriority w:val="0"/>
    <w:pPr>
      <w:pBdr>
        <w:bottom w:val="single" w:color="auto" w:sz="6" w:space="1"/>
      </w:pBdr>
      <w:tabs>
        <w:tab w:val="center" w:pos="4153"/>
        <w:tab w:val="right" w:pos="8306"/>
      </w:tabs>
      <w:snapToGrid w:val="0"/>
      <w:jc w:val="center"/>
    </w:pPr>
    <w:rPr>
      <w:sz w:val="18"/>
      <w:szCs w:val="18"/>
    </w:rPr>
  </w:style>
  <w:style w:type="paragraph" w:styleId="8">
    <w:name w:val="table of figures"/>
    <w:basedOn w:val="1"/>
    <w:next w:val="1"/>
    <w:qFormat/>
    <w:uiPriority w:val="0"/>
    <w:pPr>
      <w:ind w:left="200" w:leftChars="200" w:hanging="200" w:hangingChars="200"/>
    </w:pPr>
    <w:rPr>
      <w:sz w:val="24"/>
    </w:rPr>
  </w:style>
  <w:style w:type="paragraph" w:styleId="9">
    <w:name w:val="HTML Preformatted"/>
    <w:basedOn w:val="1"/>
    <w:autoRedefine/>
    <w:unhideWhenUsed/>
    <w:qFormat/>
    <w:uiPriority w:val="99"/>
    <w:rPr>
      <w:rFonts w:ascii="Courier New" w:hAnsi="Courier New"/>
      <w:sz w:val="20"/>
      <w:szCs w:val="20"/>
    </w:rPr>
  </w:style>
  <w:style w:type="paragraph" w:styleId="10">
    <w:name w:val="Title"/>
    <w:basedOn w:val="1"/>
    <w:next w:val="1"/>
    <w:autoRedefine/>
    <w:qFormat/>
    <w:uiPriority w:val="0"/>
    <w:pPr>
      <w:spacing w:before="240" w:after="60"/>
      <w:jc w:val="center"/>
      <w:outlineLvl w:val="0"/>
    </w:pPr>
    <w:rPr>
      <w:rFonts w:ascii="Cambria" w:hAnsi="Cambria"/>
      <w:b/>
      <w:bCs/>
      <w:sz w:val="32"/>
      <w:szCs w:val="32"/>
    </w:rPr>
  </w:style>
  <w:style w:type="paragraph" w:styleId="11">
    <w:name w:val="annotation subject"/>
    <w:basedOn w:val="2"/>
    <w:next w:val="2"/>
    <w:link w:val="51"/>
    <w:qFormat/>
    <w:uiPriority w:val="0"/>
    <w:rPr>
      <w:b/>
      <w:bCs/>
    </w:rPr>
  </w:style>
  <w:style w:type="character" w:styleId="14">
    <w:name w:val="page number"/>
    <w:autoRedefine/>
    <w:qFormat/>
    <w:uiPriority w:val="0"/>
    <w:rPr>
      <w:rFonts w:ascii="Times New Roman" w:hAnsi="Times New Roman" w:eastAsia="宋体"/>
      <w:sz w:val="18"/>
    </w:rPr>
  </w:style>
  <w:style w:type="character" w:styleId="15">
    <w:name w:val="Hyperlink"/>
    <w:basedOn w:val="13"/>
    <w:qFormat/>
    <w:uiPriority w:val="0"/>
    <w:rPr>
      <w:color w:val="0000FF"/>
      <w:u w:val="single"/>
    </w:rPr>
  </w:style>
  <w:style w:type="character" w:styleId="16">
    <w:name w:val="annotation reference"/>
    <w:basedOn w:val="13"/>
    <w:qFormat/>
    <w:uiPriority w:val="0"/>
    <w:rPr>
      <w:sz w:val="21"/>
      <w:szCs w:val="21"/>
    </w:rPr>
  </w:style>
  <w:style w:type="paragraph" w:customStyle="1" w:styleId="1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8">
    <w:name w:val="封面正文"/>
    <w:autoRedefine/>
    <w:qFormat/>
    <w:uiPriority w:val="0"/>
    <w:pPr>
      <w:jc w:val="both"/>
    </w:pPr>
    <w:rPr>
      <w:rFonts w:ascii="Times New Roman" w:hAnsi="Times New Roman" w:eastAsia="宋体" w:cs="Times New Roman"/>
      <w:lang w:val="en-US" w:eastAsia="zh-CN" w:bidi="ar-SA"/>
    </w:rPr>
  </w:style>
  <w:style w:type="paragraph" w:customStyle="1" w:styleId="19">
    <w:name w:val="章标题"/>
    <w:next w:val="20"/>
    <w:autoRedefine/>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20">
    <w:name w:val="段"/>
    <w:link w:val="46"/>
    <w:autoRedefine/>
    <w:qFormat/>
    <w:uiPriority w:val="0"/>
    <w:pPr>
      <w:autoSpaceDE w:val="0"/>
      <w:autoSpaceDN w:val="0"/>
      <w:ind w:firstLine="420"/>
      <w:jc w:val="both"/>
    </w:pPr>
    <w:rPr>
      <w:rFonts w:ascii="宋体" w:hAnsi="Times New Roman" w:eastAsia="宋体" w:cs="Times New Roman"/>
      <w:sz w:val="21"/>
      <w:lang w:val="en-US" w:eastAsia="zh-CN" w:bidi="ar-SA"/>
    </w:rPr>
  </w:style>
  <w:style w:type="paragraph" w:customStyle="1" w:styleId="21">
    <w:name w:val="一级条标题"/>
    <w:next w:val="20"/>
    <w:autoRedefine/>
    <w:qFormat/>
    <w:uiPriority w:val="0"/>
    <w:pPr>
      <w:tabs>
        <w:tab w:val="left" w:pos="360"/>
      </w:tabs>
      <w:outlineLvl w:val="2"/>
    </w:pPr>
    <w:rPr>
      <w:rFonts w:ascii="Times New Roman" w:hAnsi="Times New Roman" w:eastAsia="黑体" w:cs="Times New Roman"/>
      <w:sz w:val="21"/>
      <w:lang w:val="en-US" w:eastAsia="zh-CN" w:bidi="ar-SA"/>
    </w:rPr>
  </w:style>
  <w:style w:type="paragraph" w:customStyle="1" w:styleId="22">
    <w:name w:val="正文表标题"/>
    <w:next w:val="20"/>
    <w:autoRedefine/>
    <w:qFormat/>
    <w:uiPriority w:val="0"/>
    <w:pPr>
      <w:tabs>
        <w:tab w:val="left" w:pos="360"/>
      </w:tabs>
      <w:jc w:val="center"/>
    </w:pPr>
    <w:rPr>
      <w:rFonts w:ascii="黑体" w:hAnsi="Times New Roman" w:eastAsia="黑体" w:cs="Times New Roman"/>
      <w:sz w:val="21"/>
      <w:lang w:val="en-US" w:eastAsia="zh-CN" w:bidi="ar-SA"/>
    </w:rPr>
  </w:style>
  <w:style w:type="paragraph" w:customStyle="1" w:styleId="23">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4">
    <w:name w:val="二级条标题"/>
    <w:basedOn w:val="21"/>
    <w:next w:val="20"/>
    <w:autoRedefine/>
    <w:qFormat/>
    <w:uiPriority w:val="0"/>
    <w:pPr>
      <w:tabs>
        <w:tab w:val="clear" w:pos="360"/>
      </w:tabs>
      <w:spacing w:before="156" w:beforeLines="50" w:after="156" w:afterLines="50"/>
      <w:outlineLvl w:val="3"/>
    </w:pPr>
    <w:rPr>
      <w:kern w:val="2"/>
      <w:szCs w:val="24"/>
    </w:rPr>
  </w:style>
  <w:style w:type="paragraph" w:customStyle="1" w:styleId="25">
    <w:name w:val="三级条标题"/>
    <w:basedOn w:val="26"/>
    <w:next w:val="20"/>
    <w:autoRedefine/>
    <w:qFormat/>
    <w:uiPriority w:val="0"/>
    <w:pPr>
      <w:tabs>
        <w:tab w:val="left" w:pos="360"/>
      </w:tabs>
      <w:outlineLvl w:val="4"/>
    </w:pPr>
  </w:style>
  <w:style w:type="paragraph" w:customStyle="1" w:styleId="26">
    <w:name w:val="二级条标题 Char Char"/>
    <w:basedOn w:val="27"/>
    <w:next w:val="20"/>
    <w:autoRedefine/>
    <w:qFormat/>
    <w:uiPriority w:val="0"/>
    <w:pPr>
      <w:numPr>
        <w:ilvl w:val="0"/>
        <w:numId w:val="0"/>
      </w:numPr>
      <w:outlineLvl w:val="3"/>
    </w:pPr>
  </w:style>
  <w:style w:type="paragraph" w:customStyle="1" w:styleId="27">
    <w:name w:val="一级条标题 Char Char Char Char"/>
    <w:next w:val="20"/>
    <w:autoRedefine/>
    <w:qFormat/>
    <w:uiPriority w:val="0"/>
    <w:pPr>
      <w:numPr>
        <w:ilvl w:val="2"/>
        <w:numId w:val="1"/>
      </w:numPr>
      <w:outlineLvl w:val="2"/>
    </w:pPr>
    <w:rPr>
      <w:rFonts w:ascii="Times New Roman" w:hAnsi="Times New Roman" w:eastAsia="黑体" w:cs="Times New Roman"/>
      <w:kern w:val="2"/>
      <w:sz w:val="21"/>
      <w:szCs w:val="24"/>
      <w:lang w:val="en-US" w:eastAsia="zh-CN" w:bidi="ar-SA"/>
    </w:rPr>
  </w:style>
  <w:style w:type="paragraph" w:customStyle="1" w:styleId="28">
    <w:name w:val="终结线"/>
    <w:basedOn w:val="1"/>
    <w:autoRedefine/>
    <w:qFormat/>
    <w:uiPriority w:val="0"/>
    <w:pPr>
      <w:framePr w:hSpace="181" w:vSpace="181" w:wrap="around" w:vAnchor="text" w:hAnchor="margin" w:xAlign="center" w:y="285"/>
    </w:pPr>
  </w:style>
  <w:style w:type="paragraph" w:customStyle="1" w:styleId="29">
    <w:name w:val="实施日期"/>
    <w:basedOn w:val="30"/>
    <w:autoRedefine/>
    <w:qFormat/>
    <w:uiPriority w:val="0"/>
    <w:pPr>
      <w:framePr w:hSpace="0" w:wrap="around" w:xAlign="right"/>
      <w:numPr>
        <w:ilvl w:val="4"/>
        <w:numId w:val="1"/>
      </w:numPr>
      <w:jc w:val="right"/>
    </w:pPr>
  </w:style>
  <w:style w:type="paragraph" w:customStyle="1" w:styleId="3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31">
    <w:name w:val="封面标准英文名称"/>
    <w:autoRedefine/>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32">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3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34">
    <w:name w:val="其他发布部门"/>
    <w:basedOn w:val="1"/>
    <w:autoRedefine/>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35">
    <w:name w:val="发布"/>
    <w:autoRedefine/>
    <w:qFormat/>
    <w:uiPriority w:val="0"/>
    <w:rPr>
      <w:rFonts w:ascii="黑体" w:eastAsia="黑体"/>
      <w:spacing w:val="22"/>
      <w:w w:val="100"/>
      <w:position w:val="3"/>
      <w:sz w:val="28"/>
    </w:rPr>
  </w:style>
  <w:style w:type="paragraph" w:customStyle="1" w:styleId="36">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7">
    <w:name w:val="标准书眉一"/>
    <w:autoRedefine/>
    <w:qFormat/>
    <w:uiPriority w:val="0"/>
    <w:pPr>
      <w:jc w:val="both"/>
    </w:pPr>
    <w:rPr>
      <w:rFonts w:ascii="Times New Roman" w:hAnsi="Times New Roman" w:eastAsia="宋体" w:cs="Times New Roman"/>
      <w:lang w:val="en-US" w:eastAsia="zh-CN" w:bidi="ar-SA"/>
    </w:rPr>
  </w:style>
  <w:style w:type="paragraph" w:customStyle="1" w:styleId="38">
    <w:name w:val="标准书脚_奇数页"/>
    <w:autoRedefine/>
    <w:qFormat/>
    <w:uiPriority w:val="0"/>
    <w:pPr>
      <w:spacing w:before="120"/>
      <w:jc w:val="right"/>
    </w:pPr>
    <w:rPr>
      <w:rFonts w:ascii="Times New Roman" w:hAnsi="Times New Roman" w:eastAsia="宋体" w:cs="Times New Roman"/>
      <w:sz w:val="18"/>
      <w:lang w:val="en-US" w:eastAsia="zh-CN" w:bidi="ar-SA"/>
    </w:rPr>
  </w:style>
  <w:style w:type="paragraph" w:customStyle="1" w:styleId="39">
    <w:name w:val="CM31"/>
    <w:basedOn w:val="40"/>
    <w:next w:val="40"/>
    <w:autoRedefine/>
    <w:unhideWhenUsed/>
    <w:qFormat/>
    <w:uiPriority w:val="99"/>
  </w:style>
  <w:style w:type="paragraph" w:customStyle="1" w:styleId="40">
    <w:name w:val="Default"/>
    <w:next w:val="8"/>
    <w:autoRedefine/>
    <w:unhideWhenUsed/>
    <w:qFormat/>
    <w:uiPriority w:val="99"/>
    <w:pPr>
      <w:widowControl w:val="0"/>
      <w:autoSpaceDE w:val="0"/>
      <w:autoSpaceDN w:val="0"/>
      <w:adjustRightInd w:val="0"/>
    </w:pPr>
    <w:rPr>
      <w:rFonts w:hint="eastAsia" w:ascii="Arial Unicode MS" w:hAnsi="Arial Unicode MS" w:eastAsia="Arial Unicode MS" w:cs="Times New Roman"/>
      <w:color w:val="000000"/>
      <w:sz w:val="24"/>
      <w:lang w:val="en-US" w:eastAsia="zh-CN" w:bidi="ar-SA"/>
    </w:rPr>
  </w:style>
  <w:style w:type="paragraph" w:customStyle="1" w:styleId="41">
    <w:name w:val="Table Text"/>
    <w:basedOn w:val="1"/>
    <w:semiHidden/>
    <w:qFormat/>
    <w:uiPriority w:val="0"/>
    <w:rPr>
      <w:rFonts w:ascii="宋体" w:hAnsi="宋体" w:cs="宋体"/>
      <w:sz w:val="18"/>
      <w:szCs w:val="18"/>
      <w:lang w:eastAsia="en-US"/>
    </w:rPr>
  </w:style>
  <w:style w:type="table" w:customStyle="1" w:styleId="42">
    <w:name w:val="Table Normal"/>
    <w:semiHidden/>
    <w:unhideWhenUsed/>
    <w:qFormat/>
    <w:uiPriority w:val="0"/>
    <w:tblPr>
      <w:tblCellMar>
        <w:top w:w="0" w:type="dxa"/>
        <w:left w:w="0" w:type="dxa"/>
        <w:bottom w:w="0" w:type="dxa"/>
        <w:right w:w="0" w:type="dxa"/>
      </w:tblCellMar>
    </w:tblPr>
  </w:style>
  <w:style w:type="paragraph" w:customStyle="1" w:styleId="43">
    <w:name w:val="前言、引言标题"/>
    <w:next w:val="1"/>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44">
    <w:name w:val="页眉 字符"/>
    <w:basedOn w:val="13"/>
    <w:link w:val="7"/>
    <w:qFormat/>
    <w:uiPriority w:val="0"/>
    <w:rPr>
      <w:kern w:val="2"/>
      <w:sz w:val="18"/>
      <w:szCs w:val="18"/>
    </w:rPr>
  </w:style>
  <w:style w:type="character" w:customStyle="1" w:styleId="45">
    <w:name w:val="日期 字符"/>
    <w:basedOn w:val="13"/>
    <w:link w:val="4"/>
    <w:qFormat/>
    <w:uiPriority w:val="0"/>
    <w:rPr>
      <w:kern w:val="2"/>
      <w:sz w:val="21"/>
      <w:szCs w:val="24"/>
    </w:rPr>
  </w:style>
  <w:style w:type="character" w:customStyle="1" w:styleId="46">
    <w:name w:val="段 Char"/>
    <w:link w:val="20"/>
    <w:autoRedefine/>
    <w:qFormat/>
    <w:uiPriority w:val="0"/>
    <w:rPr>
      <w:rFonts w:ascii="宋体"/>
      <w:sz w:val="21"/>
    </w:rPr>
  </w:style>
  <w:style w:type="paragraph" w:customStyle="1" w:styleId="47">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48">
    <w:name w:val="批注框文本 字符"/>
    <w:basedOn w:val="13"/>
    <w:link w:val="5"/>
    <w:qFormat/>
    <w:uiPriority w:val="0"/>
    <w:rPr>
      <w:kern w:val="2"/>
      <w:sz w:val="18"/>
      <w:szCs w:val="18"/>
    </w:rPr>
  </w:style>
  <w:style w:type="paragraph" w:styleId="49">
    <w:name w:val="List Paragraph"/>
    <w:basedOn w:val="1"/>
    <w:qFormat/>
    <w:uiPriority w:val="99"/>
    <w:pPr>
      <w:ind w:firstLine="420" w:firstLineChars="200"/>
    </w:pPr>
  </w:style>
  <w:style w:type="character" w:customStyle="1" w:styleId="50">
    <w:name w:val="批注文字 字符"/>
    <w:basedOn w:val="13"/>
    <w:link w:val="2"/>
    <w:qFormat/>
    <w:uiPriority w:val="0"/>
    <w:rPr>
      <w:kern w:val="2"/>
      <w:sz w:val="21"/>
      <w:szCs w:val="24"/>
    </w:rPr>
  </w:style>
  <w:style w:type="character" w:customStyle="1" w:styleId="51">
    <w:name w:val="批注主题 字符"/>
    <w:basedOn w:val="50"/>
    <w:link w:val="11"/>
    <w:qFormat/>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7</Pages>
  <Words>1086</Words>
  <Characters>1279</Characters>
  <Lines>28</Lines>
  <Paragraphs>7</Paragraphs>
  <TotalTime>23</TotalTime>
  <ScaleCrop>false</ScaleCrop>
  <LinksUpToDate>false</LinksUpToDate>
  <CharactersWithSpaces>1376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2024-08-14T08:49:00Z</dcterms:created>
  <dc:creator>吃了防腐剂的芒果少女</dc:creator>
  <cp:lastModifiedBy>llhliulihua</cp:lastModifiedBy>
  <cp:lastPrinted>2024-08-21T02:41:00Z</cp:lastPrinted>
  <dcterms:modified xsi:type="dcterms:W3CDTF">2025-06-20T07:10:31Z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E4CB44CED71843B6B106A402BD28808B_13</vt:lpwstr>
  </property>
  <property fmtid="{D5CDD505-2E9C-101B-9397-08002B2CF9AE}" pid="4" name="KSOTemplateDocerSaveRecord">
    <vt:lpwstr>eyJoZGlkIjoiN2JjNjlkY2Y1Y2NkZGE5Y2Q5NGZmMDVlNzZhMDkwMDUiLCJ1c2VySWQiOiI2NzY3MTU3NDcifQ==</vt:lpwstr>
  </property>
</Properties>
</file>