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35CD8" w14:textId="05397F21" w:rsidR="000D29A3" w:rsidRDefault="00BE4533">
      <w:pPr>
        <w:widowControl w:val="0"/>
        <w:adjustRightInd/>
        <w:snapToGrid/>
        <w:ind w:firstLineChars="0" w:firstLine="0"/>
        <w:jc w:val="center"/>
        <w:rPr>
          <w:rFonts w:ascii="宋体" w:eastAsia="黑体" w:hAnsi="Courier New" w:cs="Times New Roman"/>
          <w:b/>
          <w:kern w:val="2"/>
          <w:sz w:val="32"/>
          <w:szCs w:val="32"/>
          <w:lang w:bidi="ar-SA"/>
        </w:rPr>
      </w:pPr>
      <w:bookmarkStart w:id="0" w:name="OLE_LINK7"/>
      <w:bookmarkStart w:id="1" w:name="_Toc34064617"/>
      <w:bookmarkStart w:id="2" w:name="_Toc34064675"/>
      <w:r>
        <w:rPr>
          <w:rFonts w:ascii="宋体" w:eastAsia="黑体" w:hAnsi="Courier New" w:cs="Times New Roman" w:hint="eastAsia"/>
          <w:b/>
          <w:kern w:val="2"/>
          <w:sz w:val="32"/>
          <w:szCs w:val="32"/>
          <w:lang w:bidi="ar-SA"/>
        </w:rPr>
        <w:t>中国肉类协会团体标准《中式煎制牛肉评价技术规程》</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征求意见稿</w:t>
      </w:r>
      <w:r>
        <w:rPr>
          <w:rFonts w:ascii="宋体" w:eastAsia="黑体" w:hAnsi="Courier New" w:cs="Times New Roman" w:hint="eastAsia"/>
          <w:b/>
          <w:kern w:val="2"/>
          <w:sz w:val="32"/>
          <w:szCs w:val="32"/>
          <w:lang w:bidi="ar-SA"/>
        </w:rPr>
        <w:t>)</w:t>
      </w:r>
      <w:r>
        <w:rPr>
          <w:rFonts w:ascii="宋体" w:eastAsia="黑体" w:hAnsi="Courier New" w:cs="Times New Roman" w:hint="eastAsia"/>
          <w:b/>
          <w:kern w:val="2"/>
          <w:sz w:val="32"/>
          <w:szCs w:val="32"/>
          <w:lang w:bidi="ar-SA"/>
        </w:rPr>
        <w:t>编制说明</w:t>
      </w:r>
    </w:p>
    <w:bookmarkEnd w:id="0"/>
    <w:p w14:paraId="102DAFB3"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一、工作简况</w:t>
      </w:r>
      <w:bookmarkStart w:id="3" w:name="OLE_LINK9"/>
    </w:p>
    <w:p w14:paraId="43BA28B7" w14:textId="77777777" w:rsidR="000D29A3" w:rsidRDefault="00BE4533">
      <w:pPr>
        <w:pStyle w:val="2"/>
        <w:keepNext w:val="0"/>
        <w:keepLines w:val="0"/>
        <w:widowControl w:val="0"/>
        <w:adjustRightInd/>
        <w:snapToGrid/>
        <w:ind w:firstLine="562"/>
        <w:rPr>
          <w:rFonts w:ascii="Times New Roman" w:eastAsia="楷体" w:hAnsi="Times New Roman" w:cs="Times New Roman"/>
          <w:kern w:val="2"/>
          <w:sz w:val="28"/>
          <w:lang w:bidi="ar-SA"/>
        </w:rPr>
      </w:pPr>
      <w:bookmarkStart w:id="4" w:name="OLE_LINK13"/>
      <w:bookmarkEnd w:id="3"/>
      <w:r>
        <w:rPr>
          <w:rFonts w:ascii="Times New Roman" w:eastAsia="楷体" w:hAnsi="Times New Roman" w:cs="Times New Roman" w:hint="eastAsia"/>
          <w:kern w:val="2"/>
          <w:sz w:val="28"/>
          <w:lang w:bidi="ar-SA"/>
        </w:rPr>
        <w:t>（一）任务来源</w:t>
      </w:r>
    </w:p>
    <w:bookmarkEnd w:id="4"/>
    <w:p w14:paraId="57B8C148" w14:textId="08BBF1C9" w:rsidR="000D29A3" w:rsidRDefault="00BE4533">
      <w:pPr>
        <w:pStyle w:val="2"/>
        <w:keepNext w:val="0"/>
        <w:keepLines w:val="0"/>
        <w:spacing w:line="500" w:lineRule="exact"/>
        <w:ind w:firstLine="480"/>
        <w:rPr>
          <w:rFonts w:ascii="Times New Roman" w:eastAsiaTheme="minorEastAsia" w:hAnsi="Times New Roman" w:cs="Times New Roman"/>
          <w:b w:val="0"/>
          <w:bCs w:val="0"/>
          <w:snapToGrid w:val="0"/>
          <w:szCs w:val="24"/>
        </w:rPr>
      </w:pPr>
      <w:r>
        <w:rPr>
          <w:rFonts w:ascii="Times New Roman" w:eastAsiaTheme="minorEastAsia" w:hAnsi="Times New Roman" w:cs="Times New Roman" w:hint="eastAsia"/>
          <w:b w:val="0"/>
          <w:bCs w:val="0"/>
          <w:snapToGrid w:val="0"/>
          <w:szCs w:val="24"/>
        </w:rPr>
        <w:t>随着中式烹饪市场对牛肉品质要求的不断提升，煎制作为常见烹饪方式，其原料牛肉的质量分级缺乏统一标准，导致市场上产品质量参差不齐，消费者选购困难，也不利于行业规范化发展。为规范煎制原料牛肉的分级评定，提升产品质量一致性，中国肉类协会提出制定《</w:t>
      </w:r>
      <w:r w:rsidR="00ED2324">
        <w:rPr>
          <w:rFonts w:ascii="Times New Roman" w:eastAsiaTheme="minorEastAsia" w:hAnsi="Times New Roman" w:cs="Times New Roman" w:hint="eastAsia"/>
          <w:b w:val="0"/>
          <w:bCs w:val="0"/>
          <w:snapToGrid w:val="0"/>
          <w:szCs w:val="24"/>
        </w:rPr>
        <w:t>中式</w:t>
      </w:r>
      <w:r>
        <w:rPr>
          <w:rFonts w:ascii="Times New Roman" w:eastAsiaTheme="minorEastAsia" w:hAnsi="Times New Roman" w:cs="Times New Roman" w:hint="eastAsia"/>
          <w:b w:val="0"/>
          <w:bCs w:val="0"/>
          <w:snapToGrid w:val="0"/>
          <w:szCs w:val="24"/>
        </w:rPr>
        <w:t>煎制牛肉评价</w:t>
      </w:r>
      <w:r w:rsidR="00ED2324">
        <w:rPr>
          <w:rFonts w:ascii="Times New Roman" w:eastAsiaTheme="minorEastAsia" w:hAnsi="Times New Roman" w:cs="Times New Roman" w:hint="eastAsia"/>
          <w:b w:val="0"/>
          <w:bCs w:val="0"/>
          <w:snapToGrid w:val="0"/>
          <w:szCs w:val="24"/>
        </w:rPr>
        <w:t>技术规程</w:t>
      </w:r>
      <w:r>
        <w:rPr>
          <w:rFonts w:ascii="Times New Roman" w:eastAsiaTheme="minorEastAsia" w:hAnsi="Times New Roman" w:cs="Times New Roman" w:hint="eastAsia"/>
          <w:b w:val="0"/>
          <w:bCs w:val="0"/>
          <w:snapToGrid w:val="0"/>
          <w:szCs w:val="24"/>
        </w:rPr>
        <w:t>》团体标准，旨在建立科学的分级体系，指导生产企业提升产品品质，为市场消费提供明确的质量参考。</w:t>
      </w:r>
    </w:p>
    <w:p w14:paraId="65DBC7F6" w14:textId="77777777" w:rsidR="000D29A3" w:rsidRDefault="00BE4533">
      <w:pPr>
        <w:pStyle w:val="2"/>
        <w:keepNext w:val="0"/>
        <w:keepLines w:val="0"/>
        <w:spacing w:line="500" w:lineRule="exact"/>
        <w:ind w:firstLine="560"/>
        <w:rPr>
          <w:rFonts w:ascii="Times New Roman" w:hAnsi="Times New Roman"/>
          <w:sz w:val="28"/>
        </w:rPr>
      </w:pPr>
      <w:r>
        <w:rPr>
          <w:rFonts w:ascii="Times New Roman" w:hAnsi="Times New Roman"/>
          <w:sz w:val="28"/>
        </w:rPr>
        <w:t>（二）起草单位</w:t>
      </w:r>
      <w:r>
        <w:rPr>
          <w:rFonts w:ascii="Times New Roman" w:hAnsi="Times New Roman" w:hint="eastAsia"/>
          <w:sz w:val="28"/>
        </w:rPr>
        <w:t>、起草人</w:t>
      </w:r>
    </w:p>
    <w:p w14:paraId="3B931C48"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略。</w:t>
      </w:r>
    </w:p>
    <w:p w14:paraId="15B0CFEC" w14:textId="77777777" w:rsidR="000D29A3" w:rsidRDefault="00BE4533">
      <w:pPr>
        <w:pStyle w:val="2"/>
        <w:keepNext w:val="0"/>
        <w:keepLines w:val="0"/>
        <w:widowControl w:val="0"/>
        <w:adjustRightInd/>
        <w:snapToGrid/>
        <w:ind w:firstLine="562"/>
        <w:rPr>
          <w:rFonts w:ascii="Times New Roman" w:eastAsia="楷体" w:hAnsi="Times New Roman" w:cs="Times New Roman"/>
          <w:kern w:val="2"/>
          <w:sz w:val="28"/>
          <w:lang w:bidi="ar-SA"/>
        </w:rPr>
      </w:pPr>
      <w:bookmarkStart w:id="5" w:name="OLE_LINK18"/>
      <w:r>
        <w:rPr>
          <w:rFonts w:ascii="Times New Roman" w:eastAsia="楷体" w:hAnsi="Times New Roman" w:cs="Times New Roman" w:hint="eastAsia"/>
          <w:kern w:val="2"/>
          <w:sz w:val="28"/>
          <w:lang w:bidi="ar-SA"/>
        </w:rPr>
        <w:t>（三）主要工作过程</w:t>
      </w:r>
    </w:p>
    <w:p w14:paraId="3B255B70" w14:textId="77777777" w:rsidR="000D29A3" w:rsidRDefault="00BE4533">
      <w:pPr>
        <w:ind w:firstLine="482"/>
        <w:rPr>
          <w:rFonts w:hint="eastAsia"/>
          <w:b/>
          <w:bCs/>
          <w:snapToGrid w:val="0"/>
          <w:sz w:val="24"/>
          <w:szCs w:val="24"/>
        </w:rPr>
      </w:pPr>
      <w:bookmarkStart w:id="6" w:name="OLE_LINK28"/>
      <w:bookmarkEnd w:id="5"/>
      <w:r>
        <w:rPr>
          <w:b/>
          <w:bCs/>
          <w:snapToGrid w:val="0"/>
          <w:sz w:val="24"/>
          <w:szCs w:val="24"/>
        </w:rPr>
        <w:t>1.起草阶段</w:t>
      </w:r>
    </w:p>
    <w:bookmarkEnd w:id="6"/>
    <w:p w14:paraId="2331B533"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起草组深入调研国内牛肉加工企业、餐饮行业及相关科研机构，收集煎制原料牛肉的质量评价需求。依据</w:t>
      </w:r>
      <w:r>
        <w:rPr>
          <w:rFonts w:ascii="Times New Roman" w:hAnsi="Times New Roman" w:cs="Times New Roman" w:hint="eastAsia"/>
          <w:snapToGrid w:val="0"/>
          <w:sz w:val="24"/>
          <w:szCs w:val="24"/>
        </w:rPr>
        <w:t xml:space="preserve"> GB/T 1.1</w:t>
      </w:r>
      <w:r>
        <w:rPr>
          <w:rFonts w:ascii="Times New Roman" w:hAnsi="Times New Roman" w:cs="Times New Roman" w:hint="eastAsia"/>
          <w:snapToGrid w:val="0"/>
          <w:sz w:val="24"/>
          <w:szCs w:val="24"/>
        </w:rPr>
        <w:t>—</w:t>
      </w:r>
      <w:r>
        <w:rPr>
          <w:rFonts w:ascii="Times New Roman" w:hAnsi="Times New Roman" w:cs="Times New Roman" w:hint="eastAsia"/>
          <w:snapToGrid w:val="0"/>
          <w:sz w:val="24"/>
          <w:szCs w:val="24"/>
        </w:rPr>
        <w:t>2020</w:t>
      </w:r>
      <w:r>
        <w:rPr>
          <w:rFonts w:ascii="Times New Roman" w:hAnsi="Times New Roman" w:cs="Times New Roman" w:hint="eastAsia"/>
          <w:snapToGrid w:val="0"/>
          <w:sz w:val="24"/>
          <w:szCs w:val="24"/>
        </w:rPr>
        <w:t>《标准化工作导则</w:t>
      </w:r>
      <w:r>
        <w:rPr>
          <w:rFonts w:ascii="Times New Roman" w:hAnsi="Times New Roman" w:cs="Times New Roman" w:hint="eastAsia"/>
          <w:snapToGrid w:val="0"/>
          <w:sz w:val="24"/>
          <w:szCs w:val="24"/>
        </w:rPr>
        <w:t xml:space="preserve"> </w:t>
      </w:r>
      <w:r>
        <w:rPr>
          <w:rFonts w:ascii="Times New Roman" w:hAnsi="Times New Roman" w:cs="Times New Roman" w:hint="eastAsia"/>
          <w:snapToGrid w:val="0"/>
          <w:sz w:val="24"/>
          <w:szCs w:val="24"/>
        </w:rPr>
        <w:t>第</w:t>
      </w:r>
      <w:r>
        <w:rPr>
          <w:rFonts w:ascii="Times New Roman" w:hAnsi="Times New Roman" w:cs="Times New Roman" w:hint="eastAsia"/>
          <w:snapToGrid w:val="0"/>
          <w:sz w:val="24"/>
          <w:szCs w:val="24"/>
        </w:rPr>
        <w:t xml:space="preserve"> 1 </w:t>
      </w:r>
      <w:r>
        <w:rPr>
          <w:rFonts w:ascii="Times New Roman" w:hAnsi="Times New Roman" w:cs="Times New Roman" w:hint="eastAsia"/>
          <w:snapToGrid w:val="0"/>
          <w:sz w:val="24"/>
          <w:szCs w:val="24"/>
        </w:rPr>
        <w:t>部分：标准化文件的结构和起草规则》，结合牛肉生理特性、烹饪工艺需求，梳理分级指标框架。多次召开内部研讨会，讨论生理成熟度、肉色、脂肪颜色、大理石花纹等关键指标的评定方法，形成标准草案初稿。</w:t>
      </w:r>
    </w:p>
    <w:p w14:paraId="45013361" w14:textId="77777777" w:rsidR="000D29A3" w:rsidRDefault="00BE4533">
      <w:pPr>
        <w:ind w:firstLine="480"/>
        <w:rPr>
          <w:rFonts w:hint="eastAsia"/>
          <w:b/>
          <w:bCs/>
          <w:snapToGrid w:val="0"/>
          <w:sz w:val="24"/>
          <w:szCs w:val="24"/>
        </w:rPr>
      </w:pPr>
      <w:r>
        <w:rPr>
          <w:rFonts w:ascii="Times New Roman" w:hAnsi="Times New Roman" w:cs="Times New Roman" w:hint="eastAsia"/>
          <w:snapToGrid w:val="0"/>
          <w:sz w:val="24"/>
          <w:szCs w:val="24"/>
        </w:rPr>
        <w:t>2.</w:t>
      </w:r>
      <w:r>
        <w:rPr>
          <w:rFonts w:hint="eastAsia"/>
          <w:b/>
          <w:bCs/>
          <w:snapToGrid w:val="0"/>
          <w:sz w:val="24"/>
          <w:szCs w:val="24"/>
        </w:rPr>
        <w:t>征求意见阶段</w:t>
      </w:r>
    </w:p>
    <w:p w14:paraId="5A1CDF83"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hint="eastAsia"/>
          <w:snapToGrid w:val="0"/>
          <w:sz w:val="24"/>
          <w:szCs w:val="24"/>
        </w:rPr>
        <w:t>将标准草案初稿发送至肉类加工企业、餐饮企业等单位，广泛征求行业专家、生产技术人员的意见。针对反馈的意见（如大理石花纹评级图谱的适用性、部位肉分级规则等），起草组逐一研讨并修改，完善指标评定细则，形成征求意见稿。</w:t>
      </w:r>
    </w:p>
    <w:p w14:paraId="20B7852D" w14:textId="77777777" w:rsidR="000D29A3" w:rsidRDefault="00BE4533">
      <w:pPr>
        <w:ind w:firstLine="482"/>
        <w:rPr>
          <w:rFonts w:hint="eastAsia"/>
          <w:b/>
          <w:bCs/>
          <w:snapToGrid w:val="0"/>
          <w:sz w:val="24"/>
          <w:szCs w:val="24"/>
        </w:rPr>
      </w:pPr>
      <w:r>
        <w:rPr>
          <w:rFonts w:hint="eastAsia"/>
          <w:b/>
          <w:bCs/>
          <w:snapToGrid w:val="0"/>
          <w:sz w:val="24"/>
          <w:szCs w:val="24"/>
        </w:rPr>
        <w:t>3.审查阶段</w:t>
      </w:r>
      <w:bookmarkStart w:id="7" w:name="OLE_LINK129"/>
    </w:p>
    <w:p w14:paraId="3B7CC7FE"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bookmarkStart w:id="8" w:name="OLE_LINK19"/>
      <w:bookmarkStart w:id="9" w:name="OLE_LINK20"/>
      <w:r>
        <w:rPr>
          <w:rFonts w:ascii="Times New Roman" w:hAnsi="Times New Roman" w:cs="Times New Roman" w:hint="eastAsia"/>
          <w:b w:val="0"/>
          <w:bCs/>
          <w:szCs w:val="44"/>
          <w:lang w:bidi="ar-SA"/>
        </w:rPr>
        <w:t>二、标准编制原则和确定标准主要内容的依据</w:t>
      </w:r>
    </w:p>
    <w:p w14:paraId="3D114167" w14:textId="77777777" w:rsidR="000D29A3" w:rsidRDefault="00BE4533">
      <w:pPr>
        <w:pStyle w:val="2"/>
        <w:keepNext w:val="0"/>
        <w:keepLines w:val="0"/>
        <w:widowControl w:val="0"/>
        <w:adjustRightInd/>
        <w:snapToGrid/>
        <w:ind w:firstLine="562"/>
        <w:rPr>
          <w:rFonts w:ascii="Times New Roman" w:eastAsia="楷体" w:hAnsi="Times New Roman" w:cs="Times New Roman"/>
          <w:kern w:val="2"/>
          <w:sz w:val="28"/>
          <w:lang w:bidi="ar-SA"/>
        </w:rPr>
      </w:pPr>
      <w:bookmarkStart w:id="10" w:name="OLE_LINK21"/>
      <w:bookmarkEnd w:id="7"/>
      <w:bookmarkEnd w:id="8"/>
      <w:bookmarkEnd w:id="9"/>
      <w:r>
        <w:rPr>
          <w:rFonts w:ascii="Times New Roman" w:eastAsia="楷体" w:hAnsi="Times New Roman" w:cs="Times New Roman" w:hint="eastAsia"/>
          <w:kern w:val="2"/>
          <w:sz w:val="28"/>
          <w:lang w:bidi="ar-SA"/>
        </w:rPr>
        <w:t>（一）标准的修订原则</w:t>
      </w:r>
    </w:p>
    <w:bookmarkEnd w:id="10"/>
    <w:p w14:paraId="5A06D5FF"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按照</w:t>
      </w:r>
      <w:r>
        <w:rPr>
          <w:rFonts w:ascii="Times New Roman" w:hAnsi="Times New Roman" w:cs="Times New Roman"/>
          <w:snapToGrid w:val="0"/>
          <w:sz w:val="24"/>
          <w:szCs w:val="24"/>
        </w:rPr>
        <w:t>GB/T 1.1</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1</w:t>
      </w:r>
      <w:r>
        <w:rPr>
          <w:rFonts w:ascii="Times New Roman" w:hAnsi="Times New Roman" w:cs="Times New Roman"/>
          <w:snapToGrid w:val="0"/>
          <w:sz w:val="24"/>
          <w:szCs w:val="24"/>
        </w:rPr>
        <w:t>部分：标准化文件的结构和起草规则》、</w:t>
      </w:r>
      <w:r>
        <w:rPr>
          <w:rFonts w:ascii="Times New Roman" w:hAnsi="Times New Roman" w:cs="Times New Roman"/>
          <w:snapToGrid w:val="0"/>
          <w:sz w:val="24"/>
          <w:szCs w:val="24"/>
        </w:rPr>
        <w:t>GB/T 1.2</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2020</w:t>
      </w:r>
      <w:r>
        <w:rPr>
          <w:rFonts w:ascii="Times New Roman" w:hAnsi="Times New Roman" w:cs="Times New Roman"/>
          <w:snapToGrid w:val="0"/>
          <w:sz w:val="24"/>
          <w:szCs w:val="24"/>
        </w:rPr>
        <w:t>《标准化工作导则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2</w:t>
      </w:r>
      <w:r>
        <w:rPr>
          <w:rFonts w:ascii="Times New Roman" w:hAnsi="Times New Roman" w:cs="Times New Roman"/>
          <w:snapToGrid w:val="0"/>
          <w:sz w:val="24"/>
          <w:szCs w:val="24"/>
        </w:rPr>
        <w:t>部分：以</w:t>
      </w:r>
      <w:r>
        <w:rPr>
          <w:rFonts w:ascii="Times New Roman" w:hAnsi="Times New Roman" w:cs="Times New Roman"/>
          <w:snapToGrid w:val="0"/>
          <w:sz w:val="24"/>
          <w:szCs w:val="24"/>
        </w:rPr>
        <w:t>ISO/IEC</w:t>
      </w:r>
      <w:r>
        <w:rPr>
          <w:rFonts w:ascii="Times New Roman" w:hAnsi="Times New Roman" w:cs="Times New Roman"/>
          <w:snapToGrid w:val="0"/>
          <w:sz w:val="24"/>
          <w:szCs w:val="24"/>
        </w:rPr>
        <w:t>标准化文件为基础的标准化文件起草规则》、</w:t>
      </w:r>
      <w:r>
        <w:rPr>
          <w:rFonts w:ascii="Times New Roman" w:hAnsi="Times New Roman" w:cs="Times New Roman"/>
          <w:snapToGrid w:val="0"/>
          <w:sz w:val="24"/>
          <w:szCs w:val="24"/>
        </w:rPr>
        <w:t>GB/T 20001.4</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2015</w:t>
      </w:r>
      <w:r>
        <w:rPr>
          <w:rFonts w:ascii="Times New Roman" w:hAnsi="Times New Roman" w:cs="Times New Roman"/>
          <w:snapToGrid w:val="0"/>
          <w:sz w:val="24"/>
          <w:szCs w:val="24"/>
        </w:rPr>
        <w:t>《标准编制规则</w:t>
      </w:r>
      <w:r>
        <w:rPr>
          <w:rFonts w:ascii="Times New Roman" w:hAnsi="Times New Roman" w:cs="Times New Roman"/>
          <w:snapToGrid w:val="0"/>
          <w:sz w:val="24"/>
          <w:szCs w:val="24"/>
        </w:rPr>
        <w:t xml:space="preserve"> </w:t>
      </w:r>
      <w:r>
        <w:rPr>
          <w:rFonts w:ascii="Times New Roman" w:hAnsi="Times New Roman" w:cs="Times New Roman"/>
          <w:snapToGrid w:val="0"/>
          <w:sz w:val="24"/>
          <w:szCs w:val="24"/>
        </w:rPr>
        <w:t>第</w:t>
      </w:r>
      <w:r>
        <w:rPr>
          <w:rFonts w:ascii="Times New Roman" w:hAnsi="Times New Roman" w:cs="Times New Roman"/>
          <w:snapToGrid w:val="0"/>
          <w:sz w:val="24"/>
          <w:szCs w:val="24"/>
        </w:rPr>
        <w:t>4</w:t>
      </w:r>
      <w:r>
        <w:rPr>
          <w:rFonts w:ascii="Times New Roman" w:hAnsi="Times New Roman" w:cs="Times New Roman"/>
          <w:snapToGrid w:val="0"/>
          <w:sz w:val="24"/>
          <w:szCs w:val="24"/>
        </w:rPr>
        <w:t>部分：试验方法标准》的规定和要求</w:t>
      </w:r>
      <w:r>
        <w:rPr>
          <w:rFonts w:ascii="Times New Roman" w:hAnsi="Times New Roman" w:cs="Times New Roman" w:hint="eastAsia"/>
          <w:snapToGrid w:val="0"/>
          <w:sz w:val="24"/>
          <w:szCs w:val="24"/>
        </w:rPr>
        <w:t>对标准进行修订编写</w:t>
      </w:r>
      <w:r>
        <w:rPr>
          <w:rFonts w:ascii="Times New Roman" w:hAnsi="Times New Roman" w:cs="Times New Roman"/>
          <w:snapToGrid w:val="0"/>
          <w:sz w:val="24"/>
          <w:szCs w:val="24"/>
        </w:rPr>
        <w:t>。</w:t>
      </w:r>
      <w:r>
        <w:rPr>
          <w:rFonts w:ascii="Times New Roman" w:hAnsi="Times New Roman" w:cs="Times New Roman" w:hint="eastAsia"/>
          <w:snapToGrid w:val="0"/>
          <w:sz w:val="24"/>
          <w:szCs w:val="24"/>
        </w:rPr>
        <w:t>本标准的修订遵循以下原则：</w:t>
      </w:r>
    </w:p>
    <w:p w14:paraId="534C7FB6"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一是科学性原则。参考国内外法规、标准和有关文献资料，结合行业和产品特点，密切联系企业生产实践，科学地确定标准体系框架，并对其进行详细的说明。</w:t>
      </w:r>
    </w:p>
    <w:p w14:paraId="38CC4E6C" w14:textId="77777777" w:rsidR="000D29A3" w:rsidRDefault="00BE4533">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二是适用性原则。与我国现行食品</w:t>
      </w:r>
      <w:r>
        <w:rPr>
          <w:rFonts w:ascii="Times New Roman" w:hAnsi="Times New Roman" w:cs="Times New Roman" w:hint="eastAsia"/>
          <w:snapToGrid w:val="0"/>
          <w:sz w:val="24"/>
          <w:szCs w:val="24"/>
        </w:rPr>
        <w:t>法律法规</w:t>
      </w:r>
      <w:r>
        <w:rPr>
          <w:rFonts w:ascii="Times New Roman" w:hAnsi="Times New Roman" w:cs="Times New Roman"/>
          <w:snapToGrid w:val="0"/>
          <w:sz w:val="24"/>
          <w:szCs w:val="24"/>
        </w:rPr>
        <w:t>协调一致</w:t>
      </w:r>
      <w:r>
        <w:rPr>
          <w:rFonts w:ascii="Times New Roman" w:hAnsi="Times New Roman" w:cs="Times New Roman" w:hint="eastAsia"/>
          <w:snapToGrid w:val="0"/>
          <w:sz w:val="24"/>
          <w:szCs w:val="24"/>
        </w:rPr>
        <w:t>。</w:t>
      </w:r>
      <w:r>
        <w:rPr>
          <w:rFonts w:ascii="Times New Roman" w:hAnsi="Times New Roman" w:cs="Times New Roman"/>
          <w:snapToGrid w:val="0"/>
          <w:sz w:val="24"/>
          <w:szCs w:val="24"/>
        </w:rPr>
        <w:t>标准内容便于实施，易于被其他标准或文件所引用，确保标准的适用性。</w:t>
      </w:r>
    </w:p>
    <w:p w14:paraId="10E94EE4" w14:textId="77777777" w:rsidR="000D29A3" w:rsidRDefault="00BE4533">
      <w:pPr>
        <w:pStyle w:val="2"/>
        <w:keepNext w:val="0"/>
        <w:keepLines w:val="0"/>
        <w:widowControl w:val="0"/>
        <w:adjustRightInd/>
        <w:snapToGrid/>
        <w:ind w:firstLine="562"/>
        <w:rPr>
          <w:rFonts w:ascii="Times New Roman" w:eastAsia="楷体" w:hAnsi="Times New Roman" w:cs="Times New Roman"/>
          <w:kern w:val="2"/>
          <w:sz w:val="28"/>
          <w:lang w:bidi="ar-SA"/>
        </w:rPr>
      </w:pPr>
      <w:r>
        <w:rPr>
          <w:rFonts w:ascii="Times New Roman" w:eastAsia="楷体" w:hAnsi="Times New Roman" w:cs="Times New Roman" w:hint="eastAsia"/>
          <w:kern w:val="2"/>
          <w:sz w:val="28"/>
          <w:lang w:bidi="ar-SA"/>
        </w:rPr>
        <w:t>（二）主要内容的依据</w:t>
      </w:r>
    </w:p>
    <w:p w14:paraId="61844982" w14:textId="77777777" w:rsidR="000D29A3" w:rsidRDefault="00BE4533">
      <w:pPr>
        <w:adjustRightInd/>
        <w:snapToGrid/>
        <w:ind w:firstLine="482"/>
        <w:rPr>
          <w:rFonts w:ascii="Times New Roman" w:eastAsia="宋体" w:hAnsi="Times New Roman" w:cs="Times New Roman"/>
          <w:b/>
          <w:bCs/>
          <w:kern w:val="2"/>
          <w:sz w:val="24"/>
          <w:szCs w:val="24"/>
          <w:lang w:bidi="ar-SA"/>
        </w:rPr>
      </w:pPr>
      <w:bookmarkStart w:id="11" w:name="OLE_LINK22"/>
      <w:r>
        <w:rPr>
          <w:rFonts w:ascii="Times New Roman" w:eastAsia="宋体" w:hAnsi="Times New Roman" w:cs="Times New Roman"/>
          <w:b/>
          <w:bCs/>
          <w:kern w:val="2"/>
          <w:sz w:val="24"/>
          <w:szCs w:val="24"/>
          <w:lang w:bidi="ar-SA"/>
        </w:rPr>
        <w:t xml:space="preserve">1 </w:t>
      </w:r>
      <w:r>
        <w:rPr>
          <w:rFonts w:ascii="Times New Roman" w:eastAsia="宋体" w:hAnsi="Times New Roman" w:cs="Times New Roman"/>
          <w:b/>
          <w:bCs/>
          <w:kern w:val="2"/>
          <w:sz w:val="24"/>
          <w:szCs w:val="24"/>
          <w:lang w:bidi="ar-SA"/>
        </w:rPr>
        <w:t>范围</w:t>
      </w:r>
      <w:bookmarkEnd w:id="1"/>
      <w:bookmarkEnd w:id="2"/>
    </w:p>
    <w:bookmarkEnd w:id="11"/>
    <w:p w14:paraId="2B04E169"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7548432C" w14:textId="77777777" w:rsidR="000D29A3" w:rsidRDefault="00BE4533">
      <w:pPr>
        <w:ind w:firstLine="480"/>
        <w:rPr>
          <w:rFonts w:hint="eastAsia"/>
          <w:snapToGrid w:val="0"/>
          <w:sz w:val="24"/>
          <w:szCs w:val="24"/>
        </w:rPr>
      </w:pPr>
      <w:bookmarkStart w:id="12" w:name="OLE_LINK31"/>
      <w:r>
        <w:rPr>
          <w:rFonts w:hint="eastAsia"/>
          <w:snapToGrid w:val="0"/>
          <w:sz w:val="24"/>
          <w:szCs w:val="24"/>
        </w:rPr>
        <w:t>本文件规定了煎制烹饪方式下牛肉部位肉分级的技术指标评定方法、等级评定、标识与记录。</w:t>
      </w:r>
    </w:p>
    <w:p w14:paraId="7045DA81" w14:textId="77777777" w:rsidR="000D29A3" w:rsidRDefault="00BE4533">
      <w:pPr>
        <w:ind w:firstLine="480"/>
        <w:rPr>
          <w:rFonts w:hint="eastAsia"/>
          <w:snapToGrid w:val="0"/>
          <w:sz w:val="24"/>
          <w:szCs w:val="24"/>
        </w:rPr>
      </w:pPr>
      <w:r>
        <w:rPr>
          <w:rFonts w:hint="eastAsia"/>
          <w:snapToGrid w:val="0"/>
          <w:sz w:val="24"/>
          <w:szCs w:val="24"/>
        </w:rPr>
        <w:t>本文件适用于肉牛胴体分割后煎制烹饪方式下牛肉部位肉分级的评定，不包含用于预调理牛肉、混合牛肉等。</w:t>
      </w:r>
    </w:p>
    <w:p w14:paraId="42DC79E1" w14:textId="77777777" w:rsidR="000D29A3" w:rsidRDefault="00BE4533">
      <w:pPr>
        <w:ind w:firstLine="482"/>
        <w:rPr>
          <w:rFonts w:hint="eastAsia"/>
          <w:b/>
          <w:sz w:val="24"/>
        </w:rPr>
      </w:pPr>
      <w:r>
        <w:rPr>
          <w:rFonts w:hint="eastAsia"/>
          <w:b/>
          <w:sz w:val="24"/>
        </w:rPr>
        <w:t>制定依据：</w:t>
      </w:r>
      <w:bookmarkEnd w:id="12"/>
    </w:p>
    <w:p w14:paraId="1F3C7FB0" w14:textId="77777777" w:rsidR="000D29A3" w:rsidRDefault="00BE4533">
      <w:pPr>
        <w:pStyle w:val="aff3"/>
        <w:ind w:firstLine="480"/>
        <w:rPr>
          <w:snapToGrid w:val="0"/>
          <w:sz w:val="24"/>
          <w:szCs w:val="24"/>
        </w:rPr>
      </w:pPr>
      <w:r>
        <w:rPr>
          <w:rFonts w:hint="eastAsia"/>
          <w:snapToGrid w:val="0"/>
          <w:sz w:val="24"/>
          <w:szCs w:val="24"/>
        </w:rPr>
        <w:t>聚焦煎制场景的专用分级需求，明确排除非直接煎制原料，避免标准适用范围模糊。</w:t>
      </w:r>
    </w:p>
    <w:p w14:paraId="6EFB3955" w14:textId="77777777" w:rsidR="000D29A3" w:rsidRDefault="00BE4533">
      <w:pPr>
        <w:pStyle w:val="a"/>
        <w:numPr>
          <w:ilvl w:val="0"/>
          <w:numId w:val="0"/>
        </w:numPr>
        <w:spacing w:beforeLines="0" w:afterLines="0" w:line="360" w:lineRule="auto"/>
        <w:ind w:firstLineChars="200" w:firstLine="482"/>
        <w:rPr>
          <w:rFonts w:ascii="Times New Roman" w:eastAsia="宋体"/>
          <w:b/>
          <w:bCs/>
          <w:snapToGrid w:val="0"/>
          <w:sz w:val="24"/>
          <w:szCs w:val="24"/>
        </w:rPr>
      </w:pPr>
      <w:bookmarkStart w:id="13" w:name="_Toc34064618"/>
      <w:bookmarkStart w:id="14" w:name="_Toc34064676"/>
      <w:bookmarkStart w:id="15" w:name="OLE_LINK34"/>
      <w:r>
        <w:rPr>
          <w:rFonts w:ascii="Times New Roman" w:eastAsia="宋体"/>
          <w:b/>
          <w:bCs/>
          <w:snapToGrid w:val="0"/>
          <w:sz w:val="24"/>
          <w:szCs w:val="24"/>
        </w:rPr>
        <w:t xml:space="preserve">2 </w:t>
      </w:r>
      <w:r>
        <w:rPr>
          <w:rFonts w:ascii="Times New Roman" w:eastAsia="宋体"/>
          <w:b/>
          <w:bCs/>
          <w:snapToGrid w:val="0"/>
          <w:sz w:val="24"/>
          <w:szCs w:val="24"/>
        </w:rPr>
        <w:t>规范性引用文件</w:t>
      </w:r>
      <w:bookmarkEnd w:id="13"/>
      <w:bookmarkEnd w:id="14"/>
    </w:p>
    <w:bookmarkEnd w:id="15"/>
    <w:p w14:paraId="36D36D23"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680EA9E9" w14:textId="77777777" w:rsidR="000D29A3" w:rsidRDefault="00BE4533">
      <w:pPr>
        <w:pStyle w:val="aff3"/>
        <w:ind w:firstLine="480"/>
        <w:rPr>
          <w:rFonts w:ascii="Times New Roman"/>
          <w:snapToGrid w:val="0"/>
          <w:sz w:val="24"/>
          <w:szCs w:val="24"/>
        </w:rPr>
      </w:pPr>
      <w:bookmarkStart w:id="16" w:name="OLE_LINK38"/>
      <w:bookmarkStart w:id="17" w:name="_Toc34064619"/>
      <w:bookmarkStart w:id="18" w:name="_Toc28158537"/>
      <w:bookmarkStart w:id="19" w:name="_Toc28096568"/>
      <w:bookmarkStart w:id="20" w:name="_Toc28093197"/>
      <w:bookmarkStart w:id="21" w:name="_Toc34064677"/>
      <w:r>
        <w:rPr>
          <w:rFonts w:ascii="Times New Roman" w:hint="eastAsia"/>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5993374" w14:textId="77777777" w:rsidR="000D29A3" w:rsidRDefault="00BE4533">
      <w:pPr>
        <w:pStyle w:val="aff3"/>
        <w:ind w:firstLine="480"/>
        <w:rPr>
          <w:rFonts w:ascii="Times New Roman"/>
          <w:snapToGrid w:val="0"/>
          <w:sz w:val="24"/>
          <w:szCs w:val="24"/>
        </w:rPr>
      </w:pPr>
      <w:r>
        <w:rPr>
          <w:rFonts w:ascii="Times New Roman" w:hint="eastAsia"/>
          <w:snapToGrid w:val="0"/>
          <w:sz w:val="24"/>
          <w:szCs w:val="24"/>
        </w:rPr>
        <w:t xml:space="preserve">GB/T 6388 </w:t>
      </w:r>
      <w:r>
        <w:rPr>
          <w:rFonts w:ascii="Times New Roman" w:hint="eastAsia"/>
          <w:snapToGrid w:val="0"/>
          <w:sz w:val="24"/>
          <w:szCs w:val="24"/>
        </w:rPr>
        <w:t>运输包装收发货标志</w:t>
      </w:r>
    </w:p>
    <w:p w14:paraId="31579A85" w14:textId="77777777" w:rsidR="000D29A3" w:rsidRDefault="00BE4533">
      <w:pPr>
        <w:pStyle w:val="aff3"/>
        <w:ind w:firstLine="480"/>
        <w:rPr>
          <w:rFonts w:ascii="Times New Roman"/>
          <w:snapToGrid w:val="0"/>
          <w:sz w:val="24"/>
          <w:szCs w:val="24"/>
        </w:rPr>
      </w:pPr>
      <w:r>
        <w:rPr>
          <w:rFonts w:ascii="Times New Roman" w:hint="eastAsia"/>
          <w:snapToGrid w:val="0"/>
          <w:sz w:val="24"/>
          <w:szCs w:val="24"/>
        </w:rPr>
        <w:t xml:space="preserve">GB/T 27643 </w:t>
      </w:r>
      <w:r>
        <w:rPr>
          <w:rFonts w:ascii="Times New Roman" w:hint="eastAsia"/>
          <w:snapToGrid w:val="0"/>
          <w:sz w:val="24"/>
          <w:szCs w:val="24"/>
        </w:rPr>
        <w:t>牛胴体及鲜肉分割</w:t>
      </w:r>
    </w:p>
    <w:p w14:paraId="08CFAEB2" w14:textId="77777777" w:rsidR="000D29A3" w:rsidRDefault="00BE4533">
      <w:pPr>
        <w:pStyle w:val="aff3"/>
        <w:ind w:firstLine="480"/>
        <w:rPr>
          <w:rFonts w:ascii="Times New Roman"/>
          <w:snapToGrid w:val="0"/>
          <w:sz w:val="24"/>
          <w:szCs w:val="24"/>
        </w:rPr>
      </w:pPr>
      <w:r>
        <w:rPr>
          <w:rFonts w:ascii="Times New Roman" w:hint="eastAsia"/>
          <w:snapToGrid w:val="0"/>
          <w:sz w:val="24"/>
          <w:szCs w:val="24"/>
        </w:rPr>
        <w:t xml:space="preserve">GB/T 37061 </w:t>
      </w:r>
      <w:r>
        <w:rPr>
          <w:rFonts w:ascii="Times New Roman" w:hint="eastAsia"/>
          <w:snapToGrid w:val="0"/>
          <w:sz w:val="24"/>
          <w:szCs w:val="24"/>
        </w:rPr>
        <w:t>畜禽肉质量分级导则</w:t>
      </w:r>
    </w:p>
    <w:p w14:paraId="226D95FE" w14:textId="77777777" w:rsidR="000D29A3" w:rsidRDefault="00BE4533">
      <w:pPr>
        <w:pStyle w:val="aff3"/>
        <w:ind w:firstLine="480"/>
        <w:rPr>
          <w:rFonts w:ascii="Times New Roman"/>
          <w:snapToGrid w:val="0"/>
          <w:sz w:val="24"/>
          <w:szCs w:val="24"/>
        </w:rPr>
      </w:pPr>
      <w:r>
        <w:rPr>
          <w:rFonts w:ascii="Times New Roman" w:hint="eastAsia"/>
          <w:snapToGrid w:val="0"/>
          <w:sz w:val="24"/>
          <w:szCs w:val="24"/>
        </w:rPr>
        <w:t>NY/T 3383</w:t>
      </w:r>
      <w:r>
        <w:rPr>
          <w:rFonts w:ascii="Times New Roman" w:hint="eastAsia"/>
          <w:snapToGrid w:val="0"/>
          <w:sz w:val="24"/>
          <w:szCs w:val="24"/>
        </w:rPr>
        <w:t>畜禽产品包装与标识</w:t>
      </w:r>
    </w:p>
    <w:p w14:paraId="611FF502" w14:textId="77777777" w:rsidR="000D29A3" w:rsidRDefault="00BE4533">
      <w:pPr>
        <w:pStyle w:val="aff3"/>
        <w:ind w:firstLine="482"/>
        <w:rPr>
          <w:b/>
          <w:bCs/>
          <w:snapToGrid w:val="0"/>
        </w:rPr>
      </w:pPr>
      <w:r>
        <w:rPr>
          <w:rFonts w:asciiTheme="minorEastAsia" w:eastAsiaTheme="minorEastAsia" w:hAnsiTheme="minorEastAsia" w:cs="宋体" w:hint="eastAsia"/>
          <w:b/>
          <w:sz w:val="24"/>
          <w:lang w:bidi="zh-TW"/>
        </w:rPr>
        <w:t>制定依据：</w:t>
      </w:r>
      <w:bookmarkEnd w:id="16"/>
    </w:p>
    <w:p w14:paraId="22072F5C" w14:textId="77777777" w:rsidR="000D29A3" w:rsidRDefault="00BE4533">
      <w:pPr>
        <w:ind w:firstLine="480"/>
        <w:jc w:val="left"/>
        <w:rPr>
          <w:rFonts w:hint="eastAsia"/>
        </w:rPr>
      </w:pPr>
      <w:r>
        <w:rPr>
          <w:rFonts w:hint="eastAsia"/>
          <w:snapToGrid w:val="0"/>
          <w:sz w:val="24"/>
          <w:szCs w:val="24"/>
        </w:rPr>
        <w:lastRenderedPageBreak/>
        <w:t>本部分列出了标准正文中引用的相关标准和文件。主要包括国家、行业的通用标准和一些基础性标准。</w:t>
      </w:r>
      <w:r>
        <w:rPr>
          <w:rFonts w:ascii="宋体" w:eastAsia="宋体" w:hAnsi="宋体" w:hint="eastAsia"/>
          <w:color w:val="000000"/>
          <w:sz w:val="24"/>
          <w:szCs w:val="24"/>
          <w:lang w:bidi="ar"/>
        </w:rPr>
        <w:t>这些引用文件对于本文件是不可或缺的，在相关内容中都有引用。</w:t>
      </w:r>
    </w:p>
    <w:p w14:paraId="08B0A9E7" w14:textId="77777777" w:rsidR="000D29A3" w:rsidRDefault="00BE4533">
      <w:pPr>
        <w:ind w:firstLine="482"/>
        <w:jc w:val="left"/>
        <w:rPr>
          <w:rFonts w:ascii="Times New Roman" w:eastAsia="宋体" w:hAnsi="Times New Roman" w:cs="Times New Roman"/>
          <w:b/>
          <w:bCs/>
          <w:snapToGrid w:val="0"/>
          <w:sz w:val="24"/>
          <w:szCs w:val="24"/>
          <w:lang w:bidi="ar-SA"/>
        </w:rPr>
      </w:pPr>
      <w:r>
        <w:rPr>
          <w:rFonts w:ascii="Times New Roman" w:eastAsia="宋体" w:hint="eastAsia"/>
          <w:b/>
          <w:bCs/>
          <w:snapToGrid w:val="0"/>
          <w:sz w:val="24"/>
          <w:szCs w:val="24"/>
        </w:rPr>
        <w:t xml:space="preserve">3 </w:t>
      </w:r>
      <w:r>
        <w:rPr>
          <w:rFonts w:ascii="Times New Roman" w:eastAsia="宋体" w:hAnsi="Times New Roman" w:cs="Times New Roman" w:hint="eastAsia"/>
          <w:b/>
          <w:bCs/>
          <w:snapToGrid w:val="0"/>
          <w:sz w:val="24"/>
          <w:szCs w:val="24"/>
          <w:lang w:bidi="ar-SA"/>
        </w:rPr>
        <w:t>术语和定义</w:t>
      </w:r>
    </w:p>
    <w:p w14:paraId="7C72AF59"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56BDDE85" w14:textId="77777777" w:rsidR="000D29A3" w:rsidRDefault="00BE4533">
      <w:pPr>
        <w:pStyle w:val="af2"/>
        <w:spacing w:beforeAutospacing="0" w:afterAutospacing="0"/>
        <w:ind w:firstLine="480"/>
        <w:rPr>
          <w:snapToGrid w:val="0"/>
          <w:szCs w:val="24"/>
        </w:rPr>
      </w:pPr>
      <w:bookmarkStart w:id="22" w:name="OLE_LINK97"/>
      <w:bookmarkEnd w:id="17"/>
      <w:bookmarkEnd w:id="18"/>
      <w:bookmarkEnd w:id="19"/>
      <w:bookmarkEnd w:id="20"/>
      <w:bookmarkEnd w:id="21"/>
      <w:r>
        <w:rPr>
          <w:snapToGrid w:val="0"/>
          <w:szCs w:val="24"/>
        </w:rPr>
        <w:t>GB/T 27643、GB/T 37061界定的以及下列术语和定义适用于本文件。</w:t>
      </w:r>
    </w:p>
    <w:p w14:paraId="4D0E7174" w14:textId="77777777" w:rsidR="000D29A3" w:rsidRDefault="00BE4533">
      <w:pPr>
        <w:pStyle w:val="af2"/>
        <w:spacing w:beforeAutospacing="0" w:afterAutospacing="0"/>
        <w:ind w:firstLine="480"/>
        <w:rPr>
          <w:snapToGrid w:val="0"/>
          <w:szCs w:val="24"/>
        </w:rPr>
      </w:pPr>
      <w:r>
        <w:rPr>
          <w:snapToGrid w:val="0"/>
          <w:szCs w:val="24"/>
        </w:rPr>
        <w:t>3.1 脂肪型牛肉 marbled beef</w:t>
      </w:r>
    </w:p>
    <w:p w14:paraId="3E234083" w14:textId="77777777" w:rsidR="000D29A3" w:rsidRDefault="00BE4533">
      <w:pPr>
        <w:pStyle w:val="af2"/>
        <w:spacing w:beforeAutospacing="0" w:afterAutospacing="0"/>
        <w:ind w:firstLine="480"/>
        <w:rPr>
          <w:snapToGrid w:val="0"/>
          <w:szCs w:val="24"/>
        </w:rPr>
      </w:pPr>
      <w:r>
        <w:rPr>
          <w:snapToGrid w:val="0"/>
          <w:szCs w:val="24"/>
        </w:rPr>
        <w:t>脂肪含量高、背最长肌横断面有肉眼可见肌内脂肪分布的牛胴体和分割肉。</w:t>
      </w:r>
    </w:p>
    <w:p w14:paraId="696EC578" w14:textId="77777777" w:rsidR="000D29A3" w:rsidRDefault="00BE4533">
      <w:pPr>
        <w:pStyle w:val="af2"/>
        <w:spacing w:beforeAutospacing="0" w:afterAutospacing="0"/>
        <w:ind w:firstLine="480"/>
        <w:rPr>
          <w:snapToGrid w:val="0"/>
          <w:szCs w:val="24"/>
        </w:rPr>
      </w:pPr>
      <w:r>
        <w:rPr>
          <w:snapToGrid w:val="0"/>
          <w:szCs w:val="24"/>
        </w:rPr>
        <w:t>3.2瘦肉型牛肉 lean beef</w:t>
      </w:r>
    </w:p>
    <w:p w14:paraId="599A6B4D" w14:textId="77777777" w:rsidR="000D29A3" w:rsidRDefault="00BE4533">
      <w:pPr>
        <w:pStyle w:val="af2"/>
        <w:spacing w:beforeAutospacing="0" w:afterAutospacing="0"/>
        <w:ind w:firstLine="480"/>
        <w:rPr>
          <w:snapToGrid w:val="0"/>
          <w:szCs w:val="24"/>
        </w:rPr>
      </w:pPr>
      <w:r>
        <w:rPr>
          <w:snapToGrid w:val="0"/>
          <w:szCs w:val="24"/>
        </w:rPr>
        <w:t>瘦肉含量高、背最长肌横断面无肉眼可见肌内脂肪分布的牛胴体和分割肉。</w:t>
      </w:r>
    </w:p>
    <w:p w14:paraId="14135998" w14:textId="77777777" w:rsidR="000D29A3" w:rsidRDefault="00BE4533">
      <w:pPr>
        <w:pStyle w:val="af2"/>
        <w:spacing w:beforeAutospacing="0" w:afterAutospacing="0"/>
        <w:ind w:firstLine="480"/>
        <w:rPr>
          <w:snapToGrid w:val="0"/>
          <w:szCs w:val="24"/>
        </w:rPr>
      </w:pPr>
      <w:r>
        <w:rPr>
          <w:snapToGrid w:val="0"/>
          <w:szCs w:val="24"/>
        </w:rPr>
        <w:t>3.3胴体 carcass</w:t>
      </w:r>
    </w:p>
    <w:p w14:paraId="4560CFEB" w14:textId="77777777" w:rsidR="000D29A3" w:rsidRDefault="00BE4533">
      <w:pPr>
        <w:pStyle w:val="af2"/>
        <w:spacing w:beforeAutospacing="0" w:afterAutospacing="0"/>
        <w:ind w:firstLine="480"/>
        <w:rPr>
          <w:snapToGrid w:val="0"/>
          <w:szCs w:val="24"/>
        </w:rPr>
      </w:pPr>
      <w:r>
        <w:rPr>
          <w:snapToGrid w:val="0"/>
          <w:szCs w:val="24"/>
        </w:rPr>
        <w:t>牛经宰杀放血后，除去头、蹄、皮、尾、内脏、肾周脂肪及生殖器（母牛还应去除乳房）后的躯体部分。</w:t>
      </w:r>
    </w:p>
    <w:p w14:paraId="2E1550F3" w14:textId="77777777" w:rsidR="000D29A3" w:rsidRDefault="00BE4533">
      <w:pPr>
        <w:pStyle w:val="af2"/>
        <w:spacing w:beforeAutospacing="0" w:afterAutospacing="0"/>
        <w:ind w:firstLine="480"/>
        <w:rPr>
          <w:snapToGrid w:val="0"/>
          <w:szCs w:val="24"/>
        </w:rPr>
      </w:pPr>
      <w:r>
        <w:rPr>
          <w:snapToGrid w:val="0"/>
          <w:szCs w:val="24"/>
        </w:rPr>
        <w:t>3.4分割肉 cuts</w:t>
      </w:r>
    </w:p>
    <w:p w14:paraId="02CF474F" w14:textId="77777777" w:rsidR="000D29A3" w:rsidRDefault="00BE4533">
      <w:pPr>
        <w:pStyle w:val="af2"/>
        <w:spacing w:beforeAutospacing="0" w:afterAutospacing="0"/>
        <w:ind w:firstLine="480"/>
        <w:rPr>
          <w:snapToGrid w:val="0"/>
          <w:szCs w:val="24"/>
        </w:rPr>
      </w:pPr>
      <w:r>
        <w:rPr>
          <w:snapToGrid w:val="0"/>
          <w:szCs w:val="24"/>
        </w:rPr>
        <w:t>从牛胴体上剥离或切割下来的部位肉，如外脊、眼肉、上脑等。</w:t>
      </w:r>
    </w:p>
    <w:p w14:paraId="64EF4AAF" w14:textId="77777777" w:rsidR="000D29A3" w:rsidRDefault="00BE4533">
      <w:pPr>
        <w:pStyle w:val="af2"/>
        <w:spacing w:beforeAutospacing="0" w:afterAutospacing="0"/>
        <w:ind w:firstLine="480"/>
        <w:rPr>
          <w:snapToGrid w:val="0"/>
          <w:szCs w:val="24"/>
        </w:rPr>
      </w:pPr>
      <w:r>
        <w:rPr>
          <w:snapToGrid w:val="0"/>
          <w:szCs w:val="24"/>
        </w:rPr>
        <w:t>3.5生理成熟度 maturity</w:t>
      </w:r>
    </w:p>
    <w:p w14:paraId="4B110321" w14:textId="77777777" w:rsidR="000D29A3" w:rsidRDefault="00BE4533">
      <w:pPr>
        <w:pStyle w:val="af2"/>
        <w:spacing w:beforeAutospacing="0" w:afterAutospacing="0"/>
        <w:ind w:firstLine="480"/>
        <w:rPr>
          <w:snapToGrid w:val="0"/>
          <w:szCs w:val="24"/>
        </w:rPr>
      </w:pPr>
      <w:r>
        <w:rPr>
          <w:snapToGrid w:val="0"/>
          <w:szCs w:val="24"/>
        </w:rPr>
        <w:t>根据胴体脊椎棘突末端软骨的骨质化程度或门齿变化判定的牛的年龄指标。</w:t>
      </w:r>
    </w:p>
    <w:p w14:paraId="66B1D484" w14:textId="77777777" w:rsidR="000D29A3" w:rsidRDefault="00BE4533">
      <w:pPr>
        <w:pStyle w:val="af2"/>
        <w:spacing w:beforeAutospacing="0" w:afterAutospacing="0"/>
        <w:ind w:firstLine="480"/>
        <w:rPr>
          <w:snapToGrid w:val="0"/>
          <w:szCs w:val="24"/>
        </w:rPr>
      </w:pPr>
      <w:r>
        <w:rPr>
          <w:snapToGrid w:val="0"/>
          <w:szCs w:val="24"/>
        </w:rPr>
        <w:t>3.6大理石花纹 marbling</w:t>
      </w:r>
    </w:p>
    <w:p w14:paraId="4F32A963" w14:textId="77777777" w:rsidR="000D29A3" w:rsidRDefault="00BE4533">
      <w:pPr>
        <w:pStyle w:val="af2"/>
        <w:spacing w:beforeAutospacing="0" w:afterAutospacing="0"/>
        <w:ind w:firstLine="480"/>
        <w:rPr>
          <w:snapToGrid w:val="0"/>
          <w:szCs w:val="24"/>
        </w:rPr>
      </w:pPr>
      <w:r>
        <w:rPr>
          <w:snapToGrid w:val="0"/>
          <w:szCs w:val="24"/>
        </w:rPr>
        <w:t>牛肌肉中脂肪的分布，呈大理石样的纹理。</w:t>
      </w:r>
    </w:p>
    <w:p w14:paraId="65992835" w14:textId="77777777" w:rsidR="000D29A3" w:rsidRDefault="00BE4533">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3FA87303" w14:textId="77777777" w:rsidR="000D29A3" w:rsidRDefault="00BE4533">
      <w:pPr>
        <w:ind w:firstLine="480"/>
        <w:jc w:val="left"/>
        <w:rPr>
          <w:rFonts w:hint="eastAsia"/>
          <w:snapToGrid w:val="0"/>
          <w:sz w:val="24"/>
          <w:szCs w:val="24"/>
        </w:rPr>
      </w:pPr>
      <w:r>
        <w:rPr>
          <w:rFonts w:hint="eastAsia"/>
          <w:snapToGrid w:val="0"/>
          <w:sz w:val="24"/>
          <w:szCs w:val="24"/>
        </w:rPr>
        <w:t>对本标准中涉及的关键术语进行了明确的定义，避免了因术语理解不一致而产生的误解和歧义，确保标准使用者对标准内容的准确理解和执行。</w:t>
      </w:r>
    </w:p>
    <w:p w14:paraId="3C511A4C"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0E6AB825"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4技术指标评定方法</w:t>
      </w:r>
    </w:p>
    <w:p w14:paraId="2F271173"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4.1评定要求</w:t>
      </w:r>
    </w:p>
    <w:p w14:paraId="08D5307D"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检验检疫合格的胴体经分割暴露于空气中30min后，在光照强度不低于660 lx照明的条件下进行评定。</w:t>
      </w:r>
    </w:p>
    <w:p w14:paraId="75B1D85D"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4.2生理成熟度</w:t>
      </w:r>
    </w:p>
    <w:p w14:paraId="42C66763"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生理成熟度从低到高分为A、B、C、D和E级。观察脊椎棘突末端软骨的骨质化程度，按照附录A.1判定生理成熟度，其中脊椎棘突末端软骨的骨质化程度</w:t>
      </w:r>
      <w:r>
        <w:rPr>
          <w:rFonts w:asciiTheme="minorEastAsia" w:hAnsiTheme="minorEastAsia"/>
          <w:snapToGrid w:val="0"/>
          <w:szCs w:val="24"/>
        </w:rPr>
        <w:lastRenderedPageBreak/>
        <w:t>参照附录B.1的方法判定。牛胴体不进行劈半操作时，按照附录A.2判定生理成熟度，其中门齿变化参照附录B.2的方法判定。</w:t>
      </w:r>
    </w:p>
    <w:p w14:paraId="507927B1"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4.3肉色</w:t>
      </w:r>
    </w:p>
    <w:p w14:paraId="52F48C43"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肉色从浅到深分为1级、2级、3级、4级、5级、6级、7级和8级，其中4级、5级的肉色最好。观察肌肉的颜色，按照附录C.1判定等级。</w:t>
      </w:r>
    </w:p>
    <w:p w14:paraId="0AB5D3D0"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4.4脂肪颜色</w:t>
      </w:r>
    </w:p>
    <w:p w14:paraId="7C8B947F"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脂肪颜色从浅到深分为1级、2级、3级、4级、5级、6级、7级和8级，其中1级、2级的脂肪颜色最好。观察肌内脂肪和皮下脂肪的颜色，按照附录C.2判定等级。</w:t>
      </w:r>
    </w:p>
    <w:p w14:paraId="11CCC659"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4.5大理石花纹</w:t>
      </w:r>
    </w:p>
    <w:p w14:paraId="77E201B2"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从低到高分为1级、2级、3级、4级和5级。选取第6肋至第7肋间，或第12肋至第13肋间背最长肌横切面，观察其横断面大理石花纹丰富度，按照附录D.1判定等级。中式烹饪产品屠宰与分割同步进行时，选取分割肉板腱表面，观察其表面大理石花纹丰富度，按照附录D.2判定等级。</w:t>
      </w:r>
    </w:p>
    <w:p w14:paraId="346800CD"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附录D大理石花纹等级图给出的是每级中纹理的最低标准。</w:t>
      </w:r>
    </w:p>
    <w:p w14:paraId="14F38B1F" w14:textId="77777777" w:rsidR="000D29A3" w:rsidRDefault="00BE4533">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5E2CE526"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参考肉类分级国际惯例，结合国内企业车间照明标准，660 lx 能有效避免光线不足导致的肉色、脂肪颜色误判。暴露 30min 确保肉表氧化稳定，数据采集更准确。</w:t>
      </w:r>
    </w:p>
    <w:p w14:paraId="7B5FC82E"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生理成熟度分为 A-E 级，依据脊椎棘突软骨骨质化程度或门齿变化判定。</w:t>
      </w:r>
    </w:p>
    <w:p w14:paraId="248F83B3" w14:textId="77777777" w:rsidR="000D29A3" w:rsidRDefault="00BE4533">
      <w:pPr>
        <w:pStyle w:val="af2"/>
        <w:spacing w:beforeAutospacing="0" w:afterAutospacing="0"/>
        <w:ind w:firstLineChars="0" w:firstLine="0"/>
        <w:rPr>
          <w:rFonts w:asciiTheme="minorEastAsia" w:hAnsiTheme="minorEastAsia"/>
          <w:snapToGrid w:val="0"/>
          <w:szCs w:val="24"/>
        </w:rPr>
      </w:pPr>
      <w:r>
        <w:rPr>
          <w:rFonts w:asciiTheme="minorEastAsia" w:hAnsiTheme="minorEastAsia"/>
          <w:snapToGrid w:val="0"/>
          <w:szCs w:val="24"/>
        </w:rPr>
        <w:t>脊椎骨骨质化与门齿磨损程度是国际通用的牛年龄判定指标，如 24 月龄以下牛只腰椎 “未骨质化”，72 月龄以上荐椎 “完全愈合”，与肉质嫩度测试数据（剪切力值）高度相关。肉色 4-5 级，脂肪颜色 1-2 级，符合消费者视觉偏好。</w:t>
      </w:r>
    </w:p>
    <w:p w14:paraId="30BC2E97"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大理石花纹1-5 级，选取第 6-7 肋或 12-13 肋间背最长肌横切面评定。背最长肌是煎制常用部位（如上脑、外脊），其大理石花纹密度与煎制后口感嫩度正相关。</w:t>
      </w:r>
    </w:p>
    <w:p w14:paraId="3E54120D"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3A45433B" w14:textId="77777777" w:rsidR="000D29A3" w:rsidRDefault="00BE4533">
      <w:pPr>
        <w:pStyle w:val="af2"/>
        <w:spacing w:beforeAutospacing="0" w:afterAutospacing="0"/>
        <w:ind w:firstLine="480"/>
        <w:rPr>
          <w:snapToGrid w:val="0"/>
          <w:szCs w:val="24"/>
        </w:rPr>
      </w:pPr>
      <w:r>
        <w:rPr>
          <w:snapToGrid w:val="0"/>
          <w:szCs w:val="24"/>
        </w:rPr>
        <w:t>5质量等级评定规则</w:t>
      </w:r>
    </w:p>
    <w:p w14:paraId="0E31055B" w14:textId="77777777" w:rsidR="000D29A3" w:rsidRDefault="00BE4533">
      <w:pPr>
        <w:pStyle w:val="af2"/>
        <w:spacing w:beforeAutospacing="0" w:afterAutospacing="0"/>
        <w:ind w:firstLine="480"/>
        <w:rPr>
          <w:snapToGrid w:val="0"/>
          <w:szCs w:val="24"/>
        </w:rPr>
      </w:pPr>
      <w:r>
        <w:rPr>
          <w:snapToGrid w:val="0"/>
          <w:szCs w:val="24"/>
        </w:rPr>
        <w:t>5.1 脂肪型肉牛胴体的质量等级评定</w:t>
      </w:r>
    </w:p>
    <w:p w14:paraId="09A71C26" w14:textId="77777777" w:rsidR="000D29A3" w:rsidRDefault="00BE4533">
      <w:pPr>
        <w:pStyle w:val="af2"/>
        <w:spacing w:beforeAutospacing="0" w:afterAutospacing="0"/>
        <w:ind w:firstLine="480"/>
        <w:rPr>
          <w:snapToGrid w:val="0"/>
          <w:szCs w:val="24"/>
        </w:rPr>
      </w:pPr>
      <w:r>
        <w:rPr>
          <w:snapToGrid w:val="0"/>
          <w:szCs w:val="24"/>
        </w:rPr>
        <w:lastRenderedPageBreak/>
        <w:t>根据第6肋至第7肋间，或第12肋至第13肋间背最长肌横切面大理石花纹等级、肉色、脂肪颜色、生理成熟度的判定，将脂肪型牛胴体质量分为F1级、F2级、F3级和F4级。</w:t>
      </w:r>
    </w:p>
    <w:p w14:paraId="6AEF9819" w14:textId="77777777" w:rsidR="000D29A3" w:rsidRDefault="00BE4533">
      <w:pPr>
        <w:pStyle w:val="af2"/>
        <w:spacing w:beforeAutospacing="0" w:afterAutospacing="0"/>
        <w:ind w:firstLine="480"/>
        <w:rPr>
          <w:snapToGrid w:val="0"/>
          <w:szCs w:val="24"/>
        </w:rPr>
      </w:pPr>
      <w:r>
        <w:rPr>
          <w:snapToGrid w:val="0"/>
          <w:szCs w:val="24"/>
        </w:rPr>
        <w:t>牛胴体质量等级按照附录E.1评定，同时结合肉色、脂肪颜色和生理成熟度对等级进行适当的调整。当肉色等级为3级~7级，脂肪颜色等级为1级~4级，生理成熟度等级为A级~B级时，胴体质量等级不进行调整；当肉色等级为1级、2级或8级，或脂肪颜色等级为5级~8级，生理成熟度等级为C级~E级时，胴体质量等级降低一个等级。分级后的等级适合于二分体、四分体等大块分割肉。</w:t>
      </w:r>
    </w:p>
    <w:p w14:paraId="04AADD10" w14:textId="77777777" w:rsidR="000D29A3" w:rsidRDefault="00BE4533">
      <w:pPr>
        <w:pStyle w:val="af2"/>
        <w:spacing w:beforeAutospacing="0" w:afterAutospacing="0"/>
        <w:ind w:firstLine="480"/>
        <w:rPr>
          <w:snapToGrid w:val="0"/>
          <w:szCs w:val="24"/>
        </w:rPr>
      </w:pPr>
      <w:r>
        <w:rPr>
          <w:snapToGrid w:val="0"/>
          <w:szCs w:val="24"/>
        </w:rPr>
        <w:t>5.2 瘦肉型肉牛胴体的质量等级评定</w:t>
      </w:r>
    </w:p>
    <w:p w14:paraId="29EF6A88" w14:textId="77777777" w:rsidR="000D29A3" w:rsidRDefault="00BE4533">
      <w:pPr>
        <w:pStyle w:val="af2"/>
        <w:spacing w:beforeAutospacing="0" w:afterAutospacing="0"/>
        <w:ind w:firstLine="480"/>
        <w:rPr>
          <w:snapToGrid w:val="0"/>
          <w:szCs w:val="24"/>
        </w:rPr>
      </w:pPr>
      <w:r>
        <w:rPr>
          <w:snapToGrid w:val="0"/>
          <w:szCs w:val="24"/>
        </w:rPr>
        <w:t>根据肉牛性别、生理成熟度、背最长肌横切面（第6肋至第7肋间，或第12肋至第13肋间，或背最长肌其他断面）肉色和脂肪颜色的判定，将瘦肉型牛胴体质量分为S1级、S2级、S3级和S4级。</w:t>
      </w:r>
    </w:p>
    <w:p w14:paraId="60D6B454" w14:textId="77777777" w:rsidR="000D29A3" w:rsidRDefault="00BE4533">
      <w:pPr>
        <w:pStyle w:val="af2"/>
        <w:spacing w:beforeAutospacing="0" w:afterAutospacing="0"/>
        <w:ind w:firstLine="480"/>
        <w:rPr>
          <w:snapToGrid w:val="0"/>
          <w:szCs w:val="24"/>
        </w:rPr>
      </w:pPr>
      <w:r>
        <w:rPr>
          <w:snapToGrid w:val="0"/>
          <w:szCs w:val="24"/>
        </w:rPr>
        <w:t>牛胴体质量等级按照附录E.2评定。</w:t>
      </w:r>
    </w:p>
    <w:p w14:paraId="27D0DAF3" w14:textId="77777777" w:rsidR="000D29A3" w:rsidRDefault="00BE4533">
      <w:pPr>
        <w:pStyle w:val="af2"/>
        <w:spacing w:beforeAutospacing="0" w:afterAutospacing="0"/>
        <w:ind w:firstLine="480"/>
        <w:rPr>
          <w:snapToGrid w:val="0"/>
          <w:szCs w:val="24"/>
        </w:rPr>
      </w:pPr>
      <w:r>
        <w:rPr>
          <w:snapToGrid w:val="0"/>
          <w:szCs w:val="24"/>
        </w:rPr>
        <w:t>5.3部位肉质量等级评定</w:t>
      </w:r>
    </w:p>
    <w:p w14:paraId="126C6D5A" w14:textId="77777777" w:rsidR="000D29A3" w:rsidRDefault="00BE4533">
      <w:pPr>
        <w:pStyle w:val="af2"/>
        <w:spacing w:beforeAutospacing="0" w:afterAutospacing="0"/>
        <w:ind w:firstLine="480"/>
        <w:rPr>
          <w:snapToGrid w:val="0"/>
          <w:szCs w:val="24"/>
        </w:rPr>
      </w:pPr>
      <w:r>
        <w:rPr>
          <w:snapToGrid w:val="0"/>
          <w:szCs w:val="24"/>
        </w:rPr>
        <w:t>脂肪型肉牛胴体所生产的外脊、眼肉、上脑、里脊、板腱、肩肉、牛小排的质量等级评定与胴体质量等级规格相同，按照附录E.1评定，各分割肉从高到底依次分为F1级、F2级、F3级和F4级。</w:t>
      </w:r>
    </w:p>
    <w:p w14:paraId="64ABDDB3" w14:textId="77777777" w:rsidR="000D29A3" w:rsidRDefault="00BE4533">
      <w:pPr>
        <w:pStyle w:val="af2"/>
        <w:spacing w:beforeAutospacing="0" w:afterAutospacing="0"/>
        <w:ind w:firstLine="480"/>
        <w:rPr>
          <w:snapToGrid w:val="0"/>
          <w:szCs w:val="24"/>
        </w:rPr>
      </w:pPr>
      <w:r>
        <w:rPr>
          <w:snapToGrid w:val="0"/>
          <w:szCs w:val="24"/>
        </w:rPr>
        <w:t>其他分割肉的质量等级参照附录E.2瘦肉型牛分割肉质量等级评定。从高到低依次分为S1级、S2级、S3级和S4级。</w:t>
      </w:r>
    </w:p>
    <w:p w14:paraId="30650B39" w14:textId="77777777" w:rsidR="000D29A3" w:rsidRDefault="00BE4533">
      <w:pPr>
        <w:pStyle w:val="af2"/>
        <w:spacing w:beforeAutospacing="0" w:afterAutospacing="0"/>
        <w:ind w:firstLine="480"/>
        <w:rPr>
          <w:snapToGrid w:val="0"/>
          <w:szCs w:val="24"/>
        </w:rPr>
      </w:pPr>
      <w:r>
        <w:rPr>
          <w:snapToGrid w:val="0"/>
          <w:szCs w:val="24"/>
        </w:rPr>
        <w:t>瘦肉型肉牛胴体所生产的分割肉，等级规格与胴体质量等级规格相同，按照附录E.2评定，各分割肉从高到低依次分为S1级、S2级、S3级和S4级。</w:t>
      </w:r>
    </w:p>
    <w:p w14:paraId="2F6C5277" w14:textId="77777777" w:rsidR="000D29A3" w:rsidRDefault="00BE4533">
      <w:pPr>
        <w:pStyle w:val="af2"/>
        <w:spacing w:beforeAutospacing="0" w:afterAutospacing="0"/>
        <w:ind w:firstLine="480"/>
        <w:rPr>
          <w:snapToGrid w:val="0"/>
          <w:szCs w:val="24"/>
        </w:rPr>
      </w:pPr>
      <w:r>
        <w:rPr>
          <w:snapToGrid w:val="0"/>
          <w:szCs w:val="24"/>
        </w:rPr>
        <w:t>5.4 煎制烹饪方式下部位肉质量等级评定</w:t>
      </w:r>
    </w:p>
    <w:p w14:paraId="69A46104" w14:textId="77777777" w:rsidR="000D29A3" w:rsidRDefault="00BE4533">
      <w:pPr>
        <w:pStyle w:val="af2"/>
        <w:spacing w:beforeAutospacing="0" w:afterAutospacing="0"/>
        <w:ind w:firstLine="480"/>
        <w:rPr>
          <w:snapToGrid w:val="0"/>
          <w:szCs w:val="24"/>
        </w:rPr>
      </w:pPr>
      <w:r>
        <w:rPr>
          <w:snapToGrid w:val="0"/>
          <w:szCs w:val="24"/>
        </w:rPr>
        <w:t>表1 煎制烹饪方式下部位肉质量等级评定</w:t>
      </w:r>
    </w:p>
    <w:tbl>
      <w:tblPr>
        <w:tblW w:w="4956"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423"/>
        <w:gridCol w:w="729"/>
        <w:gridCol w:w="729"/>
        <w:gridCol w:w="729"/>
        <w:gridCol w:w="733"/>
        <w:gridCol w:w="728"/>
        <w:gridCol w:w="728"/>
        <w:gridCol w:w="728"/>
        <w:gridCol w:w="676"/>
      </w:tblGrid>
      <w:tr w:rsidR="000D29A3" w14:paraId="17E356F3" w14:textId="77777777">
        <w:tc>
          <w:tcPr>
            <w:tcW w:w="1476" w:type="pct"/>
            <w:vMerge w:val="restart"/>
            <w:vAlign w:val="center"/>
          </w:tcPr>
          <w:p w14:paraId="622AC2B9" w14:textId="77777777" w:rsidR="000D29A3" w:rsidRDefault="000D29A3">
            <w:pPr>
              <w:ind w:firstLine="422"/>
              <w:jc w:val="center"/>
              <w:rPr>
                <w:rFonts w:hint="eastAsia"/>
                <w:b/>
                <w:szCs w:val="21"/>
              </w:rPr>
            </w:pPr>
          </w:p>
        </w:tc>
        <w:tc>
          <w:tcPr>
            <w:tcW w:w="1779" w:type="pct"/>
            <w:gridSpan w:val="4"/>
            <w:tcBorders>
              <w:right w:val="single" w:sz="4" w:space="0" w:color="auto"/>
            </w:tcBorders>
          </w:tcPr>
          <w:p w14:paraId="1D7D1F1B" w14:textId="77777777" w:rsidR="000D29A3" w:rsidRDefault="00BE4533">
            <w:pPr>
              <w:pStyle w:val="aff3"/>
              <w:widowControl w:val="0"/>
              <w:ind w:firstLineChars="0" w:firstLine="0"/>
              <w:jc w:val="center"/>
              <w:rPr>
                <w:rFonts w:ascii="Times New Roman"/>
                <w:b/>
                <w:szCs w:val="21"/>
              </w:rPr>
            </w:pPr>
            <w:r>
              <w:rPr>
                <w:rFonts w:ascii="Times New Roman" w:hint="eastAsia"/>
                <w:b/>
                <w:szCs w:val="21"/>
              </w:rPr>
              <w:t>脂肪型分割肉质量等级</w:t>
            </w:r>
          </w:p>
        </w:tc>
        <w:tc>
          <w:tcPr>
            <w:tcW w:w="1744" w:type="pct"/>
            <w:gridSpan w:val="4"/>
            <w:tcBorders>
              <w:left w:val="single" w:sz="4" w:space="0" w:color="auto"/>
            </w:tcBorders>
          </w:tcPr>
          <w:p w14:paraId="641F17DD" w14:textId="77777777" w:rsidR="000D29A3" w:rsidRDefault="00BE4533">
            <w:pPr>
              <w:pStyle w:val="aff3"/>
              <w:widowControl w:val="0"/>
              <w:ind w:firstLineChars="0" w:firstLine="0"/>
              <w:jc w:val="center"/>
              <w:rPr>
                <w:rFonts w:ascii="Times New Roman"/>
                <w:b/>
                <w:szCs w:val="21"/>
              </w:rPr>
            </w:pPr>
            <w:r>
              <w:rPr>
                <w:rFonts w:ascii="Times New Roman" w:hint="eastAsia"/>
                <w:b/>
                <w:szCs w:val="21"/>
              </w:rPr>
              <w:t>瘦肉型分割肉质量等级</w:t>
            </w:r>
          </w:p>
        </w:tc>
      </w:tr>
      <w:tr w:rsidR="000D29A3" w14:paraId="7B027E45" w14:textId="77777777">
        <w:tc>
          <w:tcPr>
            <w:tcW w:w="1476" w:type="pct"/>
            <w:vMerge/>
            <w:vAlign w:val="center"/>
          </w:tcPr>
          <w:p w14:paraId="078B5DB4" w14:textId="77777777" w:rsidR="000D29A3" w:rsidRDefault="000D29A3">
            <w:pPr>
              <w:rPr>
                <w:rFonts w:hint="eastAsia"/>
                <w:szCs w:val="21"/>
              </w:rPr>
            </w:pPr>
          </w:p>
        </w:tc>
        <w:tc>
          <w:tcPr>
            <w:tcW w:w="844" w:type="dxa"/>
            <w:tcBorders>
              <w:bottom w:val="single" w:sz="12" w:space="0" w:color="000000"/>
            </w:tcBorders>
          </w:tcPr>
          <w:p w14:paraId="0896896D" w14:textId="77777777" w:rsidR="000D29A3" w:rsidRDefault="00BE4533">
            <w:pPr>
              <w:pStyle w:val="aff3"/>
              <w:widowControl w:val="0"/>
              <w:jc w:val="center"/>
              <w:rPr>
                <w:rFonts w:ascii="Times New Roman"/>
                <w:szCs w:val="21"/>
              </w:rPr>
            </w:pPr>
            <w:r>
              <w:rPr>
                <w:rFonts w:ascii="Times New Roman" w:hint="eastAsia"/>
                <w:szCs w:val="21"/>
              </w:rPr>
              <w:t>F1</w:t>
            </w:r>
          </w:p>
        </w:tc>
        <w:tc>
          <w:tcPr>
            <w:tcW w:w="844" w:type="dxa"/>
            <w:tcBorders>
              <w:bottom w:val="single" w:sz="12" w:space="0" w:color="000000"/>
            </w:tcBorders>
          </w:tcPr>
          <w:p w14:paraId="1222D592" w14:textId="77777777" w:rsidR="000D29A3" w:rsidRDefault="00BE4533">
            <w:pPr>
              <w:pStyle w:val="aff3"/>
              <w:widowControl w:val="0"/>
              <w:jc w:val="center"/>
              <w:rPr>
                <w:rFonts w:ascii="Times New Roman"/>
                <w:szCs w:val="21"/>
              </w:rPr>
            </w:pPr>
            <w:r>
              <w:rPr>
                <w:rFonts w:ascii="Times New Roman" w:hint="eastAsia"/>
                <w:szCs w:val="21"/>
              </w:rPr>
              <w:t>F2</w:t>
            </w:r>
          </w:p>
        </w:tc>
        <w:tc>
          <w:tcPr>
            <w:tcW w:w="844" w:type="dxa"/>
            <w:tcBorders>
              <w:bottom w:val="single" w:sz="12" w:space="0" w:color="000000"/>
            </w:tcBorders>
          </w:tcPr>
          <w:p w14:paraId="5D67F3A4" w14:textId="77777777" w:rsidR="000D29A3" w:rsidRDefault="00BE4533">
            <w:pPr>
              <w:pStyle w:val="aff3"/>
              <w:widowControl w:val="0"/>
              <w:jc w:val="center"/>
              <w:rPr>
                <w:rFonts w:ascii="Times New Roman"/>
                <w:szCs w:val="21"/>
              </w:rPr>
            </w:pPr>
            <w:r>
              <w:rPr>
                <w:rFonts w:ascii="Times New Roman" w:hint="eastAsia"/>
                <w:szCs w:val="21"/>
              </w:rPr>
              <w:t>F3</w:t>
            </w:r>
          </w:p>
        </w:tc>
        <w:tc>
          <w:tcPr>
            <w:tcW w:w="844" w:type="dxa"/>
            <w:tcBorders>
              <w:bottom w:val="single" w:sz="12" w:space="0" w:color="000000"/>
            </w:tcBorders>
          </w:tcPr>
          <w:p w14:paraId="77FABDDB" w14:textId="77777777" w:rsidR="000D29A3" w:rsidRDefault="00BE4533">
            <w:pPr>
              <w:pStyle w:val="aff3"/>
              <w:widowControl w:val="0"/>
              <w:jc w:val="center"/>
              <w:rPr>
                <w:rFonts w:ascii="Times New Roman"/>
                <w:szCs w:val="21"/>
              </w:rPr>
            </w:pPr>
            <w:r>
              <w:rPr>
                <w:rFonts w:ascii="Times New Roman" w:hint="eastAsia"/>
                <w:szCs w:val="21"/>
              </w:rPr>
              <w:t>F4</w:t>
            </w:r>
          </w:p>
        </w:tc>
        <w:tc>
          <w:tcPr>
            <w:tcW w:w="844" w:type="dxa"/>
            <w:tcBorders>
              <w:bottom w:val="single" w:sz="12" w:space="0" w:color="000000"/>
            </w:tcBorders>
          </w:tcPr>
          <w:p w14:paraId="69526E3F" w14:textId="77777777" w:rsidR="000D29A3" w:rsidRDefault="00BE4533">
            <w:pPr>
              <w:pStyle w:val="aff3"/>
              <w:widowControl w:val="0"/>
              <w:jc w:val="center"/>
              <w:rPr>
                <w:rFonts w:ascii="Times New Roman"/>
                <w:szCs w:val="21"/>
              </w:rPr>
            </w:pPr>
            <w:r>
              <w:rPr>
                <w:rFonts w:ascii="Times New Roman" w:hint="eastAsia"/>
                <w:szCs w:val="21"/>
              </w:rPr>
              <w:t>S1</w:t>
            </w:r>
          </w:p>
        </w:tc>
        <w:tc>
          <w:tcPr>
            <w:tcW w:w="844" w:type="dxa"/>
            <w:tcBorders>
              <w:bottom w:val="single" w:sz="12" w:space="0" w:color="000000"/>
            </w:tcBorders>
          </w:tcPr>
          <w:p w14:paraId="1A5C521D" w14:textId="77777777" w:rsidR="000D29A3" w:rsidRDefault="00BE4533">
            <w:pPr>
              <w:pStyle w:val="aff3"/>
              <w:widowControl w:val="0"/>
              <w:jc w:val="center"/>
              <w:rPr>
                <w:rFonts w:ascii="Times New Roman"/>
                <w:szCs w:val="18"/>
              </w:rPr>
            </w:pPr>
            <w:r>
              <w:rPr>
                <w:rFonts w:ascii="Times New Roman" w:hint="eastAsia"/>
                <w:szCs w:val="21"/>
              </w:rPr>
              <w:t>S2</w:t>
            </w:r>
          </w:p>
        </w:tc>
        <w:tc>
          <w:tcPr>
            <w:tcW w:w="844" w:type="dxa"/>
            <w:tcBorders>
              <w:bottom w:val="single" w:sz="12" w:space="0" w:color="000000"/>
              <w:right w:val="single" w:sz="4" w:space="0" w:color="auto"/>
            </w:tcBorders>
          </w:tcPr>
          <w:p w14:paraId="62C6D33D" w14:textId="77777777" w:rsidR="000D29A3" w:rsidRDefault="00BE4533">
            <w:pPr>
              <w:pStyle w:val="aff3"/>
              <w:widowControl w:val="0"/>
              <w:jc w:val="center"/>
              <w:rPr>
                <w:rFonts w:ascii="Times New Roman"/>
                <w:szCs w:val="18"/>
              </w:rPr>
            </w:pPr>
            <w:r>
              <w:rPr>
                <w:rFonts w:ascii="Times New Roman" w:hint="eastAsia"/>
                <w:szCs w:val="21"/>
              </w:rPr>
              <w:t>S3</w:t>
            </w:r>
          </w:p>
        </w:tc>
        <w:tc>
          <w:tcPr>
            <w:tcW w:w="777" w:type="dxa"/>
            <w:tcBorders>
              <w:left w:val="single" w:sz="4" w:space="0" w:color="auto"/>
              <w:bottom w:val="single" w:sz="12" w:space="0" w:color="000000"/>
            </w:tcBorders>
          </w:tcPr>
          <w:p w14:paraId="00A2A78D" w14:textId="77777777" w:rsidR="000D29A3" w:rsidRDefault="00BE4533">
            <w:pPr>
              <w:pStyle w:val="aff3"/>
              <w:widowControl w:val="0"/>
              <w:jc w:val="center"/>
              <w:rPr>
                <w:rFonts w:ascii="Times New Roman"/>
                <w:szCs w:val="18"/>
              </w:rPr>
            </w:pPr>
            <w:r>
              <w:rPr>
                <w:rFonts w:ascii="Times New Roman" w:hint="eastAsia"/>
                <w:szCs w:val="21"/>
              </w:rPr>
              <w:t>S4</w:t>
            </w:r>
          </w:p>
        </w:tc>
      </w:tr>
      <w:tr w:rsidR="000D29A3" w14:paraId="5F2BDA7B" w14:textId="77777777">
        <w:trPr>
          <w:trHeight w:val="408"/>
        </w:trPr>
        <w:tc>
          <w:tcPr>
            <w:tcW w:w="1476" w:type="pct"/>
            <w:vAlign w:val="center"/>
          </w:tcPr>
          <w:p w14:paraId="29B32A29" w14:textId="77777777" w:rsidR="000D29A3" w:rsidRDefault="00BE4533">
            <w:pPr>
              <w:jc w:val="center"/>
              <w:rPr>
                <w:rFonts w:eastAsia="宋体" w:hint="eastAsia"/>
                <w:szCs w:val="21"/>
              </w:rPr>
            </w:pPr>
            <w:r>
              <w:rPr>
                <w:rFonts w:hint="eastAsia"/>
                <w:szCs w:val="21"/>
              </w:rPr>
              <w:t>上脑、眼肉、外脊、里脊、板腱、肩肉、牛小排</w:t>
            </w:r>
          </w:p>
        </w:tc>
        <w:tc>
          <w:tcPr>
            <w:tcW w:w="444" w:type="pct"/>
          </w:tcPr>
          <w:p w14:paraId="5965271B" w14:textId="77777777" w:rsidR="000D29A3" w:rsidRDefault="00BE4533">
            <w:pPr>
              <w:widowControl w:val="0"/>
              <w:ind w:firstLineChars="0" w:firstLine="0"/>
              <w:jc w:val="center"/>
              <w:rPr>
                <w:rFonts w:ascii="Times New Roman" w:eastAsia="宋体" w:hint="eastAsia"/>
                <w:b/>
                <w:bCs/>
                <w:szCs w:val="21"/>
              </w:rPr>
            </w:pPr>
            <w:r>
              <w:rPr>
                <w:rFonts w:hint="eastAsia"/>
                <w:b/>
                <w:bCs/>
                <w:szCs w:val="21"/>
              </w:rPr>
              <w:t>煎</w:t>
            </w:r>
            <w:r>
              <w:rPr>
                <w:rFonts w:ascii="Times New Roman" w:hint="eastAsia"/>
                <w:b/>
                <w:bCs/>
                <w:szCs w:val="21"/>
              </w:rPr>
              <w:t>制</w:t>
            </w:r>
            <w:r>
              <w:rPr>
                <w:rFonts w:hint="eastAsia"/>
                <w:b/>
                <w:bCs/>
                <w:szCs w:val="21"/>
              </w:rPr>
              <w:t>五星</w:t>
            </w:r>
          </w:p>
        </w:tc>
        <w:tc>
          <w:tcPr>
            <w:tcW w:w="444" w:type="pct"/>
          </w:tcPr>
          <w:p w14:paraId="189A2A33" w14:textId="77777777" w:rsidR="000D29A3" w:rsidRDefault="00BE4533">
            <w:pPr>
              <w:widowControl w:val="0"/>
              <w:ind w:firstLineChars="0" w:firstLine="0"/>
              <w:jc w:val="center"/>
              <w:rPr>
                <w:rFonts w:ascii="Times New Roman" w:eastAsia="宋体" w:hAnsi="Times New Roman" w:cs="Times New Roman"/>
                <w:b/>
                <w:bCs/>
                <w:szCs w:val="21"/>
                <w:lang w:bidi="ar-SA"/>
              </w:rPr>
            </w:pPr>
            <w:r>
              <w:rPr>
                <w:rFonts w:hint="eastAsia"/>
                <w:b/>
                <w:bCs/>
                <w:szCs w:val="21"/>
              </w:rPr>
              <w:t>煎</w:t>
            </w:r>
            <w:r>
              <w:rPr>
                <w:rFonts w:ascii="Times New Roman" w:hint="eastAsia"/>
                <w:b/>
                <w:bCs/>
                <w:szCs w:val="21"/>
              </w:rPr>
              <w:t>制</w:t>
            </w:r>
            <w:r>
              <w:rPr>
                <w:rFonts w:hint="eastAsia"/>
                <w:b/>
                <w:bCs/>
                <w:szCs w:val="21"/>
              </w:rPr>
              <w:t>五星</w:t>
            </w:r>
          </w:p>
        </w:tc>
        <w:tc>
          <w:tcPr>
            <w:tcW w:w="444" w:type="pct"/>
          </w:tcPr>
          <w:p w14:paraId="6D51B5E0" w14:textId="77777777" w:rsidR="000D29A3" w:rsidRDefault="00BE4533">
            <w:pPr>
              <w:widowControl w:val="0"/>
              <w:ind w:firstLineChars="0" w:firstLine="0"/>
              <w:jc w:val="center"/>
              <w:rPr>
                <w:rFonts w:ascii="Times New Roman" w:eastAsia="宋体" w:hAnsi="Times New Roman" w:cs="Times New Roman"/>
                <w:b/>
                <w:bCs/>
                <w:szCs w:val="21"/>
                <w:lang w:bidi="ar-SA"/>
              </w:rPr>
            </w:pPr>
            <w:r>
              <w:rPr>
                <w:rFonts w:hint="eastAsia"/>
                <w:b/>
                <w:bCs/>
                <w:szCs w:val="21"/>
              </w:rPr>
              <w:t>煎</w:t>
            </w:r>
            <w:r>
              <w:rPr>
                <w:rFonts w:ascii="Times New Roman" w:hint="eastAsia"/>
                <w:b/>
                <w:bCs/>
                <w:szCs w:val="21"/>
              </w:rPr>
              <w:t>制</w:t>
            </w:r>
            <w:r>
              <w:rPr>
                <w:rFonts w:hint="eastAsia"/>
                <w:b/>
                <w:bCs/>
                <w:szCs w:val="21"/>
              </w:rPr>
              <w:t>四星</w:t>
            </w:r>
          </w:p>
        </w:tc>
        <w:tc>
          <w:tcPr>
            <w:tcW w:w="444" w:type="pct"/>
          </w:tcPr>
          <w:p w14:paraId="72BB39EC" w14:textId="77777777" w:rsidR="000D29A3" w:rsidRDefault="00BE4533">
            <w:pPr>
              <w:widowControl w:val="0"/>
              <w:ind w:firstLineChars="0" w:firstLine="0"/>
              <w:jc w:val="center"/>
              <w:rPr>
                <w:rFonts w:ascii="Times New Roman" w:eastAsia="宋体" w:hAnsi="Times New Roman" w:cs="Times New Roman"/>
                <w:b/>
                <w:bCs/>
                <w:szCs w:val="21"/>
                <w:lang w:bidi="ar-SA"/>
              </w:rPr>
            </w:pPr>
            <w:r>
              <w:rPr>
                <w:rFonts w:hint="eastAsia"/>
                <w:b/>
                <w:bCs/>
                <w:szCs w:val="21"/>
              </w:rPr>
              <w:t>煎</w:t>
            </w:r>
            <w:r>
              <w:rPr>
                <w:rFonts w:ascii="Times New Roman" w:hint="eastAsia"/>
                <w:b/>
                <w:bCs/>
                <w:szCs w:val="21"/>
              </w:rPr>
              <w:t>制</w:t>
            </w:r>
            <w:r>
              <w:rPr>
                <w:rFonts w:hint="eastAsia"/>
                <w:b/>
                <w:bCs/>
                <w:szCs w:val="21"/>
              </w:rPr>
              <w:t>四星</w:t>
            </w:r>
          </w:p>
        </w:tc>
        <w:tc>
          <w:tcPr>
            <w:tcW w:w="444" w:type="pct"/>
          </w:tcPr>
          <w:p w14:paraId="13AA1423" w14:textId="77777777" w:rsidR="000D29A3" w:rsidRDefault="00BE4533">
            <w:pPr>
              <w:widowControl w:val="0"/>
              <w:ind w:firstLineChars="0" w:firstLine="0"/>
              <w:jc w:val="center"/>
              <w:rPr>
                <w:rFonts w:ascii="Times New Roman" w:eastAsia="宋体" w:hAnsi="Times New Roman" w:cs="Times New Roman"/>
                <w:b/>
                <w:bCs/>
                <w:szCs w:val="21"/>
                <w:lang w:bidi="ar-SA"/>
              </w:rPr>
            </w:pPr>
            <w:r>
              <w:rPr>
                <w:rFonts w:hint="eastAsia"/>
                <w:b/>
                <w:bCs/>
                <w:szCs w:val="21"/>
              </w:rPr>
              <w:t>煎</w:t>
            </w:r>
            <w:r>
              <w:rPr>
                <w:rFonts w:ascii="Times New Roman" w:hint="eastAsia"/>
                <w:b/>
                <w:bCs/>
                <w:szCs w:val="21"/>
              </w:rPr>
              <w:t>制</w:t>
            </w:r>
            <w:r>
              <w:rPr>
                <w:rFonts w:hint="eastAsia"/>
                <w:b/>
                <w:bCs/>
                <w:szCs w:val="21"/>
              </w:rPr>
              <w:t>三星</w:t>
            </w:r>
          </w:p>
        </w:tc>
        <w:tc>
          <w:tcPr>
            <w:tcW w:w="444" w:type="pct"/>
          </w:tcPr>
          <w:p w14:paraId="7ED350DD"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煎</w:t>
            </w:r>
            <w:r>
              <w:rPr>
                <w:rFonts w:ascii="Times New Roman" w:hint="eastAsia"/>
                <w:b/>
                <w:bCs/>
                <w:szCs w:val="21"/>
              </w:rPr>
              <w:t>制</w:t>
            </w:r>
            <w:r>
              <w:rPr>
                <w:rFonts w:hint="eastAsia"/>
                <w:b/>
                <w:bCs/>
                <w:szCs w:val="21"/>
              </w:rPr>
              <w:t>三星</w:t>
            </w:r>
          </w:p>
        </w:tc>
        <w:tc>
          <w:tcPr>
            <w:tcW w:w="444" w:type="pct"/>
            <w:tcBorders>
              <w:right w:val="single" w:sz="4" w:space="0" w:color="auto"/>
            </w:tcBorders>
          </w:tcPr>
          <w:p w14:paraId="0BD21970"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煎</w:t>
            </w:r>
            <w:r>
              <w:rPr>
                <w:rFonts w:ascii="Times New Roman" w:hint="eastAsia"/>
                <w:b/>
                <w:bCs/>
                <w:szCs w:val="21"/>
              </w:rPr>
              <w:t>制</w:t>
            </w:r>
            <w:r>
              <w:rPr>
                <w:rFonts w:hint="eastAsia"/>
                <w:b/>
                <w:bCs/>
                <w:szCs w:val="21"/>
              </w:rPr>
              <w:t>三星</w:t>
            </w:r>
          </w:p>
        </w:tc>
        <w:tc>
          <w:tcPr>
            <w:tcW w:w="409" w:type="pct"/>
            <w:tcBorders>
              <w:left w:val="single" w:sz="4" w:space="0" w:color="auto"/>
            </w:tcBorders>
          </w:tcPr>
          <w:p w14:paraId="16268793"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煎</w:t>
            </w:r>
            <w:r>
              <w:rPr>
                <w:rFonts w:ascii="Times New Roman" w:hint="eastAsia"/>
                <w:b/>
                <w:bCs/>
                <w:szCs w:val="21"/>
              </w:rPr>
              <w:t>制</w:t>
            </w:r>
            <w:r>
              <w:rPr>
                <w:rFonts w:hint="eastAsia"/>
                <w:b/>
                <w:bCs/>
                <w:szCs w:val="21"/>
              </w:rPr>
              <w:t>三星</w:t>
            </w:r>
          </w:p>
        </w:tc>
      </w:tr>
      <w:tr w:rsidR="000D29A3" w14:paraId="45EE99B7" w14:textId="77777777">
        <w:trPr>
          <w:trHeight w:val="438"/>
        </w:trPr>
        <w:tc>
          <w:tcPr>
            <w:tcW w:w="1476" w:type="pct"/>
            <w:vAlign w:val="center"/>
          </w:tcPr>
          <w:p w14:paraId="306996D9" w14:textId="77777777" w:rsidR="000D29A3" w:rsidRDefault="00BE4533">
            <w:pPr>
              <w:jc w:val="center"/>
              <w:rPr>
                <w:rFonts w:eastAsia="宋体" w:hint="eastAsia"/>
                <w:szCs w:val="21"/>
              </w:rPr>
            </w:pPr>
            <w:r>
              <w:rPr>
                <w:rFonts w:hint="eastAsia"/>
                <w:szCs w:val="21"/>
              </w:rPr>
              <w:lastRenderedPageBreak/>
              <w:t>辣椒条、臀肉、腹肉、胸肉、牛霖</w:t>
            </w:r>
          </w:p>
        </w:tc>
        <w:tc>
          <w:tcPr>
            <w:tcW w:w="1779" w:type="pct"/>
            <w:gridSpan w:val="4"/>
            <w:vMerge w:val="restart"/>
            <w:tcBorders>
              <w:tr2bl w:val="single" w:sz="12" w:space="0" w:color="000000" w:themeColor="text1"/>
            </w:tcBorders>
          </w:tcPr>
          <w:p w14:paraId="5DCCC777" w14:textId="77777777" w:rsidR="000D29A3" w:rsidRDefault="000D29A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140D08C2" w14:textId="77777777" w:rsidR="000D29A3" w:rsidRDefault="00BE4533">
            <w:pPr>
              <w:widowControl w:val="0"/>
              <w:ind w:firstLineChars="0" w:firstLine="0"/>
              <w:jc w:val="center"/>
              <w:rPr>
                <w:rFonts w:ascii="Times New Roman" w:eastAsia="宋体" w:hAnsi="Times New Roman" w:cs="Times New Roman"/>
                <w:b/>
                <w:bCs/>
                <w:kern w:val="2"/>
                <w:szCs w:val="21"/>
                <w:lang w:bidi="ar-SA"/>
              </w:rPr>
            </w:pPr>
            <w:r>
              <w:rPr>
                <w:rFonts w:hint="eastAsia"/>
                <w:b/>
                <w:bCs/>
                <w:szCs w:val="21"/>
              </w:rPr>
              <w:t>煎</w:t>
            </w:r>
            <w:r>
              <w:rPr>
                <w:rFonts w:ascii="Times New Roman" w:hint="eastAsia"/>
                <w:b/>
                <w:bCs/>
                <w:szCs w:val="21"/>
              </w:rPr>
              <w:t>制</w:t>
            </w:r>
            <w:r>
              <w:rPr>
                <w:rFonts w:hint="eastAsia"/>
                <w:b/>
                <w:bCs/>
                <w:szCs w:val="21"/>
              </w:rPr>
              <w:t>三星</w:t>
            </w:r>
          </w:p>
        </w:tc>
        <w:tc>
          <w:tcPr>
            <w:tcW w:w="444" w:type="pct"/>
          </w:tcPr>
          <w:p w14:paraId="5315BCDD" w14:textId="77777777" w:rsidR="000D29A3" w:rsidRDefault="00BE4533">
            <w:pPr>
              <w:widowControl w:val="0"/>
              <w:ind w:firstLineChars="0" w:firstLine="0"/>
              <w:jc w:val="center"/>
              <w:rPr>
                <w:rFonts w:ascii="Times New Roman" w:eastAsia="宋体" w:hAnsi="Times New Roman" w:cs="Times New Roman"/>
                <w:b/>
                <w:bCs/>
                <w:kern w:val="2"/>
                <w:szCs w:val="24"/>
                <w:lang w:bidi="ar-SA"/>
              </w:rPr>
            </w:pPr>
            <w:r>
              <w:rPr>
                <w:rFonts w:hint="eastAsia"/>
                <w:b/>
                <w:bCs/>
                <w:szCs w:val="21"/>
              </w:rPr>
              <w:t>等外级</w:t>
            </w:r>
          </w:p>
        </w:tc>
        <w:tc>
          <w:tcPr>
            <w:tcW w:w="444" w:type="pct"/>
            <w:tcBorders>
              <w:right w:val="single" w:sz="4" w:space="0" w:color="auto"/>
            </w:tcBorders>
          </w:tcPr>
          <w:p w14:paraId="03FB4195"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c>
          <w:tcPr>
            <w:tcW w:w="409" w:type="pct"/>
            <w:tcBorders>
              <w:left w:val="single" w:sz="4" w:space="0" w:color="auto"/>
            </w:tcBorders>
          </w:tcPr>
          <w:p w14:paraId="590F95B1"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0D29A3" w14:paraId="39114782" w14:textId="77777777">
        <w:tc>
          <w:tcPr>
            <w:tcW w:w="1476" w:type="pct"/>
            <w:vAlign w:val="center"/>
          </w:tcPr>
          <w:p w14:paraId="6D8BE954" w14:textId="77777777" w:rsidR="000D29A3" w:rsidRDefault="00BE4533">
            <w:pPr>
              <w:jc w:val="center"/>
              <w:rPr>
                <w:rFonts w:eastAsia="宋体" w:hint="eastAsia"/>
                <w:szCs w:val="21"/>
              </w:rPr>
            </w:pPr>
            <w:r>
              <w:rPr>
                <w:rFonts w:hint="eastAsia"/>
                <w:szCs w:val="21"/>
              </w:rPr>
              <w:t>臀肉、米龙、米龙、大黄瓜条、小黄瓜条</w:t>
            </w:r>
          </w:p>
        </w:tc>
        <w:tc>
          <w:tcPr>
            <w:tcW w:w="1779" w:type="pct"/>
            <w:gridSpan w:val="4"/>
            <w:vMerge/>
          </w:tcPr>
          <w:p w14:paraId="2B833247" w14:textId="77777777" w:rsidR="000D29A3" w:rsidRDefault="000D29A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632CA3E2" w14:textId="77777777" w:rsidR="000D29A3" w:rsidRDefault="00BE4533">
            <w:pPr>
              <w:widowControl w:val="0"/>
              <w:ind w:firstLineChars="0" w:firstLine="0"/>
              <w:jc w:val="center"/>
              <w:rPr>
                <w:rFonts w:ascii="Times New Roman" w:eastAsia="宋体" w:hAnsi="Times New Roman" w:cs="Times New Roman"/>
                <w:b/>
                <w:bCs/>
                <w:kern w:val="2"/>
                <w:szCs w:val="21"/>
                <w:lang w:bidi="ar-SA"/>
              </w:rPr>
            </w:pPr>
            <w:r>
              <w:rPr>
                <w:rFonts w:hint="eastAsia"/>
                <w:b/>
                <w:bCs/>
                <w:szCs w:val="21"/>
              </w:rPr>
              <w:t>等外级</w:t>
            </w:r>
          </w:p>
        </w:tc>
        <w:tc>
          <w:tcPr>
            <w:tcW w:w="444" w:type="pct"/>
          </w:tcPr>
          <w:p w14:paraId="429809FD" w14:textId="77777777" w:rsidR="000D29A3" w:rsidRDefault="00BE4533">
            <w:pPr>
              <w:widowControl w:val="0"/>
              <w:ind w:firstLineChars="0" w:firstLine="0"/>
              <w:jc w:val="center"/>
              <w:rPr>
                <w:rFonts w:ascii="Times New Roman" w:eastAsia="宋体" w:hAnsi="Times New Roman" w:cs="Times New Roman"/>
                <w:b/>
                <w:bCs/>
                <w:kern w:val="2"/>
                <w:szCs w:val="24"/>
                <w:lang w:bidi="ar-SA"/>
              </w:rPr>
            </w:pPr>
            <w:r>
              <w:rPr>
                <w:rFonts w:hint="eastAsia"/>
                <w:b/>
                <w:bCs/>
                <w:szCs w:val="21"/>
              </w:rPr>
              <w:t>等外级</w:t>
            </w:r>
          </w:p>
        </w:tc>
        <w:tc>
          <w:tcPr>
            <w:tcW w:w="444" w:type="pct"/>
            <w:tcBorders>
              <w:right w:val="single" w:sz="4" w:space="0" w:color="auto"/>
            </w:tcBorders>
          </w:tcPr>
          <w:p w14:paraId="5DC41689"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c>
          <w:tcPr>
            <w:tcW w:w="409" w:type="pct"/>
            <w:tcBorders>
              <w:left w:val="single" w:sz="4" w:space="0" w:color="auto"/>
            </w:tcBorders>
          </w:tcPr>
          <w:p w14:paraId="46A167A0" w14:textId="77777777" w:rsidR="000D29A3" w:rsidRDefault="00BE4533">
            <w:pPr>
              <w:widowControl w:val="0"/>
              <w:ind w:firstLineChars="0" w:firstLine="0"/>
              <w:jc w:val="center"/>
              <w:rPr>
                <w:rFonts w:ascii="Times New Roman" w:eastAsia="宋体" w:hAnsi="Times New Roman" w:cs="Times New Roman"/>
                <w:b/>
                <w:bCs/>
                <w:lang w:bidi="ar-SA"/>
              </w:rPr>
            </w:pPr>
            <w:r>
              <w:rPr>
                <w:rFonts w:hint="eastAsia"/>
                <w:b/>
                <w:bCs/>
                <w:szCs w:val="21"/>
              </w:rPr>
              <w:t>等外级</w:t>
            </w:r>
          </w:p>
        </w:tc>
      </w:tr>
      <w:tr w:rsidR="000D29A3" w14:paraId="524391E7" w14:textId="77777777">
        <w:tc>
          <w:tcPr>
            <w:tcW w:w="1476" w:type="pct"/>
            <w:vAlign w:val="center"/>
          </w:tcPr>
          <w:p w14:paraId="66F10CA8" w14:textId="77777777" w:rsidR="000D29A3" w:rsidRDefault="00BE4533">
            <w:pPr>
              <w:jc w:val="center"/>
              <w:rPr>
                <w:rFonts w:hint="eastAsia"/>
                <w:szCs w:val="21"/>
              </w:rPr>
            </w:pPr>
            <w:r>
              <w:rPr>
                <w:rFonts w:hint="eastAsia"/>
                <w:szCs w:val="21"/>
              </w:rPr>
              <w:t>肋条肉、腱子肉</w:t>
            </w:r>
          </w:p>
        </w:tc>
        <w:tc>
          <w:tcPr>
            <w:tcW w:w="1779" w:type="pct"/>
            <w:gridSpan w:val="4"/>
            <w:vMerge/>
          </w:tcPr>
          <w:p w14:paraId="487F7F58" w14:textId="77777777" w:rsidR="000D29A3" w:rsidRDefault="000D29A3">
            <w:pPr>
              <w:widowControl w:val="0"/>
              <w:ind w:firstLineChars="0" w:firstLine="0"/>
              <w:jc w:val="center"/>
              <w:rPr>
                <w:rFonts w:ascii="Times New Roman" w:eastAsia="宋体" w:hAnsi="Times New Roman" w:cs="Times New Roman"/>
                <w:b/>
                <w:bCs/>
                <w:kern w:val="2"/>
                <w:szCs w:val="21"/>
                <w:lang w:bidi="ar-SA"/>
              </w:rPr>
            </w:pPr>
          </w:p>
        </w:tc>
        <w:tc>
          <w:tcPr>
            <w:tcW w:w="444" w:type="pct"/>
          </w:tcPr>
          <w:p w14:paraId="5E45258A" w14:textId="77777777" w:rsidR="000D29A3" w:rsidRDefault="00BE4533">
            <w:pPr>
              <w:widowControl w:val="0"/>
              <w:ind w:firstLineChars="0" w:firstLine="0"/>
              <w:jc w:val="center"/>
              <w:rPr>
                <w:rFonts w:ascii="Times New Roman" w:hint="eastAsia"/>
                <w:b/>
                <w:bCs/>
                <w:szCs w:val="21"/>
              </w:rPr>
            </w:pPr>
            <w:r>
              <w:rPr>
                <w:rFonts w:hint="eastAsia"/>
                <w:b/>
                <w:bCs/>
                <w:szCs w:val="21"/>
              </w:rPr>
              <w:t>等外级</w:t>
            </w:r>
          </w:p>
        </w:tc>
        <w:tc>
          <w:tcPr>
            <w:tcW w:w="444" w:type="pct"/>
          </w:tcPr>
          <w:p w14:paraId="1DBDFF6B" w14:textId="77777777" w:rsidR="000D29A3" w:rsidRDefault="00BE4533">
            <w:pPr>
              <w:widowControl w:val="0"/>
              <w:ind w:firstLineChars="0" w:firstLine="0"/>
              <w:jc w:val="center"/>
              <w:rPr>
                <w:rFonts w:ascii="Times New Roman" w:hint="eastAsia"/>
                <w:b/>
                <w:bCs/>
                <w:szCs w:val="21"/>
              </w:rPr>
            </w:pPr>
            <w:r>
              <w:rPr>
                <w:rFonts w:hint="eastAsia"/>
                <w:b/>
                <w:bCs/>
                <w:szCs w:val="21"/>
              </w:rPr>
              <w:t>等外级</w:t>
            </w:r>
          </w:p>
        </w:tc>
        <w:tc>
          <w:tcPr>
            <w:tcW w:w="444" w:type="pct"/>
            <w:tcBorders>
              <w:right w:val="single" w:sz="4" w:space="0" w:color="auto"/>
            </w:tcBorders>
          </w:tcPr>
          <w:p w14:paraId="1CFC6F02" w14:textId="77777777" w:rsidR="000D29A3" w:rsidRDefault="00BE4533">
            <w:pPr>
              <w:widowControl w:val="0"/>
              <w:ind w:firstLineChars="0" w:firstLine="0"/>
              <w:jc w:val="center"/>
              <w:rPr>
                <w:rFonts w:ascii="Times New Roman" w:cs="Times New Roman" w:hint="eastAsia"/>
                <w:b/>
                <w:bCs/>
                <w:lang w:bidi="ar-SA"/>
              </w:rPr>
            </w:pPr>
            <w:r>
              <w:rPr>
                <w:rFonts w:hint="eastAsia"/>
                <w:b/>
                <w:bCs/>
                <w:szCs w:val="21"/>
              </w:rPr>
              <w:t>等外级</w:t>
            </w:r>
          </w:p>
        </w:tc>
        <w:tc>
          <w:tcPr>
            <w:tcW w:w="409" w:type="pct"/>
            <w:tcBorders>
              <w:left w:val="single" w:sz="4" w:space="0" w:color="auto"/>
            </w:tcBorders>
          </w:tcPr>
          <w:p w14:paraId="1B3B6FFA" w14:textId="77777777" w:rsidR="000D29A3" w:rsidRDefault="00BE4533">
            <w:pPr>
              <w:widowControl w:val="0"/>
              <w:ind w:firstLineChars="0" w:firstLine="0"/>
              <w:jc w:val="center"/>
              <w:rPr>
                <w:rFonts w:ascii="Times New Roman" w:cs="Times New Roman" w:hint="eastAsia"/>
                <w:b/>
                <w:bCs/>
                <w:lang w:bidi="ar-SA"/>
              </w:rPr>
            </w:pPr>
            <w:r>
              <w:rPr>
                <w:rFonts w:hint="eastAsia"/>
                <w:b/>
                <w:bCs/>
                <w:szCs w:val="21"/>
              </w:rPr>
              <w:t>等外级</w:t>
            </w:r>
          </w:p>
        </w:tc>
      </w:tr>
    </w:tbl>
    <w:p w14:paraId="05411AB8" w14:textId="77777777" w:rsidR="000D29A3" w:rsidRDefault="000D29A3">
      <w:pPr>
        <w:pStyle w:val="af2"/>
        <w:spacing w:beforeAutospacing="0" w:afterAutospacing="0"/>
        <w:ind w:firstLine="480"/>
        <w:rPr>
          <w:snapToGrid w:val="0"/>
          <w:szCs w:val="24"/>
        </w:rPr>
      </w:pPr>
    </w:p>
    <w:p w14:paraId="2DAAC97B" w14:textId="77777777" w:rsidR="000D29A3" w:rsidRDefault="00BE4533">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0C0035D9"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snapToGrid w:val="0"/>
          <w:szCs w:val="24"/>
        </w:rPr>
        <w:t>根据消费者调研结果，对以上部位肉按上述表格进行分级。</w:t>
      </w:r>
    </w:p>
    <w:p w14:paraId="7F1E8837" w14:textId="77777777" w:rsidR="000D29A3" w:rsidRDefault="00BE4533">
      <w:pPr>
        <w:pStyle w:val="aff3"/>
        <w:ind w:firstLine="482"/>
        <w:rPr>
          <w:rFonts w:ascii="Times New Roman"/>
          <w:b/>
          <w:bCs/>
          <w:snapToGrid w:val="0"/>
          <w:sz w:val="24"/>
          <w:szCs w:val="24"/>
        </w:rPr>
      </w:pPr>
      <w:r>
        <w:rPr>
          <w:rFonts w:ascii="Times New Roman" w:hint="eastAsia"/>
          <w:b/>
          <w:bCs/>
          <w:snapToGrid w:val="0"/>
          <w:sz w:val="24"/>
          <w:szCs w:val="24"/>
        </w:rPr>
        <w:t>标准文本：</w:t>
      </w:r>
    </w:p>
    <w:p w14:paraId="515CA3A2" w14:textId="77777777" w:rsidR="000D29A3" w:rsidRDefault="00BE4533">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 标识</w:t>
      </w:r>
    </w:p>
    <w:p w14:paraId="69FE6F37" w14:textId="77777777" w:rsidR="000D29A3" w:rsidRDefault="00BE4533">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6.1.1 部位肉应按照国家标准GB/T 29392标明胴体与分割肉质量等级，并按烹饪方式标明对应的质量等级，如等级：S1，煎制五星。</w:t>
      </w:r>
    </w:p>
    <w:p w14:paraId="60FD8A5D" w14:textId="77777777" w:rsidR="000D29A3" w:rsidRDefault="00BE4533">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6.1.2 标识按GB/T 6388和NY/T 3383的规定执行。</w:t>
      </w:r>
    </w:p>
    <w:p w14:paraId="79B1F583" w14:textId="77777777" w:rsidR="000D29A3" w:rsidRDefault="00BE4533">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7 记录</w:t>
      </w:r>
    </w:p>
    <w:p w14:paraId="3B2499BA" w14:textId="77777777" w:rsidR="000D29A3" w:rsidRDefault="00BE4533">
      <w:pPr>
        <w:pStyle w:val="aff3"/>
        <w:ind w:firstLine="480"/>
        <w:rPr>
          <w:rFonts w:asciiTheme="minorEastAsia" w:eastAsiaTheme="minorEastAsia" w:hAnsiTheme="minorEastAsia" w:cs="宋体" w:hint="eastAsia"/>
          <w:snapToGrid w:val="0"/>
          <w:sz w:val="24"/>
          <w:szCs w:val="24"/>
          <w:lang w:bidi="zh-TW"/>
        </w:rPr>
      </w:pPr>
      <w:r>
        <w:rPr>
          <w:rFonts w:asciiTheme="minorEastAsia" w:eastAsiaTheme="minorEastAsia" w:hAnsiTheme="minorEastAsia" w:cs="宋体" w:hint="eastAsia"/>
          <w:snapToGrid w:val="0"/>
          <w:sz w:val="24"/>
          <w:szCs w:val="24"/>
          <w:lang w:bidi="zh-TW"/>
        </w:rPr>
        <w:t>应清晰地记录产品分级信息。</w:t>
      </w:r>
    </w:p>
    <w:p w14:paraId="062A4738" w14:textId="77777777" w:rsidR="000D29A3" w:rsidRDefault="00BE4533">
      <w:pPr>
        <w:pStyle w:val="af2"/>
        <w:spacing w:beforeAutospacing="0" w:afterAutospacing="0"/>
        <w:ind w:firstLine="482"/>
        <w:rPr>
          <w:rFonts w:ascii="Times New Roman" w:eastAsia="宋体" w:hAnsi="Times New Roman" w:cs="Times New Roman" w:hint="default"/>
          <w:b/>
          <w:bCs/>
          <w:snapToGrid w:val="0"/>
          <w:szCs w:val="24"/>
          <w:lang w:bidi="ar"/>
        </w:rPr>
      </w:pPr>
      <w:r>
        <w:rPr>
          <w:rFonts w:ascii="Times New Roman" w:eastAsia="宋体" w:hAnsi="Times New Roman" w:cs="Times New Roman"/>
          <w:b/>
          <w:bCs/>
          <w:snapToGrid w:val="0"/>
          <w:szCs w:val="24"/>
          <w:lang w:bidi="ar"/>
        </w:rPr>
        <w:t>制定依据：</w:t>
      </w:r>
    </w:p>
    <w:p w14:paraId="1EFAF03C" w14:textId="77777777" w:rsidR="000D29A3" w:rsidRDefault="00BE4533">
      <w:pPr>
        <w:pStyle w:val="af2"/>
        <w:spacing w:beforeAutospacing="0" w:afterAutospacing="0"/>
        <w:ind w:firstLine="480"/>
        <w:rPr>
          <w:rFonts w:asciiTheme="minorEastAsia" w:hAnsiTheme="minorEastAsia"/>
          <w:snapToGrid w:val="0"/>
          <w:szCs w:val="24"/>
        </w:rPr>
      </w:pPr>
      <w:r>
        <w:rPr>
          <w:rFonts w:asciiTheme="minorEastAsia" w:hAnsiTheme="minorEastAsia" w:hint="default"/>
          <w:snapToGrid w:val="0"/>
          <w:szCs w:val="24"/>
        </w:rPr>
        <w:t>明确标注烹饪方式对应的等级，能帮助</w:t>
      </w:r>
      <w:r>
        <w:rPr>
          <w:rFonts w:asciiTheme="minorEastAsia" w:hAnsiTheme="minorEastAsia"/>
          <w:snapToGrid w:val="0"/>
          <w:szCs w:val="24"/>
        </w:rPr>
        <w:t>消费者</w:t>
      </w:r>
      <w:r>
        <w:rPr>
          <w:rFonts w:asciiTheme="minorEastAsia" w:hAnsiTheme="minorEastAsia" w:hint="default"/>
          <w:snapToGrid w:val="0"/>
          <w:szCs w:val="24"/>
        </w:rPr>
        <w:t>快速选购。如 “</w:t>
      </w:r>
      <w:r>
        <w:rPr>
          <w:rFonts w:asciiTheme="minorEastAsia" w:hAnsiTheme="minorEastAsia"/>
          <w:snapToGrid w:val="0"/>
          <w:szCs w:val="24"/>
        </w:rPr>
        <w:t>煎</w:t>
      </w:r>
      <w:r>
        <w:rPr>
          <w:rFonts w:asciiTheme="minorEastAsia" w:hAnsiTheme="minorEastAsia" w:hint="default"/>
          <w:snapToGrid w:val="0"/>
          <w:szCs w:val="24"/>
        </w:rPr>
        <w:t>制五星” 标识的牛肉</w:t>
      </w:r>
      <w:r>
        <w:rPr>
          <w:rFonts w:asciiTheme="minorEastAsia" w:hAnsiTheme="minorEastAsia"/>
          <w:snapToGrid w:val="0"/>
          <w:szCs w:val="24"/>
        </w:rPr>
        <w:t>。</w:t>
      </w:r>
      <w:r>
        <w:rPr>
          <w:rFonts w:asciiTheme="minorEastAsia" w:hAnsiTheme="minorEastAsia" w:hint="default"/>
          <w:snapToGrid w:val="0"/>
          <w:szCs w:val="24"/>
        </w:rPr>
        <w:t>建立质量追溯体系，便于企业分析分级数据与生产工艺的关联性，如通过记录大理石花纹等级与屠宰年龄的关系，优化育肥周期，提升产品等级率。</w:t>
      </w:r>
    </w:p>
    <w:p w14:paraId="1BDEECD0" w14:textId="77777777" w:rsidR="000D29A3" w:rsidRDefault="000D29A3">
      <w:pPr>
        <w:pStyle w:val="af2"/>
        <w:spacing w:beforeAutospacing="0" w:afterAutospacing="0"/>
        <w:ind w:firstLine="480"/>
        <w:rPr>
          <w:rFonts w:asciiTheme="minorEastAsia" w:hAnsiTheme="minorEastAsia"/>
          <w:snapToGrid w:val="0"/>
          <w:szCs w:val="24"/>
        </w:rPr>
      </w:pPr>
    </w:p>
    <w:p w14:paraId="522FB82F" w14:textId="77777777" w:rsidR="000D29A3" w:rsidRDefault="000D29A3">
      <w:pPr>
        <w:pStyle w:val="af2"/>
        <w:spacing w:beforeAutospacing="0" w:afterAutospacing="0"/>
        <w:ind w:firstLine="480"/>
        <w:rPr>
          <w:rFonts w:asciiTheme="minorEastAsia" w:hAnsiTheme="minorEastAsia"/>
          <w:snapToGrid w:val="0"/>
          <w:szCs w:val="24"/>
        </w:rPr>
      </w:pPr>
    </w:p>
    <w:bookmarkEnd w:id="22"/>
    <w:p w14:paraId="0BB9CE00"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三、主要试验（或验证）的分析、综述报告，技术经济论证，预期的经济效果</w:t>
      </w:r>
    </w:p>
    <w:p w14:paraId="72209131" w14:textId="77777777" w:rsidR="000D29A3" w:rsidRDefault="00BE4533">
      <w:pPr>
        <w:spacing w:line="500" w:lineRule="exact"/>
        <w:ind w:firstLine="480"/>
        <w:rPr>
          <w:rFonts w:hint="eastAsia"/>
          <w:sz w:val="24"/>
          <w:szCs w:val="24"/>
        </w:rPr>
      </w:pPr>
      <w:r>
        <w:rPr>
          <w:sz w:val="24"/>
          <w:szCs w:val="24"/>
        </w:rPr>
        <w:t>无。</w:t>
      </w:r>
    </w:p>
    <w:p w14:paraId="666EF1AB"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四、采用国际标准和国外先进标准的程度</w:t>
      </w:r>
    </w:p>
    <w:p w14:paraId="493A2A7A" w14:textId="77777777" w:rsidR="000D29A3" w:rsidRDefault="00BE4533">
      <w:pPr>
        <w:spacing w:line="500" w:lineRule="exact"/>
        <w:ind w:firstLine="480"/>
        <w:rPr>
          <w:rFonts w:hint="eastAsia"/>
          <w:sz w:val="24"/>
          <w:szCs w:val="24"/>
        </w:rPr>
      </w:pPr>
      <w:r>
        <w:rPr>
          <w:sz w:val="24"/>
          <w:szCs w:val="24"/>
        </w:rPr>
        <w:t>无。</w:t>
      </w:r>
    </w:p>
    <w:p w14:paraId="577C5FBD"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bookmarkStart w:id="23" w:name="OLE_LINK130"/>
      <w:r>
        <w:rPr>
          <w:rFonts w:ascii="Times New Roman" w:hAnsi="Times New Roman" w:cs="Times New Roman" w:hint="eastAsia"/>
          <w:b w:val="0"/>
          <w:bCs/>
          <w:szCs w:val="44"/>
          <w:lang w:bidi="ar-SA"/>
        </w:rPr>
        <w:t>五、与现行的法律法规和强制性国家标准的关系</w:t>
      </w:r>
    </w:p>
    <w:p w14:paraId="5971B232" w14:textId="77777777" w:rsidR="000D29A3" w:rsidRDefault="00BE4533">
      <w:pPr>
        <w:pStyle w:val="1"/>
        <w:keepNext w:val="0"/>
        <w:keepLines w:val="0"/>
        <w:widowControl w:val="0"/>
        <w:adjustRightInd/>
        <w:snapToGrid/>
        <w:ind w:firstLine="480"/>
        <w:rPr>
          <w:rFonts w:eastAsiaTheme="minorEastAsia" w:hint="eastAsia"/>
          <w:b w:val="0"/>
          <w:kern w:val="0"/>
          <w:sz w:val="24"/>
          <w:szCs w:val="24"/>
        </w:rPr>
      </w:pPr>
      <w:bookmarkStart w:id="24" w:name="OLE_LINK132"/>
      <w:bookmarkEnd w:id="23"/>
      <w:r>
        <w:rPr>
          <w:rFonts w:eastAsiaTheme="minorEastAsia" w:hint="eastAsia"/>
          <w:b w:val="0"/>
          <w:kern w:val="0"/>
          <w:sz w:val="24"/>
          <w:szCs w:val="24"/>
        </w:rPr>
        <w:lastRenderedPageBreak/>
        <w:t>本标准在 GB 12694《食品安全国家标准 畜禽屠宰加工卫生规范》、GB 14881《食品安全国家标准 食品生产通用卫生规范》等法规框架下制定，与现行强制性标准协调一致。肉色、脂肪颜色等色度参数参考 GB/T 17238《鲜、冻分割牛肉》的感官要求，确保安全指标不低于国家标准。屠宰、分割环节的卫生要求执行 GB/T 20575《鲜、冻肉生产良好操作规范》，分级操作不影响现有食品安全管理体系。</w:t>
      </w:r>
    </w:p>
    <w:p w14:paraId="79CE0E83"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六、重大分歧意见的处理经过和依据</w:t>
      </w:r>
    </w:p>
    <w:bookmarkEnd w:id="24"/>
    <w:p w14:paraId="710FBC6F" w14:textId="77777777" w:rsidR="000D29A3" w:rsidRDefault="00BE4533">
      <w:pPr>
        <w:spacing w:line="500" w:lineRule="exact"/>
        <w:ind w:firstLine="480"/>
        <w:rPr>
          <w:rFonts w:hint="eastAsia"/>
          <w:sz w:val="24"/>
          <w:szCs w:val="24"/>
        </w:rPr>
      </w:pPr>
      <w:r>
        <w:rPr>
          <w:sz w:val="24"/>
          <w:szCs w:val="24"/>
        </w:rPr>
        <w:t>无。</w:t>
      </w:r>
    </w:p>
    <w:p w14:paraId="03BCF07B"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r>
        <w:rPr>
          <w:rFonts w:ascii="Times New Roman" w:hAnsi="Times New Roman" w:cs="Times New Roman" w:hint="eastAsia"/>
          <w:b w:val="0"/>
          <w:bCs/>
          <w:szCs w:val="44"/>
          <w:lang w:bidi="ar-SA"/>
        </w:rPr>
        <w:t>七、标准作为强制性或推荐性标准的建议</w:t>
      </w:r>
    </w:p>
    <w:p w14:paraId="02623F6E" w14:textId="77777777" w:rsidR="000D29A3" w:rsidRDefault="00BE4533">
      <w:pPr>
        <w:spacing w:line="500" w:lineRule="exact"/>
        <w:ind w:firstLine="480"/>
        <w:rPr>
          <w:rFonts w:hint="eastAsia"/>
          <w:sz w:val="24"/>
          <w:szCs w:val="24"/>
        </w:rPr>
      </w:pPr>
      <w:r>
        <w:rPr>
          <w:rFonts w:hint="eastAsia"/>
          <w:sz w:val="24"/>
          <w:szCs w:val="24"/>
        </w:rPr>
        <w:t>目前国内牛肉加工企业规模差异大，强制实施可能增加其合规成本。推荐性标准可引导企业自愿采用，逐步提升分级水平。通过 差异化分级，鼓励企业提升产品品质，形成市场竞争优势。作为推荐性标准，可根据行业技术进步及时修订指标，保持标准的先进性，。​</w:t>
      </w:r>
    </w:p>
    <w:p w14:paraId="0E2820E7" w14:textId="77777777" w:rsidR="000D29A3" w:rsidRDefault="00BE4533">
      <w:pPr>
        <w:pStyle w:val="1"/>
        <w:keepNext w:val="0"/>
        <w:keepLines w:val="0"/>
        <w:widowControl w:val="0"/>
        <w:adjustRightInd/>
        <w:snapToGrid/>
        <w:ind w:firstLine="560"/>
        <w:rPr>
          <w:rFonts w:ascii="Times New Roman" w:hAnsi="Times New Roman" w:cs="Times New Roman"/>
          <w:b w:val="0"/>
          <w:bCs/>
          <w:szCs w:val="44"/>
          <w:lang w:bidi="ar-SA"/>
        </w:rPr>
      </w:pPr>
      <w:bookmarkStart w:id="25" w:name="OLE_LINK131"/>
      <w:r>
        <w:rPr>
          <w:rFonts w:ascii="Times New Roman" w:hAnsi="Times New Roman" w:cs="Times New Roman" w:hint="eastAsia"/>
          <w:b w:val="0"/>
          <w:bCs/>
          <w:szCs w:val="44"/>
          <w:lang w:bidi="ar-SA"/>
        </w:rPr>
        <w:t>八、贯彻标准的要求和措施建议（包括组织实施、技术措施、过渡办法等）</w:t>
      </w:r>
      <w:bookmarkStart w:id="26" w:name="OLE_LINK127"/>
    </w:p>
    <w:p w14:paraId="3482EB67" w14:textId="77777777" w:rsidR="000D29A3" w:rsidRDefault="00BE4533">
      <w:pPr>
        <w:spacing w:line="500" w:lineRule="exact"/>
        <w:ind w:firstLine="480"/>
        <w:textAlignment w:val="baseline"/>
        <w:rPr>
          <w:rFonts w:hint="eastAsia"/>
          <w:sz w:val="24"/>
        </w:rPr>
      </w:pPr>
      <w:r>
        <w:rPr>
          <w:sz w:val="24"/>
        </w:rPr>
        <w:t>无</w:t>
      </w:r>
      <w:r>
        <w:rPr>
          <w:rFonts w:hint="eastAsia"/>
          <w:sz w:val="24"/>
        </w:rPr>
        <w:t>。</w:t>
      </w:r>
    </w:p>
    <w:bookmarkEnd w:id="25"/>
    <w:p w14:paraId="1D8DA2B7" w14:textId="77777777" w:rsidR="000D29A3" w:rsidRDefault="00BE4533">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九、废止现行有关标准的建议</w:t>
      </w:r>
    </w:p>
    <w:bookmarkEnd w:id="26"/>
    <w:p w14:paraId="5DA80738" w14:textId="77777777" w:rsidR="000D29A3" w:rsidRDefault="00BE4533">
      <w:pPr>
        <w:spacing w:line="500" w:lineRule="exact"/>
        <w:ind w:firstLine="560"/>
        <w:textAlignment w:val="baseline"/>
        <w:outlineLvl w:val="0"/>
        <w:rPr>
          <w:rFonts w:eastAsia="黑体" w:hint="eastAsia"/>
          <w:bCs/>
          <w:kern w:val="44"/>
          <w:sz w:val="28"/>
          <w:szCs w:val="44"/>
        </w:rPr>
      </w:pPr>
      <w:r>
        <w:rPr>
          <w:rFonts w:eastAsia="黑体"/>
          <w:bCs/>
          <w:kern w:val="44"/>
          <w:sz w:val="28"/>
          <w:szCs w:val="44"/>
        </w:rPr>
        <w:t>十、其他应予说明的事项</w:t>
      </w:r>
    </w:p>
    <w:p w14:paraId="1229C6CA" w14:textId="77777777" w:rsidR="000D29A3" w:rsidRDefault="00BE4533">
      <w:pPr>
        <w:spacing w:line="20" w:lineRule="exact"/>
        <w:ind w:firstLine="480"/>
        <w:textAlignment w:val="baseline"/>
        <w:rPr>
          <w:rFonts w:hint="eastAsia"/>
          <w:sz w:val="24"/>
        </w:rPr>
      </w:pPr>
      <w:r>
        <w:rPr>
          <w:sz w:val="24"/>
        </w:rPr>
        <w:t>无。</w:t>
      </w:r>
    </w:p>
    <w:p w14:paraId="67BBE5E2" w14:textId="77777777" w:rsidR="000D29A3" w:rsidRDefault="00BE4533">
      <w:pPr>
        <w:spacing w:line="500" w:lineRule="exact"/>
        <w:ind w:firstLine="482"/>
        <w:rPr>
          <w:rFonts w:hint="eastAsia"/>
          <w:bCs/>
          <w:sz w:val="24"/>
          <w:szCs w:val="24"/>
        </w:rPr>
      </w:pPr>
      <w:r>
        <w:rPr>
          <w:b/>
          <w:bCs/>
          <w:sz w:val="24"/>
          <w:szCs w:val="24"/>
        </w:rPr>
        <w:t xml:space="preserve">                                                      </w:t>
      </w:r>
      <w:r>
        <w:rPr>
          <w:bCs/>
          <w:sz w:val="24"/>
          <w:szCs w:val="24"/>
        </w:rPr>
        <w:t>标准编制组</w:t>
      </w:r>
    </w:p>
    <w:p w14:paraId="2E6EF947" w14:textId="77777777" w:rsidR="000D29A3" w:rsidRDefault="00BE4533">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ascii="Times New Roman" w:hAnsi="Times New Roman" w:cs="Times New Roman" w:hint="eastAsia"/>
          <w:bCs/>
          <w:sz w:val="24"/>
          <w:szCs w:val="24"/>
        </w:rPr>
        <w:t>5</w:t>
      </w:r>
      <w:r>
        <w:rPr>
          <w:rFonts w:ascii="Times New Roman" w:hAnsi="Times New Roman" w:cs="Times New Roman"/>
          <w:bCs/>
          <w:sz w:val="24"/>
          <w:szCs w:val="24"/>
        </w:rPr>
        <w:t>年</w:t>
      </w:r>
      <w:r>
        <w:rPr>
          <w:rFonts w:ascii="Times New Roman" w:hAnsi="Times New Roman" w:cs="Times New Roman" w:hint="eastAsia"/>
          <w:bCs/>
          <w:sz w:val="24"/>
          <w:szCs w:val="24"/>
        </w:rPr>
        <w:t>2</w:t>
      </w:r>
      <w:r>
        <w:rPr>
          <w:rFonts w:ascii="Times New Roman" w:hAnsi="Times New Roman" w:cs="Times New Roman"/>
          <w:bCs/>
          <w:sz w:val="24"/>
          <w:szCs w:val="24"/>
        </w:rPr>
        <w:t>月</w:t>
      </w:r>
    </w:p>
    <w:p w14:paraId="725DDB07" w14:textId="77777777" w:rsidR="000D29A3" w:rsidRDefault="000D29A3">
      <w:pPr>
        <w:pStyle w:val="a0"/>
        <w:numPr>
          <w:ilvl w:val="1"/>
          <w:numId w:val="0"/>
        </w:numPr>
        <w:spacing w:beforeLines="0" w:afterLines="0" w:line="360" w:lineRule="auto"/>
        <w:rPr>
          <w:rFonts w:ascii="宋体" w:eastAsia="宋体" w:hAnsi="宋体" w:cs="宋体" w:hint="eastAsia"/>
          <w:snapToGrid w:val="0"/>
          <w:szCs w:val="20"/>
        </w:rPr>
      </w:pPr>
      <w:bookmarkStart w:id="27" w:name="OLE_LINK135"/>
      <w:bookmarkStart w:id="28" w:name="OLE_LINK134"/>
      <w:bookmarkStart w:id="29" w:name="OLE_LINK125"/>
      <w:bookmarkStart w:id="30" w:name="OLE_LINK126"/>
      <w:bookmarkEnd w:id="27"/>
      <w:bookmarkEnd w:id="28"/>
      <w:bookmarkEnd w:id="29"/>
      <w:bookmarkEnd w:id="30"/>
    </w:p>
    <w:sectPr w:rsidR="000D29A3">
      <w:footerReference w:type="default" r:id="rId8"/>
      <w:pgSz w:w="11906" w:h="16838"/>
      <w:pgMar w:top="1440" w:right="1800" w:bottom="1440" w:left="1800"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991E" w14:textId="77777777" w:rsidR="000D29A3" w:rsidRDefault="00BE4533">
      <w:pPr>
        <w:spacing w:line="240" w:lineRule="auto"/>
        <w:rPr>
          <w:rFonts w:hint="eastAsia"/>
        </w:rPr>
      </w:pPr>
      <w:r>
        <w:separator/>
      </w:r>
    </w:p>
  </w:endnote>
  <w:endnote w:type="continuationSeparator" w:id="0">
    <w:p w14:paraId="098C6E22" w14:textId="77777777" w:rsidR="000D29A3" w:rsidRDefault="00BE453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楷体">
    <w:altName w:val="汉仪楷体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E24D" w14:textId="77777777" w:rsidR="000D29A3" w:rsidRDefault="00BE4533">
    <w:pPr>
      <w:pStyle w:val="aff9"/>
      <w:jc w:val="center"/>
    </w:pPr>
    <w:r>
      <w:rPr>
        <w:noProof/>
      </w:rPr>
      <mc:AlternateContent>
        <mc:Choice Requires="wps">
          <w:drawing>
            <wp:anchor distT="0" distB="0" distL="114300" distR="114300" simplePos="0" relativeHeight="251661312" behindDoc="0" locked="0" layoutInCell="1" allowOverlap="1" wp14:anchorId="646F31F8" wp14:editId="18DCDE0C">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92A30B" w14:textId="77777777" w:rsidR="000D29A3" w:rsidRDefault="00BE4533">
                          <w:pPr>
                            <w:pStyle w:val="af0"/>
                            <w:ind w:firstLine="360"/>
                            <w:rPr>
                              <w:rFonts w:hint="eastAsia"/>
                            </w:rPr>
                          </w:pPr>
                          <w:r>
                            <w:fldChar w:fldCharType="begin"/>
                          </w:r>
                          <w:r>
                            <w:instrText xml:space="preserve"> PAGE  \* MERGEFORMAT </w:instrText>
                          </w:r>
                          <w:r>
                            <w:fldChar w:fldCharType="separate"/>
                          </w:r>
                          <w:r>
                            <w:t>1</w:t>
                          </w:r>
                          <w:r>
                            <w:fldChar w:fldCharType="end"/>
                          </w:r>
                        </w:p>
                        <w:p w14:paraId="2685BA5C" w14:textId="77777777" w:rsidR="000D29A3" w:rsidRDefault="000D29A3">
                          <w:pPr>
                            <w:pStyle w:val="af0"/>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6F31F8"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A92A30B" w14:textId="77777777" w:rsidR="000D29A3" w:rsidRDefault="00BE4533">
                    <w:pPr>
                      <w:pStyle w:val="af0"/>
                      <w:ind w:firstLine="360"/>
                      <w:rPr>
                        <w:rFonts w:hint="eastAsia"/>
                      </w:rPr>
                    </w:pPr>
                    <w:r>
                      <w:fldChar w:fldCharType="begin"/>
                    </w:r>
                    <w:r>
                      <w:instrText xml:space="preserve"> PAGE  \* MERGEFORMAT </w:instrText>
                    </w:r>
                    <w:r>
                      <w:fldChar w:fldCharType="separate"/>
                    </w:r>
                    <w:r>
                      <w:t>1</w:t>
                    </w:r>
                    <w:r>
                      <w:fldChar w:fldCharType="end"/>
                    </w:r>
                  </w:p>
                  <w:p w14:paraId="2685BA5C" w14:textId="77777777" w:rsidR="000D29A3" w:rsidRDefault="000D29A3">
                    <w:pPr>
                      <w:pStyle w:val="af0"/>
                      <w:ind w:firstLine="360"/>
                      <w:jc w:val="both"/>
                      <w:rPr>
                        <w:rFonts w:hint="eastAsia"/>
                      </w:rPr>
                    </w:pP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6C3F3BDD" wp14:editId="50E86E64">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489C3" w14:textId="77777777" w:rsidR="000D29A3" w:rsidRDefault="000D29A3">
                          <w:pPr>
                            <w:pStyle w:val="af0"/>
                            <w:ind w:firstLineChars="0" w:firstLine="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w14:anchorId="6C3F3BDD" id="文本框 1" o:spid="_x0000_s1027" type="#_x0000_t202" style="position:absolute;left:0;text-align:left;margin-left:210.15pt;margin-top:1pt;width:18.5pt;height:2in;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" filled="f" stroked="f" strokeweight=".5pt">
              <v:textbox style="mso-fit-shape-to-text:t" inset="0,0,0,0">
                <w:txbxContent>
                  <w:p w14:paraId="236489C3" w14:textId="77777777" w:rsidR="000D29A3" w:rsidRDefault="000D29A3">
                    <w:pPr>
                      <w:pStyle w:val="af0"/>
                      <w:ind w:firstLineChars="0" w:firstLine="0"/>
                      <w:jc w:val="center"/>
                      <w:rPr>
                        <w:rFonts w:hint="eastAsia"/>
                      </w:rPr>
                    </w:pP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7FDFDBC0" wp14:editId="49FE446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5637C0" w14:textId="77777777" w:rsidR="000D29A3" w:rsidRDefault="000D29A3">
                          <w:pPr>
                            <w:pStyle w:val="af0"/>
                            <w:ind w:firstLineChars="0" w:firstLine="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7FDFDBC0" id="文本框 2"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D5637C0" w14:textId="77777777" w:rsidR="000D29A3" w:rsidRDefault="000D29A3">
                    <w:pPr>
                      <w:pStyle w:val="af0"/>
                      <w:ind w:firstLineChars="0" w:firstLine="0"/>
                      <w:jc w:val="both"/>
                      <w:rPr>
                        <w:rFonts w:hint="eastAsia"/>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B8C3" w14:textId="77777777" w:rsidR="000D29A3" w:rsidRDefault="00BE4533">
      <w:pPr>
        <w:rPr>
          <w:rFonts w:hint="eastAsia"/>
        </w:rPr>
      </w:pPr>
      <w:r>
        <w:separator/>
      </w:r>
    </w:p>
  </w:footnote>
  <w:footnote w:type="continuationSeparator" w:id="0">
    <w:p w14:paraId="361E4979" w14:textId="77777777" w:rsidR="000D29A3" w:rsidRDefault="00BE453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C5917C3"/>
    <w:multiLevelType w:val="multilevel"/>
    <w:tmpl w:val="2C5917C3"/>
    <w:lvl w:ilvl="0">
      <w:start w:val="1"/>
      <w:numFmt w:val="none"/>
      <w:pStyle w:val="a3"/>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44C50F90"/>
    <w:multiLevelType w:val="multilevel"/>
    <w:tmpl w:val="44C50F90"/>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61961AC5"/>
    <w:multiLevelType w:val="multilevel"/>
    <w:tmpl w:val="61961AC5"/>
    <w:lvl w:ilvl="0">
      <w:start w:val="1"/>
      <w:numFmt w:val="chineseCountingThousand"/>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15:restartNumberingAfterBreak="0">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418"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DBF04F4"/>
    <w:multiLevelType w:val="multilevel"/>
    <w:tmpl w:val="6DBF04F4"/>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881677447">
    <w:abstractNumId w:val="3"/>
  </w:num>
  <w:num w:numId="2" w16cid:durableId="1569728696">
    <w:abstractNumId w:val="0"/>
  </w:num>
  <w:num w:numId="3" w16cid:durableId="794760957">
    <w:abstractNumId w:val="1"/>
  </w:num>
  <w:num w:numId="4" w16cid:durableId="1776830974">
    <w:abstractNumId w:val="4"/>
  </w:num>
  <w:num w:numId="5" w16cid:durableId="1119683988">
    <w:abstractNumId w:val="6"/>
  </w:num>
  <w:num w:numId="6" w16cid:durableId="208077702">
    <w:abstractNumId w:val="2"/>
  </w:num>
  <w:num w:numId="7" w16cid:durableId="1551309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xYmNiMmFiOWI4ODczM2I1MTRmYWYyMWE0NzVhNzQifQ=="/>
  </w:docVars>
  <w:rsids>
    <w:rsidRoot w:val="00A241FB"/>
    <w:rsid w:val="EC0F5129"/>
    <w:rsid w:val="FEFDF2A3"/>
    <w:rsid w:val="00003653"/>
    <w:rsid w:val="000574ED"/>
    <w:rsid w:val="000D29A3"/>
    <w:rsid w:val="00105208"/>
    <w:rsid w:val="001559B8"/>
    <w:rsid w:val="00157045"/>
    <w:rsid w:val="001A11C2"/>
    <w:rsid w:val="001D78E4"/>
    <w:rsid w:val="001E1983"/>
    <w:rsid w:val="002A1B70"/>
    <w:rsid w:val="002D213C"/>
    <w:rsid w:val="00355578"/>
    <w:rsid w:val="00366739"/>
    <w:rsid w:val="0036785B"/>
    <w:rsid w:val="003752AB"/>
    <w:rsid w:val="003C6F3B"/>
    <w:rsid w:val="003D66B4"/>
    <w:rsid w:val="004279F7"/>
    <w:rsid w:val="00431B68"/>
    <w:rsid w:val="00433588"/>
    <w:rsid w:val="004C1FA8"/>
    <w:rsid w:val="004F037F"/>
    <w:rsid w:val="00500532"/>
    <w:rsid w:val="0051085F"/>
    <w:rsid w:val="00554AAE"/>
    <w:rsid w:val="005629CB"/>
    <w:rsid w:val="00577718"/>
    <w:rsid w:val="005C6ADC"/>
    <w:rsid w:val="005F067C"/>
    <w:rsid w:val="00622E60"/>
    <w:rsid w:val="00731B99"/>
    <w:rsid w:val="0075417F"/>
    <w:rsid w:val="007558C3"/>
    <w:rsid w:val="008A07C4"/>
    <w:rsid w:val="00920750"/>
    <w:rsid w:val="00965EE4"/>
    <w:rsid w:val="00987ED2"/>
    <w:rsid w:val="009B36D3"/>
    <w:rsid w:val="009B5B08"/>
    <w:rsid w:val="009E0EEB"/>
    <w:rsid w:val="009E4416"/>
    <w:rsid w:val="009E5BB5"/>
    <w:rsid w:val="00A12741"/>
    <w:rsid w:val="00A2159E"/>
    <w:rsid w:val="00A241FB"/>
    <w:rsid w:val="00A6252D"/>
    <w:rsid w:val="00AD1339"/>
    <w:rsid w:val="00BE4533"/>
    <w:rsid w:val="00BF08A7"/>
    <w:rsid w:val="00C43D7B"/>
    <w:rsid w:val="00C4675F"/>
    <w:rsid w:val="00C60D45"/>
    <w:rsid w:val="00C97C3D"/>
    <w:rsid w:val="00D258BF"/>
    <w:rsid w:val="00D56D84"/>
    <w:rsid w:val="00D67FBE"/>
    <w:rsid w:val="00D72B01"/>
    <w:rsid w:val="00D7568F"/>
    <w:rsid w:val="00DA5C53"/>
    <w:rsid w:val="00E23FFF"/>
    <w:rsid w:val="00E508A4"/>
    <w:rsid w:val="00E954BD"/>
    <w:rsid w:val="00ED2324"/>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BB9A0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7FE2366"/>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3E8553"/>
    <w:rsid w:val="7E461224"/>
    <w:rsid w:val="7E5C45A3"/>
    <w:rsid w:val="7E8B6C36"/>
    <w:rsid w:val="7E9E4525"/>
    <w:rsid w:val="7EBE7E5E"/>
    <w:rsid w:val="7ECB1729"/>
    <w:rsid w:val="7ECF2FC7"/>
    <w:rsid w:val="7EE8052D"/>
    <w:rsid w:val="7F315A30"/>
    <w:rsid w:val="7F427C3D"/>
    <w:rsid w:val="7F9F508F"/>
    <w:rsid w:val="7FB81CAD"/>
    <w:rsid w:val="7FD12D6F"/>
    <w:rsid w:val="7FE5681A"/>
    <w:rsid w:val="7FF76C79"/>
    <w:rsid w:val="8F5B9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69944"/>
  <w15:docId w15:val="{6C8AA5F6-5F15-41A7-B0B5-3D4296E3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adjustRightInd w:val="0"/>
      <w:snapToGrid w:val="0"/>
      <w:spacing w:line="360" w:lineRule="auto"/>
      <w:ind w:firstLineChars="200" w:firstLine="420"/>
      <w:jc w:val="both"/>
    </w:pPr>
    <w:rPr>
      <w:rFonts w:asciiTheme="minorEastAsia" w:eastAsiaTheme="minorEastAsia" w:hAnsiTheme="minorEastAsia" w:cs="宋体"/>
      <w:sz w:val="21"/>
      <w:lang w:bidi="zh-TW"/>
    </w:rPr>
  </w:style>
  <w:style w:type="paragraph" w:styleId="1">
    <w:name w:val="heading 1"/>
    <w:basedOn w:val="a9"/>
    <w:next w:val="a9"/>
    <w:qFormat/>
    <w:pPr>
      <w:keepNext/>
      <w:keepLines/>
      <w:outlineLvl w:val="0"/>
    </w:pPr>
    <w:rPr>
      <w:rFonts w:eastAsia="黑体"/>
      <w:b/>
      <w:kern w:val="44"/>
      <w:sz w:val="28"/>
    </w:rPr>
  </w:style>
  <w:style w:type="paragraph" w:styleId="2">
    <w:name w:val="heading 2"/>
    <w:basedOn w:val="a9"/>
    <w:next w:val="a9"/>
    <w:unhideWhenUsed/>
    <w:qFormat/>
    <w:pPr>
      <w:keepNext/>
      <w:keepLines/>
      <w:numPr>
        <w:ilvl w:val="1"/>
        <w:numId w:val="1"/>
      </w:numPr>
      <w:outlineLvl w:val="1"/>
    </w:pPr>
    <w:rPr>
      <w:rFonts w:ascii="Arial" w:eastAsia="楷体_GB2312" w:hAnsi="Arial" w:cstheme="minorBidi"/>
      <w:b/>
      <w:bCs/>
      <w:sz w:val="24"/>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text"/>
    <w:basedOn w:val="a9"/>
    <w:qFormat/>
  </w:style>
  <w:style w:type="paragraph" w:styleId="ae">
    <w:name w:val="Body Text"/>
    <w:basedOn w:val="a9"/>
    <w:semiHidden/>
    <w:qFormat/>
    <w:rPr>
      <w:rFonts w:ascii="黑体" w:eastAsia="黑体" w:hAnsi="黑体" w:cs="黑体"/>
      <w:sz w:val="28"/>
      <w:szCs w:val="28"/>
      <w:lang w:eastAsia="en-US" w:bidi="ar-SA"/>
    </w:rPr>
  </w:style>
  <w:style w:type="paragraph" w:styleId="af">
    <w:name w:val="Plain Text"/>
    <w:basedOn w:val="a9"/>
    <w:next w:val="a9"/>
    <w:qFormat/>
    <w:rPr>
      <w:rFonts w:ascii="宋体" w:hAnsi="Courier New"/>
    </w:rPr>
  </w:style>
  <w:style w:type="paragraph" w:styleId="af0">
    <w:name w:val="footer"/>
    <w:basedOn w:val="a9"/>
    <w:uiPriority w:val="99"/>
    <w:qFormat/>
    <w:pPr>
      <w:ind w:rightChars="100" w:right="210"/>
      <w:jc w:val="right"/>
    </w:pPr>
    <w:rPr>
      <w:sz w:val="18"/>
      <w:szCs w:val="18"/>
    </w:rPr>
  </w:style>
  <w:style w:type="paragraph" w:styleId="af1">
    <w:name w:val="header"/>
    <w:basedOn w:val="a9"/>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f2">
    <w:name w:val="Normal (Web)"/>
    <w:basedOn w:val="a9"/>
    <w:qFormat/>
    <w:pPr>
      <w:spacing w:beforeAutospacing="1" w:afterAutospacing="1"/>
    </w:pPr>
    <w:rPr>
      <w:rFonts w:ascii="宋体" w:hAnsi="宋体" w:hint="eastAsia"/>
      <w:sz w:val="24"/>
    </w:rPr>
  </w:style>
  <w:style w:type="table" w:styleId="af3">
    <w:name w:val="Table Grid"/>
    <w:basedOn w:val="ab"/>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mphasis"/>
    <w:basedOn w:val="aa"/>
    <w:qFormat/>
    <w:rPr>
      <w:i/>
    </w:rPr>
  </w:style>
  <w:style w:type="character" w:styleId="af5">
    <w:name w:val="Hyperlink"/>
    <w:basedOn w:val="aa"/>
    <w:qFormat/>
    <w:rPr>
      <w:color w:val="0000FF"/>
      <w:u w:val="single"/>
    </w:rPr>
  </w:style>
  <w:style w:type="paragraph" w:customStyle="1" w:styleId="af6">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9">
    <w:name w:val="封面标准英文名称"/>
    <w:basedOn w:val="af8"/>
    <w:qFormat/>
    <w:pPr>
      <w:framePr w:wrap="around"/>
      <w:spacing w:before="370" w:line="400" w:lineRule="exact"/>
    </w:pPr>
    <w:rPr>
      <w:rFonts w:ascii="Times New Roman"/>
      <w:sz w:val="28"/>
      <w:szCs w:val="28"/>
    </w:rPr>
  </w:style>
  <w:style w:type="paragraph" w:customStyle="1" w:styleId="afa">
    <w:name w:val="封面标准文稿类别"/>
    <w:basedOn w:val="afb"/>
    <w:qFormat/>
    <w:pPr>
      <w:framePr w:wrap="around"/>
      <w:spacing w:after="160" w:line="240" w:lineRule="auto"/>
    </w:pPr>
    <w:rPr>
      <w:sz w:val="24"/>
    </w:rPr>
  </w:style>
  <w:style w:type="paragraph" w:customStyle="1" w:styleId="afb">
    <w:name w:val="封面一致性程度标识"/>
    <w:basedOn w:val="af9"/>
    <w:qFormat/>
    <w:pPr>
      <w:framePr w:wrap="around"/>
      <w:spacing w:before="440"/>
    </w:pPr>
    <w:rPr>
      <w:rFonts w:ascii="宋体" w:eastAsia="宋体"/>
    </w:rPr>
  </w:style>
  <w:style w:type="paragraph" w:customStyle="1" w:styleId="afc">
    <w:name w:val="封面标准文稿编辑信息"/>
    <w:basedOn w:val="afa"/>
    <w:qFormat/>
    <w:pPr>
      <w:framePr w:wrap="around"/>
      <w:spacing w:before="180" w:line="180" w:lineRule="exact"/>
    </w:pPr>
    <w:rPr>
      <w:sz w:val="21"/>
    </w:rPr>
  </w:style>
  <w:style w:type="paragraph" w:customStyle="1" w:styleId="afd">
    <w:name w:val="其他发布日期"/>
    <w:basedOn w:val="afe"/>
    <w:qFormat/>
    <w:pPr>
      <w:framePr w:wrap="around" w:vAnchor="page" w:hAnchor="text" w:x="1419"/>
    </w:pPr>
  </w:style>
  <w:style w:type="paragraph" w:customStyle="1" w:styleId="afe">
    <w:name w:val="发布日期"/>
    <w:qFormat/>
    <w:pPr>
      <w:framePr w:w="3997" w:h="471" w:hRule="exact" w:vSpace="181" w:wrap="around" w:hAnchor="page" w:x="7089" w:y="14097" w:anchorLock="1"/>
    </w:pPr>
    <w:rPr>
      <w:rFonts w:eastAsia="黑体"/>
      <w:sz w:val="28"/>
    </w:rPr>
  </w:style>
  <w:style w:type="paragraph" w:customStyle="1" w:styleId="aff">
    <w:name w:val="其他实施日期"/>
    <w:basedOn w:val="aff0"/>
    <w:qFormat/>
    <w:pPr>
      <w:framePr w:wrap="around"/>
    </w:pPr>
  </w:style>
  <w:style w:type="paragraph" w:customStyle="1" w:styleId="aff0">
    <w:name w:val="实施日期"/>
    <w:basedOn w:val="afe"/>
    <w:qFormat/>
    <w:pPr>
      <w:framePr w:wrap="around" w:vAnchor="page" w:hAnchor="text"/>
      <w:jc w:val="right"/>
    </w:pPr>
  </w:style>
  <w:style w:type="paragraph" w:customStyle="1" w:styleId="aff1">
    <w:name w:val="其他发布部门"/>
    <w:basedOn w:val="aff2"/>
    <w:qFormat/>
    <w:pPr>
      <w:framePr w:wrap="around" w:y="15310"/>
      <w:spacing w:line="0" w:lineRule="atLeast"/>
    </w:pPr>
    <w:rPr>
      <w:rFonts w:ascii="黑体" w:eastAsia="黑体"/>
      <w:b w:val="0"/>
    </w:rPr>
  </w:style>
  <w:style w:type="paragraph" w:customStyle="1" w:styleId="aff2">
    <w:name w:val="发布部门"/>
    <w:next w:val="aff3"/>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3">
    <w:name w:val="段"/>
    <w:qFormat/>
    <w:pPr>
      <w:tabs>
        <w:tab w:val="center" w:pos="4201"/>
        <w:tab w:val="right" w:leader="dot" w:pos="9298"/>
      </w:tabs>
      <w:autoSpaceDE w:val="0"/>
      <w:autoSpaceDN w:val="0"/>
      <w:spacing w:line="360" w:lineRule="auto"/>
      <w:ind w:firstLineChars="200" w:firstLine="420"/>
      <w:jc w:val="both"/>
    </w:pPr>
    <w:rPr>
      <w:rFonts w:ascii="宋体"/>
      <w:sz w:val="21"/>
    </w:rPr>
  </w:style>
  <w:style w:type="character" w:customStyle="1" w:styleId="aff4">
    <w:name w:val="发布"/>
    <w:basedOn w:val="aa"/>
    <w:qFormat/>
    <w:rPr>
      <w:rFonts w:ascii="黑体" w:eastAsia="黑体"/>
      <w:spacing w:val="85"/>
      <w:w w:val="100"/>
      <w:position w:val="3"/>
      <w:sz w:val="28"/>
      <w:szCs w:val="28"/>
    </w:rPr>
  </w:style>
  <w:style w:type="paragraph" w:customStyle="1" w:styleId="aff5">
    <w:name w:val="前言、引言标题"/>
    <w:next w:val="aff3"/>
    <w:qFormat/>
    <w:pPr>
      <w:keepNext/>
      <w:pageBreakBefore/>
      <w:shd w:val="clear" w:color="FFFFFF" w:fill="FFFFFF"/>
      <w:spacing w:before="640" w:after="560"/>
      <w:jc w:val="center"/>
      <w:outlineLvl w:val="0"/>
    </w:pPr>
    <w:rPr>
      <w:rFonts w:ascii="黑体" w:eastAsia="黑体"/>
      <w:sz w:val="32"/>
    </w:rPr>
  </w:style>
  <w:style w:type="paragraph" w:customStyle="1" w:styleId="Bodytext1">
    <w:name w:val="Body text|1"/>
    <w:basedOn w:val="a9"/>
    <w:qFormat/>
    <w:pPr>
      <w:spacing w:line="312" w:lineRule="auto"/>
    </w:pPr>
    <w:rPr>
      <w:rFonts w:ascii="MingLiU" w:eastAsia="MingLiU" w:hAnsi="MingLiU" w:cs="MingLiU"/>
      <w:sz w:val="20"/>
      <w:lang w:val="zh-TW" w:eastAsia="zh-TW"/>
    </w:rPr>
  </w:style>
  <w:style w:type="paragraph" w:customStyle="1" w:styleId="a">
    <w:name w:val="章标题"/>
    <w:next w:val="aff3"/>
    <w:qFormat/>
    <w:pPr>
      <w:numPr>
        <w:numId w:val="2"/>
      </w:numPr>
      <w:spacing w:beforeLines="100" w:afterLines="100"/>
      <w:jc w:val="both"/>
      <w:outlineLvl w:val="1"/>
    </w:pPr>
    <w:rPr>
      <w:rFonts w:ascii="黑体" w:eastAsia="黑体"/>
      <w:sz w:val="21"/>
    </w:rPr>
  </w:style>
  <w:style w:type="paragraph" w:customStyle="1" w:styleId="a3">
    <w:name w:val="列项——（一级）"/>
    <w:qFormat/>
    <w:pPr>
      <w:widowControl w:val="0"/>
      <w:numPr>
        <w:numId w:val="3"/>
      </w:numPr>
      <w:jc w:val="both"/>
    </w:pPr>
    <w:rPr>
      <w:rFonts w:ascii="宋体"/>
      <w:sz w:val="21"/>
    </w:rPr>
  </w:style>
  <w:style w:type="paragraph" w:customStyle="1" w:styleId="aff6">
    <w:name w:val="一级无"/>
    <w:basedOn w:val="a0"/>
    <w:qFormat/>
    <w:pPr>
      <w:spacing w:beforeLines="0" w:afterLines="0"/>
    </w:pPr>
    <w:rPr>
      <w:rFonts w:ascii="宋体" w:eastAsia="宋体"/>
    </w:rPr>
  </w:style>
  <w:style w:type="paragraph" w:customStyle="1" w:styleId="a0">
    <w:name w:val="一级条标题"/>
    <w:next w:val="aff3"/>
    <w:qFormat/>
    <w:pPr>
      <w:numPr>
        <w:ilvl w:val="1"/>
        <w:numId w:val="2"/>
      </w:numPr>
      <w:spacing w:beforeLines="50" w:afterLines="50"/>
      <w:outlineLvl w:val="2"/>
    </w:pPr>
    <w:rPr>
      <w:rFonts w:ascii="黑体" w:eastAsia="黑体"/>
      <w:sz w:val="21"/>
      <w:szCs w:val="21"/>
    </w:rPr>
  </w:style>
  <w:style w:type="paragraph" w:customStyle="1" w:styleId="a5">
    <w:name w:val="正文表标题"/>
    <w:next w:val="aff3"/>
    <w:qFormat/>
    <w:pPr>
      <w:numPr>
        <w:numId w:val="4"/>
      </w:numPr>
      <w:tabs>
        <w:tab w:val="left" w:pos="360"/>
      </w:tabs>
      <w:spacing w:beforeLines="50" w:afterLines="50"/>
      <w:jc w:val="center"/>
    </w:pPr>
    <w:rPr>
      <w:rFonts w:ascii="黑体" w:eastAsia="黑体"/>
      <w:sz w:val="21"/>
    </w:rPr>
  </w:style>
  <w:style w:type="paragraph" w:customStyle="1" w:styleId="a8">
    <w:name w:val="注："/>
    <w:next w:val="aff3"/>
    <w:qFormat/>
    <w:pPr>
      <w:widowControl w:val="0"/>
      <w:numPr>
        <w:numId w:val="5"/>
      </w:numPr>
      <w:autoSpaceDE w:val="0"/>
      <w:autoSpaceDN w:val="0"/>
      <w:jc w:val="both"/>
    </w:pPr>
    <w:rPr>
      <w:rFonts w:ascii="宋体"/>
      <w:sz w:val="18"/>
      <w:szCs w:val="18"/>
    </w:rPr>
  </w:style>
  <w:style w:type="paragraph" w:customStyle="1" w:styleId="aff7">
    <w:name w:val="二级无"/>
    <w:basedOn w:val="a1"/>
    <w:qFormat/>
    <w:rPr>
      <w:rFonts w:ascii="宋体" w:eastAsia="宋体"/>
    </w:rPr>
  </w:style>
  <w:style w:type="paragraph" w:customStyle="1" w:styleId="a1">
    <w:name w:val="二级条标题"/>
    <w:basedOn w:val="a0"/>
    <w:next w:val="aff3"/>
    <w:qFormat/>
    <w:pPr>
      <w:numPr>
        <w:ilvl w:val="2"/>
      </w:numPr>
      <w:spacing w:beforeLines="0" w:afterLines="0" w:line="360" w:lineRule="auto"/>
      <w:jc w:val="both"/>
      <w:outlineLvl w:val="3"/>
    </w:pPr>
  </w:style>
  <w:style w:type="paragraph" w:customStyle="1" w:styleId="aff8">
    <w:name w:val="三级无"/>
    <w:basedOn w:val="a2"/>
    <w:qFormat/>
    <w:rPr>
      <w:rFonts w:ascii="宋体" w:eastAsia="宋体"/>
    </w:rPr>
  </w:style>
  <w:style w:type="paragraph" w:customStyle="1" w:styleId="a2">
    <w:name w:val="三级条标题"/>
    <w:basedOn w:val="a1"/>
    <w:next w:val="aff3"/>
    <w:qFormat/>
    <w:pPr>
      <w:numPr>
        <w:ilvl w:val="3"/>
      </w:numPr>
      <w:outlineLvl w:val="4"/>
    </w:pPr>
  </w:style>
  <w:style w:type="paragraph" w:customStyle="1" w:styleId="a4">
    <w:name w:val="字母编号列项（一级）"/>
    <w:qFormat/>
    <w:pPr>
      <w:numPr>
        <w:numId w:val="6"/>
      </w:numPr>
      <w:jc w:val="both"/>
    </w:pPr>
    <w:rPr>
      <w:rFonts w:ascii="宋体"/>
      <w:sz w:val="21"/>
    </w:rPr>
  </w:style>
  <w:style w:type="paragraph" w:customStyle="1" w:styleId="aff9">
    <w:name w:val="标准书脚_奇数页"/>
    <w:qFormat/>
    <w:pPr>
      <w:spacing w:before="120"/>
      <w:ind w:right="198"/>
      <w:jc w:val="right"/>
    </w:pPr>
    <w:rPr>
      <w:rFonts w:ascii="宋体"/>
      <w:sz w:val="18"/>
      <w:szCs w:val="18"/>
    </w:rPr>
  </w:style>
  <w:style w:type="paragraph" w:customStyle="1" w:styleId="affa">
    <w:name w:val="其他标准称谓"/>
    <w:qFormat/>
    <w:pPr>
      <w:spacing w:line="0" w:lineRule="atLeast"/>
      <w:jc w:val="distribute"/>
    </w:pPr>
    <w:rPr>
      <w:rFonts w:ascii="黑体" w:eastAsia="黑体" w:hAnsi="宋体"/>
      <w:sz w:val="52"/>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b">
    <w:name w:val="标准书眉_奇数页"/>
    <w:next w:val="a9"/>
    <w:qFormat/>
    <w:pPr>
      <w:spacing w:after="120"/>
      <w:jc w:val="right"/>
    </w:pPr>
    <w:rPr>
      <w:sz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fc">
    <w:name w:val="标准文件_术语条一"/>
    <w:basedOn w:val="affd"/>
    <w:next w:val="affe"/>
    <w:qFormat/>
  </w:style>
  <w:style w:type="paragraph" w:customStyle="1" w:styleId="affd">
    <w:name w:val="标准文件_一级无标题"/>
    <w:basedOn w:val="a7"/>
    <w:qFormat/>
    <w:pPr>
      <w:spacing w:beforeLines="0" w:before="0" w:afterLines="0" w:after="0"/>
      <w:outlineLvl w:val="9"/>
    </w:pPr>
    <w:rPr>
      <w:rFonts w:ascii="宋体" w:eastAsia="宋体"/>
    </w:rPr>
  </w:style>
  <w:style w:type="paragraph" w:customStyle="1" w:styleId="a7">
    <w:name w:val="标准文件_一级条标题"/>
    <w:basedOn w:val="a6"/>
    <w:next w:val="affe"/>
    <w:qFormat/>
    <w:pPr>
      <w:numPr>
        <w:ilvl w:val="2"/>
      </w:numPr>
      <w:spacing w:beforeLines="50" w:before="50" w:afterLines="50" w:after="50"/>
      <w:outlineLvl w:val="1"/>
    </w:pPr>
  </w:style>
  <w:style w:type="paragraph" w:customStyle="1" w:styleId="a6">
    <w:name w:val="标准文件_章标题"/>
    <w:next w:val="affe"/>
    <w:qFormat/>
    <w:pPr>
      <w:numPr>
        <w:ilvl w:val="1"/>
        <w:numId w:val="7"/>
      </w:numPr>
      <w:spacing w:beforeLines="100" w:before="100" w:afterLines="100" w:after="100"/>
      <w:jc w:val="both"/>
      <w:outlineLvl w:val="0"/>
    </w:pPr>
    <w:rPr>
      <w:rFonts w:ascii="黑体" w:eastAsia="黑体"/>
      <w:sz w:val="21"/>
    </w:rPr>
  </w:style>
  <w:style w:type="paragraph" w:customStyle="1" w:styleId="affe">
    <w:name w:val="标准文件_段"/>
    <w:qFormat/>
    <w:pPr>
      <w:autoSpaceDE w:val="0"/>
      <w:autoSpaceDN w:val="0"/>
      <w:ind w:firstLineChars="200" w:firstLine="200"/>
      <w:jc w:val="both"/>
    </w:pPr>
    <w:rPr>
      <w:rFonts w:ascii="宋体"/>
      <w:sz w:val="21"/>
    </w:rPr>
  </w:style>
  <w:style w:type="character" w:customStyle="1" w:styleId="font21">
    <w:name w:val="font21"/>
    <w:basedOn w:val="aa"/>
    <w:qFormat/>
    <w:rPr>
      <w:rFonts w:ascii="Times New Roman" w:hAnsi="Times New Roman" w:cs="Times New Roman" w:hint="default"/>
      <w:color w:val="000000"/>
      <w:sz w:val="21"/>
      <w:szCs w:val="21"/>
      <w:u w:val="none"/>
    </w:rPr>
  </w:style>
  <w:style w:type="character" w:customStyle="1" w:styleId="font11">
    <w:name w:val="font11"/>
    <w:basedOn w:val="aa"/>
    <w:qFormat/>
    <w:rPr>
      <w:rFonts w:ascii="宋体" w:eastAsia="宋体" w:hAnsi="宋体" w:cs="宋体" w:hint="eastAsia"/>
      <w:color w:val="000000"/>
      <w:sz w:val="21"/>
      <w:szCs w:val="21"/>
      <w:u w:val="none"/>
    </w:rPr>
  </w:style>
  <w:style w:type="paragraph" w:customStyle="1" w:styleId="11">
    <w:name w:val="修订1"/>
    <w:hidden/>
    <w:uiPriority w:val="99"/>
    <w:unhideWhenUsed/>
    <w:qFormat/>
    <w:rPr>
      <w:kern w:val="2"/>
      <w:sz w:val="21"/>
      <w:szCs w:val="24"/>
    </w:rPr>
  </w:style>
  <w:style w:type="paragraph" w:customStyle="1" w:styleId="msolistparagraph0">
    <w:name w:val="msolistparagraph"/>
    <w:basedOn w:val="a9"/>
    <w:qFormat/>
    <w:rPr>
      <w:rFonts w:ascii="等线" w:eastAsia="等线" w:hAnsi="等线" w:hint="eastAsia"/>
    </w:rPr>
  </w:style>
  <w:style w:type="paragraph" w:styleId="afff">
    <w:name w:val="List Paragraph"/>
    <w:basedOn w:val="a9"/>
    <w:uiPriority w:val="99"/>
    <w:unhideWhenUsed/>
    <w:qFormat/>
  </w:style>
  <w:style w:type="paragraph" w:customStyle="1" w:styleId="TableText">
    <w:name w:val="Table Text"/>
    <w:basedOn w:val="a9"/>
    <w:semiHidden/>
    <w:qFormat/>
    <w:rPr>
      <w:rFonts w:ascii="宋体" w:eastAsia="宋体" w:hAnsi="宋体"/>
      <w:sz w:val="18"/>
      <w:szCs w:val="18"/>
      <w:lang w:eastAsia="en-US" w:bidi="ar-SA"/>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3754</Words>
  <Characters>653</Characters>
  <Application>Microsoft Office Word</Application>
  <DocSecurity>0</DocSecurity>
  <Lines>40</Lines>
  <Paragraphs>151</Paragraphs>
  <ScaleCrop>false</ScaleCrop>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wxx</dc:creator>
  <cp:lastModifiedBy>Nick Zang</cp:lastModifiedBy>
  <cp:revision>14</cp:revision>
  <dcterms:created xsi:type="dcterms:W3CDTF">2024-07-24T13:47:00Z</dcterms:created>
  <dcterms:modified xsi:type="dcterms:W3CDTF">2025-06-28T14:27:00Z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8A8F2304CBAB3CB65D783968F3650F19_43</vt:lpwstr>
  </property>
  <property fmtid="{D5CDD505-2E9C-101B-9397-08002B2CF9AE}" pid="4" name="KSOTemplateDocerSaveRecord">
    <vt:lpwstr>eyJoZGlkIjoiYWQ0NmY2ZTM2ZDI3ODk4OWZhYmU5MjY5MzMyNDYxYjMiLCJ1c2VySWQiOiI2NzY3MTU3NDcifQ==</vt:lpwstr>
  </property>
</Properties>
</file>