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8DC05">
      <w:pPr>
        <w:pStyle w:val="29"/>
        <w:framePr w:w="1142" w:h="634" w:hRule="exact"/>
        <w:spacing w:line="300" w:lineRule="exact"/>
        <w:ind w:firstLine="104" w:firstLineChars="104"/>
        <w:jc w:val="both"/>
        <w:rPr>
          <w:rFonts w:hint="default" w:ascii="Times New Roman" w:eastAsia="黑体" w:cs="Times New Roman"/>
          <w:color w:val="000000"/>
          <w:sz w:val="10"/>
          <w:szCs w:val="10"/>
          <w:lang w:val="en-US" w:eastAsia="zh-CN"/>
        </w:rPr>
      </w:pPr>
      <w:r>
        <w:rPr>
          <w:rFonts w:ascii="Times New Roman" w:eastAsia="宋体" w:cs="Times New Roman"/>
          <w:color w:val="000000"/>
          <w:sz w:val="10"/>
          <w:szCs w:val="10"/>
        </w:rPr>
        <w:t>ICS</w:t>
      </w:r>
      <w:r>
        <w:rPr>
          <w:rFonts w:ascii="Times New Roman" w:cs="Times New Roman"/>
          <w:color w:val="000000"/>
          <w:sz w:val="10"/>
          <w:szCs w:val="10"/>
        </w:rPr>
        <w:t xml:space="preserve"> 65.0</w:t>
      </w:r>
      <w:r>
        <w:rPr>
          <w:rFonts w:hint="eastAsia" w:ascii="Times New Roman" w:cs="Times New Roman"/>
          <w:color w:val="000000"/>
          <w:sz w:val="10"/>
          <w:szCs w:val="10"/>
          <w:lang w:val="en-US" w:eastAsia="zh-CN"/>
        </w:rPr>
        <w:t>4</w:t>
      </w:r>
      <w:r>
        <w:rPr>
          <w:rFonts w:ascii="Times New Roman" w:cs="Times New Roman"/>
          <w:color w:val="000000"/>
          <w:sz w:val="10"/>
          <w:szCs w:val="10"/>
        </w:rPr>
        <w:t>0.</w:t>
      </w:r>
      <w:r>
        <w:rPr>
          <w:rFonts w:hint="eastAsia" w:ascii="Times New Roman" w:cs="Times New Roman"/>
          <w:color w:val="000000"/>
          <w:sz w:val="10"/>
          <w:szCs w:val="10"/>
          <w:lang w:val="en-US" w:eastAsia="zh-CN"/>
        </w:rPr>
        <w:t>01</w:t>
      </w:r>
    </w:p>
    <w:p w14:paraId="34046115">
      <w:pPr>
        <w:pStyle w:val="29"/>
        <w:framePr w:w="1142" w:h="634" w:hRule="exact"/>
        <w:spacing w:line="300" w:lineRule="exact"/>
        <w:ind w:firstLine="100" w:firstLineChars="100"/>
        <w:rPr>
          <w:rFonts w:ascii="Times New Roman" w:cs="Times New Roman"/>
          <w:color w:val="000000"/>
          <w:sz w:val="10"/>
          <w:szCs w:val="10"/>
        </w:rPr>
      </w:pPr>
      <w:r>
        <w:rPr>
          <w:rFonts w:ascii="Times New Roman" w:eastAsia="宋体" w:cs="Times New Roman"/>
          <w:color w:val="000000"/>
          <w:sz w:val="10"/>
          <w:szCs w:val="10"/>
        </w:rPr>
        <w:t>CCS</w:t>
      </w:r>
      <w:r>
        <w:rPr>
          <w:rFonts w:ascii="Times New Roman" w:cs="Times New Roman"/>
          <w:color w:val="000000"/>
          <w:sz w:val="10"/>
          <w:szCs w:val="10"/>
        </w:rPr>
        <w:t xml:space="preserve"> </w:t>
      </w:r>
      <w:r>
        <w:rPr>
          <w:rFonts w:hint="eastAsia" w:ascii="Times New Roman" w:eastAsia="宋体" w:cs="Times New Roman"/>
          <w:color w:val="000000"/>
          <w:sz w:val="10"/>
          <w:szCs w:val="10"/>
          <w:lang w:val="en-US" w:eastAsia="zh-CN"/>
        </w:rPr>
        <w:t>P  35</w:t>
      </w:r>
      <w:r>
        <w:rPr>
          <w:rFonts w:ascii="Times New Roman" w:cs="Times New Roman"/>
          <w:color w:val="000000"/>
          <w:sz w:val="10"/>
          <w:szCs w:val="10"/>
        </w:rPr>
        <w:t xml:space="preserve"> </w:t>
      </w:r>
    </w:p>
    <w:tbl>
      <w:tblPr>
        <w:tblStyle w:val="13"/>
        <w:tblW w:w="198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</w:tblGrid>
      <w:tr w14:paraId="002C4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1087CB">
            <w:pPr>
              <w:pStyle w:val="29"/>
              <w:framePr w:w="1142" w:h="634" w:hRule="exact"/>
              <w:rPr>
                <w:rFonts w:ascii="Times New Roman" w:cs="Times New Roman"/>
                <w:color w:val="000000"/>
                <w:sz w:val="44"/>
                <w:szCs w:val="44"/>
              </w:rPr>
            </w:pPr>
            <w:r>
              <w:pict>
                <v:rect id="_x0000_s1026" o:spid="_x0000_s1026" o:spt="1" style="position:absolute;left:0pt;margin-left:-6pt;margin-top:-15pt;height:15.6pt;width:68.25pt;z-index:-251651072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</w:p>
        </w:tc>
      </w:tr>
    </w:tbl>
    <w:p w14:paraId="6033D0F2">
      <w:pPr>
        <w:pStyle w:val="30"/>
        <w:framePr w:w="2135" w:x="8620"/>
        <w:rPr>
          <w:rFonts w:ascii="Times New Roman" w:hAnsi="Times New Roman" w:cs="Times New Roman"/>
          <w:color w:val="000000"/>
          <w:sz w:val="52"/>
          <w:szCs w:val="52"/>
        </w:rPr>
      </w:pPr>
      <w:r>
        <w:rPr>
          <w:rFonts w:ascii="Times New Roman" w:hAnsi="Times New Roman" w:cs="Times New Roman"/>
          <w:color w:val="000000"/>
          <w:sz w:val="52"/>
          <w:szCs w:val="52"/>
        </w:rPr>
        <w:t>DB34</w:t>
      </w:r>
    </w:p>
    <w:p w14:paraId="60D5C798">
      <w:pPr>
        <w:pStyle w:val="31"/>
        <w:framePr w:w="10105" w:x="1056" w:y="2158"/>
        <w:rPr>
          <w:rFonts w:ascii="Times New Roman" w:hAnsi="Times New Roman" w:cs="Times New Roman"/>
          <w:color w:val="000000"/>
          <w:spacing w:val="-20"/>
          <w:sz w:val="44"/>
          <w:szCs w:val="44"/>
        </w:rPr>
      </w:pPr>
      <w:r>
        <w:rPr>
          <w:rFonts w:hint="eastAsia" w:ascii="Times New Roman" w:hAnsi="Times New Roman"/>
          <w:color w:val="000000"/>
          <w:spacing w:val="-20"/>
          <w:sz w:val="44"/>
          <w:szCs w:val="44"/>
        </w:rPr>
        <w:t>安徽省地方标准</w:t>
      </w:r>
    </w:p>
    <w:p w14:paraId="6FAA0B2C">
      <w:pPr>
        <w:pStyle w:val="32"/>
        <w:rPr>
          <w:rFonts w:ascii="Times New Roman" w:cs="Times New Roman"/>
          <w:color w:val="000000"/>
        </w:rPr>
      </w:pPr>
      <w:r>
        <w:rPr>
          <w:rFonts w:ascii="Times New Roman" w:eastAsia="宋体" w:cs="Times New Roman"/>
          <w:color w:val="000000"/>
        </w:rPr>
        <w:t>DB</w:t>
      </w:r>
      <w:bookmarkStart w:id="0" w:name="StdNo1"/>
      <w:r>
        <w:rPr>
          <w:rFonts w:ascii="Times New Roman" w:cs="Times New Roman"/>
          <w:color w:val="000000"/>
        </w:rPr>
        <w:t>34/</w:t>
      </w:r>
      <w:r>
        <w:rPr>
          <w:rFonts w:ascii="Times New Roman" w:eastAsia="宋体" w:cs="Times New Roman"/>
          <w:color w:val="000000"/>
        </w:rPr>
        <w:t>T</w:t>
      </w:r>
      <w:r>
        <w:rPr>
          <w:rFonts w:ascii="Times New Roman" w:cs="Times New Roman"/>
          <w:color w:val="000000"/>
        </w:rPr>
        <w:t xml:space="preserve"> </w:t>
      </w:r>
      <w:bookmarkEnd w:id="0"/>
      <w:r>
        <w:rPr>
          <w:rFonts w:hAnsi="黑体" w:eastAsia="宋体"/>
          <w:color w:val="000000"/>
        </w:rPr>
        <w:t>XXXX</w:t>
      </w:r>
      <w:r>
        <w:rPr>
          <w:rFonts w:ascii="Times New Roman" w:cs="Times New Roman"/>
          <w:color w:val="000000"/>
        </w:rPr>
        <w:t>—</w:t>
      </w:r>
      <w:r>
        <w:rPr>
          <w:rFonts w:hAnsi="黑体" w:eastAsia="宋体"/>
          <w:color w:val="000000"/>
        </w:rPr>
        <w:t>XXXX</w:t>
      </w:r>
    </w:p>
    <w:tbl>
      <w:tblPr>
        <w:tblStyle w:val="13"/>
        <w:tblW w:w="9356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08F3D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BAF42D6">
            <w:pPr>
              <w:pStyle w:val="33"/>
              <w:rPr>
                <w:rFonts w:ascii="Times New Roman" w:cs="Times New Roman"/>
                <w:color w:val="000000"/>
                <w:sz w:val="44"/>
                <w:szCs w:val="44"/>
              </w:rPr>
            </w:pPr>
            <w:bookmarkStart w:id="1" w:name="DT"/>
            <w:r>
              <w:pict>
                <v:rect id="_x0000_s1027" o:spid="_x0000_s1027" o:spt="1" style="position:absolute;left:0pt;margin-left:372.8pt;margin-top:2.7pt;height:18pt;width:90pt;z-index:-25165414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bookmarkEnd w:id="1"/>
          </w:p>
        </w:tc>
      </w:tr>
    </w:tbl>
    <w:p w14:paraId="432F2741">
      <w:pPr>
        <w:pStyle w:val="32"/>
        <w:rPr>
          <w:rFonts w:ascii="Times New Roman" w:cs="Times New Roman"/>
          <w:color w:val="000000"/>
          <w:sz w:val="44"/>
          <w:szCs w:val="44"/>
        </w:rPr>
      </w:pPr>
    </w:p>
    <w:p w14:paraId="287E6E57">
      <w:pPr>
        <w:pStyle w:val="32"/>
        <w:rPr>
          <w:rFonts w:ascii="Times New Roman" w:cs="Times New Roman"/>
          <w:color w:val="000000"/>
          <w:sz w:val="44"/>
          <w:szCs w:val="44"/>
        </w:rPr>
      </w:pPr>
    </w:p>
    <w:p w14:paraId="40F5EAB8">
      <w:pPr>
        <w:pStyle w:val="34"/>
        <w:framePr w:h="4816" w:hRule="exact" w:x="1203" w:y="5734"/>
        <w:rPr>
          <w:rFonts w:ascii="Times New Roman" w:cs="Times New Roman"/>
          <w:color w:val="000000"/>
          <w:sz w:val="44"/>
          <w:szCs w:val="44"/>
        </w:rPr>
      </w:pPr>
      <w:r>
        <w:rPr>
          <w:rFonts w:hint="eastAsia" w:ascii="Times New Roman"/>
          <w:color w:val="000000"/>
          <w:sz w:val="44"/>
          <w:szCs w:val="44"/>
        </w:rPr>
        <w:t>连栋薄膜温室建造技术与验收规范</w:t>
      </w:r>
    </w:p>
    <w:p w14:paraId="3F079860">
      <w:pPr>
        <w:pStyle w:val="34"/>
        <w:framePr w:h="4816" w:hRule="exact" w:x="1203" w:y="5734"/>
        <w:rPr>
          <w:rFonts w:ascii="Times New Roman" w:cs="Times New Roman"/>
          <w:color w:val="000000"/>
          <w:sz w:val="44"/>
          <w:szCs w:val="44"/>
        </w:rPr>
      </w:pPr>
    </w:p>
    <w:p w14:paraId="667EF704">
      <w:pPr>
        <w:pStyle w:val="34"/>
        <w:framePr w:h="4816" w:hRule="exact" w:x="1203" w:y="5734"/>
        <w:rPr>
          <w:rFonts w:ascii="Times New Roman" w:cs="Times New Roman"/>
          <w:color w:val="000000"/>
          <w:sz w:val="44"/>
          <w:szCs w:val="44"/>
        </w:rPr>
      </w:pPr>
      <w:r>
        <w:rPr>
          <w:rFonts w:ascii="Times New Roman" w:eastAsia="宋体" w:cs="Times New Roman"/>
          <w:color w:val="000000"/>
          <w:sz w:val="44"/>
          <w:szCs w:val="44"/>
        </w:rPr>
        <w:t xml:space="preserve">multi-story film greenhouse construction technology and acceptance specification </w:t>
      </w:r>
    </w:p>
    <w:tbl>
      <w:tblPr>
        <w:tblStyle w:val="13"/>
        <w:tblW w:w="9855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30DB5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8DC0BDF">
            <w:pPr>
              <w:pStyle w:val="35"/>
              <w:framePr w:h="4816" w:hRule="exact" w:x="1203" w:y="5734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>
              <w:rPr>
                <w:rFonts w:hint="eastAsia" w:ascii="黑体" w:eastAsia="黑体"/>
                <w:sz w:val="21"/>
                <w:szCs w:val="21"/>
                <w:lang w:eastAsia="zh-CN"/>
              </w:rPr>
              <w:pict>
                <v:rect id="_x0000_s1028" o:spid="_x0000_s1028" o:spt="1" style="position:absolute;left:0pt;margin-left:173.3pt;margin-top:45.15pt;height:20pt;width:150pt;z-index:-25165209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rPr>
                <w:rFonts w:hint="eastAsia" w:ascii="黑体" w:eastAsia="黑体"/>
                <w:sz w:val="21"/>
                <w:szCs w:val="21"/>
                <w:lang w:eastAsia="zh-CN"/>
              </w:rPr>
              <w:pict>
                <v:rect id="_x0000_s1029" o:spid="_x0000_s1029" o:spt="1" style="position:absolute;left:0pt;margin-left:193.3pt;margin-top:20.15pt;height:24pt;width:100pt;z-index:-25165312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rPr>
                <w:rFonts w:hint="eastAsia" w:ascii="黑体" w:eastAsia="黑体"/>
                <w:sz w:val="21"/>
                <w:szCs w:val="21"/>
                <w:lang w:eastAsia="zh-CN"/>
              </w:rPr>
              <w:t>（征求意见稿）</w:t>
            </w:r>
          </w:p>
        </w:tc>
      </w:tr>
      <w:tr w14:paraId="2567B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44378FF">
            <w:pPr>
              <w:pStyle w:val="37"/>
              <w:framePr w:h="4816" w:hRule="exact" w:x="1203" w:y="5734"/>
              <w:rPr>
                <w:rFonts w:hint="eastAsia" w:ascii="Times New Roman" w:hAnsi="Times New Roman" w:eastAsia="黑体" w:cs="Times New Roman"/>
                <w:color w:val="000000"/>
                <w:sz w:val="44"/>
                <w:szCs w:val="4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kern w:val="0"/>
                <w:sz w:val="21"/>
                <w:szCs w:val="21"/>
                <w:lang w:val="en-US" w:eastAsia="zh-CN" w:bidi="ar-SA"/>
              </w:rPr>
              <w:t>在提交反馈意见时，请将您知道的相关专利连同支持性文件一并附上。</w:t>
            </w:r>
          </w:p>
        </w:tc>
      </w:tr>
    </w:tbl>
    <w:p w14:paraId="08A02F5C">
      <w:pPr>
        <w:pStyle w:val="40"/>
        <w:framePr w:w="10252" w:h="536" w:hRule="exact" w:x="1085" w:y="15274"/>
        <w:rPr>
          <w:rFonts w:ascii="Times New Roman" w:cs="Times New Roman"/>
          <w:color w:val="000000"/>
          <w:spacing w:val="0"/>
          <w:w w:val="100"/>
          <w:sz w:val="24"/>
          <w:szCs w:val="24"/>
        </w:rPr>
      </w:pPr>
      <w:r>
        <w:rPr>
          <w:w w:val="100"/>
        </w:rPr>
        <w:pict>
          <v:shape id="_x0000_s1030" o:spid="_x0000_s1030" o:spt="202" type="#_x0000_t202" style="position:absolute;left:0pt;margin-left:-0.2pt;margin-top:-55.65pt;height:31.8pt;width:502.9pt;z-index:-25165004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 w14:paraId="5DFD3416">
                  <w:pPr>
                    <w:jc w:val="left"/>
                    <w:rPr>
                      <w:rFonts w:ascii="黑体" w:hAnsi="黑体" w:eastAsia="黑体" w:cs="Times New Roman"/>
                      <w:sz w:val="28"/>
                      <w:szCs w:val="28"/>
                    </w:rPr>
                  </w:pP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XXXX</w:t>
                  </w:r>
                  <w:r>
                    <w:rPr>
                      <w:rFonts w:ascii="黑体" w:hAnsi="黑体" w:eastAsia="黑体" w:cs="黑体"/>
                      <w:color w:val="000000"/>
                      <w:kern w:val="0"/>
                      <w:sz w:val="28"/>
                      <w:szCs w:val="28"/>
                    </w:rPr>
                    <w:t>-</w:t>
                  </w: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</w:t>
                  </w:r>
                  <w:r>
                    <w:rPr>
                      <w:rFonts w:ascii="黑体" w:hAnsi="黑体" w:eastAsia="黑体" w:cs="黑体"/>
                      <w:color w:val="000000"/>
                      <w:kern w:val="0"/>
                      <w:sz w:val="28"/>
                      <w:szCs w:val="28"/>
                    </w:rPr>
                    <w:t>-</w:t>
                  </w: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</w:t>
                  </w:r>
                  <w:r>
                    <w:rPr>
                      <w:rFonts w:hint="eastAsia" w:ascii="黑体" w:hAnsi="黑体" w:eastAsia="黑体" w:cs="黑体"/>
                      <w:color w:val="000000"/>
                      <w:kern w:val="0"/>
                      <w:sz w:val="28"/>
                      <w:szCs w:val="28"/>
                    </w:rPr>
                    <w:t>发布</w:t>
                  </w:r>
                  <w:r>
                    <w:rPr>
                      <w:rFonts w:ascii="黑体" w:hAnsi="黑体" w:eastAsia="黑体" w:cs="黑体"/>
                      <w:color w:val="000000"/>
                      <w:kern w:val="0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黑体" w:hAnsi="黑体" w:eastAsia="黑体" w:cs="黑体"/>
                      <w:color w:val="000000"/>
                      <w:sz w:val="28"/>
                      <w:szCs w:val="28"/>
                    </w:rPr>
                    <w:t xml:space="preserve">                                  </w:t>
                  </w: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XXXX</w:t>
                  </w:r>
                  <w:r>
                    <w:rPr>
                      <w:rFonts w:ascii="黑体" w:hAnsi="黑体" w:eastAsia="黑体" w:cs="黑体"/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</w:t>
                  </w:r>
                  <w:r>
                    <w:rPr>
                      <w:rFonts w:ascii="黑体" w:hAnsi="黑体" w:eastAsia="黑体" w:cs="黑体"/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rFonts w:ascii="黑体" w:hAnsi="黑体" w:cs="黑体"/>
                      <w:color w:val="000000"/>
                      <w:kern w:val="0"/>
                      <w:sz w:val="28"/>
                      <w:szCs w:val="28"/>
                    </w:rPr>
                    <w:t>XX</w:t>
                  </w:r>
                  <w:r>
                    <w:rPr>
                      <w:rFonts w:hint="eastAsia" w:ascii="黑体" w:hAnsi="黑体" w:eastAsia="黑体" w:cs="黑体"/>
                      <w:color w:val="000000"/>
                      <w:sz w:val="28"/>
                      <w:szCs w:val="28"/>
                    </w:rPr>
                    <w:t>实施</w:t>
                  </w:r>
                </w:p>
              </w:txbxContent>
            </v:textbox>
            <w10:anchorlock/>
          </v:shape>
        </w:pict>
      </w:r>
      <w:r>
        <w:rPr>
          <w:w w:val="100"/>
        </w:rPr>
        <w:pict>
          <v:line id="_x0000_s1031" o:spid="_x0000_s1031" o:spt="20" style="position:absolute;left:0pt;margin-left:-9.2pt;margin-top:-572.4pt;height:0pt;width:513pt;z-index:251661312;mso-width-relative:page;mso-height-relative:page;" coordsize="21600,21600">
            <v:path arrowok="t"/>
            <v:fill focussize="0,0"/>
            <v:stroke weight="0.5pt" joinstyle="miter"/>
            <v:imagedata o:title=""/>
            <o:lock v:ext="edit"/>
            <w10:anchorlock/>
          </v:line>
        </w:pict>
      </w:r>
      <w:r>
        <w:rPr>
          <w:w w:val="100"/>
        </w:rPr>
        <w:pict>
          <v:line id="_x0000_s1032" o:spid="_x0000_s1032" o:spt="20" style="position:absolute;left:0pt;margin-left:8.8pt;margin-top:-23.85pt;height:0pt;width:483.8pt;z-index:251660288;mso-width-relative:page;mso-height-relative:page;" coordsize="21600,21600">
            <v:path arrowok="t"/>
            <v:fill focussize="0,0"/>
            <v:stroke weight="0.5pt" joinstyle="miter"/>
            <v:imagedata o:title=""/>
            <o:lock v:ext="edit"/>
            <w10:anchorlock/>
          </v:line>
        </w:pict>
      </w:r>
      <w:r>
        <w:rPr>
          <w:rFonts w:hint="eastAsia" w:ascii="Times New Roman"/>
          <w:color w:val="000000"/>
          <w:spacing w:val="0"/>
          <w:w w:val="100"/>
          <w:sz w:val="24"/>
          <w:szCs w:val="24"/>
        </w:rPr>
        <w:t>安徽省市场监督管理局</w:t>
      </w:r>
      <w:r>
        <w:rPr>
          <w:rFonts w:hint="eastAsia" w:ascii="Times New Roman"/>
          <w:color w:val="000000"/>
          <w:spacing w:val="0"/>
          <w:w w:val="100"/>
          <w:sz w:val="24"/>
          <w:szCs w:val="24"/>
          <w:lang w:val="en-US" w:eastAsia="zh-CN"/>
        </w:rPr>
        <w:t xml:space="preserve">   </w:t>
      </w:r>
      <w:r>
        <w:rPr>
          <w:rStyle w:val="43"/>
          <w:rFonts w:hint="eastAsia" w:ascii="Times New Roman"/>
          <w:color w:val="000000"/>
          <w:spacing w:val="0"/>
          <w:position w:val="0"/>
          <w:sz w:val="24"/>
          <w:szCs w:val="24"/>
        </w:rPr>
        <w:t>发</w:t>
      </w:r>
      <w:r>
        <w:rPr>
          <w:rStyle w:val="43"/>
          <w:rFonts w:ascii="Times New Roman" w:cs="Times New Roman"/>
          <w:color w:val="000000"/>
          <w:spacing w:val="0"/>
          <w:position w:val="0"/>
          <w:sz w:val="24"/>
          <w:szCs w:val="24"/>
        </w:rPr>
        <w:t xml:space="preserve"> </w:t>
      </w:r>
      <w:r>
        <w:rPr>
          <w:rStyle w:val="43"/>
          <w:rFonts w:hint="eastAsia" w:ascii="Times New Roman"/>
          <w:color w:val="000000"/>
          <w:spacing w:val="0"/>
          <w:position w:val="0"/>
          <w:sz w:val="24"/>
          <w:szCs w:val="24"/>
        </w:rPr>
        <w:t>布</w:t>
      </w:r>
    </w:p>
    <w:p w14:paraId="6F3515F3">
      <w:pPr>
        <w:pStyle w:val="40"/>
        <w:framePr w:w="10252" w:h="536" w:hRule="exact" w:x="1085" w:y="15274"/>
        <w:rPr>
          <w:rFonts w:ascii="Times New Roman" w:cs="Times New Roman"/>
          <w:color w:val="000000"/>
          <w:sz w:val="44"/>
          <w:szCs w:val="44"/>
        </w:rPr>
        <w:sectPr>
          <w:pgSz w:w="11907" w:h="16840"/>
          <w:pgMar w:top="567" w:right="850" w:bottom="1134" w:left="1418" w:header="0" w:footer="0" w:gutter="0"/>
          <w:pgNumType w:start="1"/>
          <w:cols w:space="720" w:num="1"/>
          <w:docGrid w:type="linesAndChars" w:linePitch="312" w:charSpace="0"/>
        </w:sectPr>
      </w:pPr>
      <w:r>
        <w:rPr>
          <w:w w:val="100"/>
        </w:rPr>
        <w:pict>
          <v:line id="_x0000_s1033" o:spid="_x0000_s1033" o:spt="20" style="position:absolute;left:0pt;margin-left:-0.05pt;margin-top:184.25pt;height:0pt;width:481.9pt;z-index:251659264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 w14:paraId="7206B410">
      <w:pPr>
        <w:numPr>
          <w:ilvl w:val="0"/>
          <w:numId w:val="3"/>
        </w:numPr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bookmarkStart w:id="2" w:name="_Toc392510957"/>
      <w:bookmarkStart w:id="3" w:name="_Toc392511105"/>
      <w:bookmarkStart w:id="4" w:name="_Toc387321964"/>
      <w:bookmarkStart w:id="5" w:name="_Toc387394794"/>
      <w:bookmarkStart w:id="6" w:name="_Toc387394371"/>
      <w:bookmarkStart w:id="7" w:name="_Toc533189969"/>
      <w:bookmarkStart w:id="8" w:name="_Toc387245694"/>
      <w:bookmarkStart w:id="9" w:name="_Toc532981270"/>
      <w:bookmarkStart w:id="10" w:name="_Toc12703"/>
      <w:bookmarkStart w:id="11" w:name="_Toc387394125"/>
      <w:bookmarkStart w:id="12" w:name="_Toc387246183"/>
      <w:bookmarkStart w:id="13" w:name="_Toc387394671"/>
      <w:bookmarkStart w:id="14" w:name="_Toc407617585"/>
      <w:bookmarkStart w:id="15" w:name="_Toc392667504"/>
      <w:bookmarkStart w:id="16" w:name="_Toc388973379"/>
      <w:bookmarkStart w:id="17" w:name="_Toc390782382"/>
      <w:bookmarkStart w:id="18" w:name="_Toc387394248"/>
      <w:bookmarkStart w:id="19" w:name="_Toc392666917"/>
      <w:bookmarkStart w:id="20" w:name="_Toc19836"/>
      <w:bookmarkStart w:id="21" w:name="_Toc387394548"/>
      <w:bookmarkStart w:id="22" w:name="_Toc534232753"/>
      <w:bookmarkStart w:id="23" w:name="_Toc387319278"/>
      <w:bookmarkStart w:id="24" w:name="_Toc387313143"/>
      <w:bookmarkStart w:id="25" w:name="_Toc387246981"/>
      <w:bookmarkStart w:id="26" w:name="_Toc387395533"/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前</w:t>
      </w:r>
      <w:bookmarkStart w:id="27" w:name="BKQY"/>
      <w:r>
        <w:rPr>
          <w:rFonts w:ascii="Times New Roman" w:hAnsi="Times New Roman" w:eastAsia="黑体" w:cs="Times New Roman"/>
          <w:color w:val="000000"/>
          <w:sz w:val="32"/>
          <w:szCs w:val="32"/>
        </w:rPr>
        <w:t xml:space="preserve">  </w:t>
      </w:r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言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16B0342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bookmarkStart w:id="28" w:name="_Toc407617589"/>
      <w:bookmarkEnd w:id="28"/>
      <w:bookmarkStart w:id="29" w:name="_Toc407620348"/>
      <w:bookmarkEnd w:id="29"/>
      <w:bookmarkStart w:id="30" w:name="_Toc407620390"/>
      <w:bookmarkEnd w:id="30"/>
      <w:bookmarkStart w:id="31" w:name="_Toc407620440"/>
      <w:bookmarkEnd w:id="31"/>
      <w:bookmarkStart w:id="32" w:name="_Hlk24531163"/>
      <w:bookmarkStart w:id="33" w:name="_Toc395692511"/>
      <w:bookmarkStart w:id="34" w:name="_Toc395692923"/>
      <w:bookmarkStart w:id="35" w:name="_Toc395692672"/>
      <w:bookmarkStart w:id="36" w:name="_Toc395692780"/>
      <w:bookmarkStart w:id="37" w:name="_Toc395692972"/>
      <w:bookmarkStart w:id="38" w:name="_Toc395693311"/>
      <w:bookmarkStart w:id="39" w:name="_Toc395693023"/>
    </w:p>
    <w:p w14:paraId="44DFA6E2">
      <w:pPr>
        <w:pStyle w:val="56"/>
        <w:keepNext w:val="0"/>
        <w:keepLines w:val="0"/>
        <w:pageBreakBefore w:val="0"/>
        <w:topLinePunct w:val="0"/>
        <w:bidi w:val="0"/>
        <w:spacing w:line="360" w:lineRule="auto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3F6CF215">
      <w:pPr>
        <w:pStyle w:val="56"/>
        <w:keepNext w:val="0"/>
        <w:keepLines w:val="0"/>
        <w:pageBreakBefore w:val="0"/>
        <w:topLinePunct w:val="0"/>
        <w:bidi w:val="0"/>
        <w:spacing w:line="360" w:lineRule="auto"/>
        <w:ind w:firstLine="420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0D21F36E">
      <w:pPr>
        <w:pStyle w:val="56"/>
        <w:keepNext w:val="0"/>
        <w:keepLines w:val="0"/>
        <w:pageBreakBefore w:val="0"/>
        <w:topLinePunct w:val="0"/>
        <w:bidi w:val="0"/>
        <w:spacing w:line="360" w:lineRule="auto"/>
        <w:ind w:firstLine="420"/>
      </w:pPr>
      <w:r>
        <w:rPr>
          <w:rFonts w:hint="eastAsia"/>
        </w:rPr>
        <w:t>本文件由</w:t>
      </w:r>
      <w:r>
        <w:rPr>
          <w:rFonts w:hint="default"/>
          <w:lang w:val="en-US" w:eastAsia="zh-CN"/>
        </w:rPr>
        <w:t>安徽省农业机械试验鉴定站</w:t>
      </w:r>
      <w:r>
        <w:rPr>
          <w:rFonts w:hint="eastAsia"/>
        </w:rPr>
        <w:t>提出。</w:t>
      </w:r>
    </w:p>
    <w:p w14:paraId="50CCD6EB">
      <w:pPr>
        <w:pStyle w:val="56"/>
        <w:keepNext w:val="0"/>
        <w:keepLines w:val="0"/>
        <w:pageBreakBefore w:val="0"/>
        <w:topLinePunct w:val="0"/>
        <w:bidi w:val="0"/>
        <w:spacing w:line="360" w:lineRule="auto"/>
        <w:ind w:firstLine="420"/>
      </w:pPr>
      <w:r>
        <w:rPr>
          <w:rFonts w:hint="eastAsia"/>
        </w:rPr>
        <w:t>本文件由安徽省农业农村厅归口。</w:t>
      </w:r>
    </w:p>
    <w:p w14:paraId="4802E56C">
      <w:pPr>
        <w:pStyle w:val="56"/>
        <w:keepNext w:val="0"/>
        <w:keepLines w:val="0"/>
        <w:pageBreakBefore w:val="0"/>
        <w:topLinePunct w:val="0"/>
        <w:bidi w:val="0"/>
        <w:spacing w:line="360" w:lineRule="auto"/>
        <w:ind w:firstLine="420"/>
        <w:rPr>
          <w:rFonts w:hint="eastAsia" w:eastAsia="宋体"/>
          <w:lang w:eastAsia="zh-CN"/>
        </w:rPr>
      </w:pPr>
      <w:r>
        <w:rPr>
          <w:rFonts w:hint="eastAsia"/>
        </w:rPr>
        <w:t>本文件起草单位：</w:t>
      </w:r>
      <w:r>
        <w:rPr>
          <w:rFonts w:hint="default"/>
          <w:lang w:val="en-US" w:eastAsia="zh-CN"/>
        </w:rPr>
        <w:t>安徽省农业机械试验鉴定站</w:t>
      </w:r>
      <w:r>
        <w:rPr>
          <w:rFonts w:hint="eastAsia"/>
        </w:rPr>
        <w:t>、安徽省设施农业装备行业协会、安徽应时农业设计院有限公司、合肥市日之丰农业发展有限公司、合肥九万里工程项目管理有限公司</w:t>
      </w:r>
      <w:r>
        <w:rPr>
          <w:rFonts w:hint="eastAsia"/>
          <w:lang w:eastAsia="zh-CN"/>
        </w:rPr>
        <w:t>。</w:t>
      </w:r>
    </w:p>
    <w:p w14:paraId="55F348A9">
      <w:pPr>
        <w:spacing w:line="360" w:lineRule="auto"/>
        <w:ind w:firstLine="420" w:firstLineChars="200"/>
        <w:rPr>
          <w:rFonts w:hint="eastAsia" w:ascii="Times New Roman" w:hAnsi="Times New Roman" w:eastAsia="宋体" w:cs="宋体"/>
          <w:color w:val="000000"/>
          <w:lang w:val="en-US" w:eastAsia="zh-CN"/>
        </w:rPr>
      </w:pPr>
      <w:r>
        <w:rPr>
          <w:rFonts w:hint="eastAsia"/>
        </w:rPr>
        <w:t>本文件主要起草人：</w:t>
      </w:r>
      <w:r>
        <w:rPr>
          <w:rFonts w:hint="eastAsia"/>
          <w:lang w:eastAsia="zh-CN"/>
        </w:rPr>
        <w:t>汪泳、叶见青</w:t>
      </w:r>
      <w:r>
        <w:rPr>
          <w:rFonts w:hint="eastAsia"/>
          <w:b w:val="0"/>
          <w:bCs w:val="0"/>
          <w:color w:val="auto"/>
          <w:lang w:eastAsia="zh-CN"/>
        </w:rPr>
        <w:t>、</w:t>
      </w:r>
      <w:r>
        <w:rPr>
          <w:rFonts w:hint="eastAsia"/>
          <w:b w:val="0"/>
          <w:bCs w:val="0"/>
          <w:color w:val="auto"/>
          <w:u w:val="none"/>
          <w:lang w:val="en-US" w:eastAsia="zh-CN"/>
        </w:rPr>
        <w:t>朱成亮</w:t>
      </w:r>
      <w:r>
        <w:rPr>
          <w:rFonts w:hint="eastAsia"/>
          <w:b w:val="0"/>
          <w:bCs w:val="0"/>
          <w:color w:val="auto"/>
          <w:lang w:val="en-US" w:eastAsia="zh-CN"/>
        </w:rPr>
        <w:t>、</w:t>
      </w:r>
      <w:r>
        <w:rPr>
          <w:rFonts w:hint="eastAsia"/>
          <w:b w:val="0"/>
          <w:bCs w:val="0"/>
          <w:color w:val="auto"/>
          <w:lang w:eastAsia="zh-CN"/>
        </w:rPr>
        <w:t>李杰、吴利苹、肖美华、孙伟、</w:t>
      </w:r>
      <w:r>
        <w:rPr>
          <w:rFonts w:hint="eastAsia"/>
          <w:b w:val="0"/>
          <w:bCs w:val="0"/>
          <w:color w:val="auto"/>
          <w:lang w:val="en-US" w:eastAsia="zh-CN"/>
        </w:rPr>
        <w:t>郭庆、谢星新、</w:t>
      </w:r>
      <w:r>
        <w:rPr>
          <w:rFonts w:hint="eastAsia"/>
          <w:b w:val="0"/>
          <w:bCs w:val="0"/>
          <w:color w:val="auto"/>
          <w:lang w:eastAsia="zh-CN"/>
        </w:rPr>
        <w:t>刘正余、葛立权、周培倩、吕维平、吴晓晨、</w:t>
      </w:r>
      <w:r>
        <w:rPr>
          <w:rFonts w:hint="eastAsia"/>
          <w:b w:val="0"/>
          <w:bCs w:val="0"/>
          <w:color w:val="auto"/>
          <w:lang w:val="en-US" w:eastAsia="zh-CN"/>
        </w:rPr>
        <w:t>邓钢</w:t>
      </w:r>
      <w:r>
        <w:rPr>
          <w:rFonts w:hint="eastAsia"/>
          <w:lang w:eastAsia="zh-CN"/>
        </w:rPr>
        <w:t>。</w:t>
      </w:r>
    </w:p>
    <w:bookmarkEnd w:id="32"/>
    <w:p w14:paraId="2788386A">
      <w:pPr>
        <w:spacing w:line="360" w:lineRule="auto"/>
        <w:ind w:firstLine="420" w:firstLineChars="200"/>
        <w:rPr>
          <w:rFonts w:ascii="Times New Roman" w:hAnsi="Times New Roman" w:cs="Times New Roman"/>
          <w:color w:val="000000"/>
        </w:rPr>
      </w:pPr>
    </w:p>
    <w:p w14:paraId="1EC59324">
      <w:pPr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</w:p>
    <w:p w14:paraId="45C53EC6">
      <w:pPr>
        <w:tabs>
          <w:tab w:val="left" w:pos="3360"/>
        </w:tabs>
        <w:spacing w:line="36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</w:p>
    <w:p w14:paraId="4B0EBD33">
      <w:pPr>
        <w:spacing w:line="360" w:lineRule="auto"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br w:type="page"/>
      </w:r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目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 xml:space="preserve">  </w:t>
      </w:r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次</w:t>
      </w:r>
    </w:p>
    <w:p w14:paraId="4DF74ECE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74653DB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/>
          <w:bCs/>
          <w:color w:val="000000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</w:rPr>
        <w:instrText xml:space="preserve">TOC \o "1-3" \h \u </w:instrText>
      </w:r>
      <w:r>
        <w:rPr>
          <w:rFonts w:ascii="Times New Roman" w:hAnsi="Times New Roman" w:cs="Times New Roman"/>
          <w:b/>
          <w:bCs/>
          <w:color w:val="000000"/>
        </w:rPr>
        <w:fldChar w:fldCharType="separate"/>
      </w: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_Toc30530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ascii="黑体" w:hAnsi="黑体" w:eastAsia="黑体" w:cs="黑体"/>
          <w:bCs w:val="0"/>
          <w:szCs w:val="21"/>
        </w:rPr>
        <w:t xml:space="preserve">1  </w:t>
      </w:r>
      <w:r>
        <w:rPr>
          <w:rFonts w:hint="eastAsia" w:ascii="Times New Roman" w:hAnsi="Times New Roman" w:eastAsia="黑体" w:cs="黑体"/>
          <w:bCs w:val="0"/>
          <w:szCs w:val="21"/>
        </w:rPr>
        <w:t>范围</w:t>
      </w:r>
      <w:r>
        <w:tab/>
      </w:r>
      <w:r>
        <w:fldChar w:fldCharType="begin"/>
      </w:r>
      <w:r>
        <w:instrText xml:space="preserve"> PAGEREF _Toc30530 \h </w:instrText>
      </w:r>
      <w:r>
        <w:fldChar w:fldCharType="separate"/>
      </w:r>
      <w:r>
        <w:t>1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2B1AB409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_Toc30940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ascii="黑体" w:hAnsi="黑体" w:eastAsia="黑体" w:cs="黑体"/>
          <w:bCs w:val="0"/>
          <w:szCs w:val="21"/>
        </w:rPr>
        <w:t xml:space="preserve">2  </w:t>
      </w:r>
      <w:r>
        <w:rPr>
          <w:rFonts w:hint="eastAsia" w:ascii="Times New Roman" w:hAnsi="Times New Roman" w:eastAsia="黑体" w:cs="黑体"/>
          <w:bCs w:val="0"/>
          <w:szCs w:val="21"/>
        </w:rPr>
        <w:t>规范性引用文件</w:t>
      </w:r>
      <w:r>
        <w:tab/>
      </w:r>
      <w:r>
        <w:fldChar w:fldCharType="begin"/>
      </w:r>
      <w:r>
        <w:instrText xml:space="preserve"> PAGEREF _Toc30940 \h </w:instrText>
      </w:r>
      <w:r>
        <w:fldChar w:fldCharType="separate"/>
      </w:r>
      <w:r>
        <w:t>1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3CC5D0B3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_Toc16242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ascii="黑体" w:hAnsi="黑体" w:eastAsia="黑体" w:cs="黑体"/>
          <w:bCs w:val="0"/>
          <w:szCs w:val="21"/>
        </w:rPr>
        <w:t xml:space="preserve">3  </w:t>
      </w:r>
      <w:r>
        <w:rPr>
          <w:rFonts w:hint="eastAsia" w:ascii="Times New Roman" w:hAnsi="Times New Roman" w:eastAsia="黑体" w:cs="黑体"/>
          <w:bCs w:val="0"/>
          <w:szCs w:val="21"/>
        </w:rPr>
        <w:t>术语和定义</w:t>
      </w:r>
      <w:r>
        <w:tab/>
      </w:r>
      <w:r>
        <w:fldChar w:fldCharType="begin"/>
      </w:r>
      <w:r>
        <w:instrText xml:space="preserve"> PAGEREF _Toc16242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1B208252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_Toc22579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 xml:space="preserve">3.1 </w:t>
      </w:r>
      <w:r>
        <w:rPr>
          <w:rFonts w:hint="eastAsia" w:hAnsi="黑体"/>
          <w:kern w:val="44"/>
          <w:lang w:eastAsia="zh-CN"/>
        </w:rPr>
        <w:t>连栋薄膜温室</w:t>
      </w:r>
      <w:r>
        <w:tab/>
      </w:r>
      <w:r>
        <w:fldChar w:fldCharType="begin"/>
      </w:r>
      <w:r>
        <w:instrText xml:space="preserve"> PAGEREF _Toc22579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5F902067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_Toc7252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3.2 温室骨架</w:t>
      </w:r>
      <w:r>
        <w:tab/>
      </w:r>
      <w:r>
        <w:fldChar w:fldCharType="begin"/>
      </w:r>
      <w:r>
        <w:instrText xml:space="preserve"> PAGEREF _Toc7252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3883FB54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_Toc26871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3.3 跨度</w:t>
      </w:r>
      <w:r>
        <w:tab/>
      </w:r>
      <w:r>
        <w:fldChar w:fldCharType="begin"/>
      </w:r>
      <w:r>
        <w:instrText xml:space="preserve"> PAGEREF _Toc26871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2AE456A0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_Toc11115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3.4 开间</w:t>
      </w:r>
      <w:r>
        <w:tab/>
      </w:r>
      <w:r>
        <w:fldChar w:fldCharType="begin"/>
      </w:r>
      <w:r>
        <w:instrText xml:space="preserve"> PAGEREF _Toc11115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5B8507CC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_Toc20646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3.5 天沟</w:t>
      </w:r>
      <w:r>
        <w:tab/>
      </w:r>
      <w:r>
        <w:fldChar w:fldCharType="begin"/>
      </w:r>
      <w:r>
        <w:instrText xml:space="preserve"> PAGEREF _Toc20646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49FDDC45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_Toc10783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3.6 立柱</w:t>
      </w:r>
      <w:r>
        <w:tab/>
      </w:r>
      <w:r>
        <w:fldChar w:fldCharType="begin"/>
      </w:r>
      <w:r>
        <w:instrText xml:space="preserve"> PAGEREF _Toc10783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53DE2149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_Toc21859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3.7 拱</w:t>
      </w:r>
      <w:r>
        <w:tab/>
      </w:r>
      <w:r>
        <w:fldChar w:fldCharType="begin"/>
      </w:r>
      <w:r>
        <w:instrText xml:space="preserve"> PAGEREF _Toc21859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6D329E46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_Toc13051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3.8 顶高</w:t>
      </w:r>
      <w:r>
        <w:tab/>
      </w:r>
      <w:r>
        <w:fldChar w:fldCharType="begin"/>
      </w:r>
      <w:r>
        <w:instrText xml:space="preserve"> PAGEREF _Toc13051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043FBF6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_Toc10425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3.9 肩高</w:t>
      </w:r>
      <w:r>
        <w:tab/>
      </w:r>
      <w:r>
        <w:fldChar w:fldCharType="begin"/>
      </w:r>
      <w:r>
        <w:instrText xml:space="preserve"> PAGEREF _Toc10425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3B86CDFC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_Toc21983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3.10 基础</w:t>
      </w:r>
      <w:r>
        <w:tab/>
      </w:r>
      <w:r>
        <w:fldChar w:fldCharType="begin"/>
      </w:r>
      <w:r>
        <w:instrText xml:space="preserve"> PAGEREF _Toc21983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50E7CAAB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_Toc13696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ascii="Times New Roman" w:hAnsi="Times New Roman" w:eastAsia="黑体" w:cs="黑体"/>
          <w:bCs w:val="0"/>
          <w:szCs w:val="21"/>
        </w:rPr>
        <w:t xml:space="preserve">4  </w:t>
      </w:r>
      <w:r>
        <w:rPr>
          <w:rFonts w:hint="eastAsia" w:ascii="Times New Roman" w:hAnsi="Times New Roman" w:eastAsia="黑体" w:cs="黑体"/>
          <w:bCs w:val="0"/>
          <w:szCs w:val="21"/>
          <w:lang w:eastAsia="zh-CN"/>
        </w:rPr>
        <w:t>建造技术和</w:t>
      </w:r>
      <w:r>
        <w:rPr>
          <w:rFonts w:hint="eastAsia" w:ascii="Times New Roman" w:hAnsi="Times New Roman" w:eastAsia="黑体" w:cs="黑体"/>
          <w:bCs w:val="0"/>
          <w:szCs w:val="21"/>
        </w:rPr>
        <w:t>要求</w:t>
      </w:r>
      <w:r>
        <w:tab/>
      </w:r>
      <w:r>
        <w:fldChar w:fldCharType="begin"/>
      </w:r>
      <w:r>
        <w:instrText xml:space="preserve"> PAGEREF _Toc13696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3D83A50A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_Toc27345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4.1 选址</w:t>
      </w:r>
      <w:r>
        <w:tab/>
      </w:r>
      <w:r>
        <w:fldChar w:fldCharType="begin"/>
      </w:r>
      <w:r>
        <w:instrText xml:space="preserve"> PAGEREF _Toc27345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6162242D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_Toc29166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4.2 布局</w:t>
      </w:r>
      <w:r>
        <w:tab/>
      </w:r>
      <w:r>
        <w:fldChar w:fldCharType="begin"/>
      </w:r>
      <w:r>
        <w:instrText xml:space="preserve"> PAGEREF _Toc29166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7C1BCFC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_Toc15446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4.3 地基</w:t>
      </w:r>
      <w:r>
        <w:tab/>
      </w:r>
      <w:r>
        <w:fldChar w:fldCharType="begin"/>
      </w:r>
      <w:r>
        <w:instrText xml:space="preserve"> PAGEREF _Toc15446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520BBDEB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_Toc32531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4.4 温室骨架</w:t>
      </w:r>
      <w:r>
        <w:tab/>
      </w:r>
      <w:r>
        <w:fldChar w:fldCharType="begin"/>
      </w:r>
      <w:r>
        <w:instrText xml:space="preserve"> PAGEREF _Toc32531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ACCE389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_Toc19823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4.5 覆盖材料</w:t>
      </w:r>
      <w:r>
        <w:tab/>
      </w:r>
      <w:r>
        <w:fldChar w:fldCharType="begin"/>
      </w:r>
      <w:r>
        <w:instrText xml:space="preserve"> PAGEREF _Toc19823 \h </w:instrText>
      </w:r>
      <w:r>
        <w:fldChar w:fldCharType="separate"/>
      </w:r>
      <w:r>
        <w:t>5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4596A6C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_Toc26961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ascii="黑体" w:hAnsi="黑体" w:eastAsia="黑体" w:cs="黑体"/>
          <w:bCs w:val="0"/>
          <w:szCs w:val="21"/>
        </w:rPr>
        <w:t xml:space="preserve">5  </w:t>
      </w:r>
      <w:r>
        <w:rPr>
          <w:rFonts w:hint="eastAsia" w:ascii="黑体" w:hAnsi="黑体" w:eastAsia="黑体" w:cs="黑体"/>
          <w:bCs w:val="0"/>
          <w:szCs w:val="21"/>
          <w:lang w:eastAsia="zh-CN"/>
        </w:rPr>
        <w:t>验收</w:t>
      </w:r>
      <w:r>
        <w:tab/>
      </w:r>
      <w:r>
        <w:fldChar w:fldCharType="begin"/>
      </w:r>
      <w:r>
        <w:instrText xml:space="preserve"> PAGEREF _Toc26961 \h </w:instrText>
      </w:r>
      <w:r>
        <w:fldChar w:fldCharType="separate"/>
      </w:r>
      <w:r>
        <w:t>6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C928602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_Toc24758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5.1 材料验收</w:t>
      </w:r>
      <w:r>
        <w:tab/>
      </w:r>
      <w:r>
        <w:fldChar w:fldCharType="begin"/>
      </w:r>
      <w:r>
        <w:instrText xml:space="preserve"> PAGEREF _Toc24758 \h </w:instrText>
      </w:r>
      <w:r>
        <w:fldChar w:fldCharType="separate"/>
      </w:r>
      <w:r>
        <w:t>6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69B77B3F">
      <w:pPr>
        <w:pStyle w:val="11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_Toc14744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hAnsi="黑体"/>
          <w:kern w:val="44"/>
          <w:lang w:val="en-US" w:eastAsia="zh-CN"/>
        </w:rPr>
        <w:t>5.2 安装验收</w:t>
      </w:r>
      <w:r>
        <w:tab/>
      </w:r>
      <w:r>
        <w:fldChar w:fldCharType="begin"/>
      </w:r>
      <w:r>
        <w:instrText xml:space="preserve"> PAGEREF _Toc14744 \h </w:instrText>
      </w:r>
      <w:r>
        <w:fldChar w:fldCharType="separate"/>
      </w:r>
      <w:r>
        <w:t>6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66632271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_Toc20782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ascii="Times New Roman" w:hAnsi="Times New Roman" w:eastAsia="黑体" w:cs="黑体"/>
          <w:bCs w:val="0"/>
          <w:szCs w:val="21"/>
        </w:rPr>
        <w:t>附 录</w:t>
      </w:r>
      <w:r>
        <w:rPr>
          <w:rFonts w:hint="eastAsia" w:ascii="Times New Roman" w:hAnsi="Times New Roman" w:eastAsia="黑体" w:cs="黑体"/>
          <w:bCs w:val="0"/>
          <w:szCs w:val="21"/>
          <w:lang w:val="en-US" w:eastAsia="zh-CN"/>
        </w:rPr>
        <w:t>A  连栋薄膜温室主要部件材料、技术要求</w:t>
      </w:r>
      <w:r>
        <w:tab/>
      </w:r>
      <w:r>
        <w:fldChar w:fldCharType="begin"/>
      </w:r>
      <w:r>
        <w:instrText xml:space="preserve"> PAGEREF _Toc20782 \h </w:instrText>
      </w:r>
      <w:r>
        <w:fldChar w:fldCharType="separate"/>
      </w:r>
      <w:r>
        <w:t>7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05174153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_Toc17766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ascii="Times New Roman" w:hAnsi="Times New Roman" w:eastAsia="黑体" w:cs="黑体"/>
          <w:bCs w:val="0"/>
          <w:szCs w:val="21"/>
        </w:rPr>
        <w:t>附 录</w:t>
      </w:r>
      <w:r>
        <w:rPr>
          <w:rFonts w:hint="eastAsia" w:ascii="Times New Roman" w:hAnsi="Times New Roman" w:eastAsia="黑体" w:cs="黑体"/>
          <w:bCs w:val="0"/>
          <w:szCs w:val="21"/>
          <w:lang w:val="en-US" w:eastAsia="zh-CN"/>
        </w:rPr>
        <w:t>B  连栋薄膜温室</w:t>
      </w:r>
      <w:r>
        <w:rPr>
          <w:rFonts w:hint="default" w:ascii="Times New Roman" w:hAnsi="Times New Roman" w:eastAsia="黑体" w:cs="黑体"/>
          <w:bCs w:val="0"/>
          <w:szCs w:val="21"/>
          <w:lang w:val="en-US" w:eastAsia="zh-CN"/>
        </w:rPr>
        <w:t>安装允许偏差</w:t>
      </w:r>
      <w:r>
        <w:tab/>
      </w:r>
      <w:r>
        <w:fldChar w:fldCharType="begin"/>
      </w:r>
      <w:r>
        <w:instrText xml:space="preserve"> PAGEREF _Toc17766 \h </w:instrText>
      </w:r>
      <w:r>
        <w:fldChar w:fldCharType="separate"/>
      </w:r>
      <w:r>
        <w:t>9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181FA8BF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_Toc4801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hint="eastAsia" w:ascii="Times New Roman" w:hAnsi="Times New Roman" w:eastAsia="黑体" w:cs="黑体"/>
          <w:bCs w:val="0"/>
          <w:szCs w:val="21"/>
        </w:rPr>
        <w:t>附 录</w:t>
      </w:r>
      <w:r>
        <w:rPr>
          <w:rFonts w:hint="eastAsia" w:ascii="Times New Roman" w:hAnsi="Times New Roman" w:eastAsia="黑体" w:cs="黑体"/>
          <w:bCs w:val="0"/>
          <w:szCs w:val="21"/>
          <w:lang w:val="en-US" w:eastAsia="zh-CN"/>
        </w:rPr>
        <w:t>C  连栋薄膜温室基础</w:t>
      </w:r>
      <w:r>
        <w:rPr>
          <w:rFonts w:hint="default" w:ascii="Times New Roman" w:hAnsi="Times New Roman" w:eastAsia="黑体" w:cs="黑体"/>
          <w:bCs w:val="0"/>
          <w:szCs w:val="21"/>
          <w:lang w:val="en-US" w:eastAsia="zh-CN"/>
        </w:rPr>
        <w:t>安装允许偏差</w:t>
      </w:r>
      <w:r>
        <w:tab/>
      </w:r>
      <w:r>
        <w:fldChar w:fldCharType="begin"/>
      </w:r>
      <w:r>
        <w:instrText xml:space="preserve"> PAGEREF _Toc4801 \h </w:instrText>
      </w:r>
      <w:r>
        <w:fldChar w:fldCharType="separate"/>
      </w:r>
      <w:r>
        <w:t>9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3495AE93">
      <w:pPr>
        <w:pStyle w:val="10"/>
        <w:tabs>
          <w:tab w:val="right" w:leader="dot" w:pos="8307"/>
        </w:tabs>
      </w:pPr>
      <w:r>
        <w:rPr>
          <w:rFonts w:ascii="Times New Roman" w:hAnsi="Times New Roman" w:cs="Times New Roman"/>
          <w:bCs/>
          <w:color w:val="000000"/>
        </w:rPr>
        <w:fldChar w:fldCharType="begin"/>
      </w:r>
      <w:r>
        <w:rPr>
          <w:rFonts w:ascii="Times New Roman" w:hAnsi="Times New Roman" w:cs="Times New Roman"/>
          <w:bCs/>
        </w:rPr>
        <w:instrText xml:space="preserve"> HYPERLINK \l _Toc23514 </w:instrText>
      </w:r>
      <w:r>
        <w:rPr>
          <w:rFonts w:ascii="Times New Roman" w:hAnsi="Times New Roman" w:cs="Times New Roman"/>
          <w:bCs/>
        </w:rPr>
        <w:fldChar w:fldCharType="separate"/>
      </w:r>
      <w:r>
        <w:rPr>
          <w:rFonts w:ascii="宋体" w:hAnsi="宋体" w:eastAsia="宋体" w:cs="宋体"/>
          <w:bCs/>
          <w:spacing w:val="3"/>
          <w:szCs w:val="40"/>
        </w:rPr>
        <w:t>本规范用词说明</w:t>
      </w:r>
      <w:r>
        <w:tab/>
      </w:r>
      <w:r>
        <w:fldChar w:fldCharType="begin"/>
      </w:r>
      <w:r>
        <w:instrText xml:space="preserve"> PAGEREF _Toc23514 \h </w:instrText>
      </w:r>
      <w:r>
        <w:fldChar w:fldCharType="separate"/>
      </w:r>
      <w:r>
        <w:t>10</w:t>
      </w:r>
      <w:r>
        <w:fldChar w:fldCharType="end"/>
      </w:r>
      <w:r>
        <w:rPr>
          <w:rFonts w:ascii="Times New Roman" w:hAnsi="Times New Roman" w:cs="Times New Roman"/>
          <w:bCs/>
          <w:color w:val="000000"/>
        </w:rPr>
        <w:fldChar w:fldCharType="end"/>
      </w:r>
    </w:p>
    <w:p w14:paraId="7F045DDD">
      <w:pPr>
        <w:spacing w:line="400" w:lineRule="exact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fldChar w:fldCharType="end"/>
      </w:r>
    </w:p>
    <w:bookmarkEnd w:id="33"/>
    <w:bookmarkEnd w:id="34"/>
    <w:bookmarkEnd w:id="35"/>
    <w:bookmarkEnd w:id="36"/>
    <w:bookmarkEnd w:id="37"/>
    <w:bookmarkEnd w:id="38"/>
    <w:bookmarkEnd w:id="39"/>
    <w:p w14:paraId="3C02E978">
      <w:pPr>
        <w:pStyle w:val="45"/>
        <w:spacing w:before="360" w:after="240" w:line="240" w:lineRule="auto"/>
        <w:rPr>
          <w:rFonts w:ascii="Times New Roman" w:hAnsi="Times New Roman" w:cs="Times New Roman"/>
          <w:color w:val="000000"/>
        </w:rPr>
        <w:sectPr>
          <w:headerReference r:id="rId3" w:type="default"/>
          <w:footerReference r:id="rId4" w:type="default"/>
          <w:pgSz w:w="11907" w:h="16840"/>
          <w:pgMar w:top="1440" w:right="1800" w:bottom="1440" w:left="1800" w:header="851" w:footer="992" w:gutter="0"/>
          <w:cols w:space="425" w:num="1"/>
          <w:docGrid w:type="linesAndChars" w:linePitch="312" w:charSpace="0"/>
        </w:sectPr>
      </w:pPr>
      <w:bookmarkStart w:id="40" w:name="_Toc1846"/>
      <w:bookmarkStart w:id="41" w:name="_Toc6140"/>
      <w:bookmarkStart w:id="42" w:name="_Toc6890"/>
    </w:p>
    <w:p w14:paraId="4F72AF4D">
      <w:pPr>
        <w:spacing w:afterLines="250" w:line="360" w:lineRule="exact"/>
        <w:ind w:firstLine="640" w:firstLineChars="200"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农作物秸秆标准化收储点建设技术导则</w:t>
      </w:r>
      <w:bookmarkEnd w:id="40"/>
      <w:bookmarkEnd w:id="41"/>
      <w:bookmarkEnd w:id="42"/>
    </w:p>
    <w:p w14:paraId="6E901CE9">
      <w:pPr>
        <w:pStyle w:val="2"/>
        <w:spacing w:beforeLines="100" w:afterLines="100" w:line="240" w:lineRule="auto"/>
        <w:rPr>
          <w:rFonts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bookmarkStart w:id="43" w:name="_Toc30530"/>
      <w:bookmarkStart w:id="44" w:name="_Toc30225"/>
      <w:bookmarkStart w:id="45" w:name="_Toc26225"/>
      <w:bookmarkStart w:id="46" w:name="_Toc5665"/>
      <w:r>
        <w:rPr>
          <w:rFonts w:ascii="黑体" w:hAnsi="黑体" w:eastAsia="黑体" w:cs="黑体"/>
          <w:b w:val="0"/>
          <w:bCs w:val="0"/>
          <w:color w:val="000000"/>
          <w:sz w:val="21"/>
          <w:szCs w:val="21"/>
        </w:rPr>
        <w:t xml:space="preserve">1  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范围</w:t>
      </w:r>
      <w:bookmarkEnd w:id="43"/>
      <w:bookmarkEnd w:id="44"/>
      <w:bookmarkEnd w:id="45"/>
      <w:bookmarkEnd w:id="46"/>
    </w:p>
    <w:p w14:paraId="79A4E29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</w:rPr>
        <w:t>本标准规定了连栋薄膜温室的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建造施工和验收要求。</w:t>
      </w:r>
    </w:p>
    <w:p w14:paraId="04627223">
      <w:pPr>
        <w:spacing w:line="360" w:lineRule="auto"/>
        <w:ind w:firstLine="420" w:firstLineChars="200"/>
        <w:rPr>
          <w:rFonts w:ascii="Times New Roman" w:hAnsi="Times New Roman" w:cs="Times New Roman"/>
          <w:color w:val="000000"/>
        </w:rPr>
      </w:pPr>
      <w:r>
        <w:rPr>
          <w:rFonts w:hint="eastAsia" w:ascii="宋体" w:hAnsi="宋体" w:eastAsia="宋体" w:cs="宋体"/>
          <w:color w:val="auto"/>
          <w:szCs w:val="21"/>
        </w:rPr>
        <w:t>本标准适用于安徽地区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农业生产连栋薄膜温室的建造和验收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</w:p>
    <w:p w14:paraId="29C42746">
      <w:pPr>
        <w:pStyle w:val="2"/>
        <w:spacing w:beforeLines="100" w:afterLines="100" w:line="240" w:lineRule="auto"/>
        <w:rPr>
          <w:rFonts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bookmarkStart w:id="47" w:name="_Toc22696"/>
      <w:bookmarkStart w:id="48" w:name="_Toc30940"/>
      <w:bookmarkStart w:id="49" w:name="_Toc10140"/>
      <w:bookmarkStart w:id="50" w:name="_Toc11573"/>
      <w:r>
        <w:rPr>
          <w:rFonts w:ascii="黑体" w:hAnsi="黑体" w:eastAsia="黑体" w:cs="黑体"/>
          <w:b w:val="0"/>
          <w:bCs w:val="0"/>
          <w:color w:val="000000"/>
          <w:sz w:val="21"/>
          <w:szCs w:val="21"/>
        </w:rPr>
        <w:t xml:space="preserve">2  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规范性引用文件</w:t>
      </w:r>
      <w:bookmarkEnd w:id="47"/>
      <w:bookmarkEnd w:id="48"/>
      <w:bookmarkEnd w:id="49"/>
      <w:bookmarkEnd w:id="50"/>
    </w:p>
    <w:p w14:paraId="5218052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下列文件对于本文件的应用是必不可少的。凡是注日期的引用文件，仅所注日期的版本适用于本文件。凡是不注日期的引用文件，其最新版本（包括所有的修改单）适用于本标准。</w:t>
      </w:r>
    </w:p>
    <w:p w14:paraId="4472B0C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 4455       农用聚乙烯吹塑棚膜</w:t>
      </w:r>
    </w:p>
    <w:p w14:paraId="6B40987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 50018      冷弯薄壁型钢结构技术规范</w:t>
      </w:r>
    </w:p>
    <w:p w14:paraId="25A3D0A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700      碳素结构钢</w:t>
      </w:r>
    </w:p>
    <w:p w14:paraId="254C05B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2518     连续热镀锌钢板及钢带</w:t>
      </w:r>
    </w:p>
    <w:p w14:paraId="031A217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3091     低压流体输送用焊接钢管</w:t>
      </w:r>
    </w:p>
    <w:p w14:paraId="62CAFC3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4357     冷拉碳素弹簧钢丝</w:t>
      </w:r>
    </w:p>
    <w:p w14:paraId="313113D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4956     磁性基体上非磁性覆盖层 覆盖层厚度测量 磁性法</w:t>
      </w:r>
    </w:p>
    <w:p w14:paraId="45F463B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5267.3   紧固件 热浸镀锌层</w:t>
      </w:r>
    </w:p>
    <w:p w14:paraId="1108448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6725     冷弯型钢通用技术要求</w:t>
      </w:r>
    </w:p>
    <w:p w14:paraId="510879D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6728     结构用冷弯空心型钢</w:t>
      </w:r>
    </w:p>
    <w:p w14:paraId="2199F39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12469    焊接质量保证 钢熔化焊接头的要求和缺陷分级</w:t>
      </w:r>
    </w:p>
    <w:p w14:paraId="6B31A70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13793    直缝电焊钢管</w:t>
      </w:r>
    </w:p>
    <w:p w14:paraId="69E5599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13912    金属覆盖层 钢铁制件热浸镀锌层 技术要求及试验方法</w:t>
      </w:r>
    </w:p>
    <w:p w14:paraId="41C34BE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GB/T 18983</w:t>
      </w:r>
      <w:r>
        <w:rPr>
          <w:rFonts w:hint="eastAsia" w:ascii="宋体" w:hAnsi="宋体" w:eastAsia="宋体" w:cs="宋体"/>
          <w:color w:val="auto"/>
          <w:szCs w:val="21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 xml:space="preserve">  油淬火-回火弹簧钢丝</w:t>
      </w:r>
    </w:p>
    <w:p w14:paraId="078D2C9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GB/T 51429    农业建设项目验收技术标准</w:t>
      </w:r>
    </w:p>
    <w:p w14:paraId="2CB55AB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GB/T 51057    种植塑料大棚工程技术规范</w:t>
      </w:r>
    </w:p>
    <w:p w14:paraId="2F6B6F16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GB/T 23393    设施园艺工程术语</w:t>
      </w:r>
    </w:p>
    <w:p w14:paraId="5A70F22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GB/T 51183    农业温室结构荷载规范</w:t>
      </w:r>
    </w:p>
    <w:p w14:paraId="2E706E5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GB/T 51424   农业温室结构设计标准</w:t>
      </w:r>
    </w:p>
    <w:p w14:paraId="2E96405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N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Y</w:t>
      </w:r>
      <w:r>
        <w:rPr>
          <w:rFonts w:hint="eastAsia" w:ascii="宋体" w:hAnsi="宋体" w:eastAsia="宋体" w:cs="宋体"/>
          <w:color w:val="auto"/>
          <w:szCs w:val="21"/>
        </w:rPr>
        <w:t>/T 7        农用塑料棚装配式钢管骨架</w:t>
      </w:r>
    </w:p>
    <w:p w14:paraId="7D769C25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NY/T 1145     温室地基基础设计、施工与验收技术规范</w:t>
      </w:r>
    </w:p>
    <w:p w14:paraId="1E472CB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NY/T 1966     温室覆盖材料安装与验收规范 塑料薄膜</w:t>
      </w:r>
    </w:p>
    <w:p w14:paraId="74B53B7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NY/T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2970     连栋温室建设标准</w:t>
      </w:r>
    </w:p>
    <w:p w14:paraId="0459D4EB">
      <w:pPr>
        <w:pStyle w:val="2"/>
        <w:spacing w:beforeLines="100" w:afterLines="100" w:line="240" w:lineRule="auto"/>
        <w:rPr>
          <w:rFonts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bookmarkStart w:id="51" w:name="_Toc17646"/>
      <w:bookmarkStart w:id="52" w:name="_Toc16242"/>
      <w:bookmarkStart w:id="53" w:name="_Toc27050"/>
      <w:bookmarkStart w:id="54" w:name="_Toc29423"/>
      <w:r>
        <w:rPr>
          <w:rFonts w:ascii="黑体" w:hAnsi="黑体" w:eastAsia="黑体" w:cs="黑体"/>
          <w:b w:val="0"/>
          <w:bCs w:val="0"/>
          <w:color w:val="000000"/>
          <w:sz w:val="21"/>
          <w:szCs w:val="21"/>
        </w:rPr>
        <w:t xml:space="preserve">3  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术语和定义</w:t>
      </w:r>
      <w:bookmarkEnd w:id="51"/>
      <w:bookmarkEnd w:id="52"/>
      <w:bookmarkEnd w:id="53"/>
      <w:bookmarkEnd w:id="54"/>
    </w:p>
    <w:p w14:paraId="2A026CF6">
      <w:pPr>
        <w:pStyle w:val="42"/>
        <w:ind w:firstLine="3168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下列术语和定义适用于本文件。</w:t>
      </w:r>
    </w:p>
    <w:p w14:paraId="25BD7D06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eastAsia="zh-CN"/>
        </w:rPr>
      </w:pPr>
      <w:bookmarkStart w:id="55" w:name="_Toc32065"/>
      <w:bookmarkStart w:id="56" w:name="_Toc22579"/>
      <w:r>
        <w:rPr>
          <w:rFonts w:hint="eastAsia" w:hAnsi="黑体"/>
          <w:color w:val="000000"/>
          <w:kern w:val="44"/>
          <w:lang w:val="en-US" w:eastAsia="zh-CN"/>
        </w:rPr>
        <w:t xml:space="preserve">3.1 </w:t>
      </w:r>
      <w:r>
        <w:rPr>
          <w:rFonts w:hint="eastAsia" w:hAnsi="黑体"/>
          <w:color w:val="000000"/>
          <w:kern w:val="44"/>
          <w:lang w:eastAsia="zh-CN"/>
        </w:rPr>
        <w:t>连栋薄膜温室</w:t>
      </w:r>
      <w:bookmarkEnd w:id="55"/>
      <w:bookmarkEnd w:id="56"/>
    </w:p>
    <w:p w14:paraId="38CCD36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bookmarkStart w:id="57" w:name="_Toc9295"/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至少有两个跨度，跨间屋面以天沟连接，屋面以塑料薄膜为覆盖材料的温室，适合于机械化设施农业生产的组织和管理。</w:t>
      </w:r>
    </w:p>
    <w:bookmarkEnd w:id="57"/>
    <w:p w14:paraId="74484F50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58" w:name="_Toc7252"/>
      <w:r>
        <w:rPr>
          <w:rFonts w:hint="eastAsia" w:hAnsi="黑体"/>
          <w:color w:val="000000"/>
          <w:kern w:val="44"/>
          <w:lang w:val="en-US" w:eastAsia="zh-CN"/>
        </w:rPr>
        <w:t>3.2 温室骨架</w:t>
      </w:r>
      <w:bookmarkEnd w:id="58"/>
    </w:p>
    <w:p w14:paraId="6693BB3C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温室内支持屋面并承受各种载荷的建筑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结构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。包括山墙和侧墙的结构钢架、立柱、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天沟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拱（梁）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、横梁（拉杆）、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斜撑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等构件。</w:t>
      </w:r>
    </w:p>
    <w:p w14:paraId="5A9FFEBC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59" w:name="_Toc26871"/>
      <w:r>
        <w:rPr>
          <w:rFonts w:hint="eastAsia" w:hAnsi="黑体"/>
          <w:color w:val="000000"/>
          <w:kern w:val="44"/>
          <w:lang w:val="en-US" w:eastAsia="zh-CN"/>
        </w:rPr>
        <w:t>3.3 跨度</w:t>
      </w:r>
      <w:bookmarkEnd w:id="59"/>
    </w:p>
    <w:p w14:paraId="55FA7807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直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温室屋脊方向室内两相邻柱轴线之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间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的水平距离。</w:t>
      </w:r>
    </w:p>
    <w:p w14:paraId="29B4F9D6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60" w:name="_Toc11115"/>
      <w:r>
        <w:rPr>
          <w:rFonts w:hint="eastAsia" w:hAnsi="黑体"/>
          <w:color w:val="000000"/>
          <w:kern w:val="44"/>
          <w:lang w:val="en-US" w:eastAsia="zh-CN"/>
        </w:rPr>
        <w:t>3.4 开间</w:t>
      </w:r>
      <w:bookmarkEnd w:id="60"/>
    </w:p>
    <w:p w14:paraId="104D607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沿温室屋脊方向室内两相邻柱轴线之间的水平距离。</w:t>
      </w:r>
    </w:p>
    <w:p w14:paraId="5B121352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61" w:name="_Toc20646"/>
      <w:r>
        <w:rPr>
          <w:rFonts w:hint="eastAsia" w:hAnsi="黑体"/>
          <w:color w:val="000000"/>
          <w:kern w:val="44"/>
          <w:lang w:val="en-US" w:eastAsia="zh-CN"/>
        </w:rPr>
        <w:t>3.5 天沟</w:t>
      </w:r>
      <w:bookmarkEnd w:id="61"/>
    </w:p>
    <w:p w14:paraId="6ADE229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连接温室屋面，并起到排水作用的温室结构承重构件。</w:t>
      </w:r>
    </w:p>
    <w:p w14:paraId="5B9627DA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62" w:name="_Toc10783"/>
      <w:r>
        <w:rPr>
          <w:rFonts w:hint="eastAsia" w:hAnsi="黑体"/>
          <w:color w:val="000000"/>
          <w:kern w:val="44"/>
          <w:lang w:val="en-US" w:eastAsia="zh-CN"/>
        </w:rPr>
        <w:t>3.6 立柱</w:t>
      </w:r>
      <w:bookmarkEnd w:id="62"/>
    </w:p>
    <w:p w14:paraId="68F36BA0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温室中直立的起支撑作用的构件。主要承受各种作用产生的轴向压力，有时也承受弯矩、剪力或扭矩。</w:t>
      </w:r>
    </w:p>
    <w:p w14:paraId="2F48D53D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63" w:name="_Toc21859"/>
      <w:r>
        <w:rPr>
          <w:rFonts w:hint="eastAsia" w:hAnsi="黑体"/>
          <w:color w:val="000000"/>
          <w:kern w:val="44"/>
          <w:lang w:val="en-US" w:eastAsia="zh-CN"/>
        </w:rPr>
        <w:t>3.7 拱</w:t>
      </w:r>
      <w:bookmarkEnd w:id="63"/>
    </w:p>
    <w:p w14:paraId="34D42355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由曲线形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Cs w:val="21"/>
        </w:rPr>
        <w:t>折线形的竖向拱圈杆及其两端支承件组成的构件。</w:t>
      </w:r>
    </w:p>
    <w:p w14:paraId="4A9E4165">
      <w:pPr>
        <w:pStyle w:val="46"/>
        <w:spacing w:beforeLines="0" w:afterLines="0" w:line="360" w:lineRule="auto"/>
        <w:ind w:firstLine="420" w:firstLineChars="200"/>
        <w:rPr>
          <w:rFonts w:hint="default" w:hAnsi="黑体"/>
          <w:color w:val="000000"/>
          <w:kern w:val="44"/>
          <w:lang w:val="en-US" w:eastAsia="zh-CN"/>
        </w:rPr>
      </w:pPr>
      <w:bookmarkStart w:id="64" w:name="_Toc17927"/>
      <w:bookmarkStart w:id="65" w:name="_Toc13051"/>
      <w:r>
        <w:rPr>
          <w:rFonts w:hint="eastAsia" w:hAnsi="黑体"/>
          <w:color w:val="000000"/>
          <w:kern w:val="44"/>
          <w:lang w:val="en-US" w:eastAsia="zh-CN"/>
        </w:rPr>
        <w:t>3.8 顶高</w:t>
      </w:r>
      <w:bookmarkEnd w:id="64"/>
      <w:bookmarkEnd w:id="65"/>
    </w:p>
    <w:p w14:paraId="6AC72AF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连栋薄膜温室</w:t>
      </w:r>
      <w:r>
        <w:rPr>
          <w:rFonts w:hint="eastAsia" w:ascii="宋体" w:hAnsi="宋体" w:eastAsia="宋体" w:cs="宋体"/>
          <w:color w:val="auto"/>
          <w:szCs w:val="21"/>
        </w:rPr>
        <w:t>骨架顶部最高处与棚内自然地面基准之间的距离。</w:t>
      </w:r>
    </w:p>
    <w:p w14:paraId="52F45EAA">
      <w:pPr>
        <w:pStyle w:val="46"/>
        <w:spacing w:beforeLines="0" w:afterLines="0" w:line="360" w:lineRule="auto"/>
        <w:ind w:firstLine="420" w:firstLineChars="200"/>
        <w:rPr>
          <w:rFonts w:hint="default" w:hAnsi="黑体"/>
          <w:color w:val="000000"/>
          <w:kern w:val="44"/>
          <w:lang w:val="en-US" w:eastAsia="zh-CN"/>
        </w:rPr>
      </w:pPr>
      <w:bookmarkStart w:id="66" w:name="_Toc31592"/>
      <w:bookmarkStart w:id="67" w:name="_Toc10425"/>
      <w:r>
        <w:rPr>
          <w:rFonts w:hint="eastAsia" w:hAnsi="黑体"/>
          <w:color w:val="000000"/>
          <w:kern w:val="44"/>
          <w:lang w:val="en-US" w:eastAsia="zh-CN"/>
        </w:rPr>
        <w:t>3.9 肩高</w:t>
      </w:r>
      <w:bookmarkEnd w:id="66"/>
      <w:bookmarkEnd w:id="67"/>
    </w:p>
    <w:p w14:paraId="4646B61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连栋薄膜温室</w:t>
      </w:r>
      <w:r>
        <w:rPr>
          <w:rFonts w:hint="eastAsia" w:ascii="宋体" w:hAnsi="宋体" w:eastAsia="宋体" w:cs="宋体"/>
          <w:color w:val="auto"/>
          <w:szCs w:val="21"/>
        </w:rPr>
        <w:t>屋面与侧墙交线至棚内自然地面基准之间的垂直距离。</w:t>
      </w:r>
    </w:p>
    <w:p w14:paraId="4FA61FA9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68" w:name="_Toc21983"/>
      <w:bookmarkStart w:id="69" w:name="_Toc6707"/>
      <w:r>
        <w:rPr>
          <w:rFonts w:hint="eastAsia" w:hAnsi="黑体"/>
          <w:color w:val="000000"/>
          <w:kern w:val="44"/>
          <w:lang w:val="en-US" w:eastAsia="zh-CN"/>
        </w:rPr>
        <w:t>3.10 基础</w:t>
      </w:r>
      <w:bookmarkEnd w:id="68"/>
      <w:bookmarkEnd w:id="69"/>
    </w:p>
    <w:p w14:paraId="0819DD06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承受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连栋薄膜温室</w:t>
      </w:r>
      <w:r>
        <w:rPr>
          <w:rFonts w:hint="eastAsia" w:ascii="宋体" w:hAnsi="宋体" w:eastAsia="宋体" w:cs="宋体"/>
          <w:color w:val="auto"/>
          <w:szCs w:val="21"/>
        </w:rPr>
        <w:t>下沉、上拔、倾翻等载荷的建筑物底脚。</w:t>
      </w:r>
    </w:p>
    <w:p w14:paraId="1A611373">
      <w:pPr>
        <w:pStyle w:val="42"/>
        <w:ind w:firstLine="31680"/>
        <w:rPr>
          <w:rFonts w:hint="eastAsia" w:ascii="宋体" w:hAnsi="宋体" w:eastAsia="宋体" w:cs="宋体"/>
          <w:color w:val="auto"/>
          <w:kern w:val="0"/>
          <w:szCs w:val="21"/>
        </w:rPr>
      </w:pPr>
    </w:p>
    <w:p w14:paraId="2D07ABA6">
      <w:pPr>
        <w:pStyle w:val="2"/>
        <w:spacing w:beforeLines="100" w:afterLines="100" w:line="240" w:lineRule="auto"/>
        <w:rPr>
          <w:rFonts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bookmarkStart w:id="70" w:name="_Toc29766"/>
      <w:bookmarkStart w:id="71" w:name="_Toc16772"/>
      <w:bookmarkStart w:id="72" w:name="_Toc27760"/>
      <w:bookmarkStart w:id="73" w:name="_Toc13696"/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4</w:t>
      </w:r>
      <w:bookmarkEnd w:id="70"/>
      <w:bookmarkEnd w:id="71"/>
      <w:bookmarkEnd w:id="72"/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 xml:space="preserve">  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  <w:lang w:eastAsia="zh-CN"/>
        </w:rPr>
        <w:t>建造技术和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要求</w:t>
      </w:r>
      <w:bookmarkEnd w:id="73"/>
    </w:p>
    <w:p w14:paraId="7AD67869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74" w:name="_Toc27345"/>
      <w:r>
        <w:rPr>
          <w:rFonts w:hint="eastAsia" w:hAnsi="黑体"/>
          <w:color w:val="000000"/>
          <w:kern w:val="44"/>
          <w:lang w:val="en-US" w:eastAsia="zh-CN"/>
        </w:rPr>
        <w:t>4.1 选址</w:t>
      </w:r>
      <w:bookmarkEnd w:id="74"/>
    </w:p>
    <w:p w14:paraId="4E87E7B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连栋温室选址应符合当地设施农业用地有关要求，宜选择地势平坦、交通便利、无遮阳、水源洁净、渠系配套、灌排方便、具有一定面积的连片土地，宜在背风向阳处建设，远离工矿、化工企业等污染源。</w:t>
      </w:r>
    </w:p>
    <w:p w14:paraId="028FB226">
      <w:pPr>
        <w:pStyle w:val="46"/>
        <w:spacing w:beforeLines="0" w:afterLines="0" w:line="360" w:lineRule="auto"/>
        <w:ind w:firstLine="420" w:firstLineChars="200"/>
        <w:rPr>
          <w:rFonts w:hint="default" w:hAnsi="黑体"/>
          <w:color w:val="000000"/>
          <w:kern w:val="44"/>
          <w:lang w:val="en-US" w:eastAsia="zh-CN"/>
        </w:rPr>
      </w:pPr>
      <w:bookmarkStart w:id="75" w:name="_Toc29166"/>
      <w:r>
        <w:rPr>
          <w:rFonts w:hint="eastAsia" w:hAnsi="黑体"/>
          <w:color w:val="000000"/>
          <w:kern w:val="44"/>
          <w:lang w:val="en-US" w:eastAsia="zh-CN"/>
        </w:rPr>
        <w:t>4.2 布局</w:t>
      </w:r>
      <w:bookmarkEnd w:id="75"/>
    </w:p>
    <w:p w14:paraId="34F4A4E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4.2.1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连栋薄膜温室以南北朝向、长度30m～80m为宜。</w:t>
      </w:r>
    </w:p>
    <w:p w14:paraId="4278CFC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4.2.2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温室门尺寸应满足作业机具进出温室的高度与宽度要求，满足室内机械化作业需求。</w:t>
      </w:r>
    </w:p>
    <w:p w14:paraId="65F7B59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4.2.3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多栋连栋温室项目，温室间应合理布置道路，适宜作业机械行走、转场和物流运输，多栋连栋温室栋与栋之间的距离宜≥8m。</w:t>
      </w:r>
    </w:p>
    <w:p w14:paraId="6D7938B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4.2.4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温室应与南侧的建筑物、树木等遮挡物之间留出足够的距离，以保证温室采光；温室东西两侧与遮挡物的距离要求可比南侧放宽；温室北侧应便于通风、安装和维修。</w:t>
      </w:r>
    </w:p>
    <w:p w14:paraId="1726CE7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4.2.5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温室其余布局应符合NY/T 2970的要求。</w:t>
      </w:r>
    </w:p>
    <w:p w14:paraId="723996BD">
      <w:pPr>
        <w:pStyle w:val="46"/>
        <w:spacing w:beforeLines="0" w:afterLines="0" w:line="360" w:lineRule="auto"/>
        <w:ind w:firstLine="420" w:firstLineChars="200"/>
        <w:rPr>
          <w:rFonts w:hint="default" w:hAnsi="黑体"/>
          <w:color w:val="000000"/>
          <w:kern w:val="44"/>
          <w:lang w:val="en-US" w:eastAsia="zh-CN"/>
        </w:rPr>
      </w:pPr>
      <w:bookmarkStart w:id="76" w:name="_Toc15446"/>
      <w:r>
        <w:rPr>
          <w:rFonts w:hint="eastAsia" w:hAnsi="黑体"/>
          <w:color w:val="000000"/>
          <w:kern w:val="44"/>
          <w:lang w:val="en-US" w:eastAsia="zh-CN"/>
        </w:rPr>
        <w:t>4.3 地基</w:t>
      </w:r>
      <w:bookmarkEnd w:id="76"/>
    </w:p>
    <w:p w14:paraId="57634E5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4.3.1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温室地基施工应符合NY/T 1145的要求。</w:t>
      </w:r>
    </w:p>
    <w:p w14:paraId="27C38A3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4.3.2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基础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建造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前应进行岩土工程勘察，独立基础可采用现浇钢筋混凝土基础或预制基础。</w:t>
      </w:r>
    </w:p>
    <w:p w14:paraId="0411332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4.3.3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基础内应配置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钢筋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，其中纵向受力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筋不小于 4xC12 mm,箍筋不小于 A6 mm，箍筋间距不大于 200 mm，预埋件应与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纵向受力筋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焊接牢固。</w:t>
      </w:r>
    </w:p>
    <w:p w14:paraId="1322BFF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4.3.3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基础顶面标高应沿天沟方向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放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坡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，坡度不小于2.5‰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。</w:t>
      </w:r>
    </w:p>
    <w:p w14:paraId="369C341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4.3.4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连栋薄膜温室基础埋深应达到持力层且不小于0.8m。基础回填时应分层回填,土壤类别及压实系数应满足设计要求。</w:t>
      </w:r>
    </w:p>
    <w:p w14:paraId="5B2AD7BC">
      <w:pPr>
        <w:pStyle w:val="46"/>
        <w:spacing w:beforeLines="0" w:afterLines="0" w:line="360" w:lineRule="auto"/>
        <w:ind w:firstLine="420" w:firstLineChars="200"/>
        <w:rPr>
          <w:rFonts w:hint="default" w:hAnsi="黑体"/>
          <w:color w:val="000000"/>
          <w:kern w:val="44"/>
          <w:lang w:val="en-US" w:eastAsia="zh-CN"/>
        </w:rPr>
      </w:pPr>
      <w:bookmarkStart w:id="77" w:name="_Toc32531"/>
      <w:r>
        <w:rPr>
          <w:rFonts w:hint="eastAsia" w:hAnsi="黑体"/>
          <w:color w:val="000000"/>
          <w:kern w:val="44"/>
          <w:lang w:val="en-US" w:eastAsia="zh-CN"/>
        </w:rPr>
        <w:t>4.4 温室骨架</w:t>
      </w:r>
      <w:bookmarkEnd w:id="77"/>
    </w:p>
    <w:p w14:paraId="2C312CC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4.4.1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材料要求</w:t>
      </w:r>
    </w:p>
    <w:p w14:paraId="068EEE3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温室</w:t>
      </w:r>
      <w:r>
        <w:rPr>
          <w:rFonts w:hint="eastAsia" w:ascii="宋体" w:hAnsi="宋体" w:eastAsia="宋体" w:cs="宋体"/>
          <w:color w:val="auto"/>
          <w:szCs w:val="21"/>
        </w:rPr>
        <w:t>制造所用材料和规格应符合或高于本标准的规定，本标准未规定的应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不低于</w:t>
      </w:r>
      <w:r>
        <w:rPr>
          <w:rFonts w:hint="eastAsia" w:ascii="宋体" w:hAnsi="宋体" w:eastAsia="宋体" w:cs="宋体"/>
          <w:color w:val="auto"/>
          <w:szCs w:val="21"/>
        </w:rPr>
        <w:t>设计要求和相应的产品标准。</w:t>
      </w:r>
    </w:p>
    <w:p w14:paraId="0B97CA5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Cs w:val="21"/>
        </w:rPr>
        <w:t>钢管等主要构件、冲压零件，以及拱杆等主要构件连接所选用的管箍、卡槽等，应符合NY/T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</w:rPr>
        <w:t>7及本标准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附录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Cs w:val="21"/>
        </w:rPr>
        <w:t>的规定。</w:t>
      </w:r>
    </w:p>
    <w:p w14:paraId="11E762A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温室骨架</w:t>
      </w:r>
      <w:r>
        <w:rPr>
          <w:rFonts w:hint="eastAsia" w:ascii="宋体" w:hAnsi="宋体" w:eastAsia="宋体" w:cs="宋体"/>
          <w:color w:val="auto"/>
          <w:szCs w:val="21"/>
        </w:rPr>
        <w:t>主要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钢</w:t>
      </w:r>
      <w:r>
        <w:rPr>
          <w:rFonts w:hint="eastAsia" w:ascii="宋体" w:hAnsi="宋体" w:eastAsia="宋体" w:cs="宋体"/>
          <w:color w:val="auto"/>
          <w:szCs w:val="21"/>
        </w:rPr>
        <w:t>构件应采用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符合</w:t>
      </w:r>
      <w:r>
        <w:rPr>
          <w:rFonts w:hint="eastAsia" w:ascii="宋体" w:hAnsi="宋体" w:eastAsia="宋体" w:cs="宋体"/>
          <w:color w:val="auto"/>
          <w:szCs w:val="21"/>
        </w:rPr>
        <w:t>碳素结构钢Q235B直缝电焊钢管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</w:rPr>
        <w:t>矩形管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（或</w:t>
      </w:r>
      <w:r>
        <w:rPr>
          <w:rFonts w:hint="eastAsia" w:ascii="宋体" w:hAnsi="宋体" w:eastAsia="宋体" w:cs="宋体"/>
          <w:color w:val="auto"/>
          <w:szCs w:val="21"/>
        </w:rPr>
        <w:t>符合GB/T3091的低压流体输送焊接钢管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szCs w:val="21"/>
          <w:lang w:eastAsia="zh-CN"/>
        </w:rPr>
        <w:t>其化学成分</w:t>
      </w:r>
      <w:r>
        <w:rPr>
          <w:rFonts w:hint="eastAsia" w:ascii="宋体" w:hAnsi="宋体" w:eastAsia="宋体" w:cs="宋体"/>
          <w:color w:val="auto"/>
          <w:szCs w:val="21"/>
        </w:rPr>
        <w:t>应符合GB/T 700，力学性能和规格符合GB50018、GB/T13793、GB/T6725 和GB/T6728的规定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</w:p>
    <w:p w14:paraId="6A4515D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Cs w:val="21"/>
        </w:rPr>
        <w:t>所有焊接件不应有烧穿、夹渣、未焊透和气孔等缺陷，焊接质量应符合GB/T12469的规定。</w:t>
      </w:r>
    </w:p>
    <w:p w14:paraId="426FD02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Cs w:val="21"/>
        </w:rPr>
        <w:t>冲压件应按规定工艺规范制造，冲切边和表面不应有毛刺和压伤、划痕、裂纹等缺陷。卡具、螺栓、螺母、垫圈等紧固件的表面应热镀锌处理。</w:t>
      </w:r>
    </w:p>
    <w:p w14:paraId="6AE67B3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（6）</w:t>
      </w:r>
      <w:r>
        <w:rPr>
          <w:rFonts w:hint="eastAsia" w:ascii="宋体" w:hAnsi="宋体" w:eastAsia="宋体" w:cs="宋体"/>
          <w:color w:val="auto"/>
          <w:szCs w:val="21"/>
        </w:rPr>
        <w:t>热镀锌钢板冷弯成型卡槽材料屈服强度不小于195MPa，厚度不小于0.70mm,表面镀层重量不小于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275</w:t>
      </w:r>
      <w:r>
        <w:rPr>
          <w:rFonts w:hint="eastAsia" w:ascii="宋体" w:hAnsi="宋体" w:eastAsia="宋体" w:cs="宋体"/>
          <w:color w:val="auto"/>
          <w:szCs w:val="21"/>
        </w:rPr>
        <w:t>g/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m2</w:t>
      </w:r>
      <w:r>
        <w:rPr>
          <w:rFonts w:hint="eastAsia" w:ascii="宋体" w:hAnsi="宋体" w:eastAsia="宋体" w:cs="宋体"/>
          <w:color w:val="auto"/>
          <w:szCs w:val="21"/>
        </w:rPr>
        <w:t>,材料质量应符合GB/T2518的有关规定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</w:p>
    <w:p w14:paraId="5445B70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（7）</w:t>
      </w:r>
      <w:r>
        <w:rPr>
          <w:rFonts w:hint="eastAsia" w:ascii="宋体" w:hAnsi="宋体" w:eastAsia="宋体" w:cs="宋体"/>
          <w:color w:val="auto"/>
          <w:szCs w:val="21"/>
        </w:rPr>
        <w:t>铝合金型材卡槽材料宜采用6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XXXX系列铝合金</w:t>
      </w:r>
      <w:r>
        <w:rPr>
          <w:rFonts w:hint="eastAsia" w:ascii="宋体" w:hAnsi="宋体" w:eastAsia="宋体" w:cs="宋体"/>
          <w:color w:val="auto"/>
          <w:szCs w:val="21"/>
        </w:rPr>
        <w:t>,厚度不小于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</w:rPr>
        <w:t>.0mm,表面处理应符合GB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</w:rPr>
        <w:t>5237.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</w:rPr>
        <w:t>GB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</w:rPr>
        <w:t>5237.2的规定。</w:t>
      </w:r>
    </w:p>
    <w:p w14:paraId="7036554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（8）</w:t>
      </w:r>
      <w:r>
        <w:rPr>
          <w:rFonts w:hint="eastAsia" w:ascii="宋体" w:hAnsi="宋体" w:eastAsia="宋体" w:cs="宋体"/>
          <w:color w:val="auto"/>
          <w:szCs w:val="21"/>
        </w:rPr>
        <w:t>卡簧内芯材料宜采用弹簧钢丝,应符合GB/T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</w:rPr>
        <w:t>18983的有关规定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</w:rPr>
        <w:t>簧表面宜采用浸塑处理，不应有钢丝裸露,端部应无尖角。</w:t>
      </w:r>
    </w:p>
    <w:p w14:paraId="6E65A9F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（9）</w:t>
      </w:r>
      <w:r>
        <w:rPr>
          <w:rFonts w:hint="eastAsia" w:ascii="宋体" w:hAnsi="宋体" w:eastAsia="宋体" w:cs="宋体"/>
          <w:color w:val="auto"/>
          <w:szCs w:val="21"/>
        </w:rPr>
        <w:t>压膜线材料应质地柔软、表面光滑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</w:rPr>
        <w:t>压膜线抗拉强度应满足结构设计要求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</w:rPr>
        <w:t>压膜线不应采用钢丝。</w:t>
      </w:r>
    </w:p>
    <w:p w14:paraId="274BA23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（10）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温室骨架的结构材料</w:t>
      </w:r>
      <w:r>
        <w:rPr>
          <w:rFonts w:hint="eastAsia" w:ascii="宋体" w:hAnsi="宋体" w:eastAsia="宋体" w:cs="宋体"/>
          <w:color w:val="auto"/>
          <w:szCs w:val="21"/>
        </w:rPr>
        <w:t>表面不应有裂纹、压扁、扭曲变形等影响强度的缺陷。</w:t>
      </w:r>
    </w:p>
    <w:p w14:paraId="7B4E222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4.4.2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防腐</w:t>
      </w:r>
    </w:p>
    <w:p w14:paraId="553CA5D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温室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骨架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构件应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采用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热浸镀锌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表面防腐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处理，镀层质量应符合GB/T 13912的规定要求。</w:t>
      </w:r>
    </w:p>
    <w:p w14:paraId="6753F9C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温室所采用的钢板构件、冲压构件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 xml:space="preserve">镀层质量应符合GB/T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2518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的规定要求。</w:t>
      </w:r>
    </w:p>
    <w:p w14:paraId="6344E6B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镀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锌螺栓（预埋螺栓除外）、螺母、垫圈等紧固件镀层质量应符合GB/T 5267.3的规定要求。</w:t>
      </w:r>
    </w:p>
    <w:p w14:paraId="017BB98B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采用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不锈钢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螺栓、螺母、垫圈等紧固件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质量应符合 GB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/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T 3098.6 的规定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0918E971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4.4.3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荷载要求</w:t>
      </w:r>
    </w:p>
    <w:p w14:paraId="39B3FC47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连栋薄膜温室骨架结构的承载能力应进行强度校核验算；</w:t>
      </w:r>
    </w:p>
    <w:p w14:paraId="7F701CE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温室主体结构的抗风荷载按照GB/T 51183安徽各地的风压数据取值计算；</w:t>
      </w:r>
    </w:p>
    <w:p w14:paraId="3E1FB3B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温室主体结构的抗雪荷载按照GB/T 51183安徽各地的雪压数据取值计算；</w:t>
      </w:r>
    </w:p>
    <w:p w14:paraId="4BBA17C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温室结构应能承受历时5min最大暴雨强度，且不应小于140mm/h；</w:t>
      </w:r>
    </w:p>
    <w:p w14:paraId="7628DED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温室结构作物吊挂载荷≥0.15kN/m2。</w:t>
      </w:r>
    </w:p>
    <w:p w14:paraId="025AACB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4.4.4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安装</w:t>
      </w:r>
    </w:p>
    <w:p w14:paraId="2BEEC87C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总体要求</w:t>
      </w:r>
    </w:p>
    <w:p w14:paraId="1F3A20D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1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①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温室主体钢结构安装应符合 NY/T1832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相关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2380050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2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②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钢结构各立柱轴线应相互平行并垂直地平面基准，标高符合设计要求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7828A9B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3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③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连接件和紧固件安装位置准确、牢固，无漏装、无松动。</w:t>
      </w:r>
    </w:p>
    <w:p w14:paraId="7BC8A793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立柱安装</w:t>
      </w:r>
    </w:p>
    <w:p w14:paraId="1D12337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立柱与基础应采用螺栓连接，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不得采用现场焊接等破坏构件表面防腐层的连接方法。</w:t>
      </w:r>
    </w:p>
    <w:p w14:paraId="6C67B031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（3）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水平拉杆、天沟安装</w:t>
      </w:r>
    </w:p>
    <w:p w14:paraId="6707A07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1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①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先安装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水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平拉杆，后安装天沟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水平拉杆、天沟用螺栓与立柱连接。</w:t>
      </w:r>
    </w:p>
    <w:p w14:paraId="12A7EEE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2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②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水平拉杆安装应平直，天沟安装接缝处应用密封胶密封。</w:t>
      </w:r>
    </w:p>
    <w:p w14:paraId="1BD5BE17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3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③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在一个找坡段内天沟直线度偏差应不大于该找坡段长度的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0.5‰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，且不大于 25 mm。</w:t>
      </w:r>
    </w:p>
    <w:p w14:paraId="367E004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4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④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各连接件和紧固件安装位置准确、牢固，无漏装、松动。</w:t>
      </w:r>
    </w:p>
    <w:p w14:paraId="30DD828F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（4）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屋面拱杆、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纵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杆安装</w:t>
      </w:r>
    </w:p>
    <w:p w14:paraId="117A578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1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①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 应从任意一个山墙第二根拱杆开始安装,安装的第一根拱杆高度、跨度应与设计要求一致，形成的平面与水平面和温室长度方向应垂直。</w:t>
      </w:r>
    </w:p>
    <w:p w14:paraId="6E8B1E0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2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②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各拱杆平面应相互平行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并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垂直地平面，拱形高度一致，屋面平整。</w:t>
      </w:r>
    </w:p>
    <w:p w14:paraId="03D9901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3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③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屋面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纵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杆之间可采用缩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径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或内套管连接，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纵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杆与拱杆之间可采用弹簧卡丝、抱箍或螺栓连接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21E19E95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（5）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门安装</w:t>
      </w:r>
    </w:p>
    <w:p w14:paraId="0A1B5034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1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①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温室生产用门尺寸应满足宜机化使用需求，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门扇应提前组装好，安装前检查外形尺寸,矫正后再与温室钢结构安装。安装过程中应避免门和门框产生变形。</w:t>
      </w:r>
    </w:p>
    <w:p w14:paraId="41423369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2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②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推拉门上吊轨与温室门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框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应采用螺栓连接，推拉门下导轨地基应坚固。</w:t>
      </w:r>
    </w:p>
    <w:p w14:paraId="6F2B4E9E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fldChar w:fldCharType="begin"/>
      </w:r>
      <w:r>
        <w:rPr>
          <w:rFonts w:hint="eastAsia" w:hAnsi="宋体" w:eastAsia="宋体"/>
          <w:color w:val="000000"/>
          <w:lang w:val="en-US" w:eastAsia="zh-CN"/>
        </w:rPr>
        <w:instrText xml:space="preserve"> = 3 \* GB3 \* MERGEFORMAT </w:instrText>
      </w:r>
      <w:r>
        <w:rPr>
          <w:rFonts w:hint="eastAsia" w:hAnsi="宋体" w:eastAsia="宋体"/>
          <w:color w:val="000000"/>
          <w:lang w:val="en-US" w:eastAsia="zh-CN"/>
        </w:rPr>
        <w:fldChar w:fldCharType="separate"/>
      </w:r>
      <w:r>
        <w:t>③</w:t>
      </w:r>
      <w:r>
        <w:rPr>
          <w:rFonts w:hint="eastAsia" w:hAnsi="宋体" w:eastAsia="宋体"/>
          <w:color w:val="000000"/>
          <w:lang w:val="en-US" w:eastAsia="zh-CN"/>
        </w:rPr>
        <w:fldChar w:fldCharType="end"/>
      </w:r>
      <w:r>
        <w:rPr>
          <w:rFonts w:hint="eastAsia" w:hAnsi="宋体" w:eastAsia="宋体"/>
          <w:color w:val="000000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拆卸式平开门与活动扇边框铰接，整体打开式平开门与墙立柱铰接。</w:t>
      </w:r>
    </w:p>
    <w:p w14:paraId="749E6F6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温室的门安装后应关闭严密、启闭灵活、无卡滞现象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062AD8C7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（6）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卡槽</w:t>
      </w:r>
    </w:p>
    <w:p w14:paraId="0911005D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卡槽应先采用螺丝钉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连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接在对应构件上，再用卡槽连接片连接，且卡槽缝隙应不大于2mm。</w:t>
      </w:r>
    </w:p>
    <w:p w14:paraId="0C530FF4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78" w:name="_Toc19823"/>
      <w:r>
        <w:rPr>
          <w:rFonts w:hint="eastAsia" w:hAnsi="黑体"/>
          <w:color w:val="000000"/>
          <w:kern w:val="44"/>
          <w:lang w:val="en-US" w:eastAsia="zh-CN"/>
        </w:rPr>
        <w:t>4.5 覆盖材料</w:t>
      </w:r>
      <w:bookmarkEnd w:id="78"/>
    </w:p>
    <w:p w14:paraId="62F261AA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4.5.1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覆盖材料应符合GB/T 4455的相关要求。</w:t>
      </w:r>
    </w:p>
    <w:p w14:paraId="558A9538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4.5.2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覆盖材料采用厚度≥0.12mm防老化防雾滴农膜，薄膜表面带有活化剂，带有活化剂的膜面应朝内，不得反装。</w:t>
      </w:r>
    </w:p>
    <w:p w14:paraId="698BC732">
      <w:pPr>
        <w:keepNext w:val="0"/>
        <w:keepLines w:val="0"/>
        <w:pageBreakBefore w:val="0"/>
        <w:topLinePunct w:val="0"/>
        <w:bidi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lang w:val="en-US" w:eastAsia="zh-CN"/>
        </w:rPr>
        <w:t xml:space="preserve">4.5.3 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膜安装完成后，应在两拱之间安装压膜线。铺膜时应将薄膜纵、横向拉紧铺平，卡槽固定可靠，保持外观平整，无明显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皱褶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，裂缝和洞孔。其他安装要求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应符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合 NY/T 1966的相关规定。</w:t>
      </w:r>
    </w:p>
    <w:p w14:paraId="33CAAEDA">
      <w:pPr>
        <w:pStyle w:val="2"/>
        <w:spacing w:beforeLines="100" w:afterLines="100" w:line="240" w:lineRule="auto"/>
        <w:rPr>
          <w:rFonts w:ascii="Times New Roman" w:hAnsi="Times New Roman" w:eastAsia="黑体" w:cs="Times New Roman"/>
          <w:b w:val="0"/>
          <w:bCs w:val="0"/>
          <w:color w:val="000000"/>
          <w:sz w:val="21"/>
          <w:szCs w:val="21"/>
        </w:rPr>
      </w:pPr>
      <w:bookmarkStart w:id="79" w:name="_Toc17409"/>
      <w:bookmarkStart w:id="80" w:name="_Toc26961"/>
      <w:bookmarkStart w:id="81" w:name="_Toc20207"/>
      <w:bookmarkStart w:id="82" w:name="_Toc13666"/>
      <w:r>
        <w:rPr>
          <w:rFonts w:ascii="黑体" w:hAnsi="黑体" w:eastAsia="黑体" w:cs="黑体"/>
          <w:b w:val="0"/>
          <w:bCs w:val="0"/>
          <w:color w:val="000000"/>
          <w:sz w:val="21"/>
          <w:szCs w:val="21"/>
        </w:rPr>
        <w:t xml:space="preserve">5  </w:t>
      </w:r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  <w:lang w:eastAsia="zh-CN"/>
        </w:rPr>
        <w:t>验收</w:t>
      </w:r>
      <w:bookmarkEnd w:id="79"/>
      <w:bookmarkEnd w:id="80"/>
      <w:bookmarkEnd w:id="81"/>
      <w:bookmarkEnd w:id="82"/>
    </w:p>
    <w:p w14:paraId="092BA169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83" w:name="_Toc24758"/>
      <w:r>
        <w:rPr>
          <w:rFonts w:hint="eastAsia" w:hAnsi="黑体"/>
          <w:color w:val="000000"/>
          <w:kern w:val="44"/>
          <w:lang w:val="en-US" w:eastAsia="zh-CN"/>
        </w:rPr>
        <w:t>5.1 材料验收</w:t>
      </w:r>
      <w:bookmarkEnd w:id="83"/>
    </w:p>
    <w:p w14:paraId="0FDC9AFB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5.1.1 </w:t>
      </w:r>
      <w:r>
        <w:rPr>
          <w:rFonts w:hint="eastAsia" w:hAnsi="宋体" w:eastAsia="宋体"/>
          <w:color w:val="000000"/>
          <w:lang w:val="en-US" w:eastAsia="zh-CN"/>
        </w:rPr>
        <w:t>温室验收时，应有产品合格证、产品铭牌等相关技术文件。</w:t>
      </w:r>
    </w:p>
    <w:p w14:paraId="3A008480">
      <w:pPr>
        <w:pStyle w:val="42"/>
        <w:spacing w:line="360" w:lineRule="auto"/>
        <w:ind w:firstLine="31680"/>
        <w:rPr>
          <w:rFonts w:hint="default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5.1.2 </w:t>
      </w:r>
      <w:r>
        <w:rPr>
          <w:rFonts w:hint="default" w:hAnsi="宋体" w:eastAsia="宋体"/>
          <w:color w:val="000000"/>
          <w:lang w:val="en-US" w:eastAsia="zh-CN"/>
        </w:rPr>
        <w:t>工程施工</w:t>
      </w:r>
      <w:r>
        <w:rPr>
          <w:rFonts w:hint="eastAsia" w:hAnsi="宋体" w:eastAsia="宋体"/>
          <w:color w:val="000000"/>
          <w:lang w:val="en-US" w:eastAsia="zh-CN"/>
        </w:rPr>
        <w:t>材料</w:t>
      </w:r>
      <w:r>
        <w:rPr>
          <w:rFonts w:hint="default" w:hAnsi="宋体" w:eastAsia="宋体"/>
          <w:color w:val="000000"/>
          <w:lang w:val="en-US" w:eastAsia="zh-CN"/>
        </w:rPr>
        <w:t>的验收,必须采用经计量检定或校准合格的计量器具。</w:t>
      </w:r>
    </w:p>
    <w:p w14:paraId="6E1E4451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5.1.3 </w:t>
      </w:r>
      <w:r>
        <w:rPr>
          <w:rFonts w:hint="eastAsia" w:hAnsi="宋体" w:eastAsia="宋体"/>
          <w:color w:val="000000"/>
          <w:lang w:val="en-US" w:eastAsia="zh-CN"/>
        </w:rPr>
        <w:t>材料主要部件及技术要求详见附录A。</w:t>
      </w:r>
    </w:p>
    <w:p w14:paraId="5432896D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t>主拱杆、副拱杆、纵杆、主立柱、副立柱、天沟、水平拉杆、柱间支撑、基础、覆盖材料为主控项目，其他为一般项目。</w:t>
      </w:r>
    </w:p>
    <w:p w14:paraId="7593C32E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5.1.4 </w:t>
      </w:r>
      <w:r>
        <w:rPr>
          <w:rFonts w:hint="eastAsia" w:hAnsi="宋体" w:eastAsia="宋体"/>
          <w:color w:val="000000"/>
          <w:lang w:val="en-US" w:eastAsia="zh-CN"/>
        </w:rPr>
        <w:t>判定规则</w:t>
      </w:r>
    </w:p>
    <w:p w14:paraId="3F48BC77">
      <w:pPr>
        <w:pStyle w:val="42"/>
        <w:spacing w:line="360" w:lineRule="auto"/>
        <w:ind w:firstLine="31680"/>
        <w:rPr>
          <w:rFonts w:hint="default" w:hAnsi="宋体" w:eastAsia="宋体"/>
          <w:color w:val="000000"/>
          <w:lang w:val="en-US" w:eastAsia="zh-CN"/>
        </w:rPr>
      </w:pPr>
      <w:r>
        <w:rPr>
          <w:rFonts w:hint="eastAsia" w:hAnsi="宋体" w:eastAsia="宋体"/>
          <w:color w:val="000000"/>
          <w:lang w:val="en-US" w:eastAsia="zh-CN"/>
        </w:rPr>
        <w:t>主控项目100%符合要求判定合格，一般项目90%符合要求判定合格。</w:t>
      </w:r>
    </w:p>
    <w:p w14:paraId="3C00ACA5">
      <w:pPr>
        <w:pStyle w:val="46"/>
        <w:spacing w:beforeLines="0" w:afterLines="0" w:line="360" w:lineRule="auto"/>
        <w:ind w:firstLine="420" w:firstLineChars="200"/>
        <w:rPr>
          <w:rFonts w:hint="eastAsia" w:hAnsi="黑体"/>
          <w:color w:val="000000"/>
          <w:kern w:val="44"/>
          <w:lang w:val="en-US" w:eastAsia="zh-CN"/>
        </w:rPr>
      </w:pPr>
      <w:bookmarkStart w:id="84" w:name="_Toc14744"/>
      <w:r>
        <w:rPr>
          <w:rFonts w:hint="eastAsia" w:hAnsi="黑体"/>
          <w:color w:val="000000"/>
          <w:kern w:val="44"/>
          <w:lang w:val="en-US" w:eastAsia="zh-CN"/>
        </w:rPr>
        <w:t>5.2 安装验收</w:t>
      </w:r>
      <w:bookmarkEnd w:id="84"/>
    </w:p>
    <w:p w14:paraId="58A9DA31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5.2.1 </w:t>
      </w:r>
      <w:r>
        <w:rPr>
          <w:rFonts w:hint="eastAsia" w:hAnsi="宋体" w:eastAsia="宋体"/>
          <w:color w:val="000000"/>
          <w:lang w:val="en-US" w:eastAsia="zh-CN"/>
        </w:rPr>
        <w:t>钢结构整体安装质量按一般项目执行,应有90%及以上检查点符合规定,且最大值不应超过允许偏差值的 1.2倍，安装允许偏差详见附录B，</w:t>
      </w:r>
      <w:r>
        <w:rPr>
          <w:rFonts w:hint="eastAsia" w:hAnsi="宋体" w:eastAsia="宋体"/>
          <w:color w:val="000000"/>
        </w:rPr>
        <w:t>施工</w:t>
      </w:r>
      <w:r>
        <w:rPr>
          <w:rFonts w:hint="eastAsia" w:hAnsi="宋体" w:eastAsia="宋体"/>
          <w:color w:val="000000"/>
          <w:lang w:eastAsia="zh-CN"/>
        </w:rPr>
        <w:t>基础</w:t>
      </w:r>
      <w:r>
        <w:rPr>
          <w:rFonts w:hint="eastAsia" w:hAnsi="宋体" w:eastAsia="宋体"/>
          <w:color w:val="000000"/>
        </w:rPr>
        <w:t>安装</w:t>
      </w:r>
      <w:r>
        <w:rPr>
          <w:rFonts w:hint="eastAsia" w:hAnsi="宋体" w:eastAsia="宋体"/>
          <w:color w:val="000000"/>
          <w:lang w:val="en-US" w:eastAsia="zh-CN"/>
        </w:rPr>
        <w:t>验收</w:t>
      </w:r>
      <w:r>
        <w:rPr>
          <w:rFonts w:hint="eastAsia" w:hAnsi="宋体" w:eastAsia="宋体"/>
          <w:color w:val="000000"/>
        </w:rPr>
        <w:t>项目</w:t>
      </w:r>
      <w:r>
        <w:rPr>
          <w:rFonts w:hint="eastAsia" w:hAnsi="宋体" w:eastAsia="宋体"/>
          <w:color w:val="000000"/>
          <w:lang w:val="en-US" w:eastAsia="zh-CN"/>
        </w:rPr>
        <w:t>详见附录C。</w:t>
      </w:r>
    </w:p>
    <w:p w14:paraId="53FA67A5">
      <w:pPr>
        <w:pStyle w:val="42"/>
        <w:spacing w:line="360" w:lineRule="auto"/>
        <w:ind w:firstLine="31680"/>
        <w:rPr>
          <w:rFonts w:hint="eastAsia" w:hAnsi="宋体" w:eastAsia="宋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44"/>
          <w:sz w:val="21"/>
          <w:szCs w:val="21"/>
          <w:lang w:val="en-US" w:eastAsia="zh-CN" w:bidi="ar-SA"/>
        </w:rPr>
        <w:t xml:space="preserve">5.2.2 </w:t>
      </w:r>
      <w:r>
        <w:rPr>
          <w:rFonts w:hint="eastAsia" w:hAnsi="宋体" w:eastAsia="宋体"/>
          <w:color w:val="000000"/>
          <w:lang w:val="en-US" w:eastAsia="zh-CN"/>
        </w:rPr>
        <w:t>对钢结构整体安装质量某项不符合规定时,应扩大一倍数量抽检。对该项再次检验,若复检项目符合规定时,验收合格;若复检项目仍不符合规定时,须整改处理,经整改处理后能满足安全使用要求的可经协商进行验收。</w:t>
      </w:r>
    </w:p>
    <w:p w14:paraId="65A4F5E6">
      <w:pPr>
        <w:pStyle w:val="4"/>
        <w:spacing w:line="360" w:lineRule="exact"/>
        <w:ind w:firstLine="480" w:firstLineChars="200"/>
        <w:rPr>
          <w:rFonts w:ascii="Times New Roman" w:hAnsi="Times New Roman" w:cs="Times New Roman"/>
          <w:kern w:val="0"/>
        </w:rPr>
      </w:pPr>
    </w:p>
    <w:p w14:paraId="3F8EFCB1">
      <w:pPr>
        <w:pStyle w:val="4"/>
        <w:spacing w:line="360" w:lineRule="exact"/>
        <w:ind w:firstLine="480" w:firstLineChars="200"/>
        <w:rPr>
          <w:rFonts w:ascii="Times New Roman" w:hAnsi="Times New Roman" w:cs="Times New Roman"/>
          <w:kern w:val="0"/>
        </w:rPr>
      </w:pPr>
    </w:p>
    <w:p w14:paraId="0F339AE3">
      <w:pPr>
        <w:pStyle w:val="4"/>
        <w:spacing w:line="360" w:lineRule="exact"/>
        <w:ind w:firstLine="480" w:firstLineChars="200"/>
        <w:rPr>
          <w:rFonts w:ascii="Times New Roman" w:hAnsi="Times New Roman" w:cs="Times New Roman"/>
          <w:kern w:val="0"/>
        </w:rPr>
        <w:sectPr>
          <w:footerReference r:id="rId5" w:type="default"/>
          <w:pgSz w:w="11907" w:h="16840"/>
          <w:pgMar w:top="1440" w:right="1800" w:bottom="1440" w:left="1800" w:header="851" w:footer="992" w:gutter="0"/>
          <w:pgNumType w:start="1"/>
          <w:cols w:space="425" w:num="1"/>
          <w:docGrid w:type="linesAndChars" w:linePitch="312" w:charSpace="0"/>
        </w:sectPr>
      </w:pPr>
    </w:p>
    <w:p w14:paraId="62F39CC8">
      <w:pPr>
        <w:pStyle w:val="2"/>
        <w:spacing w:beforeLines="100" w:afterLines="100" w:line="240" w:lineRule="auto"/>
        <w:jc w:val="center"/>
        <w:rPr>
          <w:rFonts w:hint="default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</w:pPr>
      <w:bookmarkStart w:id="85" w:name="_Toc20782"/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附 录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  <w:t>A  连栋薄膜温室主要部件材料、技术要求</w:t>
      </w:r>
      <w:bookmarkEnd w:id="85"/>
    </w:p>
    <w:tbl>
      <w:tblPr>
        <w:tblStyle w:val="13"/>
        <w:tblW w:w="9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912"/>
        <w:gridCol w:w="2635"/>
        <w:gridCol w:w="1498"/>
      </w:tblGrid>
      <w:tr w14:paraId="2B14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tblHeader/>
          <w:jc w:val="center"/>
        </w:trPr>
        <w:tc>
          <w:tcPr>
            <w:tcW w:w="1271" w:type="dxa"/>
            <w:noWrap w:val="0"/>
            <w:vAlign w:val="center"/>
          </w:tcPr>
          <w:p w14:paraId="3EDF2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零件名称</w:t>
            </w:r>
          </w:p>
        </w:tc>
        <w:tc>
          <w:tcPr>
            <w:tcW w:w="3912" w:type="dxa"/>
            <w:noWrap w:val="0"/>
            <w:vAlign w:val="center"/>
          </w:tcPr>
          <w:p w14:paraId="4F5E2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选用材料</w:t>
            </w:r>
          </w:p>
        </w:tc>
        <w:tc>
          <w:tcPr>
            <w:tcW w:w="2635" w:type="dxa"/>
            <w:noWrap w:val="0"/>
            <w:vAlign w:val="center"/>
          </w:tcPr>
          <w:p w14:paraId="0CADBB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技术要求</w:t>
            </w:r>
          </w:p>
        </w:tc>
        <w:tc>
          <w:tcPr>
            <w:tcW w:w="1498" w:type="dxa"/>
            <w:noWrap w:val="0"/>
            <w:vAlign w:val="center"/>
          </w:tcPr>
          <w:p w14:paraId="455EF9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测量工具</w:t>
            </w:r>
          </w:p>
        </w:tc>
      </w:tr>
      <w:tr w14:paraId="1821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1" w:type="dxa"/>
            <w:noWrap w:val="0"/>
            <w:vAlign w:val="center"/>
          </w:tcPr>
          <w:p w14:paraId="508FE1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主体结构</w:t>
            </w:r>
          </w:p>
        </w:tc>
        <w:tc>
          <w:tcPr>
            <w:tcW w:w="6547" w:type="dxa"/>
            <w:gridSpan w:val="2"/>
            <w:noWrap w:val="0"/>
            <w:vAlign w:val="center"/>
          </w:tcPr>
          <w:p w14:paraId="43891C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圆弧形结构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跨度≥8m</w:t>
            </w:r>
            <w:r>
              <w:rPr>
                <w:rFonts w:hint="eastAsia" w:ascii="宋体" w:hAnsi="宋体" w:cs="宋体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开间≥4m,肩高≥3m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1498" w:type="dxa"/>
            <w:noWrap w:val="0"/>
            <w:vAlign w:val="center"/>
          </w:tcPr>
          <w:p w14:paraId="204126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钢卷尺</w:t>
            </w:r>
          </w:p>
        </w:tc>
      </w:tr>
      <w:tr w14:paraId="0082E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1" w:type="dxa"/>
            <w:noWrap w:val="0"/>
            <w:vAlign w:val="center"/>
          </w:tcPr>
          <w:p w14:paraId="081C2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主拱杆</w:t>
            </w:r>
          </w:p>
        </w:tc>
        <w:tc>
          <w:tcPr>
            <w:tcW w:w="3912" w:type="dxa"/>
            <w:noWrap w:val="0"/>
            <w:vAlign w:val="center"/>
          </w:tcPr>
          <w:p w14:paraId="22E3E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采用</w:t>
            </w:r>
            <w:r>
              <w:rPr>
                <w:rFonts w:hint="eastAsia" w:ascii="宋体" w:hAnsi="宋体" w:cs="宋体"/>
                <w:lang w:val="en-US" w:eastAsia="zh-CN"/>
              </w:rPr>
              <w:t>截面面积</w:t>
            </w:r>
            <w:r>
              <w:rPr>
                <w:rFonts w:hint="eastAsia" w:ascii="宋体" w:hAnsi="宋体" w:eastAsia="宋体" w:cs="宋体"/>
              </w:rPr>
              <w:t>≥</w:t>
            </w:r>
            <w:r>
              <w:rPr>
                <w:rFonts w:hint="eastAsia" w:ascii="宋体" w:hAnsi="宋体" w:cs="宋体"/>
                <w:lang w:val="en-US" w:eastAsia="zh-CN"/>
              </w:rPr>
              <w:t>1250</w:t>
            </w:r>
            <w:r>
              <w:rPr>
                <w:rFonts w:hint="eastAsia" w:ascii="宋体" w:hAnsi="宋体" w:eastAsia="宋体" w:cs="宋体"/>
              </w:rPr>
              <w:t>mm²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且</w:t>
            </w:r>
            <w:r>
              <w:rPr>
                <w:rFonts w:hint="eastAsia" w:ascii="宋体" w:hAnsi="宋体" w:eastAsia="宋体" w:cs="宋体"/>
              </w:rPr>
              <w:t>厚度≥1.5mm热镀锌管，其中拱杆每根长度≥4.5m、主拱杆间距4m。</w:t>
            </w:r>
          </w:p>
        </w:tc>
        <w:tc>
          <w:tcPr>
            <w:tcW w:w="2635" w:type="dxa"/>
            <w:vMerge w:val="restart"/>
            <w:noWrap w:val="0"/>
            <w:vAlign w:val="center"/>
          </w:tcPr>
          <w:p w14:paraId="2F304E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材质符合GB/T 700，力学性能焊缝质量和尺寸规格符合GB/T 13793，镀锌层质量符合GB/T 13912，厚度偏差：1.5mm±0.1mm钢管镀锌层厚度≥0.045mm。</w:t>
            </w:r>
          </w:p>
        </w:tc>
        <w:tc>
          <w:tcPr>
            <w:tcW w:w="1498" w:type="dxa"/>
            <w:vMerge w:val="restart"/>
            <w:noWrap w:val="0"/>
            <w:vAlign w:val="center"/>
          </w:tcPr>
          <w:p w14:paraId="6F4712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0530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271" w:type="dxa"/>
            <w:noWrap w:val="0"/>
            <w:vAlign w:val="center"/>
          </w:tcPr>
          <w:p w14:paraId="07D04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副拱杆</w:t>
            </w:r>
          </w:p>
        </w:tc>
        <w:tc>
          <w:tcPr>
            <w:tcW w:w="3912" w:type="dxa"/>
            <w:vMerge w:val="restart"/>
            <w:noWrap w:val="0"/>
            <w:vAlign w:val="center"/>
          </w:tcPr>
          <w:p w14:paraId="30F2C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采用</w:t>
            </w:r>
            <w:r>
              <w:rPr>
                <w:rFonts w:hint="eastAsia" w:ascii="宋体" w:hAnsi="宋体" w:cs="宋体"/>
                <w:lang w:val="en-US" w:eastAsia="zh-CN"/>
              </w:rPr>
              <w:t>截面</w:t>
            </w:r>
            <w:r>
              <w:rPr>
                <w:rFonts w:hint="eastAsia" w:ascii="宋体" w:hAnsi="宋体" w:eastAsia="宋体" w:cs="宋体"/>
              </w:rPr>
              <w:t>≥Φ32mm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且厚度</w:t>
            </w:r>
            <w:r>
              <w:rPr>
                <w:rFonts w:hint="eastAsia" w:ascii="宋体" w:hAnsi="宋体" w:eastAsia="宋体" w:cs="宋体"/>
              </w:rPr>
              <w:t>≥1.5mm热镀锌管。</w:t>
            </w:r>
          </w:p>
        </w:tc>
        <w:tc>
          <w:tcPr>
            <w:tcW w:w="2635" w:type="dxa"/>
            <w:vMerge w:val="continue"/>
            <w:noWrap w:val="0"/>
            <w:vAlign w:val="center"/>
          </w:tcPr>
          <w:p w14:paraId="02E41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8" w:type="dxa"/>
            <w:vMerge w:val="continue"/>
            <w:noWrap w:val="0"/>
            <w:vAlign w:val="center"/>
          </w:tcPr>
          <w:p w14:paraId="2862D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184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71" w:type="dxa"/>
            <w:noWrap w:val="0"/>
            <w:vAlign w:val="center"/>
          </w:tcPr>
          <w:p w14:paraId="788F2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纵拉杆</w:t>
            </w:r>
          </w:p>
        </w:tc>
        <w:tc>
          <w:tcPr>
            <w:tcW w:w="3912" w:type="dxa"/>
            <w:vMerge w:val="continue"/>
            <w:noWrap w:val="0"/>
            <w:vAlign w:val="center"/>
          </w:tcPr>
          <w:p w14:paraId="09ED2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635" w:type="dxa"/>
            <w:vMerge w:val="continue"/>
            <w:noWrap w:val="0"/>
            <w:vAlign w:val="center"/>
          </w:tcPr>
          <w:p w14:paraId="15285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8" w:type="dxa"/>
            <w:vMerge w:val="continue"/>
            <w:noWrap w:val="0"/>
            <w:vAlign w:val="center"/>
          </w:tcPr>
          <w:p w14:paraId="66908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4F2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271" w:type="dxa"/>
            <w:noWrap w:val="0"/>
            <w:vAlign w:val="center"/>
          </w:tcPr>
          <w:p w14:paraId="1214B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主立柱</w:t>
            </w:r>
          </w:p>
        </w:tc>
        <w:tc>
          <w:tcPr>
            <w:tcW w:w="3912" w:type="dxa"/>
            <w:noWrap w:val="0"/>
            <w:vAlign w:val="center"/>
          </w:tcPr>
          <w:p w14:paraId="259744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立柱</w:t>
            </w:r>
            <w:r>
              <w:rPr>
                <w:rFonts w:hint="eastAsia" w:ascii="宋体" w:hAnsi="宋体" w:cs="宋体"/>
                <w:lang w:eastAsia="zh-CN"/>
              </w:rPr>
              <w:t>顶部</w:t>
            </w:r>
            <w:r>
              <w:rPr>
                <w:rFonts w:hint="eastAsia" w:ascii="宋体" w:hAnsi="宋体" w:eastAsia="宋体" w:cs="宋体"/>
              </w:rPr>
              <w:t>与天沟采用专用连接，底部焊接用于连接基础预埋螺栓的钢板，厚度≥6mm。主立柱采用截面面积≥4800mm²且厚度≥3.0mm热镀锌矩形钢管。主受力柱单根不允许接头。</w:t>
            </w:r>
          </w:p>
        </w:tc>
        <w:tc>
          <w:tcPr>
            <w:tcW w:w="2635" w:type="dxa"/>
            <w:vMerge w:val="restart"/>
            <w:noWrap w:val="0"/>
            <w:vAlign w:val="center"/>
          </w:tcPr>
          <w:p w14:paraId="031D8D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材质符合GB/T 700，力学性能焊缝质量和尺寸规格符合GB/T 13793，镀锌层质量符合GB/T 13912，厚度偏差：3.0mm±0.1mm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钢管镀锌层厚度≥0.045mm，。</w:t>
            </w:r>
          </w:p>
        </w:tc>
        <w:tc>
          <w:tcPr>
            <w:tcW w:w="1498" w:type="dxa"/>
            <w:noWrap w:val="0"/>
            <w:vAlign w:val="center"/>
          </w:tcPr>
          <w:p w14:paraId="155F0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789B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271" w:type="dxa"/>
            <w:noWrap w:val="0"/>
            <w:vAlign w:val="center"/>
          </w:tcPr>
          <w:p w14:paraId="0084F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侧墙副立柱</w:t>
            </w:r>
          </w:p>
        </w:tc>
        <w:tc>
          <w:tcPr>
            <w:tcW w:w="3912" w:type="dxa"/>
            <w:noWrap w:val="0"/>
            <w:vAlign w:val="center"/>
          </w:tcPr>
          <w:p w14:paraId="12B98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温室</w:t>
            </w:r>
            <w:r>
              <w:rPr>
                <w:rFonts w:hint="eastAsia" w:ascii="宋体" w:hAnsi="宋体" w:eastAsia="宋体" w:cs="宋体"/>
              </w:rPr>
              <w:t>边侧主立柱间安装副立柱</w:t>
            </w:r>
            <w:r>
              <w:rPr>
                <w:rFonts w:hint="eastAsia" w:ascii="宋体" w:hAnsi="宋体" w:cs="宋体"/>
                <w:lang w:val="en-US" w:eastAsia="zh-CN"/>
              </w:rPr>
              <w:t>时采用下列2种方式</w:t>
            </w:r>
            <w:r>
              <w:rPr>
                <w:rFonts w:hint="eastAsia" w:ascii="宋体" w:hAnsi="宋体" w:eastAsia="宋体" w:cs="宋体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方式一：采用</w:t>
            </w:r>
            <w:r>
              <w:rPr>
                <w:rFonts w:hint="eastAsia" w:ascii="宋体" w:hAnsi="宋体" w:eastAsia="宋体" w:cs="宋体"/>
              </w:rPr>
              <w:t>截面面积≥2400mm²且厚度≥2.0mm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热镀锌管间距2m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  <w:r>
              <w:rPr>
                <w:rFonts w:hint="eastAsia" w:ascii="宋体" w:hAnsi="宋体" w:cs="宋体"/>
                <w:lang w:val="en-US" w:eastAsia="zh-CN"/>
              </w:rPr>
              <w:t>方式二：</w:t>
            </w:r>
            <w:r>
              <w:rPr>
                <w:rFonts w:hint="eastAsia" w:ascii="宋体" w:hAnsi="宋体" w:eastAsia="宋体" w:cs="宋体"/>
              </w:rPr>
              <w:t>采用规格≥Φ32mm且厚度≥1.5mm热镀锌圆管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圆管间距</w:t>
            </w:r>
            <w:r>
              <w:rPr>
                <w:rFonts w:hint="eastAsia" w:ascii="宋体" w:hAnsi="宋体" w:cs="宋体"/>
                <w:lang w:val="en-US" w:eastAsia="zh-CN"/>
              </w:rPr>
              <w:t>宜为</w:t>
            </w:r>
            <w:r>
              <w:rPr>
                <w:rFonts w:hint="eastAsia" w:ascii="宋体" w:hAnsi="宋体" w:eastAsia="宋体" w:cs="宋体"/>
              </w:rPr>
              <w:t>1m。</w:t>
            </w:r>
          </w:p>
        </w:tc>
        <w:tc>
          <w:tcPr>
            <w:tcW w:w="2635" w:type="dxa"/>
            <w:vMerge w:val="continue"/>
            <w:noWrap w:val="0"/>
            <w:vAlign w:val="center"/>
          </w:tcPr>
          <w:p w14:paraId="5DA31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37F271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2D4CC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noWrap w:val="0"/>
            <w:vAlign w:val="center"/>
          </w:tcPr>
          <w:p w14:paraId="6CFF2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山墙副立柱</w:t>
            </w:r>
          </w:p>
        </w:tc>
        <w:tc>
          <w:tcPr>
            <w:tcW w:w="3912" w:type="dxa"/>
            <w:noWrap w:val="0"/>
            <w:vAlign w:val="center"/>
          </w:tcPr>
          <w:p w14:paraId="17E551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温室</w:t>
            </w:r>
            <w:r>
              <w:rPr>
                <w:rFonts w:hint="eastAsia" w:ascii="宋体" w:hAnsi="宋体" w:eastAsia="宋体" w:cs="宋体"/>
              </w:rPr>
              <w:t>山墙主立柱间安装副立柱，采用矩形管每跨≥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支，截面面积≥2400mm²且厚度≥2.0mm热镀锌管。</w:t>
            </w:r>
          </w:p>
        </w:tc>
        <w:tc>
          <w:tcPr>
            <w:tcW w:w="2635" w:type="dxa"/>
            <w:vMerge w:val="continue"/>
            <w:noWrap w:val="0"/>
            <w:vAlign w:val="center"/>
          </w:tcPr>
          <w:p w14:paraId="4FFD5F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EA4C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2063C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1" w:type="dxa"/>
            <w:noWrap w:val="0"/>
            <w:vAlign w:val="center"/>
          </w:tcPr>
          <w:p w14:paraId="1912E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天沟</w:t>
            </w:r>
          </w:p>
        </w:tc>
        <w:tc>
          <w:tcPr>
            <w:tcW w:w="3912" w:type="dxa"/>
            <w:noWrap w:val="0"/>
            <w:vAlign w:val="center"/>
          </w:tcPr>
          <w:p w14:paraId="659D573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方案一：加强型</w:t>
            </w:r>
            <w:r>
              <w:rPr>
                <w:rFonts w:hint="eastAsia" w:ascii="宋体" w:hAnsi="宋体" w:eastAsia="宋体" w:cs="宋体"/>
              </w:rPr>
              <w:t>采用≥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2.0</w:t>
            </w:r>
            <w:r>
              <w:rPr>
                <w:rFonts w:hint="eastAsia" w:ascii="宋体" w:hAnsi="宋体" w:eastAsia="宋体" w:cs="宋体"/>
              </w:rPr>
              <w:t>mm冷弯</w:t>
            </w:r>
            <w:r>
              <w:rPr>
                <w:rFonts w:hint="eastAsia" w:ascii="宋体" w:hAnsi="宋体" w:cs="宋体"/>
                <w:lang w:val="en-US" w:eastAsia="zh-CN"/>
              </w:rPr>
              <w:t>热</w:t>
            </w:r>
            <w:r>
              <w:rPr>
                <w:rFonts w:hint="eastAsia" w:ascii="宋体" w:hAnsi="宋体" w:eastAsia="宋体" w:cs="宋体"/>
              </w:rPr>
              <w:t>镀锌板，天沟边自带卡槽，带加强</w:t>
            </w:r>
            <w:r>
              <w:rPr>
                <w:rFonts w:hint="eastAsia" w:ascii="宋体" w:hAnsi="宋体" w:cs="宋体"/>
                <w:lang w:val="en-US" w:eastAsia="zh-CN"/>
              </w:rPr>
              <w:t>板；</w:t>
            </w:r>
          </w:p>
          <w:p w14:paraId="03D4539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方案二：普通天沟加强型</w:t>
            </w:r>
            <w:r>
              <w:rPr>
                <w:rFonts w:hint="eastAsia" w:ascii="宋体" w:hAnsi="宋体" w:eastAsia="宋体" w:cs="宋体"/>
              </w:rPr>
              <w:t>采用≥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mm冷弯</w:t>
            </w:r>
            <w:r>
              <w:rPr>
                <w:rFonts w:hint="eastAsia" w:ascii="宋体" w:hAnsi="宋体" w:cs="宋体"/>
                <w:lang w:val="en-US" w:eastAsia="zh-CN"/>
              </w:rPr>
              <w:t>热</w:t>
            </w:r>
            <w:r>
              <w:rPr>
                <w:rFonts w:hint="eastAsia" w:ascii="宋体" w:hAnsi="宋体" w:eastAsia="宋体" w:cs="宋体"/>
              </w:rPr>
              <w:t>镀锌板，带加强</w:t>
            </w:r>
            <w:r>
              <w:rPr>
                <w:rFonts w:hint="eastAsia" w:ascii="宋体" w:hAnsi="宋体" w:cs="宋体"/>
                <w:lang w:val="en-US" w:eastAsia="zh-CN"/>
              </w:rPr>
              <w:t>板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635" w:type="dxa"/>
            <w:noWrap w:val="0"/>
            <w:vAlign w:val="center"/>
          </w:tcPr>
          <w:p w14:paraId="6F3E3AA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  <w:color w:val="4F81BD" w:themeColor="accent1"/>
              </w:rPr>
            </w:pPr>
            <w:r>
              <w:rPr>
                <w:rFonts w:hint="eastAsia" w:ascii="宋体" w:hAnsi="宋体" w:eastAsia="宋体" w:cs="宋体"/>
              </w:rPr>
              <w:t>材质符合GB/T 700，厚度偏差：±0.05mm，镀层重量≥275g/</w:t>
            </w:r>
            <w:r>
              <w:rPr>
                <w:rFonts w:hint="eastAsia" w:ascii="宋体" w:hAnsi="宋体" w:cs="宋体"/>
                <w:lang w:val="en-US" w:eastAsia="zh-CN"/>
              </w:rPr>
              <w:t>㎡</w:t>
            </w:r>
            <w:r>
              <w:rPr>
                <w:rFonts w:hint="eastAsia" w:ascii="宋体" w:hAnsi="宋体" w:eastAsia="宋体" w:cs="宋体"/>
              </w:rPr>
              <w:t>，表面镀锌层质量符合GB/T 2518。</w:t>
            </w:r>
          </w:p>
        </w:tc>
        <w:tc>
          <w:tcPr>
            <w:tcW w:w="1498" w:type="dxa"/>
            <w:noWrap w:val="0"/>
            <w:vAlign w:val="center"/>
          </w:tcPr>
          <w:p w14:paraId="5DD8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  <w:color w:val="4F81BD" w:themeColor="accent1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30FA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noWrap w:val="0"/>
            <w:vAlign w:val="center"/>
          </w:tcPr>
          <w:p w14:paraId="53AFE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天沟托架</w:t>
            </w:r>
          </w:p>
        </w:tc>
        <w:tc>
          <w:tcPr>
            <w:tcW w:w="3912" w:type="dxa"/>
            <w:noWrap w:val="0"/>
            <w:vAlign w:val="center"/>
          </w:tcPr>
          <w:p w14:paraId="7B5C1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采用冷弯</w:t>
            </w:r>
            <w:r>
              <w:rPr>
                <w:rFonts w:hint="eastAsia" w:ascii="宋体" w:hAnsi="宋体" w:cs="宋体"/>
                <w:lang w:val="en-US" w:eastAsia="zh-CN"/>
              </w:rPr>
              <w:t>热</w:t>
            </w:r>
            <w:r>
              <w:rPr>
                <w:rFonts w:hint="eastAsia" w:ascii="宋体" w:hAnsi="宋体" w:eastAsia="宋体" w:cs="宋体"/>
              </w:rPr>
              <w:t>镀锌板一次性冲压</w:t>
            </w:r>
            <w:bookmarkStart w:id="89" w:name="_GoBack"/>
            <w:r>
              <w:rPr>
                <w:rFonts w:hint="eastAsia" w:ascii="宋体" w:hAnsi="宋体" w:eastAsia="宋体" w:cs="宋体"/>
              </w:rPr>
              <w:t>成型</w:t>
            </w:r>
            <w:bookmarkEnd w:id="89"/>
            <w:r>
              <w:rPr>
                <w:rFonts w:hint="eastAsia" w:ascii="宋体" w:hAnsi="宋体" w:eastAsia="宋体" w:cs="宋体"/>
              </w:rPr>
              <w:t>，天沟</w:t>
            </w:r>
            <w:r>
              <w:rPr>
                <w:rFonts w:hint="eastAsia" w:ascii="宋体" w:hAnsi="宋体" w:cs="宋体"/>
                <w:lang w:val="en-US" w:eastAsia="zh-CN"/>
              </w:rPr>
              <w:t>连接</w:t>
            </w:r>
            <w:r>
              <w:rPr>
                <w:rFonts w:hint="eastAsia" w:ascii="宋体" w:hAnsi="宋体" w:eastAsia="宋体" w:cs="宋体"/>
              </w:rPr>
              <w:t>处配置。</w:t>
            </w:r>
          </w:p>
        </w:tc>
        <w:tc>
          <w:tcPr>
            <w:tcW w:w="2635" w:type="dxa"/>
            <w:noWrap w:val="0"/>
            <w:vAlign w:val="center"/>
          </w:tcPr>
          <w:p w14:paraId="4E724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材质符合GB/T 700，厚度偏差：±0.05mm，镀层重量≥275g/</w:t>
            </w:r>
            <w:r>
              <w:rPr>
                <w:rFonts w:hint="eastAsia" w:ascii="宋体" w:hAnsi="宋体" w:eastAsia="宋体" w:cs="宋体"/>
                <w:lang w:eastAsia="zh-CN"/>
              </w:rPr>
              <w:t>m</w:t>
            </w:r>
            <w:r>
              <w:rPr>
                <w:rFonts w:hint="eastAsia" w:ascii="宋体" w:hAnsi="宋体" w:eastAsia="宋体" w:cs="宋体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，表面镀锌层质量符合GB/T 2518。</w:t>
            </w:r>
          </w:p>
        </w:tc>
        <w:tc>
          <w:tcPr>
            <w:tcW w:w="1498" w:type="dxa"/>
            <w:noWrap w:val="0"/>
            <w:vAlign w:val="center"/>
          </w:tcPr>
          <w:p w14:paraId="32B6B3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6F34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1271" w:type="dxa"/>
            <w:noWrap w:val="0"/>
            <w:vAlign w:val="center"/>
          </w:tcPr>
          <w:p w14:paraId="17423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水平拉杆</w:t>
            </w:r>
          </w:p>
        </w:tc>
        <w:tc>
          <w:tcPr>
            <w:tcW w:w="3912" w:type="dxa"/>
            <w:noWrap w:val="0"/>
            <w:vAlign w:val="center"/>
          </w:tcPr>
          <w:p w14:paraId="5F97B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采用截面面积≥2400mm²且厚度≥2.0mm热浸镀锌矩形钢管。</w:t>
            </w:r>
          </w:p>
        </w:tc>
        <w:tc>
          <w:tcPr>
            <w:tcW w:w="2635" w:type="dxa"/>
            <w:noWrap w:val="0"/>
            <w:vAlign w:val="center"/>
          </w:tcPr>
          <w:p w14:paraId="3DBD8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材质符合GB/T 700，力学性能焊缝质量和尺寸规格符合GB/T 13793，厚度偏差：±0.1mm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镀锌层质量符合GB/T 13912，钢管镀锌层厚度≥0.045 mm。</w:t>
            </w:r>
          </w:p>
        </w:tc>
        <w:tc>
          <w:tcPr>
            <w:tcW w:w="1498" w:type="dxa"/>
            <w:noWrap w:val="0"/>
            <w:vAlign w:val="center"/>
          </w:tcPr>
          <w:p w14:paraId="25DFE4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BB2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271" w:type="dxa"/>
            <w:noWrap w:val="0"/>
            <w:vAlign w:val="center"/>
          </w:tcPr>
          <w:p w14:paraId="2C1C3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柱间支撑</w:t>
            </w:r>
          </w:p>
        </w:tc>
        <w:tc>
          <w:tcPr>
            <w:tcW w:w="3912" w:type="dxa"/>
            <w:noWrap w:val="0"/>
            <w:vAlign w:val="center"/>
          </w:tcPr>
          <w:p w14:paraId="3D514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纵向设2组“×”形斜拉柱间支撑，柱间支撑设置60*40*2.0mm热浸镀锌上下横梁。</w:t>
            </w:r>
            <w:r>
              <w:rPr>
                <w:rFonts w:hint="eastAsia" w:ascii="宋体" w:hAnsi="宋体" w:eastAsia="宋体" w:cs="宋体"/>
                <w:lang w:eastAsia="zh-CN"/>
              </w:rPr>
              <w:t>温室</w:t>
            </w:r>
            <w:r>
              <w:rPr>
                <w:rFonts w:hint="eastAsia" w:ascii="宋体" w:hAnsi="宋体" w:eastAsia="宋体" w:cs="宋体"/>
              </w:rPr>
              <w:t>长度超过60m每增加30m增设1组。顶部设米字撑，米字撑钢管要求与副拱杆相同，热浸镀锌矩形钢管，材质Q235B。</w:t>
            </w:r>
          </w:p>
        </w:tc>
        <w:tc>
          <w:tcPr>
            <w:tcW w:w="2635" w:type="dxa"/>
            <w:vMerge w:val="restart"/>
            <w:noWrap w:val="0"/>
            <w:vAlign w:val="center"/>
          </w:tcPr>
          <w:p w14:paraId="1CC92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材质符合GB/T 700，力学性能焊缝质量和尺寸规格符合GB/T 13793，镀锌层质量符合GB/T 13912，钢管镀锌层厚度≥0.045 mm。</w:t>
            </w:r>
          </w:p>
        </w:tc>
        <w:tc>
          <w:tcPr>
            <w:tcW w:w="1498" w:type="dxa"/>
            <w:vMerge w:val="restart"/>
            <w:noWrap w:val="0"/>
            <w:vAlign w:val="center"/>
          </w:tcPr>
          <w:p w14:paraId="2666D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6034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noWrap w:val="0"/>
            <w:vAlign w:val="center"/>
          </w:tcPr>
          <w:p w14:paraId="70D74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卷膜杆</w:t>
            </w:r>
          </w:p>
        </w:tc>
        <w:tc>
          <w:tcPr>
            <w:tcW w:w="3912" w:type="dxa"/>
            <w:noWrap w:val="0"/>
            <w:vAlign w:val="center"/>
          </w:tcPr>
          <w:p w14:paraId="67EB3B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直缝焊管≥Φ20mm×1.2mm。</w:t>
            </w:r>
          </w:p>
        </w:tc>
        <w:tc>
          <w:tcPr>
            <w:tcW w:w="2635" w:type="dxa"/>
            <w:vMerge w:val="continue"/>
            <w:noWrap w:val="0"/>
            <w:vAlign w:val="center"/>
          </w:tcPr>
          <w:p w14:paraId="65521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8" w:type="dxa"/>
            <w:vMerge w:val="continue"/>
            <w:noWrap w:val="0"/>
            <w:vAlign w:val="center"/>
          </w:tcPr>
          <w:p w14:paraId="4D331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35A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1271" w:type="dxa"/>
            <w:noWrap w:val="0"/>
            <w:vAlign w:val="center"/>
          </w:tcPr>
          <w:p w14:paraId="2D6D9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基础</w:t>
            </w:r>
          </w:p>
        </w:tc>
        <w:tc>
          <w:tcPr>
            <w:tcW w:w="3912" w:type="dxa"/>
            <w:noWrap w:val="0"/>
            <w:vAlign w:val="center"/>
          </w:tcPr>
          <w:p w14:paraId="4AE087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基础设计前应进行岩土工程勘察,独立基础可采用现浇钢筋混凝土柱基础或预制基础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纵向受力钢</w:t>
            </w:r>
            <w:r>
              <w:rPr>
                <w:rFonts w:hint="eastAsia" w:ascii="宋体" w:hAnsi="宋体" w:eastAsia="宋体" w:cs="宋体"/>
              </w:rPr>
              <w:t>筋不宜小于4</w:t>
            </w:r>
            <w:r>
              <w:rPr>
                <w:rFonts w:hint="eastAsia" w:ascii="宋体" w:hAnsi="宋体" w:cs="宋体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</w:rPr>
              <w:t>φ12mm,箍筋不应小于φ6mm,箍筋间距不宜大于200mm,预埋件应与</w:t>
            </w:r>
            <w:r>
              <w:rPr>
                <w:rFonts w:hint="eastAsia" w:ascii="宋体" w:hAnsi="宋体" w:cs="宋体"/>
                <w:lang w:val="en-US" w:eastAsia="zh-CN"/>
              </w:rPr>
              <w:t>纵向受力钢</w:t>
            </w:r>
            <w:r>
              <w:rPr>
                <w:rFonts w:hint="eastAsia" w:ascii="宋体" w:hAnsi="宋体" w:eastAsia="宋体" w:cs="宋体"/>
              </w:rPr>
              <w:t>筋焊接牢固。用于连接立柱的预埋螺栓宜为4根,螺栓规格不应小于M14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长度</w:t>
            </w:r>
            <w:r>
              <w:rPr>
                <w:rFonts w:hint="eastAsia" w:ascii="宋体" w:hAnsi="宋体" w:eastAsia="宋体" w:cs="宋体"/>
              </w:rPr>
              <w:t>不小于</w:t>
            </w:r>
            <w:r>
              <w:rPr>
                <w:rFonts w:hint="eastAsia" w:ascii="宋体" w:hAnsi="宋体" w:cs="宋体"/>
                <w:lang w:val="en-US" w:eastAsia="zh-CN"/>
              </w:rPr>
              <w:t>400mm</w:t>
            </w:r>
            <w:r>
              <w:rPr>
                <w:rFonts w:hint="eastAsia" w:ascii="宋体" w:hAnsi="宋体" w:eastAsia="宋体" w:cs="宋体"/>
              </w:rPr>
              <w:t>。基础埋深不小于0.</w:t>
            </w:r>
            <w:r>
              <w:rPr>
                <w:rFonts w:hint="eastAsia" w:ascii="宋体" w:hAnsi="宋体" w:cs="宋体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</w:rPr>
              <w:t>m,</w:t>
            </w:r>
            <w:r>
              <w:rPr>
                <w:rFonts w:hint="eastAsia" w:ascii="宋体" w:hAnsi="宋体" w:cs="宋体"/>
                <w:lang w:val="en-US" w:eastAsia="zh-CN"/>
              </w:rPr>
              <w:t>四周</w:t>
            </w:r>
            <w:r>
              <w:rPr>
                <w:rFonts w:hint="eastAsia" w:ascii="宋体" w:hAnsi="宋体" w:eastAsia="宋体" w:cs="宋体"/>
              </w:rPr>
              <w:t>基础埋深应大于建设地区常年冻土层深度。</w:t>
            </w:r>
          </w:p>
        </w:tc>
        <w:tc>
          <w:tcPr>
            <w:tcW w:w="2635" w:type="dxa"/>
            <w:noWrap w:val="0"/>
            <w:vAlign w:val="center"/>
          </w:tcPr>
          <w:p w14:paraId="4E0632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混凝土强度≥C20，符合NY/T 1145。</w:t>
            </w:r>
          </w:p>
        </w:tc>
        <w:tc>
          <w:tcPr>
            <w:tcW w:w="1498" w:type="dxa"/>
            <w:noWrap w:val="0"/>
            <w:vAlign w:val="center"/>
          </w:tcPr>
          <w:p w14:paraId="17730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钢卷尺、混凝土回弹仪</w:t>
            </w:r>
          </w:p>
        </w:tc>
      </w:tr>
      <w:tr w14:paraId="293E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71" w:type="dxa"/>
            <w:noWrap w:val="0"/>
            <w:vAlign w:val="center"/>
          </w:tcPr>
          <w:p w14:paraId="1FD22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覆盖材料</w:t>
            </w:r>
          </w:p>
        </w:tc>
        <w:tc>
          <w:tcPr>
            <w:tcW w:w="3912" w:type="dxa"/>
            <w:noWrap w:val="0"/>
            <w:vAlign w:val="center"/>
          </w:tcPr>
          <w:p w14:paraId="3B15C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防老化防雾滴农膜，厚度≥0.</w:t>
            </w:r>
            <w:r>
              <w:rPr>
                <w:rFonts w:hint="eastAsia" w:ascii="宋体" w:hAnsi="宋体" w:cs="宋体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</w:rPr>
              <w:t>mm，采用</w:t>
            </w:r>
            <w:r>
              <w:rPr>
                <w:rFonts w:hint="eastAsia" w:ascii="宋体" w:hAnsi="宋体" w:eastAsia="宋体" w:cs="宋体"/>
                <w:lang w:eastAsia="zh-CN"/>
              </w:rPr>
              <w:t>温室</w:t>
            </w:r>
            <w:r>
              <w:rPr>
                <w:rFonts w:hint="eastAsia" w:ascii="宋体" w:hAnsi="宋体" w:eastAsia="宋体" w:cs="宋体"/>
              </w:rPr>
              <w:t>专用压膜线，压膜线顶部侧墙用八字簧固定。</w:t>
            </w:r>
          </w:p>
        </w:tc>
        <w:tc>
          <w:tcPr>
            <w:tcW w:w="2635" w:type="dxa"/>
            <w:noWrap w:val="0"/>
            <w:vAlign w:val="center"/>
          </w:tcPr>
          <w:p w14:paraId="633EA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符合NY/T 1966、GB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4455-2006</w:t>
            </w:r>
          </w:p>
        </w:tc>
        <w:tc>
          <w:tcPr>
            <w:tcW w:w="1498" w:type="dxa"/>
            <w:noWrap w:val="0"/>
            <w:vAlign w:val="center"/>
          </w:tcPr>
          <w:p w14:paraId="51A019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游标卡尺、螺旋测微器、超声波测厚仪</w:t>
            </w:r>
          </w:p>
        </w:tc>
      </w:tr>
      <w:tr w14:paraId="2F93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271" w:type="dxa"/>
            <w:noWrap w:val="0"/>
            <w:vAlign w:val="center"/>
          </w:tcPr>
          <w:p w14:paraId="27281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拱杆连接件</w:t>
            </w:r>
          </w:p>
        </w:tc>
        <w:tc>
          <w:tcPr>
            <w:tcW w:w="3912" w:type="dxa"/>
            <w:noWrap w:val="0"/>
            <w:vAlign w:val="center"/>
          </w:tcPr>
          <w:p w14:paraId="0B7F2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直径</w:t>
            </w:r>
            <w:r>
              <w:rPr>
                <w:rFonts w:hint="eastAsia" w:ascii="宋体" w:hAnsi="宋体" w:eastAsia="宋体" w:cs="宋体"/>
              </w:rPr>
              <w:t>≥Φ38mm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厚度</w:t>
            </w:r>
            <w:r>
              <w:rPr>
                <w:rFonts w:hint="eastAsia" w:ascii="宋体" w:hAnsi="宋体" w:eastAsia="宋体" w:cs="宋体"/>
              </w:rPr>
              <w:t>≥1.5mm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长度≥</w:t>
            </w:r>
            <w:r>
              <w:rPr>
                <w:rFonts w:hint="eastAsia" w:ascii="宋体" w:hAnsi="宋体" w:eastAsia="宋体" w:cs="宋体"/>
              </w:rPr>
              <w:t>250mm。</w:t>
            </w:r>
          </w:p>
        </w:tc>
        <w:tc>
          <w:tcPr>
            <w:tcW w:w="2635" w:type="dxa"/>
            <w:noWrap w:val="0"/>
            <w:vAlign w:val="center"/>
          </w:tcPr>
          <w:p w14:paraId="17B3C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夹角小于150°</w:t>
            </w:r>
          </w:p>
        </w:tc>
        <w:tc>
          <w:tcPr>
            <w:tcW w:w="1498" w:type="dxa"/>
            <w:noWrap w:val="0"/>
            <w:vAlign w:val="center"/>
          </w:tcPr>
          <w:p w14:paraId="764B8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51A1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1" w:type="dxa"/>
            <w:noWrap w:val="0"/>
            <w:vAlign w:val="center"/>
          </w:tcPr>
          <w:p w14:paraId="511F1E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卡槽</w:t>
            </w:r>
          </w:p>
        </w:tc>
        <w:tc>
          <w:tcPr>
            <w:tcW w:w="3912" w:type="dxa"/>
            <w:noWrap w:val="0"/>
            <w:vAlign w:val="center"/>
          </w:tcPr>
          <w:p w14:paraId="457A1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方案一：热镀锌卡槽厚度</w:t>
            </w:r>
            <w:r>
              <w:rPr>
                <w:rFonts w:hint="eastAsia" w:ascii="宋体" w:hAnsi="宋体" w:eastAsia="宋体" w:cs="宋体"/>
              </w:rPr>
              <w:t>≥0.7mm，镀层重量≥275g/</w:t>
            </w:r>
            <w:r>
              <w:rPr>
                <w:rFonts w:hint="eastAsia" w:ascii="宋体" w:hAnsi="宋体" w:eastAsia="宋体" w:cs="宋体"/>
                <w:lang w:eastAsia="zh-CN"/>
              </w:rPr>
              <w:t>m2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  <w:r>
              <w:rPr>
                <w:rFonts w:hint="eastAsia" w:ascii="宋体" w:hAnsi="宋体" w:cs="宋体"/>
                <w:lang w:val="en-US" w:eastAsia="zh-CN"/>
              </w:rPr>
              <w:t>方案二：铝合金卡槽厚度</w:t>
            </w:r>
            <w:r>
              <w:rPr>
                <w:rFonts w:hint="eastAsia" w:ascii="宋体" w:hAnsi="宋体" w:eastAsia="宋体" w:cs="宋体"/>
              </w:rPr>
              <w:t>≥</w:t>
            </w:r>
            <w:r>
              <w:rPr>
                <w:rFonts w:hint="eastAsia" w:ascii="宋体" w:hAnsi="宋体" w:cs="宋体"/>
                <w:lang w:val="en-US" w:eastAsia="zh-CN"/>
              </w:rPr>
              <w:t>1.0</w:t>
            </w:r>
            <w:r>
              <w:rPr>
                <w:rFonts w:hint="eastAsia" w:ascii="宋体" w:hAnsi="宋体" w:eastAsia="宋体" w:cs="宋体"/>
              </w:rPr>
              <w:t>mm，</w:t>
            </w:r>
            <w:r>
              <w:rPr>
                <w:rFonts w:hint="eastAsia" w:ascii="宋体" w:hAnsi="宋体" w:cs="宋体"/>
                <w:lang w:val="en-US" w:eastAsia="zh-CN"/>
              </w:rPr>
              <w:t>阳极氧化处理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</w:tc>
        <w:tc>
          <w:tcPr>
            <w:tcW w:w="2635" w:type="dxa"/>
            <w:noWrap w:val="0"/>
            <w:vAlign w:val="center"/>
          </w:tcPr>
          <w:p w14:paraId="4D4DF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符合GB/T 2518</w:t>
            </w:r>
          </w:p>
        </w:tc>
        <w:tc>
          <w:tcPr>
            <w:tcW w:w="1498" w:type="dxa"/>
            <w:noWrap w:val="0"/>
            <w:vAlign w:val="center"/>
          </w:tcPr>
          <w:p w14:paraId="64414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373B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271" w:type="dxa"/>
            <w:noWrap w:val="0"/>
            <w:vAlign w:val="center"/>
          </w:tcPr>
          <w:p w14:paraId="1283A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管槽固定卡</w:t>
            </w:r>
          </w:p>
        </w:tc>
        <w:tc>
          <w:tcPr>
            <w:tcW w:w="3912" w:type="dxa"/>
            <w:vMerge w:val="restart"/>
            <w:noWrap w:val="0"/>
            <w:vAlign w:val="center"/>
          </w:tcPr>
          <w:p w14:paraId="3565D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热镀锌薄钢板≥1.5mm，镀层重量≥275g/</w:t>
            </w:r>
            <w:r>
              <w:rPr>
                <w:rFonts w:hint="eastAsia" w:ascii="宋体" w:hAnsi="宋体" w:eastAsia="宋体" w:cs="宋体"/>
                <w:lang w:eastAsia="zh-CN"/>
              </w:rPr>
              <w:t>m2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635" w:type="dxa"/>
            <w:vMerge w:val="restart"/>
            <w:noWrap w:val="0"/>
            <w:vAlign w:val="center"/>
          </w:tcPr>
          <w:p w14:paraId="3C8C2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符合GB/T 2518</w:t>
            </w:r>
          </w:p>
        </w:tc>
        <w:tc>
          <w:tcPr>
            <w:tcW w:w="1498" w:type="dxa"/>
            <w:vMerge w:val="restart"/>
            <w:noWrap w:val="0"/>
            <w:vAlign w:val="center"/>
          </w:tcPr>
          <w:p w14:paraId="14EBE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游标卡尺、螺旋测微器、涂层测厚仪、超声波测厚仪</w:t>
            </w:r>
          </w:p>
        </w:tc>
      </w:tr>
      <w:tr w14:paraId="40EE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71" w:type="dxa"/>
            <w:noWrap w:val="0"/>
            <w:vAlign w:val="center"/>
          </w:tcPr>
          <w:p w14:paraId="07F7D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楔形卡管</w:t>
            </w:r>
          </w:p>
        </w:tc>
        <w:tc>
          <w:tcPr>
            <w:tcW w:w="3912" w:type="dxa"/>
            <w:vMerge w:val="continue"/>
            <w:noWrap w:val="0"/>
            <w:vAlign w:val="center"/>
          </w:tcPr>
          <w:p w14:paraId="45DC7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2635" w:type="dxa"/>
            <w:vMerge w:val="continue"/>
            <w:noWrap w:val="0"/>
            <w:vAlign w:val="center"/>
          </w:tcPr>
          <w:p w14:paraId="7DE61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1498" w:type="dxa"/>
            <w:vMerge w:val="continue"/>
            <w:noWrap w:val="0"/>
            <w:vAlign w:val="center"/>
          </w:tcPr>
          <w:p w14:paraId="13526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</w:rPr>
            </w:pPr>
          </w:p>
        </w:tc>
      </w:tr>
      <w:tr w14:paraId="23887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71" w:type="dxa"/>
            <w:noWrap w:val="0"/>
            <w:vAlign w:val="center"/>
          </w:tcPr>
          <w:p w14:paraId="6E379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管管固定卡</w:t>
            </w:r>
          </w:p>
        </w:tc>
        <w:tc>
          <w:tcPr>
            <w:tcW w:w="3912" w:type="dxa"/>
            <w:vMerge w:val="continue"/>
            <w:noWrap w:val="0"/>
            <w:vAlign w:val="center"/>
          </w:tcPr>
          <w:p w14:paraId="19CBD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/>
              </w:rPr>
            </w:pPr>
          </w:p>
        </w:tc>
        <w:tc>
          <w:tcPr>
            <w:tcW w:w="2635" w:type="dxa"/>
            <w:vMerge w:val="continue"/>
            <w:noWrap w:val="0"/>
            <w:vAlign w:val="center"/>
          </w:tcPr>
          <w:p w14:paraId="0F283E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/>
              </w:rPr>
            </w:pPr>
          </w:p>
        </w:tc>
        <w:tc>
          <w:tcPr>
            <w:tcW w:w="1498" w:type="dxa"/>
            <w:vMerge w:val="continue"/>
            <w:noWrap w:val="0"/>
            <w:vAlign w:val="center"/>
          </w:tcPr>
          <w:p w14:paraId="5C2A7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/>
              </w:rPr>
            </w:pPr>
          </w:p>
        </w:tc>
      </w:tr>
    </w:tbl>
    <w:p w14:paraId="01F7DA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2E08D899">
      <w:pPr>
        <w:widowControl/>
        <w:spacing w:line="26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68CFE144">
      <w:pPr>
        <w:widowControl/>
        <w:spacing w:line="26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9AA1DEB">
      <w:pPr>
        <w:widowControl/>
        <w:spacing w:line="26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  <w:sectPr>
          <w:pgSz w:w="11907" w:h="16840"/>
          <w:pgMar w:top="1803" w:right="1440" w:bottom="1803" w:left="1440" w:header="851" w:footer="992" w:gutter="0"/>
          <w:cols w:space="0" w:num="1"/>
          <w:docGrid w:type="linesAndChars" w:linePitch="319" w:charSpace="0"/>
        </w:sectPr>
      </w:pPr>
    </w:p>
    <w:p w14:paraId="6F5F28F7">
      <w:pPr>
        <w:pStyle w:val="2"/>
        <w:spacing w:beforeLines="100" w:afterLines="100" w:line="240" w:lineRule="auto"/>
        <w:jc w:val="center"/>
        <w:rPr>
          <w:rFonts w:hint="default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</w:pPr>
      <w:bookmarkStart w:id="86" w:name="_Toc17766"/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附 录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  <w:t>B  连栋薄膜温室</w:t>
      </w:r>
      <w:r>
        <w:rPr>
          <w:rFonts w:hint="default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  <w:t>安装允许偏差</w:t>
      </w:r>
      <w:bookmarkEnd w:id="86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494"/>
        <w:gridCol w:w="3384"/>
        <w:gridCol w:w="3029"/>
      </w:tblGrid>
      <w:tr w14:paraId="54468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1" w:type="dxa"/>
            <w:noWrap w:val="0"/>
            <w:vAlign w:val="center"/>
          </w:tcPr>
          <w:p w14:paraId="6493717F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</w:t>
            </w:r>
          </w:p>
        </w:tc>
        <w:tc>
          <w:tcPr>
            <w:tcW w:w="1494" w:type="dxa"/>
            <w:noWrap w:val="0"/>
            <w:vAlign w:val="center"/>
          </w:tcPr>
          <w:p w14:paraId="51E2699F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允许偏差/mm</w:t>
            </w:r>
          </w:p>
        </w:tc>
        <w:tc>
          <w:tcPr>
            <w:tcW w:w="3384" w:type="dxa"/>
            <w:noWrap w:val="0"/>
            <w:vAlign w:val="center"/>
          </w:tcPr>
          <w:p w14:paraId="0BE3ECB7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图例</w:t>
            </w:r>
          </w:p>
        </w:tc>
        <w:tc>
          <w:tcPr>
            <w:tcW w:w="3029" w:type="dxa"/>
            <w:noWrap w:val="0"/>
            <w:vAlign w:val="center"/>
          </w:tcPr>
          <w:p w14:paraId="598A2A3D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测量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方法</w:t>
            </w:r>
          </w:p>
        </w:tc>
      </w:tr>
      <w:tr w14:paraId="6010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1091" w:type="dxa"/>
            <w:noWrap w:val="0"/>
            <w:vAlign w:val="center"/>
          </w:tcPr>
          <w:p w14:paraId="2F446B4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拱间距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494" w:type="dxa"/>
            <w:noWrap w:val="0"/>
            <w:vAlign w:val="center"/>
          </w:tcPr>
          <w:p w14:paraId="24266CA9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±30</w:t>
            </w:r>
          </w:p>
        </w:tc>
        <w:tc>
          <w:tcPr>
            <w:tcW w:w="3384" w:type="dxa"/>
            <w:noWrap w:val="0"/>
            <w:vAlign w:val="center"/>
          </w:tcPr>
          <w:p w14:paraId="6B81484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eastAsia="宋体"/>
                <w:color w:val="auto"/>
              </w:rPr>
              <w:pict>
                <v:shape id="图片 3" o:spid="_x0000_s1034" o:spt="75" alt="7328817231535942826479" type="#_x0000_t75" style="position:absolute;left:0pt;margin-left:-4.95pt;margin-top:11.05pt;height:79.65pt;width:128.4pt;mso-wrap-distance-bottom:0pt;mso-wrap-distance-top:0pt;z-index:251668480;mso-width-relative:page;mso-height-relative:page;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topAndBottom"/>
                </v:shape>
              </w:pict>
            </w:r>
          </w:p>
        </w:tc>
        <w:tc>
          <w:tcPr>
            <w:tcW w:w="3029" w:type="dxa"/>
            <w:noWrap w:val="0"/>
            <w:vAlign w:val="center"/>
          </w:tcPr>
          <w:p w14:paraId="1A26A3F8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分别在两侧墙拱杆下部和上部取两组测点，总点数不少于5个，采用钢尺测量。</w:t>
            </w:r>
          </w:p>
        </w:tc>
      </w:tr>
      <w:tr w14:paraId="1399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1" w:type="dxa"/>
            <w:noWrap w:val="0"/>
            <w:vAlign w:val="center"/>
          </w:tcPr>
          <w:p w14:paraId="20502A43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顶高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494" w:type="dxa"/>
            <w:noWrap w:val="0"/>
            <w:vAlign w:val="center"/>
          </w:tcPr>
          <w:p w14:paraId="2CF40440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±50</w:t>
            </w:r>
          </w:p>
        </w:tc>
        <w:tc>
          <w:tcPr>
            <w:tcW w:w="3384" w:type="dxa"/>
            <w:vMerge w:val="restart"/>
            <w:noWrap w:val="0"/>
            <w:vAlign w:val="center"/>
          </w:tcPr>
          <w:p w14:paraId="1244A52E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eastAsia="宋体"/>
                <w:color w:val="auto"/>
              </w:rPr>
              <w:pict>
                <v:shape id="图片 4" o:spid="_x0000_s1035" o:spt="75" alt="8200135331535942826504" type="#_x0000_t75" style="position:absolute;left:0pt;margin-left:-2.5pt;margin-top:5.5pt;height:97.55pt;width:158.35pt;mso-wrap-distance-bottom:0pt;mso-wrap-distance-top:0pt;z-index:251669504;mso-width-relative:page;mso-height-relative:page;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topAndBottom"/>
                </v:shape>
              </w:pict>
            </w:r>
          </w:p>
        </w:tc>
        <w:tc>
          <w:tcPr>
            <w:tcW w:w="3029" w:type="dxa"/>
            <w:vMerge w:val="restart"/>
            <w:noWrap w:val="0"/>
            <w:vAlign w:val="center"/>
          </w:tcPr>
          <w:p w14:paraId="2078D960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分别在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温室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两端和中间位置测量，取平均值。采用钢尺测量。</w:t>
            </w:r>
          </w:p>
        </w:tc>
      </w:tr>
      <w:tr w14:paraId="00DE4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1" w:type="dxa"/>
            <w:noWrap w:val="0"/>
            <w:vAlign w:val="center"/>
          </w:tcPr>
          <w:p w14:paraId="1F9E9B7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肩高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494" w:type="dxa"/>
            <w:noWrap w:val="0"/>
            <w:vAlign w:val="center"/>
          </w:tcPr>
          <w:p w14:paraId="1C5CB8F1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±20</w:t>
            </w:r>
          </w:p>
        </w:tc>
        <w:tc>
          <w:tcPr>
            <w:tcW w:w="3384" w:type="dxa"/>
            <w:vMerge w:val="continue"/>
            <w:noWrap w:val="0"/>
            <w:vAlign w:val="center"/>
          </w:tcPr>
          <w:p w14:paraId="639AB6F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29" w:type="dxa"/>
            <w:vMerge w:val="continue"/>
            <w:noWrap w:val="0"/>
            <w:vAlign w:val="center"/>
          </w:tcPr>
          <w:p w14:paraId="37889DF1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03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1" w:type="dxa"/>
            <w:noWrap w:val="0"/>
            <w:vAlign w:val="center"/>
          </w:tcPr>
          <w:p w14:paraId="2A927FD4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跨度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494" w:type="dxa"/>
            <w:noWrap w:val="0"/>
            <w:vAlign w:val="center"/>
          </w:tcPr>
          <w:p w14:paraId="2AEEF0C8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±20</w:t>
            </w:r>
          </w:p>
        </w:tc>
        <w:tc>
          <w:tcPr>
            <w:tcW w:w="3384" w:type="dxa"/>
            <w:vMerge w:val="continue"/>
            <w:noWrap w:val="0"/>
            <w:vAlign w:val="center"/>
          </w:tcPr>
          <w:p w14:paraId="5189559C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29" w:type="dxa"/>
            <w:vMerge w:val="continue"/>
            <w:noWrap w:val="0"/>
            <w:vAlign w:val="center"/>
          </w:tcPr>
          <w:p w14:paraId="78A123E2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21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091" w:type="dxa"/>
            <w:noWrap w:val="0"/>
            <w:vAlign w:val="center"/>
          </w:tcPr>
          <w:p w14:paraId="5D1415FF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基础大小</w:t>
            </w:r>
          </w:p>
        </w:tc>
        <w:tc>
          <w:tcPr>
            <w:tcW w:w="1494" w:type="dxa"/>
            <w:noWrap w:val="0"/>
            <w:vAlign w:val="center"/>
          </w:tcPr>
          <w:p w14:paraId="3465C1E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±40</w:t>
            </w:r>
          </w:p>
        </w:tc>
        <w:tc>
          <w:tcPr>
            <w:tcW w:w="3384" w:type="dxa"/>
            <w:noWrap w:val="0"/>
            <w:vAlign w:val="center"/>
          </w:tcPr>
          <w:p w14:paraId="0F1845CF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eastAsia="宋体"/>
                <w:color w:val="auto"/>
              </w:rPr>
              <w:pict>
                <v:rect id="_x0000_s1036" o:spid="_x0000_s1036" o:spt="1" style="position:absolute;left:0pt;margin-left:4.2pt;margin-top:-11.6pt;height:27pt;width:149.95pt;mso-wrap-distance-bottom:0pt;mso-wrap-distance-top:0pt;z-index:251667456;mso-width-relative:page;mso-height-relative:page;" fillcolor="#FFFFFF" filled="t" stroked="f" coordsize="21600,21600" o:gfxdata="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6Vk0K9YAAAAIAQAADwAAAAAAAAABACAAAAAiAAAAZHJzL2Rvd25yZXYueG1s&#10;UEsBAhQAFAAAAAgAh07iQMj4s6jBAQAAggMAAA4AAAAAAAAAAQAgAAAAJQEAAGRycy9lMm9Eb2Mu&#10;eG1sUEsFBgAAAAAGAAYAWQEAAFgFAAAAAA==&#10;">
                  <v:path/>
                  <v:fill on="t" focussize="0,0"/>
                  <v:stroke on="f"/>
                  <v:imagedata o:title=""/>
                  <o:lock v:ext="edit" rotation="t" aspectratio="f"/>
                  <w10:wrap type="topAndBottom"/>
                </v:rect>
              </w:pict>
            </w:r>
          </w:p>
        </w:tc>
        <w:tc>
          <w:tcPr>
            <w:tcW w:w="3029" w:type="dxa"/>
            <w:noWrap w:val="0"/>
            <w:vAlign w:val="center"/>
          </w:tcPr>
          <w:p w14:paraId="4BF0DC7E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将基础周围土层挖空后测量，其中截面大小取上中下3个点进行测量，取平均值。用钢尺测量。</w:t>
            </w:r>
          </w:p>
        </w:tc>
      </w:tr>
    </w:tbl>
    <w:p w14:paraId="2EC2BFE2">
      <w:pPr>
        <w:widowControl/>
        <w:spacing w:line="26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F8E9753">
      <w:pPr>
        <w:widowControl/>
        <w:spacing w:line="260" w:lineRule="exact"/>
        <w:textAlignment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106651C">
      <w:pPr>
        <w:pStyle w:val="2"/>
        <w:spacing w:beforeLines="100" w:afterLines="100" w:line="240" w:lineRule="auto"/>
        <w:jc w:val="center"/>
        <w:rPr>
          <w:rFonts w:hint="default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</w:pPr>
      <w:bookmarkStart w:id="87" w:name="_Toc4801"/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</w:rPr>
        <w:t>附 录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  <w:t>C  连栋薄膜温室基础</w:t>
      </w:r>
      <w:r>
        <w:rPr>
          <w:rFonts w:hint="default" w:ascii="Times New Roman" w:hAnsi="Times New Roman" w:eastAsia="黑体" w:cs="黑体"/>
          <w:b w:val="0"/>
          <w:bCs w:val="0"/>
          <w:color w:val="000000"/>
          <w:sz w:val="21"/>
          <w:szCs w:val="21"/>
          <w:lang w:val="en-US" w:eastAsia="zh-CN"/>
        </w:rPr>
        <w:t>安装允许偏差</w:t>
      </w:r>
      <w:bookmarkEnd w:id="87"/>
    </w:p>
    <w:p w14:paraId="0768C1F1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 w:val="0"/>
          <w:bCs w:val="0"/>
          <w:color w:val="000000"/>
          <w:kern w:val="0"/>
        </w:rPr>
      </w:pPr>
    </w:p>
    <w:tbl>
      <w:tblPr>
        <w:tblStyle w:val="69"/>
        <w:tblW w:w="91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2492"/>
        <w:gridCol w:w="2700"/>
        <w:gridCol w:w="2812"/>
      </w:tblGrid>
      <w:tr w14:paraId="5845F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E85B8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检验项目</w:t>
            </w:r>
          </w:p>
        </w:tc>
        <w:tc>
          <w:tcPr>
            <w:tcW w:w="2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1E48D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质量要求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58E7B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检查数量</w:t>
            </w:r>
          </w:p>
        </w:tc>
        <w:tc>
          <w:tcPr>
            <w:tcW w:w="2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9462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测量工具</w:t>
            </w:r>
          </w:p>
        </w:tc>
      </w:tr>
      <w:tr w14:paraId="5ADC6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154" w:type="dxa"/>
            <w:vMerge w:val="restart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39A19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基础轴线尺寸</w:t>
            </w:r>
          </w:p>
        </w:tc>
        <w:tc>
          <w:tcPr>
            <w:tcW w:w="2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4670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宽度允许偏差±20mm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71564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全数</w:t>
            </w:r>
          </w:p>
        </w:tc>
        <w:tc>
          <w:tcPr>
            <w:tcW w:w="2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E381D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钢卷尺</w:t>
            </w:r>
          </w:p>
        </w:tc>
      </w:tr>
      <w:tr w14:paraId="15B22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154" w:type="dxa"/>
            <w:vMerge w:val="continue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AA3B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925D3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长度允许偏差±20mm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5713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全数</w:t>
            </w:r>
          </w:p>
        </w:tc>
        <w:tc>
          <w:tcPr>
            <w:tcW w:w="2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4637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钢卷尺</w:t>
            </w:r>
          </w:p>
        </w:tc>
      </w:tr>
      <w:tr w14:paraId="27CC4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154" w:type="dxa"/>
            <w:vMerge w:val="continue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0262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81BA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对角线长度差≤40mm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D5C4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全数</w:t>
            </w:r>
          </w:p>
        </w:tc>
        <w:tc>
          <w:tcPr>
            <w:tcW w:w="2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5B473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钢卷尺</w:t>
            </w:r>
          </w:p>
        </w:tc>
      </w:tr>
      <w:tr w14:paraId="05B45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BF15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基础顶标高</w:t>
            </w:r>
          </w:p>
        </w:tc>
        <w:tc>
          <w:tcPr>
            <w:tcW w:w="2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47902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允许偏差</w:t>
            </w:r>
            <w:r>
              <w:rPr>
                <w:rFonts w:hint="eastAsia"/>
                <w:lang w:val="en-US" w:eastAsia="zh-CN"/>
              </w:rPr>
              <w:t>±</w:t>
            </w:r>
            <w:r>
              <w:rPr>
                <w:rFonts w:hint="eastAsia"/>
              </w:rPr>
              <w:t>10mm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C716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长度方向抽样10%,跨度方向至少取3点</w:t>
            </w:r>
          </w:p>
        </w:tc>
        <w:tc>
          <w:tcPr>
            <w:tcW w:w="2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A6C74">
            <w:pPr>
              <w:keepNext w:val="0"/>
              <w:keepLines w:val="0"/>
              <w:pageBreakBefore w:val="0"/>
              <w:topLinePunct w:val="0"/>
              <w:bidi w:val="0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钢卷尺、</w:t>
            </w:r>
            <w:r>
              <w:rPr>
                <w:rFonts w:hint="eastAsia"/>
              </w:rPr>
              <w:t>水准仪</w:t>
            </w:r>
          </w:p>
        </w:tc>
      </w:tr>
    </w:tbl>
    <w:p w14:paraId="6C1ED619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26533876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640" w:firstLine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</w:pPr>
      <w:bookmarkStart w:id="88" w:name="_Toc23514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本规范用词说明</w:t>
      </w:r>
      <w:bookmarkEnd w:id="88"/>
    </w:p>
    <w:p w14:paraId="0BB14AC5">
      <w:pPr>
        <w:pStyle w:val="5"/>
        <w:keepNext w:val="0"/>
        <w:keepLines w:val="0"/>
        <w:pageBreakBefore w:val="0"/>
        <w:topLinePunct w:val="0"/>
        <w:bidi w:val="0"/>
        <w:spacing w:line="360" w:lineRule="auto"/>
      </w:pPr>
    </w:p>
    <w:p w14:paraId="2498891E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为便于在执行本规范条文时区别对待，对要求严格程度不同的用词说明如下：</w:t>
      </w:r>
    </w:p>
    <w:p w14:paraId="7686A6D7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1)表示很严格，非这样做不可的：</w:t>
      </w:r>
    </w:p>
    <w:p w14:paraId="4483BE91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正面词采用“必须”,反面词采用“严禁”;</w:t>
      </w:r>
    </w:p>
    <w:p w14:paraId="3FCE78E3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2)表示严格，在正常情况下均应这样做的：</w:t>
      </w:r>
    </w:p>
    <w:p w14:paraId="75984F3A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正面词采用“应”,反面词采用“不应”或“不得”;</w:t>
      </w:r>
    </w:p>
    <w:p w14:paraId="2B2FE672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3)表示允许稍有选择，在条件许可时首先应这样做的：</w:t>
      </w:r>
    </w:p>
    <w:p w14:paraId="24084387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正面词采用“宜”,反面词采用“不宜”;</w:t>
      </w:r>
    </w:p>
    <w:p w14:paraId="47D9FCB8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4)表示有选择，在一定条件下可以这样做的，采用“可”。</w:t>
      </w:r>
    </w:p>
    <w:p w14:paraId="4954E290">
      <w:pPr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条文中指明应按其他有关标准执行的写法为：“应符合 …… 的规定”或“应按……执行”。</w:t>
      </w:r>
    </w:p>
    <w:p w14:paraId="04CF2127">
      <w:pPr>
        <w:widowControl/>
        <w:spacing w:line="260" w:lineRule="exact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</w:p>
    <w:p w14:paraId="7ABFD3D5">
      <w:pPr>
        <w:widowControl/>
        <w:spacing w:line="260" w:lineRule="exact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</w:p>
    <w:p w14:paraId="0B61CF93">
      <w:pPr>
        <w:widowControl/>
        <w:spacing w:line="260" w:lineRule="exact"/>
        <w:jc w:val="center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</w:p>
    <w:p w14:paraId="41D588DC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3974E1D0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4DEB9538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620DB674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6A92E75C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52C85721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65EE0CA2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1B245B97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5AC4A3CD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p w14:paraId="6B65B77E">
      <w:pPr>
        <w:widowControl/>
        <w:spacing w:line="260" w:lineRule="exact"/>
        <w:jc w:val="center"/>
        <w:textAlignment w:val="center"/>
        <w:rPr>
          <w:rFonts w:ascii="Times New Roman" w:hAnsi="Times New Roman" w:eastAsia="黑体" w:cs="Times New Roman"/>
          <w:b/>
          <w:bCs/>
          <w:color w:val="000000"/>
          <w:kern w:val="0"/>
        </w:rPr>
      </w:pPr>
    </w:p>
    <w:sectPr>
      <w:pgSz w:w="11907" w:h="16840"/>
      <w:pgMar w:top="1803" w:right="1440" w:bottom="1803" w:left="1440" w:header="851" w:footer="992" w:gutter="0"/>
      <w:cols w:space="0" w:num="1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7022">
    <w:pPr>
      <w:pStyle w:val="8"/>
      <w:framePr w:wrap="auto" w:vAnchor="text" w:hAnchor="margin" w:xAlign="outside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3</w:t>
    </w:r>
    <w:r>
      <w:rPr>
        <w:rStyle w:val="16"/>
      </w:rPr>
      <w:fldChar w:fldCharType="end"/>
    </w:r>
  </w:p>
  <w:p w14:paraId="7B96937D">
    <w:pPr>
      <w:pStyle w:val="48"/>
      <w:ind w:right="360" w:firstLine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BACA8">
    <w:pPr>
      <w:pStyle w:val="8"/>
      <w:framePr w:wrap="auto" w:vAnchor="text" w:hAnchor="margin" w:xAlign="outside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1</w:t>
    </w:r>
    <w:r>
      <w:rPr>
        <w:rStyle w:val="16"/>
      </w:rPr>
      <w:fldChar w:fldCharType="end"/>
    </w:r>
  </w:p>
  <w:p w14:paraId="3BFC3D3A">
    <w:pPr>
      <w:pStyle w:val="48"/>
      <w:ind w:right="360" w:firstLine="36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D62F">
    <w:pPr>
      <w:pStyle w:val="47"/>
      <w:rPr>
        <w:rFonts w:cs="Times New Roman"/>
      </w:rPr>
    </w:pPr>
    <w:r>
      <w:rPr>
        <w:rFonts w:eastAsia="宋体"/>
      </w:rPr>
      <w:t>DB</w:t>
    </w:r>
    <w:r>
      <w:t>34/</w:t>
    </w:r>
    <w:r>
      <w:rPr>
        <w:rFonts w:eastAsia="宋体"/>
      </w:rPr>
      <w:t>T</w:t>
    </w:r>
    <w:r>
      <w:t xml:space="preserve"> </w:t>
    </w:r>
    <w:r>
      <w:rPr>
        <w:rFonts w:eastAsia="宋体"/>
      </w:rPr>
      <w:t>XXXXX</w:t>
    </w:r>
    <w:r>
      <w:rPr>
        <w:rFonts w:cs="Times New Roman"/>
      </w:rPr>
      <w:t>—</w:t>
    </w:r>
    <w:r>
      <w:rPr>
        <w:rFonts w:eastAsia="宋体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pStyle w:val="57"/>
      <w:suff w:val="nothing"/>
      <w:lvlText w:val="附录%1"/>
      <w:lvlJc w:val="left"/>
      <w:rPr>
        <w:rFonts w:hint="eastAsia"/>
        <w:spacing w:val="100"/>
      </w:rPr>
    </w:lvl>
    <w:lvl w:ilvl="1" w:tentative="0">
      <w:start w:val="1"/>
      <w:numFmt w:val="decimal"/>
      <w:pStyle w:val="58"/>
      <w:suff w:val="nothing"/>
      <w:lvlText w:val="%1.%2　"/>
      <w:lvlJc w:val="left"/>
      <w:rPr>
        <w:rFonts w:hint="eastAsia" w:ascii="黑体" w:eastAsia="黑体"/>
        <w:b w:val="0"/>
        <w:bCs w:val="0"/>
        <w:i w:val="0"/>
        <w:iCs w:val="0"/>
        <w:sz w:val="21"/>
        <w:szCs w:val="21"/>
      </w:rPr>
    </w:lvl>
    <w:lvl w:ilvl="2" w:tentative="0">
      <w:start w:val="1"/>
      <w:numFmt w:val="decimal"/>
      <w:pStyle w:val="59"/>
      <w:suff w:val="nothing"/>
      <w:lvlText w:val="%1.%2.%3　"/>
      <w:lvlJc w:val="left"/>
      <w:rPr>
        <w:rFonts w:hint="eastAsia" w:ascii="黑体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60"/>
      <w:suff w:val="nothing"/>
      <w:lvlText w:val="%1.%2.%3.%4　"/>
      <w:lvlJc w:val="left"/>
      <w:rPr>
        <w:rFonts w:hint="eastAsia" w:ascii="黑体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61"/>
      <w:suff w:val="nothing"/>
      <w:lvlText w:val="%1.%2.%3.%4.%5　"/>
      <w:lvlJc w:val="left"/>
      <w:rPr>
        <w:rFonts w:hint="eastAsia" w:ascii="黑体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62"/>
      <w:suff w:val="nothing"/>
      <w:lvlText w:val="%1.%2.%3.%4.%5.%6　"/>
      <w:lvlJc w:val="left"/>
      <w:rPr>
        <w:rFonts w:hint="eastAsia" w:ascii="黑体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.%2.%3.%4.%5.%6.%7　"/>
      <w:lvlJc w:val="left"/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804"/>
        </w:tabs>
        <w:ind w:left="880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512"/>
        </w:tabs>
        <w:ind w:left="9512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rPr>
        <w:rFonts w:hint="default" w:ascii="Times New Roman" w:hAnsi="Times New Roman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decimal"/>
      <w:pStyle w:val="66"/>
      <w:suff w:val="nothing"/>
      <w:lvlText w:val="%1%2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2" w:tentative="0">
      <w:start w:val="1"/>
      <w:numFmt w:val="decimal"/>
      <w:pStyle w:val="65"/>
      <w:suff w:val="nothing"/>
      <w:lvlText w:val="%1%2.%3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67"/>
      <w:suff w:val="nothing"/>
      <w:lvlText w:val="%1%2.%3.%4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68"/>
      <w:suff w:val="nothing"/>
      <w:lvlText w:val="%1%2.%3.%4.%5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63"/>
      <w:lvlText w:val="%1注："/>
      <w:lvlJc w:val="left"/>
      <w:pPr>
        <w:ind w:left="737" w:hanging="374"/>
      </w:pPr>
      <w:rPr>
        <w:rFonts w:hint="eastAsia" w:ascii="黑体" w:eastAsia="黑体"/>
        <w:b w:val="0"/>
        <w:bCs w:val="0"/>
        <w:i w:val="0"/>
        <w:iCs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9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C228F5"/>
    <w:rsid w:val="0000055F"/>
    <w:rsid w:val="00001493"/>
    <w:rsid w:val="00015519"/>
    <w:rsid w:val="00030C11"/>
    <w:rsid w:val="00030E79"/>
    <w:rsid w:val="0003676C"/>
    <w:rsid w:val="000463FA"/>
    <w:rsid w:val="00047346"/>
    <w:rsid w:val="00065D72"/>
    <w:rsid w:val="00071C4E"/>
    <w:rsid w:val="00075ED3"/>
    <w:rsid w:val="000911F0"/>
    <w:rsid w:val="000955B9"/>
    <w:rsid w:val="00097B5E"/>
    <w:rsid w:val="000A4960"/>
    <w:rsid w:val="000A7BC7"/>
    <w:rsid w:val="000B2E4B"/>
    <w:rsid w:val="000B58CC"/>
    <w:rsid w:val="000C1D85"/>
    <w:rsid w:val="000C1F7D"/>
    <w:rsid w:val="000C6593"/>
    <w:rsid w:val="000C6FBA"/>
    <w:rsid w:val="000D43BE"/>
    <w:rsid w:val="000E3EE5"/>
    <w:rsid w:val="000E42E7"/>
    <w:rsid w:val="000F2D1B"/>
    <w:rsid w:val="00101AF9"/>
    <w:rsid w:val="001060CD"/>
    <w:rsid w:val="001113CC"/>
    <w:rsid w:val="00111E32"/>
    <w:rsid w:val="00113B33"/>
    <w:rsid w:val="0012154A"/>
    <w:rsid w:val="00125DE8"/>
    <w:rsid w:val="00125F40"/>
    <w:rsid w:val="001603AE"/>
    <w:rsid w:val="00164B98"/>
    <w:rsid w:val="001652E3"/>
    <w:rsid w:val="00165A32"/>
    <w:rsid w:val="0017694E"/>
    <w:rsid w:val="00176B43"/>
    <w:rsid w:val="0018136E"/>
    <w:rsid w:val="001C2B48"/>
    <w:rsid w:val="001D4101"/>
    <w:rsid w:val="001D63AF"/>
    <w:rsid w:val="001D66EE"/>
    <w:rsid w:val="001D7940"/>
    <w:rsid w:val="001E3ACA"/>
    <w:rsid w:val="001E486C"/>
    <w:rsid w:val="001F0C2B"/>
    <w:rsid w:val="001F18AB"/>
    <w:rsid w:val="001F2BD7"/>
    <w:rsid w:val="001F2F87"/>
    <w:rsid w:val="001F359C"/>
    <w:rsid w:val="001F6859"/>
    <w:rsid w:val="00205870"/>
    <w:rsid w:val="0021018F"/>
    <w:rsid w:val="0021044F"/>
    <w:rsid w:val="002107AB"/>
    <w:rsid w:val="00211F3C"/>
    <w:rsid w:val="00217197"/>
    <w:rsid w:val="00222E71"/>
    <w:rsid w:val="00230C8C"/>
    <w:rsid w:val="00245493"/>
    <w:rsid w:val="002460FF"/>
    <w:rsid w:val="002549BF"/>
    <w:rsid w:val="002552A4"/>
    <w:rsid w:val="00264E58"/>
    <w:rsid w:val="00280A34"/>
    <w:rsid w:val="002903A3"/>
    <w:rsid w:val="00291C0A"/>
    <w:rsid w:val="002A0081"/>
    <w:rsid w:val="002B620A"/>
    <w:rsid w:val="002C02FA"/>
    <w:rsid w:val="002C3922"/>
    <w:rsid w:val="002C41F5"/>
    <w:rsid w:val="002C5CCB"/>
    <w:rsid w:val="002D67A6"/>
    <w:rsid w:val="002E50A1"/>
    <w:rsid w:val="002E6C3F"/>
    <w:rsid w:val="002F0C45"/>
    <w:rsid w:val="002F4F3F"/>
    <w:rsid w:val="00304D07"/>
    <w:rsid w:val="00321A00"/>
    <w:rsid w:val="00322A65"/>
    <w:rsid w:val="00334DC8"/>
    <w:rsid w:val="003468AA"/>
    <w:rsid w:val="003674F3"/>
    <w:rsid w:val="0036782D"/>
    <w:rsid w:val="00391358"/>
    <w:rsid w:val="003A2739"/>
    <w:rsid w:val="003A3E0D"/>
    <w:rsid w:val="003B7341"/>
    <w:rsid w:val="003C7043"/>
    <w:rsid w:val="003D355B"/>
    <w:rsid w:val="003D618C"/>
    <w:rsid w:val="003E5D1F"/>
    <w:rsid w:val="003F0DDC"/>
    <w:rsid w:val="00411D63"/>
    <w:rsid w:val="00415F58"/>
    <w:rsid w:val="004178A0"/>
    <w:rsid w:val="00421CD8"/>
    <w:rsid w:val="00423369"/>
    <w:rsid w:val="0042616C"/>
    <w:rsid w:val="004426F1"/>
    <w:rsid w:val="00453F85"/>
    <w:rsid w:val="00454559"/>
    <w:rsid w:val="004606A0"/>
    <w:rsid w:val="00483617"/>
    <w:rsid w:val="00490A5F"/>
    <w:rsid w:val="004957B6"/>
    <w:rsid w:val="004B26A3"/>
    <w:rsid w:val="004B3364"/>
    <w:rsid w:val="004B3ECC"/>
    <w:rsid w:val="004C0ED5"/>
    <w:rsid w:val="004C5229"/>
    <w:rsid w:val="004C6EBA"/>
    <w:rsid w:val="004D713D"/>
    <w:rsid w:val="004F0771"/>
    <w:rsid w:val="004F0EAB"/>
    <w:rsid w:val="004F542E"/>
    <w:rsid w:val="004F5B20"/>
    <w:rsid w:val="00507DA3"/>
    <w:rsid w:val="00512B63"/>
    <w:rsid w:val="0051439E"/>
    <w:rsid w:val="00551863"/>
    <w:rsid w:val="005604F9"/>
    <w:rsid w:val="005805AF"/>
    <w:rsid w:val="00592EC5"/>
    <w:rsid w:val="005A0133"/>
    <w:rsid w:val="005A7834"/>
    <w:rsid w:val="005C73C8"/>
    <w:rsid w:val="005D1252"/>
    <w:rsid w:val="005F059A"/>
    <w:rsid w:val="0060558F"/>
    <w:rsid w:val="00611963"/>
    <w:rsid w:val="00615F59"/>
    <w:rsid w:val="006216A6"/>
    <w:rsid w:val="00621A20"/>
    <w:rsid w:val="006234C6"/>
    <w:rsid w:val="00646A78"/>
    <w:rsid w:val="00656253"/>
    <w:rsid w:val="00656F88"/>
    <w:rsid w:val="006623A2"/>
    <w:rsid w:val="00663350"/>
    <w:rsid w:val="00667696"/>
    <w:rsid w:val="00667A35"/>
    <w:rsid w:val="006705DE"/>
    <w:rsid w:val="006736F2"/>
    <w:rsid w:val="00675602"/>
    <w:rsid w:val="00682C21"/>
    <w:rsid w:val="006A7E7E"/>
    <w:rsid w:val="006D0969"/>
    <w:rsid w:val="006D3090"/>
    <w:rsid w:val="006D583B"/>
    <w:rsid w:val="006D5D30"/>
    <w:rsid w:val="006E7AF8"/>
    <w:rsid w:val="006F3798"/>
    <w:rsid w:val="006F4149"/>
    <w:rsid w:val="006F6177"/>
    <w:rsid w:val="007028BE"/>
    <w:rsid w:val="0070665C"/>
    <w:rsid w:val="00710346"/>
    <w:rsid w:val="00721BF9"/>
    <w:rsid w:val="007227B1"/>
    <w:rsid w:val="00737649"/>
    <w:rsid w:val="007425F7"/>
    <w:rsid w:val="007455E0"/>
    <w:rsid w:val="00747A81"/>
    <w:rsid w:val="00755756"/>
    <w:rsid w:val="00757862"/>
    <w:rsid w:val="00762AF5"/>
    <w:rsid w:val="0076456A"/>
    <w:rsid w:val="00771D88"/>
    <w:rsid w:val="00780836"/>
    <w:rsid w:val="00787796"/>
    <w:rsid w:val="007A29A4"/>
    <w:rsid w:val="007B79EA"/>
    <w:rsid w:val="007C0350"/>
    <w:rsid w:val="007C67AB"/>
    <w:rsid w:val="007D504C"/>
    <w:rsid w:val="007F5FAD"/>
    <w:rsid w:val="00803723"/>
    <w:rsid w:val="00815FE6"/>
    <w:rsid w:val="00820770"/>
    <w:rsid w:val="00820FB7"/>
    <w:rsid w:val="008330F5"/>
    <w:rsid w:val="00836B9C"/>
    <w:rsid w:val="0084354A"/>
    <w:rsid w:val="0085793A"/>
    <w:rsid w:val="00862151"/>
    <w:rsid w:val="0086681D"/>
    <w:rsid w:val="00873AD4"/>
    <w:rsid w:val="00884229"/>
    <w:rsid w:val="00891B90"/>
    <w:rsid w:val="008A363E"/>
    <w:rsid w:val="008A4299"/>
    <w:rsid w:val="008A783F"/>
    <w:rsid w:val="008D2269"/>
    <w:rsid w:val="008E1C0E"/>
    <w:rsid w:val="008E6EB7"/>
    <w:rsid w:val="009017DE"/>
    <w:rsid w:val="00915A3C"/>
    <w:rsid w:val="0091768C"/>
    <w:rsid w:val="0093191A"/>
    <w:rsid w:val="0093235F"/>
    <w:rsid w:val="00936B8B"/>
    <w:rsid w:val="00940B73"/>
    <w:rsid w:val="009419BF"/>
    <w:rsid w:val="00946E4D"/>
    <w:rsid w:val="009613EF"/>
    <w:rsid w:val="0096534A"/>
    <w:rsid w:val="009835A7"/>
    <w:rsid w:val="00995503"/>
    <w:rsid w:val="009A6B9B"/>
    <w:rsid w:val="009B065F"/>
    <w:rsid w:val="009B50F0"/>
    <w:rsid w:val="009C135B"/>
    <w:rsid w:val="009D7D7B"/>
    <w:rsid w:val="009E31A9"/>
    <w:rsid w:val="009F2618"/>
    <w:rsid w:val="009F29CB"/>
    <w:rsid w:val="009F48F6"/>
    <w:rsid w:val="00A12B30"/>
    <w:rsid w:val="00A12F77"/>
    <w:rsid w:val="00A164B5"/>
    <w:rsid w:val="00A212D2"/>
    <w:rsid w:val="00A27A51"/>
    <w:rsid w:val="00A27DC4"/>
    <w:rsid w:val="00A33DF7"/>
    <w:rsid w:val="00A34486"/>
    <w:rsid w:val="00A4578C"/>
    <w:rsid w:val="00A50B63"/>
    <w:rsid w:val="00A53D91"/>
    <w:rsid w:val="00A60621"/>
    <w:rsid w:val="00A630E3"/>
    <w:rsid w:val="00A6625F"/>
    <w:rsid w:val="00A73EB5"/>
    <w:rsid w:val="00A75174"/>
    <w:rsid w:val="00A81AE9"/>
    <w:rsid w:val="00A9598B"/>
    <w:rsid w:val="00AA3CEC"/>
    <w:rsid w:val="00AA7213"/>
    <w:rsid w:val="00AB1BCC"/>
    <w:rsid w:val="00AB2127"/>
    <w:rsid w:val="00AB7239"/>
    <w:rsid w:val="00AC49E8"/>
    <w:rsid w:val="00AD336C"/>
    <w:rsid w:val="00AD61BB"/>
    <w:rsid w:val="00AF2479"/>
    <w:rsid w:val="00AF51BA"/>
    <w:rsid w:val="00B05DBF"/>
    <w:rsid w:val="00B10ED9"/>
    <w:rsid w:val="00B21431"/>
    <w:rsid w:val="00B2479F"/>
    <w:rsid w:val="00B258C8"/>
    <w:rsid w:val="00B3025E"/>
    <w:rsid w:val="00B41F4E"/>
    <w:rsid w:val="00B44648"/>
    <w:rsid w:val="00B452CC"/>
    <w:rsid w:val="00B478A7"/>
    <w:rsid w:val="00B47BE3"/>
    <w:rsid w:val="00B54DDF"/>
    <w:rsid w:val="00B55B44"/>
    <w:rsid w:val="00B868E3"/>
    <w:rsid w:val="00B9272F"/>
    <w:rsid w:val="00B93E99"/>
    <w:rsid w:val="00BA3031"/>
    <w:rsid w:val="00BB630D"/>
    <w:rsid w:val="00BC03C7"/>
    <w:rsid w:val="00BC5164"/>
    <w:rsid w:val="00BD5462"/>
    <w:rsid w:val="00BE55B2"/>
    <w:rsid w:val="00BE735F"/>
    <w:rsid w:val="00C00482"/>
    <w:rsid w:val="00C02323"/>
    <w:rsid w:val="00C25264"/>
    <w:rsid w:val="00C401FB"/>
    <w:rsid w:val="00C4466A"/>
    <w:rsid w:val="00C4604F"/>
    <w:rsid w:val="00C52BBC"/>
    <w:rsid w:val="00C56024"/>
    <w:rsid w:val="00C76924"/>
    <w:rsid w:val="00C82097"/>
    <w:rsid w:val="00C91AC3"/>
    <w:rsid w:val="00C971B8"/>
    <w:rsid w:val="00C9737A"/>
    <w:rsid w:val="00CA4199"/>
    <w:rsid w:val="00CC4804"/>
    <w:rsid w:val="00CC6F81"/>
    <w:rsid w:val="00CE0C61"/>
    <w:rsid w:val="00CE5190"/>
    <w:rsid w:val="00CF0B34"/>
    <w:rsid w:val="00CF4884"/>
    <w:rsid w:val="00CF731A"/>
    <w:rsid w:val="00D027A8"/>
    <w:rsid w:val="00D12CC5"/>
    <w:rsid w:val="00D13778"/>
    <w:rsid w:val="00D31D82"/>
    <w:rsid w:val="00D47811"/>
    <w:rsid w:val="00D54E49"/>
    <w:rsid w:val="00D62D50"/>
    <w:rsid w:val="00D65A73"/>
    <w:rsid w:val="00D7741D"/>
    <w:rsid w:val="00D77799"/>
    <w:rsid w:val="00D84A1B"/>
    <w:rsid w:val="00D85439"/>
    <w:rsid w:val="00D859F1"/>
    <w:rsid w:val="00D936CC"/>
    <w:rsid w:val="00D95C65"/>
    <w:rsid w:val="00DA4587"/>
    <w:rsid w:val="00DA5D17"/>
    <w:rsid w:val="00DB15D8"/>
    <w:rsid w:val="00DB64E9"/>
    <w:rsid w:val="00DB656E"/>
    <w:rsid w:val="00DD175B"/>
    <w:rsid w:val="00DD40A2"/>
    <w:rsid w:val="00DD4FAC"/>
    <w:rsid w:val="00DE3848"/>
    <w:rsid w:val="00DE53FB"/>
    <w:rsid w:val="00DE6C7D"/>
    <w:rsid w:val="00DF18F6"/>
    <w:rsid w:val="00E00D1C"/>
    <w:rsid w:val="00E045BC"/>
    <w:rsid w:val="00E376C8"/>
    <w:rsid w:val="00E42CF0"/>
    <w:rsid w:val="00E4456B"/>
    <w:rsid w:val="00E45528"/>
    <w:rsid w:val="00E5655C"/>
    <w:rsid w:val="00E61CED"/>
    <w:rsid w:val="00E63473"/>
    <w:rsid w:val="00E70955"/>
    <w:rsid w:val="00E71204"/>
    <w:rsid w:val="00E71C2B"/>
    <w:rsid w:val="00E74166"/>
    <w:rsid w:val="00E76331"/>
    <w:rsid w:val="00E8394A"/>
    <w:rsid w:val="00E86B42"/>
    <w:rsid w:val="00E91E13"/>
    <w:rsid w:val="00E96EAF"/>
    <w:rsid w:val="00EA36C9"/>
    <w:rsid w:val="00EA4D13"/>
    <w:rsid w:val="00EA68A9"/>
    <w:rsid w:val="00EB3C17"/>
    <w:rsid w:val="00EB5704"/>
    <w:rsid w:val="00EB76DB"/>
    <w:rsid w:val="00ED53C6"/>
    <w:rsid w:val="00EE3446"/>
    <w:rsid w:val="00EE6A88"/>
    <w:rsid w:val="00EF310F"/>
    <w:rsid w:val="00F100B8"/>
    <w:rsid w:val="00F136BD"/>
    <w:rsid w:val="00F31DC7"/>
    <w:rsid w:val="00F4670E"/>
    <w:rsid w:val="00F62F6F"/>
    <w:rsid w:val="00F71AEE"/>
    <w:rsid w:val="00F7748C"/>
    <w:rsid w:val="00F80B1E"/>
    <w:rsid w:val="00F8622D"/>
    <w:rsid w:val="00F905DF"/>
    <w:rsid w:val="00FA68F1"/>
    <w:rsid w:val="00FB6AE8"/>
    <w:rsid w:val="00FD0CC6"/>
    <w:rsid w:val="00FD3522"/>
    <w:rsid w:val="00FE7E7C"/>
    <w:rsid w:val="00FF6BC8"/>
    <w:rsid w:val="00FF7107"/>
    <w:rsid w:val="03057059"/>
    <w:rsid w:val="08AF7EE7"/>
    <w:rsid w:val="09CE31F3"/>
    <w:rsid w:val="0AA4071D"/>
    <w:rsid w:val="0AFD1991"/>
    <w:rsid w:val="0C0431B9"/>
    <w:rsid w:val="0C1E76F8"/>
    <w:rsid w:val="0D984FA6"/>
    <w:rsid w:val="0DBA7454"/>
    <w:rsid w:val="0E0051BE"/>
    <w:rsid w:val="0E7046D8"/>
    <w:rsid w:val="0EC86067"/>
    <w:rsid w:val="0FD353E6"/>
    <w:rsid w:val="0FD369DF"/>
    <w:rsid w:val="10E45592"/>
    <w:rsid w:val="10ED7FC0"/>
    <w:rsid w:val="111927C8"/>
    <w:rsid w:val="126F1990"/>
    <w:rsid w:val="12AC14A5"/>
    <w:rsid w:val="15D9265B"/>
    <w:rsid w:val="16591757"/>
    <w:rsid w:val="177F7A22"/>
    <w:rsid w:val="17ECA3EB"/>
    <w:rsid w:val="17FF7C33"/>
    <w:rsid w:val="195B21AD"/>
    <w:rsid w:val="1A1F026F"/>
    <w:rsid w:val="1AFB5920"/>
    <w:rsid w:val="1BC25F36"/>
    <w:rsid w:val="1BFF3777"/>
    <w:rsid w:val="1CC80803"/>
    <w:rsid w:val="1CD24F1E"/>
    <w:rsid w:val="1DD7A830"/>
    <w:rsid w:val="1DEC167F"/>
    <w:rsid w:val="1FBDDAA3"/>
    <w:rsid w:val="1FBF5B6F"/>
    <w:rsid w:val="1FE7D5F0"/>
    <w:rsid w:val="220123FA"/>
    <w:rsid w:val="22854FF6"/>
    <w:rsid w:val="237C53EA"/>
    <w:rsid w:val="23863CED"/>
    <w:rsid w:val="24415E66"/>
    <w:rsid w:val="26006A20"/>
    <w:rsid w:val="270E0F82"/>
    <w:rsid w:val="277F1350"/>
    <w:rsid w:val="27FF3DF5"/>
    <w:rsid w:val="28726B6D"/>
    <w:rsid w:val="28C228F5"/>
    <w:rsid w:val="2973A39C"/>
    <w:rsid w:val="2BAF6A60"/>
    <w:rsid w:val="2BEBFD43"/>
    <w:rsid w:val="2CAC2348"/>
    <w:rsid w:val="2CB30503"/>
    <w:rsid w:val="2D1173BF"/>
    <w:rsid w:val="2E183097"/>
    <w:rsid w:val="2F799F54"/>
    <w:rsid w:val="2F7FBEAA"/>
    <w:rsid w:val="2FF3682E"/>
    <w:rsid w:val="2FFFE85A"/>
    <w:rsid w:val="304A33DD"/>
    <w:rsid w:val="30BA0505"/>
    <w:rsid w:val="3244724D"/>
    <w:rsid w:val="33253091"/>
    <w:rsid w:val="333A5852"/>
    <w:rsid w:val="337DF5CC"/>
    <w:rsid w:val="34FB4FB0"/>
    <w:rsid w:val="36D79AFE"/>
    <w:rsid w:val="36DD1FC9"/>
    <w:rsid w:val="371F7400"/>
    <w:rsid w:val="376D9F4D"/>
    <w:rsid w:val="37BBB303"/>
    <w:rsid w:val="37D2F7B6"/>
    <w:rsid w:val="38B53A5F"/>
    <w:rsid w:val="38E1390C"/>
    <w:rsid w:val="390870EB"/>
    <w:rsid w:val="39F2B902"/>
    <w:rsid w:val="39F9F6E7"/>
    <w:rsid w:val="3A5253F6"/>
    <w:rsid w:val="3AE70BEE"/>
    <w:rsid w:val="3B33242E"/>
    <w:rsid w:val="3B6FF8BB"/>
    <w:rsid w:val="3B8C3CF6"/>
    <w:rsid w:val="3BAF686A"/>
    <w:rsid w:val="3BFF2C34"/>
    <w:rsid w:val="3D091727"/>
    <w:rsid w:val="3D410FAC"/>
    <w:rsid w:val="3DC236D5"/>
    <w:rsid w:val="3DEB8445"/>
    <w:rsid w:val="3DF734E4"/>
    <w:rsid w:val="3E1652CB"/>
    <w:rsid w:val="3ECE7869"/>
    <w:rsid w:val="3EFFA759"/>
    <w:rsid w:val="3F2F4EE0"/>
    <w:rsid w:val="3F4BFDA5"/>
    <w:rsid w:val="3F7F85AF"/>
    <w:rsid w:val="3FAEF0E3"/>
    <w:rsid w:val="3FBFE3D8"/>
    <w:rsid w:val="3FCC6B3B"/>
    <w:rsid w:val="3FE725AF"/>
    <w:rsid w:val="3FF59650"/>
    <w:rsid w:val="3FFDD8D1"/>
    <w:rsid w:val="3FFF2A33"/>
    <w:rsid w:val="3FFFCA93"/>
    <w:rsid w:val="404B20E7"/>
    <w:rsid w:val="40FD2F98"/>
    <w:rsid w:val="42370F6E"/>
    <w:rsid w:val="432159A4"/>
    <w:rsid w:val="433B4E27"/>
    <w:rsid w:val="435F3ADB"/>
    <w:rsid w:val="43895E24"/>
    <w:rsid w:val="43B67B3F"/>
    <w:rsid w:val="450F11E1"/>
    <w:rsid w:val="45F0627B"/>
    <w:rsid w:val="473647A1"/>
    <w:rsid w:val="47973CD6"/>
    <w:rsid w:val="47E6A122"/>
    <w:rsid w:val="49255591"/>
    <w:rsid w:val="49383D04"/>
    <w:rsid w:val="49D17674"/>
    <w:rsid w:val="4AA806E1"/>
    <w:rsid w:val="4C507807"/>
    <w:rsid w:val="4CD300D7"/>
    <w:rsid w:val="4DD7D6A9"/>
    <w:rsid w:val="4DDDBF36"/>
    <w:rsid w:val="4E862F5E"/>
    <w:rsid w:val="4FED5CF2"/>
    <w:rsid w:val="50DA090B"/>
    <w:rsid w:val="523B0D7A"/>
    <w:rsid w:val="53667608"/>
    <w:rsid w:val="53F54E24"/>
    <w:rsid w:val="541971A8"/>
    <w:rsid w:val="557DF9A9"/>
    <w:rsid w:val="55E53A5C"/>
    <w:rsid w:val="55FD0D79"/>
    <w:rsid w:val="57594970"/>
    <w:rsid w:val="57B87CA8"/>
    <w:rsid w:val="59C77C5E"/>
    <w:rsid w:val="5A7FBF13"/>
    <w:rsid w:val="5A9759E1"/>
    <w:rsid w:val="5B5F7789"/>
    <w:rsid w:val="5BD7ADF5"/>
    <w:rsid w:val="5BFA4CEC"/>
    <w:rsid w:val="5C8D99CB"/>
    <w:rsid w:val="5D55267C"/>
    <w:rsid w:val="5D794411"/>
    <w:rsid w:val="5D7FD211"/>
    <w:rsid w:val="5DB5A45F"/>
    <w:rsid w:val="5E0D170B"/>
    <w:rsid w:val="5E5F736B"/>
    <w:rsid w:val="5EE75176"/>
    <w:rsid w:val="5F67261D"/>
    <w:rsid w:val="5F6F7687"/>
    <w:rsid w:val="5FBFA932"/>
    <w:rsid w:val="5FE1FF69"/>
    <w:rsid w:val="5FF6AC76"/>
    <w:rsid w:val="5FFB3CEA"/>
    <w:rsid w:val="5FFE77FF"/>
    <w:rsid w:val="5FFF8A1C"/>
    <w:rsid w:val="5FFFF1DD"/>
    <w:rsid w:val="60454150"/>
    <w:rsid w:val="61EB9659"/>
    <w:rsid w:val="628C02DF"/>
    <w:rsid w:val="62DF6A3B"/>
    <w:rsid w:val="63FBAAC7"/>
    <w:rsid w:val="63FD5087"/>
    <w:rsid w:val="64037373"/>
    <w:rsid w:val="65DC7CDC"/>
    <w:rsid w:val="66170156"/>
    <w:rsid w:val="66731EB9"/>
    <w:rsid w:val="66A93835"/>
    <w:rsid w:val="673F0C0E"/>
    <w:rsid w:val="67BD8A9C"/>
    <w:rsid w:val="67C07E83"/>
    <w:rsid w:val="67D7F713"/>
    <w:rsid w:val="67FF96EC"/>
    <w:rsid w:val="67FFCB21"/>
    <w:rsid w:val="682F222C"/>
    <w:rsid w:val="6865767D"/>
    <w:rsid w:val="687F020E"/>
    <w:rsid w:val="69F45537"/>
    <w:rsid w:val="6B3A7F83"/>
    <w:rsid w:val="6B5B31B0"/>
    <w:rsid w:val="6B760CE3"/>
    <w:rsid w:val="6BF818AF"/>
    <w:rsid w:val="6C652D8B"/>
    <w:rsid w:val="6CBC1FDE"/>
    <w:rsid w:val="6D7B72BF"/>
    <w:rsid w:val="6E781A5F"/>
    <w:rsid w:val="6EB156A1"/>
    <w:rsid w:val="6EEFED96"/>
    <w:rsid w:val="6F50688B"/>
    <w:rsid w:val="6FE75DAF"/>
    <w:rsid w:val="6FF7626F"/>
    <w:rsid w:val="6FFF0105"/>
    <w:rsid w:val="7007635E"/>
    <w:rsid w:val="7032331C"/>
    <w:rsid w:val="705A8988"/>
    <w:rsid w:val="717EBC14"/>
    <w:rsid w:val="718D0118"/>
    <w:rsid w:val="71EA6BE6"/>
    <w:rsid w:val="735E3848"/>
    <w:rsid w:val="73665878"/>
    <w:rsid w:val="737D149A"/>
    <w:rsid w:val="73DF0CE4"/>
    <w:rsid w:val="73E96526"/>
    <w:rsid w:val="743906E0"/>
    <w:rsid w:val="74E45829"/>
    <w:rsid w:val="75760DB3"/>
    <w:rsid w:val="75DD47F1"/>
    <w:rsid w:val="75DF6C5A"/>
    <w:rsid w:val="761455DD"/>
    <w:rsid w:val="76E90AA4"/>
    <w:rsid w:val="777FD07D"/>
    <w:rsid w:val="77BF2634"/>
    <w:rsid w:val="77E7943C"/>
    <w:rsid w:val="77FEDF81"/>
    <w:rsid w:val="77FF967A"/>
    <w:rsid w:val="77FFE119"/>
    <w:rsid w:val="79BF1B5C"/>
    <w:rsid w:val="79F22E50"/>
    <w:rsid w:val="79FF8F18"/>
    <w:rsid w:val="7A0155A4"/>
    <w:rsid w:val="7AB76ECC"/>
    <w:rsid w:val="7AF596D6"/>
    <w:rsid w:val="7B3BE105"/>
    <w:rsid w:val="7B5BC257"/>
    <w:rsid w:val="7B9FB4A3"/>
    <w:rsid w:val="7BDE213E"/>
    <w:rsid w:val="7C77212E"/>
    <w:rsid w:val="7C860774"/>
    <w:rsid w:val="7C8E4EFC"/>
    <w:rsid w:val="7CAFC6FC"/>
    <w:rsid w:val="7CEF7208"/>
    <w:rsid w:val="7DF7DFDD"/>
    <w:rsid w:val="7DFF0414"/>
    <w:rsid w:val="7DFFE3BE"/>
    <w:rsid w:val="7E37DF14"/>
    <w:rsid w:val="7EBD8B9E"/>
    <w:rsid w:val="7ED26FB4"/>
    <w:rsid w:val="7EFD76B9"/>
    <w:rsid w:val="7EFDA055"/>
    <w:rsid w:val="7EFEC003"/>
    <w:rsid w:val="7EFF5573"/>
    <w:rsid w:val="7EFF62FE"/>
    <w:rsid w:val="7EFF673F"/>
    <w:rsid w:val="7F17421B"/>
    <w:rsid w:val="7F3F46CC"/>
    <w:rsid w:val="7F7F8121"/>
    <w:rsid w:val="7F8FE66A"/>
    <w:rsid w:val="7F9E3358"/>
    <w:rsid w:val="7FB17320"/>
    <w:rsid w:val="7FBF6B14"/>
    <w:rsid w:val="7FCFBEAC"/>
    <w:rsid w:val="7FCFBF2E"/>
    <w:rsid w:val="7FD6E31C"/>
    <w:rsid w:val="7FD9D907"/>
    <w:rsid w:val="7FE18B70"/>
    <w:rsid w:val="7FE72C7A"/>
    <w:rsid w:val="7FEF3231"/>
    <w:rsid w:val="7FEFF9FB"/>
    <w:rsid w:val="7FF59285"/>
    <w:rsid w:val="7FFFD0A7"/>
    <w:rsid w:val="89ED2B8E"/>
    <w:rsid w:val="9792F3C2"/>
    <w:rsid w:val="97F8F41E"/>
    <w:rsid w:val="99FFD2F6"/>
    <w:rsid w:val="9BFF4E43"/>
    <w:rsid w:val="9E7EC27F"/>
    <w:rsid w:val="A1EFEEEA"/>
    <w:rsid w:val="A7E8C834"/>
    <w:rsid w:val="A8E76A5F"/>
    <w:rsid w:val="AB4F8873"/>
    <w:rsid w:val="ABBA7202"/>
    <w:rsid w:val="ABE50DE7"/>
    <w:rsid w:val="B6FFA0C3"/>
    <w:rsid w:val="B78F2364"/>
    <w:rsid w:val="B7AC4F3B"/>
    <w:rsid w:val="B85C4388"/>
    <w:rsid w:val="B9EB2B07"/>
    <w:rsid w:val="B9FD13E4"/>
    <w:rsid w:val="BBBFEB12"/>
    <w:rsid w:val="BBFFC803"/>
    <w:rsid w:val="BCFB6BC1"/>
    <w:rsid w:val="BDCD4438"/>
    <w:rsid w:val="BDFB8D0E"/>
    <w:rsid w:val="BE3FC4A6"/>
    <w:rsid w:val="BEFF39C0"/>
    <w:rsid w:val="BF55F36F"/>
    <w:rsid w:val="BF9B4F6B"/>
    <w:rsid w:val="BFA65221"/>
    <w:rsid w:val="BFEFC693"/>
    <w:rsid w:val="BFFD6492"/>
    <w:rsid w:val="CBD74DA3"/>
    <w:rsid w:val="CCF7F9D2"/>
    <w:rsid w:val="D34DE2ED"/>
    <w:rsid w:val="D6BB245D"/>
    <w:rsid w:val="D77FFBF2"/>
    <w:rsid w:val="D7EE094C"/>
    <w:rsid w:val="DAEFAFF3"/>
    <w:rsid w:val="DBEF98FE"/>
    <w:rsid w:val="DBFB3A00"/>
    <w:rsid w:val="DD67EF40"/>
    <w:rsid w:val="DDDE43CF"/>
    <w:rsid w:val="DDFA7FEC"/>
    <w:rsid w:val="DDFCBB7F"/>
    <w:rsid w:val="DDFF6993"/>
    <w:rsid w:val="DEA9CD4B"/>
    <w:rsid w:val="DF3EBB72"/>
    <w:rsid w:val="DF6E4167"/>
    <w:rsid w:val="DF8DF8A5"/>
    <w:rsid w:val="DFAD1E75"/>
    <w:rsid w:val="DFCF60AB"/>
    <w:rsid w:val="DFFE0D32"/>
    <w:rsid w:val="E57BB812"/>
    <w:rsid w:val="E77E26A3"/>
    <w:rsid w:val="EA782C07"/>
    <w:rsid w:val="EABF3ADF"/>
    <w:rsid w:val="EBF951DC"/>
    <w:rsid w:val="EBFB3296"/>
    <w:rsid w:val="EBFC9907"/>
    <w:rsid w:val="ED3D448A"/>
    <w:rsid w:val="ED6E43E0"/>
    <w:rsid w:val="EE9755E7"/>
    <w:rsid w:val="EEF54E8B"/>
    <w:rsid w:val="EF2BACDB"/>
    <w:rsid w:val="F3F2875D"/>
    <w:rsid w:val="F3FEA880"/>
    <w:rsid w:val="F4DF6513"/>
    <w:rsid w:val="F6B7D1B1"/>
    <w:rsid w:val="F6F6660F"/>
    <w:rsid w:val="F75F788C"/>
    <w:rsid w:val="F7B7A746"/>
    <w:rsid w:val="F7CBA287"/>
    <w:rsid w:val="F7EE63B5"/>
    <w:rsid w:val="F7F6D97C"/>
    <w:rsid w:val="F7FDA545"/>
    <w:rsid w:val="F7FF5111"/>
    <w:rsid w:val="F7FFBD2B"/>
    <w:rsid w:val="FABB09A1"/>
    <w:rsid w:val="FADFFD2D"/>
    <w:rsid w:val="FBBC00C4"/>
    <w:rsid w:val="FBEE9FC2"/>
    <w:rsid w:val="FCB9E8CE"/>
    <w:rsid w:val="FCCEF732"/>
    <w:rsid w:val="FD378C22"/>
    <w:rsid w:val="FD4FA22E"/>
    <w:rsid w:val="FD5DB4C0"/>
    <w:rsid w:val="FD5F8A43"/>
    <w:rsid w:val="FD6F7FC2"/>
    <w:rsid w:val="FD7FF0E5"/>
    <w:rsid w:val="FDAE15E6"/>
    <w:rsid w:val="FDCF7A75"/>
    <w:rsid w:val="FDF5BCDE"/>
    <w:rsid w:val="FDFC2282"/>
    <w:rsid w:val="FEAC2B24"/>
    <w:rsid w:val="FEAFB171"/>
    <w:rsid w:val="FEDDF829"/>
    <w:rsid w:val="FEEA1FE9"/>
    <w:rsid w:val="FEEFAD9E"/>
    <w:rsid w:val="FEFBA55F"/>
    <w:rsid w:val="FEFDE747"/>
    <w:rsid w:val="FEFFE6F4"/>
    <w:rsid w:val="FF3F677B"/>
    <w:rsid w:val="FF5D3EFE"/>
    <w:rsid w:val="FFBFA8F4"/>
    <w:rsid w:val="FFCAB9B2"/>
    <w:rsid w:val="FFD6DDB8"/>
    <w:rsid w:val="FFDAFC5C"/>
    <w:rsid w:val="FFDDD82C"/>
    <w:rsid w:val="FFDDFD3A"/>
    <w:rsid w:val="FFDFF234"/>
    <w:rsid w:val="FFEBB79D"/>
    <w:rsid w:val="FFF90824"/>
    <w:rsid w:val="FFFA1B0D"/>
    <w:rsid w:val="FFFB395E"/>
    <w:rsid w:val="FFFBC4A9"/>
    <w:rsid w:val="FFFCBFF5"/>
    <w:rsid w:val="FFFF181B"/>
    <w:rsid w:val="FFFFC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99"/>
    <w:pPr>
      <w:keepNext/>
      <w:keepLines/>
      <w:spacing w:before="260" w:after="260" w:line="413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15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semiHidden/>
    <w:qFormat/>
    <w:uiPriority w:val="99"/>
    <w:pPr>
      <w:jc w:val="left"/>
    </w:pPr>
    <w:rPr>
      <w:sz w:val="24"/>
      <w:szCs w:val="24"/>
    </w:rPr>
  </w:style>
  <w:style w:type="paragraph" w:styleId="5">
    <w:name w:val="Body Text"/>
    <w:basedOn w:val="1"/>
    <w:qFormat/>
    <w:locked/>
    <w:uiPriority w:val="0"/>
    <w:pPr>
      <w:spacing w:after="120"/>
    </w:pPr>
  </w:style>
  <w:style w:type="paragraph" w:styleId="6">
    <w:name w:val="Date"/>
    <w:basedOn w:val="1"/>
    <w:next w:val="1"/>
    <w:link w:val="22"/>
    <w:qFormat/>
    <w:locked/>
    <w:uiPriority w:val="99"/>
    <w:pPr>
      <w:ind w:left="100" w:leftChars="2500"/>
    </w:pPr>
    <w:rPr>
      <w:kern w:val="0"/>
    </w:rPr>
  </w:style>
  <w:style w:type="paragraph" w:styleId="7">
    <w:name w:val="Balloon Text"/>
    <w:basedOn w:val="1"/>
    <w:link w:val="23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semiHidden/>
    <w:qFormat/>
    <w:uiPriority w:val="99"/>
  </w:style>
  <w:style w:type="paragraph" w:styleId="11">
    <w:name w:val="toc 2"/>
    <w:basedOn w:val="1"/>
    <w:next w:val="1"/>
    <w:semiHidden/>
    <w:qFormat/>
    <w:uiPriority w:val="99"/>
    <w:pPr>
      <w:ind w:left="420" w:leftChars="200"/>
    </w:pPr>
  </w:style>
  <w:style w:type="paragraph" w:styleId="12">
    <w:name w:val="annotation subject"/>
    <w:basedOn w:val="4"/>
    <w:next w:val="4"/>
    <w:link w:val="26"/>
    <w:semiHidden/>
    <w:qFormat/>
    <w:uiPriority w:val="99"/>
    <w:rPr>
      <w:b/>
      <w:bCs/>
    </w:rPr>
  </w:style>
  <w:style w:type="table" w:styleId="14">
    <w:name w:val="Table Grid"/>
    <w:basedOn w:val="13"/>
    <w:qFormat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17">
    <w:name w:val="Hyperlink"/>
    <w:basedOn w:val="15"/>
    <w:qFormat/>
    <w:locked/>
    <w:uiPriority w:val="99"/>
    <w:rPr>
      <w:color w:val="0000FF"/>
      <w:u w:val="single"/>
    </w:rPr>
  </w:style>
  <w:style w:type="character" w:styleId="18">
    <w:name w:val="annotation reference"/>
    <w:basedOn w:val="15"/>
    <w:semiHidden/>
    <w:qFormat/>
    <w:uiPriority w:val="99"/>
    <w:rPr>
      <w:sz w:val="21"/>
      <w:szCs w:val="21"/>
    </w:rPr>
  </w:style>
  <w:style w:type="character" w:customStyle="1" w:styleId="19">
    <w:name w:val="Heading 1 Char"/>
    <w:basedOn w:val="15"/>
    <w:link w:val="2"/>
    <w:qFormat/>
    <w:locked/>
    <w:uiPriority w:val="99"/>
    <w:rPr>
      <w:b/>
      <w:bCs/>
      <w:kern w:val="44"/>
      <w:sz w:val="44"/>
      <w:szCs w:val="44"/>
    </w:rPr>
  </w:style>
  <w:style w:type="character" w:customStyle="1" w:styleId="20">
    <w:name w:val="Heading 2 Char"/>
    <w:basedOn w:val="15"/>
    <w:link w:val="3"/>
    <w:semiHidden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21">
    <w:name w:val="Comment Text Char"/>
    <w:basedOn w:val="15"/>
    <w:link w:val="4"/>
    <w:qFormat/>
    <w:locked/>
    <w:uiPriority w:val="99"/>
    <w:rPr>
      <w:rFonts w:ascii="Calibri" w:hAnsi="Calibri" w:eastAsia="宋体" w:cs="Calibri"/>
      <w:kern w:val="2"/>
      <w:sz w:val="24"/>
      <w:szCs w:val="24"/>
    </w:rPr>
  </w:style>
  <w:style w:type="character" w:customStyle="1" w:styleId="22">
    <w:name w:val="Date Char"/>
    <w:basedOn w:val="15"/>
    <w:link w:val="6"/>
    <w:semiHidden/>
    <w:qFormat/>
    <w:locked/>
    <w:uiPriority w:val="99"/>
    <w:rPr>
      <w:sz w:val="21"/>
      <w:szCs w:val="21"/>
    </w:rPr>
  </w:style>
  <w:style w:type="character" w:customStyle="1" w:styleId="23">
    <w:name w:val="Balloon Text Char"/>
    <w:basedOn w:val="15"/>
    <w:link w:val="7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24">
    <w:name w:val="Footer Char"/>
    <w:basedOn w:val="15"/>
    <w:link w:val="8"/>
    <w:semiHidden/>
    <w:qFormat/>
    <w:locked/>
    <w:uiPriority w:val="99"/>
    <w:rPr>
      <w:sz w:val="18"/>
      <w:szCs w:val="18"/>
    </w:rPr>
  </w:style>
  <w:style w:type="character" w:customStyle="1" w:styleId="25">
    <w:name w:val="Header Char"/>
    <w:basedOn w:val="15"/>
    <w:link w:val="9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26">
    <w:name w:val="Comment Subject Char"/>
    <w:basedOn w:val="21"/>
    <w:link w:val="12"/>
    <w:qFormat/>
    <w:locked/>
    <w:uiPriority w:val="99"/>
    <w:rPr>
      <w:b/>
      <w:bCs/>
    </w:rPr>
  </w:style>
  <w:style w:type="paragraph" w:customStyle="1" w:styleId="27">
    <w:name w:val="_Style 3"/>
    <w:basedOn w:val="1"/>
    <w:qFormat/>
    <w:uiPriority w:val="99"/>
    <w:pPr>
      <w:ind w:firstLine="420" w:firstLineChars="200"/>
    </w:pPr>
  </w:style>
  <w:style w:type="paragraph" w:customStyle="1" w:styleId="28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29">
    <w:name w:val="文献分类号"/>
    <w:qFormat/>
    <w:uiPriority w:val="99"/>
    <w:pPr>
      <w:framePr w:hSpace="180" w:vSpace="180" w:wrap="auto" w:vAnchor="margin" w:hAnchor="margin" w:y="1" w:anchorLock="1"/>
      <w:widowControl w:val="0"/>
      <w:textAlignment w:val="center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30">
    <w:name w:val="其他标准标志"/>
    <w:basedOn w:val="1"/>
    <w:qFormat/>
    <w:uiPriority w:val="99"/>
    <w:pPr>
      <w:framePr w:w="6101" w:h="1389" w:hRule="exact" w:hSpace="181" w:vSpace="181" w:wrap="auto" w:vAnchor="page" w:hAnchor="page" w:x="4673" w:y="942" w:anchorLock="1"/>
      <w:widowControl/>
      <w:shd w:val="solid" w:color="FFFFFF" w:fill="FFFFFF"/>
      <w:spacing w:line="240" w:lineRule="atLeast"/>
      <w:jc w:val="right"/>
    </w:pPr>
    <w:rPr>
      <w:b/>
      <w:bCs/>
      <w:w w:val="130"/>
      <w:kern w:val="0"/>
      <w:sz w:val="96"/>
      <w:szCs w:val="96"/>
    </w:rPr>
  </w:style>
  <w:style w:type="paragraph" w:customStyle="1" w:styleId="31">
    <w:name w:val="其他标准称谓"/>
    <w:next w:val="1"/>
    <w:qFormat/>
    <w:uiPriority w:val="99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hAnsi="宋体" w:eastAsia="黑体" w:cs="黑体"/>
      <w:spacing w:val="-40"/>
      <w:kern w:val="0"/>
      <w:sz w:val="48"/>
      <w:szCs w:val="48"/>
      <w:lang w:val="en-US" w:eastAsia="zh-CN" w:bidi="ar-SA"/>
    </w:rPr>
  </w:style>
  <w:style w:type="paragraph" w:customStyle="1" w:styleId="32">
    <w:name w:val="封面标准号2"/>
    <w:qFormat/>
    <w:uiPriority w:val="99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黑体"/>
      <w:kern w:val="0"/>
      <w:sz w:val="28"/>
      <w:szCs w:val="28"/>
      <w:lang w:val="en-US" w:eastAsia="zh-CN" w:bidi="ar-SA"/>
    </w:rPr>
  </w:style>
  <w:style w:type="paragraph" w:customStyle="1" w:styleId="33">
    <w:name w:val="封面标准代替信息"/>
    <w:qFormat/>
    <w:uiPriority w:val="99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宋体"/>
      <w:kern w:val="0"/>
      <w:sz w:val="21"/>
      <w:szCs w:val="21"/>
      <w:lang w:val="en-US" w:eastAsia="zh-CN" w:bidi="ar-SA"/>
    </w:rPr>
  </w:style>
  <w:style w:type="paragraph" w:customStyle="1" w:styleId="34">
    <w:name w:val="封面标准名称"/>
    <w:qFormat/>
    <w:uiPriority w:val="99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黑体"/>
      <w:kern w:val="0"/>
      <w:sz w:val="52"/>
      <w:szCs w:val="52"/>
      <w:lang w:val="en-US" w:eastAsia="zh-CN" w:bidi="ar-SA"/>
    </w:rPr>
  </w:style>
  <w:style w:type="paragraph" w:customStyle="1" w:styleId="35">
    <w:name w:val="封面标准文稿类别"/>
    <w:basedOn w:val="36"/>
    <w:qFormat/>
    <w:uiPriority w:val="99"/>
    <w:pPr>
      <w:spacing w:after="160" w:line="240" w:lineRule="auto"/>
    </w:pPr>
    <w:rPr>
      <w:sz w:val="24"/>
      <w:szCs w:val="24"/>
    </w:rPr>
  </w:style>
  <w:style w:type="paragraph" w:customStyle="1" w:styleId="36">
    <w:name w:val="封面一致性程度标识"/>
    <w:basedOn w:val="1"/>
    <w:qFormat/>
    <w:uiPriority w:val="99"/>
    <w:pPr>
      <w:framePr w:w="9639" w:h="6917" w:hRule="exact" w:wrap="auto" w:vAnchor="page" w:hAnchor="page" w:xAlign="center" w:y="6408" w:anchorLock="1"/>
      <w:spacing w:before="440" w:line="400" w:lineRule="exact"/>
      <w:jc w:val="center"/>
      <w:textAlignment w:val="center"/>
    </w:pPr>
    <w:rPr>
      <w:rFonts w:ascii="宋体" w:cs="宋体"/>
      <w:kern w:val="0"/>
      <w:sz w:val="28"/>
      <w:szCs w:val="28"/>
    </w:rPr>
  </w:style>
  <w:style w:type="paragraph" w:customStyle="1" w:styleId="37">
    <w:name w:val="封面标准文稿编辑信息"/>
    <w:basedOn w:val="35"/>
    <w:qFormat/>
    <w:uiPriority w:val="99"/>
    <w:pPr>
      <w:spacing w:before="180" w:line="180" w:lineRule="exact"/>
    </w:pPr>
    <w:rPr>
      <w:sz w:val="21"/>
      <w:szCs w:val="21"/>
    </w:rPr>
  </w:style>
  <w:style w:type="paragraph" w:customStyle="1" w:styleId="38">
    <w:name w:val="其他发布日期"/>
    <w:basedOn w:val="1"/>
    <w:qFormat/>
    <w:uiPriority w:val="99"/>
    <w:pPr>
      <w:framePr w:w="3997" w:h="471" w:hRule="exact" w:vSpace="181" w:wrap="auto" w:vAnchor="page" w:hAnchor="page" w:x="1419" w:y="14097" w:anchorLock="1"/>
      <w:widowControl/>
      <w:jc w:val="left"/>
    </w:pPr>
    <w:rPr>
      <w:rFonts w:eastAsia="黑体"/>
      <w:kern w:val="0"/>
      <w:sz w:val="28"/>
      <w:szCs w:val="28"/>
    </w:rPr>
  </w:style>
  <w:style w:type="paragraph" w:customStyle="1" w:styleId="39">
    <w:name w:val="其他实施日期"/>
    <w:basedOn w:val="1"/>
    <w:qFormat/>
    <w:uiPriority w:val="99"/>
    <w:pPr>
      <w:framePr w:w="3997" w:h="471" w:hRule="exact" w:vSpace="181" w:wrap="auto" w:vAnchor="page" w:hAnchor="page" w:x="7089" w:y="14097" w:anchorLock="1"/>
      <w:widowControl/>
      <w:jc w:val="right"/>
    </w:pPr>
    <w:rPr>
      <w:rFonts w:eastAsia="黑体"/>
      <w:kern w:val="0"/>
      <w:sz w:val="28"/>
      <w:szCs w:val="28"/>
    </w:rPr>
  </w:style>
  <w:style w:type="paragraph" w:customStyle="1" w:styleId="40">
    <w:name w:val="其他发布部门"/>
    <w:basedOn w:val="41"/>
    <w:qFormat/>
    <w:uiPriority w:val="99"/>
    <w:pPr>
      <w:framePr w:y="15310"/>
      <w:spacing w:line="240" w:lineRule="atLeast"/>
    </w:pPr>
    <w:rPr>
      <w:rFonts w:ascii="黑体" w:eastAsia="黑体" w:cs="黑体"/>
    </w:rPr>
  </w:style>
  <w:style w:type="paragraph" w:customStyle="1" w:styleId="41">
    <w:name w:val="发布部门"/>
    <w:next w:val="42"/>
    <w:qFormat/>
    <w:uiPriority w:val="99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hAnsi="Times New Roman" w:eastAsia="宋体" w:cs="宋体"/>
      <w:b/>
      <w:bCs/>
      <w:spacing w:val="20"/>
      <w:w w:val="135"/>
      <w:kern w:val="0"/>
      <w:sz w:val="28"/>
      <w:szCs w:val="28"/>
      <w:lang w:val="en-US" w:eastAsia="zh-CN" w:bidi="ar-SA"/>
    </w:rPr>
  </w:style>
  <w:style w:type="paragraph" w:customStyle="1" w:styleId="42">
    <w:name w:val="段"/>
    <w:link w:val="55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等线" w:eastAsia="等线" w:cs="宋体"/>
      <w:kern w:val="2"/>
      <w:sz w:val="21"/>
      <w:szCs w:val="21"/>
      <w:lang w:val="en-US" w:eastAsia="zh-CN" w:bidi="ar-SA"/>
    </w:rPr>
  </w:style>
  <w:style w:type="character" w:customStyle="1" w:styleId="43">
    <w:name w:val="发布"/>
    <w:qFormat/>
    <w:uiPriority w:val="99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44">
    <w:name w:val="前言、引言标题"/>
    <w:next w:val="1"/>
    <w:qFormat/>
    <w:uiPriority w:val="99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黑体"/>
      <w:kern w:val="0"/>
      <w:sz w:val="32"/>
      <w:szCs w:val="32"/>
      <w:lang w:val="en-US" w:eastAsia="zh-CN" w:bidi="ar-SA"/>
    </w:rPr>
  </w:style>
  <w:style w:type="paragraph" w:customStyle="1" w:styleId="45">
    <w:name w:val="目次、标准名称标题"/>
    <w:basedOn w:val="1"/>
    <w:next w:val="42"/>
    <w:qFormat/>
    <w:uiPriority w:val="9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46">
    <w:name w:val="章标题"/>
    <w:next w:val="42"/>
    <w:qFormat/>
    <w:uiPriority w:val="99"/>
    <w:p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47">
    <w:name w:val="标准书眉_奇数页"/>
    <w:next w:val="1"/>
    <w:qFormat/>
    <w:uiPriority w:val="99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48">
    <w:name w:val="标准书脚_奇数页"/>
    <w:qFormat/>
    <w:uiPriority w:val="99"/>
    <w:pPr>
      <w:spacing w:before="120"/>
      <w:ind w:right="198"/>
      <w:jc w:val="right"/>
    </w:pPr>
    <w:rPr>
      <w:rFonts w:ascii="宋体" w:hAnsi="Times New Roman" w:eastAsia="宋体" w:cs="宋体"/>
      <w:kern w:val="0"/>
      <w:sz w:val="18"/>
      <w:szCs w:val="18"/>
      <w:lang w:val="en-US" w:eastAsia="zh-CN" w:bidi="ar-SA"/>
    </w:rPr>
  </w:style>
  <w:style w:type="paragraph" w:customStyle="1" w:styleId="49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50">
    <w:name w:val="font91"/>
    <w:qFormat/>
    <w:uiPriority w:val="99"/>
    <w:rPr>
      <w:rFonts w:ascii="宋体" w:hAnsi="宋体" w:eastAsia="宋体" w:cs="宋体"/>
      <w:color w:val="FF0000"/>
      <w:sz w:val="21"/>
      <w:szCs w:val="21"/>
      <w:u w:val="none"/>
      <w:vertAlign w:val="superscript"/>
    </w:rPr>
  </w:style>
  <w:style w:type="character" w:customStyle="1" w:styleId="51">
    <w:name w:val="font21"/>
    <w:qFormat/>
    <w:uiPriority w:val="99"/>
    <w:rPr>
      <w:rFonts w:ascii="Arial" w:hAnsi="Arial" w:cs="Arial"/>
      <w:color w:val="FF0000"/>
      <w:sz w:val="18"/>
      <w:szCs w:val="18"/>
      <w:u w:val="none"/>
    </w:rPr>
  </w:style>
  <w:style w:type="character" w:customStyle="1" w:styleId="52">
    <w:name w:val="font11"/>
    <w:qFormat/>
    <w:uiPriority w:val="99"/>
    <w:rPr>
      <w:rFonts w:ascii="宋体" w:hAnsi="宋体" w:eastAsia="宋体" w:cs="宋体"/>
      <w:color w:val="FF0000"/>
      <w:sz w:val="18"/>
      <w:szCs w:val="18"/>
      <w:u w:val="none"/>
    </w:rPr>
  </w:style>
  <w:style w:type="character" w:customStyle="1" w:styleId="53">
    <w:name w:val="font31"/>
    <w:qFormat/>
    <w:uiPriority w:val="99"/>
    <w:rPr>
      <w:rFonts w:ascii="方正书宋_GBK" w:hAnsi="方正书宋_GBK" w:eastAsia="方正书宋_GBK" w:cs="方正书宋_GBK"/>
      <w:color w:val="FF0000"/>
      <w:sz w:val="18"/>
      <w:szCs w:val="18"/>
      <w:u w:val="none"/>
    </w:rPr>
  </w:style>
  <w:style w:type="character" w:customStyle="1" w:styleId="54">
    <w:name w:val="font41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段 Char"/>
    <w:link w:val="42"/>
    <w:qFormat/>
    <w:locked/>
    <w:uiPriority w:val="99"/>
    <w:rPr>
      <w:rFonts w:ascii="宋体" w:hAnsi="等线" w:eastAsia="等线" w:cs="宋体"/>
      <w:kern w:val="2"/>
      <w:sz w:val="21"/>
      <w:szCs w:val="21"/>
      <w:lang w:val="en-US" w:eastAsia="zh-CN"/>
    </w:rPr>
  </w:style>
  <w:style w:type="paragraph" w:customStyle="1" w:styleId="56">
    <w:name w:val="标准文件_段"/>
    <w:link w:val="64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Calibri" w:eastAsia="宋体" w:cs="宋体"/>
      <w:kern w:val="2"/>
      <w:sz w:val="22"/>
      <w:szCs w:val="22"/>
      <w:lang w:val="en-US" w:eastAsia="zh-CN" w:bidi="ar-SA"/>
    </w:rPr>
  </w:style>
  <w:style w:type="paragraph" w:customStyle="1" w:styleId="57">
    <w:name w:val="标准文件_附录标识"/>
    <w:next w:val="56"/>
    <w:qFormat/>
    <w:uiPriority w:val="99"/>
    <w:pPr>
      <w:numPr>
        <w:ilvl w:val="0"/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58">
    <w:name w:val="标准文件_附录一级条标题"/>
    <w:next w:val="56"/>
    <w:qFormat/>
    <w:uiPriority w:val="99"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hAnsi="Times New Roman" w:eastAsia="黑体" w:cs="黑体"/>
      <w:kern w:val="21"/>
      <w:sz w:val="21"/>
      <w:szCs w:val="21"/>
      <w:lang w:val="en-US" w:eastAsia="zh-CN" w:bidi="ar-SA"/>
    </w:rPr>
  </w:style>
  <w:style w:type="paragraph" w:customStyle="1" w:styleId="59">
    <w:name w:val="标准文件_附录二级条标题"/>
    <w:basedOn w:val="58"/>
    <w:next w:val="56"/>
    <w:qFormat/>
    <w:uiPriority w:val="99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60">
    <w:name w:val="标准文件_附录三级条标题"/>
    <w:next w:val="56"/>
    <w:qFormat/>
    <w:uiPriority w:val="99"/>
    <w:pPr>
      <w:widowControl w:val="0"/>
      <w:numPr>
        <w:ilvl w:val="3"/>
        <w:numId w:val="1"/>
      </w:numPr>
      <w:spacing w:beforeLines="50" w:afterLines="50"/>
      <w:jc w:val="both"/>
      <w:outlineLvl w:val="4"/>
    </w:pPr>
    <w:rPr>
      <w:rFonts w:ascii="黑体" w:hAnsi="Times New Roman" w:eastAsia="黑体" w:cs="黑体"/>
      <w:kern w:val="21"/>
      <w:sz w:val="21"/>
      <w:szCs w:val="21"/>
      <w:lang w:val="en-US" w:eastAsia="zh-CN" w:bidi="ar-SA"/>
    </w:rPr>
  </w:style>
  <w:style w:type="paragraph" w:customStyle="1" w:styleId="61">
    <w:name w:val="标准文件_附录四级条标题"/>
    <w:next w:val="56"/>
    <w:qFormat/>
    <w:uiPriority w:val="99"/>
    <w:pPr>
      <w:widowControl w:val="0"/>
      <w:numPr>
        <w:ilvl w:val="4"/>
        <w:numId w:val="1"/>
      </w:numPr>
      <w:spacing w:beforeLines="50" w:afterLines="50"/>
      <w:jc w:val="both"/>
      <w:outlineLvl w:val="5"/>
    </w:pPr>
    <w:rPr>
      <w:rFonts w:ascii="黑体" w:hAnsi="Times New Roman" w:eastAsia="黑体" w:cs="黑体"/>
      <w:kern w:val="21"/>
      <w:sz w:val="21"/>
      <w:szCs w:val="21"/>
      <w:lang w:val="en-US" w:eastAsia="zh-CN" w:bidi="ar-SA"/>
    </w:rPr>
  </w:style>
  <w:style w:type="paragraph" w:customStyle="1" w:styleId="62">
    <w:name w:val="标准文件_附录五级条标题"/>
    <w:next w:val="56"/>
    <w:qFormat/>
    <w:uiPriority w:val="99"/>
    <w:pPr>
      <w:widowControl w:val="0"/>
      <w:numPr>
        <w:ilvl w:val="5"/>
        <w:numId w:val="1"/>
      </w:numPr>
      <w:spacing w:beforeLines="50" w:afterLines="50"/>
      <w:jc w:val="both"/>
      <w:outlineLvl w:val="6"/>
    </w:pPr>
    <w:rPr>
      <w:rFonts w:ascii="黑体" w:hAnsi="Times New Roman" w:eastAsia="黑体" w:cs="黑体"/>
      <w:kern w:val="21"/>
      <w:sz w:val="21"/>
      <w:szCs w:val="21"/>
      <w:lang w:val="en-US" w:eastAsia="zh-CN" w:bidi="ar-SA"/>
    </w:rPr>
  </w:style>
  <w:style w:type="paragraph" w:customStyle="1" w:styleId="63">
    <w:name w:val="标准文件_注："/>
    <w:next w:val="56"/>
    <w:qFormat/>
    <w:uiPriority w:val="99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宋体"/>
      <w:kern w:val="0"/>
      <w:sz w:val="18"/>
      <w:szCs w:val="18"/>
      <w:lang w:val="en-US" w:eastAsia="zh-CN" w:bidi="ar-SA"/>
    </w:rPr>
  </w:style>
  <w:style w:type="character" w:customStyle="1" w:styleId="64">
    <w:name w:val="标准文件_段 Char"/>
    <w:link w:val="56"/>
    <w:qFormat/>
    <w:locked/>
    <w:uiPriority w:val="99"/>
    <w:rPr>
      <w:rFonts w:ascii="宋体" w:cs="宋体"/>
      <w:kern w:val="2"/>
      <w:sz w:val="22"/>
      <w:szCs w:val="22"/>
      <w:lang w:val="en-US" w:eastAsia="zh-CN"/>
    </w:rPr>
  </w:style>
  <w:style w:type="paragraph" w:customStyle="1" w:styleId="65">
    <w:name w:val="标准文件_一级条标题"/>
    <w:basedOn w:val="66"/>
    <w:next w:val="5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66">
    <w:name w:val="标准文件_章标题"/>
    <w:next w:val="56"/>
    <w:qFormat/>
    <w:uiPriority w:val="0"/>
    <w:pPr>
      <w:numPr>
        <w:ilvl w:val="1"/>
        <w:numId w:val="3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7">
    <w:name w:val="标准文件_二级条标题"/>
    <w:next w:val="56"/>
    <w:qFormat/>
    <w:uiPriority w:val="0"/>
    <w:pPr>
      <w:widowControl w:val="0"/>
      <w:numPr>
        <w:ilvl w:val="3"/>
        <w:numId w:val="3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8">
    <w:name w:val="标准文件_三级条标题"/>
    <w:basedOn w:val="67"/>
    <w:next w:val="56"/>
    <w:qFormat/>
    <w:uiPriority w:val="0"/>
    <w:pPr>
      <w:widowControl/>
      <w:numPr>
        <w:ilvl w:val="4"/>
      </w:numPr>
      <w:outlineLvl w:val="3"/>
    </w:pPr>
  </w:style>
  <w:style w:type="table" w:customStyle="1" w:styleId="6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13</Pages>
  <Words>2798</Words>
  <Characters>3372</Characters>
  <Lines>0</Lines>
  <Paragraphs>0</Paragraphs>
  <TotalTime>1</TotalTime>
  <ScaleCrop>false</ScaleCrop>
  <LinksUpToDate>false</LinksUpToDate>
  <CharactersWithSpaces>3661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2021-11-12T09:26:00Z</dcterms:created>
  <dc:creator>nyb</dc:creator>
  <cp:lastModifiedBy>忐忑</cp:lastModifiedBy>
  <cp:lastPrinted>2021-08-09T15:44:00Z</cp:lastPrinted>
  <dcterms:modified xsi:type="dcterms:W3CDTF">2025-10-10T02:59:34Z</dcterms:modified>
  <dc:title>ICS 65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7A029ECAD6AC48CC8F2476FD8AAF8B65</vt:lpwstr>
  </property>
  <property fmtid="{D5CDD505-2E9C-101B-9397-08002B2CF9AE}" pid="4" name="KSOTemplateDocerSaveRecord">
    <vt:lpwstr>eyJoZGlkIjoiMjE1MGZmOTRhZjllMGExZDlkZTMzYmYzNTljMTkwODUiLCJ1c2VySWQiOiI0MzYwMTU0NjQifQ==</vt:lpwstr>
  </property>
</Properties>
</file>