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63B4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2DB031C">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7133093">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t>03.120.10</w:t>
            </w:r>
          </w:p>
        </w:tc>
      </w:tr>
      <w:tr w14:paraId="23A81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ABA1F70">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154F783">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A10"/>
                  </w:textInput>
                </w:ffData>
              </w:fldChar>
            </w:r>
            <w:bookmarkStart w:id="0"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A10</w:t>
            </w:r>
            <w:r>
              <w:rPr>
                <w:rFonts w:ascii="黑体" w:hAnsi="黑体" w:eastAsia="黑体"/>
                <w:sz w:val="21"/>
                <w:szCs w:val="21"/>
              </w:rPr>
              <w:fldChar w:fldCharType="end"/>
            </w:r>
            <w:bookmarkEnd w:id="0"/>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9F75FE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3ADB4A2">
            <w:pPr>
              <w:pStyle w:val="51"/>
              <w:framePr w:w="0" w:hRule="auto" w:wrap="auto" w:vAnchor="margin" w:hAnchor="text" w:xAlign="left" w:yAlign="inline"/>
              <w:rPr>
                <w:rFonts w:hint="eastAsia"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34</w:t>
            </w:r>
            <w:r>
              <w:fldChar w:fldCharType="end"/>
            </w:r>
            <w:bookmarkEnd w:id="2"/>
          </w:p>
        </w:tc>
      </w:tr>
    </w:tbl>
    <w:p w14:paraId="6226EB78">
      <w:pPr>
        <w:pStyle w:val="52"/>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14:paraId="0A245089">
      <w:pPr>
        <w:pStyle w:val="197"/>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XX/T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2E324780">
      <w:pPr>
        <w:pStyle w:val="198"/>
        <w:framePr/>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59EDC80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21F75CF">
      <w:pPr>
        <w:pStyle w:val="52"/>
        <w:framePr w:w="9639" w:h="6976" w:hRule="exact" w:hSpace="0" w:vSpace="0" w:wrap="around" w:hAnchor="page" w:y="6408"/>
        <w:jc w:val="center"/>
        <w:rPr>
          <w:rFonts w:hint="eastAsia" w:ascii="黑体" w:hAnsi="黑体" w:eastAsia="黑体"/>
          <w:b w:val="0"/>
          <w:bCs w:val="0"/>
          <w:w w:val="100"/>
        </w:rPr>
      </w:pPr>
    </w:p>
    <w:p w14:paraId="5BF741B1">
      <w:pPr>
        <w:pStyle w:val="19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行政机关卓越绩效评价准则</w:t>
      </w:r>
      <w:r>
        <w:fldChar w:fldCharType="end"/>
      </w:r>
      <w:bookmarkEnd w:id="8"/>
    </w:p>
    <w:p w14:paraId="37A005AF">
      <w:pPr>
        <w:framePr w:w="9639" w:h="6974" w:hRule="exact" w:wrap="around" w:vAnchor="page" w:hAnchor="page" w:x="1419" w:y="6408" w:anchorLock="1"/>
        <w:ind w:left="-1418"/>
      </w:pPr>
    </w:p>
    <w:p w14:paraId="1106D103">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C</w:t>
      </w:r>
      <w:r>
        <w:rPr>
          <w:rFonts w:eastAsia="黑体"/>
          <w:szCs w:val="28"/>
        </w:rPr>
        <w:t>riteria for excellence performance of administrative agencies </w:t>
      </w:r>
      <w:r>
        <w:rPr>
          <w:rFonts w:eastAsia="黑体"/>
          <w:szCs w:val="28"/>
        </w:rPr>
        <w:fldChar w:fldCharType="end"/>
      </w:r>
      <w:bookmarkEnd w:id="9"/>
    </w:p>
    <w:p w14:paraId="4D8D09AD">
      <w:pPr>
        <w:framePr w:w="9639" w:h="6974" w:hRule="exact" w:wrap="around" w:vAnchor="page" w:hAnchor="page" w:x="1419" w:y="6408" w:anchorLock="1"/>
        <w:spacing w:line="760" w:lineRule="exact"/>
        <w:ind w:left="-1418"/>
      </w:pPr>
    </w:p>
    <w:p w14:paraId="36B9046B">
      <w:pPr>
        <w:pStyle w:val="127"/>
        <w:framePr w:w="9639" w:h="6974" w:hRule="exact" w:wrap="around" w:vAnchor="page" w:hAnchor="page" w:x="1419" w:y="6408" w:anchorLock="1"/>
        <w:textAlignment w:val="bottom"/>
        <w:rPr>
          <w:rFonts w:eastAsia="黑体"/>
          <w:szCs w:val="28"/>
        </w:rPr>
      </w:pPr>
    </w:p>
    <w:p w14:paraId="72EB5D27">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4A618AAB">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1B11925F">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C290E99">
      <w:pPr>
        <w:pStyle w:val="19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1E21AD05">
      <w:pPr>
        <w:pStyle w:val="19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0CF75D74">
      <w:pPr>
        <w:pStyle w:val="153"/>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w:t>
      </w:r>
      <w:r>
        <w:rPr>
          <w:rFonts w:hAnsi="黑体"/>
          <w:w w:val="100"/>
          <w:sz w:val="28"/>
        </w:rPr>
        <w:t>监督</w:t>
      </w:r>
      <w:r>
        <w:rPr>
          <w:rFonts w:hint="eastAsia" w:hAnsi="黑体"/>
          <w:w w:val="100"/>
          <w:sz w:val="28"/>
        </w:rPr>
        <w:t>管理</w:t>
      </w:r>
      <w:r>
        <w:rPr>
          <w:rFonts w:hAnsi="黑体"/>
          <w:w w:val="100"/>
          <w:sz w:val="28"/>
        </w:rPr>
        <w:t>局</w:t>
      </w:r>
      <w:r>
        <w:rPr>
          <w:rFonts w:hAnsi="黑体"/>
          <w:w w:val="100"/>
          <w:sz w:val="28"/>
        </w:rPr>
        <w:fldChar w:fldCharType="end"/>
      </w:r>
      <w:bookmarkEnd w:id="19"/>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08C8ED4E">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F448BBA">
      <w:pPr>
        <w:pStyle w:val="91"/>
        <w:spacing w:after="468"/>
      </w:pPr>
      <w:bookmarkStart w:id="20" w:name="BookMark2"/>
      <w:r>
        <w:rPr>
          <w:spacing w:val="320"/>
        </w:rPr>
        <w:t>前</w:t>
      </w:r>
      <w:r>
        <w:t>言</w:t>
      </w:r>
    </w:p>
    <w:p w14:paraId="23B10F80">
      <w:pPr>
        <w:pStyle w:val="58"/>
        <w:ind w:firstLine="420"/>
      </w:pPr>
      <w:r>
        <w:rPr>
          <w:rFonts w:hint="eastAsia"/>
        </w:rPr>
        <w:t>本文件按照GB/T 1.1—2020《标准化工作导则  第1部分：标准化文件的结构和起草规则》的规定起草。</w:t>
      </w:r>
    </w:p>
    <w:p w14:paraId="5AAC6C6D">
      <w:pPr>
        <w:pStyle w:val="58"/>
        <w:ind w:firstLine="420"/>
      </w:pPr>
      <w:r>
        <w:rPr>
          <w:rFonts w:hint="eastAsia"/>
        </w:rPr>
        <w:t>本文件由安徽省市场</w:t>
      </w:r>
      <w:r>
        <w:t>监督管理局</w:t>
      </w:r>
      <w:r>
        <w:rPr>
          <w:rFonts w:hint="eastAsia"/>
        </w:rPr>
        <w:t>提出并</w:t>
      </w:r>
      <w:r>
        <w:t>归口</w:t>
      </w:r>
      <w:r>
        <w:rPr>
          <w:rFonts w:hint="eastAsia"/>
        </w:rPr>
        <w:t>。</w:t>
      </w:r>
    </w:p>
    <w:p w14:paraId="23C88404">
      <w:pPr>
        <w:pStyle w:val="58"/>
        <w:ind w:firstLine="420"/>
      </w:pPr>
      <w:r>
        <w:rPr>
          <w:rFonts w:hint="eastAsia"/>
        </w:rPr>
        <w:t>本文件起草单位：安徽省市场</w:t>
      </w:r>
      <w:r>
        <w:t>监督管理局</w:t>
      </w:r>
      <w:r>
        <w:rPr>
          <w:rFonts w:hint="eastAsia"/>
        </w:rPr>
        <w:t>质量</w:t>
      </w:r>
      <w:r>
        <w:t>发展处、</w:t>
      </w:r>
      <w:r>
        <w:rPr>
          <w:rFonts w:hint="eastAsia"/>
        </w:rPr>
        <w:t>安徽省质量和标准化研究院、山东大学质量管理研究中心、方圆标志认证集团安徽有限公司。</w:t>
      </w:r>
    </w:p>
    <w:p w14:paraId="5E7D4EF0">
      <w:pPr>
        <w:pStyle w:val="58"/>
        <w:ind w:firstLine="420"/>
      </w:pPr>
      <w:r>
        <w:rPr>
          <w:rFonts w:hint="eastAsia"/>
        </w:rPr>
        <w:t>本文件主要起草人：</w:t>
      </w:r>
    </w:p>
    <w:p w14:paraId="084A43F4">
      <w:pPr>
        <w:pStyle w:val="58"/>
        <w:ind w:firstLine="420"/>
      </w:pPr>
    </w:p>
    <w:p w14:paraId="241D974C">
      <w:pPr>
        <w:pStyle w:val="58"/>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0"/>
    <w:p w14:paraId="1E42062B">
      <w:pPr>
        <w:spacing w:line="20" w:lineRule="exact"/>
        <w:jc w:val="center"/>
        <w:rPr>
          <w:rFonts w:hint="eastAsia" w:ascii="黑体" w:hAnsi="黑体" w:eastAsia="黑体"/>
          <w:sz w:val="32"/>
          <w:szCs w:val="32"/>
        </w:rPr>
      </w:pPr>
      <w:bookmarkStart w:id="21" w:name="BookMark4"/>
    </w:p>
    <w:p w14:paraId="65F36501">
      <w:pPr>
        <w:spacing w:line="20" w:lineRule="exact"/>
        <w:jc w:val="center"/>
        <w:rPr>
          <w:rFonts w:hint="eastAsia" w:ascii="黑体" w:hAnsi="黑体" w:eastAsia="黑体"/>
          <w:sz w:val="32"/>
          <w:szCs w:val="32"/>
        </w:rPr>
      </w:pPr>
    </w:p>
    <w:sdt>
      <w:sdtPr>
        <w:tag w:val="NEW_STAND_NAME"/>
        <w:id w:val="595910757"/>
        <w:lock w:val="sdtLocked"/>
        <w:placeholder>
          <w:docPart w:val="60003DCC88E94B89B8140899FE19E35F"/>
        </w:placeholder>
      </w:sdtPr>
      <w:sdtContent>
        <w:p w14:paraId="4576B8D8">
          <w:pPr>
            <w:pStyle w:val="179"/>
            <w:spacing w:before="312" w:beforeLines="100" w:after="686" w:afterLines="220"/>
            <w:rPr>
              <w:rFonts w:hint="eastAsia"/>
            </w:rPr>
          </w:pPr>
          <w:bookmarkStart w:id="22" w:name="NEW_STAND_NAME"/>
          <w:r>
            <w:rPr>
              <w:rFonts w:hint="eastAsia"/>
            </w:rPr>
            <w:t>行政机关卓越绩效评价准则</w:t>
          </w:r>
        </w:p>
      </w:sdtContent>
    </w:sdt>
    <w:bookmarkEnd w:id="22"/>
    <w:p w14:paraId="769E1C5E">
      <w:pPr>
        <w:pStyle w:val="106"/>
        <w:spacing w:before="312" w:after="312"/>
      </w:pPr>
      <w:bookmarkStart w:id="23" w:name="_Toc17233333"/>
      <w:bookmarkStart w:id="24" w:name="_Toc26718930"/>
      <w:bookmarkStart w:id="25" w:name="_Toc26986771"/>
      <w:bookmarkStart w:id="26" w:name="_Toc26986530"/>
      <w:bookmarkStart w:id="27" w:name="_Toc24884211"/>
      <w:bookmarkStart w:id="28" w:name="_Toc26648465"/>
      <w:bookmarkStart w:id="29" w:name="_Toc17233325"/>
      <w:bookmarkStart w:id="30" w:name="_Toc97191423"/>
      <w:bookmarkStart w:id="31" w:name="_Toc24884218"/>
      <w:r>
        <w:rPr>
          <w:rFonts w:hint="eastAsia"/>
        </w:rPr>
        <w:t>范围</w:t>
      </w:r>
      <w:bookmarkEnd w:id="23"/>
      <w:bookmarkEnd w:id="24"/>
      <w:bookmarkEnd w:id="25"/>
      <w:bookmarkEnd w:id="26"/>
      <w:bookmarkEnd w:id="27"/>
      <w:bookmarkEnd w:id="28"/>
      <w:bookmarkEnd w:id="29"/>
      <w:bookmarkEnd w:id="30"/>
      <w:bookmarkEnd w:id="31"/>
    </w:p>
    <w:p w14:paraId="2AB3438D">
      <w:pPr>
        <w:pStyle w:val="58"/>
        <w:ind w:firstLine="420"/>
      </w:pPr>
      <w:r>
        <w:rPr>
          <w:rFonts w:hint="eastAsia"/>
        </w:rPr>
        <w:t>本文件规定了行政机关类组织卓越绩效的评价要求和评价方法。</w:t>
      </w:r>
    </w:p>
    <w:p w14:paraId="3A334660">
      <w:pPr>
        <w:pStyle w:val="58"/>
        <w:ind w:firstLine="420"/>
        <w:rPr>
          <w:color w:val="000000" w:themeColor="text1"/>
          <w14:textFill>
            <w14:solidFill>
              <w14:schemeClr w14:val="tx1"/>
            </w14:solidFill>
          </w14:textFill>
        </w:rPr>
      </w:pPr>
      <w:r>
        <w:rPr>
          <w:rFonts w:hint="eastAsia"/>
        </w:rPr>
        <w:t>本文件适用于追求卓越的行政机关类组织，为组织提</w:t>
      </w:r>
      <w:r>
        <w:rPr>
          <w:rFonts w:hint="eastAsia"/>
          <w:color w:val="000000" w:themeColor="text1"/>
          <w14:textFill>
            <w14:solidFill>
              <w14:schemeClr w14:val="tx1"/>
            </w14:solidFill>
          </w14:textFill>
        </w:rPr>
        <w:t>供了自我评价的准则，也可作为安徽省各级政府质量奖的评价依据。</w:t>
      </w:r>
      <w:bookmarkStart w:id="32" w:name="_Toc17233334"/>
      <w:bookmarkStart w:id="33" w:name="_Toc17233326"/>
      <w:bookmarkStart w:id="34" w:name="_Toc26648466"/>
      <w:bookmarkStart w:id="35" w:name="_Toc24884219"/>
      <w:bookmarkStart w:id="36" w:name="_Toc24884212"/>
    </w:p>
    <w:p w14:paraId="5C1F95A8">
      <w:pPr>
        <w:pStyle w:val="106"/>
        <w:spacing w:before="312" w:after="312"/>
      </w:pPr>
      <w:bookmarkStart w:id="37" w:name="_Toc26986772"/>
      <w:bookmarkStart w:id="38" w:name="_Toc97191424"/>
      <w:bookmarkStart w:id="39" w:name="_Toc26986531"/>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3EC7DED2C8814977ACD82023C298D80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2BD447E">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1F97647">
      <w:pPr>
        <w:pStyle w:val="58"/>
        <w:ind w:firstLine="420"/>
      </w:pPr>
      <w:r>
        <w:rPr>
          <w:rFonts w:hint="eastAsia"/>
        </w:rPr>
        <w:t>GB/T 19580-2012 卓越绩效评价准则</w:t>
      </w:r>
    </w:p>
    <w:p w14:paraId="0A3B8033">
      <w:pPr>
        <w:pStyle w:val="106"/>
        <w:spacing w:before="312" w:after="312"/>
      </w:pPr>
      <w:bookmarkStart w:id="41" w:name="_Toc97191425"/>
      <w:r>
        <w:rPr>
          <w:rFonts w:hint="eastAsia"/>
          <w:szCs w:val="21"/>
        </w:rPr>
        <w:t>术语和定义</w:t>
      </w:r>
      <w:bookmarkEnd w:id="41"/>
    </w:p>
    <w:sdt>
      <w:sdtPr>
        <w:id w:val="-1"/>
        <w:placeholder>
          <w:docPart w:val="B16C4F5B4CC0430AAEDF93637597526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B1E87D">
          <w:pPr>
            <w:pStyle w:val="58"/>
            <w:ind w:firstLine="420"/>
          </w:pPr>
          <w:bookmarkStart w:id="42" w:name="_Toc26986532"/>
          <w:bookmarkEnd w:id="42"/>
          <w:r>
            <w:t>GB/T 19580-2012界定的以及下列术语和定义适用于本文件。</w:t>
          </w:r>
        </w:p>
      </w:sdtContent>
    </w:sdt>
    <w:p w14:paraId="6F30D395">
      <w:pPr>
        <w:pStyle w:val="225"/>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顾客  customer</w:t>
      </w:r>
    </w:p>
    <w:p w14:paraId="3F31E29B">
      <w:pPr>
        <w:pStyle w:val="58"/>
        <w:ind w:firstLine="420"/>
      </w:pPr>
      <w:r>
        <w:rPr>
          <w:rFonts w:hint="eastAsia"/>
        </w:rPr>
        <w:t>行政机关类组织的服务对象，即受组织的公共政策或公共管理行为影响的客体，可包括公众、企业、社会组织或其他行政机关等。</w:t>
      </w:r>
    </w:p>
    <w:p w14:paraId="77CF284D">
      <w:pPr>
        <w:pStyle w:val="106"/>
        <w:spacing w:before="312" w:after="312"/>
      </w:pPr>
      <w:r>
        <w:rPr>
          <w:rFonts w:hint="eastAsia"/>
        </w:rPr>
        <w:t>评价要求</w:t>
      </w:r>
    </w:p>
    <w:p w14:paraId="614A0390">
      <w:pPr>
        <w:pStyle w:val="107"/>
        <w:spacing w:before="156" w:after="156"/>
      </w:pPr>
      <w:r>
        <w:rPr>
          <w:rFonts w:hint="eastAsia"/>
        </w:rPr>
        <w:t>领导作用</w:t>
      </w:r>
    </w:p>
    <w:p w14:paraId="6F77933C">
      <w:pPr>
        <w:pStyle w:val="67"/>
        <w:spacing w:before="156" w:after="156"/>
      </w:pPr>
      <w:r>
        <w:rPr>
          <w:rFonts w:hint="eastAsia"/>
        </w:rPr>
        <w:t>总则</w:t>
      </w:r>
    </w:p>
    <w:p w14:paraId="59586286">
      <w:pPr>
        <w:pStyle w:val="58"/>
        <w:ind w:firstLine="420"/>
      </w:pPr>
      <w:r>
        <w:rPr>
          <w:rFonts w:hint="eastAsia"/>
        </w:rPr>
        <w:t>高层领导带领组织围绕法治政府、创新政府、廉洁政府、服务型政府精准定位，确立使命，明确方向、营造氛围促进组织达成使命。</w:t>
      </w:r>
    </w:p>
    <w:p w14:paraId="2EC8A717">
      <w:pPr>
        <w:pStyle w:val="67"/>
        <w:spacing w:before="156" w:after="156"/>
      </w:pPr>
      <w:r>
        <w:rPr>
          <w:rFonts w:hint="eastAsia"/>
        </w:rPr>
        <w:t>精准定位，确定方向</w:t>
      </w:r>
    </w:p>
    <w:p w14:paraId="62BEF339">
      <w:pPr>
        <w:pStyle w:val="58"/>
        <w:ind w:firstLine="420"/>
      </w:pPr>
      <w:r>
        <w:rPr>
          <w:rFonts w:hint="eastAsia"/>
        </w:rPr>
        <w:t>高层领导牢固树立为人民服务</w:t>
      </w:r>
      <w:r>
        <w:rPr>
          <w:rFonts w:hint="eastAsia"/>
          <w:color w:val="000000" w:themeColor="text1"/>
          <w14:textFill>
            <w14:solidFill>
              <w14:schemeClr w14:val="tx1"/>
            </w14:solidFill>
          </w14:textFill>
        </w:rPr>
        <w:t>的理念，</w:t>
      </w:r>
      <w:r>
        <w:rPr>
          <w:rFonts w:hint="eastAsia"/>
        </w:rPr>
        <w:t>深刻把握高质量发展的实践要求，找准在推动职能转变、优化制度供给、加强创新管理、优化政务服务、营造法治环境方面的使命担当和努力方向，科学制定组织长短期发展战略和实施计划。</w:t>
      </w:r>
    </w:p>
    <w:p w14:paraId="5285B1B0">
      <w:pPr>
        <w:pStyle w:val="67"/>
        <w:spacing w:before="156" w:after="156"/>
      </w:pPr>
      <w:r>
        <w:rPr>
          <w:rFonts w:hint="eastAsia"/>
        </w:rPr>
        <w:t>文化培育，营造氛围</w:t>
      </w:r>
    </w:p>
    <w:p w14:paraId="6DFEA0ED">
      <w:pPr>
        <w:pStyle w:val="58"/>
        <w:ind w:firstLine="420"/>
      </w:pPr>
      <w:r>
        <w:rPr>
          <w:rFonts w:hint="eastAsia"/>
        </w:rPr>
        <w:t>高层领导应完整、准确、全面贯彻新发展理念，建立富有特色的组织文化体系，并通过领导垂范、制度保障、文化活动、信息公开、内外部交流等方式，强化全员和相关方对组织文化的认同与践行，营造起良好的内外部合作发展环境。</w:t>
      </w:r>
    </w:p>
    <w:p w14:paraId="5C7084D4">
      <w:pPr>
        <w:pStyle w:val="67"/>
        <w:spacing w:before="156" w:after="156"/>
      </w:pPr>
      <w:r>
        <w:rPr>
          <w:rFonts w:hint="eastAsia"/>
        </w:rPr>
        <w:t>管理保障，配置优化</w:t>
      </w:r>
    </w:p>
    <w:p w14:paraId="63A4A609">
      <w:pPr>
        <w:pStyle w:val="58"/>
        <w:ind w:firstLine="420"/>
      </w:pPr>
      <w:r>
        <w:rPr>
          <w:rFonts w:hint="eastAsia"/>
        </w:rPr>
        <w:t>高层领导应建立有效的管理体系，明确各级管理职责，严格执行相关法律法规、政策和廉洁行为规范，优化配置人、财、物、技术等资源，防范各种可能面临的风险隐患，确保业务连续性。</w:t>
      </w:r>
    </w:p>
    <w:p w14:paraId="3E828C20">
      <w:pPr>
        <w:pStyle w:val="67"/>
        <w:spacing w:before="156" w:after="156"/>
      </w:pPr>
      <w:r>
        <w:rPr>
          <w:rFonts w:hint="eastAsia"/>
        </w:rPr>
        <w:t>绩效评价，持续改进</w:t>
      </w:r>
    </w:p>
    <w:p w14:paraId="31466DD6">
      <w:pPr>
        <w:pStyle w:val="58"/>
        <w:ind w:firstLine="420"/>
      </w:pPr>
      <w:r>
        <w:rPr>
          <w:rFonts w:hint="eastAsia"/>
        </w:rPr>
        <w:t>高层领导应促进组织采取行动以改进组织绩效、实现组织目标。高层领导应通过研讨会、管理评审会、绩效分析会和专业例会等方式，定期评价组织的关键绩效指标，确定改进和创新点，推动组织将追求卓越付诸行动。</w:t>
      </w:r>
    </w:p>
    <w:p w14:paraId="75F065C8">
      <w:pPr>
        <w:pStyle w:val="107"/>
        <w:spacing w:before="156" w:after="156"/>
      </w:pPr>
      <w:r>
        <w:rPr>
          <w:rFonts w:hint="eastAsia"/>
        </w:rPr>
        <w:t>关注顾客</w:t>
      </w:r>
    </w:p>
    <w:p w14:paraId="227DAEF5">
      <w:pPr>
        <w:pStyle w:val="67"/>
        <w:spacing w:before="156" w:after="156"/>
      </w:pPr>
      <w:r>
        <w:rPr>
          <w:rFonts w:hint="eastAsia"/>
        </w:rPr>
        <w:t>总则</w:t>
      </w:r>
    </w:p>
    <w:p w14:paraId="4AADA5E0">
      <w:pPr>
        <w:pStyle w:val="58"/>
        <w:ind w:firstLine="420"/>
      </w:pPr>
      <w:r>
        <w:rPr>
          <w:rFonts w:hint="eastAsia"/>
        </w:rPr>
        <w:t>组织应说明如何契合顾客，</w:t>
      </w:r>
      <w:r>
        <w:rPr>
          <w:rFonts w:hint="eastAsia"/>
          <w:lang w:eastAsia="zh-CN"/>
        </w:rPr>
        <w:t>包括</w:t>
      </w:r>
      <w:r>
        <w:rPr>
          <w:rFonts w:hint="eastAsia"/>
        </w:rPr>
        <w:t>倾听顾客呼声、服务顾客并超越其期望以及建立良好的顾客关系。</w:t>
      </w:r>
    </w:p>
    <w:p w14:paraId="02C1570C">
      <w:pPr>
        <w:pStyle w:val="67"/>
        <w:spacing w:before="156" w:after="156"/>
      </w:pPr>
      <w:r>
        <w:rPr>
          <w:rFonts w:hint="eastAsia"/>
        </w:rPr>
        <w:t>顾客倾听</w:t>
      </w:r>
    </w:p>
    <w:p w14:paraId="4E352493">
      <w:pPr>
        <w:pStyle w:val="58"/>
        <w:ind w:firstLine="420"/>
      </w:pPr>
      <w:r>
        <w:rPr>
          <w:rFonts w:hint="eastAsia"/>
        </w:rPr>
        <w:t>组织应结合自身职能定位，进行目标顾客群细分，明确顾客类别。组织应坚持以人民为中心的发展思想，采取政务热线、互联网等多种渠道问需于民、问计于民，更好倾听民声、尊重民意。倾听方法应因不同的顾客、顾客群而异，来获得有关服务、顾客支持的可用的信息。</w:t>
      </w:r>
    </w:p>
    <w:p w14:paraId="67C9049A">
      <w:pPr>
        <w:pStyle w:val="67"/>
        <w:spacing w:before="156" w:after="156"/>
      </w:pPr>
      <w:r>
        <w:rPr>
          <w:rFonts w:hint="eastAsia"/>
        </w:rPr>
        <w:t>顾客关系管理</w:t>
      </w:r>
    </w:p>
    <w:p w14:paraId="25C279B0">
      <w:pPr>
        <w:pStyle w:val="58"/>
        <w:ind w:firstLine="420"/>
      </w:pPr>
      <w:r>
        <w:rPr>
          <w:rFonts w:hint="eastAsia"/>
        </w:rPr>
        <w:t>组织应建立和管理顾客关系，满足并超越其期望，提高其满意度。组织应针对不同顾客群建立差异化的顾客关系，组织应建立与顾客接触的主要渠道以及每种渠道主要的顾客接触要求，这些渠道应方便顾客查询信息、进行服务互动和提出投诉；组织应制定顾客服务的制度、标准，并展开、落实到相关的人员和过程。组织应及时处理顾客投诉，并及时有效地解决投诉，避免同类投诉的再次发生。</w:t>
      </w:r>
    </w:p>
    <w:p w14:paraId="30C32470">
      <w:pPr>
        <w:pStyle w:val="67"/>
        <w:spacing w:before="156" w:after="156"/>
      </w:pPr>
      <w:r>
        <w:rPr>
          <w:rFonts w:hint="eastAsia"/>
        </w:rPr>
        <w:t>顾客满意测量</w:t>
      </w:r>
    </w:p>
    <w:p w14:paraId="4959ABD0">
      <w:pPr>
        <w:pStyle w:val="58"/>
        <w:ind w:firstLine="420"/>
      </w:pPr>
      <w:r>
        <w:rPr>
          <w:rFonts w:hint="eastAsia"/>
        </w:rPr>
        <w:t>组织应采取线上调查、电话调查、</w:t>
      </w:r>
      <w:r>
        <w:t>APP面访系统、线下座谈</w:t>
      </w:r>
      <w:r>
        <w:rPr>
          <w:rFonts w:hint="eastAsia"/>
        </w:rPr>
        <w:t>、委托第三方机构测评</w:t>
      </w:r>
      <w:r>
        <w:t>等多元化方式</w:t>
      </w:r>
      <w:r>
        <w:rPr>
          <w:rFonts w:hint="eastAsia"/>
        </w:rPr>
        <w:t>测量顾客满意度，所用方法应因顾客群不同而异；组织应获取和应用可供比较的标杆和对比组织的顾客满意信息，以提高顾客对政务的参与性和满意度。</w:t>
      </w:r>
    </w:p>
    <w:p w14:paraId="10211D36">
      <w:pPr>
        <w:pStyle w:val="107"/>
        <w:spacing w:before="156" w:after="156"/>
      </w:pPr>
      <w:r>
        <w:rPr>
          <w:rFonts w:hint="eastAsia"/>
        </w:rPr>
        <w:t>关注员工</w:t>
      </w:r>
    </w:p>
    <w:p w14:paraId="616A6181">
      <w:pPr>
        <w:pStyle w:val="67"/>
        <w:spacing w:before="156" w:after="156"/>
      </w:pPr>
      <w:r>
        <w:rPr>
          <w:rFonts w:hint="eastAsia"/>
        </w:rPr>
        <w:t>总则</w:t>
      </w:r>
    </w:p>
    <w:p w14:paraId="492B773E">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组织应营造一个有利于高绩效的员工环境，促进员工发展，保障员工权益，提高员工满意度</w:t>
      </w:r>
      <w:r>
        <w:rPr>
          <w:rFonts w:hint="eastAsia"/>
          <w:color w:val="0000FF"/>
          <w:shd w:val="clear" w:color="FFFFFF" w:fill="D9D9D9"/>
        </w:rPr>
        <w:t>、</w:t>
      </w:r>
      <w:r>
        <w:rPr>
          <w:rFonts w:hint="eastAsia"/>
          <w:color w:val="000000" w:themeColor="text1"/>
          <w14:textFill>
            <w14:solidFill>
              <w14:schemeClr w14:val="tx1"/>
            </w14:solidFill>
          </w14:textFill>
        </w:rPr>
        <w:t>敬业度，从而激发员工的全部潜能。</w:t>
      </w:r>
    </w:p>
    <w:p w14:paraId="238A5626">
      <w:pPr>
        <w:pStyle w:val="67"/>
        <w:spacing w:before="156" w:after="156"/>
      </w:pPr>
      <w:r>
        <w:rPr>
          <w:rFonts w:hint="eastAsia"/>
        </w:rPr>
        <w:t>员工学习和发展</w:t>
      </w:r>
    </w:p>
    <w:p w14:paraId="0D17B45E">
      <w:pPr>
        <w:pStyle w:val="58"/>
        <w:ind w:firstLine="420"/>
      </w:pPr>
      <w:r>
        <w:rPr>
          <w:rFonts w:hint="eastAsia"/>
        </w:rPr>
        <w:t>组织的学习和发展系统应支持员工个人发展和组织需求，应评价学习和发展系统的有效性和效率，应管理员工和未来领导的职业发展，应为管理、领导层和其他关键岗位制定并实施继任计划。</w:t>
      </w:r>
    </w:p>
    <w:p w14:paraId="616F3557">
      <w:pPr>
        <w:pStyle w:val="67"/>
        <w:spacing w:before="156" w:after="156"/>
      </w:pPr>
      <w:r>
        <w:rPr>
          <w:rFonts w:hint="eastAsia"/>
        </w:rPr>
        <w:t>沟通和授权</w:t>
      </w:r>
    </w:p>
    <w:p w14:paraId="025E377B">
      <w:pPr>
        <w:pStyle w:val="58"/>
        <w:ind w:firstLine="420"/>
      </w:pPr>
      <w:r>
        <w:rPr>
          <w:rFonts w:hint="eastAsia"/>
        </w:rPr>
        <w:t>组织应营造一种开放沟通的环境，应给员工授权。组织应建立诸如领导信箱、OA/邮件系统、员工座谈会、全体员工大会等渠道，听取和采纳员工的各种意见和建议；组织应结合业务特点，采用多种方法促进不同部门、职位和地区之间的有效沟通和技能共享；组织应通过组织结构和职位优化、制度建立等方式促进组织的授权，调动员工的积极性和主动性。</w:t>
      </w:r>
    </w:p>
    <w:p w14:paraId="73831A3C">
      <w:pPr>
        <w:pStyle w:val="67"/>
        <w:spacing w:before="156" w:after="156"/>
      </w:pPr>
      <w:r>
        <w:rPr>
          <w:rFonts w:hint="eastAsia"/>
        </w:rPr>
        <w:t>员工绩效管理</w:t>
      </w:r>
    </w:p>
    <w:p w14:paraId="0792649E">
      <w:pPr>
        <w:pStyle w:val="58"/>
        <w:ind w:firstLine="420"/>
      </w:pPr>
      <w:r>
        <w:rPr>
          <w:rFonts w:hint="eastAsia"/>
        </w:rPr>
        <w:t>组织的员工绩效管理系统应支持高绩效的工作，应考虑员工的</w:t>
      </w:r>
      <w:bookmarkStart w:id="43" w:name="_Hlk154513228"/>
      <w:r>
        <w:rPr>
          <w:rFonts w:hint="eastAsia"/>
        </w:rPr>
        <w:t>薪酬、奖励、认可</w:t>
      </w:r>
      <w:bookmarkEnd w:id="43"/>
      <w:r>
        <w:rPr>
          <w:rFonts w:hint="eastAsia"/>
        </w:rPr>
        <w:t>等激励措施，强化以人民为中心的组织文化。</w:t>
      </w:r>
    </w:p>
    <w:p w14:paraId="162AAC56">
      <w:pPr>
        <w:pStyle w:val="67"/>
        <w:spacing w:before="156" w:after="156"/>
      </w:pPr>
      <w:r>
        <w:rPr>
          <w:rFonts w:hint="eastAsia"/>
        </w:rPr>
        <w:t>员工权益</w:t>
      </w:r>
    </w:p>
    <w:p w14:paraId="7E2215C9">
      <w:pPr>
        <w:pStyle w:val="58"/>
        <w:ind w:firstLine="420"/>
      </w:pPr>
      <w:r>
        <w:rPr>
          <w:rFonts w:hint="eastAsia"/>
        </w:rPr>
        <w:t>组织应确保员工工作环境的健康、安全和便利，应通过政策、服务和福利来支持员工。</w:t>
      </w:r>
    </w:p>
    <w:p w14:paraId="7CAAC936">
      <w:pPr>
        <w:pStyle w:val="67"/>
        <w:spacing w:before="156" w:after="156"/>
      </w:pPr>
      <w:r>
        <w:rPr>
          <w:rFonts w:hint="eastAsia"/>
        </w:rPr>
        <w:t>员工满意度与敬业度</w:t>
      </w:r>
    </w:p>
    <w:p w14:paraId="3EF60CEF">
      <w:pPr>
        <w:pStyle w:val="58"/>
        <w:ind w:firstLine="420"/>
      </w:pPr>
      <w:r>
        <w:rPr>
          <w:rFonts w:hint="eastAsia"/>
        </w:rPr>
        <w:t>组织应确定员工满意度和敬业度的关键驱动因素，采取适宜、有效的方法测量员工满意度和员工敬业度，并制定针对性措施持续改进。</w:t>
      </w:r>
    </w:p>
    <w:p w14:paraId="005B1175">
      <w:pPr>
        <w:pStyle w:val="107"/>
        <w:spacing w:before="156" w:after="156"/>
      </w:pPr>
      <w:r>
        <w:rPr>
          <w:rFonts w:hint="eastAsia"/>
        </w:rPr>
        <w:t>高效运行</w:t>
      </w:r>
    </w:p>
    <w:p w14:paraId="40B966CF">
      <w:pPr>
        <w:pStyle w:val="67"/>
        <w:spacing w:before="156" w:after="156"/>
      </w:pPr>
      <w:r>
        <w:rPr>
          <w:rFonts w:hint="eastAsia"/>
        </w:rPr>
        <w:t>总则</w:t>
      </w:r>
    </w:p>
    <w:p w14:paraId="23A9DA9C">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组织应设计需求导向的政务服务系统，建立运行管理体系以保障业务高效运作，持续提升组织能力和声誉。</w:t>
      </w:r>
    </w:p>
    <w:p w14:paraId="46345881">
      <w:pPr>
        <w:pStyle w:val="67"/>
        <w:spacing w:before="156" w:after="156"/>
      </w:pPr>
      <w:r>
        <w:rPr>
          <w:rFonts w:hint="eastAsia"/>
        </w:rPr>
        <w:t>运行体系</w:t>
      </w:r>
    </w:p>
    <w:p w14:paraId="613431CA">
      <w:pPr>
        <w:pStyle w:val="166"/>
      </w:pPr>
      <w:r>
        <w:rPr>
          <w:rFonts w:hint="eastAsia"/>
        </w:rPr>
        <w:t>组织应策划高质量政务服务供给，建立高效的运行管理体系，持续加强质量管理，促进质量提升。</w:t>
      </w:r>
    </w:p>
    <w:p w14:paraId="2A6705ED">
      <w:pPr>
        <w:pStyle w:val="166"/>
      </w:pPr>
      <w:r>
        <w:rPr>
          <w:rFonts w:hint="eastAsia"/>
        </w:rPr>
        <w:t>组织应针对顾客和其他利益相关方多样化、多层次的需求和期望，设计</w:t>
      </w:r>
      <w:r>
        <w:t>以需求为导向的政务服务系统</w:t>
      </w:r>
      <w:r>
        <w:rPr>
          <w:rFonts w:hint="eastAsia"/>
        </w:rPr>
        <w:t>，供给更好的政策、信息、监管、基础设施等公共物品和服务，通过持续推动政务服务种类、运行体系设计及提供方式的优化，不断改善顾客体验。</w:t>
      </w:r>
    </w:p>
    <w:p w14:paraId="4D5B0C05">
      <w:pPr>
        <w:pStyle w:val="166"/>
      </w:pPr>
      <w:r>
        <w:rPr>
          <w:rFonts w:hint="eastAsia"/>
        </w:rPr>
        <w:t>组织应清晰界定组织与相关方的关系，识别关键服务过程，明确关键运行系统及各工作过程的要求，基于更透明高效的服务流程和更</w:t>
      </w:r>
      <w:r>
        <w:rPr>
          <w:rFonts w:hint="eastAsia"/>
          <w:color w:val="000000" w:themeColor="text1"/>
          <w14:textFill>
            <w14:solidFill>
              <w14:schemeClr w14:val="tx1"/>
            </w14:solidFill>
          </w14:textFill>
        </w:rPr>
        <w:t>方便快捷的</w:t>
      </w:r>
      <w:r>
        <w:rPr>
          <w:rFonts w:hint="eastAsia"/>
        </w:rPr>
        <w:t>服务触点，建立有效的运行管理体系、标准体系及考核评价机制。</w:t>
      </w:r>
    </w:p>
    <w:p w14:paraId="38E8FB20">
      <w:pPr>
        <w:pStyle w:val="67"/>
        <w:spacing w:before="156" w:after="156"/>
      </w:pPr>
      <w:r>
        <w:rPr>
          <w:rFonts w:hint="eastAsia"/>
        </w:rPr>
        <w:t>运行管理</w:t>
      </w:r>
    </w:p>
    <w:p w14:paraId="5CF6D643">
      <w:pPr>
        <w:pStyle w:val="166"/>
      </w:pPr>
      <w:r>
        <w:rPr>
          <w:rFonts w:hint="eastAsia"/>
        </w:rPr>
        <w:t>组织应有效实施运行管理体系，强化工作目标管理，建立目标责任制，并合理分解，实施关键目标的测评评价，以此识别改进机会，引导全员致力于组织目标的达成。</w:t>
      </w:r>
    </w:p>
    <w:p w14:paraId="0486A7CD">
      <w:pPr>
        <w:pStyle w:val="166"/>
      </w:pPr>
      <w:r>
        <w:rPr>
          <w:rFonts w:hint="eastAsia"/>
        </w:rPr>
        <w:t>组织应将质量理念贯穿到运行各环节，</w:t>
      </w:r>
      <w:bookmarkStart w:id="44" w:name="_Hlk154515866"/>
      <w:r>
        <w:rPr>
          <w:rFonts w:hint="eastAsia"/>
        </w:rPr>
        <w:t>严格执行制度法规或工作标准规范</w:t>
      </w:r>
      <w:bookmarkEnd w:id="44"/>
      <w:r>
        <w:rPr>
          <w:rFonts w:hint="eastAsia"/>
        </w:rPr>
        <w:t>，围绕业务过程优化推行策划、实施、评价、改进的PDCA循环管理，灵活采用先进技术和质量工具，使运行体系与职责定位、工作过程的要求保持一致，促进工作质量和效率持续提高。</w:t>
      </w:r>
    </w:p>
    <w:p w14:paraId="3CE026AF">
      <w:pPr>
        <w:pStyle w:val="67"/>
        <w:spacing w:before="156" w:after="156"/>
      </w:pPr>
      <w:r>
        <w:rPr>
          <w:rFonts w:hint="eastAsia"/>
        </w:rPr>
        <w:t>改革创新</w:t>
      </w:r>
    </w:p>
    <w:p w14:paraId="7E38DECA">
      <w:pPr>
        <w:pStyle w:val="166"/>
      </w:pPr>
      <w:r>
        <w:rPr>
          <w:rFonts w:hint="eastAsia"/>
        </w:rPr>
        <w:t>组织应识别优化政府管理和服务，结合行政管理体制改革、政府职能转变、营商环境优化、数字型法治型政府建设、治理能力提升等各方面改革发展需要，将创新融入到组织文化与日常工作中，对标国内外同领域最好水平和最佳实践，形成组织的创新方案，相应建立创新性项目的评价与激励机制，为各项改革与创新的有序推进提供保障。</w:t>
      </w:r>
    </w:p>
    <w:p w14:paraId="66C7D5B4">
      <w:pPr>
        <w:pStyle w:val="166"/>
      </w:pPr>
      <w:r>
        <w:rPr>
          <w:rFonts w:hint="eastAsia"/>
        </w:rPr>
        <w:t>组织应整合优化服务链条与资源，创新工作思路、机制与手段方法，在政务服务数字化、智能化、精细</w:t>
      </w:r>
      <w:r>
        <w:rPr>
          <w:rFonts w:hint="eastAsia"/>
          <w:color w:val="000000" w:themeColor="text1"/>
          <w14:textFill>
            <w14:solidFill>
              <w14:schemeClr w14:val="tx1"/>
            </w14:solidFill>
          </w14:textFill>
        </w:rPr>
        <w:t>化、便利化、个性</w:t>
      </w:r>
      <w:r>
        <w:rPr>
          <w:rFonts w:hint="eastAsia"/>
        </w:rPr>
        <w:t>化创新等方面取得突破，并对创新成果采取标准化等方式加以固化、复制、推广和应用，促进创新成效最大化。</w:t>
      </w:r>
    </w:p>
    <w:p w14:paraId="1B5E5101">
      <w:pPr>
        <w:pStyle w:val="107"/>
        <w:spacing w:before="156" w:after="156"/>
      </w:pPr>
      <w:r>
        <w:rPr>
          <w:rFonts w:hint="eastAsia"/>
        </w:rPr>
        <w:t>绩效结果</w:t>
      </w:r>
    </w:p>
    <w:p w14:paraId="0C565B73">
      <w:pPr>
        <w:pStyle w:val="67"/>
        <w:spacing w:before="156" w:after="156"/>
      </w:pPr>
      <w:r>
        <w:rPr>
          <w:rFonts w:hint="eastAsia"/>
        </w:rPr>
        <w:t>总则</w:t>
      </w:r>
    </w:p>
    <w:p w14:paraId="67FEF436">
      <w:pPr>
        <w:pStyle w:val="58"/>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组织应提供在关键领域的绩效和改进，包括领导作用、关注顾客、关注员工、高效运行、改革创新等方面的绩效。</w:t>
      </w:r>
    </w:p>
    <w:p w14:paraId="3AEBA69E">
      <w:pPr>
        <w:pStyle w:val="67"/>
        <w:spacing w:before="156" w:after="156"/>
      </w:pPr>
      <w:r>
        <w:rPr>
          <w:rFonts w:hint="eastAsia"/>
        </w:rPr>
        <w:t>领导作用的结果</w:t>
      </w:r>
    </w:p>
    <w:p w14:paraId="7D63BD8F">
      <w:pPr>
        <w:pStyle w:val="58"/>
        <w:ind w:firstLine="420"/>
      </w:pPr>
      <w:r>
        <w:rPr>
          <w:rFonts w:hint="eastAsia"/>
        </w:rPr>
        <w:t>组织在领导作用方面的绩效结果，其中应包括适当的对比性数据，应包括但不限于：</w:t>
      </w:r>
    </w:p>
    <w:p w14:paraId="766BFFB2">
      <w:pPr>
        <w:pStyle w:val="176"/>
      </w:pPr>
      <w:r>
        <w:rPr>
          <w:rFonts w:hint="eastAsia"/>
        </w:rPr>
        <w:t>在实现战略目标方面的关键绩效指标的当前水平和趋势；</w:t>
      </w:r>
    </w:p>
    <w:p w14:paraId="283D4D78">
      <w:pPr>
        <w:pStyle w:val="176"/>
      </w:pPr>
      <w:r>
        <w:rPr>
          <w:rFonts w:hint="eastAsia"/>
        </w:rPr>
        <w:t>在遵守法规政策、民主评议与考核评比等合规治理方面的关键绩效指标的当前水平和趋势；</w:t>
      </w:r>
    </w:p>
    <w:p w14:paraId="52D1CD88">
      <w:pPr>
        <w:pStyle w:val="176"/>
      </w:pPr>
      <w:r>
        <w:rPr>
          <w:rFonts w:hint="eastAsia"/>
        </w:rPr>
        <w:t>在文化建设方面的关键绩效指标的当前水平和趋势；</w:t>
      </w:r>
    </w:p>
    <w:p w14:paraId="55C6CB8C">
      <w:pPr>
        <w:pStyle w:val="176"/>
      </w:pPr>
      <w:r>
        <w:rPr>
          <w:rFonts w:hint="eastAsia"/>
        </w:rPr>
        <w:t>在创造经济和社会效益方面的关键绩效指标的当前水平和趋势。</w:t>
      </w:r>
    </w:p>
    <w:p w14:paraId="467B9E57">
      <w:pPr>
        <w:pStyle w:val="67"/>
        <w:spacing w:before="156" w:after="156"/>
      </w:pPr>
      <w:r>
        <w:rPr>
          <w:rFonts w:hint="eastAsia"/>
        </w:rPr>
        <w:t>关注顾客的结果</w:t>
      </w:r>
    </w:p>
    <w:p w14:paraId="0F763957">
      <w:pPr>
        <w:pStyle w:val="58"/>
        <w:ind w:firstLine="420"/>
      </w:pPr>
      <w:r>
        <w:rPr>
          <w:rFonts w:hint="eastAsia"/>
        </w:rPr>
        <w:t>组织在关注顾客方面的绩效结果，其中应包括适当的对比性数据，应包括但不限于：</w:t>
      </w:r>
    </w:p>
    <w:p w14:paraId="458267E4">
      <w:pPr>
        <w:pStyle w:val="176"/>
        <w:numPr>
          <w:ilvl w:val="0"/>
          <w:numId w:val="32"/>
        </w:numPr>
      </w:pPr>
      <w:r>
        <w:rPr>
          <w:rFonts w:hint="eastAsia"/>
        </w:rPr>
        <w:t>在顾客满意方面的关键绩效指标的当前水平和趋势；</w:t>
      </w:r>
    </w:p>
    <w:p w14:paraId="36D872E4">
      <w:pPr>
        <w:pStyle w:val="176"/>
      </w:pPr>
      <w:r>
        <w:rPr>
          <w:rFonts w:hint="eastAsia"/>
        </w:rPr>
        <w:t>在顾客投诉方面的关键绩效指标的当前水平和趋势；</w:t>
      </w:r>
    </w:p>
    <w:p w14:paraId="28BC5F3C">
      <w:pPr>
        <w:pStyle w:val="176"/>
      </w:pPr>
      <w:r>
        <w:rPr>
          <w:rFonts w:hint="eastAsia"/>
        </w:rPr>
        <w:t>在解决群众关心、社会关注的重点难点问题，促进当地营商环境优化和提升质量“获得感”等方面的关键绩效指标的当前水平和趋势。</w:t>
      </w:r>
    </w:p>
    <w:p w14:paraId="5D9E426F">
      <w:pPr>
        <w:pStyle w:val="67"/>
        <w:spacing w:before="156" w:after="156"/>
      </w:pPr>
      <w:r>
        <w:rPr>
          <w:rFonts w:hint="eastAsia"/>
        </w:rPr>
        <w:t>关注员工的结果</w:t>
      </w:r>
    </w:p>
    <w:p w14:paraId="1B677AA9">
      <w:pPr>
        <w:pStyle w:val="58"/>
        <w:ind w:firstLine="420"/>
      </w:pPr>
      <w:r>
        <w:rPr>
          <w:rFonts w:hint="eastAsia"/>
        </w:rPr>
        <w:t>组织在关注员工方面的绩效结果，应包括但不限于：</w:t>
      </w:r>
    </w:p>
    <w:p w14:paraId="6BD9732B">
      <w:pPr>
        <w:pStyle w:val="176"/>
        <w:numPr>
          <w:ilvl w:val="0"/>
          <w:numId w:val="33"/>
        </w:numPr>
      </w:pPr>
      <w:r>
        <w:rPr>
          <w:rFonts w:hint="eastAsia"/>
        </w:rPr>
        <w:t>在团队建设、学习发展、尽职履责、沟通授权、绩效管理、权益保护等方面的关键绩效指标的当前水平和趋势；</w:t>
      </w:r>
    </w:p>
    <w:p w14:paraId="1024274B">
      <w:pPr>
        <w:pStyle w:val="176"/>
      </w:pPr>
      <w:r>
        <w:rPr>
          <w:rFonts w:hint="eastAsia"/>
        </w:rPr>
        <w:t>员工满意方面的关键绩效指标的当前水平和趋势，可包括员工满意度、员工敬业度及其细分结果。</w:t>
      </w:r>
    </w:p>
    <w:p w14:paraId="560426A9">
      <w:pPr>
        <w:pStyle w:val="67"/>
        <w:spacing w:before="156" w:after="156"/>
      </w:pPr>
      <w:r>
        <w:rPr>
          <w:rFonts w:hint="eastAsia"/>
        </w:rPr>
        <w:t>高效运行的结果</w:t>
      </w:r>
    </w:p>
    <w:p w14:paraId="784C06FF">
      <w:pPr>
        <w:pStyle w:val="58"/>
        <w:ind w:firstLine="420"/>
      </w:pPr>
      <w:r>
        <w:rPr>
          <w:rFonts w:hint="eastAsia"/>
        </w:rPr>
        <w:t>组织在高效运行方面的绩效结果，其中应包括适当的对比性数据，应包括但不限于：</w:t>
      </w:r>
    </w:p>
    <w:p w14:paraId="17B54A2B">
      <w:pPr>
        <w:pStyle w:val="176"/>
        <w:numPr>
          <w:ilvl w:val="0"/>
          <w:numId w:val="34"/>
        </w:numPr>
      </w:pPr>
      <w:r>
        <w:rPr>
          <w:rFonts w:hint="eastAsia"/>
        </w:rPr>
        <w:t>在提供政务服务方面的绩效结果，可包括政务服务质量、数量、效率、有效性等方面的关键绩效指标的当前水平和趋势；</w:t>
      </w:r>
    </w:p>
    <w:p w14:paraId="20EB0BE5">
      <w:pPr>
        <w:pStyle w:val="176"/>
      </w:pPr>
      <w:r>
        <w:rPr>
          <w:rFonts w:hint="eastAsia"/>
        </w:rPr>
        <w:t>组织效能建设考核的当前水平和趋势；</w:t>
      </w:r>
    </w:p>
    <w:p w14:paraId="74341379">
      <w:pPr>
        <w:pStyle w:val="176"/>
      </w:pPr>
      <w:r>
        <w:rPr>
          <w:rFonts w:hint="eastAsia"/>
        </w:rPr>
        <w:t>组织信息公开考核的当前水平和趋势；</w:t>
      </w:r>
    </w:p>
    <w:p w14:paraId="0CDC0D82">
      <w:pPr>
        <w:pStyle w:val="176"/>
      </w:pPr>
      <w:r>
        <w:rPr>
          <w:rFonts w:hint="eastAsia"/>
        </w:rPr>
        <w:t>组织综合绩效结果，政府类组织可包括但不限于地区生产总值（GDP）、战略性新兴产业产值、人</w:t>
      </w:r>
      <w:r>
        <w:rPr>
          <w:rFonts w:hint="eastAsia"/>
          <w:color w:val="000000" w:themeColor="text1"/>
          <w14:textFill>
            <w14:solidFill>
              <w14:schemeClr w14:val="tx1"/>
            </w14:solidFill>
          </w14:textFill>
        </w:rPr>
        <w:t>均GDP、万人高价值发明专利拥有量、“四</w:t>
      </w:r>
      <w:r>
        <w:rPr>
          <w:rFonts w:hint="eastAsia"/>
        </w:rPr>
        <w:t>上”企业数量、全员劳动生产率等关键绩效指标的当前水平和趋势；</w:t>
      </w:r>
    </w:p>
    <w:p w14:paraId="70FEF423">
      <w:pPr>
        <w:pStyle w:val="176"/>
      </w:pPr>
      <w:r>
        <w:rPr>
          <w:rFonts w:hint="eastAsia"/>
        </w:rPr>
        <w:t>机关类组织应按职能提供政府考核关键绩效指标的当前水平</w:t>
      </w:r>
      <w:r>
        <w:rPr>
          <w:rFonts w:hint="eastAsia"/>
          <w:lang w:eastAsia="zh-CN"/>
        </w:rPr>
        <w:t>及</w:t>
      </w:r>
      <w:r>
        <w:rPr>
          <w:rFonts w:hint="eastAsia"/>
        </w:rPr>
        <w:t>趋势。</w:t>
      </w:r>
    </w:p>
    <w:p w14:paraId="7FE8E097">
      <w:pPr>
        <w:pStyle w:val="67"/>
        <w:spacing w:before="156" w:after="156"/>
      </w:pPr>
      <w:r>
        <w:rPr>
          <w:rFonts w:hint="eastAsia"/>
        </w:rPr>
        <w:t>改革创新的结果</w:t>
      </w:r>
    </w:p>
    <w:p w14:paraId="23FD070E">
      <w:pPr>
        <w:pStyle w:val="58"/>
        <w:ind w:firstLine="420"/>
      </w:pPr>
      <w:r>
        <w:rPr>
          <w:rFonts w:hint="eastAsia"/>
        </w:rPr>
        <w:t>组织在推动政务服务创新发展和重点领域改革突破，形成引领性、代表性成果的情况，可包括媒体报道、公众认可、表彰奖励等。可包括适当的对比性数据。</w:t>
      </w:r>
    </w:p>
    <w:p w14:paraId="3D0463DA">
      <w:pPr>
        <w:pStyle w:val="106"/>
        <w:spacing w:before="312" w:after="312"/>
      </w:pPr>
      <w:r>
        <w:rPr>
          <w:rFonts w:hint="eastAsia"/>
        </w:rPr>
        <w:t>评价方法</w:t>
      </w:r>
    </w:p>
    <w:p w14:paraId="6C776BC6">
      <w:pPr>
        <w:pStyle w:val="107"/>
        <w:spacing w:before="156" w:after="156"/>
      </w:pPr>
      <w:r>
        <w:rPr>
          <w:rFonts w:hint="eastAsia"/>
        </w:rPr>
        <w:t>条款分值</w:t>
      </w:r>
    </w:p>
    <w:p w14:paraId="3C6E7301">
      <w:pPr>
        <w:pStyle w:val="58"/>
        <w:ind w:firstLine="420"/>
      </w:pPr>
      <w:r>
        <w:rPr>
          <w:rFonts w:hint="eastAsia"/>
        </w:rPr>
        <w:t>行政机关类组织评价细则条款总分为1000分，按照附录A，评价条款分为一级评价条款和二级评价条款，其中二级评价条款可直接评分，也称评分条款。一级评价条款的分值是相关二级评价条款的分值之和。</w:t>
      </w:r>
    </w:p>
    <w:p w14:paraId="743ED2BD">
      <w:pPr>
        <w:pStyle w:val="107"/>
        <w:spacing w:before="156" w:after="156"/>
      </w:pPr>
      <w:r>
        <w:rPr>
          <w:rFonts w:hint="eastAsia"/>
        </w:rPr>
        <w:t>评价要素</w:t>
      </w:r>
    </w:p>
    <w:p w14:paraId="292793A6">
      <w:pPr>
        <w:pStyle w:val="58"/>
        <w:ind w:firstLine="420"/>
      </w:pPr>
      <w:r>
        <w:rPr>
          <w:rFonts w:hint="eastAsia"/>
        </w:rPr>
        <w:t>针对每个二级评价条款，按方法（approach, A）、展开（deployment, D）、学习（learning, L）、整合（integration, I）四个要素，评价组织过程的管理成熟度；按水平（levels, Le）、趋势（trends, T）、对比（comparisons, C）、整合（integration, I）四个要素，评价组织结果的管理成熟度。各评价要素的评价要点详见附录B的B.1。</w:t>
      </w:r>
    </w:p>
    <w:p w14:paraId="6E580BDD">
      <w:pPr>
        <w:pStyle w:val="107"/>
        <w:spacing w:before="156" w:after="156"/>
      </w:pPr>
      <w:r>
        <w:rPr>
          <w:rFonts w:hint="eastAsia"/>
        </w:rPr>
        <w:t>评分指南</w:t>
      </w:r>
    </w:p>
    <w:p w14:paraId="42CBFED8">
      <w:pPr>
        <w:pStyle w:val="167"/>
      </w:pPr>
      <w:r>
        <w:rPr>
          <w:rFonts w:hint="eastAsia"/>
        </w:rPr>
        <w:t>“过程”和“结果”评分条款评分指南分别见表B.1和表B.2。</w:t>
      </w:r>
    </w:p>
    <w:p w14:paraId="26FC6B21">
      <w:pPr>
        <w:pStyle w:val="167"/>
      </w:pPr>
      <w:r>
        <w:rPr>
          <w:rFonts w:hint="eastAsia"/>
        </w:rPr>
        <w:t>组织的评价总得分的计算方法为各二级条款分值与所对应成熟度百分比的乘积和，见公式（1）：</w:t>
      </w:r>
    </w:p>
    <w:p w14:paraId="3CA68F7B">
      <w:pPr>
        <w:pStyle w:val="234"/>
        <w:ind w:firstLine="0" w:firstLineChars="0"/>
        <w:jc w:val="center"/>
        <w:rPr>
          <w:rFonts w:ascii="仿宋_GB2312" w:eastAsia="仿宋_GB2312"/>
          <w:iCs/>
          <w:sz w:val="22"/>
          <w:szCs w:val="21"/>
        </w:rPr>
      </w:pPr>
      <w:r>
        <w:rPr>
          <w:rFonts w:hint="eastAsia" w:ascii="仿宋_GB2312" w:eastAsia="仿宋_GB2312" w:hAnsiTheme="minorHAnsi" w:cstheme="minorBidi"/>
          <w:sz w:val="22"/>
          <w:szCs w:val="21"/>
        </w:rPr>
        <w:t xml:space="preserve">               </w:t>
      </w:r>
      <m:oMath>
        <m:r>
          <m:rPr>
            <m:sty m:val="p"/>
          </m:rPr>
          <w:rPr>
            <w:rFonts w:hint="eastAsia" w:ascii="Cambria Math" w:hAnsi="Cambria Math"/>
            <w:sz w:val="22"/>
            <w:szCs w:val="21"/>
          </w:rPr>
          <m:t>总得分=</m:t>
        </m:r>
        <m:nary>
          <m:naryPr>
            <m:chr m:val="∑"/>
            <m:limLoc m:val="undOvr"/>
            <m:subHide m:val="1"/>
            <m:supHide m:val="1"/>
            <m:ctrlPr>
              <w:rPr>
                <w:rFonts w:hint="eastAsia" w:ascii="Cambria Math" w:hAnsi="Cambria Math"/>
                <w:iCs/>
                <w:sz w:val="22"/>
                <w:szCs w:val="21"/>
              </w:rPr>
            </m:ctrlPr>
          </m:naryPr>
          <m:sub>
            <m:ctrlPr>
              <w:rPr>
                <w:rFonts w:hint="eastAsia" w:ascii="Cambria Math" w:hAnsi="Cambria Math"/>
                <w:iCs/>
                <w:sz w:val="22"/>
                <w:szCs w:val="21"/>
              </w:rPr>
            </m:ctrlPr>
          </m:sub>
          <m:sup>
            <m:ctrlPr>
              <w:rPr>
                <w:rFonts w:hint="eastAsia" w:ascii="Cambria Math" w:hAnsi="Cambria Math"/>
                <w:iCs/>
                <w:sz w:val="22"/>
                <w:szCs w:val="21"/>
              </w:rPr>
            </m:ctrlPr>
          </m:sup>
          <m:e>
            <m:r>
              <m:rPr>
                <m:sty m:val="p"/>
              </m:rPr>
              <w:rPr>
                <w:rFonts w:hint="eastAsia" w:ascii="Cambria Math" w:hAnsi="Cambria Math"/>
                <w:sz w:val="22"/>
                <w:szCs w:val="21"/>
              </w:rPr>
              <m:t>评分条款分值</m:t>
            </m:r>
            <m:r>
              <m:rPr>
                <m:sty m:val="p"/>
              </m:rPr>
              <w:rPr>
                <w:rFonts w:ascii="Cambria Math" w:hAnsi="Cambria Math"/>
              </w:rPr>
              <m:t>×</m:t>
            </m:r>
            <m:r>
              <m:rPr>
                <m:sty m:val="p"/>
              </m:rPr>
              <w:rPr>
                <w:rFonts w:hint="eastAsia" w:ascii="Cambria Math" w:hAnsi="Cambria Math"/>
                <w:sz w:val="22"/>
                <w:szCs w:val="21"/>
              </w:rPr>
              <m:t>管理成熟度百分比</m:t>
            </m:r>
            <m:ctrlPr>
              <w:rPr>
                <w:rFonts w:hint="eastAsia" w:ascii="Cambria Math" w:hAnsi="Cambria Math"/>
                <w:iCs/>
                <w:sz w:val="22"/>
                <w:szCs w:val="21"/>
              </w:rPr>
            </m:ctrlPr>
          </m:e>
        </m:nary>
      </m:oMath>
      <w:r>
        <w:rPr>
          <w:rFonts w:hint="eastAsia" w:hAnsi="宋体"/>
          <w:iCs/>
          <w:sz w:val="22"/>
          <w:szCs w:val="21"/>
        </w:rPr>
        <w:t>………………（1）</w:t>
      </w:r>
    </w:p>
    <w:p w14:paraId="5CDB27E4">
      <w:pPr>
        <w:pStyle w:val="234"/>
        <w:ind w:firstLine="0" w:firstLineChars="0"/>
        <w:jc w:val="center"/>
        <w:rPr>
          <w:rFonts w:ascii="仿宋_GB2312" w:eastAsia="仿宋_GB2312"/>
          <w:iCs/>
          <w:sz w:val="22"/>
          <w:szCs w:val="21"/>
        </w:rPr>
      </w:pPr>
    </w:p>
    <w:p w14:paraId="5E96373C">
      <w:pPr>
        <w:spacing w:line="360" w:lineRule="auto"/>
        <w:ind w:firstLine="480" w:firstLineChars="200"/>
        <w:rPr>
          <w:rFonts w:ascii="仿宋_GB2312" w:eastAsia="仿宋_GB2312"/>
          <w:sz w:val="24"/>
          <w:szCs w:val="24"/>
        </w:rPr>
      </w:pPr>
    </w:p>
    <w:p w14:paraId="43D1D7BB">
      <w:pPr>
        <w:widowControl/>
        <w:spacing w:line="360" w:lineRule="auto"/>
        <w:jc w:val="center"/>
        <w:rPr>
          <w:rFonts w:hint="eastAsia" w:ascii="仿宋_GB2312" w:hAnsi="宋体" w:eastAsia="仿宋_GB2312"/>
          <w:kern w:val="0"/>
          <w:sz w:val="24"/>
          <w:szCs w:val="24"/>
        </w:rPr>
      </w:pPr>
      <w:r>
        <w:rPr>
          <w:rFonts w:ascii="仿宋_GB2312" w:eastAsia="仿宋_GB2312"/>
          <w:sz w:val="24"/>
          <w:szCs w:val="24"/>
        </w:rPr>
        <w:br w:type="page"/>
      </w:r>
    </w:p>
    <w:p w14:paraId="644E0017">
      <w:pPr>
        <w:pStyle w:val="58"/>
        <w:ind w:firstLine="420"/>
        <w:sectPr>
          <w:pgSz w:w="11906" w:h="16838"/>
          <w:pgMar w:top="1928" w:right="1134" w:bottom="1134" w:left="1134" w:header="1418" w:footer="1134" w:gutter="284"/>
          <w:pgNumType w:start="1"/>
          <w:cols w:space="425" w:num="1"/>
          <w:formProt w:val="0"/>
          <w:docGrid w:type="lines" w:linePitch="312" w:charSpace="0"/>
        </w:sectPr>
      </w:pPr>
    </w:p>
    <w:bookmarkEnd w:id="21"/>
    <w:p w14:paraId="1F66666C">
      <w:pPr>
        <w:pStyle w:val="200"/>
        <w:rPr>
          <w:rFonts w:hint="eastAsia"/>
          <w:vanish w:val="0"/>
        </w:rPr>
      </w:pPr>
      <w:bookmarkStart w:id="45" w:name="BookMark5"/>
    </w:p>
    <w:p w14:paraId="3673FE93">
      <w:pPr>
        <w:pStyle w:val="201"/>
        <w:rPr>
          <w:vanish w:val="0"/>
        </w:rPr>
      </w:pPr>
    </w:p>
    <w:p w14:paraId="1AFA0FDE">
      <w:pPr>
        <w:pStyle w:val="78"/>
        <w:spacing w:after="156"/>
      </w:pPr>
      <w:r>
        <w:br w:type="textWrapping"/>
      </w:r>
      <w:r>
        <w:rPr>
          <w:rFonts w:hint="eastAsia"/>
        </w:rPr>
        <w:t>（规范性）</w:t>
      </w:r>
      <w:r>
        <w:br w:type="textWrapping"/>
      </w:r>
      <w:r>
        <w:rPr>
          <w:rFonts w:hint="eastAsia"/>
        </w:rPr>
        <w:t>评分条款分值表</w:t>
      </w:r>
    </w:p>
    <w:p w14:paraId="063F6F8C">
      <w:pPr>
        <w:pStyle w:val="58"/>
        <w:ind w:firstLine="420"/>
      </w:pPr>
      <w:r>
        <w:rPr>
          <w:rFonts w:hint="eastAsia"/>
        </w:rPr>
        <w:t>行政机关类组织评分条款分值见表A.1。</w:t>
      </w:r>
    </w:p>
    <w:p w14:paraId="4AA714AB">
      <w:pPr>
        <w:pStyle w:val="79"/>
        <w:spacing w:before="156" w:after="156"/>
      </w:pPr>
      <w:r>
        <w:rPr>
          <w:rFonts w:hint="eastAsia"/>
        </w:rPr>
        <w:t>评分条款分值表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4394"/>
        <w:gridCol w:w="1780"/>
      </w:tblGrid>
      <w:tr w14:paraId="580F0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06D0B08D">
            <w:pPr>
              <w:spacing w:line="240" w:lineRule="auto"/>
              <w:jc w:val="center"/>
              <w:rPr>
                <w:rFonts w:hint="eastAsia" w:ascii="宋体" w:hAnsi="宋体"/>
                <w:kern w:val="0"/>
                <w:sz w:val="18"/>
                <w:szCs w:val="18"/>
              </w:rPr>
            </w:pPr>
            <w:r>
              <w:rPr>
                <w:rFonts w:hint="eastAsia" w:ascii="宋体" w:hAnsi="宋体"/>
                <w:kern w:val="0"/>
                <w:sz w:val="18"/>
                <w:szCs w:val="18"/>
              </w:rPr>
              <w:t>一级评价条款</w:t>
            </w:r>
          </w:p>
        </w:tc>
        <w:tc>
          <w:tcPr>
            <w:tcW w:w="4394" w:type="dxa"/>
          </w:tcPr>
          <w:p w14:paraId="0F11CF31">
            <w:pPr>
              <w:spacing w:line="240" w:lineRule="auto"/>
              <w:jc w:val="center"/>
              <w:rPr>
                <w:rFonts w:hint="eastAsia" w:ascii="宋体" w:hAnsi="宋体"/>
                <w:kern w:val="0"/>
                <w:sz w:val="18"/>
                <w:szCs w:val="18"/>
              </w:rPr>
            </w:pPr>
            <w:r>
              <w:rPr>
                <w:rFonts w:hint="eastAsia" w:ascii="宋体" w:hAnsi="宋体"/>
                <w:kern w:val="0"/>
                <w:sz w:val="18"/>
                <w:szCs w:val="18"/>
              </w:rPr>
              <w:t>二级评价条款</w:t>
            </w:r>
          </w:p>
        </w:tc>
        <w:tc>
          <w:tcPr>
            <w:tcW w:w="1780" w:type="dxa"/>
          </w:tcPr>
          <w:p w14:paraId="39464698">
            <w:pPr>
              <w:spacing w:line="240" w:lineRule="auto"/>
              <w:jc w:val="center"/>
              <w:rPr>
                <w:rFonts w:hint="eastAsia" w:ascii="宋体" w:hAnsi="宋体"/>
                <w:kern w:val="0"/>
                <w:sz w:val="18"/>
                <w:szCs w:val="18"/>
              </w:rPr>
            </w:pPr>
            <w:r>
              <w:rPr>
                <w:rFonts w:hint="eastAsia" w:ascii="宋体" w:hAnsi="宋体"/>
                <w:kern w:val="0"/>
                <w:sz w:val="18"/>
                <w:szCs w:val="18"/>
              </w:rPr>
              <w:t>分值</w:t>
            </w:r>
          </w:p>
        </w:tc>
      </w:tr>
      <w:tr w14:paraId="38B8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5476C77C">
            <w:pPr>
              <w:spacing w:line="240" w:lineRule="auto"/>
              <w:rPr>
                <w:rFonts w:hint="eastAsia" w:ascii="宋体" w:hAnsi="宋体"/>
                <w:kern w:val="0"/>
                <w:sz w:val="18"/>
                <w:szCs w:val="18"/>
              </w:rPr>
            </w:pPr>
            <w:r>
              <w:rPr>
                <w:rFonts w:hint="eastAsia" w:ascii="宋体" w:hAnsi="宋体"/>
                <w:kern w:val="0"/>
                <w:sz w:val="18"/>
                <w:szCs w:val="18"/>
              </w:rPr>
              <w:t>4.1 领导作用</w:t>
            </w:r>
          </w:p>
        </w:tc>
        <w:tc>
          <w:tcPr>
            <w:tcW w:w="4394" w:type="dxa"/>
          </w:tcPr>
          <w:p w14:paraId="6BCFB17E">
            <w:pPr>
              <w:spacing w:line="240" w:lineRule="auto"/>
              <w:rPr>
                <w:rFonts w:hint="eastAsia" w:ascii="宋体" w:hAnsi="宋体"/>
                <w:kern w:val="0"/>
                <w:sz w:val="18"/>
                <w:szCs w:val="18"/>
              </w:rPr>
            </w:pPr>
          </w:p>
        </w:tc>
        <w:tc>
          <w:tcPr>
            <w:tcW w:w="1780" w:type="dxa"/>
          </w:tcPr>
          <w:p w14:paraId="19D919A0">
            <w:pPr>
              <w:spacing w:line="240" w:lineRule="auto"/>
              <w:jc w:val="center"/>
              <w:rPr>
                <w:rFonts w:hint="eastAsia" w:ascii="宋体" w:hAnsi="宋体"/>
                <w:kern w:val="0"/>
                <w:sz w:val="18"/>
                <w:szCs w:val="18"/>
              </w:rPr>
            </w:pPr>
            <w:r>
              <w:rPr>
                <w:rFonts w:hint="eastAsia" w:ascii="宋体" w:hAnsi="宋体"/>
                <w:kern w:val="0"/>
                <w:sz w:val="18"/>
                <w:szCs w:val="18"/>
              </w:rPr>
              <w:t>200</w:t>
            </w:r>
          </w:p>
        </w:tc>
      </w:tr>
      <w:tr w14:paraId="25413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2330DE11">
            <w:pPr>
              <w:spacing w:line="240" w:lineRule="auto"/>
              <w:rPr>
                <w:rFonts w:hint="eastAsia" w:ascii="宋体" w:hAnsi="宋体"/>
                <w:kern w:val="0"/>
                <w:sz w:val="18"/>
                <w:szCs w:val="18"/>
              </w:rPr>
            </w:pPr>
          </w:p>
        </w:tc>
        <w:tc>
          <w:tcPr>
            <w:tcW w:w="4394" w:type="dxa"/>
          </w:tcPr>
          <w:p w14:paraId="24C4007A">
            <w:pPr>
              <w:spacing w:line="240" w:lineRule="auto"/>
              <w:rPr>
                <w:rFonts w:hint="eastAsia" w:ascii="宋体" w:hAnsi="宋体"/>
                <w:kern w:val="0"/>
                <w:sz w:val="18"/>
                <w:szCs w:val="18"/>
              </w:rPr>
            </w:pPr>
            <w:r>
              <w:rPr>
                <w:rFonts w:ascii="宋体" w:hAnsi="宋体"/>
                <w:kern w:val="0"/>
                <w:sz w:val="18"/>
                <w:szCs w:val="18"/>
              </w:rPr>
              <w:t>4.1.1 精准定位，确定方向</w:t>
            </w:r>
          </w:p>
        </w:tc>
        <w:tc>
          <w:tcPr>
            <w:tcW w:w="1780" w:type="dxa"/>
          </w:tcPr>
          <w:p w14:paraId="0E531B0B">
            <w:pPr>
              <w:spacing w:line="240" w:lineRule="auto"/>
              <w:jc w:val="center"/>
              <w:rPr>
                <w:rFonts w:hint="eastAsia" w:ascii="宋体" w:hAnsi="宋体"/>
                <w:kern w:val="0"/>
                <w:sz w:val="18"/>
                <w:szCs w:val="18"/>
              </w:rPr>
            </w:pPr>
            <w:r>
              <w:rPr>
                <w:rFonts w:hint="eastAsia" w:ascii="宋体" w:hAnsi="宋体"/>
                <w:kern w:val="0"/>
                <w:sz w:val="18"/>
                <w:szCs w:val="18"/>
              </w:rPr>
              <w:t>50</w:t>
            </w:r>
          </w:p>
        </w:tc>
      </w:tr>
      <w:tr w14:paraId="7053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52C85874">
            <w:pPr>
              <w:spacing w:line="240" w:lineRule="auto"/>
              <w:rPr>
                <w:rFonts w:hint="eastAsia" w:ascii="宋体" w:hAnsi="宋体"/>
                <w:kern w:val="0"/>
                <w:sz w:val="18"/>
                <w:szCs w:val="18"/>
              </w:rPr>
            </w:pPr>
          </w:p>
        </w:tc>
        <w:tc>
          <w:tcPr>
            <w:tcW w:w="4394" w:type="dxa"/>
          </w:tcPr>
          <w:p w14:paraId="6AF62B23">
            <w:pPr>
              <w:spacing w:line="240" w:lineRule="auto"/>
              <w:rPr>
                <w:rFonts w:hint="eastAsia" w:ascii="宋体" w:hAnsi="宋体"/>
                <w:kern w:val="0"/>
                <w:sz w:val="18"/>
                <w:szCs w:val="18"/>
              </w:rPr>
            </w:pPr>
            <w:r>
              <w:rPr>
                <w:rFonts w:ascii="宋体" w:hAnsi="宋体"/>
                <w:kern w:val="0"/>
                <w:sz w:val="18"/>
                <w:szCs w:val="18"/>
              </w:rPr>
              <w:t>4.1.2 文化培育，营造氛围</w:t>
            </w:r>
          </w:p>
        </w:tc>
        <w:tc>
          <w:tcPr>
            <w:tcW w:w="1780" w:type="dxa"/>
          </w:tcPr>
          <w:p w14:paraId="00E1C51F">
            <w:pPr>
              <w:spacing w:line="240" w:lineRule="auto"/>
              <w:jc w:val="center"/>
              <w:rPr>
                <w:rFonts w:hint="eastAsia" w:ascii="宋体" w:hAnsi="宋体"/>
                <w:kern w:val="0"/>
                <w:sz w:val="18"/>
                <w:szCs w:val="18"/>
              </w:rPr>
            </w:pPr>
            <w:r>
              <w:rPr>
                <w:rFonts w:hint="eastAsia" w:ascii="宋体" w:hAnsi="宋体"/>
                <w:kern w:val="0"/>
                <w:sz w:val="18"/>
                <w:szCs w:val="18"/>
              </w:rPr>
              <w:t>50</w:t>
            </w:r>
          </w:p>
        </w:tc>
      </w:tr>
      <w:tr w14:paraId="484C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5C4C5F93">
            <w:pPr>
              <w:spacing w:line="240" w:lineRule="auto"/>
              <w:rPr>
                <w:rFonts w:hint="eastAsia" w:ascii="宋体" w:hAnsi="宋体"/>
                <w:kern w:val="0"/>
                <w:sz w:val="18"/>
                <w:szCs w:val="18"/>
              </w:rPr>
            </w:pPr>
          </w:p>
        </w:tc>
        <w:tc>
          <w:tcPr>
            <w:tcW w:w="4394" w:type="dxa"/>
          </w:tcPr>
          <w:p w14:paraId="78FB819C">
            <w:pPr>
              <w:spacing w:line="240" w:lineRule="auto"/>
              <w:rPr>
                <w:rFonts w:hint="eastAsia" w:ascii="宋体" w:hAnsi="宋体"/>
                <w:kern w:val="0"/>
                <w:sz w:val="18"/>
                <w:szCs w:val="18"/>
              </w:rPr>
            </w:pPr>
            <w:r>
              <w:rPr>
                <w:rFonts w:ascii="宋体" w:hAnsi="宋体"/>
                <w:kern w:val="0"/>
                <w:sz w:val="18"/>
                <w:szCs w:val="18"/>
              </w:rPr>
              <w:t>4.1.3 管理保障，配置优化</w:t>
            </w:r>
          </w:p>
        </w:tc>
        <w:tc>
          <w:tcPr>
            <w:tcW w:w="1780" w:type="dxa"/>
          </w:tcPr>
          <w:p w14:paraId="63A83D7F">
            <w:pPr>
              <w:spacing w:line="240" w:lineRule="auto"/>
              <w:jc w:val="center"/>
              <w:rPr>
                <w:rFonts w:hint="eastAsia" w:ascii="宋体" w:hAnsi="宋体"/>
                <w:kern w:val="0"/>
                <w:sz w:val="18"/>
                <w:szCs w:val="18"/>
              </w:rPr>
            </w:pPr>
            <w:r>
              <w:rPr>
                <w:rFonts w:hint="eastAsia" w:ascii="宋体" w:hAnsi="宋体"/>
                <w:kern w:val="0"/>
                <w:sz w:val="18"/>
                <w:szCs w:val="18"/>
              </w:rPr>
              <w:t>50</w:t>
            </w:r>
          </w:p>
        </w:tc>
      </w:tr>
      <w:tr w14:paraId="3F101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2D61300A">
            <w:pPr>
              <w:spacing w:line="240" w:lineRule="auto"/>
              <w:rPr>
                <w:rFonts w:hint="eastAsia" w:ascii="宋体" w:hAnsi="宋体"/>
                <w:kern w:val="0"/>
                <w:sz w:val="18"/>
                <w:szCs w:val="18"/>
              </w:rPr>
            </w:pPr>
          </w:p>
        </w:tc>
        <w:tc>
          <w:tcPr>
            <w:tcW w:w="4394" w:type="dxa"/>
          </w:tcPr>
          <w:p w14:paraId="047CB3BF">
            <w:pPr>
              <w:spacing w:line="240" w:lineRule="auto"/>
              <w:rPr>
                <w:rFonts w:hint="eastAsia" w:ascii="宋体" w:hAnsi="宋体"/>
                <w:sz w:val="18"/>
                <w:szCs w:val="18"/>
              </w:rPr>
            </w:pPr>
            <w:r>
              <w:rPr>
                <w:rFonts w:hint="eastAsia" w:ascii="宋体" w:hAnsi="宋体"/>
                <w:sz w:val="18"/>
                <w:szCs w:val="18"/>
              </w:rPr>
              <w:t>4.1</w:t>
            </w:r>
            <w:r>
              <w:rPr>
                <w:rFonts w:ascii="宋体" w:hAnsi="宋体"/>
                <w:sz w:val="18"/>
                <w:szCs w:val="18"/>
              </w:rPr>
              <w:t xml:space="preserve">.4 </w:t>
            </w:r>
            <w:r>
              <w:rPr>
                <w:rFonts w:hint="eastAsia" w:ascii="宋体" w:hAnsi="宋体"/>
                <w:sz w:val="18"/>
                <w:szCs w:val="18"/>
              </w:rPr>
              <w:t>绩效评价，持续改进</w:t>
            </w:r>
          </w:p>
        </w:tc>
        <w:tc>
          <w:tcPr>
            <w:tcW w:w="1780" w:type="dxa"/>
          </w:tcPr>
          <w:p w14:paraId="3F085E22">
            <w:pPr>
              <w:spacing w:line="240" w:lineRule="auto"/>
              <w:jc w:val="center"/>
              <w:rPr>
                <w:rFonts w:hint="eastAsia" w:ascii="宋体" w:hAnsi="宋体"/>
                <w:kern w:val="0"/>
                <w:sz w:val="18"/>
                <w:szCs w:val="18"/>
              </w:rPr>
            </w:pPr>
            <w:r>
              <w:rPr>
                <w:rFonts w:hint="eastAsia" w:ascii="宋体" w:hAnsi="宋体"/>
                <w:kern w:val="0"/>
                <w:sz w:val="18"/>
                <w:szCs w:val="18"/>
              </w:rPr>
              <w:t>50</w:t>
            </w:r>
          </w:p>
        </w:tc>
      </w:tr>
      <w:tr w14:paraId="2A10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84BD829">
            <w:pPr>
              <w:spacing w:line="240" w:lineRule="auto"/>
              <w:rPr>
                <w:rFonts w:hint="eastAsia" w:ascii="宋体" w:hAnsi="宋体"/>
                <w:kern w:val="0"/>
                <w:sz w:val="18"/>
                <w:szCs w:val="18"/>
              </w:rPr>
            </w:pPr>
            <w:r>
              <w:rPr>
                <w:rFonts w:hint="eastAsia" w:ascii="宋体" w:hAnsi="宋体"/>
                <w:kern w:val="0"/>
                <w:sz w:val="18"/>
                <w:szCs w:val="18"/>
              </w:rPr>
              <w:t>4.2 关注顾客</w:t>
            </w:r>
          </w:p>
        </w:tc>
        <w:tc>
          <w:tcPr>
            <w:tcW w:w="4394" w:type="dxa"/>
          </w:tcPr>
          <w:p w14:paraId="40B08079">
            <w:pPr>
              <w:spacing w:line="240" w:lineRule="auto"/>
              <w:rPr>
                <w:rFonts w:hint="eastAsia" w:ascii="宋体" w:hAnsi="宋体"/>
                <w:kern w:val="0"/>
                <w:sz w:val="18"/>
                <w:szCs w:val="18"/>
              </w:rPr>
            </w:pPr>
          </w:p>
        </w:tc>
        <w:tc>
          <w:tcPr>
            <w:tcW w:w="1780" w:type="dxa"/>
          </w:tcPr>
          <w:p w14:paraId="4E3D8B28">
            <w:pPr>
              <w:spacing w:line="240" w:lineRule="auto"/>
              <w:jc w:val="center"/>
              <w:rPr>
                <w:rFonts w:hint="eastAsia" w:ascii="宋体" w:hAnsi="宋体"/>
                <w:kern w:val="0"/>
                <w:sz w:val="18"/>
                <w:szCs w:val="18"/>
              </w:rPr>
            </w:pPr>
            <w:r>
              <w:rPr>
                <w:rFonts w:hint="eastAsia" w:ascii="宋体" w:hAnsi="宋体"/>
                <w:kern w:val="0"/>
                <w:sz w:val="18"/>
                <w:szCs w:val="18"/>
              </w:rPr>
              <w:t>200</w:t>
            </w:r>
          </w:p>
        </w:tc>
      </w:tr>
      <w:tr w14:paraId="5DBC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501727A2">
            <w:pPr>
              <w:spacing w:line="240" w:lineRule="auto"/>
              <w:rPr>
                <w:rFonts w:hint="eastAsia" w:ascii="宋体" w:hAnsi="宋体"/>
                <w:kern w:val="0"/>
                <w:sz w:val="18"/>
                <w:szCs w:val="18"/>
              </w:rPr>
            </w:pPr>
          </w:p>
        </w:tc>
        <w:tc>
          <w:tcPr>
            <w:tcW w:w="4394" w:type="dxa"/>
          </w:tcPr>
          <w:p w14:paraId="23584027">
            <w:pPr>
              <w:spacing w:line="240" w:lineRule="auto"/>
              <w:rPr>
                <w:rFonts w:hint="eastAsia" w:ascii="宋体" w:hAnsi="宋体"/>
                <w:sz w:val="18"/>
                <w:szCs w:val="18"/>
              </w:rPr>
            </w:pPr>
            <w:r>
              <w:rPr>
                <w:rFonts w:hint="eastAsia" w:ascii="宋体" w:hAnsi="宋体"/>
                <w:sz w:val="18"/>
                <w:szCs w:val="18"/>
              </w:rPr>
              <w:t>4.2.1</w:t>
            </w:r>
            <w:r>
              <w:rPr>
                <w:rFonts w:ascii="宋体" w:hAnsi="宋体"/>
                <w:sz w:val="18"/>
                <w:szCs w:val="18"/>
              </w:rPr>
              <w:t xml:space="preserve"> </w:t>
            </w:r>
            <w:r>
              <w:rPr>
                <w:rFonts w:hint="eastAsia" w:ascii="宋体" w:hAnsi="宋体"/>
                <w:sz w:val="18"/>
                <w:szCs w:val="18"/>
              </w:rPr>
              <w:t>顾客倾听</w:t>
            </w:r>
          </w:p>
        </w:tc>
        <w:tc>
          <w:tcPr>
            <w:tcW w:w="1780" w:type="dxa"/>
          </w:tcPr>
          <w:p w14:paraId="0BA1EAE4">
            <w:pPr>
              <w:spacing w:line="240" w:lineRule="auto"/>
              <w:jc w:val="center"/>
              <w:rPr>
                <w:rFonts w:hint="eastAsia" w:ascii="宋体" w:hAnsi="宋体"/>
                <w:kern w:val="0"/>
                <w:sz w:val="18"/>
                <w:szCs w:val="18"/>
              </w:rPr>
            </w:pPr>
            <w:r>
              <w:rPr>
                <w:rFonts w:hint="eastAsia" w:ascii="宋体" w:hAnsi="宋体"/>
                <w:kern w:val="0"/>
                <w:sz w:val="18"/>
                <w:szCs w:val="18"/>
              </w:rPr>
              <w:t>60</w:t>
            </w:r>
          </w:p>
        </w:tc>
      </w:tr>
      <w:tr w14:paraId="316B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3503BED5">
            <w:pPr>
              <w:spacing w:line="240" w:lineRule="auto"/>
              <w:rPr>
                <w:rFonts w:hint="eastAsia" w:ascii="宋体" w:hAnsi="宋体"/>
                <w:kern w:val="0"/>
                <w:sz w:val="18"/>
                <w:szCs w:val="18"/>
              </w:rPr>
            </w:pPr>
          </w:p>
        </w:tc>
        <w:tc>
          <w:tcPr>
            <w:tcW w:w="4394" w:type="dxa"/>
          </w:tcPr>
          <w:p w14:paraId="6BBCC260">
            <w:pPr>
              <w:spacing w:line="240" w:lineRule="auto"/>
              <w:rPr>
                <w:rFonts w:hint="eastAsia" w:ascii="宋体" w:hAnsi="宋体"/>
                <w:sz w:val="18"/>
                <w:szCs w:val="18"/>
              </w:rPr>
            </w:pPr>
            <w:r>
              <w:rPr>
                <w:rFonts w:hint="eastAsia" w:ascii="宋体" w:hAnsi="宋体"/>
                <w:sz w:val="18"/>
                <w:szCs w:val="18"/>
              </w:rPr>
              <w:t>4.2.2 顾客关系管理</w:t>
            </w:r>
          </w:p>
        </w:tc>
        <w:tc>
          <w:tcPr>
            <w:tcW w:w="1780" w:type="dxa"/>
          </w:tcPr>
          <w:p w14:paraId="4379C447">
            <w:pPr>
              <w:spacing w:line="240" w:lineRule="auto"/>
              <w:jc w:val="center"/>
              <w:rPr>
                <w:rFonts w:hint="eastAsia" w:ascii="宋体" w:hAnsi="宋体"/>
                <w:kern w:val="0"/>
                <w:sz w:val="18"/>
                <w:szCs w:val="18"/>
              </w:rPr>
            </w:pPr>
            <w:r>
              <w:rPr>
                <w:rFonts w:hint="eastAsia" w:ascii="宋体" w:hAnsi="宋体"/>
                <w:kern w:val="0"/>
                <w:sz w:val="18"/>
                <w:szCs w:val="18"/>
              </w:rPr>
              <w:t>80</w:t>
            </w:r>
          </w:p>
        </w:tc>
      </w:tr>
      <w:tr w14:paraId="0EE7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099BFBC5">
            <w:pPr>
              <w:spacing w:line="240" w:lineRule="auto"/>
              <w:rPr>
                <w:rFonts w:hint="eastAsia" w:ascii="宋体" w:hAnsi="宋体"/>
                <w:kern w:val="0"/>
                <w:sz w:val="18"/>
                <w:szCs w:val="18"/>
              </w:rPr>
            </w:pPr>
          </w:p>
        </w:tc>
        <w:tc>
          <w:tcPr>
            <w:tcW w:w="4394" w:type="dxa"/>
          </w:tcPr>
          <w:p w14:paraId="401679E0">
            <w:pPr>
              <w:spacing w:line="240" w:lineRule="auto"/>
              <w:rPr>
                <w:rFonts w:hint="eastAsia" w:ascii="宋体" w:hAnsi="宋体"/>
                <w:sz w:val="18"/>
                <w:szCs w:val="18"/>
              </w:rPr>
            </w:pPr>
            <w:r>
              <w:rPr>
                <w:rFonts w:hint="eastAsia" w:ascii="宋体" w:hAnsi="宋体"/>
                <w:sz w:val="18"/>
                <w:szCs w:val="18"/>
              </w:rPr>
              <w:t>4.2.3 顾客满意测量</w:t>
            </w:r>
          </w:p>
        </w:tc>
        <w:tc>
          <w:tcPr>
            <w:tcW w:w="1780" w:type="dxa"/>
          </w:tcPr>
          <w:p w14:paraId="394E60E4">
            <w:pPr>
              <w:spacing w:line="240" w:lineRule="auto"/>
              <w:jc w:val="center"/>
              <w:rPr>
                <w:rFonts w:hint="eastAsia" w:ascii="宋体" w:hAnsi="宋体"/>
                <w:kern w:val="0"/>
                <w:sz w:val="18"/>
                <w:szCs w:val="18"/>
              </w:rPr>
            </w:pPr>
            <w:r>
              <w:rPr>
                <w:rFonts w:hint="eastAsia" w:ascii="宋体" w:hAnsi="宋体"/>
                <w:kern w:val="0"/>
                <w:sz w:val="18"/>
                <w:szCs w:val="18"/>
              </w:rPr>
              <w:t>60</w:t>
            </w:r>
          </w:p>
        </w:tc>
      </w:tr>
      <w:tr w14:paraId="6190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DE96C12">
            <w:pPr>
              <w:spacing w:line="240" w:lineRule="auto"/>
              <w:rPr>
                <w:rFonts w:hint="eastAsia" w:ascii="宋体" w:hAnsi="宋体"/>
                <w:kern w:val="0"/>
                <w:sz w:val="18"/>
                <w:szCs w:val="18"/>
              </w:rPr>
            </w:pPr>
            <w:r>
              <w:rPr>
                <w:rFonts w:hint="eastAsia" w:ascii="宋体" w:hAnsi="宋体"/>
                <w:kern w:val="0"/>
                <w:sz w:val="18"/>
                <w:szCs w:val="18"/>
              </w:rPr>
              <w:t>4.3 关注员工</w:t>
            </w:r>
          </w:p>
        </w:tc>
        <w:tc>
          <w:tcPr>
            <w:tcW w:w="4394" w:type="dxa"/>
          </w:tcPr>
          <w:p w14:paraId="2EE3E680">
            <w:pPr>
              <w:spacing w:line="240" w:lineRule="auto"/>
              <w:rPr>
                <w:rFonts w:hint="eastAsia" w:ascii="宋体" w:hAnsi="宋体"/>
                <w:b/>
                <w:bCs/>
                <w:sz w:val="18"/>
                <w:szCs w:val="18"/>
              </w:rPr>
            </w:pPr>
          </w:p>
        </w:tc>
        <w:tc>
          <w:tcPr>
            <w:tcW w:w="1780" w:type="dxa"/>
          </w:tcPr>
          <w:p w14:paraId="780E8EFE">
            <w:pPr>
              <w:spacing w:line="240" w:lineRule="auto"/>
              <w:jc w:val="center"/>
              <w:rPr>
                <w:rFonts w:hint="eastAsia" w:ascii="宋体" w:hAnsi="宋体"/>
                <w:kern w:val="0"/>
                <w:sz w:val="18"/>
                <w:szCs w:val="18"/>
              </w:rPr>
            </w:pPr>
            <w:r>
              <w:rPr>
                <w:rFonts w:hint="eastAsia" w:ascii="宋体" w:hAnsi="宋体"/>
                <w:kern w:val="0"/>
                <w:sz w:val="18"/>
                <w:szCs w:val="18"/>
              </w:rPr>
              <w:t>200</w:t>
            </w:r>
          </w:p>
        </w:tc>
      </w:tr>
      <w:tr w14:paraId="4841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053B48E7">
            <w:pPr>
              <w:spacing w:line="240" w:lineRule="auto"/>
              <w:rPr>
                <w:rFonts w:hint="eastAsia" w:ascii="宋体" w:hAnsi="宋体"/>
                <w:kern w:val="0"/>
                <w:sz w:val="18"/>
                <w:szCs w:val="18"/>
              </w:rPr>
            </w:pPr>
          </w:p>
        </w:tc>
        <w:tc>
          <w:tcPr>
            <w:tcW w:w="4394" w:type="dxa"/>
          </w:tcPr>
          <w:p w14:paraId="4E686F6D">
            <w:pPr>
              <w:spacing w:line="240" w:lineRule="auto"/>
              <w:rPr>
                <w:rFonts w:hint="eastAsia" w:ascii="宋体" w:hAnsi="宋体"/>
                <w:sz w:val="18"/>
                <w:szCs w:val="18"/>
              </w:rPr>
            </w:pPr>
            <w:r>
              <w:rPr>
                <w:rFonts w:hint="eastAsia" w:ascii="宋体" w:hAnsi="宋体"/>
                <w:sz w:val="18"/>
                <w:szCs w:val="18"/>
              </w:rPr>
              <w:t>4.3.1 员工学习和发展</w:t>
            </w:r>
          </w:p>
        </w:tc>
        <w:tc>
          <w:tcPr>
            <w:tcW w:w="1780" w:type="dxa"/>
          </w:tcPr>
          <w:p w14:paraId="17879A91">
            <w:pPr>
              <w:spacing w:line="240" w:lineRule="auto"/>
              <w:jc w:val="center"/>
              <w:rPr>
                <w:rFonts w:hint="eastAsia" w:ascii="宋体" w:hAnsi="宋体"/>
                <w:kern w:val="0"/>
                <w:sz w:val="18"/>
                <w:szCs w:val="18"/>
              </w:rPr>
            </w:pPr>
            <w:r>
              <w:rPr>
                <w:rFonts w:hint="eastAsia" w:ascii="宋体" w:hAnsi="宋体"/>
                <w:kern w:val="0"/>
                <w:sz w:val="18"/>
                <w:szCs w:val="18"/>
              </w:rPr>
              <w:t>40</w:t>
            </w:r>
          </w:p>
        </w:tc>
      </w:tr>
      <w:tr w14:paraId="525A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10A7D79C">
            <w:pPr>
              <w:spacing w:line="240" w:lineRule="auto"/>
              <w:rPr>
                <w:rFonts w:hint="eastAsia" w:ascii="宋体" w:hAnsi="宋体"/>
                <w:kern w:val="0"/>
                <w:sz w:val="18"/>
                <w:szCs w:val="18"/>
              </w:rPr>
            </w:pPr>
          </w:p>
        </w:tc>
        <w:tc>
          <w:tcPr>
            <w:tcW w:w="4394" w:type="dxa"/>
          </w:tcPr>
          <w:p w14:paraId="12072915">
            <w:pPr>
              <w:spacing w:line="240" w:lineRule="auto"/>
              <w:rPr>
                <w:rFonts w:hint="eastAsia" w:ascii="宋体" w:hAnsi="宋体"/>
                <w:sz w:val="18"/>
                <w:szCs w:val="18"/>
              </w:rPr>
            </w:pPr>
            <w:r>
              <w:rPr>
                <w:rFonts w:hint="eastAsia" w:ascii="宋体" w:hAnsi="宋体"/>
                <w:sz w:val="18"/>
                <w:szCs w:val="18"/>
              </w:rPr>
              <w:t>4.3.2 沟通和授权</w:t>
            </w:r>
          </w:p>
        </w:tc>
        <w:tc>
          <w:tcPr>
            <w:tcW w:w="1780" w:type="dxa"/>
          </w:tcPr>
          <w:p w14:paraId="37BFC0F4">
            <w:pPr>
              <w:spacing w:line="240" w:lineRule="auto"/>
              <w:jc w:val="center"/>
              <w:rPr>
                <w:rFonts w:hint="eastAsia" w:ascii="宋体" w:hAnsi="宋体"/>
                <w:kern w:val="0"/>
                <w:sz w:val="18"/>
                <w:szCs w:val="18"/>
              </w:rPr>
            </w:pPr>
            <w:r>
              <w:rPr>
                <w:rFonts w:hint="eastAsia" w:ascii="宋体" w:hAnsi="宋体"/>
                <w:kern w:val="0"/>
                <w:sz w:val="18"/>
                <w:szCs w:val="18"/>
              </w:rPr>
              <w:t>40</w:t>
            </w:r>
          </w:p>
        </w:tc>
      </w:tr>
      <w:tr w14:paraId="1A02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65376EB">
            <w:pPr>
              <w:spacing w:line="240" w:lineRule="auto"/>
              <w:rPr>
                <w:rFonts w:hint="eastAsia" w:ascii="宋体" w:hAnsi="宋体"/>
                <w:kern w:val="0"/>
                <w:sz w:val="18"/>
                <w:szCs w:val="18"/>
              </w:rPr>
            </w:pPr>
          </w:p>
        </w:tc>
        <w:tc>
          <w:tcPr>
            <w:tcW w:w="4394" w:type="dxa"/>
          </w:tcPr>
          <w:p w14:paraId="2B05F1D6">
            <w:pPr>
              <w:spacing w:line="240" w:lineRule="auto"/>
              <w:rPr>
                <w:rFonts w:hint="eastAsia" w:ascii="宋体" w:hAnsi="宋体"/>
                <w:sz w:val="18"/>
                <w:szCs w:val="18"/>
              </w:rPr>
            </w:pPr>
            <w:r>
              <w:rPr>
                <w:rFonts w:hint="eastAsia" w:ascii="宋体" w:hAnsi="宋体"/>
                <w:sz w:val="18"/>
                <w:szCs w:val="18"/>
              </w:rPr>
              <w:t>4.3.3 员工绩效管理</w:t>
            </w:r>
          </w:p>
        </w:tc>
        <w:tc>
          <w:tcPr>
            <w:tcW w:w="1780" w:type="dxa"/>
          </w:tcPr>
          <w:p w14:paraId="1E1B57C4">
            <w:pPr>
              <w:spacing w:line="240" w:lineRule="auto"/>
              <w:jc w:val="center"/>
              <w:rPr>
                <w:rFonts w:hint="eastAsia" w:ascii="宋体" w:hAnsi="宋体"/>
                <w:kern w:val="0"/>
                <w:sz w:val="18"/>
                <w:szCs w:val="18"/>
              </w:rPr>
            </w:pPr>
            <w:r>
              <w:rPr>
                <w:rFonts w:hint="eastAsia" w:ascii="宋体" w:hAnsi="宋体"/>
                <w:kern w:val="0"/>
                <w:sz w:val="18"/>
                <w:szCs w:val="18"/>
              </w:rPr>
              <w:t>50</w:t>
            </w:r>
          </w:p>
        </w:tc>
      </w:tr>
      <w:tr w14:paraId="54AD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751E0EC0">
            <w:pPr>
              <w:spacing w:line="240" w:lineRule="auto"/>
              <w:rPr>
                <w:rFonts w:hint="eastAsia" w:ascii="宋体" w:hAnsi="宋体"/>
                <w:kern w:val="0"/>
                <w:sz w:val="18"/>
                <w:szCs w:val="18"/>
              </w:rPr>
            </w:pPr>
          </w:p>
        </w:tc>
        <w:tc>
          <w:tcPr>
            <w:tcW w:w="4394" w:type="dxa"/>
          </w:tcPr>
          <w:p w14:paraId="1D28C5B3">
            <w:pPr>
              <w:spacing w:line="240" w:lineRule="auto"/>
              <w:rPr>
                <w:rFonts w:hint="eastAsia" w:ascii="宋体" w:hAnsi="宋体"/>
                <w:sz w:val="18"/>
                <w:szCs w:val="18"/>
              </w:rPr>
            </w:pPr>
            <w:r>
              <w:rPr>
                <w:rFonts w:hint="eastAsia" w:ascii="宋体" w:hAnsi="宋体"/>
                <w:sz w:val="18"/>
                <w:szCs w:val="18"/>
              </w:rPr>
              <w:t>4.3.4 员工权益</w:t>
            </w:r>
          </w:p>
        </w:tc>
        <w:tc>
          <w:tcPr>
            <w:tcW w:w="1780" w:type="dxa"/>
          </w:tcPr>
          <w:p w14:paraId="403537DF">
            <w:pPr>
              <w:spacing w:line="240" w:lineRule="auto"/>
              <w:jc w:val="center"/>
              <w:rPr>
                <w:rFonts w:hint="eastAsia" w:ascii="宋体" w:hAnsi="宋体"/>
                <w:kern w:val="0"/>
                <w:sz w:val="18"/>
                <w:szCs w:val="18"/>
              </w:rPr>
            </w:pPr>
            <w:r>
              <w:rPr>
                <w:rFonts w:hint="eastAsia" w:ascii="宋体" w:hAnsi="宋体"/>
                <w:kern w:val="0"/>
                <w:sz w:val="18"/>
                <w:szCs w:val="18"/>
              </w:rPr>
              <w:t>30</w:t>
            </w:r>
          </w:p>
        </w:tc>
      </w:tr>
      <w:tr w14:paraId="33045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16EFEEEE">
            <w:pPr>
              <w:spacing w:line="240" w:lineRule="auto"/>
              <w:rPr>
                <w:rFonts w:hint="eastAsia" w:ascii="宋体" w:hAnsi="宋体"/>
                <w:kern w:val="0"/>
                <w:sz w:val="18"/>
                <w:szCs w:val="18"/>
              </w:rPr>
            </w:pPr>
          </w:p>
        </w:tc>
        <w:tc>
          <w:tcPr>
            <w:tcW w:w="4394" w:type="dxa"/>
          </w:tcPr>
          <w:p w14:paraId="0DADD0B8">
            <w:pPr>
              <w:spacing w:line="240" w:lineRule="auto"/>
              <w:rPr>
                <w:rFonts w:hint="eastAsia" w:ascii="宋体" w:hAnsi="宋体"/>
                <w:sz w:val="18"/>
                <w:szCs w:val="18"/>
              </w:rPr>
            </w:pPr>
            <w:r>
              <w:rPr>
                <w:rFonts w:hint="eastAsia" w:ascii="宋体" w:hAnsi="宋体"/>
                <w:sz w:val="18"/>
                <w:szCs w:val="18"/>
              </w:rPr>
              <w:t>4.3.5 员工满意度与敬业度</w:t>
            </w:r>
          </w:p>
        </w:tc>
        <w:tc>
          <w:tcPr>
            <w:tcW w:w="1780" w:type="dxa"/>
          </w:tcPr>
          <w:p w14:paraId="602CD56B">
            <w:pPr>
              <w:spacing w:line="240" w:lineRule="auto"/>
              <w:jc w:val="center"/>
              <w:rPr>
                <w:rFonts w:hint="eastAsia" w:ascii="宋体" w:hAnsi="宋体"/>
                <w:kern w:val="0"/>
                <w:sz w:val="18"/>
                <w:szCs w:val="18"/>
              </w:rPr>
            </w:pPr>
            <w:r>
              <w:rPr>
                <w:rFonts w:hint="eastAsia" w:ascii="宋体" w:hAnsi="宋体"/>
                <w:kern w:val="0"/>
                <w:sz w:val="18"/>
                <w:szCs w:val="18"/>
              </w:rPr>
              <w:t>40</w:t>
            </w:r>
          </w:p>
        </w:tc>
      </w:tr>
      <w:tr w14:paraId="6D337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49246692">
            <w:pPr>
              <w:spacing w:line="240" w:lineRule="auto"/>
              <w:rPr>
                <w:rFonts w:hint="eastAsia" w:ascii="宋体" w:hAnsi="宋体"/>
                <w:kern w:val="0"/>
                <w:sz w:val="18"/>
                <w:szCs w:val="18"/>
              </w:rPr>
            </w:pPr>
            <w:r>
              <w:rPr>
                <w:rFonts w:hint="eastAsia" w:ascii="宋体" w:hAnsi="宋体"/>
                <w:kern w:val="0"/>
                <w:sz w:val="18"/>
                <w:szCs w:val="18"/>
              </w:rPr>
              <w:t>4.4 高效运行</w:t>
            </w:r>
          </w:p>
        </w:tc>
        <w:tc>
          <w:tcPr>
            <w:tcW w:w="4394" w:type="dxa"/>
          </w:tcPr>
          <w:p w14:paraId="147FB8C6">
            <w:pPr>
              <w:spacing w:line="240" w:lineRule="auto"/>
              <w:rPr>
                <w:rFonts w:hint="eastAsia" w:ascii="宋体" w:hAnsi="宋体"/>
                <w:sz w:val="18"/>
                <w:szCs w:val="18"/>
              </w:rPr>
            </w:pPr>
          </w:p>
        </w:tc>
        <w:tc>
          <w:tcPr>
            <w:tcW w:w="1780" w:type="dxa"/>
          </w:tcPr>
          <w:p w14:paraId="02E02D38">
            <w:pPr>
              <w:spacing w:line="240" w:lineRule="auto"/>
              <w:jc w:val="center"/>
              <w:rPr>
                <w:rFonts w:hint="eastAsia" w:ascii="宋体" w:hAnsi="宋体"/>
                <w:kern w:val="0"/>
                <w:sz w:val="18"/>
                <w:szCs w:val="18"/>
              </w:rPr>
            </w:pPr>
            <w:r>
              <w:rPr>
                <w:rFonts w:hint="eastAsia" w:ascii="宋体" w:hAnsi="宋体"/>
                <w:kern w:val="0"/>
                <w:sz w:val="18"/>
                <w:szCs w:val="18"/>
              </w:rPr>
              <w:t>200</w:t>
            </w:r>
          </w:p>
        </w:tc>
      </w:tr>
      <w:tr w14:paraId="086D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9F79466">
            <w:pPr>
              <w:spacing w:line="240" w:lineRule="auto"/>
              <w:rPr>
                <w:rFonts w:hint="eastAsia" w:ascii="宋体" w:hAnsi="宋体"/>
                <w:kern w:val="0"/>
                <w:sz w:val="18"/>
                <w:szCs w:val="18"/>
              </w:rPr>
            </w:pPr>
          </w:p>
        </w:tc>
        <w:tc>
          <w:tcPr>
            <w:tcW w:w="4394" w:type="dxa"/>
          </w:tcPr>
          <w:p w14:paraId="5A050C0F">
            <w:pPr>
              <w:spacing w:line="240" w:lineRule="auto"/>
              <w:rPr>
                <w:rFonts w:hint="eastAsia" w:ascii="宋体" w:hAnsi="宋体"/>
                <w:sz w:val="18"/>
                <w:szCs w:val="18"/>
              </w:rPr>
            </w:pPr>
            <w:r>
              <w:rPr>
                <w:rFonts w:ascii="宋体" w:hAnsi="宋体"/>
                <w:sz w:val="18"/>
                <w:szCs w:val="18"/>
              </w:rPr>
              <w:t>4.4.1 运行体系</w:t>
            </w:r>
          </w:p>
        </w:tc>
        <w:tc>
          <w:tcPr>
            <w:tcW w:w="1780" w:type="dxa"/>
          </w:tcPr>
          <w:p w14:paraId="0EAC70B9">
            <w:pPr>
              <w:spacing w:line="240" w:lineRule="auto"/>
              <w:jc w:val="center"/>
              <w:rPr>
                <w:rFonts w:hint="eastAsia" w:ascii="宋体" w:hAnsi="宋体"/>
                <w:kern w:val="0"/>
                <w:sz w:val="18"/>
                <w:szCs w:val="18"/>
              </w:rPr>
            </w:pPr>
            <w:r>
              <w:rPr>
                <w:rFonts w:hint="eastAsia" w:ascii="宋体" w:hAnsi="宋体"/>
                <w:kern w:val="0"/>
                <w:sz w:val="18"/>
                <w:szCs w:val="18"/>
              </w:rPr>
              <w:t>60</w:t>
            </w:r>
          </w:p>
        </w:tc>
      </w:tr>
      <w:tr w14:paraId="5B14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5B430AA5">
            <w:pPr>
              <w:spacing w:line="240" w:lineRule="auto"/>
              <w:rPr>
                <w:rFonts w:hint="eastAsia" w:ascii="宋体" w:hAnsi="宋体"/>
                <w:kern w:val="0"/>
                <w:sz w:val="18"/>
                <w:szCs w:val="18"/>
              </w:rPr>
            </w:pPr>
          </w:p>
        </w:tc>
        <w:tc>
          <w:tcPr>
            <w:tcW w:w="4394" w:type="dxa"/>
          </w:tcPr>
          <w:p w14:paraId="35FC39AD">
            <w:pPr>
              <w:spacing w:line="240" w:lineRule="auto"/>
              <w:rPr>
                <w:rFonts w:hint="eastAsia" w:ascii="宋体" w:hAnsi="宋体"/>
                <w:sz w:val="18"/>
                <w:szCs w:val="18"/>
              </w:rPr>
            </w:pPr>
            <w:r>
              <w:rPr>
                <w:rFonts w:ascii="宋体" w:hAnsi="宋体"/>
                <w:sz w:val="18"/>
                <w:szCs w:val="18"/>
              </w:rPr>
              <w:t>4.4.1 运行</w:t>
            </w:r>
            <w:r>
              <w:rPr>
                <w:rFonts w:hint="eastAsia" w:ascii="宋体" w:hAnsi="宋体"/>
                <w:sz w:val="18"/>
                <w:szCs w:val="18"/>
              </w:rPr>
              <w:t>管理</w:t>
            </w:r>
          </w:p>
        </w:tc>
        <w:tc>
          <w:tcPr>
            <w:tcW w:w="1780" w:type="dxa"/>
          </w:tcPr>
          <w:p w14:paraId="283D849B">
            <w:pPr>
              <w:spacing w:line="240" w:lineRule="auto"/>
              <w:jc w:val="center"/>
              <w:rPr>
                <w:rFonts w:hint="eastAsia" w:ascii="宋体" w:hAnsi="宋体"/>
                <w:kern w:val="0"/>
                <w:sz w:val="18"/>
                <w:szCs w:val="18"/>
              </w:rPr>
            </w:pPr>
            <w:r>
              <w:rPr>
                <w:rFonts w:hint="eastAsia" w:ascii="宋体" w:hAnsi="宋体"/>
                <w:kern w:val="0"/>
                <w:sz w:val="18"/>
                <w:szCs w:val="18"/>
              </w:rPr>
              <w:t>80</w:t>
            </w:r>
          </w:p>
        </w:tc>
      </w:tr>
      <w:tr w14:paraId="2E4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4D76D30D">
            <w:pPr>
              <w:spacing w:line="240" w:lineRule="auto"/>
              <w:rPr>
                <w:rFonts w:hint="eastAsia" w:ascii="宋体" w:hAnsi="宋体"/>
                <w:kern w:val="0"/>
                <w:sz w:val="18"/>
                <w:szCs w:val="18"/>
              </w:rPr>
            </w:pPr>
          </w:p>
        </w:tc>
        <w:tc>
          <w:tcPr>
            <w:tcW w:w="4394" w:type="dxa"/>
          </w:tcPr>
          <w:p w14:paraId="628B6E2A">
            <w:pPr>
              <w:spacing w:line="240" w:lineRule="auto"/>
              <w:rPr>
                <w:rFonts w:hint="eastAsia" w:ascii="宋体" w:hAnsi="宋体"/>
                <w:sz w:val="18"/>
                <w:szCs w:val="18"/>
              </w:rPr>
            </w:pPr>
            <w:r>
              <w:rPr>
                <w:rFonts w:ascii="宋体" w:hAnsi="宋体"/>
                <w:sz w:val="18"/>
                <w:szCs w:val="18"/>
              </w:rPr>
              <w:t xml:space="preserve">4.4.1 </w:t>
            </w:r>
            <w:r>
              <w:rPr>
                <w:rFonts w:hint="eastAsia" w:ascii="宋体" w:hAnsi="宋体"/>
                <w:sz w:val="18"/>
                <w:szCs w:val="18"/>
              </w:rPr>
              <w:t>改革创新</w:t>
            </w:r>
          </w:p>
        </w:tc>
        <w:tc>
          <w:tcPr>
            <w:tcW w:w="1780" w:type="dxa"/>
          </w:tcPr>
          <w:p w14:paraId="1A0E364C">
            <w:pPr>
              <w:spacing w:line="240" w:lineRule="auto"/>
              <w:jc w:val="center"/>
              <w:rPr>
                <w:rFonts w:hint="eastAsia" w:ascii="宋体" w:hAnsi="宋体"/>
                <w:kern w:val="0"/>
                <w:sz w:val="18"/>
                <w:szCs w:val="18"/>
              </w:rPr>
            </w:pPr>
            <w:r>
              <w:rPr>
                <w:rFonts w:hint="eastAsia" w:ascii="宋体" w:hAnsi="宋体"/>
                <w:kern w:val="0"/>
                <w:sz w:val="18"/>
                <w:szCs w:val="18"/>
              </w:rPr>
              <w:t>60</w:t>
            </w:r>
          </w:p>
        </w:tc>
      </w:tr>
      <w:tr w14:paraId="4550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122" w:type="dxa"/>
          </w:tcPr>
          <w:p w14:paraId="47686ED0">
            <w:pPr>
              <w:spacing w:line="240" w:lineRule="auto"/>
              <w:rPr>
                <w:rFonts w:hint="eastAsia" w:ascii="宋体" w:hAnsi="宋体"/>
                <w:kern w:val="0"/>
                <w:sz w:val="18"/>
                <w:szCs w:val="18"/>
              </w:rPr>
            </w:pPr>
            <w:r>
              <w:rPr>
                <w:rFonts w:hint="eastAsia" w:ascii="宋体" w:hAnsi="宋体"/>
                <w:kern w:val="0"/>
                <w:sz w:val="18"/>
                <w:szCs w:val="18"/>
              </w:rPr>
              <w:t>4.5 绩效结果</w:t>
            </w:r>
          </w:p>
        </w:tc>
        <w:tc>
          <w:tcPr>
            <w:tcW w:w="4394" w:type="dxa"/>
          </w:tcPr>
          <w:p w14:paraId="0C7004B2">
            <w:pPr>
              <w:spacing w:line="240" w:lineRule="auto"/>
              <w:rPr>
                <w:rFonts w:hint="eastAsia" w:ascii="宋体" w:hAnsi="宋体"/>
                <w:b/>
                <w:bCs/>
                <w:sz w:val="18"/>
                <w:szCs w:val="18"/>
              </w:rPr>
            </w:pPr>
          </w:p>
        </w:tc>
        <w:tc>
          <w:tcPr>
            <w:tcW w:w="1780" w:type="dxa"/>
          </w:tcPr>
          <w:p w14:paraId="4070E00E">
            <w:pPr>
              <w:spacing w:line="240" w:lineRule="auto"/>
              <w:jc w:val="center"/>
              <w:rPr>
                <w:rFonts w:hint="eastAsia" w:ascii="宋体" w:hAnsi="宋体"/>
                <w:kern w:val="0"/>
                <w:sz w:val="18"/>
                <w:szCs w:val="18"/>
              </w:rPr>
            </w:pPr>
            <w:r>
              <w:rPr>
                <w:rFonts w:hint="eastAsia" w:ascii="宋体" w:hAnsi="宋体"/>
                <w:kern w:val="0"/>
                <w:sz w:val="18"/>
                <w:szCs w:val="18"/>
              </w:rPr>
              <w:t>200</w:t>
            </w:r>
          </w:p>
        </w:tc>
      </w:tr>
      <w:tr w14:paraId="2D96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33A175C2">
            <w:pPr>
              <w:spacing w:line="240" w:lineRule="auto"/>
              <w:rPr>
                <w:rFonts w:hint="eastAsia" w:ascii="宋体" w:hAnsi="宋体"/>
                <w:kern w:val="0"/>
                <w:sz w:val="18"/>
                <w:szCs w:val="18"/>
              </w:rPr>
            </w:pPr>
          </w:p>
        </w:tc>
        <w:tc>
          <w:tcPr>
            <w:tcW w:w="4394" w:type="dxa"/>
          </w:tcPr>
          <w:p w14:paraId="542F508B">
            <w:pPr>
              <w:spacing w:line="240" w:lineRule="auto"/>
              <w:rPr>
                <w:rFonts w:hint="eastAsia" w:ascii="宋体" w:hAnsi="宋体"/>
                <w:sz w:val="18"/>
                <w:szCs w:val="18"/>
              </w:rPr>
            </w:pPr>
            <w:r>
              <w:rPr>
                <w:rFonts w:hint="eastAsia" w:ascii="宋体" w:hAnsi="宋体"/>
                <w:sz w:val="18"/>
                <w:szCs w:val="18"/>
              </w:rPr>
              <w:t>4.5.1 领导作用的结果</w:t>
            </w:r>
          </w:p>
        </w:tc>
        <w:tc>
          <w:tcPr>
            <w:tcW w:w="1780" w:type="dxa"/>
          </w:tcPr>
          <w:p w14:paraId="3631BFC2">
            <w:pPr>
              <w:spacing w:line="240" w:lineRule="auto"/>
              <w:jc w:val="center"/>
              <w:rPr>
                <w:rFonts w:hint="eastAsia" w:ascii="宋体" w:hAnsi="宋体"/>
                <w:kern w:val="0"/>
                <w:sz w:val="18"/>
                <w:szCs w:val="18"/>
              </w:rPr>
            </w:pPr>
            <w:r>
              <w:rPr>
                <w:rFonts w:hint="eastAsia" w:ascii="宋体" w:hAnsi="宋体"/>
                <w:kern w:val="0"/>
                <w:sz w:val="18"/>
                <w:szCs w:val="18"/>
              </w:rPr>
              <w:t>40</w:t>
            </w:r>
          </w:p>
        </w:tc>
      </w:tr>
      <w:tr w14:paraId="253E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7BCC5851">
            <w:pPr>
              <w:spacing w:line="240" w:lineRule="auto"/>
              <w:rPr>
                <w:rFonts w:hint="eastAsia" w:ascii="宋体" w:hAnsi="宋体"/>
                <w:kern w:val="0"/>
                <w:sz w:val="18"/>
                <w:szCs w:val="18"/>
              </w:rPr>
            </w:pPr>
          </w:p>
        </w:tc>
        <w:tc>
          <w:tcPr>
            <w:tcW w:w="4394" w:type="dxa"/>
          </w:tcPr>
          <w:p w14:paraId="69651721">
            <w:pPr>
              <w:spacing w:line="240" w:lineRule="auto"/>
              <w:rPr>
                <w:rFonts w:hint="eastAsia" w:ascii="宋体" w:hAnsi="宋体"/>
                <w:sz w:val="18"/>
                <w:szCs w:val="18"/>
              </w:rPr>
            </w:pPr>
            <w:r>
              <w:rPr>
                <w:rFonts w:hint="eastAsia" w:ascii="宋体" w:hAnsi="宋体"/>
                <w:sz w:val="18"/>
                <w:szCs w:val="18"/>
              </w:rPr>
              <w:t>4.5.</w:t>
            </w:r>
            <w:r>
              <w:rPr>
                <w:rFonts w:ascii="宋体" w:hAnsi="宋体"/>
                <w:sz w:val="18"/>
                <w:szCs w:val="18"/>
              </w:rPr>
              <w:t>2</w:t>
            </w:r>
            <w:r>
              <w:rPr>
                <w:rFonts w:hint="eastAsia" w:ascii="宋体" w:hAnsi="宋体"/>
                <w:sz w:val="18"/>
                <w:szCs w:val="18"/>
              </w:rPr>
              <w:t xml:space="preserve"> 关注顾客的结果</w:t>
            </w:r>
          </w:p>
        </w:tc>
        <w:tc>
          <w:tcPr>
            <w:tcW w:w="1780" w:type="dxa"/>
          </w:tcPr>
          <w:p w14:paraId="663548FE">
            <w:pPr>
              <w:spacing w:line="240" w:lineRule="auto"/>
              <w:jc w:val="center"/>
              <w:rPr>
                <w:rFonts w:hint="eastAsia" w:ascii="宋体" w:hAnsi="宋体"/>
                <w:kern w:val="0"/>
                <w:sz w:val="18"/>
                <w:szCs w:val="18"/>
              </w:rPr>
            </w:pPr>
            <w:r>
              <w:rPr>
                <w:rFonts w:hint="eastAsia" w:ascii="宋体" w:hAnsi="宋体"/>
                <w:kern w:val="0"/>
                <w:sz w:val="18"/>
                <w:szCs w:val="18"/>
              </w:rPr>
              <w:t>40</w:t>
            </w:r>
          </w:p>
        </w:tc>
      </w:tr>
      <w:tr w14:paraId="3353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5CD32B78">
            <w:pPr>
              <w:spacing w:line="240" w:lineRule="auto"/>
              <w:rPr>
                <w:rFonts w:hint="eastAsia" w:ascii="宋体" w:hAnsi="宋体"/>
                <w:kern w:val="0"/>
                <w:sz w:val="18"/>
                <w:szCs w:val="18"/>
              </w:rPr>
            </w:pPr>
          </w:p>
        </w:tc>
        <w:tc>
          <w:tcPr>
            <w:tcW w:w="4394" w:type="dxa"/>
          </w:tcPr>
          <w:p w14:paraId="2C377A34">
            <w:pPr>
              <w:spacing w:line="240" w:lineRule="auto"/>
              <w:rPr>
                <w:rFonts w:hint="eastAsia" w:ascii="宋体" w:hAnsi="宋体"/>
                <w:sz w:val="18"/>
                <w:szCs w:val="18"/>
              </w:rPr>
            </w:pPr>
            <w:r>
              <w:rPr>
                <w:rFonts w:hint="eastAsia" w:ascii="宋体" w:hAnsi="宋体"/>
                <w:sz w:val="18"/>
                <w:szCs w:val="18"/>
              </w:rPr>
              <w:t>4.5.</w:t>
            </w:r>
            <w:r>
              <w:rPr>
                <w:rFonts w:ascii="宋体" w:hAnsi="宋体"/>
                <w:sz w:val="18"/>
                <w:szCs w:val="18"/>
              </w:rPr>
              <w:t>3</w:t>
            </w:r>
            <w:r>
              <w:rPr>
                <w:rFonts w:hint="eastAsia" w:ascii="宋体" w:hAnsi="宋体"/>
                <w:sz w:val="18"/>
                <w:szCs w:val="18"/>
              </w:rPr>
              <w:t xml:space="preserve"> 关注员工的结果</w:t>
            </w:r>
          </w:p>
        </w:tc>
        <w:tc>
          <w:tcPr>
            <w:tcW w:w="1780" w:type="dxa"/>
          </w:tcPr>
          <w:p w14:paraId="6757EE09">
            <w:pPr>
              <w:spacing w:line="240" w:lineRule="auto"/>
              <w:jc w:val="center"/>
              <w:rPr>
                <w:rFonts w:hint="eastAsia" w:ascii="宋体" w:hAnsi="宋体"/>
                <w:kern w:val="0"/>
                <w:sz w:val="18"/>
                <w:szCs w:val="18"/>
              </w:rPr>
            </w:pPr>
            <w:r>
              <w:rPr>
                <w:rFonts w:hint="eastAsia" w:ascii="宋体" w:hAnsi="宋体"/>
                <w:kern w:val="0"/>
                <w:sz w:val="18"/>
                <w:szCs w:val="18"/>
              </w:rPr>
              <w:t>40</w:t>
            </w:r>
          </w:p>
        </w:tc>
      </w:tr>
      <w:tr w14:paraId="02C0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2FAA5962">
            <w:pPr>
              <w:spacing w:line="240" w:lineRule="auto"/>
              <w:rPr>
                <w:rFonts w:hint="eastAsia" w:ascii="宋体" w:hAnsi="宋体"/>
                <w:kern w:val="0"/>
                <w:sz w:val="18"/>
                <w:szCs w:val="18"/>
              </w:rPr>
            </w:pPr>
          </w:p>
        </w:tc>
        <w:tc>
          <w:tcPr>
            <w:tcW w:w="4394" w:type="dxa"/>
          </w:tcPr>
          <w:p w14:paraId="3533CDBC">
            <w:pPr>
              <w:spacing w:line="240" w:lineRule="auto"/>
              <w:rPr>
                <w:rFonts w:hint="eastAsia" w:ascii="宋体" w:hAnsi="宋体"/>
                <w:sz w:val="18"/>
                <w:szCs w:val="18"/>
              </w:rPr>
            </w:pPr>
            <w:r>
              <w:rPr>
                <w:rFonts w:hint="eastAsia" w:ascii="宋体" w:hAnsi="宋体"/>
                <w:sz w:val="18"/>
                <w:szCs w:val="18"/>
              </w:rPr>
              <w:t>4.5.</w:t>
            </w:r>
            <w:r>
              <w:rPr>
                <w:rFonts w:ascii="宋体" w:hAnsi="宋体"/>
                <w:sz w:val="18"/>
                <w:szCs w:val="18"/>
              </w:rPr>
              <w:t>4</w:t>
            </w:r>
            <w:r>
              <w:rPr>
                <w:rFonts w:hint="eastAsia" w:ascii="宋体" w:hAnsi="宋体"/>
                <w:sz w:val="18"/>
                <w:szCs w:val="18"/>
              </w:rPr>
              <w:t xml:space="preserve"> 高效运行的结果</w:t>
            </w:r>
          </w:p>
        </w:tc>
        <w:tc>
          <w:tcPr>
            <w:tcW w:w="1780" w:type="dxa"/>
          </w:tcPr>
          <w:p w14:paraId="1F686391">
            <w:pPr>
              <w:spacing w:line="240" w:lineRule="auto"/>
              <w:jc w:val="center"/>
              <w:rPr>
                <w:rFonts w:hint="eastAsia" w:ascii="宋体" w:hAnsi="宋体"/>
                <w:kern w:val="0"/>
                <w:sz w:val="18"/>
                <w:szCs w:val="18"/>
              </w:rPr>
            </w:pPr>
            <w:r>
              <w:rPr>
                <w:rFonts w:hint="eastAsia" w:ascii="宋体" w:hAnsi="宋体"/>
                <w:kern w:val="0"/>
                <w:sz w:val="18"/>
                <w:szCs w:val="18"/>
              </w:rPr>
              <w:t>40</w:t>
            </w:r>
          </w:p>
        </w:tc>
      </w:tr>
      <w:tr w14:paraId="6BB3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29A1FE98">
            <w:pPr>
              <w:spacing w:line="240" w:lineRule="auto"/>
              <w:rPr>
                <w:rFonts w:hint="eastAsia" w:ascii="宋体" w:hAnsi="宋体"/>
                <w:kern w:val="0"/>
                <w:sz w:val="18"/>
                <w:szCs w:val="18"/>
              </w:rPr>
            </w:pPr>
          </w:p>
        </w:tc>
        <w:tc>
          <w:tcPr>
            <w:tcW w:w="4394" w:type="dxa"/>
          </w:tcPr>
          <w:p w14:paraId="46B0C4AB">
            <w:pPr>
              <w:spacing w:line="240" w:lineRule="auto"/>
              <w:rPr>
                <w:rFonts w:hint="eastAsia" w:ascii="宋体" w:hAnsi="宋体"/>
                <w:sz w:val="18"/>
                <w:szCs w:val="18"/>
              </w:rPr>
            </w:pPr>
            <w:r>
              <w:rPr>
                <w:rFonts w:hint="eastAsia" w:ascii="宋体" w:hAnsi="宋体"/>
                <w:sz w:val="18"/>
                <w:szCs w:val="18"/>
              </w:rPr>
              <w:t>4.5.5 改革创新的结果</w:t>
            </w:r>
          </w:p>
        </w:tc>
        <w:tc>
          <w:tcPr>
            <w:tcW w:w="1780" w:type="dxa"/>
          </w:tcPr>
          <w:p w14:paraId="0675AE7D">
            <w:pPr>
              <w:spacing w:line="240" w:lineRule="auto"/>
              <w:jc w:val="center"/>
              <w:rPr>
                <w:rFonts w:hint="eastAsia" w:ascii="宋体" w:hAnsi="宋体"/>
                <w:kern w:val="0"/>
                <w:sz w:val="18"/>
                <w:szCs w:val="18"/>
              </w:rPr>
            </w:pPr>
            <w:r>
              <w:rPr>
                <w:rFonts w:hint="eastAsia" w:ascii="宋体" w:hAnsi="宋体"/>
                <w:kern w:val="0"/>
                <w:sz w:val="18"/>
                <w:szCs w:val="18"/>
              </w:rPr>
              <w:t>40</w:t>
            </w:r>
          </w:p>
        </w:tc>
      </w:tr>
    </w:tbl>
    <w:p w14:paraId="661FA641">
      <w:pPr>
        <w:pStyle w:val="58"/>
        <w:ind w:firstLine="420"/>
      </w:pPr>
    </w:p>
    <w:p w14:paraId="673A02D2">
      <w:pPr>
        <w:pStyle w:val="58"/>
        <w:ind w:firstLine="420"/>
      </w:pPr>
    </w:p>
    <w:p w14:paraId="378B321E">
      <w:pPr>
        <w:pStyle w:val="58"/>
        <w:ind w:firstLine="420"/>
      </w:pPr>
    </w:p>
    <w:p w14:paraId="720E7E17">
      <w:pPr>
        <w:pStyle w:val="58"/>
        <w:ind w:firstLine="420"/>
      </w:pPr>
    </w:p>
    <w:p w14:paraId="3108265A">
      <w:pPr>
        <w:pStyle w:val="58"/>
        <w:ind w:firstLine="420"/>
      </w:pPr>
    </w:p>
    <w:p w14:paraId="20B4170D">
      <w:pPr>
        <w:pStyle w:val="58"/>
        <w:ind w:firstLine="420"/>
        <w:sectPr>
          <w:pgSz w:w="11906" w:h="16838"/>
          <w:pgMar w:top="1928" w:right="1134" w:bottom="1134" w:left="1134" w:header="1418" w:footer="1134" w:gutter="284"/>
          <w:cols w:space="425" w:num="1"/>
          <w:formProt w:val="0"/>
          <w:docGrid w:type="lines" w:linePitch="312" w:charSpace="0"/>
        </w:sectPr>
      </w:pPr>
    </w:p>
    <w:p w14:paraId="37E504B9">
      <w:pPr>
        <w:pStyle w:val="200"/>
        <w:rPr>
          <w:rFonts w:hint="eastAsia"/>
          <w:vanish w:val="0"/>
        </w:rPr>
      </w:pPr>
    </w:p>
    <w:p w14:paraId="67F2ED1E">
      <w:pPr>
        <w:pStyle w:val="201"/>
        <w:rPr>
          <w:vanish w:val="0"/>
        </w:rPr>
      </w:pPr>
    </w:p>
    <w:p w14:paraId="6D7F95C7">
      <w:pPr>
        <w:pStyle w:val="78"/>
        <w:spacing w:after="156"/>
      </w:pPr>
      <w:r>
        <w:br w:type="textWrapping"/>
      </w:r>
      <w:r>
        <w:rPr>
          <w:rFonts w:hint="eastAsia"/>
        </w:rPr>
        <w:t>（规范性）</w:t>
      </w:r>
      <w:r>
        <w:br w:type="textWrapping"/>
      </w:r>
      <w:r>
        <w:rPr>
          <w:rFonts w:hint="eastAsia"/>
        </w:rPr>
        <w:t>评分系统</w:t>
      </w:r>
    </w:p>
    <w:p w14:paraId="52A1D320">
      <w:pPr>
        <w:pStyle w:val="80"/>
        <w:spacing w:before="156" w:after="156"/>
      </w:pPr>
      <w:r>
        <w:rPr>
          <w:rFonts w:hint="eastAsia"/>
        </w:rPr>
        <w:t>评价要素</w:t>
      </w:r>
    </w:p>
    <w:p w14:paraId="252D58C1">
      <w:pPr>
        <w:pStyle w:val="81"/>
        <w:spacing w:before="156" w:after="156"/>
      </w:pPr>
      <w:r>
        <w:rPr>
          <w:rFonts w:hint="eastAsia" w:hAnsi="黑体"/>
        </w:rPr>
        <w:t>过程</w:t>
      </w:r>
    </w:p>
    <w:p w14:paraId="57B2ADB1">
      <w:pPr>
        <w:pStyle w:val="58"/>
        <w:ind w:firstLine="420"/>
        <w:rPr>
          <w:color w:val="FF0000"/>
        </w:rPr>
      </w:pPr>
      <w:r>
        <w:rPr>
          <w:rFonts w:hint="eastAsia"/>
        </w:rPr>
        <w:t>“过程”指组织针对标准4.1-4.4中各评分条款要求，所采用的方法及其展开和改进。用方法-展开-学习-整合（approach-deployment-learning-integration, A-D-L-I）四个因素评价过程的成熟度。</w:t>
      </w:r>
    </w:p>
    <w:p w14:paraId="7CBE475F">
      <w:pPr>
        <w:pStyle w:val="58"/>
        <w:ind w:firstLine="422"/>
      </w:pPr>
      <w:r>
        <w:rPr>
          <w:rFonts w:hint="eastAsia"/>
          <w:b/>
        </w:rPr>
        <w:t>“方法”</w:t>
      </w:r>
      <w:r>
        <w:rPr>
          <w:rFonts w:hint="eastAsia"/>
        </w:rPr>
        <w:t>评价要点：</w:t>
      </w:r>
    </w:p>
    <w:p w14:paraId="2AC5132E">
      <w:pPr>
        <w:pStyle w:val="176"/>
        <w:numPr>
          <w:ilvl w:val="0"/>
          <w:numId w:val="35"/>
        </w:numPr>
      </w:pPr>
      <w:r>
        <w:rPr>
          <w:rFonts w:hint="eastAsia"/>
        </w:rPr>
        <w:t>实施该过程所应用的方法；</w:t>
      </w:r>
    </w:p>
    <w:p w14:paraId="657D955D">
      <w:pPr>
        <w:pStyle w:val="176"/>
      </w:pPr>
      <w:r>
        <w:rPr>
          <w:rFonts w:hint="eastAsia"/>
        </w:rPr>
        <w:t>方法的适宜性，包括对标准条款要求和运营环境的适宜程度；</w:t>
      </w:r>
    </w:p>
    <w:p w14:paraId="1DD7FFD5">
      <w:pPr>
        <w:pStyle w:val="176"/>
      </w:pPr>
      <w:r>
        <w:rPr>
          <w:rFonts w:hint="eastAsia"/>
        </w:rPr>
        <w:t>方法的有效性，是否导致了好的结果；</w:t>
      </w:r>
    </w:p>
    <w:p w14:paraId="027E4934">
      <w:pPr>
        <w:pStyle w:val="176"/>
      </w:pPr>
      <w:r>
        <w:rPr>
          <w:rFonts w:hint="eastAsia"/>
        </w:rPr>
        <w:t>方法的系统性，包括可重复性及基于可靠数据和信息的程度。</w:t>
      </w:r>
    </w:p>
    <w:p w14:paraId="41CAF38F">
      <w:pPr>
        <w:pStyle w:val="58"/>
        <w:ind w:firstLine="422"/>
      </w:pPr>
      <w:r>
        <w:rPr>
          <w:rFonts w:hint="eastAsia"/>
          <w:b/>
        </w:rPr>
        <w:t>“展开”</w:t>
      </w:r>
      <w:r>
        <w:rPr>
          <w:rFonts w:hint="eastAsia"/>
        </w:rPr>
        <w:t>评价要点：</w:t>
      </w:r>
    </w:p>
    <w:p w14:paraId="21EE7A1D">
      <w:pPr>
        <w:pStyle w:val="176"/>
        <w:numPr>
          <w:ilvl w:val="0"/>
          <w:numId w:val="36"/>
        </w:numPr>
      </w:pPr>
      <w:r>
        <w:rPr>
          <w:rFonts w:hint="eastAsia"/>
        </w:rPr>
        <w:t>方法应对的条款要求对于组织是相关的和重要的；</w:t>
      </w:r>
    </w:p>
    <w:p w14:paraId="54CF67C0">
      <w:pPr>
        <w:pStyle w:val="176"/>
        <w:numPr>
          <w:ilvl w:val="0"/>
          <w:numId w:val="36"/>
        </w:numPr>
      </w:pPr>
      <w:r>
        <w:rPr>
          <w:rFonts w:hint="eastAsia"/>
        </w:rPr>
        <w:t>方法是否得到持续的应用；</w:t>
      </w:r>
    </w:p>
    <w:p w14:paraId="33CC19F3">
      <w:pPr>
        <w:pStyle w:val="176"/>
        <w:numPr>
          <w:ilvl w:val="0"/>
          <w:numId w:val="36"/>
        </w:numPr>
      </w:pPr>
      <w:r>
        <w:rPr>
          <w:rFonts w:hint="eastAsia"/>
        </w:rPr>
        <w:t>方法是否在所有适当的工作单元所应用。</w:t>
      </w:r>
    </w:p>
    <w:p w14:paraId="380C5A04">
      <w:pPr>
        <w:pStyle w:val="58"/>
        <w:ind w:firstLine="422"/>
      </w:pPr>
      <w:r>
        <w:rPr>
          <w:rFonts w:hint="eastAsia"/>
          <w:b/>
        </w:rPr>
        <w:t>“学习”</w:t>
      </w:r>
      <w:r>
        <w:rPr>
          <w:rFonts w:hint="eastAsia"/>
        </w:rPr>
        <w:t>评价要点：</w:t>
      </w:r>
    </w:p>
    <w:p w14:paraId="4CE62405">
      <w:pPr>
        <w:pStyle w:val="176"/>
        <w:numPr>
          <w:ilvl w:val="0"/>
          <w:numId w:val="37"/>
        </w:numPr>
      </w:pPr>
      <w:r>
        <w:rPr>
          <w:rFonts w:hint="eastAsia"/>
        </w:rPr>
        <w:t>通过评价和改进的循环来改善方法；</w:t>
      </w:r>
    </w:p>
    <w:p w14:paraId="3400A21E">
      <w:pPr>
        <w:pStyle w:val="176"/>
        <w:numPr>
          <w:ilvl w:val="0"/>
          <w:numId w:val="37"/>
        </w:numPr>
      </w:pPr>
      <w:r>
        <w:rPr>
          <w:rFonts w:hint="eastAsia"/>
        </w:rPr>
        <w:t>鼓励通过创新对方法进行突破性的变革；</w:t>
      </w:r>
    </w:p>
    <w:p w14:paraId="17582B9F">
      <w:pPr>
        <w:pStyle w:val="176"/>
        <w:numPr>
          <w:ilvl w:val="0"/>
          <w:numId w:val="37"/>
        </w:numPr>
      </w:pPr>
      <w:r>
        <w:rPr>
          <w:rFonts w:hint="eastAsia"/>
        </w:rPr>
        <w:t>与组织的其他相关工作单元和过程共享改善和创新。</w:t>
      </w:r>
    </w:p>
    <w:p w14:paraId="2C8E3A9F">
      <w:pPr>
        <w:pStyle w:val="58"/>
        <w:ind w:firstLine="422"/>
      </w:pPr>
      <w:r>
        <w:rPr>
          <w:rFonts w:hint="eastAsia"/>
          <w:b/>
        </w:rPr>
        <w:t>“整合”</w:t>
      </w:r>
      <w:r>
        <w:rPr>
          <w:rFonts w:hint="eastAsia"/>
        </w:rPr>
        <w:t>评价要点：</w:t>
      </w:r>
    </w:p>
    <w:p w14:paraId="676BA0A7">
      <w:pPr>
        <w:pStyle w:val="176"/>
        <w:numPr>
          <w:ilvl w:val="0"/>
          <w:numId w:val="38"/>
        </w:numPr>
      </w:pPr>
      <w:r>
        <w:rPr>
          <w:rFonts w:hint="eastAsia"/>
        </w:rPr>
        <w:t>方法与其他评分条款中确定的组织需要协调一致；</w:t>
      </w:r>
    </w:p>
    <w:p w14:paraId="26FF1E08">
      <w:pPr>
        <w:pStyle w:val="176"/>
        <w:numPr>
          <w:ilvl w:val="0"/>
          <w:numId w:val="38"/>
        </w:numPr>
      </w:pPr>
      <w:r>
        <w:rPr>
          <w:rFonts w:hint="eastAsia"/>
        </w:rPr>
        <w:t>各过程</w:t>
      </w:r>
      <w:r>
        <w:rPr>
          <w:rFonts w:hint="eastAsia"/>
          <w:lang w:eastAsia="zh-CN"/>
        </w:rPr>
        <w:t>、各</w:t>
      </w:r>
      <w:r>
        <w:rPr>
          <w:rFonts w:hint="eastAsia"/>
        </w:rPr>
        <w:t>部门的方法协调一致、融合互补，支持组织使命、愿景和战略目标的实现。</w:t>
      </w:r>
    </w:p>
    <w:p w14:paraId="242FD9F2">
      <w:pPr>
        <w:pStyle w:val="81"/>
        <w:spacing w:before="156" w:after="156"/>
      </w:pPr>
      <w:r>
        <w:rPr>
          <w:rFonts w:hint="eastAsia" w:hAnsi="黑体"/>
        </w:rPr>
        <w:t>结果</w:t>
      </w:r>
    </w:p>
    <w:p w14:paraId="5AC8E5DD">
      <w:pPr>
        <w:pStyle w:val="58"/>
        <w:ind w:firstLine="420"/>
      </w:pPr>
      <w:r>
        <w:rPr>
          <w:rFonts w:hint="eastAsia"/>
        </w:rPr>
        <w:t>“结果”是指组织针对标准4.5中各评分条款的要求，所得到的输出和效果。用水平-趋势-对比-整合（levels-trends-comparisons-integration, Le-T-C-I）四个因素评价结果的成熟度。</w:t>
      </w:r>
    </w:p>
    <w:p w14:paraId="68273E07">
      <w:pPr>
        <w:pStyle w:val="58"/>
        <w:ind w:firstLine="420"/>
      </w:pPr>
      <w:r>
        <w:rPr>
          <w:rFonts w:hint="eastAsia"/>
        </w:rPr>
        <w:t>水平用于评价结果的四个因素有：水平（L）、趋势（T）、对比（C）和整合（I），即（LeTCI）。对于结果的评分应在考虑这四个方面因素的基础上进行总体绩效的整体评价。</w:t>
      </w:r>
    </w:p>
    <w:p w14:paraId="44837E37">
      <w:pPr>
        <w:pStyle w:val="58"/>
        <w:ind w:firstLine="422"/>
      </w:pPr>
      <w:r>
        <w:rPr>
          <w:rFonts w:hint="eastAsia"/>
          <w:b/>
        </w:rPr>
        <w:t>“水平”</w:t>
      </w:r>
      <w:r>
        <w:rPr>
          <w:rFonts w:hint="eastAsia"/>
        </w:rPr>
        <w:t>指组织当前的绩效水平。</w:t>
      </w:r>
    </w:p>
    <w:p w14:paraId="038DDE7F">
      <w:pPr>
        <w:pStyle w:val="58"/>
        <w:ind w:firstLine="422"/>
      </w:pPr>
      <w:r>
        <w:rPr>
          <w:rFonts w:hint="eastAsia"/>
          <w:b/>
        </w:rPr>
        <w:t>“趋势”</w:t>
      </w:r>
      <w:r>
        <w:rPr>
          <w:rFonts w:hint="eastAsia"/>
        </w:rPr>
        <w:t>指组织绩效改进的速度或高绩效的可持续性（即趋势数据的斜率）。</w:t>
      </w:r>
    </w:p>
    <w:p w14:paraId="749D71CB">
      <w:pPr>
        <w:pStyle w:val="58"/>
        <w:ind w:firstLine="422"/>
      </w:pPr>
      <w:r>
        <w:rPr>
          <w:rFonts w:hint="eastAsia"/>
          <w:b/>
        </w:rPr>
        <w:t>“对比”</w:t>
      </w:r>
      <w:r>
        <w:rPr>
          <w:rFonts w:hint="eastAsia"/>
        </w:rPr>
        <w:t xml:space="preserve">指组织相对于其他适宜的组织（例如类似组织或标杆）的绩效对比。 </w:t>
      </w:r>
    </w:p>
    <w:p w14:paraId="572379C6">
      <w:pPr>
        <w:pStyle w:val="58"/>
        <w:ind w:firstLine="422"/>
      </w:pPr>
      <w:r>
        <w:rPr>
          <w:rFonts w:hint="eastAsia"/>
          <w:b/>
        </w:rPr>
        <w:t>“整合”</w:t>
      </w:r>
      <w:r>
        <w:rPr>
          <w:rFonts w:hint="eastAsia"/>
        </w:rPr>
        <w:t>指组织的结果指标和过程条目中所确定的关键绩效要求及指标相呼应；组织各过程</w:t>
      </w:r>
      <w:r>
        <w:rPr>
          <w:rFonts w:hint="eastAsia"/>
          <w:lang w:eastAsia="zh-CN"/>
        </w:rPr>
        <w:t>、各</w:t>
      </w:r>
      <w:r>
        <w:rPr>
          <w:rFonts w:hint="eastAsia"/>
        </w:rPr>
        <w:t>部门的结果协调一致，支持组织使命、愿景和战略目标的实现。</w:t>
      </w:r>
    </w:p>
    <w:p w14:paraId="070372AE">
      <w:pPr>
        <w:pStyle w:val="80"/>
        <w:spacing w:before="156" w:after="156"/>
      </w:pPr>
      <w:r>
        <w:rPr>
          <w:rFonts w:hint="eastAsia"/>
        </w:rPr>
        <w:t>评分指南</w:t>
      </w:r>
    </w:p>
    <w:p w14:paraId="2A533735">
      <w:pPr>
        <w:pStyle w:val="81"/>
        <w:spacing w:before="156" w:after="156"/>
        <w:rPr>
          <w:rFonts w:hint="eastAsia" w:hAnsi="宋体"/>
        </w:rPr>
      </w:pPr>
      <w:r>
        <w:rPr>
          <w:rFonts w:hint="eastAsia" w:hAnsi="宋体"/>
        </w:rPr>
        <w:t>“</w:t>
      </w:r>
      <w:r>
        <w:rPr>
          <w:rFonts w:hint="eastAsia"/>
        </w:rPr>
        <w:t>过程”评分条款评分指南</w:t>
      </w:r>
    </w:p>
    <w:p w14:paraId="3ADDF0FB">
      <w:pPr>
        <w:pStyle w:val="58"/>
        <w:ind w:firstLine="420"/>
        <w:sectPr>
          <w:pgSz w:w="11906" w:h="16838"/>
          <w:pgMar w:top="1928" w:right="1134" w:bottom="1134" w:left="1134" w:header="1418" w:footer="1134" w:gutter="284"/>
          <w:pgNumType w:start="1"/>
          <w:cols w:space="425" w:num="1"/>
          <w:formProt w:val="0"/>
          <w:docGrid w:type="lines" w:linePitch="312" w:charSpace="0"/>
        </w:sectPr>
      </w:pPr>
      <w:r>
        <w:rPr>
          <w:rFonts w:hint="eastAsia"/>
        </w:rPr>
        <w:t>“过程”评分条款评分指南见表B.1。</w:t>
      </w:r>
    </w:p>
    <w:p w14:paraId="3955B38D">
      <w:pPr>
        <w:pStyle w:val="79"/>
        <w:spacing w:before="156" w:after="156"/>
      </w:pPr>
      <w:r>
        <w:rPr>
          <w:rFonts w:hint="eastAsia"/>
        </w:rPr>
        <w:t>过程评分条款评分指南</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7334"/>
      </w:tblGrid>
      <w:tr w14:paraId="0682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27D5F0AE">
            <w:pPr>
              <w:jc w:val="center"/>
              <w:rPr>
                <w:rFonts w:hint="eastAsia" w:ascii="宋体" w:hAnsi="宋体"/>
                <w:kern w:val="0"/>
                <w:sz w:val="18"/>
                <w:szCs w:val="18"/>
              </w:rPr>
            </w:pPr>
            <w:r>
              <w:rPr>
                <w:rFonts w:hint="eastAsia" w:ascii="宋体" w:hAnsi="宋体"/>
                <w:kern w:val="0"/>
                <w:sz w:val="18"/>
                <w:szCs w:val="18"/>
              </w:rPr>
              <w:t>分数</w:t>
            </w:r>
          </w:p>
        </w:tc>
        <w:tc>
          <w:tcPr>
            <w:tcW w:w="7334" w:type="dxa"/>
          </w:tcPr>
          <w:p w14:paraId="557F0F7D">
            <w:pPr>
              <w:jc w:val="center"/>
              <w:rPr>
                <w:rFonts w:hint="eastAsia" w:ascii="宋体" w:hAnsi="宋体"/>
                <w:kern w:val="0"/>
                <w:sz w:val="18"/>
                <w:szCs w:val="18"/>
              </w:rPr>
            </w:pPr>
            <w:r>
              <w:rPr>
                <w:rFonts w:hint="eastAsia" w:ascii="宋体" w:hAnsi="宋体"/>
                <w:kern w:val="0"/>
                <w:sz w:val="18"/>
                <w:szCs w:val="18"/>
              </w:rPr>
              <w:t>过程</w:t>
            </w:r>
          </w:p>
        </w:tc>
      </w:tr>
      <w:tr w14:paraId="20BF4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44FF16DF">
            <w:pPr>
              <w:jc w:val="center"/>
              <w:rPr>
                <w:rFonts w:hint="eastAsia" w:ascii="宋体" w:hAnsi="宋体"/>
                <w:kern w:val="0"/>
                <w:sz w:val="18"/>
                <w:szCs w:val="18"/>
              </w:rPr>
            </w:pPr>
            <w:r>
              <w:rPr>
                <w:rFonts w:hint="eastAsia" w:ascii="宋体" w:hAnsi="宋体"/>
                <w:kern w:val="0"/>
                <w:sz w:val="18"/>
                <w:szCs w:val="18"/>
              </w:rPr>
              <w:t>0%或5%</w:t>
            </w:r>
          </w:p>
        </w:tc>
        <w:tc>
          <w:tcPr>
            <w:tcW w:w="7334" w:type="dxa"/>
          </w:tcPr>
          <w:p w14:paraId="091D4028">
            <w:pPr>
              <w:numPr>
                <w:ilvl w:val="0"/>
                <w:numId w:val="39"/>
              </w:numPr>
              <w:adjustRightInd/>
              <w:spacing w:line="240" w:lineRule="auto"/>
              <w:rPr>
                <w:rFonts w:hint="eastAsia" w:ascii="宋体" w:hAnsi="宋体"/>
                <w:kern w:val="0"/>
                <w:sz w:val="18"/>
                <w:szCs w:val="18"/>
              </w:rPr>
            </w:pPr>
            <w:r>
              <w:rPr>
                <w:rFonts w:hint="eastAsia" w:ascii="宋体" w:hAnsi="宋体"/>
                <w:kern w:val="0"/>
                <w:sz w:val="18"/>
                <w:szCs w:val="18"/>
              </w:rPr>
              <w:t>没有系统的方法，信息是零散、孤立的。（A）</w:t>
            </w:r>
          </w:p>
          <w:p w14:paraId="4232FB86">
            <w:pPr>
              <w:numPr>
                <w:ilvl w:val="0"/>
                <w:numId w:val="39"/>
              </w:numPr>
              <w:adjustRightInd/>
              <w:spacing w:line="240" w:lineRule="auto"/>
              <w:rPr>
                <w:rFonts w:hint="eastAsia" w:ascii="宋体" w:hAnsi="宋体"/>
                <w:kern w:val="0"/>
                <w:sz w:val="18"/>
                <w:szCs w:val="18"/>
              </w:rPr>
            </w:pPr>
            <w:r>
              <w:rPr>
                <w:rFonts w:hint="eastAsia" w:ascii="宋体" w:hAnsi="宋体"/>
                <w:kern w:val="0"/>
                <w:sz w:val="18"/>
                <w:szCs w:val="18"/>
              </w:rPr>
              <w:t>方法没有展开或略有展开。（D）</w:t>
            </w:r>
          </w:p>
          <w:p w14:paraId="38E817FA">
            <w:pPr>
              <w:numPr>
                <w:ilvl w:val="0"/>
                <w:numId w:val="39"/>
              </w:numPr>
              <w:adjustRightInd/>
              <w:spacing w:line="240" w:lineRule="auto"/>
              <w:rPr>
                <w:rFonts w:hint="eastAsia" w:ascii="宋体" w:hAnsi="宋体"/>
                <w:kern w:val="0"/>
                <w:sz w:val="18"/>
                <w:szCs w:val="18"/>
              </w:rPr>
            </w:pPr>
            <w:r>
              <w:rPr>
                <w:rFonts w:hint="eastAsia" w:ascii="宋体" w:hAnsi="宋体"/>
                <w:kern w:val="0"/>
                <w:sz w:val="18"/>
                <w:szCs w:val="18"/>
              </w:rPr>
              <w:t>没有改进导向，已有的改进仅是“对问题的被动反应”。（L）</w:t>
            </w:r>
          </w:p>
          <w:p w14:paraId="3AEC928F">
            <w:pPr>
              <w:numPr>
                <w:ilvl w:val="0"/>
                <w:numId w:val="39"/>
              </w:numPr>
              <w:adjustRightInd/>
              <w:spacing w:line="240" w:lineRule="auto"/>
              <w:rPr>
                <w:rFonts w:hint="eastAsia" w:ascii="宋体" w:hAnsi="宋体"/>
                <w:kern w:val="0"/>
                <w:sz w:val="18"/>
                <w:szCs w:val="18"/>
              </w:rPr>
            </w:pPr>
            <w:r>
              <w:rPr>
                <w:rFonts w:hint="eastAsia" w:ascii="宋体" w:hAnsi="宋体"/>
                <w:kern w:val="0"/>
                <w:sz w:val="18"/>
                <w:szCs w:val="18"/>
              </w:rPr>
              <w:t>缺乏协调一致，各个方面或部门各行其是。（I）</w:t>
            </w:r>
          </w:p>
        </w:tc>
      </w:tr>
      <w:tr w14:paraId="6450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66558831">
            <w:pPr>
              <w:jc w:val="center"/>
              <w:rPr>
                <w:rFonts w:hint="eastAsia" w:ascii="宋体" w:hAnsi="宋体"/>
                <w:kern w:val="0"/>
                <w:sz w:val="18"/>
                <w:szCs w:val="18"/>
              </w:rPr>
            </w:pPr>
            <w:r>
              <w:rPr>
                <w:rFonts w:hint="eastAsia" w:ascii="宋体" w:hAnsi="宋体"/>
                <w:kern w:val="0"/>
                <w:sz w:val="18"/>
                <w:szCs w:val="18"/>
              </w:rPr>
              <w:t>10%，15%，20%或25%</w:t>
            </w:r>
          </w:p>
        </w:tc>
        <w:tc>
          <w:tcPr>
            <w:tcW w:w="7334" w:type="dxa"/>
          </w:tcPr>
          <w:p w14:paraId="7A56A9F9">
            <w:pPr>
              <w:numPr>
                <w:ilvl w:val="0"/>
                <w:numId w:val="40"/>
              </w:numPr>
              <w:adjustRightInd/>
              <w:spacing w:line="240" w:lineRule="auto"/>
              <w:rPr>
                <w:rFonts w:hint="eastAsia" w:ascii="宋体" w:hAnsi="宋体"/>
                <w:kern w:val="0"/>
                <w:sz w:val="18"/>
                <w:szCs w:val="18"/>
              </w:rPr>
            </w:pPr>
            <w:r>
              <w:rPr>
                <w:rFonts w:hint="eastAsia" w:ascii="宋体" w:hAnsi="宋体"/>
                <w:kern w:val="0"/>
                <w:sz w:val="18"/>
                <w:szCs w:val="18"/>
              </w:rPr>
              <w:t>针对评分条款的基本要求开始有了系统的方法。（A）</w:t>
            </w:r>
          </w:p>
          <w:p w14:paraId="69C39E0E">
            <w:pPr>
              <w:numPr>
                <w:ilvl w:val="0"/>
                <w:numId w:val="40"/>
              </w:numPr>
              <w:adjustRightInd/>
              <w:spacing w:line="240" w:lineRule="auto"/>
              <w:rPr>
                <w:rFonts w:hint="eastAsia" w:ascii="宋体" w:hAnsi="宋体"/>
                <w:kern w:val="0"/>
                <w:sz w:val="18"/>
                <w:szCs w:val="18"/>
              </w:rPr>
            </w:pPr>
            <w:r>
              <w:rPr>
                <w:rFonts w:hint="eastAsia" w:ascii="宋体" w:hAnsi="宋体"/>
                <w:kern w:val="0"/>
                <w:sz w:val="18"/>
                <w:szCs w:val="18"/>
              </w:rPr>
              <w:t>方法在大多数方面或部门处于展开的早期阶段，阻碍了条款基本要求的实现。（D）</w:t>
            </w:r>
          </w:p>
          <w:p w14:paraId="10936ECF">
            <w:pPr>
              <w:numPr>
                <w:ilvl w:val="0"/>
                <w:numId w:val="40"/>
              </w:numPr>
              <w:adjustRightInd/>
              <w:spacing w:line="240" w:lineRule="auto"/>
              <w:rPr>
                <w:rFonts w:hint="eastAsia" w:ascii="宋体" w:hAnsi="宋体"/>
                <w:kern w:val="0"/>
                <w:sz w:val="18"/>
                <w:szCs w:val="18"/>
              </w:rPr>
            </w:pPr>
            <w:r>
              <w:rPr>
                <w:rFonts w:hint="eastAsia" w:ascii="宋体" w:hAnsi="宋体"/>
                <w:kern w:val="0"/>
                <w:sz w:val="18"/>
                <w:szCs w:val="18"/>
              </w:rPr>
              <w:t>处于从“</w:t>
            </w:r>
            <w:r>
              <w:rPr>
                <w:rFonts w:hint="eastAsia" w:ascii="宋体" w:hAnsi="宋体"/>
                <w:kern w:val="0"/>
                <w:sz w:val="18"/>
                <w:szCs w:val="18"/>
                <w:lang w:eastAsia="zh-CN"/>
              </w:rPr>
              <w:t>对</w:t>
            </w:r>
            <w:r>
              <w:rPr>
                <w:rFonts w:hint="eastAsia" w:ascii="宋体" w:hAnsi="宋体"/>
                <w:kern w:val="0"/>
                <w:sz w:val="18"/>
                <w:szCs w:val="18"/>
              </w:rPr>
              <w:t>问题的被动反应”到“改进导向”转变的早期阶段。（L）</w:t>
            </w:r>
          </w:p>
          <w:p w14:paraId="030EA803">
            <w:pPr>
              <w:numPr>
                <w:ilvl w:val="0"/>
                <w:numId w:val="40"/>
              </w:numPr>
              <w:adjustRightInd/>
              <w:spacing w:line="240" w:lineRule="auto"/>
              <w:rPr>
                <w:rFonts w:hint="eastAsia" w:ascii="宋体" w:hAnsi="宋体"/>
                <w:kern w:val="0"/>
                <w:sz w:val="18"/>
                <w:szCs w:val="18"/>
              </w:rPr>
            </w:pPr>
            <w:r>
              <w:rPr>
                <w:rFonts w:hint="eastAsia" w:ascii="宋体" w:hAnsi="宋体"/>
                <w:kern w:val="0"/>
                <w:sz w:val="18"/>
                <w:szCs w:val="18"/>
              </w:rPr>
              <w:t>主要靠联合解决问题来使方法与其它方面或部门达成协调一致。（I）</w:t>
            </w:r>
          </w:p>
        </w:tc>
      </w:tr>
      <w:tr w14:paraId="0E93A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70E99B70">
            <w:pPr>
              <w:jc w:val="center"/>
              <w:rPr>
                <w:rFonts w:hint="eastAsia" w:ascii="宋体" w:hAnsi="宋体"/>
                <w:kern w:val="0"/>
                <w:sz w:val="18"/>
                <w:szCs w:val="18"/>
              </w:rPr>
            </w:pPr>
            <w:r>
              <w:rPr>
                <w:rFonts w:hint="eastAsia" w:ascii="宋体" w:hAnsi="宋体"/>
                <w:kern w:val="0"/>
                <w:sz w:val="18"/>
                <w:szCs w:val="18"/>
              </w:rPr>
              <w:t>30%，35%，40%或45%</w:t>
            </w:r>
          </w:p>
        </w:tc>
        <w:tc>
          <w:tcPr>
            <w:tcW w:w="7334" w:type="dxa"/>
          </w:tcPr>
          <w:p w14:paraId="4CFD01EF">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针对评分条款基本要求有系统、有效的方法。（A）</w:t>
            </w:r>
          </w:p>
          <w:p w14:paraId="21401D8B">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方法已得到展开，尽管在某些领域或工作单元处于展开的早期阶段。（D）</w:t>
            </w:r>
          </w:p>
          <w:p w14:paraId="33BA30AB">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开始系统地评价和改进关键过程。（L）</w:t>
            </w:r>
          </w:p>
          <w:p w14:paraId="08E9DB6D">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方法与在应对组织概述和其他过程类条款所确定的组织基本问题初步协调一致。（I）</w:t>
            </w:r>
          </w:p>
        </w:tc>
      </w:tr>
      <w:tr w14:paraId="4372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52659E3C">
            <w:pPr>
              <w:jc w:val="center"/>
              <w:rPr>
                <w:rFonts w:hint="eastAsia" w:ascii="宋体" w:hAnsi="宋体"/>
                <w:kern w:val="0"/>
                <w:sz w:val="18"/>
                <w:szCs w:val="18"/>
              </w:rPr>
            </w:pPr>
            <w:r>
              <w:rPr>
                <w:rFonts w:hint="eastAsia" w:ascii="宋体" w:hAnsi="宋体"/>
                <w:kern w:val="0"/>
                <w:sz w:val="18"/>
                <w:szCs w:val="18"/>
              </w:rPr>
              <w:t>50%，55%，60%或65%</w:t>
            </w:r>
          </w:p>
        </w:tc>
        <w:tc>
          <w:tcPr>
            <w:tcW w:w="7334" w:type="dxa"/>
          </w:tcPr>
          <w:p w14:paraId="1F743612">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针对评分条款总体要求有系统、有效的方法。（A）</w:t>
            </w:r>
          </w:p>
          <w:p w14:paraId="484B14F3">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方法得到了很好的展开，虽然某些领域或工作单元的展开有所差异。（D）</w:t>
            </w:r>
          </w:p>
          <w:p w14:paraId="036F81E7">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在改进关键过程的效率和有效性方面，具有基于事实的、系统的评价和改进过程以及某种程度的组织的学习（包括创新）。（L）</w:t>
            </w:r>
          </w:p>
          <w:p w14:paraId="67D7234D">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方法与在应对其他过程类条款时所确定的基本组织需要初步协调一致。（I）</w:t>
            </w:r>
          </w:p>
        </w:tc>
      </w:tr>
      <w:tr w14:paraId="40582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10AE535C">
            <w:pPr>
              <w:jc w:val="center"/>
              <w:rPr>
                <w:rFonts w:hint="eastAsia" w:ascii="宋体" w:hAnsi="宋体"/>
                <w:kern w:val="0"/>
                <w:sz w:val="18"/>
                <w:szCs w:val="18"/>
              </w:rPr>
            </w:pPr>
            <w:r>
              <w:rPr>
                <w:rFonts w:hint="eastAsia" w:ascii="宋体" w:hAnsi="宋体"/>
                <w:kern w:val="0"/>
                <w:sz w:val="18"/>
                <w:szCs w:val="18"/>
              </w:rPr>
              <w:t>70%，75%，80%或85%</w:t>
            </w:r>
          </w:p>
        </w:tc>
        <w:tc>
          <w:tcPr>
            <w:tcW w:w="7334" w:type="dxa"/>
          </w:tcPr>
          <w:p w14:paraId="0AC0AD91">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针对评分条款详细要求有系统、有效的方法。（A）</w:t>
            </w:r>
          </w:p>
          <w:p w14:paraId="1CCF4F8C">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方法得到了很好的展开，无显著的差距。（D）</w:t>
            </w:r>
          </w:p>
          <w:p w14:paraId="582B665B">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基于事实且系统的评价，改进和创新已成为关键的管理工具；由于整个组织层面的分析和共享而取得了显著的改善。（L）</w:t>
            </w:r>
          </w:p>
          <w:p w14:paraId="14028941">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方法与在应对其他过程条款时所确定的组织当前及未来的需要之间实现了整合。（I）</w:t>
            </w:r>
          </w:p>
        </w:tc>
      </w:tr>
      <w:tr w14:paraId="1CA9A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11EC4FDE">
            <w:pPr>
              <w:jc w:val="center"/>
              <w:rPr>
                <w:rFonts w:hint="eastAsia" w:ascii="宋体" w:hAnsi="宋体"/>
                <w:kern w:val="0"/>
                <w:sz w:val="18"/>
                <w:szCs w:val="18"/>
              </w:rPr>
            </w:pPr>
            <w:r>
              <w:rPr>
                <w:rFonts w:hint="eastAsia" w:ascii="宋体" w:hAnsi="宋体"/>
                <w:kern w:val="0"/>
                <w:sz w:val="18"/>
                <w:szCs w:val="18"/>
              </w:rPr>
              <w:t>90%，95%或100%</w:t>
            </w:r>
          </w:p>
        </w:tc>
        <w:tc>
          <w:tcPr>
            <w:tcW w:w="7334" w:type="dxa"/>
          </w:tcPr>
          <w:p w14:paraId="31C0BDA2">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针对评分条款详细要求，有全面的、有效而系统的方法。（A）</w:t>
            </w:r>
          </w:p>
          <w:p w14:paraId="4A37BC5A">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方法得到了完全的展开，在任何方面或部门均无显著的弱点或差距。（D）</w:t>
            </w:r>
          </w:p>
          <w:p w14:paraId="5741B3FE">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基于事实且系统的评价，改进和创新已成为全组织的关键管理工具；在整个组织中明显有在分析和共享支持下的改善和创新。（L）</w:t>
            </w:r>
          </w:p>
          <w:p w14:paraId="0EA2F550">
            <w:pPr>
              <w:numPr>
                <w:ilvl w:val="0"/>
                <w:numId w:val="41"/>
              </w:numPr>
              <w:adjustRightInd/>
              <w:spacing w:line="240" w:lineRule="auto"/>
              <w:rPr>
                <w:rFonts w:hint="eastAsia" w:ascii="宋体" w:hAnsi="宋体"/>
                <w:kern w:val="0"/>
                <w:sz w:val="18"/>
                <w:szCs w:val="18"/>
              </w:rPr>
            </w:pPr>
            <w:r>
              <w:rPr>
                <w:rFonts w:hint="eastAsia" w:ascii="宋体" w:hAnsi="宋体"/>
                <w:kern w:val="0"/>
                <w:sz w:val="18"/>
                <w:szCs w:val="18"/>
              </w:rPr>
              <w:t>方法与在应对其他过程条款时所确定的组织当前及未来需要之间实现了很好的整合。（I）</w:t>
            </w:r>
          </w:p>
        </w:tc>
      </w:tr>
    </w:tbl>
    <w:p w14:paraId="34D06F86">
      <w:pPr>
        <w:pStyle w:val="81"/>
        <w:spacing w:before="156" w:after="156"/>
      </w:pPr>
      <w:r>
        <w:rPr>
          <w:rFonts w:hint="eastAsia"/>
        </w:rPr>
        <w:t>“结果”评分条款评分指南</w:t>
      </w:r>
    </w:p>
    <w:p w14:paraId="3B532486">
      <w:pPr>
        <w:pStyle w:val="58"/>
        <w:ind w:firstLine="480"/>
      </w:pPr>
      <w:r>
        <w:rPr>
          <w:rFonts w:hint="eastAsia" w:ascii="仿宋_GB2312" w:hAnsi="宋体" w:eastAsia="仿宋_GB2312"/>
          <w:sz w:val="24"/>
          <w:szCs w:val="24"/>
        </w:rPr>
        <w:t>“</w:t>
      </w:r>
      <w:r>
        <w:rPr>
          <w:rFonts w:hint="eastAsia"/>
        </w:rPr>
        <w:t>结果”评分条款评分指南见表B.2。</w:t>
      </w:r>
    </w:p>
    <w:p w14:paraId="7FACEF09">
      <w:pPr>
        <w:pStyle w:val="79"/>
        <w:spacing w:before="156" w:after="156"/>
      </w:pPr>
      <w:r>
        <w:rPr>
          <w:rFonts w:hint="eastAsia"/>
        </w:rPr>
        <w:t>结果评分条款评分指南</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7334"/>
      </w:tblGrid>
      <w:tr w14:paraId="74A9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88" w:type="dxa"/>
            <w:vAlign w:val="center"/>
          </w:tcPr>
          <w:p w14:paraId="285B1B9D">
            <w:pPr>
              <w:jc w:val="center"/>
              <w:rPr>
                <w:rFonts w:hint="eastAsia" w:ascii="宋体" w:hAnsi="宋体"/>
                <w:kern w:val="0"/>
                <w:sz w:val="18"/>
                <w:szCs w:val="18"/>
              </w:rPr>
            </w:pPr>
            <w:r>
              <w:rPr>
                <w:rFonts w:hint="eastAsia" w:ascii="宋体" w:hAnsi="宋体"/>
                <w:kern w:val="0"/>
                <w:sz w:val="18"/>
                <w:szCs w:val="18"/>
              </w:rPr>
              <w:t>分数</w:t>
            </w:r>
          </w:p>
        </w:tc>
        <w:tc>
          <w:tcPr>
            <w:tcW w:w="7334" w:type="dxa"/>
          </w:tcPr>
          <w:p w14:paraId="4A3F2CE0">
            <w:pPr>
              <w:jc w:val="center"/>
              <w:rPr>
                <w:rFonts w:hint="eastAsia" w:ascii="宋体" w:hAnsi="宋体"/>
                <w:kern w:val="0"/>
                <w:sz w:val="18"/>
                <w:szCs w:val="18"/>
              </w:rPr>
            </w:pPr>
            <w:r>
              <w:rPr>
                <w:rFonts w:hint="eastAsia" w:ascii="宋体" w:hAnsi="宋体"/>
                <w:kern w:val="0"/>
                <w:sz w:val="18"/>
                <w:szCs w:val="18"/>
              </w:rPr>
              <w:t>结果</w:t>
            </w:r>
          </w:p>
        </w:tc>
      </w:tr>
      <w:tr w14:paraId="0D13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24E8F820">
            <w:pPr>
              <w:jc w:val="center"/>
              <w:rPr>
                <w:rFonts w:hint="eastAsia" w:ascii="宋体" w:hAnsi="宋体"/>
                <w:kern w:val="0"/>
                <w:sz w:val="18"/>
                <w:szCs w:val="18"/>
              </w:rPr>
            </w:pPr>
            <w:r>
              <w:rPr>
                <w:rFonts w:hint="eastAsia" w:ascii="宋体" w:hAnsi="宋体"/>
                <w:kern w:val="0"/>
                <w:sz w:val="18"/>
                <w:szCs w:val="18"/>
              </w:rPr>
              <w:t>0%或5%</w:t>
            </w:r>
          </w:p>
        </w:tc>
        <w:tc>
          <w:tcPr>
            <w:tcW w:w="7334" w:type="dxa"/>
          </w:tcPr>
          <w:p w14:paraId="1883A2F1">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没有报告结果，或结果很差。（Le）</w:t>
            </w:r>
          </w:p>
          <w:p w14:paraId="0D0EBDB0">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没有显示趋势的数据，或大多为不良趋势。（T）</w:t>
            </w:r>
          </w:p>
          <w:p w14:paraId="098FBD04">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没有报告对比性信息。（C）</w:t>
            </w:r>
          </w:p>
          <w:p w14:paraId="6A52FF25">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在对于达成使命、愿景和战略目标重要的任何方面，均没有报告结果。（I）</w:t>
            </w:r>
          </w:p>
        </w:tc>
      </w:tr>
      <w:tr w14:paraId="522A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2EEF3B4B">
            <w:pPr>
              <w:jc w:val="center"/>
              <w:rPr>
                <w:rFonts w:hint="eastAsia" w:ascii="宋体" w:hAnsi="宋体"/>
                <w:kern w:val="0"/>
                <w:sz w:val="18"/>
                <w:szCs w:val="18"/>
              </w:rPr>
            </w:pPr>
            <w:r>
              <w:rPr>
                <w:rFonts w:hint="eastAsia" w:ascii="宋体" w:hAnsi="宋体"/>
                <w:kern w:val="0"/>
                <w:sz w:val="18"/>
                <w:szCs w:val="18"/>
              </w:rPr>
              <w:t>10%，15%，20%或25%</w:t>
            </w:r>
          </w:p>
        </w:tc>
        <w:tc>
          <w:tcPr>
            <w:tcW w:w="7334" w:type="dxa"/>
          </w:tcPr>
          <w:p w14:paraId="2AC28231">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结果很少，在少数方面有一些早期的良好绩效水平。（Le）</w:t>
            </w:r>
          </w:p>
          <w:p w14:paraId="03095265">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有一些显示趋势的数据，其中部分呈不良的趋势。（T）</w:t>
            </w:r>
          </w:p>
          <w:p w14:paraId="17AA8FD6">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没有或极少报告对比性信息。（C）</w:t>
            </w:r>
          </w:p>
          <w:p w14:paraId="055CBF7E">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在对于达成使命、愿景和战略目标重要的少数方面，报告了结果。（I）</w:t>
            </w:r>
          </w:p>
        </w:tc>
      </w:tr>
      <w:tr w14:paraId="0637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558B2088">
            <w:pPr>
              <w:jc w:val="center"/>
              <w:rPr>
                <w:rFonts w:hint="eastAsia" w:ascii="宋体" w:hAnsi="宋体"/>
                <w:kern w:val="0"/>
                <w:sz w:val="18"/>
                <w:szCs w:val="18"/>
              </w:rPr>
            </w:pPr>
            <w:r>
              <w:rPr>
                <w:rFonts w:hint="eastAsia" w:ascii="宋体" w:hAnsi="宋体"/>
                <w:kern w:val="0"/>
                <w:sz w:val="18"/>
                <w:szCs w:val="18"/>
              </w:rPr>
              <w:t>30%，35%，40%或45%</w:t>
            </w:r>
          </w:p>
        </w:tc>
        <w:tc>
          <w:tcPr>
            <w:tcW w:w="7334" w:type="dxa"/>
          </w:tcPr>
          <w:p w14:paraId="556BF4CB">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针对该评分条款要求重要的一些方面，有良好的绩效水平。（Le）</w:t>
            </w:r>
          </w:p>
          <w:p w14:paraId="299B0576">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有一些显示趋势的数据，其中多半呈有利的趋势。（T）</w:t>
            </w:r>
          </w:p>
          <w:p w14:paraId="3B2D410E">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处于获取对比性信息的初步阶段。（C）</w:t>
            </w:r>
          </w:p>
          <w:p w14:paraId="522590F9">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在对于达成使命、愿景和战略目标重要的多数方面，报告了结果。（I）</w:t>
            </w:r>
          </w:p>
        </w:tc>
      </w:tr>
      <w:tr w14:paraId="34CA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1B41516D">
            <w:pPr>
              <w:jc w:val="center"/>
              <w:rPr>
                <w:rFonts w:hint="eastAsia" w:ascii="宋体" w:hAnsi="宋体"/>
                <w:kern w:val="0"/>
                <w:sz w:val="18"/>
                <w:szCs w:val="18"/>
              </w:rPr>
            </w:pPr>
            <w:r>
              <w:rPr>
                <w:rFonts w:hint="eastAsia" w:ascii="宋体" w:hAnsi="宋体"/>
                <w:kern w:val="0"/>
                <w:sz w:val="18"/>
                <w:szCs w:val="18"/>
              </w:rPr>
              <w:t>50%，55%，60%或65%</w:t>
            </w:r>
          </w:p>
        </w:tc>
        <w:tc>
          <w:tcPr>
            <w:tcW w:w="7334" w:type="dxa"/>
          </w:tcPr>
          <w:p w14:paraId="33DD9612">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针对该评分条款要求重要的大多数方面，有良好的绩效水平。（Le）</w:t>
            </w:r>
          </w:p>
          <w:p w14:paraId="56D2F15A">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在对于达成使命、愿景和战略目标重要的方面，呈有利的趋势。（T）</w:t>
            </w:r>
          </w:p>
          <w:p w14:paraId="7581E81A">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与类似组织和（或）标杆进行对比评价，部分指标具有良好的相对绩效水平。（C）</w:t>
            </w:r>
          </w:p>
          <w:p w14:paraId="13B2288E">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结果对应了大多数关键的过程要求。（I）</w:t>
            </w:r>
          </w:p>
        </w:tc>
      </w:tr>
      <w:tr w14:paraId="678EF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5A96B184">
            <w:pPr>
              <w:jc w:val="center"/>
              <w:rPr>
                <w:rFonts w:hint="eastAsia" w:ascii="宋体" w:hAnsi="宋体"/>
                <w:kern w:val="0"/>
                <w:sz w:val="18"/>
                <w:szCs w:val="18"/>
              </w:rPr>
            </w:pPr>
            <w:r>
              <w:rPr>
                <w:rFonts w:hint="eastAsia" w:ascii="宋体" w:hAnsi="宋体"/>
                <w:kern w:val="0"/>
                <w:sz w:val="18"/>
                <w:szCs w:val="18"/>
              </w:rPr>
              <w:t>70%，75%，80%或85%</w:t>
            </w:r>
          </w:p>
        </w:tc>
        <w:tc>
          <w:tcPr>
            <w:tcW w:w="7334" w:type="dxa"/>
          </w:tcPr>
          <w:p w14:paraId="6224EBF1">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针对该评分条款要求重要的大多数方面，有良好到卓越的绩效水平。（Le）</w:t>
            </w:r>
          </w:p>
          <w:p w14:paraId="3D7C7855">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在对于达成使命、愿景和战略目标重要的大多数方面，呈可持续的有利趋势。（T）</w:t>
            </w:r>
          </w:p>
          <w:p w14:paraId="6B21316A">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与类似组织和（或）标杆进行对比评价，多数乃至大多数指标具有非常好的相对绩效水平。（C）</w:t>
            </w:r>
          </w:p>
          <w:p w14:paraId="737195DB">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结果对应了大多数关键的相关方、过程和战略实施计划要求。（I）</w:t>
            </w:r>
          </w:p>
        </w:tc>
      </w:tr>
      <w:tr w14:paraId="0585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vAlign w:val="center"/>
          </w:tcPr>
          <w:p w14:paraId="72BBEC4F">
            <w:pPr>
              <w:jc w:val="center"/>
              <w:rPr>
                <w:rFonts w:hint="eastAsia" w:ascii="宋体" w:hAnsi="宋体"/>
                <w:kern w:val="0"/>
                <w:sz w:val="18"/>
                <w:szCs w:val="18"/>
              </w:rPr>
            </w:pPr>
            <w:r>
              <w:rPr>
                <w:rFonts w:hint="eastAsia" w:ascii="宋体" w:hAnsi="宋体"/>
                <w:kern w:val="0"/>
                <w:sz w:val="18"/>
                <w:szCs w:val="18"/>
              </w:rPr>
              <w:t>90%，95%或100%</w:t>
            </w:r>
          </w:p>
        </w:tc>
        <w:tc>
          <w:tcPr>
            <w:tcW w:w="7334" w:type="dxa"/>
          </w:tcPr>
          <w:p w14:paraId="2E6577DB">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针对该评分条款要求重要的大多数方面，有卓越的绩效水平。（Le）</w:t>
            </w:r>
          </w:p>
          <w:p w14:paraId="05B3C86E">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在对于达成使命、愿景和战略目标重要的所有方面，呈可持续的有利趋势。（T）</w:t>
            </w:r>
          </w:p>
          <w:p w14:paraId="5D1CDC75">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有多数方面，表明处于引性地位或标杆水准。（C）</w:t>
            </w:r>
          </w:p>
          <w:p w14:paraId="37424CB2">
            <w:pPr>
              <w:numPr>
                <w:ilvl w:val="0"/>
                <w:numId w:val="42"/>
              </w:numPr>
              <w:adjustRightInd/>
              <w:spacing w:line="240" w:lineRule="auto"/>
              <w:rPr>
                <w:rFonts w:hint="eastAsia" w:ascii="宋体" w:hAnsi="宋体"/>
                <w:kern w:val="0"/>
                <w:sz w:val="18"/>
                <w:szCs w:val="18"/>
              </w:rPr>
            </w:pPr>
            <w:r>
              <w:rPr>
                <w:rFonts w:hint="eastAsia" w:ascii="宋体" w:hAnsi="宋体"/>
                <w:kern w:val="0"/>
                <w:sz w:val="18"/>
                <w:szCs w:val="18"/>
              </w:rPr>
              <w:t>结果完全</w:t>
            </w:r>
            <w:r>
              <w:rPr>
                <w:rFonts w:hint="eastAsia" w:ascii="宋体" w:hAnsi="宋体"/>
                <w:kern w:val="0"/>
                <w:sz w:val="18"/>
                <w:szCs w:val="18"/>
                <w:lang w:eastAsia="zh-CN"/>
              </w:rPr>
              <w:t>对应</w:t>
            </w:r>
            <w:r>
              <w:rPr>
                <w:rFonts w:hint="eastAsia" w:ascii="宋体" w:hAnsi="宋体"/>
                <w:kern w:val="0"/>
                <w:sz w:val="18"/>
                <w:szCs w:val="18"/>
              </w:rPr>
              <w:t>关键的相关方、过程和战略实施计划要求。</w:t>
            </w:r>
            <w:bookmarkStart w:id="48" w:name="_GoBack"/>
            <w:r>
              <w:rPr>
                <w:rFonts w:hint="eastAsia" w:ascii="宋体" w:hAnsi="宋体"/>
                <w:kern w:val="0"/>
                <w:sz w:val="18"/>
                <w:szCs w:val="18"/>
              </w:rPr>
              <w:t>（</w:t>
            </w:r>
            <w:bookmarkEnd w:id="48"/>
            <w:r>
              <w:rPr>
                <w:rFonts w:hint="eastAsia" w:ascii="宋体" w:hAnsi="宋体"/>
                <w:kern w:val="0"/>
                <w:sz w:val="18"/>
                <w:szCs w:val="18"/>
              </w:rPr>
              <w:t>I）</w:t>
            </w:r>
          </w:p>
        </w:tc>
      </w:tr>
    </w:tbl>
    <w:p w14:paraId="5E55EE5F">
      <w:pPr>
        <w:widowControl/>
        <w:jc w:val="left"/>
        <w:rPr>
          <w:rFonts w:hint="eastAsia" w:ascii="黑体" w:hAnsi="黑体" w:eastAsia="黑体"/>
          <w:spacing w:val="48"/>
          <w:kern w:val="0"/>
        </w:rPr>
      </w:pPr>
      <w:r>
        <w:rPr>
          <w:rFonts w:ascii="黑体" w:hAnsi="黑体" w:eastAsia="黑体"/>
          <w:spacing w:val="48"/>
        </w:rPr>
        <w:br w:type="page"/>
      </w:r>
    </w:p>
    <w:p w14:paraId="21A69EDC">
      <w:pPr>
        <w:pStyle w:val="58"/>
        <w:ind w:firstLine="420"/>
        <w:sectPr>
          <w:pgSz w:w="11906" w:h="16838"/>
          <w:pgMar w:top="1928" w:right="1134" w:bottom="1134" w:left="1134" w:header="1418" w:footer="1134" w:gutter="284"/>
          <w:pgNumType w:start="1"/>
          <w:cols w:space="425" w:num="1"/>
          <w:formProt w:val="0"/>
          <w:docGrid w:type="lines" w:linePitch="312" w:charSpace="0"/>
        </w:sectPr>
      </w:pPr>
    </w:p>
    <w:bookmarkEnd w:id="45"/>
    <w:p w14:paraId="10292A6D">
      <w:pPr>
        <w:pStyle w:val="65"/>
        <w:spacing w:after="156"/>
      </w:pPr>
      <w:bookmarkStart w:id="46" w:name="BookMark6"/>
      <w:r>
        <w:rPr>
          <w:rFonts w:hint="eastAsia"/>
          <w:spacing w:val="105"/>
        </w:rPr>
        <w:t>参考文</w:t>
      </w:r>
      <w:r>
        <w:rPr>
          <w:rFonts w:hint="eastAsia"/>
        </w:rPr>
        <w:t>献</w:t>
      </w:r>
    </w:p>
    <w:p w14:paraId="164D5C89">
      <w:pPr>
        <w:pStyle w:val="58"/>
        <w:ind w:firstLine="420"/>
      </w:pPr>
      <w:r>
        <w:t>[1] Baldrige Performance Excellence Program. 2023. 2023-2024 Baldrige Excellence Performance Framework®: Proven leadership and Management Practices for High Performance. Gaiserburg,MD:U.S. Department of Commerce, National Institute of Standards and Technology.</w:t>
      </w:r>
    </w:p>
    <w:p w14:paraId="30E3AB71">
      <w:pPr>
        <w:pStyle w:val="58"/>
        <w:ind w:firstLine="420"/>
      </w:pPr>
      <w:r>
        <w:t>[2] 温德成.追求卓越</w:t>
      </w:r>
      <w:r>
        <w:rPr>
          <w:rFonts w:hint="eastAsia"/>
        </w:rPr>
        <w:t>——</w:t>
      </w:r>
      <w:r>
        <w:t>解读2019-2020美国卓越绩效评价准则[M].北京:中国标准出版社, 2020.</w:t>
      </w:r>
    </w:p>
    <w:p w14:paraId="2934E651">
      <w:pPr>
        <w:pStyle w:val="58"/>
        <w:ind w:firstLine="420"/>
      </w:pPr>
      <w:r>
        <w:t>[3] GB/T 19580-2012 卓越绩效评价准则</w:t>
      </w:r>
      <w:r>
        <w:rPr>
          <w:rFonts w:hint="eastAsia"/>
        </w:rPr>
        <w:t>[</w:t>
      </w:r>
      <w:r>
        <w:t>S]. 北京</w:t>
      </w:r>
      <w:r>
        <w:rPr>
          <w:rFonts w:hint="eastAsia"/>
        </w:rPr>
        <w:t>:</w:t>
      </w:r>
      <w:r>
        <w:t xml:space="preserve"> 中国标准出版社</w:t>
      </w:r>
      <w:r>
        <w:rPr>
          <w:rFonts w:hint="eastAsia"/>
        </w:rPr>
        <w:t>,</w:t>
      </w:r>
      <w:r>
        <w:t xml:space="preserve"> 2012.</w:t>
      </w:r>
    </w:p>
    <w:bookmarkEnd w:id="46"/>
    <w:p w14:paraId="6D748A37">
      <w:pPr>
        <w:pStyle w:val="58"/>
        <w:ind w:firstLine="0" w:firstLineChars="0"/>
        <w:jc w:val="center"/>
      </w:pPr>
      <w:bookmarkStart w:id="47" w:name="BookMark8"/>
      <w:r>
        <w:drawing>
          <wp:inline distT="0" distB="0" distL="0" distR="0">
            <wp:extent cx="1485900" cy="317500"/>
            <wp:effectExtent l="0" t="0" r="0" b="6350"/>
            <wp:docPr id="1164454892" name="图片 3"/>
            <wp:cNvGraphicFramePr/>
            <a:graphic xmlns:a="http://schemas.openxmlformats.org/drawingml/2006/main">
              <a:graphicData uri="http://schemas.openxmlformats.org/drawingml/2006/picture">
                <pic:pic xmlns:pic="http://schemas.openxmlformats.org/drawingml/2006/picture">
                  <pic:nvPicPr>
                    <pic:cNvPr id="1164454892" name="图片 3"/>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7346C">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C8496">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BA7A8">
    <w:pPr>
      <w:pStyle w:val="54"/>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03B3A">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C881A">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1BFF3">
    <w:pPr>
      <w:pStyle w:val="63"/>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A67B2">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3FD7BD3"/>
    <w:multiLevelType w:val="multilevel"/>
    <w:tmpl w:val="13FD7B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82E3007"/>
    <w:multiLevelType w:val="multilevel"/>
    <w:tmpl w:val="582E300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5F1D274F"/>
    <w:multiLevelType w:val="multilevel"/>
    <w:tmpl w:val="5F1D274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7E2A52F2"/>
    <w:multiLevelType w:val="multilevel"/>
    <w:tmpl w:val="7E2A52F2"/>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30"/>
  </w:num>
  <w:num w:numId="3">
    <w:abstractNumId w:val="5"/>
  </w:num>
  <w:num w:numId="4">
    <w:abstractNumId w:val="26"/>
  </w:num>
  <w:num w:numId="5">
    <w:abstractNumId w:val="19"/>
  </w:num>
  <w:num w:numId="6">
    <w:abstractNumId w:val="14"/>
  </w:num>
  <w:num w:numId="7">
    <w:abstractNumId w:val="9"/>
  </w:num>
  <w:num w:numId="8">
    <w:abstractNumId w:val="3"/>
  </w:num>
  <w:num w:numId="9">
    <w:abstractNumId w:val="10"/>
  </w:num>
  <w:num w:numId="10">
    <w:abstractNumId w:val="17"/>
  </w:num>
  <w:num w:numId="11">
    <w:abstractNumId w:val="28"/>
  </w:num>
  <w:num w:numId="12">
    <w:abstractNumId w:val="12"/>
  </w:num>
  <w:num w:numId="13">
    <w:abstractNumId w:val="13"/>
  </w:num>
  <w:num w:numId="14">
    <w:abstractNumId w:val="8"/>
  </w:num>
  <w:num w:numId="15">
    <w:abstractNumId w:val="20"/>
  </w:num>
  <w:num w:numId="16">
    <w:abstractNumId w:val="24"/>
  </w:num>
  <w:num w:numId="17">
    <w:abstractNumId w:val="18"/>
  </w:num>
  <w:num w:numId="18">
    <w:abstractNumId w:val="32"/>
  </w:num>
  <w:num w:numId="19">
    <w:abstractNumId w:val="16"/>
  </w:num>
  <w:num w:numId="20">
    <w:abstractNumId w:val="1"/>
  </w:num>
  <w:num w:numId="21">
    <w:abstractNumId w:val="11"/>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5"/>
  </w:num>
  <w:num w:numId="30">
    <w:abstractNumId w:val="27"/>
  </w:num>
  <w:num w:numId="31">
    <w:abstractNumId w:val="2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2"/>
  </w:num>
  <w:num w:numId="41">
    <w:abstractNumId w:val="7"/>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50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50F"/>
    <w:rsid w:val="0005265A"/>
    <w:rsid w:val="000539DD"/>
    <w:rsid w:val="00053BD3"/>
    <w:rsid w:val="000556ED"/>
    <w:rsid w:val="00055FE2"/>
    <w:rsid w:val="0005616F"/>
    <w:rsid w:val="00060C2E"/>
    <w:rsid w:val="00060EB7"/>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B41"/>
    <w:rsid w:val="001A4CF3"/>
    <w:rsid w:val="001B06E8"/>
    <w:rsid w:val="001B71D0"/>
    <w:rsid w:val="001B71EE"/>
    <w:rsid w:val="001C04A8"/>
    <w:rsid w:val="001C2C03"/>
    <w:rsid w:val="001C42F7"/>
    <w:rsid w:val="001C49E5"/>
    <w:rsid w:val="001C680C"/>
    <w:rsid w:val="001C7FEA"/>
    <w:rsid w:val="001D0499"/>
    <w:rsid w:val="001D0BBE"/>
    <w:rsid w:val="001D0E56"/>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EE0"/>
    <w:rsid w:val="00243540"/>
    <w:rsid w:val="0024497B"/>
    <w:rsid w:val="0024515B"/>
    <w:rsid w:val="00246021"/>
    <w:rsid w:val="0024666E"/>
    <w:rsid w:val="00247F52"/>
    <w:rsid w:val="00250B25"/>
    <w:rsid w:val="00250BBE"/>
    <w:rsid w:val="002515C2"/>
    <w:rsid w:val="0025194F"/>
    <w:rsid w:val="00260111"/>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3E3"/>
    <w:rsid w:val="00306063"/>
    <w:rsid w:val="00311A6F"/>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5389"/>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11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062"/>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56E3"/>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028"/>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D5D"/>
    <w:rsid w:val="00555044"/>
    <w:rsid w:val="00556CA7"/>
    <w:rsid w:val="00561475"/>
    <w:rsid w:val="00561A42"/>
    <w:rsid w:val="0056487B"/>
    <w:rsid w:val="00564FB9"/>
    <w:rsid w:val="00573D9E"/>
    <w:rsid w:val="00577818"/>
    <w:rsid w:val="00577F54"/>
    <w:rsid w:val="005801E3"/>
    <w:rsid w:val="00581802"/>
    <w:rsid w:val="005836A8"/>
    <w:rsid w:val="0058409C"/>
    <w:rsid w:val="00584262"/>
    <w:rsid w:val="00586630"/>
    <w:rsid w:val="00587ADD"/>
    <w:rsid w:val="00591D9F"/>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277C"/>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645"/>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0B3"/>
    <w:rsid w:val="00883F93"/>
    <w:rsid w:val="00884DB3"/>
    <w:rsid w:val="008858E8"/>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BCA"/>
    <w:rsid w:val="009062E6"/>
    <w:rsid w:val="00911BE5"/>
    <w:rsid w:val="00913CA9"/>
    <w:rsid w:val="009145AE"/>
    <w:rsid w:val="009146CE"/>
    <w:rsid w:val="00914CA7"/>
    <w:rsid w:val="00915C3E"/>
    <w:rsid w:val="009161A8"/>
    <w:rsid w:val="009214FC"/>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C6C"/>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48D"/>
    <w:rsid w:val="00B34DC2"/>
    <w:rsid w:val="00B378E5"/>
    <w:rsid w:val="00B4346D"/>
    <w:rsid w:val="00B440F4"/>
    <w:rsid w:val="00B447A5"/>
    <w:rsid w:val="00B4654C"/>
    <w:rsid w:val="00B46AF0"/>
    <w:rsid w:val="00B47293"/>
    <w:rsid w:val="00B50575"/>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281"/>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191"/>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D72"/>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061D"/>
    <w:rsid w:val="00EA58D1"/>
    <w:rsid w:val="00EA61BC"/>
    <w:rsid w:val="00EA681A"/>
    <w:rsid w:val="00EA735B"/>
    <w:rsid w:val="00EB17DE"/>
    <w:rsid w:val="00EB1E69"/>
    <w:rsid w:val="00EB2086"/>
    <w:rsid w:val="00EB5EDF"/>
    <w:rsid w:val="00EB60FE"/>
    <w:rsid w:val="00EB74DB"/>
    <w:rsid w:val="00EC172D"/>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1E1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B916F6A"/>
    <w:rsid w:val="79986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semiHidden/>
    <w:unhideWhenUsed/>
    <w:qFormat/>
    <w:uiPriority w:val="99"/>
    <w:pPr>
      <w:adjustRightInd/>
      <w:spacing w:line="240" w:lineRule="auto"/>
      <w:jc w:val="left"/>
    </w:pPr>
    <w:rPr>
      <w:rFonts w:asciiTheme="minorHAnsi" w:hAnsiTheme="minorHAnsi" w:eastAsiaTheme="minorEastAsia" w:cstheme="minorBidi"/>
      <w:szCs w:val="22"/>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9"/>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批注文字 字符"/>
    <w:basedOn w:val="29"/>
    <w:link w:val="13"/>
    <w:semiHidden/>
    <w:qFormat/>
    <w:uiPriority w:val="99"/>
    <w:rPr>
      <w:rFonts w:asciiTheme="minorHAnsi" w:hAnsiTheme="minorHAnsi" w:eastAsiaTheme="minorEastAsia" w:cstheme="minorBidi"/>
      <w:kern w:val="2"/>
      <w:sz w:val="21"/>
      <w:szCs w:val="22"/>
    </w:rPr>
  </w:style>
  <w:style w:type="paragraph" w:styleId="233">
    <w:name w:val="List Paragraph"/>
    <w:basedOn w:val="1"/>
    <w:qFormat/>
    <w:uiPriority w:val="34"/>
    <w:pPr>
      <w:adjustRightInd/>
      <w:spacing w:line="240" w:lineRule="auto"/>
      <w:ind w:firstLine="420" w:firstLineChars="200"/>
    </w:pPr>
    <w:rPr>
      <w:rFonts w:asciiTheme="minorHAnsi" w:hAnsiTheme="minorHAnsi" w:eastAsiaTheme="minorEastAsia" w:cstheme="minorBidi"/>
      <w:szCs w:val="22"/>
    </w:rPr>
  </w:style>
  <w:style w:type="paragraph" w:customStyle="1" w:styleId="234">
    <w:name w:val="段"/>
    <w:link w:val="235"/>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character" w:customStyle="1" w:styleId="235">
    <w:name w:val="段 Char"/>
    <w:link w:val="234"/>
    <w:qFormat/>
    <w:uiPriority w:val="0"/>
    <w:rPr>
      <w:rFonts w:ascii="宋体"/>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0003DCC88E94B89B8140899FE19E35F"/>
        <w:style w:val=""/>
        <w:category>
          <w:name w:val="常规"/>
          <w:gallery w:val="placeholder"/>
        </w:category>
        <w:types>
          <w:type w:val="bbPlcHdr"/>
        </w:types>
        <w:behaviors>
          <w:behavior w:val="content"/>
        </w:behaviors>
        <w:description w:val=""/>
        <w:guid w:val="{4537E144-FD1B-466E-B853-E2B6C083AEC3}"/>
      </w:docPartPr>
      <w:docPartBody>
        <w:p w14:paraId="762E57F0">
          <w:pPr>
            <w:pStyle w:val="5"/>
            <w:rPr>
              <w:rFonts w:hint="eastAsia"/>
            </w:rPr>
          </w:pPr>
          <w:r>
            <w:rPr>
              <w:rStyle w:val="4"/>
              <w:rFonts w:hint="eastAsia"/>
            </w:rPr>
            <w:t>单击或点击此处输入文字。</w:t>
          </w:r>
        </w:p>
      </w:docPartBody>
    </w:docPart>
    <w:docPart>
      <w:docPartPr>
        <w:name w:val="3EC7DED2C8814977ACD82023C298D80A"/>
        <w:style w:val=""/>
        <w:category>
          <w:name w:val="常规"/>
          <w:gallery w:val="placeholder"/>
        </w:category>
        <w:types>
          <w:type w:val="bbPlcHdr"/>
        </w:types>
        <w:behaviors>
          <w:behavior w:val="content"/>
        </w:behaviors>
        <w:description w:val=""/>
        <w:guid w:val="{787C47BB-47E2-4F13-AD41-9C990E594074}"/>
      </w:docPartPr>
      <w:docPartBody>
        <w:p w14:paraId="590D30C9">
          <w:pPr>
            <w:pStyle w:val="6"/>
            <w:rPr>
              <w:rFonts w:hint="eastAsia"/>
            </w:rPr>
          </w:pPr>
          <w:r>
            <w:rPr>
              <w:rStyle w:val="4"/>
              <w:rFonts w:hint="eastAsia"/>
            </w:rPr>
            <w:t>选择一项。</w:t>
          </w:r>
        </w:p>
      </w:docPartBody>
    </w:docPart>
    <w:docPart>
      <w:docPartPr>
        <w:name w:val="B16C4F5B4CC0430AAEDF936375975264"/>
        <w:style w:val=""/>
        <w:category>
          <w:name w:val="常规"/>
          <w:gallery w:val="placeholder"/>
        </w:category>
        <w:types>
          <w:type w:val="bbPlcHdr"/>
        </w:types>
        <w:behaviors>
          <w:behavior w:val="content"/>
        </w:behaviors>
        <w:description w:val=""/>
        <w:guid w:val="{BAAEF0DB-4768-4777-BC64-19F64C86052C}"/>
      </w:docPartPr>
      <w:docPartBody>
        <w:p w14:paraId="6ACCF79B">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6E8"/>
    <w:rsid w:val="00136E33"/>
    <w:rsid w:val="001A3B41"/>
    <w:rsid w:val="002D0820"/>
    <w:rsid w:val="007146E8"/>
    <w:rsid w:val="007D349A"/>
    <w:rsid w:val="00A868B0"/>
    <w:rsid w:val="00A926C6"/>
    <w:rsid w:val="00BF0281"/>
    <w:rsid w:val="00DB1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0003DCC88E94B89B8140899FE19E35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7DED2C8814977ACD82023C298D80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16C4F5B4CC0430AAEDF93637597526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776EA0-EC29-438B-A426-4D32B5381FD0}">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12</Pages>
  <Words>3874</Words>
  <Characters>4105</Characters>
  <Lines>56</Lines>
  <Paragraphs>15</Paragraphs>
  <TotalTime>28</TotalTime>
  <ScaleCrop>false</ScaleCrop>
  <LinksUpToDate>false</LinksUpToDate>
  <CharactersWithSpaces>4158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2024-03-26T17:49:00Z</dcterms:created>
  <dc:creator>舒方玲</dc:creator>
  <dc:description>&lt;config cover="true" show_menu="true" version="1.0.0" doctype="SDKXY"&gt;_x000d_
&lt;/config&gt;</dc:description>
  <cp:lastModifiedBy>忐忑</cp:lastModifiedBy>
  <cp:lastPrinted>2020-08-30T18:00:00Z</cp:lastPrinted>
  <dcterms:modified xsi:type="dcterms:W3CDTF">2025-10-13T01:13:36Z</dcterms:modified>
  <dc:title>地方标准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51606588997F4DFAB0F145858E5ABEAE_13</vt:lpwstr>
  </property>
  <property fmtid="{D5CDD505-2E9C-101B-9397-08002B2CF9AE}" pid="16" name="KSOTemplateDocerSaveRecord">
    <vt:lpwstr>eyJoZGlkIjoiMjE1MGZmOTRhZjllMGExZDlkZTMzYmYzNTljMTkwODUiLCJ1c2VySWQiOiI0MzYwMTU0NjQifQ==</vt:lpwstr>
  </property>
</Properties>
</file>