
<file path=[Content_Types].xml><?xml version="1.0" encoding="utf-8"?>
<Types xmlns="http://schemas.openxmlformats.org/package/2006/content-types">
  <Default Extension="xml" ContentType="application/xml"/>
  <Default Extension="tiff" ContentType="image/tiff"/>
  <Default Extension="emf" ContentType="image/x-em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3B9479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B2BF21A">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4D832145">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03.080.99</w:t>
            </w:r>
            <w:r>
              <w:rPr>
                <w:rFonts w:ascii="黑体" w:hAnsi="黑体" w:eastAsia="黑体"/>
                <w:sz w:val="21"/>
                <w:szCs w:val="21"/>
              </w:rPr>
              <w:fldChar w:fldCharType="end"/>
            </w:r>
            <w:bookmarkEnd w:id="0"/>
          </w:p>
        </w:tc>
      </w:tr>
      <w:tr w14:paraId="6120AA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0AF3A83">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7D380BB6">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 xml:space="preserve">A 90 </w:t>
            </w:r>
            <w:r>
              <w:rPr>
                <w:rFonts w:ascii="黑体" w:hAnsi="黑体" w:eastAsia="黑体"/>
                <w:sz w:val="21"/>
                <w:szCs w:val="21"/>
              </w:rPr>
              <w:t xml:space="preserve"> </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661"/>
      </w:tblGrid>
      <w:tr w14:paraId="07CCE09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661" w:type="dxa"/>
          </w:tcPr>
          <w:p w14:paraId="2E2279E3">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34</w:t>
            </w:r>
            <w:r>
              <w:fldChar w:fldCharType="end"/>
            </w:r>
            <w:bookmarkEnd w:id="3"/>
          </w:p>
        </w:tc>
      </w:tr>
    </w:tbl>
    <w:p w14:paraId="3D74CFEA">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1D463181">
      <w:pPr>
        <w:pStyle w:val="196"/>
      </w:pPr>
      <w:r>
        <w:t>DB</w:t>
      </w:r>
      <w:r>
        <w:rPr>
          <w:sz w:val="15"/>
          <w:szCs w:val="15"/>
        </w:rPr>
        <w:t xml:space="preserve"> </w:t>
      </w:r>
      <w:r>
        <w:fldChar w:fldCharType="begin">
          <w:ffData>
            <w:name w:val="文字1"/>
            <w:enabled/>
            <w:calcOnExit w:val="0"/>
            <w:textInput>
              <w:default w:val="XX"/>
            </w:textInput>
          </w:ffData>
        </w:fldChar>
      </w:r>
      <w:bookmarkStart w:id="5" w:name="文字1"/>
      <w:r>
        <w:instrText xml:space="preserve"> FORMTEXT </w:instrText>
      </w:r>
      <w:r>
        <w:fldChar w:fldCharType="separate"/>
      </w:r>
      <w:r>
        <w:t>34/T</w:t>
      </w:r>
      <w:r>
        <w:fldChar w:fldCharType="end"/>
      </w:r>
      <w:bookmarkEnd w:id="5"/>
      <w:r>
        <w:t xml:space="preserve"> </w:t>
      </w:r>
      <w:r>
        <w:fldChar w:fldCharType="begin">
          <w:ffData>
            <w:name w:val="NSTD_CODE_F"/>
            <w:enabled/>
            <w:calcOnExit w:val="0"/>
            <w:textInput>
              <w:default w:val="XXXXX"/>
            </w:textInput>
          </w:ffData>
        </w:fldChar>
      </w:r>
      <w:bookmarkStart w:id="6" w:name="NSTD_CODE_F"/>
      <w:r>
        <w:instrText xml:space="preserve"> FORMTEXT </w:instrText>
      </w:r>
      <w:r>
        <w:fldChar w:fldCharType="separate"/>
      </w:r>
      <w:r>
        <w:t>XXXXX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60F5F5F7">
      <w:pPr>
        <w:pStyle w:val="197"/>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7C1A0CF">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5B19AFD">
      <w:pPr>
        <w:pStyle w:val="51"/>
        <w:framePr w:w="9639" w:h="6976" w:hRule="exact" w:hSpace="0" w:vSpace="0" w:wrap="around" w:hAnchor="page" w:y="6408"/>
        <w:jc w:val="center"/>
        <w:rPr>
          <w:rFonts w:ascii="黑体" w:hAnsi="黑体" w:eastAsia="黑体"/>
          <w:b w:val="0"/>
          <w:bCs w:val="0"/>
          <w:w w:val="100"/>
        </w:rPr>
      </w:pPr>
    </w:p>
    <w:p w14:paraId="08FACFC0">
      <w:pPr>
        <w:pStyle w:val="19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保安</w:t>
      </w:r>
      <w:r>
        <w:rPr>
          <w:rFonts w:hint="eastAsia"/>
          <w:lang w:eastAsia="zh-CN"/>
        </w:rPr>
        <w:t>员岗位培训工作指南</w:t>
      </w:r>
      <w:r>
        <w:fldChar w:fldCharType="end"/>
      </w:r>
      <w:bookmarkEnd w:id="9"/>
    </w:p>
    <w:p w14:paraId="4CD0B991">
      <w:pPr>
        <w:framePr w:w="9639" w:h="6974" w:hRule="exact" w:wrap="around" w:vAnchor="page" w:hAnchor="page" w:x="1419" w:y="6408" w:anchorLock="1"/>
        <w:ind w:left="-1418"/>
      </w:pPr>
    </w:p>
    <w:p w14:paraId="2B018F58">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 xml:space="preserve">Guide for </w:t>
      </w:r>
      <w:r>
        <w:rPr>
          <w:rFonts w:hint="eastAsia" w:eastAsia="黑体"/>
          <w:szCs w:val="28"/>
          <w:lang w:val="en-US" w:eastAsia="zh-CN"/>
        </w:rPr>
        <w:t>s</w:t>
      </w:r>
      <w:r>
        <w:rPr>
          <w:rFonts w:hint="eastAsia" w:eastAsia="黑体"/>
          <w:szCs w:val="28"/>
        </w:rPr>
        <w:t xml:space="preserve">ecurity </w:t>
      </w:r>
      <w:r>
        <w:rPr>
          <w:rFonts w:hint="eastAsia" w:eastAsia="黑体"/>
          <w:szCs w:val="28"/>
          <w:lang w:val="en-US" w:eastAsia="zh-CN"/>
        </w:rPr>
        <w:t>g</w:t>
      </w:r>
      <w:r>
        <w:rPr>
          <w:rFonts w:hint="eastAsia" w:eastAsia="黑体"/>
          <w:szCs w:val="28"/>
        </w:rPr>
        <w:t xml:space="preserve">uard </w:t>
      </w:r>
      <w:r>
        <w:rPr>
          <w:rFonts w:hint="eastAsia" w:eastAsia="黑体"/>
          <w:szCs w:val="28"/>
          <w:lang w:val="en-US" w:eastAsia="zh-CN"/>
        </w:rPr>
        <w:t>j</w:t>
      </w:r>
      <w:r>
        <w:rPr>
          <w:rFonts w:hint="eastAsia" w:eastAsia="黑体"/>
          <w:szCs w:val="28"/>
        </w:rPr>
        <w:t xml:space="preserve">ob </w:t>
      </w:r>
      <w:r>
        <w:rPr>
          <w:rFonts w:hint="eastAsia" w:eastAsia="黑体"/>
          <w:szCs w:val="28"/>
          <w:lang w:val="en-US" w:eastAsia="zh-CN"/>
        </w:rPr>
        <w:t>t</w:t>
      </w:r>
      <w:r>
        <w:rPr>
          <w:rFonts w:hint="eastAsia" w:eastAsia="黑体"/>
          <w:szCs w:val="28"/>
        </w:rPr>
        <w:t>raining</w:t>
      </w:r>
      <w:r>
        <w:rPr>
          <w:rFonts w:eastAsia="黑体"/>
          <w:szCs w:val="28"/>
        </w:rPr>
        <w:t>   </w:t>
      </w:r>
      <w:r>
        <w:rPr>
          <w:rFonts w:eastAsia="黑体"/>
          <w:szCs w:val="28"/>
        </w:rPr>
        <w:fldChar w:fldCharType="end"/>
      </w:r>
      <w:bookmarkEnd w:id="10"/>
    </w:p>
    <w:p w14:paraId="35F9B65C">
      <w:pPr>
        <w:framePr w:w="9639" w:h="6974" w:hRule="exact" w:wrap="around" w:vAnchor="page" w:hAnchor="page" w:x="1419" w:y="6408" w:anchorLock="1"/>
        <w:spacing w:line="760" w:lineRule="exact"/>
        <w:ind w:left="-1418"/>
      </w:pPr>
    </w:p>
    <w:p w14:paraId="18DE36BB">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11" w:name="IN_STD_CODE"/>
      <w:r>
        <w:rPr>
          <w:rFonts w:eastAsia="黑体"/>
          <w:szCs w:val="28"/>
        </w:rPr>
        <w:instrText xml:space="preserve"> FORMTEXT </w:instrText>
      </w:r>
      <w:r>
        <w:rPr>
          <w:rFonts w:eastAsia="黑体"/>
          <w:szCs w:val="28"/>
        </w:rPr>
        <w:fldChar w:fldCharType="separate"/>
      </w:r>
      <w:r>
        <w:rPr>
          <w:rFonts w:eastAsia="黑体"/>
          <w:szCs w:val="28"/>
        </w:rPr>
        <w:t>     </w:t>
      </w:r>
      <w:r>
        <w:rPr>
          <w:rFonts w:eastAsia="黑体"/>
          <w:szCs w:val="28"/>
        </w:rPr>
        <w:fldChar w:fldCharType="end"/>
      </w:r>
      <w:bookmarkEnd w:id="11"/>
    </w:p>
    <w:p w14:paraId="275E1471">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Pr>
          <w:sz w:val="24"/>
          <w:szCs w:val="28"/>
        </w:rPr>
        <w:fldChar w:fldCharType="separate"/>
      </w:r>
      <w:r>
        <w:rPr>
          <w:sz w:val="24"/>
          <w:szCs w:val="28"/>
        </w:rPr>
        <w:fldChar w:fldCharType="end"/>
      </w:r>
      <w:bookmarkEnd w:id="12"/>
    </w:p>
    <w:p w14:paraId="01CCF0BB">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3"/>
    </w:p>
    <w:p w14:paraId="0CB6541A">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fldChar w:fldCharType="separate"/>
      </w:r>
      <w:r>
        <w:rPr>
          <w:b/>
          <w:sz w:val="21"/>
          <w:szCs w:val="28"/>
        </w:rPr>
        <w:fldChar w:fldCharType="end"/>
      </w:r>
      <w:bookmarkEnd w:id="14"/>
    </w:p>
    <w:p w14:paraId="7DECB4A6">
      <w:pPr>
        <w:pStyle w:val="194"/>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发布</w:t>
      </w:r>
    </w:p>
    <w:p w14:paraId="76DACCCE">
      <w:pPr>
        <w:pStyle w:val="195"/>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20"/>
      <w:r>
        <w:rPr>
          <w:rFonts w:hint="eastAsia"/>
        </w:rPr>
        <w:t>实施</w:t>
      </w:r>
    </w:p>
    <w:p w14:paraId="15617688">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21"/>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57FF8155">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9B3A9D9">
      <w:pPr>
        <w:pStyle w:val="90"/>
        <w:spacing w:after="468"/>
      </w:pPr>
      <w:bookmarkStart w:id="22" w:name="_Toc56168513"/>
      <w:bookmarkStart w:id="23" w:name="_Toc56171382"/>
      <w:bookmarkStart w:id="24" w:name="_Toc31246"/>
      <w:bookmarkStart w:id="25" w:name="BookMark2"/>
      <w:r>
        <w:rPr>
          <w:spacing w:val="320"/>
        </w:rPr>
        <w:t>前</w:t>
      </w:r>
      <w:r>
        <w:t>言</w:t>
      </w:r>
      <w:bookmarkEnd w:id="22"/>
      <w:bookmarkEnd w:id="23"/>
      <w:bookmarkEnd w:id="24"/>
    </w:p>
    <w:p w14:paraId="496D20F5">
      <w:pPr>
        <w:pStyle w:val="57"/>
        <w:ind w:firstLine="420"/>
      </w:pPr>
      <w:r>
        <w:rPr>
          <w:rFonts w:hint="eastAsia"/>
        </w:rPr>
        <w:t>本文件按照GB/T 1.1—2020《标准化工作导则  第1部分：标准化文件的结构和起草规则》的规定起草。</w:t>
      </w:r>
    </w:p>
    <w:p w14:paraId="5F46237A">
      <w:pPr>
        <w:pStyle w:val="57"/>
        <w:ind w:firstLine="420"/>
      </w:pPr>
      <w:r>
        <w:rPr>
          <w:rFonts w:hint="eastAsia"/>
        </w:rPr>
        <w:t>请</w:t>
      </w:r>
      <w:r>
        <w:t>注意本文件的某些内容</w:t>
      </w:r>
      <w:r>
        <w:rPr>
          <w:rFonts w:hint="eastAsia"/>
        </w:rPr>
        <w:t>可能</w:t>
      </w:r>
      <w:r>
        <w:t>涉及专利。</w:t>
      </w:r>
      <w:r>
        <w:rPr>
          <w:rFonts w:hint="eastAsia"/>
        </w:rPr>
        <w:t>本</w:t>
      </w:r>
      <w:r>
        <w:t>文件的发布机构不承担</w:t>
      </w:r>
      <w:r>
        <w:rPr>
          <w:rFonts w:hint="eastAsia"/>
        </w:rPr>
        <w:t>识别</w:t>
      </w:r>
      <w:r>
        <w:t>专利的责任。</w:t>
      </w:r>
    </w:p>
    <w:p w14:paraId="5B71AB18">
      <w:pPr>
        <w:pStyle w:val="57"/>
        <w:ind w:firstLine="420"/>
        <w:rPr>
          <w:rFonts w:hint="eastAsia" w:eastAsia="宋体"/>
          <w:lang w:val="en-US" w:eastAsia="zh-CN"/>
        </w:rPr>
      </w:pPr>
      <w:r>
        <w:rPr>
          <w:rFonts w:hint="eastAsia"/>
        </w:rPr>
        <w:t>本文件由</w:t>
      </w:r>
      <w:r>
        <w:rPr>
          <w:rFonts w:hint="eastAsia"/>
          <w:lang w:val="en-US" w:eastAsia="zh-CN"/>
        </w:rPr>
        <w:t>中</w:t>
      </w:r>
      <w:r>
        <w:rPr>
          <w:rFonts w:hint="eastAsia"/>
        </w:rPr>
        <w:t>保恒杰保安服务集团有限公司</w:t>
      </w:r>
      <w:r>
        <w:rPr>
          <w:rFonts w:hint="eastAsia"/>
          <w:lang w:val="en-US" w:eastAsia="zh-CN"/>
        </w:rPr>
        <w:t>提出。</w:t>
      </w:r>
    </w:p>
    <w:p w14:paraId="52F17367">
      <w:pPr>
        <w:pStyle w:val="57"/>
        <w:ind w:firstLine="420"/>
      </w:pPr>
      <w:r>
        <w:rPr>
          <w:rFonts w:hint="eastAsia"/>
        </w:rPr>
        <w:t>本文件由安徽省</w:t>
      </w:r>
      <w:r>
        <w:t>公安厅归口</w:t>
      </w:r>
      <w:r>
        <w:rPr>
          <w:rFonts w:hint="eastAsia"/>
        </w:rPr>
        <w:t>。</w:t>
      </w:r>
    </w:p>
    <w:p w14:paraId="73E49118">
      <w:pPr>
        <w:pStyle w:val="57"/>
        <w:ind w:firstLine="420"/>
        <w:rPr>
          <w:rFonts w:hint="eastAsia" w:eastAsia="宋体"/>
          <w:lang w:eastAsia="zh-CN"/>
        </w:rPr>
      </w:pPr>
      <w:r>
        <w:rPr>
          <w:rFonts w:hint="eastAsia"/>
        </w:rPr>
        <w:t>本文件起草单位：</w:t>
      </w:r>
      <w:r>
        <w:rPr>
          <w:rFonts w:hint="eastAsia"/>
          <w:lang w:val="en-US" w:eastAsia="zh-CN"/>
        </w:rPr>
        <w:t>中</w:t>
      </w:r>
      <w:r>
        <w:rPr>
          <w:rFonts w:hint="eastAsia"/>
        </w:rPr>
        <w:t>保恒杰保安服务集团有限公司、</w:t>
      </w:r>
      <w:r>
        <w:rPr>
          <w:rFonts w:hint="eastAsia"/>
          <w:highlight w:val="none"/>
        </w:rPr>
        <w:t>安徽华荣远诚人力资源服务管理集团有限公司</w:t>
      </w:r>
      <w:r>
        <w:rPr>
          <w:rFonts w:hint="eastAsia"/>
          <w:highlight w:val="none"/>
          <w:lang w:eastAsia="zh-CN"/>
        </w:rPr>
        <w:t>、</w:t>
      </w:r>
      <w:r>
        <w:rPr>
          <w:rFonts w:hint="eastAsia"/>
        </w:rPr>
        <w:t>合肥市公安局治安警察支队四大队、安徽省鹏徽市场管理服务集团有限公司、安徽农业大学保卫处、安徽医科大学保卫处、安徽建筑大学保卫处</w:t>
      </w:r>
      <w:r>
        <w:rPr>
          <w:rFonts w:hint="eastAsia"/>
          <w:lang w:eastAsia="zh-CN"/>
        </w:rPr>
        <w:t>。</w:t>
      </w:r>
    </w:p>
    <w:p w14:paraId="2EBC4FD0">
      <w:pPr>
        <w:pStyle w:val="57"/>
        <w:ind w:firstLine="420"/>
        <w:rPr>
          <w:rFonts w:hint="eastAsia" w:eastAsia="宋体"/>
          <w:lang w:eastAsia="zh-CN"/>
        </w:rPr>
      </w:pPr>
      <w:r>
        <w:rPr>
          <w:rFonts w:hint="eastAsia"/>
        </w:rPr>
        <w:t>本文件主要起草人：征红蔓</w:t>
      </w:r>
      <w:r>
        <w:rPr>
          <w:rFonts w:hint="eastAsia"/>
          <w:lang w:eastAsia="zh-CN"/>
        </w:rPr>
        <w:t>、</w:t>
      </w:r>
      <w:r>
        <w:rPr>
          <w:rFonts w:hint="eastAsia"/>
        </w:rPr>
        <w:t>汪小翠</w:t>
      </w:r>
      <w:r>
        <w:rPr>
          <w:rFonts w:hint="eastAsia"/>
          <w:lang w:eastAsia="zh-CN"/>
        </w:rPr>
        <w:t>、</w:t>
      </w:r>
      <w:r>
        <w:rPr>
          <w:rFonts w:hint="eastAsia"/>
          <w:lang w:val="en-US" w:eastAsia="zh-CN"/>
        </w:rPr>
        <w:t>孔伟娜、</w:t>
      </w:r>
      <w:r>
        <w:rPr>
          <w:rFonts w:hint="eastAsia"/>
        </w:rPr>
        <w:t>王灿</w:t>
      </w:r>
      <w:r>
        <w:rPr>
          <w:rFonts w:hint="eastAsia"/>
          <w:lang w:eastAsia="zh-CN"/>
        </w:rPr>
        <w:t>、</w:t>
      </w:r>
      <w:r>
        <w:rPr>
          <w:rFonts w:hint="eastAsia"/>
        </w:rPr>
        <w:t>马保</w:t>
      </w:r>
      <w:r>
        <w:rPr>
          <w:rFonts w:hint="eastAsia"/>
          <w:lang w:eastAsia="zh-CN"/>
        </w:rPr>
        <w:t>、</w:t>
      </w:r>
      <w:r>
        <w:rPr>
          <w:rFonts w:hint="eastAsia"/>
        </w:rPr>
        <w:t>任建东</w:t>
      </w:r>
      <w:r>
        <w:rPr>
          <w:rFonts w:hint="eastAsia"/>
          <w:lang w:eastAsia="zh-CN"/>
        </w:rPr>
        <w:t>、</w:t>
      </w:r>
      <w:r>
        <w:rPr>
          <w:rFonts w:hint="eastAsia"/>
        </w:rPr>
        <w:t>余谋武</w:t>
      </w:r>
      <w:r>
        <w:rPr>
          <w:rFonts w:hint="eastAsia"/>
          <w:lang w:eastAsia="zh-CN"/>
        </w:rPr>
        <w:t>、</w:t>
      </w:r>
      <w:r>
        <w:rPr>
          <w:rFonts w:hint="eastAsia"/>
        </w:rPr>
        <w:t>胡长良</w:t>
      </w:r>
      <w:r>
        <w:rPr>
          <w:rFonts w:hint="eastAsia"/>
          <w:lang w:eastAsia="zh-CN"/>
        </w:rPr>
        <w:t>。</w:t>
      </w:r>
    </w:p>
    <w:p w14:paraId="43FBEB13">
      <w:pPr>
        <w:pStyle w:val="57"/>
        <w:ind w:firstLine="420"/>
      </w:pPr>
    </w:p>
    <w:p w14:paraId="694C15DA">
      <w:pPr>
        <w:pStyle w:val="57"/>
        <w:ind w:firstLine="420"/>
        <w:sectPr>
          <w:headerReference r:id="rId9" w:type="default"/>
          <w:footerReference r:id="rId10" w:type="default"/>
          <w:pgSz w:w="11906" w:h="16838"/>
          <w:pgMar w:top="1871" w:right="1134" w:bottom="1134" w:left="1134" w:header="1418" w:footer="1134" w:gutter="284"/>
          <w:pgBorders>
            <w:top w:val="none" w:sz="0" w:space="0"/>
            <w:left w:val="none" w:sz="0" w:space="0"/>
            <w:bottom w:val="none" w:sz="0" w:space="0"/>
            <w:right w:val="none" w:sz="0" w:space="0"/>
          </w:pgBorders>
          <w:pgNumType w:fmt="upperRoman"/>
          <w:cols w:space="425" w:num="1"/>
          <w:formProt w:val="0"/>
          <w:docGrid w:type="lines" w:linePitch="312" w:charSpace="0"/>
        </w:sectPr>
      </w:pPr>
      <w:r>
        <w:rPr>
          <w:rFonts w:hint="eastAsia"/>
        </w:rPr>
        <w:t xml:space="preserve"> </w:t>
      </w:r>
      <w:bookmarkStart w:id="70" w:name="_GoBack"/>
      <w:bookmarkEnd w:id="70"/>
    </w:p>
    <w:bookmarkEnd w:id="25"/>
    <w:p w14:paraId="47C711AB">
      <w:pPr>
        <w:spacing w:line="20" w:lineRule="exact"/>
        <w:jc w:val="center"/>
        <w:rPr>
          <w:rFonts w:ascii="黑体" w:hAnsi="黑体" w:eastAsia="黑体"/>
          <w:sz w:val="32"/>
          <w:szCs w:val="32"/>
        </w:rPr>
      </w:pPr>
      <w:bookmarkStart w:id="26" w:name="BookMark4"/>
    </w:p>
    <w:p w14:paraId="2CE6FA6A">
      <w:pPr>
        <w:spacing w:line="20" w:lineRule="exact"/>
        <w:jc w:val="center"/>
        <w:rPr>
          <w:rFonts w:ascii="黑体" w:hAnsi="黑体" w:eastAsia="黑体"/>
          <w:sz w:val="32"/>
          <w:szCs w:val="32"/>
        </w:rPr>
      </w:pPr>
    </w:p>
    <w:sdt>
      <w:sdtPr>
        <w:tag w:val="NEW_STAND_NAME"/>
        <w:id w:val="595910757"/>
        <w:lock w:val="sdtLocked"/>
        <w:placeholder>
          <w:docPart w:val="ACBB82E11D3E4A229CC18D84EEA8964C"/>
        </w:placeholder>
      </w:sdtPr>
      <w:sdtContent>
        <w:p w14:paraId="7248A152">
          <w:pPr>
            <w:pStyle w:val="178"/>
            <w:spacing w:before="312" w:beforeLines="100" w:after="686" w:afterLines="220"/>
          </w:pPr>
          <w:bookmarkStart w:id="27" w:name="NEW_STAND_NAME"/>
          <w:r>
            <w:rPr>
              <w:rFonts w:hint="eastAsia"/>
            </w:rPr>
            <w:t>保安</w:t>
          </w:r>
          <w:r>
            <w:rPr>
              <w:rFonts w:hint="eastAsia"/>
              <w:lang w:eastAsia="zh-CN"/>
            </w:rPr>
            <w:t>员岗位培训工作指南</w:t>
          </w:r>
        </w:p>
      </w:sdtContent>
    </w:sdt>
    <w:bookmarkEnd w:id="27"/>
    <w:p w14:paraId="008CED7B">
      <w:pPr>
        <w:pStyle w:val="105"/>
        <w:spacing w:before="312" w:after="312"/>
        <w:rPr>
          <w:color w:val="000000" w:themeColor="text1"/>
          <w14:textFill>
            <w14:solidFill>
              <w14:schemeClr w14:val="tx1"/>
            </w14:solidFill>
          </w14:textFill>
        </w:rPr>
      </w:pPr>
      <w:bookmarkStart w:id="28" w:name="_Toc17233333"/>
      <w:bookmarkStart w:id="29" w:name="_Toc17233325"/>
      <w:bookmarkStart w:id="30" w:name="_Toc24884218"/>
      <w:bookmarkStart w:id="31" w:name="_Toc26718930"/>
      <w:bookmarkStart w:id="32" w:name="_Toc56168514"/>
      <w:bookmarkStart w:id="33" w:name="_Toc28485"/>
      <w:bookmarkStart w:id="34" w:name="_Toc26986530"/>
      <w:bookmarkStart w:id="35" w:name="_Toc56171383"/>
      <w:bookmarkStart w:id="36" w:name="_Toc24884211"/>
      <w:bookmarkStart w:id="37" w:name="_Toc26648465"/>
      <w:bookmarkStart w:id="38" w:name="_Toc26986771"/>
      <w:r>
        <w:rPr>
          <w:rFonts w:hint="eastAsia"/>
        </w:rPr>
        <w:t>范围</w:t>
      </w:r>
      <w:bookmarkEnd w:id="28"/>
      <w:bookmarkEnd w:id="29"/>
      <w:bookmarkEnd w:id="30"/>
      <w:bookmarkEnd w:id="31"/>
      <w:bookmarkEnd w:id="32"/>
      <w:bookmarkEnd w:id="33"/>
      <w:bookmarkEnd w:id="34"/>
      <w:bookmarkEnd w:id="35"/>
      <w:bookmarkEnd w:id="36"/>
      <w:bookmarkEnd w:id="37"/>
      <w:bookmarkEnd w:id="38"/>
    </w:p>
    <w:p w14:paraId="69508614">
      <w:pPr>
        <w:pStyle w:val="57"/>
        <w:ind w:firstLine="420"/>
        <w:rPr>
          <w:color w:val="000000" w:themeColor="text1"/>
          <w14:textFill>
            <w14:solidFill>
              <w14:schemeClr w14:val="tx1"/>
            </w14:solidFill>
          </w14:textFill>
        </w:rPr>
      </w:pPr>
      <w:bookmarkStart w:id="39" w:name="_Toc17233326"/>
      <w:bookmarkStart w:id="40" w:name="_Toc26648466"/>
      <w:bookmarkStart w:id="41" w:name="_Toc24884212"/>
      <w:bookmarkStart w:id="42" w:name="_Toc17233334"/>
      <w:bookmarkStart w:id="43" w:name="_Toc24884219"/>
      <w:r>
        <w:rPr>
          <w:rFonts w:hint="eastAsia"/>
          <w:color w:val="000000" w:themeColor="text1"/>
          <w14:textFill>
            <w14:solidFill>
              <w14:schemeClr w14:val="tx1"/>
            </w14:solidFill>
          </w14:textFill>
        </w:rPr>
        <w:t>本文件</w:t>
      </w:r>
      <w:r>
        <w:rPr>
          <w:rFonts w:hint="eastAsia"/>
          <w:color w:val="000000" w:themeColor="text1"/>
          <w:lang w:eastAsia="zh-CN"/>
          <w14:textFill>
            <w14:solidFill>
              <w14:schemeClr w14:val="tx1"/>
            </w14:solidFill>
          </w14:textFill>
        </w:rPr>
        <w:t>确立了保安员岗位培训工作的总则，</w:t>
      </w:r>
      <w:r>
        <w:rPr>
          <w:rFonts w:hint="eastAsia"/>
          <w:color w:val="000000" w:themeColor="text1"/>
          <w:lang w:val="en-US" w:eastAsia="zh-CN"/>
          <w14:textFill>
            <w14:solidFill>
              <w14:schemeClr w14:val="tx1"/>
            </w14:solidFill>
          </w14:textFill>
        </w:rPr>
        <w:t>并提供了保安员岗位</w:t>
      </w:r>
      <w:r>
        <w:rPr>
          <w:rFonts w:hint="eastAsia"/>
          <w:color w:val="000000" w:themeColor="text1"/>
          <w:highlight w:val="none"/>
          <w:lang w:eastAsia="zh-CN"/>
          <w14:textFill>
            <w14:solidFill>
              <w14:schemeClr w14:val="tx1"/>
            </w14:solidFill>
          </w14:textFill>
        </w:rPr>
        <w:t>培训前准备</w:t>
      </w: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培训实施</w:t>
      </w:r>
      <w:r>
        <w:rPr>
          <w:rFonts w:hint="eastAsia"/>
          <w:color w:val="000000" w:themeColor="text1"/>
          <w:highlight w:val="none"/>
          <w:lang w:eastAsia="zh-CN"/>
          <w14:textFill>
            <w14:solidFill>
              <w14:schemeClr w14:val="tx1"/>
            </w14:solidFill>
          </w14:textFill>
        </w:rPr>
        <w:t>、培训</w:t>
      </w:r>
      <w:r>
        <w:rPr>
          <w:rFonts w:hint="eastAsia"/>
          <w:color w:val="000000" w:themeColor="text1"/>
          <w:highlight w:val="none"/>
          <w:lang w:val="en-US" w:eastAsia="zh-CN"/>
          <w14:textFill>
            <w14:solidFill>
              <w14:schemeClr w14:val="tx1"/>
            </w14:solidFill>
          </w14:textFill>
        </w:rPr>
        <w:t>后评估和档案管理的建议</w:t>
      </w:r>
      <w:r>
        <w:rPr>
          <w:rFonts w:hint="eastAsia"/>
          <w:color w:val="000000" w:themeColor="text1"/>
          <w14:textFill>
            <w14:solidFill>
              <w14:schemeClr w14:val="tx1"/>
            </w14:solidFill>
          </w14:textFill>
        </w:rPr>
        <w:t>。</w:t>
      </w:r>
    </w:p>
    <w:p w14:paraId="1EAD3B24">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本文件适用于</w:t>
      </w:r>
      <w:r>
        <w:rPr>
          <w:rFonts w:hint="eastAsia"/>
          <w:color w:val="000000" w:themeColor="text1"/>
          <w:lang w:val="en-US" w:eastAsia="zh-CN"/>
          <w14:textFill>
            <w14:solidFill>
              <w14:schemeClr w14:val="tx1"/>
            </w14:solidFill>
          </w14:textFill>
        </w:rPr>
        <w:t>保安服务单位内部</w:t>
      </w:r>
      <w:r>
        <w:rPr>
          <w:rFonts w:hint="eastAsia"/>
          <w:color w:val="000000" w:themeColor="text1"/>
          <w:lang w:eastAsia="zh-CN"/>
          <w14:textFill>
            <w14:solidFill>
              <w14:schemeClr w14:val="tx1"/>
            </w14:solidFill>
          </w14:textFill>
        </w:rPr>
        <w:t>保安员岗位</w:t>
      </w:r>
      <w:r>
        <w:rPr>
          <w:rFonts w:hint="eastAsia"/>
          <w:color w:val="000000" w:themeColor="text1"/>
          <w:lang w:val="en-US" w:eastAsia="zh-CN"/>
          <w14:textFill>
            <w14:solidFill>
              <w14:schemeClr w14:val="tx1"/>
            </w14:solidFill>
          </w14:textFill>
        </w:rPr>
        <w:t>的</w:t>
      </w:r>
      <w:r>
        <w:rPr>
          <w:rFonts w:hint="eastAsia"/>
          <w:color w:val="000000" w:themeColor="text1"/>
          <w:lang w:eastAsia="zh-CN"/>
          <w14:textFill>
            <w14:solidFill>
              <w14:schemeClr w14:val="tx1"/>
            </w14:solidFill>
          </w14:textFill>
        </w:rPr>
        <w:t>培训</w:t>
      </w:r>
      <w:r>
        <w:rPr>
          <w:rFonts w:hint="eastAsia"/>
          <w:color w:val="000000" w:themeColor="text1"/>
          <w14:textFill>
            <w14:solidFill>
              <w14:schemeClr w14:val="tx1"/>
            </w14:solidFill>
          </w14:textFill>
        </w:rPr>
        <w:t>。</w:t>
      </w:r>
    </w:p>
    <w:p w14:paraId="5FD30608">
      <w:pPr>
        <w:pStyle w:val="105"/>
        <w:spacing w:before="312" w:after="312"/>
        <w:rPr>
          <w:color w:val="000000" w:themeColor="text1"/>
          <w14:textFill>
            <w14:solidFill>
              <w14:schemeClr w14:val="tx1"/>
            </w14:solidFill>
          </w14:textFill>
        </w:rPr>
      </w:pPr>
      <w:bookmarkStart w:id="44" w:name="_Toc56168515"/>
      <w:bookmarkStart w:id="45" w:name="_Toc15480"/>
      <w:bookmarkStart w:id="46" w:name="_Toc56171384"/>
      <w:bookmarkStart w:id="47" w:name="_Toc26986531"/>
      <w:bookmarkStart w:id="48" w:name="_Toc26986772"/>
      <w:bookmarkStart w:id="49" w:name="_Toc26718931"/>
      <w:r>
        <w:rPr>
          <w:rFonts w:hint="eastAsia"/>
          <w:color w:val="000000" w:themeColor="text1"/>
          <w14:textFill>
            <w14:solidFill>
              <w14:schemeClr w14:val="tx1"/>
            </w14:solidFill>
          </w14:textFill>
        </w:rPr>
        <w:t>规范性引用文件</w:t>
      </w:r>
      <w:bookmarkEnd w:id="39"/>
      <w:bookmarkEnd w:id="40"/>
      <w:bookmarkEnd w:id="41"/>
      <w:bookmarkEnd w:id="42"/>
      <w:bookmarkEnd w:id="43"/>
      <w:bookmarkEnd w:id="44"/>
      <w:bookmarkEnd w:id="45"/>
      <w:bookmarkEnd w:id="46"/>
      <w:bookmarkEnd w:id="47"/>
      <w:bookmarkEnd w:id="48"/>
      <w:bookmarkEnd w:id="49"/>
    </w:p>
    <w:sdt>
      <w:sdtPr>
        <w:rPr>
          <w:rFonts w:hint="eastAsia"/>
          <w:color w:val="000000" w:themeColor="text1"/>
          <w14:textFill>
            <w14:solidFill>
              <w14:schemeClr w14:val="tx1"/>
            </w14:solidFill>
          </w14:textFill>
        </w:rPr>
        <w:id w:val="715848253"/>
        <w:placeholder>
          <w:docPart w:val="C1B173F8D4064393B4F1A15D5A4C72E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000000" w:themeColor="text1"/>
          <w14:textFill>
            <w14:solidFill>
              <w14:schemeClr w14:val="tx1"/>
            </w14:solidFill>
          </w14:textFill>
        </w:rPr>
      </w:sdtEndPr>
      <w:sdtContent>
        <w:p w14:paraId="3F7662C2">
          <w:pPr>
            <w:pStyle w:val="57"/>
            <w:ind w:firstLine="420"/>
            <w:rPr>
              <w:color w:val="000000" w:themeColor="text1"/>
              <w14:textFill>
                <w14:solidFill>
                  <w14:schemeClr w14:val="tx1"/>
                </w14:solidFill>
              </w14:textFill>
            </w:rPr>
          </w:pPr>
          <w:r>
            <w:rPr>
              <w:rFonts w:hint="eastAsia" w:ascii="宋体" w:hAnsi="Times New Roman" w:eastAsia="宋体" w:cs="Times New Roman"/>
              <w:color w:val="000000" w:themeColor="text1"/>
              <w:sz w:val="21"/>
              <w:lang w:val="en-US" w:eastAsia="zh-CN" w:bidi="ar-SA"/>
              <w14:textFill>
                <w14:solidFill>
                  <w14:schemeClr w14:val="tx1"/>
                </w14:solidFill>
              </w14:textFill>
            </w:rPr>
            <w:t>本文件没有规范性引用文件。</w:t>
          </w:r>
        </w:p>
      </w:sdtContent>
    </w:sdt>
    <w:p w14:paraId="5E886142">
      <w:pPr>
        <w:pStyle w:val="105"/>
        <w:spacing w:before="312" w:after="312"/>
        <w:rPr>
          <w:color w:val="000000" w:themeColor="text1"/>
          <w14:textFill>
            <w14:solidFill>
              <w14:schemeClr w14:val="tx1"/>
            </w14:solidFill>
          </w14:textFill>
        </w:rPr>
      </w:pPr>
      <w:bookmarkStart w:id="50" w:name="_Toc56168516"/>
      <w:bookmarkStart w:id="51" w:name="_Toc56171385"/>
      <w:bookmarkStart w:id="52" w:name="_Toc27212"/>
      <w:r>
        <w:rPr>
          <w:rFonts w:hint="eastAsia"/>
          <w:color w:val="000000" w:themeColor="text1"/>
          <w:szCs w:val="21"/>
          <w14:textFill>
            <w14:solidFill>
              <w14:schemeClr w14:val="tx1"/>
            </w14:solidFill>
          </w14:textFill>
        </w:rPr>
        <w:t>术语和定义</w:t>
      </w:r>
      <w:bookmarkEnd w:id="50"/>
      <w:bookmarkEnd w:id="51"/>
      <w:bookmarkEnd w:id="52"/>
    </w:p>
    <w:sdt>
      <w:sdtPr>
        <w:rPr>
          <w:color w:val="000000" w:themeColor="text1"/>
          <w14:textFill>
            <w14:solidFill>
              <w14:schemeClr w14:val="tx1"/>
            </w14:solidFill>
          </w14:textFill>
        </w:rPr>
        <w:id w:val="-1909835108"/>
        <w:placeholder>
          <w:docPart w:val="1A487386193643218EDBEF749E7429F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color w:val="000000" w:themeColor="text1"/>
          <w14:textFill>
            <w14:solidFill>
              <w14:schemeClr w14:val="tx1"/>
            </w14:solidFill>
          </w14:textFill>
        </w:rPr>
      </w:sdtEndPr>
      <w:sdtContent>
        <w:p w14:paraId="14C8FCD7">
          <w:pPr>
            <w:pStyle w:val="57"/>
            <w:ind w:firstLine="420"/>
            <w:rPr>
              <w:color w:val="000000" w:themeColor="text1"/>
              <w14:textFill>
                <w14:solidFill>
                  <w14:schemeClr w14:val="tx1"/>
                </w14:solidFill>
              </w14:textFill>
            </w:rPr>
          </w:pPr>
          <w:bookmarkStart w:id="53" w:name="_Toc26986532"/>
          <w:bookmarkEnd w:id="53"/>
          <w:r>
            <w:rPr>
              <w:color w:val="000000" w:themeColor="text1"/>
              <w14:textFill>
                <w14:solidFill>
                  <w14:schemeClr w14:val="tx1"/>
                </w14:solidFill>
              </w14:textFill>
            </w:rPr>
            <w:t>下列术语和定义适用于本文件。</w:t>
          </w:r>
        </w:p>
      </w:sdtContent>
    </w:sdt>
    <w:p w14:paraId="739642F6">
      <w:pPr>
        <w:pStyle w:val="106"/>
        <w:spacing w:before="156" w:after="156"/>
        <w:rPr>
          <w:color w:val="000000" w:themeColor="text1"/>
          <w:szCs w:val="24"/>
          <w14:textFill>
            <w14:solidFill>
              <w14:schemeClr w14:val="tx1"/>
            </w14:solidFill>
          </w14:textFill>
        </w:rPr>
      </w:pPr>
      <w:bookmarkStart w:id="54" w:name="_Toc521924177"/>
      <w:bookmarkEnd w:id="54"/>
      <w:bookmarkStart w:id="55" w:name="_Toc521924237"/>
      <w:bookmarkEnd w:id="55"/>
      <w:bookmarkStart w:id="56" w:name="_Toc521924233"/>
      <w:bookmarkEnd w:id="56"/>
      <w:bookmarkStart w:id="57" w:name="_Toc521924175"/>
      <w:bookmarkEnd w:id="57"/>
      <w:bookmarkStart w:id="58" w:name="_Toc521924235"/>
      <w:bookmarkEnd w:id="58"/>
      <w:bookmarkStart w:id="59" w:name="_Toc521924173"/>
      <w:bookmarkEnd w:id="59"/>
      <w:bookmarkStart w:id="60" w:name="_Toc521924178"/>
      <w:bookmarkStart w:id="61" w:name="_Toc521924238"/>
      <w:bookmarkStart w:id="62" w:name="_Toc55570582"/>
      <w:bookmarkStart w:id="63" w:name="_Toc525721963"/>
      <w:bookmarkStart w:id="64" w:name="_Toc521924268"/>
      <w:bookmarkStart w:id="65" w:name="_Toc56168521"/>
      <w:bookmarkStart w:id="66" w:name="_Toc56171390"/>
      <w:bookmarkStart w:id="67" w:name="_Toc521924221"/>
      <w:bookmarkStart w:id="68" w:name="_Toc521918746"/>
      <w:bookmarkStart w:id="69" w:name="_Toc521918858"/>
    </w:p>
    <w:bookmarkEnd w:id="60"/>
    <w:bookmarkEnd w:id="61"/>
    <w:p w14:paraId="6737F354">
      <w:pPr>
        <w:spacing w:before="156" w:beforeLines="50" w:after="156" w:afterLines="50"/>
        <w:ind w:firstLine="420"/>
        <w:outlineLvl w:val="1"/>
        <w:rPr>
          <w:rFonts w:hint="default" w:ascii="Times New Roman" w:hAnsi="Times New Roman" w:eastAsia="黑体" w:cs="Times New Roman"/>
          <w:color w:val="000000" w:themeColor="text1"/>
          <w:lang w:eastAsia="zh-CN"/>
          <w14:textFill>
            <w14:solidFill>
              <w14:schemeClr w14:val="tx1"/>
            </w14:solidFill>
          </w14:textFill>
        </w:rPr>
      </w:pPr>
      <w:r>
        <w:rPr>
          <w:rFonts w:hint="default" w:ascii="Times New Roman" w:hAnsi="Times New Roman" w:eastAsia="黑体" w:cs="Times New Roman"/>
          <w:color w:val="000000" w:themeColor="text1"/>
          <w:lang w:eastAsia="zh-CN"/>
          <w14:textFill>
            <w14:solidFill>
              <w14:schemeClr w14:val="tx1"/>
            </w14:solidFill>
          </w14:textFill>
        </w:rPr>
        <w:t>岗位培训</w:t>
      </w:r>
      <w:r>
        <w:rPr>
          <w:rFonts w:hint="eastAsia" w:ascii="Times New Roman" w:hAnsi="Times New Roman" w:eastAsia="黑体" w:cs="Times New Roman"/>
          <w:color w:val="000000" w:themeColor="text1"/>
          <w:lang w:val="en-US" w:eastAsia="zh-CN"/>
          <w14:textFill>
            <w14:solidFill>
              <w14:schemeClr w14:val="tx1"/>
            </w14:solidFill>
          </w14:textFill>
        </w:rPr>
        <w:t xml:space="preserve"> job trainning</w:t>
      </w:r>
    </w:p>
    <w:p w14:paraId="1E50971C">
      <w:pPr>
        <w:pStyle w:val="57"/>
        <w:ind w:firstLine="420"/>
        <w:rPr>
          <w:rFonts w:hint="default"/>
          <w:color w:val="000000" w:themeColor="text1"/>
          <w:lang w:eastAsia="zh-CN"/>
          <w14:textFill>
            <w14:solidFill>
              <w14:schemeClr w14:val="tx1"/>
            </w14:solidFill>
          </w14:textFill>
        </w:rPr>
      </w:pPr>
      <w:r>
        <w:rPr>
          <w:color w:val="000000" w:themeColor="text1"/>
          <w14:textFill>
            <w14:solidFill>
              <w14:schemeClr w14:val="tx1"/>
            </w14:solidFill>
          </w14:textFill>
        </w:rPr>
        <w:t>指针对从事保安服务工作的人员，依据保安行业法律法规、企业规章制度及岗位实际需求，有计划、有组织、有目的地开展的知识传授、技能训练和素养培育活动，旨在提升保安员的职业能力与综合素质，确保其满足岗位履职要求</w:t>
      </w:r>
      <w:r>
        <w:rPr>
          <w:rFonts w:hint="default"/>
          <w:color w:val="000000" w:themeColor="text1"/>
          <w:lang w:eastAsia="zh-CN"/>
          <w14:textFill>
            <w14:solidFill>
              <w14:schemeClr w14:val="tx1"/>
            </w14:solidFill>
          </w14:textFill>
        </w:rPr>
        <w:t>。</w:t>
      </w:r>
    </w:p>
    <w:p w14:paraId="17175C82">
      <w:pPr>
        <w:pStyle w:val="105"/>
        <w:spacing w:before="312" w:after="312"/>
        <w:rPr>
          <w:rFonts w:hint="default" w:ascii="Times New Roman" w:cs="Times New Roman"/>
          <w:color w:val="000000" w:themeColor="text1"/>
          <w:szCs w:val="21"/>
          <w:highlight w:val="none"/>
          <w:lang w:val="en-US" w:eastAsia="zh-CN"/>
          <w14:textFill>
            <w14:solidFill>
              <w14:schemeClr w14:val="tx1"/>
            </w14:solidFill>
          </w14:textFill>
        </w:rPr>
      </w:pPr>
      <w:r>
        <w:rPr>
          <w:rFonts w:hint="default" w:ascii="Times New Roman" w:cs="Times New Roman"/>
          <w:color w:val="000000" w:themeColor="text1"/>
          <w:szCs w:val="21"/>
          <w:highlight w:val="none"/>
          <w:lang w:val="en-US" w:eastAsia="zh-CN"/>
          <w14:textFill>
            <w14:solidFill>
              <w14:schemeClr w14:val="tx1"/>
            </w14:solidFill>
          </w14:textFill>
        </w:rPr>
        <w:t>总则</w:t>
      </w:r>
    </w:p>
    <w:p w14:paraId="03D0619A">
      <w:pPr>
        <w:pStyle w:val="254"/>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4.1 总体目标</w:t>
      </w:r>
    </w:p>
    <w:p w14:paraId="0939E690">
      <w:pPr>
        <w:pStyle w:val="254"/>
        <w:keepNext w:val="0"/>
        <w:keepLines w:val="0"/>
        <w:pageBreakBefore w:val="0"/>
        <w:widowControl/>
        <w:kinsoku/>
        <w:wordWrap/>
        <w:overflowPunct/>
        <w:topLinePunct w:val="0"/>
        <w:autoSpaceDE/>
        <w:autoSpaceDN/>
        <w:bidi w:val="0"/>
        <w:adjustRightInd/>
        <w:snapToGrid/>
        <w:spacing w:before="0" w:after="0" w:line="240" w:lineRule="auto"/>
        <w:ind w:firstLine="420" w:firstLineChars="200"/>
        <w:textAlignment w:val="auto"/>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通过系统培训，使保安员具备符合岗位要求的政治素养、法律知识、业务技能和职业素养，能够依法、规范、高效履行保安服务职责，维护服务对象合法权益和社会治安秩序。</w:t>
      </w:r>
    </w:p>
    <w:p w14:paraId="3739442D">
      <w:pPr>
        <w:pStyle w:val="254"/>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4.2依法依规</w:t>
      </w:r>
    </w:p>
    <w:p w14:paraId="0AE3BF42">
      <w:pPr>
        <w:pStyle w:val="254"/>
        <w:keepNext w:val="0"/>
        <w:keepLines w:val="0"/>
        <w:pageBreakBefore w:val="0"/>
        <w:widowControl/>
        <w:kinsoku/>
        <w:wordWrap/>
        <w:overflowPunct/>
        <w:topLinePunct w:val="0"/>
        <w:autoSpaceDE/>
        <w:autoSpaceDN/>
        <w:bidi w:val="0"/>
        <w:adjustRightInd/>
        <w:snapToGrid/>
        <w:spacing w:before="0" w:after="0" w:line="240" w:lineRule="auto"/>
        <w:ind w:firstLine="420" w:firstLineChars="200"/>
        <w:textAlignment w:val="auto"/>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培训内容、</w:t>
      </w: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培训方法</w:t>
      </w: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及</w:t>
      </w: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评估</w:t>
      </w: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需符合国家及安徽省关于保安服务的法律法规和政策要求。</w:t>
      </w:r>
    </w:p>
    <w:p w14:paraId="471A7C8C">
      <w:pPr>
        <w:pStyle w:val="254"/>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4.3实用导向</w:t>
      </w:r>
    </w:p>
    <w:p w14:paraId="0FB0C1E3">
      <w:pPr>
        <w:pStyle w:val="254"/>
        <w:keepNext w:val="0"/>
        <w:keepLines w:val="0"/>
        <w:pageBreakBefore w:val="0"/>
        <w:widowControl/>
        <w:kinsoku/>
        <w:wordWrap/>
        <w:overflowPunct/>
        <w:topLinePunct w:val="0"/>
        <w:autoSpaceDE/>
        <w:autoSpaceDN/>
        <w:bidi w:val="0"/>
        <w:adjustRightInd/>
        <w:snapToGrid/>
        <w:spacing w:before="0" w:after="0" w:line="240" w:lineRule="auto"/>
        <w:ind w:firstLine="420" w:firstLineChars="200"/>
        <w:textAlignment w:val="auto"/>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聚焦保安员岗位实际需求，突出</w:t>
      </w: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职业素养和</w:t>
      </w: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技能实操。</w:t>
      </w:r>
    </w:p>
    <w:p w14:paraId="11CB7037">
      <w:pPr>
        <w:pStyle w:val="254"/>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4.4分级分类</w:t>
      </w:r>
    </w:p>
    <w:p w14:paraId="467414F1">
      <w:pPr>
        <w:pStyle w:val="254"/>
        <w:keepNext w:val="0"/>
        <w:keepLines w:val="0"/>
        <w:pageBreakBefore w:val="0"/>
        <w:widowControl/>
        <w:kinsoku/>
        <w:wordWrap/>
        <w:overflowPunct/>
        <w:topLinePunct w:val="0"/>
        <w:autoSpaceDE/>
        <w:autoSpaceDN/>
        <w:bidi w:val="0"/>
        <w:adjustRightInd/>
        <w:snapToGrid/>
        <w:spacing w:before="0" w:after="0" w:line="240" w:lineRule="auto"/>
        <w:ind w:firstLine="420" w:firstLineChars="200"/>
        <w:textAlignment w:val="auto"/>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根据保安员岗位类型、职业技能等级及服务场景，实施差异化培训。</w:t>
      </w:r>
    </w:p>
    <w:p w14:paraId="4469C4C5">
      <w:pPr>
        <w:pStyle w:val="254"/>
        <w:keepNext w:val="0"/>
        <w:keepLines w:val="0"/>
        <w:pageBreakBefore w:val="0"/>
        <w:widowControl/>
        <w:kinsoku/>
        <w:wordWrap/>
        <w:overflowPunct/>
        <w:topLinePunct w:val="0"/>
        <w:autoSpaceDE/>
        <w:autoSpaceDN/>
        <w:bidi w:val="0"/>
        <w:adjustRightInd/>
        <w:snapToGrid/>
        <w:spacing w:before="0" w:after="0" w:line="240" w:lineRule="auto"/>
        <w:textAlignment w:val="auto"/>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4.5持续提升</w:t>
      </w:r>
    </w:p>
    <w:p w14:paraId="2A7DD24B">
      <w:pPr>
        <w:pStyle w:val="254"/>
        <w:keepNext w:val="0"/>
        <w:keepLines w:val="0"/>
        <w:pageBreakBefore w:val="0"/>
        <w:widowControl/>
        <w:kinsoku/>
        <w:wordWrap/>
        <w:overflowPunct/>
        <w:topLinePunct w:val="0"/>
        <w:autoSpaceDE/>
        <w:autoSpaceDN/>
        <w:bidi w:val="0"/>
        <w:adjustRightInd/>
        <w:snapToGrid/>
        <w:spacing w:before="0" w:after="0" w:line="240" w:lineRule="auto"/>
        <w:ind w:firstLine="420" w:firstLineChars="200"/>
        <w:textAlignment w:val="auto"/>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建立岗前培训与岗中轮训衔接机制，推动保安员知识技能更新，适应新形势下保安服务工作要求。</w:t>
      </w:r>
    </w:p>
    <w:p w14:paraId="7ED39844">
      <w:pPr>
        <w:pStyle w:val="254"/>
        <w:keepNext w:val="0"/>
        <w:keepLines w:val="0"/>
        <w:pageBreakBefore w:val="0"/>
        <w:widowControl/>
        <w:kinsoku/>
        <w:wordWrap/>
        <w:overflowPunct/>
        <w:topLinePunct w:val="0"/>
        <w:autoSpaceDE/>
        <w:autoSpaceDN/>
        <w:bidi w:val="0"/>
        <w:adjustRightInd/>
        <w:snapToGrid/>
        <w:spacing w:before="0" w:after="0" w:line="240" w:lineRule="auto"/>
        <w:ind w:firstLine="420" w:firstLineChars="200"/>
        <w:textAlignment w:val="auto"/>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p>
    <w:p w14:paraId="57F16D1B">
      <w:pPr>
        <w:pStyle w:val="254"/>
        <w:keepNext w:val="0"/>
        <w:keepLines w:val="0"/>
        <w:pageBreakBefore w:val="0"/>
        <w:widowControl/>
        <w:kinsoku/>
        <w:wordWrap/>
        <w:overflowPunct/>
        <w:topLinePunct w:val="0"/>
        <w:autoSpaceDE/>
        <w:autoSpaceDN/>
        <w:bidi w:val="0"/>
        <w:adjustRightInd/>
        <w:snapToGrid/>
        <w:spacing w:before="0" w:after="0" w:line="240" w:lineRule="auto"/>
        <w:ind w:firstLine="420" w:firstLineChars="200"/>
        <w:textAlignment w:val="auto"/>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p>
    <w:p w14:paraId="06335A30">
      <w:pPr>
        <w:pStyle w:val="254"/>
        <w:keepNext w:val="0"/>
        <w:keepLines w:val="0"/>
        <w:pageBreakBefore w:val="0"/>
        <w:widowControl/>
        <w:kinsoku/>
        <w:wordWrap/>
        <w:overflowPunct/>
        <w:topLinePunct w:val="0"/>
        <w:autoSpaceDE/>
        <w:autoSpaceDN/>
        <w:bidi w:val="0"/>
        <w:adjustRightInd/>
        <w:snapToGrid/>
        <w:spacing w:before="0" w:after="0" w:line="240" w:lineRule="auto"/>
        <w:ind w:firstLine="420" w:firstLineChars="200"/>
        <w:textAlignment w:val="auto"/>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p>
    <w:p w14:paraId="1967E8D0">
      <w:pPr>
        <w:pStyle w:val="254"/>
        <w:keepNext w:val="0"/>
        <w:keepLines w:val="0"/>
        <w:pageBreakBefore w:val="0"/>
        <w:widowControl/>
        <w:kinsoku/>
        <w:wordWrap/>
        <w:overflowPunct/>
        <w:topLinePunct w:val="0"/>
        <w:autoSpaceDE/>
        <w:autoSpaceDN/>
        <w:bidi w:val="0"/>
        <w:adjustRightInd/>
        <w:snapToGrid/>
        <w:spacing w:before="0" w:after="0" w:line="240" w:lineRule="auto"/>
        <w:ind w:firstLine="420" w:firstLineChars="200"/>
        <w:textAlignment w:val="auto"/>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p>
    <w:p w14:paraId="29FBC67C">
      <w:pPr>
        <w:pStyle w:val="105"/>
        <w:keepNext w:val="0"/>
        <w:keepLines w:val="0"/>
        <w:pageBreakBefore w:val="0"/>
        <w:widowControl/>
        <w:kinsoku/>
        <w:wordWrap/>
        <w:overflowPunct/>
        <w:topLinePunct w:val="0"/>
        <w:bidi w:val="0"/>
        <w:adjustRightInd w:val="0"/>
        <w:snapToGrid w:val="0"/>
        <w:spacing w:before="0" w:beforeLines="0" w:after="0" w:afterLines="0" w:line="240" w:lineRule="auto"/>
        <w:textAlignment w:val="auto"/>
        <w:rPr>
          <w:rFonts w:hint="default" w:ascii="Times New Roman" w:hAnsi="Times New Roman" w:cs="Times New Roman"/>
          <w:color w:val="000000" w:themeColor="text1"/>
          <w:szCs w:val="21"/>
          <w:highlight w:val="none"/>
          <w14:textFill>
            <w14:solidFill>
              <w14:schemeClr w14:val="tx1"/>
            </w14:solidFill>
          </w14:textFill>
        </w:rPr>
      </w:pPr>
      <w:r>
        <w:rPr>
          <w:rFonts w:hint="eastAsia" w:ascii="Times New Roman" w:cs="Times New Roman"/>
          <w:color w:val="000000" w:themeColor="text1"/>
          <w:szCs w:val="21"/>
          <w:highlight w:val="none"/>
          <w:lang w:val="en-US" w:eastAsia="zh-CN"/>
          <w14:textFill>
            <w14:solidFill>
              <w14:schemeClr w14:val="tx1"/>
            </w14:solidFill>
          </w14:textFill>
        </w:rPr>
        <w:t>培训前准备</w:t>
      </w:r>
    </w:p>
    <w:p w14:paraId="6E128CAA">
      <w:pPr>
        <w:pStyle w:val="57"/>
        <w:keepNext w:val="0"/>
        <w:keepLines w:val="0"/>
        <w:pageBreakBefore w:val="0"/>
        <w:widowControl/>
        <w:kinsoku/>
        <w:wordWrap/>
        <w:overflowPunct/>
        <w:topLinePunct w:val="0"/>
        <w:bidi w:val="0"/>
        <w:adjustRightInd w:val="0"/>
        <w:snapToGrid w:val="0"/>
        <w:spacing w:line="240" w:lineRule="auto"/>
        <w:ind w:left="0" w:leftChars="0" w:firstLine="0" w:firstLineChars="0"/>
        <w:textAlignment w:val="auto"/>
        <w:rPr>
          <w:rFonts w:hint="eastAsia" w:ascii="Times New Roman" w:cs="Times New Roman"/>
          <w:b/>
          <w:bCs/>
          <w:color w:val="000000" w:themeColor="text1"/>
          <w:szCs w:val="21"/>
          <w:highlight w:val="none"/>
          <w:lang w:val="en-US" w:eastAsia="zh-CN"/>
          <w14:textFill>
            <w14:solidFill>
              <w14:schemeClr w14:val="tx1"/>
            </w14:solidFill>
          </w14:textFill>
        </w:rPr>
      </w:pPr>
      <w:r>
        <w:rPr>
          <w:rFonts w:hint="eastAsia" w:ascii="Times New Roman" w:cs="Times New Roman"/>
          <w:b/>
          <w:bCs/>
          <w:color w:val="000000" w:themeColor="text1"/>
          <w:szCs w:val="21"/>
          <w:highlight w:val="none"/>
          <w:lang w:val="en-US" w:eastAsia="zh-CN"/>
          <w14:textFill>
            <w14:solidFill>
              <w14:schemeClr w14:val="tx1"/>
            </w14:solidFill>
          </w14:textFill>
        </w:rPr>
        <w:t>5.1 确定人员</w:t>
      </w:r>
    </w:p>
    <w:p w14:paraId="7C28C0AA">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5.1.1</w:t>
      </w: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明确参训人员范围，包括新入职保安员、在职轮训保安员、晋升保安员及转岗保安员。新入职保安员需 100% 参加岗前培训，在职保安员每年至少参加 1 次轮训，晋升及转岗保安员需参加针对性专项培训。</w:t>
      </w:r>
    </w:p>
    <w:p w14:paraId="19DA467D">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5.1.2</w:t>
      </w: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从事理论教学师资宜具备法学、治安</w:t>
      </w: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保卫</w:t>
      </w: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、安全管理等相关专业大专及以上学历，或拥有 5 年以上保安行业管理、公安机关治安管理工作经验，熟悉保安服务相关政策法规。</w:t>
      </w:r>
    </w:p>
    <w:p w14:paraId="5F337A01">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5.1.3</w:t>
      </w: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 xml:space="preserve"> 从事实操教学的</w:t>
      </w: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专业师资人员应当具有大学本科以上学历或者10年以上治安保卫管理工作经历。</w:t>
      </w:r>
    </w:p>
    <w:p w14:paraId="431626CE">
      <w:pPr>
        <w:pStyle w:val="57"/>
        <w:keepNext w:val="0"/>
        <w:keepLines w:val="0"/>
        <w:pageBreakBefore w:val="0"/>
        <w:widowControl/>
        <w:kinsoku/>
        <w:wordWrap/>
        <w:overflowPunct/>
        <w:topLinePunct w:val="0"/>
        <w:bidi w:val="0"/>
        <w:adjustRightInd w:val="0"/>
        <w:snapToGrid w:val="0"/>
        <w:spacing w:line="240" w:lineRule="auto"/>
        <w:ind w:left="0" w:leftChars="0" w:firstLine="0" w:firstLineChars="0"/>
        <w:textAlignment w:val="auto"/>
        <w:rPr>
          <w:rFonts w:hint="eastAsia" w:ascii="Times New Roman" w:cs="Times New Roman"/>
          <w:b/>
          <w:bCs/>
          <w:color w:val="000000" w:themeColor="text1"/>
          <w:szCs w:val="21"/>
          <w:highlight w:val="none"/>
          <w:lang w:val="en-US" w:eastAsia="zh-CN"/>
          <w14:textFill>
            <w14:solidFill>
              <w14:schemeClr w14:val="tx1"/>
            </w14:solidFill>
          </w14:textFill>
        </w:rPr>
      </w:pPr>
      <w:r>
        <w:rPr>
          <w:rFonts w:hint="eastAsia" w:ascii="Times New Roman" w:cs="Times New Roman"/>
          <w:b/>
          <w:bCs/>
          <w:color w:val="000000" w:themeColor="text1"/>
          <w:szCs w:val="21"/>
          <w:highlight w:val="none"/>
          <w:lang w:val="en-US" w:eastAsia="zh-CN"/>
          <w14:textFill>
            <w14:solidFill>
              <w14:schemeClr w14:val="tx1"/>
            </w14:solidFill>
          </w14:textFill>
        </w:rPr>
        <w:t>5.2 制定计划</w:t>
      </w:r>
    </w:p>
    <w:p w14:paraId="35E6F3E7">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5.2.1 根据岗位需求、人员需求制定培训流程，参见附录C。</w:t>
      </w:r>
    </w:p>
    <w:p w14:paraId="6741F938">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5.2.2 设定职业素养、理论知识、实操技能的培训目标。</w:t>
      </w:r>
    </w:p>
    <w:p w14:paraId="7411BEBB">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5.2.3 培训内容包括岗前培训和在岗培训两部分内容。</w:t>
      </w:r>
    </w:p>
    <w:p w14:paraId="4DB5BCE6">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5.2.4 培训方式采用集中讲授、多媒体演示、PPT 课件展示等方式，向参训人员传授基础理论知识。在实操场地或具体岗位进行手把手教学，由师资示范操作流程，参训人员分组练习，师资现场指导纠正。</w:t>
      </w:r>
    </w:p>
    <w:p w14:paraId="0CC2136F">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5.2.5 根据培训内容和目标确定培训总时长，合理分配各模块培训时间，确保理论授课与实操演练比例适当（建议理论与实操比例为 4:6），新入职保安员岗前培训不少于32学时，在职轮训不少于 24 学时，晋升及转岗专项培训不少于16学时。。</w:t>
      </w:r>
    </w:p>
    <w:p w14:paraId="7CA7DC63">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5.2.6 制定包括理论考核（占比 40%）和实操考核（占比 60%）的考核方案；理论考核以笔试或线上答题形式进行，涵盖培训所学理论知识；实操考核根据岗位要求，设置具体实操任务，如消防器材操作、应急处置模拟等，由师资现场评分。</w:t>
      </w:r>
    </w:p>
    <w:p w14:paraId="10F510D4">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5.2.7 明确培训组织部门、授课师资、班主任（或培训协调员）的职责分工，确保培训各环节有人负责、有人落实。根据培训内容、人数、师资等情况，编制培训经费预算，涵盖师资报酬、场地租赁、物资采购、餐费补贴等费用，报主管部门审批后执行。</w:t>
      </w:r>
    </w:p>
    <w:p w14:paraId="54CEF3E9">
      <w:pPr>
        <w:pStyle w:val="57"/>
        <w:keepNext w:val="0"/>
        <w:keepLines w:val="0"/>
        <w:pageBreakBefore w:val="0"/>
        <w:widowControl/>
        <w:kinsoku/>
        <w:wordWrap/>
        <w:overflowPunct/>
        <w:topLinePunct w:val="0"/>
        <w:bidi w:val="0"/>
        <w:adjustRightInd w:val="0"/>
        <w:snapToGrid w:val="0"/>
        <w:spacing w:line="240" w:lineRule="auto"/>
        <w:ind w:left="0" w:leftChars="0" w:firstLine="0" w:firstLineChars="0"/>
        <w:textAlignment w:val="auto"/>
        <w:rPr>
          <w:rFonts w:hint="eastAsia" w:ascii="Times New Roman" w:cs="Times New Roman"/>
          <w:b/>
          <w:bCs/>
          <w:color w:val="000000" w:themeColor="text1"/>
          <w:szCs w:val="21"/>
          <w:highlight w:val="none"/>
          <w:lang w:val="en-US" w:eastAsia="zh-CN"/>
          <w14:textFill>
            <w14:solidFill>
              <w14:schemeClr w14:val="tx1"/>
            </w14:solidFill>
          </w14:textFill>
        </w:rPr>
      </w:pPr>
      <w:r>
        <w:rPr>
          <w:rFonts w:hint="eastAsia" w:ascii="Times New Roman" w:cs="Times New Roman"/>
          <w:b/>
          <w:bCs/>
          <w:color w:val="000000" w:themeColor="text1"/>
          <w:szCs w:val="21"/>
          <w:highlight w:val="none"/>
          <w:lang w:val="en-US" w:eastAsia="zh-CN"/>
          <w14:textFill>
            <w14:solidFill>
              <w14:schemeClr w14:val="tx1"/>
            </w14:solidFill>
          </w14:textFill>
        </w:rPr>
        <w:t>5.3 准备场地</w:t>
      </w:r>
    </w:p>
    <w:p w14:paraId="1FE1C767">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5.3.1理论授课场地需满足参训人数需求，具备良好的采光、通风条件，配备桌椅、讲台、投影仪、幕布、麦克风、音响、白板及白板笔等基础设备。</w:t>
      </w:r>
    </w:p>
    <w:p w14:paraId="12B6CF70">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bCs/>
          <w:color w:val="000000" w:themeColor="text1"/>
          <w:sz w:val="21"/>
          <w:szCs w:val="20"/>
          <w:lang w:val="en-US" w:eastAsia="zh-CN" w:bidi="ar-SA"/>
          <w14:textFill>
            <w14:solidFill>
              <w14:schemeClr w14:val="tx1"/>
            </w14:solidFill>
          </w14:textFill>
        </w:rPr>
        <w:t>5.3.2</w:t>
      </w: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根据实操培训内容确定场地类型，如消防实操需选择具备消防器材（灭火器、消防水带、消防栓等）及模拟火灾场景的场地；应急处置演练需选择开阔、安全且符合场景模拟需求的场地；岗位实操需模拟真实岗位环境（如模拟门岗、监控室等）。</w:t>
      </w:r>
    </w:p>
    <w:p w14:paraId="6C751A48">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bCs/>
          <w:color w:val="000000" w:themeColor="text1"/>
          <w:sz w:val="21"/>
          <w:szCs w:val="20"/>
          <w:lang w:val="en-US" w:eastAsia="zh-CN" w:bidi="ar-SA"/>
          <w14:textFill>
            <w14:solidFill>
              <w14:schemeClr w14:val="tx1"/>
            </w14:solidFill>
          </w14:textFill>
        </w:rPr>
        <w:t>5.3.3</w:t>
      </w: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如需安排食宿，需准备符合卫生标准的餐厅及住宿场地；同时准备临时休息区、物资存放区等辅助场地。</w:t>
      </w:r>
    </w:p>
    <w:p w14:paraId="364C77A9">
      <w:pPr>
        <w:pStyle w:val="57"/>
        <w:keepNext w:val="0"/>
        <w:keepLines w:val="0"/>
        <w:pageBreakBefore w:val="0"/>
        <w:widowControl/>
        <w:kinsoku/>
        <w:wordWrap/>
        <w:overflowPunct/>
        <w:topLinePunct w:val="0"/>
        <w:bidi w:val="0"/>
        <w:adjustRightInd w:val="0"/>
        <w:snapToGrid w:val="0"/>
        <w:spacing w:line="240" w:lineRule="auto"/>
        <w:ind w:left="0" w:leftChars="0" w:firstLine="0" w:firstLineChars="0"/>
        <w:textAlignment w:val="auto"/>
        <w:rPr>
          <w:rFonts w:hint="eastAsia" w:ascii="Times New Roman" w:cs="Times New Roman"/>
          <w:b/>
          <w:bCs/>
          <w:color w:val="000000" w:themeColor="text1"/>
          <w:szCs w:val="21"/>
          <w:highlight w:val="none"/>
          <w:lang w:val="en-US" w:eastAsia="zh-CN"/>
          <w14:textFill>
            <w14:solidFill>
              <w14:schemeClr w14:val="tx1"/>
            </w14:solidFill>
          </w14:textFill>
        </w:rPr>
      </w:pPr>
      <w:r>
        <w:rPr>
          <w:rFonts w:hint="eastAsia" w:ascii="Times New Roman" w:cs="Times New Roman"/>
          <w:b/>
          <w:bCs/>
          <w:color w:val="000000" w:themeColor="text1"/>
          <w:szCs w:val="21"/>
          <w:highlight w:val="none"/>
          <w:lang w:val="en-US" w:eastAsia="zh-CN"/>
          <w14:textFill>
            <w14:solidFill>
              <w14:schemeClr w14:val="tx1"/>
            </w14:solidFill>
          </w14:textFill>
        </w:rPr>
        <w:t>5.4 准备教具教材</w:t>
      </w:r>
    </w:p>
    <w:p w14:paraId="779D9ABA">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4.4.1理论授课教具包括投影仪、幕布、笔记本电脑、麦克风、音响、白板、白板笔、马克笔、激光笔、翻页器等，提前调试设备，确保设备性能稳定，同时准备备用设备（如备用麦克风、电池等），应对设备突发故障。</w:t>
      </w:r>
    </w:p>
    <w:p w14:paraId="66AD31D4">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4.4.2实操训练教具包括但不限于：</w:t>
      </w:r>
    </w:p>
    <w:p w14:paraId="30E5D4E2">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--安全防范类：对讲机、巡逻记录仪、监控设备（显示器、摄像头、硬盘录像机等）、门禁系统设备、身份证识别仪、无人机、巡逻车等。</w:t>
      </w:r>
    </w:p>
    <w:p w14:paraId="78DEFE14">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--消防类：手提式干粉灭火器、二氧化碳灭火器、消防水带、消防水枪、消防栓扳手、烟感报警器、应急照明灯等。</w:t>
      </w:r>
    </w:p>
    <w:p w14:paraId="6B010689">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--应急处置类：防刺背心、防割手套、橡胶棍、盾牌、警戒带、急救箱（含绷带、止血药、消毒用品等）、模拟爆炸物、模拟可疑包裹等。</w:t>
      </w:r>
    </w:p>
    <w:p w14:paraId="5A1AEF27">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--岗位实操类：模拟门岗闸机、车辆进出管理系统、停车收费设备、岗位执勤记录表等。</w:t>
      </w:r>
    </w:p>
    <w:p w14:paraId="092E3715">
      <w:pPr>
        <w:pStyle w:val="105"/>
        <w:keepNext w:val="0"/>
        <w:keepLines w:val="0"/>
        <w:pageBreakBefore w:val="0"/>
        <w:widowControl/>
        <w:kinsoku/>
        <w:wordWrap/>
        <w:overflowPunct/>
        <w:topLinePunct w:val="0"/>
        <w:bidi w:val="0"/>
        <w:adjustRightInd w:val="0"/>
        <w:snapToGrid w:val="0"/>
        <w:spacing w:before="0" w:beforeLines="0" w:after="0" w:afterLines="0" w:line="240" w:lineRule="auto"/>
        <w:textAlignment w:val="auto"/>
        <w:rPr>
          <w:rFonts w:hint="default" w:ascii="Times New Roman" w:hAnsi="Times New Roman" w:cs="Times New Roman"/>
          <w:color w:val="000000" w:themeColor="text1"/>
          <w:szCs w:val="21"/>
          <w:highlight w:val="none"/>
          <w14:textFill>
            <w14:solidFill>
              <w14:schemeClr w14:val="tx1"/>
            </w14:solidFill>
          </w14:textFill>
        </w:rPr>
      </w:pPr>
      <w:r>
        <w:rPr>
          <w:rFonts w:hint="default" w:ascii="Times New Roman" w:hAnsi="Times New Roman" w:cs="Times New Roman"/>
          <w:color w:val="000000" w:themeColor="text1"/>
          <w:szCs w:val="21"/>
          <w:highlight w:val="none"/>
          <w:lang w:eastAsia="zh-CN"/>
          <w14:textFill>
            <w14:solidFill>
              <w14:schemeClr w14:val="tx1"/>
            </w14:solidFill>
          </w14:textFill>
        </w:rPr>
        <w:t>培训</w:t>
      </w:r>
      <w:r>
        <w:rPr>
          <w:rFonts w:hint="eastAsia" w:ascii="Times New Roman" w:cs="Times New Roman"/>
          <w:color w:val="000000" w:themeColor="text1"/>
          <w:szCs w:val="21"/>
          <w:highlight w:val="none"/>
          <w:lang w:val="en-US" w:eastAsia="zh-CN"/>
          <w14:textFill>
            <w14:solidFill>
              <w14:schemeClr w14:val="tx1"/>
            </w14:solidFill>
          </w14:textFill>
        </w:rPr>
        <w:t>实施</w:t>
      </w:r>
    </w:p>
    <w:p w14:paraId="73121805">
      <w:pPr>
        <w:pStyle w:val="105"/>
        <w:keepNext w:val="0"/>
        <w:keepLines w:val="0"/>
        <w:pageBreakBefore w:val="0"/>
        <w:widowControl/>
        <w:numPr>
          <w:ilvl w:val="1"/>
          <w:numId w:val="0"/>
        </w:numPr>
        <w:kinsoku/>
        <w:wordWrap/>
        <w:overflowPunct/>
        <w:topLinePunct w:val="0"/>
        <w:bidi w:val="0"/>
        <w:adjustRightInd w:val="0"/>
        <w:snapToGrid w:val="0"/>
        <w:spacing w:before="0" w:beforeLines="0" w:after="0" w:afterLines="0" w:line="240" w:lineRule="auto"/>
        <w:ind w:leftChars="0"/>
        <w:textAlignment w:val="auto"/>
        <w:rPr>
          <w:rFonts w:hint="eastAsia" w:ascii="Times New Roman" w:cs="Times New Roman"/>
          <w:color w:val="000000" w:themeColor="text1"/>
          <w:szCs w:val="21"/>
          <w:highlight w:val="none"/>
          <w:lang w:val="en-US" w:eastAsia="zh-CN"/>
          <w14:textFill>
            <w14:solidFill>
              <w14:schemeClr w14:val="tx1"/>
            </w14:solidFill>
          </w14:textFill>
        </w:rPr>
      </w:pPr>
      <w:r>
        <w:rPr>
          <w:rFonts w:hint="eastAsia" w:ascii="Times New Roman" w:cs="Times New Roman"/>
          <w:color w:val="000000" w:themeColor="text1"/>
          <w:szCs w:val="21"/>
          <w:highlight w:val="none"/>
          <w:lang w:val="en-US" w:eastAsia="zh-CN"/>
          <w14:textFill>
            <w14:solidFill>
              <w14:schemeClr w14:val="tx1"/>
            </w14:solidFill>
          </w14:textFill>
        </w:rPr>
        <w:t>6.1 培训内容</w:t>
      </w:r>
    </w:p>
    <w:p w14:paraId="1F780062">
      <w:pPr>
        <w:pStyle w:val="57"/>
        <w:keepNext w:val="0"/>
        <w:keepLines w:val="0"/>
        <w:pageBreakBefore w:val="0"/>
        <w:widowControl/>
        <w:kinsoku/>
        <w:wordWrap/>
        <w:overflowPunct/>
        <w:topLinePunct w:val="0"/>
        <w:bidi w:val="0"/>
        <w:adjustRightInd w:val="0"/>
        <w:snapToGrid w:val="0"/>
        <w:spacing w:line="240" w:lineRule="auto"/>
        <w:ind w:left="0" w:leftChars="0" w:firstLine="0" w:firstLineChars="0"/>
        <w:textAlignment w:val="auto"/>
        <w:rPr>
          <w:rFonts w:hint="default" w:ascii="Times New Roman" w:cs="Times New Roman"/>
          <w:b/>
          <w:bCs/>
          <w:color w:val="000000" w:themeColor="text1"/>
          <w:szCs w:val="21"/>
          <w:highlight w:val="none"/>
          <w:lang w:val="en-US" w:eastAsia="zh-CN"/>
          <w14:textFill>
            <w14:solidFill>
              <w14:schemeClr w14:val="tx1"/>
            </w14:solidFill>
          </w14:textFill>
        </w:rPr>
      </w:pPr>
      <w:r>
        <w:rPr>
          <w:rFonts w:hint="eastAsia" w:ascii="Times New Roman" w:cs="Times New Roman"/>
          <w:b/>
          <w:bCs/>
          <w:color w:val="000000" w:themeColor="text1"/>
          <w:szCs w:val="21"/>
          <w:highlight w:val="none"/>
          <w:lang w:val="en-US" w:eastAsia="zh-CN"/>
          <w14:textFill>
            <w14:solidFill>
              <w14:schemeClr w14:val="tx1"/>
            </w14:solidFill>
          </w14:textFill>
        </w:rPr>
        <w:t>6.1.1 通用培训内容</w:t>
      </w:r>
    </w:p>
    <w:p w14:paraId="39DF936B">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6</w:t>
      </w: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.1.1宜开展</w:t>
      </w: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《习近平新时代中国特色社会主义思想》、《社会主义核心价值观》</w:t>
      </w: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保安服务管理条例》《治安管理处罚法》《刑法》中与保安职责相关的条款（如正当防卫、紧急避险、禁止限制行为等）、《安徽省保安服务管理办法》《安徽省社会治安综合治理条例》及安徽省关于大型活动安全管理、重点单位保卫等相关法律法规的学习。</w:t>
      </w:r>
    </w:p>
    <w:p w14:paraId="02D874F0">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6</w:t>
      </w: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.1.2开展保安服务操作规程、保安员职业道德规范、着装及仪容仪表要求等行业规范的学习。</w:t>
      </w:r>
    </w:p>
    <w:p w14:paraId="096A8260">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6.1.3</w:t>
      </w: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保安员的职责使命、权利义务，以及在基层社会治理中的角色定位。</w:t>
      </w:r>
    </w:p>
    <w:p w14:paraId="11BD7ADB">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6.1.4</w:t>
      </w: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诚实守信、文明执勤、廉洁自律，杜绝滥用职权、违法违规履职等行为。</w:t>
      </w:r>
    </w:p>
    <w:p w14:paraId="7887BDE6">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6.1.5</w:t>
      </w: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针对不同服务场景的礼仪规范，包括语言表达、行为举止、沟通技巧等。</w:t>
      </w:r>
    </w:p>
    <w:p w14:paraId="2A0060FF">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6.1.6</w:t>
      </w: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突发疾病现场初步救助、自然灾害应对、群体性事件</w:t>
      </w: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前期应该处置等</w:t>
      </w: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w:t>
      </w:r>
    </w:p>
    <w:p w14:paraId="1E292724">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6.1.7</w:t>
      </w: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常见安全隐患识别、火灾疏散逃生</w:t>
      </w: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w:t>
      </w: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防盗防骗基础知识。</w:t>
      </w:r>
    </w:p>
    <w:p w14:paraId="7E4B7791">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default" w:ascii="Times New Roman" w:hAnsi="Times New Roman" w:eastAsia="宋体" w:cs="Times New Roman"/>
          <w:b/>
          <w:bCs/>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bCs/>
          <w:color w:val="000000" w:themeColor="text1"/>
          <w:sz w:val="21"/>
          <w:szCs w:val="20"/>
          <w:lang w:val="en-US" w:eastAsia="zh-CN" w:bidi="ar-SA"/>
          <w14:textFill>
            <w14:solidFill>
              <w14:schemeClr w14:val="tx1"/>
            </w14:solidFill>
          </w14:textFill>
        </w:rPr>
        <w:t>6</w:t>
      </w:r>
      <w:r>
        <w:rPr>
          <w:rFonts w:hint="default" w:ascii="Times New Roman" w:hAnsi="Times New Roman" w:eastAsia="宋体" w:cs="Times New Roman"/>
          <w:b/>
          <w:bCs/>
          <w:color w:val="000000" w:themeColor="text1"/>
          <w:sz w:val="21"/>
          <w:szCs w:val="20"/>
          <w:lang w:val="en-US" w:eastAsia="zh-CN" w:bidi="ar-SA"/>
          <w14:textFill>
            <w14:solidFill>
              <w14:schemeClr w14:val="tx1"/>
            </w14:solidFill>
          </w14:textFill>
        </w:rPr>
        <w:t>.</w:t>
      </w:r>
      <w:r>
        <w:rPr>
          <w:rFonts w:hint="eastAsia" w:ascii="Times New Roman" w:hAnsi="Times New Roman" w:eastAsia="宋体" w:cs="Times New Roman"/>
          <w:b/>
          <w:bCs/>
          <w:color w:val="000000" w:themeColor="text1"/>
          <w:sz w:val="21"/>
          <w:szCs w:val="20"/>
          <w:lang w:val="en-US" w:eastAsia="zh-CN" w:bidi="ar-SA"/>
          <w14:textFill>
            <w14:solidFill>
              <w14:schemeClr w14:val="tx1"/>
            </w14:solidFill>
          </w14:textFill>
        </w:rPr>
        <w:t>1.</w:t>
      </w:r>
      <w:r>
        <w:rPr>
          <w:rFonts w:hint="default" w:ascii="Times New Roman" w:hAnsi="Times New Roman" w:eastAsia="宋体" w:cs="Times New Roman"/>
          <w:b/>
          <w:bCs/>
          <w:color w:val="000000" w:themeColor="text1"/>
          <w:sz w:val="21"/>
          <w:szCs w:val="20"/>
          <w:lang w:val="en-US" w:eastAsia="zh-CN" w:bidi="ar-SA"/>
          <w14:textFill>
            <w14:solidFill>
              <w14:schemeClr w14:val="tx1"/>
            </w14:solidFill>
          </w14:textFill>
        </w:rPr>
        <w:t>2 专业培训</w:t>
      </w:r>
      <w:r>
        <w:rPr>
          <w:rFonts w:hint="eastAsia" w:ascii="Times New Roman" w:hAnsi="Times New Roman" w:eastAsia="宋体" w:cs="Times New Roman"/>
          <w:b/>
          <w:bCs/>
          <w:color w:val="000000" w:themeColor="text1"/>
          <w:sz w:val="21"/>
          <w:szCs w:val="20"/>
          <w:lang w:val="en-US" w:eastAsia="zh-CN" w:bidi="ar-SA"/>
          <w14:textFill>
            <w14:solidFill>
              <w14:schemeClr w14:val="tx1"/>
            </w14:solidFill>
          </w14:textFill>
        </w:rPr>
        <w:t>内容</w:t>
      </w:r>
    </w:p>
    <w:p w14:paraId="332843ED">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default" w:ascii="Times New Roman" w:hAnsi="Times New Roman" w:eastAsia="宋体" w:cs="Times New Roman"/>
          <w:b/>
          <w:bCs/>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bCs/>
          <w:color w:val="000000" w:themeColor="text1"/>
          <w:sz w:val="21"/>
          <w:szCs w:val="20"/>
          <w:lang w:val="en-US" w:eastAsia="zh-CN" w:bidi="ar-SA"/>
          <w14:textFill>
            <w14:solidFill>
              <w14:schemeClr w14:val="tx1"/>
            </w14:solidFill>
          </w14:textFill>
        </w:rPr>
        <w:t>6</w:t>
      </w:r>
      <w:r>
        <w:rPr>
          <w:rFonts w:hint="default" w:ascii="Times New Roman" w:hAnsi="Times New Roman" w:eastAsia="宋体" w:cs="Times New Roman"/>
          <w:b/>
          <w:bCs/>
          <w:color w:val="000000" w:themeColor="text1"/>
          <w:sz w:val="21"/>
          <w:szCs w:val="20"/>
          <w:lang w:val="en-US" w:eastAsia="zh-CN" w:bidi="ar-SA"/>
          <w14:textFill>
            <w14:solidFill>
              <w14:schemeClr w14:val="tx1"/>
            </w14:solidFill>
          </w14:textFill>
        </w:rPr>
        <w:t>.</w:t>
      </w:r>
      <w:r>
        <w:rPr>
          <w:rFonts w:hint="eastAsia" w:ascii="Times New Roman" w:hAnsi="Times New Roman" w:eastAsia="宋体" w:cs="Times New Roman"/>
          <w:b/>
          <w:bCs/>
          <w:color w:val="000000" w:themeColor="text1"/>
          <w:sz w:val="21"/>
          <w:szCs w:val="20"/>
          <w:lang w:val="en-US" w:eastAsia="zh-CN" w:bidi="ar-SA"/>
          <w14:textFill>
            <w14:solidFill>
              <w14:schemeClr w14:val="tx1"/>
            </w14:solidFill>
          </w14:textFill>
        </w:rPr>
        <w:t>1.</w:t>
      </w:r>
      <w:r>
        <w:rPr>
          <w:rFonts w:hint="default" w:ascii="Times New Roman" w:hAnsi="Times New Roman" w:eastAsia="宋体" w:cs="Times New Roman"/>
          <w:b/>
          <w:bCs/>
          <w:color w:val="000000" w:themeColor="text1"/>
          <w:sz w:val="21"/>
          <w:szCs w:val="20"/>
          <w:lang w:val="en-US" w:eastAsia="zh-CN" w:bidi="ar-SA"/>
          <w14:textFill>
            <w14:solidFill>
              <w14:schemeClr w14:val="tx1"/>
            </w14:solidFill>
          </w14:textFill>
        </w:rPr>
        <w:t>2.1 门卫岗位</w:t>
      </w:r>
    </w:p>
    <w:p w14:paraId="389C33C8">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6</w:t>
      </w: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w:t>
      </w: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1.</w:t>
      </w: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2.1.1人员管理：核对进出人员身份（如小区业主凭门禁卡，访客需登记姓名、事由、联系方式），禁止无关人员进入服务区域；</w:t>
      </w:r>
    </w:p>
    <w:p w14:paraId="3DEA4E98">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6</w:t>
      </w: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w:t>
      </w: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1.</w:t>
      </w: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2.1.</w:t>
      </w: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2</w:t>
      </w: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车辆管理：登记进出车辆车牌、车型、进出时间，引导车辆有序停放，禁止超高、超重车辆进入住宅小区；</w:t>
      </w:r>
    </w:p>
    <w:p w14:paraId="010E6D0A">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6</w:t>
      </w: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w:t>
      </w: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1.</w:t>
      </w: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2.1.</w:t>
      </w: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3</w:t>
      </w: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物品检查：使用金属探测仪检查进出人员携带物品，识别禁带物品（如管制刀具、易燃易爆物品），发现可疑物品及时上报。</w:t>
      </w:r>
    </w:p>
    <w:p w14:paraId="034BED7A">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6.1.2.1.4 个人极端</w:t>
      </w:r>
      <w:r>
        <w:rPr>
          <w:rFonts w:hint="eastAsia" w:ascii="Times New Roman" w:hAnsi="Times New Roman" w:eastAsia="宋体" w:cs="Times New Roman"/>
          <w:b w:val="0"/>
          <w:bCs w:val="0"/>
          <w:color w:val="auto"/>
          <w:sz w:val="21"/>
          <w:szCs w:val="20"/>
          <w:lang w:val="en-US" w:eastAsia="zh-CN" w:bidi="ar-SA"/>
        </w:rPr>
        <w:t>的行为</w:t>
      </w: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处置（冲撞、行凶等）。</w:t>
      </w:r>
    </w:p>
    <w:p w14:paraId="312C677D">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default" w:ascii="Times New Roman" w:hAnsi="Times New Roman" w:eastAsia="宋体" w:cs="Times New Roman"/>
          <w:b/>
          <w:bCs/>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bCs/>
          <w:color w:val="000000" w:themeColor="text1"/>
          <w:sz w:val="21"/>
          <w:szCs w:val="20"/>
          <w:lang w:val="en-US" w:eastAsia="zh-CN" w:bidi="ar-SA"/>
          <w14:textFill>
            <w14:solidFill>
              <w14:schemeClr w14:val="tx1"/>
            </w14:solidFill>
          </w14:textFill>
        </w:rPr>
        <w:t>6</w:t>
      </w:r>
      <w:r>
        <w:rPr>
          <w:rFonts w:hint="default" w:ascii="Times New Roman" w:hAnsi="Times New Roman" w:eastAsia="宋体" w:cs="Times New Roman"/>
          <w:b/>
          <w:bCs/>
          <w:color w:val="000000" w:themeColor="text1"/>
          <w:sz w:val="21"/>
          <w:szCs w:val="20"/>
          <w:lang w:val="en-US" w:eastAsia="zh-CN" w:bidi="ar-SA"/>
          <w14:textFill>
            <w14:solidFill>
              <w14:schemeClr w14:val="tx1"/>
            </w14:solidFill>
          </w14:textFill>
        </w:rPr>
        <w:t>.</w:t>
      </w:r>
      <w:r>
        <w:rPr>
          <w:rFonts w:hint="eastAsia" w:ascii="Times New Roman" w:hAnsi="Times New Roman" w:eastAsia="宋体" w:cs="Times New Roman"/>
          <w:b/>
          <w:bCs/>
          <w:color w:val="000000" w:themeColor="text1"/>
          <w:sz w:val="21"/>
          <w:szCs w:val="20"/>
          <w:lang w:val="en-US" w:eastAsia="zh-CN" w:bidi="ar-SA"/>
          <w14:textFill>
            <w14:solidFill>
              <w14:schemeClr w14:val="tx1"/>
            </w14:solidFill>
          </w14:textFill>
        </w:rPr>
        <w:t>1.</w:t>
      </w:r>
      <w:r>
        <w:rPr>
          <w:rFonts w:hint="default" w:ascii="Times New Roman" w:hAnsi="Times New Roman" w:eastAsia="宋体" w:cs="Times New Roman"/>
          <w:b/>
          <w:bCs/>
          <w:color w:val="000000" w:themeColor="text1"/>
          <w:sz w:val="21"/>
          <w:szCs w:val="20"/>
          <w:lang w:val="en-US" w:eastAsia="zh-CN" w:bidi="ar-SA"/>
          <w14:textFill>
            <w14:solidFill>
              <w14:schemeClr w14:val="tx1"/>
            </w14:solidFill>
          </w14:textFill>
        </w:rPr>
        <w:t>2.2 巡逻岗位</w:t>
      </w:r>
    </w:p>
    <w:p w14:paraId="3A6B0480">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6</w:t>
      </w: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w:t>
      </w: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1.</w:t>
      </w: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2.2.1路线规划：结合服务区域地形，制定 “全覆盖、无死角” 的巡逻路线，明确重点巡查时段；</w:t>
      </w:r>
    </w:p>
    <w:p w14:paraId="2576D8DB">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6</w:t>
      </w: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w:t>
      </w: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1.</w:t>
      </w: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2.2.</w:t>
      </w: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2</w:t>
      </w: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重点巡查：对消防通道、配电房、监控死角进行重点巡查；</w:t>
      </w:r>
    </w:p>
    <w:p w14:paraId="2102D489">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6</w:t>
      </w: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w:t>
      </w: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1.</w:t>
      </w: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2.2.</w:t>
      </w: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3</w:t>
      </w: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异常</w:t>
      </w: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情况处置</w:t>
      </w: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：发现</w:t>
      </w: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可疑人员、溺水、火情等</w:t>
      </w: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异常情况，需立即通过对讲机上报，并做好书面记录。</w:t>
      </w:r>
    </w:p>
    <w:p w14:paraId="3575741F">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default" w:ascii="Times New Roman" w:hAnsi="Times New Roman" w:eastAsia="宋体" w:cs="Times New Roman"/>
          <w:b/>
          <w:bCs/>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bCs/>
          <w:color w:val="000000" w:themeColor="text1"/>
          <w:sz w:val="21"/>
          <w:szCs w:val="20"/>
          <w:lang w:val="en-US" w:eastAsia="zh-CN" w:bidi="ar-SA"/>
          <w14:textFill>
            <w14:solidFill>
              <w14:schemeClr w14:val="tx1"/>
            </w14:solidFill>
          </w14:textFill>
        </w:rPr>
        <w:t>6</w:t>
      </w:r>
      <w:r>
        <w:rPr>
          <w:rFonts w:hint="default" w:ascii="Times New Roman" w:hAnsi="Times New Roman" w:eastAsia="宋体" w:cs="Times New Roman"/>
          <w:b/>
          <w:bCs/>
          <w:color w:val="000000" w:themeColor="text1"/>
          <w:sz w:val="21"/>
          <w:szCs w:val="20"/>
          <w:lang w:val="en-US" w:eastAsia="zh-CN" w:bidi="ar-SA"/>
          <w14:textFill>
            <w14:solidFill>
              <w14:schemeClr w14:val="tx1"/>
            </w14:solidFill>
          </w14:textFill>
        </w:rPr>
        <w:t>.</w:t>
      </w:r>
      <w:r>
        <w:rPr>
          <w:rFonts w:hint="eastAsia" w:ascii="Times New Roman" w:hAnsi="Times New Roman" w:eastAsia="宋体" w:cs="Times New Roman"/>
          <w:b/>
          <w:bCs/>
          <w:color w:val="000000" w:themeColor="text1"/>
          <w:sz w:val="21"/>
          <w:szCs w:val="20"/>
          <w:lang w:val="en-US" w:eastAsia="zh-CN" w:bidi="ar-SA"/>
          <w14:textFill>
            <w14:solidFill>
              <w14:schemeClr w14:val="tx1"/>
            </w14:solidFill>
          </w14:textFill>
        </w:rPr>
        <w:t>1.</w:t>
      </w:r>
      <w:r>
        <w:rPr>
          <w:rFonts w:hint="default" w:ascii="Times New Roman" w:hAnsi="Times New Roman" w:eastAsia="宋体" w:cs="Times New Roman"/>
          <w:b/>
          <w:bCs/>
          <w:color w:val="000000" w:themeColor="text1"/>
          <w:sz w:val="21"/>
          <w:szCs w:val="20"/>
          <w:lang w:val="en-US" w:eastAsia="zh-CN" w:bidi="ar-SA"/>
          <w14:textFill>
            <w14:solidFill>
              <w14:schemeClr w14:val="tx1"/>
            </w14:solidFill>
          </w14:textFill>
        </w:rPr>
        <w:t>2.3 守护岗位</w:t>
      </w:r>
    </w:p>
    <w:p w14:paraId="7A38C231">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6</w:t>
      </w: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w:t>
      </w: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1.</w:t>
      </w: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2.3.1核心目标守护：针对监控中心、银行金库、博物馆一级文物展区、</w:t>
      </w: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医院、高科技企业、</w:t>
      </w: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 xml:space="preserve">企业核心机房等一级守护目标，需执行 24 小时不间断值守；严格落实出入人员 </w:t>
      </w: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w:t>
      </w: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双人核验</w:t>
      </w: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w:t>
      </w: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制度（如核验工作证+人脸识别），禁止无资质人员进入；物品交接需执行 “单据</w:t>
      </w: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w:t>
      </w: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物品</w:t>
      </w: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w:t>
      </w: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人员” 三方核对。</w:t>
      </w:r>
    </w:p>
    <w:p w14:paraId="436D21BD">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6</w:t>
      </w: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w:t>
      </w: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1.</w:t>
      </w: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2.3.</w:t>
      </w: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2</w:t>
      </w: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常规目标守护：针对商场贵重商品区、学校教学楼等二级守护目标，需执行 12 小时值守；出入人员核验可采用 “工作证/会员卡核验” 模式，物品交接需留存纸质或电子记录。</w:t>
      </w:r>
    </w:p>
    <w:p w14:paraId="764C2B24">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6</w:t>
      </w: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w:t>
      </w: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1.</w:t>
      </w: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2.3.</w:t>
      </w: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3</w:t>
      </w: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周边环境监控：守护区域周边需重点关注可疑人员徘徊、异常车辆停靠、防护设施损坏等情况，发现问题立即通过对讲机上报并记录，重大隐患需同步向服务对象及公安机关报</w:t>
      </w: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告</w:t>
      </w: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w:t>
      </w:r>
    </w:p>
    <w:p w14:paraId="0B4EC2AC">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eastAsia" w:ascii="Times New Roman" w:hAnsi="Times New Roman" w:eastAsia="宋体" w:cs="Times New Roman"/>
          <w:b/>
          <w:bCs/>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bCs/>
          <w:color w:val="000000" w:themeColor="text1"/>
          <w:sz w:val="21"/>
          <w:szCs w:val="20"/>
          <w:lang w:val="en-US" w:eastAsia="zh-CN" w:bidi="ar-SA"/>
          <w14:textFill>
            <w14:solidFill>
              <w14:schemeClr w14:val="tx1"/>
            </w14:solidFill>
          </w14:textFill>
        </w:rPr>
        <w:t>6.1.2.4 随身护卫</w:t>
      </w:r>
    </w:p>
    <w:p w14:paraId="3065E40D">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6.1.2.4.1通过资料收集、现场勘察、人员排查等方式，全面评估护卫任务中的安全风险，制定风险等级，并针对不同风险等级制定应对预案。​</w:t>
      </w:r>
    </w:p>
    <w:p w14:paraId="07071FCD">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6.1.2.4.2提前对护卫对象的出行路线、活动场所进行安全排查，排除爆炸物、易燃易爆物品、可疑人员等安全隐患；在护卫过程中，密切观察周边环境，识别潜在安全威胁，建立安全警戒区域；当护卫对象面临人身攻击、骚扰、绑架等危险时，立即采取防护与反击措施，确保护卫对象安全撤离；同时，负责护卫对象的行程协调与安全沟通，保障行程顺畅。</w:t>
      </w:r>
    </w:p>
    <w:p w14:paraId="6AC961FB">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6.1.2.4.3针对常见紧急情况快速保护护卫对象、设置警示标识、联系救援并协助处理事故。</w:t>
      </w:r>
    </w:p>
    <w:p w14:paraId="2E7C9167">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default" w:ascii="Times New Roman" w:hAnsi="Times New Roman" w:eastAsia="宋体" w:cs="Times New Roman"/>
          <w:b/>
          <w:bCs/>
          <w:color w:val="auto"/>
          <w:sz w:val="21"/>
          <w:szCs w:val="20"/>
          <w:lang w:val="en-US" w:eastAsia="zh-CN" w:bidi="ar-SA"/>
        </w:rPr>
      </w:pPr>
      <w:r>
        <w:rPr>
          <w:rFonts w:hint="eastAsia" w:ascii="Times New Roman" w:hAnsi="Times New Roman" w:eastAsia="宋体" w:cs="Times New Roman"/>
          <w:b/>
          <w:bCs/>
          <w:color w:val="auto"/>
          <w:sz w:val="21"/>
          <w:szCs w:val="20"/>
          <w:lang w:val="en-US" w:eastAsia="zh-CN" w:bidi="ar-SA"/>
        </w:rPr>
        <w:t>6.1.2.5 安全检查</w:t>
      </w:r>
    </w:p>
    <w:p w14:paraId="00DCA77C">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6.1.2.5.1了解人员密集场所、密闭空间、仓储区域、出入口等不同场景的典型风险。​</w:t>
      </w:r>
    </w:p>
    <w:p w14:paraId="7CA4CC38">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6.1.2.5.2 明确火灾隐患、治安隐患、设施隐患、物品隐患等具体表现形式。</w:t>
      </w:r>
    </w:p>
    <w:p w14:paraId="0030EA0C">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6.1.2.5.3对安全隐患、安全风险，</w:t>
      </w:r>
      <w:r>
        <w:rPr>
          <w:rFonts w:hint="eastAsia" w:ascii="Times New Roman" w:hAnsi="Times New Roman" w:eastAsia="宋体" w:cs="Times New Roman"/>
          <w:b w:val="0"/>
          <w:bCs w:val="0"/>
          <w:color w:val="auto"/>
          <w:sz w:val="21"/>
          <w:szCs w:val="20"/>
          <w:lang w:val="en-US" w:eastAsia="zh-CN" w:bidi="ar-SA"/>
        </w:rPr>
        <w:t>以及</w:t>
      </w: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人员、物品、场所设施等进行系统性查验。</w:t>
      </w:r>
    </w:p>
    <w:p w14:paraId="5FFDD616">
      <w:pPr>
        <w:pStyle w:val="254"/>
        <w:keepNext w:val="0"/>
        <w:keepLines w:val="0"/>
        <w:pageBreakBefore w:val="0"/>
        <w:widowControl/>
        <w:kinsoku/>
        <w:wordWrap/>
        <w:overflowPunct/>
        <w:topLinePunct w:val="0"/>
        <w:bidi w:val="0"/>
        <w:adjustRightInd w:val="0"/>
        <w:snapToGrid w:val="0"/>
        <w:spacing w:before="0" w:after="0" w:line="240" w:lineRule="auto"/>
        <w:ind w:firstLine="420" w:firstLineChars="200"/>
        <w:textAlignment w:val="auto"/>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--人员检查：考核流程规范性、沟通礼仪、可疑人员识别准确性；​</w:t>
      </w:r>
    </w:p>
    <w:p w14:paraId="380140C8">
      <w:pPr>
        <w:pStyle w:val="254"/>
        <w:keepNext w:val="0"/>
        <w:keepLines w:val="0"/>
        <w:pageBreakBefore w:val="0"/>
        <w:widowControl/>
        <w:kinsoku/>
        <w:wordWrap/>
        <w:overflowPunct/>
        <w:topLinePunct w:val="0"/>
        <w:bidi w:val="0"/>
        <w:adjustRightInd w:val="0"/>
        <w:snapToGrid w:val="0"/>
        <w:spacing w:before="0" w:after="0" w:line="240" w:lineRule="auto"/>
        <w:ind w:firstLine="420" w:firstLineChars="200"/>
        <w:textAlignment w:val="auto"/>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--物品检查：考核工具使用熟练度、违禁品识别准确率、处置规范性；​</w:t>
      </w:r>
    </w:p>
    <w:p w14:paraId="27035AA5">
      <w:pPr>
        <w:pStyle w:val="254"/>
        <w:keepNext w:val="0"/>
        <w:keepLines w:val="0"/>
        <w:pageBreakBefore w:val="0"/>
        <w:widowControl/>
        <w:kinsoku/>
        <w:wordWrap/>
        <w:overflowPunct/>
        <w:topLinePunct w:val="0"/>
        <w:bidi w:val="0"/>
        <w:adjustRightInd w:val="0"/>
        <w:snapToGrid w:val="0"/>
        <w:spacing w:before="0" w:after="0" w:line="240" w:lineRule="auto"/>
        <w:ind w:firstLine="420" w:firstLineChars="200"/>
        <w:textAlignment w:val="auto"/>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--设施巡查：考核巡查路线完整性、隐患排查准确率、整改通知填写规范性。</w:t>
      </w:r>
    </w:p>
    <w:p w14:paraId="43DE90B8">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eastAsia" w:ascii="Times New Roman" w:hAnsi="Times New Roman" w:eastAsia="宋体" w:cs="Times New Roman"/>
          <w:b w:val="0"/>
          <w:bCs w:val="0"/>
          <w:color w:val="auto"/>
          <w:sz w:val="21"/>
          <w:szCs w:val="20"/>
          <w:lang w:val="en-US" w:eastAsia="zh-CN" w:bidi="ar-SA"/>
        </w:rPr>
      </w:pPr>
      <w:r>
        <w:rPr>
          <w:rFonts w:hint="eastAsia" w:ascii="Times New Roman" w:hAnsi="Times New Roman" w:eastAsia="宋体" w:cs="Times New Roman"/>
          <w:b w:val="0"/>
          <w:bCs w:val="0"/>
          <w:color w:val="auto"/>
          <w:sz w:val="21"/>
          <w:szCs w:val="20"/>
          <w:lang w:val="en-US" w:eastAsia="zh-CN" w:bidi="ar-SA"/>
        </w:rPr>
        <w:t>6.1.2.5.4几类大型活动以及场所的安全检查</w:t>
      </w:r>
    </w:p>
    <w:p w14:paraId="590B2B53">
      <w:pPr>
        <w:pStyle w:val="254"/>
        <w:keepNext w:val="0"/>
        <w:keepLines w:val="0"/>
        <w:pageBreakBefore w:val="0"/>
        <w:widowControl/>
        <w:kinsoku/>
        <w:wordWrap/>
        <w:overflowPunct/>
        <w:topLinePunct w:val="0"/>
        <w:bidi w:val="0"/>
        <w:adjustRightInd w:val="0"/>
        <w:snapToGrid w:val="0"/>
        <w:spacing w:before="0" w:after="0" w:line="240" w:lineRule="auto"/>
        <w:ind w:firstLine="420" w:firstLineChars="200"/>
        <w:textAlignment w:val="auto"/>
        <w:rPr>
          <w:rFonts w:hint="eastAsia" w:ascii="Times New Roman" w:hAnsi="Times New Roman" w:eastAsia="宋体" w:cs="Times New Roman"/>
          <w:b w:val="0"/>
          <w:bCs w:val="0"/>
          <w:color w:val="auto"/>
          <w:sz w:val="21"/>
          <w:szCs w:val="20"/>
          <w:lang w:val="en-US" w:eastAsia="zh-CN" w:bidi="ar-SA"/>
        </w:rPr>
      </w:pPr>
      <w:r>
        <w:rPr>
          <w:rFonts w:hint="eastAsia" w:ascii="Times New Roman" w:hAnsi="Times New Roman" w:eastAsia="宋体" w:cs="Times New Roman"/>
          <w:b w:val="0"/>
          <w:bCs w:val="0"/>
          <w:color w:val="auto"/>
          <w:sz w:val="21"/>
          <w:szCs w:val="20"/>
          <w:lang w:val="en-US" w:eastAsia="zh-CN" w:bidi="ar-SA"/>
        </w:rPr>
        <w:t>--会展、演唱会、球赛等活动；火车站、汽车站、轨道交通、机场等场所。​</w:t>
      </w:r>
    </w:p>
    <w:p w14:paraId="7D1E25FD">
      <w:pPr>
        <w:pStyle w:val="254"/>
        <w:keepNext w:val="0"/>
        <w:keepLines w:val="0"/>
        <w:pageBreakBefore w:val="0"/>
        <w:widowControl/>
        <w:kinsoku/>
        <w:wordWrap/>
        <w:overflowPunct/>
        <w:topLinePunct w:val="0"/>
        <w:bidi w:val="0"/>
        <w:adjustRightInd w:val="0"/>
        <w:snapToGrid w:val="0"/>
        <w:spacing w:before="0" w:after="0" w:line="240" w:lineRule="auto"/>
        <w:ind w:firstLine="420" w:firstLineChars="200"/>
        <w:textAlignment w:val="auto"/>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p>
    <w:p w14:paraId="0416A36F">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eastAsia" w:ascii="Times New Roman" w:hAnsi="Times New Roman" w:eastAsia="宋体" w:cs="Times New Roman"/>
          <w:b/>
          <w:bCs/>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bCs/>
          <w:color w:val="000000" w:themeColor="text1"/>
          <w:sz w:val="21"/>
          <w:szCs w:val="20"/>
          <w:lang w:val="en-US" w:eastAsia="zh-CN" w:bidi="ar-SA"/>
          <w14:textFill>
            <w14:solidFill>
              <w14:schemeClr w14:val="tx1"/>
            </w14:solidFill>
          </w14:textFill>
        </w:rPr>
        <w:t>6.1.2.6 安全技术防范</w:t>
      </w:r>
    </w:p>
    <w:p w14:paraId="2F7B4088">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6.1.2.6.1 技术防范设备的日常运行管理，对设备采集的信息（如监控录像、报警记录）进行实时监测、分析与存储，及时发现异常情况并处理；定期对技术防范设备进行维护、检修、升级，保障设备性能稳定；协助制定技术防范方案，根据用户需求，选择合适的设备与系统，规划安装布局。</w:t>
      </w:r>
    </w:p>
    <w:p w14:paraId="5AC69906">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6.1.2.6.2 监控系统的基本操作：包括：摄像头的控制、录像查询与回放；异常画面识别等。​</w:t>
      </w:r>
    </w:p>
    <w:p w14:paraId="774ABAA5">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6.1.2.6.3常见报警系统类型，掌握系统的布防、撤防、消警等操作流程；识别不同类型的报警信号（如红外报警、门磁报警、烟感报警），判断报警原因（如真实入侵、误触发、设备故障）。针对不同报警情况，制定处置流程，如入侵报警时，立即通过监控确认现场情况，通知巡逻人员前往核查，必要时联系警方；误报警时，及时排查原因（如宠物触发、风吹动遮挡物），消除隐患并重新布防；设备故障报警时，记录故障信息，联系维修人员处理。​</w:t>
      </w:r>
    </w:p>
    <w:p w14:paraId="32578A31">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6.1.2.6.4 出入库控制的工作原理，掌握门禁权限管理、异常处理等操作；对于停车场管理系统，教授如何操作道闸、识别车牌、处理缴费异常；对于电子巡更系统，熟悉查看巡更记录、确认巡更人员到位情况、处理巡更异常。​</w:t>
      </w:r>
    </w:p>
    <w:p w14:paraId="64A18DC5">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6.1.2.6.5 设备维护，包括日常检查；简单故障排除；记录设备维护日志，及时上报无法自行解决的故障，联系专业维修人员。​</w:t>
      </w:r>
    </w:p>
    <w:p w14:paraId="317C4746">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default" w:ascii="Times New Roman" w:hAnsi="Times New Roman" w:eastAsia="宋体" w:cs="Times New Roman"/>
          <w:b/>
          <w:bCs/>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bCs/>
          <w:color w:val="000000" w:themeColor="text1"/>
          <w:sz w:val="21"/>
          <w:szCs w:val="20"/>
          <w:lang w:val="en-US" w:eastAsia="zh-CN" w:bidi="ar-SA"/>
          <w14:textFill>
            <w14:solidFill>
              <w14:schemeClr w14:val="tx1"/>
            </w14:solidFill>
          </w14:textFill>
        </w:rPr>
        <w:t>6</w:t>
      </w:r>
      <w:r>
        <w:rPr>
          <w:rFonts w:hint="default" w:ascii="Times New Roman" w:hAnsi="Times New Roman" w:eastAsia="宋体" w:cs="Times New Roman"/>
          <w:b/>
          <w:bCs/>
          <w:color w:val="000000" w:themeColor="text1"/>
          <w:sz w:val="21"/>
          <w:szCs w:val="20"/>
          <w:lang w:val="en-US" w:eastAsia="zh-CN" w:bidi="ar-SA"/>
          <w14:textFill>
            <w14:solidFill>
              <w14:schemeClr w14:val="tx1"/>
            </w14:solidFill>
          </w14:textFill>
        </w:rPr>
        <w:t>.</w:t>
      </w:r>
      <w:r>
        <w:rPr>
          <w:rFonts w:hint="eastAsia" w:ascii="Times New Roman" w:hAnsi="Times New Roman" w:eastAsia="宋体" w:cs="Times New Roman"/>
          <w:b/>
          <w:bCs/>
          <w:color w:val="000000" w:themeColor="text1"/>
          <w:sz w:val="21"/>
          <w:szCs w:val="20"/>
          <w:lang w:val="en-US" w:eastAsia="zh-CN" w:bidi="ar-SA"/>
          <w14:textFill>
            <w14:solidFill>
              <w14:schemeClr w14:val="tx1"/>
            </w14:solidFill>
          </w14:textFill>
        </w:rPr>
        <w:t>1.</w:t>
      </w:r>
      <w:r>
        <w:rPr>
          <w:rFonts w:hint="default" w:ascii="Times New Roman" w:hAnsi="Times New Roman" w:eastAsia="宋体" w:cs="Times New Roman"/>
          <w:b/>
          <w:bCs/>
          <w:color w:val="000000" w:themeColor="text1"/>
          <w:sz w:val="21"/>
          <w:szCs w:val="20"/>
          <w:lang w:val="en-US" w:eastAsia="zh-CN" w:bidi="ar-SA"/>
          <w14:textFill>
            <w14:solidFill>
              <w14:schemeClr w14:val="tx1"/>
            </w14:solidFill>
          </w14:textFill>
        </w:rPr>
        <w:t>2.</w:t>
      </w:r>
      <w:r>
        <w:rPr>
          <w:rFonts w:hint="eastAsia" w:ascii="Times New Roman" w:hAnsi="Times New Roman" w:eastAsia="宋体" w:cs="Times New Roman"/>
          <w:b/>
          <w:bCs/>
          <w:color w:val="000000" w:themeColor="text1"/>
          <w:sz w:val="21"/>
          <w:szCs w:val="20"/>
          <w:lang w:val="en-US" w:eastAsia="zh-CN" w:bidi="ar-SA"/>
          <w14:textFill>
            <w14:solidFill>
              <w14:schemeClr w14:val="tx1"/>
            </w14:solidFill>
          </w14:textFill>
        </w:rPr>
        <w:t>7</w:t>
      </w:r>
      <w:r>
        <w:rPr>
          <w:rFonts w:hint="default" w:ascii="Times New Roman" w:hAnsi="Times New Roman" w:eastAsia="宋体" w:cs="Times New Roman"/>
          <w:b/>
          <w:bCs/>
          <w:color w:val="000000" w:themeColor="text1"/>
          <w:sz w:val="21"/>
          <w:szCs w:val="20"/>
          <w:lang w:val="en-US" w:eastAsia="zh-CN" w:bidi="ar-SA"/>
          <w14:textFill>
            <w14:solidFill>
              <w14:schemeClr w14:val="tx1"/>
            </w14:solidFill>
          </w14:textFill>
        </w:rPr>
        <w:t xml:space="preserve"> 押运岗位</w:t>
      </w:r>
    </w:p>
    <w:p w14:paraId="30B795D4">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6.1.2.7.1 押运前，对押运物品进行清点、核对，确认物品数量、规格、完好情况，填写押运单据；对押运车辆（如防弹运钞车）、武器装备进行检查，确保车辆性能良好、武器装备符合安全标准且处于有效状态；</w:t>
      </w:r>
    </w:p>
    <w:p w14:paraId="6DFC0ADF">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6.1.2.7.2 对押运路线进行勘察，了解路线周边环境，制定备选路线与应急方案。押运途中，严格按照预设路线行驶，不擅自改变路线、停留或搭载无关人员。</w:t>
      </w:r>
    </w:p>
    <w:p w14:paraId="2DD100B2">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6.1.2.7.3押运过程中保持高度警惕，观察周边环境，防范可疑车辆、人员跟踪或袭击；通过车内通讯设备与指挥中心保持实时联系，及时汇报行驶情况与异常情况。</w:t>
      </w:r>
    </w:p>
    <w:p w14:paraId="3800D033">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6.1.2.7.4 押运到达目的地后，与接收方共同清点物品，核对单据，确认无误后办理交接手续；将押运车辆、武器装备返回单位，进行检查、清洁、保养，做好押运记录存档。</w:t>
      </w:r>
    </w:p>
    <w:p w14:paraId="303673BB">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default" w:ascii="Times New Roman" w:hAnsi="Times New Roman" w:eastAsia="宋体" w:cs="Times New Roman"/>
          <w:b/>
          <w:bCs/>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bCs/>
          <w:color w:val="000000" w:themeColor="text1"/>
          <w:sz w:val="21"/>
          <w:szCs w:val="20"/>
          <w:lang w:val="en-US" w:eastAsia="zh-CN" w:bidi="ar-SA"/>
          <w14:textFill>
            <w14:solidFill>
              <w14:schemeClr w14:val="tx1"/>
            </w14:solidFill>
          </w14:textFill>
        </w:rPr>
        <w:t>6.1.2.8安全风险评估</w:t>
      </w:r>
    </w:p>
    <w:p w14:paraId="1178A38C">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6.1.2.8.1帮助客户识别潜在安全风险，对客户所在场景或需求领域开展安全风险调研与评估，形成风险评估报告，降低安全事故发生概率。</w:t>
      </w:r>
    </w:p>
    <w:p w14:paraId="5A9AB0D0">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6.1.2.8.2基于评估结果，为客户制定包含防范措施、应急方案、资源配置的安全咨询方案。</w:t>
      </w:r>
    </w:p>
    <w:p w14:paraId="4951AECD">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6.1.2.8.3解读方案内容，指导方案落地实施，并根据客户反馈与实际情况调整优化；定期回访客户，跟踪方案实施效果，提供后续安全咨询支持。</w:t>
      </w:r>
    </w:p>
    <w:p w14:paraId="1EA58F5E">
      <w:pPr>
        <w:pStyle w:val="254"/>
        <w:keepNext w:val="0"/>
        <w:keepLines w:val="0"/>
        <w:pageBreakBefore w:val="0"/>
        <w:widowControl/>
        <w:kinsoku/>
        <w:wordWrap/>
        <w:overflowPunct/>
        <w:topLinePunct w:val="0"/>
        <w:bidi w:val="0"/>
        <w:adjustRightInd w:val="0"/>
        <w:snapToGrid w:val="0"/>
        <w:spacing w:before="0" w:after="0" w:line="240" w:lineRule="auto"/>
        <w:textAlignment w:val="auto"/>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6.1.2.8.4 为客户普及安全知识与技能，严格保护客户隐私与商业机密，不泄露咨询过程中获取的客户信息；明确职责边界，如不越权代替客户执行安全方案、不提供超出专业范围的服务。​</w:t>
      </w:r>
    </w:p>
    <w:p w14:paraId="194BAD05">
      <w:pPr>
        <w:pStyle w:val="105"/>
        <w:keepNext w:val="0"/>
        <w:keepLines w:val="0"/>
        <w:pageBreakBefore w:val="0"/>
        <w:widowControl/>
        <w:numPr>
          <w:ilvl w:val="1"/>
          <w:numId w:val="0"/>
        </w:numPr>
        <w:kinsoku/>
        <w:wordWrap/>
        <w:overflowPunct/>
        <w:topLinePunct w:val="0"/>
        <w:bidi w:val="0"/>
        <w:adjustRightInd w:val="0"/>
        <w:snapToGrid w:val="0"/>
        <w:spacing w:before="0" w:beforeLines="0" w:after="0" w:afterLines="0" w:line="240" w:lineRule="auto"/>
        <w:ind w:leftChars="0"/>
        <w:textAlignment w:val="auto"/>
        <w:rPr>
          <w:rFonts w:hint="default" w:ascii="Times New Roman" w:hAnsi="Times New Roman" w:cs="Times New Roman"/>
          <w:color w:val="000000" w:themeColor="text1"/>
          <w:szCs w:val="21"/>
          <w:highlight w:val="none"/>
          <w:lang w:val="en-US" w:eastAsia="zh-CN"/>
          <w14:textFill>
            <w14:solidFill>
              <w14:schemeClr w14:val="tx1"/>
            </w14:solidFill>
          </w14:textFill>
        </w:rPr>
      </w:pPr>
      <w:r>
        <w:rPr>
          <w:rFonts w:hint="eastAsia" w:ascii="Times New Roman" w:cs="Times New Roman"/>
          <w:color w:val="000000" w:themeColor="text1"/>
          <w:szCs w:val="21"/>
          <w:highlight w:val="none"/>
          <w:lang w:val="en-US" w:eastAsia="zh-CN"/>
          <w14:textFill>
            <w14:solidFill>
              <w14:schemeClr w14:val="tx1"/>
            </w14:solidFill>
          </w14:textFill>
        </w:rPr>
        <w:t xml:space="preserve">6.2 </w:t>
      </w:r>
      <w:r>
        <w:rPr>
          <w:rFonts w:hint="default" w:ascii="Times New Roman" w:hAnsi="Times New Roman" w:cs="Times New Roman"/>
          <w:color w:val="000000" w:themeColor="text1"/>
          <w:szCs w:val="21"/>
          <w:highlight w:val="none"/>
          <w:lang w:val="en-US" w:eastAsia="zh-CN"/>
          <w14:textFill>
            <w14:solidFill>
              <w14:schemeClr w14:val="tx1"/>
            </w14:solidFill>
          </w14:textFill>
        </w:rPr>
        <w:t>培训方法</w:t>
      </w:r>
    </w:p>
    <w:p w14:paraId="2AB54438">
      <w:pPr>
        <w:pStyle w:val="165"/>
        <w:keepNext w:val="0"/>
        <w:keepLines w:val="0"/>
        <w:pageBreakBefore w:val="0"/>
        <w:widowControl/>
        <w:numPr>
          <w:ilvl w:val="4"/>
          <w:numId w:val="0"/>
        </w:numPr>
        <w:kinsoku/>
        <w:wordWrap/>
        <w:overflowPunct/>
        <w:topLinePunct w:val="0"/>
        <w:bidi w:val="0"/>
        <w:adjustRightInd w:val="0"/>
        <w:snapToGrid w:val="0"/>
        <w:spacing w:before="0" w:beforeLines="0" w:after="0" w:afterLines="0" w:line="240" w:lineRule="auto"/>
        <w:ind w:leftChars="0"/>
        <w:textAlignment w:val="auto"/>
        <w:rPr>
          <w:rFonts w:hint="default" w:ascii="Times New Roman" w:hAnsi="Times New Roman" w:eastAsia="宋体" w:cs="Times New Roman"/>
          <w:b/>
          <w:bCs/>
          <w:color w:val="auto"/>
        </w:rPr>
      </w:pPr>
      <w:r>
        <w:rPr>
          <w:rFonts w:hint="eastAsia" w:ascii="Times New Roman" w:cs="Times New Roman"/>
          <w:b/>
          <w:bCs/>
          <w:color w:val="auto"/>
          <w:lang w:val="en-US" w:eastAsia="zh-CN"/>
        </w:rPr>
        <w:t>6.2</w:t>
      </w:r>
      <w:r>
        <w:rPr>
          <w:rFonts w:hint="default" w:ascii="Times New Roman" w:hAnsi="Times New Roman" w:cs="Times New Roman"/>
          <w:b/>
          <w:bCs/>
          <w:color w:val="auto"/>
          <w:lang w:val="en-US" w:eastAsia="zh-CN"/>
        </w:rPr>
        <w:t>.1</w:t>
      </w:r>
      <w:r>
        <w:rPr>
          <w:rFonts w:hint="default" w:ascii="Times New Roman" w:hAnsi="Times New Roman" w:eastAsia="宋体" w:cs="Times New Roman"/>
          <w:b/>
          <w:bCs/>
          <w:color w:val="auto"/>
        </w:rPr>
        <w:t>理论</w:t>
      </w:r>
    </w:p>
    <w:p w14:paraId="78BE2285">
      <w:pPr>
        <w:pStyle w:val="165"/>
        <w:keepNext w:val="0"/>
        <w:keepLines w:val="0"/>
        <w:pageBreakBefore w:val="0"/>
        <w:widowControl/>
        <w:numPr>
          <w:ilvl w:val="4"/>
          <w:numId w:val="0"/>
        </w:numPr>
        <w:kinsoku/>
        <w:wordWrap/>
        <w:overflowPunct/>
        <w:topLinePunct w:val="0"/>
        <w:bidi w:val="0"/>
        <w:adjustRightInd w:val="0"/>
        <w:snapToGrid w:val="0"/>
        <w:spacing w:before="0" w:beforeLines="0" w:after="0" w:afterLines="0" w:line="240" w:lineRule="auto"/>
        <w:ind w:leftChars="0" w:firstLine="422" w:firstLineChars="200"/>
        <w:textAlignment w:val="auto"/>
        <w:rPr>
          <w:rFonts w:hint="default" w:ascii="Times New Roman" w:hAnsi="Times New Roman" w:eastAsia="宋体" w:cs="Times New Roman"/>
          <w:b/>
          <w:bCs/>
          <w:color w:val="auto"/>
          <w:lang w:val="en-US" w:eastAsia="zh-CN"/>
        </w:rPr>
      </w:pPr>
      <w:r>
        <w:rPr>
          <w:rFonts w:hint="eastAsia" w:ascii="Times New Roman" w:cs="Times New Roman"/>
          <w:b/>
          <w:bCs/>
          <w:color w:val="auto"/>
          <w:lang w:val="en-US" w:eastAsia="zh-CN"/>
        </w:rPr>
        <w:t>理论教学方法包括但不限于：</w:t>
      </w:r>
    </w:p>
    <w:p w14:paraId="0A7127E4">
      <w:pPr>
        <w:pStyle w:val="133"/>
        <w:bidi w:val="0"/>
        <w:ind w:left="0" w:leftChars="0" w:firstLine="40" w:firstLineChars="0"/>
        <w:rPr>
          <w:rFonts w:hint="default"/>
          <w:lang w:val="en-US" w:eastAsia="zh-CN"/>
        </w:rPr>
      </w:pPr>
      <w:r>
        <w:rPr>
          <w:rFonts w:hint="default"/>
          <w:lang w:val="en-US" w:eastAsia="zh-CN"/>
        </w:rPr>
        <w:t>课堂讲授：通过系统化讲解传授保安基础理论，辅以多媒体教学工具增强理解；</w:t>
      </w:r>
    </w:p>
    <w:p w14:paraId="783AECBA">
      <w:pPr>
        <w:pStyle w:val="133"/>
        <w:bidi w:val="0"/>
        <w:ind w:left="0" w:leftChars="0" w:firstLine="40" w:firstLineChars="0"/>
        <w:rPr>
          <w:rFonts w:hint="default"/>
          <w:lang w:val="en-US" w:eastAsia="zh-CN"/>
        </w:rPr>
      </w:pPr>
      <w:r>
        <w:rPr>
          <w:rFonts w:hint="default"/>
          <w:lang w:val="en-US" w:eastAsia="zh-CN"/>
        </w:rPr>
        <w:t>案例教学：结合典型治安事件、消防事故等真实案例，分析处置流程及法律依据，提升风险辨识与合规处置能力；</w:t>
      </w:r>
    </w:p>
    <w:p w14:paraId="667F6836">
      <w:pPr>
        <w:pStyle w:val="133"/>
        <w:bidi w:val="0"/>
        <w:ind w:left="0" w:leftChars="0" w:firstLine="40" w:firstLineChars="0"/>
        <w:rPr>
          <w:rFonts w:hint="default"/>
          <w:lang w:val="en-US" w:eastAsia="zh-CN"/>
        </w:rPr>
      </w:pPr>
      <w:r>
        <w:rPr>
          <w:rFonts w:hint="default"/>
          <w:lang w:val="en-US" w:eastAsia="zh-CN"/>
        </w:rPr>
        <w:t>专题讲座：邀请公安、消防部门专家开展专项培训（如大型活动安保规范、防暴器械使用），强化专业深度。</w:t>
      </w:r>
    </w:p>
    <w:p w14:paraId="22E14277">
      <w:pPr>
        <w:pStyle w:val="165"/>
        <w:keepNext w:val="0"/>
        <w:keepLines w:val="0"/>
        <w:pageBreakBefore w:val="0"/>
        <w:widowControl/>
        <w:numPr>
          <w:ilvl w:val="4"/>
          <w:numId w:val="0"/>
        </w:numPr>
        <w:kinsoku/>
        <w:wordWrap/>
        <w:overflowPunct/>
        <w:topLinePunct w:val="0"/>
        <w:bidi w:val="0"/>
        <w:adjustRightInd w:val="0"/>
        <w:snapToGrid w:val="0"/>
        <w:spacing w:before="0" w:beforeLines="0" w:after="0" w:afterLines="0" w:line="240" w:lineRule="auto"/>
        <w:ind w:leftChars="0"/>
        <w:textAlignment w:val="auto"/>
        <w:rPr>
          <w:rFonts w:hint="default" w:ascii="Times New Roman" w:hAnsi="Times New Roman" w:cs="Times New Roman"/>
          <w:b/>
          <w:bCs/>
          <w:color w:val="auto"/>
          <w:lang w:val="en-US"/>
        </w:rPr>
      </w:pPr>
      <w:r>
        <w:rPr>
          <w:rFonts w:hint="eastAsia" w:ascii="Times New Roman" w:cs="Times New Roman"/>
          <w:b/>
          <w:bCs/>
          <w:color w:val="auto"/>
          <w:lang w:val="en-US" w:eastAsia="zh-CN"/>
        </w:rPr>
        <w:t>6.2</w:t>
      </w:r>
      <w:r>
        <w:rPr>
          <w:rFonts w:hint="default" w:ascii="Times New Roman" w:hAnsi="Times New Roman" w:cs="Times New Roman"/>
          <w:b/>
          <w:bCs/>
          <w:color w:val="auto"/>
          <w:lang w:val="en-US" w:eastAsia="zh-CN"/>
        </w:rPr>
        <w:t xml:space="preserve">.2 </w:t>
      </w:r>
      <w:r>
        <w:rPr>
          <w:rFonts w:hint="eastAsia" w:ascii="Times New Roman" w:cs="Times New Roman"/>
          <w:b/>
          <w:bCs/>
          <w:color w:val="auto"/>
          <w:lang w:val="en-US" w:eastAsia="zh-CN"/>
        </w:rPr>
        <w:t>实操</w:t>
      </w:r>
    </w:p>
    <w:p w14:paraId="2F270758">
      <w:pPr>
        <w:pStyle w:val="133"/>
        <w:keepNext w:val="0"/>
        <w:keepLines w:val="0"/>
        <w:pageBreakBefore w:val="0"/>
        <w:widowControl/>
        <w:numPr>
          <w:ilvl w:val="0"/>
          <w:numId w:val="0"/>
        </w:numPr>
        <w:kinsoku/>
        <w:wordWrap/>
        <w:overflowPunct/>
        <w:topLinePunct w:val="0"/>
        <w:bidi w:val="0"/>
        <w:adjustRightInd w:val="0"/>
        <w:snapToGrid w:val="0"/>
        <w:spacing w:line="240" w:lineRule="auto"/>
        <w:textAlignment w:val="auto"/>
        <w:rPr>
          <w:rFonts w:hint="default" w:ascii="Times New Roman" w:hAnsi="Times New Roman" w:cs="Times New Roman"/>
          <w:color w:val="auto"/>
          <w:szCs w:val="24"/>
          <w:highlight w:val="none"/>
          <w:lang w:val="en-US" w:eastAsia="zh-CN"/>
        </w:rPr>
      </w:pPr>
      <w:r>
        <w:rPr>
          <w:rFonts w:hint="eastAsia" w:ascii="Times New Roman" w:cs="Times New Roman"/>
          <w:color w:val="auto"/>
          <w:szCs w:val="24"/>
          <w:highlight w:val="none"/>
          <w:lang w:val="en-US" w:eastAsia="zh-CN"/>
        </w:rPr>
        <w:t xml:space="preserve">6.2.2.1 </w:t>
      </w:r>
      <w:r>
        <w:rPr>
          <w:rFonts w:hint="default" w:ascii="Times New Roman" w:hAnsi="Times New Roman" w:cs="Times New Roman"/>
          <w:color w:val="auto"/>
          <w:szCs w:val="24"/>
          <w:highlight w:val="none"/>
          <w:lang w:val="en-US" w:eastAsia="zh-CN"/>
        </w:rPr>
        <w:t>示范教学与实操演练</w:t>
      </w:r>
    </w:p>
    <w:p w14:paraId="3CBECAAE">
      <w:pPr>
        <w:pStyle w:val="133"/>
        <w:numPr>
          <w:ilvl w:val="0"/>
          <w:numId w:val="0"/>
        </w:numPr>
        <w:bidi w:val="0"/>
        <w:ind w:firstLine="420" w:firstLineChars="200"/>
        <w:rPr>
          <w:rFonts w:hint="default"/>
          <w:lang w:val="en-US" w:eastAsia="zh-CN"/>
        </w:rPr>
      </w:pPr>
      <w:r>
        <w:rPr>
          <w:rFonts w:hint="eastAsia"/>
          <w:lang w:val="en-US" w:eastAsia="zh-CN"/>
        </w:rPr>
        <w:t>最小作战单元、械具操作、</w:t>
      </w:r>
      <w:r>
        <w:rPr>
          <w:rFonts w:hint="default"/>
          <w:lang w:val="en-US" w:eastAsia="zh-CN"/>
        </w:rPr>
        <w:t>现场演示灭火器、消防水带操作流程，组织模拟火场扑救及疏散演练，确保全员掌握“冷却法、窒息法、隔离法”等灭火技术；</w:t>
      </w:r>
    </w:p>
    <w:p w14:paraId="1AFA9A58">
      <w:pPr>
        <w:pStyle w:val="133"/>
        <w:keepNext w:val="0"/>
        <w:keepLines w:val="0"/>
        <w:pageBreakBefore w:val="0"/>
        <w:widowControl/>
        <w:numPr>
          <w:ilvl w:val="0"/>
          <w:numId w:val="0"/>
        </w:numPr>
        <w:kinsoku/>
        <w:wordWrap/>
        <w:overflowPunct/>
        <w:topLinePunct w:val="0"/>
        <w:bidi w:val="0"/>
        <w:adjustRightInd w:val="0"/>
        <w:snapToGrid w:val="0"/>
        <w:spacing w:line="240" w:lineRule="auto"/>
        <w:textAlignment w:val="auto"/>
        <w:rPr>
          <w:rFonts w:hint="default" w:ascii="Times New Roman" w:hAnsi="Times New Roman" w:cs="Times New Roman"/>
          <w:color w:val="auto"/>
          <w:szCs w:val="24"/>
          <w:highlight w:val="none"/>
          <w:lang w:val="en-US" w:eastAsia="zh-CN"/>
        </w:rPr>
      </w:pPr>
      <w:r>
        <w:rPr>
          <w:rFonts w:hint="eastAsia" w:ascii="Times New Roman" w:cs="Times New Roman"/>
          <w:color w:val="auto"/>
          <w:szCs w:val="24"/>
          <w:highlight w:val="none"/>
          <w:lang w:val="en-US" w:eastAsia="zh-CN"/>
        </w:rPr>
        <w:t xml:space="preserve">6.2.2.2 </w:t>
      </w:r>
      <w:r>
        <w:rPr>
          <w:rFonts w:hint="default" w:ascii="Times New Roman" w:hAnsi="Times New Roman" w:cs="Times New Roman"/>
          <w:color w:val="auto"/>
          <w:szCs w:val="24"/>
          <w:highlight w:val="none"/>
          <w:lang w:val="en-US" w:eastAsia="zh-CN"/>
        </w:rPr>
        <w:t>情景模拟训练</w:t>
      </w:r>
    </w:p>
    <w:p w14:paraId="23287C9E">
      <w:pPr>
        <w:pStyle w:val="133"/>
        <w:keepNext w:val="0"/>
        <w:keepLines w:val="0"/>
        <w:pageBreakBefore w:val="0"/>
        <w:widowControl/>
        <w:numPr>
          <w:ilvl w:val="0"/>
          <w:numId w:val="0"/>
        </w:numPr>
        <w:kinsoku/>
        <w:wordWrap/>
        <w:overflowPunct/>
        <w:topLinePunct w:val="0"/>
        <w:bidi w:val="0"/>
        <w:adjustRightInd w:val="0"/>
        <w:snapToGrid w:val="0"/>
        <w:spacing w:line="240" w:lineRule="auto"/>
        <w:ind w:firstLine="420" w:firstLineChars="200"/>
        <w:textAlignment w:val="auto"/>
        <w:rPr>
          <w:rFonts w:hint="default" w:ascii="Times New Roman" w:hAnsi="Times New Roman" w:cs="Times New Roman"/>
          <w:color w:val="auto"/>
          <w:szCs w:val="24"/>
          <w:highlight w:val="none"/>
          <w:lang w:val="en-US" w:eastAsia="zh-CN"/>
        </w:rPr>
      </w:pPr>
      <w:r>
        <w:rPr>
          <w:rFonts w:hint="default" w:ascii="Times New Roman" w:hAnsi="Times New Roman" w:cs="Times New Roman"/>
          <w:color w:val="auto"/>
          <w:szCs w:val="24"/>
          <w:highlight w:val="none"/>
          <w:lang w:val="en-US" w:eastAsia="zh-CN"/>
        </w:rPr>
        <w:t>设置</w:t>
      </w:r>
      <w:r>
        <w:rPr>
          <w:rFonts w:hint="eastAsia" w:ascii="Times New Roman" w:cs="Times New Roman"/>
          <w:color w:val="auto"/>
          <w:szCs w:val="24"/>
          <w:highlight w:val="none"/>
          <w:lang w:val="en-US" w:eastAsia="zh-CN"/>
        </w:rPr>
        <w:t>个人极端、</w:t>
      </w:r>
      <w:r>
        <w:rPr>
          <w:rFonts w:hint="default" w:ascii="Times New Roman" w:hAnsi="Times New Roman" w:cs="Times New Roman"/>
          <w:color w:val="auto"/>
          <w:szCs w:val="24"/>
          <w:highlight w:val="none"/>
          <w:lang w:val="en-US" w:eastAsia="zh-CN"/>
        </w:rPr>
        <w:t>盗窃、冲突、火灾等突发事件场景，要求学员按岗位规程完成报警、疏散、警戒等任务，强化应急处置协同能力。</w:t>
      </w:r>
    </w:p>
    <w:p w14:paraId="4DCB62E2">
      <w:pPr>
        <w:pStyle w:val="165"/>
        <w:keepNext w:val="0"/>
        <w:keepLines w:val="0"/>
        <w:pageBreakBefore w:val="0"/>
        <w:widowControl/>
        <w:numPr>
          <w:ilvl w:val="4"/>
          <w:numId w:val="0"/>
        </w:numPr>
        <w:kinsoku/>
        <w:wordWrap/>
        <w:overflowPunct/>
        <w:topLinePunct w:val="0"/>
        <w:bidi w:val="0"/>
        <w:adjustRightInd w:val="0"/>
        <w:snapToGrid w:val="0"/>
        <w:spacing w:before="0" w:beforeLines="0" w:after="0" w:afterLines="0" w:line="240" w:lineRule="auto"/>
        <w:ind w:leftChars="0"/>
        <w:textAlignment w:val="auto"/>
        <w:rPr>
          <w:rFonts w:hint="default" w:ascii="Times New Roman" w:hAnsi="Times New Roman" w:eastAsia="宋体" w:cs="Times New Roman"/>
          <w:b/>
          <w:bCs/>
          <w:color w:val="auto"/>
          <w:lang w:val="en-US" w:eastAsia="zh-CN"/>
        </w:rPr>
      </w:pPr>
      <w:r>
        <w:rPr>
          <w:rFonts w:hint="eastAsia" w:ascii="Times New Roman" w:cs="Times New Roman"/>
          <w:b/>
          <w:bCs/>
          <w:color w:val="auto"/>
          <w:lang w:val="en-US" w:eastAsia="zh-CN"/>
        </w:rPr>
        <w:t>6</w:t>
      </w:r>
      <w:r>
        <w:rPr>
          <w:rFonts w:hint="default" w:ascii="Times New Roman" w:hAnsi="Times New Roman" w:cs="Times New Roman"/>
          <w:b/>
          <w:bCs/>
          <w:color w:val="auto"/>
          <w:lang w:val="en-US" w:eastAsia="zh-CN"/>
        </w:rPr>
        <w:t>.</w:t>
      </w:r>
      <w:r>
        <w:rPr>
          <w:rFonts w:hint="eastAsia" w:ascii="Times New Roman" w:cs="Times New Roman"/>
          <w:b/>
          <w:bCs/>
          <w:color w:val="auto"/>
          <w:lang w:val="en-US" w:eastAsia="zh-CN"/>
        </w:rPr>
        <w:t>2.2.3</w:t>
      </w:r>
      <w:r>
        <w:rPr>
          <w:rFonts w:hint="default" w:ascii="Times New Roman" w:hAnsi="Times New Roman" w:cs="Times New Roman"/>
          <w:b/>
          <w:bCs/>
          <w:color w:val="auto"/>
          <w:lang w:val="en-US" w:eastAsia="zh-CN"/>
        </w:rPr>
        <w:t xml:space="preserve"> </w:t>
      </w:r>
      <w:r>
        <w:rPr>
          <w:rFonts w:hint="default" w:ascii="Times New Roman" w:hAnsi="Times New Roman" w:eastAsia="宋体" w:cs="Times New Roman"/>
          <w:b/>
          <w:bCs/>
          <w:color w:val="auto"/>
          <w:lang w:val="en-US" w:eastAsia="zh-CN"/>
        </w:rPr>
        <w:t>岗位实践方法</w:t>
      </w:r>
    </w:p>
    <w:p w14:paraId="660A1AE0">
      <w:pPr>
        <w:pStyle w:val="133"/>
        <w:bidi w:val="0"/>
        <w:ind w:left="0" w:leftChars="0" w:firstLine="40" w:firstLineChars="0"/>
        <w:rPr>
          <w:rFonts w:hint="default"/>
          <w:lang w:val="en-US" w:eastAsia="zh-CN"/>
        </w:rPr>
      </w:pPr>
      <w:r>
        <w:rPr>
          <w:rFonts w:hint="default"/>
          <w:lang w:val="en-US" w:eastAsia="zh-CN"/>
        </w:rPr>
        <w:t>跟班实习：由老队员“一带一”指导，在执勤中学习门禁管理、巡逻记录、安防设备操作等实务，根据实际情况确定实习时间；</w:t>
      </w:r>
    </w:p>
    <w:p w14:paraId="4CF8B0A9">
      <w:pPr>
        <w:pStyle w:val="133"/>
        <w:bidi w:val="0"/>
        <w:ind w:left="0" w:leftChars="0" w:firstLine="40" w:firstLineChars="0"/>
        <w:rPr>
          <w:rFonts w:hint="default"/>
          <w:lang w:val="en-US" w:eastAsia="zh-CN"/>
        </w:rPr>
      </w:pPr>
      <w:r>
        <w:rPr>
          <w:rFonts w:hint="default"/>
          <w:lang w:val="en-US" w:eastAsia="zh-CN"/>
        </w:rPr>
        <w:t>岗位轮训：定期调换执勤岗位（如门卫、巡逻、监控岗），拓展多场景业务能力，并记录各岗位实操表现。</w:t>
      </w:r>
    </w:p>
    <w:p w14:paraId="17B58E7E">
      <w:pPr>
        <w:pStyle w:val="133"/>
        <w:keepNext w:val="0"/>
        <w:keepLines w:val="0"/>
        <w:pageBreakBefore w:val="0"/>
        <w:widowControl/>
        <w:numPr>
          <w:ilvl w:val="0"/>
          <w:numId w:val="0"/>
        </w:numPr>
        <w:kinsoku/>
        <w:wordWrap/>
        <w:overflowPunct/>
        <w:topLinePunct w:val="0"/>
        <w:bidi w:val="0"/>
        <w:adjustRightInd w:val="0"/>
        <w:snapToGrid w:val="0"/>
        <w:spacing w:line="240" w:lineRule="auto"/>
        <w:textAlignment w:val="auto"/>
        <w:rPr>
          <w:rFonts w:hint="default" w:ascii="Times New Roman" w:hAnsi="Times New Roman" w:eastAsia="宋体" w:cs="Times New Roman"/>
          <w:b/>
          <w:bCs/>
          <w:color w:val="auto"/>
          <w:lang w:val="en-US" w:eastAsia="zh-CN"/>
        </w:rPr>
      </w:pPr>
      <w:r>
        <w:rPr>
          <w:rFonts w:hint="eastAsia" w:ascii="Times New Roman" w:cs="Times New Roman"/>
          <w:b/>
          <w:bCs/>
          <w:color w:val="auto"/>
          <w:szCs w:val="24"/>
          <w:highlight w:val="none"/>
          <w:lang w:val="en-US" w:eastAsia="zh-CN"/>
        </w:rPr>
        <w:t>6</w:t>
      </w:r>
      <w:r>
        <w:rPr>
          <w:rFonts w:hint="default" w:ascii="Times New Roman" w:hAnsi="Times New Roman" w:cs="Times New Roman"/>
          <w:b/>
          <w:bCs/>
          <w:color w:val="auto"/>
          <w:szCs w:val="24"/>
          <w:highlight w:val="none"/>
          <w:lang w:val="en-US" w:eastAsia="zh-CN"/>
        </w:rPr>
        <w:t>.</w:t>
      </w:r>
      <w:r>
        <w:rPr>
          <w:rFonts w:hint="eastAsia" w:ascii="Times New Roman" w:cs="Times New Roman"/>
          <w:b/>
          <w:bCs/>
          <w:color w:val="auto"/>
          <w:szCs w:val="24"/>
          <w:highlight w:val="none"/>
          <w:lang w:val="en-US" w:eastAsia="zh-CN"/>
        </w:rPr>
        <w:t>2.2.4</w:t>
      </w:r>
      <w:r>
        <w:rPr>
          <w:rFonts w:hint="default" w:ascii="Times New Roman" w:hAnsi="Times New Roman" w:cs="Times New Roman"/>
          <w:b/>
          <w:bCs/>
          <w:color w:val="auto"/>
          <w:szCs w:val="24"/>
          <w:highlight w:val="none"/>
          <w:lang w:val="en-US" w:eastAsia="zh-CN"/>
        </w:rPr>
        <w:t xml:space="preserve"> </w:t>
      </w:r>
      <w:r>
        <w:rPr>
          <w:rFonts w:hint="default" w:ascii="Times New Roman" w:hAnsi="Times New Roman" w:eastAsia="宋体" w:cs="Times New Roman"/>
          <w:b/>
          <w:bCs/>
          <w:color w:val="auto"/>
          <w:lang w:val="en-US" w:eastAsia="zh-CN"/>
        </w:rPr>
        <w:t>在线学习与混合式培训</w:t>
      </w:r>
    </w:p>
    <w:p w14:paraId="5BC7407B">
      <w:pPr>
        <w:pStyle w:val="133"/>
        <w:bidi w:val="0"/>
        <w:ind w:left="0" w:leftChars="0" w:firstLine="40" w:firstLineChars="0"/>
        <w:rPr>
          <w:rFonts w:hint="default"/>
          <w:lang w:val="en-US" w:eastAsia="zh-CN"/>
        </w:rPr>
      </w:pPr>
      <w:r>
        <w:rPr>
          <w:rFonts w:hint="default"/>
        </w:rPr>
        <w:t>线上平台辅助：利用移动端课程学习法规、案例库，支持碎片化自学</w:t>
      </w:r>
      <w:r>
        <w:rPr>
          <w:rFonts w:hint="default"/>
          <w:lang w:eastAsia="zh-CN"/>
        </w:rPr>
        <w:t>，</w:t>
      </w:r>
      <w:r>
        <w:rPr>
          <w:rFonts w:hint="default"/>
        </w:rPr>
        <w:t>通过在线测试系统进行月度知识考核</w:t>
      </w:r>
      <w:r>
        <w:rPr>
          <w:rFonts w:hint="default"/>
          <w:lang w:eastAsia="zh-CN"/>
        </w:rPr>
        <w:t>；</w:t>
      </w:r>
    </w:p>
    <w:p w14:paraId="06B62A0A">
      <w:pPr>
        <w:pStyle w:val="133"/>
        <w:bidi w:val="0"/>
        <w:ind w:left="0" w:leftChars="0" w:firstLine="40" w:firstLineChars="0"/>
        <w:rPr>
          <w:rFonts w:hint="default"/>
          <w:lang w:val="en-US" w:eastAsia="zh-CN"/>
        </w:rPr>
      </w:pPr>
      <w:r>
        <w:rPr>
          <w:rFonts w:hint="default"/>
        </w:rPr>
        <w:t>混合式实施：理论部分采用线上学习+线下研讨，技能部分集中训练基地实操，优化培训资源分配</w:t>
      </w:r>
      <w:r>
        <w:rPr>
          <w:rFonts w:hint="default"/>
          <w:lang w:eastAsia="zh-CN"/>
        </w:rPr>
        <w:t>。</w:t>
      </w:r>
    </w:p>
    <w:p w14:paraId="50A4FA79">
      <w:pPr>
        <w:pStyle w:val="105"/>
        <w:keepNext w:val="0"/>
        <w:keepLines w:val="0"/>
        <w:pageBreakBefore w:val="0"/>
        <w:widowControl/>
        <w:numPr>
          <w:ilvl w:val="1"/>
          <w:numId w:val="0"/>
        </w:numPr>
        <w:kinsoku/>
        <w:wordWrap/>
        <w:overflowPunct/>
        <w:topLinePunct w:val="0"/>
        <w:bidi w:val="0"/>
        <w:adjustRightInd w:val="0"/>
        <w:snapToGrid w:val="0"/>
        <w:spacing w:before="0" w:beforeLines="0" w:after="0" w:afterLines="0" w:line="240" w:lineRule="auto"/>
        <w:ind w:leftChars="0"/>
        <w:textAlignment w:val="auto"/>
        <w:rPr>
          <w:rFonts w:hint="eastAsia" w:ascii="Times New Roman" w:cs="Times New Roman"/>
          <w:color w:val="000000" w:themeColor="text1"/>
          <w:szCs w:val="21"/>
          <w:highlight w:val="none"/>
          <w:lang w:val="en-US" w:eastAsia="zh-CN"/>
          <w14:textFill>
            <w14:solidFill>
              <w14:schemeClr w14:val="tx1"/>
            </w14:solidFill>
          </w14:textFill>
        </w:rPr>
      </w:pPr>
      <w:r>
        <w:rPr>
          <w:rFonts w:hint="eastAsia" w:ascii="Times New Roman" w:cs="Times New Roman"/>
          <w:color w:val="000000" w:themeColor="text1"/>
          <w:szCs w:val="21"/>
          <w:highlight w:val="none"/>
          <w:lang w:val="en-US" w:eastAsia="zh-CN"/>
          <w14:textFill>
            <w14:solidFill>
              <w14:schemeClr w14:val="tx1"/>
            </w14:solidFill>
          </w14:textFill>
        </w:rPr>
        <w:t xml:space="preserve">6.3 </w:t>
      </w:r>
      <w:r>
        <w:rPr>
          <w:rFonts w:hint="default" w:ascii="Times New Roman" w:hAnsi="Times New Roman" w:cs="Times New Roman"/>
          <w:color w:val="000000" w:themeColor="text1"/>
          <w:szCs w:val="21"/>
          <w:highlight w:val="none"/>
          <w:lang w:val="en-US" w:eastAsia="zh-CN"/>
          <w14:textFill>
            <w14:solidFill>
              <w14:schemeClr w14:val="tx1"/>
            </w14:solidFill>
          </w14:textFill>
        </w:rPr>
        <w:t>培训</w:t>
      </w:r>
      <w:r>
        <w:rPr>
          <w:rFonts w:hint="eastAsia" w:ascii="Times New Roman" w:cs="Times New Roman"/>
          <w:color w:val="000000" w:themeColor="text1"/>
          <w:szCs w:val="21"/>
          <w:highlight w:val="none"/>
          <w:lang w:val="en-US" w:eastAsia="zh-CN"/>
          <w14:textFill>
            <w14:solidFill>
              <w14:schemeClr w14:val="tx1"/>
            </w14:solidFill>
          </w14:textFill>
        </w:rPr>
        <w:t>考评</w:t>
      </w:r>
    </w:p>
    <w:p w14:paraId="55704D0D">
      <w:pPr>
        <w:pStyle w:val="57"/>
        <w:keepNext w:val="0"/>
        <w:keepLines w:val="0"/>
        <w:pageBreakBefore w:val="0"/>
        <w:widowControl/>
        <w:kinsoku/>
        <w:wordWrap/>
        <w:overflowPunct/>
        <w:topLinePunct w:val="0"/>
        <w:bidi w:val="0"/>
        <w:adjustRightInd w:val="0"/>
        <w:snapToGrid w:val="0"/>
        <w:spacing w:line="240" w:lineRule="auto"/>
        <w:ind w:left="0" w:leftChars="0" w:firstLine="0" w:firstLineChars="0"/>
        <w:textAlignment w:val="auto"/>
        <w:rPr>
          <w:rFonts w:hint="eastAsia" w:ascii="Times New Roman" w:cs="Times New Roman"/>
          <w:color w:val="000000" w:themeColor="text1"/>
          <w:szCs w:val="21"/>
          <w:highlight w:val="none"/>
          <w:lang w:val="en-US" w:eastAsia="zh-CN"/>
          <w14:textFill>
            <w14:solidFill>
              <w14:schemeClr w14:val="tx1"/>
            </w14:solidFill>
          </w14:textFill>
        </w:rPr>
      </w:pPr>
      <w:r>
        <w:rPr>
          <w:rFonts w:hint="eastAsia" w:ascii="Times New Roman" w:cs="Times New Roman"/>
          <w:color w:val="000000" w:themeColor="text1"/>
          <w:szCs w:val="21"/>
          <w:highlight w:val="none"/>
          <w:lang w:val="en-US" w:eastAsia="zh-CN"/>
          <w14:textFill>
            <w14:solidFill>
              <w14:schemeClr w14:val="tx1"/>
            </w14:solidFill>
          </w14:textFill>
        </w:rPr>
        <w:t>6.3.1 培训情况考评</w:t>
      </w:r>
    </w:p>
    <w:p w14:paraId="0399ECBA">
      <w:pPr>
        <w:pStyle w:val="57"/>
        <w:keepNext w:val="0"/>
        <w:keepLines w:val="0"/>
        <w:pageBreakBefore w:val="0"/>
        <w:widowControl/>
        <w:kinsoku/>
        <w:wordWrap/>
        <w:overflowPunct/>
        <w:topLinePunct w:val="0"/>
        <w:bidi w:val="0"/>
        <w:adjustRightInd w:val="0"/>
        <w:snapToGrid w:val="0"/>
        <w:spacing w:line="240" w:lineRule="auto"/>
        <w:ind w:left="0" w:leftChars="0" w:firstLine="0" w:firstLineChars="0"/>
        <w:textAlignment w:val="auto"/>
        <w:rPr>
          <w:rFonts w:hint="default" w:ascii="Times New Roman" w:cs="Times New Roman"/>
          <w:color w:val="000000" w:themeColor="text1"/>
          <w:szCs w:val="21"/>
          <w:highlight w:val="none"/>
          <w:lang w:val="en-US" w:eastAsia="zh-CN"/>
          <w14:textFill>
            <w14:solidFill>
              <w14:schemeClr w14:val="tx1"/>
            </w14:solidFill>
          </w14:textFill>
        </w:rPr>
      </w:pPr>
    </w:p>
    <w:p w14:paraId="32C05AB0">
      <w:pPr>
        <w:keepNext w:val="0"/>
        <w:keepLines w:val="0"/>
        <w:pageBreakBefore w:val="0"/>
        <w:widowControl/>
        <w:suppressLineNumbers w:val="0"/>
        <w:kinsoku/>
        <w:wordWrap/>
        <w:overflowPunct/>
        <w:topLinePunct w:val="0"/>
        <w:bidi w:val="0"/>
        <w:adjustRightInd w:val="0"/>
        <w:snapToGrid w:val="0"/>
        <w:spacing w:line="240" w:lineRule="auto"/>
        <w:ind w:firstLine="420" w:firstLineChars="200"/>
        <w:jc w:val="left"/>
        <w:textAlignment w:val="auto"/>
        <w:rPr>
          <w:rFonts w:hint="eastAsia" w:ascii="Times New Roman" w:hAnsi="Times New Roman" w:cs="Times New Roman"/>
          <w:color w:val="000000" w:themeColor="text1"/>
          <w:szCs w:val="21"/>
          <w:shd w:val="clear" w:color="auto" w:fill="FFFFFF"/>
          <w:lang w:val="en-US" w:eastAsia="zh-CN"/>
          <w14:textFill>
            <w14:solidFill>
              <w14:schemeClr w14:val="tx1"/>
            </w14:solidFill>
          </w14:textFill>
        </w:rPr>
      </w:pPr>
      <w:r>
        <w:rPr>
          <w:rFonts w:hint="default" w:ascii="Times New Roman" w:hAnsi="Times New Roman" w:cs="Times New Roman"/>
          <w:color w:val="000000" w:themeColor="text1"/>
          <w:szCs w:val="21"/>
          <w:shd w:val="clear" w:color="auto" w:fill="FFFFFF"/>
          <w:lang w:eastAsia="zh-CN"/>
          <w14:textFill>
            <w14:solidFill>
              <w14:schemeClr w14:val="tx1"/>
            </w14:solidFill>
          </w14:textFill>
        </w:rPr>
        <w:t>在培训期间或者结束后，培训老师通过笔试测验、实操测验、观察、提问、案例测验等方法，对受训人掌握培训内容情况进行</w:t>
      </w:r>
      <w:r>
        <w:rPr>
          <w:rFonts w:hint="eastAsia" w:ascii="Times New Roman" w:hAnsi="Times New Roman" w:cs="Times New Roman"/>
          <w:color w:val="000000" w:themeColor="text1"/>
          <w:szCs w:val="21"/>
          <w:shd w:val="clear" w:color="auto" w:fill="FFFFFF"/>
          <w:lang w:val="en-US" w:eastAsia="zh-CN"/>
          <w14:textFill>
            <w14:solidFill>
              <w14:schemeClr w14:val="tx1"/>
            </w14:solidFill>
          </w14:textFill>
        </w:rPr>
        <w:t>评估</w:t>
      </w:r>
      <w:r>
        <w:rPr>
          <w:rFonts w:hint="default" w:ascii="Times New Roman" w:hAnsi="Times New Roman" w:cs="Times New Roman"/>
          <w:color w:val="000000" w:themeColor="text1"/>
          <w:szCs w:val="21"/>
          <w:shd w:val="clear" w:color="auto" w:fill="FFFFFF"/>
          <w:lang w:val="en-US" w:eastAsia="zh-CN"/>
          <w14:textFill>
            <w14:solidFill>
              <w14:schemeClr w14:val="tx1"/>
            </w14:solidFill>
          </w14:textFill>
        </w:rPr>
        <w:t>。</w:t>
      </w:r>
      <w:r>
        <w:rPr>
          <w:rFonts w:hint="eastAsia" w:ascii="Times New Roman" w:hAnsi="Times New Roman" w:cs="Times New Roman"/>
          <w:color w:val="000000" w:themeColor="text1"/>
          <w:szCs w:val="21"/>
          <w:shd w:val="clear" w:color="auto" w:fill="FFFFFF"/>
          <w:lang w:val="en-US" w:eastAsia="zh-CN"/>
          <w14:textFill>
            <w14:solidFill>
              <w14:schemeClr w14:val="tx1"/>
            </w14:solidFill>
          </w14:textFill>
        </w:rPr>
        <w:t>培训考评见表1。</w:t>
      </w:r>
    </w:p>
    <w:p w14:paraId="76F50B05">
      <w:pPr>
        <w:keepNext w:val="0"/>
        <w:keepLines w:val="0"/>
        <w:pageBreakBefore w:val="0"/>
        <w:widowControl/>
        <w:suppressLineNumbers w:val="0"/>
        <w:kinsoku/>
        <w:wordWrap/>
        <w:overflowPunct/>
        <w:topLinePunct w:val="0"/>
        <w:bidi w:val="0"/>
        <w:adjustRightInd w:val="0"/>
        <w:snapToGrid w:val="0"/>
        <w:spacing w:line="240" w:lineRule="auto"/>
        <w:ind w:firstLine="420" w:firstLineChars="200"/>
        <w:jc w:val="left"/>
        <w:textAlignment w:val="auto"/>
        <w:rPr>
          <w:rFonts w:hint="eastAsia" w:ascii="Times New Roman" w:hAnsi="Times New Roman" w:cs="Times New Roman"/>
          <w:color w:val="000000" w:themeColor="text1"/>
          <w:szCs w:val="21"/>
          <w:shd w:val="clear" w:color="auto" w:fill="FFFFFF"/>
          <w:lang w:val="en-US" w:eastAsia="zh-CN"/>
          <w14:textFill>
            <w14:solidFill>
              <w14:schemeClr w14:val="tx1"/>
            </w14:solidFill>
          </w14:textFill>
        </w:rPr>
      </w:pPr>
      <w:r>
        <w:rPr>
          <w:rFonts w:hint="eastAsia" w:ascii="Times New Roman" w:hAnsi="Times New Roman" w:cs="Times New Roman"/>
          <w:color w:val="000000" w:themeColor="text1"/>
          <w:szCs w:val="21"/>
          <w:shd w:val="clear" w:color="auto" w:fill="FFFFFF"/>
          <w:lang w:val="en-US" w:eastAsia="zh-CN"/>
          <w14:textFill>
            <w14:solidFill>
              <w14:schemeClr w14:val="tx1"/>
            </w14:solidFill>
          </w14:textFill>
        </w:rPr>
        <w:t xml:space="preserve">                          </w:t>
      </w:r>
    </w:p>
    <w:p w14:paraId="6A1649B2">
      <w:pPr>
        <w:keepNext w:val="0"/>
        <w:keepLines w:val="0"/>
        <w:pageBreakBefore w:val="0"/>
        <w:widowControl/>
        <w:suppressLineNumbers w:val="0"/>
        <w:kinsoku/>
        <w:wordWrap/>
        <w:overflowPunct/>
        <w:topLinePunct w:val="0"/>
        <w:bidi w:val="0"/>
        <w:adjustRightInd w:val="0"/>
        <w:snapToGrid w:val="0"/>
        <w:spacing w:line="240" w:lineRule="auto"/>
        <w:ind w:firstLine="420" w:firstLineChars="200"/>
        <w:jc w:val="center"/>
        <w:textAlignment w:val="auto"/>
        <w:rPr>
          <w:rFonts w:hint="default" w:ascii="Times New Roman" w:hAnsi="Times New Roman" w:cs="Times New Roman"/>
          <w:color w:val="000000" w:themeColor="text1"/>
          <w:szCs w:val="21"/>
          <w:shd w:val="clear" w:color="auto" w:fill="FFFFFF"/>
          <w:lang w:val="en-US" w:eastAsia="zh-CN"/>
          <w14:textFill>
            <w14:solidFill>
              <w14:schemeClr w14:val="tx1"/>
            </w14:solidFill>
          </w14:textFill>
        </w:rPr>
      </w:pPr>
      <w:r>
        <w:rPr>
          <w:rFonts w:hint="eastAsia" w:ascii="Times New Roman" w:hAnsi="Times New Roman" w:cs="Times New Roman"/>
          <w:color w:val="000000" w:themeColor="text1"/>
          <w:szCs w:val="21"/>
          <w:shd w:val="clear" w:color="auto" w:fill="FFFFFF"/>
          <w:lang w:val="en-US" w:eastAsia="zh-CN"/>
          <w14:textFill>
            <w14:solidFill>
              <w14:schemeClr w14:val="tx1"/>
            </w14:solidFill>
          </w14:textFill>
        </w:rPr>
        <w:t>表1 培训考评</w:t>
      </w:r>
    </w:p>
    <w:tbl>
      <w:tblPr>
        <w:tblStyle w:val="27"/>
        <w:tblW w:w="0" w:type="auto"/>
        <w:tblInd w:w="0" w:type="dxa"/>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Layout w:type="autofit"/>
        <w:tblCellMar>
          <w:top w:w="0" w:type="dxa"/>
          <w:left w:w="10" w:type="dxa"/>
          <w:bottom w:w="0" w:type="dxa"/>
          <w:right w:w="10" w:type="dxa"/>
        </w:tblCellMar>
      </w:tblPr>
      <w:tblGrid>
        <w:gridCol w:w="1242"/>
        <w:gridCol w:w="2633"/>
        <w:gridCol w:w="1296"/>
        <w:gridCol w:w="2156"/>
        <w:gridCol w:w="2267"/>
      </w:tblGrid>
      <w:tr w14:paraId="6815F95E">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1242" w:type="dxa"/>
            <w:tcBorders>
              <w:tl2br w:val="nil"/>
              <w:tr2bl w:val="nil"/>
            </w:tcBorders>
            <w:tcMar>
              <w:top w:w="60" w:type="dxa"/>
              <w:left w:w="120" w:type="dxa"/>
              <w:bottom w:w="30" w:type="dxa"/>
              <w:right w:w="120" w:type="dxa"/>
            </w:tcMar>
            <w:vAlign w:val="top"/>
          </w:tcPr>
          <w:p w14:paraId="0C6E0419">
            <w:pPr>
              <w:pStyle w:val="254"/>
              <w:keepNext w:val="0"/>
              <w:keepLines w:val="0"/>
              <w:pageBreakBefore w:val="0"/>
              <w:widowControl/>
              <w:kinsoku/>
              <w:wordWrap/>
              <w:overflowPunct/>
              <w:topLinePunct w:val="0"/>
              <w:autoSpaceDE/>
              <w:autoSpaceDN/>
              <w:bidi w:val="0"/>
              <w:adjustRightInd w:val="0"/>
              <w:snapToGrid w:val="0"/>
              <w:spacing w:before="0" w:after="0" w:line="240" w:lineRule="auto"/>
              <w:textAlignment w:val="auto"/>
            </w:pPr>
            <w:r>
              <w:t>考评维度</w:t>
            </w:r>
          </w:p>
        </w:tc>
        <w:tc>
          <w:tcPr>
            <w:tcW w:w="2633" w:type="dxa"/>
            <w:tcBorders>
              <w:tl2br w:val="nil"/>
              <w:tr2bl w:val="nil"/>
            </w:tcBorders>
            <w:tcMar>
              <w:top w:w="60" w:type="dxa"/>
              <w:left w:w="120" w:type="dxa"/>
              <w:bottom w:w="30" w:type="dxa"/>
              <w:right w:w="120" w:type="dxa"/>
            </w:tcMar>
            <w:vAlign w:val="top"/>
          </w:tcPr>
          <w:p w14:paraId="40EF2079">
            <w:pPr>
              <w:pStyle w:val="254"/>
              <w:keepNext w:val="0"/>
              <w:keepLines w:val="0"/>
              <w:pageBreakBefore w:val="0"/>
              <w:widowControl/>
              <w:kinsoku/>
              <w:wordWrap/>
              <w:overflowPunct/>
              <w:topLinePunct w:val="0"/>
              <w:autoSpaceDE/>
              <w:autoSpaceDN/>
              <w:bidi w:val="0"/>
              <w:adjustRightInd w:val="0"/>
              <w:snapToGrid w:val="0"/>
              <w:spacing w:before="0" w:after="0" w:line="240" w:lineRule="auto"/>
              <w:textAlignment w:val="auto"/>
            </w:pPr>
            <w:r>
              <w:t>培训目标</w:t>
            </w:r>
          </w:p>
        </w:tc>
        <w:tc>
          <w:tcPr>
            <w:tcW w:w="1296" w:type="dxa"/>
            <w:tcBorders>
              <w:tl2br w:val="nil"/>
              <w:tr2bl w:val="nil"/>
            </w:tcBorders>
            <w:tcMar>
              <w:top w:w="60" w:type="dxa"/>
              <w:left w:w="120" w:type="dxa"/>
              <w:bottom w:w="30" w:type="dxa"/>
              <w:right w:w="120" w:type="dxa"/>
            </w:tcMar>
            <w:vAlign w:val="top"/>
          </w:tcPr>
          <w:p w14:paraId="38B740BE">
            <w:pPr>
              <w:pStyle w:val="254"/>
              <w:keepNext w:val="0"/>
              <w:keepLines w:val="0"/>
              <w:pageBreakBefore w:val="0"/>
              <w:widowControl/>
              <w:kinsoku/>
              <w:wordWrap/>
              <w:overflowPunct/>
              <w:topLinePunct w:val="0"/>
              <w:autoSpaceDE/>
              <w:autoSpaceDN/>
              <w:bidi w:val="0"/>
              <w:adjustRightInd w:val="0"/>
              <w:snapToGrid w:val="0"/>
              <w:spacing w:before="0" w:after="0" w:line="240" w:lineRule="auto"/>
              <w:textAlignment w:val="auto"/>
            </w:pPr>
            <w:r>
              <w:t>目标值</w:t>
            </w:r>
          </w:p>
        </w:tc>
        <w:tc>
          <w:tcPr>
            <w:tcW w:w="2156" w:type="dxa"/>
            <w:tcBorders>
              <w:tl2br w:val="nil"/>
              <w:tr2bl w:val="nil"/>
            </w:tcBorders>
            <w:tcMar>
              <w:top w:w="60" w:type="dxa"/>
              <w:left w:w="120" w:type="dxa"/>
              <w:bottom w:w="30" w:type="dxa"/>
              <w:right w:w="120" w:type="dxa"/>
            </w:tcMar>
            <w:vAlign w:val="top"/>
          </w:tcPr>
          <w:p w14:paraId="1FE69890">
            <w:pPr>
              <w:pStyle w:val="254"/>
              <w:keepNext w:val="0"/>
              <w:keepLines w:val="0"/>
              <w:pageBreakBefore w:val="0"/>
              <w:widowControl/>
              <w:kinsoku/>
              <w:wordWrap/>
              <w:overflowPunct/>
              <w:topLinePunct w:val="0"/>
              <w:autoSpaceDE/>
              <w:autoSpaceDN/>
              <w:bidi w:val="0"/>
              <w:adjustRightInd w:val="0"/>
              <w:snapToGrid w:val="0"/>
              <w:spacing w:before="0" w:after="0" w:line="240" w:lineRule="auto"/>
              <w:textAlignment w:val="auto"/>
            </w:pPr>
            <w:r>
              <w:t>数据来源</w:t>
            </w:r>
          </w:p>
        </w:tc>
        <w:tc>
          <w:tcPr>
            <w:tcW w:w="2267" w:type="dxa"/>
            <w:tcBorders>
              <w:tl2br w:val="nil"/>
              <w:tr2bl w:val="nil"/>
            </w:tcBorders>
            <w:tcMar>
              <w:top w:w="60" w:type="dxa"/>
              <w:left w:w="120" w:type="dxa"/>
              <w:bottom w:w="30" w:type="dxa"/>
              <w:right w:w="120" w:type="dxa"/>
            </w:tcMar>
            <w:vAlign w:val="top"/>
          </w:tcPr>
          <w:p w14:paraId="6B04D953">
            <w:pPr>
              <w:pStyle w:val="254"/>
              <w:keepNext w:val="0"/>
              <w:keepLines w:val="0"/>
              <w:pageBreakBefore w:val="0"/>
              <w:widowControl/>
              <w:kinsoku/>
              <w:wordWrap/>
              <w:overflowPunct/>
              <w:topLinePunct w:val="0"/>
              <w:autoSpaceDE/>
              <w:autoSpaceDN/>
              <w:bidi w:val="0"/>
              <w:adjustRightInd w:val="0"/>
              <w:snapToGrid w:val="0"/>
              <w:spacing w:before="0" w:after="0" w:line="240" w:lineRule="auto"/>
              <w:textAlignment w:val="auto"/>
            </w:pPr>
            <w:r>
              <w:t>考评责任人</w:t>
            </w:r>
          </w:p>
        </w:tc>
      </w:tr>
      <w:tr w14:paraId="5B7F1307">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1242" w:type="dxa"/>
            <w:tcBorders>
              <w:tl2br w:val="nil"/>
              <w:tr2bl w:val="nil"/>
            </w:tcBorders>
            <w:tcMar>
              <w:top w:w="60" w:type="dxa"/>
              <w:left w:w="120" w:type="dxa"/>
              <w:bottom w:w="30" w:type="dxa"/>
              <w:right w:w="120" w:type="dxa"/>
            </w:tcMar>
            <w:vAlign w:val="top"/>
          </w:tcPr>
          <w:p w14:paraId="721F3201">
            <w:pPr>
              <w:pStyle w:val="254"/>
              <w:keepNext w:val="0"/>
              <w:keepLines w:val="0"/>
              <w:pageBreakBefore w:val="0"/>
              <w:widowControl/>
              <w:kinsoku/>
              <w:wordWrap/>
              <w:overflowPunct/>
              <w:topLinePunct w:val="0"/>
              <w:autoSpaceDE/>
              <w:autoSpaceDN/>
              <w:bidi w:val="0"/>
              <w:adjustRightInd w:val="0"/>
              <w:snapToGrid w:val="0"/>
              <w:spacing w:before="0" w:after="0" w:line="240" w:lineRule="auto"/>
              <w:textAlignment w:val="auto"/>
            </w:pPr>
            <w:r>
              <w:t>知识掌握</w:t>
            </w:r>
          </w:p>
        </w:tc>
        <w:tc>
          <w:tcPr>
            <w:tcW w:w="2633" w:type="dxa"/>
            <w:tcBorders>
              <w:tl2br w:val="nil"/>
              <w:tr2bl w:val="nil"/>
            </w:tcBorders>
            <w:tcMar>
              <w:top w:w="60" w:type="dxa"/>
              <w:left w:w="120" w:type="dxa"/>
              <w:bottom w:w="30" w:type="dxa"/>
              <w:right w:w="120" w:type="dxa"/>
            </w:tcMar>
            <w:vAlign w:val="top"/>
          </w:tcPr>
          <w:p w14:paraId="15ED4DB3">
            <w:pPr>
              <w:pStyle w:val="254"/>
              <w:keepNext w:val="0"/>
              <w:keepLines w:val="0"/>
              <w:pageBreakBefore w:val="0"/>
              <w:widowControl/>
              <w:kinsoku/>
              <w:wordWrap/>
              <w:overflowPunct/>
              <w:topLinePunct w:val="0"/>
              <w:autoSpaceDE/>
              <w:autoSpaceDN/>
              <w:bidi w:val="0"/>
              <w:adjustRightInd w:val="0"/>
              <w:snapToGrid w:val="0"/>
              <w:spacing w:before="0" w:after="0" w:line="240" w:lineRule="auto"/>
              <w:textAlignment w:val="auto"/>
            </w:pPr>
            <w:r>
              <w:t>理论笔试达标率</w:t>
            </w:r>
          </w:p>
        </w:tc>
        <w:tc>
          <w:tcPr>
            <w:tcW w:w="1296" w:type="dxa"/>
            <w:tcBorders>
              <w:tl2br w:val="nil"/>
              <w:tr2bl w:val="nil"/>
            </w:tcBorders>
            <w:tcMar>
              <w:top w:w="60" w:type="dxa"/>
              <w:left w:w="120" w:type="dxa"/>
              <w:bottom w:w="30" w:type="dxa"/>
              <w:right w:w="120" w:type="dxa"/>
            </w:tcMar>
            <w:vAlign w:val="top"/>
          </w:tcPr>
          <w:p w14:paraId="631E026D">
            <w:pPr>
              <w:pStyle w:val="254"/>
              <w:keepNext w:val="0"/>
              <w:keepLines w:val="0"/>
              <w:pageBreakBefore w:val="0"/>
              <w:widowControl/>
              <w:kinsoku/>
              <w:wordWrap/>
              <w:overflowPunct/>
              <w:topLinePunct w:val="0"/>
              <w:autoSpaceDE/>
              <w:autoSpaceDN/>
              <w:bidi w:val="0"/>
              <w:adjustRightInd w:val="0"/>
              <w:snapToGrid w:val="0"/>
              <w:spacing w:before="0" w:after="0" w:line="240" w:lineRule="auto"/>
              <w:textAlignment w:val="auto"/>
            </w:pPr>
            <w:r>
              <w:t>≥85%</w:t>
            </w:r>
          </w:p>
        </w:tc>
        <w:tc>
          <w:tcPr>
            <w:tcW w:w="2156" w:type="dxa"/>
            <w:tcBorders>
              <w:tl2br w:val="nil"/>
              <w:tr2bl w:val="nil"/>
            </w:tcBorders>
            <w:tcMar>
              <w:top w:w="60" w:type="dxa"/>
              <w:left w:w="120" w:type="dxa"/>
              <w:bottom w:w="30" w:type="dxa"/>
              <w:right w:w="120" w:type="dxa"/>
            </w:tcMar>
            <w:vAlign w:val="top"/>
          </w:tcPr>
          <w:p w14:paraId="5B5B443F">
            <w:pPr>
              <w:pStyle w:val="254"/>
              <w:keepNext w:val="0"/>
              <w:keepLines w:val="0"/>
              <w:pageBreakBefore w:val="0"/>
              <w:widowControl/>
              <w:kinsoku/>
              <w:wordWrap/>
              <w:overflowPunct/>
              <w:topLinePunct w:val="0"/>
              <w:autoSpaceDE/>
              <w:autoSpaceDN/>
              <w:bidi w:val="0"/>
              <w:adjustRightInd w:val="0"/>
              <w:snapToGrid w:val="0"/>
              <w:spacing w:before="0" w:after="0" w:line="240" w:lineRule="auto"/>
              <w:textAlignment w:val="auto"/>
            </w:pPr>
            <w:r>
              <w:t>笔试成绩统计表</w:t>
            </w:r>
          </w:p>
        </w:tc>
        <w:tc>
          <w:tcPr>
            <w:tcW w:w="2267" w:type="dxa"/>
            <w:tcBorders>
              <w:tl2br w:val="nil"/>
              <w:tr2bl w:val="nil"/>
            </w:tcBorders>
            <w:tcMar>
              <w:top w:w="60" w:type="dxa"/>
              <w:left w:w="120" w:type="dxa"/>
              <w:bottom w:w="30" w:type="dxa"/>
              <w:right w:w="120" w:type="dxa"/>
            </w:tcMar>
            <w:vAlign w:val="top"/>
          </w:tcPr>
          <w:p w14:paraId="3334DD89">
            <w:pPr>
              <w:pStyle w:val="254"/>
              <w:keepNext w:val="0"/>
              <w:keepLines w:val="0"/>
              <w:pageBreakBefore w:val="0"/>
              <w:widowControl/>
              <w:kinsoku/>
              <w:wordWrap/>
              <w:overflowPunct/>
              <w:topLinePunct w:val="0"/>
              <w:autoSpaceDE/>
              <w:autoSpaceDN/>
              <w:bidi w:val="0"/>
              <w:adjustRightInd w:val="0"/>
              <w:snapToGrid w:val="0"/>
              <w:spacing w:before="0" w:after="0" w:line="240" w:lineRule="auto"/>
              <w:textAlignment w:val="auto"/>
            </w:pPr>
            <w:r>
              <w:rPr>
                <w:rFonts w:hint="eastAsia"/>
                <w:lang w:val="en-US" w:eastAsia="zh-CN"/>
              </w:rPr>
              <w:t>理论</w:t>
            </w:r>
            <w:r>
              <w:t>讲师</w:t>
            </w:r>
          </w:p>
        </w:tc>
      </w:tr>
      <w:tr w14:paraId="4DE0A7AF">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1242" w:type="dxa"/>
            <w:tcBorders>
              <w:tl2br w:val="nil"/>
              <w:tr2bl w:val="nil"/>
            </w:tcBorders>
            <w:tcMar>
              <w:top w:w="60" w:type="dxa"/>
              <w:left w:w="120" w:type="dxa"/>
              <w:bottom w:w="30" w:type="dxa"/>
              <w:right w:w="120" w:type="dxa"/>
            </w:tcMar>
            <w:vAlign w:val="top"/>
          </w:tcPr>
          <w:p w14:paraId="6D2401F3">
            <w:pPr>
              <w:pStyle w:val="254"/>
              <w:keepNext w:val="0"/>
              <w:keepLines w:val="0"/>
              <w:pageBreakBefore w:val="0"/>
              <w:widowControl/>
              <w:kinsoku/>
              <w:wordWrap/>
              <w:overflowPunct/>
              <w:topLinePunct w:val="0"/>
              <w:autoSpaceDE/>
              <w:autoSpaceDN/>
              <w:bidi w:val="0"/>
              <w:adjustRightInd w:val="0"/>
              <w:snapToGrid w:val="0"/>
              <w:spacing w:before="0" w:after="0" w:line="240" w:lineRule="auto"/>
              <w:textAlignment w:val="auto"/>
            </w:pPr>
            <w:r>
              <w:t>技能应用</w:t>
            </w:r>
          </w:p>
        </w:tc>
        <w:tc>
          <w:tcPr>
            <w:tcW w:w="2633" w:type="dxa"/>
            <w:tcBorders>
              <w:tl2br w:val="nil"/>
              <w:tr2bl w:val="nil"/>
            </w:tcBorders>
            <w:tcMar>
              <w:top w:w="60" w:type="dxa"/>
              <w:left w:w="120" w:type="dxa"/>
              <w:bottom w:w="30" w:type="dxa"/>
              <w:right w:w="120" w:type="dxa"/>
            </w:tcMar>
            <w:vAlign w:val="top"/>
          </w:tcPr>
          <w:p w14:paraId="0FF3F8E8">
            <w:pPr>
              <w:pStyle w:val="254"/>
              <w:keepNext w:val="0"/>
              <w:keepLines w:val="0"/>
              <w:pageBreakBefore w:val="0"/>
              <w:widowControl/>
              <w:kinsoku/>
              <w:wordWrap/>
              <w:overflowPunct/>
              <w:topLinePunct w:val="0"/>
              <w:autoSpaceDE/>
              <w:autoSpaceDN/>
              <w:bidi w:val="0"/>
              <w:adjustRightInd w:val="0"/>
              <w:snapToGrid w:val="0"/>
              <w:spacing w:before="0" w:after="0" w:line="240" w:lineRule="auto"/>
              <w:textAlignment w:val="auto"/>
            </w:pPr>
            <w:r>
              <w:t>实操考核通过率</w:t>
            </w:r>
          </w:p>
        </w:tc>
        <w:tc>
          <w:tcPr>
            <w:tcW w:w="1296" w:type="dxa"/>
            <w:tcBorders>
              <w:tl2br w:val="nil"/>
              <w:tr2bl w:val="nil"/>
            </w:tcBorders>
            <w:tcMar>
              <w:top w:w="60" w:type="dxa"/>
              <w:left w:w="120" w:type="dxa"/>
              <w:bottom w:w="30" w:type="dxa"/>
              <w:right w:w="120" w:type="dxa"/>
            </w:tcMar>
            <w:vAlign w:val="top"/>
          </w:tcPr>
          <w:p w14:paraId="10E13428">
            <w:pPr>
              <w:pStyle w:val="254"/>
              <w:keepNext w:val="0"/>
              <w:keepLines w:val="0"/>
              <w:pageBreakBefore w:val="0"/>
              <w:widowControl/>
              <w:kinsoku/>
              <w:wordWrap/>
              <w:overflowPunct/>
              <w:topLinePunct w:val="0"/>
              <w:autoSpaceDE/>
              <w:autoSpaceDN/>
              <w:bidi w:val="0"/>
              <w:adjustRightInd w:val="0"/>
              <w:snapToGrid w:val="0"/>
              <w:spacing w:before="0" w:after="0" w:line="240" w:lineRule="auto"/>
              <w:textAlignment w:val="auto"/>
            </w:pPr>
            <w:r>
              <w:t>≥80%</w:t>
            </w:r>
          </w:p>
        </w:tc>
        <w:tc>
          <w:tcPr>
            <w:tcW w:w="2156" w:type="dxa"/>
            <w:tcBorders>
              <w:tl2br w:val="nil"/>
              <w:tr2bl w:val="nil"/>
            </w:tcBorders>
            <w:tcMar>
              <w:top w:w="60" w:type="dxa"/>
              <w:left w:w="120" w:type="dxa"/>
              <w:bottom w:w="30" w:type="dxa"/>
              <w:right w:w="120" w:type="dxa"/>
            </w:tcMar>
            <w:vAlign w:val="top"/>
          </w:tcPr>
          <w:p w14:paraId="79203880">
            <w:pPr>
              <w:pStyle w:val="254"/>
              <w:keepNext w:val="0"/>
              <w:keepLines w:val="0"/>
              <w:pageBreakBefore w:val="0"/>
              <w:widowControl/>
              <w:kinsoku/>
              <w:wordWrap/>
              <w:overflowPunct/>
              <w:topLinePunct w:val="0"/>
              <w:autoSpaceDE/>
              <w:autoSpaceDN/>
              <w:bidi w:val="0"/>
              <w:adjustRightInd w:val="0"/>
              <w:snapToGrid w:val="0"/>
              <w:spacing w:before="0" w:after="0" w:line="240" w:lineRule="auto"/>
              <w:textAlignment w:val="auto"/>
            </w:pPr>
            <w:r>
              <w:t>实操考核评分表</w:t>
            </w:r>
          </w:p>
        </w:tc>
        <w:tc>
          <w:tcPr>
            <w:tcW w:w="2267" w:type="dxa"/>
            <w:tcBorders>
              <w:tl2br w:val="nil"/>
              <w:tr2bl w:val="nil"/>
            </w:tcBorders>
            <w:tcMar>
              <w:top w:w="60" w:type="dxa"/>
              <w:left w:w="120" w:type="dxa"/>
              <w:bottom w:w="30" w:type="dxa"/>
              <w:right w:w="120" w:type="dxa"/>
            </w:tcMar>
            <w:vAlign w:val="top"/>
          </w:tcPr>
          <w:p w14:paraId="65764427">
            <w:pPr>
              <w:pStyle w:val="254"/>
              <w:keepNext w:val="0"/>
              <w:keepLines w:val="0"/>
              <w:pageBreakBefore w:val="0"/>
              <w:widowControl/>
              <w:kinsoku/>
              <w:wordWrap/>
              <w:overflowPunct/>
              <w:topLinePunct w:val="0"/>
              <w:autoSpaceDE/>
              <w:autoSpaceDN/>
              <w:bidi w:val="0"/>
              <w:adjustRightInd w:val="0"/>
              <w:snapToGrid w:val="0"/>
              <w:spacing w:before="0" w:after="0" w:line="240" w:lineRule="auto"/>
              <w:textAlignment w:val="auto"/>
              <w:rPr>
                <w:rFonts w:hint="default"/>
                <w:lang w:val="en-US" w:eastAsia="zh-CN"/>
              </w:rPr>
            </w:pPr>
            <w:r>
              <w:rPr>
                <w:rFonts w:hint="eastAsia"/>
                <w:lang w:val="en-US" w:eastAsia="zh-CN"/>
              </w:rPr>
              <w:t>实操讲师</w:t>
            </w:r>
          </w:p>
        </w:tc>
      </w:tr>
      <w:tr w14:paraId="1423F479">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rPr>
          <w:trHeight w:val="638" w:hRule="atLeast"/>
        </w:trPr>
        <w:tc>
          <w:tcPr>
            <w:tcW w:w="1242" w:type="dxa"/>
            <w:tcBorders>
              <w:tl2br w:val="nil"/>
              <w:tr2bl w:val="nil"/>
            </w:tcBorders>
            <w:tcMar>
              <w:top w:w="60" w:type="dxa"/>
              <w:left w:w="120" w:type="dxa"/>
              <w:bottom w:w="30" w:type="dxa"/>
              <w:right w:w="120" w:type="dxa"/>
            </w:tcMar>
            <w:vAlign w:val="top"/>
          </w:tcPr>
          <w:p w14:paraId="0D98174A">
            <w:pPr>
              <w:pStyle w:val="254"/>
              <w:keepNext w:val="0"/>
              <w:keepLines w:val="0"/>
              <w:pageBreakBefore w:val="0"/>
              <w:widowControl/>
              <w:kinsoku/>
              <w:wordWrap/>
              <w:overflowPunct/>
              <w:topLinePunct w:val="0"/>
              <w:autoSpaceDE/>
              <w:autoSpaceDN/>
              <w:bidi w:val="0"/>
              <w:adjustRightInd w:val="0"/>
              <w:snapToGrid w:val="0"/>
              <w:spacing w:before="0" w:after="0" w:line="240" w:lineRule="auto"/>
              <w:textAlignment w:val="auto"/>
            </w:pPr>
            <w:r>
              <w:t>岗位适配</w:t>
            </w:r>
          </w:p>
        </w:tc>
        <w:tc>
          <w:tcPr>
            <w:tcW w:w="2633" w:type="dxa"/>
            <w:tcBorders>
              <w:tl2br w:val="nil"/>
              <w:tr2bl w:val="nil"/>
            </w:tcBorders>
            <w:tcMar>
              <w:top w:w="60" w:type="dxa"/>
              <w:left w:w="120" w:type="dxa"/>
              <w:bottom w:w="30" w:type="dxa"/>
              <w:right w:w="120" w:type="dxa"/>
            </w:tcMar>
            <w:vAlign w:val="top"/>
          </w:tcPr>
          <w:p w14:paraId="26C491C1">
            <w:pPr>
              <w:pStyle w:val="254"/>
              <w:keepNext w:val="0"/>
              <w:keepLines w:val="0"/>
              <w:pageBreakBefore w:val="0"/>
              <w:widowControl/>
              <w:kinsoku/>
              <w:wordWrap/>
              <w:overflowPunct/>
              <w:topLinePunct w:val="0"/>
              <w:autoSpaceDE/>
              <w:autoSpaceDN/>
              <w:bidi w:val="0"/>
              <w:adjustRightInd w:val="0"/>
              <w:snapToGrid w:val="0"/>
              <w:spacing w:before="0" w:after="0" w:line="240" w:lineRule="auto"/>
              <w:textAlignment w:val="auto"/>
            </w:pPr>
            <w:r>
              <w:t>培训后 3 个月岗位投诉率</w:t>
            </w:r>
          </w:p>
        </w:tc>
        <w:tc>
          <w:tcPr>
            <w:tcW w:w="1296" w:type="dxa"/>
            <w:tcBorders>
              <w:tl2br w:val="nil"/>
              <w:tr2bl w:val="nil"/>
            </w:tcBorders>
            <w:tcMar>
              <w:top w:w="60" w:type="dxa"/>
              <w:left w:w="120" w:type="dxa"/>
              <w:bottom w:w="30" w:type="dxa"/>
              <w:right w:w="120" w:type="dxa"/>
            </w:tcMar>
            <w:vAlign w:val="top"/>
          </w:tcPr>
          <w:p w14:paraId="238E878C">
            <w:pPr>
              <w:pStyle w:val="254"/>
              <w:keepNext w:val="0"/>
              <w:keepLines w:val="0"/>
              <w:pageBreakBefore w:val="0"/>
              <w:widowControl/>
              <w:kinsoku/>
              <w:wordWrap/>
              <w:overflowPunct/>
              <w:topLinePunct w:val="0"/>
              <w:autoSpaceDE/>
              <w:autoSpaceDN/>
              <w:bidi w:val="0"/>
              <w:adjustRightInd w:val="0"/>
              <w:snapToGrid w:val="0"/>
              <w:spacing w:before="0" w:after="0" w:line="240" w:lineRule="auto"/>
              <w:textAlignment w:val="auto"/>
            </w:pPr>
            <w:r>
              <w:t>≤5%</w:t>
            </w:r>
          </w:p>
        </w:tc>
        <w:tc>
          <w:tcPr>
            <w:tcW w:w="2156" w:type="dxa"/>
            <w:tcBorders>
              <w:tl2br w:val="nil"/>
              <w:tr2bl w:val="nil"/>
            </w:tcBorders>
            <w:tcMar>
              <w:top w:w="60" w:type="dxa"/>
              <w:left w:w="120" w:type="dxa"/>
              <w:bottom w:w="30" w:type="dxa"/>
              <w:right w:w="120" w:type="dxa"/>
            </w:tcMar>
            <w:vAlign w:val="top"/>
          </w:tcPr>
          <w:p w14:paraId="7A893C17">
            <w:pPr>
              <w:pStyle w:val="254"/>
              <w:keepNext w:val="0"/>
              <w:keepLines w:val="0"/>
              <w:pageBreakBefore w:val="0"/>
              <w:widowControl/>
              <w:kinsoku/>
              <w:wordWrap/>
              <w:overflowPunct/>
              <w:topLinePunct w:val="0"/>
              <w:autoSpaceDE/>
              <w:autoSpaceDN/>
              <w:bidi w:val="0"/>
              <w:adjustRightInd w:val="0"/>
              <w:snapToGrid w:val="0"/>
              <w:spacing w:before="0" w:after="0" w:line="240" w:lineRule="auto"/>
              <w:textAlignment w:val="auto"/>
            </w:pPr>
            <w:r>
              <w:t>客户投诉记录系统</w:t>
            </w:r>
          </w:p>
        </w:tc>
        <w:tc>
          <w:tcPr>
            <w:tcW w:w="2267" w:type="dxa"/>
            <w:tcBorders>
              <w:tl2br w:val="nil"/>
              <w:tr2bl w:val="nil"/>
            </w:tcBorders>
            <w:tcMar>
              <w:top w:w="60" w:type="dxa"/>
              <w:left w:w="120" w:type="dxa"/>
              <w:bottom w:w="30" w:type="dxa"/>
              <w:right w:w="120" w:type="dxa"/>
            </w:tcMar>
            <w:vAlign w:val="top"/>
          </w:tcPr>
          <w:p w14:paraId="17BDEBD1">
            <w:pPr>
              <w:pStyle w:val="254"/>
              <w:keepNext w:val="0"/>
              <w:keepLines w:val="0"/>
              <w:pageBreakBefore w:val="0"/>
              <w:widowControl/>
              <w:kinsoku/>
              <w:wordWrap/>
              <w:overflowPunct/>
              <w:topLinePunct w:val="0"/>
              <w:autoSpaceDE/>
              <w:autoSpaceDN/>
              <w:bidi w:val="0"/>
              <w:adjustRightInd w:val="0"/>
              <w:snapToGrid w:val="0"/>
              <w:spacing w:before="0" w:after="0" w:line="240" w:lineRule="auto"/>
              <w:textAlignment w:val="auto"/>
            </w:pPr>
            <w:r>
              <w:t>客服专员</w:t>
            </w:r>
          </w:p>
        </w:tc>
      </w:tr>
      <w:tr w14:paraId="359D6864">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1242" w:type="dxa"/>
            <w:tcBorders>
              <w:tl2br w:val="nil"/>
              <w:tr2bl w:val="nil"/>
            </w:tcBorders>
            <w:tcMar>
              <w:top w:w="60" w:type="dxa"/>
              <w:left w:w="120" w:type="dxa"/>
              <w:bottom w:w="30" w:type="dxa"/>
              <w:right w:w="120" w:type="dxa"/>
            </w:tcMar>
            <w:vAlign w:val="top"/>
          </w:tcPr>
          <w:p w14:paraId="38FDC3A1">
            <w:pPr>
              <w:pStyle w:val="254"/>
              <w:keepNext w:val="0"/>
              <w:keepLines w:val="0"/>
              <w:pageBreakBefore w:val="0"/>
              <w:widowControl/>
              <w:kinsoku/>
              <w:wordWrap/>
              <w:overflowPunct/>
              <w:topLinePunct w:val="0"/>
              <w:autoSpaceDE/>
              <w:autoSpaceDN/>
              <w:bidi w:val="0"/>
              <w:adjustRightInd w:val="0"/>
              <w:snapToGrid w:val="0"/>
              <w:spacing w:before="0" w:after="0" w:line="240" w:lineRule="auto"/>
              <w:textAlignment w:val="auto"/>
            </w:pPr>
            <w:r>
              <w:t>流程规范</w:t>
            </w:r>
          </w:p>
        </w:tc>
        <w:tc>
          <w:tcPr>
            <w:tcW w:w="2633" w:type="dxa"/>
            <w:tcBorders>
              <w:tl2br w:val="nil"/>
              <w:tr2bl w:val="nil"/>
            </w:tcBorders>
            <w:tcMar>
              <w:top w:w="60" w:type="dxa"/>
              <w:left w:w="120" w:type="dxa"/>
              <w:bottom w:w="30" w:type="dxa"/>
              <w:right w:w="120" w:type="dxa"/>
            </w:tcMar>
            <w:vAlign w:val="top"/>
          </w:tcPr>
          <w:p w14:paraId="459E8B14">
            <w:pPr>
              <w:pStyle w:val="254"/>
              <w:keepNext w:val="0"/>
              <w:keepLines w:val="0"/>
              <w:pageBreakBefore w:val="0"/>
              <w:widowControl/>
              <w:kinsoku/>
              <w:wordWrap/>
              <w:overflowPunct/>
              <w:topLinePunct w:val="0"/>
              <w:autoSpaceDE/>
              <w:autoSpaceDN/>
              <w:bidi w:val="0"/>
              <w:adjustRightInd w:val="0"/>
              <w:snapToGrid w:val="0"/>
              <w:spacing w:before="0" w:after="0" w:line="240" w:lineRule="auto"/>
              <w:textAlignment w:val="auto"/>
            </w:pPr>
            <w:r>
              <w:t>培训节点按时完成率</w:t>
            </w:r>
          </w:p>
        </w:tc>
        <w:tc>
          <w:tcPr>
            <w:tcW w:w="1296" w:type="dxa"/>
            <w:tcBorders>
              <w:tl2br w:val="nil"/>
              <w:tr2bl w:val="nil"/>
            </w:tcBorders>
            <w:tcMar>
              <w:top w:w="60" w:type="dxa"/>
              <w:left w:w="120" w:type="dxa"/>
              <w:bottom w:w="30" w:type="dxa"/>
              <w:right w:w="120" w:type="dxa"/>
            </w:tcMar>
            <w:vAlign w:val="top"/>
          </w:tcPr>
          <w:p w14:paraId="2F6359F9">
            <w:pPr>
              <w:pStyle w:val="254"/>
              <w:keepNext w:val="0"/>
              <w:keepLines w:val="0"/>
              <w:pageBreakBefore w:val="0"/>
              <w:widowControl/>
              <w:kinsoku/>
              <w:wordWrap/>
              <w:overflowPunct/>
              <w:topLinePunct w:val="0"/>
              <w:autoSpaceDE/>
              <w:autoSpaceDN/>
              <w:bidi w:val="0"/>
              <w:adjustRightInd w:val="0"/>
              <w:snapToGrid w:val="0"/>
              <w:spacing w:before="0" w:after="0" w:line="240" w:lineRule="auto"/>
              <w:textAlignment w:val="auto"/>
            </w:pPr>
            <w:r>
              <w:t>≥90%</w:t>
            </w:r>
          </w:p>
        </w:tc>
        <w:tc>
          <w:tcPr>
            <w:tcW w:w="2156" w:type="dxa"/>
            <w:tcBorders>
              <w:tl2br w:val="nil"/>
              <w:tr2bl w:val="nil"/>
            </w:tcBorders>
            <w:tcMar>
              <w:top w:w="60" w:type="dxa"/>
              <w:left w:w="120" w:type="dxa"/>
              <w:bottom w:w="30" w:type="dxa"/>
              <w:right w:w="120" w:type="dxa"/>
            </w:tcMar>
            <w:vAlign w:val="top"/>
          </w:tcPr>
          <w:p w14:paraId="1E2E7663">
            <w:pPr>
              <w:pStyle w:val="254"/>
              <w:keepNext w:val="0"/>
              <w:keepLines w:val="0"/>
              <w:pageBreakBefore w:val="0"/>
              <w:widowControl/>
              <w:kinsoku/>
              <w:wordWrap/>
              <w:overflowPunct/>
              <w:topLinePunct w:val="0"/>
              <w:autoSpaceDE/>
              <w:autoSpaceDN/>
              <w:bidi w:val="0"/>
              <w:adjustRightInd w:val="0"/>
              <w:snapToGrid w:val="0"/>
              <w:spacing w:before="0" w:after="0" w:line="240" w:lineRule="auto"/>
              <w:textAlignment w:val="auto"/>
            </w:pPr>
            <w:r>
              <w:t>培训执行日志</w:t>
            </w:r>
          </w:p>
        </w:tc>
        <w:tc>
          <w:tcPr>
            <w:tcW w:w="2267" w:type="dxa"/>
            <w:tcBorders>
              <w:tl2br w:val="nil"/>
              <w:tr2bl w:val="nil"/>
            </w:tcBorders>
            <w:tcMar>
              <w:top w:w="60" w:type="dxa"/>
              <w:left w:w="120" w:type="dxa"/>
              <w:bottom w:w="30" w:type="dxa"/>
              <w:right w:w="120" w:type="dxa"/>
            </w:tcMar>
            <w:vAlign w:val="top"/>
          </w:tcPr>
          <w:p w14:paraId="4B9F278D">
            <w:pPr>
              <w:pStyle w:val="254"/>
              <w:keepNext w:val="0"/>
              <w:keepLines w:val="0"/>
              <w:pageBreakBefore w:val="0"/>
              <w:widowControl/>
              <w:kinsoku/>
              <w:wordWrap/>
              <w:overflowPunct/>
              <w:topLinePunct w:val="0"/>
              <w:autoSpaceDE/>
              <w:autoSpaceDN/>
              <w:bidi w:val="0"/>
              <w:adjustRightInd w:val="0"/>
              <w:snapToGrid w:val="0"/>
              <w:spacing w:before="0" w:after="0" w:line="240" w:lineRule="auto"/>
              <w:textAlignment w:val="auto"/>
            </w:pPr>
            <w:r>
              <w:t>培训管理员</w:t>
            </w:r>
          </w:p>
        </w:tc>
      </w:tr>
    </w:tbl>
    <w:p w14:paraId="507B0B32">
      <w:pPr>
        <w:keepNext w:val="0"/>
        <w:keepLines w:val="0"/>
        <w:pageBreakBefore w:val="0"/>
        <w:widowControl/>
        <w:suppressLineNumbers w:val="0"/>
        <w:kinsoku/>
        <w:wordWrap/>
        <w:overflowPunct/>
        <w:topLinePunct w:val="0"/>
        <w:bidi w:val="0"/>
        <w:adjustRightInd w:val="0"/>
        <w:snapToGrid w:val="0"/>
        <w:spacing w:line="240" w:lineRule="auto"/>
        <w:ind w:firstLine="420" w:firstLineChars="200"/>
        <w:jc w:val="left"/>
        <w:textAlignment w:val="auto"/>
        <w:rPr>
          <w:rFonts w:hint="default" w:ascii="Times New Roman" w:hAnsi="Times New Roman" w:cs="Times New Roman"/>
          <w:color w:val="000000" w:themeColor="text1"/>
          <w:szCs w:val="21"/>
          <w:shd w:val="clear" w:color="auto" w:fill="FFFFFF"/>
          <w:lang w:val="en-US" w:eastAsia="zh-CN"/>
          <w14:textFill>
            <w14:solidFill>
              <w14:schemeClr w14:val="tx1"/>
            </w14:solidFill>
          </w14:textFill>
        </w:rPr>
      </w:pPr>
    </w:p>
    <w:p w14:paraId="7DD896F2">
      <w:pPr>
        <w:keepNext w:val="0"/>
        <w:keepLines w:val="0"/>
        <w:pageBreakBefore w:val="0"/>
        <w:widowControl/>
        <w:suppressLineNumbers w:val="0"/>
        <w:kinsoku/>
        <w:wordWrap/>
        <w:overflowPunct/>
        <w:topLinePunct w:val="0"/>
        <w:bidi w:val="0"/>
        <w:adjustRightInd w:val="0"/>
        <w:snapToGrid w:val="0"/>
        <w:spacing w:line="240" w:lineRule="auto"/>
        <w:ind w:firstLine="420" w:firstLineChars="200"/>
        <w:jc w:val="left"/>
        <w:textAlignment w:val="auto"/>
        <w:rPr>
          <w:rFonts w:hint="default" w:ascii="Times New Roman" w:hAnsi="Times New Roman" w:cs="Times New Roman"/>
          <w:color w:val="000000" w:themeColor="text1"/>
          <w:szCs w:val="21"/>
          <w:shd w:val="clear" w:color="auto" w:fill="FFFFFF"/>
          <w:lang w:val="en-US" w:eastAsia="zh-CN"/>
          <w14:textFill>
            <w14:solidFill>
              <w14:schemeClr w14:val="tx1"/>
            </w14:solidFill>
          </w14:textFill>
        </w:rPr>
      </w:pPr>
    </w:p>
    <w:p w14:paraId="651A6CF7">
      <w:pPr>
        <w:keepNext w:val="0"/>
        <w:keepLines w:val="0"/>
        <w:pageBreakBefore w:val="0"/>
        <w:widowControl/>
        <w:suppressLineNumbers w:val="0"/>
        <w:kinsoku/>
        <w:wordWrap/>
        <w:overflowPunct/>
        <w:topLinePunct w:val="0"/>
        <w:bidi w:val="0"/>
        <w:adjustRightInd w:val="0"/>
        <w:snapToGrid w:val="0"/>
        <w:spacing w:line="240" w:lineRule="auto"/>
        <w:jc w:val="left"/>
        <w:textAlignment w:val="auto"/>
        <w:rPr>
          <w:rFonts w:hint="default" w:ascii="Times New Roman" w:hAnsi="Times New Roman" w:cs="Times New Roman"/>
          <w:color w:val="000000" w:themeColor="text1"/>
          <w:szCs w:val="21"/>
          <w:shd w:val="clear" w:color="auto" w:fill="FFFFFF"/>
          <w:lang w:val="en-US" w:eastAsia="zh-CN"/>
          <w14:textFill>
            <w14:solidFill>
              <w14:schemeClr w14:val="tx1"/>
            </w14:solidFill>
          </w14:textFill>
        </w:rPr>
      </w:pPr>
      <w:r>
        <w:rPr>
          <w:rFonts w:hint="eastAsia" w:ascii="Times New Roman" w:hAnsi="Times New Roman" w:cs="Times New Roman"/>
          <w:color w:val="000000" w:themeColor="text1"/>
          <w:szCs w:val="21"/>
          <w:shd w:val="clear" w:color="auto" w:fill="FFFFFF"/>
          <w:lang w:val="en-US" w:eastAsia="zh-CN"/>
          <w14:textFill>
            <w14:solidFill>
              <w14:schemeClr w14:val="tx1"/>
            </w14:solidFill>
          </w14:textFill>
        </w:rPr>
        <w:t>6</w:t>
      </w:r>
      <w:r>
        <w:rPr>
          <w:rFonts w:hint="default" w:ascii="Times New Roman" w:hAnsi="Times New Roman" w:cs="Times New Roman"/>
          <w:color w:val="000000" w:themeColor="text1"/>
          <w:szCs w:val="21"/>
          <w:shd w:val="clear" w:color="auto" w:fill="FFFFFF"/>
          <w:lang w:val="en-US" w:eastAsia="zh-CN"/>
          <w14:textFill>
            <w14:solidFill>
              <w14:schemeClr w14:val="tx1"/>
            </w14:solidFill>
          </w14:textFill>
        </w:rPr>
        <w:t>.3.2考评结果应用</w:t>
      </w:r>
    </w:p>
    <w:p w14:paraId="430AEE31">
      <w:pPr>
        <w:keepNext w:val="0"/>
        <w:keepLines w:val="0"/>
        <w:pageBreakBefore w:val="0"/>
        <w:widowControl/>
        <w:suppressLineNumbers w:val="0"/>
        <w:kinsoku/>
        <w:wordWrap/>
        <w:overflowPunct/>
        <w:topLinePunct w:val="0"/>
        <w:bidi w:val="0"/>
        <w:adjustRightInd w:val="0"/>
        <w:snapToGrid w:val="0"/>
        <w:spacing w:line="240" w:lineRule="auto"/>
        <w:jc w:val="left"/>
        <w:textAlignment w:val="auto"/>
        <w:rPr>
          <w:rFonts w:hint="default" w:ascii="Times New Roman" w:hAnsi="Times New Roman" w:cs="Times New Roman"/>
          <w:color w:val="000000" w:themeColor="text1"/>
          <w:szCs w:val="21"/>
          <w:shd w:val="clear" w:color="auto" w:fill="FFFFFF"/>
          <w:lang w:val="en-US" w:eastAsia="zh-CN"/>
          <w14:textFill>
            <w14:solidFill>
              <w14:schemeClr w14:val="tx1"/>
            </w14:solidFill>
          </w14:textFill>
        </w:rPr>
      </w:pPr>
      <w:r>
        <w:rPr>
          <w:rFonts w:hint="eastAsia" w:ascii="Times New Roman" w:hAnsi="Times New Roman" w:cs="Times New Roman"/>
          <w:color w:val="000000" w:themeColor="text1"/>
          <w:szCs w:val="21"/>
          <w:shd w:val="clear" w:color="auto" w:fill="FFFFFF"/>
          <w:lang w:val="en-US" w:eastAsia="zh-CN"/>
          <w14:textFill>
            <w14:solidFill>
              <w14:schemeClr w14:val="tx1"/>
            </w14:solidFill>
          </w14:textFill>
        </w:rPr>
        <w:t>6.3.2.1 对培训结果成绩较差的学员进行复训</w:t>
      </w:r>
      <w:r>
        <w:rPr>
          <w:rFonts w:hint="default" w:ascii="Times New Roman" w:hAnsi="Times New Roman" w:cs="Times New Roman"/>
          <w:color w:val="000000" w:themeColor="text1"/>
          <w:szCs w:val="21"/>
          <w:shd w:val="clear" w:color="auto" w:fill="FFFFFF"/>
          <w:lang w:val="en-US" w:eastAsia="zh-CN"/>
          <w14:textFill>
            <w14:solidFill>
              <w14:schemeClr w14:val="tx1"/>
            </w14:solidFill>
          </w14:textFill>
        </w:rPr>
        <w:t>。​</w:t>
      </w:r>
    </w:p>
    <w:p w14:paraId="1791CFB3">
      <w:pPr>
        <w:keepNext w:val="0"/>
        <w:keepLines w:val="0"/>
        <w:pageBreakBefore w:val="0"/>
        <w:widowControl/>
        <w:suppressLineNumbers w:val="0"/>
        <w:kinsoku/>
        <w:wordWrap/>
        <w:overflowPunct/>
        <w:topLinePunct w:val="0"/>
        <w:bidi w:val="0"/>
        <w:adjustRightInd w:val="0"/>
        <w:snapToGrid w:val="0"/>
        <w:spacing w:line="240" w:lineRule="auto"/>
        <w:jc w:val="left"/>
        <w:textAlignment w:val="auto"/>
        <w:rPr>
          <w:rFonts w:hint="default" w:ascii="Times New Roman" w:hAnsi="Times New Roman" w:cs="Times New Roman"/>
          <w:color w:val="000000" w:themeColor="text1"/>
          <w:szCs w:val="21"/>
          <w:shd w:val="clear" w:color="auto" w:fill="FFFFFF"/>
          <w:lang w:val="en-US" w:eastAsia="zh-CN"/>
          <w14:textFill>
            <w14:solidFill>
              <w14:schemeClr w14:val="tx1"/>
            </w14:solidFill>
          </w14:textFill>
        </w:rPr>
      </w:pPr>
      <w:r>
        <w:rPr>
          <w:rFonts w:hint="eastAsia" w:ascii="Times New Roman" w:hAnsi="Times New Roman" w:cs="Times New Roman"/>
          <w:color w:val="000000" w:themeColor="text1"/>
          <w:szCs w:val="21"/>
          <w:shd w:val="clear" w:color="auto" w:fill="FFFFFF"/>
          <w:lang w:val="en-US" w:eastAsia="zh-CN"/>
          <w14:textFill>
            <w14:solidFill>
              <w14:schemeClr w14:val="tx1"/>
            </w14:solidFill>
          </w14:textFill>
        </w:rPr>
        <w:t>6</w:t>
      </w:r>
      <w:r>
        <w:rPr>
          <w:rFonts w:hint="default" w:ascii="Times New Roman" w:hAnsi="Times New Roman" w:cs="Times New Roman"/>
          <w:color w:val="000000" w:themeColor="text1"/>
          <w:szCs w:val="21"/>
          <w:shd w:val="clear" w:color="auto" w:fill="FFFFFF"/>
          <w:lang w:val="en-US" w:eastAsia="zh-CN"/>
          <w14:textFill>
            <w14:solidFill>
              <w14:schemeClr w14:val="tx1"/>
            </w14:solidFill>
          </w14:textFill>
        </w:rPr>
        <w:t>.3.2.</w:t>
      </w:r>
      <w:r>
        <w:rPr>
          <w:rFonts w:hint="eastAsia" w:ascii="Times New Roman" w:hAnsi="Times New Roman" w:cs="Times New Roman"/>
          <w:color w:val="000000" w:themeColor="text1"/>
          <w:szCs w:val="21"/>
          <w:shd w:val="clear" w:color="auto" w:fill="FFFFFF"/>
          <w:lang w:val="en-US" w:eastAsia="zh-CN"/>
          <w14:textFill>
            <w14:solidFill>
              <w14:schemeClr w14:val="tx1"/>
            </w14:solidFill>
          </w14:textFill>
        </w:rPr>
        <w:t>2</w:t>
      </w:r>
      <w:r>
        <w:rPr>
          <w:rFonts w:hint="default" w:ascii="Times New Roman" w:hAnsi="Times New Roman" w:cs="Times New Roman"/>
          <w:color w:val="000000" w:themeColor="text1"/>
          <w:szCs w:val="21"/>
          <w:shd w:val="clear" w:color="auto" w:fill="FFFFFF"/>
          <w:lang w:val="en-US" w:eastAsia="zh-CN"/>
          <w14:textFill>
            <w14:solidFill>
              <w14:schemeClr w14:val="tx1"/>
            </w14:solidFill>
          </w14:textFill>
        </w:rPr>
        <w:t xml:space="preserve"> 针对考评发现的问题，制定整改方案，</w:t>
      </w:r>
      <w:r>
        <w:rPr>
          <w:rFonts w:hint="eastAsia" w:ascii="Times New Roman" w:hAnsi="Times New Roman" w:cs="Times New Roman"/>
          <w:color w:val="000000" w:themeColor="text1"/>
          <w:szCs w:val="21"/>
          <w:shd w:val="clear" w:color="auto" w:fill="FFFFFF"/>
          <w:lang w:val="en-US" w:eastAsia="zh-CN"/>
          <w14:textFill>
            <w14:solidFill>
              <w14:schemeClr w14:val="tx1"/>
            </w14:solidFill>
          </w14:textFill>
        </w:rPr>
        <w:t>完善后期的培训</w:t>
      </w:r>
      <w:r>
        <w:rPr>
          <w:rFonts w:hint="default" w:ascii="Times New Roman" w:hAnsi="Times New Roman" w:cs="Times New Roman"/>
          <w:color w:val="000000" w:themeColor="text1"/>
          <w:szCs w:val="21"/>
          <w:shd w:val="clear" w:color="auto" w:fill="FFFFFF"/>
          <w:lang w:val="en-US" w:eastAsia="zh-CN"/>
          <w14:textFill>
            <w14:solidFill>
              <w14:schemeClr w14:val="tx1"/>
            </w14:solidFill>
          </w14:textFill>
        </w:rPr>
        <w:t>。</w:t>
      </w:r>
    </w:p>
    <w:p w14:paraId="3C35DFFF">
      <w:pPr>
        <w:pStyle w:val="105"/>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default" w:ascii="Times New Roman" w:hAnsi="Times New Roman" w:cs="Times New Roman"/>
          <w:color w:val="000000" w:themeColor="text1"/>
          <w:szCs w:val="21"/>
          <w:highlight w:val="none"/>
          <w:lang w:val="en-US" w:eastAsia="zh-CN"/>
          <w14:textFill>
            <w14:solidFill>
              <w14:schemeClr w14:val="tx1"/>
            </w14:solidFill>
          </w14:textFill>
        </w:rPr>
      </w:pPr>
      <w:r>
        <w:rPr>
          <w:rFonts w:hint="default" w:ascii="Times New Roman" w:hAnsi="Times New Roman" w:cs="Times New Roman"/>
          <w:color w:val="000000" w:themeColor="text1"/>
          <w:szCs w:val="21"/>
          <w:highlight w:val="none"/>
          <w:lang w:val="en-US" w:eastAsia="zh-CN"/>
          <w14:textFill>
            <w14:solidFill>
              <w14:schemeClr w14:val="tx1"/>
            </w14:solidFill>
          </w14:textFill>
        </w:rPr>
        <w:t>培训</w:t>
      </w:r>
      <w:r>
        <w:rPr>
          <w:rFonts w:hint="eastAsia" w:ascii="Times New Roman" w:cs="Times New Roman"/>
          <w:color w:val="000000" w:themeColor="text1"/>
          <w:szCs w:val="21"/>
          <w:highlight w:val="none"/>
          <w:lang w:val="en-US" w:eastAsia="zh-CN"/>
          <w14:textFill>
            <w14:solidFill>
              <w14:schemeClr w14:val="tx1"/>
            </w14:solidFill>
          </w14:textFill>
        </w:rPr>
        <w:t>后</w:t>
      </w:r>
      <w:r>
        <w:rPr>
          <w:rFonts w:hint="default" w:ascii="Times New Roman" w:hAnsi="Times New Roman" w:cs="Times New Roman"/>
          <w:color w:val="000000" w:themeColor="text1"/>
          <w:szCs w:val="21"/>
          <w:highlight w:val="none"/>
          <w:lang w:val="en-US" w:eastAsia="zh-CN"/>
          <w14:textFill>
            <w14:solidFill>
              <w14:schemeClr w14:val="tx1"/>
            </w14:solidFill>
          </w14:textFill>
        </w:rPr>
        <w:t>评估</w:t>
      </w:r>
    </w:p>
    <w:p w14:paraId="0CF8313F">
      <w:pPr>
        <w:pStyle w:val="106"/>
        <w:keepNext w:val="0"/>
        <w:keepLines w:val="0"/>
        <w:pageBreakBefore w:val="0"/>
        <w:widowControl/>
        <w:numPr>
          <w:ilvl w:val="2"/>
          <w:numId w:val="0"/>
        </w:numPr>
        <w:kinsoku/>
        <w:wordWrap/>
        <w:overflowPunct/>
        <w:topLinePunct w:val="0"/>
        <w:autoSpaceDE/>
        <w:autoSpaceDN/>
        <w:bidi w:val="0"/>
        <w:adjustRightInd w:val="0"/>
        <w:snapToGrid w:val="0"/>
        <w:spacing w:before="0" w:beforeLines="0" w:after="0" w:afterLines="0" w:line="240" w:lineRule="auto"/>
        <w:ind w:leftChars="0"/>
        <w:textAlignment w:val="auto"/>
        <w:rPr>
          <w:rFonts w:hint="eastAsia" w:ascii="Times New Roman" w:cs="Times New Roman"/>
          <w:color w:val="000000" w:themeColor="text1"/>
          <w:lang w:val="en-US" w:eastAsia="zh-CN"/>
          <w14:textFill>
            <w14:solidFill>
              <w14:schemeClr w14:val="tx1"/>
            </w14:solidFill>
          </w14:textFill>
        </w:rPr>
      </w:pPr>
      <w:r>
        <w:rPr>
          <w:rFonts w:hint="eastAsia" w:ascii="Times New Roman" w:cs="Times New Roman"/>
          <w:color w:val="000000" w:themeColor="text1"/>
          <w:lang w:val="en-US" w:eastAsia="zh-CN"/>
          <w14:textFill>
            <w14:solidFill>
              <w14:schemeClr w14:val="tx1"/>
            </w14:solidFill>
          </w14:textFill>
        </w:rPr>
        <w:t>7</w:t>
      </w:r>
      <w:r>
        <w:rPr>
          <w:rFonts w:hint="default" w:ascii="Times New Roman" w:hAnsi="Times New Roman" w:cs="Times New Roman"/>
          <w:color w:val="000000" w:themeColor="text1"/>
          <w:lang w:val="en-US" w:eastAsia="zh-CN"/>
          <w14:textFill>
            <w14:solidFill>
              <w14:schemeClr w14:val="tx1"/>
            </w14:solidFill>
          </w14:textFill>
        </w:rPr>
        <w:t>.1评估</w:t>
      </w:r>
      <w:r>
        <w:rPr>
          <w:rFonts w:hint="eastAsia" w:ascii="Times New Roman" w:cs="Times New Roman"/>
          <w:color w:val="000000" w:themeColor="text1"/>
          <w:lang w:val="en-US" w:eastAsia="zh-CN"/>
          <w14:textFill>
            <w14:solidFill>
              <w14:schemeClr w14:val="tx1"/>
            </w14:solidFill>
          </w14:textFill>
        </w:rPr>
        <w:t>内容</w:t>
      </w:r>
    </w:p>
    <w:p w14:paraId="6F1D3E12">
      <w:pPr>
        <w:keepNext w:val="0"/>
        <w:keepLines w:val="0"/>
        <w:pageBreakBefore w:val="0"/>
        <w:widowControl/>
        <w:suppressLineNumbers w:val="0"/>
        <w:kinsoku/>
        <w:wordWrap/>
        <w:overflowPunct/>
        <w:topLinePunct w:val="0"/>
        <w:bidi w:val="0"/>
        <w:adjustRightInd w:val="0"/>
        <w:snapToGrid w:val="0"/>
        <w:spacing w:line="240" w:lineRule="auto"/>
        <w:ind w:firstLine="420" w:firstLineChars="200"/>
        <w:jc w:val="left"/>
        <w:textAlignment w:val="auto"/>
        <w:rPr>
          <w:rFonts w:hint="default" w:ascii="Times New Roman" w:hAnsi="Times New Roman" w:cs="Times New Roman"/>
          <w:color w:val="000000" w:themeColor="text1"/>
          <w:szCs w:val="21"/>
          <w:shd w:val="clear" w:color="auto" w:fill="FFFFFF"/>
          <w:lang w:val="en-US" w:eastAsia="zh-CN"/>
          <w14:textFill>
            <w14:solidFill>
              <w14:schemeClr w14:val="tx1"/>
            </w14:solidFill>
          </w14:textFill>
        </w:rPr>
      </w:pPr>
      <w:r>
        <w:rPr>
          <w:rFonts w:hint="default" w:ascii="Times New Roman" w:hAnsi="Times New Roman" w:cs="Times New Roman"/>
          <w:color w:val="000000" w:themeColor="text1"/>
          <w:szCs w:val="21"/>
          <w:shd w:val="clear" w:color="auto" w:fill="FFFFFF"/>
          <w:lang w:eastAsia="zh-CN"/>
          <w14:textFill>
            <w14:solidFill>
              <w14:schemeClr w14:val="tx1"/>
            </w14:solidFill>
          </w14:textFill>
        </w:rPr>
        <w:t>培训过程评估需覆盖 “培训前期准备、培训实施、培训</w:t>
      </w:r>
      <w:r>
        <w:rPr>
          <w:rFonts w:hint="eastAsia" w:ascii="Times New Roman" w:hAnsi="Times New Roman" w:cs="Times New Roman"/>
          <w:color w:val="000000" w:themeColor="text1"/>
          <w:szCs w:val="21"/>
          <w:shd w:val="clear" w:color="auto" w:fill="FFFFFF"/>
          <w:lang w:val="en-US" w:eastAsia="zh-CN"/>
          <w14:textFill>
            <w14:solidFill>
              <w14:schemeClr w14:val="tx1"/>
            </w14:solidFill>
          </w14:textFill>
        </w:rPr>
        <w:t>考评</w:t>
      </w:r>
      <w:r>
        <w:rPr>
          <w:rFonts w:hint="default" w:ascii="Times New Roman" w:hAnsi="Times New Roman" w:cs="Times New Roman"/>
          <w:color w:val="000000" w:themeColor="text1"/>
          <w:szCs w:val="21"/>
          <w:shd w:val="clear" w:color="auto" w:fill="FFFFFF"/>
          <w:lang w:eastAsia="zh-CN"/>
          <w14:textFill>
            <w14:solidFill>
              <w14:schemeClr w14:val="tx1"/>
            </w14:solidFill>
          </w14:textFill>
        </w:rPr>
        <w:t>” 三大核心阶段，每个阶段围绕 “计划合理性、资源适配性、执行规范性、效果关联性” 设置评估要点，确保评估全面覆盖培训全流程。</w:t>
      </w:r>
    </w:p>
    <w:p w14:paraId="4C77A598">
      <w:pPr>
        <w:keepNext w:val="0"/>
        <w:keepLines w:val="0"/>
        <w:pageBreakBefore w:val="0"/>
        <w:widowControl/>
        <w:suppressLineNumbers w:val="0"/>
        <w:kinsoku/>
        <w:wordWrap/>
        <w:overflowPunct/>
        <w:topLinePunct w:val="0"/>
        <w:bidi w:val="0"/>
        <w:adjustRightInd w:val="0"/>
        <w:snapToGrid w:val="0"/>
        <w:spacing w:line="240" w:lineRule="auto"/>
        <w:jc w:val="left"/>
        <w:textAlignment w:val="auto"/>
        <w:rPr>
          <w:rFonts w:hint="eastAsia" w:ascii="Times New Roman" w:hAnsi="Times New Roman" w:cs="Times New Roman"/>
          <w:b/>
          <w:bCs/>
          <w:color w:val="000000" w:themeColor="text1"/>
          <w:szCs w:val="21"/>
          <w:shd w:val="clear" w:color="auto" w:fill="FFFFFF"/>
          <w:lang w:val="en-US" w:eastAsia="zh-CN"/>
          <w14:textFill>
            <w14:solidFill>
              <w14:schemeClr w14:val="tx1"/>
            </w14:solidFill>
          </w14:textFill>
        </w:rPr>
      </w:pPr>
      <w:r>
        <w:rPr>
          <w:rFonts w:hint="eastAsia" w:ascii="Times New Roman" w:hAnsi="Times New Roman" w:cs="Times New Roman"/>
          <w:b/>
          <w:bCs/>
          <w:color w:val="000000" w:themeColor="text1"/>
          <w:szCs w:val="21"/>
          <w:shd w:val="clear" w:color="auto" w:fill="FFFFFF"/>
          <w:lang w:val="en-US" w:eastAsia="zh-CN"/>
          <w14:textFill>
            <w14:solidFill>
              <w14:schemeClr w14:val="tx1"/>
            </w14:solidFill>
          </w14:textFill>
        </w:rPr>
        <w:t>7.2 评估方法</w:t>
      </w:r>
    </w:p>
    <w:p w14:paraId="773B9EA0">
      <w:pPr>
        <w:pStyle w:val="254"/>
        <w:keepNext w:val="0"/>
        <w:keepLines w:val="0"/>
        <w:pageBreakBefore w:val="0"/>
        <w:widowControl/>
        <w:kinsoku/>
        <w:wordWrap/>
        <w:overflowPunct/>
        <w:topLinePunct w:val="0"/>
        <w:bidi w:val="0"/>
        <w:adjustRightInd w:val="0"/>
        <w:snapToGrid w:val="0"/>
        <w:spacing w:before="0" w:after="0" w:line="240" w:lineRule="auto"/>
        <w:ind w:firstLine="420" w:firstLineChars="200"/>
        <w:textAlignment w:val="auto"/>
        <w:rPr>
          <w:rFonts w:hint="default" w:ascii="Times New Roman" w:hAnsi="Times New Roman" w:cs="Times New Roman"/>
          <w:color w:val="000000" w:themeColor="text1"/>
          <w:szCs w:val="21"/>
          <w:shd w:val="clear" w:color="auto" w:fill="FFFFFF"/>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培训结束后，通过</w:t>
      </w:r>
      <w:r>
        <w:rPr>
          <w:rFonts w:hint="default" w:ascii="Times New Roman" w:hAnsi="Times New Roman" w:cs="Times New Roman"/>
          <w:color w:val="000000" w:themeColor="text1"/>
          <w:szCs w:val="21"/>
          <w:shd w:val="clear" w:color="auto" w:fill="FFFFFF"/>
          <w:lang w:eastAsia="zh-CN"/>
          <w14:textFill>
            <w14:solidFill>
              <w14:schemeClr w14:val="tx1"/>
            </w14:solidFill>
          </w14:textFill>
        </w:rPr>
        <w:t>资料核查、现场观察、问卷调研、访谈座谈</w:t>
      </w: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等方式，对培训内容、授课质量、培训组织安排等进行评估，收集改进建议；同时，在培训结束后1个月内，跟踪参训人员岗位表现，评估培训效果对实际工作的提升作用。</w:t>
      </w:r>
    </w:p>
    <w:p w14:paraId="5E436E9B">
      <w:pPr>
        <w:keepNext w:val="0"/>
        <w:keepLines w:val="0"/>
        <w:pageBreakBefore w:val="0"/>
        <w:widowControl/>
        <w:suppressLineNumbers w:val="0"/>
        <w:kinsoku/>
        <w:wordWrap/>
        <w:overflowPunct/>
        <w:topLinePunct w:val="0"/>
        <w:bidi w:val="0"/>
        <w:adjustRightInd w:val="0"/>
        <w:snapToGrid w:val="0"/>
        <w:spacing w:line="240" w:lineRule="auto"/>
        <w:ind w:firstLine="420" w:firstLineChars="200"/>
        <w:jc w:val="left"/>
        <w:textAlignment w:val="auto"/>
        <w:rPr>
          <w:rFonts w:hint="default" w:ascii="Times New Roman" w:hAnsi="Times New Roman" w:cs="Times New Roman"/>
          <w:color w:val="000000" w:themeColor="text1"/>
          <w:szCs w:val="21"/>
          <w:shd w:val="clear" w:color="auto" w:fill="FFFFFF"/>
          <w:lang w:eastAsia="zh-CN"/>
          <w14:textFill>
            <w14:solidFill>
              <w14:schemeClr w14:val="tx1"/>
            </w14:solidFill>
          </w14:textFill>
        </w:rPr>
      </w:pPr>
      <w:r>
        <w:rPr>
          <w:rFonts w:hint="eastAsia" w:ascii="Times New Roman" w:hAnsi="Times New Roman" w:cs="Times New Roman"/>
          <w:color w:val="000000" w:themeColor="text1"/>
          <w:szCs w:val="21"/>
          <w:shd w:val="clear" w:color="auto" w:fill="FFFFFF"/>
          <w:lang w:val="en-US" w:eastAsia="zh-CN"/>
          <w14:textFill>
            <w14:solidFill>
              <w14:schemeClr w14:val="tx1"/>
            </w14:solidFill>
          </w14:textFill>
        </w:rPr>
        <w:t>--</w:t>
      </w:r>
      <w:r>
        <w:rPr>
          <w:rFonts w:hint="default" w:ascii="Times New Roman" w:hAnsi="Times New Roman" w:cs="Times New Roman"/>
          <w:color w:val="000000" w:themeColor="text1"/>
          <w:szCs w:val="21"/>
          <w:shd w:val="clear" w:color="auto" w:fill="FFFFFF"/>
          <w:lang w:eastAsia="zh-CN"/>
          <w14:textFill>
            <w14:solidFill>
              <w14:schemeClr w14:val="tx1"/>
            </w14:solidFill>
          </w14:textFill>
        </w:rPr>
        <w:t>资料核查</w:t>
      </w:r>
      <w:r>
        <w:rPr>
          <w:rFonts w:hint="eastAsia" w:ascii="Times New Roman" w:hAnsi="Times New Roman" w:cs="Times New Roman"/>
          <w:color w:val="000000" w:themeColor="text1"/>
          <w:szCs w:val="21"/>
          <w:shd w:val="clear" w:color="auto" w:fill="FFFFFF"/>
          <w:lang w:val="en-US" w:eastAsia="zh-CN"/>
          <w14:textFill>
            <w14:solidFill>
              <w14:schemeClr w14:val="tx1"/>
            </w14:solidFill>
          </w14:textFill>
        </w:rPr>
        <w:t>:需</w:t>
      </w:r>
      <w:r>
        <w:rPr>
          <w:rFonts w:hint="default" w:ascii="Times New Roman" w:hAnsi="Times New Roman" w:cs="Times New Roman"/>
          <w:color w:val="000000" w:themeColor="text1"/>
          <w:szCs w:val="21"/>
          <w:shd w:val="clear" w:color="auto" w:fill="FFFFFF"/>
          <w:lang w:eastAsia="zh-CN"/>
          <w14:textFill>
            <w14:solidFill>
              <w14:schemeClr w14:val="tx1"/>
            </w14:solidFill>
          </w14:textFill>
        </w:rPr>
        <w:t>验证前期准备与后期归档的完整性</w:t>
      </w:r>
      <w:r>
        <w:rPr>
          <w:rFonts w:hint="eastAsia" w:ascii="Times New Roman" w:hAnsi="Times New Roman" w:cs="Times New Roman"/>
          <w:color w:val="000000" w:themeColor="text1"/>
          <w:szCs w:val="21"/>
          <w:shd w:val="clear" w:color="auto" w:fill="FFFFFF"/>
          <w:lang w:eastAsia="zh-CN"/>
          <w14:textFill>
            <w14:solidFill>
              <w14:schemeClr w14:val="tx1"/>
            </w14:solidFill>
          </w14:textFill>
        </w:rPr>
        <w:t>。</w:t>
      </w:r>
    </w:p>
    <w:p w14:paraId="5147BF52">
      <w:pPr>
        <w:keepNext w:val="0"/>
        <w:keepLines w:val="0"/>
        <w:pageBreakBefore w:val="0"/>
        <w:widowControl/>
        <w:suppressLineNumbers w:val="0"/>
        <w:kinsoku/>
        <w:wordWrap/>
        <w:overflowPunct/>
        <w:topLinePunct w:val="0"/>
        <w:bidi w:val="0"/>
        <w:adjustRightInd w:val="0"/>
        <w:snapToGrid w:val="0"/>
        <w:spacing w:line="240" w:lineRule="auto"/>
        <w:ind w:firstLine="420" w:firstLineChars="200"/>
        <w:jc w:val="left"/>
        <w:textAlignment w:val="auto"/>
        <w:rPr>
          <w:rFonts w:hint="default" w:ascii="Times New Roman" w:hAnsi="Times New Roman" w:cs="Times New Roman"/>
          <w:color w:val="000000" w:themeColor="text1"/>
          <w:szCs w:val="21"/>
          <w:shd w:val="clear" w:color="auto" w:fill="FFFFFF"/>
          <w:lang w:eastAsia="zh-CN"/>
          <w14:textFill>
            <w14:solidFill>
              <w14:schemeClr w14:val="tx1"/>
            </w14:solidFill>
          </w14:textFill>
        </w:rPr>
      </w:pPr>
      <w:r>
        <w:rPr>
          <w:rFonts w:hint="eastAsia" w:ascii="Times New Roman" w:hAnsi="Times New Roman" w:cs="Times New Roman"/>
          <w:color w:val="000000" w:themeColor="text1"/>
          <w:szCs w:val="21"/>
          <w:shd w:val="clear" w:color="auto" w:fill="FFFFFF"/>
          <w:lang w:val="en-US" w:eastAsia="zh-CN"/>
          <w14:textFill>
            <w14:solidFill>
              <w14:schemeClr w14:val="tx1"/>
            </w14:solidFill>
          </w14:textFill>
        </w:rPr>
        <w:t>--</w:t>
      </w:r>
      <w:r>
        <w:rPr>
          <w:rFonts w:hint="default" w:ascii="Times New Roman" w:hAnsi="Times New Roman" w:cs="Times New Roman"/>
          <w:color w:val="000000" w:themeColor="text1"/>
          <w:szCs w:val="21"/>
          <w:shd w:val="clear" w:color="auto" w:fill="FFFFFF"/>
          <w:lang w:eastAsia="zh-CN"/>
          <w14:textFill>
            <w14:solidFill>
              <w14:schemeClr w14:val="tx1"/>
            </w14:solidFill>
          </w14:textFill>
        </w:rPr>
        <w:t>现场观察：评估中期实施的执行质量</w:t>
      </w:r>
      <w:r>
        <w:rPr>
          <w:rFonts w:hint="eastAsia" w:ascii="Times New Roman" w:hAnsi="Times New Roman" w:cs="Times New Roman"/>
          <w:color w:val="000000" w:themeColor="text1"/>
          <w:szCs w:val="21"/>
          <w:shd w:val="clear" w:color="auto" w:fill="FFFFFF"/>
          <w:lang w:eastAsia="zh-CN"/>
          <w14:textFill>
            <w14:solidFill>
              <w14:schemeClr w14:val="tx1"/>
            </w14:solidFill>
          </w14:textFill>
        </w:rPr>
        <w:t>。</w:t>
      </w:r>
    </w:p>
    <w:p w14:paraId="15F65A8A">
      <w:pPr>
        <w:keepNext w:val="0"/>
        <w:keepLines w:val="0"/>
        <w:pageBreakBefore w:val="0"/>
        <w:widowControl/>
        <w:suppressLineNumbers w:val="0"/>
        <w:kinsoku/>
        <w:wordWrap/>
        <w:overflowPunct/>
        <w:topLinePunct w:val="0"/>
        <w:bidi w:val="0"/>
        <w:adjustRightInd w:val="0"/>
        <w:snapToGrid w:val="0"/>
        <w:spacing w:line="240" w:lineRule="auto"/>
        <w:ind w:firstLine="420" w:firstLineChars="200"/>
        <w:jc w:val="left"/>
        <w:textAlignment w:val="auto"/>
        <w:rPr>
          <w:rFonts w:hint="eastAsia" w:ascii="Times New Roman" w:hAnsi="Times New Roman" w:cs="Times New Roman"/>
          <w:color w:val="000000" w:themeColor="text1"/>
          <w:szCs w:val="21"/>
          <w:shd w:val="clear" w:color="auto" w:fill="FFFFFF"/>
          <w:lang w:val="en-US" w:eastAsia="zh-CN"/>
          <w14:textFill>
            <w14:solidFill>
              <w14:schemeClr w14:val="tx1"/>
            </w14:solidFill>
          </w14:textFill>
        </w:rPr>
      </w:pPr>
      <w:r>
        <w:rPr>
          <w:rFonts w:hint="eastAsia" w:ascii="Times New Roman" w:hAnsi="Times New Roman" w:cs="Times New Roman"/>
          <w:color w:val="000000" w:themeColor="text1"/>
          <w:szCs w:val="21"/>
          <w:shd w:val="clear" w:color="auto" w:fill="FFFFFF"/>
          <w:lang w:val="en-US" w:eastAsia="zh-CN"/>
          <w14:textFill>
            <w14:solidFill>
              <w14:schemeClr w14:val="tx1"/>
            </w14:solidFill>
          </w14:textFill>
        </w:rPr>
        <w:t>--</w:t>
      </w:r>
      <w:r>
        <w:rPr>
          <w:rFonts w:hint="default" w:ascii="Times New Roman" w:hAnsi="Times New Roman" w:cs="Times New Roman"/>
          <w:color w:val="000000" w:themeColor="text1"/>
          <w:szCs w:val="21"/>
          <w:shd w:val="clear" w:color="auto" w:fill="FFFFFF"/>
          <w:lang w:eastAsia="zh-CN"/>
          <w14:textFill>
            <w14:solidFill>
              <w14:schemeClr w14:val="tx1"/>
            </w14:solidFill>
          </w14:textFill>
        </w:rPr>
        <w:t>问卷调研：收集学员对培训过程的反馈</w:t>
      </w:r>
      <w:r>
        <w:rPr>
          <w:rFonts w:hint="eastAsia" w:ascii="Times New Roman" w:hAnsi="Times New Roman" w:cs="Times New Roman"/>
          <w:color w:val="000000" w:themeColor="text1"/>
          <w:szCs w:val="21"/>
          <w:shd w:val="clear" w:color="auto" w:fill="FFFFFF"/>
          <w:lang w:eastAsia="zh-CN"/>
          <w14:textFill>
            <w14:solidFill>
              <w14:schemeClr w14:val="tx1"/>
            </w14:solidFill>
          </w14:textFill>
        </w:rPr>
        <w:t>。</w:t>
      </w:r>
    </w:p>
    <w:p w14:paraId="4E5829D3">
      <w:pPr>
        <w:keepNext w:val="0"/>
        <w:keepLines w:val="0"/>
        <w:pageBreakBefore w:val="0"/>
        <w:widowControl/>
        <w:suppressLineNumbers w:val="0"/>
        <w:kinsoku/>
        <w:wordWrap/>
        <w:overflowPunct/>
        <w:topLinePunct w:val="0"/>
        <w:bidi w:val="0"/>
        <w:adjustRightInd w:val="0"/>
        <w:snapToGrid w:val="0"/>
        <w:spacing w:line="240" w:lineRule="auto"/>
        <w:ind w:firstLine="420" w:firstLineChars="200"/>
        <w:jc w:val="left"/>
        <w:textAlignment w:val="auto"/>
        <w:rPr>
          <w:rFonts w:hint="eastAsia" w:ascii="Times New Roman" w:hAnsi="Times New Roman" w:cs="Times New Roman"/>
          <w:color w:val="000000" w:themeColor="text1"/>
          <w:szCs w:val="21"/>
          <w:shd w:val="clear" w:color="auto" w:fill="FFFFFF"/>
          <w:lang w:val="en-US" w:eastAsia="zh-CN"/>
          <w14:textFill>
            <w14:solidFill>
              <w14:schemeClr w14:val="tx1"/>
            </w14:solidFill>
          </w14:textFill>
        </w:rPr>
      </w:pPr>
      <w:r>
        <w:rPr>
          <w:rFonts w:hint="eastAsia" w:ascii="Times New Roman" w:hAnsi="Times New Roman" w:cs="Times New Roman"/>
          <w:color w:val="000000" w:themeColor="text1"/>
          <w:szCs w:val="21"/>
          <w:shd w:val="clear" w:color="auto" w:fill="FFFFFF"/>
          <w:lang w:val="en-US" w:eastAsia="zh-CN"/>
          <w14:textFill>
            <w14:solidFill>
              <w14:schemeClr w14:val="tx1"/>
            </w14:solidFill>
          </w14:textFill>
        </w:rPr>
        <w:t>--</w:t>
      </w:r>
      <w:r>
        <w:rPr>
          <w:rFonts w:hint="default" w:ascii="Times New Roman" w:hAnsi="Times New Roman" w:cs="Times New Roman"/>
          <w:color w:val="000000" w:themeColor="text1"/>
          <w:szCs w:val="21"/>
          <w:shd w:val="clear" w:color="auto" w:fill="FFFFFF"/>
          <w:lang w:eastAsia="zh-CN"/>
          <w14:textFill>
            <w14:solidFill>
              <w14:schemeClr w14:val="tx1"/>
            </w14:solidFill>
          </w14:textFill>
        </w:rPr>
        <w:t>访谈座谈：深入了解培训过程的细节与问</w:t>
      </w:r>
      <w:r>
        <w:rPr>
          <w:rFonts w:ascii="Segoe UI" w:hAnsi="Segoe UI" w:eastAsia="Segoe UI" w:cs="Segoe UI"/>
          <w:i w:val="0"/>
          <w:iCs w:val="0"/>
          <w:caps w:val="0"/>
          <w:color w:val="000000"/>
          <w:spacing w:val="0"/>
          <w:sz w:val="21"/>
          <w:szCs w:val="21"/>
          <w:shd w:val="clear" w:fill="EFF0F1"/>
        </w:rPr>
        <w:t>题</w:t>
      </w:r>
      <w:r>
        <w:rPr>
          <w:rFonts w:hint="eastAsia" w:ascii="Segoe UI" w:hAnsi="Segoe UI" w:eastAsia="宋体" w:cs="Segoe UI"/>
          <w:i w:val="0"/>
          <w:iCs w:val="0"/>
          <w:caps w:val="0"/>
          <w:color w:val="000000"/>
          <w:spacing w:val="0"/>
          <w:sz w:val="21"/>
          <w:szCs w:val="21"/>
          <w:shd w:val="clear" w:fill="EFF0F1"/>
          <w:lang w:eastAsia="zh-CN"/>
        </w:rPr>
        <w:t>。</w:t>
      </w:r>
    </w:p>
    <w:p w14:paraId="3F34E7A0">
      <w:pPr>
        <w:keepNext w:val="0"/>
        <w:keepLines w:val="0"/>
        <w:pageBreakBefore w:val="0"/>
        <w:widowControl/>
        <w:suppressLineNumbers w:val="0"/>
        <w:kinsoku/>
        <w:wordWrap/>
        <w:overflowPunct/>
        <w:topLinePunct w:val="0"/>
        <w:bidi w:val="0"/>
        <w:adjustRightInd w:val="0"/>
        <w:snapToGrid w:val="0"/>
        <w:spacing w:line="240" w:lineRule="auto"/>
        <w:jc w:val="left"/>
        <w:textAlignment w:val="auto"/>
        <w:rPr>
          <w:rFonts w:hint="default" w:ascii="Times New Roman" w:hAnsi="Times New Roman" w:cs="Times New Roman"/>
          <w:b/>
          <w:bCs/>
          <w:color w:val="000000" w:themeColor="text1"/>
          <w:szCs w:val="21"/>
          <w:shd w:val="clear" w:color="auto" w:fill="FFFFFF"/>
          <w:lang w:val="en-US" w:eastAsia="zh-CN"/>
          <w14:textFill>
            <w14:solidFill>
              <w14:schemeClr w14:val="tx1"/>
            </w14:solidFill>
          </w14:textFill>
        </w:rPr>
      </w:pPr>
      <w:r>
        <w:rPr>
          <w:rFonts w:hint="eastAsia" w:ascii="Times New Roman" w:hAnsi="Times New Roman" w:cs="Times New Roman"/>
          <w:b/>
          <w:bCs/>
          <w:color w:val="000000" w:themeColor="text1"/>
          <w:szCs w:val="21"/>
          <w:shd w:val="clear" w:color="auto" w:fill="FFFFFF"/>
          <w:lang w:val="en-US" w:eastAsia="zh-CN"/>
          <w14:textFill>
            <w14:solidFill>
              <w14:schemeClr w14:val="tx1"/>
            </w14:solidFill>
          </w14:textFill>
        </w:rPr>
        <w:t>7.3 评估报告</w:t>
      </w:r>
    </w:p>
    <w:p w14:paraId="39591F24">
      <w:pPr>
        <w:keepNext w:val="0"/>
        <w:keepLines w:val="0"/>
        <w:pageBreakBefore w:val="0"/>
        <w:widowControl/>
        <w:suppressLineNumbers w:val="0"/>
        <w:kinsoku/>
        <w:wordWrap/>
        <w:overflowPunct/>
        <w:topLinePunct w:val="0"/>
        <w:bidi w:val="0"/>
        <w:adjustRightInd w:val="0"/>
        <w:snapToGrid w:val="0"/>
        <w:spacing w:line="240" w:lineRule="auto"/>
        <w:jc w:val="left"/>
        <w:textAlignment w:val="auto"/>
        <w:rPr>
          <w:rFonts w:hint="eastAsia" w:ascii="Times New Roman" w:hAnsi="Times New Roman" w:cs="Times New Roman"/>
          <w:color w:val="000000" w:themeColor="text1"/>
          <w:szCs w:val="21"/>
          <w:shd w:val="clear" w:color="auto" w:fill="FFFFFF"/>
          <w:lang w:val="en-US" w:eastAsia="zh-CN"/>
          <w14:textFill>
            <w14:solidFill>
              <w14:schemeClr w14:val="tx1"/>
            </w14:solidFill>
          </w14:textFill>
        </w:rPr>
      </w:pPr>
      <w:r>
        <w:rPr>
          <w:rFonts w:hint="eastAsia" w:ascii="Times New Roman" w:hAnsi="Times New Roman" w:cs="Times New Roman"/>
          <w:color w:val="000000" w:themeColor="text1"/>
          <w:szCs w:val="21"/>
          <w:shd w:val="clear" w:color="auto" w:fill="FFFFFF"/>
          <w:lang w:val="en-US" w:eastAsia="zh-CN"/>
          <w14:textFill>
            <w14:solidFill>
              <w14:schemeClr w14:val="tx1"/>
            </w14:solidFill>
          </w14:textFill>
        </w:rPr>
        <w:t>7.3.1 评估报告系统需梳理培训全流程的评估结果、问题分析、改进建议，为下一期培训优化提供可落地的指导方案，报告需符合 “数据支撑充分、逻辑清晰、建议具体” 的要求。​</w:t>
      </w:r>
    </w:p>
    <w:p w14:paraId="3D59A568">
      <w:pPr>
        <w:keepNext w:val="0"/>
        <w:keepLines w:val="0"/>
        <w:pageBreakBefore w:val="0"/>
        <w:widowControl/>
        <w:suppressLineNumbers w:val="0"/>
        <w:kinsoku/>
        <w:wordWrap/>
        <w:overflowPunct/>
        <w:topLinePunct w:val="0"/>
        <w:bidi w:val="0"/>
        <w:adjustRightInd w:val="0"/>
        <w:snapToGrid w:val="0"/>
        <w:spacing w:line="240" w:lineRule="auto"/>
        <w:jc w:val="left"/>
        <w:textAlignment w:val="auto"/>
        <w:rPr>
          <w:rFonts w:hint="eastAsia" w:ascii="Times New Roman" w:hAnsi="Times New Roman" w:cs="Times New Roman"/>
          <w:color w:val="000000" w:themeColor="text1"/>
          <w:szCs w:val="21"/>
          <w:shd w:val="clear" w:color="auto" w:fill="FFFFFF"/>
          <w:lang w:val="en-US" w:eastAsia="zh-CN"/>
          <w14:textFill>
            <w14:solidFill>
              <w14:schemeClr w14:val="tx1"/>
            </w14:solidFill>
          </w14:textFill>
        </w:rPr>
      </w:pPr>
      <w:r>
        <w:rPr>
          <w:rFonts w:hint="eastAsia" w:ascii="Times New Roman" w:hAnsi="Times New Roman" w:cs="Times New Roman"/>
          <w:color w:val="000000" w:themeColor="text1"/>
          <w:szCs w:val="21"/>
          <w:shd w:val="clear" w:color="auto" w:fill="FFFFFF"/>
          <w:lang w:val="en-US" w:eastAsia="zh-CN"/>
          <w14:textFill>
            <w14:solidFill>
              <w14:schemeClr w14:val="tx1"/>
            </w14:solidFill>
          </w14:textFill>
        </w:rPr>
        <w:t>7.3.2 评估报告需包含报告封面、目录、评估概况、各阶段评估结果、整体问题分析、改进建议等内容。</w:t>
      </w:r>
    </w:p>
    <w:bookmarkEnd w:id="26"/>
    <w:bookmarkEnd w:id="62"/>
    <w:bookmarkEnd w:id="63"/>
    <w:bookmarkEnd w:id="64"/>
    <w:bookmarkEnd w:id="65"/>
    <w:bookmarkEnd w:id="66"/>
    <w:bookmarkEnd w:id="67"/>
    <w:bookmarkEnd w:id="68"/>
    <w:bookmarkEnd w:id="69"/>
    <w:p w14:paraId="7952F21F">
      <w:pPr>
        <w:pStyle w:val="105"/>
        <w:keepNext w:val="0"/>
        <w:keepLines w:val="0"/>
        <w:pageBreakBefore w:val="0"/>
        <w:kinsoku/>
        <w:wordWrap/>
        <w:overflowPunct/>
        <w:topLinePunct w:val="0"/>
        <w:bidi w:val="0"/>
        <w:adjustRightInd w:val="0"/>
        <w:snapToGrid w:val="0"/>
        <w:spacing w:before="0" w:beforeLines="0" w:after="0" w:afterLines="0" w:line="240" w:lineRule="auto"/>
        <w:ind w:left="0"/>
        <w:textAlignment w:val="auto"/>
        <w:rPr>
          <w:rFonts w:hint="default" w:ascii="Times New Roman" w:hAnsi="Times New Roman" w:cs="Times New Roman"/>
          <w:color w:val="000000" w:themeColor="text1"/>
          <w:szCs w:val="21"/>
          <w:highlight w:val="none"/>
          <w:lang w:val="en-US" w:eastAsia="zh-CN"/>
          <w14:textFill>
            <w14:solidFill>
              <w14:schemeClr w14:val="tx1"/>
            </w14:solidFill>
          </w14:textFill>
        </w:rPr>
      </w:pPr>
      <w:r>
        <w:rPr>
          <w:rFonts w:hint="default" w:ascii="Times New Roman" w:hAnsi="Times New Roman" w:cs="Times New Roman"/>
          <w:color w:val="000000" w:themeColor="text1"/>
          <w:szCs w:val="21"/>
          <w:highlight w:val="none"/>
          <w:lang w:val="en-US" w:eastAsia="zh-CN"/>
          <w14:textFill>
            <w14:solidFill>
              <w14:schemeClr w14:val="tx1"/>
            </w14:solidFill>
          </w14:textFill>
        </w:rPr>
        <w:t>档案管理</w:t>
      </w:r>
    </w:p>
    <w:p w14:paraId="6D696B18">
      <w:pPr>
        <w:pStyle w:val="254"/>
        <w:keepNext w:val="0"/>
        <w:keepLines w:val="0"/>
        <w:pageBreakBefore w:val="0"/>
        <w:kinsoku/>
        <w:wordWrap/>
        <w:overflowPunct/>
        <w:topLinePunct w:val="0"/>
        <w:bidi w:val="0"/>
        <w:adjustRightInd w:val="0"/>
        <w:snapToGrid w:val="0"/>
        <w:spacing w:before="0" w:after="0" w:line="240" w:lineRule="auto"/>
        <w:ind w:left="0"/>
        <w:textAlignment w:val="auto"/>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8</w:t>
      </w: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.1</w:t>
      </w: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培训</w:t>
      </w: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学员档案应包括但不限于个人信息、培训报名表、培训考勤记录</w:t>
      </w: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（见附录A和附录B）</w:t>
      </w: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、考核试卷及成绩、年度履职评价材料。</w:t>
      </w:r>
    </w:p>
    <w:p w14:paraId="38E0F9F9">
      <w:pPr>
        <w:pStyle w:val="254"/>
        <w:keepNext w:val="0"/>
        <w:keepLines w:val="0"/>
        <w:pageBreakBefore w:val="0"/>
        <w:kinsoku/>
        <w:wordWrap/>
        <w:overflowPunct/>
        <w:topLinePunct w:val="0"/>
        <w:bidi w:val="0"/>
        <w:adjustRightInd w:val="0"/>
        <w:snapToGrid w:val="0"/>
        <w:spacing w:before="0" w:after="0" w:line="240" w:lineRule="auto"/>
        <w:ind w:left="0"/>
        <w:textAlignment w:val="auto"/>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8</w:t>
      </w: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.2培训管理档案内容应包括但不限于培训计划、课程大纲、师资资质证明、培训课件及教材、实操考核记录（含视频或照片）、演练方案及复盘报告、客户反馈意见。</w:t>
      </w:r>
    </w:p>
    <w:p w14:paraId="053A9C8C">
      <w:pPr>
        <w:pStyle w:val="254"/>
        <w:keepNext w:val="0"/>
        <w:keepLines w:val="0"/>
        <w:pageBreakBefore w:val="0"/>
        <w:kinsoku/>
        <w:wordWrap/>
        <w:overflowPunct/>
        <w:topLinePunct w:val="0"/>
        <w:bidi w:val="0"/>
        <w:adjustRightInd w:val="0"/>
        <w:snapToGrid w:val="0"/>
        <w:spacing w:before="0" w:after="0" w:line="240" w:lineRule="auto"/>
        <w:ind w:left="0"/>
        <w:textAlignment w:val="auto"/>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8</w:t>
      </w: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.3 纸质档案需分类整理、编号归档，存储于干燥、安全的场所，保存期限不少于 3 年。</w:t>
      </w:r>
    </w:p>
    <w:p w14:paraId="6DD2B5FE">
      <w:pPr>
        <w:pStyle w:val="254"/>
        <w:keepNext w:val="0"/>
        <w:keepLines w:val="0"/>
        <w:pageBreakBefore w:val="0"/>
        <w:kinsoku/>
        <w:wordWrap/>
        <w:overflowPunct/>
        <w:topLinePunct w:val="0"/>
        <w:bidi w:val="0"/>
        <w:adjustRightInd w:val="0"/>
        <w:snapToGrid w:val="0"/>
        <w:spacing w:before="0" w:after="0" w:line="240" w:lineRule="auto"/>
        <w:ind w:left="0"/>
        <w:textAlignment w:val="auto"/>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sz w:val="21"/>
          <w:szCs w:val="20"/>
          <w:lang w:val="en-US" w:eastAsia="zh-CN" w:bidi="ar-SA"/>
          <w14:textFill>
            <w14:solidFill>
              <w14:schemeClr w14:val="tx1"/>
            </w14:solidFill>
          </w14:textFill>
        </w:rPr>
        <w:t>8</w:t>
      </w:r>
      <w:r>
        <w:rPr>
          <w:rFonts w:hint="default" w:ascii="Times New Roman" w:hAnsi="Times New Roman" w:eastAsia="宋体" w:cs="Times New Roman"/>
          <w:b w:val="0"/>
          <w:bCs w:val="0"/>
          <w:color w:val="000000" w:themeColor="text1"/>
          <w:sz w:val="21"/>
          <w:szCs w:val="20"/>
          <w:lang w:val="en-US" w:eastAsia="zh-CN" w:bidi="ar-SA"/>
          <w14:textFill>
            <w14:solidFill>
              <w14:schemeClr w14:val="tx1"/>
            </w14:solidFill>
          </w14:textFill>
        </w:rPr>
        <w:t>.4电子档案，确保数据安全、可追溯，电子档案需与纸质档案一致，保存期限同纸质档案。</w:t>
      </w:r>
    </w:p>
    <w:p w14:paraId="5C948652">
      <w:pPr>
        <w:pStyle w:val="57"/>
        <w:keepNext w:val="0"/>
        <w:keepLines w:val="0"/>
        <w:pageBreakBefore w:val="0"/>
        <w:kinsoku/>
        <w:wordWrap/>
        <w:overflowPunct/>
        <w:topLinePunct w:val="0"/>
        <w:bidi w:val="0"/>
        <w:adjustRightInd w:val="0"/>
        <w:snapToGrid w:val="0"/>
        <w:spacing w:line="240" w:lineRule="auto"/>
        <w:ind w:left="0" w:firstLine="0" w:firstLineChars="0"/>
        <w:jc w:val="center"/>
        <w:textAlignment w:val="auto"/>
        <w:rPr>
          <w:rFonts w:hint="default" w:ascii="Times New Roman" w:hAnsi="Times New Roman" w:cs="Times New Roman"/>
        </w:rPr>
      </w:pPr>
    </w:p>
    <w:p w14:paraId="5C41E948">
      <w:pPr>
        <w:pStyle w:val="57"/>
        <w:ind w:firstLine="0" w:firstLineChars="0"/>
        <w:jc w:val="center"/>
        <w:rPr>
          <w:rFonts w:hint="default" w:ascii="Times New Roman" w:hAnsi="Times New Roman" w:cs="Times New Roman"/>
        </w:rPr>
      </w:pPr>
    </w:p>
    <w:p w14:paraId="118C2FAE">
      <w:pPr>
        <w:pStyle w:val="57"/>
        <w:ind w:firstLine="0" w:firstLineChars="0"/>
        <w:jc w:val="center"/>
        <w:rPr>
          <w:rFonts w:hint="default" w:ascii="Times New Roman" w:hAnsi="Times New Roman" w:cs="Times New Roman"/>
        </w:rPr>
      </w:pPr>
    </w:p>
    <w:p w14:paraId="6C227927">
      <w:pPr>
        <w:pStyle w:val="57"/>
        <w:ind w:firstLine="0" w:firstLineChars="0"/>
        <w:jc w:val="center"/>
        <w:rPr>
          <w:rFonts w:hint="default" w:ascii="Times New Roman" w:hAnsi="Times New Roman" w:cs="Times New Roman"/>
        </w:rPr>
      </w:pPr>
    </w:p>
    <w:p w14:paraId="6B3838E1">
      <w:pPr>
        <w:pStyle w:val="57"/>
        <w:ind w:firstLine="0" w:firstLineChars="0"/>
        <w:jc w:val="center"/>
        <w:rPr>
          <w:rFonts w:hint="default" w:ascii="Times New Roman" w:hAnsi="Times New Roman" w:cs="Times New Roman"/>
        </w:rPr>
      </w:pPr>
    </w:p>
    <w:p w14:paraId="4C202CF3">
      <w:pPr>
        <w:pStyle w:val="57"/>
        <w:ind w:firstLine="0" w:firstLineChars="0"/>
        <w:jc w:val="center"/>
        <w:rPr>
          <w:rFonts w:hint="default" w:ascii="Times New Roman" w:hAnsi="Times New Roman" w:cs="Times New Roman"/>
        </w:rPr>
      </w:pPr>
    </w:p>
    <w:p w14:paraId="6D44062B">
      <w:pPr>
        <w:pStyle w:val="57"/>
        <w:ind w:firstLine="0" w:firstLineChars="0"/>
        <w:jc w:val="center"/>
        <w:rPr>
          <w:rFonts w:hint="default" w:ascii="Times New Roman" w:hAnsi="Times New Roman" w:cs="Times New Roman"/>
        </w:rPr>
      </w:pPr>
    </w:p>
    <w:p w14:paraId="37F56AA1">
      <w:pPr>
        <w:pStyle w:val="57"/>
        <w:ind w:firstLine="0" w:firstLineChars="0"/>
        <w:jc w:val="center"/>
        <w:rPr>
          <w:rFonts w:hint="default" w:ascii="Times New Roman" w:hAnsi="Times New Roman" w:cs="Times New Roman"/>
        </w:rPr>
      </w:pPr>
    </w:p>
    <w:p w14:paraId="7F766412">
      <w:pPr>
        <w:pStyle w:val="57"/>
        <w:ind w:firstLine="0" w:firstLineChars="0"/>
        <w:jc w:val="center"/>
        <w:rPr>
          <w:rFonts w:hint="default" w:ascii="Times New Roman" w:hAnsi="Times New Roman" w:cs="Times New Roman"/>
        </w:rPr>
      </w:pPr>
    </w:p>
    <w:p w14:paraId="7F2DB46D">
      <w:pPr>
        <w:pStyle w:val="57"/>
        <w:ind w:firstLine="0" w:firstLineChars="0"/>
        <w:jc w:val="center"/>
        <w:rPr>
          <w:rFonts w:hint="default" w:ascii="Times New Roman" w:hAnsi="Times New Roman" w:cs="Times New Roman"/>
        </w:rPr>
      </w:pPr>
    </w:p>
    <w:p w14:paraId="2D3BED12">
      <w:pPr>
        <w:pStyle w:val="57"/>
        <w:ind w:firstLine="0" w:firstLineChars="0"/>
        <w:jc w:val="center"/>
        <w:rPr>
          <w:rFonts w:hint="default" w:ascii="Times New Roman" w:hAnsi="Times New Roman" w:cs="Times New Roman"/>
        </w:rPr>
      </w:pPr>
    </w:p>
    <w:p w14:paraId="05F678F2">
      <w:pPr>
        <w:pStyle w:val="57"/>
        <w:ind w:firstLine="0" w:firstLineChars="0"/>
        <w:jc w:val="center"/>
        <w:rPr>
          <w:rFonts w:hint="default" w:ascii="Times New Roman" w:hAnsi="Times New Roman" w:cs="Times New Roman"/>
        </w:rPr>
      </w:pPr>
    </w:p>
    <w:p w14:paraId="79D8D870">
      <w:pPr>
        <w:pStyle w:val="57"/>
        <w:ind w:firstLine="0" w:firstLineChars="0"/>
        <w:jc w:val="center"/>
        <w:rPr>
          <w:rFonts w:hint="default" w:ascii="Times New Roman" w:hAnsi="Times New Roman" w:cs="Times New Roman"/>
        </w:rPr>
      </w:pPr>
    </w:p>
    <w:p w14:paraId="6FE6067D">
      <w:pPr>
        <w:pStyle w:val="57"/>
        <w:ind w:firstLine="0" w:firstLineChars="0"/>
        <w:jc w:val="center"/>
        <w:rPr>
          <w:rFonts w:hint="default" w:ascii="Times New Roman" w:hAnsi="Times New Roman" w:cs="Times New Roman"/>
        </w:rPr>
      </w:pPr>
    </w:p>
    <w:p w14:paraId="0AD08901">
      <w:pPr>
        <w:pStyle w:val="57"/>
        <w:ind w:firstLine="0" w:firstLineChars="0"/>
        <w:jc w:val="center"/>
        <w:rPr>
          <w:rFonts w:hint="default" w:ascii="Times New Roman" w:hAnsi="Times New Roman" w:cs="Times New Roman"/>
        </w:rPr>
      </w:pPr>
    </w:p>
    <w:p w14:paraId="72D8E4AD">
      <w:pPr>
        <w:pStyle w:val="57"/>
        <w:ind w:firstLine="0" w:firstLineChars="0"/>
        <w:jc w:val="center"/>
        <w:rPr>
          <w:rFonts w:hint="default" w:ascii="Times New Roman" w:hAnsi="Times New Roman" w:cs="Times New Roman"/>
        </w:rPr>
      </w:pPr>
    </w:p>
    <w:p w14:paraId="51D8386E">
      <w:pPr>
        <w:pStyle w:val="57"/>
        <w:ind w:firstLine="0" w:firstLineChars="0"/>
        <w:jc w:val="center"/>
        <w:rPr>
          <w:rFonts w:hint="default" w:ascii="Times New Roman" w:hAnsi="Times New Roman" w:cs="Times New Roman"/>
        </w:rPr>
      </w:pPr>
    </w:p>
    <w:p w14:paraId="3A176F63">
      <w:pPr>
        <w:pStyle w:val="57"/>
        <w:ind w:firstLine="0" w:firstLineChars="0"/>
        <w:jc w:val="center"/>
        <w:rPr>
          <w:rFonts w:hint="default" w:ascii="Times New Roman" w:hAnsi="Times New Roman" w:cs="Times New Roman"/>
        </w:rPr>
      </w:pPr>
    </w:p>
    <w:p w14:paraId="0BBAEEE5">
      <w:pPr>
        <w:pStyle w:val="57"/>
        <w:ind w:firstLine="0" w:firstLineChars="0"/>
        <w:jc w:val="center"/>
        <w:rPr>
          <w:rFonts w:hint="default" w:ascii="Times New Roman" w:hAnsi="Times New Roman" w:cs="Times New Roman"/>
        </w:rPr>
      </w:pPr>
    </w:p>
    <w:p w14:paraId="37D5DFF9">
      <w:pPr>
        <w:pStyle w:val="57"/>
        <w:ind w:firstLine="0" w:firstLineChars="0"/>
        <w:jc w:val="center"/>
        <w:rPr>
          <w:rFonts w:hint="default" w:ascii="Times New Roman" w:hAnsi="Times New Roman" w:cs="Times New Roman"/>
        </w:rPr>
      </w:pPr>
    </w:p>
    <w:p w14:paraId="1C604C8D">
      <w:pPr>
        <w:pStyle w:val="57"/>
        <w:ind w:firstLine="0" w:firstLineChars="0"/>
        <w:jc w:val="center"/>
        <w:rPr>
          <w:rFonts w:hint="default" w:ascii="Times New Roman" w:hAnsi="Times New Roman" w:cs="Times New Roman"/>
        </w:rPr>
      </w:pPr>
    </w:p>
    <w:p w14:paraId="7A9DEBA1">
      <w:pPr>
        <w:pStyle w:val="57"/>
        <w:ind w:firstLine="0" w:firstLineChars="0"/>
        <w:jc w:val="center"/>
        <w:rPr>
          <w:rFonts w:hint="default" w:ascii="Times New Roman" w:hAnsi="Times New Roman" w:cs="Times New Roman"/>
        </w:rPr>
      </w:pPr>
    </w:p>
    <w:p w14:paraId="32B960BB">
      <w:pPr>
        <w:pStyle w:val="57"/>
        <w:ind w:firstLine="0" w:firstLineChars="0"/>
        <w:jc w:val="center"/>
        <w:rPr>
          <w:rFonts w:hint="default" w:ascii="Times New Roman" w:hAnsi="Times New Roman" w:cs="Times New Roman"/>
        </w:rPr>
      </w:pPr>
    </w:p>
    <w:p w14:paraId="6C0933A1">
      <w:pPr>
        <w:pStyle w:val="57"/>
        <w:ind w:firstLine="0" w:firstLineChars="0"/>
        <w:jc w:val="center"/>
        <w:rPr>
          <w:rFonts w:hint="default" w:ascii="Times New Roman" w:hAnsi="Times New Roman" w:cs="Times New Roman"/>
        </w:rPr>
      </w:pPr>
    </w:p>
    <w:p w14:paraId="53528849">
      <w:pPr>
        <w:pStyle w:val="57"/>
        <w:ind w:firstLine="0" w:firstLineChars="0"/>
        <w:jc w:val="center"/>
        <w:rPr>
          <w:rFonts w:hint="default" w:ascii="Times New Roman" w:hAnsi="Times New Roman" w:cs="Times New Roman"/>
        </w:rPr>
      </w:pPr>
    </w:p>
    <w:p w14:paraId="28C606F6">
      <w:pPr>
        <w:pStyle w:val="57"/>
        <w:ind w:firstLine="0" w:firstLineChars="0"/>
        <w:jc w:val="center"/>
        <w:rPr>
          <w:rFonts w:hint="default" w:ascii="Times New Roman" w:hAnsi="Times New Roman" w:cs="Times New Roman"/>
        </w:rPr>
      </w:pPr>
    </w:p>
    <w:p w14:paraId="51539D41">
      <w:pPr>
        <w:pStyle w:val="57"/>
        <w:ind w:firstLine="0" w:firstLineChars="0"/>
        <w:jc w:val="center"/>
      </w:pPr>
    </w:p>
    <w:p w14:paraId="4A3ABE50">
      <w:pPr>
        <w:pStyle w:val="57"/>
        <w:ind w:firstLine="0" w:firstLineChars="0"/>
        <w:jc w:val="center"/>
      </w:pPr>
    </w:p>
    <w:p w14:paraId="480523C3">
      <w:pPr>
        <w:pStyle w:val="57"/>
        <w:ind w:firstLine="0" w:firstLineChars="0"/>
        <w:jc w:val="center"/>
      </w:pPr>
    </w:p>
    <w:p w14:paraId="4EF9E2F3">
      <w:pPr>
        <w:pStyle w:val="57"/>
        <w:ind w:firstLine="0" w:firstLineChars="0"/>
        <w:jc w:val="center"/>
      </w:pPr>
    </w:p>
    <w:p w14:paraId="2C7F79FB">
      <w:pPr>
        <w:pStyle w:val="57"/>
        <w:ind w:firstLine="0" w:firstLineChars="0"/>
        <w:jc w:val="center"/>
      </w:pPr>
    </w:p>
    <w:p w14:paraId="7CE3BF65">
      <w:pPr>
        <w:pStyle w:val="57"/>
        <w:ind w:firstLine="0" w:firstLineChars="0"/>
        <w:jc w:val="center"/>
      </w:pPr>
    </w:p>
    <w:p w14:paraId="444E4C2D">
      <w:pPr>
        <w:pStyle w:val="57"/>
        <w:ind w:firstLine="0" w:firstLineChars="0"/>
        <w:jc w:val="center"/>
      </w:pPr>
    </w:p>
    <w:p w14:paraId="6EED4804">
      <w:pPr>
        <w:pStyle w:val="57"/>
        <w:ind w:firstLine="0" w:firstLineChars="0"/>
        <w:jc w:val="center"/>
      </w:pPr>
    </w:p>
    <w:p w14:paraId="2FBEA87A">
      <w:pPr>
        <w:pStyle w:val="57"/>
        <w:ind w:firstLine="0" w:firstLineChars="0"/>
        <w:jc w:val="center"/>
      </w:pPr>
    </w:p>
    <w:p w14:paraId="4AEFD8AD">
      <w:pPr>
        <w:pStyle w:val="57"/>
        <w:ind w:firstLine="0" w:firstLineChars="0"/>
        <w:jc w:val="center"/>
      </w:pPr>
    </w:p>
    <w:p w14:paraId="6B25CFC3">
      <w:pPr>
        <w:pStyle w:val="57"/>
        <w:ind w:firstLine="0" w:firstLineChars="0"/>
        <w:jc w:val="center"/>
      </w:pPr>
    </w:p>
    <w:p w14:paraId="4AEB65B0">
      <w:pPr>
        <w:pStyle w:val="57"/>
        <w:ind w:firstLine="0" w:firstLineChars="0"/>
        <w:jc w:val="center"/>
      </w:pPr>
    </w:p>
    <w:p w14:paraId="7F5EBFDC">
      <w:pPr>
        <w:pStyle w:val="57"/>
        <w:ind w:firstLine="0" w:firstLineChars="0"/>
        <w:jc w:val="center"/>
      </w:pPr>
    </w:p>
    <w:p w14:paraId="25A57502">
      <w:pPr>
        <w:pStyle w:val="77"/>
        <w:spacing w:before="78" w:after="156"/>
      </w:pPr>
      <w:r>
        <w:rPr>
          <w:rFonts w:hint="eastAsia"/>
          <w:sz w:val="21"/>
          <w:szCs w:val="24"/>
        </w:rPr>
        <w:br w:type="textWrapping"/>
      </w:r>
      <w:r>
        <w:rPr>
          <w:rFonts w:hint="eastAsia"/>
          <w:sz w:val="21"/>
          <w:szCs w:val="24"/>
        </w:rPr>
        <w:t>（资料性）</w:t>
      </w:r>
      <w:r>
        <w:rPr>
          <w:rFonts w:hint="eastAsia"/>
          <w:sz w:val="21"/>
          <w:szCs w:val="24"/>
        </w:rPr>
        <w:br w:type="textWrapping"/>
      </w:r>
      <w:r>
        <w:rPr>
          <w:rFonts w:hint="eastAsia"/>
          <w:sz w:val="21"/>
          <w:szCs w:val="24"/>
          <w:lang w:eastAsia="zh-CN"/>
        </w:rPr>
        <w:t>培训记录本（</w:t>
      </w:r>
      <w:r>
        <w:rPr>
          <w:rFonts w:hint="eastAsia"/>
          <w:sz w:val="21"/>
          <w:szCs w:val="24"/>
          <w:lang w:val="en-US" w:eastAsia="zh-CN"/>
        </w:rPr>
        <w:t>在岗</w:t>
      </w:r>
      <w:r>
        <w:rPr>
          <w:rFonts w:hint="eastAsia"/>
          <w:sz w:val="21"/>
          <w:szCs w:val="24"/>
          <w:lang w:eastAsia="zh-CN"/>
        </w:rPr>
        <w:t>）</w:t>
      </w:r>
    </w:p>
    <w:p w14:paraId="1B236745">
      <w:pPr>
        <w:pStyle w:val="57"/>
        <w:ind w:firstLine="0" w:firstLineChars="0"/>
        <w:jc w:val="both"/>
      </w:pPr>
      <w:r>
        <w:rPr>
          <w:bdr w:val="single" w:sz="4" w:space="0"/>
        </w:rPr>
        <w:drawing>
          <wp:inline distT="0" distB="0" distL="114300" distR="114300">
            <wp:extent cx="5934710" cy="6283325"/>
            <wp:effectExtent l="0" t="0" r="8890" b="1079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3"/>
                    <a:stretch>
                      <a:fillRect/>
                    </a:stretch>
                  </pic:blipFill>
                  <pic:spPr>
                    <a:xfrm>
                      <a:off x="0" y="0"/>
                      <a:ext cx="5934710" cy="6283325"/>
                    </a:xfrm>
                    <a:prstGeom prst="rect">
                      <a:avLst/>
                    </a:prstGeom>
                    <a:noFill/>
                    <a:ln>
                      <a:noFill/>
                    </a:ln>
                  </pic:spPr>
                </pic:pic>
              </a:graphicData>
            </a:graphic>
          </wp:inline>
        </w:drawing>
      </w:r>
    </w:p>
    <w:p w14:paraId="69EFC698">
      <w:pPr>
        <w:keepNext w:val="0"/>
        <w:keepLines w:val="0"/>
        <w:pageBreakBefore w:val="0"/>
        <w:widowControl w:val="0"/>
        <w:kinsoku/>
        <w:wordWrap/>
        <w:overflowPunct/>
        <w:topLinePunct w:val="0"/>
        <w:autoSpaceDE/>
        <w:autoSpaceDN/>
        <w:bidi w:val="0"/>
        <w:adjustRightInd w:val="0"/>
        <w:snapToGrid/>
        <w:spacing w:line="300" w:lineRule="exact"/>
        <w:jc w:val="both"/>
        <w:textAlignment w:val="auto"/>
        <w:rPr>
          <w:rFonts w:hint="eastAsia" w:ascii="黑体" w:hAnsi="黑体" w:eastAsia="黑体" w:cs="黑体"/>
          <w:b w:val="0"/>
          <w:bCs w:val="0"/>
          <w:sz w:val="20"/>
          <w:szCs w:val="20"/>
          <w:lang w:val="en-US" w:eastAsia="zh-CN"/>
        </w:rPr>
      </w:pPr>
      <w:r>
        <w:rPr>
          <w:rFonts w:hint="eastAsia" w:ascii="黑体" w:hAnsi="黑体" w:eastAsia="黑体" w:cs="黑体"/>
          <w:b w:val="0"/>
          <w:bCs w:val="0"/>
          <w:sz w:val="20"/>
          <w:szCs w:val="20"/>
          <w:lang w:val="en-US" w:eastAsia="zh-CN"/>
        </w:rPr>
        <w:t>备注：</w:t>
      </w:r>
    </w:p>
    <w:p w14:paraId="2FB0F054">
      <w:pPr>
        <w:keepNext w:val="0"/>
        <w:keepLines w:val="0"/>
        <w:pageBreakBefore w:val="0"/>
        <w:widowControl w:val="0"/>
        <w:kinsoku/>
        <w:wordWrap/>
        <w:overflowPunct/>
        <w:topLinePunct w:val="0"/>
        <w:autoSpaceDE/>
        <w:autoSpaceDN/>
        <w:bidi w:val="0"/>
        <w:adjustRightInd w:val="0"/>
        <w:snapToGrid/>
        <w:spacing w:line="300" w:lineRule="exact"/>
        <w:jc w:val="both"/>
        <w:textAlignment w:val="auto"/>
        <w:rPr>
          <w:rFonts w:hint="eastAsia" w:ascii="黑体" w:hAnsi="黑体" w:eastAsia="黑体" w:cs="黑体"/>
          <w:b w:val="0"/>
          <w:bCs w:val="0"/>
          <w:sz w:val="20"/>
          <w:szCs w:val="20"/>
        </w:rPr>
      </w:pPr>
      <w:r>
        <w:rPr>
          <w:rFonts w:hint="eastAsia" w:ascii="黑体" w:hAnsi="黑体" w:eastAsia="黑体" w:cs="黑体"/>
          <w:b w:val="0"/>
          <w:bCs w:val="0"/>
          <w:sz w:val="20"/>
          <w:szCs w:val="20"/>
          <w:lang w:val="en-US" w:eastAsia="zh-CN"/>
        </w:rPr>
        <w:t>1、培训的目的在于增强员工个人素质，提高公司整体服务质量和竞争力</w:t>
      </w:r>
      <w:r>
        <w:rPr>
          <w:rFonts w:hint="eastAsia" w:ascii="黑体" w:hAnsi="黑体" w:eastAsia="黑体" w:cs="黑体"/>
          <w:b w:val="0"/>
          <w:bCs w:val="0"/>
          <w:sz w:val="20"/>
          <w:szCs w:val="20"/>
          <w:lang w:eastAsia="zh-CN"/>
        </w:rPr>
        <w:t>；</w:t>
      </w:r>
    </w:p>
    <w:p w14:paraId="19011ADB">
      <w:pPr>
        <w:keepNext w:val="0"/>
        <w:keepLines w:val="0"/>
        <w:pageBreakBefore w:val="0"/>
        <w:widowControl w:val="0"/>
        <w:numPr>
          <w:ilvl w:val="0"/>
          <w:numId w:val="0"/>
        </w:numPr>
        <w:kinsoku/>
        <w:wordWrap/>
        <w:overflowPunct/>
        <w:topLinePunct w:val="0"/>
        <w:autoSpaceDE/>
        <w:autoSpaceDN/>
        <w:bidi w:val="0"/>
        <w:adjustRightInd w:val="0"/>
        <w:snapToGrid/>
        <w:spacing w:line="300" w:lineRule="exact"/>
        <w:jc w:val="both"/>
        <w:textAlignment w:val="auto"/>
        <w:rPr>
          <w:rFonts w:hint="eastAsia" w:ascii="黑体" w:hAnsi="黑体" w:eastAsia="黑体" w:cs="黑体"/>
          <w:b w:val="0"/>
          <w:bCs w:val="0"/>
          <w:sz w:val="20"/>
          <w:szCs w:val="20"/>
          <w:lang w:eastAsia="zh-CN"/>
        </w:rPr>
      </w:pPr>
      <w:r>
        <w:rPr>
          <w:rFonts w:hint="eastAsia" w:ascii="黑体" w:hAnsi="黑体" w:eastAsia="黑体" w:cs="黑体"/>
          <w:b w:val="0"/>
          <w:bCs w:val="0"/>
          <w:sz w:val="20"/>
          <w:szCs w:val="20"/>
          <w:lang w:val="en-US" w:eastAsia="zh-CN"/>
        </w:rPr>
        <w:t>2、入职培训在员工入职后完成，岗前培训在员工上岗前完成，岗位培训在员工上岗后每周进行一次</w:t>
      </w:r>
      <w:r>
        <w:rPr>
          <w:rFonts w:hint="eastAsia" w:ascii="黑体" w:hAnsi="黑体" w:eastAsia="黑体" w:cs="黑体"/>
          <w:b w:val="0"/>
          <w:bCs w:val="0"/>
          <w:sz w:val="20"/>
          <w:szCs w:val="20"/>
          <w:lang w:eastAsia="zh-CN"/>
        </w:rPr>
        <w:t>；</w:t>
      </w:r>
    </w:p>
    <w:p w14:paraId="7FE10052">
      <w:pPr>
        <w:keepNext w:val="0"/>
        <w:keepLines w:val="0"/>
        <w:pageBreakBefore w:val="0"/>
        <w:widowControl w:val="0"/>
        <w:numPr>
          <w:ilvl w:val="0"/>
          <w:numId w:val="0"/>
        </w:numPr>
        <w:kinsoku/>
        <w:wordWrap/>
        <w:overflowPunct/>
        <w:topLinePunct w:val="0"/>
        <w:autoSpaceDE/>
        <w:autoSpaceDN/>
        <w:bidi w:val="0"/>
        <w:adjustRightInd w:val="0"/>
        <w:snapToGrid/>
        <w:spacing w:line="300" w:lineRule="exact"/>
        <w:jc w:val="both"/>
        <w:textAlignment w:val="auto"/>
        <w:rPr>
          <w:rFonts w:hint="eastAsia" w:ascii="黑体" w:hAnsi="黑体" w:eastAsia="黑体" w:cs="黑体"/>
          <w:b w:val="0"/>
          <w:bCs w:val="0"/>
          <w:sz w:val="20"/>
          <w:szCs w:val="20"/>
          <w:lang w:val="en-US" w:eastAsia="zh-CN"/>
        </w:rPr>
      </w:pPr>
      <w:r>
        <w:rPr>
          <w:rFonts w:hint="eastAsia" w:ascii="黑体" w:hAnsi="黑体" w:eastAsia="黑体" w:cs="黑体"/>
          <w:b w:val="0"/>
          <w:bCs w:val="0"/>
          <w:color w:val="000000"/>
          <w:kern w:val="0"/>
          <w:sz w:val="20"/>
          <w:szCs w:val="20"/>
          <w:lang w:val="en-US" w:eastAsia="zh-CN"/>
        </w:rPr>
        <w:t>3、</w:t>
      </w:r>
      <w:r>
        <w:rPr>
          <w:rFonts w:hint="eastAsia" w:ascii="黑体" w:hAnsi="黑体" w:eastAsia="黑体" w:cs="黑体"/>
          <w:b w:val="0"/>
          <w:bCs w:val="0"/>
          <w:color w:val="000000"/>
          <w:kern w:val="0"/>
          <w:sz w:val="20"/>
          <w:szCs w:val="20"/>
          <w:lang w:eastAsia="zh-CN"/>
        </w:rPr>
        <w:t>培训现场照片用水印相机拍摄打印后附于背面，电子档发于公司统一保存，随时接受上级有关部门检查</w:t>
      </w:r>
      <w:r>
        <w:rPr>
          <w:rFonts w:hint="eastAsia" w:ascii="黑体" w:hAnsi="黑体" w:eastAsia="黑体" w:cs="黑体"/>
          <w:b w:val="0"/>
          <w:bCs w:val="0"/>
          <w:sz w:val="20"/>
          <w:szCs w:val="20"/>
          <w:lang w:val="en-US" w:eastAsia="zh-CN"/>
        </w:rPr>
        <w:t>；</w:t>
      </w:r>
    </w:p>
    <w:p w14:paraId="57951B53">
      <w:pPr>
        <w:keepNext w:val="0"/>
        <w:keepLines w:val="0"/>
        <w:pageBreakBefore w:val="0"/>
        <w:widowControl w:val="0"/>
        <w:numPr>
          <w:ilvl w:val="0"/>
          <w:numId w:val="0"/>
        </w:numPr>
        <w:kinsoku/>
        <w:wordWrap/>
        <w:overflowPunct/>
        <w:topLinePunct w:val="0"/>
        <w:autoSpaceDE/>
        <w:autoSpaceDN/>
        <w:bidi w:val="0"/>
        <w:adjustRightInd w:val="0"/>
        <w:snapToGrid/>
        <w:spacing w:line="300" w:lineRule="exact"/>
        <w:jc w:val="both"/>
        <w:textAlignment w:val="auto"/>
        <w:rPr>
          <w:rFonts w:hint="eastAsia" w:ascii="黑体" w:hAnsi="黑体" w:eastAsia="黑体" w:cs="黑体"/>
          <w:b w:val="0"/>
          <w:bCs w:val="0"/>
          <w:sz w:val="20"/>
          <w:szCs w:val="20"/>
          <w:lang w:val="en-US" w:eastAsia="zh-CN"/>
        </w:rPr>
      </w:pPr>
      <w:r>
        <w:rPr>
          <w:rFonts w:hint="eastAsia" w:ascii="黑体" w:hAnsi="黑体" w:eastAsia="黑体" w:cs="黑体"/>
          <w:b w:val="0"/>
          <w:bCs w:val="0"/>
          <w:sz w:val="20"/>
          <w:szCs w:val="20"/>
          <w:lang w:val="en-US" w:eastAsia="zh-CN"/>
        </w:rPr>
        <w:t>4、培训组织者应客观、公平、公正的对培训效果进行评估，为后期培训质量的提升提供参考依据。</w:t>
      </w:r>
    </w:p>
    <w:p w14:paraId="1A9D56CD">
      <w:pPr>
        <w:keepNext w:val="0"/>
        <w:keepLines w:val="0"/>
        <w:pageBreakBefore w:val="0"/>
        <w:widowControl w:val="0"/>
        <w:numPr>
          <w:ilvl w:val="0"/>
          <w:numId w:val="0"/>
        </w:numPr>
        <w:kinsoku/>
        <w:wordWrap/>
        <w:overflowPunct/>
        <w:topLinePunct w:val="0"/>
        <w:autoSpaceDE/>
        <w:autoSpaceDN/>
        <w:bidi w:val="0"/>
        <w:adjustRightInd w:val="0"/>
        <w:snapToGrid/>
        <w:spacing w:line="300" w:lineRule="exact"/>
        <w:jc w:val="both"/>
        <w:textAlignment w:val="auto"/>
        <w:rPr>
          <w:rFonts w:hint="eastAsia" w:ascii="黑体" w:hAnsi="黑体" w:eastAsia="黑体" w:cs="黑体"/>
          <w:b w:val="0"/>
          <w:bCs w:val="0"/>
          <w:sz w:val="20"/>
          <w:szCs w:val="20"/>
          <w:lang w:val="en-US" w:eastAsia="zh-CN"/>
        </w:rPr>
      </w:pPr>
    </w:p>
    <w:p w14:paraId="40B97890">
      <w:pPr>
        <w:keepNext w:val="0"/>
        <w:keepLines w:val="0"/>
        <w:pageBreakBefore w:val="0"/>
        <w:widowControl w:val="0"/>
        <w:numPr>
          <w:ilvl w:val="0"/>
          <w:numId w:val="0"/>
        </w:numPr>
        <w:kinsoku/>
        <w:wordWrap/>
        <w:overflowPunct/>
        <w:topLinePunct w:val="0"/>
        <w:autoSpaceDE/>
        <w:autoSpaceDN/>
        <w:bidi w:val="0"/>
        <w:adjustRightInd w:val="0"/>
        <w:snapToGrid/>
        <w:spacing w:line="300" w:lineRule="exact"/>
        <w:jc w:val="both"/>
        <w:textAlignment w:val="auto"/>
        <w:rPr>
          <w:rFonts w:hint="eastAsia" w:ascii="黑体" w:hAnsi="黑体" w:eastAsia="黑体" w:cs="黑体"/>
          <w:b w:val="0"/>
          <w:bCs w:val="0"/>
          <w:sz w:val="20"/>
          <w:szCs w:val="20"/>
          <w:lang w:val="en-US" w:eastAsia="zh-CN"/>
        </w:rPr>
      </w:pPr>
    </w:p>
    <w:p w14:paraId="7BDB8AA2">
      <w:pPr>
        <w:keepNext w:val="0"/>
        <w:keepLines w:val="0"/>
        <w:pageBreakBefore w:val="0"/>
        <w:widowControl w:val="0"/>
        <w:numPr>
          <w:ilvl w:val="0"/>
          <w:numId w:val="0"/>
        </w:numPr>
        <w:kinsoku/>
        <w:wordWrap/>
        <w:overflowPunct/>
        <w:topLinePunct w:val="0"/>
        <w:autoSpaceDE/>
        <w:autoSpaceDN/>
        <w:bidi w:val="0"/>
        <w:adjustRightInd w:val="0"/>
        <w:snapToGrid/>
        <w:spacing w:line="300" w:lineRule="exact"/>
        <w:jc w:val="both"/>
        <w:textAlignment w:val="auto"/>
        <w:rPr>
          <w:rFonts w:hint="eastAsia" w:ascii="黑体" w:hAnsi="黑体" w:eastAsia="黑体" w:cs="黑体"/>
          <w:b w:val="0"/>
          <w:bCs w:val="0"/>
          <w:sz w:val="20"/>
          <w:szCs w:val="20"/>
          <w:lang w:val="en-US" w:eastAsia="zh-CN"/>
        </w:rPr>
      </w:pPr>
    </w:p>
    <w:p w14:paraId="35ED1502">
      <w:pPr>
        <w:pStyle w:val="77"/>
        <w:spacing w:before="78" w:after="156"/>
      </w:pPr>
      <w:r>
        <w:rPr>
          <w:rFonts w:hint="eastAsia"/>
          <w:sz w:val="21"/>
          <w:szCs w:val="24"/>
        </w:rPr>
        <w:br w:type="textWrapping"/>
      </w:r>
      <w:r>
        <w:rPr>
          <w:rFonts w:hint="eastAsia"/>
          <w:sz w:val="21"/>
          <w:szCs w:val="24"/>
        </w:rPr>
        <w:t>（资料性）</w:t>
      </w:r>
      <w:r>
        <w:rPr>
          <w:rFonts w:hint="eastAsia"/>
          <w:sz w:val="21"/>
          <w:szCs w:val="24"/>
        </w:rPr>
        <w:br w:type="textWrapping"/>
      </w:r>
      <w:r>
        <w:rPr>
          <w:rFonts w:hint="eastAsia"/>
          <w:sz w:val="21"/>
          <w:szCs w:val="24"/>
          <w:lang w:eastAsia="zh-CN"/>
        </w:rPr>
        <w:t>培训记录本（</w:t>
      </w:r>
      <w:r>
        <w:rPr>
          <w:rFonts w:hint="eastAsia"/>
          <w:sz w:val="21"/>
          <w:szCs w:val="24"/>
          <w:lang w:val="en-US" w:eastAsia="zh-CN"/>
        </w:rPr>
        <w:t>岗前</w:t>
      </w:r>
      <w:r>
        <w:rPr>
          <w:rFonts w:hint="eastAsia"/>
          <w:sz w:val="21"/>
          <w:szCs w:val="24"/>
          <w:lang w:eastAsia="zh-CN"/>
        </w:rPr>
        <w:t>）</w:t>
      </w:r>
    </w:p>
    <w:tbl>
      <w:tblPr>
        <w:tblStyle w:val="27"/>
        <w:tblW w:w="987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89"/>
        <w:gridCol w:w="2452"/>
        <w:gridCol w:w="1225"/>
        <w:gridCol w:w="1468"/>
        <w:gridCol w:w="1497"/>
        <w:gridCol w:w="2246"/>
      </w:tblGrid>
      <w:tr w14:paraId="5740F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4" w:hRule="atLeast"/>
          <w:jc w:val="center"/>
        </w:trPr>
        <w:tc>
          <w:tcPr>
            <w:tcW w:w="989" w:type="dxa"/>
            <w:vMerge w:val="restart"/>
            <w:tcBorders>
              <w:top w:val="single" w:color="000000" w:sz="4" w:space="0"/>
              <w:left w:val="single" w:color="000000" w:sz="4" w:space="0"/>
              <w:right w:val="single" w:color="000000" w:sz="4" w:space="0"/>
            </w:tcBorders>
            <w:shd w:val="clear" w:color="auto" w:fill="auto"/>
            <w:noWrap/>
            <w:vAlign w:val="center"/>
          </w:tcPr>
          <w:p w14:paraId="00E3AD7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即将上岗的岗位名称</w:t>
            </w:r>
          </w:p>
        </w:tc>
        <w:tc>
          <w:tcPr>
            <w:tcW w:w="2452" w:type="dxa"/>
            <w:vMerge w:val="restart"/>
            <w:tcBorders>
              <w:top w:val="single" w:color="000000" w:sz="4" w:space="0"/>
              <w:left w:val="single" w:color="000000" w:sz="4" w:space="0"/>
              <w:right w:val="nil"/>
            </w:tcBorders>
            <w:shd w:val="clear" w:color="auto" w:fill="auto"/>
            <w:noWrap/>
            <w:vAlign w:val="center"/>
          </w:tcPr>
          <w:p w14:paraId="0094CF19">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b/>
                <w:bCs/>
                <w:i w:val="0"/>
                <w:iCs w:val="0"/>
                <w:color w:val="000000"/>
                <w:sz w:val="22"/>
                <w:szCs w:val="22"/>
                <w:u w:val="none"/>
              </w:rPr>
            </w:pPr>
          </w:p>
        </w:tc>
        <w:tc>
          <w:tcPr>
            <w:tcW w:w="1225" w:type="dxa"/>
            <w:vMerge w:val="restart"/>
            <w:tcBorders>
              <w:top w:val="single" w:color="000000" w:sz="4" w:space="0"/>
              <w:left w:val="single" w:color="000000" w:sz="4" w:space="0"/>
              <w:right w:val="nil"/>
            </w:tcBorders>
            <w:shd w:val="clear" w:color="auto" w:fill="auto"/>
            <w:noWrap/>
            <w:vAlign w:val="center"/>
          </w:tcPr>
          <w:p w14:paraId="36A12592">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员工姓名</w:t>
            </w:r>
          </w:p>
        </w:tc>
        <w:tc>
          <w:tcPr>
            <w:tcW w:w="1468" w:type="dxa"/>
            <w:vMerge w:val="restart"/>
            <w:tcBorders>
              <w:top w:val="single" w:color="000000" w:sz="4" w:space="0"/>
              <w:left w:val="single" w:color="000000" w:sz="4" w:space="0"/>
              <w:right w:val="single" w:color="auto" w:sz="4" w:space="0"/>
            </w:tcBorders>
            <w:shd w:val="clear" w:color="auto" w:fill="auto"/>
            <w:noWrap/>
            <w:vAlign w:val="center"/>
          </w:tcPr>
          <w:p w14:paraId="562080E6">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b/>
                <w:bCs/>
                <w:i w:val="0"/>
                <w:iCs w:val="0"/>
                <w:color w:val="000000"/>
                <w:sz w:val="22"/>
                <w:szCs w:val="22"/>
                <w:u w:val="none"/>
              </w:rPr>
            </w:pPr>
          </w:p>
        </w:tc>
        <w:tc>
          <w:tcPr>
            <w:tcW w:w="149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E90262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入职时间</w:t>
            </w:r>
          </w:p>
        </w:tc>
        <w:tc>
          <w:tcPr>
            <w:tcW w:w="224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E361AAF">
            <w:pPr>
              <w:keepNext w:val="0"/>
              <w:keepLines w:val="0"/>
              <w:pageBreakBefore w:val="0"/>
              <w:widowControl/>
              <w:suppressLineNumbers w:val="0"/>
              <w:kinsoku/>
              <w:wordWrap/>
              <w:overflowPunct/>
              <w:topLinePunct w:val="0"/>
              <w:autoSpaceDE/>
              <w:autoSpaceDN/>
              <w:bidi w:val="0"/>
              <w:adjustRightInd/>
              <w:snapToGrid/>
              <w:spacing w:line="280" w:lineRule="exact"/>
              <w:ind w:firstLine="660" w:firstLineChars="300"/>
              <w:jc w:val="both"/>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22"/>
                <w:szCs w:val="22"/>
                <w:u w:val="none"/>
                <w:lang w:val="en-US" w:eastAsia="zh-CN" w:bidi="ar"/>
              </w:rPr>
              <w:t>年   月   日</w:t>
            </w:r>
          </w:p>
        </w:tc>
      </w:tr>
      <w:tr w14:paraId="47B7C6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jc w:val="center"/>
        </w:trPr>
        <w:tc>
          <w:tcPr>
            <w:tcW w:w="989" w:type="dxa"/>
            <w:vMerge w:val="continue"/>
            <w:tcBorders>
              <w:left w:val="single" w:color="000000" w:sz="4" w:space="0"/>
              <w:bottom w:val="single" w:color="000000" w:sz="4" w:space="0"/>
              <w:right w:val="single" w:color="000000" w:sz="4" w:space="0"/>
            </w:tcBorders>
            <w:shd w:val="clear" w:color="auto" w:fill="auto"/>
            <w:noWrap/>
            <w:vAlign w:val="center"/>
          </w:tcPr>
          <w:p w14:paraId="5BF0412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微软雅黑" w:hAnsi="微软雅黑" w:eastAsia="微软雅黑" w:cs="微软雅黑"/>
                <w:b/>
                <w:bCs/>
                <w:i w:val="0"/>
                <w:iCs w:val="0"/>
                <w:color w:val="000000"/>
                <w:sz w:val="22"/>
                <w:szCs w:val="22"/>
                <w:u w:val="none"/>
              </w:rPr>
            </w:pPr>
          </w:p>
        </w:tc>
        <w:tc>
          <w:tcPr>
            <w:tcW w:w="2452" w:type="dxa"/>
            <w:vMerge w:val="continue"/>
            <w:tcBorders>
              <w:left w:val="single" w:color="000000" w:sz="4" w:space="0"/>
              <w:bottom w:val="single" w:color="000000" w:sz="4" w:space="0"/>
              <w:right w:val="nil"/>
            </w:tcBorders>
            <w:shd w:val="clear" w:color="auto" w:fill="auto"/>
            <w:noWrap/>
            <w:vAlign w:val="center"/>
          </w:tcPr>
          <w:p w14:paraId="71CFA21B">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b/>
                <w:bCs/>
                <w:i w:val="0"/>
                <w:iCs w:val="0"/>
                <w:color w:val="000000"/>
                <w:sz w:val="22"/>
                <w:szCs w:val="22"/>
                <w:u w:val="none"/>
              </w:rPr>
            </w:pPr>
          </w:p>
        </w:tc>
        <w:tc>
          <w:tcPr>
            <w:tcW w:w="1225" w:type="dxa"/>
            <w:vMerge w:val="continue"/>
            <w:tcBorders>
              <w:left w:val="single" w:color="000000" w:sz="4" w:space="0"/>
              <w:bottom w:val="single" w:color="000000" w:sz="4" w:space="0"/>
              <w:right w:val="nil"/>
            </w:tcBorders>
            <w:shd w:val="clear" w:color="auto" w:fill="auto"/>
            <w:noWrap/>
            <w:vAlign w:val="center"/>
          </w:tcPr>
          <w:p w14:paraId="7F103F5E">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b/>
                <w:bCs/>
                <w:i w:val="0"/>
                <w:iCs w:val="0"/>
                <w:color w:val="000000"/>
                <w:sz w:val="22"/>
                <w:szCs w:val="22"/>
                <w:u w:val="none"/>
              </w:rPr>
            </w:pPr>
          </w:p>
        </w:tc>
        <w:tc>
          <w:tcPr>
            <w:tcW w:w="1468" w:type="dxa"/>
            <w:vMerge w:val="continue"/>
            <w:tcBorders>
              <w:left w:val="single" w:color="000000" w:sz="4" w:space="0"/>
              <w:bottom w:val="single" w:color="000000" w:sz="4" w:space="0"/>
              <w:right w:val="single" w:color="auto" w:sz="4" w:space="0"/>
            </w:tcBorders>
            <w:shd w:val="clear" w:color="auto" w:fill="auto"/>
            <w:noWrap/>
            <w:vAlign w:val="center"/>
          </w:tcPr>
          <w:p w14:paraId="5B1A9AB5">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b/>
                <w:bCs/>
                <w:i w:val="0"/>
                <w:iCs w:val="0"/>
                <w:color w:val="000000"/>
                <w:sz w:val="22"/>
                <w:szCs w:val="22"/>
                <w:u w:val="none"/>
              </w:rPr>
            </w:pPr>
          </w:p>
        </w:tc>
        <w:tc>
          <w:tcPr>
            <w:tcW w:w="149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E9DDC6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培训时间</w:t>
            </w:r>
          </w:p>
        </w:tc>
        <w:tc>
          <w:tcPr>
            <w:tcW w:w="224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15BF11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微软雅黑" w:hAnsi="微软雅黑" w:eastAsia="微软雅黑" w:cs="微软雅黑"/>
                <w:b/>
                <w:bCs/>
                <w:i w:val="0"/>
                <w:iCs w:val="0"/>
                <w:color w:val="000000"/>
                <w:sz w:val="18"/>
                <w:szCs w:val="18"/>
                <w:u w:val="none"/>
              </w:rPr>
            </w:pPr>
            <w:r>
              <w:rPr>
                <w:rFonts w:hint="eastAsia" w:ascii="微软雅黑" w:hAnsi="微软雅黑" w:eastAsia="微软雅黑" w:cs="微软雅黑"/>
                <w:b/>
                <w:bCs/>
                <w:i w:val="0"/>
                <w:iCs w:val="0"/>
                <w:color w:val="000000"/>
                <w:kern w:val="0"/>
                <w:sz w:val="18"/>
                <w:szCs w:val="18"/>
                <w:u w:val="none"/>
                <w:lang w:val="en-US" w:eastAsia="zh-CN" w:bidi="ar"/>
              </w:rPr>
              <w:t xml:space="preserve">     </w:t>
            </w:r>
            <w:r>
              <w:rPr>
                <w:rFonts w:hint="eastAsia" w:ascii="微软雅黑" w:hAnsi="微软雅黑" w:eastAsia="微软雅黑" w:cs="微软雅黑"/>
                <w:b/>
                <w:bCs/>
                <w:i w:val="0"/>
                <w:iCs w:val="0"/>
                <w:color w:val="000000"/>
                <w:kern w:val="0"/>
                <w:sz w:val="22"/>
                <w:szCs w:val="22"/>
                <w:u w:val="none"/>
                <w:lang w:val="en-US" w:eastAsia="zh-CN" w:bidi="ar"/>
              </w:rPr>
              <w:t>年   月   日</w:t>
            </w:r>
          </w:p>
        </w:tc>
      </w:tr>
      <w:tr w14:paraId="071ACC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4" w:hRule="atLeast"/>
          <w:jc w:val="center"/>
        </w:trPr>
        <w:tc>
          <w:tcPr>
            <w:tcW w:w="989" w:type="dxa"/>
            <w:tcBorders>
              <w:top w:val="single" w:color="000000" w:sz="4" w:space="0"/>
              <w:left w:val="single" w:color="000000" w:sz="4" w:space="0"/>
              <w:bottom w:val="single" w:color="000000" w:sz="4" w:space="0"/>
              <w:right w:val="single" w:color="000000" w:sz="4" w:space="0"/>
            </w:tcBorders>
            <w:shd w:val="clear" w:color="auto" w:fill="CFCECE" w:themeFill="background2" w:themeFillShade="E5"/>
            <w:vAlign w:val="center"/>
          </w:tcPr>
          <w:p w14:paraId="7056A69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培训</w:t>
            </w:r>
            <w:r>
              <w:rPr>
                <w:rFonts w:hint="eastAsia" w:ascii="微软雅黑" w:hAnsi="微软雅黑" w:eastAsia="微软雅黑" w:cs="微软雅黑"/>
                <w:b/>
                <w:bCs/>
                <w:i w:val="0"/>
                <w:iCs w:val="0"/>
                <w:color w:val="000000"/>
                <w:kern w:val="0"/>
                <w:sz w:val="22"/>
                <w:szCs w:val="22"/>
                <w:u w:val="none"/>
                <w:lang w:val="en-US" w:eastAsia="zh-CN" w:bidi="ar"/>
              </w:rPr>
              <w:br w:type="textWrapping"/>
            </w:r>
            <w:r>
              <w:rPr>
                <w:rFonts w:hint="eastAsia" w:ascii="微软雅黑" w:hAnsi="微软雅黑" w:eastAsia="微软雅黑" w:cs="微软雅黑"/>
                <w:b/>
                <w:bCs/>
                <w:i w:val="0"/>
                <w:iCs w:val="0"/>
                <w:color w:val="000000"/>
                <w:kern w:val="0"/>
                <w:sz w:val="22"/>
                <w:szCs w:val="22"/>
                <w:u w:val="none"/>
                <w:lang w:val="en-US" w:eastAsia="zh-CN" w:bidi="ar"/>
              </w:rPr>
              <w:t>维度</w:t>
            </w:r>
          </w:p>
        </w:tc>
        <w:tc>
          <w:tcPr>
            <w:tcW w:w="5145" w:type="dxa"/>
            <w:gridSpan w:val="3"/>
            <w:tcBorders>
              <w:top w:val="single" w:color="000000" w:sz="4" w:space="0"/>
              <w:left w:val="single" w:color="000000" w:sz="4" w:space="0"/>
              <w:bottom w:val="single" w:color="000000" w:sz="4" w:space="0"/>
              <w:right w:val="nil"/>
            </w:tcBorders>
            <w:shd w:val="clear" w:color="auto" w:fill="CFCECE" w:themeFill="background2" w:themeFillShade="E5"/>
            <w:noWrap/>
            <w:vAlign w:val="center"/>
          </w:tcPr>
          <w:p w14:paraId="5B360EF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具体内容</w:t>
            </w:r>
          </w:p>
        </w:tc>
        <w:tc>
          <w:tcPr>
            <w:tcW w:w="1497" w:type="dxa"/>
            <w:tcBorders>
              <w:top w:val="single" w:color="auto" w:sz="4" w:space="0"/>
              <w:left w:val="single" w:color="000000" w:sz="4" w:space="0"/>
              <w:bottom w:val="single" w:color="000000" w:sz="4" w:space="0"/>
              <w:right w:val="single" w:color="000000" w:sz="4" w:space="0"/>
            </w:tcBorders>
            <w:shd w:val="clear" w:color="auto" w:fill="CFCECE" w:themeFill="background2" w:themeFillShade="E5"/>
            <w:vAlign w:val="center"/>
          </w:tcPr>
          <w:p w14:paraId="7F495ED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微软雅黑" w:hAnsi="微软雅黑" w:eastAsia="微软雅黑" w:cs="微软雅黑"/>
                <w:i w:val="0"/>
                <w:iCs w:val="0"/>
                <w:color w:val="000000"/>
                <w:sz w:val="16"/>
                <w:szCs w:val="16"/>
                <w:u w:val="none"/>
              </w:rPr>
            </w:pPr>
            <w:r>
              <w:rPr>
                <w:rStyle w:val="247"/>
                <w:lang w:val="en-US" w:eastAsia="zh-CN" w:bidi="ar"/>
              </w:rPr>
              <w:t>培训实施</w:t>
            </w:r>
            <w:r>
              <w:rPr>
                <w:rStyle w:val="247"/>
                <w:lang w:val="en-US" w:eastAsia="zh-CN" w:bidi="ar"/>
              </w:rPr>
              <w:br w:type="textWrapping"/>
            </w:r>
            <w:r>
              <w:rPr>
                <w:rStyle w:val="248"/>
                <w:lang w:val="en-US" w:eastAsia="zh-CN" w:bidi="ar"/>
              </w:rPr>
              <w:t>完  成</w:t>
            </w:r>
            <w:r>
              <w:rPr>
                <w:rStyle w:val="248"/>
                <w:rFonts w:hint="eastAsia"/>
                <w:lang w:val="en-US" w:eastAsia="zh-CN" w:bidi="ar"/>
              </w:rPr>
              <w:t xml:space="preserve"> 打“</w:t>
            </w:r>
            <w:r>
              <w:rPr>
                <w:rStyle w:val="248"/>
                <w:lang w:val="en-US" w:eastAsia="zh-CN" w:bidi="ar"/>
              </w:rPr>
              <w:t>√”</w:t>
            </w:r>
            <w:r>
              <w:rPr>
                <w:rStyle w:val="248"/>
                <w:lang w:val="en-US" w:eastAsia="zh-CN" w:bidi="ar"/>
              </w:rPr>
              <w:br w:type="textWrapping"/>
            </w:r>
            <w:r>
              <w:rPr>
                <w:rStyle w:val="248"/>
                <w:lang w:val="en-US" w:eastAsia="zh-CN" w:bidi="ar"/>
              </w:rPr>
              <w:t>未完成</w:t>
            </w:r>
            <w:r>
              <w:rPr>
                <w:rStyle w:val="248"/>
                <w:rFonts w:hint="eastAsia"/>
                <w:lang w:val="en-US" w:eastAsia="zh-CN" w:bidi="ar"/>
              </w:rPr>
              <w:t xml:space="preserve"> 打</w:t>
            </w:r>
            <w:r>
              <w:rPr>
                <w:rStyle w:val="248"/>
                <w:lang w:val="en-US" w:eastAsia="zh-CN" w:bidi="ar"/>
              </w:rPr>
              <w:t>“×”</w:t>
            </w:r>
          </w:p>
        </w:tc>
        <w:tc>
          <w:tcPr>
            <w:tcW w:w="2246" w:type="dxa"/>
            <w:tcBorders>
              <w:top w:val="single" w:color="auto" w:sz="4" w:space="0"/>
              <w:left w:val="nil"/>
              <w:bottom w:val="single" w:color="000000" w:sz="4" w:space="0"/>
              <w:right w:val="single" w:color="000000" w:sz="4" w:space="0"/>
            </w:tcBorders>
            <w:shd w:val="clear" w:color="auto" w:fill="CFCECE" w:themeFill="background2" w:themeFillShade="E5"/>
            <w:vAlign w:val="center"/>
          </w:tcPr>
          <w:p w14:paraId="0025350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模块划分</w:t>
            </w:r>
          </w:p>
        </w:tc>
      </w:tr>
      <w:tr w14:paraId="3DE60D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3" w:hRule="atLeast"/>
          <w:jc w:val="center"/>
        </w:trPr>
        <w:tc>
          <w:tcPr>
            <w:tcW w:w="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05D76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融</w:t>
            </w:r>
            <w:r>
              <w:rPr>
                <w:rFonts w:hint="eastAsia" w:ascii="微软雅黑" w:hAnsi="微软雅黑" w:eastAsia="微软雅黑" w:cs="微软雅黑"/>
                <w:i w:val="0"/>
                <w:iCs w:val="0"/>
                <w:color w:val="000000"/>
                <w:kern w:val="0"/>
                <w:sz w:val="22"/>
                <w:szCs w:val="22"/>
                <w:u w:val="none"/>
                <w:lang w:val="en-US" w:eastAsia="zh-CN" w:bidi="ar"/>
              </w:rPr>
              <w:br w:type="textWrapping"/>
            </w:r>
            <w:r>
              <w:rPr>
                <w:rFonts w:hint="eastAsia" w:ascii="微软雅黑" w:hAnsi="微软雅黑" w:eastAsia="微软雅黑" w:cs="微软雅黑"/>
                <w:i w:val="0"/>
                <w:iCs w:val="0"/>
                <w:color w:val="000000"/>
                <w:kern w:val="0"/>
                <w:sz w:val="22"/>
                <w:szCs w:val="22"/>
                <w:u w:val="none"/>
                <w:lang w:val="en-US" w:eastAsia="zh-CN" w:bidi="ar"/>
              </w:rPr>
              <w:t>入</w:t>
            </w:r>
            <w:r>
              <w:rPr>
                <w:rFonts w:hint="eastAsia" w:ascii="微软雅黑" w:hAnsi="微软雅黑" w:eastAsia="微软雅黑" w:cs="微软雅黑"/>
                <w:i w:val="0"/>
                <w:iCs w:val="0"/>
                <w:color w:val="000000"/>
                <w:kern w:val="0"/>
                <w:sz w:val="22"/>
                <w:szCs w:val="22"/>
                <w:u w:val="none"/>
                <w:lang w:val="en-US" w:eastAsia="zh-CN" w:bidi="ar"/>
              </w:rPr>
              <w:br w:type="textWrapping"/>
            </w:r>
            <w:r>
              <w:rPr>
                <w:rFonts w:hint="eastAsia" w:ascii="微软雅黑" w:hAnsi="微软雅黑" w:eastAsia="微软雅黑" w:cs="微软雅黑"/>
                <w:i w:val="0"/>
                <w:iCs w:val="0"/>
                <w:color w:val="000000"/>
                <w:kern w:val="0"/>
                <w:sz w:val="22"/>
                <w:szCs w:val="22"/>
                <w:u w:val="none"/>
                <w:lang w:val="en-US" w:eastAsia="zh-CN" w:bidi="ar"/>
              </w:rPr>
              <w:t>体</w:t>
            </w:r>
            <w:r>
              <w:rPr>
                <w:rFonts w:hint="eastAsia" w:ascii="微软雅黑" w:hAnsi="微软雅黑" w:eastAsia="微软雅黑" w:cs="微软雅黑"/>
                <w:i w:val="0"/>
                <w:iCs w:val="0"/>
                <w:color w:val="000000"/>
                <w:kern w:val="0"/>
                <w:sz w:val="22"/>
                <w:szCs w:val="22"/>
                <w:u w:val="none"/>
                <w:lang w:val="en-US" w:eastAsia="zh-CN" w:bidi="ar"/>
              </w:rPr>
              <w:br w:type="textWrapping"/>
            </w:r>
            <w:r>
              <w:rPr>
                <w:rFonts w:hint="eastAsia" w:ascii="微软雅黑" w:hAnsi="微软雅黑" w:eastAsia="微软雅黑" w:cs="微软雅黑"/>
                <w:i w:val="0"/>
                <w:iCs w:val="0"/>
                <w:color w:val="000000"/>
                <w:kern w:val="0"/>
                <w:sz w:val="22"/>
                <w:szCs w:val="22"/>
                <w:u w:val="none"/>
                <w:lang w:val="en-US" w:eastAsia="zh-CN" w:bidi="ar"/>
              </w:rPr>
              <w:t>验</w:t>
            </w:r>
          </w:p>
        </w:tc>
        <w:tc>
          <w:tcPr>
            <w:tcW w:w="5145" w:type="dxa"/>
            <w:gridSpan w:val="3"/>
            <w:tcBorders>
              <w:top w:val="single" w:color="000000" w:sz="4" w:space="0"/>
              <w:left w:val="single" w:color="000000" w:sz="4" w:space="0"/>
              <w:right w:val="single" w:color="000000" w:sz="4" w:space="0"/>
            </w:tcBorders>
            <w:shd w:val="clear" w:color="auto" w:fill="auto"/>
            <w:noWrap/>
            <w:vAlign w:val="center"/>
          </w:tcPr>
          <w:p w14:paraId="3904CA3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新员工保存班长、队长姓名及电话</w:t>
            </w:r>
          </w:p>
        </w:tc>
        <w:tc>
          <w:tcPr>
            <w:tcW w:w="1497" w:type="dxa"/>
            <w:tcBorders>
              <w:top w:val="nil"/>
              <w:left w:val="single" w:color="000000" w:sz="4" w:space="0"/>
              <w:bottom w:val="single" w:color="000000" w:sz="4" w:space="0"/>
              <w:right w:val="single" w:color="000000" w:sz="4" w:space="0"/>
            </w:tcBorders>
            <w:shd w:val="clear" w:color="auto" w:fill="auto"/>
            <w:vAlign w:val="center"/>
          </w:tcPr>
          <w:p w14:paraId="1B8A136B">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val="0"/>
                <w:iCs w:val="0"/>
                <w:color w:val="000000"/>
                <w:sz w:val="22"/>
                <w:szCs w:val="22"/>
                <w:u w:val="none"/>
              </w:rPr>
            </w:pPr>
          </w:p>
        </w:tc>
        <w:tc>
          <w:tcPr>
            <w:tcW w:w="2246" w:type="dxa"/>
            <w:vMerge w:val="restart"/>
            <w:tcBorders>
              <w:top w:val="single" w:color="000000" w:sz="4" w:space="0"/>
              <w:left w:val="single" w:color="000000" w:sz="4" w:space="0"/>
              <w:bottom w:val="nil"/>
              <w:right w:val="single" w:color="000000" w:sz="4" w:space="0"/>
            </w:tcBorders>
            <w:shd w:val="clear" w:color="auto" w:fill="auto"/>
            <w:vAlign w:val="center"/>
          </w:tcPr>
          <w:p w14:paraId="122B18F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企业宣传</w:t>
            </w:r>
          </w:p>
        </w:tc>
      </w:tr>
      <w:tr w14:paraId="49F615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88D07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安</w:t>
            </w:r>
            <w:r>
              <w:rPr>
                <w:rFonts w:hint="eastAsia" w:ascii="微软雅黑" w:hAnsi="微软雅黑" w:eastAsia="微软雅黑" w:cs="微软雅黑"/>
                <w:i w:val="0"/>
                <w:iCs w:val="0"/>
                <w:color w:val="000000"/>
                <w:kern w:val="0"/>
                <w:sz w:val="21"/>
                <w:szCs w:val="21"/>
                <w:u w:val="none"/>
                <w:lang w:val="en-US" w:eastAsia="zh-CN" w:bidi="ar"/>
              </w:rPr>
              <w:br w:type="textWrapping"/>
            </w:r>
            <w:r>
              <w:rPr>
                <w:rFonts w:hint="eastAsia" w:ascii="微软雅黑" w:hAnsi="微软雅黑" w:eastAsia="微软雅黑" w:cs="微软雅黑"/>
                <w:i w:val="0"/>
                <w:iCs w:val="0"/>
                <w:color w:val="000000"/>
                <w:kern w:val="0"/>
                <w:sz w:val="21"/>
                <w:szCs w:val="21"/>
                <w:u w:val="none"/>
                <w:lang w:val="en-US" w:eastAsia="zh-CN" w:bidi="ar"/>
              </w:rPr>
              <w:t>全</w:t>
            </w:r>
            <w:r>
              <w:rPr>
                <w:rFonts w:hint="eastAsia" w:ascii="微软雅黑" w:hAnsi="微软雅黑" w:eastAsia="微软雅黑" w:cs="微软雅黑"/>
                <w:i w:val="0"/>
                <w:iCs w:val="0"/>
                <w:color w:val="000000"/>
                <w:kern w:val="0"/>
                <w:sz w:val="21"/>
                <w:szCs w:val="21"/>
                <w:u w:val="none"/>
                <w:lang w:val="en-US" w:eastAsia="zh-CN" w:bidi="ar"/>
              </w:rPr>
              <w:br w:type="textWrapping"/>
            </w:r>
            <w:r>
              <w:rPr>
                <w:rFonts w:hint="eastAsia" w:ascii="微软雅黑" w:hAnsi="微软雅黑" w:eastAsia="微软雅黑" w:cs="微软雅黑"/>
                <w:i w:val="0"/>
                <w:iCs w:val="0"/>
                <w:color w:val="000000"/>
                <w:kern w:val="0"/>
                <w:sz w:val="21"/>
                <w:szCs w:val="21"/>
                <w:u w:val="none"/>
                <w:lang w:val="en-US" w:eastAsia="zh-CN" w:bidi="ar"/>
              </w:rPr>
              <w:t>要</w:t>
            </w:r>
            <w:r>
              <w:rPr>
                <w:rFonts w:hint="eastAsia" w:ascii="微软雅黑" w:hAnsi="微软雅黑" w:eastAsia="微软雅黑" w:cs="微软雅黑"/>
                <w:i w:val="0"/>
                <w:iCs w:val="0"/>
                <w:color w:val="000000"/>
                <w:kern w:val="0"/>
                <w:sz w:val="21"/>
                <w:szCs w:val="21"/>
                <w:u w:val="none"/>
                <w:lang w:val="en-US" w:eastAsia="zh-CN" w:bidi="ar"/>
              </w:rPr>
              <w:br w:type="textWrapping"/>
            </w:r>
            <w:r>
              <w:rPr>
                <w:rFonts w:hint="eastAsia" w:ascii="微软雅黑" w:hAnsi="微软雅黑" w:eastAsia="微软雅黑" w:cs="微软雅黑"/>
                <w:i w:val="0"/>
                <w:iCs w:val="0"/>
                <w:color w:val="000000"/>
                <w:kern w:val="0"/>
                <w:sz w:val="21"/>
                <w:szCs w:val="21"/>
                <w:u w:val="none"/>
                <w:lang w:val="en-US" w:eastAsia="zh-CN" w:bidi="ar"/>
              </w:rPr>
              <w:t>素</w:t>
            </w:r>
          </w:p>
        </w:tc>
        <w:tc>
          <w:tcPr>
            <w:tcW w:w="51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EB9793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微软雅黑" w:hAnsi="微软雅黑" w:eastAsia="微软雅黑" w:cs="微软雅黑"/>
                <w:b/>
                <w:bCs/>
                <w:i w:val="0"/>
                <w:iCs w:val="0"/>
                <w:color w:val="000000"/>
                <w:sz w:val="21"/>
                <w:szCs w:val="21"/>
                <w:u w:val="none"/>
              </w:rPr>
            </w:pPr>
            <w:r>
              <w:rPr>
                <w:rStyle w:val="247"/>
                <w:sz w:val="21"/>
                <w:szCs w:val="21"/>
                <w:lang w:val="en-US" w:eastAsia="zh-CN" w:bidi="ar"/>
              </w:rPr>
              <w:t>防护：</w:t>
            </w:r>
            <w:r>
              <w:rPr>
                <w:rStyle w:val="249"/>
                <w:sz w:val="21"/>
                <w:szCs w:val="21"/>
                <w:lang w:val="en-US" w:eastAsia="zh-CN" w:bidi="ar"/>
              </w:rPr>
              <w:t>会防卫性器械使用：头盔、防刺背心、防割手套、防暴盾牌、橡皮棍、防暴钢叉、强光手电、对讲机</w:t>
            </w:r>
          </w:p>
        </w:tc>
        <w:tc>
          <w:tcPr>
            <w:tcW w:w="1497" w:type="dxa"/>
            <w:tcBorders>
              <w:top w:val="single" w:color="000000" w:sz="4" w:space="0"/>
              <w:left w:val="single" w:color="000000" w:sz="4" w:space="0"/>
              <w:bottom w:val="single" w:color="000000" w:sz="4" w:space="0"/>
              <w:right w:val="nil"/>
            </w:tcBorders>
            <w:shd w:val="clear" w:color="auto" w:fill="auto"/>
            <w:noWrap/>
            <w:vAlign w:val="center"/>
          </w:tcPr>
          <w:p w14:paraId="327591F5">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val="0"/>
                <w:iCs w:val="0"/>
                <w:color w:val="000000"/>
                <w:sz w:val="21"/>
                <w:szCs w:val="21"/>
                <w:u w:val="none"/>
              </w:rPr>
            </w:pPr>
          </w:p>
        </w:tc>
        <w:tc>
          <w:tcPr>
            <w:tcW w:w="2246" w:type="dxa"/>
            <w:vMerge w:val="restart"/>
            <w:tcBorders>
              <w:top w:val="single" w:color="000000" w:sz="4" w:space="0"/>
              <w:left w:val="single" w:color="000000" w:sz="4" w:space="0"/>
              <w:bottom w:val="nil"/>
              <w:right w:val="single" w:color="000000" w:sz="4" w:space="0"/>
            </w:tcBorders>
            <w:shd w:val="clear" w:color="auto" w:fill="auto"/>
            <w:vAlign w:val="center"/>
          </w:tcPr>
          <w:p w14:paraId="0D7E786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风险防范</w:t>
            </w:r>
          </w:p>
        </w:tc>
      </w:tr>
      <w:tr w14:paraId="66B0E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4" w:hRule="atLeast"/>
          <w:jc w:val="center"/>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27991A">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val="0"/>
                <w:iCs w:val="0"/>
                <w:color w:val="000000"/>
                <w:sz w:val="21"/>
                <w:szCs w:val="21"/>
                <w:u w:val="none"/>
              </w:rPr>
            </w:pPr>
          </w:p>
        </w:tc>
        <w:tc>
          <w:tcPr>
            <w:tcW w:w="51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941E2E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微软雅黑" w:hAnsi="微软雅黑" w:eastAsia="微软雅黑" w:cs="微软雅黑"/>
                <w:b/>
                <w:bCs/>
                <w:i w:val="0"/>
                <w:iCs w:val="0"/>
                <w:color w:val="000000"/>
                <w:sz w:val="21"/>
                <w:szCs w:val="21"/>
                <w:u w:val="none"/>
              </w:rPr>
            </w:pPr>
            <w:r>
              <w:rPr>
                <w:rStyle w:val="247"/>
                <w:sz w:val="21"/>
                <w:szCs w:val="21"/>
                <w:lang w:val="en-US" w:eastAsia="zh-CN" w:bidi="ar"/>
              </w:rPr>
              <w:t>认知：</w:t>
            </w:r>
            <w:r>
              <w:rPr>
                <w:rStyle w:val="249"/>
                <w:sz w:val="21"/>
                <w:szCs w:val="21"/>
                <w:lang w:val="en-US" w:eastAsia="zh-CN" w:bidi="ar"/>
              </w:rPr>
              <w:t>上下班途中遵守交通规则；检查指挥车辆时尽量避免站在车头车尾；私人车辆有无车轮磨损严重、刹车失灵、尾灯不亮等安全隐患情况；其它</w:t>
            </w:r>
          </w:p>
        </w:tc>
        <w:tc>
          <w:tcPr>
            <w:tcW w:w="1497" w:type="dxa"/>
            <w:tcBorders>
              <w:top w:val="single" w:color="000000" w:sz="4" w:space="0"/>
              <w:left w:val="single" w:color="000000" w:sz="4" w:space="0"/>
              <w:bottom w:val="single" w:color="000000" w:sz="4" w:space="0"/>
              <w:right w:val="nil"/>
            </w:tcBorders>
            <w:shd w:val="clear" w:color="auto" w:fill="auto"/>
            <w:noWrap/>
            <w:vAlign w:val="center"/>
          </w:tcPr>
          <w:p w14:paraId="105E7C5E">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val="0"/>
                <w:iCs w:val="0"/>
                <w:color w:val="000000"/>
                <w:sz w:val="21"/>
                <w:szCs w:val="21"/>
                <w:u w:val="none"/>
              </w:rPr>
            </w:pPr>
          </w:p>
        </w:tc>
        <w:tc>
          <w:tcPr>
            <w:tcW w:w="2246" w:type="dxa"/>
            <w:vMerge w:val="continue"/>
            <w:tcBorders>
              <w:top w:val="single" w:color="000000" w:sz="4" w:space="0"/>
              <w:left w:val="single" w:color="000000" w:sz="4" w:space="0"/>
              <w:bottom w:val="nil"/>
              <w:right w:val="single" w:color="000000" w:sz="4" w:space="0"/>
            </w:tcBorders>
            <w:shd w:val="clear" w:color="auto" w:fill="auto"/>
            <w:vAlign w:val="center"/>
          </w:tcPr>
          <w:p w14:paraId="47323A14">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val="0"/>
                <w:iCs w:val="0"/>
                <w:color w:val="000000"/>
                <w:sz w:val="21"/>
                <w:szCs w:val="21"/>
                <w:u w:val="none"/>
              </w:rPr>
            </w:pPr>
          </w:p>
        </w:tc>
      </w:tr>
      <w:tr w14:paraId="47A7DC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jc w:val="center"/>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48B735">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val="0"/>
                <w:iCs w:val="0"/>
                <w:color w:val="000000"/>
                <w:sz w:val="21"/>
                <w:szCs w:val="21"/>
                <w:u w:val="none"/>
              </w:rPr>
            </w:pPr>
          </w:p>
        </w:tc>
        <w:tc>
          <w:tcPr>
            <w:tcW w:w="51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D19C9A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微软雅黑" w:hAnsi="微软雅黑" w:eastAsia="微软雅黑" w:cs="微软雅黑"/>
                <w:b/>
                <w:bCs/>
                <w:i w:val="0"/>
                <w:iCs w:val="0"/>
                <w:color w:val="000000"/>
                <w:sz w:val="21"/>
                <w:szCs w:val="21"/>
                <w:u w:val="none"/>
                <w:lang w:val="en-US"/>
              </w:rPr>
            </w:pPr>
            <w:r>
              <w:rPr>
                <w:rStyle w:val="249"/>
                <w:rFonts w:hint="eastAsia"/>
                <w:b/>
                <w:bCs/>
                <w:sz w:val="21"/>
                <w:szCs w:val="21"/>
                <w:lang w:val="en-US" w:eastAsia="zh-CN" w:bidi="ar"/>
              </w:rPr>
              <w:t>求助电话</w:t>
            </w:r>
            <w:r>
              <w:rPr>
                <w:rStyle w:val="249"/>
                <w:b/>
                <w:bCs/>
                <w:sz w:val="21"/>
                <w:szCs w:val="21"/>
                <w:lang w:val="en-US" w:eastAsia="zh-CN" w:bidi="ar"/>
              </w:rPr>
              <w:t>：</w:t>
            </w:r>
            <w:r>
              <w:rPr>
                <w:rStyle w:val="249"/>
                <w:sz w:val="21"/>
                <w:szCs w:val="21"/>
                <w:lang w:val="en-US" w:eastAsia="zh-CN" w:bidi="ar"/>
              </w:rPr>
              <w:t>110</w:t>
            </w:r>
            <w:r>
              <w:rPr>
                <w:rStyle w:val="249"/>
                <w:rFonts w:hint="eastAsia"/>
                <w:sz w:val="21"/>
                <w:szCs w:val="21"/>
                <w:lang w:val="en-US" w:eastAsia="zh-CN" w:bidi="ar"/>
              </w:rPr>
              <w:t>公安</w:t>
            </w:r>
            <w:r>
              <w:rPr>
                <w:rStyle w:val="249"/>
                <w:sz w:val="21"/>
                <w:szCs w:val="21"/>
                <w:lang w:val="en-US" w:eastAsia="zh-CN" w:bidi="ar"/>
              </w:rPr>
              <w:t>、120</w:t>
            </w:r>
            <w:r>
              <w:rPr>
                <w:rStyle w:val="249"/>
                <w:rFonts w:hint="eastAsia"/>
                <w:sz w:val="21"/>
                <w:szCs w:val="21"/>
                <w:lang w:val="en-US" w:eastAsia="zh-CN" w:bidi="ar"/>
              </w:rPr>
              <w:t>医疗救护</w:t>
            </w:r>
            <w:r>
              <w:rPr>
                <w:rStyle w:val="249"/>
                <w:sz w:val="21"/>
                <w:szCs w:val="21"/>
                <w:lang w:val="en-US" w:eastAsia="zh-CN" w:bidi="ar"/>
              </w:rPr>
              <w:t>、119</w:t>
            </w:r>
            <w:r>
              <w:rPr>
                <w:rStyle w:val="249"/>
                <w:rFonts w:hint="eastAsia"/>
                <w:sz w:val="21"/>
                <w:szCs w:val="21"/>
                <w:lang w:val="en-US" w:eastAsia="zh-CN" w:bidi="ar"/>
              </w:rPr>
              <w:t>火警</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C9F3B">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val="0"/>
                <w:iCs w:val="0"/>
                <w:color w:val="000000"/>
                <w:sz w:val="21"/>
                <w:szCs w:val="21"/>
                <w:u w:val="none"/>
              </w:rPr>
            </w:pPr>
          </w:p>
        </w:tc>
        <w:tc>
          <w:tcPr>
            <w:tcW w:w="2246" w:type="dxa"/>
            <w:vMerge w:val="continue"/>
            <w:tcBorders>
              <w:top w:val="single" w:color="000000" w:sz="4" w:space="0"/>
              <w:left w:val="single" w:color="000000" w:sz="4" w:space="0"/>
              <w:bottom w:val="nil"/>
              <w:right w:val="single" w:color="000000" w:sz="4" w:space="0"/>
            </w:tcBorders>
            <w:shd w:val="clear" w:color="auto" w:fill="auto"/>
            <w:vAlign w:val="center"/>
          </w:tcPr>
          <w:p w14:paraId="4BC69281">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val="0"/>
                <w:iCs w:val="0"/>
                <w:color w:val="000000"/>
                <w:sz w:val="21"/>
                <w:szCs w:val="21"/>
                <w:u w:val="none"/>
              </w:rPr>
            </w:pPr>
          </w:p>
        </w:tc>
      </w:tr>
      <w:tr w14:paraId="7F124C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jc w:val="center"/>
        </w:trPr>
        <w:tc>
          <w:tcPr>
            <w:tcW w:w="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40835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br w:type="textWrapping"/>
            </w:r>
            <w:r>
              <w:rPr>
                <w:rFonts w:hint="eastAsia" w:ascii="微软雅黑" w:hAnsi="微软雅黑" w:eastAsia="微软雅黑" w:cs="微软雅黑"/>
                <w:i w:val="0"/>
                <w:iCs w:val="0"/>
                <w:color w:val="000000"/>
                <w:kern w:val="0"/>
                <w:sz w:val="21"/>
                <w:szCs w:val="21"/>
                <w:u w:val="none"/>
                <w:lang w:val="en-US" w:eastAsia="zh-CN" w:bidi="ar"/>
              </w:rPr>
              <w:t>行</w:t>
            </w:r>
            <w:r>
              <w:rPr>
                <w:rFonts w:hint="eastAsia" w:ascii="微软雅黑" w:hAnsi="微软雅黑" w:eastAsia="微软雅黑" w:cs="微软雅黑"/>
                <w:i w:val="0"/>
                <w:iCs w:val="0"/>
                <w:color w:val="000000"/>
                <w:kern w:val="0"/>
                <w:sz w:val="21"/>
                <w:szCs w:val="21"/>
                <w:u w:val="none"/>
                <w:lang w:val="en-US" w:eastAsia="zh-CN" w:bidi="ar"/>
              </w:rPr>
              <w:br w:type="textWrapping"/>
            </w:r>
            <w:r>
              <w:rPr>
                <w:rFonts w:hint="eastAsia" w:ascii="微软雅黑" w:hAnsi="微软雅黑" w:eastAsia="微软雅黑" w:cs="微软雅黑"/>
                <w:i w:val="0"/>
                <w:iCs w:val="0"/>
                <w:color w:val="000000"/>
                <w:kern w:val="0"/>
                <w:sz w:val="21"/>
                <w:szCs w:val="21"/>
                <w:u w:val="none"/>
                <w:lang w:val="en-US" w:eastAsia="zh-CN" w:bidi="ar"/>
              </w:rPr>
              <w:t>为</w:t>
            </w:r>
            <w:r>
              <w:rPr>
                <w:rFonts w:hint="eastAsia" w:ascii="微软雅黑" w:hAnsi="微软雅黑" w:eastAsia="微软雅黑" w:cs="微软雅黑"/>
                <w:i w:val="0"/>
                <w:iCs w:val="0"/>
                <w:color w:val="000000"/>
                <w:kern w:val="0"/>
                <w:sz w:val="21"/>
                <w:szCs w:val="21"/>
                <w:u w:val="none"/>
                <w:lang w:val="en-US" w:eastAsia="zh-CN" w:bidi="ar"/>
              </w:rPr>
              <w:br w:type="textWrapping"/>
            </w:r>
            <w:r>
              <w:rPr>
                <w:rFonts w:hint="eastAsia" w:ascii="微软雅黑" w:hAnsi="微软雅黑" w:eastAsia="微软雅黑" w:cs="微软雅黑"/>
                <w:i w:val="0"/>
                <w:iCs w:val="0"/>
                <w:color w:val="000000"/>
                <w:kern w:val="0"/>
                <w:sz w:val="21"/>
                <w:szCs w:val="21"/>
                <w:u w:val="none"/>
                <w:lang w:val="en-US" w:eastAsia="zh-CN" w:bidi="ar"/>
              </w:rPr>
              <w:t>规</w:t>
            </w:r>
            <w:r>
              <w:rPr>
                <w:rFonts w:hint="eastAsia" w:ascii="微软雅黑" w:hAnsi="微软雅黑" w:eastAsia="微软雅黑" w:cs="微软雅黑"/>
                <w:i w:val="0"/>
                <w:iCs w:val="0"/>
                <w:color w:val="000000"/>
                <w:kern w:val="0"/>
                <w:sz w:val="21"/>
                <w:szCs w:val="21"/>
                <w:u w:val="none"/>
                <w:lang w:val="en-US" w:eastAsia="zh-CN" w:bidi="ar"/>
              </w:rPr>
              <w:br w:type="textWrapping"/>
            </w:r>
            <w:r>
              <w:rPr>
                <w:rFonts w:hint="eastAsia" w:ascii="微软雅黑" w:hAnsi="微软雅黑" w:eastAsia="微软雅黑" w:cs="微软雅黑"/>
                <w:i w:val="0"/>
                <w:iCs w:val="0"/>
                <w:color w:val="000000"/>
                <w:kern w:val="0"/>
                <w:sz w:val="21"/>
                <w:szCs w:val="21"/>
                <w:u w:val="none"/>
                <w:lang w:val="en-US" w:eastAsia="zh-CN" w:bidi="ar"/>
              </w:rPr>
              <w:t>范</w:t>
            </w:r>
          </w:p>
        </w:tc>
        <w:tc>
          <w:tcPr>
            <w:tcW w:w="514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8773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着装</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58896">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val="0"/>
                <w:iCs w:val="0"/>
                <w:color w:val="000000"/>
                <w:sz w:val="21"/>
                <w:szCs w:val="21"/>
                <w:u w:val="none"/>
              </w:rPr>
            </w:pPr>
          </w:p>
        </w:tc>
        <w:tc>
          <w:tcPr>
            <w:tcW w:w="22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AE16F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个人形象</w:t>
            </w:r>
          </w:p>
        </w:tc>
      </w:tr>
      <w:tr w14:paraId="49AADA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jc w:val="center"/>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A7CCC8">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val="0"/>
                <w:iCs w:val="0"/>
                <w:color w:val="000000"/>
                <w:sz w:val="21"/>
                <w:szCs w:val="21"/>
                <w:u w:val="none"/>
              </w:rPr>
            </w:pPr>
          </w:p>
        </w:tc>
        <w:tc>
          <w:tcPr>
            <w:tcW w:w="514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F344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仪容仪表</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8C2E0">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val="0"/>
                <w:iCs w:val="0"/>
                <w:color w:val="000000"/>
                <w:sz w:val="21"/>
                <w:szCs w:val="21"/>
                <w:u w:val="none"/>
              </w:rPr>
            </w:pPr>
          </w:p>
        </w:tc>
        <w:tc>
          <w:tcPr>
            <w:tcW w:w="22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9832C3">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val="0"/>
                <w:iCs w:val="0"/>
                <w:color w:val="000000"/>
                <w:sz w:val="21"/>
                <w:szCs w:val="21"/>
                <w:u w:val="none"/>
              </w:rPr>
            </w:pPr>
          </w:p>
        </w:tc>
      </w:tr>
      <w:tr w14:paraId="634FB6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jc w:val="center"/>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3D1394">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val="0"/>
                <w:iCs w:val="0"/>
                <w:color w:val="000000"/>
                <w:sz w:val="21"/>
                <w:szCs w:val="21"/>
                <w:u w:val="none"/>
              </w:rPr>
            </w:pPr>
          </w:p>
        </w:tc>
        <w:tc>
          <w:tcPr>
            <w:tcW w:w="514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F730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礼节</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44477">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val="0"/>
                <w:iCs w:val="0"/>
                <w:color w:val="000000"/>
                <w:sz w:val="21"/>
                <w:szCs w:val="21"/>
                <w:u w:val="none"/>
              </w:rPr>
            </w:pPr>
          </w:p>
        </w:tc>
        <w:tc>
          <w:tcPr>
            <w:tcW w:w="22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8DE7D8">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val="0"/>
                <w:iCs w:val="0"/>
                <w:color w:val="000000"/>
                <w:sz w:val="21"/>
                <w:szCs w:val="21"/>
                <w:u w:val="none"/>
              </w:rPr>
            </w:pPr>
          </w:p>
        </w:tc>
      </w:tr>
      <w:tr w14:paraId="6EE9FF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jc w:val="center"/>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2E2941">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val="0"/>
                <w:iCs w:val="0"/>
                <w:color w:val="000000"/>
                <w:sz w:val="21"/>
                <w:szCs w:val="21"/>
                <w:u w:val="none"/>
              </w:rPr>
            </w:pPr>
          </w:p>
        </w:tc>
        <w:tc>
          <w:tcPr>
            <w:tcW w:w="514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ADC8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举止</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FA915">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val="0"/>
                <w:iCs w:val="0"/>
                <w:color w:val="000000"/>
                <w:sz w:val="21"/>
                <w:szCs w:val="21"/>
                <w:u w:val="none"/>
              </w:rPr>
            </w:pPr>
          </w:p>
        </w:tc>
        <w:tc>
          <w:tcPr>
            <w:tcW w:w="22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AA280A">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val="0"/>
                <w:iCs w:val="0"/>
                <w:color w:val="000000"/>
                <w:sz w:val="21"/>
                <w:szCs w:val="21"/>
                <w:u w:val="none"/>
              </w:rPr>
            </w:pPr>
          </w:p>
        </w:tc>
      </w:tr>
      <w:tr w14:paraId="3B8C32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jc w:val="center"/>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46411C">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val="0"/>
                <w:iCs w:val="0"/>
                <w:color w:val="000000"/>
                <w:sz w:val="21"/>
                <w:szCs w:val="21"/>
                <w:u w:val="none"/>
              </w:rPr>
            </w:pPr>
          </w:p>
        </w:tc>
        <w:tc>
          <w:tcPr>
            <w:tcW w:w="514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407A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语言</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6685F">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val="0"/>
                <w:iCs w:val="0"/>
                <w:color w:val="000000"/>
                <w:sz w:val="21"/>
                <w:szCs w:val="21"/>
                <w:u w:val="none"/>
              </w:rPr>
            </w:pPr>
          </w:p>
        </w:tc>
        <w:tc>
          <w:tcPr>
            <w:tcW w:w="22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CE7EAF">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val="0"/>
                <w:iCs w:val="0"/>
                <w:color w:val="000000"/>
                <w:sz w:val="21"/>
                <w:szCs w:val="21"/>
                <w:u w:val="none"/>
              </w:rPr>
            </w:pPr>
          </w:p>
        </w:tc>
      </w:tr>
      <w:tr w14:paraId="115351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jc w:val="center"/>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B63604">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val="0"/>
                <w:iCs w:val="0"/>
                <w:color w:val="000000"/>
                <w:sz w:val="21"/>
                <w:szCs w:val="21"/>
                <w:u w:val="none"/>
              </w:rPr>
            </w:pPr>
          </w:p>
        </w:tc>
        <w:tc>
          <w:tcPr>
            <w:tcW w:w="514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77EF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岗位纪律</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47DA0">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val="0"/>
                <w:iCs w:val="0"/>
                <w:color w:val="000000"/>
                <w:sz w:val="21"/>
                <w:szCs w:val="21"/>
                <w:u w:val="none"/>
              </w:rPr>
            </w:pPr>
          </w:p>
        </w:tc>
        <w:tc>
          <w:tcPr>
            <w:tcW w:w="22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D38551">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val="0"/>
                <w:iCs w:val="0"/>
                <w:color w:val="000000"/>
                <w:sz w:val="21"/>
                <w:szCs w:val="21"/>
                <w:u w:val="none"/>
              </w:rPr>
            </w:pPr>
          </w:p>
        </w:tc>
      </w:tr>
      <w:tr w14:paraId="19BF9C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jc w:val="center"/>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AD90E3">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val="0"/>
                <w:iCs w:val="0"/>
                <w:color w:val="000000"/>
                <w:sz w:val="21"/>
                <w:szCs w:val="21"/>
                <w:u w:val="none"/>
              </w:rPr>
            </w:pPr>
          </w:p>
        </w:tc>
        <w:tc>
          <w:tcPr>
            <w:tcW w:w="514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3A1D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卫生</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587D8">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val="0"/>
                <w:iCs w:val="0"/>
                <w:color w:val="000000"/>
                <w:sz w:val="21"/>
                <w:szCs w:val="21"/>
                <w:u w:val="none"/>
              </w:rPr>
            </w:pPr>
          </w:p>
        </w:tc>
        <w:tc>
          <w:tcPr>
            <w:tcW w:w="22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3C711A">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val="0"/>
                <w:iCs w:val="0"/>
                <w:color w:val="000000"/>
                <w:sz w:val="21"/>
                <w:szCs w:val="21"/>
                <w:u w:val="none"/>
              </w:rPr>
            </w:pPr>
          </w:p>
        </w:tc>
      </w:tr>
      <w:tr w14:paraId="66DC7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jc w:val="center"/>
        </w:trPr>
        <w:tc>
          <w:tcPr>
            <w:tcW w:w="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7407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勤</w:t>
            </w:r>
            <w:r>
              <w:rPr>
                <w:rFonts w:hint="eastAsia" w:ascii="微软雅黑" w:hAnsi="微软雅黑" w:eastAsia="微软雅黑" w:cs="微软雅黑"/>
                <w:i w:val="0"/>
                <w:iCs w:val="0"/>
                <w:color w:val="000000"/>
                <w:kern w:val="0"/>
                <w:sz w:val="21"/>
                <w:szCs w:val="21"/>
                <w:u w:val="none"/>
                <w:lang w:val="en-US" w:eastAsia="zh-CN" w:bidi="ar"/>
              </w:rPr>
              <w:br w:type="textWrapping"/>
            </w:r>
            <w:r>
              <w:rPr>
                <w:rFonts w:hint="eastAsia" w:ascii="微软雅黑" w:hAnsi="微软雅黑" w:eastAsia="微软雅黑" w:cs="微软雅黑"/>
                <w:i w:val="0"/>
                <w:iCs w:val="0"/>
                <w:color w:val="000000"/>
                <w:kern w:val="0"/>
                <w:sz w:val="21"/>
                <w:szCs w:val="21"/>
                <w:u w:val="none"/>
                <w:lang w:val="en-US" w:eastAsia="zh-CN" w:bidi="ar"/>
              </w:rPr>
              <w:t>务</w:t>
            </w:r>
            <w:r>
              <w:rPr>
                <w:rFonts w:hint="eastAsia" w:ascii="微软雅黑" w:hAnsi="微软雅黑" w:eastAsia="微软雅黑" w:cs="微软雅黑"/>
                <w:i w:val="0"/>
                <w:iCs w:val="0"/>
                <w:color w:val="000000"/>
                <w:kern w:val="0"/>
                <w:sz w:val="21"/>
                <w:szCs w:val="21"/>
                <w:u w:val="none"/>
                <w:lang w:val="en-US" w:eastAsia="zh-CN" w:bidi="ar"/>
              </w:rPr>
              <w:br w:type="textWrapping"/>
            </w:r>
            <w:r>
              <w:rPr>
                <w:rFonts w:hint="eastAsia" w:ascii="微软雅黑" w:hAnsi="微软雅黑" w:eastAsia="微软雅黑" w:cs="微软雅黑"/>
                <w:i w:val="0"/>
                <w:iCs w:val="0"/>
                <w:color w:val="000000"/>
                <w:kern w:val="0"/>
                <w:sz w:val="21"/>
                <w:szCs w:val="21"/>
                <w:u w:val="none"/>
                <w:lang w:val="en-US" w:eastAsia="zh-CN" w:bidi="ar"/>
              </w:rPr>
              <w:t>制</w:t>
            </w:r>
            <w:r>
              <w:rPr>
                <w:rFonts w:hint="eastAsia" w:ascii="微软雅黑" w:hAnsi="微软雅黑" w:eastAsia="微软雅黑" w:cs="微软雅黑"/>
                <w:i w:val="0"/>
                <w:iCs w:val="0"/>
                <w:color w:val="000000"/>
                <w:kern w:val="0"/>
                <w:sz w:val="21"/>
                <w:szCs w:val="21"/>
                <w:u w:val="none"/>
                <w:lang w:val="en-US" w:eastAsia="zh-CN" w:bidi="ar"/>
              </w:rPr>
              <w:br w:type="textWrapping"/>
            </w:r>
            <w:r>
              <w:rPr>
                <w:rFonts w:hint="eastAsia" w:ascii="微软雅黑" w:hAnsi="微软雅黑" w:eastAsia="微软雅黑" w:cs="微软雅黑"/>
                <w:i w:val="0"/>
                <w:iCs w:val="0"/>
                <w:color w:val="000000"/>
                <w:kern w:val="0"/>
                <w:sz w:val="21"/>
                <w:szCs w:val="21"/>
                <w:u w:val="none"/>
                <w:lang w:val="en-US" w:eastAsia="zh-CN" w:bidi="ar"/>
              </w:rPr>
              <w:t>度</w:t>
            </w:r>
          </w:p>
        </w:tc>
        <w:tc>
          <w:tcPr>
            <w:tcW w:w="514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4C3F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交接班制度</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3E4F1">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val="0"/>
                <w:iCs w:val="0"/>
                <w:color w:val="000000"/>
                <w:sz w:val="21"/>
                <w:szCs w:val="21"/>
                <w:u w:val="none"/>
              </w:rPr>
            </w:pPr>
          </w:p>
        </w:tc>
        <w:tc>
          <w:tcPr>
            <w:tcW w:w="22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C7600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管理措施</w:t>
            </w:r>
          </w:p>
        </w:tc>
      </w:tr>
      <w:tr w14:paraId="08E75E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jc w:val="center"/>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5172CE">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val="0"/>
                <w:iCs w:val="0"/>
                <w:color w:val="000000"/>
                <w:sz w:val="21"/>
                <w:szCs w:val="21"/>
                <w:u w:val="none"/>
              </w:rPr>
            </w:pPr>
          </w:p>
        </w:tc>
        <w:tc>
          <w:tcPr>
            <w:tcW w:w="514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EBDC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请示报告制度</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386F7">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val="0"/>
                <w:iCs w:val="0"/>
                <w:color w:val="000000"/>
                <w:sz w:val="21"/>
                <w:szCs w:val="21"/>
                <w:u w:val="none"/>
              </w:rPr>
            </w:pPr>
          </w:p>
        </w:tc>
        <w:tc>
          <w:tcPr>
            <w:tcW w:w="22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B0EDE6">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val="0"/>
                <w:iCs w:val="0"/>
                <w:color w:val="000000"/>
                <w:sz w:val="21"/>
                <w:szCs w:val="21"/>
                <w:u w:val="none"/>
              </w:rPr>
            </w:pPr>
          </w:p>
        </w:tc>
      </w:tr>
      <w:tr w14:paraId="246142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jc w:val="center"/>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41632E">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val="0"/>
                <w:iCs w:val="0"/>
                <w:color w:val="000000"/>
                <w:sz w:val="21"/>
                <w:szCs w:val="21"/>
                <w:u w:val="none"/>
              </w:rPr>
            </w:pPr>
          </w:p>
        </w:tc>
        <w:tc>
          <w:tcPr>
            <w:tcW w:w="514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66B6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勤务检查制度</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ACF23">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val="0"/>
                <w:iCs w:val="0"/>
                <w:color w:val="000000"/>
                <w:sz w:val="21"/>
                <w:szCs w:val="21"/>
                <w:u w:val="none"/>
              </w:rPr>
            </w:pPr>
          </w:p>
        </w:tc>
        <w:tc>
          <w:tcPr>
            <w:tcW w:w="22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79C4E1">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val="0"/>
                <w:iCs w:val="0"/>
                <w:color w:val="000000"/>
                <w:sz w:val="21"/>
                <w:szCs w:val="21"/>
                <w:u w:val="none"/>
              </w:rPr>
            </w:pPr>
          </w:p>
        </w:tc>
      </w:tr>
      <w:tr w14:paraId="469D4B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jc w:val="center"/>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00E218">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val="0"/>
                <w:iCs w:val="0"/>
                <w:color w:val="000000"/>
                <w:sz w:val="21"/>
                <w:szCs w:val="21"/>
                <w:u w:val="none"/>
              </w:rPr>
            </w:pPr>
          </w:p>
        </w:tc>
        <w:tc>
          <w:tcPr>
            <w:tcW w:w="514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F737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勤务登记制度</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205DE">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val="0"/>
                <w:iCs w:val="0"/>
                <w:color w:val="000000"/>
                <w:sz w:val="21"/>
                <w:szCs w:val="21"/>
                <w:u w:val="none"/>
              </w:rPr>
            </w:pPr>
          </w:p>
        </w:tc>
        <w:tc>
          <w:tcPr>
            <w:tcW w:w="22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873163">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val="0"/>
                <w:iCs w:val="0"/>
                <w:color w:val="000000"/>
                <w:sz w:val="21"/>
                <w:szCs w:val="21"/>
                <w:u w:val="none"/>
              </w:rPr>
            </w:pPr>
          </w:p>
        </w:tc>
      </w:tr>
      <w:tr w14:paraId="4DDE75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AA88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微软雅黑" w:hAnsi="微软雅黑" w:eastAsia="微软雅黑" w:cs="微软雅黑"/>
                <w:i w:val="0"/>
                <w:iCs w:val="0"/>
                <w:color w:val="000000"/>
                <w:kern w:val="0"/>
                <w:sz w:val="21"/>
                <w:szCs w:val="21"/>
                <w:u w:val="none"/>
                <w:lang w:val="en-US" w:eastAsia="zh-CN" w:bidi="ar"/>
              </w:rPr>
            </w:pPr>
            <w:r>
              <w:rPr>
                <w:rFonts w:hint="eastAsia" w:ascii="微软雅黑" w:hAnsi="微软雅黑" w:eastAsia="微软雅黑" w:cs="微软雅黑"/>
                <w:i w:val="0"/>
                <w:iCs w:val="0"/>
                <w:color w:val="000000"/>
                <w:kern w:val="0"/>
                <w:sz w:val="21"/>
                <w:szCs w:val="21"/>
                <w:u w:val="none"/>
                <w:lang w:val="en-US" w:eastAsia="zh-CN" w:bidi="ar"/>
              </w:rPr>
              <w:t>岗位</w:t>
            </w:r>
          </w:p>
          <w:p w14:paraId="54F3C68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职责</w:t>
            </w:r>
          </w:p>
        </w:tc>
        <w:tc>
          <w:tcPr>
            <w:tcW w:w="514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3F96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微软雅黑" w:hAnsi="微软雅黑" w:eastAsia="微软雅黑" w:cs="微软雅黑"/>
                <w:i w:val="0"/>
                <w:iCs w:val="0"/>
                <w:color w:val="000000"/>
                <w:kern w:val="0"/>
                <w:sz w:val="21"/>
                <w:szCs w:val="21"/>
                <w:u w:val="none"/>
                <w:lang w:val="en-US" w:eastAsia="zh-CN" w:bidi="ar"/>
              </w:rPr>
            </w:pPr>
            <w:r>
              <w:rPr>
                <w:rFonts w:hint="eastAsia" w:ascii="微软雅黑" w:hAnsi="微软雅黑" w:eastAsia="微软雅黑" w:cs="微软雅黑"/>
                <w:i w:val="0"/>
                <w:iCs w:val="0"/>
                <w:color w:val="000000"/>
                <w:kern w:val="0"/>
                <w:sz w:val="21"/>
                <w:szCs w:val="21"/>
                <w:u w:val="none"/>
                <w:lang w:val="en-US" w:eastAsia="zh-CN" w:bidi="ar"/>
              </w:rPr>
              <w:t>对即将上岗的岗位职责进行培训</w:t>
            </w:r>
          </w:p>
          <w:p w14:paraId="538D65A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16"/>
                <w:szCs w:val="16"/>
                <w:u w:val="none"/>
                <w:lang w:val="en-US" w:eastAsia="zh-CN" w:bidi="ar"/>
              </w:rPr>
              <w:t>（培训方法：1.我说你听2.我做你看3.你说我听4.你做我看）</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59251">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val="0"/>
                <w:iCs w:val="0"/>
                <w:color w:val="000000"/>
                <w:sz w:val="21"/>
                <w:szCs w:val="21"/>
                <w:u w:val="none"/>
              </w:rPr>
            </w:pPr>
          </w:p>
        </w:tc>
        <w:tc>
          <w:tcPr>
            <w:tcW w:w="22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B40A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工作内容</w:t>
            </w:r>
          </w:p>
        </w:tc>
      </w:tr>
      <w:tr w14:paraId="3E4DDD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1" w:hRule="atLeast"/>
          <w:jc w:val="center"/>
        </w:trPr>
        <w:tc>
          <w:tcPr>
            <w:tcW w:w="9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ECA0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微软雅黑" w:hAnsi="微软雅黑" w:eastAsia="微软雅黑" w:cs="微软雅黑"/>
                <w:i w:val="0"/>
                <w:iCs w:val="0"/>
                <w:color w:val="000000"/>
                <w:kern w:val="0"/>
                <w:sz w:val="21"/>
                <w:szCs w:val="21"/>
                <w:u w:val="none"/>
                <w:lang w:val="en-US" w:eastAsia="zh-CN" w:bidi="ar"/>
              </w:rPr>
            </w:pPr>
            <w:r>
              <w:rPr>
                <w:rFonts w:hint="eastAsia" w:ascii="微软雅黑" w:hAnsi="微软雅黑" w:eastAsia="微软雅黑" w:cs="微软雅黑"/>
                <w:i w:val="0"/>
                <w:iCs w:val="0"/>
                <w:color w:val="000000"/>
                <w:kern w:val="0"/>
                <w:sz w:val="21"/>
                <w:szCs w:val="21"/>
                <w:u w:val="none"/>
                <w:lang w:val="en-US" w:eastAsia="zh-CN" w:bidi="ar"/>
              </w:rPr>
              <w:t>熟悉</w:t>
            </w:r>
          </w:p>
          <w:p w14:paraId="2C578DC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客户</w:t>
            </w:r>
          </w:p>
        </w:tc>
        <w:tc>
          <w:tcPr>
            <w:tcW w:w="514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EFB7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熟悉客户单位最高领导及分管保安直接领导相貌及车牌（客户单位其他人员逐步熟悉）</w:t>
            </w:r>
          </w:p>
        </w:tc>
        <w:tc>
          <w:tcPr>
            <w:tcW w:w="14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3749C">
            <w:pPr>
              <w:keepNext w:val="0"/>
              <w:keepLines w:val="0"/>
              <w:pageBreakBefore w:val="0"/>
              <w:widowControl/>
              <w:kinsoku/>
              <w:wordWrap/>
              <w:overflowPunct/>
              <w:topLinePunct w:val="0"/>
              <w:autoSpaceDE/>
              <w:autoSpaceDN/>
              <w:bidi w:val="0"/>
              <w:adjustRightInd/>
              <w:snapToGrid/>
              <w:spacing w:line="280" w:lineRule="exact"/>
              <w:jc w:val="center"/>
              <w:rPr>
                <w:rFonts w:hint="eastAsia" w:ascii="微软雅黑" w:hAnsi="微软雅黑" w:eastAsia="微软雅黑" w:cs="微软雅黑"/>
                <w:i w:val="0"/>
                <w:iCs w:val="0"/>
                <w:color w:val="000000"/>
                <w:sz w:val="21"/>
                <w:szCs w:val="21"/>
                <w:u w:val="none"/>
              </w:rPr>
            </w:pPr>
          </w:p>
        </w:tc>
        <w:tc>
          <w:tcPr>
            <w:tcW w:w="22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C3B9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微软雅黑" w:hAnsi="微软雅黑" w:eastAsia="微软雅黑" w:cs="微软雅黑"/>
                <w:i w:val="0"/>
                <w:iCs w:val="0"/>
                <w:color w:val="000000"/>
                <w:sz w:val="21"/>
                <w:szCs w:val="21"/>
                <w:u w:val="none"/>
              </w:rPr>
            </w:pPr>
            <w:r>
              <w:rPr>
                <w:rFonts w:hint="eastAsia" w:ascii="微软雅黑" w:hAnsi="微软雅黑" w:eastAsia="微软雅黑" w:cs="微软雅黑"/>
                <w:i w:val="0"/>
                <w:iCs w:val="0"/>
                <w:color w:val="000000"/>
                <w:kern w:val="0"/>
                <w:sz w:val="21"/>
                <w:szCs w:val="21"/>
                <w:u w:val="none"/>
                <w:lang w:val="en-US" w:eastAsia="zh-CN" w:bidi="ar"/>
              </w:rPr>
              <w:t>相关信息</w:t>
            </w:r>
          </w:p>
        </w:tc>
      </w:tr>
      <w:tr w14:paraId="06E0DF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7" w:hRule="atLeast"/>
          <w:jc w:val="center"/>
        </w:trPr>
        <w:tc>
          <w:tcPr>
            <w:tcW w:w="9877" w:type="dxa"/>
            <w:gridSpan w:val="6"/>
            <w:tcBorders>
              <w:top w:val="nil"/>
              <w:left w:val="nil"/>
              <w:bottom w:val="nil"/>
              <w:right w:val="nil"/>
            </w:tcBorders>
            <w:shd w:val="clear" w:color="auto" w:fill="auto"/>
            <w:vAlign w:val="bottom"/>
          </w:tcPr>
          <w:p w14:paraId="346C30C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bottom"/>
              <w:rPr>
                <w:rFonts w:hint="eastAsia" w:ascii="微软雅黑" w:hAnsi="微软雅黑" w:eastAsia="微软雅黑" w:cs="微软雅黑"/>
                <w:b/>
                <w:bCs/>
                <w:i w:val="0"/>
                <w:iCs w:val="0"/>
                <w:color w:val="000000"/>
                <w:sz w:val="21"/>
                <w:szCs w:val="21"/>
                <w:u w:val="none"/>
              </w:rPr>
            </w:pPr>
            <w:r>
              <w:rPr>
                <w:rStyle w:val="247"/>
                <w:sz w:val="21"/>
                <w:szCs w:val="21"/>
                <w:lang w:val="en-US" w:eastAsia="zh-CN" w:bidi="ar"/>
              </w:rPr>
              <w:t>完训签字</w:t>
            </w:r>
            <w:r>
              <w:rPr>
                <w:rStyle w:val="249"/>
                <w:sz w:val="21"/>
                <w:szCs w:val="21"/>
                <w:lang w:val="en-US" w:eastAsia="zh-CN" w:bidi="ar"/>
              </w:rPr>
              <w:t>（新员工填写）</w:t>
            </w:r>
            <w:r>
              <w:rPr>
                <w:rStyle w:val="251"/>
                <w:sz w:val="21"/>
                <w:szCs w:val="21"/>
                <w:lang w:val="en-US" w:eastAsia="zh-CN" w:bidi="ar"/>
              </w:rPr>
              <w:t xml:space="preserve">          </w:t>
            </w:r>
            <w:r>
              <w:rPr>
                <w:rStyle w:val="247"/>
                <w:sz w:val="21"/>
                <w:szCs w:val="21"/>
                <w:lang w:val="en-US" w:eastAsia="zh-CN" w:bidi="ar"/>
              </w:rPr>
              <w:t xml:space="preserve">  ；完训评价</w:t>
            </w:r>
            <w:r>
              <w:rPr>
                <w:rStyle w:val="249"/>
                <w:sz w:val="21"/>
                <w:szCs w:val="21"/>
                <w:lang w:val="en-US" w:eastAsia="zh-CN" w:bidi="ar"/>
              </w:rPr>
              <w:t>（内训员填写）</w:t>
            </w:r>
            <w:r>
              <w:rPr>
                <w:rStyle w:val="252"/>
                <w:rFonts w:eastAsia="微软雅黑"/>
                <w:sz w:val="21"/>
                <w:szCs w:val="21"/>
                <w:lang w:val="en-US" w:eastAsia="zh-CN" w:bidi="ar"/>
              </w:rPr>
              <w:t>¨</w:t>
            </w:r>
            <w:r>
              <w:rPr>
                <w:rStyle w:val="249"/>
                <w:sz w:val="21"/>
                <w:szCs w:val="21"/>
                <w:lang w:val="en-US" w:eastAsia="zh-CN" w:bidi="ar"/>
              </w:rPr>
              <w:t xml:space="preserve">合格   </w:t>
            </w:r>
            <w:r>
              <w:rPr>
                <w:rStyle w:val="252"/>
                <w:rFonts w:eastAsia="微软雅黑"/>
                <w:sz w:val="21"/>
                <w:szCs w:val="21"/>
                <w:lang w:val="en-US" w:eastAsia="zh-CN" w:bidi="ar"/>
              </w:rPr>
              <w:t>¨</w:t>
            </w:r>
            <w:r>
              <w:rPr>
                <w:rStyle w:val="249"/>
                <w:sz w:val="21"/>
                <w:szCs w:val="21"/>
                <w:lang w:val="en-US" w:eastAsia="zh-CN" w:bidi="ar"/>
              </w:rPr>
              <w:t>不合格  签字：</w:t>
            </w:r>
            <w:r>
              <w:rPr>
                <w:rStyle w:val="253"/>
                <w:sz w:val="21"/>
                <w:szCs w:val="21"/>
                <w:lang w:val="en-US" w:eastAsia="zh-CN" w:bidi="ar"/>
              </w:rPr>
              <w:t xml:space="preserve">                      </w:t>
            </w:r>
          </w:p>
        </w:tc>
      </w:tr>
      <w:tr w14:paraId="75647A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51" w:hRule="atLeast"/>
          <w:jc w:val="center"/>
        </w:trPr>
        <w:tc>
          <w:tcPr>
            <w:tcW w:w="989" w:type="dxa"/>
            <w:tcBorders>
              <w:top w:val="nil"/>
              <w:left w:val="nil"/>
              <w:bottom w:val="nil"/>
              <w:right w:val="nil"/>
            </w:tcBorders>
            <w:shd w:val="clear" w:color="auto" w:fill="auto"/>
            <w:vAlign w:val="center"/>
          </w:tcPr>
          <w:p w14:paraId="73A1D0A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黑体" w:hAnsi="宋体" w:eastAsia="黑体" w:cs="黑体"/>
                <w:i w:val="0"/>
                <w:iCs w:val="0"/>
                <w:color w:val="000000"/>
                <w:kern w:val="0"/>
                <w:sz w:val="21"/>
                <w:szCs w:val="21"/>
                <w:u w:val="none"/>
                <w:lang w:val="en-US" w:eastAsia="zh-CN" w:bidi="ar"/>
              </w:rPr>
            </w:pPr>
          </w:p>
          <w:p w14:paraId="4E8DC49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黑体" w:hAnsi="宋体" w:eastAsia="黑体" w:cs="黑体"/>
                <w:i w:val="0"/>
                <w:iCs w:val="0"/>
                <w:color w:val="000000"/>
                <w:kern w:val="0"/>
                <w:sz w:val="21"/>
                <w:szCs w:val="21"/>
                <w:u w:val="none"/>
                <w:lang w:val="en-US" w:eastAsia="zh-CN" w:bidi="ar"/>
              </w:rPr>
            </w:pPr>
            <w:r>
              <w:rPr>
                <w:rFonts w:hint="eastAsia" w:ascii="黑体" w:hAnsi="宋体" w:eastAsia="黑体" w:cs="黑体"/>
                <w:i w:val="0"/>
                <w:iCs w:val="0"/>
                <w:color w:val="000000"/>
                <w:kern w:val="0"/>
                <w:sz w:val="21"/>
                <w:szCs w:val="21"/>
                <w:u w:val="none"/>
                <w:lang w:val="en-US" w:eastAsia="zh-CN" w:bidi="ar"/>
              </w:rPr>
              <w:t>备注：</w:t>
            </w:r>
          </w:p>
          <w:p w14:paraId="34872E6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黑体" w:hAnsi="宋体" w:eastAsia="黑体" w:cs="黑体"/>
                <w:i w:val="0"/>
                <w:iCs w:val="0"/>
                <w:color w:val="000000"/>
                <w:kern w:val="0"/>
                <w:sz w:val="21"/>
                <w:szCs w:val="21"/>
                <w:u w:val="none"/>
                <w:lang w:val="en-US" w:eastAsia="zh-CN" w:bidi="ar"/>
              </w:rPr>
            </w:pPr>
          </w:p>
        </w:tc>
        <w:tc>
          <w:tcPr>
            <w:tcW w:w="8888" w:type="dxa"/>
            <w:gridSpan w:val="5"/>
            <w:tcBorders>
              <w:top w:val="nil"/>
              <w:left w:val="nil"/>
              <w:bottom w:val="nil"/>
              <w:right w:val="nil"/>
            </w:tcBorders>
            <w:shd w:val="clear" w:color="auto" w:fill="auto"/>
            <w:vAlign w:val="center"/>
          </w:tcPr>
          <w:p w14:paraId="49F0DFB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黑体" w:hAnsi="宋体" w:eastAsia="黑体" w:cs="黑体"/>
                <w:i w:val="0"/>
                <w:iCs w:val="0"/>
                <w:color w:val="000000"/>
                <w:kern w:val="0"/>
                <w:sz w:val="21"/>
                <w:szCs w:val="21"/>
                <w:u w:val="none"/>
                <w:lang w:val="en-US" w:eastAsia="zh-CN" w:bidi="ar"/>
              </w:rPr>
            </w:pPr>
          </w:p>
          <w:p w14:paraId="6F5146C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1.本记录适用于项目员工培训，岗前培训实施时间应在入职合同签订后至正式上岗前；</w:t>
            </w:r>
            <w:r>
              <w:rPr>
                <w:rFonts w:hint="eastAsia" w:ascii="黑体" w:hAnsi="宋体" w:eastAsia="黑体" w:cs="黑体"/>
                <w:i w:val="0"/>
                <w:iCs w:val="0"/>
                <w:color w:val="000000"/>
                <w:kern w:val="0"/>
                <w:sz w:val="21"/>
                <w:szCs w:val="21"/>
                <w:u w:val="none"/>
                <w:lang w:val="en-US" w:eastAsia="zh-CN" w:bidi="ar"/>
              </w:rPr>
              <w:br w:type="textWrapping"/>
            </w:r>
            <w:r>
              <w:rPr>
                <w:rFonts w:hint="eastAsia" w:ascii="黑体" w:hAnsi="宋体" w:eastAsia="黑体" w:cs="黑体"/>
                <w:i w:val="0"/>
                <w:iCs w:val="0"/>
                <w:color w:val="000000"/>
                <w:kern w:val="0"/>
                <w:sz w:val="21"/>
                <w:szCs w:val="21"/>
                <w:u w:val="none"/>
                <w:lang w:val="en-US" w:eastAsia="zh-CN" w:bidi="ar"/>
              </w:rPr>
              <w:t>2.队长指派专业人员（班长或骨干员工）为内训员，完成培训及档案留存、提交工作。</w:t>
            </w:r>
          </w:p>
        </w:tc>
      </w:tr>
    </w:tbl>
    <w:p w14:paraId="3D4ABADF">
      <w:pPr>
        <w:pStyle w:val="77"/>
        <w:spacing w:before="78" w:after="156"/>
      </w:pPr>
      <w:r>
        <w:rPr>
          <w:rFonts w:hint="eastAsia"/>
          <w:sz w:val="21"/>
          <w:szCs w:val="24"/>
        </w:rPr>
        <w:br w:type="textWrapping"/>
      </w:r>
      <w:r>
        <w:rPr>
          <w:rFonts w:hint="eastAsia"/>
          <w:sz w:val="21"/>
          <w:szCs w:val="24"/>
        </w:rPr>
        <w:t>（资料性）</w:t>
      </w:r>
      <w:r>
        <w:rPr>
          <w:rFonts w:hint="eastAsia"/>
          <w:sz w:val="21"/>
          <w:szCs w:val="24"/>
        </w:rPr>
        <w:br w:type="textWrapping"/>
      </w:r>
      <w:r>
        <w:rPr>
          <w:rFonts w:hint="eastAsia"/>
          <w:sz w:val="21"/>
          <w:szCs w:val="24"/>
          <w:lang w:eastAsia="zh-CN"/>
        </w:rPr>
        <w:t>岗位培训流程</w:t>
      </w:r>
    </w:p>
    <w:p w14:paraId="006E855F">
      <w:pPr>
        <w:pStyle w:val="57"/>
        <w:jc w:val="center"/>
      </w:pPr>
      <w:r>
        <w:drawing>
          <wp:inline distT="0" distB="0" distL="114300" distR="114300">
            <wp:extent cx="4512310" cy="5872480"/>
            <wp:effectExtent l="0" t="0" r="13970" b="10160"/>
            <wp:docPr id="10" name="图片 10" descr="4303c95267c299736ad6f3d77f5db8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4303c95267c299736ad6f3d77f5db8e"/>
                    <pic:cNvPicPr>
                      <a:picLocks noChangeAspect="1"/>
                    </pic:cNvPicPr>
                  </pic:nvPicPr>
                  <pic:blipFill>
                    <a:blip r:embed="rId14"/>
                    <a:stretch>
                      <a:fillRect/>
                    </a:stretch>
                  </pic:blipFill>
                  <pic:spPr>
                    <a:xfrm>
                      <a:off x="0" y="0"/>
                      <a:ext cx="4512310" cy="5872480"/>
                    </a:xfrm>
                    <a:prstGeom prst="rect">
                      <a:avLst/>
                    </a:prstGeom>
                  </pic:spPr>
                </pic:pic>
              </a:graphicData>
            </a:graphic>
          </wp:inline>
        </w:drawing>
      </w:r>
    </w:p>
    <w:p w14:paraId="4B41FDA5">
      <w:pPr>
        <w:pStyle w:val="57"/>
      </w:pPr>
    </w:p>
    <w:p w14:paraId="1326CE8F">
      <w:pPr>
        <w:pStyle w:val="57"/>
        <w:ind w:left="0" w:leftChars="0" w:firstLine="0" w:firstLineChars="0"/>
        <w:jc w:val="center"/>
      </w:pPr>
    </w:p>
    <w:p w14:paraId="5373180A">
      <w:pPr>
        <w:pStyle w:val="57"/>
      </w:pPr>
    </w:p>
    <w:p w14:paraId="01038488">
      <w:pPr>
        <w:keepNext w:val="0"/>
        <w:keepLines w:val="0"/>
        <w:pageBreakBefore w:val="0"/>
        <w:widowControl w:val="0"/>
        <w:numPr>
          <w:ilvl w:val="0"/>
          <w:numId w:val="0"/>
        </w:numPr>
        <w:kinsoku/>
        <w:wordWrap/>
        <w:overflowPunct/>
        <w:topLinePunct w:val="0"/>
        <w:autoSpaceDE/>
        <w:autoSpaceDN/>
        <w:bidi w:val="0"/>
        <w:adjustRightInd w:val="0"/>
        <w:snapToGrid/>
        <w:spacing w:line="300" w:lineRule="exact"/>
        <w:jc w:val="both"/>
        <w:textAlignment w:val="auto"/>
        <w:rPr>
          <w:rFonts w:hint="eastAsia" w:ascii="黑体" w:hAnsi="黑体" w:eastAsia="黑体" w:cs="黑体"/>
          <w:b w:val="0"/>
          <w:bCs w:val="0"/>
          <w:sz w:val="20"/>
          <w:szCs w:val="20"/>
          <w:lang w:val="en-US" w:eastAsia="zh-CN"/>
        </w:rPr>
      </w:pPr>
    </w:p>
    <w:p w14:paraId="3F9FB5B0">
      <w:pPr>
        <w:keepNext w:val="0"/>
        <w:keepLines w:val="0"/>
        <w:pageBreakBefore w:val="0"/>
        <w:widowControl w:val="0"/>
        <w:numPr>
          <w:ilvl w:val="0"/>
          <w:numId w:val="0"/>
        </w:numPr>
        <w:kinsoku/>
        <w:wordWrap/>
        <w:overflowPunct/>
        <w:topLinePunct w:val="0"/>
        <w:autoSpaceDE/>
        <w:autoSpaceDN/>
        <w:bidi w:val="0"/>
        <w:adjustRightInd w:val="0"/>
        <w:snapToGrid/>
        <w:spacing w:line="300" w:lineRule="exact"/>
        <w:jc w:val="both"/>
        <w:textAlignment w:val="auto"/>
        <w:rPr>
          <w:rFonts w:hint="eastAsia" w:ascii="黑体" w:hAnsi="黑体" w:eastAsia="黑体" w:cs="黑体"/>
          <w:b w:val="0"/>
          <w:bCs w:val="0"/>
          <w:sz w:val="20"/>
          <w:szCs w:val="20"/>
          <w:lang w:val="en-US" w:eastAsia="zh-CN"/>
        </w:rPr>
      </w:pPr>
    </w:p>
    <w:p w14:paraId="04731F31">
      <w:pPr>
        <w:keepNext w:val="0"/>
        <w:keepLines w:val="0"/>
        <w:pageBreakBefore w:val="0"/>
        <w:widowControl w:val="0"/>
        <w:numPr>
          <w:ilvl w:val="0"/>
          <w:numId w:val="0"/>
        </w:numPr>
        <w:kinsoku/>
        <w:wordWrap/>
        <w:overflowPunct/>
        <w:topLinePunct w:val="0"/>
        <w:autoSpaceDE/>
        <w:autoSpaceDN/>
        <w:bidi w:val="0"/>
        <w:adjustRightInd w:val="0"/>
        <w:snapToGrid/>
        <w:spacing w:line="300" w:lineRule="exact"/>
        <w:jc w:val="both"/>
        <w:textAlignment w:val="auto"/>
        <w:rPr>
          <w:rFonts w:hint="eastAsia" w:ascii="黑体" w:hAnsi="黑体" w:eastAsia="黑体" w:cs="黑体"/>
          <w:b w:val="0"/>
          <w:bCs w:val="0"/>
          <w:sz w:val="20"/>
          <w:szCs w:val="20"/>
          <w:lang w:val="en-US" w:eastAsia="zh-CN"/>
        </w:rPr>
      </w:pPr>
    </w:p>
    <w:p w14:paraId="373838FB">
      <w:pPr>
        <w:keepNext w:val="0"/>
        <w:keepLines w:val="0"/>
        <w:pageBreakBefore w:val="0"/>
        <w:widowControl w:val="0"/>
        <w:numPr>
          <w:ilvl w:val="0"/>
          <w:numId w:val="0"/>
        </w:numPr>
        <w:kinsoku/>
        <w:wordWrap/>
        <w:overflowPunct/>
        <w:topLinePunct w:val="0"/>
        <w:autoSpaceDE/>
        <w:autoSpaceDN/>
        <w:bidi w:val="0"/>
        <w:adjustRightInd w:val="0"/>
        <w:snapToGrid/>
        <w:spacing w:line="300" w:lineRule="exact"/>
        <w:jc w:val="both"/>
        <w:textAlignment w:val="auto"/>
        <w:rPr>
          <w:rFonts w:hint="eastAsia" w:ascii="黑体" w:hAnsi="黑体" w:eastAsia="黑体" w:cs="黑体"/>
          <w:b w:val="0"/>
          <w:bCs w:val="0"/>
          <w:sz w:val="20"/>
          <w:szCs w:val="20"/>
          <w:lang w:val="en-US" w:eastAsia="zh-CN"/>
        </w:rPr>
      </w:pPr>
    </w:p>
    <w:p w14:paraId="3773C35E">
      <w:pPr>
        <w:keepNext w:val="0"/>
        <w:keepLines w:val="0"/>
        <w:pageBreakBefore w:val="0"/>
        <w:widowControl w:val="0"/>
        <w:numPr>
          <w:ilvl w:val="0"/>
          <w:numId w:val="0"/>
        </w:numPr>
        <w:kinsoku/>
        <w:wordWrap/>
        <w:overflowPunct/>
        <w:topLinePunct w:val="0"/>
        <w:autoSpaceDE/>
        <w:autoSpaceDN/>
        <w:bidi w:val="0"/>
        <w:adjustRightInd w:val="0"/>
        <w:snapToGrid/>
        <w:spacing w:line="300" w:lineRule="exact"/>
        <w:jc w:val="both"/>
        <w:textAlignment w:val="auto"/>
        <w:rPr>
          <w:rFonts w:hint="eastAsia" w:ascii="黑体" w:hAnsi="黑体" w:eastAsia="黑体" w:cs="黑体"/>
          <w:b w:val="0"/>
          <w:bCs w:val="0"/>
          <w:sz w:val="20"/>
          <w:szCs w:val="20"/>
          <w:lang w:val="en-US" w:eastAsia="zh-CN"/>
        </w:rPr>
      </w:pPr>
    </w:p>
    <w:p w14:paraId="6BF71415">
      <w:pPr>
        <w:keepNext w:val="0"/>
        <w:keepLines w:val="0"/>
        <w:pageBreakBefore w:val="0"/>
        <w:widowControl w:val="0"/>
        <w:numPr>
          <w:ilvl w:val="0"/>
          <w:numId w:val="0"/>
        </w:numPr>
        <w:kinsoku/>
        <w:wordWrap/>
        <w:overflowPunct/>
        <w:topLinePunct w:val="0"/>
        <w:autoSpaceDE/>
        <w:autoSpaceDN/>
        <w:bidi w:val="0"/>
        <w:adjustRightInd w:val="0"/>
        <w:snapToGrid/>
        <w:spacing w:line="300" w:lineRule="exact"/>
        <w:jc w:val="both"/>
        <w:textAlignment w:val="auto"/>
        <w:rPr>
          <w:rFonts w:hint="eastAsia" w:ascii="黑体" w:hAnsi="黑体" w:eastAsia="黑体" w:cs="黑体"/>
          <w:b w:val="0"/>
          <w:bCs w:val="0"/>
          <w:sz w:val="20"/>
          <w:szCs w:val="20"/>
          <w:lang w:val="en-US" w:eastAsia="zh-CN"/>
        </w:rPr>
      </w:pPr>
    </w:p>
    <w:p w14:paraId="41493508">
      <w:pPr>
        <w:keepNext w:val="0"/>
        <w:keepLines w:val="0"/>
        <w:pageBreakBefore w:val="0"/>
        <w:widowControl w:val="0"/>
        <w:numPr>
          <w:ilvl w:val="0"/>
          <w:numId w:val="0"/>
        </w:numPr>
        <w:kinsoku/>
        <w:wordWrap/>
        <w:overflowPunct/>
        <w:topLinePunct w:val="0"/>
        <w:autoSpaceDE/>
        <w:autoSpaceDN/>
        <w:bidi w:val="0"/>
        <w:adjustRightInd w:val="0"/>
        <w:snapToGrid/>
        <w:spacing w:line="300" w:lineRule="exact"/>
        <w:jc w:val="both"/>
        <w:textAlignment w:val="auto"/>
        <w:rPr>
          <w:rFonts w:hint="eastAsia" w:ascii="黑体" w:hAnsi="黑体" w:eastAsia="黑体" w:cs="黑体"/>
          <w:b w:val="0"/>
          <w:bCs w:val="0"/>
          <w:sz w:val="20"/>
          <w:szCs w:val="20"/>
          <w:lang w:val="en-US" w:eastAsia="zh-CN"/>
        </w:rPr>
      </w:pPr>
    </w:p>
    <w:p w14:paraId="746B00E3">
      <w:pPr>
        <w:keepNext w:val="0"/>
        <w:keepLines w:val="0"/>
        <w:pageBreakBefore w:val="0"/>
        <w:widowControl w:val="0"/>
        <w:numPr>
          <w:ilvl w:val="0"/>
          <w:numId w:val="0"/>
        </w:numPr>
        <w:kinsoku/>
        <w:wordWrap/>
        <w:overflowPunct/>
        <w:topLinePunct w:val="0"/>
        <w:autoSpaceDE/>
        <w:autoSpaceDN/>
        <w:bidi w:val="0"/>
        <w:adjustRightInd w:val="0"/>
        <w:snapToGrid/>
        <w:spacing w:line="300" w:lineRule="exact"/>
        <w:jc w:val="center"/>
        <w:textAlignment w:val="auto"/>
        <w:rPr>
          <w:rFonts w:hint="eastAsia" w:ascii="黑体" w:hAnsi="黑体" w:eastAsia="黑体" w:cs="黑体"/>
          <w:b w:val="0"/>
          <w:bCs w:val="0"/>
          <w:sz w:val="20"/>
          <w:szCs w:val="20"/>
          <w:lang w:val="en-US" w:eastAsia="zh-CN"/>
        </w:rPr>
      </w:pPr>
      <w:r>
        <w:rPr>
          <w:rFonts w:hint="eastAsia" w:ascii="黑体" w:hAnsi="黑体" w:eastAsia="黑体" w:cs="黑体"/>
          <w:b w:val="0"/>
          <w:bCs w:val="0"/>
          <w:sz w:val="20"/>
          <w:szCs w:val="20"/>
          <w:lang w:val="en-US" w:eastAsia="zh-CN"/>
        </w:rPr>
        <w:t>参考文献</w:t>
      </w:r>
    </w:p>
    <w:p w14:paraId="777ED0D3">
      <w:pPr>
        <w:keepNext w:val="0"/>
        <w:keepLines w:val="0"/>
        <w:pageBreakBefore w:val="0"/>
        <w:widowControl w:val="0"/>
        <w:numPr>
          <w:ilvl w:val="0"/>
          <w:numId w:val="0"/>
        </w:numPr>
        <w:kinsoku/>
        <w:wordWrap/>
        <w:overflowPunct/>
        <w:topLinePunct w:val="0"/>
        <w:autoSpaceDE/>
        <w:autoSpaceDN/>
        <w:bidi w:val="0"/>
        <w:adjustRightInd w:val="0"/>
        <w:snapToGrid/>
        <w:spacing w:line="300" w:lineRule="exact"/>
        <w:jc w:val="center"/>
        <w:textAlignment w:val="auto"/>
        <w:rPr>
          <w:rFonts w:hint="eastAsia" w:ascii="黑体" w:hAnsi="黑体" w:eastAsia="黑体" w:cs="黑体"/>
          <w:b w:val="0"/>
          <w:bCs w:val="0"/>
          <w:sz w:val="20"/>
          <w:szCs w:val="20"/>
          <w:lang w:val="en-US" w:eastAsia="zh-CN"/>
        </w:rPr>
      </w:pPr>
    </w:p>
    <w:p w14:paraId="33EA1999">
      <w:pPr>
        <w:keepNext w:val="0"/>
        <w:keepLines w:val="0"/>
        <w:pageBreakBefore w:val="0"/>
        <w:widowControl w:val="0"/>
        <w:numPr>
          <w:ilvl w:val="0"/>
          <w:numId w:val="0"/>
        </w:numPr>
        <w:kinsoku/>
        <w:wordWrap/>
        <w:overflowPunct/>
        <w:topLinePunct w:val="0"/>
        <w:autoSpaceDE/>
        <w:autoSpaceDN/>
        <w:bidi w:val="0"/>
        <w:adjustRightInd w:val="0"/>
        <w:snapToGrid/>
        <w:spacing w:line="300" w:lineRule="exact"/>
        <w:jc w:val="center"/>
        <w:textAlignment w:val="auto"/>
        <w:rPr>
          <w:rFonts w:hint="eastAsia" w:ascii="黑体" w:hAnsi="黑体" w:eastAsia="黑体" w:cs="黑体"/>
          <w:b w:val="0"/>
          <w:bCs w:val="0"/>
          <w:sz w:val="20"/>
          <w:szCs w:val="20"/>
          <w:lang w:val="en-US" w:eastAsia="zh-CN"/>
        </w:rPr>
      </w:pPr>
    </w:p>
    <w:p w14:paraId="1414E871">
      <w:pPr>
        <w:keepNext w:val="0"/>
        <w:keepLines w:val="0"/>
        <w:pageBreakBefore w:val="0"/>
        <w:widowControl w:val="0"/>
        <w:numPr>
          <w:ilvl w:val="0"/>
          <w:numId w:val="0"/>
        </w:numPr>
        <w:kinsoku/>
        <w:wordWrap/>
        <w:overflowPunct/>
        <w:topLinePunct w:val="0"/>
        <w:autoSpaceDE/>
        <w:autoSpaceDN/>
        <w:bidi w:val="0"/>
        <w:adjustRightInd w:val="0"/>
        <w:snapToGrid/>
        <w:spacing w:line="300" w:lineRule="exact"/>
        <w:jc w:val="center"/>
        <w:textAlignment w:val="auto"/>
        <w:rPr>
          <w:rFonts w:hint="eastAsia" w:ascii="黑体" w:hAnsi="黑体" w:eastAsia="黑体" w:cs="黑体"/>
          <w:b w:val="0"/>
          <w:bCs w:val="0"/>
          <w:sz w:val="20"/>
          <w:szCs w:val="20"/>
          <w:lang w:val="en-US" w:eastAsia="zh-CN"/>
        </w:rPr>
      </w:pPr>
    </w:p>
    <w:p w14:paraId="1489824D">
      <w:pPr>
        <w:keepNext w:val="0"/>
        <w:keepLines w:val="0"/>
        <w:pageBreakBefore w:val="0"/>
        <w:widowControl w:val="0"/>
        <w:numPr>
          <w:ilvl w:val="0"/>
          <w:numId w:val="0"/>
        </w:numPr>
        <w:kinsoku/>
        <w:wordWrap/>
        <w:overflowPunct/>
        <w:topLinePunct w:val="0"/>
        <w:autoSpaceDE/>
        <w:autoSpaceDN/>
        <w:bidi w:val="0"/>
        <w:adjustRightInd w:val="0"/>
        <w:snapToGrid/>
        <w:spacing w:line="300" w:lineRule="exact"/>
        <w:jc w:val="center"/>
        <w:textAlignment w:val="auto"/>
        <w:rPr>
          <w:rFonts w:hint="eastAsia" w:ascii="黑体" w:hAnsi="黑体" w:eastAsia="黑体" w:cs="黑体"/>
          <w:b w:val="0"/>
          <w:bCs w:val="0"/>
          <w:sz w:val="20"/>
          <w:szCs w:val="20"/>
          <w:lang w:val="en-US" w:eastAsia="zh-CN"/>
        </w:rPr>
      </w:pPr>
    </w:p>
    <w:p w14:paraId="0B3DD5B7">
      <w:pPr>
        <w:keepNext w:val="0"/>
        <w:keepLines w:val="0"/>
        <w:pageBreakBefore w:val="0"/>
        <w:widowControl w:val="0"/>
        <w:numPr>
          <w:ilvl w:val="0"/>
          <w:numId w:val="0"/>
        </w:numPr>
        <w:kinsoku/>
        <w:wordWrap/>
        <w:overflowPunct/>
        <w:topLinePunct w:val="0"/>
        <w:autoSpaceDE/>
        <w:autoSpaceDN/>
        <w:bidi w:val="0"/>
        <w:adjustRightInd w:val="0"/>
        <w:snapToGrid/>
        <w:spacing w:line="300" w:lineRule="exact"/>
        <w:ind w:leftChars="0"/>
        <w:jc w:val="left"/>
        <w:textAlignment w:val="auto"/>
        <w:rPr>
          <w:rFonts w:hint="eastAsia" w:ascii="宋体" w:hAnsi="宋体" w:eastAsia="宋体" w:cs="宋体"/>
          <w:b w:val="0"/>
          <w:bCs w:val="0"/>
          <w:sz w:val="20"/>
          <w:szCs w:val="20"/>
          <w:lang w:val="en-US" w:eastAsia="zh-CN"/>
        </w:rPr>
      </w:pPr>
      <w:r>
        <w:rPr>
          <w:rFonts w:hint="eastAsia" w:ascii="宋体" w:hAnsi="宋体" w:eastAsia="宋体" w:cs="宋体"/>
          <w:b w:val="0"/>
          <w:bCs w:val="0"/>
          <w:sz w:val="20"/>
          <w:szCs w:val="20"/>
          <w:lang w:val="en-US" w:eastAsia="zh-CN"/>
        </w:rPr>
        <w:t>[1]《保安服务管理条例》（国务院令第 564 号）</w:t>
      </w:r>
    </w:p>
    <w:p w14:paraId="60D41723">
      <w:pPr>
        <w:keepNext w:val="0"/>
        <w:keepLines w:val="0"/>
        <w:pageBreakBefore w:val="0"/>
        <w:widowControl w:val="0"/>
        <w:numPr>
          <w:ilvl w:val="0"/>
          <w:numId w:val="0"/>
        </w:numPr>
        <w:kinsoku/>
        <w:wordWrap/>
        <w:overflowPunct/>
        <w:topLinePunct w:val="0"/>
        <w:autoSpaceDE/>
        <w:autoSpaceDN/>
        <w:bidi w:val="0"/>
        <w:adjustRightInd w:val="0"/>
        <w:snapToGrid/>
        <w:spacing w:line="300" w:lineRule="exact"/>
        <w:jc w:val="left"/>
        <w:textAlignment w:val="auto"/>
        <w:rPr>
          <w:rFonts w:hint="eastAsia" w:ascii="宋体" w:hAnsi="宋体" w:eastAsia="宋体" w:cs="宋体"/>
          <w:b w:val="0"/>
          <w:bCs w:val="0"/>
          <w:sz w:val="20"/>
          <w:szCs w:val="20"/>
          <w:lang w:val="en-US" w:eastAsia="zh-CN"/>
        </w:rPr>
      </w:pPr>
      <w:r>
        <w:rPr>
          <w:rFonts w:hint="eastAsia" w:ascii="宋体" w:hAnsi="宋体" w:eastAsia="宋体" w:cs="宋体"/>
          <w:b w:val="0"/>
          <w:bCs w:val="0"/>
          <w:sz w:val="20"/>
          <w:szCs w:val="20"/>
          <w:lang w:val="en-US" w:eastAsia="zh-CN"/>
        </w:rPr>
        <w:t>[2]《公安机关实施保安服务管理条例办法》（公安部令第 112 号）</w:t>
      </w:r>
    </w:p>
    <w:p w14:paraId="45438087">
      <w:pPr>
        <w:keepNext w:val="0"/>
        <w:keepLines w:val="0"/>
        <w:pageBreakBefore w:val="0"/>
        <w:widowControl w:val="0"/>
        <w:numPr>
          <w:ilvl w:val="0"/>
          <w:numId w:val="0"/>
        </w:numPr>
        <w:kinsoku/>
        <w:wordWrap/>
        <w:overflowPunct/>
        <w:topLinePunct w:val="0"/>
        <w:autoSpaceDE/>
        <w:autoSpaceDN/>
        <w:bidi w:val="0"/>
        <w:adjustRightInd w:val="0"/>
        <w:snapToGrid/>
        <w:spacing w:line="300" w:lineRule="exact"/>
        <w:jc w:val="both"/>
        <w:textAlignment w:val="auto"/>
        <w:rPr>
          <w:rFonts w:hint="eastAsia" w:ascii="宋体" w:hAnsi="宋体" w:eastAsia="宋体" w:cs="宋体"/>
          <w:b w:val="0"/>
          <w:bCs w:val="0"/>
          <w:sz w:val="20"/>
          <w:szCs w:val="20"/>
          <w:lang w:val="en-US" w:eastAsia="zh-CN"/>
        </w:rPr>
      </w:pPr>
      <w:r>
        <w:rPr>
          <w:rFonts w:hint="eastAsia" w:ascii="宋体" w:hAnsi="宋体" w:eastAsia="宋体" w:cs="宋体"/>
          <w:b w:val="0"/>
          <w:bCs w:val="0"/>
          <w:sz w:val="20"/>
          <w:szCs w:val="20"/>
          <w:lang w:val="en-US" w:eastAsia="zh-CN"/>
        </w:rPr>
        <w:t>[3]《安徽省保安服务管理办法》（安徽省人民政府令第 282 号）</w:t>
      </w:r>
    </w:p>
    <w:p w14:paraId="1063BDF0">
      <w:pPr>
        <w:keepNext w:val="0"/>
        <w:keepLines w:val="0"/>
        <w:pageBreakBefore w:val="0"/>
        <w:widowControl w:val="0"/>
        <w:numPr>
          <w:ilvl w:val="0"/>
          <w:numId w:val="0"/>
        </w:numPr>
        <w:kinsoku/>
        <w:wordWrap/>
        <w:overflowPunct/>
        <w:topLinePunct w:val="0"/>
        <w:autoSpaceDE/>
        <w:autoSpaceDN/>
        <w:bidi w:val="0"/>
        <w:adjustRightInd w:val="0"/>
        <w:snapToGrid/>
        <w:spacing w:line="300" w:lineRule="exact"/>
        <w:jc w:val="both"/>
        <w:textAlignment w:val="auto"/>
        <w:rPr>
          <w:rFonts w:hint="eastAsia" w:ascii="宋体" w:hAnsi="宋体" w:eastAsia="宋体" w:cs="宋体"/>
          <w:b w:val="0"/>
          <w:bCs w:val="0"/>
          <w:sz w:val="20"/>
          <w:szCs w:val="20"/>
          <w:lang w:val="en-US" w:eastAsia="zh-CN"/>
        </w:rPr>
      </w:pPr>
      <w:r>
        <w:rPr>
          <w:rFonts w:hint="eastAsia" w:ascii="宋体" w:hAnsi="宋体" w:eastAsia="宋体" w:cs="宋体"/>
          <w:b w:val="0"/>
          <w:bCs w:val="0"/>
          <w:sz w:val="20"/>
          <w:szCs w:val="20"/>
          <w:lang w:val="en-US" w:eastAsia="zh-CN"/>
        </w:rPr>
        <w:t>[4]《安徽省大型群众性活动安全管理规定》（安徽省人民政府令第 303 号）</w:t>
      </w:r>
    </w:p>
    <w:p w14:paraId="5C929815">
      <w:pPr>
        <w:keepNext w:val="0"/>
        <w:keepLines w:val="0"/>
        <w:pageBreakBefore w:val="0"/>
        <w:widowControl w:val="0"/>
        <w:numPr>
          <w:ilvl w:val="0"/>
          <w:numId w:val="0"/>
        </w:numPr>
        <w:kinsoku/>
        <w:wordWrap/>
        <w:overflowPunct/>
        <w:topLinePunct w:val="0"/>
        <w:autoSpaceDE/>
        <w:autoSpaceDN/>
        <w:bidi w:val="0"/>
        <w:adjustRightInd w:val="0"/>
        <w:snapToGrid/>
        <w:spacing w:line="300" w:lineRule="exact"/>
        <w:jc w:val="both"/>
        <w:textAlignment w:val="auto"/>
        <w:rPr>
          <w:rFonts w:hint="eastAsia" w:ascii="宋体" w:hAnsi="宋体" w:eastAsia="宋体" w:cs="宋体"/>
          <w:b w:val="0"/>
          <w:bCs w:val="0"/>
          <w:sz w:val="20"/>
          <w:szCs w:val="20"/>
          <w:lang w:val="en-US" w:eastAsia="zh-CN"/>
        </w:rPr>
      </w:pPr>
    </w:p>
    <w:p w14:paraId="31DF7D23">
      <w:pPr>
        <w:keepNext w:val="0"/>
        <w:keepLines w:val="0"/>
        <w:pageBreakBefore w:val="0"/>
        <w:widowControl w:val="0"/>
        <w:numPr>
          <w:ilvl w:val="0"/>
          <w:numId w:val="0"/>
        </w:numPr>
        <w:kinsoku/>
        <w:wordWrap/>
        <w:overflowPunct/>
        <w:topLinePunct w:val="0"/>
        <w:autoSpaceDE/>
        <w:autoSpaceDN/>
        <w:bidi w:val="0"/>
        <w:adjustRightInd w:val="0"/>
        <w:snapToGrid/>
        <w:spacing w:line="300" w:lineRule="exact"/>
        <w:jc w:val="both"/>
        <w:textAlignment w:val="auto"/>
        <w:rPr>
          <w:rFonts w:hint="eastAsia" w:ascii="黑体" w:hAnsi="黑体" w:eastAsia="黑体" w:cs="黑体"/>
          <w:b w:val="0"/>
          <w:bCs w:val="0"/>
          <w:sz w:val="20"/>
          <w:szCs w:val="20"/>
          <w:lang w:val="en-US" w:eastAsia="zh-CN"/>
        </w:rPr>
      </w:pPr>
    </w:p>
    <w:p w14:paraId="3DCAEFA0">
      <w:pPr>
        <w:keepNext w:val="0"/>
        <w:keepLines w:val="0"/>
        <w:pageBreakBefore w:val="0"/>
        <w:widowControl w:val="0"/>
        <w:numPr>
          <w:ilvl w:val="0"/>
          <w:numId w:val="0"/>
        </w:numPr>
        <w:kinsoku/>
        <w:wordWrap/>
        <w:overflowPunct/>
        <w:topLinePunct w:val="0"/>
        <w:autoSpaceDE/>
        <w:autoSpaceDN/>
        <w:bidi w:val="0"/>
        <w:adjustRightInd w:val="0"/>
        <w:snapToGrid/>
        <w:spacing w:line="300" w:lineRule="exact"/>
        <w:jc w:val="both"/>
        <w:textAlignment w:val="auto"/>
        <w:rPr>
          <w:rFonts w:hint="eastAsia" w:ascii="黑体" w:hAnsi="黑体" w:eastAsia="黑体" w:cs="黑体"/>
          <w:b w:val="0"/>
          <w:bCs w:val="0"/>
          <w:sz w:val="20"/>
          <w:szCs w:val="20"/>
          <w:lang w:val="en-US" w:eastAsia="zh-CN"/>
        </w:rPr>
      </w:pPr>
    </w:p>
    <w:p w14:paraId="596624D6">
      <w:pPr>
        <w:keepNext w:val="0"/>
        <w:keepLines w:val="0"/>
        <w:pageBreakBefore w:val="0"/>
        <w:widowControl w:val="0"/>
        <w:numPr>
          <w:ilvl w:val="0"/>
          <w:numId w:val="0"/>
        </w:numPr>
        <w:kinsoku/>
        <w:wordWrap/>
        <w:overflowPunct/>
        <w:topLinePunct w:val="0"/>
        <w:autoSpaceDE/>
        <w:autoSpaceDN/>
        <w:bidi w:val="0"/>
        <w:adjustRightInd w:val="0"/>
        <w:snapToGrid/>
        <w:spacing w:line="300" w:lineRule="exact"/>
        <w:jc w:val="center"/>
        <w:textAlignment w:val="auto"/>
        <w:rPr>
          <w:rFonts w:hint="eastAsia" w:ascii="黑体" w:hAnsi="黑体" w:eastAsia="黑体" w:cs="黑体"/>
          <w:b w:val="0"/>
          <w:bCs w:val="0"/>
          <w:sz w:val="20"/>
          <w:szCs w:val="20"/>
          <w:lang w:val="en-US" w:eastAsia="zh-CN"/>
        </w:rPr>
      </w:pPr>
      <w:r>
        <w:drawing>
          <wp:inline distT="0" distB="0" distL="0" distR="0">
            <wp:extent cx="1485900" cy="317500"/>
            <wp:effectExtent l="0" t="0" r="7620" b="254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p>
    <w:sectPr>
      <w:pgSz w:w="11906" w:h="16838"/>
      <w:pgMar w:top="1871" w:right="1134" w:bottom="1134" w:left="1134" w:header="1418" w:footer="1134" w:gutter="284"/>
      <w:pgBorders>
        <w:top w:val="none" w:sz="0" w:space="0"/>
        <w:left w:val="none" w:sz="0" w:space="0"/>
        <w:bottom w:val="none" w:sz="0" w:space="0"/>
        <w:right w:val="none" w:sz="0" w:space="0"/>
      </w:pgBorders>
      <w:pgNumType w:start="1"/>
      <w:cols w:space="425"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C6AC4">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A56FAF">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518D2B">
    <w:pPr>
      <w:pStyle w:val="53"/>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5E2109">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5D4A34">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D6F847">
    <w:pPr>
      <w:pStyle w:val="62"/>
    </w:pPr>
    <w:r>
      <w:fldChar w:fldCharType="begin"/>
    </w:r>
    <w:r>
      <w:instrText xml:space="preserve"> STYLEREF  标准文件_文件编号  \* MERGEFORMAT </w:instrText>
    </w:r>
    <w:r>
      <w:fldChar w:fldCharType="separate"/>
    </w:r>
    <w:r>
      <w:t>DB 34/T XXXXX—XXXX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pStyle w:val="240"/>
      <w:lvlText w:val="%3."/>
      <w:lvlJc w:val="right"/>
      <w:pPr>
        <w:tabs>
          <w:tab w:val="left" w:pos="1963"/>
        </w:tabs>
        <w:ind w:left="1963" w:hanging="420"/>
      </w:pPr>
      <w:rPr>
        <w:rFonts w:hint="eastAsia"/>
      </w:rPr>
    </w:lvl>
    <w:lvl w:ilvl="3" w:tentative="0">
      <w:start w:val="1"/>
      <w:numFmt w:val="decimal"/>
      <w:pStyle w:val="241"/>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pStyle w:val="232"/>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1"/>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3"/>
      <w:suff w:val="nothing"/>
      <w:lvlText w:val="%1.%2.%3　"/>
      <w:lvlJc w:val="left"/>
      <w:pPr>
        <w:ind w:left="0" w:firstLine="0"/>
      </w:pPr>
      <w:rPr>
        <w:rFonts w:hint="eastAsia" w:ascii="黑体" w:hAnsi="Times New Roman" w:eastAsia="黑体"/>
        <w:b w:val="0"/>
        <w:i w:val="0"/>
        <w:sz w:val="21"/>
      </w:rPr>
    </w:lvl>
    <w:lvl w:ilvl="3" w:tentative="0">
      <w:start w:val="1"/>
      <w:numFmt w:val="decimal"/>
      <w:pStyle w:val="234"/>
      <w:suff w:val="nothing"/>
      <w:lvlText w:val="%1.%2.%3.%4　"/>
      <w:lvlJc w:val="left"/>
      <w:pPr>
        <w:ind w:left="0" w:firstLine="0"/>
      </w:pPr>
      <w:rPr>
        <w:rFonts w:hint="eastAsia" w:ascii="黑体" w:hAnsi="Times New Roman" w:eastAsia="黑体"/>
        <w:b w:val="0"/>
        <w:i w:val="0"/>
        <w:sz w:val="21"/>
      </w:rPr>
    </w:lvl>
    <w:lvl w:ilvl="4" w:tentative="0">
      <w:start w:val="1"/>
      <w:numFmt w:val="decimal"/>
      <w:pStyle w:val="235"/>
      <w:suff w:val="nothing"/>
      <w:lvlText w:val="%1.%2.%3.%4.%5　"/>
      <w:lvlJc w:val="left"/>
      <w:pPr>
        <w:ind w:left="0" w:firstLine="0"/>
      </w:pPr>
      <w:rPr>
        <w:rFonts w:hint="eastAsia" w:ascii="黑体" w:hAnsi="Times New Roman" w:eastAsia="黑体"/>
        <w:b w:val="0"/>
        <w:i w:val="0"/>
        <w:sz w:val="21"/>
      </w:rPr>
    </w:lvl>
    <w:lvl w:ilvl="5" w:tentative="0">
      <w:start w:val="1"/>
      <w:numFmt w:val="decimal"/>
      <w:pStyle w:val="236"/>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0795F2"/>
    <w:multiLevelType w:val="multilevel"/>
    <w:tmpl w:val="550795F2"/>
    <w:lvl w:ilvl="0" w:tentative="0">
      <w:start w:val="1"/>
      <w:numFmt w:val="none"/>
      <w:pStyle w:val="133"/>
      <w:suff w:val="space"/>
      <w:lvlText w:val="%1——"/>
      <w:lvlJc w:val="left"/>
      <w:pPr>
        <w:ind w:left="0" w:leftChars="0" w:firstLine="40" w:firstLineChars="0"/>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8">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3"/>
  </w:num>
  <w:num w:numId="7">
    <w:abstractNumId w:val="8"/>
  </w:num>
  <w:num w:numId="8">
    <w:abstractNumId w:val="3"/>
  </w:num>
  <w:num w:numId="9">
    <w:abstractNumId w:val="9"/>
  </w:num>
  <w:num w:numId="10">
    <w:abstractNumId w:val="16"/>
  </w:num>
  <w:num w:numId="11">
    <w:abstractNumId w:val="26"/>
  </w:num>
  <w:num w:numId="12">
    <w:abstractNumId w:val="11"/>
  </w:num>
  <w:num w:numId="13">
    <w:abstractNumId w:val="12"/>
  </w:num>
  <w:num w:numId="14">
    <w:abstractNumId w:val="7"/>
  </w:num>
  <w:num w:numId="15">
    <w:abstractNumId w:val="20"/>
  </w:num>
  <w:num w:numId="16">
    <w:abstractNumId w:val="22"/>
  </w:num>
  <w:num w:numId="17">
    <w:abstractNumId w:val="18"/>
  </w:num>
  <w:num w:numId="18">
    <w:abstractNumId w:val="30"/>
  </w:num>
  <w:num w:numId="19">
    <w:abstractNumId w:val="15"/>
  </w:num>
  <w:num w:numId="20">
    <w:abstractNumId w:val="1"/>
  </w:num>
  <w:num w:numId="21">
    <w:abstractNumId w:val="17"/>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4"/>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0"/>
  <w:bordersDoNotSurroundFooter w:val="0"/>
  <w:documentProtection w:edit="forms" w:enforcement="1" w:cryptProviderType="rsaAES" w:cryptAlgorithmClass="hash" w:cryptAlgorithmType="typeAny" w:cryptAlgorithmSid="14" w:cryptSpinCount="100000" w:hash="/WVkagtQwCKroK62OCjuxXtOzeDMAwMITgKJ74HDDj9sR7Y8RAbbnbqWW34iIhfQE7zWc2oKLV9CMptLWLLAlw==" w:salt="UlWqFIWvUuPLinuORAw7BQ=="/>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cyN2U0MTQzNGFkZDU2ZTU3ZTVjOTJmYTk5YWMzNzcifQ=="/>
  </w:docVars>
  <w:rsids>
    <w:rsidRoot w:val="00172A27"/>
    <w:rsid w:val="0000040A"/>
    <w:rsid w:val="00000A94"/>
    <w:rsid w:val="00001972"/>
    <w:rsid w:val="00001D9A"/>
    <w:rsid w:val="00007B3A"/>
    <w:rsid w:val="000107E0"/>
    <w:rsid w:val="00011FDE"/>
    <w:rsid w:val="00012FFD"/>
    <w:rsid w:val="00013654"/>
    <w:rsid w:val="00013F6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604E"/>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6A96"/>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3833"/>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0CD6"/>
    <w:rsid w:val="000D1795"/>
    <w:rsid w:val="000D329A"/>
    <w:rsid w:val="000D492C"/>
    <w:rsid w:val="000D4B9C"/>
    <w:rsid w:val="000D4EB6"/>
    <w:rsid w:val="000D753B"/>
    <w:rsid w:val="000E4C9E"/>
    <w:rsid w:val="000E6ACC"/>
    <w:rsid w:val="000E6FD7"/>
    <w:rsid w:val="000F06E1"/>
    <w:rsid w:val="000F0E3C"/>
    <w:rsid w:val="000F1642"/>
    <w:rsid w:val="000F19D5"/>
    <w:rsid w:val="000F4AEA"/>
    <w:rsid w:val="000F67E9"/>
    <w:rsid w:val="00104926"/>
    <w:rsid w:val="00113B1E"/>
    <w:rsid w:val="0011711C"/>
    <w:rsid w:val="00124E4F"/>
    <w:rsid w:val="001260B7"/>
    <w:rsid w:val="001265CB"/>
    <w:rsid w:val="001305C1"/>
    <w:rsid w:val="001321C6"/>
    <w:rsid w:val="001325C4"/>
    <w:rsid w:val="00133010"/>
    <w:rsid w:val="001338EE"/>
    <w:rsid w:val="00133AAE"/>
    <w:rsid w:val="00134BE5"/>
    <w:rsid w:val="00135085"/>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485"/>
    <w:rsid w:val="00166B88"/>
    <w:rsid w:val="0016770A"/>
    <w:rsid w:val="00170804"/>
    <w:rsid w:val="001708E9"/>
    <w:rsid w:val="00172A27"/>
    <w:rsid w:val="00172BDE"/>
    <w:rsid w:val="0017340B"/>
    <w:rsid w:val="00173FB1"/>
    <w:rsid w:val="00176DFD"/>
    <w:rsid w:val="00184B6D"/>
    <w:rsid w:val="001852C9"/>
    <w:rsid w:val="00190087"/>
    <w:rsid w:val="001913C4"/>
    <w:rsid w:val="00191AEA"/>
    <w:rsid w:val="0019348F"/>
    <w:rsid w:val="00193A07"/>
    <w:rsid w:val="00194C95"/>
    <w:rsid w:val="00195C34"/>
    <w:rsid w:val="0019694B"/>
    <w:rsid w:val="00196EF5"/>
    <w:rsid w:val="001A1A53"/>
    <w:rsid w:val="001A234A"/>
    <w:rsid w:val="001A31A4"/>
    <w:rsid w:val="001A4CF3"/>
    <w:rsid w:val="001B06E8"/>
    <w:rsid w:val="001B71D0"/>
    <w:rsid w:val="001B71EE"/>
    <w:rsid w:val="001C04A8"/>
    <w:rsid w:val="001C2C03"/>
    <w:rsid w:val="001C42F7"/>
    <w:rsid w:val="001C49E5"/>
    <w:rsid w:val="001C680C"/>
    <w:rsid w:val="001C7FEA"/>
    <w:rsid w:val="001D0499"/>
    <w:rsid w:val="001D0BBE"/>
    <w:rsid w:val="001D0ED4"/>
    <w:rsid w:val="001D1328"/>
    <w:rsid w:val="001D212F"/>
    <w:rsid w:val="001D29D7"/>
    <w:rsid w:val="001D2DE7"/>
    <w:rsid w:val="001D411C"/>
    <w:rsid w:val="001E1B6A"/>
    <w:rsid w:val="001E2484"/>
    <w:rsid w:val="001E3CC4"/>
    <w:rsid w:val="001E4882"/>
    <w:rsid w:val="001E50A9"/>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44B7"/>
    <w:rsid w:val="002253A1"/>
    <w:rsid w:val="00225CF8"/>
    <w:rsid w:val="0022794E"/>
    <w:rsid w:val="0023017C"/>
    <w:rsid w:val="00233D64"/>
    <w:rsid w:val="0023482A"/>
    <w:rsid w:val="002359CB"/>
    <w:rsid w:val="00243540"/>
    <w:rsid w:val="0024497B"/>
    <w:rsid w:val="0024515B"/>
    <w:rsid w:val="00246021"/>
    <w:rsid w:val="0024666E"/>
    <w:rsid w:val="002466CA"/>
    <w:rsid w:val="00247F52"/>
    <w:rsid w:val="00250B25"/>
    <w:rsid w:val="00250BBE"/>
    <w:rsid w:val="002515C2"/>
    <w:rsid w:val="0025194F"/>
    <w:rsid w:val="0026148A"/>
    <w:rsid w:val="00262696"/>
    <w:rsid w:val="00263D25"/>
    <w:rsid w:val="002643C3"/>
    <w:rsid w:val="00264A0C"/>
    <w:rsid w:val="00266EEB"/>
    <w:rsid w:val="002675FC"/>
    <w:rsid w:val="00267EF4"/>
    <w:rsid w:val="00270CB8"/>
    <w:rsid w:val="00272B08"/>
    <w:rsid w:val="00276E33"/>
    <w:rsid w:val="00281BB8"/>
    <w:rsid w:val="00281E9E"/>
    <w:rsid w:val="00282405"/>
    <w:rsid w:val="00284DC2"/>
    <w:rsid w:val="00285170"/>
    <w:rsid w:val="00285361"/>
    <w:rsid w:val="00287C8A"/>
    <w:rsid w:val="00292D60"/>
    <w:rsid w:val="00293B30"/>
    <w:rsid w:val="00294D34"/>
    <w:rsid w:val="00294E3B"/>
    <w:rsid w:val="00296193"/>
    <w:rsid w:val="00296C66"/>
    <w:rsid w:val="00296EBE"/>
    <w:rsid w:val="002974E3"/>
    <w:rsid w:val="00297EDC"/>
    <w:rsid w:val="002A084B"/>
    <w:rsid w:val="002A1260"/>
    <w:rsid w:val="002A1589"/>
    <w:rsid w:val="002A1608"/>
    <w:rsid w:val="002A25DC"/>
    <w:rsid w:val="002A28A0"/>
    <w:rsid w:val="002A3AAB"/>
    <w:rsid w:val="002A4CEA"/>
    <w:rsid w:val="002A5977"/>
    <w:rsid w:val="002A5A13"/>
    <w:rsid w:val="002A757F"/>
    <w:rsid w:val="002A7F44"/>
    <w:rsid w:val="002B0C40"/>
    <w:rsid w:val="002B1966"/>
    <w:rsid w:val="002B2D1A"/>
    <w:rsid w:val="002B4508"/>
    <w:rsid w:val="002B5779"/>
    <w:rsid w:val="002B7332"/>
    <w:rsid w:val="002B7F51"/>
    <w:rsid w:val="002C09E7"/>
    <w:rsid w:val="002C1E06"/>
    <w:rsid w:val="002C3EE7"/>
    <w:rsid w:val="002C3F07"/>
    <w:rsid w:val="002C5278"/>
    <w:rsid w:val="002C7EBB"/>
    <w:rsid w:val="002C7F76"/>
    <w:rsid w:val="002D06C1"/>
    <w:rsid w:val="002D42B5"/>
    <w:rsid w:val="002D4F1A"/>
    <w:rsid w:val="002D5C44"/>
    <w:rsid w:val="002D6EC6"/>
    <w:rsid w:val="002D760B"/>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615D2"/>
    <w:rsid w:val="003634C5"/>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3F0"/>
    <w:rsid w:val="00382DE7"/>
    <w:rsid w:val="00384FFC"/>
    <w:rsid w:val="003872FC"/>
    <w:rsid w:val="00387ADC"/>
    <w:rsid w:val="00390020"/>
    <w:rsid w:val="003903D6"/>
    <w:rsid w:val="00390EE6"/>
    <w:rsid w:val="0039118F"/>
    <w:rsid w:val="00392AD7"/>
    <w:rsid w:val="003938D9"/>
    <w:rsid w:val="00394376"/>
    <w:rsid w:val="003943FF"/>
    <w:rsid w:val="003967BA"/>
    <w:rsid w:val="003974EB"/>
    <w:rsid w:val="00397CC5"/>
    <w:rsid w:val="003A1582"/>
    <w:rsid w:val="003A4077"/>
    <w:rsid w:val="003B09AD"/>
    <w:rsid w:val="003B1F18"/>
    <w:rsid w:val="003B2295"/>
    <w:rsid w:val="003B5BF0"/>
    <w:rsid w:val="003B60BF"/>
    <w:rsid w:val="003B6BE3"/>
    <w:rsid w:val="003C010C"/>
    <w:rsid w:val="003C0A6C"/>
    <w:rsid w:val="003C14F8"/>
    <w:rsid w:val="003C5A43"/>
    <w:rsid w:val="003D0519"/>
    <w:rsid w:val="003D0FF6"/>
    <w:rsid w:val="003D262C"/>
    <w:rsid w:val="003D6D61"/>
    <w:rsid w:val="003E078F"/>
    <w:rsid w:val="003E091D"/>
    <w:rsid w:val="003E1C53"/>
    <w:rsid w:val="003E2A69"/>
    <w:rsid w:val="003E2D49"/>
    <w:rsid w:val="003E2FD4"/>
    <w:rsid w:val="003E49F6"/>
    <w:rsid w:val="003E660F"/>
    <w:rsid w:val="003E6D60"/>
    <w:rsid w:val="003F0841"/>
    <w:rsid w:val="003F23D3"/>
    <w:rsid w:val="003F3F08"/>
    <w:rsid w:val="003F49F1"/>
    <w:rsid w:val="003F6272"/>
    <w:rsid w:val="00400E72"/>
    <w:rsid w:val="00401400"/>
    <w:rsid w:val="00404869"/>
    <w:rsid w:val="00405884"/>
    <w:rsid w:val="00407D39"/>
    <w:rsid w:val="0041477A"/>
    <w:rsid w:val="004167A3"/>
    <w:rsid w:val="00416836"/>
    <w:rsid w:val="00432DAA"/>
    <w:rsid w:val="00434305"/>
    <w:rsid w:val="00435DF7"/>
    <w:rsid w:val="0044083F"/>
    <w:rsid w:val="004411E2"/>
    <w:rsid w:val="004417C4"/>
    <w:rsid w:val="00441AE7"/>
    <w:rsid w:val="00445574"/>
    <w:rsid w:val="004467FB"/>
    <w:rsid w:val="00452D6B"/>
    <w:rsid w:val="00454484"/>
    <w:rsid w:val="0045517B"/>
    <w:rsid w:val="00460D72"/>
    <w:rsid w:val="00463B77"/>
    <w:rsid w:val="00463C7B"/>
    <w:rsid w:val="004644A6"/>
    <w:rsid w:val="004659BD"/>
    <w:rsid w:val="00470775"/>
    <w:rsid w:val="00472215"/>
    <w:rsid w:val="004746B1"/>
    <w:rsid w:val="00474747"/>
    <w:rsid w:val="0047583F"/>
    <w:rsid w:val="00475DE8"/>
    <w:rsid w:val="00480464"/>
    <w:rsid w:val="00481C44"/>
    <w:rsid w:val="00484936"/>
    <w:rsid w:val="00485C89"/>
    <w:rsid w:val="00486BE3"/>
    <w:rsid w:val="004905E4"/>
    <w:rsid w:val="00490A89"/>
    <w:rsid w:val="00490AB4"/>
    <w:rsid w:val="004927AD"/>
    <w:rsid w:val="00492F02"/>
    <w:rsid w:val="004939AE"/>
    <w:rsid w:val="004A12DF"/>
    <w:rsid w:val="004A1BA8"/>
    <w:rsid w:val="004A4B57"/>
    <w:rsid w:val="004A63FA"/>
    <w:rsid w:val="004A6FB9"/>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1703"/>
    <w:rsid w:val="004D2253"/>
    <w:rsid w:val="004D4406"/>
    <w:rsid w:val="004D4AA3"/>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12FA"/>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743C1"/>
    <w:rsid w:val="0057611F"/>
    <w:rsid w:val="005801E3"/>
    <w:rsid w:val="00581802"/>
    <w:rsid w:val="005836A8"/>
    <w:rsid w:val="0058409C"/>
    <w:rsid w:val="00584262"/>
    <w:rsid w:val="00586630"/>
    <w:rsid w:val="00587585"/>
    <w:rsid w:val="00587ADD"/>
    <w:rsid w:val="00596160"/>
    <w:rsid w:val="005966E2"/>
    <w:rsid w:val="00597007"/>
    <w:rsid w:val="005A0966"/>
    <w:rsid w:val="005A11B7"/>
    <w:rsid w:val="005A260B"/>
    <w:rsid w:val="005A4A1B"/>
    <w:rsid w:val="005A7830"/>
    <w:rsid w:val="005A7FCE"/>
    <w:rsid w:val="005B0F3F"/>
    <w:rsid w:val="005B1821"/>
    <w:rsid w:val="005B4903"/>
    <w:rsid w:val="005B51CE"/>
    <w:rsid w:val="005B5885"/>
    <w:rsid w:val="005B5CD7"/>
    <w:rsid w:val="005B6CF6"/>
    <w:rsid w:val="005B7422"/>
    <w:rsid w:val="005C29B8"/>
    <w:rsid w:val="005C5F21"/>
    <w:rsid w:val="005C7156"/>
    <w:rsid w:val="005D0C75"/>
    <w:rsid w:val="005D291A"/>
    <w:rsid w:val="005D4171"/>
    <w:rsid w:val="005D6A95"/>
    <w:rsid w:val="005D6B2C"/>
    <w:rsid w:val="005D6D9C"/>
    <w:rsid w:val="005E2335"/>
    <w:rsid w:val="005E34CA"/>
    <w:rsid w:val="005E3C18"/>
    <w:rsid w:val="005E6812"/>
    <w:rsid w:val="005E7881"/>
    <w:rsid w:val="005E78E0"/>
    <w:rsid w:val="005F0D9C"/>
    <w:rsid w:val="005F284E"/>
    <w:rsid w:val="005F2C57"/>
    <w:rsid w:val="006015CE"/>
    <w:rsid w:val="0060210D"/>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AD5"/>
    <w:rsid w:val="00634D9E"/>
    <w:rsid w:val="00636E3E"/>
    <w:rsid w:val="006379F7"/>
    <w:rsid w:val="00637E4D"/>
    <w:rsid w:val="00640620"/>
    <w:rsid w:val="006416B9"/>
    <w:rsid w:val="00641A1F"/>
    <w:rsid w:val="0064474B"/>
    <w:rsid w:val="00645904"/>
    <w:rsid w:val="00651ACB"/>
    <w:rsid w:val="00651C47"/>
    <w:rsid w:val="00652AB2"/>
    <w:rsid w:val="00653FED"/>
    <w:rsid w:val="00654EC0"/>
    <w:rsid w:val="0065525B"/>
    <w:rsid w:val="00655D4F"/>
    <w:rsid w:val="00656D29"/>
    <w:rsid w:val="006640E5"/>
    <w:rsid w:val="0066428F"/>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A3DEC"/>
    <w:rsid w:val="006B2672"/>
    <w:rsid w:val="006B4C3D"/>
    <w:rsid w:val="006B54BF"/>
    <w:rsid w:val="006B5F44"/>
    <w:rsid w:val="006B5F90"/>
    <w:rsid w:val="006B62E4"/>
    <w:rsid w:val="006C030B"/>
    <w:rsid w:val="006C1BBA"/>
    <w:rsid w:val="006C2079"/>
    <w:rsid w:val="006C5971"/>
    <w:rsid w:val="006C5A62"/>
    <w:rsid w:val="006C5D68"/>
    <w:rsid w:val="006C6976"/>
    <w:rsid w:val="006C6DD0"/>
    <w:rsid w:val="006D04EA"/>
    <w:rsid w:val="006D16C4"/>
    <w:rsid w:val="006D37FA"/>
    <w:rsid w:val="006D3E96"/>
    <w:rsid w:val="006D4515"/>
    <w:rsid w:val="006D4BB1"/>
    <w:rsid w:val="006D6593"/>
    <w:rsid w:val="006E0B79"/>
    <w:rsid w:val="006F03A8"/>
    <w:rsid w:val="006F2ACA"/>
    <w:rsid w:val="006F2ADC"/>
    <w:rsid w:val="006F2BFE"/>
    <w:rsid w:val="006F2EAD"/>
    <w:rsid w:val="006F31E9"/>
    <w:rsid w:val="006F331D"/>
    <w:rsid w:val="006F3A46"/>
    <w:rsid w:val="006F6284"/>
    <w:rsid w:val="007002C5"/>
    <w:rsid w:val="00704387"/>
    <w:rsid w:val="00707669"/>
    <w:rsid w:val="00711CBA"/>
    <w:rsid w:val="00711FB5"/>
    <w:rsid w:val="00712A01"/>
    <w:rsid w:val="00714F58"/>
    <w:rsid w:val="00721EEA"/>
    <w:rsid w:val="00722FBF"/>
    <w:rsid w:val="00722FC2"/>
    <w:rsid w:val="0072476A"/>
    <w:rsid w:val="00724E1B"/>
    <w:rsid w:val="00725949"/>
    <w:rsid w:val="00727FA2"/>
    <w:rsid w:val="007322D9"/>
    <w:rsid w:val="00732BC0"/>
    <w:rsid w:val="0073391B"/>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27B6"/>
    <w:rsid w:val="007637F6"/>
    <w:rsid w:val="00765C43"/>
    <w:rsid w:val="00765EFB"/>
    <w:rsid w:val="007671CA"/>
    <w:rsid w:val="00767C61"/>
    <w:rsid w:val="0077008A"/>
    <w:rsid w:val="00773C1F"/>
    <w:rsid w:val="00774DA4"/>
    <w:rsid w:val="00776599"/>
    <w:rsid w:val="0078114B"/>
    <w:rsid w:val="00781DD2"/>
    <w:rsid w:val="007827F4"/>
    <w:rsid w:val="00783ECF"/>
    <w:rsid w:val="0078413A"/>
    <w:rsid w:val="00794872"/>
    <w:rsid w:val="007959E8"/>
    <w:rsid w:val="00795E9C"/>
    <w:rsid w:val="007A0521"/>
    <w:rsid w:val="007A0D6F"/>
    <w:rsid w:val="007A2E12"/>
    <w:rsid w:val="007A3475"/>
    <w:rsid w:val="007A41C8"/>
    <w:rsid w:val="007A54CE"/>
    <w:rsid w:val="007A6FD9"/>
    <w:rsid w:val="007A7FFA"/>
    <w:rsid w:val="007B04EB"/>
    <w:rsid w:val="007B0D4F"/>
    <w:rsid w:val="007B5A3D"/>
    <w:rsid w:val="007B5B95"/>
    <w:rsid w:val="007B68EA"/>
    <w:rsid w:val="007B7453"/>
    <w:rsid w:val="007C2D89"/>
    <w:rsid w:val="007C3846"/>
    <w:rsid w:val="007C4593"/>
    <w:rsid w:val="007C5309"/>
    <w:rsid w:val="007C6069"/>
    <w:rsid w:val="007D06C4"/>
    <w:rsid w:val="007D1352"/>
    <w:rsid w:val="007D2508"/>
    <w:rsid w:val="007D346A"/>
    <w:rsid w:val="007D6518"/>
    <w:rsid w:val="007D76BD"/>
    <w:rsid w:val="007E0BF1"/>
    <w:rsid w:val="007F0ED8"/>
    <w:rsid w:val="007F0F63"/>
    <w:rsid w:val="007F1A84"/>
    <w:rsid w:val="007F226E"/>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27D7A"/>
    <w:rsid w:val="00830621"/>
    <w:rsid w:val="0083348C"/>
    <w:rsid w:val="0083499B"/>
    <w:rsid w:val="008373D3"/>
    <w:rsid w:val="00840617"/>
    <w:rsid w:val="00840F84"/>
    <w:rsid w:val="0084262E"/>
    <w:rsid w:val="00842A47"/>
    <w:rsid w:val="0084308B"/>
    <w:rsid w:val="00843C13"/>
    <w:rsid w:val="00844A46"/>
    <w:rsid w:val="008454F8"/>
    <w:rsid w:val="00845D0E"/>
    <w:rsid w:val="0085173A"/>
    <w:rsid w:val="00857B94"/>
    <w:rsid w:val="008603CE"/>
    <w:rsid w:val="008620FC"/>
    <w:rsid w:val="008627A5"/>
    <w:rsid w:val="00863E05"/>
    <w:rsid w:val="00865ACA"/>
    <w:rsid w:val="00865D28"/>
    <w:rsid w:val="00865F85"/>
    <w:rsid w:val="00867C10"/>
    <w:rsid w:val="0087000E"/>
    <w:rsid w:val="00870439"/>
    <w:rsid w:val="00870DA1"/>
    <w:rsid w:val="00883F93"/>
    <w:rsid w:val="00884DB3"/>
    <w:rsid w:val="00885A9D"/>
    <w:rsid w:val="008864F6"/>
    <w:rsid w:val="0089049D"/>
    <w:rsid w:val="008911A2"/>
    <w:rsid w:val="008928C9"/>
    <w:rsid w:val="008930CB"/>
    <w:rsid w:val="008938DC"/>
    <w:rsid w:val="00893FD1"/>
    <w:rsid w:val="00894836"/>
    <w:rsid w:val="00895172"/>
    <w:rsid w:val="00895680"/>
    <w:rsid w:val="00896DFF"/>
    <w:rsid w:val="0089762C"/>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6B75"/>
    <w:rsid w:val="008D7B54"/>
    <w:rsid w:val="008E0C9D"/>
    <w:rsid w:val="008E1648"/>
    <w:rsid w:val="008E1B3E"/>
    <w:rsid w:val="008E2319"/>
    <w:rsid w:val="008E4BB6"/>
    <w:rsid w:val="008E5518"/>
    <w:rsid w:val="008E6656"/>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C7B98"/>
    <w:rsid w:val="009D112C"/>
    <w:rsid w:val="009D47FA"/>
    <w:rsid w:val="009D4C5B"/>
    <w:rsid w:val="009D50D2"/>
    <w:rsid w:val="009D6BCA"/>
    <w:rsid w:val="009E0F62"/>
    <w:rsid w:val="009E4A58"/>
    <w:rsid w:val="009E5A2D"/>
    <w:rsid w:val="009E5AB2"/>
    <w:rsid w:val="009E6219"/>
    <w:rsid w:val="009F03B3"/>
    <w:rsid w:val="009F27D7"/>
    <w:rsid w:val="009F39E1"/>
    <w:rsid w:val="00A0096C"/>
    <w:rsid w:val="00A01757"/>
    <w:rsid w:val="00A028C0"/>
    <w:rsid w:val="00A02BAE"/>
    <w:rsid w:val="00A049E8"/>
    <w:rsid w:val="00A06A6B"/>
    <w:rsid w:val="00A07E47"/>
    <w:rsid w:val="00A10741"/>
    <w:rsid w:val="00A129D0"/>
    <w:rsid w:val="00A12A31"/>
    <w:rsid w:val="00A12C33"/>
    <w:rsid w:val="00A138BA"/>
    <w:rsid w:val="00A14C8E"/>
    <w:rsid w:val="00A153D9"/>
    <w:rsid w:val="00A15F09"/>
    <w:rsid w:val="00A169B6"/>
    <w:rsid w:val="00A2271D"/>
    <w:rsid w:val="00A237D5"/>
    <w:rsid w:val="00A309F1"/>
    <w:rsid w:val="00A30EFC"/>
    <w:rsid w:val="00A31984"/>
    <w:rsid w:val="00A32D73"/>
    <w:rsid w:val="00A3367B"/>
    <w:rsid w:val="00A3597D"/>
    <w:rsid w:val="00A36DD1"/>
    <w:rsid w:val="00A4006C"/>
    <w:rsid w:val="00A40091"/>
    <w:rsid w:val="00A4030F"/>
    <w:rsid w:val="00A40A09"/>
    <w:rsid w:val="00A41C79"/>
    <w:rsid w:val="00A41CB5"/>
    <w:rsid w:val="00A42CDF"/>
    <w:rsid w:val="00A4452E"/>
    <w:rsid w:val="00A4472C"/>
    <w:rsid w:val="00A44E69"/>
    <w:rsid w:val="00A4661E"/>
    <w:rsid w:val="00A51E70"/>
    <w:rsid w:val="00A55BD6"/>
    <w:rsid w:val="00A55D50"/>
    <w:rsid w:val="00A57142"/>
    <w:rsid w:val="00A60675"/>
    <w:rsid w:val="00A64783"/>
    <w:rsid w:val="00A648CD"/>
    <w:rsid w:val="00A6537A"/>
    <w:rsid w:val="00A66B5B"/>
    <w:rsid w:val="00A67866"/>
    <w:rsid w:val="00A70B07"/>
    <w:rsid w:val="00A723F8"/>
    <w:rsid w:val="00A727C3"/>
    <w:rsid w:val="00A77CCB"/>
    <w:rsid w:val="00A8192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C651C"/>
    <w:rsid w:val="00AD0AEF"/>
    <w:rsid w:val="00AD11B7"/>
    <w:rsid w:val="00AD1A94"/>
    <w:rsid w:val="00AD1C05"/>
    <w:rsid w:val="00AD4126"/>
    <w:rsid w:val="00AD421C"/>
    <w:rsid w:val="00AD44FA"/>
    <w:rsid w:val="00AD6F8E"/>
    <w:rsid w:val="00AE070A"/>
    <w:rsid w:val="00AE101C"/>
    <w:rsid w:val="00AE37E5"/>
    <w:rsid w:val="00AE4E5E"/>
    <w:rsid w:val="00AE5EB4"/>
    <w:rsid w:val="00AF0C18"/>
    <w:rsid w:val="00AF47C5"/>
    <w:rsid w:val="00AF5398"/>
    <w:rsid w:val="00B00FA2"/>
    <w:rsid w:val="00B049AF"/>
    <w:rsid w:val="00B07242"/>
    <w:rsid w:val="00B10534"/>
    <w:rsid w:val="00B113DB"/>
    <w:rsid w:val="00B11D8A"/>
    <w:rsid w:val="00B12981"/>
    <w:rsid w:val="00B133B9"/>
    <w:rsid w:val="00B147DD"/>
    <w:rsid w:val="00B156FD"/>
    <w:rsid w:val="00B20D8B"/>
    <w:rsid w:val="00B21F61"/>
    <w:rsid w:val="00B261F1"/>
    <w:rsid w:val="00B265BC"/>
    <w:rsid w:val="00B31B97"/>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2954"/>
    <w:rsid w:val="00BA42B2"/>
    <w:rsid w:val="00BA58D4"/>
    <w:rsid w:val="00BA5B9E"/>
    <w:rsid w:val="00BA7C9A"/>
    <w:rsid w:val="00BB5F8F"/>
    <w:rsid w:val="00BB657A"/>
    <w:rsid w:val="00BC1A4E"/>
    <w:rsid w:val="00BC5DC7"/>
    <w:rsid w:val="00BC6B8B"/>
    <w:rsid w:val="00BC73D8"/>
    <w:rsid w:val="00BD52D7"/>
    <w:rsid w:val="00BD5AD2"/>
    <w:rsid w:val="00BE09DC"/>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1F47"/>
    <w:rsid w:val="00C72410"/>
    <w:rsid w:val="00C7287F"/>
    <w:rsid w:val="00C80CB8"/>
    <w:rsid w:val="00C819F8"/>
    <w:rsid w:val="00C8248C"/>
    <w:rsid w:val="00C839E2"/>
    <w:rsid w:val="00C84E33"/>
    <w:rsid w:val="00C86D6F"/>
    <w:rsid w:val="00C905FC"/>
    <w:rsid w:val="00C92D03"/>
    <w:rsid w:val="00C9319C"/>
    <w:rsid w:val="00C9435D"/>
    <w:rsid w:val="00C94DF2"/>
    <w:rsid w:val="00C95AE9"/>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C75EA"/>
    <w:rsid w:val="00CD2808"/>
    <w:rsid w:val="00CD28BF"/>
    <w:rsid w:val="00CD2EC3"/>
    <w:rsid w:val="00CD4092"/>
    <w:rsid w:val="00CD4A20"/>
    <w:rsid w:val="00CD50A1"/>
    <w:rsid w:val="00CD519E"/>
    <w:rsid w:val="00CE0C4F"/>
    <w:rsid w:val="00CE30EA"/>
    <w:rsid w:val="00CF048A"/>
    <w:rsid w:val="00CF155A"/>
    <w:rsid w:val="00CF2947"/>
    <w:rsid w:val="00CF3EF5"/>
    <w:rsid w:val="00CF486B"/>
    <w:rsid w:val="00CF495D"/>
    <w:rsid w:val="00CF6776"/>
    <w:rsid w:val="00CF686F"/>
    <w:rsid w:val="00CF6E60"/>
    <w:rsid w:val="00CF7BCA"/>
    <w:rsid w:val="00D008FD"/>
    <w:rsid w:val="00D0321C"/>
    <w:rsid w:val="00D035EC"/>
    <w:rsid w:val="00D06AB1"/>
    <w:rsid w:val="00D072ED"/>
    <w:rsid w:val="00D07A16"/>
    <w:rsid w:val="00D07F7F"/>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4210"/>
    <w:rsid w:val="00D57C8B"/>
    <w:rsid w:val="00D66846"/>
    <w:rsid w:val="00D675FB"/>
    <w:rsid w:val="00D71F25"/>
    <w:rsid w:val="00D72A9C"/>
    <w:rsid w:val="00D73805"/>
    <w:rsid w:val="00D77031"/>
    <w:rsid w:val="00D84941"/>
    <w:rsid w:val="00D84FA1"/>
    <w:rsid w:val="00D851F0"/>
    <w:rsid w:val="00D86DB7"/>
    <w:rsid w:val="00D926D0"/>
    <w:rsid w:val="00D93030"/>
    <w:rsid w:val="00D9483C"/>
    <w:rsid w:val="00D950E1"/>
    <w:rsid w:val="00D952A6"/>
    <w:rsid w:val="00D95CF2"/>
    <w:rsid w:val="00D97F99"/>
    <w:rsid w:val="00DA1E08"/>
    <w:rsid w:val="00DA24F8"/>
    <w:rsid w:val="00DA28E8"/>
    <w:rsid w:val="00DA38D3"/>
    <w:rsid w:val="00DA3932"/>
    <w:rsid w:val="00DA3AFC"/>
    <w:rsid w:val="00DA64F8"/>
    <w:rsid w:val="00DA6C15"/>
    <w:rsid w:val="00DB0258"/>
    <w:rsid w:val="00DB2BC1"/>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D6D2C"/>
    <w:rsid w:val="00DE0A4B"/>
    <w:rsid w:val="00DE2410"/>
    <w:rsid w:val="00DE2939"/>
    <w:rsid w:val="00DE6E81"/>
    <w:rsid w:val="00DE703F"/>
    <w:rsid w:val="00DE7595"/>
    <w:rsid w:val="00DF1961"/>
    <w:rsid w:val="00DF44DE"/>
    <w:rsid w:val="00E00FBC"/>
    <w:rsid w:val="00E01138"/>
    <w:rsid w:val="00E02DFB"/>
    <w:rsid w:val="00E030F9"/>
    <w:rsid w:val="00E0311A"/>
    <w:rsid w:val="00E03138"/>
    <w:rsid w:val="00E06404"/>
    <w:rsid w:val="00E11A85"/>
    <w:rsid w:val="00E12495"/>
    <w:rsid w:val="00E15CCD"/>
    <w:rsid w:val="00E1788D"/>
    <w:rsid w:val="00E202EF"/>
    <w:rsid w:val="00E210B5"/>
    <w:rsid w:val="00E23D99"/>
    <w:rsid w:val="00E24499"/>
    <w:rsid w:val="00E2552F"/>
    <w:rsid w:val="00E3137A"/>
    <w:rsid w:val="00E32CCF"/>
    <w:rsid w:val="00E34A98"/>
    <w:rsid w:val="00E35D1E"/>
    <w:rsid w:val="00E364F9"/>
    <w:rsid w:val="00E365FA"/>
    <w:rsid w:val="00E36789"/>
    <w:rsid w:val="00E44A83"/>
    <w:rsid w:val="00E46F1D"/>
    <w:rsid w:val="00E502C1"/>
    <w:rsid w:val="00E502DD"/>
    <w:rsid w:val="00E50D3A"/>
    <w:rsid w:val="00E51387"/>
    <w:rsid w:val="00E51E68"/>
    <w:rsid w:val="00E52EFD"/>
    <w:rsid w:val="00E5408A"/>
    <w:rsid w:val="00E56072"/>
    <w:rsid w:val="00E56800"/>
    <w:rsid w:val="00E60C63"/>
    <w:rsid w:val="00E62FF9"/>
    <w:rsid w:val="00E635D6"/>
    <w:rsid w:val="00E639BC"/>
    <w:rsid w:val="00E664CC"/>
    <w:rsid w:val="00E70388"/>
    <w:rsid w:val="00E70F92"/>
    <w:rsid w:val="00E73AB7"/>
    <w:rsid w:val="00E74C54"/>
    <w:rsid w:val="00E77A03"/>
    <w:rsid w:val="00E822E8"/>
    <w:rsid w:val="00E82554"/>
    <w:rsid w:val="00E82606"/>
    <w:rsid w:val="00E846C8"/>
    <w:rsid w:val="00E84957"/>
    <w:rsid w:val="00E84A55"/>
    <w:rsid w:val="00E85BFF"/>
    <w:rsid w:val="00E87C6A"/>
    <w:rsid w:val="00E90391"/>
    <w:rsid w:val="00E906C2"/>
    <w:rsid w:val="00E9311F"/>
    <w:rsid w:val="00E934D1"/>
    <w:rsid w:val="00E94AF0"/>
    <w:rsid w:val="00E95D13"/>
    <w:rsid w:val="00E95DD3"/>
    <w:rsid w:val="00E969D5"/>
    <w:rsid w:val="00EA1BF0"/>
    <w:rsid w:val="00EA58D1"/>
    <w:rsid w:val="00EA61BC"/>
    <w:rsid w:val="00EA681A"/>
    <w:rsid w:val="00EA735B"/>
    <w:rsid w:val="00EB1E69"/>
    <w:rsid w:val="00EB2086"/>
    <w:rsid w:val="00EB5EDF"/>
    <w:rsid w:val="00EB60FE"/>
    <w:rsid w:val="00EB74DB"/>
    <w:rsid w:val="00EC0D1C"/>
    <w:rsid w:val="00EC5359"/>
    <w:rsid w:val="00EC562A"/>
    <w:rsid w:val="00EC6B62"/>
    <w:rsid w:val="00ED067A"/>
    <w:rsid w:val="00ED2B50"/>
    <w:rsid w:val="00EE0350"/>
    <w:rsid w:val="00EE0719"/>
    <w:rsid w:val="00EE0E80"/>
    <w:rsid w:val="00EE1800"/>
    <w:rsid w:val="00EE613F"/>
    <w:rsid w:val="00EE7295"/>
    <w:rsid w:val="00EE7869"/>
    <w:rsid w:val="00EF054A"/>
    <w:rsid w:val="00EF3235"/>
    <w:rsid w:val="00EF7E72"/>
    <w:rsid w:val="00F06D37"/>
    <w:rsid w:val="00F07B9D"/>
    <w:rsid w:val="00F11586"/>
    <w:rsid w:val="00F1183B"/>
    <w:rsid w:val="00F11C9F"/>
    <w:rsid w:val="00F11DE2"/>
    <w:rsid w:val="00F12263"/>
    <w:rsid w:val="00F1409D"/>
    <w:rsid w:val="00F14214"/>
    <w:rsid w:val="00F157A9"/>
    <w:rsid w:val="00F16730"/>
    <w:rsid w:val="00F25BB6"/>
    <w:rsid w:val="00F26B7E"/>
    <w:rsid w:val="00F27434"/>
    <w:rsid w:val="00F27A3B"/>
    <w:rsid w:val="00F33817"/>
    <w:rsid w:val="00F420D5"/>
    <w:rsid w:val="00F4317C"/>
    <w:rsid w:val="00F451EA"/>
    <w:rsid w:val="00F45447"/>
    <w:rsid w:val="00F456C6"/>
    <w:rsid w:val="00F4577B"/>
    <w:rsid w:val="00F46496"/>
    <w:rsid w:val="00F474D0"/>
    <w:rsid w:val="00F50179"/>
    <w:rsid w:val="00F501F4"/>
    <w:rsid w:val="00F515EE"/>
    <w:rsid w:val="00F52C31"/>
    <w:rsid w:val="00F56511"/>
    <w:rsid w:val="00F6194E"/>
    <w:rsid w:val="00F623AC"/>
    <w:rsid w:val="00F63BCA"/>
    <w:rsid w:val="00F6412A"/>
    <w:rsid w:val="00F65893"/>
    <w:rsid w:val="00F66A4A"/>
    <w:rsid w:val="00F71E22"/>
    <w:rsid w:val="00F72142"/>
    <w:rsid w:val="00F72AE7"/>
    <w:rsid w:val="00F75CC0"/>
    <w:rsid w:val="00F833BA"/>
    <w:rsid w:val="00F84FD0"/>
    <w:rsid w:val="00F859A8"/>
    <w:rsid w:val="00F86D87"/>
    <w:rsid w:val="00F9108B"/>
    <w:rsid w:val="00F91349"/>
    <w:rsid w:val="00F93A8A"/>
    <w:rsid w:val="00F95248"/>
    <w:rsid w:val="00F956A9"/>
    <w:rsid w:val="00F963ED"/>
    <w:rsid w:val="00F966CF"/>
    <w:rsid w:val="00F96CAE"/>
    <w:rsid w:val="00F97C99"/>
    <w:rsid w:val="00FA5791"/>
    <w:rsid w:val="00FA662D"/>
    <w:rsid w:val="00FA73B1"/>
    <w:rsid w:val="00FB0CB9"/>
    <w:rsid w:val="00FB1A72"/>
    <w:rsid w:val="00FB231D"/>
    <w:rsid w:val="00FB45F1"/>
    <w:rsid w:val="00FB4A72"/>
    <w:rsid w:val="00FB4F9D"/>
    <w:rsid w:val="00FB54E8"/>
    <w:rsid w:val="00FB7054"/>
    <w:rsid w:val="00FC17B7"/>
    <w:rsid w:val="00FC2CB7"/>
    <w:rsid w:val="00FC4090"/>
    <w:rsid w:val="00FC55B4"/>
    <w:rsid w:val="00FD00E6"/>
    <w:rsid w:val="00FD09A1"/>
    <w:rsid w:val="00FD28F2"/>
    <w:rsid w:val="00FD2A7C"/>
    <w:rsid w:val="00FD59EB"/>
    <w:rsid w:val="00FD7299"/>
    <w:rsid w:val="00FE1FBE"/>
    <w:rsid w:val="00FE3901"/>
    <w:rsid w:val="00FE39D3"/>
    <w:rsid w:val="00FE4BCE"/>
    <w:rsid w:val="00FE54AE"/>
    <w:rsid w:val="00FE576A"/>
    <w:rsid w:val="00FE7E79"/>
    <w:rsid w:val="00FF34E8"/>
    <w:rsid w:val="00FF3E7D"/>
    <w:rsid w:val="00FF5B99"/>
    <w:rsid w:val="00FF730C"/>
    <w:rsid w:val="00FF73F4"/>
    <w:rsid w:val="00FF7CE4"/>
    <w:rsid w:val="00FF7E39"/>
    <w:rsid w:val="010E521F"/>
    <w:rsid w:val="011F36F7"/>
    <w:rsid w:val="018502B5"/>
    <w:rsid w:val="01A83401"/>
    <w:rsid w:val="01AD2135"/>
    <w:rsid w:val="021D2F9F"/>
    <w:rsid w:val="0233386D"/>
    <w:rsid w:val="035F4AE4"/>
    <w:rsid w:val="03935010"/>
    <w:rsid w:val="03B409DD"/>
    <w:rsid w:val="03FB2A2B"/>
    <w:rsid w:val="0421786C"/>
    <w:rsid w:val="045A2BFD"/>
    <w:rsid w:val="0466617C"/>
    <w:rsid w:val="049814B9"/>
    <w:rsid w:val="04B74A42"/>
    <w:rsid w:val="053E4A03"/>
    <w:rsid w:val="05520C12"/>
    <w:rsid w:val="056B7B88"/>
    <w:rsid w:val="05823160"/>
    <w:rsid w:val="0599233A"/>
    <w:rsid w:val="05AA0F6D"/>
    <w:rsid w:val="05BB24F7"/>
    <w:rsid w:val="05CB0020"/>
    <w:rsid w:val="067E3970"/>
    <w:rsid w:val="069F5A6C"/>
    <w:rsid w:val="06A13311"/>
    <w:rsid w:val="06DF3FC3"/>
    <w:rsid w:val="07013F3A"/>
    <w:rsid w:val="073831C3"/>
    <w:rsid w:val="073E1554"/>
    <w:rsid w:val="07A64AE1"/>
    <w:rsid w:val="08007A98"/>
    <w:rsid w:val="0908369B"/>
    <w:rsid w:val="091677C9"/>
    <w:rsid w:val="09357480"/>
    <w:rsid w:val="09781FDD"/>
    <w:rsid w:val="09862E1C"/>
    <w:rsid w:val="0A1270CD"/>
    <w:rsid w:val="0A876E4C"/>
    <w:rsid w:val="0B095AB3"/>
    <w:rsid w:val="0B111932"/>
    <w:rsid w:val="0B1411F9"/>
    <w:rsid w:val="0B24469B"/>
    <w:rsid w:val="0B514D19"/>
    <w:rsid w:val="0B5C3E34"/>
    <w:rsid w:val="0B9427CF"/>
    <w:rsid w:val="0BBC626F"/>
    <w:rsid w:val="0BC47C2C"/>
    <w:rsid w:val="0BCA0EAB"/>
    <w:rsid w:val="0BD84435"/>
    <w:rsid w:val="0C3A0F9E"/>
    <w:rsid w:val="0CAE6912"/>
    <w:rsid w:val="0CE00A95"/>
    <w:rsid w:val="0CF12CA2"/>
    <w:rsid w:val="0D224272"/>
    <w:rsid w:val="0D4F4AE4"/>
    <w:rsid w:val="0D785154"/>
    <w:rsid w:val="0D7D0092"/>
    <w:rsid w:val="0D7E674E"/>
    <w:rsid w:val="0D847672"/>
    <w:rsid w:val="0DC00B6A"/>
    <w:rsid w:val="0DC50D67"/>
    <w:rsid w:val="0DDF0D4D"/>
    <w:rsid w:val="0E1C5AFD"/>
    <w:rsid w:val="0EF707CF"/>
    <w:rsid w:val="0F5F58B5"/>
    <w:rsid w:val="0F7754E4"/>
    <w:rsid w:val="0FD42CD5"/>
    <w:rsid w:val="104263AF"/>
    <w:rsid w:val="104F1C16"/>
    <w:rsid w:val="10863702"/>
    <w:rsid w:val="10AA215D"/>
    <w:rsid w:val="111340C5"/>
    <w:rsid w:val="11584D21"/>
    <w:rsid w:val="118E286E"/>
    <w:rsid w:val="119528E2"/>
    <w:rsid w:val="11F203C2"/>
    <w:rsid w:val="122D253E"/>
    <w:rsid w:val="123553DF"/>
    <w:rsid w:val="12722393"/>
    <w:rsid w:val="130B75A6"/>
    <w:rsid w:val="13476B3C"/>
    <w:rsid w:val="134F2994"/>
    <w:rsid w:val="137837D5"/>
    <w:rsid w:val="137A6F5F"/>
    <w:rsid w:val="137F25A8"/>
    <w:rsid w:val="139D0F0C"/>
    <w:rsid w:val="13A66148"/>
    <w:rsid w:val="13CC7BD3"/>
    <w:rsid w:val="14101C60"/>
    <w:rsid w:val="145D529A"/>
    <w:rsid w:val="14D30DC6"/>
    <w:rsid w:val="14E77A2F"/>
    <w:rsid w:val="15025623"/>
    <w:rsid w:val="156908F8"/>
    <w:rsid w:val="15DF7B3C"/>
    <w:rsid w:val="15FA2BC8"/>
    <w:rsid w:val="160B0A7C"/>
    <w:rsid w:val="165F6ECF"/>
    <w:rsid w:val="166F55EB"/>
    <w:rsid w:val="16875772"/>
    <w:rsid w:val="16A32E03"/>
    <w:rsid w:val="16CA7F8A"/>
    <w:rsid w:val="171B605C"/>
    <w:rsid w:val="1759391E"/>
    <w:rsid w:val="179B6971"/>
    <w:rsid w:val="17D80CE7"/>
    <w:rsid w:val="17D97C46"/>
    <w:rsid w:val="17EF7CEF"/>
    <w:rsid w:val="18621B68"/>
    <w:rsid w:val="18627B26"/>
    <w:rsid w:val="186C06A3"/>
    <w:rsid w:val="18846779"/>
    <w:rsid w:val="1975500F"/>
    <w:rsid w:val="19842C70"/>
    <w:rsid w:val="1987237F"/>
    <w:rsid w:val="199E24F7"/>
    <w:rsid w:val="199E386A"/>
    <w:rsid w:val="19AE0964"/>
    <w:rsid w:val="19B60BB4"/>
    <w:rsid w:val="19CF72C1"/>
    <w:rsid w:val="19F6477E"/>
    <w:rsid w:val="1A2755AD"/>
    <w:rsid w:val="1A7B3BAB"/>
    <w:rsid w:val="1AB377E9"/>
    <w:rsid w:val="1ABE325E"/>
    <w:rsid w:val="1B0911B7"/>
    <w:rsid w:val="1B636B19"/>
    <w:rsid w:val="1BB11F7A"/>
    <w:rsid w:val="1BC76B56"/>
    <w:rsid w:val="1BCD48DA"/>
    <w:rsid w:val="1C1A3D35"/>
    <w:rsid w:val="1C850B06"/>
    <w:rsid w:val="1CA51F55"/>
    <w:rsid w:val="1CCD43EF"/>
    <w:rsid w:val="1D9751A0"/>
    <w:rsid w:val="1DA716C0"/>
    <w:rsid w:val="1DCF493A"/>
    <w:rsid w:val="1DE702CC"/>
    <w:rsid w:val="1E311151"/>
    <w:rsid w:val="1E365A33"/>
    <w:rsid w:val="1E9D67E6"/>
    <w:rsid w:val="1ECC2C27"/>
    <w:rsid w:val="1EE46B96"/>
    <w:rsid w:val="1F5E03BA"/>
    <w:rsid w:val="1F7F60C4"/>
    <w:rsid w:val="1FAF4A23"/>
    <w:rsid w:val="1FB933A0"/>
    <w:rsid w:val="1FE30DAA"/>
    <w:rsid w:val="1FED1167"/>
    <w:rsid w:val="1FF81B8E"/>
    <w:rsid w:val="1FFE4822"/>
    <w:rsid w:val="200E379E"/>
    <w:rsid w:val="20A83220"/>
    <w:rsid w:val="211A2370"/>
    <w:rsid w:val="21923888"/>
    <w:rsid w:val="21BA145D"/>
    <w:rsid w:val="22445970"/>
    <w:rsid w:val="228C5F60"/>
    <w:rsid w:val="22E75F90"/>
    <w:rsid w:val="23982480"/>
    <w:rsid w:val="24244F5F"/>
    <w:rsid w:val="24EE7D9B"/>
    <w:rsid w:val="25407ECB"/>
    <w:rsid w:val="25AB17E9"/>
    <w:rsid w:val="26630315"/>
    <w:rsid w:val="26954850"/>
    <w:rsid w:val="26993D37"/>
    <w:rsid w:val="26FC5FF1"/>
    <w:rsid w:val="272B0052"/>
    <w:rsid w:val="27427F2B"/>
    <w:rsid w:val="278E3170"/>
    <w:rsid w:val="28216FF0"/>
    <w:rsid w:val="28ED3BA7"/>
    <w:rsid w:val="29051B1D"/>
    <w:rsid w:val="2944569E"/>
    <w:rsid w:val="296D15DA"/>
    <w:rsid w:val="296F6784"/>
    <w:rsid w:val="297168A5"/>
    <w:rsid w:val="298C7B83"/>
    <w:rsid w:val="298F528D"/>
    <w:rsid w:val="29F2753F"/>
    <w:rsid w:val="2AA74CE4"/>
    <w:rsid w:val="2AD15AA5"/>
    <w:rsid w:val="2B1725DE"/>
    <w:rsid w:val="2B782A2F"/>
    <w:rsid w:val="2B8955F1"/>
    <w:rsid w:val="2B8A6344"/>
    <w:rsid w:val="2B9351A8"/>
    <w:rsid w:val="2BA514F4"/>
    <w:rsid w:val="2BB86A0D"/>
    <w:rsid w:val="2C5B55EB"/>
    <w:rsid w:val="2C7C3EDF"/>
    <w:rsid w:val="2D4B38B1"/>
    <w:rsid w:val="2D6B6841"/>
    <w:rsid w:val="2D6F75A0"/>
    <w:rsid w:val="2D811081"/>
    <w:rsid w:val="2DB80F46"/>
    <w:rsid w:val="2DBB7C2D"/>
    <w:rsid w:val="2DDD6573"/>
    <w:rsid w:val="2E92476B"/>
    <w:rsid w:val="2E9D638E"/>
    <w:rsid w:val="2ED2428A"/>
    <w:rsid w:val="2EFC79F2"/>
    <w:rsid w:val="2F7F4647"/>
    <w:rsid w:val="2F9A414A"/>
    <w:rsid w:val="2FB614B6"/>
    <w:rsid w:val="2FB92DF9"/>
    <w:rsid w:val="2FF947FF"/>
    <w:rsid w:val="301C4098"/>
    <w:rsid w:val="30422DB9"/>
    <w:rsid w:val="304C4E71"/>
    <w:rsid w:val="305D0959"/>
    <w:rsid w:val="30625608"/>
    <w:rsid w:val="30B17ECF"/>
    <w:rsid w:val="31124E12"/>
    <w:rsid w:val="3126266B"/>
    <w:rsid w:val="31400E6A"/>
    <w:rsid w:val="31A713B0"/>
    <w:rsid w:val="31D23DD6"/>
    <w:rsid w:val="31E87E16"/>
    <w:rsid w:val="32222E32"/>
    <w:rsid w:val="32BF68D3"/>
    <w:rsid w:val="33083E56"/>
    <w:rsid w:val="33244988"/>
    <w:rsid w:val="33834FEE"/>
    <w:rsid w:val="33C64DE7"/>
    <w:rsid w:val="34977F25"/>
    <w:rsid w:val="34A00986"/>
    <w:rsid w:val="34E8336A"/>
    <w:rsid w:val="35143A1A"/>
    <w:rsid w:val="354F30ED"/>
    <w:rsid w:val="355E6877"/>
    <w:rsid w:val="35672F2E"/>
    <w:rsid w:val="36211653"/>
    <w:rsid w:val="362542C8"/>
    <w:rsid w:val="369D517D"/>
    <w:rsid w:val="36B85830"/>
    <w:rsid w:val="37383A1C"/>
    <w:rsid w:val="374A3780"/>
    <w:rsid w:val="3774714F"/>
    <w:rsid w:val="37912350"/>
    <w:rsid w:val="379A2840"/>
    <w:rsid w:val="37A23B2A"/>
    <w:rsid w:val="37B3452D"/>
    <w:rsid w:val="37BD09EA"/>
    <w:rsid w:val="38080D1C"/>
    <w:rsid w:val="384B6868"/>
    <w:rsid w:val="386B24FE"/>
    <w:rsid w:val="38BE762D"/>
    <w:rsid w:val="38CF53D7"/>
    <w:rsid w:val="39236644"/>
    <w:rsid w:val="393D1DF2"/>
    <w:rsid w:val="395B167F"/>
    <w:rsid w:val="39705CA8"/>
    <w:rsid w:val="39903B2D"/>
    <w:rsid w:val="39990D8D"/>
    <w:rsid w:val="39A04EA6"/>
    <w:rsid w:val="3A1032F0"/>
    <w:rsid w:val="3A557B1D"/>
    <w:rsid w:val="3A5B4EC0"/>
    <w:rsid w:val="3A96260F"/>
    <w:rsid w:val="3A9E4A4E"/>
    <w:rsid w:val="3AA111E5"/>
    <w:rsid w:val="3B470989"/>
    <w:rsid w:val="3B5A6F24"/>
    <w:rsid w:val="3B8625BC"/>
    <w:rsid w:val="3B8701AA"/>
    <w:rsid w:val="3BF0541B"/>
    <w:rsid w:val="3BF50000"/>
    <w:rsid w:val="3C096E11"/>
    <w:rsid w:val="3C356AB2"/>
    <w:rsid w:val="3C371BD0"/>
    <w:rsid w:val="3C4A342B"/>
    <w:rsid w:val="3D2148B5"/>
    <w:rsid w:val="3DDE18FD"/>
    <w:rsid w:val="3E1D0A2D"/>
    <w:rsid w:val="3E273E13"/>
    <w:rsid w:val="3E287A22"/>
    <w:rsid w:val="3E597D6C"/>
    <w:rsid w:val="3E775DF1"/>
    <w:rsid w:val="3E7944EE"/>
    <w:rsid w:val="3E832EAB"/>
    <w:rsid w:val="3ECA4304"/>
    <w:rsid w:val="3EDF3E59"/>
    <w:rsid w:val="3F3724B0"/>
    <w:rsid w:val="3F836EDA"/>
    <w:rsid w:val="3F8527A2"/>
    <w:rsid w:val="3F8B117A"/>
    <w:rsid w:val="404973BD"/>
    <w:rsid w:val="40600F4E"/>
    <w:rsid w:val="406E0785"/>
    <w:rsid w:val="408B6047"/>
    <w:rsid w:val="408F6F36"/>
    <w:rsid w:val="40F6525E"/>
    <w:rsid w:val="41727CF7"/>
    <w:rsid w:val="41764F49"/>
    <w:rsid w:val="41A82C28"/>
    <w:rsid w:val="4212359F"/>
    <w:rsid w:val="42380450"/>
    <w:rsid w:val="4257309D"/>
    <w:rsid w:val="43233340"/>
    <w:rsid w:val="4388398F"/>
    <w:rsid w:val="438E11E5"/>
    <w:rsid w:val="43B600AD"/>
    <w:rsid w:val="43B6787E"/>
    <w:rsid w:val="43BD084E"/>
    <w:rsid w:val="43DB0043"/>
    <w:rsid w:val="43DD188B"/>
    <w:rsid w:val="43E15352"/>
    <w:rsid w:val="44184095"/>
    <w:rsid w:val="44285F9C"/>
    <w:rsid w:val="446C7220"/>
    <w:rsid w:val="44C916FB"/>
    <w:rsid w:val="44D0671E"/>
    <w:rsid w:val="450F3213"/>
    <w:rsid w:val="45A02594"/>
    <w:rsid w:val="46230DFA"/>
    <w:rsid w:val="46827EEC"/>
    <w:rsid w:val="468A14B3"/>
    <w:rsid w:val="472B0B07"/>
    <w:rsid w:val="4734568A"/>
    <w:rsid w:val="47930279"/>
    <w:rsid w:val="479C6D8B"/>
    <w:rsid w:val="47D05012"/>
    <w:rsid w:val="47F22E4F"/>
    <w:rsid w:val="48052B82"/>
    <w:rsid w:val="487E7EF5"/>
    <w:rsid w:val="48AA3949"/>
    <w:rsid w:val="48AE321A"/>
    <w:rsid w:val="48E56510"/>
    <w:rsid w:val="490162C2"/>
    <w:rsid w:val="490633F6"/>
    <w:rsid w:val="4917597A"/>
    <w:rsid w:val="4950607F"/>
    <w:rsid w:val="49624009"/>
    <w:rsid w:val="49CD1EDF"/>
    <w:rsid w:val="4A4230BE"/>
    <w:rsid w:val="4A600544"/>
    <w:rsid w:val="4B4D5355"/>
    <w:rsid w:val="4B646B7F"/>
    <w:rsid w:val="4B692A55"/>
    <w:rsid w:val="4B83098E"/>
    <w:rsid w:val="4BA34B8C"/>
    <w:rsid w:val="4C143394"/>
    <w:rsid w:val="4C15074C"/>
    <w:rsid w:val="4C397122"/>
    <w:rsid w:val="4CB20BDA"/>
    <w:rsid w:val="4CC065F7"/>
    <w:rsid w:val="4CE1479C"/>
    <w:rsid w:val="4CFF79A7"/>
    <w:rsid w:val="4D453A21"/>
    <w:rsid w:val="4D9053D6"/>
    <w:rsid w:val="4D9F75D5"/>
    <w:rsid w:val="4DAF076E"/>
    <w:rsid w:val="4E1A3F57"/>
    <w:rsid w:val="4E451F2B"/>
    <w:rsid w:val="4E4610A1"/>
    <w:rsid w:val="4EA66DD5"/>
    <w:rsid w:val="4ED65279"/>
    <w:rsid w:val="4EF74B44"/>
    <w:rsid w:val="4F1E6324"/>
    <w:rsid w:val="4F6D68D9"/>
    <w:rsid w:val="4FE15C83"/>
    <w:rsid w:val="5025119E"/>
    <w:rsid w:val="50741D80"/>
    <w:rsid w:val="50854860"/>
    <w:rsid w:val="50E03D7A"/>
    <w:rsid w:val="510D4E75"/>
    <w:rsid w:val="5141294D"/>
    <w:rsid w:val="515E305D"/>
    <w:rsid w:val="516A038E"/>
    <w:rsid w:val="519C16D9"/>
    <w:rsid w:val="51E94631"/>
    <w:rsid w:val="527C5F31"/>
    <w:rsid w:val="52BF0352"/>
    <w:rsid w:val="52F17409"/>
    <w:rsid w:val="53503DC1"/>
    <w:rsid w:val="538C2DD7"/>
    <w:rsid w:val="53FF0DCE"/>
    <w:rsid w:val="54352CE4"/>
    <w:rsid w:val="5442187D"/>
    <w:rsid w:val="54581B7B"/>
    <w:rsid w:val="547C637E"/>
    <w:rsid w:val="54A2191B"/>
    <w:rsid w:val="54ED6E78"/>
    <w:rsid w:val="5503669C"/>
    <w:rsid w:val="553D637D"/>
    <w:rsid w:val="553E740F"/>
    <w:rsid w:val="556F788D"/>
    <w:rsid w:val="560C77D2"/>
    <w:rsid w:val="56186177"/>
    <w:rsid w:val="56244555"/>
    <w:rsid w:val="567163F2"/>
    <w:rsid w:val="56AF2E25"/>
    <w:rsid w:val="571F1F15"/>
    <w:rsid w:val="572E74D9"/>
    <w:rsid w:val="57671164"/>
    <w:rsid w:val="583D33F6"/>
    <w:rsid w:val="58642DF5"/>
    <w:rsid w:val="58706268"/>
    <w:rsid w:val="58967469"/>
    <w:rsid w:val="589917F1"/>
    <w:rsid w:val="58B54F06"/>
    <w:rsid w:val="58D26AB1"/>
    <w:rsid w:val="58EB6A2A"/>
    <w:rsid w:val="59797997"/>
    <w:rsid w:val="5983615C"/>
    <w:rsid w:val="59B10C37"/>
    <w:rsid w:val="59B904DA"/>
    <w:rsid w:val="59E545C2"/>
    <w:rsid w:val="5AE82F62"/>
    <w:rsid w:val="5AF902A9"/>
    <w:rsid w:val="5AFF7905"/>
    <w:rsid w:val="5B0D384A"/>
    <w:rsid w:val="5B182775"/>
    <w:rsid w:val="5B5F03A4"/>
    <w:rsid w:val="5B6D50C7"/>
    <w:rsid w:val="5B765E19"/>
    <w:rsid w:val="5B8E2C3A"/>
    <w:rsid w:val="5BA04C44"/>
    <w:rsid w:val="5BC052E6"/>
    <w:rsid w:val="5BC621D1"/>
    <w:rsid w:val="5BD14DFE"/>
    <w:rsid w:val="5BE024AC"/>
    <w:rsid w:val="5C0410D3"/>
    <w:rsid w:val="5CAE513F"/>
    <w:rsid w:val="5D961626"/>
    <w:rsid w:val="5DB00E47"/>
    <w:rsid w:val="5E0A7F1A"/>
    <w:rsid w:val="5E122B27"/>
    <w:rsid w:val="5E203E1A"/>
    <w:rsid w:val="5E823228"/>
    <w:rsid w:val="5EBA426F"/>
    <w:rsid w:val="5F2E5A88"/>
    <w:rsid w:val="5FBC7B73"/>
    <w:rsid w:val="5FC04963"/>
    <w:rsid w:val="5FFE000E"/>
    <w:rsid w:val="60283011"/>
    <w:rsid w:val="602F6597"/>
    <w:rsid w:val="60B42F40"/>
    <w:rsid w:val="60B43F99"/>
    <w:rsid w:val="60D1764E"/>
    <w:rsid w:val="61E37639"/>
    <w:rsid w:val="61E70D16"/>
    <w:rsid w:val="622F6D22"/>
    <w:rsid w:val="623065F6"/>
    <w:rsid w:val="626C3AD2"/>
    <w:rsid w:val="62F95F66"/>
    <w:rsid w:val="63572933"/>
    <w:rsid w:val="637B1AF3"/>
    <w:rsid w:val="638E3519"/>
    <w:rsid w:val="63EB6C79"/>
    <w:rsid w:val="646E78FA"/>
    <w:rsid w:val="64744802"/>
    <w:rsid w:val="647B64F1"/>
    <w:rsid w:val="64955489"/>
    <w:rsid w:val="64D70FAB"/>
    <w:rsid w:val="65B0017A"/>
    <w:rsid w:val="662145D6"/>
    <w:rsid w:val="662E109F"/>
    <w:rsid w:val="66372649"/>
    <w:rsid w:val="66460545"/>
    <w:rsid w:val="667C1E0A"/>
    <w:rsid w:val="669141F7"/>
    <w:rsid w:val="669727D3"/>
    <w:rsid w:val="669B5C9B"/>
    <w:rsid w:val="66DC518B"/>
    <w:rsid w:val="66E16382"/>
    <w:rsid w:val="66FB79F5"/>
    <w:rsid w:val="677117DE"/>
    <w:rsid w:val="679C3017"/>
    <w:rsid w:val="67E50B7E"/>
    <w:rsid w:val="67FC1454"/>
    <w:rsid w:val="690A7BA1"/>
    <w:rsid w:val="69324EAF"/>
    <w:rsid w:val="695B21AB"/>
    <w:rsid w:val="699302EC"/>
    <w:rsid w:val="69CF4986"/>
    <w:rsid w:val="69D74D25"/>
    <w:rsid w:val="69F95A68"/>
    <w:rsid w:val="6A23126B"/>
    <w:rsid w:val="6A692C02"/>
    <w:rsid w:val="6A8E65B0"/>
    <w:rsid w:val="6A911177"/>
    <w:rsid w:val="6A954F80"/>
    <w:rsid w:val="6A963D7E"/>
    <w:rsid w:val="6A99680B"/>
    <w:rsid w:val="6B930322"/>
    <w:rsid w:val="6BA26D62"/>
    <w:rsid w:val="6BD9476B"/>
    <w:rsid w:val="6BFB1A23"/>
    <w:rsid w:val="6C11621C"/>
    <w:rsid w:val="6C5D71F1"/>
    <w:rsid w:val="6C8B724B"/>
    <w:rsid w:val="6C9A123C"/>
    <w:rsid w:val="6D6A3304"/>
    <w:rsid w:val="6DBA61F5"/>
    <w:rsid w:val="6DC24EEE"/>
    <w:rsid w:val="6DC519D9"/>
    <w:rsid w:val="6DE07122"/>
    <w:rsid w:val="6E186FE1"/>
    <w:rsid w:val="6E9645E1"/>
    <w:rsid w:val="6EA63EC8"/>
    <w:rsid w:val="6EEE55DC"/>
    <w:rsid w:val="6F234F46"/>
    <w:rsid w:val="6F383F44"/>
    <w:rsid w:val="6F4756C1"/>
    <w:rsid w:val="6F863CF9"/>
    <w:rsid w:val="6FA63BE8"/>
    <w:rsid w:val="6FDB4045"/>
    <w:rsid w:val="700C0951"/>
    <w:rsid w:val="703821FC"/>
    <w:rsid w:val="703C7D79"/>
    <w:rsid w:val="70720608"/>
    <w:rsid w:val="70871AD7"/>
    <w:rsid w:val="70B01706"/>
    <w:rsid w:val="70E367B6"/>
    <w:rsid w:val="70E379E1"/>
    <w:rsid w:val="70E4517B"/>
    <w:rsid w:val="71102D8C"/>
    <w:rsid w:val="71152CAD"/>
    <w:rsid w:val="715B040C"/>
    <w:rsid w:val="718A129A"/>
    <w:rsid w:val="71F81631"/>
    <w:rsid w:val="721B697B"/>
    <w:rsid w:val="723A76F4"/>
    <w:rsid w:val="725B321B"/>
    <w:rsid w:val="73025D8D"/>
    <w:rsid w:val="73212633"/>
    <w:rsid w:val="734C2EB7"/>
    <w:rsid w:val="73591E51"/>
    <w:rsid w:val="735B0FA9"/>
    <w:rsid w:val="743401C8"/>
    <w:rsid w:val="74667A1D"/>
    <w:rsid w:val="74D502C8"/>
    <w:rsid w:val="75531141"/>
    <w:rsid w:val="75AD1C8E"/>
    <w:rsid w:val="75ED062E"/>
    <w:rsid w:val="760179A1"/>
    <w:rsid w:val="768E562A"/>
    <w:rsid w:val="76C03F95"/>
    <w:rsid w:val="76D06104"/>
    <w:rsid w:val="76E23F0B"/>
    <w:rsid w:val="76FB4FCD"/>
    <w:rsid w:val="77112A42"/>
    <w:rsid w:val="7716239F"/>
    <w:rsid w:val="775007C6"/>
    <w:rsid w:val="77A318EC"/>
    <w:rsid w:val="77B92EBE"/>
    <w:rsid w:val="77DE1F89"/>
    <w:rsid w:val="77FA73B0"/>
    <w:rsid w:val="782F13D2"/>
    <w:rsid w:val="783668A9"/>
    <w:rsid w:val="785C7CED"/>
    <w:rsid w:val="786D3CA8"/>
    <w:rsid w:val="78B43685"/>
    <w:rsid w:val="78BE4504"/>
    <w:rsid w:val="790243F1"/>
    <w:rsid w:val="795F1383"/>
    <w:rsid w:val="798718D5"/>
    <w:rsid w:val="79AB1F74"/>
    <w:rsid w:val="79DA47E2"/>
    <w:rsid w:val="79E63D12"/>
    <w:rsid w:val="7A0B19CB"/>
    <w:rsid w:val="7A141107"/>
    <w:rsid w:val="7A680415"/>
    <w:rsid w:val="7A8D72D3"/>
    <w:rsid w:val="7AB826F4"/>
    <w:rsid w:val="7AD16DCD"/>
    <w:rsid w:val="7B5B24DE"/>
    <w:rsid w:val="7BD36DF3"/>
    <w:rsid w:val="7C083317"/>
    <w:rsid w:val="7C607057"/>
    <w:rsid w:val="7C6D0FC6"/>
    <w:rsid w:val="7CAB0B35"/>
    <w:rsid w:val="7CB400F8"/>
    <w:rsid w:val="7D5B16A9"/>
    <w:rsid w:val="7D9D3AA7"/>
    <w:rsid w:val="7DD710E0"/>
    <w:rsid w:val="7DF369FE"/>
    <w:rsid w:val="7E062BD5"/>
    <w:rsid w:val="7E0740D3"/>
    <w:rsid w:val="7E27258E"/>
    <w:rsid w:val="7E5F4093"/>
    <w:rsid w:val="7F69341C"/>
    <w:rsid w:val="7F8D26BD"/>
    <w:rsid w:val="7F954211"/>
    <w:rsid w:val="7FAD4506"/>
    <w:rsid w:val="7FD034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8"/>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autoRedefine/>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autoRedefine/>
    <w:semiHidden/>
    <w:unhideWhenUsed/>
    <w:qFormat/>
    <w:uiPriority w:val="1"/>
  </w:style>
  <w:style w:type="table" w:default="1" w:styleId="27">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Body Text"/>
    <w:basedOn w:val="1"/>
    <w:link w:val="87"/>
    <w:autoRedefine/>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6"/>
    <w:autoRedefine/>
    <w:semiHidden/>
    <w:unhideWhenUsed/>
    <w:qFormat/>
    <w:uiPriority w:val="99"/>
    <w:rPr>
      <w:sz w:val="18"/>
      <w:szCs w:val="18"/>
    </w:rPr>
  </w:style>
  <w:style w:type="paragraph" w:styleId="17">
    <w:name w:val="footer"/>
    <w:basedOn w:val="1"/>
    <w:link w:val="45"/>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autoRedefine/>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Normal (Web)"/>
    <w:basedOn w:val="1"/>
    <w:autoRedefine/>
    <w:semiHidden/>
    <w:unhideWhenUsed/>
    <w:qFormat/>
    <w:uiPriority w:val="99"/>
    <w:pPr>
      <w:spacing w:beforeAutospacing="1" w:afterAutospacing="1"/>
      <w:jc w:val="left"/>
    </w:pPr>
    <w:rPr>
      <w:kern w:val="0"/>
      <w:sz w:val="24"/>
    </w:rPr>
  </w:style>
  <w:style w:type="paragraph" w:styleId="26">
    <w:name w:val="Title"/>
    <w:basedOn w:val="1"/>
    <w:link w:val="49"/>
    <w:autoRedefine/>
    <w:qFormat/>
    <w:uiPriority w:val="0"/>
    <w:pPr>
      <w:spacing w:before="240" w:after="60"/>
      <w:jc w:val="center"/>
      <w:outlineLvl w:val="0"/>
    </w:pPr>
    <w:rPr>
      <w:rFonts w:ascii="Arial" w:hAnsi="Arial" w:cs="Arial"/>
      <w:b/>
      <w:bCs/>
      <w:sz w:val="32"/>
      <w:szCs w:val="32"/>
    </w:rPr>
  </w:style>
  <w:style w:type="table" w:styleId="28">
    <w:name w:val="Table Grid"/>
    <w:basedOn w:val="2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autoRedefine/>
    <w:qFormat/>
    <w:uiPriority w:val="22"/>
    <w:rPr>
      <w:b/>
      <w:bCs/>
    </w:rPr>
  </w:style>
  <w:style w:type="character" w:styleId="31">
    <w:name w:val="page number"/>
    <w:autoRedefine/>
    <w:qFormat/>
    <w:uiPriority w:val="0"/>
    <w:rPr>
      <w:rFonts w:ascii="宋体" w:hAnsi="Times New Roman" w:eastAsia="宋体"/>
      <w:sz w:val="18"/>
    </w:rPr>
  </w:style>
  <w:style w:type="character" w:styleId="32">
    <w:name w:val="Emphasis"/>
    <w:autoRedefine/>
    <w:qFormat/>
    <w:uiPriority w:val="20"/>
    <w:rPr>
      <w:i/>
      <w:iCs/>
    </w:rPr>
  </w:style>
  <w:style w:type="character" w:styleId="33">
    <w:name w:val="Hyperlink"/>
    <w:autoRedefine/>
    <w:qFormat/>
    <w:uiPriority w:val="99"/>
    <w:rPr>
      <w:rFonts w:ascii="宋体" w:hAnsi="Times New Roman" w:eastAsia="宋体"/>
      <w:color w:val="auto"/>
      <w:spacing w:val="0"/>
      <w:w w:val="100"/>
      <w:position w:val="0"/>
      <w:sz w:val="21"/>
      <w:u w:val="none"/>
      <w:vertAlign w:val="baseline"/>
    </w:rPr>
  </w:style>
  <w:style w:type="character" w:styleId="34">
    <w:name w:val="footnote reference"/>
    <w:autoRedefine/>
    <w:semiHidden/>
    <w:qFormat/>
    <w:uiPriority w:val="0"/>
    <w:rPr>
      <w:rFonts w:ascii="宋体" w:hAnsi="宋体" w:eastAsia="宋体" w:cs="Times New Roman"/>
      <w:spacing w:val="0"/>
      <w:sz w:val="18"/>
      <w:vertAlign w:val="superscript"/>
    </w:rPr>
  </w:style>
  <w:style w:type="character" w:customStyle="1" w:styleId="35">
    <w:name w:val="标题 1 字符"/>
    <w:link w:val="2"/>
    <w:autoRedefine/>
    <w:qFormat/>
    <w:uiPriority w:val="0"/>
    <w:rPr>
      <w:rFonts w:ascii="Times New Roman" w:hAnsi="Times New Roman" w:eastAsia="宋体" w:cs="Times New Roman"/>
      <w:b/>
      <w:bCs/>
      <w:kern w:val="44"/>
      <w:sz w:val="44"/>
      <w:szCs w:val="44"/>
    </w:rPr>
  </w:style>
  <w:style w:type="character" w:customStyle="1" w:styleId="36">
    <w:name w:val="标题 2 字符"/>
    <w:link w:val="3"/>
    <w:autoRedefine/>
    <w:qFormat/>
    <w:uiPriority w:val="0"/>
    <w:rPr>
      <w:rFonts w:ascii="Arial" w:hAnsi="Arial" w:eastAsia="黑体" w:cs="Times New Roman"/>
      <w:b/>
      <w:bCs/>
      <w:sz w:val="32"/>
      <w:szCs w:val="32"/>
    </w:rPr>
  </w:style>
  <w:style w:type="character" w:customStyle="1" w:styleId="37">
    <w:name w:val="标题 3 字符"/>
    <w:link w:val="4"/>
    <w:autoRedefine/>
    <w:qFormat/>
    <w:uiPriority w:val="0"/>
    <w:rPr>
      <w:rFonts w:ascii="Times New Roman" w:hAnsi="Times New Roman" w:eastAsia="宋体" w:cs="Times New Roman"/>
      <w:b/>
      <w:bCs/>
      <w:sz w:val="32"/>
      <w:szCs w:val="32"/>
    </w:rPr>
  </w:style>
  <w:style w:type="character" w:customStyle="1" w:styleId="38">
    <w:name w:val="标题 4 字符"/>
    <w:link w:val="5"/>
    <w:autoRedefine/>
    <w:qFormat/>
    <w:uiPriority w:val="0"/>
    <w:rPr>
      <w:rFonts w:ascii="Arial" w:hAnsi="Arial" w:eastAsia="黑体" w:cs="Times New Roman"/>
      <w:b/>
      <w:bCs/>
      <w:sz w:val="28"/>
      <w:szCs w:val="28"/>
    </w:rPr>
  </w:style>
  <w:style w:type="character" w:customStyle="1" w:styleId="39">
    <w:name w:val="标题 5 字符"/>
    <w:link w:val="6"/>
    <w:autoRedefine/>
    <w:qFormat/>
    <w:uiPriority w:val="0"/>
    <w:rPr>
      <w:rFonts w:ascii="Times New Roman" w:hAnsi="Times New Roman" w:eastAsia="宋体" w:cs="Times New Roman"/>
      <w:b/>
      <w:bCs/>
      <w:sz w:val="28"/>
      <w:szCs w:val="28"/>
    </w:rPr>
  </w:style>
  <w:style w:type="character" w:customStyle="1" w:styleId="40">
    <w:name w:val="标题 6 字符"/>
    <w:link w:val="7"/>
    <w:autoRedefine/>
    <w:qFormat/>
    <w:uiPriority w:val="0"/>
    <w:rPr>
      <w:rFonts w:ascii="Arial" w:hAnsi="Arial" w:eastAsia="黑体" w:cs="Times New Roman"/>
      <w:b/>
      <w:bCs/>
      <w:sz w:val="24"/>
      <w:szCs w:val="24"/>
    </w:rPr>
  </w:style>
  <w:style w:type="character" w:customStyle="1" w:styleId="41">
    <w:name w:val="标题 7 字符"/>
    <w:link w:val="8"/>
    <w:autoRedefine/>
    <w:qFormat/>
    <w:uiPriority w:val="0"/>
    <w:rPr>
      <w:rFonts w:ascii="Times New Roman" w:hAnsi="Times New Roman" w:eastAsia="宋体" w:cs="Times New Roman"/>
      <w:b/>
      <w:bCs/>
      <w:sz w:val="24"/>
      <w:szCs w:val="24"/>
    </w:rPr>
  </w:style>
  <w:style w:type="character" w:customStyle="1" w:styleId="42">
    <w:name w:val="标题 8 字符"/>
    <w:link w:val="9"/>
    <w:autoRedefine/>
    <w:qFormat/>
    <w:uiPriority w:val="0"/>
    <w:rPr>
      <w:rFonts w:ascii="Arial" w:hAnsi="Arial" w:eastAsia="黑体" w:cs="Times New Roman"/>
      <w:sz w:val="24"/>
      <w:szCs w:val="24"/>
    </w:rPr>
  </w:style>
  <w:style w:type="character" w:customStyle="1" w:styleId="43">
    <w:name w:val="标题 9 字符"/>
    <w:link w:val="10"/>
    <w:autoRedefine/>
    <w:qFormat/>
    <w:uiPriority w:val="0"/>
    <w:rPr>
      <w:rFonts w:ascii="Arial" w:hAnsi="Arial" w:eastAsia="黑体" w:cs="Times New Roman"/>
      <w:szCs w:val="21"/>
    </w:rPr>
  </w:style>
  <w:style w:type="character" w:customStyle="1" w:styleId="44">
    <w:name w:val="页眉 字符"/>
    <w:link w:val="18"/>
    <w:autoRedefine/>
    <w:qFormat/>
    <w:uiPriority w:val="99"/>
    <w:rPr>
      <w:rFonts w:ascii="Times New Roman" w:hAnsi="Times New Roman" w:eastAsia="宋体" w:cs="Times New Roman"/>
      <w:sz w:val="18"/>
      <w:szCs w:val="18"/>
    </w:rPr>
  </w:style>
  <w:style w:type="character" w:customStyle="1" w:styleId="45">
    <w:name w:val="页脚 字符"/>
    <w:link w:val="17"/>
    <w:autoRedefine/>
    <w:qFormat/>
    <w:uiPriority w:val="99"/>
    <w:rPr>
      <w:rFonts w:ascii="宋体" w:hAnsi="Times New Roman" w:eastAsia="宋体" w:cs="Times New Roman"/>
      <w:sz w:val="18"/>
      <w:szCs w:val="18"/>
    </w:rPr>
  </w:style>
  <w:style w:type="character" w:customStyle="1" w:styleId="46">
    <w:name w:val="批注框文本 字符"/>
    <w:link w:val="16"/>
    <w:autoRedefine/>
    <w:semiHidden/>
    <w:qFormat/>
    <w:uiPriority w:val="99"/>
    <w:rPr>
      <w:sz w:val="18"/>
      <w:szCs w:val="18"/>
    </w:rPr>
  </w:style>
  <w:style w:type="paragraph" w:styleId="47">
    <w:name w:val="Quote"/>
    <w:basedOn w:val="1"/>
    <w:next w:val="1"/>
    <w:link w:val="48"/>
    <w:autoRedefine/>
    <w:qFormat/>
    <w:uiPriority w:val="29"/>
    <w:rPr>
      <w:i/>
      <w:iCs/>
      <w:color w:val="000000"/>
    </w:rPr>
  </w:style>
  <w:style w:type="character" w:customStyle="1" w:styleId="48">
    <w:name w:val="引用 字符"/>
    <w:link w:val="47"/>
    <w:autoRedefine/>
    <w:qFormat/>
    <w:uiPriority w:val="29"/>
    <w:rPr>
      <w:i/>
      <w:iCs/>
      <w:color w:val="000000"/>
    </w:rPr>
  </w:style>
  <w:style w:type="character" w:customStyle="1" w:styleId="49">
    <w:name w:val="标题 字符"/>
    <w:link w:val="26"/>
    <w:autoRedefine/>
    <w:qFormat/>
    <w:uiPriority w:val="0"/>
    <w:rPr>
      <w:rFonts w:ascii="Arial" w:hAnsi="Arial" w:eastAsia="宋体" w:cs="Arial"/>
      <w:b/>
      <w:bCs/>
      <w:sz w:val="32"/>
      <w:szCs w:val="32"/>
    </w:rPr>
  </w:style>
  <w:style w:type="paragraph" w:customStyle="1" w:styleId="50">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autoRedefine/>
    <w:qFormat/>
    <w:uiPriority w:val="0"/>
    <w:pPr>
      <w:ind w:left="227"/>
    </w:pPr>
    <w:rPr>
      <w:rFonts w:ascii="宋体" w:hAnsi="Times New Roman" w:eastAsia="宋体" w:cs="Times New Roman"/>
      <w:sz w:val="18"/>
      <w:lang w:val="en-US" w:eastAsia="zh-CN" w:bidi="ar-SA"/>
    </w:rPr>
  </w:style>
  <w:style w:type="paragraph" w:customStyle="1" w:styleId="53">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autoRedefine/>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autoRedefine/>
    <w:qFormat/>
    <w:uiPriority w:val="0"/>
    <w:pPr>
      <w:spacing w:line="0" w:lineRule="atLeast"/>
    </w:pPr>
    <w:rPr>
      <w:rFonts w:ascii="黑体" w:hAnsi="宋体" w:eastAsia="黑体"/>
    </w:rPr>
  </w:style>
  <w:style w:type="paragraph" w:customStyle="1" w:styleId="56">
    <w:name w:val="标准文件_标准正文"/>
    <w:basedOn w:val="1"/>
    <w:next w:val="57"/>
    <w:autoRedefine/>
    <w:qFormat/>
    <w:uiPriority w:val="0"/>
    <w:pPr>
      <w:snapToGrid w:val="0"/>
      <w:ind w:firstLine="200" w:firstLineChars="200"/>
    </w:pPr>
    <w:rPr>
      <w:kern w:val="0"/>
    </w:rPr>
  </w:style>
  <w:style w:type="paragraph" w:customStyle="1" w:styleId="57">
    <w:name w:val="标准文件_段"/>
    <w:link w:val="185"/>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autoRedefine/>
    <w:qFormat/>
    <w:uiPriority w:val="0"/>
    <w:pPr>
      <w:adjustRightInd/>
      <w:snapToGrid/>
      <w:ind w:firstLine="0" w:firstLineChars="0"/>
    </w:pPr>
    <w:rPr>
      <w:rFonts w:ascii="宋体" w:hAnsi="宋体"/>
      <w:kern w:val="2"/>
    </w:rPr>
  </w:style>
  <w:style w:type="paragraph" w:customStyle="1" w:styleId="59">
    <w:name w:val="标准文件_标准部门"/>
    <w:basedOn w:val="1"/>
    <w:autoRedefine/>
    <w:qFormat/>
    <w:uiPriority w:val="0"/>
    <w:pPr>
      <w:jc w:val="center"/>
    </w:pPr>
    <w:rPr>
      <w:rFonts w:ascii="黑体" w:eastAsia="黑体"/>
      <w:kern w:val="0"/>
      <w:sz w:val="44"/>
    </w:rPr>
  </w:style>
  <w:style w:type="paragraph" w:customStyle="1" w:styleId="60">
    <w:name w:val="标准文件_标准代替"/>
    <w:basedOn w:val="1"/>
    <w:next w:val="1"/>
    <w:autoRedefine/>
    <w:qFormat/>
    <w:uiPriority w:val="0"/>
    <w:pPr>
      <w:spacing w:line="310" w:lineRule="exact"/>
      <w:jc w:val="right"/>
    </w:pPr>
    <w:rPr>
      <w:rFonts w:ascii="宋体" w:hAnsi="宋体"/>
      <w:kern w:val="0"/>
    </w:rPr>
  </w:style>
  <w:style w:type="paragraph" w:customStyle="1" w:styleId="61">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autoRedefine/>
    <w:qFormat/>
    <w:uiPriority w:val="0"/>
    <w:pPr>
      <w:jc w:val="left"/>
    </w:pPr>
  </w:style>
  <w:style w:type="paragraph" w:customStyle="1" w:styleId="64">
    <w:name w:val="标准文件_参考文献标题"/>
    <w:basedOn w:val="1"/>
    <w:next w:val="1"/>
    <w:autoRedefine/>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5">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autoRedefine/>
    <w:qFormat/>
    <w:uiPriority w:val="0"/>
    <w:rPr>
      <w:rFonts w:ascii="黑体" w:eastAsia="黑体"/>
      <w:spacing w:val="0"/>
      <w:w w:val="100"/>
      <w:position w:val="3"/>
      <w:sz w:val="28"/>
    </w:rPr>
  </w:style>
  <w:style w:type="paragraph" w:customStyle="1" w:styleId="68">
    <w:name w:val="标准文件_方框数字列项"/>
    <w:basedOn w:val="57"/>
    <w:autoRedefine/>
    <w:qFormat/>
    <w:uiPriority w:val="0"/>
    <w:pPr>
      <w:numPr>
        <w:ilvl w:val="0"/>
        <w:numId w:val="3"/>
      </w:numPr>
      <w:ind w:firstLine="0" w:firstLineChars="0"/>
    </w:pPr>
  </w:style>
  <w:style w:type="paragraph" w:customStyle="1" w:styleId="69">
    <w:name w:val="标准文件_封面标准编号"/>
    <w:basedOn w:val="1"/>
    <w:next w:val="60"/>
    <w:autoRedefine/>
    <w:qFormat/>
    <w:uiPriority w:val="0"/>
    <w:pPr>
      <w:spacing w:line="310" w:lineRule="exact"/>
      <w:jc w:val="right"/>
    </w:pPr>
    <w:rPr>
      <w:rFonts w:ascii="黑体" w:eastAsia="黑体"/>
      <w:kern w:val="0"/>
      <w:sz w:val="28"/>
    </w:rPr>
  </w:style>
  <w:style w:type="paragraph" w:customStyle="1" w:styleId="70">
    <w:name w:val="标准文件_封面标准分类号"/>
    <w:basedOn w:val="1"/>
    <w:autoRedefine/>
    <w:qFormat/>
    <w:uiPriority w:val="0"/>
    <w:rPr>
      <w:rFonts w:ascii="黑体" w:eastAsia="黑体"/>
      <w:b/>
      <w:kern w:val="0"/>
      <w:sz w:val="28"/>
    </w:rPr>
  </w:style>
  <w:style w:type="paragraph" w:customStyle="1" w:styleId="71">
    <w:name w:val="标准文件_封面标准名称"/>
    <w:basedOn w:val="1"/>
    <w:autoRedefine/>
    <w:qFormat/>
    <w:uiPriority w:val="0"/>
    <w:pPr>
      <w:spacing w:line="240" w:lineRule="auto"/>
      <w:jc w:val="center"/>
    </w:pPr>
    <w:rPr>
      <w:rFonts w:ascii="黑体" w:eastAsia="黑体"/>
      <w:kern w:val="0"/>
      <w:sz w:val="52"/>
    </w:rPr>
  </w:style>
  <w:style w:type="paragraph" w:customStyle="1" w:styleId="72">
    <w:name w:val="标准文件_封面标准英文名称"/>
    <w:basedOn w:val="1"/>
    <w:autoRedefine/>
    <w:qFormat/>
    <w:uiPriority w:val="0"/>
    <w:pPr>
      <w:spacing w:line="240" w:lineRule="auto"/>
      <w:jc w:val="center"/>
    </w:pPr>
    <w:rPr>
      <w:rFonts w:ascii="黑体" w:eastAsia="黑体"/>
      <w:b/>
      <w:sz w:val="28"/>
    </w:rPr>
  </w:style>
  <w:style w:type="paragraph" w:customStyle="1" w:styleId="73">
    <w:name w:val="标准文件_封面发布日期"/>
    <w:basedOn w:val="1"/>
    <w:autoRedefine/>
    <w:qFormat/>
    <w:uiPriority w:val="0"/>
    <w:pPr>
      <w:spacing w:line="310" w:lineRule="exact"/>
    </w:pPr>
    <w:rPr>
      <w:rFonts w:ascii="黑体" w:eastAsia="黑体"/>
      <w:kern w:val="0"/>
      <w:sz w:val="28"/>
    </w:rPr>
  </w:style>
  <w:style w:type="paragraph" w:customStyle="1" w:styleId="74">
    <w:name w:val="标准文件_封面密级"/>
    <w:basedOn w:val="1"/>
    <w:autoRedefine/>
    <w:qFormat/>
    <w:uiPriority w:val="0"/>
    <w:rPr>
      <w:rFonts w:eastAsia="黑体"/>
      <w:sz w:val="32"/>
    </w:rPr>
  </w:style>
  <w:style w:type="paragraph" w:customStyle="1" w:styleId="75">
    <w:name w:val="标准文件_封面实施日期"/>
    <w:basedOn w:val="1"/>
    <w:autoRedefine/>
    <w:qFormat/>
    <w:uiPriority w:val="0"/>
    <w:pPr>
      <w:spacing w:line="310" w:lineRule="exact"/>
      <w:jc w:val="right"/>
    </w:pPr>
    <w:rPr>
      <w:rFonts w:ascii="黑体" w:eastAsia="黑体"/>
      <w:sz w:val="28"/>
    </w:rPr>
  </w:style>
  <w:style w:type="paragraph" w:customStyle="1" w:styleId="76">
    <w:name w:val="标准文件_封面抬头"/>
    <w:basedOn w:val="57"/>
    <w:autoRedefine/>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autoRedefine/>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autoRedefine/>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autoRedefine/>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autoRedefine/>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5">
    <w:name w:val="标准文件_附录五级条标题"/>
    <w:next w:val="57"/>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autoRedefine/>
    <w:qFormat/>
    <w:uiPriority w:val="0"/>
    <w:rPr>
      <w:rFonts w:ascii="Times New Roman" w:hAnsi="Times New Roman" w:eastAsia="宋体" w:cs="Times New Roman"/>
      <w:szCs w:val="20"/>
    </w:rPr>
  </w:style>
  <w:style w:type="paragraph" w:customStyle="1" w:styleId="88">
    <w:name w:val="标准文件_附录章标题"/>
    <w:next w:val="57"/>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autoRedefine/>
    <w:qFormat/>
    <w:uiPriority w:val="0"/>
    <w:pPr>
      <w:ind w:left="488" w:leftChars="200" w:hanging="289" w:hangingChars="290"/>
    </w:pPr>
  </w:style>
  <w:style w:type="paragraph" w:customStyle="1" w:styleId="90">
    <w:name w:val="标准文件_前言、引言标题"/>
    <w:next w:val="1"/>
    <w:autoRedefine/>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autoRedefine/>
    <w:qFormat/>
    <w:uiPriority w:val="0"/>
    <w:pPr>
      <w:spacing w:line="460" w:lineRule="exact"/>
    </w:pPr>
  </w:style>
  <w:style w:type="paragraph" w:customStyle="1" w:styleId="92">
    <w:name w:val="标准文件_目录标题"/>
    <w:basedOn w:val="1"/>
    <w:autoRedefine/>
    <w:qFormat/>
    <w:uiPriority w:val="0"/>
    <w:pPr>
      <w:spacing w:after="150" w:afterLines="150" w:line="240" w:lineRule="auto"/>
      <w:jc w:val="center"/>
    </w:pPr>
    <w:rPr>
      <w:rFonts w:ascii="黑体" w:eastAsia="黑体"/>
      <w:sz w:val="32"/>
    </w:rPr>
  </w:style>
  <w:style w:type="paragraph" w:customStyle="1" w:styleId="93">
    <w:name w:val="标准文件_破折号列项"/>
    <w:autoRedefine/>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autoRedefine/>
    <w:qFormat/>
    <w:uiPriority w:val="0"/>
    <w:pPr>
      <w:numPr>
        <w:numId w:val="10"/>
      </w:numPr>
      <w:ind w:left="0" w:firstLine="200"/>
    </w:pPr>
  </w:style>
  <w:style w:type="paragraph" w:customStyle="1" w:styleId="95">
    <w:name w:val="标准文件_三级条标题"/>
    <w:basedOn w:val="66"/>
    <w:next w:val="57"/>
    <w:autoRedefine/>
    <w:qFormat/>
    <w:uiPriority w:val="0"/>
    <w:pPr>
      <w:widowControl/>
      <w:numPr>
        <w:ilvl w:val="4"/>
      </w:numPr>
      <w:outlineLvl w:val="3"/>
    </w:pPr>
  </w:style>
  <w:style w:type="character" w:customStyle="1" w:styleId="96">
    <w:name w:val="不明显参考1"/>
    <w:autoRedefine/>
    <w:qFormat/>
    <w:uiPriority w:val="31"/>
    <w:rPr>
      <w:smallCaps/>
      <w:color w:val="C0504D"/>
      <w:u w:val="single"/>
    </w:rPr>
  </w:style>
  <w:style w:type="paragraph" w:customStyle="1" w:styleId="97">
    <w:name w:val="标准文件_示例后续"/>
    <w:basedOn w:val="1"/>
    <w:autoRedefine/>
    <w:qFormat/>
    <w:uiPriority w:val="0"/>
    <w:pPr>
      <w:adjustRightInd/>
      <w:spacing w:line="240" w:lineRule="auto"/>
      <w:ind w:firstLine="200" w:firstLineChars="200"/>
    </w:pPr>
    <w:rPr>
      <w:sz w:val="18"/>
      <w:szCs w:val="24"/>
    </w:rPr>
  </w:style>
  <w:style w:type="paragraph" w:customStyle="1" w:styleId="98">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autoRedefine/>
    <w:semiHidden/>
    <w:qFormat/>
    <w:uiPriority w:val="0"/>
    <w:rPr>
      <w:rFonts w:ascii="宋体" w:hAnsi="Times New Roman" w:eastAsia="宋体" w:cs="Times New Roman"/>
      <w:sz w:val="18"/>
      <w:szCs w:val="18"/>
    </w:rPr>
  </w:style>
  <w:style w:type="paragraph" w:customStyle="1" w:styleId="101">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autoRedefine/>
    <w:qFormat/>
    <w:uiPriority w:val="0"/>
    <w:pPr>
      <w:numPr>
        <w:ilvl w:val="0"/>
        <w:numId w:val="12"/>
      </w:numPr>
      <w:spacing w:line="240" w:lineRule="auto"/>
      <w:jc w:val="left"/>
    </w:pPr>
    <w:rPr>
      <w:rFonts w:ascii="宋体" w:hAnsi="宋体"/>
      <w:sz w:val="18"/>
    </w:rPr>
  </w:style>
  <w:style w:type="character" w:customStyle="1" w:styleId="103">
    <w:name w:val="标准文件_图表脚注内容"/>
    <w:autoRedefine/>
    <w:qFormat/>
    <w:uiPriority w:val="0"/>
    <w:rPr>
      <w:rFonts w:ascii="宋体" w:hAnsi="宋体" w:eastAsia="宋体" w:cs="Times New Roman"/>
      <w:spacing w:val="0"/>
      <w:sz w:val="18"/>
      <w:vertAlign w:val="superscript"/>
    </w:rPr>
  </w:style>
  <w:style w:type="paragraph" w:customStyle="1" w:styleId="104">
    <w:name w:val="标准文件_五级条标题"/>
    <w:next w:val="57"/>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autoRedefine/>
    <w:qFormat/>
    <w:uiPriority w:val="0"/>
    <w:pPr>
      <w:numPr>
        <w:ilvl w:val="2"/>
      </w:numPr>
      <w:spacing w:before="50" w:beforeLines="50" w:after="50" w:afterLines="50"/>
      <w:outlineLvl w:val="1"/>
    </w:pPr>
  </w:style>
  <w:style w:type="paragraph" w:customStyle="1" w:styleId="107">
    <w:name w:val="标准文件_一致程度"/>
    <w:basedOn w:val="1"/>
    <w:autoRedefine/>
    <w:qFormat/>
    <w:uiPriority w:val="0"/>
    <w:pPr>
      <w:spacing w:line="440" w:lineRule="exact"/>
      <w:jc w:val="center"/>
    </w:pPr>
    <w:rPr>
      <w:sz w:val="28"/>
    </w:rPr>
  </w:style>
  <w:style w:type="paragraph" w:customStyle="1" w:styleId="108">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autoRedefine/>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autoRedefine/>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20">
    <w:name w:val="发布部门"/>
    <w:next w:val="57"/>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autoRedefine/>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autoRedefine/>
    <w:qFormat/>
    <w:uiPriority w:val="0"/>
    <w:pPr>
      <w:outlineLvl w:val="4"/>
    </w:pPr>
  </w:style>
  <w:style w:type="paragraph" w:customStyle="1" w:styleId="131">
    <w:name w:val="附录四级无标题条"/>
    <w:basedOn w:val="130"/>
    <w:next w:val="57"/>
    <w:autoRedefine/>
    <w:qFormat/>
    <w:uiPriority w:val="0"/>
    <w:pPr>
      <w:outlineLvl w:val="5"/>
    </w:pPr>
  </w:style>
  <w:style w:type="paragraph" w:customStyle="1" w:styleId="132">
    <w:name w:val="附录图"/>
    <w:next w:val="57"/>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autoRedefine/>
    <w:qFormat/>
    <w:uiPriority w:val="0"/>
    <w:pPr>
      <w:numPr>
        <w:ilvl w:val="0"/>
        <w:numId w:val="21"/>
      </w:numPr>
      <w:tabs>
        <w:tab w:val="left" w:pos="851"/>
      </w:tabs>
      <w:ind w:left="0" w:firstLine="40"/>
    </w:pPr>
    <w:rPr>
      <w:rFonts w:ascii="宋体" w:hAnsi="Times New Roman" w:eastAsia="宋体" w:cs="Times New Roman"/>
      <w:sz w:val="21"/>
      <w:lang w:val="en-US" w:eastAsia="zh-CN" w:bidi="ar-SA"/>
    </w:rPr>
  </w:style>
  <w:style w:type="paragraph" w:customStyle="1" w:styleId="134">
    <w:name w:val="附录五级无标题条"/>
    <w:basedOn w:val="131"/>
    <w:next w:val="57"/>
    <w:autoRedefine/>
    <w:qFormat/>
    <w:uiPriority w:val="0"/>
    <w:pPr>
      <w:outlineLvl w:val="6"/>
    </w:pPr>
  </w:style>
  <w:style w:type="paragraph" w:customStyle="1" w:styleId="135">
    <w:name w:val="附录性质"/>
    <w:basedOn w:val="1"/>
    <w:autoRedefine/>
    <w:qFormat/>
    <w:uiPriority w:val="0"/>
    <w:pPr>
      <w:widowControl/>
      <w:adjustRightInd/>
      <w:jc w:val="center"/>
    </w:pPr>
    <w:rPr>
      <w:rFonts w:ascii="黑体" w:eastAsia="黑体"/>
    </w:rPr>
  </w:style>
  <w:style w:type="paragraph" w:customStyle="1" w:styleId="136">
    <w:name w:val="附录一级无标题条"/>
    <w:basedOn w:val="88"/>
    <w:next w:val="57"/>
    <w:autoRedefine/>
    <w:qFormat/>
    <w:uiPriority w:val="0"/>
    <w:pPr>
      <w:autoSpaceDN w:val="0"/>
      <w:outlineLvl w:val="2"/>
    </w:pPr>
    <w:rPr>
      <w:rFonts w:ascii="宋体" w:hAnsi="宋体" w:eastAsia="宋体"/>
    </w:rPr>
  </w:style>
  <w:style w:type="character" w:customStyle="1" w:styleId="137">
    <w:name w:val="个人答复风格"/>
    <w:autoRedefine/>
    <w:qFormat/>
    <w:uiPriority w:val="0"/>
    <w:rPr>
      <w:rFonts w:ascii="Arial" w:hAnsi="Arial" w:eastAsia="宋体" w:cs="Arial"/>
      <w:color w:val="auto"/>
      <w:spacing w:val="0"/>
      <w:sz w:val="20"/>
    </w:rPr>
  </w:style>
  <w:style w:type="character" w:customStyle="1" w:styleId="138">
    <w:name w:val="个人撰写风格"/>
    <w:autoRedefine/>
    <w:qFormat/>
    <w:uiPriority w:val="0"/>
    <w:rPr>
      <w:rFonts w:ascii="Arial" w:hAnsi="Arial" w:eastAsia="宋体" w:cs="Arial"/>
      <w:color w:val="auto"/>
      <w:spacing w:val="0"/>
      <w:sz w:val="20"/>
    </w:rPr>
  </w:style>
  <w:style w:type="paragraph" w:customStyle="1" w:styleId="139">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autoRedefine/>
    <w:qFormat/>
    <w:uiPriority w:val="0"/>
    <w:pPr>
      <w:tabs>
        <w:tab w:val="left" w:pos="840"/>
      </w:tabs>
    </w:pPr>
  </w:style>
  <w:style w:type="paragraph" w:customStyle="1" w:styleId="142">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autoRedefine/>
    <w:semiHidden/>
    <w:qFormat/>
    <w:uiPriority w:val="0"/>
    <w:pPr>
      <w:spacing w:line="240" w:lineRule="auto"/>
    </w:pPr>
    <w:rPr>
      <w:rFonts w:ascii="宋体" w:hAnsi="宋体"/>
      <w:iCs/>
    </w:rPr>
  </w:style>
  <w:style w:type="paragraph" w:customStyle="1" w:styleId="145">
    <w:name w:val="目录 41"/>
    <w:basedOn w:val="1"/>
    <w:next w:val="1"/>
    <w:autoRedefine/>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autoRedefine/>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autoRedefine/>
    <w:semiHidden/>
    <w:qFormat/>
    <w:uiPriority w:val="0"/>
    <w:pPr>
      <w:ind w:left="1680"/>
    </w:pPr>
  </w:style>
  <w:style w:type="paragraph" w:customStyle="1" w:styleId="151">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autoRedefine/>
    <w:qFormat/>
    <w:uiPriority w:val="0"/>
    <w:pPr>
      <w:framePr w:wrap="around"/>
      <w:spacing w:line="0" w:lineRule="atLeast"/>
    </w:pPr>
    <w:rPr>
      <w:rFonts w:ascii="黑体" w:eastAsia="黑体"/>
      <w:b w:val="0"/>
    </w:rPr>
  </w:style>
  <w:style w:type="paragraph" w:customStyle="1" w:styleId="153">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5">
    <w:name w:val="实施日期"/>
    <w:basedOn w:val="121"/>
    <w:autoRedefine/>
    <w:qFormat/>
    <w:uiPriority w:val="0"/>
    <w:pPr>
      <w:framePr w:hSpace="0" w:wrap="around" w:xAlign="right"/>
      <w:jc w:val="right"/>
    </w:pPr>
  </w:style>
  <w:style w:type="paragraph" w:customStyle="1" w:styleId="156">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7">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autoRedefine/>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autoRedefine/>
    <w:qFormat/>
    <w:uiPriority w:val="0"/>
    <w:pPr>
      <w:numPr>
        <w:ilvl w:val="6"/>
        <w:numId w:val="20"/>
      </w:numPr>
      <w:adjustRightInd/>
    </w:pPr>
    <w:rPr>
      <w:szCs w:val="24"/>
    </w:rPr>
  </w:style>
  <w:style w:type="paragraph" w:customStyle="1" w:styleId="160">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1">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autoRedefine/>
    <w:qFormat/>
    <w:uiPriority w:val="0"/>
    <w:pPr>
      <w:ind w:left="1406" w:leftChars="0" w:hanging="499" w:firstLineChars="0"/>
    </w:pPr>
  </w:style>
  <w:style w:type="paragraph" w:customStyle="1" w:styleId="163">
    <w:name w:val="标准文件_一级无标题"/>
    <w:basedOn w:val="106"/>
    <w:autoRedefine/>
    <w:qFormat/>
    <w:uiPriority w:val="0"/>
    <w:pPr>
      <w:spacing w:before="0" w:beforeLines="0" w:after="0" w:afterLines="0"/>
      <w:outlineLvl w:val="9"/>
    </w:pPr>
    <w:rPr>
      <w:rFonts w:ascii="宋体" w:eastAsia="宋体"/>
    </w:rPr>
  </w:style>
  <w:style w:type="paragraph" w:customStyle="1" w:styleId="164">
    <w:name w:val="标准文件_五级无标题"/>
    <w:basedOn w:val="104"/>
    <w:autoRedefine/>
    <w:qFormat/>
    <w:uiPriority w:val="0"/>
    <w:pPr>
      <w:spacing w:before="0" w:beforeLines="0" w:after="0" w:afterLines="0"/>
      <w:outlineLvl w:val="9"/>
    </w:pPr>
    <w:rPr>
      <w:rFonts w:ascii="宋体" w:eastAsia="宋体"/>
    </w:rPr>
  </w:style>
  <w:style w:type="paragraph" w:customStyle="1" w:styleId="165">
    <w:name w:val="标准文件_三级无标题"/>
    <w:basedOn w:val="95"/>
    <w:autoRedefine/>
    <w:qFormat/>
    <w:uiPriority w:val="0"/>
    <w:pPr>
      <w:spacing w:before="0" w:beforeLines="0" w:after="0" w:afterLines="0"/>
      <w:outlineLvl w:val="9"/>
    </w:pPr>
    <w:rPr>
      <w:rFonts w:ascii="宋体" w:eastAsia="宋体"/>
    </w:rPr>
  </w:style>
  <w:style w:type="paragraph" w:customStyle="1" w:styleId="166">
    <w:name w:val="标准文件_二级无标题"/>
    <w:basedOn w:val="66"/>
    <w:autoRedefine/>
    <w:qFormat/>
    <w:uiPriority w:val="0"/>
    <w:pPr>
      <w:spacing w:before="0" w:beforeLines="0" w:after="0" w:afterLines="0"/>
      <w:outlineLvl w:val="9"/>
    </w:pPr>
    <w:rPr>
      <w:rFonts w:ascii="宋体" w:eastAsia="宋体"/>
    </w:rPr>
  </w:style>
  <w:style w:type="paragraph" w:customStyle="1" w:styleId="167">
    <w:name w:val="标准_四级无标题"/>
    <w:basedOn w:val="99"/>
    <w:next w:val="57"/>
    <w:autoRedefine/>
    <w:qFormat/>
    <w:uiPriority w:val="0"/>
    <w:rPr>
      <w:rFonts w:eastAsia="宋体"/>
    </w:rPr>
  </w:style>
  <w:style w:type="paragraph" w:customStyle="1" w:styleId="168">
    <w:name w:val="标准文件_四级无标题"/>
    <w:basedOn w:val="99"/>
    <w:autoRedefine/>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autoRedefine/>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autoRedefine/>
    <w:qFormat/>
    <w:uiPriority w:val="0"/>
    <w:pPr>
      <w:numPr>
        <w:ilvl w:val="0"/>
        <w:numId w:val="24"/>
      </w:numPr>
      <w:ind w:firstLine="0" w:firstLineChars="0"/>
    </w:pPr>
    <w:rPr>
      <w:rFonts w:cs="Arial"/>
      <w:szCs w:val="28"/>
    </w:rPr>
  </w:style>
  <w:style w:type="paragraph" w:customStyle="1" w:styleId="171">
    <w:name w:val="标准文件_附录标题"/>
    <w:basedOn w:val="77"/>
    <w:autoRedefine/>
    <w:qFormat/>
    <w:uiPriority w:val="0"/>
    <w:pPr>
      <w:numPr>
        <w:numId w:val="0"/>
      </w:numPr>
      <w:spacing w:after="280"/>
      <w:outlineLvl w:val="9"/>
    </w:pPr>
  </w:style>
  <w:style w:type="paragraph" w:customStyle="1" w:styleId="172">
    <w:name w:val="标准文件_二级项"/>
    <w:autoRedefine/>
    <w:qFormat/>
    <w:uiPriority w:val="0"/>
    <w:rPr>
      <w:rFonts w:ascii="宋体" w:hAnsi="Times New Roman" w:eastAsia="宋体" w:cs="Times New Roman"/>
      <w:sz w:val="21"/>
      <w:lang w:val="en-US" w:eastAsia="zh-CN" w:bidi="ar-SA"/>
    </w:rPr>
  </w:style>
  <w:style w:type="paragraph" w:customStyle="1" w:styleId="173">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autoRedefine/>
    <w:qFormat/>
    <w:uiPriority w:val="0"/>
    <w:pPr>
      <w:numPr>
        <w:ilvl w:val="0"/>
        <w:numId w:val="25"/>
      </w:numPr>
      <w:adjustRightInd/>
      <w:spacing w:line="240" w:lineRule="auto"/>
      <w:ind w:left="783"/>
    </w:pPr>
    <w:rPr>
      <w:rFonts w:ascii="宋体" w:hAnsi="Times New Roman"/>
      <w:sz w:val="18"/>
      <w:szCs w:val="18"/>
    </w:rPr>
  </w:style>
  <w:style w:type="paragraph" w:customStyle="1" w:styleId="175">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autoRedefine/>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autoRedefine/>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autoRedefine/>
    <w:qFormat/>
    <w:uiPriority w:val="0"/>
    <w:pPr>
      <w:ind w:firstLine="0" w:firstLineChars="0"/>
      <w:jc w:val="center"/>
    </w:pPr>
    <w:rPr>
      <w:sz w:val="18"/>
    </w:rPr>
  </w:style>
  <w:style w:type="paragraph" w:customStyle="1" w:styleId="180">
    <w:name w:val="标准文件_注："/>
    <w:next w:val="57"/>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autoRedefine/>
    <w:qFormat/>
    <w:uiPriority w:val="0"/>
    <w:pPr>
      <w:ind w:firstLine="420"/>
    </w:pPr>
    <w:rPr>
      <w:sz w:val="18"/>
    </w:rPr>
  </w:style>
  <w:style w:type="paragraph" w:customStyle="1" w:styleId="184">
    <w:name w:val="标准文件_示例×："/>
    <w:basedOn w:val="1"/>
    <w:next w:val="183"/>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autoRedefine/>
    <w:qFormat/>
    <w:uiPriority w:val="0"/>
    <w:rPr>
      <w:rFonts w:ascii="宋体" w:hAnsi="Times New Roman"/>
      <w:sz w:val="21"/>
    </w:rPr>
  </w:style>
  <w:style w:type="paragraph" w:customStyle="1" w:styleId="186">
    <w:name w:val="标准文件_表格续"/>
    <w:basedOn w:val="57"/>
    <w:next w:val="57"/>
    <w:autoRedefine/>
    <w:qFormat/>
    <w:uiPriority w:val="0"/>
    <w:pPr>
      <w:jc w:val="center"/>
    </w:pPr>
    <w:rPr>
      <w:rFonts w:ascii="黑体" w:hAnsi="黑体" w:eastAsia="黑体"/>
    </w:rPr>
  </w:style>
  <w:style w:type="character" w:styleId="187">
    <w:name w:val="Placeholder Text"/>
    <w:basedOn w:val="29"/>
    <w:autoRedefine/>
    <w:semiHidden/>
    <w:qFormat/>
    <w:uiPriority w:val="99"/>
    <w:rPr>
      <w:color w:val="808080"/>
    </w:rPr>
  </w:style>
  <w:style w:type="paragraph" w:customStyle="1" w:styleId="188">
    <w:name w:val="标准文件_二级项2"/>
    <w:basedOn w:val="57"/>
    <w:autoRedefine/>
    <w:qFormat/>
    <w:uiPriority w:val="0"/>
    <w:pPr>
      <w:numPr>
        <w:ilvl w:val="1"/>
        <w:numId w:val="21"/>
      </w:numPr>
      <w:ind w:left="851" w:hanging="431" w:firstLineChars="0"/>
    </w:pPr>
  </w:style>
  <w:style w:type="paragraph" w:customStyle="1" w:styleId="189">
    <w:name w:val="标准文件_三级项2"/>
    <w:basedOn w:val="57"/>
    <w:autoRedefine/>
    <w:qFormat/>
    <w:uiPriority w:val="0"/>
    <w:pPr>
      <w:numPr>
        <w:ilvl w:val="0"/>
        <w:numId w:val="30"/>
      </w:numPr>
      <w:spacing w:line="300" w:lineRule="exact"/>
      <w:ind w:left="1276" w:hanging="425" w:firstLineChars="0"/>
    </w:pPr>
    <w:rPr>
      <w:rFonts w:ascii="Times New Roman"/>
    </w:rPr>
  </w:style>
  <w:style w:type="paragraph" w:customStyle="1" w:styleId="190">
    <w:name w:val="标准文件_一级项2"/>
    <w:basedOn w:val="57"/>
    <w:autoRedefine/>
    <w:qFormat/>
    <w:uiPriority w:val="0"/>
    <w:pPr>
      <w:numPr>
        <w:ilvl w:val="0"/>
        <w:numId w:val="31"/>
      </w:numPr>
      <w:spacing w:line="300" w:lineRule="exact"/>
      <w:ind w:left="1271" w:hanging="420" w:firstLineChars="0"/>
    </w:pPr>
    <w:rPr>
      <w:rFonts w:ascii="Times New Roman"/>
    </w:rPr>
  </w:style>
  <w:style w:type="paragraph" w:customStyle="1" w:styleId="191">
    <w:name w:val="标准文件_提示"/>
    <w:basedOn w:val="57"/>
    <w:next w:val="57"/>
    <w:autoRedefine/>
    <w:qFormat/>
    <w:uiPriority w:val="0"/>
    <w:pPr>
      <w:ind w:firstLine="420"/>
    </w:pPr>
    <w:rPr>
      <w:rFonts w:ascii="黑体" w:eastAsia="黑体"/>
    </w:rPr>
  </w:style>
  <w:style w:type="character" w:customStyle="1" w:styleId="192">
    <w:name w:val="标准文件_来源"/>
    <w:basedOn w:val="29"/>
    <w:autoRedefine/>
    <w:qFormat/>
    <w:uiPriority w:val="1"/>
    <w:rPr>
      <w:rFonts w:eastAsia="宋体"/>
      <w:sz w:val="21"/>
    </w:rPr>
  </w:style>
  <w:style w:type="paragraph" w:customStyle="1" w:styleId="193">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autoRedefine/>
    <w:qFormat/>
    <w:uiPriority w:val="0"/>
    <w:pPr>
      <w:framePr w:w="3997" w:h="471" w:hRule="exact" w:hSpace="0" w:vSpace="181" w:wrap="around" w:vAnchor="page" w:hAnchor="page" w:x="1419" w:y="14097"/>
    </w:pPr>
  </w:style>
  <w:style w:type="paragraph" w:customStyle="1" w:styleId="195">
    <w:name w:val="其他实施日期"/>
    <w:basedOn w:val="155"/>
    <w:autoRedefine/>
    <w:qFormat/>
    <w:uiPriority w:val="0"/>
    <w:pPr>
      <w:framePr w:w="3997" w:h="471" w:hRule="exact" w:vSpace="181" w:wrap="around" w:vAnchor="page" w:hAnchor="page" w:x="7089" w:y="14097"/>
    </w:pPr>
  </w:style>
  <w:style w:type="paragraph" w:customStyle="1" w:styleId="196">
    <w:name w:val="标准文件_文件编号"/>
    <w:basedOn w:val="57"/>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autoRedefine/>
    <w:qFormat/>
    <w:uiPriority w:val="0"/>
    <w:pPr>
      <w:spacing w:before="57"/>
    </w:pPr>
    <w:rPr>
      <w:sz w:val="21"/>
    </w:rPr>
  </w:style>
  <w:style w:type="paragraph" w:customStyle="1" w:styleId="198">
    <w:name w:val="标准文件_文件名称"/>
    <w:basedOn w:val="57"/>
    <w:next w:val="57"/>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autoRedefine/>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autoRedefine/>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autoRedefine/>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autoRedefine/>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autoRedefine/>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autoRedefine/>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autoRedefine/>
    <w:qFormat/>
    <w:uiPriority w:val="0"/>
    <w:pPr>
      <w:ind w:left="811" w:firstLine="0" w:firstLineChars="0"/>
    </w:pPr>
    <w:rPr>
      <w:sz w:val="18"/>
    </w:rPr>
  </w:style>
  <w:style w:type="paragraph" w:customStyle="1" w:styleId="207">
    <w:name w:val="标准文件_注X后"/>
    <w:basedOn w:val="57"/>
    <w:autoRedefine/>
    <w:qFormat/>
    <w:uiPriority w:val="0"/>
    <w:pPr>
      <w:ind w:left="811" w:firstLine="0" w:firstLineChars="0"/>
    </w:pPr>
    <w:rPr>
      <w:sz w:val="18"/>
    </w:rPr>
  </w:style>
  <w:style w:type="paragraph" w:customStyle="1" w:styleId="208">
    <w:name w:val="标准文件_示例后"/>
    <w:basedOn w:val="57"/>
    <w:autoRedefine/>
    <w:qFormat/>
    <w:uiPriority w:val="0"/>
    <w:pPr>
      <w:ind w:left="964" w:firstLine="0" w:firstLineChars="0"/>
    </w:pPr>
    <w:rPr>
      <w:sz w:val="18"/>
    </w:rPr>
  </w:style>
  <w:style w:type="paragraph" w:customStyle="1" w:styleId="209">
    <w:name w:val="标准文件_示例X后"/>
    <w:basedOn w:val="57"/>
    <w:link w:val="210"/>
    <w:autoRedefine/>
    <w:qFormat/>
    <w:uiPriority w:val="0"/>
    <w:pPr>
      <w:ind w:left="1049" w:firstLine="0" w:firstLineChars="0"/>
    </w:pPr>
    <w:rPr>
      <w:sz w:val="18"/>
    </w:rPr>
  </w:style>
  <w:style w:type="character" w:customStyle="1" w:styleId="210">
    <w:name w:val="标准文件_示例X后 字符"/>
    <w:basedOn w:val="185"/>
    <w:link w:val="209"/>
    <w:autoRedefine/>
    <w:qFormat/>
    <w:uiPriority w:val="0"/>
    <w:rPr>
      <w:rFonts w:ascii="宋体" w:hAnsi="Times New Roman"/>
      <w:sz w:val="18"/>
    </w:rPr>
  </w:style>
  <w:style w:type="paragraph" w:customStyle="1" w:styleId="211">
    <w:name w:val="标准文件_索引项"/>
    <w:basedOn w:val="57"/>
    <w:next w:val="57"/>
    <w:autoRedefine/>
    <w:qFormat/>
    <w:uiPriority w:val="0"/>
    <w:pPr>
      <w:tabs>
        <w:tab w:val="right" w:leader="dot" w:pos="9356"/>
      </w:tabs>
      <w:ind w:left="210" w:hanging="210" w:firstLineChars="0"/>
      <w:jc w:val="left"/>
    </w:pPr>
  </w:style>
  <w:style w:type="paragraph" w:customStyle="1" w:styleId="212">
    <w:name w:val="标准文件_附录一级无标题"/>
    <w:basedOn w:val="79"/>
    <w:autoRedefine/>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autoRedefine/>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autoRedefine/>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autoRedefine/>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autoRedefine/>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autoRedefine/>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autoRedefine/>
    <w:qFormat/>
    <w:uiPriority w:val="0"/>
    <w:pPr>
      <w:spacing w:before="0" w:beforeLines="0" w:after="0" w:afterLines="0" w:line="276" w:lineRule="auto"/>
    </w:pPr>
    <w:rPr>
      <w:rFonts w:ascii="宋体" w:eastAsia="宋体"/>
    </w:rPr>
  </w:style>
  <w:style w:type="paragraph" w:customStyle="1" w:styleId="219">
    <w:name w:val="标准文件_引言三级无标题"/>
    <w:basedOn w:val="203"/>
    <w:next w:val="57"/>
    <w:autoRedefine/>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autoRedefine/>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autoRedefine/>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autoRedefine/>
    <w:qFormat/>
    <w:uiPriority w:val="0"/>
    <w:rPr>
      <w:rFonts w:hAnsi="黑体"/>
    </w:rPr>
  </w:style>
  <w:style w:type="paragraph" w:customStyle="1" w:styleId="223">
    <w:name w:val="标准文件_脚注内容"/>
    <w:basedOn w:val="57"/>
    <w:autoRedefine/>
    <w:qFormat/>
    <w:uiPriority w:val="0"/>
    <w:pPr>
      <w:ind w:left="400" w:leftChars="200" w:hanging="200" w:hangingChars="200"/>
    </w:pPr>
    <w:rPr>
      <w:sz w:val="15"/>
    </w:rPr>
  </w:style>
  <w:style w:type="paragraph" w:customStyle="1" w:styleId="224">
    <w:name w:val="标准文件_术语条一"/>
    <w:basedOn w:val="163"/>
    <w:next w:val="57"/>
    <w:autoRedefine/>
    <w:qFormat/>
    <w:uiPriority w:val="0"/>
  </w:style>
  <w:style w:type="paragraph" w:customStyle="1" w:styleId="225">
    <w:name w:val="标准文件_术语条二"/>
    <w:basedOn w:val="166"/>
    <w:next w:val="57"/>
    <w:autoRedefine/>
    <w:qFormat/>
    <w:uiPriority w:val="0"/>
  </w:style>
  <w:style w:type="paragraph" w:customStyle="1" w:styleId="226">
    <w:name w:val="标准文件_术语条三"/>
    <w:basedOn w:val="165"/>
    <w:next w:val="57"/>
    <w:autoRedefine/>
    <w:qFormat/>
    <w:uiPriority w:val="0"/>
  </w:style>
  <w:style w:type="paragraph" w:customStyle="1" w:styleId="227">
    <w:name w:val="标准文件_术语条四"/>
    <w:basedOn w:val="168"/>
    <w:next w:val="57"/>
    <w:autoRedefine/>
    <w:qFormat/>
    <w:uiPriority w:val="0"/>
  </w:style>
  <w:style w:type="paragraph" w:customStyle="1" w:styleId="228">
    <w:name w:val="标准文件_术语条五"/>
    <w:basedOn w:val="164"/>
    <w:next w:val="57"/>
    <w:autoRedefine/>
    <w:qFormat/>
    <w:uiPriority w:val="0"/>
  </w:style>
  <w:style w:type="paragraph" w:customStyle="1" w:styleId="229">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autoRedefine/>
    <w:qFormat/>
    <w:uiPriority w:val="0"/>
    <w:rPr>
      <w:rFonts w:ascii="黑体" w:eastAsia="黑体"/>
      <w:spacing w:val="85"/>
      <w:w w:val="100"/>
      <w:position w:val="3"/>
      <w:sz w:val="28"/>
      <w:szCs w:val="28"/>
    </w:rPr>
  </w:style>
  <w:style w:type="paragraph" w:customStyle="1" w:styleId="231">
    <w:name w:val="一级条标题"/>
    <w:next w:val="1"/>
    <w:autoRedefine/>
    <w:qFormat/>
    <w:uiPriority w:val="0"/>
    <w:pPr>
      <w:numPr>
        <w:ilvl w:val="1"/>
        <w:numId w:val="3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32">
    <w:name w:val="章标题"/>
    <w:next w:val="1"/>
    <w:autoRedefine/>
    <w:qFormat/>
    <w:uiPriority w:val="0"/>
    <w:pPr>
      <w:numPr>
        <w:ilvl w:val="0"/>
        <w:numId w:val="3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33">
    <w:name w:val="二级条标题"/>
    <w:basedOn w:val="231"/>
    <w:next w:val="1"/>
    <w:autoRedefine/>
    <w:qFormat/>
    <w:uiPriority w:val="0"/>
    <w:pPr>
      <w:numPr>
        <w:ilvl w:val="2"/>
      </w:numPr>
      <w:spacing w:before="50" w:after="50"/>
      <w:outlineLvl w:val="3"/>
    </w:pPr>
  </w:style>
  <w:style w:type="paragraph" w:customStyle="1" w:styleId="234">
    <w:name w:val="三级条标题"/>
    <w:basedOn w:val="233"/>
    <w:next w:val="1"/>
    <w:autoRedefine/>
    <w:qFormat/>
    <w:uiPriority w:val="0"/>
    <w:pPr>
      <w:numPr>
        <w:ilvl w:val="3"/>
      </w:numPr>
      <w:outlineLvl w:val="4"/>
    </w:pPr>
  </w:style>
  <w:style w:type="paragraph" w:customStyle="1" w:styleId="235">
    <w:name w:val="四级条标题"/>
    <w:basedOn w:val="234"/>
    <w:next w:val="1"/>
    <w:autoRedefine/>
    <w:qFormat/>
    <w:uiPriority w:val="0"/>
    <w:pPr>
      <w:numPr>
        <w:ilvl w:val="4"/>
      </w:numPr>
      <w:outlineLvl w:val="5"/>
    </w:pPr>
  </w:style>
  <w:style w:type="paragraph" w:customStyle="1" w:styleId="236">
    <w:name w:val="五级条标题"/>
    <w:basedOn w:val="235"/>
    <w:next w:val="1"/>
    <w:autoRedefine/>
    <w:qFormat/>
    <w:uiPriority w:val="0"/>
    <w:pPr>
      <w:numPr>
        <w:ilvl w:val="5"/>
      </w:numPr>
      <w:outlineLvl w:val="6"/>
    </w:pPr>
  </w:style>
  <w:style w:type="paragraph" w:customStyle="1" w:styleId="237">
    <w:name w:val="数字编号列项（二级）"/>
    <w:autoRedefine/>
    <w:qFormat/>
    <w:uiPriority w:val="0"/>
    <w:pPr>
      <w:tabs>
        <w:tab w:val="left" w:pos="1260"/>
      </w:tabs>
      <w:ind w:left="1259" w:hanging="419"/>
      <w:jc w:val="both"/>
    </w:pPr>
    <w:rPr>
      <w:rFonts w:ascii="宋体" w:hAnsi="Times New Roman" w:eastAsia="宋体" w:cs="Times New Roman"/>
      <w:sz w:val="21"/>
      <w:lang w:val="en-US" w:eastAsia="zh-CN" w:bidi="ar-SA"/>
    </w:rPr>
  </w:style>
  <w:style w:type="paragraph" w:customStyle="1" w:styleId="238">
    <w:name w:val="字母编号列项（一级）"/>
    <w:autoRedefine/>
    <w:qFormat/>
    <w:uiPriority w:val="0"/>
    <w:pPr>
      <w:tabs>
        <w:tab w:val="left" w:pos="840"/>
      </w:tabs>
      <w:ind w:left="839" w:hanging="419"/>
      <w:jc w:val="both"/>
    </w:pPr>
    <w:rPr>
      <w:rFonts w:ascii="宋体" w:hAnsi="Times New Roman" w:eastAsia="宋体" w:cs="Times New Roman"/>
      <w:sz w:val="21"/>
      <w:lang w:val="en-US" w:eastAsia="zh-CN" w:bidi="ar-SA"/>
    </w:rPr>
  </w:style>
  <w:style w:type="paragraph" w:customStyle="1" w:styleId="239">
    <w:name w:val="编号列项（三级）"/>
    <w:autoRedefine/>
    <w:qFormat/>
    <w:uiPriority w:val="0"/>
    <w:pPr>
      <w:tabs>
        <w:tab w:val="left" w:pos="0"/>
      </w:tabs>
      <w:ind w:left="1679" w:hanging="420"/>
    </w:pPr>
    <w:rPr>
      <w:rFonts w:ascii="宋体" w:hAnsi="Times New Roman" w:eastAsia="宋体" w:cs="Times New Roman"/>
      <w:sz w:val="21"/>
      <w:lang w:val="en-US" w:eastAsia="zh-CN" w:bidi="ar-SA"/>
    </w:rPr>
  </w:style>
  <w:style w:type="paragraph" w:customStyle="1" w:styleId="240">
    <w:name w:val="二级无"/>
    <w:basedOn w:val="233"/>
    <w:autoRedefine/>
    <w:qFormat/>
    <w:uiPriority w:val="0"/>
    <w:pPr>
      <w:numPr>
        <w:numId w:val="24"/>
      </w:numPr>
      <w:tabs>
        <w:tab w:val="left" w:pos="1963"/>
      </w:tabs>
      <w:spacing w:before="0" w:beforeLines="0" w:after="0" w:afterLines="0"/>
    </w:pPr>
    <w:rPr>
      <w:rFonts w:ascii="宋体" w:eastAsia="宋体"/>
    </w:rPr>
  </w:style>
  <w:style w:type="paragraph" w:customStyle="1" w:styleId="241">
    <w:name w:val="三级无"/>
    <w:basedOn w:val="234"/>
    <w:autoRedefine/>
    <w:qFormat/>
    <w:uiPriority w:val="0"/>
    <w:pPr>
      <w:numPr>
        <w:numId w:val="24"/>
      </w:numPr>
      <w:tabs>
        <w:tab w:val="left" w:pos="2383"/>
      </w:tabs>
      <w:spacing w:before="0" w:beforeLines="0" w:after="0" w:afterLines="0"/>
    </w:pPr>
    <w:rPr>
      <w:rFonts w:ascii="宋体" w:eastAsia="宋体"/>
    </w:rPr>
  </w:style>
  <w:style w:type="paragraph" w:customStyle="1" w:styleId="242">
    <w:name w:val="段"/>
    <w:autoRedefine/>
    <w:qFormat/>
    <w:uiPriority w:val="0"/>
    <w:pPr>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43">
    <w:name w:val="font31"/>
    <w:basedOn w:val="29"/>
    <w:autoRedefine/>
    <w:qFormat/>
    <w:uiPriority w:val="0"/>
    <w:rPr>
      <w:rFonts w:hint="eastAsia" w:ascii="微软雅黑" w:hAnsi="微软雅黑" w:eastAsia="微软雅黑" w:cs="微软雅黑"/>
      <w:b/>
      <w:bCs/>
      <w:color w:val="000000"/>
      <w:sz w:val="22"/>
      <w:szCs w:val="22"/>
      <w:u w:val="none"/>
    </w:rPr>
  </w:style>
  <w:style w:type="character" w:customStyle="1" w:styleId="244">
    <w:name w:val="font101"/>
    <w:basedOn w:val="29"/>
    <w:autoRedefine/>
    <w:qFormat/>
    <w:uiPriority w:val="0"/>
    <w:rPr>
      <w:rFonts w:hint="eastAsia" w:ascii="微软雅黑" w:hAnsi="微软雅黑" w:eastAsia="微软雅黑" w:cs="微软雅黑"/>
      <w:color w:val="000000"/>
      <w:sz w:val="18"/>
      <w:szCs w:val="18"/>
      <w:u w:val="none"/>
    </w:rPr>
  </w:style>
  <w:style w:type="character" w:customStyle="1" w:styleId="245">
    <w:name w:val="font71"/>
    <w:basedOn w:val="29"/>
    <w:autoRedefine/>
    <w:qFormat/>
    <w:uiPriority w:val="0"/>
    <w:rPr>
      <w:rFonts w:hint="eastAsia" w:ascii="微软雅黑" w:hAnsi="微软雅黑" w:eastAsia="微软雅黑" w:cs="微软雅黑"/>
      <w:color w:val="000000"/>
      <w:sz w:val="22"/>
      <w:szCs w:val="22"/>
      <w:u w:val="single"/>
    </w:rPr>
  </w:style>
  <w:style w:type="character" w:customStyle="1" w:styleId="246">
    <w:name w:val="font12"/>
    <w:basedOn w:val="29"/>
    <w:autoRedefine/>
    <w:qFormat/>
    <w:uiPriority w:val="0"/>
    <w:rPr>
      <w:rFonts w:hint="eastAsia" w:ascii="微软雅黑" w:hAnsi="微软雅黑" w:eastAsia="微软雅黑" w:cs="微软雅黑"/>
      <w:color w:val="000000"/>
      <w:sz w:val="22"/>
      <w:szCs w:val="22"/>
      <w:u w:val="none"/>
    </w:rPr>
  </w:style>
  <w:style w:type="character" w:customStyle="1" w:styleId="247">
    <w:name w:val="font21"/>
    <w:basedOn w:val="29"/>
    <w:qFormat/>
    <w:uiPriority w:val="0"/>
    <w:rPr>
      <w:rFonts w:hint="eastAsia" w:ascii="微软雅黑" w:hAnsi="微软雅黑" w:eastAsia="微软雅黑" w:cs="微软雅黑"/>
      <w:b/>
      <w:bCs/>
      <w:color w:val="000000"/>
      <w:sz w:val="22"/>
      <w:szCs w:val="22"/>
      <w:u w:val="none"/>
    </w:rPr>
  </w:style>
  <w:style w:type="character" w:customStyle="1" w:styleId="248">
    <w:name w:val="font81"/>
    <w:basedOn w:val="29"/>
    <w:qFormat/>
    <w:uiPriority w:val="0"/>
    <w:rPr>
      <w:rFonts w:hint="eastAsia" w:ascii="微软雅黑" w:hAnsi="微软雅黑" w:eastAsia="微软雅黑" w:cs="微软雅黑"/>
      <w:color w:val="000000"/>
      <w:sz w:val="18"/>
      <w:szCs w:val="18"/>
      <w:u w:val="none"/>
    </w:rPr>
  </w:style>
  <w:style w:type="character" w:customStyle="1" w:styleId="249">
    <w:name w:val="font61"/>
    <w:basedOn w:val="29"/>
    <w:qFormat/>
    <w:uiPriority w:val="0"/>
    <w:rPr>
      <w:rFonts w:hint="eastAsia" w:ascii="微软雅黑" w:hAnsi="微软雅黑" w:eastAsia="微软雅黑" w:cs="微软雅黑"/>
      <w:color w:val="000000"/>
      <w:sz w:val="22"/>
      <w:szCs w:val="22"/>
      <w:u w:val="none"/>
    </w:rPr>
  </w:style>
  <w:style w:type="character" w:customStyle="1" w:styleId="250">
    <w:name w:val="font91"/>
    <w:basedOn w:val="29"/>
    <w:qFormat/>
    <w:uiPriority w:val="0"/>
    <w:rPr>
      <w:rFonts w:hint="eastAsia" w:ascii="微软雅黑" w:hAnsi="微软雅黑" w:eastAsia="微软雅黑" w:cs="微软雅黑"/>
      <w:b/>
      <w:bCs/>
      <w:color w:val="000000"/>
      <w:sz w:val="20"/>
      <w:szCs w:val="20"/>
      <w:u w:val="none"/>
    </w:rPr>
  </w:style>
  <w:style w:type="character" w:customStyle="1" w:styleId="251">
    <w:name w:val="font112"/>
    <w:basedOn w:val="29"/>
    <w:qFormat/>
    <w:uiPriority w:val="0"/>
    <w:rPr>
      <w:rFonts w:hint="eastAsia" w:ascii="微软雅黑" w:hAnsi="微软雅黑" w:eastAsia="微软雅黑" w:cs="微软雅黑"/>
      <w:b/>
      <w:bCs/>
      <w:color w:val="000000"/>
      <w:sz w:val="22"/>
      <w:szCs w:val="22"/>
      <w:u w:val="single"/>
    </w:rPr>
  </w:style>
  <w:style w:type="character" w:customStyle="1" w:styleId="252">
    <w:name w:val="font121"/>
    <w:basedOn w:val="29"/>
    <w:qFormat/>
    <w:uiPriority w:val="0"/>
    <w:rPr>
      <w:rFonts w:ascii="Wingdings" w:hAnsi="Wingdings" w:cs="Wingdings"/>
      <w:color w:val="000000"/>
      <w:sz w:val="22"/>
      <w:szCs w:val="22"/>
      <w:u w:val="none"/>
    </w:rPr>
  </w:style>
  <w:style w:type="character" w:customStyle="1" w:styleId="253">
    <w:name w:val="font131"/>
    <w:basedOn w:val="29"/>
    <w:qFormat/>
    <w:uiPriority w:val="0"/>
    <w:rPr>
      <w:rFonts w:hint="eastAsia" w:ascii="微软雅黑" w:hAnsi="微软雅黑" w:eastAsia="微软雅黑" w:cs="微软雅黑"/>
      <w:color w:val="000000"/>
      <w:sz w:val="22"/>
      <w:szCs w:val="22"/>
      <w:u w:val="single"/>
    </w:rPr>
  </w:style>
  <w:style w:type="paragraph" w:customStyle="1" w:styleId="254">
    <w:name w:val="_Style 13"/>
    <w:qFormat/>
    <w:uiPriority w:val="0"/>
    <w:pPr>
      <w:spacing w:before="120" w:after="120" w:line="288" w:lineRule="auto"/>
      <w:ind w:left="0"/>
      <w:jc w:val="left"/>
    </w:pPr>
    <w:rPr>
      <w:rFonts w:ascii="Arial" w:hAnsi="Arial" w:eastAsia="等线" w:cs="Arial"/>
      <w:sz w:val="22"/>
      <w:szCs w:val="2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4.jpeg"/><Relationship Id="rId14" Type="http://schemas.openxmlformats.org/officeDocument/2006/relationships/image" Target="media/image3.png"/><Relationship Id="rId13" Type="http://schemas.openxmlformats.org/officeDocument/2006/relationships/image" Target="media/image2.emf"/><Relationship Id="rId12" Type="http://schemas.openxmlformats.org/officeDocument/2006/relationships/image" Target="media/image1.tif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CBB82E11D3E4A229CC18D84EEA8964C"/>
        <w:style w:val=""/>
        <w:category>
          <w:name w:val="常规"/>
          <w:gallery w:val="placeholder"/>
        </w:category>
        <w:types>
          <w:type w:val="bbPlcHdr"/>
        </w:types>
        <w:behaviors>
          <w:behavior w:val="content"/>
        </w:behaviors>
        <w:description w:val=""/>
        <w:guid w:val="{2595F6B8-8573-4B14-9BE4-3D52BD0B9DA4}"/>
      </w:docPartPr>
      <w:docPartBody>
        <w:p w14:paraId="7A5D42CD">
          <w:pPr>
            <w:pStyle w:val="5"/>
          </w:pPr>
          <w:r>
            <w:rPr>
              <w:rStyle w:val="4"/>
              <w:rFonts w:hint="eastAsia"/>
            </w:rPr>
            <w:t>单击或点击此处输入文字。</w:t>
          </w:r>
        </w:p>
      </w:docPartBody>
    </w:docPart>
    <w:docPart>
      <w:docPartPr>
        <w:name w:val="C1B173F8D4064393B4F1A15D5A4C72ED"/>
        <w:style w:val=""/>
        <w:category>
          <w:name w:val="常规"/>
          <w:gallery w:val="placeholder"/>
        </w:category>
        <w:types>
          <w:type w:val="bbPlcHdr"/>
        </w:types>
        <w:behaviors>
          <w:behavior w:val="content"/>
        </w:behaviors>
        <w:description w:val=""/>
        <w:guid w:val="{85F075DE-83E1-4E60-9FFA-5D67C96EC039}"/>
      </w:docPartPr>
      <w:docPartBody>
        <w:p w14:paraId="5409E359">
          <w:pPr>
            <w:pStyle w:val="6"/>
          </w:pPr>
          <w:r>
            <w:rPr>
              <w:rStyle w:val="4"/>
              <w:rFonts w:hint="eastAsia"/>
            </w:rPr>
            <w:t>选择一项。</w:t>
          </w:r>
        </w:p>
      </w:docPartBody>
    </w:docPart>
    <w:docPart>
      <w:docPartPr>
        <w:name w:val="1A487386193643218EDBEF749E7429F7"/>
        <w:style w:val=""/>
        <w:category>
          <w:name w:val="常规"/>
          <w:gallery w:val="placeholder"/>
        </w:category>
        <w:types>
          <w:type w:val="bbPlcHdr"/>
        </w:types>
        <w:behaviors>
          <w:behavior w:val="content"/>
        </w:behaviors>
        <w:description w:val=""/>
        <w:guid w:val="{757F6EBE-4341-4713-B6AC-EC9725C64179}"/>
      </w:docPartPr>
      <w:docPartBody>
        <w:p w14:paraId="5B3C4484">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revisionView w:markup="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2639"/>
    <w:rsid w:val="00042639"/>
    <w:rsid w:val="00192EA6"/>
    <w:rsid w:val="002F3A02"/>
    <w:rsid w:val="0032576F"/>
    <w:rsid w:val="003526D2"/>
    <w:rsid w:val="003622CF"/>
    <w:rsid w:val="00514C9B"/>
    <w:rsid w:val="006175BD"/>
    <w:rsid w:val="00695AA6"/>
    <w:rsid w:val="007171F1"/>
    <w:rsid w:val="008278AF"/>
    <w:rsid w:val="00897659"/>
    <w:rsid w:val="008C47D1"/>
    <w:rsid w:val="00B96F45"/>
    <w:rsid w:val="00D31DEE"/>
    <w:rsid w:val="00DC6453"/>
    <w:rsid w:val="00E94627"/>
    <w:rsid w:val="00EA22E6"/>
    <w:rsid w:val="00EA358A"/>
    <w:rsid w:val="00F23D0F"/>
    <w:rsid w:val="00F403F3"/>
    <w:rsid w:val="00FA5E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autoRedefine/>
    <w:semiHidden/>
    <w:unhideWhenUsed/>
    <w:qFormat/>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ACBB82E11D3E4A229CC18D84EEA8964C"/>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C1B173F8D4064393B4F1A15D5A4C72ED"/>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1A487386193643218EDBEF749E7429F7"/>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03715F-064F-4569-83F8-EEC3415CDE6D}">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12</Pages>
  <Words>6775</Words>
  <Characters>7420</Characters>
  <Lines>24</Lines>
  <Paragraphs>6</Paragraphs>
  <TotalTime>0</TotalTime>
  <ScaleCrop>false</ScaleCrop>
  <LinksUpToDate>false</LinksUpToDate>
  <CharactersWithSpaces>7625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2020-11-10T08:29:00Z</dcterms:created>
  <dc:creator>Pc</dc:creator>
  <dc:description>&lt;config cover="true" show_menu="true" version="1.0.0" doctype="SDKXY"&gt;_x000d_
&lt;/config&gt;</dc:description>
  <cp:lastModifiedBy>绿叶丛中</cp:lastModifiedBy>
  <cp:lastPrinted>2023-01-09T04:27:00Z</cp:lastPrinted>
  <dcterms:modified xsi:type="dcterms:W3CDTF">2025-09-08T02:11:49Z</dcterms:modified>
  <dc:title>地方标准</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2052-12.1.0.22529</vt:lpwstr>
  </property>
  <property fmtid="{D5CDD505-2E9C-101B-9397-08002B2CF9AE}" pid="15" name="ICV">
    <vt:lpwstr>F98A6755AAB241A480E8728866BD7702_13</vt:lpwstr>
  </property>
  <property fmtid="{D5CDD505-2E9C-101B-9397-08002B2CF9AE}" pid="16" name="KSOTemplateDocerSaveRecord">
    <vt:lpwstr>eyJoZGlkIjoiNDZlYzBhZmI3NjdlMDhhMWNiMzFmNjUxM2RjMTY4YzUiLCJ1c2VySWQiOiIyNjMwNzM1NDQifQ==</vt:lpwstr>
  </property>
</Properties>
</file>