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27F8FD">
      <w:pPr>
        <w:widowControl w:val="0"/>
        <w:shd w:val="clear" w:color="auto" w:fill="auto"/>
        <w:spacing w:line="240" w:lineRule="auto"/>
        <w:ind w:firstLine="0" w:firstLineChars="0"/>
        <w:rPr>
          <w:rFonts w:hint="eastAsia" w:ascii="黑体" w:hAnsi="宋体" w:eastAsia="黑体" w:cs="宋体"/>
          <w:kern w:val="0"/>
        </w:rPr>
      </w:pPr>
      <w:bookmarkStart w:id="0" w:name="OLE_LINK4"/>
      <w:bookmarkStart w:id="1" w:name="OLE_LINK2"/>
      <w:r>
        <w:rPr>
          <w:rFonts w:hint="eastAsia" w:ascii="黑体" w:hAnsi="黑体" w:eastAsia="黑体"/>
          <w:kern w:val="0"/>
        </w:rPr>
        <w:t>ICS</w:t>
      </w:r>
      <w:bookmarkEnd w:id="0"/>
      <w:bookmarkEnd w:id="1"/>
      <w:bookmarkStart w:id="2" w:name="ICS"/>
      <w:bookmarkEnd w:id="2"/>
      <w:r>
        <w:rPr>
          <w:rFonts w:hint="eastAsia" w:ascii="黑体" w:hAnsi="黑体" w:eastAsia="黑体" w:cs="宋体"/>
          <w:kern w:val="0"/>
        </w:rPr>
        <w:t xml:space="preserve"> </w:t>
      </w:r>
      <w:r>
        <w:rPr>
          <w:rFonts w:hint="eastAsia" w:ascii="黑体" w:hAnsi="黑体" w:eastAsia="黑体" w:cs="宋体"/>
          <w:color w:val="auto"/>
          <w:kern w:val="0"/>
          <w:highlight w:val="none"/>
        </w:rPr>
        <w:t>13.320</w:t>
      </w:r>
    </w:p>
    <w:p w14:paraId="7187C8CA">
      <w:pPr>
        <w:widowControl w:val="0"/>
        <w:shd w:val="clear" w:color="auto" w:fill="auto"/>
        <w:spacing w:line="240" w:lineRule="auto"/>
        <w:ind w:firstLine="0" w:firstLineChars="0"/>
        <w:rPr>
          <w:rFonts w:hint="eastAsia" w:ascii="黑体" w:hAnsi="宋体" w:eastAsia="黑体" w:cs="宋体"/>
          <w:kern w:val="0"/>
        </w:rPr>
      </w:pPr>
      <w:bookmarkStart w:id="3" w:name="WXFLH"/>
      <w:bookmarkEnd w:id="3"/>
      <w:r>
        <w:rPr>
          <w:rFonts w:hint="eastAsia" w:ascii="黑体" w:hAnsi="黑体" w:eastAsia="黑体" w:cs="宋体"/>
          <w:kern w:val="0"/>
        </w:rPr>
        <w:t>CCS A 90</w:t>
      </w:r>
      <w:r>
        <w:rPr>
          <w:rFonts w:eastAsia="黑体"/>
          <w:kern w:val="0"/>
        </w:rPr>
        <w:t>     </w:t>
      </w:r>
    </w:p>
    <w:tbl>
      <w:tblPr>
        <w:tblStyle w:val="1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86"/>
      </w:tblGrid>
      <w:tr w14:paraId="7F6630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tcPr>
          <w:p w14:paraId="012EE725">
            <w:pPr>
              <w:widowControl w:val="0"/>
              <w:shd w:val="clear" w:color="auto" w:fill="auto"/>
              <w:spacing w:line="240" w:lineRule="auto"/>
              <w:ind w:firstLine="0" w:firstLineChars="0"/>
              <w:rPr>
                <w:rFonts w:hint="eastAsia" w:ascii="黑体" w:hAnsi="宋体" w:eastAsia="黑体"/>
                <w:kern w:val="0"/>
              </w:rPr>
            </w:pPr>
            <w:bookmarkStart w:id="4" w:name="BAH"/>
            <w:bookmarkEnd w:id="4"/>
            <w:r>
              <w:rPr>
                <w:rFonts w:eastAsia="黑体"/>
                <w:kern w:val="0"/>
              </w:rPr>
              <w:t>     </w:t>
            </w:r>
          </w:p>
        </w:tc>
      </w:tr>
    </w:tbl>
    <w:p w14:paraId="0E5A22ED">
      <w:pPr>
        <w:spacing w:line="0" w:lineRule="atLeast"/>
        <w:ind w:firstLine="0" w:firstLineChars="0"/>
        <w:jc w:val="right"/>
        <w:rPr>
          <w:b/>
          <w:kern w:val="0"/>
          <w:sz w:val="96"/>
          <w:szCs w:val="96"/>
        </w:rPr>
      </w:pPr>
      <w:r>
        <w:rPr>
          <w:b/>
          <w:kern w:val="0"/>
          <w:sz w:val="96"/>
          <w:szCs w:val="96"/>
        </w:rPr>
        <w:t>DB</w:t>
      </w:r>
      <w:bookmarkStart w:id="5" w:name="c3"/>
      <w:bookmarkEnd w:id="5"/>
      <w:r>
        <w:rPr>
          <w:b/>
          <w:kern w:val="0"/>
          <w:sz w:val="96"/>
          <w:szCs w:val="96"/>
        </w:rPr>
        <w:t>34</w:t>
      </w:r>
    </w:p>
    <w:p w14:paraId="32FA9386">
      <w:pPr>
        <w:shd w:val="clear" w:color="auto" w:fill="auto"/>
        <w:spacing w:line="0" w:lineRule="atLeast"/>
        <w:ind w:firstLine="0" w:firstLineChars="0"/>
        <w:jc w:val="distribute"/>
        <w:rPr>
          <w:rFonts w:hint="eastAsia" w:ascii="黑体" w:hAnsi="宋体" w:eastAsia="黑体" w:cs="宋体"/>
          <w:spacing w:val="-40"/>
          <w:kern w:val="0"/>
          <w:sz w:val="48"/>
          <w:szCs w:val="48"/>
        </w:rPr>
      </w:pPr>
      <w:bookmarkStart w:id="6" w:name="c4"/>
      <w:bookmarkEnd w:id="6"/>
      <w:r>
        <w:rPr>
          <w:rFonts w:hint="eastAsia" w:ascii="宋体" w:hAnsi="宋体" w:cs="宋体"/>
          <w:spacing w:val="-40"/>
          <w:kern w:val="0"/>
          <w:sz w:val="48"/>
          <w:szCs w:val="48"/>
        </w:rPr>
        <w:t>     安徽省</w:t>
      </w:r>
      <w:r>
        <w:rPr>
          <w:rFonts w:hint="eastAsia" w:ascii="黑体" w:hAnsi="黑体" w:eastAsia="黑体" w:cs="宋体"/>
          <w:spacing w:val="-40"/>
          <w:kern w:val="0"/>
          <w:sz w:val="48"/>
          <w:szCs w:val="48"/>
        </w:rPr>
        <w:t>地方标准</w:t>
      </w:r>
    </w:p>
    <w:p w14:paraId="51FA42B6">
      <w:pPr>
        <w:shd w:val="clear" w:color="auto" w:fill="auto"/>
        <w:spacing w:before="357" w:after="100" w:afterAutospacing="1" w:line="280" w:lineRule="exact"/>
        <w:ind w:firstLine="0" w:firstLineChars="0"/>
        <w:jc w:val="right"/>
        <w:rPr>
          <w:rFonts w:hint="eastAsia" w:ascii="黑体" w:hAnsi="宋体" w:eastAsia="黑体" w:cs="宋体"/>
          <w:kern w:val="0"/>
          <w:sz w:val="28"/>
          <w:szCs w:val="28"/>
        </w:rPr>
      </w:pPr>
      <w:r>
        <w:rPr>
          <w:rFonts w:eastAsia="黑体"/>
          <w:kern w:val="0"/>
          <w:sz w:val="28"/>
          <w:szCs w:val="28"/>
        </w:rPr>
        <w:t xml:space="preserve">DB </w:t>
      </w:r>
      <w:bookmarkStart w:id="7" w:name="StdNo0"/>
      <w:bookmarkEnd w:id="7"/>
      <w:r>
        <w:rPr>
          <w:rFonts w:hint="eastAsia" w:ascii="黑体" w:hAnsi="黑体" w:eastAsia="黑体" w:cs="宋体"/>
          <w:kern w:val="0"/>
          <w:sz w:val="28"/>
          <w:szCs w:val="28"/>
        </w:rPr>
        <w:t xml:space="preserve">34/T </w:t>
      </w:r>
      <w:bookmarkStart w:id="8" w:name="StdNo1"/>
      <w:bookmarkEnd w:id="8"/>
      <w:r>
        <w:rPr>
          <w:rFonts w:hint="eastAsia" w:ascii="黑体" w:hAnsi="黑体" w:eastAsia="黑体" w:cs="宋体"/>
          <w:kern w:val="0"/>
          <w:sz w:val="28"/>
          <w:szCs w:val="28"/>
        </w:rPr>
        <w:t>XXXX—</w:t>
      </w:r>
      <w:bookmarkStart w:id="9" w:name="StdNo2"/>
      <w:bookmarkEnd w:id="9"/>
      <w:r>
        <w:rPr>
          <w:rFonts w:hint="eastAsia" w:ascii="黑体" w:hAnsi="黑体" w:eastAsia="黑体" w:cs="宋体"/>
          <w:kern w:val="0"/>
          <w:sz w:val="28"/>
          <w:szCs w:val="28"/>
        </w:rPr>
        <w:t>XXXX</w:t>
      </w:r>
    </w:p>
    <w:tbl>
      <w:tblPr>
        <w:tblStyle w:val="1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86"/>
      </w:tblGrid>
      <w:tr w14:paraId="4CB610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14:paraId="08DE2174">
            <w:pPr>
              <w:shd w:val="clear" w:color="auto" w:fill="auto"/>
              <w:spacing w:before="57" w:after="100" w:afterAutospacing="1" w:line="280" w:lineRule="exact"/>
              <w:ind w:firstLine="0" w:firstLineChars="0"/>
              <w:jc w:val="right"/>
              <w:rPr>
                <w:rFonts w:hint="eastAsia" w:ascii="宋体" w:hAnsi="宋体"/>
                <w:kern w:val="0"/>
              </w:rPr>
            </w:pPr>
            <w:bookmarkStart w:id="10" w:name="DT"/>
            <w:bookmarkEnd w:id="10"/>
            <w:r>
              <w:rPr>
                <w:rFonts w:hint="eastAsia"/>
                <w:kern w:val="0"/>
                <w:u w:val="single"/>
              </w:rPr>
              <w:t xml:space="preserve">                                                                                    </w:t>
            </w:r>
            <w:r>
              <w:rPr>
                <w:kern w:val="0"/>
              </w:rPr>
              <w:t>  </w:t>
            </w:r>
          </w:p>
        </w:tc>
      </w:tr>
    </w:tbl>
    <w:p w14:paraId="7FAD2C4D">
      <w:pPr>
        <w:shd w:val="clear" w:color="auto" w:fill="auto"/>
        <w:spacing w:before="357" w:after="100" w:afterAutospacing="1" w:line="280" w:lineRule="exact"/>
        <w:ind w:firstLine="0" w:firstLineChars="0"/>
        <w:jc w:val="right"/>
        <w:rPr>
          <w:rFonts w:hint="eastAsia" w:ascii="黑体" w:hAnsi="宋体" w:eastAsia="黑体" w:cs="宋体"/>
          <w:kern w:val="0"/>
          <w:sz w:val="28"/>
          <w:szCs w:val="28"/>
        </w:rPr>
      </w:pPr>
      <w:r>
        <w:rPr>
          <w:rFonts w:hint="eastAsia" w:ascii="黑体" w:hAnsi="宋体" w:eastAsia="黑体" w:cs="宋体"/>
          <w:kern w:val="0"/>
          <w:sz w:val="28"/>
          <w:szCs w:val="28"/>
        </w:rPr>
        <w:t xml:space="preserve"> </w:t>
      </w:r>
    </w:p>
    <w:p w14:paraId="318979AA">
      <w:pPr>
        <w:shd w:val="clear" w:color="auto" w:fill="auto"/>
        <w:spacing w:before="357" w:after="100" w:afterAutospacing="1" w:line="280" w:lineRule="exact"/>
        <w:ind w:firstLine="0" w:firstLineChars="0"/>
        <w:jc w:val="right"/>
        <w:rPr>
          <w:rFonts w:hint="eastAsia" w:ascii="黑体" w:hAnsi="宋体" w:eastAsia="黑体" w:cs="宋体"/>
          <w:kern w:val="0"/>
          <w:sz w:val="28"/>
          <w:szCs w:val="28"/>
        </w:rPr>
      </w:pPr>
      <w:r>
        <w:rPr>
          <w:rFonts w:hint="eastAsia" w:ascii="黑体" w:hAnsi="宋体" w:eastAsia="黑体" w:cs="宋体"/>
          <w:kern w:val="0"/>
          <w:sz w:val="28"/>
          <w:szCs w:val="28"/>
        </w:rPr>
        <w:t xml:space="preserve"> </w:t>
      </w:r>
    </w:p>
    <w:p w14:paraId="020D339F">
      <w:pPr>
        <w:widowControl w:val="0"/>
        <w:shd w:val="clear" w:color="auto" w:fill="auto"/>
        <w:spacing w:line="680" w:lineRule="exact"/>
        <w:ind w:firstLine="0" w:firstLineChars="0"/>
        <w:jc w:val="center"/>
        <w:outlineLvl w:val="2"/>
        <w:rPr>
          <w:rFonts w:hint="eastAsia" w:ascii="黑体" w:hAnsi="黑体" w:eastAsia="黑体" w:cs="宋体"/>
          <w:kern w:val="0"/>
          <w:sz w:val="52"/>
          <w:szCs w:val="52"/>
        </w:rPr>
      </w:pPr>
      <w:bookmarkStart w:id="11" w:name="StdName"/>
      <w:bookmarkEnd w:id="11"/>
      <w:bookmarkStart w:id="12" w:name="_Toc7665"/>
      <w:r>
        <w:rPr>
          <w:rFonts w:hint="eastAsia" w:ascii="黑体" w:hAnsi="黑体" w:eastAsia="黑体" w:cs="宋体"/>
          <w:kern w:val="0"/>
          <w:sz w:val="52"/>
          <w:szCs w:val="52"/>
        </w:rPr>
        <w:t>公共安全重点区域安全防范</w:t>
      </w:r>
    </w:p>
    <w:p w14:paraId="4F820B77">
      <w:pPr>
        <w:widowControl w:val="0"/>
        <w:shd w:val="clear" w:color="auto" w:fill="auto"/>
        <w:spacing w:line="680" w:lineRule="exact"/>
        <w:ind w:firstLine="0" w:firstLineChars="0"/>
        <w:jc w:val="center"/>
        <w:outlineLvl w:val="2"/>
        <w:rPr>
          <w:rFonts w:hint="eastAsia" w:ascii="黑体" w:hAnsi="宋体" w:eastAsia="黑体" w:cs="宋体"/>
          <w:kern w:val="0"/>
          <w:sz w:val="52"/>
          <w:szCs w:val="52"/>
        </w:rPr>
      </w:pPr>
      <w:r>
        <w:rPr>
          <w:rFonts w:hint="eastAsia" w:ascii="黑体" w:hAnsi="黑体" w:eastAsia="黑体" w:cs="宋体"/>
          <w:kern w:val="0"/>
          <w:sz w:val="52"/>
          <w:szCs w:val="52"/>
        </w:rPr>
        <w:t>风险管理规范</w:t>
      </w:r>
      <w:bookmarkEnd w:id="12"/>
    </w:p>
    <w:p w14:paraId="4AFEB09E">
      <w:pPr>
        <w:widowControl w:val="0"/>
        <w:shd w:val="clear" w:color="auto" w:fill="auto"/>
        <w:spacing w:before="370" w:after="100" w:afterAutospacing="1" w:line="400" w:lineRule="exact"/>
        <w:ind w:firstLine="0" w:firstLineChars="0"/>
        <w:jc w:val="center"/>
        <w:rPr>
          <w:rFonts w:hint="eastAsia" w:ascii="宋体" w:hAnsi="宋体"/>
          <w:color w:val="auto"/>
          <w:kern w:val="0"/>
        </w:rPr>
      </w:pPr>
      <w:bookmarkStart w:id="13" w:name="YZBS"/>
      <w:bookmarkEnd w:id="13"/>
      <w:bookmarkStart w:id="14" w:name="StdEnglishName"/>
      <w:bookmarkEnd w:id="14"/>
      <w:r>
        <w:rPr>
          <w:rFonts w:hint="eastAsia" w:ascii="宋体" w:hAnsi="宋体"/>
          <w:color w:val="auto"/>
          <w:kern w:val="0"/>
        </w:rPr>
        <w:t>S</w:t>
      </w:r>
      <w:r>
        <w:rPr>
          <w:rFonts w:ascii="宋体" w:hAnsi="宋体"/>
          <w:color w:val="auto"/>
          <w:kern w:val="0"/>
        </w:rPr>
        <w:t>pecification for risk management of security prevention in key public safety areas</w:t>
      </w:r>
    </w:p>
    <w:p w14:paraId="27CA8CD2">
      <w:pPr>
        <w:widowControl w:val="0"/>
        <w:shd w:val="clear" w:color="auto" w:fill="auto"/>
        <w:spacing w:before="370" w:after="100" w:afterAutospacing="1" w:line="400" w:lineRule="exact"/>
        <w:ind w:firstLine="0" w:firstLineChars="0"/>
        <w:jc w:val="center"/>
        <w:rPr>
          <w:rFonts w:hint="eastAsia" w:ascii="宋体" w:hAnsi="宋体"/>
          <w:color w:val="auto"/>
          <w:kern w:val="0"/>
          <w:sz w:val="24"/>
          <w:szCs w:val="24"/>
        </w:rPr>
      </w:pPr>
      <w:r>
        <w:rPr>
          <w:rFonts w:hint="eastAsia" w:ascii="宋体" w:hAnsi="宋体"/>
          <w:color w:val="auto"/>
          <w:kern w:val="0"/>
          <w:sz w:val="24"/>
          <w:szCs w:val="24"/>
        </w:rPr>
        <w:t>（征求意见稿）</w:t>
      </w:r>
    </w:p>
    <w:p w14:paraId="20890B97">
      <w:pPr>
        <w:widowControl w:val="0"/>
        <w:shd w:val="clear" w:color="auto" w:fill="auto"/>
        <w:spacing w:before="440" w:after="100" w:afterAutospacing="1" w:line="400" w:lineRule="exact"/>
        <w:ind w:firstLine="0" w:firstLineChars="0"/>
        <w:jc w:val="center"/>
        <w:rPr>
          <w:rFonts w:hint="eastAsia" w:ascii="宋体" w:hAnsi="宋体" w:cs="宋体"/>
          <w:kern w:val="0"/>
          <w:sz w:val="24"/>
          <w:szCs w:val="24"/>
        </w:rPr>
      </w:pPr>
      <w:r>
        <w:rPr>
          <w:rFonts w:hint="eastAsia" w:ascii="宋体" w:hAnsi="宋体" w:cs="宋体"/>
          <w:kern w:val="0"/>
          <w:sz w:val="24"/>
          <w:szCs w:val="24"/>
        </w:rPr>
        <w:t xml:space="preserve"> </w:t>
      </w:r>
    </w:p>
    <w:p w14:paraId="448E5548">
      <w:pPr>
        <w:widowControl w:val="0"/>
        <w:shd w:val="clear" w:color="auto" w:fill="auto"/>
        <w:spacing w:before="440" w:after="100" w:afterAutospacing="1" w:line="400" w:lineRule="exact"/>
        <w:ind w:firstLine="0" w:firstLineChars="0"/>
        <w:jc w:val="center"/>
        <w:rPr>
          <w:rFonts w:hint="eastAsia" w:ascii="宋体" w:hAnsi="宋体" w:cs="宋体"/>
          <w:kern w:val="0"/>
          <w:sz w:val="24"/>
          <w:szCs w:val="24"/>
        </w:rPr>
      </w:pPr>
      <w:r>
        <w:rPr>
          <w:rFonts w:hint="eastAsia" w:ascii="宋体" w:hAnsi="宋体" w:cs="宋体"/>
          <w:kern w:val="0"/>
          <w:sz w:val="24"/>
          <w:szCs w:val="24"/>
        </w:rPr>
        <w:t xml:space="preserve"> </w:t>
      </w:r>
    </w:p>
    <w:tbl>
      <w:tblPr>
        <w:tblStyle w:val="1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86"/>
      </w:tblGrid>
      <w:tr w14:paraId="45AB7C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69" w:type="dxa"/>
            <w:tcBorders>
              <w:top w:val="nil"/>
              <w:left w:val="nil"/>
              <w:bottom w:val="nil"/>
              <w:right w:val="nil"/>
            </w:tcBorders>
          </w:tcPr>
          <w:p w14:paraId="236A7231">
            <w:pPr>
              <w:widowControl w:val="0"/>
              <w:shd w:val="clear" w:color="auto" w:fill="auto"/>
              <w:spacing w:before="440" w:after="100" w:afterAutospacing="1" w:line="240" w:lineRule="auto"/>
              <w:ind w:firstLine="0" w:firstLineChars="0"/>
              <w:jc w:val="center"/>
              <w:rPr>
                <w:rFonts w:hint="eastAsia" w:ascii="宋体" w:hAnsi="宋体" w:cs="宋体"/>
                <w:kern w:val="0"/>
                <w:sz w:val="24"/>
                <w:szCs w:val="24"/>
              </w:rPr>
            </w:pPr>
            <w:bookmarkStart w:id="15" w:name="LB"/>
            <w:bookmarkEnd w:id="15"/>
          </w:p>
        </w:tc>
      </w:tr>
      <w:tr w14:paraId="158369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69" w:type="dxa"/>
            <w:tcBorders>
              <w:top w:val="nil"/>
              <w:left w:val="nil"/>
              <w:bottom w:val="nil"/>
              <w:right w:val="nil"/>
            </w:tcBorders>
          </w:tcPr>
          <w:p w14:paraId="5EDE6988">
            <w:pPr>
              <w:widowControl w:val="0"/>
              <w:shd w:val="clear" w:color="auto" w:fill="auto"/>
              <w:spacing w:before="180" w:after="100" w:afterAutospacing="1" w:line="180" w:lineRule="exact"/>
              <w:ind w:firstLine="0" w:firstLineChars="0"/>
              <w:jc w:val="center"/>
              <w:rPr>
                <w:rFonts w:hint="eastAsia" w:ascii="宋体" w:hAnsi="宋体" w:cs="宋体"/>
                <w:kern w:val="0"/>
              </w:rPr>
            </w:pPr>
            <w:bookmarkStart w:id="16" w:name="WCRQ"/>
            <w:bookmarkEnd w:id="16"/>
          </w:p>
        </w:tc>
      </w:tr>
    </w:tbl>
    <w:p w14:paraId="6D7A5243">
      <w:pPr>
        <w:shd w:val="clear" w:color="auto" w:fill="auto"/>
        <w:spacing w:line="240" w:lineRule="auto"/>
        <w:ind w:firstLine="0" w:firstLineChars="0"/>
        <w:rPr>
          <w:rFonts w:hint="eastAsia" w:ascii="黑体" w:hAnsi="宋体" w:eastAsia="黑体"/>
          <w:kern w:val="0"/>
          <w:sz w:val="28"/>
          <w:szCs w:val="28"/>
          <w:u w:val="single"/>
        </w:rPr>
      </w:pPr>
      <w:bookmarkStart w:id="17" w:name="FY"/>
      <w:bookmarkEnd w:id="17"/>
      <w:r>
        <w:rPr>
          <w:rFonts w:hint="eastAsia" w:ascii="黑体" w:hAnsi="宋体" w:eastAsia="黑体"/>
          <w:kern w:val="0"/>
          <w:sz w:val="28"/>
          <w:szCs w:val="28"/>
          <w:u w:val="single"/>
        </w:rPr>
        <w:t xml:space="preserve"> </w:t>
      </w:r>
    </w:p>
    <w:p w14:paraId="08B2BF91">
      <w:pPr>
        <w:shd w:val="clear" w:color="auto" w:fill="auto"/>
        <w:spacing w:line="240" w:lineRule="auto"/>
        <w:ind w:firstLine="0" w:firstLineChars="0"/>
        <w:rPr>
          <w:rFonts w:eastAsia="黑体"/>
          <w:kern w:val="0"/>
          <w:sz w:val="28"/>
          <w:szCs w:val="28"/>
        </w:rPr>
      </w:pPr>
      <w:r>
        <w:rPr>
          <w:rFonts w:hint="eastAsia" w:ascii="黑体" w:hAnsi="黑体" w:eastAsia="黑体"/>
          <w:kern w:val="0"/>
          <w:sz w:val="28"/>
          <w:szCs w:val="28"/>
          <w:u w:val="single"/>
        </w:rPr>
        <w:t>XXXX-</w:t>
      </w:r>
      <w:r>
        <w:rPr>
          <w:rFonts w:eastAsia="黑体"/>
          <w:kern w:val="0"/>
          <w:sz w:val="28"/>
          <w:szCs w:val="28"/>
          <w:u w:val="single"/>
        </w:rPr>
        <w:t xml:space="preserve"> </w:t>
      </w:r>
      <w:r>
        <w:rPr>
          <w:rFonts w:hint="eastAsia" w:ascii="黑体" w:hAnsi="黑体" w:eastAsia="黑体"/>
          <w:kern w:val="0"/>
          <w:sz w:val="28"/>
          <w:szCs w:val="28"/>
          <w:u w:val="single"/>
        </w:rPr>
        <w:t>XX</w:t>
      </w:r>
      <w:r>
        <w:rPr>
          <w:rFonts w:eastAsia="黑体"/>
          <w:kern w:val="0"/>
          <w:sz w:val="28"/>
          <w:szCs w:val="28"/>
          <w:u w:val="single"/>
        </w:rPr>
        <w:t xml:space="preserve"> </w:t>
      </w:r>
      <w:r>
        <w:rPr>
          <w:rFonts w:hint="eastAsia" w:ascii="黑体" w:hAnsi="黑体" w:eastAsia="黑体"/>
          <w:kern w:val="0"/>
          <w:sz w:val="28"/>
          <w:szCs w:val="28"/>
          <w:u w:val="single"/>
        </w:rPr>
        <w:t>-</w:t>
      </w:r>
      <w:r>
        <w:rPr>
          <w:rFonts w:eastAsia="黑体"/>
          <w:kern w:val="0"/>
          <w:sz w:val="28"/>
          <w:szCs w:val="28"/>
          <w:u w:val="single"/>
        </w:rPr>
        <w:t xml:space="preserve"> </w:t>
      </w:r>
      <w:bookmarkStart w:id="18" w:name="FD"/>
      <w:bookmarkEnd w:id="18"/>
      <w:r>
        <w:rPr>
          <w:rFonts w:hint="eastAsia" w:ascii="黑体" w:hAnsi="黑体" w:eastAsia="黑体"/>
          <w:kern w:val="0"/>
          <w:sz w:val="28"/>
          <w:szCs w:val="28"/>
          <w:u w:val="single"/>
        </w:rPr>
        <w:t>XX发布</w:t>
      </w:r>
      <w:r>
        <w:rPr>
          <w:rFonts w:hint="eastAsia" w:ascii="黑体" w:hAnsi="宋体" w:eastAsia="黑体"/>
          <w:kern w:val="0"/>
          <w:sz w:val="28"/>
          <w:szCs w:val="28"/>
          <w:u w:val="single"/>
        </w:rPr>
        <w:t xml:space="preserve">                             </w:t>
      </w:r>
      <w:r>
        <w:rPr>
          <w:rFonts w:hint="eastAsia" w:ascii="黑体" w:hAnsi="黑体" w:eastAsia="黑体"/>
          <w:kern w:val="0"/>
          <w:sz w:val="28"/>
          <w:szCs w:val="28"/>
          <w:u w:val="single"/>
        </w:rPr>
        <w:t>XXXX</w:t>
      </w:r>
      <w:r>
        <w:rPr>
          <w:rFonts w:eastAsia="黑体"/>
          <w:kern w:val="0"/>
          <w:sz w:val="28"/>
          <w:szCs w:val="28"/>
          <w:u w:val="single"/>
        </w:rPr>
        <w:t xml:space="preserve"> </w:t>
      </w:r>
      <w:r>
        <w:rPr>
          <w:rFonts w:hint="eastAsia" w:ascii="黑体" w:hAnsi="黑体" w:eastAsia="黑体"/>
          <w:kern w:val="0"/>
          <w:sz w:val="28"/>
          <w:szCs w:val="28"/>
          <w:u w:val="single"/>
        </w:rPr>
        <w:t>-</w:t>
      </w:r>
      <w:r>
        <w:rPr>
          <w:rFonts w:eastAsia="黑体"/>
          <w:kern w:val="0"/>
          <w:sz w:val="28"/>
          <w:szCs w:val="28"/>
          <w:u w:val="single"/>
        </w:rPr>
        <w:t xml:space="preserve"> </w:t>
      </w:r>
      <w:bookmarkStart w:id="19" w:name="SM"/>
      <w:bookmarkEnd w:id="19"/>
      <w:r>
        <w:rPr>
          <w:rFonts w:hint="eastAsia" w:ascii="黑体" w:hAnsi="黑体" w:eastAsia="黑体"/>
          <w:kern w:val="0"/>
          <w:sz w:val="28"/>
          <w:szCs w:val="28"/>
          <w:u w:val="single"/>
        </w:rPr>
        <w:t>XX</w:t>
      </w:r>
      <w:r>
        <w:rPr>
          <w:rFonts w:eastAsia="黑体"/>
          <w:kern w:val="0"/>
          <w:sz w:val="28"/>
          <w:szCs w:val="28"/>
          <w:u w:val="single"/>
        </w:rPr>
        <w:t xml:space="preserve"> </w:t>
      </w:r>
      <w:r>
        <w:rPr>
          <w:rFonts w:hint="eastAsia" w:ascii="黑体" w:hAnsi="黑体" w:eastAsia="黑体"/>
          <w:kern w:val="0"/>
          <w:sz w:val="28"/>
          <w:szCs w:val="28"/>
          <w:u w:val="single"/>
        </w:rPr>
        <w:t>-</w:t>
      </w:r>
      <w:r>
        <w:rPr>
          <w:rFonts w:eastAsia="黑体"/>
          <w:kern w:val="0"/>
          <w:sz w:val="28"/>
          <w:szCs w:val="28"/>
          <w:u w:val="single"/>
        </w:rPr>
        <w:t xml:space="preserve"> </w:t>
      </w:r>
      <w:bookmarkStart w:id="20" w:name="SD"/>
      <w:bookmarkEnd w:id="20"/>
      <w:r>
        <w:rPr>
          <w:rFonts w:hint="eastAsia" w:ascii="黑体" w:hAnsi="黑体" w:eastAsia="黑体"/>
          <w:kern w:val="0"/>
          <w:sz w:val="28"/>
          <w:szCs w:val="28"/>
          <w:u w:val="single"/>
        </w:rPr>
        <w:t>XX实施</w:t>
      </w:r>
      <w:bookmarkStart w:id="21" w:name="SY"/>
      <w:bookmarkEnd w:id="21"/>
      <w:bookmarkStart w:id="22" w:name="fm"/>
      <w:bookmarkEnd w:id="22"/>
    </w:p>
    <w:p w14:paraId="4C6BCE74">
      <w:pPr>
        <w:widowControl w:val="0"/>
        <w:shd w:val="clear" w:color="auto" w:fill="auto"/>
        <w:tabs>
          <w:tab w:val="right" w:leader="middleDot" w:pos="10080"/>
        </w:tabs>
        <w:spacing w:line="240" w:lineRule="auto"/>
        <w:ind w:firstLine="0" w:firstLineChars="0"/>
        <w:jc w:val="center"/>
        <w:rPr>
          <w:rFonts w:hint="eastAsia" w:ascii="宋体" w:hAnsi="宋体" w:eastAsia="黑体"/>
          <w:sz w:val="28"/>
          <w:szCs w:val="28"/>
        </w:rPr>
      </w:pPr>
      <w:bookmarkStart w:id="23" w:name="_Toc22348"/>
      <w:bookmarkEnd w:id="23"/>
      <w:bookmarkStart w:id="24" w:name="_Toc161733606"/>
      <w:bookmarkStart w:id="25" w:name="_Toc161839169"/>
      <w:r>
        <w:rPr>
          <w:rFonts w:ascii="宋体" w:hAnsi="宋体" w:eastAsia="黑体"/>
          <w:sz w:val="28"/>
          <w:szCs w:val="28"/>
        </w:rPr>
        <w:t>安徽省市场监督管理局</w:t>
      </w:r>
      <w:r>
        <w:rPr>
          <w:rFonts w:hint="eastAsia" w:ascii="宋体" w:hAnsi="宋体" w:eastAsia="黑体"/>
          <w:sz w:val="28"/>
          <w:szCs w:val="28"/>
        </w:rPr>
        <w:t xml:space="preserve">  发布</w:t>
      </w:r>
    </w:p>
    <w:p w14:paraId="5EDC1B7E">
      <w:pPr>
        <w:keepNext/>
        <w:pageBreakBefore/>
        <w:autoSpaceDE w:val="0"/>
        <w:spacing w:before="640" w:after="560" w:line="240" w:lineRule="auto"/>
        <w:ind w:firstLine="0" w:firstLineChars="0"/>
        <w:jc w:val="center"/>
        <w:outlineLvl w:val="0"/>
        <w:rPr>
          <w:rFonts w:hint="eastAsia" w:ascii="黑体" w:hAnsi="宋体" w:eastAsia="黑体" w:cs="宋体"/>
          <w:kern w:val="0"/>
          <w:sz w:val="32"/>
          <w:szCs w:val="32"/>
        </w:rPr>
      </w:pPr>
      <w:r>
        <w:rPr>
          <w:rFonts w:ascii="黑体" w:hAnsi="黑体" w:eastAsia="黑体" w:cs="宋体"/>
          <w:kern w:val="0"/>
          <w:sz w:val="32"/>
          <w:szCs w:val="32"/>
        </w:rPr>
        <w:t>前</w:t>
      </w:r>
      <w:bookmarkEnd w:id="24"/>
      <w:bookmarkStart w:id="26" w:name="BKQY"/>
      <w:bookmarkEnd w:id="26"/>
      <w:r>
        <w:rPr>
          <w:rFonts w:eastAsia="黑体"/>
          <w:kern w:val="0"/>
          <w:sz w:val="32"/>
          <w:szCs w:val="32"/>
        </w:rPr>
        <w:t>  </w:t>
      </w:r>
      <w:r>
        <w:rPr>
          <w:rFonts w:ascii="黑体" w:hAnsi="黑体" w:eastAsia="黑体" w:cs="宋体"/>
          <w:kern w:val="0"/>
          <w:sz w:val="32"/>
          <w:szCs w:val="32"/>
        </w:rPr>
        <w:t>言</w:t>
      </w:r>
      <w:bookmarkEnd w:id="25"/>
    </w:p>
    <w:p w14:paraId="3D17AB6E">
      <w:pPr>
        <w:widowControl w:val="0"/>
        <w:shd w:val="clear" w:color="auto" w:fill="auto"/>
        <w:ind w:firstLine="420"/>
        <w:jc w:val="both"/>
      </w:pPr>
      <w:r>
        <w:rPr>
          <w:rFonts w:hint="eastAsia" w:ascii="宋体" w:hAnsi="宋体"/>
        </w:rPr>
        <w:t>本文件按照</w:t>
      </w:r>
      <w:r>
        <w:t xml:space="preserve"> GB/T 1.1-2020《标准化工作导则</w:t>
      </w:r>
      <w:r>
        <w:rPr>
          <w:rFonts w:hint="eastAsia"/>
        </w:rPr>
        <w:t xml:space="preserve"> 第1部分：标准化文件的结构和起草规则</w:t>
      </w:r>
      <w:r>
        <w:t>》</w:t>
      </w:r>
      <w:r>
        <w:rPr>
          <w:rFonts w:hint="eastAsia" w:ascii="宋体" w:hAnsi="宋体"/>
        </w:rPr>
        <w:t>的规定起草。</w:t>
      </w:r>
    </w:p>
    <w:p w14:paraId="50188210">
      <w:pPr>
        <w:widowControl w:val="0"/>
        <w:shd w:val="clear" w:color="auto" w:fill="auto"/>
        <w:ind w:firstLine="420" w:firstLineChars="0"/>
        <w:jc w:val="both"/>
        <w:rPr>
          <w:rFonts w:hint="eastAsia" w:ascii="宋体" w:hAnsi="宋体" w:cs="宋体"/>
          <w:szCs w:val="24"/>
        </w:rPr>
      </w:pPr>
      <w:r>
        <w:rPr>
          <w:rFonts w:hint="eastAsia" w:ascii="宋体" w:hAnsi="宋体" w:cs="宋体"/>
          <w:szCs w:val="24"/>
        </w:rPr>
        <w:t>请注意本文件的某些内容可能涉及专利，本文件的发布机构不承担识别专利的责任。</w:t>
      </w:r>
    </w:p>
    <w:p w14:paraId="57427741">
      <w:pPr>
        <w:widowControl w:val="0"/>
        <w:shd w:val="clear" w:color="auto" w:fill="auto"/>
        <w:ind w:firstLine="420" w:firstLineChars="0"/>
        <w:jc w:val="both"/>
        <w:rPr>
          <w:rFonts w:hint="eastAsia" w:ascii="宋体" w:hAnsi="宋体" w:cs="宋体"/>
          <w:szCs w:val="24"/>
        </w:rPr>
      </w:pPr>
      <w:r>
        <w:rPr>
          <w:rFonts w:hint="eastAsia" w:ascii="宋体" w:hAnsi="宋体" w:cs="宋体"/>
          <w:szCs w:val="24"/>
        </w:rPr>
        <w:t>本文件由合肥保安智能科技有限公司提出。</w:t>
      </w:r>
    </w:p>
    <w:p w14:paraId="2BE5D17B">
      <w:pPr>
        <w:widowControl w:val="0"/>
        <w:shd w:val="clear" w:color="auto" w:fill="auto"/>
        <w:ind w:firstLine="420" w:firstLineChars="0"/>
        <w:jc w:val="both"/>
        <w:rPr>
          <w:rFonts w:hint="eastAsia" w:ascii="宋体" w:hAnsi="宋体" w:cs="宋体"/>
          <w:szCs w:val="24"/>
        </w:rPr>
      </w:pPr>
      <w:r>
        <w:rPr>
          <w:rFonts w:hint="eastAsia" w:ascii="宋体" w:hAnsi="宋体" w:cs="宋体"/>
          <w:szCs w:val="24"/>
        </w:rPr>
        <w:t>本文件由安徽省公安厅归口。</w:t>
      </w:r>
    </w:p>
    <w:p w14:paraId="2AA21F7F">
      <w:pPr>
        <w:widowControl w:val="0"/>
        <w:shd w:val="clear" w:color="auto" w:fill="auto"/>
        <w:ind w:firstLine="420" w:firstLineChars="0"/>
        <w:jc w:val="both"/>
        <w:rPr>
          <w:rFonts w:hint="eastAsia" w:ascii="宋体" w:hAnsi="宋体"/>
          <w:szCs w:val="24"/>
          <w:u w:val="single"/>
        </w:rPr>
      </w:pPr>
      <w:r>
        <w:rPr>
          <w:rFonts w:hint="eastAsia" w:ascii="宋体" w:hAnsi="宋体" w:cs="宋体"/>
          <w:szCs w:val="24"/>
        </w:rPr>
        <w:t>本文件起草单位:</w:t>
      </w:r>
      <w:r>
        <w:rPr>
          <w:rFonts w:hint="eastAsia" w:ascii="宋体" w:hAnsi="宋体"/>
          <w:szCs w:val="24"/>
        </w:rPr>
        <w:t xml:space="preserve"> 合肥保安智能科技有限公司、安徽省公安厅科技信息化总队、安徽省公安厅反恐怖总队、合肥市公安局治安警察支队、滁州市公安局科技信息通信科、安徽光电技术研究所、安徽省安全技术防范行业协会。</w:t>
      </w:r>
    </w:p>
    <w:p w14:paraId="289F0D60">
      <w:pPr>
        <w:ind w:firstLine="420" w:firstLineChars="0"/>
        <w:rPr>
          <w:rFonts w:hint="eastAsia" w:ascii="宋体" w:hAnsi="宋体"/>
          <w:shd w:val="clear" w:color="auto" w:fill="FFFFFF"/>
        </w:rPr>
      </w:pPr>
      <w:r>
        <w:rPr>
          <w:rFonts w:hint="eastAsia" w:ascii="宋体" w:hAnsi="宋体" w:cs="宋体"/>
          <w:kern w:val="0"/>
          <w:szCs w:val="20"/>
        </w:rPr>
        <w:t>本文件主要起草人:</w:t>
      </w:r>
      <w:r>
        <w:rPr>
          <w:rFonts w:hint="eastAsia" w:ascii="宋体" w:hAnsi="宋体"/>
          <w:shd w:val="clear" w:color="auto" w:fill="FFFFFF"/>
        </w:rPr>
        <w:t xml:space="preserve"> </w:t>
      </w:r>
    </w:p>
    <w:p w14:paraId="78D0E53A">
      <w:pPr>
        <w:shd w:val="clear" w:color="auto" w:fill="auto"/>
        <w:tabs>
          <w:tab w:val="left" w:pos="-142"/>
          <w:tab w:val="left" w:pos="0"/>
        </w:tabs>
        <w:autoSpaceDE w:val="0"/>
        <w:autoSpaceDN w:val="0"/>
        <w:ind w:firstLine="420"/>
        <w:jc w:val="both"/>
        <w:outlineLvl w:val="2"/>
        <w:rPr>
          <w:rFonts w:hint="eastAsia" w:ascii="宋体" w:hAnsi="宋体" w:cs="宋体"/>
        </w:rPr>
      </w:pPr>
      <w:r>
        <w:rPr>
          <w:rFonts w:hint="eastAsia" w:ascii="宋体" w:hAnsi="宋体" w:cs="宋体"/>
        </w:rPr>
        <w:t xml:space="preserve"> </w:t>
      </w:r>
    </w:p>
    <w:p w14:paraId="00F6DB9C">
      <w:pPr>
        <w:ind w:firstLine="420"/>
        <w:rPr>
          <w:shd w:val="clear" w:color="auto" w:fill="FFFFFF"/>
        </w:rPr>
      </w:pPr>
      <w:r>
        <w:rPr>
          <w:rFonts w:hint="eastAsia"/>
          <w:shd w:val="clear" w:color="auto" w:fill="FFFFFF"/>
        </w:rPr>
        <w:br w:type="page"/>
      </w:r>
    </w:p>
    <w:p w14:paraId="195394C4">
      <w:pPr>
        <w:pStyle w:val="15"/>
        <w:spacing w:before="312" w:after="624"/>
      </w:pPr>
      <w:r>
        <w:rPr>
          <w:rFonts w:hint="eastAsia"/>
        </w:rPr>
        <w:t>公共安全重点区域安全防范风险管理规范</w:t>
      </w:r>
    </w:p>
    <w:p w14:paraId="367ED34F">
      <w:pPr>
        <w:pStyle w:val="53"/>
        <w:numPr>
          <w:ilvl w:val="0"/>
          <w:numId w:val="1"/>
        </w:numPr>
        <w:spacing w:before="312" w:after="312"/>
        <w:ind w:firstLineChars="0"/>
        <w:rPr>
          <w:rFonts w:hAnsi="Times New Roman" w:cs="Times New Roman"/>
        </w:rPr>
      </w:pPr>
      <w:bookmarkStart w:id="27" w:name="_Toc32385"/>
      <w:bookmarkEnd w:id="27"/>
      <w:bookmarkStart w:id="28" w:name="_Toc161733607"/>
      <w:bookmarkEnd w:id="28"/>
      <w:bookmarkStart w:id="29" w:name="_Toc161839170"/>
      <w:bookmarkStart w:id="30" w:name="_Toc161669838"/>
      <w:r>
        <w:rPr>
          <w:rFonts w:hint="eastAsia"/>
        </w:rPr>
        <w:t>范围</w:t>
      </w:r>
      <w:bookmarkEnd w:id="29"/>
      <w:bookmarkEnd w:id="30"/>
    </w:p>
    <w:p w14:paraId="3A7D5434">
      <w:pPr>
        <w:ind w:firstLine="420"/>
      </w:pPr>
      <w:r>
        <w:rPr>
          <w:rFonts w:hint="eastAsia"/>
        </w:rPr>
        <w:t>本文件确立了公共安全重点区域安全防范风险管理的基本要求，</w:t>
      </w:r>
      <w:r>
        <w:rPr>
          <w:rFonts w:hint="eastAsia"/>
          <w:color w:val="auto"/>
        </w:rPr>
        <w:t>并规定了公共安全重点区域</w:t>
      </w:r>
      <w:r>
        <w:rPr>
          <w:rFonts w:hint="eastAsia"/>
        </w:rPr>
        <w:t>、风险类型</w:t>
      </w:r>
      <w:r>
        <w:rPr>
          <w:rFonts w:hint="eastAsia"/>
          <w:lang w:eastAsia="zh-CN"/>
        </w:rPr>
        <w:t>、</w:t>
      </w:r>
      <w:r>
        <w:rPr>
          <w:rFonts w:hint="eastAsia"/>
          <w:lang w:val="en-US" w:eastAsia="zh-CN"/>
        </w:rPr>
        <w:t>风险评估、风险应对和监督检查</w:t>
      </w:r>
      <w:r>
        <w:rPr>
          <w:rFonts w:hint="eastAsia"/>
        </w:rPr>
        <w:t>。</w:t>
      </w:r>
    </w:p>
    <w:p w14:paraId="75143098">
      <w:pPr>
        <w:ind w:firstLine="420"/>
        <w:rPr>
          <w:kern w:val="0"/>
        </w:rPr>
      </w:pPr>
      <w:r>
        <w:rPr>
          <w:rFonts w:hint="eastAsia"/>
          <w:kern w:val="0"/>
        </w:rPr>
        <w:t>本文件适用于公共安全重点区域</w:t>
      </w:r>
      <w:r>
        <w:rPr>
          <w:rFonts w:hint="eastAsia"/>
          <w:kern w:val="0"/>
          <w:lang w:val="en-US" w:eastAsia="zh-CN"/>
        </w:rPr>
        <w:t>安全防范</w:t>
      </w:r>
      <w:r>
        <w:rPr>
          <w:rFonts w:hint="eastAsia"/>
          <w:kern w:val="0"/>
        </w:rPr>
        <w:t>的风险管理。</w:t>
      </w:r>
    </w:p>
    <w:p w14:paraId="22993207">
      <w:pPr>
        <w:pStyle w:val="53"/>
        <w:numPr>
          <w:ilvl w:val="0"/>
          <w:numId w:val="1"/>
        </w:numPr>
        <w:spacing w:before="312" w:after="312"/>
        <w:ind w:firstLineChars="0"/>
        <w:rPr>
          <w:rFonts w:hint="eastAsia"/>
        </w:rPr>
      </w:pPr>
      <w:bookmarkStart w:id="31" w:name="_Toc161839172"/>
      <w:bookmarkStart w:id="32" w:name="_Toc161669840"/>
      <w:r>
        <w:rPr>
          <w:rFonts w:hint="eastAsia"/>
        </w:rPr>
        <w:t>规范性引用文件</w:t>
      </w:r>
    </w:p>
    <w:p w14:paraId="6A21054A">
      <w:pPr>
        <w:pStyle w:val="50"/>
        <w:rPr>
          <w:rFonts w:hint="eastAsia"/>
        </w:rPr>
      </w:pPr>
      <w:r>
        <w:rPr>
          <w:rFonts w:hint="eastAsia"/>
        </w:rPr>
        <w:t>下列文件中的内容通过文中的规范性引用而构成本文件必不可少的条款。</w:t>
      </w:r>
      <w:r>
        <w:rPr>
          <w:rFonts w:hint="eastAsia"/>
          <w:lang w:val="en-US" w:eastAsia="zh-CN"/>
        </w:rPr>
        <w:t>其中，注日期的引用文件，仅该日期对应的版本适用于本文件；</w:t>
      </w:r>
      <w:r>
        <w:rPr>
          <w:rFonts w:hint="eastAsia"/>
        </w:rPr>
        <w:t>不注日期的引用文件，其最新版本（包括所有的修改单）适用于本文件。</w:t>
      </w:r>
    </w:p>
    <w:p w14:paraId="391865F5">
      <w:pPr>
        <w:pStyle w:val="50"/>
        <w:rPr>
          <w:rFonts w:hint="default" w:eastAsia="宋体"/>
          <w:lang w:val="en-US" w:eastAsia="zh-CN"/>
        </w:rPr>
      </w:pPr>
      <w:r>
        <w:rPr>
          <w:rFonts w:hint="eastAsia"/>
          <w:color w:val="auto"/>
          <w:kern w:val="2"/>
        </w:rPr>
        <w:t>GB/T 16571</w:t>
      </w:r>
      <w:r>
        <w:rPr>
          <w:rFonts w:hint="eastAsia"/>
          <w:color w:val="auto"/>
          <w:kern w:val="2"/>
          <w:lang w:val="en-US" w:eastAsia="zh-CN"/>
        </w:rPr>
        <w:t xml:space="preserve">  博物馆和文物保护单位安全防范系统要求</w:t>
      </w:r>
    </w:p>
    <w:p w14:paraId="0FD4E46B">
      <w:pPr>
        <w:pStyle w:val="50"/>
        <w:rPr>
          <w:rFonts w:hint="eastAsia"/>
        </w:rPr>
      </w:pPr>
      <w:r>
        <w:rPr>
          <w:rFonts w:hint="eastAsia"/>
        </w:rPr>
        <w:t>GB/T 23694  风险管理 术语</w:t>
      </w:r>
    </w:p>
    <w:p w14:paraId="6E46BF81">
      <w:pPr>
        <w:pStyle w:val="50"/>
        <w:rPr>
          <w:rFonts w:hint="eastAsia"/>
        </w:rPr>
      </w:pPr>
      <w:r>
        <w:rPr>
          <w:rFonts w:hint="eastAsia"/>
        </w:rPr>
        <w:t>GB 50348  安全防范工程技术标准</w:t>
      </w:r>
    </w:p>
    <w:p w14:paraId="2EEB34B8">
      <w:pPr>
        <w:pStyle w:val="50"/>
        <w:rPr>
          <w:rFonts w:hint="eastAsia"/>
        </w:rPr>
      </w:pPr>
      <w:r>
        <w:rPr>
          <w:rFonts w:hint="eastAsia"/>
        </w:rPr>
        <w:t xml:space="preserve">GB 55029  </w:t>
      </w:r>
      <w:bookmarkStart w:id="33" w:name="OLE_LINK5"/>
      <w:r>
        <w:rPr>
          <w:rFonts w:hint="eastAsia"/>
        </w:rPr>
        <w:t>安全防范工程通用规范</w:t>
      </w:r>
      <w:bookmarkEnd w:id="33"/>
    </w:p>
    <w:p w14:paraId="4944615F">
      <w:pPr>
        <w:pStyle w:val="50"/>
        <w:rPr>
          <w:rFonts w:hint="default" w:eastAsia="宋体"/>
          <w:lang w:val="en-US" w:eastAsia="zh-CN"/>
        </w:rPr>
      </w:pPr>
      <w:r>
        <w:rPr>
          <w:rFonts w:hint="eastAsia"/>
          <w:color w:val="auto"/>
          <w:kern w:val="2"/>
        </w:rPr>
        <w:t>GA 38</w:t>
      </w:r>
      <w:r>
        <w:rPr>
          <w:rFonts w:hint="eastAsia"/>
          <w:color w:val="auto"/>
          <w:kern w:val="2"/>
          <w:lang w:val="en-US" w:eastAsia="zh-CN"/>
        </w:rPr>
        <w:t xml:space="preserve">  银行安全防范要求</w:t>
      </w:r>
    </w:p>
    <w:p w14:paraId="1052382F">
      <w:pPr>
        <w:pStyle w:val="53"/>
        <w:numPr>
          <w:ilvl w:val="0"/>
          <w:numId w:val="1"/>
        </w:numPr>
        <w:spacing w:before="312" w:after="312"/>
        <w:ind w:firstLineChars="0"/>
        <w:rPr>
          <w:rFonts w:hint="eastAsia"/>
        </w:rPr>
      </w:pPr>
      <w:r>
        <w:rPr>
          <w:rFonts w:hint="eastAsia"/>
        </w:rPr>
        <w:t>术语和定义</w:t>
      </w:r>
      <w:bookmarkEnd w:id="31"/>
      <w:bookmarkEnd w:id="32"/>
    </w:p>
    <w:p w14:paraId="3D422589">
      <w:pPr>
        <w:ind w:firstLine="420"/>
        <w:rPr>
          <w:rFonts w:hint="eastAsia" w:ascii="宋体" w:hAnsi="宋体"/>
          <w:color w:val="auto"/>
        </w:rPr>
      </w:pPr>
      <w:r>
        <w:rPr>
          <w:color w:val="auto"/>
        </w:rPr>
        <w:t>GB/T 23694</w:t>
      </w:r>
      <w:r>
        <w:rPr>
          <w:rFonts w:hint="eastAsia" w:ascii="宋体" w:hAnsi="宋体"/>
          <w:color w:val="auto"/>
        </w:rPr>
        <w:t>、</w:t>
      </w:r>
      <w:r>
        <w:rPr>
          <w:color w:val="auto"/>
        </w:rPr>
        <w:t>GB 50348</w:t>
      </w:r>
      <w:r>
        <w:rPr>
          <w:rFonts w:hint="eastAsia" w:ascii="宋体" w:hAnsi="宋体"/>
          <w:color w:val="auto"/>
        </w:rPr>
        <w:t>界定的以及下列术语和定义适用于本文件。</w:t>
      </w:r>
    </w:p>
    <w:p w14:paraId="0FA37E99">
      <w:pPr>
        <w:ind w:firstLine="0" w:firstLineChars="0"/>
        <w:rPr>
          <w:rFonts w:hint="eastAsia" w:ascii="宋体" w:hAnsi="宋体" w:cs="宋体"/>
          <w:kern w:val="0"/>
        </w:rPr>
      </w:pPr>
      <w:r>
        <w:rPr>
          <w:rFonts w:hint="eastAsia" w:ascii="黑体" w:hAnsi="黑体" w:eastAsia="黑体" w:cs="宋体"/>
          <w:b/>
          <w:kern w:val="0"/>
        </w:rPr>
        <w:t>3.</w:t>
      </w:r>
      <w:r>
        <w:rPr>
          <w:rFonts w:hint="eastAsia" w:ascii="黑体" w:hAnsi="黑体" w:eastAsia="黑体" w:cs="宋体"/>
          <w:b/>
          <w:kern w:val="0"/>
          <w:lang w:val="en-US" w:eastAsia="zh-CN"/>
        </w:rPr>
        <w:t>1</w:t>
      </w:r>
      <w:r>
        <w:rPr>
          <w:rFonts w:hint="eastAsia" w:ascii="黑体" w:hAnsi="黑体" w:eastAsia="黑体" w:cs="宋体"/>
          <w:b/>
          <w:kern w:val="0"/>
        </w:rPr>
        <w:t xml:space="preserve">  安全防范</w:t>
      </w:r>
      <w:r>
        <w:rPr>
          <w:rStyle w:val="18"/>
          <w:rFonts w:ascii="Helvetica" w:hAnsi="Helvetica" w:cs="Helvetica"/>
          <w:b w:val="0"/>
          <w:bCs/>
          <w:sz w:val="24"/>
          <w:szCs w:val="24"/>
          <w:shd w:val="clear" w:color="auto" w:fill="FFFFFF"/>
        </w:rPr>
        <w:t xml:space="preserve">security </w:t>
      </w:r>
    </w:p>
    <w:p w14:paraId="6B41A7DF">
      <w:pPr>
        <w:ind w:firstLine="420"/>
        <w:rPr>
          <w:rFonts w:ascii="宋体" w:hAnsi="宋体" w:cs="宋体"/>
          <w:color w:val="auto"/>
          <w:kern w:val="0"/>
        </w:rPr>
      </w:pPr>
      <w:r>
        <w:rPr>
          <w:rFonts w:ascii="宋体" w:hAnsi="宋体" w:cs="宋体"/>
          <w:color w:val="auto"/>
          <w:kern w:val="0"/>
        </w:rPr>
        <w:t>综合运用人力</w:t>
      </w:r>
      <w:r>
        <w:rPr>
          <w:rFonts w:hint="eastAsia" w:ascii="宋体" w:hAnsi="宋体" w:cs="宋体"/>
          <w:color w:val="auto"/>
          <w:kern w:val="0"/>
          <w:lang w:val="en-US" w:eastAsia="zh-CN"/>
        </w:rPr>
        <w:t>防范</w:t>
      </w:r>
      <w:r>
        <w:rPr>
          <w:rFonts w:ascii="宋体" w:hAnsi="宋体" w:cs="宋体"/>
          <w:color w:val="auto"/>
          <w:kern w:val="0"/>
        </w:rPr>
        <w:t>、实体</w:t>
      </w:r>
      <w:r>
        <w:rPr>
          <w:rFonts w:hint="eastAsia" w:ascii="宋体" w:hAnsi="宋体" w:cs="宋体"/>
          <w:color w:val="auto"/>
          <w:kern w:val="0"/>
          <w:lang w:val="en-US" w:eastAsia="zh-CN"/>
        </w:rPr>
        <w:t>防范</w:t>
      </w:r>
      <w:r>
        <w:rPr>
          <w:rFonts w:ascii="宋体" w:hAnsi="宋体" w:cs="宋体"/>
          <w:color w:val="auto"/>
          <w:kern w:val="0"/>
        </w:rPr>
        <w:t>和</w:t>
      </w:r>
      <w:r>
        <w:rPr>
          <w:rFonts w:hint="eastAsia" w:ascii="宋体" w:hAnsi="宋体" w:cs="宋体"/>
          <w:color w:val="auto"/>
          <w:kern w:val="0"/>
          <w:lang w:val="en-US" w:eastAsia="zh-CN"/>
        </w:rPr>
        <w:t>电子防范等多种手段</w:t>
      </w:r>
      <w:r>
        <w:rPr>
          <w:rFonts w:ascii="宋体" w:hAnsi="宋体" w:cs="宋体"/>
          <w:color w:val="auto"/>
          <w:kern w:val="0"/>
        </w:rPr>
        <w:t>，预防、延迟、阻止</w:t>
      </w:r>
      <w:r>
        <w:rPr>
          <w:rFonts w:hint="eastAsia" w:ascii="宋体" w:hAnsi="宋体" w:cs="宋体"/>
          <w:color w:val="auto"/>
          <w:kern w:val="0"/>
          <w:lang w:val="en-US" w:eastAsia="zh-CN"/>
        </w:rPr>
        <w:t>由</w:t>
      </w:r>
      <w:r>
        <w:rPr>
          <w:rFonts w:ascii="宋体" w:hAnsi="宋体" w:cs="宋体"/>
          <w:color w:val="auto"/>
          <w:kern w:val="0"/>
        </w:rPr>
        <w:t>治安</w:t>
      </w:r>
      <w:r>
        <w:rPr>
          <w:rFonts w:hint="eastAsia" w:ascii="宋体" w:hAnsi="宋体" w:cs="宋体"/>
          <w:color w:val="auto"/>
          <w:kern w:val="0"/>
          <w:lang w:val="en-US" w:eastAsia="zh-CN"/>
        </w:rPr>
        <w:t>风险</w:t>
      </w:r>
      <w:r>
        <w:rPr>
          <w:rFonts w:ascii="宋体" w:hAnsi="宋体" w:cs="宋体"/>
          <w:color w:val="auto"/>
          <w:kern w:val="0"/>
        </w:rPr>
        <w:t>和恐怖</w:t>
      </w:r>
      <w:r>
        <w:rPr>
          <w:rFonts w:hint="eastAsia" w:ascii="宋体" w:hAnsi="宋体" w:cs="宋体"/>
          <w:color w:val="auto"/>
          <w:kern w:val="0"/>
          <w:lang w:val="en-US" w:eastAsia="zh-CN"/>
        </w:rPr>
        <w:t>风险引发事件的发生</w:t>
      </w:r>
      <w:r>
        <w:rPr>
          <w:rFonts w:ascii="宋体" w:hAnsi="宋体" w:cs="宋体"/>
          <w:color w:val="auto"/>
          <w:kern w:val="0"/>
        </w:rPr>
        <w:t>。</w:t>
      </w:r>
    </w:p>
    <w:p w14:paraId="7F5AD4F2">
      <w:pPr>
        <w:ind w:firstLine="420"/>
        <w:rPr>
          <w:rFonts w:hint="eastAsia" w:ascii="宋体" w:hAnsi="宋体" w:eastAsia="宋体" w:cs="宋体"/>
          <w:color w:val="auto"/>
          <w:kern w:val="0"/>
          <w:lang w:eastAsia="zh-CN"/>
        </w:rPr>
      </w:pPr>
      <w:r>
        <w:rPr>
          <w:rFonts w:hint="eastAsia" w:ascii="方正仿宋_GB2312" w:hAnsi="方正仿宋_GB2312" w:eastAsia="方正仿宋_GB2312" w:cs="方正仿宋_GB2312"/>
          <w:color w:val="auto"/>
          <w:kern w:val="0"/>
          <w:lang w:val="en-US" w:eastAsia="zh-CN"/>
        </w:rPr>
        <w:t>[</w:t>
      </w:r>
      <w:r>
        <w:rPr>
          <w:rFonts w:hint="eastAsia" w:ascii="宋体" w:hAnsi="宋体" w:cs="宋体"/>
          <w:color w:val="auto"/>
          <w:kern w:val="0"/>
          <w:lang w:val="en-US" w:eastAsia="zh-CN"/>
        </w:rPr>
        <w:t>来源：GB 50348 - 2018，2.0.1，有修改</w:t>
      </w:r>
      <w:r>
        <w:rPr>
          <w:rFonts w:hint="eastAsia" w:ascii="方正仿宋_GB2312" w:hAnsi="方正仿宋_GB2312" w:eastAsia="方正仿宋_GB2312" w:cs="方正仿宋_GB2312"/>
          <w:color w:val="auto"/>
          <w:kern w:val="0"/>
          <w:lang w:val="en-US" w:eastAsia="zh-CN"/>
        </w:rPr>
        <w:t>]</w:t>
      </w:r>
    </w:p>
    <w:p w14:paraId="2DA6D708">
      <w:pPr>
        <w:pStyle w:val="51"/>
        <w:numPr>
          <w:ilvl w:val="1"/>
          <w:numId w:val="0"/>
        </w:numPr>
        <w:spacing w:before="312" w:after="312"/>
        <w:ind w:leftChars="-1"/>
        <w:rPr>
          <w:rFonts w:hint="eastAsia"/>
        </w:rPr>
      </w:pPr>
      <w:r>
        <w:rPr>
          <w:rFonts w:hint="eastAsia"/>
          <w:lang w:val="en-US" w:eastAsia="zh-CN"/>
        </w:rPr>
        <w:t xml:space="preserve">3.2  </w:t>
      </w:r>
      <w:r>
        <w:rPr>
          <w:rFonts w:hint="eastAsia"/>
        </w:rPr>
        <w:t xml:space="preserve">风险管理 </w:t>
      </w:r>
      <w:r>
        <w:rPr>
          <w:rStyle w:val="18"/>
          <w:rFonts w:hint="eastAsia" w:ascii="Helvetica" w:hAnsi="Helvetica" w:eastAsia="宋体" w:cs="Helvetica"/>
          <w:b w:val="0"/>
          <w:bCs/>
          <w:sz w:val="24"/>
          <w:szCs w:val="24"/>
          <w:shd w:val="clear" w:color="auto" w:fill="FFFFFF"/>
        </w:rPr>
        <w:t>r</w:t>
      </w:r>
      <w:r>
        <w:rPr>
          <w:rStyle w:val="18"/>
          <w:rFonts w:ascii="Helvetica" w:hAnsi="Helvetica" w:eastAsia="宋体" w:cs="Helvetica"/>
          <w:b w:val="0"/>
          <w:bCs/>
          <w:sz w:val="24"/>
          <w:szCs w:val="24"/>
          <w:shd w:val="clear" w:color="auto" w:fill="FFFFFF"/>
        </w:rPr>
        <w:t>isk</w:t>
      </w:r>
      <w:r>
        <w:rPr>
          <w:rStyle w:val="18"/>
          <w:rFonts w:ascii="Helvetica" w:hAnsi="Helvetica" w:eastAsia="Helvetica" w:cs="Helvetica"/>
          <w:b w:val="0"/>
          <w:bCs/>
          <w:sz w:val="24"/>
          <w:szCs w:val="24"/>
          <w:shd w:val="clear" w:color="auto" w:fill="FFFFFF"/>
        </w:rPr>
        <w:t xml:space="preserve"> </w:t>
      </w:r>
      <w:r>
        <w:rPr>
          <w:rStyle w:val="18"/>
          <w:rFonts w:hint="eastAsia" w:ascii="Helvetica" w:hAnsi="Helvetica" w:eastAsia="宋体" w:cs="Helvetica"/>
          <w:b w:val="0"/>
          <w:bCs/>
          <w:sz w:val="24"/>
          <w:szCs w:val="24"/>
          <w:shd w:val="clear" w:color="auto" w:fill="FFFFFF"/>
        </w:rPr>
        <w:t>m</w:t>
      </w:r>
      <w:r>
        <w:rPr>
          <w:rStyle w:val="18"/>
          <w:rFonts w:ascii="Helvetica" w:hAnsi="Helvetica" w:eastAsia="Helvetica" w:cs="Helvetica"/>
          <w:b w:val="0"/>
          <w:bCs/>
          <w:sz w:val="24"/>
          <w:szCs w:val="24"/>
          <w:shd w:val="clear" w:color="auto" w:fill="FFFFFF"/>
        </w:rPr>
        <w:t>anagement</w:t>
      </w:r>
    </w:p>
    <w:p w14:paraId="749414B6">
      <w:pPr>
        <w:ind w:firstLine="420"/>
        <w:rPr>
          <w:rFonts w:hint="eastAsia" w:ascii="宋体" w:hAnsi="宋体" w:cs="宋体"/>
          <w:kern w:val="0"/>
        </w:rPr>
      </w:pPr>
      <w:r>
        <w:rPr>
          <w:rFonts w:hint="eastAsia" w:ascii="宋体" w:hAnsi="宋体" w:cs="宋体"/>
          <w:kern w:val="0"/>
        </w:rPr>
        <w:t>通过识别、分析、评价风险，采取有效应对措施，并对整体效果进行科学评价，从而降低公共安全重点区域的风险影响，最终达到保护资产、保障人员安全、维护社会稳定的过程。</w:t>
      </w:r>
    </w:p>
    <w:p w14:paraId="4CD4A6E7">
      <w:pPr>
        <w:ind w:firstLine="420"/>
        <w:rPr>
          <w:rFonts w:hint="eastAsia" w:ascii="宋体" w:hAnsi="宋体" w:cs="宋体"/>
          <w:kern w:val="0"/>
        </w:rPr>
      </w:pPr>
    </w:p>
    <w:p w14:paraId="1513CAC8">
      <w:pPr>
        <w:pStyle w:val="53"/>
        <w:numPr>
          <w:ilvl w:val="0"/>
          <w:numId w:val="1"/>
        </w:numPr>
        <w:spacing w:before="312" w:after="312"/>
        <w:ind w:firstLineChars="0"/>
        <w:rPr>
          <w:rFonts w:hint="eastAsia"/>
          <w:color w:val="auto"/>
        </w:rPr>
      </w:pPr>
      <w:bookmarkStart w:id="34" w:name="_Toc161733615"/>
      <w:bookmarkEnd w:id="34"/>
      <w:bookmarkStart w:id="35" w:name="_Toc161733610"/>
      <w:bookmarkEnd w:id="35"/>
      <w:bookmarkStart w:id="36" w:name="_Toc11236"/>
      <w:bookmarkEnd w:id="36"/>
      <w:bookmarkStart w:id="37" w:name="_Toc21220"/>
      <w:bookmarkEnd w:id="37"/>
      <w:bookmarkStart w:id="38" w:name="_Toc14823"/>
      <w:bookmarkEnd w:id="38"/>
      <w:bookmarkStart w:id="39" w:name="_Toc161733614"/>
      <w:bookmarkEnd w:id="39"/>
      <w:r>
        <w:rPr>
          <w:rFonts w:hint="eastAsia"/>
          <w:color w:val="auto"/>
        </w:rPr>
        <w:t xml:space="preserve">基本要求  </w:t>
      </w:r>
    </w:p>
    <w:p w14:paraId="33570C7C">
      <w:pPr>
        <w:pStyle w:val="51"/>
        <w:spacing w:before="312" w:after="312"/>
        <w:rPr>
          <w:rFonts w:hint="eastAsia"/>
          <w:color w:val="auto"/>
        </w:rPr>
      </w:pPr>
      <w:r>
        <w:rPr>
          <w:rFonts w:hint="eastAsia"/>
          <w:color w:val="auto"/>
        </w:rPr>
        <w:t>应</w:t>
      </w:r>
      <w:r>
        <w:rPr>
          <w:rFonts w:hint="eastAsia"/>
          <w:color w:val="auto"/>
          <w:lang w:val="en-US" w:eastAsia="zh-CN"/>
        </w:rPr>
        <w:t>设立/明确安全防范风险管理部门</w:t>
      </w:r>
      <w:r>
        <w:rPr>
          <w:rFonts w:hint="eastAsia"/>
          <w:color w:val="auto"/>
        </w:rPr>
        <w:t>。</w:t>
      </w:r>
    </w:p>
    <w:p w14:paraId="300F8D74">
      <w:pPr>
        <w:pStyle w:val="51"/>
        <w:shd w:val="clear" w:color="auto" w:fill="auto"/>
        <w:spacing w:before="312" w:after="312"/>
        <w:rPr>
          <w:rFonts w:hint="eastAsia"/>
          <w:color w:val="auto"/>
          <w:lang w:val="en-US" w:eastAsia="zh-CN"/>
        </w:rPr>
      </w:pPr>
      <w:r>
        <w:rPr>
          <w:rFonts w:hint="eastAsia"/>
          <w:color w:val="auto"/>
          <w:lang w:val="en-US" w:eastAsia="zh-CN"/>
        </w:rPr>
        <w:t>风险管理工作人员应具备专业资质或经培训合格。</w:t>
      </w:r>
    </w:p>
    <w:p w14:paraId="38B30445">
      <w:pPr>
        <w:pStyle w:val="51"/>
        <w:spacing w:before="312" w:after="312"/>
        <w:rPr>
          <w:rFonts w:hint="eastAsia"/>
          <w:b/>
          <w:color w:val="auto"/>
        </w:rPr>
      </w:pPr>
      <w:r>
        <w:rPr>
          <w:rFonts w:hint="eastAsia"/>
          <w:color w:val="auto"/>
        </w:rPr>
        <w:t>应建立</w:t>
      </w:r>
      <w:r>
        <w:rPr>
          <w:rFonts w:hint="eastAsia"/>
          <w:color w:val="auto"/>
          <w:lang w:val="en-US" w:eastAsia="zh-CN"/>
        </w:rPr>
        <w:t>安全防范</w:t>
      </w:r>
      <w:r>
        <w:rPr>
          <w:rFonts w:hint="eastAsia"/>
          <w:color w:val="auto"/>
        </w:rPr>
        <w:t>风险</w:t>
      </w:r>
      <w:r>
        <w:rPr>
          <w:rFonts w:hint="eastAsia"/>
          <w:color w:val="auto"/>
          <w:lang w:val="en-US" w:eastAsia="zh-CN"/>
        </w:rPr>
        <w:t>管理</w:t>
      </w:r>
      <w:r>
        <w:rPr>
          <w:rFonts w:hint="eastAsia"/>
          <w:color w:val="auto"/>
        </w:rPr>
        <w:t>长效机制，</w:t>
      </w:r>
      <w:r>
        <w:rPr>
          <w:rFonts w:hint="eastAsia"/>
          <w:color w:val="auto"/>
          <w:lang w:val="en-US" w:eastAsia="zh-CN"/>
        </w:rPr>
        <w:t>完善安全防范</w:t>
      </w:r>
      <w:r>
        <w:rPr>
          <w:rFonts w:hint="eastAsia"/>
          <w:color w:val="auto"/>
        </w:rPr>
        <w:t>风险管理制度</w:t>
      </w:r>
      <w:r>
        <w:rPr>
          <w:rFonts w:hint="eastAsia"/>
          <w:color w:val="auto"/>
          <w:lang w:eastAsia="zh-CN"/>
        </w:rPr>
        <w:t>，</w:t>
      </w:r>
      <w:r>
        <w:rPr>
          <w:rFonts w:hint="eastAsia"/>
          <w:color w:val="auto"/>
        </w:rPr>
        <w:t>并根据自身风险特点及情况变化及时修订。</w:t>
      </w:r>
    </w:p>
    <w:p w14:paraId="66B40B39">
      <w:pPr>
        <w:pStyle w:val="51"/>
        <w:spacing w:before="312" w:after="312"/>
        <w:rPr>
          <w:rFonts w:hint="eastAsia"/>
          <w:b/>
          <w:color w:val="auto"/>
        </w:rPr>
      </w:pPr>
      <w:r>
        <w:rPr>
          <w:rFonts w:hint="eastAsia"/>
          <w:color w:val="auto"/>
        </w:rPr>
        <w:t>应保障必要的资金和</w:t>
      </w:r>
      <w:r>
        <w:rPr>
          <w:rFonts w:hint="eastAsia"/>
          <w:color w:val="auto"/>
          <w:lang w:val="en-US" w:eastAsia="zh-CN"/>
        </w:rPr>
        <w:t>系统/设施</w:t>
      </w:r>
      <w:r>
        <w:rPr>
          <w:rFonts w:hint="eastAsia"/>
          <w:color w:val="auto"/>
        </w:rPr>
        <w:t>，满足风险管理和应急处置需要</w:t>
      </w:r>
      <w:r>
        <w:rPr>
          <w:rFonts w:hint="eastAsia"/>
          <w:color w:val="auto"/>
          <w:lang w:eastAsia="zh-CN"/>
        </w:rPr>
        <w:t>。</w:t>
      </w:r>
    </w:p>
    <w:p w14:paraId="7D17F7E2">
      <w:pPr>
        <w:pStyle w:val="51"/>
        <w:spacing w:before="312" w:after="312"/>
        <w:rPr>
          <w:rFonts w:hint="eastAsia"/>
          <w:b/>
          <w:color w:val="auto"/>
        </w:rPr>
      </w:pPr>
      <w:r>
        <w:rPr>
          <w:rFonts w:hint="eastAsia"/>
          <w:color w:val="auto"/>
          <w:lang w:val="en-US" w:eastAsia="zh-CN"/>
        </w:rPr>
        <w:t>应</w:t>
      </w:r>
      <w:r>
        <w:rPr>
          <w:rFonts w:hint="eastAsia"/>
          <w:color w:val="auto"/>
        </w:rPr>
        <w:t>定期组织培训和演练，提高全员风险意识和应对能力。</w:t>
      </w:r>
    </w:p>
    <w:p w14:paraId="1B8D9842">
      <w:pPr>
        <w:pStyle w:val="51"/>
        <w:numPr>
          <w:ilvl w:val="0"/>
          <w:numId w:val="0"/>
        </w:numPr>
        <w:spacing w:before="312" w:after="312"/>
        <w:ind w:left="-2"/>
        <w:rPr>
          <w:rFonts w:hint="eastAsia"/>
          <w:b/>
          <w:color w:val="FF0000"/>
        </w:rPr>
      </w:pPr>
    </w:p>
    <w:p w14:paraId="2216D8E5">
      <w:pPr>
        <w:pStyle w:val="53"/>
        <w:numPr>
          <w:ilvl w:val="0"/>
          <w:numId w:val="1"/>
        </w:numPr>
        <w:spacing w:before="312" w:after="312"/>
        <w:ind w:firstLineChars="0"/>
        <w:rPr>
          <w:rFonts w:hint="eastAsia"/>
        </w:rPr>
      </w:pPr>
      <w:r>
        <w:rPr>
          <w:rFonts w:hint="eastAsia"/>
        </w:rPr>
        <w:t>重点区域</w:t>
      </w:r>
    </w:p>
    <w:p w14:paraId="618B9684">
      <w:pPr>
        <w:pStyle w:val="50"/>
        <w:rPr>
          <w:rFonts w:hint="eastAsia"/>
        </w:rPr>
      </w:pPr>
      <w:r>
        <w:rPr>
          <w:rFonts w:hint="eastAsia"/>
        </w:rPr>
        <w:t>公共安全重点区域包括但不限于：</w:t>
      </w:r>
    </w:p>
    <w:p w14:paraId="431A312D">
      <w:pPr>
        <w:pStyle w:val="50"/>
        <w:rPr>
          <w:rFonts w:hint="eastAsia"/>
        </w:rPr>
      </w:pPr>
      <w:r>
        <w:rPr>
          <w:rFonts w:hint="eastAsia"/>
        </w:rPr>
        <w:t>—— 党政机关；</w:t>
      </w:r>
    </w:p>
    <w:p w14:paraId="5EDD626A">
      <w:pPr>
        <w:pStyle w:val="50"/>
        <w:rPr>
          <w:rFonts w:hint="eastAsia"/>
        </w:rPr>
      </w:pPr>
      <w:r>
        <w:rPr>
          <w:rFonts w:hint="eastAsia"/>
        </w:rPr>
        <w:t>—— 机场、火车站、汽车站、码头、城市公交场站等重要交通枢纽；</w:t>
      </w:r>
    </w:p>
    <w:p w14:paraId="6E1558E4">
      <w:pPr>
        <w:pStyle w:val="50"/>
        <w:rPr>
          <w:rFonts w:hint="eastAsia"/>
        </w:rPr>
      </w:pPr>
      <w:r>
        <w:rPr>
          <w:rFonts w:hint="eastAsia"/>
        </w:rPr>
        <w:t>—— 大型桥梁、隧道等重要交通设施；</w:t>
      </w:r>
    </w:p>
    <w:p w14:paraId="4400219B">
      <w:pPr>
        <w:pStyle w:val="50"/>
        <w:rPr>
          <w:rFonts w:hint="eastAsia"/>
        </w:rPr>
      </w:pPr>
      <w:r>
        <w:rPr>
          <w:rFonts w:hint="eastAsia"/>
        </w:rPr>
        <w:t>—— 广播电台、电视台、报社、网络传媒等重要新闻单位；</w:t>
      </w:r>
    </w:p>
    <w:p w14:paraId="54161E09">
      <w:pPr>
        <w:pStyle w:val="50"/>
        <w:rPr>
          <w:rFonts w:hint="eastAsia"/>
        </w:rPr>
      </w:pPr>
      <w:r>
        <w:rPr>
          <w:rFonts w:hint="eastAsia"/>
        </w:rPr>
        <w:t>—— 金融、电信、邮政、寄递单位；</w:t>
      </w:r>
    </w:p>
    <w:p w14:paraId="6F8B1A3B">
      <w:pPr>
        <w:pStyle w:val="50"/>
        <w:rPr>
          <w:rFonts w:hint="eastAsia"/>
        </w:rPr>
      </w:pPr>
      <w:r>
        <w:rPr>
          <w:rFonts w:hint="eastAsia"/>
        </w:rPr>
        <w:t>—— 大型能源动力设施、水利设施和城市水、电、燃气、热力供应设施；</w:t>
      </w:r>
    </w:p>
    <w:p w14:paraId="467A36E7">
      <w:pPr>
        <w:pStyle w:val="50"/>
        <w:rPr>
          <w:rFonts w:hint="eastAsia"/>
        </w:rPr>
      </w:pPr>
      <w:r>
        <w:rPr>
          <w:rFonts w:hint="eastAsia"/>
        </w:rPr>
        <w:t>—— 教育、科研、医疗单位和大型文化、体育场所；</w:t>
      </w:r>
    </w:p>
    <w:p w14:paraId="5999244B">
      <w:pPr>
        <w:pStyle w:val="50"/>
        <w:rPr>
          <w:rFonts w:hint="eastAsia"/>
        </w:rPr>
      </w:pPr>
      <w:r>
        <w:rPr>
          <w:rFonts w:hint="eastAsia"/>
        </w:rPr>
        <w:t>—— 博物馆、档案馆和重点文物保护单位；</w:t>
      </w:r>
    </w:p>
    <w:p w14:paraId="63122C0F">
      <w:pPr>
        <w:pStyle w:val="50"/>
        <w:rPr>
          <w:rFonts w:hint="eastAsia"/>
        </w:rPr>
      </w:pPr>
      <w:r>
        <w:rPr>
          <w:rFonts w:hint="eastAsia"/>
        </w:rPr>
        <w:t>—— 研制、生产、销售、储存危险物品或者实验、保藏传染性菌、毒种的单位；</w:t>
      </w:r>
    </w:p>
    <w:p w14:paraId="4B311AFC">
      <w:pPr>
        <w:pStyle w:val="50"/>
        <w:rPr>
          <w:rFonts w:hint="eastAsia"/>
        </w:rPr>
      </w:pPr>
      <w:r>
        <w:rPr>
          <w:rFonts w:hint="eastAsia"/>
        </w:rPr>
        <w:t>—— 广场、公园、大型综合体等人员密集场所；</w:t>
      </w:r>
    </w:p>
    <w:p w14:paraId="35E4FFBA">
      <w:pPr>
        <w:pStyle w:val="50"/>
        <w:rPr>
          <w:rFonts w:hint="eastAsia"/>
        </w:rPr>
      </w:pPr>
      <w:r>
        <w:rPr>
          <w:rFonts w:hint="eastAsia"/>
        </w:rPr>
        <w:t>—— 国家重点建设工程单位；</w:t>
      </w:r>
    </w:p>
    <w:p w14:paraId="2D3355AB">
      <w:pPr>
        <w:pStyle w:val="50"/>
        <w:rPr>
          <w:rFonts w:hint="eastAsia"/>
        </w:rPr>
      </w:pPr>
      <w:r>
        <w:rPr>
          <w:rFonts w:hint="eastAsia"/>
        </w:rPr>
        <w:t>—— 其它需要进行安全防范风险管理的区域。</w:t>
      </w:r>
    </w:p>
    <w:p w14:paraId="256A4575">
      <w:pPr>
        <w:pStyle w:val="53"/>
        <w:numPr>
          <w:ilvl w:val="0"/>
          <w:numId w:val="1"/>
        </w:numPr>
        <w:spacing w:before="312" w:after="312"/>
        <w:ind w:firstLineChars="0"/>
        <w:rPr>
          <w:rFonts w:hint="eastAsia"/>
        </w:rPr>
      </w:pPr>
      <w:r>
        <w:rPr>
          <w:rFonts w:hint="eastAsia"/>
        </w:rPr>
        <w:t>风险类型</w:t>
      </w:r>
    </w:p>
    <w:p w14:paraId="78F76627">
      <w:pPr>
        <w:ind w:firstLine="420"/>
        <w:rPr>
          <w:rFonts w:hint="eastAsia" w:ascii="宋体" w:hAnsi="宋体"/>
        </w:rPr>
      </w:pPr>
      <w:r>
        <w:rPr>
          <w:rFonts w:hint="eastAsia" w:ascii="宋体" w:hAnsi="宋体"/>
          <w:lang w:val="en-US" w:eastAsia="zh-CN"/>
        </w:rPr>
        <w:t>公共安全重点区域安全防范风险类型</w:t>
      </w:r>
      <w:r>
        <w:rPr>
          <w:rFonts w:hint="eastAsia" w:ascii="宋体" w:hAnsi="宋体"/>
        </w:rPr>
        <w:t>包括但不限于：</w:t>
      </w:r>
    </w:p>
    <w:p w14:paraId="4616DF67">
      <w:pPr>
        <w:ind w:firstLine="420"/>
        <w:rPr>
          <w:rFonts w:hint="eastAsia" w:ascii="宋体" w:hAnsi="宋体"/>
        </w:rPr>
      </w:pPr>
      <w:r>
        <w:rPr>
          <w:rFonts w:hint="eastAsia" w:ascii="宋体" w:hAnsi="宋体"/>
        </w:rPr>
        <w:t>—— 盗窃抢劫；</w:t>
      </w:r>
    </w:p>
    <w:p w14:paraId="7685485C">
      <w:pPr>
        <w:ind w:firstLine="420"/>
        <w:rPr>
          <w:rFonts w:hint="eastAsia" w:ascii="宋体" w:hAnsi="宋体"/>
        </w:rPr>
      </w:pPr>
      <w:r>
        <w:rPr>
          <w:rFonts w:hint="eastAsia" w:ascii="宋体" w:hAnsi="宋体"/>
        </w:rPr>
        <w:t>—— 刀斧砍杀；</w:t>
      </w:r>
    </w:p>
    <w:p w14:paraId="7235D85F">
      <w:pPr>
        <w:ind w:firstLine="420"/>
        <w:rPr>
          <w:rFonts w:hint="eastAsia" w:ascii="宋体" w:hAnsi="宋体"/>
        </w:rPr>
      </w:pPr>
      <w:r>
        <w:rPr>
          <w:rFonts w:hint="eastAsia" w:ascii="宋体" w:hAnsi="宋体"/>
        </w:rPr>
        <w:t>—— 非法闯入；</w:t>
      </w:r>
    </w:p>
    <w:p w14:paraId="16BAA488">
      <w:pPr>
        <w:ind w:firstLine="420"/>
        <w:rPr>
          <w:rFonts w:hint="eastAsia" w:ascii="宋体" w:hAnsi="宋体"/>
        </w:rPr>
      </w:pPr>
      <w:r>
        <w:rPr>
          <w:rFonts w:hint="eastAsia" w:ascii="宋体" w:hAnsi="宋体"/>
        </w:rPr>
        <w:t>—— 驾车冲撞；</w:t>
      </w:r>
    </w:p>
    <w:p w14:paraId="1146BE2A">
      <w:pPr>
        <w:ind w:firstLine="420"/>
        <w:rPr>
          <w:rFonts w:hint="eastAsia" w:ascii="宋体" w:hAnsi="宋体"/>
        </w:rPr>
      </w:pPr>
      <w:r>
        <w:rPr>
          <w:rFonts w:hint="eastAsia" w:ascii="宋体" w:hAnsi="宋体"/>
        </w:rPr>
        <w:t>—— 拥挤踩踏；</w:t>
      </w:r>
    </w:p>
    <w:p w14:paraId="61FA130B">
      <w:pPr>
        <w:ind w:firstLine="420"/>
        <w:rPr>
          <w:rFonts w:hint="eastAsia" w:ascii="宋体" w:hAnsi="宋体"/>
        </w:rPr>
      </w:pPr>
      <w:r>
        <w:rPr>
          <w:rFonts w:hint="eastAsia" w:ascii="宋体" w:hAnsi="宋体"/>
        </w:rPr>
        <w:t>—— 爆炸；</w:t>
      </w:r>
    </w:p>
    <w:p w14:paraId="51B97944">
      <w:pPr>
        <w:ind w:firstLine="420"/>
        <w:rPr>
          <w:rFonts w:hint="eastAsia" w:ascii="宋体" w:hAnsi="宋体"/>
        </w:rPr>
      </w:pPr>
      <w:r>
        <w:rPr>
          <w:rFonts w:hint="eastAsia" w:ascii="宋体" w:hAnsi="宋体"/>
        </w:rPr>
        <w:t>—— 劫持；</w:t>
      </w:r>
    </w:p>
    <w:p w14:paraId="536E1199">
      <w:pPr>
        <w:ind w:firstLine="420"/>
        <w:rPr>
          <w:rFonts w:hint="eastAsia" w:ascii="宋体" w:hAnsi="宋体"/>
        </w:rPr>
      </w:pPr>
      <w:r>
        <w:rPr>
          <w:rFonts w:hint="eastAsia" w:ascii="宋体" w:hAnsi="宋体"/>
        </w:rPr>
        <w:t>—— 投毒；</w:t>
      </w:r>
    </w:p>
    <w:p w14:paraId="40A60A00">
      <w:pPr>
        <w:ind w:firstLine="420"/>
        <w:rPr>
          <w:rFonts w:hint="eastAsia" w:ascii="宋体" w:hAnsi="宋体"/>
        </w:rPr>
      </w:pPr>
      <w:r>
        <w:rPr>
          <w:rFonts w:hint="eastAsia" w:ascii="宋体" w:hAnsi="宋体"/>
        </w:rPr>
        <w:t>—— 纵火；</w:t>
      </w:r>
    </w:p>
    <w:p w14:paraId="3CDA7FA9">
      <w:pPr>
        <w:ind w:firstLine="420"/>
        <w:rPr>
          <w:rFonts w:hint="eastAsia" w:ascii="宋体" w:hAnsi="宋体"/>
        </w:rPr>
      </w:pPr>
      <w:r>
        <w:rPr>
          <w:rFonts w:hint="eastAsia" w:ascii="宋体" w:hAnsi="宋体"/>
        </w:rPr>
        <w:t>—— 破坏；</w:t>
      </w:r>
    </w:p>
    <w:p w14:paraId="2560522F">
      <w:pPr>
        <w:ind w:firstLine="420"/>
      </w:pPr>
      <w:r>
        <w:rPr>
          <w:rFonts w:hint="eastAsia" w:ascii="宋体" w:hAnsi="宋体"/>
        </w:rPr>
        <w:t>—— 其它需要防范的风险。</w:t>
      </w:r>
    </w:p>
    <w:p w14:paraId="7B3D9C1A">
      <w:pPr>
        <w:pStyle w:val="53"/>
        <w:numPr>
          <w:ilvl w:val="0"/>
          <w:numId w:val="1"/>
        </w:numPr>
        <w:spacing w:before="312" w:after="312"/>
        <w:ind w:firstLineChars="0"/>
        <w:rPr>
          <w:rFonts w:hint="eastAsia"/>
        </w:rPr>
      </w:pPr>
      <w:r>
        <w:rPr>
          <w:rFonts w:hint="eastAsia"/>
        </w:rPr>
        <w:t>风险评估</w:t>
      </w:r>
    </w:p>
    <w:p w14:paraId="15FF7254">
      <w:pPr>
        <w:pStyle w:val="51"/>
        <w:spacing w:before="312" w:after="312"/>
        <w:rPr>
          <w:rFonts w:hint="eastAsia"/>
        </w:rPr>
      </w:pPr>
      <w:r>
        <w:rPr>
          <w:rFonts w:hint="eastAsia"/>
        </w:rPr>
        <w:t>风险识别</w:t>
      </w:r>
    </w:p>
    <w:p w14:paraId="03D1ADB4">
      <w:pPr>
        <w:pStyle w:val="55"/>
        <w:spacing w:before="156" w:after="156"/>
        <w:rPr>
          <w:rFonts w:hint="eastAsia"/>
          <w:color w:val="auto"/>
        </w:rPr>
      </w:pPr>
      <w:r>
        <w:rPr>
          <w:rFonts w:hint="eastAsia"/>
          <w:color w:val="auto"/>
        </w:rPr>
        <w:t>应组织专业人员进行现场勘察。现场勘察内容和要求应符合</w:t>
      </w:r>
      <w:r>
        <w:rPr>
          <w:color w:val="auto"/>
        </w:rPr>
        <w:t>GB50348</w:t>
      </w:r>
      <w:r>
        <w:rPr>
          <w:rFonts w:hint="eastAsia"/>
          <w:color w:val="auto"/>
        </w:rPr>
        <w:t>。</w:t>
      </w:r>
    </w:p>
    <w:p w14:paraId="1E0173D0">
      <w:pPr>
        <w:pStyle w:val="55"/>
        <w:spacing w:before="156" w:after="156"/>
        <w:rPr>
          <w:rFonts w:hint="eastAsia"/>
        </w:rPr>
      </w:pPr>
      <w:r>
        <w:rPr>
          <w:rFonts w:hint="eastAsia"/>
        </w:rPr>
        <w:t>应识别风险来源，包括自然风险、人为风险、技术风险、管理风险。</w:t>
      </w:r>
    </w:p>
    <w:p w14:paraId="38C4A67D">
      <w:pPr>
        <w:pStyle w:val="55"/>
        <w:spacing w:before="156" w:after="156"/>
        <w:rPr>
          <w:rFonts w:hint="eastAsia"/>
        </w:rPr>
      </w:pPr>
      <w:r>
        <w:rPr>
          <w:rFonts w:hint="eastAsia"/>
        </w:rPr>
        <w:t>应识别风险方式，包括防范对象的人员数量及其个人能力，使用的攻击工具，以及攻击的方法</w:t>
      </w:r>
      <w:r>
        <w:rPr>
          <w:rFonts w:hint="eastAsia" w:ascii="宋体" w:hAnsi="宋体"/>
        </w:rPr>
        <w:t>。</w:t>
      </w:r>
    </w:p>
    <w:p w14:paraId="6B33DE87">
      <w:pPr>
        <w:pStyle w:val="55"/>
        <w:spacing w:before="156" w:after="156"/>
        <w:rPr>
          <w:rFonts w:hint="eastAsia"/>
        </w:rPr>
      </w:pPr>
      <w:r>
        <w:t>应识别可能发生的突发事件的风险类型、风险地点、区域或时间段，事件可能的原因等。</w:t>
      </w:r>
    </w:p>
    <w:p w14:paraId="3FECC812">
      <w:pPr>
        <w:pStyle w:val="55"/>
        <w:spacing w:before="156" w:after="156"/>
        <w:rPr>
          <w:rFonts w:hint="eastAsia"/>
        </w:rPr>
      </w:pPr>
      <w:r>
        <w:rPr>
          <w:rFonts w:hint="eastAsia"/>
        </w:rPr>
        <w:t>可采取历史数据资料分析、场景分析、现场调研检查、资料查阅、交流研讨、系统分析等多种方式进行。</w:t>
      </w:r>
    </w:p>
    <w:p w14:paraId="79C42B15">
      <w:pPr>
        <w:pStyle w:val="55"/>
        <w:spacing w:before="156" w:after="156"/>
        <w:rPr>
          <w:rFonts w:hint="eastAsia"/>
        </w:rPr>
      </w:pPr>
      <w:r>
        <w:rPr>
          <w:rFonts w:hint="eastAsia"/>
        </w:rPr>
        <w:t>应根据风险识别的结果形成风险列表。</w:t>
      </w:r>
    </w:p>
    <w:p w14:paraId="75B5CEF2">
      <w:pPr>
        <w:pStyle w:val="51"/>
        <w:spacing w:before="312" w:after="312"/>
        <w:rPr>
          <w:rFonts w:hint="eastAsia"/>
        </w:rPr>
      </w:pPr>
      <w:r>
        <w:rPr>
          <w:rFonts w:hint="eastAsia"/>
        </w:rPr>
        <w:t>风险分析</w:t>
      </w:r>
    </w:p>
    <w:p w14:paraId="5AD0FFBE">
      <w:pPr>
        <w:pStyle w:val="55"/>
        <w:spacing w:before="156" w:after="156"/>
        <w:rPr>
          <w:rFonts w:hint="eastAsia"/>
          <w:kern w:val="2"/>
        </w:rPr>
      </w:pPr>
      <w:r>
        <w:rPr>
          <w:rFonts w:hint="eastAsia"/>
          <w:kern w:val="2"/>
        </w:rPr>
        <w:t>应对识别出的各种风险发生的可能性和造成后果的严重性进行分析。</w:t>
      </w:r>
    </w:p>
    <w:p w14:paraId="1EEFF02C">
      <w:pPr>
        <w:pStyle w:val="55"/>
        <w:spacing w:before="156" w:after="156"/>
        <w:rPr>
          <w:rFonts w:hint="eastAsia"/>
          <w:kern w:val="2"/>
        </w:rPr>
      </w:pPr>
      <w:r>
        <w:rPr>
          <w:rFonts w:hint="eastAsia"/>
          <w:kern w:val="2"/>
        </w:rPr>
        <w:t>应灵活运用定性、半定量、定量或者几种分析方法相结合的方式进行风险分析。</w:t>
      </w:r>
    </w:p>
    <w:p w14:paraId="75DD7AC8">
      <w:pPr>
        <w:pStyle w:val="55"/>
        <w:spacing w:before="156" w:after="156"/>
        <w:rPr>
          <w:rFonts w:hint="eastAsia"/>
        </w:rPr>
      </w:pPr>
      <w:r>
        <w:rPr>
          <w:rFonts w:hint="eastAsia"/>
          <w:kern w:val="2"/>
        </w:rPr>
        <w:t>采用定性分析法时，应对收集的材料进行专业分析，形成定性结果意见。</w:t>
      </w:r>
    </w:p>
    <w:p w14:paraId="4CBC50B4">
      <w:pPr>
        <w:pStyle w:val="55"/>
        <w:spacing w:before="156" w:after="156"/>
        <w:rPr>
          <w:rFonts w:hint="eastAsia"/>
        </w:rPr>
      </w:pPr>
      <w:r>
        <w:rPr>
          <w:rFonts w:hint="eastAsia"/>
          <w:kern w:val="2"/>
        </w:rPr>
        <w:t>采用半定量、定量分析法时，应对收集的数量进行专业分析，形成定量结果意见</w:t>
      </w:r>
    </w:p>
    <w:p w14:paraId="6F70E194">
      <w:pPr>
        <w:pStyle w:val="51"/>
        <w:spacing w:before="312" w:after="312"/>
        <w:rPr>
          <w:rFonts w:hint="eastAsia"/>
        </w:rPr>
      </w:pPr>
      <w:r>
        <w:rPr>
          <w:rFonts w:hint="eastAsia"/>
        </w:rPr>
        <w:t>风险评价</w:t>
      </w:r>
    </w:p>
    <w:p w14:paraId="588AE2F3">
      <w:pPr>
        <w:pStyle w:val="55"/>
        <w:spacing w:before="156" w:after="156"/>
        <w:rPr>
          <w:rFonts w:hint="eastAsia"/>
          <w:kern w:val="2"/>
        </w:rPr>
      </w:pPr>
      <w:r>
        <w:rPr>
          <w:rFonts w:hint="eastAsia"/>
          <w:kern w:val="2"/>
        </w:rPr>
        <w:t>应根据法律、政策、标准和专家经验等预先设定风险准则。风险准则包括风险严重性指标和风险可能性指标。风险后果严重性可分为：很小、小、一般、严重、非常严重五个等级。风险发生可能性可分为：几乎不可能、很小、偶尔、很可能、经常五个等级。</w:t>
      </w:r>
    </w:p>
    <w:p w14:paraId="63316B9A">
      <w:pPr>
        <w:pStyle w:val="55"/>
        <w:spacing w:before="156" w:after="156"/>
        <w:rPr>
          <w:rFonts w:hint="eastAsia"/>
          <w:kern w:val="2"/>
        </w:rPr>
      </w:pPr>
      <w:r>
        <w:rPr>
          <w:rFonts w:hint="eastAsia"/>
          <w:kern w:val="2"/>
        </w:rPr>
        <w:t>应将风险分析结果与既定的风险准则进行比较，确定各种风险的等级。风险等级一般按严重程度由高到低分为五级，分别为“很高”高”“中”“低”和“很低”，分别以I级 （红色）、II级（橙色）、III级（黄色）、IV级（蓝色）、Ⅴ（绿色）表示。</w:t>
      </w:r>
    </w:p>
    <w:p w14:paraId="79F9DF4A">
      <w:pPr>
        <w:pStyle w:val="55"/>
        <w:spacing w:before="156" w:after="156"/>
        <w:rPr>
          <w:rFonts w:hint="eastAsia"/>
        </w:rPr>
      </w:pPr>
      <w:r>
        <w:rPr>
          <w:rFonts w:hint="eastAsia"/>
          <w:kern w:val="2"/>
        </w:rPr>
        <w:t>根据</w:t>
      </w:r>
      <w:r>
        <w:rPr>
          <w:rFonts w:hint="eastAsia"/>
          <w:kern w:val="2"/>
          <w:lang w:eastAsia="zh-CN"/>
        </w:rPr>
        <w:t>法律法规</w:t>
      </w:r>
      <w:r>
        <w:rPr>
          <w:rFonts w:hint="eastAsia"/>
          <w:kern w:val="2"/>
        </w:rPr>
        <w:t>，行业或地区的风险管理已明确风险等级的，风险等级按其规定确定。</w:t>
      </w:r>
    </w:p>
    <w:p w14:paraId="01F80CC1">
      <w:pPr>
        <w:pStyle w:val="51"/>
        <w:spacing w:before="312" w:after="312"/>
        <w:rPr>
          <w:rFonts w:hint="eastAsia"/>
        </w:rPr>
      </w:pPr>
      <w:r>
        <w:rPr>
          <w:rFonts w:hint="eastAsia"/>
        </w:rPr>
        <w:t>风险确认</w:t>
      </w:r>
    </w:p>
    <w:p w14:paraId="240DE6C3">
      <w:pPr>
        <w:pStyle w:val="55"/>
        <w:spacing w:before="156" w:after="156"/>
        <w:rPr>
          <w:rFonts w:hint="eastAsia"/>
        </w:rPr>
      </w:pPr>
      <w:r>
        <w:rPr>
          <w:rFonts w:hint="eastAsia"/>
          <w:kern w:val="2"/>
        </w:rPr>
        <w:t>应根据</w:t>
      </w:r>
      <w:r>
        <w:rPr>
          <w:rFonts w:hint="eastAsia"/>
          <w:kern w:val="2"/>
          <w:lang w:val="en-US" w:eastAsia="zh-CN"/>
        </w:rPr>
        <w:t>安全防范</w:t>
      </w:r>
      <w:r>
        <w:rPr>
          <w:rFonts w:hint="eastAsia"/>
          <w:kern w:val="2"/>
        </w:rPr>
        <w:t>需求和标准规范要求对风险进行确认。</w:t>
      </w:r>
    </w:p>
    <w:p w14:paraId="0730CD2F">
      <w:pPr>
        <w:pStyle w:val="55"/>
        <w:spacing w:before="156" w:after="156"/>
        <w:rPr>
          <w:color w:val="auto"/>
        </w:rPr>
      </w:pPr>
      <w:r>
        <w:rPr>
          <w:rFonts w:hint="eastAsia"/>
          <w:color w:val="auto"/>
          <w:kern w:val="2"/>
        </w:rPr>
        <w:t>风险确认</w:t>
      </w:r>
      <w:r>
        <w:rPr>
          <w:rFonts w:hint="eastAsia"/>
          <w:color w:val="auto"/>
          <w:kern w:val="2"/>
          <w:lang w:val="en-US" w:eastAsia="zh-CN"/>
        </w:rPr>
        <w:t>结果</w:t>
      </w:r>
      <w:r>
        <w:rPr>
          <w:rFonts w:hint="eastAsia"/>
          <w:color w:val="auto"/>
          <w:kern w:val="2"/>
        </w:rPr>
        <w:t>为“不可接受风险”</w:t>
      </w:r>
      <w:r>
        <w:rPr>
          <w:rFonts w:hint="eastAsia"/>
          <w:color w:val="auto"/>
          <w:kern w:val="2"/>
          <w:lang w:val="en-US" w:eastAsia="zh-CN"/>
        </w:rPr>
        <w:t>和</w:t>
      </w:r>
      <w:r>
        <w:rPr>
          <w:rFonts w:hint="eastAsia"/>
          <w:color w:val="auto"/>
          <w:kern w:val="2"/>
        </w:rPr>
        <w:t>“可接受风险”</w:t>
      </w:r>
      <w:r>
        <w:rPr>
          <w:rFonts w:hint="eastAsia"/>
          <w:color w:val="auto"/>
        </w:rPr>
        <w:t>。</w:t>
      </w:r>
    </w:p>
    <w:p w14:paraId="6AF19CB9">
      <w:pPr>
        <w:pStyle w:val="55"/>
        <w:numPr>
          <w:ilvl w:val="2"/>
          <w:numId w:val="0"/>
        </w:numPr>
        <w:spacing w:before="156" w:after="156"/>
        <w:ind w:leftChars="0"/>
        <w:rPr>
          <w:color w:val="auto"/>
        </w:rPr>
      </w:pPr>
      <w:r>
        <w:rPr>
          <w:rFonts w:hint="eastAsia"/>
          <w:color w:val="auto"/>
          <w:lang w:val="en-US" w:eastAsia="zh-CN"/>
        </w:rPr>
        <w:t>7.5  风险评估输出结果为</w:t>
      </w:r>
      <w:r>
        <w:rPr>
          <w:rFonts w:hint="eastAsia"/>
          <w:color w:val="auto"/>
        </w:rPr>
        <w:t>风险评估报告</w:t>
      </w:r>
      <w:r>
        <w:rPr>
          <w:rFonts w:hint="eastAsia"/>
          <w:color w:val="auto"/>
          <w:lang w:eastAsia="zh-CN"/>
        </w:rPr>
        <w:t>。</w:t>
      </w:r>
      <w:r>
        <w:rPr>
          <w:rFonts w:hint="eastAsia"/>
          <w:color w:val="auto"/>
          <w:lang w:val="en-US" w:eastAsia="zh-CN"/>
        </w:rPr>
        <w:t>风险评估报告内容包括</w:t>
      </w:r>
      <w:r>
        <w:rPr>
          <w:rFonts w:hint="eastAsia"/>
          <w:color w:val="auto"/>
        </w:rPr>
        <w:t>编制依据、目的与适用范围、风险评估过程、风险等级分析</w:t>
      </w:r>
      <w:r>
        <w:rPr>
          <w:rFonts w:hint="eastAsia"/>
          <w:color w:val="auto"/>
          <w:lang w:eastAsia="zh-CN"/>
        </w:rPr>
        <w:t>、</w:t>
      </w:r>
      <w:r>
        <w:rPr>
          <w:rFonts w:hint="eastAsia"/>
          <w:color w:val="auto"/>
          <w:lang w:val="en-US" w:eastAsia="zh-CN"/>
        </w:rPr>
        <w:t>评估</w:t>
      </w:r>
      <w:r>
        <w:rPr>
          <w:rFonts w:hint="eastAsia"/>
          <w:color w:val="auto"/>
        </w:rPr>
        <w:t>结论</w:t>
      </w:r>
      <w:r>
        <w:rPr>
          <w:rFonts w:hint="eastAsia"/>
          <w:color w:val="auto"/>
          <w:lang w:val="en-US" w:eastAsia="zh-CN"/>
        </w:rPr>
        <w:t>及</w:t>
      </w:r>
      <w:r>
        <w:rPr>
          <w:rFonts w:hint="eastAsia"/>
          <w:color w:val="auto"/>
        </w:rPr>
        <w:t>风险应对措施和改进建议，并附必要资料。</w:t>
      </w:r>
    </w:p>
    <w:p w14:paraId="69D5DD72">
      <w:pPr>
        <w:pStyle w:val="53"/>
        <w:numPr>
          <w:ilvl w:val="0"/>
          <w:numId w:val="1"/>
        </w:numPr>
        <w:spacing w:before="312" w:after="312"/>
        <w:ind w:firstLineChars="0"/>
        <w:rPr>
          <w:rFonts w:hint="eastAsia"/>
        </w:rPr>
      </w:pPr>
      <w:r>
        <w:rPr>
          <w:rFonts w:hint="eastAsia"/>
        </w:rPr>
        <w:t>风险应对</w:t>
      </w:r>
    </w:p>
    <w:p w14:paraId="4C9D4A03">
      <w:pPr>
        <w:pStyle w:val="51"/>
        <w:spacing w:before="312" w:after="312"/>
        <w:rPr>
          <w:rFonts w:hint="eastAsia"/>
        </w:rPr>
      </w:pPr>
      <w:r>
        <w:rPr>
          <w:rFonts w:hint="eastAsia"/>
        </w:rPr>
        <w:t>风险沟通</w:t>
      </w:r>
    </w:p>
    <w:p w14:paraId="492D28A2">
      <w:pPr>
        <w:pStyle w:val="55"/>
        <w:spacing w:before="156" w:after="156"/>
        <w:rPr>
          <w:rFonts w:hint="eastAsia"/>
          <w:kern w:val="2"/>
        </w:rPr>
      </w:pPr>
      <w:r>
        <w:rPr>
          <w:rFonts w:hint="eastAsia"/>
          <w:kern w:val="2"/>
        </w:rPr>
        <w:t>应及时了解风险相关信息，与相关方进行沟通。沟通的形式包括召开会议、编制简报、电话、通知等。</w:t>
      </w:r>
    </w:p>
    <w:p w14:paraId="647CBCFF">
      <w:pPr>
        <w:pStyle w:val="55"/>
        <w:spacing w:before="156" w:after="156"/>
        <w:rPr>
          <w:rFonts w:hint="eastAsia"/>
        </w:rPr>
      </w:pPr>
      <w:r>
        <w:rPr>
          <w:rFonts w:hint="eastAsia"/>
          <w:kern w:val="2"/>
        </w:rPr>
        <w:t>宜搭建跨部门、跨区域的风险信息共享平台，确保风险信息的及时传递和反馈。</w:t>
      </w:r>
    </w:p>
    <w:p w14:paraId="51D8C537">
      <w:pPr>
        <w:pStyle w:val="51"/>
        <w:spacing w:before="312" w:after="312"/>
        <w:rPr>
          <w:rFonts w:hint="eastAsia"/>
        </w:rPr>
      </w:pPr>
      <w:r>
        <w:rPr>
          <w:rFonts w:hint="eastAsia"/>
        </w:rPr>
        <w:t>风险更新</w:t>
      </w:r>
    </w:p>
    <w:p w14:paraId="2DA676F4">
      <w:pPr>
        <w:pStyle w:val="55"/>
        <w:spacing w:before="156" w:after="156"/>
        <w:rPr>
          <w:rFonts w:hint="eastAsia" w:ascii="宋体" w:hAnsi="宋体"/>
        </w:rPr>
      </w:pPr>
      <w:r>
        <w:rPr>
          <w:rFonts w:hint="eastAsia"/>
          <w:kern w:val="2"/>
        </w:rPr>
        <w:t>应建立风险更新机制，及时识别新出现的风险因素，并对已有风险信息进行修订</w:t>
      </w:r>
      <w:r>
        <w:rPr>
          <w:rFonts w:hint="eastAsia" w:ascii="宋体" w:hAnsi="宋体"/>
        </w:rPr>
        <w:t>。</w:t>
      </w:r>
    </w:p>
    <w:p w14:paraId="7BF1B6BD">
      <w:pPr>
        <w:pStyle w:val="55"/>
        <w:spacing w:before="156" w:after="156"/>
        <w:rPr>
          <w:rFonts w:hint="eastAsia"/>
          <w:kern w:val="2"/>
        </w:rPr>
      </w:pPr>
      <w:r>
        <w:rPr>
          <w:rFonts w:hint="eastAsia"/>
          <w:kern w:val="2"/>
        </w:rPr>
        <w:t>出现以下情况时，应根据情况特点开展全部类别或部分类别的风险更新：</w:t>
      </w:r>
    </w:p>
    <w:p w14:paraId="02FC72E4">
      <w:pPr>
        <w:ind w:firstLine="420"/>
        <w:rPr>
          <w:rFonts w:hint="eastAsia" w:ascii="宋体" w:hAnsi="宋体"/>
        </w:rPr>
      </w:pPr>
      <w:bookmarkStart w:id="40" w:name="OLE_LINK3"/>
      <w:r>
        <w:rPr>
          <w:rFonts w:hint="eastAsia" w:ascii="宋体" w:hAnsi="宋体"/>
        </w:rPr>
        <w:t>——</w:t>
      </w:r>
      <w:bookmarkEnd w:id="40"/>
      <w:r>
        <w:rPr>
          <w:rFonts w:hint="eastAsia" w:ascii="宋体" w:hAnsi="宋体"/>
        </w:rPr>
        <w:t xml:space="preserve"> 相关法律法规、应急预案、标准规范发生变更，可能影响风险管理要求；</w:t>
      </w:r>
    </w:p>
    <w:p w14:paraId="29D03C9E">
      <w:pPr>
        <w:ind w:firstLine="420"/>
        <w:rPr>
          <w:rFonts w:hint="eastAsia" w:ascii="宋体" w:hAnsi="宋体"/>
        </w:rPr>
      </w:pPr>
      <w:r>
        <w:rPr>
          <w:rFonts w:hint="eastAsia" w:ascii="宋体" w:hAnsi="宋体"/>
        </w:rPr>
        <w:t>—— 组织机构发生重大调整，影响风险管理范围；</w:t>
      </w:r>
    </w:p>
    <w:p w14:paraId="34B23E30">
      <w:pPr>
        <w:ind w:firstLine="420"/>
        <w:rPr>
          <w:rFonts w:hint="eastAsia" w:ascii="宋体" w:hAnsi="宋体"/>
        </w:rPr>
      </w:pPr>
      <w:r>
        <w:rPr>
          <w:rFonts w:hint="eastAsia" w:ascii="宋体" w:hAnsi="宋体"/>
        </w:rPr>
        <w:t>—— 安全防范发生具备新的风险特征的突发事件；</w:t>
      </w:r>
    </w:p>
    <w:p w14:paraId="26ACA60D">
      <w:pPr>
        <w:ind w:firstLine="420"/>
        <w:rPr>
          <w:rFonts w:ascii="宋体" w:hAnsi="宋体"/>
        </w:rPr>
      </w:pPr>
      <w:r>
        <w:rPr>
          <w:rFonts w:hint="eastAsia" w:ascii="宋体" w:hAnsi="宋体"/>
        </w:rPr>
        <w:t>—— 其他地区发生重大突发事件，该事件与本安全防范的风险源具备相似风险因素；</w:t>
      </w:r>
    </w:p>
    <w:p w14:paraId="662E3FF0">
      <w:pPr>
        <w:ind w:firstLine="420"/>
        <w:rPr>
          <w:rFonts w:hint="eastAsia" w:ascii="宋体" w:hAnsi="宋体"/>
        </w:rPr>
      </w:pPr>
      <w:r>
        <w:rPr>
          <w:rFonts w:hint="eastAsia" w:ascii="宋体" w:hAnsi="宋体"/>
        </w:rPr>
        <w:t xml:space="preserve">—— </w:t>
      </w:r>
      <w:bookmarkStart w:id="42" w:name="_GoBack"/>
      <w:r>
        <w:rPr>
          <w:rFonts w:hint="eastAsia" w:ascii="宋体" w:hAnsi="宋体"/>
        </w:rPr>
        <w:t>其它可能</w:t>
      </w:r>
      <w:bookmarkEnd w:id="42"/>
      <w:r>
        <w:rPr>
          <w:rFonts w:hint="eastAsia" w:ascii="宋体" w:hAnsi="宋体"/>
        </w:rPr>
        <w:t>导致风险发生变化的情况</w:t>
      </w:r>
      <w:r>
        <w:rPr>
          <w:rFonts w:hint="eastAsia"/>
        </w:rPr>
        <w:t>。</w:t>
      </w:r>
    </w:p>
    <w:p w14:paraId="1757B71A">
      <w:pPr>
        <w:pStyle w:val="51"/>
        <w:spacing w:before="312" w:after="312"/>
        <w:rPr>
          <w:rFonts w:hint="eastAsia"/>
        </w:rPr>
      </w:pPr>
      <w:r>
        <w:rPr>
          <w:rFonts w:hint="eastAsia"/>
        </w:rPr>
        <w:t>风险防范</w:t>
      </w:r>
      <w:bookmarkStart w:id="41" w:name="OLE_LINK14"/>
    </w:p>
    <w:p w14:paraId="5BE904FB">
      <w:pPr>
        <w:pStyle w:val="55"/>
        <w:spacing w:before="156" w:after="156"/>
        <w:rPr>
          <w:rFonts w:hint="eastAsia"/>
          <w:color w:val="auto"/>
          <w:kern w:val="2"/>
        </w:rPr>
      </w:pPr>
      <w:r>
        <w:rPr>
          <w:rFonts w:hint="eastAsia"/>
          <w:color w:val="auto"/>
          <w:kern w:val="2"/>
        </w:rPr>
        <w:t xml:space="preserve"> </w:t>
      </w:r>
      <w:r>
        <w:rPr>
          <w:rFonts w:hint="eastAsia"/>
          <w:color w:val="auto"/>
          <w:kern w:val="2"/>
          <w:lang w:val="en-US" w:eastAsia="zh-CN"/>
        </w:rPr>
        <w:t>应根据风险确认结果</w:t>
      </w:r>
      <w:r>
        <w:rPr>
          <w:rFonts w:hint="eastAsia"/>
          <w:color w:val="auto"/>
          <w:kern w:val="2"/>
        </w:rPr>
        <w:t>,统筹考虑人力防范、实体防护和电子防护能力，制定风险</w:t>
      </w:r>
      <w:r>
        <w:rPr>
          <w:rFonts w:hint="eastAsia"/>
          <w:color w:val="auto"/>
          <w:kern w:val="2"/>
          <w:lang w:val="en-US" w:eastAsia="zh-CN"/>
        </w:rPr>
        <w:t>防范</w:t>
      </w:r>
      <w:r>
        <w:rPr>
          <w:rFonts w:hint="eastAsia"/>
          <w:color w:val="auto"/>
          <w:kern w:val="2"/>
        </w:rPr>
        <w:t>方案。</w:t>
      </w:r>
      <w:r>
        <w:rPr>
          <w:rFonts w:hint="eastAsia"/>
          <w:color w:val="auto"/>
          <w:kern w:val="2"/>
          <w:lang w:val="en-US" w:eastAsia="zh-CN"/>
        </w:rPr>
        <w:t xml:space="preserve">风险防范方案应符合 </w:t>
      </w:r>
      <w:r>
        <w:rPr>
          <w:rFonts w:hint="eastAsia"/>
          <w:color w:val="auto"/>
          <w:kern w:val="2"/>
        </w:rPr>
        <w:t>GB 50348、GB 55029、GB/T 16571、GA 38等标准要求，</w:t>
      </w:r>
    </w:p>
    <w:p w14:paraId="04007924">
      <w:pPr>
        <w:pStyle w:val="55"/>
        <w:spacing w:before="156" w:after="156"/>
        <w:rPr>
          <w:rFonts w:hint="eastAsia"/>
        </w:rPr>
      </w:pPr>
      <w:r>
        <w:rPr>
          <w:rFonts w:hint="eastAsia"/>
          <w:lang w:val="en-US" w:eastAsia="zh-CN"/>
        </w:rPr>
        <w:t>应组织专家组对</w:t>
      </w:r>
      <w:r>
        <w:rPr>
          <w:rFonts w:hint="eastAsia"/>
        </w:rPr>
        <w:t>风险</w:t>
      </w:r>
      <w:r>
        <w:rPr>
          <w:rFonts w:hint="eastAsia"/>
          <w:lang w:val="en-US" w:eastAsia="zh-CN"/>
        </w:rPr>
        <w:t>防范</w:t>
      </w:r>
      <w:r>
        <w:rPr>
          <w:rFonts w:hint="eastAsia"/>
        </w:rPr>
        <w:t>方案</w:t>
      </w:r>
      <w:r>
        <w:rPr>
          <w:rFonts w:hint="eastAsia"/>
          <w:lang w:val="en-US" w:eastAsia="zh-CN"/>
        </w:rPr>
        <w:t>进行论证。专家组应由</w:t>
      </w:r>
      <w:r>
        <w:rPr>
          <w:rFonts w:hint="eastAsia"/>
        </w:rPr>
        <w:t>安全管理人员、</w:t>
      </w:r>
      <w:r>
        <w:rPr>
          <w:rFonts w:hint="eastAsia"/>
          <w:lang w:val="en-US" w:eastAsia="zh-CN"/>
        </w:rPr>
        <w:t>专业</w:t>
      </w:r>
      <w:r>
        <w:rPr>
          <w:rFonts w:hint="eastAsia"/>
        </w:rPr>
        <w:t>技术人员</w:t>
      </w:r>
      <w:r>
        <w:rPr>
          <w:rFonts w:hint="eastAsia"/>
          <w:lang w:val="en-US" w:eastAsia="zh-CN"/>
        </w:rPr>
        <w:t>组成</w:t>
      </w:r>
      <w:r>
        <w:rPr>
          <w:rFonts w:hint="eastAsia"/>
        </w:rPr>
        <w:t>，评审人数</w:t>
      </w:r>
      <w:r>
        <w:rPr>
          <w:rFonts w:hint="eastAsia"/>
          <w:lang w:val="en-US" w:eastAsia="zh-CN"/>
        </w:rPr>
        <w:t>为</w:t>
      </w:r>
      <w:r>
        <w:rPr>
          <w:rFonts w:hint="eastAsia"/>
        </w:rPr>
        <w:t>5-7人</w:t>
      </w:r>
      <w:r>
        <w:rPr>
          <w:rFonts w:hint="eastAsia"/>
          <w:lang w:val="en-US" w:eastAsia="zh-CN"/>
        </w:rPr>
        <w:t>单数</w:t>
      </w:r>
      <w:r>
        <w:rPr>
          <w:rFonts w:hint="eastAsia"/>
        </w:rPr>
        <w:t>，其中专业技术人员应超过 1/2。</w:t>
      </w:r>
    </w:p>
    <w:p w14:paraId="2C8A3D8C">
      <w:pPr>
        <w:pStyle w:val="55"/>
        <w:spacing w:before="156" w:after="156"/>
        <w:rPr>
          <w:rFonts w:hint="eastAsia"/>
          <w:color w:val="auto"/>
          <w:kern w:val="2"/>
        </w:rPr>
      </w:pPr>
      <w:r>
        <w:rPr>
          <w:rFonts w:hint="eastAsia"/>
          <w:color w:val="auto"/>
          <w:lang w:val="en-US" w:eastAsia="zh-CN"/>
        </w:rPr>
        <w:t>风险防范方案通过评审后才能实施。</w:t>
      </w:r>
    </w:p>
    <w:p w14:paraId="2B7257C9">
      <w:pPr>
        <w:pStyle w:val="55"/>
        <w:spacing w:before="156" w:after="156"/>
        <w:rPr>
          <w:rFonts w:hint="eastAsia"/>
          <w:color w:val="auto"/>
          <w:kern w:val="2"/>
        </w:rPr>
      </w:pPr>
      <w:r>
        <w:rPr>
          <w:rFonts w:hint="eastAsia"/>
          <w:color w:val="auto"/>
          <w:lang w:val="en-US" w:eastAsia="zh-CN"/>
        </w:rPr>
        <w:t>应组成专家组对风险防范方案实施情况进行验收，并符合</w:t>
      </w:r>
      <w:r>
        <w:rPr>
          <w:rFonts w:hint="eastAsia"/>
          <w:color w:val="auto"/>
        </w:rPr>
        <w:t>GB 55029、GB 50348等</w:t>
      </w:r>
      <w:r>
        <w:rPr>
          <w:rFonts w:hint="eastAsia"/>
          <w:color w:val="auto"/>
          <w:lang w:val="en-US" w:eastAsia="zh-CN"/>
        </w:rPr>
        <w:t>要求</w:t>
      </w:r>
      <w:r>
        <w:rPr>
          <w:color w:val="auto"/>
        </w:rPr>
        <w:t>。</w:t>
      </w:r>
    </w:p>
    <w:p w14:paraId="0BB54AD4">
      <w:pPr>
        <w:pStyle w:val="55"/>
        <w:spacing w:before="156" w:after="156"/>
        <w:rPr>
          <w:rFonts w:hint="eastAsia"/>
          <w:color w:val="auto"/>
          <w:kern w:val="2"/>
        </w:rPr>
      </w:pPr>
      <w:r>
        <w:rPr>
          <w:rFonts w:hint="eastAsia"/>
          <w:color w:val="auto"/>
          <w:lang w:val="en-US" w:eastAsia="zh-CN"/>
        </w:rPr>
        <w:t>应形成风险防范实施情况</w:t>
      </w:r>
      <w:r>
        <w:rPr>
          <w:rFonts w:hint="eastAsia"/>
          <w:color w:val="auto"/>
        </w:rPr>
        <w:t>资料</w:t>
      </w:r>
      <w:r>
        <w:rPr>
          <w:rFonts w:hint="eastAsia"/>
          <w:color w:val="auto"/>
          <w:lang w:eastAsia="zh-CN"/>
        </w:rPr>
        <w:t>，</w:t>
      </w:r>
      <w:r>
        <w:rPr>
          <w:rFonts w:hint="eastAsia"/>
          <w:color w:val="auto"/>
        </w:rPr>
        <w:t>存档并向上级安全管理部门报备。</w:t>
      </w:r>
    </w:p>
    <w:bookmarkEnd w:id="41"/>
    <w:p w14:paraId="6C591356">
      <w:pPr>
        <w:pStyle w:val="53"/>
        <w:numPr>
          <w:ilvl w:val="0"/>
          <w:numId w:val="1"/>
        </w:numPr>
        <w:spacing w:before="312" w:after="312"/>
        <w:ind w:firstLineChars="0"/>
        <w:rPr>
          <w:rFonts w:hint="eastAsia"/>
        </w:rPr>
      </w:pPr>
      <w:r>
        <w:rPr>
          <w:rFonts w:hint="eastAsia"/>
        </w:rPr>
        <w:t>监督检查</w:t>
      </w:r>
    </w:p>
    <w:p w14:paraId="040715F8">
      <w:pPr>
        <w:pStyle w:val="55"/>
        <w:numPr>
          <w:ilvl w:val="2"/>
          <w:numId w:val="0"/>
        </w:numPr>
        <w:spacing w:before="156" w:after="156"/>
        <w:ind w:leftChars="0"/>
        <w:rPr>
          <w:rFonts w:ascii="宋体" w:hAnsi="宋体" w:eastAsia="宋体" w:cs="Times New Roman"/>
          <w:color w:val="auto"/>
          <w:kern w:val="2"/>
        </w:rPr>
      </w:pPr>
      <w:r>
        <w:rPr>
          <w:rFonts w:hint="eastAsia" w:ascii="宋体" w:hAnsi="宋体" w:eastAsia="宋体" w:cs="Times New Roman"/>
          <w:color w:val="auto"/>
          <w:kern w:val="2"/>
          <w:lang w:val="en-US" w:eastAsia="zh-CN"/>
        </w:rPr>
        <w:t xml:space="preserve">9.1  </w:t>
      </w:r>
      <w:r>
        <w:rPr>
          <w:rFonts w:hint="eastAsia" w:ascii="宋体" w:hAnsi="宋体" w:eastAsia="宋体" w:cs="Times New Roman"/>
          <w:color w:val="auto"/>
          <w:kern w:val="2"/>
        </w:rPr>
        <w:t>应每</w:t>
      </w:r>
      <w:r>
        <w:rPr>
          <w:rFonts w:hint="eastAsia" w:ascii="宋体" w:hAnsi="宋体" w:eastAsia="宋体" w:cs="Times New Roman"/>
          <w:color w:val="auto"/>
          <w:kern w:val="2"/>
          <w:lang w:val="en-US" w:eastAsia="zh-CN"/>
        </w:rPr>
        <w:t>半</w:t>
      </w:r>
      <w:r>
        <w:rPr>
          <w:rFonts w:hint="eastAsia" w:ascii="宋体" w:hAnsi="宋体" w:eastAsia="宋体" w:cs="Times New Roman"/>
          <w:color w:val="auto"/>
          <w:kern w:val="2"/>
        </w:rPr>
        <w:t>年</w:t>
      </w:r>
      <w:r>
        <w:rPr>
          <w:rFonts w:hint="eastAsia" w:ascii="宋体" w:hAnsi="宋体" w:eastAsia="宋体" w:cs="Times New Roman"/>
          <w:color w:val="auto"/>
          <w:kern w:val="2"/>
          <w:lang w:val="en-US" w:eastAsia="zh-CN"/>
        </w:rPr>
        <w:t>开展</w:t>
      </w:r>
      <w:r>
        <w:rPr>
          <w:rFonts w:hint="eastAsia" w:ascii="宋体" w:hAnsi="宋体" w:eastAsia="宋体" w:cs="Times New Roman"/>
          <w:color w:val="auto"/>
          <w:kern w:val="2"/>
        </w:rPr>
        <w:t>1次安全防范风险管理</w:t>
      </w:r>
      <w:r>
        <w:rPr>
          <w:rFonts w:hint="eastAsia" w:ascii="宋体" w:hAnsi="宋体" w:eastAsia="宋体" w:cs="Times New Roman"/>
          <w:color w:val="auto"/>
          <w:kern w:val="2"/>
          <w:lang w:val="en-US" w:eastAsia="zh-CN"/>
        </w:rPr>
        <w:t>监督检查</w:t>
      </w:r>
      <w:r>
        <w:rPr>
          <w:rFonts w:hint="eastAsia" w:ascii="宋体" w:hAnsi="宋体" w:eastAsia="宋体" w:cs="Times New Roman"/>
          <w:color w:val="auto"/>
          <w:kern w:val="2"/>
        </w:rPr>
        <w:t>。特殊情况下，按要求开展</w:t>
      </w:r>
      <w:r>
        <w:rPr>
          <w:rFonts w:hint="eastAsia" w:ascii="宋体" w:hAnsi="宋体" w:eastAsia="宋体" w:cs="Times New Roman"/>
          <w:color w:val="auto"/>
          <w:kern w:val="2"/>
          <w:lang w:val="en-US" w:eastAsia="zh-CN"/>
        </w:rPr>
        <w:t>监督检查</w:t>
      </w:r>
      <w:r>
        <w:rPr>
          <w:rFonts w:hint="eastAsia" w:ascii="宋体" w:hAnsi="宋体" w:eastAsia="宋体" w:cs="Times New Roman"/>
          <w:color w:val="auto"/>
          <w:kern w:val="2"/>
        </w:rPr>
        <w:t>。</w:t>
      </w:r>
    </w:p>
    <w:p w14:paraId="390C651F">
      <w:pPr>
        <w:pStyle w:val="55"/>
        <w:numPr>
          <w:ilvl w:val="2"/>
          <w:numId w:val="0"/>
        </w:numPr>
        <w:spacing w:before="156" w:after="156"/>
        <w:ind w:leftChars="0"/>
        <w:rPr>
          <w:color w:val="auto"/>
        </w:rPr>
      </w:pPr>
      <w:r>
        <w:rPr>
          <w:rFonts w:hint="eastAsia" w:ascii="宋体" w:hAnsi="宋体" w:eastAsia="宋体" w:cs="Times New Roman"/>
          <w:color w:val="auto"/>
          <w:kern w:val="2"/>
          <w:lang w:val="en-US" w:eastAsia="zh-CN"/>
        </w:rPr>
        <w:t xml:space="preserve">9.2  </w:t>
      </w:r>
      <w:r>
        <w:rPr>
          <w:rFonts w:hint="eastAsia" w:ascii="宋体" w:hAnsi="宋体" w:eastAsia="宋体" w:cs="Times New Roman"/>
          <w:color w:val="auto"/>
          <w:kern w:val="2"/>
        </w:rPr>
        <w:t>应由安全管理人员、</w:t>
      </w:r>
      <w:r>
        <w:rPr>
          <w:rFonts w:hint="eastAsia" w:ascii="宋体" w:hAnsi="宋体" w:eastAsia="宋体" w:cs="Times New Roman"/>
          <w:color w:val="auto"/>
          <w:kern w:val="2"/>
          <w:lang w:val="en-US" w:eastAsia="zh-CN"/>
        </w:rPr>
        <w:t>专业</w:t>
      </w:r>
      <w:r>
        <w:rPr>
          <w:rFonts w:hint="eastAsia" w:ascii="宋体" w:hAnsi="宋体" w:eastAsia="宋体" w:cs="Times New Roman"/>
          <w:color w:val="auto"/>
          <w:kern w:val="2"/>
        </w:rPr>
        <w:t>技术人员</w:t>
      </w:r>
      <w:r>
        <w:rPr>
          <w:rFonts w:hint="eastAsia" w:ascii="宋体" w:hAnsi="宋体" w:eastAsia="宋体" w:cs="Times New Roman"/>
          <w:color w:val="auto"/>
          <w:kern w:val="2"/>
          <w:lang w:val="en-US" w:eastAsia="zh-CN"/>
        </w:rPr>
        <w:t>组成工作组开展监督检查</w:t>
      </w:r>
      <w:r>
        <w:rPr>
          <w:rFonts w:hint="eastAsia" w:ascii="宋体" w:hAnsi="宋体" w:eastAsia="宋体" w:cs="Times New Roman"/>
          <w:color w:val="auto"/>
          <w:kern w:val="2"/>
        </w:rPr>
        <w:t>，其中专业</w:t>
      </w:r>
      <w:r>
        <w:rPr>
          <w:rFonts w:hint="eastAsia" w:ascii="宋体" w:hAnsi="宋体" w:eastAsia="宋体" w:cs="Times New Roman"/>
          <w:color w:val="auto"/>
          <w:kern w:val="2"/>
          <w:lang w:val="en-US" w:eastAsia="zh-CN"/>
        </w:rPr>
        <w:t>技术</w:t>
      </w:r>
      <w:r>
        <w:rPr>
          <w:rFonts w:hint="eastAsia" w:ascii="宋体" w:hAnsi="宋体" w:eastAsia="宋体" w:cs="Times New Roman"/>
          <w:color w:val="auto"/>
          <w:kern w:val="2"/>
        </w:rPr>
        <w:t>人员应超过1/2。</w:t>
      </w:r>
    </w:p>
    <w:p w14:paraId="6ECBC8AC">
      <w:pPr>
        <w:ind w:left="0" w:leftChars="0" w:firstLine="0" w:firstLineChars="0"/>
        <w:rPr>
          <w:rFonts w:hint="eastAsia"/>
          <w:color w:val="auto"/>
        </w:rPr>
      </w:pPr>
      <w:r>
        <w:rPr>
          <w:rFonts w:hint="eastAsia" w:ascii="宋体" w:hAnsi="宋体" w:cs="Times New Roman"/>
          <w:color w:val="auto"/>
          <w:kern w:val="2"/>
          <w:lang w:val="en-US" w:eastAsia="zh-CN"/>
        </w:rPr>
        <w:t xml:space="preserve">9.3  </w:t>
      </w:r>
      <w:r>
        <w:rPr>
          <w:rFonts w:hint="eastAsia" w:ascii="宋体" w:hAnsi="宋体" w:eastAsia="宋体" w:cs="Times New Roman"/>
          <w:color w:val="auto"/>
          <w:kern w:val="2"/>
        </w:rPr>
        <w:t>应</w:t>
      </w:r>
      <w:r>
        <w:rPr>
          <w:rFonts w:hint="eastAsia" w:ascii="宋体" w:hAnsi="宋体" w:eastAsia="宋体" w:cs="Times New Roman"/>
          <w:color w:val="auto"/>
          <w:kern w:val="2"/>
          <w:lang w:val="en-US" w:eastAsia="zh-CN"/>
        </w:rPr>
        <w:t>形成监督检查工作报告</w:t>
      </w:r>
      <w:r>
        <w:rPr>
          <w:rFonts w:hint="eastAsia" w:ascii="宋体" w:hAnsi="宋体" w:eastAsia="宋体" w:cs="Times New Roman"/>
          <w:color w:val="auto"/>
          <w:kern w:val="2"/>
        </w:rPr>
        <w:t>，包括</w:t>
      </w:r>
      <w:r>
        <w:rPr>
          <w:rFonts w:hint="eastAsia" w:ascii="宋体" w:hAnsi="宋体" w:eastAsia="宋体" w:cs="Times New Roman"/>
          <w:color w:val="auto"/>
          <w:kern w:val="2"/>
          <w:lang w:val="en-US" w:eastAsia="zh-CN"/>
        </w:rPr>
        <w:t>监督</w:t>
      </w:r>
      <w:r>
        <w:rPr>
          <w:rFonts w:hint="eastAsia" w:ascii="宋体" w:hAnsi="宋体" w:eastAsia="宋体" w:cs="Times New Roman"/>
          <w:color w:val="auto"/>
          <w:kern w:val="2"/>
        </w:rPr>
        <w:t>检查内容、发现问题、改进措施等</w:t>
      </w:r>
      <w:r>
        <w:rPr>
          <w:rFonts w:hint="eastAsia"/>
          <w:color w:val="auto"/>
        </w:rPr>
        <w:t>。</w:t>
      </w:r>
    </w:p>
    <w:p w14:paraId="0C8D7587">
      <w:pPr>
        <w:ind w:firstLine="420"/>
        <w:rPr>
          <w:rFonts w:hint="eastAsia"/>
          <w:color w:val="FF0000"/>
        </w:rPr>
      </w:pPr>
    </w:p>
    <w:sectPr>
      <w:headerReference r:id="rId7" w:type="first"/>
      <w:footerReference r:id="rId10" w:type="first"/>
      <w:headerReference r:id="rId5" w:type="default"/>
      <w:footerReference r:id="rId8" w:type="default"/>
      <w:headerReference r:id="rId6" w:type="even"/>
      <w:footerReference r:id="rId9" w:type="even"/>
      <w:pgSz w:w="11906" w:h="16838"/>
      <w:pgMar w:top="1134" w:right="1418" w:bottom="1134" w:left="1418"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5D74985-EB12-46C5-B741-AB295F5AA9E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embedRegular r:id="rId2" w:fontKey="{DB99D453-8DA5-4A1E-B40F-0B08ADE38F29}"/>
  </w:font>
  <w:font w:name="方正仿宋_GB2312">
    <w:panose1 w:val="02000000000000000000"/>
    <w:charset w:val="86"/>
    <w:family w:val="auto"/>
    <w:pitch w:val="default"/>
    <w:sig w:usb0="A00002BF" w:usb1="184F6CFA" w:usb2="00000012" w:usb3="00000000" w:csb0="00040001" w:csb1="00000000"/>
    <w:embedRegular r:id="rId3" w:fontKey="{79C09A34-1AC8-455F-993E-C98DECD4836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0309B7">
    <w:pPr>
      <w:pStyle w:val="11"/>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E57A0E">
    <w:pPr>
      <w:pStyle w:val="11"/>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992BA">
    <w:pPr>
      <w:pStyle w:val="11"/>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8BAC41">
    <w:pPr>
      <w:pStyle w:val="1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72B095">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683A04">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9C3C9F"/>
    <w:multiLevelType w:val="multilevel"/>
    <w:tmpl w:val="029C3C9F"/>
    <w:lvl w:ilvl="0" w:tentative="0">
      <w:start w:val="1"/>
      <w:numFmt w:val="decimal"/>
      <w:suff w:val="nothing"/>
      <w:lvlText w:val="%1　"/>
      <w:lvlJc w:val="left"/>
      <w:pPr>
        <w:tabs>
          <w:tab w:val="left" w:pos="0"/>
        </w:tabs>
        <w:ind w:left="0" w:firstLine="0"/>
      </w:pPr>
      <w:rPr>
        <w:rFonts w:hint="eastAsia" w:ascii="黑体" w:hAnsi="Times New Roman" w:eastAsia="黑体"/>
        <w:b w:val="0"/>
        <w:i w:val="0"/>
        <w:sz w:val="21"/>
        <w:szCs w:val="21"/>
      </w:rPr>
    </w:lvl>
    <w:lvl w:ilvl="1" w:tentative="0">
      <w:start w:val="1"/>
      <w:numFmt w:val="decimal"/>
      <w:pStyle w:val="51"/>
      <w:suff w:val="nothing"/>
      <w:lvlText w:val="%1.%2　"/>
      <w:lvlJc w:val="left"/>
      <w:pPr>
        <w:tabs>
          <w:tab w:val="left" w:pos="0"/>
        </w:tabs>
        <w:ind w:left="0" w:firstLine="0"/>
      </w:pPr>
      <w:rPr>
        <w:rFonts w:hint="eastAsia" w:ascii="黑体" w:hAnsi="Times New Roman" w:eastAsia="黑体" w:cs="Times New Roman"/>
        <w:b w:val="0"/>
        <w:bCs w:val="0"/>
        <w:i w:val="0"/>
        <w:iCs w:val="0"/>
        <w:caps w:val="0"/>
        <w:spacing w:val="0"/>
        <w:sz w:val="21"/>
        <w:szCs w:val="21"/>
      </w:rPr>
    </w:lvl>
    <w:lvl w:ilvl="2" w:tentative="0">
      <w:start w:val="1"/>
      <w:numFmt w:val="decimal"/>
      <w:pStyle w:val="55"/>
      <w:suff w:val="nothing"/>
      <w:lvlText w:val="%1.%2.%3　"/>
      <w:lvlJc w:val="left"/>
      <w:pPr>
        <w:tabs>
          <w:tab w:val="left" w:pos="425"/>
        </w:tabs>
        <w:ind w:left="567" w:firstLine="0"/>
      </w:pPr>
      <w:rPr>
        <w:rFonts w:hint="eastAsia" w:ascii="黑体" w:hAnsi="Times New Roman" w:eastAsia="黑体"/>
        <w:b w:val="0"/>
        <w:i w:val="0"/>
        <w:sz w:val="21"/>
        <w:szCs w:val="21"/>
      </w:rPr>
    </w:lvl>
    <w:lvl w:ilvl="3" w:tentative="0">
      <w:start w:val="1"/>
      <w:numFmt w:val="decimal"/>
      <w:suff w:val="nothing"/>
      <w:lvlText w:val="%1.%2.%3.%4　"/>
      <w:lvlJc w:val="left"/>
      <w:pPr>
        <w:tabs>
          <w:tab w:val="left" w:pos="0"/>
        </w:tabs>
        <w:ind w:left="0" w:firstLine="0"/>
      </w:pPr>
      <w:rPr>
        <w:rFonts w:hint="eastAsia" w:ascii="黑体" w:hAnsi="Times New Roman" w:eastAsia="黑体"/>
        <w:b w:val="0"/>
        <w:i w:val="0"/>
        <w:sz w:val="21"/>
        <w:szCs w:val="21"/>
      </w:rPr>
    </w:lvl>
    <w:lvl w:ilvl="4" w:tentative="0">
      <w:start w:val="1"/>
      <w:numFmt w:val="decimal"/>
      <w:suff w:val="nothing"/>
      <w:lvlText w:val="%1.%2.%3.%4.%5　"/>
      <w:lvlJc w:val="left"/>
      <w:pPr>
        <w:tabs>
          <w:tab w:val="left" w:pos="0"/>
        </w:tabs>
        <w:ind w:left="0" w:firstLine="0"/>
      </w:pPr>
      <w:rPr>
        <w:rFonts w:hint="eastAsia" w:ascii="黑体" w:hAnsi="Times New Roman" w:eastAsia="黑体"/>
        <w:b w:val="0"/>
        <w:i w:val="0"/>
        <w:sz w:val="21"/>
        <w:szCs w:val="21"/>
      </w:rPr>
    </w:lvl>
    <w:lvl w:ilvl="5" w:tentative="0">
      <w:start w:val="1"/>
      <w:numFmt w:val="decimal"/>
      <w:suff w:val="nothing"/>
      <w:lvlText w:val="%1.%2.%3.%4.%5.%6　"/>
      <w:lvlJc w:val="left"/>
      <w:pPr>
        <w:tabs>
          <w:tab w:val="left" w:pos="0"/>
        </w:tabs>
        <w:ind w:left="0" w:firstLine="0"/>
      </w:pPr>
      <w:rPr>
        <w:rFonts w:hint="eastAsia" w:ascii="黑体" w:hAnsi="Times New Roman" w:eastAsia="黑体"/>
        <w:b w:val="0"/>
        <w:i w:val="0"/>
        <w:sz w:val="21"/>
        <w:szCs w:val="21"/>
      </w:rPr>
    </w:lvl>
    <w:lvl w:ilvl="6" w:tentative="0">
      <w:start w:val="1"/>
      <w:numFmt w:val="decimal"/>
      <w:suff w:val="nothing"/>
      <w:lvlText w:val="%1%2.%3.%4.%5.%6.%7　"/>
      <w:lvlJc w:val="left"/>
      <w:pPr>
        <w:tabs>
          <w:tab w:val="left" w:pos="0"/>
        </w:tabs>
        <w:ind w:left="0" w:firstLine="0"/>
      </w:pPr>
      <w:rPr>
        <w:rFonts w:hint="eastAsia" w:ascii="黑体" w:hAnsi="Times New Roman" w:eastAsia="黑体"/>
        <w:b w:val="0"/>
        <w:i w:val="0"/>
        <w:sz w:val="21"/>
        <w:szCs w:val="21"/>
      </w:rPr>
    </w:lvl>
    <w:lvl w:ilvl="7" w:tentative="0">
      <w:start w:val="1"/>
      <w:numFmt w:val="decimal"/>
      <w:lvlText w:val="%1.%2.%3.%4.%5.%6.%7.%8"/>
      <w:lvlJc w:val="left"/>
      <w:pPr>
        <w:tabs>
          <w:tab w:val="left" w:pos="4351"/>
        </w:tabs>
        <w:ind w:left="3972" w:hanging="1418"/>
      </w:pPr>
      <w:rPr>
        <w:rFonts w:hint="eastAsia" w:ascii="宋体" w:hAnsi="宋体" w:eastAsia="宋体"/>
      </w:rPr>
    </w:lvl>
    <w:lvl w:ilvl="8" w:tentative="0">
      <w:start w:val="1"/>
      <w:numFmt w:val="decimal"/>
      <w:lvlText w:val="%1.%2.%3.%4.%5.%6.%7.%8.%9"/>
      <w:lvlJc w:val="left"/>
      <w:pPr>
        <w:tabs>
          <w:tab w:val="left" w:pos="4777"/>
        </w:tabs>
        <w:ind w:left="4677" w:hanging="1700"/>
      </w:pPr>
      <w:rPr>
        <w:rFonts w:hint="eastAsia" w:ascii="宋体" w:hAnsi="宋体" w:eastAsia="宋体"/>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4B286E"/>
    <w:rsid w:val="00030ECC"/>
    <w:rsid w:val="00036E44"/>
    <w:rsid w:val="000425E7"/>
    <w:rsid w:val="00073771"/>
    <w:rsid w:val="000A3174"/>
    <w:rsid w:val="000F0956"/>
    <w:rsid w:val="00131B70"/>
    <w:rsid w:val="00132108"/>
    <w:rsid w:val="00147615"/>
    <w:rsid w:val="001C753E"/>
    <w:rsid w:val="001F419F"/>
    <w:rsid w:val="0022019F"/>
    <w:rsid w:val="002349C3"/>
    <w:rsid w:val="002450C2"/>
    <w:rsid w:val="00252EFF"/>
    <w:rsid w:val="002563A1"/>
    <w:rsid w:val="002624CC"/>
    <w:rsid w:val="00262926"/>
    <w:rsid w:val="002638AF"/>
    <w:rsid w:val="00273FF5"/>
    <w:rsid w:val="00283C19"/>
    <w:rsid w:val="0029527B"/>
    <w:rsid w:val="002D4AF3"/>
    <w:rsid w:val="002E59F8"/>
    <w:rsid w:val="002F5FE2"/>
    <w:rsid w:val="003475E4"/>
    <w:rsid w:val="003578B5"/>
    <w:rsid w:val="003A0740"/>
    <w:rsid w:val="003A5370"/>
    <w:rsid w:val="003A5896"/>
    <w:rsid w:val="003D3281"/>
    <w:rsid w:val="003F231B"/>
    <w:rsid w:val="004162C0"/>
    <w:rsid w:val="00423C94"/>
    <w:rsid w:val="0043721E"/>
    <w:rsid w:val="00460C62"/>
    <w:rsid w:val="00485963"/>
    <w:rsid w:val="004B286E"/>
    <w:rsid w:val="004D1745"/>
    <w:rsid w:val="004D3C28"/>
    <w:rsid w:val="004E3F4E"/>
    <w:rsid w:val="005156F4"/>
    <w:rsid w:val="00537B60"/>
    <w:rsid w:val="00563D93"/>
    <w:rsid w:val="005939F2"/>
    <w:rsid w:val="006819CD"/>
    <w:rsid w:val="006C2AF0"/>
    <w:rsid w:val="006D2160"/>
    <w:rsid w:val="006D2DFD"/>
    <w:rsid w:val="006D6540"/>
    <w:rsid w:val="006F7582"/>
    <w:rsid w:val="00775827"/>
    <w:rsid w:val="00792795"/>
    <w:rsid w:val="00794F5E"/>
    <w:rsid w:val="007B1822"/>
    <w:rsid w:val="007B4EEB"/>
    <w:rsid w:val="00856AE7"/>
    <w:rsid w:val="00875EC1"/>
    <w:rsid w:val="008B06F5"/>
    <w:rsid w:val="008C586C"/>
    <w:rsid w:val="008D3C46"/>
    <w:rsid w:val="00926D81"/>
    <w:rsid w:val="00930FB7"/>
    <w:rsid w:val="00936E35"/>
    <w:rsid w:val="00937409"/>
    <w:rsid w:val="00962852"/>
    <w:rsid w:val="009B684D"/>
    <w:rsid w:val="009E0836"/>
    <w:rsid w:val="009E2121"/>
    <w:rsid w:val="00A17F47"/>
    <w:rsid w:val="00A561BC"/>
    <w:rsid w:val="00AF0F8E"/>
    <w:rsid w:val="00AF298D"/>
    <w:rsid w:val="00B33852"/>
    <w:rsid w:val="00B62238"/>
    <w:rsid w:val="00C403E4"/>
    <w:rsid w:val="00C55DE3"/>
    <w:rsid w:val="00CD3DE4"/>
    <w:rsid w:val="00CE3570"/>
    <w:rsid w:val="00D341E1"/>
    <w:rsid w:val="00D3640E"/>
    <w:rsid w:val="00D372EE"/>
    <w:rsid w:val="00D55ECE"/>
    <w:rsid w:val="00D600C9"/>
    <w:rsid w:val="00DB37F6"/>
    <w:rsid w:val="00DE7B08"/>
    <w:rsid w:val="00E40BC4"/>
    <w:rsid w:val="00E44103"/>
    <w:rsid w:val="00EA611D"/>
    <w:rsid w:val="00EA6EBD"/>
    <w:rsid w:val="00EC1579"/>
    <w:rsid w:val="00EC712E"/>
    <w:rsid w:val="00ED17C4"/>
    <w:rsid w:val="00EF74E4"/>
    <w:rsid w:val="00F0726C"/>
    <w:rsid w:val="00F10061"/>
    <w:rsid w:val="00F24D46"/>
    <w:rsid w:val="00F25185"/>
    <w:rsid w:val="00FA36CF"/>
    <w:rsid w:val="00FC2F3E"/>
    <w:rsid w:val="00FF4E27"/>
    <w:rsid w:val="029927A3"/>
    <w:rsid w:val="038D4383"/>
    <w:rsid w:val="03BD3D36"/>
    <w:rsid w:val="0529504F"/>
    <w:rsid w:val="08967ECD"/>
    <w:rsid w:val="09CD1F3A"/>
    <w:rsid w:val="0A014B8D"/>
    <w:rsid w:val="0A770ACB"/>
    <w:rsid w:val="0AB855FB"/>
    <w:rsid w:val="0AF142C5"/>
    <w:rsid w:val="0ECA7500"/>
    <w:rsid w:val="0F816FAC"/>
    <w:rsid w:val="11722738"/>
    <w:rsid w:val="13B30CB1"/>
    <w:rsid w:val="13E96481"/>
    <w:rsid w:val="170C256E"/>
    <w:rsid w:val="18530A29"/>
    <w:rsid w:val="188D5F75"/>
    <w:rsid w:val="1AE94FB9"/>
    <w:rsid w:val="1D6E79F7"/>
    <w:rsid w:val="2256169A"/>
    <w:rsid w:val="247E2C16"/>
    <w:rsid w:val="27AB3B90"/>
    <w:rsid w:val="2ECD2442"/>
    <w:rsid w:val="2F2F2697"/>
    <w:rsid w:val="2FC70CE7"/>
    <w:rsid w:val="303F18CE"/>
    <w:rsid w:val="32566581"/>
    <w:rsid w:val="36F7B722"/>
    <w:rsid w:val="37383D00"/>
    <w:rsid w:val="37FC7CA8"/>
    <w:rsid w:val="383E2C3A"/>
    <w:rsid w:val="3BCA28FE"/>
    <w:rsid w:val="3D905B8E"/>
    <w:rsid w:val="3E7C9AB6"/>
    <w:rsid w:val="41931657"/>
    <w:rsid w:val="45760E22"/>
    <w:rsid w:val="478367FC"/>
    <w:rsid w:val="482E41BA"/>
    <w:rsid w:val="487D429E"/>
    <w:rsid w:val="491903E3"/>
    <w:rsid w:val="492D5DAB"/>
    <w:rsid w:val="4A8F69E9"/>
    <w:rsid w:val="4AF26559"/>
    <w:rsid w:val="4B8D1423"/>
    <w:rsid w:val="503E6C32"/>
    <w:rsid w:val="52635075"/>
    <w:rsid w:val="54A24D7D"/>
    <w:rsid w:val="561A649E"/>
    <w:rsid w:val="572D67C9"/>
    <w:rsid w:val="57387136"/>
    <w:rsid w:val="581522E2"/>
    <w:rsid w:val="597B452C"/>
    <w:rsid w:val="5A1A79E1"/>
    <w:rsid w:val="5E4B607E"/>
    <w:rsid w:val="5EB10F16"/>
    <w:rsid w:val="5EBBE913"/>
    <w:rsid w:val="5F380C62"/>
    <w:rsid w:val="63DEC6D9"/>
    <w:rsid w:val="64374A75"/>
    <w:rsid w:val="69CD09F4"/>
    <w:rsid w:val="6AD65451"/>
    <w:rsid w:val="6BC7C229"/>
    <w:rsid w:val="6C0243DE"/>
    <w:rsid w:val="6DC543C1"/>
    <w:rsid w:val="6DFFE2DE"/>
    <w:rsid w:val="6ED66365"/>
    <w:rsid w:val="6FFF1359"/>
    <w:rsid w:val="6FFFDFCD"/>
    <w:rsid w:val="71D84CE0"/>
    <w:rsid w:val="735A33FB"/>
    <w:rsid w:val="74076A15"/>
    <w:rsid w:val="75406EE2"/>
    <w:rsid w:val="75D43A11"/>
    <w:rsid w:val="77151C1E"/>
    <w:rsid w:val="77496543"/>
    <w:rsid w:val="7807775C"/>
    <w:rsid w:val="787922FA"/>
    <w:rsid w:val="7DEF420D"/>
    <w:rsid w:val="7E527BC8"/>
    <w:rsid w:val="7FBF4D7D"/>
    <w:rsid w:val="7FBF733E"/>
    <w:rsid w:val="90E36D38"/>
    <w:rsid w:val="ADFF5B9D"/>
    <w:rsid w:val="AEDF8D1E"/>
    <w:rsid w:val="AF1B1E2B"/>
    <w:rsid w:val="BABB2A7E"/>
    <w:rsid w:val="D8FF76B9"/>
    <w:rsid w:val="DAD95606"/>
    <w:rsid w:val="E47FE13E"/>
    <w:rsid w:val="F5FAC6F8"/>
    <w:rsid w:val="F76C675E"/>
    <w:rsid w:val="FCD7B91C"/>
    <w:rsid w:val="FCF26676"/>
    <w:rsid w:val="FDAF4DB5"/>
    <w:rsid w:val="FF5E5FC5"/>
    <w:rsid w:val="FFDB48A3"/>
    <w:rsid w:val="FFE41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hd w:val="clear" w:color="auto" w:fill="FFFFFF"/>
      <w:spacing w:line="360" w:lineRule="auto"/>
      <w:ind w:firstLine="200" w:firstLineChars="200"/>
    </w:pPr>
    <w:rPr>
      <w:rFonts w:ascii="Times New Roman" w:hAnsi="Times New Roman" w:eastAsia="宋体" w:cs="Times New Roman"/>
      <w:kern w:val="2"/>
      <w:sz w:val="21"/>
      <w:szCs w:val="21"/>
      <w:lang w:val="en-US" w:eastAsia="zh-CN" w:bidi="ar-SA"/>
    </w:rPr>
  </w:style>
  <w:style w:type="paragraph" w:styleId="2">
    <w:name w:val="heading 1"/>
    <w:basedOn w:val="1"/>
    <w:next w:val="1"/>
    <w:link w:val="19"/>
    <w:qFormat/>
    <w:uiPriority w:val="9"/>
    <w:pPr>
      <w:keepNext/>
      <w:keepLines/>
      <w:spacing w:before="480" w:after="80"/>
      <w:outlineLvl w:val="0"/>
    </w:pPr>
    <w:rPr>
      <w:rFonts w:asciiTheme="majorHAnsi" w:hAnsiTheme="majorHAnsi" w:eastAsiaTheme="majorEastAsia" w:cstheme="majorBidi"/>
      <w:color w:val="2E75B5" w:themeColor="accent1" w:themeShade="BF"/>
      <w:sz w:val="48"/>
      <w:szCs w:val="48"/>
    </w:rPr>
  </w:style>
  <w:style w:type="paragraph" w:styleId="3">
    <w:name w:val="heading 2"/>
    <w:basedOn w:val="1"/>
    <w:next w:val="1"/>
    <w:link w:val="20"/>
    <w:unhideWhenUsed/>
    <w:qFormat/>
    <w:uiPriority w:val="9"/>
    <w:pPr>
      <w:keepNext/>
      <w:keepLines/>
      <w:spacing w:before="160" w:after="80"/>
      <w:outlineLvl w:val="1"/>
    </w:pPr>
    <w:rPr>
      <w:rFonts w:asciiTheme="majorHAnsi" w:hAnsiTheme="majorHAnsi" w:eastAsiaTheme="majorEastAsia" w:cstheme="majorBidi"/>
      <w:color w:val="2E75B5" w:themeColor="accent1" w:themeShade="BF"/>
      <w:sz w:val="40"/>
      <w:szCs w:val="40"/>
    </w:rPr>
  </w:style>
  <w:style w:type="paragraph" w:styleId="4">
    <w:name w:val="heading 3"/>
    <w:basedOn w:val="1"/>
    <w:next w:val="1"/>
    <w:link w:val="21"/>
    <w:unhideWhenUsed/>
    <w:qFormat/>
    <w:uiPriority w:val="9"/>
    <w:pPr>
      <w:keepNext/>
      <w:keepLines/>
      <w:spacing w:before="160" w:after="80"/>
      <w:outlineLvl w:val="2"/>
    </w:pPr>
    <w:rPr>
      <w:rFonts w:asciiTheme="majorHAnsi" w:hAnsiTheme="majorHAnsi" w:eastAsiaTheme="majorEastAsia" w:cstheme="majorBidi"/>
      <w:color w:val="2E75B5" w:themeColor="accent1" w:themeShade="BF"/>
      <w:sz w:val="32"/>
      <w:szCs w:val="32"/>
    </w:rPr>
  </w:style>
  <w:style w:type="paragraph" w:styleId="5">
    <w:name w:val="heading 4"/>
    <w:basedOn w:val="1"/>
    <w:next w:val="1"/>
    <w:link w:val="22"/>
    <w:unhideWhenUsed/>
    <w:qFormat/>
    <w:uiPriority w:val="9"/>
    <w:pPr>
      <w:keepNext/>
      <w:keepLines/>
      <w:spacing w:before="80" w:after="40"/>
      <w:outlineLvl w:val="3"/>
    </w:pPr>
    <w:rPr>
      <w:rFonts w:cstheme="majorBidi"/>
      <w:color w:val="2E75B5" w:themeColor="accent1" w:themeShade="BF"/>
      <w:sz w:val="28"/>
      <w:szCs w:val="28"/>
    </w:rPr>
  </w:style>
  <w:style w:type="paragraph" w:styleId="6">
    <w:name w:val="heading 5"/>
    <w:basedOn w:val="1"/>
    <w:next w:val="1"/>
    <w:link w:val="23"/>
    <w:semiHidden/>
    <w:unhideWhenUsed/>
    <w:qFormat/>
    <w:uiPriority w:val="9"/>
    <w:pPr>
      <w:keepNext/>
      <w:keepLines/>
      <w:spacing w:before="80" w:after="40"/>
      <w:outlineLvl w:val="4"/>
    </w:pPr>
    <w:rPr>
      <w:rFonts w:cstheme="majorBidi"/>
      <w:color w:val="2E75B5" w:themeColor="accent1" w:themeShade="BF"/>
      <w:sz w:val="24"/>
      <w:szCs w:val="24"/>
    </w:rPr>
  </w:style>
  <w:style w:type="paragraph" w:styleId="7">
    <w:name w:val="heading 6"/>
    <w:basedOn w:val="1"/>
    <w:next w:val="1"/>
    <w:link w:val="24"/>
    <w:semiHidden/>
    <w:unhideWhenUsed/>
    <w:qFormat/>
    <w:uiPriority w:val="9"/>
    <w:pPr>
      <w:keepNext/>
      <w:keepLines/>
      <w:spacing w:before="40"/>
      <w:outlineLvl w:val="5"/>
    </w:pPr>
    <w:rPr>
      <w:rFonts w:cstheme="majorBidi"/>
      <w:b/>
      <w:bCs/>
      <w:color w:val="2E75B5" w:themeColor="accent1" w:themeShade="BF"/>
    </w:rPr>
  </w:style>
  <w:style w:type="paragraph" w:styleId="8">
    <w:name w:val="heading 7"/>
    <w:basedOn w:val="1"/>
    <w:next w:val="1"/>
    <w:link w:val="25"/>
    <w:semiHidden/>
    <w:unhideWhenUsed/>
    <w:qFormat/>
    <w:uiPriority w:val="9"/>
    <w:pPr>
      <w:keepNext/>
      <w:keepLines/>
      <w:spacing w:before="40"/>
      <w:outlineLvl w:val="6"/>
    </w:pPr>
    <w:rPr>
      <w:rFonts w:cstheme="majorBidi"/>
      <w:b/>
      <w:bCs/>
      <w:color w:val="585858" w:themeColor="text1" w:themeTint="A6"/>
    </w:rPr>
  </w:style>
  <w:style w:type="paragraph" w:styleId="9">
    <w:name w:val="heading 8"/>
    <w:basedOn w:val="1"/>
    <w:next w:val="1"/>
    <w:link w:val="26"/>
    <w:semiHidden/>
    <w:unhideWhenUsed/>
    <w:qFormat/>
    <w:uiPriority w:val="9"/>
    <w:pPr>
      <w:keepNext/>
      <w:keepLines/>
      <w:outlineLvl w:val="7"/>
    </w:pPr>
    <w:rPr>
      <w:rFonts w:cstheme="majorBidi"/>
      <w:color w:val="585858" w:themeColor="text1" w:themeTint="A6"/>
    </w:rPr>
  </w:style>
  <w:style w:type="paragraph" w:styleId="10">
    <w:name w:val="heading 9"/>
    <w:basedOn w:val="1"/>
    <w:next w:val="1"/>
    <w:link w:val="27"/>
    <w:semiHidden/>
    <w:unhideWhenUsed/>
    <w:qFormat/>
    <w:uiPriority w:val="9"/>
    <w:pPr>
      <w:keepNext/>
      <w:keepLines/>
      <w:outlineLvl w:val="8"/>
    </w:pPr>
    <w:rPr>
      <w:rFonts w:eastAsiaTheme="majorEastAsia" w:cstheme="majorBidi"/>
      <w:color w:val="585858" w:themeColor="text1" w:themeTint="A6"/>
    </w:rPr>
  </w:style>
  <w:style w:type="character" w:default="1" w:styleId="17">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57"/>
    <w:unhideWhenUsed/>
    <w:qFormat/>
    <w:uiPriority w:val="99"/>
    <w:pPr>
      <w:tabs>
        <w:tab w:val="center" w:pos="4153"/>
        <w:tab w:val="right" w:pos="8306"/>
      </w:tabs>
      <w:snapToGrid w:val="0"/>
      <w:spacing w:line="240" w:lineRule="auto"/>
    </w:pPr>
    <w:rPr>
      <w:sz w:val="18"/>
      <w:szCs w:val="18"/>
    </w:rPr>
  </w:style>
  <w:style w:type="paragraph" w:styleId="12">
    <w:name w:val="header"/>
    <w:basedOn w:val="1"/>
    <w:link w:val="56"/>
    <w:unhideWhenUsed/>
    <w:qFormat/>
    <w:uiPriority w:val="99"/>
    <w:pPr>
      <w:tabs>
        <w:tab w:val="center" w:pos="4153"/>
        <w:tab w:val="right" w:pos="8306"/>
      </w:tabs>
      <w:snapToGrid w:val="0"/>
      <w:spacing w:line="240" w:lineRule="auto"/>
      <w:jc w:val="center"/>
    </w:pPr>
    <w:rPr>
      <w:sz w:val="18"/>
      <w:szCs w:val="18"/>
    </w:rPr>
  </w:style>
  <w:style w:type="paragraph" w:styleId="13">
    <w:name w:val="Subtitle"/>
    <w:basedOn w:val="1"/>
    <w:next w:val="1"/>
    <w:link w:val="29"/>
    <w:qFormat/>
    <w:uiPriority w:val="11"/>
    <w:pPr>
      <w:spacing w:after="160"/>
      <w:jc w:val="center"/>
    </w:pPr>
    <w:rPr>
      <w:rFonts w:asciiTheme="majorHAnsi" w:hAnsiTheme="majorHAnsi" w:eastAsiaTheme="majorEastAsia" w:cstheme="majorBidi"/>
      <w:color w:val="585858" w:themeColor="text1" w:themeTint="A6"/>
      <w:spacing w:val="15"/>
      <w:sz w:val="28"/>
      <w:szCs w:val="28"/>
    </w:rPr>
  </w:style>
  <w:style w:type="paragraph" w:styleId="14">
    <w:name w:val="List"/>
    <w:basedOn w:val="1"/>
    <w:autoRedefine/>
    <w:qFormat/>
    <w:uiPriority w:val="0"/>
    <w:pPr>
      <w:widowControl w:val="0"/>
      <w:shd w:val="clear" w:color="auto" w:fill="auto"/>
      <w:spacing w:beforeLines="100" w:afterLines="100" w:line="240" w:lineRule="auto"/>
      <w:ind w:left="200" w:hanging="200" w:hangingChars="200"/>
      <w:contextualSpacing/>
      <w:jc w:val="center"/>
    </w:pPr>
    <w:rPr>
      <w:rFonts w:eastAsia="黑体"/>
    </w:rPr>
  </w:style>
  <w:style w:type="paragraph" w:styleId="15">
    <w:name w:val="Title"/>
    <w:basedOn w:val="1"/>
    <w:next w:val="1"/>
    <w:link w:val="28"/>
    <w:qFormat/>
    <w:uiPriority w:val="10"/>
    <w:pPr>
      <w:spacing w:beforeLines="100" w:afterLines="200"/>
      <w:ind w:firstLine="0" w:firstLineChars="0"/>
      <w:contextualSpacing/>
      <w:jc w:val="center"/>
    </w:pPr>
    <w:rPr>
      <w:rFonts w:eastAsia="黑体" w:asciiTheme="majorHAnsi" w:hAnsiTheme="majorHAnsi" w:cstheme="majorBidi"/>
      <w:spacing w:val="-10"/>
      <w:kern w:val="28"/>
      <w:sz w:val="32"/>
      <w:szCs w:val="56"/>
    </w:rPr>
  </w:style>
  <w:style w:type="character" w:styleId="18">
    <w:name w:val="Strong"/>
    <w:basedOn w:val="17"/>
    <w:qFormat/>
    <w:uiPriority w:val="22"/>
    <w:rPr>
      <w:b/>
    </w:rPr>
  </w:style>
  <w:style w:type="character" w:customStyle="1" w:styleId="19">
    <w:name w:val="标题 1 字符"/>
    <w:basedOn w:val="17"/>
    <w:link w:val="2"/>
    <w:qFormat/>
    <w:uiPriority w:val="9"/>
    <w:rPr>
      <w:rFonts w:asciiTheme="majorHAnsi" w:hAnsiTheme="majorHAnsi" w:eastAsiaTheme="majorEastAsia" w:cstheme="majorBidi"/>
      <w:color w:val="2E75B5" w:themeColor="accent1" w:themeShade="BF"/>
      <w:sz w:val="48"/>
      <w:szCs w:val="48"/>
    </w:rPr>
  </w:style>
  <w:style w:type="character" w:customStyle="1" w:styleId="20">
    <w:name w:val="标题 2 字符"/>
    <w:basedOn w:val="17"/>
    <w:link w:val="3"/>
    <w:qFormat/>
    <w:uiPriority w:val="9"/>
    <w:rPr>
      <w:rFonts w:asciiTheme="majorHAnsi" w:hAnsiTheme="majorHAnsi" w:eastAsiaTheme="majorEastAsia" w:cstheme="majorBidi"/>
      <w:color w:val="2E75B5" w:themeColor="accent1" w:themeShade="BF"/>
      <w:sz w:val="40"/>
      <w:szCs w:val="40"/>
    </w:rPr>
  </w:style>
  <w:style w:type="character" w:customStyle="1" w:styleId="21">
    <w:name w:val="标题 3 字符"/>
    <w:basedOn w:val="17"/>
    <w:link w:val="4"/>
    <w:qFormat/>
    <w:uiPriority w:val="9"/>
    <w:rPr>
      <w:rFonts w:asciiTheme="majorHAnsi" w:hAnsiTheme="majorHAnsi" w:eastAsiaTheme="majorEastAsia" w:cstheme="majorBidi"/>
      <w:color w:val="2E75B5" w:themeColor="accent1" w:themeShade="BF"/>
      <w:sz w:val="32"/>
      <w:szCs w:val="32"/>
    </w:rPr>
  </w:style>
  <w:style w:type="character" w:customStyle="1" w:styleId="22">
    <w:name w:val="标题 4 字符"/>
    <w:basedOn w:val="17"/>
    <w:link w:val="5"/>
    <w:qFormat/>
    <w:uiPriority w:val="9"/>
    <w:rPr>
      <w:rFonts w:cstheme="majorBidi"/>
      <w:color w:val="2E75B5" w:themeColor="accent1" w:themeShade="BF"/>
      <w:sz w:val="28"/>
      <w:szCs w:val="28"/>
    </w:rPr>
  </w:style>
  <w:style w:type="character" w:customStyle="1" w:styleId="23">
    <w:name w:val="标题 5 字符"/>
    <w:basedOn w:val="17"/>
    <w:link w:val="6"/>
    <w:semiHidden/>
    <w:qFormat/>
    <w:uiPriority w:val="9"/>
    <w:rPr>
      <w:rFonts w:cstheme="majorBidi"/>
      <w:color w:val="2E75B5" w:themeColor="accent1" w:themeShade="BF"/>
      <w:sz w:val="24"/>
      <w:szCs w:val="24"/>
    </w:rPr>
  </w:style>
  <w:style w:type="character" w:customStyle="1" w:styleId="24">
    <w:name w:val="标题 6 字符"/>
    <w:basedOn w:val="17"/>
    <w:link w:val="7"/>
    <w:semiHidden/>
    <w:qFormat/>
    <w:uiPriority w:val="9"/>
    <w:rPr>
      <w:rFonts w:cstheme="majorBidi"/>
      <w:b/>
      <w:bCs/>
      <w:color w:val="2E75B5" w:themeColor="accent1" w:themeShade="BF"/>
    </w:rPr>
  </w:style>
  <w:style w:type="character" w:customStyle="1" w:styleId="25">
    <w:name w:val="标题 7 字符"/>
    <w:basedOn w:val="17"/>
    <w:link w:val="8"/>
    <w:semiHidden/>
    <w:qFormat/>
    <w:uiPriority w:val="9"/>
    <w:rPr>
      <w:rFonts w:cstheme="majorBidi"/>
      <w:b/>
      <w:bCs/>
      <w:color w:val="585858" w:themeColor="text1" w:themeTint="A6"/>
    </w:rPr>
  </w:style>
  <w:style w:type="character" w:customStyle="1" w:styleId="26">
    <w:name w:val="标题 8 字符"/>
    <w:basedOn w:val="17"/>
    <w:link w:val="9"/>
    <w:semiHidden/>
    <w:qFormat/>
    <w:uiPriority w:val="9"/>
    <w:rPr>
      <w:rFonts w:cstheme="majorBidi"/>
      <w:color w:val="585858" w:themeColor="text1" w:themeTint="A6"/>
    </w:rPr>
  </w:style>
  <w:style w:type="character" w:customStyle="1" w:styleId="27">
    <w:name w:val="标题 9 字符"/>
    <w:basedOn w:val="17"/>
    <w:link w:val="10"/>
    <w:semiHidden/>
    <w:qFormat/>
    <w:uiPriority w:val="9"/>
    <w:rPr>
      <w:rFonts w:eastAsiaTheme="majorEastAsia" w:cstheme="majorBidi"/>
      <w:color w:val="585858" w:themeColor="text1" w:themeTint="A6"/>
    </w:rPr>
  </w:style>
  <w:style w:type="character" w:customStyle="1" w:styleId="28">
    <w:name w:val="标题 字符"/>
    <w:basedOn w:val="17"/>
    <w:link w:val="15"/>
    <w:qFormat/>
    <w:uiPriority w:val="10"/>
    <w:rPr>
      <w:rFonts w:eastAsia="黑体" w:asciiTheme="majorHAnsi" w:hAnsiTheme="majorHAnsi" w:cstheme="majorBidi"/>
      <w:spacing w:val="-10"/>
      <w:kern w:val="28"/>
      <w:sz w:val="32"/>
      <w:szCs w:val="56"/>
    </w:rPr>
  </w:style>
  <w:style w:type="character" w:customStyle="1" w:styleId="29">
    <w:name w:val="副标题 字符"/>
    <w:basedOn w:val="17"/>
    <w:link w:val="13"/>
    <w:qFormat/>
    <w:uiPriority w:val="11"/>
    <w:rPr>
      <w:rFonts w:asciiTheme="majorHAnsi" w:hAnsiTheme="majorHAnsi" w:eastAsiaTheme="majorEastAsia" w:cstheme="majorBidi"/>
      <w:color w:val="585858" w:themeColor="text1" w:themeTint="A6"/>
      <w:spacing w:val="15"/>
      <w:sz w:val="28"/>
      <w:szCs w:val="28"/>
    </w:rPr>
  </w:style>
  <w:style w:type="paragraph" w:styleId="30">
    <w:name w:val="Quote"/>
    <w:basedOn w:val="1"/>
    <w:next w:val="1"/>
    <w:link w:val="31"/>
    <w:qFormat/>
    <w:uiPriority w:val="29"/>
    <w:pPr>
      <w:spacing w:before="160" w:after="160"/>
      <w:jc w:val="center"/>
    </w:pPr>
    <w:rPr>
      <w:i/>
      <w:iCs/>
      <w:color w:val="3F3F3F" w:themeColor="text1" w:themeTint="BF"/>
    </w:rPr>
  </w:style>
  <w:style w:type="character" w:customStyle="1" w:styleId="31">
    <w:name w:val="引用 字符"/>
    <w:basedOn w:val="17"/>
    <w:link w:val="30"/>
    <w:qFormat/>
    <w:uiPriority w:val="29"/>
    <w:rPr>
      <w:i/>
      <w:iCs/>
      <w:color w:val="3F3F3F" w:themeColor="text1" w:themeTint="BF"/>
    </w:rPr>
  </w:style>
  <w:style w:type="paragraph" w:styleId="32">
    <w:name w:val="List Paragraph"/>
    <w:basedOn w:val="1"/>
    <w:qFormat/>
    <w:uiPriority w:val="34"/>
    <w:pPr>
      <w:ind w:left="720"/>
      <w:contextualSpacing/>
    </w:pPr>
  </w:style>
  <w:style w:type="character" w:customStyle="1" w:styleId="33">
    <w:name w:val="明显强调1"/>
    <w:basedOn w:val="17"/>
    <w:qFormat/>
    <w:uiPriority w:val="21"/>
    <w:rPr>
      <w:i/>
      <w:iCs/>
      <w:color w:val="2E75B5" w:themeColor="accent1" w:themeShade="BF"/>
    </w:rPr>
  </w:style>
  <w:style w:type="paragraph" w:styleId="34">
    <w:name w:val="Intense Quote"/>
    <w:basedOn w:val="1"/>
    <w:next w:val="1"/>
    <w:link w:val="35"/>
    <w:qFormat/>
    <w:uiPriority w:val="30"/>
    <w:pPr>
      <w:pBdr>
        <w:top w:val="single" w:color="2E75B5" w:themeColor="accent1" w:themeShade="BF" w:sz="4" w:space="10"/>
        <w:bottom w:val="single" w:color="2E75B5" w:themeColor="accent1" w:themeShade="BF" w:sz="4" w:space="10"/>
      </w:pBdr>
      <w:spacing w:before="360" w:after="360"/>
      <w:ind w:left="864" w:right="864"/>
      <w:jc w:val="center"/>
    </w:pPr>
    <w:rPr>
      <w:i/>
      <w:iCs/>
      <w:color w:val="2E75B5" w:themeColor="accent1" w:themeShade="BF"/>
    </w:rPr>
  </w:style>
  <w:style w:type="character" w:customStyle="1" w:styleId="35">
    <w:name w:val="明显引用 字符"/>
    <w:basedOn w:val="17"/>
    <w:link w:val="34"/>
    <w:qFormat/>
    <w:uiPriority w:val="30"/>
    <w:rPr>
      <w:i/>
      <w:iCs/>
      <w:color w:val="2E75B5" w:themeColor="accent1" w:themeShade="BF"/>
    </w:rPr>
  </w:style>
  <w:style w:type="character" w:customStyle="1" w:styleId="36">
    <w:name w:val="明显参考1"/>
    <w:basedOn w:val="17"/>
    <w:qFormat/>
    <w:uiPriority w:val="32"/>
    <w:rPr>
      <w:b/>
      <w:bCs/>
      <w:smallCaps/>
      <w:color w:val="2E75B5" w:themeColor="accent1" w:themeShade="BF"/>
      <w:spacing w:val="5"/>
    </w:rPr>
  </w:style>
  <w:style w:type="paragraph" w:customStyle="1" w:styleId="37">
    <w:name w:val="封面标准名称"/>
    <w:basedOn w:val="1"/>
    <w:autoRedefine/>
    <w:qFormat/>
    <w:uiPriority w:val="0"/>
    <w:pPr>
      <w:spacing w:line="680" w:lineRule="exact"/>
      <w:ind w:firstLine="0" w:firstLineChars="0"/>
      <w:jc w:val="center"/>
    </w:pPr>
    <w:rPr>
      <w:rFonts w:ascii="黑体" w:hAnsi="宋体" w:eastAsia="黑体" w:cs="宋体"/>
      <w:kern w:val="0"/>
      <w:sz w:val="52"/>
      <w:szCs w:val="52"/>
    </w:rPr>
  </w:style>
  <w:style w:type="paragraph" w:customStyle="1" w:styleId="38">
    <w:name w:val="封面标准英文名称"/>
    <w:basedOn w:val="37"/>
    <w:autoRedefine/>
    <w:qFormat/>
    <w:uiPriority w:val="0"/>
    <w:pPr>
      <w:spacing w:before="370" w:after="100" w:afterAutospacing="1" w:line="400" w:lineRule="exact"/>
    </w:pPr>
    <w:rPr>
      <w:rFonts w:ascii="宋体" w:eastAsia="宋体" w:cs="Times New Roman"/>
      <w:sz w:val="24"/>
      <w:szCs w:val="24"/>
    </w:rPr>
  </w:style>
  <w:style w:type="paragraph" w:customStyle="1" w:styleId="39">
    <w:name w:val="封面一致性程度标识"/>
    <w:basedOn w:val="38"/>
    <w:autoRedefine/>
    <w:qFormat/>
    <w:uiPriority w:val="0"/>
    <w:pPr>
      <w:spacing w:before="440"/>
    </w:pPr>
    <w:rPr>
      <w:rFonts w:cs="宋体"/>
    </w:rPr>
  </w:style>
  <w:style w:type="paragraph" w:customStyle="1" w:styleId="40">
    <w:name w:val="封面标准文稿类别"/>
    <w:basedOn w:val="39"/>
    <w:autoRedefine/>
    <w:qFormat/>
    <w:uiPriority w:val="0"/>
    <w:pPr>
      <w:spacing w:after="160" w:line="240" w:lineRule="auto"/>
    </w:pPr>
  </w:style>
  <w:style w:type="paragraph" w:customStyle="1" w:styleId="41">
    <w:name w:val="其他发布日期"/>
    <w:basedOn w:val="1"/>
    <w:autoRedefine/>
    <w:qFormat/>
    <w:uiPriority w:val="0"/>
    <w:pPr>
      <w:ind w:firstLine="0" w:firstLineChars="0"/>
    </w:pPr>
    <w:rPr>
      <w:rFonts w:eastAsia="黑体"/>
      <w:kern w:val="0"/>
      <w:sz w:val="28"/>
      <w:szCs w:val="28"/>
    </w:rPr>
  </w:style>
  <w:style w:type="paragraph" w:customStyle="1" w:styleId="42">
    <w:name w:val="封面标准文稿编辑信息"/>
    <w:basedOn w:val="40"/>
    <w:autoRedefine/>
    <w:qFormat/>
    <w:uiPriority w:val="0"/>
    <w:pPr>
      <w:spacing w:before="180" w:line="180" w:lineRule="exact"/>
    </w:pPr>
    <w:rPr>
      <w:sz w:val="21"/>
      <w:szCs w:val="21"/>
    </w:rPr>
  </w:style>
  <w:style w:type="paragraph" w:customStyle="1" w:styleId="43">
    <w:name w:val="封面标准代替信息"/>
    <w:basedOn w:val="1"/>
    <w:autoRedefine/>
    <w:qFormat/>
    <w:uiPriority w:val="0"/>
    <w:pPr>
      <w:spacing w:before="57" w:line="280" w:lineRule="exact"/>
      <w:ind w:firstLine="0" w:firstLineChars="0"/>
      <w:jc w:val="right"/>
    </w:pPr>
    <w:rPr>
      <w:rFonts w:ascii="宋体" w:hAnsi="宋体" w:cs="宋体"/>
      <w:kern w:val="0"/>
    </w:rPr>
  </w:style>
  <w:style w:type="paragraph" w:customStyle="1" w:styleId="44">
    <w:name w:val="其他标准标志"/>
    <w:basedOn w:val="1"/>
    <w:autoRedefine/>
    <w:qFormat/>
    <w:uiPriority w:val="0"/>
    <w:pPr>
      <w:spacing w:line="0" w:lineRule="atLeast"/>
      <w:ind w:firstLine="0" w:firstLineChars="0"/>
      <w:jc w:val="right"/>
    </w:pPr>
    <w:rPr>
      <w:b/>
      <w:kern w:val="0"/>
      <w:sz w:val="96"/>
      <w:szCs w:val="96"/>
    </w:rPr>
  </w:style>
  <w:style w:type="paragraph" w:customStyle="1" w:styleId="45">
    <w:name w:val="其他标准称谓"/>
    <w:basedOn w:val="1"/>
    <w:next w:val="1"/>
    <w:autoRedefine/>
    <w:qFormat/>
    <w:uiPriority w:val="0"/>
    <w:pPr>
      <w:spacing w:line="0" w:lineRule="atLeast"/>
      <w:ind w:firstLine="0" w:firstLineChars="0"/>
      <w:jc w:val="distribute"/>
    </w:pPr>
    <w:rPr>
      <w:rFonts w:ascii="黑体" w:hAnsi="宋体" w:eastAsia="黑体" w:cs="宋体"/>
      <w:spacing w:val="-40"/>
      <w:kern w:val="0"/>
      <w:sz w:val="48"/>
      <w:szCs w:val="48"/>
    </w:rPr>
  </w:style>
  <w:style w:type="paragraph" w:customStyle="1" w:styleId="46">
    <w:name w:val="封面标准号2"/>
    <w:basedOn w:val="1"/>
    <w:autoRedefine/>
    <w:qFormat/>
    <w:uiPriority w:val="0"/>
    <w:pPr>
      <w:spacing w:before="357" w:line="280" w:lineRule="exact"/>
      <w:ind w:firstLine="0" w:firstLineChars="0"/>
      <w:jc w:val="right"/>
    </w:pPr>
    <w:rPr>
      <w:rFonts w:ascii="黑体" w:hAnsi="宋体" w:eastAsia="黑体" w:cs="宋体"/>
      <w:kern w:val="0"/>
      <w:sz w:val="28"/>
      <w:szCs w:val="28"/>
    </w:rPr>
  </w:style>
  <w:style w:type="paragraph" w:customStyle="1" w:styleId="47">
    <w:name w:val="文献分类号"/>
    <w:basedOn w:val="1"/>
    <w:autoRedefine/>
    <w:qFormat/>
    <w:uiPriority w:val="0"/>
    <w:pPr>
      <w:ind w:firstLine="0" w:firstLineChars="0"/>
    </w:pPr>
    <w:rPr>
      <w:rFonts w:ascii="黑体" w:hAnsi="宋体" w:eastAsia="黑体" w:cs="宋体"/>
      <w:kern w:val="0"/>
    </w:rPr>
  </w:style>
  <w:style w:type="character" w:customStyle="1" w:styleId="48">
    <w:name w:val="55"/>
    <w:autoRedefine/>
    <w:qFormat/>
    <w:uiPriority w:val="0"/>
    <w:rPr>
      <w:rFonts w:hint="eastAsia" w:ascii="黑体" w:hAnsi="宋体" w:eastAsia="黑体"/>
      <w:sz w:val="32"/>
      <w:szCs w:val="32"/>
    </w:rPr>
  </w:style>
  <w:style w:type="paragraph" w:customStyle="1" w:styleId="49">
    <w:name w:val="前言、引言标题"/>
    <w:basedOn w:val="1"/>
    <w:next w:val="1"/>
    <w:autoRedefine/>
    <w:qFormat/>
    <w:uiPriority w:val="0"/>
    <w:pPr>
      <w:keepNext/>
      <w:pageBreakBefore/>
      <w:spacing w:before="640" w:after="560"/>
      <w:ind w:firstLine="0" w:firstLineChars="0"/>
      <w:jc w:val="center"/>
      <w:outlineLvl w:val="0"/>
    </w:pPr>
    <w:rPr>
      <w:rFonts w:ascii="黑体" w:hAnsi="宋体" w:eastAsia="黑体" w:cs="宋体"/>
      <w:kern w:val="0"/>
      <w:sz w:val="32"/>
      <w:szCs w:val="32"/>
    </w:rPr>
  </w:style>
  <w:style w:type="paragraph" w:customStyle="1" w:styleId="50">
    <w:name w:val="段"/>
    <w:basedOn w:val="1"/>
    <w:link w:val="54"/>
    <w:autoRedefine/>
    <w:qFormat/>
    <w:uiPriority w:val="0"/>
    <w:pPr>
      <w:shd w:val="clear" w:color="auto" w:fill="auto"/>
      <w:tabs>
        <w:tab w:val="left" w:pos="-142"/>
        <w:tab w:val="left" w:pos="0"/>
      </w:tabs>
      <w:autoSpaceDE w:val="0"/>
      <w:autoSpaceDN w:val="0"/>
      <w:ind w:firstLine="420"/>
      <w:jc w:val="both"/>
      <w:outlineLvl w:val="2"/>
    </w:pPr>
    <w:rPr>
      <w:rFonts w:ascii="宋体" w:hAnsi="宋体" w:cs="宋体"/>
      <w:kern w:val="0"/>
    </w:rPr>
  </w:style>
  <w:style w:type="paragraph" w:customStyle="1" w:styleId="51">
    <w:name w:val="一级条标题"/>
    <w:basedOn w:val="1"/>
    <w:next w:val="50"/>
    <w:autoRedefine/>
    <w:qFormat/>
    <w:uiPriority w:val="0"/>
    <w:pPr>
      <w:numPr>
        <w:ilvl w:val="1"/>
        <w:numId w:val="1"/>
      </w:numPr>
      <w:shd w:val="clear" w:color="auto" w:fill="auto"/>
      <w:tabs>
        <w:tab w:val="left" w:pos="-142"/>
      </w:tabs>
      <w:autoSpaceDE w:val="0"/>
      <w:spacing w:beforeLines="100" w:afterLines="100" w:line="240" w:lineRule="auto"/>
      <w:ind w:left="-2" w:leftChars="-1" w:firstLineChars="0"/>
      <w:outlineLvl w:val="2"/>
    </w:pPr>
    <w:rPr>
      <w:rFonts w:cs="宋体" w:asciiTheme="minorEastAsia" w:hAnsiTheme="minorEastAsia" w:eastAsiaTheme="minorEastAsia"/>
      <w:kern w:val="0"/>
    </w:rPr>
  </w:style>
  <w:style w:type="paragraph" w:customStyle="1" w:styleId="52">
    <w:name w:val="目次、标准名称标题"/>
    <w:basedOn w:val="1"/>
    <w:next w:val="50"/>
    <w:autoRedefine/>
    <w:qFormat/>
    <w:uiPriority w:val="0"/>
    <w:pPr>
      <w:keepNext/>
      <w:pageBreakBefore/>
      <w:spacing w:before="640" w:after="560" w:line="460" w:lineRule="exact"/>
      <w:jc w:val="center"/>
      <w:outlineLvl w:val="0"/>
    </w:pPr>
    <w:rPr>
      <w:rFonts w:ascii="黑体" w:eastAsia="黑体" w:cs="宋体"/>
      <w:kern w:val="0"/>
      <w:sz w:val="32"/>
      <w:szCs w:val="32"/>
    </w:rPr>
  </w:style>
  <w:style w:type="paragraph" w:customStyle="1" w:styleId="53">
    <w:name w:val="章标题"/>
    <w:basedOn w:val="1"/>
    <w:next w:val="50"/>
    <w:autoRedefine/>
    <w:qFormat/>
    <w:uiPriority w:val="0"/>
    <w:pPr>
      <w:shd w:val="clear" w:color="auto" w:fill="auto"/>
      <w:tabs>
        <w:tab w:val="left" w:pos="0"/>
      </w:tabs>
      <w:spacing w:beforeLines="100" w:afterLines="100"/>
      <w:ind w:firstLine="0"/>
      <w:jc w:val="both"/>
      <w:outlineLvl w:val="0"/>
    </w:pPr>
    <w:rPr>
      <w:rFonts w:ascii="黑体" w:hAnsi="宋体" w:eastAsia="黑体" w:cs="宋体"/>
      <w:b/>
      <w:kern w:val="0"/>
    </w:rPr>
  </w:style>
  <w:style w:type="character" w:customStyle="1" w:styleId="54">
    <w:name w:val="段 Char"/>
    <w:basedOn w:val="17"/>
    <w:link w:val="50"/>
    <w:autoRedefine/>
    <w:qFormat/>
    <w:uiPriority w:val="0"/>
    <w:rPr>
      <w:rFonts w:ascii="宋体" w:hAnsi="宋体" w:cs="宋体"/>
      <w:sz w:val="21"/>
      <w:szCs w:val="21"/>
    </w:rPr>
  </w:style>
  <w:style w:type="paragraph" w:customStyle="1" w:styleId="55">
    <w:name w:val="二级条标题"/>
    <w:basedOn w:val="51"/>
    <w:autoRedefine/>
    <w:qFormat/>
    <w:uiPriority w:val="0"/>
    <w:pPr>
      <w:numPr>
        <w:ilvl w:val="2"/>
      </w:numPr>
      <w:spacing w:beforeLines="50" w:afterLines="50" w:line="360" w:lineRule="auto"/>
      <w:ind w:left="0" w:leftChars="0"/>
    </w:pPr>
  </w:style>
  <w:style w:type="character" w:customStyle="1" w:styleId="56">
    <w:name w:val="页眉 字符"/>
    <w:basedOn w:val="17"/>
    <w:link w:val="12"/>
    <w:qFormat/>
    <w:uiPriority w:val="99"/>
    <w:rPr>
      <w:rFonts w:ascii="Times New Roman" w:hAnsi="Times New Roman" w:eastAsia="宋体" w:cs="Times New Roman"/>
      <w:sz w:val="18"/>
      <w:szCs w:val="18"/>
      <w:shd w:val="clear" w:color="auto" w:fill="FFFFFF"/>
    </w:rPr>
  </w:style>
  <w:style w:type="character" w:customStyle="1" w:styleId="57">
    <w:name w:val="页脚 字符"/>
    <w:basedOn w:val="17"/>
    <w:link w:val="11"/>
    <w:qFormat/>
    <w:uiPriority w:val="99"/>
    <w:rPr>
      <w:rFonts w:ascii="Times New Roman" w:hAnsi="Times New Roman" w:eastAsia="宋体" w:cs="Times New Roman"/>
      <w:sz w:val="18"/>
      <w:szCs w:val="18"/>
      <w:shd w:val="clear" w:color="auto" w:fill="FFFFFF"/>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0B0A1C-1FEA-484F-BBED-8144E38FE060}">
  <ds:schemaRefs/>
</ds:datastoreItem>
</file>

<file path=docProps/app.xml><?xml version="1.0" encoding="utf-8"?>
<Properties xmlns="http://schemas.openxmlformats.org/officeDocument/2006/extended-properties" xmlns:vt="http://schemas.openxmlformats.org/officeDocument/2006/docPropsVTypes">
  <Template>Normal.dotm</Template>
  <Pages>7</Pages>
  <Words>2638</Words>
  <Characters>2883</Characters>
  <Lines>31</Lines>
  <Paragraphs>8</Paragraphs>
  <TotalTime>9</TotalTime>
  <ScaleCrop>false</ScaleCrop>
  <LinksUpToDate>false</LinksUpToDate>
  <CharactersWithSpaces>3108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2025-04-14T14:12:00Z</dcterms:created>
  <dc:creator>al y</dc:creator>
  <cp:lastModifiedBy>忐忑</cp:lastModifiedBy>
  <dcterms:modified xsi:type="dcterms:W3CDTF">2025-10-10T01:29:18Z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67BB30DFF8304DE78FA63F15C9423FF9_13</vt:lpwstr>
  </property>
  <property fmtid="{D5CDD505-2E9C-101B-9397-08002B2CF9AE}" pid="4" name="KSOTemplateDocerSaveRecord">
    <vt:lpwstr>eyJoZGlkIjoiMjE1MGZmOTRhZjllMGExZDlkZTMzYmYzNTljMTkwODUiLCJ1c2VySWQiOiI0MzYwMTU0NjQifQ==</vt:lpwstr>
  </property>
</Properties>
</file>