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6A63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80614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B1F9BB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13.040</w:t>
            </w:r>
            <w:r>
              <w:rPr>
                <w:rFonts w:ascii="黑体" w:hAnsi="黑体" w:eastAsia="黑体"/>
                <w:sz w:val="21"/>
                <w:szCs w:val="21"/>
              </w:rPr>
              <w:fldChar w:fldCharType="end"/>
            </w:r>
            <w:bookmarkEnd w:id="0"/>
          </w:p>
        </w:tc>
      </w:tr>
      <w:tr w14:paraId="52AE9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200E0B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6B9D85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Times New Roman" w:hAnsi="Times New Roman" w:eastAsia="方正小标宋简体"/>
                <w:sz w:val="21"/>
                <w:szCs w:val="21"/>
              </w:rPr>
              <w:t>T</w:t>
            </w:r>
            <w:r>
              <w:rPr>
                <w:rFonts w:hint="eastAsia" w:ascii="黑体" w:hAnsi="黑体" w:eastAsia="黑体"/>
                <w:sz w:val="21"/>
                <w:szCs w:val="21"/>
              </w:rPr>
              <w:t xml:space="preserve">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DEA2AD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E4D134D">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5B797675">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DC23ADF">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596B1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46DD7F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5025E85">
      <w:pPr>
        <w:pStyle w:val="50"/>
        <w:framePr w:w="9639" w:h="6976" w:hRule="exact" w:hSpace="0" w:vSpace="0" w:wrap="around" w:hAnchor="page" w:y="6408"/>
        <w:jc w:val="center"/>
        <w:rPr>
          <w:rFonts w:hint="eastAsia" w:ascii="黑体" w:hAnsi="黑体" w:eastAsia="黑体"/>
          <w:b w:val="0"/>
          <w:bCs w:val="0"/>
          <w:w w:val="100"/>
        </w:rPr>
      </w:pPr>
    </w:p>
    <w:p w14:paraId="66F0D49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自动驾驶环卫车运营规范</w:t>
      </w:r>
      <w:r>
        <w:fldChar w:fldCharType="end"/>
      </w:r>
      <w:bookmarkEnd w:id="9"/>
    </w:p>
    <w:p w14:paraId="4019124E">
      <w:pPr>
        <w:framePr w:w="9639" w:h="6974" w:hRule="exact" w:wrap="around" w:vAnchor="page" w:hAnchor="page" w:x="1419" w:y="6408" w:anchorLock="1"/>
        <w:ind w:left="-1418"/>
      </w:pPr>
    </w:p>
    <w:p w14:paraId="1CE0059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 for operation of autonomous driving sanitation vehicles</w:t>
      </w:r>
      <w:r>
        <w:rPr>
          <w:rFonts w:eastAsia="黑体"/>
          <w:szCs w:val="28"/>
        </w:rPr>
        <w:fldChar w:fldCharType="end"/>
      </w:r>
      <w:bookmarkEnd w:id="10"/>
    </w:p>
    <w:p w14:paraId="59424D3D">
      <w:pPr>
        <w:framePr w:w="9639" w:h="6974" w:hRule="exact" w:wrap="around" w:vAnchor="page" w:hAnchor="page" w:x="1419" w:y="6408" w:anchorLock="1"/>
        <w:spacing w:line="760" w:lineRule="exact"/>
        <w:ind w:left="-1418"/>
      </w:pPr>
    </w:p>
    <w:p w14:paraId="5F99F486">
      <w:pPr>
        <w:pStyle w:val="125"/>
        <w:framePr w:w="9639" w:h="6974" w:hRule="exact" w:wrap="around" w:vAnchor="page" w:hAnchor="page" w:x="1419" w:y="6408" w:anchorLock="1"/>
        <w:textAlignment w:val="bottom"/>
        <w:rPr>
          <w:rFonts w:eastAsia="黑体"/>
          <w:szCs w:val="28"/>
        </w:rPr>
      </w:pPr>
    </w:p>
    <w:p w14:paraId="3046B0F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2FED57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550B7E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4AC328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D1B001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FDF6227">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7C525F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C16895B">
      <w:pPr>
        <w:pStyle w:val="91"/>
        <w:spacing w:after="468"/>
        <w:rPr>
          <w:rFonts w:hint="eastAsia"/>
        </w:rPr>
      </w:pPr>
      <w:bookmarkStart w:id="21" w:name="BookMark1"/>
      <w:bookmarkStart w:id="22" w:name="_Toc206859153"/>
      <w:r>
        <w:rPr>
          <w:rFonts w:hint="eastAsia"/>
          <w:spacing w:val="320"/>
        </w:rPr>
        <w:t>目</w:t>
      </w:r>
      <w:r>
        <w:rPr>
          <w:rFonts w:hint="eastAsia"/>
        </w:rPr>
        <w:t>次</w:t>
      </w:r>
    </w:p>
    <w:p w14:paraId="6A96006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"_Toc209010707"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_Toc209010707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79AD7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"_Toc209010708"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_Toc209010708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A40659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"_Toc209010709"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_Toc209010709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385A28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"_Toc209010710"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_Toc209010710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8B7EA2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"_Toc209010711" </w:instrText>
      </w:r>
      <w:r>
        <w:fldChar w:fldCharType="separate"/>
      </w:r>
      <w:r>
        <w:rPr>
          <w:rStyle w:val="32"/>
          <w:rFonts w:hint="eastAsia"/>
        </w:rPr>
        <w:t>4</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_Toc209010711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9DE7D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"_Toc209010712" </w:instrText>
      </w:r>
      <w:r>
        <w:fldChar w:fldCharType="separate"/>
      </w:r>
      <w:r>
        <w:rPr>
          <w:rStyle w:val="32"/>
          <w:rFonts w:hint="eastAsia"/>
          <w14:scene3d>
            <w14:lightRig w14:rig="threePt" w14:dir="t">
              <w14:rot w14:lat="0" w14:lon="0" w14:rev="0"/>
            </w14:lightRig>
          </w14:scene3d>
        </w:rPr>
        <w:t>4.1</w:t>
      </w:r>
      <w:r>
        <w:rPr>
          <w:rStyle w:val="32"/>
          <w14:scene3d>
            <w14:lightRig w14:rig="threePt" w14:dir="t">
              <w14:rot w14:lat="0" w14:lon="0" w14:rev="0"/>
            </w14:lightRig>
          </w14:scene3d>
        </w:rPr>
        <w:t xml:space="preserve"> </w:t>
      </w:r>
      <w:r>
        <w:rPr>
          <w:rStyle w:val="32"/>
          <w:rFonts w:hint="eastAsia"/>
        </w:rPr>
        <w:t xml:space="preserve"> 环境条件</w:t>
      </w:r>
      <w:r>
        <w:rPr>
          <w:rFonts w:hint="eastAsia"/>
        </w:rPr>
        <w:tab/>
      </w:r>
      <w:r>
        <w:rPr>
          <w:rFonts w:hint="eastAsia"/>
        </w:rPr>
        <w:fldChar w:fldCharType="begin"/>
      </w:r>
      <w:r>
        <w:rPr>
          <w:rFonts w:hint="eastAsia"/>
        </w:rPr>
        <w:instrText xml:space="preserve"> </w:instrText>
      </w:r>
      <w:r>
        <w:instrText xml:space="preserve">PAGEREF _Toc209010712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ED382C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"_Toc209010713" </w:instrText>
      </w:r>
      <w:r>
        <w:fldChar w:fldCharType="separate"/>
      </w:r>
      <w:r>
        <w:rPr>
          <w:rStyle w:val="32"/>
          <w:rFonts w:hint="eastAsia"/>
          <w14:scene3d>
            <w14:lightRig w14:rig="threePt" w14:dir="t">
              <w14:rot w14:lat="0" w14:lon="0" w14:rev="0"/>
            </w14:lightRig>
          </w14:scene3d>
        </w:rPr>
        <w:t>4.2</w:t>
      </w:r>
      <w:r>
        <w:rPr>
          <w:rStyle w:val="32"/>
          <w14:scene3d>
            <w14:lightRig w14:rig="threePt" w14:dir="t">
              <w14:rot w14:lat="0" w14:lon="0" w14:rev="0"/>
            </w14:lightRig>
          </w14:scene3d>
        </w:rPr>
        <w:t xml:space="preserve"> </w:t>
      </w:r>
      <w:r>
        <w:rPr>
          <w:rStyle w:val="32"/>
          <w:rFonts w:hint="eastAsia"/>
        </w:rPr>
        <w:t xml:space="preserve"> 车辆</w:t>
      </w:r>
      <w:r>
        <w:rPr>
          <w:rFonts w:hint="eastAsia"/>
        </w:rPr>
        <w:tab/>
      </w:r>
      <w:r>
        <w:rPr>
          <w:rFonts w:hint="eastAsia"/>
        </w:rPr>
        <w:fldChar w:fldCharType="begin"/>
      </w:r>
      <w:r>
        <w:rPr>
          <w:rFonts w:hint="eastAsia"/>
        </w:rPr>
        <w:instrText xml:space="preserve"> </w:instrText>
      </w:r>
      <w:r>
        <w:instrText xml:space="preserve">PAGEREF _Toc209010713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4E346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"_Toc209010714" </w:instrText>
      </w:r>
      <w:r>
        <w:fldChar w:fldCharType="separate"/>
      </w:r>
      <w:r>
        <w:rPr>
          <w:rStyle w:val="32"/>
          <w:rFonts w:hint="eastAsia"/>
          <w14:scene3d>
            <w14:lightRig w14:rig="threePt" w14:dir="t">
              <w14:rot w14:lat="0" w14:lon="0" w14:rev="0"/>
            </w14:lightRig>
          </w14:scene3d>
        </w:rPr>
        <w:t>4.3</w:t>
      </w:r>
      <w:r>
        <w:rPr>
          <w:rStyle w:val="32"/>
          <w14:scene3d>
            <w14:lightRig w14:rig="threePt" w14:dir="t">
              <w14:rot w14:lat="0" w14:lon="0" w14:rev="0"/>
            </w14:lightRig>
          </w14:scene3d>
        </w:rPr>
        <w:t xml:space="preserve"> </w:t>
      </w:r>
      <w:r>
        <w:rPr>
          <w:rStyle w:val="32"/>
          <w:rFonts w:hint="eastAsia"/>
        </w:rPr>
        <w:t xml:space="preserve"> 路侧设施</w:t>
      </w:r>
      <w:r>
        <w:rPr>
          <w:rFonts w:hint="eastAsia"/>
        </w:rPr>
        <w:tab/>
      </w:r>
      <w:r>
        <w:rPr>
          <w:rFonts w:hint="eastAsia"/>
        </w:rPr>
        <w:fldChar w:fldCharType="begin"/>
      </w:r>
      <w:r>
        <w:rPr>
          <w:rFonts w:hint="eastAsia"/>
        </w:rPr>
        <w:instrText xml:space="preserve"> </w:instrText>
      </w:r>
      <w:r>
        <w:instrText xml:space="preserve">PAGEREF _Toc209010714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A3CAE2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"_Toc209010715" </w:instrText>
      </w:r>
      <w:r>
        <w:fldChar w:fldCharType="separate"/>
      </w:r>
      <w:r>
        <w:rPr>
          <w:rStyle w:val="32"/>
          <w:rFonts w:hint="eastAsia"/>
          <w14:scene3d>
            <w14:lightRig w14:rig="threePt" w14:dir="t">
              <w14:rot w14:lat="0" w14:lon="0" w14:rev="0"/>
            </w14:lightRig>
          </w14:scene3d>
        </w:rPr>
        <w:t>4.4</w:t>
      </w:r>
      <w:r>
        <w:rPr>
          <w:rStyle w:val="32"/>
          <w14:scene3d>
            <w14:lightRig w14:rig="threePt" w14:dir="t">
              <w14:rot w14:lat="0" w14:lon="0" w14:rev="0"/>
            </w14:lightRig>
          </w14:scene3d>
        </w:rPr>
        <w:t xml:space="preserve"> </w:t>
      </w:r>
      <w:r>
        <w:rPr>
          <w:rStyle w:val="32"/>
          <w:rFonts w:hint="eastAsia"/>
        </w:rPr>
        <w:t xml:space="preserve"> 配套设施</w:t>
      </w:r>
      <w:r>
        <w:rPr>
          <w:rFonts w:hint="eastAsia"/>
        </w:rPr>
        <w:tab/>
      </w:r>
      <w:r>
        <w:rPr>
          <w:rFonts w:hint="eastAsia"/>
        </w:rPr>
        <w:fldChar w:fldCharType="begin"/>
      </w:r>
      <w:r>
        <w:rPr>
          <w:rFonts w:hint="eastAsia"/>
        </w:rPr>
        <w:instrText xml:space="preserve"> </w:instrText>
      </w:r>
      <w:r>
        <w:instrText xml:space="preserve">PAGEREF _Toc209010715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4F2E9F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"_Toc209010716" </w:instrText>
      </w:r>
      <w:r>
        <w:fldChar w:fldCharType="separate"/>
      </w:r>
      <w:r>
        <w:rPr>
          <w:rStyle w:val="32"/>
          <w:rFonts w:hint="eastAsia"/>
          <w14:scene3d>
            <w14:lightRig w14:rig="threePt" w14:dir="t">
              <w14:rot w14:lat="0" w14:lon="0" w14:rev="0"/>
            </w14:lightRig>
          </w14:scene3d>
        </w:rPr>
        <w:t>4.5</w:t>
      </w:r>
      <w:r>
        <w:rPr>
          <w:rStyle w:val="32"/>
          <w14:scene3d>
            <w14:lightRig w14:rig="threePt" w14:dir="t">
              <w14:rot w14:lat="0" w14:lon="0" w14:rev="0"/>
            </w14:lightRig>
          </w14:scene3d>
        </w:rPr>
        <w:t xml:space="preserve"> </w:t>
      </w:r>
      <w:r>
        <w:rPr>
          <w:rStyle w:val="32"/>
          <w:rFonts w:hint="eastAsia"/>
        </w:rPr>
        <w:t xml:space="preserve"> 平台</w:t>
      </w:r>
      <w:r>
        <w:rPr>
          <w:rFonts w:hint="eastAsia"/>
        </w:rPr>
        <w:tab/>
      </w:r>
      <w:r>
        <w:rPr>
          <w:rFonts w:hint="eastAsia"/>
        </w:rPr>
        <w:fldChar w:fldCharType="begin"/>
      </w:r>
      <w:r>
        <w:rPr>
          <w:rFonts w:hint="eastAsia"/>
        </w:rPr>
        <w:instrText xml:space="preserve"> </w:instrText>
      </w:r>
      <w:r>
        <w:instrText xml:space="preserve">PAGEREF _Toc209010716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607492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"_Toc209010717" </w:instrText>
      </w:r>
      <w:r>
        <w:fldChar w:fldCharType="separate"/>
      </w:r>
      <w:r>
        <w:rPr>
          <w:rStyle w:val="32"/>
          <w:rFonts w:hint="eastAsia"/>
        </w:rPr>
        <w:t>5</w:t>
      </w:r>
      <w:r>
        <w:rPr>
          <w:rStyle w:val="32"/>
        </w:rPr>
        <w:t xml:space="preserve"> </w:t>
      </w:r>
      <w:r>
        <w:rPr>
          <w:rStyle w:val="32"/>
          <w:rFonts w:hint="eastAsia"/>
        </w:rPr>
        <w:t xml:space="preserve"> 运营管理</w:t>
      </w:r>
      <w:r>
        <w:rPr>
          <w:rFonts w:hint="eastAsia"/>
        </w:rPr>
        <w:tab/>
      </w:r>
      <w:r>
        <w:rPr>
          <w:rFonts w:hint="eastAsia"/>
        </w:rPr>
        <w:fldChar w:fldCharType="begin"/>
      </w:r>
      <w:r>
        <w:rPr>
          <w:rFonts w:hint="eastAsia"/>
        </w:rPr>
        <w:instrText xml:space="preserve"> </w:instrText>
      </w:r>
      <w:r>
        <w:instrText xml:space="preserve">PAGEREF _Toc209010717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08D55F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"_Toc209010718" </w:instrText>
      </w:r>
      <w:r>
        <w:fldChar w:fldCharType="separate"/>
      </w:r>
      <w:r>
        <w:rPr>
          <w:rStyle w:val="32"/>
          <w:rFonts w:hint="eastAsia"/>
          <w14:scene3d>
            <w14:lightRig w14:rig="threePt" w14:dir="t">
              <w14:rot w14:lat="0" w14:lon="0" w14:rev="0"/>
            </w14:lightRig>
          </w14:scene3d>
        </w:rPr>
        <w:t>5.1</w:t>
      </w:r>
      <w:r>
        <w:rPr>
          <w:rStyle w:val="32"/>
          <w14:scene3d>
            <w14:lightRig w14:rig="threePt" w14:dir="t">
              <w14:rot w14:lat="0" w14:lon="0" w14:rev="0"/>
            </w14:lightRig>
          </w14:scene3d>
        </w:rPr>
        <w:t xml:space="preserve"> </w:t>
      </w:r>
      <w:r>
        <w:rPr>
          <w:rStyle w:val="32"/>
          <w:rFonts w:hint="eastAsia"/>
        </w:rPr>
        <w:t xml:space="preserve"> 运营主体</w:t>
      </w:r>
      <w:r>
        <w:rPr>
          <w:rFonts w:hint="eastAsia"/>
        </w:rPr>
        <w:tab/>
      </w:r>
      <w:r>
        <w:rPr>
          <w:rFonts w:hint="eastAsia"/>
        </w:rPr>
        <w:fldChar w:fldCharType="begin"/>
      </w:r>
      <w:r>
        <w:rPr>
          <w:rFonts w:hint="eastAsia"/>
        </w:rPr>
        <w:instrText xml:space="preserve"> </w:instrText>
      </w:r>
      <w:r>
        <w:instrText xml:space="preserve">PAGEREF _Toc209010718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928FDC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"_Toc209010719" </w:instrText>
      </w:r>
      <w:r>
        <w:fldChar w:fldCharType="separate"/>
      </w:r>
      <w:r>
        <w:rPr>
          <w:rStyle w:val="32"/>
          <w:rFonts w:hint="eastAsia"/>
          <w14:scene3d>
            <w14:lightRig w14:rig="threePt" w14:dir="t">
              <w14:rot w14:lat="0" w14:lon="0" w14:rev="0"/>
            </w14:lightRig>
          </w14:scene3d>
        </w:rPr>
        <w:t>5.2</w:t>
      </w:r>
      <w:r>
        <w:rPr>
          <w:rStyle w:val="32"/>
          <w14:scene3d>
            <w14:lightRig w14:rig="threePt" w14:dir="t">
              <w14:rot w14:lat="0" w14:lon="0" w14:rev="0"/>
            </w14:lightRig>
          </w14:scene3d>
        </w:rPr>
        <w:t xml:space="preserve"> </w:t>
      </w:r>
      <w:r>
        <w:rPr>
          <w:rStyle w:val="32"/>
          <w:rFonts w:hint="eastAsia"/>
        </w:rPr>
        <w:t xml:space="preserve"> 管理</w:t>
      </w:r>
      <w:r>
        <w:rPr>
          <w:rFonts w:hint="eastAsia"/>
        </w:rPr>
        <w:tab/>
      </w:r>
      <w:r>
        <w:rPr>
          <w:rFonts w:hint="eastAsia"/>
        </w:rPr>
        <w:fldChar w:fldCharType="begin"/>
      </w:r>
      <w:r>
        <w:rPr>
          <w:rFonts w:hint="eastAsia"/>
        </w:rPr>
        <w:instrText xml:space="preserve"> </w:instrText>
      </w:r>
      <w:r>
        <w:instrText xml:space="preserve">PAGEREF _Toc209010719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49C11C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"_Toc209010720" </w:instrText>
      </w:r>
      <w:r>
        <w:fldChar w:fldCharType="separate"/>
      </w:r>
      <w:r>
        <w:rPr>
          <w:rStyle w:val="32"/>
          <w:rFonts w:hint="eastAsia"/>
          <w14:scene3d>
            <w14:lightRig w14:rig="threePt" w14:dir="t">
              <w14:rot w14:lat="0" w14:lon="0" w14:rev="0"/>
            </w14:lightRig>
          </w14:scene3d>
        </w:rPr>
        <w:t>5.3</w:t>
      </w:r>
      <w:r>
        <w:rPr>
          <w:rStyle w:val="32"/>
          <w14:scene3d>
            <w14:lightRig w14:rig="threePt" w14:dir="t">
              <w14:rot w14:lat="0" w14:lon="0" w14:rev="0"/>
            </w14:lightRig>
          </w14:scene3d>
        </w:rPr>
        <w:t xml:space="preserve"> </w:t>
      </w:r>
      <w:r>
        <w:rPr>
          <w:rStyle w:val="32"/>
          <w:rFonts w:hint="eastAsia"/>
        </w:rPr>
        <w:t xml:space="preserve"> 运营作业</w:t>
      </w:r>
      <w:r>
        <w:rPr>
          <w:rFonts w:hint="eastAsia"/>
        </w:rPr>
        <w:tab/>
      </w:r>
      <w:r>
        <w:rPr>
          <w:rFonts w:hint="eastAsia"/>
        </w:rPr>
        <w:fldChar w:fldCharType="begin"/>
      </w:r>
      <w:r>
        <w:rPr>
          <w:rFonts w:hint="eastAsia"/>
        </w:rPr>
        <w:instrText xml:space="preserve"> </w:instrText>
      </w:r>
      <w:r>
        <w:instrText xml:space="preserve">PAGEREF _Toc209010720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2630DB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"_Toc209010721" </w:instrText>
      </w:r>
      <w:r>
        <w:fldChar w:fldCharType="separate"/>
      </w:r>
      <w:r>
        <w:rPr>
          <w:rStyle w:val="32"/>
          <w:rFonts w:hint="eastAsia"/>
          <w14:scene3d>
            <w14:lightRig w14:rig="threePt" w14:dir="t">
              <w14:rot w14:lat="0" w14:lon="0" w14:rev="0"/>
            </w14:lightRig>
          </w14:scene3d>
        </w:rPr>
        <w:t>5.4</w:t>
      </w:r>
      <w:r>
        <w:rPr>
          <w:rStyle w:val="32"/>
          <w14:scene3d>
            <w14:lightRig w14:rig="threePt" w14:dir="t">
              <w14:rot w14:lat="0" w14:lon="0" w14:rev="0"/>
            </w14:lightRig>
          </w14:scene3d>
        </w:rPr>
        <w:t xml:space="preserve"> </w:t>
      </w:r>
      <w:r>
        <w:rPr>
          <w:rStyle w:val="32"/>
          <w:rFonts w:hint="eastAsia"/>
        </w:rPr>
        <w:t xml:space="preserve"> 运营路面</w:t>
      </w:r>
      <w:r>
        <w:rPr>
          <w:rFonts w:hint="eastAsia"/>
        </w:rPr>
        <w:tab/>
      </w:r>
      <w:r>
        <w:rPr>
          <w:rFonts w:hint="eastAsia"/>
        </w:rPr>
        <w:fldChar w:fldCharType="begin"/>
      </w:r>
      <w:r>
        <w:rPr>
          <w:rFonts w:hint="eastAsia"/>
        </w:rPr>
        <w:instrText xml:space="preserve"> </w:instrText>
      </w:r>
      <w:r>
        <w:instrText xml:space="preserve">PAGEREF _Toc209010721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D12A43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"_Toc209010722" </w:instrText>
      </w:r>
      <w:r>
        <w:fldChar w:fldCharType="separate"/>
      </w:r>
      <w:r>
        <w:rPr>
          <w:rStyle w:val="32"/>
          <w:rFonts w:hint="eastAsia"/>
          <w14:scene3d>
            <w14:lightRig w14:rig="threePt" w14:dir="t">
              <w14:rot w14:lat="0" w14:lon="0" w14:rev="0"/>
            </w14:lightRig>
          </w14:scene3d>
        </w:rPr>
        <w:t>5.5</w:t>
      </w:r>
      <w:r>
        <w:rPr>
          <w:rStyle w:val="32"/>
          <w14:scene3d>
            <w14:lightRig w14:rig="threePt" w14:dir="t">
              <w14:rot w14:lat="0" w14:lon="0" w14:rev="0"/>
            </w14:lightRig>
          </w14:scene3d>
        </w:rPr>
        <w:t xml:space="preserve"> </w:t>
      </w:r>
      <w:r>
        <w:rPr>
          <w:rStyle w:val="32"/>
          <w:rFonts w:hint="eastAsia"/>
        </w:rPr>
        <w:t xml:space="preserve"> 运营安全</w:t>
      </w:r>
      <w:r>
        <w:rPr>
          <w:rFonts w:hint="eastAsia"/>
        </w:rPr>
        <w:tab/>
      </w:r>
      <w:r>
        <w:rPr>
          <w:rFonts w:hint="eastAsia"/>
        </w:rPr>
        <w:fldChar w:fldCharType="begin"/>
      </w:r>
      <w:r>
        <w:rPr>
          <w:rFonts w:hint="eastAsia"/>
        </w:rPr>
        <w:instrText xml:space="preserve"> </w:instrText>
      </w:r>
      <w:r>
        <w:instrText xml:space="preserve">PAGEREF _Toc209010722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F3381D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"_Toc209010723"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_Toc209010723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6F5F13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96F7198">
      <w:pPr>
        <w:pStyle w:val="89"/>
        <w:spacing w:before="900" w:after="468"/>
      </w:pPr>
      <w:bookmarkStart w:id="23" w:name="_Toc209010707"/>
      <w:bookmarkStart w:id="24" w:name="BookMark2"/>
      <w:r>
        <w:rPr>
          <w:rFonts w:hint="eastAsia"/>
          <w:spacing w:val="320"/>
        </w:rPr>
        <w:t>前</w:t>
      </w:r>
      <w:r>
        <w:rPr>
          <w:rFonts w:hint="eastAsia"/>
        </w:rPr>
        <w:t>言</w:t>
      </w:r>
      <w:bookmarkEnd w:id="22"/>
      <w:bookmarkEnd w:id="23"/>
    </w:p>
    <w:p w14:paraId="0365B0C2">
      <w:pPr>
        <w:pStyle w:val="56"/>
        <w:ind w:firstLine="420"/>
      </w:pPr>
      <w:r>
        <w:rPr>
          <w:rFonts w:hint="eastAsia"/>
        </w:rPr>
        <w:t>本文件按照GB/T 1.1—2020《标准化工作导则 第1部分：标准化文件的结构和起草规则》的规定起草。</w:t>
      </w:r>
    </w:p>
    <w:p w14:paraId="6F3AC276">
      <w:pPr>
        <w:pStyle w:val="56"/>
        <w:ind w:firstLine="420"/>
      </w:pPr>
      <w:r>
        <w:rPr>
          <w:rFonts w:hint="eastAsia"/>
        </w:rPr>
        <w:t>请注意本文件的某些内容可能涉及专利。本文件的发布机构不承担识别专利的责任。</w:t>
      </w:r>
    </w:p>
    <w:p w14:paraId="3C432DB7">
      <w:pPr>
        <w:pStyle w:val="56"/>
        <w:ind w:firstLine="420"/>
      </w:pPr>
      <w:r>
        <w:rPr>
          <w:rFonts w:hint="eastAsia"/>
        </w:rPr>
        <w:t>本文件由劲旅环境科技股份有限公司提出。</w:t>
      </w:r>
    </w:p>
    <w:p w14:paraId="783DA144">
      <w:pPr>
        <w:pStyle w:val="56"/>
        <w:ind w:firstLine="420"/>
      </w:pPr>
      <w:r>
        <w:rPr>
          <w:rFonts w:hint="eastAsia"/>
        </w:rPr>
        <w:t>本文件由安徽省工业和信息化厅归口。</w:t>
      </w:r>
    </w:p>
    <w:p w14:paraId="6F609B19">
      <w:pPr>
        <w:pStyle w:val="56"/>
        <w:ind w:firstLine="420"/>
      </w:pPr>
      <w:r>
        <w:rPr>
          <w:rFonts w:hint="eastAsia"/>
        </w:rPr>
        <w:t>本文件起草单位：劲旅环境科技股份有限公司、安徽劲威物联网科技有限公司、安徽劲旅环境治理服务有限公司、安徽君联环境产业投资有限公司。</w:t>
      </w:r>
    </w:p>
    <w:p w14:paraId="682AEF69">
      <w:pPr>
        <w:pStyle w:val="56"/>
        <w:ind w:firstLine="420"/>
      </w:pPr>
      <w:r>
        <w:rPr>
          <w:rFonts w:hint="eastAsia"/>
        </w:rPr>
        <w:t>本文件主要起草人：于晓霞、王传华、于晓娟、郑磊、韦競、于洪波、徐泽田、郝剑峰。</w:t>
      </w:r>
    </w:p>
    <w:p w14:paraId="522F8D8C">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05561E1D">
      <w:pPr>
        <w:spacing w:line="20" w:lineRule="exact"/>
        <w:jc w:val="center"/>
        <w:rPr>
          <w:rFonts w:hint="eastAsia" w:ascii="黑体" w:hAnsi="黑体" w:eastAsia="黑体"/>
          <w:sz w:val="32"/>
          <w:szCs w:val="32"/>
        </w:rPr>
      </w:pPr>
      <w:bookmarkStart w:id="25" w:name="BookMark4"/>
    </w:p>
    <w:p w14:paraId="53CDE160">
      <w:pPr>
        <w:spacing w:line="20" w:lineRule="exact"/>
        <w:jc w:val="center"/>
        <w:rPr>
          <w:rFonts w:hint="eastAsia" w:ascii="黑体" w:hAnsi="黑体" w:eastAsia="黑体"/>
          <w:sz w:val="32"/>
          <w:szCs w:val="32"/>
        </w:rPr>
      </w:pPr>
    </w:p>
    <w:sdt>
      <w:sdtPr>
        <w:tag w:val="NEW_STAND_NAME"/>
        <w:id w:val="595910757"/>
        <w:lock w:val="sdtLocked"/>
        <w:placeholder>
          <w:docPart w:val="02103487AAEF483E9C6F97DB047B2100"/>
        </w:placeholder>
      </w:sdtPr>
      <w:sdtContent>
        <w:p w14:paraId="1C4C0B79">
          <w:pPr>
            <w:pStyle w:val="177"/>
            <w:spacing w:before="3" w:beforeLines="1" w:after="686" w:afterLines="220"/>
            <w:rPr>
              <w:rFonts w:hint="eastAsia"/>
            </w:rPr>
          </w:pPr>
          <w:bookmarkStart w:id="26" w:name="NEW_STAND_NAME"/>
          <w:r>
            <w:rPr>
              <w:rFonts w:hint="eastAsia"/>
            </w:rPr>
            <w:t>自动驾驶环卫车运营规范</w:t>
          </w:r>
        </w:p>
      </w:sdtContent>
    </w:sdt>
    <w:bookmarkEnd w:id="26"/>
    <w:p w14:paraId="2C60F481">
      <w:pPr>
        <w:pStyle w:val="104"/>
        <w:spacing w:before="312" w:after="312"/>
      </w:pPr>
      <w:bookmarkStart w:id="27" w:name="_Toc24884218"/>
      <w:bookmarkStart w:id="28" w:name="_Toc26986771"/>
      <w:bookmarkStart w:id="29" w:name="_Toc24884211"/>
      <w:bookmarkStart w:id="30" w:name="_Toc206859154"/>
      <w:bookmarkStart w:id="31" w:name="_Toc209010708"/>
      <w:bookmarkStart w:id="32" w:name="_Toc17233333"/>
      <w:bookmarkStart w:id="33" w:name="_Toc26986530"/>
      <w:bookmarkStart w:id="34" w:name="_Toc17233325"/>
      <w:bookmarkStart w:id="35" w:name="_Toc97191423"/>
      <w:bookmarkStart w:id="36" w:name="_Toc26718930"/>
      <w:bookmarkStart w:id="37" w:name="_Toc26648465"/>
      <w:r>
        <w:rPr>
          <w:rFonts w:hint="eastAsia"/>
        </w:rPr>
        <w:t>范围</w:t>
      </w:r>
      <w:bookmarkEnd w:id="27"/>
      <w:bookmarkEnd w:id="28"/>
      <w:bookmarkEnd w:id="29"/>
      <w:bookmarkEnd w:id="30"/>
      <w:bookmarkEnd w:id="31"/>
      <w:bookmarkEnd w:id="32"/>
      <w:bookmarkEnd w:id="33"/>
      <w:bookmarkEnd w:id="34"/>
      <w:bookmarkEnd w:id="35"/>
      <w:bookmarkEnd w:id="36"/>
      <w:bookmarkEnd w:id="37"/>
    </w:p>
    <w:p w14:paraId="1E90C0A6">
      <w:pPr>
        <w:pStyle w:val="56"/>
        <w:ind w:firstLine="420"/>
      </w:pPr>
      <w:bookmarkStart w:id="38" w:name="_Toc24884212"/>
      <w:bookmarkStart w:id="39" w:name="_Toc17233334"/>
      <w:bookmarkStart w:id="40" w:name="_Toc26648466"/>
      <w:bookmarkStart w:id="41" w:name="_Toc24884219"/>
      <w:bookmarkStart w:id="42" w:name="_Toc17233326"/>
      <w:r>
        <w:rPr>
          <w:rFonts w:hint="eastAsia"/>
        </w:rPr>
        <w:t>本文件规定了自动驾驶环卫车辆的一般要求以及运营管理。</w:t>
      </w:r>
    </w:p>
    <w:p w14:paraId="323B543B">
      <w:pPr>
        <w:pStyle w:val="56"/>
        <w:ind w:firstLine="420"/>
      </w:pPr>
      <w:r>
        <w:rPr>
          <w:rFonts w:hint="eastAsia"/>
        </w:rPr>
        <w:t>本文件适用于具备L3级及以上自动化驾驶能力的洗扫车、洒水车、收运车等环卫车。</w:t>
      </w:r>
    </w:p>
    <w:p w14:paraId="291B308E">
      <w:pPr>
        <w:pStyle w:val="104"/>
        <w:spacing w:before="312" w:after="312"/>
      </w:pPr>
      <w:bookmarkStart w:id="43" w:name="_Toc26986531"/>
      <w:bookmarkStart w:id="44" w:name="_Toc26718931"/>
      <w:bookmarkStart w:id="45" w:name="_Toc209010709"/>
      <w:bookmarkStart w:id="46" w:name="_Toc97191424"/>
      <w:bookmarkStart w:id="47" w:name="_Toc26986772"/>
      <w:bookmarkStart w:id="48" w:name="_Toc20685915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2D4131BC73B4456A04816436B4E66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322784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6BFFB9">
      <w:pPr>
        <w:pStyle w:val="56"/>
        <w:ind w:firstLine="420"/>
      </w:pPr>
      <w:r>
        <w:rPr>
          <w:rFonts w:hint="eastAsia"/>
        </w:rPr>
        <w:t>GB 3096  声环境质量标准</w:t>
      </w:r>
    </w:p>
    <w:p w14:paraId="463E3931">
      <w:pPr>
        <w:pStyle w:val="56"/>
        <w:ind w:firstLine="420"/>
      </w:pPr>
      <w:r>
        <w:rPr>
          <w:rFonts w:hint="eastAsia"/>
        </w:rPr>
        <w:t>GB/T 29781  电动汽车充电站通用要求</w:t>
      </w:r>
    </w:p>
    <w:p w14:paraId="5C24F699">
      <w:pPr>
        <w:pStyle w:val="56"/>
        <w:ind w:firstLine="420"/>
      </w:pPr>
      <w:r>
        <w:rPr>
          <w:rFonts w:hint="eastAsia"/>
        </w:rPr>
        <w:t>GB/T 31012  环卫车辆设备用图形符号</w:t>
      </w:r>
    </w:p>
    <w:p w14:paraId="111537B5">
      <w:pPr>
        <w:pStyle w:val="56"/>
        <w:ind w:firstLine="420"/>
      </w:pPr>
      <w:r>
        <w:rPr>
          <w:rFonts w:hint="eastAsia"/>
        </w:rPr>
        <w:t>GB/T 40429  汽车自动化分级</w:t>
      </w:r>
    </w:p>
    <w:p w14:paraId="7606D259">
      <w:pPr>
        <w:pStyle w:val="56"/>
        <w:ind w:firstLine="420"/>
      </w:pPr>
      <w:r>
        <w:rPr>
          <w:rFonts w:hint="eastAsia"/>
        </w:rPr>
        <w:t>GB/T 41085  城乡社区环卫清洁服务要求</w:t>
      </w:r>
    </w:p>
    <w:p w14:paraId="7EC097FD">
      <w:pPr>
        <w:pStyle w:val="56"/>
        <w:ind w:firstLine="420"/>
      </w:pPr>
      <w:r>
        <w:rPr>
          <w:rFonts w:hint="eastAsia"/>
        </w:rPr>
        <w:t>JB/T 10856  道路施工与养护机械设备 扫路机</w:t>
      </w:r>
    </w:p>
    <w:p w14:paraId="3D93C843">
      <w:pPr>
        <w:pStyle w:val="56"/>
        <w:ind w:firstLine="420"/>
      </w:pPr>
      <w:r>
        <w:rPr>
          <w:rFonts w:hint="eastAsia"/>
        </w:rPr>
        <w:t>YD/T 3340  基于LTE的车联网无线通信技术空中接口技术要求</w:t>
      </w:r>
    </w:p>
    <w:p w14:paraId="697675D9">
      <w:pPr>
        <w:pStyle w:val="56"/>
        <w:ind w:firstLine="420"/>
      </w:pPr>
      <w:r>
        <w:rPr>
          <w:rFonts w:hint="eastAsia"/>
        </w:rPr>
        <w:t>YD/T 3400  基于LTE的车联网无线通信技术 总体技术要求</w:t>
      </w:r>
    </w:p>
    <w:p w14:paraId="0093F8ED">
      <w:pPr>
        <w:pStyle w:val="104"/>
        <w:spacing w:before="312" w:after="312"/>
      </w:pPr>
      <w:bookmarkStart w:id="49" w:name="_Toc97191425"/>
      <w:bookmarkStart w:id="50" w:name="_Toc206859156"/>
      <w:bookmarkStart w:id="51" w:name="_Toc209010710"/>
      <w:r>
        <w:rPr>
          <w:rFonts w:hint="eastAsia"/>
          <w:szCs w:val="21"/>
        </w:rPr>
        <w:t>术语和定义</w:t>
      </w:r>
      <w:bookmarkEnd w:id="49"/>
      <w:bookmarkEnd w:id="50"/>
      <w:bookmarkEnd w:id="51"/>
    </w:p>
    <w:sdt>
      <w:sdtPr>
        <w:id w:val="-1909835108"/>
        <w:placeholder>
          <w:docPart w:val="655D1D8305014312A429047ABE704B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C14F93">
          <w:pPr>
            <w:pStyle w:val="56"/>
            <w:ind w:firstLine="420"/>
          </w:pPr>
          <w:bookmarkStart w:id="52" w:name="_Toc26986532"/>
          <w:bookmarkEnd w:id="52"/>
          <w:r>
            <w:t>下列术语和定义适用于本文件。</w:t>
          </w:r>
        </w:p>
      </w:sdtContent>
    </w:sdt>
    <w:p w14:paraId="5E168C13">
      <w:pPr>
        <w:pStyle w:val="223"/>
        <w:ind w:left="420" w:hanging="420" w:hangingChars="200"/>
        <w:rPr>
          <w:rFonts w:ascii="黑体" w:hAnsi="黑体" w:eastAsia="黑体"/>
        </w:rPr>
      </w:pPr>
      <w:bookmarkStart w:id="53" w:name="_Toc206859157"/>
      <w:r>
        <w:rPr>
          <w:rFonts w:ascii="黑体" w:hAnsi="黑体" w:eastAsia="黑体"/>
        </w:rPr>
        <w:br w:type="textWrapping"/>
      </w:r>
      <w:r>
        <w:rPr>
          <w:rFonts w:hint="eastAsia" w:ascii="黑体" w:hAnsi="黑体" w:eastAsia="黑体"/>
        </w:rPr>
        <w:t>自动驾驶环卫车  a</w:t>
      </w:r>
      <w:r>
        <w:rPr>
          <w:rFonts w:ascii="黑体" w:hAnsi="黑体" w:eastAsia="黑体"/>
        </w:rPr>
        <w:t>utonomous driving sanitation vehicle</w:t>
      </w:r>
      <w:bookmarkEnd w:id="53"/>
    </w:p>
    <w:p w14:paraId="220899C2">
      <w:pPr>
        <w:pStyle w:val="56"/>
        <w:ind w:firstLine="420"/>
      </w:pPr>
      <w:r>
        <w:rPr>
          <w:rFonts w:hint="eastAsia"/>
        </w:rPr>
        <w:t>由电能驱动行驶和作业，具有洗扫、清洗、吹洗、垃圾收集、转运等一种或多种环卫作业功能，可自主完成指定道路或区域的清扫、保洁作业任务的专用设备。</w:t>
      </w:r>
    </w:p>
    <w:p w14:paraId="3EFF6DAF">
      <w:pPr>
        <w:pStyle w:val="104"/>
        <w:spacing w:before="312" w:after="312"/>
      </w:pPr>
      <w:bookmarkStart w:id="54" w:name="_Toc209010711"/>
      <w:bookmarkStart w:id="55" w:name="_Toc206859158"/>
      <w:r>
        <w:rPr>
          <w:rFonts w:hint="eastAsia"/>
        </w:rPr>
        <w:t>基本要求</w:t>
      </w:r>
      <w:bookmarkEnd w:id="54"/>
      <w:bookmarkEnd w:id="55"/>
    </w:p>
    <w:p w14:paraId="681FB3FB">
      <w:pPr>
        <w:pStyle w:val="105"/>
        <w:spacing w:before="156" w:after="156"/>
      </w:pPr>
      <w:bookmarkStart w:id="56" w:name="_Toc206859159"/>
      <w:bookmarkStart w:id="57" w:name="_Toc209010712"/>
      <w:r>
        <w:rPr>
          <w:rFonts w:hint="eastAsia"/>
        </w:rPr>
        <w:t>环境条件</w:t>
      </w:r>
      <w:bookmarkEnd w:id="56"/>
      <w:bookmarkEnd w:id="57"/>
    </w:p>
    <w:p w14:paraId="2348831F">
      <w:pPr>
        <w:pStyle w:val="165"/>
        <w:ind w:left="0"/>
      </w:pPr>
      <w:r>
        <w:rPr>
          <w:rFonts w:hint="eastAsia"/>
        </w:rPr>
        <w:t>小雨及以下雨量时，保持冲洗洒水作业；中雨及以上雨量或雷阵雨期间，暂停道路冲洗洒水作业；降雨量等级参考GB/T 28592的规定。</w:t>
      </w:r>
    </w:p>
    <w:p w14:paraId="2FDAF50F">
      <w:pPr>
        <w:pStyle w:val="165"/>
        <w:ind w:left="0"/>
      </w:pPr>
      <w:r>
        <w:rPr>
          <w:rFonts w:hint="eastAsia"/>
        </w:rPr>
        <w:t>气温低于4℃时，带水作业宜参考GB/T 41085的道路清扫作业要求。</w:t>
      </w:r>
    </w:p>
    <w:p w14:paraId="7DF80E25">
      <w:pPr>
        <w:pStyle w:val="165"/>
        <w:ind w:left="0"/>
      </w:pPr>
      <w:r>
        <w:rPr>
          <w:rFonts w:hint="eastAsia"/>
        </w:rPr>
        <w:t>当出现道路环境突发事件、突发公共卫生事件和重污染天气时，应按照相关应急预案进行作业。</w:t>
      </w:r>
    </w:p>
    <w:p w14:paraId="3043AF82">
      <w:pPr>
        <w:pStyle w:val="165"/>
        <w:ind w:left="0"/>
      </w:pPr>
      <w:r>
        <w:rPr>
          <w:rFonts w:hint="eastAsia"/>
        </w:rPr>
        <w:t>自动驾驶环卫车辆主要应用于非机动车道、人行道、封闭道路等城镇街道和广场、公园等区域，应避开人行天桥、地下通道、学校周边等路段。</w:t>
      </w:r>
    </w:p>
    <w:p w14:paraId="2FB0D0B0">
      <w:pPr>
        <w:pStyle w:val="105"/>
        <w:spacing w:before="156" w:after="156"/>
      </w:pPr>
      <w:bookmarkStart w:id="58" w:name="_Toc206859160"/>
      <w:bookmarkStart w:id="59" w:name="_Toc209010713"/>
      <w:r>
        <w:rPr>
          <w:rFonts w:hint="eastAsia"/>
        </w:rPr>
        <w:t>车辆</w:t>
      </w:r>
      <w:bookmarkEnd w:id="58"/>
      <w:bookmarkEnd w:id="59"/>
    </w:p>
    <w:p w14:paraId="2D42CE33">
      <w:pPr>
        <w:pStyle w:val="165"/>
        <w:ind w:left="0"/>
      </w:pPr>
      <w:r>
        <w:rPr>
          <w:rFonts w:hint="eastAsia"/>
        </w:rPr>
        <w:t>车辆自动驾驶系统应满足GB/T 40429中L3级及以上技术要求。</w:t>
      </w:r>
    </w:p>
    <w:p w14:paraId="76ED4155">
      <w:pPr>
        <w:pStyle w:val="165"/>
        <w:ind w:left="0"/>
      </w:pPr>
      <w:r>
        <w:rPr>
          <w:rFonts w:hint="eastAsia"/>
        </w:rPr>
        <w:t>车辆遇到障碍物时能绕开或在安全距离前停止。</w:t>
      </w:r>
    </w:p>
    <w:p w14:paraId="06F04CAC">
      <w:pPr>
        <w:pStyle w:val="165"/>
        <w:ind w:left="0"/>
      </w:pPr>
      <w:r>
        <w:rPr>
          <w:rFonts w:hint="eastAsia"/>
        </w:rPr>
        <w:t>视频等关键数据应保存7天以上。</w:t>
      </w:r>
    </w:p>
    <w:p w14:paraId="4BBA2073">
      <w:pPr>
        <w:pStyle w:val="165"/>
        <w:ind w:left="0"/>
      </w:pPr>
      <w:r>
        <w:rPr>
          <w:rFonts w:hint="eastAsia"/>
        </w:rPr>
        <w:t>车辆应符合安全、环保等相关法规和强制性标准的要求。</w:t>
      </w:r>
    </w:p>
    <w:p w14:paraId="3E7BBDEF">
      <w:pPr>
        <w:pStyle w:val="165"/>
        <w:ind w:left="0"/>
      </w:pPr>
      <w:r>
        <w:rPr>
          <w:rFonts w:hint="eastAsia"/>
        </w:rPr>
        <w:t>车辆标识图形应符合GB/T 31012的规定。</w:t>
      </w:r>
    </w:p>
    <w:p w14:paraId="2C3251B7">
      <w:pPr>
        <w:pStyle w:val="105"/>
        <w:spacing w:before="156" w:after="156"/>
      </w:pPr>
      <w:bookmarkStart w:id="60" w:name="_Toc206859161"/>
      <w:bookmarkStart w:id="61" w:name="_Toc209010714"/>
      <w:r>
        <w:rPr>
          <w:rFonts w:hint="eastAsia"/>
        </w:rPr>
        <w:t>路侧设施</w:t>
      </w:r>
      <w:bookmarkEnd w:id="60"/>
      <w:bookmarkEnd w:id="61"/>
    </w:p>
    <w:p w14:paraId="2175B5CB">
      <w:pPr>
        <w:pStyle w:val="165"/>
        <w:ind w:left="0"/>
      </w:pPr>
      <w:r>
        <w:rPr>
          <w:rFonts w:hint="eastAsia"/>
        </w:rPr>
        <w:t>宜具备与路侧设施通信的能力，能获取其他动态交通参与者的位置、方向、行驶状态等信息。</w:t>
      </w:r>
    </w:p>
    <w:p w14:paraId="3BCBFE32">
      <w:pPr>
        <w:pStyle w:val="165"/>
        <w:ind w:left="0"/>
      </w:pPr>
      <w:r>
        <w:rPr>
          <w:rFonts w:hint="eastAsia"/>
        </w:rPr>
        <w:t>宜支持5G和常规通信接口，符合YD/T 3340和YD/T 3400的规定。</w:t>
      </w:r>
    </w:p>
    <w:p w14:paraId="1BE388A7">
      <w:pPr>
        <w:pStyle w:val="165"/>
        <w:ind w:left="0"/>
      </w:pPr>
      <w:r>
        <w:rPr>
          <w:rFonts w:hint="eastAsia"/>
        </w:rPr>
        <w:t>宜支持V2X专用通信通道。</w:t>
      </w:r>
    </w:p>
    <w:p w14:paraId="02FE22E6">
      <w:pPr>
        <w:pStyle w:val="179"/>
        <w:ind w:left="374"/>
      </w:pPr>
      <w:r>
        <w:t>V2X</w:t>
      </w:r>
      <w:r>
        <w:rPr>
          <w:rFonts w:hint="eastAsia"/>
        </w:rPr>
        <w:t>（</w:t>
      </w:r>
      <w:r>
        <w:rPr>
          <w:rFonts w:ascii="Times New Roman"/>
        </w:rPr>
        <w:t>‌</w:t>
      </w:r>
      <w:r>
        <w:t>Vehicle to Everything‌</w:t>
      </w:r>
      <w:r>
        <w:rPr>
          <w:rFonts w:hint="eastAsia"/>
        </w:rPr>
        <w:t>）即“车对外界的信息交换”，是一种以车辆为核心主体的无线通信技术，旨在通过信息交互实现车与周围环境的全方位连接。</w:t>
      </w:r>
    </w:p>
    <w:p w14:paraId="6A8D75D1">
      <w:pPr>
        <w:pStyle w:val="105"/>
        <w:spacing w:before="156" w:after="156"/>
      </w:pPr>
      <w:bookmarkStart w:id="62" w:name="_Toc206859162"/>
      <w:bookmarkStart w:id="63" w:name="_Toc209010715"/>
      <w:r>
        <w:rPr>
          <w:rFonts w:hint="eastAsia"/>
        </w:rPr>
        <w:t>配套</w:t>
      </w:r>
      <w:bookmarkEnd w:id="62"/>
      <w:r>
        <w:rPr>
          <w:rFonts w:hint="eastAsia"/>
        </w:rPr>
        <w:t>设施</w:t>
      </w:r>
      <w:bookmarkEnd w:id="63"/>
    </w:p>
    <w:p w14:paraId="4FEDCFD5">
      <w:pPr>
        <w:pStyle w:val="65"/>
        <w:spacing w:before="156" w:after="156"/>
        <w:ind w:left="0"/>
      </w:pPr>
      <w:bookmarkStart w:id="64" w:name="_Toc206859163"/>
      <w:r>
        <w:rPr>
          <w:rFonts w:hint="eastAsia"/>
        </w:rPr>
        <w:t>一般要求</w:t>
      </w:r>
      <w:bookmarkEnd w:id="64"/>
    </w:p>
    <w:p w14:paraId="714B075A">
      <w:pPr>
        <w:pStyle w:val="164"/>
      </w:pPr>
      <w:r>
        <w:rPr>
          <w:rFonts w:hint="eastAsia"/>
        </w:rPr>
        <w:t>配套设施宜设置路侧通信装置，将停车位占用、空闲等信息提供给自动驾驶环卫车辆。</w:t>
      </w:r>
    </w:p>
    <w:p w14:paraId="6665F3E4">
      <w:pPr>
        <w:pStyle w:val="164"/>
      </w:pPr>
      <w:r>
        <w:rPr>
          <w:rFonts w:hint="eastAsia"/>
        </w:rPr>
        <w:t>支持全自动功能的配套设施，应具备对接定位、自动对接、开启、关闭、复位等功能。</w:t>
      </w:r>
    </w:p>
    <w:p w14:paraId="704A56C1">
      <w:pPr>
        <w:pStyle w:val="65"/>
        <w:spacing w:before="156" w:after="156"/>
        <w:ind w:left="0"/>
        <w:rPr>
          <w:szCs w:val="21"/>
        </w:rPr>
      </w:pPr>
      <w:bookmarkStart w:id="65" w:name="_Toc206859164"/>
      <w:r>
        <w:rPr>
          <w:rFonts w:hint="eastAsia"/>
        </w:rPr>
        <w:t>停车点</w:t>
      </w:r>
      <w:bookmarkEnd w:id="65"/>
    </w:p>
    <w:p w14:paraId="6EEF1DA6">
      <w:pPr>
        <w:pStyle w:val="164"/>
      </w:pPr>
      <w:r>
        <w:rPr>
          <w:rFonts w:hint="eastAsia"/>
        </w:rPr>
        <w:t>运行区域内应设置自动驾驶环卫车辆专用停车点，并在作业地图中标识。</w:t>
      </w:r>
    </w:p>
    <w:p w14:paraId="66516D1A">
      <w:pPr>
        <w:pStyle w:val="164"/>
      </w:pPr>
      <w:r>
        <w:rPr>
          <w:rFonts w:hint="eastAsia"/>
        </w:rPr>
        <w:t>停车位数量宜不小于区域内自动驾驶环卫车辆总数。</w:t>
      </w:r>
    </w:p>
    <w:p w14:paraId="5CD36BC4">
      <w:pPr>
        <w:pStyle w:val="65"/>
        <w:spacing w:before="156" w:after="156"/>
        <w:ind w:left="0"/>
        <w:rPr>
          <w:szCs w:val="21"/>
        </w:rPr>
      </w:pPr>
      <w:bookmarkStart w:id="66" w:name="_Toc206859165"/>
      <w:r>
        <w:rPr>
          <w:rFonts w:hint="eastAsia"/>
        </w:rPr>
        <w:t>收集点</w:t>
      </w:r>
      <w:bookmarkEnd w:id="66"/>
    </w:p>
    <w:p w14:paraId="35DA1891">
      <w:pPr>
        <w:pStyle w:val="164"/>
      </w:pPr>
      <w:r>
        <w:rPr>
          <w:rFonts w:hint="eastAsia"/>
        </w:rPr>
        <w:t>运营区域内应设置至少一处收集点，并在作业地图中标识。</w:t>
      </w:r>
    </w:p>
    <w:p w14:paraId="0AED4EC4">
      <w:pPr>
        <w:pStyle w:val="164"/>
      </w:pPr>
      <w:r>
        <w:rPr>
          <w:rFonts w:hint="eastAsia"/>
        </w:rPr>
        <w:t>收集点的总容量应满足收集条件。</w:t>
      </w:r>
    </w:p>
    <w:p w14:paraId="4CF371BF">
      <w:pPr>
        <w:pStyle w:val="65"/>
        <w:spacing w:before="156" w:after="156"/>
        <w:ind w:left="0"/>
      </w:pPr>
      <w:bookmarkStart w:id="67" w:name="_Toc206859166"/>
      <w:r>
        <w:rPr>
          <w:rFonts w:hint="eastAsia"/>
        </w:rPr>
        <w:t>充电点</w:t>
      </w:r>
      <w:bookmarkEnd w:id="67"/>
    </w:p>
    <w:p w14:paraId="325F7D3C">
      <w:pPr>
        <w:pStyle w:val="164"/>
      </w:pPr>
      <w:r>
        <w:rPr>
          <w:rFonts w:hint="eastAsia"/>
        </w:rPr>
        <w:t>运营区域内应设置至少一处充电点，充电点位置应考虑车辆作业续航能力和服务半径，并在作业地图中标识。</w:t>
      </w:r>
    </w:p>
    <w:p w14:paraId="14544044">
      <w:pPr>
        <w:pStyle w:val="164"/>
      </w:pPr>
      <w:r>
        <w:rPr>
          <w:rFonts w:hint="eastAsia"/>
        </w:rPr>
        <w:t>充电设施标识标志、充电设备、接口等应符合GB/T 29781的规定。</w:t>
      </w:r>
    </w:p>
    <w:p w14:paraId="7F321F88">
      <w:pPr>
        <w:pStyle w:val="65"/>
        <w:spacing w:before="156" w:after="156"/>
        <w:ind w:left="0"/>
      </w:pPr>
      <w:bookmarkStart w:id="68" w:name="_Toc206859167"/>
      <w:r>
        <w:rPr>
          <w:rFonts w:hint="eastAsia"/>
        </w:rPr>
        <w:t>加水点</w:t>
      </w:r>
      <w:bookmarkEnd w:id="68"/>
    </w:p>
    <w:p w14:paraId="40F09267">
      <w:pPr>
        <w:pStyle w:val="164"/>
      </w:pPr>
      <w:r>
        <w:rPr>
          <w:rFonts w:hint="eastAsia"/>
        </w:rPr>
        <w:t>运营区域内应设置至少一处加水点,加水点位置应考虑车辆作业续航能力和服务半径,并在作业地图中标识。</w:t>
      </w:r>
    </w:p>
    <w:p w14:paraId="682D45C5">
      <w:pPr>
        <w:pStyle w:val="105"/>
        <w:spacing w:before="156" w:after="156"/>
      </w:pPr>
      <w:bookmarkStart w:id="69" w:name="_Toc206859168"/>
      <w:bookmarkStart w:id="70" w:name="_Toc209010716"/>
      <w:r>
        <w:rPr>
          <w:rFonts w:hint="eastAsia"/>
        </w:rPr>
        <w:t>平台</w:t>
      </w:r>
      <w:bookmarkEnd w:id="69"/>
      <w:bookmarkEnd w:id="70"/>
    </w:p>
    <w:p w14:paraId="2BDA73EE">
      <w:pPr>
        <w:pStyle w:val="165"/>
        <w:ind w:left="0"/>
      </w:pPr>
      <w:r>
        <w:rPr>
          <w:rFonts w:hint="eastAsia"/>
        </w:rPr>
        <w:t>应具备对自动驾驶环卫车辆运行状态进行实时监控的功能，包括但不限于速度、位置、水量、电量、续航里程、作业工况等。</w:t>
      </w:r>
    </w:p>
    <w:p w14:paraId="769E315F">
      <w:pPr>
        <w:pStyle w:val="165"/>
        <w:ind w:left="0"/>
      </w:pPr>
      <w:r>
        <w:rPr>
          <w:rFonts w:hint="eastAsia"/>
        </w:rPr>
        <w:t>应具备自动驾驶环卫车辆故障诊断、信息提示的功能。</w:t>
      </w:r>
    </w:p>
    <w:p w14:paraId="2DD90765">
      <w:pPr>
        <w:pStyle w:val="165"/>
        <w:ind w:left="0"/>
      </w:pPr>
      <w:r>
        <w:rPr>
          <w:rFonts w:hint="eastAsia"/>
        </w:rPr>
        <w:t>应具备远程控制自动驾驶环卫车辆的功能。</w:t>
      </w:r>
    </w:p>
    <w:p w14:paraId="79FD6728">
      <w:pPr>
        <w:pStyle w:val="165"/>
        <w:ind w:left="0"/>
      </w:pPr>
      <w:r>
        <w:rPr>
          <w:rFonts w:hint="eastAsia"/>
        </w:rPr>
        <w:t>应具备自动驾驶环卫车辆任务调度的功能，包括但不限于自动唤醒、远程召车、远程锁车、定点作业、贴边清扫作业、路径规划等远程操作。</w:t>
      </w:r>
    </w:p>
    <w:p w14:paraId="096B75F3">
      <w:pPr>
        <w:pStyle w:val="165"/>
        <w:ind w:left="0"/>
      </w:pPr>
      <w:r>
        <w:rPr>
          <w:rFonts w:hint="eastAsia"/>
        </w:rPr>
        <w:t>应具备自动驾驶环卫车辆运行过程事件记录（含图片或视频）功能。</w:t>
      </w:r>
    </w:p>
    <w:p w14:paraId="7A98AE09">
      <w:pPr>
        <w:pStyle w:val="165"/>
        <w:ind w:left="0"/>
      </w:pPr>
      <w:r>
        <w:rPr>
          <w:rFonts w:hint="eastAsia"/>
        </w:rPr>
        <w:t>应具备对各部件（包括线控车辆及车辆内部的电池、计算平台、GNSS/MU）通信协议信息、故障诊断信息的保存关键日志记录功能，并提供记录的查询接口。</w:t>
      </w:r>
    </w:p>
    <w:p w14:paraId="4E598967">
      <w:pPr>
        <w:pStyle w:val="165"/>
        <w:ind w:left="0"/>
      </w:pPr>
      <w:r>
        <w:rPr>
          <w:rFonts w:hint="eastAsia"/>
        </w:rPr>
        <w:t>应监测对各部件状态，出现故障时可进行保护，并向其他交互系统实时推送预警信息。</w:t>
      </w:r>
    </w:p>
    <w:p w14:paraId="5BF91141">
      <w:pPr>
        <w:pStyle w:val="165"/>
        <w:ind w:left="0"/>
      </w:pPr>
      <w:r>
        <w:rPr>
          <w:rFonts w:hint="eastAsia"/>
        </w:rPr>
        <w:t>应具备与道路交通信号灯、路侧设施、其他自动驾驶车辆等获取能力。</w:t>
      </w:r>
    </w:p>
    <w:p w14:paraId="7D17C679">
      <w:pPr>
        <w:pStyle w:val="104"/>
        <w:spacing w:before="312" w:after="312"/>
      </w:pPr>
      <w:bookmarkStart w:id="71" w:name="_Toc209010717"/>
      <w:bookmarkStart w:id="72" w:name="_Toc206859169"/>
      <w:r>
        <w:rPr>
          <w:rFonts w:hint="eastAsia"/>
        </w:rPr>
        <w:t>运营管理</w:t>
      </w:r>
      <w:bookmarkEnd w:id="71"/>
      <w:bookmarkEnd w:id="72"/>
    </w:p>
    <w:p w14:paraId="14260453">
      <w:pPr>
        <w:pStyle w:val="105"/>
        <w:spacing w:before="156" w:after="156"/>
      </w:pPr>
      <w:bookmarkStart w:id="73" w:name="_Toc209010718"/>
      <w:bookmarkStart w:id="74" w:name="_Toc206859170"/>
      <w:r>
        <w:rPr>
          <w:rFonts w:hint="eastAsia"/>
        </w:rPr>
        <w:t>运营主体</w:t>
      </w:r>
      <w:bookmarkEnd w:id="73"/>
      <w:bookmarkEnd w:id="74"/>
    </w:p>
    <w:p w14:paraId="11809B14">
      <w:pPr>
        <w:pStyle w:val="165"/>
        <w:ind w:left="0"/>
      </w:pPr>
      <w:r>
        <w:rPr>
          <w:rFonts w:hint="eastAsia"/>
        </w:rPr>
        <w:t>应具备独立法人资质和城市生活垃圾经营性清扫、收集、运输服务许可资质。</w:t>
      </w:r>
    </w:p>
    <w:p w14:paraId="0DCA0737">
      <w:pPr>
        <w:pStyle w:val="165"/>
        <w:ind w:left="0"/>
      </w:pPr>
      <w:r>
        <w:rPr>
          <w:rFonts w:hint="eastAsia"/>
        </w:rPr>
        <w:t>应有固定的运营场所和停车点。</w:t>
      </w:r>
    </w:p>
    <w:p w14:paraId="1A837E42">
      <w:pPr>
        <w:pStyle w:val="165"/>
        <w:ind w:left="0"/>
      </w:pPr>
      <w:r>
        <w:rPr>
          <w:rFonts w:hint="eastAsia"/>
        </w:rPr>
        <w:t>应有健全的运营管理制度和安全生产管理制度。</w:t>
      </w:r>
    </w:p>
    <w:p w14:paraId="418F6312">
      <w:pPr>
        <w:pStyle w:val="165"/>
        <w:ind w:left="0"/>
      </w:pPr>
      <w:r>
        <w:rPr>
          <w:rFonts w:hint="eastAsia"/>
        </w:rPr>
        <w:t>宜独立设置运营部门，并配置自动驾驶环卫车辆运营管理平台。</w:t>
      </w:r>
    </w:p>
    <w:p w14:paraId="34D8931D">
      <w:pPr>
        <w:pStyle w:val="165"/>
        <w:ind w:left="0"/>
      </w:pPr>
      <w:r>
        <w:rPr>
          <w:rFonts w:hint="eastAsia"/>
        </w:rPr>
        <w:t>应对运营车辆配备经过专业培训的安全员，安全员还应具备对应车辆的驾驶证。</w:t>
      </w:r>
    </w:p>
    <w:p w14:paraId="739096C0">
      <w:pPr>
        <w:pStyle w:val="105"/>
        <w:spacing w:before="156" w:after="156"/>
      </w:pPr>
      <w:bookmarkStart w:id="75" w:name="_Toc206859171"/>
      <w:bookmarkStart w:id="76" w:name="_Toc209010719"/>
      <w:r>
        <w:rPr>
          <w:rFonts w:hint="eastAsia"/>
        </w:rPr>
        <w:t>管理</w:t>
      </w:r>
      <w:bookmarkEnd w:id="75"/>
      <w:bookmarkEnd w:id="76"/>
    </w:p>
    <w:p w14:paraId="0CF42E14">
      <w:pPr>
        <w:pStyle w:val="165"/>
        <w:ind w:left="0"/>
      </w:pPr>
      <w:r>
        <w:rPr>
          <w:rFonts w:hint="eastAsia"/>
        </w:rPr>
        <w:t>运营主体应对自动驾驶环卫车辆、运行区域、运行路线</w:t>
      </w:r>
      <w:r>
        <w:rPr>
          <w:rFonts w:hint="default"/>
        </w:rPr>
        <w:t>等</w:t>
      </w:r>
      <w:r>
        <w:rPr>
          <w:rFonts w:hint="eastAsia"/>
        </w:rPr>
        <w:t>按当地主管部门要求进行备案或自我</w:t>
      </w:r>
      <w:r>
        <w:rPr>
          <w:rFonts w:hint="eastAsia"/>
          <w:lang w:val="en-US" w:eastAsia="zh-CN"/>
        </w:rPr>
        <w:t>声</w:t>
      </w:r>
      <w:r>
        <w:rPr>
          <w:rFonts w:hint="eastAsia"/>
        </w:rPr>
        <w:t>明。</w:t>
      </w:r>
    </w:p>
    <w:p w14:paraId="0E985F27">
      <w:pPr>
        <w:pStyle w:val="165"/>
        <w:ind w:left="0"/>
      </w:pPr>
      <w:r>
        <w:rPr>
          <w:rFonts w:hint="eastAsia"/>
        </w:rPr>
        <w:t>负责作业任务分配和车辆运行管理，包含对运营车辆进行车辆检查和运营登记，日常作业信息归档等。</w:t>
      </w:r>
    </w:p>
    <w:p w14:paraId="06872341">
      <w:pPr>
        <w:pStyle w:val="165"/>
        <w:ind w:left="0"/>
      </w:pPr>
      <w:r>
        <w:rPr>
          <w:rFonts w:hint="eastAsia"/>
        </w:rPr>
        <w:t>车辆每日作业前应</w:t>
      </w:r>
      <w:bookmarkStart w:id="88" w:name="_GoBack"/>
      <w:bookmarkEnd w:id="88"/>
      <w:r>
        <w:rPr>
          <w:rFonts w:hint="eastAsia"/>
        </w:rPr>
        <w:t>人工点检人机交互显示屏是否正常；轮胎气压、外部声音交互装置、制动、车载传感器、环卫上装等由各系统自检并反馈状态，人工确认是否正常。</w:t>
      </w:r>
    </w:p>
    <w:p w14:paraId="09601E0D">
      <w:pPr>
        <w:pStyle w:val="165"/>
        <w:ind w:left="0"/>
      </w:pPr>
      <w:r>
        <w:rPr>
          <w:rFonts w:hint="eastAsia"/>
        </w:rPr>
        <w:t>车辆外观、内饰、玻璃、车门、照明、充电装置、随车工具等应实行日检查、周保养、月检测。</w:t>
      </w:r>
    </w:p>
    <w:p w14:paraId="476D9D5B">
      <w:pPr>
        <w:pStyle w:val="105"/>
        <w:spacing w:before="156" w:after="156"/>
      </w:pPr>
      <w:bookmarkStart w:id="77" w:name="_Toc206859172"/>
      <w:bookmarkStart w:id="78" w:name="_Toc209010720"/>
      <w:r>
        <w:rPr>
          <w:rFonts w:hint="eastAsia"/>
        </w:rPr>
        <w:t>运营作业</w:t>
      </w:r>
      <w:bookmarkEnd w:id="77"/>
      <w:bookmarkEnd w:id="78"/>
    </w:p>
    <w:p w14:paraId="533A9495">
      <w:pPr>
        <w:pStyle w:val="165"/>
        <w:ind w:left="0"/>
      </w:pPr>
      <w:r>
        <w:rPr>
          <w:rFonts w:hint="eastAsia"/>
        </w:rPr>
        <w:t>自动驾驶环卫车辆作业速度宜参考GB/T 41085的道路清扫作业要求；用于道路清扫的机械化作业设备作业速度不应高于8</w:t>
      </w:r>
      <w:r>
        <w:t> </w:t>
      </w:r>
      <w:r>
        <w:rPr>
          <w:rFonts w:hint="eastAsia"/>
        </w:rPr>
        <w:t>km/h；用于道路保洁的机械化作业设备作业速度不应高于15</w:t>
      </w:r>
      <w:r>
        <w:t> </w:t>
      </w:r>
      <w:r>
        <w:rPr>
          <w:rFonts w:hint="eastAsia"/>
        </w:rPr>
        <w:t>km/h；机械洒水及喷雾作业速度不应高于20</w:t>
      </w:r>
      <w:r>
        <w:t> </w:t>
      </w:r>
      <w:r>
        <w:rPr>
          <w:rFonts w:hint="eastAsia"/>
        </w:rPr>
        <w:t>km/h；非作业速度应满足道路限速要求。</w:t>
      </w:r>
    </w:p>
    <w:p w14:paraId="096300E2">
      <w:pPr>
        <w:pStyle w:val="165"/>
        <w:ind w:left="0"/>
      </w:pPr>
      <w:r>
        <w:rPr>
          <w:rFonts w:hint="eastAsia"/>
        </w:rPr>
        <w:t>作业效果应满足主管单位作业标准。</w:t>
      </w:r>
    </w:p>
    <w:p w14:paraId="36258F08">
      <w:pPr>
        <w:pStyle w:val="165"/>
        <w:ind w:left="0"/>
      </w:pPr>
      <w:r>
        <w:rPr>
          <w:rFonts w:hint="eastAsia"/>
        </w:rPr>
        <w:t>自动驾驶环卫车辆根据业务要求行驶到指定位置，自主完成保洁作业，例如清扫、洒水等。</w:t>
      </w:r>
    </w:p>
    <w:p w14:paraId="59ECF0D5">
      <w:pPr>
        <w:pStyle w:val="165"/>
        <w:ind w:left="0"/>
      </w:pPr>
      <w:r>
        <w:rPr>
          <w:rFonts w:hint="eastAsia"/>
        </w:rPr>
        <w:t>自动驾驶环卫车辆高压清洗后的路面应无积水，洗扫作业后的路面应无可见垃圾。</w:t>
      </w:r>
    </w:p>
    <w:p w14:paraId="71E00DCB">
      <w:pPr>
        <w:pStyle w:val="165"/>
        <w:ind w:left="0"/>
      </w:pPr>
      <w:r>
        <w:rPr>
          <w:rFonts w:hint="eastAsia"/>
        </w:rPr>
        <w:t>自动驾驶环卫车辆作业噪声应符合GB 3096的规定。</w:t>
      </w:r>
    </w:p>
    <w:p w14:paraId="3B7E0C99">
      <w:pPr>
        <w:pStyle w:val="105"/>
        <w:spacing w:before="156" w:after="156"/>
      </w:pPr>
      <w:bookmarkStart w:id="79" w:name="_Toc206859173"/>
      <w:bookmarkStart w:id="80" w:name="_Toc209010721"/>
      <w:r>
        <w:rPr>
          <w:rFonts w:hint="eastAsia"/>
        </w:rPr>
        <w:t>运营路面</w:t>
      </w:r>
      <w:bookmarkEnd w:id="79"/>
      <w:bookmarkEnd w:id="80"/>
    </w:p>
    <w:p w14:paraId="6DB61A21">
      <w:pPr>
        <w:pStyle w:val="165"/>
        <w:ind w:left="0"/>
      </w:pPr>
      <w:r>
        <w:rPr>
          <w:rFonts w:hint="eastAsia"/>
        </w:rPr>
        <w:t>自动驾驶环卫车作业时，路面宽度应满足行人通行，否则不宜开展作业。</w:t>
      </w:r>
    </w:p>
    <w:p w14:paraId="7E1547F0">
      <w:pPr>
        <w:pStyle w:val="165"/>
        <w:ind w:left="0"/>
      </w:pPr>
      <w:r>
        <w:rPr>
          <w:rFonts w:hint="eastAsia"/>
        </w:rPr>
        <w:t>作业路面坡度宜不高于15%。</w:t>
      </w:r>
    </w:p>
    <w:p w14:paraId="1175CE62">
      <w:pPr>
        <w:pStyle w:val="165"/>
        <w:ind w:left="0"/>
      </w:pPr>
      <w:r>
        <w:rPr>
          <w:rFonts w:hint="eastAsia"/>
        </w:rPr>
        <w:t>作业路面宜平整，无严重凹陷。</w:t>
      </w:r>
    </w:p>
    <w:p w14:paraId="6F7B3361">
      <w:pPr>
        <w:pStyle w:val="165"/>
        <w:ind w:left="0"/>
      </w:pPr>
      <w:r>
        <w:rPr>
          <w:rFonts w:hint="eastAsia"/>
        </w:rPr>
        <w:t>道路两侧绿植及设施宜不伸出路沿，覆盖路面。</w:t>
      </w:r>
    </w:p>
    <w:p w14:paraId="646F0FC4">
      <w:pPr>
        <w:pStyle w:val="105"/>
        <w:spacing w:before="156" w:after="156"/>
      </w:pPr>
      <w:bookmarkStart w:id="81" w:name="_Toc209010722"/>
      <w:bookmarkStart w:id="82" w:name="_Toc206859174"/>
      <w:r>
        <w:rPr>
          <w:rFonts w:hint="eastAsia"/>
        </w:rPr>
        <w:t>运营安全</w:t>
      </w:r>
      <w:bookmarkEnd w:id="81"/>
      <w:bookmarkEnd w:id="82"/>
    </w:p>
    <w:p w14:paraId="13BCB20A">
      <w:pPr>
        <w:pStyle w:val="165"/>
        <w:ind w:left="0"/>
      </w:pPr>
      <w:r>
        <w:rPr>
          <w:rFonts w:hint="eastAsia"/>
        </w:rPr>
        <w:t>运营主体应制定自动驾驶环卫车辆道路环境突发事件应急预案，每年至少演练一次。</w:t>
      </w:r>
    </w:p>
    <w:p w14:paraId="4906E952">
      <w:pPr>
        <w:pStyle w:val="165"/>
        <w:ind w:left="0"/>
      </w:pPr>
      <w:r>
        <w:rPr>
          <w:rFonts w:hint="eastAsia"/>
        </w:rPr>
        <w:t>车辆出现故障时，应按应急预案要求立即移至安全位置。</w:t>
      </w:r>
    </w:p>
    <w:p w14:paraId="2931D7C4">
      <w:pPr>
        <w:pStyle w:val="165"/>
        <w:ind w:left="0"/>
      </w:pPr>
      <w:r>
        <w:rPr>
          <w:rFonts w:hint="eastAsia"/>
        </w:rPr>
        <w:t>遇紧急恶劣天气，应靠边停车，停止作业。</w:t>
      </w:r>
    </w:p>
    <w:p w14:paraId="782F4008">
      <w:pPr>
        <w:pStyle w:val="165"/>
        <w:ind w:left="0"/>
      </w:pPr>
      <w:r>
        <w:rPr>
          <w:rFonts w:hint="eastAsia"/>
        </w:rPr>
        <w:t>作业时间应当避开交通高峰时段。</w:t>
      </w:r>
    </w:p>
    <w:p w14:paraId="47B87E33">
      <w:pPr>
        <w:pStyle w:val="165"/>
        <w:numPr>
          <w:ilvl w:val="0"/>
          <w:numId w:val="0"/>
        </w:numPr>
      </w:pPr>
    </w:p>
    <w:bookmarkEnd w:id="25"/>
    <w:p w14:paraId="0BCE37C8">
      <w:pPr>
        <w:pStyle w:val="165"/>
        <w:numPr>
          <w:ilvl w:val="0"/>
          <w:numId w:val="0"/>
        </w:numPr>
        <w:ind w:left="567"/>
        <w:sectPr>
          <w:pgSz w:w="11906" w:h="16838"/>
          <w:pgMar w:top="1928" w:right="1134" w:bottom="1134" w:left="1134" w:header="1418" w:footer="1134" w:gutter="284"/>
          <w:pgNumType w:start="1"/>
          <w:cols w:space="425" w:num="1"/>
          <w:formProt w:val="0"/>
          <w:docGrid w:type="lines" w:linePitch="312" w:charSpace="0"/>
        </w:sectPr>
      </w:pPr>
      <w:bookmarkStart w:id="83" w:name="BookMark6"/>
    </w:p>
    <w:p w14:paraId="013EB18D">
      <w:pPr>
        <w:pStyle w:val="63"/>
        <w:spacing w:after="156"/>
      </w:pPr>
      <w:bookmarkStart w:id="84" w:name="_Toc206859175"/>
      <w:bookmarkStart w:id="85" w:name="_Toc209010723"/>
      <w:r>
        <w:rPr>
          <w:rFonts w:hint="eastAsia"/>
          <w:spacing w:val="105"/>
        </w:rPr>
        <w:t>参考文</w:t>
      </w:r>
      <w:r>
        <w:rPr>
          <w:rFonts w:hint="eastAsia"/>
        </w:rPr>
        <w:t>献</w:t>
      </w:r>
      <w:bookmarkEnd w:id="84"/>
      <w:bookmarkEnd w:id="85"/>
    </w:p>
    <w:p w14:paraId="3E5223F6">
      <w:pPr>
        <w:pStyle w:val="56"/>
        <w:ind w:firstLine="420"/>
      </w:pPr>
      <w:r>
        <w:rPr>
          <w:rFonts w:hint="eastAsia"/>
        </w:rPr>
        <w:t xml:space="preserve">[1] </w:t>
      </w:r>
      <w:bookmarkStart w:id="86" w:name="OLE_LINK2"/>
      <w:r>
        <w:t>CJJ/T</w:t>
      </w:r>
      <w:r>
        <w:rPr>
          <w:rFonts w:hint="eastAsia"/>
        </w:rPr>
        <w:t xml:space="preserve"> </w:t>
      </w:r>
      <w:r>
        <w:t>126</w:t>
      </w:r>
      <w:r>
        <w:rPr>
          <w:rFonts w:hint="eastAsia"/>
        </w:rPr>
        <w:t xml:space="preserve"> 城市道路清扫保洁质量与评价标准</w:t>
      </w:r>
      <w:bookmarkEnd w:id="86"/>
    </w:p>
    <w:p w14:paraId="5D2E230C">
      <w:pPr>
        <w:pStyle w:val="56"/>
        <w:ind w:firstLine="420"/>
      </w:pPr>
      <w:r>
        <w:rPr>
          <w:rFonts w:hint="eastAsia"/>
        </w:rPr>
        <w:t>[2] QC/T 957 洗扫车</w:t>
      </w:r>
    </w:p>
    <w:p w14:paraId="726EA6E9">
      <w:pPr>
        <w:pStyle w:val="56"/>
        <w:ind w:firstLine="420"/>
      </w:pPr>
      <w:r>
        <w:rPr>
          <w:rFonts w:hint="eastAsia"/>
        </w:rPr>
        <w:t>[3] 安徽省城市市容市貌和环境卫生管理导则</w:t>
      </w:r>
    </w:p>
    <w:p w14:paraId="1A062BF6">
      <w:pPr>
        <w:pStyle w:val="56"/>
        <w:ind w:firstLine="420"/>
      </w:pPr>
    </w:p>
    <w:bookmarkEnd w:id="83"/>
    <w:p w14:paraId="72916700">
      <w:pPr>
        <w:pStyle w:val="165"/>
        <w:numPr>
          <w:ilvl w:val="0"/>
          <w:numId w:val="0"/>
        </w:numPr>
        <w:ind w:left="567"/>
        <w:jc w:val="center"/>
      </w:pPr>
      <w:bookmarkStart w:id="87" w:name="BookMark8"/>
      <w:r>
        <w:rPr>
          <w:rFonts w:hint="eastAsia"/>
        </w:rPr>
        <w:drawing>
          <wp:inline distT="0" distB="0" distL="0" distR="0">
            <wp:extent cx="1485900" cy="317500"/>
            <wp:effectExtent l="0" t="0" r="0" b="6350"/>
            <wp:docPr id="1952886505" name="图片 3"/>
            <wp:cNvGraphicFramePr/>
            <a:graphic xmlns:a="http://schemas.openxmlformats.org/drawingml/2006/main">
              <a:graphicData uri="http://schemas.openxmlformats.org/drawingml/2006/picture">
                <pic:pic xmlns:pic="http://schemas.openxmlformats.org/drawingml/2006/picture">
                  <pic:nvPicPr>
                    <pic:cNvPr id="1952886505"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HarmonyOS Sans Digit">
    <w:altName w:val="宋体"/>
    <w:panose1 w:val="0002060004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E56A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672B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9136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70435">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8D3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6DF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437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BC56D">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7D68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425"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5b4FHDiS2oLmXArCy5SJGIofYdZ6SmYRKmp5DpeErkwRBkjDCfjyNFWdmhWRI3Qco+H9pAVG+YMm03k1dtRwtA==" w:salt="/whdsikVSzioKcN02z2xA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382"/>
    <w:rsid w:val="000A7311"/>
    <w:rsid w:val="000B060F"/>
    <w:rsid w:val="000B1592"/>
    <w:rsid w:val="000B1FF2"/>
    <w:rsid w:val="000B3CDA"/>
    <w:rsid w:val="000B6A0B"/>
    <w:rsid w:val="000C0F6C"/>
    <w:rsid w:val="000C11DB"/>
    <w:rsid w:val="000C1492"/>
    <w:rsid w:val="000C2A79"/>
    <w:rsid w:val="000C2FBD"/>
    <w:rsid w:val="000C39D9"/>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676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8C9"/>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725"/>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F95"/>
    <w:rsid w:val="003221B4"/>
    <w:rsid w:val="0032258D"/>
    <w:rsid w:val="00322E62"/>
    <w:rsid w:val="00324D13"/>
    <w:rsid w:val="00324D2A"/>
    <w:rsid w:val="00324EDD"/>
    <w:rsid w:val="0032518B"/>
    <w:rsid w:val="003331E4"/>
    <w:rsid w:val="00336C64"/>
    <w:rsid w:val="00337162"/>
    <w:rsid w:val="0034194F"/>
    <w:rsid w:val="00342351"/>
    <w:rsid w:val="00344605"/>
    <w:rsid w:val="003474AA"/>
    <w:rsid w:val="00350D1D"/>
    <w:rsid w:val="00352C83"/>
    <w:rsid w:val="003572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DA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5A4"/>
    <w:rsid w:val="00514174"/>
    <w:rsid w:val="00516088"/>
    <w:rsid w:val="00516B0B"/>
    <w:rsid w:val="005220EC"/>
    <w:rsid w:val="00523F95"/>
    <w:rsid w:val="00524D65"/>
    <w:rsid w:val="00525B16"/>
    <w:rsid w:val="0052772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3FA"/>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1F6"/>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01C"/>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CE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3D2"/>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521"/>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BF5"/>
    <w:rsid w:val="0085173A"/>
    <w:rsid w:val="00856316"/>
    <w:rsid w:val="008603CE"/>
    <w:rsid w:val="008620FC"/>
    <w:rsid w:val="008627A5"/>
    <w:rsid w:val="00863E05"/>
    <w:rsid w:val="00865ACA"/>
    <w:rsid w:val="00865D28"/>
    <w:rsid w:val="00865F85"/>
    <w:rsid w:val="00867C10"/>
    <w:rsid w:val="00870439"/>
    <w:rsid w:val="00870DA1"/>
    <w:rsid w:val="00872B3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2F33"/>
    <w:rsid w:val="00B147DD"/>
    <w:rsid w:val="00B156FD"/>
    <w:rsid w:val="00B20D02"/>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146"/>
    <w:rsid w:val="00B72880"/>
    <w:rsid w:val="00B758BF"/>
    <w:rsid w:val="00B76975"/>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09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195"/>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68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A4F"/>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2C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2FC"/>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1A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49"/>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804"/>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A1706D"/>
    <w:rsid w:val="0AB51834"/>
    <w:rsid w:val="2A0E7C2E"/>
    <w:rsid w:val="500702AF"/>
    <w:rsid w:val="BE3FA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567"/>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03487AAEF483E9C6F97DB047B2100"/>
        <w:style w:val=""/>
        <w:category>
          <w:name w:val="常规"/>
          <w:gallery w:val="placeholder"/>
        </w:category>
        <w:types>
          <w:type w:val="bbPlcHdr"/>
        </w:types>
        <w:behaviors>
          <w:behavior w:val="content"/>
        </w:behaviors>
        <w:description w:val=""/>
        <w:guid w:val="{CDF999C7-03CC-425C-AB64-B175F674A247}"/>
      </w:docPartPr>
      <w:docPartBody>
        <w:p w14:paraId="2EB3CCDE">
          <w:pPr>
            <w:pStyle w:val="5"/>
            <w:rPr>
              <w:rFonts w:hint="eastAsia"/>
            </w:rPr>
          </w:pPr>
          <w:r>
            <w:rPr>
              <w:rStyle w:val="4"/>
              <w:rFonts w:hint="eastAsia"/>
            </w:rPr>
            <w:t>单击或点击此处输入文字。</w:t>
          </w:r>
        </w:p>
      </w:docPartBody>
    </w:docPart>
    <w:docPart>
      <w:docPartPr>
        <w:name w:val="82D4131BC73B4456A04816436B4E6649"/>
        <w:style w:val=""/>
        <w:category>
          <w:name w:val="常规"/>
          <w:gallery w:val="placeholder"/>
        </w:category>
        <w:types>
          <w:type w:val="bbPlcHdr"/>
        </w:types>
        <w:behaviors>
          <w:behavior w:val="content"/>
        </w:behaviors>
        <w:description w:val=""/>
        <w:guid w:val="{86AA157B-FCD6-487F-8C27-7CDFA90EE552}"/>
      </w:docPartPr>
      <w:docPartBody>
        <w:p w14:paraId="5AE2514A">
          <w:pPr>
            <w:pStyle w:val="6"/>
            <w:rPr>
              <w:rFonts w:hint="eastAsia"/>
            </w:rPr>
          </w:pPr>
          <w:r>
            <w:rPr>
              <w:rStyle w:val="4"/>
              <w:rFonts w:hint="eastAsia"/>
            </w:rPr>
            <w:t>选择一项。</w:t>
          </w:r>
        </w:p>
      </w:docPartBody>
    </w:docPart>
    <w:docPart>
      <w:docPartPr>
        <w:name w:val="655D1D8305014312A429047ABE704BE2"/>
        <w:style w:val=""/>
        <w:category>
          <w:name w:val="常规"/>
          <w:gallery w:val="placeholder"/>
        </w:category>
        <w:types>
          <w:type w:val="bbPlcHdr"/>
        </w:types>
        <w:behaviors>
          <w:behavior w:val="content"/>
        </w:behaviors>
        <w:description w:val=""/>
        <w:guid w:val="{00F62416-8060-402B-BABB-5696E6F7B20B}"/>
      </w:docPartPr>
      <w:docPartBody>
        <w:p w14:paraId="457D0CC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978"/>
    <w:rsid w:val="001D660E"/>
    <w:rsid w:val="0032518B"/>
    <w:rsid w:val="00342351"/>
    <w:rsid w:val="00543C0E"/>
    <w:rsid w:val="00815678"/>
    <w:rsid w:val="00A6068D"/>
    <w:rsid w:val="00AF561D"/>
    <w:rsid w:val="00B85978"/>
    <w:rsid w:val="00BC509B"/>
    <w:rsid w:val="00F92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2103487AAEF483E9C6F97DB047B210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2D4131BC73B4456A04816436B4E6649"/>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55D1D8305014312A429047ABE704BE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459</Words>
  <Characters>583</Characters>
  <Lines>33</Lines>
  <Paragraphs>9</Paragraphs>
  <TotalTime>4</TotalTime>
  <ScaleCrop>false</ScaleCrop>
  <LinksUpToDate>false</LinksUpToDate>
  <CharactersWithSpaces>655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2025-09-17T14:11:00Z</dcterms:created>
  <dc:creator>JL2023091301</dc:creator>
  <cp:lastModifiedBy>忐忑</cp:lastModifiedBy>
  <cp:lastPrinted>2020-08-30T18:00:00Z</cp:lastPrinted>
  <dcterms:modified xsi:type="dcterms:W3CDTF">2025-10-10T02:44:14Z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2052-12.1.0.22529</vt:lpwstr>
  </property>
  <property fmtid="{D5CDD505-2E9C-101B-9397-08002B2CF9AE}" pid="16" name="ICV">
    <vt:lpwstr>DE23D8248F994BF2BB5E8C4AE2DFC792_12</vt:lpwstr>
  </property>
</Properties>
</file>