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1C91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7B9935">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D25D65E">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27.100 </w:t>
            </w:r>
            <w:r>
              <w:rPr>
                <w:rFonts w:ascii="黑体" w:hAnsi="黑体" w:eastAsia="黑体"/>
                <w:sz w:val="21"/>
                <w:szCs w:val="21"/>
              </w:rPr>
              <w:fldChar w:fldCharType="end"/>
            </w:r>
            <w:bookmarkEnd w:id="0"/>
          </w:p>
        </w:tc>
      </w:tr>
      <w:tr w14:paraId="3831E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E59250">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CC37FEE">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F 22</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14:paraId="7706704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A7B3124">
            <w:pPr>
              <w:pStyle w:val="54"/>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436C7644">
      <w:pPr>
        <w:pStyle w:val="55"/>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70D1B84">
      <w:pPr>
        <w:pStyle w:val="198"/>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D8278A6">
      <w:pPr>
        <w:pStyle w:val="199"/>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B598F3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E4165A2">
      <w:pPr>
        <w:pStyle w:val="55"/>
        <w:framePr w:w="9639" w:h="6976" w:hRule="exact" w:hSpace="0" w:vSpace="0" w:wrap="around" w:hAnchor="page" w:y="6408"/>
        <w:jc w:val="center"/>
        <w:rPr>
          <w:rFonts w:ascii="黑体" w:hAnsi="黑体" w:eastAsia="黑体"/>
          <w:b w:val="0"/>
          <w:bCs w:val="0"/>
          <w:w w:val="100"/>
        </w:rPr>
      </w:pPr>
    </w:p>
    <w:p w14:paraId="73797EC4">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10千伏及以下户用光伏并网工程技术规范</w:t>
      </w:r>
      <w:r>
        <w:fldChar w:fldCharType="end"/>
      </w:r>
      <w:bookmarkEnd w:id="9"/>
    </w:p>
    <w:p w14:paraId="3366B863">
      <w:pPr>
        <w:framePr w:w="9639" w:h="6974" w:hRule="exact" w:wrap="around" w:vAnchor="page" w:hAnchor="page" w:x="1419" w:y="6408" w:anchorLock="1"/>
        <w:ind w:left="-1418"/>
      </w:pPr>
    </w:p>
    <w:p w14:paraId="44FBB8BD">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code for </w:t>
      </w:r>
      <w:r>
        <w:rPr>
          <w:rFonts w:hint="eastAsia" w:eastAsia="黑体"/>
          <w:szCs w:val="28"/>
        </w:rPr>
        <w:t>residential photovoltaic gird-connected</w:t>
      </w:r>
      <w:r>
        <w:rPr>
          <w:rFonts w:eastAsia="黑体"/>
          <w:szCs w:val="28"/>
        </w:rPr>
        <w:t xml:space="preserve"> engineering of 10kV and below power users </w:t>
      </w:r>
      <w:r>
        <w:rPr>
          <w:rFonts w:eastAsia="黑体"/>
          <w:szCs w:val="28"/>
        </w:rPr>
        <w:fldChar w:fldCharType="end"/>
      </w:r>
      <w:bookmarkEnd w:id="10"/>
    </w:p>
    <w:p w14:paraId="4E9D292D">
      <w:pPr>
        <w:framePr w:w="9639" w:h="6974" w:hRule="exact" w:wrap="around" w:vAnchor="page" w:hAnchor="page" w:x="1419" w:y="6408" w:anchorLock="1"/>
        <w:spacing w:line="760" w:lineRule="exact"/>
        <w:ind w:left="-1418"/>
      </w:pPr>
    </w:p>
    <w:p w14:paraId="0857A995">
      <w:pPr>
        <w:pStyle w:val="128"/>
        <w:framePr w:w="9639" w:h="6974" w:hRule="exact" w:wrap="around" w:vAnchor="page" w:hAnchor="page" w:x="1419" w:y="6408" w:anchorLock="1"/>
        <w:textAlignment w:val="bottom"/>
        <w:rPr>
          <w:rFonts w:eastAsia="黑体"/>
          <w:szCs w:val="28"/>
        </w:rPr>
      </w:pPr>
    </w:p>
    <w:p w14:paraId="2475E03F">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CD9C51F">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A357727">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9DF9707">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A475A56">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689E1A6">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0FFBC164">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1FBFEB3">
      <w:pPr>
        <w:pStyle w:val="95"/>
        <w:spacing w:after="468"/>
      </w:pPr>
      <w:bookmarkStart w:id="21" w:name="BookMark1"/>
      <w:bookmarkStart w:id="22" w:name="_Toc202796685"/>
      <w:r>
        <w:rPr>
          <w:rFonts w:hint="eastAsia"/>
          <w:spacing w:val="320"/>
        </w:rPr>
        <w:t>目</w:t>
      </w:r>
      <w:r>
        <w:rPr>
          <w:rFonts w:hint="eastAsia"/>
        </w:rPr>
        <w:t>次</w:t>
      </w:r>
    </w:p>
    <w:p w14:paraId="143660DE">
      <w:pPr>
        <w:pStyle w:val="21"/>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"_Toc202797270" </w:instrText>
      </w:r>
      <w:r>
        <w:fldChar w:fldCharType="separate"/>
      </w:r>
      <w:r>
        <w:rPr>
          <w:rStyle w:val="35"/>
          <w:rFonts w:hint="eastAsia"/>
        </w:rPr>
        <w:t>前言</w:t>
      </w:r>
      <w:r>
        <w:tab/>
      </w:r>
      <w:r>
        <w:fldChar w:fldCharType="begin"/>
      </w:r>
      <w:r>
        <w:instrText xml:space="preserve"> PAGEREF _Toc202797270 \h </w:instrText>
      </w:r>
      <w:r>
        <w:fldChar w:fldCharType="separate"/>
      </w:r>
      <w:r>
        <w:t>III</w:t>
      </w:r>
      <w:r>
        <w:fldChar w:fldCharType="end"/>
      </w:r>
      <w:r>
        <w:fldChar w:fldCharType="end"/>
      </w:r>
    </w:p>
    <w:p w14:paraId="58FFE5F2">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"_Toc202797271" </w:instrText>
      </w:r>
      <w:r>
        <w:fldChar w:fldCharType="separate"/>
      </w:r>
      <w:r>
        <w:rPr>
          <w:rStyle w:val="35"/>
        </w:rPr>
        <w:t xml:space="preserve">1 </w:t>
      </w:r>
      <w:r>
        <w:rPr>
          <w:rStyle w:val="35"/>
          <w:rFonts w:hint="eastAsia"/>
        </w:rPr>
        <w:t xml:space="preserve"> 范围</w:t>
      </w:r>
      <w:r>
        <w:tab/>
      </w:r>
      <w:r>
        <w:fldChar w:fldCharType="begin"/>
      </w:r>
      <w:r>
        <w:instrText xml:space="preserve"> PAGEREF _Toc202797271 \h </w:instrText>
      </w:r>
      <w:r>
        <w:fldChar w:fldCharType="separate"/>
      </w:r>
      <w:r>
        <w:t>4</w:t>
      </w:r>
      <w:r>
        <w:fldChar w:fldCharType="end"/>
      </w:r>
      <w:r>
        <w:fldChar w:fldCharType="end"/>
      </w:r>
    </w:p>
    <w:p w14:paraId="03372114">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"_Toc202797272" </w:instrText>
      </w:r>
      <w:r>
        <w:fldChar w:fldCharType="separate"/>
      </w:r>
      <w:r>
        <w:rPr>
          <w:rStyle w:val="35"/>
        </w:rPr>
        <w:t xml:space="preserve">2 </w:t>
      </w:r>
      <w:r>
        <w:rPr>
          <w:rStyle w:val="35"/>
          <w:rFonts w:hint="eastAsia"/>
        </w:rPr>
        <w:t xml:space="preserve"> 规范性引用文件</w:t>
      </w:r>
      <w:r>
        <w:tab/>
      </w:r>
      <w:r>
        <w:fldChar w:fldCharType="begin"/>
      </w:r>
      <w:r>
        <w:instrText xml:space="preserve"> PAGEREF _Toc202797272 \h </w:instrText>
      </w:r>
      <w:r>
        <w:fldChar w:fldCharType="separate"/>
      </w:r>
      <w:r>
        <w:t>4</w:t>
      </w:r>
      <w:r>
        <w:fldChar w:fldCharType="end"/>
      </w:r>
      <w:r>
        <w:fldChar w:fldCharType="end"/>
      </w:r>
    </w:p>
    <w:p w14:paraId="227F2945">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"_Toc202797273" </w:instrText>
      </w:r>
      <w:r>
        <w:fldChar w:fldCharType="separate"/>
      </w:r>
      <w:r>
        <w:rPr>
          <w:rStyle w:val="35"/>
        </w:rPr>
        <w:t xml:space="preserve">3 </w:t>
      </w:r>
      <w:r>
        <w:rPr>
          <w:rStyle w:val="35"/>
          <w:rFonts w:hint="eastAsia"/>
        </w:rPr>
        <w:t xml:space="preserve"> 术语和定义</w:t>
      </w:r>
      <w:r>
        <w:tab/>
      </w:r>
      <w:r>
        <w:fldChar w:fldCharType="begin"/>
      </w:r>
      <w:r>
        <w:instrText xml:space="preserve"> PAGEREF _Toc202797273 \h </w:instrText>
      </w:r>
      <w:r>
        <w:fldChar w:fldCharType="separate"/>
      </w:r>
      <w:r>
        <w:t>4</w:t>
      </w:r>
      <w:r>
        <w:fldChar w:fldCharType="end"/>
      </w:r>
      <w:r>
        <w:fldChar w:fldCharType="end"/>
      </w:r>
    </w:p>
    <w:p w14:paraId="062DD7C3">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"_Toc202797274" </w:instrText>
      </w:r>
      <w:r>
        <w:fldChar w:fldCharType="separate"/>
      </w:r>
      <w:r>
        <w:rPr>
          <w:rStyle w:val="35"/>
        </w:rPr>
        <w:t xml:space="preserve">4 </w:t>
      </w:r>
      <w:r>
        <w:rPr>
          <w:rStyle w:val="35"/>
          <w:rFonts w:hint="eastAsia"/>
        </w:rPr>
        <w:t xml:space="preserve"> 总体要求</w:t>
      </w:r>
      <w:r>
        <w:tab/>
      </w:r>
      <w:r>
        <w:fldChar w:fldCharType="begin"/>
      </w:r>
      <w:r>
        <w:instrText xml:space="preserve"> PAGEREF _Toc202797274 \h </w:instrText>
      </w:r>
      <w:r>
        <w:fldChar w:fldCharType="separate"/>
      </w:r>
      <w:r>
        <w:t>6</w:t>
      </w:r>
      <w:r>
        <w:fldChar w:fldCharType="end"/>
      </w:r>
      <w:r>
        <w:fldChar w:fldCharType="end"/>
      </w:r>
    </w:p>
    <w:p w14:paraId="3FC6D4C0">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"_Toc202797275" </w:instrText>
      </w:r>
      <w:r>
        <w:fldChar w:fldCharType="separate"/>
      </w:r>
      <w:r>
        <w:rPr>
          <w:rStyle w:val="35"/>
        </w:rPr>
        <w:t xml:space="preserve">5 </w:t>
      </w:r>
      <w:r>
        <w:rPr>
          <w:rStyle w:val="35"/>
          <w:rFonts w:hint="eastAsia"/>
        </w:rPr>
        <w:t xml:space="preserve"> 设计</w:t>
      </w:r>
      <w:r>
        <w:tab/>
      </w:r>
      <w:r>
        <w:fldChar w:fldCharType="begin"/>
      </w:r>
      <w:r>
        <w:instrText xml:space="preserve"> PAGEREF _Toc202797275 \h </w:instrText>
      </w:r>
      <w:r>
        <w:fldChar w:fldCharType="separate"/>
      </w:r>
      <w:r>
        <w:t>6</w:t>
      </w:r>
      <w:r>
        <w:fldChar w:fldCharType="end"/>
      </w:r>
      <w:r>
        <w:fldChar w:fldCharType="end"/>
      </w:r>
    </w:p>
    <w:p w14:paraId="7AEA02CA">
      <w:pPr>
        <w:pStyle w:val="26"/>
        <w:rPr>
          <w:rFonts w:asciiTheme="minorHAnsi" w:hAnsiTheme="minorHAnsi" w:eastAsiaTheme="minorEastAsia" w:cstheme="minorBidi"/>
          <w:szCs w:val="22"/>
        </w:rPr>
      </w:pPr>
      <w:r>
        <w:fldChar w:fldCharType="begin"/>
      </w:r>
      <w:r>
        <w:instrText xml:space="preserve"> HYPERLINK \l "_Toc202797276" </w:instrText>
      </w:r>
      <w:r>
        <w:fldChar w:fldCharType="separate"/>
      </w:r>
      <w:r>
        <w:rPr>
          <w:rStyle w:val="35"/>
          <w14:scene3d>
            <w14:lightRig w14:rig="threePt" w14:dir="t">
              <w14:rot w14:lat="0" w14:lon="0" w14:rev="0"/>
            </w14:lightRig>
          </w14:scene3d>
        </w:rPr>
        <w:t xml:space="preserve">5.1 </w:t>
      </w:r>
      <w:r>
        <w:rPr>
          <w:rStyle w:val="35"/>
          <w:rFonts w:hint="eastAsia"/>
        </w:rPr>
        <w:t xml:space="preserve"> 一般要求</w:t>
      </w:r>
      <w:r>
        <w:tab/>
      </w:r>
      <w:r>
        <w:fldChar w:fldCharType="begin"/>
      </w:r>
      <w:r>
        <w:instrText xml:space="preserve"> PAGEREF _Toc202797276 \h </w:instrText>
      </w:r>
      <w:r>
        <w:fldChar w:fldCharType="separate"/>
      </w:r>
      <w:r>
        <w:t>6</w:t>
      </w:r>
      <w:r>
        <w:fldChar w:fldCharType="end"/>
      </w:r>
      <w:r>
        <w:fldChar w:fldCharType="end"/>
      </w:r>
    </w:p>
    <w:p w14:paraId="78FAAFE9">
      <w:pPr>
        <w:pStyle w:val="26"/>
        <w:rPr>
          <w:rFonts w:asciiTheme="minorHAnsi" w:hAnsiTheme="minorHAnsi" w:eastAsiaTheme="minorEastAsia" w:cstheme="minorBidi"/>
          <w:szCs w:val="22"/>
        </w:rPr>
      </w:pPr>
      <w:r>
        <w:fldChar w:fldCharType="begin"/>
      </w:r>
      <w:r>
        <w:instrText xml:space="preserve"> HYPERLINK \l "_Toc202797277" </w:instrText>
      </w:r>
      <w:r>
        <w:fldChar w:fldCharType="separate"/>
      </w:r>
      <w:r>
        <w:rPr>
          <w:rStyle w:val="35"/>
          <w14:scene3d>
            <w14:lightRig w14:rig="threePt" w14:dir="t">
              <w14:rot w14:lat="0" w14:lon="0" w14:rev="0"/>
            </w14:lightRig>
          </w14:scene3d>
        </w:rPr>
        <w:t xml:space="preserve">5.2 </w:t>
      </w:r>
      <w:r>
        <w:rPr>
          <w:rStyle w:val="35"/>
          <w:rFonts w:hint="eastAsia"/>
        </w:rPr>
        <w:t xml:space="preserve"> 系统规划</w:t>
      </w:r>
      <w:r>
        <w:tab/>
      </w:r>
      <w:r>
        <w:fldChar w:fldCharType="begin"/>
      </w:r>
      <w:r>
        <w:instrText xml:space="preserve"> PAGEREF _Toc202797277 \h </w:instrText>
      </w:r>
      <w:r>
        <w:fldChar w:fldCharType="separate"/>
      </w:r>
      <w:r>
        <w:t>7</w:t>
      </w:r>
      <w:r>
        <w:fldChar w:fldCharType="end"/>
      </w:r>
      <w:r>
        <w:fldChar w:fldCharType="end"/>
      </w:r>
    </w:p>
    <w:p w14:paraId="071837B6">
      <w:pPr>
        <w:pStyle w:val="26"/>
        <w:rPr>
          <w:rFonts w:asciiTheme="minorHAnsi" w:hAnsiTheme="minorHAnsi" w:eastAsiaTheme="minorEastAsia" w:cstheme="minorBidi"/>
          <w:szCs w:val="22"/>
        </w:rPr>
      </w:pPr>
      <w:r>
        <w:fldChar w:fldCharType="begin"/>
      </w:r>
      <w:r>
        <w:instrText xml:space="preserve"> HYPERLINK \l "_Toc202797278" </w:instrText>
      </w:r>
      <w:r>
        <w:fldChar w:fldCharType="separate"/>
      </w:r>
      <w:r>
        <w:rPr>
          <w:rStyle w:val="35"/>
          <w14:scene3d>
            <w14:lightRig w14:rig="threePt" w14:dir="t">
              <w14:rot w14:lat="0" w14:lon="0" w14:rev="0"/>
            </w14:lightRig>
          </w14:scene3d>
        </w:rPr>
        <w:t xml:space="preserve">5.3 </w:t>
      </w:r>
      <w:r>
        <w:rPr>
          <w:rStyle w:val="35"/>
          <w:rFonts w:hint="eastAsia"/>
        </w:rPr>
        <w:t xml:space="preserve"> 电气主接线</w:t>
      </w:r>
      <w:r>
        <w:tab/>
      </w:r>
      <w:r>
        <w:fldChar w:fldCharType="begin"/>
      </w:r>
      <w:r>
        <w:instrText xml:space="preserve"> PAGEREF _Toc202797278 \h </w:instrText>
      </w:r>
      <w:r>
        <w:fldChar w:fldCharType="separate"/>
      </w:r>
      <w:r>
        <w:t>7</w:t>
      </w:r>
      <w:r>
        <w:fldChar w:fldCharType="end"/>
      </w:r>
      <w:r>
        <w:fldChar w:fldCharType="end"/>
      </w:r>
    </w:p>
    <w:p w14:paraId="66DA9755">
      <w:pPr>
        <w:pStyle w:val="26"/>
        <w:rPr>
          <w:rFonts w:asciiTheme="minorHAnsi" w:hAnsiTheme="minorHAnsi" w:eastAsiaTheme="minorEastAsia" w:cstheme="minorBidi"/>
          <w:szCs w:val="22"/>
        </w:rPr>
      </w:pPr>
      <w:r>
        <w:fldChar w:fldCharType="begin"/>
      </w:r>
      <w:r>
        <w:instrText xml:space="preserve"> HYPERLINK \l "_Toc202797279" </w:instrText>
      </w:r>
      <w:r>
        <w:fldChar w:fldCharType="separate"/>
      </w:r>
      <w:r>
        <w:rPr>
          <w:rStyle w:val="35"/>
          <w14:scene3d>
            <w14:lightRig w14:rig="threePt" w14:dir="t">
              <w14:rot w14:lat="0" w14:lon="0" w14:rev="0"/>
            </w14:lightRig>
          </w14:scene3d>
        </w:rPr>
        <w:t xml:space="preserve">5.4 </w:t>
      </w:r>
      <w:r>
        <w:rPr>
          <w:rStyle w:val="35"/>
          <w:rFonts w:hint="eastAsia"/>
        </w:rPr>
        <w:t xml:space="preserve"> 设备选择</w:t>
      </w:r>
      <w:r>
        <w:tab/>
      </w:r>
      <w:r>
        <w:fldChar w:fldCharType="begin"/>
      </w:r>
      <w:r>
        <w:instrText xml:space="preserve"> PAGEREF _Toc202797279 \h </w:instrText>
      </w:r>
      <w:r>
        <w:fldChar w:fldCharType="separate"/>
      </w:r>
      <w:r>
        <w:t>8</w:t>
      </w:r>
      <w:r>
        <w:fldChar w:fldCharType="end"/>
      </w:r>
      <w:r>
        <w:fldChar w:fldCharType="end"/>
      </w:r>
    </w:p>
    <w:p w14:paraId="70546A23">
      <w:pPr>
        <w:pStyle w:val="26"/>
        <w:rPr>
          <w:rFonts w:asciiTheme="minorHAnsi" w:hAnsiTheme="minorHAnsi" w:eastAsiaTheme="minorEastAsia" w:cstheme="minorBidi"/>
          <w:szCs w:val="22"/>
        </w:rPr>
      </w:pPr>
      <w:r>
        <w:fldChar w:fldCharType="begin"/>
      </w:r>
      <w:r>
        <w:instrText xml:space="preserve"> HYPERLINK \l "_Toc202797280" </w:instrText>
      </w:r>
      <w:r>
        <w:fldChar w:fldCharType="separate"/>
      </w:r>
      <w:r>
        <w:rPr>
          <w:rStyle w:val="35"/>
          <w14:scene3d>
            <w14:lightRig w14:rig="threePt" w14:dir="t">
              <w14:rot w14:lat="0" w14:lon="0" w14:rev="0"/>
            </w14:lightRig>
          </w14:scene3d>
        </w:rPr>
        <w:t xml:space="preserve">5.5 </w:t>
      </w:r>
      <w:r>
        <w:rPr>
          <w:rStyle w:val="35"/>
          <w:rFonts w:hint="eastAsia"/>
        </w:rPr>
        <w:t xml:space="preserve"> 无功补偿</w:t>
      </w:r>
      <w:r>
        <w:tab/>
      </w:r>
      <w:r>
        <w:fldChar w:fldCharType="begin"/>
      </w:r>
      <w:r>
        <w:instrText xml:space="preserve"> PAGEREF _Toc202797280 \h </w:instrText>
      </w:r>
      <w:r>
        <w:fldChar w:fldCharType="separate"/>
      </w:r>
      <w:r>
        <w:t>8</w:t>
      </w:r>
      <w:r>
        <w:fldChar w:fldCharType="end"/>
      </w:r>
      <w:r>
        <w:fldChar w:fldCharType="end"/>
      </w:r>
    </w:p>
    <w:p w14:paraId="1FB481A5">
      <w:pPr>
        <w:pStyle w:val="26"/>
        <w:rPr>
          <w:rFonts w:asciiTheme="minorHAnsi" w:hAnsiTheme="minorHAnsi" w:eastAsiaTheme="minorEastAsia" w:cstheme="minorBidi"/>
          <w:szCs w:val="22"/>
        </w:rPr>
      </w:pPr>
      <w:r>
        <w:fldChar w:fldCharType="begin"/>
      </w:r>
      <w:r>
        <w:instrText xml:space="preserve"> HYPERLINK \l "_Toc202797281" </w:instrText>
      </w:r>
      <w:r>
        <w:fldChar w:fldCharType="separate"/>
      </w:r>
      <w:r>
        <w:rPr>
          <w:rStyle w:val="35"/>
          <w14:scene3d>
            <w14:lightRig w14:rig="threePt" w14:dir="t">
              <w14:rot w14:lat="0" w14:lon="0" w14:rev="0"/>
            </w14:lightRig>
          </w14:scene3d>
        </w:rPr>
        <w:t xml:space="preserve">5.6 </w:t>
      </w:r>
      <w:r>
        <w:rPr>
          <w:rStyle w:val="35"/>
          <w:rFonts w:hint="eastAsia"/>
        </w:rPr>
        <w:t xml:space="preserve"> 储能配置</w:t>
      </w:r>
      <w:r>
        <w:tab/>
      </w:r>
      <w:r>
        <w:fldChar w:fldCharType="begin"/>
      </w:r>
      <w:r>
        <w:instrText xml:space="preserve"> PAGEREF _Toc202797281 \h </w:instrText>
      </w:r>
      <w:r>
        <w:fldChar w:fldCharType="separate"/>
      </w:r>
      <w:r>
        <w:t>9</w:t>
      </w:r>
      <w:r>
        <w:fldChar w:fldCharType="end"/>
      </w:r>
      <w:r>
        <w:fldChar w:fldCharType="end"/>
      </w:r>
    </w:p>
    <w:p w14:paraId="7B018663">
      <w:pPr>
        <w:pStyle w:val="26"/>
        <w:rPr>
          <w:rFonts w:asciiTheme="minorHAnsi" w:hAnsiTheme="minorHAnsi" w:eastAsiaTheme="minorEastAsia" w:cstheme="minorBidi"/>
          <w:szCs w:val="22"/>
        </w:rPr>
      </w:pPr>
      <w:r>
        <w:fldChar w:fldCharType="begin"/>
      </w:r>
      <w:r>
        <w:instrText xml:space="preserve"> HYPERLINK \l "_Toc202797282" </w:instrText>
      </w:r>
      <w:r>
        <w:fldChar w:fldCharType="separate"/>
      </w:r>
      <w:r>
        <w:rPr>
          <w:rStyle w:val="35"/>
          <w14:scene3d>
            <w14:lightRig w14:rig="threePt" w14:dir="t">
              <w14:rot w14:lat="0" w14:lon="0" w14:rev="0"/>
            </w14:lightRig>
          </w14:scene3d>
        </w:rPr>
        <w:t xml:space="preserve">5.7 </w:t>
      </w:r>
      <w:r>
        <w:rPr>
          <w:rStyle w:val="35"/>
          <w:rFonts w:hint="eastAsia"/>
        </w:rPr>
        <w:t xml:space="preserve"> 继电保护及自动装置</w:t>
      </w:r>
      <w:r>
        <w:tab/>
      </w:r>
      <w:r>
        <w:fldChar w:fldCharType="begin"/>
      </w:r>
      <w:r>
        <w:instrText xml:space="preserve"> PAGEREF _Toc202797282 \h </w:instrText>
      </w:r>
      <w:r>
        <w:fldChar w:fldCharType="separate"/>
      </w:r>
      <w:r>
        <w:t>9</w:t>
      </w:r>
      <w:r>
        <w:fldChar w:fldCharType="end"/>
      </w:r>
      <w:r>
        <w:fldChar w:fldCharType="end"/>
      </w:r>
    </w:p>
    <w:p w14:paraId="37E49E79">
      <w:pPr>
        <w:pStyle w:val="26"/>
        <w:rPr>
          <w:rFonts w:asciiTheme="minorHAnsi" w:hAnsiTheme="minorHAnsi" w:eastAsiaTheme="minorEastAsia" w:cstheme="minorBidi"/>
          <w:szCs w:val="22"/>
        </w:rPr>
      </w:pPr>
      <w:r>
        <w:fldChar w:fldCharType="begin"/>
      </w:r>
      <w:r>
        <w:instrText xml:space="preserve"> HYPERLINK \l "_Toc202797283" </w:instrText>
      </w:r>
      <w:r>
        <w:fldChar w:fldCharType="separate"/>
      </w:r>
      <w:r>
        <w:rPr>
          <w:rStyle w:val="35"/>
          <w14:scene3d>
            <w14:lightRig w14:rig="threePt" w14:dir="t">
              <w14:rot w14:lat="0" w14:lon="0" w14:rev="0"/>
            </w14:lightRig>
          </w14:scene3d>
        </w:rPr>
        <w:t xml:space="preserve">5.8 </w:t>
      </w:r>
      <w:r>
        <w:rPr>
          <w:rStyle w:val="35"/>
          <w:rFonts w:hint="eastAsia"/>
        </w:rPr>
        <w:t xml:space="preserve"> 防雷和接地</w:t>
      </w:r>
      <w:r>
        <w:tab/>
      </w:r>
      <w:r>
        <w:fldChar w:fldCharType="begin"/>
      </w:r>
      <w:r>
        <w:instrText xml:space="preserve"> PAGEREF _Toc202797283 \h </w:instrText>
      </w:r>
      <w:r>
        <w:fldChar w:fldCharType="separate"/>
      </w:r>
      <w:r>
        <w:t>10</w:t>
      </w:r>
      <w:r>
        <w:fldChar w:fldCharType="end"/>
      </w:r>
      <w:r>
        <w:fldChar w:fldCharType="end"/>
      </w:r>
    </w:p>
    <w:p w14:paraId="43BB63F6">
      <w:pPr>
        <w:pStyle w:val="26"/>
        <w:rPr>
          <w:rFonts w:asciiTheme="minorHAnsi" w:hAnsiTheme="minorHAnsi" w:eastAsiaTheme="minorEastAsia" w:cstheme="minorBidi"/>
          <w:szCs w:val="22"/>
        </w:rPr>
      </w:pPr>
      <w:r>
        <w:fldChar w:fldCharType="begin"/>
      </w:r>
      <w:r>
        <w:instrText xml:space="preserve"> HYPERLINK \l "_Toc202797284" </w:instrText>
      </w:r>
      <w:r>
        <w:fldChar w:fldCharType="separate"/>
      </w:r>
      <w:r>
        <w:rPr>
          <w:rStyle w:val="35"/>
          <w14:scene3d>
            <w14:lightRig w14:rig="threePt" w14:dir="t">
              <w14:rot w14:lat="0" w14:lon="0" w14:rev="0"/>
            </w14:lightRig>
          </w14:scene3d>
        </w:rPr>
        <w:t xml:space="preserve">5.9 </w:t>
      </w:r>
      <w:r>
        <w:rPr>
          <w:rStyle w:val="35"/>
          <w:rFonts w:hint="eastAsia"/>
        </w:rPr>
        <w:t xml:space="preserve"> 线缆</w:t>
      </w:r>
      <w:r>
        <w:tab/>
      </w:r>
      <w:r>
        <w:fldChar w:fldCharType="begin"/>
      </w:r>
      <w:r>
        <w:instrText xml:space="preserve"> PAGEREF _Toc202797284 \h </w:instrText>
      </w:r>
      <w:r>
        <w:fldChar w:fldCharType="separate"/>
      </w:r>
      <w:r>
        <w:t>10</w:t>
      </w:r>
      <w:r>
        <w:fldChar w:fldCharType="end"/>
      </w:r>
      <w:r>
        <w:fldChar w:fldCharType="end"/>
      </w:r>
    </w:p>
    <w:p w14:paraId="12EA5AF4">
      <w:pPr>
        <w:pStyle w:val="26"/>
        <w:rPr>
          <w:rFonts w:asciiTheme="minorHAnsi" w:hAnsiTheme="minorHAnsi" w:eastAsiaTheme="minorEastAsia" w:cstheme="minorBidi"/>
          <w:szCs w:val="22"/>
        </w:rPr>
      </w:pPr>
      <w:r>
        <w:fldChar w:fldCharType="begin"/>
      </w:r>
      <w:r>
        <w:instrText xml:space="preserve"> HYPERLINK \l "_Toc202797285" </w:instrText>
      </w:r>
      <w:r>
        <w:fldChar w:fldCharType="separate"/>
      </w:r>
      <w:r>
        <w:rPr>
          <w:rStyle w:val="35"/>
          <w14:scene3d>
            <w14:lightRig w14:rig="threePt" w14:dir="t">
              <w14:rot w14:lat="0" w14:lon="0" w14:rev="0"/>
            </w14:lightRig>
          </w14:scene3d>
        </w:rPr>
        <w:t xml:space="preserve">5.10 </w:t>
      </w:r>
      <w:r>
        <w:rPr>
          <w:rStyle w:val="35"/>
          <w:rFonts w:hint="eastAsia"/>
        </w:rPr>
        <w:t xml:space="preserve"> 电能质量监测</w:t>
      </w:r>
      <w:r>
        <w:tab/>
      </w:r>
      <w:r>
        <w:fldChar w:fldCharType="begin"/>
      </w:r>
      <w:r>
        <w:instrText xml:space="preserve"> PAGEREF _Toc202797285 \h </w:instrText>
      </w:r>
      <w:r>
        <w:fldChar w:fldCharType="separate"/>
      </w:r>
      <w:r>
        <w:t>11</w:t>
      </w:r>
      <w:r>
        <w:fldChar w:fldCharType="end"/>
      </w:r>
      <w:r>
        <w:fldChar w:fldCharType="end"/>
      </w:r>
    </w:p>
    <w:p w14:paraId="4872CB49">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"_Toc202797286" </w:instrText>
      </w:r>
      <w:r>
        <w:fldChar w:fldCharType="separate"/>
      </w:r>
      <w:r>
        <w:rPr>
          <w:rStyle w:val="35"/>
        </w:rPr>
        <w:t xml:space="preserve">6 </w:t>
      </w:r>
      <w:r>
        <w:rPr>
          <w:rStyle w:val="35"/>
          <w:rFonts w:hint="eastAsia"/>
        </w:rPr>
        <w:t xml:space="preserve"> 施工</w:t>
      </w:r>
      <w:r>
        <w:tab/>
      </w:r>
      <w:r>
        <w:fldChar w:fldCharType="begin"/>
      </w:r>
      <w:r>
        <w:instrText xml:space="preserve"> PAGEREF _Toc202797286 \h </w:instrText>
      </w:r>
      <w:r>
        <w:fldChar w:fldCharType="separate"/>
      </w:r>
      <w:r>
        <w:t>11</w:t>
      </w:r>
      <w:r>
        <w:fldChar w:fldCharType="end"/>
      </w:r>
      <w:r>
        <w:fldChar w:fldCharType="end"/>
      </w:r>
    </w:p>
    <w:p w14:paraId="3392EBCA">
      <w:pPr>
        <w:pStyle w:val="26"/>
        <w:rPr>
          <w:rFonts w:asciiTheme="minorHAnsi" w:hAnsiTheme="minorHAnsi" w:eastAsiaTheme="minorEastAsia" w:cstheme="minorBidi"/>
          <w:szCs w:val="22"/>
        </w:rPr>
      </w:pPr>
      <w:r>
        <w:fldChar w:fldCharType="begin"/>
      </w:r>
      <w:r>
        <w:instrText xml:space="preserve"> HYPERLINK \l "_Toc202797287" </w:instrText>
      </w:r>
      <w:r>
        <w:fldChar w:fldCharType="separate"/>
      </w:r>
      <w:r>
        <w:rPr>
          <w:rStyle w:val="35"/>
          <w14:scene3d>
            <w14:lightRig w14:rig="threePt" w14:dir="t">
              <w14:rot w14:lat="0" w14:lon="0" w14:rev="0"/>
            </w14:lightRig>
          </w14:scene3d>
        </w:rPr>
        <w:t xml:space="preserve">6.1 </w:t>
      </w:r>
      <w:r>
        <w:rPr>
          <w:rStyle w:val="35"/>
          <w:rFonts w:hint="eastAsia"/>
        </w:rPr>
        <w:t xml:space="preserve"> 一般要求</w:t>
      </w:r>
      <w:r>
        <w:tab/>
      </w:r>
      <w:r>
        <w:fldChar w:fldCharType="begin"/>
      </w:r>
      <w:r>
        <w:instrText xml:space="preserve"> PAGEREF _Toc202797287 \h </w:instrText>
      </w:r>
      <w:r>
        <w:fldChar w:fldCharType="separate"/>
      </w:r>
      <w:r>
        <w:t>11</w:t>
      </w:r>
      <w:r>
        <w:fldChar w:fldCharType="end"/>
      </w:r>
      <w:r>
        <w:fldChar w:fldCharType="end"/>
      </w:r>
    </w:p>
    <w:p w14:paraId="57603B02">
      <w:pPr>
        <w:pStyle w:val="26"/>
        <w:rPr>
          <w:rFonts w:asciiTheme="minorHAnsi" w:hAnsiTheme="minorHAnsi" w:eastAsiaTheme="minorEastAsia" w:cstheme="minorBidi"/>
          <w:szCs w:val="22"/>
        </w:rPr>
      </w:pPr>
      <w:r>
        <w:fldChar w:fldCharType="begin"/>
      </w:r>
      <w:r>
        <w:instrText xml:space="preserve"> HYPERLINK \l "_Toc202797288" </w:instrText>
      </w:r>
      <w:r>
        <w:fldChar w:fldCharType="separate"/>
      </w:r>
      <w:r>
        <w:rPr>
          <w:rStyle w:val="35"/>
          <w14:scene3d>
            <w14:lightRig w14:rig="threePt" w14:dir="t">
              <w14:rot w14:lat="0" w14:lon="0" w14:rev="0"/>
            </w14:lightRig>
          </w14:scene3d>
        </w:rPr>
        <w:t xml:space="preserve">6.2 </w:t>
      </w:r>
      <w:r>
        <w:rPr>
          <w:rStyle w:val="35"/>
          <w:rFonts w:hint="eastAsia" w:hAnsi="宋体"/>
          <w:bCs/>
        </w:rPr>
        <w:t xml:space="preserve"> 光伏组件</w:t>
      </w:r>
      <w:r>
        <w:tab/>
      </w:r>
      <w:r>
        <w:fldChar w:fldCharType="begin"/>
      </w:r>
      <w:r>
        <w:instrText xml:space="preserve"> PAGEREF _Toc202797288 \h </w:instrText>
      </w:r>
      <w:r>
        <w:fldChar w:fldCharType="separate"/>
      </w:r>
      <w:r>
        <w:t>12</w:t>
      </w:r>
      <w:r>
        <w:fldChar w:fldCharType="end"/>
      </w:r>
      <w:r>
        <w:fldChar w:fldCharType="end"/>
      </w:r>
    </w:p>
    <w:p w14:paraId="0C45213A">
      <w:pPr>
        <w:pStyle w:val="26"/>
        <w:rPr>
          <w:rFonts w:asciiTheme="minorHAnsi" w:hAnsiTheme="minorHAnsi" w:eastAsiaTheme="minorEastAsia" w:cstheme="minorBidi"/>
          <w:szCs w:val="22"/>
        </w:rPr>
      </w:pPr>
      <w:r>
        <w:fldChar w:fldCharType="begin"/>
      </w:r>
      <w:r>
        <w:instrText xml:space="preserve"> HYPERLINK \l "_Toc202797289" </w:instrText>
      </w:r>
      <w:r>
        <w:fldChar w:fldCharType="separate"/>
      </w:r>
      <w:r>
        <w:rPr>
          <w:rStyle w:val="35"/>
          <w14:scene3d>
            <w14:lightRig w14:rig="threePt" w14:dir="t">
              <w14:rot w14:lat="0" w14:lon="0" w14:rev="0"/>
            </w14:lightRig>
          </w14:scene3d>
        </w:rPr>
        <w:t xml:space="preserve">6.3 </w:t>
      </w:r>
      <w:r>
        <w:rPr>
          <w:rStyle w:val="35"/>
          <w:rFonts w:hint="eastAsia"/>
        </w:rPr>
        <w:t xml:space="preserve"> 光伏逆变器</w:t>
      </w:r>
      <w:r>
        <w:tab/>
      </w:r>
      <w:r>
        <w:fldChar w:fldCharType="begin"/>
      </w:r>
      <w:r>
        <w:instrText xml:space="preserve"> PAGEREF _Toc202797289 \h </w:instrText>
      </w:r>
      <w:r>
        <w:fldChar w:fldCharType="separate"/>
      </w:r>
      <w:r>
        <w:t>12</w:t>
      </w:r>
      <w:r>
        <w:fldChar w:fldCharType="end"/>
      </w:r>
      <w:r>
        <w:fldChar w:fldCharType="end"/>
      </w:r>
    </w:p>
    <w:p w14:paraId="73AB1F57">
      <w:pPr>
        <w:pStyle w:val="26"/>
        <w:rPr>
          <w:rFonts w:asciiTheme="minorHAnsi" w:hAnsiTheme="minorHAnsi" w:eastAsiaTheme="minorEastAsia" w:cstheme="minorBidi"/>
          <w:szCs w:val="22"/>
        </w:rPr>
      </w:pPr>
      <w:r>
        <w:fldChar w:fldCharType="begin"/>
      </w:r>
      <w:r>
        <w:instrText xml:space="preserve"> HYPERLINK \l "_Toc202797290" </w:instrText>
      </w:r>
      <w:r>
        <w:fldChar w:fldCharType="separate"/>
      </w:r>
      <w:r>
        <w:rPr>
          <w:rStyle w:val="35"/>
          <w14:scene3d>
            <w14:lightRig w14:rig="threePt" w14:dir="t">
              <w14:rot w14:lat="0" w14:lon="0" w14:rev="0"/>
            </w14:lightRig>
          </w14:scene3d>
        </w:rPr>
        <w:t xml:space="preserve">6.4 </w:t>
      </w:r>
      <w:r>
        <w:rPr>
          <w:rStyle w:val="35"/>
          <w:rFonts w:hint="eastAsia" w:ascii="Times New Roman"/>
        </w:rPr>
        <w:t xml:space="preserve"> 升压变压器</w:t>
      </w:r>
      <w:r>
        <w:tab/>
      </w:r>
      <w:r>
        <w:fldChar w:fldCharType="begin"/>
      </w:r>
      <w:r>
        <w:instrText xml:space="preserve"> PAGEREF _Toc202797290 \h </w:instrText>
      </w:r>
      <w:r>
        <w:fldChar w:fldCharType="separate"/>
      </w:r>
      <w:r>
        <w:t>12</w:t>
      </w:r>
      <w:r>
        <w:fldChar w:fldCharType="end"/>
      </w:r>
      <w:r>
        <w:fldChar w:fldCharType="end"/>
      </w:r>
    </w:p>
    <w:p w14:paraId="46BF353C">
      <w:pPr>
        <w:pStyle w:val="26"/>
        <w:rPr>
          <w:rFonts w:asciiTheme="minorHAnsi" w:hAnsiTheme="minorHAnsi" w:eastAsiaTheme="minorEastAsia" w:cstheme="minorBidi"/>
          <w:szCs w:val="22"/>
        </w:rPr>
      </w:pPr>
      <w:r>
        <w:fldChar w:fldCharType="begin"/>
      </w:r>
      <w:r>
        <w:instrText xml:space="preserve"> HYPERLINK \l "_Toc202797291" </w:instrText>
      </w:r>
      <w:r>
        <w:fldChar w:fldCharType="separate"/>
      </w:r>
      <w:r>
        <w:rPr>
          <w:rStyle w:val="35"/>
          <w14:scene3d>
            <w14:lightRig w14:rig="threePt" w14:dir="t">
              <w14:rot w14:lat="0" w14:lon="0" w14:rev="0"/>
            </w14:lightRig>
          </w14:scene3d>
        </w:rPr>
        <w:t xml:space="preserve">6.5 </w:t>
      </w:r>
      <w:r>
        <w:rPr>
          <w:rStyle w:val="35"/>
          <w:rFonts w:hint="eastAsia"/>
        </w:rPr>
        <w:t xml:space="preserve"> 开关站</w:t>
      </w:r>
      <w:r>
        <w:tab/>
      </w:r>
      <w:r>
        <w:fldChar w:fldCharType="begin"/>
      </w:r>
      <w:r>
        <w:instrText xml:space="preserve"> PAGEREF _Toc202797291 \h </w:instrText>
      </w:r>
      <w:r>
        <w:fldChar w:fldCharType="separate"/>
      </w:r>
      <w:r>
        <w:t>12</w:t>
      </w:r>
      <w:r>
        <w:fldChar w:fldCharType="end"/>
      </w:r>
      <w:r>
        <w:fldChar w:fldCharType="end"/>
      </w:r>
    </w:p>
    <w:p w14:paraId="52E120E7">
      <w:pPr>
        <w:pStyle w:val="26"/>
        <w:rPr>
          <w:rFonts w:asciiTheme="minorHAnsi" w:hAnsiTheme="minorHAnsi" w:eastAsiaTheme="minorEastAsia" w:cstheme="minorBidi"/>
          <w:szCs w:val="22"/>
        </w:rPr>
      </w:pPr>
      <w:r>
        <w:fldChar w:fldCharType="begin"/>
      </w:r>
      <w:r>
        <w:instrText xml:space="preserve"> HYPERLINK \l "_Toc202797292" </w:instrText>
      </w:r>
      <w:r>
        <w:fldChar w:fldCharType="separate"/>
      </w:r>
      <w:r>
        <w:rPr>
          <w:rStyle w:val="35"/>
          <w14:scene3d>
            <w14:lightRig w14:rig="threePt" w14:dir="t">
              <w14:rot w14:lat="0" w14:lon="0" w14:rev="0"/>
            </w14:lightRig>
          </w14:scene3d>
        </w:rPr>
        <w:t xml:space="preserve">6.6 </w:t>
      </w:r>
      <w:r>
        <w:rPr>
          <w:rStyle w:val="35"/>
          <w:rFonts w:hint="eastAsia"/>
        </w:rPr>
        <w:t xml:space="preserve"> 并网柜（箱）、汇流柜（箱）</w:t>
      </w:r>
      <w:r>
        <w:tab/>
      </w:r>
      <w:r>
        <w:fldChar w:fldCharType="begin"/>
      </w:r>
      <w:r>
        <w:instrText xml:space="preserve"> PAGEREF _Toc202797292 \h </w:instrText>
      </w:r>
      <w:r>
        <w:fldChar w:fldCharType="separate"/>
      </w:r>
      <w:r>
        <w:t>13</w:t>
      </w:r>
      <w:r>
        <w:fldChar w:fldCharType="end"/>
      </w:r>
      <w:r>
        <w:fldChar w:fldCharType="end"/>
      </w:r>
    </w:p>
    <w:p w14:paraId="41F3B0FB">
      <w:pPr>
        <w:pStyle w:val="26"/>
        <w:rPr>
          <w:rFonts w:asciiTheme="minorHAnsi" w:hAnsiTheme="minorHAnsi" w:eastAsiaTheme="minorEastAsia" w:cstheme="minorBidi"/>
          <w:szCs w:val="22"/>
        </w:rPr>
      </w:pPr>
      <w:r>
        <w:fldChar w:fldCharType="begin"/>
      </w:r>
      <w:r>
        <w:instrText xml:space="preserve"> HYPERLINK \l "_Toc202797293" </w:instrText>
      </w:r>
      <w:r>
        <w:fldChar w:fldCharType="separate"/>
      </w:r>
      <w:r>
        <w:rPr>
          <w:rStyle w:val="35"/>
          <w14:scene3d>
            <w14:lightRig w14:rig="threePt" w14:dir="t">
              <w14:rot w14:lat="0" w14:lon="0" w14:rev="0"/>
            </w14:lightRig>
          </w14:scene3d>
        </w:rPr>
        <w:t xml:space="preserve">6.7 </w:t>
      </w:r>
      <w:r>
        <w:rPr>
          <w:rStyle w:val="35"/>
          <w:rFonts w:hint="eastAsia" w:ascii="Times New Roman"/>
        </w:rPr>
        <w:t xml:space="preserve"> 储能系统</w:t>
      </w:r>
      <w:r>
        <w:tab/>
      </w:r>
      <w:r>
        <w:fldChar w:fldCharType="begin"/>
      </w:r>
      <w:r>
        <w:instrText xml:space="preserve"> PAGEREF _Toc202797293 \h </w:instrText>
      </w:r>
      <w:r>
        <w:fldChar w:fldCharType="separate"/>
      </w:r>
      <w:r>
        <w:t>13</w:t>
      </w:r>
      <w:r>
        <w:fldChar w:fldCharType="end"/>
      </w:r>
      <w:r>
        <w:fldChar w:fldCharType="end"/>
      </w:r>
    </w:p>
    <w:p w14:paraId="0272757C">
      <w:pPr>
        <w:pStyle w:val="26"/>
        <w:rPr>
          <w:rFonts w:asciiTheme="minorHAnsi" w:hAnsiTheme="minorHAnsi" w:eastAsiaTheme="minorEastAsia" w:cstheme="minorBidi"/>
          <w:szCs w:val="22"/>
        </w:rPr>
      </w:pPr>
      <w:r>
        <w:fldChar w:fldCharType="begin"/>
      </w:r>
      <w:r>
        <w:instrText xml:space="preserve"> HYPERLINK \l "_Toc202797294" </w:instrText>
      </w:r>
      <w:r>
        <w:fldChar w:fldCharType="separate"/>
      </w:r>
      <w:r>
        <w:rPr>
          <w:rStyle w:val="35"/>
          <w14:scene3d>
            <w14:lightRig w14:rig="threePt" w14:dir="t">
              <w14:rot w14:lat="0" w14:lon="0" w14:rev="0"/>
            </w14:lightRig>
          </w14:scene3d>
        </w:rPr>
        <w:t xml:space="preserve">6.8 </w:t>
      </w:r>
      <w:r>
        <w:rPr>
          <w:rStyle w:val="35"/>
          <w:rFonts w:hint="eastAsia"/>
        </w:rPr>
        <w:t xml:space="preserve"> 防雷和接地</w:t>
      </w:r>
      <w:r>
        <w:tab/>
      </w:r>
      <w:r>
        <w:fldChar w:fldCharType="begin"/>
      </w:r>
      <w:r>
        <w:instrText xml:space="preserve"> PAGEREF _Toc202797294 \h </w:instrText>
      </w:r>
      <w:r>
        <w:fldChar w:fldCharType="separate"/>
      </w:r>
      <w:r>
        <w:t>13</w:t>
      </w:r>
      <w:r>
        <w:fldChar w:fldCharType="end"/>
      </w:r>
      <w:r>
        <w:fldChar w:fldCharType="end"/>
      </w:r>
    </w:p>
    <w:p w14:paraId="610DA7DE">
      <w:pPr>
        <w:pStyle w:val="26"/>
        <w:rPr>
          <w:rFonts w:asciiTheme="minorHAnsi" w:hAnsiTheme="minorHAnsi" w:eastAsiaTheme="minorEastAsia" w:cstheme="minorBidi"/>
          <w:szCs w:val="22"/>
        </w:rPr>
      </w:pPr>
      <w:r>
        <w:fldChar w:fldCharType="begin"/>
      </w:r>
      <w:r>
        <w:instrText xml:space="preserve"> HYPERLINK \l "_Toc202797295" </w:instrText>
      </w:r>
      <w:r>
        <w:fldChar w:fldCharType="separate"/>
      </w:r>
      <w:r>
        <w:rPr>
          <w:rStyle w:val="35"/>
          <w14:scene3d>
            <w14:lightRig w14:rig="threePt" w14:dir="t">
              <w14:rot w14:lat="0" w14:lon="0" w14:rev="0"/>
            </w14:lightRig>
          </w14:scene3d>
        </w:rPr>
        <w:t xml:space="preserve">6.9 </w:t>
      </w:r>
      <w:r>
        <w:rPr>
          <w:rStyle w:val="35"/>
          <w:rFonts w:hint="eastAsia"/>
        </w:rPr>
        <w:t xml:space="preserve"> 线缆敷设</w:t>
      </w:r>
      <w:r>
        <w:tab/>
      </w:r>
      <w:r>
        <w:fldChar w:fldCharType="begin"/>
      </w:r>
      <w:r>
        <w:instrText xml:space="preserve"> PAGEREF _Toc202797295 \h </w:instrText>
      </w:r>
      <w:r>
        <w:fldChar w:fldCharType="separate"/>
      </w:r>
      <w:r>
        <w:t>13</w:t>
      </w:r>
      <w:r>
        <w:fldChar w:fldCharType="end"/>
      </w:r>
      <w:r>
        <w:fldChar w:fldCharType="end"/>
      </w:r>
    </w:p>
    <w:p w14:paraId="0E2CAD33">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"_Toc202797296" </w:instrText>
      </w:r>
      <w:r>
        <w:fldChar w:fldCharType="separate"/>
      </w:r>
      <w:r>
        <w:rPr>
          <w:rStyle w:val="35"/>
        </w:rPr>
        <w:t xml:space="preserve">7 </w:t>
      </w:r>
      <w:r>
        <w:rPr>
          <w:rStyle w:val="35"/>
          <w:rFonts w:hint="eastAsia"/>
        </w:rPr>
        <w:t xml:space="preserve"> 电能计量</w:t>
      </w:r>
      <w:r>
        <w:tab/>
      </w:r>
      <w:r>
        <w:fldChar w:fldCharType="begin"/>
      </w:r>
      <w:r>
        <w:instrText xml:space="preserve"> PAGEREF _Toc202797296 \h </w:instrText>
      </w:r>
      <w:r>
        <w:fldChar w:fldCharType="separate"/>
      </w:r>
      <w:r>
        <w:t>13</w:t>
      </w:r>
      <w:r>
        <w:fldChar w:fldCharType="end"/>
      </w:r>
      <w:r>
        <w:fldChar w:fldCharType="end"/>
      </w:r>
    </w:p>
    <w:p w14:paraId="0580C1DC">
      <w:pPr>
        <w:pStyle w:val="26"/>
        <w:rPr>
          <w:rFonts w:asciiTheme="minorHAnsi" w:hAnsiTheme="minorHAnsi" w:eastAsiaTheme="minorEastAsia" w:cstheme="minorBidi"/>
          <w:szCs w:val="22"/>
        </w:rPr>
      </w:pPr>
      <w:r>
        <w:fldChar w:fldCharType="begin"/>
      </w:r>
      <w:r>
        <w:instrText xml:space="preserve"> HYPERLINK \l "_Toc202797297" </w:instrText>
      </w:r>
      <w:r>
        <w:fldChar w:fldCharType="separate"/>
      </w:r>
      <w:r>
        <w:rPr>
          <w:rStyle w:val="35"/>
          <w14:scene3d>
            <w14:lightRig w14:rig="threePt" w14:dir="t">
              <w14:rot w14:lat="0" w14:lon="0" w14:rev="0"/>
            </w14:lightRig>
          </w14:scene3d>
        </w:rPr>
        <w:t xml:space="preserve">7.1 </w:t>
      </w:r>
      <w:r>
        <w:rPr>
          <w:rStyle w:val="35"/>
          <w:rFonts w:hint="eastAsia"/>
        </w:rPr>
        <w:t xml:space="preserve"> 一般要求</w:t>
      </w:r>
      <w:r>
        <w:tab/>
      </w:r>
      <w:r>
        <w:fldChar w:fldCharType="begin"/>
      </w:r>
      <w:r>
        <w:instrText xml:space="preserve"> PAGEREF _Toc202797297 \h </w:instrText>
      </w:r>
      <w:r>
        <w:fldChar w:fldCharType="separate"/>
      </w:r>
      <w:r>
        <w:t>14</w:t>
      </w:r>
      <w:r>
        <w:fldChar w:fldCharType="end"/>
      </w:r>
      <w:r>
        <w:fldChar w:fldCharType="end"/>
      </w:r>
    </w:p>
    <w:p w14:paraId="77D09727">
      <w:pPr>
        <w:pStyle w:val="26"/>
        <w:rPr>
          <w:rFonts w:asciiTheme="minorHAnsi" w:hAnsiTheme="minorHAnsi" w:eastAsiaTheme="minorEastAsia" w:cstheme="minorBidi"/>
          <w:szCs w:val="22"/>
        </w:rPr>
      </w:pPr>
      <w:r>
        <w:fldChar w:fldCharType="begin"/>
      </w:r>
      <w:r>
        <w:instrText xml:space="preserve"> HYPERLINK \l "_Toc202797298" </w:instrText>
      </w:r>
      <w:r>
        <w:fldChar w:fldCharType="separate"/>
      </w:r>
      <w:r>
        <w:rPr>
          <w:rStyle w:val="35"/>
          <w14:scene3d>
            <w14:lightRig w14:rig="threePt" w14:dir="t">
              <w14:rot w14:lat="0" w14:lon="0" w14:rev="0"/>
            </w14:lightRig>
          </w14:scene3d>
        </w:rPr>
        <w:t xml:space="preserve">7.2 </w:t>
      </w:r>
      <w:r>
        <w:rPr>
          <w:rStyle w:val="35"/>
          <w:rFonts w:hint="eastAsia"/>
        </w:rPr>
        <w:t xml:space="preserve"> 计量方式</w:t>
      </w:r>
      <w:r>
        <w:tab/>
      </w:r>
      <w:r>
        <w:fldChar w:fldCharType="begin"/>
      </w:r>
      <w:r>
        <w:instrText xml:space="preserve"> PAGEREF _Toc202797298 \h </w:instrText>
      </w:r>
      <w:r>
        <w:fldChar w:fldCharType="separate"/>
      </w:r>
      <w:r>
        <w:t>14</w:t>
      </w:r>
      <w:r>
        <w:fldChar w:fldCharType="end"/>
      </w:r>
      <w:r>
        <w:fldChar w:fldCharType="end"/>
      </w:r>
    </w:p>
    <w:p w14:paraId="35F2768B">
      <w:pPr>
        <w:pStyle w:val="26"/>
        <w:rPr>
          <w:rFonts w:asciiTheme="minorHAnsi" w:hAnsiTheme="minorHAnsi" w:eastAsiaTheme="minorEastAsia" w:cstheme="minorBidi"/>
          <w:szCs w:val="22"/>
        </w:rPr>
      </w:pPr>
      <w:r>
        <w:fldChar w:fldCharType="begin"/>
      </w:r>
      <w:r>
        <w:instrText xml:space="preserve"> HYPERLINK \l "_Toc202797299" </w:instrText>
      </w:r>
      <w:r>
        <w:fldChar w:fldCharType="separate"/>
      </w:r>
      <w:r>
        <w:rPr>
          <w:rStyle w:val="35"/>
          <w14:scene3d>
            <w14:lightRig w14:rig="threePt" w14:dir="t">
              <w14:rot w14:lat="0" w14:lon="0" w14:rev="0"/>
            </w14:lightRig>
          </w14:scene3d>
        </w:rPr>
        <w:t xml:space="preserve">7.3 </w:t>
      </w:r>
      <w:r>
        <w:rPr>
          <w:rStyle w:val="35"/>
          <w:rFonts w:hint="eastAsia"/>
        </w:rPr>
        <w:t xml:space="preserve"> 计量配置</w:t>
      </w:r>
      <w:r>
        <w:tab/>
      </w:r>
      <w:r>
        <w:fldChar w:fldCharType="begin"/>
      </w:r>
      <w:r>
        <w:instrText xml:space="preserve"> PAGEREF _Toc202797299 \h </w:instrText>
      </w:r>
      <w:r>
        <w:fldChar w:fldCharType="separate"/>
      </w:r>
      <w:r>
        <w:t>14</w:t>
      </w:r>
      <w:r>
        <w:fldChar w:fldCharType="end"/>
      </w:r>
      <w:r>
        <w:fldChar w:fldCharType="end"/>
      </w:r>
    </w:p>
    <w:p w14:paraId="5E4DB420">
      <w:pPr>
        <w:pStyle w:val="26"/>
        <w:rPr>
          <w:rFonts w:asciiTheme="minorHAnsi" w:hAnsiTheme="minorHAnsi" w:eastAsiaTheme="minorEastAsia" w:cstheme="minorBidi"/>
          <w:szCs w:val="22"/>
        </w:rPr>
      </w:pPr>
      <w:r>
        <w:fldChar w:fldCharType="begin"/>
      </w:r>
      <w:r>
        <w:instrText xml:space="preserve"> HYPERLINK \l "_Toc202797300" </w:instrText>
      </w:r>
      <w:r>
        <w:fldChar w:fldCharType="separate"/>
      </w:r>
      <w:r>
        <w:rPr>
          <w:rStyle w:val="35"/>
          <w14:scene3d>
            <w14:lightRig w14:rig="threePt" w14:dir="t">
              <w14:rot w14:lat="0" w14:lon="0" w14:rev="0"/>
            </w14:lightRig>
          </w14:scene3d>
        </w:rPr>
        <w:t xml:space="preserve">7.4 </w:t>
      </w:r>
      <w:r>
        <w:rPr>
          <w:rStyle w:val="35"/>
          <w:rFonts w:hint="eastAsia"/>
        </w:rPr>
        <w:t xml:space="preserve"> 安装要求</w:t>
      </w:r>
      <w:r>
        <w:tab/>
      </w:r>
      <w:r>
        <w:fldChar w:fldCharType="begin"/>
      </w:r>
      <w:r>
        <w:instrText xml:space="preserve"> PAGEREF _Toc202797300 \h </w:instrText>
      </w:r>
      <w:r>
        <w:fldChar w:fldCharType="separate"/>
      </w:r>
      <w:r>
        <w:t>14</w:t>
      </w:r>
      <w:r>
        <w:fldChar w:fldCharType="end"/>
      </w:r>
      <w:r>
        <w:fldChar w:fldCharType="end"/>
      </w:r>
    </w:p>
    <w:p w14:paraId="4D1F5058">
      <w:pPr>
        <w:pStyle w:val="26"/>
        <w:rPr>
          <w:rFonts w:asciiTheme="minorHAnsi" w:hAnsiTheme="minorHAnsi" w:eastAsiaTheme="minorEastAsia" w:cstheme="minorBidi"/>
          <w:szCs w:val="22"/>
        </w:rPr>
      </w:pPr>
      <w:r>
        <w:fldChar w:fldCharType="begin"/>
      </w:r>
      <w:r>
        <w:instrText xml:space="preserve"> HYPERLINK \l "_Toc202797301" </w:instrText>
      </w:r>
      <w:r>
        <w:fldChar w:fldCharType="separate"/>
      </w:r>
      <w:r>
        <w:rPr>
          <w:rStyle w:val="35"/>
          <w14:scene3d>
            <w14:lightRig w14:rig="threePt" w14:dir="t">
              <w14:rot w14:lat="0" w14:lon="0" w14:rev="0"/>
            </w14:lightRig>
          </w14:scene3d>
        </w:rPr>
        <w:t xml:space="preserve">7.5 </w:t>
      </w:r>
      <w:r>
        <w:rPr>
          <w:rStyle w:val="35"/>
          <w:rFonts w:hint="eastAsia"/>
        </w:rPr>
        <w:t xml:space="preserve"> 采集要求</w:t>
      </w:r>
      <w:r>
        <w:tab/>
      </w:r>
      <w:r>
        <w:fldChar w:fldCharType="begin"/>
      </w:r>
      <w:r>
        <w:instrText xml:space="preserve"> PAGEREF _Toc202797301 \h </w:instrText>
      </w:r>
      <w:r>
        <w:fldChar w:fldCharType="separate"/>
      </w:r>
      <w:r>
        <w:t>15</w:t>
      </w:r>
      <w:r>
        <w:fldChar w:fldCharType="end"/>
      </w:r>
      <w:r>
        <w:fldChar w:fldCharType="end"/>
      </w:r>
    </w:p>
    <w:p w14:paraId="72863974">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"_Toc202797302" </w:instrText>
      </w:r>
      <w:r>
        <w:fldChar w:fldCharType="separate"/>
      </w:r>
      <w:r>
        <w:rPr>
          <w:rStyle w:val="35"/>
        </w:rPr>
        <w:t xml:space="preserve">8 </w:t>
      </w:r>
      <w:r>
        <w:rPr>
          <w:rStyle w:val="35"/>
          <w:rFonts w:hint="eastAsia"/>
        </w:rPr>
        <w:t xml:space="preserve"> 通信及远程控制</w:t>
      </w:r>
      <w:r>
        <w:tab/>
      </w:r>
      <w:r>
        <w:fldChar w:fldCharType="begin"/>
      </w:r>
      <w:r>
        <w:instrText xml:space="preserve"> PAGEREF _Toc202797302 \h </w:instrText>
      </w:r>
      <w:r>
        <w:fldChar w:fldCharType="separate"/>
      </w:r>
      <w:r>
        <w:t>15</w:t>
      </w:r>
      <w:r>
        <w:fldChar w:fldCharType="end"/>
      </w:r>
      <w:r>
        <w:fldChar w:fldCharType="end"/>
      </w:r>
    </w:p>
    <w:p w14:paraId="38D6A75C">
      <w:pPr>
        <w:pStyle w:val="26"/>
        <w:rPr>
          <w:rFonts w:asciiTheme="minorHAnsi" w:hAnsiTheme="minorHAnsi" w:eastAsiaTheme="minorEastAsia" w:cstheme="minorBidi"/>
          <w:szCs w:val="22"/>
        </w:rPr>
      </w:pPr>
      <w:r>
        <w:fldChar w:fldCharType="begin"/>
      </w:r>
      <w:r>
        <w:instrText xml:space="preserve"> HYPERLINK \l "_Toc202797303" </w:instrText>
      </w:r>
      <w:r>
        <w:fldChar w:fldCharType="separate"/>
      </w:r>
      <w:r>
        <w:rPr>
          <w:rStyle w:val="35"/>
          <w14:scene3d>
            <w14:lightRig w14:rig="threePt" w14:dir="t">
              <w14:rot w14:lat="0" w14:lon="0" w14:rev="0"/>
            </w14:lightRig>
          </w14:scene3d>
        </w:rPr>
        <w:t xml:space="preserve">8.1 </w:t>
      </w:r>
      <w:r>
        <w:rPr>
          <w:rStyle w:val="35"/>
          <w:rFonts w:hint="eastAsia"/>
        </w:rPr>
        <w:t xml:space="preserve"> 通信要求</w:t>
      </w:r>
      <w:r>
        <w:tab/>
      </w:r>
      <w:r>
        <w:fldChar w:fldCharType="begin"/>
      </w:r>
      <w:r>
        <w:instrText xml:space="preserve"> PAGEREF _Toc202797303 \h </w:instrText>
      </w:r>
      <w:r>
        <w:fldChar w:fldCharType="separate"/>
      </w:r>
      <w:r>
        <w:t>15</w:t>
      </w:r>
      <w:r>
        <w:fldChar w:fldCharType="end"/>
      </w:r>
      <w:r>
        <w:fldChar w:fldCharType="end"/>
      </w:r>
    </w:p>
    <w:p w14:paraId="02F04F15">
      <w:pPr>
        <w:pStyle w:val="26"/>
        <w:rPr>
          <w:rFonts w:asciiTheme="minorHAnsi" w:hAnsiTheme="minorHAnsi" w:eastAsiaTheme="minorEastAsia" w:cstheme="minorBidi"/>
          <w:szCs w:val="22"/>
        </w:rPr>
      </w:pPr>
      <w:r>
        <w:fldChar w:fldCharType="begin"/>
      </w:r>
      <w:r>
        <w:instrText xml:space="preserve"> HYPERLINK \l "_Toc202797304" </w:instrText>
      </w:r>
      <w:r>
        <w:fldChar w:fldCharType="separate"/>
      </w:r>
      <w:r>
        <w:rPr>
          <w:rStyle w:val="35"/>
          <w14:scene3d>
            <w14:lightRig w14:rig="threePt" w14:dir="t">
              <w14:rot w14:lat="0" w14:lon="0" w14:rev="0"/>
            </w14:lightRig>
          </w14:scene3d>
        </w:rPr>
        <w:t xml:space="preserve">8.2 </w:t>
      </w:r>
      <w:r>
        <w:rPr>
          <w:rStyle w:val="35"/>
          <w:rFonts w:hint="eastAsia"/>
        </w:rPr>
        <w:t xml:space="preserve"> 远程控制要求</w:t>
      </w:r>
      <w:r>
        <w:tab/>
      </w:r>
      <w:r>
        <w:fldChar w:fldCharType="begin"/>
      </w:r>
      <w:r>
        <w:instrText xml:space="preserve"> PAGEREF _Toc202797304 \h </w:instrText>
      </w:r>
      <w:r>
        <w:fldChar w:fldCharType="separate"/>
      </w:r>
      <w:r>
        <w:t>15</w:t>
      </w:r>
      <w:r>
        <w:fldChar w:fldCharType="end"/>
      </w:r>
      <w:r>
        <w:fldChar w:fldCharType="end"/>
      </w:r>
    </w:p>
    <w:p w14:paraId="6733B365">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"_Toc202797305" </w:instrText>
      </w:r>
      <w:r>
        <w:fldChar w:fldCharType="separate"/>
      </w:r>
      <w:r>
        <w:rPr>
          <w:rStyle w:val="35"/>
        </w:rPr>
        <w:t xml:space="preserve">9 </w:t>
      </w:r>
      <w:r>
        <w:rPr>
          <w:rStyle w:val="35"/>
          <w:rFonts w:hint="eastAsia"/>
        </w:rPr>
        <w:t xml:space="preserve"> 调试与验收</w:t>
      </w:r>
      <w:r>
        <w:tab/>
      </w:r>
      <w:r>
        <w:fldChar w:fldCharType="begin"/>
      </w:r>
      <w:r>
        <w:instrText xml:space="preserve"> PAGEREF _Toc202797305 \h </w:instrText>
      </w:r>
      <w:r>
        <w:fldChar w:fldCharType="separate"/>
      </w:r>
      <w:r>
        <w:t>16</w:t>
      </w:r>
      <w:r>
        <w:fldChar w:fldCharType="end"/>
      </w:r>
      <w:r>
        <w:fldChar w:fldCharType="end"/>
      </w:r>
    </w:p>
    <w:p w14:paraId="23C0D735">
      <w:pPr>
        <w:pStyle w:val="26"/>
        <w:rPr>
          <w:rFonts w:asciiTheme="minorHAnsi" w:hAnsiTheme="minorHAnsi" w:eastAsiaTheme="minorEastAsia" w:cstheme="minorBidi"/>
          <w:szCs w:val="22"/>
        </w:rPr>
      </w:pPr>
      <w:r>
        <w:fldChar w:fldCharType="begin"/>
      </w:r>
      <w:r>
        <w:instrText xml:space="preserve"> HYPERLINK \l "_Toc202797306" </w:instrText>
      </w:r>
      <w:r>
        <w:fldChar w:fldCharType="separate"/>
      </w:r>
      <w:r>
        <w:rPr>
          <w:rStyle w:val="35"/>
          <w14:scene3d>
            <w14:lightRig w14:rig="threePt" w14:dir="t">
              <w14:rot w14:lat="0" w14:lon="0" w14:rev="0"/>
            </w14:lightRig>
          </w14:scene3d>
        </w:rPr>
        <w:t xml:space="preserve">9.1 </w:t>
      </w:r>
      <w:r>
        <w:rPr>
          <w:rStyle w:val="35"/>
          <w:rFonts w:hint="eastAsia"/>
        </w:rPr>
        <w:t xml:space="preserve"> 一般要求</w:t>
      </w:r>
      <w:r>
        <w:tab/>
      </w:r>
      <w:r>
        <w:fldChar w:fldCharType="begin"/>
      </w:r>
      <w:r>
        <w:instrText xml:space="preserve"> PAGEREF _Toc202797306 \h </w:instrText>
      </w:r>
      <w:r>
        <w:fldChar w:fldCharType="separate"/>
      </w:r>
      <w:r>
        <w:t>16</w:t>
      </w:r>
      <w:r>
        <w:fldChar w:fldCharType="end"/>
      </w:r>
      <w:r>
        <w:fldChar w:fldCharType="end"/>
      </w:r>
    </w:p>
    <w:p w14:paraId="150A7C3C">
      <w:pPr>
        <w:pStyle w:val="26"/>
        <w:rPr>
          <w:rFonts w:asciiTheme="minorHAnsi" w:hAnsiTheme="minorHAnsi" w:eastAsiaTheme="minorEastAsia" w:cstheme="minorBidi"/>
          <w:szCs w:val="22"/>
        </w:rPr>
      </w:pPr>
      <w:r>
        <w:fldChar w:fldCharType="begin"/>
      </w:r>
      <w:r>
        <w:instrText xml:space="preserve"> HYPERLINK \l "_Toc202797307" </w:instrText>
      </w:r>
      <w:r>
        <w:fldChar w:fldCharType="separate"/>
      </w:r>
      <w:r>
        <w:rPr>
          <w:rStyle w:val="35"/>
          <w14:scene3d>
            <w14:lightRig w14:rig="threePt" w14:dir="t">
              <w14:rot w14:lat="0" w14:lon="0" w14:rev="0"/>
            </w14:lightRig>
          </w14:scene3d>
        </w:rPr>
        <w:t xml:space="preserve">9.2 </w:t>
      </w:r>
      <w:r>
        <w:rPr>
          <w:rStyle w:val="35"/>
          <w:rFonts w:hint="eastAsia"/>
        </w:rPr>
        <w:t xml:space="preserve"> 调试</w:t>
      </w:r>
      <w:r>
        <w:tab/>
      </w:r>
      <w:r>
        <w:fldChar w:fldCharType="begin"/>
      </w:r>
      <w:r>
        <w:instrText xml:space="preserve"> PAGEREF _Toc202797307 \h </w:instrText>
      </w:r>
      <w:r>
        <w:fldChar w:fldCharType="separate"/>
      </w:r>
      <w:r>
        <w:t>16</w:t>
      </w:r>
      <w:r>
        <w:fldChar w:fldCharType="end"/>
      </w:r>
      <w:r>
        <w:fldChar w:fldCharType="end"/>
      </w:r>
    </w:p>
    <w:p w14:paraId="5C42CFDF">
      <w:pPr>
        <w:pStyle w:val="26"/>
        <w:rPr>
          <w:rFonts w:asciiTheme="minorHAnsi" w:hAnsiTheme="minorHAnsi" w:eastAsiaTheme="minorEastAsia" w:cstheme="minorBidi"/>
          <w:szCs w:val="22"/>
        </w:rPr>
      </w:pPr>
      <w:r>
        <w:fldChar w:fldCharType="begin"/>
      </w:r>
      <w:r>
        <w:instrText xml:space="preserve"> HYPERLINK \l "_Toc202797308" </w:instrText>
      </w:r>
      <w:r>
        <w:fldChar w:fldCharType="separate"/>
      </w:r>
      <w:r>
        <w:rPr>
          <w:rStyle w:val="35"/>
          <w14:scene3d>
            <w14:lightRig w14:rig="threePt" w14:dir="t">
              <w14:rot w14:lat="0" w14:lon="0" w14:rev="0"/>
            </w14:lightRig>
          </w14:scene3d>
        </w:rPr>
        <w:t xml:space="preserve">9.3 </w:t>
      </w:r>
      <w:r>
        <w:rPr>
          <w:rStyle w:val="35"/>
          <w:rFonts w:hint="eastAsia"/>
        </w:rPr>
        <w:t xml:space="preserve"> 验收</w:t>
      </w:r>
      <w:r>
        <w:tab/>
      </w:r>
      <w:r>
        <w:fldChar w:fldCharType="begin"/>
      </w:r>
      <w:r>
        <w:instrText xml:space="preserve"> PAGEREF _Toc202797308 \h </w:instrText>
      </w:r>
      <w:r>
        <w:fldChar w:fldCharType="separate"/>
      </w:r>
      <w:r>
        <w:t>17</w:t>
      </w:r>
      <w:r>
        <w:fldChar w:fldCharType="end"/>
      </w:r>
      <w:r>
        <w:fldChar w:fldCharType="end"/>
      </w:r>
    </w:p>
    <w:p w14:paraId="02A799BB">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"_Toc202797309" </w:instrText>
      </w:r>
      <w:r>
        <w:fldChar w:fldCharType="separate"/>
      </w:r>
      <w:r>
        <w:rPr>
          <w:rStyle w:val="35"/>
        </w:rPr>
        <w:t xml:space="preserve">10 </w:t>
      </w:r>
      <w:r>
        <w:rPr>
          <w:rStyle w:val="35"/>
          <w:rFonts w:hint="eastAsia"/>
        </w:rPr>
        <w:t xml:space="preserve"> 运行维护</w:t>
      </w:r>
      <w:r>
        <w:tab/>
      </w:r>
      <w:r>
        <w:fldChar w:fldCharType="begin"/>
      </w:r>
      <w:r>
        <w:instrText xml:space="preserve"> PAGEREF _Toc202797309 \h </w:instrText>
      </w:r>
      <w:r>
        <w:fldChar w:fldCharType="separate"/>
      </w:r>
      <w:r>
        <w:t>18</w:t>
      </w:r>
      <w:r>
        <w:fldChar w:fldCharType="end"/>
      </w:r>
      <w:r>
        <w:fldChar w:fldCharType="end"/>
      </w:r>
    </w:p>
    <w:p w14:paraId="1E057C7F">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"_Toc202797310" </w:instrText>
      </w:r>
      <w:r>
        <w:fldChar w:fldCharType="separate"/>
      </w:r>
      <w:r>
        <w:rPr>
          <w:rStyle w:val="35"/>
          <w:rFonts w:hint="eastAsia"/>
        </w:rPr>
        <w:t>附录A（规范性）</w:t>
      </w:r>
      <w:r>
        <w:rPr>
          <w:rStyle w:val="35"/>
        </w:rPr>
        <w:t xml:space="preserve">  </w:t>
      </w:r>
      <w:r>
        <w:rPr>
          <w:rStyle w:val="35"/>
          <w:rFonts w:hint="eastAsia"/>
        </w:rPr>
        <w:t>户用光伏系统采集数据项及策略</w:t>
      </w:r>
      <w:r>
        <w:tab/>
      </w:r>
      <w:r>
        <w:fldChar w:fldCharType="begin"/>
      </w:r>
      <w:r>
        <w:instrText xml:space="preserve"> PAGEREF _Toc202797310 \h </w:instrText>
      </w:r>
      <w:r>
        <w:fldChar w:fldCharType="separate"/>
      </w:r>
      <w:r>
        <w:t>19</w:t>
      </w:r>
      <w:r>
        <w:fldChar w:fldCharType="end"/>
      </w:r>
      <w:r>
        <w:fldChar w:fldCharType="end"/>
      </w:r>
    </w:p>
    <w:p w14:paraId="1A3EDEEA">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"_Toc202797311" </w:instrText>
      </w:r>
      <w:r>
        <w:fldChar w:fldCharType="separate"/>
      </w:r>
      <w:r>
        <w:rPr>
          <w:rStyle w:val="35"/>
          <w:rFonts w:hint="eastAsia"/>
        </w:rPr>
        <w:t>附录B（资料性）</w:t>
      </w:r>
      <w:r>
        <w:rPr>
          <w:rStyle w:val="35"/>
        </w:rPr>
        <w:t xml:space="preserve">  </w:t>
      </w:r>
      <w:r>
        <w:rPr>
          <w:rStyle w:val="35"/>
          <w:rFonts w:hint="eastAsia"/>
        </w:rPr>
        <w:t>现场验收的检查内容和要求</w:t>
      </w:r>
      <w:r>
        <w:tab/>
      </w:r>
      <w:r>
        <w:fldChar w:fldCharType="begin"/>
      </w:r>
      <w:r>
        <w:instrText xml:space="preserve"> PAGEREF _Toc202797311 \h </w:instrText>
      </w:r>
      <w:r>
        <w:fldChar w:fldCharType="separate"/>
      </w:r>
      <w:r>
        <w:t>21</w:t>
      </w:r>
      <w:r>
        <w:fldChar w:fldCharType="end"/>
      </w:r>
      <w:r>
        <w:fldChar w:fldCharType="end"/>
      </w:r>
    </w:p>
    <w:p w14:paraId="49239FFD">
      <w:pPr>
        <w:pStyle w:val="21"/>
        <w:tabs>
          <w:tab w:val="right" w:leader="dot" w:pos="9344"/>
        </w:tabs>
        <w:rPr>
          <w:rFonts w:asciiTheme="minorHAnsi" w:hAnsiTheme="minorHAnsi" w:eastAsiaTheme="minorEastAsia" w:cstheme="minorBidi"/>
          <w:szCs w:val="22"/>
        </w:rPr>
      </w:pPr>
      <w:r>
        <w:fldChar w:fldCharType="begin"/>
      </w:r>
      <w:r>
        <w:instrText xml:space="preserve"> HYPERLINK \l "_Toc202797312" </w:instrText>
      </w:r>
      <w:r>
        <w:fldChar w:fldCharType="separate"/>
      </w:r>
      <w:r>
        <w:rPr>
          <w:rStyle w:val="35"/>
          <w:rFonts w:hint="eastAsia"/>
        </w:rPr>
        <w:t>参考文献</w:t>
      </w:r>
      <w:r>
        <w:tab/>
      </w:r>
      <w:r>
        <w:fldChar w:fldCharType="begin"/>
      </w:r>
      <w:r>
        <w:instrText xml:space="preserve"> PAGEREF _Toc202797312 \h </w:instrText>
      </w:r>
      <w:r>
        <w:fldChar w:fldCharType="separate"/>
      </w:r>
      <w:r>
        <w:t>23</w:t>
      </w:r>
      <w:r>
        <w:fldChar w:fldCharType="end"/>
      </w:r>
      <w:r>
        <w:fldChar w:fldCharType="end"/>
      </w:r>
    </w:p>
    <w:p w14:paraId="453C7FF5">
      <w:pPr>
        <w:pStyle w:val="95"/>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08D61768">
      <w:pPr>
        <w:pStyle w:val="93"/>
        <w:spacing w:after="468"/>
      </w:pPr>
      <w:bookmarkStart w:id="23" w:name="_Toc202797270"/>
      <w:bookmarkStart w:id="24" w:name="BookMark2"/>
      <w:r>
        <w:rPr>
          <w:spacing w:val="320"/>
        </w:rPr>
        <w:t>前</w:t>
      </w:r>
      <w:r>
        <w:t>言</w:t>
      </w:r>
      <w:bookmarkEnd w:id="22"/>
      <w:bookmarkEnd w:id="23"/>
    </w:p>
    <w:p w14:paraId="2CE86AA9">
      <w:pPr>
        <w:pStyle w:val="39"/>
        <w:ind w:firstLine="420"/>
      </w:pPr>
      <w:r>
        <w:rPr>
          <w:rFonts w:hint="eastAsia"/>
        </w:rPr>
        <w:t>本文件按照GB/T 1.1—2020《标准化工作导则  第1部分：标准化文件的结构和起草规则》的规定起草。</w:t>
      </w:r>
    </w:p>
    <w:p w14:paraId="69F8BB6A">
      <w:pPr>
        <w:pStyle w:val="39"/>
        <w:ind w:firstLine="420"/>
        <w:rPr>
          <w:szCs w:val="21"/>
        </w:rPr>
      </w:pPr>
      <w:r>
        <w:rPr>
          <w:rFonts w:hint="eastAsia" w:hAnsi="宋体"/>
        </w:rPr>
        <w:t>请注意本文件的某些内容可能涉及专利。本文件的发布机构不承担识别这些专利的责任。</w:t>
      </w:r>
    </w:p>
    <w:p w14:paraId="464BDB16">
      <w:pPr>
        <w:pStyle w:val="39"/>
        <w:ind w:firstLine="420"/>
      </w:pPr>
      <w:r>
        <w:rPr>
          <w:rFonts w:hint="eastAsia"/>
        </w:rPr>
        <w:t>本文件由国网安徽省电力有限公司提出。</w:t>
      </w:r>
    </w:p>
    <w:p w14:paraId="03B93B3E">
      <w:pPr>
        <w:pStyle w:val="39"/>
        <w:ind w:firstLine="420"/>
      </w:pPr>
      <w:r>
        <w:rPr>
          <w:rFonts w:hint="eastAsia"/>
        </w:rPr>
        <w:t>本文件由安徽省能源局归口。</w:t>
      </w:r>
    </w:p>
    <w:p w14:paraId="22D72D18">
      <w:pPr>
        <w:pStyle w:val="39"/>
        <w:ind w:firstLine="420"/>
      </w:pPr>
      <w:r>
        <w:rPr>
          <w:rFonts w:hint="eastAsia"/>
        </w:rPr>
        <w:t>本文件起草单位：国网安徽省电力有限公司、</w:t>
      </w:r>
      <w:r>
        <w:rPr>
          <w:rFonts w:hint="eastAsia" w:hAnsi="宋体"/>
          <w:szCs w:val="21"/>
        </w:rPr>
        <w:t>合肥工业大学设计院（集团）有限公司、国网安徽电力营销服务中心、安徽省市场监督管理局质量发展处、安徽省质量和标准化研究院、深圳市建筑设计研究总院有限公司合肥分院、安徽省城建设计研究总院股份有限公司、安徽瑞能电力工程设计有限公司、阳光电源股份有限公司、国网合肥供电公司、国网黄山供电公司、国网安庆供电公司、国网芜湖供电公司、国网淮南供电公司、国网池州供电公司</w:t>
      </w:r>
      <w:r>
        <w:rPr>
          <w:rFonts w:hint="eastAsia"/>
        </w:rPr>
        <w:t>、国网滁州供电公司、国网宣城供电公司、国网马鞍山供电公司、国网阜阳供电公司、国网淮北供电公司。</w:t>
      </w:r>
    </w:p>
    <w:p w14:paraId="3EB9DD94">
      <w:pPr>
        <w:pStyle w:val="39"/>
        <w:ind w:firstLine="420"/>
      </w:pPr>
      <w:r>
        <w:rPr>
          <w:rFonts w:hint="eastAsia"/>
        </w:rPr>
        <w:t>本文件主要起草人： 。</w:t>
      </w:r>
    </w:p>
    <w:p w14:paraId="18187E43">
      <w:pPr>
        <w:pStyle w:val="39"/>
        <w:ind w:firstLine="420"/>
      </w:pPr>
    </w:p>
    <w:p w14:paraId="53B0DFC7">
      <w:pPr>
        <w:pStyle w:val="39"/>
        <w:ind w:firstLine="420"/>
      </w:pPr>
    </w:p>
    <w:p w14:paraId="7A75AB98">
      <w:pPr>
        <w:pStyle w:val="39"/>
        <w:ind w:firstLine="420"/>
      </w:pPr>
    </w:p>
    <w:p w14:paraId="70482FDD">
      <w:pPr>
        <w:pStyle w:val="39"/>
        <w:ind w:firstLine="420"/>
      </w:pPr>
    </w:p>
    <w:p w14:paraId="4F4A58C1">
      <w:pPr>
        <w:pStyle w:val="39"/>
        <w:ind w:firstLine="420"/>
      </w:pPr>
    </w:p>
    <w:p w14:paraId="1A68A3B4">
      <w:pPr>
        <w:pStyle w:val="39"/>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24"/>
    <w:p w14:paraId="16D07421">
      <w:pPr>
        <w:spacing w:line="20" w:lineRule="exact"/>
        <w:jc w:val="center"/>
        <w:rPr>
          <w:rFonts w:ascii="黑体" w:hAnsi="黑体" w:eastAsia="黑体"/>
          <w:sz w:val="32"/>
          <w:szCs w:val="32"/>
        </w:rPr>
      </w:pPr>
      <w:bookmarkStart w:id="25" w:name="BookMark4"/>
    </w:p>
    <w:p w14:paraId="297CDC28">
      <w:pPr>
        <w:spacing w:line="20" w:lineRule="exact"/>
        <w:jc w:val="center"/>
        <w:rPr>
          <w:rFonts w:ascii="黑体" w:hAnsi="黑体" w:eastAsia="黑体"/>
          <w:sz w:val="32"/>
          <w:szCs w:val="32"/>
        </w:rPr>
      </w:pPr>
    </w:p>
    <w:sdt>
      <w:sdtPr>
        <w:tag w:val="NEW_STAND_NAME"/>
        <w:id w:val="595910757"/>
        <w:lock w:val="sdtLocked"/>
        <w:placeholder>
          <w:docPart w:val="B934FF368C38499A940600903D78DAD5"/>
        </w:placeholder>
      </w:sdtPr>
      <w:sdtContent>
        <w:p w14:paraId="6A0EA496">
          <w:pPr>
            <w:pStyle w:val="180"/>
            <w:spacing w:before="312" w:beforeLines="100" w:after="686" w:afterLines="220"/>
          </w:pPr>
          <w:bookmarkStart w:id="26" w:name="NEW_STAND_NAME"/>
          <w:r>
            <w:t>10千伏及以下户用光伏并网工程技术规范</w:t>
          </w:r>
        </w:p>
      </w:sdtContent>
    </w:sdt>
    <w:bookmarkEnd w:id="26"/>
    <w:p w14:paraId="47A9E8F4">
      <w:pPr>
        <w:pStyle w:val="108"/>
        <w:spacing w:before="312" w:after="312"/>
      </w:pPr>
      <w:bookmarkStart w:id="27" w:name="_Toc17233333"/>
      <w:bookmarkStart w:id="28" w:name="_Toc24884218"/>
      <w:bookmarkStart w:id="29" w:name="_Toc24884211"/>
      <w:bookmarkStart w:id="30" w:name="_Toc97191423"/>
      <w:bookmarkStart w:id="31" w:name="_Toc26986530"/>
      <w:bookmarkStart w:id="32" w:name="_Toc17233325"/>
      <w:bookmarkStart w:id="33" w:name="_Toc26648465"/>
      <w:bookmarkStart w:id="34" w:name="_Toc202796686"/>
      <w:bookmarkStart w:id="35" w:name="_Toc202797271"/>
      <w:bookmarkStart w:id="36" w:name="_Toc26718930"/>
      <w:bookmarkStart w:id="37" w:name="_Toc26986771"/>
      <w:r>
        <w:rPr>
          <w:rFonts w:hint="eastAsia"/>
        </w:rPr>
        <w:t>范围</w:t>
      </w:r>
      <w:bookmarkEnd w:id="27"/>
      <w:bookmarkEnd w:id="28"/>
      <w:bookmarkEnd w:id="29"/>
      <w:bookmarkEnd w:id="30"/>
      <w:bookmarkEnd w:id="31"/>
      <w:bookmarkEnd w:id="32"/>
      <w:bookmarkEnd w:id="33"/>
      <w:bookmarkEnd w:id="34"/>
      <w:bookmarkEnd w:id="35"/>
      <w:bookmarkEnd w:id="36"/>
      <w:bookmarkEnd w:id="37"/>
      <w:r>
        <w:rPr>
          <w:rFonts w:hint="eastAsia"/>
        </w:rPr>
        <w:t xml:space="preserve"> </w:t>
      </w:r>
    </w:p>
    <w:p w14:paraId="451398F4">
      <w:pPr>
        <w:pStyle w:val="39"/>
        <w:ind w:firstLine="420"/>
      </w:pPr>
      <w:bookmarkStart w:id="38" w:name="_Toc24884212"/>
      <w:bookmarkStart w:id="39" w:name="_Toc17233326"/>
      <w:bookmarkStart w:id="40" w:name="_Toc17233334"/>
      <w:bookmarkStart w:id="41" w:name="_Toc26648466"/>
      <w:bookmarkStart w:id="42" w:name="_Toc24884219"/>
      <w:r>
        <w:t>本</w:t>
      </w:r>
      <w:r>
        <w:rPr>
          <w:rFonts w:hint="eastAsia"/>
        </w:rPr>
        <w:t>文件</w:t>
      </w:r>
      <w:r>
        <w:t>规定了</w:t>
      </w:r>
      <w:r>
        <w:rPr>
          <w:rFonts w:hint="eastAsia" w:ascii="Times New Roman"/>
        </w:rPr>
        <w:t>10kV</w:t>
      </w:r>
      <w:r>
        <w:t>及以下</w:t>
      </w:r>
      <w:r>
        <w:rPr>
          <w:rFonts w:hint="eastAsia"/>
        </w:rPr>
        <w:t>电压等级户用光伏电力</w:t>
      </w:r>
      <w:r>
        <w:t>工程的</w:t>
      </w:r>
      <w:r>
        <w:rPr>
          <w:rFonts w:hint="eastAsia"/>
        </w:rPr>
        <w:t>总体要求</w:t>
      </w:r>
      <w:r>
        <w:t>、</w:t>
      </w:r>
      <w:r>
        <w:rPr>
          <w:rFonts w:hint="eastAsia"/>
        </w:rPr>
        <w:t>设计、施工、电能计量、通信及远程控制、调试</w:t>
      </w:r>
      <w:r>
        <w:t>与</w:t>
      </w:r>
      <w:r>
        <w:rPr>
          <w:rFonts w:hint="eastAsia"/>
        </w:rPr>
        <w:t>验收、运行维护</w:t>
      </w:r>
      <w:r>
        <w:t xml:space="preserve">。 </w:t>
      </w:r>
    </w:p>
    <w:p w14:paraId="139BADA2">
      <w:pPr>
        <w:pStyle w:val="39"/>
        <w:ind w:firstLine="420"/>
      </w:pPr>
      <w:r>
        <w:t>本</w:t>
      </w:r>
      <w:r>
        <w:rPr>
          <w:rFonts w:hint="eastAsia"/>
        </w:rPr>
        <w:t>文件</w:t>
      </w:r>
      <w:r>
        <w:t>适用于</w:t>
      </w:r>
      <w:r>
        <w:rPr>
          <w:rFonts w:hint="eastAsia" w:ascii="Times New Roman"/>
        </w:rPr>
        <w:t>10kV</w:t>
      </w:r>
      <w:r>
        <w:rPr>
          <w:rFonts w:hint="eastAsia"/>
        </w:rPr>
        <w:t>及以下电压等级并网的新建、扩建或改建的户用光伏发电并网工程，一般工商业分布式光伏并网工程可参照执行。</w:t>
      </w:r>
    </w:p>
    <w:p w14:paraId="06FFFDF4">
      <w:pPr>
        <w:pStyle w:val="108"/>
        <w:spacing w:before="312" w:after="312"/>
      </w:pPr>
      <w:bookmarkStart w:id="43" w:name="_Toc202797272"/>
      <w:bookmarkStart w:id="44" w:name="_Toc26986531"/>
      <w:bookmarkStart w:id="45" w:name="_Toc97191424"/>
      <w:bookmarkStart w:id="46" w:name="_Toc26718931"/>
      <w:bookmarkStart w:id="47" w:name="_Toc26986772"/>
      <w:bookmarkStart w:id="48" w:name="_Toc202796687"/>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147459418"/>
        <w:placeholder>
          <w:docPart w:val="{cfb73e34-6045-446d-859b-304702bc0f8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A730FA6">
          <w:pPr>
            <w:pStyle w:val="3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6FF65F9">
      <w:pPr>
        <w:pStyle w:val="39"/>
        <w:ind w:firstLine="420"/>
      </w:pPr>
      <w:bookmarkStart w:id="49" w:name="_Toc202796688"/>
      <w:bookmarkStart w:id="50" w:name="_Toc202797273"/>
      <w:bookmarkStart w:id="51" w:name="_Toc97191425"/>
      <w:r>
        <w:rPr>
          <w:rFonts w:hint="eastAsia" w:ascii="Times New Roman"/>
        </w:rPr>
        <w:t>GB/T 1094.1</w:t>
      </w:r>
      <w:r>
        <w:rPr>
          <w:rFonts w:hint="eastAsia"/>
        </w:rPr>
        <w:t xml:space="preserve">  电力变压器 第1部分：总则</w:t>
      </w:r>
    </w:p>
    <w:p w14:paraId="7622E538">
      <w:pPr>
        <w:pStyle w:val="39"/>
        <w:ind w:firstLine="420"/>
      </w:pPr>
      <w:r>
        <w:rPr>
          <w:rFonts w:hint="eastAsia" w:ascii="Times New Roman"/>
        </w:rPr>
        <w:t>GB/T 1094.11</w:t>
      </w:r>
      <w:r>
        <w:rPr>
          <w:rFonts w:hint="eastAsia"/>
        </w:rPr>
        <w:t xml:space="preserve">  电力变压器 第11部分：干式变压器</w:t>
      </w:r>
    </w:p>
    <w:p w14:paraId="233407B1">
      <w:pPr>
        <w:pStyle w:val="39"/>
        <w:ind w:firstLine="420"/>
      </w:pPr>
      <w:r>
        <w:rPr>
          <w:rFonts w:hint="eastAsia" w:ascii="Times New Roman"/>
        </w:rPr>
        <w:t>GB/T 4208</w:t>
      </w:r>
      <w:r>
        <w:rPr>
          <w:rFonts w:hint="eastAsia"/>
        </w:rPr>
        <w:t xml:space="preserve">  外壳防护等级（IP代码）</w:t>
      </w:r>
    </w:p>
    <w:p w14:paraId="72663A7C">
      <w:pPr>
        <w:pStyle w:val="39"/>
        <w:ind w:firstLine="420"/>
      </w:pPr>
      <w:r>
        <w:rPr>
          <w:rFonts w:hint="eastAsia" w:ascii="Times New Roman"/>
        </w:rPr>
        <w:t>GB/T 10228</w:t>
      </w:r>
      <w:r>
        <w:rPr>
          <w:rFonts w:hint="eastAsia"/>
        </w:rPr>
        <w:t xml:space="preserve">  干式电力变压器技术参数和要求</w:t>
      </w:r>
    </w:p>
    <w:p w14:paraId="36BB3EC9">
      <w:pPr>
        <w:pStyle w:val="39"/>
        <w:ind w:firstLine="420"/>
      </w:pPr>
      <w:r>
        <w:rPr>
          <w:rFonts w:ascii="Times New Roman"/>
        </w:rPr>
        <w:t>GB/T 10233</w:t>
      </w:r>
      <w:r>
        <w:rPr>
          <w:rFonts w:hint="eastAsia"/>
        </w:rPr>
        <w:t xml:space="preserve">  低压成套开关设备和电控设备基本试验方法</w:t>
      </w:r>
    </w:p>
    <w:p w14:paraId="0437D6B8">
      <w:pPr>
        <w:pStyle w:val="39"/>
        <w:ind w:firstLine="420"/>
        <w:rPr>
          <w:rFonts w:ascii="Times New Roman"/>
        </w:rPr>
      </w:pPr>
      <w:r>
        <w:rPr>
          <w:rFonts w:hint="eastAsia" w:ascii="Times New Roman"/>
        </w:rPr>
        <w:t>GB/T</w:t>
      </w:r>
      <w:r>
        <w:rPr>
          <w:rFonts w:ascii="Times New Roman"/>
        </w:rPr>
        <w:t xml:space="preserve"> </w:t>
      </w:r>
      <w:r>
        <w:rPr>
          <w:rFonts w:hint="eastAsia" w:ascii="Times New Roman"/>
        </w:rPr>
        <w:t>12706.1</w:t>
      </w:r>
      <w:r>
        <w:rPr>
          <w:rFonts w:ascii="Times New Roman"/>
        </w:rPr>
        <w:t xml:space="preserve">  </w:t>
      </w:r>
      <w:r>
        <w:rPr>
          <w:rFonts w:hint="eastAsia" w:ascii="Times New Roman"/>
        </w:rPr>
        <w:t>额定电压1kV(Um=1.2kV)到35kV(Um=40.5kV)挤包绝缘电力电缆及附件第1部分：额定电压1kV(Um=1.2kV)和3kV(Um=3.6kV)电缆</w:t>
      </w:r>
    </w:p>
    <w:p w14:paraId="24F2A341">
      <w:pPr>
        <w:pStyle w:val="39"/>
        <w:ind w:firstLine="420"/>
        <w:rPr>
          <w:rFonts w:ascii="Times New Roman"/>
        </w:rPr>
      </w:pPr>
      <w:r>
        <w:rPr>
          <w:rFonts w:hint="eastAsia" w:ascii="Times New Roman"/>
        </w:rPr>
        <w:t>GB/T</w:t>
      </w:r>
      <w:r>
        <w:rPr>
          <w:rFonts w:ascii="Times New Roman"/>
        </w:rPr>
        <w:t xml:space="preserve"> </w:t>
      </w:r>
      <w:r>
        <w:rPr>
          <w:rFonts w:hint="eastAsia" w:ascii="Times New Roman"/>
        </w:rPr>
        <w:t>12706.2</w:t>
      </w:r>
      <w:r>
        <w:rPr>
          <w:rFonts w:ascii="Times New Roman"/>
        </w:rPr>
        <w:t xml:space="preserve">  </w:t>
      </w:r>
      <w:r>
        <w:rPr>
          <w:rFonts w:hint="eastAsia" w:ascii="Times New Roman"/>
        </w:rPr>
        <w:t>额定电压1kV(Um=1.2kV)到35kV(Um=40.5kV)挤包绝缘电力电缆及附件第2部分：额定电压6kV(Um=7.2kV)到30kV(Um=36kV)电缆</w:t>
      </w:r>
    </w:p>
    <w:p w14:paraId="08BFA15B">
      <w:pPr>
        <w:pStyle w:val="39"/>
        <w:ind w:firstLine="420"/>
      </w:pPr>
      <w:r>
        <w:rPr>
          <w:rFonts w:hint="eastAsia" w:ascii="Times New Roman"/>
        </w:rPr>
        <w:t>GB/T 14285</w:t>
      </w:r>
      <w:r>
        <w:rPr>
          <w:rFonts w:hint="eastAsia"/>
        </w:rPr>
        <w:t xml:space="preserve">  继电保护和安全自动装置技术规程</w:t>
      </w:r>
    </w:p>
    <w:p w14:paraId="5C8D86CA">
      <w:pPr>
        <w:pStyle w:val="39"/>
        <w:ind w:firstLine="420"/>
      </w:pPr>
      <w:r>
        <w:rPr>
          <w:rFonts w:hint="eastAsia" w:ascii="Times New Roman"/>
        </w:rPr>
        <w:t>GB/T 16895.6</w:t>
      </w:r>
      <w:r>
        <w:rPr>
          <w:rFonts w:hint="eastAsia"/>
        </w:rPr>
        <w:t xml:space="preserve">  低压电气装置 第5-52部分：电气设备的选择和安装 布线系统</w:t>
      </w:r>
    </w:p>
    <w:p w14:paraId="3824E06B">
      <w:pPr>
        <w:pStyle w:val="39"/>
        <w:ind w:firstLine="420"/>
      </w:pPr>
      <w:r>
        <w:rPr>
          <w:rFonts w:hint="eastAsia" w:ascii="Times New Roman"/>
        </w:rPr>
        <w:t>GB/T 16895.18</w:t>
      </w:r>
      <w:r>
        <w:rPr>
          <w:rFonts w:hint="eastAsia"/>
        </w:rPr>
        <w:t xml:space="preserve">  建筑物电气装置 第5-51部分：电气设备的选择和安装 通用规则</w:t>
      </w:r>
    </w:p>
    <w:p w14:paraId="52BEE403">
      <w:pPr>
        <w:pStyle w:val="39"/>
        <w:ind w:firstLine="420"/>
      </w:pPr>
      <w:r>
        <w:rPr>
          <w:rFonts w:hint="eastAsia" w:ascii="Times New Roman"/>
        </w:rPr>
        <w:t xml:space="preserve">GB 16895.21 </w:t>
      </w:r>
      <w:r>
        <w:rPr>
          <w:rFonts w:hint="eastAsia"/>
        </w:rPr>
        <w:t xml:space="preserve"> 低压电气装置第4-41部分：安全防护电击防护</w:t>
      </w:r>
    </w:p>
    <w:p w14:paraId="3E6914B8">
      <w:pPr>
        <w:pStyle w:val="39"/>
        <w:ind w:firstLine="420"/>
      </w:pPr>
      <w:r>
        <w:rPr>
          <w:rFonts w:hint="eastAsia" w:ascii="Times New Roman"/>
        </w:rPr>
        <w:t>GB/T 17468</w:t>
      </w:r>
      <w:r>
        <w:rPr>
          <w:rFonts w:hint="eastAsia"/>
        </w:rPr>
        <w:t xml:space="preserve">  电力变压器选用导则</w:t>
      </w:r>
    </w:p>
    <w:p w14:paraId="1DFFE36B">
      <w:pPr>
        <w:pStyle w:val="39"/>
        <w:ind w:firstLine="420"/>
      </w:pPr>
      <w:r>
        <w:rPr>
          <w:rFonts w:hint="eastAsia" w:ascii="Times New Roman"/>
        </w:rPr>
        <w:t>GB/T 18857</w:t>
      </w:r>
      <w:r>
        <w:rPr>
          <w:rFonts w:hint="eastAsia"/>
        </w:rPr>
        <w:t xml:space="preserve">  配电线路带电作业技术导则</w:t>
      </w:r>
    </w:p>
    <w:p w14:paraId="24CD8E79">
      <w:pPr>
        <w:pStyle w:val="39"/>
        <w:ind w:firstLine="420"/>
      </w:pPr>
      <w:r>
        <w:rPr>
          <w:rFonts w:hint="eastAsia" w:ascii="Times New Roman"/>
        </w:rPr>
        <w:t>GB/T 19862</w:t>
      </w:r>
      <w:r>
        <w:rPr>
          <w:rFonts w:hint="eastAsia"/>
        </w:rPr>
        <w:t xml:space="preserve">  电能质量监测设备通用要求</w:t>
      </w:r>
    </w:p>
    <w:p w14:paraId="451BDDFD">
      <w:pPr>
        <w:pStyle w:val="39"/>
        <w:ind w:firstLine="420"/>
      </w:pPr>
      <w:r>
        <w:rPr>
          <w:rFonts w:hint="eastAsia" w:ascii="Times New Roman"/>
        </w:rPr>
        <w:t>GB 20052</w:t>
      </w:r>
      <w:r>
        <w:rPr>
          <w:rFonts w:hint="eastAsia"/>
        </w:rPr>
        <w:t xml:space="preserve">  电力变压器能效限定值及能效等级</w:t>
      </w:r>
    </w:p>
    <w:p w14:paraId="45AB9A17">
      <w:pPr>
        <w:pStyle w:val="39"/>
        <w:ind w:firstLine="420"/>
      </w:pPr>
      <w:r>
        <w:rPr>
          <w:rFonts w:hint="eastAsia" w:ascii="Times New Roman"/>
        </w:rPr>
        <w:t>GB/T 24612.1</w:t>
      </w:r>
      <w:r>
        <w:rPr>
          <w:rFonts w:hint="eastAsia"/>
        </w:rPr>
        <w:t xml:space="preserve">  电气设备应用场所的安全要求第1部分：总则</w:t>
      </w:r>
    </w:p>
    <w:p w14:paraId="2459767C">
      <w:pPr>
        <w:pStyle w:val="39"/>
        <w:ind w:firstLine="420"/>
      </w:pPr>
      <w:r>
        <w:rPr>
          <w:rFonts w:hint="eastAsia" w:ascii="Times New Roman"/>
        </w:rPr>
        <w:t>GB/T 24612.2</w:t>
      </w:r>
      <w:r>
        <w:rPr>
          <w:rFonts w:hint="eastAsia"/>
        </w:rPr>
        <w:t xml:space="preserve">  电气设备应用场所的安全要求第2部分：在断电状态下操作的安全措施</w:t>
      </w:r>
    </w:p>
    <w:p w14:paraId="1D7C1720">
      <w:pPr>
        <w:pStyle w:val="39"/>
        <w:ind w:firstLine="420"/>
      </w:pPr>
      <w:r>
        <w:rPr>
          <w:rFonts w:hint="eastAsia" w:ascii="Times New Roman"/>
        </w:rPr>
        <w:t>GB 24790</w:t>
      </w:r>
      <w:r>
        <w:rPr>
          <w:rFonts w:hint="eastAsia"/>
        </w:rPr>
        <w:t xml:space="preserve">  电力变压器能效限定值及能效等级</w:t>
      </w:r>
    </w:p>
    <w:p w14:paraId="61586D38">
      <w:pPr>
        <w:pStyle w:val="39"/>
        <w:ind w:firstLine="420"/>
      </w:pPr>
      <w:r>
        <w:rPr>
          <w:rFonts w:hint="eastAsia" w:ascii="Times New Roman"/>
        </w:rPr>
        <w:t>GB 29319</w:t>
      </w:r>
      <w:r>
        <w:rPr>
          <w:rFonts w:hint="eastAsia"/>
        </w:rPr>
        <w:t xml:space="preserve">  光伏发电系统接入配电网技术规定</w:t>
      </w:r>
    </w:p>
    <w:p w14:paraId="1025FD86">
      <w:pPr>
        <w:pStyle w:val="39"/>
        <w:ind w:firstLine="420"/>
      </w:pPr>
      <w:r>
        <w:rPr>
          <w:rFonts w:hint="eastAsia" w:ascii="Times New Roman"/>
        </w:rPr>
        <w:t>GB/T 29321</w:t>
      </w:r>
      <w:r>
        <w:rPr>
          <w:rFonts w:hint="eastAsia"/>
        </w:rPr>
        <w:t xml:space="preserve">  光伏发电站无功补偿技术规范</w:t>
      </w:r>
    </w:p>
    <w:p w14:paraId="01057B1A">
      <w:pPr>
        <w:pStyle w:val="39"/>
        <w:ind w:firstLine="420"/>
      </w:pPr>
      <w:r>
        <w:rPr>
          <w:rFonts w:hint="eastAsia" w:ascii="Times New Roman"/>
        </w:rPr>
        <w:t>GB 31247</w:t>
      </w:r>
      <w:r>
        <w:rPr>
          <w:rFonts w:hint="eastAsia"/>
        </w:rPr>
        <w:t xml:space="preserve">  电缆及光缆燃烧性能分级</w:t>
      </w:r>
    </w:p>
    <w:p w14:paraId="3BA5D574">
      <w:pPr>
        <w:pStyle w:val="39"/>
        <w:ind w:firstLine="420"/>
      </w:pPr>
      <w:r>
        <w:rPr>
          <w:rFonts w:hint="eastAsia" w:ascii="Times New Roman"/>
        </w:rPr>
        <w:t>GB/T 32512</w:t>
      </w:r>
      <w:r>
        <w:rPr>
          <w:rFonts w:hint="eastAsia"/>
        </w:rPr>
        <w:t xml:space="preserve">  光伏发电站防雷技术要求</w:t>
      </w:r>
    </w:p>
    <w:p w14:paraId="2431AF2E">
      <w:pPr>
        <w:pStyle w:val="39"/>
        <w:ind w:firstLine="420"/>
      </w:pPr>
      <w:r>
        <w:rPr>
          <w:rFonts w:hint="eastAsia" w:ascii="Times New Roman"/>
        </w:rPr>
        <w:t>GB 33593</w:t>
      </w:r>
      <w:r>
        <w:rPr>
          <w:rFonts w:hint="eastAsia"/>
        </w:rPr>
        <w:t xml:space="preserve">  分布式电源并网技术要求</w:t>
      </w:r>
    </w:p>
    <w:p w14:paraId="5E36D8EF">
      <w:pPr>
        <w:pStyle w:val="39"/>
        <w:ind w:firstLine="420"/>
      </w:pPr>
      <w:r>
        <w:rPr>
          <w:rFonts w:ascii="Times New Roman"/>
        </w:rPr>
        <w:t>GB/T 33982</w:t>
      </w:r>
      <w:r>
        <w:rPr>
          <w:rFonts w:hint="eastAsia"/>
        </w:rPr>
        <w:t xml:space="preserve">  分布式电源并网继电保护技术规范</w:t>
      </w:r>
    </w:p>
    <w:p w14:paraId="17EDC566">
      <w:pPr>
        <w:pStyle w:val="39"/>
        <w:ind w:firstLine="420"/>
      </w:pPr>
      <w:r>
        <w:rPr>
          <w:rFonts w:hint="eastAsia" w:ascii="Times New Roman"/>
        </w:rPr>
        <w:t>GB/T 34120</w:t>
      </w:r>
      <w:r>
        <w:rPr>
          <w:rFonts w:hint="eastAsia"/>
        </w:rPr>
        <w:t xml:space="preserve">  电化学储能系统储能变流器技术规范</w:t>
      </w:r>
    </w:p>
    <w:p w14:paraId="4B791EA3">
      <w:pPr>
        <w:pStyle w:val="39"/>
        <w:ind w:firstLine="420"/>
      </w:pPr>
      <w:r>
        <w:rPr>
          <w:rFonts w:hint="eastAsia" w:ascii="Times New Roman"/>
        </w:rPr>
        <w:t>GB/T 34131</w:t>
      </w:r>
      <w:r>
        <w:rPr>
          <w:rFonts w:hint="eastAsia"/>
        </w:rPr>
        <w:t xml:space="preserve">  电力储能用电池管理系统</w:t>
      </w:r>
    </w:p>
    <w:p w14:paraId="4B7BAB41">
      <w:pPr>
        <w:pStyle w:val="39"/>
        <w:ind w:firstLine="420"/>
      </w:pPr>
      <w:r>
        <w:rPr>
          <w:rFonts w:hint="eastAsia" w:ascii="Times New Roman"/>
        </w:rPr>
        <w:t>GB/T 34133</w:t>
      </w:r>
      <w:r>
        <w:rPr>
          <w:rFonts w:hint="eastAsia"/>
        </w:rPr>
        <w:t xml:space="preserve">  储能变流器检测技术规程</w:t>
      </w:r>
    </w:p>
    <w:p w14:paraId="1495A857">
      <w:pPr>
        <w:pStyle w:val="39"/>
        <w:ind w:firstLine="420"/>
      </w:pPr>
      <w:r>
        <w:rPr>
          <w:rFonts w:hint="eastAsia" w:ascii="Times New Roman"/>
        </w:rPr>
        <w:t>GB/T 34933</w:t>
      </w:r>
      <w:r>
        <w:rPr>
          <w:rFonts w:hint="eastAsia"/>
        </w:rPr>
        <w:t xml:space="preserve">  光伏发电站汇流箱检测技术规程</w:t>
      </w:r>
    </w:p>
    <w:p w14:paraId="6B0A11BC">
      <w:pPr>
        <w:pStyle w:val="39"/>
        <w:ind w:firstLine="420"/>
      </w:pPr>
      <w:r>
        <w:rPr>
          <w:rFonts w:hint="eastAsia" w:ascii="Times New Roman"/>
        </w:rPr>
        <w:t>GB/T 35694</w:t>
      </w:r>
      <w:r>
        <w:rPr>
          <w:rFonts w:hint="eastAsia"/>
        </w:rPr>
        <w:t xml:space="preserve">  光伏发电站安全规程 </w:t>
      </w:r>
    </w:p>
    <w:p w14:paraId="4E4FB156">
      <w:pPr>
        <w:pStyle w:val="39"/>
        <w:ind w:firstLine="420"/>
      </w:pPr>
      <w:r>
        <w:rPr>
          <w:rFonts w:hint="eastAsia" w:ascii="Times New Roman"/>
        </w:rPr>
        <w:t>GB/T 36558</w:t>
      </w:r>
      <w:r>
        <w:rPr>
          <w:rFonts w:hint="eastAsia"/>
        </w:rPr>
        <w:t xml:space="preserve">  电力系统电化学储能系统通用技术条件</w:t>
      </w:r>
    </w:p>
    <w:p w14:paraId="378863F7">
      <w:pPr>
        <w:pStyle w:val="39"/>
        <w:ind w:firstLine="420"/>
      </w:pPr>
      <w:r>
        <w:rPr>
          <w:rFonts w:hint="eastAsia" w:ascii="Times New Roman"/>
        </w:rPr>
        <w:t>GB/T 40289</w:t>
      </w:r>
      <w:r>
        <w:rPr>
          <w:rFonts w:hint="eastAsia"/>
        </w:rPr>
        <w:t xml:space="preserve">  光伏发电站功率控制系统技术要求</w:t>
      </w:r>
    </w:p>
    <w:p w14:paraId="5F3F90C8">
      <w:pPr>
        <w:pStyle w:val="39"/>
        <w:ind w:firstLine="420"/>
      </w:pPr>
      <w:r>
        <w:rPr>
          <w:rFonts w:hint="eastAsia" w:ascii="Times New Roman"/>
        </w:rPr>
        <w:t>GB 50052</w:t>
      </w:r>
      <w:r>
        <w:rPr>
          <w:rFonts w:hint="eastAsia"/>
        </w:rPr>
        <w:t xml:space="preserve">  供配电系统设计规范</w:t>
      </w:r>
    </w:p>
    <w:p w14:paraId="384045E8">
      <w:pPr>
        <w:pStyle w:val="39"/>
        <w:ind w:firstLine="420"/>
      </w:pPr>
      <w:r>
        <w:rPr>
          <w:rFonts w:hint="eastAsia" w:ascii="Times New Roman"/>
        </w:rPr>
        <w:t>GB 50054</w:t>
      </w:r>
      <w:r>
        <w:rPr>
          <w:rFonts w:hint="eastAsia"/>
        </w:rPr>
        <w:t xml:space="preserve">  低压配电设计规范</w:t>
      </w:r>
    </w:p>
    <w:p w14:paraId="283DBEF8">
      <w:pPr>
        <w:pStyle w:val="39"/>
        <w:ind w:firstLine="420"/>
      </w:pPr>
      <w:r>
        <w:rPr>
          <w:rFonts w:hint="eastAsia" w:ascii="Times New Roman"/>
        </w:rPr>
        <w:t>GB/T 50064</w:t>
      </w:r>
      <w:r>
        <w:rPr>
          <w:rFonts w:hint="eastAsia"/>
        </w:rPr>
        <w:t xml:space="preserve">  交流电气装置的过电压保护和绝缘配合设计规范</w:t>
      </w:r>
    </w:p>
    <w:p w14:paraId="3955E65B">
      <w:pPr>
        <w:pStyle w:val="39"/>
        <w:ind w:firstLine="420"/>
      </w:pPr>
      <w:r>
        <w:rPr>
          <w:rFonts w:hint="eastAsia" w:ascii="Times New Roman"/>
        </w:rPr>
        <w:t>GB/T 50065</w:t>
      </w:r>
      <w:r>
        <w:rPr>
          <w:rFonts w:hint="eastAsia"/>
        </w:rPr>
        <w:t xml:space="preserve">  交流电气装置的接地设计规范</w:t>
      </w:r>
    </w:p>
    <w:p w14:paraId="75069946">
      <w:pPr>
        <w:pStyle w:val="39"/>
        <w:ind w:firstLine="420"/>
      </w:pPr>
      <w:r>
        <w:rPr>
          <w:rFonts w:hint="eastAsia" w:ascii="Times New Roman"/>
        </w:rPr>
        <w:t>GB 50148</w:t>
      </w:r>
      <w:r>
        <w:rPr>
          <w:rFonts w:hint="eastAsia"/>
        </w:rPr>
        <w:t xml:space="preserve">  电气装置安装工程 电力变压器、油浸电抗器、互感器施工及验收规范</w:t>
      </w:r>
    </w:p>
    <w:p w14:paraId="349C200F">
      <w:pPr>
        <w:pStyle w:val="39"/>
        <w:ind w:firstLine="420"/>
      </w:pPr>
      <w:r>
        <w:rPr>
          <w:rFonts w:hint="eastAsia" w:ascii="Times New Roman"/>
        </w:rPr>
        <w:t>GB 50150</w:t>
      </w:r>
      <w:r>
        <w:rPr>
          <w:rFonts w:hint="eastAsia"/>
        </w:rPr>
        <w:t xml:space="preserve">  电气装置安装工程电气设备交接试验标准</w:t>
      </w:r>
    </w:p>
    <w:p w14:paraId="235FB3E8">
      <w:pPr>
        <w:pStyle w:val="39"/>
        <w:ind w:firstLine="420"/>
      </w:pPr>
      <w:r>
        <w:rPr>
          <w:rFonts w:hint="eastAsia" w:ascii="Times New Roman"/>
        </w:rPr>
        <w:t>GB 50169</w:t>
      </w:r>
      <w:r>
        <w:rPr>
          <w:rFonts w:hint="eastAsia"/>
        </w:rPr>
        <w:t xml:space="preserve">  电气装置安装工程 接地装置施工及验收规范</w:t>
      </w:r>
    </w:p>
    <w:p w14:paraId="4C26A24D">
      <w:pPr>
        <w:pStyle w:val="39"/>
        <w:ind w:firstLine="420"/>
      </w:pPr>
      <w:r>
        <w:rPr>
          <w:rFonts w:hint="eastAsia" w:ascii="Times New Roman"/>
        </w:rPr>
        <w:t>GB 50171</w:t>
      </w:r>
      <w:r>
        <w:rPr>
          <w:rFonts w:hint="eastAsia"/>
        </w:rPr>
        <w:t xml:space="preserve">  电气装置安装工程 盘、柜及二次回路接线施工及验收规范</w:t>
      </w:r>
    </w:p>
    <w:p w14:paraId="074D4BBA">
      <w:pPr>
        <w:pStyle w:val="39"/>
        <w:ind w:firstLine="420"/>
      </w:pPr>
      <w:r>
        <w:rPr>
          <w:rFonts w:hint="eastAsia" w:ascii="Times New Roman"/>
        </w:rPr>
        <w:t>GB 50217</w:t>
      </w:r>
      <w:r>
        <w:rPr>
          <w:rFonts w:hint="eastAsia"/>
        </w:rPr>
        <w:t xml:space="preserve">  电力工程电缆设计标准</w:t>
      </w:r>
    </w:p>
    <w:p w14:paraId="45340305">
      <w:pPr>
        <w:pStyle w:val="39"/>
        <w:ind w:firstLine="420"/>
      </w:pPr>
      <w:r>
        <w:rPr>
          <w:rFonts w:hint="eastAsia" w:ascii="Times New Roman"/>
        </w:rPr>
        <w:t>GB 50227</w:t>
      </w:r>
      <w:r>
        <w:rPr>
          <w:rFonts w:hint="eastAsia"/>
        </w:rPr>
        <w:t xml:space="preserve">  并联电容器装置设计规范</w:t>
      </w:r>
    </w:p>
    <w:p w14:paraId="5E9DB173">
      <w:pPr>
        <w:pStyle w:val="39"/>
        <w:ind w:firstLine="420"/>
      </w:pPr>
      <w:r>
        <w:rPr>
          <w:rFonts w:hint="eastAsia" w:ascii="Times New Roman"/>
        </w:rPr>
        <w:t xml:space="preserve">GB 50254 </w:t>
      </w:r>
      <w:r>
        <w:rPr>
          <w:rFonts w:hint="eastAsia"/>
        </w:rPr>
        <w:t xml:space="preserve"> 电气装置安装工程低压电器施工及验收规范</w:t>
      </w:r>
    </w:p>
    <w:p w14:paraId="6E9DA7B4">
      <w:pPr>
        <w:pStyle w:val="39"/>
        <w:ind w:firstLine="420"/>
      </w:pPr>
      <w:r>
        <w:rPr>
          <w:rFonts w:hint="eastAsia" w:ascii="Times New Roman"/>
        </w:rPr>
        <w:t>GB 50601</w:t>
      </w:r>
      <w:r>
        <w:rPr>
          <w:rFonts w:hint="eastAsia"/>
        </w:rPr>
        <w:t xml:space="preserve">  建筑物防雷工程施工与质量验收规范</w:t>
      </w:r>
    </w:p>
    <w:p w14:paraId="3F6463CF">
      <w:pPr>
        <w:pStyle w:val="39"/>
        <w:ind w:firstLine="420"/>
      </w:pPr>
      <w:r>
        <w:rPr>
          <w:rFonts w:hint="eastAsia" w:ascii="Times New Roman"/>
        </w:rPr>
        <w:t>GB 50794</w:t>
      </w:r>
      <w:r>
        <w:rPr>
          <w:rFonts w:hint="eastAsia"/>
        </w:rPr>
        <w:t xml:space="preserve">  光伏发电站施工规范</w:t>
      </w:r>
    </w:p>
    <w:p w14:paraId="6492CC01">
      <w:pPr>
        <w:pStyle w:val="39"/>
        <w:ind w:firstLine="420"/>
      </w:pPr>
      <w:r>
        <w:rPr>
          <w:rFonts w:hint="eastAsia" w:ascii="Times New Roman"/>
        </w:rPr>
        <w:t>GB/T 50796</w:t>
      </w:r>
      <w:r>
        <w:rPr>
          <w:rFonts w:hint="eastAsia"/>
        </w:rPr>
        <w:t xml:space="preserve">  光伏发电工程验收规范</w:t>
      </w:r>
    </w:p>
    <w:p w14:paraId="7CA9452B">
      <w:pPr>
        <w:pStyle w:val="39"/>
        <w:ind w:firstLine="420"/>
      </w:pPr>
      <w:r>
        <w:rPr>
          <w:rFonts w:hint="eastAsia" w:ascii="Times New Roman"/>
        </w:rPr>
        <w:t>GB 51048</w:t>
      </w:r>
      <w:r>
        <w:rPr>
          <w:rFonts w:hint="eastAsia"/>
        </w:rPr>
        <w:t xml:space="preserve">  电化学储能电站设计规范</w:t>
      </w:r>
    </w:p>
    <w:p w14:paraId="1073656B">
      <w:pPr>
        <w:pStyle w:val="39"/>
        <w:ind w:firstLine="420"/>
      </w:pPr>
      <w:r>
        <w:rPr>
          <w:rFonts w:ascii="Times New Roman"/>
        </w:rPr>
        <w:t>GB/T 51338</w:t>
      </w:r>
      <w:r>
        <w:rPr>
          <w:rFonts w:hint="eastAsia"/>
        </w:rPr>
        <w:t xml:space="preserve">  </w:t>
      </w:r>
      <w:bookmarkStart w:id="52" w:name="OLE_LINK5"/>
      <w:bookmarkStart w:id="53" w:name="OLE_LINK3"/>
      <w:bookmarkStart w:id="54" w:name="OLE_LINK4"/>
      <w:r>
        <w:rPr>
          <w:rFonts w:hint="eastAsia"/>
        </w:rPr>
        <w:t>分布式电源并网工程调试与验收标准</w:t>
      </w:r>
      <w:bookmarkEnd w:id="52"/>
      <w:bookmarkEnd w:id="53"/>
      <w:bookmarkEnd w:id="54"/>
    </w:p>
    <w:p w14:paraId="3D603E72">
      <w:pPr>
        <w:pStyle w:val="39"/>
        <w:ind w:firstLine="420"/>
      </w:pPr>
      <w:r>
        <w:rPr>
          <w:rFonts w:hint="eastAsia" w:ascii="Times New Roman"/>
        </w:rPr>
        <w:t xml:space="preserve">DL/T 448 </w:t>
      </w:r>
      <w:r>
        <w:rPr>
          <w:rFonts w:hint="eastAsia"/>
        </w:rPr>
        <w:t xml:space="preserve"> 电能计量装置技术管理规程</w:t>
      </w:r>
    </w:p>
    <w:p w14:paraId="76C0307B">
      <w:pPr>
        <w:pStyle w:val="39"/>
        <w:ind w:firstLine="420"/>
      </w:pPr>
      <w:r>
        <w:rPr>
          <w:rFonts w:hint="eastAsia" w:ascii="Times New Roman"/>
        </w:rPr>
        <w:t xml:space="preserve">DL/T </w:t>
      </w:r>
      <w:bookmarkStart w:id="55" w:name="OLE_LINK7"/>
      <w:bookmarkStart w:id="56" w:name="OLE_LINK6"/>
      <w:r>
        <w:rPr>
          <w:rFonts w:hint="eastAsia" w:ascii="Times New Roman"/>
        </w:rPr>
        <w:t>584</w:t>
      </w:r>
      <w:bookmarkEnd w:id="55"/>
      <w:bookmarkEnd w:id="56"/>
      <w:r>
        <w:rPr>
          <w:rFonts w:hint="eastAsia"/>
        </w:rPr>
        <w:t xml:space="preserve">  3kV～110kV电网继电保护装置运行整定规程</w:t>
      </w:r>
    </w:p>
    <w:p w14:paraId="5DA8B495">
      <w:pPr>
        <w:pStyle w:val="39"/>
        <w:ind w:firstLine="420"/>
        <w:rPr>
          <w:rFonts w:ascii="Times New Roman"/>
        </w:rPr>
      </w:pPr>
      <w:r>
        <w:rPr>
          <w:rFonts w:hint="eastAsia" w:ascii="Times New Roman"/>
        </w:rPr>
        <w:t>DL/T 620  交流电气装置的过电压保护和绝缘配合</w:t>
      </w:r>
    </w:p>
    <w:p w14:paraId="78E0866D">
      <w:pPr>
        <w:pStyle w:val="39"/>
        <w:ind w:firstLine="420"/>
        <w:rPr>
          <w:rFonts w:ascii="Times New Roman"/>
        </w:rPr>
      </w:pPr>
      <w:r>
        <w:rPr>
          <w:rFonts w:hint="eastAsia" w:ascii="Times New Roman"/>
        </w:rPr>
        <w:t>DL/T 621  交流电气装置的接地</w:t>
      </w:r>
    </w:p>
    <w:p w14:paraId="01795619">
      <w:pPr>
        <w:pStyle w:val="39"/>
        <w:ind w:firstLine="420"/>
      </w:pPr>
      <w:r>
        <w:rPr>
          <w:rFonts w:hint="eastAsia" w:ascii="Times New Roman"/>
        </w:rPr>
        <w:t>DL/T 724</w:t>
      </w:r>
      <w:r>
        <w:rPr>
          <w:rFonts w:hint="eastAsia"/>
        </w:rPr>
        <w:t xml:space="preserve">  电力系统用蓄电池直流电源装置运行与维护技术规程</w:t>
      </w:r>
    </w:p>
    <w:p w14:paraId="66865102">
      <w:pPr>
        <w:pStyle w:val="39"/>
        <w:ind w:firstLine="420"/>
      </w:pPr>
      <w:r>
        <w:rPr>
          <w:rFonts w:hint="eastAsia" w:ascii="Times New Roman"/>
        </w:rPr>
        <w:t>DL/T 825</w:t>
      </w:r>
      <w:r>
        <w:rPr>
          <w:rFonts w:hint="eastAsia"/>
        </w:rPr>
        <w:t xml:space="preserve">  电能计量装置安装接线规则</w:t>
      </w:r>
    </w:p>
    <w:p w14:paraId="1E049BF5">
      <w:pPr>
        <w:pStyle w:val="39"/>
        <w:ind w:firstLine="420"/>
      </w:pPr>
      <w:r>
        <w:rPr>
          <w:rFonts w:hint="eastAsia" w:ascii="Times New Roman"/>
        </w:rPr>
        <w:t>DL/T 1364</w:t>
      </w:r>
      <w:r>
        <w:rPr>
          <w:rFonts w:hint="eastAsia"/>
        </w:rPr>
        <w:t xml:space="preserve">  光伏发电站防雷技术规程</w:t>
      </w:r>
    </w:p>
    <w:p w14:paraId="40556AD1">
      <w:pPr>
        <w:pStyle w:val="39"/>
        <w:ind w:firstLine="420"/>
      </w:pPr>
      <w:r>
        <w:rPr>
          <w:rFonts w:hint="eastAsia" w:ascii="Times New Roman"/>
        </w:rPr>
        <w:t>DL/T 5729  配电网规划设计技术导则</w:t>
      </w:r>
    </w:p>
    <w:p w14:paraId="52B911D7">
      <w:pPr>
        <w:pStyle w:val="108"/>
        <w:spacing w:before="312" w:after="312"/>
      </w:pPr>
      <w:r>
        <w:rPr>
          <w:rFonts w:hint="eastAsia"/>
          <w:szCs w:val="21"/>
        </w:rPr>
        <w:t>术语和定义</w:t>
      </w:r>
      <w:bookmarkEnd w:id="49"/>
      <w:bookmarkEnd w:id="50"/>
      <w:bookmarkEnd w:id="51"/>
    </w:p>
    <w:sdt>
      <w:sdtPr>
        <w:id w:val="147462772"/>
        <w:placeholder>
          <w:docPart w:val="{8aff9ef1-f46a-444f-b379-5b098091474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0F981F9">
          <w:pPr>
            <w:pStyle w:val="39"/>
            <w:ind w:firstLine="420"/>
          </w:pPr>
          <w:bookmarkStart w:id="57" w:name="_Toc26986532"/>
          <w:bookmarkEnd w:id="57"/>
          <w:r>
            <w:rPr>
              <w:rFonts w:hint="eastAsia"/>
            </w:rPr>
            <w:t>下列术语和定义适用于本文件。</w:t>
          </w:r>
        </w:p>
      </w:sdtContent>
    </w:sdt>
    <w:p w14:paraId="24F8FBB8">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户用光伏  residential photovoltaic（PV） </w:t>
      </w:r>
    </w:p>
    <w:p w14:paraId="5B246582">
      <w:pPr>
        <w:pStyle w:val="39"/>
        <w:ind w:firstLine="420"/>
      </w:pPr>
      <w:r>
        <w:rPr>
          <w:rFonts w:hint="eastAsia"/>
        </w:rPr>
        <w:t>自然人或非自然人利用住宅或</w:t>
      </w:r>
      <w:r>
        <w:rPr>
          <w:rFonts w:hint="eastAsia" w:hAnsi="宋体" w:cs="宋体"/>
          <w:szCs w:val="21"/>
        </w:rPr>
        <w:t>宅基地范围内的建筑物、附属物</w:t>
      </w:r>
      <w:r>
        <w:rPr>
          <w:rFonts w:hint="eastAsia"/>
        </w:rPr>
        <w:t>投资建设的分布式光伏发电系统。</w:t>
      </w:r>
    </w:p>
    <w:p w14:paraId="42B4ECF4">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并网  grid connection</w:t>
      </w:r>
    </w:p>
    <w:p w14:paraId="56E0FAC6">
      <w:pPr>
        <w:pStyle w:val="39"/>
        <w:ind w:firstLine="420"/>
        <w:rPr>
          <w:rFonts w:ascii="Times New Roman"/>
        </w:rPr>
      </w:pPr>
      <w:r>
        <w:rPr>
          <w:rFonts w:hint="eastAsia" w:ascii="Times New Roman"/>
        </w:rPr>
        <w:t>光伏发电系统与电网形成的物理连接，与电网调试机构建立调度关系。</w:t>
      </w:r>
    </w:p>
    <w:p w14:paraId="481A1D17">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额定容量 rated capacity</w:t>
      </w:r>
    </w:p>
    <w:p w14:paraId="200DC8D4">
      <w:pPr>
        <w:pStyle w:val="39"/>
        <w:ind w:firstLine="420"/>
        <w:rPr>
          <w:rFonts w:ascii="Times New Roman" w:cs="宋体"/>
        </w:rPr>
      </w:pPr>
      <w:r>
        <w:rPr>
          <w:rFonts w:hint="eastAsia" w:ascii="Times New Roman" w:cs="宋体"/>
        </w:rPr>
        <w:t>光伏发电站或光伏发电单元中安装的逆变器的额定有功功率之和，单位为瓦（W）。</w:t>
      </w:r>
    </w:p>
    <w:p w14:paraId="2C4C4C9E">
      <w:pPr>
        <w:pStyle w:val="182"/>
      </w:pPr>
      <w:r>
        <w:rPr>
          <w:rFonts w:hint="eastAsia"/>
        </w:rPr>
        <w:t>光伏发电系统的安装容量为安装光伏组件的标称功率之和，单位为峰瓦（Wp）。</w:t>
      </w:r>
    </w:p>
    <w:p w14:paraId="330D15BC">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电能数据采集终端  electric energy data acquire terminal</w:t>
      </w:r>
    </w:p>
    <w:p w14:paraId="2E48A3ED">
      <w:pPr>
        <w:pStyle w:val="39"/>
        <w:ind w:firstLine="420"/>
        <w:rPr>
          <w:rFonts w:hint="eastAsia"/>
        </w:rPr>
      </w:pPr>
      <w:r>
        <w:rPr>
          <w:rFonts w:hint="eastAsia"/>
        </w:rPr>
        <w:t>对各测量点进行电能信息采集的设备，可实现电能表、分布式电源接入单元数据的采集、管理、转发或执行控制命令，简称采集终端；电能数据采集终端按应用场所分为专变采集终端、集中抄表终端（包括集中器、采集器）等类型。</w:t>
      </w:r>
    </w:p>
    <w:p w14:paraId="478DD367">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分布式电源接入单元 distributed power supply access unit</w:t>
      </w:r>
    </w:p>
    <w:p w14:paraId="5497DEE5">
      <w:pPr>
        <w:pStyle w:val="39"/>
        <w:ind w:firstLine="420"/>
      </w:pPr>
      <w:r>
        <w:rPr>
          <w:rFonts w:hint="eastAsia"/>
        </w:rPr>
        <w:t>对低压分布式光伏逆变器和断路器进行监控的设备，具备通信协议转换、数据采集、电能质量监测、远程/本地控制等功能，并支持对储能变流器等设备的采集监控。</w:t>
      </w:r>
    </w:p>
    <w:p w14:paraId="00AE9D87">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孤岛 islanding</w:t>
      </w:r>
    </w:p>
    <w:p w14:paraId="55346FE2">
      <w:pPr>
        <w:pStyle w:val="39"/>
        <w:ind w:firstLine="420"/>
      </w:pPr>
      <w:r>
        <w:rPr>
          <w:rFonts w:hint="eastAsia"/>
        </w:rPr>
        <w:t>包含负荷和电源的部分电网，从主网脱离后继续孤立运行的状态。</w:t>
      </w:r>
    </w:p>
    <w:p w14:paraId="11F0A4D2">
      <w:pPr>
        <w:pStyle w:val="182"/>
      </w:pPr>
      <w:r>
        <w:rPr>
          <w:rFonts w:hint="eastAsia"/>
        </w:rPr>
        <w:t>孤岛可分为非计划性孤岛和计划性孤岛。非计划性孤岛指非计划、不受控地发生孤岛。计划性孤岛指按预先配置的控制策略，有计划地发生孤岛。</w:t>
      </w:r>
    </w:p>
    <w:p w14:paraId="4815D42F">
      <w:pPr>
        <w:pStyle w:val="108"/>
        <w:spacing w:before="312" w:after="312"/>
      </w:pPr>
      <w:bookmarkStart w:id="58" w:name="_Toc202796689"/>
      <w:bookmarkStart w:id="59" w:name="_Toc202797274"/>
      <w:r>
        <w:rPr>
          <w:rFonts w:hint="eastAsia"/>
        </w:rPr>
        <w:t>总体要求</w:t>
      </w:r>
      <w:bookmarkEnd w:id="58"/>
      <w:bookmarkEnd w:id="59"/>
    </w:p>
    <w:p w14:paraId="6CF8C8EB">
      <w:pPr>
        <w:pStyle w:val="165"/>
      </w:pPr>
      <w:r>
        <w:rPr>
          <w:rFonts w:hint="eastAsia"/>
        </w:rPr>
        <w:t>自然人户用光伏宜就近分散接入电网，非自然人户用光伏宜以集中汇流方式接入电网；非自然人户用光伏应进行统一规划、选址定容和有序并网。</w:t>
      </w:r>
    </w:p>
    <w:p w14:paraId="33CB18D9">
      <w:pPr>
        <w:pStyle w:val="165"/>
      </w:pPr>
      <w:r>
        <w:rPr>
          <w:rFonts w:hint="eastAsia" w:hAnsi="宋体" w:cs="宋体"/>
          <w:szCs w:val="21"/>
          <w:lang w:bidi="ar"/>
        </w:rPr>
        <w:t>利用新建建筑物及其附属场所建设的光伏电力工程宜与建筑物电气系统统一规划、同步设计、同步施工；利用既有建筑物及其附属场所增设光伏发电系统的，应进行既有电气系统安全复核。</w:t>
      </w:r>
    </w:p>
    <w:p w14:paraId="46356F58">
      <w:pPr>
        <w:pStyle w:val="165"/>
      </w:pPr>
      <w:r>
        <w:rPr>
          <w:rFonts w:hint="eastAsia" w:hAnsi="宋体" w:cs="宋体"/>
          <w:szCs w:val="21"/>
          <w:lang w:bidi="ar"/>
        </w:rPr>
        <w:t>户用光伏发电系统选用的逆变器、汇流柜（箱）、并网柜、变压器、计量柜（箱）等涉网设备性能应符合国家或行业的产品技术要求。</w:t>
      </w:r>
    </w:p>
    <w:p w14:paraId="43E59283">
      <w:pPr>
        <w:pStyle w:val="165"/>
        <w:rPr>
          <w:rFonts w:hAnsi="宋体" w:cs="宋体"/>
          <w:szCs w:val="21"/>
          <w:lang w:bidi="ar"/>
        </w:rPr>
      </w:pPr>
      <w:r>
        <w:rPr>
          <w:rFonts w:hint="eastAsia" w:hAnsi="宋体" w:cs="宋体"/>
          <w:szCs w:val="21"/>
          <w:lang w:bidi="ar"/>
        </w:rPr>
        <w:t>光伏发电系统并网后，引起的公共连接点电能质量指标应满足GB/T 29319的</w:t>
      </w:r>
      <w:r>
        <w:rPr>
          <w:rFonts w:hint="eastAsia"/>
        </w:rPr>
        <w:t>有关规定</w:t>
      </w:r>
      <w:r>
        <w:rPr>
          <w:rFonts w:hint="eastAsia" w:hAnsi="宋体" w:cs="宋体"/>
          <w:szCs w:val="21"/>
          <w:lang w:bidi="ar"/>
        </w:rPr>
        <w:t>。</w:t>
      </w:r>
    </w:p>
    <w:p w14:paraId="78D64335">
      <w:pPr>
        <w:pStyle w:val="108"/>
        <w:spacing w:before="312" w:after="312"/>
      </w:pPr>
      <w:bookmarkStart w:id="60" w:name="_Toc202797275"/>
      <w:bookmarkStart w:id="61" w:name="_Toc202796690"/>
      <w:r>
        <w:rPr>
          <w:rFonts w:hint="eastAsia"/>
        </w:rPr>
        <w:t>设计</w:t>
      </w:r>
      <w:bookmarkEnd w:id="60"/>
      <w:bookmarkEnd w:id="61"/>
    </w:p>
    <w:p w14:paraId="6956CE55">
      <w:pPr>
        <w:pStyle w:val="109"/>
        <w:spacing w:before="156" w:after="156"/>
      </w:pPr>
      <w:bookmarkStart w:id="62" w:name="_Toc202797276"/>
      <w:bookmarkStart w:id="63" w:name="_Toc202796691"/>
      <w:bookmarkStart w:id="64" w:name="_Toc129379474"/>
      <w:r>
        <w:rPr>
          <w:rFonts w:hint="eastAsia"/>
        </w:rPr>
        <w:t>一般要求</w:t>
      </w:r>
      <w:bookmarkEnd w:id="62"/>
      <w:bookmarkEnd w:id="63"/>
    </w:p>
    <w:p w14:paraId="68723438">
      <w:pPr>
        <w:pStyle w:val="168"/>
        <w:ind w:left="0"/>
      </w:pPr>
      <w:r>
        <w:rPr>
          <w:rFonts w:hint="eastAsia"/>
        </w:rPr>
        <w:t>户用光伏项目设计应考虑太阳能资源、建设条件、电量消纳能力、电网承载力等因素，并满足安全可靠、经济适用、生态环保、便于安装和维护的要求。</w:t>
      </w:r>
    </w:p>
    <w:p w14:paraId="2F6D9CF4">
      <w:pPr>
        <w:pStyle w:val="168"/>
        <w:ind w:left="0"/>
      </w:pPr>
      <w:r>
        <w:rPr>
          <w:rFonts w:hint="eastAsia"/>
        </w:rPr>
        <w:t>户用光伏应实现“可观、可测、可调、可控”，保障光伏发电高效可靠利用和电力系统安全稳定运行。</w:t>
      </w:r>
    </w:p>
    <w:p w14:paraId="09E2D73A">
      <w:pPr>
        <w:pStyle w:val="109"/>
        <w:spacing w:before="156" w:after="156"/>
      </w:pPr>
      <w:bookmarkStart w:id="65" w:name="_Toc202796692"/>
      <w:bookmarkStart w:id="66" w:name="_Toc202797277"/>
      <w:r>
        <w:rPr>
          <w:rFonts w:hint="eastAsia"/>
        </w:rPr>
        <w:t>系统规划</w:t>
      </w:r>
      <w:bookmarkEnd w:id="65"/>
      <w:bookmarkEnd w:id="66"/>
    </w:p>
    <w:p w14:paraId="0F2C7EE7">
      <w:pPr>
        <w:pStyle w:val="69"/>
        <w:spacing w:before="156" w:after="156"/>
        <w:ind w:left="0"/>
      </w:pPr>
      <w:r>
        <w:rPr>
          <w:rFonts w:hint="eastAsia"/>
        </w:rPr>
        <w:t>上网模式</w:t>
      </w:r>
    </w:p>
    <w:p w14:paraId="29885BDB">
      <w:pPr>
        <w:pStyle w:val="39"/>
        <w:ind w:firstLine="420"/>
      </w:pPr>
      <w:r>
        <w:rPr>
          <w:rFonts w:hint="eastAsia"/>
        </w:rPr>
        <w:t>户用光伏可选择全额上网、全部自发自用或自发自用余电上网三种模式。</w:t>
      </w:r>
    </w:p>
    <w:p w14:paraId="44828378">
      <w:pPr>
        <w:pStyle w:val="69"/>
        <w:spacing w:before="156" w:after="156"/>
        <w:ind w:left="0"/>
      </w:pPr>
      <w:r>
        <w:rPr>
          <w:rFonts w:hint="eastAsia"/>
        </w:rPr>
        <w:t>容配比</w:t>
      </w:r>
    </w:p>
    <w:p w14:paraId="2263B646">
      <w:pPr>
        <w:pStyle w:val="39"/>
        <w:ind w:firstLine="420"/>
      </w:pPr>
      <w:r>
        <w:rPr>
          <w:rFonts w:hint="eastAsia"/>
        </w:rPr>
        <w:t>光伏发电系统中逆变器的配置容量应与其对应的光伏方阵的安装容量相匹配，光伏组件与接入逆变器之间的容配比应综合考虑光伏方阵的安装方式、场地条件、太阳能资源、各项损耗等因素，经技术经济比较后确定；光伏组件的安装容量与逆变器额定容量之比不宜超过1.3。</w:t>
      </w:r>
    </w:p>
    <w:p w14:paraId="7ACD53E1">
      <w:pPr>
        <w:pStyle w:val="69"/>
        <w:spacing w:before="156" w:after="156"/>
        <w:ind w:left="0"/>
      </w:pPr>
      <w:r>
        <w:rPr>
          <w:rFonts w:hint="eastAsia"/>
        </w:rPr>
        <w:t>接入电压等级</w:t>
      </w:r>
    </w:p>
    <w:p w14:paraId="60BDE320">
      <w:pPr>
        <w:pStyle w:val="39"/>
        <w:ind w:firstLine="420"/>
      </w:pPr>
      <w:r>
        <w:rPr>
          <w:rFonts w:hint="eastAsia"/>
        </w:rPr>
        <w:t>接入的电压等级应根据光伏发电系统额定容量、发电特性、导线载流量、上级变压器及线路可接纳能力、所在地区配电网情况、周边分布式电源规划情况，经过综合比选后确定，具体可参考表</w:t>
      </w:r>
      <w:r>
        <w:t>1</w:t>
      </w:r>
      <w:r>
        <w:rPr>
          <w:rFonts w:hint="eastAsia"/>
        </w:rPr>
        <w:t>。</w:t>
      </w:r>
    </w:p>
    <w:p w14:paraId="1F369542">
      <w:pPr>
        <w:pStyle w:val="38"/>
        <w:spacing w:before="156" w:after="156"/>
      </w:pPr>
      <w:r>
        <w:rPr>
          <w:rFonts w:hint="eastAsia"/>
        </w:rPr>
        <w:t>户用光伏接入电压等级推荐表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490410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0636E563">
            <w:pPr>
              <w:pStyle w:val="181"/>
            </w:pPr>
            <w:r>
              <w:rPr>
                <w:rFonts w:hint="eastAsia"/>
              </w:rPr>
              <w:t>额定容量</w:t>
            </w:r>
          </w:p>
        </w:tc>
        <w:tc>
          <w:tcPr>
            <w:tcW w:w="4667" w:type="dxa"/>
            <w:tcBorders>
              <w:top w:val="single" w:color="auto" w:sz="8" w:space="0"/>
              <w:bottom w:val="single" w:color="auto" w:sz="8" w:space="0"/>
            </w:tcBorders>
            <w:shd w:val="clear" w:color="auto" w:fill="auto"/>
            <w:vAlign w:val="center"/>
          </w:tcPr>
          <w:p w14:paraId="77DCCFB4">
            <w:pPr>
              <w:pStyle w:val="181"/>
            </w:pPr>
            <w:r>
              <w:rPr>
                <w:rFonts w:hint="eastAsia"/>
                <w:spacing w:val="6"/>
              </w:rPr>
              <w:t>接入电压等级</w:t>
            </w:r>
          </w:p>
        </w:tc>
      </w:tr>
      <w:tr w14:paraId="1566D5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402BD78D">
            <w:pPr>
              <w:pStyle w:val="181"/>
            </w:pPr>
            <w:r>
              <w:rPr>
                <w:rFonts w:hint="eastAsia" w:ascii="Times New Roman"/>
                <w:szCs w:val="18"/>
              </w:rPr>
              <w:t>8kW以下</w:t>
            </w:r>
          </w:p>
        </w:tc>
        <w:tc>
          <w:tcPr>
            <w:tcW w:w="4667" w:type="dxa"/>
            <w:tcBorders>
              <w:top w:val="single" w:color="auto" w:sz="8" w:space="0"/>
            </w:tcBorders>
            <w:shd w:val="clear" w:color="auto" w:fill="auto"/>
            <w:vAlign w:val="center"/>
          </w:tcPr>
          <w:p w14:paraId="2D8F9661">
            <w:pPr>
              <w:pStyle w:val="181"/>
            </w:pPr>
            <w:r>
              <w:rPr>
                <w:rFonts w:hint="eastAsia" w:ascii="Times New Roman"/>
                <w:szCs w:val="18"/>
              </w:rPr>
              <w:t>220V</w:t>
            </w:r>
          </w:p>
        </w:tc>
      </w:tr>
      <w:tr w14:paraId="55F605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150967C9">
            <w:pPr>
              <w:pStyle w:val="181"/>
            </w:pPr>
            <w:r>
              <w:rPr>
                <w:rFonts w:hint="eastAsia" w:ascii="Times New Roman"/>
                <w:szCs w:val="18"/>
              </w:rPr>
              <w:t>400kW以下</w:t>
            </w:r>
          </w:p>
        </w:tc>
        <w:tc>
          <w:tcPr>
            <w:tcW w:w="4667" w:type="dxa"/>
            <w:shd w:val="clear" w:color="auto" w:fill="auto"/>
            <w:vAlign w:val="center"/>
          </w:tcPr>
          <w:p w14:paraId="2D0680CD">
            <w:pPr>
              <w:pStyle w:val="181"/>
            </w:pPr>
            <w:r>
              <w:rPr>
                <w:rFonts w:hint="eastAsia" w:ascii="Times New Roman"/>
                <w:szCs w:val="18"/>
              </w:rPr>
              <w:t>380V</w:t>
            </w:r>
          </w:p>
        </w:tc>
      </w:tr>
      <w:tr w14:paraId="4188F5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42B8A834">
            <w:pPr>
              <w:pStyle w:val="181"/>
            </w:pPr>
            <w:r>
              <w:rPr>
                <w:rFonts w:hint="eastAsia" w:ascii="Times New Roman"/>
                <w:szCs w:val="18"/>
              </w:rPr>
              <w:t>400kW～6MW</w:t>
            </w:r>
          </w:p>
        </w:tc>
        <w:tc>
          <w:tcPr>
            <w:tcW w:w="4667" w:type="dxa"/>
            <w:shd w:val="clear" w:color="auto" w:fill="auto"/>
            <w:vAlign w:val="center"/>
          </w:tcPr>
          <w:p w14:paraId="44B6980B">
            <w:pPr>
              <w:pStyle w:val="181"/>
            </w:pPr>
            <w:r>
              <w:rPr>
                <w:rFonts w:hint="eastAsia" w:ascii="Times New Roman"/>
                <w:szCs w:val="18"/>
              </w:rPr>
              <w:t>10kV</w:t>
            </w:r>
          </w:p>
        </w:tc>
      </w:tr>
      <w:tr w14:paraId="6767DC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shd w:val="clear" w:color="auto" w:fill="auto"/>
            <w:vAlign w:val="center"/>
          </w:tcPr>
          <w:p w14:paraId="5F3024BE">
            <w:pPr>
              <w:pStyle w:val="182"/>
            </w:pPr>
            <w:r>
              <w:rPr>
                <w:rFonts w:hint="eastAsia"/>
              </w:rPr>
              <w:t>最终接入电压等级应根据电网条件，通过技术经济比选论证确定。若高低两级电压均具备接入条件，优先采用低电压等级接入。</w:t>
            </w:r>
          </w:p>
        </w:tc>
      </w:tr>
    </w:tbl>
    <w:p w14:paraId="441A326D">
      <w:pPr>
        <w:pStyle w:val="69"/>
        <w:spacing w:before="156" w:after="156"/>
        <w:ind w:left="0"/>
      </w:pPr>
      <w:r>
        <w:rPr>
          <w:rFonts w:hint="eastAsia"/>
        </w:rPr>
        <w:t>并网点</w:t>
      </w:r>
    </w:p>
    <w:p w14:paraId="3BFC9BEB">
      <w:pPr>
        <w:pStyle w:val="39"/>
        <w:ind w:firstLine="420"/>
      </w:pPr>
      <w:r>
        <w:rPr>
          <w:rFonts w:hint="eastAsia"/>
        </w:rPr>
        <w:t>户用光伏可接入公共电网或用户电网，并网点的选择应根据其电压等级及周边电网情况确定，详见表2。</w:t>
      </w:r>
    </w:p>
    <w:p w14:paraId="50FDA155">
      <w:pPr>
        <w:pStyle w:val="38"/>
        <w:spacing w:before="156" w:after="156"/>
        <w:rPr>
          <w:kern w:val="2"/>
        </w:rPr>
      </w:pPr>
      <w:r>
        <w:rPr>
          <w:rFonts w:hint="eastAsia"/>
          <w:kern w:val="2"/>
        </w:rPr>
        <w:t>户用光伏并网点</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385"/>
        <w:gridCol w:w="4949"/>
      </w:tblGrid>
      <w:tr w14:paraId="2953B4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4385" w:type="dxa"/>
            <w:tcBorders>
              <w:top w:val="single" w:color="auto" w:sz="8" w:space="0"/>
              <w:bottom w:val="single" w:color="auto" w:sz="8" w:space="0"/>
            </w:tcBorders>
            <w:shd w:val="clear" w:color="auto" w:fill="auto"/>
            <w:vAlign w:val="center"/>
          </w:tcPr>
          <w:p w14:paraId="7134F704">
            <w:pPr>
              <w:pStyle w:val="181"/>
            </w:pPr>
            <w:r>
              <w:rPr>
                <w:rFonts w:hint="eastAsia" w:ascii="Times New Roman"/>
                <w:szCs w:val="18"/>
              </w:rPr>
              <w:t>电压等级</w:t>
            </w:r>
          </w:p>
        </w:tc>
        <w:tc>
          <w:tcPr>
            <w:tcW w:w="4949" w:type="dxa"/>
            <w:tcBorders>
              <w:top w:val="single" w:color="auto" w:sz="8" w:space="0"/>
              <w:bottom w:val="single" w:color="auto" w:sz="8" w:space="0"/>
            </w:tcBorders>
            <w:shd w:val="clear" w:color="auto" w:fill="auto"/>
            <w:vAlign w:val="center"/>
          </w:tcPr>
          <w:p w14:paraId="3877BFA6">
            <w:pPr>
              <w:pStyle w:val="181"/>
            </w:pPr>
            <w:r>
              <w:rPr>
                <w:rFonts w:hint="eastAsia" w:ascii="Times New Roman"/>
                <w:szCs w:val="18"/>
              </w:rPr>
              <w:t>并网点</w:t>
            </w:r>
          </w:p>
        </w:tc>
      </w:tr>
      <w:tr w14:paraId="119284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85" w:type="dxa"/>
            <w:tcBorders>
              <w:top w:val="single" w:color="auto" w:sz="8" w:space="0"/>
            </w:tcBorders>
            <w:shd w:val="clear" w:color="auto" w:fill="auto"/>
            <w:vAlign w:val="center"/>
          </w:tcPr>
          <w:p w14:paraId="2E756C4E">
            <w:pPr>
              <w:pStyle w:val="181"/>
            </w:pPr>
            <w:r>
              <w:rPr>
                <w:rFonts w:hint="eastAsia" w:ascii="Times New Roman"/>
                <w:szCs w:val="18"/>
              </w:rPr>
              <w:t>380V/220V</w:t>
            </w:r>
          </w:p>
        </w:tc>
        <w:tc>
          <w:tcPr>
            <w:tcW w:w="4949" w:type="dxa"/>
            <w:tcBorders>
              <w:top w:val="single" w:color="auto" w:sz="8" w:space="0"/>
            </w:tcBorders>
            <w:shd w:val="clear" w:color="auto" w:fill="auto"/>
            <w:vAlign w:val="center"/>
          </w:tcPr>
          <w:p w14:paraId="4A4EDAFE">
            <w:pPr>
              <w:pStyle w:val="181"/>
            </w:pPr>
            <w:r>
              <w:rPr>
                <w:rFonts w:hint="eastAsia" w:ascii="Times New Roman"/>
                <w:szCs w:val="18"/>
              </w:rPr>
              <w:t>配电箱/线路；配电室、箱变或柱上变压器低压母线</w:t>
            </w:r>
          </w:p>
        </w:tc>
      </w:tr>
      <w:tr w14:paraId="08A27A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85" w:type="dxa"/>
            <w:shd w:val="clear" w:color="auto" w:fill="auto"/>
            <w:vAlign w:val="center"/>
          </w:tcPr>
          <w:p w14:paraId="264B70B7">
            <w:pPr>
              <w:pStyle w:val="181"/>
            </w:pPr>
            <w:r>
              <w:rPr>
                <w:rFonts w:hint="eastAsia" w:ascii="Times New Roman"/>
                <w:szCs w:val="18"/>
              </w:rPr>
              <w:t>10kV</w:t>
            </w:r>
          </w:p>
        </w:tc>
        <w:tc>
          <w:tcPr>
            <w:tcW w:w="4949" w:type="dxa"/>
            <w:shd w:val="clear" w:color="auto" w:fill="auto"/>
            <w:vAlign w:val="center"/>
          </w:tcPr>
          <w:p w14:paraId="0E4EFCC8">
            <w:pPr>
              <w:spacing w:line="240" w:lineRule="auto"/>
              <w:jc w:val="center"/>
              <w:rPr>
                <w:rFonts w:ascii="Times New Roman" w:hAnsi="Times New Roman"/>
                <w:sz w:val="18"/>
                <w:szCs w:val="18"/>
              </w:rPr>
            </w:pPr>
            <w:r>
              <w:rPr>
                <w:rFonts w:hint="eastAsia" w:ascii="Times New Roman" w:hAnsi="Times New Roman"/>
                <w:sz w:val="18"/>
                <w:szCs w:val="18"/>
              </w:rPr>
              <w:t>变电站、开关站、配电室、箱变、环网箱(室)的10kV母线；</w:t>
            </w:r>
          </w:p>
          <w:p w14:paraId="4615B146">
            <w:pPr>
              <w:pStyle w:val="181"/>
            </w:pPr>
            <w:r>
              <w:rPr>
                <w:rFonts w:hint="eastAsia" w:ascii="Times New Roman"/>
                <w:szCs w:val="18"/>
              </w:rPr>
              <w:t>10kV架空线路</w:t>
            </w:r>
          </w:p>
        </w:tc>
      </w:tr>
    </w:tbl>
    <w:p w14:paraId="736ECE9D">
      <w:pPr>
        <w:pStyle w:val="109"/>
        <w:spacing w:before="156" w:after="156"/>
      </w:pPr>
      <w:bookmarkStart w:id="67" w:name="_Toc202797278"/>
      <w:bookmarkStart w:id="68" w:name="_Toc202796693"/>
      <w:r>
        <w:rPr>
          <w:rFonts w:hint="eastAsia"/>
        </w:rPr>
        <w:t>电气主接线</w:t>
      </w:r>
      <w:bookmarkEnd w:id="67"/>
      <w:bookmarkEnd w:id="68"/>
    </w:p>
    <w:p w14:paraId="57F63C1F">
      <w:pPr>
        <w:pStyle w:val="39"/>
        <w:ind w:firstLine="420"/>
      </w:pPr>
      <w:r>
        <w:rPr>
          <w:rFonts w:hint="eastAsia"/>
        </w:rPr>
        <w:t>户用光伏系统的接线方式应按额定容量、安全可靠性、运行灵活性和经济合理性等条件进行选择，宜采用单元接线或单母线接线。</w:t>
      </w:r>
    </w:p>
    <w:bookmarkEnd w:id="64"/>
    <w:p w14:paraId="437E8480">
      <w:pPr>
        <w:pStyle w:val="109"/>
        <w:spacing w:before="156" w:after="156"/>
      </w:pPr>
      <w:bookmarkStart w:id="69" w:name="_Toc202796694"/>
      <w:bookmarkStart w:id="70" w:name="_Toc202797279"/>
      <w:r>
        <w:rPr>
          <w:rFonts w:hint="eastAsia"/>
        </w:rPr>
        <w:t>设备选择</w:t>
      </w:r>
      <w:bookmarkEnd w:id="69"/>
      <w:bookmarkEnd w:id="70"/>
    </w:p>
    <w:p w14:paraId="438E66C1">
      <w:pPr>
        <w:pStyle w:val="69"/>
        <w:spacing w:before="156" w:after="156"/>
        <w:ind w:left="0"/>
      </w:pPr>
      <w:r>
        <w:rPr>
          <w:rFonts w:hint="eastAsia"/>
        </w:rPr>
        <w:t>升压变压器</w:t>
      </w:r>
    </w:p>
    <w:p w14:paraId="6636A521">
      <w:pPr>
        <w:pStyle w:val="167"/>
      </w:pPr>
      <w:r>
        <w:t>变压器的性能参数、技术要求等应符合</w:t>
      </w:r>
      <w:r>
        <w:rPr>
          <w:rFonts w:ascii="宋体"/>
        </w:rPr>
        <w:t>GB 24790、GB</w:t>
      </w:r>
      <w:r>
        <w:rPr>
          <w:rFonts w:hint="eastAsia" w:ascii="宋体"/>
          <w:lang w:val="en-US" w:eastAsia="zh-CN"/>
        </w:rPr>
        <w:t>/</w:t>
      </w:r>
      <w:r>
        <w:rPr>
          <w:rFonts w:ascii="宋体"/>
        </w:rPr>
        <w:t>T 6451、GB</w:t>
      </w:r>
      <w:r>
        <w:rPr>
          <w:rFonts w:hint="eastAsia" w:ascii="宋体"/>
          <w:lang w:val="en-US" w:eastAsia="zh-CN"/>
        </w:rPr>
        <w:t>/</w:t>
      </w:r>
      <w:bookmarkStart w:id="159" w:name="_GoBack"/>
      <w:bookmarkEnd w:id="159"/>
      <w:r>
        <w:rPr>
          <w:rFonts w:ascii="宋体"/>
        </w:rPr>
        <w:t>T 17468、GB/T 1094.1、GB/T 1094.11和 GB/T 10228的</w:t>
      </w:r>
      <w:r>
        <w:rPr>
          <w:rFonts w:hint="eastAsia"/>
        </w:rPr>
        <w:t>有关</w:t>
      </w:r>
      <w:r>
        <w:rPr>
          <w:rFonts w:ascii="宋体"/>
        </w:rPr>
        <w:t xml:space="preserve">规定，能效等级应不低于GB 20052 中 2 </w:t>
      </w:r>
      <w:r>
        <w:t>级能效标准。</w:t>
      </w:r>
    </w:p>
    <w:p w14:paraId="7F9E1163">
      <w:pPr>
        <w:pStyle w:val="167"/>
      </w:pPr>
      <w:r>
        <w:t>变压器额定容量不应小于</w:t>
      </w:r>
      <w:r>
        <w:rPr>
          <w:rFonts w:hint="eastAsia"/>
        </w:rPr>
        <w:t>光伏发电</w:t>
      </w:r>
      <w:r>
        <w:t>系统</w:t>
      </w:r>
      <w:r>
        <w:rPr>
          <w:rFonts w:hint="eastAsia"/>
        </w:rPr>
        <w:t>额定容量</w:t>
      </w:r>
      <w:r>
        <w:t>。</w:t>
      </w:r>
    </w:p>
    <w:p w14:paraId="1CA7565B">
      <w:pPr>
        <w:pStyle w:val="69"/>
        <w:spacing w:before="156" w:after="156"/>
        <w:ind w:left="0"/>
      </w:pPr>
      <w:r>
        <w:rPr>
          <w:rFonts w:hint="eastAsia"/>
        </w:rPr>
        <w:t>断路器</w:t>
      </w:r>
    </w:p>
    <w:p w14:paraId="605284DB">
      <w:pPr>
        <w:pStyle w:val="167"/>
      </w:pPr>
      <w:r>
        <w:rPr>
          <w:rFonts w:hint="eastAsia"/>
        </w:rPr>
        <w:t>断路器选择应遵循以下原则：</w:t>
      </w:r>
    </w:p>
    <w:p w14:paraId="0E939855">
      <w:pPr>
        <w:pStyle w:val="177"/>
      </w:pPr>
      <w:r>
        <w:rPr>
          <w:rFonts w:hint="eastAsia"/>
        </w:rPr>
        <w:t>采用380/220V并网时，应设置明显开断点，并网点应安装易操作、具有明显开断指示、具备开断故障电流能力的断路器，并配置剩余电流保护装置；</w:t>
      </w:r>
    </w:p>
    <w:p w14:paraId="56820E62">
      <w:pPr>
        <w:pStyle w:val="177"/>
      </w:pPr>
      <w:r>
        <w:rPr>
          <w:rFonts w:hint="eastAsia"/>
        </w:rPr>
        <w:t>断路器可选用微型、塑壳式或万能断路器，根据短路电流水平选择设备开断能力，并应留有一定裕度，应具备电源端与负荷端反接能力；</w:t>
      </w:r>
    </w:p>
    <w:p w14:paraId="363F3A04">
      <w:pPr>
        <w:pStyle w:val="177"/>
      </w:pPr>
      <w:r>
        <w:rPr>
          <w:rFonts w:hint="eastAsia"/>
        </w:rPr>
        <w:t>采用10kV并网时，并网点应安装易操作、可闭锁、具有明显开断点、具备接地条件、可开断故障电流的断路器。</w:t>
      </w:r>
    </w:p>
    <w:p w14:paraId="5B3958EB">
      <w:pPr>
        <w:pStyle w:val="167"/>
      </w:pPr>
      <w:r>
        <w:rPr>
          <w:rFonts w:hint="eastAsia"/>
        </w:rPr>
        <w:t>汇流箱应按所采用的组件和逆变器类型根据需要进行配置；逆变器交流侧应设置隔离开关。</w:t>
      </w:r>
    </w:p>
    <w:p w14:paraId="6B3756B1">
      <w:pPr>
        <w:pStyle w:val="167"/>
      </w:pPr>
      <w:r>
        <w:rPr>
          <w:rFonts w:hint="eastAsia"/>
        </w:rPr>
        <w:t>光伏发电系统直流侧宜配置直流故障电弧检测和保护功能。</w:t>
      </w:r>
    </w:p>
    <w:p w14:paraId="433326C5">
      <w:pPr>
        <w:pStyle w:val="167"/>
      </w:pPr>
      <w:r>
        <w:rPr>
          <w:rFonts w:hint="eastAsia"/>
        </w:rPr>
        <w:t>户用光伏并网公共连接点为负荷开关时，宜改造为断路器，并根据短路电流水平选择设备开断能力。</w:t>
      </w:r>
    </w:p>
    <w:p w14:paraId="45BA6FDA">
      <w:pPr>
        <w:pStyle w:val="109"/>
        <w:spacing w:before="156" w:after="156"/>
      </w:pPr>
      <w:bookmarkStart w:id="71" w:name="_Toc202797280"/>
      <w:bookmarkStart w:id="72" w:name="_Toc202796695"/>
      <w:r>
        <w:rPr>
          <w:rFonts w:hint="eastAsia"/>
        </w:rPr>
        <w:t>无功补偿</w:t>
      </w:r>
      <w:bookmarkEnd w:id="71"/>
      <w:bookmarkEnd w:id="72"/>
    </w:p>
    <w:p w14:paraId="292EEA43">
      <w:pPr>
        <w:pStyle w:val="168"/>
        <w:ind w:left="0"/>
      </w:pPr>
      <w:r>
        <w:rPr>
          <w:rFonts w:hint="eastAsia"/>
        </w:rPr>
        <w:t>无功补偿应符合GB/T</w:t>
      </w:r>
      <w:r>
        <w:t xml:space="preserve"> </w:t>
      </w:r>
      <w:r>
        <w:rPr>
          <w:rFonts w:hint="eastAsia"/>
        </w:rPr>
        <w:t>29321、GB 50227的有关规定。</w:t>
      </w:r>
    </w:p>
    <w:p w14:paraId="3025BF22">
      <w:pPr>
        <w:pStyle w:val="168"/>
        <w:ind w:left="0"/>
      </w:pPr>
      <w:r>
        <w:rPr>
          <w:rFonts w:hint="eastAsia"/>
        </w:rPr>
        <w:t>无功补偿容量计算时应考虑并网逆变器的无功容量及其调节能力以及汇集线路、变压器和送出线路的无功损耗等因素，功率因数应在超前0.95</w:t>
      </w:r>
      <w:r>
        <w:rPr>
          <w:rFonts w:hint="eastAsia" w:hAnsi="宋体" w:cs="宋体"/>
          <w:sz w:val="18"/>
          <w:szCs w:val="18"/>
        </w:rPr>
        <w:t>～</w:t>
      </w:r>
      <w:r>
        <w:rPr>
          <w:rFonts w:hint="eastAsia"/>
        </w:rPr>
        <w:t>滞后0.95范围内连续可调。</w:t>
      </w:r>
    </w:p>
    <w:p w14:paraId="2D8A13EF">
      <w:pPr>
        <w:pStyle w:val="168"/>
        <w:ind w:left="0"/>
      </w:pPr>
      <w:r>
        <w:rPr>
          <w:rFonts w:hint="eastAsia"/>
        </w:rPr>
        <w:t>逆变器的无功容量不满足系统调节需要时，应加装无功补偿装置，并具备自动投切功能。</w:t>
      </w:r>
    </w:p>
    <w:p w14:paraId="3A159575">
      <w:pPr>
        <w:pStyle w:val="168"/>
        <w:ind w:left="0"/>
      </w:pPr>
      <w:r>
        <w:rPr>
          <w:rFonts w:hint="eastAsia"/>
        </w:rPr>
        <w:t>无功补偿装置宜装设在升压站主变压器低压侧或10kV开关站母线上，宜选用动态无功功率补偿成套装置。</w:t>
      </w:r>
    </w:p>
    <w:p w14:paraId="54D07E7F">
      <w:pPr>
        <w:pStyle w:val="109"/>
        <w:spacing w:before="156" w:after="156"/>
      </w:pPr>
      <w:bookmarkStart w:id="73" w:name="_Toc202796696"/>
      <w:bookmarkStart w:id="74" w:name="_Toc202797281"/>
      <w:r>
        <w:rPr>
          <w:rFonts w:hint="eastAsia"/>
        </w:rPr>
        <w:t>储能配置</w:t>
      </w:r>
      <w:bookmarkEnd w:id="73"/>
      <w:bookmarkEnd w:id="74"/>
    </w:p>
    <w:p w14:paraId="490ACD24">
      <w:pPr>
        <w:pStyle w:val="168"/>
        <w:ind w:left="0"/>
      </w:pPr>
      <w:r>
        <w:rPr>
          <w:rFonts w:hint="eastAsia"/>
        </w:rPr>
        <w:t>储能应主要发挥保障重要电力用户保安负荷安全可靠供电、满足偏远地区离网电力用户供电需求、促进电力用户自发自用新能源消纳、提升电力用户电能质量、降低电力用户用电成本或提升电力用户额外收益等功能。</w:t>
      </w:r>
    </w:p>
    <w:p w14:paraId="0F8D86E3">
      <w:pPr>
        <w:pStyle w:val="168"/>
        <w:ind w:left="0"/>
      </w:pPr>
      <w:r>
        <w:rPr>
          <w:rFonts w:hint="eastAsia"/>
        </w:rPr>
        <w:t>储能系统的额定功率和容量宜符合以下规定：</w:t>
      </w:r>
    </w:p>
    <w:p w14:paraId="0C1EDBD3">
      <w:pPr>
        <w:pStyle w:val="177"/>
        <w:numPr>
          <w:ilvl w:val="0"/>
          <w:numId w:val="34"/>
        </w:numPr>
      </w:pPr>
      <w:r>
        <w:rPr>
          <w:rFonts w:hint="eastAsia"/>
        </w:rPr>
        <w:t>根据负荷特性，满足平滑出力的要求；</w:t>
      </w:r>
    </w:p>
    <w:p w14:paraId="07AC0721">
      <w:pPr>
        <w:pStyle w:val="177"/>
      </w:pPr>
      <w:r>
        <w:rPr>
          <w:rFonts w:hint="eastAsia"/>
        </w:rPr>
        <w:t>根据光伏发电系统需存储电量、负荷大小及供电时间等确定。</w:t>
      </w:r>
    </w:p>
    <w:p w14:paraId="1C9C1D90">
      <w:pPr>
        <w:pStyle w:val="168"/>
        <w:ind w:left="0"/>
      </w:pPr>
      <w:r>
        <w:rPr>
          <w:rFonts w:hint="eastAsia"/>
        </w:rPr>
        <w:t>户用光伏系统配置储能系统时，宜采用电化学储能方式。</w:t>
      </w:r>
    </w:p>
    <w:p w14:paraId="1AFE65EC">
      <w:pPr>
        <w:pStyle w:val="168"/>
        <w:ind w:left="0"/>
      </w:pPr>
      <w:r>
        <w:rPr>
          <w:rFonts w:hint="eastAsia"/>
        </w:rPr>
        <w:t>户用光伏系统配置储能系统时，应符合GB 51048、GB/T 36558、GB/T 34131、GB/T</w:t>
      </w:r>
      <w:r>
        <w:t xml:space="preserve"> </w:t>
      </w:r>
      <w:r>
        <w:rPr>
          <w:rFonts w:hint="eastAsia"/>
        </w:rPr>
        <w:t>34120的有关规定。</w:t>
      </w:r>
    </w:p>
    <w:p w14:paraId="049F634A">
      <w:pPr>
        <w:pStyle w:val="168"/>
        <w:ind w:left="0"/>
      </w:pPr>
      <w:r>
        <w:rPr>
          <w:rFonts w:hint="eastAsia"/>
        </w:rPr>
        <w:t>光伏发电系统与储能装置之间连接方式宜选用交流耦合接线方式，也可选用直流耦合接线方式。</w:t>
      </w:r>
    </w:p>
    <w:p w14:paraId="65E7A038">
      <w:pPr>
        <w:pStyle w:val="109"/>
        <w:spacing w:before="156" w:after="156"/>
      </w:pPr>
      <w:bookmarkStart w:id="75" w:name="_Toc202797282"/>
      <w:bookmarkStart w:id="76" w:name="_Toc202796697"/>
      <w:r>
        <w:rPr>
          <w:rFonts w:hint="eastAsia"/>
        </w:rPr>
        <w:t>继电保护及自动装置</w:t>
      </w:r>
      <w:bookmarkEnd w:id="75"/>
      <w:bookmarkEnd w:id="76"/>
    </w:p>
    <w:p w14:paraId="43D6700B">
      <w:pPr>
        <w:pStyle w:val="69"/>
        <w:spacing w:before="156" w:after="156"/>
        <w:ind w:left="0"/>
      </w:pPr>
      <w:bookmarkStart w:id="77" w:name="_Toc129379475"/>
      <w:r>
        <w:rPr>
          <w:rFonts w:hint="eastAsia"/>
        </w:rPr>
        <w:t xml:space="preserve">继电保护 </w:t>
      </w:r>
    </w:p>
    <w:p w14:paraId="7B495FFB">
      <w:pPr>
        <w:pStyle w:val="167"/>
      </w:pPr>
      <w:r>
        <w:rPr>
          <w:rFonts w:hint="eastAsia"/>
        </w:rPr>
        <w:t>户用光伏的系统保护、送出线路保护、防孤岛保护应符合</w:t>
      </w:r>
      <w:r>
        <w:rPr>
          <w:rFonts w:hint="eastAsia" w:ascii="宋体"/>
        </w:rPr>
        <w:t>GB/T</w:t>
      </w:r>
      <w:r>
        <w:rPr>
          <w:rFonts w:ascii="宋体"/>
        </w:rPr>
        <w:t xml:space="preserve"> </w:t>
      </w:r>
      <w:r>
        <w:rPr>
          <w:rFonts w:hint="eastAsia" w:ascii="宋体"/>
        </w:rPr>
        <w:t>14285、GB</w:t>
      </w:r>
      <w:r>
        <w:rPr>
          <w:rFonts w:ascii="宋体"/>
        </w:rPr>
        <w:t xml:space="preserve"> </w:t>
      </w:r>
      <w:r>
        <w:rPr>
          <w:rFonts w:hint="eastAsia" w:ascii="宋体"/>
        </w:rPr>
        <w:t>29319、GB/T 33982和DL/T 584</w:t>
      </w:r>
      <w:r>
        <w:rPr>
          <w:rFonts w:hint="eastAsia"/>
        </w:rPr>
        <w:t>的有关规定，且应满足可靠性、选择性、灵敏性和速动性的要求。</w:t>
      </w:r>
    </w:p>
    <w:p w14:paraId="12F88A1A">
      <w:pPr>
        <w:pStyle w:val="167"/>
      </w:pPr>
      <w:r>
        <w:rPr>
          <w:rFonts w:hint="eastAsia"/>
        </w:rPr>
        <w:t>以 380/220电压等级接入公共电网时，并网点和公共连接点断路器应具备短路速断、延时保护功能和分励脱扣、失压跳闸、过压跳闸、检有压合闸、</w:t>
      </w:r>
      <w:r>
        <w:t>低压闭锁合闸</w:t>
      </w:r>
      <w:r>
        <w:rPr>
          <w:rFonts w:hint="eastAsia"/>
        </w:rPr>
        <w:t>等功能；</w:t>
      </w:r>
      <w:r>
        <w:t xml:space="preserve">失压跳闸定值宜整定为20% UN </w:t>
      </w:r>
      <w:r>
        <w:rPr>
          <w:rFonts w:hint="eastAsia"/>
        </w:rPr>
        <w:t>、</w:t>
      </w:r>
      <w:r>
        <w:t>10秒，</w:t>
      </w:r>
      <w:r>
        <w:rPr>
          <w:rFonts w:hint="eastAsia"/>
        </w:rPr>
        <w:t>过压跳闸定值宜整定为110%</w:t>
      </w:r>
      <w:r>
        <w:t xml:space="preserve"> UN</w:t>
      </w:r>
      <w:r>
        <w:rPr>
          <w:rFonts w:hint="eastAsia"/>
        </w:rPr>
        <w:t>、</w:t>
      </w:r>
      <w:r>
        <w:t>10秒</w:t>
      </w:r>
      <w:r>
        <w:rPr>
          <w:rFonts w:hint="eastAsia"/>
        </w:rPr>
        <w:t>，</w:t>
      </w:r>
      <w:r>
        <w:t>检有压定值宜整定为大于85% UN。</w:t>
      </w:r>
    </w:p>
    <w:p w14:paraId="38E7B7F0">
      <w:pPr>
        <w:pStyle w:val="167"/>
      </w:pPr>
      <w:r>
        <w:rPr>
          <w:rFonts w:hint="eastAsia"/>
        </w:rPr>
        <w:t>以 10kV电压等级接入公共电网时，保护配置应符合以下要求：</w:t>
      </w:r>
    </w:p>
    <w:p w14:paraId="613397FB">
      <w:pPr>
        <w:pStyle w:val="177"/>
        <w:numPr>
          <w:ilvl w:val="0"/>
          <w:numId w:val="35"/>
        </w:numPr>
      </w:pPr>
      <w:r>
        <w:rPr>
          <w:rFonts w:hint="eastAsia"/>
        </w:rPr>
        <w:t xml:space="preserve">户用光伏系统采用专用送出线路接入变电站、开关站、环网室(箱)、配电室或箱变 </w:t>
      </w:r>
      <w:r>
        <w:rPr>
          <w:rFonts w:hint="eastAsia" w:ascii="Times New Roman"/>
        </w:rPr>
        <w:t>10kV</w:t>
      </w:r>
      <w:r>
        <w:rPr>
          <w:rFonts w:hint="eastAsia"/>
        </w:rPr>
        <w:t>母线时，应配置(方向)过流保护或距离保护；当上述两种保护无法整定或配合困难时，应增配纵联电流差动保护；</w:t>
      </w:r>
    </w:p>
    <w:p w14:paraId="550D2338">
      <w:pPr>
        <w:pStyle w:val="177"/>
      </w:pPr>
      <w:r>
        <w:rPr>
          <w:rFonts w:hint="eastAsia"/>
        </w:rPr>
        <w:t>户用光伏系统采用T接线路接入系统时，宜在光伏电站侧配置无延时过流保护并配置联切装置；</w:t>
      </w:r>
    </w:p>
    <w:p w14:paraId="64288CD9">
      <w:pPr>
        <w:pStyle w:val="177"/>
        <w:rPr>
          <w:rFonts w:hint="eastAsia"/>
        </w:rPr>
      </w:pPr>
      <w:r>
        <w:rPr>
          <w:rFonts w:hint="eastAsia"/>
        </w:rPr>
        <w:t>防孤岛检测动作时间应与电网侧重合闸动作时间相配合。</w:t>
      </w:r>
    </w:p>
    <w:p w14:paraId="61BF8BF3">
      <w:pPr>
        <w:pStyle w:val="167"/>
      </w:pPr>
      <w:r>
        <w:rPr>
          <w:rFonts w:hint="eastAsia"/>
        </w:rPr>
        <w:t>接入容量超过公用台区配变额定容量 25%</w:t>
      </w:r>
      <w:r>
        <w:t xml:space="preserve"> </w:t>
      </w:r>
      <w:r>
        <w:rPr>
          <w:rFonts w:hint="eastAsia"/>
        </w:rPr>
        <w:t>时，配变低压母线处应装设防孤岛装置；低压总开关应与防孤岛装置间具备操作闭锁功能，母线间有联络时，联络开关也应与防孤岛装置间具备操作闭锁功能。</w:t>
      </w:r>
    </w:p>
    <w:p w14:paraId="593DAE02">
      <w:pPr>
        <w:pStyle w:val="167"/>
      </w:pPr>
      <w:r>
        <w:rPr>
          <w:rFonts w:hint="eastAsia"/>
        </w:rPr>
        <w:t>逆变器、汇流柜（箱）、并网柜、变压器等涉网设备应具备故障和异常工作状态报警和保护功能。</w:t>
      </w:r>
    </w:p>
    <w:p w14:paraId="248F3BD8">
      <w:pPr>
        <w:pStyle w:val="69"/>
        <w:spacing w:before="156" w:after="156"/>
        <w:ind w:left="0"/>
      </w:pPr>
      <w:r>
        <w:rPr>
          <w:rFonts w:hint="eastAsia"/>
        </w:rPr>
        <w:t xml:space="preserve">自动装置 </w:t>
      </w:r>
    </w:p>
    <w:p w14:paraId="12CB5BCD">
      <w:pPr>
        <w:pStyle w:val="39"/>
        <w:ind w:firstLine="420"/>
      </w:pPr>
      <w:r>
        <w:rPr>
          <w:rFonts w:hint="eastAsia"/>
        </w:rPr>
        <w:t>户用光伏安全自动装置应符合以下要求：</w:t>
      </w:r>
    </w:p>
    <w:p w14:paraId="54F7A4BA">
      <w:pPr>
        <w:pStyle w:val="177"/>
        <w:numPr>
          <w:ilvl w:val="0"/>
          <w:numId w:val="36"/>
        </w:numPr>
      </w:pPr>
      <w:r>
        <w:rPr>
          <w:rFonts w:hint="eastAsia"/>
        </w:rPr>
        <w:t>具备频率电压异常紧急控制功能，按照整定值跳开并网点断路器；</w:t>
      </w:r>
    </w:p>
    <w:p w14:paraId="749BEF51">
      <w:pPr>
        <w:pStyle w:val="177"/>
      </w:pPr>
      <w:r>
        <w:rPr>
          <w:rFonts w:hint="eastAsia"/>
        </w:rPr>
        <w:t>具备快速检测孤岛功能且检测到孤岛后立即断开与电网连接的能力，防止产生非计划性孤岛；</w:t>
      </w:r>
      <w:r>
        <w:rPr>
          <w:rFonts w:hint="eastAsia" w:ascii="Times New Roman"/>
        </w:rPr>
        <w:t>10kV</w:t>
      </w:r>
      <w:r>
        <w:rPr>
          <w:rFonts w:hint="eastAsia"/>
        </w:rPr>
        <w:t>电压等级接入时应通过独立装置实现防孤岛功能；</w:t>
      </w:r>
      <w:r>
        <w:rPr>
          <w:rFonts w:hint="eastAsia" w:ascii="Times New Roman"/>
        </w:rPr>
        <w:t>380/220V</w:t>
      </w:r>
      <w:r>
        <w:rPr>
          <w:rFonts w:hint="eastAsia"/>
        </w:rPr>
        <w:t xml:space="preserve"> 电压等级接入时可通过独立装置实现防孤岛功能，也可以由设备中的防孤岛模块或逆变器等实现；</w:t>
      </w:r>
    </w:p>
    <w:p w14:paraId="5103804B">
      <w:pPr>
        <w:pStyle w:val="177"/>
      </w:pPr>
      <w:r>
        <w:rPr>
          <w:rFonts w:hint="eastAsia"/>
        </w:rPr>
        <w:t>采用全部自发自用上网模式的光伏系统应配置逆功率保护装置。</w:t>
      </w:r>
    </w:p>
    <w:p w14:paraId="65DE70BB">
      <w:pPr>
        <w:pStyle w:val="109"/>
        <w:spacing w:before="156" w:after="156"/>
      </w:pPr>
      <w:bookmarkStart w:id="78" w:name="_Toc202797283"/>
      <w:bookmarkStart w:id="79" w:name="_Toc202796698"/>
      <w:r>
        <w:rPr>
          <w:rFonts w:hint="eastAsia"/>
        </w:rPr>
        <w:t>过电压保护和接地</w:t>
      </w:r>
      <w:bookmarkEnd w:id="78"/>
      <w:bookmarkEnd w:id="79"/>
    </w:p>
    <w:p w14:paraId="3630089F">
      <w:pPr>
        <w:pStyle w:val="168"/>
        <w:ind w:left="0"/>
      </w:pPr>
      <w:r>
        <w:rPr>
          <w:rFonts w:hint="eastAsia"/>
        </w:rPr>
        <w:t>户用光伏的防雷保护、过电压保护和接地应符合GB 50064、GB 50065、GB/T 32512、DL/T 620 和DL/T 621的有关规定；接地方式应与配电网侧接地方式相配合，并应满足人身设备安全和保护配合的要求。</w:t>
      </w:r>
    </w:p>
    <w:p w14:paraId="4239BA00">
      <w:pPr>
        <w:pStyle w:val="168"/>
        <w:ind w:left="0"/>
      </w:pPr>
      <w:r>
        <w:rPr>
          <w:rFonts w:hint="eastAsia"/>
        </w:rPr>
        <w:t>系统的防雷及接地保护宜与建筑物防雷及接地系统合用，安装光伏系统后不应降低建筑物的防雷保护等级，且接地电阻不应大于</w:t>
      </w:r>
      <w:r>
        <w:rPr>
          <w:rFonts w:hint="eastAsia" w:ascii="Times New Roman"/>
        </w:rPr>
        <w:t>4Ω。</w:t>
      </w:r>
    </w:p>
    <w:p w14:paraId="2A8D3F39">
      <w:pPr>
        <w:pStyle w:val="109"/>
        <w:spacing w:before="156" w:after="156"/>
      </w:pPr>
      <w:bookmarkStart w:id="80" w:name="_Toc202796699"/>
      <w:bookmarkStart w:id="81" w:name="_Toc202797284"/>
      <w:r>
        <w:rPr>
          <w:rFonts w:hint="eastAsia"/>
        </w:rPr>
        <w:t>线缆</w:t>
      </w:r>
      <w:bookmarkEnd w:id="80"/>
      <w:bookmarkEnd w:id="81"/>
    </w:p>
    <w:p w14:paraId="36921A45">
      <w:pPr>
        <w:pStyle w:val="168"/>
        <w:ind w:left="0"/>
      </w:pPr>
      <w:r>
        <w:rPr>
          <w:rFonts w:hint="eastAsia"/>
        </w:rPr>
        <w:t>光伏电站电缆的选择与敷设应符合GB 50217的有关规定，电缆截面应进行技术经济比较后选择确定；送出线路导线截面选择应遵循以下原则：</w:t>
      </w:r>
    </w:p>
    <w:p w14:paraId="75CE43EA">
      <w:pPr>
        <w:pStyle w:val="177"/>
        <w:numPr>
          <w:ilvl w:val="0"/>
          <w:numId w:val="37"/>
        </w:numPr>
      </w:pPr>
      <w:r>
        <w:rPr>
          <w:rFonts w:hint="eastAsia"/>
        </w:rPr>
        <w:t>送出线路导线截面选择应根据所需送出的容量、并网电压等级选取，并考虑发电效率等因素，按持续极限输送容量选择；</w:t>
      </w:r>
    </w:p>
    <w:p w14:paraId="5439C830">
      <w:pPr>
        <w:pStyle w:val="177"/>
      </w:pPr>
      <w:r>
        <w:rPr>
          <w:rFonts w:hint="eastAsia"/>
        </w:rPr>
        <w:t>当接入公共电网时，应结合本地配电网规划与建设情况选择适合的导线。</w:t>
      </w:r>
    </w:p>
    <w:p w14:paraId="2096810D">
      <w:pPr>
        <w:pStyle w:val="168"/>
        <w:ind w:left="0"/>
      </w:pPr>
      <w:r>
        <w:rPr>
          <w:rFonts w:hint="eastAsia"/>
        </w:rPr>
        <w:t>电力电缆宜选用铜导体。</w:t>
      </w:r>
    </w:p>
    <w:p w14:paraId="4184707F">
      <w:pPr>
        <w:pStyle w:val="168"/>
        <w:ind w:left="0"/>
      </w:pPr>
      <w:r>
        <w:t>线缆阻燃</w:t>
      </w:r>
      <w:r>
        <w:rPr>
          <w:rFonts w:hint="eastAsia"/>
        </w:rPr>
        <w:t>等级</w:t>
      </w:r>
      <w:r>
        <w:t>应不低于 GB</w:t>
      </w:r>
      <w:r>
        <w:rPr>
          <w:rFonts w:hint="eastAsia"/>
        </w:rPr>
        <w:t xml:space="preserve"> 31247</w:t>
      </w:r>
      <w:r>
        <w:t xml:space="preserve">规定的 </w:t>
      </w:r>
      <w:r>
        <w:rPr>
          <w:rFonts w:hint="eastAsia"/>
        </w:rPr>
        <w:t>B2</w:t>
      </w:r>
      <w:r>
        <w:t>类</w:t>
      </w:r>
      <w:r>
        <w:rPr>
          <w:rFonts w:hint="eastAsia"/>
        </w:rPr>
        <w:t>阻燃等级</w:t>
      </w:r>
      <w:r>
        <w:t>要求。</w:t>
      </w:r>
    </w:p>
    <w:p w14:paraId="46972D51">
      <w:pPr>
        <w:pStyle w:val="168"/>
        <w:ind w:left="0"/>
      </w:pPr>
      <w:r>
        <w:t>通信线缆</w:t>
      </w:r>
      <w:r>
        <w:rPr>
          <w:rFonts w:hint="eastAsia"/>
        </w:rPr>
        <w:t>应</w:t>
      </w:r>
      <w:r>
        <w:t>选用具备抗干扰能力的屏蔽线缆</w:t>
      </w:r>
      <w:r>
        <w:rPr>
          <w:rFonts w:hint="eastAsia"/>
        </w:rPr>
        <w:t>。</w:t>
      </w:r>
    </w:p>
    <w:p w14:paraId="0A8C4D5F">
      <w:pPr>
        <w:pStyle w:val="168"/>
        <w:ind w:left="0"/>
      </w:pPr>
      <w:r>
        <w:t>裸露在外的连接器防护等级应不低于GB/T</w:t>
      </w:r>
      <w:r>
        <w:rPr>
          <w:rFonts w:hint="eastAsia"/>
        </w:rPr>
        <w:t xml:space="preserve"> </w:t>
      </w:r>
      <w:r>
        <w:t>4208中IP</w:t>
      </w:r>
      <w:r>
        <w:rPr>
          <w:rFonts w:hint="eastAsia"/>
        </w:rPr>
        <w:t xml:space="preserve"> </w:t>
      </w:r>
      <w:r>
        <w:t>67的</w:t>
      </w:r>
      <w:r>
        <w:rPr>
          <w:rFonts w:hint="eastAsia"/>
        </w:rPr>
        <w:t>有关</w:t>
      </w:r>
      <w:r>
        <w:t>规定</w:t>
      </w:r>
      <w:r>
        <w:rPr>
          <w:rFonts w:hint="eastAsia"/>
        </w:rPr>
        <w:t>。</w:t>
      </w:r>
    </w:p>
    <w:p w14:paraId="56DC6B3C">
      <w:pPr>
        <w:pStyle w:val="109"/>
        <w:spacing w:before="156" w:after="156"/>
      </w:pPr>
      <w:bookmarkStart w:id="82" w:name="_Toc202796700"/>
      <w:bookmarkStart w:id="83" w:name="_Toc202797285"/>
      <w:r>
        <w:rPr>
          <w:rFonts w:hint="eastAsia"/>
        </w:rPr>
        <w:t>电能质量监测</w:t>
      </w:r>
      <w:bookmarkEnd w:id="82"/>
      <w:bookmarkEnd w:id="83"/>
    </w:p>
    <w:p w14:paraId="5B706D76">
      <w:pPr>
        <w:pStyle w:val="168"/>
        <w:ind w:left="0"/>
      </w:pPr>
      <w:r>
        <w:rPr>
          <w:rFonts w:hint="eastAsia"/>
        </w:rPr>
        <w:t>通过10kV电压等级并网光伏发电系统的公共连接点应装设满足GB/T 19862要求的A级电能质量在线监测装置，电能质量监测数据应至少保存一年。</w:t>
      </w:r>
    </w:p>
    <w:p w14:paraId="419114CF">
      <w:pPr>
        <w:pStyle w:val="168"/>
        <w:ind w:left="0"/>
      </w:pPr>
      <w:r>
        <w:rPr>
          <w:rFonts w:hint="eastAsia"/>
        </w:rPr>
        <w:t>通过380V电压等级并网光伏发电系统的公共连接点宜装设满足GB/T 19862要求的电能质量在线监测装置或具备电能质量在线监测功能的设备，电能质量监测数据应至少保存一年。</w:t>
      </w:r>
    </w:p>
    <w:bookmarkEnd w:id="77"/>
    <w:p w14:paraId="2CF33AE8">
      <w:pPr>
        <w:pStyle w:val="108"/>
        <w:spacing w:before="312" w:after="312"/>
      </w:pPr>
      <w:bookmarkStart w:id="84" w:name="_Toc202796701"/>
      <w:bookmarkStart w:id="85" w:name="_Toc202797286"/>
      <w:r>
        <w:rPr>
          <w:rFonts w:hint="eastAsia"/>
        </w:rPr>
        <w:t>施工</w:t>
      </w:r>
      <w:bookmarkEnd w:id="84"/>
      <w:bookmarkEnd w:id="85"/>
    </w:p>
    <w:p w14:paraId="470D6B16">
      <w:pPr>
        <w:pStyle w:val="109"/>
        <w:spacing w:before="156" w:after="156"/>
      </w:pPr>
      <w:bookmarkStart w:id="86" w:name="_Toc129379496"/>
      <w:bookmarkStart w:id="87" w:name="_Toc202797287"/>
      <w:bookmarkStart w:id="88" w:name="_Toc202796702"/>
      <w:r>
        <w:rPr>
          <w:rFonts w:hint="eastAsia"/>
        </w:rPr>
        <w:t>一般</w:t>
      </w:r>
      <w:bookmarkEnd w:id="86"/>
      <w:r>
        <w:rPr>
          <w:rFonts w:hint="eastAsia"/>
        </w:rPr>
        <w:t>要求</w:t>
      </w:r>
      <w:bookmarkEnd w:id="87"/>
      <w:bookmarkEnd w:id="88"/>
    </w:p>
    <w:p w14:paraId="79EF95C5">
      <w:pPr>
        <w:pStyle w:val="168"/>
        <w:ind w:left="0"/>
        <w:rPr>
          <w:rFonts w:ascii="Times New Roman"/>
        </w:rPr>
      </w:pPr>
      <w:r>
        <w:rPr>
          <w:rFonts w:hint="eastAsia"/>
        </w:rPr>
        <w:t>电力设备的安装应满足GB</w:t>
      </w:r>
      <w:r>
        <w:t xml:space="preserve"> </w:t>
      </w:r>
      <w:r>
        <w:rPr>
          <w:rFonts w:hint="eastAsia"/>
        </w:rPr>
        <w:t>50148、GB</w:t>
      </w:r>
      <w:r>
        <w:t xml:space="preserve"> </w:t>
      </w:r>
      <w:r>
        <w:rPr>
          <w:rFonts w:hint="eastAsia"/>
        </w:rPr>
        <w:t>50254、GB/T</w:t>
      </w:r>
      <w:r>
        <w:t xml:space="preserve"> </w:t>
      </w:r>
      <w:r>
        <w:rPr>
          <w:rFonts w:hint="eastAsia"/>
        </w:rPr>
        <w:t>16895.6、GB/T</w:t>
      </w:r>
      <w:r>
        <w:t xml:space="preserve"> </w:t>
      </w:r>
      <w:r>
        <w:rPr>
          <w:rFonts w:hint="eastAsia"/>
        </w:rPr>
        <w:t>16895.18的有关规定。</w:t>
      </w:r>
    </w:p>
    <w:p w14:paraId="5D45E987">
      <w:pPr>
        <w:pStyle w:val="168"/>
        <w:ind w:left="0"/>
        <w:rPr>
          <w:rFonts w:ascii="Times New Roman"/>
        </w:rPr>
      </w:pPr>
      <w:r>
        <w:rPr>
          <w:rFonts w:hint="eastAsia"/>
        </w:rPr>
        <w:t>逆变器、并网柜（箱）、汇流柜（箱）的安装位置应便于调试、操作和检修，承重满足设计要求，不应安装在影响行人或者周围有腐蚀性、易燃易爆物品的位置；</w:t>
      </w:r>
      <w:r>
        <w:rPr>
          <w:rFonts w:hint="eastAsia" w:ascii="Times New Roman"/>
        </w:rPr>
        <w:t>不应受季节性水涝、易受强风侵袭影响。</w:t>
      </w:r>
    </w:p>
    <w:p w14:paraId="0F54780F">
      <w:pPr>
        <w:pStyle w:val="168"/>
        <w:ind w:left="0"/>
        <w:rPr>
          <w:rFonts w:ascii="Times New Roman"/>
        </w:rPr>
      </w:pPr>
      <w:r>
        <w:t>施工过程中破坏原有防水层需重新做防水处理且防水等级应不低于原设计标准</w:t>
      </w:r>
      <w:r>
        <w:rPr>
          <w:rFonts w:hint="eastAsia"/>
        </w:rPr>
        <w:t>。</w:t>
      </w:r>
    </w:p>
    <w:p w14:paraId="0D1743B0">
      <w:pPr>
        <w:pStyle w:val="168"/>
        <w:ind w:left="0"/>
      </w:pPr>
      <w:r>
        <w:rPr>
          <w:rFonts w:hint="eastAsia"/>
        </w:rPr>
        <w:t>电气连接作业不应在雨雪天、大雾等潮湿环境进行。</w:t>
      </w:r>
    </w:p>
    <w:p w14:paraId="059518D1">
      <w:pPr>
        <w:pStyle w:val="109"/>
        <w:spacing w:before="156" w:after="156"/>
      </w:pPr>
      <w:bookmarkStart w:id="89" w:name="_Toc202797288"/>
      <w:bookmarkStart w:id="90" w:name="_Toc202796703"/>
      <w:r>
        <w:rPr>
          <w:rFonts w:hint="eastAsia"/>
        </w:rPr>
        <w:t>光伏组件</w:t>
      </w:r>
      <w:bookmarkEnd w:id="89"/>
      <w:bookmarkEnd w:id="90"/>
    </w:p>
    <w:p w14:paraId="0DD64A37">
      <w:pPr>
        <w:pStyle w:val="168"/>
        <w:ind w:left="0"/>
        <w:rPr>
          <w:rFonts w:ascii="Times New Roman"/>
        </w:rPr>
      </w:pPr>
      <w:r>
        <w:rPr>
          <w:rFonts w:hint="eastAsia"/>
        </w:rPr>
        <w:t>光伏组件的垂直投影范围不应超出宅基地范围。</w:t>
      </w:r>
    </w:p>
    <w:p w14:paraId="029053DE">
      <w:pPr>
        <w:pStyle w:val="168"/>
        <w:ind w:left="0"/>
        <w:rPr>
          <w:rFonts w:ascii="Times New Roman"/>
        </w:rPr>
      </w:pPr>
      <w:r>
        <w:t>组件</w:t>
      </w:r>
      <w:r>
        <w:rPr>
          <w:rFonts w:ascii="Times New Roman"/>
        </w:rPr>
        <w:t>连接应牢固可靠，极性正确，不</w:t>
      </w:r>
      <w:r>
        <w:rPr>
          <w:rFonts w:hint="eastAsia" w:ascii="Times New Roman"/>
        </w:rPr>
        <w:t>应</w:t>
      </w:r>
      <w:r>
        <w:rPr>
          <w:rFonts w:ascii="Times New Roman"/>
        </w:rPr>
        <w:t>反接或错接</w:t>
      </w:r>
      <w:r>
        <w:rPr>
          <w:rFonts w:hint="eastAsia" w:ascii="Times New Roman"/>
        </w:rPr>
        <w:t>。</w:t>
      </w:r>
    </w:p>
    <w:p w14:paraId="74D7D36A">
      <w:pPr>
        <w:pStyle w:val="168"/>
        <w:ind w:left="0"/>
        <w:rPr>
          <w:rFonts w:ascii="Times New Roman"/>
        </w:rPr>
      </w:pPr>
      <w:r>
        <w:rPr>
          <w:rFonts w:hint="eastAsia" w:ascii="Times New Roman"/>
        </w:rPr>
        <w:t>光伏组件金属部件应做接地处理，光伏组件上接地螺丝应与接地线正确连接。</w:t>
      </w:r>
    </w:p>
    <w:p w14:paraId="4A14AF0E">
      <w:pPr>
        <w:pStyle w:val="168"/>
        <w:ind w:left="0"/>
        <w:rPr>
          <w:rFonts w:ascii="Times New Roman"/>
        </w:rPr>
      </w:pPr>
      <w:r>
        <w:rPr>
          <w:rFonts w:hint="eastAsia" w:ascii="Times New Roman"/>
        </w:rPr>
        <w:t>光伏组件安装时</w:t>
      </w:r>
      <w:r>
        <w:rPr>
          <w:rFonts w:hint="eastAsia"/>
        </w:rPr>
        <w:t>不应在组件边框上钻孔、扩孔安装。</w:t>
      </w:r>
    </w:p>
    <w:p w14:paraId="31976934">
      <w:pPr>
        <w:pStyle w:val="109"/>
        <w:spacing w:before="156" w:after="156"/>
      </w:pPr>
      <w:bookmarkStart w:id="91" w:name="_Toc202796704"/>
      <w:bookmarkStart w:id="92" w:name="_Toc202797289"/>
      <w:r>
        <w:rPr>
          <w:rFonts w:hint="eastAsia"/>
        </w:rPr>
        <w:t>光伏逆变器</w:t>
      </w:r>
      <w:bookmarkEnd w:id="91"/>
      <w:bookmarkEnd w:id="92"/>
    </w:p>
    <w:p w14:paraId="04D7C6A6">
      <w:pPr>
        <w:pStyle w:val="168"/>
        <w:ind w:left="0"/>
      </w:pPr>
      <w:r>
        <w:rPr>
          <w:rFonts w:hint="eastAsia"/>
        </w:rPr>
        <w:t>逆变器宜安装在清洁、通风、干燥、无直晒的地方，安装场地温度、湿度应满足逆变器的使用环境要求，且考虑防凝露措施。</w:t>
      </w:r>
    </w:p>
    <w:p w14:paraId="7AC8124D">
      <w:pPr>
        <w:pStyle w:val="168"/>
        <w:ind w:left="0"/>
      </w:pPr>
      <w:r>
        <w:rPr>
          <w:rFonts w:hint="eastAsia"/>
        </w:rPr>
        <w:t>安装光伏</w:t>
      </w:r>
      <w:r>
        <w:t>逆变器</w:t>
      </w:r>
      <w:r>
        <w:rPr>
          <w:rFonts w:hint="eastAsia"/>
        </w:rPr>
        <w:t>应</w:t>
      </w:r>
      <w:r>
        <w:t>远离</w:t>
      </w:r>
      <w:r>
        <w:rPr>
          <w:rFonts w:hint="eastAsia"/>
        </w:rPr>
        <w:t>高温发热、易燃易爆物品及腐蚀性化学物品和儿童可触摸处范围。</w:t>
      </w:r>
    </w:p>
    <w:p w14:paraId="75A804A1">
      <w:pPr>
        <w:pStyle w:val="168"/>
        <w:ind w:left="0"/>
      </w:pPr>
      <w:r>
        <w:rPr>
          <w:rFonts w:hint="eastAsia"/>
        </w:rPr>
        <w:t>宜垂直于地面安装，不可平放、横放或倒放安装，安装高度和间距需考虑后期维护需求。</w:t>
      </w:r>
    </w:p>
    <w:p w14:paraId="7EC5FD52">
      <w:pPr>
        <w:pStyle w:val="168"/>
        <w:ind w:left="0"/>
      </w:pPr>
      <w:r>
        <w:rPr>
          <w:rFonts w:hint="eastAsia"/>
        </w:rPr>
        <w:t>当逆变器上方无有效遮挡时，宜安装遮阳罩，遮阳罩材质宜采用不锈钢，板厚≥0.5mm。</w:t>
      </w:r>
    </w:p>
    <w:p w14:paraId="22E7F3EC">
      <w:pPr>
        <w:pStyle w:val="168"/>
        <w:ind w:left="0"/>
      </w:pPr>
      <w:r>
        <w:rPr>
          <w:rFonts w:hint="eastAsia"/>
        </w:rPr>
        <w:t>接线端子连接应牢固可靠，直流侧线缆极性和交流侧线缆相序应接线准确。</w:t>
      </w:r>
    </w:p>
    <w:p w14:paraId="464F7264">
      <w:pPr>
        <w:pStyle w:val="168"/>
        <w:ind w:left="0"/>
      </w:pPr>
      <w:r>
        <w:rPr>
          <w:rFonts w:hint="eastAsia"/>
        </w:rPr>
        <w:t>电缆引线完毕后，逆变器本体的预留孔洞及电缆管口应进行防火封堵。</w:t>
      </w:r>
    </w:p>
    <w:p w14:paraId="7F088F69">
      <w:pPr>
        <w:pStyle w:val="109"/>
        <w:spacing w:before="156" w:after="156"/>
      </w:pPr>
      <w:bookmarkStart w:id="93" w:name="_Toc202797290"/>
      <w:bookmarkStart w:id="94" w:name="_Toc202454780"/>
      <w:bookmarkStart w:id="95" w:name="_Toc202796705"/>
      <w:r>
        <w:rPr>
          <w:rFonts w:hint="eastAsia"/>
        </w:rPr>
        <w:t>升压变压器</w:t>
      </w:r>
      <w:bookmarkEnd w:id="93"/>
      <w:bookmarkEnd w:id="94"/>
      <w:bookmarkEnd w:id="95"/>
    </w:p>
    <w:p w14:paraId="3B7DE2EB">
      <w:pPr>
        <w:pStyle w:val="39"/>
        <w:ind w:firstLine="420"/>
      </w:pPr>
      <w:r>
        <w:rPr>
          <w:rFonts w:hint="eastAsia"/>
        </w:rPr>
        <w:t>升压变压器的安装应满足GB 50148 的有关规定。</w:t>
      </w:r>
    </w:p>
    <w:p w14:paraId="3C39D601">
      <w:pPr>
        <w:pStyle w:val="109"/>
        <w:spacing w:before="156" w:after="156"/>
      </w:pPr>
      <w:bookmarkStart w:id="96" w:name="_Toc202796706"/>
      <w:bookmarkStart w:id="97" w:name="_Toc202797291"/>
      <w:bookmarkStart w:id="98" w:name="_Toc202454781"/>
      <w:r>
        <w:rPr>
          <w:rFonts w:hint="eastAsia"/>
        </w:rPr>
        <w:t>开关站</w:t>
      </w:r>
      <w:bookmarkEnd w:id="96"/>
      <w:bookmarkEnd w:id="97"/>
      <w:bookmarkEnd w:id="98"/>
    </w:p>
    <w:p w14:paraId="76B3D394">
      <w:pPr>
        <w:pStyle w:val="39"/>
        <w:ind w:firstLine="420"/>
      </w:pPr>
      <w:r>
        <w:rPr>
          <w:rFonts w:hint="eastAsia"/>
        </w:rPr>
        <w:t>开关站内设备的安装应符合GB 50171</w:t>
      </w:r>
      <w:r>
        <w:t xml:space="preserve"> </w:t>
      </w:r>
      <w:r>
        <w:rPr>
          <w:rFonts w:hint="eastAsia"/>
        </w:rPr>
        <w:t>的有关规定。</w:t>
      </w:r>
    </w:p>
    <w:p w14:paraId="5407020C">
      <w:pPr>
        <w:pStyle w:val="109"/>
        <w:spacing w:before="156" w:after="156"/>
      </w:pPr>
      <w:bookmarkStart w:id="99" w:name="_Toc202797292"/>
      <w:bookmarkStart w:id="100" w:name="_Toc202454782"/>
      <w:bookmarkStart w:id="101" w:name="_Toc202796707"/>
      <w:r>
        <w:rPr>
          <w:rFonts w:hint="eastAsia"/>
        </w:rPr>
        <w:t>并网柜（箱）、汇流柜（箱）</w:t>
      </w:r>
      <w:bookmarkEnd w:id="99"/>
      <w:bookmarkEnd w:id="100"/>
      <w:bookmarkEnd w:id="101"/>
    </w:p>
    <w:p w14:paraId="313AFA7D">
      <w:pPr>
        <w:pStyle w:val="168"/>
        <w:ind w:left="0"/>
      </w:pPr>
      <w:r>
        <w:rPr>
          <w:rFonts w:hint="eastAsia"/>
        </w:rPr>
        <w:t>表面不应有锐利边角、棱角，户外安装时防护等级不低于</w:t>
      </w:r>
      <w:r>
        <w:t>GB/T</w:t>
      </w:r>
      <w:r>
        <w:rPr>
          <w:rFonts w:hint="eastAsia"/>
        </w:rPr>
        <w:t xml:space="preserve"> </w:t>
      </w:r>
      <w:r>
        <w:t>4208</w:t>
      </w:r>
      <w:r>
        <w:rPr>
          <w:rFonts w:ascii="Times New Roman"/>
        </w:rPr>
        <w:t>中</w:t>
      </w:r>
      <w:r>
        <w:rPr>
          <w:rFonts w:hint="eastAsia"/>
        </w:rPr>
        <w:t>IP54有关规定。对于出入线孔或其他与外界联通位置，应采用防水、防火材料进行封堵。</w:t>
      </w:r>
    </w:p>
    <w:p w14:paraId="49ED7BCE">
      <w:pPr>
        <w:pStyle w:val="168"/>
        <w:ind w:left="0"/>
      </w:pPr>
      <w:r>
        <w:rPr>
          <w:rFonts w:hint="eastAsia"/>
        </w:rPr>
        <w:t>室外落地安装时，设备基础应不低于300mm；挂墙安装时，箱底距地不应低于1.5m。</w:t>
      </w:r>
    </w:p>
    <w:p w14:paraId="4DD25317">
      <w:pPr>
        <w:pStyle w:val="109"/>
        <w:spacing w:before="156" w:after="156"/>
      </w:pPr>
      <w:bookmarkStart w:id="102" w:name="_Toc202796708"/>
      <w:bookmarkStart w:id="103" w:name="_Toc202454783"/>
      <w:bookmarkStart w:id="104" w:name="_Toc202797293"/>
      <w:r>
        <w:rPr>
          <w:rFonts w:hint="eastAsia"/>
        </w:rPr>
        <w:t>储能系统</w:t>
      </w:r>
      <w:bookmarkEnd w:id="102"/>
      <w:bookmarkEnd w:id="103"/>
      <w:bookmarkEnd w:id="104"/>
    </w:p>
    <w:p w14:paraId="358C78B8">
      <w:pPr>
        <w:pStyle w:val="168"/>
        <w:ind w:left="0"/>
      </w:pPr>
      <w:r>
        <w:rPr>
          <w:rFonts w:hint="eastAsia"/>
        </w:rPr>
        <w:t>应设置无高温、无潮湿、无振动、少灰尘、避免阳光直射且有良好通风的专用储能电池室，储能电池室应安装防爆型照明灯及防爆型照明开关。</w:t>
      </w:r>
    </w:p>
    <w:p w14:paraId="1AB71DBD">
      <w:pPr>
        <w:pStyle w:val="168"/>
        <w:ind w:left="0"/>
      </w:pPr>
      <w:bookmarkStart w:id="105" w:name="_Toc202454784"/>
      <w:r>
        <w:rPr>
          <w:rFonts w:hint="eastAsia"/>
        </w:rPr>
        <w:t>安装固定完毕后，设备与基础接触面应进行密封处理；设备与金属预埋件、接地连接处及裸露的金属表面应进行防腐蚀处理。</w:t>
      </w:r>
    </w:p>
    <w:p w14:paraId="36279CE9">
      <w:pPr>
        <w:pStyle w:val="109"/>
        <w:spacing w:before="156" w:after="156"/>
      </w:pPr>
      <w:bookmarkStart w:id="106" w:name="_Toc202797294"/>
      <w:bookmarkStart w:id="107" w:name="_Toc202796709"/>
      <w:r>
        <w:rPr>
          <w:rFonts w:hint="eastAsia"/>
        </w:rPr>
        <w:t>防雷和接地</w:t>
      </w:r>
      <w:bookmarkEnd w:id="105"/>
      <w:bookmarkEnd w:id="106"/>
      <w:bookmarkEnd w:id="107"/>
    </w:p>
    <w:p w14:paraId="5C675CA6">
      <w:pPr>
        <w:pStyle w:val="168"/>
        <w:ind w:left="0"/>
      </w:pPr>
      <w:r>
        <w:rPr>
          <w:rFonts w:hint="eastAsia"/>
        </w:rPr>
        <w:t>防雷、接地施工应符合GB 50601、GB 50169、GB 50794的有关规定。</w:t>
      </w:r>
    </w:p>
    <w:p w14:paraId="16681E43">
      <w:pPr>
        <w:pStyle w:val="168"/>
        <w:ind w:left="0"/>
        <w:rPr>
          <w:sz w:val="15"/>
          <w:szCs w:val="15"/>
        </w:rPr>
      </w:pPr>
      <w:r>
        <w:rPr>
          <w:rFonts w:hint="eastAsia"/>
        </w:rPr>
        <w:t>光伏或光储系统宜与建筑物共用接地系统；当不具备条件时，可采用独立接地系统。</w:t>
      </w:r>
    </w:p>
    <w:p w14:paraId="536AEBDA">
      <w:pPr>
        <w:pStyle w:val="168"/>
        <w:ind w:left="0"/>
        <w:rPr>
          <w:sz w:val="15"/>
          <w:szCs w:val="15"/>
        </w:rPr>
      </w:pPr>
      <w:r>
        <w:rPr>
          <w:rFonts w:hint="eastAsia"/>
        </w:rPr>
        <w:t>对光伏组件、逆变器及其他电气设备进行电气连接时，应进行保护接地连接。</w:t>
      </w:r>
    </w:p>
    <w:p w14:paraId="084AC67F">
      <w:pPr>
        <w:pStyle w:val="109"/>
        <w:spacing w:before="156" w:after="156"/>
      </w:pPr>
      <w:bookmarkStart w:id="108" w:name="_Toc202454785"/>
      <w:bookmarkStart w:id="109" w:name="_Toc202796710"/>
      <w:bookmarkStart w:id="110" w:name="_Toc202797295"/>
      <w:r>
        <w:rPr>
          <w:rFonts w:hint="eastAsia"/>
        </w:rPr>
        <w:t>线缆敷设</w:t>
      </w:r>
      <w:bookmarkEnd w:id="108"/>
      <w:bookmarkEnd w:id="109"/>
      <w:bookmarkEnd w:id="110"/>
    </w:p>
    <w:p w14:paraId="273C41C0">
      <w:pPr>
        <w:pStyle w:val="168"/>
        <w:ind w:left="0"/>
      </w:pPr>
      <w:r>
        <w:rPr>
          <w:rFonts w:hint="eastAsia"/>
        </w:rPr>
        <w:t>线缆的敷设和连接应满足GB 50217的</w:t>
      </w:r>
      <w:r>
        <w:t>相关</w:t>
      </w:r>
      <w:r>
        <w:rPr>
          <w:rFonts w:hint="eastAsia"/>
        </w:rPr>
        <w:t>规定，并符合</w:t>
      </w:r>
      <w:bookmarkStart w:id="111" w:name="OLE_LINK1"/>
      <w:bookmarkStart w:id="112" w:name="OLE_LINK2"/>
      <w:r>
        <w:rPr>
          <w:rFonts w:hint="eastAsia"/>
        </w:rPr>
        <w:t>以下</w:t>
      </w:r>
      <w:bookmarkEnd w:id="111"/>
      <w:bookmarkEnd w:id="112"/>
      <w:r>
        <w:rPr>
          <w:rFonts w:hint="eastAsia"/>
        </w:rPr>
        <w:t>要求：</w:t>
      </w:r>
    </w:p>
    <w:p w14:paraId="54356D5B">
      <w:pPr>
        <w:pStyle w:val="177"/>
        <w:numPr>
          <w:ilvl w:val="0"/>
          <w:numId w:val="38"/>
        </w:numPr>
        <w:rPr>
          <w:rFonts w:ascii="Times New Roman"/>
        </w:rPr>
      </w:pPr>
      <w:r>
        <w:rPr>
          <w:rFonts w:hint="eastAsia"/>
        </w:rPr>
        <w:t>遵循先敷设后连接的顺序；</w:t>
      </w:r>
    </w:p>
    <w:p w14:paraId="56F48E90">
      <w:pPr>
        <w:pStyle w:val="177"/>
        <w:rPr>
          <w:rFonts w:ascii="Times New Roman"/>
        </w:rPr>
      </w:pPr>
      <w:r>
        <w:rPr>
          <w:rFonts w:hint="eastAsia"/>
        </w:rPr>
        <w:t>排列整齐、固定牢固，并装设标识牌；</w:t>
      </w:r>
    </w:p>
    <w:p w14:paraId="433D2A95">
      <w:pPr>
        <w:pStyle w:val="177"/>
        <w:rPr>
          <w:rFonts w:ascii="Times New Roman"/>
        </w:rPr>
      </w:pPr>
      <w:r>
        <w:rPr>
          <w:rFonts w:hint="eastAsia"/>
        </w:rPr>
        <w:t>避开物品尖锐边缘；</w:t>
      </w:r>
    </w:p>
    <w:p w14:paraId="7A27BB4E">
      <w:pPr>
        <w:pStyle w:val="177"/>
        <w:rPr>
          <w:rFonts w:ascii="Times New Roman"/>
        </w:rPr>
      </w:pPr>
      <w:r>
        <w:rPr>
          <w:rFonts w:hint="eastAsia"/>
        </w:rPr>
        <w:t>不同回路、不同电压的线缆应敷设于不同保护管内，且管内线缆不应有接头；</w:t>
      </w:r>
    </w:p>
    <w:p w14:paraId="1D06B56F">
      <w:pPr>
        <w:pStyle w:val="177"/>
        <w:rPr>
          <w:rFonts w:ascii="Times New Roman"/>
        </w:rPr>
      </w:pPr>
      <w:r>
        <w:rPr>
          <w:rFonts w:hint="eastAsia"/>
        </w:rPr>
        <w:t>穿过建筑物墙体时采取防水、防火措施。</w:t>
      </w:r>
    </w:p>
    <w:p w14:paraId="5077EE4C">
      <w:pPr>
        <w:pStyle w:val="168"/>
        <w:ind w:left="0"/>
      </w:pPr>
      <w:r>
        <w:rPr>
          <w:rFonts w:hint="eastAsia"/>
        </w:rPr>
        <w:t>线缆的敷设和连接宜符合以下要求：</w:t>
      </w:r>
    </w:p>
    <w:p w14:paraId="1B2D488F">
      <w:pPr>
        <w:pStyle w:val="177"/>
        <w:numPr>
          <w:ilvl w:val="0"/>
          <w:numId w:val="39"/>
        </w:numPr>
      </w:pPr>
      <w:r>
        <w:rPr>
          <w:rFonts w:hint="eastAsia"/>
        </w:rPr>
        <w:t>避开高温发热物体；</w:t>
      </w:r>
    </w:p>
    <w:p w14:paraId="71909E1F">
      <w:pPr>
        <w:pStyle w:val="177"/>
      </w:pPr>
      <w:r>
        <w:rPr>
          <w:rFonts w:hint="eastAsia"/>
        </w:rPr>
        <w:t>光伏组件间连接线宜采用绝缘轧带固定在支架上；</w:t>
      </w:r>
    </w:p>
    <w:p w14:paraId="597B458E">
      <w:pPr>
        <w:pStyle w:val="177"/>
      </w:pPr>
      <w:r>
        <w:rPr>
          <w:rFonts w:hint="eastAsia"/>
        </w:rPr>
        <w:t>保护管宜采用阻燃、耐腐蚀型。</w:t>
      </w:r>
      <w:r>
        <w:t xml:space="preserve"> </w:t>
      </w:r>
    </w:p>
    <w:p w14:paraId="72AC5A88">
      <w:pPr>
        <w:pStyle w:val="168"/>
        <w:ind w:left="0"/>
        <w:rPr>
          <w:rFonts w:hAnsi="宋体"/>
          <w:bCs/>
        </w:rPr>
      </w:pPr>
      <w:r>
        <w:rPr>
          <w:rFonts w:hint="eastAsia" w:hAnsi="宋体"/>
          <w:bCs/>
        </w:rPr>
        <w:t>不同材质线缆连接时应采用转换接头连接。</w:t>
      </w:r>
    </w:p>
    <w:p w14:paraId="7DA85112">
      <w:pPr>
        <w:pStyle w:val="108"/>
        <w:spacing w:before="312" w:after="312"/>
      </w:pPr>
      <w:bookmarkStart w:id="113" w:name="_Toc202796711"/>
      <w:bookmarkStart w:id="114" w:name="_Toc202797296"/>
      <w:r>
        <w:rPr>
          <w:rFonts w:hint="eastAsia"/>
        </w:rPr>
        <w:t>电能计量</w:t>
      </w:r>
      <w:bookmarkEnd w:id="113"/>
      <w:bookmarkEnd w:id="114"/>
    </w:p>
    <w:p w14:paraId="00C646E6">
      <w:pPr>
        <w:pStyle w:val="109"/>
        <w:spacing w:before="156" w:after="156"/>
      </w:pPr>
      <w:bookmarkStart w:id="115" w:name="_Toc202797297"/>
      <w:bookmarkStart w:id="116" w:name="_Toc202796712"/>
      <w:r>
        <w:rPr>
          <w:rFonts w:hint="eastAsia"/>
        </w:rPr>
        <w:t>一般要求</w:t>
      </w:r>
      <w:bookmarkEnd w:id="115"/>
      <w:bookmarkEnd w:id="116"/>
    </w:p>
    <w:p w14:paraId="7836F2C1">
      <w:pPr>
        <w:pStyle w:val="168"/>
        <w:ind w:left="0"/>
      </w:pPr>
      <w:r>
        <w:rPr>
          <w:rFonts w:hint="eastAsia"/>
        </w:rPr>
        <w:t>电能表和互感器的</w:t>
      </w:r>
      <w:r>
        <w:t>配置</w:t>
      </w:r>
      <w:r>
        <w:rPr>
          <w:rFonts w:hint="eastAsia"/>
        </w:rPr>
        <w:t>及安装应满足DL/T 448有关规定。</w:t>
      </w:r>
    </w:p>
    <w:p w14:paraId="774EFC9F">
      <w:pPr>
        <w:pStyle w:val="168"/>
        <w:ind w:left="0"/>
      </w:pPr>
      <w:bookmarkStart w:id="117" w:name="_Toc129379480"/>
      <w:r>
        <w:rPr>
          <w:rFonts w:hint="eastAsia"/>
        </w:rPr>
        <w:t>电能计量装置安装位置应便于调试、操作和检修，不受季节性水涝、强风侵袭影响。</w:t>
      </w:r>
    </w:p>
    <w:p w14:paraId="1ED7395F">
      <w:pPr>
        <w:pStyle w:val="168"/>
        <w:ind w:left="0"/>
      </w:pPr>
      <w:r>
        <w:rPr>
          <w:rFonts w:hint="eastAsia"/>
        </w:rPr>
        <w:t>户用光伏并网工程计量点设置应满足以下要求：</w:t>
      </w:r>
    </w:p>
    <w:p w14:paraId="5D064499">
      <w:pPr>
        <w:pStyle w:val="177"/>
        <w:numPr>
          <w:ilvl w:val="0"/>
          <w:numId w:val="40"/>
        </w:numPr>
      </w:pPr>
      <w:r>
        <w:rPr>
          <w:rFonts w:hint="eastAsia"/>
        </w:rPr>
        <w:t>全额上网的户用光伏，在供用电设施产权分界处、发电量计量点设置电能计量装置；</w:t>
      </w:r>
    </w:p>
    <w:p w14:paraId="419F7692">
      <w:pPr>
        <w:pStyle w:val="177"/>
      </w:pPr>
      <w:r>
        <w:rPr>
          <w:rFonts w:hint="eastAsia"/>
        </w:rPr>
        <w:t>全部自发自用的户用光伏，在发电量计量点处设置电能计量装置；</w:t>
      </w:r>
    </w:p>
    <w:p w14:paraId="7A2835D4">
      <w:pPr>
        <w:pStyle w:val="177"/>
      </w:pPr>
      <w:r>
        <w:rPr>
          <w:rFonts w:hint="eastAsia"/>
        </w:rPr>
        <w:t>自发自用余电上网的户用光伏，在供用电设施产权分界处、发电量计量点、用户自用电处设置电能计量装置。</w:t>
      </w:r>
    </w:p>
    <w:bookmarkEnd w:id="117"/>
    <w:p w14:paraId="562B18A4">
      <w:pPr>
        <w:pStyle w:val="109"/>
        <w:spacing w:before="156" w:after="156"/>
      </w:pPr>
      <w:bookmarkStart w:id="118" w:name="_Toc202797298"/>
      <w:bookmarkStart w:id="119" w:name="_Toc202796713"/>
      <w:r>
        <w:rPr>
          <w:rFonts w:hint="eastAsia"/>
        </w:rPr>
        <w:t>计量方式</w:t>
      </w:r>
      <w:bookmarkEnd w:id="118"/>
      <w:bookmarkEnd w:id="119"/>
    </w:p>
    <w:p w14:paraId="3F288465">
      <w:pPr>
        <w:pStyle w:val="168"/>
        <w:ind w:left="0"/>
      </w:pPr>
      <w:r>
        <w:rPr>
          <w:rFonts w:hint="eastAsia"/>
        </w:rPr>
        <w:t>380/220V接入的户用光伏并网工程，应采用低供低计</w:t>
      </w:r>
      <w:r>
        <w:t>的计量方式</w:t>
      </w:r>
      <w:r>
        <w:rPr>
          <w:rFonts w:hint="eastAsia"/>
        </w:rPr>
        <w:t>；接线方式满足以下要求：</w:t>
      </w:r>
    </w:p>
    <w:p w14:paraId="02D7FE87">
      <w:pPr>
        <w:pStyle w:val="177"/>
        <w:numPr>
          <w:ilvl w:val="0"/>
          <w:numId w:val="41"/>
        </w:numPr>
      </w:pPr>
      <w:r>
        <w:rPr>
          <w:rFonts w:hint="eastAsia"/>
        </w:rPr>
        <w:t>额定容量8kW以下，宜采用单相直接接入的接线方式；</w:t>
      </w:r>
    </w:p>
    <w:p w14:paraId="745570CE">
      <w:pPr>
        <w:pStyle w:val="177"/>
      </w:pPr>
      <w:r>
        <w:rPr>
          <w:rFonts w:hint="eastAsia"/>
        </w:rPr>
        <w:t>额定容量8kW-30kW（不含），宜采用三相四线直接接入的接线方式；</w:t>
      </w:r>
    </w:p>
    <w:p w14:paraId="74C915AD">
      <w:pPr>
        <w:pStyle w:val="177"/>
      </w:pPr>
      <w:r>
        <w:rPr>
          <w:rFonts w:hint="eastAsia"/>
        </w:rPr>
        <w:t>额定容量30kW-400kW，宜采用三相四线经互感器接入的接线方式。</w:t>
      </w:r>
    </w:p>
    <w:p w14:paraId="38380E5F">
      <w:pPr>
        <w:pStyle w:val="168"/>
        <w:ind w:left="0"/>
      </w:pPr>
      <w:r>
        <w:rPr>
          <w:rFonts w:hint="eastAsia"/>
        </w:rPr>
        <w:t>10kV接入的户用光伏并网工程，宜采用高供高计的计量方式；不具备条件时，可采用</w:t>
      </w:r>
      <w:r>
        <w:t>高供低计</w:t>
      </w:r>
      <w:r>
        <w:rPr>
          <w:rFonts w:hint="eastAsia"/>
        </w:rPr>
        <w:t>的计量方式。</w:t>
      </w:r>
    </w:p>
    <w:p w14:paraId="3E20AA00">
      <w:pPr>
        <w:pStyle w:val="109"/>
        <w:spacing w:before="156" w:after="156"/>
      </w:pPr>
      <w:bookmarkStart w:id="120" w:name="_Toc202797299"/>
      <w:bookmarkStart w:id="121" w:name="_Toc202796714"/>
      <w:r>
        <w:rPr>
          <w:rFonts w:hint="eastAsia"/>
        </w:rPr>
        <w:t>计量配置</w:t>
      </w:r>
      <w:bookmarkEnd w:id="120"/>
      <w:bookmarkEnd w:id="121"/>
    </w:p>
    <w:p w14:paraId="710177A2">
      <w:pPr>
        <w:pStyle w:val="168"/>
        <w:ind w:left="0"/>
      </w:pPr>
      <w:r>
        <w:rPr>
          <w:rFonts w:hint="eastAsia"/>
        </w:rPr>
        <w:t>户用光伏系统应设置专用计量柜（箱），计量柜（箱）配置应满足电能表、电压互感器、电流互感器、采集终端、分布式电源接入单元和专用断路器等设备安装</w:t>
      </w:r>
      <w:r>
        <w:rPr>
          <w:bCs/>
        </w:rPr>
        <w:t>和</w:t>
      </w:r>
      <w:r>
        <w:rPr>
          <w:rFonts w:hint="eastAsia"/>
          <w:bCs/>
        </w:rPr>
        <w:t>检修要求</w:t>
      </w:r>
      <w:r>
        <w:rPr>
          <w:rFonts w:hint="eastAsia"/>
        </w:rPr>
        <w:t>。</w:t>
      </w:r>
    </w:p>
    <w:p w14:paraId="17A00468">
      <w:pPr>
        <w:pStyle w:val="168"/>
        <w:ind w:left="0"/>
        <w:rPr>
          <w:rFonts w:ascii="Times New Roman"/>
        </w:rPr>
      </w:pPr>
      <w:r>
        <w:rPr>
          <w:rFonts w:ascii="Times New Roman"/>
        </w:rPr>
        <w:t>电能表</w:t>
      </w:r>
      <w:r>
        <w:rPr>
          <w:rFonts w:hint="eastAsia" w:ascii="Times New Roman"/>
        </w:rPr>
        <w:t>准确度等级应满足以下要求：</w:t>
      </w:r>
    </w:p>
    <w:p w14:paraId="4720412C">
      <w:pPr>
        <w:pStyle w:val="177"/>
        <w:numPr>
          <w:ilvl w:val="0"/>
          <w:numId w:val="42"/>
        </w:numPr>
      </w:pPr>
      <w:r>
        <w:rPr>
          <w:rFonts w:hint="eastAsia"/>
        </w:rPr>
        <w:t>单相电能表准确度等级不低于2.0；</w:t>
      </w:r>
    </w:p>
    <w:p w14:paraId="1909201B">
      <w:pPr>
        <w:pStyle w:val="177"/>
      </w:pPr>
      <w:r>
        <w:rPr>
          <w:rFonts w:hint="eastAsia"/>
        </w:rPr>
        <w:t>三相四线制电能表准确度等级不低于1.0；</w:t>
      </w:r>
    </w:p>
    <w:p w14:paraId="3214214A">
      <w:pPr>
        <w:pStyle w:val="177"/>
      </w:pPr>
      <w:r>
        <w:rPr>
          <w:rFonts w:hint="eastAsia"/>
        </w:rPr>
        <w:t>三相三线制电能表准确度等级不低于0.5S</w:t>
      </w:r>
      <w:r>
        <w:t>。</w:t>
      </w:r>
    </w:p>
    <w:p w14:paraId="0811A0B3">
      <w:pPr>
        <w:pStyle w:val="168"/>
        <w:ind w:left="0"/>
      </w:pPr>
      <w:r>
        <w:rPr>
          <w:rFonts w:hint="eastAsia"/>
        </w:rPr>
        <w:t>互感器准确度等级应满足以下要求：</w:t>
      </w:r>
    </w:p>
    <w:p w14:paraId="77F681C3">
      <w:pPr>
        <w:pStyle w:val="177"/>
        <w:numPr>
          <w:ilvl w:val="0"/>
          <w:numId w:val="43"/>
        </w:numPr>
      </w:pPr>
      <w:r>
        <w:rPr>
          <w:rFonts w:hint="eastAsia"/>
        </w:rPr>
        <w:t>电流互感器准确度等级不低于 0.5S；</w:t>
      </w:r>
    </w:p>
    <w:p w14:paraId="01A04CCA">
      <w:pPr>
        <w:pStyle w:val="177"/>
      </w:pPr>
      <w:r>
        <w:rPr>
          <w:rFonts w:hint="eastAsia"/>
        </w:rPr>
        <w:t>电压互感器准确度等级不低于0.5。</w:t>
      </w:r>
    </w:p>
    <w:p w14:paraId="602444A5">
      <w:pPr>
        <w:pStyle w:val="168"/>
        <w:numPr>
          <w:ilvl w:val="3"/>
          <w:numId w:val="0"/>
        </w:numPr>
        <w:rPr>
          <w:rFonts w:ascii="Times New Roman"/>
        </w:rPr>
      </w:pPr>
    </w:p>
    <w:p w14:paraId="367417BF">
      <w:pPr>
        <w:pStyle w:val="168"/>
        <w:ind w:left="0"/>
      </w:pPr>
      <w:r>
        <w:rPr>
          <w:rFonts w:hint="eastAsia"/>
        </w:rPr>
        <w:t>电流和电压计量回路应装设专用试验接线盒。</w:t>
      </w:r>
    </w:p>
    <w:p w14:paraId="431A9783">
      <w:pPr>
        <w:pStyle w:val="168"/>
        <w:ind w:left="0"/>
      </w:pPr>
      <w:r>
        <w:rPr>
          <w:rFonts w:hint="eastAsia"/>
        </w:rPr>
        <w:t>计量柜（箱）内应设置专用断路器，具备远程/本地控制分合闸、自动合闸、过欠压保护和防孤岛保护等功能，可实现断路器开关状态实时反馈。</w:t>
      </w:r>
    </w:p>
    <w:p w14:paraId="2E80729D">
      <w:pPr>
        <w:pStyle w:val="109"/>
        <w:spacing w:before="156" w:after="156"/>
      </w:pPr>
      <w:bookmarkStart w:id="122" w:name="_Toc202797300"/>
      <w:bookmarkStart w:id="123" w:name="_Toc202796715"/>
      <w:r>
        <w:rPr>
          <w:rFonts w:hint="eastAsia"/>
        </w:rPr>
        <w:t>安装要求</w:t>
      </w:r>
      <w:bookmarkEnd w:id="122"/>
      <w:bookmarkEnd w:id="123"/>
    </w:p>
    <w:p w14:paraId="1590E8C1">
      <w:pPr>
        <w:pStyle w:val="168"/>
        <w:ind w:left="0"/>
      </w:pPr>
      <w:r>
        <w:rPr>
          <w:rFonts w:hint="eastAsia"/>
        </w:rPr>
        <w:t>电能计量装置的计量二次回路、通信控制回路、计量封印和接地装置安装应符合DL/T</w:t>
      </w:r>
      <w:r>
        <w:t xml:space="preserve"> </w:t>
      </w:r>
      <w:r>
        <w:rPr>
          <w:rFonts w:hint="eastAsia"/>
        </w:rPr>
        <w:t>825的有关规定。</w:t>
      </w:r>
    </w:p>
    <w:p w14:paraId="1B8BD49F">
      <w:pPr>
        <w:pStyle w:val="168"/>
        <w:ind w:left="0"/>
        <w:rPr>
          <w:bCs/>
        </w:rPr>
      </w:pPr>
      <w:r>
        <w:rPr>
          <w:rFonts w:hint="eastAsia"/>
          <w:bCs/>
        </w:rPr>
        <w:t>采用直接接入且最大电流为60A的电能表，</w:t>
      </w:r>
      <w:r>
        <w:rPr>
          <w:rFonts w:hint="eastAsia"/>
        </w:rPr>
        <w:t>计量</w:t>
      </w:r>
      <w:r>
        <w:rPr>
          <w:rFonts w:hint="eastAsia"/>
          <w:bCs/>
        </w:rPr>
        <w:t>导线截面不应低于25mm²；经互感器接入的电能表，电流二次回路导线截面不应低于4mm²。</w:t>
      </w:r>
    </w:p>
    <w:p w14:paraId="79DC4D02">
      <w:pPr>
        <w:pStyle w:val="109"/>
        <w:spacing w:before="156" w:after="156"/>
      </w:pPr>
      <w:bookmarkStart w:id="124" w:name="_Toc202797301"/>
      <w:bookmarkStart w:id="125" w:name="_Toc202796716"/>
      <w:r>
        <w:rPr>
          <w:rFonts w:hint="eastAsia"/>
        </w:rPr>
        <w:t>采集要求</w:t>
      </w:r>
      <w:bookmarkEnd w:id="124"/>
      <w:bookmarkEnd w:id="125"/>
    </w:p>
    <w:p w14:paraId="3AEC3CB6">
      <w:pPr>
        <w:pStyle w:val="168"/>
        <w:ind w:left="0"/>
      </w:pPr>
      <w:bookmarkStart w:id="126" w:name="_Toc131456421"/>
      <w:bookmarkStart w:id="127" w:name="_Toc131446006"/>
      <w:bookmarkStart w:id="128" w:name="_Toc131446700"/>
      <w:bookmarkStart w:id="129" w:name="_Toc131446138"/>
      <w:bookmarkStart w:id="130" w:name="_Toc131499050"/>
      <w:r>
        <w:t>采集终端配置</w:t>
      </w:r>
      <w:bookmarkEnd w:id="126"/>
      <w:bookmarkEnd w:id="127"/>
      <w:bookmarkEnd w:id="128"/>
      <w:bookmarkEnd w:id="129"/>
      <w:bookmarkEnd w:id="130"/>
      <w:r>
        <w:rPr>
          <w:rFonts w:hint="eastAsia"/>
        </w:rPr>
        <w:t>应满足通信及远程控制要求，并符合以下要求：</w:t>
      </w:r>
    </w:p>
    <w:p w14:paraId="7FD5626B">
      <w:pPr>
        <w:pStyle w:val="177"/>
        <w:numPr>
          <w:ilvl w:val="0"/>
          <w:numId w:val="44"/>
        </w:numPr>
      </w:pPr>
      <w:r>
        <w:rPr>
          <w:rFonts w:hint="eastAsia"/>
        </w:rPr>
        <w:t>380/220V接入的户用光伏并网工程，应</w:t>
      </w:r>
      <w:r>
        <w:t>在</w:t>
      </w:r>
      <w:r>
        <w:rPr>
          <w:rFonts w:hint="eastAsia"/>
        </w:rPr>
        <w:t>电网公用</w:t>
      </w:r>
      <w:r>
        <w:t>变压器低压侧</w:t>
      </w:r>
      <w:r>
        <w:rPr>
          <w:rFonts w:hint="eastAsia"/>
        </w:rPr>
        <w:t>设置采集终端；</w:t>
      </w:r>
    </w:p>
    <w:p w14:paraId="2856DA82">
      <w:pPr>
        <w:pStyle w:val="177"/>
        <w:rPr>
          <w:rFonts w:ascii="Calibri"/>
        </w:rPr>
      </w:pPr>
      <w:r>
        <w:rPr>
          <w:rFonts w:hint="eastAsia"/>
        </w:rPr>
        <w:t>10 kV接入的户用光伏并网工程，应在用户专用变压器高压侧或低压侧设置采集终端</w:t>
      </w:r>
      <w:r>
        <w:t>。</w:t>
      </w:r>
      <w:bookmarkStart w:id="131" w:name="_Toc131446139"/>
      <w:bookmarkStart w:id="132" w:name="_Toc131446701"/>
      <w:bookmarkStart w:id="133" w:name="_Toc131456422"/>
      <w:bookmarkStart w:id="134" w:name="_Toc131446007"/>
      <w:bookmarkStart w:id="135" w:name="_Toc131499051"/>
    </w:p>
    <w:bookmarkEnd w:id="131"/>
    <w:bookmarkEnd w:id="132"/>
    <w:bookmarkEnd w:id="133"/>
    <w:bookmarkEnd w:id="134"/>
    <w:bookmarkEnd w:id="135"/>
    <w:p w14:paraId="6FD7AB97">
      <w:pPr>
        <w:pStyle w:val="168"/>
        <w:ind w:left="0"/>
      </w:pPr>
      <w:r>
        <w:rPr>
          <w:rFonts w:hint="eastAsia"/>
        </w:rPr>
        <w:t>户用光伏应配置分布式电源接入单元，上行连接采集终端，下行连接专用断路器、逆变器</w:t>
      </w:r>
      <w:r>
        <w:t>。</w:t>
      </w:r>
    </w:p>
    <w:p w14:paraId="1D9241D4">
      <w:pPr>
        <w:pStyle w:val="108"/>
        <w:spacing w:before="312" w:after="312"/>
      </w:pPr>
      <w:bookmarkStart w:id="136" w:name="_Toc202796717"/>
      <w:bookmarkStart w:id="137" w:name="_Toc202797302"/>
      <w:r>
        <w:rPr>
          <w:rFonts w:hint="eastAsia"/>
        </w:rPr>
        <w:t>通信及远程控制</w:t>
      </w:r>
      <w:bookmarkEnd w:id="136"/>
      <w:bookmarkEnd w:id="137"/>
    </w:p>
    <w:p w14:paraId="1EF6B8F9">
      <w:pPr>
        <w:pStyle w:val="109"/>
        <w:spacing w:before="156" w:after="156"/>
      </w:pPr>
      <w:bookmarkStart w:id="138" w:name="_Toc202796718"/>
      <w:bookmarkStart w:id="139" w:name="_Toc202797303"/>
      <w:r>
        <w:rPr>
          <w:rFonts w:hint="eastAsia"/>
        </w:rPr>
        <w:t>通信要求</w:t>
      </w:r>
      <w:bookmarkEnd w:id="138"/>
      <w:bookmarkEnd w:id="139"/>
    </w:p>
    <w:p w14:paraId="1E83A0DE">
      <w:pPr>
        <w:pStyle w:val="168"/>
        <w:ind w:left="0"/>
      </w:pPr>
      <w:r>
        <w:rPr>
          <w:rFonts w:hint="eastAsia"/>
        </w:rPr>
        <w:t>户用光伏逆变器具备至少一路通信接口与分布式电源接入单元连接，接口</w:t>
      </w:r>
      <w:r>
        <w:rPr>
          <w:rFonts w:hint="eastAsia"/>
          <w:szCs w:val="21"/>
        </w:rPr>
        <w:t>宜</w:t>
      </w:r>
      <w:r>
        <w:rPr>
          <w:szCs w:val="21"/>
        </w:rPr>
        <w:t>采用RS-485</w:t>
      </w:r>
      <w:r>
        <w:rPr>
          <w:rFonts w:hint="eastAsia"/>
          <w:szCs w:val="21"/>
        </w:rPr>
        <w:t>通信</w:t>
      </w:r>
      <w:r>
        <w:rPr>
          <w:szCs w:val="21"/>
        </w:rPr>
        <w:t>方式</w:t>
      </w:r>
      <w:r>
        <w:rPr>
          <w:rFonts w:hint="eastAsia"/>
          <w:szCs w:val="21"/>
        </w:rPr>
        <w:t>。</w:t>
      </w:r>
    </w:p>
    <w:p w14:paraId="21E2C522">
      <w:pPr>
        <w:pStyle w:val="168"/>
        <w:ind w:left="0"/>
      </w:pPr>
      <w:r>
        <w:rPr>
          <w:rFonts w:hint="eastAsia"/>
        </w:rPr>
        <w:t>户用光伏逆变器与电网企业采集设备通信协议宜采用Modbus协议。</w:t>
      </w:r>
    </w:p>
    <w:p w14:paraId="11579F70">
      <w:pPr>
        <w:pStyle w:val="168"/>
        <w:ind w:left="0"/>
      </w:pPr>
      <w:r>
        <w:rPr>
          <w:rFonts w:hint="eastAsia"/>
        </w:rPr>
        <w:t>供电企业应采用符合信息安全防护要求的有线或无线公网通信方式，满足电力监控系统安全防护规定的相关要求，建立用电信息采集系统或配电自动化等主站与户用光伏系统的通信连接，具备信息双向交互能力。</w:t>
      </w:r>
    </w:p>
    <w:p w14:paraId="7A04FB32">
      <w:pPr>
        <w:pStyle w:val="168"/>
        <w:ind w:left="0"/>
      </w:pPr>
      <w:r>
        <w:rPr>
          <w:rFonts w:hint="eastAsia"/>
        </w:rPr>
        <w:t>户用光伏发电系统应具备上传并网逆变器电压、电流、有功功率、无功功率、电能量信息等以及状态信号的能力。</w:t>
      </w:r>
    </w:p>
    <w:p w14:paraId="24294B49">
      <w:pPr>
        <w:pStyle w:val="168"/>
        <w:ind w:left="0"/>
      </w:pPr>
      <w:r>
        <w:rPr>
          <w:rFonts w:hint="eastAsia"/>
        </w:rPr>
        <w:t>采集终端、电能表和光伏断路器相关设备的采集数据项和策略见附录</w:t>
      </w:r>
      <w:r>
        <w:t>A</w:t>
      </w:r>
      <w:r>
        <w:rPr>
          <w:rFonts w:hint="eastAsia"/>
        </w:rPr>
        <w:t>。</w:t>
      </w:r>
    </w:p>
    <w:p w14:paraId="1E364554">
      <w:pPr>
        <w:pStyle w:val="109"/>
        <w:spacing w:before="156" w:after="156"/>
      </w:pPr>
      <w:bookmarkStart w:id="140" w:name="_Toc202796719"/>
      <w:bookmarkStart w:id="141" w:name="_Toc202797304"/>
      <w:r>
        <w:rPr>
          <w:rFonts w:hint="eastAsia"/>
        </w:rPr>
        <w:t>远程控制要求</w:t>
      </w:r>
      <w:bookmarkEnd w:id="140"/>
      <w:bookmarkEnd w:id="141"/>
    </w:p>
    <w:p w14:paraId="41A3128E">
      <w:pPr>
        <w:pStyle w:val="168"/>
        <w:ind w:left="0"/>
      </w:pPr>
      <w:r>
        <w:rPr>
          <w:rFonts w:hint="eastAsia"/>
        </w:rPr>
        <w:t>户用光伏发电系统应具备执行供电企业的功率调节及启停控制指令的能力，输出功率偏差及功率变化率应满足GB/T</w:t>
      </w:r>
      <w:r>
        <w:t xml:space="preserve"> </w:t>
      </w:r>
      <w:r>
        <w:rPr>
          <w:rFonts w:hint="eastAsia"/>
        </w:rPr>
        <w:t>40289的有关规定。</w:t>
      </w:r>
    </w:p>
    <w:p w14:paraId="4294522E">
      <w:pPr>
        <w:pStyle w:val="168"/>
        <w:ind w:left="0"/>
      </w:pPr>
      <w:r>
        <w:rPr>
          <w:rFonts w:hint="eastAsia"/>
        </w:rPr>
        <w:t>户用光伏发电系统应具备无功功率与电压调节的能力，功率因数值应满足GB/T 33593的有关规定。</w:t>
      </w:r>
    </w:p>
    <w:p w14:paraId="1340C5C9">
      <w:pPr>
        <w:pStyle w:val="168"/>
        <w:ind w:left="0"/>
      </w:pPr>
      <w:r>
        <w:rPr>
          <w:rFonts w:hint="eastAsia"/>
        </w:rPr>
        <w:t>供电企业相关调控系统应具备调控过程记录和记录查询功能，包括但不限于控制指令信息、事件记录信息，记录时间不少于3年。</w:t>
      </w:r>
    </w:p>
    <w:p w14:paraId="03D6D17A">
      <w:pPr>
        <w:pStyle w:val="108"/>
        <w:spacing w:before="312" w:after="312"/>
      </w:pPr>
      <w:bookmarkStart w:id="142" w:name="_Toc202796720"/>
      <w:bookmarkStart w:id="143" w:name="_Toc202797305"/>
      <w:r>
        <w:rPr>
          <w:rFonts w:hint="eastAsia"/>
        </w:rPr>
        <w:t>调试与验收</w:t>
      </w:r>
      <w:bookmarkEnd w:id="142"/>
      <w:bookmarkEnd w:id="143"/>
    </w:p>
    <w:p w14:paraId="48EF9AC0">
      <w:pPr>
        <w:pStyle w:val="109"/>
        <w:spacing w:before="156" w:after="156"/>
      </w:pPr>
      <w:bookmarkStart w:id="144" w:name="_Toc202796721"/>
      <w:bookmarkStart w:id="145" w:name="_Toc202797306"/>
      <w:r>
        <w:rPr>
          <w:rFonts w:hint="eastAsia"/>
        </w:rPr>
        <w:t>一般要求</w:t>
      </w:r>
      <w:bookmarkEnd w:id="144"/>
      <w:bookmarkEnd w:id="145"/>
    </w:p>
    <w:p w14:paraId="7BBD58C3">
      <w:pPr>
        <w:pStyle w:val="168"/>
        <w:ind w:left="0"/>
      </w:pPr>
      <w:r>
        <w:rPr>
          <w:rFonts w:hint="eastAsia"/>
        </w:rPr>
        <w:t>户用光伏系统的调试应包括光伏组串、汇流箱、逆变器、并网柜（箱）、计量柜（箱）、二次系统、储能系统等设备调试和系统的并网调试。</w:t>
      </w:r>
    </w:p>
    <w:p w14:paraId="1CB0276E">
      <w:pPr>
        <w:pStyle w:val="168"/>
        <w:ind w:left="0"/>
      </w:pPr>
      <w:r>
        <w:rPr>
          <w:rFonts w:hint="eastAsia"/>
        </w:rPr>
        <w:t>调试前，设备接线正确无误，牢固无松动；设备及各回路电缆绝缘良好，符合接地要求；设备及线路标识清晰、准确。</w:t>
      </w:r>
    </w:p>
    <w:p w14:paraId="0B2E5028">
      <w:pPr>
        <w:pStyle w:val="168"/>
        <w:ind w:left="0"/>
      </w:pPr>
      <w:r>
        <w:rPr>
          <w:rFonts w:hint="eastAsia"/>
        </w:rPr>
        <w:t>系统的并网调试应符合GB 51338的有关规定。</w:t>
      </w:r>
    </w:p>
    <w:p w14:paraId="21CBD387">
      <w:pPr>
        <w:pStyle w:val="109"/>
        <w:spacing w:before="156" w:after="156"/>
      </w:pPr>
      <w:bookmarkStart w:id="146" w:name="_Toc202797307"/>
      <w:bookmarkStart w:id="147" w:name="_Toc202796722"/>
      <w:r>
        <w:rPr>
          <w:rFonts w:hint="eastAsia"/>
        </w:rPr>
        <w:t>调试</w:t>
      </w:r>
      <w:bookmarkEnd w:id="146"/>
      <w:bookmarkEnd w:id="147"/>
    </w:p>
    <w:p w14:paraId="6230DC2D">
      <w:pPr>
        <w:pStyle w:val="168"/>
        <w:ind w:left="0"/>
      </w:pPr>
      <w:r>
        <w:rPr>
          <w:rFonts w:hint="eastAsia"/>
        </w:rPr>
        <w:t>光伏组串调试应测试各组串直流开路电压，开路电压应在逆变器允许范围内。</w:t>
      </w:r>
    </w:p>
    <w:p w14:paraId="1C6D817F">
      <w:pPr>
        <w:pStyle w:val="168"/>
        <w:ind w:left="0"/>
      </w:pPr>
      <w:r>
        <w:rPr>
          <w:rFonts w:hint="eastAsia"/>
        </w:rPr>
        <w:t>汇流箱调试应符合GB/T 34933的有关规定，并应符合以下要求：</w:t>
      </w:r>
    </w:p>
    <w:p w14:paraId="0D8EE8AD">
      <w:pPr>
        <w:pStyle w:val="177"/>
        <w:numPr>
          <w:ilvl w:val="0"/>
          <w:numId w:val="45"/>
        </w:numPr>
      </w:pPr>
      <w:r>
        <w:rPr>
          <w:rFonts w:hint="eastAsia"/>
        </w:rPr>
        <w:t>汇流箱中输出断路器处于分断状态，熔断器熔丝未放入；</w:t>
      </w:r>
    </w:p>
    <w:p w14:paraId="021D0D0F">
      <w:pPr>
        <w:pStyle w:val="177"/>
      </w:pPr>
      <w:r>
        <w:rPr>
          <w:rFonts w:hint="eastAsia"/>
        </w:rPr>
        <w:t>汇流箱及内部浪涌保护器接地应牢固、可靠；</w:t>
      </w:r>
    </w:p>
    <w:p w14:paraId="3860B9CD">
      <w:pPr>
        <w:pStyle w:val="177"/>
      </w:pPr>
      <w:r>
        <w:rPr>
          <w:rFonts w:hint="eastAsia"/>
        </w:rPr>
        <w:t>汇流箱的投、退顺序应符合下列规定：</w:t>
      </w:r>
    </w:p>
    <w:p w14:paraId="5D043D1B">
      <w:pPr>
        <w:pStyle w:val="113"/>
        <w:numPr>
          <w:ilvl w:val="1"/>
          <w:numId w:val="46"/>
        </w:numPr>
      </w:pPr>
      <w:r>
        <w:rPr>
          <w:rFonts w:hint="eastAsia"/>
        </w:rPr>
        <w:t>汇流箱的总开关具备灭弧功能时，其投、退应按下列步骤执行：先投入光伏组件串开关或熔断器，后投入汇流箱开关；先退出汇流箱开关，后退出光伏组件串开关或熔断器；</w:t>
      </w:r>
    </w:p>
    <w:p w14:paraId="475C5090">
      <w:pPr>
        <w:pStyle w:val="113"/>
      </w:pPr>
      <w:r>
        <w:rPr>
          <w:rFonts w:hint="eastAsia"/>
        </w:rPr>
        <w:t>汇流箱总输出采用熔断器，分支回路光伏组件串的开关具备灭弧功能时，其投、退应按下列步骤执行：</w:t>
      </w:r>
    </w:p>
    <w:p w14:paraId="67FD4D81">
      <w:pPr>
        <w:pStyle w:val="190"/>
      </w:pPr>
      <w:r>
        <w:rPr>
          <w:rFonts w:hint="eastAsia"/>
        </w:rPr>
        <w:t>先投入汇流箱输出熔断器，后投入光伏组件串开关；</w:t>
      </w:r>
    </w:p>
    <w:p w14:paraId="7544D78F">
      <w:pPr>
        <w:pStyle w:val="190"/>
      </w:pPr>
      <w:r>
        <w:rPr>
          <w:rFonts w:hint="eastAsia"/>
        </w:rPr>
        <w:t>先退出箱内所有光伏组件串开关，后退出汇流箱输出熔断器。</w:t>
      </w:r>
    </w:p>
    <w:p w14:paraId="7A84FFA5">
      <w:pPr>
        <w:pStyle w:val="113"/>
      </w:pPr>
      <w:r>
        <w:rPr>
          <w:rFonts w:hint="eastAsia"/>
        </w:rPr>
        <w:t>汇流箱总输出和分支回路的光伏组件串均采用熔断器时，投、退熔断器前，均应将逆变器解列。</w:t>
      </w:r>
    </w:p>
    <w:p w14:paraId="43872086">
      <w:pPr>
        <w:pStyle w:val="168"/>
        <w:ind w:left="0"/>
      </w:pPr>
      <w:r>
        <w:rPr>
          <w:rFonts w:hint="eastAsia"/>
        </w:rPr>
        <w:t>逆变器调试应符合 GB 50794的有关规定。</w:t>
      </w:r>
    </w:p>
    <w:p w14:paraId="4776B073">
      <w:pPr>
        <w:pStyle w:val="168"/>
        <w:ind w:left="0"/>
      </w:pPr>
      <w:r>
        <w:rPr>
          <w:rFonts w:hint="eastAsia"/>
        </w:rPr>
        <w:t>配电柜调试应符合 GB 50150 、GB/T 10233的有关规定。</w:t>
      </w:r>
    </w:p>
    <w:p w14:paraId="214881C5">
      <w:pPr>
        <w:pStyle w:val="168"/>
        <w:ind w:left="0"/>
      </w:pPr>
      <w:r>
        <w:rPr>
          <w:rFonts w:hint="eastAsia"/>
        </w:rPr>
        <w:t>并网箱调试应符合以下要求：</w:t>
      </w:r>
    </w:p>
    <w:p w14:paraId="0AA018D8">
      <w:pPr>
        <w:pStyle w:val="177"/>
        <w:numPr>
          <w:ilvl w:val="0"/>
          <w:numId w:val="47"/>
        </w:numPr>
      </w:pPr>
      <w:r>
        <w:rPr>
          <w:rFonts w:hint="eastAsia"/>
        </w:rPr>
        <w:t>调试前，输入和输出线缆相序应正确连接，手动操作开关器件应能正常分合，操作机构动作灵活、无卡滞及操作力过大现象；金属机壳接地及内部元器件无漏接或虚接；</w:t>
      </w:r>
    </w:p>
    <w:p w14:paraId="2C81BE62">
      <w:pPr>
        <w:pStyle w:val="177"/>
      </w:pPr>
      <w:r>
        <w:rPr>
          <w:rFonts w:hint="eastAsia"/>
        </w:rPr>
        <w:t>调试前，电网侧开关与逆变器直流侧开关应处于断开状态；</w:t>
      </w:r>
    </w:p>
    <w:p w14:paraId="1C9C50EE">
      <w:pPr>
        <w:pStyle w:val="177"/>
      </w:pPr>
      <w:r>
        <w:rPr>
          <w:rFonts w:hint="eastAsia"/>
        </w:rPr>
        <w:t>断开交流主电路隔离开关，户用光伏发电系统应立即停止运行；交流隔离开关合闸后，户用光伏发电系统应恢复正常；</w:t>
      </w:r>
    </w:p>
    <w:p w14:paraId="42B6760B">
      <w:pPr>
        <w:pStyle w:val="177"/>
      </w:pPr>
      <w:r>
        <w:rPr>
          <w:rFonts w:hint="eastAsia"/>
        </w:rPr>
        <w:t>投切并网箱上级开关模拟电网断电及恢复，当并网箱内配置自动重合闸开关时，自动重合闸开关应能自动断开及合闸；</w:t>
      </w:r>
    </w:p>
    <w:p w14:paraId="7396FD80">
      <w:pPr>
        <w:pStyle w:val="177"/>
      </w:pPr>
      <w:r>
        <w:rPr>
          <w:rFonts w:hint="eastAsia"/>
        </w:rPr>
        <w:t>调试过程中，户用光伏发电系统有异常时，应停止运行；</w:t>
      </w:r>
    </w:p>
    <w:p w14:paraId="169BC309">
      <w:pPr>
        <w:pStyle w:val="177"/>
      </w:pPr>
      <w:r>
        <w:rPr>
          <w:rFonts w:hint="eastAsia"/>
        </w:rPr>
        <w:t>调试过程中，户用光伏发电系统运行时，严禁断开无灭弧能力的开关。</w:t>
      </w:r>
    </w:p>
    <w:p w14:paraId="3C21A735">
      <w:pPr>
        <w:pStyle w:val="168"/>
        <w:ind w:left="0"/>
      </w:pPr>
      <w:r>
        <w:rPr>
          <w:rFonts w:hint="eastAsia"/>
        </w:rPr>
        <w:t>储能系统调试应符合DL/T 724、GB/T 34120、GB/T 34133的有关规定，并应检测电化学储能电池反接保护、防雷保护、防反向放电保护。</w:t>
      </w:r>
    </w:p>
    <w:p w14:paraId="5E577B78">
      <w:pPr>
        <w:pStyle w:val="168"/>
        <w:ind w:left="0"/>
      </w:pPr>
      <w:r>
        <w:rPr>
          <w:rFonts w:hint="eastAsia"/>
        </w:rPr>
        <w:t>户用光伏系统在完成分步调试、具备电网接入条件后应进行系统联合调试，系统联合调试应符合以下要求：</w:t>
      </w:r>
    </w:p>
    <w:p w14:paraId="07AE1024">
      <w:pPr>
        <w:pStyle w:val="177"/>
        <w:numPr>
          <w:ilvl w:val="0"/>
          <w:numId w:val="48"/>
        </w:numPr>
      </w:pPr>
      <w:r>
        <w:rPr>
          <w:rFonts w:hint="eastAsia"/>
        </w:rPr>
        <w:t>合上逆变器电网侧交流空开，测量电网侧电压和频率符合逆变器并网要求；</w:t>
      </w:r>
    </w:p>
    <w:p w14:paraId="0A2088F3">
      <w:pPr>
        <w:pStyle w:val="177"/>
      </w:pPr>
      <w:r>
        <w:rPr>
          <w:rFonts w:hint="eastAsia"/>
        </w:rPr>
        <w:t>在电网电压、频率均符合并网要求的情况下，合上任意一至两路汇流箱输出直流空开，并合上相应直流配电柜空开及逆变器侧直流空开，直流电压值符合逆变器输入条件；</w:t>
      </w:r>
    </w:p>
    <w:p w14:paraId="6F02B33B">
      <w:pPr>
        <w:pStyle w:val="177"/>
      </w:pPr>
      <w:r>
        <w:rPr>
          <w:rFonts w:hint="eastAsia"/>
        </w:rPr>
        <w:t>交流、直流均符合并网运行条件，且逆变器无异常，启动逆变器并网运行开关，检测直流电流、三相输出交流电流波形符合要求，逆变器运行应正常；</w:t>
      </w:r>
    </w:p>
    <w:p w14:paraId="647E16F7">
      <w:pPr>
        <w:pStyle w:val="177"/>
      </w:pPr>
      <w:r>
        <w:rPr>
          <w:rFonts w:hint="eastAsia"/>
        </w:rPr>
        <w:t>在试运行过程中，听到异响或发现逆变器有异常，停止逆变器运行；</w:t>
      </w:r>
    </w:p>
    <w:p w14:paraId="6043FEFA">
      <w:pPr>
        <w:pStyle w:val="177"/>
      </w:pPr>
      <w:r>
        <w:rPr>
          <w:rFonts w:hint="eastAsia"/>
        </w:rPr>
        <w:t>正常运行后，检测功率限制、启停机、紧急停机等功能；</w:t>
      </w:r>
    </w:p>
    <w:p w14:paraId="2DEDA0C7">
      <w:pPr>
        <w:pStyle w:val="177"/>
      </w:pPr>
      <w:r>
        <w:rPr>
          <w:rFonts w:hint="eastAsia"/>
        </w:rPr>
        <w:t>逐步增加直流输入功率检测各功率点运行时的电能质量。</w:t>
      </w:r>
    </w:p>
    <w:p w14:paraId="5007075A">
      <w:pPr>
        <w:pStyle w:val="109"/>
        <w:spacing w:before="156" w:after="156"/>
      </w:pPr>
      <w:bookmarkStart w:id="148" w:name="_Toc202796723"/>
      <w:bookmarkStart w:id="149" w:name="_Toc202797308"/>
      <w:r>
        <w:rPr>
          <w:rFonts w:hint="eastAsia"/>
        </w:rPr>
        <w:t>验收</w:t>
      </w:r>
      <w:bookmarkEnd w:id="148"/>
      <w:bookmarkEnd w:id="149"/>
    </w:p>
    <w:p w14:paraId="462AF312">
      <w:pPr>
        <w:pStyle w:val="168"/>
        <w:ind w:left="0"/>
      </w:pPr>
      <w:r>
        <w:rPr>
          <w:rFonts w:hint="eastAsia"/>
        </w:rPr>
        <w:t>户用光伏工程应通过单位工程、工程启动、工程试运和移交生产、工程竣工验收四个阶段的检查验收，各阶段验收应符合GB/T 50796的有关规定。</w:t>
      </w:r>
    </w:p>
    <w:p w14:paraId="104A944C">
      <w:pPr>
        <w:pStyle w:val="168"/>
        <w:ind w:left="0"/>
      </w:pPr>
      <w:r>
        <w:rPr>
          <w:rFonts w:hint="eastAsia"/>
        </w:rPr>
        <w:t>户用光伏安装工程验收和并网验收，现场检查内容和要求应符合附录B中表 B.1的有关规定。</w:t>
      </w:r>
    </w:p>
    <w:p w14:paraId="5FE2EF02">
      <w:pPr>
        <w:pStyle w:val="108"/>
        <w:spacing w:before="312" w:after="312"/>
      </w:pPr>
      <w:bookmarkStart w:id="150" w:name="_Toc202797309"/>
      <w:bookmarkStart w:id="151" w:name="_Toc202796724"/>
      <w:r>
        <w:rPr>
          <w:rFonts w:hint="eastAsia"/>
        </w:rPr>
        <w:t>运行维护</w:t>
      </w:r>
      <w:bookmarkEnd w:id="150"/>
      <w:bookmarkEnd w:id="151"/>
    </w:p>
    <w:p w14:paraId="7D2EC4DE">
      <w:pPr>
        <w:pStyle w:val="165"/>
      </w:pPr>
      <w:r>
        <w:rPr>
          <w:rFonts w:hint="eastAsia"/>
        </w:rPr>
        <w:t>系统运行与维护应符合GB/T 32512、DL/T 1364、GB/T 35694、GB 16895.21、GB/T 24612.1、GB/T 24612.2和GB/T 18857的有关规定；电能质量应满足GB/T 29319的有关规定。</w:t>
      </w:r>
    </w:p>
    <w:p w14:paraId="1C7FD491">
      <w:pPr>
        <w:pStyle w:val="165"/>
      </w:pPr>
      <w:r>
        <w:rPr>
          <w:rFonts w:hint="eastAsia"/>
        </w:rPr>
        <w:t>系统运行过程中，不应退出继电保护及自动</w:t>
      </w:r>
      <w:r>
        <w:t>装置</w:t>
      </w:r>
      <w:r>
        <w:rPr>
          <w:rFonts w:hint="eastAsia"/>
        </w:rPr>
        <w:t>，不应调整逆变器整定参数。</w:t>
      </w:r>
    </w:p>
    <w:p w14:paraId="511AC900">
      <w:pPr>
        <w:pStyle w:val="165"/>
      </w:pPr>
      <w:r>
        <w:rPr>
          <w:rFonts w:hint="eastAsia"/>
        </w:rPr>
        <w:t>系统发电量异常变化时，应及时检查维护。</w:t>
      </w:r>
    </w:p>
    <w:p w14:paraId="50CD001C">
      <w:pPr>
        <w:pStyle w:val="165"/>
      </w:pPr>
      <w:r>
        <w:rPr>
          <w:rFonts w:hint="eastAsia"/>
        </w:rPr>
        <w:t>应定期对光伏发电系统进行巡检，每半年不少于一次。</w:t>
      </w:r>
    </w:p>
    <w:p w14:paraId="440FFAE9">
      <w:pPr>
        <w:pStyle w:val="165"/>
      </w:pPr>
      <w:r>
        <w:rPr>
          <w:rFonts w:hint="eastAsia" w:hAnsi="宋体"/>
          <w:bCs/>
        </w:rPr>
        <w:t>光伏组件应定期</w:t>
      </w:r>
      <w:r>
        <w:rPr>
          <w:rFonts w:hint="eastAsia"/>
        </w:rPr>
        <w:t>检查光伏方阵遮挡情况，及时</w:t>
      </w:r>
      <w:r>
        <w:rPr>
          <w:rFonts w:hint="eastAsia" w:hAnsi="宋体"/>
          <w:bCs/>
        </w:rPr>
        <w:t>清理光伏组件表面上污渍、异物。</w:t>
      </w:r>
    </w:p>
    <w:p w14:paraId="377894F2">
      <w:pPr>
        <w:pStyle w:val="165"/>
      </w:pPr>
      <w:r>
        <w:rPr>
          <w:rFonts w:hint="eastAsia"/>
        </w:rPr>
        <w:t>光伏组件出现下列异常状态时应及时维护或更换：</w:t>
      </w:r>
    </w:p>
    <w:p w14:paraId="299D77DD">
      <w:pPr>
        <w:pStyle w:val="135"/>
      </w:pPr>
      <w:r>
        <w:rPr>
          <w:rFonts w:hint="eastAsia"/>
        </w:rPr>
        <w:t>破损、腐蚀、灼焦或有明显的颜色变化；</w:t>
      </w:r>
    </w:p>
    <w:p w14:paraId="69BB0747">
      <w:pPr>
        <w:pStyle w:val="135"/>
      </w:pPr>
      <w:r>
        <w:rPr>
          <w:rFonts w:hint="eastAsia"/>
        </w:rPr>
        <w:t>封装结构内有明显的结露、进水及气泡；</w:t>
      </w:r>
    </w:p>
    <w:p w14:paraId="214B0706">
      <w:pPr>
        <w:pStyle w:val="135"/>
      </w:pPr>
      <w:r>
        <w:rPr>
          <w:rFonts w:hint="eastAsia"/>
        </w:rPr>
        <w:t>接线盒变形、开裂、烧毁。</w:t>
      </w:r>
    </w:p>
    <w:p w14:paraId="0E78BC16">
      <w:pPr>
        <w:pStyle w:val="165"/>
      </w:pPr>
      <w:r>
        <w:rPr>
          <w:rFonts w:hint="eastAsia"/>
        </w:rPr>
        <w:t>电缆破损、电气设备老化或发生故障时，应及时维护或更换。</w:t>
      </w:r>
    </w:p>
    <w:p w14:paraId="601DFBA8">
      <w:pPr>
        <w:pStyle w:val="165"/>
      </w:pPr>
      <w:r>
        <w:rPr>
          <w:rFonts w:hint="eastAsia"/>
        </w:rPr>
        <w:t>接线端子松动或接触不良时应及时维护或更换。</w:t>
      </w:r>
    </w:p>
    <w:p w14:paraId="57A4E574">
      <w:pPr>
        <w:pStyle w:val="165"/>
      </w:pPr>
      <w:r>
        <w:rPr>
          <w:rFonts w:hint="eastAsia"/>
        </w:rPr>
        <w:t>消防通道应保持畅通，消防器具应按消防要求定期检查、维护。</w:t>
      </w:r>
    </w:p>
    <w:p w14:paraId="542B51B0">
      <w:pPr>
        <w:pStyle w:val="177"/>
        <w:numPr>
          <w:ilvl w:val="0"/>
          <w:numId w:val="0"/>
        </w:numPr>
        <w:ind w:left="851"/>
        <w:rPr>
          <w:rFonts w:ascii="Times New Roman"/>
        </w:rPr>
      </w:pPr>
    </w:p>
    <w:p w14:paraId="35FB3F5D">
      <w:pPr>
        <w:pStyle w:val="168"/>
        <w:numPr>
          <w:ilvl w:val="3"/>
          <w:numId w:val="0"/>
        </w:numPr>
        <w:rPr>
          <w:rFonts w:ascii="Times New Roman"/>
        </w:rPr>
      </w:pPr>
    </w:p>
    <w:p w14:paraId="426C782C">
      <w:r>
        <w:br w:type="page"/>
      </w:r>
    </w:p>
    <w:bookmarkEnd w:id="25"/>
    <w:p w14:paraId="50174C60">
      <w:pPr>
        <w:pStyle w:val="201"/>
        <w:rPr>
          <w:vanish w:val="0"/>
        </w:rPr>
      </w:pPr>
      <w:bookmarkStart w:id="152" w:name="BookMark5"/>
    </w:p>
    <w:p w14:paraId="3D7939CC">
      <w:pPr>
        <w:pStyle w:val="202"/>
        <w:rPr>
          <w:vanish w:val="0"/>
        </w:rPr>
      </w:pPr>
    </w:p>
    <w:p w14:paraId="49724962">
      <w:pPr>
        <w:pStyle w:val="80"/>
        <w:spacing w:after="156"/>
      </w:pPr>
      <w:r>
        <w:br w:type="textWrapping"/>
      </w:r>
      <w:bookmarkStart w:id="153" w:name="_Toc202797310"/>
      <w:r>
        <w:rPr>
          <w:rFonts w:hint="eastAsia"/>
        </w:rPr>
        <w:t>（规范性）</w:t>
      </w:r>
      <w:r>
        <w:br w:type="textWrapping"/>
      </w:r>
      <w:r>
        <w:rPr>
          <w:rFonts w:hint="eastAsia"/>
        </w:rPr>
        <w:t>户用光伏系统采集数据项及策略</w:t>
      </w:r>
      <w:bookmarkEnd w:id="153"/>
    </w:p>
    <w:p w14:paraId="6A8BE2A8">
      <w:pPr>
        <w:pStyle w:val="39"/>
        <w:ind w:firstLine="420"/>
      </w:pPr>
      <w:r>
        <w:t>依据采集终端、电能表、</w:t>
      </w:r>
      <w:r>
        <w:rPr>
          <w:rFonts w:hint="eastAsia"/>
        </w:rPr>
        <w:t>专用</w:t>
      </w:r>
      <w:r>
        <w:t>断路器等相关技术规范，结合实际业务需求，对</w:t>
      </w:r>
      <w:r>
        <w:rPr>
          <w:rFonts w:hint="eastAsia"/>
        </w:rPr>
        <w:t>分布式电源接入单元</w:t>
      </w:r>
      <w:r>
        <w:t>、</w:t>
      </w:r>
      <w:r>
        <w:rPr>
          <w:rFonts w:hint="eastAsia"/>
        </w:rPr>
        <w:t>智能</w:t>
      </w:r>
      <w:r>
        <w:t>电能表、</w:t>
      </w:r>
      <w:r>
        <w:rPr>
          <w:rFonts w:hint="eastAsia"/>
        </w:rPr>
        <w:t>光伏专用</w:t>
      </w:r>
      <w:r>
        <w:t>断路器、光伏逆变器数据的采集、存储。具体数据采集项如表</w:t>
      </w:r>
      <w:r>
        <w:rPr>
          <w:rFonts w:hint="eastAsia"/>
        </w:rPr>
        <w:t>A.1</w:t>
      </w:r>
      <w:r>
        <w:t>、表</w:t>
      </w:r>
      <w:r>
        <w:rPr>
          <w:rFonts w:hint="eastAsia"/>
        </w:rPr>
        <w:t>A.2</w:t>
      </w:r>
      <w:r>
        <w:t>、表</w:t>
      </w:r>
      <w:r>
        <w:rPr>
          <w:rFonts w:hint="eastAsia"/>
        </w:rPr>
        <w:t>A.3</w:t>
      </w:r>
      <w:r>
        <w:t>、表</w:t>
      </w:r>
      <w:r>
        <w:rPr>
          <w:rFonts w:hint="eastAsia"/>
        </w:rPr>
        <w:t>A.4</w:t>
      </w:r>
      <w:r>
        <w:t>、表</w:t>
      </w:r>
      <w:r>
        <w:rPr>
          <w:rFonts w:hint="eastAsia"/>
        </w:rPr>
        <w:t>A.5</w:t>
      </w:r>
      <w:r>
        <w:t>所示。</w:t>
      </w:r>
    </w:p>
    <w:p w14:paraId="786E886C">
      <w:pPr>
        <w:pStyle w:val="81"/>
        <w:spacing w:before="156" w:after="156"/>
        <w:rPr>
          <w:snapToGrid w:val="0"/>
        </w:rPr>
      </w:pPr>
      <w:r>
        <w:rPr>
          <w:snapToGrid w:val="0"/>
        </w:rPr>
        <w:t xml:space="preserve"> 采集终端数据项</w:t>
      </w:r>
    </w:p>
    <w:tbl>
      <w:tblPr>
        <w:tblStyle w:val="28"/>
        <w:tblW w:w="478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51"/>
        <w:gridCol w:w="1197"/>
        <w:gridCol w:w="6710"/>
      </w:tblGrid>
      <w:tr w14:paraId="3CE345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683" w:type="pct"/>
            <w:tcBorders>
              <w:top w:val="single" w:color="000000" w:sz="4" w:space="0"/>
              <w:left w:val="single" w:color="000000" w:sz="4" w:space="0"/>
              <w:bottom w:val="single" w:color="000000" w:sz="4" w:space="0"/>
              <w:right w:val="single" w:color="000000" w:sz="4" w:space="0"/>
            </w:tcBorders>
            <w:vAlign w:val="center"/>
          </w:tcPr>
          <w:p w14:paraId="0C9E6ECF">
            <w:pPr>
              <w:widowControl/>
              <w:snapToGrid w:val="0"/>
              <w:jc w:val="center"/>
              <w:rPr>
                <w:rFonts w:ascii="宋体" w:hAnsi="宋体" w:cs="宋体"/>
                <w:bCs/>
                <w:kern w:val="0"/>
                <w:sz w:val="18"/>
                <w:szCs w:val="18"/>
              </w:rPr>
            </w:pPr>
            <w:r>
              <w:rPr>
                <w:rFonts w:ascii="宋体" w:hAnsi="宋体" w:cs="宋体"/>
                <w:bCs/>
                <w:kern w:val="0"/>
                <w:sz w:val="18"/>
                <w:szCs w:val="18"/>
              </w:rPr>
              <w:t>采集对象</w:t>
            </w:r>
          </w:p>
        </w:tc>
        <w:tc>
          <w:tcPr>
            <w:tcW w:w="653" w:type="pct"/>
            <w:tcBorders>
              <w:top w:val="single" w:color="000000" w:sz="4" w:space="0"/>
              <w:left w:val="single" w:color="000000" w:sz="4" w:space="0"/>
              <w:bottom w:val="single" w:color="000000" w:sz="4" w:space="0"/>
              <w:right w:val="single" w:color="000000" w:sz="4" w:space="0"/>
            </w:tcBorders>
            <w:vAlign w:val="center"/>
          </w:tcPr>
          <w:p w14:paraId="776E5374">
            <w:pPr>
              <w:widowControl/>
              <w:snapToGrid w:val="0"/>
              <w:jc w:val="center"/>
              <w:rPr>
                <w:rFonts w:ascii="宋体" w:hAnsi="宋体" w:cs="宋体"/>
                <w:bCs/>
                <w:kern w:val="0"/>
                <w:sz w:val="18"/>
                <w:szCs w:val="18"/>
              </w:rPr>
            </w:pPr>
            <w:r>
              <w:rPr>
                <w:rFonts w:ascii="宋体" w:hAnsi="宋体" w:cs="宋体"/>
                <w:bCs/>
                <w:kern w:val="0"/>
                <w:sz w:val="18"/>
                <w:szCs w:val="18"/>
              </w:rPr>
              <w:t>数据分类</w:t>
            </w:r>
          </w:p>
        </w:tc>
        <w:tc>
          <w:tcPr>
            <w:tcW w:w="3662" w:type="pct"/>
            <w:tcBorders>
              <w:top w:val="single" w:color="000000" w:sz="4" w:space="0"/>
              <w:left w:val="single" w:color="000000" w:sz="4" w:space="0"/>
              <w:bottom w:val="single" w:color="000000" w:sz="4" w:space="0"/>
              <w:right w:val="single" w:color="000000" w:sz="4" w:space="0"/>
            </w:tcBorders>
            <w:vAlign w:val="center"/>
          </w:tcPr>
          <w:p w14:paraId="72CE81FE">
            <w:pPr>
              <w:widowControl/>
              <w:snapToGrid w:val="0"/>
              <w:jc w:val="center"/>
              <w:rPr>
                <w:rFonts w:ascii="宋体" w:hAnsi="宋体" w:cs="宋体"/>
                <w:bCs/>
                <w:kern w:val="0"/>
                <w:sz w:val="18"/>
                <w:szCs w:val="18"/>
              </w:rPr>
            </w:pPr>
            <w:r>
              <w:rPr>
                <w:rFonts w:ascii="宋体" w:hAnsi="宋体" w:cs="宋体"/>
                <w:bCs/>
                <w:kern w:val="0"/>
                <w:sz w:val="18"/>
                <w:szCs w:val="18"/>
              </w:rPr>
              <w:t>数据项</w:t>
            </w:r>
          </w:p>
        </w:tc>
      </w:tr>
      <w:tr w14:paraId="0D6251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683" w:type="pct"/>
            <w:vMerge w:val="restart"/>
            <w:tcBorders>
              <w:top w:val="nil"/>
              <w:left w:val="single" w:color="000000" w:sz="4" w:space="0"/>
              <w:right w:val="single" w:color="000000" w:sz="4" w:space="0"/>
            </w:tcBorders>
            <w:vAlign w:val="center"/>
          </w:tcPr>
          <w:p w14:paraId="7B10259B">
            <w:pPr>
              <w:widowControl/>
              <w:snapToGrid w:val="0"/>
              <w:jc w:val="center"/>
              <w:rPr>
                <w:rFonts w:ascii="宋体" w:hAnsi="宋体" w:cs="宋体"/>
                <w:kern w:val="0"/>
                <w:sz w:val="18"/>
                <w:szCs w:val="18"/>
              </w:rPr>
            </w:pPr>
            <w:r>
              <w:rPr>
                <w:rFonts w:hint="eastAsia" w:ascii="宋体" w:hAnsi="宋体" w:cs="宋体"/>
                <w:kern w:val="0"/>
                <w:sz w:val="18"/>
                <w:szCs w:val="18"/>
              </w:rPr>
              <w:t>采集终端</w:t>
            </w:r>
          </w:p>
        </w:tc>
        <w:tc>
          <w:tcPr>
            <w:tcW w:w="653" w:type="pct"/>
            <w:tcBorders>
              <w:top w:val="nil"/>
              <w:left w:val="single" w:color="000000" w:sz="4" w:space="0"/>
              <w:right w:val="single" w:color="000000" w:sz="4" w:space="0"/>
            </w:tcBorders>
            <w:vAlign w:val="center"/>
          </w:tcPr>
          <w:p w14:paraId="33FF8377">
            <w:pPr>
              <w:widowControl/>
              <w:snapToGrid w:val="0"/>
              <w:jc w:val="center"/>
              <w:rPr>
                <w:rFonts w:ascii="宋体" w:hAnsi="宋体" w:cs="宋体"/>
                <w:kern w:val="0"/>
                <w:sz w:val="18"/>
                <w:szCs w:val="18"/>
              </w:rPr>
            </w:pPr>
            <w:r>
              <w:rPr>
                <w:rFonts w:ascii="宋体" w:hAnsi="宋体" w:cs="宋体"/>
                <w:kern w:val="0"/>
                <w:sz w:val="18"/>
                <w:szCs w:val="18"/>
              </w:rPr>
              <w:t>参数类</w:t>
            </w:r>
          </w:p>
        </w:tc>
        <w:tc>
          <w:tcPr>
            <w:tcW w:w="3662" w:type="pct"/>
            <w:tcBorders>
              <w:top w:val="single" w:color="000000" w:sz="4" w:space="0"/>
              <w:left w:val="single" w:color="000000" w:sz="4" w:space="0"/>
              <w:bottom w:val="single" w:color="000000" w:sz="4" w:space="0"/>
              <w:right w:val="single" w:color="000000" w:sz="4" w:space="0"/>
            </w:tcBorders>
            <w:vAlign w:val="center"/>
          </w:tcPr>
          <w:p w14:paraId="70FBC874">
            <w:pPr>
              <w:widowControl/>
              <w:snapToGrid w:val="0"/>
              <w:jc w:val="center"/>
              <w:rPr>
                <w:rFonts w:ascii="宋体" w:hAnsi="宋体" w:cs="宋体"/>
                <w:kern w:val="0"/>
                <w:sz w:val="18"/>
                <w:szCs w:val="18"/>
              </w:rPr>
            </w:pPr>
            <w:r>
              <w:rPr>
                <w:rFonts w:ascii="宋体" w:hAnsi="宋体" w:cs="宋体"/>
                <w:kern w:val="0"/>
                <w:sz w:val="18"/>
                <w:szCs w:val="18"/>
              </w:rPr>
              <w:t>分布式电源接入单元档案信息</w:t>
            </w:r>
            <w:r>
              <w:rPr>
                <w:rFonts w:hint="eastAsia" w:ascii="宋体" w:hAnsi="宋体" w:cs="宋体"/>
                <w:kern w:val="0"/>
                <w:sz w:val="18"/>
                <w:szCs w:val="18"/>
              </w:rPr>
              <w:t>、</w:t>
            </w:r>
            <w:r>
              <w:rPr>
                <w:rFonts w:ascii="宋体" w:hAnsi="宋体" w:cs="宋体"/>
                <w:kern w:val="0"/>
                <w:sz w:val="18"/>
                <w:szCs w:val="18"/>
              </w:rPr>
              <w:t>控制参数</w:t>
            </w:r>
            <w:r>
              <w:rPr>
                <w:rFonts w:hint="eastAsia" w:ascii="宋体" w:hAnsi="宋体" w:cs="宋体"/>
                <w:kern w:val="0"/>
                <w:sz w:val="18"/>
                <w:szCs w:val="18"/>
              </w:rPr>
              <w:t>、</w:t>
            </w:r>
            <w:r>
              <w:rPr>
                <w:rFonts w:ascii="宋体" w:hAnsi="宋体" w:cs="宋体"/>
                <w:kern w:val="0"/>
                <w:sz w:val="18"/>
                <w:szCs w:val="18"/>
              </w:rPr>
              <w:t>台区变压器容量</w:t>
            </w:r>
            <w:r>
              <w:rPr>
                <w:rFonts w:hint="eastAsia" w:ascii="宋体" w:hAnsi="宋体" w:cs="宋体"/>
                <w:kern w:val="0"/>
                <w:sz w:val="18"/>
                <w:szCs w:val="18"/>
              </w:rPr>
              <w:t>、</w:t>
            </w:r>
          </w:p>
        </w:tc>
      </w:tr>
      <w:tr w14:paraId="0511A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683" w:type="pct"/>
            <w:vMerge w:val="continue"/>
            <w:tcBorders>
              <w:left w:val="single" w:color="000000" w:sz="4" w:space="0"/>
              <w:right w:val="single" w:color="000000" w:sz="4" w:space="0"/>
            </w:tcBorders>
            <w:vAlign w:val="center"/>
          </w:tcPr>
          <w:p w14:paraId="43C6AA91">
            <w:pPr>
              <w:widowControl/>
              <w:snapToGrid w:val="0"/>
              <w:jc w:val="center"/>
              <w:rPr>
                <w:rFonts w:ascii="宋体" w:hAnsi="宋体" w:cs="宋体"/>
                <w:kern w:val="0"/>
                <w:sz w:val="18"/>
                <w:szCs w:val="18"/>
              </w:rPr>
            </w:pPr>
          </w:p>
        </w:tc>
        <w:tc>
          <w:tcPr>
            <w:tcW w:w="653" w:type="pct"/>
            <w:tcBorders>
              <w:top w:val="nil"/>
              <w:left w:val="single" w:color="000000" w:sz="4" w:space="0"/>
              <w:right w:val="single" w:color="000000" w:sz="4" w:space="0"/>
            </w:tcBorders>
            <w:vAlign w:val="center"/>
          </w:tcPr>
          <w:p w14:paraId="5B770DC9">
            <w:pPr>
              <w:widowControl/>
              <w:snapToGrid w:val="0"/>
              <w:jc w:val="center"/>
              <w:rPr>
                <w:rFonts w:ascii="宋体" w:hAnsi="宋体" w:cs="宋体"/>
                <w:kern w:val="0"/>
                <w:sz w:val="18"/>
                <w:szCs w:val="18"/>
              </w:rPr>
            </w:pPr>
            <w:r>
              <w:rPr>
                <w:rFonts w:ascii="宋体" w:hAnsi="宋体" w:cs="宋体"/>
                <w:kern w:val="0"/>
                <w:sz w:val="18"/>
                <w:szCs w:val="18"/>
              </w:rPr>
              <w:t>事件类</w:t>
            </w:r>
          </w:p>
        </w:tc>
        <w:tc>
          <w:tcPr>
            <w:tcW w:w="3662" w:type="pct"/>
            <w:tcBorders>
              <w:top w:val="single" w:color="000000" w:sz="4" w:space="0"/>
              <w:left w:val="single" w:color="000000" w:sz="4" w:space="0"/>
              <w:bottom w:val="single" w:color="000000" w:sz="4" w:space="0"/>
              <w:right w:val="single" w:color="000000" w:sz="4" w:space="0"/>
            </w:tcBorders>
            <w:vAlign w:val="center"/>
          </w:tcPr>
          <w:p w14:paraId="5FA37EE8">
            <w:pPr>
              <w:widowControl/>
              <w:snapToGrid w:val="0"/>
              <w:jc w:val="center"/>
              <w:rPr>
                <w:rFonts w:ascii="宋体" w:hAnsi="宋体" w:cs="宋体"/>
                <w:kern w:val="0"/>
                <w:sz w:val="18"/>
                <w:szCs w:val="18"/>
              </w:rPr>
            </w:pPr>
            <w:r>
              <w:rPr>
                <w:rFonts w:hint="eastAsia" w:ascii="宋体" w:hAnsi="宋体" w:cs="宋体"/>
                <w:kern w:val="0"/>
                <w:sz w:val="18"/>
                <w:szCs w:val="18"/>
              </w:rPr>
              <w:t>光伏越限</w:t>
            </w:r>
            <w:r>
              <w:rPr>
                <w:rFonts w:ascii="宋体" w:hAnsi="宋体" w:cs="宋体"/>
                <w:kern w:val="0"/>
                <w:sz w:val="18"/>
                <w:szCs w:val="18"/>
              </w:rPr>
              <w:t>事件</w:t>
            </w:r>
            <w:r>
              <w:rPr>
                <w:rFonts w:hint="eastAsia" w:ascii="宋体" w:hAnsi="宋体" w:cs="宋体"/>
                <w:kern w:val="0"/>
                <w:sz w:val="18"/>
                <w:szCs w:val="18"/>
              </w:rPr>
              <w:t>、</w:t>
            </w:r>
            <w:r>
              <w:rPr>
                <w:rFonts w:ascii="宋体" w:hAnsi="宋体" w:cs="宋体"/>
                <w:kern w:val="0"/>
                <w:sz w:val="18"/>
                <w:szCs w:val="18"/>
              </w:rPr>
              <w:t>反向重过载事件</w:t>
            </w:r>
            <w:r>
              <w:rPr>
                <w:rFonts w:hint="eastAsia" w:ascii="宋体" w:hAnsi="宋体" w:cs="宋体"/>
                <w:kern w:val="0"/>
                <w:sz w:val="18"/>
                <w:szCs w:val="18"/>
              </w:rPr>
              <w:t>、</w:t>
            </w:r>
            <w:r>
              <w:rPr>
                <w:rFonts w:ascii="宋体" w:hAnsi="宋体" w:cs="宋体"/>
                <w:kern w:val="0"/>
                <w:sz w:val="18"/>
                <w:szCs w:val="18"/>
              </w:rPr>
              <w:t>调控事件</w:t>
            </w:r>
            <w:r>
              <w:rPr>
                <w:rFonts w:hint="eastAsia" w:ascii="宋体" w:hAnsi="宋体" w:cs="宋体"/>
                <w:kern w:val="0"/>
                <w:sz w:val="18"/>
                <w:szCs w:val="18"/>
              </w:rPr>
              <w:t>、</w:t>
            </w:r>
            <w:r>
              <w:rPr>
                <w:rFonts w:ascii="宋体" w:hAnsi="宋体" w:cs="宋体"/>
                <w:kern w:val="0"/>
                <w:sz w:val="18"/>
                <w:szCs w:val="18"/>
              </w:rPr>
              <w:t>超容并网事件</w:t>
            </w:r>
            <w:r>
              <w:rPr>
                <w:rFonts w:hint="eastAsia" w:ascii="宋体" w:hAnsi="宋体" w:cs="宋体"/>
                <w:kern w:val="0"/>
                <w:sz w:val="18"/>
                <w:szCs w:val="18"/>
              </w:rPr>
              <w:t>、</w:t>
            </w:r>
            <w:r>
              <w:rPr>
                <w:rFonts w:ascii="宋体" w:hAnsi="宋体" w:cs="宋体"/>
                <w:kern w:val="0"/>
                <w:sz w:val="18"/>
                <w:szCs w:val="18"/>
              </w:rPr>
              <w:t>过压事件</w:t>
            </w:r>
            <w:r>
              <w:rPr>
                <w:rFonts w:hint="eastAsia" w:ascii="宋体" w:hAnsi="宋体" w:cs="宋体"/>
                <w:kern w:val="0"/>
                <w:sz w:val="18"/>
                <w:szCs w:val="18"/>
              </w:rPr>
              <w:t>、</w:t>
            </w:r>
            <w:r>
              <w:rPr>
                <w:rFonts w:ascii="宋体" w:hAnsi="宋体" w:cs="宋体"/>
                <w:kern w:val="0"/>
                <w:sz w:val="18"/>
                <w:szCs w:val="18"/>
              </w:rPr>
              <w:t>欠压事件</w:t>
            </w:r>
          </w:p>
        </w:tc>
      </w:tr>
    </w:tbl>
    <w:p w14:paraId="12CC4761">
      <w:pPr>
        <w:pStyle w:val="81"/>
        <w:spacing w:before="156" w:after="156"/>
        <w:rPr>
          <w:snapToGrid w:val="0"/>
        </w:rPr>
      </w:pPr>
      <w:r>
        <w:rPr>
          <w:snapToGrid w:val="0"/>
        </w:rPr>
        <w:t>分布式电源接入单元数据项</w:t>
      </w:r>
    </w:p>
    <w:tbl>
      <w:tblPr>
        <w:tblStyle w:val="28"/>
        <w:tblW w:w="48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64"/>
        <w:gridCol w:w="1240"/>
        <w:gridCol w:w="6733"/>
      </w:tblGrid>
      <w:tr w14:paraId="7655D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blHeader/>
          <w:jc w:val="center"/>
        </w:trPr>
        <w:tc>
          <w:tcPr>
            <w:tcW w:w="684" w:type="pct"/>
            <w:tcBorders>
              <w:top w:val="single" w:color="000000" w:sz="4" w:space="0"/>
              <w:left w:val="single" w:color="000000" w:sz="4" w:space="0"/>
              <w:bottom w:val="single" w:color="000000" w:sz="4" w:space="0"/>
              <w:right w:val="single" w:color="000000" w:sz="4" w:space="0"/>
            </w:tcBorders>
            <w:vAlign w:val="center"/>
          </w:tcPr>
          <w:p w14:paraId="37BC1486">
            <w:pPr>
              <w:widowControl/>
              <w:snapToGrid w:val="0"/>
              <w:jc w:val="center"/>
              <w:rPr>
                <w:rFonts w:ascii="宋体" w:hAnsi="宋体" w:cs="宋体"/>
                <w:bCs/>
                <w:kern w:val="0"/>
                <w:sz w:val="18"/>
                <w:szCs w:val="18"/>
              </w:rPr>
            </w:pPr>
            <w:r>
              <w:rPr>
                <w:rFonts w:ascii="宋体" w:hAnsi="宋体" w:cs="宋体"/>
                <w:bCs/>
                <w:kern w:val="0"/>
                <w:sz w:val="18"/>
                <w:szCs w:val="18"/>
              </w:rPr>
              <w:t>采集对象</w:t>
            </w:r>
          </w:p>
        </w:tc>
        <w:tc>
          <w:tcPr>
            <w:tcW w:w="671" w:type="pct"/>
            <w:tcBorders>
              <w:top w:val="single" w:color="000000" w:sz="4" w:space="0"/>
              <w:left w:val="single" w:color="000000" w:sz="4" w:space="0"/>
              <w:bottom w:val="single" w:color="000000" w:sz="4" w:space="0"/>
              <w:right w:val="single" w:color="000000" w:sz="4" w:space="0"/>
            </w:tcBorders>
            <w:vAlign w:val="center"/>
          </w:tcPr>
          <w:p w14:paraId="1DA49575">
            <w:pPr>
              <w:widowControl/>
              <w:snapToGrid w:val="0"/>
              <w:jc w:val="center"/>
              <w:rPr>
                <w:rFonts w:ascii="宋体" w:hAnsi="宋体" w:cs="宋体"/>
                <w:bCs/>
                <w:kern w:val="0"/>
                <w:sz w:val="18"/>
                <w:szCs w:val="18"/>
              </w:rPr>
            </w:pPr>
            <w:r>
              <w:rPr>
                <w:rFonts w:ascii="宋体" w:hAnsi="宋体" w:cs="宋体"/>
                <w:bCs/>
                <w:kern w:val="0"/>
                <w:sz w:val="18"/>
                <w:szCs w:val="18"/>
              </w:rPr>
              <w:t>数据分类</w:t>
            </w:r>
          </w:p>
        </w:tc>
        <w:tc>
          <w:tcPr>
            <w:tcW w:w="3644" w:type="pct"/>
            <w:tcBorders>
              <w:top w:val="single" w:color="000000" w:sz="4" w:space="0"/>
              <w:left w:val="single" w:color="000000" w:sz="4" w:space="0"/>
              <w:bottom w:val="single" w:color="000000" w:sz="4" w:space="0"/>
              <w:right w:val="single" w:color="000000" w:sz="4" w:space="0"/>
            </w:tcBorders>
            <w:vAlign w:val="center"/>
          </w:tcPr>
          <w:p w14:paraId="60D20D3E">
            <w:pPr>
              <w:widowControl/>
              <w:snapToGrid w:val="0"/>
              <w:jc w:val="center"/>
              <w:rPr>
                <w:rFonts w:ascii="宋体" w:hAnsi="宋体" w:cs="宋体"/>
                <w:bCs/>
                <w:kern w:val="0"/>
                <w:sz w:val="18"/>
                <w:szCs w:val="18"/>
              </w:rPr>
            </w:pPr>
            <w:r>
              <w:rPr>
                <w:rFonts w:ascii="宋体" w:hAnsi="宋体" w:cs="宋体"/>
                <w:bCs/>
                <w:kern w:val="0"/>
                <w:sz w:val="18"/>
                <w:szCs w:val="18"/>
              </w:rPr>
              <w:t>数据项</w:t>
            </w:r>
          </w:p>
        </w:tc>
      </w:tr>
      <w:tr w14:paraId="3E708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684" w:type="pct"/>
            <w:vMerge w:val="restart"/>
            <w:tcBorders>
              <w:top w:val="nil"/>
              <w:left w:val="single" w:color="000000" w:sz="4" w:space="0"/>
              <w:right w:val="single" w:color="000000" w:sz="4" w:space="0"/>
            </w:tcBorders>
            <w:vAlign w:val="center"/>
          </w:tcPr>
          <w:p w14:paraId="072D86C2">
            <w:pPr>
              <w:widowControl/>
              <w:snapToGrid w:val="0"/>
              <w:jc w:val="center"/>
              <w:rPr>
                <w:rFonts w:ascii="宋体" w:hAnsi="宋体" w:cs="宋体"/>
                <w:kern w:val="0"/>
                <w:sz w:val="18"/>
                <w:szCs w:val="18"/>
              </w:rPr>
            </w:pPr>
            <w:r>
              <w:rPr>
                <w:rFonts w:hint="eastAsia" w:ascii="宋体" w:hAnsi="宋体" w:cs="宋体"/>
                <w:kern w:val="0"/>
                <w:sz w:val="18"/>
                <w:szCs w:val="18"/>
              </w:rPr>
              <w:t>分布式</w:t>
            </w:r>
          </w:p>
          <w:p w14:paraId="7DB522EF">
            <w:pPr>
              <w:widowControl/>
              <w:snapToGrid w:val="0"/>
              <w:jc w:val="center"/>
              <w:rPr>
                <w:rFonts w:ascii="宋体" w:hAnsi="宋体" w:cs="宋体"/>
                <w:kern w:val="0"/>
                <w:sz w:val="18"/>
                <w:szCs w:val="18"/>
              </w:rPr>
            </w:pPr>
            <w:r>
              <w:rPr>
                <w:rFonts w:hint="eastAsia" w:ascii="宋体" w:hAnsi="宋体" w:cs="宋体"/>
                <w:kern w:val="0"/>
                <w:sz w:val="18"/>
                <w:szCs w:val="18"/>
              </w:rPr>
              <w:t>电源接入单元</w:t>
            </w:r>
          </w:p>
        </w:tc>
        <w:tc>
          <w:tcPr>
            <w:tcW w:w="671" w:type="pct"/>
            <w:tcBorders>
              <w:top w:val="nil"/>
              <w:left w:val="single" w:color="000000" w:sz="4" w:space="0"/>
              <w:bottom w:val="single" w:color="000000" w:sz="4" w:space="0"/>
              <w:right w:val="single" w:color="000000" w:sz="4" w:space="0"/>
            </w:tcBorders>
            <w:vAlign w:val="center"/>
          </w:tcPr>
          <w:p w14:paraId="4ACFC2AD">
            <w:pPr>
              <w:widowControl/>
              <w:snapToGrid w:val="0"/>
              <w:jc w:val="center"/>
              <w:rPr>
                <w:rFonts w:ascii="宋体" w:hAnsi="宋体" w:cs="宋体"/>
                <w:kern w:val="0"/>
                <w:sz w:val="18"/>
                <w:szCs w:val="18"/>
              </w:rPr>
            </w:pPr>
            <w:r>
              <w:rPr>
                <w:rFonts w:ascii="宋体" w:hAnsi="宋体" w:cs="宋体"/>
                <w:kern w:val="0"/>
                <w:sz w:val="18"/>
                <w:szCs w:val="18"/>
              </w:rPr>
              <w:t>数据类</w:t>
            </w:r>
          </w:p>
        </w:tc>
        <w:tc>
          <w:tcPr>
            <w:tcW w:w="3644" w:type="pct"/>
            <w:tcBorders>
              <w:top w:val="single" w:color="000000" w:sz="4" w:space="0"/>
              <w:left w:val="single" w:color="000000" w:sz="4" w:space="0"/>
              <w:bottom w:val="single" w:color="000000" w:sz="4" w:space="0"/>
              <w:right w:val="single" w:color="000000" w:sz="4" w:space="0"/>
            </w:tcBorders>
            <w:vAlign w:val="center"/>
          </w:tcPr>
          <w:p w14:paraId="3BEC4D93">
            <w:pPr>
              <w:widowControl/>
              <w:snapToGrid w:val="0"/>
              <w:jc w:val="center"/>
              <w:rPr>
                <w:rFonts w:ascii="宋体" w:hAnsi="宋体" w:cs="宋体"/>
                <w:kern w:val="0"/>
                <w:sz w:val="18"/>
                <w:szCs w:val="18"/>
              </w:rPr>
            </w:pPr>
            <w:r>
              <w:rPr>
                <w:rFonts w:ascii="宋体" w:hAnsi="宋体" w:cs="宋体"/>
                <w:kern w:val="0"/>
                <w:sz w:val="18"/>
                <w:szCs w:val="18"/>
              </w:rPr>
              <w:t>电压</w:t>
            </w:r>
            <w:r>
              <w:rPr>
                <w:rFonts w:hint="eastAsia" w:ascii="宋体" w:hAnsi="宋体" w:cs="宋体"/>
                <w:kern w:val="0"/>
                <w:sz w:val="18"/>
                <w:szCs w:val="18"/>
              </w:rPr>
              <w:t>、</w:t>
            </w:r>
            <w:r>
              <w:rPr>
                <w:rFonts w:ascii="宋体" w:hAnsi="宋体" w:cs="宋体"/>
                <w:kern w:val="0"/>
                <w:sz w:val="18"/>
                <w:szCs w:val="18"/>
              </w:rPr>
              <w:t>设备运行状态字1</w:t>
            </w:r>
          </w:p>
        </w:tc>
      </w:tr>
      <w:tr w14:paraId="4F51A1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12" w:hRule="atLeast"/>
          <w:jc w:val="center"/>
        </w:trPr>
        <w:tc>
          <w:tcPr>
            <w:tcW w:w="684" w:type="pct"/>
            <w:vMerge w:val="continue"/>
            <w:tcBorders>
              <w:left w:val="single" w:color="000000" w:sz="4" w:space="0"/>
              <w:right w:val="single" w:color="000000" w:sz="4" w:space="0"/>
            </w:tcBorders>
            <w:vAlign w:val="center"/>
          </w:tcPr>
          <w:p w14:paraId="43A4480D">
            <w:pPr>
              <w:widowControl/>
              <w:snapToGrid w:val="0"/>
              <w:jc w:val="center"/>
              <w:rPr>
                <w:rFonts w:ascii="宋体" w:hAnsi="宋体" w:cs="宋体"/>
                <w:kern w:val="0"/>
                <w:sz w:val="18"/>
                <w:szCs w:val="18"/>
              </w:rPr>
            </w:pPr>
          </w:p>
        </w:tc>
        <w:tc>
          <w:tcPr>
            <w:tcW w:w="671" w:type="pct"/>
            <w:tcBorders>
              <w:top w:val="nil"/>
              <w:left w:val="single" w:color="000000" w:sz="4" w:space="0"/>
              <w:bottom w:val="single" w:color="000000" w:sz="4" w:space="0"/>
              <w:right w:val="single" w:color="000000" w:sz="4" w:space="0"/>
            </w:tcBorders>
            <w:vAlign w:val="center"/>
          </w:tcPr>
          <w:p w14:paraId="1EC2356B">
            <w:pPr>
              <w:widowControl/>
              <w:snapToGrid w:val="0"/>
              <w:jc w:val="center"/>
              <w:rPr>
                <w:rFonts w:ascii="宋体" w:hAnsi="宋体" w:cs="宋体"/>
                <w:kern w:val="0"/>
                <w:sz w:val="18"/>
                <w:szCs w:val="18"/>
              </w:rPr>
            </w:pPr>
            <w:r>
              <w:rPr>
                <w:rFonts w:ascii="宋体" w:hAnsi="宋体" w:cs="宋体"/>
                <w:kern w:val="0"/>
                <w:sz w:val="18"/>
                <w:szCs w:val="18"/>
              </w:rPr>
              <w:t>参数类</w:t>
            </w:r>
          </w:p>
        </w:tc>
        <w:tc>
          <w:tcPr>
            <w:tcW w:w="3644" w:type="pct"/>
            <w:tcBorders>
              <w:top w:val="single" w:color="000000" w:sz="4" w:space="0"/>
              <w:left w:val="single" w:color="000000" w:sz="4" w:space="0"/>
              <w:bottom w:val="single" w:color="000000" w:sz="4" w:space="0"/>
              <w:right w:val="single" w:color="000000" w:sz="4" w:space="0"/>
            </w:tcBorders>
            <w:vAlign w:val="center"/>
          </w:tcPr>
          <w:p w14:paraId="27CE7E54">
            <w:pPr>
              <w:widowControl/>
              <w:snapToGrid w:val="0"/>
              <w:jc w:val="center"/>
              <w:rPr>
                <w:rFonts w:ascii="宋体" w:hAnsi="宋体" w:cs="宋体"/>
                <w:kern w:val="0"/>
                <w:sz w:val="18"/>
                <w:szCs w:val="18"/>
              </w:rPr>
            </w:pPr>
            <w:r>
              <w:rPr>
                <w:rFonts w:ascii="宋体" w:hAnsi="宋体" w:cs="宋体"/>
                <w:kern w:val="0"/>
                <w:sz w:val="18"/>
                <w:szCs w:val="18"/>
              </w:rPr>
              <w:t>时钟参数</w:t>
            </w:r>
            <w:r>
              <w:rPr>
                <w:rFonts w:hint="eastAsia" w:ascii="宋体" w:hAnsi="宋体" w:cs="宋体"/>
                <w:kern w:val="0"/>
                <w:sz w:val="18"/>
                <w:szCs w:val="18"/>
              </w:rPr>
              <w:t>、</w:t>
            </w:r>
            <w:r>
              <w:rPr>
                <w:rFonts w:ascii="宋体" w:hAnsi="宋体" w:cs="宋体"/>
                <w:kern w:val="0"/>
                <w:sz w:val="18"/>
                <w:szCs w:val="18"/>
              </w:rPr>
              <w:t>控制参数</w:t>
            </w:r>
          </w:p>
        </w:tc>
      </w:tr>
      <w:tr w14:paraId="236F2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12" w:hRule="atLeast"/>
          <w:jc w:val="center"/>
        </w:trPr>
        <w:tc>
          <w:tcPr>
            <w:tcW w:w="684" w:type="pct"/>
            <w:vMerge w:val="continue"/>
            <w:tcBorders>
              <w:left w:val="single" w:color="000000" w:sz="4" w:space="0"/>
              <w:right w:val="single" w:color="000000" w:sz="4" w:space="0"/>
            </w:tcBorders>
            <w:vAlign w:val="center"/>
          </w:tcPr>
          <w:p w14:paraId="5634AF41">
            <w:pPr>
              <w:widowControl/>
              <w:snapToGrid w:val="0"/>
              <w:jc w:val="center"/>
              <w:rPr>
                <w:rFonts w:ascii="宋体" w:hAnsi="宋体" w:cs="宋体"/>
                <w:kern w:val="0"/>
                <w:sz w:val="18"/>
                <w:szCs w:val="18"/>
              </w:rPr>
            </w:pPr>
          </w:p>
        </w:tc>
        <w:tc>
          <w:tcPr>
            <w:tcW w:w="671" w:type="pct"/>
            <w:tcBorders>
              <w:top w:val="nil"/>
              <w:left w:val="single" w:color="000000" w:sz="4" w:space="0"/>
              <w:right w:val="single" w:color="000000" w:sz="4" w:space="0"/>
            </w:tcBorders>
            <w:vAlign w:val="center"/>
          </w:tcPr>
          <w:p w14:paraId="20B37A99">
            <w:pPr>
              <w:widowControl/>
              <w:snapToGrid w:val="0"/>
              <w:jc w:val="center"/>
              <w:rPr>
                <w:rFonts w:ascii="宋体" w:hAnsi="宋体" w:cs="宋体"/>
                <w:kern w:val="0"/>
                <w:sz w:val="18"/>
                <w:szCs w:val="18"/>
              </w:rPr>
            </w:pPr>
            <w:r>
              <w:rPr>
                <w:rFonts w:ascii="宋体" w:hAnsi="宋体" w:cs="宋体"/>
                <w:kern w:val="0"/>
                <w:sz w:val="18"/>
                <w:szCs w:val="18"/>
              </w:rPr>
              <w:t>事件类</w:t>
            </w:r>
          </w:p>
        </w:tc>
        <w:tc>
          <w:tcPr>
            <w:tcW w:w="3644" w:type="pct"/>
            <w:tcBorders>
              <w:top w:val="single" w:color="000000" w:sz="4" w:space="0"/>
              <w:left w:val="single" w:color="000000" w:sz="4" w:space="0"/>
              <w:bottom w:val="single" w:color="000000" w:sz="4" w:space="0"/>
              <w:right w:val="single" w:color="000000" w:sz="4" w:space="0"/>
            </w:tcBorders>
            <w:vAlign w:val="center"/>
          </w:tcPr>
          <w:p w14:paraId="398E1060">
            <w:pPr>
              <w:widowControl/>
              <w:snapToGrid w:val="0"/>
              <w:jc w:val="center"/>
              <w:rPr>
                <w:rFonts w:ascii="宋体" w:hAnsi="宋体" w:cs="宋体"/>
                <w:kern w:val="0"/>
                <w:sz w:val="18"/>
                <w:szCs w:val="18"/>
              </w:rPr>
            </w:pPr>
            <w:r>
              <w:rPr>
                <w:rFonts w:hint="eastAsia" w:ascii="宋体" w:hAnsi="宋体" w:cs="宋体"/>
                <w:kern w:val="0"/>
                <w:sz w:val="18"/>
                <w:szCs w:val="18"/>
              </w:rPr>
              <w:t>光伏越限</w:t>
            </w:r>
            <w:r>
              <w:rPr>
                <w:rFonts w:ascii="宋体" w:hAnsi="宋体" w:cs="宋体"/>
                <w:kern w:val="0"/>
                <w:sz w:val="18"/>
                <w:szCs w:val="18"/>
              </w:rPr>
              <w:t>事件</w:t>
            </w:r>
            <w:r>
              <w:rPr>
                <w:rFonts w:hint="eastAsia" w:ascii="宋体" w:hAnsi="宋体" w:cs="宋体"/>
                <w:kern w:val="0"/>
                <w:sz w:val="18"/>
                <w:szCs w:val="18"/>
              </w:rPr>
              <w:t>、光伏逆变器开关机控制</w:t>
            </w:r>
            <w:r>
              <w:rPr>
                <w:rFonts w:ascii="宋体" w:hAnsi="宋体" w:cs="宋体"/>
                <w:kern w:val="0"/>
                <w:sz w:val="18"/>
                <w:szCs w:val="18"/>
              </w:rPr>
              <w:t>事件</w:t>
            </w:r>
            <w:r>
              <w:rPr>
                <w:rFonts w:hint="eastAsia" w:ascii="宋体" w:hAnsi="宋体" w:cs="宋体"/>
                <w:kern w:val="0"/>
                <w:sz w:val="18"/>
                <w:szCs w:val="18"/>
              </w:rPr>
              <w:t>、光伏逆变器有功功率控制事件</w:t>
            </w:r>
          </w:p>
        </w:tc>
      </w:tr>
      <w:tr w14:paraId="6DF03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12" w:hRule="atLeast"/>
          <w:jc w:val="center"/>
        </w:trPr>
        <w:tc>
          <w:tcPr>
            <w:tcW w:w="684" w:type="pct"/>
            <w:vMerge w:val="continue"/>
            <w:tcBorders>
              <w:left w:val="single" w:color="000000" w:sz="4" w:space="0"/>
              <w:right w:val="single" w:color="000000" w:sz="4" w:space="0"/>
            </w:tcBorders>
            <w:vAlign w:val="center"/>
          </w:tcPr>
          <w:p w14:paraId="2D7E166F">
            <w:pPr>
              <w:widowControl/>
              <w:snapToGrid w:val="0"/>
              <w:jc w:val="center"/>
              <w:rPr>
                <w:rFonts w:ascii="宋体" w:hAnsi="宋体" w:cs="宋体"/>
                <w:kern w:val="0"/>
                <w:sz w:val="18"/>
                <w:szCs w:val="18"/>
              </w:rPr>
            </w:pPr>
          </w:p>
        </w:tc>
        <w:tc>
          <w:tcPr>
            <w:tcW w:w="671" w:type="pct"/>
            <w:tcBorders>
              <w:top w:val="nil"/>
              <w:left w:val="single" w:color="000000" w:sz="4" w:space="0"/>
              <w:right w:val="single" w:color="000000" w:sz="4" w:space="0"/>
            </w:tcBorders>
            <w:vAlign w:val="center"/>
          </w:tcPr>
          <w:p w14:paraId="4FDC932B">
            <w:pPr>
              <w:widowControl/>
              <w:snapToGrid w:val="0"/>
              <w:jc w:val="center"/>
              <w:rPr>
                <w:rFonts w:ascii="宋体" w:hAnsi="宋体" w:cs="宋体"/>
                <w:kern w:val="0"/>
                <w:sz w:val="18"/>
                <w:szCs w:val="18"/>
              </w:rPr>
            </w:pPr>
            <w:r>
              <w:rPr>
                <w:rFonts w:ascii="宋体" w:hAnsi="宋体" w:cs="宋体"/>
                <w:kern w:val="0"/>
                <w:sz w:val="18"/>
                <w:szCs w:val="18"/>
              </w:rPr>
              <w:t>事件类</w:t>
            </w:r>
          </w:p>
        </w:tc>
        <w:tc>
          <w:tcPr>
            <w:tcW w:w="3644" w:type="pct"/>
            <w:tcBorders>
              <w:top w:val="single" w:color="000000" w:sz="4" w:space="0"/>
              <w:left w:val="single" w:color="000000" w:sz="4" w:space="0"/>
              <w:bottom w:val="single" w:color="000000" w:sz="4" w:space="0"/>
              <w:right w:val="single" w:color="000000" w:sz="4" w:space="0"/>
            </w:tcBorders>
            <w:vAlign w:val="center"/>
          </w:tcPr>
          <w:p w14:paraId="39C3089E">
            <w:pPr>
              <w:widowControl/>
              <w:snapToGrid w:val="0"/>
              <w:jc w:val="center"/>
              <w:rPr>
                <w:rFonts w:ascii="宋体" w:hAnsi="宋体" w:cs="宋体"/>
                <w:kern w:val="0"/>
                <w:sz w:val="18"/>
                <w:szCs w:val="18"/>
              </w:rPr>
            </w:pPr>
            <w:r>
              <w:rPr>
                <w:rFonts w:hint="eastAsia" w:ascii="宋体" w:hAnsi="宋体" w:cs="宋体"/>
                <w:kern w:val="0"/>
                <w:sz w:val="18"/>
                <w:szCs w:val="18"/>
              </w:rPr>
              <w:t>光伏逆变器无功功率控制</w:t>
            </w:r>
            <w:r>
              <w:rPr>
                <w:rFonts w:ascii="宋体" w:hAnsi="宋体" w:cs="宋体"/>
                <w:kern w:val="0"/>
                <w:sz w:val="18"/>
                <w:szCs w:val="18"/>
              </w:rPr>
              <w:t>事件</w:t>
            </w:r>
            <w:r>
              <w:rPr>
                <w:rFonts w:hint="eastAsia" w:ascii="宋体" w:hAnsi="宋体" w:cs="宋体"/>
                <w:kern w:val="0"/>
                <w:sz w:val="18"/>
                <w:szCs w:val="18"/>
              </w:rPr>
              <w:t>、光伏逆变器功率因数控制事件、</w:t>
            </w:r>
            <w:r>
              <w:rPr>
                <w:rFonts w:ascii="宋体" w:hAnsi="宋体" w:cs="宋体"/>
                <w:kern w:val="0"/>
                <w:sz w:val="18"/>
                <w:szCs w:val="18"/>
              </w:rPr>
              <w:t>光伏逆变器通信异常事件</w:t>
            </w:r>
            <w:r>
              <w:rPr>
                <w:rFonts w:hint="eastAsia" w:ascii="宋体" w:hAnsi="宋体" w:cs="宋体"/>
                <w:kern w:val="0"/>
                <w:sz w:val="18"/>
                <w:szCs w:val="18"/>
              </w:rPr>
              <w:t>、本地</w:t>
            </w:r>
            <w:r>
              <w:rPr>
                <w:rFonts w:ascii="宋体" w:hAnsi="宋体" w:cs="宋体"/>
                <w:kern w:val="0"/>
                <w:sz w:val="18"/>
                <w:szCs w:val="18"/>
              </w:rPr>
              <w:t>调控事件</w:t>
            </w:r>
            <w:r>
              <w:rPr>
                <w:rFonts w:hint="eastAsia" w:ascii="宋体" w:hAnsi="宋体" w:cs="宋体"/>
                <w:kern w:val="0"/>
                <w:sz w:val="18"/>
                <w:szCs w:val="18"/>
              </w:rPr>
              <w:t>、参数变更事件、升级事件、校时事件</w:t>
            </w:r>
          </w:p>
        </w:tc>
      </w:tr>
    </w:tbl>
    <w:p w14:paraId="60D82D66">
      <w:pPr>
        <w:pStyle w:val="81"/>
        <w:spacing w:before="156" w:after="156"/>
        <w:rPr>
          <w:snapToGrid w:val="0"/>
        </w:rPr>
      </w:pPr>
      <w:r>
        <w:rPr>
          <w:rFonts w:hint="eastAsia"/>
          <w:snapToGrid w:val="0"/>
        </w:rPr>
        <w:t>智能</w:t>
      </w:r>
      <w:r>
        <w:rPr>
          <w:snapToGrid w:val="0"/>
        </w:rPr>
        <w:t>电能表采集数据项</w:t>
      </w:r>
    </w:p>
    <w:tbl>
      <w:tblPr>
        <w:tblStyle w:val="28"/>
        <w:tblW w:w="483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05"/>
        <w:gridCol w:w="1208"/>
        <w:gridCol w:w="6743"/>
      </w:tblGrid>
      <w:tr w14:paraId="3B541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blHeader/>
          <w:jc w:val="center"/>
        </w:trPr>
        <w:tc>
          <w:tcPr>
            <w:tcW w:w="705" w:type="pct"/>
            <w:tcBorders>
              <w:top w:val="single" w:color="000000" w:sz="4" w:space="0"/>
              <w:left w:val="single" w:color="000000" w:sz="4" w:space="0"/>
              <w:bottom w:val="single" w:color="000000" w:sz="4" w:space="0"/>
              <w:right w:val="single" w:color="000000" w:sz="4" w:space="0"/>
            </w:tcBorders>
            <w:vAlign w:val="center"/>
          </w:tcPr>
          <w:p w14:paraId="4D054BCA">
            <w:pPr>
              <w:widowControl/>
              <w:snapToGrid w:val="0"/>
              <w:jc w:val="center"/>
              <w:rPr>
                <w:rFonts w:ascii="宋体" w:hAnsi="宋体" w:cs="宋体"/>
                <w:bCs/>
                <w:kern w:val="0"/>
                <w:sz w:val="18"/>
                <w:szCs w:val="18"/>
              </w:rPr>
            </w:pPr>
            <w:r>
              <w:rPr>
                <w:rFonts w:ascii="宋体" w:hAnsi="宋体" w:cs="宋体"/>
                <w:bCs/>
                <w:kern w:val="0"/>
                <w:sz w:val="18"/>
                <w:szCs w:val="18"/>
              </w:rPr>
              <w:t>采集对象</w:t>
            </w:r>
          </w:p>
        </w:tc>
        <w:tc>
          <w:tcPr>
            <w:tcW w:w="652" w:type="pct"/>
            <w:tcBorders>
              <w:top w:val="single" w:color="000000" w:sz="4" w:space="0"/>
              <w:left w:val="single" w:color="000000" w:sz="4" w:space="0"/>
              <w:bottom w:val="single" w:color="000000" w:sz="4" w:space="0"/>
              <w:right w:val="single" w:color="000000" w:sz="4" w:space="0"/>
            </w:tcBorders>
            <w:vAlign w:val="center"/>
          </w:tcPr>
          <w:p w14:paraId="3D5AF16A">
            <w:pPr>
              <w:widowControl/>
              <w:snapToGrid w:val="0"/>
              <w:jc w:val="center"/>
              <w:rPr>
                <w:rFonts w:ascii="宋体" w:hAnsi="宋体" w:cs="宋体"/>
                <w:bCs/>
                <w:kern w:val="0"/>
                <w:sz w:val="18"/>
                <w:szCs w:val="18"/>
              </w:rPr>
            </w:pPr>
            <w:r>
              <w:rPr>
                <w:rFonts w:ascii="宋体" w:hAnsi="宋体" w:cs="宋体"/>
                <w:bCs/>
                <w:kern w:val="0"/>
                <w:sz w:val="18"/>
                <w:szCs w:val="18"/>
              </w:rPr>
              <w:t>数据分类</w:t>
            </w:r>
          </w:p>
        </w:tc>
        <w:tc>
          <w:tcPr>
            <w:tcW w:w="3641" w:type="pct"/>
            <w:tcBorders>
              <w:top w:val="single" w:color="000000" w:sz="4" w:space="0"/>
              <w:left w:val="single" w:color="000000" w:sz="4" w:space="0"/>
              <w:bottom w:val="single" w:color="000000" w:sz="4" w:space="0"/>
              <w:right w:val="single" w:color="000000" w:sz="4" w:space="0"/>
            </w:tcBorders>
            <w:vAlign w:val="center"/>
          </w:tcPr>
          <w:p w14:paraId="06DBC862">
            <w:pPr>
              <w:widowControl/>
              <w:snapToGrid w:val="0"/>
              <w:jc w:val="center"/>
              <w:rPr>
                <w:rFonts w:ascii="宋体" w:hAnsi="宋体" w:cs="宋体"/>
                <w:bCs/>
                <w:kern w:val="0"/>
                <w:sz w:val="18"/>
                <w:szCs w:val="18"/>
              </w:rPr>
            </w:pPr>
            <w:r>
              <w:rPr>
                <w:rFonts w:ascii="宋体" w:hAnsi="宋体" w:cs="宋体"/>
                <w:bCs/>
                <w:kern w:val="0"/>
                <w:sz w:val="18"/>
                <w:szCs w:val="18"/>
              </w:rPr>
              <w:t>数据项</w:t>
            </w:r>
          </w:p>
        </w:tc>
      </w:tr>
      <w:tr w14:paraId="2E4E4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05" w:type="pct"/>
            <w:vMerge w:val="restart"/>
            <w:tcBorders>
              <w:left w:val="single" w:color="000000" w:sz="4" w:space="0"/>
              <w:right w:val="single" w:color="000000" w:sz="4" w:space="0"/>
            </w:tcBorders>
            <w:vAlign w:val="center"/>
          </w:tcPr>
          <w:p w14:paraId="23A4D3CE">
            <w:pPr>
              <w:widowControl/>
              <w:snapToGrid w:val="0"/>
              <w:jc w:val="center"/>
              <w:rPr>
                <w:rFonts w:ascii="宋体" w:hAnsi="宋体" w:cs="宋体"/>
                <w:kern w:val="0"/>
                <w:sz w:val="18"/>
                <w:szCs w:val="18"/>
              </w:rPr>
            </w:pPr>
            <w:r>
              <w:rPr>
                <w:rFonts w:hint="eastAsia" w:ascii="宋体" w:hAnsi="宋体" w:cs="宋体"/>
                <w:kern w:val="0"/>
                <w:sz w:val="18"/>
                <w:szCs w:val="18"/>
              </w:rPr>
              <w:t>电能表</w:t>
            </w:r>
          </w:p>
        </w:tc>
        <w:tc>
          <w:tcPr>
            <w:tcW w:w="652" w:type="pct"/>
            <w:tcBorders>
              <w:left w:val="single" w:color="000000" w:sz="4" w:space="0"/>
              <w:bottom w:val="single" w:color="000000" w:sz="4" w:space="0"/>
              <w:right w:val="single" w:color="000000" w:sz="4" w:space="0"/>
            </w:tcBorders>
            <w:vAlign w:val="center"/>
          </w:tcPr>
          <w:p w14:paraId="59FC849F">
            <w:pPr>
              <w:widowControl/>
              <w:snapToGrid w:val="0"/>
              <w:jc w:val="center"/>
              <w:rPr>
                <w:rFonts w:ascii="宋体" w:hAnsi="宋体" w:cs="宋体"/>
                <w:kern w:val="0"/>
                <w:sz w:val="18"/>
                <w:szCs w:val="18"/>
              </w:rPr>
            </w:pPr>
            <w:r>
              <w:rPr>
                <w:rFonts w:ascii="宋体" w:hAnsi="宋体" w:cs="宋体"/>
                <w:kern w:val="0"/>
                <w:sz w:val="18"/>
                <w:szCs w:val="18"/>
              </w:rPr>
              <w:t>变量类</w:t>
            </w:r>
          </w:p>
        </w:tc>
        <w:tc>
          <w:tcPr>
            <w:tcW w:w="3641" w:type="pct"/>
            <w:tcBorders>
              <w:top w:val="single" w:color="000000" w:sz="4" w:space="0"/>
              <w:left w:val="single" w:color="000000" w:sz="4" w:space="0"/>
              <w:bottom w:val="single" w:color="000000" w:sz="4" w:space="0"/>
              <w:right w:val="single" w:color="000000" w:sz="4" w:space="0"/>
            </w:tcBorders>
            <w:vAlign w:val="center"/>
          </w:tcPr>
          <w:p w14:paraId="2288EAE3">
            <w:pPr>
              <w:widowControl/>
              <w:snapToGrid w:val="0"/>
              <w:jc w:val="center"/>
              <w:rPr>
                <w:rFonts w:ascii="宋体" w:hAnsi="宋体" w:cs="宋体"/>
                <w:kern w:val="0"/>
                <w:sz w:val="18"/>
                <w:szCs w:val="18"/>
              </w:rPr>
            </w:pPr>
            <w:r>
              <w:rPr>
                <w:rFonts w:ascii="宋体" w:hAnsi="宋体" w:cs="宋体"/>
                <w:kern w:val="0"/>
                <w:sz w:val="18"/>
                <w:szCs w:val="18"/>
              </w:rPr>
              <w:t>电能表运行状态字3</w:t>
            </w:r>
          </w:p>
        </w:tc>
      </w:tr>
      <w:tr w14:paraId="5BE85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05" w:type="pct"/>
            <w:vMerge w:val="continue"/>
            <w:tcBorders>
              <w:left w:val="single" w:color="000000" w:sz="4" w:space="0"/>
              <w:right w:val="single" w:color="000000" w:sz="4" w:space="0"/>
            </w:tcBorders>
            <w:vAlign w:val="center"/>
          </w:tcPr>
          <w:p w14:paraId="08757201">
            <w:pPr>
              <w:widowControl/>
              <w:snapToGrid w:val="0"/>
              <w:jc w:val="center"/>
              <w:rPr>
                <w:rFonts w:ascii="宋体" w:hAnsi="宋体" w:cs="宋体"/>
                <w:kern w:val="0"/>
                <w:sz w:val="18"/>
                <w:szCs w:val="18"/>
              </w:rPr>
            </w:pPr>
          </w:p>
        </w:tc>
        <w:tc>
          <w:tcPr>
            <w:tcW w:w="652" w:type="pct"/>
            <w:tcBorders>
              <w:top w:val="nil"/>
              <w:left w:val="single" w:color="000000" w:sz="4" w:space="0"/>
              <w:bottom w:val="single" w:color="000000" w:sz="4" w:space="0"/>
              <w:right w:val="single" w:color="000000" w:sz="4" w:space="0"/>
            </w:tcBorders>
            <w:vAlign w:val="center"/>
          </w:tcPr>
          <w:p w14:paraId="3B16590F">
            <w:pPr>
              <w:widowControl/>
              <w:snapToGrid w:val="0"/>
              <w:jc w:val="center"/>
              <w:rPr>
                <w:rFonts w:ascii="宋体" w:hAnsi="宋体" w:cs="宋体"/>
                <w:kern w:val="0"/>
                <w:sz w:val="18"/>
                <w:szCs w:val="18"/>
              </w:rPr>
            </w:pPr>
            <w:r>
              <w:rPr>
                <w:rFonts w:ascii="宋体" w:hAnsi="宋体" w:cs="宋体"/>
                <w:kern w:val="0"/>
                <w:sz w:val="18"/>
                <w:szCs w:val="18"/>
              </w:rPr>
              <w:t>数据类</w:t>
            </w:r>
          </w:p>
        </w:tc>
        <w:tc>
          <w:tcPr>
            <w:tcW w:w="3641" w:type="pct"/>
            <w:tcBorders>
              <w:top w:val="single" w:color="000000" w:sz="4" w:space="0"/>
              <w:left w:val="single" w:color="000000" w:sz="4" w:space="0"/>
              <w:bottom w:val="single" w:color="000000" w:sz="4" w:space="0"/>
              <w:right w:val="single" w:color="000000" w:sz="4" w:space="0"/>
            </w:tcBorders>
            <w:vAlign w:val="center"/>
          </w:tcPr>
          <w:p w14:paraId="040C37EA">
            <w:pPr>
              <w:widowControl/>
              <w:snapToGrid w:val="0"/>
              <w:jc w:val="center"/>
              <w:rPr>
                <w:rFonts w:ascii="宋体" w:hAnsi="宋体" w:cs="宋体"/>
                <w:kern w:val="0"/>
                <w:sz w:val="18"/>
                <w:szCs w:val="18"/>
              </w:rPr>
            </w:pPr>
            <w:r>
              <w:rPr>
                <w:rFonts w:ascii="宋体" w:hAnsi="宋体" w:cs="宋体"/>
                <w:kern w:val="0"/>
                <w:sz w:val="18"/>
                <w:szCs w:val="18"/>
              </w:rPr>
              <w:t>正</w:t>
            </w:r>
            <w:r>
              <w:rPr>
                <w:rFonts w:hint="eastAsia" w:ascii="宋体" w:hAnsi="宋体" w:cs="宋体"/>
                <w:kern w:val="0"/>
                <w:sz w:val="18"/>
                <w:szCs w:val="18"/>
              </w:rPr>
              <w:t>反</w:t>
            </w:r>
            <w:r>
              <w:rPr>
                <w:rFonts w:ascii="宋体" w:hAnsi="宋体" w:cs="宋体"/>
                <w:kern w:val="0"/>
                <w:sz w:val="18"/>
                <w:szCs w:val="18"/>
              </w:rPr>
              <w:t>向有功总电能</w:t>
            </w:r>
            <w:r>
              <w:rPr>
                <w:rFonts w:hint="eastAsia" w:ascii="宋体" w:hAnsi="宋体" w:cs="宋体"/>
                <w:kern w:val="0"/>
                <w:sz w:val="18"/>
                <w:szCs w:val="18"/>
              </w:rPr>
              <w:t>、</w:t>
            </w:r>
            <w:r>
              <w:rPr>
                <w:rFonts w:ascii="宋体" w:hAnsi="宋体" w:cs="宋体"/>
                <w:kern w:val="0"/>
                <w:sz w:val="18"/>
                <w:szCs w:val="18"/>
              </w:rPr>
              <w:t>电压</w:t>
            </w:r>
            <w:r>
              <w:rPr>
                <w:rFonts w:hint="eastAsia" w:ascii="宋体" w:hAnsi="宋体" w:cs="宋体"/>
                <w:kern w:val="0"/>
                <w:sz w:val="18"/>
                <w:szCs w:val="18"/>
              </w:rPr>
              <w:t>、</w:t>
            </w:r>
            <w:r>
              <w:rPr>
                <w:rFonts w:ascii="宋体" w:hAnsi="宋体" w:cs="宋体"/>
                <w:kern w:val="0"/>
                <w:sz w:val="18"/>
                <w:szCs w:val="18"/>
              </w:rPr>
              <w:t>电流</w:t>
            </w:r>
            <w:r>
              <w:rPr>
                <w:rFonts w:hint="eastAsia" w:ascii="宋体" w:hAnsi="宋体" w:cs="宋体"/>
                <w:kern w:val="0"/>
                <w:sz w:val="18"/>
                <w:szCs w:val="18"/>
              </w:rPr>
              <w:t>、</w:t>
            </w:r>
            <w:r>
              <w:rPr>
                <w:rFonts w:ascii="宋体" w:hAnsi="宋体" w:cs="宋体"/>
                <w:kern w:val="0"/>
                <w:sz w:val="18"/>
                <w:szCs w:val="18"/>
              </w:rPr>
              <w:t>有功功率</w:t>
            </w:r>
            <w:r>
              <w:rPr>
                <w:rFonts w:hint="eastAsia" w:ascii="宋体" w:hAnsi="宋体" w:cs="宋体"/>
                <w:kern w:val="0"/>
                <w:sz w:val="18"/>
                <w:szCs w:val="18"/>
              </w:rPr>
              <w:t>、</w:t>
            </w:r>
            <w:r>
              <w:rPr>
                <w:rFonts w:ascii="宋体" w:hAnsi="宋体" w:cs="宋体"/>
                <w:kern w:val="0"/>
                <w:sz w:val="18"/>
                <w:szCs w:val="18"/>
              </w:rPr>
              <w:t>无功功率</w:t>
            </w:r>
            <w:r>
              <w:rPr>
                <w:rFonts w:hint="eastAsia" w:ascii="宋体" w:hAnsi="宋体" w:cs="宋体"/>
                <w:kern w:val="0"/>
                <w:sz w:val="18"/>
                <w:szCs w:val="18"/>
              </w:rPr>
              <w:t>、</w:t>
            </w:r>
            <w:r>
              <w:rPr>
                <w:rFonts w:ascii="宋体" w:hAnsi="宋体" w:cs="宋体"/>
                <w:kern w:val="0"/>
                <w:sz w:val="18"/>
                <w:szCs w:val="18"/>
              </w:rPr>
              <w:t>电网频率</w:t>
            </w:r>
            <w:r>
              <w:rPr>
                <w:rFonts w:hint="eastAsia" w:ascii="宋体" w:hAnsi="宋体" w:cs="宋体"/>
                <w:kern w:val="0"/>
                <w:sz w:val="18"/>
                <w:szCs w:val="18"/>
              </w:rPr>
              <w:t>、</w:t>
            </w:r>
            <w:r>
              <w:rPr>
                <w:rFonts w:ascii="宋体" w:hAnsi="宋体" w:cs="宋体"/>
                <w:kern w:val="0"/>
                <w:sz w:val="18"/>
                <w:szCs w:val="18"/>
              </w:rPr>
              <w:t>功率因数</w:t>
            </w:r>
            <w:r>
              <w:rPr>
                <w:rFonts w:hint="eastAsia" w:ascii="宋体" w:hAnsi="宋体" w:cs="宋体"/>
                <w:kern w:val="0"/>
                <w:sz w:val="18"/>
                <w:szCs w:val="18"/>
              </w:rPr>
              <w:t>、</w:t>
            </w:r>
            <w:r>
              <w:rPr>
                <w:rFonts w:ascii="宋体" w:hAnsi="宋体" w:cs="宋体"/>
                <w:kern w:val="0"/>
                <w:sz w:val="18"/>
                <w:szCs w:val="18"/>
              </w:rPr>
              <w:t>电压波形失真度</w:t>
            </w:r>
            <w:r>
              <w:rPr>
                <w:rFonts w:hint="eastAsia" w:ascii="宋体" w:hAnsi="宋体" w:cs="宋体"/>
                <w:kern w:val="0"/>
                <w:sz w:val="18"/>
                <w:szCs w:val="18"/>
              </w:rPr>
              <w:t>、</w:t>
            </w:r>
            <w:r>
              <w:rPr>
                <w:rFonts w:ascii="宋体" w:hAnsi="宋体" w:cs="宋体"/>
                <w:kern w:val="0"/>
                <w:sz w:val="18"/>
                <w:szCs w:val="18"/>
              </w:rPr>
              <w:t>电流波形失真度</w:t>
            </w:r>
            <w:r>
              <w:rPr>
                <w:rFonts w:hint="eastAsia" w:ascii="宋体" w:hAnsi="宋体" w:cs="宋体"/>
                <w:kern w:val="0"/>
                <w:sz w:val="18"/>
                <w:szCs w:val="18"/>
              </w:rPr>
              <w:t>、</w:t>
            </w:r>
            <w:r>
              <w:rPr>
                <w:rFonts w:ascii="宋体" w:hAnsi="宋体" w:cs="宋体"/>
                <w:kern w:val="0"/>
                <w:sz w:val="18"/>
                <w:szCs w:val="18"/>
              </w:rPr>
              <w:t>三相电压</w:t>
            </w:r>
            <w:r>
              <w:rPr>
                <w:rFonts w:hint="eastAsia" w:ascii="宋体" w:hAnsi="宋体" w:cs="宋体"/>
                <w:kern w:val="0"/>
                <w:sz w:val="18"/>
                <w:szCs w:val="18"/>
              </w:rPr>
              <w:t>/电流</w:t>
            </w:r>
            <w:r>
              <w:rPr>
                <w:rFonts w:ascii="宋体" w:hAnsi="宋体" w:cs="宋体"/>
                <w:kern w:val="0"/>
                <w:sz w:val="18"/>
                <w:szCs w:val="18"/>
              </w:rPr>
              <w:t>不平衡度</w:t>
            </w:r>
            <w:r>
              <w:rPr>
                <w:rFonts w:hint="eastAsia" w:ascii="宋体" w:hAnsi="宋体" w:cs="宋体"/>
                <w:kern w:val="0"/>
                <w:sz w:val="18"/>
                <w:szCs w:val="18"/>
              </w:rPr>
              <w:t>（三相电能表）</w:t>
            </w:r>
          </w:p>
        </w:tc>
      </w:tr>
      <w:tr w14:paraId="0A595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05" w:type="pct"/>
            <w:vMerge w:val="continue"/>
            <w:tcBorders>
              <w:left w:val="single" w:color="000000" w:sz="4" w:space="0"/>
              <w:right w:val="single" w:color="000000" w:sz="4" w:space="0"/>
            </w:tcBorders>
            <w:vAlign w:val="center"/>
          </w:tcPr>
          <w:p w14:paraId="54C714DE">
            <w:pPr>
              <w:widowControl/>
              <w:snapToGrid w:val="0"/>
              <w:jc w:val="center"/>
              <w:rPr>
                <w:rFonts w:ascii="宋体" w:hAnsi="宋体" w:cs="宋体"/>
                <w:kern w:val="0"/>
                <w:sz w:val="18"/>
                <w:szCs w:val="18"/>
              </w:rPr>
            </w:pPr>
          </w:p>
        </w:tc>
        <w:tc>
          <w:tcPr>
            <w:tcW w:w="652" w:type="pct"/>
            <w:tcBorders>
              <w:top w:val="nil"/>
              <w:left w:val="single" w:color="000000" w:sz="4" w:space="0"/>
              <w:bottom w:val="single" w:color="000000" w:sz="4" w:space="0"/>
              <w:right w:val="single" w:color="000000" w:sz="4" w:space="0"/>
            </w:tcBorders>
            <w:vAlign w:val="center"/>
          </w:tcPr>
          <w:p w14:paraId="33177AD4">
            <w:pPr>
              <w:widowControl/>
              <w:snapToGrid w:val="0"/>
              <w:jc w:val="center"/>
              <w:rPr>
                <w:rFonts w:ascii="宋体" w:hAnsi="宋体" w:cs="宋体"/>
                <w:kern w:val="0"/>
                <w:sz w:val="18"/>
                <w:szCs w:val="18"/>
              </w:rPr>
            </w:pPr>
            <w:r>
              <w:rPr>
                <w:rFonts w:ascii="宋体" w:hAnsi="宋体" w:cs="宋体"/>
                <w:kern w:val="0"/>
                <w:sz w:val="18"/>
                <w:szCs w:val="18"/>
              </w:rPr>
              <w:t>事件类</w:t>
            </w:r>
          </w:p>
        </w:tc>
        <w:tc>
          <w:tcPr>
            <w:tcW w:w="3641" w:type="pct"/>
            <w:tcBorders>
              <w:top w:val="single" w:color="000000" w:sz="4" w:space="0"/>
              <w:left w:val="single" w:color="000000" w:sz="4" w:space="0"/>
              <w:bottom w:val="single" w:color="000000" w:sz="4" w:space="0"/>
              <w:right w:val="single" w:color="000000" w:sz="4" w:space="0"/>
            </w:tcBorders>
            <w:vAlign w:val="center"/>
          </w:tcPr>
          <w:p w14:paraId="0ED04E90">
            <w:pPr>
              <w:widowControl/>
              <w:snapToGrid w:val="0"/>
              <w:jc w:val="center"/>
              <w:rPr>
                <w:rFonts w:ascii="宋体" w:hAnsi="宋体" w:cs="宋体"/>
                <w:kern w:val="0"/>
                <w:sz w:val="18"/>
                <w:szCs w:val="18"/>
              </w:rPr>
            </w:pPr>
            <w:r>
              <w:rPr>
                <w:rFonts w:ascii="宋体" w:hAnsi="宋体" w:cs="宋体"/>
                <w:kern w:val="0"/>
                <w:sz w:val="18"/>
                <w:szCs w:val="18"/>
              </w:rPr>
              <w:t>过流事件</w:t>
            </w:r>
            <w:r>
              <w:rPr>
                <w:rFonts w:hint="eastAsia" w:ascii="宋体" w:hAnsi="宋体" w:cs="宋体"/>
                <w:kern w:val="0"/>
                <w:sz w:val="18"/>
                <w:szCs w:val="18"/>
              </w:rPr>
              <w:t>、</w:t>
            </w:r>
            <w:r>
              <w:rPr>
                <w:rFonts w:ascii="宋体" w:hAnsi="宋体" w:cs="宋体"/>
                <w:kern w:val="0"/>
                <w:sz w:val="18"/>
                <w:szCs w:val="18"/>
              </w:rPr>
              <w:t>失压事件</w:t>
            </w:r>
            <w:r>
              <w:rPr>
                <w:rFonts w:hint="eastAsia" w:ascii="宋体" w:hAnsi="宋体" w:cs="宋体"/>
                <w:kern w:val="0"/>
                <w:sz w:val="18"/>
                <w:szCs w:val="18"/>
              </w:rPr>
              <w:t>、</w:t>
            </w:r>
            <w:r>
              <w:rPr>
                <w:rFonts w:ascii="宋体" w:hAnsi="宋体" w:cs="宋体"/>
                <w:kern w:val="0"/>
                <w:sz w:val="18"/>
                <w:szCs w:val="18"/>
              </w:rPr>
              <w:t>失流事件</w:t>
            </w:r>
            <w:r>
              <w:rPr>
                <w:rFonts w:hint="eastAsia" w:ascii="宋体" w:hAnsi="宋体" w:cs="宋体"/>
                <w:kern w:val="0"/>
                <w:sz w:val="18"/>
                <w:szCs w:val="18"/>
              </w:rPr>
              <w:t>、</w:t>
            </w:r>
            <w:r>
              <w:rPr>
                <w:rFonts w:ascii="宋体" w:hAnsi="宋体" w:cs="宋体"/>
                <w:kern w:val="0"/>
                <w:sz w:val="18"/>
                <w:szCs w:val="18"/>
              </w:rPr>
              <w:t>电压逆相序事件</w:t>
            </w:r>
            <w:r>
              <w:rPr>
                <w:rFonts w:hint="eastAsia" w:ascii="宋体" w:hAnsi="宋体" w:cs="宋体"/>
                <w:kern w:val="0"/>
                <w:sz w:val="18"/>
                <w:szCs w:val="18"/>
              </w:rPr>
              <w:t>、</w:t>
            </w:r>
            <w:r>
              <w:rPr>
                <w:rFonts w:ascii="宋体" w:hAnsi="宋体" w:cs="宋体"/>
                <w:kern w:val="0"/>
                <w:sz w:val="18"/>
                <w:szCs w:val="18"/>
              </w:rPr>
              <w:t>欠压事件</w:t>
            </w:r>
            <w:r>
              <w:rPr>
                <w:rFonts w:hint="eastAsia" w:ascii="宋体" w:hAnsi="宋体" w:cs="宋体"/>
                <w:kern w:val="0"/>
                <w:sz w:val="18"/>
                <w:szCs w:val="18"/>
              </w:rPr>
              <w:t>、</w:t>
            </w:r>
            <w:r>
              <w:rPr>
                <w:rFonts w:ascii="宋体" w:hAnsi="宋体" w:cs="宋体"/>
                <w:kern w:val="0"/>
                <w:sz w:val="18"/>
                <w:szCs w:val="18"/>
              </w:rPr>
              <w:t>过压事件</w:t>
            </w:r>
            <w:r>
              <w:rPr>
                <w:rFonts w:hint="eastAsia" w:ascii="宋体" w:hAnsi="宋体" w:cs="宋体"/>
                <w:kern w:val="0"/>
                <w:sz w:val="18"/>
                <w:szCs w:val="18"/>
              </w:rPr>
              <w:t>、</w:t>
            </w:r>
            <w:r>
              <w:rPr>
                <w:rFonts w:ascii="宋体" w:hAnsi="宋体" w:cs="宋体"/>
                <w:kern w:val="0"/>
                <w:sz w:val="18"/>
                <w:szCs w:val="18"/>
              </w:rPr>
              <w:t>断相事件</w:t>
            </w:r>
            <w:r>
              <w:rPr>
                <w:rFonts w:hint="eastAsia" w:ascii="宋体" w:hAnsi="宋体" w:cs="宋体"/>
                <w:kern w:val="0"/>
                <w:sz w:val="18"/>
                <w:szCs w:val="18"/>
              </w:rPr>
              <w:t>、</w:t>
            </w:r>
            <w:r>
              <w:rPr>
                <w:rFonts w:ascii="宋体" w:hAnsi="宋体" w:cs="宋体"/>
                <w:kern w:val="0"/>
                <w:sz w:val="18"/>
                <w:szCs w:val="18"/>
              </w:rPr>
              <w:t>功率因数越限事件</w:t>
            </w:r>
            <w:r>
              <w:rPr>
                <w:rFonts w:hint="eastAsia" w:ascii="宋体" w:hAnsi="宋体" w:cs="宋体"/>
                <w:kern w:val="0"/>
                <w:sz w:val="18"/>
                <w:szCs w:val="18"/>
              </w:rPr>
              <w:t>、</w:t>
            </w:r>
            <w:r>
              <w:rPr>
                <w:rFonts w:ascii="宋体" w:hAnsi="宋体" w:cs="宋体"/>
                <w:kern w:val="0"/>
                <w:sz w:val="18"/>
                <w:szCs w:val="18"/>
              </w:rPr>
              <w:t>电流谐波总畸变率越限事件</w:t>
            </w:r>
            <w:r>
              <w:rPr>
                <w:rFonts w:hint="eastAsia" w:ascii="宋体" w:hAnsi="宋体" w:cs="宋体"/>
                <w:kern w:val="0"/>
                <w:sz w:val="18"/>
                <w:szCs w:val="18"/>
              </w:rPr>
              <w:t>、</w:t>
            </w:r>
            <w:r>
              <w:rPr>
                <w:rFonts w:ascii="宋体" w:hAnsi="宋体" w:cs="宋体"/>
                <w:kern w:val="0"/>
                <w:sz w:val="18"/>
                <w:szCs w:val="18"/>
              </w:rPr>
              <w:t>电压谐波总畸变率越限事件</w:t>
            </w:r>
            <w:r>
              <w:rPr>
                <w:rFonts w:hint="eastAsia" w:ascii="宋体" w:hAnsi="宋体" w:cs="宋体"/>
                <w:kern w:val="0"/>
                <w:sz w:val="18"/>
                <w:szCs w:val="18"/>
              </w:rPr>
              <w:t>、</w:t>
            </w:r>
            <w:r>
              <w:rPr>
                <w:rFonts w:ascii="宋体" w:hAnsi="宋体" w:cs="宋体"/>
                <w:kern w:val="0"/>
                <w:sz w:val="18"/>
                <w:szCs w:val="18"/>
              </w:rPr>
              <w:t>电压不平衡越限事件</w:t>
            </w:r>
            <w:r>
              <w:rPr>
                <w:rFonts w:hint="eastAsia" w:ascii="宋体" w:hAnsi="宋体" w:cs="宋体"/>
                <w:kern w:val="0"/>
                <w:sz w:val="18"/>
                <w:szCs w:val="18"/>
              </w:rPr>
              <w:t>、</w:t>
            </w:r>
            <w:r>
              <w:rPr>
                <w:rFonts w:ascii="宋体" w:hAnsi="宋体" w:cs="宋体"/>
                <w:kern w:val="0"/>
                <w:sz w:val="18"/>
                <w:szCs w:val="18"/>
              </w:rPr>
              <w:t>电流不平衡越限事件</w:t>
            </w:r>
            <w:r>
              <w:rPr>
                <w:rFonts w:hint="eastAsia" w:ascii="宋体" w:hAnsi="宋体" w:cs="宋体"/>
                <w:kern w:val="0"/>
                <w:sz w:val="18"/>
                <w:szCs w:val="18"/>
              </w:rPr>
              <w:t>、</w:t>
            </w:r>
            <w:r>
              <w:rPr>
                <w:rFonts w:ascii="宋体" w:hAnsi="宋体" w:cs="宋体"/>
                <w:kern w:val="0"/>
                <w:sz w:val="18"/>
                <w:szCs w:val="18"/>
              </w:rPr>
              <w:t>电压闪变</w:t>
            </w:r>
            <w:r>
              <w:rPr>
                <w:rFonts w:hint="eastAsia" w:ascii="宋体" w:hAnsi="宋体" w:cs="宋体"/>
                <w:kern w:val="0"/>
                <w:sz w:val="18"/>
                <w:szCs w:val="18"/>
              </w:rPr>
              <w:t>、</w:t>
            </w:r>
            <w:r>
              <w:rPr>
                <w:rFonts w:ascii="宋体" w:hAnsi="宋体" w:cs="宋体"/>
                <w:kern w:val="0"/>
                <w:sz w:val="18"/>
                <w:szCs w:val="18"/>
              </w:rPr>
              <w:t>调控事件（仅物联表）</w:t>
            </w:r>
          </w:p>
        </w:tc>
      </w:tr>
    </w:tbl>
    <w:p w14:paraId="4CFFF56C">
      <w:pPr>
        <w:pStyle w:val="81"/>
        <w:spacing w:before="156" w:after="156"/>
        <w:rPr>
          <w:snapToGrid w:val="0"/>
        </w:rPr>
      </w:pPr>
      <w:r>
        <w:rPr>
          <w:snapToGrid w:val="0"/>
        </w:rPr>
        <w:t>专用断路器采集数据项</w:t>
      </w:r>
    </w:p>
    <w:tbl>
      <w:tblPr>
        <w:tblStyle w:val="28"/>
        <w:tblW w:w="483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87"/>
        <w:gridCol w:w="1168"/>
        <w:gridCol w:w="6795"/>
      </w:tblGrid>
      <w:tr w14:paraId="16FE5C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696" w:type="pct"/>
            <w:tcBorders>
              <w:top w:val="single" w:color="000000" w:sz="4" w:space="0"/>
              <w:left w:val="single" w:color="000000" w:sz="4" w:space="0"/>
              <w:bottom w:val="single" w:color="000000" w:sz="4" w:space="0"/>
              <w:right w:val="single" w:color="000000" w:sz="4" w:space="0"/>
            </w:tcBorders>
            <w:vAlign w:val="center"/>
          </w:tcPr>
          <w:p w14:paraId="22EA20C0">
            <w:pPr>
              <w:widowControl/>
              <w:snapToGrid w:val="0"/>
              <w:jc w:val="center"/>
              <w:rPr>
                <w:rFonts w:ascii="宋体" w:hAnsi="宋体" w:cs="宋体"/>
                <w:bCs/>
                <w:kern w:val="0"/>
                <w:sz w:val="18"/>
                <w:szCs w:val="18"/>
              </w:rPr>
            </w:pPr>
            <w:r>
              <w:rPr>
                <w:rFonts w:ascii="宋体" w:hAnsi="宋体" w:cs="宋体"/>
                <w:bCs/>
                <w:kern w:val="0"/>
                <w:sz w:val="18"/>
                <w:szCs w:val="18"/>
              </w:rPr>
              <w:t>采集对象</w:t>
            </w:r>
          </w:p>
        </w:tc>
        <w:tc>
          <w:tcPr>
            <w:tcW w:w="631" w:type="pct"/>
            <w:tcBorders>
              <w:top w:val="single" w:color="000000" w:sz="4" w:space="0"/>
              <w:left w:val="single" w:color="000000" w:sz="4" w:space="0"/>
              <w:bottom w:val="single" w:color="000000" w:sz="4" w:space="0"/>
              <w:right w:val="single" w:color="000000" w:sz="4" w:space="0"/>
            </w:tcBorders>
            <w:vAlign w:val="center"/>
          </w:tcPr>
          <w:p w14:paraId="7EBFF0C2">
            <w:pPr>
              <w:widowControl/>
              <w:snapToGrid w:val="0"/>
              <w:jc w:val="center"/>
              <w:rPr>
                <w:rFonts w:ascii="宋体" w:hAnsi="宋体" w:cs="宋体"/>
                <w:bCs/>
                <w:kern w:val="0"/>
                <w:sz w:val="18"/>
                <w:szCs w:val="18"/>
              </w:rPr>
            </w:pPr>
            <w:r>
              <w:rPr>
                <w:rFonts w:ascii="宋体" w:hAnsi="宋体" w:cs="宋体"/>
                <w:bCs/>
                <w:kern w:val="0"/>
                <w:sz w:val="18"/>
                <w:szCs w:val="18"/>
              </w:rPr>
              <w:t>数据分类</w:t>
            </w:r>
          </w:p>
        </w:tc>
        <w:tc>
          <w:tcPr>
            <w:tcW w:w="3672" w:type="pct"/>
            <w:tcBorders>
              <w:top w:val="single" w:color="000000" w:sz="4" w:space="0"/>
              <w:left w:val="single" w:color="000000" w:sz="4" w:space="0"/>
              <w:bottom w:val="single" w:color="000000" w:sz="4" w:space="0"/>
              <w:right w:val="single" w:color="000000" w:sz="4" w:space="0"/>
            </w:tcBorders>
            <w:vAlign w:val="center"/>
          </w:tcPr>
          <w:p w14:paraId="64B2C1F9">
            <w:pPr>
              <w:widowControl/>
              <w:snapToGrid w:val="0"/>
              <w:jc w:val="center"/>
              <w:rPr>
                <w:rFonts w:ascii="宋体" w:hAnsi="宋体" w:cs="宋体"/>
                <w:bCs/>
                <w:kern w:val="0"/>
                <w:sz w:val="18"/>
                <w:szCs w:val="18"/>
              </w:rPr>
            </w:pPr>
            <w:r>
              <w:rPr>
                <w:rFonts w:ascii="宋体" w:hAnsi="宋体" w:cs="宋体"/>
                <w:bCs/>
                <w:kern w:val="0"/>
                <w:sz w:val="18"/>
                <w:szCs w:val="18"/>
              </w:rPr>
              <w:t>数据项</w:t>
            </w:r>
          </w:p>
        </w:tc>
      </w:tr>
      <w:tr w14:paraId="1F1B4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96" w:type="pct"/>
            <w:tcBorders>
              <w:top w:val="nil"/>
              <w:left w:val="single" w:color="000000" w:sz="4" w:space="0"/>
              <w:bottom w:val="single" w:color="000000" w:sz="4" w:space="0"/>
              <w:right w:val="single" w:color="000000" w:sz="4" w:space="0"/>
            </w:tcBorders>
            <w:vAlign w:val="center"/>
          </w:tcPr>
          <w:p w14:paraId="584BD812">
            <w:pPr>
              <w:widowControl/>
              <w:snapToGrid w:val="0"/>
              <w:jc w:val="center"/>
              <w:rPr>
                <w:rFonts w:ascii="宋体" w:hAnsi="宋体" w:cs="宋体"/>
                <w:kern w:val="0"/>
                <w:sz w:val="18"/>
                <w:szCs w:val="18"/>
              </w:rPr>
            </w:pPr>
            <w:r>
              <w:rPr>
                <w:rFonts w:ascii="宋体" w:hAnsi="宋体" w:cs="宋体"/>
                <w:kern w:val="0"/>
                <w:sz w:val="18"/>
                <w:szCs w:val="18"/>
              </w:rPr>
              <w:t>专用断路器</w:t>
            </w:r>
          </w:p>
        </w:tc>
        <w:tc>
          <w:tcPr>
            <w:tcW w:w="631" w:type="pct"/>
            <w:tcBorders>
              <w:top w:val="nil"/>
              <w:left w:val="single" w:color="000000" w:sz="4" w:space="0"/>
              <w:bottom w:val="single" w:color="000000" w:sz="4" w:space="0"/>
              <w:right w:val="single" w:color="000000" w:sz="4" w:space="0"/>
            </w:tcBorders>
            <w:vAlign w:val="center"/>
          </w:tcPr>
          <w:p w14:paraId="49963291">
            <w:pPr>
              <w:widowControl/>
              <w:snapToGrid w:val="0"/>
              <w:jc w:val="center"/>
              <w:rPr>
                <w:rFonts w:ascii="宋体" w:hAnsi="宋体" w:cs="宋体"/>
                <w:kern w:val="0"/>
                <w:sz w:val="18"/>
                <w:szCs w:val="18"/>
              </w:rPr>
            </w:pPr>
            <w:r>
              <w:rPr>
                <w:rFonts w:ascii="宋体" w:hAnsi="宋体" w:cs="宋体"/>
                <w:kern w:val="0"/>
                <w:sz w:val="18"/>
                <w:szCs w:val="18"/>
              </w:rPr>
              <w:t>事件类</w:t>
            </w:r>
          </w:p>
        </w:tc>
        <w:tc>
          <w:tcPr>
            <w:tcW w:w="3672" w:type="pct"/>
            <w:tcBorders>
              <w:top w:val="single" w:color="000000" w:sz="4" w:space="0"/>
              <w:left w:val="single" w:color="000000" w:sz="4" w:space="0"/>
              <w:bottom w:val="single" w:color="000000" w:sz="4" w:space="0"/>
              <w:right w:val="single" w:color="000000" w:sz="4" w:space="0"/>
            </w:tcBorders>
            <w:vAlign w:val="center"/>
          </w:tcPr>
          <w:p w14:paraId="2BB0C415">
            <w:pPr>
              <w:widowControl/>
              <w:snapToGrid w:val="0"/>
              <w:jc w:val="center"/>
              <w:rPr>
                <w:rFonts w:ascii="宋体" w:hAnsi="宋体" w:cs="宋体"/>
                <w:kern w:val="0"/>
                <w:sz w:val="18"/>
                <w:szCs w:val="18"/>
              </w:rPr>
            </w:pPr>
            <w:r>
              <w:rPr>
                <w:rFonts w:ascii="宋体" w:hAnsi="宋体" w:cs="宋体"/>
                <w:kern w:val="0"/>
                <w:sz w:val="18"/>
                <w:szCs w:val="18"/>
              </w:rPr>
              <w:t>开关变位事件</w:t>
            </w:r>
            <w:r>
              <w:rPr>
                <w:rFonts w:hint="eastAsia" w:ascii="宋体" w:hAnsi="宋体" w:cs="宋体"/>
                <w:kern w:val="0"/>
                <w:sz w:val="18"/>
                <w:szCs w:val="18"/>
              </w:rPr>
              <w:t>、</w:t>
            </w:r>
            <w:r>
              <w:rPr>
                <w:rFonts w:ascii="宋体" w:hAnsi="宋体" w:cs="宋体"/>
                <w:kern w:val="0"/>
                <w:sz w:val="18"/>
                <w:szCs w:val="18"/>
              </w:rPr>
              <w:t>孤岛事件</w:t>
            </w:r>
            <w:r>
              <w:rPr>
                <w:rFonts w:hint="eastAsia" w:ascii="宋体" w:hAnsi="宋体" w:cs="宋体"/>
                <w:kern w:val="0"/>
                <w:sz w:val="18"/>
                <w:szCs w:val="18"/>
              </w:rPr>
              <w:t>、</w:t>
            </w:r>
            <w:r>
              <w:rPr>
                <w:rFonts w:ascii="宋体" w:hAnsi="宋体" w:cs="宋体"/>
                <w:kern w:val="0"/>
                <w:sz w:val="18"/>
                <w:szCs w:val="18"/>
              </w:rPr>
              <w:t>过压事件</w:t>
            </w:r>
            <w:r>
              <w:rPr>
                <w:rFonts w:hint="eastAsia" w:ascii="宋体" w:hAnsi="宋体" w:cs="宋体"/>
                <w:kern w:val="0"/>
                <w:sz w:val="18"/>
                <w:szCs w:val="18"/>
              </w:rPr>
              <w:t>、</w:t>
            </w:r>
            <w:r>
              <w:rPr>
                <w:rFonts w:ascii="宋体" w:hAnsi="宋体" w:cs="宋体"/>
                <w:kern w:val="0"/>
                <w:sz w:val="18"/>
                <w:szCs w:val="18"/>
              </w:rPr>
              <w:t>欠压事件</w:t>
            </w:r>
          </w:p>
        </w:tc>
      </w:tr>
    </w:tbl>
    <w:p w14:paraId="51196AD7">
      <w:pPr>
        <w:pStyle w:val="81"/>
        <w:spacing w:before="156" w:after="156"/>
        <w:rPr>
          <w:snapToGrid w:val="0"/>
        </w:rPr>
      </w:pPr>
      <w:r>
        <w:rPr>
          <w:snapToGrid w:val="0"/>
        </w:rPr>
        <w:t>光伏逆变器采集数据项</w:t>
      </w:r>
    </w:p>
    <w:tbl>
      <w:tblPr>
        <w:tblStyle w:val="28"/>
        <w:tblW w:w="485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24"/>
        <w:gridCol w:w="1456"/>
        <w:gridCol w:w="6605"/>
      </w:tblGrid>
      <w:tr w14:paraId="00563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blHeader/>
          <w:jc w:val="center"/>
        </w:trPr>
        <w:tc>
          <w:tcPr>
            <w:tcW w:w="659" w:type="pct"/>
            <w:tcBorders>
              <w:top w:val="single" w:color="000000" w:sz="4" w:space="0"/>
              <w:left w:val="single" w:color="000000" w:sz="4" w:space="0"/>
              <w:bottom w:val="single" w:color="000000" w:sz="4" w:space="0"/>
              <w:right w:val="single" w:color="000000" w:sz="4" w:space="0"/>
            </w:tcBorders>
            <w:vAlign w:val="center"/>
          </w:tcPr>
          <w:p w14:paraId="684E01CD">
            <w:pPr>
              <w:widowControl/>
              <w:snapToGrid w:val="0"/>
              <w:jc w:val="center"/>
              <w:rPr>
                <w:rFonts w:ascii="宋体" w:hAnsi="宋体" w:cs="宋体"/>
                <w:kern w:val="0"/>
                <w:sz w:val="18"/>
                <w:szCs w:val="18"/>
              </w:rPr>
            </w:pPr>
            <w:r>
              <w:rPr>
                <w:rFonts w:ascii="宋体" w:hAnsi="宋体" w:cs="宋体"/>
                <w:kern w:val="0"/>
                <w:sz w:val="18"/>
                <w:szCs w:val="18"/>
              </w:rPr>
              <w:t>采集对象</w:t>
            </w:r>
          </w:p>
        </w:tc>
        <w:tc>
          <w:tcPr>
            <w:tcW w:w="784" w:type="pct"/>
            <w:tcBorders>
              <w:top w:val="single" w:color="000000" w:sz="4" w:space="0"/>
              <w:left w:val="single" w:color="000000" w:sz="4" w:space="0"/>
              <w:bottom w:val="single" w:color="000000" w:sz="4" w:space="0"/>
              <w:right w:val="single" w:color="000000" w:sz="4" w:space="0"/>
            </w:tcBorders>
            <w:vAlign w:val="center"/>
          </w:tcPr>
          <w:p w14:paraId="14D88F3F">
            <w:pPr>
              <w:widowControl/>
              <w:snapToGrid w:val="0"/>
              <w:jc w:val="center"/>
              <w:rPr>
                <w:rFonts w:ascii="宋体" w:hAnsi="宋体" w:cs="宋体"/>
                <w:kern w:val="0"/>
                <w:sz w:val="18"/>
                <w:szCs w:val="18"/>
              </w:rPr>
            </w:pPr>
            <w:r>
              <w:rPr>
                <w:rFonts w:ascii="宋体" w:hAnsi="宋体" w:cs="宋体"/>
                <w:kern w:val="0"/>
                <w:sz w:val="18"/>
                <w:szCs w:val="18"/>
              </w:rPr>
              <w:t>数据分类</w:t>
            </w:r>
          </w:p>
        </w:tc>
        <w:tc>
          <w:tcPr>
            <w:tcW w:w="3556" w:type="pct"/>
            <w:tcBorders>
              <w:top w:val="single" w:color="000000" w:sz="4" w:space="0"/>
              <w:left w:val="single" w:color="000000" w:sz="4" w:space="0"/>
              <w:bottom w:val="single" w:color="000000" w:sz="4" w:space="0"/>
              <w:right w:val="single" w:color="000000" w:sz="4" w:space="0"/>
            </w:tcBorders>
            <w:vAlign w:val="center"/>
          </w:tcPr>
          <w:p w14:paraId="6A1B38AE">
            <w:pPr>
              <w:widowControl/>
              <w:snapToGrid w:val="0"/>
              <w:jc w:val="center"/>
              <w:rPr>
                <w:rFonts w:ascii="宋体" w:hAnsi="宋体" w:cs="宋体"/>
                <w:kern w:val="0"/>
                <w:sz w:val="18"/>
                <w:szCs w:val="18"/>
              </w:rPr>
            </w:pPr>
            <w:r>
              <w:rPr>
                <w:rFonts w:ascii="宋体" w:hAnsi="宋体" w:cs="宋体"/>
                <w:kern w:val="0"/>
                <w:sz w:val="18"/>
                <w:szCs w:val="18"/>
              </w:rPr>
              <w:t>数据项</w:t>
            </w:r>
          </w:p>
        </w:tc>
      </w:tr>
      <w:tr w14:paraId="0BC581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659" w:type="pct"/>
            <w:vMerge w:val="restart"/>
            <w:tcBorders>
              <w:top w:val="nil"/>
              <w:left w:val="single" w:color="000000" w:sz="4" w:space="0"/>
              <w:bottom w:val="single" w:color="000000" w:sz="4" w:space="0"/>
              <w:right w:val="single" w:color="000000" w:sz="4" w:space="0"/>
            </w:tcBorders>
            <w:vAlign w:val="center"/>
          </w:tcPr>
          <w:p w14:paraId="4C3BD4E2">
            <w:pPr>
              <w:widowControl/>
              <w:snapToGrid w:val="0"/>
              <w:jc w:val="center"/>
              <w:rPr>
                <w:rFonts w:ascii="宋体" w:hAnsi="宋体" w:cs="宋体"/>
                <w:kern w:val="0"/>
                <w:sz w:val="18"/>
                <w:szCs w:val="18"/>
              </w:rPr>
            </w:pPr>
            <w:r>
              <w:rPr>
                <w:rFonts w:ascii="宋体" w:hAnsi="宋体" w:cs="宋体"/>
                <w:kern w:val="0"/>
                <w:sz w:val="18"/>
                <w:szCs w:val="18"/>
              </w:rPr>
              <w:t>光伏</w:t>
            </w:r>
          </w:p>
          <w:p w14:paraId="7A4358DF">
            <w:pPr>
              <w:widowControl/>
              <w:snapToGrid w:val="0"/>
              <w:jc w:val="center"/>
              <w:rPr>
                <w:rFonts w:ascii="宋体" w:hAnsi="宋体" w:cs="宋体"/>
                <w:kern w:val="0"/>
                <w:sz w:val="18"/>
                <w:szCs w:val="18"/>
              </w:rPr>
            </w:pPr>
            <w:r>
              <w:rPr>
                <w:rFonts w:ascii="宋体" w:hAnsi="宋体" w:cs="宋体"/>
                <w:kern w:val="0"/>
                <w:sz w:val="18"/>
                <w:szCs w:val="18"/>
              </w:rPr>
              <w:t>逆变器</w:t>
            </w:r>
          </w:p>
        </w:tc>
        <w:tc>
          <w:tcPr>
            <w:tcW w:w="784" w:type="pct"/>
            <w:vMerge w:val="restart"/>
            <w:tcBorders>
              <w:top w:val="nil"/>
              <w:left w:val="single" w:color="000000" w:sz="4" w:space="0"/>
              <w:bottom w:val="single" w:color="000000" w:sz="4" w:space="0"/>
              <w:right w:val="single" w:color="000000" w:sz="4" w:space="0"/>
            </w:tcBorders>
            <w:vAlign w:val="center"/>
          </w:tcPr>
          <w:p w14:paraId="63FC2BB0">
            <w:pPr>
              <w:widowControl/>
              <w:snapToGrid w:val="0"/>
              <w:jc w:val="center"/>
              <w:rPr>
                <w:rFonts w:ascii="宋体" w:hAnsi="宋体" w:cs="宋体"/>
                <w:kern w:val="0"/>
                <w:sz w:val="18"/>
                <w:szCs w:val="18"/>
              </w:rPr>
            </w:pPr>
            <w:r>
              <w:rPr>
                <w:rFonts w:ascii="宋体" w:hAnsi="宋体" w:cs="宋体"/>
                <w:kern w:val="0"/>
                <w:sz w:val="18"/>
                <w:szCs w:val="18"/>
              </w:rPr>
              <w:t>数据类</w:t>
            </w:r>
          </w:p>
        </w:tc>
        <w:tc>
          <w:tcPr>
            <w:tcW w:w="3556" w:type="pct"/>
            <w:vMerge w:val="restart"/>
            <w:tcBorders>
              <w:top w:val="nil"/>
              <w:left w:val="single" w:color="000000" w:sz="4" w:space="0"/>
              <w:bottom w:val="single" w:color="000000" w:sz="4" w:space="0"/>
              <w:right w:val="single" w:color="000000" w:sz="4" w:space="0"/>
            </w:tcBorders>
            <w:vAlign w:val="center"/>
          </w:tcPr>
          <w:p w14:paraId="44B0B1AE">
            <w:pPr>
              <w:widowControl/>
              <w:snapToGrid w:val="0"/>
              <w:jc w:val="center"/>
              <w:rPr>
                <w:rFonts w:ascii="宋体" w:hAnsi="宋体" w:cs="宋体"/>
                <w:kern w:val="0"/>
                <w:sz w:val="18"/>
                <w:szCs w:val="18"/>
              </w:rPr>
            </w:pPr>
            <w:r>
              <w:rPr>
                <w:rFonts w:ascii="宋体" w:hAnsi="宋体" w:cs="宋体"/>
                <w:kern w:val="0"/>
                <w:sz w:val="18"/>
                <w:szCs w:val="18"/>
              </w:rPr>
              <w:t>电压</w:t>
            </w:r>
            <w:r>
              <w:rPr>
                <w:rFonts w:hint="eastAsia" w:ascii="宋体" w:hAnsi="宋体" w:cs="宋体"/>
                <w:kern w:val="0"/>
                <w:sz w:val="18"/>
                <w:szCs w:val="18"/>
              </w:rPr>
              <w:t>、电流、</w:t>
            </w:r>
            <w:r>
              <w:rPr>
                <w:rFonts w:ascii="宋体" w:hAnsi="宋体" w:cs="宋体"/>
                <w:kern w:val="0"/>
                <w:sz w:val="18"/>
                <w:szCs w:val="18"/>
              </w:rPr>
              <w:t>有功功率</w:t>
            </w:r>
            <w:r>
              <w:rPr>
                <w:rFonts w:hint="eastAsia" w:ascii="宋体" w:hAnsi="宋体" w:cs="宋体"/>
                <w:kern w:val="0"/>
                <w:sz w:val="18"/>
                <w:szCs w:val="18"/>
              </w:rPr>
              <w:t>、</w:t>
            </w:r>
            <w:r>
              <w:rPr>
                <w:rFonts w:ascii="宋体" w:hAnsi="宋体" w:cs="宋体"/>
                <w:kern w:val="0"/>
                <w:sz w:val="18"/>
                <w:szCs w:val="18"/>
              </w:rPr>
              <w:t>无功功率</w:t>
            </w:r>
            <w:r>
              <w:rPr>
                <w:rFonts w:hint="eastAsia" w:ascii="宋体" w:hAnsi="宋体" w:cs="宋体"/>
                <w:kern w:val="0"/>
                <w:sz w:val="18"/>
                <w:szCs w:val="18"/>
              </w:rPr>
              <w:t>、</w:t>
            </w:r>
            <w:r>
              <w:rPr>
                <w:rFonts w:ascii="宋体" w:hAnsi="宋体" w:cs="宋体"/>
                <w:kern w:val="0"/>
                <w:sz w:val="18"/>
                <w:szCs w:val="18"/>
              </w:rPr>
              <w:t>功率因数</w:t>
            </w:r>
          </w:p>
        </w:tc>
      </w:tr>
      <w:tr w14:paraId="12500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659" w:type="pct"/>
            <w:vMerge w:val="continue"/>
            <w:tcBorders>
              <w:top w:val="nil"/>
              <w:left w:val="single" w:color="000000" w:sz="4" w:space="0"/>
              <w:bottom w:val="single" w:color="000000" w:sz="4" w:space="0"/>
              <w:right w:val="single" w:color="000000" w:sz="4" w:space="0"/>
            </w:tcBorders>
            <w:vAlign w:val="center"/>
          </w:tcPr>
          <w:p w14:paraId="708761EA">
            <w:pPr>
              <w:widowControl/>
              <w:snapToGrid w:val="0"/>
              <w:jc w:val="center"/>
              <w:rPr>
                <w:rFonts w:ascii="宋体" w:hAnsi="宋体" w:cs="宋体"/>
                <w:kern w:val="0"/>
                <w:sz w:val="18"/>
                <w:szCs w:val="18"/>
              </w:rPr>
            </w:pPr>
          </w:p>
        </w:tc>
        <w:tc>
          <w:tcPr>
            <w:tcW w:w="784" w:type="pct"/>
            <w:vMerge w:val="continue"/>
            <w:tcBorders>
              <w:top w:val="nil"/>
              <w:left w:val="single" w:color="000000" w:sz="4" w:space="0"/>
              <w:bottom w:val="single" w:color="000000" w:sz="4" w:space="0"/>
              <w:right w:val="single" w:color="000000" w:sz="4" w:space="0"/>
            </w:tcBorders>
            <w:vAlign w:val="center"/>
          </w:tcPr>
          <w:p w14:paraId="4DB32D06">
            <w:pPr>
              <w:widowControl/>
              <w:snapToGrid w:val="0"/>
              <w:jc w:val="center"/>
              <w:rPr>
                <w:rFonts w:ascii="宋体" w:hAnsi="宋体" w:cs="宋体"/>
                <w:kern w:val="0"/>
                <w:sz w:val="18"/>
                <w:szCs w:val="18"/>
              </w:rPr>
            </w:pPr>
          </w:p>
        </w:tc>
        <w:tc>
          <w:tcPr>
            <w:tcW w:w="3556" w:type="pct"/>
            <w:vMerge w:val="continue"/>
            <w:tcBorders>
              <w:top w:val="nil"/>
              <w:left w:val="single" w:color="000000" w:sz="4" w:space="0"/>
              <w:bottom w:val="single" w:color="000000" w:sz="4" w:space="0"/>
              <w:right w:val="single" w:color="000000" w:sz="4" w:space="0"/>
            </w:tcBorders>
            <w:vAlign w:val="center"/>
          </w:tcPr>
          <w:p w14:paraId="2EEBFD1E">
            <w:pPr>
              <w:widowControl/>
              <w:snapToGrid w:val="0"/>
              <w:jc w:val="center"/>
              <w:rPr>
                <w:rFonts w:ascii="宋体" w:hAnsi="宋体" w:cs="宋体"/>
                <w:kern w:val="0"/>
                <w:sz w:val="18"/>
                <w:szCs w:val="18"/>
              </w:rPr>
            </w:pPr>
          </w:p>
        </w:tc>
      </w:tr>
      <w:tr w14:paraId="212B79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659" w:type="pct"/>
            <w:vMerge w:val="continue"/>
            <w:tcBorders>
              <w:top w:val="nil"/>
              <w:left w:val="single" w:color="000000" w:sz="4" w:space="0"/>
              <w:bottom w:val="single" w:color="000000" w:sz="4" w:space="0"/>
              <w:right w:val="single" w:color="000000" w:sz="4" w:space="0"/>
            </w:tcBorders>
            <w:vAlign w:val="center"/>
          </w:tcPr>
          <w:p w14:paraId="60DCC2CE">
            <w:pPr>
              <w:widowControl/>
              <w:snapToGrid w:val="0"/>
              <w:jc w:val="center"/>
              <w:rPr>
                <w:rFonts w:ascii="宋体" w:hAnsi="宋体" w:cs="宋体"/>
                <w:kern w:val="0"/>
                <w:sz w:val="18"/>
                <w:szCs w:val="18"/>
              </w:rPr>
            </w:pPr>
          </w:p>
        </w:tc>
        <w:tc>
          <w:tcPr>
            <w:tcW w:w="784" w:type="pct"/>
            <w:vMerge w:val="continue"/>
            <w:tcBorders>
              <w:top w:val="nil"/>
              <w:left w:val="single" w:color="000000" w:sz="4" w:space="0"/>
              <w:bottom w:val="single" w:color="000000" w:sz="4" w:space="0"/>
              <w:right w:val="single" w:color="000000" w:sz="4" w:space="0"/>
            </w:tcBorders>
            <w:vAlign w:val="center"/>
          </w:tcPr>
          <w:p w14:paraId="7A9BAD84">
            <w:pPr>
              <w:widowControl/>
              <w:snapToGrid w:val="0"/>
              <w:jc w:val="center"/>
              <w:rPr>
                <w:rFonts w:ascii="宋体" w:hAnsi="宋体" w:cs="宋体"/>
                <w:kern w:val="0"/>
                <w:sz w:val="18"/>
                <w:szCs w:val="18"/>
              </w:rPr>
            </w:pPr>
          </w:p>
        </w:tc>
        <w:tc>
          <w:tcPr>
            <w:tcW w:w="3556" w:type="pct"/>
            <w:vMerge w:val="continue"/>
            <w:tcBorders>
              <w:top w:val="nil"/>
              <w:left w:val="single" w:color="000000" w:sz="4" w:space="0"/>
              <w:bottom w:val="single" w:color="000000" w:sz="4" w:space="0"/>
              <w:right w:val="single" w:color="000000" w:sz="4" w:space="0"/>
            </w:tcBorders>
            <w:vAlign w:val="center"/>
          </w:tcPr>
          <w:p w14:paraId="0B62A9D5">
            <w:pPr>
              <w:widowControl/>
              <w:snapToGrid w:val="0"/>
              <w:jc w:val="center"/>
              <w:rPr>
                <w:rFonts w:ascii="宋体" w:hAnsi="宋体" w:cs="宋体"/>
                <w:kern w:val="0"/>
                <w:sz w:val="18"/>
                <w:szCs w:val="18"/>
              </w:rPr>
            </w:pPr>
          </w:p>
        </w:tc>
      </w:tr>
      <w:tr w14:paraId="3C7273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659" w:type="pct"/>
            <w:vMerge w:val="continue"/>
            <w:tcBorders>
              <w:top w:val="nil"/>
              <w:left w:val="single" w:color="000000" w:sz="4" w:space="0"/>
              <w:bottom w:val="single" w:color="000000" w:sz="4" w:space="0"/>
              <w:right w:val="single" w:color="000000" w:sz="4" w:space="0"/>
            </w:tcBorders>
            <w:vAlign w:val="center"/>
          </w:tcPr>
          <w:p w14:paraId="739FB216">
            <w:pPr>
              <w:widowControl/>
              <w:snapToGrid w:val="0"/>
              <w:jc w:val="center"/>
              <w:rPr>
                <w:rFonts w:ascii="宋体" w:hAnsi="宋体" w:cs="宋体"/>
                <w:kern w:val="0"/>
                <w:sz w:val="18"/>
                <w:szCs w:val="18"/>
              </w:rPr>
            </w:pPr>
          </w:p>
        </w:tc>
        <w:tc>
          <w:tcPr>
            <w:tcW w:w="784" w:type="pct"/>
            <w:vMerge w:val="restart"/>
            <w:tcBorders>
              <w:top w:val="nil"/>
              <w:left w:val="single" w:color="000000" w:sz="4" w:space="0"/>
              <w:bottom w:val="single" w:color="000000" w:sz="4" w:space="0"/>
              <w:right w:val="single" w:color="000000" w:sz="4" w:space="0"/>
            </w:tcBorders>
            <w:vAlign w:val="center"/>
          </w:tcPr>
          <w:p w14:paraId="53B25E2A">
            <w:pPr>
              <w:widowControl/>
              <w:snapToGrid w:val="0"/>
              <w:jc w:val="center"/>
              <w:rPr>
                <w:rFonts w:ascii="宋体" w:hAnsi="宋体" w:cs="宋体"/>
                <w:kern w:val="0"/>
                <w:sz w:val="18"/>
                <w:szCs w:val="18"/>
              </w:rPr>
            </w:pPr>
            <w:r>
              <w:rPr>
                <w:rFonts w:ascii="宋体" w:hAnsi="宋体" w:cs="宋体"/>
                <w:kern w:val="0"/>
                <w:sz w:val="18"/>
                <w:szCs w:val="18"/>
              </w:rPr>
              <w:t>参数类</w:t>
            </w:r>
          </w:p>
        </w:tc>
        <w:tc>
          <w:tcPr>
            <w:tcW w:w="3556" w:type="pct"/>
            <w:vMerge w:val="restart"/>
            <w:tcBorders>
              <w:top w:val="nil"/>
              <w:left w:val="single" w:color="000000" w:sz="4" w:space="0"/>
              <w:bottom w:val="single" w:color="000000" w:sz="4" w:space="0"/>
              <w:right w:val="single" w:color="000000" w:sz="4" w:space="0"/>
            </w:tcBorders>
            <w:vAlign w:val="center"/>
          </w:tcPr>
          <w:p w14:paraId="5A6301DB">
            <w:pPr>
              <w:widowControl/>
              <w:snapToGrid w:val="0"/>
              <w:jc w:val="center"/>
              <w:rPr>
                <w:rFonts w:ascii="宋体" w:hAnsi="宋体" w:cs="宋体"/>
                <w:kern w:val="0"/>
                <w:sz w:val="18"/>
                <w:szCs w:val="18"/>
              </w:rPr>
            </w:pPr>
            <w:r>
              <w:rPr>
                <w:rFonts w:ascii="宋体" w:hAnsi="宋体" w:cs="宋体"/>
                <w:kern w:val="0"/>
                <w:sz w:val="18"/>
                <w:szCs w:val="18"/>
              </w:rPr>
              <w:t>光伏电站基础信息</w:t>
            </w:r>
            <w:r>
              <w:rPr>
                <w:rFonts w:hint="eastAsia" w:ascii="宋体" w:hAnsi="宋体" w:cs="宋体"/>
                <w:kern w:val="0"/>
                <w:sz w:val="18"/>
                <w:szCs w:val="18"/>
              </w:rPr>
              <w:t>，包括</w:t>
            </w:r>
            <w:r>
              <w:rPr>
                <w:rFonts w:ascii="宋体" w:hAnsi="宋体" w:cs="宋体"/>
                <w:kern w:val="0"/>
                <w:sz w:val="18"/>
                <w:szCs w:val="18"/>
              </w:rPr>
              <w:t>设备编号</w:t>
            </w:r>
            <w:r>
              <w:rPr>
                <w:rFonts w:hint="eastAsia" w:ascii="宋体" w:hAnsi="宋体" w:cs="宋体"/>
                <w:kern w:val="0"/>
                <w:sz w:val="18"/>
                <w:szCs w:val="18"/>
              </w:rPr>
              <w:t>、</w:t>
            </w:r>
            <w:r>
              <w:rPr>
                <w:rFonts w:ascii="宋体" w:hAnsi="宋体" w:cs="宋体"/>
                <w:kern w:val="0"/>
                <w:sz w:val="18"/>
                <w:szCs w:val="18"/>
              </w:rPr>
              <w:t>额定有功功率</w:t>
            </w:r>
            <w:r>
              <w:rPr>
                <w:rFonts w:hint="eastAsia" w:ascii="宋体" w:hAnsi="宋体" w:cs="宋体"/>
                <w:kern w:val="0"/>
                <w:sz w:val="18"/>
                <w:szCs w:val="18"/>
              </w:rPr>
              <w:t>、</w:t>
            </w:r>
            <w:r>
              <w:rPr>
                <w:rFonts w:ascii="宋体" w:hAnsi="宋体" w:cs="宋体"/>
                <w:kern w:val="0"/>
                <w:sz w:val="18"/>
                <w:szCs w:val="18"/>
              </w:rPr>
              <w:t>额定无功功率</w:t>
            </w:r>
            <w:r>
              <w:rPr>
                <w:rFonts w:hint="eastAsia" w:ascii="宋体" w:hAnsi="宋体" w:cs="宋体"/>
                <w:kern w:val="0"/>
                <w:sz w:val="18"/>
                <w:szCs w:val="18"/>
              </w:rPr>
              <w:t>、</w:t>
            </w:r>
            <w:r>
              <w:rPr>
                <w:rFonts w:ascii="宋体" w:hAnsi="宋体" w:cs="宋体"/>
                <w:kern w:val="0"/>
                <w:sz w:val="18"/>
                <w:szCs w:val="18"/>
              </w:rPr>
              <w:t>设定电压</w:t>
            </w:r>
            <w:r>
              <w:rPr>
                <w:rFonts w:hint="eastAsia" w:ascii="宋体" w:hAnsi="宋体" w:cs="宋体"/>
                <w:kern w:val="0"/>
                <w:sz w:val="18"/>
                <w:szCs w:val="18"/>
              </w:rPr>
              <w:t>、</w:t>
            </w:r>
            <w:r>
              <w:rPr>
                <w:rFonts w:ascii="宋体" w:hAnsi="宋体" w:cs="宋体"/>
                <w:kern w:val="0"/>
                <w:sz w:val="18"/>
                <w:szCs w:val="18"/>
              </w:rPr>
              <w:t>输出类型</w:t>
            </w:r>
          </w:p>
        </w:tc>
      </w:tr>
      <w:tr w14:paraId="728D31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659" w:type="pct"/>
            <w:vMerge w:val="continue"/>
            <w:tcBorders>
              <w:top w:val="nil"/>
              <w:left w:val="single" w:color="000000" w:sz="4" w:space="0"/>
              <w:bottom w:val="single" w:color="000000" w:sz="4" w:space="0"/>
              <w:right w:val="single" w:color="000000" w:sz="4" w:space="0"/>
            </w:tcBorders>
            <w:vAlign w:val="center"/>
          </w:tcPr>
          <w:p w14:paraId="69670547">
            <w:pPr>
              <w:widowControl/>
              <w:snapToGrid w:val="0"/>
              <w:jc w:val="center"/>
              <w:rPr>
                <w:rFonts w:ascii="宋体" w:hAnsi="宋体" w:cs="宋体"/>
                <w:kern w:val="0"/>
                <w:sz w:val="18"/>
                <w:szCs w:val="18"/>
              </w:rPr>
            </w:pPr>
          </w:p>
        </w:tc>
        <w:tc>
          <w:tcPr>
            <w:tcW w:w="784" w:type="pct"/>
            <w:vMerge w:val="continue"/>
            <w:tcBorders>
              <w:top w:val="nil"/>
              <w:left w:val="single" w:color="000000" w:sz="4" w:space="0"/>
              <w:bottom w:val="single" w:color="000000" w:sz="4" w:space="0"/>
              <w:right w:val="single" w:color="000000" w:sz="4" w:space="0"/>
            </w:tcBorders>
            <w:vAlign w:val="center"/>
          </w:tcPr>
          <w:p w14:paraId="59A4E4F2">
            <w:pPr>
              <w:widowControl/>
              <w:snapToGrid w:val="0"/>
              <w:jc w:val="center"/>
              <w:rPr>
                <w:rFonts w:ascii="宋体" w:hAnsi="宋体" w:cs="宋体"/>
                <w:kern w:val="0"/>
                <w:sz w:val="18"/>
                <w:szCs w:val="18"/>
              </w:rPr>
            </w:pPr>
          </w:p>
        </w:tc>
        <w:tc>
          <w:tcPr>
            <w:tcW w:w="3556" w:type="pct"/>
            <w:vMerge w:val="continue"/>
            <w:tcBorders>
              <w:top w:val="nil"/>
              <w:left w:val="single" w:color="000000" w:sz="4" w:space="0"/>
              <w:bottom w:val="single" w:color="000000" w:sz="4" w:space="0"/>
              <w:right w:val="single" w:color="000000" w:sz="4" w:space="0"/>
            </w:tcBorders>
            <w:vAlign w:val="center"/>
          </w:tcPr>
          <w:p w14:paraId="46210A2D">
            <w:pPr>
              <w:widowControl/>
              <w:snapToGrid w:val="0"/>
              <w:jc w:val="center"/>
              <w:rPr>
                <w:rFonts w:ascii="宋体" w:hAnsi="宋体" w:cs="宋体"/>
                <w:kern w:val="0"/>
                <w:sz w:val="18"/>
                <w:szCs w:val="18"/>
              </w:rPr>
            </w:pPr>
          </w:p>
        </w:tc>
      </w:tr>
      <w:tr w14:paraId="5E9C3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659" w:type="pct"/>
            <w:vMerge w:val="continue"/>
            <w:tcBorders>
              <w:top w:val="nil"/>
              <w:left w:val="single" w:color="000000" w:sz="4" w:space="0"/>
              <w:bottom w:val="single" w:color="000000" w:sz="4" w:space="0"/>
              <w:right w:val="single" w:color="000000" w:sz="4" w:space="0"/>
            </w:tcBorders>
            <w:vAlign w:val="center"/>
          </w:tcPr>
          <w:p w14:paraId="2B41D23F">
            <w:pPr>
              <w:widowControl/>
              <w:snapToGrid w:val="0"/>
              <w:jc w:val="center"/>
              <w:rPr>
                <w:rFonts w:ascii="宋体" w:hAnsi="宋体" w:cs="宋体"/>
                <w:kern w:val="0"/>
                <w:sz w:val="18"/>
                <w:szCs w:val="18"/>
              </w:rPr>
            </w:pPr>
          </w:p>
        </w:tc>
        <w:tc>
          <w:tcPr>
            <w:tcW w:w="784" w:type="pct"/>
            <w:vMerge w:val="continue"/>
            <w:tcBorders>
              <w:top w:val="nil"/>
              <w:left w:val="single" w:color="000000" w:sz="4" w:space="0"/>
              <w:bottom w:val="single" w:color="000000" w:sz="4" w:space="0"/>
              <w:right w:val="single" w:color="000000" w:sz="4" w:space="0"/>
            </w:tcBorders>
            <w:vAlign w:val="center"/>
          </w:tcPr>
          <w:p w14:paraId="30E713AD">
            <w:pPr>
              <w:widowControl/>
              <w:snapToGrid w:val="0"/>
              <w:jc w:val="center"/>
              <w:rPr>
                <w:rFonts w:ascii="宋体" w:hAnsi="宋体" w:cs="宋体"/>
                <w:kern w:val="0"/>
                <w:sz w:val="18"/>
                <w:szCs w:val="18"/>
              </w:rPr>
            </w:pPr>
          </w:p>
        </w:tc>
        <w:tc>
          <w:tcPr>
            <w:tcW w:w="3556" w:type="pct"/>
            <w:vMerge w:val="continue"/>
            <w:tcBorders>
              <w:top w:val="nil"/>
              <w:left w:val="single" w:color="000000" w:sz="4" w:space="0"/>
              <w:bottom w:val="single" w:color="000000" w:sz="4" w:space="0"/>
              <w:right w:val="single" w:color="000000" w:sz="4" w:space="0"/>
            </w:tcBorders>
            <w:vAlign w:val="center"/>
          </w:tcPr>
          <w:p w14:paraId="461BB9BB">
            <w:pPr>
              <w:widowControl/>
              <w:snapToGrid w:val="0"/>
              <w:jc w:val="center"/>
              <w:rPr>
                <w:rFonts w:ascii="宋体" w:hAnsi="宋体" w:cs="宋体"/>
                <w:kern w:val="0"/>
                <w:sz w:val="18"/>
                <w:szCs w:val="18"/>
              </w:rPr>
            </w:pPr>
          </w:p>
        </w:tc>
      </w:tr>
      <w:tr w14:paraId="19B63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659" w:type="pct"/>
            <w:vMerge w:val="continue"/>
            <w:tcBorders>
              <w:top w:val="nil"/>
              <w:left w:val="single" w:color="000000" w:sz="4" w:space="0"/>
              <w:bottom w:val="single" w:color="000000" w:sz="4" w:space="0"/>
              <w:right w:val="single" w:color="000000" w:sz="4" w:space="0"/>
            </w:tcBorders>
            <w:vAlign w:val="center"/>
          </w:tcPr>
          <w:p w14:paraId="20BF92FC">
            <w:pPr>
              <w:widowControl/>
              <w:snapToGrid w:val="0"/>
              <w:jc w:val="center"/>
              <w:rPr>
                <w:rFonts w:ascii="宋体" w:hAnsi="宋体" w:cs="宋体"/>
                <w:kern w:val="0"/>
                <w:sz w:val="18"/>
                <w:szCs w:val="18"/>
              </w:rPr>
            </w:pPr>
          </w:p>
        </w:tc>
        <w:tc>
          <w:tcPr>
            <w:tcW w:w="784" w:type="pct"/>
            <w:vMerge w:val="continue"/>
            <w:tcBorders>
              <w:top w:val="nil"/>
              <w:left w:val="single" w:color="000000" w:sz="4" w:space="0"/>
              <w:bottom w:val="single" w:color="000000" w:sz="4" w:space="0"/>
              <w:right w:val="single" w:color="000000" w:sz="4" w:space="0"/>
            </w:tcBorders>
            <w:vAlign w:val="center"/>
          </w:tcPr>
          <w:p w14:paraId="60AB1538">
            <w:pPr>
              <w:widowControl/>
              <w:snapToGrid w:val="0"/>
              <w:jc w:val="center"/>
              <w:rPr>
                <w:rFonts w:ascii="宋体" w:hAnsi="宋体" w:cs="宋体"/>
                <w:kern w:val="0"/>
                <w:sz w:val="18"/>
                <w:szCs w:val="18"/>
              </w:rPr>
            </w:pPr>
          </w:p>
        </w:tc>
        <w:tc>
          <w:tcPr>
            <w:tcW w:w="3556" w:type="pct"/>
            <w:vMerge w:val="continue"/>
            <w:tcBorders>
              <w:top w:val="nil"/>
              <w:left w:val="single" w:color="000000" w:sz="4" w:space="0"/>
              <w:bottom w:val="single" w:color="000000" w:sz="4" w:space="0"/>
              <w:right w:val="single" w:color="000000" w:sz="4" w:space="0"/>
            </w:tcBorders>
            <w:vAlign w:val="center"/>
          </w:tcPr>
          <w:p w14:paraId="4FA4757E">
            <w:pPr>
              <w:widowControl/>
              <w:snapToGrid w:val="0"/>
              <w:jc w:val="center"/>
              <w:rPr>
                <w:rFonts w:ascii="宋体" w:hAnsi="宋体" w:cs="宋体"/>
                <w:kern w:val="0"/>
                <w:sz w:val="18"/>
                <w:szCs w:val="18"/>
              </w:rPr>
            </w:pPr>
          </w:p>
        </w:tc>
      </w:tr>
      <w:tr w14:paraId="64378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659" w:type="pct"/>
            <w:vMerge w:val="continue"/>
            <w:tcBorders>
              <w:top w:val="nil"/>
              <w:left w:val="single" w:color="000000" w:sz="4" w:space="0"/>
              <w:bottom w:val="single" w:color="000000" w:sz="4" w:space="0"/>
              <w:right w:val="single" w:color="000000" w:sz="4" w:space="0"/>
            </w:tcBorders>
            <w:vAlign w:val="center"/>
          </w:tcPr>
          <w:p w14:paraId="0966EF2A">
            <w:pPr>
              <w:widowControl/>
              <w:snapToGrid w:val="0"/>
              <w:jc w:val="center"/>
              <w:rPr>
                <w:rFonts w:ascii="宋体" w:hAnsi="宋体" w:cs="宋体"/>
                <w:kern w:val="0"/>
                <w:sz w:val="18"/>
                <w:szCs w:val="18"/>
              </w:rPr>
            </w:pPr>
          </w:p>
        </w:tc>
        <w:tc>
          <w:tcPr>
            <w:tcW w:w="784" w:type="pct"/>
            <w:vMerge w:val="continue"/>
            <w:tcBorders>
              <w:top w:val="nil"/>
              <w:left w:val="single" w:color="000000" w:sz="4" w:space="0"/>
              <w:bottom w:val="single" w:color="000000" w:sz="4" w:space="0"/>
              <w:right w:val="single" w:color="000000" w:sz="4" w:space="0"/>
            </w:tcBorders>
            <w:vAlign w:val="center"/>
          </w:tcPr>
          <w:p w14:paraId="29CFEEDE">
            <w:pPr>
              <w:widowControl/>
              <w:snapToGrid w:val="0"/>
              <w:jc w:val="center"/>
              <w:rPr>
                <w:rFonts w:ascii="宋体" w:hAnsi="宋体" w:cs="宋体"/>
                <w:kern w:val="0"/>
                <w:sz w:val="18"/>
                <w:szCs w:val="18"/>
              </w:rPr>
            </w:pPr>
          </w:p>
        </w:tc>
        <w:tc>
          <w:tcPr>
            <w:tcW w:w="3556" w:type="pct"/>
            <w:vMerge w:val="continue"/>
            <w:tcBorders>
              <w:top w:val="nil"/>
              <w:left w:val="single" w:color="000000" w:sz="4" w:space="0"/>
              <w:bottom w:val="single" w:color="000000" w:sz="4" w:space="0"/>
              <w:right w:val="single" w:color="000000" w:sz="4" w:space="0"/>
            </w:tcBorders>
            <w:vAlign w:val="center"/>
          </w:tcPr>
          <w:p w14:paraId="52037391">
            <w:pPr>
              <w:widowControl/>
              <w:snapToGrid w:val="0"/>
              <w:jc w:val="center"/>
              <w:rPr>
                <w:rFonts w:ascii="宋体" w:hAnsi="宋体" w:cs="宋体"/>
                <w:kern w:val="0"/>
                <w:sz w:val="18"/>
                <w:szCs w:val="18"/>
              </w:rPr>
            </w:pPr>
          </w:p>
        </w:tc>
      </w:tr>
      <w:tr w14:paraId="09FE44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659" w:type="pct"/>
            <w:vMerge w:val="continue"/>
            <w:tcBorders>
              <w:top w:val="nil"/>
              <w:left w:val="single" w:color="000000" w:sz="4" w:space="0"/>
              <w:bottom w:val="single" w:color="000000" w:sz="4" w:space="0"/>
              <w:right w:val="single" w:color="000000" w:sz="4" w:space="0"/>
            </w:tcBorders>
            <w:vAlign w:val="center"/>
          </w:tcPr>
          <w:p w14:paraId="20407A9B">
            <w:pPr>
              <w:widowControl/>
              <w:snapToGrid w:val="0"/>
              <w:jc w:val="center"/>
              <w:rPr>
                <w:rFonts w:ascii="宋体" w:hAnsi="宋体" w:cs="宋体"/>
                <w:kern w:val="0"/>
                <w:sz w:val="18"/>
                <w:szCs w:val="18"/>
              </w:rPr>
            </w:pPr>
          </w:p>
        </w:tc>
        <w:tc>
          <w:tcPr>
            <w:tcW w:w="784" w:type="pct"/>
            <w:vMerge w:val="continue"/>
            <w:tcBorders>
              <w:top w:val="nil"/>
              <w:left w:val="single" w:color="000000" w:sz="4" w:space="0"/>
              <w:bottom w:val="single" w:color="000000" w:sz="4" w:space="0"/>
              <w:right w:val="single" w:color="000000" w:sz="4" w:space="0"/>
            </w:tcBorders>
            <w:vAlign w:val="center"/>
          </w:tcPr>
          <w:p w14:paraId="5C7282DF">
            <w:pPr>
              <w:widowControl/>
              <w:snapToGrid w:val="0"/>
              <w:jc w:val="center"/>
              <w:rPr>
                <w:rFonts w:ascii="宋体" w:hAnsi="宋体" w:cs="宋体"/>
                <w:kern w:val="0"/>
                <w:sz w:val="18"/>
                <w:szCs w:val="18"/>
              </w:rPr>
            </w:pPr>
          </w:p>
        </w:tc>
        <w:tc>
          <w:tcPr>
            <w:tcW w:w="3556" w:type="pct"/>
            <w:tcBorders>
              <w:top w:val="single" w:color="000000" w:sz="4" w:space="0"/>
              <w:left w:val="single" w:color="000000" w:sz="4" w:space="0"/>
              <w:bottom w:val="single" w:color="000000" w:sz="4" w:space="0"/>
              <w:right w:val="single" w:color="000000" w:sz="4" w:space="0"/>
            </w:tcBorders>
            <w:vAlign w:val="center"/>
          </w:tcPr>
          <w:p w14:paraId="4BC20FAC">
            <w:pPr>
              <w:widowControl/>
              <w:snapToGrid w:val="0"/>
              <w:jc w:val="center"/>
              <w:rPr>
                <w:rFonts w:ascii="宋体" w:hAnsi="宋体" w:cs="宋体"/>
                <w:kern w:val="0"/>
                <w:sz w:val="18"/>
                <w:szCs w:val="18"/>
              </w:rPr>
            </w:pPr>
            <w:r>
              <w:rPr>
                <w:rFonts w:ascii="宋体" w:hAnsi="宋体" w:cs="宋体"/>
                <w:kern w:val="0"/>
                <w:sz w:val="18"/>
                <w:szCs w:val="18"/>
              </w:rPr>
              <w:t>逆变器开关机状态</w:t>
            </w:r>
            <w:r>
              <w:rPr>
                <w:rFonts w:hint="eastAsia" w:ascii="宋体" w:hAnsi="宋体" w:cs="宋体"/>
                <w:kern w:val="0"/>
                <w:sz w:val="18"/>
                <w:szCs w:val="18"/>
              </w:rPr>
              <w:t>、</w:t>
            </w:r>
            <w:r>
              <w:rPr>
                <w:rFonts w:ascii="宋体" w:hAnsi="宋体" w:cs="宋体"/>
                <w:kern w:val="0"/>
                <w:sz w:val="18"/>
                <w:szCs w:val="18"/>
              </w:rPr>
              <w:t>逆变器开关机控制</w:t>
            </w:r>
            <w:r>
              <w:rPr>
                <w:rFonts w:hint="eastAsia" w:ascii="宋体" w:hAnsi="宋体" w:cs="宋体"/>
                <w:kern w:val="0"/>
                <w:sz w:val="18"/>
                <w:szCs w:val="18"/>
              </w:rPr>
              <w:t>、</w:t>
            </w:r>
            <w:r>
              <w:rPr>
                <w:rFonts w:ascii="宋体" w:hAnsi="宋体" w:cs="宋体"/>
                <w:kern w:val="0"/>
                <w:sz w:val="18"/>
                <w:szCs w:val="18"/>
              </w:rPr>
              <w:t>有功功率控制</w:t>
            </w:r>
            <w:r>
              <w:rPr>
                <w:rFonts w:hint="eastAsia" w:ascii="宋体" w:hAnsi="宋体" w:cs="宋体"/>
                <w:kern w:val="0"/>
                <w:sz w:val="18"/>
                <w:szCs w:val="18"/>
              </w:rPr>
              <w:t>、</w:t>
            </w:r>
            <w:r>
              <w:rPr>
                <w:rFonts w:ascii="宋体" w:hAnsi="宋体" w:cs="宋体"/>
                <w:kern w:val="0"/>
                <w:sz w:val="18"/>
                <w:szCs w:val="18"/>
              </w:rPr>
              <w:t>无功功率控制</w:t>
            </w:r>
            <w:r>
              <w:rPr>
                <w:rFonts w:hint="eastAsia" w:ascii="宋体" w:hAnsi="宋体" w:cs="宋体"/>
                <w:kern w:val="0"/>
                <w:sz w:val="18"/>
                <w:szCs w:val="18"/>
              </w:rPr>
              <w:t>、</w:t>
            </w:r>
            <w:r>
              <w:rPr>
                <w:rFonts w:ascii="宋体" w:hAnsi="宋体" w:cs="宋体"/>
                <w:kern w:val="0"/>
                <w:sz w:val="18"/>
                <w:szCs w:val="18"/>
              </w:rPr>
              <w:t>功率因数控制</w:t>
            </w:r>
            <w:r>
              <w:rPr>
                <w:rFonts w:hint="eastAsia" w:ascii="宋体" w:hAnsi="宋体" w:cs="宋体"/>
                <w:kern w:val="0"/>
                <w:sz w:val="18"/>
                <w:szCs w:val="18"/>
              </w:rPr>
              <w:t>、</w:t>
            </w:r>
            <w:r>
              <w:rPr>
                <w:rFonts w:ascii="宋体" w:hAnsi="宋体" w:cs="宋体"/>
                <w:kern w:val="0"/>
                <w:sz w:val="18"/>
                <w:szCs w:val="18"/>
              </w:rPr>
              <w:t>有功功率百分比</w:t>
            </w:r>
            <w:r>
              <w:rPr>
                <w:rFonts w:hint="eastAsia" w:ascii="宋体" w:hAnsi="宋体" w:cs="宋体"/>
                <w:kern w:val="0"/>
                <w:sz w:val="18"/>
                <w:szCs w:val="18"/>
              </w:rPr>
              <w:t>、</w:t>
            </w:r>
            <w:r>
              <w:rPr>
                <w:rFonts w:ascii="宋体" w:hAnsi="宋体" w:cs="宋体"/>
                <w:kern w:val="0"/>
                <w:sz w:val="18"/>
                <w:szCs w:val="18"/>
              </w:rPr>
              <w:t>无功功率百分比</w:t>
            </w:r>
          </w:p>
        </w:tc>
      </w:tr>
    </w:tbl>
    <w:p w14:paraId="573C6925">
      <w:pPr>
        <w:pStyle w:val="39"/>
        <w:ind w:firstLine="420"/>
      </w:pPr>
    </w:p>
    <w:p w14:paraId="20D3C886">
      <w:pPr>
        <w:pStyle w:val="39"/>
        <w:ind w:firstLine="420"/>
      </w:pPr>
    </w:p>
    <w:p w14:paraId="1BD6DD44">
      <w:pPr>
        <w:pStyle w:val="39"/>
        <w:ind w:firstLine="420"/>
      </w:pPr>
    </w:p>
    <w:p w14:paraId="7C52D9E1">
      <w:pPr>
        <w:pStyle w:val="39"/>
        <w:ind w:firstLine="420"/>
      </w:pPr>
    </w:p>
    <w:p w14:paraId="506C2A59">
      <w:pPr>
        <w:pStyle w:val="39"/>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pPr>
    </w:p>
    <w:p w14:paraId="558EBB49">
      <w:pPr>
        <w:pStyle w:val="201"/>
        <w:rPr>
          <w:vanish w:val="0"/>
        </w:rPr>
      </w:pPr>
    </w:p>
    <w:p w14:paraId="758F1C67">
      <w:pPr>
        <w:pStyle w:val="202"/>
        <w:rPr>
          <w:vanish w:val="0"/>
        </w:rPr>
      </w:pPr>
    </w:p>
    <w:p w14:paraId="28384476">
      <w:pPr>
        <w:pStyle w:val="80"/>
        <w:spacing w:after="156"/>
      </w:pPr>
      <w:r>
        <w:br w:type="textWrapping"/>
      </w:r>
      <w:bookmarkStart w:id="154" w:name="_Toc202797311"/>
      <w:r>
        <w:rPr>
          <w:rFonts w:hint="eastAsia"/>
        </w:rPr>
        <w:t>（资料性）</w:t>
      </w:r>
      <w:r>
        <w:br w:type="textWrapping"/>
      </w:r>
      <w:r>
        <w:rPr>
          <w:rFonts w:hint="eastAsia"/>
        </w:rPr>
        <w:t>现场验收的检查内容和要求</w:t>
      </w:r>
      <w:bookmarkEnd w:id="154"/>
    </w:p>
    <w:p w14:paraId="17E47CE1">
      <w:pPr>
        <w:pStyle w:val="39"/>
        <w:ind w:firstLine="420"/>
      </w:pPr>
      <w:r>
        <w:rPr>
          <w:rFonts w:hint="eastAsia"/>
        </w:rPr>
        <w:t>安装工程及并网工程检查内容和要求应符合表</w:t>
      </w:r>
      <w:r>
        <w:t>B</w:t>
      </w:r>
      <w:r>
        <w:rPr>
          <w:rFonts w:hint="eastAsia"/>
        </w:rPr>
        <w:t>.1的规定。</w:t>
      </w:r>
    </w:p>
    <w:p w14:paraId="4ED5C412">
      <w:pPr>
        <w:pStyle w:val="81"/>
        <w:spacing w:before="156" w:after="156"/>
      </w:pPr>
      <w:r>
        <w:rPr>
          <w:rFonts w:hint="eastAsia"/>
        </w:rPr>
        <w:t>检查内容和要求</w:t>
      </w:r>
    </w:p>
    <w:tbl>
      <w:tblPr>
        <w:tblStyle w:val="238"/>
        <w:tblW w:w="93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3"/>
        <w:gridCol w:w="1691"/>
        <w:gridCol w:w="7035"/>
      </w:tblGrid>
      <w:tr w14:paraId="7D9A6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29BF1DB5">
            <w:pPr>
              <w:spacing w:line="340" w:lineRule="exact"/>
              <w:jc w:val="center"/>
              <w:rPr>
                <w:rFonts w:ascii="宋体" w:hAnsi="宋体" w:cs="宋体" w:eastAsiaTheme="minorEastAsia"/>
                <w:bCs/>
                <w:kern w:val="0"/>
                <w:sz w:val="18"/>
                <w:szCs w:val="18"/>
              </w:rPr>
            </w:pPr>
            <w:r>
              <w:rPr>
                <w:rFonts w:hint="eastAsia" w:ascii="宋体" w:hAnsi="宋体" w:cs="宋体" w:eastAsiaTheme="minorEastAsia"/>
                <w:bCs/>
                <w:kern w:val="0"/>
                <w:sz w:val="18"/>
                <w:szCs w:val="18"/>
              </w:rPr>
              <w:t>序号</w:t>
            </w:r>
          </w:p>
        </w:tc>
        <w:tc>
          <w:tcPr>
            <w:tcW w:w="1691" w:type="dxa"/>
            <w:vAlign w:val="center"/>
          </w:tcPr>
          <w:p w14:paraId="0114C931">
            <w:pPr>
              <w:spacing w:line="340" w:lineRule="exact"/>
              <w:jc w:val="center"/>
              <w:rPr>
                <w:rFonts w:ascii="宋体" w:hAnsi="宋体" w:cs="宋体" w:eastAsiaTheme="minorEastAsia"/>
                <w:bCs/>
                <w:kern w:val="0"/>
                <w:sz w:val="18"/>
                <w:szCs w:val="18"/>
              </w:rPr>
            </w:pPr>
            <w:r>
              <w:rPr>
                <w:rFonts w:hint="eastAsia" w:ascii="宋体" w:hAnsi="宋体" w:cs="宋体" w:eastAsiaTheme="minorEastAsia"/>
                <w:bCs/>
                <w:kern w:val="0"/>
                <w:sz w:val="18"/>
                <w:szCs w:val="18"/>
              </w:rPr>
              <w:t>验收项目</w:t>
            </w:r>
          </w:p>
        </w:tc>
        <w:tc>
          <w:tcPr>
            <w:tcW w:w="7035" w:type="dxa"/>
            <w:vAlign w:val="center"/>
          </w:tcPr>
          <w:p w14:paraId="5E093272">
            <w:pPr>
              <w:spacing w:line="340" w:lineRule="exact"/>
              <w:jc w:val="center"/>
              <w:rPr>
                <w:rFonts w:ascii="宋体" w:hAnsi="宋体" w:cs="宋体" w:eastAsiaTheme="minorEastAsia"/>
                <w:bCs/>
                <w:kern w:val="0"/>
                <w:sz w:val="18"/>
                <w:szCs w:val="18"/>
              </w:rPr>
            </w:pPr>
            <w:r>
              <w:rPr>
                <w:rFonts w:hint="eastAsia" w:ascii="宋体" w:hAnsi="宋体" w:cs="宋体" w:eastAsiaTheme="minorEastAsia"/>
                <w:bCs/>
                <w:kern w:val="0"/>
                <w:sz w:val="18"/>
                <w:szCs w:val="18"/>
              </w:rPr>
              <w:t>要求</w:t>
            </w:r>
          </w:p>
        </w:tc>
      </w:tr>
      <w:tr w14:paraId="15FF7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79CD5845">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1.1</w:t>
            </w:r>
          </w:p>
        </w:tc>
        <w:tc>
          <w:tcPr>
            <w:tcW w:w="1691" w:type="dxa"/>
            <w:vAlign w:val="center"/>
          </w:tcPr>
          <w:p w14:paraId="5C713CF8">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发电量计量</w:t>
            </w:r>
          </w:p>
        </w:tc>
        <w:tc>
          <w:tcPr>
            <w:tcW w:w="7035" w:type="dxa"/>
            <w:vAlign w:val="center"/>
          </w:tcPr>
          <w:p w14:paraId="7A5EC04D">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分布式电源的发电出口(发电量计量)应安装具有电能信息采集功能的计量表</w:t>
            </w:r>
          </w:p>
        </w:tc>
      </w:tr>
      <w:tr w14:paraId="75E2C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074583D9">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1.2</w:t>
            </w:r>
          </w:p>
        </w:tc>
        <w:tc>
          <w:tcPr>
            <w:tcW w:w="1691" w:type="dxa"/>
            <w:vAlign w:val="center"/>
          </w:tcPr>
          <w:p w14:paraId="6DF849F7">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关口计量</w:t>
            </w:r>
          </w:p>
        </w:tc>
        <w:tc>
          <w:tcPr>
            <w:tcW w:w="7035" w:type="dxa"/>
            <w:vAlign w:val="center"/>
          </w:tcPr>
          <w:p w14:paraId="59D48536">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分布式电源与公用电网的连接点(关口计量)应安装具有电能信息采集功能的计量表</w:t>
            </w:r>
          </w:p>
        </w:tc>
      </w:tr>
      <w:tr w14:paraId="2450A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40A64D50">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1.3</w:t>
            </w:r>
          </w:p>
        </w:tc>
        <w:tc>
          <w:tcPr>
            <w:tcW w:w="1691" w:type="dxa"/>
            <w:vAlign w:val="center"/>
          </w:tcPr>
          <w:p w14:paraId="698F51B2">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计量装置</w:t>
            </w:r>
          </w:p>
        </w:tc>
        <w:tc>
          <w:tcPr>
            <w:tcW w:w="7035" w:type="dxa"/>
            <w:vAlign w:val="center"/>
          </w:tcPr>
          <w:p w14:paraId="28EB0192">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(1)计量装置按规定校验、安装、更换、加封；</w:t>
            </w:r>
          </w:p>
          <w:p w14:paraId="3F19D744">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(2)出具上、下网电能计量信息采集系统接入调试报告和测试报告。</w:t>
            </w:r>
          </w:p>
        </w:tc>
      </w:tr>
      <w:tr w14:paraId="21F2D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4BAA3E8A">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2.1</w:t>
            </w:r>
          </w:p>
        </w:tc>
        <w:tc>
          <w:tcPr>
            <w:tcW w:w="1691" w:type="dxa"/>
            <w:vAlign w:val="center"/>
          </w:tcPr>
          <w:p w14:paraId="7BE90CA0">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设备外观</w:t>
            </w:r>
          </w:p>
        </w:tc>
        <w:tc>
          <w:tcPr>
            <w:tcW w:w="7035" w:type="dxa"/>
            <w:vAlign w:val="center"/>
          </w:tcPr>
          <w:p w14:paraId="073479C6">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(1)设备安装基础符合要求；</w:t>
            </w:r>
          </w:p>
          <w:p w14:paraId="3575D250">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(2)设备铭牌清晰；</w:t>
            </w:r>
          </w:p>
          <w:p w14:paraId="0AC63FD7">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(3)油漆或电镀应牢固、平整，无剥落、锈蚀及裂痕等现象；</w:t>
            </w:r>
          </w:p>
          <w:p w14:paraId="29554570">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(4)电气导线无裸露、无损伤；</w:t>
            </w:r>
          </w:p>
          <w:p w14:paraId="19BD121B">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(5)接线牢固，紧固螺钉无松动 ；</w:t>
            </w:r>
          </w:p>
          <w:p w14:paraId="28992122">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(6)机构箱门平整、开启灵活、关闭紧密；</w:t>
            </w:r>
          </w:p>
          <w:p w14:paraId="30F737C3">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(7)所有金属结构及设备外露可导电部分均可靠接地；</w:t>
            </w:r>
          </w:p>
          <w:p w14:paraId="3131A83D">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(8)互感器套管支柱绝缘清洁、无放电现象。</w:t>
            </w:r>
          </w:p>
        </w:tc>
      </w:tr>
      <w:tr w14:paraId="3E69B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011664A7">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2.2</w:t>
            </w:r>
          </w:p>
        </w:tc>
        <w:tc>
          <w:tcPr>
            <w:tcW w:w="1691" w:type="dxa"/>
            <w:vAlign w:val="center"/>
          </w:tcPr>
          <w:p w14:paraId="456C8C7A">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安全标识</w:t>
            </w:r>
          </w:p>
        </w:tc>
        <w:tc>
          <w:tcPr>
            <w:tcW w:w="7035" w:type="dxa"/>
            <w:vAlign w:val="center"/>
          </w:tcPr>
          <w:p w14:paraId="37CD6DF4">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应标明“警告”、“双电源”等提示性文字和符号，标识的形状、颜色、尺寸和高度应符合GB 2894的有关规定</w:t>
            </w:r>
          </w:p>
        </w:tc>
      </w:tr>
      <w:tr w14:paraId="6C7AF1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47997E7D">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3.1</w:t>
            </w:r>
          </w:p>
        </w:tc>
        <w:tc>
          <w:tcPr>
            <w:tcW w:w="1691" w:type="dxa"/>
            <w:vAlign w:val="center"/>
          </w:tcPr>
          <w:p w14:paraId="5BFF9747">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一次接线</w:t>
            </w:r>
          </w:p>
        </w:tc>
        <w:tc>
          <w:tcPr>
            <w:tcW w:w="7035" w:type="dxa"/>
            <w:vAlign w:val="center"/>
          </w:tcPr>
          <w:p w14:paraId="2CA9EA95">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接线应整齐、规范</w:t>
            </w:r>
          </w:p>
        </w:tc>
      </w:tr>
      <w:tr w14:paraId="3ACF8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285C26F7">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3.2</w:t>
            </w:r>
          </w:p>
        </w:tc>
        <w:tc>
          <w:tcPr>
            <w:tcW w:w="1691" w:type="dxa"/>
            <w:vAlign w:val="center"/>
          </w:tcPr>
          <w:p w14:paraId="612D457F">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主要电气设备</w:t>
            </w:r>
          </w:p>
        </w:tc>
        <w:tc>
          <w:tcPr>
            <w:tcW w:w="7035" w:type="dxa"/>
            <w:vAlign w:val="center"/>
          </w:tcPr>
          <w:p w14:paraId="3B107FE6">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应具有相关试验报告、调试报告、产品合格证和随带的技术使用说明等文件；实行生产许可证和安全认证制度的产品，有许可证编号和安全认证标志</w:t>
            </w:r>
          </w:p>
        </w:tc>
      </w:tr>
      <w:tr w14:paraId="46F3CD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022EBFC3">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3.3</w:t>
            </w:r>
          </w:p>
        </w:tc>
        <w:tc>
          <w:tcPr>
            <w:tcW w:w="1691" w:type="dxa"/>
            <w:vAlign w:val="center"/>
          </w:tcPr>
          <w:p w14:paraId="2BD28515">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并网点开断设备</w:t>
            </w:r>
          </w:p>
        </w:tc>
        <w:tc>
          <w:tcPr>
            <w:tcW w:w="7035" w:type="dxa"/>
            <w:vAlign w:val="center"/>
          </w:tcPr>
          <w:p w14:paraId="0369AF92">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出具并网点开断设备测试报告</w:t>
            </w:r>
          </w:p>
        </w:tc>
      </w:tr>
      <w:tr w14:paraId="3FA30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7BC9F619">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3.4</w:t>
            </w:r>
          </w:p>
        </w:tc>
        <w:tc>
          <w:tcPr>
            <w:tcW w:w="1691" w:type="dxa"/>
            <w:vAlign w:val="center"/>
          </w:tcPr>
          <w:p w14:paraId="33933226">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一次回路电缆绝缘</w:t>
            </w:r>
          </w:p>
        </w:tc>
        <w:tc>
          <w:tcPr>
            <w:tcW w:w="7035" w:type="dxa"/>
            <w:vAlign w:val="center"/>
          </w:tcPr>
          <w:p w14:paraId="0BE14D26">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检查接入电网的电气连接点各回路的一次回路电缆的绝缘测试报告，其测试方法应符合GB</w:t>
            </w:r>
            <w:r>
              <w:rPr>
                <w:rFonts w:ascii="宋体" w:hAnsi="宋体" w:cs="宋体" w:eastAsiaTheme="minorEastAsia"/>
                <w:kern w:val="0"/>
                <w:sz w:val="18"/>
                <w:szCs w:val="18"/>
              </w:rPr>
              <w:t xml:space="preserve"> </w:t>
            </w:r>
            <w:r>
              <w:rPr>
                <w:rFonts w:hint="eastAsia" w:ascii="宋体" w:hAnsi="宋体" w:cs="宋体" w:eastAsiaTheme="minorEastAsia"/>
                <w:kern w:val="0"/>
                <w:sz w:val="18"/>
                <w:szCs w:val="18"/>
              </w:rPr>
              <w:t>50150的有关规定，测试结果应满足GB/T</w:t>
            </w:r>
            <w:r>
              <w:rPr>
                <w:rFonts w:ascii="宋体" w:hAnsi="宋体" w:cs="宋体" w:eastAsiaTheme="minorEastAsia"/>
                <w:kern w:val="0"/>
                <w:sz w:val="18"/>
                <w:szCs w:val="18"/>
              </w:rPr>
              <w:t xml:space="preserve"> </w:t>
            </w:r>
            <w:r>
              <w:rPr>
                <w:rFonts w:hint="eastAsia" w:ascii="宋体" w:hAnsi="宋体" w:cs="宋体" w:eastAsiaTheme="minorEastAsia"/>
                <w:kern w:val="0"/>
                <w:sz w:val="18"/>
                <w:szCs w:val="18"/>
              </w:rPr>
              <w:t>12706.1和GB/T</w:t>
            </w:r>
            <w:r>
              <w:rPr>
                <w:rFonts w:ascii="宋体" w:hAnsi="宋体" w:cs="宋体" w:eastAsiaTheme="minorEastAsia"/>
                <w:kern w:val="0"/>
                <w:sz w:val="18"/>
                <w:szCs w:val="18"/>
              </w:rPr>
              <w:t xml:space="preserve"> </w:t>
            </w:r>
            <w:r>
              <w:rPr>
                <w:rFonts w:hint="eastAsia" w:ascii="宋体" w:hAnsi="宋体" w:cs="宋体" w:eastAsiaTheme="minorEastAsia"/>
                <w:kern w:val="0"/>
                <w:sz w:val="18"/>
                <w:szCs w:val="18"/>
              </w:rPr>
              <w:t>12706.2的有关规定</w:t>
            </w:r>
          </w:p>
        </w:tc>
      </w:tr>
      <w:tr w14:paraId="5AB9D4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7A396A98">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4.1</w:t>
            </w:r>
          </w:p>
        </w:tc>
        <w:tc>
          <w:tcPr>
            <w:tcW w:w="1691" w:type="dxa"/>
            <w:vAlign w:val="center"/>
          </w:tcPr>
          <w:p w14:paraId="4221D155">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二次接线</w:t>
            </w:r>
          </w:p>
        </w:tc>
        <w:tc>
          <w:tcPr>
            <w:tcW w:w="7035" w:type="dxa"/>
            <w:vAlign w:val="center"/>
          </w:tcPr>
          <w:p w14:paraId="1DDFB400">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接线应整齐、规范</w:t>
            </w:r>
          </w:p>
        </w:tc>
      </w:tr>
      <w:tr w14:paraId="5744A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45645645">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4.2</w:t>
            </w:r>
          </w:p>
        </w:tc>
        <w:tc>
          <w:tcPr>
            <w:tcW w:w="1691" w:type="dxa"/>
            <w:vAlign w:val="center"/>
          </w:tcPr>
          <w:p w14:paraId="5EF929DB">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二次回路电缆绝缘</w:t>
            </w:r>
          </w:p>
        </w:tc>
        <w:tc>
          <w:tcPr>
            <w:tcW w:w="7035" w:type="dxa"/>
            <w:vAlign w:val="center"/>
          </w:tcPr>
          <w:p w14:paraId="2B39114D">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检查接入电网的控制电缆和通信电缆等二次电缆的绝缘测试报告，其测试方法应符合GB 50150的有关规定，测试结果应满足GB/T</w:t>
            </w:r>
            <w:r>
              <w:rPr>
                <w:rFonts w:ascii="宋体" w:hAnsi="宋体" w:cs="宋体" w:eastAsiaTheme="minorEastAsia"/>
                <w:kern w:val="0"/>
                <w:sz w:val="18"/>
                <w:szCs w:val="18"/>
              </w:rPr>
              <w:t xml:space="preserve"> </w:t>
            </w:r>
            <w:r>
              <w:rPr>
                <w:rFonts w:hint="eastAsia" w:ascii="宋体" w:hAnsi="宋体" w:cs="宋体" w:eastAsiaTheme="minorEastAsia"/>
                <w:kern w:val="0"/>
                <w:sz w:val="18"/>
                <w:szCs w:val="18"/>
              </w:rPr>
              <w:t>12706.1和GB/T</w:t>
            </w:r>
            <w:r>
              <w:rPr>
                <w:rFonts w:ascii="宋体" w:hAnsi="宋体" w:cs="宋体" w:eastAsiaTheme="minorEastAsia"/>
                <w:kern w:val="0"/>
                <w:sz w:val="18"/>
                <w:szCs w:val="18"/>
              </w:rPr>
              <w:t xml:space="preserve"> </w:t>
            </w:r>
            <w:r>
              <w:rPr>
                <w:rFonts w:hint="eastAsia" w:ascii="宋体" w:hAnsi="宋体" w:cs="宋体" w:eastAsiaTheme="minorEastAsia"/>
                <w:kern w:val="0"/>
                <w:sz w:val="18"/>
                <w:szCs w:val="18"/>
              </w:rPr>
              <w:t>12706.2的有关规定</w:t>
            </w:r>
          </w:p>
        </w:tc>
      </w:tr>
      <w:tr w14:paraId="33F73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33C5B233">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4.3</w:t>
            </w:r>
          </w:p>
        </w:tc>
        <w:tc>
          <w:tcPr>
            <w:tcW w:w="1691" w:type="dxa"/>
            <w:vAlign w:val="center"/>
          </w:tcPr>
          <w:p w14:paraId="2368D8C8">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涉网保护</w:t>
            </w:r>
          </w:p>
        </w:tc>
        <w:tc>
          <w:tcPr>
            <w:tcW w:w="7035" w:type="dxa"/>
            <w:vAlign w:val="center"/>
          </w:tcPr>
          <w:p w14:paraId="60CF5A44">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(1)涉网保护配置和参数整定符合GB/T</w:t>
            </w:r>
            <w:r>
              <w:rPr>
                <w:rFonts w:ascii="宋体" w:hAnsi="宋体" w:cs="宋体" w:eastAsiaTheme="minorEastAsia"/>
                <w:kern w:val="0"/>
                <w:sz w:val="18"/>
                <w:szCs w:val="18"/>
              </w:rPr>
              <w:t xml:space="preserve"> </w:t>
            </w:r>
            <w:r>
              <w:rPr>
                <w:rFonts w:hint="eastAsia" w:ascii="宋体" w:hAnsi="宋体" w:cs="宋体" w:eastAsiaTheme="minorEastAsia"/>
                <w:kern w:val="0"/>
                <w:sz w:val="18"/>
                <w:szCs w:val="18"/>
              </w:rPr>
              <w:t>33593的有关规定；</w:t>
            </w:r>
          </w:p>
          <w:p w14:paraId="1E53B3DD">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(2)保护定值应与电网企业提供的保护定值单一致；</w:t>
            </w:r>
          </w:p>
          <w:p w14:paraId="30A9FBFA">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(3)防孤岛保护动作时间不大于2s。</w:t>
            </w:r>
          </w:p>
        </w:tc>
      </w:tr>
      <w:tr w14:paraId="18AE8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2715DE93">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5.1</w:t>
            </w:r>
          </w:p>
        </w:tc>
        <w:tc>
          <w:tcPr>
            <w:tcW w:w="1691" w:type="dxa"/>
            <w:vAlign w:val="center"/>
          </w:tcPr>
          <w:p w14:paraId="5484AEFB">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电能质量</w:t>
            </w:r>
          </w:p>
        </w:tc>
        <w:tc>
          <w:tcPr>
            <w:tcW w:w="7035" w:type="dxa"/>
            <w:vAlign w:val="center"/>
          </w:tcPr>
          <w:p w14:paraId="5524CEEE">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(1)电压偏差： 20kV及以下三相供电电压偏差为标称电压的士7%,220V单相供电电压偏差为标称电压的十7%,-10%；</w:t>
            </w:r>
          </w:p>
          <w:p w14:paraId="086847DD">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 xml:space="preserve">(2)频率范围：连续运行48.5Hz～50.5Hz； </w:t>
            </w:r>
          </w:p>
          <w:p w14:paraId="5807BA75">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(3)谐波：满足GB/T 14549-93中“表2注入公共连接点的谐波电流允许值”；</w:t>
            </w:r>
          </w:p>
          <w:p w14:paraId="375ADD5E">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(4)直流分量：向公共连接点注入的直流电流分量应不超过其交流额定功率的0.5%；</w:t>
            </w:r>
          </w:p>
          <w:p w14:paraId="0BC2417D">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（5）功率因数：超前0.95～滞后0.95。</w:t>
            </w:r>
          </w:p>
        </w:tc>
      </w:tr>
      <w:tr w14:paraId="0E838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4DA93EF6">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6.1</w:t>
            </w:r>
          </w:p>
        </w:tc>
        <w:tc>
          <w:tcPr>
            <w:tcW w:w="1691" w:type="dxa"/>
            <w:vAlign w:val="center"/>
          </w:tcPr>
          <w:p w14:paraId="00AABA4E">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防雷和接地</w:t>
            </w:r>
          </w:p>
        </w:tc>
        <w:tc>
          <w:tcPr>
            <w:tcW w:w="7035" w:type="dxa"/>
            <w:vAlign w:val="center"/>
          </w:tcPr>
          <w:p w14:paraId="57A37C12">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(1)检查接地系统的接地电阻测试报告，其测试方法应符合GB/T 21431的有关规定，测试结果应符合GB/T 50065的有关规定；</w:t>
            </w:r>
          </w:p>
          <w:p w14:paraId="7B6C3AA9">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(2)每个光伏方阵接地网接地电阻现场检测数量不少于2个点（对角位置）；每台电气设备现场检测数量不少于2个点（设备外壳接地端、附近接地干线）。</w:t>
            </w:r>
          </w:p>
        </w:tc>
      </w:tr>
      <w:tr w14:paraId="10CD4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593" w:type="dxa"/>
            <w:vAlign w:val="center"/>
          </w:tcPr>
          <w:p w14:paraId="088C8F2D">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7.1</w:t>
            </w:r>
          </w:p>
        </w:tc>
        <w:tc>
          <w:tcPr>
            <w:tcW w:w="1691" w:type="dxa"/>
            <w:vAlign w:val="center"/>
          </w:tcPr>
          <w:p w14:paraId="0B3F3A06">
            <w:pPr>
              <w:widowControl/>
              <w:snapToGrid w:val="0"/>
              <w:jc w:val="center"/>
              <w:rPr>
                <w:rFonts w:ascii="宋体" w:hAnsi="宋体" w:cs="宋体" w:eastAsiaTheme="minorEastAsia"/>
                <w:kern w:val="0"/>
                <w:sz w:val="18"/>
                <w:szCs w:val="18"/>
              </w:rPr>
            </w:pPr>
            <w:r>
              <w:rPr>
                <w:rFonts w:hint="eastAsia" w:ascii="宋体" w:hAnsi="宋体" w:cs="宋体" w:eastAsiaTheme="minorEastAsia"/>
                <w:kern w:val="0"/>
                <w:sz w:val="18"/>
                <w:szCs w:val="18"/>
              </w:rPr>
              <w:t>其他</w:t>
            </w:r>
          </w:p>
        </w:tc>
        <w:tc>
          <w:tcPr>
            <w:tcW w:w="7035" w:type="dxa"/>
            <w:vAlign w:val="center"/>
          </w:tcPr>
          <w:p w14:paraId="4FDE90DF">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(1)消防器</w:t>
            </w:r>
            <w:r>
              <w:rPr>
                <w:rFonts w:hint="eastAsia" w:ascii="宋体" w:hAnsi="宋体" w:cs="宋体" w:eastAsiaTheme="minorEastAsia"/>
                <w:kern w:val="0"/>
                <w:sz w:val="18"/>
                <w:szCs w:val="18"/>
                <w:lang w:val="en-US" w:eastAsia="zh-CN"/>
              </w:rPr>
              <w:t>材</w:t>
            </w:r>
            <w:r>
              <w:rPr>
                <w:rFonts w:hint="eastAsia" w:ascii="宋体" w:hAnsi="宋体" w:cs="宋体" w:eastAsiaTheme="minorEastAsia"/>
                <w:kern w:val="0"/>
                <w:sz w:val="18"/>
                <w:szCs w:val="18"/>
              </w:rPr>
              <w:t>配置齐全；</w:t>
            </w:r>
          </w:p>
          <w:p w14:paraId="29A7C620">
            <w:pPr>
              <w:widowControl/>
              <w:snapToGrid w:val="0"/>
              <w:jc w:val="left"/>
              <w:rPr>
                <w:rFonts w:ascii="宋体" w:hAnsi="宋体" w:cs="宋体" w:eastAsiaTheme="minorEastAsia"/>
                <w:kern w:val="0"/>
                <w:sz w:val="18"/>
                <w:szCs w:val="18"/>
              </w:rPr>
            </w:pPr>
            <w:r>
              <w:rPr>
                <w:rFonts w:hint="eastAsia" w:ascii="宋体" w:hAnsi="宋体" w:cs="宋体" w:eastAsiaTheme="minorEastAsia"/>
                <w:kern w:val="0"/>
                <w:sz w:val="18"/>
                <w:szCs w:val="18"/>
              </w:rPr>
              <w:t>(2)防水、防火封堵，防小动物等措施完备。</w:t>
            </w:r>
          </w:p>
        </w:tc>
      </w:tr>
    </w:tbl>
    <w:p w14:paraId="2491DF7B">
      <w:pPr>
        <w:pStyle w:val="39"/>
        <w:ind w:firstLine="420"/>
      </w:pPr>
    </w:p>
    <w:p w14:paraId="23AB9566">
      <w:pPr>
        <w:pStyle w:val="39"/>
        <w:ind w:firstLine="420"/>
      </w:pPr>
    </w:p>
    <w:p w14:paraId="3A9BFC9A">
      <w:pPr>
        <w:pStyle w:val="39"/>
        <w:ind w:firstLine="420"/>
      </w:pPr>
    </w:p>
    <w:p w14:paraId="3BEAC728">
      <w:pPr>
        <w:pStyle w:val="39"/>
        <w:ind w:firstLine="420"/>
      </w:pPr>
    </w:p>
    <w:p w14:paraId="7FCF44B1">
      <w:pPr>
        <w:pStyle w:val="39"/>
        <w:ind w:firstLine="420"/>
      </w:pPr>
    </w:p>
    <w:p w14:paraId="64239AAF">
      <w:pPr>
        <w:pStyle w:val="39"/>
        <w:ind w:firstLine="420"/>
      </w:pPr>
    </w:p>
    <w:bookmarkEnd w:id="152"/>
    <w:p w14:paraId="572CC8AC">
      <w:pPr>
        <w:pStyle w:val="168"/>
        <w:numPr>
          <w:ilvl w:val="0"/>
          <w:numId w:val="0"/>
        </w:numPr>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pPr>
      <w:bookmarkStart w:id="155" w:name="BookMark6"/>
    </w:p>
    <w:p w14:paraId="7A827EF4">
      <w:pPr>
        <w:pStyle w:val="67"/>
        <w:spacing w:after="156"/>
      </w:pPr>
      <w:bookmarkStart w:id="156" w:name="_Toc202796727"/>
      <w:bookmarkStart w:id="157" w:name="_Toc202797312"/>
      <w:r>
        <w:rPr>
          <w:rFonts w:hint="eastAsia"/>
          <w:spacing w:val="105"/>
        </w:rPr>
        <w:t>参考文</w:t>
      </w:r>
      <w:r>
        <w:rPr>
          <w:rFonts w:hint="eastAsia"/>
        </w:rPr>
        <w:t>献</w:t>
      </w:r>
      <w:bookmarkEnd w:id="156"/>
      <w:bookmarkEnd w:id="157"/>
    </w:p>
    <w:p w14:paraId="246DDE97">
      <w:pPr>
        <w:pStyle w:val="39"/>
        <w:ind w:firstLine="420"/>
        <w:rPr>
          <w:rFonts w:ascii="Times New Roman"/>
        </w:rPr>
      </w:pPr>
      <w:r>
        <w:rPr>
          <w:rFonts w:ascii="Times New Roman"/>
        </w:rPr>
        <w:t>[</w:t>
      </w:r>
      <w:r>
        <w:rPr>
          <w:rFonts w:hint="eastAsia" w:ascii="Times New Roman"/>
        </w:rPr>
        <w:t>1</w:t>
      </w:r>
      <w:r>
        <w:rPr>
          <w:rFonts w:ascii="Times New Roman"/>
        </w:rPr>
        <w:t>]  GB/T 17215.322  交流电测量设备特殊要求第22部分：静止式有功电能表(0.2S</w:t>
      </w:r>
      <w:r>
        <w:rPr>
          <w:rFonts w:hint="eastAsia" w:ascii="Times New Roman"/>
        </w:rPr>
        <w:t xml:space="preserve"> </w:t>
      </w:r>
      <w:r>
        <w:rPr>
          <w:rFonts w:ascii="Times New Roman"/>
        </w:rPr>
        <w:t>级和0.5S</w:t>
      </w:r>
      <w:r>
        <w:rPr>
          <w:rFonts w:hint="eastAsia" w:ascii="Times New Roman"/>
        </w:rPr>
        <w:t xml:space="preserve"> </w:t>
      </w:r>
      <w:r>
        <w:rPr>
          <w:rFonts w:ascii="Times New Roman"/>
        </w:rPr>
        <w:t>级)</w:t>
      </w:r>
    </w:p>
    <w:p w14:paraId="4866DB76">
      <w:pPr>
        <w:pStyle w:val="39"/>
        <w:ind w:firstLine="420"/>
        <w:rPr>
          <w:rFonts w:ascii="Times New Roman"/>
        </w:rPr>
      </w:pPr>
      <w:r>
        <w:rPr>
          <w:rFonts w:ascii="Times New Roman"/>
        </w:rPr>
        <w:t>[</w:t>
      </w:r>
      <w:r>
        <w:rPr>
          <w:rFonts w:hint="eastAsia" w:ascii="Times New Roman"/>
        </w:rPr>
        <w:t>2</w:t>
      </w:r>
      <w:r>
        <w:rPr>
          <w:rFonts w:ascii="Times New Roman"/>
        </w:rPr>
        <w:t>]  GB 50052  供配电系统设计规范</w:t>
      </w:r>
    </w:p>
    <w:p w14:paraId="181ED956">
      <w:pPr>
        <w:pStyle w:val="39"/>
        <w:ind w:firstLine="420"/>
        <w:rPr>
          <w:rFonts w:ascii="Times New Roman"/>
        </w:rPr>
      </w:pPr>
      <w:r>
        <w:rPr>
          <w:rFonts w:ascii="Times New Roman"/>
        </w:rPr>
        <w:t>[3]</w:t>
      </w:r>
      <w:r>
        <w:rPr>
          <w:rFonts w:hint="eastAsia" w:ascii="Times New Roman"/>
        </w:rPr>
        <w:t xml:space="preserve">  </w:t>
      </w:r>
      <w:r>
        <w:rPr>
          <w:rFonts w:ascii="Times New Roman"/>
        </w:rPr>
        <w:t xml:space="preserve">GB/T </w:t>
      </w:r>
      <w:r>
        <w:rPr>
          <w:rFonts w:hint="eastAsia" w:ascii="Times New Roman"/>
        </w:rPr>
        <w:t>50796  光伏发电工程验收规范</w:t>
      </w:r>
    </w:p>
    <w:p w14:paraId="4B17E2D2">
      <w:pPr>
        <w:pStyle w:val="39"/>
        <w:ind w:firstLine="420"/>
        <w:rPr>
          <w:rFonts w:ascii="Times New Roman"/>
        </w:rPr>
      </w:pPr>
      <w:r>
        <w:rPr>
          <w:rFonts w:ascii="Times New Roman"/>
        </w:rPr>
        <w:t>[4]  GB 51348  民用建筑电气设计标准</w:t>
      </w:r>
    </w:p>
    <w:p w14:paraId="3BF2DEE1">
      <w:pPr>
        <w:pStyle w:val="39"/>
        <w:ind w:firstLine="420"/>
        <w:rPr>
          <w:rFonts w:ascii="Times New Roman"/>
        </w:rPr>
      </w:pPr>
      <w:r>
        <w:rPr>
          <w:rFonts w:ascii="Times New Roman"/>
        </w:rPr>
        <w:t>[5]  DL/T 614  多功能电能表</w:t>
      </w:r>
    </w:p>
    <w:p w14:paraId="7B0B59E2">
      <w:pPr>
        <w:pStyle w:val="39"/>
        <w:ind w:firstLine="420"/>
        <w:rPr>
          <w:rFonts w:ascii="Times New Roman"/>
        </w:rPr>
      </w:pPr>
      <w:r>
        <w:rPr>
          <w:rFonts w:ascii="Times New Roman"/>
        </w:rPr>
        <w:t>[6]  DL/T 645  多功能电能表通信协议</w:t>
      </w:r>
    </w:p>
    <w:p w14:paraId="5B8549A7">
      <w:pPr>
        <w:pStyle w:val="39"/>
        <w:ind w:firstLine="420"/>
        <w:rPr>
          <w:rFonts w:ascii="Times New Roman"/>
        </w:rPr>
      </w:pPr>
      <w:r>
        <w:rPr>
          <w:rFonts w:ascii="Times New Roman"/>
        </w:rPr>
        <w:t>[7]  DL/T 1917  电力用户业扩报装技术规范</w:t>
      </w:r>
    </w:p>
    <w:p w14:paraId="50D40CB1">
      <w:pPr>
        <w:pStyle w:val="39"/>
        <w:ind w:firstLine="420"/>
        <w:rPr>
          <w:rFonts w:ascii="Times New Roman"/>
        </w:rPr>
      </w:pPr>
      <w:r>
        <w:rPr>
          <w:rFonts w:ascii="Times New Roman"/>
        </w:rPr>
        <w:t>[8]  DL/T 2041  分布式电源接入电网承载力评估导则</w:t>
      </w:r>
    </w:p>
    <w:p w14:paraId="798A6AED">
      <w:pPr>
        <w:pStyle w:val="39"/>
        <w:ind w:firstLine="420"/>
        <w:rPr>
          <w:rFonts w:ascii="Times New Roman"/>
        </w:rPr>
      </w:pPr>
      <w:r>
        <w:rPr>
          <w:rFonts w:ascii="Times New Roman"/>
        </w:rPr>
        <w:t>[9]  DL/T 5729   配电网规划设计技术导则</w:t>
      </w:r>
    </w:p>
    <w:p w14:paraId="0AE6BFEB">
      <w:pPr>
        <w:pStyle w:val="39"/>
        <w:ind w:firstLine="420"/>
        <w:rPr>
          <w:rFonts w:ascii="Times New Roman"/>
        </w:rPr>
      </w:pPr>
      <w:r>
        <w:rPr>
          <w:rFonts w:ascii="Times New Roman"/>
        </w:rPr>
        <w:t>[10]  NB/T 32015  分布式电源接入配电网技术规定</w:t>
      </w:r>
    </w:p>
    <w:bookmarkEnd w:id="155"/>
    <w:p w14:paraId="505D02CF">
      <w:pPr>
        <w:pStyle w:val="168"/>
        <w:numPr>
          <w:ilvl w:val="0"/>
          <w:numId w:val="0"/>
        </w:numPr>
        <w:jc w:val="center"/>
      </w:pPr>
      <w:bookmarkStart w:id="158"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8"/>
    </w:p>
    <w:p w14:paraId="4E590E1D">
      <w:r>
        <w:br w:type="page"/>
      </w:r>
    </w:p>
    <w:p w14:paraId="063E4732">
      <w:pPr>
        <w:pStyle w:val="235"/>
        <w:rPr>
          <w:rFonts w:ascii="Times New Roman" w:cs="宋体"/>
        </w:rPr>
      </w:pPr>
    </w:p>
    <w:p w14:paraId="2801D0D4">
      <w:pPr>
        <w:pStyle w:val="235"/>
        <w:rPr>
          <w:rFonts w:ascii="Times New Roman" w:cs="宋体"/>
        </w:rPr>
      </w:pPr>
    </w:p>
    <w:p w14:paraId="50CA6460">
      <w:pPr>
        <w:pStyle w:val="235"/>
        <w:rPr>
          <w:rFonts w:ascii="Times New Roman" w:cs="宋体"/>
        </w:rPr>
      </w:pPr>
    </w:p>
    <w:p w14:paraId="055D13CA">
      <w:pPr>
        <w:pStyle w:val="168"/>
        <w:numPr>
          <w:ilvl w:val="0"/>
          <w:numId w:val="0"/>
        </w:numPr>
        <w:jc w:val="center"/>
      </w:pPr>
    </w:p>
    <w:sectPr>
      <w:headerReference r:id="rId25" w:type="default"/>
      <w:footerReference r:id="rId27" w:type="default"/>
      <w:headerReference r:id="rId26" w:type="even"/>
      <w:footerReference r:id="rId28"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DF200">
    <w:pPr>
      <w:pStyle w:val="19"/>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10020">
    <w:pPr>
      <w:pStyle w:val="56"/>
    </w:pPr>
    <w:r>
      <w:fldChar w:fldCharType="begin"/>
    </w:r>
    <w:r>
      <w:instrText xml:space="preserve"> PAGE   \* MERGEFORMAT \* MERGEFORMAT </w:instrText>
    </w:r>
    <w:r>
      <w:fldChar w:fldCharType="separate"/>
    </w:r>
    <w:r>
      <w:t>18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CBDF3">
    <w:pPr>
      <w:pStyle w:val="57"/>
    </w:pPr>
    <w:r>
      <w:fldChar w:fldCharType="begin"/>
    </w:r>
    <w:r>
      <w:instrText xml:space="preserve">PAGE   \* MERGEFORMAT</w:instrText>
    </w:r>
    <w:r>
      <w:fldChar w:fldCharType="separate"/>
    </w:r>
    <w:r>
      <w:rPr>
        <w:lang w:val="zh-CN"/>
      </w:rPr>
      <w:t>19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1064E">
    <w:pPr>
      <w:pStyle w:val="56"/>
    </w:pPr>
    <w:r>
      <w:fldChar w:fldCharType="begin"/>
    </w:r>
    <w:r>
      <w:instrText xml:space="preserve"> PAGE   \* MERGEFORMAT \* MERGEFORMAT </w:instrText>
    </w:r>
    <w:r>
      <w:fldChar w:fldCharType="separate"/>
    </w:r>
    <w:r>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AB370">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97A0C">
    <w:pPr>
      <w:pStyle w:val="57"/>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B7360">
    <w:pPr>
      <w:pStyle w:val="56"/>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6660F">
    <w:pPr>
      <w:pStyle w:val="57"/>
    </w:pPr>
    <w:r>
      <w:fldChar w:fldCharType="begin"/>
    </w:r>
    <w:r>
      <w:instrText xml:space="preserve">PAGE   \* MERGEFORMAT</w:instrText>
    </w:r>
    <w:r>
      <w:fldChar w:fldCharType="separate"/>
    </w:r>
    <w:r>
      <w:rPr>
        <w:lang w:val="zh-CN"/>
      </w:rPr>
      <w:t>III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FEC0F">
    <w:pPr>
      <w:pStyle w:val="56"/>
    </w:pPr>
    <w:r>
      <w:fldChar w:fldCharType="begin"/>
    </w:r>
    <w:r>
      <w:instrText xml:space="preserve"> PAGE   \* MERGEFORMAT \* MERGEFORMAT </w:instrText>
    </w:r>
    <w:r>
      <w:fldChar w:fldCharType="separate"/>
    </w:r>
    <w: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37ADB">
    <w:pPr>
      <w:pStyle w:val="57"/>
    </w:pPr>
    <w:r>
      <w:fldChar w:fldCharType="begin"/>
    </w:r>
    <w:r>
      <w:instrText xml:space="preserve">PAGE   \* MERGEFORMAT</w:instrText>
    </w:r>
    <w:r>
      <w:fldChar w:fldCharType="separate"/>
    </w:r>
    <w:r>
      <w:rPr>
        <w:lang w:val="zh-CN"/>
      </w:rPr>
      <w:t>11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833C4">
    <w:pPr>
      <w:pStyle w:val="56"/>
    </w:pPr>
    <w:r>
      <w:fldChar w:fldCharType="begin"/>
    </w:r>
    <w:r>
      <w:instrText xml:space="preserve"> PAGE   \* MERGEFORMAT \* MERGEFORMAT </w:instrText>
    </w:r>
    <w:r>
      <w:fldChar w:fldCharType="separate"/>
    </w:r>
    <w:r>
      <w:t>10</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9F9D9">
    <w:pPr>
      <w:pStyle w:val="57"/>
    </w:pPr>
    <w:r>
      <w:fldChar w:fldCharType="begin"/>
    </w:r>
    <w:r>
      <w:instrText xml:space="preserve">PAGE   \* MERGEFORMAT</w:instrText>
    </w:r>
    <w:r>
      <w:fldChar w:fldCharType="separate"/>
    </w:r>
    <w:r>
      <w:rPr>
        <w:lang w:val="zh-CN"/>
      </w:rPr>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EB8DC">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0D050">
    <w:pPr>
      <w:pStyle w:val="66"/>
    </w:pPr>
    <w:r>
      <w:fldChar w:fldCharType="begin"/>
    </w:r>
    <w:r>
      <w:instrText xml:space="preserve"> STYLEREF  标准文件_文件编号 \* MERGEFORMAT </w:instrText>
    </w:r>
    <w:r>
      <w:fldChar w:fldCharType="separate"/>
    </w:r>
    <w:r>
      <w:t>DB 34/T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DF122">
    <w:pPr>
      <w:pStyle w:val="65"/>
    </w:pPr>
    <w:r>
      <w:fldChar w:fldCharType="begin"/>
    </w:r>
    <w:r>
      <w:instrText xml:space="preserve"> STYLEREF  标准文件_文件编号  \* MERGEFORMAT </w:instrText>
    </w:r>
    <w:r>
      <w:fldChar w:fldCharType="separate"/>
    </w:r>
    <w:r>
      <w:t>DB 34/T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86C31">
    <w:pPr>
      <w:pStyle w:val="66"/>
    </w:pPr>
    <w:r>
      <w:fldChar w:fldCharType="begin"/>
    </w:r>
    <w:r>
      <w:instrText xml:space="preserve"> STYLEREF  标准文件_文件编号 \* MERGEFORMAT </w:instrText>
    </w:r>
    <w:r>
      <w:fldChar w:fldCharType="separate"/>
    </w:r>
    <w:r>
      <w:t>DB 34/T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614FE">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8B31F">
    <w:pPr>
      <w:pStyle w:val="65"/>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53FC9">
    <w:pPr>
      <w:pStyle w:val="66"/>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40F19">
    <w:pPr>
      <w:pStyle w:val="65"/>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A6FBB">
    <w:pPr>
      <w:pStyle w:val="66"/>
    </w:pPr>
    <w:r>
      <w:fldChar w:fldCharType="begin"/>
    </w:r>
    <w:r>
      <w:instrText xml:space="preserve"> STYLEREF  标准文件_文件编号 \* MERGEFORMAT </w:instrText>
    </w:r>
    <w:r>
      <w:fldChar w:fldCharType="separate"/>
    </w:r>
    <w: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2AD39">
    <w:pPr>
      <w:pStyle w:val="65"/>
    </w:pPr>
    <w:r>
      <w:fldChar w:fldCharType="begin"/>
    </w:r>
    <w:r>
      <w:instrText xml:space="preserve"> STYLEREF  标准文件_文件编号  \* MERGEFORMAT </w:instrText>
    </w:r>
    <w:r>
      <w:fldChar w:fldCharType="separate"/>
    </w:r>
    <w:r>
      <w:t>DB 34/T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F4E19">
    <w:pPr>
      <w:pStyle w:val="66"/>
    </w:pPr>
    <w:r>
      <w:fldChar w:fldCharType="begin"/>
    </w:r>
    <w:r>
      <w:instrText xml:space="preserve"> STYLEREF  标准文件_文件编号 \* MERGEFORMAT </w:instrText>
    </w:r>
    <w:r>
      <w:fldChar w:fldCharType="separate"/>
    </w:r>
    <w:r>
      <w:t>DB 34/T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50E4A">
    <w:pPr>
      <w:pStyle w:val="65"/>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decimal"/>
      <w:pStyle w:val="237"/>
      <w:suff w:val="nothing"/>
      <w:lvlText w:val="注%1："/>
      <w:lvlJc w:val="left"/>
      <w:pPr>
        <w:ind w:left="811" w:hanging="448"/>
      </w:pPr>
      <w:rPr>
        <w:rFonts w:hint="eastAsia" w:ascii="黑体" w:eastAsia="黑体"/>
        <w:b w:val="0"/>
        <w:i w:val="0"/>
        <w:sz w:val="18"/>
        <w:vertAlign w:val="baseline"/>
        <w:lang w:val="en-US"/>
      </w:rPr>
    </w:lvl>
    <w:lvl w:ilvl="1" w:tentative="0">
      <w:start w:val="1"/>
      <w:numFmt w:val="lowerLetter"/>
      <w:lvlText w:val="%2)"/>
      <w:lvlJc w:val="left"/>
      <w:pPr>
        <w:tabs>
          <w:tab w:val="left" w:pos="0"/>
        </w:tabs>
        <w:ind w:left="992" w:hanging="629"/>
      </w:pPr>
      <w:rPr>
        <w:rFonts w:hint="eastAsia"/>
        <w:vertAlign w:val="baseline"/>
      </w:rPr>
    </w:lvl>
    <w:lvl w:ilvl="2" w:tentative="0">
      <w:start w:val="1"/>
      <w:numFmt w:val="lowerRoman"/>
      <w:lvlText w:val="%3."/>
      <w:lvlJc w:val="right"/>
      <w:pPr>
        <w:tabs>
          <w:tab w:val="left" w:pos="0"/>
        </w:tabs>
        <w:ind w:left="992" w:hanging="629"/>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46"/>
      <w:suff w:val="nothing"/>
      <w:lvlText w:val="%1　"/>
      <w:lvlJc w:val="left"/>
      <w:pPr>
        <w:ind w:left="426" w:firstLine="0"/>
      </w:pPr>
      <w:rPr>
        <w:rFonts w:hint="eastAsia" w:ascii="黑体" w:hAnsi="Times New Roman" w:eastAsia="黑体"/>
        <w:b w:val="0"/>
        <w:i w:val="0"/>
        <w:sz w:val="21"/>
        <w:szCs w:val="21"/>
      </w:rPr>
    </w:lvl>
    <w:lvl w:ilvl="1" w:tentative="0">
      <w:start w:val="1"/>
      <w:numFmt w:val="decimal"/>
      <w:pStyle w:val="245"/>
      <w:suff w:val="nothing"/>
      <w:lvlText w:val="%1.%2　"/>
      <w:lvlJc w:val="left"/>
      <w:pPr>
        <w:ind w:left="284"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44"/>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38"/>
      <w:suff w:val="nothing"/>
      <w:lvlText w:val="表%1　"/>
      <w:lvlJc w:val="left"/>
      <w:pPr>
        <w:ind w:left="3545"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426"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2"/>
      <w:lvlText w:val="%1注："/>
      <w:lvlJc w:val="left"/>
      <w:pPr>
        <w:ind w:left="5052"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3"/>
  </w:num>
  <w:num w:numId="2">
    <w:abstractNumId w:val="1"/>
  </w:num>
  <w:num w:numId="3">
    <w:abstractNumId w:val="29"/>
  </w:num>
  <w:num w:numId="4">
    <w:abstractNumId w:val="6"/>
  </w:num>
  <w:num w:numId="5">
    <w:abstractNumId w:val="25"/>
  </w:num>
  <w:num w:numId="6">
    <w:abstractNumId w:val="20"/>
  </w:num>
  <w:num w:numId="7">
    <w:abstractNumId w:val="15"/>
  </w:num>
  <w:num w:numId="8">
    <w:abstractNumId w:val="9"/>
  </w:num>
  <w:num w:numId="9">
    <w:abstractNumId w:val="4"/>
  </w:num>
  <w:num w:numId="10">
    <w:abstractNumId w:val="10"/>
  </w:num>
  <w:num w:numId="11">
    <w:abstractNumId w:val="18"/>
  </w:num>
  <w:num w:numId="12">
    <w:abstractNumId w:val="27"/>
  </w:num>
  <w:num w:numId="13">
    <w:abstractNumId w:val="13"/>
  </w:num>
  <w:num w:numId="14">
    <w:abstractNumId w:val="14"/>
  </w:num>
  <w:num w:numId="15">
    <w:abstractNumId w:val="8"/>
  </w:num>
  <w:num w:numId="16">
    <w:abstractNumId w:val="21"/>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0"/>
  </w:num>
  <w:num w:numId="33">
    <w:abstractNumId w:val="11"/>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AES" w:cryptAlgorithmClass="hash" w:cryptAlgorithmType="typeAny" w:cryptAlgorithmSid="14" w:cryptSpinCount="100000" w:hash="FHPmM4fhIDPNomFnPI2GVV4XEL1jPJ4WM9yfFZwQQCQ65XJhP+HryJrvzKlTzWNVEkGgs2G4zKrXlL10bSODZg==" w:salt="peNka/8cujSm7+M73wqYfg=="/>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jMjBkYzJhYzQ4YTdmOGYxMzY3NmQ4MjA2MTMwNTYifQ=="/>
  </w:docVars>
  <w:rsids>
    <w:rsidRoot w:val="00285A99"/>
    <w:rsid w:val="0000040A"/>
    <w:rsid w:val="00000A94"/>
    <w:rsid w:val="00001972"/>
    <w:rsid w:val="00001D9A"/>
    <w:rsid w:val="00002529"/>
    <w:rsid w:val="00002F14"/>
    <w:rsid w:val="0000769F"/>
    <w:rsid w:val="00007B3A"/>
    <w:rsid w:val="000107E0"/>
    <w:rsid w:val="00011FDE"/>
    <w:rsid w:val="000126A5"/>
    <w:rsid w:val="00012FFD"/>
    <w:rsid w:val="00014162"/>
    <w:rsid w:val="00014340"/>
    <w:rsid w:val="00016A9C"/>
    <w:rsid w:val="00017744"/>
    <w:rsid w:val="00022184"/>
    <w:rsid w:val="00022762"/>
    <w:rsid w:val="000238E0"/>
    <w:rsid w:val="000249DB"/>
    <w:rsid w:val="0002595E"/>
    <w:rsid w:val="000303C3"/>
    <w:rsid w:val="000331D3"/>
    <w:rsid w:val="000346A5"/>
    <w:rsid w:val="000359C3"/>
    <w:rsid w:val="00035A7D"/>
    <w:rsid w:val="000365ED"/>
    <w:rsid w:val="00037865"/>
    <w:rsid w:val="0004097B"/>
    <w:rsid w:val="000416B6"/>
    <w:rsid w:val="0004249A"/>
    <w:rsid w:val="00043282"/>
    <w:rsid w:val="00044286"/>
    <w:rsid w:val="00045013"/>
    <w:rsid w:val="00045950"/>
    <w:rsid w:val="000468A6"/>
    <w:rsid w:val="00047679"/>
    <w:rsid w:val="00047F28"/>
    <w:rsid w:val="000503AA"/>
    <w:rsid w:val="000506A1"/>
    <w:rsid w:val="000515DD"/>
    <w:rsid w:val="0005265A"/>
    <w:rsid w:val="00052D43"/>
    <w:rsid w:val="000539DD"/>
    <w:rsid w:val="00053BD3"/>
    <w:rsid w:val="00053C73"/>
    <w:rsid w:val="000556ED"/>
    <w:rsid w:val="00055FE2"/>
    <w:rsid w:val="0005616F"/>
    <w:rsid w:val="00057DFA"/>
    <w:rsid w:val="00060C2E"/>
    <w:rsid w:val="00061033"/>
    <w:rsid w:val="000619E9"/>
    <w:rsid w:val="000622D4"/>
    <w:rsid w:val="0006357D"/>
    <w:rsid w:val="00066A0C"/>
    <w:rsid w:val="00067BFB"/>
    <w:rsid w:val="00067F1E"/>
    <w:rsid w:val="00071CC0"/>
    <w:rsid w:val="00073C8C"/>
    <w:rsid w:val="00074632"/>
    <w:rsid w:val="00077B64"/>
    <w:rsid w:val="00080A1C"/>
    <w:rsid w:val="00082317"/>
    <w:rsid w:val="00083D2C"/>
    <w:rsid w:val="00086AA1"/>
    <w:rsid w:val="00087A77"/>
    <w:rsid w:val="00090CA6"/>
    <w:rsid w:val="00092B8A"/>
    <w:rsid w:val="00092E8E"/>
    <w:rsid w:val="00092FB0"/>
    <w:rsid w:val="000934C5"/>
    <w:rsid w:val="0009355F"/>
    <w:rsid w:val="00093D25"/>
    <w:rsid w:val="00093DAB"/>
    <w:rsid w:val="00094D73"/>
    <w:rsid w:val="0009510D"/>
    <w:rsid w:val="000956E2"/>
    <w:rsid w:val="00096D63"/>
    <w:rsid w:val="00097F46"/>
    <w:rsid w:val="000A0B60"/>
    <w:rsid w:val="000A0EB8"/>
    <w:rsid w:val="000A19FC"/>
    <w:rsid w:val="000A296B"/>
    <w:rsid w:val="000A598F"/>
    <w:rsid w:val="000A6104"/>
    <w:rsid w:val="000A7311"/>
    <w:rsid w:val="000B060F"/>
    <w:rsid w:val="000B0BBE"/>
    <w:rsid w:val="000B1592"/>
    <w:rsid w:val="000B1FF2"/>
    <w:rsid w:val="000B3CDA"/>
    <w:rsid w:val="000B5331"/>
    <w:rsid w:val="000B608E"/>
    <w:rsid w:val="000B6A0B"/>
    <w:rsid w:val="000C0E0A"/>
    <w:rsid w:val="000C0F6C"/>
    <w:rsid w:val="000C11DB"/>
    <w:rsid w:val="000C130A"/>
    <w:rsid w:val="000C1492"/>
    <w:rsid w:val="000C2EC3"/>
    <w:rsid w:val="000C2FBD"/>
    <w:rsid w:val="000C3863"/>
    <w:rsid w:val="000C4963"/>
    <w:rsid w:val="000C4B41"/>
    <w:rsid w:val="000C57D6"/>
    <w:rsid w:val="000C6362"/>
    <w:rsid w:val="000C7666"/>
    <w:rsid w:val="000D081F"/>
    <w:rsid w:val="000D084A"/>
    <w:rsid w:val="000D098E"/>
    <w:rsid w:val="000D0A9C"/>
    <w:rsid w:val="000D1795"/>
    <w:rsid w:val="000D1CED"/>
    <w:rsid w:val="000D329A"/>
    <w:rsid w:val="000D35EF"/>
    <w:rsid w:val="000D4B9C"/>
    <w:rsid w:val="000D4EB6"/>
    <w:rsid w:val="000D55CE"/>
    <w:rsid w:val="000D753B"/>
    <w:rsid w:val="000E2B0A"/>
    <w:rsid w:val="000E4C9E"/>
    <w:rsid w:val="000E6436"/>
    <w:rsid w:val="000E6FD7"/>
    <w:rsid w:val="000E7AF1"/>
    <w:rsid w:val="000F06E1"/>
    <w:rsid w:val="000F0E3C"/>
    <w:rsid w:val="000F19D5"/>
    <w:rsid w:val="000F230B"/>
    <w:rsid w:val="000F33BD"/>
    <w:rsid w:val="000F4AEA"/>
    <w:rsid w:val="000F60B8"/>
    <w:rsid w:val="000F633F"/>
    <w:rsid w:val="000F66B2"/>
    <w:rsid w:val="000F67E9"/>
    <w:rsid w:val="00101190"/>
    <w:rsid w:val="00103627"/>
    <w:rsid w:val="00104926"/>
    <w:rsid w:val="001079A5"/>
    <w:rsid w:val="00113B1E"/>
    <w:rsid w:val="00115272"/>
    <w:rsid w:val="0011711C"/>
    <w:rsid w:val="0012059C"/>
    <w:rsid w:val="00121FC3"/>
    <w:rsid w:val="00124E4F"/>
    <w:rsid w:val="00125C38"/>
    <w:rsid w:val="001260B7"/>
    <w:rsid w:val="001265CB"/>
    <w:rsid w:val="00126F77"/>
    <w:rsid w:val="0013057B"/>
    <w:rsid w:val="00130703"/>
    <w:rsid w:val="001321C6"/>
    <w:rsid w:val="001325C4"/>
    <w:rsid w:val="00133010"/>
    <w:rsid w:val="001338EE"/>
    <w:rsid w:val="00133AAE"/>
    <w:rsid w:val="00135323"/>
    <w:rsid w:val="001356C4"/>
    <w:rsid w:val="00141114"/>
    <w:rsid w:val="00142969"/>
    <w:rsid w:val="00143C98"/>
    <w:rsid w:val="001446C2"/>
    <w:rsid w:val="001457E7"/>
    <w:rsid w:val="00145D9D"/>
    <w:rsid w:val="00145E6C"/>
    <w:rsid w:val="00146388"/>
    <w:rsid w:val="001529E5"/>
    <w:rsid w:val="001537F2"/>
    <w:rsid w:val="00153C7E"/>
    <w:rsid w:val="00154625"/>
    <w:rsid w:val="00155C94"/>
    <w:rsid w:val="00156B25"/>
    <w:rsid w:val="00156E1A"/>
    <w:rsid w:val="00157894"/>
    <w:rsid w:val="00157B55"/>
    <w:rsid w:val="00157DC1"/>
    <w:rsid w:val="001642FA"/>
    <w:rsid w:val="001649EB"/>
    <w:rsid w:val="00164BAF"/>
    <w:rsid w:val="00164FA8"/>
    <w:rsid w:val="00165065"/>
    <w:rsid w:val="00165434"/>
    <w:rsid w:val="0016580B"/>
    <w:rsid w:val="00165F49"/>
    <w:rsid w:val="00166B88"/>
    <w:rsid w:val="0016770A"/>
    <w:rsid w:val="00170804"/>
    <w:rsid w:val="001708E9"/>
    <w:rsid w:val="001712D3"/>
    <w:rsid w:val="0017340B"/>
    <w:rsid w:val="0017367D"/>
    <w:rsid w:val="00173FB1"/>
    <w:rsid w:val="00175862"/>
    <w:rsid w:val="0017696E"/>
    <w:rsid w:val="00176DFD"/>
    <w:rsid w:val="001852C9"/>
    <w:rsid w:val="00190087"/>
    <w:rsid w:val="001913C4"/>
    <w:rsid w:val="0019348F"/>
    <w:rsid w:val="00193A07"/>
    <w:rsid w:val="00194C95"/>
    <w:rsid w:val="00194D5F"/>
    <w:rsid w:val="00195C34"/>
    <w:rsid w:val="00196EF5"/>
    <w:rsid w:val="00196F55"/>
    <w:rsid w:val="001A1A53"/>
    <w:rsid w:val="001A234A"/>
    <w:rsid w:val="001A4CF3"/>
    <w:rsid w:val="001B06E8"/>
    <w:rsid w:val="001B71D0"/>
    <w:rsid w:val="001B71EE"/>
    <w:rsid w:val="001C04A8"/>
    <w:rsid w:val="001C2C03"/>
    <w:rsid w:val="001C42F7"/>
    <w:rsid w:val="001C49E5"/>
    <w:rsid w:val="001C59BD"/>
    <w:rsid w:val="001C680C"/>
    <w:rsid w:val="001C7FEA"/>
    <w:rsid w:val="001D0499"/>
    <w:rsid w:val="001D0BBE"/>
    <w:rsid w:val="001D0ED4"/>
    <w:rsid w:val="001D212F"/>
    <w:rsid w:val="001D29D7"/>
    <w:rsid w:val="001D2DE7"/>
    <w:rsid w:val="001D327F"/>
    <w:rsid w:val="001D411C"/>
    <w:rsid w:val="001D4B8A"/>
    <w:rsid w:val="001D6488"/>
    <w:rsid w:val="001E0C2D"/>
    <w:rsid w:val="001E1370"/>
    <w:rsid w:val="001E1B6A"/>
    <w:rsid w:val="001E2484"/>
    <w:rsid w:val="001E3CC4"/>
    <w:rsid w:val="001E44CA"/>
    <w:rsid w:val="001E4882"/>
    <w:rsid w:val="001E57A6"/>
    <w:rsid w:val="001E73AB"/>
    <w:rsid w:val="001F092D"/>
    <w:rsid w:val="001F143A"/>
    <w:rsid w:val="001F1605"/>
    <w:rsid w:val="001F2508"/>
    <w:rsid w:val="001F4816"/>
    <w:rsid w:val="001F4EE9"/>
    <w:rsid w:val="001F69B4"/>
    <w:rsid w:val="001F77C7"/>
    <w:rsid w:val="001F7CF6"/>
    <w:rsid w:val="00200183"/>
    <w:rsid w:val="00200333"/>
    <w:rsid w:val="0020107D"/>
    <w:rsid w:val="00202AA4"/>
    <w:rsid w:val="002031F7"/>
    <w:rsid w:val="002040E6"/>
    <w:rsid w:val="0020527B"/>
    <w:rsid w:val="00205F2C"/>
    <w:rsid w:val="00206A49"/>
    <w:rsid w:val="00210B15"/>
    <w:rsid w:val="002142EA"/>
    <w:rsid w:val="002204BB"/>
    <w:rsid w:val="00221B4D"/>
    <w:rsid w:val="00221B6E"/>
    <w:rsid w:val="00221B79"/>
    <w:rsid w:val="00221C6B"/>
    <w:rsid w:val="002253A1"/>
    <w:rsid w:val="00225CF8"/>
    <w:rsid w:val="0022794E"/>
    <w:rsid w:val="00233D64"/>
    <w:rsid w:val="0023482A"/>
    <w:rsid w:val="002359CB"/>
    <w:rsid w:val="00237E76"/>
    <w:rsid w:val="00243540"/>
    <w:rsid w:val="0024497B"/>
    <w:rsid w:val="00244EAE"/>
    <w:rsid w:val="0024515B"/>
    <w:rsid w:val="00246021"/>
    <w:rsid w:val="0024666E"/>
    <w:rsid w:val="00247F52"/>
    <w:rsid w:val="00250B25"/>
    <w:rsid w:val="00250BBE"/>
    <w:rsid w:val="002515C2"/>
    <w:rsid w:val="0025194F"/>
    <w:rsid w:val="00254A6E"/>
    <w:rsid w:val="00260B4F"/>
    <w:rsid w:val="00260E9B"/>
    <w:rsid w:val="0026148A"/>
    <w:rsid w:val="00262696"/>
    <w:rsid w:val="00263D25"/>
    <w:rsid w:val="002643C3"/>
    <w:rsid w:val="00264A0C"/>
    <w:rsid w:val="00266EEB"/>
    <w:rsid w:val="00267297"/>
    <w:rsid w:val="00267EF4"/>
    <w:rsid w:val="002707AE"/>
    <w:rsid w:val="00270CB8"/>
    <w:rsid w:val="00272506"/>
    <w:rsid w:val="00272B08"/>
    <w:rsid w:val="00273294"/>
    <w:rsid w:val="002735EB"/>
    <w:rsid w:val="002771AC"/>
    <w:rsid w:val="00281BB8"/>
    <w:rsid w:val="00281E9E"/>
    <w:rsid w:val="0028238B"/>
    <w:rsid w:val="00282405"/>
    <w:rsid w:val="00285170"/>
    <w:rsid w:val="00285361"/>
    <w:rsid w:val="00285A99"/>
    <w:rsid w:val="00290641"/>
    <w:rsid w:val="00292106"/>
    <w:rsid w:val="002921DB"/>
    <w:rsid w:val="00292D60"/>
    <w:rsid w:val="00293B30"/>
    <w:rsid w:val="00294D34"/>
    <w:rsid w:val="00294E3B"/>
    <w:rsid w:val="002953AA"/>
    <w:rsid w:val="00296193"/>
    <w:rsid w:val="00296583"/>
    <w:rsid w:val="00296C66"/>
    <w:rsid w:val="00296EBE"/>
    <w:rsid w:val="002974E3"/>
    <w:rsid w:val="002A084B"/>
    <w:rsid w:val="002A0B7A"/>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B56"/>
    <w:rsid w:val="002B7332"/>
    <w:rsid w:val="002B7F51"/>
    <w:rsid w:val="002C09E7"/>
    <w:rsid w:val="002C1E06"/>
    <w:rsid w:val="002C1E1C"/>
    <w:rsid w:val="002C3F07"/>
    <w:rsid w:val="002C5278"/>
    <w:rsid w:val="002C5701"/>
    <w:rsid w:val="002C7EBB"/>
    <w:rsid w:val="002C7F9F"/>
    <w:rsid w:val="002D06C1"/>
    <w:rsid w:val="002D0D1F"/>
    <w:rsid w:val="002D42B5"/>
    <w:rsid w:val="002D4F1A"/>
    <w:rsid w:val="002D6EC6"/>
    <w:rsid w:val="002D79AC"/>
    <w:rsid w:val="002E039D"/>
    <w:rsid w:val="002E1658"/>
    <w:rsid w:val="002E2186"/>
    <w:rsid w:val="002E32D7"/>
    <w:rsid w:val="002E4D5A"/>
    <w:rsid w:val="002E6326"/>
    <w:rsid w:val="002F30E0"/>
    <w:rsid w:val="002F35E4"/>
    <w:rsid w:val="002F3730"/>
    <w:rsid w:val="002F38E1"/>
    <w:rsid w:val="002F467B"/>
    <w:rsid w:val="002F7AF6"/>
    <w:rsid w:val="002F7C5F"/>
    <w:rsid w:val="00300E63"/>
    <w:rsid w:val="00301E38"/>
    <w:rsid w:val="00302F5F"/>
    <w:rsid w:val="0030441D"/>
    <w:rsid w:val="00304494"/>
    <w:rsid w:val="0030496B"/>
    <w:rsid w:val="00306063"/>
    <w:rsid w:val="003067A0"/>
    <w:rsid w:val="003108EA"/>
    <w:rsid w:val="00313B85"/>
    <w:rsid w:val="00315ACF"/>
    <w:rsid w:val="00316050"/>
    <w:rsid w:val="00317988"/>
    <w:rsid w:val="003221B4"/>
    <w:rsid w:val="0032258D"/>
    <w:rsid w:val="00322CC3"/>
    <w:rsid w:val="00322E62"/>
    <w:rsid w:val="00323E1B"/>
    <w:rsid w:val="00324D13"/>
    <w:rsid w:val="00324D2A"/>
    <w:rsid w:val="00324EDD"/>
    <w:rsid w:val="003255CB"/>
    <w:rsid w:val="00325A27"/>
    <w:rsid w:val="003263C4"/>
    <w:rsid w:val="003266B0"/>
    <w:rsid w:val="00330981"/>
    <w:rsid w:val="003331E4"/>
    <w:rsid w:val="003354CB"/>
    <w:rsid w:val="00336C64"/>
    <w:rsid w:val="00337162"/>
    <w:rsid w:val="0034194F"/>
    <w:rsid w:val="00341BEB"/>
    <w:rsid w:val="00341D43"/>
    <w:rsid w:val="00341E03"/>
    <w:rsid w:val="00344605"/>
    <w:rsid w:val="003447E3"/>
    <w:rsid w:val="003464E9"/>
    <w:rsid w:val="003474AA"/>
    <w:rsid w:val="00350D1D"/>
    <w:rsid w:val="00352C83"/>
    <w:rsid w:val="003615D2"/>
    <w:rsid w:val="00361B31"/>
    <w:rsid w:val="0036429C"/>
    <w:rsid w:val="00364A53"/>
    <w:rsid w:val="003654CB"/>
    <w:rsid w:val="00365AA9"/>
    <w:rsid w:val="00365F86"/>
    <w:rsid w:val="00365F87"/>
    <w:rsid w:val="00366E89"/>
    <w:rsid w:val="003705F4"/>
    <w:rsid w:val="00370C81"/>
    <w:rsid w:val="00370D58"/>
    <w:rsid w:val="00371316"/>
    <w:rsid w:val="00376713"/>
    <w:rsid w:val="00381815"/>
    <w:rsid w:val="003819AF"/>
    <w:rsid w:val="003820E9"/>
    <w:rsid w:val="00382DE7"/>
    <w:rsid w:val="00382E68"/>
    <w:rsid w:val="00384FFC"/>
    <w:rsid w:val="003871EE"/>
    <w:rsid w:val="003872FC"/>
    <w:rsid w:val="00387ADC"/>
    <w:rsid w:val="00390020"/>
    <w:rsid w:val="003903D6"/>
    <w:rsid w:val="00390EE6"/>
    <w:rsid w:val="0039118F"/>
    <w:rsid w:val="00392AD7"/>
    <w:rsid w:val="003938D9"/>
    <w:rsid w:val="00394376"/>
    <w:rsid w:val="003943C7"/>
    <w:rsid w:val="003943FF"/>
    <w:rsid w:val="00395700"/>
    <w:rsid w:val="003974EB"/>
    <w:rsid w:val="00397CC5"/>
    <w:rsid w:val="003A1582"/>
    <w:rsid w:val="003A4077"/>
    <w:rsid w:val="003A4AC6"/>
    <w:rsid w:val="003B09AD"/>
    <w:rsid w:val="003B1F18"/>
    <w:rsid w:val="003B5BF0"/>
    <w:rsid w:val="003B60BF"/>
    <w:rsid w:val="003B6BE3"/>
    <w:rsid w:val="003B7D2F"/>
    <w:rsid w:val="003C010C"/>
    <w:rsid w:val="003C0A6C"/>
    <w:rsid w:val="003C14F8"/>
    <w:rsid w:val="003C5A43"/>
    <w:rsid w:val="003D0519"/>
    <w:rsid w:val="003D0FF6"/>
    <w:rsid w:val="003D103C"/>
    <w:rsid w:val="003D262C"/>
    <w:rsid w:val="003D47ED"/>
    <w:rsid w:val="003D5A0B"/>
    <w:rsid w:val="003D5AC6"/>
    <w:rsid w:val="003D6D61"/>
    <w:rsid w:val="003D79C6"/>
    <w:rsid w:val="003E091D"/>
    <w:rsid w:val="003E1C53"/>
    <w:rsid w:val="003E2A69"/>
    <w:rsid w:val="003E2D49"/>
    <w:rsid w:val="003E2FD4"/>
    <w:rsid w:val="003E49F6"/>
    <w:rsid w:val="003E660F"/>
    <w:rsid w:val="003F0841"/>
    <w:rsid w:val="003F084D"/>
    <w:rsid w:val="003F23D3"/>
    <w:rsid w:val="003F3F08"/>
    <w:rsid w:val="003F47AB"/>
    <w:rsid w:val="003F49F1"/>
    <w:rsid w:val="003F4C8A"/>
    <w:rsid w:val="003F6272"/>
    <w:rsid w:val="00400E72"/>
    <w:rsid w:val="00401400"/>
    <w:rsid w:val="00404869"/>
    <w:rsid w:val="00405884"/>
    <w:rsid w:val="00407D39"/>
    <w:rsid w:val="00413340"/>
    <w:rsid w:val="0041477A"/>
    <w:rsid w:val="004167A3"/>
    <w:rsid w:val="00417B77"/>
    <w:rsid w:val="00420C6D"/>
    <w:rsid w:val="00421A2F"/>
    <w:rsid w:val="00422007"/>
    <w:rsid w:val="004263DC"/>
    <w:rsid w:val="004303AA"/>
    <w:rsid w:val="00432DAA"/>
    <w:rsid w:val="00433F9C"/>
    <w:rsid w:val="00434305"/>
    <w:rsid w:val="00434839"/>
    <w:rsid w:val="00435DF7"/>
    <w:rsid w:val="00436ABA"/>
    <w:rsid w:val="0044083F"/>
    <w:rsid w:val="00441AE7"/>
    <w:rsid w:val="00445574"/>
    <w:rsid w:val="00446235"/>
    <w:rsid w:val="004467FB"/>
    <w:rsid w:val="004503C0"/>
    <w:rsid w:val="00452D6B"/>
    <w:rsid w:val="00454484"/>
    <w:rsid w:val="0045517B"/>
    <w:rsid w:val="00457C10"/>
    <w:rsid w:val="00461C07"/>
    <w:rsid w:val="00462CC9"/>
    <w:rsid w:val="00463B77"/>
    <w:rsid w:val="00463C7B"/>
    <w:rsid w:val="004644A6"/>
    <w:rsid w:val="004659BD"/>
    <w:rsid w:val="0046668A"/>
    <w:rsid w:val="004678D5"/>
    <w:rsid w:val="00470775"/>
    <w:rsid w:val="004746B1"/>
    <w:rsid w:val="0047583F"/>
    <w:rsid w:val="00475DE8"/>
    <w:rsid w:val="0047711F"/>
    <w:rsid w:val="00481C44"/>
    <w:rsid w:val="00484936"/>
    <w:rsid w:val="00485C89"/>
    <w:rsid w:val="00486BE3"/>
    <w:rsid w:val="004905E4"/>
    <w:rsid w:val="00490A89"/>
    <w:rsid w:val="00490AB4"/>
    <w:rsid w:val="0049111D"/>
    <w:rsid w:val="00492F02"/>
    <w:rsid w:val="004939AE"/>
    <w:rsid w:val="004A12DF"/>
    <w:rsid w:val="004A17E6"/>
    <w:rsid w:val="004A1BA8"/>
    <w:rsid w:val="004A4B57"/>
    <w:rsid w:val="004A5AA4"/>
    <w:rsid w:val="004A63FA"/>
    <w:rsid w:val="004A77AE"/>
    <w:rsid w:val="004B0272"/>
    <w:rsid w:val="004B2701"/>
    <w:rsid w:val="004B2E1B"/>
    <w:rsid w:val="004B33BC"/>
    <w:rsid w:val="004B3AA8"/>
    <w:rsid w:val="004B3E93"/>
    <w:rsid w:val="004C1FBC"/>
    <w:rsid w:val="004C2D72"/>
    <w:rsid w:val="004C3F1D"/>
    <w:rsid w:val="004C458D"/>
    <w:rsid w:val="004C50EB"/>
    <w:rsid w:val="004C69E6"/>
    <w:rsid w:val="004C7556"/>
    <w:rsid w:val="004C7E8B"/>
    <w:rsid w:val="004C7E9D"/>
    <w:rsid w:val="004C7F67"/>
    <w:rsid w:val="004D076D"/>
    <w:rsid w:val="004D0EF1"/>
    <w:rsid w:val="004D1829"/>
    <w:rsid w:val="004D2253"/>
    <w:rsid w:val="004D3C7F"/>
    <w:rsid w:val="004D4406"/>
    <w:rsid w:val="004D63D6"/>
    <w:rsid w:val="004D7C42"/>
    <w:rsid w:val="004E0465"/>
    <w:rsid w:val="004E127B"/>
    <w:rsid w:val="004E1C0A"/>
    <w:rsid w:val="004E2B06"/>
    <w:rsid w:val="004E30C5"/>
    <w:rsid w:val="004E4AA5"/>
    <w:rsid w:val="004E4AEE"/>
    <w:rsid w:val="004E59E3"/>
    <w:rsid w:val="004E64EA"/>
    <w:rsid w:val="004E67C0"/>
    <w:rsid w:val="004F391A"/>
    <w:rsid w:val="004F3CFB"/>
    <w:rsid w:val="004F6456"/>
    <w:rsid w:val="004F696E"/>
    <w:rsid w:val="004F6C71"/>
    <w:rsid w:val="00501139"/>
    <w:rsid w:val="0050363E"/>
    <w:rsid w:val="005039BC"/>
    <w:rsid w:val="005043BB"/>
    <w:rsid w:val="00504A3D"/>
    <w:rsid w:val="00505767"/>
    <w:rsid w:val="00505E8B"/>
    <w:rsid w:val="005073F0"/>
    <w:rsid w:val="00507E47"/>
    <w:rsid w:val="00510678"/>
    <w:rsid w:val="00510A7B"/>
    <w:rsid w:val="00511D00"/>
    <w:rsid w:val="00512F6E"/>
    <w:rsid w:val="00513038"/>
    <w:rsid w:val="00514174"/>
    <w:rsid w:val="005149ED"/>
    <w:rsid w:val="00516088"/>
    <w:rsid w:val="00516B0B"/>
    <w:rsid w:val="00516C38"/>
    <w:rsid w:val="00520906"/>
    <w:rsid w:val="005220EC"/>
    <w:rsid w:val="00523D84"/>
    <w:rsid w:val="00523F95"/>
    <w:rsid w:val="00524D65"/>
    <w:rsid w:val="00525B16"/>
    <w:rsid w:val="00525F3F"/>
    <w:rsid w:val="00533D04"/>
    <w:rsid w:val="00534804"/>
    <w:rsid w:val="00534BDF"/>
    <w:rsid w:val="005354EA"/>
    <w:rsid w:val="0053585F"/>
    <w:rsid w:val="00535EC4"/>
    <w:rsid w:val="00535ED9"/>
    <w:rsid w:val="0053692B"/>
    <w:rsid w:val="005372C1"/>
    <w:rsid w:val="00541853"/>
    <w:rsid w:val="00543BDA"/>
    <w:rsid w:val="005441CC"/>
    <w:rsid w:val="005479DA"/>
    <w:rsid w:val="00547BCC"/>
    <w:rsid w:val="0055013B"/>
    <w:rsid w:val="00550283"/>
    <w:rsid w:val="00551F6F"/>
    <w:rsid w:val="005531C6"/>
    <w:rsid w:val="005538FC"/>
    <w:rsid w:val="00555044"/>
    <w:rsid w:val="00555206"/>
    <w:rsid w:val="0055669F"/>
    <w:rsid w:val="00557F0D"/>
    <w:rsid w:val="00561475"/>
    <w:rsid w:val="0056487B"/>
    <w:rsid w:val="00564FB9"/>
    <w:rsid w:val="005666EC"/>
    <w:rsid w:val="00567861"/>
    <w:rsid w:val="00570896"/>
    <w:rsid w:val="00571B88"/>
    <w:rsid w:val="0057330F"/>
    <w:rsid w:val="00573D9E"/>
    <w:rsid w:val="005748B1"/>
    <w:rsid w:val="00576238"/>
    <w:rsid w:val="005801E3"/>
    <w:rsid w:val="00581802"/>
    <w:rsid w:val="005836A8"/>
    <w:rsid w:val="0058409C"/>
    <w:rsid w:val="00584262"/>
    <w:rsid w:val="00586630"/>
    <w:rsid w:val="005869B4"/>
    <w:rsid w:val="00587ADD"/>
    <w:rsid w:val="00590436"/>
    <w:rsid w:val="00591E27"/>
    <w:rsid w:val="005933D5"/>
    <w:rsid w:val="005954BB"/>
    <w:rsid w:val="00596160"/>
    <w:rsid w:val="005966E2"/>
    <w:rsid w:val="00597007"/>
    <w:rsid w:val="00597869"/>
    <w:rsid w:val="005A0966"/>
    <w:rsid w:val="005A11B7"/>
    <w:rsid w:val="005A1B48"/>
    <w:rsid w:val="005A260B"/>
    <w:rsid w:val="005A4067"/>
    <w:rsid w:val="005A4A1B"/>
    <w:rsid w:val="005A7830"/>
    <w:rsid w:val="005A7FCE"/>
    <w:rsid w:val="005B0F3F"/>
    <w:rsid w:val="005B4903"/>
    <w:rsid w:val="005B51CE"/>
    <w:rsid w:val="005B5885"/>
    <w:rsid w:val="005B5CD7"/>
    <w:rsid w:val="005B6CF6"/>
    <w:rsid w:val="005B7422"/>
    <w:rsid w:val="005C29B8"/>
    <w:rsid w:val="005C3C8F"/>
    <w:rsid w:val="005C5F21"/>
    <w:rsid w:val="005C7156"/>
    <w:rsid w:val="005D0C75"/>
    <w:rsid w:val="005D4171"/>
    <w:rsid w:val="005D6A95"/>
    <w:rsid w:val="005D6B2C"/>
    <w:rsid w:val="005D6D9C"/>
    <w:rsid w:val="005E2335"/>
    <w:rsid w:val="005E34CA"/>
    <w:rsid w:val="005E3C18"/>
    <w:rsid w:val="005E57B2"/>
    <w:rsid w:val="005E6812"/>
    <w:rsid w:val="005E7881"/>
    <w:rsid w:val="005E78E0"/>
    <w:rsid w:val="005F0D9C"/>
    <w:rsid w:val="005F252B"/>
    <w:rsid w:val="005F284E"/>
    <w:rsid w:val="005F4712"/>
    <w:rsid w:val="00600E1B"/>
    <w:rsid w:val="006015CE"/>
    <w:rsid w:val="00604784"/>
    <w:rsid w:val="00606419"/>
    <w:rsid w:val="00607D29"/>
    <w:rsid w:val="00612952"/>
    <w:rsid w:val="0061465F"/>
    <w:rsid w:val="00614CC1"/>
    <w:rsid w:val="00615A9D"/>
    <w:rsid w:val="00617387"/>
    <w:rsid w:val="006205D6"/>
    <w:rsid w:val="00622069"/>
    <w:rsid w:val="006252D8"/>
    <w:rsid w:val="006259BC"/>
    <w:rsid w:val="0062636B"/>
    <w:rsid w:val="00627FB9"/>
    <w:rsid w:val="00632001"/>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57B"/>
    <w:rsid w:val="00654EC0"/>
    <w:rsid w:val="0065525B"/>
    <w:rsid w:val="00655D4F"/>
    <w:rsid w:val="00656D29"/>
    <w:rsid w:val="006573EE"/>
    <w:rsid w:val="006608B2"/>
    <w:rsid w:val="006640E5"/>
    <w:rsid w:val="006646F1"/>
    <w:rsid w:val="00664929"/>
    <w:rsid w:val="00664F62"/>
    <w:rsid w:val="006655E1"/>
    <w:rsid w:val="00665BA1"/>
    <w:rsid w:val="00670B91"/>
    <w:rsid w:val="00671193"/>
    <w:rsid w:val="00672060"/>
    <w:rsid w:val="00672BFD"/>
    <w:rsid w:val="00676461"/>
    <w:rsid w:val="006770F4"/>
    <w:rsid w:val="00677A84"/>
    <w:rsid w:val="0068026D"/>
    <w:rsid w:val="00680A27"/>
    <w:rsid w:val="00681623"/>
    <w:rsid w:val="006816A4"/>
    <w:rsid w:val="006819B8"/>
    <w:rsid w:val="0068228A"/>
    <w:rsid w:val="00683BC6"/>
    <w:rsid w:val="006840A6"/>
    <w:rsid w:val="006850CD"/>
    <w:rsid w:val="00685AAB"/>
    <w:rsid w:val="00685FF2"/>
    <w:rsid w:val="00690667"/>
    <w:rsid w:val="006909B4"/>
    <w:rsid w:val="00692FC9"/>
    <w:rsid w:val="006941C2"/>
    <w:rsid w:val="00694749"/>
    <w:rsid w:val="00695D22"/>
    <w:rsid w:val="0069657E"/>
    <w:rsid w:val="006A07AA"/>
    <w:rsid w:val="006A25E5"/>
    <w:rsid w:val="006A2B46"/>
    <w:rsid w:val="006A336D"/>
    <w:rsid w:val="006A37B9"/>
    <w:rsid w:val="006A4878"/>
    <w:rsid w:val="006A66B1"/>
    <w:rsid w:val="006B2672"/>
    <w:rsid w:val="006B54BF"/>
    <w:rsid w:val="006B5F44"/>
    <w:rsid w:val="006B5F90"/>
    <w:rsid w:val="006B62E4"/>
    <w:rsid w:val="006C1BBA"/>
    <w:rsid w:val="006C2079"/>
    <w:rsid w:val="006C481F"/>
    <w:rsid w:val="006C5A62"/>
    <w:rsid w:val="006C5D68"/>
    <w:rsid w:val="006C6976"/>
    <w:rsid w:val="006C6DD0"/>
    <w:rsid w:val="006D04EA"/>
    <w:rsid w:val="006D0AB7"/>
    <w:rsid w:val="006D1416"/>
    <w:rsid w:val="006D16C4"/>
    <w:rsid w:val="006D3E96"/>
    <w:rsid w:val="006D4515"/>
    <w:rsid w:val="006D4BB1"/>
    <w:rsid w:val="006D6593"/>
    <w:rsid w:val="006D7201"/>
    <w:rsid w:val="006E1803"/>
    <w:rsid w:val="006E23EA"/>
    <w:rsid w:val="006E36BE"/>
    <w:rsid w:val="006E516A"/>
    <w:rsid w:val="006E7346"/>
    <w:rsid w:val="006F03A8"/>
    <w:rsid w:val="006F2965"/>
    <w:rsid w:val="006F2ACA"/>
    <w:rsid w:val="006F2ADC"/>
    <w:rsid w:val="006F2BFE"/>
    <w:rsid w:val="006F31E9"/>
    <w:rsid w:val="006F559E"/>
    <w:rsid w:val="006F6284"/>
    <w:rsid w:val="007002C5"/>
    <w:rsid w:val="00704387"/>
    <w:rsid w:val="00707669"/>
    <w:rsid w:val="0071145C"/>
    <w:rsid w:val="00711CBA"/>
    <w:rsid w:val="00711FB5"/>
    <w:rsid w:val="00712A01"/>
    <w:rsid w:val="00713099"/>
    <w:rsid w:val="00714F58"/>
    <w:rsid w:val="00716749"/>
    <w:rsid w:val="007207BA"/>
    <w:rsid w:val="00720CC5"/>
    <w:rsid w:val="00721225"/>
    <w:rsid w:val="00722B79"/>
    <w:rsid w:val="00722FBF"/>
    <w:rsid w:val="00722FC2"/>
    <w:rsid w:val="00724155"/>
    <w:rsid w:val="007241FB"/>
    <w:rsid w:val="0072421D"/>
    <w:rsid w:val="00724879"/>
    <w:rsid w:val="00724E1B"/>
    <w:rsid w:val="00725949"/>
    <w:rsid w:val="00727FA2"/>
    <w:rsid w:val="007322D9"/>
    <w:rsid w:val="00732BC0"/>
    <w:rsid w:val="00735A09"/>
    <w:rsid w:val="00735AE4"/>
    <w:rsid w:val="0073720F"/>
    <w:rsid w:val="0073749B"/>
    <w:rsid w:val="00737796"/>
    <w:rsid w:val="0074165C"/>
    <w:rsid w:val="00742C35"/>
    <w:rsid w:val="007432CA"/>
    <w:rsid w:val="00743751"/>
    <w:rsid w:val="007439EB"/>
    <w:rsid w:val="00743CB4"/>
    <w:rsid w:val="00743F0A"/>
    <w:rsid w:val="00744386"/>
    <w:rsid w:val="007444E8"/>
    <w:rsid w:val="00744719"/>
    <w:rsid w:val="007453F2"/>
    <w:rsid w:val="0074548E"/>
    <w:rsid w:val="00745773"/>
    <w:rsid w:val="00746800"/>
    <w:rsid w:val="007501A8"/>
    <w:rsid w:val="00750D61"/>
    <w:rsid w:val="00750EE1"/>
    <w:rsid w:val="00752B4D"/>
    <w:rsid w:val="0075519A"/>
    <w:rsid w:val="00755402"/>
    <w:rsid w:val="007558EC"/>
    <w:rsid w:val="00756B26"/>
    <w:rsid w:val="00756EDF"/>
    <w:rsid w:val="007600E3"/>
    <w:rsid w:val="007624FE"/>
    <w:rsid w:val="0076452A"/>
    <w:rsid w:val="00765C43"/>
    <w:rsid w:val="00765EFB"/>
    <w:rsid w:val="007671CA"/>
    <w:rsid w:val="00767675"/>
    <w:rsid w:val="00767C61"/>
    <w:rsid w:val="00767D03"/>
    <w:rsid w:val="0077008A"/>
    <w:rsid w:val="00771B65"/>
    <w:rsid w:val="00773C1F"/>
    <w:rsid w:val="00774DA4"/>
    <w:rsid w:val="00776599"/>
    <w:rsid w:val="0078114B"/>
    <w:rsid w:val="00781DD2"/>
    <w:rsid w:val="0078317F"/>
    <w:rsid w:val="00783ECF"/>
    <w:rsid w:val="0078413A"/>
    <w:rsid w:val="00785330"/>
    <w:rsid w:val="0078666B"/>
    <w:rsid w:val="007947AA"/>
    <w:rsid w:val="007959E8"/>
    <w:rsid w:val="00795AF9"/>
    <w:rsid w:val="00795E9C"/>
    <w:rsid w:val="007A0521"/>
    <w:rsid w:val="007A07C0"/>
    <w:rsid w:val="007A2E12"/>
    <w:rsid w:val="007A3475"/>
    <w:rsid w:val="007A41C8"/>
    <w:rsid w:val="007A4372"/>
    <w:rsid w:val="007A45E0"/>
    <w:rsid w:val="007A491D"/>
    <w:rsid w:val="007A54CE"/>
    <w:rsid w:val="007A6FD9"/>
    <w:rsid w:val="007A7FFA"/>
    <w:rsid w:val="007B04EB"/>
    <w:rsid w:val="007B0D4F"/>
    <w:rsid w:val="007B2A06"/>
    <w:rsid w:val="007B38B6"/>
    <w:rsid w:val="007B4F78"/>
    <w:rsid w:val="007B5A3D"/>
    <w:rsid w:val="007B5B95"/>
    <w:rsid w:val="007B68EA"/>
    <w:rsid w:val="007B7453"/>
    <w:rsid w:val="007C1E8B"/>
    <w:rsid w:val="007C2D89"/>
    <w:rsid w:val="007C4593"/>
    <w:rsid w:val="007C5309"/>
    <w:rsid w:val="007C6069"/>
    <w:rsid w:val="007C7D71"/>
    <w:rsid w:val="007D06C4"/>
    <w:rsid w:val="007D1352"/>
    <w:rsid w:val="007D2508"/>
    <w:rsid w:val="007D346A"/>
    <w:rsid w:val="007D3E81"/>
    <w:rsid w:val="007D43F6"/>
    <w:rsid w:val="007D4BE7"/>
    <w:rsid w:val="007D6518"/>
    <w:rsid w:val="007D76BD"/>
    <w:rsid w:val="007E0BF1"/>
    <w:rsid w:val="007F0ED8"/>
    <w:rsid w:val="007F0F63"/>
    <w:rsid w:val="007F2394"/>
    <w:rsid w:val="007F75CE"/>
    <w:rsid w:val="008013A4"/>
    <w:rsid w:val="008027CE"/>
    <w:rsid w:val="00802F42"/>
    <w:rsid w:val="00804383"/>
    <w:rsid w:val="00804BB7"/>
    <w:rsid w:val="00804D41"/>
    <w:rsid w:val="00810257"/>
    <w:rsid w:val="008104F5"/>
    <w:rsid w:val="00811072"/>
    <w:rsid w:val="00811369"/>
    <w:rsid w:val="0081287F"/>
    <w:rsid w:val="00815419"/>
    <w:rsid w:val="00816097"/>
    <w:rsid w:val="008163C8"/>
    <w:rsid w:val="008164A1"/>
    <w:rsid w:val="00816C0C"/>
    <w:rsid w:val="00817325"/>
    <w:rsid w:val="008174E4"/>
    <w:rsid w:val="00817C11"/>
    <w:rsid w:val="008209E6"/>
    <w:rsid w:val="00820C81"/>
    <w:rsid w:val="0082212D"/>
    <w:rsid w:val="00823303"/>
    <w:rsid w:val="008233B2"/>
    <w:rsid w:val="00823A9F"/>
    <w:rsid w:val="00823C85"/>
    <w:rsid w:val="00825138"/>
    <w:rsid w:val="00825BAE"/>
    <w:rsid w:val="008269DD"/>
    <w:rsid w:val="00830621"/>
    <w:rsid w:val="00831236"/>
    <w:rsid w:val="0083348C"/>
    <w:rsid w:val="00833529"/>
    <w:rsid w:val="008373D3"/>
    <w:rsid w:val="00840617"/>
    <w:rsid w:val="00840DCD"/>
    <w:rsid w:val="00840F84"/>
    <w:rsid w:val="00842A47"/>
    <w:rsid w:val="00843C13"/>
    <w:rsid w:val="008454F8"/>
    <w:rsid w:val="0085173A"/>
    <w:rsid w:val="00856316"/>
    <w:rsid w:val="0085695E"/>
    <w:rsid w:val="008603CE"/>
    <w:rsid w:val="008620FC"/>
    <w:rsid w:val="008627A5"/>
    <w:rsid w:val="00863DA5"/>
    <w:rsid w:val="00863E05"/>
    <w:rsid w:val="00864B02"/>
    <w:rsid w:val="008652EF"/>
    <w:rsid w:val="00865840"/>
    <w:rsid w:val="00865ACA"/>
    <w:rsid w:val="00865D28"/>
    <w:rsid w:val="00865F85"/>
    <w:rsid w:val="00867A9D"/>
    <w:rsid w:val="00867C10"/>
    <w:rsid w:val="00870439"/>
    <w:rsid w:val="00870DA1"/>
    <w:rsid w:val="00872C43"/>
    <w:rsid w:val="00875E3D"/>
    <w:rsid w:val="008835CE"/>
    <w:rsid w:val="00883F93"/>
    <w:rsid w:val="00884DB3"/>
    <w:rsid w:val="00885A9D"/>
    <w:rsid w:val="008864F6"/>
    <w:rsid w:val="0089049D"/>
    <w:rsid w:val="00890B24"/>
    <w:rsid w:val="008928C9"/>
    <w:rsid w:val="008930CB"/>
    <w:rsid w:val="0089364D"/>
    <w:rsid w:val="008938DC"/>
    <w:rsid w:val="00893FD1"/>
    <w:rsid w:val="00894836"/>
    <w:rsid w:val="00895172"/>
    <w:rsid w:val="00895680"/>
    <w:rsid w:val="00896DFF"/>
    <w:rsid w:val="0089762C"/>
    <w:rsid w:val="008A1732"/>
    <w:rsid w:val="008A1893"/>
    <w:rsid w:val="008A3110"/>
    <w:rsid w:val="008A3215"/>
    <w:rsid w:val="008A3385"/>
    <w:rsid w:val="008A57E6"/>
    <w:rsid w:val="008A6F81"/>
    <w:rsid w:val="008A769A"/>
    <w:rsid w:val="008B0C9C"/>
    <w:rsid w:val="008B166D"/>
    <w:rsid w:val="008B17F4"/>
    <w:rsid w:val="008B29E1"/>
    <w:rsid w:val="008B3615"/>
    <w:rsid w:val="008B4AC4"/>
    <w:rsid w:val="008B50C8"/>
    <w:rsid w:val="008B5281"/>
    <w:rsid w:val="008B7E05"/>
    <w:rsid w:val="008C1797"/>
    <w:rsid w:val="008C219C"/>
    <w:rsid w:val="008C4647"/>
    <w:rsid w:val="008C475E"/>
    <w:rsid w:val="008C619A"/>
    <w:rsid w:val="008D0A96"/>
    <w:rsid w:val="008D0CE8"/>
    <w:rsid w:val="008D2D1D"/>
    <w:rsid w:val="008D453D"/>
    <w:rsid w:val="008D51A6"/>
    <w:rsid w:val="008D53AD"/>
    <w:rsid w:val="008D562B"/>
    <w:rsid w:val="008D5733"/>
    <w:rsid w:val="008D622B"/>
    <w:rsid w:val="008D666C"/>
    <w:rsid w:val="008D7B54"/>
    <w:rsid w:val="008E0616"/>
    <w:rsid w:val="008E0C9D"/>
    <w:rsid w:val="008E1648"/>
    <w:rsid w:val="008E1B3E"/>
    <w:rsid w:val="008E2319"/>
    <w:rsid w:val="008E4BB6"/>
    <w:rsid w:val="008E5518"/>
    <w:rsid w:val="008E6A84"/>
    <w:rsid w:val="008F0198"/>
    <w:rsid w:val="008F0CDC"/>
    <w:rsid w:val="008F17A3"/>
    <w:rsid w:val="008F18B3"/>
    <w:rsid w:val="008F1ED3"/>
    <w:rsid w:val="008F23A5"/>
    <w:rsid w:val="008F4C29"/>
    <w:rsid w:val="008F70BD"/>
    <w:rsid w:val="008F73C6"/>
    <w:rsid w:val="008F788F"/>
    <w:rsid w:val="008F7E7A"/>
    <w:rsid w:val="008F7EA2"/>
    <w:rsid w:val="00902722"/>
    <w:rsid w:val="009027BC"/>
    <w:rsid w:val="009035CE"/>
    <w:rsid w:val="00903853"/>
    <w:rsid w:val="00904859"/>
    <w:rsid w:val="0090496B"/>
    <w:rsid w:val="009062E6"/>
    <w:rsid w:val="00911BE5"/>
    <w:rsid w:val="0091282A"/>
    <w:rsid w:val="009137B8"/>
    <w:rsid w:val="00913CA9"/>
    <w:rsid w:val="009145AE"/>
    <w:rsid w:val="009146CE"/>
    <w:rsid w:val="00914CA7"/>
    <w:rsid w:val="00915C3E"/>
    <w:rsid w:val="009161A8"/>
    <w:rsid w:val="009245F5"/>
    <w:rsid w:val="009249EC"/>
    <w:rsid w:val="00924AE2"/>
    <w:rsid w:val="009273B3"/>
    <w:rsid w:val="009305B5"/>
    <w:rsid w:val="00940218"/>
    <w:rsid w:val="0094171F"/>
    <w:rsid w:val="0094215B"/>
    <w:rsid w:val="009429D5"/>
    <w:rsid w:val="00942BF1"/>
    <w:rsid w:val="00945180"/>
    <w:rsid w:val="00945428"/>
    <w:rsid w:val="0094607B"/>
    <w:rsid w:val="00946745"/>
    <w:rsid w:val="00953604"/>
    <w:rsid w:val="0095496B"/>
    <w:rsid w:val="00957AEF"/>
    <w:rsid w:val="009610DC"/>
    <w:rsid w:val="00961490"/>
    <w:rsid w:val="00961E0E"/>
    <w:rsid w:val="0096381A"/>
    <w:rsid w:val="00965E04"/>
    <w:rsid w:val="009674AD"/>
    <w:rsid w:val="00967912"/>
    <w:rsid w:val="00970CDC"/>
    <w:rsid w:val="009720E0"/>
    <w:rsid w:val="00977010"/>
    <w:rsid w:val="00977D02"/>
    <w:rsid w:val="009809BB"/>
    <w:rsid w:val="00980BB0"/>
    <w:rsid w:val="0098294E"/>
    <w:rsid w:val="00982FE2"/>
    <w:rsid w:val="0098364B"/>
    <w:rsid w:val="0098779E"/>
    <w:rsid w:val="00987C78"/>
    <w:rsid w:val="009911AF"/>
    <w:rsid w:val="009917FD"/>
    <w:rsid w:val="00991875"/>
    <w:rsid w:val="00991F92"/>
    <w:rsid w:val="00992828"/>
    <w:rsid w:val="00992985"/>
    <w:rsid w:val="00993889"/>
    <w:rsid w:val="00993A1E"/>
    <w:rsid w:val="0099551B"/>
    <w:rsid w:val="00997BF1"/>
    <w:rsid w:val="00997FE3"/>
    <w:rsid w:val="009A089C"/>
    <w:rsid w:val="009A0A03"/>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E07"/>
    <w:rsid w:val="009D47FA"/>
    <w:rsid w:val="009D4C5B"/>
    <w:rsid w:val="009D50D2"/>
    <w:rsid w:val="009D576F"/>
    <w:rsid w:val="009D6BCA"/>
    <w:rsid w:val="009E0B44"/>
    <w:rsid w:val="009E0F62"/>
    <w:rsid w:val="009E4A58"/>
    <w:rsid w:val="009E5A2D"/>
    <w:rsid w:val="009E5AB2"/>
    <w:rsid w:val="009E6219"/>
    <w:rsid w:val="009E7F2C"/>
    <w:rsid w:val="009F03B3"/>
    <w:rsid w:val="00A0096C"/>
    <w:rsid w:val="00A01757"/>
    <w:rsid w:val="00A028C0"/>
    <w:rsid w:val="00A02BAE"/>
    <w:rsid w:val="00A04215"/>
    <w:rsid w:val="00A06A6B"/>
    <w:rsid w:val="00A06B5E"/>
    <w:rsid w:val="00A073EB"/>
    <w:rsid w:val="00A07E47"/>
    <w:rsid w:val="00A10888"/>
    <w:rsid w:val="00A1088D"/>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6FF"/>
    <w:rsid w:val="00A41C79"/>
    <w:rsid w:val="00A41CB5"/>
    <w:rsid w:val="00A4209A"/>
    <w:rsid w:val="00A42CDF"/>
    <w:rsid w:val="00A4341B"/>
    <w:rsid w:val="00A4452E"/>
    <w:rsid w:val="00A4472C"/>
    <w:rsid w:val="00A44E69"/>
    <w:rsid w:val="00A45F45"/>
    <w:rsid w:val="00A46563"/>
    <w:rsid w:val="00A4661E"/>
    <w:rsid w:val="00A53881"/>
    <w:rsid w:val="00A55BD6"/>
    <w:rsid w:val="00A55D50"/>
    <w:rsid w:val="00A57142"/>
    <w:rsid w:val="00A623AE"/>
    <w:rsid w:val="00A648CD"/>
    <w:rsid w:val="00A6537A"/>
    <w:rsid w:val="00A66075"/>
    <w:rsid w:val="00A66FF9"/>
    <w:rsid w:val="00A67845"/>
    <w:rsid w:val="00A67866"/>
    <w:rsid w:val="00A70B07"/>
    <w:rsid w:val="00A723F8"/>
    <w:rsid w:val="00A735EC"/>
    <w:rsid w:val="00A75364"/>
    <w:rsid w:val="00A7558A"/>
    <w:rsid w:val="00A77CCB"/>
    <w:rsid w:val="00A814A6"/>
    <w:rsid w:val="00A83D8D"/>
    <w:rsid w:val="00A8446B"/>
    <w:rsid w:val="00A8473F"/>
    <w:rsid w:val="00A862D6"/>
    <w:rsid w:val="00A8715E"/>
    <w:rsid w:val="00A9295B"/>
    <w:rsid w:val="00A93B09"/>
    <w:rsid w:val="00A94247"/>
    <w:rsid w:val="00A952D7"/>
    <w:rsid w:val="00A95F38"/>
    <w:rsid w:val="00A961EE"/>
    <w:rsid w:val="00A963F7"/>
    <w:rsid w:val="00A96AD8"/>
    <w:rsid w:val="00AA052C"/>
    <w:rsid w:val="00AA14D2"/>
    <w:rsid w:val="00AA1E45"/>
    <w:rsid w:val="00AA2F3A"/>
    <w:rsid w:val="00AA4286"/>
    <w:rsid w:val="00AA456B"/>
    <w:rsid w:val="00AA57F5"/>
    <w:rsid w:val="00AA62B3"/>
    <w:rsid w:val="00AA672E"/>
    <w:rsid w:val="00AA6EC9"/>
    <w:rsid w:val="00AA77C9"/>
    <w:rsid w:val="00AB2FF5"/>
    <w:rsid w:val="00AB41D5"/>
    <w:rsid w:val="00AB59C9"/>
    <w:rsid w:val="00AB6309"/>
    <w:rsid w:val="00AB6C5F"/>
    <w:rsid w:val="00AB7129"/>
    <w:rsid w:val="00AC27A6"/>
    <w:rsid w:val="00AC30F7"/>
    <w:rsid w:val="00AC3A5A"/>
    <w:rsid w:val="00AC4D95"/>
    <w:rsid w:val="00AC5DF4"/>
    <w:rsid w:val="00AD04DD"/>
    <w:rsid w:val="00AD0AEF"/>
    <w:rsid w:val="00AD11B7"/>
    <w:rsid w:val="00AD1A94"/>
    <w:rsid w:val="00AD1C05"/>
    <w:rsid w:val="00AD3D47"/>
    <w:rsid w:val="00AD4126"/>
    <w:rsid w:val="00AD421C"/>
    <w:rsid w:val="00AD44FA"/>
    <w:rsid w:val="00AD5091"/>
    <w:rsid w:val="00AE070A"/>
    <w:rsid w:val="00AE101C"/>
    <w:rsid w:val="00AE2ABA"/>
    <w:rsid w:val="00AE37E5"/>
    <w:rsid w:val="00AE5EB4"/>
    <w:rsid w:val="00AE607A"/>
    <w:rsid w:val="00AE6257"/>
    <w:rsid w:val="00AF0C18"/>
    <w:rsid w:val="00AF47C5"/>
    <w:rsid w:val="00AF48B3"/>
    <w:rsid w:val="00AF5398"/>
    <w:rsid w:val="00B03C3A"/>
    <w:rsid w:val="00B049AF"/>
    <w:rsid w:val="00B050FF"/>
    <w:rsid w:val="00B07242"/>
    <w:rsid w:val="00B10534"/>
    <w:rsid w:val="00B1070A"/>
    <w:rsid w:val="00B10B42"/>
    <w:rsid w:val="00B113DB"/>
    <w:rsid w:val="00B11D8A"/>
    <w:rsid w:val="00B12981"/>
    <w:rsid w:val="00B137AA"/>
    <w:rsid w:val="00B14134"/>
    <w:rsid w:val="00B147DD"/>
    <w:rsid w:val="00B14A1D"/>
    <w:rsid w:val="00B156FD"/>
    <w:rsid w:val="00B21F61"/>
    <w:rsid w:val="00B2350D"/>
    <w:rsid w:val="00B237EF"/>
    <w:rsid w:val="00B249A2"/>
    <w:rsid w:val="00B261F1"/>
    <w:rsid w:val="00B265BC"/>
    <w:rsid w:val="00B31FB1"/>
    <w:rsid w:val="00B33346"/>
    <w:rsid w:val="00B3355E"/>
    <w:rsid w:val="00B33889"/>
    <w:rsid w:val="00B33952"/>
    <w:rsid w:val="00B33C5E"/>
    <w:rsid w:val="00B342F4"/>
    <w:rsid w:val="00B34369"/>
    <w:rsid w:val="00B34DC2"/>
    <w:rsid w:val="00B3721F"/>
    <w:rsid w:val="00B378E5"/>
    <w:rsid w:val="00B40D3A"/>
    <w:rsid w:val="00B42CB3"/>
    <w:rsid w:val="00B4346D"/>
    <w:rsid w:val="00B440F4"/>
    <w:rsid w:val="00B447A5"/>
    <w:rsid w:val="00B4654C"/>
    <w:rsid w:val="00B46AF0"/>
    <w:rsid w:val="00B47293"/>
    <w:rsid w:val="00B50E50"/>
    <w:rsid w:val="00B52120"/>
    <w:rsid w:val="00B536DB"/>
    <w:rsid w:val="00B54ABC"/>
    <w:rsid w:val="00B54DDE"/>
    <w:rsid w:val="00B56C81"/>
    <w:rsid w:val="00B56FBE"/>
    <w:rsid w:val="00B60ACF"/>
    <w:rsid w:val="00B611B2"/>
    <w:rsid w:val="00B62B58"/>
    <w:rsid w:val="00B63504"/>
    <w:rsid w:val="00B65149"/>
    <w:rsid w:val="00B66567"/>
    <w:rsid w:val="00B66F52"/>
    <w:rsid w:val="00B66FE5"/>
    <w:rsid w:val="00B703EB"/>
    <w:rsid w:val="00B72880"/>
    <w:rsid w:val="00B73D05"/>
    <w:rsid w:val="00B758BF"/>
    <w:rsid w:val="00B771F7"/>
    <w:rsid w:val="00B77EC8"/>
    <w:rsid w:val="00B8220C"/>
    <w:rsid w:val="00B827A6"/>
    <w:rsid w:val="00B8313F"/>
    <w:rsid w:val="00B831CE"/>
    <w:rsid w:val="00B86677"/>
    <w:rsid w:val="00B86ECA"/>
    <w:rsid w:val="00B87131"/>
    <w:rsid w:val="00B939B1"/>
    <w:rsid w:val="00B95F38"/>
    <w:rsid w:val="00B96D40"/>
    <w:rsid w:val="00B97386"/>
    <w:rsid w:val="00BA263B"/>
    <w:rsid w:val="00BA42B2"/>
    <w:rsid w:val="00BA4481"/>
    <w:rsid w:val="00BA493C"/>
    <w:rsid w:val="00BA4A77"/>
    <w:rsid w:val="00BA58D4"/>
    <w:rsid w:val="00BA5B9E"/>
    <w:rsid w:val="00BA6D46"/>
    <w:rsid w:val="00BA72C6"/>
    <w:rsid w:val="00BA7C9A"/>
    <w:rsid w:val="00BB203B"/>
    <w:rsid w:val="00BB25E5"/>
    <w:rsid w:val="00BB5015"/>
    <w:rsid w:val="00BB5722"/>
    <w:rsid w:val="00BB58E4"/>
    <w:rsid w:val="00BB5F8F"/>
    <w:rsid w:val="00BB657A"/>
    <w:rsid w:val="00BC1A4E"/>
    <w:rsid w:val="00BC4790"/>
    <w:rsid w:val="00BC5DC7"/>
    <w:rsid w:val="00BC6B8B"/>
    <w:rsid w:val="00BC73D8"/>
    <w:rsid w:val="00BD52D7"/>
    <w:rsid w:val="00BD5AD2"/>
    <w:rsid w:val="00BD6E25"/>
    <w:rsid w:val="00BE0DD1"/>
    <w:rsid w:val="00BE195F"/>
    <w:rsid w:val="00BE22F3"/>
    <w:rsid w:val="00BE2763"/>
    <w:rsid w:val="00BE5B52"/>
    <w:rsid w:val="00BE7B8D"/>
    <w:rsid w:val="00BF0993"/>
    <w:rsid w:val="00BF10A9"/>
    <w:rsid w:val="00BF1703"/>
    <w:rsid w:val="00BF231C"/>
    <w:rsid w:val="00BF51E5"/>
    <w:rsid w:val="00BF74A6"/>
    <w:rsid w:val="00C013AD"/>
    <w:rsid w:val="00C04904"/>
    <w:rsid w:val="00C056B3"/>
    <w:rsid w:val="00C103E5"/>
    <w:rsid w:val="00C10C3C"/>
    <w:rsid w:val="00C11C87"/>
    <w:rsid w:val="00C13319"/>
    <w:rsid w:val="00C13EE9"/>
    <w:rsid w:val="00C1502F"/>
    <w:rsid w:val="00C160AE"/>
    <w:rsid w:val="00C21540"/>
    <w:rsid w:val="00C21906"/>
    <w:rsid w:val="00C219F3"/>
    <w:rsid w:val="00C21BFA"/>
    <w:rsid w:val="00C22148"/>
    <w:rsid w:val="00C24C8D"/>
    <w:rsid w:val="00C25FE2"/>
    <w:rsid w:val="00C26A8E"/>
    <w:rsid w:val="00C26B53"/>
    <w:rsid w:val="00C279B2"/>
    <w:rsid w:val="00C30F8D"/>
    <w:rsid w:val="00C33E50"/>
    <w:rsid w:val="00C34C20"/>
    <w:rsid w:val="00C35A3E"/>
    <w:rsid w:val="00C376D4"/>
    <w:rsid w:val="00C42130"/>
    <w:rsid w:val="00C423A4"/>
    <w:rsid w:val="00C44BF5"/>
    <w:rsid w:val="00C521D6"/>
    <w:rsid w:val="00C55232"/>
    <w:rsid w:val="00C553A4"/>
    <w:rsid w:val="00C55A06"/>
    <w:rsid w:val="00C55D03"/>
    <w:rsid w:val="00C601BC"/>
    <w:rsid w:val="00C62606"/>
    <w:rsid w:val="00C6329F"/>
    <w:rsid w:val="00C63340"/>
    <w:rsid w:val="00C643F9"/>
    <w:rsid w:val="00C64E95"/>
    <w:rsid w:val="00C71372"/>
    <w:rsid w:val="00C7214A"/>
    <w:rsid w:val="00C72410"/>
    <w:rsid w:val="00C7287F"/>
    <w:rsid w:val="00C73E01"/>
    <w:rsid w:val="00C76D5C"/>
    <w:rsid w:val="00C77E9A"/>
    <w:rsid w:val="00C80CB8"/>
    <w:rsid w:val="00C819F8"/>
    <w:rsid w:val="00C8248C"/>
    <w:rsid w:val="00C84E33"/>
    <w:rsid w:val="00C86D6F"/>
    <w:rsid w:val="00C905FC"/>
    <w:rsid w:val="00C92D03"/>
    <w:rsid w:val="00C9319C"/>
    <w:rsid w:val="00C9435D"/>
    <w:rsid w:val="00C94DF2"/>
    <w:rsid w:val="00C96741"/>
    <w:rsid w:val="00CA08AF"/>
    <w:rsid w:val="00CA27A5"/>
    <w:rsid w:val="00CA2D1B"/>
    <w:rsid w:val="00CA375D"/>
    <w:rsid w:val="00CA379D"/>
    <w:rsid w:val="00CA662A"/>
    <w:rsid w:val="00CA7AFD"/>
    <w:rsid w:val="00CA7C3C"/>
    <w:rsid w:val="00CB0189"/>
    <w:rsid w:val="00CB0BA2"/>
    <w:rsid w:val="00CB1A42"/>
    <w:rsid w:val="00CB1B0C"/>
    <w:rsid w:val="00CB2C0B"/>
    <w:rsid w:val="00CB46A0"/>
    <w:rsid w:val="00CB517D"/>
    <w:rsid w:val="00CC038D"/>
    <w:rsid w:val="00CC08DB"/>
    <w:rsid w:val="00CC39FF"/>
    <w:rsid w:val="00CC3C2F"/>
    <w:rsid w:val="00CC4AC8"/>
    <w:rsid w:val="00CC5233"/>
    <w:rsid w:val="00CC5DE6"/>
    <w:rsid w:val="00CC6BE3"/>
    <w:rsid w:val="00CC6E4E"/>
    <w:rsid w:val="00CC6FE8"/>
    <w:rsid w:val="00CC7202"/>
    <w:rsid w:val="00CD200B"/>
    <w:rsid w:val="00CD2808"/>
    <w:rsid w:val="00CD28BF"/>
    <w:rsid w:val="00CD3323"/>
    <w:rsid w:val="00CD3C53"/>
    <w:rsid w:val="00CD4092"/>
    <w:rsid w:val="00CD4A20"/>
    <w:rsid w:val="00CD50A1"/>
    <w:rsid w:val="00CD519E"/>
    <w:rsid w:val="00CD561D"/>
    <w:rsid w:val="00CE0C4F"/>
    <w:rsid w:val="00CE30EA"/>
    <w:rsid w:val="00CE3B39"/>
    <w:rsid w:val="00CF048A"/>
    <w:rsid w:val="00CF155A"/>
    <w:rsid w:val="00CF2947"/>
    <w:rsid w:val="00CF686F"/>
    <w:rsid w:val="00CF6E60"/>
    <w:rsid w:val="00CF7BCA"/>
    <w:rsid w:val="00D00132"/>
    <w:rsid w:val="00D008FD"/>
    <w:rsid w:val="00D0321C"/>
    <w:rsid w:val="00D035EC"/>
    <w:rsid w:val="00D06899"/>
    <w:rsid w:val="00D06AB1"/>
    <w:rsid w:val="00D072ED"/>
    <w:rsid w:val="00D07A16"/>
    <w:rsid w:val="00D1067E"/>
    <w:rsid w:val="00D10F50"/>
    <w:rsid w:val="00D11272"/>
    <w:rsid w:val="00D126F5"/>
    <w:rsid w:val="00D1489E"/>
    <w:rsid w:val="00D14C1B"/>
    <w:rsid w:val="00D2053E"/>
    <w:rsid w:val="00D20737"/>
    <w:rsid w:val="00D20B79"/>
    <w:rsid w:val="00D21E81"/>
    <w:rsid w:val="00D2200F"/>
    <w:rsid w:val="00D223DE"/>
    <w:rsid w:val="00D25E37"/>
    <w:rsid w:val="00D2661A"/>
    <w:rsid w:val="00D27582"/>
    <w:rsid w:val="00D27EC4"/>
    <w:rsid w:val="00D313B4"/>
    <w:rsid w:val="00D32719"/>
    <w:rsid w:val="00D33333"/>
    <w:rsid w:val="00D33457"/>
    <w:rsid w:val="00D352A2"/>
    <w:rsid w:val="00D4162B"/>
    <w:rsid w:val="00D42332"/>
    <w:rsid w:val="00D42CCE"/>
    <w:rsid w:val="00D4514F"/>
    <w:rsid w:val="00D451E2"/>
    <w:rsid w:val="00D45E89"/>
    <w:rsid w:val="00D45E8D"/>
    <w:rsid w:val="00D466AE"/>
    <w:rsid w:val="00D4734F"/>
    <w:rsid w:val="00D511CB"/>
    <w:rsid w:val="00D51BF3"/>
    <w:rsid w:val="00D61DD9"/>
    <w:rsid w:val="00D645DD"/>
    <w:rsid w:val="00D64BD8"/>
    <w:rsid w:val="00D66846"/>
    <w:rsid w:val="00D672C8"/>
    <w:rsid w:val="00D675FB"/>
    <w:rsid w:val="00D71F25"/>
    <w:rsid w:val="00D721F7"/>
    <w:rsid w:val="00D72A9C"/>
    <w:rsid w:val="00D73661"/>
    <w:rsid w:val="00D75D98"/>
    <w:rsid w:val="00D77031"/>
    <w:rsid w:val="00D84941"/>
    <w:rsid w:val="00D84FA1"/>
    <w:rsid w:val="00D851F0"/>
    <w:rsid w:val="00D859E9"/>
    <w:rsid w:val="00D86DB7"/>
    <w:rsid w:val="00D90F61"/>
    <w:rsid w:val="00D926D0"/>
    <w:rsid w:val="00D93030"/>
    <w:rsid w:val="00D950E1"/>
    <w:rsid w:val="00D952A6"/>
    <w:rsid w:val="00D97F99"/>
    <w:rsid w:val="00DA0F15"/>
    <w:rsid w:val="00DA1E08"/>
    <w:rsid w:val="00DA2347"/>
    <w:rsid w:val="00DA24F8"/>
    <w:rsid w:val="00DA28E8"/>
    <w:rsid w:val="00DA38D3"/>
    <w:rsid w:val="00DA3932"/>
    <w:rsid w:val="00DA3AFC"/>
    <w:rsid w:val="00DA5191"/>
    <w:rsid w:val="00DA64F8"/>
    <w:rsid w:val="00DA6C15"/>
    <w:rsid w:val="00DB0258"/>
    <w:rsid w:val="00DB29CE"/>
    <w:rsid w:val="00DB38EE"/>
    <w:rsid w:val="00DB498B"/>
    <w:rsid w:val="00DB5AEB"/>
    <w:rsid w:val="00DB66CA"/>
    <w:rsid w:val="00DB6BCA"/>
    <w:rsid w:val="00DB73F7"/>
    <w:rsid w:val="00DC0321"/>
    <w:rsid w:val="00DC0EAD"/>
    <w:rsid w:val="00DC2AAD"/>
    <w:rsid w:val="00DC3067"/>
    <w:rsid w:val="00DC370B"/>
    <w:rsid w:val="00DC5330"/>
    <w:rsid w:val="00DC5B90"/>
    <w:rsid w:val="00DD00FF"/>
    <w:rsid w:val="00DD0619"/>
    <w:rsid w:val="00DD07FB"/>
    <w:rsid w:val="00DD25C6"/>
    <w:rsid w:val="00DD26E6"/>
    <w:rsid w:val="00DD328B"/>
    <w:rsid w:val="00DD473C"/>
    <w:rsid w:val="00DD4FE5"/>
    <w:rsid w:val="00DD54B0"/>
    <w:rsid w:val="00DD57EE"/>
    <w:rsid w:val="00DD6BCC"/>
    <w:rsid w:val="00DE0A4B"/>
    <w:rsid w:val="00DE1CF7"/>
    <w:rsid w:val="00DE2410"/>
    <w:rsid w:val="00DE2939"/>
    <w:rsid w:val="00DE63B6"/>
    <w:rsid w:val="00DE6E81"/>
    <w:rsid w:val="00DE703F"/>
    <w:rsid w:val="00DE7595"/>
    <w:rsid w:val="00DF1961"/>
    <w:rsid w:val="00DF44DE"/>
    <w:rsid w:val="00DF5043"/>
    <w:rsid w:val="00DF5F11"/>
    <w:rsid w:val="00E01138"/>
    <w:rsid w:val="00E0119A"/>
    <w:rsid w:val="00E01E72"/>
    <w:rsid w:val="00E02DFB"/>
    <w:rsid w:val="00E030F9"/>
    <w:rsid w:val="00E0311A"/>
    <w:rsid w:val="00E03138"/>
    <w:rsid w:val="00E06404"/>
    <w:rsid w:val="00E065D2"/>
    <w:rsid w:val="00E0697B"/>
    <w:rsid w:val="00E06DB9"/>
    <w:rsid w:val="00E0772E"/>
    <w:rsid w:val="00E11A85"/>
    <w:rsid w:val="00E12495"/>
    <w:rsid w:val="00E15CCD"/>
    <w:rsid w:val="00E202EF"/>
    <w:rsid w:val="00E210B5"/>
    <w:rsid w:val="00E23D99"/>
    <w:rsid w:val="00E24668"/>
    <w:rsid w:val="00E2552F"/>
    <w:rsid w:val="00E3137A"/>
    <w:rsid w:val="00E32CCF"/>
    <w:rsid w:val="00E3333D"/>
    <w:rsid w:val="00E34A98"/>
    <w:rsid w:val="00E35D1E"/>
    <w:rsid w:val="00E364F9"/>
    <w:rsid w:val="00E365FA"/>
    <w:rsid w:val="00E36789"/>
    <w:rsid w:val="00E42C77"/>
    <w:rsid w:val="00E44A83"/>
    <w:rsid w:val="00E45D21"/>
    <w:rsid w:val="00E47140"/>
    <w:rsid w:val="00E502C1"/>
    <w:rsid w:val="00E502DD"/>
    <w:rsid w:val="00E50D3A"/>
    <w:rsid w:val="00E51387"/>
    <w:rsid w:val="00E51E68"/>
    <w:rsid w:val="00E525ED"/>
    <w:rsid w:val="00E52CB2"/>
    <w:rsid w:val="00E52EFD"/>
    <w:rsid w:val="00E533A9"/>
    <w:rsid w:val="00E5408A"/>
    <w:rsid w:val="00E54CB7"/>
    <w:rsid w:val="00E54FFA"/>
    <w:rsid w:val="00E55B6C"/>
    <w:rsid w:val="00E56800"/>
    <w:rsid w:val="00E57BED"/>
    <w:rsid w:val="00E60C63"/>
    <w:rsid w:val="00E62FF9"/>
    <w:rsid w:val="00E635D6"/>
    <w:rsid w:val="00E639BC"/>
    <w:rsid w:val="00E664CC"/>
    <w:rsid w:val="00E70388"/>
    <w:rsid w:val="00E70F92"/>
    <w:rsid w:val="00E74C54"/>
    <w:rsid w:val="00E77A03"/>
    <w:rsid w:val="00E822E8"/>
    <w:rsid w:val="00E82554"/>
    <w:rsid w:val="00E82606"/>
    <w:rsid w:val="00E8314C"/>
    <w:rsid w:val="00E83B9B"/>
    <w:rsid w:val="00E846C8"/>
    <w:rsid w:val="00E84957"/>
    <w:rsid w:val="00E84A55"/>
    <w:rsid w:val="00E85B60"/>
    <w:rsid w:val="00E85BFF"/>
    <w:rsid w:val="00E863B8"/>
    <w:rsid w:val="00E90391"/>
    <w:rsid w:val="00E906C2"/>
    <w:rsid w:val="00E91C34"/>
    <w:rsid w:val="00E9311F"/>
    <w:rsid w:val="00E934D1"/>
    <w:rsid w:val="00E94AF0"/>
    <w:rsid w:val="00E95C74"/>
    <w:rsid w:val="00E95D13"/>
    <w:rsid w:val="00E95DD3"/>
    <w:rsid w:val="00E969D5"/>
    <w:rsid w:val="00EA1911"/>
    <w:rsid w:val="00EA58D1"/>
    <w:rsid w:val="00EA61BC"/>
    <w:rsid w:val="00EA681A"/>
    <w:rsid w:val="00EA735B"/>
    <w:rsid w:val="00EB17DE"/>
    <w:rsid w:val="00EB1E69"/>
    <w:rsid w:val="00EB2086"/>
    <w:rsid w:val="00EB2D62"/>
    <w:rsid w:val="00EB5EDF"/>
    <w:rsid w:val="00EB60FE"/>
    <w:rsid w:val="00EB74DB"/>
    <w:rsid w:val="00EC5359"/>
    <w:rsid w:val="00EC562A"/>
    <w:rsid w:val="00ED067A"/>
    <w:rsid w:val="00ED2B50"/>
    <w:rsid w:val="00ED53D1"/>
    <w:rsid w:val="00EE0350"/>
    <w:rsid w:val="00EE0719"/>
    <w:rsid w:val="00EE0B90"/>
    <w:rsid w:val="00EE0E80"/>
    <w:rsid w:val="00EE54A6"/>
    <w:rsid w:val="00EE613F"/>
    <w:rsid w:val="00EE7295"/>
    <w:rsid w:val="00EE7869"/>
    <w:rsid w:val="00EF054A"/>
    <w:rsid w:val="00EF3235"/>
    <w:rsid w:val="00EF7E72"/>
    <w:rsid w:val="00F06D37"/>
    <w:rsid w:val="00F07B9D"/>
    <w:rsid w:val="00F113FD"/>
    <w:rsid w:val="00F11586"/>
    <w:rsid w:val="00F1183B"/>
    <w:rsid w:val="00F11AD9"/>
    <w:rsid w:val="00F11C9F"/>
    <w:rsid w:val="00F12263"/>
    <w:rsid w:val="00F1409D"/>
    <w:rsid w:val="00F14214"/>
    <w:rsid w:val="00F14807"/>
    <w:rsid w:val="00F157A9"/>
    <w:rsid w:val="00F24542"/>
    <w:rsid w:val="00F24884"/>
    <w:rsid w:val="00F25BB6"/>
    <w:rsid w:val="00F26B7E"/>
    <w:rsid w:val="00F27A3B"/>
    <w:rsid w:val="00F31850"/>
    <w:rsid w:val="00F33817"/>
    <w:rsid w:val="00F34860"/>
    <w:rsid w:val="00F420D5"/>
    <w:rsid w:val="00F451EA"/>
    <w:rsid w:val="00F45447"/>
    <w:rsid w:val="00F456C6"/>
    <w:rsid w:val="00F4577B"/>
    <w:rsid w:val="00F45D9E"/>
    <w:rsid w:val="00F46496"/>
    <w:rsid w:val="00F474D0"/>
    <w:rsid w:val="00F50179"/>
    <w:rsid w:val="00F515EE"/>
    <w:rsid w:val="00F56511"/>
    <w:rsid w:val="00F6194E"/>
    <w:rsid w:val="00F623AC"/>
    <w:rsid w:val="00F63D09"/>
    <w:rsid w:val="00F6412A"/>
    <w:rsid w:val="00F65893"/>
    <w:rsid w:val="00F66543"/>
    <w:rsid w:val="00F66A27"/>
    <w:rsid w:val="00F66A4A"/>
    <w:rsid w:val="00F71E22"/>
    <w:rsid w:val="00F72142"/>
    <w:rsid w:val="00F72AE7"/>
    <w:rsid w:val="00F73FF9"/>
    <w:rsid w:val="00F81141"/>
    <w:rsid w:val="00F8263F"/>
    <w:rsid w:val="00F826EB"/>
    <w:rsid w:val="00F833BA"/>
    <w:rsid w:val="00F849F6"/>
    <w:rsid w:val="00F84FD0"/>
    <w:rsid w:val="00F859A8"/>
    <w:rsid w:val="00F86D87"/>
    <w:rsid w:val="00F9108B"/>
    <w:rsid w:val="00F91349"/>
    <w:rsid w:val="00F9376D"/>
    <w:rsid w:val="00F93A8A"/>
    <w:rsid w:val="00F95248"/>
    <w:rsid w:val="00F956A9"/>
    <w:rsid w:val="00F9579B"/>
    <w:rsid w:val="00F963ED"/>
    <w:rsid w:val="00F9663A"/>
    <w:rsid w:val="00F966CF"/>
    <w:rsid w:val="00F96CAE"/>
    <w:rsid w:val="00F97C99"/>
    <w:rsid w:val="00FA14A0"/>
    <w:rsid w:val="00FA16CF"/>
    <w:rsid w:val="00FA364F"/>
    <w:rsid w:val="00FA4DAC"/>
    <w:rsid w:val="00FA662D"/>
    <w:rsid w:val="00FA73B1"/>
    <w:rsid w:val="00FB0CB9"/>
    <w:rsid w:val="00FB231D"/>
    <w:rsid w:val="00FB45F1"/>
    <w:rsid w:val="00FB4A72"/>
    <w:rsid w:val="00FB54E8"/>
    <w:rsid w:val="00FB7054"/>
    <w:rsid w:val="00FC00C6"/>
    <w:rsid w:val="00FC0DB5"/>
    <w:rsid w:val="00FC17B7"/>
    <w:rsid w:val="00FC2CB7"/>
    <w:rsid w:val="00FC4090"/>
    <w:rsid w:val="00FC53F5"/>
    <w:rsid w:val="00FC55B4"/>
    <w:rsid w:val="00FC773E"/>
    <w:rsid w:val="00FD00E6"/>
    <w:rsid w:val="00FD09A1"/>
    <w:rsid w:val="00FD2A2F"/>
    <w:rsid w:val="00FD2A7C"/>
    <w:rsid w:val="00FD59EB"/>
    <w:rsid w:val="00FD7299"/>
    <w:rsid w:val="00FE1D09"/>
    <w:rsid w:val="00FE1FBE"/>
    <w:rsid w:val="00FE25BC"/>
    <w:rsid w:val="00FE33E4"/>
    <w:rsid w:val="00FE36DE"/>
    <w:rsid w:val="00FE3901"/>
    <w:rsid w:val="00FE39D3"/>
    <w:rsid w:val="00FE4BCE"/>
    <w:rsid w:val="00FE54AE"/>
    <w:rsid w:val="00FE56BD"/>
    <w:rsid w:val="00FE576A"/>
    <w:rsid w:val="00FE7E79"/>
    <w:rsid w:val="00FF2446"/>
    <w:rsid w:val="00FF3E7D"/>
    <w:rsid w:val="00FF5B99"/>
    <w:rsid w:val="00FF730C"/>
    <w:rsid w:val="00FF73F4"/>
    <w:rsid w:val="00FF7CE4"/>
    <w:rsid w:val="00FF7E39"/>
    <w:rsid w:val="011B6997"/>
    <w:rsid w:val="01757460"/>
    <w:rsid w:val="018856AF"/>
    <w:rsid w:val="01946511"/>
    <w:rsid w:val="01AE4D32"/>
    <w:rsid w:val="022E14F7"/>
    <w:rsid w:val="02EA46C5"/>
    <w:rsid w:val="02FA082F"/>
    <w:rsid w:val="03D1158F"/>
    <w:rsid w:val="03FA35F4"/>
    <w:rsid w:val="04221DEB"/>
    <w:rsid w:val="04447FB3"/>
    <w:rsid w:val="051F457C"/>
    <w:rsid w:val="05FD2B10"/>
    <w:rsid w:val="06054715"/>
    <w:rsid w:val="062A3DB8"/>
    <w:rsid w:val="069A2F87"/>
    <w:rsid w:val="06F04AA9"/>
    <w:rsid w:val="080116E4"/>
    <w:rsid w:val="08053EFD"/>
    <w:rsid w:val="081544AB"/>
    <w:rsid w:val="09420839"/>
    <w:rsid w:val="094438C4"/>
    <w:rsid w:val="0A275D5F"/>
    <w:rsid w:val="0B0B70F8"/>
    <w:rsid w:val="0B14027B"/>
    <w:rsid w:val="0B1A381C"/>
    <w:rsid w:val="0B2226D0"/>
    <w:rsid w:val="0B263A48"/>
    <w:rsid w:val="0B794165"/>
    <w:rsid w:val="0C526FE5"/>
    <w:rsid w:val="0C803E0F"/>
    <w:rsid w:val="0CCC323C"/>
    <w:rsid w:val="0CFF53BF"/>
    <w:rsid w:val="0D1179FA"/>
    <w:rsid w:val="0D2B7F62"/>
    <w:rsid w:val="0E5F72A1"/>
    <w:rsid w:val="0E85325F"/>
    <w:rsid w:val="0FFC7B49"/>
    <w:rsid w:val="104355C3"/>
    <w:rsid w:val="107F6F93"/>
    <w:rsid w:val="108C7D42"/>
    <w:rsid w:val="10ED4953"/>
    <w:rsid w:val="10F813A5"/>
    <w:rsid w:val="10FB3001"/>
    <w:rsid w:val="114F1D45"/>
    <w:rsid w:val="129412BC"/>
    <w:rsid w:val="12CF6B79"/>
    <w:rsid w:val="137B6B42"/>
    <w:rsid w:val="15125C35"/>
    <w:rsid w:val="152879E7"/>
    <w:rsid w:val="155344FA"/>
    <w:rsid w:val="15AE1730"/>
    <w:rsid w:val="15FD7FC2"/>
    <w:rsid w:val="169923E1"/>
    <w:rsid w:val="16CF2F36"/>
    <w:rsid w:val="16E8771E"/>
    <w:rsid w:val="17131EB5"/>
    <w:rsid w:val="177F4700"/>
    <w:rsid w:val="17843EEA"/>
    <w:rsid w:val="182C1032"/>
    <w:rsid w:val="187F1162"/>
    <w:rsid w:val="19620C1E"/>
    <w:rsid w:val="1AB31597"/>
    <w:rsid w:val="1B49619E"/>
    <w:rsid w:val="1B941F2A"/>
    <w:rsid w:val="1C066BFA"/>
    <w:rsid w:val="1C495A17"/>
    <w:rsid w:val="1CD37257"/>
    <w:rsid w:val="1CDF0FFC"/>
    <w:rsid w:val="1CEE008E"/>
    <w:rsid w:val="1D3F228F"/>
    <w:rsid w:val="1D474E47"/>
    <w:rsid w:val="1D9C6312"/>
    <w:rsid w:val="1DA06C6A"/>
    <w:rsid w:val="1DAC4376"/>
    <w:rsid w:val="1DD733A8"/>
    <w:rsid w:val="1E020213"/>
    <w:rsid w:val="1E3E3CFA"/>
    <w:rsid w:val="1E6A5D5B"/>
    <w:rsid w:val="1E8219AC"/>
    <w:rsid w:val="1F4D3D68"/>
    <w:rsid w:val="1F956DEA"/>
    <w:rsid w:val="20E52F05"/>
    <w:rsid w:val="21AE2AB8"/>
    <w:rsid w:val="21BE0F4D"/>
    <w:rsid w:val="22A75762"/>
    <w:rsid w:val="22BB36DF"/>
    <w:rsid w:val="22C24A6D"/>
    <w:rsid w:val="23613156"/>
    <w:rsid w:val="24547947"/>
    <w:rsid w:val="24575689"/>
    <w:rsid w:val="245E4322"/>
    <w:rsid w:val="24FA6740"/>
    <w:rsid w:val="252512E3"/>
    <w:rsid w:val="25297DC0"/>
    <w:rsid w:val="256F4E33"/>
    <w:rsid w:val="25FD2DAB"/>
    <w:rsid w:val="26127ABA"/>
    <w:rsid w:val="26686BB5"/>
    <w:rsid w:val="267D680A"/>
    <w:rsid w:val="26A821CC"/>
    <w:rsid w:val="26DA46CB"/>
    <w:rsid w:val="27724EE3"/>
    <w:rsid w:val="277D71B5"/>
    <w:rsid w:val="278E4F1E"/>
    <w:rsid w:val="27C10353"/>
    <w:rsid w:val="27CA5756"/>
    <w:rsid w:val="28801387"/>
    <w:rsid w:val="28F46347"/>
    <w:rsid w:val="29C56BF1"/>
    <w:rsid w:val="2A067935"/>
    <w:rsid w:val="2A735D57"/>
    <w:rsid w:val="2A7F3FBF"/>
    <w:rsid w:val="2A7F69AB"/>
    <w:rsid w:val="2B011EB4"/>
    <w:rsid w:val="2C974875"/>
    <w:rsid w:val="2D2105E2"/>
    <w:rsid w:val="2E020414"/>
    <w:rsid w:val="2E043158"/>
    <w:rsid w:val="2E5F1DFB"/>
    <w:rsid w:val="2E6B5FB9"/>
    <w:rsid w:val="2EA72907"/>
    <w:rsid w:val="2EC976F6"/>
    <w:rsid w:val="2ECA33AD"/>
    <w:rsid w:val="2EE27C7F"/>
    <w:rsid w:val="2F162DA0"/>
    <w:rsid w:val="2F8F4905"/>
    <w:rsid w:val="300246FB"/>
    <w:rsid w:val="3025488D"/>
    <w:rsid w:val="30297EDA"/>
    <w:rsid w:val="306845DB"/>
    <w:rsid w:val="30D21853"/>
    <w:rsid w:val="30D2231F"/>
    <w:rsid w:val="326A2A2B"/>
    <w:rsid w:val="328C0BF4"/>
    <w:rsid w:val="33513ACD"/>
    <w:rsid w:val="336B4FE8"/>
    <w:rsid w:val="338B2715"/>
    <w:rsid w:val="33BD1C68"/>
    <w:rsid w:val="3442156A"/>
    <w:rsid w:val="347F7853"/>
    <w:rsid w:val="34EA05F1"/>
    <w:rsid w:val="356A5AF9"/>
    <w:rsid w:val="3585335C"/>
    <w:rsid w:val="35860480"/>
    <w:rsid w:val="36605A86"/>
    <w:rsid w:val="36A309CE"/>
    <w:rsid w:val="37695060"/>
    <w:rsid w:val="378060D3"/>
    <w:rsid w:val="37A92245"/>
    <w:rsid w:val="37BF2DAA"/>
    <w:rsid w:val="37F4177F"/>
    <w:rsid w:val="38E0657D"/>
    <w:rsid w:val="39237490"/>
    <w:rsid w:val="39544AFE"/>
    <w:rsid w:val="39D3299A"/>
    <w:rsid w:val="39EC3D26"/>
    <w:rsid w:val="3A0617DF"/>
    <w:rsid w:val="3A0B10E4"/>
    <w:rsid w:val="3ADC48A5"/>
    <w:rsid w:val="3AEC6EDB"/>
    <w:rsid w:val="3B324DD8"/>
    <w:rsid w:val="3B8D2E4D"/>
    <w:rsid w:val="3BAD5F86"/>
    <w:rsid w:val="3C7F438A"/>
    <w:rsid w:val="3CD94A35"/>
    <w:rsid w:val="3DEF3758"/>
    <w:rsid w:val="3E2C6DE7"/>
    <w:rsid w:val="3E345534"/>
    <w:rsid w:val="3FA255B3"/>
    <w:rsid w:val="3FE21E53"/>
    <w:rsid w:val="3FF9651B"/>
    <w:rsid w:val="40BE01CA"/>
    <w:rsid w:val="40F41E3E"/>
    <w:rsid w:val="413453F5"/>
    <w:rsid w:val="41B87306"/>
    <w:rsid w:val="425D7EB7"/>
    <w:rsid w:val="42672AA4"/>
    <w:rsid w:val="429E219E"/>
    <w:rsid w:val="43233AC1"/>
    <w:rsid w:val="43913B0C"/>
    <w:rsid w:val="43EC504E"/>
    <w:rsid w:val="43F35894"/>
    <w:rsid w:val="44503E05"/>
    <w:rsid w:val="44A75419"/>
    <w:rsid w:val="44F05189"/>
    <w:rsid w:val="451A3E3D"/>
    <w:rsid w:val="45AD4CB1"/>
    <w:rsid w:val="46003033"/>
    <w:rsid w:val="466706D9"/>
    <w:rsid w:val="47001755"/>
    <w:rsid w:val="47E26E94"/>
    <w:rsid w:val="48256D81"/>
    <w:rsid w:val="48945014"/>
    <w:rsid w:val="48AB197C"/>
    <w:rsid w:val="48E50D14"/>
    <w:rsid w:val="48E924A4"/>
    <w:rsid w:val="49056C11"/>
    <w:rsid w:val="49241325"/>
    <w:rsid w:val="49695393"/>
    <w:rsid w:val="4994779D"/>
    <w:rsid w:val="49C22FD9"/>
    <w:rsid w:val="49CA125D"/>
    <w:rsid w:val="49E60792"/>
    <w:rsid w:val="4A904BD7"/>
    <w:rsid w:val="4B0A6626"/>
    <w:rsid w:val="4B442622"/>
    <w:rsid w:val="4B563EA5"/>
    <w:rsid w:val="4B5D6832"/>
    <w:rsid w:val="4B840EE1"/>
    <w:rsid w:val="4C1E0C53"/>
    <w:rsid w:val="4D950EAB"/>
    <w:rsid w:val="4DA8648A"/>
    <w:rsid w:val="4E4C1B2D"/>
    <w:rsid w:val="4E4E495F"/>
    <w:rsid w:val="4EB8193F"/>
    <w:rsid w:val="4ECD1F20"/>
    <w:rsid w:val="4EFF6545"/>
    <w:rsid w:val="4F5F7988"/>
    <w:rsid w:val="4F7B05C2"/>
    <w:rsid w:val="4FBB5F84"/>
    <w:rsid w:val="506B19F1"/>
    <w:rsid w:val="507E215F"/>
    <w:rsid w:val="50B05655"/>
    <w:rsid w:val="510F6820"/>
    <w:rsid w:val="51340035"/>
    <w:rsid w:val="516052CE"/>
    <w:rsid w:val="52141B73"/>
    <w:rsid w:val="523C35A4"/>
    <w:rsid w:val="52764238"/>
    <w:rsid w:val="5373389A"/>
    <w:rsid w:val="53D5578D"/>
    <w:rsid w:val="5408144B"/>
    <w:rsid w:val="546D21DB"/>
    <w:rsid w:val="54C42B91"/>
    <w:rsid w:val="55592D6B"/>
    <w:rsid w:val="55A94F13"/>
    <w:rsid w:val="56384123"/>
    <w:rsid w:val="56C37F96"/>
    <w:rsid w:val="56CA56C3"/>
    <w:rsid w:val="570404A9"/>
    <w:rsid w:val="57524C4F"/>
    <w:rsid w:val="57F00130"/>
    <w:rsid w:val="586A0242"/>
    <w:rsid w:val="590D702B"/>
    <w:rsid w:val="59335A0E"/>
    <w:rsid w:val="5A0031AA"/>
    <w:rsid w:val="5A557999"/>
    <w:rsid w:val="5AA9356E"/>
    <w:rsid w:val="5B614320"/>
    <w:rsid w:val="5B760713"/>
    <w:rsid w:val="5C5D2B35"/>
    <w:rsid w:val="5C814A76"/>
    <w:rsid w:val="5CDB2F01"/>
    <w:rsid w:val="5D51797B"/>
    <w:rsid w:val="5D610403"/>
    <w:rsid w:val="5D6121B1"/>
    <w:rsid w:val="5D870E20"/>
    <w:rsid w:val="5D931964"/>
    <w:rsid w:val="5DA60E13"/>
    <w:rsid w:val="5E3A0775"/>
    <w:rsid w:val="5ED33796"/>
    <w:rsid w:val="5F2B0CC9"/>
    <w:rsid w:val="5F335DCF"/>
    <w:rsid w:val="5F6A24C5"/>
    <w:rsid w:val="5FAB1ECC"/>
    <w:rsid w:val="5FCB78EA"/>
    <w:rsid w:val="6005776C"/>
    <w:rsid w:val="600734E4"/>
    <w:rsid w:val="60455DBA"/>
    <w:rsid w:val="6130435D"/>
    <w:rsid w:val="615D6A76"/>
    <w:rsid w:val="61A134C4"/>
    <w:rsid w:val="61F74E6F"/>
    <w:rsid w:val="622814F0"/>
    <w:rsid w:val="626F70F2"/>
    <w:rsid w:val="639E3D74"/>
    <w:rsid w:val="63F64B09"/>
    <w:rsid w:val="64E831B8"/>
    <w:rsid w:val="65197815"/>
    <w:rsid w:val="65763339"/>
    <w:rsid w:val="65D73958"/>
    <w:rsid w:val="661F3DA7"/>
    <w:rsid w:val="66304E17"/>
    <w:rsid w:val="66417151"/>
    <w:rsid w:val="66B2560C"/>
    <w:rsid w:val="670818F0"/>
    <w:rsid w:val="672F0851"/>
    <w:rsid w:val="676E2672"/>
    <w:rsid w:val="67975B7A"/>
    <w:rsid w:val="67A61833"/>
    <w:rsid w:val="67CE0D8B"/>
    <w:rsid w:val="67F73E3E"/>
    <w:rsid w:val="68815DFE"/>
    <w:rsid w:val="68A65C59"/>
    <w:rsid w:val="68D67EF7"/>
    <w:rsid w:val="68E95870"/>
    <w:rsid w:val="690928EB"/>
    <w:rsid w:val="69117181"/>
    <w:rsid w:val="693A1CAA"/>
    <w:rsid w:val="6942099E"/>
    <w:rsid w:val="6982745D"/>
    <w:rsid w:val="69B5602F"/>
    <w:rsid w:val="69C27360"/>
    <w:rsid w:val="69DA57C5"/>
    <w:rsid w:val="6A024D1C"/>
    <w:rsid w:val="6A2546C9"/>
    <w:rsid w:val="6A42015E"/>
    <w:rsid w:val="6A425119"/>
    <w:rsid w:val="6A510F7A"/>
    <w:rsid w:val="6A9B2F97"/>
    <w:rsid w:val="6AF23FC1"/>
    <w:rsid w:val="6AF666E8"/>
    <w:rsid w:val="6B3709F5"/>
    <w:rsid w:val="6BF42AA7"/>
    <w:rsid w:val="6C190693"/>
    <w:rsid w:val="6C285A21"/>
    <w:rsid w:val="6C8B2DA7"/>
    <w:rsid w:val="6C937EAD"/>
    <w:rsid w:val="6CC1090D"/>
    <w:rsid w:val="6CDF7C7A"/>
    <w:rsid w:val="6CEB7CE9"/>
    <w:rsid w:val="6CF3094C"/>
    <w:rsid w:val="6D031FAB"/>
    <w:rsid w:val="6D050DAB"/>
    <w:rsid w:val="6D260D22"/>
    <w:rsid w:val="6D8D2B4F"/>
    <w:rsid w:val="6D9A2DB3"/>
    <w:rsid w:val="6E6C09B6"/>
    <w:rsid w:val="6EC6456A"/>
    <w:rsid w:val="6EE24EF4"/>
    <w:rsid w:val="6EE52C8E"/>
    <w:rsid w:val="6EF8049C"/>
    <w:rsid w:val="6F356F8C"/>
    <w:rsid w:val="6F63625D"/>
    <w:rsid w:val="6F7F690A"/>
    <w:rsid w:val="6F8340C9"/>
    <w:rsid w:val="70734174"/>
    <w:rsid w:val="70846FB0"/>
    <w:rsid w:val="70A2499F"/>
    <w:rsid w:val="71257C6E"/>
    <w:rsid w:val="713C1E52"/>
    <w:rsid w:val="71B43077"/>
    <w:rsid w:val="71BE777B"/>
    <w:rsid w:val="7287584D"/>
    <w:rsid w:val="73F676A0"/>
    <w:rsid w:val="74253CE6"/>
    <w:rsid w:val="742A7349"/>
    <w:rsid w:val="74A23383"/>
    <w:rsid w:val="74B24854"/>
    <w:rsid w:val="751F2C26"/>
    <w:rsid w:val="753C1715"/>
    <w:rsid w:val="755328D0"/>
    <w:rsid w:val="759F1DD9"/>
    <w:rsid w:val="75C17965"/>
    <w:rsid w:val="75F96405"/>
    <w:rsid w:val="76530DD9"/>
    <w:rsid w:val="76884758"/>
    <w:rsid w:val="769431A0"/>
    <w:rsid w:val="76B928AB"/>
    <w:rsid w:val="77435A4F"/>
    <w:rsid w:val="77912427"/>
    <w:rsid w:val="77C730EE"/>
    <w:rsid w:val="78544995"/>
    <w:rsid w:val="788039DC"/>
    <w:rsid w:val="78CC1871"/>
    <w:rsid w:val="790243F1"/>
    <w:rsid w:val="792C761D"/>
    <w:rsid w:val="79810C25"/>
    <w:rsid w:val="79897FE5"/>
    <w:rsid w:val="7B164FDB"/>
    <w:rsid w:val="7B237583"/>
    <w:rsid w:val="7BB35E76"/>
    <w:rsid w:val="7C0337DA"/>
    <w:rsid w:val="7D6E6F6F"/>
    <w:rsid w:val="7D9B3066"/>
    <w:rsid w:val="7E0A24D6"/>
    <w:rsid w:val="7E983184"/>
    <w:rsid w:val="7EEE2011"/>
    <w:rsid w:val="7F1205F3"/>
    <w:rsid w:val="7FB7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9"/>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next w:val="15"/>
    <w:link w:val="90"/>
    <w:qFormat/>
    <w:uiPriority w:val="0"/>
    <w:pPr>
      <w:spacing w:after="120"/>
    </w:pPr>
  </w:style>
  <w:style w:type="paragraph" w:styleId="15">
    <w:name w:val="toc 3"/>
    <w:basedOn w:val="1"/>
    <w:next w:val="1"/>
    <w:unhideWhenUsed/>
    <w:qFormat/>
    <w:uiPriority w:val="39"/>
    <w:pPr>
      <w:spacing w:line="300" w:lineRule="exact"/>
      <w:ind w:left="420"/>
    </w:pPr>
    <w:rPr>
      <w:rFonts w:ascii="宋体"/>
    </w:rPr>
  </w:style>
  <w:style w:type="paragraph" w:styleId="16">
    <w:name w:val="Body Text Indent"/>
    <w:basedOn w:val="1"/>
    <w:link w:val="247"/>
    <w:semiHidden/>
    <w:unhideWhenUsed/>
    <w:qFormat/>
    <w:uiPriority w:val="99"/>
    <w:pPr>
      <w:spacing w:after="120"/>
      <w:ind w:left="420" w:leftChars="200"/>
    </w:pPr>
  </w:style>
  <w:style w:type="paragraph" w:styleId="17">
    <w:name w:val="toc 5"/>
    <w:basedOn w:val="1"/>
    <w:next w:val="1"/>
    <w:unhideWhenUsed/>
    <w:qFormat/>
    <w:uiPriority w:val="39"/>
    <w:pPr>
      <w:ind w:left="839"/>
    </w:pPr>
    <w:rPr>
      <w:rFonts w:ascii="宋体"/>
    </w:rPr>
  </w:style>
  <w:style w:type="paragraph" w:styleId="18">
    <w:name w:val="Balloon Text"/>
    <w:basedOn w:val="1"/>
    <w:link w:val="50"/>
    <w:semiHidden/>
    <w:unhideWhenUsed/>
    <w:qFormat/>
    <w:uiPriority w:val="99"/>
    <w:rPr>
      <w:sz w:val="18"/>
      <w:szCs w:val="18"/>
    </w:rPr>
  </w:style>
  <w:style w:type="paragraph" w:styleId="19">
    <w:name w:val="footer"/>
    <w:basedOn w:val="1"/>
    <w:next w:val="14"/>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8"/>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3"/>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FollowedHyperlink"/>
    <w:basedOn w:val="30"/>
    <w:semiHidden/>
    <w:unhideWhenUsed/>
    <w:qFormat/>
    <w:uiPriority w:val="99"/>
    <w:rPr>
      <w:color w:val="0000CC"/>
      <w:sz w:val="22"/>
      <w:szCs w:val="22"/>
      <w:u w:val="single"/>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paragraph" w:customStyle="1" w:styleId="38">
    <w:name w:val="标准文件_正文表标题"/>
    <w:next w:val="39"/>
    <w:qFormat/>
    <w:uiPriority w:val="0"/>
    <w:pPr>
      <w:numPr>
        <w:ilvl w:val="0"/>
        <w:numId w:val="1"/>
      </w:numPr>
      <w:tabs>
        <w:tab w:val="left" w:pos="0"/>
      </w:tabs>
      <w:spacing w:before="50" w:beforeLines="50" w:after="50" w:afterLines="50"/>
      <w:ind w:left="0"/>
      <w:jc w:val="center"/>
    </w:pPr>
    <w:rPr>
      <w:rFonts w:ascii="黑体" w:hAnsi="黑体" w:eastAsia="黑体" w:cs="Times New Roman"/>
      <w:sz w:val="21"/>
      <w:lang w:val="en-US" w:eastAsia="zh-CN" w:bidi="ar-SA"/>
    </w:rPr>
  </w:style>
  <w:style w:type="paragraph" w:customStyle="1" w:styleId="3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0">
    <w:name w:val="标题 2 Char"/>
    <w:link w:val="3"/>
    <w:qFormat/>
    <w:uiPriority w:val="9"/>
    <w:rPr>
      <w:rFonts w:ascii="Arial" w:hAnsi="Arial" w:eastAsia="黑体"/>
      <w:b/>
      <w:bCs/>
      <w:kern w:val="2"/>
      <w:sz w:val="32"/>
      <w:szCs w:val="32"/>
    </w:rPr>
  </w:style>
  <w:style w:type="character" w:customStyle="1" w:styleId="41">
    <w:name w:val="标题 3 Char"/>
    <w:link w:val="4"/>
    <w:qFormat/>
    <w:uiPriority w:val="0"/>
    <w:rPr>
      <w:b/>
      <w:bCs/>
      <w:kern w:val="2"/>
      <w:sz w:val="32"/>
      <w:szCs w:val="32"/>
    </w:rPr>
  </w:style>
  <w:style w:type="character" w:customStyle="1" w:styleId="42">
    <w:name w:val="标题 4 Char"/>
    <w:link w:val="5"/>
    <w:qFormat/>
    <w:uiPriority w:val="0"/>
    <w:rPr>
      <w:rFonts w:ascii="Arial" w:hAnsi="Arial" w:eastAsia="黑体"/>
      <w:b/>
      <w:bCs/>
      <w:kern w:val="2"/>
      <w:sz w:val="28"/>
      <w:szCs w:val="28"/>
    </w:rPr>
  </w:style>
  <w:style w:type="character" w:customStyle="1" w:styleId="43">
    <w:name w:val="标题 5 Char"/>
    <w:link w:val="6"/>
    <w:qFormat/>
    <w:uiPriority w:val="0"/>
    <w:rPr>
      <w:b/>
      <w:bCs/>
      <w:kern w:val="2"/>
      <w:sz w:val="28"/>
      <w:szCs w:val="28"/>
    </w:rPr>
  </w:style>
  <w:style w:type="character" w:customStyle="1" w:styleId="44">
    <w:name w:val="标题 6 Char"/>
    <w:link w:val="7"/>
    <w:qFormat/>
    <w:uiPriority w:val="0"/>
    <w:rPr>
      <w:rFonts w:ascii="Arial" w:hAnsi="Arial" w:eastAsia="黑体"/>
      <w:b/>
      <w:bCs/>
      <w:kern w:val="2"/>
      <w:sz w:val="24"/>
      <w:szCs w:val="24"/>
    </w:rPr>
  </w:style>
  <w:style w:type="character" w:customStyle="1" w:styleId="45">
    <w:name w:val="标题 7 Char"/>
    <w:link w:val="8"/>
    <w:qFormat/>
    <w:uiPriority w:val="0"/>
    <w:rPr>
      <w:b/>
      <w:bCs/>
      <w:kern w:val="2"/>
      <w:sz w:val="24"/>
      <w:szCs w:val="24"/>
    </w:rPr>
  </w:style>
  <w:style w:type="character" w:customStyle="1" w:styleId="46">
    <w:name w:val="标题 8 Char"/>
    <w:link w:val="9"/>
    <w:qFormat/>
    <w:uiPriority w:val="0"/>
    <w:rPr>
      <w:rFonts w:ascii="Arial" w:hAnsi="Arial" w:eastAsia="黑体"/>
      <w:kern w:val="2"/>
      <w:sz w:val="24"/>
      <w:szCs w:val="24"/>
    </w:rPr>
  </w:style>
  <w:style w:type="character" w:customStyle="1" w:styleId="47">
    <w:name w:val="标题 9 Char"/>
    <w:link w:val="10"/>
    <w:qFormat/>
    <w:uiPriority w:val="0"/>
    <w:rPr>
      <w:rFonts w:ascii="Arial" w:hAnsi="Arial" w:eastAsia="黑体"/>
      <w:kern w:val="2"/>
      <w:sz w:val="21"/>
      <w:szCs w:val="21"/>
    </w:rPr>
  </w:style>
  <w:style w:type="character" w:customStyle="1" w:styleId="48">
    <w:name w:val="页眉 Char"/>
    <w:link w:val="20"/>
    <w:qFormat/>
    <w:uiPriority w:val="99"/>
    <w:rPr>
      <w:kern w:val="2"/>
      <w:sz w:val="18"/>
      <w:szCs w:val="18"/>
    </w:rPr>
  </w:style>
  <w:style w:type="character" w:customStyle="1" w:styleId="49">
    <w:name w:val="页脚 Char"/>
    <w:link w:val="19"/>
    <w:qFormat/>
    <w:uiPriority w:val="99"/>
    <w:rPr>
      <w:rFonts w:ascii="宋体"/>
      <w:kern w:val="2"/>
      <w:sz w:val="18"/>
      <w:szCs w:val="18"/>
    </w:rPr>
  </w:style>
  <w:style w:type="character" w:customStyle="1" w:styleId="50">
    <w:name w:val="批注框文本 Char"/>
    <w:link w:val="18"/>
    <w:semiHidden/>
    <w:qFormat/>
    <w:uiPriority w:val="99"/>
    <w:rPr>
      <w:kern w:val="2"/>
      <w:sz w:val="18"/>
      <w:szCs w:val="18"/>
    </w:rPr>
  </w:style>
  <w:style w:type="paragraph" w:styleId="51">
    <w:name w:val="Quote"/>
    <w:basedOn w:val="1"/>
    <w:next w:val="1"/>
    <w:link w:val="52"/>
    <w:qFormat/>
    <w:uiPriority w:val="29"/>
    <w:rPr>
      <w:i/>
      <w:iCs/>
      <w:color w:val="000000"/>
    </w:rPr>
  </w:style>
  <w:style w:type="character" w:customStyle="1" w:styleId="52">
    <w:name w:val="引用 Char"/>
    <w:link w:val="51"/>
    <w:qFormat/>
    <w:uiPriority w:val="29"/>
    <w:rPr>
      <w:i/>
      <w:iCs/>
      <w:color w:val="000000"/>
      <w:kern w:val="2"/>
      <w:sz w:val="21"/>
      <w:szCs w:val="21"/>
    </w:rPr>
  </w:style>
  <w:style w:type="character" w:customStyle="1" w:styleId="53">
    <w:name w:val="标题 Char"/>
    <w:link w:val="27"/>
    <w:qFormat/>
    <w:uiPriority w:val="0"/>
    <w:rPr>
      <w:rFonts w:ascii="Arial" w:hAnsi="Arial" w:cs="Arial"/>
      <w:b/>
      <w:bCs/>
      <w:kern w:val="2"/>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39"/>
    <w:qFormat/>
    <w:uiPriority w:val="0"/>
    <w:pPr>
      <w:snapToGrid w:val="0"/>
      <w:ind w:firstLine="200" w:firstLineChars="200"/>
    </w:pPr>
    <w:rPr>
      <w:kern w:val="0"/>
    </w:rPr>
  </w:style>
  <w:style w:type="paragraph" w:customStyle="1" w:styleId="61">
    <w:name w:val="标准文件_版本"/>
    <w:basedOn w:val="60"/>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2"/>
      </w:numPr>
    </w:pPr>
    <w:rPr>
      <w:rFonts w:ascii="宋体" w:hAnsi="Times New Roman" w:eastAsia="宋体" w:cs="Times New Roman"/>
      <w:lang w:val="en-US" w:eastAsia="zh-CN" w:bidi="ar-SA"/>
    </w:rPr>
  </w:style>
  <w:style w:type="paragraph" w:customStyle="1" w:styleId="69">
    <w:name w:val="标准文件_二级条标题"/>
    <w:next w:val="39"/>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39"/>
    <w:qFormat/>
    <w:uiPriority w:val="0"/>
    <w:pPr>
      <w:numPr>
        <w:ilvl w:val="0"/>
        <w:numId w:val="4"/>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39"/>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39"/>
    <w:qFormat/>
    <w:uiPriority w:val="0"/>
    <w:pPr>
      <w:numPr>
        <w:ilvl w:val="0"/>
        <w:numId w:val="5"/>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39"/>
    <w:qFormat/>
    <w:uiPriority w:val="0"/>
    <w:pPr>
      <w:numPr>
        <w:ilvl w:val="1"/>
        <w:numId w:val="6"/>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39"/>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39"/>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39"/>
    <w:qFormat/>
    <w:uiPriority w:val="0"/>
    <w:pPr>
      <w:widowControl w:val="0"/>
      <w:numPr>
        <w:ilvl w:val="3"/>
        <w:numId w:val="5"/>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39"/>
    <w:qFormat/>
    <w:uiPriority w:val="0"/>
    <w:pPr>
      <w:widowControl w:val="0"/>
      <w:numPr>
        <w:ilvl w:val="4"/>
        <w:numId w:val="5"/>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39"/>
    <w:qFormat/>
    <w:uiPriority w:val="0"/>
    <w:pPr>
      <w:numPr>
        <w:ilvl w:val="1"/>
        <w:numId w:val="7"/>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39"/>
    <w:qFormat/>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8"/>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Char"/>
    <w:link w:val="14"/>
    <w:qFormat/>
    <w:uiPriority w:val="0"/>
    <w:rPr>
      <w:kern w:val="2"/>
      <w:sz w:val="21"/>
      <w:szCs w:val="21"/>
    </w:rPr>
  </w:style>
  <w:style w:type="paragraph" w:customStyle="1" w:styleId="91">
    <w:name w:val="标准文件_附录章标题"/>
    <w:next w:val="3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39"/>
    <w:next w:val="39"/>
    <w:qFormat/>
    <w:uiPriority w:val="0"/>
    <w:pPr>
      <w:ind w:left="488" w:leftChars="200" w:hanging="289" w:hangingChars="290"/>
    </w:pPr>
  </w:style>
  <w:style w:type="paragraph" w:customStyle="1" w:styleId="93">
    <w:name w:val="标准文件_前言、引言标题"/>
    <w:next w:val="1"/>
    <w:qFormat/>
    <w:uiPriority w:val="0"/>
    <w:pPr>
      <w:numPr>
        <w:ilvl w:val="0"/>
        <w:numId w:val="9"/>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39"/>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10"/>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1"/>
      </w:numPr>
    </w:pPr>
  </w:style>
  <w:style w:type="paragraph" w:customStyle="1" w:styleId="98">
    <w:name w:val="标准文件_三级条标题"/>
    <w:basedOn w:val="69"/>
    <w:next w:val="39"/>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2"/>
      </w:numPr>
      <w:jc w:val="both"/>
    </w:pPr>
    <w:rPr>
      <w:rFonts w:ascii="宋体" w:hAnsi="宋体" w:eastAsia="宋体" w:cs="Times New Roman"/>
      <w:sz w:val="21"/>
      <w:lang w:val="en-US" w:eastAsia="zh-CN" w:bidi="ar-SA"/>
    </w:rPr>
  </w:style>
  <w:style w:type="paragraph" w:customStyle="1" w:styleId="102">
    <w:name w:val="标准文件_四级条标题"/>
    <w:next w:val="39"/>
    <w:qFormat/>
    <w:uiPriority w:val="0"/>
    <w:pPr>
      <w:widowControl w:val="0"/>
      <w:numPr>
        <w:ilvl w:val="5"/>
        <w:numId w:val="3"/>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Char"/>
    <w:link w:val="23"/>
    <w:semiHidden/>
    <w:qFormat/>
    <w:uiPriority w:val="0"/>
    <w:rPr>
      <w:rFonts w:ascii="宋体"/>
      <w:kern w:val="2"/>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39"/>
    <w:qFormat/>
    <w:uiPriority w:val="0"/>
    <w:pPr>
      <w:numPr>
        <w:ilvl w:val="0"/>
        <w:numId w:val="13"/>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39"/>
    <w:qFormat/>
    <w:uiPriority w:val="0"/>
    <w:pPr>
      <w:widowControl w:val="0"/>
      <w:numPr>
        <w:ilvl w:val="6"/>
        <w:numId w:val="3"/>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39"/>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39"/>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4"/>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39"/>
    <w:qFormat/>
    <w:uiPriority w:val="0"/>
    <w:pPr>
      <w:numPr>
        <w:ilvl w:val="0"/>
        <w:numId w:val="15"/>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6"/>
      </w:numPr>
      <w:tabs>
        <w:tab w:val="left" w:pos="210"/>
      </w:tabs>
      <w:autoSpaceDE w:val="0"/>
      <w:autoSpaceDN w:val="0"/>
      <w:spacing w:line="240" w:lineRule="auto"/>
    </w:pPr>
    <w:rPr>
      <w:rFonts w:ascii="宋体" w:hAnsi="宋体"/>
      <w:kern w:val="0"/>
      <w:szCs w:val="20"/>
    </w:rPr>
  </w:style>
  <w:style w:type="paragraph" w:customStyle="1" w:styleId="116">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3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3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3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4"/>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3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3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39"/>
    <w:qFormat/>
    <w:uiPriority w:val="0"/>
    <w:pPr>
      <w:outlineLvl w:val="4"/>
    </w:pPr>
  </w:style>
  <w:style w:type="paragraph" w:customStyle="1" w:styleId="133">
    <w:name w:val="附录四级无标题条"/>
    <w:basedOn w:val="132"/>
    <w:next w:val="39"/>
    <w:qFormat/>
    <w:uiPriority w:val="0"/>
    <w:pPr>
      <w:outlineLvl w:val="5"/>
    </w:pPr>
  </w:style>
  <w:style w:type="paragraph" w:customStyle="1" w:styleId="134">
    <w:name w:val="附录图"/>
    <w:next w:val="3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3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1"/>
    <w:next w:val="3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3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3"/>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3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9"/>
    <w:qFormat/>
    <w:uiPriority w:val="0"/>
    <w:pPr>
      <w:spacing w:before="0" w:beforeLines="0" w:after="0" w:afterLines="0"/>
      <w:outlineLvl w:val="9"/>
    </w:pPr>
    <w:rPr>
      <w:rFonts w:ascii="宋体" w:eastAsia="宋体"/>
    </w:rPr>
  </w:style>
  <w:style w:type="paragraph" w:customStyle="1" w:styleId="166">
    <w:name w:val="标准文件_五级无标题"/>
    <w:basedOn w:val="107"/>
    <w:qFormat/>
    <w:uiPriority w:val="0"/>
    <w:pPr>
      <w:spacing w:before="0" w:beforeLines="0" w:after="0" w:afterLines="0"/>
      <w:outlineLvl w:val="9"/>
    </w:pPr>
    <w:rPr>
      <w:rFonts w:ascii="宋体" w:eastAsia="宋体"/>
    </w:rPr>
  </w:style>
  <w:style w:type="paragraph" w:customStyle="1" w:styleId="167">
    <w:name w:val="标准文件_三级无标题"/>
    <w:basedOn w:val="98"/>
    <w:qFormat/>
    <w:uiPriority w:val="0"/>
    <w:pPr>
      <w:spacing w:before="0" w:beforeLines="0" w:after="0" w:afterLines="0"/>
      <w:outlineLvl w:val="9"/>
    </w:pPr>
    <w:rPr>
      <w:rFonts w:ascii="Times New Roman" w:eastAsia="宋体"/>
    </w:rPr>
  </w:style>
  <w:style w:type="paragraph" w:customStyle="1" w:styleId="168">
    <w:name w:val="标准文件_二级无标题"/>
    <w:basedOn w:val="69"/>
    <w:qFormat/>
    <w:uiPriority w:val="0"/>
    <w:pPr>
      <w:spacing w:before="0" w:beforeLines="0" w:after="0" w:afterLines="0"/>
      <w:outlineLvl w:val="9"/>
    </w:pPr>
    <w:rPr>
      <w:rFonts w:ascii="宋体" w:eastAsia="宋体"/>
    </w:rPr>
  </w:style>
  <w:style w:type="paragraph" w:customStyle="1" w:styleId="169">
    <w:name w:val="标准_四级无标题"/>
    <w:basedOn w:val="102"/>
    <w:next w:val="39"/>
    <w:qFormat/>
    <w:uiPriority w:val="0"/>
    <w:rPr>
      <w:rFonts w:eastAsia="宋体"/>
    </w:rPr>
  </w:style>
  <w:style w:type="paragraph" w:customStyle="1" w:styleId="170">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3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39"/>
    <w:qFormat/>
    <w:uiPriority w:val="0"/>
    <w:pPr>
      <w:numPr>
        <w:ilvl w:val="0"/>
        <w:numId w:val="24"/>
      </w:numPr>
      <w:ind w:firstLine="0" w:firstLineChars="0"/>
    </w:pPr>
    <w:rPr>
      <w:rFonts w:cs="Arial"/>
      <w:szCs w:val="28"/>
    </w:rPr>
  </w:style>
  <w:style w:type="paragraph" w:customStyle="1" w:styleId="173">
    <w:name w:val="标准文件_附录标题"/>
    <w:basedOn w:val="80"/>
    <w:qFormat/>
    <w:uiPriority w:val="0"/>
    <w:pPr>
      <w:numPr>
        <w:numId w:val="0"/>
      </w:numPr>
      <w:spacing w:before="80"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3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78">
    <w:name w:val="标准文件_索引字母"/>
    <w:next w:val="3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3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39"/>
    <w:qFormat/>
    <w:uiPriority w:val="0"/>
    <w:pPr>
      <w:ind w:firstLine="0" w:firstLineChars="0"/>
      <w:jc w:val="center"/>
    </w:pPr>
    <w:rPr>
      <w:sz w:val="18"/>
    </w:rPr>
  </w:style>
  <w:style w:type="paragraph" w:customStyle="1" w:styleId="182">
    <w:name w:val="标准文件_注："/>
    <w:next w:val="39"/>
    <w:qFormat/>
    <w:uiPriority w:val="0"/>
    <w:pPr>
      <w:widowControl w:val="0"/>
      <w:numPr>
        <w:ilvl w:val="0"/>
        <w:numId w:val="26"/>
      </w:numPr>
      <w:autoSpaceDE w:val="0"/>
      <w:autoSpaceDN w:val="0"/>
      <w:ind w:left="737"/>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3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39"/>
    <w:qFormat/>
    <w:uiPriority w:val="0"/>
    <w:rPr>
      <w:rFonts w:ascii="宋体" w:hAnsi="Times New Roman"/>
      <w:sz w:val="21"/>
    </w:rPr>
  </w:style>
  <w:style w:type="paragraph" w:customStyle="1" w:styleId="188">
    <w:name w:val="标准文件_表格续"/>
    <w:basedOn w:val="39"/>
    <w:next w:val="3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39"/>
    <w:qFormat/>
    <w:uiPriority w:val="0"/>
    <w:pPr>
      <w:numPr>
        <w:ilvl w:val="1"/>
        <w:numId w:val="21"/>
      </w:numPr>
      <w:ind w:firstLine="0" w:firstLineChars="0"/>
    </w:pPr>
  </w:style>
  <w:style w:type="paragraph" w:customStyle="1" w:styleId="191">
    <w:name w:val="标准文件_三级项2"/>
    <w:basedOn w:val="39"/>
    <w:qFormat/>
    <w:uiPriority w:val="0"/>
    <w:pPr>
      <w:numPr>
        <w:ilvl w:val="0"/>
        <w:numId w:val="30"/>
      </w:numPr>
      <w:spacing w:line="300" w:lineRule="exact"/>
      <w:ind w:firstLineChars="0"/>
    </w:pPr>
    <w:rPr>
      <w:rFonts w:ascii="Times New Roman"/>
    </w:rPr>
  </w:style>
  <w:style w:type="paragraph" w:customStyle="1" w:styleId="192">
    <w:name w:val="标准文件_一级项2"/>
    <w:basedOn w:val="39"/>
    <w:qFormat/>
    <w:uiPriority w:val="0"/>
    <w:pPr>
      <w:numPr>
        <w:ilvl w:val="0"/>
        <w:numId w:val="31"/>
      </w:numPr>
      <w:spacing w:line="300" w:lineRule="exact"/>
      <w:ind w:firstLineChars="0"/>
    </w:pPr>
    <w:rPr>
      <w:rFonts w:ascii="Times New Roman"/>
    </w:rPr>
  </w:style>
  <w:style w:type="paragraph" w:customStyle="1" w:styleId="193">
    <w:name w:val="标准文件_提示"/>
    <w:basedOn w:val="39"/>
    <w:next w:val="3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3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wrap="around"/>
      <w:spacing w:before="57"/>
    </w:pPr>
    <w:rPr>
      <w:sz w:val="21"/>
    </w:rPr>
  </w:style>
  <w:style w:type="paragraph" w:customStyle="1" w:styleId="200">
    <w:name w:val="标准文件_文件名称"/>
    <w:basedOn w:val="39"/>
    <w:next w:val="3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39"/>
    <w:next w:val="39"/>
    <w:qFormat/>
    <w:uiPriority w:val="0"/>
    <w:pPr>
      <w:numPr>
        <w:ilvl w:val="0"/>
        <w:numId w:val="7"/>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39"/>
    <w:next w:val="39"/>
    <w:qFormat/>
    <w:uiPriority w:val="0"/>
    <w:pPr>
      <w:numPr>
        <w:ilvl w:val="0"/>
        <w:numId w:val="6"/>
      </w:numPr>
      <w:spacing w:line="14" w:lineRule="exact"/>
      <w:ind w:firstLine="0" w:firstLineChars="0"/>
      <w:jc w:val="center"/>
    </w:pPr>
    <w:rPr>
      <w:rFonts w:eastAsia="黑体"/>
      <w:vanish/>
      <w:sz w:val="2"/>
    </w:rPr>
  </w:style>
  <w:style w:type="paragraph" w:customStyle="1" w:styleId="203">
    <w:name w:val="标准文件_引言一级条标题"/>
    <w:basedOn w:val="39"/>
    <w:next w:val="39"/>
    <w:qFormat/>
    <w:uiPriority w:val="0"/>
    <w:pPr>
      <w:numPr>
        <w:ilvl w:val="1"/>
        <w:numId w:val="9"/>
      </w:numPr>
      <w:spacing w:before="50" w:beforeLines="50" w:after="50" w:afterLines="50"/>
      <w:ind w:firstLineChars="0"/>
    </w:pPr>
    <w:rPr>
      <w:rFonts w:ascii="黑体" w:eastAsia="黑体"/>
    </w:rPr>
  </w:style>
  <w:style w:type="paragraph" w:customStyle="1" w:styleId="204">
    <w:name w:val="标准文件_引言二级条标题"/>
    <w:basedOn w:val="39"/>
    <w:next w:val="39"/>
    <w:qFormat/>
    <w:uiPriority w:val="0"/>
    <w:pPr>
      <w:numPr>
        <w:ilvl w:val="2"/>
        <w:numId w:val="9"/>
      </w:numPr>
      <w:spacing w:before="50" w:beforeLines="50" w:after="50" w:afterLines="50"/>
      <w:ind w:firstLineChars="0"/>
    </w:pPr>
    <w:rPr>
      <w:rFonts w:ascii="黑体" w:eastAsia="黑体"/>
    </w:rPr>
  </w:style>
  <w:style w:type="paragraph" w:customStyle="1" w:styleId="205">
    <w:name w:val="标准文件_引言三级条标题"/>
    <w:basedOn w:val="39"/>
    <w:next w:val="39"/>
    <w:qFormat/>
    <w:uiPriority w:val="0"/>
    <w:pPr>
      <w:numPr>
        <w:ilvl w:val="3"/>
        <w:numId w:val="9"/>
      </w:numPr>
      <w:spacing w:before="50" w:beforeLines="50" w:after="50" w:afterLines="50"/>
      <w:ind w:firstLineChars="0"/>
    </w:pPr>
    <w:rPr>
      <w:rFonts w:ascii="黑体" w:eastAsia="黑体"/>
    </w:rPr>
  </w:style>
  <w:style w:type="paragraph" w:customStyle="1" w:styleId="206">
    <w:name w:val="标准文件_引言四级条标题"/>
    <w:basedOn w:val="39"/>
    <w:next w:val="39"/>
    <w:qFormat/>
    <w:uiPriority w:val="0"/>
    <w:pPr>
      <w:numPr>
        <w:ilvl w:val="4"/>
        <w:numId w:val="9"/>
      </w:numPr>
      <w:spacing w:before="50" w:beforeLines="50" w:after="50" w:afterLines="50"/>
      <w:ind w:firstLineChars="0"/>
    </w:pPr>
    <w:rPr>
      <w:rFonts w:ascii="黑体" w:eastAsia="黑体"/>
    </w:rPr>
  </w:style>
  <w:style w:type="paragraph" w:customStyle="1" w:styleId="207">
    <w:name w:val="标准文件_引言五级条标题"/>
    <w:basedOn w:val="39"/>
    <w:next w:val="39"/>
    <w:qFormat/>
    <w:uiPriority w:val="0"/>
    <w:pPr>
      <w:numPr>
        <w:ilvl w:val="5"/>
        <w:numId w:val="9"/>
      </w:numPr>
      <w:spacing w:before="50" w:beforeLines="50" w:after="50" w:afterLines="50"/>
      <w:ind w:firstLineChars="0"/>
    </w:pPr>
    <w:rPr>
      <w:rFonts w:ascii="黑体" w:eastAsia="黑体"/>
    </w:rPr>
  </w:style>
  <w:style w:type="paragraph" w:customStyle="1" w:styleId="208">
    <w:name w:val="标准文件_注后"/>
    <w:basedOn w:val="39"/>
    <w:qFormat/>
    <w:uiPriority w:val="0"/>
    <w:pPr>
      <w:ind w:left="811" w:firstLine="0" w:firstLineChars="0"/>
    </w:pPr>
    <w:rPr>
      <w:sz w:val="18"/>
    </w:rPr>
  </w:style>
  <w:style w:type="paragraph" w:customStyle="1" w:styleId="209">
    <w:name w:val="标准文件_注X后"/>
    <w:basedOn w:val="39"/>
    <w:qFormat/>
    <w:uiPriority w:val="0"/>
    <w:pPr>
      <w:ind w:left="811" w:firstLine="0" w:firstLineChars="0"/>
    </w:pPr>
    <w:rPr>
      <w:sz w:val="18"/>
    </w:rPr>
  </w:style>
  <w:style w:type="paragraph" w:customStyle="1" w:styleId="210">
    <w:name w:val="标准文件_示例后"/>
    <w:basedOn w:val="39"/>
    <w:qFormat/>
    <w:uiPriority w:val="0"/>
    <w:pPr>
      <w:ind w:left="964" w:firstLine="0" w:firstLineChars="0"/>
    </w:pPr>
    <w:rPr>
      <w:sz w:val="18"/>
    </w:rPr>
  </w:style>
  <w:style w:type="paragraph" w:customStyle="1" w:styleId="211">
    <w:name w:val="标准文件_示例X后"/>
    <w:basedOn w:val="3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39"/>
    <w:next w:val="39"/>
    <w:qFormat/>
    <w:uiPriority w:val="0"/>
    <w:pPr>
      <w:tabs>
        <w:tab w:val="right" w:leader="dot" w:pos="9356"/>
      </w:tabs>
      <w:ind w:left="210" w:hanging="210" w:firstLineChars="0"/>
      <w:jc w:val="left"/>
    </w:pPr>
  </w:style>
  <w:style w:type="paragraph" w:customStyle="1" w:styleId="214">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3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3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3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39"/>
    <w:qFormat/>
    <w:uiPriority w:val="0"/>
    <w:pPr>
      <w:spacing w:before="0" w:beforeLines="0" w:after="0" w:afterLines="0" w:line="276" w:lineRule="auto"/>
    </w:pPr>
    <w:rPr>
      <w:rFonts w:ascii="宋体" w:eastAsia="宋体"/>
    </w:rPr>
  </w:style>
  <w:style w:type="paragraph" w:customStyle="1" w:styleId="224">
    <w:name w:val="标准文件_索引标题"/>
    <w:basedOn w:val="67"/>
    <w:next w:val="39"/>
    <w:qFormat/>
    <w:uiPriority w:val="0"/>
    <w:rPr>
      <w:rFonts w:hAnsi="黑体"/>
    </w:rPr>
  </w:style>
  <w:style w:type="paragraph" w:customStyle="1" w:styleId="225">
    <w:name w:val="标准文件_脚注内容"/>
    <w:basedOn w:val="39"/>
    <w:qFormat/>
    <w:uiPriority w:val="0"/>
    <w:pPr>
      <w:ind w:left="400" w:leftChars="200" w:hanging="200" w:hangingChars="200"/>
    </w:pPr>
    <w:rPr>
      <w:sz w:val="15"/>
    </w:rPr>
  </w:style>
  <w:style w:type="paragraph" w:customStyle="1" w:styleId="226">
    <w:name w:val="标准文件_术语条一"/>
    <w:basedOn w:val="165"/>
    <w:next w:val="39"/>
    <w:qFormat/>
    <w:uiPriority w:val="0"/>
  </w:style>
  <w:style w:type="paragraph" w:customStyle="1" w:styleId="227">
    <w:name w:val="标准文件_术语条二"/>
    <w:basedOn w:val="168"/>
    <w:next w:val="39"/>
    <w:qFormat/>
    <w:uiPriority w:val="0"/>
  </w:style>
  <w:style w:type="paragraph" w:customStyle="1" w:styleId="228">
    <w:name w:val="标准文件_术语条三"/>
    <w:basedOn w:val="167"/>
    <w:next w:val="39"/>
    <w:qFormat/>
    <w:uiPriority w:val="0"/>
  </w:style>
  <w:style w:type="paragraph" w:customStyle="1" w:styleId="229">
    <w:name w:val="标准文件_术语条四"/>
    <w:basedOn w:val="170"/>
    <w:next w:val="39"/>
    <w:qFormat/>
    <w:uiPriority w:val="0"/>
  </w:style>
  <w:style w:type="paragraph" w:customStyle="1" w:styleId="230">
    <w:name w:val="标准文件_术语条五"/>
    <w:basedOn w:val="166"/>
    <w:next w:val="3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styleId="233">
    <w:name w:val="List Paragraph"/>
    <w:basedOn w:val="1"/>
    <w:qFormat/>
    <w:uiPriority w:val="34"/>
    <w:pPr>
      <w:adjustRightInd/>
      <w:spacing w:line="240" w:lineRule="auto"/>
      <w:ind w:firstLine="420" w:firstLineChars="200"/>
    </w:pPr>
    <w:rPr>
      <w:rFonts w:ascii="Times New Roman" w:hAnsi="Times New Roman"/>
      <w:szCs w:val="24"/>
    </w:rPr>
  </w:style>
  <w:style w:type="paragraph" w:customStyle="1" w:styleId="234">
    <w:name w:val="Table Paragraph"/>
    <w:basedOn w:val="1"/>
    <w:qFormat/>
    <w:uiPriority w:val="1"/>
    <w:pPr>
      <w:adjustRightInd/>
      <w:spacing w:line="240" w:lineRule="auto"/>
    </w:pPr>
    <w:rPr>
      <w:rFonts w:ascii="宋体" w:hAnsi="宋体" w:cs="宋体"/>
      <w:szCs w:val="24"/>
      <w:lang w:eastAsia="en-US" w:bidi="en-US"/>
    </w:rPr>
  </w:style>
  <w:style w:type="paragraph" w:customStyle="1" w:styleId="235">
    <w:name w:val="段"/>
    <w:link w:val="23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6">
    <w:name w:val="段 Char Char"/>
    <w:link w:val="235"/>
    <w:qFormat/>
    <w:uiPriority w:val="0"/>
    <w:rPr>
      <w:rFonts w:ascii="宋体" w:hAnsi="Times New Roman"/>
      <w:sz w:val="21"/>
    </w:rPr>
  </w:style>
  <w:style w:type="paragraph" w:customStyle="1" w:styleId="237">
    <w:name w:val="注×："/>
    <w:qFormat/>
    <w:uiPriority w:val="0"/>
    <w:pPr>
      <w:widowControl w:val="0"/>
      <w:numPr>
        <w:ilvl w:val="0"/>
        <w:numId w:val="32"/>
      </w:numPr>
      <w:autoSpaceDE w:val="0"/>
      <w:autoSpaceDN w:val="0"/>
      <w:jc w:val="both"/>
    </w:pPr>
    <w:rPr>
      <w:rFonts w:ascii="宋体" w:hAnsi="Times New Roman" w:eastAsia="宋体" w:cs="Times New Roman"/>
      <w:sz w:val="18"/>
      <w:szCs w:val="18"/>
      <w:lang w:val="en-US" w:eastAsia="zh-CN" w:bidi="ar-SA"/>
    </w:rPr>
  </w:style>
  <w:style w:type="table" w:customStyle="1" w:styleId="238">
    <w:name w:val="Table Normal"/>
    <w:unhideWhenUsed/>
    <w:qFormat/>
    <w:uiPriority w:val="0"/>
    <w:rPr>
      <w:rFonts w:eastAsiaTheme="minorEastAsia"/>
    </w:rPr>
    <w:tblPr>
      <w:tblCellMar>
        <w:top w:w="0" w:type="dxa"/>
        <w:left w:w="0" w:type="dxa"/>
        <w:bottom w:w="0" w:type="dxa"/>
        <w:right w:w="0" w:type="dxa"/>
      </w:tblCellMar>
    </w:tblPr>
  </w:style>
  <w:style w:type="paragraph" w:customStyle="1" w:styleId="239">
    <w:name w:val="表格标题"/>
    <w:basedOn w:val="1"/>
    <w:next w:val="235"/>
    <w:qFormat/>
    <w:uiPriority w:val="0"/>
    <w:pPr>
      <w:adjustRightInd/>
      <w:spacing w:before="120" w:after="120" w:line="380" w:lineRule="exact"/>
      <w:jc w:val="center"/>
    </w:pPr>
    <w:rPr>
      <w:rFonts w:ascii="黑体" w:hAnsi="黑体" w:eastAsia="黑体"/>
      <w:color w:val="000000"/>
      <w:sz w:val="18"/>
      <w:szCs w:val="18"/>
      <w:shd w:val="clear" w:color="auto" w:fill="FFFFFF"/>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character" w:customStyle="1" w:styleId="241">
    <w:name w:val="doc_title"/>
    <w:basedOn w:val="30"/>
    <w:qFormat/>
    <w:uiPriority w:val="0"/>
  </w:style>
  <w:style w:type="paragraph" w:customStyle="1" w:styleId="242">
    <w:name w:val="style6"/>
    <w:basedOn w:val="1"/>
    <w:qFormat/>
    <w:uiPriority w:val="0"/>
    <w:pPr>
      <w:jc w:val="left"/>
    </w:pPr>
    <w:rPr>
      <w:rFonts w:ascii="宋体" w:hAnsi="宋体"/>
      <w:kern w:val="0"/>
      <w:sz w:val="30"/>
      <w:szCs w:val="30"/>
    </w:rPr>
  </w:style>
  <w:style w:type="paragraph" w:customStyle="1" w:styleId="243">
    <w:name w:val="二级无"/>
    <w:basedOn w:val="244"/>
    <w:qFormat/>
    <w:uiPriority w:val="0"/>
    <w:pPr>
      <w:spacing w:beforeLines="0" w:afterLines="0"/>
    </w:pPr>
    <w:rPr>
      <w:rFonts w:ascii="宋体" w:eastAsia="宋体"/>
    </w:rPr>
  </w:style>
  <w:style w:type="paragraph" w:customStyle="1" w:styleId="244">
    <w:name w:val="二级条标题"/>
    <w:basedOn w:val="245"/>
    <w:next w:val="235"/>
    <w:qFormat/>
    <w:uiPriority w:val="0"/>
    <w:pPr>
      <w:numPr>
        <w:ilvl w:val="2"/>
      </w:numPr>
      <w:spacing w:before="50" w:after="50"/>
      <w:outlineLvl w:val="3"/>
    </w:pPr>
  </w:style>
  <w:style w:type="paragraph" w:customStyle="1" w:styleId="245">
    <w:name w:val="一级条标题"/>
    <w:next w:val="235"/>
    <w:qFormat/>
    <w:uiPriority w:val="0"/>
    <w:pPr>
      <w:numPr>
        <w:ilvl w:val="1"/>
        <w:numId w:val="33"/>
      </w:numPr>
      <w:spacing w:beforeLines="50" w:afterLines="50"/>
      <w:outlineLvl w:val="2"/>
    </w:pPr>
    <w:rPr>
      <w:rFonts w:ascii="黑体" w:hAnsi="Times New Roman" w:eastAsia="黑体" w:cs="Times New Roman"/>
      <w:sz w:val="21"/>
      <w:szCs w:val="21"/>
      <w:lang w:val="en-US" w:eastAsia="zh-CN" w:bidi="ar-SA"/>
    </w:rPr>
  </w:style>
  <w:style w:type="paragraph" w:customStyle="1" w:styleId="246">
    <w:name w:val="章标题"/>
    <w:next w:val="235"/>
    <w:qFormat/>
    <w:uiPriority w:val="0"/>
    <w:pPr>
      <w:numPr>
        <w:ilvl w:val="0"/>
        <w:numId w:val="33"/>
      </w:numPr>
      <w:spacing w:beforeLines="100" w:afterLines="100"/>
      <w:jc w:val="both"/>
      <w:outlineLvl w:val="1"/>
    </w:pPr>
    <w:rPr>
      <w:rFonts w:ascii="黑体" w:hAnsi="Times New Roman" w:eastAsia="黑体" w:cs="Times New Roman"/>
      <w:sz w:val="21"/>
      <w:lang w:val="en-US" w:eastAsia="zh-CN" w:bidi="ar-SA"/>
    </w:rPr>
  </w:style>
  <w:style w:type="character" w:customStyle="1" w:styleId="247">
    <w:name w:val="正文文本缩进 Char"/>
    <w:basedOn w:val="30"/>
    <w:link w:val="16"/>
    <w:semiHidden/>
    <w:qFormat/>
    <w:uiPriority w:val="99"/>
    <w:rPr>
      <w:rFonts w:ascii="Calibri" w:hAnsi="Calibri"/>
      <w:kern w:val="2"/>
      <w:sz w:val="21"/>
      <w:szCs w:val="21"/>
    </w:rPr>
  </w:style>
  <w:style w:type="paragraph" w:customStyle="1" w:styleId="248">
    <w:name w:val="Table Text"/>
    <w:basedOn w:val="1"/>
    <w:semiHidden/>
    <w:qFormat/>
    <w:uiPriority w:val="0"/>
    <w:rPr>
      <w:rFonts w:ascii="宋体" w:hAnsi="宋体" w:cs="宋体"/>
      <w:sz w:val="24"/>
      <w:szCs w:val="24"/>
      <w:lang w:eastAsia="en-US"/>
    </w:rPr>
  </w:style>
  <w:style w:type="paragraph" w:customStyle="1" w:styleId="249">
    <w:name w:val="附录章标题"/>
    <w:next w:val="235"/>
    <w:qFormat/>
    <w:uiPriority w:val="0"/>
    <w:pPr>
      <w:wordWrap w:val="0"/>
      <w:overflowPunct w:val="0"/>
      <w:autoSpaceDE w:val="0"/>
      <w:spacing w:before="156" w:beforeLines="50" w:after="156" w:afterLines="50"/>
      <w:jc w:val="both"/>
      <w:textAlignment w:val="baseline"/>
      <w:outlineLvl w:val="1"/>
    </w:pPr>
    <w:rPr>
      <w:rFonts w:ascii="黑体" w:hAnsi="Times New Roman" w:eastAsia="黑体" w:cs="Times New Roman"/>
      <w:b/>
      <w:kern w:val="21"/>
      <w:sz w:val="21"/>
      <w:lang w:val="en-US" w:eastAsia="zh-CN" w:bidi="ar-SA"/>
    </w:rPr>
  </w:style>
  <w:style w:type="paragraph" w:customStyle="1" w:styleId="250">
    <w:name w:val="正文图标题"/>
    <w:basedOn w:val="1"/>
    <w:next w:val="235"/>
    <w:qFormat/>
    <w:uiPriority w:val="0"/>
    <w:pPr>
      <w:widowControl/>
      <w:tabs>
        <w:tab w:val="left" w:pos="420"/>
      </w:tabs>
      <w:jc w:val="center"/>
    </w:pPr>
    <w:rPr>
      <w:rFonts w:ascii="黑体" w:eastAsia="黑体"/>
      <w:snapToGrid w:val="0"/>
      <w:kern w:val="0"/>
      <w:sz w:val="32"/>
    </w:rPr>
  </w:style>
  <w:style w:type="paragraph" w:customStyle="1" w:styleId="251">
    <w:name w:val="列出段落1"/>
    <w:basedOn w:val="1"/>
    <w:qFormat/>
    <w:uiPriority w:val="34"/>
    <w:pPr>
      <w:ind w:firstLine="420" w:firstLineChars="200"/>
    </w:pPr>
    <w:rPr>
      <w:szCs w:val="22"/>
    </w:rPr>
  </w:style>
  <w:style w:type="paragraph" w:customStyle="1" w:styleId="252">
    <w:name w:val="表格内容中"/>
    <w:basedOn w:val="1"/>
    <w:qFormat/>
    <w:uiPriority w:val="0"/>
    <w:pPr>
      <w:jc w:val="center"/>
    </w:pPr>
    <w:rPr>
      <w:sz w:val="18"/>
      <w:szCs w:val="24"/>
    </w:rPr>
  </w:style>
  <w:style w:type="paragraph" w:customStyle="1" w:styleId="253">
    <w:name w:val="_Style 7"/>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glossaryDocument" Target="glossary/document.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jpeg"/><Relationship Id="rId30" Type="http://schemas.openxmlformats.org/officeDocument/2006/relationships/image" Target="media/image1.tiff"/><Relationship Id="rId3" Type="http://schemas.openxmlformats.org/officeDocument/2006/relationships/footnotes" Target="footnotes.xml"/><Relationship Id="rId29" Type="http://schemas.openxmlformats.org/officeDocument/2006/relationships/theme" Target="theme/theme1.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934FF368C38499A940600903D78DAD5"/>
        <w:style w:val=""/>
        <w:category>
          <w:name w:val="常规"/>
          <w:gallery w:val="placeholder"/>
        </w:category>
        <w:types>
          <w:type w:val="bbPlcHdr"/>
        </w:types>
        <w:behaviors>
          <w:behavior w:val="content"/>
        </w:behaviors>
        <w:description w:val=""/>
        <w:guid w:val="{C0547576-B58A-4E63-8365-C4488F0C2C60}"/>
      </w:docPartPr>
      <w:docPartBody>
        <w:p w14:paraId="6BE0F6B7">
          <w:pPr>
            <w:pStyle w:val="5"/>
          </w:pPr>
          <w:r>
            <w:rPr>
              <w:rStyle w:val="4"/>
              <w:rFonts w:hint="eastAsia"/>
            </w:rPr>
            <w:t>单击或点击此处输入文字。</w:t>
          </w:r>
        </w:p>
      </w:docPartBody>
    </w:docPart>
    <w:docPart>
      <w:docPartPr>
        <w:name w:val="{cfb73e34-6045-446d-859b-304702bc0f8a}"/>
        <w:style w:val=""/>
        <w:category>
          <w:name w:val="常规"/>
          <w:gallery w:val="placeholder"/>
        </w:category>
        <w:types>
          <w:type w:val="bbPlcHdr"/>
        </w:types>
        <w:behaviors>
          <w:behavior w:val="content"/>
        </w:behaviors>
        <w:description w:val=""/>
        <w:guid w:val="{CFB73E34-6045-446D-859B-304702BC0F8A}"/>
      </w:docPartPr>
      <w:docPartBody>
        <w:p w14:paraId="16E7CE44">
          <w:pPr>
            <w:pStyle w:val="6"/>
          </w:pPr>
          <w:r>
            <w:rPr>
              <w:rStyle w:val="4"/>
              <w:rFonts w:hint="eastAsia"/>
            </w:rPr>
            <w:t>选择一项。</w:t>
          </w:r>
        </w:p>
      </w:docPartBody>
    </w:docPart>
    <w:docPart>
      <w:docPartPr>
        <w:name w:val="{8aff9ef1-f46a-444f-b379-5b098091474b}"/>
        <w:style w:val=""/>
        <w:category>
          <w:name w:val="常规"/>
          <w:gallery w:val="placeholder"/>
        </w:category>
        <w:types>
          <w:type w:val="bbPlcHdr"/>
        </w:types>
        <w:behaviors>
          <w:behavior w:val="content"/>
        </w:behaviors>
        <w:description w:val=""/>
        <w:guid w:val="{8AFF9EF1-F46A-444F-B379-5B098091474B}"/>
      </w:docPartPr>
      <w:docPartBody>
        <w:p w14:paraId="14265D5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060"/>
    <w:rsid w:val="0004743F"/>
    <w:rsid w:val="0004779F"/>
    <w:rsid w:val="00070237"/>
    <w:rsid w:val="00097F46"/>
    <w:rsid w:val="000A6060"/>
    <w:rsid w:val="000C2AB2"/>
    <w:rsid w:val="001E3308"/>
    <w:rsid w:val="001E4FC1"/>
    <w:rsid w:val="00237464"/>
    <w:rsid w:val="002953AA"/>
    <w:rsid w:val="002B084D"/>
    <w:rsid w:val="00325A27"/>
    <w:rsid w:val="003500C7"/>
    <w:rsid w:val="00390A9D"/>
    <w:rsid w:val="003B17B8"/>
    <w:rsid w:val="003D103C"/>
    <w:rsid w:val="004106C2"/>
    <w:rsid w:val="004434BC"/>
    <w:rsid w:val="004C0E07"/>
    <w:rsid w:val="004C5924"/>
    <w:rsid w:val="004E6089"/>
    <w:rsid w:val="00500E06"/>
    <w:rsid w:val="0051667A"/>
    <w:rsid w:val="0058582D"/>
    <w:rsid w:val="005E1B47"/>
    <w:rsid w:val="00600618"/>
    <w:rsid w:val="00600B17"/>
    <w:rsid w:val="006179C4"/>
    <w:rsid w:val="00632DC7"/>
    <w:rsid w:val="00671AEF"/>
    <w:rsid w:val="00690E02"/>
    <w:rsid w:val="006C790A"/>
    <w:rsid w:val="006F5C12"/>
    <w:rsid w:val="00705D70"/>
    <w:rsid w:val="0072162E"/>
    <w:rsid w:val="0076452A"/>
    <w:rsid w:val="007B38B6"/>
    <w:rsid w:val="007D7FA1"/>
    <w:rsid w:val="009419DE"/>
    <w:rsid w:val="00957B08"/>
    <w:rsid w:val="00AA1B0F"/>
    <w:rsid w:val="00AB0948"/>
    <w:rsid w:val="00AD3D47"/>
    <w:rsid w:val="00AD6086"/>
    <w:rsid w:val="00AE4CB5"/>
    <w:rsid w:val="00B1502A"/>
    <w:rsid w:val="00B2781B"/>
    <w:rsid w:val="00B3721F"/>
    <w:rsid w:val="00BA52AC"/>
    <w:rsid w:val="00BB0F51"/>
    <w:rsid w:val="00BC6ACD"/>
    <w:rsid w:val="00C03A21"/>
    <w:rsid w:val="00C567BF"/>
    <w:rsid w:val="00CC5412"/>
    <w:rsid w:val="00DB162C"/>
    <w:rsid w:val="00DC2750"/>
    <w:rsid w:val="00DE6FF0"/>
    <w:rsid w:val="00DF04AA"/>
    <w:rsid w:val="00DF5910"/>
    <w:rsid w:val="00E24315"/>
    <w:rsid w:val="00E36CA5"/>
    <w:rsid w:val="00E87F37"/>
    <w:rsid w:val="00EA013C"/>
    <w:rsid w:val="00F50BA3"/>
    <w:rsid w:val="00F66543"/>
    <w:rsid w:val="00F814F0"/>
    <w:rsid w:val="00FB7CFE"/>
    <w:rsid w:val="00FD5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934FF368C38499A940600903D78DAD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9ADD37FB51A415689A712148A667E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71B20BF6B844E41A7DA93D3DEAD9B3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28D795-65A0-4645-8BE7-E1D668F4ACEF}">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22</Pages>
  <Words>1984</Words>
  <Characters>2700</Characters>
  <Lines>121</Lines>
  <Paragraphs>34</Paragraphs>
  <TotalTime>564</TotalTime>
  <ScaleCrop>false</ScaleCrop>
  <LinksUpToDate>false</LinksUpToDate>
  <CharactersWithSpaces>3039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2025-07-16T01:25:00Z</dcterms:created>
  <dc:creator>詹莎</dc:creator>
  <cp:lastModifiedBy>忐忑</cp:lastModifiedBy>
  <cp:lastPrinted>2020-08-30T10:00:00Z</cp:lastPrinted>
  <dcterms:modified xsi:type="dcterms:W3CDTF">2025-10-10T02:49:15Z</dcterms:modified>
  <dc:title>地方标准</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A2F861B413E749369747579B7F505F14_13</vt:lpwstr>
  </property>
  <property fmtid="{D5CDD505-2E9C-101B-9397-08002B2CF9AE}" pid="16" name="DoublePage">
    <vt:lpwstr>true</vt:lpwstr>
  </property>
  <property fmtid="{D5CDD505-2E9C-101B-9397-08002B2CF9AE}" pid="17" name="KSOTemplateDocerSaveRecord">
    <vt:lpwstr>eyJoZGlkIjoiMjE1MGZmOTRhZjllMGExZDlkZTMzYmYzNTljMTkwODUiLCJ1c2VySWQiOiI0MzYwMTU0NjQifQ==</vt:lpwstr>
  </property>
</Properties>
</file>