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framePr w:w="1753" w:h="634" w:hRule="exact"/>
        <w:spacing w:line="300" w:lineRule="exact"/>
        <w:ind w:firstLine="218" w:firstLineChars="104"/>
        <w:jc w:val="both"/>
        <w:rPr>
          <w:rFonts w:ascii="Times New Roman" w:cs="Times New Roman"/>
          <w:color w:val="000000"/>
          <w:sz w:val="10"/>
          <w:szCs w:val="10"/>
        </w:rPr>
      </w:pPr>
      <w:r>
        <w:rPr>
          <w:rFonts w:ascii="Times New Roman"/>
        </w:rPr>
        <w:t>I</w:t>
      </w:r>
      <w:r>
        <w:rPr>
          <w:rFonts w:ascii="Times New Roman" w:hAnsi="Times New Roman" w:eastAsia="黑体"/>
          <w:sz w:val="21"/>
          <w:szCs w:val="21"/>
        </w:rPr>
        <w:t>CS</w:t>
      </w:r>
      <w:r>
        <w:rPr>
          <w:rFonts w:ascii="Times New Roman" w:cs="Times New Roman"/>
          <w:color w:val="000000"/>
          <w:sz w:val="10"/>
          <w:szCs w:val="10"/>
        </w:rPr>
        <w:t xml:space="preserve"> </w:t>
      </w:r>
      <w:r>
        <w:rPr>
          <w:rFonts w:ascii="Times New Roman" w:hAnsi="Times New Roman" w:cs="Times New Roman"/>
        </w:rPr>
        <w:fldChar w:fldCharType="begin">
          <w:ffData>
            <w:name w:val="ICS"/>
            <w:enabled/>
            <w:calcOnExit w:val="0"/>
            <w:textInput>
              <w:default w:val="65.040.30"/>
            </w:textInput>
          </w:ffData>
        </w:fldChar>
      </w:r>
      <w:r>
        <w:rPr>
          <w:rFonts w:ascii="Times New Roman" w:hAnsi="Times New Roman" w:cs="Times New Roman"/>
        </w:rPr>
        <w:instrText xml:space="preserve">FORMTEXT</w:instrText>
      </w:r>
      <w:r>
        <w:rPr>
          <w:rFonts w:ascii="Times New Roman" w:hAnsi="Times New Roman" w:cs="Times New Roman"/>
        </w:rPr>
        <w:fldChar w:fldCharType="separate"/>
      </w:r>
      <w:r>
        <w:rPr>
          <w:rFonts w:ascii="Times New Roman" w:hAnsi="Times New Roman" w:cs="Times New Roman"/>
        </w:rPr>
        <w:t>65.040.30</w:t>
      </w:r>
      <w:r>
        <w:rPr>
          <w:rFonts w:ascii="Times New Roman" w:hAnsi="Times New Roman" w:cs="Times New Roman"/>
        </w:rPr>
        <w:fldChar w:fldCharType="end"/>
      </w:r>
    </w:p>
    <w:p>
      <w:pPr>
        <w:pStyle w:val="28"/>
        <w:framePr w:w="1753" w:h="634" w:hRule="exact"/>
        <w:spacing w:line="300" w:lineRule="exact"/>
        <w:ind w:firstLine="210" w:firstLineChars="100"/>
        <w:rPr>
          <w:rFonts w:ascii="Times New Roman" w:cs="Times New Roman"/>
          <w:color w:val="000000"/>
          <w:sz w:val="10"/>
          <w:szCs w:val="10"/>
        </w:rPr>
      </w:pPr>
      <w:r>
        <w:rPr>
          <w:rFonts w:ascii="Times New Roman" w:hAnsi="Times New Roman" w:eastAsia="黑体"/>
          <w:sz w:val="21"/>
          <w:szCs w:val="21"/>
        </w:rPr>
        <w:t>CC</w:t>
      </w:r>
      <w:r>
        <w:rPr>
          <w:rFonts w:ascii="Times New Roman" w:hAnsi="Times New Roman" w:eastAsia="黑体" w:cs="Times New Roman"/>
          <w:sz w:val="21"/>
          <w:szCs w:val="21"/>
        </w:rPr>
        <w:t>S</w:t>
      </w:r>
      <w:r>
        <w:rPr>
          <w:rFonts w:hint="eastAsia" w:ascii="Times New Roman" w:hAnsi="Times New Roman" w:cs="Times New Roman"/>
          <w:sz w:val="21"/>
          <w:szCs w:val="21"/>
          <w:lang w:val="en-US" w:eastAsia="zh-CN"/>
        </w:rPr>
        <w:t xml:space="preserve"> </w:t>
      </w:r>
      <w:r>
        <w:rPr>
          <w:rFonts w:hint="eastAsia" w:ascii="Times New Roman" w:hAnsi="Times New Roman" w:eastAsia="黑体" w:cs="Times New Roman"/>
          <w:sz w:val="21"/>
          <w:szCs w:val="21"/>
        </w:rPr>
        <w:fldChar w:fldCharType="begin">
          <w:ffData>
            <w:name w:val="CSDN"/>
            <w:enabled/>
            <w:calcOnExit w:val="0"/>
            <w:textInput>
              <w:default w:val="B  91"/>
            </w:textInput>
          </w:ffData>
        </w:fldChar>
      </w:r>
      <w:r>
        <w:rPr>
          <w:rFonts w:hint="eastAsia" w:ascii="Times New Roman" w:hAnsi="Times New Roman" w:eastAsia="黑体" w:cs="Times New Roman"/>
          <w:sz w:val="21"/>
          <w:szCs w:val="21"/>
        </w:rPr>
        <w:instrText xml:space="preserve">FORMTEXT</w:instrText>
      </w:r>
      <w:r>
        <w:rPr>
          <w:rFonts w:hint="eastAsia" w:ascii="Times New Roman" w:hAnsi="Times New Roman" w:eastAsia="黑体" w:cs="Times New Roman"/>
          <w:sz w:val="21"/>
          <w:szCs w:val="21"/>
        </w:rPr>
        <w:fldChar w:fldCharType="separate"/>
      </w:r>
      <w:r>
        <w:rPr>
          <w:rFonts w:hint="eastAsia" w:ascii="Times New Roman" w:hAnsi="Times New Roman" w:eastAsia="黑体" w:cs="Times New Roman"/>
          <w:sz w:val="21"/>
          <w:szCs w:val="21"/>
        </w:rPr>
        <w:t>B  91</w:t>
      </w:r>
      <w:r>
        <w:rPr>
          <w:rFonts w:hint="eastAsia" w:ascii="Times New Roman" w:hAnsi="Times New Roman" w:eastAsia="黑体" w:cs="Times New Roman"/>
          <w:sz w:val="21"/>
          <w:szCs w:val="21"/>
        </w:rPr>
        <w:fldChar w:fldCharType="end"/>
      </w:r>
      <w:r>
        <w:rPr>
          <w:rFonts w:hint="eastAsia" w:ascii="Times New Roman" w:hAnsi="Times New Roman" w:eastAsia="黑体" w:cs="Times New Roman"/>
          <w:sz w:val="21"/>
          <w:szCs w:val="21"/>
        </w:rPr>
        <w:t xml:space="preserve"> </w:t>
      </w:r>
    </w:p>
    <w:tbl>
      <w:tblPr>
        <w:tblStyle w:val="12"/>
        <w:tblW w:w="1980"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980" w:type="dxa"/>
            <w:tcBorders>
              <w:top w:val="nil"/>
              <w:left w:val="nil"/>
              <w:bottom w:val="nil"/>
              <w:right w:val="nil"/>
            </w:tcBorders>
          </w:tcPr>
          <w:p>
            <w:pPr>
              <w:pStyle w:val="28"/>
              <w:framePr w:w="1753" w:h="634" w:hRule="exact"/>
              <w:rPr>
                <w:rFonts w:ascii="Times New Roman" w:cs="Times New Roman"/>
                <w:color w:val="000000"/>
                <w:sz w:val="44"/>
                <w:szCs w:val="44"/>
              </w:rPr>
            </w:pPr>
            <w:r>
              <w:pict>
                <v:rect id="_x0000_s1026" o:spid="_x0000_s1026" o:spt="1" style="position:absolute;left:0pt;margin-left:-6pt;margin-top:-15pt;height:15.6pt;width:68.25pt;z-index:-251651072;mso-width-relative:page;mso-height-relative:page;" stroked="f" coordsize="21600,21600">
                  <v:path/>
                  <v:fill focussize="0,0"/>
                  <v:stroke on="f"/>
                  <v:imagedata o:title=""/>
                  <o:lock v:ext="edit"/>
                </v:rect>
              </w:pict>
            </w:r>
          </w:p>
        </w:tc>
      </w:tr>
    </w:tbl>
    <w:p>
      <w:pPr>
        <w:pStyle w:val="29"/>
        <w:framePr w:w="4010" w:x="6744"/>
        <w:rPr>
          <w:rFonts w:ascii="Times New Roman" w:hAnsi="Times New Roman" w:cs="Times New Roman"/>
          <w:color w:val="000000"/>
          <w:sz w:val="52"/>
          <w:szCs w:val="52"/>
        </w:rPr>
      </w:pPr>
      <w:r>
        <w:rPr>
          <w:rFonts w:hint="eastAsia" w:ascii="Times New Roman" w:hAnsi="Times New Roman" w:cs="Times New Roman"/>
          <w:bCs w:val="0"/>
        </w:rPr>
        <w:t>DB34</w:t>
      </w:r>
    </w:p>
    <w:p>
      <w:pPr>
        <w:pStyle w:val="30"/>
        <w:framePr w:w="10105" w:x="1056" w:y="2158"/>
        <w:rPr>
          <w:rFonts w:ascii="Times New Roman" w:hAnsi="Times New Roman" w:cs="Times New Roman"/>
          <w:color w:val="000000"/>
          <w:spacing w:val="-20"/>
          <w:sz w:val="44"/>
          <w:szCs w:val="44"/>
        </w:rPr>
      </w:pPr>
      <w:r>
        <w:rPr>
          <w:rFonts w:hint="eastAsia" w:ascii="Times New Roman" w:hAnsi="Times New Roman"/>
          <w:color w:val="000000"/>
          <w:spacing w:val="-20"/>
          <w:sz w:val="44"/>
          <w:szCs w:val="44"/>
        </w:rPr>
        <w:t>安徽省地方标准</w:t>
      </w:r>
    </w:p>
    <w:p>
      <w:pPr>
        <w:pStyle w:val="31"/>
        <w:rPr>
          <w:rFonts w:hint="default" w:ascii="Times New Roman" w:eastAsia="黑体" w:cs="Times New Roman"/>
          <w:color w:val="000000"/>
          <w:lang w:val="en-US" w:eastAsia="zh-CN"/>
        </w:rPr>
      </w:pPr>
      <w:r>
        <w:rPr>
          <w:rFonts w:ascii="Times New Roman" w:eastAsia="宋体" w:cs="Times New Roman"/>
          <w:color w:val="000000"/>
        </w:rPr>
        <w:t>DB</w:t>
      </w:r>
      <w:bookmarkStart w:id="0" w:name="StdNo1"/>
      <w:r>
        <w:rPr>
          <w:rFonts w:ascii="Times New Roman" w:cs="Times New Roman"/>
          <w:color w:val="000000"/>
        </w:rPr>
        <w:t>34/</w:t>
      </w:r>
      <w:r>
        <w:rPr>
          <w:rFonts w:ascii="Times New Roman" w:eastAsia="宋体" w:cs="Times New Roman"/>
          <w:color w:val="000000"/>
        </w:rPr>
        <w:t>T</w:t>
      </w:r>
      <w:r>
        <w:rPr>
          <w:rFonts w:ascii="Times New Roman" w:cs="Times New Roman"/>
          <w:color w:val="000000"/>
        </w:rPr>
        <w:t xml:space="preserve"> </w:t>
      </w:r>
      <w:bookmarkEnd w:id="0"/>
      <w:r>
        <w:rPr>
          <w:rFonts w:hAnsi="黑体" w:eastAsia="宋体"/>
          <w:color w:val="000000"/>
        </w:rPr>
        <w:t>XXXX</w:t>
      </w:r>
      <w:r>
        <w:rPr>
          <w:rFonts w:ascii="Times New Roman" w:cs="Times New Roman"/>
          <w:color w:val="000000"/>
        </w:rPr>
        <w:t>—</w:t>
      </w:r>
      <w:r>
        <w:rPr>
          <w:rFonts w:hAnsi="黑体" w:eastAsia="宋体"/>
          <w:color w:val="000000"/>
        </w:rPr>
        <w:t>XXXX</w:t>
      </w:r>
    </w:p>
    <w:tbl>
      <w:tblPr>
        <w:tblStyle w:val="12"/>
        <w:tblW w:w="9356"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pPr>
              <w:pStyle w:val="32"/>
              <w:rPr>
                <w:rFonts w:ascii="Times New Roman" w:cs="Times New Roman"/>
                <w:color w:val="000000"/>
                <w:sz w:val="44"/>
                <w:szCs w:val="44"/>
              </w:rPr>
            </w:pPr>
            <w:bookmarkStart w:id="1" w:name="DT"/>
            <w:r>
              <w:pict>
                <v:rect id="_x0000_s1027" o:spid="_x0000_s1027" o:spt="1" style="position:absolute;left:0pt;margin-left:372.8pt;margin-top:2.7pt;height:18pt;width:90pt;z-index:-251654144;mso-width-relative:page;mso-height-relative:page;" stroked="f" coordsize="21600,21600">
                  <v:path/>
                  <v:fill focussize="0,0"/>
                  <v:stroke on="f"/>
                  <v:imagedata o:title=""/>
                  <o:lock v:ext="edit"/>
                </v:rect>
              </w:pict>
            </w:r>
            <w:bookmarkEnd w:id="1"/>
          </w:p>
        </w:tc>
      </w:tr>
    </w:tbl>
    <w:p>
      <w:pPr>
        <w:pStyle w:val="31"/>
        <w:rPr>
          <w:rFonts w:ascii="Times New Roman" w:cs="Times New Roman"/>
          <w:color w:val="000000"/>
          <w:sz w:val="44"/>
          <w:szCs w:val="44"/>
        </w:rPr>
      </w:pPr>
    </w:p>
    <w:p>
      <w:pPr>
        <w:pStyle w:val="31"/>
        <w:rPr>
          <w:rFonts w:ascii="Times New Roman" w:cs="Times New Roman"/>
          <w:color w:val="000000"/>
          <w:sz w:val="44"/>
          <w:szCs w:val="44"/>
        </w:rPr>
      </w:pPr>
    </w:p>
    <w:p>
      <w:pPr>
        <w:pStyle w:val="33"/>
        <w:framePr w:h="4816" w:hRule="exact" w:x="1203" w:y="5734"/>
        <w:rPr>
          <w:rFonts w:ascii="Times New Roman" w:cs="Times New Roman"/>
          <w:color w:val="000000"/>
          <w:sz w:val="44"/>
          <w:szCs w:val="44"/>
        </w:rPr>
      </w:pPr>
      <w:r>
        <w:rPr>
          <w:rFonts w:hint="eastAsia" w:ascii="Times New Roman"/>
          <w:color w:val="000000"/>
          <w:sz w:val="44"/>
          <w:szCs w:val="44"/>
        </w:rPr>
        <w:t>玻璃温室建造技术与验收规范</w:t>
      </w:r>
    </w:p>
    <w:p>
      <w:pPr>
        <w:pStyle w:val="33"/>
        <w:framePr w:h="4816" w:hRule="exact" w:x="1203" w:y="5734"/>
        <w:rPr>
          <w:rFonts w:ascii="Times New Roman" w:cs="Times New Roman"/>
          <w:color w:val="000000"/>
          <w:sz w:val="44"/>
          <w:szCs w:val="44"/>
        </w:rPr>
      </w:pPr>
    </w:p>
    <w:p>
      <w:pPr>
        <w:pStyle w:val="33"/>
        <w:framePr w:h="4816" w:hRule="exact" w:x="1203" w:y="5734"/>
        <w:rPr>
          <w:rFonts w:ascii="Times New Roman" w:cs="Times New Roman"/>
          <w:color w:val="000000"/>
          <w:sz w:val="44"/>
          <w:szCs w:val="44"/>
        </w:rPr>
      </w:pPr>
      <w:r>
        <w:rPr>
          <w:rFonts w:ascii="Times New Roman" w:hAnsi="Times New Roman" w:cs="Times New Roman"/>
          <w:sz w:val="28"/>
          <w:szCs w:val="28"/>
        </w:rPr>
        <w:t>multi-story film greenhouse construction technology and acceptance specification</w:t>
      </w:r>
    </w:p>
    <w:tbl>
      <w:tblPr>
        <w:tblStyle w:val="12"/>
        <w:tblW w:w="9855" w:type="dxa"/>
        <w:tblInd w:w="-1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34"/>
              <w:framePr w:h="4816" w:hRule="exact" w:x="1203" w:y="5734"/>
              <w:rPr>
                <w:rFonts w:ascii="Times New Roman" w:hAnsi="Times New Roman" w:cs="Times New Roman"/>
                <w:color w:val="000000"/>
                <w:sz w:val="44"/>
                <w:szCs w:val="44"/>
              </w:rPr>
            </w:pPr>
            <w:r>
              <w:rPr>
                <w:rFonts w:hint="eastAsia" w:ascii="黑体" w:eastAsia="黑体"/>
                <w:sz w:val="21"/>
                <w:szCs w:val="21"/>
              </w:rPr>
              <w:t>（</w:t>
            </w:r>
            <w:r>
              <w:rPr>
                <w:rFonts w:hint="eastAsia" w:ascii="黑体" w:eastAsia="黑体"/>
                <w:sz w:val="21"/>
                <w:szCs w:val="21"/>
                <w:lang w:eastAsia="zh-CN"/>
              </w:rPr>
              <w:t>征求意见</w:t>
            </w:r>
            <w:bookmarkStart w:id="102" w:name="_GoBack"/>
            <w:bookmarkEnd w:id="102"/>
            <w:r>
              <w:rPr>
                <w:rFonts w:hint="eastAsia" w:ascii="黑体" w:eastAsia="黑体"/>
                <w:sz w:val="21"/>
                <w:szCs w:val="21"/>
                <w:lang w:eastAsia="zh-CN"/>
              </w:rPr>
              <w:t>稿</w:t>
            </w:r>
            <w:r>
              <w:rPr>
                <w:rFonts w:hint="eastAsia" w:ascii="黑体" w:eastAsia="黑体"/>
                <w:sz w:val="21"/>
                <w:szCs w:val="21"/>
              </w:rPr>
              <w:t>）</w:t>
            </w:r>
            <w:r>
              <w:pict>
                <v:rect id="_x0000_s1028" o:spid="_x0000_s1028" o:spt="1" style="position:absolute;left:0pt;margin-left:173.3pt;margin-top:45.15pt;height:20pt;width:150pt;z-index:-251652096;mso-width-relative:page;mso-height-relative:page;" stroked="f" coordsize="21600,21600">
                  <v:path/>
                  <v:fill focussize="0,0"/>
                  <v:stroke on="f"/>
                  <v:imagedata o:title=""/>
                  <o:lock v:ext="edit"/>
                  <w10:anchorlock/>
                </v:rect>
              </w:pict>
            </w:r>
            <w:r>
              <w:pict>
                <v:rect id="_x0000_s1029" o:spid="_x0000_s1029" o:spt="1" style="position:absolute;left:0pt;margin-left:207.7pt;margin-top:20.7pt;height:24pt;width:100pt;z-index:-251653120;mso-width-relative:page;mso-height-relative:page;" stroked="f" coordsize="21600,21600">
                  <v:path/>
                  <v:fill focussize="0,0"/>
                  <v:stroke on="f"/>
                  <v:imagedata o:title=""/>
                  <o:lock v:ext="edit"/>
                  <w10:anchorlock/>
                </v:rect>
              </w:pi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pPr>
              <w:pStyle w:val="36"/>
              <w:framePr w:h="4816" w:hRule="exact" w:x="1203" w:y="5734"/>
              <w:rPr>
                <w:rFonts w:ascii="Times New Roman" w:hAnsi="Times New Roman" w:cs="Times New Roman"/>
                <w:color w:val="000000"/>
                <w:sz w:val="44"/>
                <w:szCs w:val="44"/>
              </w:rPr>
            </w:pPr>
            <w:r>
              <w:rPr>
                <w:rFonts w:hint="eastAsia" w:ascii="黑体" w:hAnsi="Times New Roman" w:eastAsia="黑体" w:cs="Times New Roman"/>
                <w:kern w:val="0"/>
                <w:sz w:val="21"/>
                <w:szCs w:val="21"/>
                <w:lang w:val="en-US" w:eastAsia="zh-CN" w:bidi="ar-SA"/>
              </w:rPr>
              <w:t>在提交反馈意见时，请将您知道的相关专利连同支持性文件一并附上。</w:t>
            </w:r>
          </w:p>
        </w:tc>
      </w:tr>
    </w:tbl>
    <w:p>
      <w:pPr>
        <w:pStyle w:val="39"/>
        <w:framePr w:w="10252" w:h="536" w:hRule="exact" w:x="1085" w:y="15274"/>
        <w:rPr>
          <w:rFonts w:ascii="Times New Roman" w:cs="Times New Roman"/>
          <w:color w:val="000000"/>
          <w:spacing w:val="0"/>
          <w:w w:val="100"/>
          <w:sz w:val="24"/>
          <w:szCs w:val="24"/>
        </w:rPr>
      </w:pPr>
      <w:r>
        <w:rPr>
          <w:w w:val="100"/>
        </w:rPr>
        <w:pict>
          <v:shape id="_x0000_s1030" o:spid="_x0000_s1030" o:spt="202" type="#_x0000_t202" style="position:absolute;left:0pt;margin-left:-0.2pt;margin-top:-55.65pt;height:31.8pt;width:502.9pt;z-index:-251650048;mso-width-relative:page;mso-height-relative:page;" stroked="t" coordsize="21600,21600">
            <v:path/>
            <v:fill focussize="0,0"/>
            <v:stroke color="#FFFFFF" joinstyle="miter"/>
            <v:imagedata o:title=""/>
            <o:lock v:ext="edit"/>
            <v:textbox>
              <w:txbxContent>
                <w:p>
                  <w:pPr>
                    <w:jc w:val="left"/>
                    <w:rPr>
                      <w:rFonts w:ascii="黑体" w:hAnsi="黑体" w:eastAsia="黑体" w:cs="Times New Roman"/>
                      <w:sz w:val="28"/>
                      <w:szCs w:val="28"/>
                    </w:rPr>
                  </w:pPr>
                  <w:r>
                    <w:rPr>
                      <w:rFonts w:ascii="黑体" w:hAnsi="黑体" w:cs="黑体"/>
                      <w:color w:val="000000"/>
                      <w:kern w:val="0"/>
                      <w:sz w:val="28"/>
                      <w:szCs w:val="28"/>
                    </w:rPr>
                    <w:t>XXXX</w:t>
                  </w:r>
                  <w:r>
                    <w:rPr>
                      <w:rFonts w:ascii="黑体" w:hAnsi="黑体" w:eastAsia="黑体" w:cs="黑体"/>
                      <w:color w:val="000000"/>
                      <w:kern w:val="0"/>
                      <w:sz w:val="28"/>
                      <w:szCs w:val="28"/>
                    </w:rPr>
                    <w:t>-</w:t>
                  </w:r>
                  <w:r>
                    <w:rPr>
                      <w:rFonts w:ascii="黑体" w:hAnsi="黑体" w:cs="黑体"/>
                      <w:color w:val="000000"/>
                      <w:kern w:val="0"/>
                      <w:sz w:val="28"/>
                      <w:szCs w:val="28"/>
                    </w:rPr>
                    <w:t>XX</w:t>
                  </w:r>
                  <w:r>
                    <w:rPr>
                      <w:rFonts w:ascii="黑体" w:hAnsi="黑体" w:eastAsia="黑体" w:cs="黑体"/>
                      <w:color w:val="000000"/>
                      <w:kern w:val="0"/>
                      <w:sz w:val="28"/>
                      <w:szCs w:val="28"/>
                    </w:rPr>
                    <w:t>-</w:t>
                  </w:r>
                  <w:r>
                    <w:rPr>
                      <w:rFonts w:ascii="黑体" w:hAnsi="黑体" w:cs="黑体"/>
                      <w:color w:val="000000"/>
                      <w:kern w:val="0"/>
                      <w:sz w:val="28"/>
                      <w:szCs w:val="28"/>
                    </w:rPr>
                    <w:t>XX</w:t>
                  </w:r>
                  <w:r>
                    <w:rPr>
                      <w:rFonts w:hint="eastAsia" w:ascii="黑体" w:hAnsi="黑体" w:eastAsia="黑体" w:cs="黑体"/>
                      <w:color w:val="000000"/>
                      <w:kern w:val="0"/>
                      <w:sz w:val="28"/>
                      <w:szCs w:val="28"/>
                    </w:rPr>
                    <w:t>发布</w:t>
                  </w:r>
                  <w:r>
                    <w:rPr>
                      <w:rFonts w:ascii="黑体" w:hAnsi="黑体" w:eastAsia="黑体" w:cs="黑体"/>
                      <w:color w:val="000000"/>
                      <w:kern w:val="0"/>
                      <w:sz w:val="28"/>
                      <w:szCs w:val="28"/>
                    </w:rPr>
                    <w:t xml:space="preserve">    </w:t>
                  </w:r>
                  <w:r>
                    <w:rPr>
                      <w:rFonts w:ascii="黑体" w:hAnsi="黑体" w:eastAsia="黑体" w:cs="黑体"/>
                      <w:color w:val="000000"/>
                      <w:sz w:val="28"/>
                      <w:szCs w:val="28"/>
                    </w:rPr>
                    <w:t xml:space="preserve">                                  </w:t>
                  </w:r>
                  <w:r>
                    <w:rPr>
                      <w:rFonts w:ascii="黑体" w:hAnsi="黑体" w:cs="黑体"/>
                      <w:color w:val="000000"/>
                      <w:kern w:val="0"/>
                      <w:sz w:val="28"/>
                      <w:szCs w:val="28"/>
                    </w:rPr>
                    <w:t>XXXX</w:t>
                  </w:r>
                  <w:r>
                    <w:rPr>
                      <w:rFonts w:ascii="黑体" w:hAnsi="黑体" w:eastAsia="黑体" w:cs="黑体"/>
                      <w:color w:val="000000"/>
                      <w:sz w:val="28"/>
                      <w:szCs w:val="28"/>
                    </w:rPr>
                    <w:t>-</w:t>
                  </w:r>
                  <w:r>
                    <w:rPr>
                      <w:rFonts w:ascii="黑体" w:hAnsi="黑体" w:cs="黑体"/>
                      <w:color w:val="000000"/>
                      <w:kern w:val="0"/>
                      <w:sz w:val="28"/>
                      <w:szCs w:val="28"/>
                    </w:rPr>
                    <w:t>XX</w:t>
                  </w:r>
                  <w:r>
                    <w:rPr>
                      <w:rFonts w:ascii="黑体" w:hAnsi="黑体" w:eastAsia="黑体" w:cs="黑体"/>
                      <w:color w:val="000000"/>
                      <w:sz w:val="28"/>
                      <w:szCs w:val="28"/>
                    </w:rPr>
                    <w:t>-</w:t>
                  </w:r>
                  <w:r>
                    <w:rPr>
                      <w:rFonts w:ascii="黑体" w:hAnsi="黑体" w:cs="黑体"/>
                      <w:color w:val="000000"/>
                      <w:kern w:val="0"/>
                      <w:sz w:val="28"/>
                      <w:szCs w:val="28"/>
                    </w:rPr>
                    <w:t>XX</w:t>
                  </w:r>
                  <w:r>
                    <w:rPr>
                      <w:rFonts w:hint="eastAsia" w:ascii="黑体" w:hAnsi="黑体" w:eastAsia="黑体" w:cs="黑体"/>
                      <w:color w:val="000000"/>
                      <w:sz w:val="28"/>
                      <w:szCs w:val="28"/>
                    </w:rPr>
                    <w:t>实施</w:t>
                  </w:r>
                </w:p>
              </w:txbxContent>
            </v:textbox>
            <w10:anchorlock/>
          </v:shape>
        </w:pict>
      </w:r>
      <w:r>
        <w:rPr>
          <w:w w:val="100"/>
        </w:rPr>
        <w:pict>
          <v:line id="_x0000_s1031" o:spid="_x0000_s1031" o:spt="20" style="position:absolute;left:0pt;margin-left:-9.2pt;margin-top:-572.4pt;height:0pt;width:513pt;z-index:251661312;mso-width-relative:page;mso-height-relative:page;" coordsize="21600,21600">
            <v:path arrowok="t"/>
            <v:fill focussize="0,0"/>
            <v:stroke weight="0.5pt" joinstyle="miter"/>
            <v:imagedata o:title=""/>
            <o:lock v:ext="edit"/>
            <w10:anchorlock/>
          </v:line>
        </w:pict>
      </w:r>
      <w:r>
        <w:rPr>
          <w:w w:val="100"/>
        </w:rPr>
        <w:pict>
          <v:line id="_x0000_s1032" o:spid="_x0000_s1032" o:spt="20" style="position:absolute;left:0pt;margin-left:8.8pt;margin-top:-23.85pt;height:0pt;width:483.8pt;z-index:251660288;mso-width-relative:page;mso-height-relative:page;" coordsize="21600,21600">
            <v:path arrowok="t"/>
            <v:fill focussize="0,0"/>
            <v:stroke weight="0.5pt" joinstyle="miter"/>
            <v:imagedata o:title=""/>
            <o:lock v:ext="edit"/>
            <w10:anchorlock/>
          </v:line>
        </w:pict>
      </w:r>
      <w:r>
        <w:rPr>
          <w:rFonts w:hint="eastAsia" w:ascii="Times New Roman"/>
          <w:color w:val="000000"/>
          <w:spacing w:val="0"/>
          <w:w w:val="100"/>
          <w:sz w:val="24"/>
          <w:szCs w:val="24"/>
        </w:rPr>
        <w:t>安徽省市场监督管理局</w:t>
      </w:r>
      <w:r>
        <w:rPr>
          <w:rFonts w:hint="eastAsia" w:ascii="Times New Roman"/>
          <w:color w:val="000000"/>
          <w:spacing w:val="0"/>
          <w:w w:val="100"/>
          <w:sz w:val="24"/>
          <w:szCs w:val="24"/>
          <w:lang w:val="en-US" w:eastAsia="zh-CN"/>
        </w:rPr>
        <w:t xml:space="preserve">   </w:t>
      </w:r>
      <w:r>
        <w:rPr>
          <w:rStyle w:val="42"/>
          <w:rFonts w:hint="eastAsia" w:ascii="Times New Roman"/>
          <w:color w:val="000000"/>
          <w:spacing w:val="0"/>
          <w:position w:val="0"/>
          <w:sz w:val="24"/>
          <w:szCs w:val="24"/>
        </w:rPr>
        <w:t>发</w:t>
      </w:r>
      <w:r>
        <w:rPr>
          <w:rStyle w:val="42"/>
          <w:rFonts w:ascii="Times New Roman" w:cs="Times New Roman"/>
          <w:color w:val="000000"/>
          <w:spacing w:val="0"/>
          <w:position w:val="0"/>
          <w:sz w:val="24"/>
          <w:szCs w:val="24"/>
        </w:rPr>
        <w:t xml:space="preserve"> </w:t>
      </w:r>
      <w:r>
        <w:rPr>
          <w:rStyle w:val="42"/>
          <w:rFonts w:hint="eastAsia" w:ascii="Times New Roman"/>
          <w:color w:val="000000"/>
          <w:spacing w:val="0"/>
          <w:position w:val="0"/>
          <w:sz w:val="24"/>
          <w:szCs w:val="24"/>
        </w:rPr>
        <w:t>布</w:t>
      </w:r>
    </w:p>
    <w:p>
      <w:pPr>
        <w:pStyle w:val="39"/>
        <w:framePr w:w="10252" w:h="536" w:hRule="exact" w:x="1085" w:y="15274"/>
        <w:rPr>
          <w:rFonts w:ascii="Times New Roman" w:cs="Times New Roman"/>
          <w:color w:val="000000"/>
          <w:sz w:val="44"/>
          <w:szCs w:val="44"/>
        </w:rPr>
        <w:sectPr>
          <w:pgSz w:w="11907" w:h="16840"/>
          <w:pgMar w:top="567" w:right="850" w:bottom="1134" w:left="1418" w:header="0" w:footer="0" w:gutter="0"/>
          <w:pgNumType w:start="1"/>
          <w:cols w:space="720" w:num="1"/>
          <w:docGrid w:type="linesAndChars" w:linePitch="312" w:charSpace="0"/>
        </w:sectPr>
      </w:pPr>
      <w:r>
        <w:rPr>
          <w:w w:val="100"/>
        </w:rPr>
        <w:pict>
          <v:line id="_x0000_s1033" o:spid="_x0000_s1033" o:spt="20" style="position:absolute;left:0pt;margin-left:-0.05pt;margin-top:184.25pt;height:0pt;width:481.9pt;z-index:251659264;mso-width-relative:page;mso-height-relative:page;" coordsize="21600,21600">
            <v:path arrowok="t"/>
            <v:fill focussize="0,0"/>
            <v:stroke/>
            <v:imagedata o:title=""/>
            <o:lock v:ext="edit"/>
            <w10:anchorlock/>
          </v:line>
        </w:pict>
      </w:r>
    </w:p>
    <w:p>
      <w:pPr>
        <w:numPr>
          <w:ilvl w:val="0"/>
          <w:numId w:val="3"/>
        </w:numPr>
        <w:jc w:val="center"/>
        <w:rPr>
          <w:rFonts w:ascii="Times New Roman" w:hAnsi="Times New Roman" w:cs="Times New Roman"/>
          <w:color w:val="000000"/>
          <w:sz w:val="44"/>
          <w:szCs w:val="44"/>
        </w:rPr>
      </w:pPr>
      <w:bookmarkStart w:id="2" w:name="_Toc387394548"/>
      <w:bookmarkStart w:id="3" w:name="_Toc390782382"/>
      <w:bookmarkStart w:id="4" w:name="_Toc534232753"/>
      <w:bookmarkStart w:id="5" w:name="_Toc387245694"/>
      <w:bookmarkStart w:id="6" w:name="_Toc407617585"/>
      <w:bookmarkStart w:id="7" w:name="_Toc392510957"/>
      <w:bookmarkStart w:id="8" w:name="_Toc387394248"/>
      <w:bookmarkStart w:id="9" w:name="_Toc387394794"/>
      <w:bookmarkStart w:id="10" w:name="_Toc387246981"/>
      <w:bookmarkStart w:id="11" w:name="_Toc392511105"/>
      <w:bookmarkStart w:id="12" w:name="_Toc387313143"/>
      <w:bookmarkStart w:id="13" w:name="_Toc387394125"/>
      <w:bookmarkStart w:id="14" w:name="_Toc392667504"/>
      <w:bookmarkStart w:id="15" w:name="_Toc533189969"/>
      <w:bookmarkStart w:id="16" w:name="_Toc12703"/>
      <w:bookmarkStart w:id="17" w:name="_Toc19836"/>
      <w:bookmarkStart w:id="18" w:name="_Toc387246183"/>
      <w:bookmarkStart w:id="19" w:name="_Toc532981270"/>
      <w:bookmarkStart w:id="20" w:name="_Toc387321964"/>
      <w:bookmarkStart w:id="21" w:name="_Toc387395533"/>
      <w:bookmarkStart w:id="22" w:name="_Toc387319278"/>
      <w:bookmarkStart w:id="23" w:name="_Toc387394671"/>
      <w:bookmarkStart w:id="24" w:name="_Toc392666917"/>
      <w:bookmarkStart w:id="25" w:name="_Toc387394371"/>
      <w:bookmarkStart w:id="26" w:name="_Toc388973379"/>
      <w:r>
        <w:rPr>
          <w:rFonts w:hint="eastAsia" w:ascii="Times New Roman" w:hAnsi="Times New Roman" w:eastAsia="黑体" w:cs="黑体"/>
          <w:color w:val="000000"/>
          <w:sz w:val="32"/>
          <w:szCs w:val="32"/>
        </w:rPr>
        <w:t>前</w:t>
      </w:r>
      <w:bookmarkStart w:id="27" w:name="BKQY"/>
      <w:r>
        <w:rPr>
          <w:rFonts w:ascii="Times New Roman" w:hAnsi="Times New Roman" w:eastAsia="黑体" w:cs="Times New Roman"/>
          <w:color w:val="000000"/>
          <w:sz w:val="32"/>
          <w:szCs w:val="32"/>
        </w:rPr>
        <w:t xml:space="preserve">  </w:t>
      </w:r>
      <w:r>
        <w:rPr>
          <w:rFonts w:hint="eastAsia" w:ascii="Times New Roman" w:hAnsi="Times New Roman" w:eastAsia="黑体" w:cs="黑体"/>
          <w:color w:val="000000"/>
          <w:sz w:val="32"/>
          <w:szCs w:val="32"/>
        </w:rPr>
        <w:t>言</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pPr>
        <w:spacing w:line="360" w:lineRule="auto"/>
        <w:ind w:firstLine="420" w:firstLineChars="200"/>
        <w:rPr>
          <w:rFonts w:ascii="Times New Roman" w:hAnsi="Times New Roman" w:cs="Times New Roman"/>
        </w:rPr>
      </w:pPr>
      <w:bookmarkStart w:id="28" w:name="_Toc407620348"/>
      <w:bookmarkEnd w:id="28"/>
      <w:bookmarkStart w:id="29" w:name="_Toc407620390"/>
      <w:bookmarkEnd w:id="29"/>
      <w:bookmarkStart w:id="30" w:name="_Toc407620440"/>
      <w:bookmarkEnd w:id="30"/>
      <w:bookmarkStart w:id="31" w:name="_Toc407617589"/>
      <w:bookmarkEnd w:id="31"/>
      <w:bookmarkStart w:id="32" w:name="_Hlk24531163"/>
      <w:bookmarkStart w:id="33" w:name="_Toc395692780"/>
      <w:bookmarkStart w:id="34" w:name="_Toc395692672"/>
      <w:bookmarkStart w:id="35" w:name="_Toc395692511"/>
      <w:bookmarkStart w:id="36" w:name="_Toc395692972"/>
      <w:bookmarkStart w:id="37" w:name="_Toc395693311"/>
      <w:bookmarkStart w:id="38" w:name="_Toc395693023"/>
      <w:bookmarkStart w:id="39" w:name="_Toc395692923"/>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本文件按照</w:t>
      </w:r>
      <w:r>
        <w:rPr>
          <w:rFonts w:hint="eastAsia" w:ascii="宋体" w:hAnsi="宋体" w:cs="宋体"/>
          <w:color w:val="000000"/>
        </w:rPr>
        <w:t>GB/T1.1—2020《</w:t>
      </w:r>
      <w:r>
        <w:rPr>
          <w:rFonts w:hint="eastAsia" w:ascii="Times New Roman" w:hAnsi="Times New Roman" w:cs="宋体"/>
          <w:color w:val="000000"/>
        </w:rPr>
        <w:t>标准化工作导则  第1部分：标准化文件的结构和起草规则》的规定起草。</w:t>
      </w:r>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请注意本文件的某些内容可能涉及专利。本文件的发布机构不承担识别专利的责任。</w:t>
      </w:r>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本文件由安徽省农业机械试验鉴定站提出。</w:t>
      </w:r>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本文件由安徽省农业农村厅归口。</w:t>
      </w:r>
    </w:p>
    <w:p>
      <w:pPr>
        <w:spacing w:line="360" w:lineRule="auto"/>
        <w:ind w:firstLine="420" w:firstLineChars="200"/>
        <w:rPr>
          <w:rFonts w:hint="eastAsia" w:ascii="Times New Roman" w:hAnsi="Times New Roman" w:cs="宋体"/>
          <w:color w:val="000000"/>
          <w:lang w:eastAsia="zh-CN"/>
        </w:rPr>
      </w:pPr>
      <w:r>
        <w:rPr>
          <w:rFonts w:hint="eastAsia" w:ascii="Times New Roman" w:hAnsi="Times New Roman" w:cs="宋体"/>
          <w:color w:val="000000"/>
        </w:rPr>
        <w:t>本文件起草单位：安徽省农业机械试验鉴定站、安徽省设施农业装备行业协会、安徽应时农业设计院有限公司、合肥市日之丰农业发展有限公司、合肥九万里工程项目管理有限公司</w:t>
      </w:r>
      <w:r>
        <w:rPr>
          <w:rFonts w:hint="eastAsia" w:ascii="Times New Roman" w:hAnsi="Times New Roman" w:cs="宋体"/>
          <w:color w:val="000000"/>
          <w:lang w:eastAsia="zh-CN"/>
        </w:rPr>
        <w:t>。</w:t>
      </w:r>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本文件主要起草人：</w:t>
      </w:r>
      <w:r>
        <w:rPr>
          <w:rFonts w:hint="eastAsia" w:ascii="Times New Roman" w:hAnsi="Times New Roman" w:cs="宋体"/>
          <w:color w:val="000000"/>
          <w:lang w:eastAsia="zh-CN"/>
        </w:rPr>
        <w:t>李杰、叶见青、汪泳、吴利苹、肖美华、孙伟、谢星新、郭庆、朱成亮、刘正余、葛立权、彭步旭、周廷欣、吴晓晨、邓钢</w:t>
      </w:r>
      <w:r>
        <w:rPr>
          <w:rFonts w:hint="eastAsia" w:ascii="Times New Roman" w:hAnsi="Times New Roman" w:cs="宋体"/>
          <w:color w:val="000000"/>
          <w:lang w:val="en-US" w:eastAsia="zh-CN"/>
        </w:rPr>
        <w:t>。</w:t>
      </w:r>
    </w:p>
    <w:bookmarkEnd w:id="32"/>
    <w:p>
      <w:pPr>
        <w:spacing w:line="360" w:lineRule="auto"/>
        <w:ind w:firstLine="420" w:firstLineChars="200"/>
        <w:rPr>
          <w:rFonts w:hint="eastAsia" w:ascii="Times New Roman" w:hAnsi="Times New Roman" w:cs="宋体"/>
          <w:color w:val="000000"/>
        </w:rPr>
      </w:pPr>
    </w:p>
    <w:p>
      <w:pPr>
        <w:spacing w:line="360" w:lineRule="auto"/>
        <w:ind w:firstLine="420" w:firstLineChars="200"/>
        <w:rPr>
          <w:rFonts w:ascii="Times New Roman" w:hAnsi="Times New Roman" w:cs="Times New Roman"/>
          <w:color w:val="000000"/>
        </w:rPr>
      </w:pPr>
    </w:p>
    <w:p>
      <w:pPr>
        <w:spacing w:line="360" w:lineRule="auto"/>
        <w:jc w:val="center"/>
        <w:rPr>
          <w:rFonts w:ascii="Times New Roman" w:hAnsi="Times New Roman" w:eastAsia="黑体" w:cs="Times New Roman"/>
          <w:color w:val="000000"/>
          <w:sz w:val="32"/>
          <w:szCs w:val="32"/>
        </w:rPr>
      </w:pPr>
      <w:r>
        <w:rPr>
          <w:rFonts w:ascii="Times New Roman" w:hAnsi="Times New Roman" w:cs="Times New Roman"/>
          <w:sz w:val="44"/>
          <w:szCs w:val="44"/>
        </w:rPr>
        <w:br w:type="page"/>
      </w:r>
      <w:r>
        <w:rPr>
          <w:rFonts w:hint="eastAsia" w:ascii="Times New Roman" w:hAnsi="Times New Roman" w:eastAsia="黑体" w:cs="黑体"/>
          <w:color w:val="000000"/>
          <w:sz w:val="32"/>
          <w:szCs w:val="32"/>
        </w:rPr>
        <w:t>目</w:t>
      </w:r>
      <w:r>
        <w:rPr>
          <w:rFonts w:ascii="Times New Roman" w:hAnsi="Times New Roman" w:eastAsia="黑体" w:cs="Times New Roman"/>
          <w:color w:val="000000"/>
          <w:sz w:val="32"/>
          <w:szCs w:val="32"/>
        </w:rPr>
        <w:t xml:space="preserve">  </w:t>
      </w:r>
      <w:r>
        <w:rPr>
          <w:rFonts w:hint="eastAsia" w:ascii="Times New Roman" w:hAnsi="Times New Roman" w:eastAsia="黑体" w:cs="黑体"/>
          <w:color w:val="000000"/>
          <w:sz w:val="32"/>
          <w:szCs w:val="32"/>
        </w:rPr>
        <w:t>次</w:t>
      </w:r>
    </w:p>
    <w:p>
      <w:pPr>
        <w:jc w:val="center"/>
        <w:rPr>
          <w:rFonts w:ascii="Times New Roman" w:hAnsi="Times New Roman" w:cs="Times New Roman"/>
          <w:b/>
          <w:bCs/>
          <w:color w:val="000000"/>
        </w:rPr>
      </w:pPr>
    </w:p>
    <w:p>
      <w:pPr>
        <w:pStyle w:val="9"/>
        <w:tabs>
          <w:tab w:val="right" w:leader="dot" w:pos="8307"/>
        </w:tabs>
      </w:pPr>
      <w:r>
        <w:rPr>
          <w:rFonts w:ascii="Times New Roman" w:hAnsi="Times New Roman" w:cs="Times New Roman"/>
          <w:b/>
          <w:bCs/>
          <w:color w:val="000000"/>
        </w:rPr>
        <w:fldChar w:fldCharType="begin"/>
      </w:r>
      <w:r>
        <w:rPr>
          <w:rFonts w:ascii="Times New Roman" w:hAnsi="Times New Roman" w:cs="Times New Roman"/>
          <w:b/>
          <w:bCs/>
          <w:color w:val="000000"/>
        </w:rPr>
        <w:instrText xml:space="preserve">TOC \o "1-3" \h \u </w:instrText>
      </w:r>
      <w:r>
        <w:rPr>
          <w:rFonts w:ascii="Times New Roman" w:hAnsi="Times New Roman" w:cs="Times New Roman"/>
          <w:b/>
          <w:bCs/>
          <w:color w:val="000000"/>
        </w:rPr>
        <w:fldChar w:fldCharType="separate"/>
      </w:r>
      <w:r>
        <w:rPr>
          <w:rFonts w:ascii="Times New Roman" w:hAnsi="Times New Roman" w:cs="Times New Roman"/>
          <w:bCs/>
          <w:color w:val="000000"/>
        </w:rPr>
        <w:fldChar w:fldCharType="begin"/>
      </w:r>
      <w:r>
        <w:rPr>
          <w:rFonts w:ascii="Times New Roman" w:hAnsi="Times New Roman" w:cs="Times New Roman"/>
          <w:bCs/>
        </w:rPr>
        <w:instrText xml:space="preserve"> HYPERLINK \l _Toc15912 </w:instrText>
      </w:r>
      <w:r>
        <w:rPr>
          <w:rFonts w:ascii="Times New Roman" w:hAnsi="Times New Roman" w:cs="Times New Roman"/>
          <w:bCs/>
        </w:rPr>
        <w:fldChar w:fldCharType="separate"/>
      </w:r>
      <w:r>
        <w:rPr>
          <w:rFonts w:ascii="黑体" w:hAnsi="黑体" w:eastAsia="黑体" w:cs="黑体"/>
          <w:bCs w:val="0"/>
          <w:szCs w:val="21"/>
        </w:rPr>
        <w:t xml:space="preserve">1  </w:t>
      </w:r>
      <w:r>
        <w:rPr>
          <w:rFonts w:hint="eastAsia" w:ascii="Times New Roman" w:hAnsi="Times New Roman" w:eastAsia="黑体" w:cs="黑体"/>
          <w:bCs w:val="0"/>
          <w:szCs w:val="21"/>
        </w:rPr>
        <w:t>范围</w:t>
      </w:r>
      <w:r>
        <w:tab/>
      </w:r>
      <w:r>
        <w:fldChar w:fldCharType="begin"/>
      </w:r>
      <w:r>
        <w:instrText xml:space="preserve"> PAGEREF _Toc15912 \h </w:instrText>
      </w:r>
      <w:r>
        <w:fldChar w:fldCharType="separate"/>
      </w:r>
      <w:r>
        <w:t>1</w:t>
      </w:r>
      <w:r>
        <w:fldChar w:fldCharType="end"/>
      </w:r>
      <w:r>
        <w:rPr>
          <w:rFonts w:ascii="Times New Roman" w:hAnsi="Times New Roman" w:cs="Times New Roman"/>
          <w:bCs/>
          <w:color w:val="000000"/>
        </w:rPr>
        <w:fldChar w:fldCharType="end"/>
      </w:r>
    </w:p>
    <w:p>
      <w:pPr>
        <w:pStyle w:val="9"/>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_Toc18200 </w:instrText>
      </w:r>
      <w:r>
        <w:rPr>
          <w:rFonts w:ascii="Times New Roman" w:hAnsi="Times New Roman" w:cs="Times New Roman"/>
          <w:bCs/>
        </w:rPr>
        <w:fldChar w:fldCharType="separate"/>
      </w:r>
      <w:r>
        <w:rPr>
          <w:rFonts w:ascii="黑体" w:hAnsi="黑体" w:eastAsia="黑体" w:cs="黑体"/>
          <w:bCs w:val="0"/>
          <w:szCs w:val="21"/>
        </w:rPr>
        <w:t xml:space="preserve">2  </w:t>
      </w:r>
      <w:r>
        <w:rPr>
          <w:rFonts w:hint="eastAsia" w:ascii="Times New Roman" w:hAnsi="Times New Roman" w:eastAsia="黑体" w:cs="黑体"/>
          <w:bCs w:val="0"/>
          <w:szCs w:val="21"/>
        </w:rPr>
        <w:t>规范性引用文件</w:t>
      </w:r>
      <w:r>
        <w:tab/>
      </w:r>
      <w:r>
        <w:fldChar w:fldCharType="begin"/>
      </w:r>
      <w:r>
        <w:instrText xml:space="preserve"> PAGEREF _Toc18200 \h </w:instrText>
      </w:r>
      <w:r>
        <w:fldChar w:fldCharType="separate"/>
      </w:r>
      <w:r>
        <w:t>1</w:t>
      </w:r>
      <w:r>
        <w:fldChar w:fldCharType="end"/>
      </w:r>
      <w:r>
        <w:rPr>
          <w:rFonts w:ascii="Times New Roman" w:hAnsi="Times New Roman" w:cs="Times New Roman"/>
          <w:bCs/>
          <w:color w:val="000000"/>
        </w:rPr>
        <w:fldChar w:fldCharType="end"/>
      </w:r>
    </w:p>
    <w:p>
      <w:pPr>
        <w:pStyle w:val="9"/>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_Toc23278 </w:instrText>
      </w:r>
      <w:r>
        <w:rPr>
          <w:rFonts w:ascii="Times New Roman" w:hAnsi="Times New Roman" w:cs="Times New Roman"/>
          <w:bCs/>
        </w:rPr>
        <w:fldChar w:fldCharType="separate"/>
      </w:r>
      <w:r>
        <w:rPr>
          <w:rFonts w:ascii="黑体" w:hAnsi="黑体" w:eastAsia="黑体" w:cs="黑体"/>
          <w:bCs w:val="0"/>
          <w:szCs w:val="21"/>
        </w:rPr>
        <w:t xml:space="preserve">3  </w:t>
      </w:r>
      <w:r>
        <w:rPr>
          <w:rFonts w:hint="eastAsia" w:ascii="Times New Roman" w:hAnsi="Times New Roman" w:eastAsia="黑体" w:cs="黑体"/>
          <w:bCs w:val="0"/>
          <w:szCs w:val="21"/>
        </w:rPr>
        <w:t>术语和定义</w:t>
      </w:r>
      <w:r>
        <w:tab/>
      </w:r>
      <w:r>
        <w:fldChar w:fldCharType="begin"/>
      </w:r>
      <w:r>
        <w:instrText xml:space="preserve"> PAGEREF _Toc23278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_Toc9773 </w:instrText>
      </w:r>
      <w:r>
        <w:rPr>
          <w:rFonts w:ascii="Times New Roman" w:hAnsi="Times New Roman" w:cs="Times New Roman"/>
          <w:bCs/>
        </w:rPr>
        <w:fldChar w:fldCharType="separate"/>
      </w:r>
      <w:r>
        <w:rPr>
          <w:rFonts w:hint="eastAsia" w:hAnsi="黑体"/>
          <w:kern w:val="44"/>
          <w:lang w:val="en-US" w:eastAsia="zh-CN"/>
        </w:rPr>
        <w:t xml:space="preserve">3.1 </w:t>
      </w:r>
      <w:r>
        <w:rPr>
          <w:rFonts w:hint="default" w:hAnsi="黑体"/>
          <w:kern w:val="44"/>
          <w:lang w:val="en-US" w:eastAsia="zh-CN"/>
        </w:rPr>
        <w:t>玻璃温室</w:t>
      </w:r>
      <w:r>
        <w:tab/>
      </w:r>
      <w:r>
        <w:fldChar w:fldCharType="begin"/>
      </w:r>
      <w:r>
        <w:instrText xml:space="preserve"> PAGEREF _Toc9773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_Toc14363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.2 温室骨架</w:t>
      </w:r>
      <w:r>
        <w:tab/>
      </w:r>
      <w:r>
        <w:fldChar w:fldCharType="begin"/>
      </w:r>
      <w:r>
        <w:instrText xml:space="preserve"> PAGEREF _Toc14363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_Toc20349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.3 跨度</w:t>
      </w:r>
      <w:r>
        <w:tab/>
      </w:r>
      <w:r>
        <w:fldChar w:fldCharType="begin"/>
      </w:r>
      <w:r>
        <w:instrText xml:space="preserve"> PAGEREF _Toc20349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_Toc26950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.4 开间</w:t>
      </w:r>
      <w:r>
        <w:tab/>
      </w:r>
      <w:r>
        <w:fldChar w:fldCharType="begin"/>
      </w:r>
      <w:r>
        <w:instrText xml:space="preserve"> PAGEREF _Toc26950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_Toc26063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.5 天沟</w:t>
      </w:r>
      <w:r>
        <w:tab/>
      </w:r>
      <w:r>
        <w:fldChar w:fldCharType="begin"/>
      </w:r>
      <w:r>
        <w:instrText xml:space="preserve"> PAGEREF _Toc26063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_Toc5495 </w:instrText>
      </w:r>
      <w:r>
        <w:rPr>
          <w:rFonts w:ascii="Times New Roman" w:hAnsi="Times New Roman" w:cs="Times New Roman"/>
          <w:bCs/>
        </w:rPr>
        <w:fldChar w:fldCharType="separate"/>
      </w:r>
      <w:r>
        <w:rPr>
          <w:rFonts w:hint="eastAsia" w:hAnsi="黑体"/>
          <w:kern w:val="44"/>
          <w:lang w:val="en-US" w:eastAsia="zh-CN"/>
        </w:rPr>
        <w:t>3.6 桁架</w:t>
      </w:r>
      <w:r>
        <w:tab/>
      </w:r>
      <w:r>
        <w:fldChar w:fldCharType="begin"/>
      </w:r>
      <w:r>
        <w:instrText xml:space="preserve"> PAGEREF _Toc5495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_Toc19940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w:t>
      </w:r>
      <w:r>
        <w:rPr>
          <w:rFonts w:hint="eastAsia" w:hAnsi="黑体"/>
          <w:kern w:val="44"/>
          <w:lang w:val="en-US" w:eastAsia="zh-CN"/>
        </w:rPr>
        <w:t>7</w:t>
      </w:r>
      <w:r>
        <w:rPr>
          <w:rFonts w:hint="default" w:hAnsi="黑体"/>
          <w:kern w:val="44"/>
          <w:lang w:val="en-US" w:eastAsia="zh-CN"/>
        </w:rPr>
        <w:t xml:space="preserve"> 顶高</w:t>
      </w:r>
      <w:r>
        <w:tab/>
      </w:r>
      <w:r>
        <w:fldChar w:fldCharType="begin"/>
      </w:r>
      <w:r>
        <w:instrText xml:space="preserve"> PAGEREF _Toc19940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_Toc26848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w:t>
      </w:r>
      <w:r>
        <w:rPr>
          <w:rFonts w:hint="eastAsia" w:hAnsi="黑体"/>
          <w:kern w:val="44"/>
          <w:lang w:val="en-US" w:eastAsia="zh-CN"/>
        </w:rPr>
        <w:t>8</w:t>
      </w:r>
      <w:r>
        <w:rPr>
          <w:rFonts w:hint="default" w:hAnsi="黑体"/>
          <w:kern w:val="44"/>
          <w:lang w:val="en-US" w:eastAsia="zh-CN"/>
        </w:rPr>
        <w:t xml:space="preserve"> 肩高</w:t>
      </w:r>
      <w:r>
        <w:tab/>
      </w:r>
      <w:r>
        <w:fldChar w:fldCharType="begin"/>
      </w:r>
      <w:r>
        <w:instrText xml:space="preserve"> PAGEREF _Toc26848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_Toc15312 </w:instrText>
      </w:r>
      <w:r>
        <w:rPr>
          <w:rFonts w:ascii="Times New Roman" w:hAnsi="Times New Roman" w:cs="Times New Roman"/>
          <w:bCs/>
        </w:rPr>
        <w:fldChar w:fldCharType="separate"/>
      </w:r>
      <w:r>
        <w:rPr>
          <w:rFonts w:hint="eastAsia" w:hAnsi="黑体"/>
          <w:kern w:val="44"/>
          <w:lang w:val="en-US" w:eastAsia="zh-CN"/>
        </w:rPr>
        <w:t>3</w:t>
      </w:r>
      <w:r>
        <w:rPr>
          <w:rFonts w:hint="default" w:hAnsi="黑体"/>
          <w:kern w:val="44"/>
          <w:lang w:val="en-US" w:eastAsia="zh-CN"/>
        </w:rPr>
        <w:t>.</w:t>
      </w:r>
      <w:r>
        <w:rPr>
          <w:rFonts w:hint="eastAsia" w:hAnsi="黑体"/>
          <w:kern w:val="44"/>
          <w:lang w:val="en-US" w:eastAsia="zh-CN"/>
        </w:rPr>
        <w:t>9</w:t>
      </w:r>
      <w:r>
        <w:rPr>
          <w:rFonts w:hint="default" w:hAnsi="黑体"/>
          <w:kern w:val="44"/>
          <w:lang w:val="en-US" w:eastAsia="zh-CN"/>
        </w:rPr>
        <w:t xml:space="preserve"> 基础</w:t>
      </w:r>
      <w:r>
        <w:tab/>
      </w:r>
      <w:r>
        <w:fldChar w:fldCharType="begin"/>
      </w:r>
      <w:r>
        <w:instrText xml:space="preserve"> PAGEREF _Toc15312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_Toc17737 </w:instrText>
      </w:r>
      <w:r>
        <w:rPr>
          <w:rFonts w:ascii="Times New Roman" w:hAnsi="Times New Roman" w:cs="Times New Roman"/>
          <w:bCs/>
        </w:rPr>
        <w:fldChar w:fldCharType="separate"/>
      </w:r>
      <w:r>
        <w:rPr>
          <w:rFonts w:hint="eastAsia" w:hAnsi="黑体"/>
          <w:kern w:val="44"/>
          <w:lang w:val="en-US" w:eastAsia="zh-CN"/>
        </w:rPr>
        <w:t>3.10地圈梁</w:t>
      </w:r>
      <w:r>
        <w:tab/>
      </w:r>
      <w:r>
        <w:fldChar w:fldCharType="begin"/>
      </w:r>
      <w:r>
        <w:instrText xml:space="preserve"> PAGEREF _Toc17737 \h </w:instrText>
      </w:r>
      <w:r>
        <w:fldChar w:fldCharType="separate"/>
      </w:r>
      <w:r>
        <w:t>2</w:t>
      </w:r>
      <w:r>
        <w:fldChar w:fldCharType="end"/>
      </w:r>
      <w:r>
        <w:rPr>
          <w:rFonts w:ascii="Times New Roman" w:hAnsi="Times New Roman" w:cs="Times New Roman"/>
          <w:bCs/>
          <w:color w:val="000000"/>
        </w:rPr>
        <w:fldChar w:fldCharType="end"/>
      </w:r>
    </w:p>
    <w:p>
      <w:pPr>
        <w:pStyle w:val="9"/>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_Toc6197 </w:instrText>
      </w:r>
      <w:r>
        <w:rPr>
          <w:rFonts w:ascii="Times New Roman" w:hAnsi="Times New Roman" w:cs="Times New Roman"/>
          <w:bCs/>
        </w:rPr>
        <w:fldChar w:fldCharType="separate"/>
      </w:r>
      <w:r>
        <w:rPr>
          <w:rFonts w:ascii="黑体" w:hAnsi="黑体" w:eastAsia="黑体" w:cs="黑体"/>
          <w:bCs w:val="0"/>
          <w:szCs w:val="21"/>
        </w:rPr>
        <w:t xml:space="preserve">4  </w:t>
      </w:r>
      <w:r>
        <w:rPr>
          <w:rFonts w:hint="eastAsia" w:ascii="黑体" w:hAnsi="黑体" w:eastAsia="黑体" w:cs="黑体"/>
          <w:bCs w:val="0"/>
          <w:szCs w:val="21"/>
          <w:lang w:eastAsia="zh-CN"/>
        </w:rPr>
        <w:t>建造技术和</w:t>
      </w:r>
      <w:r>
        <w:rPr>
          <w:rFonts w:hint="eastAsia" w:ascii="Times New Roman" w:hAnsi="Times New Roman" w:eastAsia="黑体" w:cs="黑体"/>
          <w:bCs w:val="0"/>
          <w:szCs w:val="21"/>
        </w:rPr>
        <w:t>要求</w:t>
      </w:r>
      <w:r>
        <w:tab/>
      </w:r>
      <w:r>
        <w:fldChar w:fldCharType="begin"/>
      </w:r>
      <w:r>
        <w:instrText xml:space="preserve"> PAGEREF _Toc6197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_Toc11990 </w:instrText>
      </w:r>
      <w:r>
        <w:rPr>
          <w:rFonts w:ascii="Times New Roman" w:hAnsi="Times New Roman" w:cs="Times New Roman"/>
          <w:bCs/>
        </w:rPr>
        <w:fldChar w:fldCharType="separate"/>
      </w:r>
      <w:r>
        <w:rPr>
          <w:rFonts w:hint="eastAsia" w:hAnsi="黑体"/>
          <w:kern w:val="44"/>
          <w:lang w:val="en-US" w:eastAsia="zh-CN"/>
        </w:rPr>
        <w:t>4.1 选址</w:t>
      </w:r>
      <w:r>
        <w:tab/>
      </w:r>
      <w:r>
        <w:fldChar w:fldCharType="begin"/>
      </w:r>
      <w:r>
        <w:instrText xml:space="preserve"> PAGEREF _Toc11990 \h </w:instrText>
      </w:r>
      <w:r>
        <w:fldChar w:fldCharType="separate"/>
      </w:r>
      <w:r>
        <w:t>2</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_Toc25713 </w:instrText>
      </w:r>
      <w:r>
        <w:rPr>
          <w:rFonts w:ascii="Times New Roman" w:hAnsi="Times New Roman" w:cs="Times New Roman"/>
          <w:bCs/>
        </w:rPr>
        <w:fldChar w:fldCharType="separate"/>
      </w:r>
      <w:r>
        <w:rPr>
          <w:rFonts w:hint="eastAsia" w:hAnsi="黑体"/>
          <w:kern w:val="44"/>
          <w:lang w:val="en-US" w:eastAsia="zh-CN"/>
        </w:rPr>
        <w:t>4.2 布局</w:t>
      </w:r>
      <w:r>
        <w:tab/>
      </w:r>
      <w:r>
        <w:fldChar w:fldCharType="begin"/>
      </w:r>
      <w:r>
        <w:instrText xml:space="preserve"> PAGEREF _Toc25713 \h </w:instrText>
      </w:r>
      <w:r>
        <w:fldChar w:fldCharType="separate"/>
      </w:r>
      <w:r>
        <w:t>3</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_Toc8216 </w:instrText>
      </w:r>
      <w:r>
        <w:rPr>
          <w:rFonts w:ascii="Times New Roman" w:hAnsi="Times New Roman" w:cs="Times New Roman"/>
          <w:bCs/>
        </w:rPr>
        <w:fldChar w:fldCharType="separate"/>
      </w:r>
      <w:r>
        <w:rPr>
          <w:rFonts w:hint="eastAsia" w:hAnsi="黑体"/>
          <w:kern w:val="44"/>
          <w:lang w:val="en-US" w:eastAsia="zh-CN"/>
        </w:rPr>
        <w:t>4.3 地基</w:t>
      </w:r>
      <w:r>
        <w:tab/>
      </w:r>
      <w:r>
        <w:fldChar w:fldCharType="begin"/>
      </w:r>
      <w:r>
        <w:instrText xml:space="preserve"> PAGEREF _Toc8216 \h </w:instrText>
      </w:r>
      <w:r>
        <w:fldChar w:fldCharType="separate"/>
      </w:r>
      <w:r>
        <w:t>3</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_Toc15596 </w:instrText>
      </w:r>
      <w:r>
        <w:rPr>
          <w:rFonts w:ascii="Times New Roman" w:hAnsi="Times New Roman" w:cs="Times New Roman"/>
          <w:bCs/>
        </w:rPr>
        <w:fldChar w:fldCharType="separate"/>
      </w:r>
      <w:r>
        <w:rPr>
          <w:rFonts w:hint="eastAsia" w:hAnsi="黑体"/>
          <w:kern w:val="44"/>
          <w:lang w:val="en-US" w:eastAsia="zh-CN"/>
        </w:rPr>
        <w:t>4.4 温室骨架</w:t>
      </w:r>
      <w:r>
        <w:tab/>
      </w:r>
      <w:r>
        <w:fldChar w:fldCharType="begin"/>
      </w:r>
      <w:r>
        <w:instrText xml:space="preserve"> PAGEREF _Toc15596 \h </w:instrText>
      </w:r>
      <w:r>
        <w:fldChar w:fldCharType="separate"/>
      </w:r>
      <w:r>
        <w:t>4</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_Toc1925 </w:instrText>
      </w:r>
      <w:r>
        <w:rPr>
          <w:rFonts w:ascii="Times New Roman" w:hAnsi="Times New Roman" w:cs="Times New Roman"/>
          <w:bCs/>
        </w:rPr>
        <w:fldChar w:fldCharType="separate"/>
      </w:r>
      <w:r>
        <w:rPr>
          <w:rFonts w:hint="eastAsia" w:hAnsi="黑体"/>
          <w:kern w:val="44"/>
          <w:lang w:val="en-US" w:eastAsia="zh-CN"/>
        </w:rPr>
        <w:t>4.5 覆盖材料</w:t>
      </w:r>
      <w:r>
        <w:tab/>
      </w:r>
      <w:r>
        <w:fldChar w:fldCharType="begin"/>
      </w:r>
      <w:r>
        <w:instrText xml:space="preserve"> PAGEREF _Toc1925 \h </w:instrText>
      </w:r>
      <w:r>
        <w:fldChar w:fldCharType="separate"/>
      </w:r>
      <w:r>
        <w:t>5</w:t>
      </w:r>
      <w:r>
        <w:fldChar w:fldCharType="end"/>
      </w:r>
      <w:r>
        <w:rPr>
          <w:rFonts w:ascii="Times New Roman" w:hAnsi="Times New Roman" w:cs="Times New Roman"/>
          <w:bCs/>
          <w:color w:val="000000"/>
        </w:rPr>
        <w:fldChar w:fldCharType="end"/>
      </w:r>
    </w:p>
    <w:p>
      <w:pPr>
        <w:pStyle w:val="9"/>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_Toc21293 </w:instrText>
      </w:r>
      <w:r>
        <w:rPr>
          <w:rFonts w:ascii="Times New Roman" w:hAnsi="Times New Roman" w:cs="Times New Roman"/>
          <w:bCs/>
        </w:rPr>
        <w:fldChar w:fldCharType="separate"/>
      </w:r>
      <w:r>
        <w:rPr>
          <w:rFonts w:ascii="黑体" w:hAnsi="黑体" w:eastAsia="黑体" w:cs="黑体"/>
          <w:bCs w:val="0"/>
          <w:szCs w:val="21"/>
        </w:rPr>
        <w:t xml:space="preserve">5  </w:t>
      </w:r>
      <w:r>
        <w:rPr>
          <w:rFonts w:hint="eastAsia" w:ascii="黑体" w:hAnsi="黑体" w:eastAsia="黑体" w:cs="黑体"/>
          <w:bCs w:val="0"/>
          <w:szCs w:val="21"/>
          <w:lang w:eastAsia="zh-CN"/>
        </w:rPr>
        <w:t>验收</w:t>
      </w:r>
      <w:r>
        <w:tab/>
      </w:r>
      <w:r>
        <w:fldChar w:fldCharType="begin"/>
      </w:r>
      <w:r>
        <w:instrText xml:space="preserve"> PAGEREF _Toc21293 \h </w:instrText>
      </w:r>
      <w:r>
        <w:fldChar w:fldCharType="separate"/>
      </w:r>
      <w:r>
        <w:t>7</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_Toc457 </w:instrText>
      </w:r>
      <w:r>
        <w:rPr>
          <w:rFonts w:ascii="Times New Roman" w:hAnsi="Times New Roman" w:cs="Times New Roman"/>
          <w:bCs/>
        </w:rPr>
        <w:fldChar w:fldCharType="separate"/>
      </w:r>
      <w:r>
        <w:rPr>
          <w:rFonts w:hint="eastAsia" w:hAnsi="黑体"/>
          <w:kern w:val="44"/>
          <w:lang w:val="en-US" w:eastAsia="zh-CN"/>
        </w:rPr>
        <w:t>5.1 材料验收</w:t>
      </w:r>
      <w:r>
        <w:tab/>
      </w:r>
      <w:r>
        <w:fldChar w:fldCharType="begin"/>
      </w:r>
      <w:r>
        <w:instrText xml:space="preserve"> PAGEREF _Toc457 \h </w:instrText>
      </w:r>
      <w:r>
        <w:fldChar w:fldCharType="separate"/>
      </w:r>
      <w:r>
        <w:t>7</w:t>
      </w:r>
      <w:r>
        <w:fldChar w:fldCharType="end"/>
      </w:r>
      <w:r>
        <w:rPr>
          <w:rFonts w:ascii="Times New Roman" w:hAnsi="Times New Roman" w:cs="Times New Roman"/>
          <w:bCs/>
          <w:color w:val="000000"/>
        </w:rPr>
        <w:fldChar w:fldCharType="end"/>
      </w:r>
    </w:p>
    <w:p>
      <w:pPr>
        <w:pStyle w:val="10"/>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_Toc17772 </w:instrText>
      </w:r>
      <w:r>
        <w:rPr>
          <w:rFonts w:ascii="Times New Roman" w:hAnsi="Times New Roman" w:cs="Times New Roman"/>
          <w:bCs/>
        </w:rPr>
        <w:fldChar w:fldCharType="separate"/>
      </w:r>
      <w:r>
        <w:rPr>
          <w:rFonts w:hint="eastAsia" w:hAnsi="黑体"/>
          <w:kern w:val="44"/>
          <w:lang w:val="en-US" w:eastAsia="zh-CN"/>
        </w:rPr>
        <w:t>5.2 安装验收</w:t>
      </w:r>
      <w:r>
        <w:tab/>
      </w:r>
      <w:r>
        <w:fldChar w:fldCharType="begin"/>
      </w:r>
      <w:r>
        <w:instrText xml:space="preserve"> PAGEREF _Toc17772 \h </w:instrText>
      </w:r>
      <w:r>
        <w:fldChar w:fldCharType="separate"/>
      </w:r>
      <w:r>
        <w:t>7</w:t>
      </w:r>
      <w:r>
        <w:fldChar w:fldCharType="end"/>
      </w:r>
      <w:r>
        <w:rPr>
          <w:rFonts w:ascii="Times New Roman" w:hAnsi="Times New Roman" w:cs="Times New Roman"/>
          <w:bCs/>
          <w:color w:val="000000"/>
        </w:rPr>
        <w:fldChar w:fldCharType="end"/>
      </w:r>
    </w:p>
    <w:p>
      <w:pPr>
        <w:pStyle w:val="9"/>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_Toc16273 </w:instrText>
      </w:r>
      <w:r>
        <w:rPr>
          <w:rFonts w:ascii="Times New Roman" w:hAnsi="Times New Roman" w:cs="Times New Roman"/>
          <w:bCs/>
        </w:rPr>
        <w:fldChar w:fldCharType="separate"/>
      </w:r>
      <w:r>
        <w:rPr>
          <w:rFonts w:hint="eastAsia" w:ascii="Times New Roman" w:hAnsi="Times New Roman" w:eastAsia="黑体" w:cs="黑体"/>
          <w:bCs w:val="0"/>
          <w:szCs w:val="21"/>
        </w:rPr>
        <w:t>附 录</w:t>
      </w:r>
      <w:r>
        <w:rPr>
          <w:rFonts w:hint="eastAsia" w:ascii="Times New Roman" w:hAnsi="Times New Roman" w:eastAsia="黑体" w:cs="黑体"/>
          <w:bCs w:val="0"/>
          <w:szCs w:val="21"/>
          <w:lang w:val="en-US" w:eastAsia="zh-CN"/>
        </w:rPr>
        <w:t>A  玻璃温室主要部件材料、技术要求</w:t>
      </w:r>
      <w:r>
        <w:tab/>
      </w:r>
      <w:r>
        <w:fldChar w:fldCharType="begin"/>
      </w:r>
      <w:r>
        <w:instrText xml:space="preserve"> PAGEREF _Toc16273 \h </w:instrText>
      </w:r>
      <w:r>
        <w:fldChar w:fldCharType="separate"/>
      </w:r>
      <w:r>
        <w:t>8</w:t>
      </w:r>
      <w:r>
        <w:fldChar w:fldCharType="end"/>
      </w:r>
      <w:r>
        <w:rPr>
          <w:rFonts w:ascii="Times New Roman" w:hAnsi="Times New Roman" w:cs="Times New Roman"/>
          <w:bCs/>
          <w:color w:val="000000"/>
        </w:rPr>
        <w:fldChar w:fldCharType="end"/>
      </w:r>
    </w:p>
    <w:p>
      <w:pPr>
        <w:pStyle w:val="9"/>
        <w:tabs>
          <w:tab w:val="right" w:leader="dot" w:pos="8307"/>
        </w:tabs>
      </w:pPr>
      <w:r>
        <w:rPr>
          <w:rFonts w:ascii="Times New Roman" w:hAnsi="Times New Roman" w:cs="Times New Roman"/>
          <w:bCs/>
          <w:color w:val="000000"/>
        </w:rPr>
        <w:fldChar w:fldCharType="begin"/>
      </w:r>
      <w:r>
        <w:rPr>
          <w:rFonts w:ascii="Times New Roman" w:hAnsi="Times New Roman" w:cs="Times New Roman"/>
          <w:bCs/>
        </w:rPr>
        <w:instrText xml:space="preserve"> HYPERLINK \l _Toc10151 </w:instrText>
      </w:r>
      <w:r>
        <w:rPr>
          <w:rFonts w:ascii="Times New Roman" w:hAnsi="Times New Roman" w:cs="Times New Roman"/>
          <w:bCs/>
        </w:rPr>
        <w:fldChar w:fldCharType="separate"/>
      </w:r>
      <w:r>
        <w:rPr>
          <w:rFonts w:hint="eastAsia" w:ascii="Times New Roman" w:hAnsi="Times New Roman" w:eastAsia="黑体" w:cs="黑体"/>
          <w:bCs w:val="0"/>
          <w:szCs w:val="21"/>
        </w:rPr>
        <w:t>附 录</w:t>
      </w:r>
      <w:r>
        <w:rPr>
          <w:rFonts w:hint="eastAsia" w:ascii="Times New Roman" w:hAnsi="Times New Roman" w:eastAsia="黑体" w:cs="黑体"/>
          <w:bCs w:val="0"/>
          <w:szCs w:val="21"/>
          <w:lang w:val="en-US" w:eastAsia="zh-CN"/>
        </w:rPr>
        <w:t>B  玻璃温室</w:t>
      </w:r>
      <w:r>
        <w:rPr>
          <w:rFonts w:hint="default" w:ascii="Times New Roman" w:hAnsi="Times New Roman" w:eastAsia="黑体" w:cs="黑体"/>
          <w:bCs w:val="0"/>
          <w:szCs w:val="21"/>
          <w:lang w:val="en-US" w:eastAsia="zh-CN"/>
        </w:rPr>
        <w:t>安装允许偏差</w:t>
      </w:r>
      <w:r>
        <w:tab/>
      </w:r>
      <w:r>
        <w:fldChar w:fldCharType="begin"/>
      </w:r>
      <w:r>
        <w:instrText xml:space="preserve"> PAGEREF _Toc10151 \h </w:instrText>
      </w:r>
      <w:r>
        <w:fldChar w:fldCharType="separate"/>
      </w:r>
      <w:r>
        <w:t>10</w:t>
      </w:r>
      <w:r>
        <w:fldChar w:fldCharType="end"/>
      </w:r>
      <w:r>
        <w:rPr>
          <w:rFonts w:ascii="Times New Roman" w:hAnsi="Times New Roman" w:cs="Times New Roman"/>
          <w:bCs/>
          <w:color w:val="000000"/>
        </w:rPr>
        <w:fldChar w:fldCharType="end"/>
      </w:r>
    </w:p>
    <w:p>
      <w:pPr>
        <w:spacing w:line="400" w:lineRule="exact"/>
        <w:jc w:val="center"/>
        <w:rPr>
          <w:rFonts w:ascii="Times New Roman" w:hAnsi="Times New Roman" w:cs="Times New Roman"/>
          <w:b/>
          <w:bCs/>
          <w:color w:val="000000"/>
        </w:rPr>
      </w:pPr>
      <w:r>
        <w:rPr>
          <w:rFonts w:ascii="Times New Roman" w:hAnsi="Times New Roman" w:cs="Times New Roman"/>
          <w:bCs/>
          <w:color w:val="000000"/>
        </w:rPr>
        <w:fldChar w:fldCharType="end"/>
      </w:r>
    </w:p>
    <w:bookmarkEnd w:id="33"/>
    <w:bookmarkEnd w:id="34"/>
    <w:bookmarkEnd w:id="35"/>
    <w:bookmarkEnd w:id="36"/>
    <w:bookmarkEnd w:id="37"/>
    <w:bookmarkEnd w:id="38"/>
    <w:bookmarkEnd w:id="39"/>
    <w:p>
      <w:pPr>
        <w:pStyle w:val="44"/>
        <w:spacing w:before="360" w:after="240" w:line="240" w:lineRule="auto"/>
        <w:rPr>
          <w:rFonts w:ascii="Times New Roman" w:hAnsi="Times New Roman" w:cs="Times New Roman"/>
          <w:color w:val="000000"/>
        </w:rPr>
        <w:sectPr>
          <w:headerReference r:id="rId3" w:type="default"/>
          <w:footerReference r:id="rId4" w:type="default"/>
          <w:pgSz w:w="11907" w:h="16840"/>
          <w:pgMar w:top="1440" w:right="1800" w:bottom="1440" w:left="1800" w:header="851" w:footer="992" w:gutter="0"/>
          <w:cols w:space="425" w:num="1"/>
          <w:docGrid w:type="linesAndChars" w:linePitch="312" w:charSpace="0"/>
        </w:sectPr>
      </w:pPr>
      <w:bookmarkStart w:id="40" w:name="_Toc6140"/>
      <w:bookmarkStart w:id="41" w:name="_Toc6890"/>
      <w:bookmarkStart w:id="42" w:name="_Toc1846"/>
    </w:p>
    <w:bookmarkEnd w:id="40"/>
    <w:bookmarkEnd w:id="41"/>
    <w:bookmarkEnd w:id="42"/>
    <w:p>
      <w:pPr>
        <w:spacing w:afterLines="250" w:line="360" w:lineRule="exact"/>
        <w:ind w:firstLine="640" w:firstLineChars="200"/>
        <w:jc w:val="center"/>
        <w:rPr>
          <w:rFonts w:hint="eastAsia" w:ascii="Times New Roman" w:hAnsi="Times New Roman" w:eastAsia="黑体" w:cs="黑体"/>
          <w:color w:val="000000"/>
          <w:sz w:val="32"/>
          <w:szCs w:val="32"/>
        </w:rPr>
      </w:pPr>
      <w:r>
        <w:rPr>
          <w:rFonts w:hint="eastAsia" w:ascii="Times New Roman" w:hAnsi="Times New Roman" w:eastAsia="黑体" w:cs="黑体"/>
          <w:color w:val="000000"/>
          <w:sz w:val="32"/>
          <w:szCs w:val="32"/>
          <w:lang w:val="en-US" w:eastAsia="zh-CN"/>
        </w:rPr>
        <w:t>玻璃</w:t>
      </w:r>
      <w:r>
        <w:rPr>
          <w:rFonts w:hint="eastAsia" w:ascii="Times New Roman" w:hAnsi="Times New Roman" w:eastAsia="黑体" w:cs="黑体"/>
          <w:color w:val="000000"/>
          <w:sz w:val="32"/>
          <w:szCs w:val="32"/>
        </w:rPr>
        <w:t>温室建造技术与验收规范</w:t>
      </w:r>
    </w:p>
    <w:p>
      <w:pPr>
        <w:pStyle w:val="2"/>
        <w:spacing w:beforeLines="100" w:afterLines="100" w:line="240" w:lineRule="auto"/>
        <w:rPr>
          <w:rFonts w:ascii="Times New Roman" w:hAnsi="Times New Roman" w:eastAsia="黑体" w:cs="Times New Roman"/>
          <w:b w:val="0"/>
          <w:bCs w:val="0"/>
          <w:color w:val="000000"/>
          <w:sz w:val="21"/>
          <w:szCs w:val="21"/>
        </w:rPr>
      </w:pPr>
      <w:bookmarkStart w:id="43" w:name="_Toc15912"/>
      <w:bookmarkStart w:id="44" w:name="_Toc30225"/>
      <w:bookmarkStart w:id="45" w:name="_Toc5665"/>
      <w:bookmarkStart w:id="46" w:name="_Toc26225"/>
      <w:r>
        <w:rPr>
          <w:rFonts w:ascii="黑体" w:hAnsi="黑体" w:eastAsia="黑体" w:cs="黑体"/>
          <w:b w:val="0"/>
          <w:bCs w:val="0"/>
          <w:color w:val="000000"/>
          <w:sz w:val="21"/>
          <w:szCs w:val="21"/>
        </w:rPr>
        <w:t xml:space="preserve">1  </w:t>
      </w:r>
      <w:r>
        <w:rPr>
          <w:rFonts w:hint="eastAsia" w:ascii="Times New Roman" w:hAnsi="Times New Roman" w:eastAsia="黑体" w:cs="黑体"/>
          <w:b w:val="0"/>
          <w:bCs w:val="0"/>
          <w:color w:val="000000"/>
          <w:sz w:val="21"/>
          <w:szCs w:val="21"/>
        </w:rPr>
        <w:t>范围</w:t>
      </w:r>
      <w:bookmarkEnd w:id="43"/>
      <w:bookmarkEnd w:id="44"/>
      <w:bookmarkEnd w:id="45"/>
      <w:bookmarkEnd w:id="46"/>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rPr>
        <w:t>本标准规定了玻璃温室的</w:t>
      </w:r>
      <w:r>
        <w:rPr>
          <w:rFonts w:hint="eastAsia" w:ascii="Times New Roman" w:hAnsi="Times New Roman" w:cs="宋体"/>
          <w:color w:val="000000"/>
          <w:lang w:val="en-US" w:eastAsia="zh-CN"/>
        </w:rPr>
        <w:t>建造施工和验收要求。</w:t>
      </w:r>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本标准适用于安徽地区</w:t>
      </w:r>
      <w:r>
        <w:rPr>
          <w:rFonts w:hint="eastAsia" w:ascii="Times New Roman" w:hAnsi="Times New Roman" w:cs="宋体"/>
          <w:color w:val="000000"/>
          <w:lang w:val="en-US" w:eastAsia="zh-CN"/>
        </w:rPr>
        <w:t>农业生产</w:t>
      </w:r>
      <w:r>
        <w:rPr>
          <w:rFonts w:hint="eastAsia" w:ascii="Times New Roman" w:hAnsi="Times New Roman" w:cs="宋体"/>
          <w:color w:val="000000"/>
        </w:rPr>
        <w:t>玻璃温室</w:t>
      </w:r>
      <w:r>
        <w:rPr>
          <w:rFonts w:hint="eastAsia" w:ascii="Times New Roman" w:hAnsi="Times New Roman" w:cs="宋体"/>
          <w:color w:val="000000"/>
          <w:lang w:val="en-US" w:eastAsia="zh-CN"/>
        </w:rPr>
        <w:t>的建造和验收</w:t>
      </w:r>
      <w:r>
        <w:rPr>
          <w:rFonts w:hint="eastAsia" w:ascii="Times New Roman" w:hAnsi="Times New Roman" w:cs="宋体"/>
          <w:color w:val="000000"/>
        </w:rPr>
        <w:t>。</w:t>
      </w:r>
    </w:p>
    <w:p>
      <w:pPr>
        <w:pStyle w:val="2"/>
        <w:spacing w:beforeLines="100" w:afterLines="100" w:line="240" w:lineRule="auto"/>
        <w:rPr>
          <w:rFonts w:ascii="Times New Roman" w:hAnsi="Times New Roman" w:eastAsia="黑体" w:cs="Times New Roman"/>
          <w:b w:val="0"/>
          <w:bCs w:val="0"/>
          <w:color w:val="000000"/>
          <w:sz w:val="21"/>
          <w:szCs w:val="21"/>
        </w:rPr>
      </w:pPr>
      <w:bookmarkStart w:id="47" w:name="_Toc22696"/>
      <w:bookmarkStart w:id="48" w:name="_Toc18200"/>
      <w:bookmarkStart w:id="49" w:name="_Toc10140"/>
      <w:bookmarkStart w:id="50" w:name="_Toc11573"/>
      <w:r>
        <w:rPr>
          <w:rFonts w:ascii="黑体" w:hAnsi="黑体" w:eastAsia="黑体" w:cs="黑体"/>
          <w:b w:val="0"/>
          <w:bCs w:val="0"/>
          <w:color w:val="000000"/>
          <w:sz w:val="21"/>
          <w:szCs w:val="21"/>
        </w:rPr>
        <w:t xml:space="preserve">2  </w:t>
      </w:r>
      <w:r>
        <w:rPr>
          <w:rFonts w:hint="eastAsia" w:ascii="Times New Roman" w:hAnsi="Times New Roman" w:eastAsia="黑体" w:cs="黑体"/>
          <w:b w:val="0"/>
          <w:bCs w:val="0"/>
          <w:color w:val="000000"/>
          <w:sz w:val="21"/>
          <w:szCs w:val="21"/>
        </w:rPr>
        <w:t>规范性引用文件</w:t>
      </w:r>
      <w:bookmarkEnd w:id="47"/>
      <w:bookmarkEnd w:id="48"/>
      <w:bookmarkEnd w:id="49"/>
      <w:bookmarkEnd w:id="50"/>
    </w:p>
    <w:p>
      <w:pPr>
        <w:spacing w:line="360" w:lineRule="auto"/>
        <w:ind w:firstLine="420" w:firstLineChars="200"/>
        <w:rPr>
          <w:rFonts w:hint="eastAsia" w:ascii="Times New Roman" w:hAnsi="Times New Roman" w:cs="宋体"/>
          <w:color w:val="000000"/>
        </w:rPr>
      </w:pPr>
      <w:r>
        <w:rPr>
          <w:rFonts w:hint="eastAsia" w:ascii="Times New Roman" w:hAnsi="Times New Roman" w:cs="宋体"/>
          <w:color w:val="000000"/>
        </w:rPr>
        <w:t>下列文件对于本文件的应用是必不可少的。凡是注日期的引用文件，仅所注日期的版本适用于本文件。凡是不注日期的引用文件，其最新版本（包括所有的修改单）适用于本标准。</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 11614    </w:t>
      </w:r>
      <w:r>
        <w:rPr>
          <w:rFonts w:hint="eastAsia" w:ascii="宋体" w:hAnsi="宋体" w:cs="宋体"/>
          <w:color w:val="000000"/>
          <w:lang w:val="en-US" w:eastAsia="zh-CN"/>
        </w:rPr>
        <w:t xml:space="preserve"> 平板</w:t>
      </w:r>
      <w:r>
        <w:rPr>
          <w:rFonts w:hint="eastAsia" w:ascii="宋体" w:hAnsi="宋体" w:cs="宋体"/>
          <w:color w:val="000000"/>
        </w:rPr>
        <w:t>玻璃</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 </w:t>
      </w:r>
      <w:r>
        <w:rPr>
          <w:rFonts w:hint="eastAsia" w:ascii="宋体" w:hAnsi="宋体" w:cs="宋体"/>
          <w:color w:val="000000"/>
          <w:lang w:val="en-US" w:eastAsia="zh-CN"/>
        </w:rPr>
        <w:t>15763</w:t>
      </w:r>
      <w:r>
        <w:rPr>
          <w:rFonts w:hint="eastAsia" w:ascii="宋体" w:hAnsi="宋体" w:cs="宋体"/>
          <w:color w:val="000000"/>
        </w:rPr>
        <w:t xml:space="preserve">    </w:t>
      </w:r>
      <w:r>
        <w:rPr>
          <w:rFonts w:hint="eastAsia" w:ascii="宋体" w:hAnsi="宋体" w:cs="宋体"/>
          <w:color w:val="000000"/>
          <w:lang w:val="en-US" w:eastAsia="zh-CN"/>
        </w:rPr>
        <w:t xml:space="preserve"> 钢化</w:t>
      </w:r>
      <w:r>
        <w:rPr>
          <w:rFonts w:hint="eastAsia" w:ascii="宋体" w:hAnsi="宋体" w:cs="宋体"/>
          <w:color w:val="000000"/>
        </w:rPr>
        <w:t>玻璃</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 50018    </w:t>
      </w:r>
      <w:r>
        <w:rPr>
          <w:rFonts w:hint="eastAsia" w:ascii="宋体" w:hAnsi="宋体" w:cs="宋体"/>
          <w:color w:val="000000"/>
          <w:lang w:val="en-US" w:eastAsia="zh-CN"/>
        </w:rPr>
        <w:t xml:space="preserve"> </w:t>
      </w:r>
      <w:r>
        <w:rPr>
          <w:rFonts w:hint="eastAsia" w:ascii="宋体" w:hAnsi="宋体" w:cs="宋体"/>
          <w:color w:val="000000"/>
        </w:rPr>
        <w:t>冷弯薄壁型钢结构技术规范</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GB/T 700   </w:t>
      </w:r>
      <w:r>
        <w:rPr>
          <w:rFonts w:hint="eastAsia" w:ascii="宋体" w:hAnsi="宋体" w:cs="宋体"/>
          <w:color w:val="000000"/>
          <w:lang w:val="en-US" w:eastAsia="zh-CN"/>
        </w:rPr>
        <w:t xml:space="preserve"> </w:t>
      </w:r>
      <w:r>
        <w:rPr>
          <w:rFonts w:hint="eastAsia" w:ascii="宋体" w:hAnsi="宋体" w:cs="宋体"/>
          <w:color w:val="000000"/>
        </w:rPr>
        <w:t xml:space="preserve"> 碳素结构钢</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GB/T 1804   </w:t>
      </w:r>
      <w:r>
        <w:rPr>
          <w:rFonts w:hint="eastAsia" w:ascii="宋体" w:hAnsi="宋体" w:cs="宋体"/>
          <w:color w:val="000000"/>
          <w:lang w:val="en-US" w:eastAsia="zh-CN"/>
        </w:rPr>
        <w:t xml:space="preserve"> </w:t>
      </w:r>
      <w:r>
        <w:rPr>
          <w:rFonts w:hint="eastAsia" w:ascii="宋体" w:hAnsi="宋体" w:cs="宋体"/>
          <w:color w:val="000000"/>
        </w:rPr>
        <w:t>一般公差 未注公差的线性和角度尺寸的公差</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GB/T 2518  </w:t>
      </w:r>
      <w:r>
        <w:rPr>
          <w:rFonts w:hint="eastAsia" w:ascii="宋体" w:hAnsi="宋体" w:cs="宋体"/>
          <w:color w:val="000000"/>
          <w:lang w:val="en-US" w:eastAsia="zh-CN"/>
        </w:rPr>
        <w:t xml:space="preserve"> </w:t>
      </w:r>
      <w:r>
        <w:rPr>
          <w:rFonts w:hint="eastAsia" w:ascii="宋体" w:hAnsi="宋体" w:cs="宋体"/>
          <w:color w:val="000000"/>
        </w:rPr>
        <w:t xml:space="preserve"> 连续热浸镀锌钢板及钢带</w:t>
      </w:r>
    </w:p>
    <w:p>
      <w:pPr>
        <w:spacing w:line="360" w:lineRule="auto"/>
        <w:ind w:firstLine="420" w:firstLineChars="200"/>
        <w:rPr>
          <w:rFonts w:hint="eastAsia" w:ascii="宋体" w:hAnsi="宋体" w:cs="宋体"/>
          <w:color w:val="000000"/>
        </w:rPr>
      </w:pPr>
      <w:r>
        <w:rPr>
          <w:rFonts w:hint="eastAsia" w:ascii="宋体" w:hAnsi="宋体" w:cs="宋体"/>
          <w:color w:val="000000"/>
        </w:rPr>
        <w:t xml:space="preserve">GB/T 4956  </w:t>
      </w:r>
      <w:r>
        <w:rPr>
          <w:rFonts w:hint="eastAsia" w:ascii="宋体" w:hAnsi="宋体" w:cs="宋体"/>
          <w:color w:val="000000"/>
          <w:lang w:val="en-US" w:eastAsia="zh-CN"/>
        </w:rPr>
        <w:t xml:space="preserve"> </w:t>
      </w:r>
      <w:r>
        <w:rPr>
          <w:rFonts w:hint="eastAsia" w:ascii="宋体" w:hAnsi="宋体" w:cs="宋体"/>
          <w:color w:val="000000"/>
        </w:rPr>
        <w:t xml:space="preserve"> 磁性基体上非磁性覆盖层 覆盖层厚度测量 磁性法</w:t>
      </w:r>
    </w:p>
    <w:p>
      <w:pPr>
        <w:spacing w:line="360" w:lineRule="auto"/>
        <w:ind w:firstLine="420" w:firstLineChars="200"/>
        <w:rPr>
          <w:rFonts w:hint="eastAsia" w:ascii="宋体" w:hAnsi="宋体" w:cs="宋体"/>
          <w:color w:val="000000"/>
        </w:rPr>
      </w:pPr>
      <w:r>
        <w:rPr>
          <w:rFonts w:hint="eastAsia" w:ascii="宋体" w:hAnsi="宋体" w:cs="宋体"/>
          <w:color w:val="000000"/>
        </w:rPr>
        <w:t>GB/T 5237.1</w:t>
      </w:r>
      <w:r>
        <w:rPr>
          <w:rFonts w:hint="eastAsia" w:ascii="宋体" w:hAnsi="宋体" w:cs="宋体"/>
          <w:color w:val="000000"/>
          <w:lang w:val="en-US" w:eastAsia="zh-CN"/>
        </w:rPr>
        <w:t xml:space="preserve"> </w:t>
      </w:r>
      <w:r>
        <w:rPr>
          <w:rFonts w:hint="eastAsia" w:ascii="宋体" w:hAnsi="宋体" w:cs="宋体"/>
          <w:color w:val="000000"/>
        </w:rPr>
        <w:t xml:space="preserve"> 铝合金建筑型材 第1部分：基材</w:t>
      </w:r>
    </w:p>
    <w:p>
      <w:pPr>
        <w:spacing w:line="360" w:lineRule="auto"/>
        <w:ind w:firstLine="420" w:firstLineChars="200"/>
        <w:rPr>
          <w:rFonts w:hint="eastAsia" w:ascii="宋体" w:hAnsi="宋体" w:cs="宋体"/>
          <w:color w:val="000000"/>
        </w:rPr>
      </w:pPr>
      <w:r>
        <w:rPr>
          <w:rFonts w:hint="eastAsia" w:ascii="宋体" w:hAnsi="宋体" w:cs="宋体"/>
          <w:color w:val="000000"/>
        </w:rPr>
        <w:t>GB/T 5267.3  紧固件 热浸镀锌层</w:t>
      </w:r>
    </w:p>
    <w:p>
      <w:pPr>
        <w:spacing w:line="360" w:lineRule="auto"/>
        <w:ind w:firstLine="420" w:firstLineChars="200"/>
        <w:rPr>
          <w:rFonts w:hint="eastAsia" w:ascii="宋体" w:hAnsi="宋体" w:cs="宋体"/>
          <w:color w:val="000000"/>
        </w:rPr>
      </w:pPr>
      <w:r>
        <w:rPr>
          <w:rFonts w:hint="eastAsia" w:ascii="宋体" w:hAnsi="宋体" w:cs="宋体"/>
          <w:color w:val="000000"/>
        </w:rPr>
        <w:t>GB/T 6725    冷弯型钢通用技术要求</w:t>
      </w:r>
    </w:p>
    <w:p>
      <w:pPr>
        <w:spacing w:line="360" w:lineRule="auto"/>
        <w:ind w:firstLine="420" w:firstLineChars="200"/>
        <w:rPr>
          <w:rFonts w:hint="eastAsia" w:ascii="宋体" w:hAnsi="宋体" w:cs="宋体"/>
          <w:color w:val="000000"/>
        </w:rPr>
      </w:pPr>
      <w:r>
        <w:rPr>
          <w:rFonts w:hint="eastAsia" w:ascii="宋体" w:hAnsi="宋体" w:cs="宋体"/>
          <w:color w:val="000000"/>
        </w:rPr>
        <w:t>GB/T 6728    结构用冷弯空心型钢</w:t>
      </w:r>
    </w:p>
    <w:p>
      <w:pPr>
        <w:spacing w:line="360" w:lineRule="auto"/>
        <w:ind w:firstLine="420" w:firstLineChars="200"/>
        <w:rPr>
          <w:rFonts w:hint="eastAsia" w:ascii="宋体" w:hAnsi="宋体" w:cs="宋体"/>
          <w:color w:val="000000"/>
        </w:rPr>
      </w:pPr>
      <w:r>
        <w:rPr>
          <w:rFonts w:hint="eastAsia" w:ascii="宋体" w:hAnsi="宋体" w:cs="宋体"/>
          <w:color w:val="000000"/>
        </w:rPr>
        <w:t>GB/T 8480    推拉铝合金门</w:t>
      </w:r>
    </w:p>
    <w:p>
      <w:pPr>
        <w:spacing w:line="360" w:lineRule="auto"/>
        <w:ind w:firstLine="420" w:firstLineChars="200"/>
        <w:rPr>
          <w:rFonts w:hint="eastAsia" w:ascii="宋体" w:hAnsi="宋体" w:cs="宋体"/>
          <w:color w:val="000000"/>
        </w:rPr>
      </w:pPr>
      <w:r>
        <w:rPr>
          <w:rFonts w:hint="eastAsia" w:ascii="宋体" w:hAnsi="宋体" w:cs="宋体"/>
          <w:color w:val="000000"/>
        </w:rPr>
        <w:t>GB/T 13793   直缝电焊钢管</w:t>
      </w:r>
    </w:p>
    <w:p>
      <w:pPr>
        <w:spacing w:line="360" w:lineRule="auto"/>
        <w:ind w:firstLine="420" w:firstLineChars="200"/>
        <w:rPr>
          <w:rFonts w:hint="eastAsia" w:ascii="宋体" w:hAnsi="宋体" w:cs="宋体"/>
          <w:color w:val="000000"/>
        </w:rPr>
      </w:pPr>
      <w:r>
        <w:rPr>
          <w:rFonts w:hint="eastAsia" w:ascii="宋体" w:hAnsi="宋体" w:cs="宋体"/>
          <w:color w:val="000000"/>
        </w:rPr>
        <w:t>GB/T 13912   金属覆盖层 钢铁制件热浸镀锌层 技术要求及试验方法</w:t>
      </w:r>
    </w:p>
    <w:p>
      <w:pPr>
        <w:spacing w:line="360" w:lineRule="auto"/>
        <w:ind w:firstLine="420" w:firstLineChars="200"/>
        <w:rPr>
          <w:rFonts w:hint="eastAsia" w:ascii="宋体" w:hAnsi="宋体" w:cs="宋体"/>
          <w:color w:val="000000"/>
        </w:rPr>
      </w:pPr>
      <w:r>
        <w:rPr>
          <w:rFonts w:hint="eastAsia" w:ascii="宋体" w:hAnsi="宋体" w:cs="宋体"/>
          <w:color w:val="000000"/>
        </w:rPr>
        <w:t>GB/T 18621   温室通风降温设计规范</w:t>
      </w:r>
    </w:p>
    <w:p>
      <w:pPr>
        <w:spacing w:line="360" w:lineRule="auto"/>
        <w:ind w:firstLine="420" w:firstLineChars="200"/>
        <w:rPr>
          <w:rFonts w:hint="eastAsia" w:ascii="宋体" w:hAnsi="宋体" w:cs="宋体"/>
          <w:color w:val="000000"/>
        </w:rPr>
      </w:pPr>
      <w:r>
        <w:rPr>
          <w:rFonts w:hint="eastAsia" w:ascii="宋体" w:hAnsi="宋体" w:cs="宋体"/>
          <w:color w:val="000000"/>
        </w:rPr>
        <w:t>GB/T 19418   钢的弧焊接头 缺陷质量分级指南</w:t>
      </w:r>
    </w:p>
    <w:p>
      <w:pPr>
        <w:spacing w:line="360" w:lineRule="auto"/>
        <w:ind w:firstLine="420" w:firstLineChars="200"/>
        <w:rPr>
          <w:rFonts w:hint="eastAsia" w:ascii="宋体" w:hAnsi="宋体" w:eastAsia="宋体" w:cs="宋体"/>
          <w:color w:val="000000"/>
          <w:lang w:val="en-US" w:eastAsia="zh-CN"/>
        </w:rPr>
      </w:pPr>
      <w:r>
        <w:rPr>
          <w:rFonts w:hint="eastAsia" w:ascii="宋体" w:hAnsi="宋体" w:cs="宋体"/>
          <w:color w:val="000000"/>
          <w:lang w:val="en-US" w:eastAsia="zh-CN"/>
        </w:rPr>
        <w:t>GB/T 23393   设施园艺工程术语</w:t>
      </w:r>
    </w:p>
    <w:p>
      <w:pPr>
        <w:spacing w:line="360" w:lineRule="auto"/>
        <w:ind w:firstLine="420" w:firstLineChars="200"/>
        <w:rPr>
          <w:rFonts w:hint="eastAsia" w:ascii="宋体" w:hAnsi="宋体" w:cs="宋体"/>
          <w:color w:val="000000"/>
          <w:lang w:val="en-US" w:eastAsia="zh-CN"/>
        </w:rPr>
      </w:pPr>
      <w:r>
        <w:rPr>
          <w:rFonts w:hint="eastAsia" w:ascii="宋体" w:hAnsi="宋体" w:cs="宋体"/>
          <w:color w:val="000000"/>
          <w:lang w:val="en-US" w:eastAsia="zh-CN"/>
        </w:rPr>
        <w:t>GB/T 51183   农业温室结构荷载规范</w:t>
      </w:r>
    </w:p>
    <w:p>
      <w:pPr>
        <w:spacing w:line="360" w:lineRule="auto"/>
        <w:ind w:firstLine="420" w:firstLineChars="200"/>
        <w:rPr>
          <w:rFonts w:hint="eastAsia" w:ascii="宋体" w:hAnsi="宋体" w:eastAsia="宋体" w:cs="宋体"/>
          <w:color w:val="000000"/>
          <w:lang w:val="en-US" w:eastAsia="zh-CN"/>
        </w:rPr>
      </w:pPr>
      <w:r>
        <w:rPr>
          <w:rFonts w:hint="eastAsia" w:ascii="宋体" w:hAnsi="宋体" w:cs="宋体"/>
          <w:color w:val="000000"/>
          <w:lang w:val="en-US" w:eastAsia="zh-CN"/>
        </w:rPr>
        <w:t>GB/T 51424   农业温室结构设计标准</w:t>
      </w:r>
    </w:p>
    <w:p>
      <w:pPr>
        <w:spacing w:line="360" w:lineRule="auto"/>
        <w:ind w:firstLine="420" w:firstLineChars="200"/>
        <w:rPr>
          <w:rFonts w:hint="eastAsia" w:ascii="宋体" w:hAnsi="宋体" w:cs="宋体"/>
          <w:color w:val="000000"/>
        </w:rPr>
      </w:pPr>
      <w:r>
        <w:rPr>
          <w:rFonts w:hint="eastAsia" w:ascii="宋体" w:hAnsi="宋体" w:cs="宋体"/>
          <w:color w:val="000000"/>
        </w:rPr>
        <w:t>NY/T 1145    温室地基基础设计、施工与验收技术规范</w:t>
      </w:r>
    </w:p>
    <w:p>
      <w:pPr>
        <w:spacing w:line="360" w:lineRule="auto"/>
        <w:ind w:firstLine="420" w:firstLineChars="200"/>
        <w:rPr>
          <w:rFonts w:hint="eastAsia" w:ascii="Times New Roman" w:hAnsi="Times New Roman" w:cs="宋体"/>
          <w:color w:val="000000"/>
        </w:rPr>
      </w:pPr>
      <w:r>
        <w:rPr>
          <w:rFonts w:hint="eastAsia" w:ascii="宋体" w:hAnsi="宋体" w:cs="宋体"/>
          <w:color w:val="000000"/>
        </w:rPr>
        <w:t xml:space="preserve">NY/T 1966 </w:t>
      </w:r>
      <w:r>
        <w:rPr>
          <w:rFonts w:hint="eastAsia" w:ascii="Times New Roman" w:hAnsi="Times New Roman" w:cs="宋体"/>
          <w:color w:val="000000"/>
        </w:rPr>
        <w:t xml:space="preserve">   温室覆盖材料安装与验收规范</w:t>
      </w:r>
    </w:p>
    <w:p>
      <w:pPr>
        <w:pStyle w:val="2"/>
        <w:spacing w:beforeLines="100" w:afterLines="100" w:line="240" w:lineRule="auto"/>
        <w:rPr>
          <w:rFonts w:ascii="Times New Roman" w:hAnsi="Times New Roman" w:eastAsia="黑体" w:cs="Times New Roman"/>
          <w:b w:val="0"/>
          <w:bCs w:val="0"/>
          <w:color w:val="000000"/>
          <w:sz w:val="21"/>
          <w:szCs w:val="21"/>
        </w:rPr>
      </w:pPr>
      <w:bookmarkStart w:id="51" w:name="_Toc23278"/>
      <w:bookmarkStart w:id="52" w:name="_Toc27050"/>
      <w:bookmarkStart w:id="53" w:name="_Toc29423"/>
      <w:bookmarkStart w:id="54" w:name="_Toc17646"/>
      <w:r>
        <w:rPr>
          <w:rFonts w:ascii="黑体" w:hAnsi="黑体" w:eastAsia="黑体" w:cs="黑体"/>
          <w:b w:val="0"/>
          <w:bCs w:val="0"/>
          <w:color w:val="000000"/>
          <w:sz w:val="21"/>
          <w:szCs w:val="21"/>
        </w:rPr>
        <w:t xml:space="preserve">3  </w:t>
      </w:r>
      <w:r>
        <w:rPr>
          <w:rFonts w:hint="eastAsia" w:ascii="Times New Roman" w:hAnsi="Times New Roman" w:eastAsia="黑体" w:cs="黑体"/>
          <w:b w:val="0"/>
          <w:bCs w:val="0"/>
          <w:color w:val="000000"/>
          <w:sz w:val="21"/>
          <w:szCs w:val="21"/>
        </w:rPr>
        <w:t>术语和定义</w:t>
      </w:r>
      <w:bookmarkEnd w:id="51"/>
      <w:bookmarkEnd w:id="52"/>
      <w:bookmarkEnd w:id="53"/>
      <w:bookmarkEnd w:id="54"/>
    </w:p>
    <w:p>
      <w:pPr>
        <w:pStyle w:val="41"/>
        <w:ind w:firstLine="31680"/>
        <w:rPr>
          <w:rFonts w:hint="eastAsia" w:ascii="宋体" w:hAnsi="宋体" w:eastAsia="宋体" w:cs="宋体"/>
          <w:color w:val="auto"/>
          <w:kern w:val="0"/>
          <w:szCs w:val="21"/>
        </w:rPr>
      </w:pPr>
      <w:r>
        <w:rPr>
          <w:rFonts w:hint="eastAsia" w:ascii="宋体" w:hAnsi="宋体" w:eastAsia="宋体" w:cs="宋体"/>
          <w:color w:val="auto"/>
          <w:kern w:val="0"/>
          <w:szCs w:val="21"/>
        </w:rPr>
        <w:t>下列术语和定义适用于本文件。</w:t>
      </w:r>
    </w:p>
    <w:p>
      <w:pPr>
        <w:pStyle w:val="45"/>
        <w:spacing w:beforeLines="0" w:afterLines="0" w:line="360" w:lineRule="auto"/>
        <w:ind w:firstLine="420" w:firstLineChars="200"/>
        <w:rPr>
          <w:rFonts w:hint="default" w:hAnsi="黑体"/>
          <w:color w:val="000000"/>
          <w:kern w:val="44"/>
          <w:lang w:val="en-US" w:eastAsia="zh-CN"/>
        </w:rPr>
      </w:pPr>
      <w:bookmarkStart w:id="55" w:name="_Toc9773"/>
      <w:bookmarkStart w:id="56" w:name="_Toc2111"/>
      <w:r>
        <w:rPr>
          <w:rFonts w:hint="eastAsia" w:hAnsi="黑体"/>
          <w:color w:val="000000"/>
          <w:kern w:val="44"/>
          <w:lang w:val="en-US" w:eastAsia="zh-CN"/>
        </w:rPr>
        <w:t xml:space="preserve">3.1 </w:t>
      </w:r>
      <w:r>
        <w:rPr>
          <w:rFonts w:hint="default" w:hAnsi="黑体"/>
          <w:color w:val="000000"/>
          <w:kern w:val="44"/>
          <w:lang w:val="en-US" w:eastAsia="zh-CN"/>
        </w:rPr>
        <w:t>玻璃温室</w:t>
      </w:r>
      <w:bookmarkEnd w:id="55"/>
      <w:bookmarkEnd w:id="56"/>
    </w:p>
    <w:p>
      <w:pPr>
        <w:pStyle w:val="41"/>
        <w:spacing w:line="360" w:lineRule="auto"/>
        <w:ind w:firstLine="31680"/>
        <w:rPr>
          <w:rFonts w:hint="eastAsia" w:hAnsi="宋体" w:eastAsia="宋体"/>
          <w:color w:val="000000"/>
          <w:lang w:eastAsia="zh-CN"/>
        </w:rPr>
      </w:pPr>
      <w:r>
        <w:rPr>
          <w:rFonts w:hint="eastAsia" w:hAnsi="宋体" w:eastAsia="宋体"/>
          <w:color w:val="000000"/>
          <w:lang w:val="en-US" w:eastAsia="zh-CN"/>
        </w:rPr>
        <w:t>全部屋面和部分或全部围护结构用玻璃覆盖</w:t>
      </w:r>
      <w:r>
        <w:rPr>
          <w:rFonts w:hint="default" w:hAnsi="宋体" w:eastAsia="宋体"/>
          <w:color w:val="000000"/>
          <w:lang w:val="en-US" w:eastAsia="zh-CN"/>
        </w:rPr>
        <w:t>，两跨</w:t>
      </w:r>
      <w:r>
        <w:rPr>
          <w:rFonts w:hint="eastAsia" w:hAnsi="宋体" w:eastAsia="宋体"/>
          <w:color w:val="000000"/>
          <w:lang w:val="en-US" w:eastAsia="zh-CN"/>
        </w:rPr>
        <w:t>及两跨以上</w:t>
      </w:r>
      <w:r>
        <w:rPr>
          <w:rFonts w:hint="default" w:hAnsi="宋体" w:eastAsia="宋体"/>
          <w:color w:val="000000"/>
          <w:lang w:val="en-US" w:eastAsia="zh-CN"/>
        </w:rPr>
        <w:t>通过天沟连接，具备采光、通风等功能的温室建筑</w:t>
      </w:r>
      <w:r>
        <w:rPr>
          <w:rFonts w:hint="eastAsia" w:hAnsi="宋体" w:eastAsia="宋体"/>
          <w:color w:val="000000"/>
          <w:lang w:val="en-US" w:eastAsia="zh-CN"/>
        </w:rPr>
        <w:t>，适合于机械化设施农业生产的组织和管理。</w:t>
      </w:r>
    </w:p>
    <w:p>
      <w:pPr>
        <w:pStyle w:val="45"/>
        <w:spacing w:beforeLines="0" w:afterLines="0" w:line="360" w:lineRule="auto"/>
        <w:ind w:firstLine="420" w:firstLineChars="200"/>
        <w:rPr>
          <w:rFonts w:hint="default" w:hAnsi="黑体"/>
          <w:color w:val="000000"/>
          <w:kern w:val="44"/>
          <w:lang w:val="en-US" w:eastAsia="zh-CN"/>
        </w:rPr>
      </w:pPr>
      <w:bookmarkStart w:id="57" w:name="_Toc14363"/>
      <w:bookmarkStart w:id="58" w:name="_Toc20472"/>
      <w:r>
        <w:rPr>
          <w:rFonts w:hint="eastAsia" w:hAnsi="黑体"/>
          <w:color w:val="000000"/>
          <w:kern w:val="44"/>
          <w:lang w:val="en-US" w:eastAsia="zh-CN"/>
        </w:rPr>
        <w:t>3</w:t>
      </w:r>
      <w:r>
        <w:rPr>
          <w:rFonts w:hint="default" w:hAnsi="黑体"/>
          <w:color w:val="000000"/>
          <w:kern w:val="44"/>
          <w:lang w:val="en-US" w:eastAsia="zh-CN"/>
        </w:rPr>
        <w:t>.2 温室骨架</w:t>
      </w:r>
      <w:bookmarkEnd w:id="57"/>
      <w:bookmarkEnd w:id="58"/>
    </w:p>
    <w:p>
      <w:pPr>
        <w:pStyle w:val="41"/>
        <w:spacing w:line="360" w:lineRule="auto"/>
        <w:ind w:firstLine="31680"/>
        <w:rPr>
          <w:rFonts w:hint="default" w:hAnsi="宋体" w:eastAsia="宋体"/>
          <w:color w:val="000000"/>
        </w:rPr>
      </w:pPr>
      <w:r>
        <w:rPr>
          <w:rFonts w:hint="default" w:hAnsi="宋体" w:eastAsia="宋体"/>
          <w:color w:val="000000"/>
          <w:lang w:val="en-US" w:eastAsia="zh-CN"/>
        </w:rPr>
        <w:t>支撑玻璃温室屋面、墙体及承受各类荷载的结构体系，包括立柱、</w:t>
      </w:r>
      <w:r>
        <w:rPr>
          <w:rFonts w:hint="eastAsia" w:hAnsi="宋体" w:eastAsia="宋体"/>
          <w:color w:val="000000"/>
          <w:lang w:val="en-US" w:eastAsia="zh-CN"/>
        </w:rPr>
        <w:t>桁架</w:t>
      </w:r>
      <w:r>
        <w:rPr>
          <w:rFonts w:hint="default" w:hAnsi="宋体" w:eastAsia="宋体"/>
          <w:color w:val="000000"/>
          <w:lang w:val="en-US" w:eastAsia="zh-CN"/>
        </w:rPr>
        <w:t>、天沟、支撑</w:t>
      </w:r>
      <w:r>
        <w:rPr>
          <w:rFonts w:hint="eastAsia" w:hAnsi="宋体" w:eastAsia="宋体"/>
          <w:color w:val="000000"/>
          <w:lang w:val="en-US" w:eastAsia="zh-CN"/>
        </w:rPr>
        <w:t>、檩条</w:t>
      </w:r>
      <w:r>
        <w:rPr>
          <w:rFonts w:hint="default" w:hAnsi="宋体" w:eastAsia="宋体"/>
          <w:color w:val="000000"/>
          <w:lang w:val="en-US" w:eastAsia="zh-CN"/>
        </w:rPr>
        <w:t>等构件。</w:t>
      </w:r>
    </w:p>
    <w:p>
      <w:pPr>
        <w:pStyle w:val="45"/>
        <w:spacing w:beforeLines="0" w:afterLines="0" w:line="360" w:lineRule="auto"/>
        <w:ind w:firstLine="420" w:firstLineChars="200"/>
        <w:rPr>
          <w:rFonts w:hint="default" w:hAnsi="黑体"/>
          <w:color w:val="000000"/>
          <w:kern w:val="44"/>
          <w:lang w:val="en-US" w:eastAsia="zh-CN"/>
        </w:rPr>
      </w:pPr>
      <w:bookmarkStart w:id="59" w:name="_Toc20349"/>
      <w:bookmarkStart w:id="60" w:name="_Toc30987"/>
      <w:r>
        <w:rPr>
          <w:rFonts w:hint="eastAsia" w:hAnsi="黑体"/>
          <w:color w:val="000000"/>
          <w:kern w:val="44"/>
          <w:lang w:val="en-US" w:eastAsia="zh-CN"/>
        </w:rPr>
        <w:t>3</w:t>
      </w:r>
      <w:r>
        <w:rPr>
          <w:rFonts w:hint="default" w:hAnsi="黑体"/>
          <w:color w:val="000000"/>
          <w:kern w:val="44"/>
          <w:lang w:val="en-US" w:eastAsia="zh-CN"/>
        </w:rPr>
        <w:t>.3 跨度</w:t>
      </w:r>
      <w:bookmarkEnd w:id="59"/>
      <w:bookmarkEnd w:id="60"/>
    </w:p>
    <w:p>
      <w:pPr>
        <w:pStyle w:val="41"/>
        <w:spacing w:line="360" w:lineRule="auto"/>
        <w:ind w:firstLine="31680"/>
        <w:rPr>
          <w:rFonts w:hint="default" w:hAnsi="宋体" w:eastAsia="宋体"/>
          <w:color w:val="000000"/>
        </w:rPr>
      </w:pPr>
      <w:r>
        <w:rPr>
          <w:rFonts w:hint="default" w:hAnsi="宋体" w:eastAsia="宋体"/>
          <w:color w:val="000000"/>
          <w:lang w:val="en-US" w:eastAsia="zh-CN"/>
        </w:rPr>
        <w:t>垂直于温室屋脊方向，相邻两立柱轴线之间的水平距离。</w:t>
      </w:r>
    </w:p>
    <w:p>
      <w:pPr>
        <w:pStyle w:val="45"/>
        <w:spacing w:beforeLines="0" w:afterLines="0" w:line="360" w:lineRule="auto"/>
        <w:ind w:firstLine="420" w:firstLineChars="200"/>
        <w:rPr>
          <w:rFonts w:hint="default" w:hAnsi="黑体"/>
          <w:color w:val="000000"/>
          <w:kern w:val="44"/>
          <w:lang w:val="en-US" w:eastAsia="zh-CN"/>
        </w:rPr>
      </w:pPr>
      <w:bookmarkStart w:id="61" w:name="_Toc26950"/>
      <w:bookmarkStart w:id="62" w:name="_Toc5898"/>
      <w:r>
        <w:rPr>
          <w:rFonts w:hint="eastAsia" w:hAnsi="黑体"/>
          <w:color w:val="000000"/>
          <w:kern w:val="44"/>
          <w:lang w:val="en-US" w:eastAsia="zh-CN"/>
        </w:rPr>
        <w:t>3</w:t>
      </w:r>
      <w:r>
        <w:rPr>
          <w:rFonts w:hint="default" w:hAnsi="黑体"/>
          <w:color w:val="000000"/>
          <w:kern w:val="44"/>
          <w:lang w:val="en-US" w:eastAsia="zh-CN"/>
        </w:rPr>
        <w:t>.4 开间</w:t>
      </w:r>
      <w:bookmarkEnd w:id="61"/>
      <w:bookmarkEnd w:id="62"/>
    </w:p>
    <w:p>
      <w:pPr>
        <w:pStyle w:val="41"/>
        <w:spacing w:line="360" w:lineRule="auto"/>
        <w:ind w:firstLine="31680"/>
        <w:rPr>
          <w:rFonts w:hint="default" w:hAnsi="宋体" w:eastAsia="宋体"/>
          <w:color w:val="000000"/>
        </w:rPr>
      </w:pPr>
      <w:r>
        <w:rPr>
          <w:rFonts w:hint="default" w:hAnsi="宋体" w:eastAsia="宋体"/>
          <w:color w:val="000000"/>
          <w:lang w:val="en-US" w:eastAsia="zh-CN"/>
        </w:rPr>
        <w:t>沿温室屋脊方向，相邻两立柱轴线之间的水平距离。</w:t>
      </w:r>
    </w:p>
    <w:p>
      <w:pPr>
        <w:pStyle w:val="45"/>
        <w:spacing w:beforeLines="0" w:afterLines="0" w:line="360" w:lineRule="auto"/>
        <w:ind w:firstLine="420" w:firstLineChars="200"/>
        <w:rPr>
          <w:rFonts w:hint="default" w:hAnsi="黑体"/>
          <w:color w:val="000000"/>
          <w:kern w:val="44"/>
          <w:lang w:val="en-US" w:eastAsia="zh-CN"/>
        </w:rPr>
      </w:pPr>
      <w:bookmarkStart w:id="63" w:name="_Toc26063"/>
      <w:bookmarkStart w:id="64" w:name="_Toc25495"/>
      <w:r>
        <w:rPr>
          <w:rFonts w:hint="eastAsia" w:hAnsi="黑体"/>
          <w:color w:val="000000"/>
          <w:kern w:val="44"/>
          <w:lang w:val="en-US" w:eastAsia="zh-CN"/>
        </w:rPr>
        <w:t>3</w:t>
      </w:r>
      <w:r>
        <w:rPr>
          <w:rFonts w:hint="default" w:hAnsi="黑体"/>
          <w:color w:val="000000"/>
          <w:kern w:val="44"/>
          <w:lang w:val="en-US" w:eastAsia="zh-CN"/>
        </w:rPr>
        <w:t>.5 天沟</w:t>
      </w:r>
      <w:bookmarkEnd w:id="63"/>
      <w:bookmarkEnd w:id="64"/>
    </w:p>
    <w:p>
      <w:pPr>
        <w:pStyle w:val="41"/>
        <w:spacing w:line="360" w:lineRule="auto"/>
        <w:ind w:firstLine="31680"/>
        <w:rPr>
          <w:rFonts w:hint="eastAsia" w:hAnsi="宋体" w:eastAsia="宋体"/>
          <w:color w:val="000000"/>
          <w:lang w:eastAsia="zh-CN"/>
        </w:rPr>
      </w:pPr>
      <w:r>
        <w:rPr>
          <w:rFonts w:hint="eastAsia" w:hAnsi="宋体" w:eastAsia="宋体"/>
          <w:color w:val="000000"/>
          <w:lang w:eastAsia="zh-CN"/>
        </w:rPr>
        <w:t>连接温室屋面，并起到排水作用的温室结构承重构件。</w:t>
      </w:r>
    </w:p>
    <w:p>
      <w:pPr>
        <w:pStyle w:val="45"/>
        <w:spacing w:beforeLines="0" w:afterLines="0" w:line="360" w:lineRule="auto"/>
        <w:ind w:firstLine="420" w:firstLineChars="200"/>
        <w:rPr>
          <w:rFonts w:hint="eastAsia" w:hAnsi="黑体"/>
          <w:color w:val="000000"/>
          <w:kern w:val="44"/>
          <w:lang w:val="en-US" w:eastAsia="zh-CN"/>
        </w:rPr>
      </w:pPr>
      <w:bookmarkStart w:id="65" w:name="_Toc5495"/>
      <w:bookmarkStart w:id="66" w:name="_Toc29630"/>
      <w:r>
        <w:rPr>
          <w:rFonts w:hint="eastAsia" w:hAnsi="黑体"/>
          <w:color w:val="000000"/>
          <w:kern w:val="44"/>
          <w:lang w:val="en-US" w:eastAsia="zh-CN"/>
        </w:rPr>
        <w:t>3.6 桁架</w:t>
      </w:r>
      <w:bookmarkEnd w:id="65"/>
      <w:bookmarkEnd w:id="66"/>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由杆件通过焊接、铆接或螺栓连接而成，用以支撑屋面并承受荷载的结构构件。</w:t>
      </w:r>
    </w:p>
    <w:p>
      <w:pPr>
        <w:pStyle w:val="45"/>
        <w:spacing w:beforeLines="0" w:afterLines="0" w:line="360" w:lineRule="auto"/>
        <w:ind w:firstLine="420" w:firstLineChars="200"/>
        <w:rPr>
          <w:rFonts w:hint="default" w:hAnsi="黑体"/>
          <w:color w:val="000000"/>
          <w:kern w:val="44"/>
          <w:lang w:val="en-US" w:eastAsia="zh-CN"/>
        </w:rPr>
      </w:pPr>
      <w:bookmarkStart w:id="67" w:name="_Toc26003"/>
      <w:bookmarkStart w:id="68" w:name="_Toc19940"/>
      <w:r>
        <w:rPr>
          <w:rFonts w:hint="eastAsia" w:hAnsi="黑体"/>
          <w:color w:val="000000"/>
          <w:kern w:val="44"/>
          <w:lang w:val="en-US" w:eastAsia="zh-CN"/>
        </w:rPr>
        <w:t>3</w:t>
      </w:r>
      <w:r>
        <w:rPr>
          <w:rFonts w:hint="default" w:hAnsi="黑体"/>
          <w:color w:val="000000"/>
          <w:kern w:val="44"/>
          <w:lang w:val="en-US" w:eastAsia="zh-CN"/>
        </w:rPr>
        <w:t>.</w:t>
      </w:r>
      <w:r>
        <w:rPr>
          <w:rFonts w:hint="eastAsia" w:hAnsi="黑体"/>
          <w:color w:val="000000"/>
          <w:kern w:val="44"/>
          <w:lang w:val="en-US" w:eastAsia="zh-CN"/>
        </w:rPr>
        <w:t>7</w:t>
      </w:r>
      <w:r>
        <w:rPr>
          <w:rFonts w:hint="default" w:hAnsi="黑体"/>
          <w:color w:val="000000"/>
          <w:kern w:val="44"/>
          <w:lang w:val="en-US" w:eastAsia="zh-CN"/>
        </w:rPr>
        <w:t xml:space="preserve"> 顶高</w:t>
      </w:r>
      <w:bookmarkEnd w:id="67"/>
      <w:bookmarkEnd w:id="68"/>
    </w:p>
    <w:p>
      <w:pPr>
        <w:pStyle w:val="41"/>
        <w:spacing w:line="360" w:lineRule="auto"/>
        <w:ind w:firstLine="31680"/>
        <w:rPr>
          <w:rFonts w:hint="default" w:hAnsi="宋体" w:eastAsia="宋体"/>
          <w:color w:val="000000"/>
        </w:rPr>
      </w:pPr>
      <w:r>
        <w:rPr>
          <w:rFonts w:hint="default" w:hAnsi="宋体" w:eastAsia="宋体"/>
          <w:color w:val="000000"/>
          <w:lang w:val="en-US" w:eastAsia="zh-CN"/>
        </w:rPr>
        <w:t>玻璃温室骨架顶部最高点与室内地面基准之间的垂直距离。</w:t>
      </w:r>
    </w:p>
    <w:p>
      <w:pPr>
        <w:pStyle w:val="45"/>
        <w:spacing w:beforeLines="0" w:afterLines="0" w:line="360" w:lineRule="auto"/>
        <w:ind w:firstLine="420" w:firstLineChars="200"/>
        <w:rPr>
          <w:rFonts w:hint="default" w:hAnsi="黑体"/>
          <w:color w:val="000000"/>
          <w:kern w:val="44"/>
          <w:lang w:val="en-US" w:eastAsia="zh-CN"/>
        </w:rPr>
      </w:pPr>
      <w:bookmarkStart w:id="69" w:name="_Toc26848"/>
      <w:bookmarkStart w:id="70" w:name="_Toc24107"/>
      <w:r>
        <w:rPr>
          <w:rFonts w:hint="eastAsia" w:hAnsi="黑体"/>
          <w:color w:val="000000"/>
          <w:kern w:val="44"/>
          <w:lang w:val="en-US" w:eastAsia="zh-CN"/>
        </w:rPr>
        <w:t>3</w:t>
      </w:r>
      <w:r>
        <w:rPr>
          <w:rFonts w:hint="default" w:hAnsi="黑体"/>
          <w:color w:val="000000"/>
          <w:kern w:val="44"/>
          <w:lang w:val="en-US" w:eastAsia="zh-CN"/>
        </w:rPr>
        <w:t>.</w:t>
      </w:r>
      <w:r>
        <w:rPr>
          <w:rFonts w:hint="eastAsia" w:hAnsi="黑体"/>
          <w:color w:val="000000"/>
          <w:kern w:val="44"/>
          <w:lang w:val="en-US" w:eastAsia="zh-CN"/>
        </w:rPr>
        <w:t>8</w:t>
      </w:r>
      <w:r>
        <w:rPr>
          <w:rFonts w:hint="default" w:hAnsi="黑体"/>
          <w:color w:val="000000"/>
          <w:kern w:val="44"/>
          <w:lang w:val="en-US" w:eastAsia="zh-CN"/>
        </w:rPr>
        <w:t xml:space="preserve"> 肩高</w:t>
      </w:r>
      <w:bookmarkEnd w:id="69"/>
      <w:bookmarkEnd w:id="70"/>
    </w:p>
    <w:p>
      <w:pPr>
        <w:pStyle w:val="41"/>
        <w:spacing w:line="360" w:lineRule="auto"/>
        <w:ind w:firstLine="31680"/>
        <w:rPr>
          <w:rFonts w:hint="default" w:hAnsi="宋体" w:eastAsia="宋体"/>
          <w:color w:val="000000"/>
        </w:rPr>
      </w:pPr>
      <w:r>
        <w:rPr>
          <w:rFonts w:hint="eastAsia" w:hAnsi="宋体" w:eastAsia="宋体"/>
          <w:color w:val="000000"/>
          <w:lang w:val="en-US" w:eastAsia="zh-CN"/>
        </w:rPr>
        <w:t>天沟下沿</w:t>
      </w:r>
      <w:r>
        <w:rPr>
          <w:rFonts w:hint="default" w:hAnsi="宋体" w:eastAsia="宋体"/>
          <w:color w:val="000000"/>
          <w:lang w:val="en-US" w:eastAsia="zh-CN"/>
        </w:rPr>
        <w:t>至室内地面基准之间的垂直距离。</w:t>
      </w:r>
    </w:p>
    <w:p>
      <w:pPr>
        <w:pStyle w:val="45"/>
        <w:spacing w:beforeLines="0" w:afterLines="0" w:line="360" w:lineRule="auto"/>
        <w:ind w:firstLine="420" w:firstLineChars="200"/>
        <w:rPr>
          <w:rFonts w:hint="default" w:hAnsi="黑体"/>
          <w:color w:val="000000"/>
          <w:kern w:val="44"/>
          <w:lang w:val="en-US" w:eastAsia="zh-CN"/>
        </w:rPr>
      </w:pPr>
      <w:bookmarkStart w:id="71" w:name="_Toc15312"/>
      <w:bookmarkStart w:id="72" w:name="_Toc11085"/>
      <w:r>
        <w:rPr>
          <w:rFonts w:hint="eastAsia" w:hAnsi="黑体"/>
          <w:color w:val="000000"/>
          <w:kern w:val="44"/>
          <w:lang w:val="en-US" w:eastAsia="zh-CN"/>
        </w:rPr>
        <w:t>3</w:t>
      </w:r>
      <w:r>
        <w:rPr>
          <w:rFonts w:hint="default" w:hAnsi="黑体"/>
          <w:color w:val="000000"/>
          <w:kern w:val="44"/>
          <w:lang w:val="en-US" w:eastAsia="zh-CN"/>
        </w:rPr>
        <w:t>.</w:t>
      </w:r>
      <w:r>
        <w:rPr>
          <w:rFonts w:hint="eastAsia" w:hAnsi="黑体"/>
          <w:color w:val="000000"/>
          <w:kern w:val="44"/>
          <w:lang w:val="en-US" w:eastAsia="zh-CN"/>
        </w:rPr>
        <w:t>9</w:t>
      </w:r>
      <w:r>
        <w:rPr>
          <w:rFonts w:hint="default" w:hAnsi="黑体"/>
          <w:color w:val="000000"/>
          <w:kern w:val="44"/>
          <w:lang w:val="en-US" w:eastAsia="zh-CN"/>
        </w:rPr>
        <w:t xml:space="preserve"> 基础</w:t>
      </w:r>
      <w:bookmarkEnd w:id="71"/>
      <w:bookmarkEnd w:id="72"/>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承受玻璃温室竖向压力、上拔力及抗倾覆荷载的地下承重结构，为温室整体提供稳定支撑。</w:t>
      </w:r>
    </w:p>
    <w:p>
      <w:pPr>
        <w:pStyle w:val="45"/>
        <w:spacing w:beforeLines="0" w:afterLines="0" w:line="360" w:lineRule="auto"/>
        <w:ind w:firstLine="420" w:firstLineChars="200"/>
        <w:rPr>
          <w:rFonts w:hint="eastAsia" w:hAnsi="黑体"/>
          <w:color w:val="000000"/>
          <w:kern w:val="44"/>
          <w:lang w:val="en-US" w:eastAsia="zh-CN"/>
        </w:rPr>
      </w:pPr>
      <w:bookmarkStart w:id="73" w:name="_Toc17737"/>
      <w:bookmarkStart w:id="74" w:name="_Toc31634"/>
      <w:r>
        <w:rPr>
          <w:rFonts w:hint="eastAsia" w:hAnsi="黑体"/>
          <w:color w:val="000000"/>
          <w:kern w:val="44"/>
          <w:lang w:val="en-US" w:eastAsia="zh-CN"/>
        </w:rPr>
        <w:t>3.10地圈梁</w:t>
      </w:r>
      <w:bookmarkEnd w:id="73"/>
      <w:bookmarkEnd w:id="74"/>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在条形基础给定标高处,沿砌体墙水平方向按构造配筋设置的封闭状混土梁式构件。</w:t>
      </w:r>
    </w:p>
    <w:p>
      <w:pPr>
        <w:pStyle w:val="2"/>
        <w:spacing w:beforeLines="100" w:afterLines="100" w:line="240" w:lineRule="auto"/>
        <w:rPr>
          <w:rFonts w:ascii="Times New Roman" w:hAnsi="Times New Roman" w:eastAsia="黑体" w:cs="Times New Roman"/>
          <w:b w:val="0"/>
          <w:bCs w:val="0"/>
          <w:color w:val="000000"/>
          <w:sz w:val="21"/>
          <w:szCs w:val="21"/>
        </w:rPr>
      </w:pPr>
      <w:bookmarkStart w:id="75" w:name="_Toc16772"/>
      <w:bookmarkStart w:id="76" w:name="_Toc29766"/>
      <w:bookmarkStart w:id="77" w:name="_Toc27760"/>
      <w:bookmarkStart w:id="78" w:name="_Toc6197"/>
      <w:r>
        <w:rPr>
          <w:rFonts w:ascii="黑体" w:hAnsi="黑体" w:eastAsia="黑体" w:cs="黑体"/>
          <w:b w:val="0"/>
          <w:bCs w:val="0"/>
          <w:color w:val="000000"/>
          <w:sz w:val="21"/>
          <w:szCs w:val="21"/>
        </w:rPr>
        <w:t>4</w:t>
      </w:r>
      <w:bookmarkEnd w:id="75"/>
      <w:bookmarkEnd w:id="76"/>
      <w:bookmarkEnd w:id="77"/>
      <w:r>
        <w:rPr>
          <w:rFonts w:ascii="黑体" w:hAnsi="黑体" w:eastAsia="黑体" w:cs="黑体"/>
          <w:b w:val="0"/>
          <w:bCs w:val="0"/>
          <w:color w:val="000000"/>
          <w:sz w:val="21"/>
          <w:szCs w:val="21"/>
        </w:rPr>
        <w:t xml:space="preserve">  </w:t>
      </w:r>
      <w:r>
        <w:rPr>
          <w:rFonts w:hint="eastAsia" w:ascii="黑体" w:hAnsi="黑体" w:eastAsia="黑体" w:cs="黑体"/>
          <w:b w:val="0"/>
          <w:bCs w:val="0"/>
          <w:color w:val="000000"/>
          <w:sz w:val="21"/>
          <w:szCs w:val="21"/>
          <w:lang w:eastAsia="zh-CN"/>
        </w:rPr>
        <w:t>建造技术和</w:t>
      </w:r>
      <w:r>
        <w:rPr>
          <w:rFonts w:hint="eastAsia" w:ascii="Times New Roman" w:hAnsi="Times New Roman" w:eastAsia="黑体" w:cs="黑体"/>
          <w:b w:val="0"/>
          <w:bCs w:val="0"/>
          <w:color w:val="000000"/>
          <w:sz w:val="21"/>
          <w:szCs w:val="21"/>
        </w:rPr>
        <w:t>要求</w:t>
      </w:r>
      <w:bookmarkEnd w:id="78"/>
    </w:p>
    <w:p>
      <w:pPr>
        <w:pStyle w:val="45"/>
        <w:spacing w:beforeLines="0" w:afterLines="0" w:line="360" w:lineRule="auto"/>
        <w:ind w:firstLine="420" w:firstLineChars="200"/>
        <w:rPr>
          <w:rFonts w:hint="eastAsia" w:hAnsi="黑体"/>
          <w:color w:val="000000"/>
          <w:kern w:val="44"/>
          <w:lang w:val="en-US" w:eastAsia="zh-CN"/>
        </w:rPr>
      </w:pPr>
      <w:bookmarkStart w:id="79" w:name="_Toc2735"/>
      <w:bookmarkStart w:id="80" w:name="_Toc11990"/>
      <w:r>
        <w:rPr>
          <w:rFonts w:hint="eastAsia" w:hAnsi="黑体"/>
          <w:color w:val="000000"/>
          <w:kern w:val="44"/>
          <w:lang w:val="en-US" w:eastAsia="zh-CN"/>
        </w:rPr>
        <w:t>4.1 选址</w:t>
      </w:r>
      <w:bookmarkEnd w:id="79"/>
      <w:bookmarkEnd w:id="80"/>
    </w:p>
    <w:p>
      <w:pPr>
        <w:pStyle w:val="41"/>
        <w:spacing w:line="360" w:lineRule="auto"/>
        <w:ind w:firstLine="31680"/>
        <w:rPr>
          <w:rFonts w:hint="eastAsia" w:hAnsi="宋体" w:eastAsia="宋体"/>
          <w:color w:val="000000"/>
          <w:lang w:val="en-US" w:eastAsia="zh-CN"/>
        </w:rPr>
      </w:pPr>
      <w:r>
        <w:rPr>
          <w:rFonts w:hint="default" w:hAnsi="宋体" w:eastAsia="宋体"/>
          <w:color w:val="000000"/>
          <w:lang w:val="en-US" w:eastAsia="zh-CN"/>
        </w:rPr>
        <w:t>玻璃温室选址</w:t>
      </w:r>
      <w:r>
        <w:rPr>
          <w:rFonts w:hint="eastAsia" w:hAnsi="宋体" w:eastAsia="宋体"/>
          <w:color w:val="000000"/>
          <w:lang w:val="en-US" w:eastAsia="zh-CN"/>
        </w:rPr>
        <w:t>应符合当地设施农业用地有关要求，宜选择地势平坦、交通便利、无遮阳、水源洁净、渠系配套、灌排方便、具有一定面积的连片土地，宜在背风向阳处建设，远离工矿、化工企业等污染源。</w:t>
      </w:r>
    </w:p>
    <w:p>
      <w:pPr>
        <w:pStyle w:val="45"/>
        <w:spacing w:beforeLines="0" w:afterLines="0" w:line="360" w:lineRule="auto"/>
        <w:ind w:firstLine="420" w:firstLineChars="200"/>
        <w:rPr>
          <w:rFonts w:hint="default" w:hAnsi="黑体"/>
          <w:color w:val="000000"/>
          <w:kern w:val="44"/>
          <w:lang w:val="en-US" w:eastAsia="zh-CN"/>
        </w:rPr>
      </w:pPr>
      <w:bookmarkStart w:id="81" w:name="_Toc25713"/>
      <w:bookmarkStart w:id="82" w:name="_Toc30599"/>
      <w:r>
        <w:rPr>
          <w:rFonts w:hint="eastAsia" w:hAnsi="黑体"/>
          <w:color w:val="000000"/>
          <w:kern w:val="44"/>
          <w:lang w:val="en-US" w:eastAsia="zh-CN"/>
        </w:rPr>
        <w:t>4.2 布局</w:t>
      </w:r>
      <w:bookmarkEnd w:id="81"/>
      <w:bookmarkEnd w:id="82"/>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4.2.1</w:t>
      </w:r>
      <w:r>
        <w:rPr>
          <w:rFonts w:hint="default" w:hAnsi="宋体" w:eastAsia="宋体"/>
          <w:color w:val="000000"/>
          <w:lang w:val="en-US" w:eastAsia="zh-CN"/>
        </w:rPr>
        <w:t>温室朝向</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玻璃温室宜采用南北朝向，以最大化利用自然光资源，具体可根据场地条件及生产需求调整。</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.2.2 </w:t>
      </w:r>
      <w:r>
        <w:rPr>
          <w:rFonts w:hint="default" w:hAnsi="宋体" w:eastAsia="宋体"/>
          <w:color w:val="000000"/>
          <w:lang w:val="en-US" w:eastAsia="zh-CN"/>
        </w:rPr>
        <w:t>门与通道</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温室应设置主入口门及应急通道门，门的尺寸需满足作业机械、运输车辆进出及人员疏散要求，主入口门宽度不应小于</w:t>
      </w:r>
      <w:r>
        <w:rPr>
          <w:rFonts w:hint="eastAsia" w:hAnsi="宋体" w:eastAsia="宋体"/>
          <w:color w:val="000000"/>
          <w:lang w:val="en-US" w:eastAsia="zh-CN"/>
        </w:rPr>
        <w:t>2.4</w:t>
      </w:r>
      <w:r>
        <w:rPr>
          <w:rFonts w:hint="default" w:hAnsi="宋体" w:eastAsia="宋体"/>
          <w:color w:val="000000"/>
          <w:lang w:val="en-US" w:eastAsia="zh-CN"/>
        </w:rPr>
        <w:t xml:space="preserve"> m，高度不应小于</w:t>
      </w:r>
      <w:r>
        <w:rPr>
          <w:rFonts w:hint="eastAsia" w:hAnsi="宋体" w:eastAsia="宋体"/>
          <w:color w:val="000000"/>
          <w:lang w:val="en-US" w:eastAsia="zh-CN"/>
        </w:rPr>
        <w:t>2.6</w:t>
      </w:r>
      <w:r>
        <w:rPr>
          <w:rFonts w:hint="default" w:hAnsi="宋体" w:eastAsia="宋体"/>
          <w:color w:val="000000"/>
          <w:lang w:val="en-US" w:eastAsia="zh-CN"/>
        </w:rPr>
        <w:t xml:space="preserve"> m。室内通道布局应合理，主通道宽度不应小于</w:t>
      </w:r>
      <w:r>
        <w:rPr>
          <w:rFonts w:hint="eastAsia" w:hAnsi="宋体" w:eastAsia="宋体"/>
          <w:color w:val="000000"/>
          <w:lang w:val="en-US" w:eastAsia="zh-CN"/>
        </w:rPr>
        <w:t>2.5</w:t>
      </w:r>
      <w:r>
        <w:rPr>
          <w:rFonts w:hint="default" w:hAnsi="宋体" w:eastAsia="宋体"/>
          <w:color w:val="000000"/>
          <w:lang w:val="en-US" w:eastAsia="zh-CN"/>
        </w:rPr>
        <w:t xml:space="preserve"> m，便于机械化作业及物资转运。</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.2.3 </w:t>
      </w:r>
      <w:r>
        <w:rPr>
          <w:rFonts w:hint="default" w:hAnsi="宋体" w:eastAsia="宋体"/>
          <w:color w:val="000000"/>
          <w:lang w:val="en-US" w:eastAsia="zh-CN"/>
        </w:rPr>
        <w:t>多栋布局</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多栋玻璃温室集群建设时，栋与栋之间的间距</w:t>
      </w:r>
      <w:r>
        <w:rPr>
          <w:rFonts w:hint="eastAsia" w:hAnsi="宋体" w:eastAsia="宋体"/>
          <w:color w:val="000000"/>
          <w:lang w:val="en-US" w:eastAsia="zh-CN"/>
        </w:rPr>
        <w:t>宜≥8</w:t>
      </w:r>
      <w:r>
        <w:rPr>
          <w:rFonts w:hint="default" w:hAnsi="宋体" w:eastAsia="宋体"/>
          <w:color w:val="000000"/>
          <w:lang w:val="en-US" w:eastAsia="zh-CN"/>
        </w:rPr>
        <w:t>m，以满足通风、采光及机械转场需求。场地内应规划主干道及作业道，确保作业机械通行顺畅。</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.2.</w:t>
      </w: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 </w:t>
      </w:r>
      <w:r>
        <w:rPr>
          <w:rFonts w:hint="default" w:hAnsi="宋体" w:eastAsia="宋体"/>
          <w:color w:val="000000"/>
          <w:lang w:val="en-US" w:eastAsia="zh-CN"/>
        </w:rPr>
        <w:t>其他要求</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温室布局还应符合 NY/T 2970 及相关规划设计标准的要求。</w:t>
      </w:r>
    </w:p>
    <w:p>
      <w:pPr>
        <w:pStyle w:val="45"/>
        <w:spacing w:beforeLines="0" w:afterLines="0" w:line="360" w:lineRule="auto"/>
        <w:ind w:firstLine="420" w:firstLineChars="200"/>
        <w:rPr>
          <w:rFonts w:hint="default" w:hAnsi="黑体"/>
          <w:color w:val="000000"/>
          <w:kern w:val="44"/>
          <w:lang w:val="en-US" w:eastAsia="zh-CN"/>
        </w:rPr>
      </w:pPr>
      <w:bookmarkStart w:id="83" w:name="_Toc19413"/>
      <w:bookmarkStart w:id="84" w:name="_Toc8216"/>
      <w:r>
        <w:rPr>
          <w:rFonts w:hint="eastAsia" w:hAnsi="黑体"/>
          <w:color w:val="000000"/>
          <w:kern w:val="44"/>
          <w:lang w:val="en-US" w:eastAsia="zh-CN"/>
        </w:rPr>
        <w:t>4.3 地基</w:t>
      </w:r>
      <w:bookmarkEnd w:id="83"/>
      <w:bookmarkEnd w:id="84"/>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温室基础应根据土壤质地、抗风抗雪性能等因素设置，地基施工应符合NY/T 1145的要求。</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 xml:space="preserve">4.3.1 </w:t>
      </w:r>
      <w:r>
        <w:rPr>
          <w:rFonts w:hint="default" w:hAnsi="宋体" w:eastAsia="宋体"/>
          <w:color w:val="000000"/>
          <w:lang w:val="en-US" w:eastAsia="zh-CN"/>
        </w:rPr>
        <w:t>材料与构造</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基础</w:t>
      </w:r>
      <w:r>
        <w:rPr>
          <w:rFonts w:hint="eastAsia" w:hAnsi="宋体" w:eastAsia="宋体"/>
          <w:color w:val="000000"/>
          <w:lang w:val="en-US" w:eastAsia="zh-CN"/>
        </w:rPr>
        <w:t>建造</w:t>
      </w:r>
      <w:r>
        <w:rPr>
          <w:rFonts w:hint="default" w:hAnsi="宋体" w:eastAsia="宋体"/>
          <w:color w:val="000000"/>
          <w:lang w:val="en-US" w:eastAsia="zh-CN"/>
        </w:rPr>
        <w:t>前应进行岩土工程勘察，独立基础可采用现浇钢筋混凝土基础或预制基础。</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基础混凝土强度等级不应低于 C</w:t>
      </w:r>
      <w:r>
        <w:rPr>
          <w:rFonts w:hint="eastAsia" w:hAnsi="宋体" w:eastAsia="宋体"/>
          <w:color w:val="000000"/>
          <w:lang w:val="en-US" w:eastAsia="zh-CN"/>
        </w:rPr>
        <w:t>25</w:t>
      </w:r>
      <w:r>
        <w:rPr>
          <w:rFonts w:hint="default" w:hAnsi="宋体" w:eastAsia="宋体"/>
          <w:color w:val="000000"/>
          <w:lang w:val="en-US" w:eastAsia="zh-CN"/>
        </w:rPr>
        <w:t>，基础内纵向受力钢筋直径不应小于</w:t>
      </w:r>
      <w:r>
        <w:rPr>
          <w:rFonts w:hint="eastAsia" w:hAnsi="宋体" w:eastAsia="宋体"/>
          <w:color w:val="000000"/>
          <w:lang w:val="en-US" w:eastAsia="zh-CN"/>
        </w:rPr>
        <w:t>16</w:t>
      </w:r>
      <w:r>
        <w:rPr>
          <w:rFonts w:hint="default" w:hAnsi="宋体" w:eastAsia="宋体"/>
          <w:color w:val="000000"/>
          <w:lang w:val="en-US" w:eastAsia="zh-CN"/>
        </w:rPr>
        <w:t xml:space="preserve"> mm，根数不应少于</w:t>
      </w:r>
      <w:r>
        <w:rPr>
          <w:rFonts w:hint="eastAsia" w:hAnsi="宋体" w:eastAsia="宋体"/>
          <w:color w:val="000000"/>
          <w:lang w:val="en-US" w:eastAsia="zh-CN"/>
        </w:rPr>
        <w:t>4</w:t>
      </w:r>
      <w:r>
        <w:rPr>
          <w:rFonts w:hint="default" w:hAnsi="宋体" w:eastAsia="宋体"/>
          <w:color w:val="000000"/>
          <w:lang w:val="en-US" w:eastAsia="zh-CN"/>
        </w:rPr>
        <w:t>根，箍筋直径不应小于</w:t>
      </w:r>
      <w:r>
        <w:rPr>
          <w:rFonts w:hint="eastAsia" w:hAnsi="宋体" w:eastAsia="宋体"/>
          <w:color w:val="000000"/>
          <w:lang w:val="en-US" w:eastAsia="zh-CN"/>
        </w:rPr>
        <w:t>8</w:t>
      </w:r>
      <w:r>
        <w:rPr>
          <w:rFonts w:hint="default" w:hAnsi="宋体" w:eastAsia="宋体"/>
          <w:color w:val="000000"/>
          <w:lang w:val="en-US" w:eastAsia="zh-CN"/>
        </w:rPr>
        <w:t xml:space="preserve"> mm，间距不应大于</w:t>
      </w:r>
      <w:r>
        <w:rPr>
          <w:rFonts w:hint="eastAsia" w:hAnsi="宋体" w:eastAsia="宋体"/>
          <w:color w:val="000000"/>
          <w:lang w:val="en-US" w:eastAsia="zh-CN"/>
        </w:rPr>
        <w:t>200</w:t>
      </w:r>
      <w:r>
        <w:rPr>
          <w:rFonts w:hint="default" w:hAnsi="宋体" w:eastAsia="宋体"/>
          <w:color w:val="000000"/>
          <w:lang w:val="en-US" w:eastAsia="zh-CN"/>
        </w:rPr>
        <w:t xml:space="preserve"> mm。预埋件应与纵向受力钢筋牢固焊接，预埋件锚筋直径不应小于</w:t>
      </w:r>
      <w:r>
        <w:rPr>
          <w:rFonts w:hint="eastAsia" w:hAnsi="宋体" w:eastAsia="宋体"/>
          <w:color w:val="000000"/>
          <w:lang w:val="en-US" w:eastAsia="zh-CN"/>
        </w:rPr>
        <w:t>16</w:t>
      </w:r>
      <w:r>
        <w:rPr>
          <w:rFonts w:hint="default" w:hAnsi="宋体" w:eastAsia="宋体"/>
          <w:color w:val="000000"/>
          <w:lang w:val="en-US" w:eastAsia="zh-CN"/>
        </w:rPr>
        <w:t xml:space="preserve"> mm，数量不应少于</w:t>
      </w:r>
      <w:r>
        <w:rPr>
          <w:rFonts w:hint="eastAsia" w:hAnsi="宋体" w:eastAsia="宋体"/>
          <w:color w:val="000000"/>
          <w:lang w:val="en-US" w:eastAsia="zh-CN"/>
        </w:rPr>
        <w:t>4</w:t>
      </w:r>
      <w:r>
        <w:rPr>
          <w:rFonts w:hint="default" w:hAnsi="宋体" w:eastAsia="宋体"/>
          <w:color w:val="000000"/>
          <w:lang w:val="en-US" w:eastAsia="zh-CN"/>
        </w:rPr>
        <w:t xml:space="preserve"> 根，确保与上部结构可靠连接。</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为防止地基的不均匀沉降或较大荷载等对温室的不利影响四周应设地圈梁，‌断面尺寸‌：高度不低于300mm，宽度不小于240mm。‌配筋构造‌：纵向钢筋</w:t>
      </w:r>
      <w:r>
        <w:rPr>
          <w:rFonts w:hint="default" w:hAnsi="宋体" w:eastAsia="宋体"/>
          <w:color w:val="000000"/>
          <w:lang w:val="en-US" w:eastAsia="zh-CN"/>
        </w:rPr>
        <w:t>不应小于</w:t>
      </w:r>
      <w:r>
        <w:rPr>
          <w:rFonts w:hint="eastAsia" w:hAnsi="宋体" w:eastAsia="宋体"/>
          <w:color w:val="000000"/>
          <w:lang w:val="en-US" w:eastAsia="zh-CN"/>
        </w:rPr>
        <w:t>16</w:t>
      </w:r>
      <w:r>
        <w:rPr>
          <w:rFonts w:hint="default" w:hAnsi="宋体" w:eastAsia="宋体"/>
          <w:color w:val="000000"/>
          <w:lang w:val="en-US" w:eastAsia="zh-CN"/>
        </w:rPr>
        <w:t xml:space="preserve"> mm，根数不应少于</w:t>
      </w:r>
      <w:r>
        <w:rPr>
          <w:rFonts w:hint="eastAsia" w:hAnsi="宋体" w:eastAsia="宋体"/>
          <w:color w:val="000000"/>
          <w:lang w:val="en-US" w:eastAsia="zh-CN"/>
        </w:rPr>
        <w:t>4</w:t>
      </w:r>
      <w:r>
        <w:rPr>
          <w:rFonts w:hint="default" w:hAnsi="宋体" w:eastAsia="宋体"/>
          <w:color w:val="000000"/>
          <w:lang w:val="en-US" w:eastAsia="zh-CN"/>
        </w:rPr>
        <w:t>根</w:t>
      </w:r>
      <w:r>
        <w:rPr>
          <w:rFonts w:hint="eastAsia" w:hAnsi="宋体" w:eastAsia="宋体"/>
          <w:color w:val="000000"/>
          <w:lang w:val="en-US" w:eastAsia="zh-CN"/>
        </w:rPr>
        <w:t>,</w:t>
      </w:r>
      <w:r>
        <w:rPr>
          <w:rFonts w:hint="default" w:hAnsi="宋体" w:eastAsia="宋体"/>
          <w:color w:val="000000"/>
          <w:lang w:val="en-US" w:eastAsia="zh-CN"/>
        </w:rPr>
        <w:t>箍筋直径不应小于</w:t>
      </w:r>
      <w:r>
        <w:rPr>
          <w:rFonts w:hint="eastAsia" w:hAnsi="宋体" w:eastAsia="宋体"/>
          <w:color w:val="000000"/>
          <w:lang w:val="en-US" w:eastAsia="zh-CN"/>
        </w:rPr>
        <w:t>8</w:t>
      </w:r>
      <w:r>
        <w:rPr>
          <w:rFonts w:hint="default" w:hAnsi="宋体" w:eastAsia="宋体"/>
          <w:color w:val="000000"/>
          <w:lang w:val="en-US" w:eastAsia="zh-CN"/>
        </w:rPr>
        <w:t xml:space="preserve"> mm，间距不应大于</w:t>
      </w:r>
      <w:r>
        <w:rPr>
          <w:rFonts w:hint="eastAsia" w:hAnsi="宋体" w:eastAsia="宋体"/>
          <w:color w:val="000000"/>
          <w:lang w:val="en-US" w:eastAsia="zh-CN"/>
        </w:rPr>
        <w:t>200</w:t>
      </w:r>
      <w:r>
        <w:rPr>
          <w:rFonts w:hint="default" w:hAnsi="宋体" w:eastAsia="宋体"/>
          <w:color w:val="000000"/>
          <w:lang w:val="en-US" w:eastAsia="zh-CN"/>
        </w:rPr>
        <w:t xml:space="preserve"> mm</w:t>
      </w:r>
      <w:r>
        <w:rPr>
          <w:rFonts w:hint="eastAsia" w:hAnsi="宋体" w:eastAsia="宋体"/>
          <w:color w:val="000000"/>
          <w:lang w:val="en-US" w:eastAsia="zh-CN"/>
        </w:rPr>
        <w:t>。‌混凝土强度等级不应低于C25，采用现浇施工。</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.3.</w:t>
      </w:r>
      <w:r>
        <w:rPr>
          <w:rFonts w:hint="eastAsia" w:ascii="黑体" w:hAnsi="黑体" w:eastAsia="黑体" w:cs="黑体"/>
          <w:color w:val="000000"/>
          <w:kern w:val="44"/>
          <w:sz w:val="21"/>
          <w:szCs w:val="21"/>
          <w:lang w:val="en-US" w:eastAsia="zh-CN" w:bidi="ar-SA"/>
        </w:rPr>
        <w:t>2</w:t>
      </w:r>
      <w:r>
        <w:rPr>
          <w:rFonts w:hint="default" w:ascii="黑体" w:hAnsi="黑体" w:eastAsia="黑体" w:cs="黑体"/>
          <w:color w:val="000000"/>
          <w:kern w:val="44"/>
          <w:sz w:val="21"/>
          <w:szCs w:val="21"/>
          <w:lang w:val="en-US" w:eastAsia="zh-CN" w:bidi="ar-SA"/>
        </w:rPr>
        <w:t xml:space="preserve"> </w:t>
      </w:r>
      <w:r>
        <w:rPr>
          <w:rFonts w:hint="default" w:hAnsi="宋体" w:eastAsia="宋体"/>
          <w:color w:val="000000"/>
          <w:lang w:val="en-US" w:eastAsia="zh-CN"/>
        </w:rPr>
        <w:t>标高与坡度</w:t>
      </w:r>
    </w:p>
    <w:p>
      <w:pPr>
        <w:pStyle w:val="41"/>
        <w:spacing w:line="360" w:lineRule="auto"/>
        <w:ind w:firstLine="31680"/>
        <w:rPr>
          <w:rFonts w:hint="eastAsia" w:hAnsi="宋体" w:eastAsia="宋体"/>
          <w:color w:val="000000"/>
          <w:lang w:val="en-US" w:eastAsia="zh-CN"/>
        </w:rPr>
      </w:pPr>
      <w:r>
        <w:rPr>
          <w:rFonts w:hint="default" w:hAnsi="宋体" w:eastAsia="宋体"/>
          <w:color w:val="000000"/>
          <w:lang w:val="en-US" w:eastAsia="zh-CN"/>
        </w:rPr>
        <w:t>基础顶面标高应沿天沟方向设置排水坡度，坡度不应小于</w:t>
      </w:r>
      <w:r>
        <w:rPr>
          <w:rFonts w:hint="eastAsia" w:hAnsi="宋体" w:eastAsia="宋体"/>
          <w:color w:val="000000"/>
          <w:lang w:val="en-US" w:eastAsia="zh-CN"/>
        </w:rPr>
        <w:t>2.5</w:t>
      </w:r>
      <w:r>
        <w:rPr>
          <w:rFonts w:hint="default" w:hAnsi="宋体" w:eastAsia="宋体"/>
          <w:color w:val="000000"/>
          <w:lang w:val="en-US" w:eastAsia="zh-CN"/>
        </w:rPr>
        <w:t>‰</w:t>
      </w:r>
      <w:r>
        <w:rPr>
          <w:rFonts w:hint="eastAsia" w:hAnsi="宋体" w:eastAsia="宋体"/>
          <w:color w:val="000000"/>
          <w:lang w:val="en-US" w:eastAsia="zh-CN"/>
        </w:rPr>
        <w:t>。</w:t>
      </w:r>
      <w:r>
        <w:rPr>
          <w:rFonts w:hint="default" w:hAnsi="宋体" w:eastAsia="宋体"/>
          <w:color w:val="000000"/>
          <w:lang w:val="en-US" w:eastAsia="zh-CN"/>
        </w:rPr>
        <w:t>基础埋深应达到持力层，且不应小于</w:t>
      </w:r>
      <w:r>
        <w:rPr>
          <w:rFonts w:hint="eastAsia" w:hAnsi="宋体" w:eastAsia="宋体"/>
          <w:color w:val="000000"/>
          <w:lang w:val="en-US" w:eastAsia="zh-CN"/>
        </w:rPr>
        <w:t>1.0</w:t>
      </w:r>
      <w:r>
        <w:rPr>
          <w:rFonts w:hint="default" w:hAnsi="宋体" w:eastAsia="宋体"/>
          <w:color w:val="000000"/>
          <w:lang w:val="en-US" w:eastAsia="zh-CN"/>
        </w:rPr>
        <w:t>m</w:t>
      </w:r>
      <w:r>
        <w:rPr>
          <w:rFonts w:hint="eastAsia" w:hAnsi="宋体" w:eastAsia="宋体"/>
          <w:color w:val="000000"/>
          <w:lang w:val="en-US" w:eastAsia="zh-CN"/>
        </w:rPr>
        <w:t>。</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.3.</w:t>
      </w:r>
      <w:r>
        <w:rPr>
          <w:rFonts w:hint="eastAsia" w:ascii="黑体" w:hAnsi="黑体" w:eastAsia="黑体" w:cs="黑体"/>
          <w:color w:val="000000"/>
          <w:kern w:val="44"/>
          <w:sz w:val="21"/>
          <w:szCs w:val="21"/>
          <w:lang w:val="en-US" w:eastAsia="zh-CN" w:bidi="ar-SA"/>
        </w:rPr>
        <w:t>3</w:t>
      </w:r>
      <w:r>
        <w:rPr>
          <w:rFonts w:hint="default" w:ascii="黑体" w:hAnsi="黑体" w:eastAsia="黑体" w:cs="黑体"/>
          <w:color w:val="000000"/>
          <w:kern w:val="44"/>
          <w:sz w:val="21"/>
          <w:szCs w:val="21"/>
          <w:lang w:val="en-US" w:eastAsia="zh-CN" w:bidi="ar-SA"/>
        </w:rPr>
        <w:t xml:space="preserve"> </w:t>
      </w:r>
      <w:r>
        <w:rPr>
          <w:rFonts w:hint="default" w:hAnsi="宋体" w:eastAsia="宋体"/>
          <w:color w:val="000000"/>
          <w:lang w:val="en-US" w:eastAsia="zh-CN"/>
        </w:rPr>
        <w:t>回填要求</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基础回填时应分层回填,土壤类别及压实系数应满足设计要求。</w:t>
      </w:r>
    </w:p>
    <w:p>
      <w:pPr>
        <w:pStyle w:val="45"/>
        <w:spacing w:beforeLines="0" w:afterLines="0" w:line="360" w:lineRule="auto"/>
        <w:ind w:firstLine="420" w:firstLineChars="200"/>
        <w:rPr>
          <w:rFonts w:hint="default" w:hAnsi="黑体"/>
          <w:color w:val="000000"/>
          <w:kern w:val="44"/>
          <w:lang w:val="en-US" w:eastAsia="zh-CN"/>
        </w:rPr>
      </w:pPr>
      <w:bookmarkStart w:id="85" w:name="_Toc15596"/>
      <w:bookmarkStart w:id="86" w:name="_Toc28"/>
      <w:r>
        <w:rPr>
          <w:rFonts w:hint="eastAsia" w:hAnsi="黑体"/>
          <w:color w:val="000000"/>
          <w:kern w:val="44"/>
          <w:lang w:val="en-US" w:eastAsia="zh-CN"/>
        </w:rPr>
        <w:t>4.4 温室骨架</w:t>
      </w:r>
      <w:bookmarkEnd w:id="85"/>
      <w:bookmarkEnd w:id="86"/>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.4.1 </w:t>
      </w:r>
      <w:r>
        <w:rPr>
          <w:rFonts w:hint="default" w:hAnsi="宋体" w:eastAsia="宋体"/>
          <w:color w:val="000000"/>
          <w:lang w:val="en-US" w:eastAsia="zh-CN"/>
        </w:rPr>
        <w:t>材料要求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（1）</w:t>
      </w:r>
      <w:r>
        <w:rPr>
          <w:rFonts w:hint="default" w:hAnsi="宋体" w:eastAsia="宋体"/>
          <w:color w:val="000000"/>
          <w:lang w:val="en-US" w:eastAsia="zh-CN"/>
        </w:rPr>
        <w:t>通用要求</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温室骨架所用材料的规格、性能应符合本标准规定，本标准未明确的，应不低于设计文件及相应产品标准的要求</w:t>
      </w:r>
      <w:r>
        <w:rPr>
          <w:rFonts w:hint="eastAsia" w:hAnsi="宋体" w:eastAsia="宋体"/>
          <w:color w:val="000000"/>
          <w:lang w:val="en-US" w:eastAsia="zh-CN"/>
        </w:rPr>
        <w:t>，具体材料要求见附表1</w:t>
      </w:r>
      <w:r>
        <w:rPr>
          <w:rFonts w:hint="default" w:hAnsi="宋体" w:eastAsia="宋体"/>
          <w:color w:val="000000"/>
          <w:lang w:val="en-US" w:eastAsia="zh-CN"/>
        </w:rPr>
        <w:t>。</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（2）</w:t>
      </w:r>
      <w:r>
        <w:rPr>
          <w:rFonts w:hint="default" w:hAnsi="宋体" w:eastAsia="宋体"/>
          <w:color w:val="000000"/>
          <w:lang w:val="en-US" w:eastAsia="zh-CN"/>
        </w:rPr>
        <w:t>钢材</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立柱、</w:t>
      </w:r>
      <w:r>
        <w:rPr>
          <w:rFonts w:hint="eastAsia" w:hAnsi="宋体" w:eastAsia="宋体"/>
          <w:color w:val="000000"/>
          <w:lang w:val="en-US" w:eastAsia="zh-CN"/>
        </w:rPr>
        <w:t>桁架</w:t>
      </w:r>
      <w:r>
        <w:rPr>
          <w:rFonts w:hint="default" w:hAnsi="宋体" w:eastAsia="宋体"/>
          <w:color w:val="000000"/>
          <w:lang w:val="en-US" w:eastAsia="zh-CN"/>
        </w:rPr>
        <w:t>、天沟、</w:t>
      </w:r>
      <w:r>
        <w:rPr>
          <w:rFonts w:hint="eastAsia" w:hAnsi="宋体" w:eastAsia="宋体"/>
          <w:color w:val="000000"/>
          <w:lang w:val="en-US" w:eastAsia="zh-CN"/>
        </w:rPr>
        <w:t>檩条</w:t>
      </w:r>
      <w:r>
        <w:rPr>
          <w:rFonts w:hint="default" w:hAnsi="宋体" w:eastAsia="宋体"/>
          <w:color w:val="000000"/>
          <w:lang w:val="en-US" w:eastAsia="zh-CN"/>
        </w:rPr>
        <w:t>等主要钢构件应采用碳素结构钢 Q235B 或 Q345B，可选用直缝电焊钢管、矩形</w:t>
      </w:r>
      <w:r>
        <w:rPr>
          <w:rFonts w:hint="eastAsia" w:hAnsi="宋体" w:eastAsia="宋体"/>
          <w:color w:val="000000"/>
          <w:lang w:val="en-US" w:eastAsia="zh-CN"/>
        </w:rPr>
        <w:t>钢</w:t>
      </w:r>
      <w:r>
        <w:rPr>
          <w:rFonts w:hint="default" w:hAnsi="宋体" w:eastAsia="宋体"/>
          <w:color w:val="000000"/>
          <w:lang w:val="en-US" w:eastAsia="zh-CN"/>
        </w:rPr>
        <w:t>管，其化学成分应符合 GB/T 700 的规定，力学性能及尺寸规格应符合 GB 50018、GB/T 13793、GB/T 6725 及 GB/T 6728 的要求。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（3）</w:t>
      </w:r>
      <w:r>
        <w:rPr>
          <w:rFonts w:hint="default" w:hAnsi="宋体" w:eastAsia="宋体"/>
          <w:color w:val="000000"/>
          <w:lang w:val="en-US" w:eastAsia="zh-CN"/>
        </w:rPr>
        <w:t>焊接件</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所有焊接构件的焊缝应平整饱满，无烧穿、夹渣、未焊透、气孔及裂纹等缺陷，焊接质量应符合 GB/T 12469 的规定，重要受力焊缝应进行探伤检测。</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（4）</w:t>
      </w:r>
      <w:r>
        <w:rPr>
          <w:rFonts w:hint="default" w:hAnsi="宋体" w:eastAsia="宋体"/>
          <w:color w:val="000000"/>
          <w:lang w:val="en-US" w:eastAsia="zh-CN"/>
        </w:rPr>
        <w:t>冲压件</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冲压成型的连接件、紧固件等零件，其表面应光滑平整，无毛刺、压伤、划痕及裂纹等缺陷，尺寸精度应符合设计要求。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（5）</w:t>
      </w:r>
      <w:r>
        <w:rPr>
          <w:rFonts w:hint="default" w:hAnsi="宋体" w:eastAsia="宋体"/>
          <w:color w:val="000000"/>
          <w:lang w:val="en-US" w:eastAsia="zh-CN"/>
        </w:rPr>
        <w:t>铝合金型材</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用于</w:t>
      </w:r>
      <w:r>
        <w:rPr>
          <w:rFonts w:hint="eastAsia" w:hAnsi="宋体" w:eastAsia="宋体"/>
          <w:color w:val="000000"/>
          <w:lang w:val="en-US" w:eastAsia="zh-CN"/>
        </w:rPr>
        <w:t>椽子、屋脊、</w:t>
      </w:r>
      <w:r>
        <w:rPr>
          <w:rFonts w:hint="default" w:hAnsi="宋体" w:eastAsia="宋体"/>
          <w:color w:val="000000"/>
          <w:lang w:val="en-US" w:eastAsia="zh-CN"/>
        </w:rPr>
        <w:t>窗框、压条等部位的铝合金型材宜采用 6XXXX 系列，厚度不应小于</w:t>
      </w:r>
      <w:r>
        <w:rPr>
          <w:rFonts w:hint="eastAsia" w:hAnsi="宋体" w:eastAsia="宋体"/>
          <w:color w:val="000000"/>
          <w:lang w:val="en-US" w:eastAsia="zh-CN"/>
        </w:rPr>
        <w:t>1.0</w:t>
      </w:r>
      <w:r>
        <w:rPr>
          <w:rFonts w:hint="default" w:hAnsi="宋体" w:eastAsia="宋体"/>
          <w:color w:val="000000"/>
          <w:lang w:val="en-US" w:eastAsia="zh-CN"/>
        </w:rPr>
        <w:t xml:space="preserve"> mm，其基材性能应符合 GB/T 5237.1 的规定，表面阳极氧化处理质量应符合 GB/T 5237.2 的要求。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（6）</w:t>
      </w:r>
      <w:r>
        <w:rPr>
          <w:rFonts w:hint="default" w:hAnsi="宋体" w:eastAsia="宋体"/>
          <w:color w:val="000000"/>
          <w:lang w:val="en-US" w:eastAsia="zh-CN"/>
        </w:rPr>
        <w:t>紧固件</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螺栓、螺母、垫圈等紧固件应采用热浸镀锌处理或选用不锈钢材质，热浸镀锌紧固件镀层质量应符合 GB/T 5267.3 的规定，不锈钢紧固件应符合 GB/T 3098.6 的要求。</w:t>
      </w:r>
    </w:p>
    <w:p>
      <w:pPr>
        <w:pStyle w:val="41"/>
        <w:spacing w:line="360" w:lineRule="auto"/>
        <w:rPr>
          <w:rFonts w:hint="default" w:hAnsi="宋体" w:eastAsia="宋体"/>
          <w:color w:val="000000"/>
          <w:lang w:val="en-US" w:eastAsia="zh-CN"/>
        </w:rPr>
      </w:pPr>
      <w:r>
        <w:rPr>
          <w:rFonts w:hint="eastAsia" w:hAnsi="宋体" w:eastAsia="宋体"/>
          <w:color w:val="000000"/>
          <w:lang w:val="en-US" w:eastAsia="zh-CN"/>
        </w:rPr>
        <w:t>（7）</w:t>
      </w:r>
      <w:r>
        <w:rPr>
          <w:rFonts w:hint="default" w:hAnsi="宋体" w:eastAsia="宋体"/>
          <w:color w:val="000000"/>
          <w:lang w:val="en-US" w:eastAsia="zh-CN"/>
        </w:rPr>
        <w:t>构件外观</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所有骨架结构材料表面不应有裂纹、压扁、扭曲变形等影响强度及使用性能的缺陷。</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 xml:space="preserve">4.4.2 </w:t>
      </w:r>
      <w:r>
        <w:rPr>
          <w:rFonts w:hint="eastAsia" w:hAnsi="宋体" w:eastAsia="宋体"/>
          <w:color w:val="000000"/>
          <w:lang w:val="en-US" w:eastAsia="zh-CN"/>
        </w:rPr>
        <w:t>防腐</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钢构件防腐</w:t>
      </w:r>
      <w:r>
        <w:rPr>
          <w:rFonts w:hint="eastAsia" w:hAnsi="宋体" w:eastAsia="宋体"/>
          <w:color w:val="000000"/>
          <w:lang w:val="en-US" w:eastAsia="zh-CN"/>
        </w:rPr>
        <w:t xml:space="preserve">  </w:t>
      </w:r>
      <w:r>
        <w:rPr>
          <w:rFonts w:hint="default" w:hAnsi="宋体" w:eastAsia="宋体"/>
          <w:color w:val="000000"/>
          <w:lang w:val="en-US" w:eastAsia="zh-CN"/>
        </w:rPr>
        <w:t>温室骨架所有钢构件均应采用热浸镀锌进行表面防腐处理，镀锌层厚度不应小于</w:t>
      </w:r>
      <w:r>
        <w:rPr>
          <w:rFonts w:hint="eastAsia" w:hAnsi="宋体" w:eastAsia="宋体"/>
          <w:color w:val="000000"/>
          <w:lang w:val="en-US" w:eastAsia="zh-CN"/>
        </w:rPr>
        <w:t>45</w:t>
      </w:r>
      <w:r>
        <w:rPr>
          <w:rFonts w:hint="default" w:hAnsi="宋体" w:eastAsia="宋体"/>
          <w:color w:val="000000"/>
          <w:lang w:val="en-US" w:eastAsia="zh-CN"/>
        </w:rPr>
        <w:t xml:space="preserve"> μm，镀层质量应符合 GB/T 13912 的规定。</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.4.3 </w:t>
      </w:r>
      <w:r>
        <w:rPr>
          <w:rFonts w:hint="default" w:hAnsi="宋体" w:eastAsia="宋体"/>
          <w:color w:val="000000"/>
          <w:lang w:val="en-US" w:eastAsia="zh-CN"/>
        </w:rPr>
        <w:t>荷载要求</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（1）玻璃温室骨架结构的承载能力应进行强度校核验算；</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（2）温室主体结构的抗风荷载按照GB/T 51183安徽各地的风压数据取值计算；</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（3）温室主体结构的抗雪荷载按照GB/T 51183安徽各地的雪压数据取值计算；</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（4）温室结构应能承受历时5min最大暴雨强度，且不应小于140mm/h；</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（5）温室结构作物吊挂载荷≥0.15kN/m2。</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.4.4 </w:t>
      </w:r>
      <w:r>
        <w:rPr>
          <w:rFonts w:hint="default" w:hAnsi="宋体" w:eastAsia="宋体"/>
          <w:color w:val="000000"/>
          <w:lang w:val="en-US" w:eastAsia="zh-CN"/>
        </w:rPr>
        <w:t>安装要求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（1）</w:t>
      </w:r>
      <w:r>
        <w:rPr>
          <w:rFonts w:hint="default" w:hAnsi="宋体" w:eastAsia="宋体"/>
          <w:color w:val="000000"/>
          <w:lang w:val="en-US" w:eastAsia="zh-CN"/>
        </w:rPr>
        <w:t>总体要求</w:t>
      </w:r>
    </w:p>
    <w:p>
      <w:pPr>
        <w:pStyle w:val="41"/>
        <w:spacing w:line="360" w:lineRule="auto"/>
        <w:ind w:firstLine="31680"/>
        <w:rPr>
          <w:rFonts w:hint="default" w:hAnsi="宋体" w:eastAsia="宋体"/>
          <w:color w:val="000000"/>
          <w:lang w:val="en-US" w:eastAsia="zh-CN"/>
        </w:rPr>
      </w:pPr>
      <w:r>
        <w:rPr>
          <w:rFonts w:hint="default" w:hAnsi="宋体" w:eastAsia="宋体"/>
          <w:color w:val="000000"/>
          <w:lang w:val="en-US" w:eastAsia="zh-CN"/>
        </w:rPr>
        <w:t>温室主体钢结构安装应符合</w:t>
      </w:r>
      <w:r>
        <w:rPr>
          <w:rFonts w:hint="eastAsia" w:hAnsi="宋体" w:eastAsia="宋体"/>
          <w:color w:val="000000"/>
          <w:lang w:val="en-US" w:eastAsia="zh-CN"/>
        </w:rPr>
        <w:t>NY/T 1832的</w:t>
      </w:r>
      <w:r>
        <w:rPr>
          <w:rFonts w:hint="default" w:hAnsi="宋体" w:eastAsia="宋体"/>
          <w:color w:val="000000"/>
          <w:lang w:val="en-US" w:eastAsia="zh-CN"/>
        </w:rPr>
        <w:t>要求，安装前应核对构件型号、尺寸及数量，对变形构件进行矫正处理。钢结构各立柱轴线应相互平行且垂直于地面基准，标高偏差应符合设计要求。所有连接件、紧固件安装位置应准确，连接应牢固可靠，无漏装、松动现象，安装允许偏差应符合</w:t>
      </w:r>
      <w:r>
        <w:rPr>
          <w:rFonts w:hint="eastAsia" w:hAnsi="宋体" w:eastAsia="宋体"/>
          <w:color w:val="000000"/>
          <w:lang w:val="en-US" w:eastAsia="zh-CN"/>
        </w:rPr>
        <w:t>附录B</w:t>
      </w:r>
      <w:r>
        <w:rPr>
          <w:rFonts w:hint="default" w:hAnsi="宋体" w:eastAsia="宋体"/>
          <w:color w:val="000000"/>
          <w:lang w:val="en-US" w:eastAsia="zh-CN"/>
        </w:rPr>
        <w:t>规定。</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（2）骨架安装</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桁架、檩条、椽子</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桁架由上下弦、腹杆及两头封板组成，上下弦、腹杆及封板的取材、腹杆结构及焊接要求应符合钢桁架检验及验收标准。</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檩条与立柱连接应采用螺丝铰接，不允许采用钻尾螺丝固定。</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椽子应相互平行并垂直于地平面，人字梁与水平面的角度为23°。</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（3）立柱、门</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根据规范浇筑好基础，立柱通过底座连接板和基础上预埋螺栓（4个）固定。立柱底座连接板可通过焊接加强筋方式增加强度。</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立柱不允许拼接，不得采用现场焊接等破坏构件表面防腐层的连接方法。</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温室两端面第二开间设“×”型柱间支撑，温室长度超过60m的每增加30米增设1组。</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温室生产用门尺寸应满足宜机化使用需求。各连接件和紧固件安装位置准确、牢固，无漏装、松动。温室的门安装后应移动灵活、转动自如、关闭严密、无卡死现象。</w:t>
      </w:r>
    </w:p>
    <w:p>
      <w:pPr>
        <w:pStyle w:val="45"/>
        <w:spacing w:beforeLines="0" w:afterLines="0" w:line="360" w:lineRule="auto"/>
        <w:ind w:firstLine="420" w:firstLineChars="200"/>
        <w:rPr>
          <w:rFonts w:hint="eastAsia" w:hAnsi="黑体"/>
          <w:color w:val="000000"/>
          <w:kern w:val="44"/>
          <w:lang w:val="en-US" w:eastAsia="zh-CN"/>
        </w:rPr>
      </w:pPr>
      <w:bookmarkStart w:id="87" w:name="_Toc1925"/>
      <w:bookmarkStart w:id="88" w:name="_Toc2721"/>
      <w:r>
        <w:rPr>
          <w:rFonts w:hint="eastAsia" w:hAnsi="黑体"/>
          <w:color w:val="000000"/>
          <w:kern w:val="44"/>
          <w:lang w:val="en-US" w:eastAsia="zh-CN"/>
        </w:rPr>
        <w:t>4.5 覆盖材料</w:t>
      </w:r>
      <w:bookmarkEnd w:id="87"/>
      <w:bookmarkEnd w:id="88"/>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.5.1 </w:t>
      </w:r>
      <w:r>
        <w:rPr>
          <w:rFonts w:hint="default" w:hAnsi="宋体" w:eastAsia="宋体"/>
          <w:color w:val="000000"/>
          <w:lang w:val="en-US" w:eastAsia="zh-CN"/>
        </w:rPr>
        <w:t>材料要求</w:t>
      </w:r>
    </w:p>
    <w:p>
      <w:pPr>
        <w:pStyle w:val="41"/>
        <w:spacing w:line="360" w:lineRule="auto"/>
        <w:ind w:firstLine="31680"/>
        <w:rPr>
          <w:rFonts w:hint="eastAsia" w:hAnsi="宋体" w:eastAsia="宋体"/>
          <w:color w:val="000000"/>
          <w:lang w:val="en-US" w:eastAsia="zh-CN"/>
        </w:rPr>
      </w:pPr>
      <w:r>
        <w:rPr>
          <w:rFonts w:hint="default" w:hAnsi="宋体" w:eastAsia="宋体"/>
          <w:color w:val="000000"/>
          <w:lang w:val="en-US" w:eastAsia="zh-CN"/>
        </w:rPr>
        <w:t>温室覆盖玻璃应选用钢化玻璃或</w:t>
      </w:r>
      <w:r>
        <w:rPr>
          <w:rFonts w:hint="eastAsia" w:hAnsi="宋体" w:eastAsia="宋体"/>
          <w:color w:val="000000"/>
          <w:lang w:val="en-US" w:eastAsia="zh-CN"/>
        </w:rPr>
        <w:t>中空</w:t>
      </w:r>
      <w:r>
        <w:rPr>
          <w:rFonts w:hint="default" w:hAnsi="宋体" w:eastAsia="宋体"/>
          <w:color w:val="000000"/>
          <w:lang w:val="en-US" w:eastAsia="zh-CN"/>
        </w:rPr>
        <w:t xml:space="preserve">玻璃，符合 </w:t>
      </w:r>
      <w:r>
        <w:rPr>
          <w:rFonts w:hint="eastAsia" w:hAnsi="宋体" w:eastAsia="宋体"/>
          <w:color w:val="000000"/>
          <w:lang w:val="en-US" w:eastAsia="zh-CN"/>
        </w:rPr>
        <w:t>GB5763</w:t>
      </w:r>
      <w:r>
        <w:rPr>
          <w:rFonts w:hint="default" w:hAnsi="宋体" w:eastAsia="宋体"/>
          <w:color w:val="000000"/>
          <w:lang w:val="en-US" w:eastAsia="zh-CN"/>
        </w:rPr>
        <w:t>、</w:t>
      </w:r>
      <w:r>
        <w:rPr>
          <w:rFonts w:hint="eastAsia" w:hAnsi="宋体" w:eastAsia="宋体"/>
          <w:color w:val="000000"/>
          <w:lang w:val="en-US" w:eastAsia="zh-CN"/>
        </w:rPr>
        <w:t>GB/T11944</w:t>
      </w:r>
      <w:r>
        <w:rPr>
          <w:rFonts w:hint="default" w:hAnsi="宋体" w:eastAsia="宋体"/>
          <w:color w:val="000000"/>
          <w:lang w:val="en-US" w:eastAsia="zh-CN"/>
        </w:rPr>
        <w:t>的规定。屋面玻璃厚度不应小于</w:t>
      </w:r>
      <w:r>
        <w:rPr>
          <w:rFonts w:hint="eastAsia" w:hAnsi="宋体" w:eastAsia="宋体"/>
          <w:color w:val="000000"/>
          <w:lang w:val="en-US" w:eastAsia="zh-CN"/>
        </w:rPr>
        <w:t>4</w:t>
      </w:r>
      <w:r>
        <w:rPr>
          <w:rFonts w:hint="default" w:hAnsi="宋体" w:eastAsia="宋体"/>
          <w:color w:val="000000"/>
          <w:lang w:val="en-US" w:eastAsia="zh-CN"/>
        </w:rPr>
        <w:t xml:space="preserve"> mm，侧墙玻璃厚度不应小于</w:t>
      </w:r>
      <w:r>
        <w:rPr>
          <w:rFonts w:hint="eastAsia" w:hAnsi="宋体" w:eastAsia="宋体"/>
          <w:color w:val="000000"/>
          <w:lang w:val="en-US" w:eastAsia="zh-CN"/>
        </w:rPr>
        <w:t>5</w:t>
      </w:r>
      <w:r>
        <w:rPr>
          <w:rFonts w:hint="default" w:hAnsi="宋体" w:eastAsia="宋体"/>
          <w:color w:val="000000"/>
          <w:lang w:val="en-US" w:eastAsia="zh-CN"/>
        </w:rPr>
        <w:t xml:space="preserve"> mm，透光率不应低于</w:t>
      </w:r>
      <w:r>
        <w:rPr>
          <w:rFonts w:hint="eastAsia" w:hAnsi="宋体" w:eastAsia="宋体"/>
          <w:color w:val="000000"/>
          <w:lang w:val="en-US" w:eastAsia="zh-CN"/>
        </w:rPr>
        <w:t>90</w:t>
      </w:r>
      <w:r>
        <w:rPr>
          <w:rFonts w:hint="default" w:hAnsi="宋体" w:eastAsia="宋体"/>
          <w:color w:val="000000"/>
          <w:lang w:val="en-US" w:eastAsia="zh-CN"/>
        </w:rPr>
        <w:t>%。</w:t>
      </w:r>
      <w:r>
        <w:rPr>
          <w:rFonts w:hint="eastAsia" w:hAnsi="宋体" w:eastAsia="宋体"/>
          <w:color w:val="000000"/>
          <w:lang w:val="en-US" w:eastAsia="zh-CN"/>
        </w:rPr>
        <w:t>覆盖材料安装完成后应采用专用密封件或密封胶在各个连接节点处打胶。 其他应符合 附录A 的规定要求。</w:t>
      </w:r>
    </w:p>
    <w:p>
      <w:pPr>
        <w:pStyle w:val="41"/>
        <w:spacing w:line="360" w:lineRule="auto"/>
        <w:ind w:firstLine="31680"/>
        <w:rPr>
          <w:rFonts w:hint="default" w:hAnsi="宋体" w:eastAsia="宋体"/>
          <w:color w:val="000000"/>
          <w:lang w:val="en-US" w:eastAsia="zh-CN"/>
        </w:rPr>
      </w:pPr>
      <w:r>
        <w:rPr>
          <w:rFonts w:hint="eastAsia" w:ascii="黑体" w:hAnsi="黑体" w:eastAsia="黑体" w:cs="黑体"/>
          <w:color w:val="000000"/>
          <w:kern w:val="44"/>
          <w:sz w:val="21"/>
          <w:szCs w:val="21"/>
          <w:lang w:val="en-US" w:eastAsia="zh-CN" w:bidi="ar-SA"/>
        </w:rPr>
        <w:t>4</w:t>
      </w:r>
      <w:r>
        <w:rPr>
          <w:rFonts w:hint="default" w:ascii="黑体" w:hAnsi="黑体" w:eastAsia="黑体" w:cs="黑体"/>
          <w:color w:val="000000"/>
          <w:kern w:val="44"/>
          <w:sz w:val="21"/>
          <w:szCs w:val="21"/>
          <w:lang w:val="en-US" w:eastAsia="zh-CN" w:bidi="ar-SA"/>
        </w:rPr>
        <w:t xml:space="preserve">.5.2 </w:t>
      </w:r>
      <w:r>
        <w:rPr>
          <w:rFonts w:hint="default" w:hAnsi="宋体" w:eastAsia="宋体"/>
          <w:color w:val="000000"/>
          <w:lang w:val="en-US" w:eastAsia="zh-CN"/>
        </w:rPr>
        <w:t>安装要求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（1）</w:t>
      </w:r>
      <w:r>
        <w:rPr>
          <w:rFonts w:hint="default" w:hAnsi="宋体" w:eastAsia="宋体"/>
          <w:color w:val="000000"/>
          <w:lang w:val="en-US" w:eastAsia="zh-CN"/>
        </w:rPr>
        <w:t>玻璃安装</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1 \* GB3 \* MERGEFORMAT </w:instrText>
      </w:r>
      <w:r>
        <w:rPr>
          <w:rFonts w:hint="eastAsia" w:hAnsi="宋体" w:eastAsia="宋体"/>
          <w:color w:val="000000"/>
          <w:lang w:val="en-US" w:eastAsia="zh-CN"/>
        </w:rPr>
        <w:fldChar w:fldCharType="separate"/>
      </w:r>
      <w:r>
        <w:t>①</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玻璃安装前应清除表面污垢</w:t>
      </w:r>
      <w:r>
        <w:rPr>
          <w:rFonts w:hint="eastAsia" w:hAnsi="宋体" w:eastAsia="宋体"/>
          <w:color w:val="000000"/>
          <w:lang w:val="en-US" w:eastAsia="zh-CN"/>
        </w:rPr>
        <w:t>，</w:t>
      </w:r>
      <w:r>
        <w:rPr>
          <w:rFonts w:hint="default" w:hAnsi="宋体" w:eastAsia="宋体"/>
          <w:color w:val="000000"/>
          <w:lang w:val="en-US" w:eastAsia="zh-CN"/>
        </w:rPr>
        <w:t>有裂纹、破损等缺陷的玻璃不应安装。</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2 \* GB3 \* MERGEFORMAT </w:instrText>
      </w:r>
      <w:r>
        <w:rPr>
          <w:rFonts w:hint="eastAsia" w:hAnsi="宋体" w:eastAsia="宋体"/>
          <w:color w:val="000000"/>
          <w:lang w:val="en-US" w:eastAsia="zh-CN"/>
        </w:rPr>
        <w:fldChar w:fldCharType="separate"/>
      </w:r>
      <w:r>
        <w:t>②</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玻璃安装前应确保铝合金型材安装牢固</w:t>
      </w:r>
      <w:r>
        <w:rPr>
          <w:rFonts w:hint="eastAsia" w:hAnsi="宋体" w:eastAsia="宋体"/>
          <w:color w:val="000000"/>
          <w:lang w:val="en-US" w:eastAsia="zh-CN"/>
        </w:rPr>
        <w:t>，</w:t>
      </w:r>
      <w:r>
        <w:rPr>
          <w:rFonts w:hint="default" w:hAnsi="宋体" w:eastAsia="宋体"/>
          <w:color w:val="000000"/>
          <w:lang w:val="en-US" w:eastAsia="zh-CN"/>
        </w:rPr>
        <w:t>检查并清除铝合金型材内杂物和毛刺。</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3 \* GB3 \* MERGEFORMAT </w:instrText>
      </w:r>
      <w:r>
        <w:rPr>
          <w:rFonts w:hint="eastAsia" w:hAnsi="宋体" w:eastAsia="宋体"/>
          <w:color w:val="000000"/>
          <w:lang w:val="en-US" w:eastAsia="zh-CN"/>
        </w:rPr>
        <w:fldChar w:fldCharType="separate"/>
      </w:r>
      <w:r>
        <w:t>③</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玻璃应固定牢固，朝向正确，在铝合金型材内的嵌入量及间隙应符合设计要求，设计无要求时玻璃与铝合金型材框之间总间隙应为3mm~4mm。玻璃下边沿支撑块</w:t>
      </w:r>
      <w:r>
        <w:rPr>
          <w:rFonts w:hint="eastAsia" w:hAnsi="宋体" w:eastAsia="宋体"/>
          <w:color w:val="000000"/>
          <w:lang w:val="en-US" w:eastAsia="zh-CN"/>
        </w:rPr>
        <w:t>（</w:t>
      </w:r>
      <w:r>
        <w:rPr>
          <w:rFonts w:hint="default" w:hAnsi="宋体" w:eastAsia="宋体"/>
          <w:color w:val="000000"/>
          <w:lang w:val="en-US" w:eastAsia="zh-CN"/>
        </w:rPr>
        <w:t>条</w:t>
      </w:r>
      <w:r>
        <w:rPr>
          <w:rFonts w:hint="eastAsia" w:hAnsi="宋体" w:eastAsia="宋体"/>
          <w:color w:val="000000"/>
          <w:lang w:val="en-US" w:eastAsia="zh-CN"/>
        </w:rPr>
        <w:t>）</w:t>
      </w:r>
      <w:r>
        <w:rPr>
          <w:rFonts w:hint="default" w:hAnsi="宋体" w:eastAsia="宋体"/>
          <w:color w:val="000000"/>
          <w:lang w:val="en-US" w:eastAsia="zh-CN"/>
        </w:rPr>
        <w:t>、两侧定位块尺寸及位置应符合JG</w:t>
      </w:r>
      <w:r>
        <w:rPr>
          <w:rFonts w:hint="eastAsia" w:hAnsi="宋体" w:eastAsia="宋体"/>
          <w:color w:val="000000"/>
          <w:lang w:val="en-US" w:eastAsia="zh-CN"/>
        </w:rPr>
        <w:t xml:space="preserve">J </w:t>
      </w:r>
      <w:r>
        <w:rPr>
          <w:rFonts w:hint="default" w:hAnsi="宋体" w:eastAsia="宋体"/>
          <w:color w:val="000000"/>
          <w:lang w:val="en-US" w:eastAsia="zh-CN"/>
        </w:rPr>
        <w:t>113</w:t>
      </w:r>
      <w:r>
        <w:rPr>
          <w:rFonts w:hint="eastAsia" w:hAnsi="宋体" w:eastAsia="宋体"/>
          <w:color w:val="000000"/>
          <w:lang w:val="en-US" w:eastAsia="zh-CN"/>
        </w:rPr>
        <w:t>—</w:t>
      </w:r>
      <w:r>
        <w:rPr>
          <w:rFonts w:hint="default" w:hAnsi="宋体" w:eastAsia="宋体"/>
          <w:color w:val="000000"/>
          <w:lang w:val="en-US" w:eastAsia="zh-CN"/>
        </w:rPr>
        <w:t>2009规定中11.2的要求。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4 \* GB3 \* MERGEFORMAT </w:instrText>
      </w:r>
      <w:r>
        <w:rPr>
          <w:rFonts w:hint="eastAsia" w:hAnsi="宋体" w:eastAsia="宋体"/>
          <w:color w:val="000000"/>
          <w:lang w:val="en-US" w:eastAsia="zh-CN"/>
        </w:rPr>
        <w:fldChar w:fldCharType="separate"/>
      </w:r>
      <w:r>
        <w:t>④</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玻璃宜用吸盘竖向搬运</w:t>
      </w:r>
      <w:r>
        <w:rPr>
          <w:rFonts w:hint="eastAsia" w:hAnsi="宋体" w:eastAsia="宋体"/>
          <w:color w:val="000000"/>
          <w:lang w:val="en-US" w:eastAsia="zh-CN"/>
        </w:rPr>
        <w:t>，</w:t>
      </w:r>
      <w:r>
        <w:rPr>
          <w:rFonts w:hint="default" w:hAnsi="宋体" w:eastAsia="宋体"/>
          <w:color w:val="000000"/>
          <w:lang w:val="en-US" w:eastAsia="zh-CN"/>
        </w:rPr>
        <w:t>不应徒手搬运。</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5 \* GB3 \* MERGEFORMAT </w:instrText>
      </w:r>
      <w:r>
        <w:rPr>
          <w:rFonts w:hint="eastAsia" w:hAnsi="宋体" w:eastAsia="宋体"/>
          <w:color w:val="000000"/>
          <w:lang w:val="en-US" w:eastAsia="zh-CN"/>
        </w:rPr>
        <w:fldChar w:fldCharType="separate"/>
      </w:r>
      <w:r>
        <w:t>⑤</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安装屋面玻璃时</w:t>
      </w:r>
      <w:r>
        <w:rPr>
          <w:rFonts w:hint="eastAsia" w:hAnsi="宋体" w:eastAsia="宋体"/>
          <w:color w:val="000000"/>
          <w:lang w:val="en-US" w:eastAsia="zh-CN"/>
        </w:rPr>
        <w:t>，</w:t>
      </w:r>
      <w:r>
        <w:rPr>
          <w:rFonts w:hint="default" w:hAnsi="宋体" w:eastAsia="宋体"/>
          <w:color w:val="000000"/>
          <w:lang w:val="en-US" w:eastAsia="zh-CN"/>
        </w:rPr>
        <w:t>应设专人监控</w:t>
      </w:r>
      <w:r>
        <w:rPr>
          <w:rFonts w:hint="eastAsia" w:hAnsi="宋体" w:eastAsia="宋体"/>
          <w:color w:val="000000"/>
          <w:lang w:val="en-US" w:eastAsia="zh-CN"/>
        </w:rPr>
        <w:t>，</w:t>
      </w:r>
      <w:r>
        <w:rPr>
          <w:rFonts w:hint="default" w:hAnsi="宋体" w:eastAsia="宋体"/>
          <w:color w:val="000000"/>
          <w:lang w:val="en-US" w:eastAsia="zh-CN"/>
        </w:rPr>
        <w:t>禁止人员在安装点下方通过</w:t>
      </w:r>
      <w:r>
        <w:rPr>
          <w:rFonts w:hint="eastAsia" w:hAnsi="宋体" w:eastAsia="宋体"/>
          <w:color w:val="000000"/>
          <w:lang w:val="en-US" w:eastAsia="zh-CN"/>
        </w:rPr>
        <w:t>。</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6 \* GB3 \* MERGEFORMAT </w:instrText>
      </w:r>
      <w:r>
        <w:rPr>
          <w:rFonts w:hint="eastAsia" w:hAnsi="宋体" w:eastAsia="宋体"/>
          <w:color w:val="000000"/>
          <w:lang w:val="en-US" w:eastAsia="zh-CN"/>
        </w:rPr>
        <w:fldChar w:fldCharType="separate"/>
      </w:r>
      <w:r>
        <w:t>⑥</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安装墙面玻璃时</w:t>
      </w:r>
      <w:r>
        <w:rPr>
          <w:rFonts w:hint="eastAsia" w:hAnsi="宋体" w:eastAsia="宋体"/>
          <w:color w:val="000000"/>
          <w:lang w:val="en-US" w:eastAsia="zh-CN"/>
        </w:rPr>
        <w:t>，</w:t>
      </w:r>
      <w:r>
        <w:rPr>
          <w:rFonts w:hint="default" w:hAnsi="宋体" w:eastAsia="宋体"/>
          <w:color w:val="000000"/>
          <w:lang w:val="en-US" w:eastAsia="zh-CN"/>
        </w:rPr>
        <w:t>不应在竖直方向的上下两层同时作业。</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7 \* GB3 \* MERGEFORMAT </w:instrText>
      </w:r>
      <w:r>
        <w:rPr>
          <w:rFonts w:hint="eastAsia" w:hAnsi="宋体" w:eastAsia="宋体"/>
          <w:color w:val="000000"/>
          <w:lang w:val="en-US" w:eastAsia="zh-CN"/>
        </w:rPr>
        <w:fldChar w:fldCharType="separate"/>
      </w:r>
      <w:r>
        <w:t>⑦</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不应将梯子倚靠在玻璃面上操作。</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8 \* GB3 \* MERGEFORMAT </w:instrText>
      </w:r>
      <w:r>
        <w:rPr>
          <w:rFonts w:hint="eastAsia" w:hAnsi="宋体" w:eastAsia="宋体"/>
          <w:color w:val="000000"/>
          <w:lang w:val="en-US" w:eastAsia="zh-CN"/>
        </w:rPr>
        <w:fldChar w:fldCharType="separate"/>
      </w:r>
      <w:r>
        <w:t>⑧</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安装在易于受到人体或物体碰撞部位的玻璃应采取保护措施。</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9 \* GB3 \* MERGEFORMAT </w:instrText>
      </w:r>
      <w:r>
        <w:rPr>
          <w:rFonts w:hint="eastAsia" w:hAnsi="宋体" w:eastAsia="宋体"/>
          <w:color w:val="000000"/>
          <w:lang w:val="en-US" w:eastAsia="zh-CN"/>
        </w:rPr>
        <w:fldChar w:fldCharType="separate"/>
      </w:r>
      <w:r>
        <w:t>⑨</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安装完毕应对玻璃表面进行清洁</w:t>
      </w:r>
      <w:r>
        <w:rPr>
          <w:rFonts w:hint="eastAsia" w:hAnsi="宋体" w:eastAsia="宋体"/>
          <w:color w:val="000000"/>
          <w:lang w:val="en-US" w:eastAsia="zh-CN"/>
        </w:rPr>
        <w:t>，</w:t>
      </w:r>
      <w:r>
        <w:rPr>
          <w:rFonts w:hint="default" w:hAnsi="宋体" w:eastAsia="宋体"/>
          <w:color w:val="000000"/>
          <w:lang w:val="en-US" w:eastAsia="zh-CN"/>
        </w:rPr>
        <w:t>不应使用对铝合金型材、玻璃、密封材料等有腐蚀性的清洁剂。</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（2）</w:t>
      </w:r>
      <w:r>
        <w:rPr>
          <w:rFonts w:hint="default" w:hAnsi="宋体" w:eastAsia="宋体"/>
          <w:color w:val="000000"/>
          <w:lang w:val="en-US" w:eastAsia="zh-CN"/>
        </w:rPr>
        <w:t>密封材料安装</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1 \* GB3 \* MERGEFORMAT </w:instrText>
      </w:r>
      <w:r>
        <w:rPr>
          <w:rFonts w:hint="eastAsia" w:hAnsi="宋体" w:eastAsia="宋体"/>
          <w:color w:val="000000"/>
          <w:lang w:val="en-US" w:eastAsia="zh-CN"/>
        </w:rPr>
        <w:fldChar w:fldCharType="separate"/>
      </w:r>
      <w:r>
        <w:t>①</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密封条安装应符合下列要求</w:t>
      </w:r>
      <w:r>
        <w:rPr>
          <w:rFonts w:hint="eastAsia" w:hAnsi="宋体" w:eastAsia="宋体"/>
          <w:color w:val="000000"/>
          <w:lang w:val="en-US" w:eastAsia="zh-CN"/>
        </w:rPr>
        <w:t>：</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a）</w:t>
      </w:r>
      <w:r>
        <w:rPr>
          <w:rFonts w:hint="default" w:hAnsi="宋体" w:eastAsia="宋体"/>
          <w:color w:val="000000"/>
          <w:lang w:val="en-US" w:eastAsia="zh-CN"/>
        </w:rPr>
        <w:t>安装密封条前应检查并去除铝合金型材断面毛刺</w:t>
      </w:r>
      <w:r>
        <w:rPr>
          <w:rFonts w:hint="eastAsia" w:hAnsi="宋体" w:eastAsia="宋体"/>
          <w:color w:val="000000"/>
          <w:lang w:val="en-US" w:eastAsia="zh-CN"/>
        </w:rPr>
        <w:t>；</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b）</w:t>
      </w:r>
      <w:r>
        <w:rPr>
          <w:rFonts w:hint="default" w:hAnsi="宋体" w:eastAsia="宋体"/>
          <w:color w:val="000000"/>
          <w:lang w:val="en-US" w:eastAsia="zh-CN"/>
        </w:rPr>
        <w:t>密封条安装时应使用专用工具</w:t>
      </w:r>
      <w:r>
        <w:rPr>
          <w:rFonts w:hint="eastAsia" w:hAnsi="宋体" w:eastAsia="宋体"/>
          <w:color w:val="000000"/>
          <w:lang w:val="en-US" w:eastAsia="zh-CN"/>
        </w:rPr>
        <w:t>，</w:t>
      </w:r>
      <w:r>
        <w:rPr>
          <w:rFonts w:hint="default" w:hAnsi="宋体" w:eastAsia="宋体"/>
          <w:color w:val="000000"/>
          <w:lang w:val="en-US" w:eastAsia="zh-CN"/>
        </w:rPr>
        <w:t>不应强行安装</w:t>
      </w:r>
      <w:r>
        <w:rPr>
          <w:rFonts w:hint="eastAsia" w:hAnsi="宋体" w:eastAsia="宋体"/>
          <w:color w:val="000000"/>
          <w:lang w:val="en-US" w:eastAsia="zh-CN"/>
        </w:rPr>
        <w:t>；</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c）</w:t>
      </w:r>
      <w:r>
        <w:rPr>
          <w:rFonts w:hint="default" w:hAnsi="宋体" w:eastAsia="宋体"/>
          <w:color w:val="000000"/>
          <w:lang w:val="en-US" w:eastAsia="zh-CN"/>
        </w:rPr>
        <w:t>密封条末端应留有总长度1%~2%的收缩余量</w:t>
      </w:r>
      <w:r>
        <w:rPr>
          <w:rFonts w:hint="eastAsia" w:hAnsi="宋体" w:eastAsia="宋体"/>
          <w:color w:val="000000"/>
          <w:lang w:val="en-US" w:eastAsia="zh-CN"/>
        </w:rPr>
        <w:t>，</w:t>
      </w:r>
      <w:r>
        <w:rPr>
          <w:rFonts w:hint="default" w:hAnsi="宋体" w:eastAsia="宋体"/>
          <w:color w:val="000000"/>
          <w:lang w:val="en-US" w:eastAsia="zh-CN"/>
        </w:rPr>
        <w:t>并保持所留长度一致</w:t>
      </w:r>
      <w:r>
        <w:rPr>
          <w:rFonts w:hint="eastAsia" w:hAnsi="宋体" w:eastAsia="宋体"/>
          <w:color w:val="000000"/>
          <w:lang w:val="en-US" w:eastAsia="zh-CN"/>
        </w:rPr>
        <w:t>；</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d）</w:t>
      </w:r>
      <w:r>
        <w:rPr>
          <w:rFonts w:hint="default" w:hAnsi="宋体" w:eastAsia="宋体"/>
          <w:color w:val="000000"/>
          <w:lang w:val="en-US" w:eastAsia="zh-CN"/>
        </w:rPr>
        <w:t>密封条在连续线上不宜截断安装</w:t>
      </w:r>
      <w:r>
        <w:rPr>
          <w:rFonts w:hint="eastAsia" w:hAnsi="宋体" w:eastAsia="宋体"/>
          <w:color w:val="000000"/>
          <w:lang w:val="en-US" w:eastAsia="zh-CN"/>
        </w:rPr>
        <w:t>，</w:t>
      </w:r>
      <w:r>
        <w:rPr>
          <w:rFonts w:hint="default" w:hAnsi="宋体" w:eastAsia="宋体"/>
          <w:color w:val="000000"/>
          <w:lang w:val="en-US" w:eastAsia="zh-CN"/>
        </w:rPr>
        <w:t>如截断时</w:t>
      </w:r>
      <w:r>
        <w:rPr>
          <w:rFonts w:hint="eastAsia" w:hAnsi="宋体" w:eastAsia="宋体"/>
          <w:color w:val="000000"/>
          <w:lang w:val="en-US" w:eastAsia="zh-CN"/>
        </w:rPr>
        <w:t>，</w:t>
      </w:r>
      <w:r>
        <w:rPr>
          <w:rFonts w:hint="default" w:hAnsi="宋体" w:eastAsia="宋体"/>
          <w:color w:val="000000"/>
          <w:lang w:val="en-US" w:eastAsia="zh-CN"/>
        </w:rPr>
        <w:t>断口处应采取密封措施</w:t>
      </w:r>
      <w:r>
        <w:rPr>
          <w:rFonts w:hint="eastAsia" w:hAnsi="宋体" w:eastAsia="宋体"/>
          <w:color w:val="000000"/>
          <w:lang w:val="en-US" w:eastAsia="zh-CN"/>
        </w:rPr>
        <w:t>；</w:t>
      </w:r>
      <w:r>
        <w:rPr>
          <w:rFonts w:hint="default" w:hAnsi="宋体" w:eastAsia="宋体"/>
          <w:color w:val="000000"/>
          <w:lang w:val="en-US" w:eastAsia="zh-CN"/>
        </w:rPr>
        <w:t>上悬窗转角处密封条应斜向断开</w:t>
      </w:r>
      <w:r>
        <w:rPr>
          <w:rFonts w:hint="eastAsia" w:hAnsi="宋体" w:eastAsia="宋体"/>
          <w:color w:val="000000"/>
          <w:lang w:val="en-US" w:eastAsia="zh-CN"/>
        </w:rPr>
        <w:t>，</w:t>
      </w:r>
      <w:r>
        <w:rPr>
          <w:rFonts w:hint="default" w:hAnsi="宋体" w:eastAsia="宋体"/>
          <w:color w:val="000000"/>
          <w:lang w:val="en-US" w:eastAsia="zh-CN"/>
        </w:rPr>
        <w:t>且对接严密</w:t>
      </w:r>
      <w:r>
        <w:rPr>
          <w:rFonts w:hint="eastAsia" w:hAnsi="宋体" w:eastAsia="宋体"/>
          <w:color w:val="000000"/>
          <w:lang w:val="en-US" w:eastAsia="zh-CN"/>
        </w:rPr>
        <w:t>；</w:t>
      </w:r>
    </w:p>
    <w:p>
      <w:pPr>
        <w:pStyle w:val="41"/>
        <w:spacing w:line="360" w:lineRule="auto"/>
        <w:ind w:firstLine="31680"/>
        <w:rPr>
          <w:rFonts w:hint="eastAsia" w:hAnsi="宋体" w:eastAsia="宋体"/>
          <w:color w:val="000000"/>
          <w:lang w:val="en-US" w:eastAsia="zh-CN"/>
        </w:rPr>
      </w:pPr>
      <w:r>
        <w:rPr>
          <w:rFonts w:hint="eastAsia" w:hAnsi="宋体" w:eastAsia="宋体"/>
          <w:color w:val="000000"/>
          <w:lang w:val="en-US" w:eastAsia="zh-CN"/>
        </w:rPr>
        <w:t>e）</w:t>
      </w:r>
      <w:r>
        <w:rPr>
          <w:rFonts w:hint="default" w:hAnsi="宋体" w:eastAsia="宋体"/>
          <w:color w:val="000000"/>
          <w:lang w:val="en-US" w:eastAsia="zh-CN"/>
        </w:rPr>
        <w:t>密封条在墙面顶端相交时应横(斜)条压竖条</w:t>
      </w:r>
      <w:r>
        <w:rPr>
          <w:rFonts w:hint="eastAsia" w:hAnsi="宋体" w:eastAsia="宋体"/>
          <w:color w:val="000000"/>
          <w:lang w:val="en-US" w:eastAsia="zh-CN"/>
        </w:rPr>
        <w:t>，</w:t>
      </w:r>
      <w:r>
        <w:rPr>
          <w:rFonts w:hint="default" w:hAnsi="宋体" w:eastAsia="宋体"/>
          <w:color w:val="000000"/>
          <w:lang w:val="en-US" w:eastAsia="zh-CN"/>
        </w:rPr>
        <w:t>在其他位置相交时应竖条压横条</w:t>
      </w:r>
      <w:r>
        <w:rPr>
          <w:rFonts w:hint="eastAsia" w:hAnsi="宋体" w:eastAsia="宋体"/>
          <w:color w:val="000000"/>
          <w:lang w:val="en-US" w:eastAsia="zh-CN"/>
        </w:rPr>
        <w:t>。</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fldChar w:fldCharType="begin"/>
      </w:r>
      <w:r>
        <w:rPr>
          <w:rFonts w:hint="eastAsia" w:hAnsi="宋体" w:eastAsia="宋体"/>
          <w:color w:val="000000"/>
          <w:lang w:val="en-US" w:eastAsia="zh-CN"/>
        </w:rPr>
        <w:instrText xml:space="preserve"> = 2 \* GB3 \* MERGEFORMAT </w:instrText>
      </w:r>
      <w:r>
        <w:rPr>
          <w:rFonts w:hint="eastAsia" w:hAnsi="宋体" w:eastAsia="宋体"/>
          <w:color w:val="000000"/>
          <w:lang w:val="en-US" w:eastAsia="zh-CN"/>
        </w:rPr>
        <w:fldChar w:fldCharType="separate"/>
      </w:r>
      <w:r>
        <w:t>②</w:t>
      </w:r>
      <w:r>
        <w:rPr>
          <w:rFonts w:hint="eastAsia" w:hAnsi="宋体" w:eastAsia="宋体"/>
          <w:color w:val="000000"/>
          <w:lang w:val="en-US" w:eastAsia="zh-CN"/>
        </w:rPr>
        <w:fldChar w:fldCharType="end"/>
      </w:r>
      <w:r>
        <w:rPr>
          <w:rFonts w:hint="eastAsia" w:hAnsi="宋体" w:eastAsia="宋体"/>
          <w:color w:val="000000"/>
          <w:lang w:val="en-US" w:eastAsia="zh-CN"/>
        </w:rPr>
        <w:t xml:space="preserve"> </w:t>
      </w:r>
      <w:r>
        <w:rPr>
          <w:rFonts w:hint="default" w:hAnsi="宋体" w:eastAsia="宋体"/>
          <w:color w:val="000000"/>
          <w:lang w:val="en-US" w:eastAsia="zh-CN"/>
        </w:rPr>
        <w:t>密封胶打注应符合下列要求</w:t>
      </w:r>
      <w:r>
        <w:rPr>
          <w:rFonts w:hint="eastAsia" w:hAnsi="宋体" w:eastAsia="宋体"/>
          <w:color w:val="000000"/>
          <w:lang w:val="en-US" w:eastAsia="zh-CN"/>
        </w:rPr>
        <w:t>：</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a）</w:t>
      </w:r>
      <w:r>
        <w:rPr>
          <w:rFonts w:hint="default" w:hAnsi="宋体" w:eastAsia="宋体"/>
          <w:color w:val="000000"/>
          <w:lang w:val="en-US" w:eastAsia="zh-CN"/>
        </w:rPr>
        <w:t>密封胶打注前应将打胶面清洁、干燥。</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b）</w:t>
      </w:r>
      <w:r>
        <w:rPr>
          <w:rFonts w:hint="default" w:hAnsi="宋体" w:eastAsia="宋体"/>
          <w:color w:val="000000"/>
          <w:lang w:val="en-US" w:eastAsia="zh-CN"/>
        </w:rPr>
        <w:t>密封胶应在有效期内使用。</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c）</w:t>
      </w:r>
      <w:r>
        <w:rPr>
          <w:rFonts w:hint="default" w:hAnsi="宋体" w:eastAsia="宋体"/>
          <w:color w:val="000000"/>
          <w:lang w:val="en-US" w:eastAsia="zh-CN"/>
        </w:rPr>
        <w:t>密封胶打注时应光线充足、环境清洁、通风良好</w:t>
      </w:r>
      <w:r>
        <w:rPr>
          <w:rFonts w:hint="eastAsia" w:hAnsi="宋体" w:eastAsia="宋体"/>
          <w:color w:val="000000"/>
          <w:lang w:val="en-US" w:eastAsia="zh-CN"/>
        </w:rPr>
        <w:t>，</w:t>
      </w:r>
      <w:r>
        <w:rPr>
          <w:rFonts w:hint="default" w:hAnsi="宋体" w:eastAsia="宋体"/>
          <w:color w:val="000000"/>
          <w:lang w:val="en-US" w:eastAsia="zh-CN"/>
        </w:rPr>
        <w:t>现场温度、湿度条件应符合产品使用要求</w:t>
      </w:r>
      <w:r>
        <w:rPr>
          <w:rFonts w:hint="eastAsia" w:hAnsi="宋体" w:eastAsia="宋体"/>
          <w:color w:val="000000"/>
          <w:lang w:val="en-US" w:eastAsia="zh-CN"/>
        </w:rPr>
        <w:t>。</w:t>
      </w:r>
    </w:p>
    <w:p>
      <w:pPr>
        <w:pStyle w:val="41"/>
        <w:spacing w:line="360" w:lineRule="auto"/>
        <w:ind w:firstLine="31680"/>
        <w:rPr>
          <w:rFonts w:hint="default" w:hAnsi="宋体" w:eastAsia="宋体"/>
          <w:color w:val="000000"/>
          <w:lang w:val="en-US" w:eastAsia="zh-CN"/>
        </w:rPr>
      </w:pPr>
      <w:r>
        <w:rPr>
          <w:rFonts w:hint="eastAsia" w:hAnsi="宋体" w:eastAsia="宋体"/>
          <w:color w:val="000000"/>
          <w:lang w:val="en-US" w:eastAsia="zh-CN"/>
        </w:rPr>
        <w:t>d）</w:t>
      </w:r>
      <w:r>
        <w:rPr>
          <w:rFonts w:hint="default" w:hAnsi="宋体" w:eastAsia="宋体"/>
          <w:color w:val="000000"/>
          <w:lang w:val="en-US" w:eastAsia="zh-CN"/>
        </w:rPr>
        <w:t>密封胶打注后应清除铝合金型材、玻璃、密封材料表面的残胶</w:t>
      </w:r>
      <w:r>
        <w:rPr>
          <w:rFonts w:hint="eastAsia" w:hAnsi="宋体" w:eastAsia="宋体"/>
          <w:color w:val="000000"/>
          <w:lang w:val="en-US" w:eastAsia="zh-CN"/>
        </w:rPr>
        <w:t>，</w:t>
      </w:r>
      <w:r>
        <w:rPr>
          <w:rFonts w:hint="default" w:hAnsi="宋体" w:eastAsia="宋体"/>
          <w:color w:val="000000"/>
          <w:lang w:val="en-US" w:eastAsia="zh-CN"/>
        </w:rPr>
        <w:t>不应使用尖锐工具。</w:t>
      </w:r>
    </w:p>
    <w:p>
      <w:pPr>
        <w:pStyle w:val="2"/>
        <w:spacing w:beforeLines="100" w:afterLines="100" w:line="240" w:lineRule="auto"/>
        <w:rPr>
          <w:rFonts w:hint="eastAsia" w:ascii="Times New Roman" w:hAnsi="Times New Roman" w:eastAsia="黑体" w:cs="Times New Roman"/>
          <w:b w:val="0"/>
          <w:bCs w:val="0"/>
          <w:color w:val="000000"/>
          <w:sz w:val="21"/>
          <w:szCs w:val="21"/>
          <w:lang w:val="en-US" w:eastAsia="zh-CN"/>
        </w:rPr>
      </w:pPr>
      <w:bookmarkStart w:id="89" w:name="_Toc17409"/>
      <w:bookmarkStart w:id="90" w:name="_Toc13666"/>
      <w:bookmarkStart w:id="91" w:name="_Toc20207"/>
      <w:bookmarkStart w:id="92" w:name="_Toc21293"/>
      <w:r>
        <w:rPr>
          <w:rFonts w:ascii="黑体" w:hAnsi="黑体" w:eastAsia="黑体" w:cs="黑体"/>
          <w:b w:val="0"/>
          <w:bCs w:val="0"/>
          <w:color w:val="000000"/>
          <w:sz w:val="21"/>
          <w:szCs w:val="21"/>
        </w:rPr>
        <w:t xml:space="preserve">5  </w:t>
      </w:r>
      <w:bookmarkEnd w:id="89"/>
      <w:bookmarkEnd w:id="90"/>
      <w:bookmarkEnd w:id="91"/>
      <w:r>
        <w:rPr>
          <w:rFonts w:hint="eastAsia" w:ascii="黑体" w:hAnsi="黑体" w:eastAsia="黑体" w:cs="黑体"/>
          <w:b w:val="0"/>
          <w:bCs w:val="0"/>
          <w:color w:val="000000"/>
          <w:sz w:val="21"/>
          <w:szCs w:val="21"/>
          <w:lang w:eastAsia="zh-CN"/>
        </w:rPr>
        <w:t>验收</w:t>
      </w:r>
      <w:bookmarkEnd w:id="92"/>
    </w:p>
    <w:p>
      <w:pPr>
        <w:pStyle w:val="45"/>
        <w:spacing w:beforeLines="0" w:afterLines="0" w:line="360" w:lineRule="auto"/>
        <w:ind w:firstLine="420" w:firstLineChars="200"/>
        <w:rPr>
          <w:rFonts w:hint="eastAsia" w:hAnsi="黑体"/>
          <w:color w:val="000000"/>
          <w:kern w:val="44"/>
          <w:lang w:val="en-US" w:eastAsia="zh-CN"/>
        </w:rPr>
      </w:pPr>
      <w:bookmarkStart w:id="93" w:name="_Toc457"/>
      <w:bookmarkStart w:id="94" w:name="_Toc24196"/>
      <w:r>
        <w:rPr>
          <w:rFonts w:hint="eastAsia" w:hAnsi="黑体"/>
          <w:color w:val="000000"/>
          <w:kern w:val="44"/>
          <w:lang w:val="en-US" w:eastAsia="zh-CN"/>
        </w:rPr>
        <w:t>5.1 材料验收</w:t>
      </w:r>
      <w:bookmarkEnd w:id="93"/>
      <w:bookmarkEnd w:id="94"/>
    </w:p>
    <w:p>
      <w:pPr>
        <w:spacing w:line="360" w:lineRule="auto"/>
        <w:ind w:firstLine="420" w:firstLineChars="200"/>
        <w:rPr>
          <w:rFonts w:hint="eastAsia" w:ascii="Times New Roman" w:hAnsi="Times New Roman" w:cs="宋体"/>
          <w:color w:val="000000"/>
          <w:lang w:val="en-US" w:eastAsia="zh-CN"/>
        </w:rPr>
      </w:pPr>
      <w:r>
        <w:rPr>
          <w:rFonts w:hint="eastAsia" w:ascii="黑体" w:hAnsi="黑体" w:eastAsia="黑体" w:cs="黑体"/>
          <w:color w:val="000000"/>
          <w:kern w:val="44"/>
          <w:sz w:val="21"/>
          <w:szCs w:val="21"/>
          <w:lang w:val="en-US" w:eastAsia="zh-CN" w:bidi="ar-SA"/>
        </w:rPr>
        <w:t xml:space="preserve">5.1.1 </w:t>
      </w:r>
      <w:r>
        <w:rPr>
          <w:rFonts w:hint="eastAsia" w:ascii="Times New Roman" w:hAnsi="Times New Roman" w:cs="宋体"/>
          <w:color w:val="000000"/>
          <w:lang w:val="en-US" w:eastAsia="zh-CN"/>
        </w:rPr>
        <w:t>温室验收时，应有产品合格证、产品铭牌等相关技术文件。</w:t>
      </w:r>
    </w:p>
    <w:p>
      <w:pPr>
        <w:spacing w:line="360" w:lineRule="auto"/>
        <w:ind w:firstLine="420" w:firstLineChars="200"/>
        <w:rPr>
          <w:rFonts w:hint="default" w:ascii="Times New Roman" w:hAnsi="Times New Roman" w:cs="宋体"/>
          <w:color w:val="000000"/>
          <w:lang w:val="en-US" w:eastAsia="zh-CN"/>
        </w:rPr>
      </w:pPr>
      <w:r>
        <w:rPr>
          <w:rFonts w:hint="eastAsia" w:ascii="黑体" w:hAnsi="黑体" w:eastAsia="黑体" w:cs="黑体"/>
          <w:color w:val="000000"/>
          <w:kern w:val="44"/>
          <w:sz w:val="21"/>
          <w:szCs w:val="21"/>
          <w:lang w:val="en-US" w:eastAsia="zh-CN" w:bidi="ar-SA"/>
        </w:rPr>
        <w:t xml:space="preserve">5.1.2 </w:t>
      </w:r>
      <w:r>
        <w:rPr>
          <w:rFonts w:hint="default" w:ascii="Times New Roman" w:hAnsi="Times New Roman" w:cs="宋体"/>
          <w:color w:val="000000"/>
          <w:lang w:val="en-US" w:eastAsia="zh-CN"/>
        </w:rPr>
        <w:t>工程施工</w:t>
      </w:r>
      <w:r>
        <w:rPr>
          <w:rFonts w:hint="eastAsia" w:ascii="Times New Roman" w:hAnsi="Times New Roman" w:cs="宋体"/>
          <w:color w:val="000000"/>
          <w:lang w:val="en-US" w:eastAsia="zh-CN"/>
        </w:rPr>
        <w:t>材料</w:t>
      </w:r>
      <w:r>
        <w:rPr>
          <w:rFonts w:hint="default" w:ascii="Times New Roman" w:hAnsi="Times New Roman" w:cs="宋体"/>
          <w:color w:val="000000"/>
          <w:lang w:val="en-US" w:eastAsia="zh-CN"/>
        </w:rPr>
        <w:t>的验收,必须采用经计量检定或校准合格的计量器具。</w:t>
      </w:r>
    </w:p>
    <w:p>
      <w:pPr>
        <w:spacing w:line="360" w:lineRule="auto"/>
        <w:ind w:firstLine="420" w:firstLineChars="200"/>
        <w:rPr>
          <w:rFonts w:hint="eastAsia" w:ascii="Times New Roman" w:hAnsi="Times New Roman" w:cs="宋体"/>
          <w:color w:val="000000"/>
          <w:lang w:val="en-US" w:eastAsia="zh-CN"/>
        </w:rPr>
      </w:pPr>
      <w:r>
        <w:rPr>
          <w:rFonts w:hint="eastAsia" w:ascii="黑体" w:hAnsi="黑体" w:eastAsia="黑体" w:cs="黑体"/>
          <w:color w:val="000000"/>
          <w:kern w:val="44"/>
          <w:sz w:val="21"/>
          <w:szCs w:val="21"/>
          <w:lang w:val="en-US" w:eastAsia="zh-CN" w:bidi="ar-SA"/>
        </w:rPr>
        <w:t xml:space="preserve">5.1.3 </w:t>
      </w:r>
      <w:r>
        <w:rPr>
          <w:rFonts w:hint="eastAsia" w:ascii="Times New Roman" w:hAnsi="Times New Roman" w:cs="宋体"/>
          <w:color w:val="000000"/>
          <w:lang w:val="en-US" w:eastAsia="zh-CN"/>
        </w:rPr>
        <w:t>材料主要部件及技术要求见附录A。</w:t>
      </w:r>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lang w:val="en-US" w:eastAsia="zh-CN"/>
        </w:rPr>
        <w:t>立柱、桁架、天沟、檩条、屋面支撑、柱间支撑、基础、覆盖材料为主控项目，其他为一般项目。</w:t>
      </w:r>
    </w:p>
    <w:p>
      <w:pPr>
        <w:spacing w:line="360" w:lineRule="auto"/>
        <w:ind w:firstLine="420" w:firstLineChars="200"/>
        <w:rPr>
          <w:rFonts w:hint="eastAsia" w:ascii="黑体" w:hAnsi="黑体" w:eastAsia="黑体" w:cs="黑体"/>
          <w:color w:val="000000"/>
          <w:kern w:val="44"/>
          <w:sz w:val="21"/>
          <w:szCs w:val="21"/>
          <w:lang w:val="en-US" w:eastAsia="zh-CN" w:bidi="ar-SA"/>
        </w:rPr>
      </w:pPr>
      <w:r>
        <w:rPr>
          <w:rFonts w:hint="eastAsia" w:ascii="黑体" w:hAnsi="黑体" w:eastAsia="黑体" w:cs="黑体"/>
          <w:color w:val="000000"/>
          <w:kern w:val="44"/>
          <w:sz w:val="21"/>
          <w:szCs w:val="21"/>
          <w:lang w:val="en-US" w:eastAsia="zh-CN" w:bidi="ar-SA"/>
        </w:rPr>
        <w:t>5.1.4 判定规则</w:t>
      </w:r>
    </w:p>
    <w:p>
      <w:pPr>
        <w:spacing w:line="360" w:lineRule="auto"/>
        <w:ind w:firstLine="420" w:firstLineChars="200"/>
        <w:rPr>
          <w:rFonts w:hint="default" w:ascii="Times New Roman" w:hAnsi="Times New Roman" w:cs="宋体"/>
          <w:color w:val="000000"/>
          <w:lang w:val="en-US" w:eastAsia="zh-CN"/>
        </w:rPr>
      </w:pPr>
      <w:r>
        <w:rPr>
          <w:rFonts w:hint="eastAsia" w:ascii="Times New Roman" w:hAnsi="Times New Roman" w:cs="宋体"/>
          <w:color w:val="000000"/>
          <w:lang w:val="en-US" w:eastAsia="zh-CN"/>
        </w:rPr>
        <w:t>主控项目100%符合要求判定合格，一般项目90%符合要求判定合格。</w:t>
      </w:r>
    </w:p>
    <w:p>
      <w:pPr>
        <w:pStyle w:val="45"/>
        <w:spacing w:beforeLines="0" w:afterLines="0" w:line="360" w:lineRule="auto"/>
        <w:ind w:firstLine="420" w:firstLineChars="200"/>
        <w:rPr>
          <w:rFonts w:hint="eastAsia" w:hAnsi="黑体"/>
          <w:color w:val="000000"/>
          <w:kern w:val="44"/>
          <w:lang w:val="en-US" w:eastAsia="zh-CN"/>
        </w:rPr>
      </w:pPr>
      <w:bookmarkStart w:id="95" w:name="_Toc806"/>
      <w:bookmarkStart w:id="96" w:name="_Toc17772"/>
      <w:r>
        <w:rPr>
          <w:rFonts w:hint="eastAsia" w:hAnsi="黑体"/>
          <w:color w:val="000000"/>
          <w:kern w:val="44"/>
          <w:lang w:val="en-US" w:eastAsia="zh-CN"/>
        </w:rPr>
        <w:t>5.2 安装验收</w:t>
      </w:r>
      <w:bookmarkEnd w:id="95"/>
      <w:bookmarkEnd w:id="96"/>
    </w:p>
    <w:p>
      <w:pPr>
        <w:spacing w:line="360" w:lineRule="auto"/>
        <w:ind w:firstLine="420" w:firstLineChars="200"/>
        <w:rPr>
          <w:rFonts w:hint="eastAsia" w:ascii="Times New Roman" w:hAnsi="Times New Roman" w:cs="宋体"/>
          <w:color w:val="000000"/>
          <w:lang w:val="en-US" w:eastAsia="zh-CN"/>
        </w:rPr>
      </w:pPr>
      <w:r>
        <w:rPr>
          <w:rFonts w:hint="eastAsia" w:ascii="黑体" w:hAnsi="黑体" w:eastAsia="黑体" w:cs="黑体"/>
          <w:color w:val="000000"/>
          <w:kern w:val="44"/>
          <w:sz w:val="21"/>
          <w:szCs w:val="21"/>
          <w:lang w:val="en-US" w:eastAsia="zh-CN" w:bidi="ar-SA"/>
        </w:rPr>
        <w:t xml:space="preserve">5.2.1 </w:t>
      </w:r>
      <w:r>
        <w:rPr>
          <w:rFonts w:hint="eastAsia" w:ascii="Times New Roman" w:hAnsi="Times New Roman" w:cs="宋体"/>
          <w:color w:val="000000"/>
          <w:lang w:val="en-US" w:eastAsia="zh-CN"/>
        </w:rPr>
        <w:t>钢结构整体安装质量按一般项目执行,应有90%及以上检查点符合规定,且最大值不应超过允许偏差值的 1.2倍。</w:t>
      </w:r>
    </w:p>
    <w:p>
      <w:pPr>
        <w:spacing w:line="360" w:lineRule="auto"/>
        <w:ind w:firstLine="420" w:firstLineChars="200"/>
        <w:rPr>
          <w:rFonts w:hint="eastAsia" w:ascii="Times New Roman" w:hAnsi="Times New Roman" w:cs="宋体"/>
          <w:color w:val="000000"/>
          <w:lang w:val="en-US" w:eastAsia="zh-CN"/>
        </w:rPr>
      </w:pPr>
      <w:r>
        <w:rPr>
          <w:rFonts w:hint="eastAsia" w:ascii="黑体" w:hAnsi="黑体" w:eastAsia="黑体" w:cs="黑体"/>
          <w:color w:val="000000"/>
          <w:kern w:val="44"/>
          <w:sz w:val="21"/>
          <w:szCs w:val="21"/>
          <w:lang w:val="en-US" w:eastAsia="zh-CN" w:bidi="ar-SA"/>
        </w:rPr>
        <w:t xml:space="preserve">5.2.2 </w:t>
      </w:r>
      <w:r>
        <w:rPr>
          <w:rFonts w:hint="eastAsia" w:ascii="Times New Roman" w:hAnsi="Times New Roman" w:cs="宋体"/>
          <w:color w:val="000000"/>
          <w:lang w:val="en-US" w:eastAsia="zh-CN"/>
        </w:rPr>
        <w:t>对钢结构整体安装质量某项不符合规定时,应扩大一倍数量抽检。对该项再次检验,若复检项目符合规定时,验收合格;若复检项目仍不符合规定时,须整改处理,经整改处理后能满足安全使用要求的可经协商进行验收。</w:t>
      </w:r>
    </w:p>
    <w:p>
      <w:pPr>
        <w:spacing w:line="360" w:lineRule="auto"/>
        <w:ind w:firstLine="420" w:firstLineChars="200"/>
        <w:rPr>
          <w:rFonts w:ascii="黑体" w:hAnsi="黑体" w:eastAsia="黑体" w:cs="黑体"/>
          <w:color w:val="000000"/>
          <w:kern w:val="44"/>
        </w:rPr>
      </w:pPr>
    </w:p>
    <w:p>
      <w:pPr>
        <w:spacing w:line="360" w:lineRule="auto"/>
        <w:ind w:firstLine="420" w:firstLineChars="200"/>
        <w:rPr>
          <w:rFonts w:ascii="黑体" w:hAnsi="黑体" w:eastAsia="黑体" w:cs="黑体"/>
          <w:color w:val="000000"/>
          <w:kern w:val="44"/>
        </w:rPr>
      </w:pPr>
    </w:p>
    <w:p>
      <w:pPr>
        <w:pStyle w:val="4"/>
        <w:spacing w:line="360" w:lineRule="auto"/>
        <w:ind w:firstLine="420" w:firstLineChars="200"/>
        <w:rPr>
          <w:rFonts w:ascii="Times New Roman" w:hAnsi="Times New Roman" w:cs="Times New Roman"/>
          <w:color w:val="000000"/>
          <w:kern w:val="0"/>
          <w:sz w:val="21"/>
          <w:szCs w:val="21"/>
        </w:rPr>
      </w:pPr>
    </w:p>
    <w:p>
      <w:pPr>
        <w:pStyle w:val="4"/>
        <w:spacing w:line="360" w:lineRule="exact"/>
        <w:ind w:firstLine="480" w:firstLineChars="200"/>
        <w:rPr>
          <w:rFonts w:ascii="Times New Roman" w:hAnsi="Times New Roman" w:cs="Times New Roman"/>
          <w:kern w:val="0"/>
        </w:rPr>
        <w:sectPr>
          <w:footerReference r:id="rId5" w:type="default"/>
          <w:pgSz w:w="11907" w:h="16840"/>
          <w:pgMar w:top="1440" w:right="1800" w:bottom="1440" w:left="1800" w:header="851" w:footer="992" w:gutter="0"/>
          <w:pgNumType w:start="1"/>
          <w:cols w:space="425" w:num="1"/>
          <w:docGrid w:type="linesAndChars" w:linePitch="312" w:charSpace="0"/>
        </w:sectPr>
      </w:pPr>
    </w:p>
    <w:p>
      <w:pPr>
        <w:pStyle w:val="2"/>
        <w:spacing w:beforeLines="100" w:afterLines="100" w:line="240" w:lineRule="auto"/>
        <w:jc w:val="center"/>
        <w:rPr>
          <w:rFonts w:hint="default" w:ascii="Times New Roman" w:hAnsi="Times New Roman" w:eastAsia="黑体" w:cs="黑体"/>
          <w:b w:val="0"/>
          <w:bCs w:val="0"/>
          <w:color w:val="000000"/>
          <w:sz w:val="21"/>
          <w:szCs w:val="21"/>
          <w:lang w:val="en-US" w:eastAsia="zh-CN"/>
        </w:rPr>
      </w:pPr>
      <w:bookmarkStart w:id="97" w:name="_Toc16273"/>
      <w:r>
        <w:rPr>
          <w:rFonts w:hint="eastAsia" w:ascii="Times New Roman" w:hAnsi="Times New Roman" w:eastAsia="黑体" w:cs="黑体"/>
          <w:b w:val="0"/>
          <w:bCs w:val="0"/>
          <w:color w:val="000000"/>
          <w:sz w:val="21"/>
          <w:szCs w:val="21"/>
        </w:rPr>
        <w:t>附 录</w:t>
      </w:r>
      <w:r>
        <w:rPr>
          <w:rFonts w:hint="eastAsia" w:ascii="Times New Roman" w:hAnsi="Times New Roman" w:eastAsia="黑体" w:cs="黑体"/>
          <w:b w:val="0"/>
          <w:bCs w:val="0"/>
          <w:color w:val="000000"/>
          <w:sz w:val="21"/>
          <w:szCs w:val="21"/>
          <w:lang w:val="en-US" w:eastAsia="zh-CN"/>
        </w:rPr>
        <w:t>A  玻璃温室主要部件材料、技术要求</w:t>
      </w:r>
      <w:bookmarkEnd w:id="97"/>
    </w:p>
    <w:p>
      <w:pPr>
        <w:widowControl/>
        <w:spacing w:line="260" w:lineRule="exact"/>
        <w:jc w:val="center"/>
        <w:textAlignment w:val="center"/>
        <w:rPr>
          <w:rFonts w:hint="eastAsia" w:ascii="宋体" w:hAnsi="宋体" w:eastAsia="宋体" w:cs="宋体"/>
          <w:b/>
          <w:color w:val="auto"/>
          <w:sz w:val="21"/>
          <w:szCs w:val="21"/>
          <w:highlight w:val="none"/>
          <w:lang w:val="en-US" w:eastAsia="zh-CN" w:bidi="ar-SA"/>
        </w:rPr>
      </w:pPr>
    </w:p>
    <w:p>
      <w:pPr>
        <w:widowControl/>
        <w:spacing w:line="260" w:lineRule="exact"/>
        <w:jc w:val="center"/>
        <w:textAlignment w:val="center"/>
        <w:rPr>
          <w:rFonts w:hint="eastAsia" w:ascii="宋体" w:hAnsi="宋体" w:eastAsia="宋体" w:cs="宋体"/>
          <w:b/>
          <w:color w:val="auto"/>
          <w:sz w:val="21"/>
          <w:szCs w:val="21"/>
          <w:highlight w:val="none"/>
          <w:lang w:val="en-US" w:eastAsia="zh-CN" w:bidi="ar-SA"/>
        </w:rPr>
      </w:pP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8"/>
        <w:gridCol w:w="3976"/>
        <w:gridCol w:w="40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jc w:val="center"/>
        </w:trPr>
        <w:tc>
          <w:tcPr>
            <w:tcW w:w="1108" w:type="dxa"/>
            <w:noWrap w:val="0"/>
            <w:vAlign w:val="center"/>
          </w:tcPr>
          <w:p>
            <w:pPr>
              <w:jc w:val="center"/>
              <w:rPr>
                <w:rFonts w:eastAsia="宋体"/>
                <w:sz w:val="18"/>
                <w:szCs w:val="18"/>
              </w:rPr>
            </w:pPr>
            <w:r>
              <w:rPr>
                <w:rFonts w:eastAsia="宋体"/>
                <w:sz w:val="18"/>
                <w:szCs w:val="18"/>
              </w:rPr>
              <w:t>零件名称</w:t>
            </w:r>
          </w:p>
        </w:tc>
        <w:tc>
          <w:tcPr>
            <w:tcW w:w="3976" w:type="dxa"/>
            <w:noWrap w:val="0"/>
            <w:vAlign w:val="center"/>
          </w:tcPr>
          <w:p>
            <w:pPr>
              <w:jc w:val="center"/>
              <w:rPr>
                <w:rFonts w:eastAsia="宋体"/>
                <w:sz w:val="18"/>
                <w:szCs w:val="18"/>
              </w:rPr>
            </w:pPr>
            <w:r>
              <w:rPr>
                <w:rFonts w:eastAsia="宋体"/>
                <w:sz w:val="18"/>
                <w:szCs w:val="18"/>
              </w:rPr>
              <w:t>材料规格</w:t>
            </w:r>
          </w:p>
        </w:tc>
        <w:tc>
          <w:tcPr>
            <w:tcW w:w="4012" w:type="dxa"/>
            <w:noWrap w:val="0"/>
            <w:vAlign w:val="center"/>
          </w:tcPr>
          <w:p>
            <w:pPr>
              <w:jc w:val="center"/>
              <w:rPr>
                <w:rFonts w:eastAsia="宋体"/>
                <w:sz w:val="18"/>
                <w:szCs w:val="18"/>
              </w:rPr>
            </w:pPr>
            <w:r>
              <w:rPr>
                <w:rFonts w:eastAsia="宋体"/>
                <w:sz w:val="18"/>
                <w:szCs w:val="18"/>
              </w:rPr>
              <w:t>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exact"/>
          <w:jc w:val="center"/>
        </w:trPr>
        <w:tc>
          <w:tcPr>
            <w:tcW w:w="1108" w:type="dxa"/>
            <w:noWrap w:val="0"/>
            <w:vAlign w:val="center"/>
          </w:tcPr>
          <w:p>
            <w:pPr>
              <w:jc w:val="center"/>
              <w:rPr>
                <w:rFonts w:eastAsia="宋体"/>
                <w:sz w:val="18"/>
                <w:szCs w:val="18"/>
              </w:rPr>
            </w:pPr>
            <w:r>
              <w:rPr>
                <w:rFonts w:eastAsia="宋体"/>
                <w:sz w:val="18"/>
                <w:szCs w:val="18"/>
              </w:rPr>
              <w:t>主体结构</w:t>
            </w:r>
          </w:p>
        </w:tc>
        <w:tc>
          <w:tcPr>
            <w:tcW w:w="7988" w:type="dxa"/>
            <w:gridSpan w:val="2"/>
            <w:noWrap w:val="0"/>
            <w:vAlign w:val="center"/>
          </w:tcPr>
          <w:p>
            <w:pPr>
              <w:rPr>
                <w:rFonts w:eastAsia="宋体"/>
                <w:sz w:val="18"/>
                <w:szCs w:val="18"/>
              </w:rPr>
            </w:pPr>
            <w:r>
              <w:rPr>
                <w:rFonts w:eastAsia="宋体"/>
                <w:sz w:val="18"/>
                <w:szCs w:val="18"/>
              </w:rPr>
              <w:t>文洛式结构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108" w:type="dxa"/>
            <w:noWrap w:val="0"/>
            <w:vAlign w:val="center"/>
          </w:tcPr>
          <w:p>
            <w:pPr>
              <w:jc w:val="center"/>
              <w:rPr>
                <w:rFonts w:eastAsia="宋体"/>
                <w:sz w:val="18"/>
                <w:szCs w:val="18"/>
              </w:rPr>
            </w:pPr>
            <w:r>
              <w:rPr>
                <w:rFonts w:eastAsia="宋体"/>
                <w:sz w:val="18"/>
                <w:szCs w:val="18"/>
              </w:rPr>
              <w:t>内立柱</w:t>
            </w:r>
          </w:p>
        </w:tc>
        <w:tc>
          <w:tcPr>
            <w:tcW w:w="3976" w:type="dxa"/>
            <w:noWrap w:val="0"/>
            <w:vAlign w:val="center"/>
          </w:tcPr>
          <w:p>
            <w:pPr>
              <w:rPr>
                <w:rFonts w:eastAsia="宋体"/>
                <w:sz w:val="18"/>
                <w:szCs w:val="18"/>
              </w:rPr>
            </w:pPr>
            <w:r>
              <w:rPr>
                <w:rFonts w:eastAsia="宋体"/>
                <w:sz w:val="18"/>
                <w:szCs w:val="18"/>
              </w:rPr>
              <w:t>采用规格不小于120mm×80mm×3mm热浸镀锌矩形钢管，材质</w:t>
            </w:r>
            <w:r>
              <w:rPr>
                <w:rFonts w:hint="eastAsia" w:eastAsia="宋体"/>
                <w:sz w:val="18"/>
                <w:szCs w:val="18"/>
              </w:rPr>
              <w:t>Q235</w:t>
            </w:r>
            <w:r>
              <w:rPr>
                <w:rFonts w:eastAsia="宋体"/>
                <w:sz w:val="18"/>
                <w:szCs w:val="18"/>
              </w:rPr>
              <w:t>。</w:t>
            </w:r>
          </w:p>
        </w:tc>
        <w:tc>
          <w:tcPr>
            <w:tcW w:w="4012" w:type="dxa"/>
            <w:vMerge w:val="restart"/>
            <w:noWrap w:val="0"/>
            <w:vAlign w:val="center"/>
          </w:tcPr>
          <w:p>
            <w:pPr>
              <w:rPr>
                <w:rFonts w:eastAsia="宋体"/>
                <w:sz w:val="18"/>
                <w:szCs w:val="18"/>
              </w:rPr>
            </w:pPr>
            <w:r>
              <w:rPr>
                <w:rFonts w:eastAsia="宋体"/>
                <w:kern w:val="0"/>
                <w:sz w:val="18"/>
                <w:szCs w:val="18"/>
              </w:rPr>
              <w:t>材质符合GB/T 700，力学性能焊缝质量和尺寸规格符合GB/T 13793，镀锌层质量符合GB/T 13912，</w:t>
            </w:r>
            <w:r>
              <w:rPr>
                <w:rFonts w:eastAsia="宋体"/>
                <w:sz w:val="18"/>
                <w:szCs w:val="18"/>
              </w:rPr>
              <w:t>厚度偏差：3.0mm±0.05mm，</w:t>
            </w:r>
            <w:r>
              <w:rPr>
                <w:rFonts w:eastAsia="宋体"/>
                <w:kern w:val="0"/>
                <w:sz w:val="18"/>
                <w:szCs w:val="18"/>
              </w:rPr>
              <w:t>钢管镀锌层厚度≥</w:t>
            </w:r>
            <w:r>
              <w:rPr>
                <w:rFonts w:hint="eastAsia"/>
                <w:kern w:val="0"/>
                <w:sz w:val="18"/>
                <w:szCs w:val="18"/>
                <w:lang w:val="en-US" w:eastAsia="zh-CN"/>
              </w:rPr>
              <w:t>0.045mm</w:t>
            </w:r>
            <w:r>
              <w:rPr>
                <w:rFonts w:eastAsia="宋体"/>
                <w:kern w:val="0"/>
                <w:sz w:val="18"/>
                <w:szCs w:val="18"/>
              </w:rPr>
              <w:t>；主受力柱单根不允许接头。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108" w:type="dxa"/>
            <w:noWrap w:val="0"/>
            <w:vAlign w:val="center"/>
          </w:tcPr>
          <w:p>
            <w:pPr>
              <w:jc w:val="center"/>
              <w:rPr>
                <w:rFonts w:eastAsia="宋体"/>
                <w:sz w:val="18"/>
                <w:szCs w:val="18"/>
              </w:rPr>
            </w:pPr>
            <w:r>
              <w:rPr>
                <w:rFonts w:eastAsia="宋体"/>
                <w:sz w:val="18"/>
                <w:szCs w:val="18"/>
              </w:rPr>
              <w:t>端面立柱</w:t>
            </w:r>
          </w:p>
        </w:tc>
        <w:tc>
          <w:tcPr>
            <w:tcW w:w="3976" w:type="dxa"/>
            <w:noWrap w:val="0"/>
            <w:vAlign w:val="center"/>
          </w:tcPr>
          <w:p>
            <w:pPr>
              <w:rPr>
                <w:rFonts w:eastAsia="宋体"/>
                <w:sz w:val="18"/>
                <w:szCs w:val="18"/>
              </w:rPr>
            </w:pPr>
            <w:r>
              <w:rPr>
                <w:rFonts w:eastAsia="宋体"/>
                <w:sz w:val="18"/>
                <w:szCs w:val="18"/>
              </w:rPr>
              <w:t>采用规格不小于120mm×80mm×3mm热浸镀锌矩形钢管，材质</w:t>
            </w:r>
            <w:r>
              <w:rPr>
                <w:rFonts w:hint="eastAsia" w:eastAsia="宋体"/>
                <w:sz w:val="18"/>
                <w:szCs w:val="18"/>
              </w:rPr>
              <w:t>Q235</w:t>
            </w:r>
            <w:r>
              <w:rPr>
                <w:rFonts w:eastAsia="宋体"/>
                <w:sz w:val="18"/>
                <w:szCs w:val="18"/>
              </w:rPr>
              <w:t>。</w:t>
            </w:r>
          </w:p>
        </w:tc>
        <w:tc>
          <w:tcPr>
            <w:tcW w:w="4012" w:type="dxa"/>
            <w:vMerge w:val="continue"/>
            <w:noWrap w:val="0"/>
            <w:vAlign w:val="top"/>
          </w:tcPr>
          <w:p>
            <w:pP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108" w:type="dxa"/>
            <w:noWrap w:val="0"/>
            <w:vAlign w:val="center"/>
          </w:tcPr>
          <w:p>
            <w:pPr>
              <w:jc w:val="center"/>
              <w:rPr>
                <w:rFonts w:eastAsia="宋体"/>
                <w:sz w:val="18"/>
                <w:szCs w:val="18"/>
              </w:rPr>
            </w:pPr>
            <w:r>
              <w:rPr>
                <w:rFonts w:eastAsia="宋体"/>
                <w:sz w:val="18"/>
                <w:szCs w:val="18"/>
              </w:rPr>
              <w:t>侧立柱</w:t>
            </w:r>
          </w:p>
        </w:tc>
        <w:tc>
          <w:tcPr>
            <w:tcW w:w="3976" w:type="dxa"/>
            <w:noWrap w:val="0"/>
            <w:vAlign w:val="center"/>
          </w:tcPr>
          <w:p>
            <w:pPr>
              <w:rPr>
                <w:rFonts w:eastAsia="宋体"/>
                <w:sz w:val="18"/>
                <w:szCs w:val="18"/>
              </w:rPr>
            </w:pPr>
            <w:r>
              <w:rPr>
                <w:rFonts w:eastAsia="宋体"/>
                <w:sz w:val="18"/>
                <w:szCs w:val="18"/>
              </w:rPr>
              <w:t>采用规格不小于120mm×80mm×3mm热浸镀锌矩形钢管，材质</w:t>
            </w:r>
            <w:r>
              <w:rPr>
                <w:rFonts w:hint="eastAsia" w:eastAsia="宋体"/>
                <w:sz w:val="18"/>
                <w:szCs w:val="18"/>
              </w:rPr>
              <w:t>Q235</w:t>
            </w:r>
            <w:r>
              <w:rPr>
                <w:rFonts w:eastAsia="宋体"/>
                <w:sz w:val="18"/>
                <w:szCs w:val="18"/>
              </w:rPr>
              <w:t>。</w:t>
            </w:r>
          </w:p>
        </w:tc>
        <w:tc>
          <w:tcPr>
            <w:tcW w:w="4012" w:type="dxa"/>
            <w:vMerge w:val="continue"/>
            <w:noWrap w:val="0"/>
            <w:vAlign w:val="top"/>
          </w:tcPr>
          <w:p>
            <w:pP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108" w:type="dxa"/>
            <w:noWrap w:val="0"/>
            <w:vAlign w:val="center"/>
          </w:tcPr>
          <w:p>
            <w:pPr>
              <w:jc w:val="center"/>
              <w:rPr>
                <w:rFonts w:eastAsia="宋体"/>
                <w:sz w:val="18"/>
                <w:szCs w:val="18"/>
              </w:rPr>
            </w:pPr>
            <w:r>
              <w:rPr>
                <w:rFonts w:eastAsia="宋体"/>
                <w:sz w:val="18"/>
                <w:szCs w:val="18"/>
              </w:rPr>
              <w:t>桁架</w:t>
            </w:r>
          </w:p>
        </w:tc>
        <w:tc>
          <w:tcPr>
            <w:tcW w:w="3976" w:type="dxa"/>
            <w:noWrap w:val="0"/>
            <w:vAlign w:val="center"/>
          </w:tcPr>
          <w:p>
            <w:pPr>
              <w:rPr>
                <w:rFonts w:eastAsia="宋体"/>
                <w:sz w:val="18"/>
                <w:szCs w:val="18"/>
              </w:rPr>
            </w:pPr>
            <w:r>
              <w:rPr>
                <w:rFonts w:eastAsia="宋体"/>
                <w:sz w:val="18"/>
                <w:szCs w:val="18"/>
              </w:rPr>
              <w:t>桁架高度</w:t>
            </w:r>
            <w:r>
              <w:rPr>
                <w:rFonts w:hint="eastAsia" w:eastAsia="宋体"/>
                <w:kern w:val="0"/>
                <w:sz w:val="18"/>
                <w:szCs w:val="18"/>
              </w:rPr>
              <w:t>≥</w:t>
            </w:r>
            <w:r>
              <w:rPr>
                <w:rFonts w:eastAsia="宋体"/>
                <w:sz w:val="18"/>
                <w:szCs w:val="18"/>
              </w:rPr>
              <w:t>55cm，桁架上下弦单根截面积</w:t>
            </w:r>
            <w:r>
              <w:rPr>
                <w:rFonts w:hint="eastAsia" w:eastAsia="宋体"/>
                <w:kern w:val="0"/>
                <w:sz w:val="18"/>
                <w:szCs w:val="18"/>
              </w:rPr>
              <w:t>≥</w:t>
            </w:r>
            <w:r>
              <w:rPr>
                <w:rFonts w:eastAsia="宋体"/>
                <w:sz w:val="18"/>
                <w:szCs w:val="18"/>
              </w:rPr>
              <w:t>2400mm</w:t>
            </w:r>
            <w:r>
              <w:rPr>
                <w:rFonts w:eastAsia="宋体"/>
                <w:sz w:val="18"/>
                <w:szCs w:val="18"/>
                <w:vertAlign w:val="superscript"/>
              </w:rPr>
              <w:t>2</w:t>
            </w:r>
            <w:r>
              <w:rPr>
                <w:rFonts w:eastAsia="宋体"/>
                <w:sz w:val="18"/>
                <w:szCs w:val="18"/>
              </w:rPr>
              <w:t>、壁厚</w:t>
            </w:r>
            <w:r>
              <w:rPr>
                <w:rFonts w:hint="eastAsia" w:eastAsia="宋体"/>
                <w:kern w:val="0"/>
                <w:sz w:val="18"/>
                <w:szCs w:val="18"/>
              </w:rPr>
              <w:t>≥</w:t>
            </w:r>
            <w:r>
              <w:rPr>
                <w:rFonts w:eastAsia="宋体"/>
                <w:sz w:val="18"/>
                <w:szCs w:val="18"/>
              </w:rPr>
              <w:t>2.5mm、腹杆采用不小于Φ16mm圆形钢管或、25mm×25mm矩形钢管或∠3角钢，桁架必须加工好后热浸镀锌处理。</w:t>
            </w:r>
          </w:p>
        </w:tc>
        <w:tc>
          <w:tcPr>
            <w:tcW w:w="4012" w:type="dxa"/>
            <w:noWrap w:val="0"/>
            <w:vAlign w:val="center"/>
          </w:tcPr>
          <w:p>
            <w:pPr>
              <w:jc w:val="left"/>
              <w:rPr>
                <w:rFonts w:eastAsia="宋体"/>
                <w:sz w:val="18"/>
                <w:szCs w:val="18"/>
              </w:rPr>
            </w:pPr>
            <w:r>
              <w:rPr>
                <w:rFonts w:eastAsia="宋体"/>
                <w:kern w:val="0"/>
                <w:sz w:val="18"/>
                <w:szCs w:val="18"/>
              </w:rPr>
              <w:t>材质符合GB/T 700，力学性能焊缝质量和尺寸规格符合GB/T 13793，镀锌层质量符合GB/T 13912，</w:t>
            </w:r>
            <w:r>
              <w:rPr>
                <w:rFonts w:eastAsia="宋体"/>
                <w:sz w:val="18"/>
                <w:szCs w:val="18"/>
              </w:rPr>
              <w:t>厚度偏差：2.5mm±0.1mm，</w:t>
            </w:r>
            <w:r>
              <w:rPr>
                <w:rFonts w:eastAsia="宋体"/>
                <w:kern w:val="0"/>
                <w:sz w:val="18"/>
                <w:szCs w:val="18"/>
              </w:rPr>
              <w:t>钢管镀锌层厚度≥</w:t>
            </w:r>
            <w:r>
              <w:rPr>
                <w:rFonts w:hint="eastAsia"/>
                <w:kern w:val="0"/>
                <w:sz w:val="18"/>
                <w:szCs w:val="18"/>
                <w:lang w:val="en-US" w:eastAsia="zh-CN"/>
              </w:rPr>
              <w:t>0.0</w:t>
            </w:r>
            <w:r>
              <w:rPr>
                <w:rFonts w:eastAsia="宋体"/>
                <w:kern w:val="0"/>
                <w:sz w:val="18"/>
                <w:szCs w:val="18"/>
              </w:rPr>
              <w:t xml:space="preserve">45 </w:t>
            </w:r>
            <w:r>
              <w:rPr>
                <w:rFonts w:hint="eastAsia"/>
                <w:kern w:val="0"/>
                <w:sz w:val="18"/>
                <w:szCs w:val="18"/>
                <w:lang w:val="en-US" w:eastAsia="zh-CN"/>
              </w:rPr>
              <w:t>mm</w:t>
            </w:r>
            <w:r>
              <w:rPr>
                <w:rFonts w:eastAsia="宋体"/>
                <w:kern w:val="0"/>
                <w:sz w:val="18"/>
                <w:szCs w:val="18"/>
              </w:rPr>
              <w:t>；</w:t>
            </w:r>
            <w:r>
              <w:rPr>
                <w:rFonts w:eastAsia="宋体"/>
                <w:sz w:val="18"/>
                <w:szCs w:val="18"/>
              </w:rPr>
              <w:t>桁架上下弦</w:t>
            </w:r>
            <w:r>
              <w:rPr>
                <w:rFonts w:eastAsia="宋体"/>
                <w:kern w:val="0"/>
                <w:sz w:val="18"/>
                <w:szCs w:val="18"/>
              </w:rPr>
              <w:t>单根不允许接头</w:t>
            </w:r>
            <w:r>
              <w:rPr>
                <w:rFonts w:hint="eastAsia"/>
                <w:kern w:val="0"/>
                <w:sz w:val="18"/>
                <w:szCs w:val="18"/>
                <w:lang w:eastAsia="zh-CN"/>
              </w:rPr>
              <w:t>，</w:t>
            </w:r>
            <w:r>
              <w:rPr>
                <w:rFonts w:hint="eastAsia"/>
                <w:kern w:val="0"/>
                <w:sz w:val="18"/>
                <w:szCs w:val="18"/>
                <w:lang w:val="en-US" w:eastAsia="zh-CN"/>
              </w:rPr>
              <w:t>焊接不得出现单面焊接和点焊</w:t>
            </w:r>
            <w:r>
              <w:rPr>
                <w:rFonts w:eastAsia="宋体"/>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1108" w:type="dxa"/>
            <w:noWrap w:val="0"/>
            <w:vAlign w:val="center"/>
          </w:tcPr>
          <w:p>
            <w:pPr>
              <w:jc w:val="center"/>
              <w:rPr>
                <w:rFonts w:hint="eastAsia" w:eastAsia="宋体"/>
                <w:sz w:val="18"/>
                <w:szCs w:val="18"/>
                <w:lang w:val="en-US" w:eastAsia="zh-CN"/>
              </w:rPr>
            </w:pPr>
            <w:r>
              <w:rPr>
                <w:rFonts w:hint="eastAsia"/>
                <w:sz w:val="18"/>
                <w:szCs w:val="18"/>
                <w:lang w:val="en-US" w:eastAsia="zh-CN"/>
              </w:rPr>
              <w:t>檩条</w:t>
            </w:r>
          </w:p>
        </w:tc>
        <w:tc>
          <w:tcPr>
            <w:tcW w:w="3976" w:type="dxa"/>
            <w:noWrap w:val="0"/>
            <w:vAlign w:val="center"/>
          </w:tcPr>
          <w:p>
            <w:pPr>
              <w:rPr>
                <w:rFonts w:hint="default" w:eastAsia="宋体"/>
                <w:sz w:val="18"/>
                <w:szCs w:val="18"/>
                <w:lang w:val="en-US" w:eastAsia="zh-CN"/>
              </w:rPr>
            </w:pPr>
            <w:r>
              <w:rPr>
                <w:rFonts w:hint="eastAsia"/>
                <w:sz w:val="18"/>
                <w:szCs w:val="18"/>
                <w:lang w:val="en-US" w:eastAsia="zh-CN"/>
              </w:rPr>
              <w:t>采用</w:t>
            </w:r>
            <w:r>
              <w:rPr>
                <w:rFonts w:eastAsia="宋体"/>
                <w:sz w:val="18"/>
                <w:szCs w:val="18"/>
              </w:rPr>
              <w:t>截面积</w:t>
            </w:r>
            <w:r>
              <w:rPr>
                <w:rFonts w:hint="eastAsia" w:eastAsia="宋体"/>
                <w:kern w:val="0"/>
                <w:sz w:val="18"/>
                <w:szCs w:val="18"/>
              </w:rPr>
              <w:t>≥</w:t>
            </w:r>
            <w:r>
              <w:rPr>
                <w:rFonts w:eastAsia="宋体"/>
                <w:sz w:val="18"/>
                <w:szCs w:val="18"/>
              </w:rPr>
              <w:t>2</w:t>
            </w:r>
            <w:r>
              <w:rPr>
                <w:rFonts w:hint="eastAsia"/>
                <w:sz w:val="18"/>
                <w:szCs w:val="18"/>
                <w:lang w:val="en-US" w:eastAsia="zh-CN"/>
              </w:rPr>
              <w:t>5</w:t>
            </w:r>
            <w:r>
              <w:rPr>
                <w:rFonts w:eastAsia="宋体"/>
                <w:sz w:val="18"/>
                <w:szCs w:val="18"/>
              </w:rPr>
              <w:t>00mm</w:t>
            </w:r>
            <w:r>
              <w:rPr>
                <w:rFonts w:eastAsia="宋体"/>
                <w:sz w:val="18"/>
                <w:szCs w:val="18"/>
                <w:vertAlign w:val="superscript"/>
              </w:rPr>
              <w:t>2</w:t>
            </w:r>
            <w:r>
              <w:rPr>
                <w:rFonts w:eastAsia="宋体"/>
                <w:sz w:val="18"/>
                <w:szCs w:val="18"/>
              </w:rPr>
              <w:t>、壁厚</w:t>
            </w:r>
            <w:r>
              <w:rPr>
                <w:rFonts w:hint="eastAsia" w:eastAsia="宋体"/>
                <w:kern w:val="0"/>
                <w:sz w:val="18"/>
                <w:szCs w:val="18"/>
              </w:rPr>
              <w:t>≥</w:t>
            </w:r>
            <w:r>
              <w:rPr>
                <w:rFonts w:eastAsia="宋体"/>
                <w:sz w:val="18"/>
                <w:szCs w:val="18"/>
              </w:rPr>
              <w:t>2.</w:t>
            </w:r>
            <w:r>
              <w:rPr>
                <w:rFonts w:hint="eastAsia"/>
                <w:sz w:val="18"/>
                <w:szCs w:val="18"/>
                <w:lang w:val="en-US" w:eastAsia="zh-CN"/>
              </w:rPr>
              <w:t>0</w:t>
            </w:r>
            <w:r>
              <w:rPr>
                <w:rFonts w:eastAsia="宋体"/>
                <w:sz w:val="18"/>
                <w:szCs w:val="18"/>
              </w:rPr>
              <w:t>mm</w:t>
            </w:r>
            <w:r>
              <w:rPr>
                <w:rFonts w:hint="eastAsia"/>
                <w:sz w:val="18"/>
                <w:szCs w:val="18"/>
                <w:lang w:val="en-US" w:eastAsia="zh-CN"/>
              </w:rPr>
              <w:t>方管或采用</w:t>
            </w:r>
            <w:r>
              <w:rPr>
                <w:rFonts w:eastAsia="宋体"/>
                <w:sz w:val="18"/>
                <w:szCs w:val="18"/>
              </w:rPr>
              <w:t>截</w:t>
            </w:r>
            <w:r>
              <w:rPr>
                <w:rFonts w:hint="eastAsia"/>
                <w:sz w:val="18"/>
                <w:szCs w:val="18"/>
                <w:lang w:val="en-US" w:eastAsia="zh-CN"/>
              </w:rPr>
              <w:t>长度</w:t>
            </w:r>
            <w:r>
              <w:rPr>
                <w:rFonts w:hint="eastAsia" w:eastAsia="宋体"/>
                <w:kern w:val="0"/>
                <w:sz w:val="18"/>
                <w:szCs w:val="18"/>
              </w:rPr>
              <w:t>≥</w:t>
            </w:r>
            <w:r>
              <w:rPr>
                <w:rFonts w:hint="eastAsia"/>
                <w:sz w:val="18"/>
                <w:szCs w:val="18"/>
                <w:lang w:val="en-US" w:eastAsia="zh-CN"/>
              </w:rPr>
              <w:t>160</w:t>
            </w:r>
            <w:r>
              <w:rPr>
                <w:rFonts w:eastAsia="宋体"/>
                <w:sz w:val="18"/>
                <w:szCs w:val="18"/>
              </w:rPr>
              <w:t>mm、壁厚</w:t>
            </w:r>
            <w:r>
              <w:rPr>
                <w:rFonts w:hint="eastAsia" w:eastAsia="宋体"/>
                <w:kern w:val="0"/>
                <w:sz w:val="18"/>
                <w:szCs w:val="18"/>
              </w:rPr>
              <w:t>≥</w:t>
            </w:r>
            <w:r>
              <w:rPr>
                <w:rFonts w:hint="eastAsia"/>
                <w:kern w:val="0"/>
                <w:sz w:val="18"/>
                <w:szCs w:val="18"/>
                <w:lang w:val="en-US" w:eastAsia="zh-CN"/>
              </w:rPr>
              <w:t>3</w:t>
            </w:r>
            <w:r>
              <w:rPr>
                <w:rFonts w:eastAsia="宋体"/>
                <w:sz w:val="18"/>
                <w:szCs w:val="18"/>
              </w:rPr>
              <w:t>.</w:t>
            </w:r>
            <w:r>
              <w:rPr>
                <w:rFonts w:hint="eastAsia"/>
                <w:sz w:val="18"/>
                <w:szCs w:val="18"/>
                <w:lang w:val="en-US" w:eastAsia="zh-CN"/>
              </w:rPr>
              <w:t>0</w:t>
            </w:r>
            <w:r>
              <w:rPr>
                <w:rFonts w:eastAsia="宋体"/>
                <w:sz w:val="18"/>
                <w:szCs w:val="18"/>
              </w:rPr>
              <w:t>mm</w:t>
            </w:r>
            <w:r>
              <w:rPr>
                <w:rFonts w:hint="eastAsia"/>
                <w:sz w:val="18"/>
                <w:szCs w:val="18"/>
                <w:lang w:val="en-US" w:eastAsia="zh-CN"/>
              </w:rPr>
              <w:t>U型钢</w:t>
            </w:r>
          </w:p>
        </w:tc>
        <w:tc>
          <w:tcPr>
            <w:tcW w:w="4012" w:type="dxa"/>
            <w:noWrap w:val="0"/>
            <w:vAlign w:val="center"/>
          </w:tcPr>
          <w:p>
            <w:pPr>
              <w:jc w:val="left"/>
              <w:rPr>
                <w:rFonts w:hint="default" w:eastAsia="宋体"/>
                <w:kern w:val="0"/>
                <w:sz w:val="18"/>
                <w:szCs w:val="18"/>
                <w:lang w:val="en-US" w:eastAsia="zh-CN"/>
              </w:rPr>
            </w:pPr>
            <w:r>
              <w:rPr>
                <w:rFonts w:eastAsia="宋体"/>
                <w:kern w:val="0"/>
                <w:sz w:val="18"/>
                <w:szCs w:val="18"/>
              </w:rPr>
              <w:t>材质符合GB/T 700，力学性能焊缝质量和尺寸规格符合GB/T 13793，镀锌层质量符合GB/T 13912，</w:t>
            </w:r>
            <w:r>
              <w:rPr>
                <w:rFonts w:eastAsia="宋体"/>
                <w:sz w:val="18"/>
                <w:szCs w:val="18"/>
              </w:rPr>
              <w:t>厚度偏差：±0.1mm，</w:t>
            </w:r>
            <w:r>
              <w:rPr>
                <w:rFonts w:eastAsia="宋体"/>
                <w:kern w:val="0"/>
                <w:sz w:val="18"/>
                <w:szCs w:val="18"/>
              </w:rPr>
              <w:t>钢管镀锌层厚度≥</w:t>
            </w:r>
            <w:r>
              <w:rPr>
                <w:rFonts w:hint="eastAsia"/>
                <w:kern w:val="0"/>
                <w:sz w:val="18"/>
                <w:szCs w:val="18"/>
                <w:lang w:val="en-US" w:eastAsia="zh-CN"/>
              </w:rPr>
              <w:t>0.0</w:t>
            </w:r>
            <w:r>
              <w:rPr>
                <w:rFonts w:eastAsia="宋体"/>
                <w:kern w:val="0"/>
                <w:sz w:val="18"/>
                <w:szCs w:val="18"/>
              </w:rPr>
              <w:t xml:space="preserve">45 </w:t>
            </w:r>
            <w:r>
              <w:rPr>
                <w:rFonts w:hint="eastAsia"/>
                <w:kern w:val="0"/>
                <w:sz w:val="18"/>
                <w:szCs w:val="18"/>
                <w:lang w:val="en-US" w:eastAsia="zh-CN"/>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1108" w:type="dxa"/>
            <w:noWrap w:val="0"/>
            <w:vAlign w:val="center"/>
          </w:tcPr>
          <w:p>
            <w:pPr>
              <w:jc w:val="center"/>
              <w:rPr>
                <w:rFonts w:hint="default"/>
                <w:sz w:val="18"/>
                <w:szCs w:val="18"/>
                <w:lang w:val="en-US" w:eastAsia="zh-CN"/>
              </w:rPr>
            </w:pPr>
            <w:r>
              <w:rPr>
                <w:rFonts w:hint="eastAsia"/>
                <w:sz w:val="18"/>
                <w:szCs w:val="18"/>
                <w:lang w:val="en-US" w:eastAsia="zh-CN"/>
              </w:rPr>
              <w:t>屋面支撑</w:t>
            </w:r>
          </w:p>
        </w:tc>
        <w:tc>
          <w:tcPr>
            <w:tcW w:w="3976" w:type="dxa"/>
            <w:noWrap w:val="0"/>
            <w:vAlign w:val="center"/>
          </w:tcPr>
          <w:p>
            <w:pPr>
              <w:rPr>
                <w:rFonts w:hint="eastAsia"/>
                <w:sz w:val="18"/>
                <w:szCs w:val="18"/>
                <w:lang w:val="en-US" w:eastAsia="zh-CN"/>
              </w:rPr>
            </w:pPr>
            <w:r>
              <w:rPr>
                <w:rFonts w:hint="eastAsia"/>
                <w:sz w:val="18"/>
                <w:szCs w:val="18"/>
                <w:lang w:val="en-US" w:eastAsia="zh-CN"/>
              </w:rPr>
              <w:t>采用</w:t>
            </w:r>
            <w:r>
              <w:rPr>
                <w:rFonts w:hint="eastAsia" w:eastAsia="宋体"/>
                <w:kern w:val="0"/>
                <w:sz w:val="18"/>
                <w:szCs w:val="18"/>
              </w:rPr>
              <w:t>≥</w:t>
            </w:r>
            <w:r>
              <w:rPr>
                <w:rFonts w:hint="eastAsia"/>
                <w:sz w:val="18"/>
                <w:szCs w:val="18"/>
                <w:lang w:val="en-US" w:eastAsia="zh-CN"/>
              </w:rPr>
              <w:t>10</w:t>
            </w:r>
            <w:r>
              <w:rPr>
                <w:rFonts w:eastAsia="宋体"/>
                <w:sz w:val="18"/>
                <w:szCs w:val="18"/>
              </w:rPr>
              <w:t>mm</w:t>
            </w:r>
            <w:r>
              <w:rPr>
                <w:rFonts w:hint="eastAsia"/>
                <w:sz w:val="18"/>
                <w:szCs w:val="18"/>
                <w:lang w:val="en-US" w:eastAsia="zh-CN"/>
              </w:rPr>
              <w:t>圆钢</w:t>
            </w:r>
          </w:p>
        </w:tc>
        <w:tc>
          <w:tcPr>
            <w:tcW w:w="4012" w:type="dxa"/>
            <w:noWrap w:val="0"/>
            <w:vAlign w:val="center"/>
          </w:tcPr>
          <w:p>
            <w:pPr>
              <w:jc w:val="left"/>
              <w:rPr>
                <w:rFonts w:hint="default" w:eastAsia="宋体"/>
                <w:kern w:val="0"/>
                <w:sz w:val="18"/>
                <w:szCs w:val="18"/>
                <w:lang w:val="en-US" w:eastAsia="zh-CN"/>
              </w:rPr>
            </w:pPr>
            <w:r>
              <w:rPr>
                <w:rFonts w:eastAsia="宋体"/>
                <w:kern w:val="0"/>
                <w:sz w:val="18"/>
                <w:szCs w:val="18"/>
              </w:rPr>
              <w:t>材质符合GB/T 700，力学性能焊缝质量和尺寸规格符合GB/T 13793，镀锌层质量符合GB/T 13912，</w:t>
            </w:r>
            <w:r>
              <w:rPr>
                <w:rFonts w:hint="eastAsia"/>
                <w:sz w:val="18"/>
                <w:szCs w:val="18"/>
                <w:lang w:val="en-US" w:eastAsia="zh-CN"/>
              </w:rPr>
              <w:t>直径</w:t>
            </w:r>
            <w:r>
              <w:rPr>
                <w:rFonts w:eastAsia="宋体"/>
                <w:sz w:val="18"/>
                <w:szCs w:val="18"/>
              </w:rPr>
              <w:t>偏差：±0.</w:t>
            </w:r>
            <w:r>
              <w:rPr>
                <w:rFonts w:hint="eastAsia"/>
                <w:sz w:val="18"/>
                <w:szCs w:val="18"/>
                <w:lang w:val="en-US" w:eastAsia="zh-CN"/>
              </w:rPr>
              <w:t>05</w:t>
            </w:r>
            <w:r>
              <w:rPr>
                <w:rFonts w:eastAsia="宋体"/>
                <w:sz w:val="18"/>
                <w:szCs w:val="18"/>
              </w:rPr>
              <w:t>mm，</w:t>
            </w:r>
            <w:r>
              <w:rPr>
                <w:rFonts w:eastAsia="宋体"/>
                <w:kern w:val="0"/>
                <w:sz w:val="18"/>
                <w:szCs w:val="18"/>
              </w:rPr>
              <w:t>镀锌层厚度≥</w:t>
            </w:r>
            <w:r>
              <w:rPr>
                <w:rFonts w:hint="eastAsia"/>
                <w:kern w:val="0"/>
                <w:sz w:val="18"/>
                <w:szCs w:val="18"/>
                <w:lang w:val="en-US" w:eastAsia="zh-CN"/>
              </w:rPr>
              <w:t>0.0</w:t>
            </w:r>
            <w:r>
              <w:rPr>
                <w:rFonts w:eastAsia="宋体"/>
                <w:kern w:val="0"/>
                <w:sz w:val="18"/>
                <w:szCs w:val="18"/>
              </w:rPr>
              <w:t>45</w:t>
            </w:r>
            <w:r>
              <w:rPr>
                <w:rFonts w:hint="eastAsia"/>
                <w:kern w:val="0"/>
                <w:sz w:val="18"/>
                <w:szCs w:val="18"/>
                <w:lang w:val="en-US" w:eastAsia="zh-CN"/>
              </w:rPr>
              <w:t>mm</w:t>
            </w:r>
            <w:r>
              <w:rPr>
                <w:rFonts w:eastAsia="宋体"/>
                <w:kern w:val="0"/>
                <w:sz w:val="18"/>
                <w:szCs w:val="18"/>
              </w:rPr>
              <w:t>；</w:t>
            </w:r>
            <w:r>
              <w:rPr>
                <w:rFonts w:hint="eastAsia"/>
                <w:color w:val="C0504D" w:themeColor="accent2"/>
                <w:sz w:val="18"/>
                <w:szCs w:val="18"/>
                <w:lang w:val="en-US" w:eastAsia="zh-CN"/>
              </w:rPr>
              <w:t>不得采用钢丝绳等具有收缩性材料。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jc w:val="center"/>
        </w:trPr>
        <w:tc>
          <w:tcPr>
            <w:tcW w:w="1108" w:type="dxa"/>
            <w:noWrap w:val="0"/>
            <w:vAlign w:val="center"/>
          </w:tcPr>
          <w:p>
            <w:pPr>
              <w:jc w:val="center"/>
              <w:rPr>
                <w:rFonts w:hint="default"/>
                <w:sz w:val="18"/>
                <w:szCs w:val="18"/>
                <w:lang w:val="en-US" w:eastAsia="zh-CN"/>
              </w:rPr>
            </w:pPr>
            <w:r>
              <w:rPr>
                <w:rFonts w:hint="eastAsia"/>
                <w:sz w:val="18"/>
                <w:szCs w:val="18"/>
                <w:lang w:val="en-US" w:eastAsia="zh-CN"/>
              </w:rPr>
              <w:t>柱间支撑</w:t>
            </w:r>
          </w:p>
        </w:tc>
        <w:tc>
          <w:tcPr>
            <w:tcW w:w="3976" w:type="dxa"/>
            <w:noWrap w:val="0"/>
            <w:vAlign w:val="center"/>
          </w:tcPr>
          <w:p>
            <w:pPr>
              <w:rPr>
                <w:rFonts w:hint="eastAsia"/>
                <w:sz w:val="18"/>
                <w:szCs w:val="18"/>
                <w:lang w:val="en-US" w:eastAsia="zh-CN"/>
              </w:rPr>
            </w:pPr>
            <w:r>
              <w:rPr>
                <w:rFonts w:hint="eastAsia"/>
                <w:sz w:val="18"/>
                <w:szCs w:val="18"/>
                <w:lang w:val="en-US" w:eastAsia="zh-CN"/>
              </w:rPr>
              <w:t>纵向设2组“×”形斜拉柱间支撑，柱间支撑上下横梁截面面积≥4800mm²厚度≥2.5mm,柱间拉筋</w:t>
            </w:r>
            <w:r>
              <w:rPr>
                <w:rFonts w:hint="eastAsia" w:eastAsia="宋体"/>
                <w:kern w:val="0"/>
                <w:sz w:val="18"/>
                <w:szCs w:val="18"/>
              </w:rPr>
              <w:t>≥</w:t>
            </w:r>
            <w:r>
              <w:rPr>
                <w:rFonts w:hint="eastAsia"/>
                <w:sz w:val="18"/>
                <w:szCs w:val="18"/>
                <w:lang w:val="en-US" w:eastAsia="zh-CN"/>
              </w:rPr>
              <w:t>12</w:t>
            </w:r>
            <w:r>
              <w:rPr>
                <w:rFonts w:eastAsia="宋体"/>
                <w:sz w:val="18"/>
                <w:szCs w:val="18"/>
              </w:rPr>
              <w:t>mm</w:t>
            </w:r>
            <w:r>
              <w:rPr>
                <w:rFonts w:hint="eastAsia"/>
                <w:sz w:val="18"/>
                <w:szCs w:val="18"/>
                <w:lang w:val="en-US" w:eastAsia="zh-CN"/>
              </w:rPr>
              <w:t>圆钢。温室长度超过60m每增加30m增设1组。</w:t>
            </w:r>
          </w:p>
        </w:tc>
        <w:tc>
          <w:tcPr>
            <w:tcW w:w="4012" w:type="dxa"/>
            <w:noWrap w:val="0"/>
            <w:vAlign w:val="center"/>
          </w:tcPr>
          <w:p>
            <w:pPr>
              <w:jc w:val="left"/>
              <w:rPr>
                <w:rFonts w:eastAsia="宋体"/>
                <w:kern w:val="0"/>
                <w:sz w:val="18"/>
                <w:szCs w:val="18"/>
              </w:rPr>
            </w:pPr>
            <w:r>
              <w:rPr>
                <w:rFonts w:eastAsia="宋体"/>
                <w:kern w:val="0"/>
                <w:sz w:val="18"/>
                <w:szCs w:val="18"/>
              </w:rPr>
              <w:t>材质符合GB/T 700，力学性能焊缝质量和尺寸规格符合GB/T 13793，镀锌层质量符合GB/T 13912，</w:t>
            </w:r>
            <w:r>
              <w:rPr>
                <w:rFonts w:hint="eastAsia"/>
                <w:kern w:val="0"/>
                <w:sz w:val="18"/>
                <w:szCs w:val="18"/>
                <w:lang w:val="en-US" w:eastAsia="zh-CN"/>
              </w:rPr>
              <w:t>厚度误差：±0.1mm，</w:t>
            </w:r>
            <w:r>
              <w:rPr>
                <w:rFonts w:hint="eastAsia"/>
                <w:sz w:val="18"/>
                <w:szCs w:val="18"/>
                <w:lang w:val="en-US" w:eastAsia="zh-CN"/>
              </w:rPr>
              <w:t>直径</w:t>
            </w:r>
            <w:r>
              <w:rPr>
                <w:rFonts w:eastAsia="宋体"/>
                <w:sz w:val="18"/>
                <w:szCs w:val="18"/>
              </w:rPr>
              <w:t>偏差：±0.</w:t>
            </w:r>
            <w:r>
              <w:rPr>
                <w:rFonts w:hint="eastAsia"/>
                <w:sz w:val="18"/>
                <w:szCs w:val="18"/>
                <w:lang w:val="en-US" w:eastAsia="zh-CN"/>
              </w:rPr>
              <w:t>05</w:t>
            </w:r>
            <w:r>
              <w:rPr>
                <w:rFonts w:eastAsia="宋体"/>
                <w:sz w:val="18"/>
                <w:szCs w:val="18"/>
              </w:rPr>
              <w:t>mm，</w:t>
            </w:r>
            <w:r>
              <w:rPr>
                <w:rFonts w:eastAsia="宋体"/>
                <w:kern w:val="0"/>
                <w:sz w:val="18"/>
                <w:szCs w:val="18"/>
              </w:rPr>
              <w:t>镀锌层厚度≥</w:t>
            </w:r>
            <w:r>
              <w:rPr>
                <w:rFonts w:hint="eastAsia"/>
                <w:kern w:val="0"/>
                <w:sz w:val="18"/>
                <w:szCs w:val="18"/>
                <w:lang w:val="en-US" w:eastAsia="zh-CN"/>
              </w:rPr>
              <w:t>0.045mm</w:t>
            </w:r>
            <w:r>
              <w:rPr>
                <w:rFonts w:eastAsia="宋体"/>
                <w:kern w:val="0"/>
                <w:sz w:val="18"/>
                <w:szCs w:val="18"/>
              </w:rPr>
              <w:t>；</w:t>
            </w:r>
            <w:r>
              <w:rPr>
                <w:rFonts w:hint="eastAsia"/>
                <w:color w:val="C0504D" w:themeColor="accent2"/>
                <w:sz w:val="18"/>
                <w:szCs w:val="18"/>
                <w:lang w:val="en-US" w:eastAsia="zh-CN"/>
              </w:rPr>
              <w:t>不得采用钢丝绳等具有收缩性材料。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exact"/>
          <w:jc w:val="center"/>
        </w:trPr>
        <w:tc>
          <w:tcPr>
            <w:tcW w:w="1108" w:type="dxa"/>
            <w:noWrap w:val="0"/>
            <w:vAlign w:val="center"/>
          </w:tcPr>
          <w:p>
            <w:pPr>
              <w:jc w:val="center"/>
              <w:rPr>
                <w:rFonts w:eastAsia="宋体"/>
                <w:sz w:val="18"/>
                <w:szCs w:val="18"/>
              </w:rPr>
            </w:pPr>
            <w:r>
              <w:rPr>
                <w:rFonts w:eastAsia="宋体"/>
                <w:sz w:val="18"/>
                <w:szCs w:val="18"/>
              </w:rPr>
              <w:t>天沟</w:t>
            </w:r>
          </w:p>
        </w:tc>
        <w:tc>
          <w:tcPr>
            <w:tcW w:w="3976" w:type="dxa"/>
            <w:noWrap w:val="0"/>
            <w:vAlign w:val="center"/>
          </w:tcPr>
          <w:p>
            <w:pPr>
              <w:rPr>
                <w:rFonts w:eastAsia="宋体"/>
                <w:sz w:val="18"/>
                <w:szCs w:val="18"/>
              </w:rPr>
            </w:pPr>
            <w:r>
              <w:rPr>
                <w:rFonts w:eastAsia="宋体"/>
                <w:sz w:val="18"/>
                <w:szCs w:val="18"/>
              </w:rPr>
              <w:t>采用热浸镀锌板冷弯成型，厚度</w:t>
            </w:r>
            <w:r>
              <w:rPr>
                <w:rFonts w:hint="eastAsia" w:eastAsia="宋体"/>
                <w:kern w:val="0"/>
                <w:sz w:val="18"/>
                <w:szCs w:val="18"/>
              </w:rPr>
              <w:t>≥</w:t>
            </w:r>
            <w:r>
              <w:rPr>
                <w:rFonts w:eastAsia="宋体"/>
                <w:sz w:val="18"/>
                <w:szCs w:val="18"/>
              </w:rPr>
              <w:t>3mm或铝合金型材天沟。</w:t>
            </w:r>
          </w:p>
        </w:tc>
        <w:tc>
          <w:tcPr>
            <w:tcW w:w="4012" w:type="dxa"/>
            <w:noWrap w:val="0"/>
            <w:vAlign w:val="center"/>
          </w:tcPr>
          <w:p>
            <w:pPr>
              <w:rPr>
                <w:rFonts w:eastAsia="宋体"/>
                <w:sz w:val="18"/>
                <w:szCs w:val="18"/>
              </w:rPr>
            </w:pPr>
            <w:r>
              <w:rPr>
                <w:rFonts w:eastAsia="宋体"/>
                <w:sz w:val="18"/>
                <w:szCs w:val="18"/>
              </w:rPr>
              <w:t>材质符合GB/T 700，厚度偏差：3.0mm±0.25mm，</w:t>
            </w:r>
            <w:r>
              <w:rPr>
                <w:rFonts w:eastAsia="宋体"/>
                <w:kern w:val="0"/>
                <w:sz w:val="18"/>
                <w:szCs w:val="18"/>
              </w:rPr>
              <w:t>钢管镀锌层厚度</w:t>
            </w:r>
            <w:r>
              <w:rPr>
                <w:rFonts w:hint="eastAsia" w:eastAsia="宋体"/>
                <w:kern w:val="0"/>
                <w:sz w:val="18"/>
                <w:szCs w:val="18"/>
              </w:rPr>
              <w:t>≥</w:t>
            </w:r>
            <w:r>
              <w:rPr>
                <w:rFonts w:hint="eastAsia"/>
                <w:kern w:val="0"/>
                <w:sz w:val="18"/>
                <w:szCs w:val="18"/>
                <w:lang w:val="en-US" w:eastAsia="zh-CN"/>
              </w:rPr>
              <w:t>0.0</w:t>
            </w:r>
            <w:r>
              <w:rPr>
                <w:rFonts w:eastAsia="宋体"/>
                <w:kern w:val="0"/>
                <w:sz w:val="18"/>
                <w:szCs w:val="18"/>
              </w:rPr>
              <w:t xml:space="preserve">45 </w:t>
            </w:r>
            <w:r>
              <w:rPr>
                <w:rFonts w:hint="eastAsia"/>
                <w:kern w:val="0"/>
                <w:sz w:val="18"/>
                <w:szCs w:val="18"/>
                <w:lang w:val="en-US" w:eastAsia="zh-CN"/>
              </w:rPr>
              <w:t>mm</w:t>
            </w:r>
            <w:r>
              <w:rPr>
                <w:rFonts w:eastAsia="宋体"/>
                <w:sz w:val="18"/>
                <w:szCs w:val="18"/>
              </w:rPr>
              <w:t>，表面镀锌层质量符合GB/T 2518，铝合金天沟符合GB/T 5237.1。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exact"/>
          <w:jc w:val="center"/>
        </w:trPr>
        <w:tc>
          <w:tcPr>
            <w:tcW w:w="1108" w:type="dxa"/>
            <w:noWrap w:val="0"/>
            <w:vAlign w:val="center"/>
          </w:tcPr>
          <w:p>
            <w:pPr>
              <w:jc w:val="center"/>
              <w:rPr>
                <w:rFonts w:eastAsia="宋体"/>
                <w:sz w:val="18"/>
                <w:szCs w:val="18"/>
              </w:rPr>
            </w:pPr>
            <w:r>
              <w:rPr>
                <w:rFonts w:eastAsia="宋体"/>
                <w:sz w:val="18"/>
                <w:szCs w:val="18"/>
              </w:rPr>
              <w:t>基础</w:t>
            </w:r>
          </w:p>
        </w:tc>
        <w:tc>
          <w:tcPr>
            <w:tcW w:w="3976" w:type="dxa"/>
            <w:noWrap w:val="0"/>
            <w:vAlign w:val="center"/>
          </w:tcPr>
          <w:p>
            <w:pPr>
              <w:rPr>
                <w:rFonts w:eastAsia="宋体"/>
                <w:sz w:val="18"/>
                <w:szCs w:val="18"/>
              </w:rPr>
            </w:pPr>
            <w:r>
              <w:rPr>
                <w:rFonts w:eastAsia="宋体"/>
                <w:sz w:val="18"/>
                <w:szCs w:val="18"/>
              </w:rPr>
              <w:t>根据地质情况进行强度设计，满足温室整体稳定性、安全性要求。</w:t>
            </w:r>
            <w:r>
              <w:rPr>
                <w:rFonts w:eastAsia="宋体"/>
                <w:kern w:val="0"/>
                <w:sz w:val="18"/>
                <w:szCs w:val="18"/>
              </w:rPr>
              <w:t>采用现场浇注（现场支模、整体浇筑）方式。预埋4个</w:t>
            </w:r>
            <w:r>
              <w:rPr>
                <w:rFonts w:hint="eastAsia"/>
                <w:kern w:val="0"/>
                <w:sz w:val="18"/>
                <w:szCs w:val="18"/>
                <w:lang w:eastAsia="zh-CN"/>
              </w:rPr>
              <w:t>地脚</w:t>
            </w:r>
            <w:r>
              <w:rPr>
                <w:rFonts w:eastAsia="宋体"/>
                <w:kern w:val="0"/>
                <w:sz w:val="18"/>
                <w:szCs w:val="18"/>
              </w:rPr>
              <w:t>螺栓用于连结立柱，螺栓规格</w:t>
            </w:r>
            <w:r>
              <w:rPr>
                <w:rFonts w:hint="eastAsia" w:eastAsia="宋体"/>
                <w:kern w:val="0"/>
                <w:sz w:val="18"/>
                <w:szCs w:val="18"/>
              </w:rPr>
              <w:t>≥</w:t>
            </w:r>
            <w:r>
              <w:rPr>
                <w:rFonts w:eastAsia="宋体"/>
                <w:kern w:val="0"/>
                <w:sz w:val="18"/>
                <w:szCs w:val="18"/>
              </w:rPr>
              <w:t>M14，螺栓间箍筋</w:t>
            </w:r>
            <w:r>
              <w:rPr>
                <w:rFonts w:hint="eastAsia" w:eastAsia="宋体"/>
                <w:kern w:val="0"/>
                <w:sz w:val="18"/>
                <w:szCs w:val="18"/>
              </w:rPr>
              <w:t>≥</w:t>
            </w:r>
            <w:r>
              <w:rPr>
                <w:rFonts w:eastAsia="宋体"/>
                <w:kern w:val="0"/>
                <w:sz w:val="18"/>
                <w:szCs w:val="18"/>
              </w:rPr>
              <w:t>3道。</w:t>
            </w:r>
          </w:p>
        </w:tc>
        <w:tc>
          <w:tcPr>
            <w:tcW w:w="4012" w:type="dxa"/>
            <w:noWrap w:val="0"/>
            <w:vAlign w:val="center"/>
          </w:tcPr>
          <w:p>
            <w:pPr>
              <w:autoSpaceDE w:val="0"/>
              <w:autoSpaceDN w:val="0"/>
              <w:adjustRightInd w:val="0"/>
              <w:spacing w:line="320" w:lineRule="exact"/>
              <w:jc w:val="left"/>
              <w:rPr>
                <w:rFonts w:eastAsia="宋体"/>
                <w:sz w:val="18"/>
                <w:szCs w:val="18"/>
              </w:rPr>
            </w:pPr>
            <w:r>
              <w:rPr>
                <w:rFonts w:eastAsia="宋体"/>
                <w:kern w:val="0"/>
                <w:sz w:val="18"/>
                <w:szCs w:val="18"/>
              </w:rPr>
              <w:t>混凝土强度≥C20</w:t>
            </w:r>
            <w:r>
              <w:rPr>
                <w:rFonts w:hint="eastAsia" w:eastAsia="宋体"/>
                <w:kern w:val="0"/>
                <w:sz w:val="18"/>
                <w:szCs w:val="18"/>
              </w:rPr>
              <w:t>，</w:t>
            </w:r>
            <w:r>
              <w:rPr>
                <w:rFonts w:eastAsia="宋体"/>
                <w:sz w:val="18"/>
                <w:szCs w:val="18"/>
              </w:rPr>
              <w:t xml:space="preserve"> 符合NY/T 1145等要求。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exact"/>
          <w:jc w:val="center"/>
        </w:trPr>
        <w:tc>
          <w:tcPr>
            <w:tcW w:w="1108" w:type="dxa"/>
            <w:noWrap w:val="0"/>
            <w:vAlign w:val="center"/>
          </w:tcPr>
          <w:p>
            <w:pPr>
              <w:jc w:val="center"/>
              <w:rPr>
                <w:rFonts w:hint="eastAsia" w:eastAsia="宋体"/>
                <w:sz w:val="18"/>
                <w:szCs w:val="18"/>
              </w:rPr>
            </w:pPr>
            <w:r>
              <w:rPr>
                <w:rFonts w:hint="eastAsia" w:eastAsia="宋体"/>
                <w:sz w:val="18"/>
                <w:szCs w:val="18"/>
              </w:rPr>
              <w:t>推拉门</w:t>
            </w:r>
          </w:p>
        </w:tc>
        <w:tc>
          <w:tcPr>
            <w:tcW w:w="3976" w:type="dxa"/>
            <w:noWrap w:val="0"/>
            <w:vAlign w:val="center"/>
          </w:tcPr>
          <w:p>
            <w:pPr>
              <w:widowControl/>
              <w:snapToGrid w:val="0"/>
              <w:spacing w:line="360" w:lineRule="atLeast"/>
              <w:rPr>
                <w:rFonts w:eastAsia="宋体"/>
                <w:sz w:val="18"/>
                <w:szCs w:val="18"/>
              </w:rPr>
            </w:pPr>
            <w:r>
              <w:rPr>
                <w:rFonts w:eastAsia="宋体"/>
                <w:sz w:val="18"/>
                <w:szCs w:val="18"/>
              </w:rPr>
              <w:t>采用铝合金型材，满足作业机具进出温室高度与宽度要求。</w:t>
            </w:r>
          </w:p>
        </w:tc>
        <w:tc>
          <w:tcPr>
            <w:tcW w:w="4012" w:type="dxa"/>
            <w:noWrap w:val="0"/>
            <w:vAlign w:val="center"/>
          </w:tcPr>
          <w:p>
            <w:pPr>
              <w:widowControl/>
              <w:snapToGrid w:val="0"/>
              <w:spacing w:line="360" w:lineRule="atLeast"/>
              <w:rPr>
                <w:rFonts w:eastAsia="宋体"/>
                <w:sz w:val="18"/>
                <w:szCs w:val="18"/>
              </w:rPr>
            </w:pPr>
            <w:r>
              <w:rPr>
                <w:rFonts w:eastAsia="宋体"/>
                <w:sz w:val="18"/>
                <w:szCs w:val="18"/>
              </w:rPr>
              <w:t>符合GB/T 8480等要求。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1" w:hRule="exact"/>
          <w:jc w:val="center"/>
        </w:trPr>
        <w:tc>
          <w:tcPr>
            <w:tcW w:w="1108" w:type="dxa"/>
            <w:noWrap w:val="0"/>
            <w:vAlign w:val="center"/>
          </w:tcPr>
          <w:p>
            <w:pPr>
              <w:jc w:val="center"/>
              <w:rPr>
                <w:rFonts w:eastAsia="宋体"/>
                <w:sz w:val="18"/>
                <w:szCs w:val="18"/>
              </w:rPr>
            </w:pPr>
            <w:r>
              <w:rPr>
                <w:rFonts w:eastAsia="宋体"/>
                <w:sz w:val="18"/>
                <w:szCs w:val="18"/>
              </w:rPr>
              <w:t>覆盖材料</w:t>
            </w:r>
          </w:p>
        </w:tc>
        <w:tc>
          <w:tcPr>
            <w:tcW w:w="3976" w:type="dxa"/>
            <w:noWrap w:val="0"/>
            <w:vAlign w:val="center"/>
          </w:tcPr>
          <w:p>
            <w:pPr>
              <w:rPr>
                <w:rFonts w:eastAsia="宋体"/>
                <w:sz w:val="18"/>
                <w:szCs w:val="18"/>
              </w:rPr>
            </w:pPr>
            <w:r>
              <w:rPr>
                <w:rFonts w:eastAsia="宋体"/>
                <w:kern w:val="0"/>
                <w:sz w:val="18"/>
                <w:szCs w:val="18"/>
              </w:rPr>
              <w:t>采用厚度</w:t>
            </w:r>
            <w:r>
              <w:rPr>
                <w:rFonts w:hint="eastAsia" w:eastAsia="宋体"/>
                <w:kern w:val="0"/>
                <w:sz w:val="18"/>
                <w:szCs w:val="18"/>
              </w:rPr>
              <w:t>≥</w:t>
            </w:r>
            <w:r>
              <w:rPr>
                <w:rFonts w:eastAsia="宋体"/>
                <w:kern w:val="0"/>
                <w:sz w:val="18"/>
                <w:szCs w:val="18"/>
              </w:rPr>
              <w:t>5mm的浮法</w:t>
            </w:r>
            <w:r>
              <w:rPr>
                <w:rFonts w:hint="eastAsia" w:eastAsia="宋体"/>
                <w:kern w:val="0"/>
                <w:sz w:val="18"/>
                <w:szCs w:val="18"/>
              </w:rPr>
              <w:t>(</w:t>
            </w:r>
            <w:r>
              <w:rPr>
                <w:rFonts w:eastAsia="宋体"/>
                <w:kern w:val="0"/>
                <w:sz w:val="18"/>
                <w:szCs w:val="18"/>
              </w:rPr>
              <w:t>钢化</w:t>
            </w:r>
            <w:r>
              <w:rPr>
                <w:rFonts w:hint="eastAsia" w:eastAsia="宋体"/>
                <w:kern w:val="0"/>
                <w:sz w:val="18"/>
                <w:szCs w:val="18"/>
              </w:rPr>
              <w:t>)</w:t>
            </w:r>
            <w:r>
              <w:rPr>
                <w:rFonts w:eastAsia="宋体"/>
                <w:kern w:val="0"/>
                <w:sz w:val="18"/>
                <w:szCs w:val="18"/>
              </w:rPr>
              <w:t>玻璃或者</w:t>
            </w:r>
            <w:r>
              <w:rPr>
                <w:rFonts w:hint="eastAsia" w:eastAsia="宋体"/>
                <w:kern w:val="0"/>
                <w:sz w:val="18"/>
                <w:szCs w:val="18"/>
              </w:rPr>
              <w:t>≥</w:t>
            </w:r>
            <w:r>
              <w:rPr>
                <w:rFonts w:eastAsia="宋体"/>
                <w:kern w:val="0"/>
                <w:sz w:val="18"/>
                <w:szCs w:val="18"/>
              </w:rPr>
              <w:t>4mm的太阳能玻璃（钢化）或厚度</w:t>
            </w:r>
            <w:r>
              <w:rPr>
                <w:rFonts w:hint="eastAsia" w:eastAsia="宋体"/>
                <w:kern w:val="0"/>
                <w:sz w:val="18"/>
                <w:szCs w:val="18"/>
              </w:rPr>
              <w:t>≥</w:t>
            </w:r>
            <w:r>
              <w:rPr>
                <w:rFonts w:eastAsia="宋体"/>
                <w:kern w:val="0"/>
                <w:sz w:val="18"/>
                <w:szCs w:val="18"/>
              </w:rPr>
              <w:t>8mm的PC中空板。</w:t>
            </w:r>
          </w:p>
        </w:tc>
        <w:tc>
          <w:tcPr>
            <w:tcW w:w="4012" w:type="dxa"/>
            <w:noWrap w:val="0"/>
            <w:vAlign w:val="center"/>
          </w:tcPr>
          <w:p>
            <w:pPr>
              <w:rPr>
                <w:rFonts w:eastAsia="宋体"/>
                <w:sz w:val="18"/>
                <w:szCs w:val="18"/>
              </w:rPr>
            </w:pPr>
            <w:r>
              <w:rPr>
                <w:rFonts w:eastAsia="宋体"/>
                <w:kern w:val="0"/>
                <w:sz w:val="18"/>
                <w:szCs w:val="18"/>
              </w:rPr>
              <w:t>覆盖材料</w:t>
            </w:r>
            <w:r>
              <w:rPr>
                <w:rFonts w:eastAsia="宋体"/>
                <w:sz w:val="18"/>
                <w:szCs w:val="18"/>
              </w:rPr>
              <w:t>透光率</w:t>
            </w:r>
            <w:r>
              <w:rPr>
                <w:rFonts w:hint="eastAsia" w:eastAsia="宋体"/>
                <w:kern w:val="0"/>
                <w:sz w:val="18"/>
                <w:szCs w:val="18"/>
              </w:rPr>
              <w:t>≥</w:t>
            </w:r>
            <w:r>
              <w:rPr>
                <w:rFonts w:eastAsia="宋体"/>
                <w:sz w:val="18"/>
                <w:szCs w:val="18"/>
              </w:rPr>
              <w:t>90％，符合GB/T 30984.1、GB 11614、</w:t>
            </w:r>
            <w:r>
              <w:rPr>
                <w:rFonts w:eastAsia="宋体"/>
                <w:kern w:val="0"/>
                <w:sz w:val="18"/>
                <w:szCs w:val="18"/>
              </w:rPr>
              <w:t>JG/T 116、NY/T 1966等要求</w:t>
            </w:r>
            <w:r>
              <w:rPr>
                <w:rFonts w:eastAsia="宋体"/>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exact"/>
          <w:jc w:val="center"/>
        </w:trPr>
        <w:tc>
          <w:tcPr>
            <w:tcW w:w="1108" w:type="dxa"/>
            <w:noWrap w:val="0"/>
            <w:vAlign w:val="center"/>
          </w:tcPr>
          <w:p>
            <w:pPr>
              <w:jc w:val="center"/>
              <w:rPr>
                <w:rFonts w:eastAsia="宋体"/>
                <w:sz w:val="18"/>
                <w:szCs w:val="18"/>
              </w:rPr>
            </w:pPr>
            <w:r>
              <w:rPr>
                <w:rFonts w:eastAsia="宋体"/>
                <w:sz w:val="18"/>
                <w:szCs w:val="18"/>
              </w:rPr>
              <w:t>天窗</w:t>
            </w:r>
          </w:p>
        </w:tc>
        <w:tc>
          <w:tcPr>
            <w:tcW w:w="3976" w:type="dxa"/>
            <w:noWrap w:val="0"/>
            <w:vAlign w:val="center"/>
          </w:tcPr>
          <w:p>
            <w:pPr>
              <w:widowControl/>
              <w:snapToGrid w:val="0"/>
              <w:spacing w:line="360" w:lineRule="atLeast"/>
              <w:rPr>
                <w:rFonts w:eastAsia="宋体"/>
                <w:sz w:val="18"/>
                <w:szCs w:val="18"/>
              </w:rPr>
            </w:pPr>
            <w:r>
              <w:rPr>
                <w:rFonts w:eastAsia="宋体"/>
                <w:spacing w:val="1"/>
                <w:kern w:val="0"/>
                <w:position w:val="-2"/>
                <w:sz w:val="18"/>
                <w:szCs w:val="18"/>
              </w:rPr>
              <w:t>根据通风要求设置，可采用交叉对开方式。关闭时，密封良好，不漏水。天窗宽度</w:t>
            </w:r>
            <w:r>
              <w:rPr>
                <w:rFonts w:hint="eastAsia" w:eastAsia="宋体"/>
                <w:kern w:val="0"/>
                <w:sz w:val="18"/>
                <w:szCs w:val="18"/>
              </w:rPr>
              <w:t>≥</w:t>
            </w:r>
            <w:r>
              <w:rPr>
                <w:rFonts w:eastAsia="宋体"/>
                <w:sz w:val="18"/>
                <w:szCs w:val="18"/>
              </w:rPr>
              <w:t>2m，天窗支撑杆</w:t>
            </w:r>
            <w:r>
              <w:rPr>
                <w:rFonts w:hint="eastAsia" w:eastAsia="宋体"/>
                <w:kern w:val="0"/>
                <w:sz w:val="18"/>
                <w:szCs w:val="18"/>
              </w:rPr>
              <w:t>≥</w:t>
            </w:r>
            <w:r>
              <w:rPr>
                <w:rFonts w:eastAsia="宋体"/>
                <w:sz w:val="18"/>
                <w:szCs w:val="18"/>
              </w:rPr>
              <w:t>2根。</w:t>
            </w:r>
          </w:p>
        </w:tc>
        <w:tc>
          <w:tcPr>
            <w:tcW w:w="4012" w:type="dxa"/>
            <w:noWrap w:val="0"/>
            <w:vAlign w:val="center"/>
          </w:tcPr>
          <w:p>
            <w:pPr>
              <w:widowControl/>
              <w:snapToGrid w:val="0"/>
              <w:spacing w:line="360" w:lineRule="atLeast"/>
              <w:rPr>
                <w:rFonts w:eastAsia="宋体"/>
                <w:sz w:val="18"/>
                <w:szCs w:val="18"/>
              </w:rPr>
            </w:pPr>
            <w:r>
              <w:rPr>
                <w:rFonts w:eastAsia="宋体"/>
                <w:sz w:val="18"/>
                <w:szCs w:val="18"/>
              </w:rPr>
              <w:t>符合NY/T 1364等要求。</w:t>
            </w:r>
          </w:p>
        </w:tc>
      </w:tr>
    </w:tbl>
    <w:p>
      <w:pPr>
        <w:widowControl/>
        <w:spacing w:line="260" w:lineRule="exact"/>
        <w:jc w:val="center"/>
        <w:textAlignment w:val="center"/>
        <w:rPr>
          <w:rFonts w:hint="eastAsia" w:ascii="宋体" w:hAnsi="宋体" w:eastAsia="宋体" w:cs="宋体"/>
          <w:b/>
          <w:color w:val="auto"/>
          <w:sz w:val="21"/>
          <w:szCs w:val="21"/>
          <w:highlight w:val="none"/>
          <w:lang w:val="en-US" w:eastAsia="zh-CN" w:bidi="ar-SA"/>
        </w:rPr>
      </w:pPr>
    </w:p>
    <w:p>
      <w:pPr>
        <w:widowControl/>
        <w:spacing w:line="260" w:lineRule="exact"/>
        <w:textAlignment w:val="center"/>
        <w:rPr>
          <w:rFonts w:ascii="宋体" w:cs="Times New Roman"/>
          <w:b/>
          <w:bCs/>
          <w:color w:val="000000"/>
          <w:kern w:val="0"/>
        </w:rPr>
      </w:pPr>
    </w:p>
    <w:p>
      <w:pPr>
        <w:widowControl/>
        <w:spacing w:line="260" w:lineRule="exact"/>
        <w:textAlignment w:val="center"/>
        <w:rPr>
          <w:rFonts w:ascii="Times New Roman" w:hAnsi="Times New Roman" w:cs="Times New Roman"/>
          <w:b/>
          <w:bCs/>
          <w:color w:val="000000"/>
          <w:kern w:val="0"/>
        </w:rPr>
      </w:pPr>
    </w:p>
    <w:p>
      <w:pPr>
        <w:widowControl/>
        <w:spacing w:line="260" w:lineRule="exact"/>
        <w:jc w:val="center"/>
        <w:textAlignment w:val="center"/>
        <w:rPr>
          <w:rFonts w:ascii="Times New Roman" w:hAnsi="Times New Roman"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sectPr>
          <w:pgSz w:w="11907" w:h="16840" w:orient="landscape"/>
          <w:pgMar w:top="1803" w:right="1440" w:bottom="1803" w:left="1440" w:header="851" w:footer="992" w:gutter="0"/>
          <w:cols w:space="0" w:num="1"/>
          <w:docGrid w:type="linesAndChars" w:linePitch="319" w:charSpace="0"/>
        </w:sectPr>
      </w:pPr>
    </w:p>
    <w:p>
      <w:pPr>
        <w:pStyle w:val="2"/>
        <w:spacing w:beforeLines="100" w:afterLines="100" w:line="240" w:lineRule="auto"/>
        <w:jc w:val="center"/>
        <w:rPr>
          <w:rFonts w:hint="default" w:ascii="Times New Roman" w:hAnsi="Times New Roman" w:eastAsia="黑体" w:cs="黑体"/>
          <w:b w:val="0"/>
          <w:bCs w:val="0"/>
          <w:color w:val="000000"/>
          <w:sz w:val="21"/>
          <w:szCs w:val="21"/>
          <w:lang w:val="en-US" w:eastAsia="zh-CN"/>
        </w:rPr>
      </w:pPr>
      <w:bookmarkStart w:id="98" w:name="_Toc10151"/>
      <w:r>
        <w:rPr>
          <w:rFonts w:hint="eastAsia" w:ascii="Times New Roman" w:hAnsi="Times New Roman" w:eastAsia="黑体" w:cs="黑体"/>
          <w:b w:val="0"/>
          <w:bCs w:val="0"/>
          <w:color w:val="000000"/>
          <w:sz w:val="21"/>
          <w:szCs w:val="21"/>
        </w:rPr>
        <w:t>附 录</w:t>
      </w:r>
      <w:r>
        <w:rPr>
          <w:rFonts w:hint="eastAsia" w:ascii="Times New Roman" w:hAnsi="Times New Roman" w:eastAsia="黑体" w:cs="黑体"/>
          <w:b w:val="0"/>
          <w:bCs w:val="0"/>
          <w:color w:val="000000"/>
          <w:sz w:val="21"/>
          <w:szCs w:val="21"/>
          <w:lang w:val="en-US" w:eastAsia="zh-CN"/>
        </w:rPr>
        <w:t>B  玻璃温室</w:t>
      </w:r>
      <w:r>
        <w:rPr>
          <w:rFonts w:hint="default" w:ascii="Times New Roman" w:hAnsi="Times New Roman" w:eastAsia="黑体" w:cs="黑体"/>
          <w:b w:val="0"/>
          <w:bCs w:val="0"/>
          <w:color w:val="000000"/>
          <w:sz w:val="21"/>
          <w:szCs w:val="21"/>
          <w:lang w:val="en-US" w:eastAsia="zh-CN"/>
        </w:rPr>
        <w:t>安装允许偏差</w:t>
      </w:r>
      <w:bookmarkEnd w:id="98"/>
    </w:p>
    <w:p>
      <w:pPr>
        <w:widowControl/>
        <w:spacing w:line="260" w:lineRule="exact"/>
        <w:jc w:val="center"/>
        <w:textAlignment w:val="center"/>
        <w:rPr>
          <w:rFonts w:ascii="Times New Roman" w:hAnsi="Times New Roman" w:eastAsia="黑体" w:cs="Times New Roman"/>
          <w:b/>
          <w:bCs/>
          <w:color w:val="000000"/>
          <w:kern w:val="0"/>
        </w:rPr>
      </w:pPr>
    </w:p>
    <w:tbl>
      <w:tblPr>
        <w:tblStyle w:val="12"/>
        <w:tblW w:w="0" w:type="auto"/>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5"/>
        <w:gridCol w:w="1440"/>
        <w:gridCol w:w="3602"/>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项目</w:t>
            </w:r>
          </w:p>
        </w:tc>
        <w:tc>
          <w:tcPr>
            <w:tcW w:w="1440" w:type="dxa"/>
            <w:noWrap w:val="0"/>
            <w:vAlign w:val="center"/>
          </w:tcPr>
          <w:p>
            <w:pPr>
              <w:spacing w:before="156" w:beforeLines="50"/>
              <w:ind w:left="-29"/>
              <w:jc w:val="center"/>
              <w:rPr>
                <w:rFonts w:eastAsia="宋体"/>
                <w:sz w:val="18"/>
                <w:szCs w:val="18"/>
              </w:rPr>
            </w:pPr>
            <w:r>
              <w:rPr>
                <w:rFonts w:eastAsia="宋体"/>
                <w:sz w:val="18"/>
                <w:szCs w:val="18"/>
              </w:rPr>
              <w:t>允许偏差/mm</w:t>
            </w:r>
          </w:p>
        </w:tc>
        <w:tc>
          <w:tcPr>
            <w:tcW w:w="3602" w:type="dxa"/>
            <w:noWrap w:val="0"/>
            <w:vAlign w:val="center"/>
          </w:tcPr>
          <w:p>
            <w:pPr>
              <w:spacing w:before="156" w:beforeLines="50"/>
              <w:ind w:left="-29"/>
              <w:jc w:val="center"/>
              <w:rPr>
                <w:rFonts w:eastAsia="宋体"/>
                <w:sz w:val="18"/>
                <w:szCs w:val="18"/>
              </w:rPr>
            </w:pPr>
            <w:r>
              <w:rPr>
                <w:rFonts w:eastAsia="宋体"/>
                <w:sz w:val="18"/>
                <w:szCs w:val="18"/>
              </w:rPr>
              <w:t>图例</w:t>
            </w:r>
          </w:p>
        </w:tc>
        <w:tc>
          <w:tcPr>
            <w:tcW w:w="2173" w:type="dxa"/>
            <w:noWrap w:val="0"/>
            <w:vAlign w:val="center"/>
          </w:tcPr>
          <w:p>
            <w:pPr>
              <w:spacing w:before="156" w:beforeLines="50"/>
              <w:ind w:left="-29"/>
              <w:jc w:val="center"/>
              <w:rPr>
                <w:rFonts w:eastAsia="宋体"/>
                <w:sz w:val="18"/>
                <w:szCs w:val="18"/>
              </w:rPr>
            </w:pPr>
            <w:r>
              <w:rPr>
                <w:rFonts w:eastAsia="宋体"/>
                <w:sz w:val="18"/>
                <w:szCs w:val="18"/>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屋面角度</w:t>
            </w:r>
          </w:p>
        </w:tc>
        <w:tc>
          <w:tcPr>
            <w:tcW w:w="1440" w:type="dxa"/>
            <w:noWrap w:val="0"/>
            <w:vAlign w:val="center"/>
          </w:tcPr>
          <w:p>
            <w:pPr>
              <w:spacing w:before="156" w:beforeLines="50"/>
              <w:jc w:val="center"/>
              <w:rPr>
                <w:rFonts w:eastAsia="宋体"/>
                <w:sz w:val="18"/>
                <w:szCs w:val="18"/>
              </w:rPr>
            </w:pPr>
            <w:r>
              <w:rPr>
                <w:rFonts w:eastAsia="宋体"/>
                <w:sz w:val="18"/>
                <w:szCs w:val="18"/>
              </w:rPr>
              <w:t>±1°</w:t>
            </w:r>
          </w:p>
        </w:tc>
        <w:tc>
          <w:tcPr>
            <w:tcW w:w="3602" w:type="dxa"/>
            <w:noWrap w:val="0"/>
            <w:vAlign w:val="center"/>
          </w:tcPr>
          <w:p>
            <w:pPr>
              <w:spacing w:before="156" w:beforeLines="50"/>
              <w:jc w:val="center"/>
              <w:rPr>
                <w:rFonts w:eastAsia="宋体"/>
                <w:sz w:val="18"/>
                <w:szCs w:val="18"/>
              </w:rPr>
            </w:pPr>
            <w:r>
              <w:rPr>
                <w:rFonts w:eastAsia="宋体"/>
                <w:sz w:val="18"/>
                <w:szCs w:val="18"/>
              </w:rPr>
              <w:pict>
                <v:shape id="图片 1" o:spid="_x0000_s1044" o:spt="75" alt="屋面剖度" type="#_x0000_t75" style="position:absolute;left:0pt;margin-left:21.35pt;margin-top:11.5pt;height:42.05pt;width:127.15pt;mso-wrap-distance-bottom:0pt;mso-wrap-distance-left:9pt;mso-wrap-distance-right:9pt;mso-wrap-distance-top:0pt;z-index:251667456;mso-width-relative:page;mso-height-relative:page;" filled="f" o:preferrelative="t" stroked="f" coordsize="21600,21600">
                  <v:path/>
                  <v:fill on="f" focussize="0,0"/>
                  <v:stroke on="f"/>
                  <v:imagedata r:id="rId7" cropleft="5163f" croptop="18929f" cropright="1996f" cropbottom="22457f" o:title=""/>
                  <o:lock v:ext="edit" aspectratio="t"/>
                  <w10:wrap type="square"/>
                </v:shape>
              </w:pict>
            </w:r>
          </w:p>
        </w:tc>
        <w:tc>
          <w:tcPr>
            <w:tcW w:w="2173" w:type="dxa"/>
            <w:noWrap w:val="0"/>
            <w:vAlign w:val="center"/>
          </w:tcPr>
          <w:p>
            <w:pPr>
              <w:spacing w:before="156" w:beforeLines="50"/>
              <w:jc w:val="center"/>
              <w:rPr>
                <w:rFonts w:eastAsia="宋体"/>
                <w:sz w:val="18"/>
                <w:szCs w:val="18"/>
              </w:rPr>
            </w:pPr>
            <w:r>
              <w:rPr>
                <w:rFonts w:eastAsia="宋体"/>
                <w:sz w:val="18"/>
                <w:szCs w:val="18"/>
              </w:rPr>
              <w:t>测水平跨度和屋面高度，通过反三角函数计算验证。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顶高（H）</w:t>
            </w:r>
          </w:p>
        </w:tc>
        <w:tc>
          <w:tcPr>
            <w:tcW w:w="1440" w:type="dxa"/>
            <w:noWrap w:val="0"/>
            <w:vAlign w:val="center"/>
          </w:tcPr>
          <w:p>
            <w:pPr>
              <w:spacing w:before="156" w:beforeLines="50"/>
              <w:ind w:left="-29"/>
              <w:jc w:val="center"/>
              <w:rPr>
                <w:rFonts w:eastAsia="宋体"/>
                <w:sz w:val="18"/>
                <w:szCs w:val="18"/>
              </w:rPr>
            </w:pPr>
            <w:r>
              <w:rPr>
                <w:rFonts w:eastAsia="宋体"/>
                <w:sz w:val="18"/>
                <w:szCs w:val="18"/>
              </w:rPr>
              <w:t>±30</w:t>
            </w:r>
          </w:p>
        </w:tc>
        <w:tc>
          <w:tcPr>
            <w:tcW w:w="3602" w:type="dxa"/>
            <w:vMerge w:val="restart"/>
            <w:noWrap w:val="0"/>
            <w:vAlign w:val="center"/>
          </w:tcPr>
          <w:p>
            <w:pPr>
              <w:spacing w:before="156" w:beforeLines="50"/>
              <w:ind w:left="-29"/>
              <w:jc w:val="center"/>
              <w:rPr>
                <w:rFonts w:eastAsia="宋体"/>
                <w:sz w:val="18"/>
                <w:szCs w:val="18"/>
              </w:rPr>
            </w:pPr>
            <w:r>
              <w:rPr>
                <w:rFonts w:hint="eastAsia" w:eastAsia="宋体"/>
                <w:sz w:val="18"/>
                <w:szCs w:val="18"/>
                <w:lang w:eastAsia="zh-CN"/>
              </w:rPr>
              <w:pict>
                <v:shape id="图片 6" o:spid="_x0000_s1042" o:spt="75" alt="0c766d460f0a792c11a0ac605d84ddaa" type="#_x0000_t75" style="position:absolute;left:0pt;margin-left:30.5pt;margin-top:83.25pt;height:106.2pt;width:109.8pt;z-index:251670528;mso-width-relative:page;mso-height-relative:page;" filled="f" o:preferrelative="t" stroked="f" coordsize="21600,21600">
                  <v:path/>
                  <v:fill on="f" focussize="0,0"/>
                  <v:stroke on="f"/>
                  <v:imagedata r:id="rId8" o:title=""/>
                  <o:lock v:ext="edit" aspectratio="t"/>
                </v:shape>
              </w:pict>
            </w:r>
            <w:r>
              <w:rPr>
                <w:rFonts w:eastAsia="宋体"/>
                <w:sz w:val="18"/>
                <w:szCs w:val="18"/>
              </w:rPr>
              <w:pict>
                <v:shape id="图片 2" o:spid="_x0000_s1043" o:spt="75" alt="玻璃温室立面图" type="#_x0000_t75" style="position:absolute;left:0pt;margin-left:4.35pt;margin-top:6.2pt;height:75.9pt;width:146.3pt;z-index:251668480;mso-width-relative:page;mso-height-relative:page;" filled="f" o:preferrelative="t" stroked="f" coordsize="21600,21600">
                  <v:path/>
                  <v:fill on="f" focussize="0,0"/>
                  <v:stroke on="f"/>
                  <v:imagedata r:id="rId9" croptop="13451f" cropright="2341f" cropbottom="11100f" o:title=""/>
                  <o:lock v:ext="edit" aspectratio="t"/>
                </v:shape>
              </w:pict>
            </w:r>
          </w:p>
        </w:tc>
        <w:tc>
          <w:tcPr>
            <w:tcW w:w="2173" w:type="dxa"/>
            <w:vMerge w:val="restart"/>
            <w:noWrap w:val="0"/>
            <w:vAlign w:val="center"/>
          </w:tcPr>
          <w:p>
            <w:pPr>
              <w:spacing w:before="156" w:beforeLines="50"/>
              <w:ind w:left="-29"/>
              <w:jc w:val="center"/>
              <w:rPr>
                <w:rFonts w:eastAsia="宋体"/>
                <w:sz w:val="18"/>
                <w:szCs w:val="18"/>
              </w:rPr>
            </w:pPr>
            <w:r>
              <w:rPr>
                <w:rFonts w:eastAsia="宋体"/>
                <w:sz w:val="18"/>
                <w:szCs w:val="18"/>
              </w:rPr>
              <w:t>在两山墙端面取点，采用钢尺测量。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肩高（h）</w:t>
            </w:r>
          </w:p>
        </w:tc>
        <w:tc>
          <w:tcPr>
            <w:tcW w:w="1440" w:type="dxa"/>
            <w:noWrap w:val="0"/>
            <w:vAlign w:val="center"/>
          </w:tcPr>
          <w:p>
            <w:pPr>
              <w:spacing w:before="156" w:beforeLines="50"/>
              <w:ind w:left="-29"/>
              <w:jc w:val="center"/>
              <w:rPr>
                <w:rFonts w:eastAsia="宋体"/>
                <w:sz w:val="18"/>
                <w:szCs w:val="18"/>
              </w:rPr>
            </w:pPr>
            <w:r>
              <w:rPr>
                <w:rFonts w:eastAsia="宋体"/>
                <w:sz w:val="18"/>
                <w:szCs w:val="18"/>
              </w:rPr>
              <w:t>±20</w:t>
            </w:r>
          </w:p>
        </w:tc>
        <w:tc>
          <w:tcPr>
            <w:tcW w:w="3602" w:type="dxa"/>
            <w:vMerge w:val="continue"/>
            <w:noWrap w:val="0"/>
            <w:vAlign w:val="center"/>
          </w:tcPr>
          <w:p>
            <w:pPr>
              <w:jc w:val="center"/>
              <w:rPr>
                <w:rFonts w:eastAsia="宋体"/>
              </w:rPr>
            </w:pPr>
          </w:p>
        </w:tc>
        <w:tc>
          <w:tcPr>
            <w:tcW w:w="2173" w:type="dxa"/>
            <w:vMerge w:val="continue"/>
            <w:noWrap w:val="0"/>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跨度（B）</w:t>
            </w:r>
          </w:p>
        </w:tc>
        <w:tc>
          <w:tcPr>
            <w:tcW w:w="1440" w:type="dxa"/>
            <w:noWrap w:val="0"/>
            <w:vAlign w:val="center"/>
          </w:tcPr>
          <w:p>
            <w:pPr>
              <w:spacing w:before="156" w:beforeLines="50"/>
              <w:ind w:left="-29"/>
              <w:jc w:val="center"/>
              <w:rPr>
                <w:rFonts w:eastAsia="宋体"/>
                <w:sz w:val="18"/>
                <w:szCs w:val="18"/>
              </w:rPr>
            </w:pPr>
            <w:r>
              <w:rPr>
                <w:rFonts w:eastAsia="宋体"/>
                <w:sz w:val="18"/>
                <w:szCs w:val="18"/>
              </w:rPr>
              <w:t>±40</w:t>
            </w:r>
          </w:p>
        </w:tc>
        <w:tc>
          <w:tcPr>
            <w:tcW w:w="3602" w:type="dxa"/>
            <w:vMerge w:val="continue"/>
            <w:noWrap w:val="0"/>
            <w:vAlign w:val="center"/>
          </w:tcPr>
          <w:p>
            <w:pPr>
              <w:jc w:val="center"/>
              <w:rPr>
                <w:rFonts w:eastAsia="宋体"/>
              </w:rPr>
            </w:pPr>
          </w:p>
        </w:tc>
        <w:tc>
          <w:tcPr>
            <w:tcW w:w="2173" w:type="dxa"/>
            <w:vMerge w:val="continue"/>
            <w:noWrap w:val="0"/>
            <w:vAlign w:val="center"/>
          </w:tcPr>
          <w:p>
            <w:pPr>
              <w:jc w:val="center"/>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圈梁基础</w:t>
            </w:r>
          </w:p>
        </w:tc>
        <w:tc>
          <w:tcPr>
            <w:tcW w:w="1440" w:type="dxa"/>
            <w:noWrap w:val="0"/>
            <w:vAlign w:val="center"/>
          </w:tcPr>
          <w:p>
            <w:pPr>
              <w:spacing w:before="156" w:beforeLines="50"/>
              <w:ind w:left="-29"/>
              <w:jc w:val="center"/>
              <w:rPr>
                <w:rFonts w:eastAsia="宋体"/>
                <w:sz w:val="18"/>
                <w:szCs w:val="18"/>
              </w:rPr>
            </w:pPr>
            <w:r>
              <w:rPr>
                <w:rFonts w:eastAsia="宋体"/>
                <w:sz w:val="18"/>
                <w:szCs w:val="18"/>
              </w:rPr>
              <w:t>±40</w:t>
            </w:r>
          </w:p>
        </w:tc>
        <w:tc>
          <w:tcPr>
            <w:tcW w:w="3602" w:type="dxa"/>
            <w:noWrap w:val="0"/>
            <w:vAlign w:val="center"/>
          </w:tcPr>
          <w:p>
            <w:pPr>
              <w:spacing w:before="156" w:beforeLines="50"/>
              <w:ind w:left="-29"/>
              <w:jc w:val="center"/>
              <w:rPr>
                <w:rFonts w:hint="eastAsia" w:eastAsia="宋体"/>
                <w:sz w:val="18"/>
                <w:szCs w:val="18"/>
                <w:lang w:eastAsia="zh-CN"/>
              </w:rPr>
            </w:pPr>
          </w:p>
        </w:tc>
        <w:tc>
          <w:tcPr>
            <w:tcW w:w="2173" w:type="dxa"/>
            <w:noWrap w:val="0"/>
            <w:vAlign w:val="center"/>
          </w:tcPr>
          <w:p>
            <w:pPr>
              <w:spacing w:before="156" w:beforeLines="50"/>
              <w:ind w:left="-29"/>
              <w:jc w:val="center"/>
              <w:rPr>
                <w:rFonts w:eastAsia="宋体"/>
                <w:sz w:val="18"/>
                <w:szCs w:val="18"/>
              </w:rPr>
            </w:pPr>
            <w:r>
              <w:rPr>
                <w:rFonts w:eastAsia="宋体"/>
                <w:sz w:val="18"/>
                <w:szCs w:val="18"/>
              </w:rPr>
              <w:t>按设计尺寸，将基础周围土层挖空后用钢尺测量，其中截面大小取上中下3个点进行测量，取平均值。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1" w:hRule="atLeast"/>
        </w:trPr>
        <w:tc>
          <w:tcPr>
            <w:tcW w:w="1545" w:type="dxa"/>
            <w:noWrap w:val="0"/>
            <w:vAlign w:val="center"/>
          </w:tcPr>
          <w:p>
            <w:pPr>
              <w:spacing w:before="156" w:beforeLines="50"/>
              <w:ind w:left="-29"/>
              <w:jc w:val="center"/>
              <w:rPr>
                <w:rFonts w:eastAsia="宋体"/>
                <w:sz w:val="18"/>
                <w:szCs w:val="18"/>
              </w:rPr>
            </w:pPr>
            <w:r>
              <w:rPr>
                <w:rFonts w:eastAsia="宋体"/>
                <w:sz w:val="18"/>
                <w:szCs w:val="18"/>
              </w:rPr>
              <w:t>独立基础</w:t>
            </w:r>
          </w:p>
        </w:tc>
        <w:tc>
          <w:tcPr>
            <w:tcW w:w="1440" w:type="dxa"/>
            <w:noWrap w:val="0"/>
            <w:vAlign w:val="center"/>
          </w:tcPr>
          <w:p>
            <w:pPr>
              <w:spacing w:before="156" w:beforeLines="50"/>
              <w:ind w:left="-29"/>
              <w:jc w:val="center"/>
              <w:rPr>
                <w:rFonts w:eastAsia="宋体"/>
                <w:sz w:val="18"/>
                <w:szCs w:val="18"/>
              </w:rPr>
            </w:pPr>
            <w:r>
              <w:rPr>
                <w:rFonts w:eastAsia="宋体"/>
                <w:sz w:val="18"/>
                <w:szCs w:val="18"/>
              </w:rPr>
              <w:t>±40</w:t>
            </w:r>
          </w:p>
        </w:tc>
        <w:tc>
          <w:tcPr>
            <w:tcW w:w="3602" w:type="dxa"/>
            <w:noWrap w:val="0"/>
            <w:vAlign w:val="center"/>
          </w:tcPr>
          <w:p>
            <w:pPr>
              <w:spacing w:before="156" w:beforeLines="50"/>
              <w:ind w:left="-29"/>
              <w:jc w:val="center"/>
              <w:rPr>
                <w:rFonts w:eastAsia="宋体"/>
                <w:sz w:val="18"/>
                <w:szCs w:val="18"/>
              </w:rPr>
            </w:pPr>
            <w:r>
              <w:rPr>
                <w:rFonts w:eastAsia="宋体"/>
                <w:sz w:val="18"/>
                <w:szCs w:val="18"/>
              </w:rPr>
              <w:pict>
                <v:shape id="图片 7" o:spid="_x0000_s1041" o:spt="75" alt="连栋大棚基础" type="#_x0000_t75" style="position:absolute;left:0pt;margin-left:50.45pt;margin-top:22.7pt;height:72.3pt;width:75.35pt;z-index:251669504;mso-width-relative:page;mso-height-relative:page;" filled="f" o:preferrelative="t" stroked="f" coordsize="21600,21600">
                  <v:path/>
                  <v:fill on="f" focussize="0,0"/>
                  <v:stroke on="f"/>
                  <v:imagedata r:id="rId10" cropleft="4818f" croptop="2547f" cropright="-545f" cropbottom="4085f" o:title=""/>
                  <o:lock v:ext="edit" grouping="t" aspectratio="t"/>
                </v:shape>
              </w:pict>
            </w:r>
          </w:p>
        </w:tc>
        <w:tc>
          <w:tcPr>
            <w:tcW w:w="2173" w:type="dxa"/>
            <w:noWrap w:val="0"/>
            <w:vAlign w:val="center"/>
          </w:tcPr>
          <w:p>
            <w:pPr>
              <w:spacing w:before="156" w:beforeLines="50"/>
              <w:ind w:left="-29"/>
              <w:jc w:val="center"/>
              <w:rPr>
                <w:rFonts w:eastAsia="宋体"/>
                <w:sz w:val="18"/>
                <w:szCs w:val="18"/>
              </w:rPr>
            </w:pPr>
            <w:r>
              <w:rPr>
                <w:rFonts w:eastAsia="宋体"/>
                <w:sz w:val="18"/>
                <w:szCs w:val="18"/>
              </w:rPr>
              <w:t>按设计尺寸，将基础周围土层挖空后用钢尺测量，其中截面大小取上中下3个点进行测量，取平均值。</w:t>
            </w:r>
          </w:p>
        </w:tc>
      </w:tr>
    </w:tbl>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pPr>
    </w:p>
    <w:p>
      <w:pPr>
        <w:widowControl/>
        <w:spacing w:line="260" w:lineRule="exact"/>
        <w:jc w:val="center"/>
        <w:textAlignment w:val="center"/>
        <w:rPr>
          <w:rFonts w:ascii="Times New Roman" w:hAnsi="Times New Roman" w:eastAsia="黑体" w:cs="Times New Roman"/>
          <w:b/>
          <w:bCs/>
          <w:color w:val="000000"/>
          <w:kern w:val="0"/>
        </w:rPr>
        <w:sectPr>
          <w:pgSz w:w="11907" w:h="16840" w:orient="landscape"/>
          <w:pgMar w:top="1803" w:right="1440" w:bottom="1803" w:left="1440" w:header="851" w:footer="992" w:gutter="0"/>
          <w:cols w:space="0" w:num="1"/>
          <w:docGrid w:type="linesAndChars" w:linePitch="319" w:charSpace="0"/>
        </w:sectPr>
      </w:pPr>
    </w:p>
    <w:p>
      <w:pPr>
        <w:keepNext w:val="0"/>
        <w:keepLines w:val="0"/>
        <w:pageBreakBefore w:val="0"/>
        <w:widowControl/>
        <w:kinsoku/>
        <w:wordWrap/>
        <w:overflowPunct/>
        <w:topLinePunct w:val="0"/>
        <w:autoSpaceDE/>
        <w:autoSpaceDN/>
        <w:bidi w:val="0"/>
        <w:adjustRightInd/>
        <w:snapToGrid/>
        <w:spacing w:line="600" w:lineRule="exact"/>
        <w:jc w:val="center"/>
        <w:textAlignment w:val="center"/>
        <w:rPr>
          <w:rFonts w:ascii="宋体" w:hAnsi="宋体" w:eastAsia="宋体" w:cs="宋体"/>
          <w:b/>
          <w:bCs/>
          <w:spacing w:val="3"/>
          <w:sz w:val="40"/>
          <w:szCs w:val="40"/>
        </w:rPr>
      </w:pPr>
      <w:bookmarkStart w:id="99" w:name="_Toc20185"/>
      <w:bookmarkStart w:id="100" w:name="_Toc2444"/>
      <w:bookmarkStart w:id="101" w:name="_Toc8320"/>
      <w:r>
        <w:rPr>
          <w:rFonts w:ascii="宋体" w:hAnsi="宋体" w:eastAsia="宋体" w:cs="宋体"/>
          <w:b/>
          <w:bCs/>
          <w:spacing w:val="3"/>
          <w:sz w:val="40"/>
          <w:szCs w:val="40"/>
        </w:rPr>
        <w:t>本规范用词说明</w:t>
      </w:r>
      <w:bookmarkEnd w:id="99"/>
      <w:bookmarkEnd w:id="100"/>
      <w:bookmarkEnd w:id="101"/>
    </w:p>
    <w:p>
      <w:pPr>
        <w:keepNext w:val="0"/>
        <w:keepLines w:val="0"/>
        <w:pageBreakBefore w:val="0"/>
        <w:widowControl/>
        <w:kinsoku/>
        <w:wordWrap/>
        <w:overflowPunct/>
        <w:topLinePunct w:val="0"/>
        <w:autoSpaceDE/>
        <w:autoSpaceDN/>
        <w:bidi w:val="0"/>
        <w:adjustRightInd/>
        <w:snapToGrid/>
        <w:spacing w:line="600" w:lineRule="exact"/>
        <w:jc w:val="center"/>
        <w:textAlignment w:val="center"/>
        <w:rPr>
          <w:rFonts w:ascii="宋体" w:hAnsi="宋体" w:eastAsia="宋体" w:cs="宋体"/>
          <w:b/>
          <w:bCs/>
          <w:spacing w:val="3"/>
          <w:sz w:val="40"/>
          <w:szCs w:val="40"/>
        </w:rPr>
      </w:pPr>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lang w:val="en-US" w:eastAsia="zh-CN"/>
        </w:rPr>
        <w:t>1  为便于在执行本规范条文时区别对待，对要求严格程度不同的用词说明如下：</w:t>
      </w:r>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lang w:val="en-US" w:eastAsia="zh-CN"/>
        </w:rPr>
        <w:t>1）表示很严格，非这样做不可的：</w:t>
      </w:r>
    </w:p>
    <w:p>
      <w:pPr>
        <w:spacing w:line="360" w:lineRule="auto"/>
        <w:ind w:firstLine="840" w:firstLineChars="400"/>
        <w:rPr>
          <w:rFonts w:hint="eastAsia" w:ascii="Times New Roman" w:hAnsi="Times New Roman" w:cs="宋体"/>
          <w:color w:val="000000"/>
          <w:lang w:val="en-US" w:eastAsia="zh-CN"/>
        </w:rPr>
      </w:pPr>
      <w:r>
        <w:rPr>
          <w:rFonts w:hint="eastAsia" w:ascii="Times New Roman" w:hAnsi="Times New Roman" w:cs="宋体"/>
          <w:color w:val="000000"/>
          <w:lang w:val="en-US" w:eastAsia="zh-CN"/>
        </w:rPr>
        <w:t>正面词采用“必须”，反面词采用“严禁”；</w:t>
      </w:r>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lang w:val="en-US" w:eastAsia="zh-CN"/>
        </w:rPr>
        <w:t>2）表示严格，在正常情况下均应这样做的：</w:t>
      </w:r>
    </w:p>
    <w:p>
      <w:pPr>
        <w:spacing w:line="360" w:lineRule="auto"/>
        <w:ind w:firstLine="840" w:firstLineChars="400"/>
        <w:rPr>
          <w:rFonts w:hint="eastAsia" w:ascii="Times New Roman" w:hAnsi="Times New Roman" w:cs="宋体"/>
          <w:color w:val="000000"/>
          <w:lang w:val="en-US" w:eastAsia="zh-CN"/>
        </w:rPr>
      </w:pPr>
      <w:r>
        <w:rPr>
          <w:rFonts w:hint="eastAsia" w:ascii="Times New Roman" w:hAnsi="Times New Roman" w:cs="宋体"/>
          <w:color w:val="000000"/>
          <w:lang w:val="en-US" w:eastAsia="zh-CN"/>
        </w:rPr>
        <w:t>正面词采用“应”，反面词采用“不应”或“不得”；</w:t>
      </w:r>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lang w:val="en-US" w:eastAsia="zh-CN"/>
        </w:rPr>
        <w:t>3）表示允许稍有选择，在条件许可时首先应这样做的：</w:t>
      </w:r>
    </w:p>
    <w:p>
      <w:pPr>
        <w:spacing w:line="360" w:lineRule="auto"/>
        <w:ind w:firstLine="840" w:firstLineChars="400"/>
        <w:rPr>
          <w:rFonts w:hint="eastAsia" w:ascii="Times New Roman" w:hAnsi="Times New Roman" w:cs="宋体"/>
          <w:color w:val="000000"/>
          <w:lang w:val="en-US" w:eastAsia="zh-CN"/>
        </w:rPr>
      </w:pPr>
      <w:r>
        <w:rPr>
          <w:rFonts w:hint="eastAsia" w:ascii="Times New Roman" w:hAnsi="Times New Roman" w:cs="宋体"/>
          <w:color w:val="000000"/>
          <w:lang w:val="en-US" w:eastAsia="zh-CN"/>
        </w:rPr>
        <w:t>正面词采用“宜，反面词采用“不宜”；</w:t>
      </w:r>
    </w:p>
    <w:p>
      <w:pPr>
        <w:spacing w:line="360" w:lineRule="auto"/>
        <w:ind w:firstLine="420" w:firstLineChars="200"/>
        <w:rPr>
          <w:rFonts w:hint="eastAsia" w:ascii="Times New Roman" w:hAnsi="Times New Roman" w:cs="宋体"/>
          <w:color w:val="000000"/>
          <w:lang w:val="en-US" w:eastAsia="zh-CN"/>
        </w:rPr>
      </w:pPr>
      <w:r>
        <w:rPr>
          <w:rFonts w:hint="eastAsia" w:ascii="Times New Roman" w:hAnsi="Times New Roman" w:cs="宋体"/>
          <w:color w:val="000000"/>
          <w:lang w:val="en-US" w:eastAsia="zh-CN"/>
        </w:rPr>
        <w:t>4）表示有选择，在一定条件下可以这样做的，采用“可”。</w:t>
      </w:r>
    </w:p>
    <w:p>
      <w:pPr>
        <w:spacing w:line="360" w:lineRule="auto"/>
        <w:ind w:firstLine="420" w:firstLineChars="200"/>
        <w:rPr>
          <w:rFonts w:hint="eastAsia" w:ascii="黑体" w:hAnsi="黑体" w:eastAsia="黑体" w:cs="黑体"/>
          <w:color w:val="000000"/>
          <w:kern w:val="44"/>
          <w:sz w:val="21"/>
          <w:szCs w:val="21"/>
          <w:lang w:val="en-US" w:eastAsia="zh-CN" w:bidi="ar-SA"/>
        </w:rPr>
      </w:pPr>
      <w:r>
        <w:rPr>
          <w:rFonts w:hint="eastAsia" w:ascii="Times New Roman" w:hAnsi="Times New Roman" w:cs="宋体"/>
          <w:color w:val="000000"/>
          <w:lang w:val="en-US" w:eastAsia="zh-CN"/>
        </w:rPr>
        <w:t>2  条文中指明应按其他有关标准执行的写法为：“应符合 …… 的规定”或“应按……执行”</w:t>
      </w:r>
      <w:r>
        <w:rPr>
          <w:rFonts w:hint="eastAsia" w:ascii="黑体" w:hAnsi="黑体" w:eastAsia="黑体" w:cs="黑体"/>
          <w:color w:val="000000"/>
          <w:kern w:val="44"/>
          <w:sz w:val="21"/>
          <w:szCs w:val="21"/>
          <w:lang w:val="en-US" w:eastAsia="zh-CN" w:bidi="ar-SA"/>
        </w:rPr>
        <w:t>。</w:t>
      </w:r>
    </w:p>
    <w:sectPr>
      <w:pgSz w:w="11907" w:h="16840" w:orient="landscape"/>
      <w:pgMar w:top="1803" w:right="1440" w:bottom="1803" w:left="1440" w:header="851" w:footer="992" w:gutter="0"/>
      <w:cols w:space="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等线">
    <w:altName w:val="汉仪仿宋S"/>
    <w:panose1 w:val="00000000000000000000"/>
    <w:charset w:val="86"/>
    <w:family w:val="auto"/>
    <w:pitch w:val="default"/>
    <w:sig w:usb0="00000000" w:usb1="00000000" w:usb2="00000010" w:usb3="00000000" w:csb0="00040000" w:csb1="00000000"/>
  </w:font>
  <w:font w:name="方正书宋_GBK">
    <w:panose1 w:val="02000000000000000000"/>
    <w:charset w:val="86"/>
    <w:family w:val="script"/>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仿宋S">
    <w:panose1 w:val="00020600040101000101"/>
    <w:charset w:val="86"/>
    <w:family w:val="auto"/>
    <w:pitch w:val="default"/>
    <w:sig w:usb0="A00002BF" w:usb1="38CF7CFA" w:usb2="00000016" w:usb3="00000000" w:csb0="0004009F" w:csb1="0000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ind w:right="360" w:firstLine="360"/>
      <w:rPr>
        <w:rFonts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uto" w:vAnchor="text" w:hAnchor="margin" w:xAlign="outside" w:y="1"/>
      <w:rPr>
        <w:rStyle w:val="15"/>
      </w:rPr>
    </w:pPr>
    <w:r>
      <w:rPr>
        <w:rStyle w:val="15"/>
      </w:rPr>
      <w:fldChar w:fldCharType="begin"/>
    </w:r>
    <w:r>
      <w:rPr>
        <w:rStyle w:val="15"/>
      </w:rPr>
      <w:instrText xml:space="preserve">PAGE  </w:instrText>
    </w:r>
    <w:r>
      <w:rPr>
        <w:rStyle w:val="15"/>
      </w:rPr>
      <w:fldChar w:fldCharType="separate"/>
    </w:r>
    <w:r>
      <w:rPr>
        <w:rStyle w:val="15"/>
      </w:rPr>
      <w:t>1</w:t>
    </w:r>
    <w:r>
      <w:rPr>
        <w:rStyle w:val="15"/>
      </w:rPr>
      <w:fldChar w:fldCharType="end"/>
    </w:r>
  </w:p>
  <w:p>
    <w:pPr>
      <w:pStyle w:val="47"/>
      <w:ind w:right="360" w:firstLine="360"/>
      <w:rPr>
        <w:rFonts w:cs="Times New Roma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rPr>
        <w:rFonts w:cs="Times New Roman"/>
      </w:rPr>
    </w:pPr>
    <w:r>
      <w:rPr>
        <w:rFonts w:eastAsia="宋体"/>
      </w:rPr>
      <w:t>DB</w:t>
    </w:r>
    <w:r>
      <w:t>34/</w:t>
    </w:r>
    <w:r>
      <w:rPr>
        <w:rFonts w:eastAsia="宋体"/>
      </w:rPr>
      <w:t>T</w:t>
    </w:r>
    <w:r>
      <w:t xml:space="preserve"> </w:t>
    </w:r>
    <w:r>
      <w:rPr>
        <w:rFonts w:eastAsia="宋体"/>
      </w:rPr>
      <w:t>XXXXX</w:t>
    </w:r>
    <w:r>
      <w:rPr>
        <w:rFonts w:cs="Times New Roman"/>
      </w:rPr>
      <w:t>—</w:t>
    </w:r>
    <w:r>
      <w:rPr>
        <w:rFonts w:eastAsia="宋体"/>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7D3FBC"/>
    <w:multiLevelType w:val="multilevel"/>
    <w:tmpl w:val="657D3FBC"/>
    <w:lvl w:ilvl="0" w:tentative="0">
      <w:start w:val="1"/>
      <w:numFmt w:val="upperLetter"/>
      <w:pStyle w:val="56"/>
      <w:suff w:val="nothing"/>
      <w:lvlText w:val="附录%1"/>
      <w:lvlJc w:val="left"/>
      <w:rPr>
        <w:rFonts w:hint="eastAsia"/>
        <w:spacing w:val="100"/>
      </w:rPr>
    </w:lvl>
    <w:lvl w:ilvl="1" w:tentative="0">
      <w:start w:val="1"/>
      <w:numFmt w:val="decimal"/>
      <w:pStyle w:val="57"/>
      <w:suff w:val="nothing"/>
      <w:lvlText w:val="%1.%2　"/>
      <w:lvlJc w:val="left"/>
      <w:rPr>
        <w:rFonts w:hint="eastAsia" w:ascii="黑体" w:eastAsia="黑体"/>
        <w:b w:val="0"/>
        <w:bCs w:val="0"/>
        <w:i w:val="0"/>
        <w:iCs w:val="0"/>
        <w:sz w:val="21"/>
        <w:szCs w:val="21"/>
      </w:rPr>
    </w:lvl>
    <w:lvl w:ilvl="2" w:tentative="0">
      <w:start w:val="1"/>
      <w:numFmt w:val="decimal"/>
      <w:pStyle w:val="58"/>
      <w:suff w:val="nothing"/>
      <w:lvlText w:val="%1.%2.%3　"/>
      <w:lvlJc w:val="left"/>
      <w:rPr>
        <w:rFonts w:hint="eastAsia" w:ascii="黑体" w:eastAsia="黑体"/>
        <w:b w:val="0"/>
        <w:bCs w:val="0"/>
        <w:i w:val="0"/>
        <w:iCs w:val="0"/>
        <w:sz w:val="21"/>
        <w:szCs w:val="21"/>
      </w:rPr>
    </w:lvl>
    <w:lvl w:ilvl="3" w:tentative="0">
      <w:start w:val="1"/>
      <w:numFmt w:val="decimal"/>
      <w:pStyle w:val="59"/>
      <w:suff w:val="nothing"/>
      <w:lvlText w:val="%1.%2.%3.%4　"/>
      <w:lvlJc w:val="left"/>
      <w:rPr>
        <w:rFonts w:hint="eastAsia" w:ascii="黑体" w:eastAsia="黑体"/>
        <w:b w:val="0"/>
        <w:bCs w:val="0"/>
        <w:i w:val="0"/>
        <w:iCs w:val="0"/>
        <w:sz w:val="21"/>
        <w:szCs w:val="21"/>
      </w:rPr>
    </w:lvl>
    <w:lvl w:ilvl="4" w:tentative="0">
      <w:start w:val="1"/>
      <w:numFmt w:val="decimal"/>
      <w:pStyle w:val="60"/>
      <w:suff w:val="nothing"/>
      <w:lvlText w:val="%1.%2.%3.%4.%5　"/>
      <w:lvlJc w:val="left"/>
      <w:rPr>
        <w:rFonts w:hint="eastAsia" w:ascii="黑体" w:eastAsia="黑体"/>
        <w:b w:val="0"/>
        <w:bCs w:val="0"/>
        <w:i w:val="0"/>
        <w:iCs w:val="0"/>
        <w:sz w:val="21"/>
        <w:szCs w:val="21"/>
      </w:rPr>
    </w:lvl>
    <w:lvl w:ilvl="5" w:tentative="0">
      <w:start w:val="1"/>
      <w:numFmt w:val="decimal"/>
      <w:pStyle w:val="61"/>
      <w:suff w:val="nothing"/>
      <w:lvlText w:val="%1.%2.%3.%4.%5.%6　"/>
      <w:lvlJc w:val="left"/>
      <w:rPr>
        <w:rFonts w:hint="eastAsia" w:ascii="黑体" w:eastAsia="黑体"/>
        <w:b w:val="0"/>
        <w:bCs w:val="0"/>
        <w:i w:val="0"/>
        <w:iCs w:val="0"/>
        <w:sz w:val="21"/>
        <w:szCs w:val="21"/>
      </w:rPr>
    </w:lvl>
    <w:lvl w:ilvl="6" w:tentative="0">
      <w:start w:val="1"/>
      <w:numFmt w:val="decimal"/>
      <w:suff w:val="nothing"/>
      <w:lvlText w:val="%1.%2.%3.%4.%5.%6.%7　"/>
      <w:lvlJc w:val="left"/>
      <w:rPr>
        <w:rFonts w:hint="eastAsia"/>
      </w:rPr>
    </w:lvl>
    <w:lvl w:ilvl="7" w:tentative="0">
      <w:start w:val="1"/>
      <w:numFmt w:val="decimal"/>
      <w:lvlText w:val="%1.%2.%3.%4.%5.%6.%7.%8"/>
      <w:lvlJc w:val="left"/>
      <w:pPr>
        <w:tabs>
          <w:tab w:val="left" w:pos="8804"/>
        </w:tabs>
        <w:ind w:left="8804" w:hanging="1418"/>
      </w:pPr>
      <w:rPr>
        <w:rFonts w:hint="eastAsia"/>
      </w:rPr>
    </w:lvl>
    <w:lvl w:ilvl="8" w:tentative="0">
      <w:start w:val="1"/>
      <w:numFmt w:val="decimal"/>
      <w:lvlText w:val="%1.%2.%3.%4.%5.%6.%7.%8.%9"/>
      <w:lvlJc w:val="left"/>
      <w:pPr>
        <w:tabs>
          <w:tab w:val="left" w:pos="9512"/>
        </w:tabs>
        <w:ind w:left="9512" w:hanging="1700"/>
      </w:pPr>
      <w:rPr>
        <w:rFonts w:hint="eastAsia"/>
      </w:rPr>
    </w:lvl>
  </w:abstractNum>
  <w:abstractNum w:abstractNumId="1">
    <w:nsid w:val="6CEA2025"/>
    <w:multiLevelType w:val="multilevel"/>
    <w:tmpl w:val="6CEA2025"/>
    <w:lvl w:ilvl="0" w:tentative="0">
      <w:start w:val="1"/>
      <w:numFmt w:val="none"/>
      <w:suff w:val="nothing"/>
      <w:lvlText w:val="%1"/>
      <w:lvlJc w:val="left"/>
      <w:rPr>
        <w:rFonts w:hint="default" w:ascii="Times New Roman" w:hAnsi="Times New Roman" w:cs="Times New Roman"/>
        <w:b/>
        <w:bCs/>
        <w:i w:val="0"/>
        <w:iCs w:val="0"/>
        <w:sz w:val="21"/>
        <w:szCs w:val="21"/>
      </w:rPr>
    </w:lvl>
    <w:lvl w:ilvl="1" w:tentative="0">
      <w:start w:val="1"/>
      <w:numFmt w:val="decimal"/>
      <w:suff w:val="nothing"/>
      <w:lvlText w:val="%1%2　"/>
      <w:lvlJc w:val="left"/>
      <w:rPr>
        <w:rFonts w:hint="eastAsia" w:ascii="黑体" w:hAnsi="Times New Roman" w:eastAsia="黑体"/>
        <w:b w:val="0"/>
        <w:bCs w:val="0"/>
        <w:i w:val="0"/>
        <w:iCs w:val="0"/>
        <w:sz w:val="21"/>
        <w:szCs w:val="21"/>
      </w:rPr>
    </w:lvl>
    <w:lvl w:ilvl="2" w:tentative="0">
      <w:start w:val="1"/>
      <w:numFmt w:val="decimal"/>
      <w:suff w:val="nothing"/>
      <w:lvlText w:val="%1%2.%3　"/>
      <w:lvlJc w:val="left"/>
      <w:rPr>
        <w:rFonts w:hint="eastAsia" w:ascii="黑体" w:hAnsi="Times New Roman" w:eastAsia="黑体"/>
        <w:b w:val="0"/>
        <w:bCs w:val="0"/>
        <w:i w:val="0"/>
        <w:iCs w:val="0"/>
        <w:sz w:val="21"/>
        <w:szCs w:val="21"/>
      </w:rPr>
    </w:lvl>
    <w:lvl w:ilvl="3" w:tentative="0">
      <w:start w:val="1"/>
      <w:numFmt w:val="decimal"/>
      <w:pStyle w:val="64"/>
      <w:suff w:val="nothing"/>
      <w:lvlText w:val="%1%2.%3.%4　"/>
      <w:lvlJc w:val="left"/>
      <w:rPr>
        <w:rFonts w:hint="eastAsia" w:ascii="黑体" w:hAnsi="Times New Roman" w:eastAsia="黑体"/>
        <w:b w:val="0"/>
        <w:bCs w:val="0"/>
        <w:i w:val="0"/>
        <w:iCs w:val="0"/>
        <w:sz w:val="21"/>
        <w:szCs w:val="21"/>
      </w:rPr>
    </w:lvl>
    <w:lvl w:ilvl="4" w:tentative="0">
      <w:start w:val="1"/>
      <w:numFmt w:val="decimal"/>
      <w:pStyle w:val="65"/>
      <w:suff w:val="nothing"/>
      <w:lvlText w:val="%1%2.%3.%4.%5　"/>
      <w:lvlJc w:val="left"/>
      <w:rPr>
        <w:rFonts w:hint="eastAsia" w:ascii="黑体" w:hAnsi="Times New Roman" w:eastAsia="黑体"/>
        <w:b w:val="0"/>
        <w:bCs w:val="0"/>
        <w:i w:val="0"/>
        <w:iCs w:val="0"/>
        <w:sz w:val="21"/>
        <w:szCs w:val="21"/>
      </w:rPr>
    </w:lvl>
    <w:lvl w:ilvl="5" w:tentative="0">
      <w:start w:val="1"/>
      <w:numFmt w:val="decimal"/>
      <w:suff w:val="nothing"/>
      <w:lvlText w:val="%1%2.%3.%4.%5.%6　"/>
      <w:lvlJc w:val="left"/>
      <w:rPr>
        <w:rFonts w:hint="eastAsia" w:ascii="黑体" w:hAnsi="Times New Roman" w:eastAsia="黑体"/>
        <w:b w:val="0"/>
        <w:bCs w:val="0"/>
        <w:i w:val="0"/>
        <w:iCs w:val="0"/>
        <w:sz w:val="21"/>
        <w:szCs w:val="21"/>
      </w:rPr>
    </w:lvl>
    <w:lvl w:ilvl="6" w:tentative="0">
      <w:start w:val="1"/>
      <w:numFmt w:val="decimal"/>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6DBF04F4"/>
    <w:multiLevelType w:val="multilevel"/>
    <w:tmpl w:val="6DBF04F4"/>
    <w:lvl w:ilvl="0" w:tentative="0">
      <w:start w:val="1"/>
      <w:numFmt w:val="none"/>
      <w:pStyle w:val="62"/>
      <w:lvlText w:val="%1注："/>
      <w:lvlJc w:val="left"/>
      <w:pPr>
        <w:ind w:left="737" w:hanging="374"/>
      </w:pPr>
      <w:rPr>
        <w:rFonts w:hint="eastAsia" w:ascii="黑体" w:eastAsia="黑体"/>
        <w:b w:val="0"/>
        <w:bCs w:val="0"/>
        <w:i w:val="0"/>
        <w:iCs w:val="0"/>
        <w:sz w:val="18"/>
        <w:szCs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oNotHyphenateCaps/>
  <w:drawingGridVerticalSpacing w:val="159"/>
  <w:noPunctuationKerning w:val="true"/>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8C228F5"/>
    <w:rsid w:val="0000055F"/>
    <w:rsid w:val="00001493"/>
    <w:rsid w:val="00015519"/>
    <w:rsid w:val="00030C11"/>
    <w:rsid w:val="00030E79"/>
    <w:rsid w:val="0003676C"/>
    <w:rsid w:val="000463FA"/>
    <w:rsid w:val="00047346"/>
    <w:rsid w:val="00065D72"/>
    <w:rsid w:val="00071C4E"/>
    <w:rsid w:val="00075ED3"/>
    <w:rsid w:val="000911F0"/>
    <w:rsid w:val="000955B9"/>
    <w:rsid w:val="00097B5E"/>
    <w:rsid w:val="000A4960"/>
    <w:rsid w:val="000A7BC7"/>
    <w:rsid w:val="000B2E4B"/>
    <w:rsid w:val="000B58CC"/>
    <w:rsid w:val="000C1D85"/>
    <w:rsid w:val="000C1F7D"/>
    <w:rsid w:val="000C6593"/>
    <w:rsid w:val="000C6FBA"/>
    <w:rsid w:val="000D43BE"/>
    <w:rsid w:val="000E3EE5"/>
    <w:rsid w:val="000E42E7"/>
    <w:rsid w:val="000F2D1B"/>
    <w:rsid w:val="00101AF9"/>
    <w:rsid w:val="001060CD"/>
    <w:rsid w:val="001113CC"/>
    <w:rsid w:val="00111E32"/>
    <w:rsid w:val="00113B33"/>
    <w:rsid w:val="0012154A"/>
    <w:rsid w:val="00125DE8"/>
    <w:rsid w:val="00125F40"/>
    <w:rsid w:val="001603AE"/>
    <w:rsid w:val="00164B98"/>
    <w:rsid w:val="001652E3"/>
    <w:rsid w:val="00165A32"/>
    <w:rsid w:val="0017694E"/>
    <w:rsid w:val="00176B43"/>
    <w:rsid w:val="0018136E"/>
    <w:rsid w:val="001C2B48"/>
    <w:rsid w:val="001D4101"/>
    <w:rsid w:val="001D63AF"/>
    <w:rsid w:val="001D66EE"/>
    <w:rsid w:val="001D7940"/>
    <w:rsid w:val="001E3ACA"/>
    <w:rsid w:val="001E486C"/>
    <w:rsid w:val="001F0C2B"/>
    <w:rsid w:val="001F18AB"/>
    <w:rsid w:val="001F2BD7"/>
    <w:rsid w:val="001F2F87"/>
    <w:rsid w:val="001F359C"/>
    <w:rsid w:val="001F6859"/>
    <w:rsid w:val="00205870"/>
    <w:rsid w:val="0021018F"/>
    <w:rsid w:val="0021044F"/>
    <w:rsid w:val="002107AB"/>
    <w:rsid w:val="00211F3C"/>
    <w:rsid w:val="00217197"/>
    <w:rsid w:val="00222E71"/>
    <w:rsid w:val="00230C8C"/>
    <w:rsid w:val="00245493"/>
    <w:rsid w:val="002460FF"/>
    <w:rsid w:val="002549BF"/>
    <w:rsid w:val="002552A4"/>
    <w:rsid w:val="00264E58"/>
    <w:rsid w:val="00280A34"/>
    <w:rsid w:val="002903A3"/>
    <w:rsid w:val="00291C0A"/>
    <w:rsid w:val="002A0081"/>
    <w:rsid w:val="002B620A"/>
    <w:rsid w:val="002C02FA"/>
    <w:rsid w:val="002C3922"/>
    <w:rsid w:val="002C41F5"/>
    <w:rsid w:val="002C5CCB"/>
    <w:rsid w:val="002D67A6"/>
    <w:rsid w:val="002E50A1"/>
    <w:rsid w:val="002E6C3F"/>
    <w:rsid w:val="002F0C45"/>
    <w:rsid w:val="002F4F3F"/>
    <w:rsid w:val="00304D07"/>
    <w:rsid w:val="00321A00"/>
    <w:rsid w:val="00322A65"/>
    <w:rsid w:val="00334DC8"/>
    <w:rsid w:val="003468AA"/>
    <w:rsid w:val="003674F3"/>
    <w:rsid w:val="0036782D"/>
    <w:rsid w:val="00391358"/>
    <w:rsid w:val="003A2739"/>
    <w:rsid w:val="003A3E0D"/>
    <w:rsid w:val="003B7341"/>
    <w:rsid w:val="003C7043"/>
    <w:rsid w:val="003D355B"/>
    <w:rsid w:val="003D618C"/>
    <w:rsid w:val="003E5D1F"/>
    <w:rsid w:val="003F0DDC"/>
    <w:rsid w:val="00411D63"/>
    <w:rsid w:val="00415F58"/>
    <w:rsid w:val="004178A0"/>
    <w:rsid w:val="00421CD8"/>
    <w:rsid w:val="00423369"/>
    <w:rsid w:val="0042616C"/>
    <w:rsid w:val="004426F1"/>
    <w:rsid w:val="00453F85"/>
    <w:rsid w:val="00454559"/>
    <w:rsid w:val="004606A0"/>
    <w:rsid w:val="00483617"/>
    <w:rsid w:val="00490A5F"/>
    <w:rsid w:val="004957B6"/>
    <w:rsid w:val="004B26A3"/>
    <w:rsid w:val="004B3364"/>
    <w:rsid w:val="004B3ECC"/>
    <w:rsid w:val="004C0ED5"/>
    <w:rsid w:val="004C5229"/>
    <w:rsid w:val="004C6EBA"/>
    <w:rsid w:val="004D713D"/>
    <w:rsid w:val="004F0771"/>
    <w:rsid w:val="004F0EAB"/>
    <w:rsid w:val="004F542E"/>
    <w:rsid w:val="004F5B20"/>
    <w:rsid w:val="00507DA3"/>
    <w:rsid w:val="00512B63"/>
    <w:rsid w:val="0051439E"/>
    <w:rsid w:val="00551863"/>
    <w:rsid w:val="005604F9"/>
    <w:rsid w:val="005805AF"/>
    <w:rsid w:val="00592EC5"/>
    <w:rsid w:val="005A0133"/>
    <w:rsid w:val="005A7834"/>
    <w:rsid w:val="005C73C8"/>
    <w:rsid w:val="005D1252"/>
    <w:rsid w:val="005F059A"/>
    <w:rsid w:val="0060558F"/>
    <w:rsid w:val="00611963"/>
    <w:rsid w:val="00615F59"/>
    <w:rsid w:val="006216A6"/>
    <w:rsid w:val="00621A20"/>
    <w:rsid w:val="006234C6"/>
    <w:rsid w:val="00646A78"/>
    <w:rsid w:val="00656253"/>
    <w:rsid w:val="00656F88"/>
    <w:rsid w:val="006623A2"/>
    <w:rsid w:val="00663350"/>
    <w:rsid w:val="00667696"/>
    <w:rsid w:val="00667A35"/>
    <w:rsid w:val="006705DE"/>
    <w:rsid w:val="006736F2"/>
    <w:rsid w:val="00675602"/>
    <w:rsid w:val="00682C21"/>
    <w:rsid w:val="006A7E7E"/>
    <w:rsid w:val="006D0969"/>
    <w:rsid w:val="006D3090"/>
    <w:rsid w:val="006D583B"/>
    <w:rsid w:val="006D5D30"/>
    <w:rsid w:val="006E7AF8"/>
    <w:rsid w:val="006F3798"/>
    <w:rsid w:val="006F4149"/>
    <w:rsid w:val="006F6177"/>
    <w:rsid w:val="007028BE"/>
    <w:rsid w:val="0070665C"/>
    <w:rsid w:val="00710346"/>
    <w:rsid w:val="00721BF9"/>
    <w:rsid w:val="007227B1"/>
    <w:rsid w:val="00737649"/>
    <w:rsid w:val="007425F7"/>
    <w:rsid w:val="007455E0"/>
    <w:rsid w:val="00747A81"/>
    <w:rsid w:val="00755756"/>
    <w:rsid w:val="00757862"/>
    <w:rsid w:val="00762AF5"/>
    <w:rsid w:val="0076456A"/>
    <w:rsid w:val="00771D88"/>
    <w:rsid w:val="00780836"/>
    <w:rsid w:val="00787796"/>
    <w:rsid w:val="007A29A4"/>
    <w:rsid w:val="007B79EA"/>
    <w:rsid w:val="007C0350"/>
    <w:rsid w:val="007C67AB"/>
    <w:rsid w:val="007D504C"/>
    <w:rsid w:val="007F5FAD"/>
    <w:rsid w:val="00803723"/>
    <w:rsid w:val="00815FE6"/>
    <w:rsid w:val="00820770"/>
    <w:rsid w:val="00820FB7"/>
    <w:rsid w:val="008330F5"/>
    <w:rsid w:val="00836B9C"/>
    <w:rsid w:val="0084354A"/>
    <w:rsid w:val="0085793A"/>
    <w:rsid w:val="00862151"/>
    <w:rsid w:val="0086681D"/>
    <w:rsid w:val="00873AD4"/>
    <w:rsid w:val="00884229"/>
    <w:rsid w:val="00891B90"/>
    <w:rsid w:val="008A363E"/>
    <w:rsid w:val="008A4299"/>
    <w:rsid w:val="008A783F"/>
    <w:rsid w:val="008D2269"/>
    <w:rsid w:val="008E1C0E"/>
    <w:rsid w:val="008E6EB7"/>
    <w:rsid w:val="009017DE"/>
    <w:rsid w:val="00915A3C"/>
    <w:rsid w:val="0091768C"/>
    <w:rsid w:val="0093191A"/>
    <w:rsid w:val="0093235F"/>
    <w:rsid w:val="00936B8B"/>
    <w:rsid w:val="00940B73"/>
    <w:rsid w:val="009419BF"/>
    <w:rsid w:val="00946E4D"/>
    <w:rsid w:val="009613EF"/>
    <w:rsid w:val="0096534A"/>
    <w:rsid w:val="009835A7"/>
    <w:rsid w:val="00995503"/>
    <w:rsid w:val="009A6B9B"/>
    <w:rsid w:val="009B065F"/>
    <w:rsid w:val="009B50F0"/>
    <w:rsid w:val="009C135B"/>
    <w:rsid w:val="009D7D7B"/>
    <w:rsid w:val="009E31A9"/>
    <w:rsid w:val="009F2618"/>
    <w:rsid w:val="009F29CB"/>
    <w:rsid w:val="009F48F6"/>
    <w:rsid w:val="00A12B30"/>
    <w:rsid w:val="00A12F77"/>
    <w:rsid w:val="00A164B5"/>
    <w:rsid w:val="00A212D2"/>
    <w:rsid w:val="00A27A51"/>
    <w:rsid w:val="00A27DC4"/>
    <w:rsid w:val="00A33DF7"/>
    <w:rsid w:val="00A34486"/>
    <w:rsid w:val="00A4578C"/>
    <w:rsid w:val="00A50B63"/>
    <w:rsid w:val="00A53D91"/>
    <w:rsid w:val="00A60621"/>
    <w:rsid w:val="00A630E3"/>
    <w:rsid w:val="00A6625F"/>
    <w:rsid w:val="00A73EB5"/>
    <w:rsid w:val="00A75174"/>
    <w:rsid w:val="00A81AE9"/>
    <w:rsid w:val="00A9598B"/>
    <w:rsid w:val="00AA7213"/>
    <w:rsid w:val="00AB1BCC"/>
    <w:rsid w:val="00AB2127"/>
    <w:rsid w:val="00AB7239"/>
    <w:rsid w:val="00AC49E8"/>
    <w:rsid w:val="00AD336C"/>
    <w:rsid w:val="00AD61BB"/>
    <w:rsid w:val="00AF2479"/>
    <w:rsid w:val="00AF51BA"/>
    <w:rsid w:val="00B05DBF"/>
    <w:rsid w:val="00B10ED9"/>
    <w:rsid w:val="00B21431"/>
    <w:rsid w:val="00B2479F"/>
    <w:rsid w:val="00B258C8"/>
    <w:rsid w:val="00B3025E"/>
    <w:rsid w:val="00B41F4E"/>
    <w:rsid w:val="00B44648"/>
    <w:rsid w:val="00B452CC"/>
    <w:rsid w:val="00B478A7"/>
    <w:rsid w:val="00B47BE3"/>
    <w:rsid w:val="00B54DDF"/>
    <w:rsid w:val="00B55B44"/>
    <w:rsid w:val="00B868E3"/>
    <w:rsid w:val="00B9272F"/>
    <w:rsid w:val="00B93E99"/>
    <w:rsid w:val="00BA3031"/>
    <w:rsid w:val="00BB630D"/>
    <w:rsid w:val="00BC03C7"/>
    <w:rsid w:val="00BC5164"/>
    <w:rsid w:val="00BD5462"/>
    <w:rsid w:val="00BE55B2"/>
    <w:rsid w:val="00BE735F"/>
    <w:rsid w:val="00C00482"/>
    <w:rsid w:val="00C02323"/>
    <w:rsid w:val="00C25264"/>
    <w:rsid w:val="00C401FB"/>
    <w:rsid w:val="00C4466A"/>
    <w:rsid w:val="00C4604F"/>
    <w:rsid w:val="00C52BBC"/>
    <w:rsid w:val="00C56024"/>
    <w:rsid w:val="00C76924"/>
    <w:rsid w:val="00C82097"/>
    <w:rsid w:val="00C91AC3"/>
    <w:rsid w:val="00C971B8"/>
    <w:rsid w:val="00C9737A"/>
    <w:rsid w:val="00CA4199"/>
    <w:rsid w:val="00CC4804"/>
    <w:rsid w:val="00CC6F81"/>
    <w:rsid w:val="00CE0C61"/>
    <w:rsid w:val="00CE5190"/>
    <w:rsid w:val="00CF0B34"/>
    <w:rsid w:val="00CF4884"/>
    <w:rsid w:val="00CF731A"/>
    <w:rsid w:val="00D027A8"/>
    <w:rsid w:val="00D12CC5"/>
    <w:rsid w:val="00D13778"/>
    <w:rsid w:val="00D31D82"/>
    <w:rsid w:val="00D47811"/>
    <w:rsid w:val="00D54E49"/>
    <w:rsid w:val="00D62D50"/>
    <w:rsid w:val="00D65A73"/>
    <w:rsid w:val="00D7741D"/>
    <w:rsid w:val="00D77799"/>
    <w:rsid w:val="00D84A1B"/>
    <w:rsid w:val="00D85439"/>
    <w:rsid w:val="00D859F1"/>
    <w:rsid w:val="00D936CC"/>
    <w:rsid w:val="00D95C65"/>
    <w:rsid w:val="00DA4587"/>
    <w:rsid w:val="00DA5D17"/>
    <w:rsid w:val="00DB15D8"/>
    <w:rsid w:val="00DB64E9"/>
    <w:rsid w:val="00DB656E"/>
    <w:rsid w:val="00DD175B"/>
    <w:rsid w:val="00DD40A2"/>
    <w:rsid w:val="00DD4FAC"/>
    <w:rsid w:val="00DE3848"/>
    <w:rsid w:val="00DE53FB"/>
    <w:rsid w:val="00DE6C7D"/>
    <w:rsid w:val="00DF18F6"/>
    <w:rsid w:val="00E00D1C"/>
    <w:rsid w:val="00E045BC"/>
    <w:rsid w:val="00E376C8"/>
    <w:rsid w:val="00E42CF0"/>
    <w:rsid w:val="00E4456B"/>
    <w:rsid w:val="00E45528"/>
    <w:rsid w:val="00E5655C"/>
    <w:rsid w:val="00E61CED"/>
    <w:rsid w:val="00E63473"/>
    <w:rsid w:val="00E70955"/>
    <w:rsid w:val="00E71204"/>
    <w:rsid w:val="00E71C2B"/>
    <w:rsid w:val="00E74166"/>
    <w:rsid w:val="00E76331"/>
    <w:rsid w:val="00E8394A"/>
    <w:rsid w:val="00E86B42"/>
    <w:rsid w:val="00E91E13"/>
    <w:rsid w:val="00E96EAF"/>
    <w:rsid w:val="00EA36C9"/>
    <w:rsid w:val="00EA4D13"/>
    <w:rsid w:val="00EA68A9"/>
    <w:rsid w:val="00EB3C17"/>
    <w:rsid w:val="00EB5704"/>
    <w:rsid w:val="00EB76DB"/>
    <w:rsid w:val="00ED53C6"/>
    <w:rsid w:val="00EE3446"/>
    <w:rsid w:val="00EE6A88"/>
    <w:rsid w:val="00EF310F"/>
    <w:rsid w:val="00F100B8"/>
    <w:rsid w:val="00F136BD"/>
    <w:rsid w:val="00F31DC7"/>
    <w:rsid w:val="00F4670E"/>
    <w:rsid w:val="00F62F6F"/>
    <w:rsid w:val="00F71AEE"/>
    <w:rsid w:val="00F7748C"/>
    <w:rsid w:val="00F80B1E"/>
    <w:rsid w:val="00F8622D"/>
    <w:rsid w:val="00F905DF"/>
    <w:rsid w:val="00FA68F1"/>
    <w:rsid w:val="00FB6AE8"/>
    <w:rsid w:val="00FD0CC6"/>
    <w:rsid w:val="00FD3522"/>
    <w:rsid w:val="00FE7E7C"/>
    <w:rsid w:val="00FF6BC8"/>
    <w:rsid w:val="00FF7107"/>
    <w:rsid w:val="03057059"/>
    <w:rsid w:val="08AF7EE7"/>
    <w:rsid w:val="09CE31F3"/>
    <w:rsid w:val="0AA4071D"/>
    <w:rsid w:val="0C0431B9"/>
    <w:rsid w:val="0C1E76F8"/>
    <w:rsid w:val="0CFF53BF"/>
    <w:rsid w:val="0DBA7454"/>
    <w:rsid w:val="0E0051BE"/>
    <w:rsid w:val="0E7046D8"/>
    <w:rsid w:val="0EC86067"/>
    <w:rsid w:val="0FD353E6"/>
    <w:rsid w:val="0FD369DF"/>
    <w:rsid w:val="10E45592"/>
    <w:rsid w:val="126F1990"/>
    <w:rsid w:val="12AC14A5"/>
    <w:rsid w:val="15D9265B"/>
    <w:rsid w:val="177F7A22"/>
    <w:rsid w:val="17ECA3EB"/>
    <w:rsid w:val="17FF7C33"/>
    <w:rsid w:val="195B21AD"/>
    <w:rsid w:val="1A1F026F"/>
    <w:rsid w:val="1AFB5920"/>
    <w:rsid w:val="1BFF3777"/>
    <w:rsid w:val="1CC80803"/>
    <w:rsid w:val="1CD24F1E"/>
    <w:rsid w:val="1DD7A830"/>
    <w:rsid w:val="1DEC167F"/>
    <w:rsid w:val="1FBDDAA3"/>
    <w:rsid w:val="1FBF5B6F"/>
    <w:rsid w:val="1FE7D5F0"/>
    <w:rsid w:val="220123FA"/>
    <w:rsid w:val="22854FF6"/>
    <w:rsid w:val="26006A20"/>
    <w:rsid w:val="270E0F82"/>
    <w:rsid w:val="277F1350"/>
    <w:rsid w:val="27FF3DF5"/>
    <w:rsid w:val="28726B6D"/>
    <w:rsid w:val="28C228F5"/>
    <w:rsid w:val="2973A39C"/>
    <w:rsid w:val="2BAF6A60"/>
    <w:rsid w:val="2BEBFD43"/>
    <w:rsid w:val="2CAC2348"/>
    <w:rsid w:val="2CB30503"/>
    <w:rsid w:val="2D1173BF"/>
    <w:rsid w:val="2E183097"/>
    <w:rsid w:val="2F799F54"/>
    <w:rsid w:val="2F7FBEAA"/>
    <w:rsid w:val="2FEB8AAF"/>
    <w:rsid w:val="2FF3682E"/>
    <w:rsid w:val="2FFFE85A"/>
    <w:rsid w:val="300D7B1A"/>
    <w:rsid w:val="304A33DD"/>
    <w:rsid w:val="30BA0505"/>
    <w:rsid w:val="33253091"/>
    <w:rsid w:val="333A5852"/>
    <w:rsid w:val="337DF5CC"/>
    <w:rsid w:val="34FB4FB0"/>
    <w:rsid w:val="36D79AFE"/>
    <w:rsid w:val="36DD1FC9"/>
    <w:rsid w:val="371F7400"/>
    <w:rsid w:val="376D9F4D"/>
    <w:rsid w:val="37BBB303"/>
    <w:rsid w:val="37D2F7B6"/>
    <w:rsid w:val="38B53A5F"/>
    <w:rsid w:val="38E1390C"/>
    <w:rsid w:val="390870EB"/>
    <w:rsid w:val="39F2B902"/>
    <w:rsid w:val="39F9F6E7"/>
    <w:rsid w:val="3A5253F6"/>
    <w:rsid w:val="3B1B48C3"/>
    <w:rsid w:val="3B6FF8BB"/>
    <w:rsid w:val="3B8C3CF6"/>
    <w:rsid w:val="3BAF686A"/>
    <w:rsid w:val="3BFF2C34"/>
    <w:rsid w:val="3D091727"/>
    <w:rsid w:val="3D410FAC"/>
    <w:rsid w:val="3DC236D5"/>
    <w:rsid w:val="3DEB8445"/>
    <w:rsid w:val="3DF734E4"/>
    <w:rsid w:val="3ECE7869"/>
    <w:rsid w:val="3EFFA759"/>
    <w:rsid w:val="3F2F4EE0"/>
    <w:rsid w:val="3F4BFDA5"/>
    <w:rsid w:val="3F7F85AF"/>
    <w:rsid w:val="3FAEF0E3"/>
    <w:rsid w:val="3FBFE3D8"/>
    <w:rsid w:val="3FCC6B3B"/>
    <w:rsid w:val="3FE725AF"/>
    <w:rsid w:val="3FF59650"/>
    <w:rsid w:val="3FFDD8D1"/>
    <w:rsid w:val="3FFF2A33"/>
    <w:rsid w:val="3FFFCA93"/>
    <w:rsid w:val="404B20E7"/>
    <w:rsid w:val="40FD2F98"/>
    <w:rsid w:val="41556E3B"/>
    <w:rsid w:val="41EE4ADF"/>
    <w:rsid w:val="42370F6E"/>
    <w:rsid w:val="432159A4"/>
    <w:rsid w:val="433B4E27"/>
    <w:rsid w:val="435F3ADB"/>
    <w:rsid w:val="43895E24"/>
    <w:rsid w:val="43B67B3F"/>
    <w:rsid w:val="447D4231"/>
    <w:rsid w:val="450F11E1"/>
    <w:rsid w:val="45F0627B"/>
    <w:rsid w:val="473647A1"/>
    <w:rsid w:val="47973CD6"/>
    <w:rsid w:val="47E6A122"/>
    <w:rsid w:val="49255591"/>
    <w:rsid w:val="49383D04"/>
    <w:rsid w:val="49D17674"/>
    <w:rsid w:val="4AA806E1"/>
    <w:rsid w:val="4C507807"/>
    <w:rsid w:val="4DD7D6A9"/>
    <w:rsid w:val="4DDDBF36"/>
    <w:rsid w:val="4E862F5E"/>
    <w:rsid w:val="4EE5726A"/>
    <w:rsid w:val="4FED5CF2"/>
    <w:rsid w:val="50DA090B"/>
    <w:rsid w:val="523B0D7A"/>
    <w:rsid w:val="53667608"/>
    <w:rsid w:val="53F54E24"/>
    <w:rsid w:val="541971A8"/>
    <w:rsid w:val="557DF9A9"/>
    <w:rsid w:val="55E53A5C"/>
    <w:rsid w:val="55FD0D79"/>
    <w:rsid w:val="57594970"/>
    <w:rsid w:val="57B87CA8"/>
    <w:rsid w:val="59C77C5E"/>
    <w:rsid w:val="5A7FBF13"/>
    <w:rsid w:val="5A9759E1"/>
    <w:rsid w:val="5B5F7789"/>
    <w:rsid w:val="5BD7ADF5"/>
    <w:rsid w:val="5BFA4CEC"/>
    <w:rsid w:val="5C8D99CB"/>
    <w:rsid w:val="5D55267C"/>
    <w:rsid w:val="5D794411"/>
    <w:rsid w:val="5D7FD211"/>
    <w:rsid w:val="5DB5A45F"/>
    <w:rsid w:val="5E0D170B"/>
    <w:rsid w:val="5E5F736B"/>
    <w:rsid w:val="5EE75176"/>
    <w:rsid w:val="5F67261D"/>
    <w:rsid w:val="5F6F7687"/>
    <w:rsid w:val="5FBFA932"/>
    <w:rsid w:val="5FE1FF69"/>
    <w:rsid w:val="5FF6AC76"/>
    <w:rsid w:val="5FFB3CEA"/>
    <w:rsid w:val="5FFE77FF"/>
    <w:rsid w:val="5FFF8A1C"/>
    <w:rsid w:val="5FFFF1DD"/>
    <w:rsid w:val="60454150"/>
    <w:rsid w:val="6087655E"/>
    <w:rsid w:val="61EB9659"/>
    <w:rsid w:val="628C02DF"/>
    <w:rsid w:val="628D24C0"/>
    <w:rsid w:val="62DF6A3B"/>
    <w:rsid w:val="63D80CF3"/>
    <w:rsid w:val="63FBAAC7"/>
    <w:rsid w:val="63FD5087"/>
    <w:rsid w:val="64037373"/>
    <w:rsid w:val="652D6F63"/>
    <w:rsid w:val="65DC7CDC"/>
    <w:rsid w:val="66170156"/>
    <w:rsid w:val="66A93835"/>
    <w:rsid w:val="67BD8A9C"/>
    <w:rsid w:val="67C07E83"/>
    <w:rsid w:val="67D7F713"/>
    <w:rsid w:val="67FF96EC"/>
    <w:rsid w:val="67FFCB21"/>
    <w:rsid w:val="682F222C"/>
    <w:rsid w:val="6865767D"/>
    <w:rsid w:val="687F020E"/>
    <w:rsid w:val="68A04CE3"/>
    <w:rsid w:val="69F45537"/>
    <w:rsid w:val="6B3A7F83"/>
    <w:rsid w:val="6B5B31B0"/>
    <w:rsid w:val="6B760CE3"/>
    <w:rsid w:val="6BF818AF"/>
    <w:rsid w:val="6C652D8B"/>
    <w:rsid w:val="6CA0720C"/>
    <w:rsid w:val="6CBC1FDE"/>
    <w:rsid w:val="6DBB76BC"/>
    <w:rsid w:val="6E781A5F"/>
    <w:rsid w:val="6EB156A1"/>
    <w:rsid w:val="6EEFED96"/>
    <w:rsid w:val="6F50688B"/>
    <w:rsid w:val="6FE75DAF"/>
    <w:rsid w:val="6FF7626F"/>
    <w:rsid w:val="6FFF0105"/>
    <w:rsid w:val="7032331C"/>
    <w:rsid w:val="705A8988"/>
    <w:rsid w:val="717EBC14"/>
    <w:rsid w:val="718D0118"/>
    <w:rsid w:val="71902C0D"/>
    <w:rsid w:val="71EA6BE6"/>
    <w:rsid w:val="73361614"/>
    <w:rsid w:val="735E3848"/>
    <w:rsid w:val="73665878"/>
    <w:rsid w:val="737D149A"/>
    <w:rsid w:val="73DF0CE4"/>
    <w:rsid w:val="73E96526"/>
    <w:rsid w:val="743906E0"/>
    <w:rsid w:val="74E45829"/>
    <w:rsid w:val="75760DB3"/>
    <w:rsid w:val="75DD47F1"/>
    <w:rsid w:val="75DF6C5A"/>
    <w:rsid w:val="761455DD"/>
    <w:rsid w:val="76E90AA4"/>
    <w:rsid w:val="777FD07D"/>
    <w:rsid w:val="77BF2634"/>
    <w:rsid w:val="77D871CF"/>
    <w:rsid w:val="77E7943C"/>
    <w:rsid w:val="77FEDF81"/>
    <w:rsid w:val="77FF967A"/>
    <w:rsid w:val="77FFE119"/>
    <w:rsid w:val="79BF1B5C"/>
    <w:rsid w:val="79F22E50"/>
    <w:rsid w:val="79FF8F18"/>
    <w:rsid w:val="7A0155A4"/>
    <w:rsid w:val="7AB76ECC"/>
    <w:rsid w:val="7AF596D6"/>
    <w:rsid w:val="7B3BE105"/>
    <w:rsid w:val="7B5BC257"/>
    <w:rsid w:val="7B9FB4A3"/>
    <w:rsid w:val="7BDE213E"/>
    <w:rsid w:val="7C77212E"/>
    <w:rsid w:val="7C860774"/>
    <w:rsid w:val="7C8E4EFC"/>
    <w:rsid w:val="7CAFC6FC"/>
    <w:rsid w:val="7CEF7208"/>
    <w:rsid w:val="7DF7DFDD"/>
    <w:rsid w:val="7DFF0414"/>
    <w:rsid w:val="7DFFE3BE"/>
    <w:rsid w:val="7E37DF14"/>
    <w:rsid w:val="7EBD8B9E"/>
    <w:rsid w:val="7ED26FB4"/>
    <w:rsid w:val="7EFD76B9"/>
    <w:rsid w:val="7EFDA055"/>
    <w:rsid w:val="7EFEC003"/>
    <w:rsid w:val="7EFF5573"/>
    <w:rsid w:val="7EFF62FE"/>
    <w:rsid w:val="7EFF673F"/>
    <w:rsid w:val="7F17421B"/>
    <w:rsid w:val="7F3F46CC"/>
    <w:rsid w:val="7F7F8121"/>
    <w:rsid w:val="7F8FE66A"/>
    <w:rsid w:val="7F9E3358"/>
    <w:rsid w:val="7FB17320"/>
    <w:rsid w:val="7FBF6B14"/>
    <w:rsid w:val="7FCFBEAC"/>
    <w:rsid w:val="7FCFBF2E"/>
    <w:rsid w:val="7FD6E31C"/>
    <w:rsid w:val="7FD9D907"/>
    <w:rsid w:val="7FE18B70"/>
    <w:rsid w:val="7FE72C7A"/>
    <w:rsid w:val="7FEF3231"/>
    <w:rsid w:val="7FEFF9FB"/>
    <w:rsid w:val="7FF59285"/>
    <w:rsid w:val="7FFFD0A7"/>
    <w:rsid w:val="89ED2B8E"/>
    <w:rsid w:val="9792F3C2"/>
    <w:rsid w:val="97F8F41E"/>
    <w:rsid w:val="99FFD2F6"/>
    <w:rsid w:val="9BFF4E43"/>
    <w:rsid w:val="9E7EC27F"/>
    <w:rsid w:val="A1EFEEEA"/>
    <w:rsid w:val="A7E8C834"/>
    <w:rsid w:val="A8E76A5F"/>
    <w:rsid w:val="AB4F8873"/>
    <w:rsid w:val="ABBA7202"/>
    <w:rsid w:val="ABE50DE7"/>
    <w:rsid w:val="B6FFA0C3"/>
    <w:rsid w:val="B78F2364"/>
    <w:rsid w:val="B7AC4F3B"/>
    <w:rsid w:val="B85C4388"/>
    <w:rsid w:val="B9EB2B07"/>
    <w:rsid w:val="B9FD13E4"/>
    <w:rsid w:val="BBBFEB12"/>
    <w:rsid w:val="BBFFC803"/>
    <w:rsid w:val="BCFB6BC1"/>
    <w:rsid w:val="BDCD4438"/>
    <w:rsid w:val="BDFB8D0E"/>
    <w:rsid w:val="BE3FC4A6"/>
    <w:rsid w:val="BEFF39C0"/>
    <w:rsid w:val="BF55F36F"/>
    <w:rsid w:val="BF9B4F6B"/>
    <w:rsid w:val="BFA65221"/>
    <w:rsid w:val="BFEFC693"/>
    <w:rsid w:val="BFFD6492"/>
    <w:rsid w:val="CBD74DA3"/>
    <w:rsid w:val="CCF7F9D2"/>
    <w:rsid w:val="D34DE2ED"/>
    <w:rsid w:val="D6BB245D"/>
    <w:rsid w:val="D77FFBF2"/>
    <w:rsid w:val="D7EE094C"/>
    <w:rsid w:val="DAEFAFF3"/>
    <w:rsid w:val="DBEF98FE"/>
    <w:rsid w:val="DBFB3A00"/>
    <w:rsid w:val="DD67EF40"/>
    <w:rsid w:val="DDDE43CF"/>
    <w:rsid w:val="DDFA7FEC"/>
    <w:rsid w:val="DDFCBB7F"/>
    <w:rsid w:val="DDFF6993"/>
    <w:rsid w:val="DEA9CD4B"/>
    <w:rsid w:val="DF3EBB72"/>
    <w:rsid w:val="DF6E4167"/>
    <w:rsid w:val="DF8DF8A5"/>
    <w:rsid w:val="DFAD1E75"/>
    <w:rsid w:val="DFCF60AB"/>
    <w:rsid w:val="DFFE0D32"/>
    <w:rsid w:val="E57BB812"/>
    <w:rsid w:val="E77E26A3"/>
    <w:rsid w:val="EA782C07"/>
    <w:rsid w:val="EABF3ADF"/>
    <w:rsid w:val="EBF951DC"/>
    <w:rsid w:val="EBFB3296"/>
    <w:rsid w:val="EBFC9907"/>
    <w:rsid w:val="ED3D448A"/>
    <w:rsid w:val="ED6E43E0"/>
    <w:rsid w:val="EE9755E7"/>
    <w:rsid w:val="EEF54E8B"/>
    <w:rsid w:val="EF2BACDB"/>
    <w:rsid w:val="F3F2875D"/>
    <w:rsid w:val="F3FEA880"/>
    <w:rsid w:val="F4DF6513"/>
    <w:rsid w:val="F6F6660F"/>
    <w:rsid w:val="F75F788C"/>
    <w:rsid w:val="F7B7A746"/>
    <w:rsid w:val="F7CBA287"/>
    <w:rsid w:val="F7EE63B5"/>
    <w:rsid w:val="F7F6D97C"/>
    <w:rsid w:val="F7FDA545"/>
    <w:rsid w:val="F7FF5111"/>
    <w:rsid w:val="F7FFBD2B"/>
    <w:rsid w:val="FABB09A1"/>
    <w:rsid w:val="FADFFD2D"/>
    <w:rsid w:val="FBBC00C4"/>
    <w:rsid w:val="FBEE9FC2"/>
    <w:rsid w:val="FCB9E8CE"/>
    <w:rsid w:val="FCCEF732"/>
    <w:rsid w:val="FD378C22"/>
    <w:rsid w:val="FD4FA22E"/>
    <w:rsid w:val="FD5DB4C0"/>
    <w:rsid w:val="FD5F8A43"/>
    <w:rsid w:val="FD6F7FC2"/>
    <w:rsid w:val="FD7FF0E5"/>
    <w:rsid w:val="FDAE15E6"/>
    <w:rsid w:val="FDCF7A75"/>
    <w:rsid w:val="FDF5BCDE"/>
    <w:rsid w:val="FDFC2282"/>
    <w:rsid w:val="FEAC2B24"/>
    <w:rsid w:val="FEAFB171"/>
    <w:rsid w:val="FEDDF829"/>
    <w:rsid w:val="FEEA1FE9"/>
    <w:rsid w:val="FEEFAD9E"/>
    <w:rsid w:val="FEFBA55F"/>
    <w:rsid w:val="FEFDE747"/>
    <w:rsid w:val="FEFFE6F4"/>
    <w:rsid w:val="FF3F677B"/>
    <w:rsid w:val="FF5D3EFE"/>
    <w:rsid w:val="FFBFA8F4"/>
    <w:rsid w:val="FFCAB9B2"/>
    <w:rsid w:val="FFD6DDB8"/>
    <w:rsid w:val="FFDAFC5C"/>
    <w:rsid w:val="FFDDD82C"/>
    <w:rsid w:val="FFDDFD3A"/>
    <w:rsid w:val="FFDFF234"/>
    <w:rsid w:val="FFEBB79D"/>
    <w:rsid w:val="FFF90824"/>
    <w:rsid w:val="FFFA1B0D"/>
    <w:rsid w:val="FFFB395E"/>
    <w:rsid w:val="FFFBC4A9"/>
    <w:rsid w:val="FFFCBFF5"/>
    <w:rsid w:val="FFFF181B"/>
    <w:rsid w:val="FFFFCC9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name="annotation reference"/>
    <w:lsdException w:uiPriority="99" w:name="line number" w:locked="1"/>
    <w:lsdException w:qFormat="1" w:unhideWhenUsed="0" w:uiPriority="99"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qFormat="1" w:unhideWhenUsed="0" w:uiPriority="99" w:semiHidden="0"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8"/>
    <w:qFormat/>
    <w:uiPriority w:val="99"/>
    <w:pPr>
      <w:keepNext/>
      <w:keepLines/>
      <w:spacing w:before="340" w:after="330" w:line="576"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3" w:lineRule="auto"/>
      <w:outlineLvl w:val="1"/>
    </w:pPr>
    <w:rPr>
      <w:rFonts w:ascii="Cambria" w:hAnsi="Cambria" w:cs="Cambria"/>
      <w:b/>
      <w:bCs/>
      <w:kern w:val="0"/>
      <w:sz w:val="32"/>
      <w:szCs w:val="32"/>
    </w:rPr>
  </w:style>
  <w:style w:type="character" w:default="1" w:styleId="14">
    <w:name w:val="Default Paragraph Font"/>
    <w:semiHidden/>
    <w:qFormat/>
    <w:uiPriority w:val="99"/>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0"/>
    <w:semiHidden/>
    <w:qFormat/>
    <w:uiPriority w:val="99"/>
    <w:pPr>
      <w:jc w:val="left"/>
    </w:pPr>
    <w:rPr>
      <w:sz w:val="24"/>
      <w:szCs w:val="24"/>
    </w:rPr>
  </w:style>
  <w:style w:type="paragraph" w:styleId="5">
    <w:name w:val="Date"/>
    <w:basedOn w:val="1"/>
    <w:next w:val="1"/>
    <w:link w:val="21"/>
    <w:qFormat/>
    <w:locked/>
    <w:uiPriority w:val="99"/>
    <w:pPr>
      <w:ind w:left="100" w:leftChars="2500"/>
    </w:pPr>
    <w:rPr>
      <w:kern w:val="0"/>
    </w:rPr>
  </w:style>
  <w:style w:type="paragraph" w:styleId="6">
    <w:name w:val="Balloon Text"/>
    <w:basedOn w:val="1"/>
    <w:link w:val="22"/>
    <w:semiHidden/>
    <w:qFormat/>
    <w:uiPriority w:val="99"/>
    <w:rPr>
      <w:sz w:val="18"/>
      <w:szCs w:val="18"/>
    </w:rPr>
  </w:style>
  <w:style w:type="paragraph" w:styleId="7">
    <w:name w:val="footer"/>
    <w:basedOn w:val="1"/>
    <w:link w:val="23"/>
    <w:qFormat/>
    <w:uiPriority w:val="99"/>
    <w:pPr>
      <w:tabs>
        <w:tab w:val="center" w:pos="4153"/>
        <w:tab w:val="right" w:pos="8306"/>
      </w:tabs>
      <w:snapToGrid w:val="0"/>
      <w:jc w:val="left"/>
    </w:pPr>
    <w:rPr>
      <w:kern w:val="0"/>
      <w:sz w:val="18"/>
      <w:szCs w:val="18"/>
    </w:rPr>
  </w:style>
  <w:style w:type="paragraph" w:styleId="8">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semiHidden/>
    <w:qFormat/>
    <w:uiPriority w:val="99"/>
  </w:style>
  <w:style w:type="paragraph" w:styleId="10">
    <w:name w:val="toc 2"/>
    <w:basedOn w:val="1"/>
    <w:next w:val="1"/>
    <w:semiHidden/>
    <w:qFormat/>
    <w:uiPriority w:val="99"/>
    <w:pPr>
      <w:ind w:left="420" w:leftChars="200"/>
    </w:pPr>
  </w:style>
  <w:style w:type="paragraph" w:styleId="11">
    <w:name w:val="annotation subject"/>
    <w:basedOn w:val="4"/>
    <w:next w:val="4"/>
    <w:link w:val="25"/>
    <w:semiHidden/>
    <w:qFormat/>
    <w:uiPriority w:val="99"/>
    <w:rPr>
      <w:b/>
      <w:bCs/>
    </w:rPr>
  </w:style>
  <w:style w:type="table" w:styleId="13">
    <w:name w:val="Table Grid"/>
    <w:basedOn w:val="12"/>
    <w:qFormat/>
    <w:uiPriority w:val="99"/>
    <w:pPr>
      <w:widowControl w:val="0"/>
      <w:jc w:val="both"/>
    </w:pPr>
    <w:rPr>
      <w:rFonts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semiHidden/>
    <w:qFormat/>
    <w:uiPriority w:val="99"/>
    <w:rPr>
      <w:rFonts w:ascii="Times New Roman" w:hAnsi="Times New Roman" w:eastAsia="宋体" w:cs="Times New Roman"/>
      <w:sz w:val="18"/>
      <w:szCs w:val="18"/>
    </w:rPr>
  </w:style>
  <w:style w:type="character" w:styleId="16">
    <w:name w:val="Hyperlink"/>
    <w:basedOn w:val="14"/>
    <w:qFormat/>
    <w:locked/>
    <w:uiPriority w:val="99"/>
    <w:rPr>
      <w:color w:val="0000FF"/>
      <w:u w:val="single"/>
    </w:rPr>
  </w:style>
  <w:style w:type="character" w:styleId="17">
    <w:name w:val="annotation reference"/>
    <w:basedOn w:val="14"/>
    <w:semiHidden/>
    <w:qFormat/>
    <w:uiPriority w:val="99"/>
    <w:rPr>
      <w:sz w:val="21"/>
      <w:szCs w:val="21"/>
    </w:rPr>
  </w:style>
  <w:style w:type="character" w:customStyle="1" w:styleId="18">
    <w:name w:val="Heading 1 Char"/>
    <w:basedOn w:val="14"/>
    <w:link w:val="2"/>
    <w:qFormat/>
    <w:locked/>
    <w:uiPriority w:val="99"/>
    <w:rPr>
      <w:b/>
      <w:bCs/>
      <w:kern w:val="44"/>
      <w:sz w:val="44"/>
      <w:szCs w:val="44"/>
    </w:rPr>
  </w:style>
  <w:style w:type="character" w:customStyle="1" w:styleId="19">
    <w:name w:val="Heading 2 Char"/>
    <w:basedOn w:val="14"/>
    <w:link w:val="3"/>
    <w:semiHidden/>
    <w:qFormat/>
    <w:locked/>
    <w:uiPriority w:val="99"/>
    <w:rPr>
      <w:rFonts w:ascii="Cambria" w:hAnsi="Cambria" w:eastAsia="宋体" w:cs="Cambria"/>
      <w:b/>
      <w:bCs/>
      <w:sz w:val="32"/>
      <w:szCs w:val="32"/>
    </w:rPr>
  </w:style>
  <w:style w:type="character" w:customStyle="1" w:styleId="20">
    <w:name w:val="Comment Text Char"/>
    <w:basedOn w:val="14"/>
    <w:link w:val="4"/>
    <w:qFormat/>
    <w:locked/>
    <w:uiPriority w:val="99"/>
    <w:rPr>
      <w:rFonts w:ascii="Calibri" w:hAnsi="Calibri" w:eastAsia="宋体" w:cs="Calibri"/>
      <w:kern w:val="2"/>
      <w:sz w:val="24"/>
      <w:szCs w:val="24"/>
    </w:rPr>
  </w:style>
  <w:style w:type="character" w:customStyle="1" w:styleId="21">
    <w:name w:val="Date Char"/>
    <w:basedOn w:val="14"/>
    <w:link w:val="5"/>
    <w:semiHidden/>
    <w:qFormat/>
    <w:locked/>
    <w:uiPriority w:val="99"/>
    <w:rPr>
      <w:sz w:val="21"/>
      <w:szCs w:val="21"/>
    </w:rPr>
  </w:style>
  <w:style w:type="character" w:customStyle="1" w:styleId="22">
    <w:name w:val="Balloon Text Char"/>
    <w:basedOn w:val="14"/>
    <w:link w:val="6"/>
    <w:qFormat/>
    <w:locked/>
    <w:uiPriority w:val="99"/>
    <w:rPr>
      <w:rFonts w:ascii="Calibri" w:hAnsi="Calibri" w:eastAsia="宋体" w:cs="Calibri"/>
      <w:kern w:val="2"/>
      <w:sz w:val="18"/>
      <w:szCs w:val="18"/>
    </w:rPr>
  </w:style>
  <w:style w:type="character" w:customStyle="1" w:styleId="23">
    <w:name w:val="Footer Char"/>
    <w:basedOn w:val="14"/>
    <w:link w:val="7"/>
    <w:semiHidden/>
    <w:qFormat/>
    <w:locked/>
    <w:uiPriority w:val="99"/>
    <w:rPr>
      <w:sz w:val="18"/>
      <w:szCs w:val="18"/>
    </w:rPr>
  </w:style>
  <w:style w:type="character" w:customStyle="1" w:styleId="24">
    <w:name w:val="Header Char"/>
    <w:basedOn w:val="14"/>
    <w:link w:val="8"/>
    <w:qFormat/>
    <w:locked/>
    <w:uiPriority w:val="99"/>
    <w:rPr>
      <w:rFonts w:ascii="Calibri" w:hAnsi="Calibri" w:eastAsia="宋体" w:cs="Calibri"/>
      <w:kern w:val="2"/>
      <w:sz w:val="18"/>
      <w:szCs w:val="18"/>
    </w:rPr>
  </w:style>
  <w:style w:type="character" w:customStyle="1" w:styleId="25">
    <w:name w:val="Comment Subject Char"/>
    <w:basedOn w:val="20"/>
    <w:link w:val="11"/>
    <w:qFormat/>
    <w:locked/>
    <w:uiPriority w:val="99"/>
    <w:rPr>
      <w:b/>
      <w:bCs/>
    </w:rPr>
  </w:style>
  <w:style w:type="paragraph" w:customStyle="1" w:styleId="26">
    <w:name w:val="_Style 3"/>
    <w:basedOn w:val="1"/>
    <w:qFormat/>
    <w:uiPriority w:val="99"/>
    <w:pPr>
      <w:ind w:firstLine="420" w:firstLineChars="200"/>
    </w:pPr>
  </w:style>
  <w:style w:type="paragraph" w:customStyle="1" w:styleId="27">
    <w:name w:val="_Style 2"/>
    <w:basedOn w:val="1"/>
    <w:qFormat/>
    <w:uiPriority w:val="99"/>
    <w:pPr>
      <w:spacing w:line="351" w:lineRule="atLeast"/>
      <w:ind w:firstLine="623"/>
      <w:textAlignment w:val="baseline"/>
    </w:pPr>
    <w:rPr>
      <w:rFonts w:ascii="Times New Roman" w:hAnsi="Times New Roman" w:eastAsia="仿宋_GB2312" w:cs="Times New Roman"/>
      <w:color w:val="000000"/>
      <w:sz w:val="31"/>
      <w:szCs w:val="31"/>
    </w:rPr>
  </w:style>
  <w:style w:type="paragraph" w:customStyle="1" w:styleId="28">
    <w:name w:val="文献分类号"/>
    <w:qFormat/>
    <w:uiPriority w:val="99"/>
    <w:pPr>
      <w:framePr w:hSpace="180" w:vSpace="180" w:wrap="auto" w:vAnchor="margin" w:hAnchor="margin" w:y="1" w:anchorLock="1"/>
      <w:widowControl w:val="0"/>
      <w:textAlignment w:val="center"/>
    </w:pPr>
    <w:rPr>
      <w:rFonts w:ascii="黑体" w:hAnsi="Times New Roman" w:eastAsia="黑体" w:cs="黑体"/>
      <w:kern w:val="0"/>
      <w:sz w:val="21"/>
      <w:szCs w:val="21"/>
      <w:lang w:val="en-US" w:eastAsia="zh-CN" w:bidi="ar-SA"/>
    </w:rPr>
  </w:style>
  <w:style w:type="paragraph" w:customStyle="1" w:styleId="29">
    <w:name w:val="其他标准标志"/>
    <w:basedOn w:val="1"/>
    <w:qFormat/>
    <w:uiPriority w:val="99"/>
    <w:pPr>
      <w:framePr w:w="6101" w:h="1389" w:hRule="exact" w:hSpace="181" w:vSpace="181" w:wrap="auto" w:vAnchor="page" w:hAnchor="page" w:x="4673" w:y="942" w:anchorLock="1"/>
      <w:widowControl/>
      <w:shd w:val="solid" w:color="FFFFFF" w:fill="FFFFFF"/>
      <w:spacing w:line="240" w:lineRule="atLeast"/>
      <w:jc w:val="right"/>
    </w:pPr>
    <w:rPr>
      <w:b/>
      <w:bCs/>
      <w:w w:val="130"/>
      <w:kern w:val="0"/>
      <w:sz w:val="96"/>
      <w:szCs w:val="96"/>
    </w:rPr>
  </w:style>
  <w:style w:type="paragraph" w:customStyle="1" w:styleId="30">
    <w:name w:val="其他标准称谓"/>
    <w:next w:val="1"/>
    <w:qFormat/>
    <w:uiPriority w:val="99"/>
    <w:pPr>
      <w:framePr w:hSpace="181" w:vSpace="181" w:wrap="auto" w:vAnchor="page" w:hAnchor="page" w:x="1419" w:y="2286" w:anchorLock="1"/>
      <w:spacing w:line="240" w:lineRule="atLeast"/>
      <w:jc w:val="distribute"/>
    </w:pPr>
    <w:rPr>
      <w:rFonts w:ascii="黑体" w:hAnsi="宋体" w:eastAsia="黑体" w:cs="黑体"/>
      <w:spacing w:val="-40"/>
      <w:kern w:val="0"/>
      <w:sz w:val="48"/>
      <w:szCs w:val="48"/>
      <w:lang w:val="en-US" w:eastAsia="zh-CN" w:bidi="ar-SA"/>
    </w:rPr>
  </w:style>
  <w:style w:type="paragraph" w:customStyle="1" w:styleId="31">
    <w:name w:val="封面标准号2"/>
    <w:qFormat/>
    <w:uiPriority w:val="99"/>
    <w:pPr>
      <w:framePr w:w="9140" w:h="1242" w:hRule="exact" w:hSpace="284" w:wrap="auto" w:vAnchor="page" w:hAnchor="page" w:x="1645" w:y="2910" w:anchorLock="1"/>
      <w:spacing w:before="357" w:line="280" w:lineRule="exact"/>
      <w:jc w:val="right"/>
    </w:pPr>
    <w:rPr>
      <w:rFonts w:ascii="黑体" w:hAnsi="Times New Roman" w:eastAsia="黑体" w:cs="黑体"/>
      <w:kern w:val="0"/>
      <w:sz w:val="28"/>
      <w:szCs w:val="28"/>
      <w:lang w:val="en-US" w:eastAsia="zh-CN" w:bidi="ar-SA"/>
    </w:rPr>
  </w:style>
  <w:style w:type="paragraph" w:customStyle="1" w:styleId="32">
    <w:name w:val="封面标准代替信息"/>
    <w:qFormat/>
    <w:uiPriority w:val="99"/>
    <w:pPr>
      <w:framePr w:w="9140" w:h="1242" w:hRule="exact" w:hSpace="284" w:wrap="auto" w:vAnchor="page" w:hAnchor="page" w:x="1645" w:y="2910" w:anchorLock="1"/>
      <w:spacing w:before="57" w:line="280" w:lineRule="exact"/>
      <w:jc w:val="right"/>
    </w:pPr>
    <w:rPr>
      <w:rFonts w:ascii="宋体" w:hAnsi="Times New Roman" w:eastAsia="宋体" w:cs="宋体"/>
      <w:kern w:val="0"/>
      <w:sz w:val="21"/>
      <w:szCs w:val="21"/>
      <w:lang w:val="en-US" w:eastAsia="zh-CN" w:bidi="ar-SA"/>
    </w:rPr>
  </w:style>
  <w:style w:type="paragraph" w:customStyle="1" w:styleId="33">
    <w:name w:val="封面标准名称"/>
    <w:qFormat/>
    <w:uiPriority w:val="99"/>
    <w:pPr>
      <w:framePr w:w="9639" w:h="6917" w:hRule="exact" w:wrap="auto" w:vAnchor="page" w:hAnchor="page" w:xAlign="center" w:y="6408" w:anchorLock="1"/>
      <w:widowControl w:val="0"/>
      <w:spacing w:line="680" w:lineRule="exact"/>
      <w:jc w:val="center"/>
      <w:textAlignment w:val="center"/>
    </w:pPr>
    <w:rPr>
      <w:rFonts w:ascii="黑体" w:hAnsi="Times New Roman" w:eastAsia="黑体" w:cs="黑体"/>
      <w:kern w:val="0"/>
      <w:sz w:val="52"/>
      <w:szCs w:val="52"/>
      <w:lang w:val="en-US" w:eastAsia="zh-CN" w:bidi="ar-SA"/>
    </w:rPr>
  </w:style>
  <w:style w:type="paragraph" w:customStyle="1" w:styleId="34">
    <w:name w:val="封面标准文稿类别"/>
    <w:basedOn w:val="35"/>
    <w:qFormat/>
    <w:uiPriority w:val="99"/>
    <w:pPr>
      <w:spacing w:after="160" w:line="240" w:lineRule="auto"/>
    </w:pPr>
    <w:rPr>
      <w:sz w:val="24"/>
      <w:szCs w:val="24"/>
    </w:rPr>
  </w:style>
  <w:style w:type="paragraph" w:customStyle="1" w:styleId="35">
    <w:name w:val="封面一致性程度标识"/>
    <w:basedOn w:val="1"/>
    <w:qFormat/>
    <w:uiPriority w:val="99"/>
    <w:pPr>
      <w:framePr w:w="9639" w:h="6917" w:hRule="exact" w:wrap="auto" w:vAnchor="page" w:hAnchor="page" w:xAlign="center" w:y="6408" w:anchorLock="1"/>
      <w:spacing w:before="440" w:line="400" w:lineRule="exact"/>
      <w:jc w:val="center"/>
      <w:textAlignment w:val="center"/>
    </w:pPr>
    <w:rPr>
      <w:rFonts w:ascii="宋体" w:cs="宋体"/>
      <w:kern w:val="0"/>
      <w:sz w:val="28"/>
      <w:szCs w:val="28"/>
    </w:rPr>
  </w:style>
  <w:style w:type="paragraph" w:customStyle="1" w:styleId="36">
    <w:name w:val="封面标准文稿编辑信息"/>
    <w:basedOn w:val="34"/>
    <w:qFormat/>
    <w:uiPriority w:val="99"/>
    <w:pPr>
      <w:spacing w:before="180" w:line="180" w:lineRule="exact"/>
    </w:pPr>
    <w:rPr>
      <w:sz w:val="21"/>
      <w:szCs w:val="21"/>
    </w:rPr>
  </w:style>
  <w:style w:type="paragraph" w:customStyle="1" w:styleId="37">
    <w:name w:val="其他发布日期"/>
    <w:basedOn w:val="1"/>
    <w:qFormat/>
    <w:uiPriority w:val="99"/>
    <w:pPr>
      <w:framePr w:w="3997" w:h="471" w:hRule="exact" w:vSpace="181" w:wrap="auto" w:vAnchor="page" w:hAnchor="page" w:x="1419" w:y="14097" w:anchorLock="1"/>
      <w:widowControl/>
      <w:jc w:val="left"/>
    </w:pPr>
    <w:rPr>
      <w:rFonts w:eastAsia="黑体"/>
      <w:kern w:val="0"/>
      <w:sz w:val="28"/>
      <w:szCs w:val="28"/>
    </w:rPr>
  </w:style>
  <w:style w:type="paragraph" w:customStyle="1" w:styleId="38">
    <w:name w:val="其他实施日期"/>
    <w:basedOn w:val="1"/>
    <w:qFormat/>
    <w:uiPriority w:val="99"/>
    <w:pPr>
      <w:framePr w:w="3997" w:h="471" w:hRule="exact" w:vSpace="181" w:wrap="auto" w:vAnchor="page" w:hAnchor="page" w:x="7089" w:y="14097" w:anchorLock="1"/>
      <w:widowControl/>
      <w:jc w:val="right"/>
    </w:pPr>
    <w:rPr>
      <w:rFonts w:eastAsia="黑体"/>
      <w:kern w:val="0"/>
      <w:sz w:val="28"/>
      <w:szCs w:val="28"/>
    </w:rPr>
  </w:style>
  <w:style w:type="paragraph" w:customStyle="1" w:styleId="39">
    <w:name w:val="其他发布部门"/>
    <w:basedOn w:val="40"/>
    <w:qFormat/>
    <w:uiPriority w:val="99"/>
    <w:pPr>
      <w:framePr w:y="15310"/>
      <w:spacing w:line="240" w:lineRule="atLeast"/>
    </w:pPr>
    <w:rPr>
      <w:rFonts w:ascii="黑体" w:eastAsia="黑体" w:cs="黑体"/>
    </w:rPr>
  </w:style>
  <w:style w:type="paragraph" w:customStyle="1" w:styleId="40">
    <w:name w:val="发布部门"/>
    <w:next w:val="41"/>
    <w:qFormat/>
    <w:uiPriority w:val="99"/>
    <w:pPr>
      <w:framePr w:w="7938" w:h="1134" w:hRule="exact" w:hSpace="125" w:vSpace="181" w:wrap="auto" w:vAnchor="page" w:hAnchor="page" w:x="2150" w:y="14630" w:anchorLock="1"/>
      <w:jc w:val="center"/>
    </w:pPr>
    <w:rPr>
      <w:rFonts w:ascii="宋体" w:hAnsi="Times New Roman" w:eastAsia="宋体" w:cs="宋体"/>
      <w:b/>
      <w:bCs/>
      <w:spacing w:val="20"/>
      <w:w w:val="135"/>
      <w:kern w:val="0"/>
      <w:sz w:val="28"/>
      <w:szCs w:val="28"/>
      <w:lang w:val="en-US" w:eastAsia="zh-CN" w:bidi="ar-SA"/>
    </w:rPr>
  </w:style>
  <w:style w:type="paragraph" w:customStyle="1" w:styleId="41">
    <w:name w:val="段"/>
    <w:link w:val="54"/>
    <w:qFormat/>
    <w:uiPriority w:val="99"/>
    <w:pPr>
      <w:tabs>
        <w:tab w:val="center" w:pos="4201"/>
        <w:tab w:val="right" w:leader="dot" w:pos="9298"/>
      </w:tabs>
      <w:autoSpaceDE w:val="0"/>
      <w:autoSpaceDN w:val="0"/>
      <w:ind w:firstLine="420" w:firstLineChars="200"/>
      <w:jc w:val="both"/>
    </w:pPr>
    <w:rPr>
      <w:rFonts w:ascii="宋体" w:hAnsi="等线" w:eastAsia="等线" w:cs="宋体"/>
      <w:kern w:val="2"/>
      <w:sz w:val="21"/>
      <w:szCs w:val="21"/>
      <w:lang w:val="en-US" w:eastAsia="zh-CN" w:bidi="ar-SA"/>
    </w:rPr>
  </w:style>
  <w:style w:type="character" w:customStyle="1" w:styleId="42">
    <w:name w:val="发布"/>
    <w:qFormat/>
    <w:uiPriority w:val="99"/>
    <w:rPr>
      <w:rFonts w:ascii="黑体" w:eastAsia="黑体" w:cs="黑体"/>
      <w:spacing w:val="85"/>
      <w:w w:val="100"/>
      <w:position w:val="3"/>
      <w:sz w:val="28"/>
      <w:szCs w:val="28"/>
    </w:rPr>
  </w:style>
  <w:style w:type="paragraph" w:customStyle="1" w:styleId="43">
    <w:name w:val="前言、引言标题"/>
    <w:next w:val="1"/>
    <w:qFormat/>
    <w:uiPriority w:val="99"/>
    <w:pPr>
      <w:shd w:val="clear" w:color="FFFFFF" w:fill="FFFFFF"/>
      <w:spacing w:before="640" w:after="560"/>
      <w:jc w:val="center"/>
      <w:outlineLvl w:val="0"/>
    </w:pPr>
    <w:rPr>
      <w:rFonts w:ascii="黑体" w:hAnsi="Times New Roman" w:eastAsia="黑体" w:cs="黑体"/>
      <w:kern w:val="0"/>
      <w:sz w:val="32"/>
      <w:szCs w:val="32"/>
      <w:lang w:val="en-US" w:eastAsia="zh-CN" w:bidi="ar-SA"/>
    </w:rPr>
  </w:style>
  <w:style w:type="paragraph" w:customStyle="1" w:styleId="44">
    <w:name w:val="目次、标准名称标题"/>
    <w:basedOn w:val="1"/>
    <w:next w:val="41"/>
    <w:qFormat/>
    <w:uiPriority w:val="99"/>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45">
    <w:name w:val="章标题"/>
    <w:next w:val="41"/>
    <w:qFormat/>
    <w:uiPriority w:val="99"/>
    <w:pPr>
      <w:spacing w:beforeLines="100" w:afterLines="100"/>
      <w:jc w:val="both"/>
      <w:outlineLvl w:val="1"/>
    </w:pPr>
    <w:rPr>
      <w:rFonts w:ascii="黑体" w:hAnsi="Times New Roman" w:eastAsia="黑体" w:cs="黑体"/>
      <w:kern w:val="0"/>
      <w:sz w:val="21"/>
      <w:szCs w:val="21"/>
      <w:lang w:val="en-US" w:eastAsia="zh-CN" w:bidi="ar-SA"/>
    </w:rPr>
  </w:style>
  <w:style w:type="paragraph" w:customStyle="1" w:styleId="46">
    <w:name w:val="标准书眉_奇数页"/>
    <w:next w:val="1"/>
    <w:qFormat/>
    <w:uiPriority w:val="99"/>
    <w:pPr>
      <w:tabs>
        <w:tab w:val="center" w:pos="4154"/>
        <w:tab w:val="right" w:pos="8306"/>
      </w:tabs>
      <w:spacing w:after="220"/>
      <w:jc w:val="right"/>
    </w:pPr>
    <w:rPr>
      <w:rFonts w:ascii="黑体" w:hAnsi="Times New Roman" w:eastAsia="黑体" w:cs="黑体"/>
      <w:kern w:val="0"/>
      <w:sz w:val="21"/>
      <w:szCs w:val="21"/>
      <w:lang w:val="en-US" w:eastAsia="zh-CN" w:bidi="ar-SA"/>
    </w:rPr>
  </w:style>
  <w:style w:type="paragraph" w:customStyle="1" w:styleId="47">
    <w:name w:val="标准书脚_奇数页"/>
    <w:qFormat/>
    <w:uiPriority w:val="99"/>
    <w:pPr>
      <w:spacing w:before="120"/>
      <w:ind w:right="198"/>
      <w:jc w:val="right"/>
    </w:pPr>
    <w:rPr>
      <w:rFonts w:ascii="宋体" w:hAnsi="Times New Roman" w:eastAsia="宋体" w:cs="宋体"/>
      <w:kern w:val="0"/>
      <w:sz w:val="18"/>
      <w:szCs w:val="18"/>
      <w:lang w:val="en-US" w:eastAsia="zh-CN" w:bidi="ar-SA"/>
    </w:rPr>
  </w:style>
  <w:style w:type="paragraph" w:customStyle="1" w:styleId="48">
    <w:name w:val="标准书脚_偶数页"/>
    <w:qFormat/>
    <w:uiPriority w:val="99"/>
    <w:pPr>
      <w:spacing w:before="120"/>
    </w:pPr>
    <w:rPr>
      <w:rFonts w:ascii="Times New Roman" w:hAnsi="Times New Roman" w:eastAsia="宋体" w:cs="Times New Roman"/>
      <w:kern w:val="0"/>
      <w:sz w:val="18"/>
      <w:szCs w:val="18"/>
      <w:lang w:val="en-US" w:eastAsia="zh-CN" w:bidi="ar-SA"/>
    </w:rPr>
  </w:style>
  <w:style w:type="character" w:customStyle="1" w:styleId="49">
    <w:name w:val="font91"/>
    <w:qFormat/>
    <w:uiPriority w:val="99"/>
    <w:rPr>
      <w:rFonts w:ascii="宋体" w:hAnsi="宋体" w:eastAsia="宋体" w:cs="宋体"/>
      <w:color w:val="FF0000"/>
      <w:sz w:val="21"/>
      <w:szCs w:val="21"/>
      <w:u w:val="none"/>
      <w:vertAlign w:val="superscript"/>
    </w:rPr>
  </w:style>
  <w:style w:type="character" w:customStyle="1" w:styleId="50">
    <w:name w:val="font21"/>
    <w:qFormat/>
    <w:uiPriority w:val="99"/>
    <w:rPr>
      <w:rFonts w:ascii="Arial" w:hAnsi="Arial" w:cs="Arial"/>
      <w:color w:val="FF0000"/>
      <w:sz w:val="18"/>
      <w:szCs w:val="18"/>
      <w:u w:val="none"/>
    </w:rPr>
  </w:style>
  <w:style w:type="character" w:customStyle="1" w:styleId="51">
    <w:name w:val="font11"/>
    <w:qFormat/>
    <w:uiPriority w:val="99"/>
    <w:rPr>
      <w:rFonts w:ascii="宋体" w:hAnsi="宋体" w:eastAsia="宋体" w:cs="宋体"/>
      <w:color w:val="FF0000"/>
      <w:sz w:val="18"/>
      <w:szCs w:val="18"/>
      <w:u w:val="none"/>
    </w:rPr>
  </w:style>
  <w:style w:type="character" w:customStyle="1" w:styleId="52">
    <w:name w:val="font31"/>
    <w:qFormat/>
    <w:uiPriority w:val="99"/>
    <w:rPr>
      <w:rFonts w:ascii="方正书宋_GBK" w:hAnsi="方正书宋_GBK" w:eastAsia="方正书宋_GBK" w:cs="方正书宋_GBK"/>
      <w:color w:val="FF0000"/>
      <w:sz w:val="18"/>
      <w:szCs w:val="18"/>
      <w:u w:val="none"/>
    </w:rPr>
  </w:style>
  <w:style w:type="character" w:customStyle="1" w:styleId="53">
    <w:name w:val="font41"/>
    <w:qFormat/>
    <w:uiPriority w:val="99"/>
    <w:rPr>
      <w:rFonts w:ascii="宋体" w:hAnsi="宋体" w:eastAsia="宋体" w:cs="宋体"/>
      <w:color w:val="000000"/>
      <w:sz w:val="18"/>
      <w:szCs w:val="18"/>
      <w:u w:val="none"/>
    </w:rPr>
  </w:style>
  <w:style w:type="character" w:customStyle="1" w:styleId="54">
    <w:name w:val="段 Char"/>
    <w:link w:val="41"/>
    <w:qFormat/>
    <w:locked/>
    <w:uiPriority w:val="99"/>
    <w:rPr>
      <w:rFonts w:ascii="宋体" w:hAnsi="等线" w:eastAsia="等线" w:cs="宋体"/>
      <w:kern w:val="2"/>
      <w:sz w:val="21"/>
      <w:szCs w:val="21"/>
      <w:lang w:val="en-US" w:eastAsia="zh-CN"/>
    </w:rPr>
  </w:style>
  <w:style w:type="paragraph" w:customStyle="1" w:styleId="55">
    <w:name w:val="标准文件_段"/>
    <w:link w:val="63"/>
    <w:qFormat/>
    <w:uiPriority w:val="99"/>
    <w:pPr>
      <w:autoSpaceDE w:val="0"/>
      <w:autoSpaceDN w:val="0"/>
      <w:ind w:firstLine="200" w:firstLineChars="200"/>
      <w:jc w:val="both"/>
    </w:pPr>
    <w:rPr>
      <w:rFonts w:ascii="宋体" w:hAnsi="Calibri" w:eastAsia="宋体" w:cs="宋体"/>
      <w:kern w:val="2"/>
      <w:sz w:val="22"/>
      <w:szCs w:val="22"/>
      <w:lang w:val="en-US" w:eastAsia="zh-CN" w:bidi="ar-SA"/>
    </w:rPr>
  </w:style>
  <w:style w:type="paragraph" w:customStyle="1" w:styleId="56">
    <w:name w:val="标准文件_附录标识"/>
    <w:next w:val="55"/>
    <w:qFormat/>
    <w:uiPriority w:val="99"/>
    <w:pPr>
      <w:numPr>
        <w:ilvl w:val="0"/>
        <w:numId w:val="1"/>
      </w:numPr>
      <w:shd w:val="clear" w:color="FFFFFF" w:fill="FFFFFF"/>
      <w:tabs>
        <w:tab w:val="left" w:pos="6406"/>
      </w:tabs>
      <w:spacing w:beforeLines="25" w:afterLines="50"/>
      <w:jc w:val="center"/>
      <w:outlineLvl w:val="0"/>
    </w:pPr>
    <w:rPr>
      <w:rFonts w:ascii="黑体" w:hAnsi="Times New Roman" w:eastAsia="黑体" w:cs="黑体"/>
      <w:kern w:val="0"/>
      <w:sz w:val="21"/>
      <w:szCs w:val="21"/>
      <w:lang w:val="en-US" w:eastAsia="zh-CN" w:bidi="ar-SA"/>
    </w:rPr>
  </w:style>
  <w:style w:type="paragraph" w:customStyle="1" w:styleId="57">
    <w:name w:val="标准文件_附录一级条标题"/>
    <w:next w:val="55"/>
    <w:qFormat/>
    <w:uiPriority w:val="99"/>
    <w:pPr>
      <w:widowControl w:val="0"/>
      <w:numPr>
        <w:ilvl w:val="1"/>
        <w:numId w:val="1"/>
      </w:numPr>
      <w:spacing w:beforeLines="50" w:afterLines="50"/>
      <w:jc w:val="both"/>
      <w:outlineLvl w:val="2"/>
    </w:pPr>
    <w:rPr>
      <w:rFonts w:ascii="黑体" w:hAnsi="Times New Roman" w:eastAsia="黑体" w:cs="黑体"/>
      <w:kern w:val="21"/>
      <w:sz w:val="21"/>
      <w:szCs w:val="21"/>
      <w:lang w:val="en-US" w:eastAsia="zh-CN" w:bidi="ar-SA"/>
    </w:rPr>
  </w:style>
  <w:style w:type="paragraph" w:customStyle="1" w:styleId="58">
    <w:name w:val="标准文件_附录二级条标题"/>
    <w:basedOn w:val="57"/>
    <w:next w:val="55"/>
    <w:qFormat/>
    <w:uiPriority w:val="99"/>
    <w:pPr>
      <w:widowControl/>
      <w:numPr>
        <w:ilvl w:val="2"/>
      </w:numPr>
      <w:wordWrap w:val="0"/>
      <w:overflowPunct w:val="0"/>
      <w:autoSpaceDE w:val="0"/>
      <w:autoSpaceDN w:val="0"/>
      <w:textAlignment w:val="baseline"/>
      <w:outlineLvl w:val="3"/>
    </w:pPr>
  </w:style>
  <w:style w:type="paragraph" w:customStyle="1" w:styleId="59">
    <w:name w:val="标准文件_附录三级条标题"/>
    <w:next w:val="55"/>
    <w:qFormat/>
    <w:uiPriority w:val="99"/>
    <w:pPr>
      <w:widowControl w:val="0"/>
      <w:numPr>
        <w:ilvl w:val="3"/>
        <w:numId w:val="1"/>
      </w:numPr>
      <w:spacing w:beforeLines="50" w:afterLines="50"/>
      <w:jc w:val="both"/>
      <w:outlineLvl w:val="4"/>
    </w:pPr>
    <w:rPr>
      <w:rFonts w:ascii="黑体" w:hAnsi="Times New Roman" w:eastAsia="黑体" w:cs="黑体"/>
      <w:kern w:val="21"/>
      <w:sz w:val="21"/>
      <w:szCs w:val="21"/>
      <w:lang w:val="en-US" w:eastAsia="zh-CN" w:bidi="ar-SA"/>
    </w:rPr>
  </w:style>
  <w:style w:type="paragraph" w:customStyle="1" w:styleId="60">
    <w:name w:val="标准文件_附录四级条标题"/>
    <w:next w:val="55"/>
    <w:qFormat/>
    <w:uiPriority w:val="99"/>
    <w:pPr>
      <w:widowControl w:val="0"/>
      <w:numPr>
        <w:ilvl w:val="4"/>
        <w:numId w:val="1"/>
      </w:numPr>
      <w:spacing w:beforeLines="50" w:afterLines="50"/>
      <w:jc w:val="both"/>
      <w:outlineLvl w:val="5"/>
    </w:pPr>
    <w:rPr>
      <w:rFonts w:ascii="黑体" w:hAnsi="Times New Roman" w:eastAsia="黑体" w:cs="黑体"/>
      <w:kern w:val="21"/>
      <w:sz w:val="21"/>
      <w:szCs w:val="21"/>
      <w:lang w:val="en-US" w:eastAsia="zh-CN" w:bidi="ar-SA"/>
    </w:rPr>
  </w:style>
  <w:style w:type="paragraph" w:customStyle="1" w:styleId="61">
    <w:name w:val="标准文件_附录五级条标题"/>
    <w:next w:val="55"/>
    <w:qFormat/>
    <w:uiPriority w:val="99"/>
    <w:pPr>
      <w:widowControl w:val="0"/>
      <w:numPr>
        <w:ilvl w:val="5"/>
        <w:numId w:val="1"/>
      </w:numPr>
      <w:spacing w:beforeLines="50" w:afterLines="50"/>
      <w:jc w:val="both"/>
      <w:outlineLvl w:val="6"/>
    </w:pPr>
    <w:rPr>
      <w:rFonts w:ascii="黑体" w:hAnsi="Times New Roman" w:eastAsia="黑体" w:cs="黑体"/>
      <w:kern w:val="21"/>
      <w:sz w:val="21"/>
      <w:szCs w:val="21"/>
      <w:lang w:val="en-US" w:eastAsia="zh-CN" w:bidi="ar-SA"/>
    </w:rPr>
  </w:style>
  <w:style w:type="paragraph" w:customStyle="1" w:styleId="62">
    <w:name w:val="标准文件_注："/>
    <w:next w:val="55"/>
    <w:qFormat/>
    <w:uiPriority w:val="99"/>
    <w:pPr>
      <w:widowControl w:val="0"/>
      <w:numPr>
        <w:ilvl w:val="0"/>
        <w:numId w:val="2"/>
      </w:numPr>
      <w:autoSpaceDE w:val="0"/>
      <w:autoSpaceDN w:val="0"/>
      <w:jc w:val="both"/>
    </w:pPr>
    <w:rPr>
      <w:rFonts w:ascii="宋体" w:hAnsi="Times New Roman" w:eastAsia="宋体" w:cs="宋体"/>
      <w:kern w:val="0"/>
      <w:sz w:val="18"/>
      <w:szCs w:val="18"/>
      <w:lang w:val="en-US" w:eastAsia="zh-CN" w:bidi="ar-SA"/>
    </w:rPr>
  </w:style>
  <w:style w:type="character" w:customStyle="1" w:styleId="63">
    <w:name w:val="标准文件_段 Char"/>
    <w:link w:val="55"/>
    <w:qFormat/>
    <w:locked/>
    <w:uiPriority w:val="99"/>
    <w:rPr>
      <w:rFonts w:ascii="宋体" w:cs="宋体"/>
      <w:kern w:val="2"/>
      <w:sz w:val="22"/>
      <w:szCs w:val="22"/>
      <w:lang w:val="en-US" w:eastAsia="zh-CN"/>
    </w:rPr>
  </w:style>
  <w:style w:type="paragraph" w:customStyle="1" w:styleId="64">
    <w:name w:val="标准文件_二级条标题"/>
    <w:next w:val="55"/>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65">
    <w:name w:val="标准文件_三级条标题"/>
    <w:basedOn w:val="64"/>
    <w:next w:val="55"/>
    <w:qFormat/>
    <w:uiPriority w:val="0"/>
    <w:pPr>
      <w:widowControl/>
      <w:numPr>
        <w:ilvl w:val="4"/>
      </w:numPr>
      <w:outlineLvl w:val="3"/>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44"/>
    <customShpInfo spid="_x0000_s1042"/>
    <customShpInfo spid="_x0000_s1043"/>
    <customShpInfo spid="_x0000_s104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微软中国</Company>
  <Pages>14</Pages>
  <Words>5673</Words>
  <Characters>6676</Characters>
  <Lines>0</Lines>
  <Paragraphs>0</Paragraphs>
  <TotalTime>0</TotalTime>
  <ScaleCrop>false</ScaleCrop>
  <LinksUpToDate>false</LinksUpToDate>
  <CharactersWithSpaces>7022</CharactersWithSpaces>
  <Application>WPS Office_11.8.2.10552_F1E327BC-269C-435d-A152-05C5408002CA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2021-11-12T09:26:00Z</dcterms:created>
  <dc:creator>nyb</dc:creator>
  <cp:lastModifiedBy>nynct</cp:lastModifiedBy>
  <cp:lastPrinted>2021-08-09T15:44:00Z</cp:lastPrinted>
  <dcterms:modified xsi:type="dcterms:W3CDTF">2025-10-10T10:11:41Z</dcterms:modified>
  <dc:title>ICS 65</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2052-11.8.2.10552</vt:lpwstr>
  </property>
  <property fmtid="{D5CDD505-2E9C-101B-9397-08002B2CF9AE}" pid="3" name="ICV">
    <vt:lpwstr>7A029ECAD6AC48CC8F2476FD8AAF8B65</vt:lpwstr>
  </property>
  <property fmtid="{D5CDD505-2E9C-101B-9397-08002B2CF9AE}" pid="4" name="KSOTemplateDocerSaveRecord">
    <vt:lpwstr>eyJoZGlkIjoiNzg1YThhOTViYzMzZDIyOGEzZGNhOGY4YTcyNjBjNGUiLCJ1c2VySWQiOiI1MTM5ODcyMTIifQ==</vt:lpwstr>
  </property>
</Properties>
</file>