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EB3E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5E647A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8064E7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8764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31827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8BEEA7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BD594C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4CEB41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0F291E0B">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2E78919">
      <w:pPr>
        <w:pStyle w:val="195"/>
        <w:rPr>
          <w:rFonts w:hAnsi="黑体"/>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3D23854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C58416C">
      <w:pPr>
        <w:pStyle w:val="50"/>
        <w:framePr w:w="9639" w:h="6976" w:hRule="exact" w:hSpace="0" w:vSpace="0" w:wrap="around" w:hAnchor="page" w:y="6408"/>
        <w:jc w:val="center"/>
        <w:rPr>
          <w:rFonts w:ascii="黑体" w:hAnsi="黑体" w:eastAsia="黑体"/>
          <w:b w:val="0"/>
          <w:bCs w:val="0"/>
          <w:w w:val="100"/>
        </w:rPr>
      </w:pPr>
    </w:p>
    <w:p w14:paraId="3B99CD73">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普通高等学校生态校园建设规范</w:t>
      </w:r>
      <w:r>
        <w:fldChar w:fldCharType="end"/>
      </w:r>
      <w:bookmarkEnd w:id="8"/>
    </w:p>
    <w:p w14:paraId="5BFFE7CB">
      <w:pPr>
        <w:framePr w:w="9639" w:h="6974" w:hRule="exact" w:wrap="around" w:vAnchor="page" w:hAnchor="page" w:x="1419" w:y="6408" w:anchorLock="1"/>
        <w:ind w:left="-1418"/>
      </w:pPr>
    </w:p>
    <w:p w14:paraId="6A8213E0">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Specifications for ecological campus constructionon of general college and university</w:t>
      </w:r>
      <w:r>
        <w:rPr>
          <w:rFonts w:eastAsia="黑体"/>
          <w:szCs w:val="28"/>
        </w:rPr>
        <w:fldChar w:fldCharType="end"/>
      </w:r>
      <w:bookmarkEnd w:id="9"/>
    </w:p>
    <w:p w14:paraId="0DB42106">
      <w:pPr>
        <w:framePr w:w="9639" w:h="6974" w:hRule="exact" w:wrap="around" w:vAnchor="page" w:hAnchor="page" w:x="1419" w:y="6408" w:anchorLock="1"/>
        <w:spacing w:line="760" w:lineRule="exact"/>
        <w:ind w:left="-1418"/>
      </w:pPr>
    </w:p>
    <w:p w14:paraId="309CAE99">
      <w:pPr>
        <w:pStyle w:val="125"/>
        <w:framePr w:w="9639" w:h="6974" w:hRule="exact" w:wrap="around" w:vAnchor="page" w:hAnchor="page" w:x="1419" w:y="6408" w:anchorLock="1"/>
        <w:textAlignment w:val="bottom"/>
        <w:rPr>
          <w:rFonts w:eastAsia="黑体"/>
          <w:szCs w:val="28"/>
        </w:rPr>
      </w:pPr>
    </w:p>
    <w:p w14:paraId="3AF99BC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7B3F4561">
      <w:pPr>
        <w:pStyle w:val="125"/>
        <w:framePr w:w="9639" w:h="6974" w:hRule="exact" w:wrap="around" w:vAnchor="page" w:hAnchor="page" w:x="1419" w:y="6408" w:anchorLock="1"/>
        <w:spacing w:before="180" w:line="240" w:lineRule="atLeast"/>
        <w:textAlignment w:val="bottom"/>
        <w:rPr>
          <w:sz w:val="21"/>
          <w:szCs w:val="28"/>
        </w:rPr>
      </w:pPr>
    </w:p>
    <w:p w14:paraId="058B529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786E7281">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5FA8EA8A">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639F0CB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E141D5D">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D6F932E">
      <w:pPr>
        <w:pStyle w:val="91"/>
        <w:spacing w:after="468"/>
      </w:pPr>
      <w:bookmarkStart w:id="19" w:name="BookMark1"/>
      <w:bookmarkStart w:id="20" w:name="_Toc201072202"/>
      <w:r>
        <w:rPr>
          <w:rFonts w:hint="eastAsia"/>
          <w:spacing w:val="320"/>
        </w:rPr>
        <w:t>目</w:t>
      </w:r>
      <w:r>
        <w:rPr>
          <w:rFonts w:hint="eastAsia"/>
        </w:rPr>
        <w:t>次</w:t>
      </w:r>
    </w:p>
    <w:p w14:paraId="28393802">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"_Toc201072215" </w:instrText>
      </w:r>
      <w:r>
        <w:fldChar w:fldCharType="separate"/>
      </w:r>
      <w:r>
        <w:rPr>
          <w:rStyle w:val="32"/>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_Toc201072215 \h </w:instrText>
      </w:r>
      <w:r>
        <w:rPr>
          <w:rFonts w:ascii="Times New Roman" w:hAnsi="Times New Roman"/>
        </w:rPr>
        <w:fldChar w:fldCharType="separate"/>
      </w:r>
      <w:r>
        <w:rPr>
          <w:rFonts w:ascii="Times New Roman" w:hAnsi="Times New Roman"/>
        </w:rPr>
        <w:t>III</w:t>
      </w:r>
      <w:r>
        <w:rPr>
          <w:rFonts w:ascii="Times New Roman" w:hAnsi="Times New Roman"/>
        </w:rPr>
        <w:fldChar w:fldCharType="end"/>
      </w:r>
      <w:r>
        <w:rPr>
          <w:rFonts w:ascii="Times New Roman" w:hAnsi="Times New Roman"/>
        </w:rPr>
        <w:fldChar w:fldCharType="end"/>
      </w:r>
    </w:p>
    <w:p w14:paraId="54BB0CF1">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"_Toc201072216" </w:instrText>
      </w:r>
      <w:r>
        <w:fldChar w:fldCharType="separate"/>
      </w:r>
      <w:r>
        <w:rPr>
          <w:rStyle w:val="32"/>
          <w:rFonts w:ascii="Times New Roman"/>
        </w:rPr>
        <w:t>1  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_Toc201072216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2758BF99">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"_Toc201072217" </w:instrText>
      </w:r>
      <w:r>
        <w:fldChar w:fldCharType="separate"/>
      </w:r>
      <w:r>
        <w:rPr>
          <w:rStyle w:val="32"/>
          <w:rFonts w:ascii="Times New Roman"/>
        </w:rPr>
        <w:t>2  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_Toc201072217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511B9073">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"_Toc201072218" </w:instrText>
      </w:r>
      <w:r>
        <w:fldChar w:fldCharType="separate"/>
      </w:r>
      <w:r>
        <w:rPr>
          <w:rStyle w:val="32"/>
          <w:rFonts w:ascii="Times New Roman"/>
        </w:rPr>
        <w:t>3  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_Toc201072218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68C184DB">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"_Toc201072219" </w:instrText>
      </w:r>
      <w:r>
        <w:fldChar w:fldCharType="separate"/>
      </w:r>
      <w:r>
        <w:rPr>
          <w:rStyle w:val="32"/>
          <w:rFonts w:ascii="Times New Roman"/>
        </w:rPr>
        <w:t>4  规划原则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_Toc201072219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403820ED">
      <w:pPr>
        <w:pStyle w:val="24"/>
        <w:rPr>
          <w:rFonts w:ascii="Times New Roman" w:hAnsi="Times New Roman" w:eastAsiaTheme="minorEastAsia"/>
          <w:sz w:val="22"/>
          <w:szCs w:val="24"/>
          <w14:ligatures w14:val="standardContextual"/>
        </w:rPr>
      </w:pPr>
      <w:r>
        <w:fldChar w:fldCharType="begin"/>
      </w:r>
      <w:r>
        <w:instrText xml:space="preserve"> HYPERLINK \l "_Toc201072220" </w:instrText>
      </w:r>
      <w:r>
        <w:fldChar w:fldCharType="separate"/>
      </w:r>
      <w:r>
        <w:rPr>
          <w:rStyle w:val="32"/>
          <w:rFonts w:ascii="Times New Roman"/>
          <w14:scene3d>
            <w14:lightRig w14:rig="threePt" w14:dir="t">
              <w14:rot w14:lat="0" w14:lon="0" w14:rev="0"/>
            </w14:lightRig>
          </w14:scene3d>
        </w:rPr>
        <w:t xml:space="preserve">4.1 </w:t>
      </w:r>
      <w:r>
        <w:rPr>
          <w:rStyle w:val="32"/>
          <w:rFonts w:ascii="Times New Roman"/>
        </w:rPr>
        <w:t xml:space="preserve"> 生态优先</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_Toc201072220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3A6082F9">
      <w:pPr>
        <w:pStyle w:val="24"/>
        <w:rPr>
          <w:rFonts w:ascii="Times New Roman" w:hAnsi="Times New Roman" w:eastAsiaTheme="minorEastAsia"/>
          <w:sz w:val="22"/>
          <w:szCs w:val="24"/>
          <w14:ligatures w14:val="standardContextual"/>
        </w:rPr>
      </w:pPr>
      <w:r>
        <w:fldChar w:fldCharType="begin"/>
      </w:r>
      <w:r>
        <w:instrText xml:space="preserve"> HYPERLINK \l "_Toc201072221" </w:instrText>
      </w:r>
      <w:r>
        <w:fldChar w:fldCharType="separate"/>
      </w:r>
      <w:r>
        <w:rPr>
          <w:rStyle w:val="32"/>
          <w:rFonts w:ascii="Times New Roman"/>
          <w14:scene3d>
            <w14:lightRig w14:rig="threePt" w14:dir="t">
              <w14:rot w14:lat="0" w14:lon="0" w14:rev="0"/>
            </w14:lightRig>
          </w14:scene3d>
        </w:rPr>
        <w:t xml:space="preserve">4.2 </w:t>
      </w:r>
      <w:r>
        <w:rPr>
          <w:rStyle w:val="32"/>
          <w:rFonts w:ascii="Times New Roman"/>
        </w:rPr>
        <w:t xml:space="preserve"> 以人为本</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_Toc201072221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1F2B173A">
      <w:pPr>
        <w:pStyle w:val="24"/>
        <w:rPr>
          <w:rFonts w:ascii="Times New Roman" w:hAnsi="Times New Roman" w:eastAsiaTheme="minorEastAsia"/>
          <w:sz w:val="22"/>
          <w:szCs w:val="24"/>
          <w14:ligatures w14:val="standardContextual"/>
        </w:rPr>
      </w:pPr>
      <w:r>
        <w:fldChar w:fldCharType="begin"/>
      </w:r>
      <w:r>
        <w:instrText xml:space="preserve"> HYPERLINK \l "_Toc201072222" </w:instrText>
      </w:r>
      <w:r>
        <w:fldChar w:fldCharType="separate"/>
      </w:r>
      <w:r>
        <w:rPr>
          <w:rStyle w:val="32"/>
          <w:rFonts w:ascii="Times New Roman"/>
          <w14:scene3d>
            <w14:lightRig w14:rig="threePt" w14:dir="t">
              <w14:rot w14:lat="0" w14:lon="0" w14:rev="0"/>
            </w14:lightRig>
          </w14:scene3d>
        </w:rPr>
        <w:t xml:space="preserve">4.3 </w:t>
      </w:r>
      <w:r>
        <w:rPr>
          <w:rStyle w:val="32"/>
          <w:rFonts w:ascii="Times New Roman"/>
        </w:rPr>
        <w:t xml:space="preserve"> 文化传承</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_Toc201072222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26667438">
      <w:pPr>
        <w:pStyle w:val="24"/>
        <w:rPr>
          <w:rFonts w:ascii="Times New Roman" w:hAnsi="Times New Roman" w:eastAsiaTheme="minorEastAsia"/>
          <w:sz w:val="22"/>
          <w:szCs w:val="24"/>
          <w14:ligatures w14:val="standardContextual"/>
        </w:rPr>
      </w:pPr>
      <w:r>
        <w:fldChar w:fldCharType="begin"/>
      </w:r>
      <w:r>
        <w:instrText xml:space="preserve"> HYPERLINK \l "_Toc201072223" </w:instrText>
      </w:r>
      <w:r>
        <w:fldChar w:fldCharType="separate"/>
      </w:r>
      <w:r>
        <w:rPr>
          <w:rStyle w:val="32"/>
          <w:rFonts w:ascii="Times New Roman"/>
          <w14:scene3d>
            <w14:lightRig w14:rig="threePt" w14:dir="t">
              <w14:rot w14:lat="0" w14:lon="0" w14:rev="0"/>
            </w14:lightRig>
          </w14:scene3d>
        </w:rPr>
        <w:t xml:space="preserve">4.4 </w:t>
      </w:r>
      <w:r>
        <w:rPr>
          <w:rStyle w:val="32"/>
          <w:rFonts w:ascii="Times New Roman"/>
        </w:rPr>
        <w:t xml:space="preserve"> </w:t>
      </w:r>
      <w:r>
        <w:rPr>
          <w:rStyle w:val="32"/>
          <w:rFonts w:hint="eastAsia" w:ascii="Times New Roman"/>
        </w:rPr>
        <w:t>系统</w:t>
      </w:r>
      <w:r>
        <w:rPr>
          <w:rStyle w:val="32"/>
          <w:rFonts w:ascii="Times New Roman"/>
        </w:rPr>
        <w:t>创新</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_Toc201072223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43BC7DE8">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"_Toc201072224" </w:instrText>
      </w:r>
      <w:r>
        <w:fldChar w:fldCharType="separate"/>
      </w:r>
      <w:r>
        <w:rPr>
          <w:rStyle w:val="32"/>
          <w:rFonts w:ascii="Times New Roman"/>
        </w:rPr>
        <w:t>5  景观设计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_Toc201072224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4734B3EC">
      <w:pPr>
        <w:pStyle w:val="24"/>
        <w:rPr>
          <w:rFonts w:ascii="Times New Roman" w:hAnsi="Times New Roman" w:eastAsiaTheme="minorEastAsia"/>
          <w:sz w:val="22"/>
          <w:szCs w:val="24"/>
          <w14:ligatures w14:val="standardContextual"/>
        </w:rPr>
      </w:pPr>
      <w:r>
        <w:fldChar w:fldCharType="begin"/>
      </w:r>
      <w:r>
        <w:instrText xml:space="preserve"> HYPERLINK \l "_Toc201072225" </w:instrText>
      </w:r>
      <w:r>
        <w:fldChar w:fldCharType="separate"/>
      </w:r>
      <w:r>
        <w:rPr>
          <w:rStyle w:val="32"/>
          <w:rFonts w:ascii="Times New Roman"/>
          <w14:scene3d>
            <w14:lightRig w14:rig="threePt" w14:dir="t">
              <w14:rot w14:lat="0" w14:lon="0" w14:rev="0"/>
            </w14:lightRig>
          </w14:scene3d>
        </w:rPr>
        <w:t xml:space="preserve">5.1 </w:t>
      </w:r>
      <w:r>
        <w:rPr>
          <w:rStyle w:val="32"/>
          <w:rFonts w:ascii="Times New Roman"/>
        </w:rPr>
        <w:t xml:space="preserve"> 地形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_Toc201072225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6763AFF9">
      <w:pPr>
        <w:pStyle w:val="24"/>
        <w:rPr>
          <w:rFonts w:ascii="Times New Roman" w:hAnsi="Times New Roman" w:eastAsiaTheme="minorEastAsia"/>
          <w:sz w:val="22"/>
          <w:szCs w:val="24"/>
          <w14:ligatures w14:val="standardContextual"/>
        </w:rPr>
      </w:pPr>
      <w:r>
        <w:fldChar w:fldCharType="begin"/>
      </w:r>
      <w:r>
        <w:instrText xml:space="preserve"> HYPERLINK \l "_Toc201072226" </w:instrText>
      </w:r>
      <w:r>
        <w:fldChar w:fldCharType="separate"/>
      </w:r>
      <w:r>
        <w:rPr>
          <w:rStyle w:val="32"/>
          <w:rFonts w:ascii="Times New Roman"/>
          <w14:scene3d>
            <w14:lightRig w14:rig="threePt" w14:dir="t">
              <w14:rot w14:lat="0" w14:lon="0" w14:rev="0"/>
            </w14:lightRig>
          </w14:scene3d>
        </w:rPr>
        <w:t xml:space="preserve">5.2 </w:t>
      </w:r>
      <w:r>
        <w:rPr>
          <w:rStyle w:val="32"/>
          <w:rFonts w:ascii="Times New Roman"/>
        </w:rPr>
        <w:t xml:space="preserve"> 水体</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_Toc201072226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1F8BCCA2">
      <w:pPr>
        <w:pStyle w:val="24"/>
        <w:rPr>
          <w:rFonts w:ascii="Times New Roman" w:hAnsi="Times New Roman" w:eastAsiaTheme="minorEastAsia"/>
          <w:sz w:val="22"/>
          <w:szCs w:val="24"/>
          <w14:ligatures w14:val="standardContextual"/>
        </w:rPr>
      </w:pPr>
      <w:r>
        <w:fldChar w:fldCharType="begin"/>
      </w:r>
      <w:r>
        <w:instrText xml:space="preserve"> HYPERLINK \l "_Toc201072227" </w:instrText>
      </w:r>
      <w:r>
        <w:fldChar w:fldCharType="separate"/>
      </w:r>
      <w:r>
        <w:rPr>
          <w:rStyle w:val="32"/>
          <w:rFonts w:ascii="Times New Roman"/>
          <w14:scene3d>
            <w14:lightRig w14:rig="threePt" w14:dir="t">
              <w14:rot w14:lat="0" w14:lon="0" w14:rev="0"/>
            </w14:lightRig>
          </w14:scene3d>
        </w:rPr>
        <w:t xml:space="preserve">5.3 </w:t>
      </w:r>
      <w:r>
        <w:rPr>
          <w:rStyle w:val="32"/>
          <w:rFonts w:ascii="Times New Roman"/>
        </w:rPr>
        <w:t xml:space="preserve"> 道路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_Toc201072227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4A519058">
      <w:pPr>
        <w:pStyle w:val="24"/>
        <w:rPr>
          <w:rFonts w:ascii="Times New Roman" w:hAnsi="Times New Roman" w:eastAsiaTheme="minorEastAsia"/>
          <w:sz w:val="22"/>
          <w:szCs w:val="24"/>
          <w14:ligatures w14:val="standardContextual"/>
        </w:rPr>
      </w:pPr>
      <w:r>
        <w:fldChar w:fldCharType="begin"/>
      </w:r>
      <w:r>
        <w:instrText xml:space="preserve"> HYPERLINK \l "_Toc201072228" </w:instrText>
      </w:r>
      <w:r>
        <w:fldChar w:fldCharType="separate"/>
      </w:r>
      <w:r>
        <w:rPr>
          <w:rStyle w:val="32"/>
          <w:rFonts w:ascii="Times New Roman"/>
          <w14:scene3d>
            <w14:lightRig w14:rig="threePt" w14:dir="t">
              <w14:rot w14:lat="0" w14:lon="0" w14:rev="0"/>
            </w14:lightRig>
          </w14:scene3d>
        </w:rPr>
        <w:t xml:space="preserve">5.4 </w:t>
      </w:r>
      <w:r>
        <w:rPr>
          <w:rStyle w:val="32"/>
          <w:rFonts w:ascii="Times New Roman"/>
        </w:rPr>
        <w:t xml:space="preserve"> 广场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_Toc201072228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5CB2927D">
      <w:pPr>
        <w:pStyle w:val="24"/>
        <w:rPr>
          <w:rFonts w:ascii="Times New Roman" w:hAnsi="Times New Roman" w:eastAsiaTheme="minorEastAsia"/>
          <w:sz w:val="22"/>
          <w:szCs w:val="24"/>
          <w14:ligatures w14:val="standardContextual"/>
        </w:rPr>
      </w:pPr>
      <w:r>
        <w:fldChar w:fldCharType="begin"/>
      </w:r>
      <w:r>
        <w:instrText xml:space="preserve"> HYPERLINK \l "_Toc201072229" </w:instrText>
      </w:r>
      <w:r>
        <w:fldChar w:fldCharType="separate"/>
      </w:r>
      <w:r>
        <w:rPr>
          <w:rStyle w:val="32"/>
          <w:rFonts w:ascii="Times New Roman"/>
          <w14:scene3d>
            <w14:lightRig w14:rig="threePt" w14:dir="t">
              <w14:rot w14:lat="0" w14:lon="0" w14:rev="0"/>
            </w14:lightRig>
          </w14:scene3d>
        </w:rPr>
        <w:t xml:space="preserve">5.5 </w:t>
      </w:r>
      <w:r>
        <w:rPr>
          <w:rStyle w:val="32"/>
          <w:rFonts w:ascii="Times New Roman"/>
        </w:rPr>
        <w:t xml:space="preserve"> 园林建筑和小品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_Toc201072229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7AB72ECA">
      <w:pPr>
        <w:pStyle w:val="24"/>
        <w:rPr>
          <w:rFonts w:ascii="Times New Roman" w:hAnsi="Times New Roman" w:eastAsiaTheme="minorEastAsia"/>
          <w:sz w:val="22"/>
          <w:szCs w:val="24"/>
          <w14:ligatures w14:val="standardContextual"/>
        </w:rPr>
      </w:pPr>
      <w:r>
        <w:fldChar w:fldCharType="begin"/>
      </w:r>
      <w:r>
        <w:instrText xml:space="preserve"> HYPERLINK \l "_Toc201072230" </w:instrText>
      </w:r>
      <w:r>
        <w:fldChar w:fldCharType="separate"/>
      </w:r>
      <w:r>
        <w:rPr>
          <w:rStyle w:val="32"/>
          <w:rFonts w:ascii="Times New Roman"/>
          <w14:scene3d>
            <w14:lightRig w14:rig="threePt" w14:dir="t">
              <w14:rot w14:lat="0" w14:lon="0" w14:rev="0"/>
            </w14:lightRig>
          </w14:scene3d>
        </w:rPr>
        <w:t xml:space="preserve">5.6 </w:t>
      </w:r>
      <w:r>
        <w:rPr>
          <w:rStyle w:val="32"/>
          <w:rFonts w:ascii="Times New Roman"/>
        </w:rPr>
        <w:t xml:space="preserve"> 停车场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_Toc201072230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4A233D4F">
      <w:pPr>
        <w:pStyle w:val="24"/>
        <w:rPr>
          <w:rFonts w:ascii="Times New Roman" w:hAnsi="Times New Roman" w:eastAsiaTheme="minorEastAsia"/>
          <w:sz w:val="22"/>
          <w:szCs w:val="24"/>
          <w14:ligatures w14:val="standardContextual"/>
        </w:rPr>
      </w:pPr>
      <w:r>
        <w:fldChar w:fldCharType="begin"/>
      </w:r>
      <w:r>
        <w:instrText xml:space="preserve"> HYPERLINK \l "_Toc201072231" </w:instrText>
      </w:r>
      <w:r>
        <w:fldChar w:fldCharType="separate"/>
      </w:r>
      <w:r>
        <w:rPr>
          <w:rStyle w:val="32"/>
          <w:rFonts w:ascii="Times New Roman"/>
          <w14:scene3d>
            <w14:lightRig w14:rig="threePt" w14:dir="t">
              <w14:rot w14:lat="0" w14:lon="0" w14:rev="0"/>
            </w14:lightRig>
          </w14:scene3d>
        </w:rPr>
        <w:t xml:space="preserve">5.7 </w:t>
      </w:r>
      <w:r>
        <w:rPr>
          <w:rStyle w:val="32"/>
          <w:rFonts w:ascii="Times New Roman"/>
        </w:rPr>
        <w:t xml:space="preserve"> 照明</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_Toc201072231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09265A1B">
      <w:pPr>
        <w:pStyle w:val="24"/>
        <w:rPr>
          <w:rFonts w:ascii="Times New Roman" w:hAnsi="Times New Roman" w:eastAsiaTheme="minorEastAsia"/>
          <w:sz w:val="22"/>
          <w:szCs w:val="24"/>
          <w14:ligatures w14:val="standardContextual"/>
        </w:rPr>
      </w:pPr>
      <w:r>
        <w:fldChar w:fldCharType="begin"/>
      </w:r>
      <w:r>
        <w:instrText xml:space="preserve"> HYPERLINK \l "_Toc201072232" </w:instrText>
      </w:r>
      <w:r>
        <w:fldChar w:fldCharType="separate"/>
      </w:r>
      <w:r>
        <w:rPr>
          <w:rStyle w:val="32"/>
          <w:rFonts w:ascii="Times New Roman"/>
          <w14:scene3d>
            <w14:lightRig w14:rig="threePt" w14:dir="t">
              <w14:rot w14:lat="0" w14:lon="0" w14:rev="0"/>
            </w14:lightRig>
          </w14:scene3d>
        </w:rPr>
        <w:t xml:space="preserve">5.8 </w:t>
      </w:r>
      <w:r>
        <w:rPr>
          <w:rStyle w:val="32"/>
          <w:rFonts w:ascii="Times New Roman"/>
        </w:rPr>
        <w:t xml:space="preserve"> 无障碍通道与设施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_Toc201072232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3D13A76A">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"_Toc201072233" </w:instrText>
      </w:r>
      <w:r>
        <w:fldChar w:fldCharType="separate"/>
      </w:r>
      <w:r>
        <w:rPr>
          <w:rStyle w:val="32"/>
          <w:rFonts w:ascii="Times New Roman"/>
        </w:rPr>
        <w:t>6  植物布局与配置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_Toc201072233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731DD4C3">
      <w:pPr>
        <w:pStyle w:val="24"/>
        <w:rPr>
          <w:rFonts w:ascii="Times New Roman" w:hAnsi="Times New Roman" w:eastAsiaTheme="minorEastAsia"/>
          <w:sz w:val="22"/>
          <w:szCs w:val="24"/>
          <w14:ligatures w14:val="standardContextual"/>
        </w:rPr>
      </w:pPr>
      <w:r>
        <w:fldChar w:fldCharType="begin"/>
      </w:r>
      <w:r>
        <w:instrText xml:space="preserve"> HYPERLINK \l "_Toc201072234" </w:instrText>
      </w:r>
      <w:r>
        <w:fldChar w:fldCharType="separate"/>
      </w:r>
      <w:r>
        <w:rPr>
          <w:rStyle w:val="32"/>
          <w:rFonts w:ascii="Times New Roman"/>
          <w14:scene3d>
            <w14:lightRig w14:rig="threePt" w14:dir="t">
              <w14:rot w14:lat="0" w14:lon="0" w14:rev="0"/>
            </w14:lightRig>
          </w14:scene3d>
        </w:rPr>
        <w:t xml:space="preserve">6.1 </w:t>
      </w:r>
      <w:r>
        <w:rPr>
          <w:rStyle w:val="32"/>
          <w:rFonts w:ascii="Times New Roman"/>
        </w:rPr>
        <w:t xml:space="preserve"> 绿地系统指标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_Toc201072234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3E35BBDE">
      <w:pPr>
        <w:pStyle w:val="24"/>
        <w:rPr>
          <w:rFonts w:ascii="Times New Roman" w:hAnsi="Times New Roman" w:eastAsiaTheme="minorEastAsia"/>
          <w:sz w:val="22"/>
          <w:szCs w:val="24"/>
          <w14:ligatures w14:val="standardContextual"/>
        </w:rPr>
      </w:pPr>
      <w:r>
        <w:fldChar w:fldCharType="begin"/>
      </w:r>
      <w:r>
        <w:instrText xml:space="preserve"> HYPERLINK \l "_Toc201072235" </w:instrText>
      </w:r>
      <w:r>
        <w:fldChar w:fldCharType="separate"/>
      </w:r>
      <w:r>
        <w:rPr>
          <w:rStyle w:val="32"/>
          <w:rFonts w:ascii="Times New Roman"/>
          <w14:scene3d>
            <w14:lightRig w14:rig="threePt" w14:dir="t">
              <w14:rot w14:lat="0" w14:lon="0" w14:rev="0"/>
            </w14:lightRig>
          </w14:scene3d>
        </w:rPr>
        <w:t xml:space="preserve">6.2 </w:t>
      </w:r>
      <w:r>
        <w:rPr>
          <w:rStyle w:val="32"/>
          <w:rFonts w:ascii="Times New Roman"/>
        </w:rPr>
        <w:t xml:space="preserve"> 配置要求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_Toc201072235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2E8A611D">
      <w:pPr>
        <w:pStyle w:val="24"/>
        <w:rPr>
          <w:rFonts w:ascii="Times New Roman" w:hAnsi="Times New Roman" w:eastAsiaTheme="minorEastAsia"/>
          <w:sz w:val="22"/>
          <w:szCs w:val="24"/>
          <w14:ligatures w14:val="standardContextual"/>
        </w:rPr>
      </w:pPr>
      <w:r>
        <w:fldChar w:fldCharType="begin"/>
      </w:r>
      <w:r>
        <w:instrText xml:space="preserve"> HYPERLINK \l "_Toc201072236" </w:instrText>
      </w:r>
      <w:r>
        <w:fldChar w:fldCharType="separate"/>
      </w:r>
      <w:r>
        <w:rPr>
          <w:rStyle w:val="32"/>
          <w:rFonts w:ascii="Times New Roman"/>
          <w14:scene3d>
            <w14:lightRig w14:rig="threePt" w14:dir="t">
              <w14:rot w14:lat="0" w14:lon="0" w14:rev="0"/>
            </w14:lightRig>
          </w14:scene3d>
        </w:rPr>
        <w:t xml:space="preserve">6.3 </w:t>
      </w:r>
      <w:r>
        <w:rPr>
          <w:rStyle w:val="32"/>
          <w:rFonts w:ascii="Times New Roman"/>
        </w:rPr>
        <w:t xml:space="preserve"> 各区植物配置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_Toc201072236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71B6301F">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"_Toc201072237" </w:instrText>
      </w:r>
      <w:r>
        <w:fldChar w:fldCharType="separate"/>
      </w:r>
      <w:r>
        <w:rPr>
          <w:rStyle w:val="32"/>
          <w:rFonts w:ascii="Times New Roman"/>
        </w:rPr>
        <w:t>7  生态建筑</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_Toc201072237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70F7898E">
      <w:pPr>
        <w:pStyle w:val="24"/>
        <w:rPr>
          <w:rFonts w:ascii="Times New Roman" w:hAnsi="Times New Roman" w:eastAsiaTheme="minorEastAsia"/>
          <w:sz w:val="22"/>
          <w:szCs w:val="24"/>
          <w14:ligatures w14:val="standardContextual"/>
        </w:rPr>
      </w:pPr>
      <w:r>
        <w:fldChar w:fldCharType="begin"/>
      </w:r>
      <w:r>
        <w:instrText xml:space="preserve"> HYPERLINK \l "_Toc201072238" </w:instrText>
      </w:r>
      <w:r>
        <w:fldChar w:fldCharType="separate"/>
      </w:r>
      <w:r>
        <w:rPr>
          <w:rStyle w:val="32"/>
          <w:rFonts w:ascii="Times New Roman"/>
          <w14:scene3d>
            <w14:lightRig w14:rig="threePt" w14:dir="t">
              <w14:rot w14:lat="0" w14:lon="0" w14:rev="0"/>
            </w14:lightRig>
          </w14:scene3d>
        </w:rPr>
        <w:t xml:space="preserve">7.1 </w:t>
      </w:r>
      <w:r>
        <w:rPr>
          <w:rStyle w:val="32"/>
          <w:rFonts w:ascii="Times New Roman"/>
        </w:rPr>
        <w:t xml:space="preserve"> 建设原则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_Toc201072238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7B045D6F">
      <w:pPr>
        <w:pStyle w:val="24"/>
        <w:rPr>
          <w:rFonts w:ascii="Times New Roman" w:hAnsi="Times New Roman" w:eastAsiaTheme="minorEastAsia"/>
          <w:sz w:val="22"/>
          <w:szCs w:val="24"/>
          <w14:ligatures w14:val="standardContextual"/>
        </w:rPr>
      </w:pPr>
      <w:r>
        <w:fldChar w:fldCharType="begin"/>
      </w:r>
      <w:r>
        <w:instrText xml:space="preserve"> HYPERLINK \l "_Toc201072239" </w:instrText>
      </w:r>
      <w:r>
        <w:fldChar w:fldCharType="separate"/>
      </w:r>
      <w:r>
        <w:rPr>
          <w:rStyle w:val="32"/>
          <w:rFonts w:ascii="Times New Roman"/>
          <w14:scene3d>
            <w14:lightRig w14:rig="threePt" w14:dir="t">
              <w14:rot w14:lat="0" w14:lon="0" w14:rev="0"/>
            </w14:lightRig>
          </w14:scene3d>
        </w:rPr>
        <w:t xml:space="preserve">7.2 </w:t>
      </w:r>
      <w:r>
        <w:rPr>
          <w:rStyle w:val="32"/>
          <w:rFonts w:ascii="Times New Roman"/>
        </w:rPr>
        <w:t xml:space="preserve"> 规划</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_Toc201072239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79045C2B">
      <w:pPr>
        <w:pStyle w:val="24"/>
        <w:rPr>
          <w:rFonts w:ascii="Times New Roman" w:hAnsi="Times New Roman" w:eastAsiaTheme="minorEastAsia"/>
          <w:sz w:val="22"/>
          <w:szCs w:val="24"/>
          <w14:ligatures w14:val="standardContextual"/>
        </w:rPr>
      </w:pPr>
      <w:r>
        <w:fldChar w:fldCharType="begin"/>
      </w:r>
      <w:r>
        <w:instrText xml:space="preserve"> HYPERLINK \l "_Toc201072240" </w:instrText>
      </w:r>
      <w:r>
        <w:fldChar w:fldCharType="separate"/>
      </w:r>
      <w:r>
        <w:rPr>
          <w:rStyle w:val="32"/>
          <w:rFonts w:ascii="Times New Roman"/>
          <w14:scene3d>
            <w14:lightRig w14:rig="threePt" w14:dir="t">
              <w14:rot w14:lat="0" w14:lon="0" w14:rev="0"/>
            </w14:lightRig>
          </w14:scene3d>
        </w:rPr>
        <w:t xml:space="preserve">7.3 </w:t>
      </w:r>
      <w:r>
        <w:rPr>
          <w:rStyle w:val="32"/>
          <w:rFonts w:ascii="Times New Roman"/>
        </w:rPr>
        <w:t xml:space="preserve"> 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_Toc201072240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1F8B0B7A">
      <w:pPr>
        <w:pStyle w:val="24"/>
        <w:rPr>
          <w:rFonts w:ascii="Times New Roman" w:hAnsi="Times New Roman" w:eastAsiaTheme="minorEastAsia"/>
          <w:sz w:val="22"/>
          <w:szCs w:val="24"/>
          <w14:ligatures w14:val="standardContextual"/>
        </w:rPr>
      </w:pPr>
      <w:r>
        <w:fldChar w:fldCharType="begin"/>
      </w:r>
      <w:r>
        <w:instrText xml:space="preserve"> HYPERLINK \l "_Toc201072241" </w:instrText>
      </w:r>
      <w:r>
        <w:fldChar w:fldCharType="separate"/>
      </w:r>
      <w:r>
        <w:rPr>
          <w:rStyle w:val="32"/>
          <w:rFonts w:ascii="Times New Roman"/>
          <w14:scene3d>
            <w14:lightRig w14:rig="threePt" w14:dir="t">
              <w14:rot w14:lat="0" w14:lon="0" w14:rev="0"/>
            </w14:lightRig>
          </w14:scene3d>
        </w:rPr>
        <w:t xml:space="preserve">7.4 </w:t>
      </w:r>
      <w:r>
        <w:rPr>
          <w:rStyle w:val="32"/>
          <w:rFonts w:ascii="Times New Roman"/>
        </w:rPr>
        <w:t xml:space="preserve"> 工程施工、监理及验收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_Toc201072241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5B105FCF">
      <w:pPr>
        <w:pStyle w:val="24"/>
        <w:rPr>
          <w:rFonts w:ascii="Times New Roman" w:hAnsi="Times New Roman" w:eastAsiaTheme="minorEastAsia"/>
          <w:sz w:val="22"/>
          <w:szCs w:val="24"/>
          <w14:ligatures w14:val="standardContextual"/>
        </w:rPr>
      </w:pPr>
      <w:r>
        <w:fldChar w:fldCharType="begin"/>
      </w:r>
      <w:r>
        <w:instrText xml:space="preserve"> HYPERLINK \l "_Toc201072242" </w:instrText>
      </w:r>
      <w:r>
        <w:fldChar w:fldCharType="separate"/>
      </w:r>
      <w:r>
        <w:rPr>
          <w:rStyle w:val="32"/>
          <w:rFonts w:ascii="Times New Roman"/>
          <w14:scene3d>
            <w14:lightRig w14:rig="threePt" w14:dir="t">
              <w14:rot w14:lat="0" w14:lon="0" w14:rev="0"/>
            </w14:lightRig>
          </w14:scene3d>
        </w:rPr>
        <w:t xml:space="preserve">7.5 </w:t>
      </w:r>
      <w:r>
        <w:rPr>
          <w:rStyle w:val="32"/>
          <w:rFonts w:ascii="Times New Roman"/>
        </w:rPr>
        <w:t xml:space="preserve"> 设备系统运行维护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_Toc201072242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6550B1BB">
      <w:pPr>
        <w:pStyle w:val="24"/>
        <w:rPr>
          <w:rFonts w:ascii="Times New Roman" w:hAnsi="Times New Roman" w:eastAsiaTheme="minorEastAsia"/>
          <w:sz w:val="22"/>
          <w:szCs w:val="24"/>
          <w14:ligatures w14:val="standardContextual"/>
        </w:rPr>
      </w:pPr>
      <w:r>
        <w:fldChar w:fldCharType="begin"/>
      </w:r>
      <w:r>
        <w:instrText xml:space="preserve"> HYPERLINK \l "_Toc201072243" </w:instrText>
      </w:r>
      <w:r>
        <w:fldChar w:fldCharType="separate"/>
      </w:r>
      <w:r>
        <w:rPr>
          <w:rStyle w:val="32"/>
          <w:rFonts w:ascii="Times New Roman"/>
          <w14:scene3d>
            <w14:lightRig w14:rig="threePt" w14:dir="t">
              <w14:rot w14:lat="0" w14:lon="0" w14:rev="0"/>
            </w14:lightRig>
          </w14:scene3d>
        </w:rPr>
        <w:t xml:space="preserve">7.6 </w:t>
      </w:r>
      <w:r>
        <w:rPr>
          <w:rStyle w:val="32"/>
          <w:rFonts w:ascii="Times New Roman"/>
        </w:rPr>
        <w:t xml:space="preserve"> 建筑节能措施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_Toc201072243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71AF92D1">
      <w:pPr>
        <w:pStyle w:val="24"/>
        <w:rPr>
          <w:rFonts w:ascii="Times New Roman" w:hAnsi="Times New Roman" w:eastAsiaTheme="minorEastAsia"/>
          <w:sz w:val="22"/>
          <w:szCs w:val="24"/>
          <w14:ligatures w14:val="standardContextual"/>
        </w:rPr>
      </w:pPr>
      <w:r>
        <w:fldChar w:fldCharType="begin"/>
      </w:r>
      <w:r>
        <w:instrText xml:space="preserve"> HYPERLINK \l "_Toc201072244" </w:instrText>
      </w:r>
      <w:r>
        <w:fldChar w:fldCharType="separate"/>
      </w:r>
      <w:r>
        <w:rPr>
          <w:rStyle w:val="32"/>
          <w:rFonts w:ascii="Times New Roman"/>
          <w14:scene3d>
            <w14:lightRig w14:rig="threePt" w14:dir="t">
              <w14:rot w14:lat="0" w14:lon="0" w14:rev="0"/>
            </w14:lightRig>
          </w14:scene3d>
        </w:rPr>
        <w:t xml:space="preserve">7.7 </w:t>
      </w:r>
      <w:r>
        <w:rPr>
          <w:rStyle w:val="32"/>
          <w:rFonts w:ascii="Times New Roman"/>
        </w:rPr>
        <w:t xml:space="preserve"> 废水及雨水处理措施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_Toc201072244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67604B19">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"_Toc201072245" </w:instrText>
      </w:r>
      <w:r>
        <w:fldChar w:fldCharType="separate"/>
      </w:r>
      <w:r>
        <w:rPr>
          <w:rStyle w:val="32"/>
          <w:rFonts w:ascii="Times New Roman"/>
        </w:rPr>
        <w:t>8  生态文化教育及宣传</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_Toc201072245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1B169645">
      <w:pPr>
        <w:pStyle w:val="24"/>
        <w:rPr>
          <w:rFonts w:ascii="Times New Roman" w:hAnsi="Times New Roman" w:eastAsiaTheme="minorEastAsia"/>
          <w:sz w:val="22"/>
          <w:szCs w:val="24"/>
          <w14:ligatures w14:val="standardContextual"/>
        </w:rPr>
      </w:pPr>
      <w:r>
        <w:fldChar w:fldCharType="begin"/>
      </w:r>
      <w:r>
        <w:instrText xml:space="preserve"> HYPERLINK \l "_Toc201072246" </w:instrText>
      </w:r>
      <w:r>
        <w:fldChar w:fldCharType="separate"/>
      </w:r>
      <w:r>
        <w:rPr>
          <w:rStyle w:val="32"/>
          <w:rFonts w:ascii="Times New Roman"/>
          <w14:scene3d>
            <w14:lightRig w14:rig="threePt" w14:dir="t">
              <w14:rot w14:lat="0" w14:lon="0" w14:rev="0"/>
            </w14:lightRig>
          </w14:scene3d>
        </w:rPr>
        <w:t xml:space="preserve">8.1 </w:t>
      </w:r>
      <w:r>
        <w:rPr>
          <w:rStyle w:val="32"/>
          <w:rFonts w:ascii="Times New Roman"/>
        </w:rPr>
        <w:t xml:space="preserve"> 教育内容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_Toc201072246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12E1B581">
      <w:pPr>
        <w:pStyle w:val="24"/>
        <w:rPr>
          <w:rFonts w:ascii="Times New Roman" w:hAnsi="Times New Roman" w:eastAsiaTheme="minorEastAsia"/>
          <w:sz w:val="22"/>
          <w:szCs w:val="24"/>
          <w14:ligatures w14:val="standardContextual"/>
        </w:rPr>
      </w:pPr>
      <w:r>
        <w:fldChar w:fldCharType="begin"/>
      </w:r>
      <w:r>
        <w:instrText xml:space="preserve"> HYPERLINK \l "_Toc201072247" </w:instrText>
      </w:r>
      <w:r>
        <w:fldChar w:fldCharType="separate"/>
      </w:r>
      <w:r>
        <w:rPr>
          <w:rStyle w:val="32"/>
          <w:rFonts w:ascii="Times New Roman"/>
          <w14:scene3d>
            <w14:lightRig w14:rig="threePt" w14:dir="t">
              <w14:rot w14:lat="0" w14:lon="0" w14:rev="0"/>
            </w14:lightRig>
          </w14:scene3d>
        </w:rPr>
        <w:t xml:space="preserve">8.2 </w:t>
      </w:r>
      <w:r>
        <w:rPr>
          <w:rStyle w:val="32"/>
          <w:rFonts w:ascii="Times New Roman"/>
        </w:rPr>
        <w:t xml:space="preserve"> 教育方法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_Toc201072247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14:paraId="7CD5613E">
      <w:pPr>
        <w:pStyle w:val="24"/>
        <w:rPr>
          <w:rFonts w:ascii="Times New Roman" w:hAnsi="Times New Roman" w:eastAsiaTheme="minorEastAsia"/>
          <w:sz w:val="22"/>
          <w:szCs w:val="24"/>
          <w14:ligatures w14:val="standardContextual"/>
        </w:rPr>
      </w:pPr>
      <w:r>
        <w:fldChar w:fldCharType="begin"/>
      </w:r>
      <w:r>
        <w:instrText xml:space="preserve"> HYPERLINK \l "_Toc201072248" </w:instrText>
      </w:r>
      <w:r>
        <w:fldChar w:fldCharType="separate"/>
      </w:r>
      <w:r>
        <w:rPr>
          <w:rStyle w:val="32"/>
          <w:rFonts w:ascii="Times New Roman"/>
          <w14:scene3d>
            <w14:lightRig w14:rig="threePt" w14:dir="t">
              <w14:rot w14:lat="0" w14:lon="0" w14:rev="0"/>
            </w14:lightRig>
          </w14:scene3d>
        </w:rPr>
        <w:t xml:space="preserve">8.3 </w:t>
      </w:r>
      <w:r>
        <w:rPr>
          <w:rStyle w:val="32"/>
          <w:rFonts w:ascii="Times New Roman"/>
        </w:rPr>
        <w:t xml:space="preserve"> 生态文化宣传</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_Toc201072248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14:paraId="7DFB542C">
      <w:pPr>
        <w:pStyle w:val="24"/>
        <w:rPr>
          <w:rFonts w:ascii="Times New Roman" w:hAnsi="Times New Roman" w:eastAsiaTheme="minorEastAsia"/>
          <w:sz w:val="22"/>
          <w:szCs w:val="24"/>
          <w14:ligatures w14:val="standardContextual"/>
        </w:rPr>
      </w:pPr>
      <w:r>
        <w:fldChar w:fldCharType="begin"/>
      </w:r>
      <w:r>
        <w:instrText xml:space="preserve"> HYPERLINK \l "_Toc201072249" </w:instrText>
      </w:r>
      <w:r>
        <w:fldChar w:fldCharType="separate"/>
      </w:r>
      <w:r>
        <w:rPr>
          <w:rStyle w:val="32"/>
          <w:rFonts w:ascii="Times New Roman"/>
          <w14:scene3d>
            <w14:lightRig w14:rig="threePt" w14:dir="t">
              <w14:rot w14:lat="0" w14:lon="0" w14:rev="0"/>
            </w14:lightRig>
          </w14:scene3d>
        </w:rPr>
        <w:t xml:space="preserve">8.4 </w:t>
      </w:r>
      <w:r>
        <w:rPr>
          <w:rStyle w:val="32"/>
          <w:rFonts w:ascii="Times New Roman"/>
        </w:rPr>
        <w:t xml:space="preserve"> 生态校园制度建设</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_Toc201072249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14:paraId="5960D7C4">
      <w:pPr>
        <w:pStyle w:val="24"/>
        <w:rPr>
          <w:rFonts w:ascii="Times New Roman" w:hAnsi="Times New Roman" w:eastAsiaTheme="minorEastAsia"/>
          <w:sz w:val="22"/>
          <w:szCs w:val="24"/>
          <w14:ligatures w14:val="standardContextual"/>
        </w:rPr>
      </w:pPr>
      <w:r>
        <w:fldChar w:fldCharType="begin"/>
      </w:r>
      <w:r>
        <w:instrText xml:space="preserve"> HYPERLINK \l "_Toc201072250" </w:instrText>
      </w:r>
      <w:r>
        <w:fldChar w:fldCharType="separate"/>
      </w:r>
      <w:r>
        <w:rPr>
          <w:rStyle w:val="32"/>
          <w:rFonts w:ascii="Times New Roman"/>
          <w14:scene3d>
            <w14:lightRig w14:rig="threePt" w14:dir="t">
              <w14:rot w14:lat="0" w14:lon="0" w14:rev="0"/>
            </w14:lightRig>
          </w14:scene3d>
        </w:rPr>
        <w:t xml:space="preserve">8.5 </w:t>
      </w:r>
      <w:r>
        <w:rPr>
          <w:rStyle w:val="32"/>
          <w:rFonts w:ascii="Times New Roman"/>
        </w:rPr>
        <w:t xml:space="preserve"> 校园道路、建筑物及景点命名</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_Toc201072250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14:paraId="0832FDE6">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"_Toc201072251" </w:instrText>
      </w:r>
      <w:r>
        <w:fldChar w:fldCharType="separate"/>
      </w:r>
      <w:r>
        <w:rPr>
          <w:rStyle w:val="32"/>
          <w:rFonts w:ascii="Times New Roman"/>
        </w:rPr>
        <w:t>9  景观维护管理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_Toc201072251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14:paraId="0CBB44B6">
      <w:pPr>
        <w:pStyle w:val="24"/>
        <w:rPr>
          <w:rFonts w:ascii="Times New Roman" w:hAnsi="Times New Roman" w:eastAsiaTheme="minorEastAsia"/>
          <w:sz w:val="22"/>
          <w:szCs w:val="24"/>
          <w14:ligatures w14:val="standardContextual"/>
        </w:rPr>
      </w:pPr>
      <w:r>
        <w:fldChar w:fldCharType="begin"/>
      </w:r>
      <w:r>
        <w:instrText xml:space="preserve"> HYPERLINK \l "_Toc201072252" </w:instrText>
      </w:r>
      <w:r>
        <w:fldChar w:fldCharType="separate"/>
      </w:r>
      <w:r>
        <w:rPr>
          <w:rStyle w:val="32"/>
          <w:rFonts w:ascii="Times New Roman"/>
          <w14:scene3d>
            <w14:lightRig w14:rig="threePt" w14:dir="t">
              <w14:rot w14:lat="0" w14:lon="0" w14:rev="0"/>
            </w14:lightRig>
          </w14:scene3d>
        </w:rPr>
        <w:t xml:space="preserve">9.1 </w:t>
      </w:r>
      <w:r>
        <w:rPr>
          <w:rStyle w:val="32"/>
          <w:rFonts w:ascii="Times New Roman"/>
        </w:rPr>
        <w:t xml:space="preserve"> 景观维护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_Toc201072252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14:paraId="4AFACA43">
      <w:pPr>
        <w:pStyle w:val="24"/>
        <w:rPr>
          <w:rFonts w:ascii="Times New Roman" w:hAnsi="Times New Roman"/>
        </w:rPr>
      </w:pPr>
      <w:r>
        <w:fldChar w:fldCharType="begin"/>
      </w:r>
      <w:r>
        <w:instrText xml:space="preserve"> HYPERLINK \l "_Toc201072253" </w:instrText>
      </w:r>
      <w:r>
        <w:fldChar w:fldCharType="separate"/>
      </w:r>
      <w:r>
        <w:rPr>
          <w:rStyle w:val="32"/>
          <w:rFonts w:ascii="Times New Roman"/>
          <w14:scene3d>
            <w14:lightRig w14:rig="threePt" w14:dir="t">
              <w14:rot w14:lat="0" w14:lon="0" w14:rev="0"/>
            </w14:lightRig>
          </w14:scene3d>
        </w:rPr>
        <w:t xml:space="preserve">9.2 </w:t>
      </w:r>
      <w:r>
        <w:rPr>
          <w:rStyle w:val="32"/>
          <w:rFonts w:ascii="Times New Roman"/>
        </w:rPr>
        <w:t xml:space="preserve"> 绿化维护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_Toc201072253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14:paraId="6894F0BD">
      <w:pPr>
        <w:pStyle w:val="19"/>
        <w:tabs>
          <w:tab w:val="right" w:leader="dot" w:pos="9344"/>
        </w:tabs>
        <w:rPr>
          <w:rFonts w:ascii="Times New Roman" w:hAnsi="Times New Roman"/>
          <w:sz w:val="22"/>
          <w:szCs w:val="24"/>
          <w14:ligatures w14:val="standardContextual"/>
        </w:rPr>
      </w:pPr>
      <w:r>
        <w:fldChar w:fldCharType="begin"/>
      </w:r>
      <w:r>
        <w:instrText xml:space="preserve"> HYPERLINK \l "_Toc201072251" </w:instrText>
      </w:r>
      <w:r>
        <w:fldChar w:fldCharType="separate"/>
      </w:r>
      <w:r>
        <w:rPr>
          <w:rStyle w:val="32"/>
          <w:rFonts w:ascii="Times New Roman"/>
        </w:rPr>
        <w:t xml:space="preserve">10 </w:t>
      </w:r>
      <w:r>
        <w:rPr>
          <w:rFonts w:ascii="Times New Roman" w:hAnsi="Times New Roman"/>
        </w:rPr>
        <w:t>资料档案管理</w:t>
      </w:r>
      <w:r>
        <w:rPr>
          <w:rFonts w:ascii="Times New Roman" w:hAnsi="Times New Roman"/>
        </w:rPr>
        <w:tab/>
      </w:r>
      <w:r>
        <w:rPr>
          <w:rFonts w:ascii="Times New Roman" w:hAnsi="Times New Roman"/>
        </w:rPr>
        <w:t>1</w:t>
      </w:r>
      <w:r>
        <w:rPr>
          <w:rFonts w:ascii="Times New Roman" w:hAnsi="Times New Roman"/>
        </w:rPr>
        <w:fldChar w:fldCharType="end"/>
      </w:r>
      <w:r>
        <w:rPr>
          <w:rFonts w:ascii="Times New Roman" w:hAnsi="Times New Roman"/>
        </w:rPr>
        <w:t>2</w:t>
      </w:r>
    </w:p>
    <w:p w14:paraId="75AE9AAC">
      <w:pPr>
        <w:pStyle w:val="24"/>
        <w:rPr>
          <w:rStyle w:val="32"/>
          <w:rFonts w:ascii="Times New Roman"/>
        </w:rPr>
      </w:pPr>
      <w:r>
        <w:fldChar w:fldCharType="begin"/>
      </w:r>
      <w:r>
        <w:instrText xml:space="preserve"> HYPERLINK \l "_Toc201072252" </w:instrText>
      </w:r>
      <w:r>
        <w:fldChar w:fldCharType="separate"/>
      </w:r>
      <w:r>
        <w:rPr>
          <w:rStyle w:val="32"/>
          <w:rFonts w:ascii="Times New Roman"/>
        </w:rPr>
        <w:t>10.1  总体要求</w:t>
      </w:r>
      <w:r>
        <w:rPr>
          <w:rStyle w:val="32"/>
          <w:rFonts w:ascii="Times New Roman"/>
        </w:rPr>
        <w:tab/>
      </w:r>
      <w:r>
        <w:rPr>
          <w:rStyle w:val="32"/>
          <w:rFonts w:ascii="Times New Roman"/>
        </w:rPr>
        <w:t>1</w:t>
      </w:r>
      <w:r>
        <w:rPr>
          <w:rStyle w:val="32"/>
          <w:rFonts w:ascii="Times New Roman"/>
        </w:rPr>
        <w:fldChar w:fldCharType="end"/>
      </w:r>
      <w:r>
        <w:rPr>
          <w:rStyle w:val="32"/>
          <w:rFonts w:ascii="Times New Roman"/>
        </w:rPr>
        <w:t>2</w:t>
      </w:r>
    </w:p>
    <w:p w14:paraId="3F9249FD">
      <w:pPr>
        <w:pStyle w:val="24"/>
        <w:rPr>
          <w:rStyle w:val="32"/>
          <w:rFonts w:ascii="Times New Roman"/>
        </w:rPr>
      </w:pPr>
      <w:r>
        <w:fldChar w:fldCharType="begin"/>
      </w:r>
      <w:r>
        <w:instrText xml:space="preserve"> HYPERLINK \l "_Toc201072253" </w:instrText>
      </w:r>
      <w:r>
        <w:fldChar w:fldCharType="separate"/>
      </w:r>
      <w:r>
        <w:rPr>
          <w:rStyle w:val="32"/>
          <w:rFonts w:ascii="Times New Roman"/>
        </w:rPr>
        <w:t>10.2  管理职责</w:t>
      </w:r>
      <w:r>
        <w:rPr>
          <w:rStyle w:val="32"/>
          <w:rFonts w:ascii="Times New Roman"/>
        </w:rPr>
        <w:tab/>
      </w:r>
      <w:r>
        <w:rPr>
          <w:rStyle w:val="32"/>
          <w:rFonts w:ascii="Times New Roman"/>
        </w:rPr>
        <w:t>1</w:t>
      </w:r>
      <w:r>
        <w:rPr>
          <w:rStyle w:val="32"/>
          <w:rFonts w:ascii="Times New Roman"/>
        </w:rPr>
        <w:fldChar w:fldCharType="end"/>
      </w:r>
      <w:r>
        <w:rPr>
          <w:rStyle w:val="32"/>
          <w:rFonts w:ascii="Times New Roman"/>
        </w:rPr>
        <w:t>2</w:t>
      </w:r>
    </w:p>
    <w:p w14:paraId="505890B1">
      <w:pPr>
        <w:pStyle w:val="24"/>
        <w:rPr>
          <w:rStyle w:val="32"/>
          <w:rFonts w:ascii="Times New Roman"/>
        </w:rPr>
      </w:pPr>
      <w:r>
        <w:fldChar w:fldCharType="begin"/>
      </w:r>
      <w:r>
        <w:instrText xml:space="preserve"> HYPERLINK \l "_Toc201072252" </w:instrText>
      </w:r>
      <w:r>
        <w:fldChar w:fldCharType="separate"/>
      </w:r>
      <w:r>
        <w:rPr>
          <w:rStyle w:val="32"/>
          <w:rFonts w:ascii="Times New Roman"/>
        </w:rPr>
        <w:t>10.3  档案分类与内容</w:t>
      </w:r>
      <w:r>
        <w:rPr>
          <w:rStyle w:val="32"/>
          <w:rFonts w:ascii="Times New Roman"/>
        </w:rPr>
        <w:tab/>
      </w:r>
      <w:r>
        <w:rPr>
          <w:rStyle w:val="32"/>
          <w:rFonts w:ascii="Times New Roman"/>
        </w:rPr>
        <w:t>1</w:t>
      </w:r>
      <w:r>
        <w:rPr>
          <w:rStyle w:val="32"/>
          <w:rFonts w:ascii="Times New Roman"/>
        </w:rPr>
        <w:fldChar w:fldCharType="end"/>
      </w:r>
      <w:r>
        <w:rPr>
          <w:rStyle w:val="32"/>
          <w:rFonts w:ascii="Times New Roman"/>
        </w:rPr>
        <w:t>2</w:t>
      </w:r>
    </w:p>
    <w:p w14:paraId="4599575A">
      <w:pPr>
        <w:pStyle w:val="24"/>
        <w:rPr>
          <w:rStyle w:val="32"/>
          <w:rFonts w:ascii="Times New Roman"/>
        </w:rPr>
      </w:pPr>
      <w:r>
        <w:fldChar w:fldCharType="begin"/>
      </w:r>
      <w:r>
        <w:instrText xml:space="preserve"> HYPERLINK \l "_Toc201072253" </w:instrText>
      </w:r>
      <w:r>
        <w:fldChar w:fldCharType="separate"/>
      </w:r>
      <w:r>
        <w:rPr>
          <w:rStyle w:val="32"/>
          <w:rFonts w:ascii="Times New Roman"/>
        </w:rPr>
        <w:t>10.4  归档要求</w:t>
      </w:r>
      <w:r>
        <w:rPr>
          <w:rStyle w:val="32"/>
          <w:rFonts w:ascii="Times New Roman"/>
        </w:rPr>
        <w:tab/>
      </w:r>
      <w:r>
        <w:rPr>
          <w:rStyle w:val="32"/>
          <w:rFonts w:ascii="Times New Roman"/>
        </w:rPr>
        <w:t>1</w:t>
      </w:r>
      <w:r>
        <w:rPr>
          <w:rStyle w:val="32"/>
          <w:rFonts w:ascii="Times New Roman"/>
        </w:rPr>
        <w:fldChar w:fldCharType="end"/>
      </w:r>
      <w:r>
        <w:rPr>
          <w:rStyle w:val="32"/>
          <w:rFonts w:ascii="Times New Roman"/>
        </w:rPr>
        <w:t>3</w:t>
      </w:r>
    </w:p>
    <w:p w14:paraId="62376FFE">
      <w:pPr>
        <w:pStyle w:val="24"/>
        <w:rPr>
          <w:rStyle w:val="32"/>
          <w:rFonts w:ascii="Times New Roman"/>
        </w:rPr>
      </w:pPr>
      <w:r>
        <w:fldChar w:fldCharType="begin"/>
      </w:r>
      <w:r>
        <w:instrText xml:space="preserve"> HYPERLINK \l "_Toc201072252" </w:instrText>
      </w:r>
      <w:r>
        <w:fldChar w:fldCharType="separate"/>
      </w:r>
      <w:r>
        <w:rPr>
          <w:rStyle w:val="32"/>
          <w:rFonts w:ascii="Times New Roman"/>
        </w:rPr>
        <w:t>10.5  信息化管理</w:t>
      </w:r>
      <w:r>
        <w:rPr>
          <w:rStyle w:val="32"/>
          <w:rFonts w:ascii="Times New Roman"/>
        </w:rPr>
        <w:tab/>
      </w:r>
      <w:r>
        <w:rPr>
          <w:rStyle w:val="32"/>
          <w:rFonts w:ascii="Times New Roman"/>
        </w:rPr>
        <w:t>1</w:t>
      </w:r>
      <w:r>
        <w:rPr>
          <w:rStyle w:val="32"/>
          <w:rFonts w:ascii="Times New Roman"/>
        </w:rPr>
        <w:fldChar w:fldCharType="end"/>
      </w:r>
      <w:r>
        <w:rPr>
          <w:rStyle w:val="32"/>
          <w:rFonts w:ascii="Times New Roman"/>
        </w:rPr>
        <w:t>3</w:t>
      </w:r>
    </w:p>
    <w:p w14:paraId="66908C79">
      <w:pPr>
        <w:pStyle w:val="24"/>
        <w:rPr>
          <w:rStyle w:val="32"/>
          <w:rFonts w:ascii="Times New Roman"/>
        </w:rPr>
      </w:pPr>
      <w:r>
        <w:fldChar w:fldCharType="begin"/>
      </w:r>
      <w:r>
        <w:instrText xml:space="preserve"> HYPERLINK \l "_Toc201072253" </w:instrText>
      </w:r>
      <w:r>
        <w:fldChar w:fldCharType="separate"/>
      </w:r>
      <w:r>
        <w:rPr>
          <w:rStyle w:val="32"/>
          <w:rFonts w:ascii="Times New Roman"/>
        </w:rPr>
        <w:t>10.6  监督与改进</w:t>
      </w:r>
      <w:r>
        <w:rPr>
          <w:rStyle w:val="32"/>
          <w:rFonts w:ascii="Times New Roman"/>
        </w:rPr>
        <w:tab/>
      </w:r>
      <w:r>
        <w:rPr>
          <w:rStyle w:val="32"/>
          <w:rFonts w:ascii="Times New Roman"/>
        </w:rPr>
        <w:t>1</w:t>
      </w:r>
      <w:r>
        <w:rPr>
          <w:rStyle w:val="32"/>
          <w:rFonts w:ascii="Times New Roman"/>
        </w:rPr>
        <w:fldChar w:fldCharType="end"/>
      </w:r>
      <w:r>
        <w:rPr>
          <w:rStyle w:val="32"/>
          <w:rFonts w:ascii="Times New Roman"/>
        </w:rPr>
        <w:t>3</w:t>
      </w:r>
    </w:p>
    <w:p w14:paraId="6842B12A"/>
    <w:p w14:paraId="287640F8">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14:paraId="20677C98">
      <w:pPr>
        <w:pStyle w:val="89"/>
        <w:spacing w:after="468"/>
      </w:pPr>
      <w:bookmarkStart w:id="21" w:name="_Toc201072215"/>
      <w:bookmarkStart w:id="22" w:name="BookMark2"/>
      <w:r>
        <w:rPr>
          <w:rFonts w:hint="eastAsia"/>
          <w:spacing w:val="320"/>
        </w:rPr>
        <w:t>前</w:t>
      </w:r>
      <w:r>
        <w:rPr>
          <w:rFonts w:hint="eastAsia"/>
        </w:rPr>
        <w:t>言</w:t>
      </w:r>
      <w:bookmarkEnd w:id="20"/>
      <w:bookmarkEnd w:id="21"/>
    </w:p>
    <w:p w14:paraId="1DDA1A7A">
      <w:pPr>
        <w:pStyle w:val="56"/>
        <w:ind w:firstLine="420"/>
        <w:rPr>
          <w:rFonts w:hint="default" w:ascii="Times New Roman" w:hAnsi="Times New Roman" w:cs="Times New Roman"/>
        </w:rPr>
      </w:pPr>
      <w:r>
        <w:rPr>
          <w:rFonts w:hint="default" w:ascii="Times New Roman" w:hAnsi="Times New Roman" w:cs="Times New Roman"/>
        </w:rPr>
        <w:t>请注意本文件的某些内容可能涉及专利。本文件的发布机构不承担识别专利的责任。</w:t>
      </w:r>
    </w:p>
    <w:p w14:paraId="0DAE3BC8">
      <w:pPr>
        <w:pStyle w:val="56"/>
        <w:ind w:firstLine="420"/>
        <w:rPr>
          <w:rFonts w:hint="default" w:ascii="Times New Roman" w:hAnsi="Times New Roman" w:cs="Times New Roman"/>
        </w:rPr>
      </w:pPr>
      <w:r>
        <w:rPr>
          <w:rFonts w:hint="default" w:ascii="Times New Roman" w:hAnsi="Times New Roman" w:cs="Times New Roman"/>
        </w:rPr>
        <w:t>本文件由湖南省林业局提出。</w:t>
      </w:r>
    </w:p>
    <w:p w14:paraId="50C6F0B7">
      <w:pPr>
        <w:pStyle w:val="56"/>
        <w:ind w:firstLine="420"/>
        <w:rPr>
          <w:rFonts w:hint="default" w:ascii="Times New Roman" w:hAnsi="Times New Roman" w:cs="Times New Roman"/>
        </w:rPr>
      </w:pPr>
      <w:r>
        <w:rPr>
          <w:rFonts w:hint="default" w:ascii="Times New Roman" w:hAnsi="Times New Roman" w:cs="Times New Roman"/>
        </w:rPr>
        <w:t xml:space="preserve">本文件由湖南省林业标准化委员会归口。 </w:t>
      </w:r>
    </w:p>
    <w:p w14:paraId="44D7BB5F">
      <w:pPr>
        <w:pStyle w:val="56"/>
        <w:ind w:firstLine="420"/>
        <w:rPr>
          <w:rFonts w:hint="default" w:ascii="Times New Roman" w:hAnsi="Times New Roman" w:cs="Times New Roman"/>
        </w:rPr>
      </w:pPr>
      <w:r>
        <w:rPr>
          <w:rFonts w:hint="default" w:ascii="Times New Roman" w:hAnsi="Times New Roman" w:cs="Times New Roman"/>
        </w:rPr>
        <w:t>本文件起草单位：湖南环境生物职业技术学院。</w:t>
      </w:r>
    </w:p>
    <w:p w14:paraId="2CB9BDA5">
      <w:pPr>
        <w:pStyle w:val="56"/>
        <w:ind w:firstLine="420"/>
        <w:rPr>
          <w:rFonts w:hint="default" w:ascii="Times New Roman" w:hAnsi="Times New Roman" w:cs="Times New Roman"/>
        </w:rPr>
      </w:pPr>
      <w:r>
        <w:rPr>
          <w:rFonts w:hint="default" w:ascii="Times New Roman" w:hAnsi="Times New Roman" w:cs="Times New Roman"/>
        </w:rPr>
        <w:t>本文件主要参与单位：南华大学、中南林业科技大学、湖南生物机电职业技术学院、湖南省一建园林建设有限公司、湖南绿苑园林股份有限公司</w:t>
      </w:r>
      <w:r>
        <w:rPr>
          <w:rFonts w:hint="default" w:ascii="Times New Roman" w:hAnsi="Times New Roman" w:cs="Times New Roman"/>
          <w:lang w:eastAsia="zh-CN"/>
        </w:rPr>
        <w:t>、湖南八方九地市政园林工程有限公司</w:t>
      </w:r>
      <w:r>
        <w:rPr>
          <w:rFonts w:hint="default" w:ascii="Times New Roman" w:hAnsi="Times New Roman" w:cs="Times New Roman"/>
        </w:rPr>
        <w:t>等。</w:t>
      </w:r>
    </w:p>
    <w:p w14:paraId="6D7E7FDA">
      <w:pPr>
        <w:pStyle w:val="56"/>
        <w:ind w:firstLine="420"/>
        <w:rPr>
          <w:rFonts w:hint="default" w:ascii="Times New Roman" w:hAnsi="Times New Roman" w:cs="Times New Roman"/>
        </w:rPr>
      </w:pPr>
      <w:r>
        <w:rPr>
          <w:rFonts w:hint="default" w:ascii="Times New Roman" w:hAnsi="Times New Roman" w:cs="Times New Roman"/>
        </w:rPr>
        <w:t>本文件主要起草人：庾庐山、李常、顾裕文、马佩勋、范适、徐一斐、肖明、高建亮、谢光园、赵富群</w:t>
      </w:r>
      <w:r>
        <w:rPr>
          <w:rFonts w:hint="default" w:ascii="Times New Roman" w:hAnsi="Times New Roman" w:cs="Times New Roman"/>
          <w:lang w:eastAsia="zh-CN"/>
        </w:rPr>
        <w:t>、何小英、</w:t>
      </w:r>
      <w:r>
        <w:rPr>
          <w:rFonts w:hint="default" w:ascii="Times New Roman" w:hAnsi="Times New Roman" w:eastAsia="宋体" w:cs="Times New Roman"/>
        </w:rPr>
        <w:t>廖飞勇</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朱巽、</w:t>
      </w:r>
      <w:r>
        <w:rPr>
          <w:rFonts w:hint="default" w:ascii="Times New Roman" w:hAnsi="Times New Roman" w:eastAsia="宋体" w:cs="Times New Roman"/>
        </w:rPr>
        <w:t>秦国权</w:t>
      </w:r>
      <w:r>
        <w:rPr>
          <w:rFonts w:hint="default" w:ascii="Times New Roman" w:hAnsi="Times New Roman" w:eastAsia="宋体" w:cs="Times New Roman"/>
          <w:lang w:eastAsia="zh-CN"/>
        </w:rPr>
        <w:t>、</w:t>
      </w:r>
      <w:r>
        <w:rPr>
          <w:rFonts w:hint="default" w:ascii="Times New Roman" w:hAnsi="Times New Roman" w:eastAsia="宋体" w:cs="Times New Roman"/>
        </w:rPr>
        <w:t>裴小明</w:t>
      </w:r>
      <w:r>
        <w:rPr>
          <w:rFonts w:hint="default" w:ascii="Times New Roman" w:hAnsi="Times New Roman" w:eastAsia="宋体" w:cs="Times New Roman"/>
          <w:lang w:eastAsia="zh-CN"/>
        </w:rPr>
        <w:t>、</w:t>
      </w:r>
      <w:r>
        <w:rPr>
          <w:rFonts w:hint="default" w:ascii="Times New Roman" w:hAnsi="Times New Roman" w:eastAsia="宋体" w:cs="Times New Roman"/>
        </w:rPr>
        <w:t>方伟红。</w:t>
      </w:r>
    </w:p>
    <w:p w14:paraId="74CAE080">
      <w:pPr>
        <w:pStyle w:val="56"/>
        <w:ind w:firstLine="420"/>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第1部分：标准化文件的结构和起草规则》的规定起草。与DB43/T 1383—2018相比，除结构调整和编辑性改动外，主要技术变动如下：</w:t>
      </w:r>
    </w:p>
    <w:p w14:paraId="3CFD6BA3">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第2章 规范性引用文件（DB43/T 1383—2018共35条，本次修订共有38条，地方标准以本省为准）；</w:t>
      </w:r>
    </w:p>
    <w:p w14:paraId="282796C6">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第3章 术语与定义 增加了3.4 生态建筑；</w:t>
      </w:r>
    </w:p>
    <w:p w14:paraId="3F7E67AB">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第4章 规划原则 增加了4.3 文化传承、4.4 系统创新；</w:t>
      </w:r>
    </w:p>
    <w:p w14:paraId="7FCF515F">
      <w:pPr>
        <w:pStyle w:val="56"/>
        <w:numPr>
          <w:ilvl w:val="0"/>
          <w:numId w:val="32"/>
        </w:numPr>
        <w:ind w:firstLine="420"/>
        <w:rPr>
          <w:rFonts w:hint="default" w:ascii="Times New Roman" w:hAnsi="Times New Roman" w:cs="Times New Roman"/>
        </w:rPr>
      </w:pPr>
      <w:r>
        <w:rPr>
          <w:rFonts w:hint="default" w:ascii="Times New Roman" w:hAnsi="Times New Roman" w:cs="Times New Roman"/>
        </w:rPr>
        <w:t>增加了第10章 资料档案管理；</w:t>
      </w:r>
    </w:p>
    <w:p w14:paraId="5009BB3E">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第4章 4.1 生态优先</w:t>
      </w:r>
      <w:r>
        <w:rPr>
          <w:rFonts w:hint="default" w:ascii="Times New Roman" w:hAnsi="Times New Roman" w:cs="Times New Roman"/>
          <w:lang w:eastAsia="zh-CN"/>
        </w:rPr>
        <w:t>“</w:t>
      </w:r>
      <w:r>
        <w:rPr>
          <w:rFonts w:hint="default" w:ascii="Times New Roman" w:hAnsi="Times New Roman" w:cs="Times New Roman"/>
          <w:color w:val="000000"/>
          <w:szCs w:val="21"/>
        </w:rPr>
        <w:t>体现当地建筑特色，人文环境与自 然环境和谐一致，合理布置各个功能区，实现校园生态效益最优化。</w:t>
      </w:r>
      <w:r>
        <w:rPr>
          <w:rFonts w:hint="default" w:ascii="Times New Roman" w:hAnsi="Times New Roman" w:cs="Times New Roman"/>
          <w:lang w:eastAsia="zh-CN"/>
        </w:rPr>
        <w:t>”</w:t>
      </w:r>
      <w:r>
        <w:rPr>
          <w:rFonts w:hint="default" w:ascii="Times New Roman" w:hAnsi="Times New Roman" w:cs="Times New Roman"/>
        </w:rPr>
        <w:t>改为</w:t>
      </w:r>
      <w:r>
        <w:rPr>
          <w:rFonts w:hint="default" w:ascii="Times New Roman" w:hAnsi="Times New Roman" w:cs="Times New Roman"/>
          <w:lang w:eastAsia="zh-CN"/>
        </w:rPr>
        <w:t>“</w:t>
      </w:r>
      <w:r>
        <w:rPr>
          <w:rFonts w:hint="default" w:ascii="Times New Roman" w:hAnsi="Times New Roman" w:cs="Times New Roman"/>
        </w:rPr>
        <w:t>在校园规划设计、建设、运维全周期过程中，倡导绿色低碳理念，提倡运用绿色低碳技术、绿色材料，融入生态安全，营造可持续性生态安全校园，实现人与自然和谐共生。</w:t>
      </w:r>
      <w:r>
        <w:rPr>
          <w:rFonts w:hint="default" w:ascii="Times New Roman" w:hAnsi="Times New Roman" w:cs="Times New Roman"/>
          <w:lang w:eastAsia="zh-CN"/>
        </w:rPr>
        <w:t>”</w:t>
      </w:r>
      <w:r>
        <w:rPr>
          <w:rFonts w:hint="default" w:ascii="Times New Roman" w:hAnsi="Times New Roman" w:cs="Times New Roman"/>
        </w:rPr>
        <w:t>；</w:t>
      </w:r>
    </w:p>
    <w:p w14:paraId="520DA4D6">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第5章 5.1 地形 增加</w:t>
      </w:r>
      <w:r>
        <w:rPr>
          <w:rFonts w:hint="default" w:ascii="Times New Roman" w:hAnsi="Times New Roman" w:cs="Times New Roman"/>
          <w:lang w:eastAsia="zh-CN"/>
        </w:rPr>
        <w:t>“</w:t>
      </w:r>
      <w:r>
        <w:rPr>
          <w:rFonts w:hint="default" w:ascii="Times New Roman" w:hAnsi="Times New Roman" w:cs="Times New Roman"/>
        </w:rPr>
        <w:t>绿化用地宜做微地形处理，有利于雨水收集和景观营造。广场和草坪的坡度宜为03%～3%，坡度要求：平地（0.3%～2%）、缓坡（2%～10%）、中坡（10%～25%）、陡坡(&gt;25%)：通常不宜进行建设，应以生态保护、水土保持和景观绿化为主。</w:t>
      </w:r>
      <w:r>
        <w:rPr>
          <w:rFonts w:hint="default" w:ascii="Times New Roman" w:hAnsi="Times New Roman" w:cs="Times New Roman"/>
          <w:lang w:eastAsia="zh-CN"/>
        </w:rPr>
        <w:t>”</w:t>
      </w:r>
      <w:r>
        <w:rPr>
          <w:rFonts w:hint="default" w:ascii="Times New Roman" w:hAnsi="Times New Roman" w:cs="Times New Roman"/>
        </w:rPr>
        <w:t>；</w:t>
      </w:r>
    </w:p>
    <w:p w14:paraId="0BE98CF9">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第5章 5.2 水体 增加</w:t>
      </w:r>
      <w:r>
        <w:rPr>
          <w:rFonts w:hint="default" w:ascii="Times New Roman" w:hAnsi="Times New Roman" w:cs="Times New Roman"/>
          <w:lang w:eastAsia="zh-CN"/>
        </w:rPr>
        <w:t>“</w:t>
      </w:r>
      <w:r>
        <w:rPr>
          <w:rFonts w:hint="default" w:ascii="Times New Roman" w:hAnsi="Times New Roman" w:cs="Times New Roman"/>
          <w:color w:val="000000"/>
          <w:szCs w:val="21"/>
        </w:rPr>
        <w:t>驳岸顶与常水位的高差以及驳岸的坡度，应兼顾景观、安全、亲水等因素，</w:t>
      </w:r>
      <w:r>
        <w:rPr>
          <w:rFonts w:hint="default" w:ascii="Times New Roman" w:hAnsi="Times New Roman" w:cs="Times New Roman"/>
          <w:lang w:eastAsia="zh-CN"/>
        </w:rPr>
        <w:t>”</w:t>
      </w:r>
      <w:r>
        <w:rPr>
          <w:rFonts w:hint="default" w:ascii="Times New Roman" w:hAnsi="Times New Roman" w:cs="Times New Roman"/>
        </w:rPr>
        <w:t>；</w:t>
      </w:r>
    </w:p>
    <w:p w14:paraId="27877700">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第5章 5.4 广场 增加</w:t>
      </w:r>
      <w:r>
        <w:rPr>
          <w:rFonts w:hint="default" w:ascii="Times New Roman" w:hAnsi="Times New Roman" w:cs="Times New Roman"/>
          <w:lang w:eastAsia="zh-CN"/>
        </w:rPr>
        <w:t>“</w:t>
      </w:r>
      <w:r>
        <w:rPr>
          <w:rFonts w:hint="default" w:ascii="Times New Roman" w:hAnsi="Times New Roman" w:cs="Times New Roman"/>
        </w:rPr>
        <w:t>广场地表排水最小坡度为0.3%</w:t>
      </w:r>
      <w:r>
        <w:rPr>
          <w:rFonts w:hint="default" w:ascii="Times New Roman" w:hAnsi="Times New Roman" w:cs="Times New Roman"/>
          <w:lang w:eastAsia="zh-CN"/>
        </w:rPr>
        <w:t>”</w:t>
      </w:r>
      <w:r>
        <w:rPr>
          <w:rFonts w:hint="default" w:ascii="Times New Roman" w:hAnsi="Times New Roman" w:cs="Times New Roman"/>
        </w:rPr>
        <w:t xml:space="preserve"> ；</w:t>
      </w:r>
    </w:p>
    <w:p w14:paraId="46C3344D">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第5章 5.5 园林建筑和小品 增加</w:t>
      </w:r>
      <w:r>
        <w:rPr>
          <w:rFonts w:hint="default" w:ascii="Times New Roman" w:hAnsi="Times New Roman" w:cs="Times New Roman"/>
          <w:lang w:eastAsia="zh-CN"/>
        </w:rPr>
        <w:t>“</w:t>
      </w:r>
      <w:r>
        <w:rPr>
          <w:rFonts w:hint="default" w:ascii="Times New Roman" w:hAnsi="Times New Roman" w:cs="Times New Roman"/>
        </w:rPr>
        <w:t>游憩和服务建筑应设无障碍设施</w:t>
      </w:r>
      <w:r>
        <w:rPr>
          <w:rFonts w:hint="default" w:ascii="Times New Roman" w:hAnsi="Times New Roman" w:cs="Times New Roman"/>
          <w:lang w:eastAsia="zh-CN"/>
        </w:rPr>
        <w:t>”</w:t>
      </w:r>
      <w:r>
        <w:rPr>
          <w:rFonts w:hint="default" w:ascii="Times New Roman" w:hAnsi="Times New Roman" w:cs="Times New Roman"/>
        </w:rPr>
        <w:t>；</w:t>
      </w:r>
    </w:p>
    <w:p w14:paraId="704995B8">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第5章 5.6 停车场 增加</w:t>
      </w:r>
      <w:r>
        <w:rPr>
          <w:rFonts w:hint="default" w:ascii="Times New Roman" w:hAnsi="Times New Roman" w:cs="Times New Roman"/>
          <w:lang w:eastAsia="zh-CN"/>
        </w:rPr>
        <w:t>“</w:t>
      </w:r>
      <w:r>
        <w:rPr>
          <w:rFonts w:hint="default" w:ascii="Times New Roman" w:hAnsi="Times New Roman" w:cs="Times New Roman"/>
        </w:rPr>
        <w:t>学校配置具有充电设施的停车位应不少于总停车位的10%，安装充电桩时的防火要求符合 GB 50966</w:t>
      </w:r>
      <w:r>
        <w:rPr>
          <w:rFonts w:hint="default" w:ascii="Times New Roman" w:hAnsi="Times New Roman" w:cs="Times New Roman"/>
          <w:color w:val="EE0000"/>
        </w:rPr>
        <w:t xml:space="preserve"> </w:t>
      </w:r>
      <w:r>
        <w:rPr>
          <w:rFonts w:hint="default" w:ascii="Times New Roman" w:hAnsi="Times New Roman" w:cs="Times New Roman"/>
        </w:rPr>
        <w:t>的规定。</w:t>
      </w:r>
      <w:r>
        <w:rPr>
          <w:rFonts w:hint="default" w:ascii="Times New Roman" w:hAnsi="Times New Roman" w:cs="Times New Roman"/>
          <w:lang w:eastAsia="zh-CN"/>
        </w:rPr>
        <w:t>”</w:t>
      </w:r>
      <w:r>
        <w:rPr>
          <w:rFonts w:hint="default" w:ascii="Times New Roman" w:hAnsi="Times New Roman" w:cs="Times New Roman"/>
        </w:rPr>
        <w:t>；</w:t>
      </w:r>
    </w:p>
    <w:p w14:paraId="3B6190AC">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第5章 5.7 照明 增加</w:t>
      </w:r>
      <w:r>
        <w:rPr>
          <w:rFonts w:hint="default" w:ascii="Times New Roman" w:hAnsi="Times New Roman" w:cs="Times New Roman"/>
          <w:lang w:eastAsia="zh-CN"/>
        </w:rPr>
        <w:t>“</w:t>
      </w:r>
      <w:r>
        <w:rPr>
          <w:rFonts w:hint="default" w:ascii="Times New Roman" w:hAnsi="Times New Roman" w:cs="Times New Roman"/>
        </w:rPr>
        <w:t>照明作为景观素材进行设计，既要符合夜间使用功能，又要考虑白天的造景效果，必须设计或选择造型优美别致的灯具。</w:t>
      </w:r>
      <w:r>
        <w:rPr>
          <w:rFonts w:hint="default" w:ascii="Times New Roman" w:hAnsi="Times New Roman" w:cs="Times New Roman"/>
          <w:lang w:eastAsia="zh-CN"/>
        </w:rPr>
        <w:t>”“</w:t>
      </w:r>
      <w:r>
        <w:rPr>
          <w:rFonts w:hint="default" w:ascii="Times New Roman" w:hAnsi="Times New Roman" w:cs="Times New Roman"/>
        </w:rPr>
        <w:t>创造一个安全、舒适、节能、对动植物友好的校园光环境，让师生既能享受夜晚活动的便利，也能在校园里仰望星空，感受自然的昼夜节律。</w:t>
      </w:r>
      <w:r>
        <w:rPr>
          <w:rFonts w:hint="default" w:ascii="Times New Roman" w:hAnsi="Times New Roman" w:cs="Times New Roman"/>
          <w:lang w:eastAsia="zh-CN"/>
        </w:rPr>
        <w:t>”</w:t>
      </w:r>
      <w:r>
        <w:rPr>
          <w:rFonts w:hint="default" w:ascii="Times New Roman" w:hAnsi="Times New Roman" w:cs="Times New Roman"/>
        </w:rPr>
        <w:t>；</w:t>
      </w:r>
    </w:p>
    <w:p w14:paraId="43FD7A8B">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第5章 5.8 无障碍通道与设施，做了全面改动；</w:t>
      </w:r>
    </w:p>
    <w:p w14:paraId="01A9F4B3">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第6章 植物布局与配置中的6.2配置要求 做了大部分改动，增加了6.2.6和6.2.7；</w:t>
      </w:r>
    </w:p>
    <w:p w14:paraId="09B87A96">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第6章 植物布局与配置中的6.3.1增加了</w:t>
      </w:r>
      <w:r>
        <w:rPr>
          <w:rFonts w:hint="default" w:ascii="Times New Roman" w:hAnsi="Times New Roman" w:cs="Times New Roman"/>
          <w:lang w:eastAsia="zh-CN"/>
        </w:rPr>
        <w:t>“</w:t>
      </w:r>
      <w:r>
        <w:rPr>
          <w:rFonts w:hint="default" w:ascii="Times New Roman" w:hAnsi="Times New Roman" w:cs="Times New Roman"/>
        </w:rPr>
        <w:t>大门两侧绿地可选择造型优美的桩景树对植，入校门</w:t>
      </w:r>
      <w:r>
        <w:rPr>
          <w:rFonts w:hint="default" w:ascii="Times New Roman" w:hAnsi="Times New Roman" w:cs="Times New Roman"/>
          <w:lang w:eastAsia="zh-CN"/>
        </w:rPr>
        <w:t>”</w:t>
      </w:r>
      <w:r>
        <w:rPr>
          <w:rFonts w:hint="default" w:ascii="Times New Roman" w:hAnsi="Times New Roman" w:cs="Times New Roman"/>
        </w:rPr>
        <w:t>；6.3.3增加了</w:t>
      </w:r>
      <w:r>
        <w:rPr>
          <w:rFonts w:hint="default" w:ascii="Times New Roman" w:hAnsi="Times New Roman" w:cs="Times New Roman"/>
          <w:lang w:eastAsia="zh-CN"/>
        </w:rPr>
        <w:t>“</w:t>
      </w:r>
      <w:r>
        <w:rPr>
          <w:rFonts w:hint="default" w:ascii="Times New Roman" w:hAnsi="Times New Roman" w:cs="Times New Roman"/>
        </w:rPr>
        <w:t>教学区结合文化雕塑或景观，营建专业特色氛围；科研区结合科研实践，配置具有教学研究、科普功能的植物，营建科研特色专类园。</w:t>
      </w:r>
      <w:r>
        <w:rPr>
          <w:rFonts w:hint="default" w:ascii="Times New Roman" w:hAnsi="Times New Roman" w:cs="Times New Roman"/>
          <w:lang w:eastAsia="zh-CN"/>
        </w:rPr>
        <w:t>”</w:t>
      </w:r>
      <w:r>
        <w:rPr>
          <w:rFonts w:hint="default" w:ascii="Times New Roman" w:hAnsi="Times New Roman" w:cs="Times New Roman"/>
        </w:rPr>
        <w:t>；6.3.4增加了</w:t>
      </w:r>
      <w:r>
        <w:rPr>
          <w:rFonts w:hint="default" w:ascii="Times New Roman" w:hAnsi="Times New Roman" w:cs="Times New Roman"/>
          <w:lang w:eastAsia="zh-CN"/>
        </w:rPr>
        <w:t>“</w:t>
      </w:r>
      <w:r>
        <w:rPr>
          <w:rFonts w:hint="default" w:ascii="Times New Roman" w:hAnsi="Times New Roman" w:cs="Times New Roman"/>
        </w:rPr>
        <w:t>可通过校园植物结合具有文化特色的雕塑或景观，营建校园文化氛围。入口区一般对称或拟对称式种植。</w:t>
      </w:r>
      <w:r>
        <w:rPr>
          <w:rFonts w:hint="default" w:ascii="Times New Roman" w:hAnsi="Times New Roman" w:cs="Times New Roman"/>
          <w:lang w:eastAsia="zh-CN"/>
        </w:rPr>
        <w:t>”</w:t>
      </w:r>
      <w:r>
        <w:rPr>
          <w:rFonts w:hint="default" w:ascii="Times New Roman" w:hAnsi="Times New Roman" w:cs="Times New Roman"/>
        </w:rPr>
        <w:t>；</w:t>
      </w:r>
      <w:bookmarkStart w:id="23" w:name="OLE_LINK4"/>
      <w:r>
        <w:rPr>
          <w:rFonts w:hint="default" w:ascii="Times New Roman" w:hAnsi="Times New Roman" w:cs="Times New Roman"/>
        </w:rPr>
        <w:t>6.3.5</w:t>
      </w:r>
      <w:bookmarkEnd w:id="23"/>
      <w:r>
        <w:rPr>
          <w:rFonts w:hint="default" w:ascii="Times New Roman" w:hAnsi="Times New Roman" w:cs="Times New Roman"/>
        </w:rPr>
        <w:t>增加了</w:t>
      </w:r>
      <w:r>
        <w:rPr>
          <w:rFonts w:hint="default" w:ascii="Times New Roman" w:hAnsi="Times New Roman" w:cs="Times New Roman"/>
          <w:lang w:eastAsia="zh-CN"/>
        </w:rPr>
        <w:t>“</w:t>
      </w:r>
      <w:r>
        <w:rPr>
          <w:rFonts w:hint="default" w:ascii="Times New Roman" w:hAnsi="Times New Roman" w:cs="Times New Roman"/>
        </w:rPr>
        <w:t>建筑旁乔木一般种植落叶植物，避开窗户位置；栋楼间根据规划布局形式设置相应的中心绿地，及块状、带状绿地</w:t>
      </w:r>
      <w:r>
        <w:rPr>
          <w:rFonts w:hint="default" w:ascii="Times New Roman" w:hAnsi="Times New Roman" w:cs="Times New Roman"/>
          <w:lang w:eastAsia="zh-CN"/>
        </w:rPr>
        <w:t>”“</w:t>
      </w:r>
      <w:r>
        <w:rPr>
          <w:rFonts w:hint="default" w:ascii="Times New Roman" w:hAnsi="Times New Roman" w:cs="Times New Roman"/>
        </w:rPr>
        <w:t>绿化种植结合生活区雨水规划，根据需要因地制宜采用兼有调蓄、净化、转输功能绿化方式。</w:t>
      </w:r>
      <w:r>
        <w:rPr>
          <w:rFonts w:hint="default" w:ascii="Times New Roman" w:hAnsi="Times New Roman" w:cs="Times New Roman"/>
          <w:lang w:eastAsia="zh-CN"/>
        </w:rPr>
        <w:t>”</w:t>
      </w:r>
      <w:r>
        <w:rPr>
          <w:rFonts w:hint="default" w:ascii="Times New Roman" w:hAnsi="Times New Roman" w:cs="Times New Roman"/>
        </w:rPr>
        <w:t>；6.3.6</w:t>
      </w:r>
      <w:r>
        <w:rPr>
          <w:rFonts w:hint="default" w:ascii="Times New Roman" w:hAnsi="Times New Roman" w:cs="Times New Roman"/>
          <w:lang w:eastAsia="zh-CN"/>
        </w:rPr>
        <w:t>“</w:t>
      </w:r>
      <w:r>
        <w:rPr>
          <w:rFonts w:hint="default" w:ascii="Times New Roman" w:hAnsi="Times New Roman" w:cs="Times New Roman"/>
          <w:color w:val="000000"/>
          <w:szCs w:val="21"/>
        </w:rPr>
        <w:t>攀援植物立体绿化庭院模式</w:t>
      </w:r>
      <w:r>
        <w:rPr>
          <w:rFonts w:hint="default" w:ascii="Times New Roman" w:hAnsi="Times New Roman" w:cs="Times New Roman"/>
          <w:lang w:eastAsia="zh-CN"/>
        </w:rPr>
        <w:t>”</w:t>
      </w:r>
      <w:r>
        <w:rPr>
          <w:rFonts w:hint="default" w:ascii="Times New Roman" w:hAnsi="Times New Roman" w:cs="Times New Roman"/>
        </w:rPr>
        <w:t>改为</w:t>
      </w:r>
      <w:r>
        <w:rPr>
          <w:rFonts w:hint="default" w:ascii="Times New Roman" w:hAnsi="Times New Roman" w:cs="Times New Roman"/>
          <w:lang w:eastAsia="zh-CN"/>
        </w:rPr>
        <w:t>“</w:t>
      </w:r>
      <w:r>
        <w:rPr>
          <w:rFonts w:hint="default" w:ascii="Times New Roman" w:hAnsi="Times New Roman" w:cs="Times New Roman"/>
        </w:rPr>
        <w:t>以庭院式种植模式为主，上层选择中小乔木，以孤植、丛植为主，避免行列种植；下层宜营建花坛、花境等观赏价值高的植物景观，或方便学生活动交流的地被、草坪空间</w:t>
      </w:r>
      <w:r>
        <w:rPr>
          <w:rFonts w:hint="default" w:ascii="Times New Roman" w:hAnsi="Times New Roman" w:cs="Times New Roman"/>
          <w:lang w:eastAsia="zh-CN"/>
        </w:rPr>
        <w:t>”</w:t>
      </w:r>
      <w:r>
        <w:rPr>
          <w:rFonts w:hint="default" w:ascii="Times New Roman" w:hAnsi="Times New Roman" w:cs="Times New Roman"/>
        </w:rPr>
        <w:t>；6.3.8增加</w:t>
      </w:r>
      <w:r>
        <w:rPr>
          <w:rFonts w:hint="default" w:ascii="Times New Roman" w:hAnsi="Times New Roman" w:cs="Times New Roman"/>
          <w:lang w:eastAsia="zh-CN"/>
        </w:rPr>
        <w:t>“</w:t>
      </w:r>
      <w:r>
        <w:rPr>
          <w:rFonts w:hint="default" w:ascii="Times New Roman" w:hAnsi="Times New Roman" w:cs="Times New Roman"/>
        </w:rPr>
        <w:t>可设计方便师生交流的大树空间、林下空间或草坪等。充分挖掘植物文化，营建具有文化氛围的植物景观</w:t>
      </w:r>
      <w:r>
        <w:rPr>
          <w:rFonts w:hint="default" w:ascii="Times New Roman" w:hAnsi="Times New Roman" w:cs="Times New Roman"/>
          <w:lang w:eastAsia="zh-CN"/>
        </w:rPr>
        <w:t>”</w:t>
      </w:r>
      <w:r>
        <w:rPr>
          <w:rFonts w:hint="default" w:ascii="Times New Roman" w:hAnsi="Times New Roman" w:cs="Times New Roman"/>
        </w:rPr>
        <w:t>；</w:t>
      </w:r>
    </w:p>
    <w:p w14:paraId="15434C07">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第7章 生态建筑中7.1.3增加</w:t>
      </w:r>
      <w:r>
        <w:rPr>
          <w:rFonts w:hint="default" w:ascii="Times New Roman" w:hAnsi="Times New Roman" w:cs="Times New Roman"/>
          <w:lang w:eastAsia="zh-CN"/>
        </w:rPr>
        <w:t>“</w:t>
      </w:r>
      <w:r>
        <w:rPr>
          <w:rFonts w:hint="default" w:ascii="Times New Roman" w:hAnsi="Times New Roman" w:cs="Times New Roman"/>
        </w:rPr>
        <w:t>科学合理选择营建材料达到可降解再生目的</w:t>
      </w:r>
      <w:r>
        <w:rPr>
          <w:rFonts w:hint="default" w:ascii="Times New Roman" w:hAnsi="Times New Roman" w:cs="Times New Roman"/>
          <w:lang w:eastAsia="zh-CN"/>
        </w:rPr>
        <w:t>”</w:t>
      </w:r>
      <w:r>
        <w:rPr>
          <w:rFonts w:hint="default" w:ascii="Times New Roman" w:hAnsi="Times New Roman" w:cs="Times New Roman"/>
        </w:rPr>
        <w:t>；</w:t>
      </w:r>
    </w:p>
    <w:p w14:paraId="4032EF58">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第7章 生态建筑中7.2.2增加</w:t>
      </w:r>
      <w:r>
        <w:rPr>
          <w:rFonts w:hint="default" w:ascii="Times New Roman" w:hAnsi="Times New Roman" w:cs="Times New Roman"/>
          <w:lang w:eastAsia="zh-CN"/>
        </w:rPr>
        <w:t>“</w:t>
      </w:r>
      <w:r>
        <w:rPr>
          <w:rFonts w:hint="default" w:ascii="Times New Roman" w:hAnsi="Times New Roman" w:cs="Times New Roman"/>
        </w:rPr>
        <w:t>新建建筑应达到绿色二星以上的标准，并进行绿星标识认证。</w:t>
      </w:r>
      <w:r>
        <w:rPr>
          <w:rFonts w:hint="default" w:ascii="Times New Roman" w:hAnsi="Times New Roman" w:cs="Times New Roman"/>
          <w:lang w:eastAsia="zh-CN"/>
        </w:rPr>
        <w:t>”</w:t>
      </w:r>
      <w:r>
        <w:rPr>
          <w:rFonts w:hint="default" w:ascii="Times New Roman" w:hAnsi="Times New Roman" w:cs="Times New Roman"/>
        </w:rPr>
        <w:t>；7.2.3增加</w:t>
      </w:r>
      <w:r>
        <w:rPr>
          <w:rFonts w:hint="default" w:ascii="Times New Roman" w:hAnsi="Times New Roman" w:cs="Times New Roman"/>
          <w:lang w:eastAsia="zh-CN"/>
        </w:rPr>
        <w:t>“</w:t>
      </w:r>
      <w:r>
        <w:rPr>
          <w:rFonts w:hint="default" w:ascii="Times New Roman" w:hAnsi="Times New Roman" w:cs="Times New Roman"/>
        </w:rPr>
        <w:t>既有建筑改造后应达到绿色二星以上的标准，并进行绿星标识认证。</w:t>
      </w:r>
      <w:r>
        <w:rPr>
          <w:rFonts w:hint="default" w:ascii="Times New Roman" w:hAnsi="Times New Roman" w:cs="Times New Roman"/>
          <w:lang w:eastAsia="zh-CN"/>
        </w:rPr>
        <w:t>”</w:t>
      </w:r>
    </w:p>
    <w:p w14:paraId="4ED9BA76">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第7章 生态建筑中增加了7.3.1总则；7.3.2.2增加</w:t>
      </w:r>
      <w:r>
        <w:rPr>
          <w:rFonts w:hint="default" w:ascii="Times New Roman" w:hAnsi="Times New Roman" w:cs="Times New Roman"/>
          <w:lang w:eastAsia="zh-CN"/>
        </w:rPr>
        <w:t>“</w:t>
      </w:r>
      <w:r>
        <w:rPr>
          <w:rFonts w:hint="default" w:ascii="Times New Roman" w:hAnsi="Times New Roman" w:cs="Times New Roman"/>
        </w:rPr>
        <w:t>充分利用自然光照，窗地比不小于1:5。</w:t>
      </w:r>
      <w:r>
        <w:rPr>
          <w:rFonts w:hint="default" w:ascii="Times New Roman" w:hAnsi="Times New Roman" w:cs="Times New Roman"/>
          <w:lang w:eastAsia="zh-CN"/>
        </w:rPr>
        <w:t>”</w:t>
      </w:r>
      <w:r>
        <w:rPr>
          <w:rFonts w:hint="default" w:ascii="Times New Roman" w:hAnsi="Times New Roman" w:cs="Times New Roman"/>
        </w:rPr>
        <w:t>；7.3.2.3增加</w:t>
      </w:r>
      <w:r>
        <w:rPr>
          <w:rFonts w:hint="default" w:ascii="Times New Roman" w:hAnsi="Times New Roman" w:cs="Times New Roman"/>
          <w:lang w:eastAsia="zh-CN"/>
        </w:rPr>
        <w:t>“</w:t>
      </w:r>
      <w:r>
        <w:rPr>
          <w:rFonts w:hint="default" w:ascii="Times New Roman" w:hAnsi="Times New Roman" w:cs="Times New Roman"/>
        </w:rPr>
        <w:t xml:space="preserve">建筑外窗开启面积不小于外窗总面积30%。 </w:t>
      </w:r>
      <w:r>
        <w:rPr>
          <w:rFonts w:hint="default" w:ascii="Times New Roman" w:hAnsi="Times New Roman" w:cs="Times New Roman"/>
          <w:lang w:eastAsia="zh-CN"/>
        </w:rPr>
        <w:t>”</w:t>
      </w:r>
      <w:r>
        <w:rPr>
          <w:rFonts w:hint="default" w:ascii="Times New Roman" w:hAnsi="Times New Roman" w:cs="Times New Roman"/>
        </w:rPr>
        <w:t>；</w:t>
      </w:r>
    </w:p>
    <w:p w14:paraId="0A926BD3">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第7章 生态建筑中7.7 废水及雨水处理措施中增加了</w:t>
      </w:r>
      <w:r>
        <w:rPr>
          <w:rFonts w:hint="default" w:ascii="Times New Roman" w:hAnsi="Times New Roman" w:cs="Times New Roman"/>
          <w:lang w:eastAsia="zh-CN"/>
        </w:rPr>
        <w:t>“</w:t>
      </w:r>
      <w:r>
        <w:rPr>
          <w:rFonts w:hint="default" w:ascii="Times New Roman" w:hAnsi="Times New Roman" w:cs="Times New Roman"/>
        </w:rPr>
        <w:t>屋面雨水应有组织排放，屋面雨水收集或排水系统应独立设置，严禁与建筑生活污水、废水排水连接</w:t>
      </w:r>
      <w:r>
        <w:rPr>
          <w:rFonts w:hint="default" w:ascii="Times New Roman" w:hAnsi="Times New Roman" w:cs="Times New Roman"/>
          <w:lang w:eastAsia="zh-CN"/>
        </w:rPr>
        <w:t>”</w:t>
      </w:r>
      <w:r>
        <w:rPr>
          <w:rFonts w:hint="default" w:ascii="Times New Roman" w:hAnsi="Times New Roman" w:cs="Times New Roman"/>
        </w:rPr>
        <w:t>；</w:t>
      </w:r>
    </w:p>
    <w:p w14:paraId="46D5323D">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第8章 生态文化教育及宣传 8.1 教育内容顺序和内容进行调整；</w:t>
      </w:r>
    </w:p>
    <w:p w14:paraId="7A9F8392">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第8章 生态文化教育及宣传 8.2 教育方法增加8.2.4,其他内容进行了修订；</w:t>
      </w:r>
    </w:p>
    <w:p w14:paraId="122198D1">
      <w:pPr>
        <w:pStyle w:val="56"/>
        <w:numPr>
          <w:ilvl w:val="0"/>
          <w:numId w:val="32"/>
        </w:numPr>
        <w:ind w:firstLine="420"/>
        <w:rPr>
          <w:rFonts w:hint="default" w:ascii="Times New Roman" w:hAnsi="Times New Roman" w:cs="Times New Roman"/>
        </w:rPr>
      </w:pPr>
      <w:r>
        <w:rPr>
          <w:rFonts w:hint="default" w:ascii="Times New Roman" w:hAnsi="Times New Roman" w:cs="Times New Roman"/>
        </w:rPr>
        <w:t xml:space="preserve">第8章 生态文化教育及宣传 </w:t>
      </w:r>
      <w:bookmarkStart w:id="24" w:name="OLE_LINK5"/>
      <w:r>
        <w:rPr>
          <w:rFonts w:hint="default" w:ascii="Times New Roman" w:hAnsi="Times New Roman" w:cs="Times New Roman"/>
        </w:rPr>
        <w:t>8.3.1 媒体宣传</w:t>
      </w:r>
      <w:bookmarkEnd w:id="24"/>
      <w:r>
        <w:rPr>
          <w:rFonts w:hint="default" w:ascii="Times New Roman" w:hAnsi="Times New Roman" w:cs="Times New Roman"/>
        </w:rPr>
        <w:t>增加</w:t>
      </w:r>
      <w:r>
        <w:rPr>
          <w:rFonts w:hint="default" w:ascii="Times New Roman" w:hAnsi="Times New Roman" w:cs="Times New Roman"/>
          <w:lang w:eastAsia="zh-CN"/>
        </w:rPr>
        <w:t>“</w:t>
      </w:r>
      <w:r>
        <w:rPr>
          <w:rFonts w:hint="default" w:ascii="Times New Roman" w:hAnsi="Times New Roman" w:cs="Times New Roman"/>
        </w:rPr>
        <w:t>采用多样化的宣传形式，以生动形象、通俗易懂的方式向公众传递生态文明理念。</w:t>
      </w:r>
      <w:r>
        <w:rPr>
          <w:rFonts w:hint="default" w:ascii="Times New Roman" w:hAnsi="Times New Roman" w:cs="Times New Roman"/>
          <w:lang w:eastAsia="zh-CN"/>
        </w:rPr>
        <w:t>”</w:t>
      </w:r>
      <w:r>
        <w:rPr>
          <w:rFonts w:hint="default" w:ascii="Times New Roman" w:hAnsi="Times New Roman" w:cs="Times New Roman"/>
        </w:rPr>
        <w:t xml:space="preserve"> ；</w:t>
      </w:r>
      <w:bookmarkStart w:id="25" w:name="OLE_LINK6"/>
      <w:r>
        <w:rPr>
          <w:rFonts w:hint="default" w:ascii="Times New Roman" w:hAnsi="Times New Roman" w:cs="Times New Roman"/>
        </w:rPr>
        <w:t>8</w:t>
      </w:r>
      <w:bookmarkStart w:id="26" w:name="OLE_LINK8"/>
      <w:r>
        <w:rPr>
          <w:rFonts w:hint="default" w:ascii="Times New Roman" w:hAnsi="Times New Roman" w:cs="Times New Roman"/>
        </w:rPr>
        <w:t>.</w:t>
      </w:r>
      <w:bookmarkEnd w:id="26"/>
      <w:r>
        <w:rPr>
          <w:rFonts w:hint="default" w:ascii="Times New Roman" w:hAnsi="Times New Roman" w:cs="Times New Roman"/>
        </w:rPr>
        <w:t>3.2</w:t>
      </w:r>
      <w:bookmarkEnd w:id="25"/>
      <w:r>
        <w:rPr>
          <w:rFonts w:hint="default" w:ascii="Times New Roman" w:hAnsi="Times New Roman" w:cs="Times New Roman"/>
        </w:rPr>
        <w:t xml:space="preserve"> 校园报刊</w:t>
      </w:r>
      <w:r>
        <w:rPr>
          <w:rFonts w:hint="default" w:ascii="Times New Roman" w:hAnsi="Times New Roman" w:cs="Times New Roman"/>
          <w:lang w:eastAsia="zh-CN"/>
        </w:rPr>
        <w:t>“</w:t>
      </w:r>
      <w:r>
        <w:rPr>
          <w:rFonts w:hint="default" w:ascii="Times New Roman" w:hAnsi="Times New Roman" w:cs="Times New Roman"/>
          <w:color w:val="000000"/>
          <w:szCs w:val="21"/>
        </w:rPr>
        <w:t xml:space="preserve">开展人物访谈、寻找校园榜样等，宣传生态文化 教育活动概况及实践成果。 </w:t>
      </w:r>
      <w:r>
        <w:rPr>
          <w:rFonts w:hint="default" w:ascii="Times New Roman" w:hAnsi="Times New Roman" w:cs="Times New Roman"/>
          <w:lang w:eastAsia="zh-CN"/>
        </w:rPr>
        <w:t>”</w:t>
      </w:r>
      <w:r>
        <w:rPr>
          <w:rFonts w:hint="default" w:ascii="Times New Roman" w:hAnsi="Times New Roman" w:cs="Times New Roman"/>
        </w:rPr>
        <w:t>改为</w:t>
      </w:r>
      <w:r>
        <w:rPr>
          <w:rFonts w:hint="default" w:ascii="Times New Roman" w:hAnsi="Times New Roman" w:cs="Times New Roman"/>
          <w:lang w:eastAsia="zh-CN"/>
        </w:rPr>
        <w:t>“</w:t>
      </w:r>
      <w:r>
        <w:rPr>
          <w:rFonts w:hint="default" w:ascii="Times New Roman" w:hAnsi="Times New Roman" w:cs="Times New Roman"/>
        </w:rPr>
        <w:t>展现生态文化教育活动动态与实践硕果。</w:t>
      </w:r>
      <w:r>
        <w:rPr>
          <w:rFonts w:hint="default" w:ascii="Times New Roman" w:hAnsi="Times New Roman" w:cs="Times New Roman"/>
          <w:lang w:eastAsia="zh-CN"/>
        </w:rPr>
        <w:t>”</w:t>
      </w:r>
      <w:r>
        <w:rPr>
          <w:rFonts w:hint="default" w:ascii="Times New Roman" w:hAnsi="Times New Roman" w:cs="Times New Roman"/>
        </w:rPr>
        <w:t>；</w:t>
      </w:r>
      <w:bookmarkStart w:id="27" w:name="OLE_LINK7"/>
      <w:r>
        <w:rPr>
          <w:rFonts w:hint="default" w:ascii="Times New Roman" w:hAnsi="Times New Roman" w:cs="Times New Roman"/>
        </w:rPr>
        <w:t>8.3.3</w:t>
      </w:r>
      <w:bookmarkEnd w:id="27"/>
      <w:r>
        <w:rPr>
          <w:rFonts w:hint="default" w:ascii="Times New Roman" w:hAnsi="Times New Roman" w:cs="Times New Roman"/>
          <w:lang w:eastAsia="zh-CN"/>
        </w:rPr>
        <w:t>“</w:t>
      </w:r>
      <w:r>
        <w:rPr>
          <w:rFonts w:hint="default" w:ascii="Times New Roman" w:hAnsi="Times New Roman" w:cs="Times New Roman"/>
          <w:color w:val="000000"/>
          <w:szCs w:val="21"/>
        </w:rPr>
        <w:t>充分利用学校广播站、播放公益教育影片等形式，宣传环境绿化知识、健康教育知识等。</w:t>
      </w:r>
      <w:r>
        <w:rPr>
          <w:rFonts w:hint="default" w:ascii="Times New Roman" w:hAnsi="Times New Roman" w:cs="Times New Roman"/>
          <w:lang w:eastAsia="zh-CN"/>
        </w:rPr>
        <w:t>”</w:t>
      </w:r>
      <w:r>
        <w:rPr>
          <w:rFonts w:hint="default" w:ascii="Times New Roman" w:hAnsi="Times New Roman" w:cs="Times New Roman"/>
        </w:rPr>
        <w:t>改为</w:t>
      </w:r>
      <w:r>
        <w:rPr>
          <w:rFonts w:hint="default" w:ascii="Times New Roman" w:hAnsi="Times New Roman" w:cs="Times New Roman"/>
          <w:lang w:eastAsia="zh-CN"/>
        </w:rPr>
        <w:t>“</w:t>
      </w:r>
      <w:r>
        <w:rPr>
          <w:rFonts w:hint="default" w:ascii="Times New Roman" w:hAnsi="Times New Roman" w:cs="Times New Roman"/>
        </w:rPr>
        <w:t>利用学校广播媒介和公益教育影片等，传递环境绿化与健康教育知识，营造健康、绿色的校园风尚。</w:t>
      </w:r>
      <w:r>
        <w:rPr>
          <w:rFonts w:hint="default" w:ascii="Times New Roman" w:hAnsi="Times New Roman" w:cs="Times New Roman"/>
          <w:lang w:eastAsia="zh-CN"/>
        </w:rPr>
        <w:t>”</w:t>
      </w:r>
      <w:r>
        <w:rPr>
          <w:rFonts w:hint="default" w:ascii="Times New Roman" w:hAnsi="Times New Roman" w:cs="Times New Roman"/>
        </w:rPr>
        <w:t>；8.3.4</w:t>
      </w:r>
      <w:r>
        <w:rPr>
          <w:rFonts w:hint="default" w:ascii="Times New Roman" w:hAnsi="Times New Roman" w:cs="Times New Roman"/>
          <w:lang w:eastAsia="zh-CN"/>
        </w:rPr>
        <w:t>“</w:t>
      </w:r>
      <w:r>
        <w:rPr>
          <w:rFonts w:hint="default" w:ascii="Times New Roman" w:hAnsi="Times New Roman" w:cs="Times New Roman"/>
          <w:color w:val="000000"/>
          <w:szCs w:val="21"/>
        </w:rPr>
        <w:t>充分利用校园网，建立生态文化教育专题网页，运用微信、微博等新媒介，加强生态文化教育。</w:t>
      </w:r>
      <w:r>
        <w:rPr>
          <w:rFonts w:hint="default" w:ascii="Times New Roman" w:hAnsi="Times New Roman" w:cs="Times New Roman"/>
          <w:lang w:eastAsia="zh-CN"/>
        </w:rPr>
        <w:t>”</w:t>
      </w:r>
      <w:r>
        <w:rPr>
          <w:rFonts w:hint="default" w:ascii="Times New Roman" w:hAnsi="Times New Roman" w:cs="Times New Roman"/>
        </w:rPr>
        <w:t>改为</w:t>
      </w:r>
      <w:r>
        <w:rPr>
          <w:rFonts w:hint="default" w:ascii="Times New Roman" w:hAnsi="Times New Roman" w:cs="Times New Roman"/>
          <w:lang w:eastAsia="zh-CN"/>
        </w:rPr>
        <w:t>“</w:t>
      </w:r>
      <w:r>
        <w:rPr>
          <w:rFonts w:hint="default" w:ascii="Times New Roman" w:hAnsi="Times New Roman" w:cs="Times New Roman"/>
        </w:rPr>
        <w:t>利用校园网搭建集知识科普、互动交流、成果展示于一体的生态文化教育专题网页，利用微信、微博等新兴媒介推进生态文化教育工作。</w:t>
      </w:r>
      <w:r>
        <w:rPr>
          <w:rFonts w:hint="default" w:ascii="Times New Roman" w:hAnsi="Times New Roman" w:cs="Times New Roman"/>
          <w:lang w:eastAsia="zh-CN"/>
        </w:rPr>
        <w:t>”</w:t>
      </w:r>
      <w:r>
        <w:rPr>
          <w:rFonts w:hint="default" w:ascii="Times New Roman" w:hAnsi="Times New Roman" w:cs="Times New Roman"/>
        </w:rPr>
        <w:t>；</w:t>
      </w:r>
    </w:p>
    <w:p w14:paraId="6F876F7A">
      <w:pPr>
        <w:pStyle w:val="56"/>
        <w:numPr>
          <w:ilvl w:val="0"/>
          <w:numId w:val="32"/>
        </w:numPr>
        <w:ind w:firstLine="420"/>
        <w:rPr>
          <w:rFonts w:hint="default" w:ascii="Times New Roman" w:hAnsi="Times New Roman" w:cs="Times New Roman"/>
        </w:rPr>
      </w:pPr>
      <w:r>
        <w:rPr>
          <w:rFonts w:hint="default" w:ascii="Times New Roman" w:hAnsi="Times New Roman" w:cs="Times New Roman"/>
        </w:rPr>
        <w:t xml:space="preserve">第9章 </w:t>
      </w:r>
      <w:r>
        <w:rPr>
          <w:rFonts w:hint="default" w:ascii="Times New Roman" w:hAnsi="Times New Roman" w:cs="Times New Roman"/>
          <w:lang w:eastAsia="zh-CN"/>
        </w:rPr>
        <w:t>“</w:t>
      </w:r>
      <w:r>
        <w:rPr>
          <w:rFonts w:hint="default" w:ascii="Times New Roman" w:hAnsi="Times New Roman" w:cs="Times New Roman"/>
        </w:rPr>
        <w:t>维护管理</w:t>
      </w:r>
      <w:r>
        <w:rPr>
          <w:rFonts w:hint="default" w:ascii="Times New Roman" w:hAnsi="Times New Roman" w:cs="Times New Roman"/>
          <w:lang w:eastAsia="zh-CN"/>
        </w:rPr>
        <w:t>”</w:t>
      </w:r>
      <w:r>
        <w:rPr>
          <w:rFonts w:hint="default" w:ascii="Times New Roman" w:hAnsi="Times New Roman" w:cs="Times New Roman"/>
        </w:rPr>
        <w:t>改为</w:t>
      </w:r>
      <w:r>
        <w:rPr>
          <w:rFonts w:hint="default" w:ascii="Times New Roman" w:hAnsi="Times New Roman" w:cs="Times New Roman"/>
          <w:lang w:eastAsia="zh-CN"/>
        </w:rPr>
        <w:t>“</w:t>
      </w:r>
      <w:r>
        <w:rPr>
          <w:rFonts w:hint="default" w:ascii="Times New Roman" w:hAnsi="Times New Roman" w:cs="Times New Roman"/>
        </w:rPr>
        <w:t>景观维护管理</w:t>
      </w:r>
      <w:r>
        <w:rPr>
          <w:rFonts w:hint="default" w:ascii="Times New Roman" w:hAnsi="Times New Roman" w:cs="Times New Roman"/>
          <w:lang w:eastAsia="zh-CN"/>
        </w:rPr>
        <w:t>”</w:t>
      </w:r>
      <w:r>
        <w:rPr>
          <w:rFonts w:hint="default" w:ascii="Times New Roman" w:hAnsi="Times New Roman" w:cs="Times New Roman"/>
        </w:rPr>
        <w:t>；9.1 景观维护 增加9</w:t>
      </w:r>
      <w:bookmarkStart w:id="28" w:name="OLE_LINK9"/>
      <w:r>
        <w:rPr>
          <w:rFonts w:hint="default" w:ascii="Times New Roman" w:hAnsi="Times New Roman" w:cs="Times New Roman"/>
        </w:rPr>
        <w:t>.</w:t>
      </w:r>
      <w:bookmarkEnd w:id="28"/>
      <w:r>
        <w:rPr>
          <w:rFonts w:hint="default" w:ascii="Times New Roman" w:hAnsi="Times New Roman" w:cs="Times New Roman"/>
        </w:rPr>
        <w:t>1.8 浇灌；</w:t>
      </w:r>
    </w:p>
    <w:p w14:paraId="26EC1EAC">
      <w:pPr>
        <w:pStyle w:val="56"/>
        <w:numPr>
          <w:ilvl w:val="0"/>
          <w:numId w:val="32"/>
        </w:numPr>
        <w:ind w:firstLine="420"/>
        <w:rPr>
          <w:rFonts w:hint="default" w:ascii="Times New Roman" w:hAnsi="Times New Roman" w:cs="Times New Roman"/>
        </w:rPr>
      </w:pPr>
      <w:r>
        <w:rPr>
          <w:rFonts w:hint="default" w:ascii="Times New Roman" w:hAnsi="Times New Roman" w:cs="Times New Roman"/>
        </w:rPr>
        <w:t>第9章 中的9.2 绿化维护中的</w:t>
      </w:r>
      <w:r>
        <w:rPr>
          <w:rFonts w:hint="default" w:ascii="Times New Roman" w:hAnsi="Times New Roman" w:cs="Times New Roman"/>
          <w:lang w:eastAsia="zh-CN"/>
        </w:rPr>
        <w:t>“</w:t>
      </w:r>
      <w:r>
        <w:rPr>
          <w:rFonts w:hint="default" w:ascii="Times New Roman" w:hAnsi="Times New Roman" w:cs="Times New Roman"/>
        </w:rPr>
        <w:t>9.2.1 乔灌木及绿篱、9.2.2 草本花卉、9.2.3 草坪、9.2.4 地被植物、9.2.5 水生湿地植物、9.2.6 校园绿地、9.2.7 古树名木</w:t>
      </w:r>
      <w:r>
        <w:rPr>
          <w:rFonts w:hint="default" w:ascii="Times New Roman" w:hAnsi="Times New Roman" w:cs="Times New Roman"/>
          <w:lang w:eastAsia="zh-CN"/>
        </w:rPr>
        <w:t>”</w:t>
      </w:r>
      <w:r>
        <w:rPr>
          <w:rFonts w:hint="default" w:ascii="Times New Roman" w:hAnsi="Times New Roman" w:cs="Times New Roman"/>
        </w:rPr>
        <w:t>改为</w:t>
      </w:r>
      <w:r>
        <w:rPr>
          <w:rFonts w:hint="default" w:ascii="Times New Roman" w:hAnsi="Times New Roman" w:cs="Times New Roman"/>
          <w:lang w:eastAsia="zh-CN"/>
        </w:rPr>
        <w:t>“</w:t>
      </w:r>
      <w:r>
        <w:rPr>
          <w:rFonts w:hint="default" w:ascii="Times New Roman" w:hAnsi="Times New Roman" w:cs="Times New Roman"/>
        </w:rPr>
        <w:t>9.2.1 浇水、9.2.2 施肥、9.2.3 修剪、9.2.4 病虫害防治、9.2.5 除草、9.2.6 校园绿地可持续管理、9.2.7 古树名木</w:t>
      </w:r>
      <w:r>
        <w:rPr>
          <w:rFonts w:hint="default" w:ascii="Times New Roman" w:hAnsi="Times New Roman" w:cs="Times New Roman"/>
          <w:lang w:eastAsia="zh-CN"/>
        </w:rPr>
        <w:t>”</w:t>
      </w:r>
      <w:r>
        <w:rPr>
          <w:rFonts w:hint="default" w:ascii="Times New Roman" w:hAnsi="Times New Roman" w:cs="Times New Roman"/>
        </w:rPr>
        <w:t>，其标题及内容做了相关的修订。</w:t>
      </w:r>
    </w:p>
    <w:p w14:paraId="19C3F528">
      <w:pPr>
        <w:pStyle w:val="56"/>
        <w:ind w:firstLine="0" w:firstLineChars="0"/>
      </w:pPr>
    </w:p>
    <w:p w14:paraId="0498DC02">
      <w:pPr>
        <w:pStyle w:val="56"/>
        <w:ind w:firstLine="0" w:firstLineChars="0"/>
        <w:sectPr>
          <w:pgSz w:w="11906" w:h="16838"/>
          <w:pgMar w:top="1928" w:right="1134" w:bottom="1134" w:left="1134" w:header="1418" w:footer="1134" w:gutter="284"/>
          <w:pgNumType w:fmt="upperRoman"/>
          <w:cols w:space="425" w:num="1"/>
          <w:formProt w:val="0"/>
          <w:docGrid w:type="lines" w:linePitch="312" w:charSpace="0"/>
        </w:sectPr>
      </w:pPr>
    </w:p>
    <w:bookmarkEnd w:id="22"/>
    <w:p w14:paraId="62691E7F">
      <w:pPr>
        <w:spacing w:line="20" w:lineRule="exact"/>
        <w:jc w:val="center"/>
        <w:rPr>
          <w:rFonts w:ascii="黑体" w:hAnsi="黑体" w:eastAsia="黑体"/>
          <w:sz w:val="32"/>
          <w:szCs w:val="32"/>
        </w:rPr>
      </w:pPr>
      <w:bookmarkStart w:id="29" w:name="BookMark4"/>
    </w:p>
    <w:p w14:paraId="724EAD9D">
      <w:pPr>
        <w:spacing w:line="20" w:lineRule="exact"/>
        <w:jc w:val="center"/>
        <w:rPr>
          <w:rFonts w:ascii="黑体" w:hAnsi="黑体" w:eastAsia="黑体"/>
          <w:sz w:val="32"/>
          <w:szCs w:val="32"/>
        </w:rPr>
      </w:pPr>
    </w:p>
    <w:sdt>
      <w:sdtPr>
        <w:tag w:val="NEW_STAND_NAME"/>
        <w:id w:val="595910757"/>
        <w:lock w:val="sdtLocked"/>
        <w:placeholder>
          <w:docPart w:val="F658D2B7869F4597853B13A445C74CBD"/>
        </w:placeholder>
      </w:sdtPr>
      <w:sdtContent>
        <w:p w14:paraId="41734C6E">
          <w:pPr>
            <w:pStyle w:val="177"/>
            <w:spacing w:before="312" w:beforeLines="100" w:after="686" w:afterLines="220"/>
          </w:pPr>
          <w:bookmarkStart w:id="30" w:name="NEW_STAND_NAME"/>
          <w:r>
            <w:rPr>
              <w:rFonts w:hint="eastAsia"/>
            </w:rPr>
            <w:t>普通高等学校生态校园建设规范</w:t>
          </w:r>
        </w:p>
      </w:sdtContent>
    </w:sdt>
    <w:bookmarkEnd w:id="30"/>
    <w:p w14:paraId="064E5083">
      <w:pPr>
        <w:pStyle w:val="104"/>
        <w:spacing w:before="312" w:after="312"/>
        <w:rPr>
          <w:rFonts w:ascii="Times New Roman"/>
        </w:rPr>
      </w:pPr>
      <w:bookmarkStart w:id="31" w:name="_Toc97191423"/>
      <w:bookmarkStart w:id="32" w:name="_Toc24884218"/>
      <w:bookmarkStart w:id="33" w:name="_Toc17233333"/>
      <w:bookmarkStart w:id="34" w:name="_Toc201072216"/>
      <w:bookmarkStart w:id="35" w:name="_Toc17233325"/>
      <w:bookmarkStart w:id="36" w:name="_Toc26986771"/>
      <w:bookmarkStart w:id="37" w:name="_Toc24884211"/>
      <w:bookmarkStart w:id="38" w:name="_Toc26718930"/>
      <w:bookmarkStart w:id="39" w:name="_Toc201072203"/>
      <w:bookmarkStart w:id="40" w:name="_Toc26986530"/>
      <w:bookmarkStart w:id="41" w:name="_Toc26648465"/>
      <w:r>
        <w:rPr>
          <w:rFonts w:ascii="Times New Roman"/>
        </w:rPr>
        <w:t>范围</w:t>
      </w:r>
      <w:bookmarkEnd w:id="31"/>
      <w:bookmarkEnd w:id="32"/>
      <w:bookmarkEnd w:id="33"/>
      <w:bookmarkEnd w:id="34"/>
      <w:bookmarkEnd w:id="35"/>
      <w:bookmarkEnd w:id="36"/>
      <w:bookmarkEnd w:id="37"/>
      <w:bookmarkEnd w:id="38"/>
      <w:bookmarkEnd w:id="39"/>
      <w:bookmarkEnd w:id="40"/>
      <w:bookmarkEnd w:id="41"/>
    </w:p>
    <w:p w14:paraId="3E918CCF">
      <w:pPr>
        <w:ind w:firstLine="420" w:firstLineChars="200"/>
        <w:rPr>
          <w:rFonts w:ascii="Times New Roman" w:hAnsi="Times New Roman"/>
          <w:kern w:val="0"/>
        </w:rPr>
      </w:pPr>
      <w:bookmarkStart w:id="42" w:name="_Toc17233334"/>
      <w:bookmarkStart w:id="43" w:name="_Toc17233326"/>
      <w:bookmarkStart w:id="44" w:name="_Toc24884212"/>
      <w:bookmarkStart w:id="45" w:name="_Toc24884219"/>
      <w:bookmarkStart w:id="46" w:name="_Toc26648466"/>
      <w:r>
        <w:rPr>
          <w:rFonts w:ascii="Times New Roman" w:hAnsi="Times New Roman"/>
        </w:rPr>
        <w:t>本文件规</w:t>
      </w:r>
      <w:r>
        <w:rPr>
          <w:rFonts w:ascii="Times New Roman" w:hAnsi="Times New Roman"/>
          <w:spacing w:val="-3"/>
        </w:rPr>
        <w:t>定</w:t>
      </w:r>
      <w:r>
        <w:rPr>
          <w:rFonts w:ascii="Times New Roman" w:hAnsi="Times New Roman"/>
        </w:rPr>
        <w:t>了普通高等学校</w:t>
      </w:r>
      <w:r>
        <w:rPr>
          <w:rFonts w:ascii="Times New Roman" w:hAnsi="Times New Roman"/>
          <w:spacing w:val="-3"/>
        </w:rPr>
        <w:t>生</w:t>
      </w:r>
      <w:r>
        <w:rPr>
          <w:rFonts w:ascii="Times New Roman" w:hAnsi="Times New Roman"/>
        </w:rPr>
        <w:t>态</w:t>
      </w:r>
      <w:r>
        <w:rPr>
          <w:rFonts w:ascii="Times New Roman" w:hAnsi="Times New Roman"/>
          <w:spacing w:val="-3"/>
        </w:rPr>
        <w:t>校</w:t>
      </w:r>
      <w:r>
        <w:rPr>
          <w:rFonts w:ascii="Times New Roman" w:hAnsi="Times New Roman"/>
        </w:rPr>
        <w:t>园建设的规</w:t>
      </w:r>
      <w:r>
        <w:rPr>
          <w:rFonts w:ascii="Times New Roman" w:hAnsi="Times New Roman"/>
          <w:spacing w:val="-3"/>
        </w:rPr>
        <w:t>划原则</w:t>
      </w:r>
      <w:r>
        <w:rPr>
          <w:rFonts w:ascii="Times New Roman" w:hAnsi="Times New Roman"/>
          <w:spacing w:val="-24"/>
        </w:rPr>
        <w:t>、</w:t>
      </w:r>
      <w:r>
        <w:rPr>
          <w:rFonts w:ascii="Times New Roman" w:hAnsi="Times New Roman"/>
          <w:spacing w:val="-3"/>
        </w:rPr>
        <w:t>景</w:t>
      </w:r>
      <w:r>
        <w:rPr>
          <w:rFonts w:ascii="Times New Roman" w:hAnsi="Times New Roman"/>
        </w:rPr>
        <w:t>观设</w:t>
      </w:r>
      <w:r>
        <w:rPr>
          <w:rFonts w:ascii="Times New Roman" w:hAnsi="Times New Roman"/>
          <w:spacing w:val="-3"/>
        </w:rPr>
        <w:t>计</w:t>
      </w:r>
      <w:r>
        <w:rPr>
          <w:rFonts w:ascii="Times New Roman" w:hAnsi="Times New Roman"/>
          <w:spacing w:val="-24"/>
        </w:rPr>
        <w:t>、</w:t>
      </w:r>
      <w:r>
        <w:rPr>
          <w:rFonts w:ascii="Times New Roman" w:hAnsi="Times New Roman"/>
          <w:spacing w:val="-3"/>
        </w:rPr>
        <w:t>植</w:t>
      </w:r>
      <w:r>
        <w:rPr>
          <w:rFonts w:ascii="Times New Roman" w:hAnsi="Times New Roman"/>
        </w:rPr>
        <w:t>物</w:t>
      </w:r>
      <w:r>
        <w:rPr>
          <w:rFonts w:ascii="Times New Roman" w:hAnsi="Times New Roman"/>
          <w:spacing w:val="-3"/>
        </w:rPr>
        <w:t>布</w:t>
      </w:r>
      <w:r>
        <w:rPr>
          <w:rFonts w:ascii="Times New Roman" w:hAnsi="Times New Roman"/>
        </w:rPr>
        <w:t>局</w:t>
      </w:r>
      <w:r>
        <w:rPr>
          <w:rFonts w:ascii="Times New Roman" w:hAnsi="Times New Roman"/>
          <w:spacing w:val="-3"/>
        </w:rPr>
        <w:t>与配</w:t>
      </w:r>
      <w:r>
        <w:rPr>
          <w:rFonts w:ascii="Times New Roman" w:hAnsi="Times New Roman"/>
          <w:spacing w:val="-2"/>
        </w:rPr>
        <w:t>置、生态建筑、生态文化教育及宣传</w:t>
      </w:r>
      <w:r>
        <w:rPr>
          <w:rFonts w:hint="eastAsia" w:ascii="Times New Roman" w:hAnsi="Times New Roman"/>
          <w:spacing w:val="-2"/>
        </w:rPr>
        <w:t>和</w:t>
      </w:r>
      <w:r>
        <w:rPr>
          <w:rFonts w:ascii="Times New Roman" w:hAnsi="Times New Roman"/>
          <w:spacing w:val="-2"/>
        </w:rPr>
        <w:t>景观维护管理</w:t>
      </w:r>
      <w:r>
        <w:rPr>
          <w:rFonts w:hint="eastAsia" w:ascii="Times New Roman" w:hAnsi="Times New Roman"/>
          <w:spacing w:val="-2"/>
        </w:rPr>
        <w:t>等要求</w:t>
      </w:r>
      <w:r>
        <w:rPr>
          <w:rFonts w:ascii="Times New Roman" w:hAnsi="Times New Roman"/>
          <w:spacing w:val="-2"/>
        </w:rPr>
        <w:t>。</w:t>
      </w:r>
    </w:p>
    <w:p w14:paraId="5E26F685">
      <w:pPr>
        <w:pStyle w:val="56"/>
        <w:ind w:firstLine="412"/>
        <w:rPr>
          <w:rFonts w:ascii="Times New Roman"/>
        </w:rPr>
      </w:pPr>
      <w:r>
        <w:rPr>
          <w:rFonts w:ascii="Times New Roman"/>
          <w:spacing w:val="-2"/>
          <w:szCs w:val="21"/>
        </w:rPr>
        <w:t>本文件适用于湖南省普通高等学校生态校园的建设。</w:t>
      </w:r>
    </w:p>
    <w:p w14:paraId="51FE189F">
      <w:pPr>
        <w:pStyle w:val="104"/>
        <w:spacing w:before="312" w:after="312"/>
        <w:rPr>
          <w:rFonts w:ascii="Times New Roman"/>
        </w:rPr>
      </w:pPr>
      <w:bookmarkStart w:id="47" w:name="_Toc201072217"/>
      <w:bookmarkStart w:id="48" w:name="_Toc97191424"/>
      <w:bookmarkStart w:id="49" w:name="_Toc26986531"/>
      <w:bookmarkStart w:id="50" w:name="_Toc201072204"/>
      <w:bookmarkStart w:id="51" w:name="_Toc26986772"/>
      <w:bookmarkStart w:id="52" w:name="_Toc26718931"/>
      <w:r>
        <w:rPr>
          <w:rFonts w:ascii="Times New Roman"/>
        </w:rPr>
        <w:t>规范性引用文件</w:t>
      </w:r>
      <w:bookmarkEnd w:id="42"/>
      <w:bookmarkEnd w:id="43"/>
      <w:bookmarkEnd w:id="44"/>
      <w:bookmarkEnd w:id="45"/>
      <w:bookmarkEnd w:id="46"/>
      <w:bookmarkEnd w:id="47"/>
      <w:bookmarkEnd w:id="48"/>
      <w:bookmarkEnd w:id="49"/>
      <w:bookmarkEnd w:id="50"/>
      <w:bookmarkEnd w:id="51"/>
      <w:bookmarkEnd w:id="52"/>
    </w:p>
    <w:sdt>
      <w:sdtPr>
        <w:rPr>
          <w:rFonts w:ascii="Times New Roman"/>
        </w:rPr>
        <w:id w:val="715848253"/>
        <w:placeholder>
          <w:docPart w:val="C125D299531B48289B112758861744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14B4B4EF">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D7E7AD">
      <w:pPr>
        <w:pStyle w:val="56"/>
        <w:ind w:firstLine="420"/>
        <w:rPr>
          <w:rFonts w:ascii="Times New Roman"/>
        </w:rPr>
      </w:pPr>
      <w:bookmarkStart w:id="53" w:name="_Toc97191425"/>
      <w:bookmarkStart w:id="54" w:name="_Toc201072218"/>
      <w:bookmarkStart w:id="55" w:name="_Toc201072205"/>
      <w:r>
        <w:rPr>
          <w:rFonts w:ascii="Times New Roman"/>
        </w:rPr>
        <w:t xml:space="preserve">GB 3096 声环境质量标准 </w:t>
      </w:r>
    </w:p>
    <w:p w14:paraId="3FF4E018">
      <w:pPr>
        <w:pStyle w:val="56"/>
        <w:ind w:firstLine="420"/>
        <w:rPr>
          <w:rFonts w:ascii="Times New Roman"/>
        </w:rPr>
      </w:pPr>
      <w:r>
        <w:rPr>
          <w:rFonts w:ascii="Times New Roman"/>
        </w:rPr>
        <w:t xml:space="preserve">GB 5084 农田灌溉水质标准 </w:t>
      </w:r>
    </w:p>
    <w:p w14:paraId="362BFA27">
      <w:pPr>
        <w:pStyle w:val="56"/>
        <w:ind w:firstLine="420"/>
        <w:rPr>
          <w:rFonts w:ascii="Times New Roman"/>
        </w:rPr>
      </w:pPr>
      <w:r>
        <w:rPr>
          <w:rFonts w:ascii="Times New Roman"/>
        </w:rPr>
        <w:t>GB 6566 建筑材料放射性核素限量</w:t>
      </w:r>
    </w:p>
    <w:p w14:paraId="0A6A763C">
      <w:pPr>
        <w:pStyle w:val="56"/>
        <w:ind w:firstLine="420"/>
        <w:rPr>
          <w:rFonts w:ascii="Times New Roman"/>
        </w:rPr>
      </w:pPr>
      <w:r>
        <w:rPr>
          <w:rFonts w:ascii="Times New Roman"/>
        </w:rPr>
        <w:t xml:space="preserve">GB 18580 室内装饰装修材料人造板及其制品中甲醛释放限量 </w:t>
      </w:r>
    </w:p>
    <w:p w14:paraId="04077201">
      <w:pPr>
        <w:pStyle w:val="56"/>
        <w:ind w:firstLine="420"/>
        <w:rPr>
          <w:rFonts w:ascii="Times New Roman"/>
        </w:rPr>
      </w:pPr>
      <w:r>
        <w:rPr>
          <w:rFonts w:ascii="Times New Roman"/>
        </w:rPr>
        <w:t xml:space="preserve">GB 18581 木器涂料中有害物质限量      </w:t>
      </w:r>
    </w:p>
    <w:p w14:paraId="272CF7B0">
      <w:pPr>
        <w:pStyle w:val="56"/>
        <w:ind w:firstLine="420"/>
        <w:rPr>
          <w:rFonts w:ascii="Times New Roman"/>
        </w:rPr>
      </w:pPr>
      <w:r>
        <w:rPr>
          <w:rFonts w:ascii="Times New Roman"/>
        </w:rPr>
        <w:t xml:space="preserve">GB 18582 建筑用墙面涂料中有害物质限量 </w:t>
      </w:r>
    </w:p>
    <w:p w14:paraId="3662FF58">
      <w:pPr>
        <w:pStyle w:val="56"/>
        <w:ind w:firstLine="420"/>
        <w:rPr>
          <w:rFonts w:ascii="Times New Roman"/>
        </w:rPr>
      </w:pPr>
      <w:r>
        <w:rPr>
          <w:rFonts w:ascii="Times New Roman"/>
        </w:rPr>
        <w:t xml:space="preserve">GB 18583 室内装饰装修材料胶粘剂中有害物质限量 </w:t>
      </w:r>
    </w:p>
    <w:p w14:paraId="40EC7A1A">
      <w:pPr>
        <w:pStyle w:val="56"/>
        <w:ind w:firstLine="420"/>
        <w:rPr>
          <w:rFonts w:ascii="Times New Roman"/>
        </w:rPr>
      </w:pPr>
      <w:r>
        <w:rPr>
          <w:rFonts w:ascii="Times New Roman"/>
        </w:rPr>
        <w:t xml:space="preserve">GB 18584 家具中有害物质限量 </w:t>
      </w:r>
    </w:p>
    <w:p w14:paraId="35C52703">
      <w:pPr>
        <w:pStyle w:val="56"/>
        <w:ind w:firstLine="420"/>
        <w:rPr>
          <w:rFonts w:ascii="Times New Roman"/>
        </w:rPr>
      </w:pPr>
      <w:r>
        <w:rPr>
          <w:rFonts w:ascii="Times New Roman"/>
        </w:rPr>
        <w:t xml:space="preserve">GB 18585 室内装饰装修材料壁纸中有害物质限量 </w:t>
      </w:r>
    </w:p>
    <w:p w14:paraId="271FB09C">
      <w:pPr>
        <w:pStyle w:val="56"/>
        <w:ind w:firstLine="420"/>
        <w:rPr>
          <w:rFonts w:ascii="Times New Roman"/>
        </w:rPr>
      </w:pPr>
      <w:r>
        <w:rPr>
          <w:rFonts w:ascii="Times New Roman"/>
        </w:rPr>
        <w:t xml:space="preserve">GB 18586 室内装饰装修材料聚氯乙烯卷材地板中有害物质限量 </w:t>
      </w:r>
    </w:p>
    <w:p w14:paraId="0BEFB242">
      <w:pPr>
        <w:pStyle w:val="56"/>
        <w:ind w:firstLine="420"/>
        <w:rPr>
          <w:rFonts w:ascii="Times New Roman"/>
        </w:rPr>
      </w:pPr>
      <w:r>
        <w:rPr>
          <w:rFonts w:ascii="Times New Roman"/>
        </w:rPr>
        <w:t xml:space="preserve">GB 18587 室内装饰装修材料地毯、地毯衬垫及地毯用胶粘剂中有害物质 </w:t>
      </w:r>
    </w:p>
    <w:p w14:paraId="69CC88BF">
      <w:pPr>
        <w:pStyle w:val="56"/>
        <w:ind w:firstLine="420"/>
        <w:rPr>
          <w:rFonts w:ascii="Times New Roman"/>
        </w:rPr>
      </w:pPr>
      <w:r>
        <w:rPr>
          <w:rFonts w:ascii="Times New Roman"/>
        </w:rPr>
        <w:t xml:space="preserve">GB 18588 混凝土外加剂中释放氨的限量 </w:t>
      </w:r>
    </w:p>
    <w:p w14:paraId="7E56686F">
      <w:pPr>
        <w:pStyle w:val="56"/>
        <w:ind w:firstLine="420"/>
        <w:rPr>
          <w:rFonts w:ascii="Times New Roman"/>
        </w:rPr>
      </w:pPr>
      <w:r>
        <w:rPr>
          <w:rFonts w:ascii="Times New Roman"/>
        </w:rPr>
        <w:t>GB 89</w:t>
      </w:r>
      <w:r>
        <w:rPr>
          <w:rFonts w:hint="eastAsia" w:ascii="Times New Roman"/>
        </w:rPr>
        <w:t>7</w:t>
      </w:r>
      <w:r>
        <w:rPr>
          <w:rFonts w:ascii="Times New Roman"/>
        </w:rPr>
        <w:t xml:space="preserve">8 </w:t>
      </w:r>
      <w:r>
        <w:rPr>
          <w:rFonts w:hint="eastAsia" w:ascii="Times New Roman"/>
        </w:rPr>
        <w:t xml:space="preserve"> </w:t>
      </w:r>
      <w:r>
        <w:rPr>
          <w:rFonts w:ascii="Times New Roman"/>
        </w:rPr>
        <w:t>污水</w:t>
      </w:r>
      <w:r>
        <w:rPr>
          <w:rFonts w:hint="eastAsia" w:ascii="Times New Roman"/>
        </w:rPr>
        <w:t>综合</w:t>
      </w:r>
      <w:r>
        <w:rPr>
          <w:rFonts w:ascii="Times New Roman"/>
        </w:rPr>
        <w:t>排放标准</w:t>
      </w:r>
    </w:p>
    <w:p w14:paraId="3EEEA0F9">
      <w:pPr>
        <w:pStyle w:val="56"/>
        <w:ind w:firstLine="420"/>
        <w:rPr>
          <w:rFonts w:ascii="Times New Roman"/>
        </w:rPr>
      </w:pPr>
      <w:r>
        <w:rPr>
          <w:rFonts w:ascii="Times New Roman"/>
        </w:rPr>
        <w:t>GB/T 31755 绿化植物废弃物处置和应用技术规程</w:t>
      </w:r>
    </w:p>
    <w:p w14:paraId="1B00F252">
      <w:pPr>
        <w:pStyle w:val="56"/>
        <w:ind w:firstLine="420"/>
        <w:rPr>
          <w:rFonts w:ascii="Times New Roman"/>
        </w:rPr>
      </w:pPr>
      <w:r>
        <w:rPr>
          <w:rFonts w:ascii="Times New Roman"/>
        </w:rPr>
        <w:t>GB 50033 建筑采光设计标准</w:t>
      </w:r>
    </w:p>
    <w:p w14:paraId="207C9CD0">
      <w:pPr>
        <w:pStyle w:val="56"/>
        <w:ind w:firstLine="420"/>
        <w:rPr>
          <w:rFonts w:ascii="Times New Roman"/>
        </w:rPr>
      </w:pPr>
      <w:r>
        <w:rPr>
          <w:rFonts w:ascii="Times New Roman"/>
        </w:rPr>
        <w:t xml:space="preserve">GB/T 50034 建筑照明设计标准  </w:t>
      </w:r>
    </w:p>
    <w:p w14:paraId="22BB3CA0">
      <w:pPr>
        <w:pStyle w:val="56"/>
        <w:ind w:firstLine="420"/>
        <w:rPr>
          <w:rFonts w:ascii="Times New Roman"/>
        </w:rPr>
      </w:pPr>
      <w:r>
        <w:rPr>
          <w:rFonts w:ascii="Times New Roman"/>
        </w:rPr>
        <w:t xml:space="preserve">GB 50118 民用建筑隔声设计规范 </w:t>
      </w:r>
    </w:p>
    <w:p w14:paraId="4B84A7AB">
      <w:pPr>
        <w:pStyle w:val="56"/>
        <w:ind w:firstLine="420"/>
        <w:rPr>
          <w:rFonts w:ascii="Times New Roman"/>
        </w:rPr>
      </w:pPr>
      <w:r>
        <w:rPr>
          <w:rFonts w:ascii="Times New Roman"/>
        </w:rPr>
        <w:t xml:space="preserve">GB 50176 民用建筑热工设计规范 </w:t>
      </w:r>
    </w:p>
    <w:p w14:paraId="60272BC8">
      <w:pPr>
        <w:pStyle w:val="56"/>
        <w:ind w:firstLine="420"/>
        <w:rPr>
          <w:rFonts w:ascii="Times New Roman"/>
        </w:rPr>
      </w:pPr>
      <w:r>
        <w:rPr>
          <w:rFonts w:ascii="Times New Roman"/>
        </w:rPr>
        <w:t xml:space="preserve">GB 50189 公共建筑节能设计标准 </w:t>
      </w:r>
    </w:p>
    <w:p w14:paraId="3FA661A8">
      <w:pPr>
        <w:pStyle w:val="56"/>
        <w:ind w:firstLine="420"/>
        <w:rPr>
          <w:rFonts w:ascii="Times New Roman"/>
        </w:rPr>
      </w:pPr>
      <w:r>
        <w:rPr>
          <w:rFonts w:ascii="Times New Roman"/>
        </w:rPr>
        <w:t xml:space="preserve">GB 50300 建筑工程施工质量验收统一标准 </w:t>
      </w:r>
    </w:p>
    <w:p w14:paraId="0509E29D">
      <w:pPr>
        <w:pStyle w:val="56"/>
        <w:ind w:firstLine="420"/>
        <w:rPr>
          <w:rFonts w:ascii="Times New Roman"/>
        </w:rPr>
      </w:pPr>
      <w:r>
        <w:rPr>
          <w:rFonts w:ascii="Times New Roman"/>
        </w:rPr>
        <w:t>GB/T 50319 建设工程监理规范</w:t>
      </w:r>
    </w:p>
    <w:p w14:paraId="07F64DD8">
      <w:pPr>
        <w:pStyle w:val="56"/>
        <w:ind w:firstLine="420"/>
        <w:rPr>
          <w:rFonts w:ascii="Times New Roman"/>
        </w:rPr>
      </w:pPr>
      <w:r>
        <w:rPr>
          <w:rFonts w:ascii="Times New Roman"/>
        </w:rPr>
        <w:t xml:space="preserve">GB 50352 民用建筑设计统一标准    </w:t>
      </w:r>
    </w:p>
    <w:p w14:paraId="7B1C846C">
      <w:pPr>
        <w:pStyle w:val="56"/>
        <w:ind w:firstLine="420"/>
        <w:rPr>
          <w:rFonts w:ascii="Times New Roman"/>
        </w:rPr>
      </w:pPr>
      <w:r>
        <w:rPr>
          <w:rFonts w:ascii="Times New Roman"/>
        </w:rPr>
        <w:t>GB/T 50378 绿色建筑评价标准</w:t>
      </w:r>
    </w:p>
    <w:p w14:paraId="1EAE8D4E">
      <w:pPr>
        <w:pStyle w:val="56"/>
        <w:ind w:firstLine="420"/>
        <w:rPr>
          <w:rFonts w:ascii="Times New Roman"/>
        </w:rPr>
      </w:pPr>
      <w:r>
        <w:rPr>
          <w:rFonts w:ascii="Times New Roman"/>
        </w:rPr>
        <w:t xml:space="preserve">GB 50411 建筑节能工程施工质量验收标准 </w:t>
      </w:r>
    </w:p>
    <w:p w14:paraId="259AD614">
      <w:pPr>
        <w:pStyle w:val="56"/>
        <w:ind w:firstLine="420"/>
        <w:rPr>
          <w:rFonts w:ascii="Times New Roman"/>
        </w:rPr>
      </w:pPr>
      <w:r>
        <w:rPr>
          <w:rFonts w:ascii="Times New Roman"/>
        </w:rPr>
        <w:t>GB 50763 无障碍设计规范</w:t>
      </w:r>
    </w:p>
    <w:p w14:paraId="6A8B49BF">
      <w:pPr>
        <w:pStyle w:val="56"/>
        <w:ind w:firstLine="420"/>
        <w:rPr>
          <w:rFonts w:ascii="Times New Roman"/>
        </w:rPr>
      </w:pPr>
      <w:r>
        <w:rPr>
          <w:rFonts w:ascii="Times New Roman"/>
        </w:rPr>
        <w:t>GB/T 50905 建筑工程绿色施工规范</w:t>
      </w:r>
    </w:p>
    <w:p w14:paraId="2725DB72">
      <w:pPr>
        <w:pStyle w:val="56"/>
        <w:ind w:firstLine="420"/>
        <w:rPr>
          <w:rFonts w:ascii="Times New Roman"/>
        </w:rPr>
      </w:pPr>
      <w:r>
        <w:rPr>
          <w:rFonts w:ascii="Times New Roman"/>
        </w:rPr>
        <w:t xml:space="preserve">GB 50966 电动汽车充电站设计规范  </w:t>
      </w:r>
    </w:p>
    <w:p w14:paraId="00C846B3">
      <w:pPr>
        <w:pStyle w:val="56"/>
        <w:ind w:firstLine="420"/>
        <w:rPr>
          <w:rFonts w:ascii="Times New Roman"/>
        </w:rPr>
      </w:pPr>
      <w:r>
        <w:rPr>
          <w:rFonts w:ascii="Times New Roman"/>
        </w:rPr>
        <w:t xml:space="preserve">GB 51192 公园设计规范 </w:t>
      </w:r>
    </w:p>
    <w:p w14:paraId="0CBB1A67">
      <w:pPr>
        <w:pStyle w:val="56"/>
        <w:ind w:firstLine="420"/>
        <w:rPr>
          <w:rFonts w:ascii="Times New Roman"/>
        </w:rPr>
      </w:pPr>
      <w:r>
        <w:rPr>
          <w:rFonts w:ascii="Times New Roman"/>
        </w:rPr>
        <w:t>GB/T 51356 绿色校园评价标准</w:t>
      </w:r>
    </w:p>
    <w:p w14:paraId="6ED00432">
      <w:pPr>
        <w:pStyle w:val="56"/>
        <w:ind w:firstLine="420"/>
        <w:rPr>
          <w:rFonts w:ascii="Times New Roman"/>
        </w:rPr>
      </w:pPr>
      <w:r>
        <w:rPr>
          <w:rFonts w:ascii="Times New Roman"/>
        </w:rPr>
        <w:t>CJ/T 24 园林绿化木本苗</w:t>
      </w:r>
    </w:p>
    <w:p w14:paraId="09EE624D">
      <w:pPr>
        <w:pStyle w:val="56"/>
        <w:ind w:firstLine="420"/>
        <w:rPr>
          <w:rFonts w:ascii="Times New Roman"/>
        </w:rPr>
      </w:pPr>
      <w:r>
        <w:rPr>
          <w:rFonts w:ascii="Times New Roman"/>
        </w:rPr>
        <w:t>HJ 556  农药使用环境安全技术导则</w:t>
      </w:r>
    </w:p>
    <w:p w14:paraId="50F0C12D">
      <w:pPr>
        <w:pStyle w:val="56"/>
        <w:ind w:firstLine="420"/>
        <w:rPr>
          <w:rFonts w:ascii="Times New Roman"/>
        </w:rPr>
      </w:pPr>
      <w:r>
        <w:rPr>
          <w:rFonts w:ascii="Times New Roman"/>
        </w:rPr>
        <w:t xml:space="preserve">JGJ 134 夏热冬冷地区居住建筑节能设计标准 </w:t>
      </w:r>
    </w:p>
    <w:p w14:paraId="48F73858">
      <w:pPr>
        <w:pStyle w:val="56"/>
        <w:ind w:firstLine="420"/>
        <w:rPr>
          <w:rFonts w:ascii="Times New Roman"/>
        </w:rPr>
      </w:pPr>
      <w:r>
        <w:rPr>
          <w:rFonts w:ascii="Times New Roman"/>
        </w:rPr>
        <w:t xml:space="preserve">JGJ 176 公共建筑节能改造技术规范 </w:t>
      </w:r>
    </w:p>
    <w:p w14:paraId="6AD0FDC5">
      <w:pPr>
        <w:pStyle w:val="56"/>
        <w:ind w:firstLine="420"/>
        <w:rPr>
          <w:rFonts w:ascii="Times New Roman"/>
        </w:rPr>
      </w:pPr>
      <w:r>
        <w:rPr>
          <w:rFonts w:ascii="Times New Roman"/>
        </w:rPr>
        <w:t xml:space="preserve">JGJ/T 129 既有居住建筑节能改造技术规程 </w:t>
      </w:r>
    </w:p>
    <w:p w14:paraId="412B8B62">
      <w:pPr>
        <w:pStyle w:val="56"/>
        <w:ind w:firstLine="420"/>
        <w:rPr>
          <w:rFonts w:ascii="Times New Roman"/>
        </w:rPr>
      </w:pPr>
      <w:r>
        <w:rPr>
          <w:rFonts w:ascii="Times New Roman"/>
        </w:rPr>
        <w:t xml:space="preserve">JGJ/T 229 民用建筑绿色设计规范 </w:t>
      </w:r>
    </w:p>
    <w:p w14:paraId="7D280150">
      <w:pPr>
        <w:pStyle w:val="56"/>
        <w:ind w:firstLine="420"/>
        <w:rPr>
          <w:rFonts w:ascii="Times New Roman"/>
        </w:rPr>
      </w:pPr>
      <w:r>
        <w:rPr>
          <w:rFonts w:ascii="Times New Roman"/>
        </w:rPr>
        <w:t>LY/T 3073 古树名木管理技术规程</w:t>
      </w:r>
    </w:p>
    <w:p w14:paraId="2BB10E17">
      <w:pPr>
        <w:pStyle w:val="56"/>
        <w:ind w:firstLine="420"/>
        <w:rPr>
          <w:rFonts w:ascii="Times New Roman"/>
        </w:rPr>
      </w:pPr>
      <w:r>
        <w:rPr>
          <w:rFonts w:ascii="Times New Roman"/>
        </w:rPr>
        <w:t>DBJ 43/003 湖南省公共建筑节能设计标准</w:t>
      </w:r>
    </w:p>
    <w:p w14:paraId="43DD7964">
      <w:pPr>
        <w:pStyle w:val="56"/>
        <w:ind w:firstLine="420"/>
        <w:rPr>
          <w:rFonts w:ascii="Times New Roman"/>
        </w:rPr>
      </w:pPr>
      <w:r>
        <w:rPr>
          <w:rFonts w:ascii="Times New Roman"/>
        </w:rPr>
        <w:t>DB64/T 1934 园林绿地养护技术规范</w:t>
      </w:r>
    </w:p>
    <w:p w14:paraId="21CE5052">
      <w:pPr>
        <w:pStyle w:val="104"/>
        <w:spacing w:before="312" w:after="312"/>
        <w:rPr>
          <w:rFonts w:hint="default" w:ascii="Times New Roman" w:hAnsi="Times New Roman" w:cs="Times New Roman"/>
        </w:rPr>
      </w:pPr>
      <w:r>
        <w:rPr>
          <w:rFonts w:hint="default" w:ascii="Times New Roman" w:hAnsi="Times New Roman" w:cs="Times New Roman"/>
          <w:szCs w:val="21"/>
        </w:rPr>
        <w:t>术语和定义</w:t>
      </w:r>
      <w:bookmarkEnd w:id="53"/>
      <w:bookmarkEnd w:id="54"/>
      <w:bookmarkEnd w:id="55"/>
    </w:p>
    <w:sdt>
      <w:sdtPr>
        <w:rPr>
          <w:rFonts w:hint="default" w:ascii="Times New Roman" w:hAnsi="Times New Roman" w:cs="Times New Roman"/>
        </w:rPr>
        <w:id w:val="-1909835108"/>
        <w:placeholder>
          <w:docPart w:val="D194CC0F2B59446AB4DFE54BE1941F4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14:paraId="778463BB">
          <w:pPr>
            <w:pStyle w:val="56"/>
            <w:ind w:firstLine="420"/>
            <w:rPr>
              <w:rFonts w:hint="default" w:ascii="Times New Roman" w:hAnsi="Times New Roman" w:cs="Times New Roman"/>
            </w:rPr>
          </w:pPr>
          <w:bookmarkStart w:id="56" w:name="_Toc26986532"/>
          <w:bookmarkEnd w:id="56"/>
          <w:r>
            <w:rPr>
              <w:rFonts w:hint="default" w:ascii="Times New Roman" w:hAnsi="Times New Roman" w:cs="Times New Roman"/>
            </w:rPr>
            <w:t>下列术语和定义适用于本文件。</w:t>
          </w:r>
        </w:p>
      </w:sdtContent>
    </w:sdt>
    <w:p w14:paraId="3FF3BB54">
      <w:pPr>
        <w:pStyle w:val="223"/>
        <w:spacing w:before="156" w:beforeLines="50" w:after="156" w:afterLines="50"/>
        <w:ind w:left="420" w:hanging="420" w:hangingChars="200"/>
        <w:rPr>
          <w:rFonts w:hint="default" w:ascii="Times New Roman" w:hAnsi="Times New Roman" w:eastAsia="黑体" w:cs="Times New Roman"/>
        </w:rPr>
      </w:pPr>
      <w:r>
        <w:rPr>
          <w:rFonts w:hint="default" w:ascii="Times New Roman" w:hAnsi="Times New Roman" w:eastAsia="黑体" w:cs="Times New Roman"/>
        </w:rPr>
        <w:t xml:space="preserve">普通高等学校 general college and university   </w:t>
      </w:r>
    </w:p>
    <w:p w14:paraId="081CEDD0">
      <w:pPr>
        <w:pStyle w:val="56"/>
        <w:ind w:firstLine="420"/>
        <w:rPr>
          <w:rFonts w:hint="default" w:ascii="Times New Roman" w:hAnsi="Times New Roman" w:cs="Times New Roman"/>
        </w:rPr>
      </w:pPr>
      <w:r>
        <w:rPr>
          <w:rFonts w:hint="default" w:ascii="Times New Roman" w:hAnsi="Times New Roman" w:cs="Times New Roman"/>
        </w:rPr>
        <w:t xml:space="preserve">普通高等学校是由中华人民共和国教育部或地（州、市）级以上人民政府及特别行政区主管的实行全日制高等教育的学校，包括综合性大学、学院、高等职业技术学院、高等专科学校等。 </w:t>
      </w:r>
    </w:p>
    <w:p w14:paraId="294ABDDE">
      <w:pPr>
        <w:pStyle w:val="223"/>
        <w:spacing w:before="156" w:beforeLines="50" w:after="156" w:afterLines="50"/>
        <w:ind w:left="420" w:hanging="420" w:hangingChars="200"/>
        <w:rPr>
          <w:rFonts w:hint="default" w:ascii="Times New Roman" w:hAnsi="Times New Roman" w:eastAsia="黑体" w:cs="Times New Roman"/>
        </w:rPr>
      </w:pPr>
      <w:r>
        <w:rPr>
          <w:rFonts w:hint="default" w:ascii="Times New Roman" w:hAnsi="Times New Roman" w:eastAsia="黑体" w:cs="Times New Roman"/>
        </w:rPr>
        <w:t xml:space="preserve">生态校园 ecological campus </w:t>
      </w:r>
    </w:p>
    <w:p w14:paraId="1769609B">
      <w:pPr>
        <w:pStyle w:val="56"/>
        <w:ind w:firstLine="420"/>
        <w:rPr>
          <w:rFonts w:hint="default" w:ascii="Times New Roman" w:hAnsi="Times New Roman" w:cs="Times New Roman"/>
        </w:rPr>
      </w:pPr>
      <w:r>
        <w:rPr>
          <w:rFonts w:hint="default" w:ascii="Times New Roman" w:hAnsi="Times New Roman" w:cs="Times New Roman"/>
        </w:rPr>
        <w:t xml:space="preserve">生态校园是以可持续发展理念为指导，运用生态学原理与方法，营造人与自然和谐的人工生态系统。 </w:t>
      </w:r>
    </w:p>
    <w:p w14:paraId="6F704FFD">
      <w:pPr>
        <w:pStyle w:val="223"/>
        <w:spacing w:before="156" w:beforeLines="50" w:after="156" w:afterLines="50"/>
        <w:ind w:left="420" w:hanging="420" w:hangingChars="200"/>
        <w:rPr>
          <w:rFonts w:hint="default" w:ascii="Times New Roman" w:hAnsi="Times New Roman" w:eastAsia="黑体" w:cs="Times New Roman"/>
        </w:rPr>
      </w:pPr>
      <w:r>
        <w:rPr>
          <w:rFonts w:hint="default" w:ascii="Times New Roman" w:hAnsi="Times New Roman" w:eastAsia="黑体" w:cs="Times New Roman"/>
        </w:rPr>
        <w:t xml:space="preserve">生态文化 ecological culture </w:t>
      </w:r>
    </w:p>
    <w:p w14:paraId="58D35377">
      <w:pPr>
        <w:pStyle w:val="56"/>
        <w:ind w:firstLine="420"/>
        <w:rPr>
          <w:rFonts w:hint="default" w:ascii="Times New Roman" w:hAnsi="Times New Roman" w:cs="Times New Roman"/>
        </w:rPr>
      </w:pPr>
      <w:r>
        <w:rPr>
          <w:rFonts w:hint="default" w:ascii="Times New Roman" w:hAnsi="Times New Roman" w:cs="Times New Roman"/>
        </w:rPr>
        <w:t>生态文化是人与自然和谐相处、协同发展的文化，包括生态物质文化、精神文化、制度文化和行为文化等。</w:t>
      </w:r>
    </w:p>
    <w:p w14:paraId="0987AA9A">
      <w:pPr>
        <w:pStyle w:val="223"/>
        <w:spacing w:before="156" w:beforeLines="50" w:after="156" w:afterLines="50"/>
        <w:ind w:left="420" w:hanging="420" w:hangingChars="200"/>
        <w:rPr>
          <w:rFonts w:hint="default" w:ascii="Times New Roman" w:hAnsi="Times New Roman" w:eastAsia="黑体" w:cs="Times New Roman"/>
        </w:rPr>
      </w:pPr>
      <w:r>
        <w:rPr>
          <w:rFonts w:hint="default" w:ascii="Times New Roman" w:hAnsi="Times New Roman" w:eastAsia="黑体" w:cs="Times New Roman"/>
        </w:rPr>
        <w:t>生态建筑 ecological architecture</w:t>
      </w:r>
    </w:p>
    <w:p w14:paraId="7F67738A">
      <w:pPr>
        <w:pStyle w:val="56"/>
        <w:ind w:firstLine="420"/>
        <w:rPr>
          <w:rFonts w:hint="default" w:ascii="Times New Roman" w:hAnsi="Times New Roman" w:cs="Times New Roman"/>
        </w:rPr>
      </w:pPr>
      <w:r>
        <w:rPr>
          <w:rFonts w:hint="default" w:ascii="Times New Roman" w:hAnsi="Times New Roman" w:cs="Times New Roman"/>
        </w:rPr>
        <w:t>生态建筑是以可持续发展为目标，基于当地的自然生态环境，通过系统性规划、科学化设计、规范化施工及全生命周期管理，实现建筑与人、自然、资源和谐共生的一种新型建筑形式。</w:t>
      </w:r>
    </w:p>
    <w:p w14:paraId="667CDB98">
      <w:pPr>
        <w:pStyle w:val="104"/>
        <w:spacing w:before="312" w:after="312"/>
        <w:rPr>
          <w:rFonts w:ascii="Times New Roman"/>
        </w:rPr>
      </w:pPr>
      <w:bookmarkStart w:id="57" w:name="_Toc201072219"/>
      <w:bookmarkStart w:id="58" w:name="_Toc201072206"/>
      <w:r>
        <w:rPr>
          <w:rFonts w:ascii="Times New Roman"/>
        </w:rPr>
        <w:t>规划原则</w:t>
      </w:r>
      <w:bookmarkEnd w:id="57"/>
      <w:bookmarkEnd w:id="58"/>
      <w:r>
        <w:rPr>
          <w:rFonts w:ascii="Times New Roman"/>
        </w:rPr>
        <w:t xml:space="preserve"> </w:t>
      </w:r>
    </w:p>
    <w:p w14:paraId="13149A4A">
      <w:pPr>
        <w:pStyle w:val="105"/>
        <w:spacing w:before="156" w:after="156"/>
        <w:rPr>
          <w:rFonts w:ascii="Times New Roman"/>
        </w:rPr>
      </w:pPr>
      <w:bookmarkStart w:id="59" w:name="_Toc201072220"/>
      <w:r>
        <w:rPr>
          <w:rFonts w:ascii="Times New Roman"/>
        </w:rPr>
        <w:t>生态优先</w:t>
      </w:r>
      <w:bookmarkEnd w:id="59"/>
      <w:r>
        <w:rPr>
          <w:rFonts w:ascii="Times New Roman"/>
        </w:rPr>
        <w:t xml:space="preserve"> </w:t>
      </w:r>
    </w:p>
    <w:p w14:paraId="6DDDDECC">
      <w:pPr>
        <w:pStyle w:val="56"/>
        <w:ind w:firstLine="420"/>
        <w:rPr>
          <w:rFonts w:ascii="Times New Roman"/>
        </w:rPr>
      </w:pPr>
      <w:r>
        <w:rPr>
          <w:rFonts w:ascii="Times New Roman"/>
        </w:rPr>
        <w:t>充分尊重和利用校园现有地形和自然景观，保持自然生态特征。在校园规划设计、建设、运维全周期过程中，倡导绿色低碳理念，提倡运用绿色低碳技术、绿色材料，融入生态安全，营造可持续性生态安全校园，实现人与自然和谐共生。</w:t>
      </w:r>
    </w:p>
    <w:p w14:paraId="1B4F11D1">
      <w:pPr>
        <w:pStyle w:val="105"/>
        <w:spacing w:before="156" w:after="156"/>
        <w:rPr>
          <w:rFonts w:ascii="Times New Roman"/>
        </w:rPr>
      </w:pPr>
      <w:bookmarkStart w:id="60" w:name="_Toc201072221"/>
      <w:r>
        <w:rPr>
          <w:rFonts w:ascii="Times New Roman"/>
        </w:rPr>
        <w:t>以人为本</w:t>
      </w:r>
      <w:bookmarkEnd w:id="60"/>
      <w:r>
        <w:rPr>
          <w:rFonts w:ascii="Times New Roman"/>
        </w:rPr>
        <w:t xml:space="preserve"> </w:t>
      </w:r>
    </w:p>
    <w:p w14:paraId="777A2047">
      <w:pPr>
        <w:pStyle w:val="56"/>
        <w:ind w:firstLine="420"/>
        <w:rPr>
          <w:rFonts w:ascii="Times New Roman"/>
        </w:rPr>
      </w:pPr>
      <w:r>
        <w:rPr>
          <w:rFonts w:ascii="Times New Roman"/>
        </w:rPr>
        <w:t xml:space="preserve">遵循人与自然和谐理念，最大限度利用现有校园自然景观资源，营造优雅舒适的学习、工作、生活、休闲校园环境。 </w:t>
      </w:r>
    </w:p>
    <w:p w14:paraId="7B73323F">
      <w:pPr>
        <w:pStyle w:val="105"/>
        <w:spacing w:before="156" w:after="156"/>
        <w:rPr>
          <w:rFonts w:ascii="Times New Roman"/>
        </w:rPr>
      </w:pPr>
      <w:bookmarkStart w:id="61" w:name="_Toc201072222"/>
      <w:r>
        <w:rPr>
          <w:rFonts w:ascii="Times New Roman"/>
        </w:rPr>
        <w:t>文化传承</w:t>
      </w:r>
      <w:bookmarkEnd w:id="61"/>
    </w:p>
    <w:p w14:paraId="2A2DF5B4">
      <w:pPr>
        <w:pStyle w:val="56"/>
        <w:ind w:firstLine="420"/>
        <w:rPr>
          <w:rFonts w:ascii="Times New Roman"/>
        </w:rPr>
      </w:pPr>
      <w:r>
        <w:rPr>
          <w:rFonts w:ascii="Times New Roman"/>
        </w:rPr>
        <w:t>注重对校园内历史建筑和文化遗迹的保护和利用，融入当地建筑特色，人文环境与自然景观，增强师生的归属感和认同感，营造具有文化氛围的校园环境。</w:t>
      </w:r>
    </w:p>
    <w:p w14:paraId="1D503624">
      <w:pPr>
        <w:pStyle w:val="105"/>
        <w:spacing w:before="156" w:after="156"/>
        <w:rPr>
          <w:rFonts w:ascii="Times New Roman"/>
        </w:rPr>
      </w:pPr>
      <w:bookmarkStart w:id="62" w:name="_Toc201072223"/>
      <w:r>
        <w:rPr>
          <w:rFonts w:hint="eastAsia" w:ascii="Times New Roman"/>
        </w:rPr>
        <w:t>系统</w:t>
      </w:r>
      <w:r>
        <w:rPr>
          <w:rFonts w:ascii="Times New Roman"/>
        </w:rPr>
        <w:t>创新</w:t>
      </w:r>
      <w:bookmarkEnd w:id="62"/>
      <w:r>
        <w:rPr>
          <w:rFonts w:hint="eastAsia" w:ascii="Times New Roman"/>
        </w:rPr>
        <w:t xml:space="preserve">  </w:t>
      </w:r>
    </w:p>
    <w:p w14:paraId="7DB7C630">
      <w:pPr>
        <w:pStyle w:val="56"/>
        <w:ind w:firstLine="420"/>
        <w:rPr>
          <w:rFonts w:ascii="Times New Roman"/>
        </w:rPr>
      </w:pPr>
      <w:r>
        <w:rPr>
          <w:rFonts w:ascii="Times New Roman"/>
        </w:rPr>
        <w:t>重视技术创新与管理创新。系统规划绿化管养系统、环境监测系统等智能化系统，将智慧化深度融入校园建设的各个环节，实现智能化管理与服务。</w:t>
      </w:r>
    </w:p>
    <w:p w14:paraId="26635E34">
      <w:pPr>
        <w:pStyle w:val="104"/>
        <w:spacing w:before="312" w:after="312"/>
        <w:rPr>
          <w:rFonts w:ascii="Times New Roman"/>
        </w:rPr>
      </w:pPr>
      <w:bookmarkStart w:id="63" w:name="_Toc201072207"/>
      <w:bookmarkStart w:id="64" w:name="_Toc201072224"/>
      <w:r>
        <w:rPr>
          <w:rFonts w:ascii="Times New Roman"/>
        </w:rPr>
        <w:t>景观设计</w:t>
      </w:r>
      <w:bookmarkEnd w:id="63"/>
      <w:bookmarkEnd w:id="64"/>
      <w:r>
        <w:rPr>
          <w:rFonts w:ascii="Times New Roman"/>
        </w:rPr>
        <w:t xml:space="preserve"> </w:t>
      </w:r>
    </w:p>
    <w:p w14:paraId="1EDF8E93">
      <w:pPr>
        <w:pStyle w:val="105"/>
        <w:spacing w:before="156" w:after="156"/>
        <w:rPr>
          <w:rFonts w:ascii="Times New Roman"/>
        </w:rPr>
      </w:pPr>
      <w:bookmarkStart w:id="65" w:name="_Toc201072225"/>
      <w:r>
        <w:rPr>
          <w:rFonts w:ascii="Times New Roman"/>
        </w:rPr>
        <w:t>地形</w:t>
      </w:r>
      <w:bookmarkEnd w:id="65"/>
      <w:r>
        <w:rPr>
          <w:rFonts w:ascii="Times New Roman"/>
        </w:rPr>
        <w:t xml:space="preserve"> </w:t>
      </w:r>
    </w:p>
    <w:p w14:paraId="191D1F56">
      <w:pPr>
        <w:pStyle w:val="56"/>
        <w:ind w:firstLine="420"/>
        <w:rPr>
          <w:rFonts w:ascii="Times New Roman"/>
        </w:rPr>
      </w:pPr>
      <w:r>
        <w:rPr>
          <w:rFonts w:ascii="Times New Roman"/>
        </w:rPr>
        <w:t>充分利用原有地形地貌基础，结合地形改造，统筹地形景观设计，避免大范围挖湖堆山。绿化用地宜做微地形处理，有利于雨水收集和景观营造。</w:t>
      </w:r>
      <w:r>
        <w:rPr>
          <w:rFonts w:hint="eastAsia" w:ascii="Times New Roman"/>
        </w:rPr>
        <w:t>广场和草坪的坡度宜为0</w:t>
      </w:r>
      <w:r>
        <w:rPr>
          <w:rFonts w:hint="eastAsia" w:ascii="Times New Roman"/>
          <w:lang w:val="en-US" w:eastAsia="zh-CN"/>
        </w:rPr>
        <w:t>.</w:t>
      </w:r>
      <w:r>
        <w:rPr>
          <w:rFonts w:hint="eastAsia" w:ascii="Times New Roman"/>
        </w:rPr>
        <w:t>3%</w:t>
      </w:r>
      <w:r>
        <w:rPr>
          <w:rFonts w:ascii="Times New Roman"/>
        </w:rPr>
        <w:t>～</w:t>
      </w:r>
      <w:r>
        <w:rPr>
          <w:rFonts w:hint="eastAsia" w:ascii="Times New Roman"/>
        </w:rPr>
        <w:t>3%，坡度要求：</w:t>
      </w:r>
      <w:bookmarkStart w:id="66" w:name="OLE_LINK2"/>
      <w:r>
        <w:rPr>
          <w:rFonts w:hint="eastAsia" w:ascii="Times New Roman"/>
        </w:rPr>
        <w:t>平地（0.3%</w:t>
      </w:r>
      <w:r>
        <w:rPr>
          <w:rFonts w:ascii="Times New Roman"/>
        </w:rPr>
        <w:t>～</w:t>
      </w:r>
      <w:r>
        <w:rPr>
          <w:rFonts w:hint="eastAsia" w:ascii="Times New Roman"/>
        </w:rPr>
        <w:t>2%）</w:t>
      </w:r>
      <w:bookmarkEnd w:id="66"/>
      <w:r>
        <w:rPr>
          <w:rFonts w:hint="eastAsia" w:ascii="Times New Roman"/>
        </w:rPr>
        <w:t>、缓坡（2%</w:t>
      </w:r>
      <w:r>
        <w:rPr>
          <w:rFonts w:ascii="Times New Roman"/>
        </w:rPr>
        <w:t>～</w:t>
      </w:r>
      <w:r>
        <w:rPr>
          <w:rFonts w:hint="eastAsia" w:ascii="Times New Roman"/>
        </w:rPr>
        <w:t>10%）、中坡（10%</w:t>
      </w:r>
      <w:r>
        <w:rPr>
          <w:rFonts w:ascii="Times New Roman"/>
        </w:rPr>
        <w:t>～</w:t>
      </w:r>
      <w:r>
        <w:rPr>
          <w:rFonts w:hint="eastAsia" w:ascii="Times New Roman"/>
        </w:rPr>
        <w:t>25%）、陡坡(&gt;25%)：通常不宜进行建设，应以生态保护、水土保持和景观绿化为主。</w:t>
      </w:r>
    </w:p>
    <w:p w14:paraId="27C2284C">
      <w:pPr>
        <w:pStyle w:val="105"/>
        <w:spacing w:before="156" w:after="156"/>
        <w:rPr>
          <w:rFonts w:ascii="Times New Roman"/>
        </w:rPr>
      </w:pPr>
      <w:bookmarkStart w:id="67" w:name="_Toc201072226"/>
      <w:r>
        <w:rPr>
          <w:rFonts w:ascii="Times New Roman"/>
        </w:rPr>
        <w:t>水体</w:t>
      </w:r>
      <w:bookmarkEnd w:id="67"/>
      <w:r>
        <w:rPr>
          <w:rFonts w:ascii="Times New Roman"/>
        </w:rPr>
        <w:t xml:space="preserve"> </w:t>
      </w:r>
    </w:p>
    <w:p w14:paraId="19BCBF03">
      <w:pPr>
        <w:pStyle w:val="56"/>
        <w:ind w:firstLine="420"/>
        <w:rPr>
          <w:rFonts w:ascii="Times New Roman"/>
        </w:rPr>
      </w:pPr>
      <w:r>
        <w:rPr>
          <w:rFonts w:ascii="Times New Roman"/>
        </w:rPr>
        <w:t xml:space="preserve">人造水体面积不宜超过景观面积的30%。自然式水体以平滑流畅的曲线为主，驳岸顶与常水位的高差以及驳岸的坡度，应兼顾景观、安全、亲水等因素，驳岸及池底以天然素土为主，岸顶与常水位线控制在 30 cm～50 cm。无防护设施的园椅、汀步及临水平台附近2.0 m范围内，常水位线不应大于0.5 m。无防护设施的人工驳岸 2.0 m 范围内的常水位水深不应大于 0.7 m，水体护栏高宜 0.9 m～1.3 m，须安全美观。 </w:t>
      </w:r>
    </w:p>
    <w:p w14:paraId="441DCC36">
      <w:pPr>
        <w:pStyle w:val="105"/>
        <w:spacing w:before="156" w:after="156"/>
        <w:rPr>
          <w:rFonts w:ascii="Times New Roman"/>
        </w:rPr>
      </w:pPr>
      <w:bookmarkStart w:id="68" w:name="_Toc201072227"/>
      <w:r>
        <w:rPr>
          <w:rFonts w:ascii="Times New Roman"/>
        </w:rPr>
        <w:t>道路</w:t>
      </w:r>
      <w:bookmarkEnd w:id="68"/>
      <w:r>
        <w:rPr>
          <w:rFonts w:ascii="Times New Roman"/>
        </w:rPr>
        <w:t xml:space="preserve"> </w:t>
      </w:r>
    </w:p>
    <w:p w14:paraId="7AC9866A">
      <w:pPr>
        <w:pStyle w:val="56"/>
        <w:ind w:firstLine="420"/>
        <w:rPr>
          <w:rFonts w:ascii="Times New Roman"/>
        </w:rPr>
      </w:pPr>
      <w:r>
        <w:rPr>
          <w:rFonts w:ascii="Times New Roman"/>
        </w:rPr>
        <w:t>主干道路宽宜30 m（其中，人行道路宽宜 2 m～4 m），次干道路宽宜 12 m～16 m 宽，支路路宽宜 4 m～6 m；道路竖向设计符合 GB 51192-2016中 6.1.5 条的规定。道路材料宜使用沥青混凝土，有条件者可使用透水混凝土。</w:t>
      </w:r>
    </w:p>
    <w:p w14:paraId="2228470B">
      <w:pPr>
        <w:pStyle w:val="105"/>
        <w:spacing w:before="156" w:after="156"/>
        <w:rPr>
          <w:rFonts w:ascii="Times New Roman"/>
        </w:rPr>
      </w:pPr>
      <w:bookmarkStart w:id="69" w:name="_Toc201072228"/>
      <w:r>
        <w:rPr>
          <w:rFonts w:ascii="Times New Roman"/>
        </w:rPr>
        <w:t>广场</w:t>
      </w:r>
      <w:bookmarkEnd w:id="69"/>
      <w:r>
        <w:rPr>
          <w:rFonts w:ascii="Times New Roman"/>
        </w:rPr>
        <w:t xml:space="preserve"> </w:t>
      </w:r>
    </w:p>
    <w:p w14:paraId="23A49C1E">
      <w:pPr>
        <w:pStyle w:val="56"/>
        <w:ind w:firstLine="420"/>
        <w:rPr>
          <w:rFonts w:ascii="Times New Roman"/>
        </w:rPr>
      </w:pPr>
      <w:r>
        <w:rPr>
          <w:rFonts w:ascii="Times New Roman"/>
        </w:rPr>
        <w:t>注重环境整体和谐，景观功能性与观赏性有机统一，应考虑防灾救灾需要。广场铺装材料应注重生态性、安全性和整体性，如使用透水砖、花岗岩板等，禁止全部使用抛光面材料，功能要与其质感、色彩协调。广场地表排水最小坡度为0.3%。</w:t>
      </w:r>
    </w:p>
    <w:p w14:paraId="44010D53">
      <w:pPr>
        <w:pStyle w:val="105"/>
        <w:spacing w:before="156" w:after="156"/>
        <w:rPr>
          <w:rFonts w:ascii="Times New Roman"/>
        </w:rPr>
      </w:pPr>
      <w:bookmarkStart w:id="70" w:name="_Toc201072229"/>
      <w:r>
        <w:rPr>
          <w:rFonts w:ascii="Times New Roman"/>
        </w:rPr>
        <w:t>园林建筑和小品</w:t>
      </w:r>
      <w:bookmarkEnd w:id="70"/>
      <w:r>
        <w:rPr>
          <w:rFonts w:ascii="Times New Roman"/>
        </w:rPr>
        <w:t xml:space="preserve"> </w:t>
      </w:r>
    </w:p>
    <w:p w14:paraId="12C493E1">
      <w:pPr>
        <w:pStyle w:val="56"/>
        <w:ind w:firstLine="420"/>
        <w:rPr>
          <w:rFonts w:ascii="Times New Roman"/>
        </w:rPr>
      </w:pPr>
      <w:r>
        <w:rPr>
          <w:rFonts w:ascii="Times New Roman"/>
        </w:rPr>
        <w:t>既要彰显校园景观文化内涵，又要有观赏性、趣味性和生活性。坐憩之处不宜采用粗糙饰面材料，也不宜采用易刮伤肌肤和衣物的材料及构造。游憩和服务建筑应设无障碍设施。</w:t>
      </w:r>
    </w:p>
    <w:p w14:paraId="79EECAD0">
      <w:pPr>
        <w:pStyle w:val="105"/>
        <w:spacing w:before="156" w:after="156"/>
        <w:rPr>
          <w:rFonts w:ascii="Times New Roman"/>
        </w:rPr>
      </w:pPr>
      <w:bookmarkStart w:id="71" w:name="_Toc201072230"/>
      <w:r>
        <w:rPr>
          <w:rFonts w:ascii="Times New Roman"/>
        </w:rPr>
        <w:t>停车场</w:t>
      </w:r>
      <w:bookmarkEnd w:id="71"/>
      <w:r>
        <w:rPr>
          <w:rFonts w:ascii="Times New Roman"/>
        </w:rPr>
        <w:t xml:space="preserve"> </w:t>
      </w:r>
    </w:p>
    <w:p w14:paraId="23DECBAC">
      <w:pPr>
        <w:pStyle w:val="56"/>
        <w:ind w:firstLine="420"/>
        <w:rPr>
          <w:rFonts w:ascii="Times New Roman"/>
        </w:rPr>
      </w:pPr>
      <w:r>
        <w:rPr>
          <w:rFonts w:ascii="Times New Roman"/>
        </w:rPr>
        <w:t>停车场须与道路结合，通畅、便于集散。按照生态停车要求宜采用透气、透水性铺装材料铺设地面。靠周边设置一定数量的自行车和电动车停靠区。学校配置具有充电设施的停车位应不少于总停车位的10%，安装充电桩时的防火要求符合 GB 50966</w:t>
      </w:r>
      <w:r>
        <w:rPr>
          <w:rFonts w:ascii="Times New Roman"/>
          <w:color w:val="EE0000"/>
        </w:rPr>
        <w:t xml:space="preserve"> </w:t>
      </w:r>
      <w:r>
        <w:rPr>
          <w:rFonts w:ascii="Times New Roman"/>
        </w:rPr>
        <w:t>的规定。</w:t>
      </w:r>
    </w:p>
    <w:p w14:paraId="51A0E6FF">
      <w:pPr>
        <w:pStyle w:val="105"/>
        <w:spacing w:before="156" w:after="156"/>
        <w:rPr>
          <w:rFonts w:ascii="Times New Roman"/>
        </w:rPr>
      </w:pPr>
      <w:bookmarkStart w:id="72" w:name="_Toc201072231"/>
      <w:r>
        <w:rPr>
          <w:rFonts w:ascii="Times New Roman"/>
        </w:rPr>
        <w:t>照明</w:t>
      </w:r>
      <w:bookmarkEnd w:id="72"/>
      <w:r>
        <w:rPr>
          <w:rFonts w:ascii="Times New Roman"/>
        </w:rPr>
        <w:t xml:space="preserve"> </w:t>
      </w:r>
    </w:p>
    <w:p w14:paraId="023F3AB1">
      <w:pPr>
        <w:pStyle w:val="56"/>
        <w:ind w:firstLine="420"/>
        <w:rPr>
          <w:rFonts w:ascii="Times New Roman"/>
        </w:rPr>
      </w:pPr>
      <w:r>
        <w:rPr>
          <w:rFonts w:ascii="Times New Roman"/>
        </w:rPr>
        <w:t>照明作为景观素材进行设计，既要符合夜间使用功能，又要考虑白天的造景效果，必须设计或选择造型优美别致的灯具。园林建筑、景观、道路场所宜采用一般照明和局部照明相结合的方式</w:t>
      </w:r>
      <w:r>
        <w:rPr>
          <w:rFonts w:hint="eastAsia" w:ascii="Times New Roman"/>
        </w:rPr>
        <w:t>，创造一个安全、舒适、节能、对动植物友好的校园光环境，让师生既能享受夜晚活动的便利，也能在校园里仰望星空，感受自然的昼夜节律。</w:t>
      </w:r>
      <w:r>
        <w:rPr>
          <w:rFonts w:ascii="Times New Roman"/>
        </w:rPr>
        <w:t xml:space="preserve">照明功率密度值、照度、眩光值、一般显色指数等指标符合 GB 50034的规定。 </w:t>
      </w:r>
    </w:p>
    <w:p w14:paraId="01899E9E">
      <w:pPr>
        <w:pStyle w:val="105"/>
        <w:spacing w:before="156" w:after="156"/>
        <w:rPr>
          <w:rFonts w:ascii="Times New Roman"/>
        </w:rPr>
      </w:pPr>
      <w:bookmarkStart w:id="73" w:name="_Toc201072232"/>
      <w:r>
        <w:rPr>
          <w:rFonts w:ascii="Times New Roman"/>
        </w:rPr>
        <w:t>无障碍通道与设施</w:t>
      </w:r>
      <w:bookmarkEnd w:id="73"/>
      <w:r>
        <w:rPr>
          <w:rFonts w:ascii="Times New Roman"/>
        </w:rPr>
        <w:t xml:space="preserve"> </w:t>
      </w:r>
    </w:p>
    <w:p w14:paraId="49F4FE8B">
      <w:pPr>
        <w:pStyle w:val="56"/>
        <w:ind w:firstLine="420"/>
        <w:rPr>
          <w:rFonts w:ascii="Times New Roman"/>
        </w:rPr>
      </w:pPr>
      <w:r>
        <w:rPr>
          <w:rFonts w:ascii="Times New Roman"/>
        </w:rPr>
        <w:t>新建、改建和扩建的学校园林建筑、道路、公共场所以及公共服务设施，应当配套建设无障碍设施；无障碍设施应符合现行国家标准《无障碍设计规范》GB 50763 的规定</w:t>
      </w:r>
      <w:r>
        <w:rPr>
          <w:rFonts w:hint="eastAsia" w:ascii="Times New Roman"/>
        </w:rPr>
        <w:t>，无障碍坡道坡度不应大于1：1.2（即约8.33%），并需设置休息平台和扶手。</w:t>
      </w:r>
    </w:p>
    <w:p w14:paraId="1A8E5B84">
      <w:pPr>
        <w:pStyle w:val="104"/>
        <w:spacing w:before="312" w:after="312"/>
        <w:rPr>
          <w:rFonts w:ascii="Times New Roman"/>
        </w:rPr>
      </w:pPr>
      <w:bookmarkStart w:id="74" w:name="_Toc201072233"/>
      <w:bookmarkStart w:id="75" w:name="_Toc201072208"/>
      <w:r>
        <w:rPr>
          <w:rFonts w:ascii="Times New Roman"/>
        </w:rPr>
        <w:t>植物布局与配置</w:t>
      </w:r>
      <w:bookmarkEnd w:id="74"/>
      <w:bookmarkEnd w:id="75"/>
    </w:p>
    <w:p w14:paraId="2D1279F4">
      <w:pPr>
        <w:pStyle w:val="105"/>
        <w:spacing w:before="156" w:after="156"/>
        <w:rPr>
          <w:rFonts w:ascii="Times New Roman"/>
        </w:rPr>
      </w:pPr>
      <w:bookmarkStart w:id="76" w:name="_Toc201072234"/>
      <w:r>
        <w:rPr>
          <w:rFonts w:ascii="Times New Roman"/>
        </w:rPr>
        <w:t>绿地系统指标</w:t>
      </w:r>
      <w:bookmarkEnd w:id="76"/>
    </w:p>
    <w:p w14:paraId="4602A577">
      <w:pPr>
        <w:pStyle w:val="56"/>
        <w:ind w:firstLine="420"/>
        <w:rPr>
          <w:rFonts w:ascii="Times New Roman"/>
        </w:rPr>
      </w:pPr>
      <w:r>
        <w:rPr>
          <w:rFonts w:ascii="Times New Roman"/>
        </w:rPr>
        <w:t>校园绿地率宜40%～60%，绿化面积（含水面）宜≥70%，绿化覆盖率宜≥50％。</w:t>
      </w:r>
    </w:p>
    <w:p w14:paraId="11C35E4B">
      <w:pPr>
        <w:pStyle w:val="105"/>
        <w:spacing w:before="156" w:after="156"/>
        <w:rPr>
          <w:rFonts w:ascii="Times New Roman"/>
        </w:rPr>
      </w:pPr>
      <w:bookmarkStart w:id="77" w:name="_Toc201072235"/>
      <w:r>
        <w:rPr>
          <w:rFonts w:ascii="Times New Roman"/>
        </w:rPr>
        <w:t>配置要求</w:t>
      </w:r>
      <w:bookmarkEnd w:id="77"/>
    </w:p>
    <w:p w14:paraId="140D0BC2">
      <w:pPr>
        <w:pStyle w:val="165"/>
        <w:rPr>
          <w:rFonts w:ascii="Times New Roman"/>
        </w:rPr>
      </w:pPr>
      <w:r>
        <w:rPr>
          <w:rFonts w:ascii="Times New Roman"/>
        </w:rPr>
        <w:t>以乡土植物为主，保护古树名木，融入校园文化、凸显学校特色；依据气候、土壤条件和植物习性进行配置。</w:t>
      </w:r>
    </w:p>
    <w:p w14:paraId="40AA3A8A">
      <w:pPr>
        <w:pStyle w:val="165"/>
        <w:rPr>
          <w:rFonts w:ascii="Times New Roman"/>
        </w:rPr>
      </w:pPr>
      <w:r>
        <w:rPr>
          <w:rFonts w:ascii="Times New Roman"/>
        </w:rPr>
        <w:t>结合周边环境，根据不同用地性质对植物合理布局及科学搭配，营造绿树成荫、花香满园、空气清新、恬静舒适、优美整洁的校园环境，发挥园林植物的生态、绿化、美化、科普等综合功能。如有条件，营建具有地方特色和能体现学校教研成果的特色专类园。</w:t>
      </w:r>
    </w:p>
    <w:p w14:paraId="6EF5B93D">
      <w:pPr>
        <w:pStyle w:val="165"/>
        <w:rPr>
          <w:rFonts w:ascii="Times New Roman"/>
        </w:rPr>
      </w:pPr>
      <w:r>
        <w:rPr>
          <w:rFonts w:ascii="Times New Roman"/>
        </w:rPr>
        <w:t>根据本校园规划布局形式、环境特点及用地具体条件构建集中与分散相结合，点、线、面相结合的绿地系统，并融合历史文化，营造校园特色景观。遵循统一、调和、均衡、韵律等基本美学原则，注重基调树种与骨干树种、整体与局部的关系；注重植物与校园文化小品、山石水体、道路等园林要素的有机配置；植物群落设计注重开合、层次和疏密，注重色彩搭配，营造多样季相景观。</w:t>
      </w:r>
    </w:p>
    <w:p w14:paraId="2DA55AC5">
      <w:pPr>
        <w:pStyle w:val="165"/>
        <w:rPr>
          <w:rFonts w:ascii="Times New Roman"/>
        </w:rPr>
      </w:pPr>
      <w:r>
        <w:rPr>
          <w:rFonts w:ascii="Times New Roman"/>
        </w:rPr>
        <w:t>注重充分发挥植物的科普、自然教育、康养功能，应对校园内植物设置科普说明牌、标识牌或解说牌。</w:t>
      </w:r>
    </w:p>
    <w:p w14:paraId="58A4CEA1">
      <w:pPr>
        <w:pStyle w:val="165"/>
        <w:rPr>
          <w:rFonts w:ascii="Times New Roman"/>
        </w:rPr>
      </w:pPr>
      <w:r>
        <w:rPr>
          <w:rFonts w:ascii="Times New Roman"/>
        </w:rPr>
        <w:t>绿化植物应选择寿命较长、生长茁壮、病虫害少、无针刺、无落果、无飞絮、无毒害、无异味、 无花粉污染的植物种类。</w:t>
      </w:r>
    </w:p>
    <w:p w14:paraId="5E836E99">
      <w:pPr>
        <w:pStyle w:val="165"/>
        <w:rPr>
          <w:rFonts w:ascii="Times New Roman"/>
        </w:rPr>
      </w:pPr>
      <w:r>
        <w:rPr>
          <w:rFonts w:ascii="Times New Roman"/>
        </w:rPr>
        <w:t>注重乔木、灌木、草本植物、竹类植物、水生植物和攀缘植物的有机地结合，常绿植物、落叶植物合理搭配；速生植物、慢生植物科学配置；利用植物的色彩和枝、花、叶、果等形态，合理搭配植物。</w:t>
      </w:r>
    </w:p>
    <w:p w14:paraId="5C4574CC">
      <w:pPr>
        <w:pStyle w:val="165"/>
        <w:rPr>
          <w:rFonts w:ascii="Times New Roman"/>
        </w:rPr>
      </w:pPr>
      <w:r>
        <w:rPr>
          <w:rFonts w:ascii="Times New Roman"/>
        </w:rPr>
        <w:t>苗木规格、质量等应符合CJ/T 24 的规定。</w:t>
      </w:r>
    </w:p>
    <w:p w14:paraId="4A779CFE">
      <w:pPr>
        <w:pStyle w:val="105"/>
        <w:spacing w:before="156" w:after="156"/>
        <w:rPr>
          <w:rFonts w:ascii="Times New Roman"/>
        </w:rPr>
      </w:pPr>
      <w:bookmarkStart w:id="78" w:name="_Toc201072236"/>
      <w:r>
        <w:rPr>
          <w:rFonts w:ascii="Times New Roman"/>
        </w:rPr>
        <w:t>各区植物配置</w:t>
      </w:r>
      <w:bookmarkEnd w:id="78"/>
    </w:p>
    <w:p w14:paraId="252083A9">
      <w:pPr>
        <w:pStyle w:val="65"/>
        <w:spacing w:before="156" w:after="156"/>
        <w:rPr>
          <w:rFonts w:ascii="Times New Roman"/>
        </w:rPr>
      </w:pPr>
      <w:r>
        <w:rPr>
          <w:rFonts w:ascii="Times New Roman"/>
        </w:rPr>
        <w:t>校大门区</w:t>
      </w:r>
    </w:p>
    <w:p w14:paraId="545EA40C">
      <w:pPr>
        <w:pStyle w:val="56"/>
        <w:ind w:firstLine="420"/>
        <w:rPr>
          <w:rFonts w:ascii="Times New Roman"/>
        </w:rPr>
      </w:pPr>
      <w:r>
        <w:rPr>
          <w:rFonts w:ascii="Times New Roman"/>
        </w:rPr>
        <w:t>植物配置宜明快、简洁、自然、大方，距校大门 20 m 以内不宜种高大树木。大门两侧绿地可选择造型优美的桩景树对植，入校门行道树可选树形较好的常绿（或落叶）乔木，形成宽阔绿色通道。</w:t>
      </w:r>
    </w:p>
    <w:p w14:paraId="39E4CB36">
      <w:pPr>
        <w:pStyle w:val="65"/>
        <w:spacing w:before="156" w:after="156"/>
        <w:rPr>
          <w:rFonts w:ascii="Times New Roman"/>
        </w:rPr>
      </w:pPr>
      <w:r>
        <w:rPr>
          <w:rFonts w:ascii="Times New Roman"/>
        </w:rPr>
        <w:t>道路区</w:t>
      </w:r>
    </w:p>
    <w:p w14:paraId="3BAC3485">
      <w:pPr>
        <w:pStyle w:val="56"/>
        <w:ind w:firstLine="420"/>
        <w:rPr>
          <w:rFonts w:ascii="Times New Roman"/>
        </w:rPr>
      </w:pPr>
      <w:r>
        <w:rPr>
          <w:rFonts w:ascii="Times New Roman"/>
        </w:rPr>
        <w:t>主干道绿化宽度宜为规划道路红线宽度的15%～30%，分隔绿带宽度宜≥1.5 m，植物配置宜采取乔 木、灌木、地被植物相结合方式。在校园重点路段，强调沿线绿化景观，体现校园风貌、绿化特色的道路。如有条件，不同道路配置不同特色植物带。</w:t>
      </w:r>
    </w:p>
    <w:p w14:paraId="5FD400E0">
      <w:pPr>
        <w:pStyle w:val="56"/>
        <w:ind w:firstLine="420"/>
        <w:rPr>
          <w:rFonts w:ascii="Times New Roman"/>
        </w:rPr>
      </w:pPr>
      <w:r>
        <w:rPr>
          <w:rFonts w:ascii="Times New Roman"/>
        </w:rPr>
        <w:t>道路绿化工程建设应遵循：行道树株距宜≥8 m，种植点距路缘宜≥0.5 m、树干中心距离路缘宜≥0.75 m，行道树的枝下高宜≥3.5 m。次干道和支路绿化宽度、株距、种植点距路缘、树干中心距离路缘等指标宜在主干道基础上减少 50%以上，不设中央分隔绿带，行道树的枝下高宜≥2.5 m。人行步道铺装时所留树池的内径宜≥ 1.5 m×l.5 m，树池要求绿化或碎树皮覆盖。</w:t>
      </w:r>
      <w:r>
        <w:rPr>
          <w:rFonts w:ascii="Times New Roman"/>
        </w:rPr>
        <w:tab/>
      </w:r>
    </w:p>
    <w:p w14:paraId="15F052E6">
      <w:pPr>
        <w:pStyle w:val="65"/>
        <w:spacing w:before="156" w:after="156"/>
        <w:rPr>
          <w:rFonts w:ascii="Times New Roman"/>
        </w:rPr>
      </w:pPr>
      <w:r>
        <w:rPr>
          <w:rFonts w:ascii="Times New Roman"/>
        </w:rPr>
        <w:t>教学科研区</w:t>
      </w:r>
    </w:p>
    <w:p w14:paraId="5CE2D42F">
      <w:pPr>
        <w:pStyle w:val="56"/>
        <w:ind w:firstLine="420"/>
        <w:rPr>
          <w:rFonts w:ascii="Times New Roman"/>
        </w:rPr>
      </w:pPr>
      <w:r>
        <w:rPr>
          <w:rFonts w:ascii="Times New Roman"/>
        </w:rPr>
        <w:t>植物配置以树木为主，结合花草，绿地宜采用自然式布局。建筑物两侧可对称布局常绿乔木或花灌木，阳面布置落叶乔木，产生噪音的实验（试验或实训）室须配置具隔音、密闭效果的树墙。教学区结合文化雕塑或景观，营建专业特色氛围；科研区结合科研实践，配置具有教学研究、科普功能的植物，营建科研特色专类园。乔木种植距离墙面宜≥5 m，灌木距墙宜≥2 m。</w:t>
      </w:r>
    </w:p>
    <w:p w14:paraId="7E245D33">
      <w:pPr>
        <w:pStyle w:val="65"/>
        <w:spacing w:before="156" w:after="156"/>
        <w:rPr>
          <w:rFonts w:ascii="Times New Roman"/>
        </w:rPr>
      </w:pPr>
      <w:r>
        <w:rPr>
          <w:rFonts w:ascii="Times New Roman"/>
        </w:rPr>
        <w:t>行政办公区</w:t>
      </w:r>
    </w:p>
    <w:p w14:paraId="5B13A3F5">
      <w:pPr>
        <w:pStyle w:val="56"/>
        <w:ind w:firstLine="420"/>
        <w:rPr>
          <w:rFonts w:ascii="Times New Roman"/>
        </w:rPr>
      </w:pPr>
      <w:r>
        <w:rPr>
          <w:rFonts w:ascii="Times New Roman"/>
        </w:rPr>
        <w:t>一般设置盛花花坛、模纹花坛、花境或观赏草坪，树阵、树篱或树木须修剪造型。可通过校园植物结合具有文化特色的雕塑或景观，营建校园文化氛围。入口区一般对称或拟对称式种植。</w:t>
      </w:r>
    </w:p>
    <w:p w14:paraId="354FC8C7">
      <w:pPr>
        <w:pStyle w:val="65"/>
        <w:spacing w:before="156" w:after="156"/>
        <w:rPr>
          <w:rFonts w:ascii="Times New Roman"/>
        </w:rPr>
      </w:pPr>
      <w:r>
        <w:rPr>
          <w:rFonts w:ascii="Times New Roman"/>
        </w:rPr>
        <w:t>职工生活区</w:t>
      </w:r>
    </w:p>
    <w:p w14:paraId="35C74CE6">
      <w:pPr>
        <w:pStyle w:val="56"/>
        <w:ind w:firstLine="420"/>
        <w:rPr>
          <w:rFonts w:ascii="Times New Roman"/>
        </w:rPr>
      </w:pPr>
      <w:r>
        <w:rPr>
          <w:rFonts w:ascii="Times New Roman"/>
        </w:rPr>
        <w:t>建筑物应拓展垂直绿化、屋顶绿化空间。建筑旁乔木一般种植落叶植物，避开窗户位置；栋楼间根据规划布局形式设置相应的中心绿地，及块状、带状绿地，设置花坛、花架、亭廊、座椅等设施。绿化种植结合生活区雨水规划，根据需要因地制宜采用兼有调蓄、净化、转输功能绿化方式。</w:t>
      </w:r>
    </w:p>
    <w:p w14:paraId="37045EA0">
      <w:pPr>
        <w:pStyle w:val="65"/>
        <w:spacing w:before="156" w:after="156"/>
        <w:rPr>
          <w:rFonts w:ascii="Times New Roman"/>
        </w:rPr>
      </w:pPr>
      <w:r>
        <w:rPr>
          <w:rFonts w:ascii="Times New Roman"/>
        </w:rPr>
        <w:t>学生公寓区</w:t>
      </w:r>
    </w:p>
    <w:p w14:paraId="63C0981F">
      <w:pPr>
        <w:pStyle w:val="56"/>
        <w:ind w:firstLine="420"/>
        <w:rPr>
          <w:rFonts w:ascii="Times New Roman"/>
        </w:rPr>
      </w:pPr>
      <w:r>
        <w:rPr>
          <w:rFonts w:ascii="Times New Roman"/>
        </w:rPr>
        <w:t xml:space="preserve">植物配置宜采用规则式与自然式结合，以庭院式种植模式为主，上层选择中小乔木，以孤植、丛植为主，避免行列种植；下层宜营建花坛、花境等观赏价值高的植物景观，或方便学生活动交流的地被、草坪空间，植物宜选择适应性强、耐践踏植物。 </w:t>
      </w:r>
    </w:p>
    <w:p w14:paraId="24525EBB">
      <w:pPr>
        <w:pStyle w:val="65"/>
        <w:spacing w:before="156" w:after="156"/>
        <w:rPr>
          <w:rFonts w:ascii="Times New Roman"/>
        </w:rPr>
      </w:pPr>
      <w:r>
        <w:rPr>
          <w:rFonts w:ascii="Times New Roman"/>
        </w:rPr>
        <w:t>文体活动区</w:t>
      </w:r>
    </w:p>
    <w:p w14:paraId="6A557679">
      <w:pPr>
        <w:pStyle w:val="56"/>
        <w:ind w:firstLine="420"/>
        <w:rPr>
          <w:rFonts w:ascii="Times New Roman"/>
        </w:rPr>
      </w:pPr>
      <w:r>
        <w:rPr>
          <w:rFonts w:ascii="Times New Roman"/>
        </w:rPr>
        <w:t>植物配置应选择季相变化的开花乔灌木及耐荫植物。体育运动区以高大乔木为主，种植距离运动场边缘应≥5 m，树冠不得伸入运动场区域内，有条件者足球场建植草坪。运动场与体育馆间植物宜配置带状。文体活动区与教学科研区间须布置绿化景观带。</w:t>
      </w:r>
    </w:p>
    <w:p w14:paraId="7C6D2B0F">
      <w:pPr>
        <w:pStyle w:val="65"/>
        <w:spacing w:before="156" w:after="156"/>
        <w:rPr>
          <w:rFonts w:ascii="Times New Roman"/>
        </w:rPr>
      </w:pPr>
      <w:r>
        <w:rPr>
          <w:rFonts w:ascii="Times New Roman"/>
        </w:rPr>
        <w:t>休闲游憩区</w:t>
      </w:r>
    </w:p>
    <w:p w14:paraId="3F236C39">
      <w:pPr>
        <w:pStyle w:val="56"/>
        <w:ind w:firstLine="420"/>
        <w:rPr>
          <w:rFonts w:ascii="Times New Roman"/>
        </w:rPr>
      </w:pPr>
      <w:r>
        <w:rPr>
          <w:rFonts w:ascii="Times New Roman"/>
        </w:rPr>
        <w:t>须间种观赏性强、春花、夏荫、秋果、冬绿的植物，可设计方便师生交流的大树空间、林下空间或草坪等。充分挖掘植物文化，营建具有文化氛围的植物景观；集散场地内树木枝下净高应≥ 3.5 m，夏季乔木庇荫面积占活动范围宜≥50%。水生湿地植物宜采用陆生、湿生、挺水、浮水和沉水依序构建生态水景。</w:t>
      </w:r>
    </w:p>
    <w:p w14:paraId="3E37CE01">
      <w:pPr>
        <w:pStyle w:val="65"/>
        <w:spacing w:before="156" w:after="156"/>
        <w:rPr>
          <w:rFonts w:ascii="Times New Roman"/>
        </w:rPr>
      </w:pPr>
      <w:r>
        <w:rPr>
          <w:rFonts w:ascii="Times New Roman"/>
        </w:rPr>
        <w:t>生产基地区</w:t>
      </w:r>
    </w:p>
    <w:p w14:paraId="675E9D32">
      <w:pPr>
        <w:pStyle w:val="56"/>
        <w:ind w:firstLine="420"/>
        <w:rPr>
          <w:rFonts w:ascii="Times New Roman"/>
        </w:rPr>
      </w:pPr>
      <w:r>
        <w:rPr>
          <w:rFonts w:ascii="Times New Roman"/>
        </w:rPr>
        <w:t>生产基地区可结合校园绿化需要，设置校园绿化备苗区，用于校园绿化的补植和更换。生产基地区植物种类优先选择教学科研植物材料，有条件的可设置植物专类园。</w:t>
      </w:r>
    </w:p>
    <w:p w14:paraId="04A5DF25">
      <w:pPr>
        <w:pStyle w:val="104"/>
        <w:spacing w:before="312" w:after="312"/>
        <w:rPr>
          <w:rFonts w:ascii="Times New Roman"/>
        </w:rPr>
      </w:pPr>
      <w:bookmarkStart w:id="79" w:name="_Toc201072237"/>
      <w:bookmarkStart w:id="80" w:name="_Toc201072209"/>
      <w:r>
        <w:rPr>
          <w:rFonts w:ascii="Times New Roman"/>
        </w:rPr>
        <w:t>生态建筑</w:t>
      </w:r>
      <w:bookmarkEnd w:id="79"/>
      <w:bookmarkEnd w:id="80"/>
      <w:r>
        <w:rPr>
          <w:rFonts w:ascii="Times New Roman"/>
        </w:rPr>
        <w:t xml:space="preserve"> </w:t>
      </w:r>
    </w:p>
    <w:p w14:paraId="0C71550B">
      <w:pPr>
        <w:pStyle w:val="105"/>
        <w:spacing w:before="156" w:after="156"/>
        <w:rPr>
          <w:rFonts w:ascii="Times New Roman"/>
        </w:rPr>
      </w:pPr>
      <w:bookmarkStart w:id="81" w:name="_Toc201072238"/>
      <w:r>
        <w:rPr>
          <w:rFonts w:ascii="Times New Roman"/>
        </w:rPr>
        <w:t>建设原则</w:t>
      </w:r>
      <w:bookmarkEnd w:id="81"/>
    </w:p>
    <w:p w14:paraId="13318AA6">
      <w:pPr>
        <w:pStyle w:val="65"/>
        <w:spacing w:before="156" w:after="156"/>
        <w:rPr>
          <w:rFonts w:ascii="Times New Roman"/>
        </w:rPr>
      </w:pPr>
      <w:r>
        <w:rPr>
          <w:rFonts w:ascii="Times New Roman"/>
        </w:rPr>
        <w:t>尊重自然</w:t>
      </w:r>
    </w:p>
    <w:p w14:paraId="7B1D1B1F">
      <w:pPr>
        <w:pStyle w:val="56"/>
        <w:ind w:firstLine="420"/>
        <w:rPr>
          <w:rFonts w:ascii="Times New Roman"/>
        </w:rPr>
      </w:pPr>
      <w:r>
        <w:rPr>
          <w:rFonts w:ascii="Times New Roman"/>
        </w:rPr>
        <w:t>尊重自然，保护自然，维护人、建筑与自然的和谐关系。</w:t>
      </w:r>
    </w:p>
    <w:p w14:paraId="7DB9C457">
      <w:pPr>
        <w:pStyle w:val="65"/>
        <w:spacing w:before="156" w:after="156"/>
        <w:rPr>
          <w:rFonts w:ascii="Times New Roman"/>
        </w:rPr>
      </w:pPr>
      <w:r>
        <w:rPr>
          <w:rFonts w:ascii="Times New Roman"/>
        </w:rPr>
        <w:t>环境优先</w:t>
      </w:r>
    </w:p>
    <w:p w14:paraId="0A1F0E9D">
      <w:pPr>
        <w:pStyle w:val="56"/>
        <w:ind w:firstLine="420"/>
        <w:rPr>
          <w:rFonts w:ascii="Times New Roman"/>
        </w:rPr>
      </w:pPr>
      <w:r>
        <w:rPr>
          <w:rFonts w:ascii="Times New Roman"/>
        </w:rPr>
        <w:t xml:space="preserve">降低污染物排放，减少对生态环境的干扰与破坏，力争零排放。 </w:t>
      </w:r>
    </w:p>
    <w:p w14:paraId="2A73F150">
      <w:pPr>
        <w:pStyle w:val="65"/>
        <w:spacing w:before="156" w:after="156"/>
        <w:rPr>
          <w:rFonts w:ascii="Times New Roman"/>
        </w:rPr>
      </w:pPr>
      <w:r>
        <w:rPr>
          <w:rFonts w:ascii="Times New Roman"/>
        </w:rPr>
        <w:t>节能降耗</w:t>
      </w:r>
    </w:p>
    <w:p w14:paraId="2C04D78D">
      <w:pPr>
        <w:pStyle w:val="56"/>
        <w:ind w:firstLine="420"/>
        <w:rPr>
          <w:rFonts w:ascii="Times New Roman"/>
        </w:rPr>
      </w:pPr>
      <w:r>
        <w:rPr>
          <w:rFonts w:ascii="Times New Roman"/>
        </w:rPr>
        <w:t xml:space="preserve">科学合理选择营建材料达到可降解再生目的，循环利用可再生资源，降低能耗，提高能源利用率。 </w:t>
      </w:r>
    </w:p>
    <w:p w14:paraId="4010D72F">
      <w:pPr>
        <w:pStyle w:val="65"/>
        <w:spacing w:before="156" w:after="156"/>
        <w:rPr>
          <w:rFonts w:ascii="Times New Roman"/>
        </w:rPr>
      </w:pPr>
      <w:r>
        <w:rPr>
          <w:rFonts w:hint="eastAsia" w:ascii="Times New Roman"/>
        </w:rPr>
        <w:t>综</w:t>
      </w:r>
      <w:r>
        <w:rPr>
          <w:rFonts w:ascii="Times New Roman"/>
        </w:rPr>
        <w:t>合设计</w:t>
      </w:r>
      <w:r>
        <w:rPr>
          <w:rFonts w:hint="eastAsia" w:ascii="Times New Roman"/>
        </w:rPr>
        <w:t xml:space="preserve"> </w:t>
      </w:r>
    </w:p>
    <w:p w14:paraId="324C4B14">
      <w:pPr>
        <w:pStyle w:val="56"/>
        <w:ind w:firstLine="420"/>
        <w:rPr>
          <w:rFonts w:ascii="Times New Roman"/>
        </w:rPr>
      </w:pPr>
      <w:r>
        <w:rPr>
          <w:rFonts w:ascii="Times New Roman"/>
        </w:rPr>
        <w:t>对建筑所在地的生态环境及建造、使用过程中对环境的影响进行评估，综合考虑规划、建筑、结构、暖通、能源系统等各方面因素，形成有机相连的生态建筑设计体系。</w:t>
      </w:r>
    </w:p>
    <w:p w14:paraId="48D716E4">
      <w:pPr>
        <w:pStyle w:val="105"/>
        <w:spacing w:before="156" w:after="156"/>
        <w:rPr>
          <w:rFonts w:ascii="Times New Roman"/>
        </w:rPr>
      </w:pPr>
      <w:bookmarkStart w:id="82" w:name="_Toc201072239"/>
      <w:r>
        <w:rPr>
          <w:rFonts w:ascii="Times New Roman"/>
        </w:rPr>
        <w:t>规划</w:t>
      </w:r>
      <w:bookmarkEnd w:id="82"/>
    </w:p>
    <w:p w14:paraId="5D737F6E">
      <w:pPr>
        <w:pStyle w:val="65"/>
        <w:spacing w:before="156" w:after="156"/>
        <w:rPr>
          <w:rFonts w:ascii="Times New Roman"/>
        </w:rPr>
      </w:pPr>
      <w:r>
        <w:rPr>
          <w:rFonts w:ascii="Times New Roman"/>
        </w:rPr>
        <w:t>场地规划</w:t>
      </w:r>
    </w:p>
    <w:p w14:paraId="33D7E688">
      <w:pPr>
        <w:pStyle w:val="56"/>
        <w:ind w:firstLine="420"/>
        <w:rPr>
          <w:rFonts w:ascii="Times New Roman"/>
        </w:rPr>
      </w:pPr>
      <w:r>
        <w:rPr>
          <w:rFonts w:ascii="Times New Roman"/>
        </w:rPr>
        <w:t>相关技术指标符合教发〔2004〕2 号合格标准、GB 50352、《普通高等学校建筑规划面积指标》（建标 191-2018）、《高等学校节约型校园建设管理与技术导则》（建科</w:t>
      </w:r>
      <w:r>
        <w:rPr>
          <w:rFonts w:hint="eastAsia" w:ascii="Times New Roman"/>
        </w:rPr>
        <w:t>〔</w:t>
      </w:r>
      <w:r>
        <w:rPr>
          <w:rFonts w:ascii="Times New Roman"/>
        </w:rPr>
        <w:t>2008</w:t>
      </w:r>
      <w:r>
        <w:rPr>
          <w:rFonts w:hint="eastAsia" w:ascii="Times New Roman"/>
        </w:rPr>
        <w:t>〕</w:t>
      </w:r>
      <w:r>
        <w:rPr>
          <w:rFonts w:ascii="Times New Roman"/>
        </w:rPr>
        <w:t>89 号）（以下简称</w:t>
      </w:r>
      <w:r>
        <w:rPr>
          <w:rFonts w:hint="eastAsia" w:ascii="Times New Roman"/>
          <w:lang w:eastAsia="zh-CN"/>
        </w:rPr>
        <w:t>“</w:t>
      </w:r>
      <w:r>
        <w:rPr>
          <w:rFonts w:ascii="Times New Roman"/>
        </w:rPr>
        <w:t>建科</w:t>
      </w:r>
      <w:r>
        <w:rPr>
          <w:rFonts w:hint="eastAsia" w:ascii="Times New Roman"/>
        </w:rPr>
        <w:t>〔</w:t>
      </w:r>
      <w:r>
        <w:rPr>
          <w:rFonts w:ascii="Times New Roman"/>
        </w:rPr>
        <w:t>2008</w:t>
      </w:r>
      <w:r>
        <w:rPr>
          <w:rFonts w:hint="eastAsia" w:ascii="Times New Roman"/>
        </w:rPr>
        <w:t>〕</w:t>
      </w:r>
      <w:r>
        <w:rPr>
          <w:rFonts w:ascii="Times New Roman"/>
        </w:rPr>
        <w:t>89 号）的要求外，还要充分利用校园现有地形，合理进行场地竖向设计，确定场地各部分设计标高和建筑物室内外设计标高，土方宜就地平衡。建筑出入口和主要活动空间设有无障碍设施，且满足GB 50763 的要求。</w:t>
      </w:r>
    </w:p>
    <w:p w14:paraId="7B8469B3">
      <w:pPr>
        <w:pStyle w:val="65"/>
        <w:spacing w:before="156" w:after="156"/>
        <w:rPr>
          <w:rFonts w:ascii="Times New Roman"/>
        </w:rPr>
      </w:pPr>
      <w:r>
        <w:rPr>
          <w:rFonts w:ascii="Times New Roman"/>
        </w:rPr>
        <w:t>新建建筑规划</w:t>
      </w:r>
    </w:p>
    <w:p w14:paraId="38F5E204">
      <w:pPr>
        <w:pStyle w:val="56"/>
        <w:ind w:firstLine="420"/>
        <w:rPr>
          <w:rFonts w:ascii="Times New Roman"/>
        </w:rPr>
      </w:pPr>
      <w:r>
        <w:rPr>
          <w:rFonts w:ascii="Times New Roman"/>
        </w:rPr>
        <w:t>按照 GB 50189、JGJ/T 229 和建科</w:t>
      </w:r>
      <w:r>
        <w:rPr>
          <w:rFonts w:hint="eastAsia" w:ascii="Times New Roman"/>
        </w:rPr>
        <w:t>〔</w:t>
      </w:r>
      <w:r>
        <w:rPr>
          <w:rFonts w:ascii="Times New Roman"/>
        </w:rPr>
        <w:t>2008</w:t>
      </w:r>
      <w:r>
        <w:rPr>
          <w:rFonts w:hint="eastAsia" w:ascii="Times New Roman"/>
        </w:rPr>
        <w:t>〕</w:t>
      </w:r>
      <w:r>
        <w:rPr>
          <w:rFonts w:ascii="Times New Roman"/>
        </w:rPr>
        <w:t xml:space="preserve">89 号规定执行外，还要考虑气候特点、场地特征和校园特色。新建建筑应达到绿色二星以上的标准，并进行绿星标识认证。 </w:t>
      </w:r>
    </w:p>
    <w:p w14:paraId="6AA53220">
      <w:pPr>
        <w:pStyle w:val="65"/>
        <w:spacing w:before="156" w:after="156"/>
        <w:rPr>
          <w:rFonts w:ascii="Times New Roman"/>
        </w:rPr>
      </w:pPr>
      <w:r>
        <w:rPr>
          <w:rFonts w:ascii="Times New Roman"/>
        </w:rPr>
        <w:t>既有建筑改造规划</w:t>
      </w:r>
    </w:p>
    <w:p w14:paraId="360F1A9D">
      <w:pPr>
        <w:pStyle w:val="56"/>
        <w:ind w:firstLine="420"/>
        <w:rPr>
          <w:rFonts w:ascii="Times New Roman"/>
        </w:rPr>
      </w:pPr>
      <w:r>
        <w:rPr>
          <w:rFonts w:ascii="Times New Roman"/>
        </w:rPr>
        <w:t>按照 JGJ/T 129、JGJ 176 和建科</w:t>
      </w:r>
      <w:r>
        <w:rPr>
          <w:rFonts w:hint="eastAsia" w:ascii="Times New Roman"/>
        </w:rPr>
        <w:t>〔</w:t>
      </w:r>
      <w:r>
        <w:rPr>
          <w:rFonts w:ascii="Times New Roman"/>
        </w:rPr>
        <w:t>2008</w:t>
      </w:r>
      <w:r>
        <w:rPr>
          <w:rFonts w:hint="eastAsia" w:ascii="Times New Roman"/>
        </w:rPr>
        <w:t>〕</w:t>
      </w:r>
      <w:r>
        <w:rPr>
          <w:rFonts w:ascii="Times New Roman"/>
        </w:rPr>
        <w:t>89 号规定执行外，还要考虑建筑围护结构、空调、采暖、通风、照明、供配电以及热水供应等。既有建筑改造后应达到绿色二星以上的标准，并进行绿星标识认证。</w:t>
      </w:r>
    </w:p>
    <w:p w14:paraId="590CD069">
      <w:pPr>
        <w:pStyle w:val="65"/>
        <w:spacing w:before="156" w:after="156"/>
        <w:rPr>
          <w:rFonts w:ascii="Times New Roman"/>
        </w:rPr>
      </w:pPr>
      <w:r>
        <w:rPr>
          <w:rFonts w:ascii="Times New Roman"/>
        </w:rPr>
        <w:t>能源规划</w:t>
      </w:r>
    </w:p>
    <w:p w14:paraId="634F7138">
      <w:pPr>
        <w:pStyle w:val="56"/>
        <w:ind w:firstLine="420"/>
        <w:rPr>
          <w:rFonts w:ascii="Times New Roman"/>
        </w:rPr>
      </w:pPr>
      <w:r>
        <w:rPr>
          <w:rFonts w:ascii="Times New Roman"/>
        </w:rPr>
        <w:t>按照 JGJ/T 129、JGJ 176 和建科</w:t>
      </w:r>
      <w:r>
        <w:rPr>
          <w:rFonts w:hint="eastAsia" w:ascii="Times New Roman"/>
        </w:rPr>
        <w:t>〔</w:t>
      </w:r>
      <w:r>
        <w:rPr>
          <w:rFonts w:ascii="Times New Roman"/>
        </w:rPr>
        <w:t>2008</w:t>
      </w:r>
      <w:r>
        <w:rPr>
          <w:rFonts w:hint="eastAsia" w:ascii="Times New Roman"/>
        </w:rPr>
        <w:t>〕</w:t>
      </w:r>
      <w:r>
        <w:rPr>
          <w:rFonts w:ascii="Times New Roman"/>
        </w:rPr>
        <w:t xml:space="preserve">89 号规定执行外，还要考虑以下因素：因地制宜的遵循低碳能源、可再生能源最大化；能源规划与市政设施规划相结合，基础设施功能最大化；能源梯级利用，品质对口，节能效益最大化；能源系统规划和建筑用能系统的优化匹配，经济效益最大化。 </w:t>
      </w:r>
    </w:p>
    <w:p w14:paraId="04BD9D51">
      <w:pPr>
        <w:pStyle w:val="105"/>
        <w:spacing w:before="156" w:after="156"/>
        <w:rPr>
          <w:rFonts w:ascii="Times New Roman"/>
        </w:rPr>
      </w:pPr>
      <w:bookmarkStart w:id="83" w:name="_Toc201072240"/>
      <w:r>
        <w:rPr>
          <w:rFonts w:ascii="Times New Roman"/>
        </w:rPr>
        <w:t>设计</w:t>
      </w:r>
      <w:bookmarkEnd w:id="83"/>
    </w:p>
    <w:p w14:paraId="6D008C40">
      <w:pPr>
        <w:pStyle w:val="65"/>
        <w:spacing w:before="156" w:after="156"/>
        <w:rPr>
          <w:rFonts w:ascii="Times New Roman"/>
        </w:rPr>
      </w:pPr>
      <w:r>
        <w:rPr>
          <w:rFonts w:ascii="Times New Roman"/>
        </w:rPr>
        <w:t>总则</w:t>
      </w:r>
    </w:p>
    <w:p w14:paraId="43D9A774">
      <w:pPr>
        <w:pStyle w:val="56"/>
        <w:ind w:firstLine="420"/>
        <w:rPr>
          <w:rFonts w:ascii="Times New Roman"/>
        </w:rPr>
      </w:pPr>
      <w:r>
        <w:rPr>
          <w:rFonts w:ascii="Times New Roman"/>
        </w:rPr>
        <w:t>生态校园内建筑应符合GB 50189、 JGJ 134、 JGJ/T 229和DBJ 43/003的规定。</w:t>
      </w:r>
    </w:p>
    <w:p w14:paraId="716443C6">
      <w:pPr>
        <w:pStyle w:val="65"/>
        <w:spacing w:before="156" w:after="156"/>
        <w:rPr>
          <w:rFonts w:ascii="Times New Roman"/>
        </w:rPr>
      </w:pPr>
      <w:r>
        <w:rPr>
          <w:rFonts w:ascii="Times New Roman"/>
        </w:rPr>
        <w:t>生态建筑环境设计</w:t>
      </w:r>
    </w:p>
    <w:p w14:paraId="76103110">
      <w:pPr>
        <w:pStyle w:val="164"/>
        <w:rPr>
          <w:rFonts w:ascii="Times New Roman"/>
        </w:rPr>
      </w:pPr>
      <w:r>
        <w:rPr>
          <w:rFonts w:ascii="Times New Roman"/>
        </w:rPr>
        <w:t xml:space="preserve">声环境按照 GB 50118 和 GB 3096 规定执行外，还应根据不同噪音源采取相应降噪和减振等措施，噪声控制达标区覆盖率≥98%。 </w:t>
      </w:r>
    </w:p>
    <w:p w14:paraId="4581C57D">
      <w:pPr>
        <w:pStyle w:val="164"/>
        <w:rPr>
          <w:rFonts w:ascii="Times New Roman"/>
        </w:rPr>
      </w:pPr>
      <w:r>
        <w:rPr>
          <w:rFonts w:ascii="Times New Roman"/>
        </w:rPr>
        <w:t xml:space="preserve">光环境按照 GB 50352和 GB 50033 规定执行，充分利用自然光照，窗地比不小于1:5。 </w:t>
      </w:r>
    </w:p>
    <w:p w14:paraId="27BBA262">
      <w:pPr>
        <w:pStyle w:val="164"/>
        <w:rPr>
          <w:rFonts w:ascii="Times New Roman"/>
        </w:rPr>
      </w:pPr>
      <w:r>
        <w:rPr>
          <w:rFonts w:ascii="Times New Roman"/>
        </w:rPr>
        <w:t>热环境、风环境按照 JGJ/T 229 和建科</w:t>
      </w:r>
      <w:r>
        <w:rPr>
          <w:rFonts w:hint="eastAsia" w:ascii="Times New Roman"/>
        </w:rPr>
        <w:t>〔</w:t>
      </w:r>
      <w:r>
        <w:rPr>
          <w:rFonts w:ascii="Times New Roman"/>
        </w:rPr>
        <w:t>2008</w:t>
      </w:r>
      <w:r>
        <w:rPr>
          <w:rFonts w:hint="eastAsia" w:ascii="Times New Roman"/>
        </w:rPr>
        <w:t>〕</w:t>
      </w:r>
      <w:r>
        <w:rPr>
          <w:rFonts w:ascii="Times New Roman"/>
        </w:rPr>
        <w:t xml:space="preserve">89 号规定执行，建筑外窗开启面积不小于外窗总面积30%。 </w:t>
      </w:r>
    </w:p>
    <w:p w14:paraId="24CA89E1">
      <w:pPr>
        <w:pStyle w:val="164"/>
        <w:rPr>
          <w:rFonts w:ascii="Times New Roman"/>
        </w:rPr>
      </w:pPr>
      <w:r>
        <w:rPr>
          <w:rFonts w:ascii="Times New Roman"/>
        </w:rPr>
        <w:t>水环境按照建科</w:t>
      </w:r>
      <w:r>
        <w:rPr>
          <w:rFonts w:hint="eastAsia" w:ascii="Times New Roman"/>
        </w:rPr>
        <w:t>〔</w:t>
      </w:r>
      <w:r>
        <w:rPr>
          <w:rFonts w:ascii="Times New Roman"/>
        </w:rPr>
        <w:t>2008</w:t>
      </w:r>
      <w:r>
        <w:rPr>
          <w:rFonts w:hint="eastAsia" w:ascii="Times New Roman"/>
        </w:rPr>
        <w:t>〕</w:t>
      </w:r>
      <w:r>
        <w:rPr>
          <w:rFonts w:ascii="Times New Roman"/>
        </w:rPr>
        <w:t xml:space="preserve">89 号规定执行外，还应根据所在区域总体水资源和水环境规划，确立室内室外给排水系统、雨水系统、水资源处理回收再利用系统。 </w:t>
      </w:r>
    </w:p>
    <w:p w14:paraId="592275FE">
      <w:pPr>
        <w:pStyle w:val="65"/>
        <w:spacing w:before="156" w:after="156"/>
        <w:rPr>
          <w:rFonts w:ascii="Times New Roman"/>
        </w:rPr>
      </w:pPr>
      <w:r>
        <w:rPr>
          <w:rFonts w:ascii="Times New Roman"/>
        </w:rPr>
        <w:t>建筑本体节能设计</w:t>
      </w:r>
    </w:p>
    <w:p w14:paraId="12C62D20">
      <w:pPr>
        <w:pStyle w:val="56"/>
        <w:ind w:firstLine="420"/>
        <w:rPr>
          <w:rFonts w:ascii="Times New Roman"/>
        </w:rPr>
      </w:pPr>
      <w:r>
        <w:rPr>
          <w:rFonts w:ascii="Times New Roman"/>
        </w:rPr>
        <w:t>应按照 GB 50176 规定执行。其中，建筑通风设计、照明节能设计、电气设计、用能设备系统节能设计应按照 GB 50189 和建科</w:t>
      </w:r>
      <w:r>
        <w:rPr>
          <w:rFonts w:hint="eastAsia" w:ascii="Times New Roman"/>
        </w:rPr>
        <w:t>〔</w:t>
      </w:r>
      <w:r>
        <w:rPr>
          <w:rFonts w:ascii="Times New Roman"/>
        </w:rPr>
        <w:t>2008</w:t>
      </w:r>
      <w:r>
        <w:rPr>
          <w:rFonts w:hint="eastAsia" w:ascii="Times New Roman"/>
        </w:rPr>
        <w:t>〕</w:t>
      </w:r>
      <w:r>
        <w:rPr>
          <w:rFonts w:ascii="Times New Roman"/>
        </w:rPr>
        <w:t xml:space="preserve">89 号规定执行。 </w:t>
      </w:r>
    </w:p>
    <w:p w14:paraId="008CFA17">
      <w:pPr>
        <w:pStyle w:val="65"/>
        <w:spacing w:before="156" w:after="156"/>
        <w:rPr>
          <w:rFonts w:ascii="Times New Roman"/>
        </w:rPr>
      </w:pPr>
      <w:r>
        <w:rPr>
          <w:rFonts w:ascii="Times New Roman"/>
        </w:rPr>
        <w:t>节水与水资源利用设计</w:t>
      </w:r>
    </w:p>
    <w:p w14:paraId="3E25BBEF">
      <w:pPr>
        <w:pStyle w:val="56"/>
        <w:ind w:firstLine="420"/>
        <w:rPr>
          <w:rFonts w:ascii="Times New Roman"/>
        </w:rPr>
      </w:pPr>
      <w:r>
        <w:rPr>
          <w:rFonts w:ascii="Times New Roman"/>
        </w:rPr>
        <w:t xml:space="preserve">应按照 GB 50189 和 JGJ/T 229 规定执行，节水器具普及率宜达100%。 </w:t>
      </w:r>
    </w:p>
    <w:p w14:paraId="37F3F5EE">
      <w:pPr>
        <w:pStyle w:val="65"/>
        <w:spacing w:before="156" w:after="156"/>
        <w:rPr>
          <w:rFonts w:ascii="Times New Roman"/>
        </w:rPr>
      </w:pPr>
      <w:r>
        <w:rPr>
          <w:rFonts w:ascii="Times New Roman"/>
        </w:rPr>
        <w:t>节材与材料资源利用设计</w:t>
      </w:r>
    </w:p>
    <w:p w14:paraId="0A1A6844">
      <w:pPr>
        <w:pStyle w:val="56"/>
        <w:ind w:firstLine="420"/>
        <w:rPr>
          <w:rFonts w:ascii="Times New Roman"/>
        </w:rPr>
      </w:pPr>
      <w:r>
        <w:rPr>
          <w:rFonts w:ascii="Times New Roman"/>
        </w:rPr>
        <w:t xml:space="preserve">提倡采用新型环保建筑材料，土建与装修及新技术材料宜应用一体化设计。建筑工程材料和装饰装修材料必须符合 GB 6566、GB 18580～18588 规定。可再利用建筑材料的使用率宜＞5％，可再循环材料使用重量占所用建筑材料总重量的＞10％。 </w:t>
      </w:r>
    </w:p>
    <w:p w14:paraId="16939629">
      <w:pPr>
        <w:pStyle w:val="65"/>
        <w:spacing w:before="156" w:after="156"/>
        <w:rPr>
          <w:rFonts w:ascii="Times New Roman"/>
        </w:rPr>
      </w:pPr>
      <w:r>
        <w:rPr>
          <w:rFonts w:ascii="Times New Roman"/>
        </w:rPr>
        <w:t>可再生资源利用设计</w:t>
      </w:r>
    </w:p>
    <w:p w14:paraId="50C81F23">
      <w:pPr>
        <w:pStyle w:val="56"/>
        <w:ind w:firstLine="420"/>
        <w:rPr>
          <w:rFonts w:ascii="Times New Roman"/>
        </w:rPr>
      </w:pPr>
      <w:r>
        <w:rPr>
          <w:rFonts w:ascii="Times New Roman"/>
        </w:rPr>
        <w:t xml:space="preserve">按照 GB 50189 和 JGJ/T 229 规定执行。 </w:t>
      </w:r>
    </w:p>
    <w:p w14:paraId="18B992F3">
      <w:pPr>
        <w:pStyle w:val="105"/>
        <w:spacing w:before="156" w:after="156"/>
        <w:rPr>
          <w:rFonts w:ascii="Times New Roman"/>
        </w:rPr>
      </w:pPr>
      <w:bookmarkStart w:id="84" w:name="_Toc201072241"/>
      <w:r>
        <w:rPr>
          <w:rFonts w:ascii="Times New Roman"/>
        </w:rPr>
        <w:t>工程施工、监理及验收</w:t>
      </w:r>
      <w:bookmarkEnd w:id="84"/>
    </w:p>
    <w:p w14:paraId="65993C9D">
      <w:pPr>
        <w:pStyle w:val="56"/>
        <w:ind w:firstLine="420"/>
        <w:rPr>
          <w:rFonts w:ascii="Times New Roman"/>
        </w:rPr>
      </w:pPr>
      <w:r>
        <w:rPr>
          <w:rFonts w:ascii="Times New Roman"/>
        </w:rPr>
        <w:t xml:space="preserve">按照 GB/T 50905、GB/T 50319、GB 50300 和 GB 50411 规定执行。 </w:t>
      </w:r>
    </w:p>
    <w:p w14:paraId="67E9FC60">
      <w:pPr>
        <w:pStyle w:val="105"/>
        <w:spacing w:before="156" w:after="156"/>
        <w:rPr>
          <w:rFonts w:ascii="Times New Roman"/>
        </w:rPr>
      </w:pPr>
      <w:bookmarkStart w:id="85" w:name="_Toc201072242"/>
      <w:r>
        <w:rPr>
          <w:rFonts w:ascii="Times New Roman"/>
        </w:rPr>
        <w:t>设备系统运行维护</w:t>
      </w:r>
      <w:bookmarkEnd w:id="85"/>
    </w:p>
    <w:p w14:paraId="0D789C0D">
      <w:pPr>
        <w:pStyle w:val="56"/>
        <w:ind w:firstLine="420"/>
        <w:rPr>
          <w:rFonts w:ascii="Times New Roman"/>
        </w:rPr>
      </w:pPr>
      <w:r>
        <w:rPr>
          <w:rFonts w:ascii="Times New Roman"/>
        </w:rPr>
        <w:t>按照建科[2008]89 号规定执行。</w:t>
      </w:r>
    </w:p>
    <w:p w14:paraId="38D403DC">
      <w:pPr>
        <w:pStyle w:val="105"/>
        <w:spacing w:before="156" w:after="156"/>
        <w:rPr>
          <w:rFonts w:ascii="Times New Roman"/>
        </w:rPr>
      </w:pPr>
      <w:bookmarkStart w:id="86" w:name="_Toc201072243"/>
      <w:r>
        <w:rPr>
          <w:rFonts w:ascii="Times New Roman"/>
        </w:rPr>
        <w:t>建筑节能措施</w:t>
      </w:r>
      <w:bookmarkEnd w:id="86"/>
    </w:p>
    <w:p w14:paraId="031BE289">
      <w:pPr>
        <w:pStyle w:val="56"/>
        <w:ind w:firstLine="420"/>
        <w:rPr>
          <w:rFonts w:ascii="Times New Roman"/>
        </w:rPr>
      </w:pPr>
      <w:r>
        <w:rPr>
          <w:rFonts w:ascii="Times New Roman"/>
        </w:rPr>
        <w:t>按照 GB/</w:t>
      </w:r>
      <w:bookmarkStart w:id="87" w:name="OLE_LINK3"/>
      <w:r>
        <w:rPr>
          <w:rFonts w:ascii="Times New Roman"/>
        </w:rPr>
        <w:t xml:space="preserve">T 50378 和 </w:t>
      </w:r>
      <w:bookmarkEnd w:id="87"/>
      <w:r>
        <w:rPr>
          <w:rFonts w:ascii="Times New Roman"/>
        </w:rPr>
        <w:t>GB/T 51356 规定执行。</w:t>
      </w:r>
    </w:p>
    <w:p w14:paraId="6D30949B">
      <w:pPr>
        <w:pStyle w:val="105"/>
        <w:spacing w:before="156" w:after="156"/>
        <w:rPr>
          <w:rFonts w:ascii="Times New Roman"/>
        </w:rPr>
      </w:pPr>
      <w:bookmarkStart w:id="88" w:name="_Toc201072244"/>
      <w:r>
        <w:rPr>
          <w:rFonts w:ascii="Times New Roman"/>
        </w:rPr>
        <w:t>废水及雨水处理措施</w:t>
      </w:r>
      <w:bookmarkEnd w:id="88"/>
    </w:p>
    <w:p w14:paraId="3230F493">
      <w:pPr>
        <w:pStyle w:val="56"/>
        <w:ind w:firstLine="420"/>
        <w:rPr>
          <w:rFonts w:ascii="Times New Roman"/>
        </w:rPr>
      </w:pPr>
      <w:r>
        <w:rPr>
          <w:rFonts w:ascii="Times New Roman"/>
        </w:rPr>
        <w:t>污水处理排放标准按照 GB 18918 执行，处理后应达到 GB 5084 要求。屋面雨水应有组织排放，屋面雨水收集或排水系统应独立设置，严禁与建筑生活污水、废水排水连接。绿地区由植被吸收雨水；非绿地区宜设置排水沟收集雨水，经过沉淀再接入水体景观中。</w:t>
      </w:r>
    </w:p>
    <w:p w14:paraId="27823F7E">
      <w:pPr>
        <w:pStyle w:val="104"/>
        <w:spacing w:before="312" w:after="312"/>
        <w:rPr>
          <w:rFonts w:ascii="Times New Roman"/>
        </w:rPr>
      </w:pPr>
      <w:bookmarkStart w:id="89" w:name="_Toc201072210"/>
      <w:bookmarkStart w:id="90" w:name="_Toc201072245"/>
      <w:r>
        <w:rPr>
          <w:rFonts w:ascii="Times New Roman"/>
        </w:rPr>
        <w:t>生态文化教育及宣传</w:t>
      </w:r>
      <w:bookmarkEnd w:id="89"/>
      <w:bookmarkEnd w:id="90"/>
    </w:p>
    <w:p w14:paraId="0C1D3DFE">
      <w:pPr>
        <w:pStyle w:val="105"/>
        <w:spacing w:before="156" w:after="156"/>
        <w:rPr>
          <w:rFonts w:ascii="Times New Roman"/>
        </w:rPr>
      </w:pPr>
      <w:bookmarkStart w:id="91" w:name="_Toc201072246"/>
      <w:r>
        <w:rPr>
          <w:rFonts w:ascii="Times New Roman"/>
        </w:rPr>
        <w:t>教育内容</w:t>
      </w:r>
      <w:bookmarkEnd w:id="91"/>
    </w:p>
    <w:p w14:paraId="777A3DD9">
      <w:pPr>
        <w:pStyle w:val="65"/>
        <w:spacing w:before="156" w:after="156"/>
        <w:rPr>
          <w:rFonts w:ascii="Times New Roman"/>
        </w:rPr>
      </w:pPr>
      <w:r>
        <w:rPr>
          <w:rFonts w:ascii="Times New Roman"/>
        </w:rPr>
        <w:t>生态价值观教育</w:t>
      </w:r>
    </w:p>
    <w:p w14:paraId="14D88CEF">
      <w:pPr>
        <w:pStyle w:val="56"/>
        <w:ind w:firstLine="420"/>
        <w:rPr>
          <w:rFonts w:ascii="Times New Roman"/>
        </w:rPr>
      </w:pPr>
      <w:r>
        <w:rPr>
          <w:rFonts w:ascii="Times New Roman"/>
        </w:rPr>
        <w:t>以生态文化教育为出发点和落脚点，开展生态理念养成教育、生态意识教育、生态道德教育等。</w:t>
      </w:r>
    </w:p>
    <w:p w14:paraId="05D0FC8A">
      <w:pPr>
        <w:pStyle w:val="65"/>
        <w:spacing w:before="156" w:after="156"/>
        <w:rPr>
          <w:rFonts w:ascii="Times New Roman"/>
        </w:rPr>
      </w:pPr>
      <w:r>
        <w:rPr>
          <w:rFonts w:ascii="Times New Roman"/>
        </w:rPr>
        <w:t>环境教育</w:t>
      </w:r>
    </w:p>
    <w:p w14:paraId="6D90BAD8">
      <w:pPr>
        <w:pStyle w:val="56"/>
        <w:ind w:firstLine="420"/>
        <w:rPr>
          <w:rFonts w:ascii="Times New Roman"/>
        </w:rPr>
      </w:pPr>
      <w:r>
        <w:rPr>
          <w:rFonts w:ascii="Times New Roman"/>
        </w:rPr>
        <w:t>在习近平生态文明思想的科学指引下，将人与自然和谐共生的理念作为核心，全面开展环境教育工作。</w:t>
      </w:r>
    </w:p>
    <w:p w14:paraId="6DF61E24">
      <w:pPr>
        <w:pStyle w:val="65"/>
        <w:spacing w:before="156" w:after="156"/>
        <w:rPr>
          <w:rFonts w:hint="default" w:ascii="Times New Roman" w:hAnsi="Times New Roman" w:cs="Times New Roman"/>
        </w:rPr>
      </w:pPr>
      <w:r>
        <w:rPr>
          <w:rFonts w:hint="default" w:ascii="Times New Roman" w:hAnsi="Times New Roman" w:cs="Times New Roman"/>
        </w:rPr>
        <w:t>低碳教育</w:t>
      </w:r>
    </w:p>
    <w:p w14:paraId="41CB6B4E">
      <w:pPr>
        <w:pStyle w:val="56"/>
        <w:ind w:firstLine="420"/>
        <w:rPr>
          <w:rFonts w:ascii="Times New Roman"/>
        </w:rPr>
      </w:pPr>
      <w:r>
        <w:rPr>
          <w:rFonts w:ascii="Times New Roman"/>
        </w:rPr>
        <w:t>按照《联合国气候变化框架公约（UNFCCC）》和我国</w:t>
      </w:r>
      <w:r>
        <w:rPr>
          <w:rFonts w:hint="eastAsia" w:ascii="Times New Roman"/>
          <w:lang w:eastAsia="zh-CN"/>
        </w:rPr>
        <w:t>“</w:t>
      </w:r>
      <w:r>
        <w:rPr>
          <w:rFonts w:ascii="Times New Roman"/>
        </w:rPr>
        <w:t>双碳</w:t>
      </w:r>
      <w:r>
        <w:rPr>
          <w:rFonts w:hint="eastAsia" w:ascii="Times New Roman"/>
          <w:lang w:eastAsia="zh-CN"/>
        </w:rPr>
        <w:t>”</w:t>
      </w:r>
      <w:r>
        <w:rPr>
          <w:rFonts w:ascii="Times New Roman"/>
        </w:rPr>
        <w:t>目标有关规定执行。</w:t>
      </w:r>
    </w:p>
    <w:p w14:paraId="15764868">
      <w:pPr>
        <w:pStyle w:val="65"/>
        <w:spacing w:before="156" w:after="156"/>
        <w:rPr>
          <w:rFonts w:ascii="Times New Roman"/>
        </w:rPr>
      </w:pPr>
      <w:r>
        <w:rPr>
          <w:rFonts w:ascii="Times New Roman"/>
        </w:rPr>
        <w:t>绿色消费教育</w:t>
      </w:r>
    </w:p>
    <w:p w14:paraId="1B3B2AD5">
      <w:pPr>
        <w:pStyle w:val="56"/>
        <w:ind w:firstLine="420"/>
        <w:rPr>
          <w:rFonts w:ascii="Times New Roman"/>
        </w:rPr>
      </w:pPr>
      <w:r>
        <w:rPr>
          <w:rFonts w:ascii="Times New Roman"/>
        </w:rPr>
        <w:t>应按照《消费者权益保护法》和《绿色产品评价标准》规定执行。</w:t>
      </w:r>
    </w:p>
    <w:p w14:paraId="729ECC0F">
      <w:pPr>
        <w:pStyle w:val="105"/>
        <w:spacing w:before="156" w:after="156"/>
        <w:rPr>
          <w:rFonts w:ascii="Times New Roman"/>
        </w:rPr>
      </w:pPr>
      <w:bookmarkStart w:id="92" w:name="_Toc201072247"/>
      <w:r>
        <w:rPr>
          <w:rFonts w:ascii="Times New Roman"/>
        </w:rPr>
        <w:t>教育方法</w:t>
      </w:r>
      <w:bookmarkEnd w:id="92"/>
    </w:p>
    <w:p w14:paraId="7A689212">
      <w:pPr>
        <w:pStyle w:val="165"/>
        <w:rPr>
          <w:rFonts w:ascii="Times New Roman"/>
        </w:rPr>
      </w:pPr>
      <w:bookmarkStart w:id="93" w:name="_Toc201072248"/>
      <w:r>
        <w:rPr>
          <w:rFonts w:ascii="Times New Roman"/>
        </w:rPr>
        <w:t>建立健全生态文化教育制度，建议出台生态文化教育方案。</w:t>
      </w:r>
    </w:p>
    <w:p w14:paraId="69BF8210">
      <w:pPr>
        <w:pStyle w:val="165"/>
        <w:rPr>
          <w:rFonts w:ascii="Times New Roman"/>
        </w:rPr>
      </w:pPr>
      <w:r>
        <w:rPr>
          <w:rFonts w:ascii="Times New Roman"/>
        </w:rPr>
        <w:t>编撰校本教材，设生态文化教育课程，如生态文明知识读本、生态文化概论、生态文明教育通论等。</w:t>
      </w:r>
    </w:p>
    <w:p w14:paraId="585066A8">
      <w:pPr>
        <w:pStyle w:val="165"/>
        <w:rPr>
          <w:rFonts w:ascii="Times New Roman"/>
        </w:rPr>
      </w:pPr>
      <w:r>
        <w:rPr>
          <w:rFonts w:ascii="Times New Roman"/>
        </w:rPr>
        <w:t>开展生态文化教育课外活动，建议每年制定系列活动。</w:t>
      </w:r>
    </w:p>
    <w:p w14:paraId="6D976580">
      <w:pPr>
        <w:pStyle w:val="165"/>
        <w:rPr>
          <w:rFonts w:ascii="Times New Roman"/>
        </w:rPr>
      </w:pPr>
      <w:r>
        <w:rPr>
          <w:rFonts w:ascii="Times New Roman"/>
        </w:rPr>
        <w:t>以习近平生态文明思想为指引，将生态文明教育贯穿大中小学教育全过程。</w:t>
      </w:r>
    </w:p>
    <w:bookmarkEnd w:id="93"/>
    <w:p w14:paraId="4D7BF290">
      <w:pPr>
        <w:pStyle w:val="105"/>
        <w:spacing w:before="156" w:after="156"/>
        <w:rPr>
          <w:rFonts w:ascii="Times New Roman"/>
        </w:rPr>
      </w:pPr>
      <w:bookmarkStart w:id="94" w:name="_Toc201072251"/>
      <w:bookmarkStart w:id="95" w:name="_Toc201072211"/>
      <w:r>
        <w:rPr>
          <w:rFonts w:ascii="Times New Roman"/>
        </w:rPr>
        <w:t>生态文化宣传</w:t>
      </w:r>
    </w:p>
    <w:p w14:paraId="3B238652">
      <w:pPr>
        <w:pStyle w:val="65"/>
        <w:spacing w:before="156" w:after="156"/>
        <w:rPr>
          <w:rFonts w:ascii="Times New Roman"/>
        </w:rPr>
      </w:pPr>
      <w:r>
        <w:rPr>
          <w:rFonts w:ascii="Times New Roman"/>
        </w:rPr>
        <w:t>媒体宣传</w:t>
      </w:r>
    </w:p>
    <w:p w14:paraId="20D31A34">
      <w:pPr>
        <w:pStyle w:val="56"/>
        <w:ind w:firstLine="420"/>
        <w:rPr>
          <w:rFonts w:ascii="Times New Roman"/>
        </w:rPr>
      </w:pPr>
      <w:r>
        <w:rPr>
          <w:rFonts w:ascii="Times New Roman"/>
        </w:rPr>
        <w:t>建立健全校园报刊、广播影视、网络媒体等载体，开展形式多样的生态文化校园宣传活动，采用多样化的宣传形式，以生动形象、通俗易懂的方式向公众传递生态文明理念。</w:t>
      </w:r>
    </w:p>
    <w:p w14:paraId="5D8BECFA">
      <w:pPr>
        <w:pStyle w:val="65"/>
        <w:spacing w:before="156" w:after="156"/>
        <w:rPr>
          <w:rFonts w:ascii="Times New Roman"/>
        </w:rPr>
      </w:pPr>
      <w:r>
        <w:rPr>
          <w:rFonts w:ascii="Times New Roman"/>
        </w:rPr>
        <w:t>校园报刊</w:t>
      </w:r>
    </w:p>
    <w:p w14:paraId="1E72EBAC">
      <w:pPr>
        <w:pStyle w:val="56"/>
        <w:ind w:firstLine="420"/>
        <w:rPr>
          <w:rFonts w:ascii="Times New Roman"/>
        </w:rPr>
      </w:pPr>
      <w:r>
        <w:rPr>
          <w:rFonts w:ascii="Times New Roman"/>
        </w:rPr>
        <w:t>利用校报、学术刊物等传统纸媒，开辟生态文化专刊专栏，展现生态文化教育活动动态与实践硕果。</w:t>
      </w:r>
    </w:p>
    <w:p w14:paraId="311FC12E">
      <w:pPr>
        <w:pStyle w:val="65"/>
        <w:spacing w:before="156" w:after="156"/>
        <w:rPr>
          <w:rFonts w:ascii="Times New Roman"/>
        </w:rPr>
      </w:pPr>
      <w:r>
        <w:rPr>
          <w:rFonts w:ascii="Times New Roman"/>
        </w:rPr>
        <w:t>广播影视</w:t>
      </w:r>
    </w:p>
    <w:p w14:paraId="2DFE1CBD">
      <w:pPr>
        <w:pStyle w:val="56"/>
        <w:ind w:firstLine="420"/>
        <w:rPr>
          <w:rFonts w:ascii="Times New Roman"/>
        </w:rPr>
      </w:pPr>
      <w:r>
        <w:rPr>
          <w:rFonts w:ascii="Times New Roman"/>
        </w:rPr>
        <w:t xml:space="preserve">利用学校广播媒介和公益教育影片等，传递环境绿化与健康教育知识，营造健康、绿色的校园风尚。 </w:t>
      </w:r>
    </w:p>
    <w:p w14:paraId="0F926F65">
      <w:pPr>
        <w:pStyle w:val="65"/>
        <w:spacing w:before="156" w:after="156"/>
        <w:rPr>
          <w:rFonts w:ascii="Times New Roman"/>
        </w:rPr>
      </w:pPr>
      <w:r>
        <w:rPr>
          <w:rFonts w:ascii="Times New Roman"/>
        </w:rPr>
        <w:t>网络媒介</w:t>
      </w:r>
    </w:p>
    <w:p w14:paraId="1DAD1C3B">
      <w:pPr>
        <w:pStyle w:val="56"/>
        <w:ind w:firstLine="420"/>
        <w:rPr>
          <w:rFonts w:ascii="Times New Roman"/>
        </w:rPr>
      </w:pPr>
      <w:r>
        <w:rPr>
          <w:rFonts w:ascii="Times New Roman"/>
        </w:rPr>
        <w:t>利用校园网搭建集知识科普、互动交流、成果展示于一体的生态文化教育专题网页，利用微信、微博等新兴媒介推进生态文化教育工作。</w:t>
      </w:r>
    </w:p>
    <w:p w14:paraId="0E0EE6D9">
      <w:pPr>
        <w:pStyle w:val="65"/>
        <w:spacing w:before="156" w:after="156"/>
        <w:rPr>
          <w:rFonts w:ascii="Times New Roman"/>
        </w:rPr>
      </w:pPr>
      <w:r>
        <w:rPr>
          <w:rFonts w:ascii="Times New Roman"/>
        </w:rPr>
        <w:t>普及活动</w:t>
      </w:r>
    </w:p>
    <w:p w14:paraId="557B1612">
      <w:pPr>
        <w:pStyle w:val="56"/>
        <w:ind w:firstLine="420"/>
        <w:rPr>
          <w:rFonts w:ascii="Times New Roman"/>
        </w:rPr>
      </w:pPr>
      <w:r>
        <w:rPr>
          <w:rFonts w:ascii="Times New Roman"/>
        </w:rPr>
        <w:t>结合实际情况，在校园内的道路两旁依据不同路段的环境特色，设计与之契合的生态文化宣传内容。在各类植物精心加挂（插）识别牌，开展生态文化讲座、征文、展览、辩论、演讲、知识竞赛等。</w:t>
      </w:r>
    </w:p>
    <w:p w14:paraId="6FFA3AF7">
      <w:pPr>
        <w:pStyle w:val="105"/>
        <w:spacing w:before="156" w:after="156"/>
        <w:rPr>
          <w:rFonts w:ascii="Times New Roman"/>
        </w:rPr>
      </w:pPr>
      <w:bookmarkStart w:id="96" w:name="_Toc201072249"/>
      <w:r>
        <w:rPr>
          <w:rFonts w:ascii="Times New Roman"/>
        </w:rPr>
        <w:t>生态校园制度建设</w:t>
      </w:r>
      <w:bookmarkEnd w:id="96"/>
    </w:p>
    <w:p w14:paraId="322E793C">
      <w:pPr>
        <w:pStyle w:val="165"/>
        <w:rPr>
          <w:rFonts w:ascii="Times New Roman"/>
        </w:rPr>
      </w:pPr>
      <w:r>
        <w:rPr>
          <w:rFonts w:ascii="Times New Roman"/>
        </w:rPr>
        <w:t>成立生态校园管理机构，规范其职能范围，推进生态校园建设。</w:t>
      </w:r>
    </w:p>
    <w:p w14:paraId="098ED93D">
      <w:pPr>
        <w:pStyle w:val="165"/>
        <w:rPr>
          <w:rFonts w:ascii="Times New Roman"/>
        </w:rPr>
      </w:pPr>
      <w:r>
        <w:rPr>
          <w:rFonts w:ascii="Times New Roman"/>
        </w:rPr>
        <w:t>按照《中华人民共和国节约能源法》《中华人民共和国水法》《公共机构节能条例》《校园绿化管理规范》要求，制定并实施校园节能、节水、节材及绿化管理制度，并严格执行。</w:t>
      </w:r>
    </w:p>
    <w:p w14:paraId="51D91264">
      <w:pPr>
        <w:pStyle w:val="105"/>
        <w:spacing w:before="156" w:after="156"/>
        <w:rPr>
          <w:rFonts w:ascii="Times New Roman"/>
        </w:rPr>
      </w:pPr>
      <w:bookmarkStart w:id="97" w:name="_Toc201072250"/>
      <w:r>
        <w:rPr>
          <w:rFonts w:ascii="Times New Roman"/>
        </w:rPr>
        <w:t>校园道路、建筑物及景点命名</w:t>
      </w:r>
      <w:bookmarkEnd w:id="97"/>
    </w:p>
    <w:p w14:paraId="1D334689">
      <w:pPr>
        <w:pStyle w:val="56"/>
        <w:ind w:firstLine="420"/>
        <w:rPr>
          <w:rFonts w:ascii="Times New Roman"/>
        </w:rPr>
      </w:pPr>
      <w:r>
        <w:rPr>
          <w:rFonts w:ascii="Times New Roman"/>
        </w:rPr>
        <w:t>严格按照国家《地名管理条例》的规定执行，以生态为元素命名道路、建筑物及景点。</w:t>
      </w:r>
    </w:p>
    <w:p w14:paraId="3A9A3E35">
      <w:pPr>
        <w:pStyle w:val="104"/>
        <w:spacing w:before="312" w:after="312"/>
        <w:rPr>
          <w:rFonts w:ascii="Times New Roman"/>
        </w:rPr>
      </w:pPr>
      <w:r>
        <w:rPr>
          <w:rFonts w:ascii="Times New Roman"/>
        </w:rPr>
        <w:t>景观维护管理</w:t>
      </w:r>
      <w:bookmarkEnd w:id="94"/>
      <w:bookmarkEnd w:id="95"/>
    </w:p>
    <w:p w14:paraId="04FCB03F">
      <w:pPr>
        <w:pStyle w:val="105"/>
        <w:spacing w:before="156" w:after="156"/>
        <w:rPr>
          <w:rFonts w:ascii="Times New Roman"/>
        </w:rPr>
      </w:pPr>
      <w:bookmarkStart w:id="98" w:name="_Toc201072252"/>
      <w:r>
        <w:rPr>
          <w:rFonts w:ascii="Times New Roman"/>
        </w:rPr>
        <w:t>景观维护</w:t>
      </w:r>
      <w:bookmarkEnd w:id="98"/>
    </w:p>
    <w:p w14:paraId="220B5EB6">
      <w:pPr>
        <w:pStyle w:val="65"/>
        <w:spacing w:before="156" w:after="156"/>
        <w:rPr>
          <w:rFonts w:ascii="Times New Roman"/>
        </w:rPr>
      </w:pPr>
      <w:r>
        <w:rPr>
          <w:rFonts w:ascii="Times New Roman"/>
        </w:rPr>
        <w:t>地形</w:t>
      </w:r>
    </w:p>
    <w:p w14:paraId="257567B4">
      <w:pPr>
        <w:pStyle w:val="56"/>
        <w:ind w:firstLine="420"/>
        <w:rPr>
          <w:rFonts w:ascii="Times New Roman"/>
        </w:rPr>
      </w:pPr>
      <w:r>
        <w:rPr>
          <w:rFonts w:ascii="Times New Roman"/>
        </w:rPr>
        <w:t xml:space="preserve">定期检查场地地形坡度，当坡度超过相应土壤的安息角时，应采取护坡、固土、防冲刷等措施，如有塌陷或塌方应及时修填，填充物不应含有影响人、动植物和环境等安全的有害物。 </w:t>
      </w:r>
    </w:p>
    <w:p w14:paraId="3950E7C6">
      <w:pPr>
        <w:pStyle w:val="65"/>
        <w:spacing w:before="156" w:after="156"/>
        <w:rPr>
          <w:rFonts w:ascii="Times New Roman"/>
        </w:rPr>
      </w:pPr>
      <w:r>
        <w:rPr>
          <w:rFonts w:ascii="Times New Roman"/>
        </w:rPr>
        <w:t>水体</w:t>
      </w:r>
    </w:p>
    <w:p w14:paraId="47AE33FB">
      <w:pPr>
        <w:pStyle w:val="56"/>
        <w:ind w:firstLine="420"/>
        <w:rPr>
          <w:rFonts w:ascii="Times New Roman"/>
        </w:rPr>
      </w:pPr>
      <w:r>
        <w:rPr>
          <w:rFonts w:ascii="Times New Roman"/>
        </w:rPr>
        <w:t>定期清理水体中的杂物、落叶等，检查水体水质，应达到地表水环境质量 V 类以上等级。进水口、溢水口、泄水口应保持通畅，无堵塞。驳岸、堤坝等应无渗漏或管涌，发生险情及时填堵。护栏等防护设施应牢固、安全。</w:t>
      </w:r>
    </w:p>
    <w:p w14:paraId="216A50E5">
      <w:pPr>
        <w:pStyle w:val="65"/>
        <w:spacing w:before="156" w:after="156"/>
        <w:rPr>
          <w:rFonts w:ascii="Times New Roman"/>
        </w:rPr>
      </w:pPr>
      <w:r>
        <w:rPr>
          <w:rFonts w:ascii="Times New Roman"/>
        </w:rPr>
        <w:t>道路</w:t>
      </w:r>
    </w:p>
    <w:p w14:paraId="265F5EDF">
      <w:pPr>
        <w:pStyle w:val="56"/>
        <w:ind w:firstLine="420"/>
        <w:rPr>
          <w:rFonts w:ascii="Times New Roman"/>
        </w:rPr>
      </w:pPr>
      <w:r>
        <w:rPr>
          <w:rFonts w:ascii="Times New Roman"/>
        </w:rPr>
        <w:t xml:space="preserve">道路如发生裂缝、塌陷、翻浆、啃边等破坏时应及时采取相应措施修补，修补材料、形式宜与原有道路保持一致。道路附属设施如井盖、雨水篦子等缺损、堵塞应及时更换、疏通。 </w:t>
      </w:r>
    </w:p>
    <w:p w14:paraId="3656678D">
      <w:pPr>
        <w:pStyle w:val="65"/>
        <w:spacing w:before="156" w:after="156"/>
        <w:rPr>
          <w:rFonts w:ascii="Times New Roman"/>
        </w:rPr>
      </w:pPr>
      <w:r>
        <w:rPr>
          <w:rFonts w:ascii="Times New Roman"/>
        </w:rPr>
        <w:t>广场</w:t>
      </w:r>
    </w:p>
    <w:p w14:paraId="6E5AE970">
      <w:pPr>
        <w:pStyle w:val="56"/>
        <w:ind w:firstLine="420"/>
        <w:rPr>
          <w:rFonts w:ascii="Times New Roman"/>
        </w:rPr>
      </w:pPr>
      <w:r>
        <w:rPr>
          <w:rFonts w:ascii="Times New Roman"/>
        </w:rPr>
        <w:t xml:space="preserve">广场铺装、台阶、花坛等如发生破损、缺失等情况时应及时修筑，修筑材料、形式宜与原有广场保持一致。广场出入口及无障碍通道等保持畅通，无阻塞的障碍物。 </w:t>
      </w:r>
    </w:p>
    <w:p w14:paraId="03C8E78F">
      <w:pPr>
        <w:pStyle w:val="65"/>
        <w:spacing w:before="156" w:after="156"/>
        <w:rPr>
          <w:rFonts w:ascii="Times New Roman"/>
        </w:rPr>
      </w:pPr>
      <w:r>
        <w:rPr>
          <w:rFonts w:ascii="Times New Roman"/>
        </w:rPr>
        <w:t>园林建筑和小品</w:t>
      </w:r>
    </w:p>
    <w:p w14:paraId="4D9D32B1">
      <w:pPr>
        <w:pStyle w:val="56"/>
        <w:ind w:firstLine="420"/>
        <w:rPr>
          <w:rFonts w:ascii="Times New Roman"/>
        </w:rPr>
      </w:pPr>
      <w:r>
        <w:rPr>
          <w:rFonts w:ascii="Times New Roman"/>
        </w:rPr>
        <w:t xml:space="preserve">定期检查园林建筑和小品结构安全，如发生断裂、倾斜、塌陷等影响人、动植物和环境安全时，应立即设立警示标志，及时修复，修补材料、形式宜与原有构造保持一致。木质、金属制品等定期涂刷防 腐、防锈剂。 </w:t>
      </w:r>
    </w:p>
    <w:p w14:paraId="170F328B">
      <w:pPr>
        <w:pStyle w:val="65"/>
        <w:spacing w:before="156" w:after="156"/>
        <w:rPr>
          <w:rFonts w:ascii="Times New Roman"/>
        </w:rPr>
      </w:pPr>
      <w:r>
        <w:rPr>
          <w:rFonts w:ascii="Times New Roman"/>
        </w:rPr>
        <w:t>停车场</w:t>
      </w:r>
    </w:p>
    <w:p w14:paraId="54D3B992">
      <w:pPr>
        <w:pStyle w:val="56"/>
        <w:ind w:firstLine="420"/>
        <w:rPr>
          <w:rFonts w:ascii="Times New Roman"/>
        </w:rPr>
      </w:pPr>
      <w:r>
        <w:rPr>
          <w:rFonts w:ascii="Times New Roman"/>
        </w:rPr>
        <w:t xml:space="preserve">定期检查停车场地面、棚架、充电桩等结构安全，如发生地面塌陷、鼓包，构架断裂、倾斜，电缆裸露、破损等影响人、车辆安全时，应立即设立警示标志，及时修复，修补材料、形式宜与原有停车场保持一致。 </w:t>
      </w:r>
    </w:p>
    <w:p w14:paraId="3D92592B">
      <w:pPr>
        <w:pStyle w:val="65"/>
        <w:spacing w:before="156" w:after="156"/>
        <w:rPr>
          <w:rFonts w:ascii="Times New Roman"/>
        </w:rPr>
      </w:pPr>
      <w:r>
        <w:rPr>
          <w:rFonts w:ascii="Times New Roman"/>
        </w:rPr>
        <w:t>照明</w:t>
      </w:r>
    </w:p>
    <w:p w14:paraId="4B75DBF1">
      <w:pPr>
        <w:pStyle w:val="56"/>
        <w:ind w:firstLine="420"/>
        <w:rPr>
          <w:rFonts w:ascii="Times New Roman"/>
        </w:rPr>
      </w:pPr>
      <w:r>
        <w:rPr>
          <w:rFonts w:ascii="Times New Roman"/>
        </w:rPr>
        <w:t xml:space="preserve">定期检查照明电路系统安全，如有短路、漏电、老化、接地不良等应立即设立警示标志并修理，灯具破损应及时修理或更换。 </w:t>
      </w:r>
    </w:p>
    <w:p w14:paraId="03488F17">
      <w:pPr>
        <w:pStyle w:val="65"/>
        <w:spacing w:before="156" w:after="156"/>
        <w:rPr>
          <w:rFonts w:ascii="Times New Roman"/>
        </w:rPr>
      </w:pPr>
      <w:r>
        <w:rPr>
          <w:rFonts w:ascii="Times New Roman"/>
        </w:rPr>
        <w:t>浇灌</w:t>
      </w:r>
    </w:p>
    <w:p w14:paraId="6B62EB53">
      <w:pPr>
        <w:pStyle w:val="56"/>
        <w:ind w:firstLine="420"/>
        <w:rPr>
          <w:rFonts w:ascii="Times New Roman"/>
        </w:rPr>
      </w:pPr>
      <w:r>
        <w:rPr>
          <w:rFonts w:ascii="Times New Roman"/>
        </w:rPr>
        <w:t>定期检查浇灌设施安全，喷头、阀门和水管等如有堵塞、泄漏、偏移或损坏，及时修复。定期清洗过滤器和冲洗管道，确保水流畅通；冬季需排空管道和喷头中的水流。</w:t>
      </w:r>
    </w:p>
    <w:p w14:paraId="1A91D46F">
      <w:pPr>
        <w:pStyle w:val="105"/>
        <w:spacing w:before="156" w:after="156"/>
        <w:rPr>
          <w:rFonts w:ascii="Times New Roman"/>
        </w:rPr>
      </w:pPr>
      <w:bookmarkStart w:id="99" w:name="_Toc201072253"/>
      <w:r>
        <w:rPr>
          <w:rFonts w:ascii="Times New Roman"/>
        </w:rPr>
        <w:t>绿化维护</w:t>
      </w:r>
      <w:bookmarkEnd w:id="99"/>
    </w:p>
    <w:p w14:paraId="68ED1A09">
      <w:pPr>
        <w:pStyle w:val="65"/>
        <w:spacing w:before="156" w:after="156"/>
        <w:rPr>
          <w:rFonts w:ascii="Times New Roman"/>
        </w:rPr>
      </w:pPr>
      <w:r>
        <w:rPr>
          <w:rFonts w:ascii="Times New Roman"/>
        </w:rPr>
        <w:t>浇水</w:t>
      </w:r>
    </w:p>
    <w:p w14:paraId="205280C6">
      <w:pPr>
        <w:pStyle w:val="94"/>
        <w:spacing w:before="156" w:after="156"/>
        <w:rPr>
          <w:rFonts w:ascii="Times New Roman"/>
        </w:rPr>
      </w:pPr>
      <w:r>
        <w:rPr>
          <w:rFonts w:ascii="Times New Roman"/>
        </w:rPr>
        <w:t>基本要求</w:t>
      </w:r>
    </w:p>
    <w:p w14:paraId="48ABB72B">
      <w:pPr>
        <w:pStyle w:val="56"/>
        <w:ind w:firstLine="420"/>
        <w:rPr>
          <w:rFonts w:ascii="Times New Roman"/>
        </w:rPr>
      </w:pPr>
      <w:r>
        <w:rPr>
          <w:rFonts w:ascii="Times New Roman"/>
        </w:rPr>
        <w:t>遵循合理的浇灌原则，依据植物生长发育阶段和生长状况确定关键需水阶段和浇灌水量。</w:t>
      </w:r>
    </w:p>
    <w:p w14:paraId="0BF51170">
      <w:pPr>
        <w:pStyle w:val="56"/>
        <w:ind w:firstLine="420"/>
        <w:rPr>
          <w:rFonts w:ascii="Times New Roman"/>
        </w:rPr>
      </w:pPr>
      <w:r>
        <w:rPr>
          <w:rFonts w:ascii="Times New Roman"/>
        </w:rPr>
        <w:t>遵循节水灌溉原则，宜设置喷灌、滴灌、微喷等设施进行浇灌，根据需要设置智慧水肥管养示范区。</w:t>
      </w:r>
    </w:p>
    <w:p w14:paraId="5F5CE4E4">
      <w:pPr>
        <w:pStyle w:val="56"/>
        <w:ind w:firstLine="420"/>
        <w:rPr>
          <w:rFonts w:ascii="Times New Roman"/>
        </w:rPr>
      </w:pPr>
      <w:r>
        <w:rPr>
          <w:rFonts w:ascii="Times New Roman"/>
        </w:rPr>
        <w:t>浇灌时间：根据校区所在区域气候特点，夏季高温季节宜在每日早晚进行。早春或初冬寒冷季节宜在每日10:00~15:00之间进行。</w:t>
      </w:r>
    </w:p>
    <w:p w14:paraId="73722EF0">
      <w:pPr>
        <w:pStyle w:val="94"/>
        <w:spacing w:before="156" w:after="156"/>
        <w:rPr>
          <w:rFonts w:ascii="Times New Roman"/>
        </w:rPr>
      </w:pPr>
      <w:r>
        <w:rPr>
          <w:rFonts w:ascii="Times New Roman"/>
        </w:rPr>
        <w:t>不同类型植物的浇水</w:t>
      </w:r>
    </w:p>
    <w:p w14:paraId="4A72D761">
      <w:pPr>
        <w:pStyle w:val="56"/>
        <w:ind w:firstLine="420"/>
        <w:rPr>
          <w:rFonts w:ascii="Times New Roman"/>
        </w:rPr>
      </w:pPr>
      <w:r>
        <w:rPr>
          <w:rFonts w:ascii="Times New Roman"/>
        </w:rPr>
        <w:t>乔木、灌木、林下草坪、地被等可采用滴灌、喷灌等方式，不能覆盖区域可拉管补灌，拉管补灌应以软管缓流浇灌为宜，避开上下学人流高峰期。</w:t>
      </w:r>
    </w:p>
    <w:p w14:paraId="57A9C68D">
      <w:pPr>
        <w:pStyle w:val="56"/>
        <w:ind w:firstLine="420"/>
        <w:rPr>
          <w:rFonts w:ascii="Times New Roman"/>
        </w:rPr>
      </w:pPr>
      <w:r>
        <w:rPr>
          <w:rFonts w:ascii="Times New Roman"/>
        </w:rPr>
        <w:t>花坛、花箱和各种容器栽植花卉应及时喷灌，忌水涝花卉应注意排涝，花池应在适当位置加设排水孔。</w:t>
      </w:r>
    </w:p>
    <w:p w14:paraId="3341BD09">
      <w:pPr>
        <w:pStyle w:val="65"/>
        <w:spacing w:before="156" w:after="156"/>
        <w:rPr>
          <w:rFonts w:ascii="Times New Roman"/>
        </w:rPr>
      </w:pPr>
      <w:r>
        <w:rPr>
          <w:rFonts w:ascii="Times New Roman"/>
        </w:rPr>
        <w:t>施肥</w:t>
      </w:r>
    </w:p>
    <w:p w14:paraId="68C4BAA2">
      <w:pPr>
        <w:pStyle w:val="56"/>
        <w:ind w:firstLine="420"/>
        <w:rPr>
          <w:rFonts w:ascii="Times New Roman"/>
        </w:rPr>
      </w:pPr>
      <w:r>
        <w:rPr>
          <w:rFonts w:ascii="Times New Roman"/>
        </w:rPr>
        <w:t>每年施肥1</w:t>
      </w:r>
      <w:r>
        <w:rPr>
          <w:rFonts w:hint="eastAsia" w:ascii="Times New Roman"/>
          <w:lang w:val="en-US" w:eastAsia="zh-CN"/>
        </w:rPr>
        <w:t>次~</w:t>
      </w:r>
      <w:r>
        <w:rPr>
          <w:rFonts w:ascii="Times New Roman"/>
        </w:rPr>
        <w:t>3次，施肥量参照DB64/T 1934执行。</w:t>
      </w:r>
    </w:p>
    <w:p w14:paraId="46CFA474">
      <w:pPr>
        <w:pStyle w:val="94"/>
        <w:spacing w:before="156" w:after="156"/>
        <w:rPr>
          <w:rFonts w:ascii="Times New Roman"/>
        </w:rPr>
      </w:pPr>
      <w:r>
        <w:rPr>
          <w:rFonts w:ascii="Times New Roman"/>
        </w:rPr>
        <w:t>栽植时施肥</w:t>
      </w:r>
    </w:p>
    <w:p w14:paraId="58839BC0">
      <w:pPr>
        <w:pStyle w:val="56"/>
        <w:ind w:firstLine="420"/>
        <w:rPr>
          <w:rFonts w:ascii="Times New Roman"/>
        </w:rPr>
      </w:pPr>
      <w:r>
        <w:rPr>
          <w:rFonts w:ascii="Times New Roman"/>
        </w:rPr>
        <w:t>植物种植时，结合整地施入商品有机肥或复合肥。</w:t>
      </w:r>
    </w:p>
    <w:p w14:paraId="73F23D68">
      <w:pPr>
        <w:pStyle w:val="94"/>
        <w:spacing w:before="156" w:after="156"/>
        <w:rPr>
          <w:rFonts w:ascii="Times New Roman"/>
        </w:rPr>
      </w:pPr>
      <w:r>
        <w:rPr>
          <w:rFonts w:ascii="Times New Roman"/>
        </w:rPr>
        <w:t>休眠期施肥</w:t>
      </w:r>
    </w:p>
    <w:p w14:paraId="1413438D">
      <w:pPr>
        <w:pStyle w:val="56"/>
        <w:ind w:firstLine="420"/>
        <w:rPr>
          <w:rFonts w:ascii="Times New Roman"/>
        </w:rPr>
      </w:pPr>
      <w:r>
        <w:rPr>
          <w:rFonts w:ascii="Times New Roman"/>
        </w:rPr>
        <w:t>秋末或早春（以寒假施肥为宜）休眠施腐熟的有机肥，乔灌木、竹类木采用穴施、沟施为主，球宿根花卉及地被植物以沟施为主。水生植物3</w:t>
      </w:r>
      <w:r>
        <w:rPr>
          <w:rFonts w:hint="eastAsia" w:ascii="Times New Roman"/>
          <w:lang w:val="en-US" w:eastAsia="zh-CN"/>
        </w:rPr>
        <w:t>年~</w:t>
      </w:r>
      <w:r>
        <w:rPr>
          <w:rFonts w:ascii="Times New Roman"/>
        </w:rPr>
        <w:t>5年结合清塘施有机肥。</w:t>
      </w:r>
    </w:p>
    <w:p w14:paraId="00CF3406">
      <w:pPr>
        <w:pStyle w:val="94"/>
        <w:spacing w:before="156" w:after="156"/>
        <w:rPr>
          <w:rFonts w:ascii="Times New Roman"/>
        </w:rPr>
      </w:pPr>
      <w:r>
        <w:rPr>
          <w:rFonts w:ascii="Times New Roman"/>
        </w:rPr>
        <w:t>生长期追肥</w:t>
      </w:r>
    </w:p>
    <w:p w14:paraId="6EC72E0E">
      <w:pPr>
        <w:pStyle w:val="56"/>
        <w:ind w:firstLine="420"/>
        <w:rPr>
          <w:rFonts w:ascii="Times New Roman"/>
        </w:rPr>
      </w:pPr>
      <w:r>
        <w:rPr>
          <w:rFonts w:ascii="Times New Roman"/>
        </w:rPr>
        <w:t>生长期进行追肥，以复合肥为主。绿篱、色带、球宿根花卉采用撒施、叶面喷施为主，乔木、竹类以穴施、沟施为主，对于树池内无法穴施的行道树，春夏可用高压注水设备进行根部注入水溶复合肥。</w:t>
      </w:r>
    </w:p>
    <w:p w14:paraId="5C0763D1">
      <w:pPr>
        <w:pStyle w:val="56"/>
        <w:ind w:firstLine="420"/>
        <w:rPr>
          <w:rFonts w:ascii="Times New Roman"/>
        </w:rPr>
      </w:pPr>
      <w:r>
        <w:rPr>
          <w:rFonts w:ascii="Times New Roman"/>
        </w:rPr>
        <w:t>观叶、观形的为主的大乔木，春夏追施含氮为主的复合肥；观花、观果为主的小乔木、球宿根花卉，生长初期、开花前追施磷、钾为主的复合肥，花后追施含磷、氮为主的复合肥。</w:t>
      </w:r>
    </w:p>
    <w:p w14:paraId="5B438E8B">
      <w:pPr>
        <w:pStyle w:val="56"/>
        <w:ind w:firstLine="420"/>
        <w:rPr>
          <w:rFonts w:ascii="Times New Roman"/>
        </w:rPr>
      </w:pPr>
      <w:r>
        <w:rPr>
          <w:rFonts w:ascii="Times New Roman"/>
        </w:rPr>
        <w:t>草坪以撒施为主，春季施含氮较高复合肥，夏季施含磷钾较高的复合肥，秋季宜施含钾量高的复合肥。</w:t>
      </w:r>
    </w:p>
    <w:p w14:paraId="31D3CA66">
      <w:pPr>
        <w:pStyle w:val="65"/>
        <w:spacing w:before="156" w:after="156"/>
        <w:rPr>
          <w:rFonts w:ascii="Times New Roman"/>
        </w:rPr>
      </w:pPr>
      <w:r>
        <w:rPr>
          <w:rFonts w:ascii="Times New Roman"/>
        </w:rPr>
        <w:t>修剪</w:t>
      </w:r>
    </w:p>
    <w:p w14:paraId="3749F680">
      <w:pPr>
        <w:pStyle w:val="94"/>
        <w:spacing w:before="156" w:after="156"/>
        <w:rPr>
          <w:rFonts w:ascii="Times New Roman"/>
        </w:rPr>
      </w:pPr>
      <w:r>
        <w:rPr>
          <w:rFonts w:ascii="Times New Roman"/>
        </w:rPr>
        <w:t>乔木修剪</w:t>
      </w:r>
    </w:p>
    <w:p w14:paraId="21A84F08">
      <w:pPr>
        <w:pStyle w:val="56"/>
        <w:ind w:firstLine="420"/>
        <w:rPr>
          <w:rFonts w:ascii="Times New Roman"/>
        </w:rPr>
      </w:pPr>
      <w:r>
        <w:rPr>
          <w:rFonts w:ascii="Times New Roman"/>
        </w:rPr>
        <w:t>乔木整枝修剪在休眠期和生长期进行，更新修剪须在休眠期进行。校园主干道行道树修剪应使树型和分枝（叉）点高度基本一致，修剪程度、分叉点高度就修剪技术按照CJJ/T 287执行。</w:t>
      </w:r>
    </w:p>
    <w:p w14:paraId="418856BF">
      <w:pPr>
        <w:pStyle w:val="94"/>
        <w:spacing w:before="156" w:after="156"/>
        <w:rPr>
          <w:rFonts w:ascii="Times New Roman"/>
        </w:rPr>
      </w:pPr>
      <w:r>
        <w:rPr>
          <w:rFonts w:ascii="Times New Roman"/>
        </w:rPr>
        <w:t>灌木修剪</w:t>
      </w:r>
    </w:p>
    <w:p w14:paraId="6AC6D437">
      <w:pPr>
        <w:pStyle w:val="56"/>
        <w:ind w:firstLine="420"/>
        <w:rPr>
          <w:rFonts w:ascii="Times New Roman"/>
        </w:rPr>
      </w:pPr>
      <w:r>
        <w:rPr>
          <w:rFonts w:ascii="Times New Roman"/>
        </w:rPr>
        <w:t>多年丛生灌木应逐年更新衰老枝，疏剪内膛密生枝，培育新枝。有主干的灌木，每年应采取交替回缩主枝控制树冠的剪法。造型灌木修剪应保持外型轮廓清晰，外缘枝叶紧密。</w:t>
      </w:r>
    </w:p>
    <w:p w14:paraId="1443AC00">
      <w:pPr>
        <w:pStyle w:val="94"/>
        <w:spacing w:before="156" w:after="156"/>
        <w:rPr>
          <w:rFonts w:ascii="Times New Roman"/>
        </w:rPr>
      </w:pPr>
      <w:r>
        <w:rPr>
          <w:rFonts w:ascii="Times New Roman"/>
        </w:rPr>
        <w:t>绿篱修剪</w:t>
      </w:r>
    </w:p>
    <w:p w14:paraId="51F25BC4">
      <w:pPr>
        <w:pStyle w:val="56"/>
        <w:ind w:firstLine="420"/>
        <w:rPr>
          <w:rFonts w:ascii="Times New Roman"/>
        </w:rPr>
      </w:pPr>
      <w:r>
        <w:rPr>
          <w:rFonts w:ascii="Times New Roman"/>
        </w:rPr>
        <w:t>应使绿篱及色带轮廓清楚、线条整齐、顶面平整、高度一致，侧面上下垂直或上窄下宽；每年整形修剪≥2 次。</w:t>
      </w:r>
    </w:p>
    <w:p w14:paraId="15533A32">
      <w:pPr>
        <w:pStyle w:val="94"/>
        <w:spacing w:before="156" w:after="156"/>
        <w:rPr>
          <w:rFonts w:ascii="Times New Roman"/>
        </w:rPr>
      </w:pPr>
      <w:r>
        <w:rPr>
          <w:rFonts w:ascii="Times New Roman"/>
        </w:rPr>
        <w:t>宿根花卉</w:t>
      </w:r>
    </w:p>
    <w:p w14:paraId="4F782933">
      <w:pPr>
        <w:pStyle w:val="56"/>
        <w:ind w:firstLine="420"/>
        <w:rPr>
          <w:rFonts w:ascii="Times New Roman"/>
        </w:rPr>
      </w:pPr>
      <w:r>
        <w:rPr>
          <w:rFonts w:ascii="Times New Roman"/>
        </w:rPr>
        <w:t>宿根花卉春季萌芽前应剪除上年残留枯叶，萌芽期注意保护新生嫩芽，花凋谢后应及时去除残花、残茎和枯叶。</w:t>
      </w:r>
    </w:p>
    <w:p w14:paraId="38E427DF">
      <w:pPr>
        <w:pStyle w:val="94"/>
        <w:spacing w:before="156" w:after="156"/>
        <w:rPr>
          <w:rFonts w:ascii="Times New Roman"/>
        </w:rPr>
      </w:pPr>
      <w:r>
        <w:rPr>
          <w:rFonts w:ascii="Times New Roman"/>
        </w:rPr>
        <w:t>草坪修剪</w:t>
      </w:r>
    </w:p>
    <w:p w14:paraId="60100D22">
      <w:pPr>
        <w:pStyle w:val="56"/>
        <w:ind w:firstLine="420"/>
        <w:rPr>
          <w:rFonts w:ascii="Times New Roman"/>
        </w:rPr>
      </w:pPr>
      <w:r>
        <w:rPr>
          <w:rFonts w:ascii="Times New Roman"/>
        </w:rPr>
        <w:t xml:space="preserve">修剪时应剪去 1/3 的高度，对生长较高的草不能 1 次剪至所需高度，应多次修剪，每次剪去 1/3 的叶片，使保留的叶片能正常进行光合作用。暖季型草如假俭草和结缕草等修剪次数以少为宜、狗牙根和地毯草修剪次数宜多，冷季型草如细叶羊茅和紫羊茅修剪次数宜少。 </w:t>
      </w:r>
    </w:p>
    <w:p w14:paraId="20D48FBA">
      <w:pPr>
        <w:pStyle w:val="56"/>
        <w:ind w:firstLine="420"/>
        <w:rPr>
          <w:rFonts w:ascii="Times New Roman"/>
        </w:rPr>
      </w:pPr>
      <w:r>
        <w:rPr>
          <w:rFonts w:ascii="Times New Roman"/>
        </w:rPr>
        <w:t xml:space="preserve">保持草坪平整美观，无杂草、杂物及病虫害，无粪便，无鼠洞，及时切草边。 </w:t>
      </w:r>
    </w:p>
    <w:p w14:paraId="2CDD7D51">
      <w:pPr>
        <w:pStyle w:val="94"/>
        <w:spacing w:before="156" w:after="156"/>
        <w:rPr>
          <w:rFonts w:ascii="Times New Roman"/>
        </w:rPr>
      </w:pPr>
      <w:r>
        <w:rPr>
          <w:rFonts w:ascii="Times New Roman"/>
        </w:rPr>
        <w:t>水生植物及观赏草修剪</w:t>
      </w:r>
    </w:p>
    <w:p w14:paraId="5B98D361">
      <w:pPr>
        <w:pStyle w:val="56"/>
        <w:ind w:firstLine="420"/>
        <w:rPr>
          <w:rFonts w:ascii="Times New Roman"/>
        </w:rPr>
      </w:pPr>
      <w:r>
        <w:rPr>
          <w:rFonts w:ascii="Times New Roman"/>
        </w:rPr>
        <w:t>对水生植物及观赏草须及时清除相对较弱的植株和枯枝烂叶。冬季宜将不耐寒的水生植物及观赏草进行深剪。</w:t>
      </w:r>
    </w:p>
    <w:p w14:paraId="0B3BFB66">
      <w:pPr>
        <w:pStyle w:val="94"/>
        <w:spacing w:before="156" w:after="156"/>
        <w:rPr>
          <w:rFonts w:ascii="Times New Roman"/>
        </w:rPr>
      </w:pPr>
      <w:r>
        <w:rPr>
          <w:rFonts w:ascii="Times New Roman"/>
        </w:rPr>
        <w:t>修剪物的处理</w:t>
      </w:r>
    </w:p>
    <w:p w14:paraId="0D26D04F">
      <w:pPr>
        <w:pStyle w:val="56"/>
        <w:ind w:firstLine="420"/>
        <w:rPr>
          <w:rFonts w:ascii="Times New Roman"/>
        </w:rPr>
      </w:pPr>
      <w:r>
        <w:rPr>
          <w:rFonts w:ascii="Times New Roman"/>
        </w:rPr>
        <w:t>可将修剪物粉碎后加工成覆盖物或有机肥。具体方法参照GB/T 31755执行。</w:t>
      </w:r>
    </w:p>
    <w:p w14:paraId="2779EF19">
      <w:pPr>
        <w:pStyle w:val="65"/>
        <w:spacing w:before="156" w:after="156"/>
        <w:rPr>
          <w:rFonts w:ascii="Times New Roman"/>
        </w:rPr>
      </w:pPr>
      <w:r>
        <w:rPr>
          <w:rFonts w:ascii="Times New Roman"/>
        </w:rPr>
        <w:t>病虫害防治</w:t>
      </w:r>
    </w:p>
    <w:p w14:paraId="038AAE98">
      <w:pPr>
        <w:pStyle w:val="164"/>
        <w:rPr>
          <w:rFonts w:ascii="Times New Roman"/>
        </w:rPr>
      </w:pPr>
      <w:r>
        <w:rPr>
          <w:rFonts w:ascii="Times New Roman"/>
        </w:rPr>
        <w:t>实行</w:t>
      </w:r>
      <w:r>
        <w:rPr>
          <w:rFonts w:hint="eastAsia" w:ascii="Times New Roman"/>
          <w:lang w:eastAsia="zh-CN"/>
        </w:rPr>
        <w:t>“</w:t>
      </w:r>
      <w:r>
        <w:rPr>
          <w:rFonts w:ascii="Times New Roman"/>
        </w:rPr>
        <w:t>预防为主，综合治理</w:t>
      </w:r>
      <w:r>
        <w:rPr>
          <w:rFonts w:hint="eastAsia" w:ascii="Times New Roman"/>
          <w:lang w:eastAsia="zh-CN"/>
        </w:rPr>
        <w:t>”</w:t>
      </w:r>
      <w:r>
        <w:rPr>
          <w:rFonts w:ascii="Times New Roman"/>
        </w:rPr>
        <w:t>方针，维护校园生态系统的健康稳定。</w:t>
      </w:r>
    </w:p>
    <w:p w14:paraId="0EB43453">
      <w:pPr>
        <w:pStyle w:val="164"/>
        <w:rPr>
          <w:rFonts w:ascii="Times New Roman"/>
        </w:rPr>
      </w:pPr>
      <w:r>
        <w:rPr>
          <w:rFonts w:ascii="Times New Roman"/>
        </w:rPr>
        <w:t>宜通过选择抗性植物、合理搭配植物等方法，结合管理，生物防治措施，增强对病虫害的抗性。</w:t>
      </w:r>
    </w:p>
    <w:p w14:paraId="2BE4C24D">
      <w:pPr>
        <w:pStyle w:val="164"/>
        <w:rPr>
          <w:rFonts w:ascii="Times New Roman"/>
        </w:rPr>
      </w:pPr>
      <w:r>
        <w:rPr>
          <w:rFonts w:ascii="Times New Roman"/>
        </w:rPr>
        <w:t>病虫害宜优先生物防治、物理机械防治和园林技术措施防治，化学防治时宜采取灌根、钻孔打药、喷洒、涂抹等方法，避免单一化学防治方法。</w:t>
      </w:r>
    </w:p>
    <w:p w14:paraId="0AF00EC9">
      <w:pPr>
        <w:pStyle w:val="164"/>
        <w:rPr>
          <w:rFonts w:ascii="Times New Roman"/>
        </w:rPr>
      </w:pPr>
      <w:r>
        <w:rPr>
          <w:rFonts w:ascii="Times New Roman"/>
        </w:rPr>
        <w:t>加强病虫害监测，如发现检疫性病虫害，立即采取防控措施。</w:t>
      </w:r>
    </w:p>
    <w:p w14:paraId="7123F391">
      <w:pPr>
        <w:pStyle w:val="164"/>
        <w:rPr>
          <w:rFonts w:ascii="Times New Roman"/>
        </w:rPr>
      </w:pPr>
      <w:r>
        <w:rPr>
          <w:rFonts w:ascii="Times New Roman"/>
        </w:rPr>
        <w:t>不使用剧毒和高残留农药，防治污染环境，保证人畜安全，避免减少有益生物。化学防治符合HJ 556 的规定。</w:t>
      </w:r>
    </w:p>
    <w:p w14:paraId="00F31E61">
      <w:pPr>
        <w:pStyle w:val="65"/>
        <w:spacing w:before="156" w:after="156"/>
        <w:rPr>
          <w:rFonts w:ascii="Times New Roman"/>
        </w:rPr>
      </w:pPr>
      <w:r>
        <w:rPr>
          <w:rFonts w:ascii="Times New Roman"/>
        </w:rPr>
        <w:t>松土除草</w:t>
      </w:r>
    </w:p>
    <w:p w14:paraId="3717EC5D">
      <w:pPr>
        <w:pStyle w:val="56"/>
        <w:ind w:firstLine="420"/>
        <w:rPr>
          <w:rFonts w:ascii="Times New Roman"/>
        </w:rPr>
      </w:pPr>
      <w:r>
        <w:rPr>
          <w:rFonts w:ascii="Times New Roman"/>
        </w:rPr>
        <w:t>不同植物根据需要于生长季除草3</w:t>
      </w:r>
      <w:r>
        <w:rPr>
          <w:rFonts w:hint="eastAsia" w:ascii="Times New Roman"/>
          <w:lang w:val="en-US" w:eastAsia="zh-CN"/>
        </w:rPr>
        <w:t>次~</w:t>
      </w:r>
      <w:r>
        <w:rPr>
          <w:rFonts w:ascii="Times New Roman"/>
        </w:rPr>
        <w:t>5次，结合除草松土至少1次。松土深度以乔木10</w:t>
      </w:r>
      <w:r>
        <w:rPr>
          <w:rFonts w:hint="eastAsia" w:ascii="Times New Roman"/>
          <w:lang w:val="en-US" w:eastAsia="zh-CN"/>
        </w:rPr>
        <w:t xml:space="preserve"> cm~</w:t>
      </w:r>
      <w:r>
        <w:rPr>
          <w:rFonts w:ascii="Times New Roman"/>
        </w:rPr>
        <w:t>20 cm,灌木5</w:t>
      </w:r>
      <w:r>
        <w:rPr>
          <w:rFonts w:hint="eastAsia" w:ascii="Times New Roman"/>
          <w:lang w:val="en-US" w:eastAsia="zh-CN"/>
        </w:rPr>
        <w:t xml:space="preserve"> cm~</w:t>
      </w:r>
      <w:r>
        <w:rPr>
          <w:rFonts w:ascii="Times New Roman"/>
        </w:rPr>
        <w:t>10 cm，花卉地被3</w:t>
      </w:r>
      <w:r>
        <w:rPr>
          <w:rFonts w:hint="eastAsia" w:ascii="Times New Roman"/>
          <w:lang w:val="en-US" w:eastAsia="zh-CN"/>
        </w:rPr>
        <w:t xml:space="preserve"> cm~</w:t>
      </w:r>
      <w:r>
        <w:rPr>
          <w:rFonts w:ascii="Times New Roman"/>
        </w:rPr>
        <w:t>5 cm为宜。三年生以上土壤板结的草坪于早春或夏末秋初打孔松土，每年1次。</w:t>
      </w:r>
    </w:p>
    <w:p w14:paraId="56AE8962">
      <w:pPr>
        <w:pStyle w:val="65"/>
        <w:spacing w:before="156" w:after="156"/>
        <w:rPr>
          <w:rFonts w:ascii="Times New Roman"/>
        </w:rPr>
      </w:pPr>
      <w:r>
        <w:rPr>
          <w:rFonts w:ascii="Times New Roman"/>
        </w:rPr>
        <w:t>校园绿地可持续管理</w:t>
      </w:r>
      <w:bookmarkStart w:id="101" w:name="_GoBack"/>
      <w:bookmarkEnd w:id="101"/>
    </w:p>
    <w:p w14:paraId="05C2AFF2">
      <w:pPr>
        <w:pStyle w:val="94"/>
        <w:spacing w:before="156" w:after="156"/>
        <w:rPr>
          <w:rFonts w:ascii="Times New Roman"/>
        </w:rPr>
      </w:pPr>
      <w:r>
        <w:rPr>
          <w:rFonts w:ascii="Times New Roman"/>
        </w:rPr>
        <w:t>绿地保洁</w:t>
      </w:r>
    </w:p>
    <w:p w14:paraId="711E5434">
      <w:pPr>
        <w:pStyle w:val="56"/>
        <w:ind w:firstLine="420"/>
        <w:rPr>
          <w:rFonts w:ascii="Times New Roman"/>
        </w:rPr>
      </w:pPr>
      <w:r>
        <w:rPr>
          <w:rFonts w:ascii="Times New Roman"/>
        </w:rPr>
        <w:t>应保持绿地内无垃圾杂物，及时堵塞鼠洞。及时清除污染物及杂物。禁止焚烧垃圾和枯枝落叶。</w:t>
      </w:r>
    </w:p>
    <w:p w14:paraId="1D2F09A9">
      <w:pPr>
        <w:pStyle w:val="94"/>
        <w:spacing w:before="156" w:after="156"/>
        <w:rPr>
          <w:rFonts w:ascii="Times New Roman"/>
        </w:rPr>
      </w:pPr>
      <w:r>
        <w:rPr>
          <w:rFonts w:ascii="Times New Roman"/>
        </w:rPr>
        <w:t>树木管理</w:t>
      </w:r>
    </w:p>
    <w:p w14:paraId="41402998">
      <w:pPr>
        <w:pStyle w:val="56"/>
        <w:ind w:firstLine="420"/>
        <w:rPr>
          <w:rFonts w:ascii="Times New Roman"/>
        </w:rPr>
      </w:pPr>
      <w:r>
        <w:rPr>
          <w:rFonts w:ascii="Times New Roman"/>
        </w:rPr>
        <w:t>禁止折枝、剥皮、刻划、缠铁丝、钉钉子、挂杂物等损伤树体的行为；禁止把树体作为施工或搭棚架的支撑点。</w:t>
      </w:r>
    </w:p>
    <w:p w14:paraId="211A7955">
      <w:pPr>
        <w:pStyle w:val="56"/>
        <w:ind w:firstLine="420"/>
        <w:rPr>
          <w:rFonts w:ascii="Times New Roman"/>
        </w:rPr>
      </w:pPr>
      <w:r>
        <w:rPr>
          <w:rFonts w:ascii="Times New Roman"/>
        </w:rPr>
        <w:t>因影响采光、栽植过密和假植、教学科研需要，景观审美变化等原因，需要修剪、迁移和砍伐的，按《城市绿化条例》（2017年第二次修订）规定进行。</w:t>
      </w:r>
    </w:p>
    <w:p w14:paraId="60F23101">
      <w:pPr>
        <w:pStyle w:val="56"/>
        <w:ind w:firstLine="420"/>
        <w:rPr>
          <w:rFonts w:ascii="Times New Roman"/>
        </w:rPr>
      </w:pPr>
      <w:r>
        <w:rPr>
          <w:rFonts w:ascii="Times New Roman"/>
        </w:rPr>
        <w:t>植物衰老、严重生长不良或已死亡时，应及时清除，影响景观的应及时补植。</w:t>
      </w:r>
    </w:p>
    <w:p w14:paraId="4533A266">
      <w:pPr>
        <w:pStyle w:val="56"/>
        <w:ind w:firstLine="420"/>
        <w:rPr>
          <w:rFonts w:ascii="Times New Roman"/>
        </w:rPr>
      </w:pPr>
      <w:r>
        <w:rPr>
          <w:rFonts w:ascii="Times New Roman"/>
        </w:rPr>
        <w:t>植物种类或品种搭配不合理、严重影响景观或引起病虫害严重发生时，应及时改植。</w:t>
      </w:r>
    </w:p>
    <w:p w14:paraId="433E40B5">
      <w:pPr>
        <w:pStyle w:val="94"/>
        <w:spacing w:before="156" w:after="156"/>
        <w:rPr>
          <w:rFonts w:ascii="Times New Roman"/>
        </w:rPr>
      </w:pPr>
      <w:r>
        <w:rPr>
          <w:rFonts w:ascii="Times New Roman"/>
        </w:rPr>
        <w:t>绿地布置形态的调整</w:t>
      </w:r>
    </w:p>
    <w:p w14:paraId="7856E841">
      <w:pPr>
        <w:pStyle w:val="56"/>
        <w:ind w:firstLine="420"/>
        <w:rPr>
          <w:rFonts w:ascii="Times New Roman"/>
        </w:rPr>
      </w:pPr>
      <w:r>
        <w:rPr>
          <w:rFonts w:ascii="Times New Roman"/>
        </w:rPr>
        <w:t>解决植物群落结构过密、部分绿地植物形态不佳、植物景观层次混乱等问题，应适时对校园原有绿地形态、植物配置进行合理调整。</w:t>
      </w:r>
    </w:p>
    <w:p w14:paraId="35BED7EA">
      <w:pPr>
        <w:pStyle w:val="94"/>
        <w:spacing w:before="156" w:after="156"/>
        <w:rPr>
          <w:rFonts w:ascii="Times New Roman"/>
        </w:rPr>
      </w:pPr>
      <w:r>
        <w:rPr>
          <w:rFonts w:ascii="Times New Roman"/>
        </w:rPr>
        <w:t>花卉及地被类管理</w:t>
      </w:r>
    </w:p>
    <w:p w14:paraId="55F6D86F">
      <w:pPr>
        <w:pStyle w:val="56"/>
        <w:ind w:firstLine="420"/>
        <w:rPr>
          <w:rFonts w:ascii="Times New Roman"/>
        </w:rPr>
      </w:pPr>
      <w:r>
        <w:rPr>
          <w:rFonts w:ascii="Times New Roman"/>
        </w:rPr>
        <w:t>多年生花卉地被种植2</w:t>
      </w:r>
      <w:r>
        <w:rPr>
          <w:rFonts w:hint="eastAsia" w:ascii="Times New Roman"/>
          <w:lang w:val="en-US" w:eastAsia="zh-CN"/>
        </w:rPr>
        <w:t>年</w:t>
      </w:r>
      <w:r>
        <w:rPr>
          <w:rFonts w:ascii="Times New Roman"/>
        </w:rPr>
        <w:t>~3年后春季进行分栽、移栽，同时可用多余的繁殖体在备苗区生产，以备更换和补植用。</w:t>
      </w:r>
    </w:p>
    <w:p w14:paraId="5A3607F3">
      <w:pPr>
        <w:pStyle w:val="56"/>
        <w:ind w:firstLine="420"/>
        <w:rPr>
          <w:rFonts w:ascii="Times New Roman"/>
        </w:rPr>
      </w:pPr>
      <w:r>
        <w:rPr>
          <w:rFonts w:ascii="Times New Roman"/>
        </w:rPr>
        <w:t>开学季、国庆节、元旦节等重要节日，可对入口处、重要广场、道路进行花坛、花境、花艺环境景观的艺术布置。</w:t>
      </w:r>
    </w:p>
    <w:p w14:paraId="173B22EA">
      <w:pPr>
        <w:pStyle w:val="94"/>
        <w:spacing w:before="156" w:after="156"/>
        <w:rPr>
          <w:rFonts w:ascii="Times New Roman"/>
        </w:rPr>
      </w:pPr>
      <w:r>
        <w:rPr>
          <w:rFonts w:ascii="Times New Roman"/>
        </w:rPr>
        <w:t>智慧化管理</w:t>
      </w:r>
    </w:p>
    <w:p w14:paraId="32D02D27">
      <w:pPr>
        <w:pStyle w:val="56"/>
        <w:ind w:firstLine="420"/>
        <w:rPr>
          <w:rFonts w:ascii="Times New Roman"/>
        </w:rPr>
      </w:pPr>
      <w:r>
        <w:rPr>
          <w:rFonts w:ascii="Times New Roman"/>
        </w:rPr>
        <w:t>建立校园绿地智慧养护管理系统。通过物联网、AI等技术构建环境感知系统，实时采集教学行为、空间使用等信息，建成数字校园，形成统一的数据资源池，为生态校园的动态管理提供支撑。</w:t>
      </w:r>
    </w:p>
    <w:p w14:paraId="461B749C">
      <w:pPr>
        <w:pStyle w:val="65"/>
        <w:spacing w:before="156" w:after="156"/>
        <w:rPr>
          <w:rFonts w:ascii="Times New Roman"/>
        </w:rPr>
      </w:pPr>
      <w:r>
        <w:rPr>
          <w:rFonts w:ascii="Times New Roman"/>
        </w:rPr>
        <w:t>古树名木</w:t>
      </w:r>
    </w:p>
    <w:p w14:paraId="224541EA">
      <w:pPr>
        <w:pStyle w:val="56"/>
        <w:ind w:firstLine="420"/>
        <w:rPr>
          <w:rFonts w:ascii="Times New Roman"/>
        </w:rPr>
      </w:pPr>
      <w:r>
        <w:rPr>
          <w:rFonts w:ascii="Times New Roman"/>
        </w:rPr>
        <w:t>按照LY/T 3073、《古树名木保护条例》《湖南省古树名木保护办法》《城市古树名木保护管理办法》（建城〔2000〕192 号）和《全国绿化委员会关于进一步加强古树名木保护管理的意见》（全绿字〔2016〕1 号）执行。</w:t>
      </w:r>
    </w:p>
    <w:p w14:paraId="4C47DE57">
      <w:pPr>
        <w:pStyle w:val="104"/>
        <w:spacing w:before="312" w:after="312"/>
        <w:rPr>
          <w:rFonts w:ascii="Times New Roman"/>
        </w:rPr>
      </w:pPr>
      <w:r>
        <w:rPr>
          <w:rFonts w:ascii="Times New Roman"/>
        </w:rPr>
        <w:t>资料档案管理​​</w:t>
      </w:r>
    </w:p>
    <w:p w14:paraId="4475D48A">
      <w:pPr>
        <w:pStyle w:val="56"/>
        <w:spacing w:before="156" w:beforeLines="50" w:after="156" w:afterLines="50"/>
        <w:ind w:firstLine="0" w:firstLineChars="0"/>
        <w:rPr>
          <w:rFonts w:ascii="Times New Roman"/>
        </w:rPr>
      </w:pPr>
      <w:r>
        <w:rPr>
          <w:rFonts w:ascii="Times New Roman" w:eastAsia="黑体"/>
        </w:rPr>
        <w:t>10.1 总体要求</w:t>
      </w:r>
      <w:r>
        <w:rPr>
          <w:rFonts w:ascii="Times New Roman"/>
        </w:rPr>
        <w:t>​​</w:t>
      </w:r>
    </w:p>
    <w:p w14:paraId="4FE8B93B">
      <w:pPr>
        <w:pStyle w:val="56"/>
        <w:ind w:firstLine="420"/>
        <w:rPr>
          <w:rFonts w:ascii="Times New Roman"/>
        </w:rPr>
      </w:pPr>
      <w:r>
        <w:rPr>
          <w:rFonts w:ascii="Times New Roman"/>
        </w:rPr>
        <w:t>应建立完善的生态校园建设与运行全过程档案管理制度，实现资料的系统化、标准化、数字化管理。</w:t>
      </w:r>
    </w:p>
    <w:p w14:paraId="0CB078FA">
      <w:pPr>
        <w:pStyle w:val="56"/>
        <w:ind w:firstLine="0" w:firstLineChars="0"/>
        <w:rPr>
          <w:rFonts w:ascii="Times New Roman"/>
        </w:rPr>
      </w:pPr>
      <w:r>
        <w:rPr>
          <w:rFonts w:ascii="Times New Roman"/>
        </w:rPr>
        <w:t>档案内容应真实、完整、准确，与项目建设、运营、评估同步形成，并定期更新。</w:t>
      </w:r>
    </w:p>
    <w:p w14:paraId="172B5A44">
      <w:pPr>
        <w:pStyle w:val="56"/>
        <w:spacing w:before="156" w:beforeLines="50" w:after="156" w:afterLines="50"/>
        <w:ind w:firstLine="0" w:firstLineChars="0"/>
        <w:rPr>
          <w:rFonts w:ascii="Times New Roman"/>
        </w:rPr>
      </w:pPr>
      <w:r>
        <w:rPr>
          <w:rFonts w:ascii="Times New Roman" w:eastAsia="黑体"/>
        </w:rPr>
        <w:t>10.2 管理职责​</w:t>
      </w:r>
      <w:r>
        <w:rPr>
          <w:rFonts w:ascii="Times New Roman"/>
        </w:rPr>
        <w:t>​</w:t>
      </w:r>
    </w:p>
    <w:p w14:paraId="095C8E12">
      <w:pPr>
        <w:pStyle w:val="56"/>
        <w:ind w:firstLine="420"/>
        <w:rPr>
          <w:rFonts w:ascii="Times New Roman"/>
        </w:rPr>
      </w:pPr>
      <w:r>
        <w:rPr>
          <w:rFonts w:ascii="Times New Roman"/>
        </w:rPr>
        <w:t>责任部门：学校（总务处/后勤处），配备专职档案管理员。</w:t>
      </w:r>
    </w:p>
    <w:p w14:paraId="67879890">
      <w:pPr>
        <w:pStyle w:val="56"/>
        <w:ind w:firstLine="420"/>
      </w:pPr>
      <w:r>
        <w:t>协作机制：基建、后勤、教务、科研等多部门协同归档，实行"谁产生、谁负责"的移交原则</w:t>
      </w:r>
      <w:r>
        <w:rPr>
          <w:rFonts w:hint="eastAsia"/>
        </w:rPr>
        <w:t>。</w:t>
      </w:r>
    </w:p>
    <w:p w14:paraId="6C76B92F">
      <w:pPr>
        <w:pStyle w:val="56"/>
        <w:spacing w:before="156" w:beforeLines="50" w:after="156" w:afterLines="50"/>
        <w:ind w:firstLine="0" w:firstLineChars="0"/>
      </w:pPr>
      <w:r>
        <w:rPr>
          <w:rFonts w:ascii="Times New Roman" w:eastAsia="黑体"/>
        </w:rPr>
        <w:t>10.3 档案分类与内容</w:t>
      </w:r>
      <w:r>
        <w:rPr>
          <w:rFonts w:ascii="Times New Roman"/>
        </w:rPr>
        <w:t>​</w:t>
      </w:r>
    </w:p>
    <w:p w14:paraId="5EF891AC">
      <w:pPr>
        <w:pStyle w:val="112"/>
        <w:spacing w:before="156" w:after="156"/>
      </w:pPr>
      <w:r>
        <w:rPr>
          <w:rFonts w:hint="eastAsia"/>
        </w:rPr>
        <w:t>档案分类与内容</w:t>
      </w:r>
    </w:p>
    <w:tbl>
      <w:tblPr>
        <w:tblStyle w:val="27"/>
        <w:tblW w:w="948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8080"/>
      </w:tblGrid>
      <w:tr w14:paraId="13F3F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408" w:type="dxa"/>
            <w:tcBorders>
              <w:top w:val="single" w:color="auto" w:sz="12" w:space="0"/>
              <w:left w:val="nil"/>
              <w:bottom w:val="single" w:color="auto" w:sz="8" w:space="0"/>
            </w:tcBorders>
            <w:shd w:val="clear" w:color="auto" w:fill="auto"/>
            <w:vAlign w:val="center"/>
          </w:tcPr>
          <w:p w14:paraId="6E628E71">
            <w:pPr>
              <w:pStyle w:val="178"/>
              <w:rPr>
                <w:b/>
                <w:bCs/>
                <w:sz w:val="21"/>
                <w:szCs w:val="21"/>
              </w:rPr>
            </w:pPr>
            <w:r>
              <w:rPr>
                <w:rFonts w:hint="eastAsia"/>
                <w:b/>
                <w:bCs/>
                <w:sz w:val="21"/>
                <w:szCs w:val="21"/>
              </w:rPr>
              <w:t>类   别</w:t>
            </w:r>
          </w:p>
        </w:tc>
        <w:tc>
          <w:tcPr>
            <w:tcW w:w="8080" w:type="dxa"/>
            <w:tcBorders>
              <w:top w:val="single" w:color="auto" w:sz="12" w:space="0"/>
              <w:bottom w:val="single" w:color="auto" w:sz="8" w:space="0"/>
              <w:right w:val="nil"/>
            </w:tcBorders>
            <w:shd w:val="clear" w:color="auto" w:fill="auto"/>
            <w:vAlign w:val="center"/>
          </w:tcPr>
          <w:p w14:paraId="0BDAA2DA">
            <w:pPr>
              <w:pStyle w:val="178"/>
              <w:rPr>
                <w:b/>
                <w:bCs/>
                <w:sz w:val="21"/>
                <w:szCs w:val="21"/>
              </w:rPr>
            </w:pPr>
            <w:r>
              <w:rPr>
                <w:rFonts w:hint="eastAsia"/>
                <w:b/>
                <w:bCs/>
                <w:sz w:val="21"/>
                <w:szCs w:val="21"/>
              </w:rPr>
              <w:t>具     体     内     容</w:t>
            </w:r>
          </w:p>
        </w:tc>
      </w:tr>
      <w:tr w14:paraId="6D2D8D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408" w:type="dxa"/>
            <w:tcBorders>
              <w:top w:val="single" w:color="auto" w:sz="8" w:space="0"/>
              <w:left w:val="nil"/>
            </w:tcBorders>
            <w:shd w:val="clear" w:color="auto" w:fill="auto"/>
            <w:vAlign w:val="center"/>
          </w:tcPr>
          <w:p w14:paraId="374371C3">
            <w:pPr>
              <w:pStyle w:val="178"/>
              <w:rPr>
                <w:sz w:val="21"/>
                <w:szCs w:val="21"/>
              </w:rPr>
            </w:pPr>
            <w:r>
              <w:rPr>
                <w:rFonts w:hint="eastAsia"/>
                <w:sz w:val="21"/>
                <w:szCs w:val="21"/>
              </w:rPr>
              <w:t>基础文件</w:t>
            </w:r>
          </w:p>
        </w:tc>
        <w:tc>
          <w:tcPr>
            <w:tcW w:w="8080" w:type="dxa"/>
            <w:tcBorders>
              <w:top w:val="single" w:color="auto" w:sz="8" w:space="0"/>
              <w:right w:val="nil"/>
            </w:tcBorders>
            <w:shd w:val="clear" w:color="auto" w:fill="auto"/>
            <w:vAlign w:val="center"/>
          </w:tcPr>
          <w:p w14:paraId="35AB29FC">
            <w:pPr>
              <w:pStyle w:val="178"/>
              <w:rPr>
                <w:sz w:val="21"/>
                <w:szCs w:val="21"/>
              </w:rPr>
            </w:pPr>
            <w:r>
              <w:rPr>
                <w:rFonts w:hint="eastAsia"/>
                <w:sz w:val="21"/>
                <w:szCs w:val="21"/>
              </w:rPr>
              <w:t>生态校园建设总体规划、专项设计方案、环保批复文件、土地使用证明等</w:t>
            </w:r>
          </w:p>
        </w:tc>
      </w:tr>
      <w:tr w14:paraId="338681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408" w:type="dxa"/>
            <w:tcBorders>
              <w:left w:val="nil"/>
            </w:tcBorders>
            <w:shd w:val="clear" w:color="auto" w:fill="auto"/>
            <w:vAlign w:val="center"/>
          </w:tcPr>
          <w:p w14:paraId="754D1248">
            <w:pPr>
              <w:pStyle w:val="178"/>
              <w:rPr>
                <w:sz w:val="21"/>
                <w:szCs w:val="21"/>
              </w:rPr>
            </w:pPr>
            <w:r>
              <w:rPr>
                <w:rFonts w:hint="eastAsia"/>
                <w:sz w:val="21"/>
                <w:szCs w:val="21"/>
              </w:rPr>
              <w:t>建设过程档案</w:t>
            </w:r>
          </w:p>
        </w:tc>
        <w:tc>
          <w:tcPr>
            <w:tcW w:w="8080" w:type="dxa"/>
            <w:tcBorders>
              <w:right w:val="nil"/>
            </w:tcBorders>
            <w:shd w:val="clear" w:color="auto" w:fill="auto"/>
            <w:vAlign w:val="center"/>
          </w:tcPr>
          <w:p w14:paraId="62F98C6F">
            <w:pPr>
              <w:pStyle w:val="178"/>
              <w:rPr>
                <w:sz w:val="21"/>
                <w:szCs w:val="21"/>
              </w:rPr>
            </w:pPr>
            <w:r>
              <w:rPr>
                <w:rFonts w:hint="eastAsia"/>
                <w:sz w:val="21"/>
                <w:szCs w:val="21"/>
              </w:rPr>
              <w:t>施工图纸、环保材料检测报告、隐蔽工程验收记录、绿色技术应用证明（如节能设备）</w:t>
            </w:r>
          </w:p>
        </w:tc>
      </w:tr>
      <w:tr w14:paraId="697B37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408" w:type="dxa"/>
            <w:tcBorders>
              <w:left w:val="nil"/>
            </w:tcBorders>
            <w:shd w:val="clear" w:color="auto" w:fill="auto"/>
            <w:vAlign w:val="center"/>
          </w:tcPr>
          <w:p w14:paraId="19DC295D">
            <w:pPr>
              <w:pStyle w:val="178"/>
              <w:rPr>
                <w:sz w:val="21"/>
                <w:szCs w:val="21"/>
              </w:rPr>
            </w:pPr>
            <w:r>
              <w:rPr>
                <w:rFonts w:hint="eastAsia"/>
                <w:sz w:val="21"/>
                <w:szCs w:val="21"/>
              </w:rPr>
              <w:t>运行维护档案</w:t>
            </w:r>
          </w:p>
        </w:tc>
        <w:tc>
          <w:tcPr>
            <w:tcW w:w="8080" w:type="dxa"/>
            <w:tcBorders>
              <w:right w:val="nil"/>
            </w:tcBorders>
            <w:shd w:val="clear" w:color="auto" w:fill="auto"/>
            <w:vAlign w:val="center"/>
          </w:tcPr>
          <w:p w14:paraId="5E09E18F">
            <w:pPr>
              <w:pStyle w:val="178"/>
              <w:rPr>
                <w:sz w:val="21"/>
                <w:szCs w:val="21"/>
              </w:rPr>
            </w:pPr>
            <w:r>
              <w:rPr>
                <w:rFonts w:hint="eastAsia"/>
                <w:sz w:val="21"/>
                <w:szCs w:val="21"/>
              </w:rPr>
              <w:t>能源消耗数据（水、电、气）、垃圾分类处理记录、绿化养护日志、环境监测报告等</w:t>
            </w:r>
          </w:p>
        </w:tc>
      </w:tr>
      <w:tr w14:paraId="6FD345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408" w:type="dxa"/>
            <w:tcBorders>
              <w:left w:val="nil"/>
            </w:tcBorders>
            <w:shd w:val="clear" w:color="auto" w:fill="auto"/>
            <w:vAlign w:val="center"/>
          </w:tcPr>
          <w:p w14:paraId="5D4293B9">
            <w:pPr>
              <w:pStyle w:val="178"/>
              <w:rPr>
                <w:sz w:val="21"/>
                <w:szCs w:val="21"/>
              </w:rPr>
            </w:pPr>
            <w:r>
              <w:rPr>
                <w:rFonts w:hint="eastAsia"/>
                <w:sz w:val="21"/>
                <w:szCs w:val="21"/>
              </w:rPr>
              <w:t>教育实践档案</w:t>
            </w:r>
          </w:p>
        </w:tc>
        <w:tc>
          <w:tcPr>
            <w:tcW w:w="8080" w:type="dxa"/>
            <w:tcBorders>
              <w:right w:val="nil"/>
            </w:tcBorders>
            <w:shd w:val="clear" w:color="auto" w:fill="auto"/>
            <w:vAlign w:val="center"/>
          </w:tcPr>
          <w:p w14:paraId="227F2AF8">
            <w:pPr>
              <w:pStyle w:val="178"/>
              <w:rPr>
                <w:sz w:val="21"/>
                <w:szCs w:val="21"/>
              </w:rPr>
            </w:pPr>
            <w:r>
              <w:rPr>
                <w:rFonts w:hint="eastAsia"/>
                <w:sz w:val="21"/>
                <w:szCs w:val="21"/>
              </w:rPr>
              <w:t>生态课程大纲、环保活动记录、学生绿色社团成果、科研项目数据等</w:t>
            </w:r>
          </w:p>
        </w:tc>
      </w:tr>
      <w:tr w14:paraId="06B84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408" w:type="dxa"/>
            <w:tcBorders>
              <w:left w:val="nil"/>
              <w:bottom w:val="single" w:color="auto" w:sz="12" w:space="0"/>
            </w:tcBorders>
            <w:shd w:val="clear" w:color="auto" w:fill="auto"/>
            <w:vAlign w:val="center"/>
          </w:tcPr>
          <w:p w14:paraId="5E24C499">
            <w:pPr>
              <w:pStyle w:val="178"/>
              <w:rPr>
                <w:sz w:val="21"/>
                <w:szCs w:val="21"/>
              </w:rPr>
            </w:pPr>
            <w:r>
              <w:rPr>
                <w:rFonts w:hint="eastAsia"/>
                <w:sz w:val="21"/>
                <w:szCs w:val="21"/>
              </w:rPr>
              <w:t>评估改进档案</w:t>
            </w:r>
          </w:p>
        </w:tc>
        <w:tc>
          <w:tcPr>
            <w:tcW w:w="8080" w:type="dxa"/>
            <w:tcBorders>
              <w:bottom w:val="single" w:color="auto" w:sz="12" w:space="0"/>
              <w:right w:val="nil"/>
            </w:tcBorders>
            <w:shd w:val="clear" w:color="auto" w:fill="auto"/>
            <w:vAlign w:val="center"/>
          </w:tcPr>
          <w:p w14:paraId="444F31BB">
            <w:pPr>
              <w:pStyle w:val="178"/>
              <w:rPr>
                <w:sz w:val="21"/>
                <w:szCs w:val="21"/>
              </w:rPr>
            </w:pPr>
            <w:r>
              <w:rPr>
                <w:rFonts w:hint="eastAsia"/>
                <w:sz w:val="21"/>
                <w:szCs w:val="21"/>
              </w:rPr>
              <w:t>第三方环境审计报告、师生满意度调查、整改措施及效果验证记录等</w:t>
            </w:r>
          </w:p>
        </w:tc>
      </w:tr>
    </w:tbl>
    <w:p w14:paraId="50C653BF">
      <w:pPr>
        <w:pStyle w:val="56"/>
        <w:ind w:firstLine="420"/>
        <w:rPr>
          <w:rFonts w:ascii="Times New Roman"/>
        </w:rPr>
      </w:pPr>
    </w:p>
    <w:p w14:paraId="140AE09E">
      <w:pPr>
        <w:pStyle w:val="56"/>
        <w:spacing w:before="156" w:beforeLines="50" w:after="156" w:afterLines="50"/>
        <w:ind w:firstLine="0" w:firstLineChars="0"/>
        <w:rPr>
          <w:rFonts w:ascii="Times New Roman" w:eastAsia="黑体"/>
        </w:rPr>
      </w:pPr>
      <w:r>
        <w:rPr>
          <w:rFonts w:ascii="Times New Roman" w:eastAsia="黑体"/>
        </w:rPr>
        <w:t>10.4 归档要求​​</w:t>
      </w:r>
    </w:p>
    <w:p w14:paraId="107319FE">
      <w:pPr>
        <w:pStyle w:val="56"/>
        <w:ind w:firstLine="0" w:firstLineChars="0"/>
        <w:rPr>
          <w:rFonts w:ascii="Times New Roman"/>
        </w:rPr>
      </w:pPr>
      <w:r>
        <w:rPr>
          <w:rFonts w:ascii="Times New Roman"/>
        </w:rPr>
        <w:t>10.4.1 时间节点：分阶段归档（立项、建设、验收、运维），动态类资料（如能耗数据）按月/季度更新。</w:t>
      </w:r>
    </w:p>
    <w:p w14:paraId="4EE5D945">
      <w:pPr>
        <w:pStyle w:val="56"/>
        <w:ind w:firstLine="0" w:firstLineChars="0"/>
        <w:rPr>
          <w:rFonts w:ascii="Times New Roman"/>
        </w:rPr>
      </w:pPr>
      <w:r>
        <w:rPr>
          <w:rFonts w:ascii="Times New Roman"/>
        </w:rPr>
        <w:t>10.4.2 形式要求：纸质文件需完整、清晰，加盖公章；电子档案采用PDF/A、CSV等通用格式，配套元数据说明；重要图纸需同时保存CAD原始文件。</w:t>
      </w:r>
    </w:p>
    <w:p w14:paraId="008A3A3F">
      <w:pPr>
        <w:pStyle w:val="56"/>
        <w:ind w:firstLine="0" w:firstLineChars="0"/>
        <w:rPr>
          <w:rFonts w:ascii="Times New Roman"/>
        </w:rPr>
      </w:pPr>
      <w:r>
        <w:rPr>
          <w:rFonts w:ascii="Times New Roman"/>
        </w:rPr>
        <w:t>10.4.3 保存期限：永久保存（如总体规划）、长期（≥10年，如验收文件）、短期（＜5年，如日常巡检记录）。</w:t>
      </w:r>
    </w:p>
    <w:p w14:paraId="74814A5F">
      <w:pPr>
        <w:pStyle w:val="56"/>
        <w:spacing w:before="156" w:beforeLines="50" w:after="156" w:afterLines="50"/>
        <w:ind w:firstLine="0" w:firstLineChars="0"/>
        <w:rPr>
          <w:rFonts w:ascii="Times New Roman"/>
        </w:rPr>
      </w:pPr>
      <w:r>
        <w:rPr>
          <w:rFonts w:ascii="Times New Roman" w:eastAsia="黑体"/>
        </w:rPr>
        <w:t>10.5 信息化管理</w:t>
      </w:r>
      <w:r>
        <w:rPr>
          <w:rFonts w:ascii="Times New Roman"/>
        </w:rPr>
        <w:t>​​</w:t>
      </w:r>
    </w:p>
    <w:p w14:paraId="390D76E0">
      <w:pPr>
        <w:pStyle w:val="56"/>
        <w:ind w:firstLine="0" w:firstLineChars="0"/>
        <w:rPr>
          <w:rFonts w:ascii="Times New Roman"/>
        </w:rPr>
      </w:pPr>
      <w:r>
        <w:rPr>
          <w:rFonts w:ascii="Times New Roman"/>
        </w:rPr>
        <w:t>10.5.1 建立生态校园档案数据库，支持关键词检索、统计分析及可视化展示。</w:t>
      </w:r>
    </w:p>
    <w:p w14:paraId="01C37C71">
      <w:pPr>
        <w:pStyle w:val="56"/>
        <w:ind w:firstLine="0" w:firstLineChars="0"/>
        <w:rPr>
          <w:rFonts w:ascii="Times New Roman"/>
        </w:rPr>
      </w:pPr>
      <w:r>
        <w:rPr>
          <w:rFonts w:ascii="Times New Roman"/>
        </w:rPr>
        <w:t>10.5.2 对接学校智慧校园平台，实现与能源管理、环境监测等系统的数据互通。</w:t>
      </w:r>
    </w:p>
    <w:p w14:paraId="675FA321">
      <w:pPr>
        <w:pStyle w:val="56"/>
        <w:spacing w:before="156" w:beforeLines="50" w:after="156" w:afterLines="50"/>
        <w:ind w:firstLine="0" w:firstLineChars="0"/>
        <w:rPr>
          <w:rFonts w:ascii="Times New Roman"/>
        </w:rPr>
      </w:pPr>
      <w:r>
        <w:rPr>
          <w:rFonts w:ascii="Times New Roman" w:eastAsia="黑体"/>
        </w:rPr>
        <w:t>10.6 监督与改进</w:t>
      </w:r>
    </w:p>
    <w:p w14:paraId="28CC358E">
      <w:pPr>
        <w:pStyle w:val="56"/>
        <w:ind w:firstLine="0" w:firstLineChars="0"/>
        <w:rPr>
          <w:rFonts w:ascii="Times New Roman"/>
        </w:rPr>
      </w:pPr>
      <w:r>
        <w:rPr>
          <w:rFonts w:ascii="Times New Roman"/>
        </w:rPr>
        <w:t>10.6.1 每学年开展档案自查，重点核查数据完整性和一致性。</w:t>
      </w:r>
    </w:p>
    <w:p w14:paraId="3A6A8949">
      <w:pPr>
        <w:pStyle w:val="56"/>
        <w:ind w:firstLine="0" w:firstLineChars="0"/>
        <w:rPr>
          <w:rFonts w:ascii="Times New Roman"/>
        </w:rPr>
      </w:pPr>
      <w:r>
        <w:rPr>
          <w:rFonts w:ascii="Times New Roman"/>
        </w:rPr>
        <w:t>10.6.2 接受上级部门或第三方机构的环保审计，根据反馈优化管理流程。</w:t>
      </w:r>
    </w:p>
    <w:p w14:paraId="09425E65">
      <w:pPr>
        <w:pStyle w:val="56"/>
        <w:ind w:firstLine="420"/>
        <w:rPr>
          <w:rFonts w:ascii="Times New Roman"/>
        </w:rPr>
      </w:pPr>
    </w:p>
    <w:p w14:paraId="49633E8C">
      <w:pPr>
        <w:pStyle w:val="94"/>
        <w:numPr>
          <w:ilvl w:val="0"/>
          <w:numId w:val="0"/>
        </w:numPr>
        <w:spacing w:before="156" w:after="156"/>
        <w:rPr>
          <w:rFonts w:ascii="Times New Roman"/>
        </w:rPr>
      </w:pPr>
    </w:p>
    <w:bookmarkEnd w:id="29"/>
    <w:p w14:paraId="6E1E98DA">
      <w:pPr>
        <w:pStyle w:val="56"/>
        <w:ind w:firstLine="0" w:firstLineChars="0"/>
        <w:jc w:val="center"/>
        <w:rPr>
          <w:rFonts w:ascii="Times New Roman"/>
        </w:rPr>
      </w:pPr>
      <w:bookmarkStart w:id="100" w:name="BookMark8"/>
      <w:r>
        <w:rPr>
          <w:rFonts w:ascii="Times New Roman"/>
        </w:rPr>
        <w:drawing>
          <wp:inline distT="0" distB="0" distL="0" distR="0">
            <wp:extent cx="1485900" cy="317500"/>
            <wp:effectExtent l="0" t="0" r="0" b="6350"/>
            <wp:docPr id="704773639" name="图片 1"/>
            <wp:cNvGraphicFramePr/>
            <a:graphic xmlns:a="http://schemas.openxmlformats.org/drawingml/2006/main">
              <a:graphicData uri="http://schemas.openxmlformats.org/drawingml/2006/picture">
                <pic:pic xmlns:pic="http://schemas.openxmlformats.org/drawingml/2006/picture">
                  <pic:nvPicPr>
                    <pic:cNvPr id="704773639"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9F61C">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8962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C7F37">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9754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6970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F2EE6">
    <w:pPr>
      <w:pStyle w:val="61"/>
    </w:pPr>
    <w:r>
      <w:fldChar w:fldCharType="begin"/>
    </w:r>
    <w:r>
      <w:instrText xml:space="preserve"> STYLEREF  标准文件_文件编号  \* MERGEFORMAT </w:instrText>
    </w:r>
    <w:r>
      <w:fldChar w:fldCharType="separate"/>
    </w:r>
    <w:r>
      <w:t>DB 43/T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304B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B89A25"/>
    <w:multiLevelType w:val="singleLevel"/>
    <w:tmpl w:val="F8B89A25"/>
    <w:lvl w:ilvl="0" w:tentative="0">
      <w:start w:val="1"/>
      <w:numFmt w:val="lowerLetter"/>
      <w:lvlText w:val="%1)"/>
      <w:lvlJc w:val="left"/>
      <w:pPr>
        <w:tabs>
          <w:tab w:val="left" w:pos="312"/>
        </w:tabs>
      </w:p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9ICevJFvwqH573HFEfUnwUX5nI4dcRSfBtR2+vg/gnNWqoHDYho8OnhlRUT+okoOT74VD4hAZykktgmiQL4kUQ==" w:salt="V8ZDAIFRpF2XFvqTMtlfJ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D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8D4"/>
    <w:rsid w:val="00077B64"/>
    <w:rsid w:val="00080299"/>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6D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905"/>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27B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25E"/>
    <w:rsid w:val="002204BB"/>
    <w:rsid w:val="00221B79"/>
    <w:rsid w:val="00221C6B"/>
    <w:rsid w:val="002253A1"/>
    <w:rsid w:val="00225CF8"/>
    <w:rsid w:val="0022794E"/>
    <w:rsid w:val="00230086"/>
    <w:rsid w:val="00233D64"/>
    <w:rsid w:val="0023482A"/>
    <w:rsid w:val="002359CB"/>
    <w:rsid w:val="00243540"/>
    <w:rsid w:val="0024497B"/>
    <w:rsid w:val="0024515B"/>
    <w:rsid w:val="00246021"/>
    <w:rsid w:val="0024666E"/>
    <w:rsid w:val="00247F52"/>
    <w:rsid w:val="00250B25"/>
    <w:rsid w:val="00250BBE"/>
    <w:rsid w:val="002515C2"/>
    <w:rsid w:val="0025194F"/>
    <w:rsid w:val="002571C7"/>
    <w:rsid w:val="0026148A"/>
    <w:rsid w:val="00262696"/>
    <w:rsid w:val="00263D25"/>
    <w:rsid w:val="002643C3"/>
    <w:rsid w:val="00264A0C"/>
    <w:rsid w:val="00266EEB"/>
    <w:rsid w:val="00267EF4"/>
    <w:rsid w:val="00270CB8"/>
    <w:rsid w:val="00272B08"/>
    <w:rsid w:val="002771AC"/>
    <w:rsid w:val="00281BB8"/>
    <w:rsid w:val="00281E9E"/>
    <w:rsid w:val="00282405"/>
    <w:rsid w:val="00282B3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7CC"/>
    <w:rsid w:val="00322E62"/>
    <w:rsid w:val="00324D13"/>
    <w:rsid w:val="00324D2A"/>
    <w:rsid w:val="00324EDD"/>
    <w:rsid w:val="003263C9"/>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4DF"/>
    <w:rsid w:val="00407D39"/>
    <w:rsid w:val="0041477A"/>
    <w:rsid w:val="004167A3"/>
    <w:rsid w:val="00432DAA"/>
    <w:rsid w:val="00434305"/>
    <w:rsid w:val="00435DF7"/>
    <w:rsid w:val="0044083F"/>
    <w:rsid w:val="00441AE7"/>
    <w:rsid w:val="00445574"/>
    <w:rsid w:val="004467FB"/>
    <w:rsid w:val="00450496"/>
    <w:rsid w:val="00452D6B"/>
    <w:rsid w:val="00454484"/>
    <w:rsid w:val="0045517B"/>
    <w:rsid w:val="00461C1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B8B"/>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C54"/>
    <w:rsid w:val="00543BDA"/>
    <w:rsid w:val="005441CC"/>
    <w:rsid w:val="005479DA"/>
    <w:rsid w:val="00547BCC"/>
    <w:rsid w:val="0055013B"/>
    <w:rsid w:val="00551F6F"/>
    <w:rsid w:val="00555044"/>
    <w:rsid w:val="00561475"/>
    <w:rsid w:val="0056426B"/>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B57"/>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2C0"/>
    <w:rsid w:val="00695D22"/>
    <w:rsid w:val="006A07AA"/>
    <w:rsid w:val="006A25E5"/>
    <w:rsid w:val="006A2B46"/>
    <w:rsid w:val="006A336D"/>
    <w:rsid w:val="006A37B9"/>
    <w:rsid w:val="006B2672"/>
    <w:rsid w:val="006B54BF"/>
    <w:rsid w:val="006B5F44"/>
    <w:rsid w:val="006B5F90"/>
    <w:rsid w:val="006B62E4"/>
    <w:rsid w:val="006C1BBA"/>
    <w:rsid w:val="006C2079"/>
    <w:rsid w:val="006C56E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65E"/>
    <w:rsid w:val="00740B5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0F3"/>
    <w:rsid w:val="007959E8"/>
    <w:rsid w:val="00795E9C"/>
    <w:rsid w:val="007A0521"/>
    <w:rsid w:val="007A2E12"/>
    <w:rsid w:val="007A3475"/>
    <w:rsid w:val="007A41C8"/>
    <w:rsid w:val="007A54CE"/>
    <w:rsid w:val="007A6FD9"/>
    <w:rsid w:val="007A7FFA"/>
    <w:rsid w:val="007B04EB"/>
    <w:rsid w:val="007B0D4F"/>
    <w:rsid w:val="007B383B"/>
    <w:rsid w:val="007B5A3D"/>
    <w:rsid w:val="007B5B95"/>
    <w:rsid w:val="007B68EA"/>
    <w:rsid w:val="007B7453"/>
    <w:rsid w:val="007B7788"/>
    <w:rsid w:val="007C190B"/>
    <w:rsid w:val="007C1E8B"/>
    <w:rsid w:val="007C2D89"/>
    <w:rsid w:val="007C4593"/>
    <w:rsid w:val="007C5309"/>
    <w:rsid w:val="007C6069"/>
    <w:rsid w:val="007C7B65"/>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119"/>
    <w:rsid w:val="0085173A"/>
    <w:rsid w:val="00856316"/>
    <w:rsid w:val="008603CE"/>
    <w:rsid w:val="008620FC"/>
    <w:rsid w:val="008627A5"/>
    <w:rsid w:val="00863E05"/>
    <w:rsid w:val="00864A21"/>
    <w:rsid w:val="00865ACA"/>
    <w:rsid w:val="00865D28"/>
    <w:rsid w:val="00865F85"/>
    <w:rsid w:val="00867C10"/>
    <w:rsid w:val="00870439"/>
    <w:rsid w:val="00870DA1"/>
    <w:rsid w:val="008826B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54A"/>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0F"/>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B67"/>
    <w:rsid w:val="00A77CCB"/>
    <w:rsid w:val="00A80AE9"/>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06D"/>
    <w:rsid w:val="00AB41D5"/>
    <w:rsid w:val="00AB5DD8"/>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0AD"/>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796"/>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0F2"/>
    <w:rsid w:val="00C24C8D"/>
    <w:rsid w:val="00C25FE2"/>
    <w:rsid w:val="00C26B53"/>
    <w:rsid w:val="00C279B2"/>
    <w:rsid w:val="00C33E50"/>
    <w:rsid w:val="00C34C20"/>
    <w:rsid w:val="00C35A3E"/>
    <w:rsid w:val="00C42130"/>
    <w:rsid w:val="00C423A4"/>
    <w:rsid w:val="00C433B7"/>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276"/>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34D"/>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2E8"/>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37D"/>
    <w:rsid w:val="00DA1E08"/>
    <w:rsid w:val="00DA24F8"/>
    <w:rsid w:val="00DA28E8"/>
    <w:rsid w:val="00DA38D3"/>
    <w:rsid w:val="00DA3932"/>
    <w:rsid w:val="00DA3AFC"/>
    <w:rsid w:val="00DA5191"/>
    <w:rsid w:val="00DA5AD2"/>
    <w:rsid w:val="00DA64F8"/>
    <w:rsid w:val="00DA6C15"/>
    <w:rsid w:val="00DB0258"/>
    <w:rsid w:val="00DB38EE"/>
    <w:rsid w:val="00DB498B"/>
    <w:rsid w:val="00DB66CA"/>
    <w:rsid w:val="00DB6BCA"/>
    <w:rsid w:val="00DB73F7"/>
    <w:rsid w:val="00DC0321"/>
    <w:rsid w:val="00DC3067"/>
    <w:rsid w:val="00DC370B"/>
    <w:rsid w:val="00DC4D61"/>
    <w:rsid w:val="00DC5B90"/>
    <w:rsid w:val="00DD00FF"/>
    <w:rsid w:val="00DD0619"/>
    <w:rsid w:val="00DD07FB"/>
    <w:rsid w:val="00DD25C6"/>
    <w:rsid w:val="00DD4FE5"/>
    <w:rsid w:val="00DD54B0"/>
    <w:rsid w:val="00DD57EE"/>
    <w:rsid w:val="00DD6BCC"/>
    <w:rsid w:val="00DE0A4B"/>
    <w:rsid w:val="00DE2410"/>
    <w:rsid w:val="00DE2939"/>
    <w:rsid w:val="00DE6C9C"/>
    <w:rsid w:val="00DE6E81"/>
    <w:rsid w:val="00DE703F"/>
    <w:rsid w:val="00DE7595"/>
    <w:rsid w:val="00DF1961"/>
    <w:rsid w:val="00DF44DE"/>
    <w:rsid w:val="00DF577B"/>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43B"/>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CEC"/>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67B"/>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9C1"/>
    <w:rsid w:val="00FA73B1"/>
    <w:rsid w:val="00FB0CB9"/>
    <w:rsid w:val="00FB231D"/>
    <w:rsid w:val="00FB45F1"/>
    <w:rsid w:val="00FB4A72"/>
    <w:rsid w:val="00FB54E8"/>
    <w:rsid w:val="00FB7054"/>
    <w:rsid w:val="00FC17B7"/>
    <w:rsid w:val="00FC19F7"/>
    <w:rsid w:val="00FC2CB7"/>
    <w:rsid w:val="00FC4090"/>
    <w:rsid w:val="00FC55B4"/>
    <w:rsid w:val="00FD00E6"/>
    <w:rsid w:val="00FD034E"/>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B0FB4"/>
    <w:rsid w:val="02E62FD5"/>
    <w:rsid w:val="03700D6F"/>
    <w:rsid w:val="08C6452D"/>
    <w:rsid w:val="0A177173"/>
    <w:rsid w:val="0A96482D"/>
    <w:rsid w:val="0D733FD3"/>
    <w:rsid w:val="1A705394"/>
    <w:rsid w:val="1E3014C5"/>
    <w:rsid w:val="2098550E"/>
    <w:rsid w:val="234A1D71"/>
    <w:rsid w:val="23D92554"/>
    <w:rsid w:val="262C5795"/>
    <w:rsid w:val="2734580E"/>
    <w:rsid w:val="28903031"/>
    <w:rsid w:val="28F65471"/>
    <w:rsid w:val="292D2329"/>
    <w:rsid w:val="2B681AF6"/>
    <w:rsid w:val="2BAF4EFC"/>
    <w:rsid w:val="2CAB494C"/>
    <w:rsid w:val="30581C2A"/>
    <w:rsid w:val="33830346"/>
    <w:rsid w:val="35394783"/>
    <w:rsid w:val="3678306F"/>
    <w:rsid w:val="38065D82"/>
    <w:rsid w:val="38802308"/>
    <w:rsid w:val="3908597B"/>
    <w:rsid w:val="3A1742BF"/>
    <w:rsid w:val="3ACE03AE"/>
    <w:rsid w:val="3D0E6E4B"/>
    <w:rsid w:val="3D7C0545"/>
    <w:rsid w:val="3E6265B3"/>
    <w:rsid w:val="4041301D"/>
    <w:rsid w:val="422640CB"/>
    <w:rsid w:val="42E12703"/>
    <w:rsid w:val="4F0B637C"/>
    <w:rsid w:val="50572439"/>
    <w:rsid w:val="566C7853"/>
    <w:rsid w:val="574E0251"/>
    <w:rsid w:val="57834FFF"/>
    <w:rsid w:val="58322102"/>
    <w:rsid w:val="5F782B00"/>
    <w:rsid w:val="5FFE144F"/>
    <w:rsid w:val="69085A89"/>
    <w:rsid w:val="6B6A7BC9"/>
    <w:rsid w:val="6E014E0A"/>
    <w:rsid w:val="74F478F0"/>
    <w:rsid w:val="75B94E29"/>
    <w:rsid w:val="77291CFF"/>
    <w:rsid w:val="7C765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658D2B7869F4597853B13A445C74CBD"/>
        <w:style w:val=""/>
        <w:category>
          <w:name w:val="常规"/>
          <w:gallery w:val="placeholder"/>
        </w:category>
        <w:types>
          <w:type w:val="bbPlcHdr"/>
        </w:types>
        <w:behaviors>
          <w:behavior w:val="content"/>
        </w:behaviors>
        <w:description w:val=""/>
        <w:guid w:val="{0B9B2C5E-2C5B-47B6-9DE5-BB3DE7F6C68C}"/>
      </w:docPartPr>
      <w:docPartBody>
        <w:p w14:paraId="4AB9C9E5">
          <w:pPr>
            <w:pStyle w:val="5"/>
          </w:pPr>
          <w:r>
            <w:rPr>
              <w:rStyle w:val="4"/>
              <w:rFonts w:hint="eastAsia"/>
            </w:rPr>
            <w:t>单击或点击此处输入文字。</w:t>
          </w:r>
        </w:p>
      </w:docPartBody>
    </w:docPart>
    <w:docPart>
      <w:docPartPr>
        <w:name w:val="C125D299531B48289B112758861744DB"/>
        <w:style w:val=""/>
        <w:category>
          <w:name w:val="常规"/>
          <w:gallery w:val="placeholder"/>
        </w:category>
        <w:types>
          <w:type w:val="bbPlcHdr"/>
        </w:types>
        <w:behaviors>
          <w:behavior w:val="content"/>
        </w:behaviors>
        <w:description w:val=""/>
        <w:guid w:val="{3E088E31-2800-4DE1-9645-CDBA15000A7C}"/>
      </w:docPartPr>
      <w:docPartBody>
        <w:p w14:paraId="352E0F43">
          <w:pPr>
            <w:pStyle w:val="6"/>
          </w:pPr>
          <w:r>
            <w:rPr>
              <w:rStyle w:val="4"/>
              <w:rFonts w:hint="eastAsia"/>
            </w:rPr>
            <w:t>选择一项。</w:t>
          </w:r>
        </w:p>
      </w:docPartBody>
    </w:docPart>
    <w:docPart>
      <w:docPartPr>
        <w:name w:val="D194CC0F2B59446AB4DFE54BE1941F43"/>
        <w:style w:val=""/>
        <w:category>
          <w:name w:val="常规"/>
          <w:gallery w:val="placeholder"/>
        </w:category>
        <w:types>
          <w:type w:val="bbPlcHdr"/>
        </w:types>
        <w:behaviors>
          <w:behavior w:val="content"/>
        </w:behaviors>
        <w:description w:val=""/>
        <w:guid w:val="{C53F9067-03E3-4CFC-937A-45D1C29962FA}"/>
      </w:docPartPr>
      <w:docPartBody>
        <w:p w14:paraId="05FBC831">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CF5"/>
    <w:rsid w:val="001E0F8F"/>
    <w:rsid w:val="004B3B8B"/>
    <w:rsid w:val="00542C54"/>
    <w:rsid w:val="00935CF5"/>
    <w:rsid w:val="00990412"/>
    <w:rsid w:val="00A132EC"/>
    <w:rsid w:val="00A761E9"/>
    <w:rsid w:val="00A859A8"/>
    <w:rsid w:val="00B63666"/>
    <w:rsid w:val="00C230F2"/>
    <w:rsid w:val="00D64776"/>
    <w:rsid w:val="00DC4D61"/>
    <w:rsid w:val="00E83F71"/>
    <w:rsid w:val="00EB1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658D2B7869F4597853B13A445C74CB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C125D299531B48289B112758861744D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194CC0F2B59446AB4DFE54BE1941F4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A5DBD-AD31-4375-B8A1-D2E8ED699862}">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396</Words>
  <Characters>576</Characters>
  <Lines>123</Lines>
  <Paragraphs>34</Paragraphs>
  <TotalTime>245</TotalTime>
  <ScaleCrop>false</ScaleCrop>
  <LinksUpToDate>false</LinksUpToDate>
  <CharactersWithSpaces>736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2025-06-17T07:01:00Z</dcterms:created>
  <dc:creator>sam</dc:creator>
  <dc:description>&lt;config cover="true" show_menu="true" version="1.0.0" doctype="SDKXY"&gt;_x000d_
&lt;/config&gt;</dc:description>
  <cp:lastModifiedBy>范</cp:lastModifiedBy>
  <cp:lastPrinted>2025-09-07T14:44:00Z</cp:lastPrinted>
  <dcterms:modified xsi:type="dcterms:W3CDTF">2025-10-10T08:33:16Z</dcterms:modified>
  <dc:title>地方标准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KSOTemplateDocerSaveRecord">
    <vt:lpwstr>eyJoZGlkIjoiOGZkMDc3ZmRmYTQ5MjcwN2JiMGI2NTE3NjJmZWVjMzUiLCJ1c2VySWQiOiI1NjE3MjU2MzIifQ==</vt:lpwstr>
  </property>
  <property fmtid="{D5CDD505-2E9C-101B-9397-08002B2CF9AE}" pid="16" name="ICV">
    <vt:lpwstr>382B226FEE0343728A201C77A81D53AD_12</vt:lpwstr>
  </property>
</Properties>
</file>