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07C77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D5F5115">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01047AAE">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 xml:space="preserve"> </w:t>
            </w:r>
            <w:r>
              <w:rPr>
                <w:rFonts w:ascii="黑体" w:hAnsi="黑体" w:eastAsia="黑体"/>
                <w:sz w:val="21"/>
                <w:szCs w:val="21"/>
              </w:rPr>
              <w:fldChar w:fldCharType="end"/>
            </w:r>
            <w:bookmarkEnd w:id="0"/>
          </w:p>
        </w:tc>
      </w:tr>
      <w:tr w14:paraId="305A4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0AD1CF9A">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31F6B4EF">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点击此处添加CCS号</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6FBE80BB">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28DC6AED">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43</w:t>
            </w:r>
            <w:r>
              <w:fldChar w:fldCharType="end"/>
            </w:r>
            <w:bookmarkEnd w:id="3"/>
          </w:p>
        </w:tc>
      </w:tr>
    </w:tbl>
    <w:p w14:paraId="31A4367A">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湖南省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7B9D2035">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43/T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28B07CCD">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4DEFF1CA">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5E350FE">
      <w:pPr>
        <w:pStyle w:val="50"/>
        <w:framePr w:w="9639" w:h="6976" w:hRule="exact" w:hSpace="0" w:vSpace="0" w:wrap="around" w:hAnchor="page" w:y="6408"/>
        <w:jc w:val="center"/>
        <w:rPr>
          <w:rFonts w:ascii="黑体" w:hAnsi="黑体" w:eastAsia="黑体"/>
          <w:b w:val="0"/>
          <w:bCs w:val="0"/>
          <w:w w:val="100"/>
        </w:rPr>
      </w:pPr>
    </w:p>
    <w:p w14:paraId="22D49070">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lang w:eastAsia="zh-CN"/>
        </w:rPr>
        <w:t>（H</w:t>
      </w:r>
      <w:r>
        <w:rPr>
          <w:rFonts w:hint="eastAsia"/>
          <w:lang w:val="en-US" w:eastAsia="zh-CN"/>
        </w:rPr>
        <w:t>PPD）抑制剂防治稻田杂草药效评价操作技术规程</w:t>
      </w:r>
      <w:r>
        <w:fldChar w:fldCharType="end"/>
      </w:r>
      <w:bookmarkEnd w:id="9"/>
    </w:p>
    <w:p w14:paraId="57AA24A1">
      <w:pPr>
        <w:framePr w:w="9639" w:h="6974" w:hRule="exact" w:wrap="around" w:vAnchor="page" w:hAnchor="page" w:x="1419" w:y="6408" w:anchorLock="1"/>
        <w:ind w:left="-1418"/>
      </w:pPr>
    </w:p>
    <w:p w14:paraId="43CC5D08">
      <w:pPr>
        <w:pStyle w:val="125"/>
        <w:framePr w:w="9639" w:h="6974" w:hRule="exact" w:wrap="around" w:vAnchor="page" w:hAnchor="page" w:x="1419" w:y="6408" w:anchorLock="1"/>
        <w:textAlignment w:val="bottom"/>
        <w:rPr>
          <w:rFonts w:ascii="黑体" w:hAnsi="黑体" w:eastAsia="黑体"/>
          <w:szCs w:val="28"/>
        </w:rPr>
      </w:pPr>
      <w:r>
        <w:rPr>
          <w:rFonts w:ascii="黑体" w:hAnsi="黑体" w:eastAsia="黑体"/>
          <w:szCs w:val="28"/>
        </w:rPr>
        <w:fldChar w:fldCharType="begin">
          <w:ffData>
            <w:name w:val="ESTD_NAME"/>
            <w:enabled/>
            <w:calcOnExit w:val="0"/>
            <w:textInput>
              <w:default w:val="点击此处添加标准名称的英文译名"/>
            </w:textInput>
          </w:ffData>
        </w:fldChar>
      </w:r>
      <w:bookmarkStart w:id="10" w:name="ESTD_NAME"/>
      <w:r>
        <w:rPr>
          <w:rFonts w:ascii="黑体" w:hAnsi="黑体" w:eastAsia="黑体"/>
          <w:szCs w:val="28"/>
        </w:rPr>
        <w:instrText xml:space="preserve"> FORMTEXT </w:instrText>
      </w:r>
      <w:r>
        <w:rPr>
          <w:rFonts w:ascii="黑体" w:hAnsi="黑体" w:eastAsia="黑体"/>
          <w:szCs w:val="28"/>
        </w:rPr>
        <w:fldChar w:fldCharType="separate"/>
      </w:r>
      <w:r>
        <w:rPr>
          <w:rFonts w:ascii="黑体" w:hAnsi="黑体" w:eastAsia="黑体"/>
          <w:szCs w:val="28"/>
        </w:rPr>
        <w:t xml:space="preserve">Technical code of practice for </w:t>
      </w:r>
      <w:r>
        <w:rPr>
          <w:rFonts w:hint="eastAsia" w:ascii="黑体" w:hAnsi="黑体" w:eastAsia="黑体"/>
          <w:szCs w:val="28"/>
          <w:lang w:val="en-US" w:eastAsia="zh-CN"/>
        </w:rPr>
        <w:t>efficacy evaluation operation of HPPD-inhibiting herbicides against weeds in rice fields</w:t>
      </w:r>
      <w:r>
        <w:rPr>
          <w:rFonts w:ascii="黑体" w:hAnsi="黑体" w:eastAsia="黑体"/>
          <w:szCs w:val="28"/>
        </w:rPr>
        <w:fldChar w:fldCharType="end"/>
      </w:r>
      <w:bookmarkEnd w:id="10"/>
    </w:p>
    <w:p w14:paraId="389BED46">
      <w:pPr>
        <w:framePr w:w="9639" w:h="6974" w:hRule="exact" w:wrap="around" w:vAnchor="page" w:hAnchor="page" w:x="1419" w:y="6408" w:anchorLock="1"/>
        <w:spacing w:line="760" w:lineRule="exact"/>
        <w:ind w:left="-1418"/>
      </w:pPr>
    </w:p>
    <w:p w14:paraId="5C126DD5">
      <w:pPr>
        <w:pStyle w:val="125"/>
        <w:framePr w:w="9639" w:h="6974" w:hRule="exact" w:wrap="around" w:vAnchor="page" w:hAnchor="page" w:x="1419" w:y="6408" w:anchorLock="1"/>
        <w:textAlignment w:val="bottom"/>
        <w:rPr>
          <w:rFonts w:eastAsia="黑体"/>
          <w:szCs w:val="28"/>
        </w:rPr>
      </w:pPr>
    </w:p>
    <w:p w14:paraId="4BDD9E68">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3D784173">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7675539F">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15920CDD">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07868AFF">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2BC7783F">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湖南省市场监督管理局</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7635CE20">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20979C1">
      <w:pPr>
        <w:pStyle w:val="91"/>
        <w:spacing w:after="468"/>
        <w:rPr>
          <w:rFonts w:hint="eastAsia"/>
        </w:rPr>
      </w:pPr>
      <w:bookmarkStart w:id="21" w:name="BookMark1"/>
      <w:r>
        <w:rPr>
          <w:rFonts w:hint="eastAsia"/>
          <w:spacing w:val="320"/>
        </w:rPr>
        <w:t>目</w:t>
      </w:r>
      <w:r>
        <w:rPr>
          <w:rFonts w:hint="eastAsia"/>
        </w:rPr>
        <w:t>次</w:t>
      </w:r>
    </w:p>
    <w:p w14:paraId="09EA2A1B">
      <w:pPr>
        <w:pStyle w:val="19"/>
        <w:tabs>
          <w:tab w:val="right" w:leader="dot" w:pos="9354"/>
        </w:tabs>
      </w:pPr>
      <w:r>
        <w:fldChar w:fldCharType="begin"/>
      </w:r>
      <w:r>
        <w:instrText xml:space="preserve"> TOC \o "1-1" \h </w:instrText>
      </w:r>
      <w:r>
        <w:fldChar w:fldCharType="separate"/>
      </w:r>
      <w:r>
        <w:fldChar w:fldCharType="begin"/>
      </w:r>
      <w:r>
        <w:instrText xml:space="preserve"> HYPERLINK \l _Toc24211 </w:instrText>
      </w:r>
      <w:r>
        <w:fldChar w:fldCharType="separate"/>
      </w:r>
      <w:r>
        <w:rPr>
          <w:spacing w:val="320"/>
        </w:rPr>
        <w:t>前</w:t>
      </w:r>
      <w:r>
        <w:t>言</w:t>
      </w:r>
      <w:r>
        <w:tab/>
      </w:r>
      <w:r>
        <w:fldChar w:fldCharType="begin"/>
      </w:r>
      <w:r>
        <w:instrText xml:space="preserve"> PAGEREF _Toc24211 \h </w:instrText>
      </w:r>
      <w:r>
        <w:fldChar w:fldCharType="separate"/>
      </w:r>
      <w:r>
        <w:t>II</w:t>
      </w:r>
      <w:r>
        <w:fldChar w:fldCharType="end"/>
      </w:r>
      <w:r>
        <w:fldChar w:fldCharType="end"/>
      </w:r>
    </w:p>
    <w:p w14:paraId="4FB62C62">
      <w:pPr>
        <w:pStyle w:val="19"/>
        <w:tabs>
          <w:tab w:val="right" w:leader="dot" w:pos="9354"/>
        </w:tabs>
      </w:pPr>
      <w:r>
        <w:fldChar w:fldCharType="begin"/>
      </w:r>
      <w:r>
        <w:instrText xml:space="preserve"> HYPERLINK \l _Toc4484 </w:instrText>
      </w:r>
      <w:r>
        <w:fldChar w:fldCharType="separate"/>
      </w:r>
      <w:r>
        <w:rPr>
          <w:rFonts w:hint="eastAsia" w:ascii="黑体" w:eastAsia="黑体"/>
          <w:i w:val="0"/>
        </w:rPr>
        <w:t xml:space="preserve">1 </w:t>
      </w:r>
      <w:r>
        <w:rPr>
          <w:rFonts w:hint="eastAsia"/>
        </w:rPr>
        <w:t>范围</w:t>
      </w:r>
      <w:r>
        <w:tab/>
      </w:r>
      <w:r>
        <w:fldChar w:fldCharType="begin"/>
      </w:r>
      <w:r>
        <w:instrText xml:space="preserve"> PAGEREF _Toc4484 \h </w:instrText>
      </w:r>
      <w:r>
        <w:fldChar w:fldCharType="separate"/>
      </w:r>
      <w:r>
        <w:t>1</w:t>
      </w:r>
      <w:r>
        <w:fldChar w:fldCharType="end"/>
      </w:r>
      <w:r>
        <w:fldChar w:fldCharType="end"/>
      </w:r>
    </w:p>
    <w:p w14:paraId="5C209370">
      <w:pPr>
        <w:pStyle w:val="19"/>
        <w:tabs>
          <w:tab w:val="right" w:leader="dot" w:pos="9354"/>
        </w:tabs>
      </w:pPr>
      <w:r>
        <w:fldChar w:fldCharType="begin"/>
      </w:r>
      <w:r>
        <w:instrText xml:space="preserve"> HYPERLINK \l _Toc14422 </w:instrText>
      </w:r>
      <w:r>
        <w:fldChar w:fldCharType="separate"/>
      </w:r>
      <w:r>
        <w:rPr>
          <w:rFonts w:hint="eastAsia" w:ascii="黑体" w:eastAsia="黑体"/>
          <w:i w:val="0"/>
        </w:rPr>
        <w:t xml:space="preserve">2 </w:t>
      </w:r>
      <w:r>
        <w:rPr>
          <w:rFonts w:hint="eastAsia"/>
        </w:rPr>
        <w:t>规范性引用文件</w:t>
      </w:r>
      <w:r>
        <w:tab/>
      </w:r>
      <w:r>
        <w:fldChar w:fldCharType="begin"/>
      </w:r>
      <w:r>
        <w:instrText xml:space="preserve"> PAGEREF _Toc14422 \h </w:instrText>
      </w:r>
      <w:r>
        <w:fldChar w:fldCharType="separate"/>
      </w:r>
      <w:r>
        <w:t>1</w:t>
      </w:r>
      <w:r>
        <w:fldChar w:fldCharType="end"/>
      </w:r>
      <w:r>
        <w:fldChar w:fldCharType="end"/>
      </w:r>
    </w:p>
    <w:p w14:paraId="4EA3D723">
      <w:pPr>
        <w:pStyle w:val="19"/>
        <w:tabs>
          <w:tab w:val="right" w:leader="dot" w:pos="9354"/>
        </w:tabs>
      </w:pPr>
      <w:r>
        <w:fldChar w:fldCharType="begin"/>
      </w:r>
      <w:r>
        <w:instrText xml:space="preserve"> HYPERLINK \l _Toc22755 </w:instrText>
      </w:r>
      <w:r>
        <w:fldChar w:fldCharType="separate"/>
      </w:r>
      <w:r>
        <w:rPr>
          <w:rFonts w:hint="eastAsia" w:ascii="黑体" w:eastAsia="黑体"/>
          <w:i w:val="0"/>
        </w:rPr>
        <w:t xml:space="preserve">3 </w:t>
      </w:r>
      <w:r>
        <w:rPr>
          <w:rFonts w:hint="eastAsia"/>
          <w:szCs w:val="21"/>
        </w:rPr>
        <w:t>术语和定义</w:t>
      </w:r>
      <w:r>
        <w:tab/>
      </w:r>
      <w:r>
        <w:fldChar w:fldCharType="begin"/>
      </w:r>
      <w:r>
        <w:instrText xml:space="preserve"> PAGEREF _Toc22755 \h </w:instrText>
      </w:r>
      <w:r>
        <w:fldChar w:fldCharType="separate"/>
      </w:r>
      <w:r>
        <w:t>1</w:t>
      </w:r>
      <w:r>
        <w:fldChar w:fldCharType="end"/>
      </w:r>
      <w:r>
        <w:fldChar w:fldCharType="end"/>
      </w:r>
    </w:p>
    <w:p w14:paraId="525F6B7D">
      <w:pPr>
        <w:pStyle w:val="19"/>
        <w:tabs>
          <w:tab w:val="right" w:leader="dot" w:pos="9354"/>
        </w:tabs>
      </w:pPr>
      <w:r>
        <w:fldChar w:fldCharType="begin"/>
      </w:r>
      <w:r>
        <w:instrText xml:space="preserve"> HYPERLINK \l _Toc31841 </w:instrText>
      </w:r>
      <w:r>
        <w:fldChar w:fldCharType="separate"/>
      </w:r>
      <w:r>
        <w:rPr>
          <w:rFonts w:hint="eastAsia" w:ascii="黑体" w:eastAsia="黑体"/>
          <w:i w:val="0"/>
        </w:rPr>
        <w:t xml:space="preserve">4 </w:t>
      </w:r>
      <w:r>
        <w:rPr>
          <w:rFonts w:hint="eastAsia"/>
          <w:lang w:val="en-US" w:eastAsia="zh-CN"/>
        </w:rPr>
        <w:t>试验条件</w:t>
      </w:r>
      <w:r>
        <w:tab/>
      </w:r>
      <w:r>
        <w:fldChar w:fldCharType="begin"/>
      </w:r>
      <w:r>
        <w:instrText xml:space="preserve"> PAGEREF _Toc31841 \h </w:instrText>
      </w:r>
      <w:r>
        <w:fldChar w:fldCharType="separate"/>
      </w:r>
      <w:r>
        <w:t>1</w:t>
      </w:r>
      <w:r>
        <w:fldChar w:fldCharType="end"/>
      </w:r>
      <w:r>
        <w:fldChar w:fldCharType="end"/>
      </w:r>
    </w:p>
    <w:p w14:paraId="2B53CE53">
      <w:pPr>
        <w:pStyle w:val="19"/>
        <w:tabs>
          <w:tab w:val="right" w:leader="dot" w:pos="9354"/>
        </w:tabs>
      </w:pPr>
      <w:r>
        <w:fldChar w:fldCharType="begin"/>
      </w:r>
      <w:r>
        <w:instrText xml:space="preserve"> HYPERLINK \l _Toc30182 </w:instrText>
      </w:r>
      <w:r>
        <w:fldChar w:fldCharType="separate"/>
      </w:r>
      <w:r>
        <w:rPr>
          <w:rFonts w:hint="eastAsia" w:ascii="黑体" w:eastAsia="黑体"/>
          <w:i w:val="0"/>
        </w:rPr>
        <w:t xml:space="preserve">5 </w:t>
      </w:r>
      <w:r>
        <w:rPr>
          <w:rFonts w:hint="eastAsia"/>
          <w:lang w:val="en-US" w:eastAsia="zh-CN"/>
        </w:rPr>
        <w:t>试验设计与安排</w:t>
      </w:r>
      <w:r>
        <w:tab/>
      </w:r>
      <w:r>
        <w:fldChar w:fldCharType="begin"/>
      </w:r>
      <w:r>
        <w:instrText xml:space="preserve"> PAGEREF _Toc30182 \h </w:instrText>
      </w:r>
      <w:r>
        <w:fldChar w:fldCharType="separate"/>
      </w:r>
      <w:r>
        <w:t>2</w:t>
      </w:r>
      <w:r>
        <w:fldChar w:fldCharType="end"/>
      </w:r>
      <w:r>
        <w:fldChar w:fldCharType="end"/>
      </w:r>
    </w:p>
    <w:p w14:paraId="172D2C3A">
      <w:pPr>
        <w:pStyle w:val="19"/>
        <w:tabs>
          <w:tab w:val="right" w:leader="dot" w:pos="9354"/>
        </w:tabs>
      </w:pPr>
      <w:r>
        <w:fldChar w:fldCharType="begin"/>
      </w:r>
      <w:r>
        <w:instrText xml:space="preserve"> HYPERLINK \l _Toc17167 </w:instrText>
      </w:r>
      <w:r>
        <w:fldChar w:fldCharType="separate"/>
      </w:r>
      <w:r>
        <w:rPr>
          <w:rFonts w:hint="eastAsia" w:ascii="黑体" w:eastAsia="黑体"/>
          <w:i w:val="0"/>
        </w:rPr>
        <w:t xml:space="preserve">6 </w:t>
      </w:r>
      <w:r>
        <w:rPr>
          <w:rFonts w:hint="eastAsia"/>
          <w:lang w:val="en-US" w:eastAsia="zh-CN"/>
        </w:rPr>
        <w:t>调查、记录和测量</w:t>
      </w:r>
      <w:r>
        <w:tab/>
      </w:r>
      <w:r>
        <w:fldChar w:fldCharType="begin"/>
      </w:r>
      <w:r>
        <w:instrText xml:space="preserve"> PAGEREF _Toc17167 \h </w:instrText>
      </w:r>
      <w:r>
        <w:fldChar w:fldCharType="separate"/>
      </w:r>
      <w:r>
        <w:t>4</w:t>
      </w:r>
      <w:r>
        <w:fldChar w:fldCharType="end"/>
      </w:r>
      <w:r>
        <w:fldChar w:fldCharType="end"/>
      </w:r>
    </w:p>
    <w:p w14:paraId="61154454">
      <w:pPr>
        <w:pStyle w:val="19"/>
        <w:tabs>
          <w:tab w:val="right" w:leader="dot" w:pos="9354"/>
        </w:tabs>
      </w:pPr>
      <w:r>
        <w:fldChar w:fldCharType="begin"/>
      </w:r>
      <w:r>
        <w:instrText xml:space="preserve"> HYPERLINK \l _Toc15711 </w:instrText>
      </w:r>
      <w:r>
        <w:fldChar w:fldCharType="separate"/>
      </w:r>
      <w:r>
        <w:rPr>
          <w:rFonts w:hint="eastAsia" w:ascii="黑体" w:eastAsia="黑体"/>
          <w:i w:val="0"/>
        </w:rPr>
        <w:t xml:space="preserve">7 </w:t>
      </w:r>
      <w:r>
        <w:rPr>
          <w:rFonts w:hint="eastAsia"/>
          <w:lang w:val="en-US" w:eastAsia="zh-CN"/>
        </w:rPr>
        <w:t>试验报告撰写</w:t>
      </w:r>
      <w:r>
        <w:tab/>
      </w:r>
      <w:r>
        <w:fldChar w:fldCharType="begin"/>
      </w:r>
      <w:r>
        <w:instrText xml:space="preserve"> PAGEREF _Toc15711 \h </w:instrText>
      </w:r>
      <w:r>
        <w:fldChar w:fldCharType="separate"/>
      </w:r>
      <w:r>
        <w:t>5</w:t>
      </w:r>
      <w:r>
        <w:fldChar w:fldCharType="end"/>
      </w:r>
      <w:r>
        <w:fldChar w:fldCharType="end"/>
      </w:r>
    </w:p>
    <w:p w14:paraId="4BF707C3">
      <w:pPr>
        <w:pStyle w:val="19"/>
        <w:tabs>
          <w:tab w:val="right" w:leader="dot" w:pos="9354"/>
        </w:tabs>
      </w:pPr>
      <w:r>
        <w:fldChar w:fldCharType="begin"/>
      </w:r>
      <w:r>
        <w:instrText xml:space="preserve"> HYPERLINK \l _Toc15421 </w:instrText>
      </w:r>
      <w:r>
        <w:fldChar w:fldCharType="separate"/>
      </w:r>
      <w:r>
        <w:rPr>
          <w:rFonts w:hint="eastAsia" w:ascii="黑体" w:eastAsia="黑体"/>
          <w:i w:val="0"/>
        </w:rPr>
        <w:t xml:space="preserve">8 </w:t>
      </w:r>
      <w:r>
        <w:rPr>
          <w:rFonts w:hint="eastAsia"/>
          <w:lang w:val="en-US" w:eastAsia="zh-CN"/>
        </w:rPr>
        <w:t>档案管理</w:t>
      </w:r>
      <w:r>
        <w:tab/>
      </w:r>
      <w:r>
        <w:fldChar w:fldCharType="begin"/>
      </w:r>
      <w:r>
        <w:instrText xml:space="preserve"> PAGEREF _Toc15421 \h </w:instrText>
      </w:r>
      <w:r>
        <w:fldChar w:fldCharType="separate"/>
      </w:r>
      <w:r>
        <w:t>6</w:t>
      </w:r>
      <w:r>
        <w:fldChar w:fldCharType="end"/>
      </w:r>
      <w:r>
        <w:fldChar w:fldCharType="end"/>
      </w:r>
    </w:p>
    <w:p w14:paraId="78B2580E">
      <w:pPr>
        <w:pStyle w:val="19"/>
        <w:tabs>
          <w:tab w:val="right" w:leader="dot" w:pos="9354"/>
        </w:tabs>
      </w:pPr>
      <w:r>
        <w:fldChar w:fldCharType="begin"/>
      </w:r>
      <w:r>
        <w:instrText xml:space="preserve"> HYPERLINK \l _Toc31909 </w:instrText>
      </w:r>
      <w:r>
        <w:fldChar w:fldCharType="separate"/>
      </w:r>
      <w:r>
        <w:rPr>
          <w:rFonts w:hint="eastAsia"/>
          <w:spacing w:val="100"/>
        </w:rPr>
        <w:t xml:space="preserve">附录A </w:t>
      </w:r>
      <w:r>
        <w:t xml:space="preserve"> </w:t>
      </w:r>
      <w:r>
        <w:rPr>
          <w:rFonts w:hint="eastAsia"/>
        </w:rPr>
        <w:t>（资料性）</w:t>
      </w:r>
      <w:r>
        <w:t xml:space="preserve"> </w:t>
      </w:r>
      <w:r>
        <w:rPr>
          <w:rFonts w:hint="eastAsia"/>
          <w:lang w:val="en-US" w:eastAsia="zh-CN"/>
        </w:rPr>
        <w:t>稻田已登记HPPD抑制剂类除草剂有效成分</w:t>
      </w:r>
      <w:r>
        <w:tab/>
      </w:r>
      <w:r>
        <w:fldChar w:fldCharType="begin"/>
      </w:r>
      <w:r>
        <w:instrText xml:space="preserve"> PAGEREF _Toc31909 \h </w:instrText>
      </w:r>
      <w:r>
        <w:fldChar w:fldCharType="separate"/>
      </w:r>
      <w:r>
        <w:t>7</w:t>
      </w:r>
      <w:r>
        <w:fldChar w:fldCharType="end"/>
      </w:r>
      <w:r>
        <w:fldChar w:fldCharType="end"/>
      </w:r>
    </w:p>
    <w:p w14:paraId="092402E7">
      <w:pPr>
        <w:pStyle w:val="19"/>
        <w:tabs>
          <w:tab w:val="right" w:leader="dot" w:pos="9354"/>
        </w:tabs>
      </w:pPr>
      <w:r>
        <w:fldChar w:fldCharType="begin"/>
      </w:r>
      <w:r>
        <w:instrText xml:space="preserve"> HYPERLINK \l _Toc12564 </w:instrText>
      </w:r>
      <w:r>
        <w:fldChar w:fldCharType="separate"/>
      </w:r>
      <w:r>
        <w:rPr>
          <w:rFonts w:hint="eastAsia"/>
          <w:spacing w:val="100"/>
        </w:rPr>
        <w:t xml:space="preserve">附录B </w:t>
      </w:r>
      <w:r>
        <w:t xml:space="preserve"> </w:t>
      </w:r>
      <w:r>
        <w:rPr>
          <w:rFonts w:hint="eastAsia"/>
        </w:rPr>
        <w:t>（资料性）</w:t>
      </w:r>
      <w:r>
        <w:t xml:space="preserve"> </w:t>
      </w:r>
      <w:r>
        <w:rPr>
          <w:rFonts w:hint="eastAsia"/>
          <w:lang w:val="en-US" w:eastAsia="zh-CN"/>
        </w:rPr>
        <w:t>HPPD抑制剂类除草剂对水稻药害症状</w:t>
      </w:r>
      <w:r>
        <w:tab/>
      </w:r>
      <w:r>
        <w:fldChar w:fldCharType="begin"/>
      </w:r>
      <w:r>
        <w:instrText xml:space="preserve"> PAGEREF _Toc12564 \h </w:instrText>
      </w:r>
      <w:r>
        <w:fldChar w:fldCharType="separate"/>
      </w:r>
      <w:r>
        <w:t>8</w:t>
      </w:r>
      <w:r>
        <w:fldChar w:fldCharType="end"/>
      </w:r>
      <w:r>
        <w:fldChar w:fldCharType="end"/>
      </w:r>
    </w:p>
    <w:p w14:paraId="6BE9DA15">
      <w:pPr>
        <w:pStyle w:val="91"/>
        <w:spacing w:after="468"/>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14:paraId="3CB78385">
      <w:pPr>
        <w:pStyle w:val="89"/>
        <w:spacing w:before="900" w:after="468"/>
      </w:pPr>
      <w:bookmarkStart w:id="22" w:name="_Toc24211"/>
      <w:bookmarkStart w:id="23" w:name="BookMark2"/>
      <w:r>
        <w:rPr>
          <w:spacing w:val="320"/>
        </w:rPr>
        <w:t>前</w:t>
      </w:r>
      <w:r>
        <w:t>言</w:t>
      </w:r>
      <w:bookmarkEnd w:id="22"/>
    </w:p>
    <w:p w14:paraId="64A5B240">
      <w:pPr>
        <w:pStyle w:val="56"/>
        <w:ind w:firstLine="420"/>
        <w:rPr>
          <w:rFonts w:hint="eastAsia"/>
        </w:rPr>
      </w:pPr>
      <w:r>
        <w:rPr>
          <w:rFonts w:hint="eastAsia"/>
        </w:rPr>
        <w:t>本文件按照GB/T 1.1—2020《标准化工作导则 第1部分：标准化文件的结构和起草规则》的规定起草。</w:t>
      </w:r>
    </w:p>
    <w:p w14:paraId="3AFB1CC3">
      <w:pPr>
        <w:pStyle w:val="56"/>
        <w:ind w:firstLine="420"/>
      </w:pPr>
      <w:r>
        <w:rPr>
          <w:rFonts w:hint="eastAsia"/>
        </w:rPr>
        <w:t>请注意本文件的某些内容可能涉及专利。本文件的发布机构不承担识别专利的责任。</w:t>
      </w:r>
    </w:p>
    <w:p w14:paraId="7AEBF904">
      <w:pPr>
        <w:pStyle w:val="56"/>
        <w:ind w:firstLine="420"/>
      </w:pPr>
      <w:r>
        <w:rPr>
          <w:rFonts w:hint="eastAsia"/>
        </w:rPr>
        <w:t>本文件由湖南省农业农村厅提出。</w:t>
      </w:r>
    </w:p>
    <w:p w14:paraId="4C0BE53D">
      <w:pPr>
        <w:pStyle w:val="56"/>
        <w:ind w:firstLine="420"/>
      </w:pPr>
      <w:r>
        <w:rPr>
          <w:rFonts w:hint="eastAsia"/>
        </w:rPr>
        <w:t>本文件由湖南省农业标准化技术委员会归口。</w:t>
      </w:r>
    </w:p>
    <w:p w14:paraId="1405E56B">
      <w:pPr>
        <w:pStyle w:val="56"/>
        <w:ind w:firstLine="420"/>
        <w:rPr>
          <w:rFonts w:hint="eastAsia"/>
        </w:rPr>
      </w:pPr>
      <w:r>
        <w:rPr>
          <w:rFonts w:hint="eastAsia"/>
        </w:rPr>
        <w:t>本文件起草单位：湖南省</w:t>
      </w:r>
      <w:r>
        <w:rPr>
          <w:rFonts w:hint="eastAsia"/>
          <w:lang w:val="en-US" w:eastAsia="zh-CN"/>
        </w:rPr>
        <w:t>植物保护</w:t>
      </w:r>
      <w:r>
        <w:rPr>
          <w:rFonts w:hint="eastAsia"/>
        </w:rPr>
        <w:t>研究所、湖南农业大学。</w:t>
      </w:r>
    </w:p>
    <w:p w14:paraId="07AB0B49">
      <w:pPr>
        <w:pStyle w:val="56"/>
        <w:ind w:firstLine="420"/>
        <w:rPr>
          <w:rFonts w:hint="eastAsia"/>
        </w:rPr>
      </w:pPr>
      <w:r>
        <w:rPr>
          <w:rFonts w:hint="eastAsia"/>
        </w:rPr>
        <w:t>本文件主要起草人：</w:t>
      </w:r>
      <w:r>
        <w:rPr>
          <w:rFonts w:hint="eastAsia"/>
          <w:lang w:eastAsia="zh-CN"/>
        </w:rPr>
        <w:t>王军志、</w:t>
      </w:r>
      <w:r>
        <w:rPr>
          <w:rFonts w:hint="eastAsia"/>
        </w:rPr>
        <w:t>潘浪、</w:t>
      </w:r>
      <w:r>
        <w:rPr>
          <w:rFonts w:hint="eastAsia"/>
          <w:lang w:eastAsia="zh-CN"/>
        </w:rPr>
        <w:t>柏连阳、</w:t>
      </w:r>
      <w:r>
        <w:rPr>
          <w:rFonts w:hint="eastAsia"/>
        </w:rPr>
        <w:t>刘敏、</w:t>
      </w:r>
      <w:r>
        <w:rPr>
          <w:rFonts w:hint="eastAsia"/>
          <w:lang w:val="en-US" w:eastAsia="zh-CN"/>
        </w:rPr>
        <w:t>严蓓、</w:t>
      </w:r>
      <w:bookmarkStart w:id="58" w:name="_GoBack"/>
      <w:bookmarkEnd w:id="58"/>
      <w:r>
        <w:rPr>
          <w:rFonts w:hint="eastAsia"/>
        </w:rPr>
        <w:t>邬腊梅、</w:t>
      </w:r>
      <w:r>
        <w:rPr>
          <w:rFonts w:hint="eastAsia"/>
          <w:lang w:eastAsia="zh-CN"/>
        </w:rPr>
        <w:t>罗姿、</w:t>
      </w:r>
      <w:r>
        <w:rPr>
          <w:rFonts w:hint="eastAsia"/>
          <w:lang w:val="en-US" w:eastAsia="zh-CN"/>
        </w:rPr>
        <w:t>刘姝、</w:t>
      </w:r>
      <w:r>
        <w:rPr>
          <w:rFonts w:hint="eastAsia"/>
          <w:lang w:eastAsia="zh-CN"/>
        </w:rPr>
        <w:t>杨锦</w:t>
      </w:r>
      <w:r>
        <w:rPr>
          <w:rFonts w:hint="eastAsia"/>
        </w:rPr>
        <w:t>。</w:t>
      </w:r>
    </w:p>
    <w:p w14:paraId="36DFBAE2">
      <w:pPr>
        <w:pStyle w:val="56"/>
        <w:ind w:firstLine="420"/>
      </w:pPr>
    </w:p>
    <w:p w14:paraId="59FBBA0C">
      <w:pPr>
        <w:pStyle w:val="56"/>
        <w:ind w:firstLine="420"/>
        <w:sectPr>
          <w:pgSz w:w="11906" w:h="16838"/>
          <w:pgMar w:top="1928" w:right="1134" w:bottom="1134" w:left="1134" w:header="1418" w:footer="1134" w:gutter="284"/>
          <w:pgNumType w:fmt="upperRoman"/>
          <w:cols w:space="425" w:num="1"/>
          <w:formProt w:val="0"/>
          <w:docGrid w:type="lines" w:linePitch="312" w:charSpace="0"/>
        </w:sectPr>
      </w:pPr>
    </w:p>
    <w:bookmarkEnd w:id="23"/>
    <w:p w14:paraId="5C1858F8">
      <w:pPr>
        <w:spacing w:line="20" w:lineRule="exact"/>
        <w:jc w:val="center"/>
        <w:rPr>
          <w:rFonts w:ascii="黑体" w:hAnsi="黑体" w:eastAsia="黑体"/>
          <w:sz w:val="32"/>
          <w:szCs w:val="32"/>
        </w:rPr>
      </w:pPr>
      <w:bookmarkStart w:id="24" w:name="BookMark4"/>
    </w:p>
    <w:p w14:paraId="4C3BB15A">
      <w:pPr>
        <w:spacing w:line="20" w:lineRule="exact"/>
        <w:jc w:val="center"/>
        <w:rPr>
          <w:rFonts w:ascii="黑体" w:hAnsi="黑体" w:eastAsia="黑体"/>
          <w:sz w:val="32"/>
          <w:szCs w:val="32"/>
        </w:rPr>
      </w:pPr>
    </w:p>
    <w:sdt>
      <w:sdtPr>
        <w:tag w:val="NEW_STAND_NAME"/>
        <w:id w:val="595910757"/>
        <w:lock w:val="sdtLocked"/>
        <w:placeholder>
          <w:docPart w:val="6DC4E63716124B0E87A792A7596AF9C3"/>
        </w:placeholder>
      </w:sdtPr>
      <w:sdtContent>
        <w:p w14:paraId="344B021F">
          <w:pPr>
            <w:pStyle w:val="177"/>
            <w:spacing w:before="3" w:beforeLines="1" w:after="686" w:afterLines="220"/>
          </w:pPr>
          <w:bookmarkStart w:id="25" w:name="NEW_STAND_NAME"/>
          <w:r>
            <w:rPr>
              <w:rFonts w:hint="eastAsia"/>
              <w:lang w:eastAsia="zh-CN"/>
            </w:rPr>
            <w:t>（</w:t>
          </w:r>
          <w:r>
            <w:rPr>
              <w:rFonts w:hint="eastAsia"/>
            </w:rPr>
            <w:t>HPPD</w:t>
          </w:r>
          <w:r>
            <w:rPr>
              <w:rFonts w:hint="eastAsia"/>
              <w:lang w:eastAsia="zh-CN"/>
            </w:rPr>
            <w:t>）</w:t>
          </w:r>
          <w:r>
            <w:rPr>
              <w:rFonts w:hint="eastAsia"/>
            </w:rPr>
            <w:t>抑制剂防治稻田杂草药效</w:t>
          </w:r>
          <w:r>
            <w:rPr>
              <w:rFonts w:hint="eastAsia"/>
              <w:lang w:val="en-US" w:eastAsia="zh-CN"/>
            </w:rPr>
            <w:t>评价操作</w:t>
          </w:r>
          <w:r>
            <w:rPr>
              <w:rFonts w:hint="eastAsia"/>
            </w:rPr>
            <w:t>技术规程</w:t>
          </w:r>
        </w:p>
      </w:sdtContent>
    </w:sdt>
    <w:bookmarkEnd w:id="25"/>
    <w:p w14:paraId="739F73CF">
      <w:pPr>
        <w:pStyle w:val="104"/>
        <w:spacing w:before="312" w:after="312"/>
      </w:pPr>
      <w:bookmarkStart w:id="26" w:name="_Toc26986530"/>
      <w:bookmarkStart w:id="27" w:name="_Toc97191423"/>
      <w:bookmarkStart w:id="28" w:name="_Toc26986771"/>
      <w:bookmarkStart w:id="29" w:name="_Toc26718930"/>
      <w:bookmarkStart w:id="30" w:name="_Toc24884218"/>
      <w:bookmarkStart w:id="31" w:name="_Toc17233325"/>
      <w:bookmarkStart w:id="32" w:name="_Toc4484"/>
      <w:bookmarkStart w:id="33" w:name="_Toc24884211"/>
      <w:bookmarkStart w:id="34" w:name="_Toc17233333"/>
      <w:bookmarkStart w:id="35" w:name="_Toc26648465"/>
      <w:r>
        <w:rPr>
          <w:rFonts w:hint="eastAsia"/>
        </w:rPr>
        <w:t>范围</w:t>
      </w:r>
      <w:bookmarkEnd w:id="26"/>
      <w:bookmarkEnd w:id="27"/>
      <w:bookmarkEnd w:id="28"/>
      <w:bookmarkEnd w:id="29"/>
      <w:bookmarkEnd w:id="30"/>
      <w:bookmarkEnd w:id="31"/>
      <w:bookmarkEnd w:id="32"/>
      <w:bookmarkEnd w:id="33"/>
      <w:bookmarkEnd w:id="34"/>
      <w:bookmarkEnd w:id="35"/>
    </w:p>
    <w:p w14:paraId="68353B32">
      <w:pPr>
        <w:pStyle w:val="56"/>
        <w:ind w:firstLine="420"/>
        <w:rPr>
          <w:rFonts w:hint="eastAsia"/>
        </w:rPr>
      </w:pPr>
      <w:bookmarkStart w:id="36" w:name="_Toc24884212"/>
      <w:bookmarkStart w:id="37" w:name="_Toc26648466"/>
      <w:bookmarkStart w:id="38" w:name="_Toc17233326"/>
      <w:bookmarkStart w:id="39" w:name="_Toc24884219"/>
      <w:bookmarkStart w:id="40" w:name="_Toc17233334"/>
      <w:r>
        <w:rPr>
          <w:rFonts w:hint="eastAsia"/>
        </w:rPr>
        <w:t>本文件规定了（HPPD）抑制剂防治稻田杂草</w:t>
      </w:r>
      <w:r>
        <w:rPr>
          <w:rFonts w:hint="eastAsia"/>
          <w:lang w:val="en-US" w:eastAsia="zh-CN"/>
        </w:rPr>
        <w:t>药效评价</w:t>
      </w:r>
      <w:r>
        <w:rPr>
          <w:rFonts w:hint="eastAsia"/>
        </w:rPr>
        <w:t>的</w:t>
      </w:r>
      <w:r>
        <w:rPr>
          <w:rFonts w:hint="eastAsia"/>
          <w:lang w:val="en-US" w:eastAsia="zh-CN"/>
        </w:rPr>
        <w:t>田间小区/大区试验的</w:t>
      </w:r>
      <w:r>
        <w:rPr>
          <w:rFonts w:hint="eastAsia"/>
        </w:rPr>
        <w:t>试验条件、试验设计、调查方法、药效计算、结果分析和报告撰写</w:t>
      </w:r>
      <w:r>
        <w:rPr>
          <w:rFonts w:hint="eastAsia"/>
          <w:lang w:val="en-US" w:eastAsia="zh-CN"/>
        </w:rPr>
        <w:t>的方法及基本要求</w:t>
      </w:r>
      <w:r>
        <w:rPr>
          <w:rFonts w:hint="eastAsia"/>
        </w:rPr>
        <w:t>。</w:t>
      </w:r>
    </w:p>
    <w:p w14:paraId="1A363714">
      <w:pPr>
        <w:pStyle w:val="56"/>
        <w:ind w:firstLine="420"/>
      </w:pPr>
      <w:r>
        <w:rPr>
          <w:rFonts w:hint="eastAsia"/>
        </w:rPr>
        <w:t>本文件适用于</w:t>
      </w:r>
      <w:r>
        <w:rPr>
          <w:rFonts w:hint="eastAsia"/>
          <w:lang w:eastAsia="zh-CN"/>
        </w:rPr>
        <w:t>（</w:t>
      </w:r>
      <w:r>
        <w:rPr>
          <w:rFonts w:hint="eastAsia"/>
        </w:rPr>
        <w:t>HPPD</w:t>
      </w:r>
      <w:r>
        <w:rPr>
          <w:rFonts w:hint="eastAsia"/>
          <w:lang w:eastAsia="zh-CN"/>
        </w:rPr>
        <w:t>）</w:t>
      </w:r>
      <w:r>
        <w:rPr>
          <w:rFonts w:hint="eastAsia"/>
        </w:rPr>
        <w:t>抑制剂（包括单剂及复配制剂）在</w:t>
      </w:r>
      <w:r>
        <w:rPr>
          <w:rFonts w:hint="eastAsia"/>
          <w:lang w:val="en-US" w:eastAsia="zh-CN"/>
        </w:rPr>
        <w:t>水稻移栽田（机插秧、人工移栽）、抛秧田、直播田（水直播、旱直播）中</w:t>
      </w:r>
      <w:r>
        <w:rPr>
          <w:rFonts w:hint="eastAsia"/>
        </w:rPr>
        <w:t>防治杂草</w:t>
      </w:r>
      <w:r>
        <w:rPr>
          <w:rFonts w:hint="eastAsia"/>
          <w:lang w:val="en-US" w:eastAsia="zh-CN"/>
        </w:rPr>
        <w:t>的药效及安全性评价</w:t>
      </w:r>
      <w:r>
        <w:rPr>
          <w:rFonts w:hint="eastAsia"/>
        </w:rPr>
        <w:t>。</w:t>
      </w:r>
    </w:p>
    <w:p w14:paraId="49CCAE6B">
      <w:pPr>
        <w:pStyle w:val="104"/>
        <w:spacing w:before="312" w:after="312"/>
      </w:pPr>
      <w:bookmarkStart w:id="41" w:name="_Toc26718931"/>
      <w:bookmarkStart w:id="42" w:name="_Toc97191424"/>
      <w:bookmarkStart w:id="43" w:name="_Toc26986531"/>
      <w:bookmarkStart w:id="44" w:name="_Toc14422"/>
      <w:bookmarkStart w:id="45" w:name="_Toc26986772"/>
      <w:r>
        <w:rPr>
          <w:rFonts w:hint="eastAsia"/>
        </w:rPr>
        <w:t>规范性引用文件</w:t>
      </w:r>
      <w:bookmarkEnd w:id="36"/>
      <w:bookmarkEnd w:id="37"/>
      <w:bookmarkEnd w:id="38"/>
      <w:bookmarkEnd w:id="39"/>
      <w:bookmarkEnd w:id="40"/>
      <w:bookmarkEnd w:id="41"/>
      <w:bookmarkEnd w:id="42"/>
      <w:bookmarkEnd w:id="43"/>
      <w:bookmarkEnd w:id="44"/>
      <w:bookmarkEnd w:id="45"/>
    </w:p>
    <w:sdt>
      <w:sdtPr>
        <w:rPr>
          <w:rFonts w:hint="eastAsia"/>
        </w:rPr>
        <w:id w:val="715848253"/>
        <w:placeholder>
          <w:docPart w:val="746C9B5C64D44C0384CD31B48C4A748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755C7CC2">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2D9D96F">
      <w:pPr>
        <w:ind w:firstLine="420" w:firstLineChars="200"/>
        <w:rPr>
          <w:rFonts w:hint="eastAsia"/>
        </w:rPr>
      </w:pPr>
      <w:r>
        <w:rPr>
          <w:rFonts w:hint="eastAsia" w:ascii="宋体" w:hAnsi="Times New Roman" w:eastAsia="宋体" w:cs="Times New Roman"/>
          <w:kern w:val="0"/>
          <w:sz w:val="21"/>
          <w:szCs w:val="20"/>
          <w:lang w:val="en-US" w:eastAsia="zh-CN" w:bidi="ar-SA"/>
        </w:rPr>
        <w:t>GB/T 17980.4</w:t>
      </w:r>
      <w:r>
        <w:rPr>
          <w:rFonts w:hint="eastAsia" w:ascii="宋体" w:hAnsi="Times New Roman" w:cs="Times New Roman"/>
          <w:kern w:val="0"/>
          <w:sz w:val="21"/>
          <w:szCs w:val="20"/>
          <w:lang w:val="en-US" w:eastAsia="zh-CN" w:bidi="ar-SA"/>
        </w:rPr>
        <w:t>0</w:t>
      </w:r>
      <w:r>
        <w:rPr>
          <w:rFonts w:hint="eastAsia" w:ascii="宋体" w:hAnsi="Times New Roman" w:eastAsia="宋体" w:cs="Times New Roman"/>
          <w:kern w:val="0"/>
          <w:sz w:val="21"/>
          <w:szCs w:val="20"/>
          <w:lang w:val="en-US" w:eastAsia="zh-CN" w:bidi="ar-SA"/>
        </w:rPr>
        <w:t xml:space="preserve"> </w:t>
      </w:r>
      <w:r>
        <w:rPr>
          <w:rFonts w:hint="eastAsia"/>
        </w:rPr>
        <w:t>农药田间药效试验准则（一）除草剂防治水稻田杂草</w:t>
      </w:r>
    </w:p>
    <w:p w14:paraId="33E333E5">
      <w:pPr>
        <w:pStyle w:val="56"/>
        <w:ind w:firstLine="420"/>
      </w:pPr>
      <w:r>
        <w:rPr>
          <w:rFonts w:hint="eastAsia"/>
        </w:rPr>
        <w:t>NY/T 1464 农药田间药效试验准则</w:t>
      </w:r>
    </w:p>
    <w:p w14:paraId="04936310">
      <w:pPr>
        <w:pStyle w:val="104"/>
        <w:spacing w:before="312" w:after="312"/>
      </w:pPr>
      <w:bookmarkStart w:id="46" w:name="_Toc22755"/>
      <w:bookmarkStart w:id="47" w:name="_Toc97191425"/>
      <w:r>
        <w:rPr>
          <w:rFonts w:hint="eastAsia"/>
          <w:szCs w:val="21"/>
        </w:rPr>
        <w:t>术语和定义</w:t>
      </w:r>
      <w:bookmarkEnd w:id="46"/>
      <w:bookmarkEnd w:id="47"/>
    </w:p>
    <w:sdt>
      <w:sdtPr>
        <w:id w:val="-1909835108"/>
        <w:placeholder>
          <w:docPart w:val="8BAED8ED483D417EAFEAD8D8F56CDE1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40E4B48">
          <w:pPr>
            <w:pStyle w:val="56"/>
            <w:ind w:firstLine="420"/>
          </w:pPr>
          <w:bookmarkStart w:id="48" w:name="_Toc26986532"/>
          <w:bookmarkEnd w:id="48"/>
          <w:r>
            <w:rPr>
              <w:rFonts w:hint="eastAsia"/>
            </w:rPr>
            <w:t>下列术语和定义适用于本文件。</w:t>
          </w:r>
        </w:p>
      </w:sdtContent>
    </w:sdt>
    <w:p w14:paraId="24DD912B">
      <w:pPr>
        <w:pStyle w:val="105"/>
        <w:spacing w:before="156" w:after="156"/>
      </w:pPr>
      <w:r>
        <w:rPr>
          <w:rFonts w:hint="eastAsia"/>
          <w:lang w:eastAsia="zh-CN"/>
        </w:rPr>
        <w:t>（</w:t>
      </w:r>
      <w:r>
        <w:rPr>
          <w:rFonts w:hint="eastAsia"/>
        </w:rPr>
        <w:t>HPPD</w:t>
      </w:r>
      <w:r>
        <w:rPr>
          <w:rFonts w:hint="eastAsia"/>
          <w:lang w:eastAsia="zh-CN"/>
        </w:rPr>
        <w:t>）</w:t>
      </w:r>
      <w:r>
        <w:rPr>
          <w:rFonts w:hint="eastAsia"/>
        </w:rPr>
        <w:t>抑制剂 HPPD-inhibit</w:t>
      </w:r>
      <w:r>
        <w:rPr>
          <w:rFonts w:hint="eastAsia"/>
          <w:lang w:val="en-US" w:eastAsia="zh-CN"/>
        </w:rPr>
        <w:t>or</w:t>
      </w:r>
    </w:p>
    <w:p w14:paraId="45777E22">
      <w:pPr>
        <w:pStyle w:val="56"/>
        <w:ind w:firstLine="420"/>
      </w:pPr>
      <w:r>
        <w:rPr>
          <w:rFonts w:hint="eastAsia"/>
        </w:rPr>
        <w:t>以抑制植物体内对羟苯基丙酮酸双氧化酶（HPPD）为作用机理的</w:t>
      </w:r>
      <w:r>
        <w:rPr>
          <w:rFonts w:hint="eastAsia"/>
          <w:lang w:val="en-US" w:eastAsia="zh-CN"/>
        </w:rPr>
        <w:t>一类</w:t>
      </w:r>
      <w:r>
        <w:rPr>
          <w:rFonts w:hint="eastAsia"/>
        </w:rPr>
        <w:t>除草剂，通过中断质体醌和生育酚的合成，导致</w:t>
      </w:r>
      <w:r>
        <w:rPr>
          <w:rFonts w:hint="eastAsia"/>
          <w:lang w:val="en-US" w:eastAsia="zh-CN"/>
        </w:rPr>
        <w:t>杂草</w:t>
      </w:r>
      <w:r>
        <w:rPr>
          <w:rFonts w:hint="eastAsia"/>
        </w:rPr>
        <w:t>白化、失绿，</w:t>
      </w:r>
      <w:r>
        <w:rPr>
          <w:rFonts w:hint="eastAsia"/>
          <w:lang w:val="en-US" w:eastAsia="zh-CN"/>
        </w:rPr>
        <w:t>生长受到抑制并</w:t>
      </w:r>
      <w:r>
        <w:rPr>
          <w:rFonts w:hint="eastAsia"/>
        </w:rPr>
        <w:t>最终死亡。</w:t>
      </w:r>
      <w:r>
        <w:rPr>
          <w:rFonts w:hint="eastAsia"/>
          <w:lang w:val="en-US" w:eastAsia="zh-CN"/>
        </w:rPr>
        <w:t>水稻田</w:t>
      </w:r>
      <w:r>
        <w:rPr>
          <w:rFonts w:hint="eastAsia"/>
        </w:rPr>
        <w:t>常见（HPPD）</w:t>
      </w:r>
      <w:r>
        <w:rPr>
          <w:rFonts w:hint="eastAsia"/>
          <w:lang w:val="en-US" w:eastAsia="zh-CN"/>
        </w:rPr>
        <w:t>抑制剂</w:t>
      </w:r>
      <w:r>
        <w:rPr>
          <w:rFonts w:hint="eastAsia"/>
        </w:rPr>
        <w:t>有效成分</w:t>
      </w:r>
      <w:r>
        <w:rPr>
          <w:rFonts w:hint="eastAsia"/>
          <w:lang w:val="en-US" w:eastAsia="zh-CN"/>
        </w:rPr>
        <w:t>见附录A</w:t>
      </w:r>
      <w:r>
        <w:rPr>
          <w:rFonts w:hint="eastAsia"/>
        </w:rPr>
        <w:t>。</w:t>
      </w:r>
    </w:p>
    <w:p w14:paraId="1E07CBFD">
      <w:pPr>
        <w:pStyle w:val="105"/>
        <w:spacing w:before="156" w:after="156"/>
      </w:pPr>
      <w:r>
        <w:rPr>
          <w:rFonts w:hint="eastAsia"/>
          <w:lang w:val="en-US" w:eastAsia="zh-CN"/>
        </w:rPr>
        <w:t>田间药效试验</w:t>
      </w:r>
      <w:r>
        <w:rPr>
          <w:rFonts w:hint="eastAsia"/>
        </w:rPr>
        <w:t xml:space="preserve"> </w:t>
      </w:r>
      <w:r>
        <w:rPr>
          <w:rFonts w:hint="eastAsia"/>
          <w:lang w:val="en-US" w:eastAsia="zh-CN"/>
        </w:rPr>
        <w:t>Field efficacy trials</w:t>
      </w:r>
    </w:p>
    <w:p w14:paraId="24462405">
      <w:pPr>
        <w:pStyle w:val="56"/>
        <w:ind w:firstLine="420"/>
        <w:rPr>
          <w:rFonts w:hint="eastAsia"/>
        </w:rPr>
      </w:pPr>
      <w:r>
        <w:rPr>
          <w:rFonts w:hint="eastAsia"/>
          <w:lang w:val="en-US" w:eastAsia="zh-CN"/>
        </w:rPr>
        <w:t>在室内毒力测定的基础上，在完全开放的自然条件下，检验某种农药防治某种有害生物的实际效果，评价其是否具有推广应用价值的主要环节</w:t>
      </w:r>
      <w:r>
        <w:rPr>
          <w:rFonts w:hint="eastAsia"/>
        </w:rPr>
        <w:t>。</w:t>
      </w:r>
    </w:p>
    <w:p w14:paraId="4E39FA77">
      <w:pPr>
        <w:pStyle w:val="105"/>
        <w:spacing w:before="156" w:after="156"/>
      </w:pPr>
      <w:r>
        <w:rPr>
          <w:rFonts w:hint="eastAsia"/>
          <w:lang w:val="en-US" w:eastAsia="zh-CN"/>
        </w:rPr>
        <w:t>药害 Phytotoxicity</w:t>
      </w:r>
    </w:p>
    <w:p w14:paraId="0C854CF5">
      <w:pPr>
        <w:pStyle w:val="56"/>
        <w:ind w:firstLine="420"/>
        <w:rPr>
          <w:rFonts w:hint="eastAsia"/>
        </w:rPr>
      </w:pPr>
      <w:r>
        <w:rPr>
          <w:rFonts w:hint="eastAsia"/>
          <w:lang w:val="en-US" w:eastAsia="zh-CN"/>
        </w:rPr>
        <w:t>农药使用不当而影响敏感植物正常生长发育的现象</w:t>
      </w:r>
      <w:r>
        <w:rPr>
          <w:rFonts w:hint="eastAsia"/>
        </w:rPr>
        <w:t>。</w:t>
      </w:r>
    </w:p>
    <w:p w14:paraId="08EA6FA8">
      <w:pPr>
        <w:pStyle w:val="104"/>
        <w:spacing w:before="312" w:after="312"/>
      </w:pPr>
      <w:bookmarkStart w:id="49" w:name="_Toc31841"/>
      <w:r>
        <w:rPr>
          <w:rFonts w:hint="eastAsia"/>
          <w:lang w:val="en-US" w:eastAsia="zh-CN"/>
        </w:rPr>
        <w:t>试验条件</w:t>
      </w:r>
      <w:bookmarkEnd w:id="49"/>
    </w:p>
    <w:p w14:paraId="66E13045">
      <w:pPr>
        <w:pStyle w:val="105"/>
        <w:spacing w:before="156" w:after="156"/>
      </w:pPr>
      <w:r>
        <w:rPr>
          <w:rFonts w:hint="eastAsia"/>
          <w:lang w:val="en-US" w:eastAsia="zh-CN"/>
        </w:rPr>
        <w:t>试验对象</w:t>
      </w:r>
    </w:p>
    <w:p w14:paraId="6F64753E">
      <w:pPr>
        <w:pStyle w:val="56"/>
        <w:ind w:firstLine="420"/>
        <w:rPr>
          <w:rFonts w:hint="eastAsia"/>
        </w:rPr>
      </w:pPr>
      <w:r>
        <w:rPr>
          <w:rFonts w:hint="eastAsia"/>
        </w:rPr>
        <w:t>应明确靶标杂草的种类，重点关注湖南省水稻田常见杂草，如稗草（</w:t>
      </w:r>
      <w:r>
        <w:rPr>
          <w:rFonts w:hint="eastAsia"/>
          <w:i/>
          <w:highlight w:val="none"/>
        </w:rPr>
        <w:t>Echinochloa crusgalli</w:t>
      </w:r>
      <w:r>
        <w:rPr>
          <w:rFonts w:hint="eastAsia"/>
          <w:highlight w:val="none"/>
        </w:rPr>
        <w:t>(L.)</w:t>
      </w:r>
      <w:r>
        <w:rPr>
          <w:rFonts w:hint="eastAsia"/>
          <w:highlight w:val="none"/>
          <w:lang w:val="en-US" w:eastAsia="zh-CN"/>
        </w:rPr>
        <w:t>P.</w:t>
      </w:r>
      <w:r>
        <w:rPr>
          <w:rFonts w:hint="eastAsia"/>
          <w:highlight w:val="none"/>
        </w:rPr>
        <w:t xml:space="preserve"> Beauv.</w:t>
      </w:r>
      <w:r>
        <w:rPr>
          <w:rFonts w:hint="eastAsia"/>
        </w:rPr>
        <w:t>）、千金子（</w:t>
      </w:r>
      <w:r>
        <w:rPr>
          <w:rFonts w:hint="eastAsia"/>
          <w:i/>
        </w:rPr>
        <w:t>Leptochloa chinensis</w:t>
      </w:r>
      <w:r>
        <w:rPr>
          <w:rFonts w:hint="eastAsia"/>
        </w:rPr>
        <w:t xml:space="preserve"> (L.) Nees）、鸭舌草（</w:t>
      </w:r>
      <w:r>
        <w:rPr>
          <w:rFonts w:hint="eastAsia"/>
          <w:i/>
          <w:iCs/>
        </w:rPr>
        <w:t>Pontederia vaginalis</w:t>
      </w:r>
      <w:r>
        <w:rPr>
          <w:rFonts w:hint="eastAsia"/>
        </w:rPr>
        <w:t xml:space="preserve"> Burm. f.）、</w:t>
      </w:r>
      <w:r>
        <w:rPr>
          <w:rFonts w:hint="eastAsia"/>
          <w:lang w:val="en-US" w:eastAsia="zh-CN"/>
        </w:rPr>
        <w:t>丁香蓼（</w:t>
      </w:r>
      <w:r>
        <w:rPr>
          <w:rFonts w:hint="eastAsia"/>
          <w:i/>
          <w:iCs/>
          <w:lang w:val="en-US" w:eastAsia="zh-CN"/>
        </w:rPr>
        <w:t>Ludwigia prostrata</w:t>
      </w:r>
      <w:r>
        <w:rPr>
          <w:rFonts w:hint="eastAsia"/>
          <w:lang w:val="en-US" w:eastAsia="zh-CN"/>
        </w:rPr>
        <w:t xml:space="preserve"> Roxb.）、鳢肠（</w:t>
      </w:r>
      <w:r>
        <w:rPr>
          <w:rFonts w:hint="eastAsia"/>
          <w:i/>
          <w:iCs/>
          <w:lang w:val="en-US" w:eastAsia="zh-CN"/>
        </w:rPr>
        <w:t>Eclipta prostrata</w:t>
      </w:r>
      <w:r>
        <w:rPr>
          <w:rFonts w:hint="eastAsia"/>
          <w:lang w:val="en-US" w:eastAsia="zh-CN"/>
        </w:rPr>
        <w:t xml:space="preserve"> (L.) L.）、耳基水苋菜（</w:t>
      </w:r>
      <w:r>
        <w:rPr>
          <w:rFonts w:hint="eastAsia"/>
          <w:i/>
          <w:iCs/>
          <w:lang w:val="en-US" w:eastAsia="zh-CN"/>
        </w:rPr>
        <w:t>Ammannia auriculata</w:t>
      </w:r>
      <w:r>
        <w:rPr>
          <w:rFonts w:hint="eastAsia"/>
          <w:lang w:val="en-US" w:eastAsia="zh-CN"/>
        </w:rPr>
        <w:t xml:space="preserve"> Willd.）、</w:t>
      </w:r>
      <w:r>
        <w:rPr>
          <w:rFonts w:hint="eastAsia"/>
        </w:rPr>
        <w:t>异型莎草（</w:t>
      </w:r>
      <w:r>
        <w:rPr>
          <w:rFonts w:hint="eastAsia"/>
          <w:i/>
          <w:iCs/>
        </w:rPr>
        <w:t>Cyperus difformis</w:t>
      </w:r>
      <w:r>
        <w:rPr>
          <w:rFonts w:hint="eastAsia"/>
        </w:rPr>
        <w:t xml:space="preserve"> L.）</w:t>
      </w:r>
      <w:r>
        <w:rPr>
          <w:rFonts w:hint="eastAsia"/>
          <w:lang w:eastAsia="zh-CN"/>
        </w:rPr>
        <w:t>、</w:t>
      </w:r>
      <w:r>
        <w:rPr>
          <w:rFonts w:hint="eastAsia"/>
          <w:lang w:val="en-US" w:eastAsia="zh-CN"/>
        </w:rPr>
        <w:t>碎米莎草（</w:t>
      </w:r>
      <w:r>
        <w:rPr>
          <w:rFonts w:hint="eastAsia"/>
          <w:i/>
          <w:iCs/>
          <w:lang w:val="en-US" w:eastAsia="zh-CN"/>
        </w:rPr>
        <w:t>Cyperus iria</w:t>
      </w:r>
      <w:r>
        <w:rPr>
          <w:rFonts w:hint="eastAsia"/>
          <w:lang w:val="en-US" w:eastAsia="zh-CN"/>
        </w:rPr>
        <w:t xml:space="preserve"> L.）</w:t>
      </w:r>
      <w:r>
        <w:rPr>
          <w:rFonts w:hint="eastAsia"/>
        </w:rPr>
        <w:t>等。</w:t>
      </w:r>
    </w:p>
    <w:p w14:paraId="565DB4A8">
      <w:pPr>
        <w:pStyle w:val="56"/>
        <w:ind w:firstLine="420"/>
        <w:rPr>
          <w:rFonts w:hint="eastAsia"/>
        </w:rPr>
      </w:pPr>
      <w:r>
        <w:rPr>
          <w:rFonts w:hint="eastAsia"/>
        </w:rPr>
        <w:t>试验地杂草种群须有代表性，应包含当地主要的靶标杂草，且密度适中</w:t>
      </w:r>
      <w:r>
        <w:rPr>
          <w:rFonts w:hint="eastAsia"/>
          <w:lang w:eastAsia="zh-CN"/>
        </w:rPr>
        <w:t>，</w:t>
      </w:r>
      <w:r>
        <w:rPr>
          <w:rFonts w:hint="eastAsia"/>
        </w:rPr>
        <w:t>主要杂草不少于30 株/m</w:t>
      </w:r>
      <w:r>
        <w:rPr>
          <w:rFonts w:hint="eastAsia"/>
          <w:vertAlign w:val="superscript"/>
        </w:rPr>
        <w:t>2</w:t>
      </w:r>
      <w:r>
        <w:rPr>
          <w:rFonts w:hint="eastAsia"/>
        </w:rPr>
        <w:t>，且数量分布要均匀一致，杂草基数低时要进行人工接种。杂草群落组成必须同试验</w:t>
      </w:r>
      <w:r>
        <w:rPr>
          <w:rFonts w:hint="eastAsia"/>
          <w:lang w:eastAsia="zh-CN"/>
        </w:rPr>
        <w:t>（</w:t>
      </w:r>
      <w:r>
        <w:rPr>
          <w:rFonts w:hint="eastAsia"/>
          <w:lang w:val="en-US" w:eastAsia="zh-CN"/>
        </w:rPr>
        <w:t>HPPD</w:t>
      </w:r>
      <w:r>
        <w:rPr>
          <w:rFonts w:hint="eastAsia"/>
          <w:lang w:eastAsia="zh-CN"/>
        </w:rPr>
        <w:t>）</w:t>
      </w:r>
      <w:r>
        <w:rPr>
          <w:rFonts w:hint="eastAsia"/>
          <w:lang w:val="en-US" w:eastAsia="zh-CN"/>
        </w:rPr>
        <w:t>抑制剂类除草剂</w:t>
      </w:r>
      <w:r>
        <w:rPr>
          <w:rFonts w:hint="eastAsia"/>
        </w:rPr>
        <w:t>的杀草谱相一致(禾本科</w:t>
      </w:r>
      <w:r>
        <w:rPr>
          <w:rFonts w:hint="eastAsia"/>
          <w:lang w:val="en-US" w:eastAsia="zh-CN"/>
        </w:rPr>
        <w:t>/阔叶/</w:t>
      </w:r>
      <w:r>
        <w:rPr>
          <w:rFonts w:hint="eastAsia"/>
        </w:rPr>
        <w:t>莎草，一年生</w:t>
      </w:r>
      <w:r>
        <w:rPr>
          <w:rFonts w:hint="eastAsia"/>
          <w:lang w:val="en-US" w:eastAsia="zh-CN"/>
        </w:rPr>
        <w:t>/</w:t>
      </w:r>
      <w:r>
        <w:rPr>
          <w:rFonts w:hint="eastAsia"/>
        </w:rPr>
        <w:t>多年生)，记录各种杂草的中文名及拉丁学名。</w:t>
      </w:r>
    </w:p>
    <w:p w14:paraId="12C84828">
      <w:pPr>
        <w:pStyle w:val="105"/>
        <w:spacing w:before="156" w:after="156"/>
      </w:pPr>
      <w:r>
        <w:rPr>
          <w:rFonts w:hint="eastAsia"/>
          <w:lang w:val="en-US" w:eastAsia="zh-CN"/>
        </w:rPr>
        <w:t>试验作物</w:t>
      </w:r>
    </w:p>
    <w:p w14:paraId="3E28594B">
      <w:pPr>
        <w:pStyle w:val="56"/>
        <w:ind w:firstLine="420"/>
      </w:pPr>
      <w:r>
        <w:rPr>
          <w:rFonts w:hint="eastAsia"/>
          <w:lang w:val="en-US" w:eastAsia="zh-CN"/>
        </w:rPr>
        <w:t>水稻，应明确水稻类别（常规稻/杂交稻，粳稻/籼稻），并记录水稻品种名称、栽培方式（机插秧、人工移栽、抛秧、水直播、旱直播等）及种植密度等，尽量选择当地广泛种植的水稻品种</w:t>
      </w:r>
      <w:r>
        <w:rPr>
          <w:rFonts w:hint="eastAsia"/>
        </w:rPr>
        <w:t>。</w:t>
      </w:r>
    </w:p>
    <w:p w14:paraId="0BA17083">
      <w:pPr>
        <w:pStyle w:val="105"/>
        <w:spacing w:before="156" w:after="156"/>
      </w:pPr>
      <w:r>
        <w:rPr>
          <w:rFonts w:hint="eastAsia"/>
          <w:lang w:val="en-US" w:eastAsia="zh-CN"/>
        </w:rPr>
        <w:t>试验地选择</w:t>
      </w:r>
    </w:p>
    <w:p w14:paraId="379D08F2">
      <w:pPr>
        <w:pStyle w:val="56"/>
        <w:ind w:firstLine="420"/>
        <w:rPr>
          <w:rFonts w:hint="eastAsia"/>
        </w:rPr>
      </w:pPr>
      <w:r>
        <w:rPr>
          <w:rFonts w:hint="eastAsia"/>
        </w:rPr>
        <w:t>选择在湖南省内有代表性的主要稻作区（如湘北、湘中、湘南）进行。试验地应地势平坦、肥力均匀、</w:t>
      </w:r>
      <w:r>
        <w:rPr>
          <w:rFonts w:hint="eastAsia"/>
          <w:lang w:val="en-US" w:eastAsia="zh-CN"/>
        </w:rPr>
        <w:t>排灌方便，记录整地的时间和方法。记录前茬作物及前茬除草剂使用情况，避免选择用过对后茬水稻有药害作用的除草剂的地块。</w:t>
      </w:r>
    </w:p>
    <w:p w14:paraId="39005966">
      <w:pPr>
        <w:pStyle w:val="105"/>
        <w:spacing w:before="156" w:after="156"/>
      </w:pPr>
      <w:r>
        <w:rPr>
          <w:rFonts w:hint="eastAsia"/>
          <w:lang w:val="en-US" w:eastAsia="zh-CN"/>
        </w:rPr>
        <w:t>栽培条件</w:t>
      </w:r>
    </w:p>
    <w:p w14:paraId="44A71A48">
      <w:pPr>
        <w:pStyle w:val="56"/>
        <w:ind w:firstLine="420"/>
        <w:rPr>
          <w:rFonts w:hint="eastAsia"/>
          <w:lang w:val="en-US" w:eastAsia="zh-CN"/>
        </w:rPr>
      </w:pPr>
      <w:r>
        <w:rPr>
          <w:rFonts w:hint="eastAsia"/>
        </w:rPr>
        <w:t>所有试验小区的栽培条件（如土壤类型、</w:t>
      </w:r>
      <w:r>
        <w:rPr>
          <w:rFonts w:hint="eastAsia"/>
          <w:lang w:val="en-US" w:eastAsia="zh-CN"/>
        </w:rPr>
        <w:t>有机质含量、pH值、</w:t>
      </w:r>
      <w:r>
        <w:rPr>
          <w:rFonts w:hint="eastAsia"/>
        </w:rPr>
        <w:t>施肥、耕作、育秧、移栽或直播方式、水层管理等）应均匀一致，且符合当地科学的农业实践。</w:t>
      </w:r>
      <w:r>
        <w:rPr>
          <w:rFonts w:hint="eastAsia"/>
          <w:lang w:val="en-US" w:eastAsia="zh-CN"/>
        </w:rPr>
        <w:t>移栽/插秧田</w:t>
      </w:r>
      <w:r>
        <w:rPr>
          <w:rFonts w:ascii="Times New Roman" w:hAnsi="Times New Roman"/>
          <w:szCs w:val="21"/>
        </w:rPr>
        <w:t>定穴定株</w:t>
      </w:r>
      <w:r>
        <w:rPr>
          <w:rFonts w:hint="eastAsia"/>
          <w:lang w:val="en-US" w:eastAsia="zh-CN"/>
        </w:rPr>
        <w:t>，直播田和秧田定量播种，并确保播种均匀，栽培措施</w:t>
      </w:r>
      <w:r>
        <w:rPr>
          <w:rFonts w:ascii="Times New Roman" w:hAnsi="Times New Roman"/>
          <w:szCs w:val="21"/>
        </w:rPr>
        <w:t>符合当地生产实际</w:t>
      </w:r>
      <w:r>
        <w:rPr>
          <w:rFonts w:hint="eastAsia"/>
          <w:lang w:val="en-US" w:eastAsia="zh-CN"/>
        </w:rPr>
        <w:t>。</w:t>
      </w:r>
    </w:p>
    <w:p w14:paraId="7D07A0CD">
      <w:pPr>
        <w:pStyle w:val="56"/>
        <w:ind w:firstLine="420"/>
        <w:rPr>
          <w:rFonts w:hint="eastAsia"/>
        </w:rPr>
      </w:pPr>
      <w:r>
        <w:rPr>
          <w:rFonts w:hint="eastAsia"/>
        </w:rPr>
        <w:t>试验期间应记录温度、降水量、日照等气象数据。特别注意</w:t>
      </w:r>
      <w:r>
        <w:rPr>
          <w:rFonts w:hint="eastAsia"/>
          <w:lang w:eastAsia="zh-CN"/>
        </w:rPr>
        <w:t>（</w:t>
      </w:r>
      <w:r>
        <w:rPr>
          <w:rFonts w:hint="eastAsia"/>
        </w:rPr>
        <w:t>HPPD</w:t>
      </w:r>
      <w:r>
        <w:rPr>
          <w:rFonts w:hint="eastAsia"/>
          <w:lang w:eastAsia="zh-CN"/>
        </w:rPr>
        <w:t>）</w:t>
      </w:r>
      <w:r>
        <w:rPr>
          <w:rFonts w:hint="eastAsia"/>
        </w:rPr>
        <w:t>抑制剂药效与</w:t>
      </w:r>
      <w:r>
        <w:rPr>
          <w:rFonts w:hint="eastAsia"/>
          <w:lang w:val="en-US" w:eastAsia="zh-CN"/>
        </w:rPr>
        <w:t>日</w:t>
      </w:r>
      <w:r>
        <w:rPr>
          <w:rFonts w:hint="eastAsia"/>
        </w:rPr>
        <w:t>照强度密切相关</w:t>
      </w:r>
      <w:r>
        <w:rPr>
          <w:rFonts w:hint="eastAsia"/>
          <w:lang w:eastAsia="zh-CN"/>
        </w:rPr>
        <w:t>，</w:t>
      </w:r>
      <w:r>
        <w:rPr>
          <w:rFonts w:hint="eastAsia"/>
          <w:lang w:val="en-US" w:eastAsia="zh-CN"/>
        </w:rPr>
        <w:t>应详细记载日照强度以便于后续结果分析</w:t>
      </w:r>
      <w:r>
        <w:rPr>
          <w:rFonts w:hint="eastAsia"/>
        </w:rPr>
        <w:t>。</w:t>
      </w:r>
    </w:p>
    <w:p w14:paraId="20FD8160">
      <w:pPr>
        <w:pStyle w:val="104"/>
        <w:spacing w:before="312" w:after="312"/>
      </w:pPr>
      <w:bookmarkStart w:id="50" w:name="_Toc30182"/>
      <w:r>
        <w:rPr>
          <w:rFonts w:hint="eastAsia"/>
          <w:lang w:val="en-US" w:eastAsia="zh-CN"/>
        </w:rPr>
        <w:t>试验设计与安排</w:t>
      </w:r>
      <w:bookmarkEnd w:id="50"/>
    </w:p>
    <w:p w14:paraId="3FEA7F8F">
      <w:pPr>
        <w:pStyle w:val="105"/>
        <w:spacing w:before="156" w:after="156"/>
      </w:pPr>
      <w:r>
        <w:rPr>
          <w:rFonts w:hint="eastAsia"/>
          <w:lang w:val="en-US" w:eastAsia="zh-CN"/>
        </w:rPr>
        <w:t>药剂</w:t>
      </w:r>
    </w:p>
    <w:p w14:paraId="7EB83BF3">
      <w:pPr>
        <w:pStyle w:val="65"/>
        <w:spacing w:before="156" w:after="156"/>
      </w:pPr>
      <w:r>
        <w:rPr>
          <w:rFonts w:hint="eastAsia"/>
          <w:lang w:val="en-US" w:eastAsia="zh-CN"/>
        </w:rPr>
        <w:t>试验药剂</w:t>
      </w:r>
    </w:p>
    <w:p w14:paraId="3DBA5D22">
      <w:pPr>
        <w:pStyle w:val="56"/>
        <w:ind w:firstLine="420"/>
        <w:rPr>
          <w:rFonts w:hint="eastAsia"/>
        </w:rPr>
      </w:pPr>
      <w:r>
        <w:rPr>
          <w:rFonts w:hint="eastAsia"/>
        </w:rPr>
        <w:t>注明供试药剂的商品名/代号、</w:t>
      </w:r>
      <w:r>
        <w:rPr>
          <w:rFonts w:hint="eastAsia"/>
          <w:lang w:val="en-US" w:eastAsia="zh-CN"/>
        </w:rPr>
        <w:t>中文</w:t>
      </w:r>
      <w:r>
        <w:rPr>
          <w:rFonts w:hint="eastAsia"/>
        </w:rPr>
        <w:t>通用名、</w:t>
      </w:r>
      <w:r>
        <w:rPr>
          <w:rFonts w:hint="eastAsia"/>
          <w:lang w:val="en-US" w:eastAsia="zh-CN"/>
        </w:rPr>
        <w:t>有效成分</w:t>
      </w:r>
      <w:r>
        <w:rPr>
          <w:rFonts w:hint="eastAsia"/>
        </w:rPr>
        <w:t>含量、剂型、生产企业和生产批号。</w:t>
      </w:r>
    </w:p>
    <w:p w14:paraId="5C23C46C">
      <w:pPr>
        <w:pStyle w:val="56"/>
        <w:ind w:firstLine="420"/>
        <w:rPr>
          <w:rFonts w:hint="eastAsia"/>
        </w:rPr>
      </w:pPr>
      <w:r>
        <w:rPr>
          <w:rFonts w:hint="eastAsia"/>
        </w:rPr>
        <w:t>田间药效小区试验的试验药剂处理原则</w:t>
      </w:r>
      <w:r>
        <w:rPr>
          <w:rFonts w:hint="eastAsia"/>
          <w:lang w:val="en-US" w:eastAsia="zh-CN"/>
        </w:rPr>
        <w:t>上</w:t>
      </w:r>
      <w:r>
        <w:rPr>
          <w:rFonts w:hint="eastAsia"/>
        </w:rPr>
        <w:t>设高、中、低及中量的倍量</w:t>
      </w:r>
      <w:r>
        <w:rPr>
          <w:rFonts w:hint="eastAsia"/>
          <w:lang w:eastAsia="zh-CN"/>
        </w:rPr>
        <w:t>（</w:t>
      </w:r>
      <w:r>
        <w:rPr>
          <w:rFonts w:hint="eastAsia"/>
          <w:lang w:val="en-US" w:eastAsia="zh-CN"/>
        </w:rPr>
        <w:t>中量的倍量是为了评价对水稻安全性</w:t>
      </w:r>
      <w:r>
        <w:rPr>
          <w:rFonts w:hint="eastAsia"/>
          <w:lang w:eastAsia="zh-CN"/>
        </w:rPr>
        <w:t>）</w:t>
      </w:r>
      <w:r>
        <w:rPr>
          <w:rFonts w:hint="eastAsia"/>
        </w:rPr>
        <w:t>四个剂量，或依据考察除草剂的具体特点</w:t>
      </w:r>
      <w:r>
        <w:rPr>
          <w:rFonts w:hint="eastAsia"/>
          <w:lang w:val="en-US" w:eastAsia="zh-CN"/>
        </w:rPr>
        <w:t>或委托方的试验协议</w:t>
      </w:r>
      <w:r>
        <w:rPr>
          <w:rFonts w:hint="eastAsia"/>
        </w:rPr>
        <w:t>设计用药剂量。</w:t>
      </w:r>
    </w:p>
    <w:p w14:paraId="4BEEA107">
      <w:pPr>
        <w:pStyle w:val="56"/>
        <w:ind w:firstLine="420"/>
        <w:rPr>
          <w:rFonts w:hint="default" w:eastAsia="宋体"/>
          <w:lang w:val="en-US" w:eastAsia="zh-CN"/>
        </w:rPr>
      </w:pPr>
      <w:r>
        <w:rPr>
          <w:rFonts w:hint="eastAsia"/>
          <w:lang w:val="en-US" w:eastAsia="zh-CN"/>
        </w:rPr>
        <w:t>田间药效大区试验的试验药剂处理原则上至少设置3个处理，分别为拟推荐剂量的低、高及高量的倍量（高量的倍量是为了评价对水稻安全性）。</w:t>
      </w:r>
    </w:p>
    <w:p w14:paraId="09077FB4">
      <w:pPr>
        <w:pStyle w:val="65"/>
        <w:spacing w:before="156" w:after="156"/>
      </w:pPr>
      <w:r>
        <w:rPr>
          <w:rFonts w:hint="eastAsia"/>
          <w:lang w:val="en-US" w:eastAsia="zh-CN"/>
        </w:rPr>
        <w:t>对照药剂</w:t>
      </w:r>
    </w:p>
    <w:p w14:paraId="08A10D34">
      <w:pPr>
        <w:pStyle w:val="56"/>
        <w:ind w:firstLine="420"/>
      </w:pPr>
      <w:r>
        <w:rPr>
          <w:rFonts w:hint="eastAsia"/>
        </w:rPr>
        <w:t>应选用已登记注册的、有效成分相同或作用机理相近</w:t>
      </w:r>
      <w:r>
        <w:rPr>
          <w:rFonts w:hint="eastAsia"/>
          <w:lang w:eastAsia="zh-CN"/>
        </w:rPr>
        <w:t>、并在实践中证明有较好安全性和除草效果的</w:t>
      </w:r>
      <w:r>
        <w:rPr>
          <w:rFonts w:hint="eastAsia"/>
        </w:rPr>
        <w:t>的HPPD抑制剂类除草剂，或当地常用且效果稳定</w:t>
      </w:r>
      <w:r>
        <w:rPr>
          <w:rFonts w:hint="eastAsia"/>
          <w:lang w:eastAsia="zh-CN"/>
        </w:rPr>
        <w:t>、</w:t>
      </w:r>
      <w:r>
        <w:rPr>
          <w:rFonts w:hint="eastAsia"/>
          <w:lang w:val="en-US" w:eastAsia="zh-CN"/>
        </w:rPr>
        <w:t>杀草谱与试验药剂一致或接近、且施药方法与试验药剂一致的</w:t>
      </w:r>
      <w:r>
        <w:rPr>
          <w:rFonts w:hint="eastAsia"/>
        </w:rPr>
        <w:t>的除草剂作为对照。</w:t>
      </w:r>
      <w:r>
        <w:rPr>
          <w:rFonts w:ascii="Times New Roman" w:hAnsi="Times New Roman"/>
          <w:szCs w:val="21"/>
        </w:rPr>
        <w:t>特殊情况可视试验目的而定。</w:t>
      </w:r>
    </w:p>
    <w:p w14:paraId="0DC69A66">
      <w:pPr>
        <w:pStyle w:val="56"/>
        <w:ind w:firstLine="420"/>
      </w:pPr>
      <w:r>
        <w:rPr>
          <w:rFonts w:hint="eastAsia"/>
        </w:rPr>
        <w:t>设置</w:t>
      </w:r>
      <w:r>
        <w:rPr>
          <w:rFonts w:hint="eastAsia"/>
          <w:lang w:val="en-US" w:eastAsia="zh-CN"/>
        </w:rPr>
        <w:t>人工除草和</w:t>
      </w:r>
      <w:r>
        <w:rPr>
          <w:rFonts w:hint="eastAsia"/>
        </w:rPr>
        <w:t>空白对照处理。</w:t>
      </w:r>
    </w:p>
    <w:p w14:paraId="7CD7FA0F">
      <w:pPr>
        <w:pStyle w:val="105"/>
        <w:spacing w:before="156" w:after="156"/>
      </w:pPr>
      <w:r>
        <w:rPr>
          <w:rFonts w:hint="eastAsia"/>
          <w:lang w:val="en-US" w:eastAsia="zh-CN"/>
        </w:rPr>
        <w:t>小区/大区安排</w:t>
      </w:r>
    </w:p>
    <w:p w14:paraId="4D06B084">
      <w:pPr>
        <w:pStyle w:val="65"/>
        <w:spacing w:before="156" w:after="156"/>
      </w:pPr>
      <w:r>
        <w:rPr>
          <w:rFonts w:hint="eastAsia"/>
          <w:lang w:val="en-US" w:eastAsia="zh-CN"/>
        </w:rPr>
        <w:t>小区/大区排列</w:t>
      </w:r>
    </w:p>
    <w:p w14:paraId="36725832">
      <w:pPr>
        <w:pStyle w:val="56"/>
        <w:ind w:firstLine="420"/>
        <w:rPr>
          <w:rFonts w:hint="eastAsia"/>
        </w:rPr>
      </w:pPr>
      <w:r>
        <w:rPr>
          <w:rFonts w:hint="eastAsia"/>
        </w:rPr>
        <w:t>田间药效小区试验的不同处理小区采用随机区组排列。特殊情况为了避免杂草覆盖分布不均匀的干扰，小区需根据实际情况而采用相应的不规则排列。田间药效</w:t>
      </w:r>
      <w:r>
        <w:rPr>
          <w:rFonts w:hint="eastAsia"/>
          <w:lang w:val="en-US" w:eastAsia="zh-CN"/>
        </w:rPr>
        <w:t>大区</w:t>
      </w:r>
      <w:r>
        <w:rPr>
          <w:rFonts w:hint="eastAsia"/>
        </w:rPr>
        <w:t>试验的不同处理采用随机排列。</w:t>
      </w:r>
    </w:p>
    <w:p w14:paraId="60677651">
      <w:pPr>
        <w:pStyle w:val="56"/>
        <w:ind w:firstLine="420"/>
      </w:pPr>
      <w:r>
        <w:rPr>
          <w:rFonts w:hint="eastAsia"/>
        </w:rPr>
        <w:t>小区</w:t>
      </w:r>
      <w:r>
        <w:rPr>
          <w:rFonts w:hint="eastAsia"/>
          <w:lang w:val="en-US" w:eastAsia="zh-CN"/>
        </w:rPr>
        <w:t>/大区</w:t>
      </w:r>
      <w:r>
        <w:rPr>
          <w:rFonts w:hint="eastAsia"/>
        </w:rPr>
        <w:t>之间需筑坝或作埂隔离</w:t>
      </w:r>
      <w:r>
        <w:rPr>
          <w:rFonts w:hint="eastAsia"/>
          <w:lang w:eastAsia="zh-CN"/>
        </w:rPr>
        <w:t>，</w:t>
      </w:r>
      <w:r>
        <w:rPr>
          <w:rFonts w:hint="eastAsia"/>
        </w:rPr>
        <w:t>每小区</w:t>
      </w:r>
      <w:r>
        <w:rPr>
          <w:rFonts w:hint="eastAsia"/>
          <w:lang w:val="en-US" w:eastAsia="zh-CN"/>
        </w:rPr>
        <w:t>/大区</w:t>
      </w:r>
      <w:r>
        <w:rPr>
          <w:rFonts w:hint="eastAsia"/>
        </w:rPr>
        <w:t>必须是单排单灌，小区</w:t>
      </w:r>
      <w:r>
        <w:rPr>
          <w:rFonts w:hint="eastAsia"/>
          <w:lang w:val="en-US" w:eastAsia="zh-CN"/>
        </w:rPr>
        <w:t>/大区</w:t>
      </w:r>
      <w:r>
        <w:rPr>
          <w:rFonts w:hint="eastAsia"/>
        </w:rPr>
        <w:t>之间不能串灌、渗水。</w:t>
      </w:r>
    </w:p>
    <w:p w14:paraId="7E09F5D0">
      <w:pPr>
        <w:pStyle w:val="65"/>
        <w:spacing w:before="156" w:after="156"/>
      </w:pPr>
      <w:r>
        <w:rPr>
          <w:rFonts w:hint="eastAsia"/>
          <w:lang w:val="en-US" w:eastAsia="zh-CN"/>
        </w:rPr>
        <w:t>小区/大区面积和重复</w:t>
      </w:r>
    </w:p>
    <w:p w14:paraId="5DFB6217">
      <w:pPr>
        <w:pStyle w:val="56"/>
        <w:ind w:left="0" w:leftChars="0" w:firstLine="420" w:firstLineChars="200"/>
        <w:rPr>
          <w:rFonts w:hint="default"/>
          <w:lang w:val="en-US" w:eastAsia="zh-CN"/>
        </w:rPr>
      </w:pPr>
      <w:r>
        <w:rPr>
          <w:rFonts w:hint="eastAsia"/>
        </w:rPr>
        <w:t>田间药效试验的小区面积：秧田不少于4m</w:t>
      </w:r>
      <w:r>
        <w:rPr>
          <w:rFonts w:hint="eastAsia"/>
          <w:vertAlign w:val="superscript"/>
        </w:rPr>
        <w:t>2</w:t>
      </w:r>
      <w:r>
        <w:rPr>
          <w:rFonts w:hint="eastAsia"/>
        </w:rPr>
        <w:t>，旱</w:t>
      </w:r>
      <w:r>
        <w:rPr>
          <w:rFonts w:hint="eastAsia"/>
          <w:lang w:val="en-US" w:eastAsia="zh-CN"/>
        </w:rPr>
        <w:t>直播</w:t>
      </w:r>
      <w:r>
        <w:rPr>
          <w:rFonts w:hint="eastAsia"/>
        </w:rPr>
        <w:t>、水直播、</w:t>
      </w:r>
      <w:r>
        <w:rPr>
          <w:rFonts w:hint="eastAsia"/>
          <w:lang w:val="en-US" w:eastAsia="zh-CN"/>
        </w:rPr>
        <w:t>机</w:t>
      </w:r>
      <w:r>
        <w:rPr>
          <w:rFonts w:hint="eastAsia"/>
        </w:rPr>
        <w:t>插秧</w:t>
      </w:r>
      <w:r>
        <w:rPr>
          <w:rFonts w:hint="eastAsia"/>
          <w:lang w:eastAsia="zh-CN"/>
        </w:rPr>
        <w:t>、</w:t>
      </w:r>
      <w:r>
        <w:rPr>
          <w:rFonts w:hint="eastAsia"/>
          <w:lang w:val="en-US" w:eastAsia="zh-CN"/>
        </w:rPr>
        <w:t>移栽、</w:t>
      </w:r>
      <w:r>
        <w:rPr>
          <w:rFonts w:hint="eastAsia"/>
        </w:rPr>
        <w:t>抛秧田不少于20</w:t>
      </w:r>
      <w:r>
        <w:rPr>
          <w:rFonts w:hint="eastAsia"/>
          <w:lang w:val="en-US" w:eastAsia="zh-CN"/>
        </w:rPr>
        <w:t xml:space="preserve"> </w:t>
      </w:r>
      <w:r>
        <w:rPr>
          <w:rFonts w:hint="eastAsia"/>
        </w:rPr>
        <w:t>m</w:t>
      </w:r>
      <w:r>
        <w:rPr>
          <w:rFonts w:hint="eastAsia"/>
          <w:vertAlign w:val="superscript"/>
        </w:rPr>
        <w:t>2</w:t>
      </w:r>
      <w:r>
        <w:rPr>
          <w:rFonts w:hint="eastAsia"/>
        </w:rPr>
        <w:t>。</w:t>
      </w:r>
      <w:r>
        <w:rPr>
          <w:rFonts w:hint="eastAsia"/>
          <w:lang w:val="en-US" w:eastAsia="zh-CN"/>
        </w:rPr>
        <w:t>使用专门收割设备的情况下，小区面积可酌情增加。</w:t>
      </w:r>
    </w:p>
    <w:p w14:paraId="762310AA">
      <w:pPr>
        <w:pStyle w:val="56"/>
        <w:ind w:left="0" w:leftChars="0" w:firstLine="420" w:firstLineChars="200"/>
        <w:rPr>
          <w:rFonts w:hint="eastAsia"/>
        </w:rPr>
      </w:pPr>
      <w:r>
        <w:rPr>
          <w:rFonts w:hint="eastAsia"/>
        </w:rPr>
        <w:t>重复次数：最少</w:t>
      </w:r>
      <w:r>
        <w:rPr>
          <w:rFonts w:hint="eastAsia"/>
          <w:lang w:val="en-US" w:eastAsia="zh-CN"/>
        </w:rPr>
        <w:t>4</w:t>
      </w:r>
      <w:r>
        <w:rPr>
          <w:rFonts w:hint="eastAsia"/>
        </w:rPr>
        <w:t>次重复。</w:t>
      </w:r>
    </w:p>
    <w:p w14:paraId="4D8A348C">
      <w:pPr>
        <w:pStyle w:val="56"/>
        <w:ind w:firstLine="420"/>
        <w:rPr>
          <w:rFonts w:hint="default" w:eastAsia="宋体"/>
          <w:lang w:val="en-US" w:eastAsia="zh-CN"/>
        </w:rPr>
      </w:pPr>
      <w:r>
        <w:rPr>
          <w:rFonts w:hint="eastAsia"/>
        </w:rPr>
        <w:t>田间药效试验的</w:t>
      </w:r>
      <w:r>
        <w:rPr>
          <w:rFonts w:hint="eastAsia"/>
          <w:lang w:val="en-US" w:eastAsia="zh-CN"/>
        </w:rPr>
        <w:t>大</w:t>
      </w:r>
      <w:r>
        <w:rPr>
          <w:rFonts w:hint="eastAsia"/>
        </w:rPr>
        <w:t>区面积：</w:t>
      </w:r>
      <w:r>
        <w:rPr>
          <w:rFonts w:hint="eastAsia"/>
          <w:lang w:val="en-US" w:eastAsia="zh-CN"/>
        </w:rPr>
        <w:t>试验剂量大区</w:t>
      </w:r>
      <w:r>
        <w:rPr>
          <w:rFonts w:hint="eastAsia"/>
        </w:rPr>
        <w:t>不少于150</w:t>
      </w:r>
      <w:r>
        <w:rPr>
          <w:rFonts w:hint="eastAsia"/>
          <w:lang w:val="en-US" w:eastAsia="zh-CN"/>
        </w:rPr>
        <w:t>0</w:t>
      </w:r>
      <w:r>
        <w:rPr>
          <w:rFonts w:hint="eastAsia"/>
        </w:rPr>
        <w:t>m</w:t>
      </w:r>
      <w:r>
        <w:rPr>
          <w:rFonts w:hint="eastAsia"/>
          <w:vertAlign w:val="superscript"/>
        </w:rPr>
        <w:t>2</w:t>
      </w:r>
      <w:r>
        <w:rPr>
          <w:rFonts w:hint="eastAsia"/>
          <w:lang w:eastAsia="zh-CN"/>
        </w:rPr>
        <w:t>，</w:t>
      </w:r>
      <w:r>
        <w:rPr>
          <w:rFonts w:hint="eastAsia"/>
          <w:lang w:val="en-US" w:eastAsia="zh-CN"/>
        </w:rPr>
        <w:t>倍量区、人工除草、空白对照区面积一般不低于处理区面积的1/10，及不少于150</w:t>
      </w:r>
      <w:r>
        <w:rPr>
          <w:rFonts w:hint="eastAsia"/>
        </w:rPr>
        <w:t>m</w:t>
      </w:r>
      <w:r>
        <w:rPr>
          <w:rFonts w:hint="eastAsia"/>
          <w:vertAlign w:val="superscript"/>
        </w:rPr>
        <w:t>2</w:t>
      </w:r>
      <w:r>
        <w:rPr>
          <w:rFonts w:hint="eastAsia"/>
        </w:rPr>
        <w:t>。</w:t>
      </w:r>
      <w:r>
        <w:rPr>
          <w:rFonts w:hint="eastAsia"/>
          <w:lang w:val="en-US" w:eastAsia="zh-CN"/>
        </w:rPr>
        <w:t>特殊情况下按照试验协议进行。</w:t>
      </w:r>
    </w:p>
    <w:p w14:paraId="2742D355">
      <w:pPr>
        <w:pStyle w:val="56"/>
        <w:ind w:firstLine="420"/>
      </w:pPr>
      <w:r>
        <w:rPr>
          <w:rFonts w:hint="eastAsia"/>
          <w:lang w:val="en-US" w:eastAsia="zh-CN"/>
        </w:rPr>
        <w:t>重复次数：大区试验</w:t>
      </w:r>
      <w:r>
        <w:rPr>
          <w:rFonts w:hint="eastAsia"/>
        </w:rPr>
        <w:t>不设重复</w:t>
      </w:r>
      <w:r>
        <w:rPr>
          <w:rFonts w:hint="eastAsia"/>
          <w:lang w:eastAsia="zh-CN"/>
        </w:rPr>
        <w:t>，</w:t>
      </w:r>
      <w:r>
        <w:rPr>
          <w:rFonts w:hint="eastAsia"/>
          <w:lang w:val="en-US" w:eastAsia="zh-CN"/>
        </w:rPr>
        <w:t>各处理之间设置隔离保护行。</w:t>
      </w:r>
    </w:p>
    <w:p w14:paraId="4BDF8269">
      <w:pPr>
        <w:pStyle w:val="105"/>
        <w:spacing w:before="156" w:after="156"/>
      </w:pPr>
      <w:r>
        <w:rPr>
          <w:rFonts w:hint="eastAsia"/>
          <w:lang w:val="en-US" w:eastAsia="zh-CN"/>
        </w:rPr>
        <w:t>施药方法</w:t>
      </w:r>
    </w:p>
    <w:p w14:paraId="122F9E9B">
      <w:pPr>
        <w:pStyle w:val="65"/>
        <w:spacing w:before="156" w:after="156"/>
      </w:pPr>
      <w:r>
        <w:rPr>
          <w:rFonts w:hint="eastAsia"/>
          <w:lang w:val="en-US" w:eastAsia="zh-CN"/>
        </w:rPr>
        <w:t>施药器械</w:t>
      </w:r>
    </w:p>
    <w:p w14:paraId="7C25B698">
      <w:pPr>
        <w:pStyle w:val="56"/>
        <w:ind w:firstLine="420"/>
        <w:rPr>
          <w:rFonts w:hint="default"/>
          <w:lang w:val="en-US"/>
        </w:rPr>
      </w:pPr>
      <w:r>
        <w:rPr>
          <w:rFonts w:hint="eastAsia"/>
          <w:lang w:val="en-US" w:eastAsia="zh-CN"/>
        </w:rPr>
        <w:t>选择压力稳定、雾化均匀的带扇形喷头的手动或电动喷雾器、或根据试验协议选用合适施药器械，保证药剂均匀分布到整个小区，记录施药器械类型、型号和操作条件（喷头类型、喷孔直径、操作压力、流速等）。校准喷头流量和行走速度，确保单位面积喷液量准确一致。</w:t>
      </w:r>
      <w:r>
        <w:rPr>
          <w:rFonts w:ascii="Times New Roman" w:hAnsi="Times New Roman"/>
          <w:szCs w:val="21"/>
        </w:rPr>
        <w:t>施药应保证药量准确，用药量偏差超过±10</w:t>
      </w:r>
      <w:r>
        <w:rPr>
          <w:rFonts w:hint="eastAsia" w:ascii="Times New Roman" w:hAnsi="Times New Roman"/>
          <w:szCs w:val="21"/>
        </w:rPr>
        <w:t>%</w:t>
      </w:r>
      <w:r>
        <w:rPr>
          <w:rFonts w:ascii="Times New Roman" w:hAnsi="Times New Roman"/>
          <w:szCs w:val="21"/>
        </w:rPr>
        <w:t>的要记录，并记录影响药效和杂草防治持效期及选择性的因素。</w:t>
      </w:r>
    </w:p>
    <w:p w14:paraId="7E6175C4">
      <w:pPr>
        <w:pStyle w:val="65"/>
        <w:spacing w:before="156" w:after="156"/>
      </w:pPr>
      <w:r>
        <w:rPr>
          <w:rFonts w:hint="eastAsia"/>
          <w:lang w:val="en-US" w:eastAsia="zh-CN"/>
        </w:rPr>
        <w:t>施药方法</w:t>
      </w:r>
    </w:p>
    <w:p w14:paraId="098FD356">
      <w:pPr>
        <w:pStyle w:val="56"/>
        <w:ind w:left="0" w:leftChars="0" w:firstLine="420" w:firstLineChars="200"/>
        <w:rPr>
          <w:rFonts w:hint="eastAsia"/>
        </w:rPr>
      </w:pPr>
      <w:r>
        <w:rPr>
          <w:rFonts w:hint="eastAsia"/>
        </w:rPr>
        <w:t>根据</w:t>
      </w:r>
      <w:r>
        <w:rPr>
          <w:rFonts w:hint="eastAsia"/>
          <w:lang w:val="en-US" w:eastAsia="zh-CN"/>
        </w:rPr>
        <w:t>协议要求或药剂标签说明</w:t>
      </w:r>
      <w:r>
        <w:rPr>
          <w:rFonts w:hint="eastAsia"/>
        </w:rPr>
        <w:t>选择不同的方法进行处理，可用喷雾、</w:t>
      </w:r>
      <w:r>
        <w:rPr>
          <w:rFonts w:hint="eastAsia"/>
          <w:lang w:val="en-US" w:eastAsia="zh-CN"/>
        </w:rPr>
        <w:t>甩施</w:t>
      </w:r>
      <w:r>
        <w:rPr>
          <w:rFonts w:hint="eastAsia"/>
        </w:rPr>
        <w:t>、</w:t>
      </w:r>
      <w:r>
        <w:rPr>
          <w:rFonts w:hint="eastAsia"/>
          <w:lang w:val="en-US" w:eastAsia="zh-CN"/>
        </w:rPr>
        <w:t>毒土、撒施</w:t>
      </w:r>
      <w:r>
        <w:rPr>
          <w:rFonts w:hint="eastAsia"/>
        </w:rPr>
        <w:t>等方法，施药应与当地农业实践相适应。</w:t>
      </w:r>
    </w:p>
    <w:p w14:paraId="0656EB1E">
      <w:pPr>
        <w:pStyle w:val="65"/>
        <w:spacing w:before="156" w:after="156"/>
      </w:pPr>
      <w:r>
        <w:rPr>
          <w:rFonts w:hint="eastAsia"/>
          <w:lang w:val="en-US" w:eastAsia="zh-CN"/>
        </w:rPr>
        <w:t>施药时期</w:t>
      </w:r>
    </w:p>
    <w:p w14:paraId="316E885E">
      <w:pPr>
        <w:pStyle w:val="56"/>
        <w:ind w:firstLine="420"/>
        <w:rPr>
          <w:rFonts w:hint="default"/>
          <w:lang w:val="en-US"/>
        </w:rPr>
      </w:pPr>
      <w:r>
        <w:rPr>
          <w:rFonts w:hint="eastAsia"/>
          <w:lang w:val="en-US" w:eastAsia="zh-CN"/>
        </w:rPr>
        <w:t>施药的时间必须符合水稻、杂草出苗时期和药剂作用特点。选择在杂草敏感生育期、水稻处于安全生育期进行。根据HPPD抑制剂的特点和杂草叶龄，通常在杂草1-4叶期施药效果最佳。移栽田可在水稻返青后、杂草出苗高峰期施药。施药时，应记录每次施药的日期和时间，以及杂草和水稻两者（生长）状态（萌芽、出苗、生育期）。</w:t>
      </w:r>
    </w:p>
    <w:p w14:paraId="68796E5C">
      <w:pPr>
        <w:pStyle w:val="65"/>
        <w:spacing w:before="156" w:after="156"/>
      </w:pPr>
      <w:r>
        <w:rPr>
          <w:rFonts w:hint="eastAsia"/>
          <w:lang w:val="en-US" w:eastAsia="zh-CN"/>
        </w:rPr>
        <w:t>施药剂量及药剂配制</w:t>
      </w:r>
    </w:p>
    <w:p w14:paraId="05D02CF3">
      <w:pPr>
        <w:pStyle w:val="56"/>
        <w:ind w:left="0" w:leftChars="0" w:firstLine="420" w:firstLineChars="200"/>
        <w:rPr>
          <w:rFonts w:hint="eastAsia"/>
        </w:rPr>
      </w:pPr>
      <w:r>
        <w:rPr>
          <w:rFonts w:ascii="Times New Roman" w:hAnsi="Times New Roman"/>
          <w:szCs w:val="21"/>
        </w:rPr>
        <w:t>按协议要求及标签注明的剂量和用水量进行施药。通常药剂的剂量以有效成分g/hm</w:t>
      </w:r>
      <w:r>
        <w:rPr>
          <w:rFonts w:ascii="Times New Roman" w:hAnsi="Times New Roman"/>
          <w:szCs w:val="21"/>
          <w:vertAlign w:val="superscript"/>
        </w:rPr>
        <w:t>2</w:t>
      </w:r>
      <w:r>
        <w:rPr>
          <w:rFonts w:ascii="Times New Roman" w:hAnsi="Times New Roman"/>
          <w:szCs w:val="21"/>
        </w:rPr>
        <w:t>（克/公顷）表示，用水量以L/hm</w:t>
      </w:r>
      <w:r>
        <w:rPr>
          <w:rFonts w:ascii="Times New Roman" w:hAnsi="Times New Roman"/>
          <w:szCs w:val="21"/>
          <w:vertAlign w:val="superscript"/>
        </w:rPr>
        <w:t>2</w:t>
      </w:r>
      <w:r>
        <w:rPr>
          <w:rFonts w:ascii="Times New Roman" w:hAnsi="Times New Roman"/>
          <w:szCs w:val="21"/>
        </w:rPr>
        <w:t>（升/公顷）表示。协议上没有说明用水量时，可根据试验药剂的作用方式、喷雾器类型，结合当地经验</w:t>
      </w:r>
      <w:r>
        <w:rPr>
          <w:rFonts w:hint="eastAsia" w:ascii="Times New Roman"/>
          <w:szCs w:val="21"/>
          <w:lang w:val="en-US" w:eastAsia="zh-CN"/>
        </w:rPr>
        <w:t>或田间杂草密度、草龄大小等因素</w:t>
      </w:r>
      <w:r>
        <w:rPr>
          <w:rFonts w:ascii="Times New Roman" w:hAnsi="Times New Roman"/>
          <w:szCs w:val="21"/>
        </w:rPr>
        <w:t>确定用水量</w:t>
      </w:r>
      <w:r>
        <w:rPr>
          <w:rFonts w:hint="eastAsia"/>
        </w:rPr>
        <w:t>。</w:t>
      </w:r>
    </w:p>
    <w:p w14:paraId="677BB204">
      <w:pPr>
        <w:pStyle w:val="56"/>
        <w:ind w:left="0" w:leftChars="0" w:firstLine="420" w:firstLineChars="200"/>
        <w:rPr>
          <w:rFonts w:hint="default" w:eastAsia="宋体"/>
          <w:lang w:val="en-US" w:eastAsia="zh-CN"/>
        </w:rPr>
      </w:pPr>
      <w:r>
        <w:rPr>
          <w:rFonts w:hint="eastAsia"/>
          <w:lang w:val="en-US" w:eastAsia="zh-CN"/>
        </w:rPr>
        <w:t>以喷雾方式施用的药剂采用二次稀释法配制。</w:t>
      </w:r>
    </w:p>
    <w:p w14:paraId="0551272E">
      <w:pPr>
        <w:pStyle w:val="65"/>
        <w:spacing w:before="156" w:after="156"/>
      </w:pPr>
      <w:r>
        <w:rPr>
          <w:rFonts w:hint="eastAsia"/>
          <w:lang w:val="en-US" w:eastAsia="zh-CN"/>
        </w:rPr>
        <w:t>施药条件</w:t>
      </w:r>
    </w:p>
    <w:p w14:paraId="2904F69C">
      <w:pPr>
        <w:pStyle w:val="65"/>
        <w:keepNext w:val="0"/>
        <w:keepLines w:val="0"/>
        <w:pageBreakBefore w:val="0"/>
        <w:widowControl w:val="0"/>
        <w:numPr>
          <w:ilvl w:val="3"/>
          <w:numId w:val="0"/>
        </w:numPr>
        <w:kinsoku/>
        <w:wordWrap/>
        <w:overflowPunct/>
        <w:topLinePunct w:val="0"/>
        <w:autoSpaceDE/>
        <w:autoSpaceDN/>
        <w:bidi w:val="0"/>
        <w:adjustRightInd/>
        <w:snapToGrid w:val="0"/>
        <w:spacing w:before="0" w:beforeLines="0" w:after="0" w:afterLines="0"/>
        <w:ind w:leftChars="0" w:firstLine="420" w:firstLineChars="200"/>
        <w:textAlignment w:val="auto"/>
        <w:rPr>
          <w:rFonts w:hint="eastAsia"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bidi="ar-SA"/>
        </w:rPr>
        <w:t>选择无风或微风、晴天施药，避免在</w:t>
      </w:r>
      <w:r>
        <w:rPr>
          <w:rFonts w:hint="eastAsia" w:ascii="Times New Roman" w:eastAsia="宋体" w:cs="Times New Roman"/>
          <w:sz w:val="21"/>
          <w:szCs w:val="21"/>
          <w:lang w:val="en-US" w:eastAsia="zh-CN" w:bidi="ar-SA"/>
        </w:rPr>
        <w:t>雨中或</w:t>
      </w:r>
      <w:r>
        <w:rPr>
          <w:rFonts w:hint="eastAsia" w:ascii="Times New Roman" w:hAnsi="Times New Roman" w:eastAsia="宋体" w:cs="Times New Roman"/>
          <w:sz w:val="21"/>
          <w:szCs w:val="21"/>
          <w:lang w:val="en-US" w:eastAsia="zh-CN" w:bidi="ar-SA"/>
        </w:rPr>
        <w:t>雨前施药。</w:t>
      </w:r>
    </w:p>
    <w:p w14:paraId="65EDC78D">
      <w:pPr>
        <w:pStyle w:val="65"/>
        <w:keepNext w:val="0"/>
        <w:keepLines w:val="0"/>
        <w:pageBreakBefore w:val="0"/>
        <w:widowControl w:val="0"/>
        <w:numPr>
          <w:ilvl w:val="3"/>
          <w:numId w:val="0"/>
        </w:numPr>
        <w:kinsoku/>
        <w:wordWrap/>
        <w:overflowPunct/>
        <w:topLinePunct w:val="0"/>
        <w:autoSpaceDE/>
        <w:autoSpaceDN/>
        <w:bidi w:val="0"/>
        <w:adjustRightInd/>
        <w:snapToGrid w:val="0"/>
        <w:spacing w:before="0" w:beforeLines="0" w:after="0" w:afterLines="0"/>
        <w:ind w:leftChars="0" w:firstLine="420" w:firstLineChars="200"/>
        <w:textAlignment w:val="auto"/>
        <w:rPr>
          <w:rFonts w:hint="eastAsia" w:ascii="Times New Roman" w:hAnsi="Times New Roman" w:eastAsia="宋体" w:cs="Times New Roman"/>
          <w:sz w:val="21"/>
          <w:szCs w:val="21"/>
          <w:lang w:val="en-US" w:eastAsia="zh-CN" w:bidi="ar-SA"/>
        </w:rPr>
      </w:pPr>
      <w:r>
        <w:rPr>
          <w:rFonts w:hint="eastAsia" w:ascii="Times New Roman" w:eastAsia="宋体" w:cs="Times New Roman"/>
          <w:sz w:val="21"/>
          <w:szCs w:val="21"/>
          <w:lang w:val="en-US" w:eastAsia="zh-CN" w:bidi="ar-SA"/>
        </w:rPr>
        <w:t>颗粒剂撒施或甩施方式等施药方式在</w:t>
      </w:r>
      <w:r>
        <w:rPr>
          <w:rFonts w:hint="eastAsia" w:ascii="Times New Roman" w:hAnsi="Times New Roman" w:eastAsia="宋体" w:cs="Times New Roman"/>
          <w:sz w:val="21"/>
          <w:szCs w:val="21"/>
          <w:lang w:val="en-US" w:eastAsia="zh-CN" w:bidi="ar-SA"/>
        </w:rPr>
        <w:t>施药时田间保持3</w:t>
      </w:r>
      <w:r>
        <w:rPr>
          <w:rFonts w:hint="eastAsia" w:ascii="Times New Roman" w:eastAsia="宋体" w:cs="Times New Roman"/>
          <w:sz w:val="21"/>
          <w:szCs w:val="21"/>
          <w:lang w:val="en-US" w:eastAsia="zh-CN" w:bidi="ar-SA"/>
        </w:rPr>
        <w:t>-</w:t>
      </w:r>
      <w:r>
        <w:rPr>
          <w:rFonts w:hint="eastAsia" w:ascii="Times New Roman" w:hAnsi="Times New Roman" w:eastAsia="宋体" w:cs="Times New Roman"/>
          <w:sz w:val="21"/>
          <w:szCs w:val="21"/>
          <w:lang w:val="en-US" w:eastAsia="zh-CN" w:bidi="ar-SA"/>
        </w:rPr>
        <w:t>5 cm的浅水层，保水5-7天</w:t>
      </w:r>
      <w:r>
        <w:rPr>
          <w:rFonts w:hint="eastAsia" w:ascii="Times New Roman" w:eastAsia="宋体" w:cs="Times New Roman"/>
          <w:sz w:val="21"/>
          <w:szCs w:val="21"/>
          <w:lang w:val="en-US" w:eastAsia="zh-CN" w:bidi="ar-SA"/>
        </w:rPr>
        <w:t>后正常管理</w:t>
      </w:r>
      <w:r>
        <w:rPr>
          <w:rFonts w:hint="eastAsia" w:ascii="Times New Roman" w:hAnsi="Times New Roman" w:eastAsia="宋体" w:cs="Times New Roman"/>
          <w:sz w:val="21"/>
          <w:szCs w:val="21"/>
          <w:lang w:val="en-US" w:eastAsia="zh-CN" w:bidi="ar-SA"/>
        </w:rPr>
        <w:t>。</w:t>
      </w:r>
    </w:p>
    <w:p w14:paraId="17CCDDA5">
      <w:pPr>
        <w:pStyle w:val="65"/>
        <w:keepNext w:val="0"/>
        <w:keepLines w:val="0"/>
        <w:pageBreakBefore w:val="0"/>
        <w:widowControl w:val="0"/>
        <w:numPr>
          <w:ilvl w:val="3"/>
          <w:numId w:val="0"/>
        </w:numPr>
        <w:kinsoku/>
        <w:wordWrap/>
        <w:overflowPunct/>
        <w:topLinePunct w:val="0"/>
        <w:autoSpaceDE/>
        <w:autoSpaceDN/>
        <w:bidi w:val="0"/>
        <w:adjustRightInd/>
        <w:snapToGrid w:val="0"/>
        <w:spacing w:before="0" w:beforeLines="0" w:after="0" w:afterLines="0"/>
        <w:ind w:leftChars="0" w:firstLine="420" w:firstLineChars="200"/>
        <w:textAlignment w:val="auto"/>
        <w:rPr>
          <w:rFonts w:hint="eastAsia" w:ascii="Times New Roman" w:eastAsia="宋体" w:cs="Times New Roman"/>
          <w:sz w:val="21"/>
          <w:szCs w:val="21"/>
          <w:lang w:val="en-US" w:eastAsia="zh-CN" w:bidi="ar-SA"/>
        </w:rPr>
      </w:pPr>
      <w:r>
        <w:rPr>
          <w:rFonts w:hint="eastAsia" w:ascii="Times New Roman" w:eastAsia="宋体" w:cs="Times New Roman"/>
          <w:sz w:val="21"/>
          <w:szCs w:val="21"/>
          <w:lang w:val="en-US" w:eastAsia="zh-CN" w:bidi="ar-SA"/>
        </w:rPr>
        <w:t>茎叶喷雾应在施药前排干田水（双环磺草酮茎叶处理时田间需保留3-5 cm浅水），药后24-28 h回水，保水5-7天后正常管理。</w:t>
      </w:r>
    </w:p>
    <w:p w14:paraId="4324F2CB">
      <w:pPr>
        <w:pStyle w:val="65"/>
        <w:spacing w:before="156" w:after="156"/>
      </w:pPr>
      <w:r>
        <w:rPr>
          <w:rFonts w:hint="eastAsia"/>
          <w:lang w:val="en-US" w:eastAsia="zh-CN"/>
        </w:rPr>
        <w:t>安全防护</w:t>
      </w:r>
    </w:p>
    <w:p w14:paraId="665F012E">
      <w:pPr>
        <w:pStyle w:val="65"/>
        <w:keepNext w:val="0"/>
        <w:keepLines w:val="0"/>
        <w:pageBreakBefore w:val="0"/>
        <w:widowControl w:val="0"/>
        <w:numPr>
          <w:ilvl w:val="3"/>
          <w:numId w:val="0"/>
        </w:numPr>
        <w:kinsoku/>
        <w:wordWrap/>
        <w:overflowPunct/>
        <w:topLinePunct w:val="0"/>
        <w:autoSpaceDE/>
        <w:autoSpaceDN/>
        <w:bidi w:val="0"/>
        <w:adjustRightInd/>
        <w:snapToGrid w:val="0"/>
        <w:spacing w:before="0" w:beforeLines="0" w:after="0" w:afterLines="0"/>
        <w:ind w:leftChars="0" w:firstLine="420" w:firstLineChars="200"/>
        <w:textAlignment w:val="auto"/>
        <w:rPr>
          <w:rFonts w:hint="eastAsia" w:ascii="Times New Roman" w:hAnsi="Times New Roman" w:eastAsia="宋体" w:cs="Times New Roman"/>
          <w:sz w:val="21"/>
          <w:szCs w:val="21"/>
          <w:lang w:val="en-US" w:eastAsia="zh-CN" w:bidi="ar-SA"/>
        </w:rPr>
      </w:pPr>
      <w:r>
        <w:rPr>
          <w:rFonts w:hint="eastAsia" w:ascii="Times New Roman" w:hAnsi="Times New Roman" w:eastAsia="宋体" w:cs="Times New Roman"/>
          <w:sz w:val="21"/>
          <w:szCs w:val="21"/>
          <w:lang w:val="en-US" w:eastAsia="zh-CN" w:bidi="ar-SA"/>
        </w:rPr>
        <w:t>配制和施用除草剂人员应身体健康，经过专业技术培训，具备一定的植保知识。配制和施用除草剂时，应穿戴必要的防护用具，严禁用手直接接触除草剂，谨防除草剂进入眼睛、 接触皮肤或吸入体内。</w:t>
      </w:r>
    </w:p>
    <w:p w14:paraId="27B36BF1">
      <w:pPr>
        <w:pStyle w:val="65"/>
        <w:spacing w:before="156" w:after="156"/>
      </w:pPr>
      <w:r>
        <w:rPr>
          <w:rFonts w:hint="eastAsia"/>
          <w:lang w:val="en-US" w:eastAsia="zh-CN"/>
        </w:rPr>
        <w:t>非靶标有害生物防治要求</w:t>
      </w:r>
    </w:p>
    <w:p w14:paraId="11083038">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pPr>
      <w:r>
        <w:rPr>
          <w:rFonts w:ascii="Times New Roman" w:hAnsi="Times New Roman" w:eastAsia="宋体" w:cs="Times New Roman"/>
          <w:kern w:val="0"/>
          <w:sz w:val="21"/>
          <w:szCs w:val="21"/>
          <w:lang w:val="en-US" w:eastAsia="zh-CN" w:bidi="ar-SA"/>
        </w:rPr>
        <w:t>如</w:t>
      </w:r>
      <w:r>
        <w:rPr>
          <w:rFonts w:hint="eastAsia" w:ascii="Times New Roman" w:hAnsi="Times New Roman" w:eastAsia="宋体" w:cs="Times New Roman"/>
          <w:kern w:val="0"/>
          <w:sz w:val="21"/>
          <w:szCs w:val="21"/>
          <w:lang w:val="en-US" w:eastAsia="zh-CN" w:bidi="ar-SA"/>
        </w:rPr>
        <w:t>需</w:t>
      </w:r>
      <w:r>
        <w:rPr>
          <w:rFonts w:ascii="Times New Roman" w:hAnsi="Times New Roman" w:eastAsia="宋体" w:cs="Times New Roman"/>
          <w:kern w:val="0"/>
          <w:sz w:val="21"/>
          <w:szCs w:val="21"/>
          <w:lang w:val="en-US" w:eastAsia="zh-CN" w:bidi="ar-SA"/>
        </w:rPr>
        <w:t>用其他药剂</w:t>
      </w:r>
      <w:r>
        <w:rPr>
          <w:rFonts w:hint="eastAsia" w:ascii="Times New Roman" w:hAnsi="Times New Roman" w:cs="Times New Roman"/>
          <w:kern w:val="0"/>
          <w:sz w:val="21"/>
          <w:szCs w:val="21"/>
          <w:lang w:val="en-US" w:eastAsia="zh-CN" w:bidi="ar-SA"/>
        </w:rPr>
        <w:t>防治病虫害、非靶标杂草</w:t>
      </w:r>
      <w:r>
        <w:rPr>
          <w:rFonts w:ascii="Times New Roman" w:hAnsi="Times New Roman" w:eastAsia="宋体" w:cs="Times New Roman"/>
          <w:kern w:val="0"/>
          <w:sz w:val="21"/>
          <w:szCs w:val="21"/>
          <w:lang w:val="en-US" w:eastAsia="zh-CN" w:bidi="ar-SA"/>
        </w:rPr>
        <w:t>，应选择对试验药剂、</w:t>
      </w:r>
      <w:r>
        <w:rPr>
          <w:rFonts w:hint="eastAsia" w:ascii="Times New Roman" w:hAnsi="Times New Roman" w:cs="Times New Roman"/>
          <w:kern w:val="0"/>
          <w:sz w:val="21"/>
          <w:szCs w:val="21"/>
          <w:lang w:val="en-US" w:eastAsia="zh-CN" w:bidi="ar-SA"/>
        </w:rPr>
        <w:t>试验</w:t>
      </w:r>
      <w:r>
        <w:rPr>
          <w:rFonts w:ascii="Times New Roman" w:hAnsi="Times New Roman" w:eastAsia="宋体" w:cs="Times New Roman"/>
          <w:kern w:val="0"/>
          <w:sz w:val="21"/>
          <w:szCs w:val="21"/>
          <w:lang w:val="en-US" w:eastAsia="zh-CN" w:bidi="ar-SA"/>
        </w:rPr>
        <w:t>对象和水稻无影响的药剂，并对所有小区进行均一处理，与试验药剂和对照药剂分开使用，使这些药剂的干扰控制在最小程度。记录这类药剂施用的准确数据（如名称、时期、剂量等）。</w:t>
      </w:r>
    </w:p>
    <w:p w14:paraId="4AF423CD">
      <w:pPr>
        <w:pStyle w:val="104"/>
        <w:spacing w:before="312" w:after="312"/>
      </w:pPr>
      <w:bookmarkStart w:id="51" w:name="_Toc17167"/>
      <w:r>
        <w:rPr>
          <w:rFonts w:hint="eastAsia"/>
          <w:lang w:val="en-US" w:eastAsia="zh-CN"/>
        </w:rPr>
        <w:t>调查、记录和测量</w:t>
      </w:r>
      <w:bookmarkEnd w:id="51"/>
    </w:p>
    <w:p w14:paraId="24848E67">
      <w:pPr>
        <w:pStyle w:val="105"/>
        <w:spacing w:before="156" w:after="156"/>
      </w:pPr>
      <w:r>
        <w:rPr>
          <w:rFonts w:hint="eastAsia"/>
          <w:lang w:val="en-US" w:eastAsia="zh-CN"/>
        </w:rPr>
        <w:t>气象及土壤资料</w:t>
      </w:r>
    </w:p>
    <w:p w14:paraId="4023EF3C">
      <w:pPr>
        <w:pStyle w:val="65"/>
        <w:spacing w:before="156" w:after="156"/>
      </w:pPr>
      <w:r>
        <w:rPr>
          <w:rFonts w:hint="eastAsia"/>
          <w:lang w:val="en-US" w:eastAsia="zh-CN"/>
        </w:rPr>
        <w:t>气象资料</w:t>
      </w:r>
    </w:p>
    <w:p w14:paraId="7750E964">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试验期间，应从试验地或最近的气象站获得降雨（降雨类型、降雨量以mm表示）、温度（日平均温度、最高和最低温度，以℃表示）、风力、阴晴、光照</w:t>
      </w:r>
      <w:r>
        <w:rPr>
          <w:rFonts w:hint="eastAsia" w:ascii="Times New Roman" w:hAnsi="Times New Roman"/>
          <w:szCs w:val="21"/>
          <w:lang w:val="en-US" w:eastAsia="zh-CN"/>
        </w:rPr>
        <w:t>强度</w:t>
      </w:r>
      <w:r>
        <w:rPr>
          <w:rFonts w:ascii="Times New Roman" w:hAnsi="Times New Roman"/>
          <w:szCs w:val="21"/>
        </w:rPr>
        <w:t>和相对湿度等资料，特别是施药当日及前后10天的气象资料。</w:t>
      </w:r>
    </w:p>
    <w:p w14:paraId="6C50B93B">
      <w:pPr>
        <w:pStyle w:val="56"/>
        <w:keepNext w:val="0"/>
        <w:keepLines w:val="0"/>
        <w:pageBreakBefore w:val="0"/>
        <w:kinsoku/>
        <w:wordWrap/>
        <w:overflowPunct/>
        <w:topLinePunct w:val="0"/>
        <w:bidi w:val="0"/>
        <w:snapToGrid w:val="0"/>
        <w:spacing w:line="240" w:lineRule="auto"/>
        <w:ind w:firstLine="420"/>
        <w:textAlignment w:val="auto"/>
      </w:pPr>
      <w:r>
        <w:rPr>
          <w:rFonts w:ascii="Times New Roman" w:hAnsi="Times New Roman"/>
          <w:szCs w:val="21"/>
        </w:rPr>
        <w:t>整个试验期间影响试验结果的恶劣气候因素，如严重或长期干旱、大雨、冰雹、大风等均须记录</w:t>
      </w:r>
      <w:r>
        <w:rPr>
          <w:rFonts w:hint="eastAsia" w:ascii="Times New Roman"/>
          <w:szCs w:val="21"/>
          <w:lang w:eastAsia="zh-CN"/>
        </w:rPr>
        <w:t>，</w:t>
      </w:r>
      <w:r>
        <w:rPr>
          <w:rFonts w:hint="eastAsia" w:ascii="Times New Roman"/>
          <w:szCs w:val="21"/>
          <w:lang w:val="en-US" w:eastAsia="zh-CN"/>
        </w:rPr>
        <w:t>并评估其对试验结果可能产生的影响</w:t>
      </w:r>
      <w:r>
        <w:rPr>
          <w:rFonts w:hint="eastAsia"/>
        </w:rPr>
        <w:t>。</w:t>
      </w:r>
    </w:p>
    <w:p w14:paraId="0DDFBBCF">
      <w:pPr>
        <w:pStyle w:val="65"/>
        <w:spacing w:before="156" w:after="156"/>
      </w:pPr>
      <w:r>
        <w:rPr>
          <w:rFonts w:hint="eastAsia"/>
          <w:lang w:val="en-US" w:eastAsia="zh-CN"/>
        </w:rPr>
        <w:t>土壤资料</w:t>
      </w:r>
    </w:p>
    <w:p w14:paraId="5338768E">
      <w:pPr>
        <w:pStyle w:val="56"/>
        <w:ind w:firstLine="420"/>
        <w:rPr>
          <w:rFonts w:hint="default" w:eastAsia="宋体"/>
          <w:lang w:val="en-US" w:eastAsia="zh-CN"/>
        </w:rPr>
      </w:pPr>
      <w:r>
        <w:rPr>
          <w:rFonts w:hint="eastAsia"/>
        </w:rPr>
        <w:t>记录土壤pH值、有机质含量、土壤类型及土壤湿度（如干湿度、积水）。</w:t>
      </w:r>
      <w:r>
        <w:rPr>
          <w:rFonts w:hint="eastAsia"/>
          <w:lang w:val="en-US" w:eastAsia="zh-CN"/>
        </w:rPr>
        <w:t>还应记录前茬作物及前茬使用过的除草剂等。</w:t>
      </w:r>
    </w:p>
    <w:p w14:paraId="6B280373">
      <w:pPr>
        <w:pStyle w:val="105"/>
        <w:spacing w:before="156" w:after="156"/>
      </w:pPr>
      <w:r>
        <w:rPr>
          <w:rFonts w:hint="eastAsia"/>
          <w:lang w:val="en-US" w:eastAsia="zh-CN"/>
        </w:rPr>
        <w:t>田间管理资料</w:t>
      </w:r>
    </w:p>
    <w:p w14:paraId="6AF200A3">
      <w:pPr>
        <w:keepNext w:val="0"/>
        <w:keepLines w:val="0"/>
        <w:pageBreakBefore w:val="0"/>
        <w:widowControl w:val="0"/>
        <w:tabs>
          <w:tab w:val="center" w:pos="1119"/>
          <w:tab w:val="center" w:pos="4912"/>
        </w:tabs>
        <w:kinsoku/>
        <w:wordWrap/>
        <w:overflowPunct/>
        <w:topLinePunct w:val="0"/>
        <w:autoSpaceDE/>
        <w:autoSpaceDN/>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记录排灌水、水层管理、施肥方式和数量</w:t>
      </w:r>
      <w:r>
        <w:rPr>
          <w:rFonts w:hint="eastAsia" w:ascii="Times New Roman" w:hAnsi="Times New Roman"/>
          <w:szCs w:val="21"/>
          <w:lang w:eastAsia="zh-CN"/>
        </w:rPr>
        <w:t>、</w:t>
      </w:r>
      <w:r>
        <w:rPr>
          <w:rFonts w:hint="eastAsia" w:ascii="Times New Roman" w:hAnsi="Times New Roman"/>
          <w:szCs w:val="21"/>
          <w:lang w:val="en-US" w:eastAsia="zh-CN"/>
        </w:rPr>
        <w:t>病虫害防治</w:t>
      </w:r>
      <w:r>
        <w:rPr>
          <w:rFonts w:ascii="Times New Roman" w:hAnsi="Times New Roman"/>
          <w:szCs w:val="21"/>
        </w:rPr>
        <w:t>等情况。</w:t>
      </w:r>
    </w:p>
    <w:p w14:paraId="259E4BAC">
      <w:pPr>
        <w:pStyle w:val="65"/>
        <w:keepNext w:val="0"/>
        <w:keepLines w:val="0"/>
        <w:pageBreakBefore w:val="0"/>
        <w:widowControl w:val="0"/>
        <w:numPr>
          <w:ilvl w:val="3"/>
          <w:numId w:val="0"/>
        </w:numPr>
        <w:kinsoku/>
        <w:wordWrap/>
        <w:overflowPunct/>
        <w:topLinePunct w:val="0"/>
        <w:autoSpaceDE/>
        <w:autoSpaceDN/>
        <w:bidi w:val="0"/>
        <w:snapToGrid w:val="0"/>
        <w:spacing w:before="0" w:beforeLines="0" w:after="0" w:afterLines="0" w:line="240" w:lineRule="auto"/>
        <w:ind w:leftChars="0" w:firstLine="420" w:firstLineChars="200"/>
        <w:textAlignment w:val="auto"/>
      </w:pPr>
      <w:r>
        <w:rPr>
          <w:rFonts w:ascii="Times New Roman" w:hAnsi="Times New Roman" w:eastAsia="宋体" w:cs="Times New Roman"/>
          <w:kern w:val="2"/>
          <w:sz w:val="21"/>
          <w:szCs w:val="21"/>
          <w:lang w:val="en-US" w:eastAsia="zh-CN" w:bidi="ar-SA"/>
        </w:rPr>
        <w:t>测产小区应定量使用化肥（不宜用农家肥）。</w:t>
      </w:r>
    </w:p>
    <w:p w14:paraId="6BC52E5C">
      <w:pPr>
        <w:pStyle w:val="105"/>
        <w:spacing w:before="156" w:after="156"/>
      </w:pPr>
      <w:r>
        <w:rPr>
          <w:rFonts w:hint="eastAsia"/>
          <w:lang w:val="en-US" w:eastAsia="zh-CN"/>
        </w:rPr>
        <w:t>杂草调查</w:t>
      </w:r>
    </w:p>
    <w:p w14:paraId="144DEA1C">
      <w:pPr>
        <w:pStyle w:val="65"/>
        <w:spacing w:before="156" w:after="156"/>
      </w:pPr>
      <w:r>
        <w:rPr>
          <w:rFonts w:hint="eastAsia"/>
          <w:lang w:val="en-US" w:eastAsia="zh-CN"/>
        </w:rPr>
        <w:t>调查方法</w:t>
      </w:r>
    </w:p>
    <w:p w14:paraId="2DA267C9">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详细</w:t>
      </w:r>
      <w:r>
        <w:rPr>
          <w:rFonts w:hint="eastAsia" w:ascii="Times New Roman" w:hAnsi="Times New Roman"/>
          <w:szCs w:val="21"/>
        </w:rPr>
        <w:t>记录HPPD抑制剂的典型药效症状</w:t>
      </w:r>
      <w:r>
        <w:rPr>
          <w:rFonts w:ascii="Times New Roman" w:hAnsi="Times New Roman"/>
          <w:szCs w:val="21"/>
        </w:rPr>
        <w:t>（如</w:t>
      </w:r>
      <w:r>
        <w:rPr>
          <w:rFonts w:hint="eastAsia" w:ascii="Times New Roman" w:hAnsi="Times New Roman"/>
          <w:szCs w:val="21"/>
          <w:lang w:val="en-US" w:eastAsia="zh-CN"/>
        </w:rPr>
        <w:t>白化、</w:t>
      </w:r>
      <w:r>
        <w:rPr>
          <w:rFonts w:ascii="Times New Roman" w:hAnsi="Times New Roman"/>
          <w:szCs w:val="21"/>
        </w:rPr>
        <w:t>失绿、</w:t>
      </w:r>
      <w:r>
        <w:rPr>
          <w:rFonts w:hint="eastAsia" w:ascii="Times New Roman" w:hAnsi="Times New Roman"/>
          <w:szCs w:val="21"/>
          <w:lang w:val="en-US" w:eastAsia="zh-CN"/>
        </w:rPr>
        <w:t>枯死、萌发抑制、</w:t>
      </w:r>
      <w:r>
        <w:rPr>
          <w:rFonts w:ascii="Times New Roman" w:hAnsi="Times New Roman"/>
          <w:szCs w:val="21"/>
        </w:rPr>
        <w:t>生长抑制等）。</w:t>
      </w:r>
    </w:p>
    <w:p w14:paraId="1427C79E">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调查小区中的杂草种群量，如杂草种类、杂草株数、覆盖度或杂草重量等，用绝对值</w:t>
      </w:r>
      <w:r>
        <w:rPr>
          <w:rFonts w:hint="eastAsia" w:ascii="Times New Roman" w:hAnsi="Times New Roman"/>
          <w:szCs w:val="21"/>
        </w:rPr>
        <w:t>（数测）</w:t>
      </w:r>
      <w:r>
        <w:rPr>
          <w:rFonts w:ascii="Times New Roman" w:hAnsi="Times New Roman"/>
          <w:szCs w:val="21"/>
        </w:rPr>
        <w:t>法或估计值</w:t>
      </w:r>
      <w:r>
        <w:rPr>
          <w:rFonts w:hint="eastAsia" w:ascii="Times New Roman" w:hAnsi="Times New Roman"/>
        </w:rPr>
        <w:t>（目测）</w:t>
      </w:r>
      <w:r>
        <w:rPr>
          <w:rFonts w:ascii="Times New Roman" w:hAnsi="Times New Roman"/>
          <w:szCs w:val="21"/>
        </w:rPr>
        <w:t>法进行记录。</w:t>
      </w:r>
    </w:p>
    <w:p w14:paraId="4AD7DE36">
      <w:pPr>
        <w:pStyle w:val="56"/>
        <w:keepNext w:val="0"/>
        <w:keepLines w:val="0"/>
        <w:pageBreakBefore w:val="0"/>
        <w:kinsoku/>
        <w:wordWrap/>
        <w:overflowPunct/>
        <w:topLinePunct w:val="0"/>
        <w:bidi w:val="0"/>
        <w:snapToGrid w:val="0"/>
        <w:spacing w:line="240" w:lineRule="auto"/>
        <w:ind w:firstLine="420"/>
        <w:textAlignment w:val="auto"/>
        <w:rPr>
          <w:rFonts w:hint="eastAsia" w:eastAsia="宋体"/>
          <w:lang w:val="en-US" w:eastAsia="zh-CN"/>
        </w:rPr>
      </w:pPr>
      <w:r>
        <w:rPr>
          <w:rFonts w:ascii="Times New Roman" w:hAnsi="Times New Roman"/>
          <w:szCs w:val="21"/>
        </w:rPr>
        <w:t>绝对值</w:t>
      </w:r>
      <w:r>
        <w:rPr>
          <w:rFonts w:hint="eastAsia" w:ascii="Times New Roman" w:hAnsi="Times New Roman"/>
          <w:szCs w:val="21"/>
        </w:rPr>
        <w:t>（数测）</w:t>
      </w:r>
      <w:r>
        <w:rPr>
          <w:rFonts w:ascii="Times New Roman" w:hAnsi="Times New Roman"/>
          <w:szCs w:val="21"/>
        </w:rPr>
        <w:t>调查法：计算每种杂草总株数或重量，对整个小区进行调查或在每个小区随机选择3~4个样方，每个样方0.25~1 m</w:t>
      </w:r>
      <w:r>
        <w:rPr>
          <w:rFonts w:ascii="Times New Roman" w:hAnsi="Times New Roman"/>
          <w:szCs w:val="21"/>
          <w:vertAlign w:val="superscript"/>
        </w:rPr>
        <w:t>2</w:t>
      </w:r>
      <w:r>
        <w:rPr>
          <w:rFonts w:ascii="Times New Roman" w:hAnsi="Times New Roman"/>
          <w:szCs w:val="21"/>
        </w:rPr>
        <w:t>进行抽样调查。</w:t>
      </w:r>
      <w:r>
        <w:rPr>
          <w:rFonts w:hint="eastAsia"/>
          <w:lang w:val="en-US" w:eastAsia="zh-CN"/>
        </w:rPr>
        <w:t>大区试验中每个大区至少随机选择8个样方，</w:t>
      </w:r>
      <w:r>
        <w:rPr>
          <w:rFonts w:ascii="Times New Roman" w:hAnsi="Times New Roman"/>
          <w:szCs w:val="21"/>
        </w:rPr>
        <w:t>每个样方0.25~1 m</w:t>
      </w:r>
      <w:r>
        <w:rPr>
          <w:rFonts w:ascii="Times New Roman" w:hAnsi="Times New Roman"/>
          <w:szCs w:val="21"/>
          <w:vertAlign w:val="superscript"/>
        </w:rPr>
        <w:t>2</w:t>
      </w:r>
      <w:r>
        <w:rPr>
          <w:rFonts w:ascii="Times New Roman" w:hAnsi="Times New Roman"/>
          <w:szCs w:val="21"/>
        </w:rPr>
        <w:t>进行抽样调查</w:t>
      </w:r>
      <w:r>
        <w:rPr>
          <w:rFonts w:hint="eastAsia" w:ascii="Times New Roman"/>
          <w:szCs w:val="21"/>
          <w:lang w:eastAsia="zh-CN"/>
        </w:rPr>
        <w:t>。</w:t>
      </w:r>
      <w:r>
        <w:rPr>
          <w:rFonts w:ascii="Times New Roman" w:hAnsi="Times New Roman"/>
          <w:szCs w:val="21"/>
        </w:rPr>
        <w:t>特殊情况下，调查特殊杂草的器官（例如禾草分蘖数）等</w:t>
      </w:r>
      <w:r>
        <w:rPr>
          <w:rFonts w:hint="eastAsia"/>
        </w:rPr>
        <w:t>。</w:t>
      </w:r>
    </w:p>
    <w:p w14:paraId="6AC901BA">
      <w:pPr>
        <w:pStyle w:val="56"/>
        <w:keepNext w:val="0"/>
        <w:keepLines w:val="0"/>
        <w:pageBreakBefore w:val="0"/>
        <w:kinsoku/>
        <w:wordWrap/>
        <w:overflowPunct/>
        <w:topLinePunct w:val="0"/>
        <w:bidi w:val="0"/>
        <w:snapToGrid w:val="0"/>
        <w:spacing w:line="240" w:lineRule="auto"/>
        <w:ind w:firstLine="420"/>
        <w:textAlignment w:val="auto"/>
        <w:rPr>
          <w:rFonts w:hint="default" w:ascii="Times New Roman" w:hAnsi="Times New Roman" w:cs="Times New Roman"/>
          <w:lang w:val="en-US" w:eastAsia="zh-CN"/>
        </w:rPr>
      </w:pPr>
      <w:r>
        <w:rPr>
          <w:rFonts w:hint="default"/>
          <w:lang w:val="en-US" w:eastAsia="zh-CN"/>
        </w:rPr>
        <w:t>估计值（目测）调查法：每个药剂处理区同邻近的空白对照区或对照带进行比较，估计相对杂草种群量。</w:t>
      </w:r>
      <w:r>
        <w:rPr>
          <w:rFonts w:hint="eastAsia"/>
          <w:lang w:val="en-US" w:eastAsia="zh-CN"/>
        </w:rPr>
        <w:t>目测法分级标准参考</w:t>
      </w:r>
      <w:r>
        <w:rPr>
          <w:rFonts w:hint="eastAsia" w:ascii="宋体" w:hAnsi="Times New Roman" w:eastAsia="宋体" w:cs="Times New Roman"/>
          <w:kern w:val="0"/>
          <w:sz w:val="21"/>
          <w:szCs w:val="20"/>
          <w:lang w:val="en-US" w:eastAsia="zh-CN" w:bidi="ar-SA"/>
        </w:rPr>
        <w:t>GB/T 17980.4</w:t>
      </w:r>
      <w:r>
        <w:rPr>
          <w:rFonts w:hint="eastAsia" w:ascii="宋体" w:hAnsi="Times New Roman" w:cs="Times New Roman"/>
          <w:kern w:val="0"/>
          <w:sz w:val="21"/>
          <w:szCs w:val="20"/>
          <w:lang w:val="en-US" w:eastAsia="zh-CN" w:bidi="ar-SA"/>
        </w:rPr>
        <w:t>0</w:t>
      </w:r>
      <w:r>
        <w:rPr>
          <w:rFonts w:hint="eastAsia" w:cs="Times New Roman"/>
          <w:kern w:val="0"/>
          <w:sz w:val="21"/>
          <w:szCs w:val="20"/>
          <w:lang w:val="en-US" w:eastAsia="zh-CN" w:bidi="ar-SA"/>
        </w:rPr>
        <w:t>。</w:t>
      </w:r>
    </w:p>
    <w:p w14:paraId="07400822">
      <w:pPr>
        <w:pStyle w:val="56"/>
        <w:keepNext w:val="0"/>
        <w:keepLines w:val="0"/>
        <w:pageBreakBefore w:val="0"/>
        <w:kinsoku/>
        <w:wordWrap/>
        <w:overflowPunct/>
        <w:topLinePunct w:val="0"/>
        <w:bidi w:val="0"/>
        <w:snapToGrid w:val="0"/>
        <w:spacing w:line="240" w:lineRule="auto"/>
        <w:ind w:firstLine="420"/>
        <w:textAlignment w:val="auto"/>
        <w:rPr>
          <w:rFonts w:hint="default"/>
          <w:lang w:val="en-US" w:eastAsia="zh-CN"/>
        </w:rPr>
      </w:pPr>
      <w:r>
        <w:rPr>
          <w:rFonts w:hint="default"/>
          <w:lang w:val="en-US" w:eastAsia="zh-CN"/>
        </w:rPr>
        <w:t>使用这种分级标准前须进行训练。本分级范围可直接应用，不需转换成估计值百分数的平均值。</w:t>
      </w:r>
    </w:p>
    <w:p w14:paraId="1B6372B7">
      <w:pPr>
        <w:pStyle w:val="65"/>
        <w:spacing w:before="156" w:after="156"/>
      </w:pPr>
      <w:r>
        <w:rPr>
          <w:rFonts w:hint="eastAsia"/>
          <w:lang w:val="en-US" w:eastAsia="zh-CN"/>
        </w:rPr>
        <w:t>调查时间及次数</w:t>
      </w:r>
    </w:p>
    <w:p w14:paraId="66C45D9F">
      <w:pPr>
        <w:pStyle w:val="56"/>
        <w:ind w:firstLine="420"/>
        <w:rPr>
          <w:rFonts w:ascii="Times New Roman" w:hAnsi="Times New Roman"/>
          <w:szCs w:val="21"/>
        </w:rPr>
      </w:pPr>
      <w:r>
        <w:rPr>
          <w:rFonts w:ascii="Times New Roman" w:hAnsi="Times New Roman"/>
          <w:szCs w:val="21"/>
        </w:rPr>
        <w:t>调查时间根据水稻的栽培类型和施药时间而不同</w:t>
      </w:r>
      <w:r>
        <w:rPr>
          <w:rFonts w:hint="eastAsia"/>
        </w:rPr>
        <w:t>。</w:t>
      </w:r>
      <w:r>
        <w:rPr>
          <w:rFonts w:ascii="Times New Roman" w:hAnsi="Times New Roman"/>
          <w:szCs w:val="21"/>
        </w:rPr>
        <w:t>若无特殊要求，下列时间适合于杂草防除和水稻安全性调查，具体调查次数如下：</w:t>
      </w:r>
    </w:p>
    <w:p w14:paraId="500D0A0C">
      <w:pPr>
        <w:pStyle w:val="56"/>
        <w:ind w:firstLine="420"/>
        <w:rPr>
          <w:rFonts w:hint="eastAsia" w:ascii="Times New Roman"/>
          <w:szCs w:val="21"/>
          <w:lang w:val="en-US" w:eastAsia="zh-CN"/>
        </w:rPr>
      </w:pPr>
      <w:r>
        <w:rPr>
          <w:rFonts w:hint="eastAsia" w:ascii="Times New Roman"/>
          <w:szCs w:val="21"/>
          <w:lang w:val="en-US" w:eastAsia="zh-CN"/>
        </w:rPr>
        <w:t>苗前施药：</w:t>
      </w:r>
    </w:p>
    <w:p w14:paraId="58833FCE">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hint="eastAsia" w:ascii="Times New Roman" w:hAnsi="Times New Roman"/>
          <w:szCs w:val="21"/>
        </w:rPr>
        <w:t>第一次调查：在对照区约90%水稻出苗时（直播田和秧田），或施药后5~10天（移栽田和抛秧田）目测安全性。</w:t>
      </w:r>
    </w:p>
    <w:p w14:paraId="3B8C9FC8">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highlight w:val="none"/>
        </w:rPr>
      </w:pPr>
      <w:r>
        <w:rPr>
          <w:rFonts w:hint="eastAsia" w:ascii="Times New Roman" w:hAnsi="Times New Roman"/>
          <w:szCs w:val="21"/>
          <w:highlight w:val="none"/>
        </w:rPr>
        <w:t>第二次调查：施药后15~20天（杂草株数调查）。</w:t>
      </w:r>
    </w:p>
    <w:p w14:paraId="2C2B9F06">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hint="eastAsia" w:ascii="Times New Roman" w:hAnsi="Times New Roman"/>
          <w:szCs w:val="21"/>
          <w:highlight w:val="none"/>
        </w:rPr>
        <w:t>第三次调查：施药后4周或试验药剂药效发挥最好时（杂草</w:t>
      </w:r>
      <w:r>
        <w:rPr>
          <w:rFonts w:hint="eastAsia" w:ascii="Times New Roman" w:hAnsi="Times New Roman"/>
          <w:szCs w:val="21"/>
        </w:rPr>
        <w:t>株数及鲜重调查）。</w:t>
      </w:r>
    </w:p>
    <w:p w14:paraId="6857D277">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hint="eastAsia" w:ascii="Times New Roman" w:hAnsi="Times New Roman"/>
          <w:szCs w:val="21"/>
        </w:rPr>
        <w:t>第四次调查：收割前，评价</w:t>
      </w:r>
      <w:r>
        <w:rPr>
          <w:rFonts w:hint="eastAsia" w:ascii="Times New Roman" w:hAnsi="Times New Roman"/>
          <w:szCs w:val="21"/>
          <w:lang w:val="en-US" w:eastAsia="zh-CN"/>
        </w:rPr>
        <w:t>增产</w:t>
      </w:r>
      <w:r>
        <w:rPr>
          <w:rFonts w:hint="eastAsia" w:ascii="Times New Roman" w:hAnsi="Times New Roman"/>
          <w:szCs w:val="21"/>
        </w:rPr>
        <w:t>效果。</w:t>
      </w:r>
    </w:p>
    <w:p w14:paraId="58FB5A57">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hint="eastAsia" w:ascii="Times New Roman" w:hAnsi="Times New Roman" w:eastAsia="宋体"/>
          <w:szCs w:val="21"/>
          <w:lang w:eastAsia="zh-CN"/>
        </w:rPr>
      </w:pPr>
      <w:r>
        <w:rPr>
          <w:rFonts w:ascii="Times New Roman" w:hAnsi="Times New Roman"/>
          <w:szCs w:val="21"/>
        </w:rPr>
        <w:t>苗后施药</w:t>
      </w:r>
      <w:r>
        <w:rPr>
          <w:rFonts w:hint="eastAsia" w:ascii="Times New Roman" w:hAnsi="Times New Roman"/>
          <w:szCs w:val="21"/>
          <w:lang w:eastAsia="zh-CN"/>
        </w:rPr>
        <w:t>：</w:t>
      </w:r>
    </w:p>
    <w:p w14:paraId="7925BEFC">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第一次调查：</w:t>
      </w:r>
      <w:r>
        <w:rPr>
          <w:rFonts w:hint="eastAsia" w:ascii="Times New Roman" w:hAnsi="Times New Roman"/>
          <w:szCs w:val="21"/>
        </w:rPr>
        <w:t>施药</w:t>
      </w:r>
      <w:r>
        <w:rPr>
          <w:rFonts w:ascii="Times New Roman" w:hAnsi="Times New Roman"/>
          <w:szCs w:val="21"/>
        </w:rPr>
        <w:t>当天，记录每小区杂草种类、主要杂草的生育期和水稻的生育期、覆盖度等情况（基数调查）。</w:t>
      </w:r>
    </w:p>
    <w:p w14:paraId="4049DD6F">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highlight w:val="none"/>
        </w:rPr>
      </w:pPr>
      <w:r>
        <w:rPr>
          <w:rFonts w:ascii="Times New Roman" w:hAnsi="Times New Roman"/>
          <w:szCs w:val="21"/>
          <w:highlight w:val="none"/>
        </w:rPr>
        <w:t>第二次调查：</w:t>
      </w:r>
      <w:r>
        <w:rPr>
          <w:rFonts w:hint="eastAsia" w:ascii="Times New Roman" w:hAnsi="Times New Roman"/>
          <w:szCs w:val="21"/>
          <w:highlight w:val="none"/>
        </w:rPr>
        <w:t>施药</w:t>
      </w:r>
      <w:r>
        <w:rPr>
          <w:rFonts w:ascii="Times New Roman" w:hAnsi="Times New Roman"/>
          <w:szCs w:val="21"/>
          <w:highlight w:val="none"/>
        </w:rPr>
        <w:t>后</w:t>
      </w:r>
      <w:r>
        <w:rPr>
          <w:rFonts w:hint="eastAsia" w:ascii="Times New Roman" w:hAnsi="Times New Roman"/>
          <w:szCs w:val="21"/>
          <w:highlight w:val="none"/>
        </w:rPr>
        <w:t>5</w:t>
      </w:r>
      <w:r>
        <w:rPr>
          <w:rFonts w:ascii="Times New Roman" w:hAnsi="Times New Roman"/>
          <w:szCs w:val="21"/>
          <w:highlight w:val="none"/>
        </w:rPr>
        <w:t>~</w:t>
      </w:r>
      <w:r>
        <w:rPr>
          <w:rFonts w:hint="eastAsia" w:ascii="Times New Roman" w:hAnsi="Times New Roman"/>
          <w:szCs w:val="21"/>
          <w:highlight w:val="none"/>
        </w:rPr>
        <w:t>7</w:t>
      </w:r>
      <w:r>
        <w:rPr>
          <w:rFonts w:ascii="Times New Roman" w:hAnsi="Times New Roman"/>
          <w:szCs w:val="21"/>
          <w:highlight w:val="none"/>
        </w:rPr>
        <w:t>天（目测）。</w:t>
      </w:r>
    </w:p>
    <w:p w14:paraId="0BE0F81A">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highlight w:val="none"/>
        </w:rPr>
      </w:pPr>
      <w:r>
        <w:rPr>
          <w:rFonts w:ascii="Times New Roman" w:hAnsi="Times New Roman"/>
          <w:szCs w:val="21"/>
          <w:highlight w:val="none"/>
        </w:rPr>
        <w:t>第三次调查：</w:t>
      </w:r>
      <w:r>
        <w:rPr>
          <w:rFonts w:hint="eastAsia" w:ascii="Times New Roman" w:hAnsi="Times New Roman"/>
          <w:szCs w:val="21"/>
          <w:highlight w:val="none"/>
        </w:rPr>
        <w:t>施药</w:t>
      </w:r>
      <w:r>
        <w:rPr>
          <w:rFonts w:ascii="Times New Roman" w:hAnsi="Times New Roman"/>
          <w:szCs w:val="21"/>
          <w:highlight w:val="none"/>
        </w:rPr>
        <w:t>后10~20天（杂草株数调查）。</w:t>
      </w:r>
    </w:p>
    <w:p w14:paraId="1E536AC7">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highlight w:val="none"/>
        </w:rPr>
      </w:pPr>
      <w:r>
        <w:rPr>
          <w:rFonts w:ascii="Times New Roman" w:hAnsi="Times New Roman"/>
          <w:szCs w:val="21"/>
          <w:highlight w:val="none"/>
        </w:rPr>
        <w:t>第四次调查：</w:t>
      </w:r>
      <w:r>
        <w:rPr>
          <w:rFonts w:hint="eastAsia" w:ascii="Times New Roman" w:hAnsi="Times New Roman"/>
          <w:szCs w:val="21"/>
          <w:highlight w:val="none"/>
        </w:rPr>
        <w:t>施药</w:t>
      </w:r>
      <w:r>
        <w:rPr>
          <w:rFonts w:ascii="Times New Roman" w:hAnsi="Times New Roman"/>
          <w:szCs w:val="21"/>
          <w:highlight w:val="none"/>
        </w:rPr>
        <w:t>后30~50天（杂草株数及鲜重调查）。</w:t>
      </w:r>
    </w:p>
    <w:p w14:paraId="43B6A33C">
      <w:pPr>
        <w:pStyle w:val="56"/>
        <w:keepNext w:val="0"/>
        <w:keepLines w:val="0"/>
        <w:pageBreakBefore w:val="0"/>
        <w:kinsoku/>
        <w:wordWrap/>
        <w:overflowPunct/>
        <w:topLinePunct w:val="0"/>
        <w:bidi w:val="0"/>
        <w:snapToGrid w:val="0"/>
        <w:spacing w:line="240" w:lineRule="auto"/>
        <w:ind w:firstLine="420"/>
        <w:textAlignment w:val="auto"/>
        <w:rPr>
          <w:rFonts w:hint="default" w:ascii="Times New Roman"/>
          <w:szCs w:val="21"/>
          <w:lang w:val="en-US" w:eastAsia="zh-CN"/>
        </w:rPr>
      </w:pPr>
      <w:r>
        <w:rPr>
          <w:rFonts w:ascii="Times New Roman" w:hAnsi="Times New Roman"/>
          <w:szCs w:val="21"/>
          <w:highlight w:val="none"/>
        </w:rPr>
        <w:t>第五次调查（仅调查安全性）：</w:t>
      </w:r>
      <w:r>
        <w:rPr>
          <w:rFonts w:hint="eastAsia" w:ascii="Times New Roman"/>
          <w:szCs w:val="21"/>
          <w:highlight w:val="none"/>
          <w:lang w:val="en-US" w:eastAsia="zh-CN"/>
        </w:rPr>
        <w:t>在收割前，评价增产效果</w:t>
      </w:r>
      <w:r>
        <w:rPr>
          <w:rFonts w:ascii="Times New Roman" w:hAnsi="Times New Roman"/>
          <w:szCs w:val="21"/>
          <w:highlight w:val="none"/>
        </w:rPr>
        <w:t>。</w:t>
      </w:r>
    </w:p>
    <w:p w14:paraId="3DE138B6">
      <w:pPr>
        <w:pStyle w:val="65"/>
        <w:spacing w:before="156" w:after="156"/>
      </w:pPr>
      <w:r>
        <w:rPr>
          <w:rFonts w:hint="eastAsia"/>
          <w:lang w:val="en-US" w:eastAsia="zh-CN"/>
        </w:rPr>
        <w:t>防效计算</w:t>
      </w:r>
    </w:p>
    <w:p w14:paraId="5D5B6DA3">
      <w:pPr>
        <w:tabs>
          <w:tab w:val="center" w:pos="1119"/>
          <w:tab w:val="center" w:pos="4912"/>
        </w:tabs>
        <w:spacing w:line="440" w:lineRule="exact"/>
        <w:ind w:firstLine="420" w:firstLineChars="200"/>
        <w:rPr>
          <w:rFonts w:ascii="Times New Roman" w:hAnsi="Times New Roman"/>
          <w:szCs w:val="21"/>
        </w:rPr>
      </w:pPr>
      <w:r>
        <w:rPr>
          <w:rFonts w:ascii="Times New Roman" w:hAnsi="Times New Roman"/>
          <w:szCs w:val="21"/>
        </w:rPr>
        <w:t>防治效果计算公式：</w:t>
      </w:r>
    </w:p>
    <w:p w14:paraId="67E1F2C8">
      <w:pPr>
        <w:adjustRightInd w:val="0"/>
        <w:snapToGrid w:val="0"/>
        <w:spacing w:line="360" w:lineRule="auto"/>
        <w:jc w:val="center"/>
        <w:rPr>
          <w:rFonts w:ascii="Times New Roman" w:hAnsi="Times New Roman" w:eastAsiaTheme="minorEastAsia"/>
        </w:rPr>
      </w:pPr>
      <m:oMathPara>
        <m:oMath>
          <m:r>
            <m:rPr>
              <m:nor/>
              <m:sty m:val="p"/>
            </m:rPr>
            <w:rPr>
              <w:rFonts w:ascii="Times New Roman" w:hAnsi="Times New Roman" w:eastAsiaTheme="minorEastAsia"/>
              <w:b w:val="0"/>
              <w:i w:val="0"/>
              <w:snapToGrid w:val="0"/>
              <w:kern w:val="0"/>
            </w:rPr>
            <m:t>株防效</m:t>
          </m:r>
          <m:r>
            <m:rPr>
              <m:nor/>
              <m:sty m:val="p"/>
            </m:rPr>
            <w:rPr>
              <w:rFonts w:ascii="Times New Roman" w:hAnsi="Times New Roman" w:eastAsiaTheme="minorEastAsia"/>
              <w:b w:val="0"/>
              <w:i w:val="0"/>
            </w:rPr>
            <m:t>（%）</m:t>
          </m:r>
          <m:r>
            <m:rPr>
              <m:nor/>
              <m:sty m:val="p"/>
            </m:rPr>
            <w:rPr>
              <w:rFonts w:ascii="Times New Roman" w:hAnsi="Times New Roman" w:eastAsiaTheme="minorEastAsia"/>
              <w:b w:val="0"/>
              <w:i w:val="0"/>
              <w:snapToGrid w:val="0"/>
              <w:kern w:val="0"/>
            </w:rPr>
            <m:t>=</m:t>
          </m:r>
          <m:f>
            <m:fPr>
              <m:ctrlPr>
                <w:rPr>
                  <w:rFonts w:ascii="Cambria Math" w:hAnsi="Cambria Math" w:eastAsiaTheme="minorEastAsia"/>
                  <w:snapToGrid w:val="0"/>
                  <w:kern w:val="0"/>
                </w:rPr>
              </m:ctrlPr>
            </m:fPr>
            <m:num>
              <m:r>
                <m:rPr>
                  <m:nor/>
                  <m:sty m:val="p"/>
                </m:rPr>
                <w:rPr>
                  <w:rFonts w:ascii="Times New Roman" w:hAnsi="Times New Roman" w:eastAsiaTheme="minorEastAsia"/>
                  <w:b w:val="0"/>
                  <w:i w:val="0"/>
                  <w:snapToGrid w:val="0"/>
                  <w:kern w:val="0"/>
                </w:rPr>
                <m:t>空白对照区杂草数-处理区杂草数</m:t>
              </m:r>
              <m:ctrlPr>
                <w:rPr>
                  <w:rFonts w:ascii="Cambria Math" w:hAnsi="Cambria Math" w:eastAsiaTheme="minorEastAsia"/>
                  <w:snapToGrid w:val="0"/>
                  <w:kern w:val="0"/>
                </w:rPr>
              </m:ctrlPr>
            </m:num>
            <m:den>
              <m:r>
                <m:rPr>
                  <m:nor/>
                  <m:sty m:val="p"/>
                </m:rPr>
                <w:rPr>
                  <w:rFonts w:ascii="Times New Roman" w:hAnsi="Times New Roman" w:eastAsiaTheme="minorEastAsia"/>
                  <w:b w:val="0"/>
                  <w:i w:val="0"/>
                  <w:snapToGrid w:val="0"/>
                  <w:kern w:val="0"/>
                </w:rPr>
                <m:t>空白对照区杂草数</m:t>
              </m:r>
              <m:ctrlPr>
                <w:rPr>
                  <w:rFonts w:ascii="Cambria Math" w:hAnsi="Cambria Math" w:eastAsiaTheme="minorEastAsia"/>
                  <w:snapToGrid w:val="0"/>
                  <w:kern w:val="0"/>
                </w:rPr>
              </m:ctrlPr>
            </m:den>
          </m:f>
          <m:r>
            <m:rPr>
              <m:nor/>
              <m:sty m:val="p"/>
            </m:rPr>
            <w:rPr>
              <w:rFonts w:ascii="Times New Roman" w:hAnsi="Times New Roman" w:eastAsiaTheme="minorEastAsia"/>
              <w:b w:val="0"/>
              <w:i w:val="0"/>
              <w:snapToGrid w:val="0"/>
              <w:kern w:val="0"/>
            </w:rPr>
            <m:t>×</m:t>
          </m:r>
          <m:r>
            <m:rPr>
              <m:nor/>
              <m:sty m:val="p"/>
            </m:rPr>
            <w:rPr>
              <w:rFonts w:ascii="Times New Roman" w:hAnsi="Times New Roman" w:eastAsiaTheme="minorEastAsia"/>
              <w:b w:val="0"/>
              <w:i w:val="0"/>
            </w:rPr>
            <m:t>100</m:t>
          </m:r>
        </m:oMath>
      </m:oMathPara>
    </w:p>
    <w:p w14:paraId="1960E0B9">
      <w:pPr>
        <w:pStyle w:val="56"/>
        <w:ind w:firstLine="420"/>
      </w:pPr>
      <m:oMathPara>
        <m:oMath>
          <m:r>
            <m:rPr>
              <m:nor/>
              <m:sty m:val="p"/>
            </m:rPr>
            <w:rPr>
              <w:rFonts w:ascii="Times New Roman" w:hAnsi="Times New Roman" w:eastAsiaTheme="minorEastAsia"/>
              <w:b w:val="0"/>
              <w:i w:val="0"/>
              <w:snapToGrid w:val="0"/>
              <w:kern w:val="0"/>
            </w:rPr>
            <m:t>鲜重防效（</m:t>
          </m:r>
          <m:r>
            <m:rPr>
              <m:nor/>
              <m:sty m:val="p"/>
            </m:rPr>
            <w:rPr>
              <w:rFonts w:ascii="Times New Roman" w:hAnsi="Times New Roman" w:eastAsiaTheme="minorEastAsia"/>
              <w:b w:val="0"/>
              <w:i w:val="0"/>
            </w:rPr>
            <m:t>%</m:t>
          </m:r>
          <m:r>
            <m:rPr>
              <m:nor/>
              <m:sty m:val="p"/>
            </m:rPr>
            <w:rPr>
              <w:rFonts w:ascii="Times New Roman" w:hAnsi="Times New Roman" w:eastAsiaTheme="minorEastAsia"/>
              <w:b w:val="0"/>
              <w:i w:val="0"/>
              <w:snapToGrid w:val="0"/>
              <w:kern w:val="0"/>
            </w:rPr>
            <m:t>）=</m:t>
          </m:r>
          <m:f>
            <m:fPr>
              <m:ctrlPr>
                <w:rPr>
                  <w:rFonts w:ascii="Cambria Math" w:hAnsi="Cambria Math" w:eastAsiaTheme="minorEastAsia"/>
                  <w:snapToGrid w:val="0"/>
                  <w:kern w:val="0"/>
                </w:rPr>
              </m:ctrlPr>
            </m:fPr>
            <m:num>
              <m:r>
                <m:rPr>
                  <m:nor/>
                  <m:sty m:val="p"/>
                </m:rPr>
                <w:rPr>
                  <w:rFonts w:ascii="Times New Roman" w:hAnsi="Times New Roman" w:eastAsiaTheme="minorEastAsia"/>
                  <w:b w:val="0"/>
                  <w:i w:val="0"/>
                  <w:snapToGrid w:val="0"/>
                  <w:kern w:val="0"/>
                </w:rPr>
                <m:t>空白对照区鲜草重量-处理区鲜草重量</m:t>
              </m:r>
              <m:ctrlPr>
                <w:rPr>
                  <w:rFonts w:ascii="Cambria Math" w:hAnsi="Cambria Math" w:eastAsiaTheme="minorEastAsia"/>
                  <w:snapToGrid w:val="0"/>
                  <w:kern w:val="0"/>
                </w:rPr>
              </m:ctrlPr>
            </m:num>
            <m:den>
              <m:r>
                <m:rPr>
                  <m:nor/>
                  <m:sty m:val="p"/>
                </m:rPr>
                <w:rPr>
                  <w:rFonts w:ascii="Times New Roman" w:hAnsi="Times New Roman" w:eastAsiaTheme="minorEastAsia"/>
                  <w:b w:val="0"/>
                  <w:i w:val="0"/>
                  <w:snapToGrid w:val="0"/>
                  <w:kern w:val="0"/>
                </w:rPr>
                <m:t>空白对照区鲜草重量</m:t>
              </m:r>
              <m:ctrlPr>
                <w:rPr>
                  <w:rFonts w:ascii="Cambria Math" w:hAnsi="Cambria Math" w:eastAsiaTheme="minorEastAsia"/>
                  <w:snapToGrid w:val="0"/>
                  <w:kern w:val="0"/>
                </w:rPr>
              </m:ctrlPr>
            </m:den>
          </m:f>
          <m:r>
            <m:rPr>
              <m:nor/>
              <m:sty m:val="p"/>
            </m:rPr>
            <w:rPr>
              <w:rFonts w:ascii="Times New Roman" w:hAnsi="Times New Roman" w:eastAsiaTheme="minorEastAsia"/>
              <w:b w:val="0"/>
              <w:i w:val="0"/>
              <w:snapToGrid w:val="0"/>
              <w:kern w:val="0"/>
            </w:rPr>
            <m:t>×100</m:t>
          </m:r>
        </m:oMath>
      </m:oMathPara>
    </w:p>
    <w:p w14:paraId="3DB202B8">
      <w:pPr>
        <w:pStyle w:val="105"/>
        <w:spacing w:before="156" w:after="156"/>
      </w:pPr>
      <w:r>
        <w:rPr>
          <w:rFonts w:hint="eastAsia"/>
          <w:lang w:val="en-US" w:eastAsia="zh-CN"/>
        </w:rPr>
        <w:t>作物调查</w:t>
      </w:r>
    </w:p>
    <w:p w14:paraId="301F0D80">
      <w:pPr>
        <w:pStyle w:val="65"/>
        <w:spacing w:before="156" w:after="156"/>
      </w:pPr>
      <w:r>
        <w:rPr>
          <w:rFonts w:hint="eastAsia"/>
          <w:lang w:val="en-US" w:eastAsia="zh-CN"/>
        </w:rPr>
        <w:t>调查方法</w:t>
      </w:r>
    </w:p>
    <w:p w14:paraId="5D8DCEC0">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观察</w:t>
      </w:r>
      <w:r>
        <w:rPr>
          <w:rFonts w:hint="eastAsia" w:ascii="Times New Roman" w:hAnsi="Times New Roman"/>
          <w:szCs w:val="21"/>
          <w:lang w:val="en-US" w:eastAsia="zh-CN"/>
        </w:rPr>
        <w:t>除草剂</w:t>
      </w:r>
      <w:r>
        <w:rPr>
          <w:rFonts w:ascii="Times New Roman" w:hAnsi="Times New Roman"/>
          <w:szCs w:val="21"/>
        </w:rPr>
        <w:t>对水稻有无药害，记录药害的类型和程度。可按下列要求记录：</w:t>
      </w:r>
    </w:p>
    <w:p w14:paraId="37D56B21">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a</w:t>
      </w:r>
      <w:r>
        <w:rPr>
          <w:rFonts w:hint="eastAsia" w:ascii="Times New Roman" w:hAnsi="Times New Roman"/>
          <w:szCs w:val="21"/>
        </w:rPr>
        <w:t>、</w:t>
      </w:r>
      <w:r>
        <w:rPr>
          <w:rFonts w:ascii="Times New Roman" w:hAnsi="Times New Roman"/>
          <w:szCs w:val="21"/>
        </w:rPr>
        <w:t>如果药害被计数或测量，则用绝对值表示，如植株数或植株株高度等。</w:t>
      </w:r>
    </w:p>
    <w:p w14:paraId="3542376B">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b</w:t>
      </w:r>
      <w:r>
        <w:rPr>
          <w:rFonts w:hint="eastAsia" w:ascii="Times New Roman" w:hAnsi="Times New Roman"/>
          <w:szCs w:val="21"/>
        </w:rPr>
        <w:t>、</w:t>
      </w:r>
      <w:r>
        <w:rPr>
          <w:rFonts w:ascii="Times New Roman" w:hAnsi="Times New Roman"/>
          <w:szCs w:val="21"/>
        </w:rPr>
        <w:t>在其他情况可按下列两种方法估计药害的程度和频率：</w:t>
      </w:r>
    </w:p>
    <w:p w14:paraId="5A2DFB42">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hint="default" w:ascii="Times New Roman" w:eastAsia="宋体"/>
          <w:szCs w:val="21"/>
          <w:lang w:val="en-US" w:eastAsia="zh-CN"/>
        </w:rPr>
      </w:pPr>
      <w:r>
        <w:rPr>
          <w:rFonts w:ascii="Times New Roman" w:hAnsi="Times New Roman"/>
          <w:szCs w:val="21"/>
        </w:rPr>
        <w:t>1）按药害分级的方法给每个小区药害定级打分：</w:t>
      </w:r>
      <w:r>
        <w:rPr>
          <w:rFonts w:hint="eastAsia" w:ascii="Times New Roman" w:hAnsi="Times New Roman"/>
          <w:szCs w:val="21"/>
          <w:lang w:val="en-US" w:eastAsia="zh-CN"/>
        </w:rPr>
        <w:t>分级标准参考</w:t>
      </w:r>
      <w:r>
        <w:rPr>
          <w:rFonts w:hint="eastAsia" w:ascii="宋体" w:hAnsi="Times New Roman" w:eastAsia="宋体" w:cs="Times New Roman"/>
          <w:kern w:val="0"/>
          <w:sz w:val="21"/>
          <w:szCs w:val="20"/>
          <w:lang w:val="en-US" w:eastAsia="zh-CN" w:bidi="ar-SA"/>
        </w:rPr>
        <w:t>GB/T 17980.4</w:t>
      </w:r>
      <w:r>
        <w:rPr>
          <w:rFonts w:hint="eastAsia" w:ascii="宋体" w:hAnsi="Times New Roman" w:cs="Times New Roman"/>
          <w:kern w:val="0"/>
          <w:sz w:val="21"/>
          <w:szCs w:val="20"/>
          <w:lang w:val="en-US" w:eastAsia="zh-CN" w:bidi="ar-SA"/>
        </w:rPr>
        <w:t>0。</w:t>
      </w:r>
    </w:p>
    <w:p w14:paraId="3C108032">
      <w:pPr>
        <w:keepNext w:val="0"/>
        <w:keepLines w:val="0"/>
        <w:pageBreakBefore w:val="0"/>
        <w:tabs>
          <w:tab w:val="center" w:pos="1119"/>
          <w:tab w:val="center" w:pos="4912"/>
        </w:tabs>
        <w:kinsoku/>
        <w:wordWrap/>
        <w:overflowPunct/>
        <w:topLinePunct w:val="0"/>
        <w:bidi w:val="0"/>
        <w:snapToGrid w:val="0"/>
        <w:spacing w:line="240" w:lineRule="auto"/>
        <w:ind w:firstLine="420" w:firstLineChars="200"/>
        <w:textAlignment w:val="auto"/>
        <w:rPr>
          <w:rFonts w:ascii="Times New Roman" w:hAnsi="Times New Roman"/>
          <w:szCs w:val="21"/>
        </w:rPr>
      </w:pPr>
      <w:r>
        <w:rPr>
          <w:rFonts w:ascii="Times New Roman" w:hAnsi="Times New Roman"/>
          <w:szCs w:val="21"/>
        </w:rPr>
        <w:t>2）将药剂处理区同空白对照区比较、评价药害百分率：</w:t>
      </w:r>
    </w:p>
    <w:p w14:paraId="6AE9CFA5">
      <w:pPr>
        <w:pStyle w:val="56"/>
        <w:keepNext w:val="0"/>
        <w:keepLines w:val="0"/>
        <w:pageBreakBefore w:val="0"/>
        <w:kinsoku/>
        <w:wordWrap/>
        <w:overflowPunct/>
        <w:topLinePunct w:val="0"/>
        <w:bidi w:val="0"/>
        <w:snapToGrid w:val="0"/>
        <w:spacing w:line="240" w:lineRule="auto"/>
        <w:textAlignment w:val="auto"/>
        <w:rPr>
          <w:rFonts w:hint="eastAsia" w:ascii="Times New Roman"/>
          <w:szCs w:val="21"/>
          <w:lang w:eastAsia="zh-CN"/>
        </w:rPr>
      </w:pPr>
      <w:r>
        <w:rPr>
          <w:rFonts w:ascii="Times New Roman" w:hAnsi="Times New Roman"/>
          <w:szCs w:val="21"/>
        </w:rPr>
        <w:t>准确描述水稻药害的症状</w:t>
      </w:r>
      <w:r>
        <w:rPr>
          <w:rFonts w:hint="eastAsia" w:ascii="Times New Roman"/>
          <w:szCs w:val="21"/>
          <w:lang w:val="en-US" w:eastAsia="zh-CN"/>
        </w:rPr>
        <w:t>类型</w:t>
      </w:r>
      <w:r>
        <w:rPr>
          <w:rFonts w:ascii="Times New Roman" w:hAnsi="Times New Roman"/>
          <w:szCs w:val="21"/>
        </w:rPr>
        <w:t>（</w:t>
      </w:r>
      <w:r>
        <w:rPr>
          <w:rFonts w:hint="eastAsia" w:ascii="Times New Roman"/>
          <w:szCs w:val="21"/>
          <w:lang w:val="en-US" w:eastAsia="zh-CN"/>
        </w:rPr>
        <w:t>短暂白化、</w:t>
      </w:r>
      <w:r>
        <w:rPr>
          <w:rFonts w:ascii="Times New Roman" w:hAnsi="Times New Roman"/>
          <w:szCs w:val="21"/>
        </w:rPr>
        <w:t>褪绿、</w:t>
      </w:r>
      <w:r>
        <w:rPr>
          <w:rFonts w:hint="eastAsia" w:ascii="Times New Roman"/>
          <w:szCs w:val="21"/>
          <w:lang w:val="en-US" w:eastAsia="zh-CN"/>
        </w:rPr>
        <w:t>干枯、</w:t>
      </w:r>
      <w:r>
        <w:rPr>
          <w:rFonts w:ascii="Times New Roman" w:hAnsi="Times New Roman"/>
          <w:szCs w:val="21"/>
        </w:rPr>
        <w:t>生长抑制等</w:t>
      </w:r>
      <w:r>
        <w:rPr>
          <w:rFonts w:hint="eastAsia" w:ascii="Times New Roman"/>
          <w:szCs w:val="21"/>
          <w:lang w:eastAsia="zh-CN"/>
        </w:rPr>
        <w:t>，</w:t>
      </w:r>
      <w:r>
        <w:rPr>
          <w:rFonts w:hint="eastAsia" w:ascii="Times New Roman"/>
          <w:szCs w:val="21"/>
          <w:lang w:val="en-US" w:eastAsia="zh-CN"/>
        </w:rPr>
        <w:t>常见HPPD抑制剂对水稻药害症状见附录B</w:t>
      </w:r>
      <w:r>
        <w:rPr>
          <w:rFonts w:ascii="Times New Roman" w:hAnsi="Times New Roman"/>
          <w:szCs w:val="21"/>
        </w:rPr>
        <w:t>）</w:t>
      </w:r>
      <w:r>
        <w:rPr>
          <w:rFonts w:hint="eastAsia" w:ascii="Times New Roman"/>
          <w:szCs w:val="21"/>
          <w:lang w:val="en-US" w:eastAsia="zh-CN"/>
        </w:rPr>
        <w:t>、程度和持续时间、药害恢复情况以及</w:t>
      </w:r>
      <w:r>
        <w:rPr>
          <w:rFonts w:ascii="Times New Roman" w:hAnsi="Times New Roman"/>
          <w:szCs w:val="21"/>
        </w:rPr>
        <w:t>以及最终对水稻分蘖、株高、产量的影响</w:t>
      </w:r>
      <w:r>
        <w:rPr>
          <w:rFonts w:hint="eastAsia" w:ascii="Times New Roman" w:hAnsi="Times New Roman"/>
          <w:szCs w:val="21"/>
          <w:lang w:val="en-US" w:eastAsia="zh-CN"/>
        </w:rPr>
        <w:t>。</w:t>
      </w:r>
    </w:p>
    <w:p w14:paraId="6CC563BB">
      <w:pPr>
        <w:pStyle w:val="65"/>
        <w:spacing w:before="156" w:after="156"/>
      </w:pPr>
      <w:r>
        <w:rPr>
          <w:rFonts w:hint="eastAsia"/>
          <w:lang w:val="en-US" w:eastAsia="zh-CN"/>
        </w:rPr>
        <w:t>调查时间及次数</w:t>
      </w:r>
    </w:p>
    <w:p w14:paraId="5A8120B0">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pPr>
      <w:r>
        <w:rPr>
          <w:rFonts w:ascii="Times New Roman" w:hAnsi="Times New Roman"/>
          <w:szCs w:val="21"/>
        </w:rPr>
        <w:t>参见</w:t>
      </w:r>
      <w:r>
        <w:rPr>
          <w:rFonts w:hint="eastAsia" w:ascii="Times New Roman" w:hAnsi="Times New Roman"/>
          <w:szCs w:val="21"/>
          <w:lang w:val="en-US" w:eastAsia="zh-CN"/>
        </w:rPr>
        <w:t>6.3.2杂草</w:t>
      </w:r>
      <w:r>
        <w:rPr>
          <w:rFonts w:ascii="Times New Roman" w:hAnsi="Times New Roman"/>
          <w:szCs w:val="21"/>
        </w:rPr>
        <w:t>调查。</w:t>
      </w:r>
    </w:p>
    <w:p w14:paraId="6D1CCBCC">
      <w:pPr>
        <w:pStyle w:val="65"/>
        <w:spacing w:before="156" w:after="156"/>
      </w:pPr>
      <w:r>
        <w:rPr>
          <w:rFonts w:hint="eastAsia"/>
          <w:lang w:val="en-US" w:eastAsia="zh-CN"/>
        </w:rPr>
        <w:t>作物产量与质量的记录</w:t>
      </w:r>
    </w:p>
    <w:p w14:paraId="46ED53F4">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rPr>
          <w:rFonts w:ascii="Times New Roman" w:hAnsi="Times New Roman"/>
          <w:szCs w:val="21"/>
        </w:rPr>
      </w:pPr>
      <w:r>
        <w:rPr>
          <w:rFonts w:hint="eastAsia" w:ascii="Times New Roman" w:hAnsi="Times New Roman"/>
          <w:szCs w:val="21"/>
        </w:rPr>
        <w:t>于水稻收获期，从每小区中心区收割一定面积的水稻，脱粒后自然晾干一周后称重，计算出各处理区比较空白区的增产率及折算出每公顷产量（</w:t>
      </w:r>
      <w:r>
        <w:rPr>
          <w:rFonts w:hint="eastAsia" w:ascii="Times New Roman" w:hAnsi="Times New Roman"/>
        </w:rPr>
        <w:t>kg/hm</w:t>
      </w:r>
      <w:r>
        <w:rPr>
          <w:rFonts w:ascii="Times New Roman" w:hAnsi="Times New Roman"/>
          <w:vertAlign w:val="superscript"/>
        </w:rPr>
        <w:t>2</w:t>
      </w:r>
      <w:r>
        <w:rPr>
          <w:rFonts w:hint="eastAsia" w:ascii="Times New Roman" w:hAnsi="Times New Roman"/>
          <w:szCs w:val="21"/>
        </w:rPr>
        <w:t>），评价试验药剂对作物产量的影响。</w:t>
      </w:r>
    </w:p>
    <w:p w14:paraId="1F3F6220">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textAlignment w:val="auto"/>
        <w:rPr>
          <w:rFonts w:ascii="Times New Roman" w:hAnsi="Times New Roman"/>
          <w:szCs w:val="21"/>
        </w:rPr>
      </w:pPr>
      <w:r>
        <w:rPr>
          <w:rFonts w:ascii="Times New Roman" w:hAnsi="Times New Roman"/>
          <w:szCs w:val="21"/>
        </w:rPr>
        <w:t>增产率计算公式：</w:t>
      </w:r>
    </w:p>
    <w:p w14:paraId="05A0D59E">
      <w:pPr>
        <w:pStyle w:val="56"/>
        <w:rPr>
          <w:rFonts w:hAnsi="Times New Roman" w:eastAsiaTheme="minorEastAsia"/>
          <w:b w:val="0"/>
          <w:i w:val="0"/>
          <w:snapToGrid w:val="0"/>
          <w:kern w:val="0"/>
        </w:rPr>
      </w:pPr>
      <m:oMathPara>
        <m:oMathParaPr>
          <m:jc m:val="center"/>
        </m:oMathParaPr>
        <m:oMath>
          <m:r>
            <m:rPr>
              <m:nor/>
              <m:sty m:val="p"/>
            </m:rPr>
            <w:rPr>
              <w:rFonts w:ascii="Times New Roman" w:hAnsi="Times New Roman" w:eastAsiaTheme="minorEastAsia"/>
              <w:b w:val="0"/>
              <w:i w:val="0"/>
              <w:snapToGrid w:val="0"/>
              <w:kern w:val="0"/>
            </w:rPr>
            <m:t>增产率（</m:t>
          </m:r>
          <m:r>
            <m:rPr>
              <m:nor/>
              <m:sty m:val="p"/>
            </m:rPr>
            <w:rPr>
              <w:rFonts w:hint="eastAsia" w:ascii="Cambria Math" w:hAnsi="Times New Roman" w:eastAsiaTheme="minorEastAsia"/>
              <w:b w:val="0"/>
              <w:i w:val="0"/>
            </w:rPr>
            <m:t>%</m:t>
          </m:r>
          <m:r>
            <m:rPr>
              <m:nor/>
              <m:sty m:val="p"/>
            </m:rPr>
            <w:rPr>
              <w:rFonts w:ascii="Times New Roman" w:hAnsi="Times New Roman" w:eastAsiaTheme="minorEastAsia"/>
              <w:b w:val="0"/>
              <w:i w:val="0"/>
              <w:snapToGrid w:val="0"/>
              <w:kern w:val="0"/>
            </w:rPr>
            <m:t>）=</m:t>
          </m:r>
          <m:f>
            <m:fPr>
              <m:ctrlPr>
                <w:rPr>
                  <w:rFonts w:ascii="Cambria Math" w:hAnsi="Cambria Math" w:eastAsiaTheme="minorEastAsia"/>
                  <w:i/>
                  <w:snapToGrid w:val="0"/>
                  <w:kern w:val="0"/>
                </w:rPr>
              </m:ctrlPr>
            </m:fPr>
            <m:num>
              <m:r>
                <m:rPr>
                  <m:nor/>
                  <m:sty m:val="p"/>
                </m:rPr>
                <w:rPr>
                  <w:rFonts w:ascii="Times New Roman" w:hAnsi="Times New Roman" w:eastAsiaTheme="minorEastAsia"/>
                  <w:b w:val="0"/>
                  <w:i w:val="0"/>
                  <w:snapToGrid w:val="0"/>
                  <w:kern w:val="0"/>
                </w:rPr>
                <m:t>处理区产量-空白对照区产量</m:t>
              </m:r>
              <m:ctrlPr>
                <w:rPr>
                  <w:rFonts w:ascii="Cambria Math" w:hAnsi="Cambria Math" w:eastAsiaTheme="minorEastAsia"/>
                  <w:i/>
                  <w:snapToGrid w:val="0"/>
                  <w:kern w:val="0"/>
                </w:rPr>
              </m:ctrlPr>
            </m:num>
            <m:den>
              <m:r>
                <m:rPr>
                  <m:nor/>
                  <m:sty m:val="p"/>
                </m:rPr>
                <w:rPr>
                  <w:rFonts w:ascii="Times New Roman" w:hAnsi="Times New Roman" w:eastAsiaTheme="minorEastAsia"/>
                  <w:b w:val="0"/>
                  <w:i w:val="0"/>
                  <w:snapToGrid w:val="0"/>
                  <w:kern w:val="0"/>
                </w:rPr>
                <m:t>空白对照区产量</m:t>
              </m:r>
              <m:ctrlPr>
                <w:rPr>
                  <w:rFonts w:ascii="Cambria Math" w:hAnsi="Cambria Math" w:eastAsiaTheme="minorEastAsia"/>
                  <w:i/>
                  <w:snapToGrid w:val="0"/>
                  <w:kern w:val="0"/>
                </w:rPr>
              </m:ctrlPr>
            </m:den>
          </m:f>
          <m:r>
            <m:rPr>
              <m:nor/>
              <m:sty m:val="p"/>
            </m:rPr>
            <w:rPr>
              <w:rFonts w:ascii="Times New Roman" w:hAnsi="Times New Roman" w:eastAsiaTheme="minorEastAsia"/>
              <w:b w:val="0"/>
              <w:i w:val="0"/>
              <w:snapToGrid w:val="0"/>
              <w:kern w:val="0"/>
            </w:rPr>
            <m:t>×100</m:t>
          </m:r>
        </m:oMath>
      </m:oMathPara>
    </w:p>
    <w:p w14:paraId="0858EDBA">
      <w:pPr>
        <w:pStyle w:val="65"/>
        <w:spacing w:before="156" w:after="156"/>
      </w:pPr>
      <w:r>
        <w:rPr>
          <w:rFonts w:hint="eastAsia"/>
          <w:lang w:val="en-US" w:eastAsia="zh-CN"/>
        </w:rPr>
        <w:t>副作用观察</w:t>
      </w:r>
    </w:p>
    <w:p w14:paraId="0409930B">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rPr>
          <w:rFonts w:hAnsi="Times New Roman" w:eastAsiaTheme="minorEastAsia"/>
          <w:b w:val="0"/>
          <w:i w:val="0"/>
          <w:snapToGrid w:val="0"/>
          <w:kern w:val="0"/>
        </w:rPr>
      </w:pPr>
      <w:r>
        <w:rPr>
          <w:rFonts w:ascii="Times New Roman" w:hAnsi="Times New Roman"/>
          <w:szCs w:val="21"/>
        </w:rPr>
        <w:t>记录对非靶标生物的影响。</w:t>
      </w:r>
    </w:p>
    <w:p w14:paraId="6998DA3F">
      <w:pPr>
        <w:pStyle w:val="104"/>
        <w:spacing w:before="312" w:after="312"/>
      </w:pPr>
      <w:bookmarkStart w:id="52" w:name="_Toc15711"/>
      <w:r>
        <w:rPr>
          <w:rFonts w:hint="eastAsia"/>
          <w:lang w:val="en-US" w:eastAsia="zh-CN"/>
        </w:rPr>
        <w:t>试验报告撰写</w:t>
      </w:r>
      <w:bookmarkEnd w:id="52"/>
    </w:p>
    <w:p w14:paraId="64067F70">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pPr>
      <w:r>
        <w:rPr>
          <w:rFonts w:hint="eastAsia" w:ascii="Times New Roman" w:hAnsi="Times New Roman"/>
          <w:szCs w:val="21"/>
        </w:rPr>
        <w:t>所有数据需用生物统计方法（如Duncan</w:t>
      </w:r>
      <w:r>
        <w:rPr>
          <w:rFonts w:hint="default" w:ascii="Times New Roman" w:hAnsi="Times New Roman"/>
          <w:szCs w:val="21"/>
          <w:lang w:val="en-US" w:eastAsia="zh-CN"/>
        </w:rPr>
        <w:t>’</w:t>
      </w:r>
      <w:r>
        <w:rPr>
          <w:rFonts w:hint="eastAsia" w:ascii="Times New Roman" w:hAnsi="Times New Roman"/>
          <w:szCs w:val="21"/>
        </w:rPr>
        <w:t>s新复极差法）进行方差分析，比较各处理间的差异显著性（p&lt;0.05）</w:t>
      </w:r>
      <w:r>
        <w:rPr>
          <w:rFonts w:ascii="Times New Roman" w:hAnsi="Times New Roman"/>
          <w:szCs w:val="21"/>
        </w:rPr>
        <w:t>。</w:t>
      </w:r>
      <w:r>
        <w:rPr>
          <w:rFonts w:hint="eastAsia" w:ascii="Times New Roman" w:hAnsi="Times New Roman"/>
          <w:szCs w:val="21"/>
          <w:lang w:val="en-US" w:eastAsia="zh-CN"/>
        </w:rPr>
        <w:t>撰写</w:t>
      </w:r>
      <w:r>
        <w:rPr>
          <w:rFonts w:ascii="Times New Roman" w:hAnsi="Times New Roman"/>
          <w:szCs w:val="21"/>
        </w:rPr>
        <w:t>试验报告，并对结果加以分析说明，提出应用效果评价（产品特性、关键应用技术、适用时期和剂量方法、杀草谱、</w:t>
      </w:r>
      <w:r>
        <w:rPr>
          <w:rFonts w:hint="eastAsia" w:ascii="Times New Roman" w:hAnsi="Times New Roman"/>
          <w:szCs w:val="21"/>
          <w:lang w:val="en-US" w:eastAsia="zh-CN"/>
        </w:rPr>
        <w:t>防治谱</w:t>
      </w:r>
      <w:r>
        <w:rPr>
          <w:rFonts w:ascii="Times New Roman" w:hAnsi="Times New Roman"/>
          <w:szCs w:val="21"/>
        </w:rPr>
        <w:t>、</w:t>
      </w:r>
      <w:r>
        <w:rPr>
          <w:rFonts w:hint="eastAsia" w:ascii="Times New Roman" w:hAnsi="Times New Roman"/>
          <w:szCs w:val="21"/>
          <w:lang w:val="en-US" w:eastAsia="zh-CN"/>
        </w:rPr>
        <w:t>持效期、对不同水稻品种安全性</w:t>
      </w:r>
      <w:r>
        <w:rPr>
          <w:rFonts w:ascii="Times New Roman" w:hAnsi="Times New Roman"/>
          <w:szCs w:val="21"/>
        </w:rPr>
        <w:t>）及经济效益评价（成本、增产、增效、品质）的结论性意见</w:t>
      </w:r>
      <w:r>
        <w:rPr>
          <w:rFonts w:hint="eastAsia" w:ascii="Times New Roman" w:hAnsi="Times New Roman"/>
          <w:szCs w:val="21"/>
          <w:lang w:eastAsia="zh-CN"/>
        </w:rPr>
        <w:t>，</w:t>
      </w:r>
      <w:r>
        <w:rPr>
          <w:rFonts w:hint="eastAsia" w:ascii="Times New Roman" w:hAnsi="Times New Roman"/>
          <w:szCs w:val="21"/>
          <w:lang w:val="en-US" w:eastAsia="zh-CN"/>
        </w:rPr>
        <w:t>并提出应用意见</w:t>
      </w:r>
      <w:r>
        <w:rPr>
          <w:rFonts w:ascii="Times New Roman" w:hAnsi="Times New Roman"/>
          <w:szCs w:val="21"/>
        </w:rPr>
        <w:t>。试验报告应列出原始数据。</w:t>
      </w:r>
    </w:p>
    <w:p w14:paraId="08F7708D">
      <w:pPr>
        <w:pStyle w:val="104"/>
        <w:spacing w:before="312" w:after="312"/>
      </w:pPr>
      <w:bookmarkStart w:id="53" w:name="_Toc15421"/>
      <w:r>
        <w:rPr>
          <w:rFonts w:hint="eastAsia"/>
          <w:lang w:val="en-US" w:eastAsia="zh-CN"/>
        </w:rPr>
        <w:t>档案管理</w:t>
      </w:r>
      <w:bookmarkEnd w:id="53"/>
    </w:p>
    <w:p w14:paraId="5E355B06">
      <w:pPr>
        <w:keepNext w:val="0"/>
        <w:keepLines w:val="0"/>
        <w:pageBreakBefore w:val="0"/>
        <w:widowControl w:val="0"/>
        <w:tabs>
          <w:tab w:val="center" w:pos="1119"/>
          <w:tab w:val="center" w:pos="4912"/>
        </w:tabs>
        <w:kinsoku/>
        <w:wordWrap/>
        <w:overflowPunct/>
        <w:topLinePunct w:val="0"/>
        <w:autoSpaceDE/>
        <w:autoSpaceDN/>
        <w:bidi w:val="0"/>
        <w:adjustRightInd w:val="0"/>
        <w:snapToGrid w:val="0"/>
        <w:spacing w:line="240" w:lineRule="auto"/>
        <w:ind w:firstLine="420" w:firstLineChars="200"/>
        <w:textAlignment w:val="auto"/>
        <w:rPr>
          <w:rFonts w:ascii="Times New Roman" w:hAnsi="Times New Roman"/>
          <w:szCs w:val="21"/>
        </w:rPr>
      </w:pPr>
      <w:r>
        <w:rPr>
          <w:rFonts w:ascii="宋体" w:hAnsi="宋体" w:eastAsia="宋体" w:cs="宋体"/>
          <w:sz w:val="21"/>
          <w:szCs w:val="21"/>
        </w:rPr>
        <w:t>对</w:t>
      </w:r>
      <w:r>
        <w:rPr>
          <w:rFonts w:hint="eastAsia" w:ascii="宋体" w:hAnsi="宋体" w:cs="宋体"/>
          <w:sz w:val="21"/>
          <w:szCs w:val="21"/>
          <w:lang w:val="en-US" w:eastAsia="zh-CN"/>
        </w:rPr>
        <w:t>稻田</w:t>
      </w:r>
      <w:r>
        <w:rPr>
          <w:rFonts w:ascii="宋体" w:hAnsi="宋体" w:eastAsia="宋体" w:cs="宋体"/>
          <w:sz w:val="21"/>
          <w:szCs w:val="21"/>
        </w:rPr>
        <w:t>杂草的发生及防除情况建立田间档案。记载田间杂草发生的种类和数量、</w:t>
      </w:r>
      <w:r>
        <w:rPr>
          <w:rFonts w:hint="eastAsia" w:ascii="宋体" w:hAnsi="宋体" w:cs="宋体"/>
          <w:sz w:val="21"/>
          <w:szCs w:val="21"/>
          <w:lang w:eastAsia="zh-CN"/>
        </w:rPr>
        <w:t>（</w:t>
      </w:r>
      <w:r>
        <w:rPr>
          <w:rFonts w:hint="eastAsia" w:ascii="宋体" w:hAnsi="宋体" w:cs="宋体"/>
          <w:sz w:val="21"/>
          <w:szCs w:val="21"/>
          <w:lang w:val="en-US" w:eastAsia="zh-CN"/>
        </w:rPr>
        <w:t>HPPD</w:t>
      </w:r>
      <w:r>
        <w:rPr>
          <w:rFonts w:hint="eastAsia" w:ascii="宋体" w:hAnsi="宋体" w:cs="宋体"/>
          <w:sz w:val="21"/>
          <w:szCs w:val="21"/>
          <w:lang w:eastAsia="zh-CN"/>
        </w:rPr>
        <w:t>）</w:t>
      </w:r>
      <w:r>
        <w:rPr>
          <w:rFonts w:hint="eastAsia" w:ascii="宋体" w:hAnsi="宋体" w:cs="宋体"/>
          <w:sz w:val="21"/>
          <w:szCs w:val="21"/>
          <w:lang w:val="en-US" w:eastAsia="zh-CN"/>
        </w:rPr>
        <w:t>抑制剂</w:t>
      </w:r>
      <w:r>
        <w:rPr>
          <w:rFonts w:ascii="宋体" w:hAnsi="宋体" w:eastAsia="宋体" w:cs="宋体"/>
          <w:sz w:val="21"/>
          <w:szCs w:val="21"/>
        </w:rPr>
        <w:t>使用情况、施用方法和效果、对</w:t>
      </w:r>
      <w:r>
        <w:rPr>
          <w:rFonts w:hint="eastAsia" w:ascii="宋体" w:hAnsi="宋体" w:cs="宋体"/>
          <w:sz w:val="21"/>
          <w:szCs w:val="21"/>
          <w:lang w:val="en-US" w:eastAsia="zh-CN"/>
        </w:rPr>
        <w:t>水稻</w:t>
      </w:r>
      <w:r>
        <w:rPr>
          <w:rFonts w:ascii="宋体" w:hAnsi="宋体" w:eastAsia="宋体" w:cs="宋体"/>
          <w:sz w:val="21"/>
          <w:szCs w:val="21"/>
        </w:rPr>
        <w:t>的安全性</w:t>
      </w:r>
      <w:r>
        <w:rPr>
          <w:rFonts w:hint="eastAsia" w:ascii="宋体" w:hAnsi="宋体" w:cs="宋体"/>
          <w:sz w:val="21"/>
          <w:szCs w:val="21"/>
          <w:lang w:eastAsia="zh-CN"/>
        </w:rPr>
        <w:t>、</w:t>
      </w:r>
      <w:r>
        <w:rPr>
          <w:rFonts w:hint="eastAsia" w:ascii="宋体" w:hAnsi="宋体" w:cs="宋体"/>
          <w:sz w:val="21"/>
          <w:szCs w:val="21"/>
          <w:lang w:val="en-US" w:eastAsia="zh-CN"/>
        </w:rPr>
        <w:t>非靶标生物防治情况、原始调查记录</w:t>
      </w:r>
      <w:r>
        <w:rPr>
          <w:rFonts w:ascii="宋体" w:hAnsi="宋体" w:eastAsia="宋体" w:cs="宋体"/>
          <w:sz w:val="21"/>
          <w:szCs w:val="21"/>
        </w:rPr>
        <w:t>等主要内容。档案应专人负责，记录应清晰、完整、详细</w:t>
      </w:r>
      <w:r>
        <w:rPr>
          <w:rFonts w:ascii="Times New Roman" w:hAnsi="Times New Roman"/>
          <w:sz w:val="21"/>
          <w:szCs w:val="21"/>
        </w:rPr>
        <w:t>。</w:t>
      </w:r>
    </w:p>
    <w:p w14:paraId="1CECE42A">
      <w:pPr>
        <w:pStyle w:val="56"/>
        <w:ind w:firstLine="420"/>
        <w:sectPr>
          <w:pgSz w:w="11906" w:h="16838"/>
          <w:pgMar w:top="1928" w:right="1134" w:bottom="1134" w:left="1134" w:header="1418" w:footer="1134" w:gutter="284"/>
          <w:pgNumType w:start="1"/>
          <w:cols w:space="425" w:num="1"/>
          <w:formProt w:val="0"/>
          <w:docGrid w:type="lines" w:linePitch="312" w:charSpace="0"/>
        </w:sectPr>
      </w:pPr>
    </w:p>
    <w:bookmarkEnd w:id="24"/>
    <w:p w14:paraId="2D6AB283">
      <w:pPr>
        <w:pStyle w:val="198"/>
        <w:rPr>
          <w:rFonts w:hint="eastAsia"/>
        </w:rPr>
      </w:pPr>
      <w:bookmarkStart w:id="54" w:name="BookMark5"/>
    </w:p>
    <w:p w14:paraId="46D96572">
      <w:pPr>
        <w:pStyle w:val="199"/>
        <w:rPr>
          <w:rFonts w:hint="eastAsia"/>
        </w:rPr>
      </w:pPr>
    </w:p>
    <w:p w14:paraId="291E6A88">
      <w:pPr>
        <w:pStyle w:val="76"/>
        <w:spacing w:after="156"/>
        <w:rPr>
          <w:rFonts w:hint="eastAsia"/>
        </w:rPr>
      </w:pPr>
      <w:bookmarkStart w:id="55" w:name="_Toc31909"/>
      <w:r>
        <w:br w:type="textWrapping"/>
      </w:r>
      <w:r>
        <w:rPr>
          <w:rFonts w:hint="eastAsia"/>
        </w:rPr>
        <w:t>（资料性）</w:t>
      </w:r>
      <w:r>
        <w:br w:type="textWrapping"/>
      </w:r>
      <w:r>
        <w:rPr>
          <w:rFonts w:hint="eastAsia"/>
          <w:lang w:val="en-US" w:eastAsia="zh-CN"/>
        </w:rPr>
        <w:t>稻田已登记HPPD抑制剂类除草剂有效成分</w:t>
      </w:r>
      <w:bookmarkEnd w:id="55"/>
    </w:p>
    <w:p w14:paraId="21BB530A">
      <w:pPr>
        <w:pStyle w:val="56"/>
        <w:rPr>
          <w:rFonts w:hint="eastAsia"/>
        </w:rPr>
      </w:pPr>
      <w:r>
        <w:rPr>
          <w:rFonts w:ascii="宋体" w:hAnsi="宋体" w:eastAsia="宋体" w:cs="宋体"/>
          <w:sz w:val="21"/>
          <w:szCs w:val="21"/>
        </w:rPr>
        <w:t>表</w:t>
      </w:r>
      <w:r>
        <w:rPr>
          <w:rFonts w:hint="eastAsia" w:hAnsi="宋体" w:cs="宋体"/>
          <w:sz w:val="21"/>
          <w:szCs w:val="21"/>
          <w:lang w:val="en-US" w:eastAsia="zh-CN"/>
        </w:rPr>
        <w:t>A</w:t>
      </w:r>
      <w:r>
        <w:rPr>
          <w:rFonts w:ascii="宋体" w:hAnsi="宋体" w:eastAsia="宋体" w:cs="宋体"/>
          <w:sz w:val="21"/>
          <w:szCs w:val="21"/>
        </w:rPr>
        <w:t>.1给出了</w:t>
      </w:r>
      <w:r>
        <w:rPr>
          <w:rFonts w:hint="eastAsia" w:hAnsi="宋体" w:cs="宋体"/>
          <w:sz w:val="21"/>
          <w:szCs w:val="21"/>
          <w:lang w:val="en-US" w:eastAsia="zh-CN"/>
        </w:rPr>
        <w:t>水稻</w:t>
      </w:r>
      <w:r>
        <w:rPr>
          <w:rFonts w:ascii="宋体" w:hAnsi="宋体" w:eastAsia="宋体" w:cs="宋体"/>
          <w:sz w:val="21"/>
          <w:szCs w:val="21"/>
        </w:rPr>
        <w:t>田</w:t>
      </w:r>
      <w:r>
        <w:rPr>
          <w:rFonts w:hint="eastAsia" w:hAnsi="宋体" w:cs="宋体"/>
          <w:sz w:val="21"/>
          <w:szCs w:val="21"/>
          <w:lang w:val="en-US" w:eastAsia="zh-CN"/>
        </w:rPr>
        <w:t>已登记的HPPD抑制剂类除草剂品种。</w:t>
      </w:r>
    </w:p>
    <w:p w14:paraId="301BC96F">
      <w:pPr>
        <w:pStyle w:val="77"/>
        <w:spacing w:before="156" w:after="156"/>
        <w:rPr>
          <w:rFonts w:hint="eastAsia"/>
        </w:rPr>
      </w:pPr>
      <w:r>
        <w:rPr>
          <w:rFonts w:hint="eastAsia"/>
          <w:lang w:val="en-US" w:eastAsia="zh-CN"/>
        </w:rPr>
        <w:t>水稻田已登记HPPD抑制剂类除草剂有效成分</w:t>
      </w:r>
    </w:p>
    <w:tbl>
      <w:tblPr>
        <w:tblStyle w:val="27"/>
        <w:tblW w:w="503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285"/>
        <w:gridCol w:w="2276"/>
        <w:gridCol w:w="2600"/>
        <w:gridCol w:w="2286"/>
      </w:tblGrid>
      <w:tr w14:paraId="0421D4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tblHeader/>
          <w:jc w:val="center"/>
        </w:trPr>
        <w:tc>
          <w:tcPr>
            <w:tcW w:w="1209" w:type="pct"/>
            <w:tcBorders>
              <w:top w:val="single" w:color="auto" w:sz="8" w:space="0"/>
              <w:bottom w:val="single" w:color="auto" w:sz="8" w:space="0"/>
            </w:tcBorders>
            <w:shd w:val="clear" w:color="auto" w:fill="auto"/>
            <w:vAlign w:val="center"/>
          </w:tcPr>
          <w:p w14:paraId="466579F5">
            <w:pPr>
              <w:pStyle w:val="178"/>
              <w:rPr>
                <w:rFonts w:hint="default" w:eastAsia="宋体"/>
                <w:lang w:val="en-US" w:eastAsia="zh-CN"/>
              </w:rPr>
            </w:pPr>
            <w:r>
              <w:rPr>
                <w:rFonts w:hint="eastAsia"/>
                <w:lang w:val="en-US" w:eastAsia="zh-CN"/>
              </w:rPr>
              <w:t>除草剂通用名称</w:t>
            </w:r>
          </w:p>
        </w:tc>
        <w:tc>
          <w:tcPr>
            <w:tcW w:w="1204" w:type="pct"/>
            <w:tcBorders>
              <w:top w:val="single" w:color="auto" w:sz="8" w:space="0"/>
              <w:bottom w:val="single" w:color="auto" w:sz="8" w:space="0"/>
            </w:tcBorders>
            <w:shd w:val="clear" w:color="auto" w:fill="auto"/>
            <w:vAlign w:val="center"/>
          </w:tcPr>
          <w:p w14:paraId="2BCC3F6C">
            <w:pPr>
              <w:pStyle w:val="178"/>
              <w:rPr>
                <w:rFonts w:hint="default"/>
                <w:lang w:val="en-US" w:eastAsia="zh-CN"/>
              </w:rPr>
            </w:pPr>
            <w:r>
              <w:rPr>
                <w:rFonts w:hint="eastAsia"/>
                <w:lang w:val="en-US" w:eastAsia="zh-CN"/>
              </w:rPr>
              <w:t>适用场景</w:t>
            </w:r>
          </w:p>
        </w:tc>
        <w:tc>
          <w:tcPr>
            <w:tcW w:w="1375" w:type="pct"/>
            <w:tcBorders>
              <w:top w:val="single" w:color="auto" w:sz="8" w:space="0"/>
              <w:bottom w:val="single" w:color="auto" w:sz="8" w:space="0"/>
            </w:tcBorders>
            <w:shd w:val="clear" w:color="auto" w:fill="auto"/>
            <w:vAlign w:val="center"/>
          </w:tcPr>
          <w:p w14:paraId="2CFAFE4E">
            <w:pPr>
              <w:pStyle w:val="178"/>
              <w:rPr>
                <w:rFonts w:hint="default" w:eastAsia="宋体"/>
                <w:lang w:val="en-US" w:eastAsia="zh-CN"/>
              </w:rPr>
            </w:pPr>
            <w:r>
              <w:rPr>
                <w:rFonts w:hint="eastAsia"/>
                <w:lang w:val="en-US" w:eastAsia="zh-CN"/>
              </w:rPr>
              <w:t>防除对象</w:t>
            </w:r>
          </w:p>
        </w:tc>
        <w:tc>
          <w:tcPr>
            <w:tcW w:w="1209" w:type="pct"/>
            <w:tcBorders>
              <w:top w:val="single" w:color="auto" w:sz="8" w:space="0"/>
              <w:bottom w:val="single" w:color="auto" w:sz="8" w:space="0"/>
            </w:tcBorders>
            <w:shd w:val="clear" w:color="auto" w:fill="auto"/>
            <w:vAlign w:val="center"/>
          </w:tcPr>
          <w:p w14:paraId="640EFF62">
            <w:pPr>
              <w:pStyle w:val="178"/>
              <w:rPr>
                <w:rFonts w:hint="default" w:eastAsia="宋体"/>
                <w:lang w:val="en-US" w:eastAsia="zh-CN"/>
              </w:rPr>
            </w:pPr>
            <w:r>
              <w:rPr>
                <w:rFonts w:hint="eastAsia"/>
                <w:lang w:val="en-US" w:eastAsia="zh-CN"/>
              </w:rPr>
              <w:t>除草剂使用方法</w:t>
            </w:r>
          </w:p>
        </w:tc>
      </w:tr>
      <w:tr w14:paraId="2477C3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tcBorders>
              <w:top w:val="single" w:color="auto" w:sz="8" w:space="0"/>
            </w:tcBorders>
            <w:shd w:val="clear" w:color="auto" w:fill="auto"/>
            <w:vAlign w:val="center"/>
          </w:tcPr>
          <w:p w14:paraId="75A293E0">
            <w:pPr>
              <w:pStyle w:val="178"/>
              <w:rPr>
                <w:rFonts w:hint="eastAsia" w:eastAsia="宋体"/>
                <w:lang w:val="en-US" w:eastAsia="zh-CN"/>
              </w:rPr>
            </w:pPr>
            <w:r>
              <w:rPr>
                <w:rFonts w:hint="eastAsia"/>
                <w:lang w:val="en-US" w:eastAsia="zh-CN"/>
              </w:rPr>
              <w:t>硝磺草酮</w:t>
            </w:r>
          </w:p>
        </w:tc>
        <w:tc>
          <w:tcPr>
            <w:tcW w:w="1204" w:type="pct"/>
            <w:tcBorders>
              <w:top w:val="single" w:color="auto" w:sz="8" w:space="0"/>
            </w:tcBorders>
            <w:shd w:val="clear" w:color="auto" w:fill="auto"/>
            <w:vAlign w:val="center"/>
          </w:tcPr>
          <w:p w14:paraId="3CFA9285">
            <w:pPr>
              <w:pStyle w:val="178"/>
              <w:rPr>
                <w:rFonts w:hint="default"/>
                <w:lang w:val="en-US" w:eastAsia="zh-CN"/>
              </w:rPr>
            </w:pPr>
            <w:r>
              <w:rPr>
                <w:rFonts w:hint="eastAsia"/>
                <w:lang w:val="en-US" w:eastAsia="zh-CN"/>
              </w:rPr>
              <w:t>水稻移栽田</w:t>
            </w:r>
          </w:p>
        </w:tc>
        <w:tc>
          <w:tcPr>
            <w:tcW w:w="1375" w:type="pct"/>
            <w:tcBorders>
              <w:top w:val="single" w:color="auto" w:sz="8" w:space="0"/>
            </w:tcBorders>
            <w:shd w:val="clear" w:color="auto" w:fill="auto"/>
            <w:vAlign w:val="center"/>
          </w:tcPr>
          <w:p w14:paraId="2F591B2B">
            <w:pPr>
              <w:pStyle w:val="178"/>
              <w:rPr>
                <w:rFonts w:hint="default" w:eastAsia="宋体"/>
                <w:lang w:val="en-US" w:eastAsia="zh-CN"/>
              </w:rPr>
            </w:pPr>
            <w:r>
              <w:rPr>
                <w:rFonts w:hint="eastAsia"/>
                <w:lang w:val="en-US" w:eastAsia="zh-CN"/>
              </w:rPr>
              <w:t>一年生杂草</w:t>
            </w:r>
          </w:p>
        </w:tc>
        <w:tc>
          <w:tcPr>
            <w:tcW w:w="1209" w:type="pct"/>
            <w:tcBorders>
              <w:top w:val="single" w:color="auto" w:sz="8" w:space="0"/>
            </w:tcBorders>
            <w:shd w:val="clear" w:color="auto" w:fill="auto"/>
            <w:vAlign w:val="center"/>
          </w:tcPr>
          <w:p w14:paraId="44CD3859">
            <w:pPr>
              <w:pStyle w:val="178"/>
              <w:rPr>
                <w:rFonts w:hint="default" w:eastAsia="宋体"/>
                <w:lang w:val="en-US" w:eastAsia="zh-CN"/>
              </w:rPr>
            </w:pPr>
            <w:r>
              <w:rPr>
                <w:rFonts w:hint="eastAsia"/>
                <w:lang w:val="en-US" w:eastAsia="zh-CN"/>
              </w:rPr>
              <w:t>药土法或撒施</w:t>
            </w:r>
          </w:p>
        </w:tc>
      </w:tr>
      <w:tr w14:paraId="709409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shd w:val="clear" w:color="auto" w:fill="auto"/>
            <w:vAlign w:val="center"/>
          </w:tcPr>
          <w:p w14:paraId="12EE2438">
            <w:pPr>
              <w:pStyle w:val="178"/>
              <w:rPr>
                <w:rFonts w:hint="eastAsia" w:eastAsia="宋体"/>
                <w:lang w:val="en-US" w:eastAsia="zh-CN"/>
              </w:rPr>
            </w:pPr>
            <w:r>
              <w:rPr>
                <w:rFonts w:hint="eastAsia"/>
                <w:lang w:val="en-US" w:eastAsia="zh-CN"/>
              </w:rPr>
              <w:t>三唑磺草酮</w:t>
            </w:r>
          </w:p>
        </w:tc>
        <w:tc>
          <w:tcPr>
            <w:tcW w:w="1204" w:type="pct"/>
            <w:shd w:val="clear" w:color="auto" w:fill="auto"/>
            <w:vAlign w:val="center"/>
          </w:tcPr>
          <w:p w14:paraId="6BB60F54">
            <w:pPr>
              <w:pStyle w:val="178"/>
              <w:rPr>
                <w:rFonts w:hint="default"/>
                <w:lang w:val="en-US" w:eastAsia="zh-CN"/>
              </w:rPr>
            </w:pPr>
            <w:r>
              <w:rPr>
                <w:rFonts w:hint="eastAsia"/>
                <w:lang w:val="en-US" w:eastAsia="zh-CN"/>
              </w:rPr>
              <w:t>水稻移栽田/水稻田（直播）</w:t>
            </w:r>
          </w:p>
        </w:tc>
        <w:tc>
          <w:tcPr>
            <w:tcW w:w="1375" w:type="pct"/>
            <w:shd w:val="clear" w:color="auto" w:fill="auto"/>
            <w:vAlign w:val="center"/>
          </w:tcPr>
          <w:p w14:paraId="0D99F426">
            <w:pPr>
              <w:pStyle w:val="178"/>
              <w:rPr>
                <w:rFonts w:hint="default" w:eastAsia="宋体"/>
                <w:lang w:val="en-US" w:eastAsia="zh-CN"/>
              </w:rPr>
            </w:pPr>
            <w:r>
              <w:rPr>
                <w:rFonts w:hint="eastAsia"/>
                <w:lang w:val="en-US" w:eastAsia="zh-CN"/>
              </w:rPr>
              <w:t>稗草或一年生禾本科杂草</w:t>
            </w:r>
          </w:p>
        </w:tc>
        <w:tc>
          <w:tcPr>
            <w:tcW w:w="1209" w:type="pct"/>
            <w:shd w:val="clear" w:color="auto" w:fill="auto"/>
            <w:vAlign w:val="center"/>
          </w:tcPr>
          <w:p w14:paraId="2B2C7C1A">
            <w:pPr>
              <w:pStyle w:val="178"/>
              <w:rPr>
                <w:rFonts w:hint="eastAsia" w:eastAsia="宋体"/>
                <w:lang w:val="en-US" w:eastAsia="zh-CN"/>
              </w:rPr>
            </w:pPr>
            <w:r>
              <w:rPr>
                <w:rFonts w:hint="eastAsia"/>
                <w:lang w:val="en-US" w:eastAsia="zh-CN"/>
              </w:rPr>
              <w:t>茎叶喷雾</w:t>
            </w:r>
          </w:p>
        </w:tc>
      </w:tr>
      <w:tr w14:paraId="18AFF8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shd w:val="clear" w:color="auto" w:fill="auto"/>
            <w:vAlign w:val="center"/>
          </w:tcPr>
          <w:p w14:paraId="165ECA88">
            <w:pPr>
              <w:pStyle w:val="178"/>
              <w:rPr>
                <w:rFonts w:hint="eastAsia" w:eastAsia="宋体"/>
                <w:lang w:val="en-US" w:eastAsia="zh-CN"/>
              </w:rPr>
            </w:pPr>
            <w:r>
              <w:rPr>
                <w:rFonts w:hint="eastAsia"/>
                <w:lang w:val="en-US" w:eastAsia="zh-CN"/>
              </w:rPr>
              <w:t>双环磺草酮</w:t>
            </w:r>
          </w:p>
        </w:tc>
        <w:tc>
          <w:tcPr>
            <w:tcW w:w="1204" w:type="pct"/>
            <w:shd w:val="clear" w:color="auto" w:fill="auto"/>
            <w:vAlign w:val="center"/>
          </w:tcPr>
          <w:p w14:paraId="1531E0B5">
            <w:pPr>
              <w:pStyle w:val="178"/>
              <w:rPr>
                <w:rFonts w:hint="default"/>
                <w:lang w:val="en-US" w:eastAsia="zh-CN"/>
              </w:rPr>
            </w:pPr>
            <w:r>
              <w:rPr>
                <w:rFonts w:hint="eastAsia"/>
                <w:lang w:val="en-US" w:eastAsia="zh-CN"/>
              </w:rPr>
              <w:t>水稻移栽田/水稻田（直播）</w:t>
            </w:r>
          </w:p>
        </w:tc>
        <w:tc>
          <w:tcPr>
            <w:tcW w:w="1375" w:type="pct"/>
            <w:shd w:val="clear" w:color="auto" w:fill="auto"/>
            <w:vAlign w:val="center"/>
          </w:tcPr>
          <w:p w14:paraId="3EEC40EE">
            <w:pPr>
              <w:pStyle w:val="178"/>
              <w:rPr>
                <w:rFonts w:hint="default" w:eastAsia="宋体"/>
                <w:lang w:val="en-US" w:eastAsia="zh-CN"/>
              </w:rPr>
            </w:pPr>
            <w:r>
              <w:rPr>
                <w:rFonts w:hint="eastAsia"/>
                <w:lang w:val="en-US" w:eastAsia="zh-CN"/>
              </w:rPr>
              <w:t>一年生杂草</w:t>
            </w:r>
          </w:p>
        </w:tc>
        <w:tc>
          <w:tcPr>
            <w:tcW w:w="1209" w:type="pct"/>
            <w:shd w:val="clear" w:color="auto" w:fill="auto"/>
            <w:vAlign w:val="center"/>
          </w:tcPr>
          <w:p w14:paraId="7B1B1DBA">
            <w:pPr>
              <w:pStyle w:val="178"/>
              <w:rPr>
                <w:rFonts w:hint="default" w:eastAsia="宋体"/>
                <w:lang w:val="en-US" w:eastAsia="zh-CN"/>
              </w:rPr>
            </w:pPr>
            <w:r>
              <w:rPr>
                <w:rFonts w:hint="eastAsia"/>
                <w:lang w:val="en-US" w:eastAsia="zh-CN"/>
              </w:rPr>
              <w:t>喷雾或土壤喷雾</w:t>
            </w:r>
          </w:p>
        </w:tc>
      </w:tr>
      <w:tr w14:paraId="539056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shd w:val="clear" w:color="auto" w:fill="auto"/>
            <w:vAlign w:val="center"/>
          </w:tcPr>
          <w:p w14:paraId="02AD23B0">
            <w:pPr>
              <w:pStyle w:val="178"/>
              <w:rPr>
                <w:rFonts w:hint="default"/>
                <w:lang w:val="en-US" w:eastAsia="zh-CN"/>
              </w:rPr>
            </w:pPr>
            <w:r>
              <w:rPr>
                <w:rFonts w:hint="eastAsia"/>
                <w:lang w:val="en-US" w:eastAsia="zh-CN"/>
              </w:rPr>
              <w:t>呋喃磺草酮</w:t>
            </w:r>
          </w:p>
        </w:tc>
        <w:tc>
          <w:tcPr>
            <w:tcW w:w="1204" w:type="pct"/>
            <w:shd w:val="clear" w:color="auto" w:fill="auto"/>
            <w:vAlign w:val="center"/>
          </w:tcPr>
          <w:p w14:paraId="3E9847F2">
            <w:pPr>
              <w:pStyle w:val="178"/>
              <w:rPr>
                <w:rFonts w:hint="default"/>
                <w:lang w:val="en-US" w:eastAsia="zh-CN"/>
              </w:rPr>
            </w:pPr>
            <w:r>
              <w:rPr>
                <w:rFonts w:hint="eastAsia"/>
                <w:lang w:val="en-US" w:eastAsia="zh-CN"/>
              </w:rPr>
              <w:t>水稻移栽田</w:t>
            </w:r>
          </w:p>
        </w:tc>
        <w:tc>
          <w:tcPr>
            <w:tcW w:w="1375" w:type="pct"/>
            <w:shd w:val="clear" w:color="auto" w:fill="auto"/>
            <w:vAlign w:val="center"/>
          </w:tcPr>
          <w:p w14:paraId="43642DB8">
            <w:pPr>
              <w:pStyle w:val="178"/>
              <w:rPr>
                <w:rFonts w:hint="default"/>
                <w:lang w:val="en-US" w:eastAsia="zh-CN"/>
              </w:rPr>
            </w:pPr>
            <w:r>
              <w:rPr>
                <w:rFonts w:hint="eastAsia"/>
                <w:lang w:val="en-US" w:eastAsia="zh-CN"/>
              </w:rPr>
              <w:t>一年生杂草</w:t>
            </w:r>
          </w:p>
        </w:tc>
        <w:tc>
          <w:tcPr>
            <w:tcW w:w="1209" w:type="pct"/>
            <w:shd w:val="clear" w:color="auto" w:fill="auto"/>
            <w:vAlign w:val="center"/>
          </w:tcPr>
          <w:p w14:paraId="4E79A5FA">
            <w:pPr>
              <w:pStyle w:val="178"/>
              <w:rPr>
                <w:rFonts w:hint="default"/>
                <w:lang w:val="en-US" w:eastAsia="zh-CN"/>
              </w:rPr>
            </w:pPr>
            <w:r>
              <w:rPr>
                <w:rFonts w:hint="eastAsia"/>
                <w:lang w:val="en-US" w:eastAsia="zh-CN"/>
              </w:rPr>
              <w:t>甩施法或药土法</w:t>
            </w:r>
          </w:p>
        </w:tc>
      </w:tr>
      <w:tr w14:paraId="59B503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shd w:val="clear" w:color="auto" w:fill="auto"/>
            <w:vAlign w:val="center"/>
          </w:tcPr>
          <w:p w14:paraId="693810C0">
            <w:pPr>
              <w:pStyle w:val="178"/>
              <w:rPr>
                <w:rFonts w:hint="default"/>
                <w:lang w:val="en-US" w:eastAsia="zh-CN"/>
              </w:rPr>
            </w:pPr>
            <w:r>
              <w:rPr>
                <w:rFonts w:hint="eastAsia"/>
                <w:lang w:val="en-US" w:eastAsia="zh-CN"/>
              </w:rPr>
              <w:t>吡唑喹草酯</w:t>
            </w:r>
          </w:p>
        </w:tc>
        <w:tc>
          <w:tcPr>
            <w:tcW w:w="1204" w:type="pct"/>
            <w:shd w:val="clear" w:color="auto" w:fill="auto"/>
            <w:vAlign w:val="center"/>
          </w:tcPr>
          <w:p w14:paraId="01A7B351">
            <w:pPr>
              <w:pStyle w:val="178"/>
              <w:ind w:firstLine="0" w:firstLineChars="0"/>
              <w:rPr>
                <w:rFonts w:hint="eastAsia" w:ascii="宋体" w:hAnsi="Times New Roman" w:eastAsia="宋体" w:cs="Times New Roman"/>
                <w:sz w:val="18"/>
                <w:lang w:val="en-US" w:eastAsia="zh-CN" w:bidi="ar-SA"/>
              </w:rPr>
            </w:pPr>
            <w:r>
              <w:rPr>
                <w:rFonts w:hint="eastAsia"/>
                <w:lang w:val="en-US" w:eastAsia="zh-CN"/>
              </w:rPr>
              <w:t>水稻田（直播）</w:t>
            </w:r>
          </w:p>
        </w:tc>
        <w:tc>
          <w:tcPr>
            <w:tcW w:w="1375" w:type="pct"/>
            <w:shd w:val="clear" w:color="auto" w:fill="auto"/>
            <w:vAlign w:val="center"/>
          </w:tcPr>
          <w:p w14:paraId="2EE3760A">
            <w:pPr>
              <w:pStyle w:val="178"/>
              <w:ind w:firstLine="0" w:firstLineChars="0"/>
              <w:rPr>
                <w:rFonts w:hint="eastAsia" w:ascii="宋体" w:hAnsi="Times New Roman" w:eastAsia="宋体" w:cs="Times New Roman"/>
                <w:sz w:val="18"/>
                <w:lang w:val="en-US" w:eastAsia="zh-CN" w:bidi="ar-SA"/>
              </w:rPr>
            </w:pPr>
            <w:r>
              <w:rPr>
                <w:rFonts w:hint="eastAsia"/>
                <w:lang w:val="en-US" w:eastAsia="zh-CN"/>
              </w:rPr>
              <w:t>一年生禾本科杂草</w:t>
            </w:r>
          </w:p>
        </w:tc>
        <w:tc>
          <w:tcPr>
            <w:tcW w:w="1209" w:type="pct"/>
            <w:shd w:val="clear" w:color="auto" w:fill="auto"/>
            <w:vAlign w:val="center"/>
          </w:tcPr>
          <w:p w14:paraId="5964D98B">
            <w:pPr>
              <w:pStyle w:val="178"/>
              <w:ind w:firstLine="0" w:firstLineChars="0"/>
              <w:rPr>
                <w:rFonts w:hint="eastAsia" w:ascii="宋体" w:hAnsi="Times New Roman" w:eastAsia="宋体" w:cs="Times New Roman"/>
                <w:sz w:val="18"/>
                <w:lang w:val="en-US" w:eastAsia="zh-CN" w:bidi="ar-SA"/>
              </w:rPr>
            </w:pPr>
            <w:r>
              <w:rPr>
                <w:rFonts w:hint="eastAsia"/>
                <w:lang w:val="en-US" w:eastAsia="zh-CN"/>
              </w:rPr>
              <w:t>茎叶喷雾</w:t>
            </w:r>
          </w:p>
        </w:tc>
      </w:tr>
      <w:tr w14:paraId="0046A0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24" w:hRule="atLeast"/>
          <w:jc w:val="center"/>
        </w:trPr>
        <w:tc>
          <w:tcPr>
            <w:tcW w:w="1209" w:type="pct"/>
            <w:shd w:val="clear" w:color="auto" w:fill="auto"/>
            <w:vAlign w:val="center"/>
          </w:tcPr>
          <w:p w14:paraId="44556FFE">
            <w:pPr>
              <w:pStyle w:val="178"/>
              <w:ind w:firstLine="0" w:firstLineChars="0"/>
              <w:rPr>
                <w:rFonts w:hint="default" w:ascii="宋体" w:hAnsi="Times New Roman" w:eastAsia="宋体" w:cs="Times New Roman"/>
                <w:sz w:val="18"/>
                <w:lang w:val="en-US" w:eastAsia="zh-CN" w:bidi="ar-SA"/>
              </w:rPr>
            </w:pPr>
            <w:r>
              <w:rPr>
                <w:rFonts w:hint="eastAsia"/>
                <w:lang w:val="en-US" w:eastAsia="zh-CN"/>
              </w:rPr>
              <w:t>氟砜草胺</w:t>
            </w:r>
          </w:p>
        </w:tc>
        <w:tc>
          <w:tcPr>
            <w:tcW w:w="1204" w:type="pct"/>
            <w:shd w:val="clear" w:color="auto" w:fill="auto"/>
            <w:vAlign w:val="center"/>
          </w:tcPr>
          <w:p w14:paraId="6689A00E">
            <w:pPr>
              <w:pStyle w:val="178"/>
              <w:ind w:firstLine="0" w:firstLineChars="0"/>
              <w:rPr>
                <w:rFonts w:hint="default" w:ascii="宋体" w:hAnsi="Times New Roman" w:eastAsia="宋体" w:cs="Times New Roman"/>
                <w:sz w:val="18"/>
                <w:lang w:val="en-US" w:eastAsia="zh-CN" w:bidi="ar-SA"/>
              </w:rPr>
            </w:pPr>
            <w:r>
              <w:rPr>
                <w:rFonts w:hint="eastAsia"/>
                <w:lang w:val="en-US" w:eastAsia="zh-CN"/>
              </w:rPr>
              <w:t>水稻移栽田/水稻田（直播）</w:t>
            </w:r>
          </w:p>
        </w:tc>
        <w:tc>
          <w:tcPr>
            <w:tcW w:w="1375" w:type="pct"/>
            <w:shd w:val="clear" w:color="auto" w:fill="auto"/>
            <w:vAlign w:val="center"/>
          </w:tcPr>
          <w:p w14:paraId="29651746">
            <w:pPr>
              <w:pStyle w:val="178"/>
              <w:ind w:firstLine="0" w:firstLineChars="0"/>
              <w:rPr>
                <w:rFonts w:hint="eastAsia" w:ascii="宋体" w:hAnsi="Times New Roman" w:eastAsia="宋体" w:cs="Times New Roman"/>
                <w:sz w:val="18"/>
                <w:lang w:val="en-US" w:eastAsia="zh-CN" w:bidi="ar-SA"/>
              </w:rPr>
            </w:pPr>
            <w:r>
              <w:rPr>
                <w:rFonts w:hint="eastAsia"/>
                <w:lang w:val="en-US" w:eastAsia="zh-CN"/>
              </w:rPr>
              <w:t>一年生杂草</w:t>
            </w:r>
          </w:p>
        </w:tc>
        <w:tc>
          <w:tcPr>
            <w:tcW w:w="1209" w:type="pct"/>
            <w:shd w:val="clear" w:color="auto" w:fill="auto"/>
            <w:vAlign w:val="center"/>
          </w:tcPr>
          <w:p w14:paraId="2D327807">
            <w:pPr>
              <w:pStyle w:val="178"/>
              <w:ind w:firstLine="0" w:firstLineChars="0"/>
              <w:rPr>
                <w:rFonts w:hint="eastAsia" w:ascii="宋体" w:hAnsi="Times New Roman" w:eastAsia="宋体" w:cs="Times New Roman"/>
                <w:sz w:val="18"/>
                <w:lang w:val="en-US" w:eastAsia="zh-CN" w:bidi="ar-SA"/>
              </w:rPr>
            </w:pPr>
            <w:r>
              <w:rPr>
                <w:rFonts w:hint="eastAsia"/>
                <w:lang w:val="en-US" w:eastAsia="zh-CN"/>
              </w:rPr>
              <w:t>茎叶喷雾</w:t>
            </w:r>
          </w:p>
        </w:tc>
      </w:tr>
    </w:tbl>
    <w:p w14:paraId="660487BC">
      <w:pPr>
        <w:pStyle w:val="56"/>
        <w:ind w:firstLine="420"/>
        <w:rPr>
          <w:rFonts w:hint="eastAsia"/>
        </w:rPr>
      </w:pPr>
    </w:p>
    <w:p w14:paraId="204AAFAC">
      <w:pPr>
        <w:pStyle w:val="56"/>
        <w:ind w:firstLine="420"/>
        <w:rPr>
          <w:rFonts w:hint="eastAsia"/>
        </w:rPr>
      </w:pPr>
    </w:p>
    <w:p w14:paraId="6CB5D135">
      <w:pPr>
        <w:rPr>
          <w:rFonts w:hint="eastAsia"/>
        </w:rPr>
      </w:pPr>
      <w:r>
        <w:rPr>
          <w:rFonts w:hint="eastAsia"/>
        </w:rPr>
        <w:br w:type="page"/>
      </w:r>
    </w:p>
    <w:p w14:paraId="4DA32B8D">
      <w:pPr>
        <w:pStyle w:val="76"/>
        <w:spacing w:after="156"/>
        <w:rPr>
          <w:rFonts w:hint="eastAsia"/>
        </w:rPr>
      </w:pPr>
      <w:bookmarkStart w:id="56" w:name="_Toc12564"/>
      <w:r>
        <w:br w:type="textWrapping"/>
      </w:r>
      <w:r>
        <w:rPr>
          <w:rFonts w:hint="eastAsia"/>
        </w:rPr>
        <w:t>（资料性）</w:t>
      </w:r>
      <w:r>
        <w:br w:type="textWrapping"/>
      </w:r>
      <w:r>
        <w:rPr>
          <w:rFonts w:hint="eastAsia"/>
          <w:lang w:val="en-US" w:eastAsia="zh-CN"/>
        </w:rPr>
        <w:t>HPPD抑制剂类除草剂对水稻药害症状</w:t>
      </w:r>
      <w:bookmarkEnd w:id="56"/>
    </w:p>
    <w:p w14:paraId="7F425D8F">
      <w:pPr>
        <w:pStyle w:val="56"/>
        <w:rPr>
          <w:rFonts w:hint="eastAsia" w:eastAsia="宋体"/>
          <w:lang w:val="en-US" w:eastAsia="zh-CN"/>
        </w:rPr>
      </w:pPr>
      <w:r>
        <w:rPr>
          <w:rFonts w:ascii="宋体" w:hAnsi="宋体" w:eastAsia="宋体" w:cs="宋体"/>
          <w:sz w:val="21"/>
          <w:szCs w:val="21"/>
        </w:rPr>
        <w:t>图</w:t>
      </w:r>
      <w:r>
        <w:rPr>
          <w:rFonts w:hint="eastAsia" w:hAnsi="宋体" w:cs="宋体"/>
          <w:sz w:val="21"/>
          <w:szCs w:val="21"/>
          <w:lang w:val="en-US" w:eastAsia="zh-CN"/>
        </w:rPr>
        <w:t>B</w:t>
      </w:r>
      <w:r>
        <w:rPr>
          <w:rFonts w:ascii="宋体" w:hAnsi="宋体" w:eastAsia="宋体" w:cs="宋体"/>
          <w:sz w:val="21"/>
          <w:szCs w:val="21"/>
        </w:rPr>
        <w:t>.1～图</w:t>
      </w:r>
      <w:r>
        <w:rPr>
          <w:rFonts w:hint="eastAsia" w:hAnsi="宋体" w:cs="宋体"/>
          <w:sz w:val="21"/>
          <w:szCs w:val="21"/>
          <w:lang w:val="en-US" w:eastAsia="zh-CN"/>
        </w:rPr>
        <w:t>B</w:t>
      </w:r>
      <w:r>
        <w:rPr>
          <w:rFonts w:ascii="宋体" w:hAnsi="宋体" w:eastAsia="宋体" w:cs="宋体"/>
          <w:sz w:val="21"/>
          <w:szCs w:val="21"/>
        </w:rPr>
        <w:t>.</w:t>
      </w:r>
      <w:r>
        <w:rPr>
          <w:rFonts w:hint="eastAsia" w:hAnsi="宋体" w:cs="宋体"/>
          <w:sz w:val="21"/>
          <w:szCs w:val="21"/>
          <w:lang w:val="en-US" w:eastAsia="zh-CN"/>
        </w:rPr>
        <w:t>5</w:t>
      </w:r>
      <w:r>
        <w:rPr>
          <w:rFonts w:ascii="宋体" w:hAnsi="宋体" w:eastAsia="宋体" w:cs="宋体"/>
          <w:sz w:val="21"/>
          <w:szCs w:val="21"/>
        </w:rPr>
        <w:t>给出了</w:t>
      </w:r>
      <w:r>
        <w:rPr>
          <w:rFonts w:hint="eastAsia" w:hAnsi="宋体" w:cs="宋体"/>
          <w:sz w:val="21"/>
          <w:szCs w:val="21"/>
          <w:lang w:val="en-US" w:eastAsia="zh-CN"/>
        </w:rPr>
        <w:t>常见</w:t>
      </w:r>
      <w:r>
        <w:rPr>
          <w:rFonts w:hint="eastAsia" w:ascii="宋体" w:hAnsi="宋体" w:eastAsia="宋体" w:cs="宋体"/>
          <w:sz w:val="21"/>
          <w:szCs w:val="21"/>
        </w:rPr>
        <w:t>HPPD抑制剂类除草剂对水稻药害症状</w:t>
      </w:r>
      <w:r>
        <w:rPr>
          <w:rFonts w:hint="eastAsia" w:hAnsi="宋体" w:cs="宋体"/>
          <w:sz w:val="21"/>
          <w:szCs w:val="21"/>
          <w:lang w:val="en-US" w:eastAsia="zh-CN"/>
        </w:rPr>
        <w:t>图。</w:t>
      </w:r>
    </w:p>
    <w:p w14:paraId="464FC408">
      <w:pPr>
        <w:pStyle w:val="56"/>
        <w:ind w:firstLine="420"/>
        <w:jc w:val="center"/>
      </w:pPr>
      <w:r>
        <w:drawing>
          <wp:inline distT="0" distB="0" distL="114300" distR="114300">
            <wp:extent cx="3360420" cy="2519680"/>
            <wp:effectExtent l="0" t="0" r="7620" b="6350"/>
            <wp:docPr id="2" name="图片 4" descr="IMG_20180731_09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IMG_20180731_094619"/>
                    <pic:cNvPicPr>
                      <a:picLocks noChangeAspect="1"/>
                    </pic:cNvPicPr>
                  </pic:nvPicPr>
                  <pic:blipFill>
                    <a:blip r:embed="rId16"/>
                    <a:stretch>
                      <a:fillRect/>
                    </a:stretch>
                  </pic:blipFill>
                  <pic:spPr>
                    <a:xfrm>
                      <a:off x="0" y="0"/>
                      <a:ext cx="3360692" cy="2520000"/>
                    </a:xfrm>
                    <a:prstGeom prst="rect">
                      <a:avLst/>
                    </a:prstGeom>
                  </pic:spPr>
                </pic:pic>
              </a:graphicData>
            </a:graphic>
          </wp:inline>
        </w:drawing>
      </w:r>
    </w:p>
    <w:p w14:paraId="6E3AEB16">
      <w:pPr>
        <w:pStyle w:val="56"/>
        <w:ind w:firstLine="420"/>
        <w:jc w:val="center"/>
        <w:rPr>
          <w:rFonts w:hint="eastAsia" w:ascii="黑体" w:hAnsi="Times New Roman" w:eastAsia="黑体" w:cs="Times New Roman"/>
          <w:kern w:val="21"/>
          <w:sz w:val="21"/>
          <w:lang w:val="en-US" w:eastAsia="zh-CN" w:bidi="ar-SA"/>
        </w:rPr>
      </w:pPr>
      <w:r>
        <w:rPr>
          <w:rFonts w:hint="eastAsia" w:ascii="黑体" w:hAnsi="Times New Roman" w:eastAsia="黑体" w:cs="Times New Roman"/>
          <w:kern w:val="21"/>
          <w:sz w:val="21"/>
          <w:lang w:val="en-US" w:eastAsia="zh-CN" w:bidi="ar-SA"/>
        </w:rPr>
        <w:t>图B.1 双环磺草酮对移栽水稻药害症状</w:t>
      </w:r>
    </w:p>
    <w:p w14:paraId="4F1EE547">
      <w:pPr>
        <w:pStyle w:val="56"/>
        <w:ind w:firstLine="420"/>
        <w:jc w:val="center"/>
      </w:pPr>
      <w:r>
        <w:drawing>
          <wp:inline distT="0" distB="0" distL="114300" distR="114300">
            <wp:extent cx="3371850" cy="2533650"/>
            <wp:effectExtent l="0" t="0" r="6985" b="31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7"/>
                    <a:stretch>
                      <a:fillRect/>
                    </a:stretch>
                  </pic:blipFill>
                  <pic:spPr>
                    <a:xfrm>
                      <a:off x="0" y="0"/>
                      <a:ext cx="3371850" cy="2533650"/>
                    </a:xfrm>
                    <a:prstGeom prst="rect">
                      <a:avLst/>
                    </a:prstGeom>
                    <a:noFill/>
                    <a:ln>
                      <a:noFill/>
                    </a:ln>
                  </pic:spPr>
                </pic:pic>
              </a:graphicData>
            </a:graphic>
          </wp:inline>
        </w:drawing>
      </w:r>
    </w:p>
    <w:p w14:paraId="0928B087">
      <w:pPr>
        <w:pStyle w:val="56"/>
        <w:ind w:firstLine="420"/>
        <w:jc w:val="center"/>
        <w:rPr>
          <w:rFonts w:hint="eastAsia" w:ascii="黑体" w:hAnsi="Times New Roman" w:eastAsia="黑体" w:cs="Times New Roman"/>
          <w:kern w:val="21"/>
          <w:sz w:val="21"/>
          <w:lang w:val="en-US" w:eastAsia="zh-CN" w:bidi="ar-SA"/>
        </w:rPr>
      </w:pPr>
      <w:r>
        <w:rPr>
          <w:rFonts w:hint="eastAsia" w:ascii="黑体" w:hAnsi="Times New Roman" w:eastAsia="黑体" w:cs="Times New Roman"/>
          <w:kern w:val="21"/>
          <w:sz w:val="21"/>
          <w:lang w:val="en-US" w:eastAsia="zh-CN" w:bidi="ar-SA"/>
        </w:rPr>
        <w:t>图B.2 双环磺草酮播后芽前喷雾对水稻药害症状</w:t>
      </w:r>
    </w:p>
    <w:p w14:paraId="726E3359">
      <w:pPr>
        <w:pStyle w:val="56"/>
        <w:ind w:firstLine="420"/>
        <w:jc w:val="center"/>
      </w:pPr>
      <w:r>
        <w:drawing>
          <wp:inline distT="0" distB="0" distL="114300" distR="114300">
            <wp:extent cx="3400425" cy="1913255"/>
            <wp:effectExtent l="0" t="0" r="0" b="825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3400425" cy="1913255"/>
                    </a:xfrm>
                    <a:prstGeom prst="rect">
                      <a:avLst/>
                    </a:prstGeom>
                    <a:noFill/>
                    <a:ln>
                      <a:noFill/>
                    </a:ln>
                  </pic:spPr>
                </pic:pic>
              </a:graphicData>
            </a:graphic>
          </wp:inline>
        </w:drawing>
      </w:r>
    </w:p>
    <w:p w14:paraId="5DEA0F5E">
      <w:pPr>
        <w:pStyle w:val="56"/>
        <w:ind w:firstLine="420"/>
        <w:jc w:val="center"/>
      </w:pPr>
      <w:r>
        <w:rPr>
          <w:rFonts w:hint="eastAsia" w:ascii="黑体" w:hAnsi="Times New Roman" w:eastAsia="黑体" w:cs="Times New Roman"/>
          <w:kern w:val="21"/>
          <w:sz w:val="21"/>
          <w:lang w:val="en-US" w:eastAsia="zh-CN" w:bidi="ar-SA"/>
        </w:rPr>
        <w:t>图B.</w:t>
      </w:r>
      <w:r>
        <w:rPr>
          <w:rFonts w:hint="eastAsia" w:ascii="黑体" w:eastAsia="黑体" w:cs="Times New Roman"/>
          <w:kern w:val="21"/>
          <w:sz w:val="21"/>
          <w:lang w:val="en-US" w:eastAsia="zh-CN" w:bidi="ar-SA"/>
        </w:rPr>
        <w:t>3</w:t>
      </w:r>
      <w:r>
        <w:rPr>
          <w:rFonts w:hint="eastAsia" w:ascii="黑体" w:hAnsi="Times New Roman" w:eastAsia="黑体" w:cs="Times New Roman"/>
          <w:kern w:val="21"/>
          <w:sz w:val="21"/>
          <w:lang w:val="en-US" w:eastAsia="zh-CN" w:bidi="ar-SA"/>
        </w:rPr>
        <w:t xml:space="preserve"> </w:t>
      </w:r>
      <w:r>
        <w:rPr>
          <w:rFonts w:hint="eastAsia" w:ascii="黑体" w:eastAsia="黑体" w:cs="Times New Roman"/>
          <w:kern w:val="21"/>
          <w:sz w:val="21"/>
          <w:lang w:val="en-US" w:eastAsia="zh-CN" w:bidi="ar-SA"/>
        </w:rPr>
        <w:t>硝磺草酮喷雾</w:t>
      </w:r>
      <w:r>
        <w:rPr>
          <w:rFonts w:hint="eastAsia" w:ascii="黑体" w:hAnsi="Times New Roman" w:eastAsia="黑体" w:cs="Times New Roman"/>
          <w:kern w:val="21"/>
          <w:sz w:val="21"/>
          <w:lang w:val="en-US" w:eastAsia="zh-CN" w:bidi="ar-SA"/>
        </w:rPr>
        <w:t>对</w:t>
      </w:r>
      <w:r>
        <w:rPr>
          <w:rFonts w:hint="eastAsia" w:ascii="黑体" w:eastAsia="黑体" w:cs="Times New Roman"/>
          <w:kern w:val="21"/>
          <w:sz w:val="21"/>
          <w:lang w:val="en-US" w:eastAsia="zh-CN" w:bidi="ar-SA"/>
        </w:rPr>
        <w:t>分蘖末期</w:t>
      </w:r>
      <w:r>
        <w:rPr>
          <w:rFonts w:hint="eastAsia" w:ascii="黑体" w:hAnsi="Times New Roman" w:eastAsia="黑体" w:cs="Times New Roman"/>
          <w:kern w:val="21"/>
          <w:sz w:val="21"/>
          <w:lang w:val="en-US" w:eastAsia="zh-CN" w:bidi="ar-SA"/>
        </w:rPr>
        <w:t>水稻药害症状</w:t>
      </w:r>
    </w:p>
    <w:p w14:paraId="1E3E6685">
      <w:pPr>
        <w:pStyle w:val="56"/>
        <w:ind w:firstLine="420"/>
        <w:jc w:val="center"/>
      </w:pPr>
      <w:r>
        <w:drawing>
          <wp:inline distT="0" distB="0" distL="114300" distR="114300">
            <wp:extent cx="3465195" cy="2598420"/>
            <wp:effectExtent l="0" t="0" r="0"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9"/>
                    <a:stretch>
                      <a:fillRect/>
                    </a:stretch>
                  </pic:blipFill>
                  <pic:spPr>
                    <a:xfrm>
                      <a:off x="0" y="0"/>
                      <a:ext cx="3465195" cy="2598420"/>
                    </a:xfrm>
                    <a:prstGeom prst="rect">
                      <a:avLst/>
                    </a:prstGeom>
                    <a:noFill/>
                    <a:ln>
                      <a:noFill/>
                    </a:ln>
                  </pic:spPr>
                </pic:pic>
              </a:graphicData>
            </a:graphic>
          </wp:inline>
        </w:drawing>
      </w:r>
    </w:p>
    <w:p w14:paraId="687F5A1B">
      <w:pPr>
        <w:pStyle w:val="56"/>
        <w:ind w:firstLine="420"/>
        <w:jc w:val="center"/>
        <w:rPr>
          <w:rFonts w:hint="eastAsia" w:ascii="黑体" w:hAnsi="Times New Roman" w:eastAsia="黑体" w:cs="Times New Roman"/>
          <w:kern w:val="21"/>
          <w:sz w:val="21"/>
          <w:lang w:val="en-US" w:eastAsia="zh-CN" w:bidi="ar-SA"/>
        </w:rPr>
      </w:pPr>
      <w:r>
        <w:rPr>
          <w:rFonts w:hint="eastAsia" w:ascii="黑体" w:hAnsi="Times New Roman" w:eastAsia="黑体" w:cs="Times New Roman"/>
          <w:kern w:val="21"/>
          <w:sz w:val="21"/>
          <w:lang w:val="en-US" w:eastAsia="zh-CN" w:bidi="ar-SA"/>
        </w:rPr>
        <w:t>图B.</w:t>
      </w:r>
      <w:r>
        <w:rPr>
          <w:rFonts w:hint="eastAsia" w:ascii="黑体" w:eastAsia="黑体" w:cs="Times New Roman"/>
          <w:kern w:val="21"/>
          <w:sz w:val="21"/>
          <w:lang w:val="en-US" w:eastAsia="zh-CN" w:bidi="ar-SA"/>
        </w:rPr>
        <w:t>4</w:t>
      </w:r>
      <w:r>
        <w:rPr>
          <w:rFonts w:hint="eastAsia" w:ascii="黑体" w:hAnsi="Times New Roman" w:eastAsia="黑体" w:cs="Times New Roman"/>
          <w:kern w:val="21"/>
          <w:sz w:val="21"/>
          <w:lang w:val="en-US" w:eastAsia="zh-CN" w:bidi="ar-SA"/>
        </w:rPr>
        <w:t xml:space="preserve"> </w:t>
      </w:r>
      <w:r>
        <w:rPr>
          <w:rFonts w:hint="eastAsia" w:ascii="黑体" w:eastAsia="黑体" w:cs="Times New Roman"/>
          <w:kern w:val="21"/>
          <w:sz w:val="21"/>
          <w:lang w:val="en-US" w:eastAsia="zh-CN" w:bidi="ar-SA"/>
        </w:rPr>
        <w:t>三唑磺草酮茎叶喷雾对直播</w:t>
      </w:r>
      <w:r>
        <w:rPr>
          <w:rFonts w:hint="eastAsia" w:ascii="黑体" w:hAnsi="Times New Roman" w:eastAsia="黑体" w:cs="Times New Roman"/>
          <w:kern w:val="21"/>
          <w:sz w:val="21"/>
          <w:lang w:val="en-US" w:eastAsia="zh-CN" w:bidi="ar-SA"/>
        </w:rPr>
        <w:t>水稻药害症状</w:t>
      </w:r>
    </w:p>
    <w:p w14:paraId="5A71F0A7">
      <w:pPr>
        <w:pStyle w:val="56"/>
        <w:ind w:firstLine="420"/>
        <w:jc w:val="center"/>
      </w:pPr>
      <w:r>
        <w:drawing>
          <wp:inline distT="0" distB="0" distL="114300" distR="114300">
            <wp:extent cx="3457575" cy="2598420"/>
            <wp:effectExtent l="0" t="0" r="7620" b="317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3457575" cy="2598420"/>
                    </a:xfrm>
                    <a:prstGeom prst="rect">
                      <a:avLst/>
                    </a:prstGeom>
                    <a:noFill/>
                    <a:ln>
                      <a:noFill/>
                    </a:ln>
                  </pic:spPr>
                </pic:pic>
              </a:graphicData>
            </a:graphic>
          </wp:inline>
        </w:drawing>
      </w:r>
    </w:p>
    <w:p w14:paraId="7DA225AA">
      <w:pPr>
        <w:pStyle w:val="56"/>
        <w:ind w:firstLine="420"/>
        <w:jc w:val="center"/>
        <w:rPr>
          <w:rFonts w:hint="default"/>
          <w:lang w:val="en-US" w:eastAsia="zh-CN"/>
        </w:rPr>
      </w:pPr>
      <w:r>
        <w:rPr>
          <w:rFonts w:hint="eastAsia" w:ascii="黑体" w:hAnsi="Times New Roman" w:eastAsia="黑体" w:cs="Times New Roman"/>
          <w:kern w:val="21"/>
          <w:sz w:val="21"/>
          <w:lang w:val="en-US" w:eastAsia="zh-CN" w:bidi="ar-SA"/>
        </w:rPr>
        <w:t>图B.</w:t>
      </w:r>
      <w:r>
        <w:rPr>
          <w:rFonts w:hint="eastAsia" w:ascii="黑体" w:eastAsia="黑体" w:cs="Times New Roman"/>
          <w:kern w:val="21"/>
          <w:sz w:val="21"/>
          <w:lang w:val="en-US" w:eastAsia="zh-CN" w:bidi="ar-SA"/>
        </w:rPr>
        <w:t>5</w:t>
      </w:r>
      <w:r>
        <w:rPr>
          <w:rFonts w:hint="eastAsia" w:ascii="黑体" w:hAnsi="Times New Roman" w:eastAsia="黑体" w:cs="Times New Roman"/>
          <w:kern w:val="21"/>
          <w:sz w:val="21"/>
          <w:lang w:val="en-US" w:eastAsia="zh-CN" w:bidi="ar-SA"/>
        </w:rPr>
        <w:t xml:space="preserve"> </w:t>
      </w:r>
      <w:r>
        <w:rPr>
          <w:rFonts w:hint="eastAsia" w:ascii="黑体" w:eastAsia="黑体" w:cs="Times New Roman"/>
          <w:kern w:val="21"/>
          <w:sz w:val="21"/>
          <w:lang w:val="en-US" w:eastAsia="zh-CN" w:bidi="ar-SA"/>
        </w:rPr>
        <w:t>吡唑喹草酯茎叶喷雾对直播</w:t>
      </w:r>
      <w:r>
        <w:rPr>
          <w:rFonts w:hint="eastAsia" w:ascii="黑体" w:hAnsi="Times New Roman" w:eastAsia="黑体" w:cs="Times New Roman"/>
          <w:kern w:val="21"/>
          <w:sz w:val="21"/>
          <w:lang w:val="en-US" w:eastAsia="zh-CN" w:bidi="ar-SA"/>
        </w:rPr>
        <w:t>水稻药害症状</w:t>
      </w:r>
    </w:p>
    <w:bookmarkEnd w:id="54"/>
    <w:p w14:paraId="35C2B6CA">
      <w:pPr>
        <w:pStyle w:val="56"/>
        <w:ind w:firstLine="0" w:firstLineChars="0"/>
        <w:jc w:val="center"/>
        <w:rPr>
          <w:rFonts w:hint="eastAsia"/>
        </w:rPr>
      </w:pPr>
      <w:bookmarkStart w:id="57" w:name="BookMark8"/>
      <w:r>
        <w:rPr>
          <w:rFonts w:hint="eastAsia"/>
        </w:rP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57"/>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10A1F0">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13815E">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816FB">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8B07C7">
    <w:pPr>
      <w:pStyle w:val="52"/>
    </w:pPr>
    <w:r>
      <w:fldChar w:fldCharType="begin"/>
    </w:r>
    <w:r>
      <w:instrText xml:space="preserve">PAGE   \* MERGEFORMAT</w:instrText>
    </w:r>
    <w:r>
      <w:fldChar w:fldCharType="separate"/>
    </w:r>
    <w:r>
      <w:rPr>
        <w:lang w:val="zh-CN"/>
      </w:rP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EFB115">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1AB0F">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0D2F">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96195F">
    <w:pPr>
      <w:pStyle w:val="61"/>
    </w:pPr>
    <w:r>
      <w:fldChar w:fldCharType="begin"/>
    </w:r>
    <w:r>
      <w:instrText xml:space="preserve"> STYLEREF  标准文件_文件编号  \* MERGEFORMAT </w:instrText>
    </w:r>
    <w:r>
      <w:fldChar w:fldCharType="separate"/>
    </w:r>
    <w:r>
      <w:t>DB 43/T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27D83B">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43/T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attachedTemplate r:id="rId1"/>
  <w:documentProtection w:edit="forms" w:enforcement="1" w:cryptProviderType="rsaAES" w:cryptAlgorithmClass="hash" w:cryptAlgorithmType="typeAny" w:cryptAlgorithmSid="14" w:cryptSpinCount="100000" w:hash="yfK6f7DcS2SmsgfhQqANaQg8b2jqNPqjvWofcQS79LVY5qeelFTVros232QB/PG9YQFnOVa5lMcpJNR7hm5M2A==" w:salt="41uQ78PplgVN9mUNDYu3Mw=="/>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RhN2UxNmM0OWU3MTExYjE1ZTY1NWNiNjU3ZDFjYmUifQ=="/>
  </w:docVars>
  <w:rsids>
    <w:rsidRoot w:val="00646449"/>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6738B"/>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2D45"/>
    <w:rsid w:val="00633C17"/>
    <w:rsid w:val="00634D9E"/>
    <w:rsid w:val="00636E3E"/>
    <w:rsid w:val="006379F7"/>
    <w:rsid w:val="00637E4D"/>
    <w:rsid w:val="00640620"/>
    <w:rsid w:val="00641A1F"/>
    <w:rsid w:val="00645904"/>
    <w:rsid w:val="00646449"/>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5EB"/>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E253411"/>
    <w:rsid w:val="1A5B3ACC"/>
    <w:rsid w:val="1C3063FA"/>
    <w:rsid w:val="1CB9206C"/>
    <w:rsid w:val="24DA23E7"/>
    <w:rsid w:val="2CE8560A"/>
    <w:rsid w:val="2D194F51"/>
    <w:rsid w:val="2F6D7B0F"/>
    <w:rsid w:val="3E1E03FF"/>
    <w:rsid w:val="5CD43EAD"/>
    <w:rsid w:val="5EFC0E59"/>
    <w:rsid w:val="60AD21A7"/>
    <w:rsid w:val="7B704025"/>
    <w:rsid w:val="7F8739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Subtle Reference"/>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glossaryDocument" Target="glossary/document.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jpe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jpe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6DC4E63716124B0E87A792A7596AF9C3"/>
        <w:style w:val=""/>
        <w:category>
          <w:name w:val="常规"/>
          <w:gallery w:val="placeholder"/>
        </w:category>
        <w:types>
          <w:type w:val="bbPlcHdr"/>
        </w:types>
        <w:behaviors>
          <w:behavior w:val="content"/>
        </w:behaviors>
        <w:description w:val=""/>
        <w:guid w:val="{2C8DA401-7AF2-408D-8D68-A2C4086432E2}"/>
      </w:docPartPr>
      <w:docPartBody>
        <w:p w14:paraId="1DE2E560">
          <w:pPr>
            <w:pStyle w:val="5"/>
          </w:pPr>
          <w:r>
            <w:rPr>
              <w:rStyle w:val="4"/>
              <w:rFonts w:hint="eastAsia"/>
            </w:rPr>
            <w:t>单击或点击此处输入文字。</w:t>
          </w:r>
        </w:p>
      </w:docPartBody>
    </w:docPart>
    <w:docPart>
      <w:docPartPr>
        <w:name w:val="746C9B5C64D44C0384CD31B48C4A7486"/>
        <w:style w:val=""/>
        <w:category>
          <w:name w:val="常规"/>
          <w:gallery w:val="placeholder"/>
        </w:category>
        <w:types>
          <w:type w:val="bbPlcHdr"/>
        </w:types>
        <w:behaviors>
          <w:behavior w:val="content"/>
        </w:behaviors>
        <w:description w:val=""/>
        <w:guid w:val="{61AE2F87-85A9-4412-A6DC-84A554DEF71A}"/>
      </w:docPartPr>
      <w:docPartBody>
        <w:p w14:paraId="66AB9FD5">
          <w:pPr>
            <w:pStyle w:val="6"/>
          </w:pPr>
          <w:r>
            <w:rPr>
              <w:rStyle w:val="4"/>
              <w:rFonts w:hint="eastAsia"/>
            </w:rPr>
            <w:t>选择一项。</w:t>
          </w:r>
        </w:p>
      </w:docPartBody>
    </w:docPart>
    <w:docPart>
      <w:docPartPr>
        <w:name w:val="8BAED8ED483D417EAFEAD8D8F56CDE18"/>
        <w:style w:val=""/>
        <w:category>
          <w:name w:val="常规"/>
          <w:gallery w:val="placeholder"/>
        </w:category>
        <w:types>
          <w:type w:val="bbPlcHdr"/>
        </w:types>
        <w:behaviors>
          <w:behavior w:val="content"/>
        </w:behaviors>
        <w:description w:val=""/>
        <w:guid w:val="{F84B0D6C-6C17-4308-8126-5014E2448596}"/>
      </w:docPartPr>
      <w:docPartBody>
        <w:p w14:paraId="205F355D">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171C"/>
    <w:rsid w:val="001117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 w:type="paragraph" w:customStyle="1" w:styleId="5">
    <w:name w:val="6DC4E63716124B0E87A792A7596AF9C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746C9B5C64D44C0384CD31B48C4A7486"/>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8BAED8ED483D417EAFEAD8D8F56CDE18"/>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0156DE-03D0-401D-96E8-647AC71B8B66}">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12</Pages>
  <Words>5132</Words>
  <Characters>5691</Characters>
  <Lines>299</Lines>
  <Paragraphs>269</Paragraphs>
  <TotalTime>4</TotalTime>
  <ScaleCrop>false</ScaleCrop>
  <LinksUpToDate>false</LinksUpToDate>
  <CharactersWithSpaces>5792</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2024-06-21T05:50:00Z</dcterms:created>
  <dc:creator>Administrator</dc:creator>
  <dc:description>&lt;config cover="true" show_menu="true" version="1.0.0" doctype="SDKXY"&gt;_x000d_
&lt;/config&gt;</dc:description>
  <cp:lastModifiedBy>刘敏</cp:lastModifiedBy>
  <cp:lastPrinted>2020-08-30T10:00:00Z</cp:lastPrinted>
  <dcterms:modified xsi:type="dcterms:W3CDTF">2025-10-18T04:01:14Z</dcterms:modified>
  <dc:title>地方标准</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2052-12.1.0.23125</vt:lpwstr>
  </property>
  <property fmtid="{D5CDD505-2E9C-101B-9397-08002B2CF9AE}" pid="15" name="ICV">
    <vt:lpwstr>85FFA3522FD24799A11171993AB72CF1_12</vt:lpwstr>
  </property>
  <property fmtid="{D5CDD505-2E9C-101B-9397-08002B2CF9AE}" pid="16" name="KSOTemplateDocerSaveRecord">
    <vt:lpwstr>eyJoZGlkIjoiNGRhN2UxNmM0OWU3MTExYjE1ZTY1NWNiNjU3ZDFjYmUiLCJ1c2VySWQiOiI2NzMyNzA4ODQifQ==</vt:lpwstr>
  </property>
</Properties>
</file>