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framePr w:h="624" w:hRule="exact" w:hSpace="181" w:vSpace="181" w:hAnchor="page" w:x="1305" w:y="2269"/>
        <w:rPr>
          <w:rFonts w:ascii="Times New Roman" w:eastAsia="黑体"/>
          <w:b w:val="0"/>
          <w:bCs w:val="0"/>
          <w:w w:val="100"/>
          <w:sz w:val="48"/>
          <w:szCs w:val="48"/>
        </w:rPr>
      </w:pPr>
      <w:bookmarkStart w:id="0" w:name="_Hlk26473981"/>
      <w:r>
        <w:rPr>
          <w:rFonts w:ascii="Times New Roman" w:eastAsia="黑体"/>
          <w:b w:val="0"/>
          <w:w w:val="100"/>
          <w:sz w:val="48"/>
        </w:rPr>
        <w:fldChar w:fldCharType="begin">
          <w:ffData>
            <w:name w:val="c2"/>
            <w:enabled/>
            <w:calcOnExit w:val="0"/>
            <w:textInput/>
          </w:ffData>
        </w:fldChar>
      </w:r>
      <w:bookmarkStart w:id="1" w:name="c2"/>
      <w:r>
        <w:rPr>
          <w:rFonts w:ascii="Times New Roman" w:eastAsia="黑体"/>
          <w:b w:val="0"/>
          <w:w w:val="100"/>
          <w:sz w:val="48"/>
        </w:rPr>
        <w:instrText xml:space="preserve"> FORMTEXT </w:instrText>
      </w:r>
      <w:r>
        <w:rPr>
          <w:rFonts w:ascii="Times New Roman" w:eastAsia="黑体"/>
          <w:b w:val="0"/>
          <w:w w:val="100"/>
          <w:sz w:val="48"/>
        </w:rPr>
        <w:fldChar w:fldCharType="separate"/>
      </w:r>
      <w:r>
        <w:rPr>
          <w:rFonts w:ascii="Times New Roman" w:eastAsia="黑体"/>
          <w:b w:val="0"/>
          <w:w w:val="100"/>
          <w:sz w:val="48"/>
        </w:rPr>
        <w:t>湖南省</w:t>
      </w:r>
      <w:r>
        <w:rPr>
          <w:rFonts w:ascii="Times New Roman" w:eastAsia="黑体"/>
          <w:b w:val="0"/>
          <w:w w:val="100"/>
          <w:sz w:val="48"/>
        </w:rPr>
        <w:fldChar w:fldCharType="end"/>
      </w:r>
      <w:bookmarkEnd w:id="1"/>
      <w:r>
        <w:rPr>
          <w:rFonts w:ascii="Times New Roman" w:eastAsia="黑体"/>
          <w:b w:val="0"/>
          <w:bCs w:val="0"/>
          <w:w w:val="100"/>
          <w:sz w:val="48"/>
          <w:szCs w:val="48"/>
        </w:rPr>
        <w:t>地方标准</w:t>
      </w:r>
    </w:p>
    <w:bookmarkEnd w:id="0"/>
    <w:p>
      <w:pPr>
        <w:pStyle w:val="200"/>
        <w:rPr>
          <w:rFonts w:ascii="Times New Roman"/>
          <w:color w:val="auto"/>
          <w:lang w:val="fr-FR"/>
        </w:rPr>
      </w:pPr>
      <w:r>
        <w:rPr>
          <w:rFonts w:ascii="Times New Roman"/>
          <w:color w:val="auto"/>
          <w:lang w:val="fr-FR"/>
        </w:rPr>
        <w:t>DB</w:t>
      </w:r>
      <w:r>
        <w:rPr>
          <w:rFonts w:ascii="Times New Roman"/>
          <w:color w:val="auto"/>
        </w:rPr>
        <w:fldChar w:fldCharType="begin">
          <w:ffData>
            <w:name w:val="文字1"/>
            <w:enabled/>
            <w:calcOnExit w:val="0"/>
            <w:textInput>
              <w:default w:val="XX/T"/>
            </w:textInput>
          </w:ffData>
        </w:fldChar>
      </w:r>
      <w:bookmarkStart w:id="2" w:name="文字1"/>
      <w:r>
        <w:rPr>
          <w:rFonts w:ascii="Times New Roman"/>
          <w:color w:val="auto"/>
          <w:lang w:val="fr-FR"/>
        </w:rPr>
        <w:instrText xml:space="preserve"> FORMTEXT </w:instrText>
      </w:r>
      <w:r>
        <w:rPr>
          <w:rFonts w:ascii="Times New Roman"/>
          <w:color w:val="auto"/>
        </w:rPr>
        <w:fldChar w:fldCharType="separate"/>
      </w:r>
      <w:r>
        <w:rPr>
          <w:rFonts w:ascii="Times New Roman"/>
          <w:color w:val="auto"/>
          <w:lang w:val="fr-FR"/>
        </w:rPr>
        <w:t>43/T</w:t>
      </w:r>
      <w:r>
        <w:rPr>
          <w:rFonts w:ascii="Times New Roman"/>
          <w:color w:val="auto"/>
        </w:rPr>
        <w:fldChar w:fldCharType="end"/>
      </w:r>
      <w:bookmarkEnd w:id="2"/>
      <w:r>
        <w:rPr>
          <w:rFonts w:ascii="Times New Roman"/>
          <w:color w:val="auto"/>
        </w:rPr>
        <w:t xml:space="preserve"> </w:t>
      </w:r>
      <w:r>
        <w:rPr>
          <w:rFonts w:ascii="Times New Roman"/>
          <w:color w:val="auto"/>
        </w:rPr>
        <w:fldChar w:fldCharType="begin">
          <w:ffData>
            <w:name w:val="NSTD_CODE_F"/>
            <w:enabled/>
            <w:calcOnExit w:val="0"/>
            <w:textInput>
              <w:default w:val="XXXX"/>
            </w:textInput>
          </w:ffData>
        </w:fldChar>
      </w:r>
      <w:bookmarkStart w:id="3" w:name="NSTD_CODE_F"/>
      <w:r>
        <w:rPr>
          <w:rFonts w:ascii="Times New Roman"/>
          <w:color w:val="auto"/>
          <w:lang w:val="fr-FR"/>
        </w:rPr>
        <w:instrText xml:space="preserve"> FORMTEXT </w:instrText>
      </w:r>
      <w:r>
        <w:rPr>
          <w:rFonts w:ascii="Times New Roman"/>
          <w:color w:val="auto"/>
        </w:rPr>
        <w:fldChar w:fldCharType="separate"/>
      </w:r>
      <w:r>
        <w:rPr>
          <w:rFonts w:ascii="Times New Roman"/>
          <w:color w:val="auto"/>
          <w:lang w:val="fr-FR"/>
        </w:rPr>
        <w:t>XXXX</w:t>
      </w:r>
      <w:r>
        <w:rPr>
          <w:rFonts w:ascii="Times New Roman"/>
          <w:color w:val="auto"/>
        </w:rPr>
        <w:fldChar w:fldCharType="end"/>
      </w:r>
      <w:bookmarkEnd w:id="3"/>
      <w:r>
        <w:rPr>
          <w:rFonts w:ascii="Times New Roman"/>
          <w:color w:val="auto"/>
          <w:lang w:val="fr-FR"/>
        </w:rPr>
        <w:t>—</w:t>
      </w:r>
      <w:r>
        <w:rPr>
          <w:rFonts w:ascii="Times New Roman"/>
          <w:color w:val="auto"/>
        </w:rPr>
        <w:fldChar w:fldCharType="begin">
          <w:ffData>
            <w:name w:val="NSTD_CODE_B"/>
            <w:enabled/>
            <w:calcOnExit w:val="0"/>
            <w:textInput>
              <w:default w:val="XXXX"/>
            </w:textInput>
          </w:ffData>
        </w:fldChar>
      </w:r>
      <w:bookmarkStart w:id="4" w:name="NSTD_CODE_B"/>
      <w:r>
        <w:rPr>
          <w:rFonts w:ascii="Times New Roman"/>
          <w:color w:val="auto"/>
          <w:lang w:val="fr-FR"/>
        </w:rPr>
        <w:instrText xml:space="preserve"> FORMTEXT </w:instrText>
      </w:r>
      <w:r>
        <w:rPr>
          <w:rFonts w:ascii="Times New Roman"/>
          <w:color w:val="auto"/>
        </w:rPr>
        <w:fldChar w:fldCharType="separate"/>
      </w:r>
      <w:r>
        <w:rPr>
          <w:rFonts w:ascii="Times New Roman"/>
          <w:color w:val="auto"/>
          <w:lang w:val="fr-FR"/>
        </w:rPr>
        <w:t>XXXX</w:t>
      </w:r>
      <w:r>
        <w:rPr>
          <w:rFonts w:ascii="Times New Roman"/>
          <w:color w:val="auto"/>
        </w:rPr>
        <w:fldChar w:fldCharType="end"/>
      </w:r>
      <w:bookmarkEnd w:id="4"/>
    </w:p>
    <w:p>
      <w:pPr>
        <w:pStyle w:val="201"/>
        <w:rPr>
          <w:rFonts w:ascii="Times New Roman"/>
          <w:color w:val="auto"/>
        </w:rPr>
      </w:pPr>
      <w:r>
        <w:rPr>
          <w:rFonts w:ascii="Times New Roman"/>
          <w:color w:val="auto"/>
        </w:rPr>
        <w:fldChar w:fldCharType="begin">
          <w:ffData>
            <w:name w:val="OSTD_CODE"/>
            <w:enabled/>
            <w:calcOnExit w:val="0"/>
            <w:textInput/>
          </w:ffData>
        </w:fldChar>
      </w:r>
      <w:bookmarkStart w:id="5" w:name="OSTD_CODE"/>
      <w:r>
        <w:rPr>
          <w:rFonts w:ascii="Times New Roman"/>
          <w:color w:val="auto"/>
        </w:rPr>
        <w:instrText xml:space="preserve"> FORMTEXT </w:instrText>
      </w:r>
      <w:r>
        <w:rPr>
          <w:rFonts w:ascii="Times New Roman"/>
          <w:color w:val="auto"/>
        </w:rPr>
        <w:fldChar w:fldCharType="separate"/>
      </w:r>
      <w:r>
        <w:rPr>
          <w:rFonts w:ascii="Times New Roman"/>
          <w:color w:val="auto"/>
        </w:rPr>
        <w:t>     </w:t>
      </w:r>
      <w:r>
        <w:rPr>
          <w:rFonts w:ascii="Times New Roman"/>
          <w:color w:val="auto"/>
        </w:rPr>
        <w:fldChar w:fldCharType="end"/>
      </w:r>
      <w:bookmarkEnd w:id="5"/>
    </w:p>
    <w:p>
      <w:pPr>
        <w:pStyle w:val="55"/>
        <w:framePr w:w="9639" w:h="6976" w:hRule="exact" w:hSpace="0" w:vSpace="0" w:hAnchor="page" w:y="6408"/>
        <w:jc w:val="center"/>
        <w:rPr>
          <w:rFonts w:ascii="Times New Roman" w:eastAsia="黑体"/>
          <w:b w:val="0"/>
          <w:bCs w:val="0"/>
          <w:w w:val="100"/>
        </w:rPr>
      </w:pPr>
      <w:r>
        <w:rPr>
          <w:rFonts w:ascii="Times New Roman"/>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9342120</wp:posOffset>
                </wp:positionV>
                <wp:extent cx="6120130" cy="0"/>
                <wp:effectExtent l="0" t="0" r="0" b="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35.6pt;height:0pt;width:481.9pt;mso-position-horizontal-relative:page;mso-position-vertical-relative:page;z-index:251663360;mso-width-relative:page;mso-height-relative:page;" filled="f" stroked="t" coordsize="21600,21600" o:gfxdata="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Q6dzF1wAAAA4BAAAPAAAAAAAAAAEAIAAAACIAAABkcnMvZG93&#10;bnJldi54bWxQSwECFAAUAAAACACHTuJAVzY6QMgBAABcAwAADgAAAAAAAAABACAAAAAmAQAAZHJz&#10;L2Uyb0RvYy54bWxQSwUGAAAAAAYABgBZAQAAYAUAAAAA&#10;">
                <v:fill on="f" focussize="0,0"/>
                <v:stroke color="#000000" joinstyle="round"/>
                <v:imagedata o:title=""/>
                <o:lock v:ext="edit" aspectratio="f"/>
                <w10:anchorlock/>
              </v:line>
            </w:pict>
          </mc:Fallback>
        </mc:AlternateContent>
      </w:r>
    </w:p>
    <w:p>
      <w:pPr>
        <w:framePr w:w="9639" w:h="6974" w:hRule="exact" w:wrap="around" w:vAnchor="page" w:hAnchor="page" w:x="1319" w:y="6767" w:anchorLock="1"/>
        <w:tabs>
          <w:tab w:val="left" w:pos="304"/>
        </w:tabs>
        <w:ind w:left="-1418"/>
        <w:jc w:val="center"/>
        <w:rPr>
          <w:rFonts w:ascii="Times New Roman" w:hAnsi="Times New Roman"/>
        </w:rPr>
      </w:pPr>
    </w:p>
    <w:p>
      <w:pPr>
        <w:pStyle w:val="130"/>
        <w:framePr w:w="9639" w:h="6974" w:hRule="exact" w:wrap="around" w:vAnchor="page" w:hAnchor="page" w:x="1319" w:y="6767" w:anchorLock="1"/>
        <w:textAlignment w:val="bottom"/>
        <w:rPr>
          <w:rFonts w:eastAsia="黑体"/>
          <w:szCs w:val="28"/>
        </w:rPr>
      </w:pPr>
      <w:bookmarkStart w:id="6" w:name="ESTD_NAME"/>
    </w:p>
    <w:p>
      <w:pPr>
        <w:pStyle w:val="130"/>
        <w:framePr w:w="9639" w:h="6974" w:hRule="exact" w:wrap="around" w:vAnchor="page" w:hAnchor="page" w:x="1319" w:y="6767" w:anchorLock="1"/>
        <w:textAlignment w:val="bottom"/>
        <w:rPr>
          <w:rFonts w:eastAsia="黑体"/>
          <w:szCs w:val="28"/>
        </w:rPr>
      </w:pPr>
      <w:r>
        <w:rPr>
          <w:rFonts w:eastAsia="黑体"/>
          <w:szCs w:val="28"/>
        </w:rPr>
        <w:fldChar w:fldCharType="begin">
          <w:ffData>
            <w:name w:val="ESTD_NAME"/>
            <w:enabled/>
            <w:calcOnExit w:val="0"/>
            <w:textInput>
              <w:default w:val="Technical specification for air carrying energy radiant  &#10;air-conditioning system"/>
            </w:textInput>
          </w:ffData>
        </w:fldChar>
      </w:r>
      <w:r>
        <w:rPr>
          <w:rFonts w:eastAsia="黑体"/>
          <w:szCs w:val="28"/>
        </w:rPr>
        <w:instrText xml:space="preserve">FORMTEXT</w:instrText>
      </w:r>
      <w:r>
        <w:rPr>
          <w:rFonts w:eastAsia="黑体"/>
          <w:szCs w:val="28"/>
        </w:rPr>
        <w:fldChar w:fldCharType="separate"/>
      </w:r>
      <w:r>
        <w:rPr>
          <w:rFonts w:eastAsia="黑体"/>
          <w:szCs w:val="28"/>
        </w:rPr>
        <w:t xml:space="preserve">Technical specification for air carrying energy radiant  </w:t>
      </w:r>
      <w:r>
        <w:rPr>
          <w:rFonts w:eastAsia="黑体"/>
          <w:szCs w:val="28"/>
        </w:rPr>
        <w:cr/>
      </w:r>
      <w:r>
        <w:rPr>
          <w:rFonts w:eastAsia="黑体"/>
          <w:szCs w:val="28"/>
        </w:rPr>
        <w:t>air-conditioning system</w:t>
      </w:r>
      <w:r>
        <w:rPr>
          <w:rFonts w:eastAsia="黑体"/>
          <w:szCs w:val="28"/>
        </w:rPr>
        <w:fldChar w:fldCharType="end"/>
      </w:r>
      <w:bookmarkEnd w:id="6"/>
    </w:p>
    <w:p>
      <w:pPr>
        <w:framePr w:w="9639" w:h="6974" w:hRule="exact" w:wrap="around" w:vAnchor="page" w:hAnchor="page" w:x="1319" w:y="6767" w:anchorLock="1"/>
        <w:spacing w:line="760" w:lineRule="exact"/>
        <w:ind w:left="-1418"/>
        <w:rPr>
          <w:rFonts w:ascii="Times New Roman" w:hAnsi="Times New Roman"/>
        </w:rPr>
      </w:pPr>
    </w:p>
    <w:p>
      <w:pPr>
        <w:pStyle w:val="130"/>
        <w:framePr w:w="9639" w:h="6974" w:hRule="exact" w:wrap="around" w:vAnchor="page" w:hAnchor="page" w:x="1319" w:y="6767" w:anchorLock="1"/>
        <w:textAlignment w:val="bottom"/>
        <w:rPr>
          <w:rFonts w:eastAsia="黑体"/>
          <w:szCs w:val="28"/>
        </w:rPr>
      </w:pPr>
      <w:bookmarkStart w:id="7" w:name="Text1"/>
      <w:r>
        <w:rPr>
          <w:rFonts w:eastAsia="黑体"/>
          <w:szCs w:val="28"/>
        </w:rPr>
        <w:fldChar w:fldCharType="begin">
          <w:ffData>
            <w:name w:val="Text1"/>
            <w:enabled/>
            <w:calcOnExit w:val="0"/>
            <w:textInput/>
          </w:ffData>
        </w:fldChar>
      </w:r>
      <w:r>
        <w:rPr>
          <w:rFonts w:eastAsia="黑体"/>
          <w:szCs w:val="28"/>
        </w:rPr>
        <w:instrText xml:space="preserve">FORMTEXT</w:instrText>
      </w:r>
      <w:r>
        <w:rPr>
          <w:rFonts w:eastAsia="黑体"/>
          <w:szCs w:val="28"/>
        </w:rPr>
        <w:fldChar w:fldCharType="separate"/>
      </w:r>
      <w:r>
        <w:rPr>
          <w:rFonts w:eastAsia="黑体"/>
          <w:szCs w:val="28"/>
        </w:rPr>
        <w:t>     </w:t>
      </w:r>
      <w:r>
        <w:rPr>
          <w:rFonts w:eastAsia="黑体"/>
          <w:szCs w:val="28"/>
        </w:rPr>
        <w:fldChar w:fldCharType="end"/>
      </w:r>
      <w:bookmarkEnd w:id="7"/>
    </w:p>
    <w:p>
      <w:pPr>
        <w:pStyle w:val="130"/>
        <w:framePr w:w="9639" w:h="6974" w:hRule="exact" w:wrap="around" w:vAnchor="page" w:hAnchor="page" w:x="1319" w:y="6767" w:anchorLock="1"/>
        <w:spacing w:before="440" w:after="160"/>
        <w:textAlignment w:val="bottom"/>
        <w:rPr>
          <w:sz w:val="24"/>
          <w:szCs w:val="28"/>
        </w:rPr>
      </w:pPr>
      <w:bookmarkStart w:id="8" w:name="DropDown1"/>
      <w:r>
        <w:rPr>
          <w:rFonts w:hint="eastAsia"/>
          <w:sz w:val="24"/>
          <w:szCs w:val="28"/>
        </w:rPr>
        <w:fldChar w:fldCharType="begin">
          <w:ffData>
            <w:name w:val="DropDown1"/>
            <w:enabled w:val="0"/>
            <w:calcOnExit w:val="0"/>
            <w:ddList>
              <w:listEntry w:val="（征求意见稿）"/>
              <w:listEntry w:val="（工作组讨论稿）"/>
              <w:listEntry w:val="（送审讨论稿）"/>
              <w:listEntry w:val="文稿版次选择"/>
              <w:listEntry w:val="（送审稿）"/>
              <w:listEntry w:val="（报批稿）"/>
            </w:ddList>
          </w:ffData>
        </w:fldChar>
      </w:r>
      <w:r>
        <w:rPr>
          <w:sz w:val="24"/>
          <w:szCs w:val="28"/>
        </w:rPr>
        <w:instrText xml:space="preserve">FORMDROPDOWN</w:instrText>
      </w:r>
      <w:r>
        <w:rPr>
          <w:sz w:val="24"/>
          <w:szCs w:val="28"/>
        </w:rPr>
        <w:fldChar w:fldCharType="separate"/>
      </w:r>
      <w:r>
        <w:rPr>
          <w:rFonts w:hint="eastAsia"/>
          <w:sz w:val="24"/>
          <w:szCs w:val="28"/>
        </w:rPr>
        <w:fldChar w:fldCharType="end"/>
      </w:r>
    </w:p>
    <w:bookmarkEnd w:id="8"/>
    <w:p>
      <w:pPr>
        <w:pStyle w:val="130"/>
        <w:framePr w:w="9639" w:h="6974" w:hRule="exact" w:wrap="around" w:vAnchor="page" w:hAnchor="page" w:x="1319" w:y="6767" w:anchorLock="1"/>
        <w:spacing w:before="180" w:line="240" w:lineRule="atLeast"/>
        <w:textAlignment w:val="bottom"/>
        <w:rPr>
          <w:sz w:val="21"/>
          <w:szCs w:val="28"/>
        </w:rPr>
      </w:pPr>
    </w:p>
    <w:p>
      <w:pPr>
        <w:pStyle w:val="130"/>
        <w:framePr w:w="9639" w:h="6974" w:hRule="exact" w:wrap="around" w:vAnchor="page" w:hAnchor="page" w:x="1319" w:y="6767" w:anchorLock="1"/>
        <w:spacing w:before="951" w:beforeLines="300" w:after="95" w:afterLines="30" w:line="240" w:lineRule="auto"/>
        <w:textAlignment w:val="bottom"/>
        <w:rPr>
          <w:b/>
          <w:sz w:val="21"/>
          <w:szCs w:val="28"/>
        </w:rPr>
      </w:pPr>
      <w:r>
        <w:rPr>
          <w:rFonts w:ascii="Times New Roman" w:hAnsi="Times New Roman" w:eastAsia="宋体" w:cs="Times New Roman"/>
          <w:b/>
          <w:sz w:val="21"/>
          <w:szCs w:val="28"/>
          <w:lang w:val="en-US" w:eastAsia="zh-CN" w:bidi="ar-SA"/>
        </w:rPr>
        <w:fldChar w:fldCharType="begin">
          <w:ffData>
            <w:name w:val="DropDown2"/>
            <w:enabled w:val="0"/>
            <w:calcOnExit w:val="0"/>
            <w:ddList/>
          </w:ffData>
        </w:fldChar>
      </w:r>
      <w:r>
        <w:rPr>
          <w:rFonts w:ascii="Times New Roman" w:hAnsi="Times New Roman" w:eastAsia="宋体" w:cs="Times New Roman"/>
          <w:b/>
          <w:sz w:val="21"/>
          <w:szCs w:val="28"/>
          <w:lang w:val="en-US" w:eastAsia="zh-CN" w:bidi="ar-SA"/>
        </w:rPr>
        <w:instrText xml:space="preserve">FORMDROPDOWN</w:instrText>
      </w:r>
      <w:r>
        <w:rPr>
          <w:rFonts w:ascii="Times New Roman" w:hAnsi="Times New Roman" w:eastAsia="宋体" w:cs="Times New Roman"/>
          <w:b/>
          <w:sz w:val="21"/>
          <w:szCs w:val="28"/>
          <w:lang w:val="en-US" w:eastAsia="zh-CN" w:bidi="ar-SA"/>
        </w:rPr>
        <w:fldChar w:fldCharType="separate"/>
      </w:r>
      <w:r>
        <w:rPr>
          <w:rFonts w:ascii="Times New Roman" w:hAnsi="Times New Roman" w:eastAsia="宋体" w:cs="Times New Roman"/>
          <w:b/>
          <w:sz w:val="21"/>
          <w:szCs w:val="28"/>
          <w:lang w:val="en-US" w:eastAsia="zh-CN" w:bidi="ar-SA"/>
        </w:rPr>
        <w:fldChar w:fldCharType="end"/>
      </w:r>
    </w:p>
    <w:p>
      <w:pPr>
        <w:pStyle w:val="198"/>
        <w:framePr w:x="1418" w:y="14174"/>
      </w:pPr>
      <w:r>
        <w:fldChar w:fldCharType="begin">
          <w:ffData>
            <w:name w:val="PLSH_DATE_Y"/>
            <w:enabled/>
            <w:calcOnExit w:val="0"/>
            <w:textInput>
              <w:default w:val="XXXX"/>
              <w:maxLength w:val="4"/>
            </w:textInput>
          </w:ffData>
        </w:fldChar>
      </w:r>
      <w:bookmarkStart w:id="9" w:name="PLSH_DATE_Y"/>
      <w:r>
        <w:instrText xml:space="preserve"> FORMTEXT </w:instrText>
      </w:r>
      <w:r>
        <w:fldChar w:fldCharType="separate"/>
      </w:r>
      <w:r>
        <w:t>XXXX</w:t>
      </w:r>
      <w:r>
        <w:fldChar w:fldCharType="end"/>
      </w:r>
      <w:bookmarkEnd w:id="9"/>
      <w:r>
        <w:t>-</w:t>
      </w:r>
      <w:r>
        <w:fldChar w:fldCharType="begin">
          <w:ffData>
            <w:name w:val="PLSH_DATE_M"/>
            <w:enabled/>
            <w:calcOnExit w:val="0"/>
            <w:textInput>
              <w:default w:val="XX"/>
              <w:maxLength w:val="2"/>
            </w:textInput>
          </w:ffData>
        </w:fldChar>
      </w:r>
      <w:bookmarkStart w:id="10" w:name="PLSH_DATE_M"/>
      <w:r>
        <w:instrText xml:space="preserve"> FORMTEXT </w:instrText>
      </w:r>
      <w:r>
        <w:fldChar w:fldCharType="separate"/>
      </w:r>
      <w:r>
        <w:t>XX</w:t>
      </w:r>
      <w:r>
        <w:fldChar w:fldCharType="end"/>
      </w:r>
      <w:bookmarkEnd w:id="10"/>
      <w:r>
        <w:t>-</w:t>
      </w:r>
      <w:r>
        <w:fldChar w:fldCharType="begin">
          <w:ffData>
            <w:name w:val="PLSH_DATE_D"/>
            <w:enabled/>
            <w:calcOnExit w:val="0"/>
            <w:textInput>
              <w:default w:val="XX"/>
              <w:maxLength w:val="2"/>
            </w:textInput>
          </w:ffData>
        </w:fldChar>
      </w:r>
      <w:bookmarkStart w:id="11" w:name="PLSH_DATE_D"/>
      <w:r>
        <w:instrText xml:space="preserve"> FORMTEXT </w:instrText>
      </w:r>
      <w:r>
        <w:fldChar w:fldCharType="separate"/>
      </w:r>
      <w:r>
        <w:t>XX</w:t>
      </w:r>
      <w:r>
        <w:fldChar w:fldCharType="end"/>
      </w:r>
      <w:bookmarkEnd w:id="11"/>
      <w:r>
        <w:t>发布</w:t>
      </w:r>
    </w:p>
    <w:p>
      <w:pPr>
        <w:pStyle w:val="199"/>
        <w:framePr w:x="7088" w:y="14174"/>
      </w:pPr>
      <w:r>
        <w:fldChar w:fldCharType="begin">
          <w:ffData>
            <w:name w:val="CROT_DATE_Y"/>
            <w:enabled/>
            <w:calcOnExit w:val="0"/>
            <w:textInput>
              <w:default w:val="XXXX"/>
              <w:maxLength w:val="4"/>
            </w:textInput>
          </w:ffData>
        </w:fldChar>
      </w:r>
      <w:bookmarkStart w:id="12" w:name="CROT_DATE_Y"/>
      <w:r>
        <w:instrText xml:space="preserve"> FORMTEXT </w:instrText>
      </w:r>
      <w:r>
        <w:fldChar w:fldCharType="separate"/>
      </w:r>
      <w:r>
        <w:t>XXXX</w:t>
      </w:r>
      <w:r>
        <w:fldChar w:fldCharType="end"/>
      </w:r>
      <w:bookmarkEnd w:id="12"/>
      <w:r>
        <w:t>-</w:t>
      </w:r>
      <w:r>
        <w:fldChar w:fldCharType="begin">
          <w:ffData>
            <w:name w:val="CROT_DATE_M"/>
            <w:enabled/>
            <w:calcOnExit w:val="0"/>
            <w:textInput>
              <w:default w:val="XX"/>
              <w:maxLength w:val="2"/>
            </w:textInput>
          </w:ffData>
        </w:fldChar>
      </w:r>
      <w:bookmarkStart w:id="13" w:name="CROT_DATE_M"/>
      <w:r>
        <w:instrText xml:space="preserve"> FORMTEXT </w:instrText>
      </w:r>
      <w:r>
        <w:fldChar w:fldCharType="separate"/>
      </w:r>
      <w:r>
        <w:t>XX</w:t>
      </w:r>
      <w:r>
        <w:fldChar w:fldCharType="end"/>
      </w:r>
      <w:bookmarkEnd w:id="13"/>
      <w:r>
        <w:t>-</w:t>
      </w:r>
      <w:r>
        <w:fldChar w:fldCharType="begin">
          <w:ffData>
            <w:name w:val="CROT_DATE_D"/>
            <w:enabled/>
            <w:calcOnExit w:val="0"/>
            <w:textInput>
              <w:default w:val="XX"/>
              <w:maxLength w:val="2"/>
            </w:textInput>
          </w:ffData>
        </w:fldChar>
      </w:r>
      <w:bookmarkStart w:id="14" w:name="CROT_DATE_D"/>
      <w:r>
        <w:instrText xml:space="preserve"> FORMTEXT </w:instrText>
      </w:r>
      <w:r>
        <w:fldChar w:fldCharType="separate"/>
      </w:r>
      <w:r>
        <w:t>XX</w:t>
      </w:r>
      <w:r>
        <w:fldChar w:fldCharType="end"/>
      </w:r>
      <w:bookmarkEnd w:id="14"/>
      <w:r>
        <w:t>实施</w:t>
      </w:r>
    </w:p>
    <w:p>
      <w:pPr>
        <w:pStyle w:val="156"/>
        <w:framePr w:w="7432" w:h="584" w:hRule="exact" w:hSpace="181" w:vSpace="181" w:y="15025"/>
        <w:rPr>
          <w:rFonts w:ascii="Times New Roman"/>
        </w:rPr>
      </w:pPr>
      <w:r>
        <w:rPr>
          <w:rFonts w:ascii="Times New Roman"/>
          <w:w w:val="100"/>
          <w:sz w:val="28"/>
        </w:rPr>
        <w:fldChar w:fldCharType="begin">
          <w:ffData>
            <w:name w:val="fm"/>
            <w:enabled/>
            <w:calcOnExit w:val="0"/>
            <w:textInput/>
          </w:ffData>
        </w:fldChar>
      </w:r>
      <w:bookmarkStart w:id="15" w:name="fm"/>
      <w:r>
        <w:rPr>
          <w:rFonts w:ascii="Times New Roman"/>
          <w:w w:val="100"/>
          <w:sz w:val="28"/>
        </w:rPr>
        <w:instrText xml:space="preserve"> FORMTEXT </w:instrText>
      </w:r>
      <w:r>
        <w:rPr>
          <w:rFonts w:ascii="Times New Roman"/>
          <w:w w:val="100"/>
          <w:sz w:val="28"/>
        </w:rPr>
        <w:fldChar w:fldCharType="separate"/>
      </w:r>
      <w:r>
        <w:rPr>
          <w:rFonts w:ascii="Times New Roman"/>
          <w:w w:val="100"/>
          <w:sz w:val="28"/>
        </w:rPr>
        <w:t>湖南省市场监督管理局</w:t>
      </w:r>
      <w:r>
        <w:rPr>
          <w:rFonts w:ascii="Times New Roman"/>
          <w:w w:val="100"/>
          <w:sz w:val="28"/>
        </w:rPr>
        <w:fldChar w:fldCharType="end"/>
      </w:r>
      <w:bookmarkEnd w:id="15"/>
      <w:r>
        <w:rPr>
          <w:rFonts w:ascii="Times New Roman"/>
          <w:w w:val="100"/>
          <w:sz w:val="28"/>
        </w:rPr>
        <w:t>  </w:t>
      </w:r>
      <w:r>
        <w:rPr>
          <w:rStyle w:val="234"/>
          <w:rFonts w:ascii="Times New Roman"/>
          <w:position w:val="0"/>
        </w:rPr>
        <w:t>发</w:t>
      </w:r>
      <w:r>
        <w:rPr>
          <w:rStyle w:val="234"/>
          <w:rFonts w:ascii="Times New Roman"/>
          <w:spacing w:val="0"/>
          <w:position w:val="0"/>
        </w:rPr>
        <w:t>布</w:t>
      </w:r>
    </w:p>
    <w:tbl>
      <w:tblPr>
        <w:tblStyle w:val="3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19" w:hRule="atLeast"/>
        </w:trPr>
        <w:tc>
          <w:tcPr>
            <w:tcW w:w="509" w:type="dxa"/>
          </w:tcPr>
          <w:p>
            <w:pPr>
              <w:pStyle w:val="21"/>
              <w:tabs>
                <w:tab w:val="clear" w:pos="4153"/>
                <w:tab w:val="clear" w:pos="8306"/>
              </w:tabs>
              <w:spacing w:line="240" w:lineRule="auto"/>
              <w:ind w:firstLine="201"/>
              <w:jc w:val="left"/>
              <w:rPr>
                <w:rFonts w:ascii="Times New Roman" w:hAnsi="Times New Roman" w:eastAsia="黑体"/>
                <w:sz w:val="10"/>
                <w:szCs w:val="10"/>
              </w:rPr>
            </w:pPr>
          </w:p>
        </w:tc>
        <w:tc>
          <w:tcPr>
            <w:tcW w:w="8855" w:type="dxa"/>
          </w:tcPr>
          <w:p>
            <w:pPr>
              <w:pStyle w:val="21"/>
              <w:tabs>
                <w:tab w:val="clear" w:pos="4153"/>
                <w:tab w:val="clear" w:pos="8306"/>
              </w:tabs>
              <w:spacing w:line="240" w:lineRule="auto"/>
              <w:ind w:firstLine="201"/>
              <w:jc w:val="both"/>
              <w:rPr>
                <w:rFonts w:ascii="Times New Roman" w:hAnsi="Times New Roman" w:eastAsia="黑体"/>
                <w:sz w:val="10"/>
                <w:szCs w:val="1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90" w:hRule="atLeast"/>
        </w:trPr>
        <w:tc>
          <w:tcPr>
            <w:tcW w:w="509" w:type="dxa"/>
          </w:tcPr>
          <w:p>
            <w:pPr>
              <w:pStyle w:val="21"/>
              <w:tabs>
                <w:tab w:val="clear" w:pos="4153"/>
                <w:tab w:val="clear" w:pos="8306"/>
              </w:tabs>
              <w:spacing w:line="240" w:lineRule="auto"/>
              <w:ind w:firstLine="201"/>
              <w:jc w:val="left"/>
              <w:rPr>
                <w:rFonts w:ascii="Times New Roman" w:hAnsi="Times New Roman" w:eastAsia="黑体"/>
                <w:sz w:val="10"/>
                <w:szCs w:val="10"/>
              </w:rPr>
            </w:pPr>
          </w:p>
        </w:tc>
        <w:tc>
          <w:tcPr>
            <w:tcW w:w="8855" w:type="dxa"/>
          </w:tcPr>
          <w:p>
            <w:pPr>
              <w:pStyle w:val="21"/>
              <w:tabs>
                <w:tab w:val="clear" w:pos="4153"/>
                <w:tab w:val="clear" w:pos="8306"/>
              </w:tabs>
              <w:spacing w:line="240" w:lineRule="auto"/>
              <w:ind w:firstLine="201"/>
              <w:jc w:val="both"/>
              <w:rPr>
                <w:rFonts w:ascii="Times New Roman" w:hAnsi="Times New Roman" w:eastAsia="黑体"/>
                <w:sz w:val="10"/>
                <w:szCs w:val="1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1"/>
              <w:tabs>
                <w:tab w:val="clear" w:pos="4153"/>
                <w:tab w:val="clear" w:pos="8306"/>
              </w:tabs>
              <w:spacing w:line="240" w:lineRule="auto"/>
              <w:jc w:val="left"/>
              <w:rPr>
                <w:rFonts w:ascii="Times New Roman" w:hAnsi="Times New Roman" w:eastAsia="黑体"/>
                <w:sz w:val="10"/>
                <w:szCs w:val="10"/>
              </w:rPr>
            </w:pPr>
            <w:r>
              <w:rPr>
                <w:rFonts w:hint="eastAsia" w:ascii="黑体" w:hAnsi="黑体" w:eastAsia="黑体" w:cs="黑体"/>
                <w:sz w:val="21"/>
                <w:szCs w:val="21"/>
              </w:rPr>
              <w:t>ICS</w:t>
            </w:r>
            <w:r>
              <w:rPr>
                <w:rFonts w:hint="eastAsia" w:ascii="Times New Roman" w:hAnsi="Times New Roman" w:eastAsia="黑体"/>
                <w:sz w:val="21"/>
                <w:szCs w:val="21"/>
              </w:rPr>
              <w:t xml:space="preserve">  </w:t>
            </w:r>
          </w:p>
        </w:tc>
        <w:tc>
          <w:tcPr>
            <w:tcW w:w="8855" w:type="dxa"/>
          </w:tcPr>
          <w:p>
            <w:pPr>
              <w:pStyle w:val="21"/>
              <w:tabs>
                <w:tab w:val="clear" w:pos="4153"/>
                <w:tab w:val="clear" w:pos="8306"/>
              </w:tabs>
              <w:spacing w:line="240" w:lineRule="auto"/>
              <w:jc w:val="both"/>
              <w:rPr>
                <w:rFonts w:ascii="Times New Roman" w:hAnsi="Times New Roman" w:eastAsia="黑体"/>
                <w:sz w:val="10"/>
                <w:szCs w:val="10"/>
              </w:rPr>
            </w:pPr>
            <w:r>
              <w:rPr>
                <w:rFonts w:hint="eastAsia" w:ascii="黑体" w:hAnsi="黑体" w:eastAsia="黑体" w:cs="黑体"/>
                <w:sz w:val="21"/>
                <w:szCs w:val="21"/>
              </w:rPr>
              <w:t>97.220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1"/>
              <w:tabs>
                <w:tab w:val="clear" w:pos="4153"/>
                <w:tab w:val="clear" w:pos="8306"/>
              </w:tabs>
              <w:spacing w:before="40" w:line="240" w:lineRule="auto"/>
              <w:jc w:val="left"/>
              <w:rPr>
                <w:rFonts w:ascii="Times New Roman" w:hAnsi="Times New Roman" w:eastAsia="黑体"/>
                <w:sz w:val="21"/>
                <w:szCs w:val="21"/>
              </w:rPr>
            </w:pPr>
            <w:r>
              <w:rPr>
                <w:rFonts w:hint="eastAsia" w:ascii="黑体" w:hAnsi="黑体" w:eastAsia="黑体" w:cs="黑体"/>
                <w:sz w:val="21"/>
                <w:szCs w:val="21"/>
              </w:rPr>
              <w:t>CCS</w:t>
            </w:r>
            <w:r>
              <w:rPr>
                <w:rFonts w:hint="eastAsia" w:ascii="Times New Roman" w:hAnsi="Times New Roman" w:eastAsia="黑体"/>
                <w:sz w:val="21"/>
                <w:szCs w:val="21"/>
              </w:rPr>
              <w:t xml:space="preserve"> </w:t>
            </w:r>
            <w:r>
              <w:rPr>
                <w:rFonts w:ascii="Times New Roman" w:hAnsi="Times New Roman" w:eastAsia="黑体"/>
                <w:sz w:val="21"/>
                <w:szCs w:val="21"/>
              </w:rPr>
              <w:t xml:space="preserve"> </w:t>
            </w:r>
          </w:p>
        </w:tc>
        <w:tc>
          <w:tcPr>
            <w:tcW w:w="8855" w:type="dxa"/>
          </w:tcPr>
          <w:tbl>
            <w:tblPr>
              <w:tblStyle w:val="38"/>
              <w:tblpPr w:leftFromText="181" w:rightFromText="181" w:vertAnchor="page" w:horzAnchor="page" w:tblpX="2110" w:tblpY="41"/>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4"/>
                    <w:framePr w:w="0" w:hRule="auto" w:wrap="auto" w:vAnchor="margin" w:hAnchor="text" w:xAlign="left" w:yAlign="inline"/>
                    <w:rPr>
                      <w:sz w:val="28"/>
                      <w:szCs w:val="28"/>
                    </w:rPr>
                  </w:pPr>
                  <w:r>
                    <w:drawing>
                      <wp:inline distT="0" distB="0" distL="0" distR="0">
                        <wp:extent cx="796290" cy="397510"/>
                        <wp:effectExtent l="0" t="0" r="381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r>
                    <w:instrText xml:space="preserve"> FORMTEXT </w:instrText>
                  </w:r>
                  <w:r>
                    <w:fldChar w:fldCharType="separate"/>
                  </w:r>
                  <w:r>
                    <w:t>43</w:t>
                  </w:r>
                  <w:r>
                    <w:fldChar w:fldCharType="end"/>
                  </w:r>
                </w:p>
              </w:tc>
            </w:tr>
          </w:tbl>
          <w:p>
            <w:pPr>
              <w:pStyle w:val="21"/>
              <w:tabs>
                <w:tab w:val="clear" w:pos="4153"/>
                <w:tab w:val="clear" w:pos="8306"/>
              </w:tabs>
              <w:spacing w:before="40" w:line="240" w:lineRule="auto"/>
              <w:jc w:val="left"/>
              <w:rPr>
                <w:rFonts w:ascii="Times New Roman" w:hAnsi="Times New Roman" w:eastAsia="黑体"/>
                <w:sz w:val="21"/>
                <w:szCs w:val="21"/>
              </w:rPr>
            </w:pPr>
            <w:r>
              <w:rPr>
                <w:rFonts w:hint="eastAsia" w:ascii="黑体" w:hAnsi="黑体" w:eastAsia="黑体" w:cs="黑体"/>
                <w:sz w:val="21"/>
                <w:szCs w:val="21"/>
              </w:rPr>
              <w:t>Y 55</w:t>
            </w:r>
          </w:p>
        </w:tc>
      </w:tr>
    </w:tbl>
    <w:p>
      <w:pPr>
        <w:pStyle w:val="202"/>
        <w:framePr w:h="844" w:hRule="exact" w:x="1140" w:y="6218"/>
        <w:rPr>
          <w:rFonts w:ascii="Times New Roman" w:hAnsi="Times New Roman"/>
          <w:color w:val="auto"/>
        </w:rPr>
      </w:pPr>
      <w:r>
        <w:rPr>
          <w:rFonts w:ascii="Times New Roman" w:hAnsi="Times New Roman"/>
          <w:color w:val="auto"/>
        </w:rPr>
        <w:fldChar w:fldCharType="begin">
          <w:ffData>
            <w:name w:val="CSTD_NAME"/>
            <w:enabled/>
            <w:calcOnExit w:val="0"/>
            <w:textInput>
              <w:default w:val="空气载能辐射空调技术规程 "/>
            </w:textInput>
          </w:ffData>
        </w:fldChar>
      </w:r>
      <w:r>
        <w:rPr>
          <w:rFonts w:ascii="Times New Roman" w:hAnsi="Times New Roman"/>
          <w:color w:val="auto"/>
        </w:rPr>
        <w:instrText xml:space="preserve">FORMTEXT</w:instrText>
      </w:r>
      <w:r>
        <w:rPr>
          <w:rFonts w:ascii="Times New Roman" w:hAnsi="Times New Roman"/>
          <w:color w:val="auto"/>
        </w:rPr>
        <w:fldChar w:fldCharType="separate"/>
      </w:r>
      <w:r>
        <w:rPr>
          <w:rFonts w:ascii="Times New Roman" w:hAnsi="Times New Roman"/>
          <w:color w:val="auto"/>
        </w:rPr>
        <w:t xml:space="preserve">空气载能辐射空调技术规程 </w:t>
      </w:r>
      <w:r>
        <w:rPr>
          <w:rFonts w:ascii="Times New Roman" w:hAnsi="Times New Roman"/>
          <w:color w:val="auto"/>
        </w:rPr>
        <w:fldChar w:fldCharType="end"/>
      </w:r>
    </w:p>
    <w:p>
      <w:pPr>
        <w:ind w:firstLine="201"/>
        <w:rPr>
          <w:rFonts w:ascii="Times New Roman" w:hAnsi="Times New Roman"/>
          <w:sz w:val="28"/>
          <w:szCs w:val="28"/>
        </w:rPr>
        <w:sectPr>
          <w:footerReference r:id="rId5" w:type="first"/>
          <w:headerReference r:id="rId3" w:type="default"/>
          <w:footerReference r:id="rId4" w:type="even"/>
          <w:type w:val="continuous"/>
          <w:pgSz w:w="11906" w:h="16838"/>
          <w:pgMar w:top="-340" w:right="1134" w:bottom="1020" w:left="1134" w:header="1417" w:footer="1134" w:gutter="283"/>
          <w:cols w:space="0" w:num="1"/>
          <w:docGrid w:type="lines" w:linePitch="317" w:charSpace="0"/>
        </w:sectPr>
      </w:pPr>
      <w:r>
        <w:rPr>
          <w:rFonts w:ascii="黑体" w:hAnsi="黑体" w:eastAsia="黑体"/>
          <w:kern w:val="0"/>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ng0mW2AAAAAwBAAAPAAAAAAAAAAEAIAAAACIAAABkcnMvZG93&#10;bnJldi54bWxQSwECFAAUAAAACACHTuJAJE0UlccBAABcAwAADgAAAAAAAAABACAAAAAnAQAAZHJz&#10;L2Uyb0RvYy54bWxQSwUGAAAAAAYABgBZAQAAYAUAAAAA&#10;">
                <v:fill on="f" focussize="0,0"/>
                <v:stroke color="#000000" joinstyle="round"/>
                <v:imagedata o:title=""/>
                <o:lock v:ext="edit" aspectratio="f"/>
              </v:line>
            </w:pict>
          </mc:Fallback>
        </mc:AlternateContent>
      </w:r>
    </w:p>
    <w:sdt>
      <w:sdtPr>
        <w:rPr>
          <w:rFonts w:ascii="Times New Roman" w:hAnsi="Times New Roman" w:eastAsia="黑体"/>
          <w:sz w:val="32"/>
        </w:rPr>
        <w:id w:val="147479747"/>
        <w15:color w:val="DBDBDB"/>
      </w:sdtPr>
      <w:sdtEndPr>
        <w:rPr>
          <w:rFonts w:ascii="Times New Roman" w:hAnsi="Times New Roman" w:eastAsia="黑体"/>
          <w:sz w:val="32"/>
        </w:rPr>
      </w:sdtEndPr>
      <w:sdtContent>
        <w:p>
          <w:pPr>
            <w:spacing w:before="850" w:after="680" w:line="240" w:lineRule="auto"/>
            <w:jc w:val="center"/>
            <w:rPr>
              <w:rFonts w:ascii="Times New Roman" w:hAnsi="Times New Roman" w:eastAsia="黑体"/>
            </w:rPr>
          </w:pPr>
          <w:r>
            <w:rPr>
              <w:rFonts w:ascii="Times New Roman" w:hAnsi="Times New Roman" w:eastAsia="黑体"/>
              <w:spacing w:val="320"/>
              <w:sz w:val="32"/>
            </w:rPr>
            <w:t>目</w:t>
          </w:r>
          <w:r>
            <w:rPr>
              <w:rFonts w:hint="eastAsia" w:ascii="Times New Roman" w:hAnsi="Times New Roman" w:eastAsia="黑体"/>
              <w:sz w:val="32"/>
            </w:rPr>
            <w:t>次</w:t>
          </w:r>
        </w:p>
        <w:p>
          <w:pPr>
            <w:pStyle w:val="22"/>
            <w:tabs>
              <w:tab w:val="right" w:leader="dot" w:pos="9072"/>
            </w:tabs>
          </w:pPr>
          <w:r>
            <w:rPr>
              <w:rFonts w:hint="eastAsia" w:hAnsi="宋体" w:cs="宋体"/>
            </w:rPr>
            <w:fldChar w:fldCharType="begin"/>
          </w:r>
          <w:r>
            <w:rPr>
              <w:rFonts w:hint="eastAsia" w:hAnsi="宋体" w:cs="宋体"/>
            </w:rPr>
            <w:instrText xml:space="preserve">TOC \o "1-1" \h \u </w:instrText>
          </w:r>
          <w:r>
            <w:rPr>
              <w:rFonts w:hint="eastAsia" w:hAnsi="宋体" w:cs="宋体"/>
            </w:rPr>
            <w:fldChar w:fldCharType="separate"/>
          </w:r>
          <w:r>
            <w:rPr>
              <w:rFonts w:hint="eastAsia" w:hAnsi="宋体" w:cs="宋体"/>
            </w:rPr>
            <w:fldChar w:fldCharType="begin"/>
          </w:r>
          <w:r>
            <w:rPr>
              <w:rFonts w:hint="eastAsia" w:hAnsi="宋体" w:cs="宋体"/>
            </w:rPr>
            <w:instrText xml:space="preserve"> HYPERLINK \l _Toc2204 </w:instrText>
          </w:r>
          <w:r>
            <w:rPr>
              <w:rFonts w:hint="eastAsia" w:hAnsi="宋体" w:cs="宋体"/>
            </w:rPr>
            <w:fldChar w:fldCharType="separate"/>
          </w:r>
          <w:r>
            <w:rPr>
              <w:rFonts w:ascii="Times New Roman"/>
              <w:spacing w:val="320"/>
            </w:rPr>
            <w:t>前</w:t>
          </w:r>
          <w:r>
            <w:rPr>
              <w:rFonts w:ascii="Times New Roman"/>
            </w:rPr>
            <w:t>言</w:t>
          </w:r>
          <w:r>
            <w:tab/>
          </w:r>
          <w:r>
            <w:fldChar w:fldCharType="begin"/>
          </w:r>
          <w:r>
            <w:instrText xml:space="preserve"> PAGEREF _Toc2204 \h </w:instrText>
          </w:r>
          <w:r>
            <w:fldChar w:fldCharType="separate"/>
          </w:r>
          <w:r>
            <w:t>II</w:t>
          </w:r>
          <w:r>
            <w:fldChar w:fldCharType="end"/>
          </w:r>
          <w:r>
            <w:rPr>
              <w:rFonts w:hint="eastAsia" w:hAnsi="宋体" w:cs="宋体"/>
            </w:rPr>
            <w:fldChar w:fldCharType="end"/>
          </w:r>
        </w:p>
        <w:p>
          <w:pPr>
            <w:pStyle w:val="22"/>
            <w:tabs>
              <w:tab w:val="right" w:leader="dot" w:pos="9072"/>
            </w:tabs>
          </w:pPr>
          <w:r>
            <w:rPr>
              <w:rFonts w:hint="eastAsia" w:ascii="宋体" w:hAnsi="宋体" w:cs="宋体"/>
            </w:rPr>
            <w:fldChar w:fldCharType="begin"/>
          </w:r>
          <w:r>
            <w:rPr>
              <w:rFonts w:hint="eastAsia" w:ascii="宋体" w:hAnsi="宋体" w:cs="宋体"/>
            </w:rPr>
            <w:instrText xml:space="preserve"> HYPERLINK \l _Toc20370 </w:instrText>
          </w:r>
          <w:r>
            <w:rPr>
              <w:rFonts w:hint="eastAsia" w:ascii="宋体" w:hAnsi="宋体" w:cs="宋体"/>
            </w:rPr>
            <w:fldChar w:fldCharType="separate"/>
          </w:r>
          <w:r>
            <w:rPr>
              <w:rFonts w:ascii="Times New Roman"/>
              <w:spacing w:val="320"/>
            </w:rPr>
            <w:t>引</w:t>
          </w:r>
          <w:r>
            <w:rPr>
              <w:rFonts w:ascii="Times New Roman"/>
            </w:rPr>
            <w:t>言</w:t>
          </w:r>
          <w:r>
            <w:tab/>
          </w:r>
          <w:r>
            <w:fldChar w:fldCharType="begin"/>
          </w:r>
          <w:r>
            <w:instrText xml:space="preserve"> PAGEREF _Toc20370 \h </w:instrText>
          </w:r>
          <w:r>
            <w:fldChar w:fldCharType="separate"/>
          </w:r>
          <w:r>
            <w:t>III</w:t>
          </w:r>
          <w:r>
            <w:fldChar w:fldCharType="end"/>
          </w:r>
          <w:r>
            <w:rPr>
              <w:rFonts w:hint="eastAsia" w:ascii="宋体" w:hAnsi="宋体" w:cs="宋体"/>
            </w:rPr>
            <w:fldChar w:fldCharType="end"/>
          </w:r>
        </w:p>
        <w:p>
          <w:pPr>
            <w:pStyle w:val="22"/>
            <w:tabs>
              <w:tab w:val="right" w:leader="dot" w:pos="9072"/>
            </w:tabs>
          </w:pPr>
          <w:r>
            <w:rPr>
              <w:rFonts w:hint="eastAsia" w:ascii="宋体" w:hAnsi="宋体" w:cs="宋体"/>
            </w:rPr>
            <w:fldChar w:fldCharType="begin"/>
          </w:r>
          <w:r>
            <w:rPr>
              <w:rFonts w:hint="eastAsia" w:ascii="宋体" w:hAnsi="宋体" w:cs="宋体"/>
            </w:rPr>
            <w:instrText xml:space="preserve"> HYPERLINK \l _Toc10366 </w:instrText>
          </w:r>
          <w:r>
            <w:rPr>
              <w:rFonts w:hint="eastAsia" w:ascii="宋体" w:hAnsi="宋体" w:cs="宋体"/>
            </w:rPr>
            <w:fldChar w:fldCharType="separate"/>
          </w:r>
          <w:r>
            <w:rPr>
              <w:rFonts w:hint="eastAsia" w:ascii="黑体" w:eastAsia="黑体"/>
              <w:i w:val="0"/>
            </w:rPr>
            <w:t xml:space="preserve">1 </w:t>
          </w:r>
          <w:r>
            <w:rPr>
              <w:rFonts w:ascii="Times New Roman"/>
            </w:rPr>
            <w:t>范围</w:t>
          </w:r>
          <w:r>
            <w:tab/>
          </w:r>
          <w:r>
            <w:fldChar w:fldCharType="begin"/>
          </w:r>
          <w:r>
            <w:instrText xml:space="preserve"> PAGEREF _Toc10366 \h </w:instrText>
          </w:r>
          <w:r>
            <w:fldChar w:fldCharType="separate"/>
          </w:r>
          <w:r>
            <w:t>1</w:t>
          </w:r>
          <w:r>
            <w:fldChar w:fldCharType="end"/>
          </w:r>
          <w:r>
            <w:rPr>
              <w:rFonts w:hint="eastAsia" w:ascii="宋体" w:hAnsi="宋体" w:cs="宋体"/>
            </w:rPr>
            <w:fldChar w:fldCharType="end"/>
          </w:r>
        </w:p>
        <w:p>
          <w:pPr>
            <w:pStyle w:val="22"/>
            <w:tabs>
              <w:tab w:val="right" w:leader="dot" w:pos="9072"/>
            </w:tabs>
          </w:pPr>
          <w:r>
            <w:rPr>
              <w:rFonts w:hint="eastAsia" w:ascii="宋体" w:hAnsi="宋体" w:cs="宋体"/>
            </w:rPr>
            <w:fldChar w:fldCharType="begin"/>
          </w:r>
          <w:r>
            <w:rPr>
              <w:rFonts w:hint="eastAsia" w:ascii="宋体" w:hAnsi="宋体" w:cs="宋体"/>
            </w:rPr>
            <w:instrText xml:space="preserve"> HYPERLINK \l _Toc11521 </w:instrText>
          </w:r>
          <w:r>
            <w:rPr>
              <w:rFonts w:hint="eastAsia" w:ascii="宋体" w:hAnsi="宋体" w:cs="宋体"/>
            </w:rPr>
            <w:fldChar w:fldCharType="separate"/>
          </w:r>
          <w:r>
            <w:rPr>
              <w:rFonts w:hint="eastAsia" w:ascii="黑体" w:eastAsia="黑体"/>
              <w:i w:val="0"/>
            </w:rPr>
            <w:t xml:space="preserve">2 </w:t>
          </w:r>
          <w:r>
            <w:rPr>
              <w:rFonts w:ascii="Times New Roman"/>
            </w:rPr>
            <w:t>规范性引用文件</w:t>
          </w:r>
          <w:r>
            <w:tab/>
          </w:r>
          <w:r>
            <w:fldChar w:fldCharType="begin"/>
          </w:r>
          <w:r>
            <w:instrText xml:space="preserve"> PAGEREF _Toc11521 \h </w:instrText>
          </w:r>
          <w:r>
            <w:fldChar w:fldCharType="separate"/>
          </w:r>
          <w:r>
            <w:t>1</w:t>
          </w:r>
          <w:r>
            <w:fldChar w:fldCharType="end"/>
          </w:r>
          <w:r>
            <w:rPr>
              <w:rFonts w:hint="eastAsia" w:ascii="宋体" w:hAnsi="宋体" w:cs="宋体"/>
            </w:rPr>
            <w:fldChar w:fldCharType="end"/>
          </w:r>
        </w:p>
        <w:p>
          <w:pPr>
            <w:pStyle w:val="22"/>
            <w:tabs>
              <w:tab w:val="right" w:leader="dot" w:pos="9072"/>
            </w:tabs>
          </w:pPr>
          <w:r>
            <w:rPr>
              <w:rFonts w:hint="eastAsia" w:ascii="宋体" w:hAnsi="宋体" w:cs="宋体"/>
            </w:rPr>
            <w:fldChar w:fldCharType="begin"/>
          </w:r>
          <w:r>
            <w:rPr>
              <w:rFonts w:hint="eastAsia" w:ascii="宋体" w:hAnsi="宋体" w:cs="宋体"/>
            </w:rPr>
            <w:instrText xml:space="preserve"> HYPERLINK \l _Toc26521 </w:instrText>
          </w:r>
          <w:r>
            <w:rPr>
              <w:rFonts w:hint="eastAsia" w:ascii="宋体" w:hAnsi="宋体" w:cs="宋体"/>
            </w:rPr>
            <w:fldChar w:fldCharType="separate"/>
          </w:r>
          <w:r>
            <w:rPr>
              <w:rFonts w:hint="eastAsia" w:ascii="黑体" w:eastAsia="黑体"/>
              <w:i w:val="0"/>
            </w:rPr>
            <w:t xml:space="preserve">3 </w:t>
          </w:r>
          <w:r>
            <w:rPr>
              <w:rFonts w:ascii="Times New Roman"/>
              <w:szCs w:val="21"/>
            </w:rPr>
            <w:t>术语和定义</w:t>
          </w:r>
          <w:r>
            <w:tab/>
          </w:r>
          <w:r>
            <w:fldChar w:fldCharType="begin"/>
          </w:r>
          <w:r>
            <w:instrText xml:space="preserve"> PAGEREF _Toc26521 \h </w:instrText>
          </w:r>
          <w:r>
            <w:fldChar w:fldCharType="separate"/>
          </w:r>
          <w:r>
            <w:t>2</w:t>
          </w:r>
          <w:r>
            <w:fldChar w:fldCharType="end"/>
          </w:r>
          <w:r>
            <w:rPr>
              <w:rFonts w:hint="eastAsia" w:ascii="宋体" w:hAnsi="宋体" w:cs="宋体"/>
            </w:rPr>
            <w:fldChar w:fldCharType="end"/>
          </w:r>
        </w:p>
        <w:p>
          <w:pPr>
            <w:pStyle w:val="22"/>
            <w:tabs>
              <w:tab w:val="right" w:leader="dot" w:pos="9072"/>
            </w:tabs>
          </w:pPr>
          <w:r>
            <w:rPr>
              <w:rFonts w:hint="eastAsia" w:ascii="宋体" w:hAnsi="宋体" w:cs="宋体"/>
            </w:rPr>
            <w:fldChar w:fldCharType="begin"/>
          </w:r>
          <w:r>
            <w:rPr>
              <w:rFonts w:hint="eastAsia" w:ascii="宋体" w:hAnsi="宋体" w:cs="宋体"/>
            </w:rPr>
            <w:instrText xml:space="preserve"> HYPERLINK \l _Toc15771 </w:instrText>
          </w:r>
          <w:r>
            <w:rPr>
              <w:rFonts w:hint="eastAsia" w:ascii="宋体" w:hAnsi="宋体" w:cs="宋体"/>
            </w:rPr>
            <w:fldChar w:fldCharType="separate"/>
          </w:r>
          <w:r>
            <w:rPr>
              <w:rFonts w:hint="eastAsia" w:ascii="黑体" w:eastAsia="黑体"/>
              <w:i w:val="0"/>
            </w:rPr>
            <w:t xml:space="preserve">4 </w:t>
          </w:r>
          <w:r>
            <w:rPr>
              <w:rFonts w:ascii="Times New Roman"/>
            </w:rPr>
            <w:t>基本规定</w:t>
          </w:r>
          <w:r>
            <w:tab/>
          </w:r>
          <w:r>
            <w:fldChar w:fldCharType="begin"/>
          </w:r>
          <w:r>
            <w:instrText xml:space="preserve"> PAGEREF _Toc15771 \h </w:instrText>
          </w:r>
          <w:r>
            <w:fldChar w:fldCharType="separate"/>
          </w:r>
          <w:r>
            <w:t>3</w:t>
          </w:r>
          <w:r>
            <w:fldChar w:fldCharType="end"/>
          </w:r>
          <w:r>
            <w:rPr>
              <w:rFonts w:hint="eastAsia" w:ascii="宋体" w:hAnsi="宋体" w:cs="宋体"/>
            </w:rPr>
            <w:fldChar w:fldCharType="end"/>
          </w:r>
        </w:p>
        <w:p>
          <w:pPr>
            <w:pStyle w:val="22"/>
            <w:tabs>
              <w:tab w:val="right" w:leader="dot" w:pos="9072"/>
            </w:tabs>
            <w:rPr>
              <w:rFonts w:hint="eastAsia" w:eastAsia="宋体"/>
              <w:lang w:eastAsia="zh-CN"/>
            </w:rPr>
          </w:pPr>
          <w:r>
            <w:rPr>
              <w:rFonts w:hint="eastAsia" w:ascii="宋体" w:hAnsi="宋体" w:cs="宋体"/>
            </w:rPr>
            <w:fldChar w:fldCharType="begin"/>
          </w:r>
          <w:r>
            <w:rPr>
              <w:rFonts w:hint="eastAsia" w:ascii="宋体" w:hAnsi="宋体" w:cs="宋体"/>
            </w:rPr>
            <w:instrText xml:space="preserve"> HYPERLINK \l _Toc20390 </w:instrText>
          </w:r>
          <w:r>
            <w:rPr>
              <w:rFonts w:hint="eastAsia" w:ascii="宋体" w:hAnsi="宋体" w:cs="宋体"/>
            </w:rPr>
            <w:fldChar w:fldCharType="separate"/>
          </w:r>
          <w:r>
            <w:rPr>
              <w:rFonts w:hint="eastAsia" w:ascii="黑体" w:eastAsia="黑体"/>
              <w:i w:val="0"/>
            </w:rPr>
            <w:t xml:space="preserve">5 </w:t>
          </w:r>
          <w:r>
            <w:rPr>
              <w:rFonts w:ascii="Times New Roman"/>
            </w:rPr>
            <w:t>设计</w:t>
          </w:r>
          <w:r>
            <w:tab/>
          </w:r>
          <w:r>
            <w:rPr>
              <w:rFonts w:hint="eastAsia" w:ascii="宋体" w:hAnsi="宋体" w:cs="宋体"/>
            </w:rPr>
            <w:fldChar w:fldCharType="end"/>
          </w:r>
          <w:r>
            <w:rPr>
              <w:rFonts w:hint="eastAsia"/>
              <w:lang w:val="en-US" w:eastAsia="zh-CN"/>
            </w:rPr>
            <w:t>4</w:t>
          </w:r>
        </w:p>
        <w:p>
          <w:pPr>
            <w:pStyle w:val="22"/>
            <w:tabs>
              <w:tab w:val="right" w:leader="dot" w:pos="9072"/>
            </w:tabs>
          </w:pPr>
          <w:r>
            <w:rPr>
              <w:rFonts w:hint="eastAsia" w:ascii="宋体" w:hAnsi="宋体" w:cs="宋体"/>
            </w:rPr>
            <w:fldChar w:fldCharType="begin"/>
          </w:r>
          <w:r>
            <w:rPr>
              <w:rFonts w:hint="eastAsia" w:ascii="宋体" w:hAnsi="宋体" w:cs="宋体"/>
            </w:rPr>
            <w:instrText xml:space="preserve"> HYPERLINK \l _Toc11523 </w:instrText>
          </w:r>
          <w:r>
            <w:rPr>
              <w:rFonts w:hint="eastAsia" w:ascii="宋体" w:hAnsi="宋体" w:cs="宋体"/>
            </w:rPr>
            <w:fldChar w:fldCharType="separate"/>
          </w:r>
          <w:r>
            <w:rPr>
              <w:rFonts w:hint="eastAsia" w:ascii="黑体" w:eastAsia="黑体"/>
              <w:i w:val="0"/>
            </w:rPr>
            <w:t xml:space="preserve">6 </w:t>
          </w:r>
          <w:r>
            <w:rPr>
              <w:rFonts w:ascii="Times New Roman"/>
            </w:rPr>
            <w:t>空气载能输配系统</w:t>
          </w:r>
          <w:r>
            <w:tab/>
          </w:r>
          <w:r>
            <w:fldChar w:fldCharType="begin"/>
          </w:r>
          <w:r>
            <w:instrText xml:space="preserve"> PAGEREF _Toc11523 \h </w:instrText>
          </w:r>
          <w:r>
            <w:fldChar w:fldCharType="separate"/>
          </w:r>
          <w:r>
            <w:t>6</w:t>
          </w:r>
          <w:r>
            <w:fldChar w:fldCharType="end"/>
          </w:r>
          <w:r>
            <w:rPr>
              <w:rFonts w:hint="eastAsia" w:ascii="宋体" w:hAnsi="宋体" w:cs="宋体"/>
            </w:rPr>
            <w:fldChar w:fldCharType="end"/>
          </w:r>
        </w:p>
        <w:p>
          <w:pPr>
            <w:pStyle w:val="22"/>
            <w:tabs>
              <w:tab w:val="right" w:leader="dot" w:pos="9072"/>
            </w:tabs>
            <w:rPr>
              <w:rFonts w:hint="eastAsia" w:eastAsia="宋体"/>
              <w:lang w:eastAsia="zh-CN"/>
            </w:rPr>
          </w:pPr>
          <w:r>
            <w:rPr>
              <w:rFonts w:hint="eastAsia" w:ascii="宋体" w:hAnsi="宋体" w:cs="宋体"/>
            </w:rPr>
            <w:fldChar w:fldCharType="begin"/>
          </w:r>
          <w:r>
            <w:rPr>
              <w:rFonts w:hint="eastAsia" w:ascii="宋体" w:hAnsi="宋体" w:cs="宋体"/>
            </w:rPr>
            <w:instrText xml:space="preserve"> HYPERLINK \l _Toc11102 </w:instrText>
          </w:r>
          <w:r>
            <w:rPr>
              <w:rFonts w:hint="eastAsia" w:ascii="宋体" w:hAnsi="宋体" w:cs="宋体"/>
            </w:rPr>
            <w:fldChar w:fldCharType="separate"/>
          </w:r>
          <w:r>
            <w:rPr>
              <w:rFonts w:hint="eastAsia" w:ascii="黑体" w:eastAsia="黑体"/>
              <w:i w:val="0"/>
            </w:rPr>
            <w:t xml:space="preserve">7 </w:t>
          </w:r>
          <w:r>
            <w:rPr>
              <w:rFonts w:ascii="Times New Roman"/>
            </w:rPr>
            <w:t>工作原理及系统组成</w:t>
          </w:r>
          <w:r>
            <w:tab/>
          </w:r>
          <w:r>
            <w:rPr>
              <w:rFonts w:hint="eastAsia" w:ascii="宋体" w:hAnsi="宋体" w:cs="宋体"/>
            </w:rPr>
            <w:fldChar w:fldCharType="end"/>
          </w:r>
          <w:r>
            <w:rPr>
              <w:rFonts w:hint="eastAsia"/>
              <w:lang w:val="en-US" w:eastAsia="zh-CN"/>
            </w:rPr>
            <w:t>7</w:t>
          </w:r>
        </w:p>
        <w:p>
          <w:pPr>
            <w:pStyle w:val="22"/>
            <w:tabs>
              <w:tab w:val="right" w:leader="dot" w:pos="9072"/>
            </w:tabs>
            <w:rPr>
              <w:rFonts w:hint="eastAsia" w:eastAsia="宋体"/>
              <w:lang w:val="en-US" w:eastAsia="zh-CN"/>
            </w:rPr>
          </w:pPr>
          <w:r>
            <w:rPr>
              <w:rFonts w:hint="eastAsia" w:ascii="宋体" w:hAnsi="宋体" w:cs="宋体"/>
            </w:rPr>
            <w:fldChar w:fldCharType="begin"/>
          </w:r>
          <w:r>
            <w:rPr>
              <w:rFonts w:hint="eastAsia" w:ascii="宋体" w:hAnsi="宋体" w:cs="宋体"/>
            </w:rPr>
            <w:instrText xml:space="preserve"> HYPERLINK \l _Toc14889 </w:instrText>
          </w:r>
          <w:r>
            <w:rPr>
              <w:rFonts w:hint="eastAsia" w:ascii="宋体" w:hAnsi="宋体" w:cs="宋体"/>
            </w:rPr>
            <w:fldChar w:fldCharType="separate"/>
          </w:r>
          <w:r>
            <w:rPr>
              <w:rFonts w:hint="eastAsia" w:ascii="黑体" w:eastAsia="黑体"/>
              <w:i w:val="0"/>
            </w:rPr>
            <w:t xml:space="preserve">8 </w:t>
          </w:r>
          <w:r>
            <w:rPr>
              <w:rFonts w:ascii="Times New Roman"/>
            </w:rPr>
            <w:t>施工安装</w:t>
          </w:r>
          <w:r>
            <w:tab/>
          </w:r>
          <w:r>
            <w:rPr>
              <w:rFonts w:hint="eastAsia" w:ascii="宋体" w:hAnsi="宋体" w:cs="宋体"/>
            </w:rPr>
            <w:fldChar w:fldCharType="end"/>
          </w:r>
          <w:r>
            <w:rPr>
              <w:rFonts w:hint="eastAsia" w:hAnsi="宋体" w:cs="宋体"/>
              <w:lang w:val="en-US" w:eastAsia="zh-CN"/>
            </w:rPr>
            <w:t>9</w:t>
          </w:r>
        </w:p>
        <w:p>
          <w:pPr>
            <w:pStyle w:val="22"/>
            <w:tabs>
              <w:tab w:val="right" w:leader="dot" w:pos="9072"/>
            </w:tabs>
            <w:rPr>
              <w:rFonts w:hint="default" w:eastAsia="宋体"/>
              <w:lang w:val="en-US" w:eastAsia="zh-CN"/>
            </w:rPr>
          </w:pPr>
          <w:r>
            <w:rPr>
              <w:rFonts w:hint="eastAsia" w:ascii="宋体" w:hAnsi="宋体" w:cs="宋体"/>
            </w:rPr>
            <w:fldChar w:fldCharType="begin"/>
          </w:r>
          <w:r>
            <w:rPr>
              <w:rFonts w:hint="eastAsia" w:ascii="宋体" w:hAnsi="宋体" w:cs="宋体"/>
            </w:rPr>
            <w:instrText xml:space="preserve"> HYPERLINK \l _Toc9032 </w:instrText>
          </w:r>
          <w:r>
            <w:rPr>
              <w:rFonts w:hint="eastAsia" w:ascii="宋体" w:hAnsi="宋体" w:cs="宋体"/>
            </w:rPr>
            <w:fldChar w:fldCharType="separate"/>
          </w:r>
          <w:r>
            <w:rPr>
              <w:rFonts w:hint="eastAsia" w:ascii="黑体" w:eastAsia="黑体"/>
              <w:i w:val="0"/>
            </w:rPr>
            <w:t xml:space="preserve">9 </w:t>
          </w:r>
          <w:r>
            <w:rPr>
              <w:rFonts w:ascii="Times New Roman"/>
            </w:rPr>
            <w:t>系统调试</w:t>
          </w:r>
          <w:r>
            <w:tab/>
          </w:r>
          <w:r>
            <w:rPr>
              <w:rFonts w:hint="eastAsia" w:ascii="宋体" w:hAnsi="宋体" w:cs="宋体"/>
            </w:rPr>
            <w:fldChar w:fldCharType="end"/>
          </w:r>
          <w:r>
            <w:rPr>
              <w:rFonts w:hint="eastAsia"/>
              <w:lang w:val="en-US" w:eastAsia="zh-CN"/>
            </w:rPr>
            <w:t>10</w:t>
          </w:r>
        </w:p>
        <w:p>
          <w:pPr>
            <w:pStyle w:val="22"/>
            <w:tabs>
              <w:tab w:val="right" w:leader="dot" w:pos="9072"/>
            </w:tabs>
          </w:pPr>
          <w:r>
            <w:rPr>
              <w:rFonts w:hint="eastAsia" w:ascii="宋体" w:hAnsi="宋体" w:cs="宋体"/>
            </w:rPr>
            <w:fldChar w:fldCharType="begin"/>
          </w:r>
          <w:r>
            <w:rPr>
              <w:rFonts w:hint="eastAsia" w:ascii="宋体" w:hAnsi="宋体" w:cs="宋体"/>
            </w:rPr>
            <w:instrText xml:space="preserve"> HYPERLINK \l _Toc32488 </w:instrText>
          </w:r>
          <w:r>
            <w:rPr>
              <w:rFonts w:hint="eastAsia" w:ascii="宋体" w:hAnsi="宋体" w:cs="宋体"/>
            </w:rPr>
            <w:fldChar w:fldCharType="separate"/>
          </w:r>
          <w:r>
            <w:rPr>
              <w:rFonts w:hint="eastAsia" w:ascii="黑体" w:eastAsia="黑体"/>
              <w:i w:val="0"/>
            </w:rPr>
            <w:t xml:space="preserve">10 </w:t>
          </w:r>
          <w:r>
            <w:rPr>
              <w:rFonts w:ascii="Times New Roman"/>
            </w:rPr>
            <w:t>竣工验收</w:t>
          </w:r>
          <w:r>
            <w:tab/>
          </w:r>
          <w:r>
            <w:fldChar w:fldCharType="begin"/>
          </w:r>
          <w:r>
            <w:instrText xml:space="preserve"> PAGEREF _Toc32488 \h </w:instrText>
          </w:r>
          <w:r>
            <w:fldChar w:fldCharType="separate"/>
          </w:r>
          <w:r>
            <w:t>10</w:t>
          </w:r>
          <w:r>
            <w:fldChar w:fldCharType="end"/>
          </w:r>
          <w:r>
            <w:rPr>
              <w:rFonts w:hint="eastAsia" w:ascii="宋体" w:hAnsi="宋体" w:cs="宋体"/>
            </w:rPr>
            <w:fldChar w:fldCharType="end"/>
          </w:r>
        </w:p>
        <w:p>
          <w:pPr>
            <w:pStyle w:val="22"/>
            <w:tabs>
              <w:tab w:val="right" w:leader="dot" w:pos="9072"/>
            </w:tabs>
            <w:rPr>
              <w:rFonts w:hint="default" w:eastAsia="宋体"/>
              <w:lang w:val="en-US" w:eastAsia="zh-CN"/>
            </w:rPr>
          </w:pPr>
          <w:r>
            <w:rPr>
              <w:rFonts w:hint="eastAsia" w:ascii="宋体" w:hAnsi="宋体" w:cs="宋体"/>
            </w:rPr>
            <w:fldChar w:fldCharType="begin"/>
          </w:r>
          <w:r>
            <w:rPr>
              <w:rFonts w:hint="eastAsia" w:ascii="宋体" w:hAnsi="宋体" w:cs="宋体"/>
            </w:rPr>
            <w:instrText xml:space="preserve"> HYPERLINK \l _Toc26444 </w:instrText>
          </w:r>
          <w:r>
            <w:rPr>
              <w:rFonts w:hint="eastAsia" w:ascii="宋体" w:hAnsi="宋体" w:cs="宋体"/>
            </w:rPr>
            <w:fldChar w:fldCharType="separate"/>
          </w:r>
          <w:r>
            <w:rPr>
              <w:rFonts w:hint="eastAsia" w:ascii="黑体" w:eastAsia="黑体"/>
              <w:i w:val="0"/>
            </w:rPr>
            <w:t xml:space="preserve">11 </w:t>
          </w:r>
          <w:r>
            <w:rPr>
              <w:rFonts w:ascii="Times New Roman"/>
            </w:rPr>
            <w:t>运行与维护</w:t>
          </w:r>
          <w:r>
            <w:tab/>
          </w:r>
          <w:r>
            <w:rPr>
              <w:rFonts w:hint="eastAsia" w:ascii="宋体" w:hAnsi="宋体" w:cs="宋体"/>
            </w:rPr>
            <w:fldChar w:fldCharType="end"/>
          </w:r>
          <w:r>
            <w:rPr>
              <w:rFonts w:hint="eastAsia"/>
              <w:lang w:val="en-US" w:eastAsia="zh-CN"/>
            </w:rPr>
            <w:t>11</w:t>
          </w:r>
        </w:p>
        <w:p>
          <w:pPr>
            <w:pStyle w:val="22"/>
            <w:tabs>
              <w:tab w:val="right" w:leader="dot" w:pos="9072"/>
            </w:tabs>
            <w:rPr>
              <w:rFonts w:hint="eastAsia" w:eastAsia="宋体"/>
              <w:lang w:val="en-US" w:eastAsia="zh-CN"/>
            </w:rPr>
          </w:pPr>
          <w:r>
            <w:rPr>
              <w:rFonts w:hint="eastAsia" w:ascii="宋体" w:hAnsi="宋体" w:cs="宋体"/>
              <w:color w:val="auto"/>
              <w:lang w:val="en-US" w:eastAsia="zh-CN"/>
            </w:rPr>
            <w:t>附录A</w:t>
          </w:r>
          <w:r>
            <w:rPr>
              <w:rFonts w:hint="eastAsia" w:ascii="宋体" w:hAnsi="宋体" w:cs="宋体"/>
              <w:color w:val="auto"/>
            </w:rPr>
            <w:fldChar w:fldCharType="begin"/>
          </w:r>
          <w:r>
            <w:rPr>
              <w:rFonts w:hint="eastAsia" w:ascii="宋体" w:hAnsi="宋体" w:cs="宋体"/>
              <w:color w:val="auto"/>
            </w:rPr>
            <w:instrText xml:space="preserve"> HYPERLINK \l _Toc9909 </w:instrText>
          </w:r>
          <w:r>
            <w:rPr>
              <w:rFonts w:hint="eastAsia" w:ascii="宋体" w:hAnsi="宋体" w:cs="宋体"/>
              <w:color w:val="auto"/>
            </w:rPr>
            <w:fldChar w:fldCharType="separate"/>
          </w:r>
          <w:r>
            <w:rPr>
              <w:rFonts w:hint="eastAsia" w:ascii="宋体" w:hAnsi="宋体" w:eastAsia="宋体" w:cs="宋体"/>
              <w:bCs/>
              <w:color w:val="auto"/>
              <w:highlight w:val="none"/>
            </w:rPr>
            <w:t>（规范性）</w:t>
          </w:r>
          <w:r>
            <w:rPr>
              <w:rFonts w:hint="eastAsia" w:ascii="宋体" w:hAnsi="宋体" w:eastAsia="宋体" w:cs="宋体"/>
              <w:bCs/>
              <w:color w:val="auto"/>
              <w:highlight w:val="none"/>
              <w:lang w:eastAsia="zh-CN"/>
            </w:rPr>
            <w:t>　</w:t>
          </w:r>
          <w:r>
            <w:rPr>
              <w:rFonts w:hint="eastAsia" w:ascii="宋体" w:hAnsi="宋体" w:eastAsia="宋体" w:cs="宋体"/>
              <w:bCs/>
              <w:color w:val="auto"/>
              <w:highlight w:val="none"/>
            </w:rPr>
            <w:t>空气载能辐射空调现场环境与能效测试方法</w:t>
          </w:r>
          <w:r>
            <w:rPr>
              <w:rFonts w:hint="eastAsia" w:hAnsi="宋体" w:cs="宋体"/>
              <w:color w:val="auto"/>
            </w:rPr>
            <w:tab/>
          </w:r>
          <w:r>
            <w:rPr>
              <w:rFonts w:hint="eastAsia" w:hAnsi="宋体" w:cs="宋体"/>
              <w:color w:val="auto"/>
              <w:lang w:val="en-US" w:eastAsia="zh-CN"/>
            </w:rPr>
            <w:t>1</w:t>
          </w:r>
          <w:r>
            <w:rPr>
              <w:rFonts w:hint="eastAsia" w:ascii="宋体" w:hAnsi="宋体" w:cs="宋体"/>
              <w:color w:val="auto"/>
            </w:rPr>
            <w:fldChar w:fldCharType="end"/>
          </w:r>
          <w:r>
            <w:rPr>
              <w:rFonts w:hint="eastAsia" w:hAnsi="宋体" w:cs="宋体"/>
              <w:color w:val="auto"/>
              <w:lang w:val="en-US" w:eastAsia="zh-CN"/>
            </w:rPr>
            <w:t>2</w:t>
          </w:r>
        </w:p>
        <w:p>
          <w:pPr>
            <w:rPr>
              <w:rFonts w:ascii="Times New Roman" w:hAnsi="Times New Roman" w:eastAsia="黑体"/>
              <w:sz w:val="32"/>
            </w:rPr>
          </w:pPr>
          <w:r>
            <w:rPr>
              <w:rFonts w:hint="eastAsia" w:ascii="宋体" w:hAnsi="宋体" w:cs="宋体"/>
            </w:rPr>
            <w:fldChar w:fldCharType="end"/>
          </w:r>
        </w:p>
      </w:sdtContent>
    </w:sdt>
    <w:p>
      <w:pPr>
        <w:numPr>
          <w:ilvl w:val="255"/>
          <w:numId w:val="0"/>
        </w:numPr>
        <w:rPr>
          <w:rFonts w:ascii="Times New Roman" w:hAnsi="Times New Roman"/>
          <w:spacing w:val="320"/>
        </w:rPr>
        <w:sectPr>
          <w:headerReference r:id="rId6" w:type="default"/>
          <w:footerReference r:id="rId8" w:type="default"/>
          <w:headerReference r:id="rId7" w:type="even"/>
          <w:footerReference r:id="rId9" w:type="even"/>
          <w:pgSz w:w="11906" w:h="16838"/>
          <w:pgMar w:top="1417" w:right="1134" w:bottom="1134" w:left="1417" w:header="1417" w:footer="1134" w:gutter="283"/>
          <w:pgNumType w:fmt="upperRoman" w:start="1"/>
          <w:cols w:space="0" w:num="1"/>
          <w:formProt w:val="0"/>
          <w:docGrid w:type="lines" w:linePitch="317" w:charSpace="0"/>
        </w:sectPr>
      </w:pPr>
      <w:sdt>
        <w:sdtPr>
          <w:rPr>
            <w:rFonts w:hint="eastAsia" w:ascii="Times New Roman" w:hAnsi="Times New Roman" w:eastAsia="黑体"/>
            <w:kern w:val="0"/>
            <w:sz w:val="32"/>
            <w:szCs w:val="20"/>
          </w:rPr>
          <w:id w:val="147480331"/>
          <w:showingPlcHdr/>
          <w15:color w:val="DBDBDB"/>
        </w:sdtPr>
        <w:sdtEndPr>
          <w:rPr>
            <w:rFonts w:hint="eastAsia" w:ascii="宋体" w:hAnsi="宋体" w:eastAsia="黑体" w:cs="宋体"/>
            <w:kern w:val="0"/>
            <w:sz w:val="32"/>
            <w:szCs w:val="20"/>
          </w:rPr>
        </w:sdtEndPr>
        <w:sdtContent>
          <w:r>
            <w:rPr>
              <w:rFonts w:hint="eastAsia" w:ascii="Times New Roman" w:hAnsi="Times New Roman" w:eastAsia="黑体"/>
              <w:kern w:val="0"/>
              <w:sz w:val="32"/>
              <w:szCs w:val="20"/>
              <w:lang w:eastAsia="zh-CN"/>
            </w:rPr>
            <w:t xml:space="preserve">     </w:t>
          </w:r>
        </w:sdtContent>
      </w:sdt>
      <w:bookmarkStart w:id="16" w:name="_Toc4204"/>
      <w:bookmarkStart w:id="17" w:name="_Toc10615"/>
      <w:bookmarkStart w:id="18" w:name="_Toc28386"/>
      <w:bookmarkStart w:id="19" w:name="BookMark2"/>
    </w:p>
    <w:p>
      <w:pPr>
        <w:pStyle w:val="94"/>
        <w:numPr>
          <w:ilvl w:val="0"/>
          <w:numId w:val="0"/>
        </w:numPr>
        <w:spacing w:before="850" w:after="680" w:afterLines="0"/>
        <w:rPr>
          <w:rFonts w:ascii="Times New Roman"/>
        </w:rPr>
      </w:pPr>
      <w:bookmarkStart w:id="20" w:name="_Toc2204"/>
      <w:r>
        <w:rPr>
          <w:rFonts w:ascii="Times New Roman"/>
          <w:spacing w:val="320"/>
        </w:rPr>
        <w:t>前</w:t>
      </w:r>
      <w:r>
        <w:rPr>
          <w:rFonts w:ascii="Times New Roman"/>
        </w:rPr>
        <w:t>言</w:t>
      </w:r>
      <w:bookmarkEnd w:id="16"/>
      <w:bookmarkEnd w:id="17"/>
      <w:bookmarkEnd w:id="18"/>
      <w:bookmarkEnd w:id="20"/>
    </w:p>
    <w:p>
      <w:pPr>
        <w:pStyle w:val="61"/>
      </w:pPr>
      <w:r>
        <w:t>本文件按照GB/T　1.1—2020《标准化工作导则  第1部分：标准化文件的结构和起草规则》的规定起草。</w:t>
      </w:r>
    </w:p>
    <w:p>
      <w:pPr>
        <w:pStyle w:val="61"/>
      </w:pPr>
      <w:r>
        <w:t>请注意本文件的某些内容可能涉及专利。本文件的发布机构不承担识别专利的责任。</w:t>
      </w:r>
      <w:bookmarkStart w:id="251" w:name="_GoBack"/>
      <w:bookmarkEnd w:id="251"/>
    </w:p>
    <w:p>
      <w:pPr>
        <w:pStyle w:val="61"/>
      </w:pPr>
      <w:r>
        <w:t>本文件由湖南省工业与信息化厅</w:t>
      </w:r>
      <w:r>
        <w:rPr>
          <w:rFonts w:hint="eastAsia"/>
          <w:lang w:eastAsia="zh-CN"/>
        </w:rPr>
        <w:t>提出并</w:t>
      </w:r>
      <w:r>
        <w:t>归口。</w:t>
      </w:r>
    </w:p>
    <w:p>
      <w:pPr>
        <w:pStyle w:val="61"/>
        <w:rPr>
          <w:rFonts w:hint="eastAsia" w:eastAsia="宋体"/>
          <w:lang w:eastAsia="zh-CN"/>
        </w:rPr>
      </w:pPr>
      <w:r>
        <w:t>本文件起草单位：湖南大学、长沙燕净生物工程有限公司、湖南城市学院设计研究院有限公司、湖南柯林瀚特</w:t>
      </w:r>
      <w:r>
        <w:rPr>
          <w:rFonts w:hint="eastAsia"/>
          <w:lang w:val="en-US" w:eastAsia="zh-CN"/>
        </w:rPr>
        <w:t>环保科技</w:t>
      </w:r>
      <w:r>
        <w:t>有限公司、思旦达（北京）技术有限公司、湖南固尔邦幕墙装饰股份有限公司、湖南写生绿色建筑科技有限公司、湖南六一新材料科技有限公司</w:t>
      </w:r>
      <w:r>
        <w:rPr>
          <w:rFonts w:hint="eastAsia"/>
          <w:lang w:eastAsia="zh-CN"/>
        </w:rPr>
        <w:t>。</w:t>
      </w:r>
    </w:p>
    <w:p>
      <w:pPr>
        <w:pStyle w:val="61"/>
      </w:pPr>
      <w:r>
        <w:t>本文件主要起草人：龚光彩、黄玉婷、言树清、曹峰、蒋</w:t>
      </w:r>
      <w:r>
        <w:rPr>
          <w:rFonts w:hint="eastAsia"/>
          <w:lang w:val="en-US" w:eastAsia="zh-CN"/>
        </w:rPr>
        <w:t>新峰</w:t>
      </w:r>
      <w:r>
        <w:t>、刘江涛</w:t>
      </w:r>
      <w:r>
        <w:rPr>
          <w:rFonts w:hint="eastAsia"/>
        </w:rPr>
        <w:t>、梁静萍</w:t>
      </w:r>
      <w:r>
        <w:t>、</w:t>
      </w:r>
      <w:r>
        <w:rPr>
          <w:rFonts w:hint="eastAsia"/>
          <w:lang w:val="en-US" w:eastAsia="zh-CN"/>
        </w:rPr>
        <w:t>谭福铃、</w:t>
      </w:r>
      <w:r>
        <w:t>覃斌</w:t>
      </w:r>
      <w:r>
        <w:rPr>
          <w:rFonts w:hint="eastAsia"/>
        </w:rPr>
        <w:t>。</w:t>
      </w:r>
    </w:p>
    <w:p>
      <w:pPr>
        <w:pStyle w:val="94"/>
        <w:numPr>
          <w:ilvl w:val="0"/>
          <w:numId w:val="0"/>
        </w:numPr>
        <w:snapToGrid w:val="0"/>
        <w:spacing w:before="850" w:after="680" w:afterLines="0"/>
        <w:rPr>
          <w:rFonts w:ascii="Times New Roman"/>
          <w:spacing w:val="320"/>
        </w:rPr>
      </w:pPr>
      <w:r>
        <w:rPr>
          <w:rFonts w:ascii="Times New Roman"/>
        </w:rPr>
        <w:br w:type="page"/>
      </w:r>
      <w:bookmarkStart w:id="21" w:name="_Toc15123"/>
      <w:bookmarkStart w:id="22" w:name="_Toc18052"/>
      <w:bookmarkStart w:id="23" w:name="_Toc20370"/>
      <w:r>
        <w:rPr>
          <w:rFonts w:ascii="Times New Roman"/>
          <w:spacing w:val="320"/>
        </w:rPr>
        <w:t>引</w:t>
      </w:r>
      <w:r>
        <w:rPr>
          <w:rFonts w:ascii="Times New Roman"/>
        </w:rPr>
        <w:t>言</w:t>
      </w:r>
      <w:bookmarkEnd w:id="21"/>
      <w:bookmarkEnd w:id="22"/>
      <w:bookmarkEnd w:id="23"/>
    </w:p>
    <w:p>
      <w:pPr>
        <w:pStyle w:val="61"/>
      </w:pPr>
      <w:r>
        <w:t>空气载能辐射空调系统是2010年后诞生的一种新的辐射末端形式，该系统不仅具有传统辐射空调的优势，而且辐射板无需采用液体管道，有效避免了管道渗漏、腐蚀等问题。目前产品尚无相应的国际标准、国家标准、行业标准和地方标准。该标准的制定有助于解决传统辐射末端易结露、施工复杂、维护困难、且初投成本高等问题，促进新型、节能、环保的空调技术走向市场，加速科技成果转化为生产力，提升空调制冷能效和绿色水平，实现建筑节能行业绿色与高质量发展。</w:t>
      </w:r>
    </w:p>
    <w:p>
      <w:pPr>
        <w:pStyle w:val="61"/>
      </w:pPr>
    </w:p>
    <w:p>
      <w:pPr>
        <w:pStyle w:val="61"/>
      </w:pPr>
    </w:p>
    <w:p>
      <w:pPr>
        <w:rPr>
          <w:rFonts w:ascii="Times New Roman" w:hAnsi="Times New Roman"/>
        </w:rPr>
      </w:pPr>
      <w:r>
        <w:rPr>
          <w:rFonts w:ascii="Times New Roman" w:hAnsi="Times New Roman"/>
        </w:rPr>
        <w:br w:type="page"/>
      </w:r>
    </w:p>
    <w:p>
      <w:pPr>
        <w:pStyle w:val="61"/>
        <w:sectPr>
          <w:pgSz w:w="11906" w:h="16838"/>
          <w:pgMar w:top="1417" w:right="1134" w:bottom="1134" w:left="1417" w:header="1417" w:footer="1134" w:gutter="283"/>
          <w:pgNumType w:fmt="upperRoman"/>
          <w:cols w:space="0" w:num="1"/>
          <w:formProt w:val="0"/>
          <w:docGrid w:type="lines" w:linePitch="317" w:charSpace="0"/>
        </w:sectPr>
      </w:pPr>
    </w:p>
    <w:bookmarkEnd w:id="19"/>
    <w:p>
      <w:pPr>
        <w:spacing w:line="20" w:lineRule="exact"/>
        <w:ind w:firstLine="643"/>
        <w:jc w:val="center"/>
        <w:rPr>
          <w:rFonts w:ascii="Times New Roman" w:hAnsi="Times New Roman" w:eastAsia="黑体"/>
          <w:sz w:val="32"/>
          <w:szCs w:val="32"/>
        </w:rPr>
      </w:pPr>
      <w:bookmarkStart w:id="24" w:name="BookMark4"/>
    </w:p>
    <w:p>
      <w:pPr>
        <w:pStyle w:val="182"/>
        <w:spacing w:before="567" w:after="680"/>
        <w:rPr>
          <w:rFonts w:ascii="Times New Roman" w:hAnsi="Times New Roman"/>
        </w:rPr>
      </w:pPr>
      <w:sdt>
        <w:sdtPr>
          <w:rPr>
            <w:rFonts w:ascii="Times New Roman" w:hAnsi="Times New Roman"/>
          </w:rPr>
          <w:tag w:val="NEW_STAND_NAME"/>
          <w:id w:val="595910757"/>
          <w:lock w:val="sdtLocked"/>
          <w:placeholder>
            <w:docPart w:val="1DEF5EE1B3084C30A5E43396A2D1E461"/>
          </w:placeholder>
        </w:sdtPr>
        <w:sdtEndPr>
          <w:rPr>
            <w:rFonts w:ascii="Times New Roman" w:hAnsi="Times New Roman"/>
          </w:rPr>
        </w:sdtEndPr>
        <w:sdtContent>
          <w:bookmarkStart w:id="25" w:name="NEW_STAND_NAME"/>
          <w:r>
            <w:rPr>
              <w:rFonts w:ascii="Times New Roman" w:hAnsi="Times New Roman"/>
            </w:rPr>
            <w:t>空气载能辐射空调技术规程</w:t>
          </w:r>
        </w:sdtContent>
      </w:sdt>
    </w:p>
    <w:bookmarkEnd w:id="25"/>
    <w:p>
      <w:pPr>
        <w:pStyle w:val="109"/>
        <w:spacing w:before="317" w:after="317"/>
        <w:ind w:left="0"/>
        <w:rPr>
          <w:rFonts w:ascii="Times New Roman"/>
        </w:rPr>
      </w:pPr>
      <w:bookmarkStart w:id="26" w:name="_Toc3260"/>
      <w:bookmarkStart w:id="27" w:name="_Toc27056"/>
      <w:bookmarkStart w:id="28" w:name="_Toc127264367"/>
      <w:bookmarkStart w:id="29" w:name="_Toc17233333"/>
      <w:bookmarkStart w:id="30" w:name="_Toc115188263"/>
      <w:bookmarkStart w:id="31" w:name="_Toc105572278"/>
      <w:bookmarkStart w:id="32" w:name="_Toc24884211"/>
      <w:bookmarkStart w:id="33" w:name="_Toc106351100"/>
      <w:bookmarkStart w:id="34" w:name="_Toc137633687"/>
      <w:bookmarkStart w:id="35" w:name="_Toc10366"/>
      <w:bookmarkStart w:id="36" w:name="_Toc115248822"/>
      <w:bookmarkStart w:id="37" w:name="_Toc136937462"/>
      <w:bookmarkStart w:id="38" w:name="_Toc26718930"/>
      <w:bookmarkStart w:id="39" w:name="_Toc106266172"/>
      <w:bookmarkStart w:id="40" w:name="_Toc107474876"/>
      <w:bookmarkStart w:id="41" w:name="_Toc97191423"/>
      <w:bookmarkStart w:id="42" w:name="_Toc26986771"/>
      <w:bookmarkStart w:id="43" w:name="_Toc26986530"/>
      <w:bookmarkStart w:id="44" w:name="_Toc17233325"/>
      <w:bookmarkStart w:id="45" w:name="_Toc127264101"/>
      <w:bookmarkStart w:id="46" w:name="_Toc105576415"/>
      <w:bookmarkStart w:id="47" w:name="_Toc24884218"/>
      <w:bookmarkStart w:id="48" w:name="_Toc26648465"/>
      <w:bookmarkStart w:id="49" w:name="_Toc24682"/>
      <w:r>
        <w:rPr>
          <w:rFonts w:ascii="Times New Roman"/>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61"/>
      </w:pPr>
      <w:bookmarkStart w:id="50" w:name="_Toc24884212"/>
      <w:bookmarkStart w:id="51" w:name="_Toc26648466"/>
      <w:bookmarkStart w:id="52" w:name="_Toc24884219"/>
      <w:bookmarkStart w:id="53" w:name="_Toc17233326"/>
      <w:bookmarkStart w:id="54" w:name="_Toc17233334"/>
      <w:r>
        <w:t>本文件给出了空气载能辐射空调的基本规定、设计、空气载能输配系统、工作原理及系统组成、施工安装、系统调试、竣工验收、运行与维护。</w:t>
      </w:r>
    </w:p>
    <w:p>
      <w:pPr>
        <w:pStyle w:val="61"/>
      </w:pPr>
      <w:r>
        <w:t>本文件适用于采用空气载能辐射空调系统的新建、改建和扩建的工业与民用建筑。</w:t>
      </w:r>
    </w:p>
    <w:p>
      <w:pPr>
        <w:pStyle w:val="61"/>
        <w:spacing w:before="158" w:beforeLines="50"/>
        <w:ind w:firstLine="0" w:firstLineChars="0"/>
      </w:pPr>
      <w:r>
        <w:t>条文说明：</w:t>
      </w:r>
    </w:p>
    <w:p>
      <w:pPr>
        <w:pStyle w:val="61"/>
      </w:pPr>
      <w:r>
        <w:t>本</w:t>
      </w:r>
      <w:r>
        <w:rPr>
          <w:rFonts w:hint="eastAsia"/>
        </w:rPr>
        <w:t>文件</w:t>
      </w:r>
      <w:r>
        <w:t>明确了空气载能辐射空调系统的设计、施工、调试及运维全周期技术要求，适用于新建、改建和扩建的工业与民用建筑。其核心是通过空气循环载能与辐射末端结合，解决传统辐射空调易结露、施工复杂等问题。</w:t>
      </w:r>
    </w:p>
    <w:p>
      <w:pPr>
        <w:pStyle w:val="109"/>
        <w:spacing w:before="317" w:after="317"/>
        <w:ind w:left="0"/>
        <w:rPr>
          <w:rFonts w:ascii="Times New Roman"/>
        </w:rPr>
      </w:pPr>
      <w:bookmarkStart w:id="55" w:name="_Toc127264368"/>
      <w:bookmarkStart w:id="56" w:name="_Toc21098"/>
      <w:bookmarkStart w:id="57" w:name="_Toc105572279"/>
      <w:bookmarkStart w:id="58" w:name="_Toc26986531"/>
      <w:bookmarkStart w:id="59" w:name="_Toc26986772"/>
      <w:bookmarkStart w:id="60" w:name="_Toc106351101"/>
      <w:bookmarkStart w:id="61" w:name="_Toc26641"/>
      <w:bookmarkStart w:id="62" w:name="_Toc26718931"/>
      <w:bookmarkStart w:id="63" w:name="_Toc115188264"/>
      <w:bookmarkStart w:id="64" w:name="_Toc137633688"/>
      <w:bookmarkStart w:id="65" w:name="_Toc17343"/>
      <w:bookmarkStart w:id="66" w:name="_Toc106266173"/>
      <w:bookmarkStart w:id="67" w:name="_Toc11521"/>
      <w:bookmarkStart w:id="68" w:name="_Toc97191424"/>
      <w:bookmarkStart w:id="69" w:name="_Toc127264102"/>
      <w:bookmarkStart w:id="70" w:name="_Toc136937463"/>
      <w:bookmarkStart w:id="71" w:name="_Toc105576416"/>
      <w:bookmarkStart w:id="72" w:name="_Toc115248823"/>
      <w:bookmarkStart w:id="73" w:name="_Toc107474877"/>
      <w:r>
        <w:rPr>
          <w:rFonts w:ascii="Times New Roman"/>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dt>
      <w:sdtPr>
        <w:id w:val="715848253"/>
        <w:placeholder>
          <w:docPart w:val="FB77377D18C64526A84AF1D3B22497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pPr>
            <w:pStyle w:val="61"/>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bookmarkStart w:id="74" w:name="_Toc115188265"/>
      <w:bookmarkStart w:id="75" w:name="_Toc106351102"/>
      <w:bookmarkStart w:id="76" w:name="_Toc127264103"/>
      <w:bookmarkStart w:id="77" w:name="_Toc106266174"/>
      <w:bookmarkStart w:id="78" w:name="_Toc107474878"/>
      <w:bookmarkStart w:id="79" w:name="_Toc105572280"/>
      <w:bookmarkStart w:id="80" w:name="_Toc115248824"/>
      <w:bookmarkStart w:id="81" w:name="_Toc30430"/>
      <w:bookmarkStart w:id="82" w:name="_Toc137633689"/>
      <w:bookmarkStart w:id="83" w:name="_Toc105576417"/>
      <w:bookmarkStart w:id="84" w:name="_Toc136937464"/>
      <w:bookmarkStart w:id="85" w:name="_Toc127264369"/>
      <w:bookmarkStart w:id="86" w:name="_Toc97191425"/>
      <w:r>
        <w:rPr>
          <w:rStyle w:val="247"/>
          <w:rFonts w:hint="eastAsia" w:ascii="宋体" w:hAnsi="宋体" w:eastAsia="宋体" w:cs="宋体"/>
          <w:b w:val="0"/>
          <w:i w:val="0"/>
          <w:caps w:val="0"/>
          <w:color w:val="000000"/>
          <w:spacing w:val="0"/>
          <w:w w:val="100"/>
          <w:kern w:val="2"/>
          <w:sz w:val="21"/>
          <w:szCs w:val="21"/>
          <w:highlight w:val="none"/>
          <w:lang w:val="en-US" w:eastAsia="zh-CN" w:bidi="ar-SA"/>
        </w:rPr>
        <w:t>GB/T 9237  制冷系统及热泵安全与环境要求</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yellow"/>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GB/T 10870  蒸气压缩循环冷水(热泵)机组性能试验方法</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yellow"/>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GB/T 18049　中等热环境PMV和PPD指数的测定及热舒适条件的规定</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GB/T 18431  蒸汽和热水型溴化锂吸收式冷水机组</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GB/T 18837  多联式空调（热泵）机组</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GB/T 19409　水源热泵机组</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 19577　热泵和冷水机组能效限定值及能效等级</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21455　房间空气调节器能效限定值及能效等级</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GB/T 25127.1  低环境温度空气源热泵（冷水）机组第1部分：工业或商业用及类似用途的热泵（冷水）机组</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GB/T 30153　光伏发电站太阳能资源实时监测技术要求</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50019　采暖通风与空气调节设计规范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GB/T 50050  工业循环冷却水处理设计规范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50189　公共建筑节能设计标准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50242　建筑给水排水及采暖工程施工质量验收规范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50243　通风与空调工程施工质量验收规范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left"/>
        <w:textAlignment w:val="baseline"/>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 5027</w:t>
      </w: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4  制冷设备、空气分离设备安装工程施工及验收规范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 50300　建筑工程施工质量验收统一标准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GB 50</w:t>
      </w:r>
      <w:r>
        <w:rPr>
          <w:rStyle w:val="247"/>
          <w:rFonts w:hint="eastAsia" w:ascii="宋体" w:hAnsi="宋体" w:eastAsia="宋体" w:cs="宋体"/>
          <w:b w:val="0"/>
          <w:i w:val="0"/>
          <w:caps w:val="0"/>
          <w:color w:val="000000"/>
          <w:spacing w:val="0"/>
          <w:w w:val="100"/>
          <w:kern w:val="2"/>
          <w:sz w:val="21"/>
          <w:szCs w:val="21"/>
          <w:lang w:val="en-US" w:eastAsia="zh-CN" w:bidi="ar-SA"/>
        </w:rPr>
        <w:t>303　建筑电气工程施工质量验收规范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GB/T 50365  空调通风系统运行管理标准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50366　地源热泵系统工程技术规范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50411　建筑节能工程施工质量验收标准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left"/>
        <w:textAlignment w:val="baseline"/>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GB 50073  洁净厂房设计规范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GB 50099  中小学设计规范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GB 50333  医院洁净手术部建筑技术规范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GB 50346  生物安全实验室建筑技术规范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GB 50411  建筑节能工程施工质量验收标准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50736　民用建筑供暖通风与空气调节设计规范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GB/T 50785　民用建筑室内热湿环境评价标准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55015　建筑节能与可再生能源利用通用规范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GB 55038　住宅项目规范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JGJ 26　民用建筑节能设计标准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JGJ 62  旅馆建筑设计规范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JGJ 64  饮食建筑设计标准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JGJ 67  办公建筑设计标准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JGJ 174  多联机空调系统工程技术规程</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JGJ/T 309  建筑通风效果测试与评价标准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bCs w:val="0"/>
          <w:i w:val="0"/>
          <w:caps w:val="0"/>
          <w:color w:val="000000"/>
          <w:spacing w:val="0"/>
          <w:w w:val="100"/>
          <w:kern w:val="2"/>
          <w:sz w:val="21"/>
          <w:szCs w:val="21"/>
          <w:highlight w:val="none"/>
          <w:lang w:val="en-US" w:eastAsia="zh-CN" w:bidi="ar-SA"/>
        </w:rPr>
        <w:t>JGJ/T 440  住宅新风系统技术标准</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lang w:val="en-US" w:eastAsia="zh-CN" w:bidi="ar-SA"/>
        </w:rPr>
      </w:pPr>
      <w:r>
        <w:rPr>
          <w:rStyle w:val="247"/>
          <w:rFonts w:hint="eastAsia" w:ascii="宋体" w:hAnsi="宋体" w:eastAsia="宋体" w:cs="宋体"/>
          <w:b w:val="0"/>
          <w:i w:val="0"/>
          <w:caps w:val="0"/>
          <w:color w:val="000000"/>
          <w:spacing w:val="0"/>
          <w:w w:val="100"/>
          <w:kern w:val="2"/>
          <w:sz w:val="21"/>
          <w:szCs w:val="21"/>
          <w:lang w:val="en-US" w:eastAsia="zh-CN" w:bidi="ar-SA"/>
        </w:rPr>
        <w:t>JJF 1101　环境试验设备温度、湿度参数校准规范</w:t>
      </w:r>
    </w:p>
    <w:p>
      <w:pPr>
        <w:pStyle w:val="61"/>
        <w:keepNext w:val="0"/>
        <w:keepLines w:val="0"/>
        <w:pageBreakBefore w:val="0"/>
        <w:widowControl/>
        <w:kinsoku/>
        <w:wordWrap/>
        <w:overflowPunct/>
        <w:topLinePunct w:val="0"/>
        <w:autoSpaceDE w:val="0"/>
        <w:autoSpaceDN w:val="0"/>
        <w:bidi w:val="0"/>
        <w:adjustRightInd/>
        <w:snapToGrid/>
        <w:spacing w:line="240" w:lineRule="auto"/>
        <w:textAlignment w:val="auto"/>
        <w:rPr>
          <w:rStyle w:val="247"/>
          <w:rFonts w:hint="eastAsia" w:ascii="宋体" w:hAnsi="宋体" w:eastAsia="宋体" w:cs="宋体"/>
          <w:b w:val="0"/>
          <w:i w:val="0"/>
          <w:caps w:val="0"/>
          <w:color w:val="000000"/>
          <w:spacing w:val="0"/>
          <w:w w:val="100"/>
          <w:kern w:val="2"/>
          <w:sz w:val="21"/>
          <w:szCs w:val="21"/>
          <w:highlight w:val="none"/>
          <w:lang w:val="en-US" w:eastAsia="zh-CN" w:bidi="ar-SA"/>
        </w:rPr>
      </w:pPr>
      <w:r>
        <w:rPr>
          <w:rStyle w:val="247"/>
          <w:rFonts w:hint="eastAsia" w:ascii="宋体" w:hAnsi="宋体" w:eastAsia="宋体" w:cs="宋体"/>
          <w:b w:val="0"/>
          <w:i w:val="0"/>
          <w:caps w:val="0"/>
          <w:color w:val="000000"/>
          <w:spacing w:val="0"/>
          <w:w w:val="100"/>
          <w:kern w:val="2"/>
          <w:sz w:val="21"/>
          <w:szCs w:val="21"/>
          <w:highlight w:val="none"/>
          <w:lang w:val="en-US" w:eastAsia="zh-CN" w:bidi="ar-SA"/>
        </w:rPr>
        <w:t>NB/T 11504  商用变频空气源热泵供暖机组</w:t>
      </w:r>
    </w:p>
    <w:p>
      <w:pPr>
        <w:pStyle w:val="61"/>
        <w:autoSpaceDE/>
        <w:autoSpaceDN/>
        <w:spacing w:before="158" w:beforeLines="50"/>
        <w:ind w:firstLine="0" w:firstLineChars="0"/>
      </w:pPr>
      <w:r>
        <w:t>条文说明：</w:t>
      </w:r>
    </w:p>
    <w:p>
      <w:pPr>
        <w:pStyle w:val="61"/>
        <w:autoSpaceDE/>
        <w:autoSpaceDN/>
        <w:rPr>
          <w:rFonts w:hint="eastAsia" w:eastAsia="宋体"/>
          <w:lang w:eastAsia="zh-CN"/>
        </w:rPr>
      </w:pPr>
      <w:r>
        <w:t>引用文件包括GB 50019、GB 50243等国家标准，为系统设计、施工验收提供技术支撑。注日期引用文件限定版本，避免新旧标准冲突；未注日期引用则默认最新有效版本，确保技术动态更新。例如，GB 50019中关于空调负荷计算的方法是本规程冷热负荷核算的基础。空气源热泵空调系统能效测试参照GB 21455</w:t>
      </w:r>
      <w:r>
        <w:rPr>
          <w:rFonts w:hint="eastAsia"/>
        </w:rPr>
        <w:t>，</w:t>
      </w:r>
      <w:r>
        <w:t>水源系统能效测试参照GB/T 19409</w:t>
      </w:r>
      <w:r>
        <w:rPr>
          <w:rFonts w:hint="eastAsia"/>
        </w:rPr>
        <w:t>，</w:t>
      </w:r>
      <w:r>
        <w:t>土壤源（地源）热泵系统能效测试参照GB 50366</w:t>
      </w:r>
      <w:r>
        <w:rPr>
          <w:rFonts w:hint="eastAsia"/>
        </w:rPr>
        <w:t>，</w:t>
      </w:r>
      <w:r>
        <w:t>光伏监测参数参照GB/T 30153，光伏系统与建筑一体化设计的能效验收标准参照GB 50411。</w:t>
      </w:r>
      <w:r>
        <w:rPr>
          <w:rFonts w:hint="eastAsia"/>
          <w:lang w:val="en-US" w:eastAsia="zh-CN"/>
        </w:rPr>
        <w:t>辐射末端符合</w:t>
      </w:r>
      <w:r>
        <w:rPr>
          <w:rFonts w:hint="eastAsia"/>
        </w:rPr>
        <w:t>住宅项目规范</w:t>
      </w:r>
      <w:r>
        <w:rPr>
          <w:rFonts w:hint="default" w:ascii="Times New Roman" w:hAnsi="Times New Roman" w:cs="Times New Roman"/>
        </w:rPr>
        <w:t>GB 5503</w:t>
      </w:r>
      <w:r>
        <w:rPr>
          <w:rFonts w:hint="default" w:ascii="Times New Roman" w:hAnsi="Times New Roman" w:cs="Times New Roman"/>
          <w:lang w:val="en-US" w:eastAsia="zh-CN"/>
        </w:rPr>
        <w:t>8</w:t>
      </w:r>
      <w:r>
        <w:rPr>
          <w:rFonts w:hint="eastAsia"/>
          <w:lang w:eastAsia="zh-CN"/>
        </w:rPr>
        <w:t>。</w:t>
      </w:r>
    </w:p>
    <w:p>
      <w:pPr>
        <w:pStyle w:val="109"/>
        <w:spacing w:before="317" w:after="317"/>
        <w:ind w:left="0"/>
        <w:rPr>
          <w:rFonts w:ascii="Times New Roman"/>
        </w:rPr>
      </w:pPr>
      <w:bookmarkStart w:id="87" w:name="_Toc28426"/>
      <w:bookmarkStart w:id="88" w:name="_Toc26521"/>
      <w:bookmarkStart w:id="89" w:name="_Toc6024"/>
      <w:r>
        <w:rPr>
          <w:rFonts w:ascii="Times New Roman"/>
          <w:szCs w:val="21"/>
        </w:rPr>
        <w:t>术语和定义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sdt>
      <w:sdtPr>
        <w:id w:val="-1"/>
        <w:placeholder>
          <w:docPart w:val="0759CD85F1964311A93E03B733804D6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1"/>
          </w:pPr>
          <w:bookmarkStart w:id="90" w:name="_Toc26986532"/>
          <w:bookmarkEnd w:id="90"/>
          <w:r>
            <w:t>下列术语和定义适用于本文件。</w:t>
          </w:r>
        </w:p>
      </w:sdtContent>
    </w:sdt>
    <w:p>
      <w:pPr>
        <w:pStyle w:val="228"/>
        <w:ind w:left="0"/>
        <w:rPr>
          <w:rFonts w:ascii="Times New Roman" w:eastAsia="黑体"/>
        </w:rPr>
      </w:pPr>
      <w:bookmarkStart w:id="91" w:name="_Toc28533"/>
      <w:bookmarkStart w:id="92" w:name="_Toc30264"/>
      <w:bookmarkStart w:id="93" w:name="_Toc25537"/>
      <w:bookmarkStart w:id="94" w:name="_Toc136937465"/>
      <w:bookmarkStart w:id="95" w:name="_Toc105572281"/>
      <w:bookmarkStart w:id="96" w:name="_Toc106351103"/>
      <w:bookmarkStart w:id="97" w:name="_Toc105576418"/>
      <w:bookmarkStart w:id="98" w:name="_Toc106266175"/>
    </w:p>
    <w:p>
      <w:pPr>
        <w:pStyle w:val="228"/>
        <w:numPr>
          <w:ilvl w:val="0"/>
          <w:numId w:val="0"/>
        </w:numPr>
        <w:ind w:firstLine="420" w:firstLineChars="200"/>
        <w:rPr>
          <w:rFonts w:ascii="Times New Roman" w:eastAsia="黑体"/>
        </w:rPr>
      </w:pPr>
      <w:r>
        <w:rPr>
          <w:rFonts w:ascii="Times New Roman" w:eastAsia="黑体"/>
        </w:rPr>
        <w:t>空气载能辐射空调系统　air carrying energy radiant air-conditioning system</w:t>
      </w:r>
    </w:p>
    <w:p>
      <w:pPr>
        <w:pStyle w:val="61"/>
      </w:pPr>
      <w:r>
        <w:t>一种在载能腔内以空气循环作为储能载体，形成与空调区域的空气大温差，并通过载能腔底部的辐射板完成辐射换热的空调末端形式，该系统以辐射换热为主，对流换热为辅，简称为空气载能。</w:t>
      </w:r>
    </w:p>
    <w:p>
      <w:pPr>
        <w:pStyle w:val="228"/>
        <w:ind w:left="0"/>
        <w:rPr>
          <w:rFonts w:ascii="Times New Roman" w:eastAsia="黑体"/>
        </w:rPr>
      </w:pPr>
    </w:p>
    <w:p>
      <w:pPr>
        <w:pStyle w:val="228"/>
        <w:numPr>
          <w:ilvl w:val="0"/>
          <w:numId w:val="0"/>
        </w:numPr>
        <w:ind w:firstLine="420" w:firstLineChars="200"/>
        <w:rPr>
          <w:rFonts w:ascii="Times New Roman"/>
        </w:rPr>
      </w:pPr>
      <w:r>
        <w:rPr>
          <w:rFonts w:ascii="Times New Roman" w:eastAsia="黑体"/>
        </w:rPr>
        <w:t>辐射板</w:t>
      </w:r>
      <w:r>
        <w:rPr>
          <w:rFonts w:hint="eastAsia" w:ascii="Times New Roman"/>
        </w:rPr>
        <w:t>　</w:t>
      </w:r>
      <w:r>
        <w:rPr>
          <w:rFonts w:ascii="Times New Roman" w:eastAsia="黑体"/>
        </w:rPr>
        <w:t>radiation plate</w:t>
      </w:r>
    </w:p>
    <w:p>
      <w:pPr>
        <w:pStyle w:val="61"/>
      </w:pPr>
      <w:r>
        <w:t>一种与载能腔内循环空气进行能量交换、并能够实现冷暖辐射换热功能的组件，可分为微孔板与平板。</w:t>
      </w:r>
    </w:p>
    <w:p>
      <w:pPr>
        <w:pStyle w:val="61"/>
        <w:ind w:firstLine="360"/>
        <w:rPr>
          <w:sz w:val="18"/>
          <w:szCs w:val="18"/>
        </w:rPr>
      </w:pPr>
      <w:r>
        <w:rPr>
          <w:rFonts w:eastAsia="黑体"/>
          <w:sz w:val="18"/>
          <w:szCs w:val="18"/>
        </w:rPr>
        <w:t>注：</w:t>
      </w:r>
      <w:r>
        <w:rPr>
          <w:sz w:val="18"/>
          <w:szCs w:val="18"/>
        </w:rPr>
        <w:t>微孔板的孔径介于2mm~3mm，宜采用铝板或导热性能好、具有装饰性的其他板材。</w:t>
      </w:r>
    </w:p>
    <w:p>
      <w:pPr>
        <w:pStyle w:val="228"/>
        <w:numPr>
          <w:ilvl w:val="255"/>
          <w:numId w:val="0"/>
        </w:numPr>
        <w:outlineLvl w:val="1"/>
        <w:rPr>
          <w:rFonts w:ascii="Times New Roman" w:eastAsia="黑体"/>
        </w:rPr>
      </w:pPr>
      <w:bookmarkStart w:id="99" w:name="_Toc22283"/>
      <w:r>
        <w:rPr>
          <w:rFonts w:hint="eastAsia" w:ascii="黑体" w:hAnsi="黑体" w:eastAsia="黑体" w:cs="黑体"/>
        </w:rPr>
        <w:t>3.3</w:t>
      </w:r>
      <w:bookmarkEnd w:id="99"/>
      <w:r>
        <w:rPr>
          <w:rFonts w:hint="eastAsia" w:ascii="黑体" w:hAnsi="黑体" w:eastAsia="黑体" w:cs="黑体"/>
        </w:rPr>
        <w:t>　</w:t>
      </w:r>
    </w:p>
    <w:p>
      <w:pPr>
        <w:pStyle w:val="228"/>
        <w:numPr>
          <w:ilvl w:val="2"/>
          <w:numId w:val="0"/>
        </w:numPr>
        <w:ind w:firstLine="420" w:firstLineChars="200"/>
        <w:rPr>
          <w:rFonts w:ascii="Times New Roman" w:eastAsia="黑体"/>
        </w:rPr>
      </w:pPr>
      <w:r>
        <w:rPr>
          <w:rFonts w:ascii="Times New Roman" w:eastAsia="黑体"/>
        </w:rPr>
        <w:t>载能腔</w:t>
      </w:r>
      <w:r>
        <w:rPr>
          <w:rFonts w:hint="eastAsia" w:ascii="Times New Roman" w:eastAsia="黑体"/>
        </w:rPr>
        <w:t>　</w:t>
      </w:r>
      <w:r>
        <w:rPr>
          <w:rFonts w:ascii="Times New Roman" w:eastAsia="黑体"/>
        </w:rPr>
        <w:t>air carrying energy cavity</w:t>
      </w:r>
    </w:p>
    <w:p>
      <w:pPr>
        <w:pStyle w:val="61"/>
        <w:rPr>
          <w:lang w:bidi="ar"/>
        </w:rPr>
      </w:pPr>
      <w:r>
        <w:rPr>
          <w:lang w:bidi="ar"/>
        </w:rPr>
        <w:t>一种四周及顶部由具有光洁表面的防火保温隔热层围护、底部为辐射孔板/平板封闭所形成的腔体，也称缓冲蓄能腔</w:t>
      </w:r>
      <w:r>
        <w:rPr>
          <w:rFonts w:hint="eastAsia"/>
          <w:lang w:bidi="ar"/>
        </w:rPr>
        <w:t>。</w:t>
      </w:r>
    </w:p>
    <w:p>
      <w:pPr>
        <w:pStyle w:val="61"/>
        <w:ind w:firstLine="360"/>
        <w:rPr>
          <w:sz w:val="18"/>
          <w:szCs w:val="18"/>
          <w:lang w:bidi="ar"/>
        </w:rPr>
      </w:pPr>
      <w:r>
        <w:rPr>
          <w:rFonts w:hint="eastAsia" w:ascii="黑体" w:hAnsi="黑体" w:eastAsia="黑体" w:cs="黑体"/>
          <w:sz w:val="18"/>
          <w:szCs w:val="18"/>
          <w:lang w:bidi="ar"/>
        </w:rPr>
        <w:t>注：</w:t>
      </w:r>
      <w:r>
        <w:rPr>
          <w:sz w:val="18"/>
          <w:szCs w:val="18"/>
          <w:lang w:bidi="ar"/>
        </w:rPr>
        <w:t>该腔体区域的空气通过风机盘管循环处理，可以实现空气循环载能和蓄能。</w:t>
      </w:r>
    </w:p>
    <w:p>
      <w:pPr>
        <w:pStyle w:val="228"/>
        <w:numPr>
          <w:ilvl w:val="255"/>
          <w:numId w:val="0"/>
        </w:numPr>
        <w:rPr>
          <w:rFonts w:hint="eastAsia" w:ascii="黑体" w:hAnsi="黑体" w:eastAsia="黑体" w:cs="黑体"/>
        </w:rPr>
      </w:pPr>
      <w:r>
        <w:rPr>
          <w:rFonts w:hint="eastAsia" w:ascii="黑体" w:hAnsi="黑体" w:eastAsia="黑体" w:cs="黑体"/>
        </w:rPr>
        <w:t>3.4</w:t>
      </w:r>
    </w:p>
    <w:p>
      <w:pPr>
        <w:pStyle w:val="61"/>
      </w:pPr>
      <w:r>
        <w:rPr>
          <w:rFonts w:hint="eastAsia" w:ascii="黑体" w:hAnsi="黑体" w:eastAsia="黑体" w:cs="黑体"/>
        </w:rPr>
        <w:t>空气载能</w:t>
      </w:r>
      <w:r>
        <w:rPr>
          <w:rFonts w:hint="eastAsia"/>
        </w:rPr>
        <w:t>　</w:t>
      </w:r>
      <w:r>
        <w:t>air carrying energy</w:t>
      </w:r>
    </w:p>
    <w:p>
      <w:pPr>
        <w:pStyle w:val="61"/>
      </w:pPr>
      <w:r>
        <w:rPr>
          <w:rFonts w:hint="eastAsia"/>
          <w:lang w:bidi="ar"/>
        </w:rPr>
        <w:t>通过</w:t>
      </w:r>
      <w:r>
        <w:rPr>
          <w:lang w:bidi="ar"/>
        </w:rPr>
        <w:t>在载能腔内循环</w:t>
      </w:r>
      <w:r>
        <w:rPr>
          <w:rFonts w:hint="eastAsia"/>
          <w:lang w:bidi="ar"/>
        </w:rPr>
        <w:t>储能以实现辐射作用的工作方式</w:t>
      </w:r>
      <w:r>
        <w:rPr>
          <w:lang w:bidi="ar"/>
        </w:rPr>
        <w:t>。</w:t>
      </w:r>
    </w:p>
    <w:p>
      <w:pPr>
        <w:pStyle w:val="228"/>
        <w:numPr>
          <w:ilvl w:val="255"/>
          <w:numId w:val="0"/>
        </w:numPr>
        <w:rPr>
          <w:rFonts w:hint="eastAsia" w:ascii="黑体" w:hAnsi="黑体" w:eastAsia="黑体" w:cs="黑体"/>
        </w:rPr>
      </w:pPr>
      <w:r>
        <w:rPr>
          <w:rFonts w:hint="eastAsia" w:ascii="黑体" w:hAnsi="黑体" w:eastAsia="黑体" w:cs="黑体"/>
        </w:rPr>
        <w:t>3.5</w:t>
      </w:r>
    </w:p>
    <w:p>
      <w:pPr>
        <w:pStyle w:val="228"/>
        <w:numPr>
          <w:ilvl w:val="0"/>
          <w:numId w:val="0"/>
        </w:numPr>
        <w:ind w:firstLine="420" w:firstLineChars="200"/>
        <w:rPr>
          <w:rFonts w:ascii="Times New Roman" w:eastAsia="黑体"/>
        </w:rPr>
      </w:pPr>
      <w:r>
        <w:rPr>
          <w:rFonts w:ascii="Times New Roman" w:eastAsia="黑体"/>
        </w:rPr>
        <w:t>末端热负荷</w:t>
      </w:r>
      <w:r>
        <w:rPr>
          <w:rFonts w:hint="eastAsia" w:ascii="Times New Roman" w:eastAsia="黑体"/>
        </w:rPr>
        <w:t>　</w:t>
      </w:r>
      <w:r>
        <w:rPr>
          <w:rFonts w:ascii="Times New Roman" w:eastAsia="黑体"/>
        </w:rPr>
        <w:t>terminal heat load</w:t>
      </w:r>
    </w:p>
    <w:p>
      <w:pPr>
        <w:pStyle w:val="61"/>
      </w:pPr>
      <w:r>
        <w:rPr>
          <w:lang w:bidi="ar"/>
        </w:rPr>
        <w:t>设计工况下单位时间内单位面积空气载能末端需向房间提供的热量。</w:t>
      </w:r>
    </w:p>
    <w:p>
      <w:pPr>
        <w:pStyle w:val="228"/>
        <w:numPr>
          <w:ilvl w:val="255"/>
          <w:numId w:val="0"/>
        </w:numPr>
        <w:rPr>
          <w:rFonts w:hint="eastAsia" w:ascii="黑体" w:hAnsi="黑体" w:eastAsia="黑体" w:cs="黑体"/>
        </w:rPr>
      </w:pPr>
      <w:r>
        <w:rPr>
          <w:rFonts w:hint="eastAsia" w:ascii="黑体" w:hAnsi="黑体" w:eastAsia="黑体" w:cs="黑体"/>
        </w:rPr>
        <w:t>3.6</w:t>
      </w:r>
    </w:p>
    <w:p>
      <w:pPr>
        <w:pStyle w:val="228"/>
        <w:numPr>
          <w:ilvl w:val="0"/>
          <w:numId w:val="0"/>
        </w:numPr>
        <w:ind w:firstLine="420" w:firstLineChars="200"/>
        <w:rPr>
          <w:rFonts w:ascii="Times New Roman" w:eastAsia="黑体"/>
        </w:rPr>
      </w:pPr>
      <w:r>
        <w:rPr>
          <w:rFonts w:ascii="Times New Roman" w:eastAsia="黑体"/>
        </w:rPr>
        <w:t>末端冷负荷</w:t>
      </w:r>
      <w:r>
        <w:rPr>
          <w:rFonts w:hint="eastAsia" w:ascii="Times New Roman" w:eastAsia="黑体"/>
        </w:rPr>
        <w:t>　</w:t>
      </w:r>
      <w:r>
        <w:rPr>
          <w:rFonts w:ascii="Times New Roman" w:eastAsia="黑体"/>
        </w:rPr>
        <w:t>terminal cooling load</w:t>
      </w:r>
    </w:p>
    <w:p>
      <w:pPr>
        <w:pStyle w:val="61"/>
        <w:rPr>
          <w:lang w:bidi="ar"/>
        </w:rPr>
      </w:pPr>
      <w:r>
        <w:rPr>
          <w:lang w:bidi="ar"/>
        </w:rPr>
        <w:t>设计工况下单位时间内单位面积空气载能末端需向房间提供的冷量。</w:t>
      </w:r>
    </w:p>
    <w:p>
      <w:pPr>
        <w:pStyle w:val="228"/>
        <w:numPr>
          <w:ilvl w:val="255"/>
          <w:numId w:val="0"/>
        </w:numPr>
        <w:rPr>
          <w:rFonts w:hint="eastAsia" w:ascii="黑体" w:hAnsi="黑体" w:eastAsia="黑体" w:cs="黑体"/>
        </w:rPr>
      </w:pPr>
      <w:r>
        <w:rPr>
          <w:rFonts w:hint="eastAsia" w:ascii="黑体" w:hAnsi="黑体" w:eastAsia="黑体" w:cs="黑体"/>
        </w:rPr>
        <w:t>3.7</w:t>
      </w:r>
    </w:p>
    <w:p>
      <w:pPr>
        <w:pStyle w:val="228"/>
        <w:numPr>
          <w:ilvl w:val="0"/>
          <w:numId w:val="0"/>
        </w:numPr>
        <w:ind w:firstLine="420" w:firstLineChars="200"/>
        <w:rPr>
          <w:rFonts w:ascii="Times New Roman" w:eastAsia="黑体"/>
        </w:rPr>
      </w:pPr>
      <w:r>
        <w:rPr>
          <w:rFonts w:ascii="Times New Roman" w:eastAsia="黑体"/>
        </w:rPr>
        <w:t>同等热舒适</w:t>
      </w:r>
      <w:r>
        <w:rPr>
          <w:rFonts w:hint="eastAsia" w:ascii="Times New Roman" w:eastAsia="黑体"/>
        </w:rPr>
        <w:t>　</w:t>
      </w:r>
      <w:r>
        <w:rPr>
          <w:rFonts w:ascii="Times New Roman" w:eastAsia="黑体"/>
        </w:rPr>
        <w:t>same thermal comfort</w:t>
      </w:r>
    </w:p>
    <w:p>
      <w:pPr>
        <w:pStyle w:val="61"/>
        <w:rPr>
          <w:lang w:bidi="ar"/>
        </w:rPr>
      </w:pPr>
      <w:r>
        <w:rPr>
          <w:rFonts w:hint="eastAsia"/>
          <w:lang w:bidi="ar"/>
        </w:rPr>
        <w:t>人在不同末端、围护结构组合条件下</w:t>
      </w:r>
      <w:r>
        <w:rPr>
          <w:lang w:bidi="ar"/>
        </w:rPr>
        <w:t>对热湿环境的主观满意程度相同。</w:t>
      </w:r>
    </w:p>
    <w:p>
      <w:pPr>
        <w:pStyle w:val="61"/>
        <w:spacing w:before="158" w:beforeLines="50"/>
        <w:ind w:firstLine="0" w:firstLineChars="0"/>
        <w:rPr>
          <w:lang w:bidi="ar"/>
        </w:rPr>
      </w:pPr>
      <w:r>
        <w:rPr>
          <w:lang w:bidi="ar"/>
        </w:rPr>
        <w:t>条文说明：</w:t>
      </w:r>
    </w:p>
    <w:p>
      <w:pPr>
        <w:pStyle w:val="61"/>
        <w:widowControl w:val="0"/>
        <w:autoSpaceDE/>
        <w:autoSpaceDN/>
      </w:pPr>
      <w:r>
        <w:rPr>
          <w:lang w:bidi="ar"/>
        </w:rPr>
        <w:t>术语定义旨在统一技术语言，避免歧义。例如，“蓄能腔”强调其缓冲蓄能功能，需由B1级</w:t>
      </w:r>
      <w:r>
        <w:rPr>
          <w:rFonts w:hint="eastAsia"/>
          <w:lang w:bidi="ar"/>
        </w:rPr>
        <w:t>及</w:t>
      </w:r>
      <w:r>
        <w:rPr>
          <w:lang w:bidi="ar"/>
        </w:rPr>
        <w:t>以上防火保温材料（如岩棉，λ＜0.04</w:t>
      </w:r>
      <w:r>
        <w:rPr>
          <w:rFonts w:hint="eastAsia"/>
          <w:w w:val="50"/>
          <w:lang w:bidi="ar"/>
        </w:rPr>
        <w:t xml:space="preserve"> </w:t>
      </w:r>
      <w:r>
        <w:rPr>
          <w:lang w:bidi="ar"/>
        </w:rPr>
        <w:t>W/(m·K)）围护；“末端冷负荷”需基于单位面积辐射换热量实测值，参考GB 50736负荷计算方法。</w:t>
      </w:r>
      <w:r>
        <w:rPr>
          <w:szCs w:val="21"/>
          <w:shd w:val="clear" w:color="auto" w:fill="FFFFFF"/>
        </w:rPr>
        <w:t>对室内热舒适性的评价指标参考</w:t>
      </w:r>
      <w:r>
        <w:rPr>
          <w:lang w:bidi="ar"/>
        </w:rPr>
        <w:t>GB/T 18049、GBT50785。热舒适表现为既不感到热也不感到冷的心理状态，其核心是人体与所处环境之间的热平衡，受环境参数（如温度、湿度、空气流速、辐射温度）和个人因素（如代谢率、服装热阻）共同影响，空气载能系统的同等热舒适评价参考SCI论文：Huang Yuting,Gong Guangcai,Wang Yuxin,Chen Xiang,Shi Xing,Liu Jiaqing.Investigation of Energy Consumption and Local Thermal Comfort through the Transient Thermophysiological Model and Human-body Exergy Model for Air-carrying Energy System.</w:t>
      </w:r>
      <w:r>
        <w:rPr>
          <w:i/>
          <w:iCs/>
          <w:lang w:bidi="ar"/>
        </w:rPr>
        <w:t>Energy</w:t>
      </w:r>
      <w:r>
        <w:rPr>
          <w:lang w:bidi="ar"/>
        </w:rPr>
        <w:t>.2025,328:136548. 热舒适是人对热湿环境的主观满意程度；同等热舒适性条件末端与围护结构的综合性能指标，</w:t>
      </w:r>
      <w:r>
        <w:rPr>
          <w:rFonts w:hint="eastAsia"/>
          <w:lang w:bidi="ar"/>
        </w:rPr>
        <w:t>在</w:t>
      </w:r>
      <w:r>
        <w:rPr>
          <w:lang w:bidi="ar"/>
        </w:rPr>
        <w:t>相同气候条件及围护结构条件下，末端供冷供暖负荷越小，表明同等热舒适条件下末端性能越好</w:t>
      </w:r>
      <w:r>
        <w:rPr>
          <w:rFonts w:hint="eastAsia"/>
          <w:lang w:bidi="ar"/>
        </w:rPr>
        <w:t>；</w:t>
      </w:r>
      <w:r>
        <w:rPr>
          <w:lang w:bidi="ar"/>
        </w:rPr>
        <w:t>相同气候条件下，末端负荷越小，表明同等热舒适条件下末端与围护结构综合性能越好。</w:t>
      </w:r>
    </w:p>
    <w:p>
      <w:pPr>
        <w:pStyle w:val="109"/>
        <w:spacing w:before="317" w:after="317"/>
        <w:ind w:left="0"/>
        <w:rPr>
          <w:rFonts w:ascii="Times New Roman"/>
        </w:rPr>
      </w:pPr>
      <w:bookmarkStart w:id="100" w:name="_Toc19716"/>
      <w:bookmarkStart w:id="101" w:name="_Toc29750"/>
      <w:bookmarkStart w:id="102" w:name="_Toc15771"/>
      <w:r>
        <w:rPr>
          <w:rFonts w:ascii="Times New Roman"/>
        </w:rPr>
        <w:t>基本规定</w:t>
      </w:r>
      <w:bookmarkEnd w:id="100"/>
      <w:bookmarkEnd w:id="101"/>
      <w:bookmarkEnd w:id="102"/>
    </w:p>
    <w:p>
      <w:pPr>
        <w:pStyle w:val="110"/>
        <w:spacing w:before="0" w:beforeLines="0" w:after="0" w:afterLines="0"/>
        <w:ind w:left="0"/>
        <w:rPr>
          <w:rFonts w:ascii="Times New Roman"/>
        </w:rPr>
      </w:pPr>
      <w:bookmarkStart w:id="103" w:name="_Toc2064"/>
      <w:bookmarkStart w:id="104" w:name="_Toc30009"/>
      <w:bookmarkStart w:id="105" w:name="_Toc13425"/>
      <w:r>
        <w:rPr>
          <w:rFonts w:ascii="Times New Roman" w:eastAsia="宋体"/>
          <w:szCs w:val="21"/>
          <w:lang w:bidi="ar"/>
        </w:rPr>
        <w:t>空气载能辐射空调系统的设计、施工安装除执行本规程规定外，应充分考虑建筑、结构、电气、给排水、装饰等专业相互协调，合理设置。</w:t>
      </w:r>
      <w:bookmarkEnd w:id="103"/>
      <w:bookmarkEnd w:id="104"/>
      <w:bookmarkEnd w:id="105"/>
    </w:p>
    <w:p>
      <w:pPr>
        <w:pStyle w:val="110"/>
        <w:spacing w:before="0" w:beforeLines="0" w:after="0" w:afterLines="0"/>
        <w:ind w:left="0"/>
        <w:rPr>
          <w:rFonts w:ascii="Times New Roman" w:eastAsia="宋体"/>
          <w:szCs w:val="21"/>
          <w:lang w:bidi="ar"/>
        </w:rPr>
      </w:pPr>
      <w:bookmarkStart w:id="106" w:name="_Toc1120"/>
      <w:bookmarkStart w:id="107" w:name="_Toc3980"/>
      <w:bookmarkStart w:id="108" w:name="_Toc16592"/>
      <w:r>
        <w:rPr>
          <w:rFonts w:ascii="Times New Roman" w:eastAsia="宋体"/>
          <w:szCs w:val="21"/>
          <w:lang w:bidi="ar"/>
        </w:rPr>
        <w:t>空气载能机组性能系数应满足</w:t>
      </w:r>
      <w:r>
        <w:rPr>
          <w:rFonts w:ascii="Times New Roman" w:eastAsia="宋体"/>
        </w:rPr>
        <w:t>附录A.5中不同的冷热源系统能效</w:t>
      </w:r>
      <w:r>
        <w:rPr>
          <w:rFonts w:ascii="Times New Roman" w:eastAsia="宋体"/>
          <w:szCs w:val="21"/>
          <w:lang w:bidi="ar"/>
        </w:rPr>
        <w:t>标准规定。</w:t>
      </w:r>
      <w:bookmarkEnd w:id="106"/>
      <w:bookmarkEnd w:id="107"/>
      <w:bookmarkEnd w:id="108"/>
    </w:p>
    <w:p>
      <w:pPr>
        <w:pStyle w:val="110"/>
        <w:spacing w:before="0" w:beforeLines="0" w:after="0" w:afterLines="0"/>
        <w:ind w:left="0"/>
        <w:rPr>
          <w:rFonts w:ascii="Times New Roman" w:eastAsia="宋体"/>
        </w:rPr>
      </w:pPr>
      <w:bookmarkStart w:id="109" w:name="_Toc27031"/>
      <w:bookmarkStart w:id="110" w:name="_Toc14250"/>
      <w:bookmarkStart w:id="111" w:name="_Toc15281"/>
      <w:r>
        <w:rPr>
          <w:rFonts w:ascii="Times New Roman" w:eastAsia="宋体"/>
        </w:rPr>
        <w:t>空气载能辐射空调系统的设计、施工安装、调试、验收应符合</w:t>
      </w:r>
      <w:r>
        <w:rPr>
          <w:rFonts w:hint="eastAsia" w:ascii="Times New Roman" w:eastAsia="宋体"/>
        </w:rPr>
        <w:t>GB 55015</w:t>
      </w:r>
      <w:r>
        <w:rPr>
          <w:rFonts w:ascii="Times New Roman" w:eastAsia="宋体"/>
        </w:rPr>
        <w:t>的规定，应由具备</w:t>
      </w:r>
      <w:r>
        <w:rPr>
          <w:rFonts w:ascii="Times New Roman" w:eastAsia="宋体"/>
          <w:szCs w:val="21"/>
          <w:lang w:bidi="ar"/>
        </w:rPr>
        <w:t>相应</w:t>
      </w:r>
      <w:r>
        <w:rPr>
          <w:rFonts w:ascii="Times New Roman" w:eastAsia="宋体"/>
        </w:rPr>
        <w:t>资质的单位和专业技术人员承担。</w:t>
      </w:r>
      <w:bookmarkEnd w:id="109"/>
      <w:bookmarkEnd w:id="110"/>
      <w:bookmarkEnd w:id="111"/>
    </w:p>
    <w:p>
      <w:pPr>
        <w:pStyle w:val="110"/>
        <w:spacing w:before="0" w:beforeLines="0" w:after="0" w:afterLines="0"/>
        <w:ind w:left="0"/>
        <w:rPr>
          <w:rFonts w:ascii="Times New Roman" w:eastAsia="宋体"/>
        </w:rPr>
      </w:pPr>
      <w:bookmarkStart w:id="112" w:name="_Toc4967"/>
      <w:bookmarkStart w:id="113" w:name="_Toc3156"/>
      <w:bookmarkStart w:id="114" w:name="_Toc24626"/>
      <w:r>
        <w:rPr>
          <w:rFonts w:ascii="Times New Roman" w:eastAsia="宋体"/>
        </w:rPr>
        <w:t>空气载能辐射空调系统的性能应符合国家建筑节能有关标准的规定，并应根据建筑类型，具有分户计量和分室调温的功能。</w:t>
      </w:r>
      <w:bookmarkEnd w:id="112"/>
      <w:bookmarkEnd w:id="113"/>
      <w:bookmarkEnd w:id="114"/>
    </w:p>
    <w:p>
      <w:pPr>
        <w:pStyle w:val="61"/>
        <w:autoSpaceDE/>
        <w:autoSpaceDN/>
        <w:spacing w:before="158" w:beforeLines="50"/>
        <w:ind w:firstLine="0" w:firstLineChars="0"/>
      </w:pPr>
      <w:r>
        <w:t>条文说明：</w:t>
      </w:r>
    </w:p>
    <w:p>
      <w:pPr>
        <w:pStyle w:val="61"/>
      </w:pPr>
      <w:r>
        <w:t>系统设计需多专业协同，优先采用分户计量和分室调温功能，满足GB 55015的节能要求。空气载能机组性能系数参考GB 19577，施工资质要求依据GB 50300执行。</w:t>
      </w:r>
    </w:p>
    <w:p>
      <w:pPr>
        <w:pStyle w:val="109"/>
        <w:spacing w:before="317" w:after="317"/>
        <w:ind w:left="0"/>
        <w:rPr>
          <w:rFonts w:ascii="Times New Roman"/>
        </w:rPr>
      </w:pPr>
      <w:bookmarkStart w:id="115" w:name="_Toc17091"/>
      <w:bookmarkStart w:id="116" w:name="_Toc2017"/>
      <w:bookmarkStart w:id="117" w:name="_Toc20390"/>
      <w:r>
        <w:rPr>
          <w:rFonts w:ascii="Times New Roman"/>
        </w:rPr>
        <w:t>设计</w:t>
      </w:r>
      <w:bookmarkEnd w:id="115"/>
      <w:bookmarkEnd w:id="116"/>
      <w:bookmarkEnd w:id="117"/>
    </w:p>
    <w:p>
      <w:pPr>
        <w:pStyle w:val="110"/>
        <w:spacing w:before="158" w:after="158"/>
        <w:ind w:left="0"/>
        <w:rPr>
          <w:rFonts w:ascii="Times New Roman"/>
        </w:rPr>
      </w:pPr>
      <w:bookmarkStart w:id="118" w:name="_Toc8872"/>
      <w:bookmarkStart w:id="119" w:name="_Toc18122"/>
      <w:r>
        <w:rPr>
          <w:rFonts w:ascii="Times New Roman"/>
        </w:rPr>
        <w:t>一般规定</w:t>
      </w:r>
      <w:bookmarkEnd w:id="118"/>
      <w:bookmarkEnd w:id="119"/>
    </w:p>
    <w:p>
      <w:pPr>
        <w:pStyle w:val="70"/>
        <w:spacing w:before="0" w:beforeLines="0" w:after="0" w:afterLines="0"/>
        <w:rPr>
          <w:rFonts w:ascii="Times New Roman" w:eastAsia="宋体"/>
        </w:rPr>
      </w:pPr>
      <w:r>
        <w:rPr>
          <w:rFonts w:ascii="Times New Roman" w:eastAsia="宋体"/>
        </w:rPr>
        <w:t>空气载能天花板辐射空调区域宜集中布置，温湿度要求和使用要求相近的空气载能天花板辐射空调区域宜相邻布置。</w:t>
      </w:r>
    </w:p>
    <w:p>
      <w:pPr>
        <w:pStyle w:val="70"/>
        <w:spacing w:before="0" w:beforeLines="0" w:after="0" w:afterLines="0"/>
        <w:rPr>
          <w:rFonts w:ascii="Times New Roman" w:eastAsia="宋体"/>
        </w:rPr>
      </w:pPr>
      <w:r>
        <w:rPr>
          <w:rFonts w:ascii="Times New Roman" w:eastAsia="宋体"/>
        </w:rPr>
        <w:t>空调区内空气压力应满足下列要求：</w:t>
      </w:r>
    </w:p>
    <w:p>
      <w:pPr>
        <w:pStyle w:val="61"/>
      </w:pPr>
      <w:r>
        <w:t>1）工艺性空调</w:t>
      </w:r>
      <w:bookmarkStart w:id="120" w:name="OLE_LINK2"/>
      <w:r>
        <w:rPr>
          <w:rFonts w:hint="eastAsia"/>
          <w:lang w:val="en-US" w:eastAsia="zh-CN"/>
        </w:rPr>
        <w:t>符合</w:t>
      </w:r>
      <w:r>
        <w:rPr>
          <w:rFonts w:hint="eastAsia"/>
          <w:highlight w:val="none"/>
        </w:rPr>
        <w:t>GB 50073</w:t>
      </w:r>
      <w:bookmarkEnd w:id="120"/>
      <w:r>
        <w:rPr>
          <w:rFonts w:hint="eastAsia"/>
          <w:highlight w:val="none"/>
          <w:lang w:eastAsia="zh-CN"/>
        </w:rPr>
        <w:t>、</w:t>
      </w:r>
      <w:r>
        <w:rPr>
          <w:rFonts w:hint="eastAsia"/>
          <w:highlight w:val="none"/>
        </w:rPr>
        <w:t>GB 50346</w:t>
      </w:r>
      <w:r>
        <w:rPr>
          <w:rFonts w:hint="eastAsia"/>
          <w:highlight w:val="none"/>
          <w:lang w:val="en-US" w:eastAsia="zh-CN"/>
        </w:rPr>
        <w:t>相关要求</w:t>
      </w:r>
      <w:r>
        <w:t>；</w:t>
      </w:r>
    </w:p>
    <w:p>
      <w:pPr>
        <w:pStyle w:val="61"/>
      </w:pPr>
      <w:r>
        <w:t>2）舒适性空调</w:t>
      </w:r>
      <w:r>
        <w:rPr>
          <w:rFonts w:hint="eastAsia"/>
          <w:lang w:val="en-US" w:eastAsia="zh-CN"/>
        </w:rPr>
        <w:t>符合</w:t>
      </w:r>
      <w:r>
        <w:rPr>
          <w:rFonts w:hint="eastAsia"/>
          <w:highlight w:val="none"/>
        </w:rPr>
        <w:t>GB 50736</w:t>
      </w:r>
      <w:r>
        <w:rPr>
          <w:rFonts w:hint="eastAsia"/>
          <w:highlight w:val="none"/>
          <w:lang w:eastAsia="zh-CN"/>
        </w:rPr>
        <w:t>、</w:t>
      </w:r>
      <w:r>
        <w:rPr>
          <w:rFonts w:hint="eastAsia"/>
          <w:highlight w:val="none"/>
        </w:rPr>
        <w:t>JGJ 64</w:t>
      </w:r>
      <w:r>
        <w:rPr>
          <w:rFonts w:hint="eastAsia"/>
          <w:highlight w:val="none"/>
          <w:lang w:val="en-US" w:eastAsia="zh-CN"/>
        </w:rPr>
        <w:t>相关要求</w:t>
      </w:r>
      <w:r>
        <w:t>。</w:t>
      </w:r>
    </w:p>
    <w:p>
      <w:pPr>
        <w:pStyle w:val="61"/>
        <w:autoSpaceDE/>
        <w:autoSpaceDN/>
        <w:spacing w:before="158" w:beforeLines="50"/>
        <w:ind w:firstLine="0" w:firstLineChars="0"/>
      </w:pPr>
      <w:r>
        <w:t>条文说明：</w:t>
      </w:r>
    </w:p>
    <w:p>
      <w:pPr>
        <w:pStyle w:val="61"/>
        <w:widowControl w:val="0"/>
        <w:autoSpaceDE/>
        <w:autoSpaceDN/>
        <w:spacing w:after="158" w:afterLines="50"/>
      </w:pPr>
      <w:r>
        <w:t>此要求参考GB 50019中关于室内压力平衡的规定，同时结合空气载能辐射系统的低风速特性，避免因压差过大导致辐射板表面结露风险。</w:t>
      </w:r>
    </w:p>
    <w:p>
      <w:pPr>
        <w:pStyle w:val="70"/>
        <w:spacing w:before="0" w:beforeLines="0" w:after="0" w:afterLines="0"/>
        <w:rPr>
          <w:rFonts w:ascii="Times New Roman" w:eastAsia="宋体"/>
        </w:rPr>
      </w:pPr>
      <w:r>
        <w:rPr>
          <w:rFonts w:ascii="Times New Roman" w:eastAsia="宋体"/>
        </w:rPr>
        <w:t>空气载能天花板辐射空调区域开启频繁的外门，宜设门斗、旋转门或弹簧门等，必要时可设空气幕。</w:t>
      </w:r>
    </w:p>
    <w:p>
      <w:pPr>
        <w:pStyle w:val="70"/>
        <w:spacing w:before="0" w:beforeLines="0" w:after="0" w:afterLines="0"/>
        <w:rPr>
          <w:rFonts w:ascii="Times New Roman"/>
        </w:rPr>
      </w:pPr>
      <w:r>
        <w:rPr>
          <w:rFonts w:ascii="Times New Roman" w:eastAsia="宋体"/>
        </w:rPr>
        <w:t>空气载能辐射天花板空调系统设计应满足GB 50019有关规定。</w:t>
      </w:r>
    </w:p>
    <w:p>
      <w:pPr>
        <w:pStyle w:val="110"/>
        <w:spacing w:before="158" w:after="158"/>
        <w:ind w:left="0"/>
        <w:rPr>
          <w:rFonts w:ascii="Times New Roman"/>
        </w:rPr>
      </w:pPr>
      <w:bookmarkStart w:id="121" w:name="_Toc18323"/>
      <w:bookmarkStart w:id="122" w:name="_Toc7222"/>
      <w:r>
        <w:rPr>
          <w:rFonts w:ascii="Times New Roman"/>
        </w:rPr>
        <w:t>室内计算参数</w:t>
      </w:r>
      <w:bookmarkEnd w:id="121"/>
      <w:bookmarkEnd w:id="122"/>
    </w:p>
    <w:p>
      <w:pPr>
        <w:pStyle w:val="70"/>
        <w:spacing w:before="158" w:after="158"/>
        <w:rPr>
          <w:rFonts w:ascii="Times New Roman" w:eastAsia="宋体"/>
        </w:rPr>
      </w:pPr>
      <w:r>
        <w:rPr>
          <w:rFonts w:ascii="Times New Roman" w:eastAsia="宋体"/>
        </w:rPr>
        <w:t>空气载能天花板（微孔板）辐射空调夏、冬季室内计算参数应符合下列规定</w:t>
      </w:r>
      <w:r>
        <w:rPr>
          <w:rFonts w:hint="eastAsia" w:ascii="Times New Roman" w:eastAsia="宋体"/>
        </w:rPr>
        <w:t>。</w:t>
      </w:r>
    </w:p>
    <w:p>
      <w:pPr>
        <w:pStyle w:val="61"/>
        <w:numPr>
          <w:ilvl w:val="0"/>
          <w:numId w:val="32"/>
        </w:numPr>
        <w:rPr>
          <w:highlight w:val="none"/>
        </w:rPr>
      </w:pPr>
      <w:r>
        <w:rPr>
          <w:highlight w:val="none"/>
        </w:rPr>
        <w:t>夏季：</w:t>
      </w:r>
    </w:p>
    <w:p>
      <w:pPr>
        <w:pStyle w:val="61"/>
        <w:numPr>
          <w:ilvl w:val="0"/>
          <w:numId w:val="33"/>
        </w:numPr>
        <w:autoSpaceDE/>
        <w:autoSpaceDN/>
        <w:ind w:left="1470" w:leftChars="500" w:hanging="420" w:hangingChars="200"/>
        <w:rPr>
          <w:highlight w:val="none"/>
        </w:rPr>
      </w:pPr>
      <w:r>
        <w:rPr>
          <w:highlight w:val="none"/>
        </w:rPr>
        <w:t>空调区空气温度：22</w:t>
      </w:r>
      <w:r>
        <w:rPr>
          <w:rFonts w:hint="eastAsia"/>
          <w:w w:val="50"/>
          <w:highlight w:val="none"/>
        </w:rPr>
        <w:t xml:space="preserve"> </w:t>
      </w:r>
      <w:r>
        <w:rPr>
          <w:highlight w:val="none"/>
        </w:rPr>
        <w:t>℃~28</w:t>
      </w:r>
      <w:r>
        <w:rPr>
          <w:rFonts w:hint="eastAsia"/>
          <w:w w:val="50"/>
          <w:highlight w:val="none"/>
        </w:rPr>
        <w:t xml:space="preserve"> </w:t>
      </w:r>
      <w:r>
        <w:rPr>
          <w:highlight w:val="none"/>
        </w:rPr>
        <w:t>℃，同等热舒适</w:t>
      </w:r>
      <w:r>
        <w:rPr>
          <w:rFonts w:hint="eastAsia"/>
          <w:highlight w:val="none"/>
        </w:rPr>
        <w:t>条件</w:t>
      </w:r>
      <w:r>
        <w:rPr>
          <w:highlight w:val="none"/>
        </w:rPr>
        <w:t>下空气载能</w:t>
      </w:r>
      <w:r>
        <w:rPr>
          <w:rFonts w:hint="eastAsia"/>
          <w:highlight w:val="none"/>
        </w:rPr>
        <w:t>辐射末端可比非辐射末</w:t>
      </w:r>
      <w:r>
        <w:rPr>
          <w:rFonts w:hint="eastAsia"/>
          <w:highlight w:val="none"/>
          <w:lang w:val="en-US" w:eastAsia="zh-CN"/>
        </w:rPr>
        <w:t xml:space="preserve">          </w:t>
      </w:r>
      <w:r>
        <w:rPr>
          <w:rFonts w:hint="eastAsia"/>
          <w:highlight w:val="none"/>
        </w:rPr>
        <w:t>端高2℃左右</w:t>
      </w:r>
      <w:r>
        <w:rPr>
          <w:highlight w:val="none"/>
        </w:rPr>
        <w:t>；</w:t>
      </w:r>
    </w:p>
    <w:p>
      <w:pPr>
        <w:pStyle w:val="61"/>
        <w:numPr>
          <w:ilvl w:val="0"/>
          <w:numId w:val="33"/>
        </w:numPr>
        <w:autoSpaceDE/>
        <w:autoSpaceDN/>
        <w:ind w:left="1050" w:leftChars="500" w:firstLine="0" w:firstLineChars="0"/>
        <w:rPr>
          <w:highlight w:val="none"/>
        </w:rPr>
      </w:pPr>
      <w:r>
        <w:rPr>
          <w:highlight w:val="none"/>
        </w:rPr>
        <w:t>空调区空气相对湿度：</w:t>
      </w:r>
      <w:r>
        <w:rPr>
          <w:rFonts w:hint="eastAsia"/>
          <w:highlight w:val="none"/>
        </w:rPr>
        <w:t>3</w:t>
      </w:r>
      <w:r>
        <w:rPr>
          <w:highlight w:val="none"/>
        </w:rPr>
        <w:t>0%~70%</w:t>
      </w:r>
      <w:r>
        <w:rPr>
          <w:rFonts w:hint="eastAsia"/>
          <w:highlight w:val="none"/>
        </w:rPr>
        <w:t>。</w:t>
      </w:r>
    </w:p>
    <w:p>
      <w:pPr>
        <w:pStyle w:val="61"/>
        <w:numPr>
          <w:ilvl w:val="0"/>
          <w:numId w:val="32"/>
        </w:numPr>
        <w:rPr>
          <w:highlight w:val="none"/>
        </w:rPr>
      </w:pPr>
      <w:r>
        <w:rPr>
          <w:highlight w:val="none"/>
        </w:rPr>
        <w:t xml:space="preserve">冬季：                          </w:t>
      </w:r>
    </w:p>
    <w:p>
      <w:pPr>
        <w:pStyle w:val="61"/>
        <w:numPr>
          <w:ilvl w:val="0"/>
          <w:numId w:val="34"/>
        </w:numPr>
        <w:autoSpaceDE/>
        <w:autoSpaceDN/>
        <w:ind w:left="1470" w:leftChars="500" w:hanging="420" w:hangingChars="200"/>
        <w:rPr>
          <w:highlight w:val="none"/>
        </w:rPr>
      </w:pPr>
      <w:r>
        <w:rPr>
          <w:highlight w:val="none"/>
        </w:rPr>
        <w:t>空调区空气温度：16℃~24℃，同等热舒适</w:t>
      </w:r>
      <w:r>
        <w:rPr>
          <w:rFonts w:hint="eastAsia"/>
          <w:highlight w:val="none"/>
        </w:rPr>
        <w:t>条件</w:t>
      </w:r>
      <w:r>
        <w:rPr>
          <w:highlight w:val="none"/>
        </w:rPr>
        <w:t>下空气载能</w:t>
      </w:r>
      <w:r>
        <w:rPr>
          <w:rFonts w:hint="eastAsia"/>
          <w:highlight w:val="none"/>
        </w:rPr>
        <w:t>辐射末端可比非辐射末端低1.5~2℃左右</w:t>
      </w:r>
      <w:r>
        <w:rPr>
          <w:highlight w:val="none"/>
        </w:rPr>
        <w:t>；</w:t>
      </w:r>
    </w:p>
    <w:p>
      <w:pPr>
        <w:pStyle w:val="61"/>
        <w:numPr>
          <w:ilvl w:val="0"/>
          <w:numId w:val="34"/>
        </w:numPr>
        <w:autoSpaceDE/>
        <w:autoSpaceDN/>
        <w:ind w:left="1050" w:leftChars="500" w:firstLine="0" w:firstLineChars="0"/>
        <w:rPr>
          <w:highlight w:val="none"/>
        </w:rPr>
      </w:pPr>
      <w:r>
        <w:rPr>
          <w:highlight w:val="none"/>
        </w:rPr>
        <w:t>空调区空气相对湿度：30%~</w:t>
      </w:r>
      <w:r>
        <w:rPr>
          <w:rFonts w:hint="eastAsia"/>
          <w:highlight w:val="none"/>
        </w:rPr>
        <w:t>7</w:t>
      </w:r>
      <w:r>
        <w:rPr>
          <w:highlight w:val="none"/>
        </w:rPr>
        <w:t>0%。</w:t>
      </w:r>
    </w:p>
    <w:p>
      <w:pPr>
        <w:pStyle w:val="61"/>
        <w:ind w:firstLine="360"/>
        <w:rPr>
          <w:sz w:val="18"/>
          <w:szCs w:val="18"/>
        </w:rPr>
      </w:pPr>
      <w:r>
        <w:rPr>
          <w:rFonts w:eastAsia="黑体"/>
          <w:sz w:val="18"/>
          <w:szCs w:val="18"/>
        </w:rPr>
        <w:t>注：</w:t>
      </w:r>
      <w:r>
        <w:rPr>
          <w:sz w:val="18"/>
          <w:szCs w:val="18"/>
        </w:rPr>
        <w:t>农村地区的建筑冬季空调区空气温度可到14℃。</w:t>
      </w:r>
    </w:p>
    <w:p>
      <w:pPr>
        <w:pStyle w:val="61"/>
        <w:autoSpaceDE/>
        <w:autoSpaceDN/>
        <w:spacing w:before="158" w:beforeLines="50"/>
        <w:ind w:firstLine="0" w:firstLineChars="0"/>
      </w:pPr>
      <w:r>
        <w:t>条文说明：</w:t>
      </w:r>
    </w:p>
    <w:p>
      <w:pPr>
        <w:pStyle w:val="61"/>
        <w:autoSpaceDE/>
        <w:autoSpaceDN/>
        <w:spacing w:after="158" w:afterLines="50"/>
      </w:pPr>
      <w:r>
        <w:t>根据标准GB50736规定：夏季温度设定为22</w:t>
      </w:r>
      <w:r>
        <w:rPr>
          <w:rFonts w:hint="eastAsia"/>
          <w:w w:val="50"/>
        </w:rPr>
        <w:t xml:space="preserve"> </w:t>
      </w:r>
      <w:r>
        <w:t>℃~28</w:t>
      </w:r>
      <w:r>
        <w:rPr>
          <w:rFonts w:hint="eastAsia"/>
          <w:w w:val="50"/>
        </w:rPr>
        <w:t xml:space="preserve"> </w:t>
      </w:r>
      <w:r>
        <w:t>℃，冬季温度16</w:t>
      </w:r>
      <w:r>
        <w:rPr>
          <w:rFonts w:hint="eastAsia"/>
          <w:w w:val="50"/>
        </w:rPr>
        <w:t xml:space="preserve"> </w:t>
      </w:r>
      <w:r>
        <w:t>℃~24</w:t>
      </w:r>
      <w:r>
        <w:rPr>
          <w:rFonts w:hint="eastAsia"/>
          <w:w w:val="50"/>
        </w:rPr>
        <w:t xml:space="preserve"> </w:t>
      </w:r>
      <w:r>
        <w:t>℃。但基于人体热舒适性与节能平衡的考量，空气载能系统以辐射换热为主，在同等热舒适需求的体感温度较传统对流空调低1</w:t>
      </w:r>
      <w:r>
        <w:rPr>
          <w:rFonts w:hint="eastAsia"/>
          <w:lang w:val="en-US" w:eastAsia="zh-CN"/>
        </w:rPr>
        <w:t>.5</w:t>
      </w:r>
      <w:r>
        <w:rPr>
          <w:rFonts w:hint="eastAsia"/>
          <w:w w:val="50"/>
        </w:rPr>
        <w:t xml:space="preserve"> </w:t>
      </w:r>
      <w:r>
        <w:t>℃~2</w:t>
      </w:r>
      <w:r>
        <w:rPr>
          <w:rFonts w:hint="eastAsia"/>
          <w:w w:val="50"/>
        </w:rPr>
        <w:t xml:space="preserve"> </w:t>
      </w:r>
      <w:r>
        <w:t>℃，因此允许适当提高室内设计温度，参考SCI论文：Peng Pei,Gong Guangcai,Mei Xiong,Liu Jia,Wu Fanhao.Investigation on thermal comfort of air carrying energy radiant air-conditioning system in south-central China.</w:t>
      </w:r>
      <w:r>
        <w:rPr>
          <w:b/>
          <w:bCs/>
          <w:i/>
          <w:iCs/>
        </w:rPr>
        <w:t>Energy and Buildings</w:t>
      </w:r>
      <w:r>
        <w:t>.2019,182:51-60.农村地区冬季温度放宽至14</w:t>
      </w:r>
      <w:r>
        <w:rPr>
          <w:rFonts w:hint="eastAsia"/>
          <w:w w:val="50"/>
        </w:rPr>
        <w:t xml:space="preserve"> </w:t>
      </w:r>
      <w:r>
        <w:t>℃，考虑其建筑保温性能较差及使用习惯。最终室内设计参数夏季取28</w:t>
      </w:r>
      <w:r>
        <w:rPr>
          <w:rFonts w:hint="eastAsia"/>
          <w:w w:val="50"/>
        </w:rPr>
        <w:t xml:space="preserve"> </w:t>
      </w:r>
      <w:r>
        <w:t>℃和冬季取18</w:t>
      </w:r>
      <w:r>
        <w:rPr>
          <w:rFonts w:hint="eastAsia"/>
          <w:w w:val="50"/>
        </w:rPr>
        <w:t xml:space="preserve"> </w:t>
      </w:r>
      <w:r>
        <w:t>℃可满足人体热舒适要求</w:t>
      </w:r>
      <w:r>
        <w:rPr>
          <w:rFonts w:hint="eastAsia"/>
        </w:rPr>
        <w:t>。此外，依据GB 55038《住宅项目规范》中6.3.1节供暖住宅建筑的屋面、外墙、地面、与室外空气直接接触的楼面等的内表面在室内温、湿度设计条件下不应出现表面结露。</w:t>
      </w:r>
    </w:p>
    <w:p>
      <w:pPr>
        <w:pStyle w:val="70"/>
        <w:spacing w:before="0" w:beforeLines="0" w:after="0" w:afterLines="0"/>
        <w:rPr>
          <w:rFonts w:ascii="Times New Roman" w:eastAsia="宋体"/>
        </w:rPr>
      </w:pPr>
      <w:r>
        <w:rPr>
          <w:rFonts w:ascii="Times New Roman" w:eastAsia="宋体"/>
        </w:rPr>
        <w:t>辐射板附近的温湿度应符合表1中的要求，具体测试方法见附录A。</w:t>
      </w:r>
    </w:p>
    <w:p>
      <w:pPr>
        <w:pStyle w:val="70"/>
        <w:spacing w:beforeLines="0" w:afterLines="0"/>
        <w:rPr>
          <w:rFonts w:ascii="Times New Roman" w:eastAsia="宋体"/>
        </w:rPr>
      </w:pPr>
      <w:r>
        <w:rPr>
          <w:rFonts w:ascii="Times New Roman" w:eastAsia="宋体"/>
        </w:rPr>
        <w:t>温度梯度应符合表1中的要求，具体测试方法见附录A。</w:t>
      </w:r>
    </w:p>
    <w:p>
      <w:pPr>
        <w:pStyle w:val="61"/>
      </w:pPr>
    </w:p>
    <w:p>
      <w:pPr>
        <w:pStyle w:val="61"/>
        <w:autoSpaceDE/>
        <w:autoSpaceDN/>
        <w:spacing w:before="158" w:beforeLines="50" w:after="158" w:afterLines="50"/>
        <w:ind w:firstLine="0" w:firstLineChars="0"/>
        <w:jc w:val="center"/>
        <w:rPr>
          <w:rFonts w:hint="eastAsia" w:ascii="黑体" w:hAnsi="黑体" w:eastAsia="黑体" w:cs="黑体"/>
        </w:rPr>
      </w:pPr>
      <w:r>
        <w:rPr>
          <w:rFonts w:hint="eastAsia" w:ascii="黑体" w:hAnsi="黑体" w:eastAsia="黑体" w:cs="黑体"/>
        </w:rPr>
        <w:t>表1　性能指标表</w:t>
      </w:r>
    </w:p>
    <w:tbl>
      <w:tblPr>
        <w:tblStyle w:val="38"/>
        <w:tblW w:w="9062" w:type="dxa"/>
        <w:tblInd w:w="0" w:type="dxa"/>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
      <w:tblGrid>
        <w:gridCol w:w="2812"/>
        <w:gridCol w:w="6250"/>
      </w:tblGrid>
      <w:tr>
        <w:tblPrEx>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trPr>
        <w:tc>
          <w:tcPr>
            <w:tcW w:w="2812" w:type="dxa"/>
            <w:tcBorders>
              <w:top w:val="single" w:color="auto" w:sz="12" w:space="0"/>
              <w:left w:val="single" w:color="auto" w:sz="12" w:space="0"/>
              <w:bottom w:val="single" w:color="auto" w:sz="12" w:space="0"/>
              <w:tl2br w:val="nil"/>
              <w:tr2bl w:val="nil"/>
            </w:tcBorders>
            <w:vAlign w:val="center"/>
          </w:tcPr>
          <w:p>
            <w:pPr>
              <w:adjustRightInd/>
              <w:spacing w:line="240" w:lineRule="auto"/>
              <w:jc w:val="center"/>
              <w:rPr>
                <w:rFonts w:hint="eastAsia" w:ascii="宋体" w:hAnsi="宋体" w:cs="宋体"/>
                <w:bCs/>
                <w:sz w:val="18"/>
                <w:szCs w:val="18"/>
              </w:rPr>
            </w:pPr>
            <w:r>
              <w:rPr>
                <w:rFonts w:hint="eastAsia" w:ascii="宋体" w:hAnsi="宋体" w:cs="宋体"/>
                <w:bCs/>
                <w:sz w:val="18"/>
                <w:szCs w:val="18"/>
              </w:rPr>
              <w:t>性能指标</w:t>
            </w:r>
          </w:p>
        </w:tc>
        <w:tc>
          <w:tcPr>
            <w:tcW w:w="6250" w:type="dxa"/>
            <w:tcBorders>
              <w:top w:val="single" w:color="auto" w:sz="12" w:space="0"/>
              <w:bottom w:val="single" w:color="auto" w:sz="12" w:space="0"/>
              <w:right w:val="single" w:color="auto" w:sz="12" w:space="0"/>
              <w:tl2br w:val="nil"/>
              <w:tr2bl w:val="nil"/>
            </w:tcBorders>
            <w:vAlign w:val="center"/>
          </w:tcPr>
          <w:p>
            <w:pPr>
              <w:adjustRightInd/>
              <w:spacing w:line="240" w:lineRule="auto"/>
              <w:jc w:val="center"/>
              <w:rPr>
                <w:rFonts w:hint="eastAsia" w:ascii="宋体" w:hAnsi="宋体" w:cs="宋体"/>
                <w:bCs/>
                <w:sz w:val="18"/>
                <w:szCs w:val="18"/>
              </w:rPr>
            </w:pPr>
            <w:r>
              <w:rPr>
                <w:rFonts w:hint="eastAsia" w:ascii="宋体" w:hAnsi="宋体" w:cs="宋体"/>
                <w:bCs/>
                <w:sz w:val="18"/>
                <w:szCs w:val="18"/>
              </w:rPr>
              <w:t>要求</w:t>
            </w:r>
          </w:p>
        </w:tc>
      </w:tr>
      <w:tr>
        <w:tblPrEx>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Ex>
        <w:trPr>
          <w:trHeight w:val="1020" w:hRule="atLeast"/>
        </w:trPr>
        <w:tc>
          <w:tcPr>
            <w:tcW w:w="2812" w:type="dxa"/>
            <w:tcBorders>
              <w:top w:val="single" w:color="auto" w:sz="12" w:space="0"/>
              <w:tl2br w:val="nil"/>
              <w:tr2bl w:val="nil"/>
            </w:tcBorders>
            <w:vAlign w:val="center"/>
          </w:tcPr>
          <w:p>
            <w:pPr>
              <w:adjustRightInd/>
              <w:spacing w:line="240" w:lineRule="auto"/>
              <w:jc w:val="left"/>
              <w:rPr>
                <w:rFonts w:hint="eastAsia" w:ascii="宋体" w:hAnsi="宋体" w:cs="宋体"/>
                <w:bCs/>
                <w:sz w:val="18"/>
                <w:szCs w:val="18"/>
              </w:rPr>
            </w:pPr>
            <w:r>
              <w:rPr>
                <w:rFonts w:hint="eastAsia" w:ascii="宋体" w:hAnsi="宋体" w:cs="宋体"/>
                <w:bCs/>
                <w:sz w:val="18"/>
                <w:szCs w:val="18"/>
              </w:rPr>
              <w:t>室内垂直温差</w:t>
            </w:r>
          </w:p>
        </w:tc>
        <w:tc>
          <w:tcPr>
            <w:tcW w:w="6250" w:type="dxa"/>
            <w:tcBorders>
              <w:top w:val="single" w:color="auto" w:sz="12" w:space="0"/>
              <w:tl2br w:val="nil"/>
              <w:tr2bl w:val="nil"/>
            </w:tcBorders>
            <w:vAlign w:val="center"/>
          </w:tcPr>
          <w:p>
            <w:pPr>
              <w:adjustRightInd/>
              <w:spacing w:line="240" w:lineRule="auto"/>
              <w:jc w:val="left"/>
              <w:rPr>
                <w:rFonts w:hint="eastAsia" w:ascii="宋体" w:hAnsi="宋体" w:cs="宋体"/>
                <w:bCs/>
                <w:sz w:val="18"/>
                <w:szCs w:val="18"/>
              </w:rPr>
            </w:pPr>
            <w:r>
              <w:rPr>
                <w:rFonts w:hint="eastAsia" w:ascii="宋体" w:hAnsi="宋体" w:cs="宋体"/>
                <w:bCs/>
                <w:sz w:val="18"/>
                <w:szCs w:val="18"/>
              </w:rPr>
              <w:t>1.满足热舒适要求（空态/静态）：全年人体脚踝与头部高度（0.1</w:t>
            </w:r>
            <w:r>
              <w:rPr>
                <w:rFonts w:hint="eastAsia"/>
                <w:w w:val="50"/>
              </w:rPr>
              <w:t xml:space="preserve"> </w:t>
            </w:r>
            <w:r>
              <w:rPr>
                <w:rFonts w:hint="eastAsia" w:ascii="宋体" w:hAnsi="宋体" w:cs="宋体"/>
                <w:bCs/>
                <w:sz w:val="18"/>
                <w:szCs w:val="18"/>
              </w:rPr>
              <w:t>m-1.1</w:t>
            </w:r>
            <w:r>
              <w:rPr>
                <w:rFonts w:hint="eastAsia"/>
                <w:w w:val="50"/>
              </w:rPr>
              <w:t xml:space="preserve"> </w:t>
            </w:r>
            <w:r>
              <w:rPr>
                <w:rFonts w:hint="eastAsia" w:ascii="宋体" w:hAnsi="宋体" w:cs="宋体"/>
                <w:bCs/>
                <w:sz w:val="18"/>
                <w:szCs w:val="18"/>
              </w:rPr>
              <w:t>m）温差＜2</w:t>
            </w:r>
            <w:r>
              <w:rPr>
                <w:rFonts w:hint="eastAsia"/>
                <w:w w:val="50"/>
              </w:rPr>
              <w:t xml:space="preserve"> </w:t>
            </w:r>
            <w:r>
              <w:rPr>
                <w:rFonts w:hint="eastAsia" w:ascii="宋体" w:hAnsi="宋体" w:cs="宋体"/>
                <w:bCs/>
                <w:sz w:val="18"/>
                <w:szCs w:val="18"/>
              </w:rPr>
              <w:t>℃。</w:t>
            </w:r>
          </w:p>
          <w:p>
            <w:pPr>
              <w:adjustRightInd/>
              <w:spacing w:line="240" w:lineRule="auto"/>
              <w:jc w:val="left"/>
              <w:rPr>
                <w:rFonts w:hint="eastAsia" w:ascii="宋体" w:hAnsi="宋体" w:cs="宋体"/>
                <w:bCs/>
                <w:sz w:val="18"/>
                <w:szCs w:val="18"/>
              </w:rPr>
            </w:pPr>
            <w:r>
              <w:rPr>
                <w:rFonts w:hint="eastAsia" w:ascii="宋体" w:hAnsi="宋体" w:cs="宋体"/>
                <w:bCs/>
                <w:sz w:val="18"/>
                <w:szCs w:val="18"/>
              </w:rPr>
              <w:t>2.满足工艺需求时垂直温差由工艺决定。</w:t>
            </w:r>
          </w:p>
        </w:tc>
      </w:tr>
      <w:tr>
        <w:tblPrEx>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trPr>
        <w:tc>
          <w:tcPr>
            <w:tcW w:w="2812" w:type="dxa"/>
            <w:tcBorders>
              <w:tl2br w:val="nil"/>
              <w:tr2bl w:val="nil"/>
            </w:tcBorders>
            <w:vAlign w:val="center"/>
          </w:tcPr>
          <w:p>
            <w:pPr>
              <w:adjustRightInd/>
              <w:spacing w:line="240" w:lineRule="auto"/>
              <w:jc w:val="left"/>
              <w:rPr>
                <w:rFonts w:hint="eastAsia" w:ascii="宋体" w:hAnsi="宋体" w:cs="宋体"/>
                <w:sz w:val="18"/>
                <w:szCs w:val="18"/>
              </w:rPr>
            </w:pPr>
            <w:r>
              <w:rPr>
                <w:rFonts w:hint="eastAsia" w:ascii="宋体" w:hAnsi="宋体" w:cs="宋体"/>
                <w:bCs/>
                <w:sz w:val="18"/>
                <w:szCs w:val="18"/>
              </w:rPr>
              <w:t>风速</w:t>
            </w:r>
          </w:p>
        </w:tc>
        <w:tc>
          <w:tcPr>
            <w:tcW w:w="6250" w:type="dxa"/>
            <w:tcBorders>
              <w:tl2br w:val="nil"/>
              <w:tr2bl w:val="nil"/>
            </w:tcBorders>
            <w:vAlign w:val="center"/>
          </w:tcPr>
          <w:p>
            <w:pPr>
              <w:pStyle w:val="61"/>
              <w:ind w:firstLine="0" w:firstLineChars="0"/>
              <w:jc w:val="left"/>
              <w:rPr>
                <w:rFonts w:hint="eastAsia" w:ascii="宋体" w:hAnsi="宋体" w:cs="宋体"/>
                <w:sz w:val="18"/>
                <w:szCs w:val="18"/>
              </w:rPr>
            </w:pPr>
            <w:r>
              <w:rPr>
                <w:rFonts w:hint="eastAsia" w:ascii="宋体" w:hAnsi="宋体" w:cs="宋体"/>
                <w:sz w:val="18"/>
                <w:szCs w:val="18"/>
              </w:rPr>
              <w:t>空态/静态不超过0.1</w:t>
            </w:r>
            <w:r>
              <w:rPr>
                <w:rFonts w:hint="eastAsia"/>
                <w:w w:val="50"/>
              </w:rPr>
              <w:t xml:space="preserve"> </w:t>
            </w:r>
            <w:r>
              <w:rPr>
                <w:rFonts w:hint="eastAsia" w:ascii="宋体" w:hAnsi="宋体" w:cs="宋体"/>
                <w:sz w:val="18"/>
                <w:szCs w:val="18"/>
              </w:rPr>
              <w:t>m/s</w:t>
            </w:r>
          </w:p>
        </w:tc>
      </w:tr>
      <w:tr>
        <w:tblPrEx>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Ex>
        <w:trPr>
          <w:trHeight w:val="737" w:hRule="atLeast"/>
        </w:trPr>
        <w:tc>
          <w:tcPr>
            <w:tcW w:w="2812" w:type="dxa"/>
            <w:tcBorders>
              <w:tl2br w:val="nil"/>
              <w:tr2bl w:val="nil"/>
            </w:tcBorders>
            <w:vAlign w:val="center"/>
          </w:tcPr>
          <w:p>
            <w:pPr>
              <w:adjustRightInd/>
              <w:spacing w:line="240" w:lineRule="auto"/>
              <w:jc w:val="left"/>
              <w:rPr>
                <w:rFonts w:hint="eastAsia" w:ascii="宋体" w:hAnsi="宋体" w:cs="宋体"/>
                <w:bCs/>
                <w:sz w:val="18"/>
                <w:szCs w:val="18"/>
              </w:rPr>
            </w:pPr>
            <w:r>
              <w:rPr>
                <w:rFonts w:hint="eastAsia" w:ascii="宋体" w:hAnsi="宋体" w:cs="宋体"/>
                <w:bCs/>
                <w:sz w:val="18"/>
                <w:szCs w:val="18"/>
              </w:rPr>
              <w:t>夏季顶面微孔辐射板的最低温度</w:t>
            </w:r>
          </w:p>
        </w:tc>
        <w:tc>
          <w:tcPr>
            <w:tcW w:w="6250" w:type="dxa"/>
            <w:tcBorders>
              <w:tl2br w:val="nil"/>
              <w:tr2bl w:val="nil"/>
            </w:tcBorders>
            <w:vAlign w:val="center"/>
          </w:tcPr>
          <w:p>
            <w:pPr>
              <w:pStyle w:val="61"/>
              <w:ind w:firstLine="0" w:firstLineChars="0"/>
              <w:jc w:val="left"/>
              <w:rPr>
                <w:rFonts w:hint="eastAsia" w:ascii="宋体" w:hAnsi="宋体" w:cs="宋体"/>
                <w:sz w:val="18"/>
                <w:szCs w:val="18"/>
              </w:rPr>
            </w:pPr>
            <w:r>
              <w:rPr>
                <w:rFonts w:hint="eastAsia" w:ascii="宋体" w:hAnsi="宋体" w:cs="宋体"/>
                <w:sz w:val="18"/>
                <w:szCs w:val="18"/>
              </w:rPr>
              <w:t>夏季顶面微孔辐射板的最低温度不应出现在微孔辐射板表面上。</w:t>
            </w:r>
          </w:p>
          <w:p>
            <w:pPr>
              <w:pStyle w:val="61"/>
              <w:ind w:firstLine="0" w:firstLineChars="0"/>
              <w:jc w:val="left"/>
              <w:rPr>
                <w:rFonts w:hint="eastAsia" w:ascii="宋体" w:hAnsi="宋体" w:cs="宋体"/>
                <w:sz w:val="18"/>
                <w:szCs w:val="18"/>
              </w:rPr>
            </w:pPr>
            <w:r>
              <w:rPr>
                <w:rFonts w:hint="eastAsia" w:ascii="宋体" w:hAnsi="宋体" w:cs="宋体"/>
                <w:sz w:val="18"/>
                <w:szCs w:val="18"/>
              </w:rPr>
              <w:t>夏季顶面微孔辐射板下约0.1</w:t>
            </w:r>
            <w:r>
              <w:rPr>
                <w:rFonts w:hint="eastAsia"/>
                <w:w w:val="50"/>
              </w:rPr>
              <w:t xml:space="preserve"> </w:t>
            </w:r>
            <w:r>
              <w:rPr>
                <w:rFonts w:hint="eastAsia" w:ascii="宋体" w:hAnsi="宋体" w:cs="宋体"/>
                <w:sz w:val="18"/>
                <w:szCs w:val="18"/>
              </w:rPr>
              <w:t>m处温度不高于微孔板壁面的温度。</w:t>
            </w:r>
          </w:p>
        </w:tc>
      </w:tr>
      <w:tr>
        <w:tblPrEx>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Ex>
        <w:trPr>
          <w:trHeight w:val="1020" w:hRule="atLeast"/>
        </w:trPr>
        <w:tc>
          <w:tcPr>
            <w:tcW w:w="2812" w:type="dxa"/>
            <w:tcBorders>
              <w:tl2br w:val="nil"/>
              <w:tr2bl w:val="nil"/>
            </w:tcBorders>
            <w:vAlign w:val="center"/>
          </w:tcPr>
          <w:p>
            <w:pPr>
              <w:pStyle w:val="61"/>
              <w:ind w:firstLine="0" w:firstLineChars="0"/>
              <w:jc w:val="left"/>
              <w:rPr>
                <w:rFonts w:hint="eastAsia" w:ascii="宋体" w:hAnsi="宋体" w:cs="宋体"/>
                <w:sz w:val="18"/>
                <w:szCs w:val="18"/>
              </w:rPr>
            </w:pPr>
            <w:r>
              <w:rPr>
                <w:rFonts w:hint="eastAsia" w:ascii="宋体" w:hAnsi="宋体" w:cs="宋体"/>
                <w:sz w:val="18"/>
                <w:szCs w:val="18"/>
              </w:rPr>
              <w:t>顶面辐射板温度</w:t>
            </w:r>
          </w:p>
        </w:tc>
        <w:tc>
          <w:tcPr>
            <w:tcW w:w="6250" w:type="dxa"/>
            <w:tcBorders>
              <w:tl2br w:val="nil"/>
              <w:tr2bl w:val="nil"/>
            </w:tcBorders>
            <w:vAlign w:val="center"/>
          </w:tcPr>
          <w:p>
            <w:pPr>
              <w:pStyle w:val="61"/>
              <w:ind w:firstLine="0" w:firstLineChars="0"/>
              <w:jc w:val="left"/>
              <w:rPr>
                <w:rFonts w:hint="eastAsia" w:ascii="宋体" w:hAnsi="宋体" w:cs="宋体"/>
                <w:sz w:val="18"/>
                <w:szCs w:val="18"/>
              </w:rPr>
            </w:pPr>
            <w:r>
              <w:rPr>
                <w:rFonts w:hint="eastAsia" w:ascii="宋体" w:hAnsi="宋体" w:cs="宋体"/>
                <w:sz w:val="18"/>
                <w:szCs w:val="18"/>
              </w:rPr>
              <w:t>1.顶面辐射板下方约0.1m处的温度趋于稳定，测试范围可扩展到0.5</w:t>
            </w:r>
            <w:r>
              <w:rPr>
                <w:rFonts w:hint="eastAsia"/>
                <w:w w:val="50"/>
              </w:rPr>
              <w:t xml:space="preserve"> </w:t>
            </w:r>
            <w:r>
              <w:rPr>
                <w:rFonts w:hint="eastAsia" w:ascii="宋体" w:hAnsi="宋体" w:cs="宋体"/>
                <w:sz w:val="18"/>
                <w:szCs w:val="18"/>
              </w:rPr>
              <w:t>m范围内。</w:t>
            </w:r>
          </w:p>
          <w:p>
            <w:pPr>
              <w:pStyle w:val="61"/>
              <w:ind w:firstLine="0" w:firstLineChars="0"/>
              <w:jc w:val="left"/>
              <w:rPr>
                <w:rFonts w:hint="eastAsia" w:ascii="宋体" w:hAnsi="宋体" w:cs="宋体"/>
                <w:sz w:val="18"/>
                <w:szCs w:val="18"/>
              </w:rPr>
            </w:pPr>
            <w:r>
              <w:rPr>
                <w:rFonts w:hint="eastAsia" w:ascii="宋体" w:hAnsi="宋体" w:cs="宋体"/>
                <w:sz w:val="18"/>
                <w:szCs w:val="18"/>
              </w:rPr>
              <w:t>2.冬季顶面辐射板温度不宜高于60</w:t>
            </w:r>
            <w:r>
              <w:rPr>
                <w:rFonts w:hint="eastAsia"/>
                <w:w w:val="50"/>
              </w:rPr>
              <w:t xml:space="preserve"> </w:t>
            </w:r>
            <w:r>
              <w:rPr>
                <w:rFonts w:hint="eastAsia" w:ascii="宋体" w:hAnsi="宋体" w:cs="宋体"/>
                <w:sz w:val="18"/>
                <w:szCs w:val="18"/>
              </w:rPr>
              <w:t>℃，夏季辐射板温度不宜低于15</w:t>
            </w:r>
            <w:r>
              <w:rPr>
                <w:rFonts w:hint="eastAsia"/>
                <w:w w:val="50"/>
              </w:rPr>
              <w:t xml:space="preserve"> </w:t>
            </w:r>
            <w:r>
              <w:rPr>
                <w:rFonts w:hint="eastAsia" w:ascii="宋体" w:hAnsi="宋体" w:cs="宋体"/>
                <w:sz w:val="18"/>
                <w:szCs w:val="18"/>
              </w:rPr>
              <w:t>℃。</w:t>
            </w:r>
          </w:p>
        </w:tc>
      </w:tr>
      <w:tr>
        <w:tblPrEx>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Ex>
        <w:trPr>
          <w:trHeight w:val="737" w:hRule="atLeast"/>
        </w:trPr>
        <w:tc>
          <w:tcPr>
            <w:tcW w:w="2812" w:type="dxa"/>
            <w:tcBorders>
              <w:tl2br w:val="nil"/>
              <w:tr2bl w:val="nil"/>
            </w:tcBorders>
            <w:vAlign w:val="center"/>
          </w:tcPr>
          <w:p>
            <w:pPr>
              <w:adjustRightInd/>
              <w:spacing w:line="240" w:lineRule="auto"/>
              <w:jc w:val="left"/>
              <w:rPr>
                <w:rFonts w:hint="eastAsia" w:ascii="宋体" w:hAnsi="宋体" w:cs="宋体"/>
                <w:bCs/>
                <w:sz w:val="18"/>
                <w:szCs w:val="18"/>
              </w:rPr>
            </w:pPr>
            <w:r>
              <w:rPr>
                <w:rFonts w:hint="eastAsia" w:ascii="宋体" w:hAnsi="宋体" w:cs="宋体"/>
                <w:bCs/>
                <w:sz w:val="18"/>
                <w:szCs w:val="18"/>
              </w:rPr>
              <w:t>冷热负荷</w:t>
            </w:r>
          </w:p>
        </w:tc>
        <w:tc>
          <w:tcPr>
            <w:tcW w:w="6250" w:type="dxa"/>
            <w:tcBorders>
              <w:tl2br w:val="nil"/>
              <w:tr2bl w:val="nil"/>
            </w:tcBorders>
            <w:vAlign w:val="center"/>
          </w:tcPr>
          <w:p>
            <w:pPr>
              <w:pStyle w:val="61"/>
              <w:ind w:firstLine="0" w:firstLineChars="0"/>
              <w:jc w:val="left"/>
              <w:rPr>
                <w:rFonts w:hint="eastAsia" w:ascii="宋体" w:hAnsi="宋体" w:cs="宋体"/>
                <w:sz w:val="18"/>
                <w:szCs w:val="18"/>
              </w:rPr>
            </w:pPr>
            <w:r>
              <w:rPr>
                <w:rFonts w:hint="eastAsia" w:ascii="宋体" w:hAnsi="宋体" w:cs="宋体"/>
                <w:sz w:val="18"/>
                <w:szCs w:val="18"/>
              </w:rPr>
              <w:t>冷热负荷不超过中央空调（含家用）对流末端要求的供冷</w:t>
            </w:r>
            <w:r>
              <w:rPr>
                <w:rFonts w:hint="eastAsia" w:ascii="宋体" w:hAnsi="宋体" w:cs="宋体"/>
                <w:sz w:val="18"/>
                <w:szCs w:val="18"/>
                <w:lang w:eastAsia="zh-CN"/>
              </w:rPr>
              <w:t>、</w:t>
            </w:r>
            <w:r>
              <w:rPr>
                <w:rFonts w:hint="eastAsia" w:ascii="宋体" w:hAnsi="宋体" w:cs="宋体"/>
                <w:sz w:val="18"/>
                <w:szCs w:val="18"/>
                <w:lang w:val="en-US" w:eastAsia="zh-CN"/>
              </w:rPr>
              <w:t>供暖</w:t>
            </w:r>
            <w:r>
              <w:rPr>
                <w:rFonts w:hint="eastAsia" w:ascii="宋体" w:hAnsi="宋体" w:cs="宋体"/>
                <w:sz w:val="18"/>
                <w:szCs w:val="18"/>
              </w:rPr>
              <w:t>负荷的80%左右。</w:t>
            </w:r>
          </w:p>
        </w:tc>
      </w:tr>
      <w:tr>
        <w:tblPrEx>
          <w:tblBorders>
            <w:top w:val="single" w:color="000000" w:sz="12" w:space="0"/>
            <w:left w:val="single" w:color="000000" w:sz="12" w:space="0"/>
            <w:bottom w:val="single" w:color="000000" w:sz="12" w:space="0"/>
            <w:right w:val="single" w:color="000000" w:sz="12" w:space="0"/>
            <w:insideH w:val="single" w:color="auto" w:sz="2" w:space="0"/>
            <w:insideV w:val="single" w:color="auto" w:sz="2" w:space="0"/>
          </w:tblBorders>
          <w:tblLayout w:type="fixed"/>
          <w:tblCellMar>
            <w:top w:w="0" w:type="dxa"/>
            <w:left w:w="108" w:type="dxa"/>
            <w:bottom w:w="0" w:type="dxa"/>
            <w:right w:w="108" w:type="dxa"/>
          </w:tblCellMar>
        </w:tblPrEx>
        <w:trPr>
          <w:trHeight w:val="737" w:hRule="atLeast"/>
        </w:trPr>
        <w:tc>
          <w:tcPr>
            <w:tcW w:w="2812" w:type="dxa"/>
            <w:tcBorders>
              <w:tl2br w:val="nil"/>
              <w:tr2bl w:val="nil"/>
            </w:tcBorders>
            <w:vAlign w:val="center"/>
          </w:tcPr>
          <w:p>
            <w:pPr>
              <w:adjustRightInd/>
              <w:spacing w:line="240" w:lineRule="auto"/>
              <w:jc w:val="left"/>
              <w:rPr>
                <w:rFonts w:hint="eastAsia" w:ascii="宋体" w:hAnsi="宋体" w:cs="宋体"/>
                <w:bCs/>
                <w:sz w:val="18"/>
                <w:szCs w:val="18"/>
              </w:rPr>
            </w:pPr>
            <w:r>
              <w:rPr>
                <w:rFonts w:hint="eastAsia" w:ascii="宋体" w:hAnsi="宋体" w:cs="宋体"/>
                <w:bCs/>
                <w:sz w:val="18"/>
                <w:szCs w:val="18"/>
              </w:rPr>
              <w:t>末端单位面积供冷、供热量</w:t>
            </w:r>
          </w:p>
        </w:tc>
        <w:tc>
          <w:tcPr>
            <w:tcW w:w="6250" w:type="dxa"/>
            <w:tcBorders>
              <w:tl2br w:val="nil"/>
              <w:tr2bl w:val="nil"/>
            </w:tcBorders>
            <w:vAlign w:val="center"/>
          </w:tcPr>
          <w:p>
            <w:pPr>
              <w:pStyle w:val="61"/>
              <w:ind w:firstLine="0" w:firstLineChars="0"/>
              <w:jc w:val="left"/>
              <w:rPr>
                <w:rFonts w:hint="eastAsia" w:ascii="宋体" w:hAnsi="宋体" w:cs="宋体"/>
                <w:sz w:val="18"/>
                <w:szCs w:val="18"/>
              </w:rPr>
            </w:pPr>
            <w:r>
              <w:rPr>
                <w:rFonts w:hint="eastAsia" w:ascii="宋体" w:hAnsi="宋体" w:cs="宋体"/>
                <w:sz w:val="18"/>
                <w:szCs w:val="18"/>
              </w:rPr>
              <w:t>末端单位面积供冷量</w:t>
            </w:r>
            <w:r>
              <w:rPr>
                <w:rFonts w:hint="eastAsia" w:ascii="宋体" w:hAnsi="宋体" w:cs="宋体"/>
                <w:sz w:val="18"/>
                <w:szCs w:val="18"/>
                <w:lang w:eastAsia="zh-CN"/>
              </w:rPr>
              <w:t>、</w:t>
            </w:r>
            <w:r>
              <w:rPr>
                <w:rFonts w:hint="eastAsia" w:ascii="宋体" w:hAnsi="宋体" w:cs="宋体"/>
                <w:sz w:val="18"/>
                <w:szCs w:val="18"/>
                <w:lang w:val="en-US" w:eastAsia="zh-CN"/>
              </w:rPr>
              <w:t>供热量</w:t>
            </w:r>
            <w:r>
              <w:rPr>
                <w:rFonts w:hint="eastAsia" w:ascii="宋体" w:hAnsi="宋体" w:cs="宋体"/>
                <w:sz w:val="18"/>
                <w:szCs w:val="18"/>
              </w:rPr>
              <w:t>不低于40</w:t>
            </w:r>
            <w:r>
              <w:rPr>
                <w:rFonts w:hint="eastAsia"/>
                <w:w w:val="50"/>
              </w:rPr>
              <w:t xml:space="preserve"> </w:t>
            </w:r>
            <w:r>
              <w:rPr>
                <w:rFonts w:hint="eastAsia" w:ascii="宋体" w:hAnsi="宋体" w:cs="宋体"/>
                <w:sz w:val="18"/>
                <w:szCs w:val="18"/>
              </w:rPr>
              <w:t>W/m</w:t>
            </w:r>
            <w:r>
              <w:rPr>
                <w:rFonts w:hint="eastAsia" w:ascii="宋体" w:hAnsi="宋体" w:cs="宋体"/>
                <w:sz w:val="18"/>
                <w:szCs w:val="18"/>
                <w:vertAlign w:val="superscript"/>
              </w:rPr>
              <w:t>2</w:t>
            </w:r>
          </w:p>
        </w:tc>
      </w:tr>
    </w:tbl>
    <w:p>
      <w:pPr>
        <w:pStyle w:val="61"/>
        <w:spacing w:before="317" w:beforeLines="100"/>
        <w:ind w:firstLine="0" w:firstLineChars="0"/>
      </w:pPr>
      <w:r>
        <w:rPr>
          <w:rFonts w:hint="eastAsia"/>
        </w:rPr>
        <w:t>条文说明：</w:t>
      </w:r>
    </w:p>
    <w:p>
      <w:pPr>
        <w:pStyle w:val="61"/>
        <w:autoSpaceDE/>
        <w:autoSpaceDN/>
        <w:spacing w:after="158" w:afterLines="50"/>
        <w:rPr>
          <w:rFonts w:hint="eastAsia" w:ascii="宋体" w:hAnsi="宋体" w:eastAsia="宋体" w:cs="宋体"/>
          <w:lang w:eastAsia="zh-CN"/>
        </w:rPr>
      </w:pPr>
      <w:r>
        <w:rPr>
          <w:rFonts w:hint="eastAsia"/>
        </w:rPr>
        <w:t>参考SCI论文：Peng Pei,Gong Guangcai,Mei Xiong,Liu Jia,Wu Fanhao.Investigation on thermal comfort of air carrying energy radiant air-conditioning system in south-central China.</w:t>
      </w:r>
      <w:r>
        <w:rPr>
          <w:rFonts w:hint="eastAsia"/>
          <w:b/>
          <w:bCs/>
          <w:i/>
          <w:iCs/>
        </w:rPr>
        <w:t>Energy and Buildings</w:t>
      </w:r>
      <w:r>
        <w:rPr>
          <w:rFonts w:hint="eastAsia"/>
        </w:rPr>
        <w:t>.2019,182:51-60.</w:t>
      </w:r>
      <w:r>
        <w:rPr>
          <w:rFonts w:hint="eastAsia"/>
          <w:bCs/>
        </w:rPr>
        <w:t>全年人体脚踝与头部高度（0.1m-1.1m）温差＜2℃。</w:t>
      </w:r>
      <w:r>
        <w:rPr>
          <w:rFonts w:hint="eastAsia"/>
        </w:rPr>
        <w:t>参考SCI论文：Huang Yuting,Gong Guangcai,Liu Jiaqing,Wang Yuxin,Shi Xing,Qin Bin.Investigation of dynamic start-up and thermal airflow characteristics for air-carrying energy heating and cooling system: sidewall, ceiling, and composite walls.</w:t>
      </w:r>
      <w:r>
        <w:rPr>
          <w:rFonts w:hint="eastAsia"/>
          <w:b/>
          <w:bCs/>
          <w:i/>
          <w:iCs/>
        </w:rPr>
        <w:t>Building and Environment</w:t>
      </w:r>
      <w:r>
        <w:rPr>
          <w:rFonts w:hint="eastAsia"/>
        </w:rPr>
        <w:t>.2024,264:111945.夏季</w:t>
      </w:r>
      <w:r>
        <w:rPr>
          <w:rFonts w:hint="eastAsia"/>
          <w:bCs/>
        </w:rPr>
        <w:t>人体脚踝与头部高度（0.1m-1.1m）</w:t>
      </w:r>
      <w:r>
        <w:rPr>
          <w:rFonts w:hint="eastAsia"/>
        </w:rPr>
        <w:t>温差＜1</w:t>
      </w:r>
      <w:r>
        <w:rPr>
          <w:rFonts w:hint="eastAsia"/>
          <w:w w:val="50"/>
        </w:rPr>
        <w:t xml:space="preserve"> </w:t>
      </w:r>
      <w:r>
        <w:rPr>
          <w:rFonts w:hint="eastAsia"/>
        </w:rPr>
        <w:t>℃。参考SCI论文：Peng Pei,Gong Guangcai,Deng Xiaorui,Liang Chun,Li Wenqiang.Field study and numerical investigation on heating performance of air carrying energy radiant air-conditioning system in an office.</w:t>
      </w:r>
      <w:r>
        <w:rPr>
          <w:rFonts w:hint="eastAsia"/>
          <w:b/>
          <w:bCs/>
          <w:i/>
          <w:iCs/>
        </w:rPr>
        <w:t>Energy and Buildings</w:t>
      </w:r>
      <w:r>
        <w:rPr>
          <w:rFonts w:hint="eastAsia"/>
        </w:rPr>
        <w:t>.2020,209:109712.</w:t>
      </w:r>
      <w:r>
        <w:rPr>
          <w:rFonts w:hint="eastAsia"/>
          <w:bCs/>
        </w:rPr>
        <w:t>冬季人体脚踝与头部高度（0.1m-1.1m）温差＜2</w:t>
      </w:r>
      <w:r>
        <w:rPr>
          <w:rFonts w:hint="eastAsia"/>
          <w:w w:val="50"/>
        </w:rPr>
        <w:t xml:space="preserve"> </w:t>
      </w:r>
      <w:r>
        <w:rPr>
          <w:rFonts w:hint="eastAsia"/>
          <w:bCs/>
        </w:rPr>
        <w:t>℃</w:t>
      </w:r>
      <w:r>
        <w:rPr>
          <w:rFonts w:hint="eastAsia"/>
        </w:rPr>
        <w:t>。参考SCI论文：Huang Yuting,Gong Guangcai.Transient simulation and experimental analysis for the response of dual-cycle air-carrying energy radiant diffuse terminal.</w:t>
      </w:r>
      <w:r>
        <w:rPr>
          <w:rFonts w:hint="eastAsia"/>
          <w:b/>
          <w:bCs/>
          <w:i/>
          <w:iCs/>
        </w:rPr>
        <w:t>Journal of Cleaner Production</w:t>
      </w:r>
      <w:r>
        <w:rPr>
          <w:rFonts w:hint="eastAsia"/>
        </w:rPr>
        <w:t>.2024,451:142094.空气载能系统空态/静态风速不超过0.1 m/s。参考SCI论文：Liu Jia,Gong Guangcai,Liu Riming,Peng Pei.Investigation of operation performance of air carrying energy radiant air-conditioning system based on CFD and thermodynamic model.</w:t>
      </w:r>
      <w:r>
        <w:rPr>
          <w:rFonts w:hint="eastAsia"/>
          <w:b/>
          <w:bCs/>
          <w:i/>
          <w:iCs/>
        </w:rPr>
        <w:t>Building Simulation</w:t>
      </w:r>
      <w:r>
        <w:rPr>
          <w:rFonts w:hint="eastAsia"/>
        </w:rPr>
        <w:t>.2018,6(11):1229-1243.顶面辐射板下方0.12m处附近的温度趋于稳定。参考SCI论文：Gong Guangcai,Liu Jia,Mei Xiong.Investigation of heat load calculation for air carrying energy radiant air-conditioning system,</w:t>
      </w:r>
      <w:r>
        <w:rPr>
          <w:rFonts w:hint="eastAsia"/>
          <w:b/>
          <w:bCs/>
          <w:i/>
          <w:iCs/>
        </w:rPr>
        <w:t>Energy and Buildings</w:t>
      </w:r>
      <w:r>
        <w:rPr>
          <w:rFonts w:hint="eastAsia"/>
        </w:rPr>
        <w:t>,2017,138:193-205.冷热负荷在夏季不超过中央空调（含家用）对流末端要求的供冷负荷的75%，冬季制热时不超过中央空调（含家用）对流末端要求的供暖负荷的80%。参考检验报告：韶山红色旅游区空气源热泵与空气载能辐射系统项目夏季工况检测（NBEC-2018LJ-0007）、检验报告：韶山红色旅游区空气源热泵与空气载能辐射供暖系统性能检测（NBEC-2018LJ-0004）。空气载能系统末端单位面积供冷、供热量不低于40W/m</w:t>
      </w:r>
      <w:r>
        <w:rPr>
          <w:rFonts w:hint="eastAsia"/>
          <w:vertAlign w:val="superscript"/>
        </w:rPr>
        <w:t>2</w:t>
      </w:r>
      <w:r>
        <w:t>。</w:t>
      </w:r>
      <w:r>
        <w:rPr>
          <w:rFonts w:hint="eastAsia"/>
          <w:highlight w:val="none"/>
          <w:lang w:val="en-US" w:eastAsia="zh-CN"/>
        </w:rPr>
        <w:t>其中，夏季</w:t>
      </w:r>
      <w:r>
        <w:rPr>
          <w:rFonts w:hint="eastAsia"/>
          <w:highlight w:val="none"/>
        </w:rPr>
        <w:t>末端单位面积供冷量</w:t>
      </w:r>
      <w:r>
        <w:rPr>
          <w:rFonts w:hint="eastAsia"/>
          <w:highlight w:val="none"/>
          <w:lang w:val="en-US" w:eastAsia="zh-CN"/>
        </w:rPr>
        <w:t>的</w:t>
      </w:r>
      <w:r>
        <w:rPr>
          <w:rFonts w:hint="eastAsia"/>
          <w:highlight w:val="none"/>
        </w:rPr>
        <w:t>检测标准为28 ℃，相当于普通空调的26℃水准</w:t>
      </w:r>
      <w:r>
        <w:rPr>
          <w:rFonts w:hint="eastAsia"/>
          <w:highlight w:val="none"/>
          <w:lang w:eastAsia="zh-CN"/>
        </w:rPr>
        <w:t>；</w:t>
      </w:r>
      <w:r>
        <w:rPr>
          <w:rFonts w:hint="eastAsia"/>
          <w:highlight w:val="none"/>
          <w:lang w:val="en-US" w:eastAsia="zh-CN"/>
        </w:rPr>
        <w:t>冬季</w:t>
      </w:r>
      <w:r>
        <w:rPr>
          <w:rFonts w:hint="eastAsia"/>
          <w:highlight w:val="none"/>
        </w:rPr>
        <w:t>末端单位面积供热量</w:t>
      </w:r>
      <w:r>
        <w:rPr>
          <w:rFonts w:hint="eastAsia"/>
          <w:highlight w:val="none"/>
          <w:lang w:val="en-US" w:eastAsia="zh-CN"/>
        </w:rPr>
        <w:t>的</w:t>
      </w:r>
      <w:r>
        <w:rPr>
          <w:rFonts w:hint="eastAsia"/>
          <w:highlight w:val="none"/>
        </w:rPr>
        <w:t>检测标准为16℃，相当于普通空调的18℃水准</w:t>
      </w:r>
      <w:r>
        <w:rPr>
          <w:rFonts w:hint="eastAsia"/>
          <w:highlight w:val="none"/>
          <w:lang w:eastAsia="zh-CN"/>
        </w:rPr>
        <w:t>。</w:t>
      </w:r>
    </w:p>
    <w:p>
      <w:pPr>
        <w:pStyle w:val="70"/>
        <w:spacing w:before="0" w:beforeLines="0" w:after="0" w:afterLines="0"/>
        <w:rPr>
          <w:rFonts w:ascii="Times New Roman" w:eastAsia="宋体"/>
        </w:rPr>
      </w:pPr>
      <w:r>
        <w:rPr>
          <w:rFonts w:ascii="Times New Roman" w:eastAsia="宋体"/>
        </w:rPr>
        <w:t>建筑物室内空气应符合国家现行的有关室内空气质量、污染物浓度控制等卫生标准的要求。</w:t>
      </w:r>
    </w:p>
    <w:p>
      <w:pPr>
        <w:pStyle w:val="70"/>
        <w:spacing w:before="0" w:beforeLines="0" w:after="0" w:afterLines="0"/>
        <w:rPr>
          <w:rFonts w:ascii="Times New Roman" w:eastAsia="宋体"/>
        </w:rPr>
      </w:pPr>
      <w:r>
        <w:rPr>
          <w:rFonts w:ascii="Times New Roman" w:eastAsia="宋体"/>
        </w:rPr>
        <w:t>建筑物室内人员所需最小新风量，应符合以下规定：</w:t>
      </w:r>
    </w:p>
    <w:p>
      <w:pPr>
        <w:spacing w:line="240" w:lineRule="auto"/>
        <w:ind w:firstLine="420" w:firstLineChars="200"/>
        <w:rPr>
          <w:rFonts w:ascii="Times New Roman" w:hAnsi="Times New Roman"/>
        </w:rPr>
      </w:pPr>
      <w:r>
        <w:rPr>
          <w:rFonts w:hint="eastAsia" w:ascii="Times New Roman" w:hAnsi="Times New Roman"/>
        </w:rPr>
        <w:t>——</w:t>
      </w:r>
      <w:r>
        <w:rPr>
          <w:rFonts w:ascii="Times New Roman" w:hAnsi="Times New Roman"/>
          <w:b/>
          <w:bCs/>
        </w:rPr>
        <w:t>住宅类建筑</w:t>
      </w:r>
      <w:r>
        <w:rPr>
          <w:rFonts w:hint="eastAsia" w:ascii="Times New Roman" w:hAnsi="Times New Roman"/>
        </w:rPr>
        <w:t>符合</w:t>
      </w:r>
      <w:r>
        <w:rPr>
          <w:rFonts w:ascii="Times New Roman" w:hAnsi="Times New Roman"/>
        </w:rPr>
        <w:t>GB 50736、JGJ/T 440</w:t>
      </w:r>
      <w:r>
        <w:rPr>
          <w:rFonts w:hint="eastAsia" w:ascii="Times New Roman" w:hAnsi="Times New Roman"/>
        </w:rPr>
        <w:t>的规定；</w:t>
      </w:r>
    </w:p>
    <w:p>
      <w:pPr>
        <w:numPr>
          <w:ilvl w:val="255"/>
          <w:numId w:val="0"/>
        </w:numPr>
        <w:autoSpaceDE w:val="0"/>
        <w:autoSpaceDN w:val="0"/>
        <w:spacing w:line="240" w:lineRule="auto"/>
        <w:ind w:left="420"/>
        <w:rPr>
          <w:rFonts w:ascii="Times New Roman" w:hAnsi="Times New Roman"/>
        </w:rPr>
      </w:pPr>
      <w:r>
        <w:rPr>
          <w:rFonts w:hint="eastAsia" w:ascii="Times New Roman" w:hAnsi="Times New Roman"/>
          <w:b/>
          <w:bCs/>
        </w:rPr>
        <w:t>——</w:t>
      </w:r>
      <w:r>
        <w:rPr>
          <w:rFonts w:ascii="Times New Roman" w:hAnsi="Times New Roman"/>
          <w:b/>
          <w:bCs/>
        </w:rPr>
        <w:t>办公建筑</w:t>
      </w:r>
      <w:r>
        <w:rPr>
          <w:rFonts w:hint="eastAsia" w:ascii="Times New Roman" w:hAnsi="Times New Roman"/>
        </w:rPr>
        <w:t>符合</w:t>
      </w:r>
      <w:r>
        <w:rPr>
          <w:rFonts w:ascii="Times New Roman" w:hAnsi="Times New Roman"/>
        </w:rPr>
        <w:t>JGJ 67</w:t>
      </w:r>
      <w:r>
        <w:rPr>
          <w:rFonts w:hint="eastAsia" w:ascii="Times New Roman" w:hAnsi="Times New Roman"/>
        </w:rPr>
        <w:t>的规定；</w:t>
      </w:r>
    </w:p>
    <w:p>
      <w:pPr>
        <w:numPr>
          <w:ilvl w:val="255"/>
          <w:numId w:val="0"/>
        </w:numPr>
        <w:autoSpaceDE w:val="0"/>
        <w:autoSpaceDN w:val="0"/>
        <w:spacing w:line="240" w:lineRule="auto"/>
        <w:ind w:left="420"/>
        <w:rPr>
          <w:rFonts w:ascii="Times New Roman" w:hAnsi="Times New Roman"/>
        </w:rPr>
      </w:pPr>
      <w:r>
        <w:rPr>
          <w:rFonts w:hint="eastAsia" w:ascii="Times New Roman" w:hAnsi="Times New Roman"/>
          <w:b/>
          <w:bCs/>
        </w:rPr>
        <w:t>——</w:t>
      </w:r>
      <w:r>
        <w:rPr>
          <w:rFonts w:ascii="Times New Roman" w:hAnsi="Times New Roman"/>
          <w:b/>
          <w:bCs/>
        </w:rPr>
        <w:t>教育建筑</w:t>
      </w:r>
      <w:r>
        <w:rPr>
          <w:rFonts w:hint="eastAsia" w:ascii="Times New Roman" w:hAnsi="Times New Roman"/>
        </w:rPr>
        <w:t>符合</w:t>
      </w:r>
      <w:r>
        <w:rPr>
          <w:rFonts w:ascii="Times New Roman" w:hAnsi="Times New Roman"/>
        </w:rPr>
        <w:t>GB 50099</w:t>
      </w:r>
      <w:r>
        <w:rPr>
          <w:rFonts w:hint="eastAsia" w:ascii="Times New Roman" w:hAnsi="Times New Roman"/>
        </w:rPr>
        <w:t>的规定；</w:t>
      </w:r>
    </w:p>
    <w:p>
      <w:pPr>
        <w:autoSpaceDE w:val="0"/>
        <w:autoSpaceDN w:val="0"/>
        <w:spacing w:line="240" w:lineRule="auto"/>
        <w:ind w:firstLine="420" w:firstLineChars="200"/>
        <w:rPr>
          <w:rFonts w:ascii="Times New Roman" w:hAnsi="Times New Roman"/>
        </w:rPr>
      </w:pPr>
      <w:r>
        <w:rPr>
          <w:rFonts w:hint="eastAsia" w:ascii="Times New Roman" w:hAnsi="Times New Roman"/>
        </w:rPr>
        <w:t>——</w:t>
      </w:r>
      <w:r>
        <w:rPr>
          <w:rFonts w:ascii="Times New Roman" w:hAnsi="Times New Roman"/>
          <w:b/>
          <w:bCs/>
        </w:rPr>
        <w:t>医疗建筑</w:t>
      </w:r>
      <w:r>
        <w:rPr>
          <w:rFonts w:hint="eastAsia" w:ascii="Times New Roman" w:hAnsi="Times New Roman"/>
        </w:rPr>
        <w:t>符合</w:t>
      </w:r>
      <w:r>
        <w:rPr>
          <w:rFonts w:ascii="Times New Roman" w:hAnsi="Times New Roman"/>
        </w:rPr>
        <w:t>GB 50333</w:t>
      </w:r>
      <w:r>
        <w:rPr>
          <w:rFonts w:hint="eastAsia" w:ascii="Times New Roman" w:hAnsi="Times New Roman"/>
        </w:rPr>
        <w:t>的规定；</w:t>
      </w:r>
    </w:p>
    <w:p>
      <w:pPr>
        <w:autoSpaceDE w:val="0"/>
        <w:autoSpaceDN w:val="0"/>
        <w:spacing w:line="240" w:lineRule="auto"/>
        <w:ind w:firstLine="420" w:firstLineChars="200"/>
        <w:rPr>
          <w:rFonts w:ascii="Times New Roman" w:hAnsi="Times New Roman"/>
        </w:rPr>
      </w:pPr>
      <w:r>
        <w:rPr>
          <w:rFonts w:hint="eastAsia" w:ascii="Times New Roman" w:hAnsi="Times New Roman"/>
        </w:rPr>
        <w:t>——</w:t>
      </w:r>
      <w:r>
        <w:rPr>
          <w:rFonts w:ascii="Times New Roman" w:hAnsi="Times New Roman"/>
          <w:b/>
          <w:bCs/>
        </w:rPr>
        <w:t>酒店与餐饮建筑</w:t>
      </w:r>
      <w:r>
        <w:rPr>
          <w:rFonts w:hint="eastAsia" w:ascii="Times New Roman" w:hAnsi="Times New Roman"/>
        </w:rPr>
        <w:t>符合</w:t>
      </w:r>
      <w:r>
        <w:rPr>
          <w:rFonts w:ascii="Times New Roman" w:hAnsi="Times New Roman"/>
        </w:rPr>
        <w:t>JGJ 62</w:t>
      </w:r>
      <w:r>
        <w:rPr>
          <w:rFonts w:hint="eastAsia" w:ascii="Times New Roman" w:hAnsi="Times New Roman"/>
        </w:rPr>
        <w:t>的规定；</w:t>
      </w:r>
    </w:p>
    <w:p>
      <w:pPr>
        <w:autoSpaceDE w:val="0"/>
        <w:autoSpaceDN w:val="0"/>
        <w:spacing w:line="240" w:lineRule="auto"/>
        <w:ind w:firstLine="420" w:firstLineChars="200"/>
        <w:rPr>
          <w:rFonts w:ascii="Times New Roman" w:hAnsi="Times New Roman"/>
        </w:rPr>
      </w:pPr>
      <w:r>
        <w:rPr>
          <w:rFonts w:hint="eastAsia" w:ascii="Times New Roman" w:hAnsi="Times New Roman"/>
        </w:rPr>
        <w:t>——</w:t>
      </w:r>
      <w:r>
        <w:rPr>
          <w:rFonts w:ascii="Times New Roman" w:hAnsi="Times New Roman"/>
          <w:b/>
          <w:bCs/>
        </w:rPr>
        <w:t>商业与文体建筑</w:t>
      </w:r>
      <w:r>
        <w:rPr>
          <w:rFonts w:hint="eastAsia" w:ascii="Times New Roman" w:hAnsi="Times New Roman"/>
        </w:rPr>
        <w:t>符合</w:t>
      </w:r>
      <w:r>
        <w:rPr>
          <w:rFonts w:ascii="Times New Roman" w:hAnsi="Times New Roman"/>
        </w:rPr>
        <w:t>GB 50189</w:t>
      </w:r>
      <w:r>
        <w:rPr>
          <w:rFonts w:hint="eastAsia" w:ascii="Times New Roman" w:hAnsi="Times New Roman"/>
        </w:rPr>
        <w:t>的规定；</w:t>
      </w:r>
    </w:p>
    <w:p>
      <w:pPr>
        <w:autoSpaceDE w:val="0"/>
        <w:autoSpaceDN w:val="0"/>
        <w:spacing w:line="240" w:lineRule="auto"/>
        <w:ind w:firstLine="420" w:firstLineChars="200"/>
        <w:rPr>
          <w:rFonts w:ascii="Times New Roman" w:hAnsi="Times New Roman"/>
        </w:rPr>
      </w:pPr>
      <w:r>
        <w:rPr>
          <w:rFonts w:hint="eastAsia" w:ascii="Times New Roman" w:hAnsi="Times New Roman"/>
        </w:rPr>
        <w:t>——</w:t>
      </w:r>
      <w:r>
        <w:rPr>
          <w:rFonts w:ascii="Times New Roman" w:hAnsi="Times New Roman"/>
          <w:b/>
          <w:bCs/>
        </w:rPr>
        <w:t>工业建筑</w:t>
      </w:r>
      <w:r>
        <w:rPr>
          <w:rFonts w:hint="eastAsia" w:ascii="Times New Roman" w:hAnsi="Times New Roman"/>
        </w:rPr>
        <w:t>符合</w:t>
      </w:r>
      <w:r>
        <w:rPr>
          <w:rFonts w:ascii="Times New Roman" w:hAnsi="Times New Roman"/>
        </w:rPr>
        <w:t>JGJ 19</w:t>
      </w:r>
      <w:r>
        <w:rPr>
          <w:rFonts w:hint="eastAsia" w:ascii="Times New Roman" w:hAnsi="Times New Roman"/>
        </w:rPr>
        <w:t>的规定</w:t>
      </w:r>
      <w:r>
        <w:rPr>
          <w:rFonts w:ascii="Times New Roman" w:hAnsi="Times New Roman"/>
        </w:rPr>
        <w:t>：</w:t>
      </w:r>
    </w:p>
    <w:p>
      <w:pPr>
        <w:pStyle w:val="61"/>
        <w:autoSpaceDE/>
        <w:autoSpaceDN/>
        <w:ind w:left="1260" w:leftChars="400" w:hanging="420" w:hangingChars="200"/>
      </w:pPr>
      <w:r>
        <w:rPr>
          <w:rFonts w:hint="eastAsia"/>
        </w:rPr>
        <w:t>·　</w:t>
      </w:r>
      <w:r>
        <w:t>‌封闭式车间‌：采用空气调节的车间应保证每人每小时不少于30立方米的新鲜空气量，而封闭式车间的人均新风量宜设计为30至50立方米每小时</w:t>
      </w:r>
      <w:r>
        <w:rPr>
          <w:rFonts w:hint="eastAsia"/>
          <w:lang w:eastAsia="zh-CN"/>
        </w:rPr>
        <w:t>；</w:t>
      </w:r>
      <w:r>
        <w:t>‌</w:t>
      </w:r>
    </w:p>
    <w:p>
      <w:pPr>
        <w:pStyle w:val="61"/>
        <w:autoSpaceDE/>
        <w:autoSpaceDN/>
        <w:ind w:left="1260" w:leftChars="400" w:hanging="420" w:hangingChars="200"/>
      </w:pPr>
      <w:r>
        <w:rPr>
          <w:rFonts w:hint="eastAsia"/>
        </w:rPr>
        <w:t>·　</w:t>
      </w:r>
      <w:r>
        <w:t>‌事故通风‌：事故通风的换气次数不应小于12次每小时，以确保在发生事故时能提供足够的通风量。‌</w:t>
      </w:r>
    </w:p>
    <w:p>
      <w:pPr>
        <w:pStyle w:val="110"/>
        <w:spacing w:before="158" w:after="158"/>
        <w:ind w:left="0"/>
        <w:rPr>
          <w:rFonts w:ascii="Times New Roman"/>
        </w:rPr>
      </w:pPr>
      <w:bookmarkStart w:id="123" w:name="_Toc22046"/>
      <w:bookmarkStart w:id="124" w:name="_Toc14682"/>
      <w:r>
        <w:rPr>
          <w:rFonts w:ascii="Times New Roman"/>
        </w:rPr>
        <w:t>室外计算参数</w:t>
      </w:r>
      <w:bookmarkEnd w:id="123"/>
      <w:bookmarkEnd w:id="124"/>
    </w:p>
    <w:p>
      <w:pPr>
        <w:pStyle w:val="61"/>
      </w:pPr>
      <w:r>
        <w:t>室外计算参数</w:t>
      </w:r>
      <w:r>
        <w:rPr>
          <w:rFonts w:hint="eastAsia"/>
        </w:rPr>
        <w:t>应按</w:t>
      </w:r>
      <w:r>
        <w:t>GB</w:t>
      </w:r>
      <w:r>
        <w:rPr>
          <w:rFonts w:hint="eastAsia"/>
        </w:rPr>
        <w:t xml:space="preserve"> </w:t>
      </w:r>
      <w:r>
        <w:t>50019</w:t>
      </w:r>
      <w:r>
        <w:rPr>
          <w:rFonts w:hint="eastAsia"/>
        </w:rPr>
        <w:t>、</w:t>
      </w:r>
      <w:r>
        <w:t>GB 50736</w:t>
      </w:r>
      <w:r>
        <w:rPr>
          <w:rFonts w:hint="eastAsia"/>
        </w:rPr>
        <w:t>要求确定</w:t>
      </w:r>
      <w:r>
        <w:t>。</w:t>
      </w:r>
      <w:r>
        <w:rPr>
          <w:shd w:val="clear" w:color="auto" w:fill="FFFFFF"/>
        </w:rPr>
        <w:t>‌</w:t>
      </w:r>
    </w:p>
    <w:p>
      <w:pPr>
        <w:pStyle w:val="110"/>
        <w:spacing w:before="158" w:after="158"/>
        <w:ind w:left="0"/>
        <w:rPr>
          <w:rFonts w:ascii="Times New Roman"/>
        </w:rPr>
      </w:pPr>
      <w:bookmarkStart w:id="125" w:name="_Toc23421"/>
      <w:bookmarkStart w:id="126" w:name="_Toc8472"/>
      <w:r>
        <w:rPr>
          <w:rFonts w:ascii="Times New Roman"/>
        </w:rPr>
        <w:t>负荷计算</w:t>
      </w:r>
      <w:bookmarkEnd w:id="125"/>
      <w:bookmarkEnd w:id="126"/>
    </w:p>
    <w:p>
      <w:pPr>
        <w:pStyle w:val="70"/>
        <w:spacing w:before="0" w:beforeLines="0" w:after="0" w:afterLines="0"/>
        <w:rPr>
          <w:rFonts w:ascii="Times New Roman" w:eastAsia="宋体"/>
        </w:rPr>
      </w:pPr>
      <w:bookmarkStart w:id="127" w:name="_Toc5652"/>
      <w:r>
        <w:rPr>
          <w:rFonts w:ascii="Times New Roman" w:eastAsia="宋体"/>
        </w:rPr>
        <w:t>空调区的夏、冬季负荷计算应按GB</w:t>
      </w:r>
      <w:r>
        <w:rPr>
          <w:rFonts w:ascii="Times New Roman"/>
        </w:rPr>
        <w:t xml:space="preserve"> </w:t>
      </w:r>
      <w:r>
        <w:rPr>
          <w:rFonts w:ascii="Times New Roman" w:eastAsia="宋体"/>
        </w:rPr>
        <w:t>50736的要求计算。</w:t>
      </w:r>
    </w:p>
    <w:p>
      <w:pPr>
        <w:pStyle w:val="70"/>
        <w:spacing w:before="0" w:beforeLines="0" w:after="0" w:afterLines="0"/>
        <w:rPr>
          <w:rFonts w:ascii="Times New Roman" w:eastAsia="宋体"/>
        </w:rPr>
      </w:pPr>
      <w:r>
        <w:rPr>
          <w:rFonts w:ascii="Times New Roman" w:eastAsia="宋体"/>
        </w:rPr>
        <w:t>空气载能辐射空调系统的负荷计算应采用Fluent模拟和传统计算方法。</w:t>
      </w:r>
      <w:bookmarkEnd w:id="127"/>
    </w:p>
    <w:p>
      <w:pPr>
        <w:pStyle w:val="70"/>
        <w:spacing w:before="0" w:beforeLines="0" w:after="0" w:afterLines="0"/>
        <w:rPr>
          <w:rFonts w:ascii="Times New Roman" w:eastAsia="宋体"/>
        </w:rPr>
      </w:pPr>
      <w:bookmarkStart w:id="128" w:name="_Toc8736"/>
      <w:r>
        <w:rPr>
          <w:rFonts w:ascii="Times New Roman" w:eastAsia="宋体"/>
        </w:rPr>
        <w:t>计算冷热负荷应对间接运行和户间换热等因素采用修正系数法进行计算。</w:t>
      </w:r>
      <w:bookmarkEnd w:id="128"/>
    </w:p>
    <w:p>
      <w:pPr>
        <w:pStyle w:val="70"/>
        <w:spacing w:before="0" w:beforeLines="0" w:after="0" w:afterLines="0"/>
        <w:rPr>
          <w:rFonts w:ascii="Times New Roman" w:eastAsia="宋体"/>
        </w:rPr>
      </w:pPr>
      <w:bookmarkStart w:id="129" w:name="_Toc18151"/>
      <w:r>
        <w:rPr>
          <w:rFonts w:ascii="Times New Roman" w:eastAsia="宋体"/>
        </w:rPr>
        <w:t>采用空气载能辐射空调系统的房间室内设计温度应在常规空调系统室内设计温度值上提高1</w:t>
      </w:r>
      <w:r>
        <w:rPr>
          <w:rFonts w:hint="eastAsia" w:ascii="Times New Roman" w:eastAsia="宋体"/>
        </w:rPr>
        <w:t>.5</w:t>
      </w:r>
      <w:r>
        <w:rPr>
          <w:rFonts w:hint="eastAsia"/>
          <w:w w:val="50"/>
        </w:rPr>
        <w:t xml:space="preserve"> </w:t>
      </w:r>
      <w:r>
        <w:rPr>
          <w:rFonts w:ascii="Times New Roman" w:eastAsia="宋体"/>
        </w:rPr>
        <w:t>℃~2</w:t>
      </w:r>
      <w:r>
        <w:rPr>
          <w:rFonts w:hint="eastAsia"/>
          <w:w w:val="50"/>
        </w:rPr>
        <w:t xml:space="preserve"> </w:t>
      </w:r>
      <w:r>
        <w:rPr>
          <w:rFonts w:ascii="Times New Roman" w:eastAsia="宋体"/>
        </w:rPr>
        <w:t>℃。</w:t>
      </w:r>
      <w:bookmarkEnd w:id="129"/>
      <w:r>
        <w:rPr>
          <w:rFonts w:ascii="Times New Roman" w:eastAsia="宋体"/>
        </w:rPr>
        <w:t>可按冷热负荷在夏季</w:t>
      </w:r>
      <w:r>
        <w:rPr>
          <w:rFonts w:hint="eastAsia" w:ascii="Times New Roman" w:eastAsia="宋体"/>
        </w:rPr>
        <w:t>、冬季</w:t>
      </w:r>
      <w:r>
        <w:rPr>
          <w:rFonts w:ascii="Times New Roman" w:eastAsia="宋体"/>
        </w:rPr>
        <w:t>不超过中央空调（含家用）对流末端要求的供冷</w:t>
      </w:r>
      <w:r>
        <w:rPr>
          <w:rFonts w:hint="eastAsia" w:ascii="Times New Roman" w:eastAsia="宋体"/>
        </w:rPr>
        <w:t>、供热</w:t>
      </w:r>
      <w:r>
        <w:rPr>
          <w:rFonts w:ascii="Times New Roman" w:eastAsia="宋体"/>
        </w:rPr>
        <w:t>负荷的</w:t>
      </w:r>
      <w:r>
        <w:rPr>
          <w:rFonts w:hint="eastAsia" w:ascii="Times New Roman" w:eastAsia="宋体"/>
        </w:rPr>
        <w:t>80</w:t>
      </w:r>
      <w:r>
        <w:rPr>
          <w:rFonts w:ascii="Times New Roman" w:eastAsia="宋体"/>
        </w:rPr>
        <w:t>%</w:t>
      </w:r>
      <w:r>
        <w:rPr>
          <w:rFonts w:hint="eastAsia" w:ascii="Times New Roman" w:eastAsia="宋体"/>
        </w:rPr>
        <w:t>左右</w:t>
      </w:r>
      <w:r>
        <w:rPr>
          <w:rFonts w:ascii="Times New Roman" w:eastAsia="宋体"/>
        </w:rPr>
        <w:t>确定。末端单位面积供冷、供热量不低于40W/m</w:t>
      </w:r>
      <w:r>
        <w:rPr>
          <w:rFonts w:ascii="Times New Roman" w:eastAsia="宋体"/>
          <w:vertAlign w:val="superscript"/>
        </w:rPr>
        <w:t>2</w:t>
      </w:r>
      <w:r>
        <w:rPr>
          <w:rFonts w:ascii="Times New Roman" w:eastAsia="宋体"/>
        </w:rPr>
        <w:t>。</w:t>
      </w:r>
    </w:p>
    <w:p>
      <w:pPr>
        <w:pStyle w:val="61"/>
        <w:autoSpaceDE/>
        <w:autoSpaceDN/>
        <w:spacing w:before="158" w:beforeLines="50"/>
        <w:ind w:firstLine="0" w:firstLineChars="0"/>
      </w:pPr>
      <w:r>
        <w:t>条文说明：</w:t>
      </w:r>
    </w:p>
    <w:p>
      <w:pPr>
        <w:pStyle w:val="61"/>
      </w:pPr>
      <w:r>
        <w:t>参考SCI论文：Peng Pei,Gong Guangcai,Mei Xiong,Liu Jia,Wu Fanhao.Investigation on thermal comfort of air carrying energy radiant air-conditioning system in south-central China.</w:t>
      </w:r>
      <w:r>
        <w:rPr>
          <w:b/>
          <w:bCs/>
          <w:i/>
          <w:iCs/>
        </w:rPr>
        <w:t>Energy and Buildings</w:t>
      </w:r>
      <w:r>
        <w:t>.2019,182:51-60.采用空气载能辐射空调系统的房间室内设计温度应在常规空调系统室内设计温度值上提高</w:t>
      </w:r>
      <w:r>
        <w:rPr>
          <w:rFonts w:hint="eastAsia"/>
          <w:lang w:val="en-US" w:eastAsia="zh-CN"/>
        </w:rPr>
        <w:t>1.5</w:t>
      </w:r>
      <w:r>
        <w:rPr>
          <w:rFonts w:hint="eastAsia"/>
          <w:w w:val="50"/>
        </w:rPr>
        <w:t xml:space="preserve"> </w:t>
      </w:r>
      <w:r>
        <w:t>℃~2</w:t>
      </w:r>
      <w:r>
        <w:rPr>
          <w:rFonts w:hint="eastAsia"/>
          <w:w w:val="50"/>
        </w:rPr>
        <w:t xml:space="preserve"> </w:t>
      </w:r>
      <w:r>
        <w:t>℃。辐射系统通过提升平均辐射温度，允许空气温度设定值提高1</w:t>
      </w:r>
      <w:r>
        <w:rPr>
          <w:rFonts w:hint="eastAsia"/>
        </w:rPr>
        <w:t>.5</w:t>
      </w:r>
      <w:r>
        <w:t>~2</w:t>
      </w:r>
      <w:r>
        <w:rPr>
          <w:rFonts w:hint="eastAsia"/>
          <w:w w:val="50"/>
        </w:rPr>
        <w:t xml:space="preserve"> </w:t>
      </w:r>
      <w:r>
        <w:t>℃而不降低舒适性。因此，顶板辐射供冷系统推荐设计温度为26~28</w:t>
      </w:r>
      <w:r>
        <w:rPr>
          <w:rFonts w:hint="eastAsia"/>
          <w:w w:val="50"/>
        </w:rPr>
        <w:t xml:space="preserve"> </w:t>
      </w:r>
      <w:r>
        <w:t>℃，较常规空调提高1</w:t>
      </w:r>
      <w:r>
        <w:rPr>
          <w:rFonts w:hint="eastAsia"/>
        </w:rPr>
        <w:t>.5</w:t>
      </w:r>
      <w:r>
        <w:t>~2</w:t>
      </w:r>
      <w:r>
        <w:rPr>
          <w:rFonts w:hint="eastAsia"/>
          <w:w w:val="50"/>
        </w:rPr>
        <w:t xml:space="preserve"> </w:t>
      </w:r>
      <w:r>
        <w:t>℃。</w:t>
      </w:r>
    </w:p>
    <w:p>
      <w:pPr>
        <w:pStyle w:val="61"/>
      </w:pPr>
      <w:r>
        <w:t>参考SCI论文：Gong Guangcai,Liu Jia,Mei Xiong.Investigation of heat load calculation for air carrying energy radiant air-conditioning system,</w:t>
      </w:r>
      <w:r>
        <w:rPr>
          <w:b/>
          <w:bCs/>
          <w:i/>
          <w:iCs/>
        </w:rPr>
        <w:t>Energy and Buildings</w:t>
      </w:r>
      <w:r>
        <w:t>,2017,138:193-205.冷热负荷在夏季不超过中央空调（含家用）对流末端要求的供冷负荷的75%，冬季制热时不超过中央空调（含家用）对流末端要求的供暖负荷的80%确定。</w:t>
      </w:r>
      <w:r>
        <w:rPr>
          <w:rFonts w:ascii="Times New Roman" w:eastAsia="宋体"/>
          <w:highlight w:val="none"/>
        </w:rPr>
        <w:t>末端单位面积供冷、供热量不低于40W/m</w:t>
      </w:r>
      <w:r>
        <w:rPr>
          <w:rFonts w:ascii="Times New Roman" w:eastAsia="宋体"/>
          <w:highlight w:val="none"/>
          <w:vertAlign w:val="superscript"/>
        </w:rPr>
        <w:t>2</w:t>
      </w:r>
      <w:r>
        <w:rPr>
          <w:rFonts w:hint="eastAsia" w:ascii="Times New Roman" w:eastAsia="宋体"/>
          <w:highlight w:val="none"/>
          <w:lang w:val="en-US" w:eastAsia="zh-CN"/>
        </w:rPr>
        <w:t>，夏季</w:t>
      </w:r>
      <w:r>
        <w:rPr>
          <w:rFonts w:hint="eastAsia"/>
          <w:highlight w:val="none"/>
        </w:rPr>
        <w:t>末端单位面积供冷量</w:t>
      </w:r>
      <w:r>
        <w:rPr>
          <w:rFonts w:hint="eastAsia" w:ascii="Times New Roman" w:eastAsia="宋体"/>
          <w:highlight w:val="none"/>
          <w:lang w:val="en-US" w:eastAsia="zh-CN"/>
        </w:rPr>
        <w:t>的</w:t>
      </w:r>
      <w:r>
        <w:rPr>
          <w:rFonts w:hint="eastAsia"/>
          <w:highlight w:val="none"/>
        </w:rPr>
        <w:t>检测标准为28 ℃，相当于普通空调的26℃水准</w:t>
      </w:r>
      <w:r>
        <w:rPr>
          <w:rFonts w:hint="eastAsia" w:eastAsia="宋体"/>
          <w:highlight w:val="none"/>
          <w:lang w:eastAsia="zh-CN"/>
        </w:rPr>
        <w:t>；</w:t>
      </w:r>
      <w:r>
        <w:rPr>
          <w:rFonts w:hint="eastAsia" w:ascii="Times New Roman" w:eastAsia="宋体"/>
          <w:highlight w:val="none"/>
          <w:lang w:val="en-US" w:eastAsia="zh-CN"/>
        </w:rPr>
        <w:t>冬季</w:t>
      </w:r>
      <w:r>
        <w:rPr>
          <w:rFonts w:hint="eastAsia"/>
          <w:highlight w:val="none"/>
        </w:rPr>
        <w:t>末端单位面积供热量</w:t>
      </w:r>
      <w:r>
        <w:rPr>
          <w:rFonts w:hint="eastAsia" w:ascii="Times New Roman" w:eastAsia="宋体"/>
          <w:highlight w:val="none"/>
          <w:lang w:val="en-US" w:eastAsia="zh-CN"/>
        </w:rPr>
        <w:t>的</w:t>
      </w:r>
      <w:r>
        <w:rPr>
          <w:rFonts w:hint="eastAsia"/>
          <w:highlight w:val="none"/>
        </w:rPr>
        <w:t>检测标准为16℃，相当于普通空调的18℃水准</w:t>
      </w:r>
      <w:r>
        <w:rPr>
          <w:rFonts w:hint="eastAsia" w:eastAsia="宋体"/>
          <w:highlight w:val="none"/>
          <w:lang w:eastAsia="zh-CN"/>
        </w:rPr>
        <w:t>。</w:t>
      </w:r>
    </w:p>
    <w:p>
      <w:pPr>
        <w:pStyle w:val="109"/>
        <w:spacing w:before="317" w:after="317"/>
        <w:ind w:left="0"/>
        <w:rPr>
          <w:rFonts w:ascii="Times New Roman"/>
        </w:rPr>
      </w:pPr>
      <w:bookmarkStart w:id="130" w:name="_Toc30289"/>
      <w:bookmarkStart w:id="131" w:name="_Toc11523"/>
      <w:bookmarkStart w:id="132" w:name="_Toc19789"/>
      <w:r>
        <w:rPr>
          <w:rFonts w:ascii="Times New Roman"/>
        </w:rPr>
        <w:t>空气载能输配系统</w:t>
      </w:r>
      <w:bookmarkEnd w:id="130"/>
      <w:bookmarkEnd w:id="131"/>
      <w:bookmarkEnd w:id="132"/>
    </w:p>
    <w:p>
      <w:pPr>
        <w:pStyle w:val="110"/>
        <w:numPr>
          <w:ilvl w:val="2"/>
          <w:numId w:val="0"/>
        </w:numPr>
        <w:spacing w:before="158" w:after="158"/>
        <w:ind w:firstLine="420" w:firstLineChars="200"/>
        <w:rPr>
          <w:rFonts w:hint="eastAsia" w:ascii="宋体" w:hAnsi="宋体" w:eastAsia="宋体" w:cs="宋体"/>
        </w:rPr>
      </w:pPr>
      <w:r>
        <w:rPr>
          <w:rFonts w:hint="eastAsia" w:ascii="宋体" w:hAnsi="宋体" w:eastAsia="宋体" w:cs="宋体"/>
        </w:rPr>
        <w:t>冷热源系统的循环水泵选型需严格遵循水力计算结果，应按GB 50736、GB 50189的要求优化设计。</w:t>
      </w:r>
    </w:p>
    <w:bookmarkEnd w:id="91"/>
    <w:bookmarkEnd w:id="92"/>
    <w:bookmarkEnd w:id="93"/>
    <w:p>
      <w:pPr>
        <w:pStyle w:val="109"/>
        <w:spacing w:before="317" w:after="317"/>
        <w:ind w:left="0"/>
        <w:rPr>
          <w:rFonts w:ascii="Times New Roman"/>
        </w:rPr>
      </w:pPr>
      <w:bookmarkStart w:id="133" w:name="_Toc11102"/>
      <w:bookmarkStart w:id="134" w:name="_Toc24287"/>
      <w:bookmarkStart w:id="135" w:name="_Toc19364"/>
      <w:r>
        <w:rPr>
          <w:rFonts w:ascii="Times New Roman"/>
        </w:rPr>
        <w:t>工作原理及系统组成</w:t>
      </w:r>
      <w:bookmarkEnd w:id="133"/>
      <w:bookmarkEnd w:id="134"/>
      <w:bookmarkEnd w:id="135"/>
    </w:p>
    <w:p>
      <w:pPr>
        <w:pStyle w:val="110"/>
        <w:spacing w:before="0" w:beforeLines="0" w:after="160" w:afterLines="50"/>
        <w:ind w:left="0"/>
        <w:rPr>
          <w:rFonts w:hint="eastAsia" w:ascii="黑体" w:hAnsi="黑体" w:eastAsia="黑体" w:cs="黑体"/>
        </w:rPr>
      </w:pPr>
      <w:bookmarkStart w:id="136" w:name="_Toc10161"/>
      <w:bookmarkStart w:id="137" w:name="_Toc28264"/>
      <w:r>
        <w:rPr>
          <w:rFonts w:hint="eastAsia" w:ascii="黑体" w:hAnsi="黑体" w:eastAsia="黑体" w:cs="黑体"/>
        </w:rPr>
        <w:t>载能腔系统组成</w:t>
      </w:r>
    </w:p>
    <w:p>
      <w:pPr>
        <w:pStyle w:val="110"/>
        <w:numPr>
          <w:ilvl w:val="-1"/>
          <w:numId w:val="0"/>
        </w:numPr>
        <w:spacing w:before="0" w:beforeLines="0" w:after="0" w:afterLines="0"/>
        <w:ind w:left="0" w:firstLine="420" w:firstLineChars="200"/>
        <w:rPr>
          <w:rFonts w:ascii="Times New Roman" w:eastAsia="宋体"/>
        </w:rPr>
      </w:pPr>
      <w:r>
        <w:rPr>
          <w:rFonts w:ascii="Times New Roman" w:eastAsia="宋体"/>
        </w:rPr>
        <w:t>以载能腔内循环空气作为能量载体，载能腔底部辐射孔板为辐射空调末端，孔板上部为缓冲蓄能区，孔板下部为空调区。运行原理见图1。</w:t>
      </w:r>
      <w:bookmarkEnd w:id="136"/>
    </w:p>
    <w:p>
      <w:pPr>
        <w:pStyle w:val="61"/>
        <w:ind w:firstLine="0" w:firstLineChars="0"/>
        <w:jc w:val="center"/>
      </w:pPr>
      <w:r>
        <w:drawing>
          <wp:inline distT="0" distB="0" distL="114300" distR="114300">
            <wp:extent cx="3770630" cy="4211955"/>
            <wp:effectExtent l="0" t="0" r="8890" b="9525"/>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16"/>
                    <a:srcRect/>
                    <a:stretch>
                      <a:fillRect/>
                    </a:stretch>
                  </pic:blipFill>
                  <pic:spPr>
                    <a:xfrm>
                      <a:off x="0" y="0"/>
                      <a:ext cx="3770630" cy="4211955"/>
                    </a:xfrm>
                    <a:prstGeom prst="rect">
                      <a:avLst/>
                    </a:prstGeom>
                  </pic:spPr>
                </pic:pic>
              </a:graphicData>
            </a:graphic>
          </wp:inline>
        </w:drawing>
      </w:r>
    </w:p>
    <w:p>
      <w:pPr>
        <w:pStyle w:val="61"/>
        <w:autoSpaceDE/>
        <w:autoSpaceDN/>
        <w:spacing w:before="158" w:beforeLines="50" w:after="160" w:afterLines="50"/>
        <w:ind w:firstLine="0" w:firstLineChars="0"/>
        <w:jc w:val="center"/>
      </w:pPr>
      <w:r>
        <w:rPr>
          <w:rFonts w:hint="eastAsia" w:ascii="黑体" w:hAnsi="黑体" w:eastAsia="黑体" w:cs="黑体"/>
        </w:rPr>
        <w:t>图1　空气载能辐射空调系统末端运行原理图</w:t>
      </w:r>
    </w:p>
    <w:p>
      <w:pPr>
        <w:pStyle w:val="110"/>
        <w:spacing w:before="0" w:beforeLines="0" w:after="160" w:afterLines="50"/>
        <w:ind w:left="0"/>
        <w:rPr>
          <w:rFonts w:hint="eastAsia" w:ascii="黑体" w:hAnsi="黑体" w:eastAsia="黑体" w:cs="黑体"/>
        </w:rPr>
      </w:pPr>
      <w:bookmarkStart w:id="138" w:name="_Toc20814"/>
      <w:r>
        <w:rPr>
          <w:rFonts w:hint="eastAsia" w:ascii="黑体" w:hAnsi="黑体" w:eastAsia="黑体" w:cs="黑体"/>
        </w:rPr>
        <w:t>载能腔系统保温材料要求</w:t>
      </w:r>
      <w:bookmarkEnd w:id="137"/>
      <w:bookmarkStart w:id="139" w:name="_Toc8789"/>
    </w:p>
    <w:p>
      <w:pPr>
        <w:pStyle w:val="110"/>
        <w:numPr>
          <w:ilvl w:val="-1"/>
          <w:numId w:val="0"/>
        </w:numPr>
        <w:spacing w:before="0" w:beforeLines="0" w:after="0" w:afterLines="0"/>
        <w:ind w:left="0" w:firstLine="420" w:firstLineChars="200"/>
        <w:rPr>
          <w:rFonts w:ascii="Times New Roman" w:eastAsia="宋体"/>
        </w:rPr>
      </w:pPr>
      <w:r>
        <w:rPr>
          <w:rFonts w:ascii="Times New Roman" w:eastAsia="宋体"/>
        </w:rPr>
        <w:t>楼板墙无保温构造时，要求载能腔的保温材料达到B1级</w:t>
      </w:r>
      <w:r>
        <w:rPr>
          <w:rFonts w:hint="eastAsia" w:ascii="Times New Roman" w:eastAsia="宋体"/>
        </w:rPr>
        <w:t>及</w:t>
      </w:r>
      <w:r>
        <w:rPr>
          <w:rFonts w:ascii="Times New Roman" w:eastAsia="宋体"/>
        </w:rPr>
        <w:t>以上，导热系数小于0.04</w:t>
      </w:r>
      <w:r>
        <w:rPr>
          <w:rFonts w:hint="eastAsia"/>
          <w:w w:val="50"/>
        </w:rPr>
        <w:t xml:space="preserve"> </w:t>
      </w:r>
      <w:r>
        <w:rPr>
          <w:rFonts w:ascii="Times New Roman"/>
          <w:lang w:bidi="ar"/>
        </w:rPr>
        <w:t>W/(m·K)</w:t>
      </w:r>
      <w:r>
        <w:rPr>
          <w:rFonts w:ascii="Times New Roman" w:eastAsia="宋体"/>
        </w:rPr>
        <w:t>，载能空腔净空不低于0.15</w:t>
      </w:r>
      <w:r>
        <w:rPr>
          <w:rFonts w:hint="eastAsia"/>
          <w:w w:val="50"/>
        </w:rPr>
        <w:t xml:space="preserve"> </w:t>
      </w:r>
      <w:r>
        <w:rPr>
          <w:rFonts w:ascii="Times New Roman" w:eastAsia="宋体"/>
        </w:rPr>
        <w:t>m（风盘除外），内表面空气侧需光洁、防止二次产尘。蓄能腔应视情况进行气流组织设计。</w:t>
      </w:r>
      <w:bookmarkEnd w:id="138"/>
      <w:bookmarkEnd w:id="139"/>
    </w:p>
    <w:p>
      <w:pPr>
        <w:pStyle w:val="61"/>
        <w:autoSpaceDE/>
        <w:autoSpaceDN/>
        <w:spacing w:before="158" w:beforeLines="50"/>
        <w:ind w:firstLine="0" w:firstLineChars="0"/>
        <w:jc w:val="left"/>
      </w:pPr>
      <w:r>
        <w:t>条文说明：</w:t>
      </w:r>
    </w:p>
    <w:p>
      <w:pPr>
        <w:pStyle w:val="61"/>
        <w:widowControl w:val="0"/>
      </w:pPr>
      <w:r>
        <w:t>系统以载能腔为蓄能核心，通过风机盘管处理循环空气，形成大温差辐射换热。新风与送风混合后，实现“辐射为主、对流为辅”的换热模式。载能腔净空≥0.15</w:t>
      </w:r>
      <w:r>
        <w:rPr>
          <w:rFonts w:hint="eastAsia"/>
          <w:w w:val="50"/>
        </w:rPr>
        <w:t xml:space="preserve"> </w:t>
      </w:r>
      <w:r>
        <w:t>m（风盘除外），0.15</w:t>
      </w:r>
      <w:r>
        <w:rPr>
          <w:rFonts w:hint="eastAsia"/>
          <w:w w:val="50"/>
        </w:rPr>
        <w:t xml:space="preserve"> </w:t>
      </w:r>
      <w:r>
        <w:t>m的效果更好，气流组织设计</w:t>
      </w:r>
      <w:r>
        <w:rPr>
          <w:rFonts w:hint="eastAsia"/>
        </w:rPr>
        <w:t>按照</w:t>
      </w:r>
      <w:r>
        <w:t>GB 50019中送回风优化。</w:t>
      </w:r>
    </w:p>
    <w:p>
      <w:pPr>
        <w:pStyle w:val="110"/>
        <w:spacing w:before="158" w:after="158"/>
        <w:ind w:left="0"/>
        <w:jc w:val="left"/>
        <w:rPr>
          <w:rFonts w:ascii="Times New Roman"/>
        </w:rPr>
      </w:pPr>
      <w:bookmarkStart w:id="140" w:name="_Toc23790"/>
      <w:bookmarkStart w:id="141" w:name="_Toc22896"/>
      <w:bookmarkStart w:id="142" w:name="_Toc16336"/>
      <w:r>
        <w:rPr>
          <w:rFonts w:ascii="Times New Roman"/>
        </w:rPr>
        <w:t>技术特征</w:t>
      </w:r>
      <w:bookmarkEnd w:id="140"/>
      <w:bookmarkEnd w:id="141"/>
      <w:bookmarkEnd w:id="142"/>
    </w:p>
    <w:p>
      <w:pPr>
        <w:pStyle w:val="70"/>
        <w:spacing w:before="158" w:after="158"/>
        <w:rPr>
          <w:rFonts w:ascii="Times New Roman"/>
        </w:rPr>
      </w:pPr>
      <w:r>
        <w:rPr>
          <w:rFonts w:ascii="Times New Roman"/>
        </w:rPr>
        <w:t>系统特点</w:t>
      </w:r>
    </w:p>
    <w:p>
      <w:pPr>
        <w:spacing w:line="240" w:lineRule="auto"/>
        <w:ind w:left="856" w:leftChars="200" w:hanging="436" w:hangingChars="208"/>
        <w:rPr>
          <w:rFonts w:hint="default" w:ascii="Times New Roman" w:hAnsi="Times New Roman" w:eastAsia="宋体"/>
          <w:lang w:val="en-US" w:eastAsia="zh-CN" w:bidi="ar"/>
        </w:rPr>
      </w:pPr>
      <w:r>
        <w:rPr>
          <w:rFonts w:hint="eastAsia" w:ascii="Times New Roman" w:hAnsi="Times New Roman"/>
          <w:lang w:val="en-US" w:eastAsia="zh-CN" w:bidi="ar"/>
        </w:rPr>
        <w:t>空气载能辐射空调的系统特点应满足如下要求：</w:t>
      </w:r>
    </w:p>
    <w:p>
      <w:pPr>
        <w:spacing w:line="240" w:lineRule="auto"/>
        <w:ind w:left="856" w:leftChars="200" w:hanging="436" w:hangingChars="208"/>
        <w:rPr>
          <w:rFonts w:ascii="Times New Roman" w:hAnsi="Times New Roman"/>
        </w:rPr>
      </w:pPr>
      <w:r>
        <w:rPr>
          <w:rFonts w:ascii="Times New Roman" w:hAnsi="Times New Roman"/>
          <w:lang w:bidi="ar"/>
        </w:rPr>
        <w:t>——空气载能辐射空调系统具有</w:t>
      </w:r>
      <w:r>
        <w:rPr>
          <w:rFonts w:ascii="Times New Roman" w:hAnsi="Times New Roman"/>
        </w:rPr>
        <w:t>高舒适性、高效节能性、辐射板安装维修方便、不易结露等特点；</w:t>
      </w:r>
    </w:p>
    <w:p>
      <w:pPr>
        <w:spacing w:line="240" w:lineRule="auto"/>
        <w:ind w:left="856" w:leftChars="200" w:hanging="436" w:hangingChars="208"/>
        <w:rPr>
          <w:rFonts w:ascii="Times New Roman" w:hAnsi="Times New Roman"/>
        </w:rPr>
      </w:pPr>
      <w:r>
        <w:rPr>
          <w:rFonts w:ascii="Times New Roman" w:hAnsi="Times New Roman"/>
        </w:rPr>
        <w:t>——</w:t>
      </w:r>
      <w:r>
        <w:rPr>
          <w:rFonts w:hint="eastAsia" w:ascii="Times New Roman" w:hAnsi="Times New Roman"/>
          <w:highlight w:val="none"/>
        </w:rPr>
        <w:t>蓄能腔内气流组织设计可避免辐射板气流死角，辐射面温度均衡</w:t>
      </w:r>
      <w:r>
        <w:rPr>
          <w:rFonts w:hint="eastAsia" w:ascii="Times New Roman" w:hAnsi="Times New Roman"/>
          <w:highlight w:val="none"/>
          <w:lang w:eastAsia="zh-CN"/>
        </w:rPr>
        <w:t>，</w:t>
      </w:r>
      <w:r>
        <w:rPr>
          <w:rFonts w:ascii="Times New Roman" w:hAnsi="Times New Roman"/>
        </w:rPr>
        <w:t>系统吹风感低、舒适性强</w:t>
      </w:r>
      <w:r>
        <w:rPr>
          <w:rFonts w:hint="eastAsia" w:ascii="Times New Roman" w:hAnsi="Times New Roman"/>
        </w:rPr>
        <w:t>；</w:t>
      </w:r>
    </w:p>
    <w:p>
      <w:pPr>
        <w:spacing w:line="240" w:lineRule="auto"/>
        <w:ind w:left="856" w:leftChars="200" w:hanging="436" w:hangingChars="208"/>
        <w:rPr>
          <w:rFonts w:hint="eastAsia" w:ascii="Times New Roman" w:hAnsi="Times New Roman" w:eastAsia="宋体"/>
          <w:highlight w:val="none"/>
          <w:lang w:eastAsia="zh-CN"/>
        </w:rPr>
      </w:pPr>
      <w:r>
        <w:rPr>
          <w:rFonts w:ascii="Times New Roman" w:hAnsi="Times New Roman"/>
        </w:rPr>
        <w:t>——同步</w:t>
      </w:r>
      <w:r>
        <w:rPr>
          <w:rFonts w:hint="eastAsia" w:ascii="Times New Roman" w:hAnsi="Times New Roman"/>
          <w:highlight w:val="none"/>
          <w:lang w:val="en-US" w:eastAsia="zh-CN"/>
        </w:rPr>
        <w:t>应</w:t>
      </w:r>
      <w:r>
        <w:rPr>
          <w:rFonts w:ascii="Times New Roman" w:hAnsi="Times New Roman"/>
        </w:rPr>
        <w:t>进行辐射板防静电设计</w:t>
      </w:r>
      <w:r>
        <w:rPr>
          <w:rFonts w:hint="eastAsia" w:ascii="Times New Roman" w:hAnsi="Times New Roman"/>
          <w:highlight w:val="none"/>
        </w:rPr>
        <w:t>，可有效避免辐射板表面静电吸附污渍</w:t>
      </w:r>
      <w:r>
        <w:rPr>
          <w:rFonts w:hint="eastAsia" w:ascii="Times New Roman" w:hAnsi="Times New Roman"/>
          <w:highlight w:val="none"/>
          <w:lang w:eastAsia="zh-CN"/>
        </w:rPr>
        <w:t>；</w:t>
      </w:r>
    </w:p>
    <w:p>
      <w:pPr>
        <w:spacing w:line="240" w:lineRule="auto"/>
        <w:ind w:left="856" w:leftChars="200" w:hanging="436" w:hangingChars="208"/>
        <w:rPr>
          <w:rFonts w:ascii="Times New Roman" w:hAnsi="Times New Roman"/>
        </w:rPr>
      </w:pPr>
      <w:r>
        <w:rPr>
          <w:rFonts w:ascii="Times New Roman" w:hAnsi="Times New Roman"/>
          <w:highlight w:val="none"/>
        </w:rPr>
        <w:t>——</w:t>
      </w:r>
      <w:r>
        <w:rPr>
          <w:rFonts w:hint="eastAsia" w:ascii="Times New Roman" w:hAnsi="Times New Roman"/>
          <w:highlight w:val="none"/>
        </w:rPr>
        <w:t>同步进行空气载能腔内的</w:t>
      </w:r>
      <w:r>
        <w:rPr>
          <w:rFonts w:ascii="Times New Roman" w:hAnsi="Times New Roman"/>
          <w:highlight w:val="none"/>
        </w:rPr>
        <w:t>水</w:t>
      </w:r>
      <w:r>
        <w:rPr>
          <w:rFonts w:hint="eastAsia" w:ascii="Times New Roman" w:hAnsi="Times New Roman"/>
          <w:highlight w:val="none"/>
          <w:lang w:eastAsia="zh-CN"/>
        </w:rPr>
        <w:t>、</w:t>
      </w:r>
      <w:r>
        <w:rPr>
          <w:rFonts w:ascii="Times New Roman" w:hAnsi="Times New Roman"/>
          <w:highlight w:val="none"/>
        </w:rPr>
        <w:t>电消防等管线穿越载能腔</w:t>
      </w:r>
      <w:r>
        <w:rPr>
          <w:rFonts w:hint="eastAsia" w:ascii="Times New Roman" w:hAnsi="Times New Roman"/>
          <w:highlight w:val="none"/>
          <w:lang w:val="en-US" w:eastAsia="zh-CN"/>
        </w:rPr>
        <w:t>的</w:t>
      </w:r>
      <w:r>
        <w:rPr>
          <w:rFonts w:ascii="Times New Roman" w:hAnsi="Times New Roman"/>
          <w:highlight w:val="none"/>
        </w:rPr>
        <w:t>密封性设计</w:t>
      </w:r>
      <w:r>
        <w:rPr>
          <w:rFonts w:ascii="Times New Roman" w:hAnsi="Times New Roman"/>
        </w:rPr>
        <w:t>，能有效防止、避免小型爬虫、野生动物入侵。</w:t>
      </w:r>
    </w:p>
    <w:p>
      <w:pPr>
        <w:spacing w:before="158" w:beforeLines="50" w:line="240" w:lineRule="auto"/>
        <w:rPr>
          <w:rFonts w:ascii="Times New Roman" w:hAnsi="Times New Roman"/>
        </w:rPr>
      </w:pPr>
      <w:r>
        <w:rPr>
          <w:rFonts w:ascii="Times New Roman" w:hAnsi="Times New Roman"/>
        </w:rPr>
        <w:t>条文说明：</w:t>
      </w:r>
    </w:p>
    <w:p>
      <w:pPr>
        <w:autoSpaceDE w:val="0"/>
        <w:autoSpaceDN w:val="0"/>
        <w:spacing w:line="240" w:lineRule="auto"/>
        <w:ind w:firstLine="420" w:firstLineChars="200"/>
        <w:rPr>
          <w:rFonts w:ascii="Times New Roman" w:hAnsi="Times New Roman"/>
        </w:rPr>
      </w:pPr>
      <w:r>
        <w:rPr>
          <w:rFonts w:ascii="Times New Roman" w:hAnsi="Times New Roman"/>
        </w:rPr>
        <w:t>参考SCI论文：Huang Yuting,Gong Guangcai.Transient simulation and experimental analysis for the response of dual-cycle air-carrying energy radiant diffuse terminal.</w:t>
      </w:r>
      <w:r>
        <w:rPr>
          <w:rFonts w:ascii="Times New Roman" w:hAnsi="Times New Roman"/>
          <w:b/>
          <w:bCs/>
          <w:i/>
          <w:iCs/>
        </w:rPr>
        <w:t>Journal of Cleaner Production</w:t>
      </w:r>
      <w:r>
        <w:rPr>
          <w:rFonts w:ascii="Times New Roman" w:hAnsi="Times New Roman"/>
        </w:rPr>
        <w:t>.2024,451:142094.空气载能辐射空调正常运行风速一般都设计在0.1m/s以内，微孔板营造的低速低吹风感，具有“高舒适性”。参考SCI论文：Peng Pei,Gong Guangcai,Mei Xiong,Liu Jia,Wu Fanhao.Investigation on thermal comfort of air carrying energy radiant air-conditioning system in south-central China.</w:t>
      </w:r>
      <w:r>
        <w:rPr>
          <w:rFonts w:ascii="Times New Roman" w:hAnsi="Times New Roman"/>
          <w:b/>
          <w:bCs/>
          <w:i/>
          <w:iCs/>
        </w:rPr>
        <w:t>Energy and Buildings</w:t>
      </w:r>
      <w:r>
        <w:rPr>
          <w:rFonts w:ascii="Times New Roman" w:hAnsi="Times New Roman"/>
        </w:rPr>
        <w:t>.2019,182:51-60.辐射的舒适性使人体在同等热舒适情况下耗能比对流空调小，辐射换热占比超70%，具有“高效节能性”；参考SCI论文：Liu Jia,Gong Guangcai,Liu Riming,Peng Pei.Investigation of operation performance of air carrying energy radiant air-conditioning system based on CFD and thermodynamic model.</w:t>
      </w:r>
      <w:r>
        <w:rPr>
          <w:rFonts w:ascii="Times New Roman" w:hAnsi="Times New Roman"/>
          <w:b/>
          <w:bCs/>
          <w:i/>
          <w:iCs/>
        </w:rPr>
        <w:t>Building Simulation</w:t>
      </w:r>
      <w:r>
        <w:rPr>
          <w:rFonts w:ascii="Times New Roman" w:hAnsi="Times New Roman"/>
        </w:rPr>
        <w:t>.2018,6(11):1229-1243.通过调节载能腔空气循环量控制循环风量与回风量，从而使消除余湿所需置换风量得到保证，微孔板的2</w:t>
      </w:r>
      <w:r>
        <w:rPr>
          <w:rFonts w:hint="eastAsia"/>
          <w:w w:val="50"/>
        </w:rPr>
        <w:t xml:space="preserve"> </w:t>
      </w:r>
      <w:r>
        <w:rPr>
          <w:rFonts w:ascii="Times New Roman" w:hAnsi="Times New Roman"/>
        </w:rPr>
        <w:t>m-3</w:t>
      </w:r>
      <w:r>
        <w:rPr>
          <w:rFonts w:hint="eastAsia"/>
          <w:w w:val="50"/>
        </w:rPr>
        <w:t xml:space="preserve"> </w:t>
      </w:r>
      <w:r>
        <w:rPr>
          <w:rFonts w:ascii="Times New Roman" w:hAnsi="Times New Roman"/>
        </w:rPr>
        <w:t>mm微孔使微孔口附近形成风速高速区，这样就完全保证了微孔板不结露设计实现。</w:t>
      </w:r>
    </w:p>
    <w:p>
      <w:pPr>
        <w:pStyle w:val="70"/>
        <w:spacing w:before="158" w:after="158"/>
        <w:rPr>
          <w:rFonts w:ascii="Times New Roman"/>
        </w:rPr>
      </w:pPr>
      <w:r>
        <w:rPr>
          <w:rFonts w:ascii="Times New Roman"/>
        </w:rPr>
        <w:t>金属天花板</w:t>
      </w:r>
    </w:p>
    <w:p>
      <w:pPr>
        <w:spacing w:line="240" w:lineRule="auto"/>
        <w:ind w:left="856" w:leftChars="200" w:hanging="436" w:hangingChars="208"/>
        <w:rPr>
          <w:rFonts w:hint="default" w:ascii="Times New Roman" w:hAnsi="Times New Roman" w:eastAsia="宋体"/>
          <w:lang w:val="en-US" w:eastAsia="zh-CN" w:bidi="ar"/>
        </w:rPr>
      </w:pPr>
      <w:r>
        <w:rPr>
          <w:rFonts w:hint="eastAsia" w:ascii="Times New Roman" w:hAnsi="Times New Roman"/>
          <w:lang w:val="en-US" w:eastAsia="zh-CN" w:bidi="ar"/>
        </w:rPr>
        <w:t>金属天花板应满足如下要求：</w:t>
      </w:r>
    </w:p>
    <w:p>
      <w:pPr>
        <w:spacing w:line="240" w:lineRule="auto"/>
        <w:ind w:left="840" w:leftChars="200" w:hanging="420" w:hangingChars="200"/>
        <w:rPr>
          <w:rFonts w:ascii="Times New Roman" w:hAnsi="Times New Roman"/>
        </w:rPr>
      </w:pPr>
      <w:r>
        <w:rPr>
          <w:rFonts w:ascii="Times New Roman" w:hAnsi="Times New Roman"/>
        </w:rPr>
        <w:t>——金属天花板为导热良好、具有良好装饰性的电泳或喷塑处理的铝合金板、不锈钢板或喷塑钢板；</w:t>
      </w:r>
    </w:p>
    <w:p>
      <w:pPr>
        <w:spacing w:line="240" w:lineRule="auto"/>
        <w:ind w:left="840" w:leftChars="200" w:hanging="420" w:hangingChars="200"/>
        <w:rPr>
          <w:rFonts w:ascii="Times New Roman" w:hAnsi="Times New Roman"/>
        </w:rPr>
      </w:pPr>
      <w:r>
        <w:rPr>
          <w:rFonts w:ascii="Times New Roman" w:hAnsi="Times New Roman"/>
        </w:rPr>
        <w:t>——金属天花板上开有各种造型的通风微孔，微孔可以为圆孔、方形孔、矩形孔、条缝型孔、多边形孔或曲线孔；</w:t>
      </w:r>
    </w:p>
    <w:p>
      <w:pPr>
        <w:spacing w:line="240" w:lineRule="auto"/>
        <w:ind w:left="840" w:leftChars="200" w:hanging="420" w:hangingChars="200"/>
        <w:rPr>
          <w:rFonts w:ascii="Times New Roman" w:hAnsi="Times New Roman"/>
        </w:rPr>
      </w:pPr>
      <w:r>
        <w:rPr>
          <w:rFonts w:ascii="Times New Roman" w:hAnsi="Times New Roman"/>
        </w:rPr>
        <w:t>——金属天花板在安装时预留的通风缝隙或孔，根据使用功能要求，可以嵌入或贴附安装消防、装饰、强电弱电、空调配件或其他构件。金属天花板可与其他平板构建组合形成载能腔。</w:t>
      </w:r>
    </w:p>
    <w:p>
      <w:pPr>
        <w:pStyle w:val="70"/>
        <w:spacing w:before="158" w:after="158"/>
        <w:rPr>
          <w:rFonts w:ascii="Times New Roman"/>
        </w:rPr>
      </w:pPr>
      <w:r>
        <w:rPr>
          <w:rFonts w:ascii="Times New Roman"/>
        </w:rPr>
        <w:t>缓冲蓄能区</w:t>
      </w:r>
    </w:p>
    <w:p>
      <w:pPr>
        <w:spacing w:line="240" w:lineRule="auto"/>
        <w:ind w:left="856" w:leftChars="200" w:hanging="436" w:hangingChars="208"/>
        <w:rPr>
          <w:rFonts w:hint="default" w:ascii="Times New Roman" w:hAnsi="Times New Roman" w:eastAsia="宋体"/>
          <w:lang w:val="en-US" w:eastAsia="zh-CN" w:bidi="ar"/>
        </w:rPr>
      </w:pPr>
      <w:r>
        <w:rPr>
          <w:rFonts w:hint="eastAsia" w:ascii="Times New Roman" w:hAnsi="Times New Roman"/>
          <w:lang w:val="en-US" w:eastAsia="zh-CN" w:bidi="ar"/>
        </w:rPr>
        <w:t>缓冲蓄能区应满足如下要求：</w:t>
      </w:r>
    </w:p>
    <w:p>
      <w:pPr>
        <w:spacing w:line="240" w:lineRule="auto"/>
        <w:ind w:left="840" w:leftChars="200" w:hanging="420" w:hangingChars="200"/>
        <w:rPr>
          <w:rFonts w:ascii="Times New Roman" w:hAnsi="Times New Roman"/>
        </w:rPr>
      </w:pPr>
      <w:r>
        <w:rPr>
          <w:rFonts w:ascii="Times New Roman" w:hAnsi="Times New Roman"/>
        </w:rPr>
        <w:t>——缓冲蓄能区由金属天花板、四周墙体或保温隔热墙板、楼顶板或顶部保温隔热板围合而成</w:t>
      </w:r>
      <w:r>
        <w:rPr>
          <w:rFonts w:hint="eastAsia" w:ascii="Times New Roman" w:hAnsi="Times New Roman"/>
        </w:rPr>
        <w:t>，以满足空气储能工作方式的需要</w:t>
      </w:r>
      <w:r>
        <w:rPr>
          <w:rFonts w:ascii="Times New Roman" w:hAnsi="Times New Roman"/>
        </w:rPr>
        <w:t>；</w:t>
      </w:r>
    </w:p>
    <w:p>
      <w:pPr>
        <w:spacing w:line="240" w:lineRule="auto"/>
        <w:ind w:firstLine="420" w:firstLineChars="200"/>
        <w:rPr>
          <w:rFonts w:ascii="Times New Roman" w:hAnsi="Times New Roman"/>
        </w:rPr>
      </w:pPr>
      <w:r>
        <w:rPr>
          <w:rFonts w:ascii="Times New Roman" w:hAnsi="Times New Roman"/>
        </w:rPr>
        <w:t>——缓冲蓄能区内用于气流组织的风管、风阀、支吊架等均宜采取保温隔热、外护措施。</w:t>
      </w:r>
    </w:p>
    <w:p>
      <w:pPr>
        <w:pStyle w:val="70"/>
        <w:spacing w:before="158" w:after="158"/>
        <w:rPr>
          <w:rFonts w:ascii="Times New Roman"/>
        </w:rPr>
      </w:pPr>
      <w:r>
        <w:rPr>
          <w:rFonts w:ascii="Times New Roman"/>
        </w:rPr>
        <w:t>保温隔热板</w:t>
      </w:r>
    </w:p>
    <w:p>
      <w:pPr>
        <w:spacing w:line="240" w:lineRule="auto"/>
        <w:ind w:firstLine="420" w:firstLineChars="200"/>
        <w:rPr>
          <w:rFonts w:ascii="Times New Roman" w:hAnsi="Times New Roman"/>
          <w:lang w:bidi="ar"/>
        </w:rPr>
      </w:pPr>
      <w:r>
        <w:rPr>
          <w:rFonts w:ascii="Times New Roman" w:hAnsi="Times New Roman"/>
          <w:lang w:bidi="ar"/>
        </w:rPr>
        <w:t>缓冲蓄能区内所用保温隔热板均为B1</w:t>
      </w:r>
      <w:r>
        <w:rPr>
          <w:rFonts w:hint="eastAsia" w:ascii="Times New Roman" w:hAnsi="Times New Roman"/>
          <w:lang w:bidi="ar"/>
        </w:rPr>
        <w:t>级及以上</w:t>
      </w:r>
      <w:r>
        <w:rPr>
          <w:rFonts w:ascii="Times New Roman" w:hAnsi="Times New Roman"/>
          <w:lang w:bidi="ar"/>
        </w:rPr>
        <w:t>符合消防要求的保温材料，在顶板或顶部保温隔热板表面</w:t>
      </w:r>
      <w:r>
        <w:rPr>
          <w:rFonts w:hint="eastAsia" w:ascii="Times New Roman" w:hAnsi="Times New Roman"/>
          <w:lang w:bidi="ar"/>
        </w:rPr>
        <w:t>应</w:t>
      </w:r>
      <w:r>
        <w:rPr>
          <w:rFonts w:ascii="Times New Roman" w:hAnsi="Times New Roman"/>
          <w:lang w:bidi="ar"/>
        </w:rPr>
        <w:t>贴附有铝泊反射薄膜。</w:t>
      </w:r>
    </w:p>
    <w:p>
      <w:pPr>
        <w:pStyle w:val="110"/>
        <w:spacing w:before="158" w:after="158"/>
        <w:ind w:left="0"/>
        <w:rPr>
          <w:rFonts w:ascii="Times New Roman"/>
        </w:rPr>
      </w:pPr>
      <w:bookmarkStart w:id="143" w:name="_Toc8566"/>
      <w:bookmarkStart w:id="144" w:name="_Toc21177"/>
      <w:bookmarkStart w:id="145" w:name="_Toc16016"/>
      <w:r>
        <w:rPr>
          <w:rFonts w:ascii="Times New Roman"/>
        </w:rPr>
        <w:t>实施方式</w:t>
      </w:r>
      <w:bookmarkEnd w:id="143"/>
      <w:bookmarkEnd w:id="144"/>
      <w:bookmarkEnd w:id="145"/>
    </w:p>
    <w:p>
      <w:pPr>
        <w:pStyle w:val="70"/>
        <w:spacing w:before="0" w:beforeLines="0" w:after="0" w:afterLines="0"/>
        <w:rPr>
          <w:rFonts w:ascii="Times New Roman" w:eastAsia="宋体"/>
        </w:rPr>
      </w:pPr>
      <w:r>
        <w:rPr>
          <w:rFonts w:ascii="Times New Roman" w:eastAsia="宋体"/>
        </w:rPr>
        <w:t>空调风机盘管机安装在缓冲蓄能区，该布置型式适合较低层高或吊顶空间较小的场所。</w:t>
      </w:r>
    </w:p>
    <w:p>
      <w:pPr>
        <w:pStyle w:val="70"/>
        <w:spacing w:before="0" w:beforeLines="0" w:after="0" w:afterLines="0"/>
        <w:jc w:val="left"/>
        <w:rPr>
          <w:rFonts w:ascii="Times New Roman"/>
        </w:rPr>
      </w:pPr>
      <w:r>
        <w:rPr>
          <w:rFonts w:ascii="Times New Roman" w:eastAsia="宋体"/>
        </w:rPr>
        <w:t>空调风机盘管机安装在缓冲蓄能区外部，该布置型式适合较高层高或吊顶空间较</w:t>
      </w:r>
      <w:r>
        <w:rPr>
          <w:rFonts w:hint="eastAsia" w:ascii="Times New Roman" w:eastAsia="宋体"/>
        </w:rPr>
        <w:t>大</w:t>
      </w:r>
      <w:r>
        <w:rPr>
          <w:rFonts w:ascii="Times New Roman" w:eastAsia="宋体"/>
        </w:rPr>
        <w:t>的场所。</w:t>
      </w:r>
    </w:p>
    <w:bookmarkEnd w:id="94"/>
    <w:p>
      <w:pPr>
        <w:pStyle w:val="109"/>
        <w:spacing w:before="317" w:after="317"/>
        <w:ind w:left="0"/>
        <w:rPr>
          <w:rFonts w:ascii="Times New Roman"/>
        </w:rPr>
      </w:pPr>
      <w:bookmarkStart w:id="146" w:name="_Toc14889"/>
      <w:bookmarkStart w:id="147" w:name="_Toc22198"/>
      <w:bookmarkStart w:id="148" w:name="_Toc12617"/>
      <w:r>
        <w:rPr>
          <w:rFonts w:ascii="Times New Roman"/>
        </w:rPr>
        <w:t>施工安装</w:t>
      </w:r>
      <w:bookmarkEnd w:id="146"/>
      <w:bookmarkEnd w:id="147"/>
      <w:bookmarkEnd w:id="148"/>
    </w:p>
    <w:p>
      <w:pPr>
        <w:pStyle w:val="110"/>
        <w:spacing w:before="158" w:after="158"/>
        <w:ind w:left="0"/>
        <w:rPr>
          <w:rFonts w:ascii="Times New Roman"/>
        </w:rPr>
      </w:pPr>
      <w:bookmarkStart w:id="149" w:name="_Toc6031"/>
      <w:bookmarkStart w:id="150" w:name="_Toc25278"/>
      <w:bookmarkStart w:id="151" w:name="_Toc8231"/>
      <w:r>
        <w:rPr>
          <w:rFonts w:ascii="Times New Roman"/>
        </w:rPr>
        <w:t>一般规定</w:t>
      </w:r>
      <w:bookmarkEnd w:id="149"/>
      <w:bookmarkEnd w:id="150"/>
      <w:bookmarkEnd w:id="151"/>
    </w:p>
    <w:p>
      <w:pPr>
        <w:pStyle w:val="70"/>
        <w:spacing w:before="0" w:beforeLines="0" w:after="0" w:afterLines="0"/>
        <w:rPr>
          <w:rFonts w:ascii="Times New Roman" w:eastAsia="宋体"/>
        </w:rPr>
      </w:pPr>
      <w:r>
        <w:rPr>
          <w:rFonts w:ascii="Times New Roman" w:eastAsia="宋体"/>
        </w:rPr>
        <w:t>空调系统需开孔开洞时，不得影响结构的安全性。</w:t>
      </w:r>
    </w:p>
    <w:p>
      <w:pPr>
        <w:pStyle w:val="70"/>
        <w:spacing w:before="0" w:beforeLines="0" w:after="0" w:afterLines="0"/>
        <w:rPr>
          <w:rFonts w:ascii="Times New Roman" w:eastAsia="宋体"/>
        </w:rPr>
      </w:pPr>
      <w:r>
        <w:rPr>
          <w:rFonts w:ascii="Times New Roman" w:eastAsia="宋体"/>
          <w:szCs w:val="21"/>
          <w:lang w:bidi="ar"/>
        </w:rPr>
        <w:t>空气载能辐射空调系统</w:t>
      </w:r>
      <w:r>
        <w:rPr>
          <w:rFonts w:ascii="Times New Roman" w:eastAsia="宋体"/>
        </w:rPr>
        <w:t>中主要设备的型号、规格、性能及技术参数等必须符合设计文件要求，设备外表面应无损伤、密封应良好，随机文件和配件齐全。</w:t>
      </w:r>
    </w:p>
    <w:p>
      <w:pPr>
        <w:pStyle w:val="70"/>
        <w:spacing w:before="0" w:beforeLines="0" w:after="0" w:afterLines="0"/>
        <w:rPr>
          <w:rFonts w:ascii="Times New Roman" w:eastAsia="宋体"/>
        </w:rPr>
      </w:pPr>
      <w:r>
        <w:rPr>
          <w:rFonts w:ascii="Times New Roman" w:eastAsia="宋体"/>
          <w:szCs w:val="21"/>
          <w:lang w:bidi="ar"/>
        </w:rPr>
        <w:t>空气载能</w:t>
      </w:r>
      <w:r>
        <w:rPr>
          <w:rFonts w:ascii="Times New Roman" w:eastAsia="宋体"/>
        </w:rPr>
        <w:t>辐射</w:t>
      </w:r>
      <w:r>
        <w:rPr>
          <w:rFonts w:ascii="Times New Roman" w:eastAsia="宋体"/>
          <w:szCs w:val="21"/>
          <w:lang w:bidi="ar"/>
        </w:rPr>
        <w:t>空调系统</w:t>
      </w:r>
      <w:r>
        <w:rPr>
          <w:rFonts w:ascii="Times New Roman" w:eastAsia="宋体"/>
        </w:rPr>
        <w:t>的施工安装，应满足GB 50243的相关要求。</w:t>
      </w:r>
    </w:p>
    <w:p>
      <w:pPr>
        <w:pStyle w:val="70"/>
        <w:spacing w:before="0" w:beforeLines="0" w:after="0" w:afterLines="0"/>
        <w:rPr>
          <w:rFonts w:ascii="Times New Roman" w:eastAsia="宋体"/>
        </w:rPr>
      </w:pPr>
      <w:r>
        <w:rPr>
          <w:rFonts w:ascii="Times New Roman" w:eastAsia="宋体"/>
        </w:rPr>
        <w:t>施工过程中应做好安全、环保措施，作业地点配备必要的安全防护装置和消防器材。</w:t>
      </w:r>
    </w:p>
    <w:p>
      <w:pPr>
        <w:pStyle w:val="110"/>
        <w:spacing w:before="158" w:after="158"/>
        <w:ind w:left="0"/>
        <w:rPr>
          <w:rFonts w:ascii="Times New Roman"/>
        </w:rPr>
      </w:pPr>
      <w:bookmarkStart w:id="152" w:name="_Toc9638"/>
      <w:bookmarkStart w:id="153" w:name="_Toc8627"/>
      <w:bookmarkStart w:id="154" w:name="_Toc3342"/>
      <w:bookmarkStart w:id="155" w:name="_Toc11145"/>
      <w:r>
        <w:rPr>
          <w:rFonts w:ascii="Times New Roman"/>
        </w:rPr>
        <w:t>安装形式</w:t>
      </w:r>
      <w:bookmarkEnd w:id="152"/>
      <w:bookmarkEnd w:id="153"/>
      <w:bookmarkEnd w:id="154"/>
    </w:p>
    <w:p>
      <w:pPr>
        <w:pStyle w:val="61"/>
        <w:rPr>
          <w:lang w:bidi="ar"/>
        </w:rPr>
      </w:pPr>
      <w:r>
        <w:t>空气载能辐射空调</w:t>
      </w:r>
      <w:r>
        <w:rPr>
          <w:rFonts w:hint="eastAsia"/>
          <w:highlight w:val="none"/>
        </w:rPr>
        <w:t>通常采用顶部安装，也可</w:t>
      </w:r>
      <w:r>
        <w:rPr>
          <w:highlight w:val="none"/>
        </w:rPr>
        <w:t>采用</w:t>
      </w:r>
      <w:r>
        <w:rPr>
          <w:rFonts w:hint="eastAsia"/>
          <w:highlight w:val="none"/>
        </w:rPr>
        <w:t>顶板+墙板的</w:t>
      </w:r>
      <w:r>
        <w:rPr>
          <w:highlight w:val="none"/>
          <w:lang w:bidi="ar"/>
        </w:rPr>
        <w:t>复合式辐射板末端安装，分别安装于顶板吊顶以及侧墙内嵌</w:t>
      </w:r>
      <w:r>
        <w:rPr>
          <w:lang w:bidi="ar"/>
        </w:rPr>
        <w:t>。</w:t>
      </w:r>
    </w:p>
    <w:p>
      <w:pPr>
        <w:pStyle w:val="110"/>
        <w:spacing w:before="158" w:after="158"/>
        <w:ind w:left="0"/>
        <w:rPr>
          <w:rFonts w:ascii="Times New Roman"/>
          <w:szCs w:val="21"/>
          <w:lang w:bidi="ar"/>
        </w:rPr>
      </w:pPr>
      <w:bookmarkStart w:id="156" w:name="_Toc23108"/>
      <w:bookmarkStart w:id="157" w:name="_Toc29225"/>
      <w:r>
        <w:rPr>
          <w:rFonts w:ascii="Times New Roman"/>
          <w:szCs w:val="21"/>
          <w:lang w:bidi="ar"/>
        </w:rPr>
        <w:t>空气载能输配系统安装</w:t>
      </w:r>
      <w:bookmarkEnd w:id="156"/>
      <w:bookmarkEnd w:id="157"/>
    </w:p>
    <w:p>
      <w:pPr>
        <w:pStyle w:val="61"/>
      </w:pPr>
      <w:r>
        <w:t>通风与空调工程施工质量的验收，应符合GB 50243的要求。</w:t>
      </w:r>
    </w:p>
    <w:p>
      <w:pPr>
        <w:pStyle w:val="61"/>
        <w:ind w:firstLine="420" w:firstLineChars="200"/>
        <w:rPr>
          <w:rFonts w:hint="default" w:eastAsia="宋体"/>
          <w:highlight w:val="none"/>
          <w:lang w:val="en-US" w:eastAsia="zh-CN"/>
        </w:rPr>
      </w:pPr>
      <w:r>
        <w:rPr>
          <w:rFonts w:hint="eastAsia"/>
          <w:highlight w:val="none"/>
          <w:lang w:val="en-US" w:eastAsia="zh-CN"/>
        </w:rPr>
        <w:t>空气载能</w:t>
      </w:r>
      <w:bookmarkEnd w:id="155"/>
      <w:r>
        <w:rPr>
          <w:rFonts w:hint="eastAsia"/>
          <w:highlight w:val="none"/>
        </w:rPr>
        <w:t>制冷剂系统：</w:t>
      </w:r>
      <w:r>
        <w:rPr>
          <w:rFonts w:hint="eastAsia"/>
          <w:highlight w:val="none"/>
          <w:lang w:val="en-US" w:eastAsia="zh-CN"/>
        </w:rPr>
        <w:t>应符合</w:t>
      </w:r>
      <w:r>
        <w:rPr>
          <w:rFonts w:hint="eastAsia"/>
          <w:highlight w:val="none"/>
        </w:rPr>
        <w:t>GB 50243</w:t>
      </w:r>
      <w:r>
        <w:rPr>
          <w:rFonts w:hint="eastAsia"/>
          <w:highlight w:val="none"/>
          <w:lang w:eastAsia="zh-CN"/>
        </w:rPr>
        <w:t>、</w:t>
      </w:r>
      <w:r>
        <w:rPr>
          <w:rFonts w:hint="eastAsia"/>
          <w:highlight w:val="none"/>
        </w:rPr>
        <w:t>GB 50274</w:t>
      </w:r>
      <w:r>
        <w:rPr>
          <w:rFonts w:hint="eastAsia"/>
          <w:highlight w:val="none"/>
          <w:lang w:val="en-US" w:eastAsia="zh-CN"/>
        </w:rPr>
        <w:t>相关要求。</w:t>
      </w:r>
    </w:p>
    <w:p>
      <w:pPr>
        <w:pStyle w:val="61"/>
        <w:ind w:firstLine="420" w:firstLineChars="200"/>
        <w:rPr>
          <w:rFonts w:hint="eastAsia"/>
          <w:highlight w:val="none"/>
        </w:rPr>
      </w:pPr>
      <w:r>
        <w:rPr>
          <w:rFonts w:hint="eastAsia" w:ascii="Times New Roman" w:eastAsia="宋体"/>
          <w:highlight w:val="none"/>
          <w:lang w:val="en-US" w:eastAsia="zh-CN"/>
        </w:rPr>
        <w:t>空气载能</w:t>
      </w:r>
      <w:r>
        <w:rPr>
          <w:rFonts w:hint="eastAsia"/>
          <w:highlight w:val="none"/>
        </w:rPr>
        <w:t>风系统：</w:t>
      </w:r>
      <w:r>
        <w:rPr>
          <w:rFonts w:hint="eastAsia" w:ascii="Times New Roman" w:eastAsia="宋体"/>
          <w:highlight w:val="none"/>
          <w:lang w:val="en-US" w:eastAsia="zh-CN"/>
        </w:rPr>
        <w:t>应符合</w:t>
      </w:r>
      <w:r>
        <w:rPr>
          <w:rFonts w:hint="eastAsia"/>
          <w:highlight w:val="none"/>
        </w:rPr>
        <w:t>GB 50243</w:t>
      </w:r>
      <w:r>
        <w:rPr>
          <w:rFonts w:hint="eastAsia" w:eastAsia="宋体"/>
          <w:highlight w:val="none"/>
          <w:lang w:eastAsia="zh-CN"/>
        </w:rPr>
        <w:t>、</w:t>
      </w:r>
      <w:r>
        <w:rPr>
          <w:rFonts w:hint="eastAsia"/>
          <w:highlight w:val="none"/>
        </w:rPr>
        <w:t>JGJ/T 309</w:t>
      </w:r>
      <w:r>
        <w:rPr>
          <w:rFonts w:hint="eastAsia" w:ascii="Times New Roman" w:eastAsia="宋体"/>
          <w:highlight w:val="none"/>
          <w:lang w:val="en-US" w:eastAsia="zh-CN"/>
        </w:rPr>
        <w:t>相关要求。</w:t>
      </w:r>
    </w:p>
    <w:p>
      <w:pPr>
        <w:pStyle w:val="61"/>
        <w:rPr>
          <w:highlight w:val="none"/>
        </w:rPr>
      </w:pPr>
      <w:r>
        <w:rPr>
          <w:rFonts w:hint="eastAsia" w:ascii="Times New Roman" w:eastAsia="宋体"/>
          <w:highlight w:val="none"/>
          <w:lang w:val="en-US" w:eastAsia="zh-CN"/>
        </w:rPr>
        <w:t>空气载能</w:t>
      </w:r>
      <w:r>
        <w:rPr>
          <w:rFonts w:hint="eastAsia"/>
          <w:highlight w:val="none"/>
        </w:rPr>
        <w:t>水系统管道：</w:t>
      </w:r>
      <w:r>
        <w:rPr>
          <w:rFonts w:hint="eastAsia" w:ascii="Times New Roman" w:eastAsia="宋体"/>
          <w:highlight w:val="none"/>
          <w:lang w:val="en-US" w:eastAsia="zh-CN"/>
        </w:rPr>
        <w:t>应符合</w:t>
      </w:r>
      <w:r>
        <w:rPr>
          <w:rFonts w:hint="eastAsia"/>
          <w:highlight w:val="none"/>
        </w:rPr>
        <w:t>GB 50243</w:t>
      </w:r>
      <w:r>
        <w:rPr>
          <w:rFonts w:hint="eastAsia" w:eastAsia="宋体"/>
          <w:highlight w:val="none"/>
          <w:lang w:eastAsia="zh-CN"/>
        </w:rPr>
        <w:t>、</w:t>
      </w:r>
      <w:r>
        <w:rPr>
          <w:rFonts w:hint="eastAsia"/>
          <w:highlight w:val="none"/>
        </w:rPr>
        <w:t>GB 50242</w:t>
      </w:r>
      <w:r>
        <w:rPr>
          <w:rFonts w:hint="eastAsia" w:ascii="Times New Roman" w:eastAsia="宋体"/>
          <w:highlight w:val="none"/>
          <w:lang w:val="en-US" w:eastAsia="zh-CN"/>
        </w:rPr>
        <w:t>相关要求。</w:t>
      </w:r>
    </w:p>
    <w:p>
      <w:pPr>
        <w:pStyle w:val="110"/>
        <w:spacing w:before="158" w:after="158"/>
        <w:ind w:left="0"/>
        <w:rPr>
          <w:rFonts w:ascii="Times New Roman"/>
        </w:rPr>
      </w:pPr>
      <w:bookmarkStart w:id="158" w:name="_Toc17278"/>
      <w:bookmarkStart w:id="159" w:name="_Toc16832"/>
      <w:bookmarkStart w:id="160" w:name="_Toc8246"/>
      <w:r>
        <w:rPr>
          <w:rFonts w:ascii="Times New Roman"/>
        </w:rPr>
        <w:t>辐射末端载能腔的安装</w:t>
      </w:r>
      <w:bookmarkEnd w:id="158"/>
      <w:bookmarkEnd w:id="159"/>
      <w:bookmarkEnd w:id="160"/>
    </w:p>
    <w:p>
      <w:pPr>
        <w:pStyle w:val="70"/>
        <w:spacing w:before="0" w:beforeLines="0" w:after="0" w:afterLines="0"/>
        <w:rPr>
          <w:rFonts w:ascii="Times New Roman" w:eastAsia="宋体"/>
        </w:rPr>
      </w:pPr>
      <w:r>
        <w:rPr>
          <w:rFonts w:ascii="Times New Roman" w:eastAsia="宋体"/>
        </w:rPr>
        <w:t>辐射末端安装前应检查灯位、风口、检修口、插座等需要预留的空间是否做好预留及标识；应与</w:t>
      </w:r>
      <w:r>
        <w:rPr>
          <w:rFonts w:hint="eastAsia" w:ascii="Times New Roman" w:eastAsia="宋体"/>
        </w:rPr>
        <w:t>装饰工艺</w:t>
      </w:r>
      <w:r>
        <w:rPr>
          <w:rFonts w:ascii="Times New Roman" w:eastAsia="宋体"/>
        </w:rPr>
        <w:t>及时沟通协调，避免返工。</w:t>
      </w:r>
    </w:p>
    <w:p>
      <w:pPr>
        <w:pStyle w:val="70"/>
        <w:spacing w:before="0" w:beforeLines="0" w:after="0" w:afterLines="0"/>
        <w:rPr>
          <w:rFonts w:ascii="Times New Roman" w:eastAsia="宋体"/>
        </w:rPr>
      </w:pPr>
      <w:r>
        <w:rPr>
          <w:rFonts w:ascii="Times New Roman" w:eastAsia="宋体"/>
        </w:rPr>
        <w:t>对于可以通过调整辐射末端支管避让的精装点位，避让部位的辐射末端支管应固定位置准确且支管走向平顺。</w:t>
      </w:r>
    </w:p>
    <w:p>
      <w:pPr>
        <w:pStyle w:val="70"/>
        <w:spacing w:before="0" w:beforeLines="0" w:after="0" w:afterLines="0"/>
        <w:rPr>
          <w:rFonts w:ascii="Times New Roman" w:eastAsia="宋体"/>
        </w:rPr>
      </w:pPr>
      <w:r>
        <w:rPr>
          <w:rFonts w:ascii="Times New Roman" w:eastAsia="宋体"/>
        </w:rPr>
        <w:t>辐射末端固定、安装时应避免卡条、螺钉等伤及辐射末端，螺钉应采用不锈钢制作且做防锈处理，并应保证辐射末端安装平整、规范。</w:t>
      </w:r>
    </w:p>
    <w:p>
      <w:pPr>
        <w:pStyle w:val="70"/>
        <w:spacing w:before="0" w:beforeLines="0" w:after="0" w:afterLines="0"/>
        <w:rPr>
          <w:rFonts w:ascii="Times New Roman" w:eastAsia="宋体"/>
        </w:rPr>
      </w:pPr>
      <w:r>
        <w:rPr>
          <w:rFonts w:ascii="Times New Roman" w:eastAsia="宋体"/>
        </w:rPr>
        <w:t>应采取必要保温措施，避免辐射末端主管、支管及连接处裸露于空气中。保温层需严密，保温厚度应符合设计要求。</w:t>
      </w:r>
    </w:p>
    <w:p>
      <w:pPr>
        <w:pStyle w:val="70"/>
        <w:spacing w:before="0" w:beforeLines="0" w:after="0" w:afterLines="0"/>
        <w:rPr>
          <w:rFonts w:ascii="Times New Roman" w:eastAsia="宋体"/>
        </w:rPr>
      </w:pPr>
      <w:r>
        <w:rPr>
          <w:rFonts w:ascii="Times New Roman" w:eastAsia="宋体"/>
        </w:rPr>
        <w:t>环境温度低于5</w:t>
      </w:r>
      <w:r>
        <w:rPr>
          <w:rFonts w:hint="eastAsia"/>
          <w:w w:val="50"/>
        </w:rPr>
        <w:t xml:space="preserve"> </w:t>
      </w:r>
      <w:r>
        <w:rPr>
          <w:rFonts w:ascii="Times New Roman" w:eastAsia="宋体"/>
        </w:rPr>
        <w:t>℃时，不宜进行辐射末端的施工；如需进行施工，应采取保证工程质量的有效措施。</w:t>
      </w:r>
    </w:p>
    <w:p>
      <w:pPr>
        <w:pStyle w:val="70"/>
        <w:spacing w:before="0" w:beforeLines="0" w:after="0" w:afterLines="0"/>
        <w:rPr>
          <w:rFonts w:ascii="Times New Roman" w:eastAsia="宋体"/>
        </w:rPr>
      </w:pPr>
      <w:r>
        <w:rPr>
          <w:rFonts w:ascii="Times New Roman" w:eastAsia="宋体"/>
        </w:rPr>
        <w:t>辐射末端安装完毕，隐蔽前应进行水压试验，水压试验合格后应缓慢泄压到工作压力，并保持此压力，直到施工结束。</w:t>
      </w:r>
    </w:p>
    <w:p>
      <w:pPr>
        <w:pStyle w:val="70"/>
        <w:spacing w:before="0" w:beforeLines="0" w:after="0" w:afterLines="0"/>
        <w:rPr>
          <w:rFonts w:ascii="Times New Roman" w:eastAsia="宋体"/>
        </w:rPr>
      </w:pPr>
      <w:r>
        <w:rPr>
          <w:rFonts w:ascii="Times New Roman" w:eastAsia="宋体"/>
        </w:rPr>
        <w:t>辐射末端隐蔽后应立即在安装位置做好标记，严禁在辐射末端安装位置穿凿、钻孔等。</w:t>
      </w:r>
    </w:p>
    <w:p>
      <w:pPr>
        <w:pStyle w:val="110"/>
        <w:spacing w:before="158" w:after="158"/>
        <w:ind w:left="0"/>
        <w:rPr>
          <w:rFonts w:ascii="Times New Roman"/>
        </w:rPr>
      </w:pPr>
      <w:bookmarkStart w:id="161" w:name="_Toc7423"/>
      <w:bookmarkStart w:id="162" w:name="_Toc331086242"/>
      <w:bookmarkStart w:id="163" w:name="_Toc23755"/>
      <w:r>
        <w:rPr>
          <w:rFonts w:ascii="Times New Roman"/>
        </w:rPr>
        <w:t>微孔金属天花板的安装</w:t>
      </w:r>
      <w:bookmarkEnd w:id="161"/>
      <w:bookmarkEnd w:id="162"/>
      <w:bookmarkEnd w:id="163"/>
    </w:p>
    <w:p>
      <w:pPr>
        <w:pStyle w:val="70"/>
        <w:spacing w:before="0" w:beforeLines="0" w:after="0" w:afterLines="0"/>
        <w:rPr>
          <w:rFonts w:ascii="Times New Roman" w:eastAsia="宋体"/>
        </w:rPr>
      </w:pPr>
      <w:r>
        <w:rPr>
          <w:rFonts w:ascii="Times New Roman" w:eastAsia="宋体"/>
        </w:rPr>
        <w:t>微孔金属天花板安装所用主要材料，应符合设计</w:t>
      </w:r>
      <w:r>
        <w:rPr>
          <w:rFonts w:hint="eastAsia" w:ascii="Times New Roman" w:eastAsia="宋体"/>
        </w:rPr>
        <w:t>要求</w:t>
      </w:r>
      <w:r>
        <w:rPr>
          <w:rFonts w:ascii="Times New Roman" w:eastAsia="宋体"/>
        </w:rPr>
        <w:t>及相关产品国家现行标准的规定。</w:t>
      </w:r>
    </w:p>
    <w:p>
      <w:pPr>
        <w:pStyle w:val="70"/>
        <w:spacing w:before="0" w:beforeLines="0" w:after="0" w:afterLines="0"/>
        <w:rPr>
          <w:rFonts w:ascii="Times New Roman" w:eastAsia="宋体"/>
        </w:rPr>
      </w:pPr>
      <w:r>
        <w:rPr>
          <w:rFonts w:ascii="Times New Roman" w:eastAsia="宋体"/>
        </w:rPr>
        <w:t>微孔金属天花板安装前，应进行吊顶内隐蔽工程验收，所有项目验收合格后才能进行微孔金属天花板安装施工。</w:t>
      </w:r>
    </w:p>
    <w:p>
      <w:pPr>
        <w:pStyle w:val="70"/>
        <w:spacing w:before="0" w:beforeLines="0" w:after="0" w:afterLines="0"/>
        <w:rPr>
          <w:rFonts w:ascii="Times New Roman" w:eastAsia="宋体"/>
        </w:rPr>
      </w:pPr>
      <w:r>
        <w:rPr>
          <w:rFonts w:ascii="Times New Roman" w:eastAsia="宋体"/>
        </w:rPr>
        <w:t>安装前应对其外观进行质量检查，并清除其内外表面粉尘及杂物。</w:t>
      </w:r>
    </w:p>
    <w:p>
      <w:pPr>
        <w:pStyle w:val="70"/>
        <w:spacing w:before="0" w:beforeLines="0" w:after="0" w:afterLines="0"/>
        <w:rPr>
          <w:rFonts w:ascii="Times New Roman" w:eastAsia="宋体"/>
        </w:rPr>
      </w:pPr>
      <w:r>
        <w:rPr>
          <w:rFonts w:ascii="Times New Roman" w:eastAsia="宋体"/>
        </w:rPr>
        <w:t>安装前应根据施工图纸确定好施工区域，对吊顶标高进行技术复核，且符合设计要求。</w:t>
      </w:r>
    </w:p>
    <w:p>
      <w:pPr>
        <w:pStyle w:val="70"/>
        <w:spacing w:before="0" w:beforeLines="0" w:after="0" w:afterLines="0"/>
        <w:rPr>
          <w:rFonts w:ascii="Times New Roman" w:eastAsia="宋体"/>
        </w:rPr>
      </w:pPr>
      <w:r>
        <w:rPr>
          <w:rFonts w:ascii="Times New Roman" w:eastAsia="宋体"/>
        </w:rPr>
        <w:t>安装用工机具、计量器具准备齐全，并检查使用性能完好。</w:t>
      </w:r>
    </w:p>
    <w:p>
      <w:pPr>
        <w:pStyle w:val="70"/>
        <w:spacing w:before="0" w:beforeLines="0" w:after="0" w:afterLines="0"/>
        <w:rPr>
          <w:rFonts w:ascii="Times New Roman" w:eastAsia="宋体"/>
        </w:rPr>
      </w:pPr>
      <w:r>
        <w:rPr>
          <w:rFonts w:ascii="Times New Roman" w:eastAsia="宋体"/>
        </w:rPr>
        <w:t>吊顶高度应以室内标高基准线为基准，根据要求设计，在房间四周</w:t>
      </w:r>
      <w:r>
        <w:rPr>
          <w:rFonts w:hint="eastAsia" w:ascii="Times New Roman" w:eastAsia="宋体"/>
        </w:rPr>
        <w:t>围护</w:t>
      </w:r>
      <w:r>
        <w:rPr>
          <w:rFonts w:ascii="Times New Roman" w:eastAsia="宋体"/>
        </w:rPr>
        <w:t>结构上标出吊顶高线，确定吊顶高度位置。吊顶标高线高低误差应为±2</w:t>
      </w:r>
      <w:r>
        <w:rPr>
          <w:rFonts w:hint="eastAsia"/>
          <w:w w:val="50"/>
        </w:rPr>
        <w:t xml:space="preserve"> </w:t>
      </w:r>
      <w:r>
        <w:rPr>
          <w:rFonts w:ascii="Times New Roman" w:eastAsia="宋体"/>
        </w:rPr>
        <w:t>mm。</w:t>
      </w:r>
    </w:p>
    <w:p>
      <w:pPr>
        <w:pStyle w:val="70"/>
        <w:spacing w:before="0" w:beforeLines="0" w:after="0" w:afterLines="0"/>
        <w:rPr>
          <w:rFonts w:ascii="Times New Roman" w:eastAsia="宋体"/>
        </w:rPr>
      </w:pPr>
      <w:r>
        <w:rPr>
          <w:rFonts w:ascii="Times New Roman" w:eastAsia="宋体"/>
        </w:rPr>
        <w:t>龙骨的安装应根据吊顶的设计标高在四周墙上弹线，弹线应清晰、位置应准确。龙骨与龙骨间距不应大于1200</w:t>
      </w:r>
      <w:r>
        <w:rPr>
          <w:rFonts w:hint="eastAsia"/>
          <w:w w:val="50"/>
        </w:rPr>
        <w:t xml:space="preserve"> </w:t>
      </w:r>
      <w:r>
        <w:rPr>
          <w:rFonts w:ascii="Times New Roman" w:eastAsia="宋体"/>
        </w:rPr>
        <w:t>mm。边部主龙骨与平行的墙面间距不应大于300</w:t>
      </w:r>
      <w:r>
        <w:rPr>
          <w:rFonts w:hint="eastAsia"/>
          <w:w w:val="50"/>
        </w:rPr>
        <w:t xml:space="preserve"> </w:t>
      </w:r>
      <w:r>
        <w:rPr>
          <w:rFonts w:ascii="Times New Roman" w:eastAsia="宋体"/>
        </w:rPr>
        <w:t>mm。</w:t>
      </w:r>
    </w:p>
    <w:p>
      <w:pPr>
        <w:pStyle w:val="70"/>
        <w:spacing w:before="0" w:beforeLines="0" w:after="0" w:afterLines="0"/>
        <w:rPr>
          <w:rFonts w:ascii="Times New Roman"/>
        </w:rPr>
      </w:pPr>
      <w:r>
        <w:rPr>
          <w:rFonts w:ascii="Times New Roman" w:eastAsia="宋体"/>
        </w:rPr>
        <w:t>安装完的微孔金属天花板要保证表面清洁，不得有污物堵塞通风微孔。</w:t>
      </w:r>
    </w:p>
    <w:p>
      <w:pPr>
        <w:pStyle w:val="110"/>
        <w:spacing w:before="158" w:after="158"/>
        <w:ind w:left="0"/>
        <w:rPr>
          <w:rFonts w:ascii="Times New Roman"/>
        </w:rPr>
      </w:pPr>
      <w:bookmarkStart w:id="164" w:name="_Toc331086241"/>
      <w:bookmarkStart w:id="165" w:name="_Toc9512"/>
      <w:bookmarkStart w:id="166" w:name="_Toc15785"/>
      <w:r>
        <w:rPr>
          <w:rFonts w:ascii="Times New Roman"/>
        </w:rPr>
        <w:t>空气载能风管系统</w:t>
      </w:r>
      <w:r>
        <w:rPr>
          <w:rFonts w:hint="eastAsia" w:ascii="Times New Roman"/>
        </w:rPr>
        <w:t>施工</w:t>
      </w:r>
      <w:r>
        <w:rPr>
          <w:rFonts w:ascii="Times New Roman"/>
        </w:rPr>
        <w:t>安装</w:t>
      </w:r>
      <w:bookmarkEnd w:id="164"/>
      <w:bookmarkEnd w:id="165"/>
      <w:bookmarkEnd w:id="166"/>
    </w:p>
    <w:p>
      <w:pPr>
        <w:pStyle w:val="70"/>
        <w:numPr>
          <w:ilvl w:val="0"/>
          <w:numId w:val="0"/>
        </w:numPr>
        <w:spacing w:before="0" w:beforeLines="0" w:after="0" w:afterLines="0"/>
        <w:ind w:firstLine="420" w:firstLineChars="200"/>
        <w:rPr>
          <w:rFonts w:ascii="Times New Roman" w:eastAsia="宋体"/>
        </w:rPr>
      </w:pPr>
      <w:r>
        <w:rPr>
          <w:rFonts w:ascii="Times New Roman" w:eastAsia="宋体"/>
        </w:rPr>
        <w:t>风管施工</w:t>
      </w:r>
      <w:r>
        <w:rPr>
          <w:rFonts w:hint="eastAsia" w:ascii="Times New Roman" w:eastAsia="宋体"/>
        </w:rPr>
        <w:t>安装</w:t>
      </w:r>
      <w:r>
        <w:rPr>
          <w:rFonts w:ascii="Times New Roman" w:eastAsia="宋体"/>
        </w:rPr>
        <w:t>应符合</w:t>
      </w:r>
      <w:r>
        <w:rPr>
          <w:rFonts w:hint="default" w:ascii="Times New Roman" w:eastAsia="宋体"/>
          <w:highlight w:val="none"/>
        </w:rPr>
        <w:t>JGJ/T 309</w:t>
      </w:r>
      <w:r>
        <w:rPr>
          <w:rFonts w:ascii="Times New Roman" w:eastAsia="宋体"/>
        </w:rPr>
        <w:t>相关规定。</w:t>
      </w:r>
    </w:p>
    <w:p>
      <w:pPr>
        <w:pStyle w:val="110"/>
        <w:spacing w:before="158" w:after="158"/>
        <w:ind w:left="0"/>
        <w:rPr>
          <w:rFonts w:ascii="Times New Roman"/>
        </w:rPr>
      </w:pPr>
      <w:bookmarkStart w:id="167" w:name="_Toc24074"/>
      <w:bookmarkStart w:id="168" w:name="_Toc28727"/>
      <w:bookmarkStart w:id="169" w:name="_Toc15655"/>
      <w:r>
        <w:rPr>
          <w:rFonts w:ascii="Times New Roman"/>
        </w:rPr>
        <w:t>电气系统</w:t>
      </w:r>
      <w:r>
        <w:rPr>
          <w:rFonts w:hint="eastAsia" w:ascii="Times New Roman"/>
        </w:rPr>
        <w:t>施工</w:t>
      </w:r>
      <w:r>
        <w:rPr>
          <w:rFonts w:ascii="Times New Roman"/>
        </w:rPr>
        <w:t>安装</w:t>
      </w:r>
      <w:bookmarkEnd w:id="167"/>
      <w:bookmarkEnd w:id="168"/>
      <w:bookmarkEnd w:id="169"/>
    </w:p>
    <w:p>
      <w:pPr>
        <w:pStyle w:val="70"/>
        <w:numPr>
          <w:ilvl w:val="255"/>
          <w:numId w:val="0"/>
        </w:numPr>
        <w:spacing w:before="158" w:after="158"/>
        <w:ind w:firstLine="420" w:firstLineChars="200"/>
        <w:outlineLvl w:val="0"/>
        <w:rPr>
          <w:rFonts w:ascii="Times New Roman" w:eastAsia="宋体"/>
        </w:rPr>
      </w:pPr>
      <w:bookmarkStart w:id="170" w:name="_Toc28712"/>
      <w:bookmarkStart w:id="171" w:name="_Toc18597"/>
      <w:bookmarkStart w:id="172" w:name="_Toc5186"/>
      <w:r>
        <w:rPr>
          <w:rFonts w:ascii="Times New Roman" w:eastAsia="宋体"/>
        </w:rPr>
        <w:t>电气施工应符合GB 50303相关规定。</w:t>
      </w:r>
      <w:bookmarkEnd w:id="170"/>
      <w:bookmarkEnd w:id="171"/>
      <w:bookmarkEnd w:id="172"/>
    </w:p>
    <w:p>
      <w:pPr>
        <w:pStyle w:val="109"/>
        <w:spacing w:before="317" w:after="317"/>
        <w:ind w:left="0"/>
        <w:rPr>
          <w:rFonts w:ascii="Times New Roman"/>
        </w:rPr>
      </w:pPr>
      <w:bookmarkStart w:id="173" w:name="_Toc16329"/>
      <w:bookmarkStart w:id="174" w:name="_Toc9032"/>
      <w:bookmarkStart w:id="175" w:name="_Toc232"/>
      <w:r>
        <w:rPr>
          <w:rFonts w:ascii="Times New Roman"/>
        </w:rPr>
        <w:t>系统调试</w:t>
      </w:r>
      <w:bookmarkEnd w:id="173"/>
      <w:bookmarkEnd w:id="174"/>
      <w:bookmarkEnd w:id="175"/>
    </w:p>
    <w:p>
      <w:pPr>
        <w:pStyle w:val="110"/>
        <w:spacing w:before="158" w:after="0" w:afterLines="0"/>
        <w:ind w:left="0"/>
        <w:rPr>
          <w:rFonts w:ascii="Times New Roman" w:eastAsia="宋体"/>
        </w:rPr>
      </w:pPr>
      <w:bookmarkStart w:id="176" w:name="_Toc22225"/>
      <w:bookmarkStart w:id="177" w:name="_Toc6247"/>
      <w:bookmarkStart w:id="178" w:name="_Toc17843"/>
      <w:r>
        <w:rPr>
          <w:rFonts w:ascii="Times New Roman" w:eastAsia="宋体"/>
        </w:rPr>
        <w:t>冷热源系统调试过程中需结合具体项目特点，参照以下标准进行参数校核与功能验证，确保系统高效、安全运行</w:t>
      </w:r>
      <w:r>
        <w:rPr>
          <w:rFonts w:hint="eastAsia" w:ascii="Times New Roman" w:eastAsia="宋体"/>
        </w:rPr>
        <w:t>：</w:t>
      </w:r>
      <w:bookmarkEnd w:id="176"/>
    </w:p>
    <w:p>
      <w:pPr>
        <w:spacing w:line="240" w:lineRule="auto"/>
        <w:ind w:left="840" w:leftChars="200" w:hanging="420" w:hangingChars="200"/>
        <w:rPr>
          <w:rFonts w:ascii="Times New Roman" w:hAnsi="Times New Roman"/>
        </w:rPr>
      </w:pPr>
      <w:r>
        <w:rPr>
          <w:rFonts w:hint="eastAsia" w:ascii="Times New Roman" w:hAnsi="Times New Roman"/>
        </w:rPr>
        <w:t>——</w:t>
      </w:r>
      <w:r>
        <w:rPr>
          <w:rFonts w:ascii="Times New Roman" w:hAnsi="Times New Roman"/>
        </w:rPr>
        <w:t>空气源系统调试应符合GB</w:t>
      </w:r>
      <w:r>
        <w:rPr>
          <w:rFonts w:hint="eastAsia" w:ascii="Times New Roman" w:hAnsi="Times New Roman"/>
        </w:rPr>
        <w:t xml:space="preserve"> </w:t>
      </w:r>
      <w:r>
        <w:rPr>
          <w:rFonts w:ascii="Times New Roman" w:hAnsi="Times New Roman"/>
        </w:rPr>
        <w:t>50736、NB/T 11504相关要求</w:t>
      </w:r>
      <w:r>
        <w:rPr>
          <w:rFonts w:hint="eastAsia" w:ascii="Times New Roman" w:hAnsi="Times New Roman"/>
        </w:rPr>
        <w:t>；</w:t>
      </w:r>
    </w:p>
    <w:p>
      <w:pPr>
        <w:spacing w:line="240" w:lineRule="auto"/>
        <w:ind w:left="840" w:leftChars="200" w:hanging="420" w:hangingChars="200"/>
        <w:rPr>
          <w:rFonts w:ascii="Times New Roman" w:hAnsi="Times New Roman"/>
        </w:rPr>
      </w:pPr>
      <w:r>
        <w:rPr>
          <w:rFonts w:hint="eastAsia" w:ascii="Times New Roman" w:hAnsi="Times New Roman"/>
        </w:rPr>
        <w:t>——</w:t>
      </w:r>
      <w:r>
        <w:rPr>
          <w:rFonts w:ascii="Times New Roman" w:hAnsi="Times New Roman"/>
        </w:rPr>
        <w:t>水源系统调试应符合GB</w:t>
      </w:r>
      <w:r>
        <w:rPr>
          <w:rFonts w:hint="eastAsia" w:ascii="Times New Roman" w:hAnsi="Times New Roman"/>
        </w:rPr>
        <w:t xml:space="preserve"> </w:t>
      </w:r>
      <w:r>
        <w:rPr>
          <w:rFonts w:ascii="Times New Roman" w:hAnsi="Times New Roman"/>
        </w:rPr>
        <w:t>50736、GB</w:t>
      </w:r>
      <w:r>
        <w:rPr>
          <w:rFonts w:hint="eastAsia" w:ascii="Times New Roman" w:hAnsi="Times New Roman"/>
        </w:rPr>
        <w:t xml:space="preserve"> </w:t>
      </w:r>
      <w:r>
        <w:rPr>
          <w:rFonts w:ascii="Times New Roman" w:hAnsi="Times New Roman"/>
        </w:rPr>
        <w:t>50243相关要求</w:t>
      </w:r>
      <w:r>
        <w:rPr>
          <w:rFonts w:hint="eastAsia" w:ascii="Times New Roman" w:hAnsi="Times New Roman"/>
        </w:rPr>
        <w:t>；</w:t>
      </w:r>
    </w:p>
    <w:p>
      <w:pPr>
        <w:spacing w:line="240" w:lineRule="auto"/>
        <w:ind w:left="840" w:leftChars="200" w:hanging="420" w:hangingChars="200"/>
        <w:rPr>
          <w:rFonts w:ascii="Times New Roman" w:hAnsi="Times New Roman"/>
        </w:rPr>
      </w:pPr>
      <w:r>
        <w:rPr>
          <w:rFonts w:hint="eastAsia" w:ascii="Times New Roman" w:hAnsi="Times New Roman"/>
        </w:rPr>
        <w:t>——</w:t>
      </w:r>
      <w:r>
        <w:rPr>
          <w:rFonts w:ascii="Times New Roman" w:hAnsi="Times New Roman"/>
        </w:rPr>
        <w:t>土壤源系统调试应符合GB</w:t>
      </w:r>
      <w:r>
        <w:rPr>
          <w:rFonts w:hint="eastAsia" w:ascii="Times New Roman" w:hAnsi="Times New Roman"/>
        </w:rPr>
        <w:t xml:space="preserve"> </w:t>
      </w:r>
      <w:r>
        <w:rPr>
          <w:rFonts w:ascii="Times New Roman" w:hAnsi="Times New Roman"/>
        </w:rPr>
        <w:t>50736、GB</w:t>
      </w:r>
      <w:r>
        <w:rPr>
          <w:rFonts w:hint="eastAsia" w:ascii="Times New Roman" w:hAnsi="Times New Roman"/>
        </w:rPr>
        <w:t xml:space="preserve"> </w:t>
      </w:r>
      <w:r>
        <w:rPr>
          <w:rFonts w:ascii="Times New Roman" w:hAnsi="Times New Roman"/>
        </w:rPr>
        <w:t>50243相关要求</w:t>
      </w:r>
      <w:r>
        <w:rPr>
          <w:rFonts w:hint="eastAsia" w:ascii="Times New Roman" w:hAnsi="Times New Roman"/>
        </w:rPr>
        <w:t>；</w:t>
      </w:r>
    </w:p>
    <w:p>
      <w:pPr>
        <w:spacing w:line="240" w:lineRule="auto"/>
        <w:ind w:left="840" w:leftChars="200" w:hanging="420" w:hangingChars="200"/>
        <w:rPr>
          <w:rFonts w:ascii="Times New Roman" w:hAnsi="Times New Roman"/>
        </w:rPr>
      </w:pPr>
      <w:r>
        <w:rPr>
          <w:rFonts w:hint="eastAsia" w:ascii="Times New Roman" w:hAnsi="Times New Roman"/>
        </w:rPr>
        <w:t>——多联机系统调试应符合</w:t>
      </w:r>
      <w:r>
        <w:rPr>
          <w:rFonts w:ascii="Times New Roman" w:hAnsi="Times New Roman"/>
          <w:highlight w:val="none"/>
        </w:rPr>
        <w:t>GB</w:t>
      </w:r>
      <w:r>
        <w:rPr>
          <w:rFonts w:hint="eastAsia" w:ascii="Times New Roman" w:hAnsi="Times New Roman"/>
          <w:highlight w:val="none"/>
        </w:rPr>
        <w:t xml:space="preserve"> </w:t>
      </w:r>
      <w:r>
        <w:rPr>
          <w:rFonts w:ascii="Times New Roman" w:hAnsi="Times New Roman"/>
          <w:highlight w:val="none"/>
        </w:rPr>
        <w:t>50736、</w:t>
      </w:r>
      <w:r>
        <w:rPr>
          <w:rFonts w:hint="eastAsia" w:ascii="Times New Roman" w:hAnsi="Times New Roman"/>
          <w:highlight w:val="none"/>
        </w:rPr>
        <w:t xml:space="preserve">JGJ 174 </w:t>
      </w:r>
      <w:r>
        <w:rPr>
          <w:rFonts w:hint="eastAsia" w:ascii="Times New Roman" w:hAnsi="Times New Roman"/>
          <w:highlight w:val="none"/>
          <w:lang w:eastAsia="zh-CN"/>
        </w:rPr>
        <w:t>、</w:t>
      </w:r>
      <w:r>
        <w:rPr>
          <w:rFonts w:hint="eastAsia" w:ascii="Times New Roman" w:hAnsi="Times New Roman"/>
          <w:highlight w:val="none"/>
        </w:rPr>
        <w:t>GB/T 18837</w:t>
      </w:r>
      <w:r>
        <w:rPr>
          <w:rFonts w:hint="eastAsia" w:ascii="Times New Roman" w:hAnsi="Times New Roman"/>
        </w:rPr>
        <w:t>相关要求</w:t>
      </w:r>
      <w:r>
        <w:rPr>
          <w:rFonts w:ascii="Times New Roman" w:hAnsi="Times New Roman"/>
        </w:rPr>
        <w:t>。</w:t>
      </w:r>
    </w:p>
    <w:p>
      <w:pPr>
        <w:pStyle w:val="110"/>
        <w:spacing w:before="0" w:beforeLines="0" w:after="0" w:afterLines="0"/>
        <w:ind w:left="0"/>
        <w:rPr>
          <w:rFonts w:ascii="Times New Roman" w:eastAsia="宋体"/>
        </w:rPr>
      </w:pPr>
      <w:bookmarkStart w:id="179" w:name="_Toc27725"/>
      <w:r>
        <w:rPr>
          <w:rFonts w:ascii="Times New Roman" w:eastAsia="宋体"/>
        </w:rPr>
        <w:t>空气载能辐射空调系统调试完成后，宜对以下性能参数进行检测，并符合规定：</w:t>
      </w:r>
      <w:bookmarkEnd w:id="177"/>
      <w:bookmarkEnd w:id="178"/>
      <w:bookmarkEnd w:id="179"/>
    </w:p>
    <w:p>
      <w:pPr>
        <w:pStyle w:val="110"/>
        <w:numPr>
          <w:ilvl w:val="255"/>
          <w:numId w:val="0"/>
        </w:numPr>
        <w:tabs>
          <w:tab w:val="left" w:pos="0"/>
        </w:tabs>
        <w:spacing w:before="0" w:beforeLines="0" w:after="0" w:afterLines="0"/>
        <w:ind w:left="420" w:leftChars="200"/>
        <w:outlineLvl w:val="0"/>
        <w:rPr>
          <w:rFonts w:ascii="Times New Roman" w:eastAsia="宋体"/>
        </w:rPr>
      </w:pPr>
      <w:bookmarkStart w:id="180" w:name="_Toc19788"/>
      <w:bookmarkStart w:id="181" w:name="_Toc31189"/>
      <w:bookmarkStart w:id="182" w:name="_Toc5922"/>
      <w:bookmarkStart w:id="183" w:name="_Toc11674"/>
      <w:bookmarkStart w:id="184" w:name="_Toc7436"/>
      <w:r>
        <w:rPr>
          <w:rFonts w:ascii="Times New Roman" w:eastAsia="宋体"/>
        </w:rPr>
        <w:t>——室内温度、相对湿度满足设计要求；</w:t>
      </w:r>
      <w:bookmarkEnd w:id="180"/>
      <w:bookmarkEnd w:id="181"/>
      <w:bookmarkEnd w:id="182"/>
      <w:bookmarkEnd w:id="183"/>
      <w:bookmarkEnd w:id="184"/>
    </w:p>
    <w:p>
      <w:pPr>
        <w:pStyle w:val="110"/>
        <w:numPr>
          <w:ilvl w:val="255"/>
          <w:numId w:val="0"/>
        </w:numPr>
        <w:tabs>
          <w:tab w:val="left" w:pos="0"/>
        </w:tabs>
        <w:spacing w:before="0" w:beforeLines="0" w:after="0" w:afterLines="0"/>
        <w:ind w:left="420" w:leftChars="200"/>
        <w:rPr>
          <w:rFonts w:ascii="Times New Roman" w:eastAsia="宋体"/>
        </w:rPr>
      </w:pPr>
      <w:bookmarkStart w:id="185" w:name="_Toc503"/>
      <w:bookmarkStart w:id="186" w:name="_Toc14301"/>
      <w:r>
        <w:rPr>
          <w:rFonts w:ascii="Times New Roman" w:eastAsia="宋体"/>
        </w:rPr>
        <w:t>——室内噪声满足设计要求；</w:t>
      </w:r>
      <w:bookmarkEnd w:id="185"/>
      <w:bookmarkEnd w:id="186"/>
    </w:p>
    <w:p>
      <w:pPr>
        <w:pStyle w:val="110"/>
        <w:numPr>
          <w:ilvl w:val="255"/>
          <w:numId w:val="0"/>
        </w:numPr>
        <w:tabs>
          <w:tab w:val="left" w:pos="0"/>
        </w:tabs>
        <w:spacing w:before="0" w:beforeLines="0" w:after="0" w:afterLines="0"/>
        <w:ind w:firstLine="420" w:firstLineChars="200"/>
        <w:rPr>
          <w:rFonts w:ascii="Times New Roman" w:eastAsia="宋体"/>
        </w:rPr>
      </w:pPr>
      <w:bookmarkStart w:id="187" w:name="_Toc18855"/>
      <w:bookmarkStart w:id="188" w:name="_Toc14317"/>
      <w:bookmarkStart w:id="189" w:name="_Toc19825"/>
      <w:r>
        <w:rPr>
          <w:rFonts w:ascii="Times New Roman" w:eastAsia="宋体"/>
        </w:rPr>
        <w:t>——水系统供水温度及供回水温差满足设计要求；</w:t>
      </w:r>
      <w:bookmarkEnd w:id="187"/>
      <w:bookmarkEnd w:id="188"/>
      <w:bookmarkEnd w:id="189"/>
    </w:p>
    <w:p>
      <w:pPr>
        <w:pStyle w:val="110"/>
        <w:numPr>
          <w:ilvl w:val="255"/>
          <w:numId w:val="0"/>
        </w:numPr>
        <w:tabs>
          <w:tab w:val="left" w:pos="0"/>
        </w:tabs>
        <w:spacing w:before="0" w:beforeLines="0" w:after="0" w:afterLines="0"/>
        <w:ind w:left="420" w:leftChars="200"/>
        <w:rPr>
          <w:rFonts w:ascii="Times New Roman" w:eastAsia="宋体"/>
        </w:rPr>
      </w:pPr>
      <w:bookmarkStart w:id="190" w:name="_Toc31183"/>
      <w:bookmarkStart w:id="191" w:name="_Toc3731"/>
      <w:bookmarkStart w:id="192" w:name="_Toc18778"/>
      <w:r>
        <w:rPr>
          <w:rFonts w:ascii="Times New Roman" w:eastAsia="宋体"/>
        </w:rPr>
        <w:t>——水系统总水量及各环路水量满足设计要求；</w:t>
      </w:r>
      <w:bookmarkEnd w:id="190"/>
      <w:bookmarkEnd w:id="191"/>
      <w:bookmarkEnd w:id="192"/>
    </w:p>
    <w:p>
      <w:pPr>
        <w:pStyle w:val="61"/>
        <w:rPr>
          <w:rFonts w:hint="eastAsia"/>
        </w:rPr>
      </w:pPr>
      <w:r>
        <w:rPr>
          <w:rFonts w:hint="eastAsia"/>
          <w:highlight w:val="none"/>
        </w:rPr>
        <w:t>——</w:t>
      </w:r>
      <w:r>
        <w:rPr>
          <w:rFonts w:hint="eastAsia"/>
          <w:highlight w:val="none"/>
          <w:lang w:val="en-US" w:eastAsia="zh-CN"/>
        </w:rPr>
        <w:t>制冷剂</w:t>
      </w:r>
      <w:r>
        <w:rPr>
          <w:rFonts w:hint="eastAsia"/>
          <w:highlight w:val="none"/>
        </w:rPr>
        <w:t>系统温度满足多联机设计要求</w:t>
      </w:r>
      <w:r>
        <w:rPr>
          <w:rFonts w:hint="eastAsia"/>
        </w:rPr>
        <w:t>；</w:t>
      </w:r>
    </w:p>
    <w:p>
      <w:pPr>
        <w:pStyle w:val="110"/>
        <w:numPr>
          <w:ilvl w:val="255"/>
          <w:numId w:val="0"/>
        </w:numPr>
        <w:tabs>
          <w:tab w:val="left" w:pos="0"/>
        </w:tabs>
        <w:spacing w:before="0" w:beforeLines="0" w:after="0" w:afterLines="0"/>
        <w:ind w:left="420" w:leftChars="200"/>
        <w:rPr>
          <w:rFonts w:ascii="Times New Roman" w:eastAsia="宋体"/>
        </w:rPr>
      </w:pPr>
      <w:bookmarkStart w:id="193" w:name="_Toc20184"/>
      <w:bookmarkStart w:id="194" w:name="_Toc30488"/>
      <w:r>
        <w:rPr>
          <w:rFonts w:ascii="Times New Roman" w:eastAsia="宋体"/>
        </w:rPr>
        <w:t>——微孔金属天花板表面温度满足设计要求；</w:t>
      </w:r>
      <w:bookmarkEnd w:id="193"/>
      <w:bookmarkEnd w:id="194"/>
    </w:p>
    <w:p>
      <w:pPr>
        <w:pStyle w:val="110"/>
        <w:numPr>
          <w:ilvl w:val="255"/>
          <w:numId w:val="0"/>
        </w:numPr>
        <w:tabs>
          <w:tab w:val="left" w:pos="0"/>
        </w:tabs>
        <w:spacing w:before="0" w:beforeLines="0" w:after="0" w:afterLines="0"/>
        <w:ind w:left="420" w:leftChars="200"/>
        <w:rPr>
          <w:rFonts w:ascii="Times New Roman" w:eastAsia="宋体"/>
        </w:rPr>
      </w:pPr>
      <w:bookmarkStart w:id="195" w:name="_Toc7427"/>
      <w:bookmarkStart w:id="196" w:name="_Toc5119"/>
      <w:bookmarkStart w:id="197" w:name="_Toc30598"/>
      <w:r>
        <w:rPr>
          <w:rFonts w:ascii="Times New Roman" w:eastAsia="宋体"/>
        </w:rPr>
        <w:t>——新风系统总风量、各送风口风量满足设计要求；</w:t>
      </w:r>
      <w:bookmarkEnd w:id="195"/>
      <w:bookmarkEnd w:id="196"/>
      <w:bookmarkEnd w:id="197"/>
    </w:p>
    <w:p>
      <w:pPr>
        <w:pStyle w:val="110"/>
        <w:numPr>
          <w:ilvl w:val="255"/>
          <w:numId w:val="0"/>
        </w:numPr>
        <w:tabs>
          <w:tab w:val="left" w:pos="0"/>
        </w:tabs>
        <w:spacing w:before="0" w:beforeLines="0" w:after="0" w:afterLines="0"/>
        <w:ind w:left="420" w:leftChars="200"/>
        <w:rPr>
          <w:rFonts w:ascii="Times New Roman" w:eastAsia="宋体"/>
        </w:rPr>
      </w:pPr>
      <w:bookmarkStart w:id="198" w:name="_Toc30623"/>
      <w:bookmarkStart w:id="199" w:name="_Toc9337"/>
      <w:bookmarkStart w:id="200" w:name="_Toc9816"/>
      <w:r>
        <w:rPr>
          <w:rFonts w:ascii="Times New Roman" w:eastAsia="宋体"/>
        </w:rPr>
        <w:t>——自动调节和监测系统的检验、调整与联动运行满足设计要求</w:t>
      </w:r>
      <w:bookmarkEnd w:id="198"/>
      <w:bookmarkEnd w:id="199"/>
      <w:r>
        <w:rPr>
          <w:rFonts w:ascii="Times New Roman" w:eastAsia="宋体"/>
        </w:rPr>
        <w:t>。</w:t>
      </w:r>
      <w:bookmarkEnd w:id="200"/>
    </w:p>
    <w:p>
      <w:pPr>
        <w:pStyle w:val="61"/>
        <w:spacing w:before="158" w:beforeLines="50"/>
        <w:ind w:firstLine="0" w:firstLineChars="0"/>
      </w:pPr>
      <w:r>
        <w:t>条文说明：</w:t>
      </w:r>
    </w:p>
    <w:p>
      <w:pPr>
        <w:pStyle w:val="61"/>
      </w:pPr>
      <w:r>
        <w:t>调试需验证室内温湿度、水系统温差、微孔板表面温度等参数，确保系统按设计工况运行。新风量检测依据GB 50243，采用风量罩或风速仪多点测量。自动控制系统需与CO₂浓度联动，实现按需新风调节。</w:t>
      </w:r>
    </w:p>
    <w:p>
      <w:pPr>
        <w:pStyle w:val="109"/>
        <w:spacing w:before="317" w:after="317"/>
        <w:ind w:left="0"/>
        <w:rPr>
          <w:rFonts w:ascii="Times New Roman"/>
        </w:rPr>
      </w:pPr>
      <w:bookmarkStart w:id="201" w:name="_Toc25040"/>
      <w:bookmarkStart w:id="202" w:name="_Toc20900"/>
      <w:bookmarkStart w:id="203" w:name="_Toc32488"/>
      <w:r>
        <w:rPr>
          <w:rFonts w:ascii="Times New Roman"/>
        </w:rPr>
        <w:t>竣工验收</w:t>
      </w:r>
      <w:bookmarkEnd w:id="201"/>
      <w:bookmarkEnd w:id="202"/>
      <w:bookmarkEnd w:id="203"/>
    </w:p>
    <w:p>
      <w:pPr>
        <w:ind w:firstLine="420" w:firstLineChars="200"/>
        <w:rPr>
          <w:rFonts w:ascii="Times New Roman" w:hAnsi="Times New Roman"/>
        </w:rPr>
      </w:pPr>
      <w:bookmarkStart w:id="204" w:name="_Toc28052"/>
      <w:bookmarkStart w:id="205" w:name="_Toc15882"/>
      <w:r>
        <w:rPr>
          <w:rFonts w:ascii="Times New Roman" w:hAnsi="Times New Roman"/>
        </w:rPr>
        <w:t>竣工验收应在空气载能辐射空调系统检测合格后进行，验收应符合本</w:t>
      </w:r>
      <w:r>
        <w:rPr>
          <w:rFonts w:hint="eastAsia" w:ascii="Times New Roman" w:hAnsi="Times New Roman"/>
        </w:rPr>
        <w:t>文件</w:t>
      </w:r>
      <w:r>
        <w:rPr>
          <w:rFonts w:ascii="Times New Roman" w:hAnsi="Times New Roman"/>
        </w:rPr>
        <w:t>及GB 50243的相关要求。</w:t>
      </w:r>
      <w:bookmarkEnd w:id="204"/>
      <w:bookmarkEnd w:id="205"/>
    </w:p>
    <w:bookmarkEnd w:id="95"/>
    <w:bookmarkEnd w:id="96"/>
    <w:bookmarkEnd w:id="97"/>
    <w:bookmarkEnd w:id="98"/>
    <w:p>
      <w:pPr>
        <w:pStyle w:val="109"/>
        <w:spacing w:before="317" w:after="317"/>
        <w:ind w:left="0"/>
        <w:rPr>
          <w:rFonts w:ascii="Times New Roman"/>
        </w:rPr>
      </w:pPr>
      <w:bookmarkStart w:id="206" w:name="_Toc26444"/>
      <w:bookmarkStart w:id="207" w:name="_Toc3797"/>
      <w:bookmarkStart w:id="208" w:name="_Toc25161"/>
      <w:bookmarkStart w:id="209" w:name="_Toc5826"/>
      <w:r>
        <w:rPr>
          <w:rFonts w:ascii="Times New Roman"/>
        </w:rPr>
        <w:t>运行与维护</w:t>
      </w:r>
      <w:bookmarkEnd w:id="206"/>
      <w:bookmarkEnd w:id="207"/>
      <w:bookmarkEnd w:id="208"/>
    </w:p>
    <w:bookmarkEnd w:id="24"/>
    <w:bookmarkEnd w:id="209"/>
    <w:p>
      <w:pPr>
        <w:ind w:firstLine="420" w:firstLineChars="200"/>
        <w:rPr>
          <w:rFonts w:hint="default" w:eastAsia="宋体"/>
          <w:lang w:val="en-US" w:eastAsia="zh-CN"/>
        </w:rPr>
      </w:pPr>
      <w:r>
        <w:rPr>
          <w:rFonts w:ascii="Times New Roman" w:eastAsia="宋体"/>
        </w:rPr>
        <w:t>空气载能辐射空调系统</w:t>
      </w:r>
      <w:r>
        <w:rPr>
          <w:rFonts w:hint="eastAsia" w:ascii="Times New Roman"/>
          <w:lang w:val="en-US" w:eastAsia="zh-CN"/>
        </w:rPr>
        <w:t>的</w:t>
      </w:r>
      <w:r>
        <w:rPr>
          <w:rFonts w:hint="eastAsia"/>
          <w:lang w:val="en-US" w:eastAsia="zh-CN"/>
        </w:rPr>
        <w:t>运行及维护应满足如下要求：</w:t>
      </w:r>
    </w:p>
    <w:p>
      <w:pPr>
        <w:numPr>
          <w:ilvl w:val="0"/>
          <w:numId w:val="35"/>
        </w:numPr>
        <w:ind w:firstLine="420" w:firstLineChars="200"/>
        <w:rPr>
          <w:highlight w:val="none"/>
        </w:rPr>
      </w:pPr>
      <w:r>
        <w:rPr>
          <w:rFonts w:hint="eastAsia"/>
        </w:rPr>
        <w:t>风系统满</w:t>
      </w:r>
      <w:r>
        <w:rPr>
          <w:rFonts w:hint="eastAsia"/>
          <w:highlight w:val="none"/>
        </w:rPr>
        <w:t>足GB/T 50365要求</w:t>
      </w:r>
      <w:r>
        <w:rPr>
          <w:rFonts w:hint="eastAsia"/>
          <w:highlight w:val="none"/>
          <w:lang w:eastAsia="zh-CN"/>
        </w:rPr>
        <w:t>；</w:t>
      </w:r>
    </w:p>
    <w:p>
      <w:pPr>
        <w:numPr>
          <w:ilvl w:val="0"/>
          <w:numId w:val="35"/>
        </w:numPr>
        <w:ind w:firstLine="420" w:firstLineChars="200"/>
        <w:rPr>
          <w:highlight w:val="none"/>
        </w:rPr>
      </w:pPr>
      <w:r>
        <w:rPr>
          <w:rFonts w:hint="eastAsia"/>
          <w:highlight w:val="none"/>
        </w:rPr>
        <w:t>水系统满足GB/T 50050要求</w:t>
      </w:r>
      <w:r>
        <w:rPr>
          <w:rFonts w:hint="eastAsia"/>
          <w:highlight w:val="none"/>
          <w:lang w:eastAsia="zh-CN"/>
        </w:rPr>
        <w:t>；</w:t>
      </w:r>
    </w:p>
    <w:p>
      <w:pPr>
        <w:numPr>
          <w:ilvl w:val="0"/>
          <w:numId w:val="35"/>
        </w:numPr>
        <w:ind w:firstLine="420" w:firstLineChars="200"/>
        <w:rPr>
          <w:rFonts w:hint="eastAsia"/>
        </w:rPr>
      </w:pPr>
      <w:r>
        <w:rPr>
          <w:rFonts w:hint="eastAsia"/>
          <w:highlight w:val="none"/>
        </w:rPr>
        <w:t>工质系统满足</w:t>
      </w:r>
      <w:bookmarkStart w:id="210" w:name="OLE_LINK3"/>
      <w:r>
        <w:rPr>
          <w:rFonts w:hint="eastAsia"/>
          <w:highlight w:val="none"/>
        </w:rPr>
        <w:t>GB/T 9237</w:t>
      </w:r>
      <w:bookmarkEnd w:id="210"/>
      <w:r>
        <w:rPr>
          <w:rFonts w:hint="eastAsia"/>
          <w:highlight w:val="none"/>
        </w:rPr>
        <w:t>要</w:t>
      </w:r>
      <w:r>
        <w:rPr>
          <w:rFonts w:hint="eastAsia"/>
        </w:rPr>
        <w:t>求</w:t>
      </w:r>
      <w:r>
        <w:rPr>
          <w:rFonts w:hint="eastAsia"/>
          <w:lang w:eastAsia="zh-CN"/>
        </w:rPr>
        <w:t>。</w:t>
      </w:r>
    </w:p>
    <w:p>
      <w:pPr>
        <w:rPr>
          <w:rFonts w:ascii="Times New Roman" w:hAnsi="Times New Roman"/>
        </w:rPr>
        <w:sectPr>
          <w:headerReference r:id="rId10" w:type="default"/>
          <w:footerReference r:id="rId12" w:type="default"/>
          <w:headerReference r:id="rId11" w:type="even"/>
          <w:footerReference r:id="rId13" w:type="even"/>
          <w:pgSz w:w="11906" w:h="16838"/>
          <w:pgMar w:top="1417" w:right="1134" w:bottom="1134" w:left="1417" w:header="1417" w:footer="1134" w:gutter="283"/>
          <w:pgNumType w:start="1"/>
          <w:cols w:space="0" w:num="1"/>
          <w:formProt w:val="0"/>
          <w:docGrid w:type="lines" w:linePitch="317" w:charSpace="0"/>
        </w:sectPr>
      </w:pPr>
      <w:r>
        <w:rPr>
          <w:rFonts w:ascii="Times New Roman" w:hAnsi="Times New Roman"/>
        </w:rPr>
        <w:br w:type="page"/>
      </w:r>
    </w:p>
    <w:p>
      <w:pPr>
        <w:pStyle w:val="81"/>
        <w:spacing w:before="567" w:after="0" w:afterLines="0"/>
      </w:pPr>
      <w:bookmarkStart w:id="211" w:name="_Toc20969"/>
      <w:bookmarkEnd w:id="211"/>
    </w:p>
    <w:p>
      <w:pPr>
        <w:widowControl/>
        <w:adjustRightInd/>
        <w:spacing w:line="240" w:lineRule="auto"/>
        <w:jc w:val="center"/>
        <w:outlineLvl w:val="0"/>
        <w:rPr>
          <w:rFonts w:ascii="Times New Roman" w:hAnsi="Times New Roman" w:eastAsia="黑体"/>
          <w:bCs/>
        </w:rPr>
      </w:pPr>
      <w:bookmarkStart w:id="212" w:name="_Toc27925"/>
      <w:bookmarkStart w:id="213" w:name="_Toc5919"/>
      <w:bookmarkStart w:id="214" w:name="_Toc24683"/>
      <w:bookmarkStart w:id="215" w:name="_Toc32167"/>
      <w:bookmarkStart w:id="216" w:name="_Toc27273"/>
      <w:bookmarkStart w:id="217" w:name="_Toc1563"/>
      <w:r>
        <w:rPr>
          <w:rFonts w:ascii="Times New Roman" w:hAnsi="Times New Roman" w:eastAsia="黑体"/>
          <w:bCs/>
        </w:rPr>
        <w:t>（规范性）</w:t>
      </w:r>
      <w:bookmarkEnd w:id="212"/>
      <w:bookmarkEnd w:id="213"/>
      <w:bookmarkEnd w:id="214"/>
      <w:bookmarkEnd w:id="215"/>
      <w:bookmarkEnd w:id="216"/>
      <w:bookmarkEnd w:id="217"/>
    </w:p>
    <w:p>
      <w:pPr>
        <w:widowControl/>
        <w:adjustRightInd/>
        <w:spacing w:after="283" w:line="240" w:lineRule="auto"/>
        <w:jc w:val="center"/>
        <w:outlineLvl w:val="0"/>
        <w:rPr>
          <w:rFonts w:ascii="Times New Roman" w:hAnsi="Times New Roman" w:eastAsia="黑体"/>
          <w:bCs/>
        </w:rPr>
      </w:pPr>
      <w:bookmarkStart w:id="218" w:name="_Toc1196"/>
      <w:bookmarkStart w:id="219" w:name="_Toc14374"/>
      <w:bookmarkStart w:id="220" w:name="_Toc5238"/>
      <w:bookmarkStart w:id="221" w:name="_Toc10661"/>
      <w:bookmarkStart w:id="222" w:name="_Toc4536"/>
      <w:bookmarkStart w:id="223" w:name="_Toc15596"/>
      <w:bookmarkStart w:id="224" w:name="_Toc29405"/>
      <w:r>
        <w:rPr>
          <w:rFonts w:ascii="Times New Roman" w:hAnsi="Times New Roman" w:eastAsia="黑体"/>
          <w:bCs/>
        </w:rPr>
        <w:t>空气载能辐射空调现场环境与能效测试方法</w:t>
      </w:r>
      <w:bookmarkEnd w:id="218"/>
      <w:bookmarkEnd w:id="219"/>
      <w:bookmarkEnd w:id="220"/>
      <w:bookmarkEnd w:id="221"/>
      <w:bookmarkEnd w:id="222"/>
      <w:bookmarkEnd w:id="223"/>
      <w:bookmarkEnd w:id="224"/>
    </w:p>
    <w:p>
      <w:pPr>
        <w:pStyle w:val="83"/>
        <w:spacing w:before="317" w:beforeLines="100" w:after="317" w:afterLines="100"/>
        <w:outlineLvl w:val="0"/>
        <w:rPr>
          <w:rFonts w:ascii="Times New Roman"/>
          <w:szCs w:val="21"/>
        </w:rPr>
      </w:pPr>
      <w:bookmarkStart w:id="225" w:name="_Toc30348"/>
      <w:bookmarkStart w:id="226" w:name="_Toc26192"/>
      <w:bookmarkStart w:id="227" w:name="_Toc14425"/>
      <w:r>
        <w:rPr>
          <w:rFonts w:ascii="Times New Roman"/>
          <w:szCs w:val="21"/>
        </w:rPr>
        <w:t>环境测试试验原理</w:t>
      </w:r>
      <w:bookmarkEnd w:id="225"/>
      <w:bookmarkEnd w:id="226"/>
      <w:bookmarkEnd w:id="227"/>
    </w:p>
    <w:p>
      <w:pPr>
        <w:adjustRightInd/>
        <w:ind w:firstLine="424" w:firstLineChars="202"/>
        <w:rPr>
          <w:rFonts w:ascii="Times New Roman" w:hAnsi="Times New Roman"/>
          <w:b/>
          <w:szCs w:val="24"/>
        </w:rPr>
      </w:pPr>
      <w:r>
        <w:rPr>
          <w:rFonts w:ascii="Times New Roman" w:hAnsi="Times New Roman"/>
          <w:szCs w:val="24"/>
        </w:rPr>
        <w:t>在空气载能辐射空调系统内布置传感器，</w:t>
      </w:r>
      <w:r>
        <w:rPr>
          <w:rFonts w:ascii="Times New Roman" w:hAnsi="Times New Roman"/>
        </w:rPr>
        <w:t>测定</w:t>
      </w:r>
      <w:r>
        <w:rPr>
          <w:rFonts w:ascii="Times New Roman" w:hAnsi="Times New Roman"/>
          <w:szCs w:val="24"/>
        </w:rPr>
        <w:t>室内热湿环境。</w:t>
      </w:r>
      <w:r>
        <w:rPr>
          <w:rFonts w:ascii="Times New Roman" w:hAnsi="Times New Roman"/>
          <w:b/>
          <w:szCs w:val="24"/>
        </w:rPr>
        <w:t xml:space="preserve"> </w:t>
      </w:r>
    </w:p>
    <w:p>
      <w:pPr>
        <w:pStyle w:val="83"/>
        <w:spacing w:before="317" w:beforeLines="100" w:after="317" w:afterLines="100"/>
        <w:outlineLvl w:val="0"/>
        <w:rPr>
          <w:rFonts w:ascii="Times New Roman"/>
          <w:szCs w:val="21"/>
        </w:rPr>
      </w:pPr>
      <w:bookmarkStart w:id="228" w:name="_Toc2024"/>
      <w:bookmarkStart w:id="229" w:name="_Toc3390"/>
      <w:bookmarkStart w:id="230" w:name="_Toc28991"/>
      <w:r>
        <w:rPr>
          <w:rFonts w:ascii="Times New Roman"/>
          <w:szCs w:val="21"/>
        </w:rPr>
        <w:t>环境测试仪表和仪器</w:t>
      </w:r>
      <w:bookmarkEnd w:id="228"/>
      <w:bookmarkEnd w:id="229"/>
      <w:bookmarkEnd w:id="230"/>
    </w:p>
    <w:p>
      <w:pPr>
        <w:adjustRightInd/>
        <w:spacing w:line="240" w:lineRule="auto"/>
        <w:ind w:firstLine="0" w:firstLineChars="0"/>
        <w:rPr>
          <w:rFonts w:ascii="Times New Roman" w:hAnsi="Times New Roman"/>
          <w:szCs w:val="24"/>
        </w:rPr>
      </w:pPr>
      <w:r>
        <w:rPr>
          <w:rFonts w:hint="eastAsia" w:ascii="黑体" w:hAnsi="黑体" w:eastAsia="黑体" w:cs="黑体"/>
          <w:szCs w:val="24"/>
        </w:rPr>
        <w:t>A.2.1</w:t>
      </w:r>
      <w:r>
        <w:rPr>
          <w:rFonts w:hint="eastAsia" w:ascii="Times New Roman" w:hAnsi="Times New Roman"/>
          <w:szCs w:val="24"/>
        </w:rPr>
        <w:t>　</w:t>
      </w:r>
      <w:r>
        <w:rPr>
          <w:rFonts w:ascii="Times New Roman" w:hAnsi="Times New Roman"/>
          <w:szCs w:val="24"/>
        </w:rPr>
        <w:t>温度计测量误差不应大于±0.5</w:t>
      </w:r>
      <w:r>
        <w:rPr>
          <w:rFonts w:hint="eastAsia"/>
          <w:w w:val="50"/>
        </w:rPr>
        <w:t xml:space="preserve"> </w:t>
      </w:r>
      <w:r>
        <w:rPr>
          <w:rFonts w:ascii="Times New Roman" w:hAnsi="Times New Roman"/>
          <w:szCs w:val="24"/>
        </w:rPr>
        <w:t>℃。</w:t>
      </w:r>
    </w:p>
    <w:p>
      <w:pPr>
        <w:adjustRightInd/>
        <w:spacing w:line="240" w:lineRule="auto"/>
        <w:ind w:firstLine="0" w:firstLineChars="0"/>
        <w:rPr>
          <w:rFonts w:ascii="Times New Roman" w:hAnsi="Times New Roman"/>
          <w:szCs w:val="24"/>
        </w:rPr>
      </w:pPr>
      <w:r>
        <w:rPr>
          <w:rFonts w:hint="eastAsia" w:ascii="黑体" w:hAnsi="黑体" w:eastAsia="黑体" w:cs="黑体"/>
          <w:szCs w:val="24"/>
        </w:rPr>
        <w:t>A.2.2</w:t>
      </w:r>
      <w:r>
        <w:rPr>
          <w:rFonts w:hint="eastAsia" w:ascii="Times New Roman" w:hAnsi="Times New Roman"/>
          <w:szCs w:val="24"/>
        </w:rPr>
        <w:t>　</w:t>
      </w:r>
      <w:r>
        <w:rPr>
          <w:rFonts w:ascii="Times New Roman" w:hAnsi="Times New Roman"/>
          <w:szCs w:val="24"/>
        </w:rPr>
        <w:t>湿度传感器的测量误差不应大于±3%</w:t>
      </w:r>
      <w:r>
        <w:rPr>
          <w:rFonts w:hint="eastAsia"/>
          <w:w w:val="50"/>
        </w:rPr>
        <w:t xml:space="preserve"> </w:t>
      </w:r>
      <w:r>
        <w:rPr>
          <w:rFonts w:ascii="Times New Roman" w:hAnsi="Times New Roman"/>
          <w:szCs w:val="24"/>
        </w:rPr>
        <w:t>℃。</w:t>
      </w:r>
    </w:p>
    <w:p>
      <w:pPr>
        <w:adjustRightInd/>
        <w:spacing w:line="240" w:lineRule="auto"/>
        <w:ind w:firstLine="0" w:firstLineChars="0"/>
        <w:rPr>
          <w:rFonts w:ascii="Times New Roman" w:hAnsi="Times New Roman"/>
          <w:szCs w:val="24"/>
        </w:rPr>
      </w:pPr>
      <w:r>
        <w:rPr>
          <w:rFonts w:hint="eastAsia" w:ascii="黑体" w:hAnsi="黑体" w:eastAsia="黑体" w:cs="黑体"/>
          <w:szCs w:val="24"/>
        </w:rPr>
        <w:t>A.2.3</w:t>
      </w:r>
      <w:r>
        <w:rPr>
          <w:rFonts w:hint="eastAsia" w:ascii="Times New Roman" w:hAnsi="Times New Roman"/>
          <w:szCs w:val="24"/>
        </w:rPr>
        <w:t>　</w:t>
      </w:r>
      <w:r>
        <w:rPr>
          <w:rFonts w:ascii="Times New Roman" w:hAnsi="Times New Roman"/>
          <w:szCs w:val="24"/>
        </w:rPr>
        <w:t>风速仪误差不应大于±0.05</w:t>
      </w:r>
      <w:r>
        <w:rPr>
          <w:rFonts w:hint="eastAsia"/>
          <w:w w:val="50"/>
        </w:rPr>
        <w:t xml:space="preserve"> </w:t>
      </w:r>
      <w:r>
        <w:rPr>
          <w:rFonts w:ascii="Times New Roman" w:hAnsi="Times New Roman"/>
          <w:szCs w:val="24"/>
        </w:rPr>
        <w:t>m/s。</w:t>
      </w:r>
    </w:p>
    <w:p>
      <w:pPr>
        <w:adjustRightInd/>
        <w:spacing w:line="240" w:lineRule="auto"/>
        <w:ind w:firstLine="0" w:firstLineChars="0"/>
        <w:rPr>
          <w:rFonts w:ascii="Times New Roman" w:hAnsi="Times New Roman"/>
          <w:szCs w:val="24"/>
        </w:rPr>
      </w:pPr>
      <w:r>
        <w:rPr>
          <w:rFonts w:hint="eastAsia" w:ascii="黑体" w:hAnsi="黑体" w:eastAsia="黑体" w:cs="黑体"/>
          <w:szCs w:val="24"/>
        </w:rPr>
        <w:t>A.2.4</w:t>
      </w:r>
      <w:r>
        <w:rPr>
          <w:rFonts w:hint="eastAsia" w:ascii="Times New Roman" w:hAnsi="Times New Roman"/>
          <w:szCs w:val="24"/>
        </w:rPr>
        <w:t>　</w:t>
      </w:r>
      <w:r>
        <w:rPr>
          <w:rFonts w:ascii="Times New Roman" w:hAnsi="Times New Roman"/>
          <w:szCs w:val="24"/>
        </w:rPr>
        <w:t>热流计误差不应大于±0.5%。</w:t>
      </w:r>
    </w:p>
    <w:p>
      <w:pPr>
        <w:pStyle w:val="83"/>
        <w:spacing w:before="317" w:beforeLines="100" w:after="317" w:afterLines="100"/>
        <w:outlineLvl w:val="0"/>
        <w:rPr>
          <w:rFonts w:ascii="Times New Roman"/>
          <w:szCs w:val="21"/>
        </w:rPr>
      </w:pPr>
      <w:bookmarkStart w:id="231" w:name="_Toc16383"/>
      <w:bookmarkStart w:id="232" w:name="_Toc29847"/>
      <w:bookmarkStart w:id="233" w:name="_Toc8312"/>
      <w:r>
        <w:rPr>
          <w:rFonts w:ascii="Times New Roman"/>
          <w:szCs w:val="21"/>
        </w:rPr>
        <w:t>环境测试测定方法</w:t>
      </w:r>
      <w:bookmarkEnd w:id="231"/>
      <w:bookmarkEnd w:id="232"/>
      <w:bookmarkEnd w:id="233"/>
    </w:p>
    <w:p>
      <w:pPr>
        <w:pStyle w:val="84"/>
        <w:spacing w:before="158" w:after="158" w:line="400" w:lineRule="exact"/>
        <w:outlineLvl w:val="0"/>
        <w:rPr>
          <w:rFonts w:ascii="Times New Roman"/>
          <w:bCs/>
          <w:szCs w:val="24"/>
        </w:rPr>
      </w:pPr>
      <w:bookmarkStart w:id="234" w:name="_Toc4137"/>
      <w:bookmarkStart w:id="235" w:name="_Toc4305"/>
      <w:bookmarkStart w:id="236" w:name="_Toc27455"/>
      <w:r>
        <w:rPr>
          <w:rFonts w:ascii="Times New Roman"/>
          <w:bCs/>
          <w:szCs w:val="24"/>
        </w:rPr>
        <w:t>试验准备</w:t>
      </w:r>
      <w:bookmarkEnd w:id="234"/>
      <w:bookmarkEnd w:id="235"/>
      <w:bookmarkEnd w:id="236"/>
    </w:p>
    <w:p>
      <w:pPr>
        <w:adjustRightInd/>
        <w:spacing w:line="240" w:lineRule="auto"/>
        <w:ind w:firstLine="424" w:firstLineChars="202"/>
        <w:rPr>
          <w:rFonts w:ascii="Times New Roman" w:hAnsi="Times New Roman"/>
          <w:szCs w:val="24"/>
        </w:rPr>
      </w:pPr>
      <w:r>
        <w:rPr>
          <w:rFonts w:ascii="Times New Roman" w:hAnsi="Times New Roman"/>
          <w:szCs w:val="24"/>
        </w:rPr>
        <w:t>在试验开始前，确保仪器和仪器上对应的各通道读数是否正常都能正常运行，校准试验仪器符合</w:t>
      </w:r>
      <w:bookmarkStart w:id="237" w:name="OLE_LINK1"/>
      <w:r>
        <w:rPr>
          <w:rFonts w:ascii="Times New Roman" w:hAnsi="Times New Roman"/>
          <w:szCs w:val="24"/>
        </w:rPr>
        <w:t>JJF 1101</w:t>
      </w:r>
      <w:bookmarkEnd w:id="237"/>
      <w:r>
        <w:rPr>
          <w:rFonts w:hint="eastAsia" w:ascii="Times New Roman" w:hAnsi="Times New Roman"/>
          <w:szCs w:val="24"/>
        </w:rPr>
        <w:t>的要求</w:t>
      </w:r>
      <w:r>
        <w:rPr>
          <w:rFonts w:ascii="Times New Roman" w:hAnsi="Times New Roman"/>
          <w:szCs w:val="24"/>
        </w:rPr>
        <w:t>。测量时关闭窗户，拉上窗帘，屏蔽掉太阳辐射的影响，在空调系统正常运行且室内无剧烈热扰动的条件下测试。</w:t>
      </w:r>
    </w:p>
    <w:p>
      <w:pPr>
        <w:pStyle w:val="84"/>
        <w:spacing w:before="158" w:after="158" w:line="400" w:lineRule="exact"/>
        <w:outlineLvl w:val="0"/>
        <w:rPr>
          <w:rFonts w:ascii="Times New Roman"/>
          <w:bCs/>
          <w:szCs w:val="24"/>
        </w:rPr>
      </w:pPr>
      <w:bookmarkStart w:id="238" w:name="_Toc20816"/>
      <w:bookmarkStart w:id="239" w:name="_Toc3832"/>
      <w:bookmarkStart w:id="240" w:name="_Toc16265"/>
      <w:r>
        <w:rPr>
          <w:rFonts w:ascii="Times New Roman"/>
          <w:bCs/>
          <w:szCs w:val="24"/>
        </w:rPr>
        <w:t>布点阶段测试过程</w:t>
      </w:r>
      <w:bookmarkEnd w:id="238"/>
      <w:bookmarkEnd w:id="239"/>
      <w:bookmarkEnd w:id="240"/>
    </w:p>
    <w:p>
      <w:pPr>
        <w:adjustRightInd/>
        <w:ind w:firstLine="424" w:firstLineChars="202"/>
        <w:rPr>
          <w:rFonts w:ascii="Times New Roman" w:hAnsi="Times New Roman"/>
          <w:szCs w:val="24"/>
        </w:rPr>
      </w:pPr>
      <w:r>
        <w:rPr>
          <w:rFonts w:ascii="Times New Roman" w:hAnsi="Times New Roman"/>
          <w:szCs w:val="24"/>
        </w:rPr>
        <w:t>在室内空间布置温湿度传感器，在墙体表面布置温度传感器、热流计，采集辐射表面温度和基准点空气温湿度数据，采集时间间隔不应大于1</w:t>
      </w:r>
      <w:r>
        <w:rPr>
          <w:rFonts w:hint="eastAsia"/>
          <w:w w:val="50"/>
        </w:rPr>
        <w:t xml:space="preserve"> </w:t>
      </w:r>
      <w:r>
        <w:rPr>
          <w:rFonts w:ascii="Times New Roman" w:hAnsi="Times New Roman"/>
          <w:szCs w:val="24"/>
        </w:rPr>
        <w:t>min。测试布点见图A.1。</w:t>
      </w:r>
    </w:p>
    <w:p>
      <w:pPr>
        <w:adjustRightInd/>
        <w:spacing w:line="240" w:lineRule="auto"/>
        <w:ind w:firstLine="424" w:firstLineChars="202"/>
        <w:rPr>
          <w:rFonts w:ascii="Times New Roman" w:hAnsi="Times New Roman"/>
          <w:szCs w:val="24"/>
        </w:rPr>
      </w:pPr>
      <w:r>
        <w:rPr>
          <w:rFonts w:ascii="Times New Roman" w:hAnsi="Times New Roman"/>
          <w:szCs w:val="24"/>
        </w:rPr>
        <w:t>依据ASHARE手册实验布点方法，采用均匀分布或梅花分布方式（房间内不同高度，如0.1</w:t>
      </w:r>
      <w:r>
        <w:rPr>
          <w:rFonts w:hint="eastAsia"/>
          <w:w w:val="50"/>
        </w:rPr>
        <w:t xml:space="preserve"> </w:t>
      </w:r>
      <w:r>
        <w:rPr>
          <w:rFonts w:ascii="Times New Roman" w:hAnsi="Times New Roman"/>
          <w:szCs w:val="24"/>
        </w:rPr>
        <w:t>m，0.6</w:t>
      </w:r>
      <w:r>
        <w:rPr>
          <w:rFonts w:hint="eastAsia"/>
          <w:w w:val="50"/>
        </w:rPr>
        <w:t xml:space="preserve"> </w:t>
      </w:r>
      <w:r>
        <w:rPr>
          <w:rFonts w:ascii="Times New Roman" w:hAnsi="Times New Roman"/>
          <w:szCs w:val="24"/>
        </w:rPr>
        <w:t>m，1.1</w:t>
      </w:r>
      <w:r>
        <w:rPr>
          <w:rFonts w:hint="eastAsia"/>
          <w:w w:val="50"/>
        </w:rPr>
        <w:t xml:space="preserve"> </w:t>
      </w:r>
      <w:r>
        <w:rPr>
          <w:rFonts w:ascii="Times New Roman" w:hAnsi="Times New Roman"/>
          <w:szCs w:val="24"/>
        </w:rPr>
        <w:t>m，1.7</w:t>
      </w:r>
      <w:r>
        <w:rPr>
          <w:rFonts w:hint="eastAsia"/>
          <w:w w:val="50"/>
        </w:rPr>
        <w:t xml:space="preserve"> </w:t>
      </w:r>
      <w:r>
        <w:rPr>
          <w:rFonts w:ascii="Times New Roman" w:hAnsi="Times New Roman"/>
          <w:szCs w:val="24"/>
        </w:rPr>
        <w:t>m等）在室内空间、各个墙面安装好传感器，此外，在多孔天花板下方0.1</w:t>
      </w:r>
      <w:r>
        <w:rPr>
          <w:rFonts w:hint="eastAsia"/>
          <w:w w:val="50"/>
        </w:rPr>
        <w:t xml:space="preserve"> </w:t>
      </w:r>
      <w:r>
        <w:rPr>
          <w:rFonts w:ascii="Times New Roman" w:hAnsi="Times New Roman"/>
          <w:szCs w:val="24"/>
        </w:rPr>
        <w:t>m处（夏季室内最低温度在距离辐射板0.1</w:t>
      </w:r>
      <w:r>
        <w:rPr>
          <w:rFonts w:hint="eastAsia"/>
          <w:w w:val="50"/>
        </w:rPr>
        <w:t xml:space="preserve"> </w:t>
      </w:r>
      <w:r>
        <w:rPr>
          <w:rFonts w:ascii="Times New Roman" w:hAnsi="Times New Roman"/>
          <w:szCs w:val="24"/>
        </w:rPr>
        <w:t>m左右处）、空气载能腔中部布置温湿度传感器，进行温度和相对湿度测试布点；并在室内送、回风口以及除湿机组进出风口进行温度、相对湿度、风速布点，室外也布置温湿度传感器。人员全部离开室内，关好门窗。</w:t>
      </w:r>
    </w:p>
    <w:p>
      <w:pPr>
        <w:pStyle w:val="61"/>
        <w:autoSpaceDE/>
        <w:autoSpaceDN/>
        <w:spacing w:before="158" w:beforeLines="50" w:after="317" w:afterLines="100"/>
        <w:ind w:firstLine="0" w:firstLineChars="0"/>
        <w:jc w:val="center"/>
        <w:rPr>
          <w:rFonts w:hint="eastAsia" w:ascii="黑体" w:hAnsi="黑体" w:eastAsia="黑体" w:cs="黑体"/>
        </w:rPr>
      </w:pPr>
      <w:r>
        <w:drawing>
          <wp:inline distT="0" distB="0" distL="114300" distR="114300">
            <wp:extent cx="5755005" cy="3519805"/>
            <wp:effectExtent l="0" t="0" r="7620" b="4445"/>
            <wp:docPr id="14" name="图片 14" descr="温湿度传感器布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温湿度传感器布置"/>
                    <pic:cNvPicPr>
                      <a:picLocks noChangeAspect="1"/>
                    </pic:cNvPicPr>
                  </pic:nvPicPr>
                  <pic:blipFill>
                    <a:blip r:embed="rId17"/>
                    <a:stretch>
                      <a:fillRect/>
                    </a:stretch>
                  </pic:blipFill>
                  <pic:spPr>
                    <a:xfrm>
                      <a:off x="0" y="0"/>
                      <a:ext cx="5755005" cy="3519805"/>
                    </a:xfrm>
                    <a:prstGeom prst="rect">
                      <a:avLst/>
                    </a:prstGeom>
                  </pic:spPr>
                </pic:pic>
              </a:graphicData>
            </a:graphic>
          </wp:inline>
        </w:drawing>
      </w:r>
      <w:r>
        <w:rPr>
          <w:rFonts w:hint="eastAsia" w:ascii="黑体" w:hAnsi="黑体" w:eastAsia="黑体" w:cs="黑体"/>
        </w:rPr>
        <w:t>图A.1  室内空气温湿度传感器测点示意图</w:t>
      </w:r>
    </w:p>
    <w:p>
      <w:pPr>
        <w:pStyle w:val="61"/>
        <w:ind w:firstLine="0" w:firstLineChars="0"/>
        <w:jc w:val="center"/>
      </w:pPr>
      <w:r>
        <w:drawing>
          <wp:inline distT="0" distB="0" distL="114300" distR="114300">
            <wp:extent cx="2990850" cy="2978150"/>
            <wp:effectExtent l="0" t="0" r="0" b="3175"/>
            <wp:docPr id="254488057" name="图片 254488057" descr="墙壁温度热流密度布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488057" name="图片 254488057" descr="墙壁温度热流密度布置"/>
                    <pic:cNvPicPr>
                      <a:picLocks noChangeAspect="1"/>
                    </pic:cNvPicPr>
                  </pic:nvPicPr>
                  <pic:blipFill>
                    <a:blip r:embed="rId18"/>
                    <a:stretch>
                      <a:fillRect/>
                    </a:stretch>
                  </pic:blipFill>
                  <pic:spPr>
                    <a:xfrm>
                      <a:off x="0" y="0"/>
                      <a:ext cx="2990850" cy="2978150"/>
                    </a:xfrm>
                    <a:prstGeom prst="rect">
                      <a:avLst/>
                    </a:prstGeom>
                  </pic:spPr>
                </pic:pic>
              </a:graphicData>
            </a:graphic>
          </wp:inline>
        </w:drawing>
      </w:r>
    </w:p>
    <w:p>
      <w:pPr>
        <w:pStyle w:val="61"/>
        <w:autoSpaceDE/>
        <w:autoSpaceDN/>
        <w:spacing w:before="158" w:beforeLines="50" w:after="158" w:afterLines="50"/>
        <w:ind w:firstLine="0" w:firstLineChars="0"/>
        <w:jc w:val="center"/>
        <w:rPr>
          <w:rFonts w:hint="eastAsia" w:ascii="黑体" w:hAnsi="黑体" w:eastAsia="黑体" w:cs="黑体"/>
        </w:rPr>
      </w:pPr>
      <w:r>
        <w:rPr>
          <w:rFonts w:hint="eastAsia" w:ascii="黑体" w:hAnsi="黑体" w:eastAsia="黑体" w:cs="黑体"/>
        </w:rPr>
        <w:t>图A.2  墙壁表面温度、热流密度传感器布点示意图</w:t>
      </w:r>
    </w:p>
    <w:p>
      <w:pPr>
        <w:pStyle w:val="84"/>
        <w:spacing w:before="158" w:after="158" w:line="400" w:lineRule="exact"/>
        <w:outlineLvl w:val="0"/>
        <w:rPr>
          <w:rFonts w:ascii="Times New Roman"/>
          <w:bCs/>
          <w:szCs w:val="24"/>
        </w:rPr>
      </w:pPr>
      <w:bookmarkStart w:id="241" w:name="_Toc9040"/>
      <w:bookmarkStart w:id="242" w:name="_Toc30271"/>
      <w:bookmarkStart w:id="243" w:name="_Toc30847"/>
      <w:r>
        <w:rPr>
          <w:rFonts w:ascii="Times New Roman"/>
          <w:bCs/>
          <w:szCs w:val="24"/>
        </w:rPr>
        <w:t>数据采集实施阶段</w:t>
      </w:r>
      <w:bookmarkEnd w:id="241"/>
      <w:bookmarkEnd w:id="242"/>
      <w:bookmarkEnd w:id="243"/>
    </w:p>
    <w:p>
      <w:pPr>
        <w:adjustRightInd/>
        <w:spacing w:line="240" w:lineRule="auto"/>
        <w:ind w:firstLine="420" w:firstLineChars="200"/>
        <w:rPr>
          <w:rFonts w:ascii="Times New Roman" w:hAnsi="Times New Roman"/>
          <w:bCs/>
        </w:rPr>
      </w:pPr>
      <w:r>
        <w:rPr>
          <w:rFonts w:ascii="Times New Roman" w:hAnsi="Times New Roman"/>
          <w:bCs/>
        </w:rPr>
        <w:t>系统开机运行后，每隔1分钟测一次温度、湿度、风速、热流密度，直至室内温湿度达到稳定，并记录。稳定过程不应少于10分钟。</w:t>
      </w:r>
    </w:p>
    <w:p>
      <w:pPr>
        <w:pStyle w:val="83"/>
        <w:spacing w:before="158" w:after="158" w:line="400" w:lineRule="exact"/>
        <w:outlineLvl w:val="0"/>
        <w:rPr>
          <w:rFonts w:ascii="Times New Roman"/>
          <w:szCs w:val="21"/>
        </w:rPr>
      </w:pPr>
      <w:bookmarkStart w:id="244" w:name="_Toc1199"/>
      <w:bookmarkStart w:id="245" w:name="_Toc22093"/>
      <w:bookmarkStart w:id="246" w:name="_Toc4192"/>
      <w:r>
        <w:rPr>
          <w:rFonts w:ascii="Times New Roman"/>
          <w:szCs w:val="21"/>
        </w:rPr>
        <w:t>环境测试结果评价</w:t>
      </w:r>
      <w:bookmarkEnd w:id="244"/>
      <w:bookmarkEnd w:id="245"/>
      <w:bookmarkEnd w:id="246"/>
    </w:p>
    <w:p>
      <w:pPr>
        <w:numPr>
          <w:ilvl w:val="0"/>
          <w:numId w:val="36"/>
        </w:numPr>
        <w:adjustRightInd/>
        <w:spacing w:line="240" w:lineRule="auto"/>
        <w:ind w:left="840" w:leftChars="200" w:hanging="420" w:hangingChars="200"/>
        <w:rPr>
          <w:rFonts w:ascii="Times New Roman" w:hAnsi="Times New Roman"/>
          <w:bCs/>
        </w:rPr>
      </w:pPr>
      <w:r>
        <w:rPr>
          <w:rFonts w:ascii="Times New Roman" w:hAnsi="Times New Roman"/>
          <w:bCs/>
        </w:rPr>
        <w:t>室内垂直温差测试方法应符合GBT50785相关要求。应满足热舒适要求：人体脚踝与头部高度（0.1</w:t>
      </w:r>
      <w:r>
        <w:rPr>
          <w:rFonts w:hint="eastAsia"/>
          <w:w w:val="50"/>
        </w:rPr>
        <w:t xml:space="preserve"> </w:t>
      </w:r>
      <w:r>
        <w:rPr>
          <w:rFonts w:ascii="Times New Roman" w:hAnsi="Times New Roman"/>
          <w:bCs/>
        </w:rPr>
        <w:t>m-1.1</w:t>
      </w:r>
      <w:r>
        <w:rPr>
          <w:rFonts w:hint="eastAsia"/>
          <w:w w:val="50"/>
        </w:rPr>
        <w:t xml:space="preserve"> </w:t>
      </w:r>
      <w:r>
        <w:rPr>
          <w:rFonts w:ascii="Times New Roman" w:hAnsi="Times New Roman"/>
          <w:bCs/>
        </w:rPr>
        <w:t>m）温差＜2</w:t>
      </w:r>
      <w:r>
        <w:rPr>
          <w:rFonts w:hint="eastAsia"/>
          <w:w w:val="50"/>
        </w:rPr>
        <w:t xml:space="preserve"> </w:t>
      </w:r>
      <w:r>
        <w:rPr>
          <w:rFonts w:ascii="Times New Roman" w:hAnsi="Times New Roman"/>
          <w:bCs/>
        </w:rPr>
        <w:t>℃。风速不超过0.1 m/s。</w:t>
      </w:r>
    </w:p>
    <w:p>
      <w:pPr>
        <w:adjustRightInd/>
        <w:spacing w:line="240" w:lineRule="auto"/>
        <w:ind w:left="840" w:leftChars="200" w:hanging="420" w:hangingChars="200"/>
        <w:rPr>
          <w:rFonts w:ascii="Times New Roman" w:hAnsi="Times New Roman"/>
          <w:bCs/>
        </w:rPr>
      </w:pPr>
      <w:r>
        <w:rPr>
          <w:rFonts w:ascii="Times New Roman" w:hAnsi="Times New Roman"/>
          <w:bCs/>
        </w:rPr>
        <w:t>2）</w:t>
      </w:r>
      <w:r>
        <w:rPr>
          <w:rFonts w:hint="eastAsia" w:ascii="Times New Roman" w:hAnsi="Times New Roman"/>
          <w:bCs/>
        </w:rPr>
        <w:t xml:space="preserve"> </w:t>
      </w:r>
      <w:r>
        <w:rPr>
          <w:rFonts w:ascii="Times New Roman" w:hAnsi="Times New Roman"/>
          <w:bCs/>
        </w:rPr>
        <w:t>微孔辐射板下约0.1</w:t>
      </w:r>
      <w:r>
        <w:rPr>
          <w:rFonts w:hint="eastAsia"/>
          <w:w w:val="50"/>
        </w:rPr>
        <w:t xml:space="preserve"> </w:t>
      </w:r>
      <w:r>
        <w:rPr>
          <w:rFonts w:ascii="Times New Roman" w:hAnsi="Times New Roman"/>
          <w:bCs/>
        </w:rPr>
        <w:t>m处温度不高于微孔板壁面的温度。微孔辐射板的最低温度不应出现在微孔辐射板表面上。</w:t>
      </w:r>
    </w:p>
    <w:p>
      <w:pPr>
        <w:pStyle w:val="61"/>
        <w:ind w:left="840" w:leftChars="200" w:hanging="420" w:hangingChars="200"/>
        <w:rPr>
          <w:bCs/>
        </w:rPr>
      </w:pPr>
      <w:r>
        <w:rPr>
          <w:bCs/>
        </w:rPr>
        <w:t>3）</w:t>
      </w:r>
      <w:r>
        <w:rPr>
          <w:rFonts w:hint="eastAsia"/>
          <w:bCs/>
        </w:rPr>
        <w:t xml:space="preserve"> </w:t>
      </w:r>
      <w:r>
        <w:rPr>
          <w:bCs/>
          <w:szCs w:val="21"/>
        </w:rPr>
        <w:t>顶面辐射板下方小于0.1</w:t>
      </w:r>
      <w:r>
        <w:rPr>
          <w:rFonts w:hint="eastAsia"/>
          <w:w w:val="50"/>
        </w:rPr>
        <w:t xml:space="preserve"> </w:t>
      </w:r>
      <w:r>
        <w:rPr>
          <w:bCs/>
          <w:szCs w:val="21"/>
        </w:rPr>
        <w:t>m</w:t>
      </w:r>
      <w:r>
        <w:rPr>
          <w:rFonts w:hint="eastAsia"/>
          <w:bCs/>
          <w:szCs w:val="21"/>
        </w:rPr>
        <w:t>左右</w:t>
      </w:r>
      <w:r>
        <w:rPr>
          <w:bCs/>
          <w:szCs w:val="21"/>
        </w:rPr>
        <w:t>处的温度趋于稳定</w:t>
      </w:r>
      <w:r>
        <w:t>，测试范围可扩展到0.5</w:t>
      </w:r>
      <w:r>
        <w:rPr>
          <w:rFonts w:hint="eastAsia"/>
          <w:w w:val="50"/>
        </w:rPr>
        <w:t xml:space="preserve"> </w:t>
      </w:r>
      <w:r>
        <w:t>m范围内</w:t>
      </w:r>
      <w:r>
        <w:rPr>
          <w:bCs/>
        </w:rPr>
        <w:t>。</w:t>
      </w:r>
      <w:r>
        <w:t>冬季顶面辐射板温度不宜高于60</w:t>
      </w:r>
      <w:r>
        <w:rPr>
          <w:rFonts w:hint="eastAsia"/>
          <w:w w:val="50"/>
        </w:rPr>
        <w:t xml:space="preserve"> </w:t>
      </w:r>
      <w:r>
        <w:t>℃，夏季辐射板温度不宜低于15</w:t>
      </w:r>
      <w:r>
        <w:rPr>
          <w:rFonts w:hint="eastAsia"/>
          <w:w w:val="50"/>
        </w:rPr>
        <w:t xml:space="preserve"> </w:t>
      </w:r>
      <w:r>
        <w:t>℃。</w:t>
      </w:r>
    </w:p>
    <w:p>
      <w:pPr>
        <w:adjustRightInd/>
        <w:spacing w:line="240" w:lineRule="auto"/>
        <w:ind w:left="840" w:leftChars="200" w:hanging="420" w:hangingChars="200"/>
        <w:rPr>
          <w:rFonts w:ascii="Times New Roman" w:hAnsi="Times New Roman"/>
          <w:bCs/>
        </w:rPr>
      </w:pPr>
      <w:r>
        <w:rPr>
          <w:rFonts w:ascii="Times New Roman" w:hAnsi="Times New Roman"/>
          <w:bCs/>
        </w:rPr>
        <w:t>4）</w:t>
      </w:r>
      <w:r>
        <w:rPr>
          <w:rFonts w:hint="eastAsia" w:ascii="Times New Roman" w:hAnsi="Times New Roman"/>
          <w:bCs/>
        </w:rPr>
        <w:t xml:space="preserve"> </w:t>
      </w:r>
      <w:r>
        <w:rPr>
          <w:rFonts w:ascii="Times New Roman" w:hAnsi="Times New Roman"/>
          <w:bCs/>
        </w:rPr>
        <w:t>冷热负荷测试方法应符合GB 50243相关要求。冷热负荷在夏季</w:t>
      </w:r>
      <w:r>
        <w:rPr>
          <w:rFonts w:hint="eastAsia" w:ascii="Times New Roman" w:hAnsi="Times New Roman"/>
          <w:bCs/>
        </w:rPr>
        <w:t>、冬季</w:t>
      </w:r>
      <w:r>
        <w:rPr>
          <w:rFonts w:ascii="Times New Roman" w:hAnsi="Times New Roman"/>
          <w:bCs/>
        </w:rPr>
        <w:t>不超过中央空调（含家用）对流末端要求的供冷</w:t>
      </w:r>
      <w:r>
        <w:rPr>
          <w:rFonts w:hint="eastAsia" w:ascii="Times New Roman" w:hAnsi="Times New Roman"/>
          <w:bCs/>
        </w:rPr>
        <w:t>、供热</w:t>
      </w:r>
      <w:r>
        <w:rPr>
          <w:rFonts w:ascii="Times New Roman" w:hAnsi="Times New Roman"/>
          <w:bCs/>
        </w:rPr>
        <w:t>负荷的80%</w:t>
      </w:r>
      <w:r>
        <w:rPr>
          <w:rFonts w:hint="eastAsia" w:ascii="Times New Roman" w:hAnsi="Times New Roman"/>
          <w:bCs/>
        </w:rPr>
        <w:t>左右</w:t>
      </w:r>
      <w:r>
        <w:rPr>
          <w:rFonts w:ascii="Times New Roman" w:hAnsi="Times New Roman"/>
          <w:bCs/>
        </w:rPr>
        <w:t>。末端单位面积供冷、供热量不低于40</w:t>
      </w:r>
      <w:r>
        <w:rPr>
          <w:rFonts w:hint="eastAsia"/>
          <w:w w:val="50"/>
        </w:rPr>
        <w:t xml:space="preserve"> </w:t>
      </w:r>
      <w:r>
        <w:rPr>
          <w:rFonts w:ascii="Times New Roman" w:hAnsi="Times New Roman"/>
          <w:bCs/>
        </w:rPr>
        <w:t>W/m</w:t>
      </w:r>
      <w:r>
        <w:rPr>
          <w:rFonts w:ascii="Times New Roman" w:hAnsi="Times New Roman"/>
          <w:bCs/>
          <w:vertAlign w:val="superscript"/>
        </w:rPr>
        <w:t>2</w:t>
      </w:r>
      <w:r>
        <w:rPr>
          <w:rFonts w:ascii="Times New Roman" w:hAnsi="Times New Roman"/>
          <w:bCs/>
        </w:rPr>
        <w:t>。</w:t>
      </w:r>
    </w:p>
    <w:p>
      <w:pPr>
        <w:pStyle w:val="83"/>
        <w:spacing w:before="158" w:after="158" w:line="400" w:lineRule="exact"/>
        <w:outlineLvl w:val="0"/>
        <w:rPr>
          <w:rFonts w:ascii="Times New Roman"/>
          <w:szCs w:val="21"/>
        </w:rPr>
      </w:pPr>
      <w:bookmarkStart w:id="247" w:name="_Toc2594"/>
      <w:bookmarkStart w:id="248" w:name="_Toc29056"/>
      <w:bookmarkStart w:id="249" w:name="_Toc28297"/>
      <w:r>
        <w:rPr>
          <w:rFonts w:ascii="Times New Roman"/>
          <w:szCs w:val="21"/>
        </w:rPr>
        <w:t>系统能效测试</w:t>
      </w:r>
      <w:bookmarkEnd w:id="247"/>
      <w:bookmarkEnd w:id="248"/>
      <w:bookmarkEnd w:id="249"/>
    </w:p>
    <w:p>
      <w:pPr>
        <w:adjustRightInd/>
        <w:ind w:firstLine="420" w:firstLineChars="200"/>
        <w:rPr>
          <w:rFonts w:ascii="Times New Roman" w:hAnsi="Times New Roman"/>
        </w:rPr>
      </w:pPr>
      <w:r>
        <w:rPr>
          <w:rFonts w:ascii="Times New Roman" w:hAnsi="Times New Roman"/>
        </w:rPr>
        <w:t>空气源热泵空调系统能效测试应依据GB 21455确定房间空气调节器（包括变频和定频产品）的能效等级、限定值及测试方法，适用于空气源热泵空调系统的能效测试。评价指标如全年能源消耗效率（APF）、制冷季节能源消耗效率（SEER）、制热季节性能系数（HSPF）等。</w:t>
      </w:r>
    </w:p>
    <w:p>
      <w:pPr>
        <w:adjustRightInd/>
        <w:ind w:firstLine="420" w:firstLineChars="200"/>
        <w:rPr>
          <w:rFonts w:ascii="Times New Roman" w:hAnsi="Times New Roman"/>
        </w:rPr>
      </w:pPr>
      <w:r>
        <w:rPr>
          <w:rFonts w:ascii="Times New Roman" w:hAnsi="Times New Roman"/>
        </w:rPr>
        <w:t>水源系统能效测试应依据GB/T 19409确定以水为热源/热汇的热泵机组性能测试方法，适用于水源系统的能效测试。评价指标包括制冷量、制热量、能效比（COP）等，结合水温、流量等参数，评估机组在不同工况下的能效表现。</w:t>
      </w:r>
    </w:p>
    <w:p>
      <w:pPr>
        <w:adjustRightInd/>
        <w:ind w:firstLine="420" w:firstLineChars="200"/>
        <w:rPr>
          <w:rFonts w:ascii="Times New Roman" w:hAnsi="Times New Roman"/>
        </w:rPr>
      </w:pPr>
      <w:r>
        <w:rPr>
          <w:rFonts w:ascii="Times New Roman" w:hAnsi="Times New Roman"/>
        </w:rPr>
        <w:t>土壤源（地源）热泵系统能效测试应依据GB 50366确定地埋管换热系统、地下水换热系统的设计与测试，包括土壤热响应试验方法，适用于土壤源热泵的能效监测。评价指标如土壤导热系数、地埋管换热效率、系统综合能效比（EER/COP）等。</w:t>
      </w:r>
    </w:p>
    <w:p>
      <w:pPr>
        <w:adjustRightInd/>
        <w:ind w:firstLine="420" w:firstLineChars="200"/>
        <w:rPr>
          <w:rFonts w:ascii="Times New Roman" w:hAnsi="Times New Roman"/>
        </w:rPr>
      </w:pPr>
      <w:r>
        <w:rPr>
          <w:rFonts w:ascii="Times New Roman" w:hAnsi="Times New Roman"/>
        </w:rPr>
        <w:t>光伏系统集成与能效应依据GB/T 30153确定光伏监测参数，适用于光伏空调系统能效评估。测试如总辐射、法向直接辐射、散射辐射等数据的实时采集方法。参照GB 50411验收要求中“太阳能光伏节能工程”章节，确定光伏系统与建筑一体化设计的能效验收标准。</w:t>
      </w:r>
    </w:p>
    <w:p>
      <w:pPr>
        <w:adjustRightInd/>
        <w:ind w:firstLine="420" w:firstLineChars="200"/>
        <w:rPr>
          <w:rFonts w:hint="eastAsia" w:ascii="Times New Roman" w:hAnsi="Times New Roman"/>
          <w:highlight w:val="none"/>
        </w:rPr>
      </w:pPr>
      <w:r>
        <w:rPr>
          <w:rFonts w:hint="eastAsia" w:ascii="Times New Roman" w:hAnsi="Times New Roman"/>
          <w:highlight w:val="none"/>
        </w:rPr>
        <w:t>制冷剂工质系统的能效测试应满足：冷水机组按 GB/T 10870 测定COP及IPLV；低温空气源热泵按 GB/T 25127.1 测试-12℃制热COP；多联机系统按 GB/T 18837 计算APF；氨系统能效安全双验证执行 GB/T 18431。</w:t>
      </w:r>
    </w:p>
    <w:p>
      <w:pPr>
        <w:pStyle w:val="61"/>
        <w:ind w:firstLine="0" w:firstLineChars="0"/>
        <w:jc w:val="center"/>
      </w:pPr>
      <w:bookmarkStart w:id="250" w:name="BookMark8"/>
      <w:r>
        <w:drawing>
          <wp:inline distT="0" distB="0" distL="0" distR="0">
            <wp:extent cx="1485900" cy="317500"/>
            <wp:effectExtent l="0" t="0" r="12700" b="1270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9"/>
                    <a:stretch>
                      <a:fillRect/>
                    </a:stretch>
                  </pic:blipFill>
                  <pic:spPr>
                    <a:xfrm>
                      <a:off x="0" y="0"/>
                      <a:ext cx="1485900" cy="317500"/>
                    </a:xfrm>
                    <a:prstGeom prst="rect">
                      <a:avLst/>
                    </a:prstGeom>
                  </pic:spPr>
                </pic:pic>
              </a:graphicData>
            </a:graphic>
          </wp:inline>
        </w:drawing>
      </w:r>
      <w:bookmarkEnd w:id="250"/>
    </w:p>
    <w:p>
      <w:pPr>
        <w:pStyle w:val="61"/>
      </w:pPr>
    </w:p>
    <w:sectPr>
      <w:pgSz w:w="11906" w:h="16838"/>
      <w:pgMar w:top="1417" w:right="1134" w:bottom="1134" w:left="1417" w:header="1417" w:footer="1134" w:gutter="283"/>
      <w:cols w:space="0" w:num="1"/>
      <w:formProt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auto"/>
    <w:pitch w:val="default"/>
    <w:sig w:usb0="E0002AFF" w:usb1="C0007843" w:usb2="00000009" w:usb3="00000000" w:csb0="400001FF" w:csb1="FFFF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7"/>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left"/>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PAGE   \* MERGEFORMAT</w:instrText>
                          </w:r>
                          <w:r>
                            <w:fldChar w:fldCharType="separate"/>
                          </w:r>
                          <w:r>
                            <w:rPr>
                              <w:lang w:val="zh-CN"/>
                            </w:rPr>
                            <w:t>3</w:t>
                          </w:r>
                          <w:r>
                            <w:fldChar w:fldCharType="end"/>
                          </w:r>
                        </w:p>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57"/>
                    </w:pPr>
                    <w:r>
                      <w:fldChar w:fldCharType="begin"/>
                    </w:r>
                    <w:r>
                      <w:instrText xml:space="preserve">PAGE   \* MERGEFORMAT</w:instrText>
                    </w:r>
                    <w:r>
                      <w:fldChar w:fldCharType="separate"/>
                    </w:r>
                    <w:r>
                      <w:rPr>
                        <w:lang w:val="zh-CN"/>
                      </w:rPr>
                      <w:t>3</w:t>
                    </w:r>
                    <w:r>
                      <w:fldChar w:fldCharType="end"/>
                    </w:r>
                  </w:p>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1"/>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mSwMQAgAABwQAAA4AAABkcnMvZTJvRG9jLnhtbK1TzY7TMBC+I/EO&#10;lu80aRGrbt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8JksDEAIAAAcEAAAOAAAAAAAAAAEAIAAA&#10;AB8BAABkcnMvZTJvRG9jLnhtbFBLBQYAAAAABgAGAFkBAAChBQAAAAA=&#10;">
              <v:fill on="f" focussize="0,0"/>
              <v:stroke on="f" weight="0.5pt"/>
              <v:imagedata o:title=""/>
              <o:lock v:ext="edit" aspectratio="f"/>
              <v:textbox inset="0mm,0mm,0mm,0mm" style="mso-fit-shape-to-text:t;">
                <w:txbxContent>
                  <w:p>
                    <w:pPr>
                      <w:pStyle w:val="19"/>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spacing w:line="240" w:lineRule="auto"/>
      <w:jc w:val="right"/>
      <w:rPr>
        <w:rFonts w:hint="eastAsia"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rPr>
        <w:rFonts w:hint="eastAsia"/>
      </w:rPr>
    </w:pPr>
    <w:r>
      <w:fldChar w:fldCharType="begin"/>
    </w:r>
    <w:r>
      <w:instrText xml:space="preserve"> STYLEREF  标准文件_文件编号  \* MERGEFORMAT </w:instrText>
    </w:r>
    <w:r>
      <w:fldChar w:fldCharType="separate"/>
    </w:r>
    <w:r>
      <w:t>DB43/T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left"/>
      <w:rPr>
        <w:lang w:val="fr-FR"/>
      </w:rPr>
    </w:pPr>
    <w:r>
      <w:rPr>
        <w:rFonts w:hint="eastAsia" w:ascii="黑体" w:hAnsi="黑体" w:eastAsia="黑体" w:cs="黑体"/>
        <w:sz w:val="20"/>
        <w:szCs w:val="20"/>
      </w:rPr>
      <w:fldChar w:fldCharType="begin"/>
    </w:r>
    <w:r>
      <w:rPr>
        <w:rFonts w:hint="eastAsia" w:ascii="黑体" w:hAnsi="黑体" w:eastAsia="黑体" w:cs="黑体"/>
        <w:sz w:val="20"/>
        <w:szCs w:val="20"/>
        <w:lang w:val="fr-FR"/>
      </w:rPr>
      <w:instrText xml:space="preserve"> STYLEREF  </w:instrText>
    </w:r>
    <w:r>
      <w:rPr>
        <w:rFonts w:hint="eastAsia" w:ascii="黑体" w:hAnsi="黑体" w:eastAsia="黑体" w:cs="黑体"/>
        <w:sz w:val="20"/>
        <w:szCs w:val="20"/>
      </w:rPr>
      <w:instrText xml:space="preserve">标准文件</w:instrText>
    </w:r>
    <w:r>
      <w:rPr>
        <w:rFonts w:hint="eastAsia" w:ascii="黑体" w:hAnsi="黑体" w:eastAsia="黑体" w:cs="黑体"/>
        <w:sz w:val="20"/>
        <w:szCs w:val="20"/>
        <w:lang w:val="fr-FR"/>
      </w:rPr>
      <w:instrText xml:space="preserve">_</w:instrText>
    </w:r>
    <w:r>
      <w:rPr>
        <w:rFonts w:hint="eastAsia" w:ascii="黑体" w:hAnsi="黑体" w:eastAsia="黑体" w:cs="黑体"/>
        <w:sz w:val="20"/>
        <w:szCs w:val="20"/>
      </w:rPr>
      <w:instrText xml:space="preserve">文件编号</w:instrText>
    </w:r>
    <w:r>
      <w:rPr>
        <w:rFonts w:hint="eastAsia" w:ascii="黑体" w:hAnsi="黑体" w:eastAsia="黑体" w:cs="黑体"/>
        <w:sz w:val="20"/>
        <w:szCs w:val="20"/>
        <w:lang w:val="fr-FR"/>
      </w:rPr>
      <w:instrText xml:space="preserve">  \* MERGEFORMAT </w:instrText>
    </w:r>
    <w:r>
      <w:rPr>
        <w:rFonts w:hint="eastAsia" w:ascii="黑体" w:hAnsi="黑体" w:eastAsia="黑体" w:cs="黑体"/>
        <w:sz w:val="20"/>
        <w:szCs w:val="20"/>
      </w:rPr>
      <w:fldChar w:fldCharType="separate"/>
    </w:r>
    <w:r>
      <w:rPr>
        <w:rFonts w:hint="eastAsia" w:ascii="黑体" w:hAnsi="黑体" w:eastAsia="黑体" w:cs="黑体"/>
        <w:sz w:val="20"/>
        <w:szCs w:val="20"/>
        <w:lang w:val="fr-FR"/>
      </w:rPr>
      <w:t>DB43/T XXXX—XXXX</w:t>
    </w:r>
    <w:r>
      <w:rPr>
        <w:rFonts w:hint="eastAsia" w:ascii="黑体" w:hAnsi="黑体" w:eastAsia="黑体" w:cs="黑体"/>
        <w:sz w:val="20"/>
        <w:szCs w:val="20"/>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spacing w:after="283"/>
      <w:rPr>
        <w:rFonts w:hint="eastAsia"/>
      </w:rPr>
    </w:pPr>
    <w:r>
      <w:fldChar w:fldCharType="begin"/>
    </w:r>
    <w:r>
      <w:instrText xml:space="preserve"> STYLEREF  标准文件_文件编号  \* MERGEFORMAT </w:instrText>
    </w:r>
    <w:r>
      <w:fldChar w:fldCharType="separate"/>
    </w:r>
    <w:r>
      <w:t>DB43/T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283" w:line="240" w:lineRule="auto"/>
      <w:jc w:val="left"/>
    </w:pPr>
    <w:r>
      <w:rPr>
        <w:rFonts w:hint="eastAsia" w:ascii="黑体" w:hAnsi="黑体" w:eastAsia="黑体" w:cs="黑体"/>
        <w:sz w:val="21"/>
        <w:szCs w:val="21"/>
      </w:rPr>
      <w:fldChar w:fldCharType="begin"/>
    </w:r>
    <w:r>
      <w:rPr>
        <w:rFonts w:hint="eastAsia" w:ascii="黑体" w:hAnsi="黑体" w:eastAsia="黑体" w:cs="黑体"/>
        <w:sz w:val="21"/>
        <w:szCs w:val="21"/>
        <w:lang w:val="fr-FR"/>
      </w:rPr>
      <w:instrText xml:space="preserve"> STYLEREF  </w:instrText>
    </w:r>
    <w:r>
      <w:rPr>
        <w:rFonts w:hint="eastAsia" w:ascii="黑体" w:hAnsi="黑体" w:eastAsia="黑体" w:cs="黑体"/>
        <w:sz w:val="21"/>
        <w:szCs w:val="21"/>
      </w:rPr>
      <w:instrText xml:space="preserve">标准文件</w:instrText>
    </w:r>
    <w:r>
      <w:rPr>
        <w:rFonts w:hint="eastAsia" w:ascii="黑体" w:hAnsi="黑体" w:eastAsia="黑体" w:cs="黑体"/>
        <w:sz w:val="21"/>
        <w:szCs w:val="21"/>
        <w:lang w:val="fr-FR"/>
      </w:rPr>
      <w:instrText xml:space="preserve">_</w:instrText>
    </w:r>
    <w:r>
      <w:rPr>
        <w:rFonts w:hint="eastAsia" w:ascii="黑体" w:hAnsi="黑体" w:eastAsia="黑体" w:cs="黑体"/>
        <w:sz w:val="21"/>
        <w:szCs w:val="21"/>
      </w:rPr>
      <w:instrText xml:space="preserve">文件编号</w:instrText>
    </w:r>
    <w:r>
      <w:rPr>
        <w:rFonts w:hint="eastAsia" w:ascii="黑体" w:hAnsi="黑体" w:eastAsia="黑体" w:cs="黑体"/>
        <w:sz w:val="21"/>
        <w:szCs w:val="21"/>
        <w:lang w:val="fr-FR"/>
      </w:rPr>
      <w:instrText xml:space="preserve">  \* MERGEFORMAT </w:instrText>
    </w:r>
    <w:r>
      <w:rPr>
        <w:rFonts w:hint="eastAsia" w:ascii="黑体" w:hAnsi="黑体" w:eastAsia="黑体" w:cs="黑体"/>
        <w:sz w:val="21"/>
        <w:szCs w:val="21"/>
      </w:rPr>
      <w:fldChar w:fldCharType="separate"/>
    </w:r>
    <w:r>
      <w:rPr>
        <w:rFonts w:hint="eastAsia" w:ascii="黑体" w:hAnsi="黑体" w:eastAsia="黑体" w:cs="黑体"/>
        <w:sz w:val="21"/>
        <w:szCs w:val="21"/>
        <w:lang w:val="fr-FR"/>
      </w:rPr>
      <w:t>DB43/T XXXX—XXXX</w:t>
    </w:r>
    <w:r>
      <w:rPr>
        <w:rFonts w:hint="eastAsia" w:ascii="黑体" w:hAnsi="黑体" w:eastAsia="黑体" w:cs="黑体"/>
        <w:sz w:val="21"/>
        <w:szCs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EFB119"/>
    <w:multiLevelType w:val="singleLevel"/>
    <w:tmpl w:val="D9EFB119"/>
    <w:lvl w:ilvl="0" w:tentative="0">
      <w:start w:val="1"/>
      <w:numFmt w:val="lowerLetter"/>
      <w:suff w:val="space"/>
      <w:lvlText w:val="%1）"/>
      <w:lvlJc w:val="left"/>
    </w:lvl>
  </w:abstractNum>
  <w:abstractNum w:abstractNumId="1">
    <w:nsid w:val="E6FD298D"/>
    <w:multiLevelType w:val="singleLevel"/>
    <w:tmpl w:val="E6FD298D"/>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E65BDCD"/>
    <w:multiLevelType w:val="multilevel"/>
    <w:tmpl w:val="3E65BDCD"/>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3B2446D"/>
    <w:multiLevelType w:val="singleLevel"/>
    <w:tmpl w:val="53B2446D"/>
    <w:lvl w:ilvl="0" w:tentative="0">
      <w:start w:val="1"/>
      <w:numFmt w:val="lowerLetter"/>
      <w:suff w:val="space"/>
      <w:lvlText w:val="%1）"/>
      <w:lvlJc w:val="left"/>
    </w:lvl>
  </w:abstractNum>
  <w:abstractNum w:abstractNumId="20">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2411"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94A1398"/>
    <w:multiLevelType w:val="singleLevel"/>
    <w:tmpl w:val="594A1398"/>
    <w:lvl w:ilvl="0" w:tentative="0">
      <w:start w:val="1"/>
      <w:numFmt w:val="decimal"/>
      <w:suff w:val="space"/>
      <w:lvlText w:val="%1）"/>
      <w:lvlJc w:val="left"/>
    </w:lvl>
  </w:abstractNum>
  <w:abstractNum w:abstractNumId="25">
    <w:nsid w:val="59D76875"/>
    <w:multiLevelType w:val="singleLevel"/>
    <w:tmpl w:val="59D76875"/>
    <w:lvl w:ilvl="0" w:tentative="0">
      <w:start w:val="1"/>
      <w:numFmt w:val="decimal"/>
      <w:suff w:val="space"/>
      <w:lvlText w:val="%1）"/>
      <w:lvlJc w:val="left"/>
    </w:lvl>
  </w:abstractNum>
  <w:abstractNum w:abstractNumId="26">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7"/>
      <w:suff w:val="nothing"/>
      <w:lvlText w:val="表%1　"/>
      <w:lvlJc w:val="left"/>
      <w:pPr>
        <w:ind w:left="4395"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568" w:firstLine="0"/>
      </w:pPr>
      <w:rPr>
        <w:rFonts w:hint="eastAsia" w:ascii="黑体" w:eastAsia="黑体"/>
        <w:b w:val="0"/>
        <w:i w:val="0"/>
        <w:sz w:val="21"/>
      </w:rPr>
    </w:lvl>
    <w:lvl w:ilvl="2" w:tentative="0">
      <w:start w:val="1"/>
      <w:numFmt w:val="decimal"/>
      <w:pStyle w:val="110"/>
      <w:suff w:val="nothing"/>
      <w:lvlText w:val="%1%2.%3　"/>
      <w:lvlJc w:val="left"/>
      <w:pPr>
        <w:ind w:left="3828" w:firstLine="0"/>
      </w:pPr>
      <w:rPr>
        <w:rFonts w:hint="default"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1843" w:firstLine="0"/>
      </w:pPr>
      <w:rPr>
        <w:rFonts w:hint="default" w:ascii="黑体" w:eastAsia="黑体"/>
        <w:b w:val="0"/>
        <w:bCs w:val="0"/>
        <w:i w:val="0"/>
        <w:sz w:val="21"/>
        <w:szCs w:val="20"/>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84"/>
      <w:lvlText w:val="%1注："/>
      <w:lvlJc w:val="left"/>
      <w:pPr>
        <w:ind w:left="2643"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2"/>
  </w:num>
  <w:num w:numId="3">
    <w:abstractNumId w:val="7"/>
  </w:num>
  <w:num w:numId="4">
    <w:abstractNumId w:val="14"/>
  </w:num>
  <w:num w:numId="5">
    <w:abstractNumId w:val="22"/>
  </w:num>
  <w:num w:numId="6">
    <w:abstractNumId w:val="16"/>
  </w:num>
  <w:num w:numId="7">
    <w:abstractNumId w:val="10"/>
  </w:num>
  <w:num w:numId="8">
    <w:abstractNumId w:val="5"/>
  </w:num>
  <w:num w:numId="9">
    <w:abstractNumId w:val="11"/>
  </w:num>
  <w:num w:numId="10">
    <w:abstractNumId w:val="20"/>
  </w:num>
  <w:num w:numId="11">
    <w:abstractNumId w:val="30"/>
  </w:num>
  <w:num w:numId="12">
    <w:abstractNumId w:val="13"/>
  </w:num>
  <w:num w:numId="13">
    <w:abstractNumId w:val="15"/>
  </w:num>
  <w:num w:numId="14">
    <w:abstractNumId w:val="9"/>
  </w:num>
  <w:num w:numId="15">
    <w:abstractNumId w:val="23"/>
  </w:num>
  <w:num w:numId="16">
    <w:abstractNumId w:val="27"/>
  </w:num>
  <w:num w:numId="17">
    <w:abstractNumId w:val="21"/>
  </w:num>
  <w:num w:numId="18">
    <w:abstractNumId w:val="34"/>
  </w:num>
  <w:num w:numId="19">
    <w:abstractNumId w:val="18"/>
  </w:num>
  <w:num w:numId="20">
    <w:abstractNumId w:val="3"/>
  </w:num>
  <w:num w:numId="21">
    <w:abstractNumId w:val="12"/>
  </w:num>
  <w:num w:numId="22">
    <w:abstractNumId w:val="35"/>
  </w:num>
  <w:num w:numId="23">
    <w:abstractNumId w:val="26"/>
  </w:num>
  <w:num w:numId="24">
    <w:abstractNumId w:val="8"/>
  </w:num>
  <w:num w:numId="25">
    <w:abstractNumId w:val="31"/>
  </w:num>
  <w:num w:numId="26">
    <w:abstractNumId w:val="33"/>
  </w:num>
  <w:num w:numId="27">
    <w:abstractNumId w:val="4"/>
  </w:num>
  <w:num w:numId="28">
    <w:abstractNumId w:val="6"/>
  </w:num>
  <w:num w:numId="29">
    <w:abstractNumId w:val="17"/>
  </w:num>
  <w:num w:numId="30">
    <w:abstractNumId w:val="29"/>
  </w:num>
  <w:num w:numId="31">
    <w:abstractNumId w:val="28"/>
  </w:num>
  <w:num w:numId="32">
    <w:abstractNumId w:val="19"/>
  </w:num>
  <w:num w:numId="33">
    <w:abstractNumId w:val="25"/>
  </w:num>
  <w:num w:numId="34">
    <w:abstractNumId w:val="24"/>
  </w:num>
  <w:num w:numId="35">
    <w:abstractNumId w:val="0"/>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mirrorMargins w:val="1"/>
  <w:bordersDoNotSurroundHeader w:val="0"/>
  <w:bordersDoNotSurroundFooter w:val="0"/>
  <w:documentProtection w:edit="forms" w:enforcement="0"/>
  <w:defaultTabStop w:val="420"/>
  <w:evenAndOddHeaders w:val="1"/>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0MmM2YjVhZjQyODIxOTQ1ODI5MjRjMDg2ZTQ1ZGQifQ=="/>
  </w:docVars>
  <w:rsids>
    <w:rsidRoot w:val="00172A27"/>
    <w:rsid w:val="0000040A"/>
    <w:rsid w:val="00000A94"/>
    <w:rsid w:val="00000B07"/>
    <w:rsid w:val="00001972"/>
    <w:rsid w:val="00001D9A"/>
    <w:rsid w:val="000029B1"/>
    <w:rsid w:val="00004154"/>
    <w:rsid w:val="00004A3C"/>
    <w:rsid w:val="00004D1A"/>
    <w:rsid w:val="00005AA8"/>
    <w:rsid w:val="00007311"/>
    <w:rsid w:val="00007B3A"/>
    <w:rsid w:val="00007BD2"/>
    <w:rsid w:val="000107E0"/>
    <w:rsid w:val="00011FDE"/>
    <w:rsid w:val="00012FFD"/>
    <w:rsid w:val="00013A0A"/>
    <w:rsid w:val="00014162"/>
    <w:rsid w:val="00014340"/>
    <w:rsid w:val="0001468C"/>
    <w:rsid w:val="000147CC"/>
    <w:rsid w:val="00016503"/>
    <w:rsid w:val="00016747"/>
    <w:rsid w:val="00016A9C"/>
    <w:rsid w:val="00017BA1"/>
    <w:rsid w:val="00022184"/>
    <w:rsid w:val="00022762"/>
    <w:rsid w:val="00023742"/>
    <w:rsid w:val="000238E0"/>
    <w:rsid w:val="00024788"/>
    <w:rsid w:val="000249DB"/>
    <w:rsid w:val="00024E75"/>
    <w:rsid w:val="00024EE0"/>
    <w:rsid w:val="0002563D"/>
    <w:rsid w:val="000257D6"/>
    <w:rsid w:val="0002595E"/>
    <w:rsid w:val="000266CA"/>
    <w:rsid w:val="00026D9F"/>
    <w:rsid w:val="0002709F"/>
    <w:rsid w:val="000303C3"/>
    <w:rsid w:val="00030D98"/>
    <w:rsid w:val="00030EB7"/>
    <w:rsid w:val="000331D3"/>
    <w:rsid w:val="00033649"/>
    <w:rsid w:val="000346A5"/>
    <w:rsid w:val="000349A7"/>
    <w:rsid w:val="000359C3"/>
    <w:rsid w:val="00035A7D"/>
    <w:rsid w:val="000365ED"/>
    <w:rsid w:val="0003671D"/>
    <w:rsid w:val="00041DB1"/>
    <w:rsid w:val="0004249A"/>
    <w:rsid w:val="00043282"/>
    <w:rsid w:val="00044286"/>
    <w:rsid w:val="0004464A"/>
    <w:rsid w:val="000446ED"/>
    <w:rsid w:val="00047356"/>
    <w:rsid w:val="00047F28"/>
    <w:rsid w:val="000503AA"/>
    <w:rsid w:val="000506A1"/>
    <w:rsid w:val="000515B3"/>
    <w:rsid w:val="000515DD"/>
    <w:rsid w:val="00051A40"/>
    <w:rsid w:val="00051E05"/>
    <w:rsid w:val="0005265A"/>
    <w:rsid w:val="000539DD"/>
    <w:rsid w:val="00053BD3"/>
    <w:rsid w:val="00053C0E"/>
    <w:rsid w:val="00054DD9"/>
    <w:rsid w:val="000556ED"/>
    <w:rsid w:val="00055ED6"/>
    <w:rsid w:val="00055FE2"/>
    <w:rsid w:val="0005616F"/>
    <w:rsid w:val="00057494"/>
    <w:rsid w:val="00060C2E"/>
    <w:rsid w:val="00061033"/>
    <w:rsid w:val="000619E9"/>
    <w:rsid w:val="00061ADA"/>
    <w:rsid w:val="000622D4"/>
    <w:rsid w:val="0006357D"/>
    <w:rsid w:val="00063723"/>
    <w:rsid w:val="00063E73"/>
    <w:rsid w:val="00066AF5"/>
    <w:rsid w:val="00067F1E"/>
    <w:rsid w:val="00071CC0"/>
    <w:rsid w:val="00073C8C"/>
    <w:rsid w:val="00074771"/>
    <w:rsid w:val="00077B64"/>
    <w:rsid w:val="00080374"/>
    <w:rsid w:val="00080A1C"/>
    <w:rsid w:val="00082317"/>
    <w:rsid w:val="00082D49"/>
    <w:rsid w:val="00083D2C"/>
    <w:rsid w:val="000846EA"/>
    <w:rsid w:val="00086AA1"/>
    <w:rsid w:val="00086EEF"/>
    <w:rsid w:val="00087A77"/>
    <w:rsid w:val="00090A5C"/>
    <w:rsid w:val="00090CA6"/>
    <w:rsid w:val="00090E80"/>
    <w:rsid w:val="00092991"/>
    <w:rsid w:val="00092B8A"/>
    <w:rsid w:val="00092FB0"/>
    <w:rsid w:val="000932E3"/>
    <w:rsid w:val="000934C5"/>
    <w:rsid w:val="000938B6"/>
    <w:rsid w:val="00093D25"/>
    <w:rsid w:val="00093DAB"/>
    <w:rsid w:val="0009409C"/>
    <w:rsid w:val="00094526"/>
    <w:rsid w:val="00094D73"/>
    <w:rsid w:val="00096B7A"/>
    <w:rsid w:val="00096D63"/>
    <w:rsid w:val="000A0B60"/>
    <w:rsid w:val="000A0EB8"/>
    <w:rsid w:val="000A19F9"/>
    <w:rsid w:val="000A19FC"/>
    <w:rsid w:val="000A27CE"/>
    <w:rsid w:val="000A296B"/>
    <w:rsid w:val="000A3B7E"/>
    <w:rsid w:val="000A4A1B"/>
    <w:rsid w:val="000A6EA2"/>
    <w:rsid w:val="000A7311"/>
    <w:rsid w:val="000B0053"/>
    <w:rsid w:val="000B060F"/>
    <w:rsid w:val="000B1592"/>
    <w:rsid w:val="000B1FF2"/>
    <w:rsid w:val="000B3158"/>
    <w:rsid w:val="000B3CDA"/>
    <w:rsid w:val="000B5B84"/>
    <w:rsid w:val="000B63F2"/>
    <w:rsid w:val="000B6A0B"/>
    <w:rsid w:val="000C0F6C"/>
    <w:rsid w:val="000C11DB"/>
    <w:rsid w:val="000C1492"/>
    <w:rsid w:val="000C2FBD"/>
    <w:rsid w:val="000C3493"/>
    <w:rsid w:val="000C4B41"/>
    <w:rsid w:val="000C57D6"/>
    <w:rsid w:val="000C62BF"/>
    <w:rsid w:val="000C6362"/>
    <w:rsid w:val="000C6511"/>
    <w:rsid w:val="000C7666"/>
    <w:rsid w:val="000D0482"/>
    <w:rsid w:val="000D0A9C"/>
    <w:rsid w:val="000D1795"/>
    <w:rsid w:val="000D1FC5"/>
    <w:rsid w:val="000D329A"/>
    <w:rsid w:val="000D4A47"/>
    <w:rsid w:val="000D4B9C"/>
    <w:rsid w:val="000D4EB6"/>
    <w:rsid w:val="000D5AE5"/>
    <w:rsid w:val="000D656A"/>
    <w:rsid w:val="000D65A0"/>
    <w:rsid w:val="000D753B"/>
    <w:rsid w:val="000E2043"/>
    <w:rsid w:val="000E319B"/>
    <w:rsid w:val="000E4303"/>
    <w:rsid w:val="000E4976"/>
    <w:rsid w:val="000E4C9E"/>
    <w:rsid w:val="000E6EDC"/>
    <w:rsid w:val="000E6FD7"/>
    <w:rsid w:val="000F06E1"/>
    <w:rsid w:val="000F078C"/>
    <w:rsid w:val="000F0B9B"/>
    <w:rsid w:val="000F0E3C"/>
    <w:rsid w:val="000F19D5"/>
    <w:rsid w:val="000F4AEA"/>
    <w:rsid w:val="000F633F"/>
    <w:rsid w:val="000F67E9"/>
    <w:rsid w:val="000F70DA"/>
    <w:rsid w:val="00100369"/>
    <w:rsid w:val="00100571"/>
    <w:rsid w:val="00104926"/>
    <w:rsid w:val="001059DE"/>
    <w:rsid w:val="001107DC"/>
    <w:rsid w:val="00112F7A"/>
    <w:rsid w:val="00113B1E"/>
    <w:rsid w:val="00113EE7"/>
    <w:rsid w:val="00116FB8"/>
    <w:rsid w:val="0011711C"/>
    <w:rsid w:val="001179FE"/>
    <w:rsid w:val="0012059C"/>
    <w:rsid w:val="00121AC8"/>
    <w:rsid w:val="00121ACE"/>
    <w:rsid w:val="00124AD7"/>
    <w:rsid w:val="00124E4F"/>
    <w:rsid w:val="001260B7"/>
    <w:rsid w:val="001265CB"/>
    <w:rsid w:val="001305D4"/>
    <w:rsid w:val="0013061D"/>
    <w:rsid w:val="00131384"/>
    <w:rsid w:val="001321C6"/>
    <w:rsid w:val="001325C4"/>
    <w:rsid w:val="00132AB2"/>
    <w:rsid w:val="00133010"/>
    <w:rsid w:val="001338EE"/>
    <w:rsid w:val="00133AAE"/>
    <w:rsid w:val="00133D74"/>
    <w:rsid w:val="00135323"/>
    <w:rsid w:val="001356C4"/>
    <w:rsid w:val="00135EE5"/>
    <w:rsid w:val="00137D55"/>
    <w:rsid w:val="001407E8"/>
    <w:rsid w:val="00141114"/>
    <w:rsid w:val="00142969"/>
    <w:rsid w:val="00143B99"/>
    <w:rsid w:val="00143CC6"/>
    <w:rsid w:val="001440AF"/>
    <w:rsid w:val="001446C2"/>
    <w:rsid w:val="001452CD"/>
    <w:rsid w:val="001457E7"/>
    <w:rsid w:val="00145AA3"/>
    <w:rsid w:val="00145D9D"/>
    <w:rsid w:val="00146097"/>
    <w:rsid w:val="00146388"/>
    <w:rsid w:val="00146B80"/>
    <w:rsid w:val="00147EB5"/>
    <w:rsid w:val="001529E5"/>
    <w:rsid w:val="00153C7E"/>
    <w:rsid w:val="001546CD"/>
    <w:rsid w:val="00155643"/>
    <w:rsid w:val="001563ED"/>
    <w:rsid w:val="00156B25"/>
    <w:rsid w:val="00156C77"/>
    <w:rsid w:val="00156E1A"/>
    <w:rsid w:val="00157894"/>
    <w:rsid w:val="00157B55"/>
    <w:rsid w:val="00160ABB"/>
    <w:rsid w:val="001642FA"/>
    <w:rsid w:val="00164304"/>
    <w:rsid w:val="001649EB"/>
    <w:rsid w:val="00164BAF"/>
    <w:rsid w:val="00164FA8"/>
    <w:rsid w:val="00165065"/>
    <w:rsid w:val="00165434"/>
    <w:rsid w:val="0016580B"/>
    <w:rsid w:val="00165F49"/>
    <w:rsid w:val="00166B88"/>
    <w:rsid w:val="0016770A"/>
    <w:rsid w:val="00170804"/>
    <w:rsid w:val="001708E9"/>
    <w:rsid w:val="00171739"/>
    <w:rsid w:val="00172510"/>
    <w:rsid w:val="00172A27"/>
    <w:rsid w:val="0017340B"/>
    <w:rsid w:val="00173FB1"/>
    <w:rsid w:val="001760BA"/>
    <w:rsid w:val="00176267"/>
    <w:rsid w:val="001762BE"/>
    <w:rsid w:val="00176DFD"/>
    <w:rsid w:val="00180E82"/>
    <w:rsid w:val="001814FD"/>
    <w:rsid w:val="00182BF8"/>
    <w:rsid w:val="001852C9"/>
    <w:rsid w:val="0018747A"/>
    <w:rsid w:val="00190087"/>
    <w:rsid w:val="001913C4"/>
    <w:rsid w:val="00192721"/>
    <w:rsid w:val="0019348F"/>
    <w:rsid w:val="00193A07"/>
    <w:rsid w:val="00194C95"/>
    <w:rsid w:val="00195C34"/>
    <w:rsid w:val="00195C4D"/>
    <w:rsid w:val="00195EA2"/>
    <w:rsid w:val="00196EF5"/>
    <w:rsid w:val="00196FBB"/>
    <w:rsid w:val="00197741"/>
    <w:rsid w:val="00197848"/>
    <w:rsid w:val="00197FF1"/>
    <w:rsid w:val="001A1A53"/>
    <w:rsid w:val="001A234A"/>
    <w:rsid w:val="001A34D0"/>
    <w:rsid w:val="001A4CF3"/>
    <w:rsid w:val="001A695E"/>
    <w:rsid w:val="001A7B8F"/>
    <w:rsid w:val="001B06E8"/>
    <w:rsid w:val="001B0C18"/>
    <w:rsid w:val="001B13A8"/>
    <w:rsid w:val="001B1481"/>
    <w:rsid w:val="001B1515"/>
    <w:rsid w:val="001B2DDF"/>
    <w:rsid w:val="001B7168"/>
    <w:rsid w:val="001B71D0"/>
    <w:rsid w:val="001B71EE"/>
    <w:rsid w:val="001B7847"/>
    <w:rsid w:val="001C04A8"/>
    <w:rsid w:val="001C0596"/>
    <w:rsid w:val="001C09C0"/>
    <w:rsid w:val="001C29B6"/>
    <w:rsid w:val="001C2C03"/>
    <w:rsid w:val="001C3600"/>
    <w:rsid w:val="001C42F7"/>
    <w:rsid w:val="001C49E5"/>
    <w:rsid w:val="001C680C"/>
    <w:rsid w:val="001C7FEA"/>
    <w:rsid w:val="001D0499"/>
    <w:rsid w:val="001D05BE"/>
    <w:rsid w:val="001D0BBE"/>
    <w:rsid w:val="001D0ED4"/>
    <w:rsid w:val="001D1659"/>
    <w:rsid w:val="001D212F"/>
    <w:rsid w:val="001D29D7"/>
    <w:rsid w:val="001D2DE7"/>
    <w:rsid w:val="001D2F51"/>
    <w:rsid w:val="001D35AF"/>
    <w:rsid w:val="001D411C"/>
    <w:rsid w:val="001D4D2E"/>
    <w:rsid w:val="001D5C8D"/>
    <w:rsid w:val="001D6165"/>
    <w:rsid w:val="001D616A"/>
    <w:rsid w:val="001D6287"/>
    <w:rsid w:val="001D7EAD"/>
    <w:rsid w:val="001E1B6A"/>
    <w:rsid w:val="001E2484"/>
    <w:rsid w:val="001E3CC4"/>
    <w:rsid w:val="001E40A5"/>
    <w:rsid w:val="001E4882"/>
    <w:rsid w:val="001E73AB"/>
    <w:rsid w:val="001F092D"/>
    <w:rsid w:val="001F143A"/>
    <w:rsid w:val="001F1605"/>
    <w:rsid w:val="001F1641"/>
    <w:rsid w:val="001F1689"/>
    <w:rsid w:val="001F2508"/>
    <w:rsid w:val="001F3305"/>
    <w:rsid w:val="001F3530"/>
    <w:rsid w:val="001F4816"/>
    <w:rsid w:val="001F4919"/>
    <w:rsid w:val="001F4EE9"/>
    <w:rsid w:val="001F601A"/>
    <w:rsid w:val="001F6346"/>
    <w:rsid w:val="001F69B4"/>
    <w:rsid w:val="001F77C7"/>
    <w:rsid w:val="00200183"/>
    <w:rsid w:val="00200333"/>
    <w:rsid w:val="0020107D"/>
    <w:rsid w:val="002026A2"/>
    <w:rsid w:val="00202746"/>
    <w:rsid w:val="00202AA4"/>
    <w:rsid w:val="002031F7"/>
    <w:rsid w:val="002032C3"/>
    <w:rsid w:val="002040E6"/>
    <w:rsid w:val="0020527B"/>
    <w:rsid w:val="00205F2C"/>
    <w:rsid w:val="00206F65"/>
    <w:rsid w:val="00210200"/>
    <w:rsid w:val="00210B15"/>
    <w:rsid w:val="00211692"/>
    <w:rsid w:val="0021171D"/>
    <w:rsid w:val="0021318B"/>
    <w:rsid w:val="002142EA"/>
    <w:rsid w:val="00217909"/>
    <w:rsid w:val="002204BB"/>
    <w:rsid w:val="0022051E"/>
    <w:rsid w:val="0022087A"/>
    <w:rsid w:val="00220D52"/>
    <w:rsid w:val="00221B1B"/>
    <w:rsid w:val="00221B79"/>
    <w:rsid w:val="00221C6B"/>
    <w:rsid w:val="002221D3"/>
    <w:rsid w:val="002253A1"/>
    <w:rsid w:val="00225CF8"/>
    <w:rsid w:val="0022777E"/>
    <w:rsid w:val="0022794E"/>
    <w:rsid w:val="00227B39"/>
    <w:rsid w:val="00231F4D"/>
    <w:rsid w:val="00232789"/>
    <w:rsid w:val="00233D64"/>
    <w:rsid w:val="002340CE"/>
    <w:rsid w:val="0023482A"/>
    <w:rsid w:val="002359CB"/>
    <w:rsid w:val="00235E96"/>
    <w:rsid w:val="00236C36"/>
    <w:rsid w:val="002418F5"/>
    <w:rsid w:val="00243540"/>
    <w:rsid w:val="0024398A"/>
    <w:rsid w:val="002446BE"/>
    <w:rsid w:val="0024497B"/>
    <w:rsid w:val="0024515B"/>
    <w:rsid w:val="00245FDD"/>
    <w:rsid w:val="00246021"/>
    <w:rsid w:val="0024666B"/>
    <w:rsid w:val="0024666E"/>
    <w:rsid w:val="00247604"/>
    <w:rsid w:val="00247F52"/>
    <w:rsid w:val="00250B25"/>
    <w:rsid w:val="00250BBE"/>
    <w:rsid w:val="002515C2"/>
    <w:rsid w:val="0025194F"/>
    <w:rsid w:val="00253496"/>
    <w:rsid w:val="00254E86"/>
    <w:rsid w:val="00256E15"/>
    <w:rsid w:val="00260BA3"/>
    <w:rsid w:val="0026148A"/>
    <w:rsid w:val="00261EF8"/>
    <w:rsid w:val="00261F80"/>
    <w:rsid w:val="00262696"/>
    <w:rsid w:val="00262A7F"/>
    <w:rsid w:val="00263D25"/>
    <w:rsid w:val="00263EBF"/>
    <w:rsid w:val="002643C3"/>
    <w:rsid w:val="00264A0C"/>
    <w:rsid w:val="00265F4F"/>
    <w:rsid w:val="00266EEB"/>
    <w:rsid w:val="002679AE"/>
    <w:rsid w:val="00267EF4"/>
    <w:rsid w:val="00270CB8"/>
    <w:rsid w:val="00272B08"/>
    <w:rsid w:val="00272CAB"/>
    <w:rsid w:val="002744C5"/>
    <w:rsid w:val="00275DB5"/>
    <w:rsid w:val="0027615E"/>
    <w:rsid w:val="002771AC"/>
    <w:rsid w:val="0028124B"/>
    <w:rsid w:val="00281911"/>
    <w:rsid w:val="00281A28"/>
    <w:rsid w:val="00281BB8"/>
    <w:rsid w:val="00281E9E"/>
    <w:rsid w:val="00282405"/>
    <w:rsid w:val="00285170"/>
    <w:rsid w:val="00285361"/>
    <w:rsid w:val="0028619F"/>
    <w:rsid w:val="00290B11"/>
    <w:rsid w:val="00292D60"/>
    <w:rsid w:val="002933F8"/>
    <w:rsid w:val="00293B30"/>
    <w:rsid w:val="00294D34"/>
    <w:rsid w:val="00294E3B"/>
    <w:rsid w:val="00296193"/>
    <w:rsid w:val="002962E8"/>
    <w:rsid w:val="00296727"/>
    <w:rsid w:val="00296C66"/>
    <w:rsid w:val="00296EBE"/>
    <w:rsid w:val="002974E3"/>
    <w:rsid w:val="00297D89"/>
    <w:rsid w:val="002A084B"/>
    <w:rsid w:val="002A0C5D"/>
    <w:rsid w:val="002A1260"/>
    <w:rsid w:val="002A1589"/>
    <w:rsid w:val="002A1608"/>
    <w:rsid w:val="002A1FC7"/>
    <w:rsid w:val="002A2180"/>
    <w:rsid w:val="002A25DC"/>
    <w:rsid w:val="002A3AAB"/>
    <w:rsid w:val="002A4036"/>
    <w:rsid w:val="002A4A76"/>
    <w:rsid w:val="002A4CEA"/>
    <w:rsid w:val="002A5977"/>
    <w:rsid w:val="002A5A13"/>
    <w:rsid w:val="002A5F68"/>
    <w:rsid w:val="002A757F"/>
    <w:rsid w:val="002A7F44"/>
    <w:rsid w:val="002B09E0"/>
    <w:rsid w:val="002B0C40"/>
    <w:rsid w:val="002B1966"/>
    <w:rsid w:val="002B4508"/>
    <w:rsid w:val="002B5779"/>
    <w:rsid w:val="002B66CB"/>
    <w:rsid w:val="002B6AAC"/>
    <w:rsid w:val="002B7332"/>
    <w:rsid w:val="002B7F51"/>
    <w:rsid w:val="002C09E7"/>
    <w:rsid w:val="002C13BC"/>
    <w:rsid w:val="002C1E06"/>
    <w:rsid w:val="002C1E1C"/>
    <w:rsid w:val="002C24E8"/>
    <w:rsid w:val="002C3F07"/>
    <w:rsid w:val="002C5278"/>
    <w:rsid w:val="002C7EBB"/>
    <w:rsid w:val="002D06C1"/>
    <w:rsid w:val="002D117D"/>
    <w:rsid w:val="002D15E2"/>
    <w:rsid w:val="002D42B5"/>
    <w:rsid w:val="002D4F1A"/>
    <w:rsid w:val="002D6EC6"/>
    <w:rsid w:val="002D79AC"/>
    <w:rsid w:val="002D7BCC"/>
    <w:rsid w:val="002E039D"/>
    <w:rsid w:val="002E2D08"/>
    <w:rsid w:val="002E4D5A"/>
    <w:rsid w:val="002E6326"/>
    <w:rsid w:val="002E6457"/>
    <w:rsid w:val="002E68F8"/>
    <w:rsid w:val="002E703F"/>
    <w:rsid w:val="002F1504"/>
    <w:rsid w:val="002F22D3"/>
    <w:rsid w:val="002F30E0"/>
    <w:rsid w:val="002F35E4"/>
    <w:rsid w:val="002F3730"/>
    <w:rsid w:val="002F38E1"/>
    <w:rsid w:val="002F3B48"/>
    <w:rsid w:val="002F7AF6"/>
    <w:rsid w:val="00300541"/>
    <w:rsid w:val="00300E63"/>
    <w:rsid w:val="0030143B"/>
    <w:rsid w:val="00302F5F"/>
    <w:rsid w:val="0030441D"/>
    <w:rsid w:val="00305CE1"/>
    <w:rsid w:val="00305DE4"/>
    <w:rsid w:val="00306063"/>
    <w:rsid w:val="003069DA"/>
    <w:rsid w:val="00306BCB"/>
    <w:rsid w:val="003078CE"/>
    <w:rsid w:val="0031244D"/>
    <w:rsid w:val="00313B85"/>
    <w:rsid w:val="00314914"/>
    <w:rsid w:val="00316609"/>
    <w:rsid w:val="00317988"/>
    <w:rsid w:val="00321166"/>
    <w:rsid w:val="003221B4"/>
    <w:rsid w:val="0032258D"/>
    <w:rsid w:val="00322E62"/>
    <w:rsid w:val="00324D13"/>
    <w:rsid w:val="00324D2A"/>
    <w:rsid w:val="00324EDD"/>
    <w:rsid w:val="003262D5"/>
    <w:rsid w:val="003271B6"/>
    <w:rsid w:val="00331113"/>
    <w:rsid w:val="0033309E"/>
    <w:rsid w:val="003331E4"/>
    <w:rsid w:val="003351C1"/>
    <w:rsid w:val="00336C64"/>
    <w:rsid w:val="0033708D"/>
    <w:rsid w:val="00337162"/>
    <w:rsid w:val="003406C5"/>
    <w:rsid w:val="0034194F"/>
    <w:rsid w:val="00342D99"/>
    <w:rsid w:val="003430A8"/>
    <w:rsid w:val="00343D5F"/>
    <w:rsid w:val="00344605"/>
    <w:rsid w:val="0034531F"/>
    <w:rsid w:val="00346E24"/>
    <w:rsid w:val="00347382"/>
    <w:rsid w:val="003474AA"/>
    <w:rsid w:val="003508D2"/>
    <w:rsid w:val="00350D1D"/>
    <w:rsid w:val="00352C83"/>
    <w:rsid w:val="00357B4A"/>
    <w:rsid w:val="003615D2"/>
    <w:rsid w:val="00362F9F"/>
    <w:rsid w:val="0036429C"/>
    <w:rsid w:val="00364A53"/>
    <w:rsid w:val="003654CB"/>
    <w:rsid w:val="00365AA9"/>
    <w:rsid w:val="00365F86"/>
    <w:rsid w:val="00365F87"/>
    <w:rsid w:val="00366E89"/>
    <w:rsid w:val="00367D54"/>
    <w:rsid w:val="003705F4"/>
    <w:rsid w:val="00370A05"/>
    <w:rsid w:val="00370D58"/>
    <w:rsid w:val="00371316"/>
    <w:rsid w:val="00371D7F"/>
    <w:rsid w:val="00374368"/>
    <w:rsid w:val="00374963"/>
    <w:rsid w:val="00376713"/>
    <w:rsid w:val="003773A6"/>
    <w:rsid w:val="00381815"/>
    <w:rsid w:val="003819AF"/>
    <w:rsid w:val="003820E9"/>
    <w:rsid w:val="0038284E"/>
    <w:rsid w:val="00382DE7"/>
    <w:rsid w:val="00384E48"/>
    <w:rsid w:val="00384FFC"/>
    <w:rsid w:val="00386AAF"/>
    <w:rsid w:val="003872FC"/>
    <w:rsid w:val="00387ADC"/>
    <w:rsid w:val="00390020"/>
    <w:rsid w:val="003903D6"/>
    <w:rsid w:val="00390EE6"/>
    <w:rsid w:val="0039118F"/>
    <w:rsid w:val="00392AD7"/>
    <w:rsid w:val="00393818"/>
    <w:rsid w:val="003938D9"/>
    <w:rsid w:val="00393D8E"/>
    <w:rsid w:val="00394376"/>
    <w:rsid w:val="003943FF"/>
    <w:rsid w:val="0039446D"/>
    <w:rsid w:val="00394FD1"/>
    <w:rsid w:val="00395700"/>
    <w:rsid w:val="003963B3"/>
    <w:rsid w:val="00396A70"/>
    <w:rsid w:val="003974EB"/>
    <w:rsid w:val="00397CC5"/>
    <w:rsid w:val="003A0681"/>
    <w:rsid w:val="003A09F2"/>
    <w:rsid w:val="003A0C21"/>
    <w:rsid w:val="003A0DF9"/>
    <w:rsid w:val="003A1582"/>
    <w:rsid w:val="003A1A6F"/>
    <w:rsid w:val="003A302C"/>
    <w:rsid w:val="003A4077"/>
    <w:rsid w:val="003A5A3F"/>
    <w:rsid w:val="003A7536"/>
    <w:rsid w:val="003A7C19"/>
    <w:rsid w:val="003B020A"/>
    <w:rsid w:val="003B09AD"/>
    <w:rsid w:val="003B0D4B"/>
    <w:rsid w:val="003B1F18"/>
    <w:rsid w:val="003B4A29"/>
    <w:rsid w:val="003B5370"/>
    <w:rsid w:val="003B53CA"/>
    <w:rsid w:val="003B5536"/>
    <w:rsid w:val="003B5BF0"/>
    <w:rsid w:val="003B60BF"/>
    <w:rsid w:val="003B6BE3"/>
    <w:rsid w:val="003B6FC0"/>
    <w:rsid w:val="003B7469"/>
    <w:rsid w:val="003C010C"/>
    <w:rsid w:val="003C021A"/>
    <w:rsid w:val="003C0A6C"/>
    <w:rsid w:val="003C0E5A"/>
    <w:rsid w:val="003C10E8"/>
    <w:rsid w:val="003C10EF"/>
    <w:rsid w:val="003C14F8"/>
    <w:rsid w:val="003C457A"/>
    <w:rsid w:val="003C59C0"/>
    <w:rsid w:val="003C5A43"/>
    <w:rsid w:val="003C6D8B"/>
    <w:rsid w:val="003D0519"/>
    <w:rsid w:val="003D0FF6"/>
    <w:rsid w:val="003D262C"/>
    <w:rsid w:val="003D6D61"/>
    <w:rsid w:val="003D7082"/>
    <w:rsid w:val="003D79C6"/>
    <w:rsid w:val="003E091D"/>
    <w:rsid w:val="003E0D5C"/>
    <w:rsid w:val="003E1C53"/>
    <w:rsid w:val="003E2A69"/>
    <w:rsid w:val="003E2D49"/>
    <w:rsid w:val="003E2FD4"/>
    <w:rsid w:val="003E3FD3"/>
    <w:rsid w:val="003E49F6"/>
    <w:rsid w:val="003E54EA"/>
    <w:rsid w:val="003E660F"/>
    <w:rsid w:val="003E764E"/>
    <w:rsid w:val="003F0841"/>
    <w:rsid w:val="003F1903"/>
    <w:rsid w:val="003F23D3"/>
    <w:rsid w:val="003F3F08"/>
    <w:rsid w:val="003F49F1"/>
    <w:rsid w:val="003F6272"/>
    <w:rsid w:val="003F7947"/>
    <w:rsid w:val="00400E72"/>
    <w:rsid w:val="00401400"/>
    <w:rsid w:val="00401B49"/>
    <w:rsid w:val="00401FC2"/>
    <w:rsid w:val="00403046"/>
    <w:rsid w:val="004042BC"/>
    <w:rsid w:val="00404869"/>
    <w:rsid w:val="00405884"/>
    <w:rsid w:val="00406538"/>
    <w:rsid w:val="00407D39"/>
    <w:rsid w:val="00410403"/>
    <w:rsid w:val="0041073E"/>
    <w:rsid w:val="0041168E"/>
    <w:rsid w:val="0041434F"/>
    <w:rsid w:val="0041477A"/>
    <w:rsid w:val="004153D4"/>
    <w:rsid w:val="004167A3"/>
    <w:rsid w:val="00417AF6"/>
    <w:rsid w:val="00420806"/>
    <w:rsid w:val="00420BC1"/>
    <w:rsid w:val="004213A8"/>
    <w:rsid w:val="00421636"/>
    <w:rsid w:val="00421B18"/>
    <w:rsid w:val="00424C2B"/>
    <w:rsid w:val="00424C8F"/>
    <w:rsid w:val="004266E9"/>
    <w:rsid w:val="00426D61"/>
    <w:rsid w:val="00427965"/>
    <w:rsid w:val="00427E62"/>
    <w:rsid w:val="00430338"/>
    <w:rsid w:val="00430DDC"/>
    <w:rsid w:val="00432DAA"/>
    <w:rsid w:val="004338D9"/>
    <w:rsid w:val="00434305"/>
    <w:rsid w:val="00434455"/>
    <w:rsid w:val="00435289"/>
    <w:rsid w:val="00435DD5"/>
    <w:rsid w:val="00435DF7"/>
    <w:rsid w:val="00436BCA"/>
    <w:rsid w:val="0044083F"/>
    <w:rsid w:val="0044193E"/>
    <w:rsid w:val="00441AE7"/>
    <w:rsid w:val="00442989"/>
    <w:rsid w:val="004441A9"/>
    <w:rsid w:val="00445574"/>
    <w:rsid w:val="004462B6"/>
    <w:rsid w:val="004467FB"/>
    <w:rsid w:val="00450F16"/>
    <w:rsid w:val="00451388"/>
    <w:rsid w:val="00452D6B"/>
    <w:rsid w:val="00454484"/>
    <w:rsid w:val="0045517B"/>
    <w:rsid w:val="0045728C"/>
    <w:rsid w:val="00460C85"/>
    <w:rsid w:val="00461E2B"/>
    <w:rsid w:val="00462FF8"/>
    <w:rsid w:val="00463B77"/>
    <w:rsid w:val="00463C7B"/>
    <w:rsid w:val="004644A6"/>
    <w:rsid w:val="00464CE2"/>
    <w:rsid w:val="004659BD"/>
    <w:rsid w:val="00466DE1"/>
    <w:rsid w:val="00470775"/>
    <w:rsid w:val="004713CB"/>
    <w:rsid w:val="00472433"/>
    <w:rsid w:val="004746B1"/>
    <w:rsid w:val="00474715"/>
    <w:rsid w:val="0047583F"/>
    <w:rsid w:val="00475DE8"/>
    <w:rsid w:val="00480614"/>
    <w:rsid w:val="00481C44"/>
    <w:rsid w:val="00484936"/>
    <w:rsid w:val="00485C89"/>
    <w:rsid w:val="00486BE3"/>
    <w:rsid w:val="004905E4"/>
    <w:rsid w:val="00490A89"/>
    <w:rsid w:val="00490AB4"/>
    <w:rsid w:val="004928A6"/>
    <w:rsid w:val="00492F02"/>
    <w:rsid w:val="004939AE"/>
    <w:rsid w:val="00495E9E"/>
    <w:rsid w:val="004A00F5"/>
    <w:rsid w:val="004A0771"/>
    <w:rsid w:val="004A12DF"/>
    <w:rsid w:val="004A17E6"/>
    <w:rsid w:val="004A1BA8"/>
    <w:rsid w:val="004A1F5E"/>
    <w:rsid w:val="004A3196"/>
    <w:rsid w:val="004A3A52"/>
    <w:rsid w:val="004A4B57"/>
    <w:rsid w:val="004A63FA"/>
    <w:rsid w:val="004B0272"/>
    <w:rsid w:val="004B0971"/>
    <w:rsid w:val="004B2701"/>
    <w:rsid w:val="004B2E1B"/>
    <w:rsid w:val="004B3AA8"/>
    <w:rsid w:val="004B3E93"/>
    <w:rsid w:val="004B4E5A"/>
    <w:rsid w:val="004B6D93"/>
    <w:rsid w:val="004C0B3B"/>
    <w:rsid w:val="004C1FBC"/>
    <w:rsid w:val="004C3F1D"/>
    <w:rsid w:val="004C458D"/>
    <w:rsid w:val="004C59A8"/>
    <w:rsid w:val="004C7556"/>
    <w:rsid w:val="004C7E8B"/>
    <w:rsid w:val="004C7E9D"/>
    <w:rsid w:val="004C7F67"/>
    <w:rsid w:val="004D076D"/>
    <w:rsid w:val="004D0826"/>
    <w:rsid w:val="004D0EF1"/>
    <w:rsid w:val="004D2253"/>
    <w:rsid w:val="004D3048"/>
    <w:rsid w:val="004D4406"/>
    <w:rsid w:val="004D498A"/>
    <w:rsid w:val="004D7C42"/>
    <w:rsid w:val="004E041E"/>
    <w:rsid w:val="004E0465"/>
    <w:rsid w:val="004E051F"/>
    <w:rsid w:val="004E0D3C"/>
    <w:rsid w:val="004E127B"/>
    <w:rsid w:val="004E1C0A"/>
    <w:rsid w:val="004E1F0B"/>
    <w:rsid w:val="004E2010"/>
    <w:rsid w:val="004E2B06"/>
    <w:rsid w:val="004E30C5"/>
    <w:rsid w:val="004E3554"/>
    <w:rsid w:val="004E3946"/>
    <w:rsid w:val="004E4AA5"/>
    <w:rsid w:val="004E4AEE"/>
    <w:rsid w:val="004E59E3"/>
    <w:rsid w:val="004E6496"/>
    <w:rsid w:val="004E67C0"/>
    <w:rsid w:val="004E6885"/>
    <w:rsid w:val="004E6F5E"/>
    <w:rsid w:val="004E77AE"/>
    <w:rsid w:val="004F208F"/>
    <w:rsid w:val="004F385F"/>
    <w:rsid w:val="004F391A"/>
    <w:rsid w:val="004F3CFB"/>
    <w:rsid w:val="004F4111"/>
    <w:rsid w:val="004F6456"/>
    <w:rsid w:val="004F696E"/>
    <w:rsid w:val="004F6C71"/>
    <w:rsid w:val="004F7B57"/>
    <w:rsid w:val="00501139"/>
    <w:rsid w:val="005013EC"/>
    <w:rsid w:val="0050363E"/>
    <w:rsid w:val="00503722"/>
    <w:rsid w:val="005039BC"/>
    <w:rsid w:val="005043BB"/>
    <w:rsid w:val="00504A3D"/>
    <w:rsid w:val="00505767"/>
    <w:rsid w:val="00506F85"/>
    <w:rsid w:val="005073F0"/>
    <w:rsid w:val="00510A7B"/>
    <w:rsid w:val="00512CCC"/>
    <w:rsid w:val="00512F6E"/>
    <w:rsid w:val="00513038"/>
    <w:rsid w:val="00514174"/>
    <w:rsid w:val="00514955"/>
    <w:rsid w:val="00516088"/>
    <w:rsid w:val="00516A80"/>
    <w:rsid w:val="00516B0B"/>
    <w:rsid w:val="0051766D"/>
    <w:rsid w:val="00517963"/>
    <w:rsid w:val="0052029B"/>
    <w:rsid w:val="00520748"/>
    <w:rsid w:val="00521895"/>
    <w:rsid w:val="005220EC"/>
    <w:rsid w:val="0052352A"/>
    <w:rsid w:val="00523F95"/>
    <w:rsid w:val="00524173"/>
    <w:rsid w:val="00524D65"/>
    <w:rsid w:val="00525B16"/>
    <w:rsid w:val="00526B9C"/>
    <w:rsid w:val="00533D04"/>
    <w:rsid w:val="00533DAD"/>
    <w:rsid w:val="00534804"/>
    <w:rsid w:val="00534BDF"/>
    <w:rsid w:val="005354EA"/>
    <w:rsid w:val="00535537"/>
    <w:rsid w:val="0053585F"/>
    <w:rsid w:val="00535EC4"/>
    <w:rsid w:val="00535ED9"/>
    <w:rsid w:val="005368B6"/>
    <w:rsid w:val="0053692B"/>
    <w:rsid w:val="00540508"/>
    <w:rsid w:val="00540AF9"/>
    <w:rsid w:val="00541853"/>
    <w:rsid w:val="00543BDA"/>
    <w:rsid w:val="00543DEB"/>
    <w:rsid w:val="005441CC"/>
    <w:rsid w:val="00546710"/>
    <w:rsid w:val="00546EE9"/>
    <w:rsid w:val="005479DA"/>
    <w:rsid w:val="00547A17"/>
    <w:rsid w:val="00547BCC"/>
    <w:rsid w:val="0055013B"/>
    <w:rsid w:val="00551974"/>
    <w:rsid w:val="00551A53"/>
    <w:rsid w:val="00551F6F"/>
    <w:rsid w:val="00552DA0"/>
    <w:rsid w:val="00555044"/>
    <w:rsid w:val="00556C4E"/>
    <w:rsid w:val="00557643"/>
    <w:rsid w:val="0055799E"/>
    <w:rsid w:val="005604A0"/>
    <w:rsid w:val="00561475"/>
    <w:rsid w:val="00561E12"/>
    <w:rsid w:val="00561E63"/>
    <w:rsid w:val="00562047"/>
    <w:rsid w:val="00564253"/>
    <w:rsid w:val="0056487B"/>
    <w:rsid w:val="00564FB9"/>
    <w:rsid w:val="00567DCD"/>
    <w:rsid w:val="00570829"/>
    <w:rsid w:val="005709D9"/>
    <w:rsid w:val="00573974"/>
    <w:rsid w:val="00573A2D"/>
    <w:rsid w:val="00573D9E"/>
    <w:rsid w:val="005757E1"/>
    <w:rsid w:val="005801E3"/>
    <w:rsid w:val="0058077C"/>
    <w:rsid w:val="005807A5"/>
    <w:rsid w:val="00580F61"/>
    <w:rsid w:val="00581802"/>
    <w:rsid w:val="005836A8"/>
    <w:rsid w:val="0058409C"/>
    <w:rsid w:val="00584262"/>
    <w:rsid w:val="0058446A"/>
    <w:rsid w:val="00586630"/>
    <w:rsid w:val="00587ADD"/>
    <w:rsid w:val="00591E27"/>
    <w:rsid w:val="00592E7E"/>
    <w:rsid w:val="0059313D"/>
    <w:rsid w:val="00594699"/>
    <w:rsid w:val="00595D66"/>
    <w:rsid w:val="00596160"/>
    <w:rsid w:val="005966E2"/>
    <w:rsid w:val="00596944"/>
    <w:rsid w:val="00597007"/>
    <w:rsid w:val="00597637"/>
    <w:rsid w:val="00597803"/>
    <w:rsid w:val="005A0966"/>
    <w:rsid w:val="005A0DEA"/>
    <w:rsid w:val="005A11B7"/>
    <w:rsid w:val="005A260B"/>
    <w:rsid w:val="005A2B7C"/>
    <w:rsid w:val="005A324E"/>
    <w:rsid w:val="005A3F5A"/>
    <w:rsid w:val="005A486C"/>
    <w:rsid w:val="005A4A1B"/>
    <w:rsid w:val="005A617D"/>
    <w:rsid w:val="005A7830"/>
    <w:rsid w:val="005A7FCE"/>
    <w:rsid w:val="005B0F3F"/>
    <w:rsid w:val="005B2F97"/>
    <w:rsid w:val="005B32D9"/>
    <w:rsid w:val="005B4903"/>
    <w:rsid w:val="005B51CE"/>
    <w:rsid w:val="005B5885"/>
    <w:rsid w:val="005B5CD7"/>
    <w:rsid w:val="005B6CF6"/>
    <w:rsid w:val="005B7422"/>
    <w:rsid w:val="005C16F4"/>
    <w:rsid w:val="005C1E78"/>
    <w:rsid w:val="005C211A"/>
    <w:rsid w:val="005C231B"/>
    <w:rsid w:val="005C29B8"/>
    <w:rsid w:val="005C37DF"/>
    <w:rsid w:val="005C43F7"/>
    <w:rsid w:val="005C50FC"/>
    <w:rsid w:val="005C5F21"/>
    <w:rsid w:val="005C6682"/>
    <w:rsid w:val="005C6760"/>
    <w:rsid w:val="005C6FF1"/>
    <w:rsid w:val="005C7156"/>
    <w:rsid w:val="005D0C75"/>
    <w:rsid w:val="005D22D2"/>
    <w:rsid w:val="005D4171"/>
    <w:rsid w:val="005D6A95"/>
    <w:rsid w:val="005D6B2C"/>
    <w:rsid w:val="005D6B4F"/>
    <w:rsid w:val="005D6CD5"/>
    <w:rsid w:val="005D6D9C"/>
    <w:rsid w:val="005D789A"/>
    <w:rsid w:val="005E0130"/>
    <w:rsid w:val="005E021E"/>
    <w:rsid w:val="005E2335"/>
    <w:rsid w:val="005E2C6C"/>
    <w:rsid w:val="005E34CA"/>
    <w:rsid w:val="005E3AEF"/>
    <w:rsid w:val="005E3C18"/>
    <w:rsid w:val="005E3EB7"/>
    <w:rsid w:val="005E5DF5"/>
    <w:rsid w:val="005E6812"/>
    <w:rsid w:val="005E7881"/>
    <w:rsid w:val="005E78E0"/>
    <w:rsid w:val="005F0D9C"/>
    <w:rsid w:val="005F0EE7"/>
    <w:rsid w:val="005F11D3"/>
    <w:rsid w:val="005F1D10"/>
    <w:rsid w:val="005F1F1A"/>
    <w:rsid w:val="005F284E"/>
    <w:rsid w:val="005F2A4B"/>
    <w:rsid w:val="005F2FFC"/>
    <w:rsid w:val="005F316E"/>
    <w:rsid w:val="005F375F"/>
    <w:rsid w:val="005F4712"/>
    <w:rsid w:val="005F491E"/>
    <w:rsid w:val="005F4DED"/>
    <w:rsid w:val="005F7126"/>
    <w:rsid w:val="006012FF"/>
    <w:rsid w:val="006015CE"/>
    <w:rsid w:val="00601C34"/>
    <w:rsid w:val="00604784"/>
    <w:rsid w:val="00606419"/>
    <w:rsid w:val="00607D29"/>
    <w:rsid w:val="00610444"/>
    <w:rsid w:val="00612432"/>
    <w:rsid w:val="00612952"/>
    <w:rsid w:val="00613D70"/>
    <w:rsid w:val="00614392"/>
    <w:rsid w:val="00614CC1"/>
    <w:rsid w:val="00615A9D"/>
    <w:rsid w:val="00617387"/>
    <w:rsid w:val="006204EB"/>
    <w:rsid w:val="006205D6"/>
    <w:rsid w:val="00622ADD"/>
    <w:rsid w:val="006230BC"/>
    <w:rsid w:val="006249E5"/>
    <w:rsid w:val="006252D8"/>
    <w:rsid w:val="006259BC"/>
    <w:rsid w:val="0062636B"/>
    <w:rsid w:val="006305E3"/>
    <w:rsid w:val="00630AA1"/>
    <w:rsid w:val="00631B24"/>
    <w:rsid w:val="00632001"/>
    <w:rsid w:val="00632182"/>
    <w:rsid w:val="006327B3"/>
    <w:rsid w:val="00632AE0"/>
    <w:rsid w:val="00633C17"/>
    <w:rsid w:val="00634183"/>
    <w:rsid w:val="00634D9E"/>
    <w:rsid w:val="00635813"/>
    <w:rsid w:val="00636E3E"/>
    <w:rsid w:val="00636F62"/>
    <w:rsid w:val="006379F7"/>
    <w:rsid w:val="00637A3C"/>
    <w:rsid w:val="00637E4D"/>
    <w:rsid w:val="00640620"/>
    <w:rsid w:val="00641A1F"/>
    <w:rsid w:val="00642AB6"/>
    <w:rsid w:val="00645904"/>
    <w:rsid w:val="006478D7"/>
    <w:rsid w:val="0065145F"/>
    <w:rsid w:val="00651ACB"/>
    <w:rsid w:val="00651C47"/>
    <w:rsid w:val="00652AB2"/>
    <w:rsid w:val="00652D8D"/>
    <w:rsid w:val="00653C5C"/>
    <w:rsid w:val="00653FED"/>
    <w:rsid w:val="00654EC0"/>
    <w:rsid w:val="0065525B"/>
    <w:rsid w:val="00655D4F"/>
    <w:rsid w:val="00656308"/>
    <w:rsid w:val="00656D29"/>
    <w:rsid w:val="0065713B"/>
    <w:rsid w:val="00657B6B"/>
    <w:rsid w:val="00661981"/>
    <w:rsid w:val="00662D74"/>
    <w:rsid w:val="00663B57"/>
    <w:rsid w:val="006640E5"/>
    <w:rsid w:val="006646F1"/>
    <w:rsid w:val="00664929"/>
    <w:rsid w:val="00664F62"/>
    <w:rsid w:val="006655E1"/>
    <w:rsid w:val="006658AC"/>
    <w:rsid w:val="00666402"/>
    <w:rsid w:val="00666A39"/>
    <w:rsid w:val="00672060"/>
    <w:rsid w:val="00672BFD"/>
    <w:rsid w:val="006737CC"/>
    <w:rsid w:val="006742DB"/>
    <w:rsid w:val="006752DB"/>
    <w:rsid w:val="006770F4"/>
    <w:rsid w:val="00677A84"/>
    <w:rsid w:val="00677AFB"/>
    <w:rsid w:val="0068026D"/>
    <w:rsid w:val="00680A27"/>
    <w:rsid w:val="00681237"/>
    <w:rsid w:val="006816A4"/>
    <w:rsid w:val="006819B8"/>
    <w:rsid w:val="006840A6"/>
    <w:rsid w:val="0068424B"/>
    <w:rsid w:val="006850CD"/>
    <w:rsid w:val="00685AAB"/>
    <w:rsid w:val="00686541"/>
    <w:rsid w:val="006920DE"/>
    <w:rsid w:val="00692326"/>
    <w:rsid w:val="00693633"/>
    <w:rsid w:val="00693B81"/>
    <w:rsid w:val="00695D22"/>
    <w:rsid w:val="006A07AA"/>
    <w:rsid w:val="006A1FAE"/>
    <w:rsid w:val="006A25E5"/>
    <w:rsid w:val="006A277F"/>
    <w:rsid w:val="006A2B46"/>
    <w:rsid w:val="006A336D"/>
    <w:rsid w:val="006A3516"/>
    <w:rsid w:val="006A37B9"/>
    <w:rsid w:val="006A3E9D"/>
    <w:rsid w:val="006A7FD7"/>
    <w:rsid w:val="006B2672"/>
    <w:rsid w:val="006B3D96"/>
    <w:rsid w:val="006B54BF"/>
    <w:rsid w:val="006B5F44"/>
    <w:rsid w:val="006B5F90"/>
    <w:rsid w:val="006B62E4"/>
    <w:rsid w:val="006C1B33"/>
    <w:rsid w:val="006C1BBA"/>
    <w:rsid w:val="006C2079"/>
    <w:rsid w:val="006C223A"/>
    <w:rsid w:val="006C3308"/>
    <w:rsid w:val="006C34FA"/>
    <w:rsid w:val="006C3DAA"/>
    <w:rsid w:val="006C460A"/>
    <w:rsid w:val="006C49DE"/>
    <w:rsid w:val="006C5A62"/>
    <w:rsid w:val="006C5D68"/>
    <w:rsid w:val="006C6976"/>
    <w:rsid w:val="006C6DD0"/>
    <w:rsid w:val="006C70E0"/>
    <w:rsid w:val="006C726F"/>
    <w:rsid w:val="006D04EA"/>
    <w:rsid w:val="006D0AB7"/>
    <w:rsid w:val="006D16C4"/>
    <w:rsid w:val="006D2631"/>
    <w:rsid w:val="006D29FB"/>
    <w:rsid w:val="006D2F18"/>
    <w:rsid w:val="006D3D22"/>
    <w:rsid w:val="006D3E96"/>
    <w:rsid w:val="006D4515"/>
    <w:rsid w:val="006D49CD"/>
    <w:rsid w:val="006D4BB1"/>
    <w:rsid w:val="006D6593"/>
    <w:rsid w:val="006D76D6"/>
    <w:rsid w:val="006E084A"/>
    <w:rsid w:val="006E23EA"/>
    <w:rsid w:val="006E33D8"/>
    <w:rsid w:val="006E569B"/>
    <w:rsid w:val="006E6E67"/>
    <w:rsid w:val="006F03A8"/>
    <w:rsid w:val="006F2909"/>
    <w:rsid w:val="006F2ACA"/>
    <w:rsid w:val="006F2ADC"/>
    <w:rsid w:val="006F2BFE"/>
    <w:rsid w:val="006F319D"/>
    <w:rsid w:val="006F31E9"/>
    <w:rsid w:val="006F49B1"/>
    <w:rsid w:val="006F4A47"/>
    <w:rsid w:val="006F5B66"/>
    <w:rsid w:val="006F6284"/>
    <w:rsid w:val="007002C5"/>
    <w:rsid w:val="00701B03"/>
    <w:rsid w:val="007033B5"/>
    <w:rsid w:val="007036BB"/>
    <w:rsid w:val="00704387"/>
    <w:rsid w:val="00705436"/>
    <w:rsid w:val="007060B4"/>
    <w:rsid w:val="00706936"/>
    <w:rsid w:val="00707669"/>
    <w:rsid w:val="0071169D"/>
    <w:rsid w:val="00711CBA"/>
    <w:rsid w:val="00711EC9"/>
    <w:rsid w:val="00711FB5"/>
    <w:rsid w:val="007121CC"/>
    <w:rsid w:val="00712A01"/>
    <w:rsid w:val="00713A8C"/>
    <w:rsid w:val="00714F58"/>
    <w:rsid w:val="00716B3C"/>
    <w:rsid w:val="007206EC"/>
    <w:rsid w:val="00721369"/>
    <w:rsid w:val="0072296A"/>
    <w:rsid w:val="00722FBF"/>
    <w:rsid w:val="00722FC2"/>
    <w:rsid w:val="007233DF"/>
    <w:rsid w:val="00724879"/>
    <w:rsid w:val="00724E1B"/>
    <w:rsid w:val="00725949"/>
    <w:rsid w:val="00726A7A"/>
    <w:rsid w:val="00727FA2"/>
    <w:rsid w:val="007316D3"/>
    <w:rsid w:val="007322D9"/>
    <w:rsid w:val="00732BC0"/>
    <w:rsid w:val="00736055"/>
    <w:rsid w:val="0073720F"/>
    <w:rsid w:val="00737796"/>
    <w:rsid w:val="00737A56"/>
    <w:rsid w:val="00740E1D"/>
    <w:rsid w:val="0074165C"/>
    <w:rsid w:val="00742124"/>
    <w:rsid w:val="00742895"/>
    <w:rsid w:val="00742C35"/>
    <w:rsid w:val="007432CA"/>
    <w:rsid w:val="007439EB"/>
    <w:rsid w:val="00743CB4"/>
    <w:rsid w:val="00743F0A"/>
    <w:rsid w:val="007444E8"/>
    <w:rsid w:val="0074548E"/>
    <w:rsid w:val="00745773"/>
    <w:rsid w:val="0074606A"/>
    <w:rsid w:val="00746800"/>
    <w:rsid w:val="007501A8"/>
    <w:rsid w:val="00750D61"/>
    <w:rsid w:val="00750EE1"/>
    <w:rsid w:val="00752B4D"/>
    <w:rsid w:val="00752E3B"/>
    <w:rsid w:val="00754376"/>
    <w:rsid w:val="00755402"/>
    <w:rsid w:val="00755447"/>
    <w:rsid w:val="00756B26"/>
    <w:rsid w:val="00756EDF"/>
    <w:rsid w:val="00757640"/>
    <w:rsid w:val="007576B3"/>
    <w:rsid w:val="007600E3"/>
    <w:rsid w:val="00762245"/>
    <w:rsid w:val="00762D3C"/>
    <w:rsid w:val="00765C43"/>
    <w:rsid w:val="00765EFB"/>
    <w:rsid w:val="007671CA"/>
    <w:rsid w:val="00767843"/>
    <w:rsid w:val="00767889"/>
    <w:rsid w:val="00767C61"/>
    <w:rsid w:val="0077008A"/>
    <w:rsid w:val="00773C1F"/>
    <w:rsid w:val="00774DA4"/>
    <w:rsid w:val="00776599"/>
    <w:rsid w:val="0077735E"/>
    <w:rsid w:val="00777E8B"/>
    <w:rsid w:val="0078114B"/>
    <w:rsid w:val="00781DD2"/>
    <w:rsid w:val="00783ECF"/>
    <w:rsid w:val="0078413A"/>
    <w:rsid w:val="00786144"/>
    <w:rsid w:val="00786244"/>
    <w:rsid w:val="007926A0"/>
    <w:rsid w:val="0079517F"/>
    <w:rsid w:val="007951AD"/>
    <w:rsid w:val="0079555C"/>
    <w:rsid w:val="007959E8"/>
    <w:rsid w:val="00795E9C"/>
    <w:rsid w:val="007963E8"/>
    <w:rsid w:val="007A0521"/>
    <w:rsid w:val="007A10A8"/>
    <w:rsid w:val="007A2E12"/>
    <w:rsid w:val="007A3475"/>
    <w:rsid w:val="007A41C8"/>
    <w:rsid w:val="007A54CE"/>
    <w:rsid w:val="007A6498"/>
    <w:rsid w:val="007A6AE7"/>
    <w:rsid w:val="007A6FD9"/>
    <w:rsid w:val="007A7FFA"/>
    <w:rsid w:val="007B04EB"/>
    <w:rsid w:val="007B0D4F"/>
    <w:rsid w:val="007B2311"/>
    <w:rsid w:val="007B463F"/>
    <w:rsid w:val="007B5A3D"/>
    <w:rsid w:val="007B5B95"/>
    <w:rsid w:val="007B68EA"/>
    <w:rsid w:val="007B7453"/>
    <w:rsid w:val="007B78DA"/>
    <w:rsid w:val="007C1E8B"/>
    <w:rsid w:val="007C2D89"/>
    <w:rsid w:val="007C373F"/>
    <w:rsid w:val="007C411C"/>
    <w:rsid w:val="007C4593"/>
    <w:rsid w:val="007C5309"/>
    <w:rsid w:val="007C532D"/>
    <w:rsid w:val="007C5986"/>
    <w:rsid w:val="007C5D46"/>
    <w:rsid w:val="007C6069"/>
    <w:rsid w:val="007D06C4"/>
    <w:rsid w:val="007D1352"/>
    <w:rsid w:val="007D2508"/>
    <w:rsid w:val="007D346A"/>
    <w:rsid w:val="007D35F4"/>
    <w:rsid w:val="007D363D"/>
    <w:rsid w:val="007D3FB0"/>
    <w:rsid w:val="007D4D6F"/>
    <w:rsid w:val="007D6518"/>
    <w:rsid w:val="007D7576"/>
    <w:rsid w:val="007D76BD"/>
    <w:rsid w:val="007E0905"/>
    <w:rsid w:val="007E0BF1"/>
    <w:rsid w:val="007E3DF8"/>
    <w:rsid w:val="007E6BC8"/>
    <w:rsid w:val="007E7994"/>
    <w:rsid w:val="007F0ED8"/>
    <w:rsid w:val="007F0F63"/>
    <w:rsid w:val="007F19DD"/>
    <w:rsid w:val="007F2E7B"/>
    <w:rsid w:val="007F4836"/>
    <w:rsid w:val="007F6833"/>
    <w:rsid w:val="007F75CE"/>
    <w:rsid w:val="00800790"/>
    <w:rsid w:val="008013A4"/>
    <w:rsid w:val="008016F9"/>
    <w:rsid w:val="008027CE"/>
    <w:rsid w:val="00802F42"/>
    <w:rsid w:val="00803269"/>
    <w:rsid w:val="0080376F"/>
    <w:rsid w:val="00804383"/>
    <w:rsid w:val="00804BB7"/>
    <w:rsid w:val="00804D41"/>
    <w:rsid w:val="0080558C"/>
    <w:rsid w:val="00810257"/>
    <w:rsid w:val="008104F5"/>
    <w:rsid w:val="00811072"/>
    <w:rsid w:val="00811369"/>
    <w:rsid w:val="00811554"/>
    <w:rsid w:val="00811749"/>
    <w:rsid w:val="0081272C"/>
    <w:rsid w:val="00813E04"/>
    <w:rsid w:val="00814D92"/>
    <w:rsid w:val="00815419"/>
    <w:rsid w:val="00815C7A"/>
    <w:rsid w:val="008163C8"/>
    <w:rsid w:val="008164A1"/>
    <w:rsid w:val="00816976"/>
    <w:rsid w:val="00817325"/>
    <w:rsid w:val="00817E02"/>
    <w:rsid w:val="008209E6"/>
    <w:rsid w:val="00822F8C"/>
    <w:rsid w:val="00823303"/>
    <w:rsid w:val="008233B2"/>
    <w:rsid w:val="00823A9F"/>
    <w:rsid w:val="00823C85"/>
    <w:rsid w:val="00825138"/>
    <w:rsid w:val="008269DD"/>
    <w:rsid w:val="00827BEE"/>
    <w:rsid w:val="00830621"/>
    <w:rsid w:val="00831FCE"/>
    <w:rsid w:val="008325ED"/>
    <w:rsid w:val="00832FB3"/>
    <w:rsid w:val="0083348C"/>
    <w:rsid w:val="00833BF3"/>
    <w:rsid w:val="00836EFD"/>
    <w:rsid w:val="008373D3"/>
    <w:rsid w:val="00840344"/>
    <w:rsid w:val="00840617"/>
    <w:rsid w:val="00840F84"/>
    <w:rsid w:val="00842A47"/>
    <w:rsid w:val="008434CA"/>
    <w:rsid w:val="00843C13"/>
    <w:rsid w:val="008450D8"/>
    <w:rsid w:val="008454F8"/>
    <w:rsid w:val="00845DDD"/>
    <w:rsid w:val="00846CF0"/>
    <w:rsid w:val="0085173A"/>
    <w:rsid w:val="00853E0B"/>
    <w:rsid w:val="008551D3"/>
    <w:rsid w:val="00855443"/>
    <w:rsid w:val="00856316"/>
    <w:rsid w:val="0085743F"/>
    <w:rsid w:val="008603CE"/>
    <w:rsid w:val="008619AB"/>
    <w:rsid w:val="00861D78"/>
    <w:rsid w:val="008620FC"/>
    <w:rsid w:val="008627A5"/>
    <w:rsid w:val="00863E05"/>
    <w:rsid w:val="00864EDC"/>
    <w:rsid w:val="00865ACA"/>
    <w:rsid w:val="00865D28"/>
    <w:rsid w:val="00865F85"/>
    <w:rsid w:val="00866DBF"/>
    <w:rsid w:val="00866E07"/>
    <w:rsid w:val="00866F8F"/>
    <w:rsid w:val="00867C10"/>
    <w:rsid w:val="00867F5E"/>
    <w:rsid w:val="00870439"/>
    <w:rsid w:val="00870DA1"/>
    <w:rsid w:val="00871E39"/>
    <w:rsid w:val="008721CF"/>
    <w:rsid w:val="00872988"/>
    <w:rsid w:val="00873DBA"/>
    <w:rsid w:val="008754A3"/>
    <w:rsid w:val="00875C8C"/>
    <w:rsid w:val="00881259"/>
    <w:rsid w:val="008815F0"/>
    <w:rsid w:val="00881831"/>
    <w:rsid w:val="00882792"/>
    <w:rsid w:val="00883F93"/>
    <w:rsid w:val="008842A0"/>
    <w:rsid w:val="00884DB3"/>
    <w:rsid w:val="00885A9D"/>
    <w:rsid w:val="008864F6"/>
    <w:rsid w:val="008874E6"/>
    <w:rsid w:val="0089049D"/>
    <w:rsid w:val="00891594"/>
    <w:rsid w:val="0089284E"/>
    <w:rsid w:val="008928C9"/>
    <w:rsid w:val="008930CB"/>
    <w:rsid w:val="00893179"/>
    <w:rsid w:val="008938DC"/>
    <w:rsid w:val="00893FD1"/>
    <w:rsid w:val="00894836"/>
    <w:rsid w:val="00895172"/>
    <w:rsid w:val="00895680"/>
    <w:rsid w:val="00896DFF"/>
    <w:rsid w:val="0089762C"/>
    <w:rsid w:val="008A1893"/>
    <w:rsid w:val="008A3215"/>
    <w:rsid w:val="008A480A"/>
    <w:rsid w:val="008A4DAD"/>
    <w:rsid w:val="008A57E6"/>
    <w:rsid w:val="008A6F81"/>
    <w:rsid w:val="008A769A"/>
    <w:rsid w:val="008B0B15"/>
    <w:rsid w:val="008B0C9C"/>
    <w:rsid w:val="008B166D"/>
    <w:rsid w:val="008B17F4"/>
    <w:rsid w:val="008B2DDF"/>
    <w:rsid w:val="008B3615"/>
    <w:rsid w:val="008B4AC4"/>
    <w:rsid w:val="008B50C8"/>
    <w:rsid w:val="008B5281"/>
    <w:rsid w:val="008B614D"/>
    <w:rsid w:val="008B65EF"/>
    <w:rsid w:val="008B7E05"/>
    <w:rsid w:val="008C1797"/>
    <w:rsid w:val="008C219C"/>
    <w:rsid w:val="008C2414"/>
    <w:rsid w:val="008C2467"/>
    <w:rsid w:val="008C475E"/>
    <w:rsid w:val="008C619A"/>
    <w:rsid w:val="008C6B6D"/>
    <w:rsid w:val="008D0024"/>
    <w:rsid w:val="008D0CE8"/>
    <w:rsid w:val="008D1905"/>
    <w:rsid w:val="008D2D1D"/>
    <w:rsid w:val="008D3115"/>
    <w:rsid w:val="008D3D5E"/>
    <w:rsid w:val="008D44AD"/>
    <w:rsid w:val="008D453D"/>
    <w:rsid w:val="008D4BD6"/>
    <w:rsid w:val="008D52B4"/>
    <w:rsid w:val="008D53AD"/>
    <w:rsid w:val="008D562B"/>
    <w:rsid w:val="008D567D"/>
    <w:rsid w:val="008D5733"/>
    <w:rsid w:val="008D5B25"/>
    <w:rsid w:val="008D622B"/>
    <w:rsid w:val="008D666C"/>
    <w:rsid w:val="008D7B54"/>
    <w:rsid w:val="008E0C9D"/>
    <w:rsid w:val="008E1648"/>
    <w:rsid w:val="008E1B3E"/>
    <w:rsid w:val="008E2319"/>
    <w:rsid w:val="008E32CE"/>
    <w:rsid w:val="008E45D5"/>
    <w:rsid w:val="008E4BB6"/>
    <w:rsid w:val="008E5518"/>
    <w:rsid w:val="008E5BB8"/>
    <w:rsid w:val="008E6A84"/>
    <w:rsid w:val="008F0CDC"/>
    <w:rsid w:val="008F129E"/>
    <w:rsid w:val="008F17A3"/>
    <w:rsid w:val="008F1ED3"/>
    <w:rsid w:val="008F23A5"/>
    <w:rsid w:val="008F4878"/>
    <w:rsid w:val="008F4C29"/>
    <w:rsid w:val="008F6667"/>
    <w:rsid w:val="008F70BD"/>
    <w:rsid w:val="008F788F"/>
    <w:rsid w:val="008F7D25"/>
    <w:rsid w:val="008F7EA2"/>
    <w:rsid w:val="00900D75"/>
    <w:rsid w:val="00901027"/>
    <w:rsid w:val="00902722"/>
    <w:rsid w:val="009027BC"/>
    <w:rsid w:val="0090507E"/>
    <w:rsid w:val="009062AC"/>
    <w:rsid w:val="009062E6"/>
    <w:rsid w:val="00906E72"/>
    <w:rsid w:val="0090799A"/>
    <w:rsid w:val="00907E5C"/>
    <w:rsid w:val="00911586"/>
    <w:rsid w:val="00911BE5"/>
    <w:rsid w:val="00913CA9"/>
    <w:rsid w:val="009145AE"/>
    <w:rsid w:val="009146CE"/>
    <w:rsid w:val="00914CA7"/>
    <w:rsid w:val="00915C3E"/>
    <w:rsid w:val="009161A8"/>
    <w:rsid w:val="0092249A"/>
    <w:rsid w:val="00922832"/>
    <w:rsid w:val="0092398B"/>
    <w:rsid w:val="0092458D"/>
    <w:rsid w:val="009245F5"/>
    <w:rsid w:val="009249EC"/>
    <w:rsid w:val="009261DE"/>
    <w:rsid w:val="00926E01"/>
    <w:rsid w:val="009273B3"/>
    <w:rsid w:val="009305B5"/>
    <w:rsid w:val="009310C5"/>
    <w:rsid w:val="00931D0B"/>
    <w:rsid w:val="009325DE"/>
    <w:rsid w:val="00932933"/>
    <w:rsid w:val="00934824"/>
    <w:rsid w:val="009351BB"/>
    <w:rsid w:val="0094002B"/>
    <w:rsid w:val="00941307"/>
    <w:rsid w:val="00941D2F"/>
    <w:rsid w:val="009426C2"/>
    <w:rsid w:val="009429D5"/>
    <w:rsid w:val="00942A9F"/>
    <w:rsid w:val="00942BF1"/>
    <w:rsid w:val="009440E3"/>
    <w:rsid w:val="00944EF0"/>
    <w:rsid w:val="00945180"/>
    <w:rsid w:val="00945428"/>
    <w:rsid w:val="00945775"/>
    <w:rsid w:val="00945E12"/>
    <w:rsid w:val="0094607B"/>
    <w:rsid w:val="009529CA"/>
    <w:rsid w:val="009533EF"/>
    <w:rsid w:val="00953604"/>
    <w:rsid w:val="0095496B"/>
    <w:rsid w:val="00954E90"/>
    <w:rsid w:val="009604B6"/>
    <w:rsid w:val="00961099"/>
    <w:rsid w:val="009610DC"/>
    <w:rsid w:val="00961490"/>
    <w:rsid w:val="00961AEE"/>
    <w:rsid w:val="009623A4"/>
    <w:rsid w:val="0096381A"/>
    <w:rsid w:val="00963F37"/>
    <w:rsid w:val="00965E04"/>
    <w:rsid w:val="00966AD6"/>
    <w:rsid w:val="009674AD"/>
    <w:rsid w:val="00970156"/>
    <w:rsid w:val="00970CDC"/>
    <w:rsid w:val="0097463B"/>
    <w:rsid w:val="00977010"/>
    <w:rsid w:val="00977D02"/>
    <w:rsid w:val="009805C1"/>
    <w:rsid w:val="00980902"/>
    <w:rsid w:val="009809BB"/>
    <w:rsid w:val="00980E15"/>
    <w:rsid w:val="00982D8C"/>
    <w:rsid w:val="0098364B"/>
    <w:rsid w:val="00984063"/>
    <w:rsid w:val="009911AF"/>
    <w:rsid w:val="00991875"/>
    <w:rsid w:val="00991F92"/>
    <w:rsid w:val="00992985"/>
    <w:rsid w:val="00993889"/>
    <w:rsid w:val="0099551B"/>
    <w:rsid w:val="00997BF1"/>
    <w:rsid w:val="009A00BA"/>
    <w:rsid w:val="009A089C"/>
    <w:rsid w:val="009A118E"/>
    <w:rsid w:val="009A1D07"/>
    <w:rsid w:val="009A21CD"/>
    <w:rsid w:val="009A278C"/>
    <w:rsid w:val="009A2BC2"/>
    <w:rsid w:val="009A42C1"/>
    <w:rsid w:val="009A5429"/>
    <w:rsid w:val="009A65A0"/>
    <w:rsid w:val="009A72AD"/>
    <w:rsid w:val="009B09E0"/>
    <w:rsid w:val="009B0BC5"/>
    <w:rsid w:val="009B1247"/>
    <w:rsid w:val="009B183F"/>
    <w:rsid w:val="009B46F9"/>
    <w:rsid w:val="009B6029"/>
    <w:rsid w:val="009B6947"/>
    <w:rsid w:val="009B6971"/>
    <w:rsid w:val="009C0ECC"/>
    <w:rsid w:val="009C1E1A"/>
    <w:rsid w:val="009C27F1"/>
    <w:rsid w:val="009C3152"/>
    <w:rsid w:val="009C4A88"/>
    <w:rsid w:val="009C4CFA"/>
    <w:rsid w:val="009C5070"/>
    <w:rsid w:val="009C5ECC"/>
    <w:rsid w:val="009D00BF"/>
    <w:rsid w:val="009D0D9C"/>
    <w:rsid w:val="009D112C"/>
    <w:rsid w:val="009D13AB"/>
    <w:rsid w:val="009D23CF"/>
    <w:rsid w:val="009D314C"/>
    <w:rsid w:val="009D4106"/>
    <w:rsid w:val="009D47FA"/>
    <w:rsid w:val="009D4C5B"/>
    <w:rsid w:val="009D50D2"/>
    <w:rsid w:val="009D6BCA"/>
    <w:rsid w:val="009D7B10"/>
    <w:rsid w:val="009E0F62"/>
    <w:rsid w:val="009E0F92"/>
    <w:rsid w:val="009E4A58"/>
    <w:rsid w:val="009E5671"/>
    <w:rsid w:val="009E5A2D"/>
    <w:rsid w:val="009E5AB2"/>
    <w:rsid w:val="009E6219"/>
    <w:rsid w:val="009E664C"/>
    <w:rsid w:val="009E744B"/>
    <w:rsid w:val="009E76DD"/>
    <w:rsid w:val="009F03B3"/>
    <w:rsid w:val="009F04BA"/>
    <w:rsid w:val="009F7DC4"/>
    <w:rsid w:val="00A0060E"/>
    <w:rsid w:val="00A0096C"/>
    <w:rsid w:val="00A0116B"/>
    <w:rsid w:val="00A01757"/>
    <w:rsid w:val="00A028C0"/>
    <w:rsid w:val="00A02BAE"/>
    <w:rsid w:val="00A0512B"/>
    <w:rsid w:val="00A05140"/>
    <w:rsid w:val="00A06A6B"/>
    <w:rsid w:val="00A07E47"/>
    <w:rsid w:val="00A1169F"/>
    <w:rsid w:val="00A121FC"/>
    <w:rsid w:val="00A12588"/>
    <w:rsid w:val="00A129D0"/>
    <w:rsid w:val="00A12C33"/>
    <w:rsid w:val="00A138BA"/>
    <w:rsid w:val="00A14C8E"/>
    <w:rsid w:val="00A153D9"/>
    <w:rsid w:val="00A15F09"/>
    <w:rsid w:val="00A169B6"/>
    <w:rsid w:val="00A16CA5"/>
    <w:rsid w:val="00A17C21"/>
    <w:rsid w:val="00A22287"/>
    <w:rsid w:val="00A2271D"/>
    <w:rsid w:val="00A237D5"/>
    <w:rsid w:val="00A25451"/>
    <w:rsid w:val="00A30EFC"/>
    <w:rsid w:val="00A31984"/>
    <w:rsid w:val="00A31E7C"/>
    <w:rsid w:val="00A32D73"/>
    <w:rsid w:val="00A3367B"/>
    <w:rsid w:val="00A3597D"/>
    <w:rsid w:val="00A36DD1"/>
    <w:rsid w:val="00A4006C"/>
    <w:rsid w:val="00A40091"/>
    <w:rsid w:val="00A4030F"/>
    <w:rsid w:val="00A409C3"/>
    <w:rsid w:val="00A41C79"/>
    <w:rsid w:val="00A41CB5"/>
    <w:rsid w:val="00A42CDF"/>
    <w:rsid w:val="00A4423E"/>
    <w:rsid w:val="00A4452E"/>
    <w:rsid w:val="00A4472C"/>
    <w:rsid w:val="00A44E69"/>
    <w:rsid w:val="00A4661E"/>
    <w:rsid w:val="00A47A6E"/>
    <w:rsid w:val="00A51DC3"/>
    <w:rsid w:val="00A55466"/>
    <w:rsid w:val="00A55492"/>
    <w:rsid w:val="00A55BD6"/>
    <w:rsid w:val="00A55D50"/>
    <w:rsid w:val="00A56223"/>
    <w:rsid w:val="00A57142"/>
    <w:rsid w:val="00A5724F"/>
    <w:rsid w:val="00A6046D"/>
    <w:rsid w:val="00A6226C"/>
    <w:rsid w:val="00A6245B"/>
    <w:rsid w:val="00A6372D"/>
    <w:rsid w:val="00A63EEB"/>
    <w:rsid w:val="00A648CD"/>
    <w:rsid w:val="00A6537A"/>
    <w:rsid w:val="00A67866"/>
    <w:rsid w:val="00A67980"/>
    <w:rsid w:val="00A70B07"/>
    <w:rsid w:val="00A723F8"/>
    <w:rsid w:val="00A72E58"/>
    <w:rsid w:val="00A74D6B"/>
    <w:rsid w:val="00A77228"/>
    <w:rsid w:val="00A77CCB"/>
    <w:rsid w:val="00A809AF"/>
    <w:rsid w:val="00A82498"/>
    <w:rsid w:val="00A83D8D"/>
    <w:rsid w:val="00A8446B"/>
    <w:rsid w:val="00A8473F"/>
    <w:rsid w:val="00A853CA"/>
    <w:rsid w:val="00A85804"/>
    <w:rsid w:val="00A862D6"/>
    <w:rsid w:val="00A8715E"/>
    <w:rsid w:val="00A9295B"/>
    <w:rsid w:val="00A92ABB"/>
    <w:rsid w:val="00A93B09"/>
    <w:rsid w:val="00A94247"/>
    <w:rsid w:val="00A942A2"/>
    <w:rsid w:val="00A952D7"/>
    <w:rsid w:val="00A963F7"/>
    <w:rsid w:val="00A96AD8"/>
    <w:rsid w:val="00A96D84"/>
    <w:rsid w:val="00AA052C"/>
    <w:rsid w:val="00AA1E45"/>
    <w:rsid w:val="00AA25C6"/>
    <w:rsid w:val="00AA2776"/>
    <w:rsid w:val="00AA2F47"/>
    <w:rsid w:val="00AA3B6D"/>
    <w:rsid w:val="00AA4286"/>
    <w:rsid w:val="00AA456B"/>
    <w:rsid w:val="00AA54DC"/>
    <w:rsid w:val="00AA5736"/>
    <w:rsid w:val="00AA57F5"/>
    <w:rsid w:val="00AA587D"/>
    <w:rsid w:val="00AA672E"/>
    <w:rsid w:val="00AA6EC9"/>
    <w:rsid w:val="00AB0BAC"/>
    <w:rsid w:val="00AB2402"/>
    <w:rsid w:val="00AB307F"/>
    <w:rsid w:val="00AB41D5"/>
    <w:rsid w:val="00AB4C78"/>
    <w:rsid w:val="00AB5702"/>
    <w:rsid w:val="00AB6309"/>
    <w:rsid w:val="00AB6C5F"/>
    <w:rsid w:val="00AB7129"/>
    <w:rsid w:val="00AB7336"/>
    <w:rsid w:val="00AB7709"/>
    <w:rsid w:val="00AC0132"/>
    <w:rsid w:val="00AC23D1"/>
    <w:rsid w:val="00AC27A6"/>
    <w:rsid w:val="00AC30F7"/>
    <w:rsid w:val="00AC3A5A"/>
    <w:rsid w:val="00AC4378"/>
    <w:rsid w:val="00AC4D95"/>
    <w:rsid w:val="00AC5DF4"/>
    <w:rsid w:val="00AD0325"/>
    <w:rsid w:val="00AD0AEF"/>
    <w:rsid w:val="00AD11B7"/>
    <w:rsid w:val="00AD1445"/>
    <w:rsid w:val="00AD1A94"/>
    <w:rsid w:val="00AD1AEF"/>
    <w:rsid w:val="00AD1C05"/>
    <w:rsid w:val="00AD3038"/>
    <w:rsid w:val="00AD4126"/>
    <w:rsid w:val="00AD421C"/>
    <w:rsid w:val="00AD44FA"/>
    <w:rsid w:val="00AD4B23"/>
    <w:rsid w:val="00AD610A"/>
    <w:rsid w:val="00AD6A17"/>
    <w:rsid w:val="00AE00E5"/>
    <w:rsid w:val="00AE070A"/>
    <w:rsid w:val="00AE0FA5"/>
    <w:rsid w:val="00AE101C"/>
    <w:rsid w:val="00AE12BC"/>
    <w:rsid w:val="00AE37E5"/>
    <w:rsid w:val="00AE4EE5"/>
    <w:rsid w:val="00AE5EB4"/>
    <w:rsid w:val="00AE694C"/>
    <w:rsid w:val="00AF0296"/>
    <w:rsid w:val="00AF0C18"/>
    <w:rsid w:val="00AF1567"/>
    <w:rsid w:val="00AF24EF"/>
    <w:rsid w:val="00AF255D"/>
    <w:rsid w:val="00AF26E3"/>
    <w:rsid w:val="00AF47C5"/>
    <w:rsid w:val="00AF5398"/>
    <w:rsid w:val="00AF6D60"/>
    <w:rsid w:val="00B00618"/>
    <w:rsid w:val="00B00D89"/>
    <w:rsid w:val="00B01496"/>
    <w:rsid w:val="00B049AF"/>
    <w:rsid w:val="00B04A25"/>
    <w:rsid w:val="00B05697"/>
    <w:rsid w:val="00B06964"/>
    <w:rsid w:val="00B06A37"/>
    <w:rsid w:val="00B07242"/>
    <w:rsid w:val="00B07439"/>
    <w:rsid w:val="00B10534"/>
    <w:rsid w:val="00B113DB"/>
    <w:rsid w:val="00B11D8A"/>
    <w:rsid w:val="00B11E09"/>
    <w:rsid w:val="00B11E44"/>
    <w:rsid w:val="00B12981"/>
    <w:rsid w:val="00B147DD"/>
    <w:rsid w:val="00B15689"/>
    <w:rsid w:val="00B156FD"/>
    <w:rsid w:val="00B21F61"/>
    <w:rsid w:val="00B22AF5"/>
    <w:rsid w:val="00B261F1"/>
    <w:rsid w:val="00B265BC"/>
    <w:rsid w:val="00B26C60"/>
    <w:rsid w:val="00B270AA"/>
    <w:rsid w:val="00B31FB1"/>
    <w:rsid w:val="00B326E2"/>
    <w:rsid w:val="00B3390E"/>
    <w:rsid w:val="00B33952"/>
    <w:rsid w:val="00B33C5E"/>
    <w:rsid w:val="00B342F4"/>
    <w:rsid w:val="00B34369"/>
    <w:rsid w:val="00B34DC2"/>
    <w:rsid w:val="00B3503F"/>
    <w:rsid w:val="00B35111"/>
    <w:rsid w:val="00B35239"/>
    <w:rsid w:val="00B378E5"/>
    <w:rsid w:val="00B42E43"/>
    <w:rsid w:val="00B42ECB"/>
    <w:rsid w:val="00B430E3"/>
    <w:rsid w:val="00B4346D"/>
    <w:rsid w:val="00B43EC1"/>
    <w:rsid w:val="00B43F1C"/>
    <w:rsid w:val="00B440F4"/>
    <w:rsid w:val="00B447A5"/>
    <w:rsid w:val="00B450CB"/>
    <w:rsid w:val="00B4516B"/>
    <w:rsid w:val="00B45343"/>
    <w:rsid w:val="00B4535B"/>
    <w:rsid w:val="00B459D3"/>
    <w:rsid w:val="00B4654C"/>
    <w:rsid w:val="00B46A9B"/>
    <w:rsid w:val="00B46AF0"/>
    <w:rsid w:val="00B46CD5"/>
    <w:rsid w:val="00B47293"/>
    <w:rsid w:val="00B47632"/>
    <w:rsid w:val="00B50E50"/>
    <w:rsid w:val="00B52120"/>
    <w:rsid w:val="00B52FBF"/>
    <w:rsid w:val="00B54ABC"/>
    <w:rsid w:val="00B54DDE"/>
    <w:rsid w:val="00B56FBE"/>
    <w:rsid w:val="00B572B3"/>
    <w:rsid w:val="00B60AC2"/>
    <w:rsid w:val="00B60ACF"/>
    <w:rsid w:val="00B62B58"/>
    <w:rsid w:val="00B632EE"/>
    <w:rsid w:val="00B63832"/>
    <w:rsid w:val="00B65149"/>
    <w:rsid w:val="00B66567"/>
    <w:rsid w:val="00B66F52"/>
    <w:rsid w:val="00B66FE5"/>
    <w:rsid w:val="00B67866"/>
    <w:rsid w:val="00B71C77"/>
    <w:rsid w:val="00B72880"/>
    <w:rsid w:val="00B72CA7"/>
    <w:rsid w:val="00B7359A"/>
    <w:rsid w:val="00B74DC8"/>
    <w:rsid w:val="00B758BF"/>
    <w:rsid w:val="00B76990"/>
    <w:rsid w:val="00B77918"/>
    <w:rsid w:val="00B77EC8"/>
    <w:rsid w:val="00B80CBC"/>
    <w:rsid w:val="00B81A58"/>
    <w:rsid w:val="00B827A6"/>
    <w:rsid w:val="00B831CE"/>
    <w:rsid w:val="00B854ED"/>
    <w:rsid w:val="00B861AC"/>
    <w:rsid w:val="00B8637A"/>
    <w:rsid w:val="00B86677"/>
    <w:rsid w:val="00B86D79"/>
    <w:rsid w:val="00B87131"/>
    <w:rsid w:val="00B9058C"/>
    <w:rsid w:val="00B90C2A"/>
    <w:rsid w:val="00B916FB"/>
    <w:rsid w:val="00B939B1"/>
    <w:rsid w:val="00B94D61"/>
    <w:rsid w:val="00B9572B"/>
    <w:rsid w:val="00B96D40"/>
    <w:rsid w:val="00B96FFD"/>
    <w:rsid w:val="00B97267"/>
    <w:rsid w:val="00B97338"/>
    <w:rsid w:val="00B97386"/>
    <w:rsid w:val="00B97BEF"/>
    <w:rsid w:val="00B97C37"/>
    <w:rsid w:val="00BA0463"/>
    <w:rsid w:val="00BA10DC"/>
    <w:rsid w:val="00BA2466"/>
    <w:rsid w:val="00BA263B"/>
    <w:rsid w:val="00BA42B2"/>
    <w:rsid w:val="00BA42FF"/>
    <w:rsid w:val="00BA4B98"/>
    <w:rsid w:val="00BA58D4"/>
    <w:rsid w:val="00BA58FE"/>
    <w:rsid w:val="00BA5B9E"/>
    <w:rsid w:val="00BA7C9A"/>
    <w:rsid w:val="00BB08DF"/>
    <w:rsid w:val="00BB203B"/>
    <w:rsid w:val="00BB3715"/>
    <w:rsid w:val="00BB4584"/>
    <w:rsid w:val="00BB558D"/>
    <w:rsid w:val="00BB5F8F"/>
    <w:rsid w:val="00BB657A"/>
    <w:rsid w:val="00BB7E6E"/>
    <w:rsid w:val="00BC00FF"/>
    <w:rsid w:val="00BC0BE4"/>
    <w:rsid w:val="00BC1463"/>
    <w:rsid w:val="00BC1719"/>
    <w:rsid w:val="00BC1A4E"/>
    <w:rsid w:val="00BC1CE2"/>
    <w:rsid w:val="00BC338A"/>
    <w:rsid w:val="00BC3D63"/>
    <w:rsid w:val="00BC4790"/>
    <w:rsid w:val="00BC5DC7"/>
    <w:rsid w:val="00BC62D6"/>
    <w:rsid w:val="00BC6B8B"/>
    <w:rsid w:val="00BC73D8"/>
    <w:rsid w:val="00BD04CA"/>
    <w:rsid w:val="00BD0716"/>
    <w:rsid w:val="00BD52D7"/>
    <w:rsid w:val="00BD53ED"/>
    <w:rsid w:val="00BD5AD2"/>
    <w:rsid w:val="00BD6E53"/>
    <w:rsid w:val="00BD764A"/>
    <w:rsid w:val="00BE007F"/>
    <w:rsid w:val="00BE16D2"/>
    <w:rsid w:val="00BE22F3"/>
    <w:rsid w:val="00BE2C3C"/>
    <w:rsid w:val="00BE3770"/>
    <w:rsid w:val="00BE4BC4"/>
    <w:rsid w:val="00BE5B52"/>
    <w:rsid w:val="00BE7B8D"/>
    <w:rsid w:val="00BF0993"/>
    <w:rsid w:val="00BF10A9"/>
    <w:rsid w:val="00BF1703"/>
    <w:rsid w:val="00BF231C"/>
    <w:rsid w:val="00BF41D3"/>
    <w:rsid w:val="00BF49B3"/>
    <w:rsid w:val="00BF51E5"/>
    <w:rsid w:val="00BF5E0F"/>
    <w:rsid w:val="00BF74A6"/>
    <w:rsid w:val="00C00492"/>
    <w:rsid w:val="00C013AD"/>
    <w:rsid w:val="00C0289F"/>
    <w:rsid w:val="00C0393C"/>
    <w:rsid w:val="00C043AE"/>
    <w:rsid w:val="00C045AD"/>
    <w:rsid w:val="00C04904"/>
    <w:rsid w:val="00C056B3"/>
    <w:rsid w:val="00C05836"/>
    <w:rsid w:val="00C103E5"/>
    <w:rsid w:val="00C10F5F"/>
    <w:rsid w:val="00C12E9A"/>
    <w:rsid w:val="00C13319"/>
    <w:rsid w:val="00C13EE9"/>
    <w:rsid w:val="00C21407"/>
    <w:rsid w:val="00C21540"/>
    <w:rsid w:val="00C21906"/>
    <w:rsid w:val="00C21BFA"/>
    <w:rsid w:val="00C22148"/>
    <w:rsid w:val="00C24C8D"/>
    <w:rsid w:val="00C2599B"/>
    <w:rsid w:val="00C25FE2"/>
    <w:rsid w:val="00C26064"/>
    <w:rsid w:val="00C26B53"/>
    <w:rsid w:val="00C279B2"/>
    <w:rsid w:val="00C30C75"/>
    <w:rsid w:val="00C31681"/>
    <w:rsid w:val="00C338A3"/>
    <w:rsid w:val="00C33BF7"/>
    <w:rsid w:val="00C33E28"/>
    <w:rsid w:val="00C33E50"/>
    <w:rsid w:val="00C34C20"/>
    <w:rsid w:val="00C3515D"/>
    <w:rsid w:val="00C35A3E"/>
    <w:rsid w:val="00C35AD2"/>
    <w:rsid w:val="00C36A87"/>
    <w:rsid w:val="00C42130"/>
    <w:rsid w:val="00C423A4"/>
    <w:rsid w:val="00C44BB2"/>
    <w:rsid w:val="00C44BF5"/>
    <w:rsid w:val="00C5209A"/>
    <w:rsid w:val="00C521D6"/>
    <w:rsid w:val="00C54CF9"/>
    <w:rsid w:val="00C55232"/>
    <w:rsid w:val="00C553A4"/>
    <w:rsid w:val="00C55A06"/>
    <w:rsid w:val="00C55D03"/>
    <w:rsid w:val="00C601A9"/>
    <w:rsid w:val="00C601BC"/>
    <w:rsid w:val="00C60BC1"/>
    <w:rsid w:val="00C6124D"/>
    <w:rsid w:val="00C6329F"/>
    <w:rsid w:val="00C63340"/>
    <w:rsid w:val="00C643F9"/>
    <w:rsid w:val="00C64E95"/>
    <w:rsid w:val="00C665BC"/>
    <w:rsid w:val="00C70037"/>
    <w:rsid w:val="00C7136F"/>
    <w:rsid w:val="00C71372"/>
    <w:rsid w:val="00C71BC4"/>
    <w:rsid w:val="00C72410"/>
    <w:rsid w:val="00C7287F"/>
    <w:rsid w:val="00C7501A"/>
    <w:rsid w:val="00C77674"/>
    <w:rsid w:val="00C80CB8"/>
    <w:rsid w:val="00C80F85"/>
    <w:rsid w:val="00C819F8"/>
    <w:rsid w:val="00C8248C"/>
    <w:rsid w:val="00C84354"/>
    <w:rsid w:val="00C84E33"/>
    <w:rsid w:val="00C86D6F"/>
    <w:rsid w:val="00C87C59"/>
    <w:rsid w:val="00C905FC"/>
    <w:rsid w:val="00C90A95"/>
    <w:rsid w:val="00C91924"/>
    <w:rsid w:val="00C91A5B"/>
    <w:rsid w:val="00C91FAB"/>
    <w:rsid w:val="00C920C6"/>
    <w:rsid w:val="00C92D03"/>
    <w:rsid w:val="00C9319C"/>
    <w:rsid w:val="00C9435D"/>
    <w:rsid w:val="00C94DF2"/>
    <w:rsid w:val="00C958BA"/>
    <w:rsid w:val="00C96741"/>
    <w:rsid w:val="00C9780C"/>
    <w:rsid w:val="00CA0B88"/>
    <w:rsid w:val="00CA0D81"/>
    <w:rsid w:val="00CA13BD"/>
    <w:rsid w:val="00CA1D06"/>
    <w:rsid w:val="00CA2D1B"/>
    <w:rsid w:val="00CA375D"/>
    <w:rsid w:val="00CA3D89"/>
    <w:rsid w:val="00CA662A"/>
    <w:rsid w:val="00CA75BD"/>
    <w:rsid w:val="00CA7AFD"/>
    <w:rsid w:val="00CA7C3C"/>
    <w:rsid w:val="00CB0189"/>
    <w:rsid w:val="00CB0393"/>
    <w:rsid w:val="00CB0BA2"/>
    <w:rsid w:val="00CB1A42"/>
    <w:rsid w:val="00CB1B0C"/>
    <w:rsid w:val="00CB1F73"/>
    <w:rsid w:val="00CB2C0B"/>
    <w:rsid w:val="00CB326B"/>
    <w:rsid w:val="00CB517D"/>
    <w:rsid w:val="00CB72CC"/>
    <w:rsid w:val="00CC038D"/>
    <w:rsid w:val="00CC088B"/>
    <w:rsid w:val="00CC08DB"/>
    <w:rsid w:val="00CC0BEC"/>
    <w:rsid w:val="00CC18F5"/>
    <w:rsid w:val="00CC29E6"/>
    <w:rsid w:val="00CC3109"/>
    <w:rsid w:val="00CC39FF"/>
    <w:rsid w:val="00CC3C2F"/>
    <w:rsid w:val="00CC4AC8"/>
    <w:rsid w:val="00CC5233"/>
    <w:rsid w:val="00CC5683"/>
    <w:rsid w:val="00CC5DE6"/>
    <w:rsid w:val="00CC692E"/>
    <w:rsid w:val="00CC6E4E"/>
    <w:rsid w:val="00CC6FE8"/>
    <w:rsid w:val="00CC7202"/>
    <w:rsid w:val="00CD1471"/>
    <w:rsid w:val="00CD1F31"/>
    <w:rsid w:val="00CD2808"/>
    <w:rsid w:val="00CD28BF"/>
    <w:rsid w:val="00CD29D8"/>
    <w:rsid w:val="00CD4092"/>
    <w:rsid w:val="00CD4A20"/>
    <w:rsid w:val="00CD4C2A"/>
    <w:rsid w:val="00CD50A1"/>
    <w:rsid w:val="00CD519E"/>
    <w:rsid w:val="00CD53AC"/>
    <w:rsid w:val="00CD561D"/>
    <w:rsid w:val="00CD77BA"/>
    <w:rsid w:val="00CE0B83"/>
    <w:rsid w:val="00CE0C4F"/>
    <w:rsid w:val="00CE30EA"/>
    <w:rsid w:val="00CE4001"/>
    <w:rsid w:val="00CE42DB"/>
    <w:rsid w:val="00CE742B"/>
    <w:rsid w:val="00CF048A"/>
    <w:rsid w:val="00CF155A"/>
    <w:rsid w:val="00CF2619"/>
    <w:rsid w:val="00CF2947"/>
    <w:rsid w:val="00CF4FD9"/>
    <w:rsid w:val="00CF686F"/>
    <w:rsid w:val="00CF6E60"/>
    <w:rsid w:val="00CF75EC"/>
    <w:rsid w:val="00CF7BCA"/>
    <w:rsid w:val="00D008FD"/>
    <w:rsid w:val="00D015E4"/>
    <w:rsid w:val="00D0321C"/>
    <w:rsid w:val="00D035EC"/>
    <w:rsid w:val="00D039EC"/>
    <w:rsid w:val="00D059E2"/>
    <w:rsid w:val="00D06AB1"/>
    <w:rsid w:val="00D072ED"/>
    <w:rsid w:val="00D07A16"/>
    <w:rsid w:val="00D1067E"/>
    <w:rsid w:val="00D10873"/>
    <w:rsid w:val="00D10B0C"/>
    <w:rsid w:val="00D10F50"/>
    <w:rsid w:val="00D10FB2"/>
    <w:rsid w:val="00D11272"/>
    <w:rsid w:val="00D126F5"/>
    <w:rsid w:val="00D1489E"/>
    <w:rsid w:val="00D14950"/>
    <w:rsid w:val="00D20737"/>
    <w:rsid w:val="00D209C9"/>
    <w:rsid w:val="00D20A5E"/>
    <w:rsid w:val="00D2172F"/>
    <w:rsid w:val="00D21E81"/>
    <w:rsid w:val="00D2239F"/>
    <w:rsid w:val="00D223DE"/>
    <w:rsid w:val="00D2337A"/>
    <w:rsid w:val="00D24A4D"/>
    <w:rsid w:val="00D24D1B"/>
    <w:rsid w:val="00D25E37"/>
    <w:rsid w:val="00D2661A"/>
    <w:rsid w:val="00D27582"/>
    <w:rsid w:val="00D2784C"/>
    <w:rsid w:val="00D27EC4"/>
    <w:rsid w:val="00D30398"/>
    <w:rsid w:val="00D32719"/>
    <w:rsid w:val="00D33333"/>
    <w:rsid w:val="00D33432"/>
    <w:rsid w:val="00D33457"/>
    <w:rsid w:val="00D352A2"/>
    <w:rsid w:val="00D35BD1"/>
    <w:rsid w:val="00D37F16"/>
    <w:rsid w:val="00D4162B"/>
    <w:rsid w:val="00D43E05"/>
    <w:rsid w:val="00D4514F"/>
    <w:rsid w:val="00D451E2"/>
    <w:rsid w:val="00D45416"/>
    <w:rsid w:val="00D45E89"/>
    <w:rsid w:val="00D45E8D"/>
    <w:rsid w:val="00D466AE"/>
    <w:rsid w:val="00D4734F"/>
    <w:rsid w:val="00D51BF3"/>
    <w:rsid w:val="00D538CF"/>
    <w:rsid w:val="00D54CC5"/>
    <w:rsid w:val="00D56586"/>
    <w:rsid w:val="00D61C4D"/>
    <w:rsid w:val="00D66846"/>
    <w:rsid w:val="00D675FB"/>
    <w:rsid w:val="00D67BAE"/>
    <w:rsid w:val="00D70573"/>
    <w:rsid w:val="00D70817"/>
    <w:rsid w:val="00D71A1A"/>
    <w:rsid w:val="00D71F25"/>
    <w:rsid w:val="00D7263F"/>
    <w:rsid w:val="00D72A9C"/>
    <w:rsid w:val="00D7411F"/>
    <w:rsid w:val="00D744B5"/>
    <w:rsid w:val="00D758CC"/>
    <w:rsid w:val="00D77031"/>
    <w:rsid w:val="00D774DF"/>
    <w:rsid w:val="00D7787D"/>
    <w:rsid w:val="00D818F3"/>
    <w:rsid w:val="00D83A07"/>
    <w:rsid w:val="00D84941"/>
    <w:rsid w:val="00D84FA1"/>
    <w:rsid w:val="00D851F0"/>
    <w:rsid w:val="00D86DB7"/>
    <w:rsid w:val="00D90958"/>
    <w:rsid w:val="00D922A0"/>
    <w:rsid w:val="00D926D0"/>
    <w:rsid w:val="00D92CB3"/>
    <w:rsid w:val="00D93030"/>
    <w:rsid w:val="00D950E1"/>
    <w:rsid w:val="00D952A6"/>
    <w:rsid w:val="00D97F99"/>
    <w:rsid w:val="00DA1E08"/>
    <w:rsid w:val="00DA24F8"/>
    <w:rsid w:val="00DA28E8"/>
    <w:rsid w:val="00DA32EE"/>
    <w:rsid w:val="00DA38D3"/>
    <w:rsid w:val="00DA3932"/>
    <w:rsid w:val="00DA3AFC"/>
    <w:rsid w:val="00DA5191"/>
    <w:rsid w:val="00DA64F8"/>
    <w:rsid w:val="00DA693B"/>
    <w:rsid w:val="00DA6C15"/>
    <w:rsid w:val="00DA7E40"/>
    <w:rsid w:val="00DB0258"/>
    <w:rsid w:val="00DB326E"/>
    <w:rsid w:val="00DB38EE"/>
    <w:rsid w:val="00DB498B"/>
    <w:rsid w:val="00DB66CA"/>
    <w:rsid w:val="00DB6BCA"/>
    <w:rsid w:val="00DB6D23"/>
    <w:rsid w:val="00DB73F7"/>
    <w:rsid w:val="00DC0321"/>
    <w:rsid w:val="00DC237D"/>
    <w:rsid w:val="00DC277F"/>
    <w:rsid w:val="00DC3067"/>
    <w:rsid w:val="00DC35E9"/>
    <w:rsid w:val="00DC370B"/>
    <w:rsid w:val="00DC5B90"/>
    <w:rsid w:val="00DC5F99"/>
    <w:rsid w:val="00DC5FE5"/>
    <w:rsid w:val="00DC77E6"/>
    <w:rsid w:val="00DD00FF"/>
    <w:rsid w:val="00DD0619"/>
    <w:rsid w:val="00DD07FB"/>
    <w:rsid w:val="00DD1B50"/>
    <w:rsid w:val="00DD1CB8"/>
    <w:rsid w:val="00DD25C6"/>
    <w:rsid w:val="00DD3A30"/>
    <w:rsid w:val="00DD435A"/>
    <w:rsid w:val="00DD4775"/>
    <w:rsid w:val="00DD4FE5"/>
    <w:rsid w:val="00DD54B0"/>
    <w:rsid w:val="00DD57EE"/>
    <w:rsid w:val="00DD6BCC"/>
    <w:rsid w:val="00DE0A4B"/>
    <w:rsid w:val="00DE2410"/>
    <w:rsid w:val="00DE2939"/>
    <w:rsid w:val="00DE6E81"/>
    <w:rsid w:val="00DE703F"/>
    <w:rsid w:val="00DE7595"/>
    <w:rsid w:val="00DE7AB8"/>
    <w:rsid w:val="00DF1961"/>
    <w:rsid w:val="00DF2E8A"/>
    <w:rsid w:val="00DF36A0"/>
    <w:rsid w:val="00DF44DE"/>
    <w:rsid w:val="00DF4B4A"/>
    <w:rsid w:val="00DF4F15"/>
    <w:rsid w:val="00DF5A14"/>
    <w:rsid w:val="00DF5C5E"/>
    <w:rsid w:val="00DF5F11"/>
    <w:rsid w:val="00DF62E7"/>
    <w:rsid w:val="00E0061F"/>
    <w:rsid w:val="00E00ABD"/>
    <w:rsid w:val="00E00CA6"/>
    <w:rsid w:val="00E01138"/>
    <w:rsid w:val="00E02DFB"/>
    <w:rsid w:val="00E030F9"/>
    <w:rsid w:val="00E0311A"/>
    <w:rsid w:val="00E03138"/>
    <w:rsid w:val="00E03C0D"/>
    <w:rsid w:val="00E06215"/>
    <w:rsid w:val="00E06404"/>
    <w:rsid w:val="00E065D2"/>
    <w:rsid w:val="00E113C8"/>
    <w:rsid w:val="00E11A85"/>
    <w:rsid w:val="00E12495"/>
    <w:rsid w:val="00E125CE"/>
    <w:rsid w:val="00E1345E"/>
    <w:rsid w:val="00E143D1"/>
    <w:rsid w:val="00E143E0"/>
    <w:rsid w:val="00E14793"/>
    <w:rsid w:val="00E15CCD"/>
    <w:rsid w:val="00E202EF"/>
    <w:rsid w:val="00E210B5"/>
    <w:rsid w:val="00E217F2"/>
    <w:rsid w:val="00E21F92"/>
    <w:rsid w:val="00E23D99"/>
    <w:rsid w:val="00E2552F"/>
    <w:rsid w:val="00E306AD"/>
    <w:rsid w:val="00E3137A"/>
    <w:rsid w:val="00E32550"/>
    <w:rsid w:val="00E32603"/>
    <w:rsid w:val="00E32CCF"/>
    <w:rsid w:val="00E32F05"/>
    <w:rsid w:val="00E3399A"/>
    <w:rsid w:val="00E34A98"/>
    <w:rsid w:val="00E35D1E"/>
    <w:rsid w:val="00E364F9"/>
    <w:rsid w:val="00E365FA"/>
    <w:rsid w:val="00E36789"/>
    <w:rsid w:val="00E37AE6"/>
    <w:rsid w:val="00E37BEC"/>
    <w:rsid w:val="00E4083C"/>
    <w:rsid w:val="00E41F68"/>
    <w:rsid w:val="00E42A61"/>
    <w:rsid w:val="00E432A0"/>
    <w:rsid w:val="00E44A83"/>
    <w:rsid w:val="00E4715A"/>
    <w:rsid w:val="00E47D79"/>
    <w:rsid w:val="00E502C1"/>
    <w:rsid w:val="00E502DD"/>
    <w:rsid w:val="00E50D3A"/>
    <w:rsid w:val="00E51387"/>
    <w:rsid w:val="00E51894"/>
    <w:rsid w:val="00E51E68"/>
    <w:rsid w:val="00E52EFD"/>
    <w:rsid w:val="00E537D5"/>
    <w:rsid w:val="00E5408A"/>
    <w:rsid w:val="00E54D37"/>
    <w:rsid w:val="00E54D8C"/>
    <w:rsid w:val="00E55FBE"/>
    <w:rsid w:val="00E56800"/>
    <w:rsid w:val="00E5759C"/>
    <w:rsid w:val="00E60C63"/>
    <w:rsid w:val="00E6128F"/>
    <w:rsid w:val="00E620C3"/>
    <w:rsid w:val="00E62FF9"/>
    <w:rsid w:val="00E63244"/>
    <w:rsid w:val="00E635D6"/>
    <w:rsid w:val="00E639BC"/>
    <w:rsid w:val="00E64476"/>
    <w:rsid w:val="00E64516"/>
    <w:rsid w:val="00E66210"/>
    <w:rsid w:val="00E664CC"/>
    <w:rsid w:val="00E70388"/>
    <w:rsid w:val="00E703D4"/>
    <w:rsid w:val="00E70F92"/>
    <w:rsid w:val="00E71481"/>
    <w:rsid w:val="00E72F5D"/>
    <w:rsid w:val="00E74C54"/>
    <w:rsid w:val="00E74E08"/>
    <w:rsid w:val="00E74F77"/>
    <w:rsid w:val="00E7576B"/>
    <w:rsid w:val="00E75F65"/>
    <w:rsid w:val="00E7716E"/>
    <w:rsid w:val="00E77449"/>
    <w:rsid w:val="00E77A03"/>
    <w:rsid w:val="00E77AE1"/>
    <w:rsid w:val="00E77BA0"/>
    <w:rsid w:val="00E80E7D"/>
    <w:rsid w:val="00E822E8"/>
    <w:rsid w:val="00E82554"/>
    <w:rsid w:val="00E82606"/>
    <w:rsid w:val="00E82DDB"/>
    <w:rsid w:val="00E846C8"/>
    <w:rsid w:val="00E84957"/>
    <w:rsid w:val="00E84A55"/>
    <w:rsid w:val="00E84E56"/>
    <w:rsid w:val="00E85BFF"/>
    <w:rsid w:val="00E86696"/>
    <w:rsid w:val="00E86A2B"/>
    <w:rsid w:val="00E879D8"/>
    <w:rsid w:val="00E87D9D"/>
    <w:rsid w:val="00E90391"/>
    <w:rsid w:val="00E906C2"/>
    <w:rsid w:val="00E9311F"/>
    <w:rsid w:val="00E934D1"/>
    <w:rsid w:val="00E94AF0"/>
    <w:rsid w:val="00E95D13"/>
    <w:rsid w:val="00E95DD3"/>
    <w:rsid w:val="00E969D5"/>
    <w:rsid w:val="00E978F2"/>
    <w:rsid w:val="00EA0005"/>
    <w:rsid w:val="00EA0689"/>
    <w:rsid w:val="00EA1057"/>
    <w:rsid w:val="00EA2897"/>
    <w:rsid w:val="00EA46CD"/>
    <w:rsid w:val="00EA58D1"/>
    <w:rsid w:val="00EA61BC"/>
    <w:rsid w:val="00EA641A"/>
    <w:rsid w:val="00EA681A"/>
    <w:rsid w:val="00EA735B"/>
    <w:rsid w:val="00EB0ED7"/>
    <w:rsid w:val="00EB17DE"/>
    <w:rsid w:val="00EB1E69"/>
    <w:rsid w:val="00EB1FED"/>
    <w:rsid w:val="00EB2086"/>
    <w:rsid w:val="00EB2A14"/>
    <w:rsid w:val="00EB490A"/>
    <w:rsid w:val="00EB53F2"/>
    <w:rsid w:val="00EB5EDF"/>
    <w:rsid w:val="00EB60FE"/>
    <w:rsid w:val="00EB6717"/>
    <w:rsid w:val="00EB74DB"/>
    <w:rsid w:val="00EC0744"/>
    <w:rsid w:val="00EC50D9"/>
    <w:rsid w:val="00EC5359"/>
    <w:rsid w:val="00EC562A"/>
    <w:rsid w:val="00EC56F9"/>
    <w:rsid w:val="00ED067A"/>
    <w:rsid w:val="00ED06F6"/>
    <w:rsid w:val="00ED13EB"/>
    <w:rsid w:val="00ED2B50"/>
    <w:rsid w:val="00ED3003"/>
    <w:rsid w:val="00ED3F73"/>
    <w:rsid w:val="00ED6B00"/>
    <w:rsid w:val="00EE0350"/>
    <w:rsid w:val="00EE0519"/>
    <w:rsid w:val="00EE0719"/>
    <w:rsid w:val="00EE0E80"/>
    <w:rsid w:val="00EE54A6"/>
    <w:rsid w:val="00EE613F"/>
    <w:rsid w:val="00EE7295"/>
    <w:rsid w:val="00EE7869"/>
    <w:rsid w:val="00EF054A"/>
    <w:rsid w:val="00EF3235"/>
    <w:rsid w:val="00EF4098"/>
    <w:rsid w:val="00EF4765"/>
    <w:rsid w:val="00EF6425"/>
    <w:rsid w:val="00EF7E72"/>
    <w:rsid w:val="00F0162D"/>
    <w:rsid w:val="00F04273"/>
    <w:rsid w:val="00F04E1C"/>
    <w:rsid w:val="00F06D37"/>
    <w:rsid w:val="00F07B9D"/>
    <w:rsid w:val="00F10A51"/>
    <w:rsid w:val="00F10B64"/>
    <w:rsid w:val="00F11586"/>
    <w:rsid w:val="00F1183B"/>
    <w:rsid w:val="00F11C9F"/>
    <w:rsid w:val="00F12263"/>
    <w:rsid w:val="00F1409D"/>
    <w:rsid w:val="00F14214"/>
    <w:rsid w:val="00F157A9"/>
    <w:rsid w:val="00F157F0"/>
    <w:rsid w:val="00F1629D"/>
    <w:rsid w:val="00F208B2"/>
    <w:rsid w:val="00F24DCD"/>
    <w:rsid w:val="00F25BB6"/>
    <w:rsid w:val="00F26B7E"/>
    <w:rsid w:val="00F26F16"/>
    <w:rsid w:val="00F27A3B"/>
    <w:rsid w:val="00F31982"/>
    <w:rsid w:val="00F31C63"/>
    <w:rsid w:val="00F32628"/>
    <w:rsid w:val="00F33817"/>
    <w:rsid w:val="00F339E2"/>
    <w:rsid w:val="00F420D5"/>
    <w:rsid w:val="00F43282"/>
    <w:rsid w:val="00F434B8"/>
    <w:rsid w:val="00F4473A"/>
    <w:rsid w:val="00F451EA"/>
    <w:rsid w:val="00F45447"/>
    <w:rsid w:val="00F456C6"/>
    <w:rsid w:val="00F4577B"/>
    <w:rsid w:val="00F457DC"/>
    <w:rsid w:val="00F46496"/>
    <w:rsid w:val="00F46845"/>
    <w:rsid w:val="00F474D0"/>
    <w:rsid w:val="00F50179"/>
    <w:rsid w:val="00F5105F"/>
    <w:rsid w:val="00F515EE"/>
    <w:rsid w:val="00F54085"/>
    <w:rsid w:val="00F559CE"/>
    <w:rsid w:val="00F56304"/>
    <w:rsid w:val="00F56511"/>
    <w:rsid w:val="00F6194E"/>
    <w:rsid w:val="00F61DCA"/>
    <w:rsid w:val="00F61E86"/>
    <w:rsid w:val="00F62307"/>
    <w:rsid w:val="00F623AC"/>
    <w:rsid w:val="00F6356F"/>
    <w:rsid w:val="00F637DC"/>
    <w:rsid w:val="00F6412A"/>
    <w:rsid w:val="00F643E5"/>
    <w:rsid w:val="00F646CE"/>
    <w:rsid w:val="00F64CA6"/>
    <w:rsid w:val="00F65070"/>
    <w:rsid w:val="00F65744"/>
    <w:rsid w:val="00F65893"/>
    <w:rsid w:val="00F66A4A"/>
    <w:rsid w:val="00F670AD"/>
    <w:rsid w:val="00F70C60"/>
    <w:rsid w:val="00F71695"/>
    <w:rsid w:val="00F71746"/>
    <w:rsid w:val="00F71E22"/>
    <w:rsid w:val="00F72142"/>
    <w:rsid w:val="00F72AE7"/>
    <w:rsid w:val="00F72B25"/>
    <w:rsid w:val="00F74A01"/>
    <w:rsid w:val="00F7626B"/>
    <w:rsid w:val="00F76DB0"/>
    <w:rsid w:val="00F81141"/>
    <w:rsid w:val="00F818F6"/>
    <w:rsid w:val="00F833BA"/>
    <w:rsid w:val="00F836F6"/>
    <w:rsid w:val="00F84BE4"/>
    <w:rsid w:val="00F84FD0"/>
    <w:rsid w:val="00F853DD"/>
    <w:rsid w:val="00F859A8"/>
    <w:rsid w:val="00F867BB"/>
    <w:rsid w:val="00F86D87"/>
    <w:rsid w:val="00F9024D"/>
    <w:rsid w:val="00F9108B"/>
    <w:rsid w:val="00F910F1"/>
    <w:rsid w:val="00F91349"/>
    <w:rsid w:val="00F916D9"/>
    <w:rsid w:val="00F91CB6"/>
    <w:rsid w:val="00F92240"/>
    <w:rsid w:val="00F92CD6"/>
    <w:rsid w:val="00F92D2F"/>
    <w:rsid w:val="00F93A8A"/>
    <w:rsid w:val="00F95248"/>
    <w:rsid w:val="00F956A9"/>
    <w:rsid w:val="00F963ED"/>
    <w:rsid w:val="00F966CF"/>
    <w:rsid w:val="00F96CAE"/>
    <w:rsid w:val="00F97C99"/>
    <w:rsid w:val="00FA0E86"/>
    <w:rsid w:val="00FA2EDF"/>
    <w:rsid w:val="00FA4DAC"/>
    <w:rsid w:val="00FA662D"/>
    <w:rsid w:val="00FA73B1"/>
    <w:rsid w:val="00FB0CB9"/>
    <w:rsid w:val="00FB1549"/>
    <w:rsid w:val="00FB231D"/>
    <w:rsid w:val="00FB26A7"/>
    <w:rsid w:val="00FB35DE"/>
    <w:rsid w:val="00FB3826"/>
    <w:rsid w:val="00FB3D90"/>
    <w:rsid w:val="00FB45F1"/>
    <w:rsid w:val="00FB4A72"/>
    <w:rsid w:val="00FB4BC2"/>
    <w:rsid w:val="00FB54E8"/>
    <w:rsid w:val="00FB7054"/>
    <w:rsid w:val="00FB7958"/>
    <w:rsid w:val="00FB7A15"/>
    <w:rsid w:val="00FC0637"/>
    <w:rsid w:val="00FC17B7"/>
    <w:rsid w:val="00FC19B4"/>
    <w:rsid w:val="00FC1DB9"/>
    <w:rsid w:val="00FC2CB7"/>
    <w:rsid w:val="00FC4090"/>
    <w:rsid w:val="00FC501E"/>
    <w:rsid w:val="00FC55B4"/>
    <w:rsid w:val="00FC57D0"/>
    <w:rsid w:val="00FC5D6F"/>
    <w:rsid w:val="00FD00E6"/>
    <w:rsid w:val="00FD09A1"/>
    <w:rsid w:val="00FD2A7C"/>
    <w:rsid w:val="00FD3872"/>
    <w:rsid w:val="00FD47DA"/>
    <w:rsid w:val="00FD59EB"/>
    <w:rsid w:val="00FD7299"/>
    <w:rsid w:val="00FE02A8"/>
    <w:rsid w:val="00FE1FBE"/>
    <w:rsid w:val="00FE3901"/>
    <w:rsid w:val="00FE39D3"/>
    <w:rsid w:val="00FE4BCE"/>
    <w:rsid w:val="00FE54AE"/>
    <w:rsid w:val="00FE576A"/>
    <w:rsid w:val="00FE7E79"/>
    <w:rsid w:val="00FF33AE"/>
    <w:rsid w:val="00FF3E7D"/>
    <w:rsid w:val="00FF45D2"/>
    <w:rsid w:val="00FF5070"/>
    <w:rsid w:val="00FF5B99"/>
    <w:rsid w:val="00FF698D"/>
    <w:rsid w:val="00FF7105"/>
    <w:rsid w:val="00FF730C"/>
    <w:rsid w:val="00FF73F4"/>
    <w:rsid w:val="00FF76B2"/>
    <w:rsid w:val="00FF7CE4"/>
    <w:rsid w:val="00FF7E39"/>
    <w:rsid w:val="01475974"/>
    <w:rsid w:val="017D7BEE"/>
    <w:rsid w:val="01851827"/>
    <w:rsid w:val="01E82E59"/>
    <w:rsid w:val="037A1986"/>
    <w:rsid w:val="03C46E7F"/>
    <w:rsid w:val="046A4AA0"/>
    <w:rsid w:val="048B6DC9"/>
    <w:rsid w:val="04B5052F"/>
    <w:rsid w:val="04C6599A"/>
    <w:rsid w:val="04DA0CFA"/>
    <w:rsid w:val="056E12AF"/>
    <w:rsid w:val="05CD8E38"/>
    <w:rsid w:val="05FB0B46"/>
    <w:rsid w:val="06421BBF"/>
    <w:rsid w:val="071137D1"/>
    <w:rsid w:val="07B3790C"/>
    <w:rsid w:val="07C67C27"/>
    <w:rsid w:val="085D5648"/>
    <w:rsid w:val="08612D55"/>
    <w:rsid w:val="089C1B8C"/>
    <w:rsid w:val="08AB6CC1"/>
    <w:rsid w:val="08C06E08"/>
    <w:rsid w:val="08EF1E76"/>
    <w:rsid w:val="08F31FAD"/>
    <w:rsid w:val="098801E4"/>
    <w:rsid w:val="09993304"/>
    <w:rsid w:val="09A36414"/>
    <w:rsid w:val="09C43685"/>
    <w:rsid w:val="0A110A64"/>
    <w:rsid w:val="0A7A4BB9"/>
    <w:rsid w:val="0AB676EB"/>
    <w:rsid w:val="0AEE0C79"/>
    <w:rsid w:val="0B2E72C7"/>
    <w:rsid w:val="0B4C2D76"/>
    <w:rsid w:val="0B4D7D2D"/>
    <w:rsid w:val="0B755856"/>
    <w:rsid w:val="0B82318F"/>
    <w:rsid w:val="0BA33E0A"/>
    <w:rsid w:val="0BDC4F75"/>
    <w:rsid w:val="0BEA5DA9"/>
    <w:rsid w:val="0C3B1C9C"/>
    <w:rsid w:val="0C5E3BDC"/>
    <w:rsid w:val="0C7156BE"/>
    <w:rsid w:val="0CDF5118"/>
    <w:rsid w:val="0CFC38EC"/>
    <w:rsid w:val="0D1E5D15"/>
    <w:rsid w:val="0DC84919"/>
    <w:rsid w:val="0DE11FF4"/>
    <w:rsid w:val="0DE60F97"/>
    <w:rsid w:val="0E0648E9"/>
    <w:rsid w:val="0E40562A"/>
    <w:rsid w:val="0E6037C8"/>
    <w:rsid w:val="0F4D2CA8"/>
    <w:rsid w:val="0F7B627D"/>
    <w:rsid w:val="0FB029A1"/>
    <w:rsid w:val="0FD04775"/>
    <w:rsid w:val="0FE0588D"/>
    <w:rsid w:val="0FF8330E"/>
    <w:rsid w:val="10FD5469"/>
    <w:rsid w:val="10FF0075"/>
    <w:rsid w:val="11135FF2"/>
    <w:rsid w:val="11361166"/>
    <w:rsid w:val="128B14A3"/>
    <w:rsid w:val="12BE35D5"/>
    <w:rsid w:val="138A3597"/>
    <w:rsid w:val="13F3002B"/>
    <w:rsid w:val="14182167"/>
    <w:rsid w:val="141E2CF7"/>
    <w:rsid w:val="152754B3"/>
    <w:rsid w:val="1544194C"/>
    <w:rsid w:val="15577D22"/>
    <w:rsid w:val="156404B5"/>
    <w:rsid w:val="15FB6AD7"/>
    <w:rsid w:val="16174A9B"/>
    <w:rsid w:val="163C020A"/>
    <w:rsid w:val="16B80C38"/>
    <w:rsid w:val="170103DF"/>
    <w:rsid w:val="17242E58"/>
    <w:rsid w:val="17B865FB"/>
    <w:rsid w:val="188A384C"/>
    <w:rsid w:val="18E814F7"/>
    <w:rsid w:val="18FF1718"/>
    <w:rsid w:val="19942388"/>
    <w:rsid w:val="19CA4189"/>
    <w:rsid w:val="1A3D45B6"/>
    <w:rsid w:val="1B3B6BEB"/>
    <w:rsid w:val="1BA513E1"/>
    <w:rsid w:val="1BE834C2"/>
    <w:rsid w:val="1BF102FC"/>
    <w:rsid w:val="1BFFC502"/>
    <w:rsid w:val="1C667E41"/>
    <w:rsid w:val="1C6C3060"/>
    <w:rsid w:val="1D0A5D79"/>
    <w:rsid w:val="1D872318"/>
    <w:rsid w:val="1D88035A"/>
    <w:rsid w:val="1DA44669"/>
    <w:rsid w:val="1DC43890"/>
    <w:rsid w:val="1DC91672"/>
    <w:rsid w:val="1DCF3A16"/>
    <w:rsid w:val="1EAF6F74"/>
    <w:rsid w:val="1EFB23A0"/>
    <w:rsid w:val="1F8C76E4"/>
    <w:rsid w:val="209C5BF9"/>
    <w:rsid w:val="20A73C5F"/>
    <w:rsid w:val="215C1690"/>
    <w:rsid w:val="215D225D"/>
    <w:rsid w:val="22045630"/>
    <w:rsid w:val="224A71ED"/>
    <w:rsid w:val="22B6074D"/>
    <w:rsid w:val="22BC2D38"/>
    <w:rsid w:val="23525B44"/>
    <w:rsid w:val="23531B69"/>
    <w:rsid w:val="238851B2"/>
    <w:rsid w:val="238920E5"/>
    <w:rsid w:val="23925DBD"/>
    <w:rsid w:val="23AB3C56"/>
    <w:rsid w:val="23FA0237"/>
    <w:rsid w:val="24174343"/>
    <w:rsid w:val="24202165"/>
    <w:rsid w:val="24825740"/>
    <w:rsid w:val="24D94348"/>
    <w:rsid w:val="24DC25E5"/>
    <w:rsid w:val="256333CF"/>
    <w:rsid w:val="25DFE1C8"/>
    <w:rsid w:val="25F0369F"/>
    <w:rsid w:val="262B7A38"/>
    <w:rsid w:val="269773C5"/>
    <w:rsid w:val="26EA1980"/>
    <w:rsid w:val="26EF7DFB"/>
    <w:rsid w:val="26F1A9AF"/>
    <w:rsid w:val="26F9507E"/>
    <w:rsid w:val="26FFE95A"/>
    <w:rsid w:val="27414187"/>
    <w:rsid w:val="27AF2F82"/>
    <w:rsid w:val="27BD52AD"/>
    <w:rsid w:val="282A49E7"/>
    <w:rsid w:val="28F12DDD"/>
    <w:rsid w:val="29001125"/>
    <w:rsid w:val="291F008C"/>
    <w:rsid w:val="29577355"/>
    <w:rsid w:val="297E0FC2"/>
    <w:rsid w:val="298365D8"/>
    <w:rsid w:val="29EB2390"/>
    <w:rsid w:val="29FF43A4"/>
    <w:rsid w:val="2A021916"/>
    <w:rsid w:val="2A1C4A3D"/>
    <w:rsid w:val="2A6B7040"/>
    <w:rsid w:val="2AD30362"/>
    <w:rsid w:val="2B4F6D5C"/>
    <w:rsid w:val="2BB875BB"/>
    <w:rsid w:val="2BC5112A"/>
    <w:rsid w:val="2BDB467B"/>
    <w:rsid w:val="2C650063"/>
    <w:rsid w:val="2C6A4256"/>
    <w:rsid w:val="2CB349BC"/>
    <w:rsid w:val="2D7844DD"/>
    <w:rsid w:val="2D9512BC"/>
    <w:rsid w:val="2DA37249"/>
    <w:rsid w:val="2E4B7A31"/>
    <w:rsid w:val="2EBB53FD"/>
    <w:rsid w:val="2FFD4F50"/>
    <w:rsid w:val="2FFFC2DC"/>
    <w:rsid w:val="30096218"/>
    <w:rsid w:val="310B75DF"/>
    <w:rsid w:val="31142FF0"/>
    <w:rsid w:val="315D6D6B"/>
    <w:rsid w:val="318E16AD"/>
    <w:rsid w:val="31D13FE2"/>
    <w:rsid w:val="31F92B93"/>
    <w:rsid w:val="321D5445"/>
    <w:rsid w:val="325D0A11"/>
    <w:rsid w:val="327A0EC0"/>
    <w:rsid w:val="331B7351"/>
    <w:rsid w:val="33226FC5"/>
    <w:rsid w:val="335D4044"/>
    <w:rsid w:val="33666FF1"/>
    <w:rsid w:val="33AD12CC"/>
    <w:rsid w:val="33B945FF"/>
    <w:rsid w:val="34360E17"/>
    <w:rsid w:val="34776769"/>
    <w:rsid w:val="3557068C"/>
    <w:rsid w:val="35835131"/>
    <w:rsid w:val="358A463D"/>
    <w:rsid w:val="35A42CCE"/>
    <w:rsid w:val="35A448CA"/>
    <w:rsid w:val="35FD2B3B"/>
    <w:rsid w:val="361820A2"/>
    <w:rsid w:val="36C817E7"/>
    <w:rsid w:val="372316D3"/>
    <w:rsid w:val="378619FE"/>
    <w:rsid w:val="37907930"/>
    <w:rsid w:val="37B44612"/>
    <w:rsid w:val="37DD681D"/>
    <w:rsid w:val="37FD19C6"/>
    <w:rsid w:val="38347E9F"/>
    <w:rsid w:val="38431D54"/>
    <w:rsid w:val="38785403"/>
    <w:rsid w:val="38E9376A"/>
    <w:rsid w:val="3A21170B"/>
    <w:rsid w:val="3A7F78B5"/>
    <w:rsid w:val="3AD562BB"/>
    <w:rsid w:val="3B3B5975"/>
    <w:rsid w:val="3B9972AF"/>
    <w:rsid w:val="3BA42BA7"/>
    <w:rsid w:val="3BAB7DD9"/>
    <w:rsid w:val="3BEB928F"/>
    <w:rsid w:val="3BFD7D92"/>
    <w:rsid w:val="3C0E4427"/>
    <w:rsid w:val="3C845282"/>
    <w:rsid w:val="3CD411CD"/>
    <w:rsid w:val="3DC249CD"/>
    <w:rsid w:val="3E2A20C6"/>
    <w:rsid w:val="3E7D6968"/>
    <w:rsid w:val="3E9926CE"/>
    <w:rsid w:val="3ED88D4E"/>
    <w:rsid w:val="3EE3321B"/>
    <w:rsid w:val="3F605825"/>
    <w:rsid w:val="3F695775"/>
    <w:rsid w:val="3F7FE0AF"/>
    <w:rsid w:val="3FAF8383"/>
    <w:rsid w:val="3FB2368A"/>
    <w:rsid w:val="3FE705BB"/>
    <w:rsid w:val="3FF9ED96"/>
    <w:rsid w:val="40652985"/>
    <w:rsid w:val="409222EE"/>
    <w:rsid w:val="40A24A92"/>
    <w:rsid w:val="40E67BA7"/>
    <w:rsid w:val="41171550"/>
    <w:rsid w:val="41307507"/>
    <w:rsid w:val="414609EA"/>
    <w:rsid w:val="414F176A"/>
    <w:rsid w:val="416F57F8"/>
    <w:rsid w:val="417E73AE"/>
    <w:rsid w:val="41D35EF7"/>
    <w:rsid w:val="41E978C8"/>
    <w:rsid w:val="42014C57"/>
    <w:rsid w:val="426D394D"/>
    <w:rsid w:val="431454DC"/>
    <w:rsid w:val="432E1826"/>
    <w:rsid w:val="43A7557F"/>
    <w:rsid w:val="44F966DE"/>
    <w:rsid w:val="45501C8C"/>
    <w:rsid w:val="45D92DB2"/>
    <w:rsid w:val="45E16705"/>
    <w:rsid w:val="463333B8"/>
    <w:rsid w:val="467451F4"/>
    <w:rsid w:val="467C25F1"/>
    <w:rsid w:val="46872C73"/>
    <w:rsid w:val="46996E15"/>
    <w:rsid w:val="46ED1809"/>
    <w:rsid w:val="4706540C"/>
    <w:rsid w:val="472C0AA1"/>
    <w:rsid w:val="473144C7"/>
    <w:rsid w:val="47400A18"/>
    <w:rsid w:val="47466A45"/>
    <w:rsid w:val="477144B2"/>
    <w:rsid w:val="477F91C9"/>
    <w:rsid w:val="478868DD"/>
    <w:rsid w:val="47D254A3"/>
    <w:rsid w:val="482B3DCD"/>
    <w:rsid w:val="484D22A6"/>
    <w:rsid w:val="486B494C"/>
    <w:rsid w:val="48BE1092"/>
    <w:rsid w:val="48D1699B"/>
    <w:rsid w:val="49027ABA"/>
    <w:rsid w:val="4962392D"/>
    <w:rsid w:val="4A0B06EA"/>
    <w:rsid w:val="4A2853D0"/>
    <w:rsid w:val="4A33265F"/>
    <w:rsid w:val="4AB06FAF"/>
    <w:rsid w:val="4AC42359"/>
    <w:rsid w:val="4ACA1D4B"/>
    <w:rsid w:val="4B5C6F5D"/>
    <w:rsid w:val="4BBA1AAE"/>
    <w:rsid w:val="4BF076A6"/>
    <w:rsid w:val="4D203016"/>
    <w:rsid w:val="4D8072FC"/>
    <w:rsid w:val="4DB85D23"/>
    <w:rsid w:val="4E2D1F91"/>
    <w:rsid w:val="4E904C54"/>
    <w:rsid w:val="4EB1136E"/>
    <w:rsid w:val="4EBB043F"/>
    <w:rsid w:val="4ED37A8F"/>
    <w:rsid w:val="4F205609"/>
    <w:rsid w:val="4F2C3A9E"/>
    <w:rsid w:val="4FC413AF"/>
    <w:rsid w:val="4FCB46B2"/>
    <w:rsid w:val="4FCC071D"/>
    <w:rsid w:val="4FEE35BF"/>
    <w:rsid w:val="50132C13"/>
    <w:rsid w:val="50313F3E"/>
    <w:rsid w:val="50F3187C"/>
    <w:rsid w:val="51A86AD4"/>
    <w:rsid w:val="51CF64D9"/>
    <w:rsid w:val="51F07213"/>
    <w:rsid w:val="521E0E9F"/>
    <w:rsid w:val="527C68BE"/>
    <w:rsid w:val="527D7E6E"/>
    <w:rsid w:val="528620B2"/>
    <w:rsid w:val="52AF3AFA"/>
    <w:rsid w:val="534F175A"/>
    <w:rsid w:val="53E6788E"/>
    <w:rsid w:val="53FC59A0"/>
    <w:rsid w:val="541C3014"/>
    <w:rsid w:val="54D1195D"/>
    <w:rsid w:val="55014CD5"/>
    <w:rsid w:val="560D1D48"/>
    <w:rsid w:val="56357365"/>
    <w:rsid w:val="569730E7"/>
    <w:rsid w:val="56B43E19"/>
    <w:rsid w:val="56EC205A"/>
    <w:rsid w:val="56EE27E4"/>
    <w:rsid w:val="57524A4A"/>
    <w:rsid w:val="57996551"/>
    <w:rsid w:val="57DE0069"/>
    <w:rsid w:val="57F75F1F"/>
    <w:rsid w:val="58465F36"/>
    <w:rsid w:val="58C427C1"/>
    <w:rsid w:val="58D520FD"/>
    <w:rsid w:val="59154BEF"/>
    <w:rsid w:val="59574A87"/>
    <w:rsid w:val="59607960"/>
    <w:rsid w:val="59D3440F"/>
    <w:rsid w:val="59DF46A1"/>
    <w:rsid w:val="5A0407D6"/>
    <w:rsid w:val="5A366BCB"/>
    <w:rsid w:val="5A7B33DE"/>
    <w:rsid w:val="5A9F4BC6"/>
    <w:rsid w:val="5AAA3D35"/>
    <w:rsid w:val="5AE27375"/>
    <w:rsid w:val="5AF54EE4"/>
    <w:rsid w:val="5B147F8C"/>
    <w:rsid w:val="5B63D515"/>
    <w:rsid w:val="5B7BFAC4"/>
    <w:rsid w:val="5BA634CD"/>
    <w:rsid w:val="5BA73E63"/>
    <w:rsid w:val="5BCB31B6"/>
    <w:rsid w:val="5BEB5A89"/>
    <w:rsid w:val="5BEB6563"/>
    <w:rsid w:val="5BFD47AF"/>
    <w:rsid w:val="5C4274DE"/>
    <w:rsid w:val="5C8400C2"/>
    <w:rsid w:val="5C8E12E0"/>
    <w:rsid w:val="5C9B65BB"/>
    <w:rsid w:val="5CA00C74"/>
    <w:rsid w:val="5D3C274B"/>
    <w:rsid w:val="5D3F66DF"/>
    <w:rsid w:val="5D773757"/>
    <w:rsid w:val="5DAFFE96"/>
    <w:rsid w:val="5DB26882"/>
    <w:rsid w:val="5DB93CA6"/>
    <w:rsid w:val="5DDFBA58"/>
    <w:rsid w:val="5DFC28D8"/>
    <w:rsid w:val="5DFD7B3D"/>
    <w:rsid w:val="5E2F3AF0"/>
    <w:rsid w:val="5E391380"/>
    <w:rsid w:val="5EBF17CC"/>
    <w:rsid w:val="5EC419C6"/>
    <w:rsid w:val="5EE6EABD"/>
    <w:rsid w:val="5EFB7711"/>
    <w:rsid w:val="5F292536"/>
    <w:rsid w:val="5F756A39"/>
    <w:rsid w:val="5FB7A453"/>
    <w:rsid w:val="5FBE750C"/>
    <w:rsid w:val="5FD756AC"/>
    <w:rsid w:val="5FF15327"/>
    <w:rsid w:val="5FF771B1"/>
    <w:rsid w:val="5FF83CBC"/>
    <w:rsid w:val="606A0E0E"/>
    <w:rsid w:val="606D7301"/>
    <w:rsid w:val="617B38C6"/>
    <w:rsid w:val="618062B1"/>
    <w:rsid w:val="61B65AC9"/>
    <w:rsid w:val="62361EF9"/>
    <w:rsid w:val="6275626F"/>
    <w:rsid w:val="62992496"/>
    <w:rsid w:val="629D5157"/>
    <w:rsid w:val="62A86B9C"/>
    <w:rsid w:val="62BD432E"/>
    <w:rsid w:val="62CB5FFA"/>
    <w:rsid w:val="62D52001"/>
    <w:rsid w:val="63C538AB"/>
    <w:rsid w:val="6446492C"/>
    <w:rsid w:val="64857397"/>
    <w:rsid w:val="64DFF42A"/>
    <w:rsid w:val="651C2455"/>
    <w:rsid w:val="65521AC0"/>
    <w:rsid w:val="657B5DDA"/>
    <w:rsid w:val="6635242D"/>
    <w:rsid w:val="66C13580"/>
    <w:rsid w:val="66D624CB"/>
    <w:rsid w:val="66D8655F"/>
    <w:rsid w:val="670B151E"/>
    <w:rsid w:val="671A0164"/>
    <w:rsid w:val="675C5A8D"/>
    <w:rsid w:val="676D3B0E"/>
    <w:rsid w:val="678172F6"/>
    <w:rsid w:val="67A23AF2"/>
    <w:rsid w:val="67F16251"/>
    <w:rsid w:val="67FB059A"/>
    <w:rsid w:val="67FFB3EE"/>
    <w:rsid w:val="680224DB"/>
    <w:rsid w:val="68432CB9"/>
    <w:rsid w:val="68981F3A"/>
    <w:rsid w:val="68F60720"/>
    <w:rsid w:val="695002A9"/>
    <w:rsid w:val="696D1EDE"/>
    <w:rsid w:val="697A278A"/>
    <w:rsid w:val="69A3510E"/>
    <w:rsid w:val="6A305E00"/>
    <w:rsid w:val="6A4A3B70"/>
    <w:rsid w:val="6AE368FC"/>
    <w:rsid w:val="6AEF704E"/>
    <w:rsid w:val="6B494A71"/>
    <w:rsid w:val="6B6C0E53"/>
    <w:rsid w:val="6B8D2827"/>
    <w:rsid w:val="6BBFCAF3"/>
    <w:rsid w:val="6BCB2426"/>
    <w:rsid w:val="6C133210"/>
    <w:rsid w:val="6C1338EE"/>
    <w:rsid w:val="6C701545"/>
    <w:rsid w:val="6CC72FD6"/>
    <w:rsid w:val="6CD56718"/>
    <w:rsid w:val="6D0A4613"/>
    <w:rsid w:val="6E016BB6"/>
    <w:rsid w:val="6E072901"/>
    <w:rsid w:val="6E3F1149"/>
    <w:rsid w:val="6E4E0530"/>
    <w:rsid w:val="6E6C0923"/>
    <w:rsid w:val="6EDF2BD2"/>
    <w:rsid w:val="6F16554D"/>
    <w:rsid w:val="6FB045EA"/>
    <w:rsid w:val="6FB775D5"/>
    <w:rsid w:val="6FBA000F"/>
    <w:rsid w:val="6FC26162"/>
    <w:rsid w:val="6FDB1FEA"/>
    <w:rsid w:val="6FEB052F"/>
    <w:rsid w:val="705C5123"/>
    <w:rsid w:val="706C1141"/>
    <w:rsid w:val="70952446"/>
    <w:rsid w:val="711F63E6"/>
    <w:rsid w:val="71CC677C"/>
    <w:rsid w:val="72814B06"/>
    <w:rsid w:val="72B52B3B"/>
    <w:rsid w:val="72C4333D"/>
    <w:rsid w:val="72E113D9"/>
    <w:rsid w:val="72ED179E"/>
    <w:rsid w:val="7333FCA7"/>
    <w:rsid w:val="734D10A7"/>
    <w:rsid w:val="7373416C"/>
    <w:rsid w:val="737FE861"/>
    <w:rsid w:val="73AB45AF"/>
    <w:rsid w:val="73B51CF4"/>
    <w:rsid w:val="740B4CD7"/>
    <w:rsid w:val="747C7215"/>
    <w:rsid w:val="749A4D8D"/>
    <w:rsid w:val="756BDE15"/>
    <w:rsid w:val="75767DE5"/>
    <w:rsid w:val="75B41AFD"/>
    <w:rsid w:val="75C069F4"/>
    <w:rsid w:val="75FE0332"/>
    <w:rsid w:val="766B56A9"/>
    <w:rsid w:val="76B336A9"/>
    <w:rsid w:val="77030214"/>
    <w:rsid w:val="770F25B5"/>
    <w:rsid w:val="77702E64"/>
    <w:rsid w:val="77BBC706"/>
    <w:rsid w:val="77E222A5"/>
    <w:rsid w:val="77FB2AE5"/>
    <w:rsid w:val="78095CCC"/>
    <w:rsid w:val="7817213B"/>
    <w:rsid w:val="78801C2E"/>
    <w:rsid w:val="799B60E8"/>
    <w:rsid w:val="7A1B0853"/>
    <w:rsid w:val="7A6510DB"/>
    <w:rsid w:val="7ABB9386"/>
    <w:rsid w:val="7AC51D30"/>
    <w:rsid w:val="7B6FACF1"/>
    <w:rsid w:val="7B9F4585"/>
    <w:rsid w:val="7BA611E2"/>
    <w:rsid w:val="7BAE00F8"/>
    <w:rsid w:val="7BB369D1"/>
    <w:rsid w:val="7BF36D27"/>
    <w:rsid w:val="7BFFD328"/>
    <w:rsid w:val="7C7250B2"/>
    <w:rsid w:val="7CAD36DE"/>
    <w:rsid w:val="7CEF2EDE"/>
    <w:rsid w:val="7D1B4125"/>
    <w:rsid w:val="7D4079FD"/>
    <w:rsid w:val="7E3F981E"/>
    <w:rsid w:val="7E517D21"/>
    <w:rsid w:val="7E813F1A"/>
    <w:rsid w:val="7E9FE81E"/>
    <w:rsid w:val="7EBF236A"/>
    <w:rsid w:val="7ED11B3A"/>
    <w:rsid w:val="7ED53268"/>
    <w:rsid w:val="7EEF577F"/>
    <w:rsid w:val="7F1F4329"/>
    <w:rsid w:val="7F795AFC"/>
    <w:rsid w:val="7F962014"/>
    <w:rsid w:val="7FA6100F"/>
    <w:rsid w:val="7FB7724C"/>
    <w:rsid w:val="7FBE58A2"/>
    <w:rsid w:val="7FE73CB7"/>
    <w:rsid w:val="7FF987B7"/>
    <w:rsid w:val="7FFA5527"/>
    <w:rsid w:val="7FFCA858"/>
    <w:rsid w:val="7FFD0651"/>
    <w:rsid w:val="7FFE4E5A"/>
    <w:rsid w:val="7FFF5A4D"/>
    <w:rsid w:val="7FFFF58D"/>
    <w:rsid w:val="9FFF848E"/>
    <w:rsid w:val="ABFC647E"/>
    <w:rsid w:val="AD3F9F13"/>
    <w:rsid w:val="ADA7DDFB"/>
    <w:rsid w:val="AEE3A242"/>
    <w:rsid w:val="AFF6C9A9"/>
    <w:rsid w:val="BBFF64B9"/>
    <w:rsid w:val="BD9244B4"/>
    <w:rsid w:val="BDFF5291"/>
    <w:rsid w:val="BEFF49B3"/>
    <w:rsid w:val="BFCB0209"/>
    <w:rsid w:val="BFD6834E"/>
    <w:rsid w:val="BFF6906C"/>
    <w:rsid w:val="BFFAF32F"/>
    <w:rsid w:val="BFFEBDBC"/>
    <w:rsid w:val="D2B90EF0"/>
    <w:rsid w:val="D3B22EF1"/>
    <w:rsid w:val="D7ED8808"/>
    <w:rsid w:val="DCFB5622"/>
    <w:rsid w:val="DDAF3C29"/>
    <w:rsid w:val="DEEDA463"/>
    <w:rsid w:val="DEFAA689"/>
    <w:rsid w:val="DFBFDB94"/>
    <w:rsid w:val="DFEE2147"/>
    <w:rsid w:val="E76E1C92"/>
    <w:rsid w:val="ED7A4EC9"/>
    <w:rsid w:val="EDE1C9E5"/>
    <w:rsid w:val="EDEBEA46"/>
    <w:rsid w:val="EF6DC7BE"/>
    <w:rsid w:val="EF745987"/>
    <w:rsid w:val="EFBC006B"/>
    <w:rsid w:val="EFE2AF12"/>
    <w:rsid w:val="F373175D"/>
    <w:rsid w:val="F3FF5253"/>
    <w:rsid w:val="F5F68F3C"/>
    <w:rsid w:val="F6F94863"/>
    <w:rsid w:val="F74E4AAA"/>
    <w:rsid w:val="F7F74BAB"/>
    <w:rsid w:val="F9EAD7CD"/>
    <w:rsid w:val="FBDF21DB"/>
    <w:rsid w:val="FBF8FDFB"/>
    <w:rsid w:val="FCEDBA6A"/>
    <w:rsid w:val="FDBB6D8B"/>
    <w:rsid w:val="FE67F072"/>
    <w:rsid w:val="FE7F8C8E"/>
    <w:rsid w:val="FECBF804"/>
    <w:rsid w:val="FEDF1D83"/>
    <w:rsid w:val="FEED534D"/>
    <w:rsid w:val="FEF4228A"/>
    <w:rsid w:val="FEF772D4"/>
    <w:rsid w:val="FF37365F"/>
    <w:rsid w:val="FF7BAED8"/>
    <w:rsid w:val="FF7FB41C"/>
    <w:rsid w:val="FF97CF6F"/>
    <w:rsid w:val="FFDD2896"/>
    <w:rsid w:val="FFEB671E"/>
    <w:rsid w:val="FFEDF953"/>
    <w:rsid w:val="FFFFF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47"/>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Body Text First Indent"/>
    <w:basedOn w:val="13"/>
    <w:unhideWhenUsed/>
    <w:qFormat/>
    <w:uiPriority w:val="99"/>
    <w:pPr>
      <w:ind w:firstLine="640" w:firstLineChars="200"/>
    </w:pPr>
    <w:rPr>
      <w:rFonts w:ascii="Times New Roman" w:hAnsi="Times New Roman"/>
    </w:rPr>
  </w:style>
  <w:style w:type="paragraph" w:styleId="13">
    <w:name w:val="Body Text"/>
    <w:basedOn w:val="1"/>
    <w:link w:val="91"/>
    <w:qFormat/>
    <w:uiPriority w:val="0"/>
    <w:pPr>
      <w:spacing w:after="120"/>
    </w:pPr>
  </w:style>
  <w:style w:type="paragraph" w:styleId="14">
    <w:name w:val="Normal Indent"/>
    <w:basedOn w:val="1"/>
    <w:qFormat/>
    <w:uiPriority w:val="0"/>
    <w:pPr>
      <w:ind w:firstLine="420"/>
    </w:pPr>
  </w:style>
  <w:style w:type="paragraph" w:styleId="15">
    <w:name w:val="annotation text"/>
    <w:basedOn w:val="1"/>
    <w:unhideWhenUsed/>
    <w:qFormat/>
    <w:uiPriority w:val="99"/>
    <w:pPr>
      <w:jc w:val="left"/>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50"/>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Body Text First Indent 2"/>
    <w:basedOn w:val="1"/>
    <w:next w:val="12"/>
    <w:unhideWhenUsed/>
    <w:qFormat/>
    <w:uiPriority w:val="99"/>
    <w:pPr>
      <w:ind w:firstLine="420" w:firstLineChars="200"/>
    </w:pPr>
  </w:style>
  <w:style w:type="paragraph" w:styleId="21">
    <w:name w:val="header"/>
    <w:basedOn w:val="1"/>
    <w:link w:val="48"/>
    <w:qFormat/>
    <w:uiPriority w:val="99"/>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Normal (Web)"/>
    <w:basedOn w:val="1"/>
    <w:unhideWhenUsed/>
    <w:qFormat/>
    <w:uiPriority w:val="99"/>
    <w:pPr>
      <w:spacing w:beforeAutospacing="1" w:afterAutospacing="1"/>
      <w:jc w:val="left"/>
    </w:pPr>
    <w:rPr>
      <w:kern w:val="0"/>
      <w:sz w:val="24"/>
    </w:rPr>
  </w:style>
  <w:style w:type="paragraph" w:styleId="29">
    <w:name w:val="Title"/>
    <w:basedOn w:val="1"/>
    <w:link w:val="53"/>
    <w:qFormat/>
    <w:uiPriority w:val="0"/>
    <w:pPr>
      <w:spacing w:before="240" w:after="60"/>
      <w:jc w:val="center"/>
      <w:outlineLvl w:val="0"/>
    </w:pPr>
    <w:rPr>
      <w:rFonts w:ascii="Arial" w:hAnsi="Arial" w:cs="Arial"/>
      <w:b/>
      <w:bCs/>
      <w:sz w:val="32"/>
      <w:szCs w:val="32"/>
    </w:r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21"/>
    <w:qFormat/>
    <w:uiPriority w:val="99"/>
    <w:rPr>
      <w:kern w:val="2"/>
      <w:sz w:val="18"/>
      <w:szCs w:val="18"/>
    </w:rPr>
  </w:style>
  <w:style w:type="character" w:customStyle="1" w:styleId="49">
    <w:name w:val="页脚 字符"/>
    <w:link w:val="19"/>
    <w:qFormat/>
    <w:uiPriority w:val="99"/>
    <w:rPr>
      <w:rFonts w:ascii="宋体"/>
      <w:kern w:val="2"/>
      <w:sz w:val="18"/>
      <w:szCs w:val="18"/>
    </w:rPr>
  </w:style>
  <w:style w:type="character" w:customStyle="1" w:styleId="50">
    <w:name w:val="批注框文本 字符"/>
    <w:link w:val="18"/>
    <w:semiHidden/>
    <w:qFormat/>
    <w:uiPriority w:val="99"/>
    <w:rPr>
      <w:kern w:val="2"/>
      <w:sz w:val="18"/>
      <w:szCs w:val="18"/>
    </w:rPr>
  </w:style>
  <w:style w:type="paragraph" w:customStyle="1"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9"/>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420" w:firstLineChars="200"/>
      <w:jc w:val="both"/>
    </w:pPr>
    <w:rPr>
      <w:rFonts w:ascii="Times New Roman"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rPr>
      <w:color w:val="548235" w:themeColor="accent6" w:themeShade="BF"/>
    </w:r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color w:val="548235" w:themeColor="accent6" w:themeShade="BF"/>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158"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3"/>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rPr>
      <w:color w:val="548235" w:themeColor="accent6" w:themeShade="BF"/>
    </w:r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4"/>
    <w:semiHidden/>
    <w:qFormat/>
    <w:uiPriority w:val="0"/>
    <w:rPr>
      <w:rFonts w:ascii="宋体"/>
      <w:kern w:val="2"/>
      <w:sz w:val="18"/>
      <w:szCs w:val="18"/>
    </w:rPr>
  </w:style>
  <w:style w:type="paragraph" w:customStyle="1" w:styleId="105">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ind w:left="71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rPr>
      <w:color w:val="548235" w:themeColor="accent6" w:themeShade="BF"/>
    </w:r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cs="Arial"/>
      <w:color w:val="548235" w:themeColor="accent6" w:themeShade="BF"/>
      <w:szCs w:val="28"/>
    </w:rPr>
  </w:style>
  <w:style w:type="paragraph" w:customStyle="1" w:styleId="174">
    <w:name w:val="标准文件_小写罗马数字编号列项"/>
    <w:basedOn w:val="61"/>
    <w:qFormat/>
    <w:uiPriority w:val="0"/>
    <w:pPr>
      <w:numPr>
        <w:ilvl w:val="0"/>
        <w:numId w:val="24"/>
      </w:numPr>
      <w:ind w:firstLine="0" w:firstLineChars="0"/>
    </w:pPr>
    <w:rPr>
      <w:rFonts w:cs="Arial"/>
      <w:color w:val="548235" w:themeColor="accent6" w:themeShade="BF"/>
      <w:szCs w:val="28"/>
    </w:rPr>
  </w:style>
  <w:style w:type="paragraph" w:customStyle="1" w:styleId="175">
    <w:name w:val="标准文件_附录标题"/>
    <w:basedOn w:val="81"/>
    <w:qFormat/>
    <w:uiPriority w:val="0"/>
    <w:p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color w:val="548235" w:themeColor="accent6" w:themeShade="BF"/>
      <w:sz w:val="18"/>
    </w:rPr>
  </w:style>
  <w:style w:type="paragraph" w:customStyle="1" w:styleId="184">
    <w:name w:val="标准文件_注："/>
    <w:next w:val="61"/>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rPr>
      <w:color w:val="548235" w:themeColor="accent6" w:themeShade="BF"/>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sz w:val="21"/>
    </w:rPr>
  </w:style>
  <w:style w:type="paragraph" w:customStyle="1" w:styleId="190">
    <w:name w:val="标准文件_表格续"/>
    <w:basedOn w:val="61"/>
    <w:next w:val="61"/>
    <w:qFormat/>
    <w:uiPriority w:val="0"/>
    <w:pPr>
      <w:jc w:val="center"/>
    </w:pPr>
    <w:rPr>
      <w:rFonts w:ascii="黑体" w:hAnsi="黑体" w:eastAsia="黑体"/>
      <w:color w:val="548235" w:themeColor="accent6" w:themeShade="BF"/>
    </w:rPr>
  </w:style>
  <w:style w:type="character" w:customStyle="1" w:styleId="191">
    <w:name w:val="Placeholder Text"/>
    <w:basedOn w:val="30"/>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rPr>
      <w:color w:val="548235" w:themeColor="accent6" w:themeShade="BF"/>
    </w:rPr>
  </w:style>
  <w:style w:type="paragraph" w:customStyle="1" w:styleId="193">
    <w:name w:val="标准文件_三级项2"/>
    <w:basedOn w:val="61"/>
    <w:qFormat/>
    <w:uiPriority w:val="0"/>
    <w:pPr>
      <w:numPr>
        <w:ilvl w:val="0"/>
        <w:numId w:val="30"/>
      </w:numPr>
      <w:spacing w:line="300" w:lineRule="exact"/>
      <w:ind w:firstLineChars="0"/>
    </w:pPr>
    <w:rPr>
      <w:color w:val="548235" w:themeColor="accent6" w:themeShade="BF"/>
    </w:rPr>
  </w:style>
  <w:style w:type="paragraph" w:customStyle="1" w:styleId="194">
    <w:name w:val="标准文件_一级项2"/>
    <w:basedOn w:val="61"/>
    <w:qFormat/>
    <w:uiPriority w:val="0"/>
    <w:pPr>
      <w:numPr>
        <w:ilvl w:val="0"/>
        <w:numId w:val="31"/>
      </w:numPr>
      <w:spacing w:line="300" w:lineRule="exact"/>
      <w:ind w:firstLineChars="0"/>
    </w:pPr>
    <w:rPr>
      <w:color w:val="548235" w:themeColor="accent6" w:themeShade="BF"/>
    </w:rPr>
  </w:style>
  <w:style w:type="paragraph" w:customStyle="1" w:styleId="195">
    <w:name w:val="标准文件_提示"/>
    <w:basedOn w:val="61"/>
    <w:next w:val="61"/>
    <w:qFormat/>
    <w:uiPriority w:val="0"/>
    <w:rPr>
      <w:rFonts w:ascii="黑体" w:eastAsia="黑体"/>
      <w:color w:val="548235" w:themeColor="accent6" w:themeShade="BF"/>
    </w:rPr>
  </w:style>
  <w:style w:type="character" w:customStyle="1" w:styleId="196">
    <w:name w:val="标准文件_来源"/>
    <w:basedOn w:val="30"/>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color w:val="548235" w:themeColor="accent6" w:themeShade="BF"/>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color w:val="548235" w:themeColor="accent6" w:themeShade="BF"/>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color w:val="548235" w:themeColor="accent6" w:themeShade="BF"/>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color w:val="548235" w:themeColor="accent6" w:themeShade="BF"/>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color w:val="548235" w:themeColor="accent6" w:themeShade="BF"/>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color w:val="548235" w:themeColor="accent6" w:themeShade="BF"/>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color w:val="548235" w:themeColor="accent6" w:themeShade="BF"/>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color w:val="548235" w:themeColor="accent6" w:themeShade="BF"/>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color w:val="548235" w:themeColor="accent6" w:themeShade="BF"/>
    </w:rPr>
  </w:style>
  <w:style w:type="paragraph" w:customStyle="1" w:styleId="210">
    <w:name w:val="标准文件_注后"/>
    <w:basedOn w:val="61"/>
    <w:qFormat/>
    <w:uiPriority w:val="0"/>
    <w:pPr>
      <w:ind w:left="811" w:firstLine="0" w:firstLineChars="0"/>
    </w:pPr>
    <w:rPr>
      <w:color w:val="548235" w:themeColor="accent6" w:themeShade="BF"/>
      <w:sz w:val="18"/>
    </w:rPr>
  </w:style>
  <w:style w:type="paragraph" w:customStyle="1" w:styleId="211">
    <w:name w:val="标准文件_注X后"/>
    <w:basedOn w:val="61"/>
    <w:qFormat/>
    <w:uiPriority w:val="0"/>
    <w:pPr>
      <w:ind w:left="811" w:firstLine="0" w:firstLineChars="0"/>
    </w:pPr>
    <w:rPr>
      <w:color w:val="548235" w:themeColor="accent6" w:themeShade="BF"/>
      <w:sz w:val="18"/>
    </w:rPr>
  </w:style>
  <w:style w:type="paragraph" w:customStyle="1" w:styleId="212">
    <w:name w:val="标准文件_示例后"/>
    <w:basedOn w:val="61"/>
    <w:qFormat/>
    <w:uiPriority w:val="0"/>
    <w:pPr>
      <w:ind w:left="964" w:firstLine="0" w:firstLineChars="0"/>
    </w:pPr>
    <w:rPr>
      <w:color w:val="548235" w:themeColor="accent6" w:themeShade="BF"/>
      <w:sz w:val="18"/>
    </w:rPr>
  </w:style>
  <w:style w:type="paragraph" w:customStyle="1" w:styleId="213">
    <w:name w:val="标准文件_示例X后"/>
    <w:basedOn w:val="61"/>
    <w:link w:val="214"/>
    <w:qFormat/>
    <w:uiPriority w:val="0"/>
    <w:pPr>
      <w:ind w:left="1049" w:firstLine="0" w:firstLineChars="0"/>
    </w:pPr>
    <w:rPr>
      <w:color w:val="548235" w:themeColor="accent6" w:themeShade="BF"/>
      <w:sz w:val="18"/>
    </w:rPr>
  </w:style>
  <w:style w:type="character" w:customStyle="1" w:styleId="214">
    <w:name w:val="标准文件_示例X后 字符"/>
    <w:basedOn w:val="189"/>
    <w:link w:val="213"/>
    <w:qFormat/>
    <w:uiPriority w:val="0"/>
    <w:rPr>
      <w:rFonts w:ascii="宋体" w:hAnsi="Times New Roman"/>
      <w:color w:val="548235" w:themeColor="accent6" w:themeShade="BF"/>
      <w:sz w:val="18"/>
    </w:rPr>
  </w:style>
  <w:style w:type="paragraph" w:customStyle="1" w:styleId="215">
    <w:name w:val="标准文件_索引项"/>
    <w:basedOn w:val="61"/>
    <w:next w:val="61"/>
    <w:qFormat/>
    <w:uiPriority w:val="0"/>
    <w:pPr>
      <w:tabs>
        <w:tab w:val="right" w:leader="dot" w:pos="9356"/>
      </w:tabs>
      <w:ind w:left="210" w:hanging="210" w:firstLineChars="0"/>
      <w:jc w:val="left"/>
    </w:pPr>
    <w:rPr>
      <w:color w:val="548235" w:themeColor="accent6" w:themeShade="BF"/>
    </w:r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color w:val="548235" w:themeColor="accent6" w:themeShade="BF"/>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0"/>
    <w:qFormat/>
    <w:uiPriority w:val="0"/>
    <w:rPr>
      <w:rFonts w:ascii="黑体" w:eastAsia="黑体"/>
      <w:spacing w:val="85"/>
      <w:w w:val="100"/>
      <w:position w:val="3"/>
      <w:sz w:val="28"/>
      <w:szCs w:val="28"/>
    </w:rPr>
  </w:style>
  <w:style w:type="paragraph" w:customStyle="1" w:styleId="235">
    <w:name w:val="Table Paragraph"/>
    <w:basedOn w:val="1"/>
    <w:qFormat/>
    <w:uiPriority w:val="1"/>
    <w:pPr>
      <w:autoSpaceDE w:val="0"/>
      <w:autoSpaceDN w:val="0"/>
      <w:adjustRightInd/>
      <w:spacing w:line="240" w:lineRule="auto"/>
      <w:jc w:val="left"/>
    </w:pPr>
    <w:rPr>
      <w:rFonts w:ascii="宋体" w:hAnsi="宋体" w:cs="宋体"/>
      <w:kern w:val="0"/>
      <w:sz w:val="22"/>
      <w:szCs w:val="22"/>
      <w:lang w:val="zh-CN" w:bidi="zh-CN"/>
    </w:rPr>
  </w:style>
  <w:style w:type="character" w:customStyle="1" w:styleId="236">
    <w:name w:val="fontstyle01"/>
    <w:basedOn w:val="30"/>
    <w:qFormat/>
    <w:uiPriority w:val="0"/>
    <w:rPr>
      <w:rFonts w:hint="eastAsia" w:ascii="宋体" w:hAnsi="宋体" w:eastAsia="宋体"/>
      <w:color w:val="000000"/>
      <w:sz w:val="18"/>
      <w:szCs w:val="18"/>
    </w:rPr>
  </w:style>
  <w:style w:type="paragraph" w:customStyle="1" w:styleId="237">
    <w:name w:val="参考文献"/>
    <w:basedOn w:val="1"/>
    <w:next w:val="23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3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9">
    <w:name w:val="01 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0">
    <w:name w:val="修订1"/>
    <w:hidden/>
    <w:unhideWhenUsed/>
    <w:qFormat/>
    <w:uiPriority w:val="99"/>
    <w:rPr>
      <w:rFonts w:ascii="Calibri" w:hAnsi="Calibri" w:eastAsia="宋体" w:cs="Times New Roman"/>
      <w:kern w:val="2"/>
      <w:sz w:val="21"/>
      <w:szCs w:val="21"/>
      <w:lang w:val="en-US" w:eastAsia="zh-CN" w:bidi="ar-SA"/>
    </w:rPr>
  </w:style>
  <w:style w:type="paragraph" w:customStyle="1" w:styleId="241">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2">
    <w:name w:val="修订3"/>
    <w:hidden/>
    <w:unhideWhenUsed/>
    <w:qFormat/>
    <w:uiPriority w:val="99"/>
    <w:rPr>
      <w:rFonts w:ascii="Calibri" w:hAnsi="Calibri" w:eastAsia="宋体" w:cs="Times New Roman"/>
      <w:kern w:val="2"/>
      <w:sz w:val="21"/>
      <w:szCs w:val="21"/>
      <w:lang w:val="en-US" w:eastAsia="zh-CN" w:bidi="ar-SA"/>
    </w:rPr>
  </w:style>
  <w:style w:type="paragraph" w:customStyle="1" w:styleId="243">
    <w:name w:val="Revision1"/>
    <w:hidden/>
    <w:unhideWhenUsed/>
    <w:qFormat/>
    <w:uiPriority w:val="99"/>
    <w:rPr>
      <w:rFonts w:ascii="Calibri" w:hAnsi="Calibri" w:eastAsia="宋体" w:cs="Times New Roman"/>
      <w:kern w:val="2"/>
      <w:sz w:val="21"/>
      <w:szCs w:val="21"/>
      <w:lang w:val="en-US" w:eastAsia="zh-CN" w:bidi="ar-SA"/>
    </w:rPr>
  </w:style>
  <w:style w:type="paragraph" w:customStyle="1" w:styleId="244">
    <w:name w:val="WPSOffice手动目录 1"/>
    <w:qFormat/>
    <w:uiPriority w:val="0"/>
    <w:rPr>
      <w:rFonts w:ascii="Times New Roman" w:hAnsi="Times New Roman" w:eastAsia="宋体" w:cs="Times New Roman"/>
      <w:lang w:val="en-US" w:eastAsia="zh-CN" w:bidi="ar-SA"/>
    </w:rPr>
  </w:style>
  <w:style w:type="paragraph" w:customStyle="1" w:styleId="2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46">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47">
    <w:name w:val="NormalCharacter"/>
    <w:link w:val="1"/>
    <w:qFormat/>
    <w:uiPriority w:val="0"/>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jpeg"/><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DEF5EE1B3084C30A5E43396A2D1E461"/>
        <w:style w:val=""/>
        <w:category>
          <w:name w:val="常规"/>
          <w:gallery w:val="placeholder"/>
        </w:category>
        <w:types>
          <w:type w:val="bbPlcHdr"/>
        </w:types>
        <w:behaviors>
          <w:behavior w:val="content"/>
        </w:behaviors>
        <w:description w:val=""/>
        <w:guid w:val="{C180BD17-DC8B-4503-8E76-8CAC666E6F7E}"/>
      </w:docPartPr>
      <w:docPartBody>
        <w:p>
          <w:pPr>
            <w:pStyle w:val="5"/>
            <w:rPr>
              <w:rFonts w:hint="eastAsia"/>
            </w:rPr>
          </w:pPr>
          <w:r>
            <w:rPr>
              <w:rStyle w:val="4"/>
              <w:rFonts w:hint="eastAsia"/>
            </w:rPr>
            <w:t>单击或点击此处输入文字。</w:t>
          </w:r>
        </w:p>
      </w:docPartBody>
    </w:docPart>
    <w:docPart>
      <w:docPartPr>
        <w:name w:val="FB77377D18C64526A84AF1D3B22497D5"/>
        <w:style w:val=""/>
        <w:category>
          <w:name w:val="常规"/>
          <w:gallery w:val="placeholder"/>
        </w:category>
        <w:types>
          <w:type w:val="bbPlcHdr"/>
        </w:types>
        <w:behaviors>
          <w:behavior w:val="content"/>
        </w:behaviors>
        <w:description w:val=""/>
        <w:guid w:val="{B9B7720F-80EE-4100-8798-A7B2F4CF40C8}"/>
      </w:docPartPr>
      <w:docPartBody>
        <w:p>
          <w:pPr>
            <w:pStyle w:val="6"/>
            <w:rPr>
              <w:rFonts w:hint="eastAsia"/>
            </w:rPr>
          </w:pPr>
          <w:r>
            <w:rPr>
              <w:rStyle w:val="4"/>
              <w:rFonts w:hint="eastAsia"/>
            </w:rPr>
            <w:t>选择一项。</w:t>
          </w:r>
        </w:p>
      </w:docPartBody>
    </w:docPart>
    <w:docPart>
      <w:docPartPr>
        <w:name w:val="0759CD85F1964311A93E03B733804D62"/>
        <w:style w:val=""/>
        <w:category>
          <w:name w:val="常规"/>
          <w:gallery w:val="placeholder"/>
        </w:category>
        <w:types>
          <w:type w:val="bbPlcHdr"/>
        </w:types>
        <w:behaviors>
          <w:behavior w:val="content"/>
        </w:behaviors>
        <w:description w:val=""/>
        <w:guid w:val="{595F70FA-9139-4C57-8F4C-FA54160AE12C}"/>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A4F"/>
    <w:rsid w:val="00000284"/>
    <w:rsid w:val="00000AB7"/>
    <w:rsid w:val="000229F5"/>
    <w:rsid w:val="00024A49"/>
    <w:rsid w:val="0004464A"/>
    <w:rsid w:val="00047065"/>
    <w:rsid w:val="0006103B"/>
    <w:rsid w:val="000751ED"/>
    <w:rsid w:val="000A10E9"/>
    <w:rsid w:val="0011073B"/>
    <w:rsid w:val="001121CC"/>
    <w:rsid w:val="00116208"/>
    <w:rsid w:val="00122D40"/>
    <w:rsid w:val="00134EA8"/>
    <w:rsid w:val="00141032"/>
    <w:rsid w:val="00157D49"/>
    <w:rsid w:val="00190D0F"/>
    <w:rsid w:val="0019178D"/>
    <w:rsid w:val="001A5BF2"/>
    <w:rsid w:val="001D62ED"/>
    <w:rsid w:val="002059D2"/>
    <w:rsid w:val="00227223"/>
    <w:rsid w:val="002A5BC4"/>
    <w:rsid w:val="002D3176"/>
    <w:rsid w:val="002E683D"/>
    <w:rsid w:val="002F6025"/>
    <w:rsid w:val="003054CE"/>
    <w:rsid w:val="00306B5B"/>
    <w:rsid w:val="003452CE"/>
    <w:rsid w:val="003573CE"/>
    <w:rsid w:val="003648EE"/>
    <w:rsid w:val="003861D6"/>
    <w:rsid w:val="00393C4C"/>
    <w:rsid w:val="003D3781"/>
    <w:rsid w:val="003D521D"/>
    <w:rsid w:val="003F6F9C"/>
    <w:rsid w:val="00431208"/>
    <w:rsid w:val="004672F0"/>
    <w:rsid w:val="004D1A0D"/>
    <w:rsid w:val="004D56E8"/>
    <w:rsid w:val="004D6B40"/>
    <w:rsid w:val="005122ED"/>
    <w:rsid w:val="00517326"/>
    <w:rsid w:val="00517CA3"/>
    <w:rsid w:val="005255C6"/>
    <w:rsid w:val="00565056"/>
    <w:rsid w:val="005C37DF"/>
    <w:rsid w:val="005E7770"/>
    <w:rsid w:val="00637947"/>
    <w:rsid w:val="006479E3"/>
    <w:rsid w:val="00666FE4"/>
    <w:rsid w:val="006914B0"/>
    <w:rsid w:val="006D708C"/>
    <w:rsid w:val="006E2DBE"/>
    <w:rsid w:val="00702D88"/>
    <w:rsid w:val="007228EC"/>
    <w:rsid w:val="007324FF"/>
    <w:rsid w:val="007B6ABD"/>
    <w:rsid w:val="007C7123"/>
    <w:rsid w:val="00824AD2"/>
    <w:rsid w:val="008C5BBB"/>
    <w:rsid w:val="008D355F"/>
    <w:rsid w:val="008F7DFF"/>
    <w:rsid w:val="00925A0E"/>
    <w:rsid w:val="009261DE"/>
    <w:rsid w:val="0093372D"/>
    <w:rsid w:val="009827FB"/>
    <w:rsid w:val="009949BC"/>
    <w:rsid w:val="009D7BD7"/>
    <w:rsid w:val="009F65B4"/>
    <w:rsid w:val="00A96B25"/>
    <w:rsid w:val="00AA12B1"/>
    <w:rsid w:val="00AA21E1"/>
    <w:rsid w:val="00AD232E"/>
    <w:rsid w:val="00AD6293"/>
    <w:rsid w:val="00B26941"/>
    <w:rsid w:val="00B610A7"/>
    <w:rsid w:val="00B74873"/>
    <w:rsid w:val="00B8611C"/>
    <w:rsid w:val="00BA14EE"/>
    <w:rsid w:val="00C3515D"/>
    <w:rsid w:val="00C42C91"/>
    <w:rsid w:val="00C56B20"/>
    <w:rsid w:val="00C66617"/>
    <w:rsid w:val="00C83A5D"/>
    <w:rsid w:val="00C953A7"/>
    <w:rsid w:val="00CA5A65"/>
    <w:rsid w:val="00CD4627"/>
    <w:rsid w:val="00CE4001"/>
    <w:rsid w:val="00CF3BCB"/>
    <w:rsid w:val="00CF45D9"/>
    <w:rsid w:val="00D07346"/>
    <w:rsid w:val="00D103AA"/>
    <w:rsid w:val="00D82A4F"/>
    <w:rsid w:val="00DA7522"/>
    <w:rsid w:val="00DA7696"/>
    <w:rsid w:val="00DE5204"/>
    <w:rsid w:val="00E15BEF"/>
    <w:rsid w:val="00E261A3"/>
    <w:rsid w:val="00E27D55"/>
    <w:rsid w:val="00E329AC"/>
    <w:rsid w:val="00E35337"/>
    <w:rsid w:val="00E7221C"/>
    <w:rsid w:val="00E93250"/>
    <w:rsid w:val="00EC1237"/>
    <w:rsid w:val="00EF4765"/>
    <w:rsid w:val="00F673CE"/>
    <w:rsid w:val="00F7576A"/>
    <w:rsid w:val="00FC57D0"/>
    <w:rsid w:val="00FC7D34"/>
    <w:rsid w:val="00FC7E8F"/>
    <w:rsid w:val="00FD3F96"/>
    <w:rsid w:val="00FF6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1DEF5EE1B3084C30A5E43396A2D1E4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B77377D18C64526A84AF1D3B22497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759CD85F1964311A93E03B733804D6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20</Pages>
  <Words>9739</Words>
  <Characters>13187</Characters>
  <Lines>530</Lines>
  <Paragraphs>552</Paragraphs>
  <TotalTime>51</TotalTime>
  <ScaleCrop>false</ScaleCrop>
  <LinksUpToDate>false</LinksUpToDate>
  <CharactersWithSpaces>14077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2025-05-14T22:49:00Z</dcterms:created>
  <dc:creator>PC</dc:creator>
  <dc:description>&lt;config cover="true" show_menu="true" version="1.0.0" doctype="SDKXY"&gt;_x000d_
&lt;/config&gt;</dc:description>
  <cp:lastModifiedBy>admin</cp:lastModifiedBy>
  <cp:lastPrinted>2023-09-24T01:27:00Z</cp:lastPrinted>
  <dcterms:modified xsi:type="dcterms:W3CDTF">2025-10-22T02:47:02Z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2052-10.8.0.6423</vt:lpwstr>
  </property>
  <property fmtid="{D5CDD505-2E9C-101B-9397-08002B2CF9AE}" pid="15" name="ICV">
    <vt:lpwstr>7832405321944A518347B956C072D9DD_13</vt:lpwstr>
  </property>
  <property fmtid="{D5CDD505-2E9C-101B-9397-08002B2CF9AE}" pid="16" name="KSOTemplateDocerSaveRecord">
    <vt:lpwstr>eyJoZGlkIjoiYjc2NTJjODI3Y2UzMjI1MTkxMmNiYjQwY2Y3NmY2M2QiLCJ1c2VySWQiOiIyMTU5NDU5MTkifQ==</vt:lpwstr>
  </property>
</Properties>
</file>