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1FBB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774D39">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6DA5BA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 </w:t>
            </w:r>
            <w:r>
              <w:rPr>
                <w:rFonts w:ascii="黑体" w:hAnsi="黑体" w:eastAsia="黑体"/>
                <w:sz w:val="21"/>
                <w:szCs w:val="21"/>
              </w:rPr>
              <w:fldChar w:fldCharType="end"/>
            </w:r>
            <w:bookmarkEnd w:id="0"/>
          </w:p>
        </w:tc>
      </w:tr>
      <w:tr w14:paraId="4608F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EC048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9769A4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Z04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162390F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6165B6D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6D7C7B03">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B881FE5">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03C6D22">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9337C2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72DE278">
      <w:pPr>
        <w:pStyle w:val="50"/>
        <w:framePr w:w="9639" w:h="6976" w:hRule="exact" w:hSpace="0" w:vSpace="0" w:wrap="around" w:hAnchor="page" w:y="6408"/>
        <w:jc w:val="center"/>
        <w:rPr>
          <w:rFonts w:hint="eastAsia" w:ascii="黑体" w:hAnsi="黑体" w:eastAsia="黑体"/>
          <w:b w:val="0"/>
          <w:bCs w:val="0"/>
          <w:w w:val="100"/>
        </w:rPr>
      </w:pPr>
    </w:p>
    <w:p w14:paraId="4655DF6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工业企业温室气体排放管理</w:t>
      </w:r>
      <w:r>
        <w:rPr>
          <w:rFonts w:hint="eastAsia"/>
          <w:lang w:eastAsia="zh-CN"/>
        </w:rPr>
        <w:t>规程</w:t>
      </w:r>
      <w:r>
        <w:fldChar w:fldCharType="end"/>
      </w:r>
      <w:bookmarkEnd w:id="9"/>
    </w:p>
    <w:p w14:paraId="676822AB">
      <w:pPr>
        <w:framePr w:w="9639" w:h="6974" w:hRule="exact" w:wrap="around" w:vAnchor="page" w:hAnchor="page" w:x="1419" w:y="6408" w:anchorLock="1"/>
        <w:ind w:left="-1418"/>
      </w:pPr>
    </w:p>
    <w:p w14:paraId="2106F96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Regulations</w:t>
      </w:r>
      <w:r>
        <w:rPr>
          <w:rFonts w:hint="eastAsia" w:eastAsia="黑体"/>
          <w:szCs w:val="28"/>
        </w:rPr>
        <w:t xml:space="preserve"> for greenhouse gas emissions management of industrial enterprises</w:t>
      </w:r>
      <w:r>
        <w:rPr>
          <w:rFonts w:eastAsia="黑体"/>
          <w:szCs w:val="28"/>
        </w:rPr>
        <w:fldChar w:fldCharType="end"/>
      </w:r>
      <w:bookmarkEnd w:id="10"/>
    </w:p>
    <w:p w14:paraId="239B9561">
      <w:pPr>
        <w:framePr w:w="9639" w:h="6974" w:hRule="exact" w:wrap="around" w:vAnchor="page" w:hAnchor="page" w:x="1419" w:y="6408" w:anchorLock="1"/>
        <w:spacing w:line="760" w:lineRule="exact"/>
        <w:ind w:left="-1418"/>
      </w:pPr>
    </w:p>
    <w:p w14:paraId="22BE685B">
      <w:pPr>
        <w:pStyle w:val="125"/>
        <w:framePr w:w="9639" w:h="6974" w:hRule="exact" w:wrap="around" w:vAnchor="page" w:hAnchor="page" w:x="1419" w:y="6408" w:anchorLock="1"/>
        <w:textAlignment w:val="bottom"/>
        <w:rPr>
          <w:rFonts w:eastAsia="黑体"/>
          <w:szCs w:val="28"/>
        </w:rPr>
      </w:pPr>
    </w:p>
    <w:p w14:paraId="7DB634C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213F90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345850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D0DC85D">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4CCA20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970C555">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64EF8B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A9409A">
      <w:pPr>
        <w:pStyle w:val="91"/>
        <w:spacing w:after="468"/>
      </w:pPr>
      <w:bookmarkStart w:id="21" w:name="BookMark1"/>
      <w:bookmarkStart w:id="22" w:name="_Toc148604498"/>
      <w:r>
        <w:rPr>
          <w:rFonts w:hint="eastAsia"/>
          <w:spacing w:val="320"/>
        </w:rPr>
        <w:t>目</w:t>
      </w:r>
      <w:r>
        <w:rPr>
          <w:rFonts w:hint="eastAsia"/>
        </w:rPr>
        <w:t>次</w:t>
      </w:r>
    </w:p>
    <w:p w14:paraId="3996E7C4">
      <w:pPr>
        <w:pStyle w:val="19"/>
        <w:tabs>
          <w:tab w:val="right" w:leader="dot" w:pos="9354"/>
        </w:tabs>
      </w:pPr>
      <w:r>
        <w:fldChar w:fldCharType="begin"/>
      </w:r>
      <w:r>
        <w:instrText xml:space="preserve"> TOC \o "1-1" \h </w:instrText>
      </w:r>
      <w:r>
        <w:fldChar w:fldCharType="separate"/>
      </w:r>
      <w:r>
        <w:fldChar w:fldCharType="begin"/>
      </w:r>
      <w:r>
        <w:instrText xml:space="preserve"> HYPERLINK \l _Toc32216 </w:instrText>
      </w:r>
      <w:r>
        <w:fldChar w:fldCharType="separate"/>
      </w:r>
      <w:r>
        <w:rPr>
          <w:spacing w:val="320"/>
        </w:rPr>
        <w:t>前</w:t>
      </w:r>
      <w:r>
        <w:t>言</w:t>
      </w:r>
      <w:r>
        <w:tab/>
      </w:r>
      <w:r>
        <w:fldChar w:fldCharType="begin"/>
      </w:r>
      <w:r>
        <w:instrText xml:space="preserve"> PAGEREF _Toc32216 \h </w:instrText>
      </w:r>
      <w:r>
        <w:fldChar w:fldCharType="separate"/>
      </w:r>
      <w:r>
        <w:t>II</w:t>
      </w:r>
      <w:r>
        <w:fldChar w:fldCharType="end"/>
      </w:r>
      <w:r>
        <w:fldChar w:fldCharType="end"/>
      </w:r>
    </w:p>
    <w:p w14:paraId="57F3FA69">
      <w:pPr>
        <w:pStyle w:val="19"/>
        <w:tabs>
          <w:tab w:val="right" w:leader="dot" w:pos="9354"/>
        </w:tabs>
      </w:pPr>
      <w:r>
        <w:fldChar w:fldCharType="begin"/>
      </w:r>
      <w:r>
        <w:instrText xml:space="preserve"> HYPERLINK \l _Toc14417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_Toc14417 \h </w:instrText>
      </w:r>
      <w:r>
        <w:fldChar w:fldCharType="separate"/>
      </w:r>
      <w:r>
        <w:t>3</w:t>
      </w:r>
      <w:r>
        <w:fldChar w:fldCharType="end"/>
      </w:r>
      <w:r>
        <w:fldChar w:fldCharType="end"/>
      </w:r>
    </w:p>
    <w:p w14:paraId="7C382A7B">
      <w:pPr>
        <w:pStyle w:val="19"/>
        <w:tabs>
          <w:tab w:val="right" w:leader="dot" w:pos="9354"/>
        </w:tabs>
      </w:pPr>
      <w:r>
        <w:fldChar w:fldCharType="begin"/>
      </w:r>
      <w:r>
        <w:instrText xml:space="preserve"> HYPERLINK \l _Toc27132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_Toc27132 \h </w:instrText>
      </w:r>
      <w:r>
        <w:fldChar w:fldCharType="separate"/>
      </w:r>
      <w:r>
        <w:t>3</w:t>
      </w:r>
      <w:r>
        <w:fldChar w:fldCharType="end"/>
      </w:r>
      <w:r>
        <w:fldChar w:fldCharType="end"/>
      </w:r>
    </w:p>
    <w:p w14:paraId="05CE91C8">
      <w:pPr>
        <w:pStyle w:val="19"/>
        <w:tabs>
          <w:tab w:val="right" w:leader="dot" w:pos="9354"/>
        </w:tabs>
      </w:pPr>
      <w:r>
        <w:fldChar w:fldCharType="begin"/>
      </w:r>
      <w:r>
        <w:instrText xml:space="preserve"> HYPERLINK \l _Toc13865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_Toc13865 \h </w:instrText>
      </w:r>
      <w:r>
        <w:fldChar w:fldCharType="separate"/>
      </w:r>
      <w:r>
        <w:t>3</w:t>
      </w:r>
      <w:r>
        <w:fldChar w:fldCharType="end"/>
      </w:r>
      <w:r>
        <w:fldChar w:fldCharType="end"/>
      </w:r>
    </w:p>
    <w:p w14:paraId="1A37EC3A">
      <w:pPr>
        <w:pStyle w:val="19"/>
        <w:tabs>
          <w:tab w:val="right" w:leader="dot" w:pos="9354"/>
        </w:tabs>
      </w:pPr>
      <w:r>
        <w:fldChar w:fldCharType="begin"/>
      </w:r>
      <w:r>
        <w:instrText xml:space="preserve"> HYPERLINK \l _Toc24779 </w:instrText>
      </w:r>
      <w:r>
        <w:fldChar w:fldCharType="separate"/>
      </w:r>
      <w:r>
        <w:rPr>
          <w:rFonts w:hint="eastAsia" w:ascii="黑体" w:eastAsia="黑体"/>
          <w:i w:val="0"/>
        </w:rPr>
        <w:t xml:space="preserve">4 </w:t>
      </w:r>
      <w:r>
        <w:rPr>
          <w:rFonts w:hint="eastAsia"/>
        </w:rPr>
        <w:t>总体要求</w:t>
      </w:r>
      <w:r>
        <w:tab/>
      </w:r>
      <w:r>
        <w:fldChar w:fldCharType="begin"/>
      </w:r>
      <w:r>
        <w:instrText xml:space="preserve"> PAGEREF _Toc24779 \h </w:instrText>
      </w:r>
      <w:r>
        <w:fldChar w:fldCharType="separate"/>
      </w:r>
      <w:r>
        <w:t>4</w:t>
      </w:r>
      <w:r>
        <w:fldChar w:fldCharType="end"/>
      </w:r>
      <w:r>
        <w:fldChar w:fldCharType="end"/>
      </w:r>
    </w:p>
    <w:p w14:paraId="22C06AA4">
      <w:pPr>
        <w:pStyle w:val="19"/>
        <w:tabs>
          <w:tab w:val="right" w:leader="dot" w:pos="9354"/>
        </w:tabs>
      </w:pPr>
      <w:r>
        <w:fldChar w:fldCharType="begin"/>
      </w:r>
      <w:r>
        <w:instrText xml:space="preserve"> HYPERLINK \l _Toc23384 </w:instrText>
      </w:r>
      <w:r>
        <w:fldChar w:fldCharType="separate"/>
      </w:r>
      <w:r>
        <w:rPr>
          <w:rFonts w:hint="eastAsia" w:ascii="黑体" w:eastAsia="黑体"/>
          <w:i w:val="0"/>
        </w:rPr>
        <w:t xml:space="preserve">5 </w:t>
      </w:r>
      <w:r>
        <w:rPr>
          <w:rFonts w:hint="eastAsia"/>
          <w:highlight w:val="none"/>
        </w:rPr>
        <w:t>管理职责</w:t>
      </w:r>
      <w:r>
        <w:tab/>
      </w:r>
      <w:r>
        <w:fldChar w:fldCharType="begin"/>
      </w:r>
      <w:r>
        <w:instrText xml:space="preserve"> PAGEREF _Toc23384 \h </w:instrText>
      </w:r>
      <w:r>
        <w:fldChar w:fldCharType="separate"/>
      </w:r>
      <w:r>
        <w:t>4</w:t>
      </w:r>
      <w:r>
        <w:fldChar w:fldCharType="end"/>
      </w:r>
      <w:r>
        <w:fldChar w:fldCharType="end"/>
      </w:r>
    </w:p>
    <w:p w14:paraId="21D85CB5">
      <w:pPr>
        <w:pStyle w:val="19"/>
        <w:tabs>
          <w:tab w:val="right" w:leader="dot" w:pos="9354"/>
        </w:tabs>
      </w:pPr>
      <w:r>
        <w:fldChar w:fldCharType="begin"/>
      </w:r>
      <w:r>
        <w:instrText xml:space="preserve"> HYPERLINK \l _Toc17541 </w:instrText>
      </w:r>
      <w:r>
        <w:fldChar w:fldCharType="separate"/>
      </w:r>
      <w:r>
        <w:rPr>
          <w:rFonts w:hint="eastAsia" w:ascii="黑体" w:eastAsia="黑体"/>
          <w:i w:val="0"/>
        </w:rPr>
        <w:t xml:space="preserve">6 </w:t>
      </w:r>
      <w:r>
        <w:rPr>
          <w:rFonts w:hint="eastAsia"/>
        </w:rPr>
        <w:t>监测与统计</w:t>
      </w:r>
      <w:r>
        <w:tab/>
      </w:r>
      <w:r>
        <w:fldChar w:fldCharType="begin"/>
      </w:r>
      <w:r>
        <w:instrText xml:space="preserve"> PAGEREF _Toc17541 \h </w:instrText>
      </w:r>
      <w:r>
        <w:fldChar w:fldCharType="separate"/>
      </w:r>
      <w:r>
        <w:t>5</w:t>
      </w:r>
      <w:r>
        <w:fldChar w:fldCharType="end"/>
      </w:r>
      <w:r>
        <w:fldChar w:fldCharType="end"/>
      </w:r>
    </w:p>
    <w:p w14:paraId="7749FF71">
      <w:pPr>
        <w:pStyle w:val="19"/>
        <w:tabs>
          <w:tab w:val="right" w:leader="dot" w:pos="9354"/>
        </w:tabs>
      </w:pPr>
      <w:r>
        <w:fldChar w:fldCharType="begin"/>
      </w:r>
      <w:r>
        <w:instrText xml:space="preserve"> HYPERLINK \l _Toc26099 </w:instrText>
      </w:r>
      <w:r>
        <w:fldChar w:fldCharType="separate"/>
      </w:r>
      <w:r>
        <w:rPr>
          <w:rFonts w:hint="eastAsia" w:ascii="黑体" w:eastAsia="黑体"/>
          <w:i w:val="0"/>
        </w:rPr>
        <w:t xml:space="preserve">7 </w:t>
      </w:r>
      <w:r>
        <w:rPr>
          <w:rFonts w:hint="eastAsia"/>
        </w:rPr>
        <w:t>核算与报告</w:t>
      </w:r>
      <w:r>
        <w:tab/>
      </w:r>
      <w:r>
        <w:fldChar w:fldCharType="begin"/>
      </w:r>
      <w:r>
        <w:instrText xml:space="preserve"> PAGEREF _Toc26099 \h </w:instrText>
      </w:r>
      <w:r>
        <w:fldChar w:fldCharType="separate"/>
      </w:r>
      <w:r>
        <w:t>5</w:t>
      </w:r>
      <w:r>
        <w:fldChar w:fldCharType="end"/>
      </w:r>
      <w:r>
        <w:fldChar w:fldCharType="end"/>
      </w:r>
    </w:p>
    <w:p w14:paraId="36531306">
      <w:pPr>
        <w:pStyle w:val="19"/>
        <w:tabs>
          <w:tab w:val="right" w:leader="dot" w:pos="9354"/>
        </w:tabs>
      </w:pPr>
      <w:r>
        <w:fldChar w:fldCharType="begin"/>
      </w:r>
      <w:r>
        <w:instrText xml:space="preserve"> HYPERLINK \l _Toc29813 </w:instrText>
      </w:r>
      <w:r>
        <w:fldChar w:fldCharType="separate"/>
      </w:r>
      <w:r>
        <w:rPr>
          <w:rFonts w:hint="eastAsia" w:ascii="黑体" w:eastAsia="黑体"/>
          <w:i w:val="0"/>
        </w:rPr>
        <w:t xml:space="preserve">8 </w:t>
      </w:r>
      <w:r>
        <w:rPr>
          <w:rFonts w:hint="eastAsia"/>
          <w:highlight w:val="none"/>
        </w:rPr>
        <w:t>碳资产管理</w:t>
      </w:r>
      <w:r>
        <w:tab/>
      </w:r>
      <w:r>
        <w:fldChar w:fldCharType="begin"/>
      </w:r>
      <w:r>
        <w:instrText xml:space="preserve"> PAGEREF _Toc29813 \h </w:instrText>
      </w:r>
      <w:r>
        <w:fldChar w:fldCharType="separate"/>
      </w:r>
      <w:r>
        <w:t>6</w:t>
      </w:r>
      <w:r>
        <w:fldChar w:fldCharType="end"/>
      </w:r>
      <w:r>
        <w:fldChar w:fldCharType="end"/>
      </w:r>
    </w:p>
    <w:p w14:paraId="4CC4E43A">
      <w:pPr>
        <w:pStyle w:val="19"/>
        <w:tabs>
          <w:tab w:val="right" w:leader="dot" w:pos="9354"/>
        </w:tabs>
      </w:pPr>
      <w:r>
        <w:fldChar w:fldCharType="begin"/>
      </w:r>
      <w:r>
        <w:instrText xml:space="preserve"> HYPERLINK \l _Toc4987 </w:instrText>
      </w:r>
      <w:r>
        <w:fldChar w:fldCharType="separate"/>
      </w:r>
      <w:r>
        <w:rPr>
          <w:rFonts w:hint="eastAsia" w:ascii="黑体" w:eastAsia="黑体"/>
          <w:i w:val="0"/>
        </w:rPr>
        <w:t xml:space="preserve">9 </w:t>
      </w:r>
      <w:r>
        <w:rPr>
          <w:rFonts w:hint="eastAsia"/>
        </w:rPr>
        <w:t>信息披露</w:t>
      </w:r>
      <w:r>
        <w:tab/>
      </w:r>
      <w:r>
        <w:fldChar w:fldCharType="begin"/>
      </w:r>
      <w:r>
        <w:instrText xml:space="preserve"> PAGEREF _Toc4987 \h </w:instrText>
      </w:r>
      <w:r>
        <w:fldChar w:fldCharType="separate"/>
      </w:r>
      <w:r>
        <w:t>7</w:t>
      </w:r>
      <w:r>
        <w:fldChar w:fldCharType="end"/>
      </w:r>
      <w:r>
        <w:fldChar w:fldCharType="end"/>
      </w:r>
    </w:p>
    <w:p w14:paraId="11912F81">
      <w:pPr>
        <w:pStyle w:val="19"/>
        <w:tabs>
          <w:tab w:val="right" w:leader="dot" w:pos="9354"/>
        </w:tabs>
      </w:pPr>
      <w:r>
        <w:fldChar w:fldCharType="begin"/>
      </w:r>
      <w:r>
        <w:instrText xml:space="preserve"> HYPERLINK \l _Toc11767 </w:instrText>
      </w:r>
      <w:r>
        <w:fldChar w:fldCharType="separate"/>
      </w:r>
      <w:r>
        <w:rPr>
          <w:rFonts w:hint="eastAsia" w:ascii="黑体" w:eastAsia="黑体"/>
          <w:i w:val="0"/>
        </w:rPr>
        <w:t xml:space="preserve">10 </w:t>
      </w:r>
      <w:r>
        <w:rPr>
          <w:rFonts w:hint="eastAsia"/>
        </w:rPr>
        <w:t>持续改进</w:t>
      </w:r>
      <w:r>
        <w:tab/>
      </w:r>
      <w:r>
        <w:fldChar w:fldCharType="begin"/>
      </w:r>
      <w:r>
        <w:instrText xml:space="preserve"> PAGEREF _Toc11767 \h </w:instrText>
      </w:r>
      <w:r>
        <w:fldChar w:fldCharType="separate"/>
      </w:r>
      <w:r>
        <w:t>7</w:t>
      </w:r>
      <w:r>
        <w:fldChar w:fldCharType="end"/>
      </w:r>
      <w:r>
        <w:fldChar w:fldCharType="end"/>
      </w:r>
    </w:p>
    <w:p w14:paraId="7E8A522A">
      <w:pPr>
        <w:pStyle w:val="91"/>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bookmarkEnd w:id="21"/>
    </w:p>
    <w:p w14:paraId="1B7F1B88">
      <w:pPr>
        <w:pStyle w:val="89"/>
        <w:spacing w:after="468"/>
      </w:pPr>
      <w:bookmarkStart w:id="23" w:name="_Toc32216"/>
      <w:bookmarkStart w:id="24" w:name="BookMark2"/>
      <w:r>
        <w:rPr>
          <w:spacing w:val="320"/>
        </w:rPr>
        <w:t>前</w:t>
      </w:r>
      <w:r>
        <w:t>言</w:t>
      </w:r>
      <w:bookmarkEnd w:id="22"/>
      <w:bookmarkEnd w:id="23"/>
    </w:p>
    <w:p w14:paraId="764FF710">
      <w:pPr>
        <w:pStyle w:val="56"/>
        <w:spacing w:line="360" w:lineRule="exact"/>
        <w:ind w:firstLine="420"/>
      </w:pPr>
      <w:r>
        <w:rPr>
          <w:rFonts w:hint="eastAsia"/>
        </w:rPr>
        <w:t>本文件按照GB/T 1.1—2020《标准化工作导则  第1部分：标准化文件的结构和起草规则》的规定起草。</w:t>
      </w:r>
    </w:p>
    <w:p w14:paraId="74C605AA">
      <w:pPr>
        <w:pStyle w:val="56"/>
        <w:spacing w:line="360" w:lineRule="exact"/>
        <w:ind w:firstLine="420"/>
      </w:pPr>
      <w:r>
        <w:rPr>
          <w:rFonts w:hint="eastAsia"/>
        </w:rPr>
        <w:t>请注意本文件的某些内容可能涉及专利。本文件的发布机构不承担识别专利的责任。</w:t>
      </w:r>
    </w:p>
    <w:p w14:paraId="6BD4377A">
      <w:pPr>
        <w:pStyle w:val="56"/>
        <w:spacing w:line="360" w:lineRule="exact"/>
        <w:ind w:firstLine="420"/>
      </w:pPr>
      <w:r>
        <w:rPr>
          <w:rFonts w:hint="eastAsia"/>
        </w:rPr>
        <w:t>本文件由湖南省工业和信息化厅提出并</w:t>
      </w:r>
      <w:r>
        <w:t>归口</w:t>
      </w:r>
      <w:r>
        <w:rPr>
          <w:rFonts w:hint="eastAsia"/>
        </w:rPr>
        <w:t>。</w:t>
      </w:r>
    </w:p>
    <w:p w14:paraId="476132BD">
      <w:pPr>
        <w:pStyle w:val="56"/>
        <w:spacing w:line="360" w:lineRule="exact"/>
        <w:ind w:firstLine="420"/>
      </w:pPr>
      <w:r>
        <w:rPr>
          <w:rFonts w:hint="eastAsia"/>
        </w:rPr>
        <w:t>本文件起草单位：。</w:t>
      </w:r>
    </w:p>
    <w:p w14:paraId="76E45A64">
      <w:pPr>
        <w:pStyle w:val="56"/>
        <w:spacing w:line="360" w:lineRule="exact"/>
        <w:ind w:firstLine="420"/>
        <w:rPr>
          <w:rFonts w:hint="default" w:eastAsia="宋体"/>
          <w:vertAlign w:val="baseline"/>
          <w:lang w:val="en-US" w:eastAsia="zh-CN"/>
        </w:rPr>
      </w:pPr>
      <w:r>
        <w:rPr>
          <w:rFonts w:hint="eastAsia"/>
        </w:rPr>
        <w:t>本文件主要起草人：。</w:t>
      </w:r>
    </w:p>
    <w:p w14:paraId="316CB773">
      <w:pPr>
        <w:pStyle w:val="56"/>
        <w:ind w:firstLine="420"/>
      </w:pPr>
    </w:p>
    <w:p w14:paraId="32C679D7">
      <w:pPr>
        <w:pStyle w:val="56"/>
        <w:ind w:firstLine="420"/>
      </w:pPr>
    </w:p>
    <w:p w14:paraId="033CF664">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4"/>
    <w:p w14:paraId="54C5002A">
      <w:pPr>
        <w:spacing w:line="20" w:lineRule="exact"/>
        <w:jc w:val="center"/>
        <w:rPr>
          <w:rFonts w:hint="eastAsia" w:ascii="黑体" w:hAnsi="黑体" w:eastAsia="黑体"/>
          <w:sz w:val="32"/>
          <w:szCs w:val="32"/>
        </w:rPr>
      </w:pPr>
      <w:bookmarkStart w:id="25" w:name="BookMark4"/>
    </w:p>
    <w:p w14:paraId="24A4410D">
      <w:pPr>
        <w:spacing w:line="20" w:lineRule="exact"/>
        <w:jc w:val="center"/>
        <w:rPr>
          <w:rFonts w:hint="eastAsia" w:ascii="黑体" w:hAnsi="黑体" w:eastAsia="黑体"/>
          <w:sz w:val="32"/>
          <w:szCs w:val="32"/>
        </w:rPr>
      </w:pPr>
    </w:p>
    <w:sdt>
      <w:sdtPr>
        <w:tag w:val="NEW_STAND_NAME"/>
        <w:id w:val="595910757"/>
        <w:lock w:val="sdtLocked"/>
        <w:placeholder>
          <w:docPart w:val="43322563D2A54A3AA06A193CA22CC9F3"/>
        </w:placeholder>
      </w:sdtPr>
      <w:sdtContent>
        <w:sdt>
          <w:sdtPr>
            <w:tag w:val="NEW_STAND_NAME"/>
            <w:id w:val="147481529"/>
            <w:lock w:val="sdtLocked"/>
            <w:placeholder>
              <w:docPart w:val="{4d7a6112-3fdd-48fd-9111-4a4e4f97e0be}"/>
            </w:placeholder>
          </w:sdtPr>
          <w:sdtContent>
            <w:p w14:paraId="4C604885">
              <w:pPr>
                <w:pStyle w:val="177"/>
                <w:spacing w:before="3" w:beforeLines="1" w:after="686" w:afterLines="220"/>
                <w:rPr>
                  <w:rFonts w:hint="eastAsia"/>
                </w:rPr>
              </w:pPr>
              <w:bookmarkStart w:id="26" w:name="NEW_STAND_NAME"/>
              <w:r>
                <w:rPr>
                  <w:rFonts w:hint="eastAsia"/>
                </w:rPr>
                <w:t>工业企业温室气体排放管理</w:t>
              </w:r>
              <w:r>
                <w:rPr>
                  <w:rFonts w:hint="eastAsia"/>
                  <w:lang w:val="en-US" w:eastAsia="zh-CN"/>
                </w:rPr>
                <w:t>规程</w:t>
              </w:r>
            </w:p>
          </w:sdtContent>
        </w:sdt>
      </w:sdtContent>
    </w:sdt>
    <w:bookmarkEnd w:id="26"/>
    <w:p w14:paraId="24CAE405">
      <w:pPr>
        <w:pStyle w:val="104"/>
        <w:spacing w:before="312" w:after="312"/>
      </w:pPr>
      <w:bookmarkStart w:id="27" w:name="_Toc17233325"/>
      <w:bookmarkStart w:id="28" w:name="_Toc26986771"/>
      <w:bookmarkStart w:id="29" w:name="_Toc26648465"/>
      <w:bookmarkStart w:id="30" w:name="_Toc24884218"/>
      <w:bookmarkStart w:id="31" w:name="_Toc148604499"/>
      <w:bookmarkStart w:id="32" w:name="_Toc26986530"/>
      <w:bookmarkStart w:id="33" w:name="_Toc14417"/>
      <w:bookmarkStart w:id="34" w:name="_Toc24884211"/>
      <w:bookmarkStart w:id="35" w:name="_Toc26718930"/>
      <w:bookmarkStart w:id="36" w:name="_Toc17233333"/>
      <w:r>
        <w:rPr>
          <w:rFonts w:hint="eastAsia"/>
        </w:rPr>
        <w:t>范围</w:t>
      </w:r>
      <w:bookmarkEnd w:id="27"/>
      <w:bookmarkEnd w:id="28"/>
      <w:bookmarkEnd w:id="29"/>
      <w:bookmarkEnd w:id="30"/>
      <w:bookmarkEnd w:id="31"/>
      <w:bookmarkEnd w:id="32"/>
      <w:bookmarkEnd w:id="33"/>
      <w:bookmarkEnd w:id="34"/>
      <w:bookmarkEnd w:id="35"/>
      <w:bookmarkEnd w:id="36"/>
    </w:p>
    <w:p w14:paraId="169A5528">
      <w:pPr>
        <w:pStyle w:val="56"/>
        <w:spacing w:line="360" w:lineRule="exact"/>
        <w:ind w:firstLine="420"/>
      </w:pPr>
      <w:bookmarkStart w:id="37" w:name="_Toc24884219"/>
      <w:bookmarkStart w:id="38" w:name="_Toc17233326"/>
      <w:bookmarkStart w:id="39" w:name="_Toc17233334"/>
      <w:bookmarkStart w:id="40" w:name="_Toc24884212"/>
      <w:bookmarkStart w:id="41" w:name="_Toc26648466"/>
      <w:r>
        <w:rPr>
          <w:rFonts w:hint="eastAsia"/>
        </w:rPr>
        <w:t>本文件规定了工业企业温室气体排放管理的总体要求、管理职责、监测与统计、核算与报告、碳资产管理、信息披露</w:t>
      </w:r>
      <w:r>
        <w:rPr>
          <w:rFonts w:hint="eastAsia"/>
          <w:highlight w:val="none"/>
          <w:lang w:val="en-US" w:eastAsia="zh-CN"/>
        </w:rPr>
        <w:t>和</w:t>
      </w:r>
      <w:r>
        <w:rPr>
          <w:rFonts w:hint="eastAsia"/>
        </w:rPr>
        <w:t>持续改进。</w:t>
      </w:r>
    </w:p>
    <w:p w14:paraId="39C1A1FE">
      <w:pPr>
        <w:pStyle w:val="56"/>
        <w:spacing w:line="360" w:lineRule="exact"/>
        <w:ind w:firstLine="420"/>
      </w:pPr>
      <w:r>
        <w:rPr>
          <w:rFonts w:hint="eastAsia"/>
        </w:rPr>
        <w:t>本文件适用于工业企业温室气体排放的管理工作。</w:t>
      </w:r>
    </w:p>
    <w:p w14:paraId="54706B88">
      <w:pPr>
        <w:pStyle w:val="104"/>
        <w:spacing w:before="312" w:after="312"/>
      </w:pPr>
      <w:bookmarkStart w:id="42" w:name="_Toc148604500"/>
      <w:bookmarkStart w:id="43" w:name="_Toc26986531"/>
      <w:bookmarkStart w:id="44" w:name="_Toc27132"/>
      <w:bookmarkStart w:id="45" w:name="_Toc26718931"/>
      <w:bookmarkStart w:id="46" w:name="_Toc2698677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56538A671A4341D09F751E7DDEC2DE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7DA2D93">
          <w:pPr>
            <w:pStyle w:val="56"/>
            <w:spacing w:line="36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6B6321">
      <w:pPr>
        <w:pStyle w:val="56"/>
        <w:ind w:firstLine="420"/>
      </w:pPr>
      <w:bookmarkStart w:id="47" w:name="_Toc148604501"/>
      <w:r>
        <w:rPr>
          <w:rFonts w:hint="eastAsia"/>
        </w:rPr>
        <w:t>GB 17167</w:t>
      </w:r>
      <w:r>
        <w:rPr>
          <w:rFonts w:hint="eastAsia"/>
          <w:lang w:val="en-US" w:eastAsia="zh-CN"/>
        </w:rPr>
        <w:t xml:space="preserve">  </w:t>
      </w:r>
      <w:r>
        <w:rPr>
          <w:rFonts w:hint="eastAsia"/>
        </w:rPr>
        <w:t>用能单位能源计量器具配备和管理通则</w:t>
      </w:r>
    </w:p>
    <w:p w14:paraId="376C2255">
      <w:pPr>
        <w:pStyle w:val="56"/>
        <w:ind w:firstLine="420"/>
        <w:rPr>
          <w:rFonts w:hint="eastAsia"/>
        </w:rPr>
      </w:pPr>
      <w:r>
        <w:rPr>
          <w:rFonts w:hint="eastAsia"/>
        </w:rPr>
        <w:t>GB/T 32150</w:t>
      </w:r>
      <w:r>
        <w:rPr>
          <w:rFonts w:hint="eastAsia"/>
          <w:lang w:val="en-US" w:eastAsia="zh-CN"/>
        </w:rPr>
        <w:t xml:space="preserve">  </w:t>
      </w:r>
      <w:r>
        <w:rPr>
          <w:rFonts w:hint="eastAsia"/>
        </w:rPr>
        <w:t>工业企业温室气体排放核算和报告通则</w:t>
      </w:r>
    </w:p>
    <w:p w14:paraId="4A6DF344">
      <w:pPr>
        <w:pStyle w:val="104"/>
        <w:spacing w:before="312" w:after="312"/>
      </w:pPr>
      <w:bookmarkStart w:id="48" w:name="_Toc13865"/>
      <w:r>
        <w:rPr>
          <w:rFonts w:hint="eastAsia"/>
          <w:szCs w:val="21"/>
        </w:rPr>
        <w:t>术语和定义</w:t>
      </w:r>
      <w:bookmarkEnd w:id="47"/>
      <w:bookmarkEnd w:id="48"/>
    </w:p>
    <w:p w14:paraId="771A501E">
      <w:pPr>
        <w:pStyle w:val="56"/>
        <w:ind w:firstLine="420"/>
      </w:pPr>
      <w:bookmarkStart w:id="49" w:name="_Toc26986532"/>
      <w:bookmarkEnd w:id="49"/>
      <w:r>
        <w:rPr>
          <w:rFonts w:hint="eastAsia"/>
        </w:rPr>
        <w:t xml:space="preserve">GB/T </w:t>
      </w:r>
      <w:r>
        <w:rPr>
          <w:rFonts w:hint="eastAsia"/>
          <w:lang w:val="en-US" w:eastAsia="zh-CN"/>
        </w:rPr>
        <w:t>32150</w:t>
      </w:r>
      <w:sdt>
        <w:sdtPr>
          <w:rPr>
            <w:rFonts w:hint="default"/>
            <w:lang w:val="en-US"/>
          </w:rPr>
          <w:id w:val="-1909835108"/>
          <w:placeholder>
            <w:docPart w:val="5832F16ADC0144A9AD8A83927FD4EA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lang w:val="en-US"/>
          </w:rPr>
        </w:sdtEndPr>
        <w:sdtContent>
          <w:r>
            <w:rPr>
              <w:rFonts w:hint="eastAsia"/>
            </w:rPr>
            <w:t>界定的以及下列术语和定义适用于本文件。</w:t>
          </w:r>
        </w:sdtContent>
      </w:sdt>
    </w:p>
    <w:p w14:paraId="478075A0">
      <w:pPr>
        <w:pStyle w:val="223"/>
        <w:ind w:left="420" w:hanging="420" w:hangingChars="200"/>
        <w:rPr>
          <w:rFonts w:hint="eastAsia" w:ascii="黑体" w:hAnsi="黑体" w:eastAsia="黑体"/>
        </w:rPr>
      </w:pPr>
    </w:p>
    <w:p w14:paraId="262D562A">
      <w:pPr>
        <w:pStyle w:val="56"/>
        <w:ind w:firstLine="420"/>
        <w:rPr>
          <w:rFonts w:hint="eastAsia" w:ascii="黑体" w:hAnsi="黑体" w:eastAsia="黑体"/>
        </w:rPr>
      </w:pPr>
      <w:r>
        <w:rPr>
          <w:rFonts w:hint="eastAsia" w:ascii="黑体" w:hAnsi="黑体" w:eastAsia="黑体"/>
        </w:rPr>
        <w:t>工业企业 industrial enterprises</w:t>
      </w:r>
    </w:p>
    <w:p w14:paraId="344F5756">
      <w:pPr>
        <w:pStyle w:val="56"/>
        <w:ind w:firstLine="420"/>
      </w:pPr>
      <w:r>
        <w:rPr>
          <w:rFonts w:hint="eastAsia"/>
        </w:rPr>
        <w:t>在GB/T 4754中，行业代码大类为06～46的企业。</w:t>
      </w:r>
    </w:p>
    <w:p w14:paraId="64E806D6">
      <w:pPr>
        <w:pStyle w:val="105"/>
        <w:spacing w:before="156" w:after="156"/>
        <w:ind w:left="0"/>
      </w:pPr>
    </w:p>
    <w:p w14:paraId="345B2D83">
      <w:pPr>
        <w:pStyle w:val="56"/>
        <w:ind w:firstLine="420"/>
      </w:pPr>
      <w:r>
        <w:rPr>
          <w:rFonts w:hint="eastAsia" w:ascii="黑体" w:hAnsi="黑体" w:eastAsia="黑体"/>
        </w:rPr>
        <w:t xml:space="preserve">温室气体排放监测  greenhouse gas emission monitoring </w:t>
      </w:r>
      <w:r>
        <w:rPr>
          <w:rFonts w:hint="eastAsia"/>
        </w:rPr>
        <w:t xml:space="preserve"> </w:t>
      </w:r>
    </w:p>
    <w:p w14:paraId="28EDD867">
      <w:pPr>
        <w:pStyle w:val="56"/>
        <w:ind w:firstLine="420"/>
        <w:rPr>
          <w:rFonts w:hint="eastAsia" w:eastAsia="宋体"/>
          <w:lang w:val="en-US" w:eastAsia="zh-CN"/>
        </w:rPr>
      </w:pPr>
      <w:r>
        <w:rPr>
          <w:rFonts w:hint="eastAsia"/>
          <w:highlight w:val="none"/>
          <w:lang w:val="en-US" w:eastAsia="zh-CN"/>
        </w:rPr>
        <w:t>工业企业</w:t>
      </w:r>
      <w:r>
        <w:rPr>
          <w:rFonts w:hint="eastAsia"/>
        </w:rPr>
        <w:t>对产生的温室气体排放及相关参数开展计量、统计、核算的过程和活动</w:t>
      </w:r>
      <w:r>
        <w:rPr>
          <w:rFonts w:hint="eastAsia"/>
          <w:lang w:eastAsia="zh-CN"/>
        </w:rPr>
        <w:t>。</w:t>
      </w:r>
    </w:p>
    <w:p w14:paraId="070B7973">
      <w:pPr>
        <w:pStyle w:val="105"/>
        <w:spacing w:before="156" w:after="156"/>
        <w:ind w:left="0"/>
      </w:pPr>
    </w:p>
    <w:p w14:paraId="5E3EEC7E">
      <w:pPr>
        <w:pStyle w:val="56"/>
        <w:ind w:firstLine="420"/>
        <w:rPr>
          <w:rFonts w:hint="eastAsia" w:ascii="黑体" w:hAnsi="黑体" w:eastAsia="黑体"/>
        </w:rPr>
      </w:pPr>
      <w:r>
        <w:rPr>
          <w:rFonts w:hint="eastAsia" w:ascii="黑体" w:hAnsi="黑体" w:eastAsia="黑体"/>
        </w:rPr>
        <w:t>碳资产 carbon credit</w:t>
      </w:r>
    </w:p>
    <w:p w14:paraId="2F039510">
      <w:pPr>
        <w:pStyle w:val="56"/>
        <w:ind w:firstLine="420"/>
      </w:pPr>
      <w:r>
        <w:rPr>
          <w:rFonts w:hint="eastAsia"/>
        </w:rPr>
        <w:t>由碳排放权交易机制产生的新型资产。</w:t>
      </w:r>
    </w:p>
    <w:p w14:paraId="377A40E2">
      <w:pPr>
        <w:pStyle w:val="56"/>
        <w:ind w:firstLine="420"/>
      </w:pPr>
      <w:r>
        <w:rPr>
          <w:rFonts w:hint="eastAsia"/>
        </w:rPr>
        <w:t>注：主要包括碳排放配额和碳信用。</w:t>
      </w:r>
    </w:p>
    <w:p w14:paraId="6817EF2C">
      <w:pPr>
        <w:pStyle w:val="56"/>
        <w:spacing w:line="360" w:lineRule="exact"/>
        <w:ind w:firstLine="420"/>
      </w:pPr>
      <w:r>
        <w:rPr>
          <w:rFonts w:hint="eastAsia"/>
        </w:rPr>
        <w:t>[来源：</w:t>
      </w:r>
      <w:r>
        <w:rPr>
          <w:rFonts w:hint="eastAsia"/>
          <w:lang w:val="en-US" w:eastAsia="zh-CN"/>
        </w:rPr>
        <w:t>JR</w:t>
      </w:r>
      <w:r>
        <w:rPr>
          <w:rFonts w:hint="eastAsia"/>
        </w:rPr>
        <w:t xml:space="preserve">/T </w:t>
      </w:r>
      <w:r>
        <w:rPr>
          <w:rFonts w:hint="eastAsia"/>
          <w:lang w:val="en-US" w:eastAsia="zh-CN"/>
        </w:rPr>
        <w:t>0244</w:t>
      </w:r>
      <w:r>
        <w:rPr>
          <w:rFonts w:hint="eastAsia"/>
        </w:rPr>
        <w:t>-2022,</w:t>
      </w:r>
      <w:r>
        <w:rPr>
          <w:rFonts w:hint="eastAsia"/>
          <w:lang w:val="en-US" w:eastAsia="zh-CN"/>
        </w:rPr>
        <w:t>3.5</w:t>
      </w:r>
      <w:r>
        <w:rPr>
          <w:rFonts w:hint="eastAsia"/>
        </w:rPr>
        <w:t>]</w:t>
      </w:r>
    </w:p>
    <w:p w14:paraId="793F595A">
      <w:pPr>
        <w:pStyle w:val="105"/>
        <w:spacing w:before="156" w:after="156"/>
        <w:ind w:left="0"/>
      </w:pPr>
    </w:p>
    <w:p w14:paraId="0E53C0E4">
      <w:pPr>
        <w:pStyle w:val="56"/>
        <w:ind w:firstLine="420"/>
        <w:rPr>
          <w:rFonts w:hint="eastAsia" w:ascii="黑体" w:hAnsi="黑体" w:eastAsia="黑体"/>
          <w:highlight w:val="none"/>
        </w:rPr>
      </w:pPr>
      <w:r>
        <w:rPr>
          <w:rFonts w:hint="eastAsia" w:ascii="黑体" w:hAnsi="黑体" w:eastAsia="黑体"/>
          <w:highlight w:val="none"/>
        </w:rPr>
        <w:t>最高管理者  top management</w:t>
      </w:r>
    </w:p>
    <w:p w14:paraId="3E1BB395">
      <w:pPr>
        <w:pStyle w:val="56"/>
        <w:ind w:firstLine="420"/>
        <w:rPr>
          <w:rFonts w:hint="eastAsia" w:eastAsia="宋体"/>
          <w:highlight w:val="none"/>
          <w:lang w:val="en-US" w:eastAsia="zh-CN"/>
        </w:rPr>
      </w:pPr>
      <w:r>
        <w:rPr>
          <w:rFonts w:hint="eastAsia"/>
          <w:highlight w:val="none"/>
        </w:rPr>
        <w:t>在最高层指挥并控制</w:t>
      </w:r>
      <w:r>
        <w:rPr>
          <w:rFonts w:hint="eastAsia"/>
          <w:highlight w:val="none"/>
          <w:lang w:val="en-US" w:eastAsia="zh-CN"/>
        </w:rPr>
        <w:t>组织</w:t>
      </w:r>
      <w:r>
        <w:rPr>
          <w:rFonts w:hint="eastAsia"/>
          <w:highlight w:val="none"/>
        </w:rPr>
        <w:t>的一个人或一组人</w:t>
      </w:r>
    </w:p>
    <w:p w14:paraId="505E8178">
      <w:pPr>
        <w:pStyle w:val="56"/>
        <w:spacing w:line="360" w:lineRule="exact"/>
        <w:ind w:firstLine="420"/>
        <w:rPr>
          <w:rFonts w:hint="eastAsia"/>
          <w:highlight w:val="none"/>
        </w:rPr>
      </w:pPr>
      <w:r>
        <w:rPr>
          <w:rFonts w:hint="eastAsia"/>
          <w:highlight w:val="none"/>
        </w:rPr>
        <w:t>注1:最高管理者有权在组织内部授权并提供资源。</w:t>
      </w:r>
    </w:p>
    <w:p w14:paraId="0EC26827">
      <w:pPr>
        <w:pStyle w:val="56"/>
        <w:spacing w:line="360" w:lineRule="exact"/>
        <w:ind w:firstLine="420"/>
        <w:rPr>
          <w:rFonts w:hint="eastAsia"/>
          <w:highlight w:val="none"/>
        </w:rPr>
      </w:pPr>
      <w:r>
        <w:rPr>
          <w:rFonts w:hint="eastAsia"/>
          <w:highlight w:val="none"/>
        </w:rPr>
        <w:t>注2:若管理体系的范围仅覆盖组织的一部分,则最高管理者是指那些指挥并控制组织该部分的人员。</w:t>
      </w:r>
    </w:p>
    <w:p w14:paraId="177906CE">
      <w:pPr>
        <w:pStyle w:val="56"/>
        <w:spacing w:line="360" w:lineRule="exact"/>
        <w:ind w:firstLine="420"/>
      </w:pPr>
      <w:r>
        <w:rPr>
          <w:rFonts w:hint="eastAsia"/>
        </w:rPr>
        <w:t>[来源：</w:t>
      </w:r>
      <w:r>
        <w:rPr>
          <w:rFonts w:hint="eastAsia"/>
          <w:lang w:eastAsia="zh-CN"/>
        </w:rPr>
        <w:t>GB/T 24001,3.1.5</w:t>
      </w:r>
      <w:r>
        <w:rPr>
          <w:rFonts w:hint="eastAsia"/>
          <w:lang w:val="en-US" w:eastAsia="zh-CN"/>
        </w:rPr>
        <w:t>，有修改</w:t>
      </w:r>
      <w:r>
        <w:rPr>
          <w:rFonts w:hint="eastAsia"/>
        </w:rPr>
        <w:t>]</w:t>
      </w:r>
    </w:p>
    <w:p w14:paraId="0D1AAE4F">
      <w:pPr>
        <w:pStyle w:val="105"/>
        <w:spacing w:before="156" w:after="156"/>
        <w:ind w:left="0"/>
        <w:rPr>
          <w:rFonts w:hint="eastAsia"/>
        </w:rPr>
      </w:pPr>
    </w:p>
    <w:p w14:paraId="1D54CF18">
      <w:pPr>
        <w:pStyle w:val="56"/>
        <w:rPr>
          <w:rFonts w:hint="default" w:ascii="黑体" w:hAnsi="黑体" w:eastAsia="黑体"/>
          <w:lang w:val="en-US" w:eastAsia="zh-CN"/>
        </w:rPr>
      </w:pPr>
      <w:r>
        <w:rPr>
          <w:rFonts w:hint="eastAsia" w:ascii="黑体" w:hAnsi="黑体" w:eastAsia="黑体"/>
          <w:lang w:val="en-US" w:eastAsia="zh-CN"/>
        </w:rPr>
        <w:t>碳配额</w:t>
      </w:r>
      <w:r>
        <w:rPr>
          <w:rFonts w:hint="eastAsia" w:ascii="黑体" w:hAnsi="黑体" w:eastAsia="黑体"/>
        </w:rPr>
        <w:t xml:space="preserve">  </w:t>
      </w:r>
      <w:r>
        <w:rPr>
          <w:rFonts w:hint="eastAsia" w:ascii="黑体" w:hAnsi="黑体" w:eastAsia="黑体"/>
          <w:lang w:val="en-US" w:eastAsia="zh-CN"/>
        </w:rPr>
        <w:t>carbon allowance</w:t>
      </w:r>
    </w:p>
    <w:p w14:paraId="120A493D">
      <w:pPr>
        <w:pStyle w:val="56"/>
        <w:ind w:firstLine="420"/>
        <w:rPr>
          <w:rFonts w:hint="eastAsia"/>
          <w:lang w:val="en-US" w:eastAsia="zh-CN"/>
        </w:rPr>
      </w:pPr>
      <w:r>
        <w:rPr>
          <w:rFonts w:hint="eastAsia"/>
          <w:lang w:val="en-US" w:eastAsia="zh-CN"/>
        </w:rPr>
        <w:t>主管部门基于国家控制温室气体排放目标的要求，向被纳入温室气体减排管控范围的重点排放单位分配的规定时期内的碳排放</w:t>
      </w:r>
      <w:r>
        <w:rPr>
          <w:rFonts w:hint="eastAsia"/>
          <w:highlight w:val="none"/>
          <w:lang w:val="en-US" w:eastAsia="zh-CN"/>
        </w:rPr>
        <w:t>额度。</w:t>
      </w:r>
    </w:p>
    <w:p w14:paraId="5D46DA65">
      <w:pPr>
        <w:pStyle w:val="56"/>
        <w:ind w:firstLine="420"/>
        <w:rPr>
          <w:rFonts w:hint="eastAsia" w:ascii="黑体" w:hAnsi="黑体" w:eastAsia="黑体"/>
          <w:lang w:val="en-US" w:eastAsia="zh-CN"/>
        </w:rPr>
      </w:pPr>
      <w:r>
        <w:rPr>
          <w:rFonts w:hint="eastAsia" w:ascii="黑体" w:hAnsi="黑体" w:eastAsia="黑体"/>
          <w:lang w:val="en-US" w:eastAsia="zh-CN"/>
        </w:rPr>
        <w:t>注：1单位碳配额相当于1吨二氧化碳当量的碳排放额度。</w:t>
      </w:r>
    </w:p>
    <w:p w14:paraId="16B3EFB3">
      <w:pPr>
        <w:pStyle w:val="56"/>
        <w:spacing w:line="360" w:lineRule="exact"/>
        <w:ind w:firstLine="420"/>
      </w:pPr>
      <w:r>
        <w:rPr>
          <w:rFonts w:hint="eastAsia"/>
        </w:rPr>
        <w:t>[来源：</w:t>
      </w:r>
      <w:r>
        <w:rPr>
          <w:rFonts w:hint="eastAsia"/>
          <w:lang w:val="en-US" w:eastAsia="zh-CN"/>
        </w:rPr>
        <w:t>JR</w:t>
      </w:r>
      <w:r>
        <w:rPr>
          <w:rFonts w:hint="eastAsia"/>
        </w:rPr>
        <w:t xml:space="preserve">/T </w:t>
      </w:r>
      <w:r>
        <w:rPr>
          <w:rFonts w:hint="eastAsia"/>
          <w:lang w:val="en-US" w:eastAsia="zh-CN"/>
        </w:rPr>
        <w:t>0244</w:t>
      </w:r>
      <w:r>
        <w:rPr>
          <w:rFonts w:hint="eastAsia"/>
        </w:rPr>
        <w:t>-2022,</w:t>
      </w:r>
      <w:r>
        <w:rPr>
          <w:rFonts w:hint="eastAsia"/>
          <w:lang w:val="en-US" w:eastAsia="zh-CN"/>
        </w:rPr>
        <w:t>3.2</w:t>
      </w:r>
      <w:r>
        <w:rPr>
          <w:rFonts w:hint="eastAsia"/>
        </w:rPr>
        <w:t>]</w:t>
      </w:r>
    </w:p>
    <w:p w14:paraId="2FBB1733">
      <w:pPr>
        <w:pStyle w:val="105"/>
        <w:spacing w:before="156" w:after="156"/>
        <w:ind w:left="0"/>
        <w:rPr>
          <w:rFonts w:hint="default" w:ascii="黑体" w:hAnsi="黑体" w:eastAsia="黑体"/>
          <w:lang w:val="en-US" w:eastAsia="zh-CN"/>
        </w:rPr>
      </w:pPr>
    </w:p>
    <w:p w14:paraId="6A3F7D0E">
      <w:pPr>
        <w:pStyle w:val="56"/>
        <w:rPr>
          <w:rFonts w:hint="eastAsia" w:ascii="黑体" w:hAnsi="黑体" w:eastAsia="黑体"/>
          <w:highlight w:val="none"/>
          <w:lang w:val="en-US" w:eastAsia="zh-CN"/>
        </w:rPr>
      </w:pPr>
      <w:r>
        <w:rPr>
          <w:rFonts w:ascii="黑体" w:hAnsi="黑体" w:eastAsia="黑体"/>
          <w:highlight w:val="none"/>
        </w:rPr>
        <w:t>国家</w:t>
      </w:r>
      <w:r>
        <w:rPr>
          <w:rFonts w:hint="eastAsia" w:ascii="黑体" w:hAnsi="黑体" w:eastAsia="黑体"/>
          <w:highlight w:val="none"/>
          <w:lang w:val="en-US" w:eastAsia="zh-CN"/>
        </w:rPr>
        <w:t>核证自愿减排量  China certified emission reduction：CCER</w:t>
      </w:r>
    </w:p>
    <w:p w14:paraId="6186CFE8">
      <w:pPr>
        <w:pStyle w:val="56"/>
        <w:ind w:firstLine="420"/>
        <w:rPr>
          <w:rFonts w:hint="eastAsia"/>
          <w:highlight w:val="none"/>
          <w:lang w:val="en-US" w:eastAsia="zh-CN"/>
        </w:rPr>
      </w:pPr>
      <w:r>
        <w:rPr>
          <w:rFonts w:hint="eastAsia"/>
          <w:highlight w:val="none"/>
          <w:lang w:val="en-US" w:eastAsia="zh-CN"/>
        </w:rPr>
        <w:t>对我国境内可再生能源、林业碳汇、甲烷利用等项目的温室气体减排效果进行量化核证，并在国家温室气体自愿减排交易注册登记系统中登记的温室气体减排量。</w:t>
      </w:r>
    </w:p>
    <w:p w14:paraId="50B87BDB">
      <w:pPr>
        <w:pStyle w:val="104"/>
        <w:spacing w:before="312" w:after="312"/>
      </w:pPr>
      <w:bookmarkStart w:id="50" w:name="_Toc24779"/>
      <w:r>
        <w:rPr>
          <w:rFonts w:hint="eastAsia"/>
        </w:rPr>
        <w:t>总体要求</w:t>
      </w:r>
      <w:bookmarkEnd w:id="50"/>
    </w:p>
    <w:p w14:paraId="50746244">
      <w:pPr>
        <w:pStyle w:val="105"/>
        <w:spacing w:before="156" w:after="156" w:line="360" w:lineRule="exact"/>
        <w:ind w:left="0"/>
        <w:rPr>
          <w:rFonts w:ascii="宋体" w:eastAsia="宋体"/>
          <w:highlight w:val="none"/>
        </w:rPr>
      </w:pPr>
      <w:r>
        <w:rPr>
          <w:rFonts w:hint="eastAsia" w:ascii="宋体" w:eastAsia="宋体"/>
          <w:highlight w:val="none"/>
        </w:rPr>
        <w:t>工业企业应按照</w:t>
      </w:r>
      <w:r>
        <w:rPr>
          <w:rFonts w:hint="eastAsia" w:ascii="宋体" w:eastAsia="宋体"/>
          <w:highlight w:val="none"/>
          <w:lang w:val="en-US" w:eastAsia="zh-CN"/>
        </w:rPr>
        <w:t>国家、行业</w:t>
      </w:r>
      <w:r>
        <w:rPr>
          <w:rFonts w:hint="eastAsia" w:ascii="宋体" w:eastAsia="宋体"/>
          <w:highlight w:val="none"/>
        </w:rPr>
        <w:t>相关标准要求，建立、实施并保持温室气体排放管理体系。</w:t>
      </w:r>
    </w:p>
    <w:p w14:paraId="1BEA9F26">
      <w:pPr>
        <w:pStyle w:val="105"/>
        <w:spacing w:before="156" w:after="156" w:line="360" w:lineRule="exact"/>
        <w:ind w:left="0"/>
        <w:rPr>
          <w:rFonts w:ascii="宋体" w:eastAsia="宋体"/>
          <w:strike w:val="0"/>
          <w:dstrike w:val="0"/>
          <w:highlight w:val="none"/>
        </w:rPr>
      </w:pPr>
      <w:r>
        <w:rPr>
          <w:rFonts w:hint="eastAsia" w:ascii="宋体" w:eastAsia="宋体"/>
          <w:strike w:val="0"/>
          <w:dstrike w:val="0"/>
          <w:highlight w:val="none"/>
        </w:rPr>
        <w:t>工业企业应遵循GB/T 32150及对应行业温室气体排放核算与报告相关标准（含发电、钢铁、化工等重点行业），统一采用规范的温室气体排放核算方法，按要求编制并报送排放报告。</w:t>
      </w:r>
    </w:p>
    <w:p w14:paraId="74C4D9ED">
      <w:pPr>
        <w:pStyle w:val="105"/>
        <w:spacing w:before="156" w:after="156" w:line="360" w:lineRule="exact"/>
        <w:ind w:left="0"/>
        <w:rPr>
          <w:rFonts w:hint="eastAsia" w:ascii="宋体" w:hAnsi="宋体" w:eastAsia="宋体"/>
          <w:highlight w:val="none"/>
        </w:rPr>
      </w:pPr>
      <w:r>
        <w:rPr>
          <w:rFonts w:hint="eastAsia" w:ascii="宋体" w:hAnsi="宋体" w:eastAsia="宋体"/>
          <w:highlight w:val="none"/>
        </w:rPr>
        <w:t>工业企业</w:t>
      </w:r>
      <w:r>
        <w:rPr>
          <w:rFonts w:hint="eastAsia" w:ascii="宋体" w:hAnsi="宋体" w:eastAsia="宋体"/>
          <w:highlight w:val="none"/>
          <w:lang w:val="en-US" w:eastAsia="zh-CN"/>
        </w:rPr>
        <w:t>能源</w:t>
      </w:r>
      <w:r>
        <w:rPr>
          <w:rFonts w:hint="eastAsia" w:ascii="宋体" w:hAnsi="宋体" w:eastAsia="宋体"/>
          <w:highlight w:val="none"/>
        </w:rPr>
        <w:t>计量器具的配备应符合GB 17167的规定</w:t>
      </w:r>
      <w:r>
        <w:rPr>
          <w:rFonts w:hint="eastAsia" w:ascii="宋体" w:hAnsi="宋体" w:eastAsia="宋体"/>
          <w:highlight w:val="none"/>
          <w:lang w:eastAsia="zh-CN"/>
        </w:rPr>
        <w:t>。</w:t>
      </w:r>
    </w:p>
    <w:p w14:paraId="258E9F0D">
      <w:pPr>
        <w:pStyle w:val="105"/>
        <w:spacing w:before="156" w:after="156" w:line="360" w:lineRule="exact"/>
        <w:ind w:left="0"/>
        <w:rPr>
          <w:rFonts w:hint="eastAsia" w:ascii="宋体" w:hAnsi="宋体" w:eastAsia="宋体"/>
          <w:highlight w:val="none"/>
        </w:rPr>
      </w:pPr>
      <w:r>
        <w:rPr>
          <w:rFonts w:hint="eastAsia" w:ascii="宋体" w:hAnsi="宋体" w:eastAsia="宋体"/>
          <w:highlight w:val="none"/>
          <w:lang w:val="en-US" w:eastAsia="zh-CN"/>
        </w:rPr>
        <w:t>工业企业应建立温室气体排放总量和强度的双控目标。</w:t>
      </w:r>
    </w:p>
    <w:p w14:paraId="67697BB7">
      <w:pPr>
        <w:pStyle w:val="104"/>
        <w:spacing w:before="312" w:after="312"/>
        <w:rPr>
          <w:highlight w:val="none"/>
        </w:rPr>
      </w:pPr>
      <w:bookmarkStart w:id="51" w:name="_Toc23384"/>
      <w:r>
        <w:rPr>
          <w:rFonts w:hint="eastAsia"/>
          <w:highlight w:val="none"/>
        </w:rPr>
        <w:t>管理职责</w:t>
      </w:r>
      <w:bookmarkEnd w:id="51"/>
    </w:p>
    <w:p w14:paraId="54BBFE9C">
      <w:pPr>
        <w:pStyle w:val="105"/>
        <w:spacing w:before="156" w:after="156" w:line="360" w:lineRule="exact"/>
        <w:ind w:left="0"/>
        <w:rPr>
          <w:highlight w:val="none"/>
        </w:rPr>
      </w:pPr>
      <w:r>
        <w:rPr>
          <w:rFonts w:hint="eastAsia"/>
          <w:highlight w:val="none"/>
        </w:rPr>
        <w:t>工业企业最高管理者管理职责如下：</w:t>
      </w:r>
    </w:p>
    <w:p w14:paraId="2F32485F">
      <w:pPr>
        <w:pStyle w:val="105"/>
        <w:numPr>
          <w:ilvl w:val="2"/>
          <w:numId w:val="0"/>
        </w:numPr>
        <w:spacing w:before="156" w:after="156" w:line="360" w:lineRule="exact"/>
        <w:ind w:firstLine="420" w:firstLineChars="200"/>
        <w:rPr>
          <w:rFonts w:hint="eastAsia" w:ascii="宋体" w:hAnsi="宋体" w:eastAsia="宋体"/>
          <w:highlight w:val="none"/>
          <w:lang w:val="en-US" w:eastAsia="zh-CN"/>
        </w:rPr>
      </w:pPr>
      <w:r>
        <w:rPr>
          <w:rFonts w:hint="eastAsia" w:ascii="宋体" w:hAnsi="宋体" w:eastAsia="宋体"/>
          <w:highlight w:val="none"/>
        </w:rPr>
        <w:t>——</w:t>
      </w:r>
      <w:r>
        <w:rPr>
          <w:rFonts w:hint="eastAsia" w:ascii="宋体" w:hAnsi="宋体" w:eastAsia="宋体"/>
          <w:highlight w:val="none"/>
          <w:lang w:val="en-US" w:eastAsia="zh-CN"/>
        </w:rPr>
        <w:t>对温室气体排放数据的真实性负责；</w:t>
      </w:r>
    </w:p>
    <w:p w14:paraId="341C46BB">
      <w:pPr>
        <w:pStyle w:val="56"/>
        <w:rPr>
          <w:rFonts w:hint="eastAsia" w:hAnsi="宋体"/>
          <w:highlight w:val="none"/>
          <w:lang w:val="en-US" w:eastAsia="zh-CN"/>
        </w:rPr>
      </w:pPr>
      <w:r>
        <w:rPr>
          <w:rFonts w:hint="eastAsia" w:hAnsi="宋体"/>
          <w:highlight w:val="none"/>
          <w:lang w:val="en-US" w:eastAsia="zh-CN"/>
        </w:rPr>
        <w:t>——确保建立温室气体排放管理体系建设的方针和目标，并确保其与企业的战略方向及所处的环境相一致；</w:t>
      </w:r>
    </w:p>
    <w:p w14:paraId="48A86901">
      <w:pPr>
        <w:pStyle w:val="56"/>
        <w:rPr>
          <w:rFonts w:hint="eastAsia" w:hAnsi="宋体"/>
          <w:highlight w:val="none"/>
          <w:lang w:val="en-US" w:eastAsia="zh-CN"/>
        </w:rPr>
      </w:pPr>
      <w:r>
        <w:rPr>
          <w:rFonts w:hint="eastAsia" w:hAnsi="宋体"/>
          <w:highlight w:val="none"/>
          <w:lang w:val="en-US" w:eastAsia="zh-CN"/>
        </w:rPr>
        <w:t>——确保将温室气体排放管理要求融入组织的业务过程；</w:t>
      </w:r>
    </w:p>
    <w:p w14:paraId="5DFA8162">
      <w:pPr>
        <w:pStyle w:val="56"/>
        <w:rPr>
          <w:rFonts w:hint="eastAsia" w:hAnsi="宋体"/>
          <w:highlight w:val="none"/>
          <w:lang w:val="en-US" w:eastAsia="zh-CN"/>
        </w:rPr>
      </w:pPr>
      <w:r>
        <w:rPr>
          <w:rFonts w:hint="eastAsia" w:hAnsi="宋体"/>
          <w:highlight w:val="none"/>
          <w:lang w:val="en-US" w:eastAsia="zh-CN"/>
        </w:rPr>
        <w:t>——确保可获得温室气体排放管理体系建设所需的资源；</w:t>
      </w:r>
    </w:p>
    <w:p w14:paraId="5D4CC3A0">
      <w:pPr>
        <w:pStyle w:val="56"/>
        <w:rPr>
          <w:rFonts w:hint="eastAsia" w:hAnsi="宋体"/>
          <w:highlight w:val="none"/>
          <w:lang w:val="en-US" w:eastAsia="zh-CN"/>
        </w:rPr>
      </w:pPr>
      <w:r>
        <w:rPr>
          <w:rFonts w:hint="eastAsia" w:hAnsi="宋体"/>
          <w:highlight w:val="none"/>
          <w:lang w:val="en-US" w:eastAsia="zh-CN"/>
        </w:rPr>
        <w:t>——确保企业实现对其“碳中和、碳达峰”的预期结果；</w:t>
      </w:r>
    </w:p>
    <w:p w14:paraId="4FA16F35">
      <w:pPr>
        <w:pStyle w:val="56"/>
        <w:rPr>
          <w:rFonts w:hint="eastAsia" w:hAnsi="宋体"/>
          <w:highlight w:val="none"/>
          <w:lang w:val="en-US" w:eastAsia="zh-CN"/>
        </w:rPr>
      </w:pPr>
      <w:r>
        <w:rPr>
          <w:rFonts w:hint="eastAsia" w:hAnsi="宋体"/>
          <w:highlight w:val="none"/>
          <w:lang w:val="en-US" w:eastAsia="zh-CN"/>
        </w:rPr>
        <w:t>——指导并支持员工对温室气体排放的管理做出贡献；</w:t>
      </w:r>
    </w:p>
    <w:p w14:paraId="2A93313A">
      <w:pPr>
        <w:pStyle w:val="56"/>
        <w:rPr>
          <w:rFonts w:hint="eastAsia" w:hAnsi="宋体"/>
          <w:highlight w:val="none"/>
          <w:lang w:val="en-US" w:eastAsia="zh-CN"/>
        </w:rPr>
      </w:pPr>
      <w:r>
        <w:rPr>
          <w:rFonts w:hint="eastAsia" w:hAnsi="宋体"/>
          <w:highlight w:val="none"/>
          <w:lang w:val="en-US" w:eastAsia="zh-CN"/>
        </w:rPr>
        <w:t>——促进持续改进；</w:t>
      </w:r>
    </w:p>
    <w:p w14:paraId="3C59770C">
      <w:pPr>
        <w:pStyle w:val="56"/>
        <w:rPr>
          <w:rFonts w:hint="default" w:hAnsi="宋体"/>
          <w:highlight w:val="none"/>
          <w:lang w:val="en-US" w:eastAsia="zh-CN"/>
        </w:rPr>
      </w:pPr>
      <w:r>
        <w:rPr>
          <w:rFonts w:hint="eastAsia" w:hAnsi="宋体"/>
          <w:highlight w:val="none"/>
          <w:lang w:val="en-US" w:eastAsia="zh-CN"/>
        </w:rPr>
        <w:t>——支持其他相关管理人员在其职责范围内证实其领导作用。</w:t>
      </w:r>
    </w:p>
    <w:p w14:paraId="33F02807">
      <w:pPr>
        <w:pStyle w:val="105"/>
        <w:spacing w:before="156" w:after="156" w:line="360" w:lineRule="exact"/>
        <w:ind w:left="0"/>
        <w:rPr>
          <w:rFonts w:hint="eastAsia"/>
          <w:lang w:eastAsia="zh-CN"/>
        </w:rPr>
      </w:pPr>
      <w:r>
        <w:rPr>
          <w:rFonts w:hint="eastAsia"/>
          <w:lang w:val="en-US" w:eastAsia="zh-CN"/>
        </w:rPr>
        <w:t>工业企业职能部门</w:t>
      </w:r>
      <w:r>
        <w:rPr>
          <w:rFonts w:hint="eastAsia"/>
        </w:rPr>
        <w:t>管理职责如下：</w:t>
      </w:r>
    </w:p>
    <w:p w14:paraId="5D955947">
      <w:pPr>
        <w:pStyle w:val="56"/>
        <w:rPr>
          <w:rFonts w:hint="eastAsia"/>
          <w:lang w:val="en-US" w:eastAsia="zh-CN"/>
        </w:rPr>
      </w:pPr>
      <w:r>
        <w:rPr>
          <w:rFonts w:hint="eastAsia"/>
          <w:lang w:eastAsia="zh-CN"/>
        </w:rPr>
        <w:t>——</w:t>
      </w:r>
      <w:r>
        <w:rPr>
          <w:rFonts w:hint="eastAsia"/>
          <w:lang w:val="en-US" w:eastAsia="zh-CN"/>
        </w:rPr>
        <w:t>确保企业温室气体排放管理建设符合本标准的要求；</w:t>
      </w:r>
    </w:p>
    <w:p w14:paraId="47DE757A">
      <w:pPr>
        <w:pStyle w:val="56"/>
        <w:rPr>
          <w:rFonts w:hint="eastAsia"/>
          <w:lang w:val="en-US" w:eastAsia="zh-CN"/>
        </w:rPr>
      </w:pPr>
      <w:r>
        <w:rPr>
          <w:rFonts w:hint="eastAsia"/>
          <w:lang w:val="en-US" w:eastAsia="zh-CN"/>
        </w:rPr>
        <w:t>——收集并保存温室气体排放的数据；</w:t>
      </w:r>
    </w:p>
    <w:p w14:paraId="380767D7">
      <w:pPr>
        <w:pStyle w:val="56"/>
        <w:rPr>
          <w:rFonts w:hint="eastAsia"/>
          <w:lang w:val="en-US" w:eastAsia="zh-CN"/>
        </w:rPr>
      </w:pPr>
      <w:r>
        <w:rPr>
          <w:rFonts w:hint="eastAsia"/>
          <w:lang w:val="en-US" w:eastAsia="zh-CN"/>
        </w:rPr>
        <w:t>——向最高管理者报告温室气体排放的绩效；</w:t>
      </w:r>
    </w:p>
    <w:p w14:paraId="06830C95">
      <w:pPr>
        <w:pStyle w:val="56"/>
        <w:rPr>
          <w:rFonts w:hint="eastAsia"/>
          <w:lang w:val="en-US" w:eastAsia="zh-CN"/>
        </w:rPr>
      </w:pPr>
      <w:r>
        <w:rPr>
          <w:rFonts w:hint="eastAsia"/>
          <w:lang w:val="en-US" w:eastAsia="zh-CN"/>
        </w:rPr>
        <w:t>——应设有温室气体排</w:t>
      </w:r>
      <w:r>
        <w:rPr>
          <w:rFonts w:hint="eastAsia"/>
          <w:highlight w:val="none"/>
          <w:lang w:val="en-US" w:eastAsia="zh-CN"/>
        </w:rPr>
        <w:t>放专（兼）职人员</w:t>
      </w:r>
      <w:r>
        <w:rPr>
          <w:rFonts w:hint="eastAsia"/>
          <w:lang w:val="en-US" w:eastAsia="zh-CN"/>
        </w:rPr>
        <w:t>，负责温室气体排放管理的制度建设、实施、考核及奖励工作，建立目标责任制；</w:t>
      </w:r>
    </w:p>
    <w:p w14:paraId="65465460">
      <w:pPr>
        <w:pStyle w:val="56"/>
        <w:rPr>
          <w:rFonts w:hint="eastAsia"/>
          <w:lang w:val="en-US" w:eastAsia="zh-CN"/>
        </w:rPr>
      </w:pPr>
      <w:r>
        <w:rPr>
          <w:rFonts w:hint="eastAsia"/>
          <w:lang w:val="en-US" w:eastAsia="zh-CN"/>
        </w:rPr>
        <w:t>——应有开展</w:t>
      </w:r>
      <w:r>
        <w:rPr>
          <w:rFonts w:hint="eastAsia"/>
          <w:highlight w:val="none"/>
          <w:lang w:val="en-US" w:eastAsia="zh-CN"/>
        </w:rPr>
        <w:t>零碳工厂的</w:t>
      </w:r>
      <w:r>
        <w:rPr>
          <w:rFonts w:hint="eastAsia"/>
          <w:lang w:val="en-US" w:eastAsia="zh-CN"/>
        </w:rPr>
        <w:t>中长期规划及年度目标、指标和实施方案。可行时，指标应明确且可量化；</w:t>
      </w:r>
    </w:p>
    <w:p w14:paraId="4BEBFE34">
      <w:pPr>
        <w:pStyle w:val="56"/>
        <w:rPr>
          <w:rFonts w:hint="default"/>
          <w:lang w:val="en-US" w:eastAsia="zh-CN"/>
        </w:rPr>
      </w:pPr>
      <w:r>
        <w:rPr>
          <w:rFonts w:hint="eastAsia"/>
          <w:lang w:val="en-US" w:eastAsia="zh-CN"/>
        </w:rPr>
        <w:t>——应</w:t>
      </w:r>
      <w:r>
        <w:rPr>
          <w:rFonts w:hint="eastAsia"/>
          <w:highlight w:val="none"/>
          <w:lang w:val="en-US" w:eastAsia="zh-CN"/>
        </w:rPr>
        <w:t>宣讲</w:t>
      </w:r>
      <w:r>
        <w:rPr>
          <w:rFonts w:hint="eastAsia"/>
          <w:lang w:val="en-US" w:eastAsia="zh-CN"/>
        </w:rPr>
        <w:t>温室气体排放管理的概念和知识，定期为员工提供相关知识的教育和培训。</w:t>
      </w:r>
    </w:p>
    <w:p w14:paraId="333883D1">
      <w:pPr>
        <w:pStyle w:val="104"/>
        <w:spacing w:before="312" w:after="312"/>
      </w:pPr>
      <w:bookmarkStart w:id="52" w:name="_Toc17541"/>
      <w:r>
        <w:rPr>
          <w:rFonts w:hint="eastAsia"/>
        </w:rPr>
        <w:t>监测与统计</w:t>
      </w:r>
      <w:bookmarkEnd w:id="52"/>
    </w:p>
    <w:p w14:paraId="1A25BF8C">
      <w:pPr>
        <w:pStyle w:val="105"/>
        <w:spacing w:before="156" w:after="156" w:line="360" w:lineRule="exact"/>
        <w:ind w:left="0"/>
        <w:rPr>
          <w:rFonts w:hint="eastAsia" w:ascii="宋体" w:hAnsi="宋体" w:eastAsia="宋体"/>
        </w:rPr>
      </w:pPr>
      <w:r>
        <w:rPr>
          <w:rFonts w:hint="eastAsia" w:ascii="宋体" w:hAnsi="宋体" w:eastAsia="宋体"/>
        </w:rPr>
        <w:t>排放</w:t>
      </w:r>
      <w:r>
        <w:rPr>
          <w:rFonts w:hint="eastAsia" w:ascii="宋体" w:hAnsi="宋体" w:eastAsia="宋体"/>
          <w:lang w:val="en-US" w:eastAsia="zh-CN"/>
        </w:rPr>
        <w:t>监</w:t>
      </w:r>
      <w:r>
        <w:rPr>
          <w:rFonts w:hint="eastAsia" w:ascii="宋体" w:hAnsi="宋体" w:eastAsia="宋体"/>
        </w:rPr>
        <w:t>测</w:t>
      </w:r>
    </w:p>
    <w:p w14:paraId="35321070">
      <w:pPr>
        <w:pStyle w:val="65"/>
        <w:spacing w:before="156" w:after="156"/>
      </w:pPr>
      <w:r>
        <w:rPr>
          <w:rFonts w:hint="eastAsia"/>
        </w:rPr>
        <w:t>监测管理</w:t>
      </w:r>
    </w:p>
    <w:p w14:paraId="45E797CA">
      <w:pPr>
        <w:pStyle w:val="56"/>
        <w:ind w:firstLine="420"/>
        <w:rPr>
          <w:highlight w:val="none"/>
        </w:rPr>
      </w:pPr>
      <w:r>
        <w:rPr>
          <w:rFonts w:hint="eastAsia"/>
          <w:highlight w:val="none"/>
        </w:rPr>
        <w:t>工业企业在生产经营过程中，监测管理包括</w:t>
      </w:r>
      <w:r>
        <w:rPr>
          <w:rFonts w:hint="eastAsia"/>
          <w:highlight w:val="none"/>
          <w:lang w:val="en-US" w:eastAsia="zh-CN"/>
        </w:rPr>
        <w:t>但不限于</w:t>
      </w:r>
      <w:r>
        <w:rPr>
          <w:rFonts w:hint="eastAsia"/>
          <w:highlight w:val="none"/>
        </w:rPr>
        <w:t>：</w:t>
      </w:r>
    </w:p>
    <w:p w14:paraId="75A6A7B9">
      <w:pPr>
        <w:pStyle w:val="56"/>
        <w:ind w:firstLine="420"/>
        <w:rPr>
          <w:highlight w:val="none"/>
        </w:rPr>
      </w:pPr>
      <w:r>
        <w:rPr>
          <w:rFonts w:hint="eastAsia"/>
          <w:highlight w:val="none"/>
        </w:rPr>
        <w:t>——建立、实施</w:t>
      </w:r>
      <w:r>
        <w:rPr>
          <w:rFonts w:hint="eastAsia"/>
          <w:highlight w:val="none"/>
          <w:lang w:val="en-US" w:eastAsia="zh-CN"/>
        </w:rPr>
        <w:t>并</w:t>
      </w:r>
      <w:r>
        <w:rPr>
          <w:rFonts w:hint="eastAsia"/>
          <w:highlight w:val="none"/>
        </w:rPr>
        <w:t>保持监测计划；</w:t>
      </w:r>
    </w:p>
    <w:p w14:paraId="34D932D7">
      <w:pPr>
        <w:pStyle w:val="56"/>
        <w:ind w:firstLine="420"/>
        <w:rPr>
          <w:highlight w:val="none"/>
        </w:rPr>
      </w:pPr>
      <w:r>
        <w:rPr>
          <w:rFonts w:hint="eastAsia"/>
          <w:highlight w:val="none"/>
        </w:rPr>
        <w:t>——配备必要的计量</w:t>
      </w:r>
      <w:r>
        <w:rPr>
          <w:rFonts w:hint="eastAsia"/>
          <w:highlight w:val="none"/>
          <w:lang w:val="en-US" w:eastAsia="zh-CN"/>
        </w:rPr>
        <w:t>监测</w:t>
      </w:r>
      <w:r>
        <w:rPr>
          <w:rFonts w:hint="eastAsia"/>
          <w:highlight w:val="none"/>
        </w:rPr>
        <w:t>器具、设备、人员、设施和环境条件；</w:t>
      </w:r>
    </w:p>
    <w:p w14:paraId="6DE265C9">
      <w:pPr>
        <w:pStyle w:val="56"/>
        <w:ind w:firstLine="420"/>
        <w:rPr>
          <w:highlight w:val="none"/>
        </w:rPr>
      </w:pPr>
      <w:r>
        <w:rPr>
          <w:rFonts w:hint="eastAsia"/>
          <w:highlight w:val="none"/>
        </w:rPr>
        <w:t>——按照相关规定的要求、方法和程序，开展取样、制样、检测、记录和报告等检测活动</w:t>
      </w:r>
      <w:r>
        <w:rPr>
          <w:rFonts w:hint="eastAsia"/>
          <w:highlight w:val="none"/>
          <w:lang w:eastAsia="zh-CN"/>
        </w:rPr>
        <w:t>，</w:t>
      </w:r>
      <w:r>
        <w:rPr>
          <w:rFonts w:hint="eastAsia"/>
          <w:highlight w:val="none"/>
          <w:lang w:val="en-US" w:eastAsia="zh-CN"/>
        </w:rPr>
        <w:t>检测结果进行数据比对</w:t>
      </w:r>
      <w:r>
        <w:rPr>
          <w:rFonts w:hint="eastAsia"/>
          <w:highlight w:val="none"/>
        </w:rPr>
        <w:t>；</w:t>
      </w:r>
    </w:p>
    <w:p w14:paraId="633BAA8C">
      <w:pPr>
        <w:pStyle w:val="56"/>
        <w:ind w:firstLine="420"/>
        <w:rPr>
          <w:highlight w:val="none"/>
        </w:rPr>
      </w:pPr>
      <w:r>
        <w:rPr>
          <w:rFonts w:hint="eastAsia"/>
          <w:highlight w:val="none"/>
        </w:rPr>
        <w:t>——企业</w:t>
      </w:r>
      <w:r>
        <w:rPr>
          <w:rFonts w:hint="eastAsia"/>
          <w:highlight w:val="none"/>
          <w:lang w:val="en-US" w:eastAsia="zh-CN"/>
        </w:rPr>
        <w:t>宜建成运行能碳</w:t>
      </w:r>
      <w:r>
        <w:rPr>
          <w:rFonts w:hint="eastAsia"/>
          <w:highlight w:val="none"/>
        </w:rPr>
        <w:t>管理</w:t>
      </w:r>
      <w:r>
        <w:rPr>
          <w:rFonts w:hint="eastAsia"/>
          <w:highlight w:val="none"/>
          <w:lang w:val="en-US" w:eastAsia="zh-CN"/>
        </w:rPr>
        <w:t>系统</w:t>
      </w:r>
      <w:r>
        <w:rPr>
          <w:rFonts w:hint="eastAsia"/>
          <w:highlight w:val="none"/>
        </w:rPr>
        <w:t>平台，</w:t>
      </w:r>
      <w:r>
        <w:rPr>
          <w:rFonts w:hint="eastAsia"/>
          <w:highlight w:val="none"/>
          <w:lang w:val="en-US" w:eastAsia="zh-CN"/>
        </w:rPr>
        <w:t>具有</w:t>
      </w:r>
      <w:r>
        <w:rPr>
          <w:rFonts w:hint="eastAsia"/>
          <w:highlight w:val="none"/>
        </w:rPr>
        <w:t>实时采集、超限报警</w:t>
      </w:r>
      <w:r>
        <w:rPr>
          <w:rFonts w:hint="eastAsia"/>
          <w:highlight w:val="none"/>
          <w:lang w:eastAsia="zh-CN"/>
        </w:rPr>
        <w:t>、</w:t>
      </w:r>
      <w:r>
        <w:rPr>
          <w:rFonts w:hint="eastAsia"/>
          <w:highlight w:val="none"/>
        </w:rPr>
        <w:t>智能管控等</w:t>
      </w:r>
      <w:r>
        <w:rPr>
          <w:rFonts w:hint="eastAsia"/>
          <w:highlight w:val="none"/>
          <w:lang w:val="en-US" w:eastAsia="zh-CN"/>
        </w:rPr>
        <w:t>功能</w:t>
      </w:r>
      <w:r>
        <w:rPr>
          <w:rFonts w:hint="eastAsia"/>
          <w:highlight w:val="none"/>
        </w:rPr>
        <w:t>；</w:t>
      </w:r>
    </w:p>
    <w:p w14:paraId="06F6E27C">
      <w:pPr>
        <w:pStyle w:val="56"/>
        <w:ind w:firstLine="420"/>
        <w:rPr>
          <w:rFonts w:hint="eastAsia"/>
          <w:highlight w:val="none"/>
          <w:lang w:eastAsia="zh-CN"/>
        </w:rPr>
      </w:pPr>
      <w:r>
        <w:rPr>
          <w:rFonts w:hint="eastAsia"/>
          <w:highlight w:val="none"/>
        </w:rPr>
        <w:t>——</w:t>
      </w:r>
      <w:r>
        <w:rPr>
          <w:rFonts w:hint="eastAsia"/>
          <w:highlight w:val="none"/>
          <w:lang w:val="en-US" w:eastAsia="zh-CN"/>
        </w:rPr>
        <w:t>计量</w:t>
      </w:r>
      <w:r>
        <w:rPr>
          <w:rFonts w:hint="eastAsia"/>
          <w:highlight w:val="none"/>
        </w:rPr>
        <w:t>监测</w:t>
      </w:r>
      <w:r>
        <w:rPr>
          <w:rFonts w:hint="eastAsia"/>
          <w:highlight w:val="none"/>
          <w:lang w:val="en-US" w:eastAsia="zh-CN"/>
        </w:rPr>
        <w:t>器具</w:t>
      </w:r>
      <w:r>
        <w:rPr>
          <w:rFonts w:hint="eastAsia"/>
          <w:highlight w:val="none"/>
        </w:rPr>
        <w:t>应定期校准、维护和检定</w:t>
      </w:r>
      <w:r>
        <w:rPr>
          <w:rFonts w:hint="eastAsia"/>
          <w:highlight w:val="none"/>
          <w:lang w:eastAsia="zh-CN"/>
        </w:rPr>
        <w:t>；</w:t>
      </w:r>
    </w:p>
    <w:p w14:paraId="00AEB352">
      <w:pPr>
        <w:pStyle w:val="56"/>
        <w:ind w:firstLine="420"/>
        <w:rPr>
          <w:rFonts w:hint="default"/>
          <w:highlight w:val="none"/>
          <w:lang w:val="en-US" w:eastAsia="zh-CN"/>
        </w:rPr>
      </w:pPr>
      <w:r>
        <w:rPr>
          <w:rFonts w:hint="eastAsia"/>
          <w:highlight w:val="none"/>
          <w:lang w:val="en-US" w:eastAsia="zh-CN"/>
        </w:rPr>
        <w:t>——定期将储存的数据备份。</w:t>
      </w:r>
    </w:p>
    <w:p w14:paraId="570E7F34">
      <w:pPr>
        <w:pStyle w:val="65"/>
        <w:spacing w:before="156" w:after="156"/>
      </w:pPr>
      <w:r>
        <w:rPr>
          <w:rFonts w:hint="eastAsia"/>
        </w:rPr>
        <w:t>监测计划</w:t>
      </w:r>
    </w:p>
    <w:p w14:paraId="61E9665D">
      <w:pPr>
        <w:pStyle w:val="56"/>
        <w:ind w:firstLine="420"/>
        <w:rPr>
          <w:highlight w:val="none"/>
        </w:rPr>
      </w:pPr>
      <w:r>
        <w:rPr>
          <w:rFonts w:hint="eastAsia"/>
          <w:highlight w:val="none"/>
        </w:rPr>
        <w:t>工业企业应根据企业组织结构、生产工艺及监测设备制定温室气体排放监测计划，计划</w:t>
      </w:r>
      <w:r>
        <w:rPr>
          <w:rFonts w:hint="eastAsia"/>
          <w:strike w:val="0"/>
          <w:dstrike w:val="0"/>
          <w:highlight w:val="none"/>
          <w:lang w:val="en-US" w:eastAsia="zh-CN"/>
        </w:rPr>
        <w:t>内容</w:t>
      </w:r>
      <w:r>
        <w:rPr>
          <w:rFonts w:hint="eastAsia"/>
          <w:strike w:val="0"/>
          <w:dstrike w:val="0"/>
          <w:highlight w:val="none"/>
        </w:rPr>
        <w:t>包括</w:t>
      </w:r>
      <w:r>
        <w:rPr>
          <w:rFonts w:hint="eastAsia"/>
          <w:strike w:val="0"/>
          <w:dstrike w:val="0"/>
          <w:highlight w:val="none"/>
          <w:lang w:val="en-US" w:eastAsia="zh-CN"/>
        </w:rPr>
        <w:t>但不限于</w:t>
      </w:r>
      <w:r>
        <w:rPr>
          <w:rFonts w:hint="eastAsia"/>
          <w:highlight w:val="none"/>
        </w:rPr>
        <w:t>：</w:t>
      </w:r>
    </w:p>
    <w:p w14:paraId="5129DC09">
      <w:pPr>
        <w:pStyle w:val="56"/>
        <w:ind w:firstLine="420"/>
        <w:rPr>
          <w:highlight w:val="none"/>
        </w:rPr>
      </w:pPr>
      <w:r>
        <w:rPr>
          <w:rFonts w:hint="eastAsia"/>
          <w:highlight w:val="none"/>
        </w:rPr>
        <w:t>——监测主体的描述；</w:t>
      </w:r>
    </w:p>
    <w:p w14:paraId="7DC9D404">
      <w:pPr>
        <w:pStyle w:val="56"/>
        <w:ind w:firstLine="420"/>
        <w:rPr>
          <w:rFonts w:hint="eastAsia"/>
          <w:highlight w:val="none"/>
        </w:rPr>
      </w:pPr>
      <w:r>
        <w:rPr>
          <w:rFonts w:hint="eastAsia"/>
          <w:highlight w:val="none"/>
        </w:rPr>
        <w:t>——监测的边界和排放设施的情况；</w:t>
      </w:r>
    </w:p>
    <w:p w14:paraId="31315A64">
      <w:pPr>
        <w:pStyle w:val="56"/>
        <w:ind w:firstLine="420"/>
        <w:rPr>
          <w:rFonts w:hint="default" w:eastAsia="宋体"/>
          <w:highlight w:val="none"/>
          <w:lang w:val="en-US" w:eastAsia="zh-CN"/>
        </w:rPr>
      </w:pPr>
      <w:r>
        <w:rPr>
          <w:rFonts w:hint="eastAsia"/>
          <w:highlight w:val="none"/>
          <w:lang w:val="en-US" w:eastAsia="zh-CN"/>
        </w:rPr>
        <w:t>——被监测设备的数据设定限值；</w:t>
      </w:r>
    </w:p>
    <w:p w14:paraId="2FD40955">
      <w:pPr>
        <w:pStyle w:val="56"/>
        <w:ind w:firstLine="420"/>
        <w:rPr>
          <w:highlight w:val="none"/>
        </w:rPr>
      </w:pPr>
      <w:r>
        <w:rPr>
          <w:rFonts w:hint="eastAsia"/>
          <w:highlight w:val="none"/>
        </w:rPr>
        <w:t>——监测设备，包括：名称、型号、监测频次、设备精度和安装位置；</w:t>
      </w:r>
    </w:p>
    <w:p w14:paraId="31918605">
      <w:pPr>
        <w:pStyle w:val="56"/>
        <w:ind w:firstLine="420"/>
        <w:rPr>
          <w:highlight w:val="none"/>
        </w:rPr>
      </w:pPr>
      <w:r>
        <w:rPr>
          <w:rFonts w:hint="eastAsia"/>
          <w:highlight w:val="none"/>
        </w:rPr>
        <w:t>——数据采集和管理的部门；</w:t>
      </w:r>
    </w:p>
    <w:p w14:paraId="2B0D53AD">
      <w:pPr>
        <w:pStyle w:val="56"/>
        <w:ind w:firstLine="420"/>
        <w:rPr>
          <w:rFonts w:hint="eastAsia"/>
          <w:highlight w:val="none"/>
        </w:rPr>
      </w:pPr>
      <w:r>
        <w:rPr>
          <w:rFonts w:hint="eastAsia"/>
          <w:highlight w:val="none"/>
        </w:rPr>
        <w:t>——数据缺失时的处理方式。</w:t>
      </w:r>
    </w:p>
    <w:p w14:paraId="5CAD6377">
      <w:pPr>
        <w:pStyle w:val="105"/>
        <w:spacing w:before="156" w:after="156" w:line="360" w:lineRule="exact"/>
        <w:ind w:left="0"/>
        <w:rPr>
          <w:rFonts w:ascii="宋体" w:hAnsi="宋体" w:eastAsia="宋体"/>
        </w:rPr>
      </w:pPr>
      <w:r>
        <w:rPr>
          <w:rFonts w:hint="eastAsia" w:ascii="宋体" w:hAnsi="宋体" w:eastAsia="宋体"/>
        </w:rPr>
        <w:t>统计分析</w:t>
      </w:r>
    </w:p>
    <w:p w14:paraId="73DDAA1A">
      <w:pPr>
        <w:pStyle w:val="56"/>
        <w:ind w:firstLine="420"/>
        <w:rPr>
          <w:highlight w:val="none"/>
        </w:rPr>
      </w:pPr>
      <w:r>
        <w:rPr>
          <w:rFonts w:hint="eastAsia"/>
          <w:highlight w:val="none"/>
        </w:rPr>
        <w:t>工业企业</w:t>
      </w:r>
      <w:r>
        <w:rPr>
          <w:rFonts w:hint="eastAsia"/>
          <w:highlight w:val="none"/>
          <w:lang w:val="en-US" w:eastAsia="zh-CN"/>
        </w:rPr>
        <w:t>应</w:t>
      </w:r>
      <w:r>
        <w:rPr>
          <w:rFonts w:hint="eastAsia"/>
          <w:highlight w:val="none"/>
        </w:rPr>
        <w:t>定期对温室气体排放</w:t>
      </w:r>
      <w:r>
        <w:rPr>
          <w:rFonts w:hint="eastAsia"/>
          <w:highlight w:val="none"/>
          <w:lang w:val="en-US" w:eastAsia="zh-CN"/>
        </w:rPr>
        <w:t>监</w:t>
      </w:r>
      <w:r>
        <w:rPr>
          <w:rFonts w:hint="eastAsia"/>
          <w:highlight w:val="none"/>
        </w:rPr>
        <w:t>测数据进行统计分析，内容包括</w:t>
      </w:r>
      <w:r>
        <w:rPr>
          <w:rFonts w:hint="eastAsia"/>
          <w:highlight w:val="none"/>
          <w:lang w:val="en-US" w:eastAsia="zh-CN"/>
        </w:rPr>
        <w:t>但不限于</w:t>
      </w:r>
      <w:r>
        <w:rPr>
          <w:rFonts w:hint="eastAsia"/>
          <w:highlight w:val="none"/>
        </w:rPr>
        <w:t>：</w:t>
      </w:r>
    </w:p>
    <w:p w14:paraId="37C1750F">
      <w:pPr>
        <w:pStyle w:val="56"/>
        <w:ind w:firstLine="420"/>
        <w:rPr>
          <w:rFonts w:hint="eastAsia" w:eastAsia="宋体"/>
          <w:highlight w:val="none"/>
          <w:lang w:eastAsia="zh-CN"/>
        </w:rPr>
      </w:pPr>
      <w:r>
        <w:rPr>
          <w:rFonts w:hint="eastAsia"/>
          <w:highlight w:val="none"/>
        </w:rPr>
        <w:t>——活动水平数据</w:t>
      </w:r>
      <w:r>
        <w:rPr>
          <w:rFonts w:hint="eastAsia"/>
          <w:highlight w:val="none"/>
          <w:lang w:eastAsia="zh-CN"/>
        </w:rPr>
        <w:t>；</w:t>
      </w:r>
    </w:p>
    <w:p w14:paraId="73FCD20A">
      <w:pPr>
        <w:pStyle w:val="56"/>
        <w:ind w:firstLine="420"/>
        <w:rPr>
          <w:highlight w:val="none"/>
        </w:rPr>
      </w:pPr>
      <w:r>
        <w:rPr>
          <w:rFonts w:hint="eastAsia"/>
          <w:highlight w:val="none"/>
        </w:rPr>
        <w:t>——排放因子；</w:t>
      </w:r>
    </w:p>
    <w:p w14:paraId="58C1632E">
      <w:pPr>
        <w:pStyle w:val="56"/>
        <w:ind w:firstLine="420"/>
        <w:rPr>
          <w:highlight w:val="none"/>
        </w:rPr>
      </w:pPr>
      <w:r>
        <w:rPr>
          <w:rFonts w:hint="eastAsia"/>
          <w:highlight w:val="none"/>
        </w:rPr>
        <w:t>——相关生产数据；</w:t>
      </w:r>
    </w:p>
    <w:p w14:paraId="0F1D3C7A">
      <w:pPr>
        <w:pStyle w:val="56"/>
        <w:ind w:firstLine="420"/>
        <w:rPr>
          <w:highlight w:val="none"/>
        </w:rPr>
      </w:pPr>
      <w:r>
        <w:rPr>
          <w:rFonts w:hint="eastAsia"/>
          <w:highlight w:val="none"/>
        </w:rPr>
        <w:t>——温室气体排放绩效参数；</w:t>
      </w:r>
    </w:p>
    <w:p w14:paraId="50F04665">
      <w:pPr>
        <w:pStyle w:val="56"/>
        <w:ind w:firstLine="420"/>
        <w:rPr>
          <w:rFonts w:hint="eastAsia"/>
          <w:highlight w:val="none"/>
          <w:lang w:eastAsia="zh-CN"/>
        </w:rPr>
      </w:pPr>
      <w:r>
        <w:rPr>
          <w:rFonts w:hint="eastAsia"/>
          <w:highlight w:val="none"/>
        </w:rPr>
        <w:t>——温室气体排放</w:t>
      </w:r>
      <w:r>
        <w:rPr>
          <w:rFonts w:hint="eastAsia"/>
          <w:highlight w:val="none"/>
          <w:lang w:val="en-US" w:eastAsia="zh-CN"/>
        </w:rPr>
        <w:t>与双控目标</w:t>
      </w:r>
      <w:r>
        <w:rPr>
          <w:rFonts w:hint="eastAsia"/>
          <w:highlight w:val="none"/>
        </w:rPr>
        <w:t>的对比分析</w:t>
      </w:r>
      <w:r>
        <w:rPr>
          <w:rFonts w:hint="eastAsia"/>
          <w:highlight w:val="none"/>
          <w:lang w:eastAsia="zh-CN"/>
        </w:rPr>
        <w:t>；</w:t>
      </w:r>
    </w:p>
    <w:p w14:paraId="3B6F5DC3">
      <w:pPr>
        <w:pStyle w:val="56"/>
        <w:ind w:firstLine="420"/>
        <w:rPr>
          <w:rFonts w:hint="default"/>
          <w:highlight w:val="none"/>
          <w:lang w:val="en-US" w:eastAsia="zh-CN"/>
        </w:rPr>
      </w:pPr>
      <w:r>
        <w:rPr>
          <w:rFonts w:hint="eastAsia"/>
          <w:highlight w:val="none"/>
          <w:lang w:eastAsia="zh-CN"/>
        </w:rPr>
        <w:t>——</w:t>
      </w:r>
      <w:r>
        <w:rPr>
          <w:rFonts w:hint="eastAsia"/>
          <w:highlight w:val="none"/>
          <w:lang w:val="en-US" w:eastAsia="zh-CN"/>
        </w:rPr>
        <w:t>对</w:t>
      </w:r>
      <w:r>
        <w:rPr>
          <w:rFonts w:hint="eastAsia"/>
          <w:strike w:val="0"/>
          <w:dstrike w:val="0"/>
          <w:highlight w:val="none"/>
          <w:lang w:val="en-US" w:eastAsia="zh-CN"/>
        </w:rPr>
        <w:t>主要</w:t>
      </w:r>
      <w:r>
        <w:rPr>
          <w:rFonts w:hint="eastAsia"/>
          <w:highlight w:val="none"/>
          <w:lang w:val="en-US" w:eastAsia="zh-CN"/>
        </w:rPr>
        <w:t>生产系统、辅助生产系统、附属生产系统等能源消耗进行分析。</w:t>
      </w:r>
    </w:p>
    <w:p w14:paraId="02CDB0B7">
      <w:pPr>
        <w:pStyle w:val="105"/>
        <w:spacing w:before="156" w:after="156" w:line="360" w:lineRule="exact"/>
        <w:ind w:left="0"/>
        <w:rPr>
          <w:rFonts w:ascii="宋体" w:hAnsi="宋体" w:eastAsia="宋体"/>
        </w:rPr>
      </w:pPr>
      <w:r>
        <w:rPr>
          <w:rFonts w:hint="eastAsia" w:ascii="宋体" w:hAnsi="宋体" w:eastAsia="宋体"/>
        </w:rPr>
        <w:t>记录存档</w:t>
      </w:r>
    </w:p>
    <w:p w14:paraId="6ACDE94D">
      <w:pPr>
        <w:pStyle w:val="56"/>
        <w:ind w:firstLine="420"/>
        <w:rPr>
          <w:rFonts w:hint="eastAsia"/>
        </w:rPr>
      </w:pPr>
      <w:r>
        <w:rPr>
          <w:rFonts w:hint="eastAsia"/>
        </w:rPr>
        <w:t>工业企业应对温室气体排放监测过程记录的监测数据、数据来源、数据获取时间、责任人、监测设备的维护记录等进行存档。确保所有数据的可追溯性。存档要求应符合主管部门和企业内部的文件存档管理规定。</w:t>
      </w:r>
    </w:p>
    <w:p w14:paraId="53F41016">
      <w:pPr>
        <w:pStyle w:val="104"/>
        <w:spacing w:before="312" w:after="312"/>
      </w:pPr>
      <w:bookmarkStart w:id="53" w:name="_Toc26099"/>
      <w:r>
        <w:rPr>
          <w:rFonts w:hint="eastAsia"/>
        </w:rPr>
        <w:t>核算与报告</w:t>
      </w:r>
      <w:bookmarkEnd w:id="53"/>
    </w:p>
    <w:p w14:paraId="551A04D1">
      <w:pPr>
        <w:pStyle w:val="223"/>
        <w:ind w:left="0"/>
        <w:rPr>
          <w:rFonts w:hint="eastAsia" w:ascii="黑体" w:hAnsi="黑体" w:eastAsia="黑体"/>
          <w:strike w:val="0"/>
        </w:rPr>
      </w:pPr>
      <w:r>
        <w:rPr>
          <w:rFonts w:hint="eastAsia" w:ascii="黑体" w:hAnsi="黑体" w:eastAsia="黑体"/>
          <w:strike w:val="0"/>
          <w:dstrike w:val="0"/>
          <w:lang w:val="en-US" w:eastAsia="zh-CN"/>
        </w:rPr>
        <w:t>核算依据</w:t>
      </w:r>
    </w:p>
    <w:p w14:paraId="17607389">
      <w:pPr>
        <w:pStyle w:val="56"/>
        <w:spacing w:line="360" w:lineRule="exact"/>
        <w:ind w:firstLine="420"/>
        <w:rPr>
          <w:rFonts w:hint="eastAsia"/>
          <w:highlight w:val="none"/>
        </w:rPr>
      </w:pPr>
      <w:r>
        <w:rPr>
          <w:rFonts w:hint="eastAsia"/>
          <w:highlight w:val="none"/>
        </w:rPr>
        <w:t>核算</w:t>
      </w:r>
      <w:r>
        <w:rPr>
          <w:rFonts w:hint="eastAsia"/>
          <w:highlight w:val="none"/>
          <w:lang w:val="en-US" w:eastAsia="zh-CN"/>
        </w:rPr>
        <w:t>依据</w:t>
      </w:r>
      <w:r>
        <w:rPr>
          <w:rFonts w:hint="eastAsia"/>
          <w:highlight w:val="none"/>
        </w:rPr>
        <w:t>宜参考以下文件:</w:t>
      </w:r>
    </w:p>
    <w:p w14:paraId="047E3F4D">
      <w:pPr>
        <w:pStyle w:val="56"/>
        <w:spacing w:line="360" w:lineRule="exact"/>
        <w:ind w:firstLine="420"/>
        <w:rPr>
          <w:rFonts w:hint="eastAsia" w:eastAsia="宋体"/>
          <w:highlight w:val="none"/>
          <w:lang w:eastAsia="zh-CN"/>
        </w:rPr>
      </w:pPr>
      <w:r>
        <w:rPr>
          <w:rFonts w:hint="eastAsia"/>
          <w:highlight w:val="none"/>
        </w:rPr>
        <w:t>——行业企业温室气体排放核算与报告要求的相关标准</w:t>
      </w:r>
      <w:r>
        <w:rPr>
          <w:rFonts w:hint="eastAsia"/>
          <w:highlight w:val="none"/>
          <w:lang w:eastAsia="zh-CN"/>
        </w:rPr>
        <w:t>；</w:t>
      </w:r>
    </w:p>
    <w:p w14:paraId="78708407">
      <w:pPr>
        <w:pStyle w:val="56"/>
        <w:spacing w:line="360" w:lineRule="exact"/>
        <w:ind w:firstLine="420"/>
        <w:rPr>
          <w:rFonts w:hint="eastAsia" w:eastAsia="宋体"/>
          <w:highlight w:val="none"/>
          <w:lang w:eastAsia="zh-CN"/>
        </w:rPr>
      </w:pPr>
      <w:r>
        <w:rPr>
          <w:rFonts w:hint="eastAsia"/>
          <w:highlight w:val="none"/>
        </w:rPr>
        <w:t>——国家发布的行业企业温室气体排放核算方法与报告指南</w:t>
      </w:r>
      <w:r>
        <w:rPr>
          <w:rFonts w:hint="eastAsia"/>
          <w:highlight w:val="none"/>
          <w:lang w:eastAsia="zh-CN"/>
        </w:rPr>
        <w:t>；</w:t>
      </w:r>
    </w:p>
    <w:p w14:paraId="3074F7AA">
      <w:pPr>
        <w:pStyle w:val="56"/>
        <w:ind w:firstLine="420"/>
        <w:rPr>
          <w:rFonts w:hint="eastAsia"/>
          <w:highlight w:val="none"/>
        </w:rPr>
      </w:pPr>
      <w:r>
        <w:rPr>
          <w:rFonts w:hint="eastAsia"/>
          <w:highlight w:val="none"/>
        </w:rPr>
        <w:t>——工业企业温室气体排放核算和报告通用标准。</w:t>
      </w:r>
    </w:p>
    <w:p w14:paraId="581B1050">
      <w:pPr>
        <w:pStyle w:val="162"/>
        <w:ind w:left="0"/>
        <w:rPr>
          <w:rFonts w:hint="eastAsia" w:ascii="黑体" w:hAnsi="黑体" w:eastAsia="黑体"/>
          <w:strike/>
          <w:dstrike w:val="0"/>
          <w:highlight w:val="none"/>
        </w:rPr>
      </w:pPr>
      <w:r>
        <w:rPr>
          <w:rFonts w:hint="eastAsia" w:ascii="黑体" w:hAnsi="黑体" w:eastAsia="黑体"/>
          <w:strike w:val="0"/>
          <w:dstrike w:val="0"/>
          <w:highlight w:val="none"/>
          <w:lang w:val="en-US" w:eastAsia="zh-CN"/>
        </w:rPr>
        <w:t>质量控制</w:t>
      </w:r>
    </w:p>
    <w:p w14:paraId="4AAF221A">
      <w:pPr>
        <w:pStyle w:val="165"/>
        <w:numPr>
          <w:ilvl w:val="0"/>
          <w:numId w:val="0"/>
        </w:numPr>
        <w:spacing w:line="360" w:lineRule="exact"/>
        <w:ind w:firstLine="420" w:firstLineChars="200"/>
        <w:rPr>
          <w:rFonts w:hint="eastAsia"/>
          <w:highlight w:val="none"/>
          <w:lang w:val="en-US" w:eastAsia="zh-CN"/>
        </w:rPr>
      </w:pPr>
      <w:r>
        <w:rPr>
          <w:rFonts w:hint="eastAsia"/>
          <w:highlight w:val="none"/>
          <w:lang w:val="en-US" w:eastAsia="zh-CN"/>
        </w:rPr>
        <w:t>工业企业应加强对温室气体</w:t>
      </w:r>
      <w:r>
        <w:rPr>
          <w:rFonts w:hint="eastAsia"/>
          <w:strike/>
          <w:dstrike w:val="0"/>
          <w:highlight w:val="none"/>
          <w:lang w:val="en-US" w:eastAsia="zh-CN"/>
        </w:rPr>
        <w:t>数据</w:t>
      </w:r>
      <w:r>
        <w:rPr>
          <w:rFonts w:hint="eastAsia"/>
          <w:strike w:val="0"/>
          <w:dstrike w:val="0"/>
          <w:highlight w:val="none"/>
          <w:lang w:val="en-US" w:eastAsia="zh-CN"/>
        </w:rPr>
        <w:t>报告的</w:t>
      </w:r>
      <w:r>
        <w:rPr>
          <w:rFonts w:hint="eastAsia"/>
          <w:highlight w:val="none"/>
          <w:lang w:val="en-US" w:eastAsia="zh-CN"/>
        </w:rPr>
        <w:t>质量控制，包括但不限于：</w:t>
      </w:r>
    </w:p>
    <w:p w14:paraId="0DCDCF30">
      <w:pPr>
        <w:pStyle w:val="165"/>
        <w:numPr>
          <w:ilvl w:val="0"/>
          <w:numId w:val="0"/>
        </w:numPr>
        <w:spacing w:line="360" w:lineRule="exact"/>
        <w:ind w:firstLine="420" w:firstLineChars="200"/>
        <w:rPr>
          <w:rFonts w:hint="eastAsia"/>
          <w:highlight w:val="none"/>
          <w:lang w:val="en-US" w:eastAsia="zh-CN"/>
        </w:rPr>
      </w:pPr>
      <w:r>
        <w:rPr>
          <w:rFonts w:hint="eastAsia"/>
          <w:highlight w:val="none"/>
          <w:lang w:val="en-US" w:eastAsia="zh-CN"/>
        </w:rPr>
        <w:t>——建立工业企业温室气体排放核算和报告的规章制度；</w:t>
      </w:r>
    </w:p>
    <w:p w14:paraId="64856237">
      <w:pPr>
        <w:pStyle w:val="165"/>
        <w:numPr>
          <w:ilvl w:val="0"/>
          <w:numId w:val="0"/>
        </w:numPr>
        <w:spacing w:line="360" w:lineRule="exact"/>
        <w:ind w:firstLine="420" w:firstLineChars="200"/>
        <w:rPr>
          <w:rFonts w:hint="default"/>
          <w:highlight w:val="none"/>
          <w:lang w:val="en-US" w:eastAsia="zh-CN"/>
        </w:rPr>
      </w:pPr>
      <w:r>
        <w:rPr>
          <w:rFonts w:hint="eastAsia"/>
          <w:highlight w:val="none"/>
          <w:lang w:val="en-US" w:eastAsia="zh-CN"/>
        </w:rPr>
        <w:t>——配备专（兼）</w:t>
      </w:r>
      <w:r>
        <w:rPr>
          <w:rFonts w:hint="eastAsia"/>
          <w:strike w:val="0"/>
          <w:dstrike w:val="0"/>
          <w:highlight w:val="none"/>
          <w:lang w:val="en-US" w:eastAsia="zh-CN"/>
        </w:rPr>
        <w:t>职管理</w:t>
      </w:r>
      <w:r>
        <w:rPr>
          <w:rFonts w:hint="eastAsia"/>
          <w:highlight w:val="none"/>
          <w:lang w:val="en-US" w:eastAsia="zh-CN"/>
        </w:rPr>
        <w:t>人员负责企业温室气体排放核算和报告工作；</w:t>
      </w:r>
    </w:p>
    <w:p w14:paraId="482D2C4B">
      <w:pPr>
        <w:pStyle w:val="165"/>
        <w:numPr>
          <w:ilvl w:val="0"/>
          <w:numId w:val="0"/>
        </w:numPr>
        <w:spacing w:line="360" w:lineRule="exact"/>
        <w:ind w:firstLine="420" w:firstLineChars="200"/>
        <w:rPr>
          <w:rFonts w:hint="eastAsia"/>
          <w:highlight w:val="none"/>
          <w:lang w:val="en-US" w:eastAsia="zh-CN"/>
        </w:rPr>
      </w:pPr>
      <w:r>
        <w:rPr>
          <w:rFonts w:hint="eastAsia"/>
          <w:highlight w:val="none"/>
          <w:lang w:val="en-US" w:eastAsia="zh-CN"/>
        </w:rPr>
        <w:t>——根据各种类型</w:t>
      </w:r>
      <w:r>
        <w:rPr>
          <w:rFonts w:hint="eastAsia"/>
          <w:strike/>
          <w:dstrike w:val="0"/>
          <w:highlight w:val="none"/>
          <w:lang w:val="en-US" w:eastAsia="zh-CN"/>
        </w:rPr>
        <w:t>的</w:t>
      </w:r>
      <w:r>
        <w:rPr>
          <w:rFonts w:hint="eastAsia"/>
          <w:highlight w:val="none"/>
          <w:lang w:val="en-US" w:eastAsia="zh-CN"/>
        </w:rPr>
        <w:t>温室气体排放源的重要程度进行等级划分，并建立温室气体排放源一览表，对</w:t>
      </w:r>
      <w:r>
        <w:rPr>
          <w:rFonts w:hint="eastAsia"/>
          <w:strike/>
          <w:dstrike w:val="0"/>
          <w:highlight w:val="none"/>
          <w:lang w:val="en-US" w:eastAsia="zh-CN"/>
        </w:rPr>
        <w:t>于</w:t>
      </w:r>
      <w:r>
        <w:rPr>
          <w:rFonts w:hint="eastAsia"/>
          <w:highlight w:val="none"/>
          <w:lang w:val="en-US" w:eastAsia="zh-CN"/>
        </w:rPr>
        <w:t>不同等级排放源的活动数据和排放因子数据的获取提出相应的要求；</w:t>
      </w:r>
    </w:p>
    <w:p w14:paraId="05BA03F7">
      <w:pPr>
        <w:pStyle w:val="165"/>
        <w:numPr>
          <w:ilvl w:val="0"/>
          <w:numId w:val="0"/>
        </w:numPr>
        <w:spacing w:line="360" w:lineRule="exact"/>
        <w:ind w:firstLine="420" w:firstLineChars="200"/>
        <w:rPr>
          <w:rFonts w:hint="default"/>
          <w:highlight w:val="none"/>
          <w:lang w:val="en-US" w:eastAsia="zh-CN"/>
        </w:rPr>
      </w:pPr>
      <w:r>
        <w:rPr>
          <w:rFonts w:hint="eastAsia"/>
          <w:highlight w:val="none"/>
          <w:lang w:val="en-US" w:eastAsia="zh-CN"/>
        </w:rPr>
        <w:t>——建立健全温室气体数据记录管理体系，包括数据来源，数据获取时间以及相关责任人等信息的记录管理；</w:t>
      </w:r>
    </w:p>
    <w:p w14:paraId="0FF43C29">
      <w:pPr>
        <w:pStyle w:val="165"/>
        <w:numPr>
          <w:ilvl w:val="0"/>
          <w:numId w:val="0"/>
        </w:numPr>
        <w:spacing w:line="360" w:lineRule="exact"/>
        <w:ind w:firstLine="420" w:firstLineChars="200"/>
        <w:rPr>
          <w:rFonts w:hint="default"/>
          <w:highlight w:val="none"/>
          <w:lang w:val="en-US" w:eastAsia="zh-CN"/>
        </w:rPr>
      </w:pPr>
      <w:r>
        <w:rPr>
          <w:rFonts w:hint="eastAsia"/>
          <w:highlight w:val="none"/>
          <w:lang w:val="en-US" w:eastAsia="zh-CN"/>
        </w:rPr>
        <w:t>——建立温室气体排放报告内部审核制度，定期对温室气体排放数据进行交叉校验，对可能产生的数据误差风险进行识别，并提出相应的解决方案。</w:t>
      </w:r>
    </w:p>
    <w:p w14:paraId="255C5A09">
      <w:pPr>
        <w:pStyle w:val="104"/>
        <w:spacing w:before="312" w:after="312"/>
        <w:rPr>
          <w:rFonts w:hint="eastAsia"/>
        </w:rPr>
      </w:pPr>
      <w:bookmarkStart w:id="54" w:name="_Toc29813"/>
      <w:r>
        <w:rPr>
          <w:rFonts w:hint="eastAsia"/>
          <w:highlight w:val="none"/>
        </w:rPr>
        <w:t>碳资产管理</w:t>
      </w:r>
      <w:bookmarkEnd w:id="54"/>
    </w:p>
    <w:bookmarkEnd w:id="25"/>
    <w:p w14:paraId="4B3E1B7A">
      <w:pPr>
        <w:pStyle w:val="162"/>
        <w:ind w:left="0"/>
        <w:rPr>
          <w:rFonts w:hint="eastAsia" w:ascii="黑体" w:hAnsi="黑体" w:eastAsia="黑体"/>
          <w:color w:val="auto"/>
          <w:highlight w:val="none"/>
          <w:lang w:val="en-US" w:eastAsia="zh-CN"/>
        </w:rPr>
      </w:pPr>
      <w:bookmarkStart w:id="55" w:name="BookMark6"/>
      <w:r>
        <w:rPr>
          <w:rFonts w:hint="eastAsia" w:ascii="黑体" w:hAnsi="黑体" w:eastAsia="黑体"/>
          <w:color w:val="auto"/>
          <w:highlight w:val="none"/>
          <w:lang w:val="en-US" w:eastAsia="zh-CN"/>
        </w:rPr>
        <w:t>碳减排措施</w:t>
      </w:r>
    </w:p>
    <w:p w14:paraId="65BB7FD9">
      <w:pPr>
        <w:pStyle w:val="56"/>
        <w:ind w:firstLine="420"/>
        <w:rPr>
          <w:rFonts w:hint="eastAsia"/>
          <w:color w:val="auto"/>
          <w:highlight w:val="none"/>
          <w:lang w:val="en-US" w:eastAsia="zh-CN"/>
        </w:rPr>
      </w:pPr>
      <w:r>
        <w:rPr>
          <w:rFonts w:hint="eastAsia"/>
          <w:color w:val="auto"/>
          <w:highlight w:val="none"/>
          <w:lang w:val="en-US" w:eastAsia="zh-CN"/>
        </w:rPr>
        <w:t>——采用高效节能设备、清洁能源替代传统能源、可再生能源利用设施，优化生产工艺以降低单位能耗和碳排放强度；</w:t>
      </w:r>
    </w:p>
    <w:p w14:paraId="61B82518">
      <w:pPr>
        <w:pStyle w:val="56"/>
        <w:rPr>
          <w:rFonts w:hint="eastAsia"/>
          <w:color w:val="auto"/>
          <w:highlight w:val="none"/>
          <w:lang w:val="en-US" w:eastAsia="zh-CN"/>
        </w:rPr>
      </w:pPr>
      <w:r>
        <w:rPr>
          <w:rFonts w:hint="eastAsia"/>
          <w:color w:val="auto"/>
          <w:highlight w:val="none"/>
          <w:lang w:val="en-US" w:eastAsia="zh-CN"/>
        </w:rPr>
        <w:t>——宜基于能源消耗监测信息及优控模式实现能源管理数字化控制；</w:t>
      </w:r>
    </w:p>
    <w:p w14:paraId="76BDC1D3">
      <w:pPr>
        <w:pStyle w:val="56"/>
        <w:rPr>
          <w:rFonts w:hint="eastAsia"/>
          <w:color w:val="auto"/>
          <w:highlight w:val="none"/>
          <w:lang w:val="en-US" w:eastAsia="zh-CN"/>
        </w:rPr>
      </w:pPr>
      <w:r>
        <w:rPr>
          <w:rFonts w:hint="eastAsia"/>
          <w:color w:val="auto"/>
          <w:highlight w:val="none"/>
          <w:lang w:val="en-US" w:eastAsia="zh-CN"/>
        </w:rPr>
        <w:t>——宜通过对建筑围护结构的节能设计或绿色改造等措施加强建筑保温隔热；</w:t>
      </w:r>
    </w:p>
    <w:p w14:paraId="7974B102">
      <w:pPr>
        <w:pStyle w:val="56"/>
        <w:rPr>
          <w:rFonts w:hint="eastAsia"/>
          <w:color w:val="auto"/>
          <w:highlight w:val="none"/>
          <w:lang w:val="en-US" w:eastAsia="zh-CN"/>
        </w:rPr>
      </w:pPr>
      <w:r>
        <w:rPr>
          <w:rFonts w:hint="eastAsia"/>
          <w:color w:val="auto"/>
          <w:highlight w:val="none"/>
          <w:lang w:val="en-US" w:eastAsia="zh-CN"/>
        </w:rPr>
        <w:t>——提高工业企业内新能源汽车使用比例；</w:t>
      </w:r>
    </w:p>
    <w:p w14:paraId="0E930AC0">
      <w:pPr>
        <w:pStyle w:val="56"/>
        <w:rPr>
          <w:rFonts w:hint="default"/>
          <w:color w:val="auto"/>
          <w:highlight w:val="none"/>
          <w:lang w:val="en-US" w:eastAsia="zh-CN"/>
        </w:rPr>
      </w:pPr>
      <w:r>
        <w:rPr>
          <w:rFonts w:hint="eastAsia"/>
          <w:color w:val="auto"/>
          <w:highlight w:val="none"/>
          <w:lang w:val="en-US" w:eastAsia="zh-CN"/>
        </w:rPr>
        <w:t>——定期开展可再生能源利用评价，方案可行时，采取措施提高可再生能源的实际使用量；</w:t>
      </w:r>
    </w:p>
    <w:p w14:paraId="7EF134AF">
      <w:pPr>
        <w:pStyle w:val="56"/>
        <w:rPr>
          <w:rFonts w:hint="default"/>
          <w:color w:val="auto"/>
          <w:highlight w:val="none"/>
          <w:lang w:val="en-US" w:eastAsia="zh-CN"/>
        </w:rPr>
      </w:pPr>
      <w:r>
        <w:rPr>
          <w:rFonts w:hint="eastAsia"/>
          <w:color w:val="auto"/>
          <w:highlight w:val="none"/>
          <w:lang w:val="en-US" w:eastAsia="zh-CN"/>
        </w:rPr>
        <w:t>——推广循环经济模式，通过节能改造、设备升级等手段持续减少碳排放。</w:t>
      </w:r>
    </w:p>
    <w:p w14:paraId="171151DF">
      <w:pPr>
        <w:pStyle w:val="162"/>
        <w:numPr>
          <w:ilvl w:val="2"/>
          <w:numId w:val="0"/>
        </w:numPr>
        <w:ind w:leftChars="0"/>
        <w:rPr>
          <w:rFonts w:hint="eastAsia" w:ascii="黑体" w:hAnsi="黑体" w:eastAsia="黑体"/>
          <w:color w:val="0000FF"/>
          <w:highlight w:val="yellow"/>
          <w:lang w:val="en-US" w:eastAsia="zh-CN"/>
        </w:rPr>
      </w:pPr>
    </w:p>
    <w:p w14:paraId="27A4C9A2">
      <w:pPr>
        <w:pStyle w:val="162"/>
        <w:ind w:left="0"/>
        <w:rPr>
          <w:rFonts w:hint="eastAsia" w:ascii="黑体" w:hAnsi="黑体" w:eastAsia="黑体"/>
          <w:color w:val="auto"/>
          <w:highlight w:val="none"/>
          <w:lang w:val="en-US" w:eastAsia="zh-CN"/>
        </w:rPr>
      </w:pPr>
      <w:r>
        <w:rPr>
          <w:rFonts w:hint="eastAsia" w:ascii="黑体" w:hAnsi="黑体" w:eastAsia="黑体"/>
          <w:color w:val="auto"/>
          <w:highlight w:val="none"/>
          <w:lang w:val="en-US" w:eastAsia="zh-CN"/>
        </w:rPr>
        <w:t>碳资产运营</w:t>
      </w:r>
    </w:p>
    <w:p w14:paraId="08BB2AA0">
      <w:pPr>
        <w:pStyle w:val="65"/>
        <w:spacing w:before="156" w:after="156"/>
        <w:rPr>
          <w:rFonts w:hint="default" w:ascii="黑体" w:hAnsi="黑体" w:eastAsia="黑体"/>
          <w:color w:val="auto"/>
          <w:highlight w:val="none"/>
          <w:lang w:val="en-US" w:eastAsia="zh-CN"/>
        </w:rPr>
      </w:pPr>
      <w:r>
        <w:rPr>
          <w:rFonts w:hint="eastAsia" w:hAnsi="黑体"/>
          <w:color w:val="auto"/>
          <w:highlight w:val="none"/>
          <w:lang w:val="en-US" w:eastAsia="zh-CN"/>
        </w:rPr>
        <w:t>数据管理与监测</w:t>
      </w:r>
    </w:p>
    <w:p w14:paraId="32547A08">
      <w:pPr>
        <w:pStyle w:val="56"/>
        <w:ind w:firstLine="420"/>
        <w:rPr>
          <w:rFonts w:hint="default"/>
          <w:color w:val="auto"/>
          <w:lang w:val="en-US" w:eastAsia="zh-CN"/>
        </w:rPr>
      </w:pPr>
      <w:r>
        <w:rPr>
          <w:rFonts w:hint="eastAsia"/>
          <w:color w:val="auto"/>
          <w:lang w:val="en-US" w:eastAsia="zh-CN"/>
        </w:rPr>
        <w:t>——建立覆盖生产、能源等全环节的温室气体排放监测体系，确保数据真实性和实时性，为</w:t>
      </w:r>
      <w:r>
        <w:rPr>
          <w:rFonts w:hint="eastAsia"/>
          <w:strike w:val="0"/>
          <w:dstrike w:val="0"/>
          <w:color w:val="auto"/>
          <w:highlight w:val="none"/>
          <w:lang w:val="en-US" w:eastAsia="zh-CN"/>
        </w:rPr>
        <w:t>碳核查</w:t>
      </w:r>
      <w:r>
        <w:rPr>
          <w:rFonts w:hint="eastAsia"/>
          <w:color w:val="auto"/>
          <w:highlight w:val="none"/>
          <w:lang w:val="en-US" w:eastAsia="zh-CN"/>
        </w:rPr>
        <w:t>和碳交</w:t>
      </w:r>
      <w:r>
        <w:rPr>
          <w:rFonts w:hint="eastAsia"/>
          <w:color w:val="auto"/>
          <w:lang w:val="en-US" w:eastAsia="zh-CN"/>
        </w:rPr>
        <w:t>易提供基础依据；</w:t>
      </w:r>
    </w:p>
    <w:p w14:paraId="38B4E3E1">
      <w:pPr>
        <w:pStyle w:val="56"/>
        <w:ind w:firstLine="420"/>
        <w:rPr>
          <w:rFonts w:hint="default"/>
          <w:color w:val="auto"/>
          <w:highlight w:val="none"/>
          <w:lang w:val="en-US" w:eastAsia="zh-CN"/>
        </w:rPr>
      </w:pPr>
      <w:r>
        <w:rPr>
          <w:rFonts w:hint="eastAsia"/>
          <w:color w:val="auto"/>
          <w:highlight w:val="none"/>
          <w:lang w:val="en-US" w:eastAsia="zh-CN"/>
        </w:rPr>
        <w:t>——根据企业类型（重点/非重点排放单位）确定管理重点，重点单位应管控政府分配的碳配额，非重点单位宜侧重开发CCER等减排信用。</w:t>
      </w:r>
    </w:p>
    <w:p w14:paraId="6FF45E7F">
      <w:pPr>
        <w:pStyle w:val="65"/>
        <w:spacing w:before="156" w:after="156"/>
        <w:rPr>
          <w:rFonts w:hint="eastAsia"/>
          <w:color w:val="auto"/>
          <w:lang w:val="en-US" w:eastAsia="zh-CN"/>
        </w:rPr>
      </w:pPr>
      <w:r>
        <w:rPr>
          <w:rFonts w:hint="eastAsia"/>
          <w:color w:val="auto"/>
          <w:lang w:val="en-US" w:eastAsia="zh-CN"/>
        </w:rPr>
        <w:t>碳市场交易策略</w:t>
      </w:r>
    </w:p>
    <w:p w14:paraId="3EC97658">
      <w:pPr>
        <w:pStyle w:val="56"/>
        <w:ind w:firstLine="420"/>
        <w:rPr>
          <w:rFonts w:hint="eastAsia"/>
          <w:color w:val="auto"/>
          <w:lang w:val="en-US" w:eastAsia="zh-CN"/>
        </w:rPr>
      </w:pPr>
      <w:r>
        <w:rPr>
          <w:rFonts w:hint="eastAsia"/>
          <w:color w:val="auto"/>
          <w:lang w:val="en-US" w:eastAsia="zh-CN"/>
        </w:rPr>
        <w:t>——碳价低位时储存配额，高位时出售实现增值；履约期前合理买卖以平衡成本。</w:t>
      </w:r>
    </w:p>
    <w:p w14:paraId="0FCE39E3">
      <w:pPr>
        <w:pStyle w:val="56"/>
        <w:rPr>
          <w:rFonts w:hint="eastAsia"/>
          <w:color w:val="auto"/>
          <w:lang w:val="en-US" w:eastAsia="zh-CN"/>
        </w:rPr>
      </w:pPr>
      <w:r>
        <w:rPr>
          <w:rFonts w:hint="eastAsia"/>
          <w:color w:val="auto"/>
          <w:lang w:val="en-US" w:eastAsia="zh-CN"/>
        </w:rPr>
        <w:t>——投资光伏、林业碳汇等减排项目，获取可交易信用。</w:t>
      </w:r>
    </w:p>
    <w:p w14:paraId="44AA72E3">
      <w:pPr>
        <w:pStyle w:val="65"/>
        <w:spacing w:before="156" w:after="156"/>
        <w:rPr>
          <w:rFonts w:hint="eastAsia"/>
          <w:color w:val="auto"/>
          <w:lang w:val="en-US" w:eastAsia="zh-CN"/>
        </w:rPr>
      </w:pPr>
      <w:r>
        <w:rPr>
          <w:rFonts w:hint="eastAsia"/>
          <w:color w:val="auto"/>
          <w:lang w:val="en-US" w:eastAsia="zh-CN"/>
        </w:rPr>
        <w:t>碳资产金融工具管理</w:t>
      </w:r>
    </w:p>
    <w:p w14:paraId="5FB7FFE0">
      <w:pPr>
        <w:pStyle w:val="56"/>
        <w:rPr>
          <w:rFonts w:hint="eastAsia"/>
          <w:color w:val="auto"/>
          <w:lang w:val="en-US" w:eastAsia="zh-CN"/>
        </w:rPr>
      </w:pPr>
      <w:r>
        <w:rPr>
          <w:rFonts w:hint="eastAsia"/>
          <w:color w:val="auto"/>
          <w:lang w:val="en-US" w:eastAsia="zh-CN"/>
        </w:rPr>
        <w:t>——通过碳债券、碳基金等工具盘活资产，降低融资成本并分散风险。</w:t>
      </w:r>
    </w:p>
    <w:p w14:paraId="752CBDBE">
      <w:pPr>
        <w:pStyle w:val="56"/>
        <w:ind w:firstLine="420"/>
        <w:rPr>
          <w:rFonts w:hint="default"/>
          <w:color w:val="auto"/>
          <w:lang w:val="en-US" w:eastAsia="zh-CN"/>
        </w:rPr>
      </w:pPr>
      <w:r>
        <w:rPr>
          <w:rFonts w:hint="eastAsia"/>
          <w:color w:val="auto"/>
          <w:lang w:val="en-US" w:eastAsia="zh-CN"/>
        </w:rPr>
        <w:t>——熟悉全国及试点地区碳市场规则，通过碳金融工具（如碳债券、基金）提升资产流动性，同时结合碳信息披露增强市场透明度</w:t>
      </w:r>
      <w:r>
        <w:rPr>
          <w:rFonts w:hint="default"/>
          <w:color w:val="auto"/>
          <w:lang w:val="en-US" w:eastAsia="zh-CN"/>
        </w:rPr>
        <w:t>。</w:t>
      </w:r>
    </w:p>
    <w:p w14:paraId="76F02DE8">
      <w:pPr>
        <w:pStyle w:val="104"/>
        <w:spacing w:before="312" w:after="312"/>
      </w:pPr>
      <w:bookmarkStart w:id="56" w:name="_Toc4987"/>
      <w:r>
        <w:rPr>
          <w:rFonts w:hint="eastAsia"/>
        </w:rPr>
        <w:t>信息披露</w:t>
      </w:r>
      <w:bookmarkEnd w:id="56"/>
    </w:p>
    <w:p w14:paraId="02E6B457">
      <w:pPr>
        <w:pStyle w:val="162"/>
        <w:ind w:left="0"/>
      </w:pPr>
      <w:r>
        <w:rPr>
          <w:rFonts w:hint="eastAsia" w:ascii="黑体" w:hAnsi="黑体" w:eastAsia="黑体"/>
        </w:rPr>
        <w:t>披露主体</w:t>
      </w:r>
    </w:p>
    <w:p w14:paraId="7B6A10EE">
      <w:pPr>
        <w:ind w:firstLine="420" w:firstLineChars="200"/>
      </w:pPr>
      <w:r>
        <w:rPr>
          <w:rFonts w:hint="eastAsia"/>
        </w:rPr>
        <w:t>工业企业符合下列条件需开展温室气体排放信息披露：</w:t>
      </w:r>
    </w:p>
    <w:p w14:paraId="17651528">
      <w:pPr>
        <w:ind w:firstLine="420" w:firstLineChars="200"/>
        <w:rPr>
          <w:highlight w:val="none"/>
        </w:rPr>
      </w:pPr>
      <w:r>
        <w:rPr>
          <w:rFonts w:hint="eastAsia"/>
          <w:highlight w:val="none"/>
        </w:rPr>
        <w:t>——年度温室气体</w:t>
      </w:r>
      <w:r>
        <w:rPr>
          <w:rFonts w:hint="eastAsia"/>
          <w:highlight w:val="none"/>
          <w:lang w:val="en-US" w:eastAsia="zh-CN"/>
        </w:rPr>
        <w:t>中国点</w:t>
      </w:r>
      <w:r>
        <w:rPr>
          <w:rFonts w:hint="eastAsia"/>
          <w:highlight w:val="none"/>
        </w:rPr>
        <w:t>排放量达到2.6万吨二氧化碳当量及以上的企业；</w:t>
      </w:r>
    </w:p>
    <w:p w14:paraId="32B3F84D">
      <w:pPr>
        <w:ind w:firstLine="420" w:firstLineChars="200"/>
        <w:rPr>
          <w:highlight w:val="none"/>
        </w:rPr>
      </w:pPr>
      <w:r>
        <w:rPr>
          <w:rFonts w:hint="eastAsia"/>
          <w:highlight w:val="none"/>
        </w:rPr>
        <w:t>——在证券交易所上市交易的股份有限公司；</w:t>
      </w:r>
    </w:p>
    <w:p w14:paraId="2B6E9E2C">
      <w:pPr>
        <w:ind w:firstLine="420" w:firstLineChars="200"/>
        <w:rPr>
          <w:rFonts w:hint="eastAsia"/>
          <w:highlight w:val="none"/>
        </w:rPr>
      </w:pPr>
      <w:r>
        <w:rPr>
          <w:rFonts w:hint="eastAsia"/>
          <w:highlight w:val="none"/>
        </w:rPr>
        <w:t>——其他企业。</w:t>
      </w:r>
    </w:p>
    <w:p w14:paraId="2D9C760D">
      <w:pPr>
        <w:pStyle w:val="162"/>
        <w:ind w:left="0"/>
        <w:rPr>
          <w:rFonts w:ascii="黑体" w:hAnsi="黑体" w:eastAsia="黑体"/>
        </w:rPr>
      </w:pPr>
      <w:r>
        <w:rPr>
          <w:rFonts w:hint="eastAsia" w:ascii="黑体" w:hAnsi="黑体" w:eastAsia="黑体"/>
        </w:rPr>
        <w:t>披露途径</w:t>
      </w:r>
    </w:p>
    <w:p w14:paraId="4F98773E">
      <w:pPr>
        <w:ind w:firstLine="420" w:firstLineChars="200"/>
        <w:rPr>
          <w:rFonts w:hint="eastAsia"/>
        </w:rPr>
      </w:pPr>
      <w:r>
        <w:rPr>
          <w:rFonts w:hint="eastAsia"/>
          <w:highlight w:val="none"/>
        </w:rPr>
        <w:t>工业</w:t>
      </w:r>
      <w:r>
        <w:rPr>
          <w:rFonts w:hint="eastAsia"/>
          <w:highlight w:val="none"/>
          <w:lang w:val="en-US" w:eastAsia="zh-CN"/>
        </w:rPr>
        <w:t>企业</w:t>
      </w:r>
      <w:r>
        <w:rPr>
          <w:rFonts w:hint="eastAsia"/>
          <w:highlight w:val="none"/>
        </w:rPr>
        <w:t>可</w:t>
      </w:r>
      <w:r>
        <w:rPr>
          <w:rFonts w:hint="eastAsia"/>
        </w:rPr>
        <w:t>通过公众渠道披露温室气体排放数据及减排信息，具体承载方式包括如下：</w:t>
      </w:r>
    </w:p>
    <w:p w14:paraId="0057927C">
      <w:pPr>
        <w:ind w:firstLine="420" w:firstLineChars="200"/>
        <w:rPr>
          <w:rFonts w:hint="eastAsia"/>
        </w:rPr>
      </w:pPr>
      <w:r>
        <w:rPr>
          <w:rFonts w:hint="eastAsia"/>
        </w:rPr>
        <w:t>——温室气体排放信息披露书；</w:t>
      </w:r>
    </w:p>
    <w:p w14:paraId="27236D73">
      <w:pPr>
        <w:ind w:firstLine="420" w:firstLineChars="200"/>
        <w:rPr>
          <w:rFonts w:hint="default" w:eastAsia="宋体"/>
          <w:highlight w:val="cyan"/>
          <w:lang w:val="en-US" w:eastAsia="zh-CN"/>
        </w:rPr>
      </w:pPr>
      <w:r>
        <w:rPr>
          <w:rFonts w:hint="eastAsia"/>
          <w:lang w:eastAsia="zh-CN"/>
        </w:rPr>
        <w:t>——</w:t>
      </w:r>
      <w:r>
        <w:rPr>
          <w:rFonts w:hint="eastAsia"/>
          <w:highlight w:val="none"/>
          <w:lang w:val="en-US" w:eastAsia="zh-CN"/>
        </w:rPr>
        <w:t>工业企业温室气体排放报告；</w:t>
      </w:r>
    </w:p>
    <w:p w14:paraId="152AAC26">
      <w:pPr>
        <w:ind w:firstLine="420" w:firstLineChars="200"/>
        <w:rPr>
          <w:rFonts w:hint="eastAsia"/>
        </w:rPr>
      </w:pPr>
      <w:r>
        <w:rPr>
          <w:rFonts w:hint="eastAsia"/>
        </w:rPr>
        <w:t>——环境信息披露报告；</w:t>
      </w:r>
    </w:p>
    <w:p w14:paraId="211AD957">
      <w:pPr>
        <w:ind w:firstLine="420" w:firstLineChars="200"/>
        <w:rPr>
          <w:rFonts w:hint="eastAsia"/>
        </w:rPr>
      </w:pPr>
      <w:r>
        <w:rPr>
          <w:rFonts w:hint="eastAsia"/>
        </w:rPr>
        <w:t>——环境、社会及公司治理报告；</w:t>
      </w:r>
    </w:p>
    <w:p w14:paraId="31CA85ED">
      <w:pPr>
        <w:ind w:firstLine="420" w:firstLineChars="200"/>
        <w:rPr>
          <w:rFonts w:hint="eastAsia"/>
        </w:rPr>
      </w:pPr>
      <w:r>
        <w:rPr>
          <w:rFonts w:hint="eastAsia"/>
        </w:rPr>
        <w:t>——上市公司年报、企业社会责任报告、绿色低碳发展报告、可持续发展报告等。</w:t>
      </w:r>
    </w:p>
    <w:p w14:paraId="35B1A84B">
      <w:pPr>
        <w:pStyle w:val="162"/>
        <w:ind w:left="0"/>
        <w:rPr>
          <w:rFonts w:ascii="黑体" w:hAnsi="黑体" w:eastAsia="黑体"/>
        </w:rPr>
      </w:pPr>
      <w:r>
        <w:rPr>
          <w:rFonts w:hint="eastAsia" w:ascii="黑体" w:hAnsi="黑体" w:eastAsia="黑体"/>
        </w:rPr>
        <w:t>披露要素</w:t>
      </w:r>
    </w:p>
    <w:p w14:paraId="31AF8FDD">
      <w:pPr>
        <w:pStyle w:val="56"/>
        <w:spacing w:line="360" w:lineRule="exact"/>
        <w:ind w:firstLine="420"/>
        <w:rPr>
          <w:rFonts w:hint="eastAsia"/>
          <w:highlight w:val="none"/>
        </w:rPr>
      </w:pPr>
      <w:r>
        <w:rPr>
          <w:rFonts w:hint="eastAsia"/>
          <w:highlight w:val="none"/>
        </w:rPr>
        <w:t>工业企业应以法人为边界，定期披露温室气体排放信息，包括</w:t>
      </w:r>
      <w:r>
        <w:rPr>
          <w:rFonts w:hint="eastAsia"/>
          <w:highlight w:val="none"/>
          <w:lang w:val="en-US" w:eastAsia="zh-CN"/>
        </w:rPr>
        <w:t>但不限于</w:t>
      </w:r>
      <w:r>
        <w:rPr>
          <w:rFonts w:hint="eastAsia"/>
          <w:highlight w:val="none"/>
        </w:rPr>
        <w:t>：</w:t>
      </w:r>
    </w:p>
    <w:p w14:paraId="372ECF07">
      <w:pPr>
        <w:pStyle w:val="56"/>
        <w:spacing w:line="360" w:lineRule="exact"/>
        <w:ind w:firstLine="420"/>
        <w:rPr>
          <w:rFonts w:hint="eastAsia"/>
          <w:highlight w:val="none"/>
        </w:rPr>
      </w:pPr>
      <w:r>
        <w:rPr>
          <w:rFonts w:hint="eastAsia"/>
          <w:highlight w:val="none"/>
        </w:rPr>
        <w:t>——温室气体排放数据；</w:t>
      </w:r>
    </w:p>
    <w:p w14:paraId="19C90CCC">
      <w:pPr>
        <w:pStyle w:val="56"/>
        <w:spacing w:line="360" w:lineRule="exact"/>
        <w:ind w:firstLine="420"/>
        <w:rPr>
          <w:rFonts w:hint="eastAsia"/>
          <w:highlight w:val="none"/>
        </w:rPr>
      </w:pPr>
      <w:r>
        <w:rPr>
          <w:rFonts w:hint="eastAsia"/>
          <w:highlight w:val="none"/>
        </w:rPr>
        <w:t>——已实施或正在实施的控制温室气体排放相关规划、方案和计划；</w:t>
      </w:r>
    </w:p>
    <w:p w14:paraId="50FCAC00">
      <w:pPr>
        <w:pStyle w:val="56"/>
        <w:spacing w:line="360" w:lineRule="exact"/>
        <w:ind w:firstLine="420"/>
        <w:rPr>
          <w:rFonts w:hint="eastAsia"/>
          <w:highlight w:val="none"/>
        </w:rPr>
      </w:pPr>
      <w:r>
        <w:rPr>
          <w:rFonts w:hint="eastAsia"/>
          <w:highlight w:val="none"/>
        </w:rPr>
        <w:t>——实施绿色采购，以及低碳生产工艺和技术推广运用情况；</w:t>
      </w:r>
    </w:p>
    <w:p w14:paraId="5CAD62F8">
      <w:pPr>
        <w:pStyle w:val="56"/>
        <w:spacing w:line="360" w:lineRule="exact"/>
        <w:ind w:firstLine="420"/>
        <w:rPr>
          <w:highlight w:val="none"/>
        </w:rPr>
      </w:pPr>
      <w:r>
        <w:rPr>
          <w:rFonts w:hint="eastAsia"/>
          <w:highlight w:val="none"/>
        </w:rPr>
        <w:t>——碳足迹、绿色低碳产品、能源管理体系认证情况；</w:t>
      </w:r>
    </w:p>
    <w:p w14:paraId="4372BFF1">
      <w:pPr>
        <w:pStyle w:val="56"/>
        <w:spacing w:line="360" w:lineRule="exact"/>
        <w:ind w:firstLine="420"/>
        <w:rPr>
          <w:highlight w:val="none"/>
        </w:rPr>
      </w:pPr>
      <w:r>
        <w:rPr>
          <w:rFonts w:hint="eastAsia"/>
          <w:highlight w:val="none"/>
        </w:rPr>
        <w:t>——</w:t>
      </w:r>
      <w:r>
        <w:rPr>
          <w:rFonts w:hint="eastAsia"/>
          <w:highlight w:val="none"/>
          <w:lang w:val="en-US" w:eastAsia="zh-CN"/>
        </w:rPr>
        <w:t>碳</w:t>
      </w:r>
      <w:r>
        <w:rPr>
          <w:rFonts w:hint="eastAsia"/>
          <w:highlight w:val="none"/>
        </w:rPr>
        <w:t>资产项目开发、参与碳排放权交易和碳抵消场景推广情况；</w:t>
      </w:r>
    </w:p>
    <w:p w14:paraId="576F8609">
      <w:pPr>
        <w:pStyle w:val="56"/>
        <w:spacing w:line="360" w:lineRule="exact"/>
        <w:ind w:firstLine="420"/>
        <w:rPr>
          <w:highlight w:val="none"/>
        </w:rPr>
      </w:pPr>
      <w:r>
        <w:rPr>
          <w:rFonts w:hint="eastAsia"/>
          <w:highlight w:val="none"/>
        </w:rPr>
        <w:t>——温室气体排放管理相关能力建设情况。</w:t>
      </w:r>
    </w:p>
    <w:p w14:paraId="1F90DD4F">
      <w:pPr>
        <w:pStyle w:val="104"/>
        <w:spacing w:before="312" w:after="312"/>
      </w:pPr>
      <w:bookmarkStart w:id="57" w:name="_Toc11767"/>
      <w:r>
        <w:rPr>
          <w:rFonts w:hint="eastAsia"/>
        </w:rPr>
        <w:t>持续改进</w:t>
      </w:r>
      <w:bookmarkEnd w:id="57"/>
      <w:bookmarkStart w:id="59" w:name="_GoBack"/>
      <w:bookmarkEnd w:id="59"/>
    </w:p>
    <w:p w14:paraId="66991100">
      <w:pPr>
        <w:pStyle w:val="56"/>
        <w:ind w:firstLine="420"/>
      </w:pPr>
      <w:r>
        <w:rPr>
          <w:rFonts w:hint="eastAsia"/>
          <w:lang w:val="en-US" w:eastAsia="zh-CN"/>
        </w:rPr>
        <w:t xml:space="preserve">10.1 </w:t>
      </w:r>
      <w:r>
        <w:rPr>
          <w:rFonts w:hint="eastAsia"/>
        </w:rPr>
        <w:t>工业企业应定期评价对适用的温室气体排放相关法律法规和要求的遵守情况，开展温室气体排放管理体系</w:t>
      </w:r>
      <w:r>
        <w:rPr>
          <w:rFonts w:hint="eastAsia"/>
          <w:lang w:val="en-US" w:eastAsia="zh-CN"/>
        </w:rPr>
        <w:t>的</w:t>
      </w:r>
      <w:r>
        <w:rPr>
          <w:rFonts w:hint="eastAsia"/>
        </w:rPr>
        <w:t>内部评审和管理评审，并根据评审结果持续改进，以确保管理体系的适宜性、充分性和有效性；</w:t>
      </w:r>
    </w:p>
    <w:p w14:paraId="3033E99A">
      <w:pPr>
        <w:pStyle w:val="56"/>
        <w:ind w:firstLine="420"/>
        <w:rPr>
          <w:strike/>
          <w:dstrike w:val="0"/>
        </w:rPr>
      </w:pPr>
      <w:r>
        <w:rPr>
          <w:rFonts w:hint="eastAsia"/>
          <w:lang w:val="en-US" w:eastAsia="zh-CN"/>
        </w:rPr>
        <w:t>10.2 工业企业宜根据评价结果识别问题点和改进方向，采取有针对性的改进措施，实现双控目标。</w:t>
      </w:r>
    </w:p>
    <w:p w14:paraId="52959029">
      <w:pPr>
        <w:widowControl/>
        <w:adjustRightInd/>
        <w:spacing w:line="240" w:lineRule="auto"/>
        <w:jc w:val="left"/>
        <w:rPr>
          <w:strike/>
          <w:dstrike w:val="0"/>
        </w:rPr>
      </w:pPr>
    </w:p>
    <w:p w14:paraId="4EC85F38">
      <w:pPr>
        <w:widowControl/>
        <w:adjustRightInd/>
        <w:spacing w:line="240" w:lineRule="auto"/>
        <w:jc w:val="left"/>
      </w:pPr>
    </w:p>
    <w:bookmarkEnd w:id="55"/>
    <w:p w14:paraId="77F9B784">
      <w:pPr>
        <w:widowControl/>
        <w:adjustRightInd/>
        <w:spacing w:line="240" w:lineRule="auto"/>
        <w:jc w:val="center"/>
      </w:pPr>
      <w:bookmarkStart w:id="58"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E1D7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240B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3D53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FFDDC">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B3F2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63D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0E1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4E2ED">
    <w:pPr>
      <w:pStyle w:val="61"/>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D51F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70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42"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attachedTemplate r:id="rId1"/>
  <w:documentProtection w:edit="forms" w:enforcement="1" w:cryptProviderType="rsaAES" w:cryptAlgorithmClass="hash" w:cryptAlgorithmType="typeAny" w:cryptAlgorithmSid="14" w:cryptSpinCount="100000" w:hash="7TJW8PFQR4OamyGg7e1lY7V0XI4zELH7l0iQVc7M53OGM0F2rCYIZciC+0bqKLgYe4b52YdXQtJFH6/GhXVFXw==" w:salt="Q9vNw/K0QJRKHY3PpPZSd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wODVlZjM4NDYzMzVlYzBkNzk1NmRlMDE2MDBmMTYifQ=="/>
  </w:docVars>
  <w:rsids>
    <w:rsidRoot w:val="0001075E"/>
    <w:rsid w:val="0000040A"/>
    <w:rsid w:val="00000A94"/>
    <w:rsid w:val="00000EAE"/>
    <w:rsid w:val="00001687"/>
    <w:rsid w:val="00001972"/>
    <w:rsid w:val="00001D9A"/>
    <w:rsid w:val="000031B0"/>
    <w:rsid w:val="0000479C"/>
    <w:rsid w:val="00005D15"/>
    <w:rsid w:val="00007B3A"/>
    <w:rsid w:val="0001075E"/>
    <w:rsid w:val="000107E0"/>
    <w:rsid w:val="00011FDE"/>
    <w:rsid w:val="00012FFD"/>
    <w:rsid w:val="00014162"/>
    <w:rsid w:val="00014340"/>
    <w:rsid w:val="00014CFA"/>
    <w:rsid w:val="00016A9C"/>
    <w:rsid w:val="00022184"/>
    <w:rsid w:val="00022762"/>
    <w:rsid w:val="000238E0"/>
    <w:rsid w:val="000249DB"/>
    <w:rsid w:val="0002595E"/>
    <w:rsid w:val="00026B58"/>
    <w:rsid w:val="000303C3"/>
    <w:rsid w:val="000331D3"/>
    <w:rsid w:val="000346A5"/>
    <w:rsid w:val="00034AF5"/>
    <w:rsid w:val="000359C3"/>
    <w:rsid w:val="00035A7D"/>
    <w:rsid w:val="000365ED"/>
    <w:rsid w:val="0004249A"/>
    <w:rsid w:val="00043282"/>
    <w:rsid w:val="00044286"/>
    <w:rsid w:val="00047F28"/>
    <w:rsid w:val="000503AA"/>
    <w:rsid w:val="000506A1"/>
    <w:rsid w:val="00051427"/>
    <w:rsid w:val="000515DD"/>
    <w:rsid w:val="00051611"/>
    <w:rsid w:val="0005265A"/>
    <w:rsid w:val="000539DD"/>
    <w:rsid w:val="00053BD3"/>
    <w:rsid w:val="00054A76"/>
    <w:rsid w:val="000556ED"/>
    <w:rsid w:val="00055FE2"/>
    <w:rsid w:val="0005616F"/>
    <w:rsid w:val="000602D2"/>
    <w:rsid w:val="00060C2E"/>
    <w:rsid w:val="00061033"/>
    <w:rsid w:val="000619E9"/>
    <w:rsid w:val="000622D4"/>
    <w:rsid w:val="0006357D"/>
    <w:rsid w:val="00067F1E"/>
    <w:rsid w:val="00070378"/>
    <w:rsid w:val="00071CC0"/>
    <w:rsid w:val="00073C8C"/>
    <w:rsid w:val="00077B64"/>
    <w:rsid w:val="00080A1C"/>
    <w:rsid w:val="00082317"/>
    <w:rsid w:val="00082C73"/>
    <w:rsid w:val="00083A04"/>
    <w:rsid w:val="00083D2C"/>
    <w:rsid w:val="00086AA1"/>
    <w:rsid w:val="00086D2A"/>
    <w:rsid w:val="00087A77"/>
    <w:rsid w:val="00090CA6"/>
    <w:rsid w:val="00092B8A"/>
    <w:rsid w:val="00092FB0"/>
    <w:rsid w:val="000934C5"/>
    <w:rsid w:val="00093D25"/>
    <w:rsid w:val="00093DAB"/>
    <w:rsid w:val="00094D73"/>
    <w:rsid w:val="00096D63"/>
    <w:rsid w:val="000A0B60"/>
    <w:rsid w:val="000A0B6A"/>
    <w:rsid w:val="000A0EB8"/>
    <w:rsid w:val="000A19FC"/>
    <w:rsid w:val="000A296B"/>
    <w:rsid w:val="000A47C2"/>
    <w:rsid w:val="000A4907"/>
    <w:rsid w:val="000A5F62"/>
    <w:rsid w:val="000A7311"/>
    <w:rsid w:val="000B060F"/>
    <w:rsid w:val="000B089F"/>
    <w:rsid w:val="000B1592"/>
    <w:rsid w:val="000B1FF2"/>
    <w:rsid w:val="000B3CDA"/>
    <w:rsid w:val="000B592F"/>
    <w:rsid w:val="000B6A0B"/>
    <w:rsid w:val="000C0F6C"/>
    <w:rsid w:val="000C11DB"/>
    <w:rsid w:val="000C1492"/>
    <w:rsid w:val="000C2FBD"/>
    <w:rsid w:val="000C4B41"/>
    <w:rsid w:val="000C57D6"/>
    <w:rsid w:val="000C6362"/>
    <w:rsid w:val="000C7666"/>
    <w:rsid w:val="000D0A9C"/>
    <w:rsid w:val="000D1795"/>
    <w:rsid w:val="000D27C1"/>
    <w:rsid w:val="000D329A"/>
    <w:rsid w:val="000D4B9C"/>
    <w:rsid w:val="000D4EB6"/>
    <w:rsid w:val="000D753B"/>
    <w:rsid w:val="000D7EB1"/>
    <w:rsid w:val="000E321E"/>
    <w:rsid w:val="000E4C9E"/>
    <w:rsid w:val="000E6FD7"/>
    <w:rsid w:val="000F06E1"/>
    <w:rsid w:val="000F0E3C"/>
    <w:rsid w:val="000F19D5"/>
    <w:rsid w:val="000F39B4"/>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849"/>
    <w:rsid w:val="00141114"/>
    <w:rsid w:val="00142969"/>
    <w:rsid w:val="001446C2"/>
    <w:rsid w:val="001457E7"/>
    <w:rsid w:val="00145D9D"/>
    <w:rsid w:val="00146388"/>
    <w:rsid w:val="001469E1"/>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559"/>
    <w:rsid w:val="001852C9"/>
    <w:rsid w:val="00187CE4"/>
    <w:rsid w:val="00190087"/>
    <w:rsid w:val="001913C4"/>
    <w:rsid w:val="0019348F"/>
    <w:rsid w:val="0019358E"/>
    <w:rsid w:val="00193A07"/>
    <w:rsid w:val="00194C95"/>
    <w:rsid w:val="00195C34"/>
    <w:rsid w:val="00196EF5"/>
    <w:rsid w:val="001A1A53"/>
    <w:rsid w:val="001A234A"/>
    <w:rsid w:val="001A4CF3"/>
    <w:rsid w:val="001B06E8"/>
    <w:rsid w:val="001B71D0"/>
    <w:rsid w:val="001B71EE"/>
    <w:rsid w:val="001C04A8"/>
    <w:rsid w:val="001C280F"/>
    <w:rsid w:val="001C2C03"/>
    <w:rsid w:val="001C42F7"/>
    <w:rsid w:val="001C49E5"/>
    <w:rsid w:val="001C680C"/>
    <w:rsid w:val="001C7FEA"/>
    <w:rsid w:val="001D0499"/>
    <w:rsid w:val="001D0BBE"/>
    <w:rsid w:val="001D0ED4"/>
    <w:rsid w:val="001D14F5"/>
    <w:rsid w:val="001D212F"/>
    <w:rsid w:val="001D29D7"/>
    <w:rsid w:val="001D2DE7"/>
    <w:rsid w:val="001D411C"/>
    <w:rsid w:val="001D4E25"/>
    <w:rsid w:val="001D58B6"/>
    <w:rsid w:val="001E1B6A"/>
    <w:rsid w:val="001E1D51"/>
    <w:rsid w:val="001E2484"/>
    <w:rsid w:val="001E3CC4"/>
    <w:rsid w:val="001E40E9"/>
    <w:rsid w:val="001E47A0"/>
    <w:rsid w:val="001E4882"/>
    <w:rsid w:val="001E73AB"/>
    <w:rsid w:val="001F092D"/>
    <w:rsid w:val="001F143A"/>
    <w:rsid w:val="001F1605"/>
    <w:rsid w:val="001F2508"/>
    <w:rsid w:val="001F4816"/>
    <w:rsid w:val="001F4EE9"/>
    <w:rsid w:val="001F69B4"/>
    <w:rsid w:val="001F6D3E"/>
    <w:rsid w:val="001F77C7"/>
    <w:rsid w:val="00200183"/>
    <w:rsid w:val="00200333"/>
    <w:rsid w:val="0020107D"/>
    <w:rsid w:val="00202152"/>
    <w:rsid w:val="00202AA4"/>
    <w:rsid w:val="002031F7"/>
    <w:rsid w:val="002040E6"/>
    <w:rsid w:val="0020527B"/>
    <w:rsid w:val="00205F2C"/>
    <w:rsid w:val="00210B15"/>
    <w:rsid w:val="002142EA"/>
    <w:rsid w:val="00217133"/>
    <w:rsid w:val="002204BB"/>
    <w:rsid w:val="00221B79"/>
    <w:rsid w:val="00221C6B"/>
    <w:rsid w:val="002253A1"/>
    <w:rsid w:val="00225CF8"/>
    <w:rsid w:val="0022794E"/>
    <w:rsid w:val="00232528"/>
    <w:rsid w:val="00233D64"/>
    <w:rsid w:val="0023482A"/>
    <w:rsid w:val="002359CB"/>
    <w:rsid w:val="00243540"/>
    <w:rsid w:val="00243666"/>
    <w:rsid w:val="0024497B"/>
    <w:rsid w:val="0024515B"/>
    <w:rsid w:val="00246021"/>
    <w:rsid w:val="0024666E"/>
    <w:rsid w:val="00247F52"/>
    <w:rsid w:val="0025095F"/>
    <w:rsid w:val="00250B25"/>
    <w:rsid w:val="00250BBE"/>
    <w:rsid w:val="0025108B"/>
    <w:rsid w:val="002515C2"/>
    <w:rsid w:val="0025194F"/>
    <w:rsid w:val="0025459C"/>
    <w:rsid w:val="0025596E"/>
    <w:rsid w:val="0026148A"/>
    <w:rsid w:val="00262696"/>
    <w:rsid w:val="00263D25"/>
    <w:rsid w:val="002643C3"/>
    <w:rsid w:val="00264A0C"/>
    <w:rsid w:val="00266EEB"/>
    <w:rsid w:val="00267EF4"/>
    <w:rsid w:val="00270CB8"/>
    <w:rsid w:val="00272B08"/>
    <w:rsid w:val="0027391B"/>
    <w:rsid w:val="00281BB8"/>
    <w:rsid w:val="00281E9E"/>
    <w:rsid w:val="00282405"/>
    <w:rsid w:val="00285170"/>
    <w:rsid w:val="00285361"/>
    <w:rsid w:val="00292D60"/>
    <w:rsid w:val="00293B30"/>
    <w:rsid w:val="00294D34"/>
    <w:rsid w:val="00294E3B"/>
    <w:rsid w:val="00296193"/>
    <w:rsid w:val="00296C66"/>
    <w:rsid w:val="00296CC8"/>
    <w:rsid w:val="00296EBE"/>
    <w:rsid w:val="002974E3"/>
    <w:rsid w:val="002A084B"/>
    <w:rsid w:val="002A1260"/>
    <w:rsid w:val="002A1589"/>
    <w:rsid w:val="002A1608"/>
    <w:rsid w:val="002A16EF"/>
    <w:rsid w:val="002A25DC"/>
    <w:rsid w:val="002A3AAB"/>
    <w:rsid w:val="002A4CEA"/>
    <w:rsid w:val="002A5977"/>
    <w:rsid w:val="002A5A13"/>
    <w:rsid w:val="002A757F"/>
    <w:rsid w:val="002A7F44"/>
    <w:rsid w:val="002B0C40"/>
    <w:rsid w:val="002B1966"/>
    <w:rsid w:val="002B20BB"/>
    <w:rsid w:val="002B4508"/>
    <w:rsid w:val="002B5779"/>
    <w:rsid w:val="002B7332"/>
    <w:rsid w:val="002B7F51"/>
    <w:rsid w:val="002C09E7"/>
    <w:rsid w:val="002C0F18"/>
    <w:rsid w:val="002C1358"/>
    <w:rsid w:val="002C1E06"/>
    <w:rsid w:val="002C2A7F"/>
    <w:rsid w:val="002C3F07"/>
    <w:rsid w:val="002C5278"/>
    <w:rsid w:val="002C7EBB"/>
    <w:rsid w:val="002D06C1"/>
    <w:rsid w:val="002D4237"/>
    <w:rsid w:val="002D42B5"/>
    <w:rsid w:val="002D4B89"/>
    <w:rsid w:val="002D4F1A"/>
    <w:rsid w:val="002D6EC6"/>
    <w:rsid w:val="002D79AC"/>
    <w:rsid w:val="002E039D"/>
    <w:rsid w:val="002E0D8A"/>
    <w:rsid w:val="002E4D5A"/>
    <w:rsid w:val="002E6326"/>
    <w:rsid w:val="002E637D"/>
    <w:rsid w:val="002F222C"/>
    <w:rsid w:val="002F30E0"/>
    <w:rsid w:val="002F35E4"/>
    <w:rsid w:val="002F3730"/>
    <w:rsid w:val="002F38E1"/>
    <w:rsid w:val="002F7AF6"/>
    <w:rsid w:val="002F7EB1"/>
    <w:rsid w:val="00300E63"/>
    <w:rsid w:val="00302F5F"/>
    <w:rsid w:val="0030441D"/>
    <w:rsid w:val="00306063"/>
    <w:rsid w:val="003064BD"/>
    <w:rsid w:val="00311AFB"/>
    <w:rsid w:val="00313B85"/>
    <w:rsid w:val="00317988"/>
    <w:rsid w:val="003221B4"/>
    <w:rsid w:val="0032258D"/>
    <w:rsid w:val="00322E62"/>
    <w:rsid w:val="00324D13"/>
    <w:rsid w:val="00324EDD"/>
    <w:rsid w:val="003331E4"/>
    <w:rsid w:val="00336C64"/>
    <w:rsid w:val="00337162"/>
    <w:rsid w:val="0034194F"/>
    <w:rsid w:val="003425C4"/>
    <w:rsid w:val="00342C57"/>
    <w:rsid w:val="00344605"/>
    <w:rsid w:val="003474AA"/>
    <w:rsid w:val="00350D1D"/>
    <w:rsid w:val="003519DD"/>
    <w:rsid w:val="003520A5"/>
    <w:rsid w:val="00352C83"/>
    <w:rsid w:val="003615D2"/>
    <w:rsid w:val="00361A00"/>
    <w:rsid w:val="00362A5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B6D"/>
    <w:rsid w:val="003872FC"/>
    <w:rsid w:val="00387ADC"/>
    <w:rsid w:val="00390020"/>
    <w:rsid w:val="003903D6"/>
    <w:rsid w:val="00390EE6"/>
    <w:rsid w:val="0039118F"/>
    <w:rsid w:val="00392AD7"/>
    <w:rsid w:val="003938D9"/>
    <w:rsid w:val="00394376"/>
    <w:rsid w:val="003943FF"/>
    <w:rsid w:val="00395700"/>
    <w:rsid w:val="003972DC"/>
    <w:rsid w:val="003974EB"/>
    <w:rsid w:val="00397CC5"/>
    <w:rsid w:val="003A1582"/>
    <w:rsid w:val="003A4077"/>
    <w:rsid w:val="003B09AD"/>
    <w:rsid w:val="003B1F18"/>
    <w:rsid w:val="003B5BF0"/>
    <w:rsid w:val="003B60BF"/>
    <w:rsid w:val="003B6BE3"/>
    <w:rsid w:val="003C010C"/>
    <w:rsid w:val="003C0A6C"/>
    <w:rsid w:val="003C14F8"/>
    <w:rsid w:val="003C4245"/>
    <w:rsid w:val="003C5A43"/>
    <w:rsid w:val="003D0519"/>
    <w:rsid w:val="003D0FF6"/>
    <w:rsid w:val="003D262C"/>
    <w:rsid w:val="003D6D61"/>
    <w:rsid w:val="003E03A8"/>
    <w:rsid w:val="003E091D"/>
    <w:rsid w:val="003E1C53"/>
    <w:rsid w:val="003E2A69"/>
    <w:rsid w:val="003E2D49"/>
    <w:rsid w:val="003E2FD4"/>
    <w:rsid w:val="003E357D"/>
    <w:rsid w:val="003E49F6"/>
    <w:rsid w:val="003E660F"/>
    <w:rsid w:val="003F0841"/>
    <w:rsid w:val="003F0AEE"/>
    <w:rsid w:val="003F23D3"/>
    <w:rsid w:val="003F3F08"/>
    <w:rsid w:val="003F49F1"/>
    <w:rsid w:val="003F6272"/>
    <w:rsid w:val="00400E72"/>
    <w:rsid w:val="00401400"/>
    <w:rsid w:val="00404869"/>
    <w:rsid w:val="00405884"/>
    <w:rsid w:val="00407D39"/>
    <w:rsid w:val="0041477A"/>
    <w:rsid w:val="00414D49"/>
    <w:rsid w:val="004167A3"/>
    <w:rsid w:val="00416F0E"/>
    <w:rsid w:val="00416F5D"/>
    <w:rsid w:val="0043143F"/>
    <w:rsid w:val="00432DAA"/>
    <w:rsid w:val="00434305"/>
    <w:rsid w:val="00435DF7"/>
    <w:rsid w:val="00437B96"/>
    <w:rsid w:val="0044083F"/>
    <w:rsid w:val="00441AE7"/>
    <w:rsid w:val="00445574"/>
    <w:rsid w:val="004467FB"/>
    <w:rsid w:val="00452D6B"/>
    <w:rsid w:val="00454484"/>
    <w:rsid w:val="0045517B"/>
    <w:rsid w:val="00456B3A"/>
    <w:rsid w:val="00463B77"/>
    <w:rsid w:val="00463C7B"/>
    <w:rsid w:val="004644A6"/>
    <w:rsid w:val="004659BD"/>
    <w:rsid w:val="00470775"/>
    <w:rsid w:val="004746B1"/>
    <w:rsid w:val="0047583F"/>
    <w:rsid w:val="00475DE8"/>
    <w:rsid w:val="00481C44"/>
    <w:rsid w:val="00482613"/>
    <w:rsid w:val="00484936"/>
    <w:rsid w:val="00485C89"/>
    <w:rsid w:val="00486BE3"/>
    <w:rsid w:val="00486DFE"/>
    <w:rsid w:val="00486EC9"/>
    <w:rsid w:val="004905E4"/>
    <w:rsid w:val="00490A89"/>
    <w:rsid w:val="00490AB4"/>
    <w:rsid w:val="00492F02"/>
    <w:rsid w:val="004939AE"/>
    <w:rsid w:val="004A1248"/>
    <w:rsid w:val="004A12DF"/>
    <w:rsid w:val="004A1BA8"/>
    <w:rsid w:val="004A4B57"/>
    <w:rsid w:val="004A63FA"/>
    <w:rsid w:val="004B0272"/>
    <w:rsid w:val="004B2701"/>
    <w:rsid w:val="004B2E1B"/>
    <w:rsid w:val="004B3778"/>
    <w:rsid w:val="004B3AA8"/>
    <w:rsid w:val="004B3E93"/>
    <w:rsid w:val="004C1FBC"/>
    <w:rsid w:val="004C3F1D"/>
    <w:rsid w:val="004C44D1"/>
    <w:rsid w:val="004C458D"/>
    <w:rsid w:val="004C60A7"/>
    <w:rsid w:val="004C7556"/>
    <w:rsid w:val="004C7E8B"/>
    <w:rsid w:val="004C7E9D"/>
    <w:rsid w:val="004C7F67"/>
    <w:rsid w:val="004D076D"/>
    <w:rsid w:val="004D0EF1"/>
    <w:rsid w:val="004D2253"/>
    <w:rsid w:val="004D2507"/>
    <w:rsid w:val="004D271C"/>
    <w:rsid w:val="004D4406"/>
    <w:rsid w:val="004D6C17"/>
    <w:rsid w:val="004D7C42"/>
    <w:rsid w:val="004E0465"/>
    <w:rsid w:val="004E127B"/>
    <w:rsid w:val="004E1C0A"/>
    <w:rsid w:val="004E2D08"/>
    <w:rsid w:val="004E30C5"/>
    <w:rsid w:val="004E4AA5"/>
    <w:rsid w:val="004E4AEE"/>
    <w:rsid w:val="004E59E3"/>
    <w:rsid w:val="004E67C0"/>
    <w:rsid w:val="004E7871"/>
    <w:rsid w:val="004F134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6E2"/>
    <w:rsid w:val="00523F95"/>
    <w:rsid w:val="00524D65"/>
    <w:rsid w:val="00525B16"/>
    <w:rsid w:val="00531247"/>
    <w:rsid w:val="00533D04"/>
    <w:rsid w:val="00534804"/>
    <w:rsid w:val="00534BDF"/>
    <w:rsid w:val="00534F97"/>
    <w:rsid w:val="005354EA"/>
    <w:rsid w:val="0053585F"/>
    <w:rsid w:val="00535892"/>
    <w:rsid w:val="00535CC4"/>
    <w:rsid w:val="00535EC4"/>
    <w:rsid w:val="00535ED9"/>
    <w:rsid w:val="0053692B"/>
    <w:rsid w:val="00541853"/>
    <w:rsid w:val="00543771"/>
    <w:rsid w:val="00543BDA"/>
    <w:rsid w:val="005441CC"/>
    <w:rsid w:val="005442E1"/>
    <w:rsid w:val="005479DA"/>
    <w:rsid w:val="00547BCC"/>
    <w:rsid w:val="0055013B"/>
    <w:rsid w:val="00550561"/>
    <w:rsid w:val="00551F6F"/>
    <w:rsid w:val="00555044"/>
    <w:rsid w:val="0056037F"/>
    <w:rsid w:val="00561475"/>
    <w:rsid w:val="0056487B"/>
    <w:rsid w:val="00564FB9"/>
    <w:rsid w:val="00573D9E"/>
    <w:rsid w:val="005801E3"/>
    <w:rsid w:val="00581802"/>
    <w:rsid w:val="005836A8"/>
    <w:rsid w:val="0058409C"/>
    <w:rsid w:val="00584262"/>
    <w:rsid w:val="00586630"/>
    <w:rsid w:val="00587ADD"/>
    <w:rsid w:val="00594898"/>
    <w:rsid w:val="00596160"/>
    <w:rsid w:val="005966E2"/>
    <w:rsid w:val="00596E94"/>
    <w:rsid w:val="00597007"/>
    <w:rsid w:val="005A0966"/>
    <w:rsid w:val="005A11B7"/>
    <w:rsid w:val="005A1385"/>
    <w:rsid w:val="005A260B"/>
    <w:rsid w:val="005A2E56"/>
    <w:rsid w:val="005A4A1B"/>
    <w:rsid w:val="005A6DA5"/>
    <w:rsid w:val="005A6EDE"/>
    <w:rsid w:val="005A7830"/>
    <w:rsid w:val="005A7FCE"/>
    <w:rsid w:val="005B0F3F"/>
    <w:rsid w:val="005B4903"/>
    <w:rsid w:val="005B51CE"/>
    <w:rsid w:val="005B5885"/>
    <w:rsid w:val="005B5CD7"/>
    <w:rsid w:val="005B6CF6"/>
    <w:rsid w:val="005B7422"/>
    <w:rsid w:val="005C0BC7"/>
    <w:rsid w:val="005C1544"/>
    <w:rsid w:val="005C29B8"/>
    <w:rsid w:val="005C4B6E"/>
    <w:rsid w:val="005C5F21"/>
    <w:rsid w:val="005C7156"/>
    <w:rsid w:val="005D0C75"/>
    <w:rsid w:val="005D4171"/>
    <w:rsid w:val="005D6A95"/>
    <w:rsid w:val="005D6B2C"/>
    <w:rsid w:val="005D6D9C"/>
    <w:rsid w:val="005E2335"/>
    <w:rsid w:val="005E34CA"/>
    <w:rsid w:val="005E3C18"/>
    <w:rsid w:val="005E6812"/>
    <w:rsid w:val="005E7680"/>
    <w:rsid w:val="005E7881"/>
    <w:rsid w:val="005E78E0"/>
    <w:rsid w:val="005F0D9C"/>
    <w:rsid w:val="005F284E"/>
    <w:rsid w:val="005F4712"/>
    <w:rsid w:val="006015CE"/>
    <w:rsid w:val="00604784"/>
    <w:rsid w:val="00605230"/>
    <w:rsid w:val="00606419"/>
    <w:rsid w:val="00607D29"/>
    <w:rsid w:val="00612952"/>
    <w:rsid w:val="00614CC1"/>
    <w:rsid w:val="00615A9D"/>
    <w:rsid w:val="00615B2C"/>
    <w:rsid w:val="00617380"/>
    <w:rsid w:val="00617387"/>
    <w:rsid w:val="006205D6"/>
    <w:rsid w:val="00621ACA"/>
    <w:rsid w:val="006252D8"/>
    <w:rsid w:val="006259BC"/>
    <w:rsid w:val="0062636B"/>
    <w:rsid w:val="00626CD7"/>
    <w:rsid w:val="006308B0"/>
    <w:rsid w:val="00632182"/>
    <w:rsid w:val="00632AE0"/>
    <w:rsid w:val="00633C17"/>
    <w:rsid w:val="00634D9E"/>
    <w:rsid w:val="00636971"/>
    <w:rsid w:val="00636E3E"/>
    <w:rsid w:val="00636E74"/>
    <w:rsid w:val="0063706B"/>
    <w:rsid w:val="006379F7"/>
    <w:rsid w:val="00637E4D"/>
    <w:rsid w:val="00640620"/>
    <w:rsid w:val="00641A1F"/>
    <w:rsid w:val="00644C77"/>
    <w:rsid w:val="00645904"/>
    <w:rsid w:val="00651ACB"/>
    <w:rsid w:val="00651C47"/>
    <w:rsid w:val="00652AB2"/>
    <w:rsid w:val="00653FED"/>
    <w:rsid w:val="00654EC0"/>
    <w:rsid w:val="0065525B"/>
    <w:rsid w:val="00655D4F"/>
    <w:rsid w:val="00656163"/>
    <w:rsid w:val="00656D29"/>
    <w:rsid w:val="0066081E"/>
    <w:rsid w:val="006640E5"/>
    <w:rsid w:val="006646F1"/>
    <w:rsid w:val="00664929"/>
    <w:rsid w:val="00664F62"/>
    <w:rsid w:val="006655E1"/>
    <w:rsid w:val="00666EF9"/>
    <w:rsid w:val="0067005B"/>
    <w:rsid w:val="0067069E"/>
    <w:rsid w:val="00670866"/>
    <w:rsid w:val="00672060"/>
    <w:rsid w:val="00672BFD"/>
    <w:rsid w:val="00675CFC"/>
    <w:rsid w:val="006770F4"/>
    <w:rsid w:val="00677A84"/>
    <w:rsid w:val="0068026D"/>
    <w:rsid w:val="00680A27"/>
    <w:rsid w:val="006816A4"/>
    <w:rsid w:val="006819B8"/>
    <w:rsid w:val="00681B17"/>
    <w:rsid w:val="006840A6"/>
    <w:rsid w:val="006850CD"/>
    <w:rsid w:val="00685AAB"/>
    <w:rsid w:val="006942E3"/>
    <w:rsid w:val="006A07AA"/>
    <w:rsid w:val="006A25E5"/>
    <w:rsid w:val="006A2B46"/>
    <w:rsid w:val="006A336D"/>
    <w:rsid w:val="006A37B9"/>
    <w:rsid w:val="006B2672"/>
    <w:rsid w:val="006B54BF"/>
    <w:rsid w:val="006B5F44"/>
    <w:rsid w:val="006B5F90"/>
    <w:rsid w:val="006B62E4"/>
    <w:rsid w:val="006B68A6"/>
    <w:rsid w:val="006C1BBA"/>
    <w:rsid w:val="006C2079"/>
    <w:rsid w:val="006C5A62"/>
    <w:rsid w:val="006C5D68"/>
    <w:rsid w:val="006C6976"/>
    <w:rsid w:val="006C6DD0"/>
    <w:rsid w:val="006D04EA"/>
    <w:rsid w:val="006D07E1"/>
    <w:rsid w:val="006D16C4"/>
    <w:rsid w:val="006D3E96"/>
    <w:rsid w:val="006D4515"/>
    <w:rsid w:val="006D4BB1"/>
    <w:rsid w:val="006D4C9A"/>
    <w:rsid w:val="006D6593"/>
    <w:rsid w:val="006D6858"/>
    <w:rsid w:val="006E23EA"/>
    <w:rsid w:val="006E3408"/>
    <w:rsid w:val="006E3A81"/>
    <w:rsid w:val="006F03A8"/>
    <w:rsid w:val="006F08CB"/>
    <w:rsid w:val="006F1BCF"/>
    <w:rsid w:val="006F2ACA"/>
    <w:rsid w:val="006F2ADC"/>
    <w:rsid w:val="006F2BFE"/>
    <w:rsid w:val="006F31E9"/>
    <w:rsid w:val="006F6055"/>
    <w:rsid w:val="006F6284"/>
    <w:rsid w:val="007002C5"/>
    <w:rsid w:val="00704387"/>
    <w:rsid w:val="00704DDB"/>
    <w:rsid w:val="00707669"/>
    <w:rsid w:val="00711CBA"/>
    <w:rsid w:val="00711FB5"/>
    <w:rsid w:val="00712A01"/>
    <w:rsid w:val="00714F58"/>
    <w:rsid w:val="0071729F"/>
    <w:rsid w:val="0072150F"/>
    <w:rsid w:val="00721D17"/>
    <w:rsid w:val="00722B38"/>
    <w:rsid w:val="00722FBF"/>
    <w:rsid w:val="00722FC2"/>
    <w:rsid w:val="0072422D"/>
    <w:rsid w:val="00724879"/>
    <w:rsid w:val="00724E1B"/>
    <w:rsid w:val="00725949"/>
    <w:rsid w:val="00727FA2"/>
    <w:rsid w:val="007322D9"/>
    <w:rsid w:val="00732BC0"/>
    <w:rsid w:val="00733735"/>
    <w:rsid w:val="0073720F"/>
    <w:rsid w:val="00737796"/>
    <w:rsid w:val="007408E0"/>
    <w:rsid w:val="0074141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384"/>
    <w:rsid w:val="00765C43"/>
    <w:rsid w:val="00765EFB"/>
    <w:rsid w:val="007671CA"/>
    <w:rsid w:val="00767C61"/>
    <w:rsid w:val="0077008A"/>
    <w:rsid w:val="00773C1F"/>
    <w:rsid w:val="00774DA4"/>
    <w:rsid w:val="00776599"/>
    <w:rsid w:val="0078114B"/>
    <w:rsid w:val="00781DD2"/>
    <w:rsid w:val="00783ECF"/>
    <w:rsid w:val="0078413A"/>
    <w:rsid w:val="007865A0"/>
    <w:rsid w:val="007959E8"/>
    <w:rsid w:val="00795E9C"/>
    <w:rsid w:val="00796A01"/>
    <w:rsid w:val="007A0521"/>
    <w:rsid w:val="007A2E12"/>
    <w:rsid w:val="007A3475"/>
    <w:rsid w:val="007A41C8"/>
    <w:rsid w:val="007A54CE"/>
    <w:rsid w:val="007A6FD9"/>
    <w:rsid w:val="007A7FFA"/>
    <w:rsid w:val="007B04EB"/>
    <w:rsid w:val="007B0D4F"/>
    <w:rsid w:val="007B3C34"/>
    <w:rsid w:val="007B5A3D"/>
    <w:rsid w:val="007B5B95"/>
    <w:rsid w:val="007B68EA"/>
    <w:rsid w:val="007B7453"/>
    <w:rsid w:val="007B7A51"/>
    <w:rsid w:val="007C2D89"/>
    <w:rsid w:val="007C4593"/>
    <w:rsid w:val="007C5309"/>
    <w:rsid w:val="007C6069"/>
    <w:rsid w:val="007D06C4"/>
    <w:rsid w:val="007D1352"/>
    <w:rsid w:val="007D2508"/>
    <w:rsid w:val="007D346A"/>
    <w:rsid w:val="007D6518"/>
    <w:rsid w:val="007D76BD"/>
    <w:rsid w:val="007E0BF1"/>
    <w:rsid w:val="007E71A4"/>
    <w:rsid w:val="007F0ED8"/>
    <w:rsid w:val="007F0F63"/>
    <w:rsid w:val="007F75CE"/>
    <w:rsid w:val="007F7A1E"/>
    <w:rsid w:val="008013A4"/>
    <w:rsid w:val="008027CE"/>
    <w:rsid w:val="00802F42"/>
    <w:rsid w:val="00804383"/>
    <w:rsid w:val="00804BB7"/>
    <w:rsid w:val="00804D41"/>
    <w:rsid w:val="0080588B"/>
    <w:rsid w:val="00810257"/>
    <w:rsid w:val="008104F5"/>
    <w:rsid w:val="00811072"/>
    <w:rsid w:val="00811369"/>
    <w:rsid w:val="00815419"/>
    <w:rsid w:val="008163C8"/>
    <w:rsid w:val="008164A1"/>
    <w:rsid w:val="00817325"/>
    <w:rsid w:val="008209E6"/>
    <w:rsid w:val="00820BCA"/>
    <w:rsid w:val="00821514"/>
    <w:rsid w:val="00822487"/>
    <w:rsid w:val="00823303"/>
    <w:rsid w:val="008233B2"/>
    <w:rsid w:val="00823A9F"/>
    <w:rsid w:val="00823C85"/>
    <w:rsid w:val="00825138"/>
    <w:rsid w:val="008269DD"/>
    <w:rsid w:val="00830621"/>
    <w:rsid w:val="0083348C"/>
    <w:rsid w:val="008342D5"/>
    <w:rsid w:val="0083527E"/>
    <w:rsid w:val="008373D3"/>
    <w:rsid w:val="00837F04"/>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B13"/>
    <w:rsid w:val="00883F93"/>
    <w:rsid w:val="00884883"/>
    <w:rsid w:val="00884AB1"/>
    <w:rsid w:val="00884DB3"/>
    <w:rsid w:val="00885A9D"/>
    <w:rsid w:val="008864F6"/>
    <w:rsid w:val="0089049D"/>
    <w:rsid w:val="008928C9"/>
    <w:rsid w:val="008930CB"/>
    <w:rsid w:val="008938DC"/>
    <w:rsid w:val="00893FD1"/>
    <w:rsid w:val="00894836"/>
    <w:rsid w:val="00895172"/>
    <w:rsid w:val="00895680"/>
    <w:rsid w:val="00896DFF"/>
    <w:rsid w:val="0089762C"/>
    <w:rsid w:val="008A1783"/>
    <w:rsid w:val="008A1855"/>
    <w:rsid w:val="008A1893"/>
    <w:rsid w:val="008A31B8"/>
    <w:rsid w:val="008A3215"/>
    <w:rsid w:val="008A57E6"/>
    <w:rsid w:val="008A600C"/>
    <w:rsid w:val="008A6F81"/>
    <w:rsid w:val="008A769A"/>
    <w:rsid w:val="008B0C9C"/>
    <w:rsid w:val="008B166D"/>
    <w:rsid w:val="008B17F4"/>
    <w:rsid w:val="008B1A93"/>
    <w:rsid w:val="008B3615"/>
    <w:rsid w:val="008B4A7E"/>
    <w:rsid w:val="008B4AC4"/>
    <w:rsid w:val="008B50C8"/>
    <w:rsid w:val="008B5281"/>
    <w:rsid w:val="008B7E05"/>
    <w:rsid w:val="008C1797"/>
    <w:rsid w:val="008C219C"/>
    <w:rsid w:val="008C475E"/>
    <w:rsid w:val="008C519E"/>
    <w:rsid w:val="008C619A"/>
    <w:rsid w:val="008D0CE8"/>
    <w:rsid w:val="008D1CAF"/>
    <w:rsid w:val="008D2D1D"/>
    <w:rsid w:val="008D453D"/>
    <w:rsid w:val="008D53AD"/>
    <w:rsid w:val="008D562B"/>
    <w:rsid w:val="008D5733"/>
    <w:rsid w:val="008D622B"/>
    <w:rsid w:val="008D666C"/>
    <w:rsid w:val="008D7B46"/>
    <w:rsid w:val="008D7B54"/>
    <w:rsid w:val="008E0C9D"/>
    <w:rsid w:val="008E1648"/>
    <w:rsid w:val="008E1B3E"/>
    <w:rsid w:val="008E2319"/>
    <w:rsid w:val="008E4BB6"/>
    <w:rsid w:val="008E5518"/>
    <w:rsid w:val="008E6A84"/>
    <w:rsid w:val="008F0CDC"/>
    <w:rsid w:val="008F17A3"/>
    <w:rsid w:val="008F1ED3"/>
    <w:rsid w:val="008F23A5"/>
    <w:rsid w:val="008F4C29"/>
    <w:rsid w:val="008F68E9"/>
    <w:rsid w:val="008F70BD"/>
    <w:rsid w:val="008F788F"/>
    <w:rsid w:val="008F7EA2"/>
    <w:rsid w:val="00902722"/>
    <w:rsid w:val="009027BC"/>
    <w:rsid w:val="00904ED7"/>
    <w:rsid w:val="009062E6"/>
    <w:rsid w:val="00906F68"/>
    <w:rsid w:val="00911BE5"/>
    <w:rsid w:val="00913CA9"/>
    <w:rsid w:val="009145AE"/>
    <w:rsid w:val="009146CE"/>
    <w:rsid w:val="00914CA7"/>
    <w:rsid w:val="00915C3E"/>
    <w:rsid w:val="009161A8"/>
    <w:rsid w:val="00922060"/>
    <w:rsid w:val="009245F5"/>
    <w:rsid w:val="009249EC"/>
    <w:rsid w:val="009273B3"/>
    <w:rsid w:val="009305B5"/>
    <w:rsid w:val="00934910"/>
    <w:rsid w:val="00935916"/>
    <w:rsid w:val="009429D5"/>
    <w:rsid w:val="00942BF1"/>
    <w:rsid w:val="00945180"/>
    <w:rsid w:val="00945428"/>
    <w:rsid w:val="0094607B"/>
    <w:rsid w:val="0095314C"/>
    <w:rsid w:val="00953604"/>
    <w:rsid w:val="0095496B"/>
    <w:rsid w:val="009610DC"/>
    <w:rsid w:val="00961490"/>
    <w:rsid w:val="0096381A"/>
    <w:rsid w:val="00965E04"/>
    <w:rsid w:val="009674AD"/>
    <w:rsid w:val="00970A35"/>
    <w:rsid w:val="00970CDC"/>
    <w:rsid w:val="00977010"/>
    <w:rsid w:val="00977D02"/>
    <w:rsid w:val="009809BB"/>
    <w:rsid w:val="0098364B"/>
    <w:rsid w:val="009911AF"/>
    <w:rsid w:val="00991875"/>
    <w:rsid w:val="00991F92"/>
    <w:rsid w:val="00992985"/>
    <w:rsid w:val="00992EF2"/>
    <w:rsid w:val="00993889"/>
    <w:rsid w:val="009940E0"/>
    <w:rsid w:val="0099551B"/>
    <w:rsid w:val="00997BF1"/>
    <w:rsid w:val="009A050C"/>
    <w:rsid w:val="009A089C"/>
    <w:rsid w:val="009A118E"/>
    <w:rsid w:val="009A21CD"/>
    <w:rsid w:val="009A278C"/>
    <w:rsid w:val="009A2BC2"/>
    <w:rsid w:val="009A42C1"/>
    <w:rsid w:val="009A5429"/>
    <w:rsid w:val="009A72AD"/>
    <w:rsid w:val="009B09E0"/>
    <w:rsid w:val="009B0BC5"/>
    <w:rsid w:val="009B1247"/>
    <w:rsid w:val="009B6029"/>
    <w:rsid w:val="009B6971"/>
    <w:rsid w:val="009C006C"/>
    <w:rsid w:val="009C27F1"/>
    <w:rsid w:val="009C3152"/>
    <w:rsid w:val="009C4CFA"/>
    <w:rsid w:val="009C5070"/>
    <w:rsid w:val="009D112C"/>
    <w:rsid w:val="009D47FA"/>
    <w:rsid w:val="009D4C5B"/>
    <w:rsid w:val="009D50D2"/>
    <w:rsid w:val="009D6BCA"/>
    <w:rsid w:val="009E0F62"/>
    <w:rsid w:val="009E49E8"/>
    <w:rsid w:val="009E4A58"/>
    <w:rsid w:val="009E5A2D"/>
    <w:rsid w:val="009E5AB2"/>
    <w:rsid w:val="009E6219"/>
    <w:rsid w:val="009F03B3"/>
    <w:rsid w:val="009F313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CD3"/>
    <w:rsid w:val="00A30EFC"/>
    <w:rsid w:val="00A30F66"/>
    <w:rsid w:val="00A31984"/>
    <w:rsid w:val="00A32058"/>
    <w:rsid w:val="00A32D73"/>
    <w:rsid w:val="00A3367B"/>
    <w:rsid w:val="00A34021"/>
    <w:rsid w:val="00A3597D"/>
    <w:rsid w:val="00A36DD1"/>
    <w:rsid w:val="00A4006C"/>
    <w:rsid w:val="00A40091"/>
    <w:rsid w:val="00A4030F"/>
    <w:rsid w:val="00A406E3"/>
    <w:rsid w:val="00A41C79"/>
    <w:rsid w:val="00A41CB5"/>
    <w:rsid w:val="00A42CDF"/>
    <w:rsid w:val="00A4452E"/>
    <w:rsid w:val="00A4472C"/>
    <w:rsid w:val="00A44E69"/>
    <w:rsid w:val="00A45B41"/>
    <w:rsid w:val="00A4661E"/>
    <w:rsid w:val="00A526EF"/>
    <w:rsid w:val="00A55BD6"/>
    <w:rsid w:val="00A55D50"/>
    <w:rsid w:val="00A565E8"/>
    <w:rsid w:val="00A57142"/>
    <w:rsid w:val="00A613D4"/>
    <w:rsid w:val="00A648CD"/>
    <w:rsid w:val="00A6537A"/>
    <w:rsid w:val="00A67866"/>
    <w:rsid w:val="00A70B07"/>
    <w:rsid w:val="00A7183C"/>
    <w:rsid w:val="00A723F8"/>
    <w:rsid w:val="00A77CCB"/>
    <w:rsid w:val="00A81DE5"/>
    <w:rsid w:val="00A83D8D"/>
    <w:rsid w:val="00A8446B"/>
    <w:rsid w:val="00A8473F"/>
    <w:rsid w:val="00A862D6"/>
    <w:rsid w:val="00A8715E"/>
    <w:rsid w:val="00A9295B"/>
    <w:rsid w:val="00A93B09"/>
    <w:rsid w:val="00A94247"/>
    <w:rsid w:val="00A952D7"/>
    <w:rsid w:val="00A963F7"/>
    <w:rsid w:val="00A96AD8"/>
    <w:rsid w:val="00AA052C"/>
    <w:rsid w:val="00AA09F7"/>
    <w:rsid w:val="00AA1E45"/>
    <w:rsid w:val="00AA4286"/>
    <w:rsid w:val="00AA456B"/>
    <w:rsid w:val="00AA57F5"/>
    <w:rsid w:val="00AA672E"/>
    <w:rsid w:val="00AA6EC9"/>
    <w:rsid w:val="00AA7A5C"/>
    <w:rsid w:val="00AB6309"/>
    <w:rsid w:val="00AB6C5F"/>
    <w:rsid w:val="00AB7129"/>
    <w:rsid w:val="00AB755D"/>
    <w:rsid w:val="00AC0594"/>
    <w:rsid w:val="00AC0EF9"/>
    <w:rsid w:val="00AC27A6"/>
    <w:rsid w:val="00AC30F7"/>
    <w:rsid w:val="00AC3A5A"/>
    <w:rsid w:val="00AC4D95"/>
    <w:rsid w:val="00AC5DF4"/>
    <w:rsid w:val="00AD0AEF"/>
    <w:rsid w:val="00AD11B7"/>
    <w:rsid w:val="00AD1A94"/>
    <w:rsid w:val="00AD1B55"/>
    <w:rsid w:val="00AD1C05"/>
    <w:rsid w:val="00AD2A9B"/>
    <w:rsid w:val="00AD4126"/>
    <w:rsid w:val="00AD421C"/>
    <w:rsid w:val="00AD44FA"/>
    <w:rsid w:val="00AD589E"/>
    <w:rsid w:val="00AD653D"/>
    <w:rsid w:val="00AD7758"/>
    <w:rsid w:val="00AE070A"/>
    <w:rsid w:val="00AE101C"/>
    <w:rsid w:val="00AE37E5"/>
    <w:rsid w:val="00AE387A"/>
    <w:rsid w:val="00AE5830"/>
    <w:rsid w:val="00AE5A93"/>
    <w:rsid w:val="00AE5EB4"/>
    <w:rsid w:val="00AE702C"/>
    <w:rsid w:val="00AE7C8F"/>
    <w:rsid w:val="00AF0C18"/>
    <w:rsid w:val="00AF3D4F"/>
    <w:rsid w:val="00AF47C5"/>
    <w:rsid w:val="00AF5398"/>
    <w:rsid w:val="00B01E11"/>
    <w:rsid w:val="00B049AF"/>
    <w:rsid w:val="00B07242"/>
    <w:rsid w:val="00B072B9"/>
    <w:rsid w:val="00B10534"/>
    <w:rsid w:val="00B113DB"/>
    <w:rsid w:val="00B11D8A"/>
    <w:rsid w:val="00B12981"/>
    <w:rsid w:val="00B1365A"/>
    <w:rsid w:val="00B14562"/>
    <w:rsid w:val="00B147DD"/>
    <w:rsid w:val="00B156FD"/>
    <w:rsid w:val="00B200DE"/>
    <w:rsid w:val="00B21F61"/>
    <w:rsid w:val="00B261F1"/>
    <w:rsid w:val="00B265BC"/>
    <w:rsid w:val="00B26D70"/>
    <w:rsid w:val="00B31FB1"/>
    <w:rsid w:val="00B33952"/>
    <w:rsid w:val="00B33C5E"/>
    <w:rsid w:val="00B342F4"/>
    <w:rsid w:val="00B34369"/>
    <w:rsid w:val="00B34DC2"/>
    <w:rsid w:val="00B35B5E"/>
    <w:rsid w:val="00B378E5"/>
    <w:rsid w:val="00B41940"/>
    <w:rsid w:val="00B4346D"/>
    <w:rsid w:val="00B43D86"/>
    <w:rsid w:val="00B440F4"/>
    <w:rsid w:val="00B447A5"/>
    <w:rsid w:val="00B45604"/>
    <w:rsid w:val="00B4654C"/>
    <w:rsid w:val="00B47293"/>
    <w:rsid w:val="00B50E50"/>
    <w:rsid w:val="00B52120"/>
    <w:rsid w:val="00B53186"/>
    <w:rsid w:val="00B54ABC"/>
    <w:rsid w:val="00B56FBE"/>
    <w:rsid w:val="00B60ACF"/>
    <w:rsid w:val="00B62B58"/>
    <w:rsid w:val="00B63EFB"/>
    <w:rsid w:val="00B65149"/>
    <w:rsid w:val="00B66567"/>
    <w:rsid w:val="00B66F52"/>
    <w:rsid w:val="00B66FE5"/>
    <w:rsid w:val="00B72880"/>
    <w:rsid w:val="00B758BF"/>
    <w:rsid w:val="00B77EC8"/>
    <w:rsid w:val="00B827A6"/>
    <w:rsid w:val="00B831CE"/>
    <w:rsid w:val="00B832CB"/>
    <w:rsid w:val="00B86677"/>
    <w:rsid w:val="00B87131"/>
    <w:rsid w:val="00B939B1"/>
    <w:rsid w:val="00B96D40"/>
    <w:rsid w:val="00B97386"/>
    <w:rsid w:val="00BA19EC"/>
    <w:rsid w:val="00BA263B"/>
    <w:rsid w:val="00BA42B2"/>
    <w:rsid w:val="00BA58D4"/>
    <w:rsid w:val="00BA5B9E"/>
    <w:rsid w:val="00BA7C9A"/>
    <w:rsid w:val="00BB5F8F"/>
    <w:rsid w:val="00BB657A"/>
    <w:rsid w:val="00BC1A4E"/>
    <w:rsid w:val="00BC5DC7"/>
    <w:rsid w:val="00BC6B8B"/>
    <w:rsid w:val="00BC73D8"/>
    <w:rsid w:val="00BD52D7"/>
    <w:rsid w:val="00BD5AD2"/>
    <w:rsid w:val="00BE194F"/>
    <w:rsid w:val="00BE22F3"/>
    <w:rsid w:val="00BE236F"/>
    <w:rsid w:val="00BE5B52"/>
    <w:rsid w:val="00BE7B8D"/>
    <w:rsid w:val="00BF0993"/>
    <w:rsid w:val="00BF10A9"/>
    <w:rsid w:val="00BF1703"/>
    <w:rsid w:val="00BF231C"/>
    <w:rsid w:val="00BF51E5"/>
    <w:rsid w:val="00BF74A6"/>
    <w:rsid w:val="00C00901"/>
    <w:rsid w:val="00C013AD"/>
    <w:rsid w:val="00C04904"/>
    <w:rsid w:val="00C056B3"/>
    <w:rsid w:val="00C103E5"/>
    <w:rsid w:val="00C11452"/>
    <w:rsid w:val="00C13319"/>
    <w:rsid w:val="00C13EE9"/>
    <w:rsid w:val="00C15F48"/>
    <w:rsid w:val="00C21540"/>
    <w:rsid w:val="00C21906"/>
    <w:rsid w:val="00C21BFA"/>
    <w:rsid w:val="00C22148"/>
    <w:rsid w:val="00C2390E"/>
    <w:rsid w:val="00C24C8D"/>
    <w:rsid w:val="00C25FE2"/>
    <w:rsid w:val="00C26309"/>
    <w:rsid w:val="00C26B53"/>
    <w:rsid w:val="00C279B2"/>
    <w:rsid w:val="00C33315"/>
    <w:rsid w:val="00C33E50"/>
    <w:rsid w:val="00C34C20"/>
    <w:rsid w:val="00C35A3E"/>
    <w:rsid w:val="00C40B86"/>
    <w:rsid w:val="00C42130"/>
    <w:rsid w:val="00C423A4"/>
    <w:rsid w:val="00C4389E"/>
    <w:rsid w:val="00C44BF5"/>
    <w:rsid w:val="00C521D6"/>
    <w:rsid w:val="00C55232"/>
    <w:rsid w:val="00C553A4"/>
    <w:rsid w:val="00C55A06"/>
    <w:rsid w:val="00C55D03"/>
    <w:rsid w:val="00C57329"/>
    <w:rsid w:val="00C601BC"/>
    <w:rsid w:val="00C6329F"/>
    <w:rsid w:val="00C63340"/>
    <w:rsid w:val="00C643F9"/>
    <w:rsid w:val="00C64E95"/>
    <w:rsid w:val="00C71372"/>
    <w:rsid w:val="00C72410"/>
    <w:rsid w:val="00C7287F"/>
    <w:rsid w:val="00C80CB8"/>
    <w:rsid w:val="00C819F8"/>
    <w:rsid w:val="00C8248C"/>
    <w:rsid w:val="00C84BCF"/>
    <w:rsid w:val="00C84E33"/>
    <w:rsid w:val="00C86D6F"/>
    <w:rsid w:val="00C905FC"/>
    <w:rsid w:val="00C92D03"/>
    <w:rsid w:val="00C9319C"/>
    <w:rsid w:val="00C93B28"/>
    <w:rsid w:val="00C9435D"/>
    <w:rsid w:val="00C94DF2"/>
    <w:rsid w:val="00C96741"/>
    <w:rsid w:val="00CA2D1B"/>
    <w:rsid w:val="00CA375D"/>
    <w:rsid w:val="00CA3EA4"/>
    <w:rsid w:val="00CA662A"/>
    <w:rsid w:val="00CA7AFD"/>
    <w:rsid w:val="00CA7C3C"/>
    <w:rsid w:val="00CB0189"/>
    <w:rsid w:val="00CB0BA2"/>
    <w:rsid w:val="00CB1A42"/>
    <w:rsid w:val="00CB1B0C"/>
    <w:rsid w:val="00CB2C0B"/>
    <w:rsid w:val="00CB517D"/>
    <w:rsid w:val="00CB7C5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A60"/>
    <w:rsid w:val="00CD7E5C"/>
    <w:rsid w:val="00CE0C4F"/>
    <w:rsid w:val="00CE156B"/>
    <w:rsid w:val="00CE30EA"/>
    <w:rsid w:val="00CF048A"/>
    <w:rsid w:val="00CF155A"/>
    <w:rsid w:val="00CF2947"/>
    <w:rsid w:val="00CF686F"/>
    <w:rsid w:val="00CF6E60"/>
    <w:rsid w:val="00CF7BCA"/>
    <w:rsid w:val="00D008FD"/>
    <w:rsid w:val="00D0321C"/>
    <w:rsid w:val="00D035EC"/>
    <w:rsid w:val="00D04C75"/>
    <w:rsid w:val="00D06AB1"/>
    <w:rsid w:val="00D072ED"/>
    <w:rsid w:val="00D07A16"/>
    <w:rsid w:val="00D1067E"/>
    <w:rsid w:val="00D10D15"/>
    <w:rsid w:val="00D10F50"/>
    <w:rsid w:val="00D11272"/>
    <w:rsid w:val="00D11EAE"/>
    <w:rsid w:val="00D126F5"/>
    <w:rsid w:val="00D1489E"/>
    <w:rsid w:val="00D20737"/>
    <w:rsid w:val="00D21A85"/>
    <w:rsid w:val="00D21E81"/>
    <w:rsid w:val="00D223DE"/>
    <w:rsid w:val="00D2298F"/>
    <w:rsid w:val="00D25E37"/>
    <w:rsid w:val="00D2661A"/>
    <w:rsid w:val="00D27582"/>
    <w:rsid w:val="00D27EC4"/>
    <w:rsid w:val="00D32719"/>
    <w:rsid w:val="00D33333"/>
    <w:rsid w:val="00D33457"/>
    <w:rsid w:val="00D350E6"/>
    <w:rsid w:val="00D352A2"/>
    <w:rsid w:val="00D4162B"/>
    <w:rsid w:val="00D43073"/>
    <w:rsid w:val="00D4514F"/>
    <w:rsid w:val="00D451E2"/>
    <w:rsid w:val="00D45E89"/>
    <w:rsid w:val="00D45E8D"/>
    <w:rsid w:val="00D466AE"/>
    <w:rsid w:val="00D4734F"/>
    <w:rsid w:val="00D51BF3"/>
    <w:rsid w:val="00D66846"/>
    <w:rsid w:val="00D675FB"/>
    <w:rsid w:val="00D71F25"/>
    <w:rsid w:val="00D72A9C"/>
    <w:rsid w:val="00D7497C"/>
    <w:rsid w:val="00D77031"/>
    <w:rsid w:val="00D84941"/>
    <w:rsid w:val="00D84FA1"/>
    <w:rsid w:val="00D85136"/>
    <w:rsid w:val="00D851F0"/>
    <w:rsid w:val="00D86DB7"/>
    <w:rsid w:val="00D926D0"/>
    <w:rsid w:val="00D93030"/>
    <w:rsid w:val="00D950E1"/>
    <w:rsid w:val="00D952A6"/>
    <w:rsid w:val="00D97F99"/>
    <w:rsid w:val="00DA1E08"/>
    <w:rsid w:val="00DA24F8"/>
    <w:rsid w:val="00DA28E8"/>
    <w:rsid w:val="00DA38D3"/>
    <w:rsid w:val="00DA3932"/>
    <w:rsid w:val="00DA3AFC"/>
    <w:rsid w:val="00DA560A"/>
    <w:rsid w:val="00DA5EA2"/>
    <w:rsid w:val="00DA64F8"/>
    <w:rsid w:val="00DA6C15"/>
    <w:rsid w:val="00DB0258"/>
    <w:rsid w:val="00DB11CB"/>
    <w:rsid w:val="00DB38EE"/>
    <w:rsid w:val="00DB490D"/>
    <w:rsid w:val="00DB498B"/>
    <w:rsid w:val="00DB66CA"/>
    <w:rsid w:val="00DB6BCA"/>
    <w:rsid w:val="00DB73F7"/>
    <w:rsid w:val="00DC0321"/>
    <w:rsid w:val="00DC3067"/>
    <w:rsid w:val="00DC370B"/>
    <w:rsid w:val="00DC5B90"/>
    <w:rsid w:val="00DC6F3C"/>
    <w:rsid w:val="00DD00FF"/>
    <w:rsid w:val="00DD0619"/>
    <w:rsid w:val="00DD07FB"/>
    <w:rsid w:val="00DD25C6"/>
    <w:rsid w:val="00DD4FE5"/>
    <w:rsid w:val="00DD54B0"/>
    <w:rsid w:val="00DD57EE"/>
    <w:rsid w:val="00DD5A4C"/>
    <w:rsid w:val="00DD6BCC"/>
    <w:rsid w:val="00DE0A4B"/>
    <w:rsid w:val="00DE2410"/>
    <w:rsid w:val="00DE2939"/>
    <w:rsid w:val="00DE6E81"/>
    <w:rsid w:val="00DE703F"/>
    <w:rsid w:val="00DE7595"/>
    <w:rsid w:val="00DF1961"/>
    <w:rsid w:val="00DF44DE"/>
    <w:rsid w:val="00E01138"/>
    <w:rsid w:val="00E012F1"/>
    <w:rsid w:val="00E02DFB"/>
    <w:rsid w:val="00E030F9"/>
    <w:rsid w:val="00E0311A"/>
    <w:rsid w:val="00E03138"/>
    <w:rsid w:val="00E06404"/>
    <w:rsid w:val="00E0692F"/>
    <w:rsid w:val="00E11A85"/>
    <w:rsid w:val="00E12495"/>
    <w:rsid w:val="00E15CCD"/>
    <w:rsid w:val="00E202EF"/>
    <w:rsid w:val="00E20501"/>
    <w:rsid w:val="00E210B5"/>
    <w:rsid w:val="00E23D99"/>
    <w:rsid w:val="00E2552F"/>
    <w:rsid w:val="00E303A8"/>
    <w:rsid w:val="00E3137A"/>
    <w:rsid w:val="00E32CCF"/>
    <w:rsid w:val="00E34A98"/>
    <w:rsid w:val="00E35D1E"/>
    <w:rsid w:val="00E364F9"/>
    <w:rsid w:val="00E365FA"/>
    <w:rsid w:val="00E36789"/>
    <w:rsid w:val="00E41E63"/>
    <w:rsid w:val="00E44A83"/>
    <w:rsid w:val="00E4572C"/>
    <w:rsid w:val="00E502C1"/>
    <w:rsid w:val="00E502DD"/>
    <w:rsid w:val="00E50D3A"/>
    <w:rsid w:val="00E51387"/>
    <w:rsid w:val="00E51E68"/>
    <w:rsid w:val="00E52EFD"/>
    <w:rsid w:val="00E5408A"/>
    <w:rsid w:val="00E546F0"/>
    <w:rsid w:val="00E55576"/>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EA5"/>
    <w:rsid w:val="00EA2E16"/>
    <w:rsid w:val="00EA58D1"/>
    <w:rsid w:val="00EA61BC"/>
    <w:rsid w:val="00EA681A"/>
    <w:rsid w:val="00EA735B"/>
    <w:rsid w:val="00EB17DE"/>
    <w:rsid w:val="00EB1E69"/>
    <w:rsid w:val="00EB2086"/>
    <w:rsid w:val="00EB5252"/>
    <w:rsid w:val="00EB5EDF"/>
    <w:rsid w:val="00EB60FE"/>
    <w:rsid w:val="00EB6617"/>
    <w:rsid w:val="00EB74DB"/>
    <w:rsid w:val="00EC16A4"/>
    <w:rsid w:val="00EC48C3"/>
    <w:rsid w:val="00EC5359"/>
    <w:rsid w:val="00EC562A"/>
    <w:rsid w:val="00ED067A"/>
    <w:rsid w:val="00ED2B50"/>
    <w:rsid w:val="00ED5A02"/>
    <w:rsid w:val="00EE0350"/>
    <w:rsid w:val="00EE06CB"/>
    <w:rsid w:val="00EE0719"/>
    <w:rsid w:val="00EE0E80"/>
    <w:rsid w:val="00EE54A6"/>
    <w:rsid w:val="00EE613F"/>
    <w:rsid w:val="00EE7295"/>
    <w:rsid w:val="00EE7869"/>
    <w:rsid w:val="00EF054A"/>
    <w:rsid w:val="00EF24C4"/>
    <w:rsid w:val="00EF3235"/>
    <w:rsid w:val="00EF7E72"/>
    <w:rsid w:val="00F06D37"/>
    <w:rsid w:val="00F07B9D"/>
    <w:rsid w:val="00F10C22"/>
    <w:rsid w:val="00F11586"/>
    <w:rsid w:val="00F1183B"/>
    <w:rsid w:val="00F11C9F"/>
    <w:rsid w:val="00F12263"/>
    <w:rsid w:val="00F1409D"/>
    <w:rsid w:val="00F14214"/>
    <w:rsid w:val="00F157A9"/>
    <w:rsid w:val="00F1762D"/>
    <w:rsid w:val="00F25BB6"/>
    <w:rsid w:val="00F26B7E"/>
    <w:rsid w:val="00F27A3B"/>
    <w:rsid w:val="00F30A84"/>
    <w:rsid w:val="00F33817"/>
    <w:rsid w:val="00F36380"/>
    <w:rsid w:val="00F41589"/>
    <w:rsid w:val="00F420D5"/>
    <w:rsid w:val="00F451EA"/>
    <w:rsid w:val="00F45447"/>
    <w:rsid w:val="00F456C6"/>
    <w:rsid w:val="00F4577B"/>
    <w:rsid w:val="00F46496"/>
    <w:rsid w:val="00F474D0"/>
    <w:rsid w:val="00F4782D"/>
    <w:rsid w:val="00F50179"/>
    <w:rsid w:val="00F515EE"/>
    <w:rsid w:val="00F52E59"/>
    <w:rsid w:val="00F56511"/>
    <w:rsid w:val="00F6194E"/>
    <w:rsid w:val="00F623AC"/>
    <w:rsid w:val="00F6412A"/>
    <w:rsid w:val="00F65893"/>
    <w:rsid w:val="00F66A4A"/>
    <w:rsid w:val="00F71E22"/>
    <w:rsid w:val="00F72142"/>
    <w:rsid w:val="00F72AE7"/>
    <w:rsid w:val="00F80C8C"/>
    <w:rsid w:val="00F80F01"/>
    <w:rsid w:val="00F833BA"/>
    <w:rsid w:val="00F84FD0"/>
    <w:rsid w:val="00F859A8"/>
    <w:rsid w:val="00F86D87"/>
    <w:rsid w:val="00F9108B"/>
    <w:rsid w:val="00F91349"/>
    <w:rsid w:val="00F93A8A"/>
    <w:rsid w:val="00F95248"/>
    <w:rsid w:val="00F956A9"/>
    <w:rsid w:val="00F963ED"/>
    <w:rsid w:val="00F966CF"/>
    <w:rsid w:val="00F96CAE"/>
    <w:rsid w:val="00F97C99"/>
    <w:rsid w:val="00FA2C71"/>
    <w:rsid w:val="00FA662D"/>
    <w:rsid w:val="00FA73B1"/>
    <w:rsid w:val="00FB0213"/>
    <w:rsid w:val="00FB0CB9"/>
    <w:rsid w:val="00FB16EC"/>
    <w:rsid w:val="00FB231D"/>
    <w:rsid w:val="00FB28C7"/>
    <w:rsid w:val="00FB45F1"/>
    <w:rsid w:val="00FB4A72"/>
    <w:rsid w:val="00FB54E8"/>
    <w:rsid w:val="00FB7054"/>
    <w:rsid w:val="00FB7F0F"/>
    <w:rsid w:val="00FC17B7"/>
    <w:rsid w:val="00FC2CB7"/>
    <w:rsid w:val="00FC4090"/>
    <w:rsid w:val="00FC55B4"/>
    <w:rsid w:val="00FC6E34"/>
    <w:rsid w:val="00FD00E6"/>
    <w:rsid w:val="00FD09A1"/>
    <w:rsid w:val="00FD2A7C"/>
    <w:rsid w:val="00FD411C"/>
    <w:rsid w:val="00FD59EB"/>
    <w:rsid w:val="00FD7299"/>
    <w:rsid w:val="00FE1FBE"/>
    <w:rsid w:val="00FE3901"/>
    <w:rsid w:val="00FE39D3"/>
    <w:rsid w:val="00FE4BCE"/>
    <w:rsid w:val="00FE54AE"/>
    <w:rsid w:val="00FE576A"/>
    <w:rsid w:val="00FE7E79"/>
    <w:rsid w:val="00FF3E7D"/>
    <w:rsid w:val="00FF491E"/>
    <w:rsid w:val="00FF5B99"/>
    <w:rsid w:val="00FF5FC6"/>
    <w:rsid w:val="00FF730C"/>
    <w:rsid w:val="00FF73F4"/>
    <w:rsid w:val="00FF7CE4"/>
    <w:rsid w:val="00FF7E39"/>
    <w:rsid w:val="01A65068"/>
    <w:rsid w:val="021D3C05"/>
    <w:rsid w:val="02FF1150"/>
    <w:rsid w:val="099E1F14"/>
    <w:rsid w:val="0E883075"/>
    <w:rsid w:val="1112681A"/>
    <w:rsid w:val="11A11CCF"/>
    <w:rsid w:val="124E5094"/>
    <w:rsid w:val="15445917"/>
    <w:rsid w:val="15DB7EA4"/>
    <w:rsid w:val="161A63AA"/>
    <w:rsid w:val="174C3C3C"/>
    <w:rsid w:val="18775173"/>
    <w:rsid w:val="1B130EE3"/>
    <w:rsid w:val="1D511691"/>
    <w:rsid w:val="1E6E02FD"/>
    <w:rsid w:val="207E720A"/>
    <w:rsid w:val="22954DE5"/>
    <w:rsid w:val="25750BD5"/>
    <w:rsid w:val="3011443B"/>
    <w:rsid w:val="30473C76"/>
    <w:rsid w:val="30D24323"/>
    <w:rsid w:val="324D537A"/>
    <w:rsid w:val="3A6C3CFC"/>
    <w:rsid w:val="3ADA638D"/>
    <w:rsid w:val="3E1D078E"/>
    <w:rsid w:val="3ED7731E"/>
    <w:rsid w:val="432149F2"/>
    <w:rsid w:val="44501AA6"/>
    <w:rsid w:val="4BEB08DE"/>
    <w:rsid w:val="512963B4"/>
    <w:rsid w:val="51F62284"/>
    <w:rsid w:val="543D7482"/>
    <w:rsid w:val="566C5BC5"/>
    <w:rsid w:val="56F15EAF"/>
    <w:rsid w:val="5869487F"/>
    <w:rsid w:val="58FF0F7A"/>
    <w:rsid w:val="593A09A7"/>
    <w:rsid w:val="597B514E"/>
    <w:rsid w:val="5AEB7B8E"/>
    <w:rsid w:val="5C945491"/>
    <w:rsid w:val="5CD610CB"/>
    <w:rsid w:val="5DEA7C65"/>
    <w:rsid w:val="5E080A20"/>
    <w:rsid w:val="5E32544C"/>
    <w:rsid w:val="60BA40AB"/>
    <w:rsid w:val="640D40B4"/>
    <w:rsid w:val="66DF3B52"/>
    <w:rsid w:val="675B2BAA"/>
    <w:rsid w:val="6B2313EE"/>
    <w:rsid w:val="73096F4B"/>
    <w:rsid w:val="74CB2EAA"/>
    <w:rsid w:val="753538AB"/>
    <w:rsid w:val="75A02087"/>
    <w:rsid w:val="7BD12838"/>
    <w:rsid w:val="7F0359F3"/>
    <w:rsid w:val="7FCA6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ind w:left="210" w:leftChars="100"/>
      <w:outlineLvl w:val="3"/>
    </w:pPr>
    <w:rPr>
      <w:rFonts w:hAnsi="黑体"/>
    </w:r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7938"/>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3322563D2A54A3AA06A193CA22CC9F3"/>
        <w:style w:val=""/>
        <w:category>
          <w:name w:val="常规"/>
          <w:gallery w:val="placeholder"/>
        </w:category>
        <w:types>
          <w:type w:val="bbPlcHdr"/>
        </w:types>
        <w:behaviors>
          <w:behavior w:val="content"/>
        </w:behaviors>
        <w:description w:val=""/>
        <w:guid w:val="{48BFFF9F-8393-4F34-AFB4-4134925CA1ED}"/>
      </w:docPartPr>
      <w:docPartBody>
        <w:p w14:paraId="5699B149">
          <w:pPr>
            <w:pStyle w:val="5"/>
            <w:rPr>
              <w:rFonts w:hint="eastAsia"/>
            </w:rPr>
          </w:pPr>
          <w:r>
            <w:rPr>
              <w:rStyle w:val="4"/>
              <w:rFonts w:hint="eastAsia"/>
            </w:rPr>
            <w:t>单击或点击此处输入文字。</w:t>
          </w:r>
        </w:p>
      </w:docPartBody>
    </w:docPart>
    <w:docPart>
      <w:docPartPr>
        <w:name w:val="56538A671A4341D09F751E7DDEC2DE8F"/>
        <w:style w:val=""/>
        <w:category>
          <w:name w:val="常规"/>
          <w:gallery w:val="placeholder"/>
        </w:category>
        <w:types>
          <w:type w:val="bbPlcHdr"/>
        </w:types>
        <w:behaviors>
          <w:behavior w:val="content"/>
        </w:behaviors>
        <w:description w:val=""/>
        <w:guid w:val="{69C6E02A-DB50-4212-A692-12AB3F758311}"/>
      </w:docPartPr>
      <w:docPartBody>
        <w:p w14:paraId="301BADD9">
          <w:pPr>
            <w:pStyle w:val="6"/>
            <w:rPr>
              <w:rFonts w:hint="eastAsia"/>
            </w:rPr>
          </w:pPr>
          <w:r>
            <w:rPr>
              <w:rStyle w:val="4"/>
              <w:rFonts w:hint="eastAsia"/>
            </w:rPr>
            <w:t>选择一项。</w:t>
          </w:r>
        </w:p>
      </w:docPartBody>
    </w:docPart>
    <w:docPart>
      <w:docPartPr>
        <w:name w:val="5832F16ADC0144A9AD8A83927FD4EA7E"/>
        <w:style w:val=""/>
        <w:category>
          <w:name w:val="常规"/>
          <w:gallery w:val="placeholder"/>
        </w:category>
        <w:types>
          <w:type w:val="bbPlcHdr"/>
        </w:types>
        <w:behaviors>
          <w:behavior w:val="content"/>
        </w:behaviors>
        <w:description w:val=""/>
        <w:guid w:val="{5F59AC7F-7E70-4533-8322-08EB1CB223D1}"/>
      </w:docPartPr>
      <w:docPartBody>
        <w:p w14:paraId="0A288635">
          <w:pPr>
            <w:pStyle w:val="7"/>
            <w:rPr>
              <w:rFonts w:hint="eastAsia"/>
            </w:rPr>
          </w:pPr>
          <w:r>
            <w:rPr>
              <w:rStyle w:val="4"/>
              <w:rFonts w:hint="eastAsia"/>
            </w:rPr>
            <w:t>选择一项。</w:t>
          </w:r>
        </w:p>
      </w:docPartBody>
    </w:docPart>
    <w:docPart>
      <w:docPartPr>
        <w:name w:val="{4d7a6112-3fdd-48fd-9111-4a4e4f97e0be}"/>
        <w:style w:val=""/>
        <w:category>
          <w:name w:val="常规"/>
          <w:gallery w:val="placeholder"/>
        </w:category>
        <w:types>
          <w:type w:val="bbPlcHdr"/>
        </w:types>
        <w:behaviors>
          <w:behavior w:val="content"/>
        </w:behaviors>
        <w:description w:val=""/>
        <w:guid w:val="{4D7A6112-3FDD-48FD-9111-4A4E4F97E0BE}"/>
      </w:docPartPr>
      <w:docPartBody>
        <w:p w14:paraId="0F210BF7">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7C1"/>
    <w:rsid w:val="000749FA"/>
    <w:rsid w:val="00163CAA"/>
    <w:rsid w:val="00167DC8"/>
    <w:rsid w:val="0019624C"/>
    <w:rsid w:val="002B358B"/>
    <w:rsid w:val="003007C1"/>
    <w:rsid w:val="0038254F"/>
    <w:rsid w:val="003A0121"/>
    <w:rsid w:val="00404F1C"/>
    <w:rsid w:val="0040665C"/>
    <w:rsid w:val="00444274"/>
    <w:rsid w:val="004E3069"/>
    <w:rsid w:val="004E7871"/>
    <w:rsid w:val="00500778"/>
    <w:rsid w:val="005919BA"/>
    <w:rsid w:val="00594898"/>
    <w:rsid w:val="00596E94"/>
    <w:rsid w:val="005C0C1F"/>
    <w:rsid w:val="005F128E"/>
    <w:rsid w:val="006308B0"/>
    <w:rsid w:val="00671CBC"/>
    <w:rsid w:val="006A6EFE"/>
    <w:rsid w:val="006F2572"/>
    <w:rsid w:val="006F6055"/>
    <w:rsid w:val="00742D44"/>
    <w:rsid w:val="007B366B"/>
    <w:rsid w:val="008660E4"/>
    <w:rsid w:val="00963D99"/>
    <w:rsid w:val="009F313A"/>
    <w:rsid w:val="009F4EE7"/>
    <w:rsid w:val="00A70C06"/>
    <w:rsid w:val="00A71FC2"/>
    <w:rsid w:val="00AE702C"/>
    <w:rsid w:val="00B33559"/>
    <w:rsid w:val="00B832AB"/>
    <w:rsid w:val="00BE3A4B"/>
    <w:rsid w:val="00C11452"/>
    <w:rsid w:val="00C3507C"/>
    <w:rsid w:val="00C4217E"/>
    <w:rsid w:val="00CA0B79"/>
    <w:rsid w:val="00D10D15"/>
    <w:rsid w:val="00DB11CB"/>
    <w:rsid w:val="00DC0324"/>
    <w:rsid w:val="00DC6F3C"/>
    <w:rsid w:val="00E033C6"/>
    <w:rsid w:val="00E21553"/>
    <w:rsid w:val="00E35BEA"/>
    <w:rsid w:val="00E45C09"/>
    <w:rsid w:val="00E55576"/>
    <w:rsid w:val="00F415D8"/>
    <w:rsid w:val="00FC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3322563D2A54A3AA06A193CA22CC9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538A671A4341D09F751E7DDEC2DE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32F16ADC0144A9AD8A83927FD4EA7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C0433-AFC0-4BE6-B603-DBEA695BAFD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3510</Words>
  <Characters>3817</Characters>
  <Lines>161</Lines>
  <Paragraphs>223</Paragraphs>
  <TotalTime>8</TotalTime>
  <ScaleCrop>false</ScaleCrop>
  <LinksUpToDate>false</LinksUpToDate>
  <CharactersWithSpaces>3900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2025-07-10T09:39:00Z</dcterms:created>
  <dc:creator>微软用户</dc:creator>
  <cp:lastModifiedBy>Men of iron</cp:lastModifiedBy>
  <cp:lastPrinted>2025-09-30T00:42:00Z</cp:lastPrinted>
  <dcterms:modified xsi:type="dcterms:W3CDTF">2025-10-15T08:42:03Z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D8B8BA8F87E54D40A85BFBAEDE1BDC41_13</vt:lpwstr>
  </property>
  <property fmtid="{D5CDD505-2E9C-101B-9397-08002B2CF9AE}" pid="16" name="KSOTemplateDocerSaveRecord">
    <vt:lpwstr>eyJoZGlkIjoiNzAwODVlZjM4NDYzMzVlYzBkNzk1NmRlMDE2MDBmMTYiLCJ1c2VySWQiOiIzNDcxMzI0NTEifQ==</vt:lpwstr>
  </property>
</Properties>
</file>