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B6E6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5BAD9597">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D50AFA0">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07.040</w:t>
            </w:r>
            <w:r>
              <w:rPr>
                <w:rFonts w:ascii="黑体" w:hAnsi="黑体" w:eastAsia="黑体"/>
                <w:sz w:val="21"/>
                <w:szCs w:val="21"/>
              </w:rPr>
              <w:fldChar w:fldCharType="end"/>
            </w:r>
            <w:bookmarkEnd w:id="0"/>
          </w:p>
        </w:tc>
      </w:tr>
      <w:tr w14:paraId="7027D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6093C8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B64AC0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79</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63C85B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29055E8">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14:paraId="4AE28E8D">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083A597">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574810E">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187987A">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9F16879">
      <w:pPr>
        <w:pStyle w:val="50"/>
        <w:framePr w:w="9639" w:h="6976" w:hRule="exact" w:hSpace="0" w:vSpace="0" w:wrap="around" w:hAnchor="page" w:y="6408"/>
        <w:jc w:val="center"/>
        <w:rPr>
          <w:rFonts w:hint="eastAsia" w:ascii="黑体" w:hAnsi="黑体" w:eastAsia="黑体"/>
          <w:b w:val="0"/>
          <w:bCs w:val="0"/>
          <w:w w:val="100"/>
        </w:rPr>
      </w:pPr>
    </w:p>
    <w:p w14:paraId="2D41AFDE">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湖南气象部门对外数据共享技术规范</w:t>
      </w:r>
      <w:r>
        <w:fldChar w:fldCharType="end"/>
      </w:r>
      <w:bookmarkEnd w:id="9"/>
    </w:p>
    <w:p w14:paraId="4C049D2E">
      <w:pPr>
        <w:framePr w:w="9639" w:h="6974" w:hRule="exact" w:wrap="around" w:vAnchor="page" w:hAnchor="page" w:x="1419" w:y="6408" w:anchorLock="1"/>
        <w:ind w:left="-1418"/>
      </w:pPr>
    </w:p>
    <w:p w14:paraId="680EDD21">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specifications for external data sharing of Hunan meteorological department</w:t>
      </w:r>
      <w:r>
        <w:rPr>
          <w:rFonts w:ascii="黑体" w:hAnsi="黑体" w:eastAsia="黑体"/>
          <w:szCs w:val="28"/>
        </w:rPr>
        <w:fldChar w:fldCharType="end"/>
      </w:r>
      <w:bookmarkEnd w:id="10"/>
    </w:p>
    <w:p w14:paraId="1D4618A7">
      <w:pPr>
        <w:framePr w:w="9639" w:h="6974" w:hRule="exact" w:wrap="around" w:vAnchor="page" w:hAnchor="page" w:x="1419" w:y="6408" w:anchorLock="1"/>
        <w:spacing w:line="760" w:lineRule="exact"/>
        <w:ind w:left="-1418"/>
      </w:pPr>
    </w:p>
    <w:p w14:paraId="252C7418">
      <w:pPr>
        <w:pStyle w:val="125"/>
        <w:framePr w:w="9639" w:h="6974" w:hRule="exact" w:wrap="around" w:vAnchor="page" w:hAnchor="page" w:x="1419" w:y="6408" w:anchorLock="1"/>
        <w:textAlignment w:val="bottom"/>
        <w:rPr>
          <w:rFonts w:eastAsia="黑体"/>
          <w:szCs w:val="28"/>
        </w:rPr>
      </w:pPr>
    </w:p>
    <w:p w14:paraId="356E83C0">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BC13E14">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F778398">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70041A6">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FE358A5">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FCC7588">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1C58FBD">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A63F2B7">
      <w:pPr>
        <w:pStyle w:val="91"/>
        <w:spacing w:after="468"/>
        <w:rPr>
          <w:rFonts w:hint="eastAsia"/>
        </w:rPr>
      </w:pPr>
      <w:bookmarkStart w:id="21" w:name="BookMark1"/>
      <w:bookmarkStart w:id="22" w:name="_Toc206170444"/>
      <w:bookmarkStart w:id="23" w:name="_Toc206685796"/>
      <w:r>
        <w:rPr>
          <w:rFonts w:hint="eastAsia"/>
          <w:spacing w:val="320"/>
        </w:rPr>
        <w:t>目</w:t>
      </w:r>
      <w:r>
        <w:rPr>
          <w:rFonts w:hint="eastAsia"/>
        </w:rPr>
        <w:t>次</w:t>
      </w:r>
    </w:p>
    <w:p w14:paraId="44DE7D0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"_Toc206685871"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_Toc206685871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266FDE3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"_Toc206685872"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_Toc206685872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CABFDC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"_Toc206685873"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_Toc206685873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D339E6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"_Toc206685874"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_Toc206685874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0517AF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"_Toc206685875" </w:instrText>
      </w:r>
      <w:r>
        <w:fldChar w:fldCharType="separate"/>
      </w:r>
      <w:r>
        <w:rPr>
          <w:rStyle w:val="32"/>
          <w:rFonts w:hint="eastAsia"/>
        </w:rPr>
        <w:t>4</w:t>
      </w:r>
      <w:r>
        <w:rPr>
          <w:rStyle w:val="32"/>
        </w:rPr>
        <w:t xml:space="preserve"> </w:t>
      </w:r>
      <w:r>
        <w:rPr>
          <w:rStyle w:val="32"/>
          <w:rFonts w:hint="eastAsia"/>
        </w:rPr>
        <w:t xml:space="preserve"> 缩略语</w:t>
      </w:r>
      <w:r>
        <w:rPr>
          <w:rFonts w:hint="eastAsia"/>
        </w:rPr>
        <w:tab/>
      </w:r>
      <w:r>
        <w:rPr>
          <w:rFonts w:hint="eastAsia"/>
        </w:rPr>
        <w:fldChar w:fldCharType="begin"/>
      </w:r>
      <w:r>
        <w:rPr>
          <w:rFonts w:hint="eastAsia"/>
        </w:rPr>
        <w:instrText xml:space="preserve"> </w:instrText>
      </w:r>
      <w:r>
        <w:instrText xml:space="preserve">PAGEREF _Toc206685875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0E8090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"_Toc206685876" </w:instrText>
      </w:r>
      <w:r>
        <w:fldChar w:fldCharType="separate"/>
      </w:r>
      <w:r>
        <w:rPr>
          <w:rStyle w:val="32"/>
          <w:rFonts w:hint="eastAsia"/>
        </w:rPr>
        <w:t>5</w:t>
      </w:r>
      <w:r>
        <w:rPr>
          <w:rStyle w:val="32"/>
        </w:rPr>
        <w:t xml:space="preserve"> </w:t>
      </w:r>
      <w:r>
        <w:rPr>
          <w:rStyle w:val="32"/>
          <w:rFonts w:hint="eastAsia"/>
        </w:rPr>
        <w:t xml:space="preserve"> 总体要求</w:t>
      </w:r>
      <w:r>
        <w:rPr>
          <w:rFonts w:hint="eastAsia"/>
        </w:rPr>
        <w:tab/>
      </w:r>
      <w:r>
        <w:rPr>
          <w:rFonts w:hint="eastAsia"/>
        </w:rPr>
        <w:fldChar w:fldCharType="begin"/>
      </w:r>
      <w:r>
        <w:rPr>
          <w:rFonts w:hint="eastAsia"/>
        </w:rPr>
        <w:instrText xml:space="preserve"> </w:instrText>
      </w:r>
      <w:r>
        <w:instrText xml:space="preserve">PAGEREF _Toc206685876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0AE8E6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"_Toc206685877" </w:instrText>
      </w:r>
      <w:r>
        <w:fldChar w:fldCharType="separate"/>
      </w:r>
      <w:r>
        <w:rPr>
          <w:rStyle w:val="32"/>
          <w:rFonts w:hint="eastAsia"/>
        </w:rPr>
        <w:t>6</w:t>
      </w:r>
      <w:r>
        <w:rPr>
          <w:rStyle w:val="32"/>
        </w:rPr>
        <w:t xml:space="preserve"> </w:t>
      </w:r>
      <w:r>
        <w:rPr>
          <w:rStyle w:val="32"/>
          <w:rFonts w:hint="eastAsia"/>
        </w:rPr>
        <w:t xml:space="preserve"> 成果内容</w:t>
      </w:r>
      <w:r>
        <w:rPr>
          <w:rFonts w:hint="eastAsia"/>
        </w:rPr>
        <w:tab/>
      </w:r>
      <w:r>
        <w:rPr>
          <w:rFonts w:hint="eastAsia"/>
        </w:rPr>
        <w:fldChar w:fldCharType="begin"/>
      </w:r>
      <w:r>
        <w:rPr>
          <w:rFonts w:hint="eastAsia"/>
        </w:rPr>
        <w:instrText xml:space="preserve"> </w:instrText>
      </w:r>
      <w:r>
        <w:instrText xml:space="preserve">PAGEREF _Toc206685877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39A0F3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"_Toc206685878" </w:instrText>
      </w:r>
      <w:r>
        <w:fldChar w:fldCharType="separate"/>
      </w:r>
      <w:r>
        <w:rPr>
          <w:rStyle w:val="32"/>
          <w:rFonts w:hint="eastAsia"/>
        </w:rPr>
        <w:t>7</w:t>
      </w:r>
      <w:r>
        <w:rPr>
          <w:rStyle w:val="32"/>
        </w:rPr>
        <w:t xml:space="preserve"> </w:t>
      </w:r>
      <w:r>
        <w:rPr>
          <w:rStyle w:val="32"/>
          <w:rFonts w:hint="eastAsia"/>
        </w:rPr>
        <w:t xml:space="preserve"> 数据安全要求</w:t>
      </w:r>
      <w:r>
        <w:rPr>
          <w:rFonts w:hint="eastAsia"/>
        </w:rPr>
        <w:tab/>
      </w:r>
      <w:r>
        <w:rPr>
          <w:rFonts w:hint="eastAsia"/>
        </w:rPr>
        <w:fldChar w:fldCharType="begin"/>
      </w:r>
      <w:r>
        <w:rPr>
          <w:rFonts w:hint="eastAsia"/>
        </w:rPr>
        <w:instrText xml:space="preserve"> </w:instrText>
      </w:r>
      <w:r>
        <w:instrText xml:space="preserve">PAGEREF _Toc206685878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184665E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"_Toc206685879" </w:instrText>
      </w:r>
      <w:r>
        <w:fldChar w:fldCharType="separate"/>
      </w:r>
      <w:r>
        <w:rPr>
          <w:rStyle w:val="32"/>
          <w:rFonts w:hint="eastAsia"/>
        </w:rPr>
        <w:t>8</w:t>
      </w:r>
      <w:r>
        <w:rPr>
          <w:rStyle w:val="32"/>
        </w:rPr>
        <w:t xml:space="preserve"> </w:t>
      </w:r>
      <w:r>
        <w:rPr>
          <w:rStyle w:val="32"/>
          <w:rFonts w:hint="eastAsia"/>
        </w:rPr>
        <w:t xml:space="preserve"> 成果规格</w:t>
      </w:r>
      <w:r>
        <w:rPr>
          <w:rFonts w:hint="eastAsia"/>
        </w:rPr>
        <w:tab/>
      </w:r>
      <w:r>
        <w:rPr>
          <w:rFonts w:hint="eastAsia"/>
        </w:rPr>
        <w:fldChar w:fldCharType="begin"/>
      </w:r>
      <w:r>
        <w:rPr>
          <w:rFonts w:hint="eastAsia"/>
        </w:rPr>
        <w:instrText xml:space="preserve"> </w:instrText>
      </w:r>
      <w:r>
        <w:instrText xml:space="preserve">PAGEREF _Toc206685879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5FBF4BB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"_Toc206685880" </w:instrText>
      </w:r>
      <w:r>
        <w:fldChar w:fldCharType="separate"/>
      </w:r>
      <w:r>
        <w:rPr>
          <w:rStyle w:val="32"/>
          <w:rFonts w:hint="eastAsia"/>
        </w:rPr>
        <w:t>附录A（规范性）</w:t>
      </w:r>
      <w:r>
        <w:rPr>
          <w:rStyle w:val="32"/>
        </w:rPr>
        <w:t xml:space="preserve"> </w:t>
      </w:r>
      <w:r>
        <w:rPr>
          <w:rStyle w:val="32"/>
          <w:rFonts w:hint="eastAsia"/>
        </w:rPr>
        <w:t xml:space="preserve"> 数据接口规范</w:t>
      </w:r>
      <w:r>
        <w:rPr>
          <w:rFonts w:hint="eastAsia"/>
        </w:rPr>
        <w:tab/>
      </w:r>
      <w:r>
        <w:rPr>
          <w:rFonts w:hint="eastAsia"/>
        </w:rPr>
        <w:fldChar w:fldCharType="begin"/>
      </w:r>
      <w:r>
        <w:rPr>
          <w:rFonts w:hint="eastAsia"/>
        </w:rPr>
        <w:instrText xml:space="preserve"> </w:instrText>
      </w:r>
      <w:r>
        <w:instrText xml:space="preserve">PAGEREF _Toc206685880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8C8A9A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"_Toc206685881" </w:instrText>
      </w:r>
      <w:r>
        <w:fldChar w:fldCharType="separate"/>
      </w:r>
      <w:r>
        <w:rPr>
          <w:rStyle w:val="32"/>
          <w:rFonts w:hint="eastAsia"/>
        </w:rPr>
        <w:t>附录B（规范性）</w:t>
      </w:r>
      <w:r>
        <w:rPr>
          <w:rStyle w:val="32"/>
        </w:rPr>
        <w:t xml:space="preserve"> </w:t>
      </w:r>
      <w:r>
        <w:rPr>
          <w:rStyle w:val="32"/>
          <w:rFonts w:hint="eastAsia"/>
        </w:rPr>
        <w:t xml:space="preserve"> 湖南省气象部门对外服务数据相关文件</w:t>
      </w:r>
      <w:r>
        <w:rPr>
          <w:rFonts w:hint="eastAsia"/>
        </w:rPr>
        <w:tab/>
      </w:r>
      <w:r>
        <w:rPr>
          <w:rFonts w:hint="eastAsia"/>
        </w:rPr>
        <w:fldChar w:fldCharType="begin"/>
      </w:r>
      <w:r>
        <w:rPr>
          <w:rFonts w:hint="eastAsia"/>
        </w:rPr>
        <w:instrText xml:space="preserve"> </w:instrText>
      </w:r>
      <w:r>
        <w:instrText xml:space="preserve">PAGEREF _Toc206685881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2D9AE6F5">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6B4057CA">
      <w:pPr>
        <w:pStyle w:val="89"/>
        <w:spacing w:before="560" w:after="468"/>
      </w:pPr>
      <w:bookmarkStart w:id="24" w:name="_Toc206685871"/>
      <w:bookmarkStart w:id="25" w:name="BookMark2"/>
      <w:r>
        <w:rPr>
          <w:rFonts w:hint="eastAsia"/>
          <w:spacing w:val="320"/>
        </w:rPr>
        <w:t>前</w:t>
      </w:r>
      <w:r>
        <w:rPr>
          <w:rFonts w:hint="eastAsia"/>
        </w:rPr>
        <w:t>言</w:t>
      </w:r>
      <w:bookmarkEnd w:id="22"/>
      <w:bookmarkEnd w:id="23"/>
      <w:bookmarkEnd w:id="24"/>
    </w:p>
    <w:p w14:paraId="1E74CE15">
      <w:pPr>
        <w:pStyle w:val="56"/>
        <w:ind w:firstLine="420"/>
      </w:pPr>
      <w:r>
        <w:rPr>
          <w:rFonts w:hint="eastAsia"/>
        </w:rPr>
        <w:t>本文件按照GB/T 1.1—2020《标准化工作导则  第1部分：标准化文件的结构和起草规则》的规定起草。</w:t>
      </w:r>
    </w:p>
    <w:p w14:paraId="0212AC1D">
      <w:pPr>
        <w:pStyle w:val="56"/>
        <w:ind w:firstLine="420"/>
        <w:rPr>
          <w:rFonts w:hint="eastAsia" w:hAnsi="宋体"/>
          <w:szCs w:val="21"/>
        </w:rPr>
      </w:pPr>
      <w:r>
        <w:rPr>
          <w:rFonts w:hint="eastAsia" w:hAnsi="宋体"/>
          <w:szCs w:val="21"/>
        </w:rPr>
        <w:t>请注意本文件的某些内容可能涉及专利。本文件的发布机构不承担识别专利的责任。</w:t>
      </w:r>
    </w:p>
    <w:p w14:paraId="216175A8">
      <w:pPr>
        <w:pStyle w:val="230"/>
        <w:ind w:firstLine="405" w:firstLineChars="193"/>
        <w:rPr>
          <w:rFonts w:hint="eastAsia" w:hAnsi="宋体"/>
          <w:sz w:val="21"/>
          <w:szCs w:val="21"/>
        </w:rPr>
      </w:pPr>
      <w:r>
        <w:rPr>
          <w:rFonts w:hint="eastAsia" w:hAnsi="宋体"/>
          <w:sz w:val="21"/>
          <w:szCs w:val="21"/>
        </w:rPr>
        <w:t>本文件由湖南省气象局提出。</w:t>
      </w:r>
    </w:p>
    <w:p w14:paraId="32EB6C73">
      <w:pPr>
        <w:pStyle w:val="230"/>
        <w:ind w:firstLine="405" w:firstLineChars="193"/>
        <w:rPr>
          <w:rFonts w:hint="eastAsia" w:hAnsi="宋体"/>
          <w:sz w:val="21"/>
          <w:szCs w:val="21"/>
        </w:rPr>
      </w:pPr>
      <w:r>
        <w:rPr>
          <w:rFonts w:hint="eastAsia" w:hAnsi="宋体"/>
          <w:sz w:val="21"/>
          <w:szCs w:val="21"/>
        </w:rPr>
        <w:t>本文件由湖南省气象标准化技术委员会归口。</w:t>
      </w:r>
    </w:p>
    <w:p w14:paraId="0CAC4E06">
      <w:pPr>
        <w:pStyle w:val="230"/>
        <w:ind w:firstLine="405" w:firstLineChars="193"/>
        <w:rPr>
          <w:rFonts w:hint="eastAsia" w:hAnsi="宋体"/>
          <w:sz w:val="21"/>
          <w:szCs w:val="21"/>
        </w:rPr>
      </w:pPr>
      <w:r>
        <w:rPr>
          <w:rFonts w:hint="eastAsia" w:hAnsi="宋体"/>
          <w:sz w:val="21"/>
          <w:szCs w:val="21"/>
        </w:rPr>
        <w:t>本文件起草单位：湖南省气象信息中心。</w:t>
      </w:r>
    </w:p>
    <w:p w14:paraId="4939F247">
      <w:pPr>
        <w:pStyle w:val="230"/>
        <w:ind w:firstLine="405" w:firstLineChars="193"/>
      </w:pPr>
      <w:r>
        <w:rPr>
          <w:rFonts w:hint="eastAsia" w:hAnsi="宋体"/>
          <w:sz w:val="21"/>
          <w:szCs w:val="21"/>
        </w:rPr>
        <w:t>本文件主要起草人：刘晓波、冯冼、罗林艳、吕冠儒、方昆、施佳驰、郑秋生、朱亮、屈右铭、贺炜、潘翔宇、陈青锋、张思睿</w:t>
      </w:r>
      <w:r>
        <w:rPr>
          <w:rFonts w:hAnsi="宋体"/>
          <w:sz w:val="21"/>
          <w:szCs w:val="21"/>
        </w:rPr>
        <w:t>。</w:t>
      </w:r>
    </w:p>
    <w:p w14:paraId="4F106D2D">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14:paraId="443939F4">
      <w:pPr>
        <w:spacing w:line="20" w:lineRule="exact"/>
        <w:jc w:val="center"/>
        <w:rPr>
          <w:rFonts w:hint="eastAsia" w:ascii="黑体" w:hAnsi="黑体" w:eastAsia="黑体"/>
          <w:sz w:val="32"/>
          <w:szCs w:val="32"/>
        </w:rPr>
      </w:pPr>
      <w:bookmarkStart w:id="26" w:name="BookMark4"/>
    </w:p>
    <w:p w14:paraId="627120FA">
      <w:pPr>
        <w:spacing w:line="20" w:lineRule="exact"/>
        <w:jc w:val="center"/>
        <w:rPr>
          <w:rFonts w:hint="eastAsia" w:ascii="黑体" w:hAnsi="黑体" w:eastAsia="黑体"/>
          <w:sz w:val="32"/>
          <w:szCs w:val="32"/>
        </w:rPr>
      </w:pPr>
    </w:p>
    <w:sdt>
      <w:sdtPr>
        <w:tag w:val="NEW_STAND_NAME"/>
        <w:id w:val="595910757"/>
        <w:lock w:val="sdtLocked"/>
        <w:placeholder>
          <w:docPart w:val="13E3E19B80A64E45A47223985D43251B"/>
        </w:placeholder>
      </w:sdtPr>
      <w:sdtContent>
        <w:p w14:paraId="290B00C5">
          <w:pPr>
            <w:pStyle w:val="177"/>
            <w:spacing w:before="312" w:beforeLines="100" w:after="686" w:afterLines="220"/>
            <w:rPr>
              <w:rFonts w:hint="eastAsia"/>
            </w:rPr>
          </w:pPr>
          <w:bookmarkStart w:id="27" w:name="NEW_STAND_NAME"/>
          <w:r>
            <w:rPr>
              <w:rFonts w:hint="eastAsia"/>
            </w:rPr>
            <w:t>湖南气象部门对外数据共享技术规范</w:t>
          </w:r>
        </w:p>
      </w:sdtContent>
    </w:sdt>
    <w:bookmarkEnd w:id="27"/>
    <w:p w14:paraId="26295943">
      <w:pPr>
        <w:pStyle w:val="104"/>
        <w:spacing w:before="312" w:after="312"/>
      </w:pPr>
      <w:bookmarkStart w:id="28" w:name="_Toc24884211"/>
      <w:bookmarkStart w:id="29" w:name="_Toc206168546"/>
      <w:bookmarkStart w:id="30" w:name="_Toc26718930"/>
      <w:bookmarkStart w:id="31" w:name="_Toc97191423"/>
      <w:bookmarkStart w:id="32" w:name="_Toc206685797"/>
      <w:bookmarkStart w:id="33" w:name="_Toc206685872"/>
      <w:bookmarkStart w:id="34" w:name="_Toc26648465"/>
      <w:bookmarkStart w:id="35" w:name="_Toc206170445"/>
      <w:bookmarkStart w:id="36" w:name="_Toc26986530"/>
      <w:bookmarkStart w:id="37" w:name="_Toc24884218"/>
      <w:bookmarkStart w:id="38" w:name="_Toc26986771"/>
      <w:bookmarkStart w:id="39" w:name="_Toc17233325"/>
      <w:bookmarkStart w:id="40" w:name="_Toc17233333"/>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14:paraId="1B52350F">
      <w:pPr>
        <w:pStyle w:val="56"/>
        <w:ind w:firstLine="420"/>
        <w:rPr>
          <w:rFonts w:hint="eastAsia" w:hAnsi="宋体" w:cs="宋体"/>
          <w:szCs w:val="21"/>
        </w:rPr>
      </w:pPr>
      <w:bookmarkStart w:id="41" w:name="_Toc17233326"/>
      <w:bookmarkStart w:id="42" w:name="_Toc24884212"/>
      <w:bookmarkStart w:id="43" w:name="_Toc17233334"/>
      <w:bookmarkStart w:id="44" w:name="_Toc24884219"/>
      <w:bookmarkStart w:id="45" w:name="_Toc26648466"/>
      <w:r>
        <w:rPr>
          <w:rFonts w:hint="eastAsia"/>
        </w:rPr>
        <w:t>本文件规定了湖南气象部门对外数据共享技术的缩略语、成果内容和成果规格的要求。</w:t>
      </w:r>
    </w:p>
    <w:p w14:paraId="3BCA527F">
      <w:pPr>
        <w:pStyle w:val="56"/>
        <w:ind w:firstLine="420"/>
      </w:pPr>
      <w:r>
        <w:rPr>
          <w:rFonts w:hint="eastAsia"/>
        </w:rPr>
        <w:t>本文件适用于湖南省气象部门对外提供气象数据共享服务的相关活动</w:t>
      </w:r>
    </w:p>
    <w:p w14:paraId="5BCBA801">
      <w:pPr>
        <w:pStyle w:val="104"/>
        <w:spacing w:before="312" w:after="312"/>
      </w:pPr>
      <w:bookmarkStart w:id="46" w:name="_Toc26986531"/>
      <w:bookmarkStart w:id="47" w:name="_Toc26718931"/>
      <w:bookmarkStart w:id="48" w:name="_Toc206685798"/>
      <w:bookmarkStart w:id="49" w:name="_Toc26986772"/>
      <w:bookmarkStart w:id="50" w:name="_Toc206685873"/>
      <w:bookmarkStart w:id="51" w:name="_Toc206170446"/>
      <w:bookmarkStart w:id="52" w:name="_Toc206168547"/>
      <w:bookmarkStart w:id="53" w:name="_Toc97191424"/>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p>
    <w:p w14:paraId="2EF90E5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3A839F6">
      <w:pPr>
        <w:spacing w:line="240" w:lineRule="auto"/>
        <w:ind w:firstLine="420"/>
        <w:rPr>
          <w:rFonts w:ascii="宋体" w:hAnsi="Times New Roman"/>
          <w:kern w:val="0"/>
          <w:szCs w:val="20"/>
        </w:rPr>
      </w:pPr>
      <w:r>
        <w:rPr>
          <w:rFonts w:hint="eastAsia" w:ascii="宋体" w:hAnsi="Times New Roman"/>
          <w:kern w:val="0"/>
          <w:szCs w:val="20"/>
        </w:rPr>
        <w:t xml:space="preserve">GB/T 33674气象数据集核心元数据   </w:t>
      </w:r>
    </w:p>
    <w:p w14:paraId="07C44CBD">
      <w:pPr>
        <w:spacing w:line="240" w:lineRule="auto"/>
        <w:ind w:firstLine="420"/>
        <w:rPr>
          <w:rFonts w:ascii="宋体" w:hAnsi="Times New Roman"/>
          <w:kern w:val="0"/>
          <w:szCs w:val="20"/>
        </w:rPr>
      </w:pPr>
      <w:r>
        <w:rPr>
          <w:rFonts w:hint="eastAsia" w:ascii="宋体" w:hAnsi="Times New Roman"/>
          <w:kern w:val="0"/>
          <w:szCs w:val="20"/>
        </w:rPr>
        <w:t>GB/T 35273信息安全技术、个人信息安全规范</w:t>
      </w:r>
    </w:p>
    <w:p w14:paraId="10C0B53F">
      <w:pPr>
        <w:spacing w:line="240" w:lineRule="auto"/>
        <w:ind w:firstLine="420"/>
        <w:rPr>
          <w:rFonts w:ascii="宋体" w:hAnsi="Times New Roman"/>
          <w:kern w:val="0"/>
          <w:szCs w:val="20"/>
        </w:rPr>
      </w:pPr>
      <w:r>
        <w:rPr>
          <w:rFonts w:hint="eastAsia" w:ascii="宋体" w:hAnsi="Times New Roman"/>
          <w:kern w:val="0"/>
          <w:szCs w:val="20"/>
        </w:rPr>
        <w:t>GB/T 39477信息安全技术政务信息共享数据安全技术要求</w:t>
      </w:r>
    </w:p>
    <w:p w14:paraId="4BF5E968">
      <w:pPr>
        <w:spacing w:line="240" w:lineRule="auto"/>
        <w:ind w:firstLine="420"/>
        <w:rPr>
          <w:rFonts w:ascii="宋体" w:hAnsi="Times New Roman"/>
          <w:kern w:val="0"/>
          <w:szCs w:val="20"/>
        </w:rPr>
      </w:pPr>
      <w:r>
        <w:rPr>
          <w:rFonts w:hint="eastAsia" w:ascii="宋体" w:hAnsi="Times New Roman"/>
          <w:kern w:val="0"/>
          <w:szCs w:val="20"/>
        </w:rPr>
        <w:t>QX/T 452 基本气象资料和产品提供规范</w:t>
      </w:r>
    </w:p>
    <w:p w14:paraId="34082B79">
      <w:pPr>
        <w:spacing w:line="240" w:lineRule="auto"/>
        <w:ind w:firstLine="420"/>
        <w:rPr>
          <w:rFonts w:ascii="宋体" w:hAnsi="Times New Roman"/>
          <w:kern w:val="0"/>
          <w:szCs w:val="20"/>
        </w:rPr>
      </w:pPr>
      <w:r>
        <w:rPr>
          <w:rFonts w:hint="eastAsia" w:ascii="宋体" w:hAnsi="Times New Roman"/>
          <w:kern w:val="0"/>
          <w:szCs w:val="20"/>
        </w:rPr>
        <w:t>QX/T 453 基本气象资料和产品使用规范</w:t>
      </w:r>
    </w:p>
    <w:p w14:paraId="3878A1FD">
      <w:pPr>
        <w:spacing w:line="240" w:lineRule="auto"/>
        <w:ind w:firstLine="420"/>
        <w:rPr>
          <w:rFonts w:ascii="宋体" w:hAnsi="Times New Roman"/>
          <w:kern w:val="0"/>
          <w:szCs w:val="20"/>
        </w:rPr>
      </w:pPr>
      <w:r>
        <w:rPr>
          <w:rFonts w:hint="eastAsia" w:ascii="宋体" w:hAnsi="Times New Roman"/>
          <w:kern w:val="0"/>
          <w:szCs w:val="20"/>
        </w:rPr>
        <w:t>QX/T 618 气象数据服务接口规范</w:t>
      </w:r>
    </w:p>
    <w:p w14:paraId="06EB495F">
      <w:pPr>
        <w:pStyle w:val="104"/>
        <w:spacing w:before="312" w:after="312"/>
      </w:pPr>
      <w:bookmarkStart w:id="54" w:name="_Toc206685874"/>
      <w:bookmarkStart w:id="55" w:name="_Toc206685799"/>
      <w:bookmarkStart w:id="56" w:name="_Toc97191425"/>
      <w:bookmarkStart w:id="57" w:name="_Toc206168548"/>
      <w:bookmarkStart w:id="58" w:name="_Toc206170447"/>
      <w:r>
        <w:rPr>
          <w:rFonts w:hint="eastAsia"/>
          <w:szCs w:val="21"/>
        </w:rPr>
        <w:t>术语和定义</w:t>
      </w:r>
      <w:bookmarkEnd w:id="54"/>
      <w:bookmarkEnd w:id="55"/>
      <w:bookmarkEnd w:id="56"/>
      <w:bookmarkEnd w:id="57"/>
      <w:bookmarkEnd w:id="58"/>
    </w:p>
    <w:p w14:paraId="0B6A688E">
      <w:pPr>
        <w:pStyle w:val="56"/>
        <w:ind w:firstLine="420"/>
        <w:rPr>
          <w:rFonts w:hint="eastAsia" w:hAnsi="宋体" w:cs="宋体"/>
          <w:color w:val="000000"/>
        </w:rPr>
      </w:pPr>
      <w:bookmarkStart w:id="59" w:name="_Toc26986532"/>
      <w:bookmarkEnd w:id="59"/>
      <w:r>
        <w:rPr>
          <w:rFonts w:hint="eastAsia"/>
        </w:rPr>
        <w:t xml:space="preserve">GB/T 33674、GB/T 35273、GB/T 39477、QX/T 452、QX/T 453、QX/T 618 </w:t>
      </w:r>
      <w:r>
        <w:t>界定的以及下列术语和定义适用于本文件。</w:t>
      </w:r>
    </w:p>
    <w:p w14:paraId="0C39B50E">
      <w:pPr>
        <w:pStyle w:val="223"/>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 xml:space="preserve">请求协议 request protocol </w:t>
      </w:r>
    </w:p>
    <w:p w14:paraId="1CE386AC">
      <w:pPr>
        <w:pStyle w:val="56"/>
        <w:ind w:firstLine="420"/>
      </w:pPr>
      <w:r>
        <w:rPr>
          <w:rFonts w:hint="eastAsia"/>
        </w:rPr>
        <w:t>在网络通信中，用于规定客户端与服务器之间进行。</w:t>
      </w:r>
    </w:p>
    <w:p w14:paraId="5FB22AE1">
      <w:pPr>
        <w:pStyle w:val="223"/>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接口名称 interface name</w:t>
      </w:r>
    </w:p>
    <w:p w14:paraId="5CDF4DF9">
      <w:pPr>
        <w:pStyle w:val="56"/>
        <w:ind w:firstLine="420"/>
      </w:pPr>
      <w:r>
        <w:rPr>
          <w:rFonts w:hint="eastAsia"/>
        </w:rPr>
        <w:t>在面向对象编程中，用于定义类或对象所提供的服务或功能的名称。</w:t>
      </w:r>
    </w:p>
    <w:p w14:paraId="5123F4FF">
      <w:pPr>
        <w:pStyle w:val="179"/>
      </w:pPr>
      <w:r>
        <w:rPr>
          <w:rFonts w:hint="eastAsia"/>
        </w:rPr>
        <w:t>接口名称通常采用驼峰命名法，描述清楚接口的功能。</w:t>
      </w:r>
    </w:p>
    <w:p w14:paraId="6B7AACC1">
      <w:pPr>
        <w:pStyle w:val="223"/>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接口参数 interface parameter</w:t>
      </w:r>
    </w:p>
    <w:p w14:paraId="46C0A3C6">
      <w:pPr>
        <w:pStyle w:val="56"/>
        <w:ind w:firstLine="420"/>
      </w:pPr>
      <w:r>
        <w:rPr>
          <w:rFonts w:hint="eastAsia"/>
        </w:rPr>
        <w:t>在函数或方法调用时传递给接口的输入数据。</w:t>
      </w:r>
    </w:p>
    <w:p w14:paraId="5C426B50">
      <w:pPr>
        <w:pStyle w:val="179"/>
      </w:pPr>
      <w:r>
        <w:rPr>
          <w:rFonts w:hint="eastAsia"/>
        </w:rPr>
        <w:t>接口参数可以是基本数据类型、对象或其他复杂数据结构。参数用于向接口传递信息，以便接口能够正确执行所需的操作。</w:t>
      </w:r>
    </w:p>
    <w:p w14:paraId="7B1BB7FF">
      <w:pPr>
        <w:pStyle w:val="223"/>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 xml:space="preserve">返回码 returm code </w:t>
      </w:r>
    </w:p>
    <w:p w14:paraId="716EACF7">
      <w:pPr>
        <w:pStyle w:val="56"/>
        <w:ind w:firstLine="420"/>
      </w:pPr>
      <w:r>
        <w:rPr>
          <w:rFonts w:hint="eastAsia"/>
        </w:rPr>
        <w:t>在程序执行结束后，接口返回给调用者的标识码。</w:t>
      </w:r>
    </w:p>
    <w:p w14:paraId="3DEE7F55">
      <w:pPr>
        <w:pStyle w:val="179"/>
        <w:rPr>
          <w:sz w:val="21"/>
          <w:szCs w:val="20"/>
        </w:rPr>
      </w:pPr>
      <w:r>
        <w:rPr>
          <w:rFonts w:hint="eastAsia"/>
          <w:sz w:val="21"/>
          <w:szCs w:val="20"/>
        </w:rPr>
        <w:t>返回码用于表示接口执行的结果或状态，常见的返回码包括成功状态码、错误状态码等。通过返回码，调用者可以判断接口执行是否成功，并进行相应的处理。</w:t>
      </w:r>
    </w:p>
    <w:p w14:paraId="0197C69C">
      <w:pPr>
        <w:pStyle w:val="223"/>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数据结构 data structure</w:t>
      </w:r>
    </w:p>
    <w:p w14:paraId="36AB0346">
      <w:pPr>
        <w:pStyle w:val="56"/>
        <w:ind w:firstLine="420"/>
      </w:pPr>
      <w:r>
        <w:rPr>
          <w:rFonts w:hint="eastAsia"/>
        </w:rPr>
        <w:t>在计算机科学中，用于组织和存储数据的方式或方法。</w:t>
      </w:r>
    </w:p>
    <w:p w14:paraId="59A95B89">
      <w:pPr>
        <w:pStyle w:val="179"/>
        <w:rPr>
          <w:sz w:val="21"/>
          <w:szCs w:val="20"/>
        </w:rPr>
      </w:pPr>
      <w:r>
        <w:rPr>
          <w:rFonts w:hint="eastAsia"/>
          <w:sz w:val="21"/>
          <w:szCs w:val="20"/>
        </w:rPr>
        <w:t>常见的数据结构包括数组、链表、栈、队列、树、图等。数据结构可以提供对数据的高效访问和操作，有助于解决复杂的问题和优化算法实现。</w:t>
      </w:r>
    </w:p>
    <w:p w14:paraId="51298A88">
      <w:pPr>
        <w:pStyle w:val="104"/>
        <w:spacing w:before="312" w:after="312"/>
      </w:pPr>
      <w:bookmarkStart w:id="60" w:name="_Toc206170448"/>
      <w:bookmarkStart w:id="61" w:name="_Toc206685875"/>
      <w:bookmarkStart w:id="62" w:name="_Toc206685800"/>
      <w:r>
        <w:rPr>
          <w:rFonts w:hint="eastAsia"/>
        </w:rPr>
        <w:t>缩略语</w:t>
      </w:r>
      <w:bookmarkEnd w:id="60"/>
      <w:bookmarkEnd w:id="61"/>
      <w:bookmarkEnd w:id="62"/>
    </w:p>
    <w:p w14:paraId="41B47599">
      <w:pPr>
        <w:pStyle w:val="56"/>
        <w:ind w:firstLine="420"/>
      </w:pPr>
      <w:r>
        <w:rPr>
          <w:rFonts w:hint="eastAsia"/>
        </w:rPr>
        <w:t>下列缩略语适用于本文件。</w:t>
      </w:r>
    </w:p>
    <w:p w14:paraId="43104187">
      <w:pPr>
        <w:pStyle w:val="56"/>
        <w:ind w:firstLine="420"/>
      </w:pPr>
      <w:r>
        <w:rPr>
          <w:rFonts w:hint="eastAsia"/>
        </w:rPr>
        <w:t>API：应用程序编程接口（Application Programming Interface）</w:t>
      </w:r>
    </w:p>
    <w:p w14:paraId="61AEB4CD">
      <w:pPr>
        <w:pStyle w:val="56"/>
        <w:ind w:firstLine="420"/>
      </w:pPr>
      <w:r>
        <w:rPr>
          <w:rFonts w:hint="eastAsia"/>
        </w:rPr>
        <w:t>RESTful：表现层状态转移（Representational State Transfer）</w:t>
      </w:r>
    </w:p>
    <w:p w14:paraId="065B17BC">
      <w:pPr>
        <w:pStyle w:val="56"/>
        <w:ind w:firstLine="420"/>
      </w:pPr>
      <w:r>
        <w:rPr>
          <w:rFonts w:hint="eastAsia"/>
        </w:rPr>
        <w:t>OAuth：开放授权（Open Authorization）</w:t>
      </w:r>
    </w:p>
    <w:p w14:paraId="6FAA330D">
      <w:pPr>
        <w:pStyle w:val="56"/>
        <w:ind w:firstLine="420"/>
      </w:pPr>
      <w:r>
        <w:rPr>
          <w:rFonts w:hint="eastAsia"/>
        </w:rPr>
        <w:t>HTTPS：超文本传输安全协议（Hypertext Transfer Protocol Secure）</w:t>
      </w:r>
    </w:p>
    <w:p w14:paraId="6F757CEB">
      <w:pPr>
        <w:pStyle w:val="56"/>
        <w:ind w:firstLine="420"/>
      </w:pPr>
      <w:r>
        <w:rPr>
          <w:rFonts w:hint="eastAsia"/>
        </w:rPr>
        <w:t>TDE：透明数据加密（Transparent Data Encryption）</w:t>
      </w:r>
    </w:p>
    <w:p w14:paraId="094645AD">
      <w:pPr>
        <w:pStyle w:val="56"/>
        <w:ind w:firstLine="420"/>
      </w:pPr>
      <w:r>
        <w:rPr>
          <w:rFonts w:hint="eastAsia"/>
        </w:rPr>
        <w:t>XSS：跨站脚本（Cross-Site Scripting）</w:t>
      </w:r>
    </w:p>
    <w:p w14:paraId="67EBAC87">
      <w:pPr>
        <w:pStyle w:val="56"/>
        <w:ind w:firstLine="420"/>
      </w:pPr>
      <w:r>
        <w:rPr>
          <w:rFonts w:hint="eastAsia"/>
        </w:rPr>
        <w:t>CSRF：跨站请求伪造</w:t>
      </w:r>
      <w:r>
        <w:rPr>
          <w:rFonts w:hint="eastAsia"/>
        </w:rPr>
        <w:tab/>
      </w:r>
      <w:r>
        <w:rPr>
          <w:rFonts w:hint="eastAsia"/>
        </w:rPr>
        <w:t>（Cross-Site Request Forgery）</w:t>
      </w:r>
    </w:p>
    <w:p w14:paraId="5746971A">
      <w:pPr>
        <w:pStyle w:val="56"/>
        <w:ind w:firstLine="420"/>
      </w:pPr>
      <w:r>
        <w:rPr>
          <w:rFonts w:hint="eastAsia"/>
        </w:rPr>
        <w:t>AES-256：256位 高级加密标准（Advanced Encryption Standard）</w:t>
      </w:r>
    </w:p>
    <w:p w14:paraId="4A1F950A">
      <w:pPr>
        <w:pStyle w:val="56"/>
        <w:ind w:firstLine="420"/>
      </w:pPr>
      <w:r>
        <w:rPr>
          <w:rFonts w:hint="eastAsia"/>
        </w:rPr>
        <w:t>API Key：应用程序接口密钥（Application Programming Interface Key）</w:t>
      </w:r>
    </w:p>
    <w:p w14:paraId="38A57D3F">
      <w:pPr>
        <w:pStyle w:val="56"/>
        <w:ind w:firstLine="420"/>
      </w:pPr>
      <w:r>
        <w:rPr>
          <w:rFonts w:hint="eastAsia"/>
        </w:rPr>
        <w:t>FTP：文件传输协议（File Transfer Protocol）</w:t>
      </w:r>
    </w:p>
    <w:p w14:paraId="3FC2A0D8">
      <w:pPr>
        <w:pStyle w:val="56"/>
        <w:ind w:firstLine="420"/>
      </w:pPr>
      <w:r>
        <w:rPr>
          <w:rFonts w:hint="eastAsia"/>
        </w:rPr>
        <w:t>FAQ</w:t>
      </w:r>
      <w:r>
        <w:rPr>
          <w:rFonts w:hint="eastAsia"/>
        </w:rPr>
        <w:tab/>
      </w:r>
      <w:r>
        <w:rPr>
          <w:rFonts w:hint="eastAsia"/>
        </w:rPr>
        <w:t>：常见问题解答（Frequently Asked Questions）</w:t>
      </w:r>
    </w:p>
    <w:p w14:paraId="28A158D6">
      <w:pPr>
        <w:pStyle w:val="56"/>
        <w:ind w:firstLine="420"/>
      </w:pPr>
      <w:r>
        <w:rPr>
          <w:rFonts w:hint="eastAsia"/>
        </w:rPr>
        <w:t>UPS：不间断电源（Uninterruptible Power Supply）</w:t>
      </w:r>
    </w:p>
    <w:p w14:paraId="50D9BF77">
      <w:pPr>
        <w:pStyle w:val="56"/>
        <w:ind w:firstLine="420"/>
        <w:rPr>
          <w:strike/>
        </w:rPr>
      </w:pPr>
      <w:r>
        <w:rPr>
          <w:rFonts w:hint="eastAsia"/>
        </w:rPr>
        <w:t>RAID存储：独立磁盘冗余阵列（Redundant Array of Independent Disks）</w:t>
      </w:r>
    </w:p>
    <w:p w14:paraId="4C931B23">
      <w:pPr>
        <w:pStyle w:val="56"/>
        <w:ind w:firstLine="420"/>
        <w:rPr>
          <w:strike/>
        </w:rPr>
      </w:pPr>
      <w:r>
        <w:rPr>
          <w:rFonts w:hint="eastAsia"/>
        </w:rPr>
        <w:t>SFTP：SSH文件传输协议（Secure Shell File Transfer Protocol）</w:t>
      </w:r>
    </w:p>
    <w:p w14:paraId="4284DE90">
      <w:pPr>
        <w:pStyle w:val="56"/>
        <w:ind w:firstLine="420"/>
      </w:pPr>
      <w:r>
        <w:rPr>
          <w:rFonts w:hint="eastAsia"/>
        </w:rPr>
        <w:t>CSP：内容安全策略（Content-Security-Policy）</w:t>
      </w:r>
    </w:p>
    <w:p w14:paraId="7E5B13C6">
      <w:pPr>
        <w:pStyle w:val="104"/>
        <w:spacing w:before="312" w:after="312"/>
      </w:pPr>
      <w:bookmarkStart w:id="63" w:name="_Toc206685801"/>
      <w:bookmarkStart w:id="64" w:name="_Toc206685876"/>
      <w:r>
        <w:rPr>
          <w:rFonts w:hint="eastAsia"/>
        </w:rPr>
        <w:t>总体要求</w:t>
      </w:r>
      <w:bookmarkEnd w:id="63"/>
      <w:bookmarkEnd w:id="64"/>
    </w:p>
    <w:p w14:paraId="07128E7E">
      <w:pPr>
        <w:pStyle w:val="162"/>
      </w:pPr>
      <w:r>
        <w:rPr>
          <w:rFonts w:hint="eastAsia"/>
        </w:rPr>
        <w:t>应遵守相关法律法规，确保数据共享活动合法合规，并建立相应的法律责任机制。</w:t>
      </w:r>
    </w:p>
    <w:p w14:paraId="6DF1191D">
      <w:pPr>
        <w:pStyle w:val="162"/>
      </w:pPr>
      <w:r>
        <w:rPr>
          <w:rFonts w:hint="eastAsia"/>
        </w:rPr>
        <w:t>应建立完善的数据安全保护机制，确保数据使用安全可控。</w:t>
      </w:r>
    </w:p>
    <w:p w14:paraId="555D6738">
      <w:pPr>
        <w:pStyle w:val="162"/>
      </w:pPr>
      <w:r>
        <w:rPr>
          <w:rFonts w:hint="eastAsia"/>
        </w:rPr>
        <w:t>采取技术措施和管理措施相结合的方式，对数据进行分级分类管理，实施必要的访问控制、传输加密、行为审计等安全防护措施。</w:t>
      </w:r>
    </w:p>
    <w:p w14:paraId="7B4DA894">
      <w:pPr>
        <w:pStyle w:val="162"/>
      </w:pPr>
      <w:r>
        <w:rPr>
          <w:rFonts w:hint="eastAsia"/>
        </w:rPr>
        <w:t>建立数据安全应急响应机制，及时处理安全事件，最大限度降低安全风险。</w:t>
      </w:r>
    </w:p>
    <w:p w14:paraId="6D4942C7">
      <w:pPr>
        <w:pStyle w:val="104"/>
        <w:spacing w:before="312" w:after="312"/>
      </w:pPr>
      <w:bookmarkStart w:id="65" w:name="_Toc206685802"/>
      <w:bookmarkStart w:id="66" w:name="_Toc206170450"/>
      <w:bookmarkStart w:id="67" w:name="_Toc206685877"/>
      <w:r>
        <w:rPr>
          <w:rFonts w:hint="eastAsia"/>
        </w:rPr>
        <w:t>成果内容</w:t>
      </w:r>
      <w:bookmarkEnd w:id="65"/>
      <w:bookmarkEnd w:id="66"/>
      <w:bookmarkEnd w:id="67"/>
    </w:p>
    <w:p w14:paraId="2E93C6CD">
      <w:pPr>
        <w:pStyle w:val="105"/>
        <w:spacing w:before="156" w:after="156"/>
      </w:pPr>
      <w:bookmarkStart w:id="68" w:name="_Toc17880"/>
      <w:bookmarkStart w:id="69" w:name="_Toc24587"/>
      <w:bookmarkStart w:id="70" w:name="_Toc206170452"/>
      <w:bookmarkStart w:id="71" w:name="_Toc206685803"/>
      <w:r>
        <w:rPr>
          <w:rFonts w:hint="eastAsia"/>
        </w:rPr>
        <w:t>共享方式</w:t>
      </w:r>
      <w:bookmarkEnd w:id="68"/>
      <w:bookmarkEnd w:id="69"/>
      <w:bookmarkEnd w:id="70"/>
      <w:bookmarkEnd w:id="71"/>
    </w:p>
    <w:p w14:paraId="763E7FB6">
      <w:pPr>
        <w:spacing w:line="240" w:lineRule="auto"/>
        <w:ind w:firstLine="420"/>
        <w:rPr>
          <w:rFonts w:ascii="宋体" w:hAnsi="Times New Roman"/>
          <w:kern w:val="0"/>
          <w:szCs w:val="20"/>
        </w:rPr>
      </w:pPr>
      <w:r>
        <w:rPr>
          <w:rFonts w:hint="eastAsia" w:ascii="宋体" w:hAnsi="Times New Roman"/>
          <w:kern w:val="0"/>
          <w:szCs w:val="20"/>
        </w:rPr>
        <w:t>湖南省气象部门应根据不同用户的需求提供包括但不限于下列数据共享方式：</w:t>
      </w:r>
    </w:p>
    <w:p w14:paraId="56B64FC5">
      <w:pPr>
        <w:pStyle w:val="174"/>
        <w:numPr>
          <w:ilvl w:val="0"/>
          <w:numId w:val="32"/>
        </w:numPr>
      </w:pPr>
      <w:r>
        <w:rPr>
          <w:rFonts w:hint="eastAsia"/>
        </w:rPr>
        <w:t>平台访问方式：通过统一的数据共享平台，提供Web门户访问服务，用户可以通过浏览器访问平台，进行数据浏览、查询、下载等操作。平台应提供友好的用户界面和操作流程，确保用户便捷获取数据；</w:t>
      </w:r>
    </w:p>
    <w:p w14:paraId="2B1F0CB6">
      <w:pPr>
        <w:pStyle w:val="174"/>
      </w:pPr>
      <w:r>
        <w:rPr>
          <w:rFonts w:hint="eastAsia"/>
        </w:rPr>
        <w:t>接口调用方式：提供标准化的API接口，用户可以通过程序调用接口获取数据，实现系统间的数据互联互通。接口应遵循RESTful设计规范，提供详细的接口文档和调用示例，便于用户开发应用；</w:t>
      </w:r>
    </w:p>
    <w:p w14:paraId="61377B48">
      <w:pPr>
        <w:pStyle w:val="174"/>
      </w:pPr>
      <w:r>
        <w:rPr>
          <w:rFonts w:hint="eastAsia"/>
        </w:rPr>
        <w:t>数据推送方式：根据用户订阅需求，通过邮件、消息、文件传输等方式，主动向用户推送气象数据。推送方式应支持用户自定义推送内容、频率、格式等，提高数据获取的及时性和针对性；</w:t>
      </w:r>
    </w:p>
    <w:p w14:paraId="288158D7">
      <w:pPr>
        <w:pStyle w:val="174"/>
      </w:pPr>
      <w:r>
        <w:rPr>
          <w:rFonts w:hint="eastAsia"/>
        </w:rPr>
        <w:t>离线交换方式：通过光盘、移动存储设备等离线方式，提供大容量气象数据的交换服务。主要适用于数据量大、网络传输不便的情况，应当建立严格的数据交换流程和安全管理制度。</w:t>
      </w:r>
    </w:p>
    <w:p w14:paraId="053A083A">
      <w:pPr>
        <w:pStyle w:val="105"/>
        <w:spacing w:before="156" w:after="156"/>
      </w:pPr>
      <w:bookmarkStart w:id="72" w:name="_Toc206170453"/>
      <w:bookmarkStart w:id="73" w:name="_Toc206168144"/>
      <w:bookmarkStart w:id="74" w:name="_Toc206685804"/>
      <w:r>
        <w:rPr>
          <w:rFonts w:hint="eastAsia"/>
        </w:rPr>
        <w:t>共享</w:t>
      </w:r>
      <w:bookmarkEnd w:id="72"/>
      <w:bookmarkEnd w:id="73"/>
      <w:r>
        <w:rPr>
          <w:rFonts w:hint="eastAsia"/>
        </w:rPr>
        <w:t>流程</w:t>
      </w:r>
      <w:bookmarkEnd w:id="74"/>
    </w:p>
    <w:p w14:paraId="1E5A3D90">
      <w:pPr>
        <w:pStyle w:val="65"/>
        <w:spacing w:before="156" w:after="156"/>
      </w:pPr>
      <w:bookmarkStart w:id="75" w:name="_Toc19480"/>
      <w:bookmarkStart w:id="76" w:name="_Toc8664"/>
      <w:r>
        <w:rPr>
          <w:rFonts w:hint="eastAsia"/>
        </w:rPr>
        <w:t>共享流程</w:t>
      </w:r>
      <w:bookmarkEnd w:id="75"/>
      <w:bookmarkEnd w:id="76"/>
      <w:r>
        <w:rPr>
          <w:rFonts w:hint="eastAsia"/>
        </w:rPr>
        <w:t>图</w:t>
      </w:r>
    </w:p>
    <w:p w14:paraId="06F88266">
      <w:pPr>
        <w:pStyle w:val="164"/>
        <w:ind w:left="0"/>
        <w:rPr>
          <w:rFonts w:hint="eastAsia" w:hAnsi="宋体" w:cs="宋体"/>
          <w:szCs w:val="21"/>
        </w:rPr>
      </w:pPr>
      <w:r>
        <w:rPr>
          <w:rFonts w:hint="eastAsia" w:hAnsi="宋体" w:cs="宋体"/>
          <w:szCs w:val="21"/>
        </w:rPr>
        <w:t>湖南省气象部门对外数据共享流程主要包括数据准备流程和数据共享流程两个部分。</w:t>
      </w:r>
    </w:p>
    <w:p w14:paraId="06AF48AB">
      <w:pPr>
        <w:pStyle w:val="164"/>
        <w:ind w:left="0"/>
      </w:pPr>
      <w:r>
        <w:rPr>
          <w:rFonts w:hint="eastAsia" w:hAnsi="宋体" w:cs="宋体"/>
          <w:szCs w:val="21"/>
        </w:rPr>
        <w:t>通过天擎·湖南·湖南·湖南的数据统一服务流程流转至DMZ区天擎·湖南·湖南的数据环境，数据共享平台向行业相关部门提供数据服务，</w:t>
      </w:r>
      <w:r>
        <w:rPr>
          <w:rFonts w:hint="eastAsia"/>
        </w:rPr>
        <w:t>共享流程见图1。</w:t>
      </w:r>
    </w:p>
    <w:p w14:paraId="0D8371C9">
      <w:pPr>
        <w:spacing w:line="240" w:lineRule="auto"/>
        <w:ind w:firstLine="420"/>
      </w:pPr>
      <w:r>
        <w:rPr>
          <w:rFonts w:hint="eastAsia"/>
        </w:rPr>
        <w:object>
          <v:shape id="_x0000_i1025" o:spt="75" type="#_x0000_t75" style="height:247.8pt;width:442.2pt;" o:ole="t" filled="f" o:preferrelative="t" stroked="f" coordsize="21600,21600">
            <v:path/>
            <v:fill on="f" focussize="0,0"/>
            <v:stroke on="f" joinstyle="miter"/>
            <v:imagedata r:id="rId17" o:title=""/>
            <o:lock v:ext="edit" aspectratio="f"/>
            <w10:wrap type="none"/>
            <w10:anchorlock/>
          </v:shape>
          <o:OLEObject Type="Embed" ProgID="Visio.Drawing.15" ShapeID="_x0000_i1025" DrawAspect="Content" ObjectID="_1468075725" r:id="rId16">
            <o:LockedField>false</o:LockedField>
          </o:OLEObject>
        </w:object>
      </w:r>
    </w:p>
    <w:p w14:paraId="06B0DF33">
      <w:pPr>
        <w:pStyle w:val="114"/>
        <w:spacing w:before="156" w:after="156"/>
      </w:pPr>
      <w:r>
        <w:rPr>
          <w:rFonts w:hint="eastAsia"/>
        </w:rPr>
        <w:t>共享流程图</w:t>
      </w:r>
    </w:p>
    <w:p w14:paraId="4A6F5D53">
      <w:pPr>
        <w:pStyle w:val="65"/>
        <w:spacing w:before="156" w:after="156"/>
      </w:pPr>
      <w:bookmarkStart w:id="77" w:name="_Toc32135"/>
      <w:bookmarkStart w:id="78" w:name="_Toc9303"/>
      <w:r>
        <w:rPr>
          <w:rFonts w:hint="eastAsia"/>
        </w:rPr>
        <w:t>数据准备流程</w:t>
      </w:r>
      <w:bookmarkEnd w:id="77"/>
      <w:bookmarkEnd w:id="78"/>
    </w:p>
    <w:p w14:paraId="2D5C2307">
      <w:pPr>
        <w:pStyle w:val="94"/>
        <w:spacing w:before="156" w:after="156"/>
        <w:ind w:left="0"/>
      </w:pPr>
      <w:r>
        <w:rPr>
          <w:rFonts w:hint="eastAsia"/>
        </w:rPr>
        <w:t>数据收集</w:t>
      </w:r>
    </w:p>
    <w:p w14:paraId="42B89045">
      <w:pPr>
        <w:pStyle w:val="167"/>
        <w:numPr>
          <w:ilvl w:val="5"/>
          <w:numId w:val="0"/>
        </w:numPr>
        <w:rPr>
          <w:rFonts w:hint="eastAsia"/>
        </w:rPr>
      </w:pPr>
      <w:r>
        <w:rPr>
          <w:rFonts w:hint="eastAsia" w:ascii="黑体" w:hAnsi="Times New Roman" w:eastAsia="黑体"/>
          <w:szCs w:val="20"/>
        </w:rPr>
        <w:t xml:space="preserve">6.3.2.1.1  </w:t>
      </w:r>
      <w:r>
        <w:rPr>
          <w:rFonts w:hint="eastAsia"/>
        </w:rPr>
        <w:t>数据收集应符合</w:t>
      </w:r>
      <w:r>
        <w:rPr>
          <w:rFonts w:hint="eastAsia" w:hAnsi="Times New Roman"/>
          <w:szCs w:val="20"/>
        </w:rPr>
        <w:t>QX/T 618</w:t>
      </w:r>
      <w:r>
        <w:rPr>
          <w:rFonts w:hint="eastAsia"/>
        </w:rPr>
        <w:t>的相关要求，实时数据收集适用于需要即时处理和发布的数据，如自动气象站实时观测数据；定时收集适用于按照固定频率生成的数据，如气象预报产品。</w:t>
      </w:r>
    </w:p>
    <w:p w14:paraId="3D8380E8">
      <w:pPr>
        <w:pStyle w:val="167"/>
        <w:numPr>
          <w:ilvl w:val="5"/>
          <w:numId w:val="0"/>
        </w:numPr>
        <w:rPr>
          <w:rFonts w:hint="eastAsia"/>
          <w:color w:val="EE0000"/>
        </w:rPr>
      </w:pPr>
      <w:r>
        <w:rPr>
          <w:rFonts w:hint="eastAsia" w:ascii="黑体" w:hAnsi="Times New Roman" w:eastAsia="黑体"/>
          <w:szCs w:val="20"/>
        </w:rPr>
        <w:t xml:space="preserve">6.3.2.1.2 </w:t>
      </w:r>
      <w:r>
        <w:rPr>
          <w:rFonts w:hint="eastAsia"/>
        </w:rPr>
        <w:t xml:space="preserve"> 应对收集的原始数据进行初步处理，如格式转换、数据解析、异常检测等数据。预处理应在数据入库前完成</w:t>
      </w:r>
      <w:bookmarkStart w:id="79" w:name="OLE_LINK2"/>
      <w:r>
        <w:rPr>
          <w:rFonts w:hint="eastAsia"/>
        </w:rPr>
        <w:t>。</w:t>
      </w:r>
      <w:bookmarkEnd w:id="79"/>
    </w:p>
    <w:p w14:paraId="78F515F3">
      <w:pPr>
        <w:pStyle w:val="167"/>
        <w:numPr>
          <w:ilvl w:val="5"/>
          <w:numId w:val="0"/>
        </w:numPr>
        <w:rPr>
          <w:rFonts w:hint="eastAsia"/>
        </w:rPr>
      </w:pPr>
      <w:r>
        <w:rPr>
          <w:rFonts w:hint="eastAsia" w:ascii="黑体" w:hAnsi="Times New Roman" w:eastAsia="黑体"/>
          <w:szCs w:val="20"/>
        </w:rPr>
        <w:t xml:space="preserve">6.3.2.1.3  </w:t>
      </w:r>
      <w:r>
        <w:rPr>
          <w:rFonts w:hint="eastAsia"/>
        </w:rPr>
        <w:t>验证收集数据的完整性、准确性和时效性，数据验证应基于预定义的质量控制规则，对数据进行全方位的质量检查，如数据格式是否正确、数值是否在合理范围内、是否存在缺失或重复等；不符合质量要求的数据，应进行标记或拒绝入库。</w:t>
      </w:r>
    </w:p>
    <w:p w14:paraId="6D580B07">
      <w:pPr>
        <w:pStyle w:val="94"/>
        <w:spacing w:before="156" w:after="156"/>
        <w:ind w:left="0"/>
      </w:pPr>
      <w:r>
        <w:rPr>
          <w:rFonts w:hint="eastAsia"/>
        </w:rPr>
        <w:t>数据处理</w:t>
      </w:r>
    </w:p>
    <w:p w14:paraId="65AC0034">
      <w:pPr>
        <w:pStyle w:val="167"/>
        <w:rPr>
          <w:rFonts w:hint="eastAsia"/>
        </w:rPr>
      </w:pPr>
      <w:r>
        <w:rPr>
          <w:rFonts w:hint="eastAsia"/>
        </w:rPr>
        <w:t>数据清洗：识别和处理数据中的异常值、缺失值、重复值等问题，提高数据质量。应采用自动化的清洗规则和算法，如统计分析法、领域知识法等，识别和处理数据问题。对于无法自动判断的问题数据，应提供人工审核机制，确保清洗结果的准确性。</w:t>
      </w:r>
    </w:p>
    <w:p w14:paraId="1290C40E">
      <w:pPr>
        <w:pStyle w:val="167"/>
        <w:rPr>
          <w:rFonts w:hint="eastAsia"/>
        </w:rPr>
      </w:pPr>
      <w:r>
        <w:rPr>
          <w:rFonts w:hint="eastAsia"/>
        </w:rPr>
        <w:t>数据转换：将数据转换为标准格式，统一数据编码、单位、坐标系等，便于数据使用。数据转换应遵循预定义的数据标准，确保不同来源的数据在格式上的一致性和兼容性。常见的转换包括数据类型转换、编码转换、单位换算、坐标转换等。转换过程应保证数据的准确性，不应因转换错误导致数据失真。</w:t>
      </w:r>
    </w:p>
    <w:p w14:paraId="56BDF58C">
      <w:pPr>
        <w:pStyle w:val="167"/>
        <w:rPr>
          <w:rFonts w:hint="eastAsia"/>
        </w:rPr>
      </w:pPr>
      <w:r>
        <w:rPr>
          <w:rFonts w:hint="eastAsia"/>
        </w:rPr>
        <w:t>数据整合：将来自不同来源的数据进行关联和整合，形成完整的数据集。解决数据源之间的差异和冲突，如数据口径不一致、标识符不同等问题，确保整合后的数据一致性和完整性。</w:t>
      </w:r>
    </w:p>
    <w:p w14:paraId="5081D8FF">
      <w:pPr>
        <w:pStyle w:val="167"/>
        <w:rPr>
          <w:rFonts w:hint="eastAsia"/>
        </w:rPr>
      </w:pPr>
      <w:r>
        <w:rPr>
          <w:rFonts w:hint="eastAsia"/>
        </w:rPr>
        <w:t>数据加工：根据共享需求，对基础数据进行计算、分析、汇总等加工处理，形成面向应用的数据产品。通过对基础数据的深度处理，生成具有更高应用价值的数据产品。常见的加工处理包括统计分析、空间插值、数值预报、模型计算等，应根据应用需求选择合适的加工方法。</w:t>
      </w:r>
    </w:p>
    <w:p w14:paraId="206E8003">
      <w:pPr>
        <w:pStyle w:val="94"/>
        <w:spacing w:before="156" w:after="156"/>
        <w:ind w:left="0"/>
      </w:pPr>
      <w:r>
        <w:rPr>
          <w:rFonts w:hint="eastAsia"/>
        </w:rPr>
        <w:t>数据发布</w:t>
      </w:r>
    </w:p>
    <w:p w14:paraId="4A31B09B">
      <w:pPr>
        <w:pStyle w:val="167"/>
        <w:rPr>
          <w:rFonts w:hint="eastAsia"/>
        </w:rPr>
      </w:pPr>
      <w:r>
        <w:rPr>
          <w:rFonts w:hint="eastAsia"/>
        </w:rPr>
        <w:t>数据审核：对拟发布的数据进行审核，确保数据符合质量标准和发布要求。应从数据内容、格式、可用性等多个方面进行审核</w:t>
      </w:r>
      <w:r>
        <w:rPr>
          <w:rFonts w:hint="eastAsia"/>
          <w:color w:val="EE0000"/>
        </w:rPr>
        <w:t>；</w:t>
      </w:r>
      <w:r>
        <w:rPr>
          <w:rFonts w:hint="eastAsia"/>
        </w:rPr>
        <w:t>对于重要数据产品，应实施多级审核机制，如专业审核、质量审核、发布审核等，确保发布数据的质量和权威性。</w:t>
      </w:r>
    </w:p>
    <w:p w14:paraId="6F510904">
      <w:pPr>
        <w:pStyle w:val="167"/>
        <w:rPr>
          <w:rFonts w:hint="eastAsia"/>
        </w:rPr>
      </w:pPr>
      <w:r>
        <w:rPr>
          <w:rFonts w:hint="eastAsia"/>
        </w:rPr>
        <w:t>数据发布：将审核通过的数据正式发布到数据共享平台，供用户使用。应确保发布过程的安全、可靠和高效</w:t>
      </w:r>
      <w:r>
        <w:rPr>
          <w:rFonts w:hint="eastAsia"/>
          <w:color w:val="EE0000"/>
        </w:rPr>
        <w:t>；</w:t>
      </w:r>
      <w:r>
        <w:rPr>
          <w:rFonts w:hint="eastAsia"/>
        </w:rPr>
        <w:t>发布系统应支持手动发布和自动发布两种方式，满足不同场景的发布需求。发布过程应保证数据的完整性和一致性，不应发布不完整或错误的数据。</w:t>
      </w:r>
    </w:p>
    <w:p w14:paraId="12D3CF13">
      <w:pPr>
        <w:pStyle w:val="167"/>
        <w:rPr>
          <w:rFonts w:hint="eastAsia"/>
        </w:rPr>
      </w:pPr>
      <w:r>
        <w:rPr>
          <w:rFonts w:hint="eastAsia"/>
        </w:rPr>
        <w:t>版本管理：对发布的数据进行版本控制，支持数据更新和历史版本访问。每次数据更新时，应生成新的版本标识，并保留历史版本</w:t>
      </w:r>
      <w:r>
        <w:rPr>
          <w:rFonts w:hint="eastAsia"/>
          <w:color w:val="EE0000"/>
        </w:rPr>
        <w:t>；</w:t>
      </w:r>
      <w:r>
        <w:rPr>
          <w:rFonts w:hint="eastAsia"/>
        </w:rPr>
        <w:t>版本信息应包括版本号、生成时间、变更内容、责任人等信息，便于用户了解数据的版本情况和变更历史。</w:t>
      </w:r>
    </w:p>
    <w:p w14:paraId="62BBBFAD">
      <w:pPr>
        <w:pStyle w:val="167"/>
        <w:rPr>
          <w:rFonts w:hint="eastAsia"/>
        </w:rPr>
      </w:pPr>
      <w:r>
        <w:rPr>
          <w:rFonts w:hint="eastAsia"/>
        </w:rPr>
        <w:t>更新通知：当数据有更新时，通知相关用户，确保用户使用最新的数据。通知方式可包括邮件通知、短信通知、平台消息通知等，用户应能够自定义通知方式和频率。通知内容应包括更新时间、更新内容、获取方式等信息。</w:t>
      </w:r>
    </w:p>
    <w:p w14:paraId="57B53D64">
      <w:pPr>
        <w:pStyle w:val="65"/>
        <w:spacing w:before="156" w:after="156"/>
      </w:pPr>
      <w:bookmarkStart w:id="80" w:name="_Toc6042"/>
      <w:bookmarkStart w:id="81" w:name="_Toc2881"/>
      <w:r>
        <w:rPr>
          <w:rFonts w:hint="eastAsia"/>
        </w:rPr>
        <w:t>数据共享流程</w:t>
      </w:r>
      <w:bookmarkEnd w:id="80"/>
      <w:bookmarkEnd w:id="81"/>
    </w:p>
    <w:p w14:paraId="5F011498">
      <w:pPr>
        <w:pStyle w:val="94"/>
        <w:spacing w:before="156" w:after="156"/>
        <w:ind w:left="0"/>
      </w:pPr>
      <w:r>
        <w:rPr>
          <w:rFonts w:hint="eastAsia"/>
        </w:rPr>
        <w:t>用户申请</w:t>
      </w:r>
    </w:p>
    <w:p w14:paraId="4780014E">
      <w:pPr>
        <w:pStyle w:val="167"/>
        <w:rPr>
          <w:rFonts w:hint="eastAsia"/>
        </w:rPr>
      </w:pPr>
      <w:r>
        <w:rPr>
          <w:rFonts w:hint="eastAsia"/>
        </w:rPr>
        <w:t>注册账号：用户在数据共享平台注册账号，提供必要的身份信息和联系方式。系统应提供清晰简洁的注册流程，并明确告知用户需要提供的信息及其用途</w:t>
      </w:r>
      <w:r>
        <w:rPr>
          <w:rFonts w:hint="eastAsia"/>
          <w:color w:val="EE0000"/>
        </w:rPr>
        <w:t>；</w:t>
      </w:r>
      <w:r>
        <w:rPr>
          <w:rFonts w:hint="eastAsia"/>
        </w:rPr>
        <w:t>对于个人用户，通常需要提供姓名、身份证号、联系方式等基本信息；对于机构用户，还需要提供单位名称、统一社会信用代码、法人代表等信息。</w:t>
      </w:r>
    </w:p>
    <w:p w14:paraId="14BEF15E">
      <w:pPr>
        <w:pStyle w:val="167"/>
        <w:rPr>
          <w:rFonts w:hint="eastAsia"/>
        </w:rPr>
      </w:pPr>
      <w:r>
        <w:rPr>
          <w:rFonts w:hint="eastAsia"/>
        </w:rPr>
        <w:t>提交申请：用户提交数据使用申请，说明需要的数据类型、用途、使用方式等信息。申请表单应设计合理，包含足够的信息字段，便于后续审核和服务提供</w:t>
      </w:r>
      <w:r>
        <w:rPr>
          <w:rFonts w:hint="eastAsia"/>
          <w:color w:val="EE0000"/>
        </w:rPr>
        <w:t>；</w:t>
      </w:r>
      <w:r>
        <w:rPr>
          <w:rFonts w:hint="eastAsia"/>
        </w:rPr>
        <w:t>常见的申请信息包括：申请数据的类型、时间范围、地域范围、数据格式要求、获取方式要求、使用目的、预期成果等</w:t>
      </w:r>
      <w:r>
        <w:rPr>
          <w:rFonts w:hint="eastAsia"/>
          <w:color w:val="EE0000"/>
        </w:rPr>
        <w:t>；</w:t>
      </w:r>
      <w:r>
        <w:rPr>
          <w:rFonts w:hint="eastAsia"/>
        </w:rPr>
        <w:t>系统应支持用户保存申请草稿、查看申请历史、跟踪申请进度等功能。</w:t>
      </w:r>
    </w:p>
    <w:p w14:paraId="7C3E696E">
      <w:pPr>
        <w:pStyle w:val="167"/>
        <w:rPr>
          <w:rFonts w:hint="eastAsia"/>
        </w:rPr>
      </w:pPr>
      <w:r>
        <w:rPr>
          <w:rFonts w:hint="eastAsia"/>
        </w:rPr>
        <w:t>材料审核：系统管理员或数据管理员审核用户提交的申请材料，确认材料的完整性和真实性</w:t>
      </w:r>
      <w:r>
        <w:rPr>
          <w:rFonts w:hint="eastAsia"/>
          <w:color w:val="EE0000"/>
        </w:rPr>
        <w:t>；</w:t>
      </w:r>
      <w:r>
        <w:rPr>
          <w:rFonts w:hint="eastAsia"/>
        </w:rPr>
        <w:t>重点检查申请材料是否完整、格式是否正确、信息是否真实等；有需要时应核验用户提供的身份证明、单位证明、授权文件等材料的真实性</w:t>
      </w:r>
      <w:r>
        <w:rPr>
          <w:rFonts w:hint="eastAsia"/>
          <w:color w:val="EE0000"/>
        </w:rPr>
        <w:t>；</w:t>
      </w:r>
      <w:r>
        <w:rPr>
          <w:rFonts w:hint="eastAsia"/>
        </w:rPr>
        <w:t>对于材料不完整或存在疑问的申请，应及时反馈用户，要求补充或澄清。</w:t>
      </w:r>
    </w:p>
    <w:p w14:paraId="015F8957">
      <w:pPr>
        <w:pStyle w:val="167"/>
        <w:rPr>
          <w:rFonts w:hint="eastAsia"/>
        </w:rPr>
      </w:pPr>
      <w:r>
        <w:rPr>
          <w:rFonts w:hint="eastAsia"/>
        </w:rPr>
        <w:t>签订协议：用户与气象部门签订数据使用协议，明确双方的权责和数据使用规范。数据使用协议应包含数据提供方和使用方的权利和义务、数据使用范围和限制、知识产权声明、保密要求、免责条款、违约责任等主要内容；协议可采用电子方式签署，但应确保具有法律效力，并留存签署记录。</w:t>
      </w:r>
    </w:p>
    <w:p w14:paraId="49248321">
      <w:pPr>
        <w:pStyle w:val="94"/>
        <w:spacing w:before="156" w:after="156"/>
        <w:ind w:left="0"/>
      </w:pPr>
      <w:r>
        <w:rPr>
          <w:rFonts w:hint="eastAsia"/>
        </w:rPr>
        <w:t>授权管理</w:t>
      </w:r>
    </w:p>
    <w:p w14:paraId="18C76F7E">
      <w:pPr>
        <w:pStyle w:val="167"/>
        <w:rPr>
          <w:rFonts w:hint="eastAsia"/>
        </w:rPr>
      </w:pPr>
      <w:r>
        <w:rPr>
          <w:rFonts w:hint="eastAsia"/>
        </w:rPr>
        <w:t>权限分配：根据用户申请和审批结果，为用户分配相应的数据访问权限</w:t>
      </w:r>
      <w:r>
        <w:rPr>
          <w:rFonts w:hint="eastAsia"/>
          <w:color w:val="EE0000"/>
        </w:rPr>
        <w:t>；</w:t>
      </w:r>
      <w:r>
        <w:rPr>
          <w:rFonts w:hint="eastAsia"/>
        </w:rPr>
        <w:t>权限可从多个维度进行控制，如数据类型、时间范围、地域范围、访问频率、功能权限等</w:t>
      </w:r>
      <w:r>
        <w:rPr>
          <w:rFonts w:hint="eastAsia"/>
          <w:color w:val="EE0000"/>
        </w:rPr>
        <w:t>；</w:t>
      </w:r>
      <w:r>
        <w:rPr>
          <w:rFonts w:hint="eastAsia"/>
        </w:rPr>
        <w:t>对于敏感数据或高价值数据，应实施更严格的权限控制，如设置访问IP限制、时间限制、次数限制等。</w:t>
      </w:r>
    </w:p>
    <w:p w14:paraId="360D064C">
      <w:pPr>
        <w:pStyle w:val="167"/>
        <w:rPr>
          <w:rFonts w:hint="eastAsia"/>
        </w:rPr>
      </w:pPr>
      <w:r>
        <w:rPr>
          <w:rFonts w:hint="eastAsia"/>
        </w:rPr>
        <w:t>接口授权：为用户开通API接口调用权限，设置接口访问参数，如访问密钥、IP白名单、调用频率等</w:t>
      </w:r>
      <w:r>
        <w:rPr>
          <w:rFonts w:hint="eastAsia"/>
          <w:color w:val="EE0000"/>
        </w:rPr>
        <w:t>；</w:t>
      </w:r>
      <w:r>
        <w:rPr>
          <w:rFonts w:hint="eastAsia"/>
        </w:rPr>
        <w:t>应确保授权过程的安全性和可控性。接口授权通常包括生成访问密钥（如API Key、Access Token等）、设置访问限制（如IP白名单、调用频率限制、并发数限制等）、配置接口参数（如数据范围、返回字段等）</w:t>
      </w:r>
      <w:r>
        <w:rPr>
          <w:rFonts w:hint="eastAsia"/>
          <w:color w:val="EE0000"/>
        </w:rPr>
        <w:t>；</w:t>
      </w:r>
      <w:r>
        <w:rPr>
          <w:rFonts w:hint="eastAsia"/>
        </w:rPr>
        <w:t>系统应提供接口授权的管理功能，支持密钥更新、权限调整、授权撤销等操作。</w:t>
      </w:r>
    </w:p>
    <w:p w14:paraId="2CB75D10">
      <w:pPr>
        <w:pStyle w:val="167"/>
        <w:rPr>
          <w:rFonts w:hint="eastAsia"/>
        </w:rPr>
      </w:pPr>
      <w:r>
        <w:rPr>
          <w:rFonts w:hint="eastAsia"/>
        </w:rPr>
        <w:t>数据授权：为用户授权可访问的具体数据集、数据项和操作权限</w:t>
      </w:r>
      <w:r>
        <w:rPr>
          <w:rFonts w:hint="eastAsia"/>
          <w:color w:val="EE0000"/>
        </w:rPr>
        <w:t>；</w:t>
      </w:r>
      <w:r>
        <w:rPr>
          <w:rFonts w:hint="eastAsia"/>
        </w:rPr>
        <w:t>应支持细粒度的授权管理，如可以针对特定数据集、数据表、数据字段、数据记录等不同级别进行授权；授权应明确用户对数据的操作权限，如只读、下载、分析等；对于需要特殊保护的数据，如涉及个人隐私的数据，应实施数据脱敏或匿名化处理后再授权使用。</w:t>
      </w:r>
    </w:p>
    <w:p w14:paraId="117A0548">
      <w:pPr>
        <w:pStyle w:val="167"/>
        <w:rPr>
          <w:rFonts w:hint="eastAsia"/>
        </w:rPr>
      </w:pPr>
      <w:r>
        <w:rPr>
          <w:rFonts w:hint="eastAsia"/>
        </w:rPr>
        <w:t>期限管理：设置授权的有效期限，到期后自动终止授权或提示续期。系统应记录每项授权的开始时间和结束时间，到期前自动提醒用户和管理员，便于及时处理续期或终止事宜；对于不同类型的数据和用户，可设置不同的授权期限策略，如常规数据可授权较长期限，敏感数据授权期限应较短。</w:t>
      </w:r>
    </w:p>
    <w:p w14:paraId="1129662A">
      <w:pPr>
        <w:pStyle w:val="94"/>
        <w:spacing w:before="156" w:after="156"/>
        <w:ind w:left="0"/>
      </w:pPr>
      <w:r>
        <w:rPr>
          <w:rFonts w:hint="eastAsia"/>
        </w:rPr>
        <w:t>数据提供</w:t>
      </w:r>
    </w:p>
    <w:p w14:paraId="7C4105E9">
      <w:pPr>
        <w:pStyle w:val="167"/>
        <w:rPr>
          <w:rFonts w:hint="eastAsia"/>
        </w:rPr>
      </w:pPr>
      <w:r>
        <w:rPr>
          <w:rFonts w:hint="eastAsia"/>
        </w:rPr>
        <w:t>接口调用：用户通过API接口调用方式获取数据，系统按照授权策略提供数据服务；适合于需要实时获取数据或需要程序化处理数据的场景；系统应提供标准化的接口文档，详细说明接口地址、请求参数、返回格式、错误码等信息，便于用户开发对接程序。接口设计应考虑安全性、性能、稳定性等因素，如使用HTTPS协议、实现接口限流、支持断点续传等。</w:t>
      </w:r>
    </w:p>
    <w:p w14:paraId="658CC5BC">
      <w:pPr>
        <w:pStyle w:val="167"/>
        <w:rPr>
          <w:rFonts w:hint="eastAsia"/>
        </w:rPr>
      </w:pPr>
      <w:r>
        <w:rPr>
          <w:rFonts w:hint="eastAsia"/>
        </w:rPr>
        <w:t>数据下载：用户通过Web门户或客户端软件下载数据文件，系统提供文件下载服务；适合于需要批量获取数据并进行离线分析的场景；系统应支持多种下载方式，如直接下载、批量下载、FTP下载等，并考虑大文件传输的性能和可靠性；对于大数据量下载，应支持压缩传输、分片下载、断点续传等功能，提高下载效率和成功率。</w:t>
      </w:r>
    </w:p>
    <w:p w14:paraId="648AB482">
      <w:pPr>
        <w:pStyle w:val="167"/>
        <w:rPr>
          <w:rFonts w:hint="eastAsia"/>
        </w:rPr>
      </w:pPr>
      <w:r>
        <w:rPr>
          <w:rFonts w:hint="eastAsia"/>
        </w:rPr>
        <w:t>数据推送：系统根据用户订阅需求，主动向用户推送数据，如定期推送或事件触发推送。适合于用户需要定期获取最新数据或需要及时获取特定事件数据的场景；系统应支持多种推送方式，如邮件推送、FTP推送、消息推送等，并允许用户自定义推送参数，如推送频率、推送内容、推送格式等；推送系统应具备可靠性和可追溯性，记录每次推送的状态和结果。</w:t>
      </w:r>
    </w:p>
    <w:p w14:paraId="383BB8B1">
      <w:pPr>
        <w:pStyle w:val="167"/>
        <w:rPr>
          <w:rFonts w:hint="eastAsia"/>
        </w:rPr>
      </w:pPr>
      <w:r>
        <w:rPr>
          <w:rFonts w:hint="eastAsia"/>
        </w:rPr>
        <w:t>服务支持：为用户提供数据使用的技术支持和咨询服务，帮助用户有效使用数据；应提供多种支持渠道，如在线文档、FAQ、培训课程、在线咨询、电话支持等；服务支持内容应涵盖数据获取、数据理解、数据应用等各个方面。对于重要用户或复杂问题，可提供一对一的专业咨询和技术支持服务。</w:t>
      </w:r>
    </w:p>
    <w:p w14:paraId="6629337E">
      <w:pPr>
        <w:pStyle w:val="167"/>
        <w:numPr>
          <w:ilvl w:val="5"/>
          <w:numId w:val="0"/>
        </w:numPr>
        <w:outlineLvl w:val="1"/>
        <w:rPr>
          <w:rFonts w:hint="eastAsia" w:ascii="黑体" w:eastAsia="黑体"/>
        </w:rPr>
      </w:pPr>
      <w:r>
        <w:rPr>
          <w:rFonts w:hint="eastAsia" w:ascii="黑体" w:hAnsi="Times New Roman" w:eastAsia="黑体"/>
          <w:szCs w:val="20"/>
        </w:rPr>
        <w:t xml:space="preserve">6.4 </w:t>
      </w:r>
      <w:r>
        <w:rPr>
          <w:rFonts w:hint="eastAsia"/>
        </w:rPr>
        <w:t xml:space="preserve"> </w:t>
      </w:r>
      <w:r>
        <w:rPr>
          <w:rFonts w:hint="eastAsia" w:ascii="黑体" w:eastAsia="黑体"/>
        </w:rPr>
        <w:t>数据共享接口</w:t>
      </w:r>
    </w:p>
    <w:p w14:paraId="55A956C4">
      <w:pPr>
        <w:pStyle w:val="56"/>
        <w:ind w:firstLine="420"/>
      </w:pPr>
      <w:r>
        <w:rPr>
          <w:rFonts w:hint="eastAsia" w:hAnsi="宋体" w:cs="宋体"/>
          <w:szCs w:val="21"/>
        </w:rPr>
        <w:t>气象部门提供的用于获取气象数据的标准化接口，包括REST API、WebSocket等形式的接口，</w:t>
      </w:r>
      <w:r>
        <w:rPr>
          <w:rFonts w:hint="eastAsia"/>
        </w:rPr>
        <w:t>具体数据接口规范参考附录A和附录B，接口特点和要求如下：</w:t>
      </w:r>
    </w:p>
    <w:p w14:paraId="5C728FEB">
      <w:pPr>
        <w:pStyle w:val="174"/>
        <w:numPr>
          <w:ilvl w:val="0"/>
          <w:numId w:val="33"/>
        </w:numPr>
      </w:pPr>
      <w:r>
        <w:rPr>
          <w:rFonts w:hint="eastAsia"/>
        </w:rPr>
        <w:t>标准化：采用统一的接口规范和标准，如RESTfulAPI设计规范、JSON数据格式规范等；</w:t>
      </w:r>
    </w:p>
    <w:p w14:paraId="320807BC">
      <w:pPr>
        <w:pStyle w:val="174"/>
        <w:numPr>
          <w:ilvl w:val="0"/>
          <w:numId w:val="33"/>
        </w:numPr>
      </w:pPr>
      <w:r>
        <w:rPr>
          <w:rFonts w:hint="eastAsia"/>
        </w:rPr>
        <w:t>文档化：提供详细的接口说明文档，包括接口地址、参数说明、返回结果格式、错误码说明等；</w:t>
      </w:r>
    </w:p>
    <w:p w14:paraId="791D7735">
      <w:pPr>
        <w:pStyle w:val="174"/>
        <w:numPr>
          <w:ilvl w:val="0"/>
          <w:numId w:val="33"/>
        </w:numPr>
      </w:pPr>
      <w:r>
        <w:rPr>
          <w:rFonts w:hint="eastAsia"/>
        </w:rPr>
        <w:t>安全性：实现接口访问控制、身份认证、传输加密等安全保障措施；</w:t>
      </w:r>
    </w:p>
    <w:p w14:paraId="7A732A21">
      <w:pPr>
        <w:pStyle w:val="174"/>
        <w:numPr>
          <w:ilvl w:val="0"/>
          <w:numId w:val="33"/>
        </w:numPr>
      </w:pPr>
      <w:r>
        <w:rPr>
          <w:rFonts w:hint="eastAsia"/>
        </w:rPr>
        <w:t>版本控制：实施接口版本管理，确保接口演进过程中的兼容性和稳定性；</w:t>
      </w:r>
    </w:p>
    <w:p w14:paraId="1BD90334">
      <w:pPr>
        <w:pStyle w:val="174"/>
        <w:numPr>
          <w:ilvl w:val="0"/>
          <w:numId w:val="33"/>
        </w:numPr>
        <w:rPr>
          <w:rFonts w:hint="eastAsia"/>
        </w:rPr>
      </w:pPr>
      <w:r>
        <w:rPr>
          <w:rFonts w:hint="eastAsia"/>
        </w:rPr>
        <w:t>性能保障：确保接口响应速度、并发处理能力、稳定性等性能指标满足用户。</w:t>
      </w:r>
    </w:p>
    <w:p w14:paraId="6F5CAB78">
      <w:pPr>
        <w:pStyle w:val="104"/>
        <w:spacing w:before="312" w:after="312"/>
      </w:pPr>
      <w:bookmarkStart w:id="82" w:name="_Toc19123"/>
      <w:bookmarkStart w:id="83" w:name="_Toc206170454"/>
      <w:bookmarkStart w:id="84" w:name="_Toc206168145"/>
      <w:bookmarkStart w:id="85" w:name="_Toc206685805"/>
      <w:bookmarkStart w:id="86" w:name="_Toc206685878"/>
      <w:bookmarkStart w:id="87" w:name="_Toc12784"/>
      <w:bookmarkStart w:id="88" w:name="_Toc30270"/>
      <w:r>
        <w:rPr>
          <w:rFonts w:hint="eastAsia"/>
        </w:rPr>
        <w:t>数据安全要求</w:t>
      </w:r>
      <w:bookmarkEnd w:id="82"/>
      <w:bookmarkEnd w:id="83"/>
      <w:bookmarkEnd w:id="84"/>
      <w:bookmarkEnd w:id="85"/>
      <w:bookmarkEnd w:id="86"/>
      <w:bookmarkEnd w:id="87"/>
      <w:bookmarkEnd w:id="88"/>
    </w:p>
    <w:p w14:paraId="512B02AB">
      <w:pPr>
        <w:pStyle w:val="105"/>
        <w:spacing w:before="156" w:after="156"/>
      </w:pPr>
      <w:bookmarkStart w:id="89" w:name="_Toc206685806"/>
      <w:r>
        <w:rPr>
          <w:rFonts w:hint="eastAsia"/>
        </w:rPr>
        <w:t>基本要求</w:t>
      </w:r>
      <w:bookmarkEnd w:id="89"/>
    </w:p>
    <w:p w14:paraId="7A123F7F">
      <w:pPr>
        <w:pStyle w:val="56"/>
        <w:ind w:firstLine="420"/>
        <w:rPr>
          <w:color w:val="EE0000"/>
        </w:rPr>
      </w:pPr>
      <w:r>
        <w:rPr>
          <w:rFonts w:hint="eastAsia"/>
        </w:rPr>
        <w:t>数据安全应符合GB/T 35273相关要求。</w:t>
      </w:r>
    </w:p>
    <w:p w14:paraId="291AE220">
      <w:pPr>
        <w:pStyle w:val="105"/>
        <w:spacing w:before="156" w:after="156"/>
      </w:pPr>
      <w:bookmarkStart w:id="90" w:name="_Toc27573"/>
      <w:bookmarkStart w:id="91" w:name="_Toc30657"/>
      <w:bookmarkStart w:id="92" w:name="_Toc206170455"/>
      <w:bookmarkStart w:id="93" w:name="_Toc206685807"/>
      <w:r>
        <w:rPr>
          <w:rFonts w:hint="eastAsia"/>
        </w:rPr>
        <w:t>主机安全</w:t>
      </w:r>
      <w:bookmarkEnd w:id="90"/>
      <w:bookmarkEnd w:id="91"/>
      <w:bookmarkEnd w:id="92"/>
      <w:bookmarkEnd w:id="93"/>
    </w:p>
    <w:p w14:paraId="0761AA30">
      <w:pPr>
        <w:pStyle w:val="65"/>
        <w:spacing w:before="156" w:after="156"/>
      </w:pPr>
      <w:bookmarkStart w:id="94" w:name="_Toc26391"/>
      <w:bookmarkStart w:id="95" w:name="_Toc15461"/>
      <w:r>
        <w:rPr>
          <w:rFonts w:hint="eastAsia"/>
        </w:rPr>
        <w:t>物理安全</w:t>
      </w:r>
      <w:bookmarkEnd w:id="94"/>
      <w:bookmarkEnd w:id="95"/>
    </w:p>
    <w:p w14:paraId="48CAAEA1">
      <w:pPr>
        <w:pStyle w:val="164"/>
        <w:ind w:left="0"/>
      </w:pPr>
      <w:r>
        <w:rPr>
          <w:rFonts w:hint="eastAsia"/>
        </w:rPr>
        <w:t>数据共享系统的服务器应部署在符合国家标准的机房环境中，具备防水、防火、防雷、防尘、温湿度控制等基础设施；机房应配备稳定的电力供应系统和UPS不间断电源，确保设备在市电中断情况下仍能正常运行；机房应实施严格的出入管理制度，采用门禁系统、视频监控系统等安全防护措施，防止未授权人员进入。</w:t>
      </w:r>
    </w:p>
    <w:p w14:paraId="229A435C">
      <w:pPr>
        <w:pStyle w:val="164"/>
        <w:ind w:left="0"/>
      </w:pPr>
      <w:r>
        <w:rPr>
          <w:rFonts w:hint="eastAsia"/>
        </w:rPr>
        <w:t>服务器、存储设备、网络设备等关键设备应安装在标准机柜中，并采取防尘、防潮、防静电等保护措施；设备布局应合理规划，确保通风散热和操作维护空间；设备的电源线、数据线应规范布线，防止线缆老化和干扰。重要设备应采用冗余配置，如双电源、RAID存储等，提高系统可靠性。</w:t>
      </w:r>
    </w:p>
    <w:p w14:paraId="1316F757">
      <w:pPr>
        <w:pStyle w:val="164"/>
        <w:ind w:left="0"/>
      </w:pPr>
      <w:r>
        <w:rPr>
          <w:rFonts w:hint="eastAsia"/>
        </w:rPr>
        <w:t>机房供电系统应采用双路供电，配备UPS不间断电源和发电机组，确保设备在电力故障时仍能正常运行；供电系统应定期维护和测试，确保其可靠性。电力分配应合理规划，不应设备过载，重要设备应使用独立的电源回路。供电系统应具备电力监控功能，实时监测电力状态，及时发现并处理异常情况。</w:t>
      </w:r>
    </w:p>
    <w:p w14:paraId="731B930D">
      <w:pPr>
        <w:pStyle w:val="164"/>
        <w:ind w:left="0"/>
      </w:pPr>
      <w:r>
        <w:rPr>
          <w:rFonts w:hint="eastAsia"/>
        </w:rPr>
        <w:t>机房应配备符合国家标准的消防设施，如烟感探测器、温感探测器、气体灭火系统等；消防设施应定期检查和维护，确保其有效性；机房应制定消防应急预案，定期组织演练，提高应对火灾等突发事件的能力；消防通道应保持畅通，不应在机房内堆放易燃易爆物品。</w:t>
      </w:r>
    </w:p>
    <w:p w14:paraId="03E560BF">
      <w:pPr>
        <w:pStyle w:val="65"/>
        <w:spacing w:before="156" w:after="156"/>
      </w:pPr>
      <w:bookmarkStart w:id="96" w:name="_Toc29134"/>
      <w:bookmarkStart w:id="97" w:name="_Toc8478"/>
      <w:r>
        <w:rPr>
          <w:rFonts w:hint="eastAsia"/>
        </w:rPr>
        <w:t>系统安全</w:t>
      </w:r>
      <w:bookmarkEnd w:id="96"/>
      <w:bookmarkEnd w:id="97"/>
    </w:p>
    <w:p w14:paraId="11BD3F27">
      <w:pPr>
        <w:pStyle w:val="164"/>
        <w:ind w:left="0"/>
      </w:pPr>
      <w:r>
        <w:rPr>
          <w:rFonts w:hint="eastAsia"/>
        </w:rPr>
        <w:t>服务器操作系统应选择稳定、安全的商业版本或长期支持版本，并保持在安全更新支持期内；应定期安装安全补丁和更新，修复已知漏洞。应采用最小化安装原则，只安装必要的组件和服务，关闭不需要的端口和服务；应配置安全的系统参数，如密码策略、账户锁定策略、日志审计策略等。系统应安装防病毒软件和主机入侵防护软件，提供实时防护。</w:t>
      </w:r>
    </w:p>
    <w:p w14:paraId="242C84C0">
      <w:pPr>
        <w:pStyle w:val="164"/>
        <w:ind w:left="0"/>
      </w:pPr>
      <w:r>
        <w:rPr>
          <w:rFonts w:hint="eastAsia"/>
        </w:rPr>
        <w:t>数据库系统应选择稳定、安全的商业版本或长期支持版本，并保持在安全更新支持期内。应定期安装安全补丁和更新，修复已知漏洞。应修改默认账户和密码，设置强密码策略。应采用最小权限原则配置数据库账户权限，限制数据库管理员数量。敏感数据应采用加密存储，如采用透明数据加密（TDE）技术。应启用数据库审计功能，记录重要操作和访问行为。应定期备份数据库，并测试恢复流程，确保数据可恢复。</w:t>
      </w:r>
    </w:p>
    <w:p w14:paraId="5AED7B76">
      <w:pPr>
        <w:pStyle w:val="164"/>
        <w:ind w:left="0"/>
      </w:pPr>
      <w:r>
        <w:rPr>
          <w:rFonts w:hint="eastAsia"/>
        </w:rPr>
        <w:t>应用服务器、Web服务器等中间件应选择稳定、安全的商业版本或长期支持版本，并保持在安全更新支持期内；应定期安装安全补丁和更新，修复已知漏洞。应修改默认账户和密码，设置强密码策略。应关闭不必要的功能和组件，减少攻击面；应合理配置中间件参数，如连接池大小、超时时间、内存分配等，防止资源耗尽导致的拒绝服务。应启用访问控制和日志记录功能，便于安全审计和问题排查。</w:t>
      </w:r>
    </w:p>
    <w:p w14:paraId="63A6432B">
      <w:pPr>
        <w:pStyle w:val="164"/>
        <w:ind w:left="0"/>
      </w:pPr>
      <w:r>
        <w:rPr>
          <w:rFonts w:hint="eastAsia"/>
        </w:rPr>
        <w:t>应用系统开发应遵循安全编码规范，防止常见的安全漏洞，如SQL注入、跨站脚本（XSS）、跨站请求伪造（CSRF）等。应用系统上线前应进行安全测试，如代码审计、渗透测试等，发现并修复安全漏洞；应用系统应实施访问控制和权限管理，确保用户只能访问其被授权的功能和数据。应用系统应记录关键操作日志，便于安全审计和问题排查。应用系统应具备异常检测和处理能力，防止因异常情况导致的安全问题。</w:t>
      </w:r>
    </w:p>
    <w:p w14:paraId="7C6BB8A3">
      <w:pPr>
        <w:pStyle w:val="65"/>
        <w:spacing w:before="156" w:after="156"/>
      </w:pPr>
      <w:bookmarkStart w:id="98" w:name="_Toc15408"/>
      <w:bookmarkStart w:id="99" w:name="_Toc27265"/>
      <w:r>
        <w:rPr>
          <w:rFonts w:hint="eastAsia"/>
        </w:rPr>
        <w:t>终端安全</w:t>
      </w:r>
      <w:bookmarkEnd w:id="98"/>
      <w:bookmarkEnd w:id="99"/>
    </w:p>
    <w:p w14:paraId="4B973442">
      <w:pPr>
        <w:pStyle w:val="94"/>
        <w:spacing w:before="156" w:after="156"/>
        <w:ind w:left="0"/>
      </w:pPr>
      <w:bookmarkStart w:id="100" w:name="_Toc18318"/>
      <w:bookmarkStart w:id="101" w:name="_Toc11191"/>
      <w:r>
        <w:rPr>
          <w:rFonts w:hint="eastAsia"/>
        </w:rPr>
        <w:t>终端防护</w:t>
      </w:r>
      <w:bookmarkEnd w:id="100"/>
      <w:bookmarkEnd w:id="101"/>
    </w:p>
    <w:p w14:paraId="02BCA950">
      <w:pPr>
        <w:pStyle w:val="167"/>
        <w:rPr>
          <w:rFonts w:hint="eastAsia"/>
        </w:rPr>
      </w:pPr>
      <w:r>
        <w:rPr>
          <w:rFonts w:hint="eastAsia"/>
        </w:rPr>
        <w:t>管理终端和用户终端应安装防病毒软件、防火墙、主机入侵防护等安全防护软件，提供实时防护。防护软件应保持最新版本，并定期更新病毒库和规则库。防护软件应提供全面的安全防护功能，如文件防护、网页防护、邮件防护、行为防护等。防护软件应能够实时监控终端安全状态，检测和阻止恶意程序和攻击行为。防护软件应将安全事件日志集中上报至安全管理平台，便于集中监控和管理。</w:t>
      </w:r>
    </w:p>
    <w:p w14:paraId="1AB813AB">
      <w:pPr>
        <w:pStyle w:val="167"/>
        <w:rPr>
          <w:rFonts w:hint="eastAsia"/>
        </w:rPr>
      </w:pPr>
      <w:r>
        <w:rPr>
          <w:rFonts w:hint="eastAsia"/>
        </w:rPr>
        <w:t>终端应安装防病毒软件，并保持病毒库的实时更新。防病毒软件应具备实时防护、定期扫描、隔离处理等功能。终端用户应养成良好的安全习惯，不打开来源不明的邮件附件和链接，不下载不可信来源的软件。终端应禁止使用非授权的移动存储设备，或对移动存储设备进行自动杀毒。防病毒软件应配置自动更新和定期</w:t>
      </w:r>
      <w:r>
        <w:rPr>
          <w:rFonts w:hint="eastAsia" w:hAnsi="Times New Roman"/>
          <w:szCs w:val="20"/>
        </w:rPr>
        <w:t>扫描</w:t>
      </w:r>
      <w:r>
        <w:rPr>
          <w:rFonts w:hint="eastAsia"/>
        </w:rPr>
        <w:t>任务，确保病毒防护的有效性。防病毒软件应记录详细的防护日志，便于安全事件的追溯和分析。</w:t>
      </w:r>
    </w:p>
    <w:p w14:paraId="22D7440B">
      <w:pPr>
        <w:pStyle w:val="167"/>
        <w:rPr>
          <w:rFonts w:hint="eastAsia"/>
        </w:rPr>
      </w:pPr>
      <w:r>
        <w:rPr>
          <w:rFonts w:hint="eastAsia"/>
        </w:rPr>
        <w:t>终端操作系统和应用软件应保持在最新版本，并及时安装安全补丁。应建立漏洞管理流程，定期获取漏洞信息，评估漏洞风险，确定修复优先级。对于高风险漏洞，应在规定时间内完成修复；应采用自动化工具进行漏洞扫描和补丁部署，提高漏洞修复效率。应跟踪漏洞修复状态，确保所有已知高风险漏洞都得到及时修复；对于无法立即修复的漏洞，应采取临时缓解措施，降低漏洞利用风险。</w:t>
      </w:r>
    </w:p>
    <w:p w14:paraId="375A17F6">
      <w:pPr>
        <w:pStyle w:val="167"/>
        <w:rPr>
          <w:rFonts w:hint="eastAsia"/>
        </w:rPr>
      </w:pPr>
      <w:r>
        <w:rPr>
          <w:rFonts w:hint="eastAsia"/>
        </w:rPr>
        <w:t>终端应进行安全加固，减少攻击面和安全风险。安全加固包括关闭不必要的端口和服务、禁用不需要的功能和组件、配置安全的系统参数等。应制定终端安全基线，明确安全配置要求，定期检查终端安全配置的合规性。安全加固应遵循最小权限原则，用户只具有完成其工作所需的最小权限。应限制普通用户的管理权限，防止用户随意安装软件或修改系统配置。应配置安全的软件安装策略，只允许安装经过审批的软件。</w:t>
      </w:r>
    </w:p>
    <w:p w14:paraId="16561A87">
      <w:pPr>
        <w:pStyle w:val="94"/>
        <w:spacing w:before="156" w:after="156"/>
        <w:ind w:left="0"/>
      </w:pPr>
      <w:bookmarkStart w:id="102" w:name="_Toc26087"/>
      <w:bookmarkStart w:id="103" w:name="_Toc1440"/>
      <w:r>
        <w:rPr>
          <w:rFonts w:hint="eastAsia"/>
        </w:rPr>
        <w:t>访问控制</w:t>
      </w:r>
      <w:bookmarkEnd w:id="102"/>
      <w:bookmarkEnd w:id="103"/>
    </w:p>
    <w:p w14:paraId="00445E93">
      <w:pPr>
        <w:pStyle w:val="167"/>
        <w:rPr>
          <w:rFonts w:hint="eastAsia"/>
        </w:rPr>
      </w:pPr>
      <w:r>
        <w:rPr>
          <w:rFonts w:hint="eastAsia"/>
        </w:rPr>
        <w:t>终端用户身份认证：仅合法用户可访问系统，采用强密码策略（长度≥8 位，含大小写字母、数字和特殊字符，定期更换）；敏感数据和系统访问需多因素认证；限制认证失败最大尝试次数，超次数锁定账户；建立身份认证管理流程。</w:t>
      </w:r>
    </w:p>
    <w:p w14:paraId="59ECE359">
      <w:pPr>
        <w:pStyle w:val="167"/>
        <w:rPr>
          <w:rFonts w:hint="eastAsia"/>
        </w:rPr>
      </w:pPr>
      <w:r>
        <w:rPr>
          <w:rFonts w:hint="eastAsia"/>
        </w:rPr>
        <w:t>终端用户权限分配：基于工作职责，遵循最小权限原则；建立完善权限管理制度，明确申请、审批、变更和回收流程；细粒度划分权限，精确控制访问；实施职责分离，关键操作需多人协作；定期审核权限。</w:t>
      </w:r>
    </w:p>
    <w:p w14:paraId="6FDAC524">
      <w:pPr>
        <w:pStyle w:val="167"/>
        <w:rPr>
          <w:rFonts w:hint="eastAsia"/>
        </w:rPr>
      </w:pPr>
      <w:r>
        <w:rPr>
          <w:rFonts w:hint="eastAsia"/>
        </w:rPr>
        <w:t>终端用户操作审计</w:t>
      </w:r>
      <w:r>
        <w:t>：重要操作记录审计日志（含用户身份、操作时间、内容、结果等），确保完整不可篡改；覆盖登录、权限变更、敏感数据访问等关键操作；日志集中存储分析，定期处理异常；保存足够长时间满足合规</w:t>
      </w:r>
      <w:r>
        <w:rPr>
          <w:rFonts w:hint="eastAsia"/>
        </w:rPr>
        <w:t>。</w:t>
      </w:r>
    </w:p>
    <w:p w14:paraId="36C9EF50">
      <w:pPr>
        <w:pStyle w:val="167"/>
        <w:rPr>
          <w:rFonts w:hint="eastAsia"/>
        </w:rPr>
      </w:pPr>
      <w:r>
        <w:rPr>
          <w:rFonts w:hint="eastAsia"/>
        </w:rPr>
        <w:t>终端存储数据加密：敏感数据加密保护，可采用文件、目录或全盘加密；用 AES-256 等安全算法和足够长密钥，规范管理密钥；传输用 HTTPS 等安全协议；移动设备和存储介质采取特殊加密措施。</w:t>
      </w:r>
    </w:p>
    <w:p w14:paraId="7BEEA600">
      <w:pPr>
        <w:pStyle w:val="65"/>
        <w:spacing w:before="156" w:after="156"/>
      </w:pPr>
      <w:bookmarkStart w:id="104" w:name="_Toc2449"/>
      <w:bookmarkStart w:id="105" w:name="_Toc32342"/>
      <w:r>
        <w:rPr>
          <w:rFonts w:hint="eastAsia"/>
        </w:rPr>
        <w:t>系统安全</w:t>
      </w:r>
      <w:bookmarkEnd w:id="104"/>
      <w:bookmarkEnd w:id="105"/>
    </w:p>
    <w:p w14:paraId="0D635B51">
      <w:pPr>
        <w:pStyle w:val="94"/>
        <w:spacing w:before="156" w:after="156"/>
        <w:ind w:left="0"/>
      </w:pPr>
      <w:bookmarkStart w:id="106" w:name="_Toc1248"/>
      <w:bookmarkStart w:id="107" w:name="_Toc16654"/>
      <w:r>
        <w:rPr>
          <w:rFonts w:hint="eastAsia"/>
        </w:rPr>
        <w:t>应用安全</w:t>
      </w:r>
      <w:bookmarkEnd w:id="106"/>
      <w:bookmarkEnd w:id="107"/>
    </w:p>
    <w:p w14:paraId="37B2FC15">
      <w:pPr>
        <w:pStyle w:val="167"/>
        <w:rPr>
          <w:rFonts w:hint="eastAsia"/>
        </w:rPr>
      </w:pPr>
      <w:r>
        <w:rPr>
          <w:rFonts w:hint="eastAsia"/>
        </w:rPr>
        <w:t>系统需严格验证所有用户输入，且验证必须在服务器端进行，涵盖数据类型、长度、格式、范围等，对特殊字符转义或过滤；验证失败返回合适错误信息，不暴露系统内部细节</w:t>
      </w:r>
      <w:r>
        <w:rPr>
          <w:rFonts w:hint="eastAsia"/>
          <w:color w:val="EE0000"/>
        </w:rPr>
        <w:t>。</w:t>
      </w:r>
    </w:p>
    <w:p w14:paraId="687D7A4F">
      <w:pPr>
        <w:pStyle w:val="167"/>
        <w:rPr>
          <w:rFonts w:hint="eastAsia"/>
        </w:rPr>
      </w:pPr>
      <w:r>
        <w:rPr>
          <w:rFonts w:hint="eastAsia"/>
        </w:rPr>
        <w:t>系统要对输出到客户端的数据适当编码，根据环境选对应方式，敏感数据脱敏；设置 Content-Security-Policy、X-XSS-Protection 等安全 HTTP 响应头</w:t>
      </w:r>
      <w:r>
        <w:rPr>
          <w:rFonts w:hint="eastAsia"/>
          <w:color w:val="EE0000"/>
        </w:rPr>
        <w:t>。</w:t>
      </w:r>
    </w:p>
    <w:p w14:paraId="30CA09E2">
      <w:pPr>
        <w:pStyle w:val="167"/>
        <w:rPr>
          <w:rFonts w:hint="eastAsia"/>
        </w:rPr>
      </w:pPr>
      <w:r>
        <w:rPr>
          <w:rFonts w:hint="eastAsia"/>
        </w:rPr>
        <w:t>系统需安全管理会话，会话标识用安全随机算法生成，长度和随机性足够，创建后重新生成；设置合理超时时间，超时失效需重新认证；会话数据安全存储，标识传输用 HTTPS，Cookie 设 HttpOnly、Secure、SameSite 等属性</w:t>
      </w:r>
      <w:r>
        <w:rPr>
          <w:rFonts w:hint="eastAsia"/>
          <w:color w:val="EE0000"/>
        </w:rPr>
        <w:t>。</w:t>
      </w:r>
    </w:p>
    <w:p w14:paraId="51E9ED21">
      <w:pPr>
        <w:pStyle w:val="167"/>
        <w:rPr>
          <w:rFonts w:hint="eastAsia"/>
        </w:rPr>
      </w:pPr>
      <w:r>
        <w:rPr>
          <w:rFonts w:hint="eastAsia"/>
        </w:rPr>
        <w:t>系统应严格实施访问控制，遵循最小权限原则，服务器端执行，决策考虑用户身份、角色等多种因素；关键操作需多重授权，访问控制规则策略集中管理</w:t>
      </w:r>
      <w:r>
        <w:rPr>
          <w:rFonts w:hint="eastAsia"/>
          <w:color w:val="EE0000"/>
        </w:rPr>
        <w:t>。</w:t>
      </w:r>
    </w:p>
    <w:p w14:paraId="163AF683">
      <w:pPr>
        <w:pStyle w:val="94"/>
        <w:spacing w:before="156" w:after="156"/>
        <w:ind w:left="0"/>
      </w:pPr>
      <w:bookmarkStart w:id="108" w:name="_Toc30905"/>
      <w:bookmarkStart w:id="109" w:name="_Toc29131"/>
      <w:r>
        <w:rPr>
          <w:rFonts w:hint="eastAsia"/>
        </w:rPr>
        <w:t>数据</w:t>
      </w:r>
      <w:bookmarkEnd w:id="108"/>
      <w:bookmarkEnd w:id="109"/>
      <w:r>
        <w:rPr>
          <w:rFonts w:hint="eastAsia"/>
        </w:rPr>
        <w:t>保护</w:t>
      </w:r>
      <w:bookmarkStart w:id="133" w:name="_GoBack"/>
      <w:bookmarkEnd w:id="133"/>
    </w:p>
    <w:p w14:paraId="6F0FCC2A">
      <w:pPr>
        <w:pStyle w:val="56"/>
        <w:ind w:firstLine="420"/>
      </w:pPr>
      <w:r>
        <w:rPr>
          <w:rFonts w:hint="eastAsia"/>
        </w:rPr>
        <w:t>数据保护包括以下内容：</w:t>
      </w:r>
    </w:p>
    <w:p w14:paraId="4C185986">
      <w:pPr>
        <w:pStyle w:val="174"/>
        <w:numPr>
          <w:ilvl w:val="0"/>
          <w:numId w:val="34"/>
        </w:numPr>
      </w:pPr>
      <w:r>
        <w:rPr>
          <w:rFonts w:hint="eastAsia"/>
        </w:rPr>
        <w:t>数据加密：敏感数据存储（用 TDE、文件 / 字段加密等）和传输（用 HTTPS、SFTP 等）需加密，采用 AES-256 等安全算法与足够长密钥，规范管理密钥，实施分散和轮换；</w:t>
      </w:r>
    </w:p>
    <w:p w14:paraId="5D2F43AB">
      <w:pPr>
        <w:pStyle w:val="174"/>
        <w:numPr>
          <w:ilvl w:val="0"/>
          <w:numId w:val="33"/>
        </w:numPr>
      </w:pPr>
      <w:r>
        <w:rPr>
          <w:rFonts w:hint="eastAsia"/>
        </w:rPr>
        <w:t>数据备份：重要数据定期备份，按重要程度和变化频率定策略（如关键数据每日 / 实时备份），遵循 3-2-1 策略，定期测试恢复效果，妥善保管备份介质；</w:t>
      </w:r>
    </w:p>
    <w:p w14:paraId="7943D6BA">
      <w:pPr>
        <w:pStyle w:val="174"/>
        <w:numPr>
          <w:ilvl w:val="0"/>
          <w:numId w:val="33"/>
        </w:numPr>
      </w:pPr>
      <w:r>
        <w:rPr>
          <w:rFonts w:hint="eastAsia"/>
        </w:rPr>
        <w:t>数据恢复：系统需能快速恢复数据，制定详细流程和预案，明确步骤、责任人和时限，恢复前评估影响，过程记录日志，定期演练，恢复后验证数据完整性和准确性；</w:t>
      </w:r>
    </w:p>
    <w:p w14:paraId="3A919515">
      <w:pPr>
        <w:pStyle w:val="174"/>
        <w:numPr>
          <w:ilvl w:val="0"/>
          <w:numId w:val="33"/>
        </w:numPr>
      </w:pPr>
      <w:bookmarkStart w:id="110" w:name="_Toc13973"/>
      <w:bookmarkStart w:id="111" w:name="_Toc25042"/>
      <w:r>
        <w:rPr>
          <w:rFonts w:hint="eastAsia"/>
        </w:rPr>
        <w:t>数据销毁：不再需要或超期数据安全销毁，按敏感程度选方式（如覆盖、格式化、物理销毁等），高敏感数据用符合标准的擦除方法，电子和物理介质销毁要确保数据不可恢复，记录销毁信息</w:t>
      </w:r>
      <w:bookmarkEnd w:id="110"/>
      <w:bookmarkEnd w:id="111"/>
      <w:r>
        <w:rPr>
          <w:rFonts w:hint="eastAsia"/>
        </w:rPr>
        <w:t>；</w:t>
      </w:r>
    </w:p>
    <w:p w14:paraId="7E1115AD">
      <w:pPr>
        <w:pStyle w:val="94"/>
        <w:spacing w:before="156" w:after="156"/>
        <w:ind w:left="0"/>
      </w:pPr>
      <w:bookmarkStart w:id="112" w:name="_Toc24099"/>
      <w:bookmarkStart w:id="113" w:name="_Toc14033"/>
      <w:r>
        <w:rPr>
          <w:rFonts w:hint="eastAsia"/>
        </w:rPr>
        <w:t>传输加密</w:t>
      </w:r>
      <w:bookmarkEnd w:id="112"/>
      <w:bookmarkEnd w:id="113"/>
    </w:p>
    <w:p w14:paraId="70797FE3">
      <w:pPr>
        <w:pStyle w:val="167"/>
        <w:rPr>
          <w:rFonts w:hint="eastAsia"/>
        </w:rPr>
      </w:pPr>
      <w:r>
        <w:rPr>
          <w:rFonts w:hint="eastAsia"/>
        </w:rPr>
        <w:t>TLS 协议加密：用 TLS 1.2/1.3，禁用有漏洞的 SSL 和早期 TLS；选安全加密套件（如支持 PFS 的），配置安全参数；证书由可信 CA 签发，密钥长度不低于 2048 位且链完整。</w:t>
      </w:r>
    </w:p>
    <w:p w14:paraId="002C12FE">
      <w:pPr>
        <w:pStyle w:val="167"/>
        <w:rPr>
          <w:rFonts w:hint="eastAsia"/>
        </w:rPr>
      </w:pPr>
      <w:r>
        <w:rPr>
          <w:rFonts w:hint="eastAsia"/>
        </w:rPr>
        <w:t>敏感数据传输加密：用 AES-256 等安全算法和足够长密钥，选 GCM 等兼顾机密性和完整性的模式；加密数据含校验和认证信息，批量传输可采用 PGP/GPG 端到端加密。</w:t>
      </w:r>
    </w:p>
    <w:p w14:paraId="35E14090">
      <w:pPr>
        <w:pStyle w:val="167"/>
        <w:rPr>
          <w:rFonts w:hint="eastAsia"/>
        </w:rPr>
      </w:pPr>
      <w:r>
        <w:rPr>
          <w:rFonts w:hint="eastAsia"/>
        </w:rPr>
        <w:t>加密密钥管理：用安全随机源生成密钥，通过 HSM、密钥管理系统安全存储；密钥传输加密，定期轮换、妥善备份，完善撤销机制以应对泄露或停用情况。</w:t>
      </w:r>
    </w:p>
    <w:p w14:paraId="1D76A730">
      <w:pPr>
        <w:pStyle w:val="167"/>
        <w:rPr>
          <w:rFonts w:hint="eastAsia"/>
          <w:sz w:val="24"/>
          <w:szCs w:val="24"/>
        </w:rPr>
      </w:pPr>
      <w:r>
        <w:rPr>
          <w:rFonts w:hint="eastAsia"/>
        </w:rPr>
        <w:t>TLS 证书全生命周期管理：准确申请，选可信 CA；私钥用 HSM 等安全存储，定期更新防过期；启用吊销检查，维护完整信任链；建立制度明确各流程及责任。</w:t>
      </w:r>
    </w:p>
    <w:p w14:paraId="6BF89A40">
      <w:pPr>
        <w:pStyle w:val="94"/>
        <w:spacing w:before="156" w:after="156"/>
        <w:ind w:left="0"/>
      </w:pPr>
      <w:bookmarkStart w:id="114" w:name="_Toc11362"/>
      <w:bookmarkStart w:id="115" w:name="_Toc21740"/>
      <w:r>
        <w:rPr>
          <w:rFonts w:hint="eastAsia"/>
        </w:rPr>
        <w:t>传输控制</w:t>
      </w:r>
      <w:bookmarkEnd w:id="114"/>
      <w:bookmarkEnd w:id="115"/>
    </w:p>
    <w:p w14:paraId="3B4283D5">
      <w:pPr>
        <w:pStyle w:val="167"/>
        <w:rPr>
          <w:rFonts w:hint="eastAsia"/>
        </w:rPr>
      </w:pPr>
      <w:r>
        <w:rPr>
          <w:rFonts w:hint="eastAsia"/>
        </w:rPr>
        <w:t>数据传输访问控制：仅授权用户可发起和接收传输，基于身份认证与授权策略验证双方身份权限，采用 IP 白名单等技术，重要数据传输实施双向认证，集中管理审核策略。</w:t>
      </w:r>
    </w:p>
    <w:p w14:paraId="01C86284">
      <w:pPr>
        <w:pStyle w:val="167"/>
        <w:rPr>
          <w:rFonts w:hint="eastAsia"/>
        </w:rPr>
      </w:pPr>
      <w:r>
        <w:rPr>
          <w:rFonts w:hint="eastAsia"/>
        </w:rPr>
        <w:t>数据传输流量控制：设置合理流量限制防过度请求和攻击，考虑用户优先级保障重要业务，实施监控及时处理异常，应对突发流量机制确保系统稳定。。</w:t>
      </w:r>
    </w:p>
    <w:p w14:paraId="7F781726">
      <w:pPr>
        <w:pStyle w:val="167"/>
        <w:rPr>
          <w:rFonts w:hint="eastAsia"/>
        </w:rPr>
      </w:pPr>
      <w:r>
        <w:rPr>
          <w:rFonts w:hint="eastAsia"/>
        </w:rPr>
        <w:t>数据传输异常检测：能发现处理传输中多维度异常，基于历史数据建基线识别偏离行为，配置合理阈值规则减少误漏报，按异常情况采取对应措施并持续优化。。</w:t>
      </w:r>
    </w:p>
    <w:p w14:paraId="3D1D0BA9">
      <w:pPr>
        <w:pStyle w:val="167"/>
        <w:rPr>
          <w:rFonts w:hint="eastAsia"/>
        </w:rPr>
      </w:pPr>
      <w:r>
        <w:rPr>
          <w:rFonts w:hint="eastAsia"/>
        </w:rPr>
        <w:t>数据传输审计日志：记录传输双方、时间等信息，确保完整不可篡改，覆盖敏感数据传输，集中存储便于分析，定期分析发现问题，保存足够长时间满足合规。</w:t>
      </w:r>
    </w:p>
    <w:p w14:paraId="1E5530BB">
      <w:pPr>
        <w:pStyle w:val="167"/>
        <w:numPr>
          <w:ilvl w:val="0"/>
          <w:numId w:val="0"/>
        </w:numPr>
        <w:rPr>
          <w:rFonts w:hint="eastAsia"/>
          <w:color w:val="EE0000"/>
        </w:rPr>
      </w:pPr>
      <w:r>
        <w:rPr>
          <w:rFonts w:hint="eastAsia"/>
          <w:color w:val="EE0000"/>
        </w:rPr>
        <w:t>（</w:t>
      </w:r>
    </w:p>
    <w:p w14:paraId="453B43B6">
      <w:pPr>
        <w:pStyle w:val="104"/>
        <w:spacing w:before="312" w:after="312"/>
      </w:pPr>
      <w:bookmarkStart w:id="116" w:name="_Toc15892"/>
      <w:bookmarkStart w:id="117" w:name="_Toc206685879"/>
      <w:bookmarkStart w:id="118" w:name="_Toc206168146"/>
      <w:bookmarkStart w:id="119" w:name="_Toc206170456"/>
      <w:bookmarkStart w:id="120" w:name="_Toc12103"/>
      <w:bookmarkStart w:id="121" w:name="_Toc206685808"/>
      <w:r>
        <w:rPr>
          <w:rFonts w:hint="eastAsia"/>
        </w:rPr>
        <w:t>成果规格</w:t>
      </w:r>
      <w:bookmarkEnd w:id="116"/>
      <w:bookmarkEnd w:id="117"/>
      <w:bookmarkEnd w:id="118"/>
      <w:bookmarkEnd w:id="119"/>
      <w:bookmarkEnd w:id="120"/>
      <w:bookmarkEnd w:id="121"/>
    </w:p>
    <w:p w14:paraId="0DA1656D">
      <w:pPr>
        <w:pStyle w:val="56"/>
        <w:ind w:firstLine="420"/>
      </w:pPr>
      <w:r>
        <w:rPr>
          <w:rFonts w:hint="eastAsia"/>
        </w:rPr>
        <w:t>对外数据共享服务平台成6大类106个标准化接口，涵盖地面观测数据（如温度、降水等基础气象要素）、精细化服务产品（包括灾害预警、气候预测等）、多源卫星遥感资料、全国雷达组网数据、数值预报模式输出以及其他辅助数据（水文、水库、国家级预报图），为各行业用户提供全方位气象数据支撑。</w:t>
      </w:r>
    </w:p>
    <w:p w14:paraId="03BCC4F1">
      <w:pPr>
        <w:pStyle w:val="56"/>
        <w:ind w:firstLine="420"/>
      </w:pPr>
    </w:p>
    <w:p w14:paraId="7BDC09D2">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6"/>
    <w:p w14:paraId="4371A6F0">
      <w:pPr>
        <w:pStyle w:val="198"/>
        <w:rPr>
          <w:rFonts w:hint="eastAsia"/>
          <w:vanish w:val="0"/>
        </w:rPr>
      </w:pPr>
      <w:bookmarkStart w:id="122" w:name="BookMark5"/>
    </w:p>
    <w:p w14:paraId="7A1E2385">
      <w:pPr>
        <w:pStyle w:val="199"/>
        <w:rPr>
          <w:vanish w:val="0"/>
        </w:rPr>
      </w:pPr>
    </w:p>
    <w:p w14:paraId="71459974">
      <w:pPr>
        <w:pStyle w:val="76"/>
        <w:spacing w:after="156"/>
      </w:pPr>
      <w:bookmarkStart w:id="123" w:name="_Toc3331"/>
      <w:bookmarkStart w:id="124" w:name="_Toc6486"/>
      <w:bookmarkStart w:id="125" w:name="_Toc28501"/>
      <w:r>
        <w:br w:type="textWrapping"/>
      </w:r>
      <w:bookmarkStart w:id="126" w:name="_Toc206685809"/>
      <w:bookmarkStart w:id="127" w:name="_Toc206685880"/>
      <w:r>
        <w:rPr>
          <w:rFonts w:hint="eastAsia"/>
        </w:rPr>
        <w:t>（规范性）</w:t>
      </w:r>
      <w:r>
        <w:br w:type="textWrapping"/>
      </w:r>
      <w:r>
        <w:rPr>
          <w:rFonts w:hint="eastAsia"/>
        </w:rPr>
        <w:t>数据接口规范</w:t>
      </w:r>
      <w:bookmarkEnd w:id="123"/>
      <w:bookmarkEnd w:id="124"/>
      <w:bookmarkEnd w:id="125"/>
      <w:bookmarkEnd w:id="126"/>
      <w:bookmarkEnd w:id="127"/>
    </w:p>
    <w:p w14:paraId="161CE5F6">
      <w:pPr>
        <w:pStyle w:val="77"/>
        <w:numPr>
          <w:ilvl w:val="1"/>
          <w:numId w:val="0"/>
        </w:numPr>
        <w:tabs>
          <w:tab w:val="left" w:pos="0"/>
        </w:tabs>
        <w:spacing w:before="156" w:after="156"/>
        <w:ind w:firstLine="4200" w:firstLineChars="2000"/>
        <w:jc w:val="both"/>
      </w:pPr>
      <w:r>
        <w:rPr>
          <w:rFonts w:hint="eastAsia"/>
        </w:rPr>
        <w:t>接口要求</w:t>
      </w:r>
    </w:p>
    <w:p w14:paraId="6DAEDAB7">
      <w:pPr>
        <w:pStyle w:val="56"/>
        <w:ind w:firstLine="420"/>
      </w:pPr>
      <w:r>
        <w:rPr>
          <w:rFonts w:hint="eastAsia"/>
        </w:rPr>
        <w:t>数据接口应符合以下要求：</w:t>
      </w:r>
    </w:p>
    <w:p w14:paraId="6809A234">
      <w:pPr>
        <w:pStyle w:val="174"/>
        <w:numPr>
          <w:ilvl w:val="0"/>
          <w:numId w:val="35"/>
        </w:numPr>
      </w:pPr>
      <w:r>
        <w:rPr>
          <w:rFonts w:hint="eastAsia"/>
        </w:rPr>
        <w:t>饭RESTfulAPI：采用REST架构风格设计的应用程序接口，支持HTTP标准方法。</w:t>
      </w:r>
    </w:p>
    <w:p w14:paraId="54A08B51">
      <w:pPr>
        <w:pStyle w:val="174"/>
        <w:numPr>
          <w:ilvl w:val="0"/>
          <w:numId w:val="35"/>
        </w:numPr>
      </w:pPr>
      <w:r>
        <w:rPr>
          <w:rFonts w:hint="eastAsia"/>
        </w:rPr>
        <w:t>的WebSocket：提供全双工通信渠道的网络协议，支持服务器向客户端推送数据。</w:t>
      </w:r>
    </w:p>
    <w:p w14:paraId="2E0D87E1">
      <w:pPr>
        <w:pStyle w:val="174"/>
        <w:numPr>
          <w:ilvl w:val="0"/>
          <w:numId w:val="35"/>
        </w:numPr>
      </w:pPr>
      <w:r>
        <w:rPr>
          <w:rFonts w:hint="eastAsia"/>
        </w:rPr>
        <w:t>数据格式：支持JSON、XML、CSV等常用数据交换格式。</w:t>
      </w:r>
    </w:p>
    <w:p w14:paraId="58229A54">
      <w:pPr>
        <w:pStyle w:val="174"/>
        <w:numPr>
          <w:ilvl w:val="0"/>
          <w:numId w:val="35"/>
        </w:numPr>
      </w:pPr>
      <w:r>
        <w:rPr>
          <w:rFonts w:hint="eastAsia"/>
        </w:rPr>
        <w:t>安全要求：采用HTTPS协议，支持OAuth2.0认证，实施访问控制和流量限制。</w:t>
      </w:r>
    </w:p>
    <w:p w14:paraId="42876F51">
      <w:pPr>
        <w:pStyle w:val="174"/>
        <w:numPr>
          <w:ilvl w:val="0"/>
          <w:numId w:val="0"/>
        </w:numPr>
      </w:pPr>
    </w:p>
    <w:p w14:paraId="60C6585B">
      <w:pPr>
        <w:pStyle w:val="174"/>
        <w:numPr>
          <w:ilvl w:val="0"/>
          <w:numId w:val="0"/>
        </w:numPr>
      </w:pPr>
    </w:p>
    <w:p w14:paraId="34388469">
      <w:pPr>
        <w:pStyle w:val="174"/>
        <w:numPr>
          <w:ilvl w:val="0"/>
          <w:numId w:val="0"/>
        </w:numPr>
      </w:pPr>
    </w:p>
    <w:p w14:paraId="773C7274">
      <w:pPr>
        <w:pStyle w:val="56"/>
        <w:ind w:firstLine="420"/>
      </w:pPr>
    </w:p>
    <w:p w14:paraId="64FFC2D3">
      <w:pPr>
        <w:pStyle w:val="56"/>
        <w:ind w:firstLine="420"/>
      </w:pPr>
    </w:p>
    <w:p w14:paraId="42E20E11">
      <w:pPr>
        <w:pStyle w:val="56"/>
        <w:ind w:firstLine="420"/>
      </w:pPr>
    </w:p>
    <w:p w14:paraId="75426DDA">
      <w:pPr>
        <w:pStyle w:val="56"/>
        <w:ind w:firstLine="420"/>
        <w:sectPr>
          <w:pgSz w:w="11906" w:h="16838"/>
          <w:pgMar w:top="1928" w:right="1134" w:bottom="1134" w:left="1134" w:header="1418" w:footer="1134" w:gutter="284"/>
          <w:cols w:space="425" w:num="1"/>
          <w:formProt w:val="0"/>
          <w:docGrid w:type="lines" w:linePitch="312" w:charSpace="0"/>
        </w:sectPr>
      </w:pPr>
    </w:p>
    <w:p w14:paraId="107D2F92">
      <w:pPr>
        <w:pStyle w:val="198"/>
        <w:rPr>
          <w:rFonts w:hint="eastAsia"/>
          <w:vanish w:val="0"/>
        </w:rPr>
      </w:pPr>
    </w:p>
    <w:p w14:paraId="2D96B2C1">
      <w:pPr>
        <w:pStyle w:val="199"/>
        <w:rPr>
          <w:vanish w:val="0"/>
        </w:rPr>
      </w:pPr>
    </w:p>
    <w:p w14:paraId="0954713B">
      <w:pPr>
        <w:pStyle w:val="76"/>
        <w:spacing w:after="156"/>
      </w:pPr>
      <w:r>
        <w:br w:type="textWrapping"/>
      </w:r>
      <w:bookmarkStart w:id="128" w:name="_Toc206170458"/>
      <w:bookmarkStart w:id="129" w:name="_Toc206685810"/>
      <w:bookmarkStart w:id="130" w:name="_Toc206685881"/>
      <w:r>
        <w:rPr>
          <w:rFonts w:hint="eastAsia"/>
        </w:rPr>
        <w:t>（规范性）</w:t>
      </w:r>
      <w:r>
        <w:br w:type="textWrapping"/>
      </w:r>
      <w:r>
        <w:rPr>
          <w:rFonts w:hint="eastAsia"/>
        </w:rPr>
        <w:t>湖南省气象部门对外服务数据相关文件</w:t>
      </w:r>
      <w:bookmarkEnd w:id="128"/>
      <w:bookmarkEnd w:id="129"/>
      <w:bookmarkEnd w:id="130"/>
    </w:p>
    <w:p w14:paraId="0788931E">
      <w:pPr>
        <w:pStyle w:val="56"/>
        <w:ind w:firstLine="420"/>
      </w:pPr>
      <w:r>
        <w:rPr>
          <w:rFonts w:hint="eastAsia"/>
        </w:rPr>
        <w:t>表B.1～表B.2给出了湖南省气象部门对外数据相关文件，包括表B.1</w:t>
      </w:r>
      <w:bookmarkStart w:id="131" w:name="_Hlk206170111"/>
      <w:r>
        <w:rPr>
          <w:rFonts w:hint="eastAsia"/>
        </w:rPr>
        <w:t>湖南省气象部门对外服务数据</w:t>
      </w:r>
      <w:bookmarkEnd w:id="131"/>
      <w:r>
        <w:rPr>
          <w:rFonts w:hint="eastAsia"/>
        </w:rPr>
        <w:t>接口申请表和表B.2湖南省气象部门数据共享接口说明文档。</w:t>
      </w:r>
    </w:p>
    <w:p w14:paraId="1D809F98">
      <w:pPr>
        <w:pStyle w:val="77"/>
        <w:spacing w:before="156" w:after="156"/>
      </w:pPr>
      <w:r>
        <w:rPr>
          <w:rFonts w:hint="eastAsia"/>
        </w:rPr>
        <w:t>湖南省气象部门对外服务数据接口申请表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2"/>
        <w:gridCol w:w="2695"/>
        <w:gridCol w:w="2071"/>
        <w:gridCol w:w="2622"/>
      </w:tblGrid>
      <w:tr w14:paraId="007D2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6A775ECF">
            <w:pPr>
              <w:spacing w:line="240" w:lineRule="auto"/>
              <w:jc w:val="center"/>
              <w:rPr>
                <w:rFonts w:hint="eastAsia" w:ascii="宋体" w:hAnsi="宋体" w:cs="宋体"/>
              </w:rPr>
            </w:pPr>
            <w:r>
              <w:rPr>
                <w:rFonts w:hint="eastAsia" w:ascii="宋体" w:hAnsi="宋体" w:cs="宋体"/>
                <w:b/>
                <w:bCs/>
              </w:rPr>
              <w:t>申请单位基本情况</w:t>
            </w:r>
          </w:p>
        </w:tc>
      </w:tr>
      <w:tr w14:paraId="3674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Pr>
          <w:p w14:paraId="5D613B4E">
            <w:pPr>
              <w:spacing w:line="240" w:lineRule="auto"/>
              <w:rPr>
                <w:rFonts w:hint="eastAsia" w:ascii="宋体" w:hAnsi="宋体" w:cs="宋体"/>
              </w:rPr>
            </w:pPr>
            <w:r>
              <w:rPr>
                <w:rFonts w:hint="eastAsia" w:ascii="宋体" w:hAnsi="宋体" w:cs="宋体"/>
              </w:rPr>
              <w:t>申请单位名称</w:t>
            </w:r>
          </w:p>
        </w:tc>
        <w:tc>
          <w:tcPr>
            <w:tcW w:w="3859" w:type="pct"/>
            <w:gridSpan w:val="3"/>
          </w:tcPr>
          <w:p w14:paraId="762CF9B3">
            <w:pPr>
              <w:spacing w:line="240" w:lineRule="auto"/>
              <w:rPr>
                <w:rFonts w:hint="eastAsia" w:ascii="宋体" w:hAnsi="宋体" w:cs="宋体"/>
              </w:rPr>
            </w:pPr>
          </w:p>
        </w:tc>
      </w:tr>
      <w:tr w14:paraId="40FDD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Pr>
          <w:p w14:paraId="22521BCE">
            <w:pPr>
              <w:spacing w:line="240" w:lineRule="auto"/>
              <w:jc w:val="center"/>
              <w:rPr>
                <w:rFonts w:hint="eastAsia" w:ascii="宋体" w:hAnsi="宋体" w:cs="宋体"/>
              </w:rPr>
            </w:pPr>
            <w:r>
              <w:rPr>
                <w:rFonts w:hint="eastAsia" w:ascii="宋体" w:hAnsi="宋体" w:cs="宋体"/>
              </w:rPr>
              <w:t>经办人姓名1</w:t>
            </w:r>
          </w:p>
        </w:tc>
        <w:tc>
          <w:tcPr>
            <w:tcW w:w="1408" w:type="pct"/>
          </w:tcPr>
          <w:p w14:paraId="43017BE9">
            <w:pPr>
              <w:spacing w:line="240" w:lineRule="auto"/>
              <w:rPr>
                <w:rFonts w:hint="eastAsia" w:ascii="宋体" w:hAnsi="宋体" w:cs="宋体"/>
              </w:rPr>
            </w:pPr>
          </w:p>
        </w:tc>
        <w:tc>
          <w:tcPr>
            <w:tcW w:w="1082" w:type="pct"/>
          </w:tcPr>
          <w:p w14:paraId="2AFB7DD3">
            <w:pPr>
              <w:spacing w:line="240" w:lineRule="auto"/>
              <w:jc w:val="center"/>
              <w:rPr>
                <w:rFonts w:hint="eastAsia" w:ascii="宋体" w:hAnsi="宋体" w:cs="宋体"/>
              </w:rPr>
            </w:pPr>
            <w:r>
              <w:rPr>
                <w:rFonts w:hint="eastAsia" w:ascii="宋体" w:hAnsi="宋体" w:cs="宋体"/>
              </w:rPr>
              <w:t>经办人电话1</w:t>
            </w:r>
          </w:p>
        </w:tc>
        <w:tc>
          <w:tcPr>
            <w:tcW w:w="1369" w:type="pct"/>
          </w:tcPr>
          <w:p w14:paraId="0D16DBE0">
            <w:pPr>
              <w:spacing w:line="240" w:lineRule="auto"/>
              <w:rPr>
                <w:rFonts w:hint="eastAsia" w:ascii="宋体" w:hAnsi="宋体" w:cs="宋体"/>
              </w:rPr>
            </w:pPr>
          </w:p>
        </w:tc>
      </w:tr>
      <w:tr w14:paraId="7B47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Pr>
          <w:p w14:paraId="65A69900">
            <w:pPr>
              <w:spacing w:line="240" w:lineRule="auto"/>
              <w:rPr>
                <w:rFonts w:hint="eastAsia" w:ascii="宋体" w:hAnsi="宋体" w:cs="宋体"/>
              </w:rPr>
            </w:pPr>
            <w:r>
              <w:rPr>
                <w:rFonts w:hint="eastAsia" w:ascii="宋体" w:hAnsi="宋体" w:cs="宋体"/>
              </w:rPr>
              <w:t>经办人姓名2</w:t>
            </w:r>
          </w:p>
          <w:p w14:paraId="434893DB">
            <w:pPr>
              <w:spacing w:line="240" w:lineRule="auto"/>
              <w:rPr>
                <w:rFonts w:hint="eastAsia" w:ascii="宋体" w:hAnsi="宋体" w:cs="宋体"/>
              </w:rPr>
            </w:pPr>
            <w:r>
              <w:rPr>
                <w:rFonts w:hint="eastAsia" w:ascii="宋体" w:hAnsi="宋体" w:cs="宋体"/>
              </w:rPr>
              <w:t>（可选输入）</w:t>
            </w:r>
          </w:p>
        </w:tc>
        <w:tc>
          <w:tcPr>
            <w:tcW w:w="1408" w:type="pct"/>
          </w:tcPr>
          <w:p w14:paraId="525CFFE4">
            <w:pPr>
              <w:spacing w:line="240" w:lineRule="auto"/>
              <w:rPr>
                <w:rFonts w:hint="eastAsia" w:ascii="宋体" w:hAnsi="宋体" w:cs="宋体"/>
              </w:rPr>
            </w:pPr>
          </w:p>
        </w:tc>
        <w:tc>
          <w:tcPr>
            <w:tcW w:w="1082" w:type="pct"/>
          </w:tcPr>
          <w:p w14:paraId="54D1A4AB">
            <w:pPr>
              <w:spacing w:line="240" w:lineRule="auto"/>
              <w:rPr>
                <w:rFonts w:hint="eastAsia" w:ascii="宋体" w:hAnsi="宋体" w:cs="宋体"/>
              </w:rPr>
            </w:pPr>
            <w:r>
              <w:rPr>
                <w:rFonts w:hint="eastAsia" w:ascii="宋体" w:hAnsi="宋体" w:cs="宋体"/>
              </w:rPr>
              <w:t>经办人电话2</w:t>
            </w:r>
          </w:p>
          <w:p w14:paraId="09A721F8">
            <w:pPr>
              <w:spacing w:line="240" w:lineRule="auto"/>
              <w:rPr>
                <w:rFonts w:hint="eastAsia" w:ascii="宋体" w:hAnsi="宋体" w:cs="宋体"/>
              </w:rPr>
            </w:pPr>
            <w:r>
              <w:rPr>
                <w:rFonts w:hint="eastAsia" w:ascii="宋体" w:hAnsi="宋体" w:cs="宋体"/>
              </w:rPr>
              <w:t>（可选输入）</w:t>
            </w:r>
          </w:p>
        </w:tc>
        <w:tc>
          <w:tcPr>
            <w:tcW w:w="1369" w:type="pct"/>
          </w:tcPr>
          <w:p w14:paraId="6BCEE582">
            <w:pPr>
              <w:spacing w:line="240" w:lineRule="auto"/>
              <w:rPr>
                <w:rFonts w:hint="eastAsia" w:ascii="宋体" w:hAnsi="宋体" w:cs="宋体"/>
              </w:rPr>
            </w:pPr>
          </w:p>
        </w:tc>
      </w:tr>
      <w:tr w14:paraId="6BD54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03B2578C">
            <w:pPr>
              <w:spacing w:line="240" w:lineRule="auto"/>
              <w:jc w:val="center"/>
              <w:rPr>
                <w:rFonts w:hint="eastAsia" w:ascii="宋体" w:hAnsi="宋体" w:cs="宋体"/>
                <w:b/>
                <w:bCs/>
              </w:rPr>
            </w:pPr>
            <w:r>
              <w:rPr>
                <w:rFonts w:hint="eastAsia" w:ascii="宋体" w:hAnsi="宋体" w:cs="宋体"/>
                <w:b/>
                <w:bCs/>
              </w:rPr>
              <w:t>开发单位基本情况</w:t>
            </w:r>
          </w:p>
        </w:tc>
      </w:tr>
      <w:tr w14:paraId="5F9EA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Pr>
          <w:p w14:paraId="712331A2">
            <w:pPr>
              <w:spacing w:line="240" w:lineRule="auto"/>
              <w:rPr>
                <w:rFonts w:hint="eastAsia" w:ascii="宋体" w:hAnsi="宋体" w:cs="宋体"/>
              </w:rPr>
            </w:pPr>
            <w:r>
              <w:rPr>
                <w:rFonts w:hint="eastAsia" w:ascii="宋体" w:hAnsi="宋体" w:cs="宋体"/>
              </w:rPr>
              <w:t>开发公司名称</w:t>
            </w:r>
          </w:p>
        </w:tc>
        <w:tc>
          <w:tcPr>
            <w:tcW w:w="3859" w:type="pct"/>
            <w:gridSpan w:val="3"/>
          </w:tcPr>
          <w:p w14:paraId="6E34188C">
            <w:pPr>
              <w:spacing w:line="240" w:lineRule="auto"/>
              <w:rPr>
                <w:rFonts w:hint="eastAsia" w:ascii="宋体" w:hAnsi="宋体" w:cs="宋体"/>
                <w:b/>
                <w:bCs/>
              </w:rPr>
            </w:pPr>
          </w:p>
        </w:tc>
      </w:tr>
      <w:tr w14:paraId="7A5E8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Pr>
          <w:p w14:paraId="647C5340">
            <w:pPr>
              <w:spacing w:line="240" w:lineRule="auto"/>
              <w:jc w:val="center"/>
              <w:rPr>
                <w:rFonts w:hint="eastAsia" w:ascii="宋体" w:hAnsi="宋体" w:cs="宋体"/>
              </w:rPr>
            </w:pPr>
            <w:r>
              <w:rPr>
                <w:rFonts w:hint="eastAsia" w:ascii="宋体" w:hAnsi="宋体" w:cs="宋体"/>
              </w:rPr>
              <w:t>经办人姓名1</w:t>
            </w:r>
          </w:p>
        </w:tc>
        <w:tc>
          <w:tcPr>
            <w:tcW w:w="1408" w:type="pct"/>
          </w:tcPr>
          <w:p w14:paraId="1092A5CE">
            <w:pPr>
              <w:spacing w:line="240" w:lineRule="auto"/>
              <w:jc w:val="left"/>
              <w:rPr>
                <w:rFonts w:hint="eastAsia" w:ascii="宋体" w:hAnsi="宋体" w:cs="宋体"/>
              </w:rPr>
            </w:pPr>
          </w:p>
        </w:tc>
        <w:tc>
          <w:tcPr>
            <w:tcW w:w="1082" w:type="pct"/>
          </w:tcPr>
          <w:p w14:paraId="64EF845C">
            <w:pPr>
              <w:spacing w:line="240" w:lineRule="auto"/>
              <w:jc w:val="center"/>
              <w:rPr>
                <w:rFonts w:hint="eastAsia" w:ascii="宋体" w:hAnsi="宋体" w:cs="宋体"/>
              </w:rPr>
            </w:pPr>
            <w:r>
              <w:rPr>
                <w:rFonts w:hint="eastAsia" w:ascii="宋体" w:hAnsi="宋体" w:cs="宋体"/>
              </w:rPr>
              <w:t>经办人电话1</w:t>
            </w:r>
          </w:p>
        </w:tc>
        <w:tc>
          <w:tcPr>
            <w:tcW w:w="1369" w:type="pct"/>
          </w:tcPr>
          <w:p w14:paraId="53B5A3EC">
            <w:pPr>
              <w:spacing w:line="240" w:lineRule="auto"/>
              <w:rPr>
                <w:rFonts w:hint="eastAsia" w:ascii="宋体" w:hAnsi="宋体" w:cs="宋体"/>
              </w:rPr>
            </w:pPr>
          </w:p>
        </w:tc>
      </w:tr>
      <w:tr w14:paraId="248FB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Pr>
          <w:p w14:paraId="168DAF01">
            <w:pPr>
              <w:spacing w:line="240" w:lineRule="auto"/>
              <w:jc w:val="center"/>
              <w:rPr>
                <w:rFonts w:hint="eastAsia" w:ascii="宋体" w:hAnsi="宋体" w:cs="宋体"/>
              </w:rPr>
            </w:pPr>
            <w:r>
              <w:rPr>
                <w:rFonts w:hint="eastAsia" w:ascii="宋体" w:hAnsi="宋体" w:cs="宋体"/>
              </w:rPr>
              <w:t>经办人姓名2</w:t>
            </w:r>
          </w:p>
        </w:tc>
        <w:tc>
          <w:tcPr>
            <w:tcW w:w="1408" w:type="pct"/>
          </w:tcPr>
          <w:p w14:paraId="547F7A53">
            <w:pPr>
              <w:spacing w:line="240" w:lineRule="auto"/>
              <w:jc w:val="left"/>
              <w:rPr>
                <w:rFonts w:hint="eastAsia" w:ascii="宋体" w:hAnsi="宋体" w:cs="宋体"/>
              </w:rPr>
            </w:pPr>
          </w:p>
        </w:tc>
        <w:tc>
          <w:tcPr>
            <w:tcW w:w="1082" w:type="pct"/>
          </w:tcPr>
          <w:p w14:paraId="3984AE80">
            <w:pPr>
              <w:spacing w:line="240" w:lineRule="auto"/>
              <w:jc w:val="center"/>
              <w:rPr>
                <w:rFonts w:hint="eastAsia" w:ascii="宋体" w:hAnsi="宋体" w:cs="宋体"/>
              </w:rPr>
            </w:pPr>
            <w:r>
              <w:rPr>
                <w:rFonts w:hint="eastAsia" w:ascii="宋体" w:hAnsi="宋体" w:cs="宋体"/>
              </w:rPr>
              <w:t>经办人电话2</w:t>
            </w:r>
          </w:p>
        </w:tc>
        <w:tc>
          <w:tcPr>
            <w:tcW w:w="1369" w:type="pct"/>
          </w:tcPr>
          <w:p w14:paraId="32273101">
            <w:pPr>
              <w:spacing w:line="240" w:lineRule="auto"/>
              <w:jc w:val="left"/>
              <w:rPr>
                <w:rFonts w:hint="eastAsia" w:ascii="宋体" w:hAnsi="宋体" w:cs="宋体"/>
              </w:rPr>
            </w:pPr>
          </w:p>
        </w:tc>
      </w:tr>
      <w:tr w14:paraId="244AA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389E19A5">
            <w:pPr>
              <w:spacing w:line="240" w:lineRule="auto"/>
              <w:jc w:val="center"/>
              <w:rPr>
                <w:rFonts w:hint="eastAsia" w:ascii="宋体" w:hAnsi="宋体" w:cs="宋体"/>
                <w:b/>
                <w:bCs/>
              </w:rPr>
            </w:pPr>
            <w:r>
              <w:rPr>
                <w:rFonts w:hint="eastAsia" w:ascii="宋体" w:hAnsi="宋体" w:cs="宋体"/>
                <w:b/>
                <w:bCs/>
              </w:rPr>
              <w:t>系统基本情况</w:t>
            </w:r>
          </w:p>
        </w:tc>
      </w:tr>
      <w:tr w14:paraId="17143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Pr>
          <w:p w14:paraId="5EFD750B">
            <w:pPr>
              <w:spacing w:line="240" w:lineRule="auto"/>
              <w:jc w:val="center"/>
              <w:rPr>
                <w:rFonts w:hint="eastAsia" w:ascii="宋体" w:hAnsi="宋体" w:cs="宋体"/>
              </w:rPr>
            </w:pPr>
            <w:r>
              <w:rPr>
                <w:rFonts w:hint="eastAsia" w:ascii="宋体" w:hAnsi="宋体" w:cs="宋体"/>
              </w:rPr>
              <w:t>系统名称</w:t>
            </w:r>
          </w:p>
        </w:tc>
        <w:tc>
          <w:tcPr>
            <w:tcW w:w="3859" w:type="pct"/>
            <w:gridSpan w:val="3"/>
          </w:tcPr>
          <w:p w14:paraId="3C800A34">
            <w:pPr>
              <w:spacing w:line="240" w:lineRule="auto"/>
              <w:rPr>
                <w:rFonts w:hint="eastAsia" w:ascii="宋体" w:hAnsi="宋体" w:cs="宋体"/>
              </w:rPr>
            </w:pPr>
          </w:p>
        </w:tc>
      </w:tr>
      <w:tr w14:paraId="09988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Pr>
          <w:p w14:paraId="7CFEE73A">
            <w:pPr>
              <w:spacing w:line="240" w:lineRule="auto"/>
              <w:jc w:val="center"/>
              <w:rPr>
                <w:rFonts w:hint="eastAsia" w:ascii="宋体" w:hAnsi="宋体" w:cs="宋体"/>
              </w:rPr>
            </w:pPr>
            <w:r>
              <w:rPr>
                <w:rFonts w:hint="eastAsia" w:ascii="宋体" w:hAnsi="宋体" w:cs="宋体"/>
              </w:rPr>
              <w:t>系统简介</w:t>
            </w:r>
          </w:p>
          <w:p w14:paraId="59F99920">
            <w:pPr>
              <w:spacing w:line="240" w:lineRule="auto"/>
              <w:rPr>
                <w:rFonts w:hint="eastAsia" w:ascii="宋体" w:hAnsi="宋体" w:cs="宋体"/>
              </w:rPr>
            </w:pPr>
            <w:r>
              <w:rPr>
                <w:rFonts w:hint="eastAsia" w:ascii="宋体" w:hAnsi="宋体" w:cs="宋体"/>
              </w:rPr>
              <w:t>（请填写系统基本情况，如系统特点，主要功能描述等）</w:t>
            </w:r>
          </w:p>
        </w:tc>
        <w:tc>
          <w:tcPr>
            <w:tcW w:w="3859" w:type="pct"/>
            <w:gridSpan w:val="3"/>
          </w:tcPr>
          <w:p w14:paraId="5774409B">
            <w:pPr>
              <w:spacing w:line="240" w:lineRule="auto"/>
              <w:rPr>
                <w:rFonts w:hint="eastAsia" w:ascii="宋体" w:hAnsi="宋体" w:cs="宋体"/>
              </w:rPr>
            </w:pPr>
          </w:p>
          <w:p w14:paraId="21DF6E4D">
            <w:pPr>
              <w:spacing w:line="240" w:lineRule="auto"/>
              <w:rPr>
                <w:rFonts w:hint="eastAsia" w:ascii="宋体" w:hAnsi="宋体" w:cs="宋体"/>
              </w:rPr>
            </w:pPr>
          </w:p>
          <w:p w14:paraId="13973A58">
            <w:pPr>
              <w:spacing w:line="240" w:lineRule="auto"/>
              <w:rPr>
                <w:rFonts w:hint="eastAsia" w:ascii="宋体" w:hAnsi="宋体" w:cs="宋体"/>
              </w:rPr>
            </w:pPr>
          </w:p>
          <w:p w14:paraId="2BA6088E">
            <w:pPr>
              <w:spacing w:line="240" w:lineRule="auto"/>
              <w:rPr>
                <w:rFonts w:hint="eastAsia" w:ascii="宋体" w:hAnsi="宋体" w:cs="宋体"/>
              </w:rPr>
            </w:pPr>
          </w:p>
          <w:p w14:paraId="1BA2E71C">
            <w:pPr>
              <w:spacing w:line="240" w:lineRule="auto"/>
              <w:rPr>
                <w:rFonts w:hint="eastAsia" w:ascii="宋体" w:hAnsi="宋体" w:cs="宋体"/>
              </w:rPr>
            </w:pPr>
          </w:p>
          <w:p w14:paraId="5388E780">
            <w:pPr>
              <w:spacing w:line="240" w:lineRule="auto"/>
              <w:rPr>
                <w:rFonts w:hint="eastAsia" w:ascii="宋体" w:hAnsi="宋体" w:cs="宋体"/>
              </w:rPr>
            </w:pPr>
          </w:p>
          <w:p w14:paraId="4625FA88">
            <w:pPr>
              <w:spacing w:line="240" w:lineRule="auto"/>
              <w:rPr>
                <w:rFonts w:hint="eastAsia" w:ascii="宋体" w:hAnsi="宋体" w:cs="宋体"/>
              </w:rPr>
            </w:pPr>
          </w:p>
          <w:p w14:paraId="3A0915DD">
            <w:pPr>
              <w:spacing w:line="240" w:lineRule="auto"/>
              <w:rPr>
                <w:rFonts w:hint="eastAsia" w:ascii="宋体" w:hAnsi="宋体" w:cs="宋体"/>
              </w:rPr>
            </w:pPr>
          </w:p>
        </w:tc>
      </w:tr>
      <w:tr w14:paraId="4FAD3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Pr>
          <w:p w14:paraId="3C5A07C4">
            <w:pPr>
              <w:spacing w:line="240" w:lineRule="auto"/>
              <w:jc w:val="center"/>
              <w:rPr>
                <w:rFonts w:hint="eastAsia" w:ascii="宋体" w:hAnsi="宋体" w:cs="宋体"/>
              </w:rPr>
            </w:pPr>
            <w:r>
              <w:rPr>
                <w:rFonts w:hint="eastAsia" w:ascii="宋体" w:hAnsi="宋体" w:cs="宋体"/>
              </w:rPr>
              <w:t>使用单位</w:t>
            </w:r>
          </w:p>
        </w:tc>
        <w:tc>
          <w:tcPr>
            <w:tcW w:w="3859" w:type="pct"/>
            <w:gridSpan w:val="3"/>
          </w:tcPr>
          <w:p w14:paraId="64E8BD26">
            <w:pPr>
              <w:spacing w:line="240" w:lineRule="auto"/>
              <w:jc w:val="left"/>
              <w:rPr>
                <w:rFonts w:hint="eastAsia" w:ascii="宋体" w:hAnsi="宋体" w:cs="宋体"/>
              </w:rPr>
            </w:pPr>
          </w:p>
        </w:tc>
      </w:tr>
      <w:tr w14:paraId="08190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Pr>
          <w:p w14:paraId="43398A92">
            <w:pPr>
              <w:spacing w:line="240" w:lineRule="auto"/>
              <w:jc w:val="center"/>
              <w:rPr>
                <w:rFonts w:hint="eastAsia" w:ascii="宋体" w:hAnsi="宋体" w:cs="宋体"/>
              </w:rPr>
            </w:pPr>
            <w:r>
              <w:rPr>
                <w:rFonts w:hint="eastAsia" w:ascii="宋体" w:hAnsi="宋体" w:cs="宋体"/>
              </w:rPr>
              <w:t>联系人姓名</w:t>
            </w:r>
          </w:p>
        </w:tc>
        <w:tc>
          <w:tcPr>
            <w:tcW w:w="1408" w:type="pct"/>
          </w:tcPr>
          <w:p w14:paraId="1185D52A">
            <w:pPr>
              <w:spacing w:line="240" w:lineRule="auto"/>
              <w:jc w:val="left"/>
              <w:rPr>
                <w:rFonts w:hint="eastAsia" w:ascii="宋体" w:hAnsi="宋体" w:cs="宋体"/>
              </w:rPr>
            </w:pPr>
          </w:p>
        </w:tc>
        <w:tc>
          <w:tcPr>
            <w:tcW w:w="1082" w:type="pct"/>
          </w:tcPr>
          <w:p w14:paraId="564F62BB">
            <w:pPr>
              <w:spacing w:line="240" w:lineRule="auto"/>
              <w:jc w:val="center"/>
              <w:rPr>
                <w:rFonts w:hint="eastAsia" w:ascii="宋体" w:hAnsi="宋体" w:cs="宋体"/>
              </w:rPr>
            </w:pPr>
            <w:r>
              <w:rPr>
                <w:rFonts w:hint="eastAsia" w:ascii="宋体" w:hAnsi="宋体" w:cs="宋体"/>
              </w:rPr>
              <w:t>联系人电话</w:t>
            </w:r>
          </w:p>
        </w:tc>
        <w:tc>
          <w:tcPr>
            <w:tcW w:w="1369" w:type="pct"/>
          </w:tcPr>
          <w:p w14:paraId="3E8B7BCC">
            <w:pPr>
              <w:spacing w:line="240" w:lineRule="auto"/>
              <w:jc w:val="left"/>
              <w:rPr>
                <w:rFonts w:hint="eastAsia" w:ascii="宋体" w:hAnsi="宋体" w:cs="宋体"/>
              </w:rPr>
            </w:pPr>
          </w:p>
        </w:tc>
      </w:tr>
      <w:tr w14:paraId="2CE81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Pr>
          <w:p w14:paraId="44658262">
            <w:pPr>
              <w:spacing w:line="240" w:lineRule="auto"/>
              <w:jc w:val="center"/>
              <w:rPr>
                <w:rFonts w:hint="eastAsia" w:ascii="宋体" w:hAnsi="宋体" w:cs="宋体"/>
              </w:rPr>
            </w:pPr>
            <w:r>
              <w:rPr>
                <w:rFonts w:hint="eastAsia" w:ascii="宋体" w:hAnsi="宋体" w:cs="宋体"/>
              </w:rPr>
              <w:t>系统网络情况</w:t>
            </w:r>
          </w:p>
        </w:tc>
        <w:tc>
          <w:tcPr>
            <w:tcW w:w="3859" w:type="pct"/>
            <w:gridSpan w:val="3"/>
            <w:vAlign w:val="center"/>
          </w:tcPr>
          <w:p w14:paraId="0547C1F2">
            <w:pPr>
              <w:spacing w:line="240" w:lineRule="auto"/>
              <w:jc w:val="center"/>
              <w:rPr>
                <w:rFonts w:hint="eastAsia" w:ascii="宋体" w:hAnsi="宋体" w:cs="宋体"/>
              </w:rPr>
            </w:pPr>
            <w:r>
              <w:rPr>
                <w:rFonts w:hint="eastAsia" w:ascii="宋体" w:hAnsi="宋体" w:cs="宋体"/>
              </w:rPr>
              <w:sym w:font="Wingdings" w:char="00A8"/>
            </w:r>
            <w:r>
              <w:rPr>
                <w:rFonts w:hint="eastAsia" w:ascii="宋体" w:hAnsi="宋体" w:cs="宋体"/>
              </w:rPr>
              <w:t xml:space="preserve">气象内网    </w:t>
            </w:r>
            <w:r>
              <w:rPr>
                <w:rFonts w:hint="eastAsia" w:ascii="宋体" w:hAnsi="宋体" w:cs="宋体"/>
              </w:rPr>
              <w:sym w:font="Wingdings" w:char="00A8"/>
            </w:r>
            <w:r>
              <w:rPr>
                <w:rFonts w:hint="eastAsia" w:ascii="宋体" w:hAnsi="宋体" w:cs="宋体"/>
              </w:rPr>
              <w:t xml:space="preserve">互联网    </w:t>
            </w:r>
            <w:r>
              <w:rPr>
                <w:rFonts w:hint="eastAsia" w:ascii="宋体" w:hAnsi="宋体" w:cs="宋体"/>
              </w:rPr>
              <w:sym w:font="Wingdings" w:char="00A8"/>
            </w:r>
            <w:r>
              <w:rPr>
                <w:rFonts w:hint="eastAsia" w:ascii="宋体" w:hAnsi="宋体" w:cs="宋体"/>
              </w:rPr>
              <w:t>行业专网</w:t>
            </w:r>
          </w:p>
        </w:tc>
      </w:tr>
      <w:tr w14:paraId="5423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Pr>
          <w:p w14:paraId="5F4627C8">
            <w:pPr>
              <w:spacing w:line="240" w:lineRule="auto"/>
              <w:jc w:val="center"/>
              <w:rPr>
                <w:rFonts w:hint="eastAsia" w:ascii="宋体" w:hAnsi="宋体" w:cs="宋体"/>
              </w:rPr>
            </w:pPr>
            <w:r>
              <w:rPr>
                <w:rFonts w:hint="eastAsia" w:ascii="宋体" w:hAnsi="宋体" w:cs="宋体"/>
              </w:rPr>
              <w:t>调用接口的IP</w:t>
            </w:r>
          </w:p>
        </w:tc>
        <w:tc>
          <w:tcPr>
            <w:tcW w:w="3859" w:type="pct"/>
            <w:gridSpan w:val="3"/>
          </w:tcPr>
          <w:p w14:paraId="217110C1">
            <w:pPr>
              <w:spacing w:line="240" w:lineRule="auto"/>
              <w:rPr>
                <w:rFonts w:hint="eastAsia" w:ascii="宋体" w:hAnsi="宋体" w:cs="宋体"/>
              </w:rPr>
            </w:pPr>
          </w:p>
          <w:p w14:paraId="099C8193">
            <w:pPr>
              <w:spacing w:line="240" w:lineRule="auto"/>
              <w:rPr>
                <w:rFonts w:hint="eastAsia" w:ascii="宋体" w:hAnsi="宋体" w:cs="宋体"/>
              </w:rPr>
            </w:pPr>
          </w:p>
        </w:tc>
      </w:tr>
      <w:tr w14:paraId="071B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76B6EB30">
            <w:pPr>
              <w:spacing w:line="240" w:lineRule="auto"/>
              <w:jc w:val="center"/>
              <w:rPr>
                <w:rFonts w:hint="eastAsia" w:ascii="宋体" w:hAnsi="宋体" w:cs="宋体"/>
                <w:b/>
                <w:bCs/>
              </w:rPr>
            </w:pPr>
            <w:r>
              <w:rPr>
                <w:rFonts w:hint="eastAsia" w:ascii="宋体" w:hAnsi="宋体" w:cs="宋体"/>
                <w:b/>
                <w:bCs/>
              </w:rPr>
              <w:t>数据接口申请说明</w:t>
            </w:r>
          </w:p>
          <w:p w14:paraId="62699236">
            <w:pPr>
              <w:spacing w:line="240" w:lineRule="auto"/>
              <w:jc w:val="center"/>
              <w:rPr>
                <w:rFonts w:hint="eastAsia" w:ascii="宋体" w:hAnsi="宋体" w:cs="宋体"/>
                <w:b/>
                <w:bCs/>
              </w:rPr>
            </w:pPr>
            <w:r>
              <w:rPr>
                <w:rFonts w:hint="eastAsia" w:ascii="宋体" w:hAnsi="宋体" w:cs="宋体"/>
                <w:b/>
                <w:bCs/>
              </w:rPr>
              <w:t>（请详细说明资料类型，资料名称，数据范围，时间范围等）</w:t>
            </w:r>
          </w:p>
        </w:tc>
      </w:tr>
      <w:tr w14:paraId="10A1F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34A2E158">
            <w:pPr>
              <w:spacing w:line="240" w:lineRule="auto"/>
              <w:rPr>
                <w:rFonts w:hint="eastAsia" w:ascii="宋体" w:hAnsi="宋体" w:cs="宋体"/>
              </w:rPr>
            </w:pPr>
          </w:p>
          <w:p w14:paraId="67ABC30F">
            <w:pPr>
              <w:spacing w:line="240" w:lineRule="auto"/>
              <w:rPr>
                <w:rFonts w:hint="eastAsia" w:ascii="宋体" w:hAnsi="宋体" w:cs="宋体"/>
              </w:rPr>
            </w:pPr>
          </w:p>
          <w:p w14:paraId="43670B56">
            <w:pPr>
              <w:spacing w:line="240" w:lineRule="auto"/>
              <w:rPr>
                <w:rFonts w:hint="eastAsia" w:ascii="宋体" w:hAnsi="宋体" w:cs="宋体"/>
              </w:rPr>
            </w:pPr>
          </w:p>
          <w:p w14:paraId="632AC9DE">
            <w:pPr>
              <w:spacing w:line="240" w:lineRule="auto"/>
              <w:rPr>
                <w:rFonts w:hint="eastAsia" w:ascii="宋体" w:hAnsi="宋体" w:cs="宋体"/>
              </w:rPr>
            </w:pPr>
          </w:p>
          <w:p w14:paraId="7B8F2B80">
            <w:pPr>
              <w:spacing w:line="240" w:lineRule="auto"/>
              <w:rPr>
                <w:rFonts w:hint="eastAsia" w:ascii="宋体" w:hAnsi="宋体" w:cs="宋体"/>
              </w:rPr>
            </w:pPr>
          </w:p>
          <w:p w14:paraId="3E84D63F">
            <w:pPr>
              <w:spacing w:line="240" w:lineRule="auto"/>
              <w:rPr>
                <w:rFonts w:hint="eastAsia" w:ascii="宋体" w:hAnsi="宋体" w:cs="宋体"/>
              </w:rPr>
            </w:pPr>
          </w:p>
          <w:p w14:paraId="091BF566">
            <w:pPr>
              <w:spacing w:line="240" w:lineRule="auto"/>
              <w:rPr>
                <w:rFonts w:hint="eastAsia" w:ascii="宋体" w:hAnsi="宋体" w:cs="宋体"/>
                <w:b/>
                <w:bCs/>
              </w:rPr>
            </w:pPr>
          </w:p>
        </w:tc>
      </w:tr>
    </w:tbl>
    <w:p w14:paraId="3118011F">
      <w:pPr>
        <w:pStyle w:val="56"/>
        <w:ind w:firstLine="420"/>
      </w:pPr>
    </w:p>
    <w:p w14:paraId="00EFE2EC">
      <w:pPr>
        <w:pStyle w:val="77"/>
        <w:spacing w:before="156" w:after="156"/>
      </w:pPr>
      <w:r>
        <w:rPr>
          <w:rFonts w:hint="eastAsia"/>
        </w:rPr>
        <w:t>湖南省气象部门数据共享接口说明文档</w:t>
      </w:r>
    </w:p>
    <w:tbl>
      <w:tblPr>
        <w:tblStyle w:val="26"/>
        <w:tblW w:w="0" w:type="dxa"/>
        <w:tblInd w:w="0" w:type="dxa"/>
        <w:tblLayout w:type="autofit"/>
        <w:tblCellMar>
          <w:top w:w="15" w:type="dxa"/>
          <w:left w:w="15" w:type="dxa"/>
          <w:bottom w:w="15" w:type="dxa"/>
          <w:right w:w="15" w:type="dxa"/>
        </w:tblCellMar>
      </w:tblPr>
      <w:tblGrid>
        <w:gridCol w:w="1340"/>
        <w:gridCol w:w="5473"/>
        <w:gridCol w:w="2571"/>
      </w:tblGrid>
      <w:tr w14:paraId="42DB40A7">
        <w:tblPrEx>
          <w:tblCellMar>
            <w:top w:w="15" w:type="dxa"/>
            <w:left w:w="15" w:type="dxa"/>
            <w:bottom w:w="15" w:type="dxa"/>
            <w:right w:w="15" w:type="dxa"/>
          </w:tblCellMar>
        </w:tblPrEx>
        <w:trPr>
          <w:trHeight w:val="525" w:hRule="atLeast"/>
        </w:trPr>
        <w:tc>
          <w:tcPr>
            <w:tcW w:w="1500" w:type="dxa"/>
            <w:tcBorders>
              <w:top w:val="single" w:color="000000" w:sz="4" w:space="0"/>
              <w:left w:val="single" w:color="000000" w:sz="4" w:space="0"/>
              <w:bottom w:val="single" w:color="000000" w:sz="4" w:space="0"/>
              <w:right w:val="single" w:color="000000" w:sz="4" w:space="0"/>
            </w:tcBorders>
            <w:noWrap/>
            <w:vAlign w:val="center"/>
          </w:tcPr>
          <w:p w14:paraId="0DE1375A">
            <w:pPr>
              <w:jc w:val="center"/>
              <w:rPr>
                <w:rFonts w:hint="eastAsia" w:ascii="宋体" w:hAnsi="宋体" w:cs="宋体"/>
                <w:b/>
                <w:bCs/>
                <w:color w:val="000000"/>
                <w:sz w:val="22"/>
                <w:szCs w:val="22"/>
              </w:rPr>
            </w:pPr>
            <w:bookmarkStart w:id="132" w:name="_Hlk206170228"/>
            <w:r>
              <w:rPr>
                <w:rFonts w:hint="eastAsia" w:ascii="宋体" w:hAnsi="宋体" w:cs="宋体"/>
                <w:b/>
                <w:bCs/>
                <w:color w:val="000000"/>
                <w:sz w:val="22"/>
                <w:szCs w:val="22"/>
              </w:rPr>
              <w:t>分类</w:t>
            </w: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14153358">
            <w:pPr>
              <w:widowControl/>
              <w:spacing w:line="240" w:lineRule="auto"/>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名称</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0C5F6611">
            <w:pPr>
              <w:widowControl/>
              <w:spacing w:line="240" w:lineRule="auto"/>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接口地址</w:t>
            </w:r>
          </w:p>
        </w:tc>
      </w:tr>
      <w:tr w14:paraId="5B1E2376">
        <w:tblPrEx>
          <w:tblCellMar>
            <w:top w:w="15" w:type="dxa"/>
            <w:left w:w="15" w:type="dxa"/>
            <w:bottom w:w="15" w:type="dxa"/>
            <w:right w:w="15" w:type="dxa"/>
          </w:tblCellMar>
        </w:tblPrEx>
        <w:trPr>
          <w:trHeight w:val="525" w:hRule="atLeast"/>
        </w:trPr>
        <w:tc>
          <w:tcPr>
            <w:tcW w:w="1500" w:type="dxa"/>
            <w:vMerge w:val="restart"/>
            <w:tcBorders>
              <w:top w:val="single" w:color="000000" w:sz="4" w:space="0"/>
              <w:left w:val="single" w:color="000000" w:sz="4" w:space="0"/>
              <w:bottom w:val="single" w:color="000000" w:sz="4" w:space="0"/>
              <w:right w:val="single" w:color="000000" w:sz="4" w:space="0"/>
            </w:tcBorders>
            <w:noWrap/>
            <w:vAlign w:val="center"/>
          </w:tcPr>
          <w:p w14:paraId="704C17C6">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格点实况</w:t>
            </w: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32390C01">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HN-ART-1KM格点实况分钟降水</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518E4C9E">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hnatr/HnArt10MPRE10m</w:t>
            </w:r>
          </w:p>
        </w:tc>
      </w:tr>
      <w:tr w14:paraId="761F249A">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2E434C72">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66D87E70">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HN-ART-1KM格点实况整点降水</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1A778467">
            <w:pPr>
              <w:widowControl/>
              <w:spacing w:line="240" w:lineRule="auto"/>
              <w:jc w:val="left"/>
              <w:textAlignment w:val="center"/>
              <w:rPr>
                <w:color w:val="000000"/>
                <w:sz w:val="20"/>
                <w:szCs w:val="20"/>
              </w:rPr>
            </w:pPr>
            <w:r>
              <w:fldChar w:fldCharType="begin"/>
            </w:r>
            <w:r>
              <w:instrText xml:space="preserve"> HYPERLINK "http://192.168.173.119:30019/data-service/api/hnatr/HnArt10MPRE1H" </w:instrText>
            </w:r>
            <w:r>
              <w:fldChar w:fldCharType="separate"/>
            </w:r>
            <w:r>
              <w:rPr>
                <w:rStyle w:val="32"/>
                <w:rFonts w:hint="eastAsia" w:hAnsi="宋体" w:cs="宋体"/>
                <w:color w:val="000000"/>
                <w:sz w:val="22"/>
                <w:szCs w:val="22"/>
                <w:u w:val="single"/>
              </w:rPr>
              <w:t>hnatr/HnArt10MPRE1H</w:t>
            </w:r>
            <w:r>
              <w:rPr>
                <w:rStyle w:val="32"/>
                <w:rFonts w:hint="eastAsia" w:hAnsi="宋体" w:cs="宋体"/>
                <w:color w:val="000000"/>
                <w:sz w:val="22"/>
                <w:szCs w:val="22"/>
                <w:u w:val="single"/>
              </w:rPr>
              <w:fldChar w:fldCharType="end"/>
            </w:r>
          </w:p>
        </w:tc>
      </w:tr>
      <w:tr w14:paraId="044C8113">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23CC2933">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6A5549BD">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HN-ART-1KM格点实况整点气温</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64FACB0C">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hnatr/HnArt10MDEWP1H</w:t>
            </w:r>
          </w:p>
        </w:tc>
      </w:tr>
      <w:tr w14:paraId="0903679B">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06007718">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5AE5883E">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HN-ART-1KM格点实况分钟气温</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32A89907">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hnatr/HnArt10MDEWP10</w:t>
            </w:r>
          </w:p>
        </w:tc>
      </w:tr>
      <w:tr w14:paraId="5A325E4A">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62AA526A">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3B2893AF">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HN-ART-1KM格点实况整点气压</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1EB67EFC">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hnatr/HnArt10MPAIR1H</w:t>
            </w:r>
          </w:p>
        </w:tc>
      </w:tr>
      <w:tr w14:paraId="2C9B126F">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5958276E">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25ED8C0B">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HN-ART-1KM格点实况分钟气压</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252236BF">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hnatr/HnArt10MPAIR10m</w:t>
            </w:r>
          </w:p>
        </w:tc>
      </w:tr>
      <w:tr w14:paraId="3D54C36F">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541EE605">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406B2269">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HN-ART-1KM格点实况整点相对湿度</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6913F2C1">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hnatr/HnArt10MRHUS1H</w:t>
            </w:r>
          </w:p>
        </w:tc>
      </w:tr>
      <w:tr w14:paraId="5920BCB6">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77DA53AF">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0DC96307">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HN-ART-1KM格点实况分钟相对湿度</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01E8C02A">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hnatr/HnArt10MRHUS10m</w:t>
            </w:r>
          </w:p>
        </w:tc>
      </w:tr>
      <w:tr w14:paraId="71C7EFA6">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57F46776">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56320670">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HN-ART-1KM格点实况整点比湿</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582DD818">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hnatr/HnArt10MRHUS1H</w:t>
            </w:r>
          </w:p>
        </w:tc>
      </w:tr>
      <w:tr w14:paraId="14905F52">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1E41B8D4">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5A5C6ADD">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HN-ART-1KM格点实况分钟比湿</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267C95ED">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hnatr/HnArt10MRHUS10m</w:t>
            </w:r>
          </w:p>
        </w:tc>
      </w:tr>
      <w:tr w14:paraId="763B8661">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01A58570">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45FCD974">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HN-ART-1KM格点实况整点风（U）</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102F00BA">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hnatr/HnArt10MUWIN1H</w:t>
            </w:r>
          </w:p>
        </w:tc>
      </w:tr>
      <w:tr w14:paraId="34B96C07">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649F3AE3">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4BA2F5D9">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HN-ART-1KM格点实况分钟风（U）</w:t>
            </w:r>
          </w:p>
        </w:tc>
        <w:tc>
          <w:tcPr>
            <w:tcW w:w="2880" w:type="dxa"/>
            <w:tcBorders>
              <w:top w:val="single" w:color="000000" w:sz="4" w:space="0"/>
              <w:left w:val="single" w:color="000000" w:sz="4" w:space="0"/>
              <w:bottom w:val="single" w:color="000000" w:sz="4" w:space="0"/>
              <w:right w:val="single" w:color="000000" w:sz="4" w:space="0"/>
            </w:tcBorders>
            <w:vAlign w:val="center"/>
          </w:tcPr>
          <w:p w14:paraId="45BE6870">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hnatr/HnArt10MUWIN10m</w:t>
            </w:r>
          </w:p>
        </w:tc>
      </w:tr>
      <w:tr w14:paraId="06816B4C">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48720C21">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5A4821AF">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HN-ART-1KM格点实况整点风（V）</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1C410C4B">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hnatr/HnArt10MVWIN1H</w:t>
            </w:r>
          </w:p>
        </w:tc>
      </w:tr>
      <w:tr w14:paraId="51B99F49">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2DFDF21E">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023E2286">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HN-ART-1KM格点实况分钟风（V）</w:t>
            </w:r>
          </w:p>
        </w:tc>
        <w:tc>
          <w:tcPr>
            <w:tcW w:w="2880" w:type="dxa"/>
            <w:tcBorders>
              <w:top w:val="single" w:color="000000" w:sz="4" w:space="0"/>
              <w:left w:val="single" w:color="000000" w:sz="4" w:space="0"/>
              <w:bottom w:val="single" w:color="000000" w:sz="4" w:space="0"/>
              <w:right w:val="single" w:color="000000" w:sz="4" w:space="0"/>
            </w:tcBorders>
            <w:vAlign w:val="center"/>
          </w:tcPr>
          <w:p w14:paraId="24BF15F2">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hnatr/HnArt10MVWIN10m</w:t>
            </w:r>
          </w:p>
        </w:tc>
      </w:tr>
      <w:tr w14:paraId="79FB8888">
        <w:tblPrEx>
          <w:tblCellMar>
            <w:top w:w="15" w:type="dxa"/>
            <w:left w:w="15" w:type="dxa"/>
            <w:bottom w:w="15" w:type="dxa"/>
            <w:right w:w="15" w:type="dxa"/>
          </w:tblCellMar>
        </w:tblPrEx>
        <w:trPr>
          <w:trHeight w:val="360" w:hRule="atLeast"/>
        </w:trPr>
        <w:tc>
          <w:tcPr>
            <w:tcW w:w="1500" w:type="dxa"/>
            <w:vMerge w:val="restart"/>
            <w:tcBorders>
              <w:top w:val="single" w:color="000000" w:sz="4" w:space="0"/>
              <w:left w:val="single" w:color="000000" w:sz="4" w:space="0"/>
              <w:bottom w:val="single" w:color="000000" w:sz="4" w:space="0"/>
              <w:right w:val="single" w:color="000000" w:sz="4" w:space="0"/>
            </w:tcBorders>
            <w:noWrap/>
            <w:vAlign w:val="center"/>
          </w:tcPr>
          <w:p w14:paraId="5920911B">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雷达资料</w:t>
            </w: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516B8DA0">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天气雷达拼图3.0组网—组合反射率</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262524A5">
            <w:pPr>
              <w:widowControl/>
              <w:spacing w:line="240" w:lineRule="auto"/>
              <w:jc w:val="left"/>
              <w:textAlignment w:val="center"/>
              <w:rPr>
                <w:color w:val="000000"/>
                <w:sz w:val="20"/>
                <w:szCs w:val="20"/>
              </w:rPr>
            </w:pPr>
            <w:r>
              <w:fldChar w:fldCharType="begin"/>
            </w:r>
            <w:r>
              <w:instrText xml:space="preserve"> HYPERLINK "http://192.168.173.119:30019/data-service/api/radar/swan3" </w:instrText>
            </w:r>
            <w:r>
              <w:fldChar w:fldCharType="separate"/>
            </w:r>
            <w:r>
              <w:rPr>
                <w:rStyle w:val="32"/>
                <w:rFonts w:hint="eastAsia" w:hAnsi="宋体" w:cs="宋体"/>
                <w:color w:val="000000"/>
                <w:sz w:val="22"/>
                <w:szCs w:val="22"/>
                <w:u w:val="single"/>
              </w:rPr>
              <w:t>radar/swan3/cref</w:t>
            </w:r>
            <w:r>
              <w:rPr>
                <w:rStyle w:val="32"/>
                <w:rFonts w:hint="eastAsia" w:hAnsi="宋体" w:cs="宋体"/>
                <w:color w:val="000000"/>
                <w:sz w:val="22"/>
                <w:szCs w:val="22"/>
                <w:u w:val="single"/>
              </w:rPr>
              <w:fldChar w:fldCharType="end"/>
            </w:r>
          </w:p>
        </w:tc>
      </w:tr>
      <w:tr w14:paraId="36915A00">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41B1CB42">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5CCF7492">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ROSE2.0-组合反射率</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1DB7FDD3">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radar/rose2/cr</w:t>
            </w:r>
          </w:p>
        </w:tc>
      </w:tr>
      <w:tr w14:paraId="532A832B">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01367D62">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2274C1BD">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ROSE2.0-回波顶高</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74393EC8">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radar/rose2/tops</w:t>
            </w:r>
          </w:p>
        </w:tc>
      </w:tr>
      <w:tr w14:paraId="4AA33C54">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20F6D846">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38D3AC21">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ROSE2.0-垂直积分液体水含量</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2B7F3865">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radar/rose2/vil</w:t>
            </w:r>
          </w:p>
        </w:tc>
      </w:tr>
      <w:tr w14:paraId="7EC50D48">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734E40D9">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1C1AB8F9">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ROSE2.0-一小时降水</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4836F0EA">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radar/rose2/ohp</w:t>
            </w:r>
          </w:p>
        </w:tc>
      </w:tr>
      <w:tr w14:paraId="4B3AACF6">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689B7FE9">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3086F81E">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ROSE2.0-VWP</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44E97502">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radar/rose2/vwp</w:t>
            </w:r>
          </w:p>
        </w:tc>
      </w:tr>
      <w:tr w14:paraId="547F05A5">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250A2E0A">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1294F2DA">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天气雷达拼图3.0单站—雨强</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77355807">
            <w:pPr>
              <w:widowControl/>
              <w:spacing w:line="240" w:lineRule="auto"/>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radar/swan3/vil</w:t>
            </w:r>
          </w:p>
        </w:tc>
      </w:tr>
      <w:tr w14:paraId="69267043">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28086395">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64E12065">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湖南组网雷达拼图V3.0-组合反射率-MCR</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2BA4B7A8">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/radar/mosaic/cref</w:t>
            </w:r>
          </w:p>
        </w:tc>
      </w:tr>
      <w:tr w14:paraId="74BF720B">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02AD9814">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58AFF3A8">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湖南组网雷达拼图V3.0-逐小时QPE</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71235D4E">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/radar/mosaic/qpe</w:t>
            </w:r>
          </w:p>
        </w:tc>
      </w:tr>
      <w:tr w14:paraId="3B8E876D">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6F8701CF">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295D5F1B">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湖南组网雷达拼图V3.0-逐6分钟QPF</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7E1660DA">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/radar/mosaic/qpf</w:t>
            </w:r>
          </w:p>
        </w:tc>
      </w:tr>
      <w:tr w14:paraId="70D630D2">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65EE40BB">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00362180">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湖南快拼-逐6分钟QPF</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37AFDDA1">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/radar/hnkp/qpf</w:t>
            </w:r>
          </w:p>
        </w:tc>
      </w:tr>
      <w:tr w14:paraId="6B2AD6F4">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641BCD84">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19A82A15">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湖南快拼-逐小时QPE</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63631509">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/radar/hnkp/qpe</w:t>
            </w:r>
          </w:p>
        </w:tc>
      </w:tr>
      <w:tr w14:paraId="0702B595">
        <w:tblPrEx>
          <w:tblCellMar>
            <w:top w:w="15" w:type="dxa"/>
            <w:left w:w="15" w:type="dxa"/>
            <w:bottom w:w="15" w:type="dxa"/>
            <w:right w:w="15" w:type="dxa"/>
          </w:tblCellMar>
        </w:tblPrEx>
        <w:trPr>
          <w:trHeight w:val="620"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658542ED">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44657AB4">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地基微波辐射计</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042127DB">
            <w:pPr>
              <w:rPr>
                <w:rFonts w:hint="eastAsia" w:ascii="宋体" w:hAnsi="宋体" w:cs="宋体"/>
                <w:color w:val="000000"/>
                <w:sz w:val="22"/>
                <w:szCs w:val="22"/>
              </w:rPr>
            </w:pPr>
          </w:p>
        </w:tc>
      </w:tr>
      <w:tr w14:paraId="3677E65A">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0DFCD160">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36F904DA">
            <w:pPr>
              <w:widowControl/>
              <w:spacing w:line="240" w:lineRule="auto"/>
              <w:jc w:val="left"/>
              <w:textAlignment w:val="center"/>
              <w:rPr>
                <w:color w:val="000000"/>
                <w:sz w:val="20"/>
                <w:szCs w:val="20"/>
              </w:rPr>
            </w:pPr>
            <w:r>
              <w:rPr>
                <w:rFonts w:ascii="宋体" w:hAnsi="宋体" w:cs="宋体"/>
                <w:color w:val="000000"/>
                <w:kern w:val="0"/>
                <w:sz w:val="20"/>
                <w:szCs w:val="20"/>
                <w:lang w:bidi="ar"/>
              </w:rPr>
              <w:t>测风激光雷达</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0A3BE2C9">
            <w:pPr>
              <w:rPr>
                <w:rFonts w:hint="eastAsia" w:ascii="宋体" w:hAnsi="宋体" w:cs="宋体"/>
                <w:color w:val="000000"/>
                <w:sz w:val="22"/>
                <w:szCs w:val="22"/>
              </w:rPr>
            </w:pPr>
          </w:p>
        </w:tc>
      </w:tr>
      <w:tr w14:paraId="703E7F1F">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30CCE06A">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3ECA148E">
            <w:pPr>
              <w:widowControl/>
              <w:spacing w:line="240" w:lineRule="auto"/>
              <w:jc w:val="left"/>
              <w:textAlignment w:val="center"/>
              <w:rPr>
                <w:color w:val="000000"/>
                <w:sz w:val="20"/>
                <w:szCs w:val="20"/>
              </w:rPr>
            </w:pPr>
            <w:r>
              <w:rPr>
                <w:rFonts w:ascii="宋体" w:hAnsi="宋体" w:cs="宋体"/>
                <w:color w:val="000000"/>
                <w:kern w:val="0"/>
                <w:sz w:val="20"/>
                <w:szCs w:val="20"/>
                <w:lang w:bidi="ar"/>
              </w:rPr>
              <w:t>x波段雷达</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69836174">
            <w:pPr>
              <w:rPr>
                <w:rFonts w:hint="eastAsia" w:ascii="宋体" w:hAnsi="宋体" w:cs="宋体"/>
                <w:color w:val="000000"/>
                <w:sz w:val="22"/>
                <w:szCs w:val="22"/>
              </w:rPr>
            </w:pPr>
          </w:p>
        </w:tc>
      </w:tr>
      <w:tr w14:paraId="2A670CE0">
        <w:tblPrEx>
          <w:tblCellMar>
            <w:top w:w="15" w:type="dxa"/>
            <w:left w:w="15" w:type="dxa"/>
            <w:bottom w:w="15" w:type="dxa"/>
            <w:right w:w="15" w:type="dxa"/>
          </w:tblCellMar>
        </w:tblPrEx>
        <w:trPr>
          <w:trHeight w:val="525" w:hRule="atLeast"/>
        </w:trPr>
        <w:tc>
          <w:tcPr>
            <w:tcW w:w="1500" w:type="dxa"/>
            <w:tcBorders>
              <w:top w:val="single" w:color="000000" w:sz="4" w:space="0"/>
              <w:left w:val="single" w:color="000000" w:sz="4" w:space="0"/>
              <w:bottom w:val="single" w:color="000000" w:sz="4" w:space="0"/>
              <w:right w:val="single" w:color="000000" w:sz="4" w:space="0"/>
            </w:tcBorders>
            <w:noWrap/>
            <w:vAlign w:val="center"/>
          </w:tcPr>
          <w:p w14:paraId="289FBC41">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格点预报</w:t>
            </w: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1305C3FC">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格点降水预报-24小时逐小时</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5F3C6121">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/grid/forecast/pre1H</w:t>
            </w:r>
          </w:p>
        </w:tc>
      </w:tr>
      <w:tr w14:paraId="7D6D3DB3">
        <w:tblPrEx>
          <w:tblCellMar>
            <w:top w:w="15" w:type="dxa"/>
            <w:left w:w="15" w:type="dxa"/>
            <w:bottom w:w="15" w:type="dxa"/>
            <w:right w:w="15" w:type="dxa"/>
          </w:tblCellMar>
        </w:tblPrEx>
        <w:trPr>
          <w:trHeight w:val="525" w:hRule="atLeast"/>
        </w:trPr>
        <w:tc>
          <w:tcPr>
            <w:tcW w:w="1500" w:type="dxa"/>
            <w:vMerge w:val="restart"/>
            <w:tcBorders>
              <w:top w:val="single" w:color="000000" w:sz="4" w:space="0"/>
              <w:left w:val="single" w:color="000000" w:sz="4" w:space="0"/>
              <w:bottom w:val="single" w:color="000000" w:sz="4" w:space="0"/>
              <w:right w:val="single" w:color="000000" w:sz="4" w:space="0"/>
            </w:tcBorders>
            <w:noWrap/>
            <w:vAlign w:val="center"/>
          </w:tcPr>
          <w:p w14:paraId="4E65B7B4">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站点实况</w:t>
            </w: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2F45556D">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站点实况降水-逐分钟</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11EAF2B1">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/station/pre/minute</w:t>
            </w:r>
          </w:p>
        </w:tc>
      </w:tr>
      <w:tr w14:paraId="6996AAD5">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62E4EE37">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0393AD4B">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站点实况降水-逐小时</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536BCCA5">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/station/pre/1h</w:t>
            </w:r>
          </w:p>
        </w:tc>
      </w:tr>
      <w:tr w14:paraId="5C9BC2A0">
        <w:tblPrEx>
          <w:tblCellMar>
            <w:top w:w="15" w:type="dxa"/>
            <w:left w:w="15" w:type="dxa"/>
            <w:bottom w:w="15" w:type="dxa"/>
            <w:right w:w="15" w:type="dxa"/>
          </w:tblCellMar>
        </w:tblPrEx>
        <w:trPr>
          <w:trHeight w:val="360"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5424A5DD">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1CFBEC20">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站点实况降水-逐分钟1分钟平均能见度</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079E3D21">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/station/vis/minute</w:t>
            </w:r>
          </w:p>
        </w:tc>
      </w:tr>
      <w:tr w14:paraId="06B4D28D">
        <w:tblPrEx>
          <w:tblCellMar>
            <w:top w:w="15" w:type="dxa"/>
            <w:left w:w="15" w:type="dxa"/>
            <w:bottom w:w="15" w:type="dxa"/>
            <w:right w:w="15" w:type="dxa"/>
          </w:tblCellMar>
        </w:tblPrEx>
        <w:trPr>
          <w:trHeight w:val="360"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5E865156">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61EB2895">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站点实况降水-逐小时10分钟平均能见度</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1580BBE4">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/station/vis/1h</w:t>
            </w:r>
          </w:p>
        </w:tc>
      </w:tr>
      <w:tr w14:paraId="4945315B">
        <w:tblPrEx>
          <w:tblCellMar>
            <w:top w:w="15" w:type="dxa"/>
            <w:left w:w="15" w:type="dxa"/>
            <w:bottom w:w="15" w:type="dxa"/>
            <w:right w:w="15" w:type="dxa"/>
          </w:tblCellMar>
        </w:tblPrEx>
        <w:trPr>
          <w:trHeight w:val="525" w:hRule="atLeast"/>
        </w:trPr>
        <w:tc>
          <w:tcPr>
            <w:tcW w:w="1500" w:type="dxa"/>
            <w:vMerge w:val="restart"/>
            <w:tcBorders>
              <w:top w:val="single" w:color="000000" w:sz="4" w:space="0"/>
              <w:left w:val="single" w:color="000000" w:sz="4" w:space="0"/>
              <w:bottom w:val="single" w:color="000000" w:sz="4" w:space="0"/>
              <w:right w:val="single" w:color="000000" w:sz="4" w:space="0"/>
            </w:tcBorders>
            <w:noWrap/>
            <w:vAlign w:val="center"/>
          </w:tcPr>
          <w:p w14:paraId="61FE31F4">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预报产品</w:t>
            </w: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6FCF4976">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未来三天文字预报</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7E421C50">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/forecast/3day</w:t>
            </w:r>
          </w:p>
        </w:tc>
      </w:tr>
      <w:tr w14:paraId="3F124702">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7E83597B">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100CB354">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精细化预报</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524869DE">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/forecast/refinement</w:t>
            </w:r>
          </w:p>
        </w:tc>
      </w:tr>
      <w:tr w14:paraId="150C3D18">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3B3AFE01">
            <w:pPr>
              <w:jc w:val="center"/>
              <w:rPr>
                <w:rFonts w:hint="eastAsia" w:ascii="宋体" w:hAnsi="宋体" w:cs="宋体"/>
                <w:color w:val="000000"/>
                <w:sz w:val="22"/>
                <w:szCs w:val="22"/>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612F43E1">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十天降水预报图</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6D4BEE92">
            <w:pPr>
              <w:widowControl/>
              <w:spacing w:line="240" w:lineRule="auto"/>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/forecast/pre/10day</w:t>
            </w:r>
          </w:p>
        </w:tc>
      </w:tr>
      <w:tr w14:paraId="1A947F05">
        <w:tblPrEx>
          <w:tblCellMar>
            <w:top w:w="15" w:type="dxa"/>
            <w:left w:w="15" w:type="dxa"/>
            <w:bottom w:w="15" w:type="dxa"/>
            <w:right w:w="15" w:type="dxa"/>
          </w:tblCellMar>
        </w:tblPrEx>
        <w:trPr>
          <w:trHeight w:val="525" w:hRule="atLeast"/>
        </w:trPr>
        <w:tc>
          <w:tcPr>
            <w:tcW w:w="1500" w:type="dxa"/>
            <w:vMerge w:val="restart"/>
            <w:tcBorders>
              <w:top w:val="single" w:color="000000" w:sz="4" w:space="0"/>
              <w:left w:val="single" w:color="000000" w:sz="4" w:space="0"/>
              <w:bottom w:val="single" w:color="000000" w:sz="4" w:space="0"/>
              <w:right w:val="single" w:color="000000" w:sz="4" w:space="0"/>
            </w:tcBorders>
            <w:noWrap/>
            <w:vAlign w:val="center"/>
          </w:tcPr>
          <w:p w14:paraId="1190847C">
            <w:pPr>
              <w:widowControl/>
              <w:spacing w:line="240" w:lineRule="auto"/>
              <w:jc w:val="center"/>
              <w:textAlignment w:val="center"/>
              <w:rPr>
                <w:color w:val="000000"/>
                <w:sz w:val="20"/>
                <w:szCs w:val="20"/>
              </w:rPr>
            </w:pPr>
            <w:r>
              <w:rPr>
                <w:rFonts w:ascii="宋体" w:hAnsi="宋体" w:cs="宋体"/>
                <w:color w:val="000000"/>
                <w:kern w:val="0"/>
                <w:sz w:val="20"/>
                <w:szCs w:val="20"/>
                <w:lang w:bidi="ar"/>
              </w:rPr>
              <w:t>服务产品</w:t>
            </w: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70373673">
            <w:pPr>
              <w:widowControl/>
              <w:spacing w:line="240" w:lineRule="auto"/>
              <w:jc w:val="left"/>
              <w:textAlignment w:val="center"/>
              <w:rPr>
                <w:color w:val="000000"/>
                <w:sz w:val="20"/>
                <w:szCs w:val="20"/>
              </w:rPr>
            </w:pPr>
            <w:r>
              <w:rPr>
                <w:rFonts w:ascii="宋体" w:hAnsi="宋体" w:cs="宋体"/>
                <w:color w:val="000000"/>
                <w:kern w:val="0"/>
                <w:sz w:val="20"/>
                <w:szCs w:val="20"/>
                <w:lang w:bidi="ar"/>
              </w:rPr>
              <w:t>天气公报</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1130DCD5">
            <w:pPr>
              <w:widowControl/>
              <w:spacing w:line="240" w:lineRule="auto"/>
              <w:jc w:val="left"/>
              <w:textAlignment w:val="center"/>
              <w:rPr>
                <w:color w:val="000000"/>
                <w:sz w:val="20"/>
                <w:szCs w:val="20"/>
              </w:rPr>
            </w:pPr>
            <w:r>
              <w:rPr>
                <w:rFonts w:ascii="宋体" w:hAnsi="宋体" w:cs="宋体"/>
                <w:color w:val="000000"/>
                <w:kern w:val="0"/>
                <w:sz w:val="20"/>
                <w:szCs w:val="20"/>
                <w:lang w:bidi="ar"/>
              </w:rPr>
              <w:t>/wfp/WFPTQGB</w:t>
            </w:r>
          </w:p>
        </w:tc>
      </w:tr>
      <w:tr w14:paraId="5112DC30">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4DD999AA">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2FE8E719">
            <w:pPr>
              <w:widowControl/>
              <w:spacing w:line="240" w:lineRule="auto"/>
              <w:jc w:val="left"/>
              <w:textAlignment w:val="center"/>
              <w:rPr>
                <w:color w:val="000000"/>
                <w:sz w:val="20"/>
                <w:szCs w:val="20"/>
              </w:rPr>
            </w:pPr>
            <w:r>
              <w:rPr>
                <w:rFonts w:ascii="宋体" w:hAnsi="宋体" w:cs="宋体"/>
                <w:color w:val="000000"/>
                <w:kern w:val="0"/>
                <w:sz w:val="20"/>
                <w:szCs w:val="20"/>
                <w:lang w:bidi="ar"/>
              </w:rPr>
              <w:t>气候公报</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14F689D8">
            <w:pPr>
              <w:widowControl/>
              <w:spacing w:line="240" w:lineRule="auto"/>
              <w:jc w:val="left"/>
              <w:textAlignment w:val="center"/>
              <w:rPr>
                <w:color w:val="000000"/>
                <w:sz w:val="20"/>
                <w:szCs w:val="20"/>
              </w:rPr>
            </w:pPr>
            <w:r>
              <w:rPr>
                <w:rFonts w:ascii="宋体" w:hAnsi="宋体" w:cs="宋体"/>
                <w:color w:val="000000"/>
                <w:kern w:val="0"/>
                <w:sz w:val="20"/>
                <w:szCs w:val="20"/>
                <w:lang w:bidi="ar"/>
              </w:rPr>
              <w:t>/wfp/WFPQHGB</w:t>
            </w:r>
          </w:p>
        </w:tc>
      </w:tr>
      <w:tr w14:paraId="3C6C0C19">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5B960A88">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261EEF3B">
            <w:pPr>
              <w:widowControl/>
              <w:spacing w:line="240" w:lineRule="auto"/>
              <w:jc w:val="left"/>
              <w:textAlignment w:val="center"/>
              <w:rPr>
                <w:color w:val="000000"/>
                <w:sz w:val="20"/>
                <w:szCs w:val="20"/>
              </w:rPr>
            </w:pPr>
            <w:r>
              <w:rPr>
                <w:rFonts w:ascii="宋体" w:hAnsi="宋体" w:cs="宋体"/>
                <w:color w:val="000000"/>
                <w:kern w:val="0"/>
                <w:sz w:val="20"/>
                <w:szCs w:val="20"/>
                <w:lang w:bidi="ar"/>
              </w:rPr>
              <w:t>重要天气研判</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0BCC6C86">
            <w:pPr>
              <w:widowControl/>
              <w:spacing w:line="240" w:lineRule="auto"/>
              <w:jc w:val="left"/>
              <w:textAlignment w:val="center"/>
              <w:rPr>
                <w:color w:val="000000"/>
                <w:sz w:val="20"/>
                <w:szCs w:val="20"/>
              </w:rPr>
            </w:pPr>
            <w:r>
              <w:rPr>
                <w:rFonts w:ascii="宋体" w:hAnsi="宋体" w:cs="宋体"/>
                <w:color w:val="000000"/>
                <w:kern w:val="0"/>
                <w:sz w:val="20"/>
                <w:szCs w:val="20"/>
                <w:lang w:bidi="ar"/>
              </w:rPr>
              <w:t>/wfp/WFPYPJL</w:t>
            </w:r>
          </w:p>
        </w:tc>
      </w:tr>
      <w:tr w14:paraId="01C8F879">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1818F67F">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10B530B2">
            <w:pPr>
              <w:widowControl/>
              <w:spacing w:line="240" w:lineRule="auto"/>
              <w:jc w:val="left"/>
              <w:textAlignment w:val="center"/>
              <w:rPr>
                <w:color w:val="000000"/>
                <w:sz w:val="20"/>
                <w:szCs w:val="20"/>
              </w:rPr>
            </w:pPr>
            <w:r>
              <w:rPr>
                <w:rFonts w:ascii="宋体" w:hAnsi="宋体" w:cs="宋体"/>
                <w:color w:val="000000"/>
                <w:kern w:val="0"/>
                <w:sz w:val="20"/>
                <w:szCs w:val="20"/>
                <w:lang w:bidi="ar"/>
              </w:rPr>
              <w:t>气象信息专报</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1219C5E1">
            <w:pPr>
              <w:widowControl/>
              <w:spacing w:line="240" w:lineRule="auto"/>
              <w:jc w:val="left"/>
              <w:textAlignment w:val="center"/>
              <w:rPr>
                <w:color w:val="000000"/>
                <w:sz w:val="20"/>
                <w:szCs w:val="20"/>
              </w:rPr>
            </w:pPr>
            <w:r>
              <w:rPr>
                <w:rFonts w:ascii="宋体" w:hAnsi="宋体" w:cs="宋体"/>
                <w:color w:val="000000"/>
                <w:kern w:val="0"/>
                <w:sz w:val="20"/>
                <w:szCs w:val="20"/>
                <w:lang w:bidi="ar"/>
              </w:rPr>
              <w:t>/wfp/WFPQXZB</w:t>
            </w:r>
          </w:p>
        </w:tc>
      </w:tr>
      <w:tr w14:paraId="754CC072">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15F0E21F">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551F8087">
            <w:pPr>
              <w:widowControl/>
              <w:spacing w:line="240" w:lineRule="auto"/>
              <w:jc w:val="left"/>
              <w:textAlignment w:val="center"/>
              <w:rPr>
                <w:color w:val="000000"/>
                <w:sz w:val="20"/>
                <w:szCs w:val="20"/>
              </w:rPr>
            </w:pPr>
            <w:r>
              <w:rPr>
                <w:rFonts w:ascii="宋体" w:hAnsi="宋体" w:cs="宋体"/>
                <w:color w:val="000000"/>
                <w:kern w:val="0"/>
                <w:sz w:val="20"/>
                <w:szCs w:val="20"/>
                <w:lang w:bidi="ar"/>
              </w:rPr>
              <w:t>遥感监测公报</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34928D8A">
            <w:pPr>
              <w:widowControl/>
              <w:spacing w:line="240" w:lineRule="auto"/>
              <w:jc w:val="left"/>
              <w:textAlignment w:val="center"/>
              <w:rPr>
                <w:color w:val="000000"/>
                <w:sz w:val="20"/>
                <w:szCs w:val="20"/>
              </w:rPr>
            </w:pPr>
            <w:r>
              <w:rPr>
                <w:rFonts w:ascii="宋体" w:hAnsi="宋体" w:cs="宋体"/>
                <w:color w:val="000000"/>
                <w:kern w:val="0"/>
                <w:sz w:val="20"/>
                <w:szCs w:val="20"/>
                <w:lang w:bidi="ar"/>
              </w:rPr>
              <w:t>/wfp/WFPSTYG</w:t>
            </w:r>
          </w:p>
        </w:tc>
      </w:tr>
      <w:tr w14:paraId="79228F70">
        <w:tblPrEx>
          <w:tblCellMar>
            <w:top w:w="15" w:type="dxa"/>
            <w:left w:w="15" w:type="dxa"/>
            <w:bottom w:w="15" w:type="dxa"/>
            <w:right w:w="15" w:type="dxa"/>
          </w:tblCellMar>
        </w:tblPrEx>
        <w:trPr>
          <w:trHeight w:val="525" w:hRule="atLeast"/>
        </w:trPr>
        <w:tc>
          <w:tcPr>
            <w:tcW w:w="1500" w:type="dxa"/>
            <w:tcBorders>
              <w:top w:val="single" w:color="000000" w:sz="4" w:space="0"/>
              <w:left w:val="single" w:color="000000" w:sz="4" w:space="0"/>
              <w:bottom w:val="single" w:color="000000" w:sz="4" w:space="0"/>
              <w:right w:val="single" w:color="000000" w:sz="4" w:space="0"/>
            </w:tcBorders>
            <w:noWrap/>
            <w:vAlign w:val="center"/>
          </w:tcPr>
          <w:p w14:paraId="1C7FC309">
            <w:pPr>
              <w:widowControl/>
              <w:spacing w:line="240" w:lineRule="auto"/>
              <w:jc w:val="center"/>
              <w:textAlignment w:val="center"/>
              <w:rPr>
                <w:color w:val="000000"/>
                <w:sz w:val="20"/>
                <w:szCs w:val="20"/>
              </w:rPr>
            </w:pPr>
            <w:r>
              <w:rPr>
                <w:rFonts w:ascii="宋体" w:hAnsi="宋体" w:cs="宋体"/>
                <w:color w:val="000000"/>
                <w:kern w:val="0"/>
                <w:sz w:val="20"/>
                <w:szCs w:val="20"/>
                <w:lang w:bidi="ar"/>
              </w:rPr>
              <w:t>站点资料</w:t>
            </w: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6C6A0037">
            <w:pPr>
              <w:widowControl/>
              <w:spacing w:line="240" w:lineRule="auto"/>
              <w:jc w:val="left"/>
              <w:textAlignment w:val="center"/>
              <w:rPr>
                <w:color w:val="000000"/>
                <w:sz w:val="20"/>
                <w:szCs w:val="20"/>
              </w:rPr>
            </w:pPr>
            <w:r>
              <w:rPr>
                <w:rFonts w:ascii="宋体" w:hAnsi="宋体" w:cs="宋体"/>
                <w:color w:val="000000"/>
                <w:kern w:val="0"/>
                <w:sz w:val="20"/>
                <w:szCs w:val="20"/>
                <w:lang w:bidi="ar"/>
              </w:rPr>
              <w:t>气象站点信息</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399736EA">
            <w:pPr>
              <w:widowControl/>
              <w:spacing w:line="240" w:lineRule="auto"/>
              <w:jc w:val="left"/>
              <w:textAlignment w:val="center"/>
              <w:rPr>
                <w:color w:val="000000"/>
                <w:sz w:val="20"/>
                <w:szCs w:val="20"/>
              </w:rPr>
            </w:pPr>
            <w:r>
              <w:rPr>
                <w:rFonts w:ascii="宋体" w:hAnsi="宋体" w:cs="宋体"/>
                <w:color w:val="000000"/>
                <w:kern w:val="0"/>
                <w:sz w:val="20"/>
                <w:szCs w:val="20"/>
                <w:lang w:bidi="ar"/>
              </w:rPr>
              <w:t>/station</w:t>
            </w:r>
          </w:p>
        </w:tc>
      </w:tr>
      <w:tr w14:paraId="6E0C331C">
        <w:tblPrEx>
          <w:tblCellMar>
            <w:top w:w="15" w:type="dxa"/>
            <w:left w:w="15" w:type="dxa"/>
            <w:bottom w:w="15" w:type="dxa"/>
            <w:right w:w="15" w:type="dxa"/>
          </w:tblCellMar>
        </w:tblPrEx>
        <w:trPr>
          <w:trHeight w:val="525" w:hRule="atLeast"/>
        </w:trPr>
        <w:tc>
          <w:tcPr>
            <w:tcW w:w="1500" w:type="dxa"/>
            <w:vMerge w:val="restart"/>
            <w:tcBorders>
              <w:top w:val="single" w:color="000000" w:sz="4" w:space="0"/>
              <w:left w:val="single" w:color="000000" w:sz="4" w:space="0"/>
              <w:bottom w:val="single" w:color="000000" w:sz="4" w:space="0"/>
              <w:right w:val="single" w:color="000000" w:sz="4" w:space="0"/>
            </w:tcBorders>
            <w:noWrap/>
            <w:vAlign w:val="center"/>
          </w:tcPr>
          <w:p w14:paraId="3DE5B320">
            <w:pPr>
              <w:widowControl/>
              <w:spacing w:line="240" w:lineRule="auto"/>
              <w:jc w:val="center"/>
              <w:textAlignment w:val="center"/>
              <w:rPr>
                <w:color w:val="000000"/>
                <w:sz w:val="20"/>
                <w:szCs w:val="20"/>
              </w:rPr>
            </w:pPr>
            <w:r>
              <w:rPr>
                <w:rFonts w:ascii="宋体" w:hAnsi="宋体" w:cs="宋体"/>
                <w:color w:val="000000"/>
                <w:kern w:val="0"/>
                <w:sz w:val="20"/>
                <w:szCs w:val="20"/>
                <w:lang w:bidi="ar"/>
              </w:rPr>
              <w:t>预警信息</w:t>
            </w: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30159AC8">
            <w:pPr>
              <w:widowControl/>
              <w:spacing w:line="240" w:lineRule="auto"/>
              <w:jc w:val="left"/>
              <w:textAlignment w:val="center"/>
              <w:rPr>
                <w:color w:val="000000"/>
                <w:sz w:val="20"/>
                <w:szCs w:val="20"/>
              </w:rPr>
            </w:pPr>
            <w:r>
              <w:rPr>
                <w:rFonts w:ascii="宋体" w:hAnsi="宋体" w:cs="宋体"/>
                <w:color w:val="000000"/>
                <w:kern w:val="0"/>
                <w:sz w:val="20"/>
                <w:szCs w:val="20"/>
                <w:lang w:bidi="ar"/>
              </w:rPr>
              <w:t>预警信号</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47DFC16C">
            <w:pPr>
              <w:widowControl/>
              <w:spacing w:line="240" w:lineRule="auto"/>
              <w:jc w:val="left"/>
              <w:textAlignment w:val="center"/>
              <w:rPr>
                <w:color w:val="000000"/>
                <w:sz w:val="20"/>
                <w:szCs w:val="20"/>
              </w:rPr>
            </w:pPr>
            <w:r>
              <w:rPr>
                <w:rFonts w:ascii="宋体" w:hAnsi="宋体" w:cs="宋体"/>
                <w:color w:val="000000"/>
                <w:kern w:val="0"/>
                <w:sz w:val="20"/>
                <w:szCs w:val="20"/>
                <w:lang w:bidi="ar"/>
              </w:rPr>
              <w:t>/ewp/earlysendinfo</w:t>
            </w:r>
          </w:p>
        </w:tc>
      </w:tr>
      <w:tr w14:paraId="70C36B90">
        <w:tblPrEx>
          <w:tblCellMar>
            <w:top w:w="15" w:type="dxa"/>
            <w:left w:w="15" w:type="dxa"/>
            <w:bottom w:w="15" w:type="dxa"/>
            <w:right w:w="15" w:type="dxa"/>
          </w:tblCellMar>
        </w:tblPrEx>
        <w:trPr>
          <w:trHeight w:val="360"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6511A212">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708371C4">
            <w:pPr>
              <w:widowControl/>
              <w:spacing w:line="240" w:lineRule="auto"/>
              <w:jc w:val="left"/>
              <w:textAlignment w:val="center"/>
              <w:rPr>
                <w:color w:val="000000"/>
                <w:sz w:val="20"/>
                <w:szCs w:val="20"/>
              </w:rPr>
            </w:pPr>
            <w:r>
              <w:rPr>
                <w:rFonts w:ascii="宋体" w:hAnsi="宋体" w:cs="宋体"/>
                <w:color w:val="000000"/>
                <w:kern w:val="0"/>
                <w:sz w:val="20"/>
                <w:szCs w:val="20"/>
                <w:lang w:bidi="ar"/>
              </w:rPr>
              <w:t>临灾警报</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7DB05540">
            <w:pPr>
              <w:widowControl/>
              <w:spacing w:line="240" w:lineRule="auto"/>
              <w:jc w:val="left"/>
              <w:textAlignment w:val="center"/>
              <w:rPr>
                <w:color w:val="000000"/>
                <w:sz w:val="20"/>
                <w:szCs w:val="20"/>
              </w:rPr>
            </w:pPr>
            <w:r>
              <w:rPr>
                <w:rFonts w:ascii="宋体" w:hAnsi="宋体" w:cs="宋体"/>
                <w:color w:val="000000"/>
                <w:kern w:val="0"/>
                <w:sz w:val="20"/>
                <w:szCs w:val="20"/>
                <w:lang w:bidi="ar"/>
              </w:rPr>
              <w:t>/ewp/skjb</w:t>
            </w:r>
          </w:p>
        </w:tc>
      </w:tr>
      <w:tr w14:paraId="7B625806">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14026222">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3A7B7EB4">
            <w:pPr>
              <w:widowControl/>
              <w:spacing w:line="240" w:lineRule="auto"/>
              <w:jc w:val="left"/>
              <w:textAlignment w:val="center"/>
              <w:rPr>
                <w:color w:val="000000"/>
                <w:sz w:val="20"/>
                <w:szCs w:val="20"/>
              </w:rPr>
            </w:pPr>
            <w:r>
              <w:rPr>
                <w:rFonts w:ascii="宋体" w:hAnsi="宋体" w:cs="宋体"/>
                <w:color w:val="000000"/>
                <w:kern w:val="0"/>
                <w:sz w:val="20"/>
                <w:szCs w:val="20"/>
                <w:lang w:bidi="ar"/>
              </w:rPr>
              <w:t>预警</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2EB89CC1">
            <w:pPr>
              <w:widowControl/>
              <w:spacing w:line="240" w:lineRule="auto"/>
              <w:jc w:val="left"/>
              <w:textAlignment w:val="center"/>
              <w:rPr>
                <w:color w:val="000000"/>
                <w:sz w:val="20"/>
                <w:szCs w:val="20"/>
              </w:rPr>
            </w:pPr>
            <w:r>
              <w:rPr>
                <w:rFonts w:ascii="宋体" w:hAnsi="宋体" w:cs="宋体"/>
                <w:color w:val="000000"/>
                <w:kern w:val="0"/>
                <w:sz w:val="20"/>
                <w:szCs w:val="20"/>
                <w:lang w:bidi="ar"/>
              </w:rPr>
              <w:t>/ewp/yj</w:t>
            </w:r>
          </w:p>
        </w:tc>
      </w:tr>
      <w:tr w14:paraId="1AA96D3B">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06D7DC10">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22220B49">
            <w:pPr>
              <w:widowControl/>
              <w:spacing w:line="240" w:lineRule="auto"/>
              <w:jc w:val="left"/>
              <w:textAlignment w:val="center"/>
              <w:rPr>
                <w:color w:val="000000"/>
                <w:sz w:val="20"/>
                <w:szCs w:val="20"/>
              </w:rPr>
            </w:pPr>
            <w:r>
              <w:rPr>
                <w:rFonts w:ascii="宋体" w:hAnsi="宋体" w:cs="宋体"/>
                <w:color w:val="000000"/>
                <w:kern w:val="0"/>
                <w:sz w:val="20"/>
                <w:szCs w:val="20"/>
                <w:lang w:bidi="ar"/>
              </w:rPr>
              <w:t>重要警示信息</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0F17AF36">
            <w:pPr>
              <w:widowControl/>
              <w:spacing w:line="240" w:lineRule="auto"/>
              <w:jc w:val="left"/>
              <w:textAlignment w:val="center"/>
              <w:rPr>
                <w:color w:val="000000"/>
                <w:sz w:val="20"/>
                <w:szCs w:val="20"/>
              </w:rPr>
            </w:pPr>
            <w:r>
              <w:rPr>
                <w:rFonts w:ascii="宋体" w:hAnsi="宋体" w:cs="宋体"/>
                <w:color w:val="000000"/>
                <w:kern w:val="0"/>
                <w:sz w:val="20"/>
                <w:szCs w:val="20"/>
                <w:lang w:bidi="ar"/>
              </w:rPr>
              <w:t>/ewp/zyjsxx</w:t>
            </w:r>
          </w:p>
        </w:tc>
      </w:tr>
      <w:tr w14:paraId="536298C6">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70D03644">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7EBEB3A1">
            <w:pPr>
              <w:widowControl/>
              <w:spacing w:line="240" w:lineRule="auto"/>
              <w:jc w:val="left"/>
              <w:textAlignment w:val="center"/>
              <w:rPr>
                <w:color w:val="000000"/>
                <w:sz w:val="20"/>
                <w:szCs w:val="20"/>
              </w:rPr>
            </w:pPr>
            <w:r>
              <w:rPr>
                <w:rFonts w:ascii="宋体" w:hAnsi="宋体" w:cs="宋体"/>
                <w:color w:val="000000"/>
                <w:kern w:val="0"/>
                <w:sz w:val="20"/>
                <w:szCs w:val="20"/>
                <w:lang w:bidi="ar"/>
              </w:rPr>
              <w:t>预警信号指导产品</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74FE1B1A">
            <w:pPr>
              <w:widowControl/>
              <w:spacing w:line="240" w:lineRule="auto"/>
              <w:jc w:val="left"/>
              <w:textAlignment w:val="center"/>
              <w:rPr>
                <w:color w:val="000000"/>
                <w:sz w:val="20"/>
                <w:szCs w:val="20"/>
              </w:rPr>
            </w:pPr>
            <w:r>
              <w:rPr>
                <w:rFonts w:ascii="宋体" w:hAnsi="宋体" w:cs="宋体"/>
                <w:color w:val="000000"/>
                <w:kern w:val="0"/>
                <w:sz w:val="20"/>
                <w:szCs w:val="20"/>
                <w:lang w:bidi="ar"/>
              </w:rPr>
              <w:t>/ewp/earlysendinfotemp</w:t>
            </w:r>
          </w:p>
        </w:tc>
      </w:tr>
      <w:tr w14:paraId="43EBEF3C">
        <w:tblPrEx>
          <w:tblCellMar>
            <w:top w:w="15" w:type="dxa"/>
            <w:left w:w="15" w:type="dxa"/>
            <w:bottom w:w="15" w:type="dxa"/>
            <w:right w:w="15" w:type="dxa"/>
          </w:tblCellMar>
        </w:tblPrEx>
        <w:trPr>
          <w:trHeight w:val="360"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088BC62A">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753DF1C0">
            <w:pPr>
              <w:widowControl/>
              <w:spacing w:line="240" w:lineRule="auto"/>
              <w:jc w:val="left"/>
              <w:textAlignment w:val="center"/>
              <w:rPr>
                <w:color w:val="000000"/>
                <w:sz w:val="20"/>
                <w:szCs w:val="20"/>
              </w:rPr>
            </w:pPr>
            <w:r>
              <w:rPr>
                <w:rFonts w:ascii="宋体" w:hAnsi="宋体" w:cs="宋体"/>
                <w:color w:val="000000"/>
                <w:kern w:val="0"/>
                <w:sz w:val="20"/>
                <w:szCs w:val="20"/>
                <w:lang w:bidi="ar"/>
              </w:rPr>
              <w:t>靶向霸屏</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6470514D">
            <w:pPr>
              <w:widowControl/>
              <w:spacing w:line="240" w:lineRule="auto"/>
              <w:jc w:val="left"/>
              <w:textAlignment w:val="center"/>
              <w:rPr>
                <w:color w:val="000000"/>
                <w:sz w:val="20"/>
                <w:szCs w:val="20"/>
              </w:rPr>
            </w:pPr>
            <w:r>
              <w:rPr>
                <w:rFonts w:ascii="宋体" w:hAnsi="宋体" w:cs="宋体"/>
                <w:color w:val="000000"/>
                <w:kern w:val="0"/>
                <w:sz w:val="20"/>
                <w:szCs w:val="20"/>
                <w:lang w:bidi="ar"/>
              </w:rPr>
              <w:t>/ewp/bxbp</w:t>
            </w:r>
          </w:p>
        </w:tc>
      </w:tr>
      <w:tr w14:paraId="79F30852">
        <w:tblPrEx>
          <w:tblCellMar>
            <w:top w:w="15" w:type="dxa"/>
            <w:left w:w="15" w:type="dxa"/>
            <w:bottom w:w="15" w:type="dxa"/>
            <w:right w:w="15" w:type="dxa"/>
          </w:tblCellMar>
        </w:tblPrEx>
        <w:trPr>
          <w:trHeight w:val="525" w:hRule="atLeast"/>
        </w:trPr>
        <w:tc>
          <w:tcPr>
            <w:tcW w:w="1500" w:type="dxa"/>
            <w:vMerge w:val="restart"/>
            <w:tcBorders>
              <w:top w:val="single" w:color="000000" w:sz="4" w:space="0"/>
              <w:left w:val="single" w:color="000000" w:sz="4" w:space="0"/>
              <w:bottom w:val="single" w:color="000000" w:sz="4" w:space="0"/>
              <w:right w:val="single" w:color="000000" w:sz="4" w:space="0"/>
            </w:tcBorders>
            <w:noWrap/>
            <w:vAlign w:val="center"/>
          </w:tcPr>
          <w:p w14:paraId="4D4598BA">
            <w:pPr>
              <w:widowControl/>
              <w:spacing w:line="240" w:lineRule="auto"/>
              <w:jc w:val="center"/>
              <w:textAlignment w:val="center"/>
              <w:rPr>
                <w:color w:val="000000"/>
                <w:sz w:val="20"/>
                <w:szCs w:val="20"/>
              </w:rPr>
            </w:pPr>
            <w:r>
              <w:rPr>
                <w:rFonts w:ascii="宋体" w:hAnsi="宋体" w:cs="宋体"/>
                <w:color w:val="000000"/>
                <w:kern w:val="0"/>
                <w:sz w:val="20"/>
                <w:szCs w:val="20"/>
                <w:lang w:bidi="ar"/>
              </w:rPr>
              <w:t>循环同化产品</w:t>
            </w: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0200FFCD">
            <w:pPr>
              <w:widowControl/>
              <w:spacing w:line="240" w:lineRule="auto"/>
              <w:jc w:val="left"/>
              <w:textAlignment w:val="center"/>
              <w:rPr>
                <w:color w:val="000000"/>
                <w:sz w:val="20"/>
                <w:szCs w:val="20"/>
              </w:rPr>
            </w:pPr>
            <w:r>
              <w:rPr>
                <w:rFonts w:ascii="宋体" w:hAnsi="宋体" w:cs="宋体"/>
                <w:color w:val="000000"/>
                <w:kern w:val="0"/>
                <w:sz w:val="20"/>
                <w:szCs w:val="20"/>
                <w:lang w:bidi="ar"/>
              </w:rPr>
              <w:t>0-2小时强对流快速更新短临预报产品-组合反射率(数值预报)+200m风场</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7B6201FC">
            <w:pPr>
              <w:widowControl/>
              <w:spacing w:line="240" w:lineRule="auto"/>
              <w:jc w:val="left"/>
              <w:textAlignment w:val="center"/>
              <w:rPr>
                <w:color w:val="000000"/>
                <w:sz w:val="20"/>
                <w:szCs w:val="20"/>
              </w:rPr>
            </w:pPr>
            <w:r>
              <w:rPr>
                <w:rFonts w:ascii="宋体" w:hAnsi="宋体" w:cs="宋体"/>
                <w:color w:val="000000"/>
                <w:kern w:val="0"/>
                <w:sz w:val="20"/>
                <w:szCs w:val="20"/>
                <w:lang w:bidi="ar"/>
              </w:rPr>
              <w:t>xhth/rmapsnow/mdbz</w:t>
            </w:r>
          </w:p>
        </w:tc>
      </w:tr>
      <w:tr w14:paraId="6BFA812A">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7B933895">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59EEA3A3">
            <w:pPr>
              <w:widowControl/>
              <w:spacing w:line="240" w:lineRule="auto"/>
              <w:jc w:val="left"/>
              <w:textAlignment w:val="center"/>
              <w:rPr>
                <w:color w:val="000000"/>
                <w:sz w:val="20"/>
                <w:szCs w:val="20"/>
              </w:rPr>
            </w:pPr>
            <w:r>
              <w:rPr>
                <w:rFonts w:ascii="宋体" w:hAnsi="宋体" w:cs="宋体"/>
                <w:color w:val="000000"/>
                <w:kern w:val="0"/>
                <w:sz w:val="20"/>
                <w:szCs w:val="20"/>
                <w:lang w:bidi="ar"/>
              </w:rPr>
              <w:t>0-2小时强对流快速更新短临预报产品-组合反射率(分析外推)+200m风场</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330899A1">
            <w:pPr>
              <w:widowControl/>
              <w:spacing w:line="240" w:lineRule="auto"/>
              <w:jc w:val="left"/>
              <w:textAlignment w:val="center"/>
              <w:rPr>
                <w:color w:val="000000"/>
                <w:sz w:val="20"/>
                <w:szCs w:val="20"/>
              </w:rPr>
            </w:pPr>
            <w:r>
              <w:rPr>
                <w:rFonts w:ascii="宋体" w:hAnsi="宋体" w:cs="宋体"/>
                <w:color w:val="000000"/>
                <w:kern w:val="0"/>
                <w:sz w:val="20"/>
                <w:szCs w:val="20"/>
                <w:lang w:bidi="ar"/>
              </w:rPr>
              <w:t>xhth/rmapsnow/mtracer</w:t>
            </w:r>
          </w:p>
        </w:tc>
      </w:tr>
      <w:tr w14:paraId="1595876E">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043A13A2">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430FEC91">
            <w:pPr>
              <w:widowControl/>
              <w:spacing w:line="240" w:lineRule="auto"/>
              <w:jc w:val="left"/>
              <w:textAlignment w:val="center"/>
              <w:rPr>
                <w:color w:val="000000"/>
                <w:sz w:val="20"/>
                <w:szCs w:val="20"/>
              </w:rPr>
            </w:pPr>
            <w:r>
              <w:rPr>
                <w:rFonts w:ascii="宋体" w:hAnsi="宋体" w:cs="宋体"/>
                <w:color w:val="000000"/>
                <w:kern w:val="0"/>
                <w:sz w:val="20"/>
                <w:szCs w:val="20"/>
                <w:lang w:bidi="ar"/>
              </w:rPr>
              <w:t>0-2小时强对流快速更新短临预报产品-累计降水+200m风场</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54F351CA">
            <w:pPr>
              <w:widowControl/>
              <w:spacing w:line="240" w:lineRule="auto"/>
              <w:jc w:val="left"/>
              <w:textAlignment w:val="center"/>
              <w:rPr>
                <w:color w:val="000000"/>
                <w:sz w:val="20"/>
                <w:szCs w:val="20"/>
              </w:rPr>
            </w:pPr>
            <w:r>
              <w:rPr>
                <w:rFonts w:ascii="宋体" w:hAnsi="宋体" w:cs="宋体"/>
                <w:color w:val="000000"/>
                <w:kern w:val="0"/>
                <w:sz w:val="20"/>
                <w:szCs w:val="20"/>
                <w:lang w:bidi="ar"/>
              </w:rPr>
              <w:t>xhth/rmapsnow/rainc</w:t>
            </w:r>
          </w:p>
        </w:tc>
      </w:tr>
      <w:tr w14:paraId="3E40E09E">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247940A8">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5AB241A0">
            <w:pPr>
              <w:widowControl/>
              <w:spacing w:line="240" w:lineRule="auto"/>
              <w:jc w:val="left"/>
              <w:textAlignment w:val="center"/>
              <w:rPr>
                <w:color w:val="000000"/>
                <w:sz w:val="20"/>
                <w:szCs w:val="20"/>
              </w:rPr>
            </w:pPr>
            <w:r>
              <w:rPr>
                <w:rFonts w:ascii="宋体" w:hAnsi="宋体" w:cs="宋体"/>
                <w:color w:val="000000"/>
                <w:kern w:val="0"/>
                <w:sz w:val="20"/>
                <w:szCs w:val="20"/>
                <w:lang w:bidi="ar"/>
              </w:rPr>
              <w:t>0-2小时强对流快速更新短临预报产品-2.2km垂直速度+200m风场</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038C73BE">
            <w:pPr>
              <w:widowControl/>
              <w:spacing w:line="240" w:lineRule="auto"/>
              <w:jc w:val="left"/>
              <w:textAlignment w:val="center"/>
              <w:rPr>
                <w:color w:val="000000"/>
                <w:sz w:val="20"/>
                <w:szCs w:val="20"/>
              </w:rPr>
            </w:pPr>
            <w:r>
              <w:rPr>
                <w:rFonts w:ascii="宋体" w:hAnsi="宋体" w:cs="宋体"/>
                <w:color w:val="000000"/>
                <w:kern w:val="0"/>
                <w:sz w:val="20"/>
                <w:szCs w:val="20"/>
                <w:lang w:bidi="ar"/>
              </w:rPr>
              <w:t>xhth/rmapsnow/w2</w:t>
            </w:r>
          </w:p>
        </w:tc>
      </w:tr>
      <w:tr w14:paraId="3EFF9936">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59F5E7C3">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49C8FFED">
            <w:pPr>
              <w:widowControl/>
              <w:spacing w:line="240" w:lineRule="auto"/>
              <w:jc w:val="left"/>
              <w:textAlignment w:val="center"/>
              <w:rPr>
                <w:color w:val="000000"/>
                <w:sz w:val="20"/>
                <w:szCs w:val="20"/>
              </w:rPr>
            </w:pPr>
            <w:r>
              <w:rPr>
                <w:rFonts w:ascii="宋体" w:hAnsi="宋体" w:cs="宋体"/>
                <w:color w:val="000000"/>
                <w:kern w:val="0"/>
                <w:sz w:val="20"/>
                <w:szCs w:val="20"/>
                <w:lang w:bidi="ar"/>
              </w:rPr>
              <w:t>0-2小时强对流快速更新短临预报产品-0-6.2km垂直速度累积+200m风场</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3F0F0A01">
            <w:pPr>
              <w:widowControl/>
              <w:spacing w:line="240" w:lineRule="auto"/>
              <w:jc w:val="left"/>
              <w:textAlignment w:val="center"/>
              <w:rPr>
                <w:color w:val="000000"/>
                <w:sz w:val="20"/>
                <w:szCs w:val="20"/>
              </w:rPr>
            </w:pPr>
            <w:r>
              <w:rPr>
                <w:rFonts w:ascii="宋体" w:hAnsi="宋体" w:cs="宋体"/>
                <w:color w:val="000000"/>
                <w:kern w:val="0"/>
                <w:sz w:val="20"/>
                <w:szCs w:val="20"/>
                <w:lang w:bidi="ar"/>
              </w:rPr>
              <w:t>xhth/rmapsnow/waccu</w:t>
            </w:r>
          </w:p>
        </w:tc>
      </w:tr>
      <w:tr w14:paraId="0E6892BF">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6EA58614">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5F15A8D2">
            <w:pPr>
              <w:widowControl/>
              <w:spacing w:line="240" w:lineRule="auto"/>
              <w:jc w:val="left"/>
              <w:textAlignment w:val="center"/>
              <w:rPr>
                <w:color w:val="000000"/>
                <w:sz w:val="20"/>
                <w:szCs w:val="20"/>
              </w:rPr>
            </w:pPr>
            <w:r>
              <w:rPr>
                <w:rFonts w:ascii="宋体" w:hAnsi="宋体" w:cs="宋体"/>
                <w:color w:val="000000"/>
                <w:kern w:val="0"/>
                <w:sz w:val="20"/>
                <w:szCs w:val="20"/>
                <w:lang w:bidi="ar"/>
              </w:rPr>
              <w:t>百米尺度多源融合分析产品-1小时降水实况</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5CFA6E5B">
            <w:pPr>
              <w:widowControl/>
              <w:spacing w:line="240" w:lineRule="auto"/>
              <w:jc w:val="left"/>
              <w:textAlignment w:val="center"/>
              <w:rPr>
                <w:color w:val="000000"/>
                <w:sz w:val="20"/>
                <w:szCs w:val="20"/>
              </w:rPr>
            </w:pPr>
            <w:r>
              <w:rPr>
                <w:rFonts w:ascii="宋体" w:hAnsi="宋体" w:cs="宋体"/>
                <w:color w:val="000000"/>
                <w:kern w:val="0"/>
                <w:sz w:val="20"/>
                <w:szCs w:val="20"/>
                <w:lang w:bidi="ar"/>
              </w:rPr>
              <w:t>xhth/rise/rrana</w:t>
            </w:r>
          </w:p>
        </w:tc>
      </w:tr>
      <w:tr w14:paraId="4A9A324B">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5CD25C43">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0D2A5CFF">
            <w:pPr>
              <w:widowControl/>
              <w:spacing w:line="240" w:lineRule="auto"/>
              <w:jc w:val="left"/>
              <w:textAlignment w:val="center"/>
              <w:rPr>
                <w:color w:val="000000"/>
                <w:sz w:val="20"/>
                <w:szCs w:val="20"/>
              </w:rPr>
            </w:pPr>
            <w:r>
              <w:rPr>
                <w:rFonts w:ascii="宋体" w:hAnsi="宋体" w:cs="宋体"/>
                <w:color w:val="000000"/>
                <w:kern w:val="0"/>
                <w:sz w:val="20"/>
                <w:szCs w:val="20"/>
                <w:lang w:bidi="ar"/>
              </w:rPr>
              <w:t>百米尺度多源融合分析产品-1小时降水3小时预报</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2D3E5045">
            <w:pPr>
              <w:widowControl/>
              <w:spacing w:line="240" w:lineRule="auto"/>
              <w:jc w:val="left"/>
              <w:textAlignment w:val="center"/>
              <w:rPr>
                <w:color w:val="000000"/>
                <w:sz w:val="20"/>
                <w:szCs w:val="20"/>
              </w:rPr>
            </w:pPr>
            <w:r>
              <w:rPr>
                <w:rFonts w:ascii="宋体" w:hAnsi="宋体" w:cs="宋体"/>
                <w:color w:val="000000"/>
                <w:kern w:val="0"/>
                <w:sz w:val="20"/>
                <w:szCs w:val="20"/>
                <w:lang w:bidi="ar"/>
              </w:rPr>
              <w:t>xhth/rise/rr</w:t>
            </w:r>
          </w:p>
        </w:tc>
      </w:tr>
      <w:tr w14:paraId="5CDC9726">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18884F2D">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4052225A">
            <w:pPr>
              <w:widowControl/>
              <w:spacing w:line="240" w:lineRule="auto"/>
              <w:jc w:val="left"/>
              <w:textAlignment w:val="center"/>
              <w:rPr>
                <w:color w:val="000000"/>
                <w:sz w:val="20"/>
                <w:szCs w:val="20"/>
              </w:rPr>
            </w:pPr>
            <w:r>
              <w:rPr>
                <w:rFonts w:ascii="宋体" w:hAnsi="宋体" w:cs="宋体"/>
                <w:color w:val="000000"/>
                <w:kern w:val="0"/>
                <w:sz w:val="20"/>
                <w:szCs w:val="20"/>
                <w:lang w:bidi="ar"/>
              </w:rPr>
              <w:t>百米尺度多源融合分析产品-10米阵风实况</w:t>
            </w:r>
          </w:p>
        </w:tc>
        <w:tc>
          <w:tcPr>
            <w:tcW w:w="2880" w:type="dxa"/>
            <w:tcBorders>
              <w:top w:val="single" w:color="000000" w:sz="4" w:space="0"/>
              <w:left w:val="single" w:color="000000" w:sz="4" w:space="0"/>
              <w:bottom w:val="single" w:color="000000" w:sz="4" w:space="0"/>
              <w:right w:val="single" w:color="000000" w:sz="4" w:space="0"/>
            </w:tcBorders>
            <w:vAlign w:val="center"/>
          </w:tcPr>
          <w:p w14:paraId="29FCA898">
            <w:pPr>
              <w:widowControl/>
              <w:spacing w:line="240" w:lineRule="auto"/>
              <w:jc w:val="left"/>
              <w:textAlignment w:val="center"/>
              <w:rPr>
                <w:color w:val="000000"/>
                <w:sz w:val="20"/>
                <w:szCs w:val="20"/>
              </w:rPr>
            </w:pPr>
            <w:r>
              <w:rPr>
                <w:rFonts w:ascii="宋体" w:hAnsi="宋体" w:cs="宋体"/>
                <w:color w:val="000000"/>
                <w:kern w:val="0"/>
                <w:sz w:val="20"/>
                <w:szCs w:val="20"/>
                <w:lang w:bidi="ar"/>
              </w:rPr>
              <w:t>xhth/rise/gustana</w:t>
            </w:r>
          </w:p>
        </w:tc>
      </w:tr>
      <w:tr w14:paraId="19B64BC2">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159F7508">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215980C9">
            <w:pPr>
              <w:widowControl/>
              <w:spacing w:line="240" w:lineRule="auto"/>
              <w:jc w:val="left"/>
              <w:textAlignment w:val="center"/>
              <w:rPr>
                <w:color w:val="000000"/>
                <w:sz w:val="20"/>
                <w:szCs w:val="20"/>
              </w:rPr>
            </w:pPr>
            <w:r>
              <w:rPr>
                <w:rFonts w:ascii="宋体" w:hAnsi="宋体" w:cs="宋体"/>
                <w:color w:val="000000"/>
                <w:kern w:val="0"/>
                <w:sz w:val="20"/>
                <w:szCs w:val="20"/>
                <w:lang w:bidi="ar"/>
              </w:rPr>
              <w:t>百米尺度多源融合分析产品-10米阵风3小时预报</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01AE6070">
            <w:pPr>
              <w:widowControl/>
              <w:spacing w:line="240" w:lineRule="auto"/>
              <w:jc w:val="left"/>
              <w:textAlignment w:val="center"/>
              <w:rPr>
                <w:color w:val="000000"/>
                <w:sz w:val="20"/>
                <w:szCs w:val="20"/>
              </w:rPr>
            </w:pPr>
            <w:r>
              <w:rPr>
                <w:rFonts w:ascii="宋体" w:hAnsi="宋体" w:cs="宋体"/>
                <w:color w:val="000000"/>
                <w:kern w:val="0"/>
                <w:sz w:val="20"/>
                <w:szCs w:val="20"/>
                <w:lang w:bidi="ar"/>
              </w:rPr>
              <w:t>xhth/rise/gust</w:t>
            </w:r>
          </w:p>
        </w:tc>
      </w:tr>
      <w:tr w14:paraId="1A633D14">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01850542">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67276CCC">
            <w:pPr>
              <w:widowControl/>
              <w:spacing w:line="240" w:lineRule="auto"/>
              <w:jc w:val="left"/>
              <w:textAlignment w:val="center"/>
              <w:rPr>
                <w:color w:val="000000"/>
                <w:sz w:val="20"/>
                <w:szCs w:val="20"/>
              </w:rPr>
            </w:pPr>
            <w:r>
              <w:rPr>
                <w:rFonts w:ascii="宋体" w:hAnsi="宋体" w:cs="宋体"/>
                <w:color w:val="000000"/>
                <w:kern w:val="0"/>
                <w:sz w:val="20"/>
                <w:szCs w:val="20"/>
                <w:lang w:bidi="ar"/>
              </w:rPr>
              <w:t>百米尺度多源融合分析产品-10米风场实况</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6E85B44F">
            <w:pPr>
              <w:widowControl/>
              <w:spacing w:line="240" w:lineRule="auto"/>
              <w:jc w:val="left"/>
              <w:textAlignment w:val="center"/>
              <w:rPr>
                <w:color w:val="000000"/>
                <w:sz w:val="20"/>
                <w:szCs w:val="20"/>
              </w:rPr>
            </w:pPr>
            <w:r>
              <w:rPr>
                <w:rFonts w:ascii="宋体" w:hAnsi="宋体" w:cs="宋体"/>
                <w:color w:val="000000"/>
                <w:kern w:val="0"/>
                <w:sz w:val="20"/>
                <w:szCs w:val="20"/>
                <w:lang w:bidi="ar"/>
              </w:rPr>
              <w:t>xhth/rise/uvana</w:t>
            </w:r>
          </w:p>
        </w:tc>
      </w:tr>
      <w:tr w14:paraId="50A87BBB">
        <w:tblPrEx>
          <w:tblCellMar>
            <w:top w:w="15" w:type="dxa"/>
            <w:left w:w="15" w:type="dxa"/>
            <w:bottom w:w="15" w:type="dxa"/>
            <w:right w:w="15" w:type="dxa"/>
          </w:tblCellMar>
        </w:tblPrEx>
        <w:trPr>
          <w:trHeight w:val="525" w:hRule="atLeast"/>
        </w:trPr>
        <w:tc>
          <w:tcPr>
            <w:tcW w:w="1500" w:type="dxa"/>
            <w:vMerge w:val="continue"/>
            <w:tcBorders>
              <w:top w:val="single" w:color="000000" w:sz="4" w:space="0"/>
              <w:left w:val="single" w:color="000000" w:sz="4" w:space="0"/>
              <w:bottom w:val="single" w:color="000000" w:sz="4" w:space="0"/>
              <w:right w:val="single" w:color="000000" w:sz="4" w:space="0"/>
            </w:tcBorders>
            <w:noWrap/>
            <w:vAlign w:val="center"/>
          </w:tcPr>
          <w:p w14:paraId="6C2ADDD6">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438D5613">
            <w:pPr>
              <w:widowControl/>
              <w:spacing w:line="240" w:lineRule="auto"/>
              <w:jc w:val="left"/>
              <w:textAlignment w:val="center"/>
              <w:rPr>
                <w:color w:val="000000"/>
                <w:sz w:val="20"/>
                <w:szCs w:val="20"/>
              </w:rPr>
            </w:pPr>
            <w:r>
              <w:rPr>
                <w:rFonts w:ascii="宋体" w:hAnsi="宋体" w:cs="宋体"/>
                <w:color w:val="000000"/>
                <w:kern w:val="0"/>
                <w:sz w:val="20"/>
                <w:szCs w:val="20"/>
                <w:lang w:bidi="ar"/>
              </w:rPr>
              <w:t>百米尺度多源融合分析产品-10米风场3小时预报</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202BF025">
            <w:pPr>
              <w:widowControl/>
              <w:spacing w:line="240" w:lineRule="auto"/>
              <w:jc w:val="left"/>
              <w:textAlignment w:val="center"/>
              <w:rPr>
                <w:color w:val="000000"/>
                <w:sz w:val="20"/>
                <w:szCs w:val="20"/>
              </w:rPr>
            </w:pPr>
            <w:r>
              <w:rPr>
                <w:rFonts w:ascii="宋体" w:hAnsi="宋体" w:cs="宋体"/>
                <w:color w:val="000000"/>
                <w:kern w:val="0"/>
                <w:sz w:val="20"/>
                <w:szCs w:val="20"/>
                <w:lang w:bidi="ar"/>
              </w:rPr>
              <w:t>xhth/rise/uv</w:t>
            </w:r>
          </w:p>
        </w:tc>
      </w:tr>
      <w:tr w14:paraId="06C745A8">
        <w:tblPrEx>
          <w:tblCellMar>
            <w:top w:w="15" w:type="dxa"/>
            <w:left w:w="15" w:type="dxa"/>
            <w:bottom w:w="15" w:type="dxa"/>
            <w:right w:w="15" w:type="dxa"/>
          </w:tblCellMar>
        </w:tblPrEx>
        <w:trPr>
          <w:trHeight w:val="525" w:hRule="atLeast"/>
        </w:trPr>
        <w:tc>
          <w:tcPr>
            <w:tcW w:w="1500" w:type="dxa"/>
            <w:tcBorders>
              <w:top w:val="single" w:color="000000" w:sz="4" w:space="0"/>
              <w:left w:val="single" w:color="000000" w:sz="4" w:space="0"/>
              <w:bottom w:val="single" w:color="000000" w:sz="4" w:space="0"/>
              <w:right w:val="single" w:color="000000" w:sz="4" w:space="0"/>
            </w:tcBorders>
            <w:noWrap/>
            <w:vAlign w:val="center"/>
          </w:tcPr>
          <w:p w14:paraId="6A9F88ED">
            <w:pPr>
              <w:widowControl/>
              <w:spacing w:line="240" w:lineRule="auto"/>
              <w:jc w:val="center"/>
              <w:textAlignment w:val="center"/>
              <w:rPr>
                <w:color w:val="000000"/>
                <w:sz w:val="20"/>
                <w:szCs w:val="20"/>
              </w:rPr>
            </w:pPr>
            <w:r>
              <w:rPr>
                <w:rFonts w:ascii="宋体" w:hAnsi="宋体" w:cs="宋体"/>
                <w:color w:val="000000"/>
                <w:kern w:val="0"/>
                <w:sz w:val="20"/>
                <w:szCs w:val="20"/>
                <w:lang w:bidi="ar"/>
              </w:rPr>
              <w:t>卫星资料</w:t>
            </w: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0554DDB1">
            <w:pPr>
              <w:widowControl/>
              <w:spacing w:line="240" w:lineRule="auto"/>
              <w:jc w:val="left"/>
              <w:textAlignment w:val="center"/>
              <w:rPr>
                <w:color w:val="000000"/>
                <w:sz w:val="20"/>
                <w:szCs w:val="20"/>
              </w:rPr>
            </w:pPr>
            <w:r>
              <w:rPr>
                <w:rFonts w:ascii="宋体" w:hAnsi="宋体" w:cs="宋体"/>
                <w:color w:val="000000"/>
                <w:kern w:val="0"/>
                <w:sz w:val="20"/>
                <w:szCs w:val="20"/>
                <w:lang w:bidi="ar"/>
              </w:rPr>
              <w:t>风云四B卫星云图</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23C990DD">
            <w:pPr>
              <w:widowControl/>
              <w:spacing w:line="240" w:lineRule="auto"/>
              <w:jc w:val="left"/>
              <w:textAlignment w:val="center"/>
              <w:rPr>
                <w:color w:val="000000"/>
                <w:sz w:val="20"/>
                <w:szCs w:val="20"/>
              </w:rPr>
            </w:pPr>
            <w:r>
              <w:rPr>
                <w:rFonts w:ascii="宋体" w:hAnsi="宋体" w:cs="宋体"/>
                <w:color w:val="000000"/>
                <w:kern w:val="0"/>
                <w:sz w:val="20"/>
                <w:szCs w:val="20"/>
                <w:lang w:bidi="ar"/>
              </w:rPr>
              <w:t>sate/fy4b/agri</w:t>
            </w:r>
          </w:p>
        </w:tc>
      </w:tr>
      <w:tr w14:paraId="104F4DA6">
        <w:tblPrEx>
          <w:tblCellMar>
            <w:top w:w="15" w:type="dxa"/>
            <w:left w:w="15" w:type="dxa"/>
            <w:bottom w:w="15" w:type="dxa"/>
            <w:right w:w="15" w:type="dxa"/>
          </w:tblCellMar>
        </w:tblPrEx>
        <w:trPr>
          <w:trHeight w:val="3330" w:hRule="atLeast"/>
        </w:trPr>
        <w:tc>
          <w:tcPr>
            <w:tcW w:w="1500" w:type="dxa"/>
            <w:vMerge w:val="restart"/>
            <w:tcBorders>
              <w:top w:val="single" w:color="000000" w:sz="4" w:space="0"/>
              <w:left w:val="single" w:color="000000" w:sz="4" w:space="0"/>
              <w:bottom w:val="single" w:color="000000" w:sz="4" w:space="0"/>
              <w:right w:val="single" w:color="000000" w:sz="4" w:space="0"/>
            </w:tcBorders>
            <w:noWrap/>
            <w:vAlign w:val="center"/>
          </w:tcPr>
          <w:p w14:paraId="25C7E991">
            <w:pPr>
              <w:widowControl/>
              <w:spacing w:line="240" w:lineRule="auto"/>
              <w:jc w:val="center"/>
              <w:textAlignment w:val="center"/>
              <w:rPr>
                <w:color w:val="000000"/>
                <w:sz w:val="20"/>
                <w:szCs w:val="20"/>
              </w:rPr>
            </w:pPr>
            <w:r>
              <w:rPr>
                <w:rFonts w:ascii="宋体" w:hAnsi="宋体" w:cs="宋体"/>
                <w:color w:val="000000"/>
                <w:kern w:val="0"/>
                <w:sz w:val="20"/>
                <w:szCs w:val="20"/>
                <w:lang w:bidi="ar"/>
              </w:rPr>
              <w:t>农气资料</w:t>
            </w: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0158279C">
            <w:pPr>
              <w:widowControl/>
              <w:spacing w:line="240" w:lineRule="auto"/>
              <w:jc w:val="left"/>
              <w:textAlignment w:val="center"/>
              <w:rPr>
                <w:color w:val="000000"/>
                <w:sz w:val="20"/>
                <w:szCs w:val="20"/>
              </w:rPr>
            </w:pPr>
            <w:r>
              <w:rPr>
                <w:rFonts w:ascii="宋体" w:hAnsi="宋体" w:cs="宋体"/>
                <w:color w:val="000000"/>
                <w:kern w:val="0"/>
                <w:sz w:val="20"/>
                <w:szCs w:val="20"/>
                <w:lang w:bidi="ar"/>
              </w:rPr>
              <w:t>农田小气候站监测数据</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2DF44D89">
            <w:pPr>
              <w:widowControl/>
              <w:spacing w:line="240" w:lineRule="auto"/>
              <w:jc w:val="left"/>
              <w:textAlignment w:val="center"/>
              <w:rPr>
                <w:color w:val="000000"/>
                <w:sz w:val="20"/>
                <w:szCs w:val="20"/>
              </w:rPr>
            </w:pPr>
            <w:r>
              <w:rPr>
                <w:rFonts w:ascii="宋体" w:hAnsi="宋体" w:cs="宋体"/>
                <w:color w:val="000000"/>
                <w:kern w:val="0"/>
                <w:sz w:val="20"/>
                <w:szCs w:val="20"/>
                <w:lang w:bidi="ar"/>
              </w:rPr>
              <w:t>agme/data</w:t>
            </w:r>
          </w:p>
        </w:tc>
      </w:tr>
      <w:tr w14:paraId="5FA12869">
        <w:tblPrEx>
          <w:tblCellMar>
            <w:top w:w="15" w:type="dxa"/>
            <w:left w:w="15" w:type="dxa"/>
            <w:bottom w:w="15" w:type="dxa"/>
            <w:right w:w="15" w:type="dxa"/>
          </w:tblCellMar>
        </w:tblPrEx>
        <w:trPr>
          <w:trHeight w:val="36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C000"/>
            <w:noWrap/>
            <w:vAlign w:val="center"/>
          </w:tcPr>
          <w:p w14:paraId="4D62A638">
            <w:pPr>
              <w:jc w:val="center"/>
              <w:rPr>
                <w:rFonts w:ascii="宋体"/>
                <w:color w:val="000000"/>
                <w:sz w:val="20"/>
                <w:szCs w:val="20"/>
              </w:rPr>
            </w:pPr>
          </w:p>
        </w:tc>
        <w:tc>
          <w:tcPr>
            <w:tcW w:w="6135" w:type="dxa"/>
            <w:tcBorders>
              <w:top w:val="single" w:color="000000" w:sz="4" w:space="0"/>
              <w:left w:val="single" w:color="000000" w:sz="4" w:space="0"/>
              <w:bottom w:val="single" w:color="000000" w:sz="4" w:space="0"/>
              <w:right w:val="single" w:color="000000" w:sz="4" w:space="0"/>
            </w:tcBorders>
            <w:noWrap/>
            <w:vAlign w:val="center"/>
          </w:tcPr>
          <w:p w14:paraId="5C8F8A6C">
            <w:pPr>
              <w:widowControl/>
              <w:spacing w:line="240" w:lineRule="auto"/>
              <w:jc w:val="left"/>
              <w:textAlignment w:val="center"/>
              <w:rPr>
                <w:color w:val="000000"/>
                <w:sz w:val="20"/>
                <w:szCs w:val="20"/>
              </w:rPr>
            </w:pPr>
            <w:r>
              <w:rPr>
                <w:rFonts w:ascii="宋体" w:hAnsi="宋体" w:cs="宋体"/>
                <w:color w:val="000000"/>
                <w:kern w:val="0"/>
                <w:sz w:val="20"/>
                <w:szCs w:val="20"/>
                <w:lang w:bidi="ar"/>
              </w:rPr>
              <w:t>农田小气候站监测图片</w:t>
            </w:r>
          </w:p>
        </w:tc>
        <w:tc>
          <w:tcPr>
            <w:tcW w:w="2880" w:type="dxa"/>
            <w:tcBorders>
              <w:top w:val="single" w:color="000000" w:sz="4" w:space="0"/>
              <w:left w:val="single" w:color="000000" w:sz="4" w:space="0"/>
              <w:bottom w:val="single" w:color="000000" w:sz="4" w:space="0"/>
              <w:right w:val="single" w:color="000000" w:sz="4" w:space="0"/>
            </w:tcBorders>
            <w:noWrap/>
            <w:vAlign w:val="center"/>
          </w:tcPr>
          <w:p w14:paraId="09BE2BC0">
            <w:pPr>
              <w:widowControl/>
              <w:spacing w:line="240" w:lineRule="auto"/>
              <w:jc w:val="left"/>
              <w:textAlignment w:val="center"/>
              <w:rPr>
                <w:color w:val="000000"/>
                <w:sz w:val="20"/>
                <w:szCs w:val="20"/>
              </w:rPr>
            </w:pPr>
            <w:r>
              <w:rPr>
                <w:rFonts w:ascii="宋体" w:hAnsi="宋体" w:cs="宋体"/>
                <w:color w:val="000000"/>
                <w:kern w:val="0"/>
                <w:sz w:val="20"/>
                <w:szCs w:val="20"/>
                <w:lang w:bidi="ar"/>
              </w:rPr>
              <w:t>agme/sjgc</w:t>
            </w:r>
          </w:p>
        </w:tc>
      </w:tr>
      <w:bookmarkEnd w:id="132"/>
    </w:tbl>
    <w:p w14:paraId="44981ECF">
      <w:pPr>
        <w:pStyle w:val="56"/>
        <w:ind w:firstLine="420"/>
      </w:pPr>
    </w:p>
    <w:bookmarkEnd w:id="122"/>
    <w:p w14:paraId="1AE2BCCC">
      <w:pPr>
        <w:pStyle w:val="56"/>
        <w:ind w:firstLine="420"/>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5C18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8404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7BFB">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121D7">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84B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9C0D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B7FC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71CC6">
    <w:pPr>
      <w:pStyle w:val="61"/>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2B9B2">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2127" w:firstLine="0"/>
      </w:pPr>
      <w:rPr>
        <w:rFonts w:hint="eastAsia" w:ascii="黑体" w:eastAsia="黑体"/>
        <w:b w:val="0"/>
        <w:i w:val="0"/>
        <w:sz w:val="21"/>
      </w:rPr>
    </w:lvl>
    <w:lvl w:ilvl="5" w:tentative="0">
      <w:start w:val="1"/>
      <w:numFmt w:val="decimal"/>
      <w:pStyle w:val="98"/>
      <w:suff w:val="nothing"/>
      <w:lvlText w:val="%1%2.%3.%4.%5.%6　"/>
      <w:lvlJc w:val="left"/>
      <w:pPr>
        <w:ind w:left="1701"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attachedTemplate r:id="rId1"/>
  <w:documentProtection w:edit="forms" w:enforcement="1" w:cryptProviderType="rsaAES" w:cryptAlgorithmClass="hash" w:cryptAlgorithmType="typeAny" w:cryptAlgorithmSid="14" w:cryptSpinCount="100000" w:hash="Du8vR/CIKdnrJ9H1V+DqyYBmuoOwmu4ZyW8BuczBiSIHpPNl89jP72UCPnyGAsQtFEtJCLyEL6jlHww0DpwkCQ==" w:salt="C7g/P0KGGe1EN9R9pd5P6Q=="/>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D5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4022"/>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7AF5"/>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184"/>
    <w:rsid w:val="00400E72"/>
    <w:rsid w:val="00401400"/>
    <w:rsid w:val="00404869"/>
    <w:rsid w:val="00405884"/>
    <w:rsid w:val="00407D39"/>
    <w:rsid w:val="0041477A"/>
    <w:rsid w:val="004167A3"/>
    <w:rsid w:val="00423D1B"/>
    <w:rsid w:val="00432DAA"/>
    <w:rsid w:val="00434305"/>
    <w:rsid w:val="00434784"/>
    <w:rsid w:val="00435DF7"/>
    <w:rsid w:val="0044083F"/>
    <w:rsid w:val="00441AE7"/>
    <w:rsid w:val="00445030"/>
    <w:rsid w:val="00445574"/>
    <w:rsid w:val="004467FB"/>
    <w:rsid w:val="00452D6B"/>
    <w:rsid w:val="00454484"/>
    <w:rsid w:val="0045517B"/>
    <w:rsid w:val="00462C63"/>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4F71E6"/>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59"/>
    <w:rsid w:val="00541853"/>
    <w:rsid w:val="00543BDA"/>
    <w:rsid w:val="005441CC"/>
    <w:rsid w:val="005479DA"/>
    <w:rsid w:val="00547BCC"/>
    <w:rsid w:val="0055013B"/>
    <w:rsid w:val="00551F6F"/>
    <w:rsid w:val="00555044"/>
    <w:rsid w:val="00561475"/>
    <w:rsid w:val="0056487B"/>
    <w:rsid w:val="00564FB9"/>
    <w:rsid w:val="0057005A"/>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07D58"/>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DB6"/>
    <w:rsid w:val="00707669"/>
    <w:rsid w:val="00711CBA"/>
    <w:rsid w:val="00711FB5"/>
    <w:rsid w:val="00712A01"/>
    <w:rsid w:val="007130FB"/>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753"/>
    <w:rsid w:val="007959E8"/>
    <w:rsid w:val="00795E9C"/>
    <w:rsid w:val="007A0521"/>
    <w:rsid w:val="007A1AF1"/>
    <w:rsid w:val="007A2E12"/>
    <w:rsid w:val="007A3475"/>
    <w:rsid w:val="007A41C8"/>
    <w:rsid w:val="007A49D7"/>
    <w:rsid w:val="007A54CE"/>
    <w:rsid w:val="007A6FD9"/>
    <w:rsid w:val="007A7FFA"/>
    <w:rsid w:val="007B04EB"/>
    <w:rsid w:val="007B0D4F"/>
    <w:rsid w:val="007B5A3D"/>
    <w:rsid w:val="007B5B95"/>
    <w:rsid w:val="007B68EA"/>
    <w:rsid w:val="007B7453"/>
    <w:rsid w:val="007C1E8B"/>
    <w:rsid w:val="007C2D89"/>
    <w:rsid w:val="007C4593"/>
    <w:rsid w:val="007C5309"/>
    <w:rsid w:val="007C5767"/>
    <w:rsid w:val="007C6069"/>
    <w:rsid w:val="007D06C4"/>
    <w:rsid w:val="007D0EDE"/>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5638D"/>
    <w:rsid w:val="008603CE"/>
    <w:rsid w:val="008620FC"/>
    <w:rsid w:val="008627A5"/>
    <w:rsid w:val="00863E05"/>
    <w:rsid w:val="00865ACA"/>
    <w:rsid w:val="00865D28"/>
    <w:rsid w:val="00865F85"/>
    <w:rsid w:val="00867C10"/>
    <w:rsid w:val="00870439"/>
    <w:rsid w:val="00870DA1"/>
    <w:rsid w:val="0088278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D20"/>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31A"/>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36A2"/>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7B1"/>
    <w:rsid w:val="00C04904"/>
    <w:rsid w:val="00C056B3"/>
    <w:rsid w:val="00C103E5"/>
    <w:rsid w:val="00C13319"/>
    <w:rsid w:val="00C13EE9"/>
    <w:rsid w:val="00C21540"/>
    <w:rsid w:val="00C21906"/>
    <w:rsid w:val="00C21BFA"/>
    <w:rsid w:val="00C22148"/>
    <w:rsid w:val="00C24C8D"/>
    <w:rsid w:val="00C25FE2"/>
    <w:rsid w:val="00C269E6"/>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C67"/>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28C3"/>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1F252E"/>
    <w:rsid w:val="18352658"/>
    <w:rsid w:val="48187DA0"/>
    <w:rsid w:val="714B5A45"/>
    <w:rsid w:val="760E7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ind w:left="2694"/>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ind w:left="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qFormat/>
    <w:uiPriority w:val="99"/>
    <w:pPr>
      <w:autoSpaceDE w:val="0"/>
      <w:autoSpaceDN w:val="0"/>
      <w:ind w:firstLine="200" w:firstLineChars="200"/>
      <w:jc w:val="both"/>
    </w:pPr>
    <w:rPr>
      <w:rFonts w:ascii="宋体" w:hAnsi="Times New Roman" w:eastAsia="宋体" w:cs="Times New Roman"/>
      <w:lang w:val="en-US" w:eastAsia="zh-CN" w:bidi="ar-SA"/>
    </w:rPr>
  </w:style>
  <w:style w:type="paragraph" w:customStyle="1" w:styleId="231">
    <w:name w:val="Normal_6"/>
    <w:qFormat/>
    <w:uiPriority w:val="0"/>
    <w:pPr>
      <w:spacing w:before="120" w:after="240"/>
      <w:jc w:val="both"/>
    </w:pPr>
    <w:rPr>
      <w:rFonts w:ascii="Calibri" w:hAnsi="Calibri" w:eastAsia="Calibri" w:cs="Times New Roman"/>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emf"/><Relationship Id="rId16" Type="http://schemas.openxmlformats.org/officeDocument/2006/relationships/oleObject" Target="embeddings/oleObject1.bin"/><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3E3E19B80A64E45A47223985D43251B"/>
        <w:style w:val=""/>
        <w:category>
          <w:name w:val="常规"/>
          <w:gallery w:val="placeholder"/>
        </w:category>
        <w:types>
          <w:type w:val="bbPlcHdr"/>
        </w:types>
        <w:behaviors>
          <w:behavior w:val="content"/>
        </w:behaviors>
        <w:description w:val=""/>
        <w:guid w:val="{3D92531A-3547-455C-BE43-F70D5AF9DDBC}"/>
      </w:docPartPr>
      <w:docPartBody>
        <w:p w14:paraId="368D2541">
          <w:pPr>
            <w:pStyle w:val="5"/>
            <w:rPr>
              <w:rFonts w:hint="eastAsia"/>
            </w:rPr>
          </w:pPr>
          <w:r>
            <w:rPr>
              <w:rStyle w:val="4"/>
              <w:rFonts w:hint="eastAsia"/>
            </w:rPr>
            <w:t>单击或点击此处输入文字。</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FA1"/>
    <w:rsid w:val="00462C63"/>
    <w:rsid w:val="0057005A"/>
    <w:rsid w:val="00682A48"/>
    <w:rsid w:val="007130FB"/>
    <w:rsid w:val="00892FA1"/>
    <w:rsid w:val="00991C98"/>
    <w:rsid w:val="00E0304B"/>
    <w:rsid w:val="00E51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13E3E19B80A64E45A47223985D43251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18</Pages>
  <Words>8906</Words>
  <Characters>9865</Characters>
  <Lines>390</Lines>
  <Paragraphs>389</Paragraphs>
  <TotalTime>18</TotalTime>
  <ScaleCrop>false</ScaleCrop>
  <LinksUpToDate>false</LinksUpToDate>
  <CharactersWithSpaces>10053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2025-08-18T08:08:00Z</dcterms:created>
  <dc:creator>黄女士</dc:creator>
  <dc:description>&lt;config cover="true" show_menu="true" version="1.0.0" doctype="SDKXY"&gt;_x000d_
&lt;/config&gt;</dc:description>
  <cp:lastModifiedBy>邓容涛</cp:lastModifiedBy>
  <cp:lastPrinted>2020-08-30T10:00:00Z</cp:lastPrinted>
  <dcterms:modified xsi:type="dcterms:W3CDTF">2025-08-21T08:39:18Z</dcterms:modified>
  <dc:title>地方标准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eyJoZGlkIjoiZmViMzQ3NzkxODVmYTNiOGU3NDc1NTk4NWVlYzA5YjgiLCJ1c2VySWQiOiIxNjY3NDg4NzgxIn0=</vt:lpwstr>
  </property>
  <property fmtid="{D5CDD505-2E9C-101B-9397-08002B2CF9AE}" pid="15" name="KSOProductBuildVer">
    <vt:lpwstr>2052-12.1.0.21915</vt:lpwstr>
  </property>
  <property fmtid="{D5CDD505-2E9C-101B-9397-08002B2CF9AE}" pid="16" name="ICV">
    <vt:lpwstr>265414284A31472A8769DF6AF57714C4_13</vt:lpwstr>
  </property>
</Properties>
</file>