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F6B8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0FCDA13">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F46EFD6">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03.080</w:t>
            </w:r>
            <w:r>
              <w:rPr>
                <w:rFonts w:ascii="黑体" w:hAnsi="黑体" w:eastAsia="黑体"/>
                <w:sz w:val="21"/>
                <w:szCs w:val="21"/>
              </w:rPr>
              <w:t>.01</w:t>
            </w:r>
            <w:r>
              <w:rPr>
                <w:rFonts w:ascii="黑体" w:hAnsi="黑体" w:eastAsia="黑体"/>
                <w:sz w:val="21"/>
                <w:szCs w:val="21"/>
              </w:rPr>
              <w:fldChar w:fldCharType="end"/>
            </w:r>
            <w:bookmarkEnd w:id="0"/>
          </w:p>
        </w:tc>
      </w:tr>
      <w:tr w14:paraId="3AFA0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BD5A3DF">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5DFC8152">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t>A</w:t>
            </w:r>
            <w:r>
              <w:rPr>
                <w:rFonts w:hint="eastAsia" w:ascii="黑体" w:hAnsi="黑体" w:eastAsia="黑体"/>
                <w:sz w:val="21"/>
                <w:szCs w:val="21"/>
              </w:rPr>
              <w:t xml:space="preserve"> </w:t>
            </w:r>
            <w:r>
              <w:rPr>
                <w:rFonts w:ascii="黑体" w:hAnsi="黑体" w:eastAsia="黑体"/>
                <w:sz w:val="21"/>
                <w:szCs w:val="21"/>
              </w:rPr>
              <w:t>20</w:t>
            </w:r>
          </w:p>
        </w:tc>
      </w:tr>
    </w:tbl>
    <w:tbl>
      <w:tblPr>
        <w:tblStyle w:val="30"/>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A4ED5A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43BEF0F">
            <w:pPr>
              <w:pStyle w:val="53"/>
              <w:framePr w:w="0" w:hRule="auto" w:wrap="auto" w:vAnchor="margin" w:hAnchor="text" w:xAlign="left" w:yAlign="inline"/>
              <w:rPr>
                <w:rFonts w:ascii="宋体" w:hAnsi="宋体"/>
                <w:sz w:val="28"/>
                <w:szCs w:val="28"/>
              </w:rPr>
            </w:pPr>
            <w:bookmarkStart w:id="1"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2" w:name="c1"/>
            <w:r>
              <w:instrText xml:space="preserve"> FORMTEXT </w:instrText>
            </w:r>
            <w:r>
              <w:fldChar w:fldCharType="separate"/>
            </w:r>
            <w:r>
              <w:rPr>
                <w:rFonts w:hint="eastAsia"/>
              </w:rPr>
              <w:t>34</w:t>
            </w:r>
            <w:r>
              <w:fldChar w:fldCharType="end"/>
            </w:r>
            <w:bookmarkEnd w:id="2"/>
          </w:p>
        </w:tc>
      </w:tr>
    </w:tbl>
    <w:p w14:paraId="2D678B9D">
      <w:pPr>
        <w:pStyle w:val="54"/>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3"/>
      <w:r>
        <w:rPr>
          <w:rFonts w:hint="eastAsia" w:ascii="黑体" w:hAnsi="黑体" w:eastAsia="黑体"/>
          <w:b w:val="0"/>
          <w:bCs w:val="0"/>
          <w:w w:val="100"/>
          <w:sz w:val="48"/>
          <w:szCs w:val="48"/>
        </w:rPr>
        <w:t>地方标准</w:t>
      </w:r>
    </w:p>
    <w:bookmarkEnd w:id="1"/>
    <w:p w14:paraId="7863C9FE">
      <w:pPr>
        <w:pStyle w:val="199"/>
        <w:framePr/>
        <w:rPr>
          <w:lang w:val="fr-FR"/>
        </w:rPr>
      </w:pPr>
      <w:r>
        <w:rPr>
          <w:lang w:val="fr-FR"/>
        </w:rPr>
        <w:t>DB</w:t>
      </w:r>
      <w:r>
        <w:fldChar w:fldCharType="begin">
          <w:ffData>
            <w:name w:val="文字1"/>
            <w:enabled/>
            <w:calcOnExit w:val="0"/>
            <w:textInput>
              <w:default w:val="XX/T"/>
            </w:textInput>
          </w:ffData>
        </w:fldChar>
      </w:r>
      <w:bookmarkStart w:id="4" w:name="文字1"/>
      <w:r>
        <w:rPr>
          <w:lang w:val="fr-FR"/>
        </w:rPr>
        <w:instrText xml:space="preserve"> FORMTEXT </w:instrText>
      </w:r>
      <w:r>
        <w:fldChar w:fldCharType="separate"/>
      </w:r>
      <w:r>
        <w:rPr>
          <w:rFonts w:hint="eastAsia"/>
        </w:rPr>
        <w:t>34</w:t>
      </w:r>
      <w:r>
        <w:rPr>
          <w:lang w:val="fr-FR"/>
        </w:rPr>
        <w:t>/T</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rFonts w:hint="eastAsia"/>
        </w:rPr>
        <w:t>2025</w:t>
      </w:r>
      <w:r>
        <w:fldChar w:fldCharType="end"/>
      </w:r>
      <w:bookmarkEnd w:id="6"/>
    </w:p>
    <w:p w14:paraId="27490BD0">
      <w:pPr>
        <w:pStyle w:val="200"/>
        <w:framePr/>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3856EBD3">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9A1DF81">
      <w:pPr>
        <w:pStyle w:val="54"/>
        <w:framePr w:w="9639" w:h="6976" w:hRule="exact" w:hSpace="0" w:vSpace="0" w:wrap="around" w:hAnchor="page" w:y="6408"/>
        <w:jc w:val="center"/>
        <w:rPr>
          <w:rFonts w:ascii="黑体" w:hAnsi="黑体" w:eastAsia="黑体"/>
          <w:b w:val="0"/>
          <w:bCs w:val="0"/>
          <w:w w:val="100"/>
        </w:rPr>
      </w:pPr>
    </w:p>
    <w:p w14:paraId="5208609B">
      <w:pPr>
        <w:pStyle w:val="201"/>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市场监管服务型执法工作规范</w:t>
      </w:r>
      <w:r>
        <w:fldChar w:fldCharType="end"/>
      </w:r>
      <w:bookmarkEnd w:id="8"/>
    </w:p>
    <w:p w14:paraId="266F072E">
      <w:pPr>
        <w:framePr w:w="9639" w:h="6974" w:hRule="exact" w:wrap="around" w:vAnchor="page" w:hAnchor="page" w:x="1419" w:y="6408" w:anchorLock="1"/>
        <w:ind w:left="-1418"/>
      </w:pPr>
    </w:p>
    <w:p w14:paraId="0C7346A2">
      <w:pPr>
        <w:pStyle w:val="12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eastAsia="黑体"/>
          <w:szCs w:val="28"/>
        </w:rPr>
        <w:t xml:space="preserve">Work </w:t>
      </w:r>
      <w:r>
        <w:rPr>
          <w:rFonts w:hint="eastAsia" w:eastAsia="黑体"/>
          <w:szCs w:val="28"/>
        </w:rPr>
        <w:t>s</w:t>
      </w:r>
      <w:r>
        <w:rPr>
          <w:rFonts w:eastAsia="黑体"/>
          <w:szCs w:val="28"/>
        </w:rPr>
        <w:t xml:space="preserve">pecifications for </w:t>
      </w:r>
      <w:r>
        <w:rPr>
          <w:rFonts w:hint="eastAsia" w:eastAsia="黑体"/>
          <w:szCs w:val="28"/>
        </w:rPr>
        <w:t>s</w:t>
      </w:r>
      <w:r>
        <w:rPr>
          <w:rFonts w:eastAsia="黑体"/>
          <w:szCs w:val="28"/>
        </w:rPr>
        <w:t>ervice</w:t>
      </w:r>
      <w:r>
        <w:rPr>
          <w:rFonts w:hint="eastAsia" w:eastAsia="黑体"/>
          <w:szCs w:val="28"/>
        </w:rPr>
        <w:t>-</w:t>
      </w:r>
      <w:r>
        <w:rPr>
          <w:rFonts w:eastAsia="黑体"/>
          <w:szCs w:val="28"/>
        </w:rPr>
        <w:t xml:space="preserve">oriented </w:t>
      </w:r>
      <w:r>
        <w:rPr>
          <w:rFonts w:hint="eastAsia" w:eastAsia="黑体"/>
          <w:szCs w:val="28"/>
        </w:rPr>
        <w:t>l</w:t>
      </w:r>
      <w:r>
        <w:rPr>
          <w:rFonts w:eastAsia="黑体"/>
          <w:szCs w:val="28"/>
        </w:rPr>
        <w:t xml:space="preserve">aw </w:t>
      </w:r>
      <w:r>
        <w:rPr>
          <w:rFonts w:hint="eastAsia" w:eastAsia="黑体"/>
          <w:szCs w:val="28"/>
        </w:rPr>
        <w:t>e</w:t>
      </w:r>
      <w:r>
        <w:rPr>
          <w:rFonts w:eastAsia="黑体"/>
          <w:szCs w:val="28"/>
        </w:rPr>
        <w:t xml:space="preserve">nforcement in </w:t>
      </w:r>
      <w:r>
        <w:rPr>
          <w:rFonts w:hint="eastAsia" w:eastAsia="黑体"/>
          <w:szCs w:val="28"/>
        </w:rPr>
        <w:t>m</w:t>
      </w:r>
      <w:r>
        <w:rPr>
          <w:rFonts w:eastAsia="黑体"/>
          <w:szCs w:val="28"/>
        </w:rPr>
        <w:t xml:space="preserve">arket </w:t>
      </w:r>
      <w:r>
        <w:rPr>
          <w:rFonts w:hint="eastAsia" w:eastAsia="黑体"/>
          <w:szCs w:val="28"/>
        </w:rPr>
        <w:t>r</w:t>
      </w:r>
      <w:r>
        <w:rPr>
          <w:rFonts w:eastAsia="黑体"/>
          <w:szCs w:val="28"/>
        </w:rPr>
        <w:t>egulation</w:t>
      </w:r>
      <w:r>
        <w:rPr>
          <w:rFonts w:eastAsia="黑体"/>
          <w:szCs w:val="28"/>
        </w:rPr>
        <w:fldChar w:fldCharType="end"/>
      </w:r>
      <w:bookmarkEnd w:id="9"/>
    </w:p>
    <w:p w14:paraId="3D695CF0">
      <w:pPr>
        <w:framePr w:w="9639" w:h="6974" w:hRule="exact" w:wrap="around" w:vAnchor="page" w:hAnchor="page" w:x="1419" w:y="6408" w:anchorLock="1"/>
        <w:spacing w:line="760" w:lineRule="exact"/>
        <w:ind w:left="-1418"/>
      </w:pPr>
    </w:p>
    <w:p w14:paraId="0E1F43D9">
      <w:pPr>
        <w:pStyle w:val="129"/>
        <w:framePr w:w="9639" w:h="6974" w:hRule="exact" w:wrap="around" w:vAnchor="page" w:hAnchor="page" w:x="1419" w:y="6408" w:anchorLock="1"/>
        <w:textAlignment w:val="bottom"/>
        <w:rPr>
          <w:rFonts w:eastAsia="黑体"/>
          <w:szCs w:val="28"/>
        </w:rPr>
      </w:pPr>
    </w:p>
    <w:p w14:paraId="607A9B72">
      <w:pPr>
        <w:pStyle w:val="12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5AAA466B">
      <w:pPr>
        <w:pStyle w:val="12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515C6730">
      <w:pPr>
        <w:pStyle w:val="129"/>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60EF80FD">
      <w:pPr>
        <w:pStyle w:val="197"/>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hint="eastAsia" w:ascii="黑体"/>
        </w:rPr>
        <w:t>2025</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5F3460F8">
      <w:pPr>
        <w:pStyle w:val="198"/>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hint="eastAsia" w:ascii="黑体"/>
        </w:rPr>
        <w:t>2025</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7778FBFB">
      <w:pPr>
        <w:pStyle w:val="155"/>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w:t>
      </w:r>
      <w:r>
        <w:rPr>
          <w:rFonts w:hAnsi="黑体"/>
          <w:w w:val="100"/>
          <w:sz w:val="28"/>
        </w:rPr>
        <w:t>市场监督管理局</w:t>
      </w:r>
      <w:r>
        <w:rPr>
          <w:rFonts w:hAnsi="黑体"/>
          <w:w w:val="100"/>
          <w:sz w:val="28"/>
        </w:rPr>
        <w:fldChar w:fldCharType="end"/>
      </w:r>
      <w:bookmarkEnd w:id="19"/>
      <w:r>
        <w:rPr>
          <w:rFonts w:ascii="Times New Roman"/>
          <w:w w:val="100"/>
          <w:sz w:val="28"/>
        </w:rPr>
        <w:t>  </w:t>
      </w:r>
      <w:r>
        <w:rPr>
          <w:rStyle w:val="233"/>
          <w:rFonts w:hint="eastAsia" w:hAnsi="黑体"/>
          <w:position w:val="0"/>
        </w:rPr>
        <w:t>发</w:t>
      </w:r>
      <w:r>
        <w:rPr>
          <w:rStyle w:val="233"/>
          <w:rFonts w:hint="eastAsia" w:hAnsi="黑体"/>
          <w:spacing w:val="0"/>
          <w:position w:val="0"/>
        </w:rPr>
        <w:t>布</w:t>
      </w:r>
    </w:p>
    <w:p w14:paraId="7767CFFB">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59264"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59264;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3779BDE">
      <w:pPr>
        <w:pStyle w:val="95"/>
        <w:spacing w:after="468"/>
      </w:pPr>
      <w:bookmarkStart w:id="20" w:name="BookMark1"/>
      <w:bookmarkStart w:id="21" w:name="_Toc198545657"/>
      <w:r>
        <w:rPr>
          <w:rFonts w:hint="eastAsia"/>
          <w:spacing w:val="320"/>
        </w:rPr>
        <w:t>目</w:t>
      </w:r>
      <w:r>
        <w:rPr>
          <w:rFonts w:hint="eastAsia"/>
        </w:rPr>
        <w:t>次</w:t>
      </w:r>
    </w:p>
    <w:p w14:paraId="173E2168">
      <w:pPr>
        <w:pStyle w:val="20"/>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"_Toc211863280" </w:instrText>
      </w:r>
      <w:r>
        <w:fldChar w:fldCharType="separate"/>
      </w:r>
      <w:r>
        <w:rPr>
          <w:rStyle w:val="35"/>
          <w:rFonts w:hint="eastAsia"/>
        </w:rPr>
        <w:t>前言</w:t>
      </w:r>
      <w:r>
        <w:tab/>
      </w:r>
      <w:r>
        <w:fldChar w:fldCharType="begin"/>
      </w:r>
      <w:r>
        <w:instrText xml:space="preserve"> PAGEREF _Toc211863280 \h </w:instrText>
      </w:r>
      <w:r>
        <w:fldChar w:fldCharType="separate"/>
      </w:r>
      <w:r>
        <w:t>II</w:t>
      </w:r>
      <w:r>
        <w:fldChar w:fldCharType="end"/>
      </w:r>
      <w:r>
        <w:fldChar w:fldCharType="end"/>
      </w:r>
    </w:p>
    <w:p w14:paraId="4594467B">
      <w:pPr>
        <w:pStyle w:val="20"/>
        <w:tabs>
          <w:tab w:val="right" w:leader="dot" w:pos="9344"/>
        </w:tabs>
        <w:rPr>
          <w:rFonts w:asciiTheme="minorHAnsi" w:hAnsiTheme="minorHAnsi" w:eastAsiaTheme="minorEastAsia" w:cstheme="minorBidi"/>
          <w:szCs w:val="22"/>
        </w:rPr>
      </w:pPr>
      <w:r>
        <w:fldChar w:fldCharType="begin"/>
      </w:r>
      <w:r>
        <w:instrText xml:space="preserve"> HYPERLINK \l "_Toc211863281" </w:instrText>
      </w:r>
      <w:r>
        <w:fldChar w:fldCharType="separate"/>
      </w:r>
      <w:r>
        <w:rPr>
          <w:rStyle w:val="35"/>
        </w:rPr>
        <w:t xml:space="preserve">1 </w:t>
      </w:r>
      <w:r>
        <w:rPr>
          <w:rStyle w:val="35"/>
          <w:rFonts w:hint="eastAsia"/>
        </w:rPr>
        <w:t xml:space="preserve"> 范围</w:t>
      </w:r>
      <w:r>
        <w:tab/>
      </w:r>
      <w:r>
        <w:fldChar w:fldCharType="begin"/>
      </w:r>
      <w:r>
        <w:instrText xml:space="preserve"> PAGEREF _Toc211863281 \h </w:instrText>
      </w:r>
      <w:r>
        <w:fldChar w:fldCharType="separate"/>
      </w:r>
      <w:r>
        <w:t>1</w:t>
      </w:r>
      <w:r>
        <w:fldChar w:fldCharType="end"/>
      </w:r>
      <w:r>
        <w:fldChar w:fldCharType="end"/>
      </w:r>
    </w:p>
    <w:p w14:paraId="6460C342">
      <w:pPr>
        <w:pStyle w:val="20"/>
        <w:tabs>
          <w:tab w:val="right" w:leader="dot" w:pos="9344"/>
        </w:tabs>
        <w:rPr>
          <w:rFonts w:asciiTheme="minorHAnsi" w:hAnsiTheme="minorHAnsi" w:eastAsiaTheme="minorEastAsia" w:cstheme="minorBidi"/>
          <w:szCs w:val="22"/>
        </w:rPr>
      </w:pPr>
      <w:r>
        <w:fldChar w:fldCharType="begin"/>
      </w:r>
      <w:r>
        <w:instrText xml:space="preserve"> HYPERLINK \l "_Toc211863282" </w:instrText>
      </w:r>
      <w:r>
        <w:fldChar w:fldCharType="separate"/>
      </w:r>
      <w:r>
        <w:rPr>
          <w:rStyle w:val="35"/>
        </w:rPr>
        <w:t xml:space="preserve">2 </w:t>
      </w:r>
      <w:r>
        <w:rPr>
          <w:rStyle w:val="35"/>
          <w:rFonts w:hint="eastAsia"/>
        </w:rPr>
        <w:t xml:space="preserve"> 规范性引用文件</w:t>
      </w:r>
      <w:r>
        <w:tab/>
      </w:r>
      <w:r>
        <w:fldChar w:fldCharType="begin"/>
      </w:r>
      <w:r>
        <w:instrText xml:space="preserve"> PAGEREF _Toc211863282 \h </w:instrText>
      </w:r>
      <w:r>
        <w:fldChar w:fldCharType="separate"/>
      </w:r>
      <w:r>
        <w:t>1</w:t>
      </w:r>
      <w:r>
        <w:fldChar w:fldCharType="end"/>
      </w:r>
      <w:r>
        <w:fldChar w:fldCharType="end"/>
      </w:r>
    </w:p>
    <w:p w14:paraId="6F2FAE5D">
      <w:pPr>
        <w:pStyle w:val="20"/>
        <w:tabs>
          <w:tab w:val="right" w:leader="dot" w:pos="9344"/>
        </w:tabs>
        <w:rPr>
          <w:rFonts w:asciiTheme="minorHAnsi" w:hAnsiTheme="minorHAnsi" w:eastAsiaTheme="minorEastAsia" w:cstheme="minorBidi"/>
          <w:szCs w:val="22"/>
        </w:rPr>
      </w:pPr>
      <w:r>
        <w:fldChar w:fldCharType="begin"/>
      </w:r>
      <w:r>
        <w:instrText xml:space="preserve"> HYPERLINK \l "_Toc211863283" </w:instrText>
      </w:r>
      <w:r>
        <w:fldChar w:fldCharType="separate"/>
      </w:r>
      <w:r>
        <w:rPr>
          <w:rStyle w:val="35"/>
        </w:rPr>
        <w:t xml:space="preserve">3 </w:t>
      </w:r>
      <w:r>
        <w:rPr>
          <w:rStyle w:val="35"/>
          <w:rFonts w:hint="eastAsia"/>
        </w:rPr>
        <w:t xml:space="preserve"> 术语和定义</w:t>
      </w:r>
      <w:r>
        <w:tab/>
      </w:r>
      <w:r>
        <w:fldChar w:fldCharType="begin"/>
      </w:r>
      <w:r>
        <w:instrText xml:space="preserve"> PAGEREF _Toc211863283 \h </w:instrText>
      </w:r>
      <w:r>
        <w:fldChar w:fldCharType="separate"/>
      </w:r>
      <w:r>
        <w:t>1</w:t>
      </w:r>
      <w:r>
        <w:fldChar w:fldCharType="end"/>
      </w:r>
      <w:r>
        <w:fldChar w:fldCharType="end"/>
      </w:r>
    </w:p>
    <w:p w14:paraId="13411B80">
      <w:pPr>
        <w:pStyle w:val="20"/>
        <w:tabs>
          <w:tab w:val="right" w:leader="dot" w:pos="9344"/>
        </w:tabs>
        <w:rPr>
          <w:rFonts w:asciiTheme="minorHAnsi" w:hAnsiTheme="minorHAnsi" w:eastAsiaTheme="minorEastAsia" w:cstheme="minorBidi"/>
          <w:szCs w:val="22"/>
        </w:rPr>
      </w:pPr>
      <w:r>
        <w:fldChar w:fldCharType="begin"/>
      </w:r>
      <w:r>
        <w:instrText xml:space="preserve"> HYPERLINK \l "_Toc211863284" </w:instrText>
      </w:r>
      <w:r>
        <w:fldChar w:fldCharType="separate"/>
      </w:r>
      <w:r>
        <w:rPr>
          <w:rStyle w:val="35"/>
        </w:rPr>
        <w:t xml:space="preserve">4 </w:t>
      </w:r>
      <w:r>
        <w:rPr>
          <w:rStyle w:val="35"/>
          <w:rFonts w:hint="eastAsia"/>
        </w:rPr>
        <w:t xml:space="preserve"> 基本原则</w:t>
      </w:r>
      <w:r>
        <w:tab/>
      </w:r>
      <w:r>
        <w:fldChar w:fldCharType="begin"/>
      </w:r>
      <w:r>
        <w:instrText xml:space="preserve"> PAGEREF _Toc211863284 \h </w:instrText>
      </w:r>
      <w:r>
        <w:fldChar w:fldCharType="separate"/>
      </w:r>
      <w:r>
        <w:t>2</w:t>
      </w:r>
      <w:r>
        <w:fldChar w:fldCharType="end"/>
      </w:r>
      <w:r>
        <w:fldChar w:fldCharType="end"/>
      </w:r>
    </w:p>
    <w:p w14:paraId="43C8BEC3">
      <w:pPr>
        <w:pStyle w:val="25"/>
        <w:rPr>
          <w:rFonts w:asciiTheme="minorHAnsi" w:hAnsiTheme="minorHAnsi" w:eastAsiaTheme="minorEastAsia" w:cstheme="minorBidi"/>
          <w:szCs w:val="22"/>
        </w:rPr>
      </w:pPr>
      <w:r>
        <w:fldChar w:fldCharType="begin"/>
      </w:r>
      <w:r>
        <w:instrText xml:space="preserve"> HYPERLINK \l "_Toc211863285" </w:instrText>
      </w:r>
      <w:r>
        <w:fldChar w:fldCharType="separate"/>
      </w:r>
      <w:r>
        <w:rPr>
          <w:rStyle w:val="35"/>
          <w14:scene3d w14:prst="orthographicFront">
            <w14:lightRig w14:rig="threePt" w14:dir="t">
              <w14:rot w14:lat="0" w14:lon="0" w14:rev="0"/>
            </w14:lightRig>
          </w14:scene3d>
        </w:rPr>
        <w:t xml:space="preserve">4.1 </w:t>
      </w:r>
      <w:r>
        <w:rPr>
          <w:rStyle w:val="35"/>
          <w:rFonts w:hint="eastAsia"/>
          <w:shd w:val="clear" w:color="auto" w:fill="FFFFFF"/>
        </w:rPr>
        <w:t xml:space="preserve"> 严格规范</w:t>
      </w:r>
      <w:r>
        <w:tab/>
      </w:r>
      <w:r>
        <w:fldChar w:fldCharType="begin"/>
      </w:r>
      <w:r>
        <w:instrText xml:space="preserve"> PAGEREF _Toc211863285 \h </w:instrText>
      </w:r>
      <w:r>
        <w:fldChar w:fldCharType="separate"/>
      </w:r>
      <w:r>
        <w:t>2</w:t>
      </w:r>
      <w:r>
        <w:fldChar w:fldCharType="end"/>
      </w:r>
      <w:r>
        <w:fldChar w:fldCharType="end"/>
      </w:r>
    </w:p>
    <w:p w14:paraId="074B20B3">
      <w:pPr>
        <w:pStyle w:val="25"/>
        <w:rPr>
          <w:rFonts w:asciiTheme="minorHAnsi" w:hAnsiTheme="minorHAnsi" w:eastAsiaTheme="minorEastAsia" w:cstheme="minorBidi"/>
          <w:szCs w:val="22"/>
        </w:rPr>
      </w:pPr>
      <w:r>
        <w:fldChar w:fldCharType="begin"/>
      </w:r>
      <w:r>
        <w:instrText xml:space="preserve"> HYPERLINK \l "_Toc211863286" </w:instrText>
      </w:r>
      <w:r>
        <w:fldChar w:fldCharType="separate"/>
      </w:r>
      <w:r>
        <w:rPr>
          <w:rStyle w:val="35"/>
          <w14:scene3d w14:prst="orthographicFront">
            <w14:lightRig w14:rig="threePt" w14:dir="t">
              <w14:rot w14:lat="0" w14:lon="0" w14:rev="0"/>
            </w14:lightRig>
          </w14:scene3d>
        </w:rPr>
        <w:t xml:space="preserve">4.2 </w:t>
      </w:r>
      <w:r>
        <w:rPr>
          <w:rStyle w:val="35"/>
          <w:rFonts w:hint="eastAsia"/>
        </w:rPr>
        <w:t xml:space="preserve"> 公正文明</w:t>
      </w:r>
      <w:r>
        <w:tab/>
      </w:r>
      <w:r>
        <w:fldChar w:fldCharType="begin"/>
      </w:r>
      <w:r>
        <w:instrText xml:space="preserve"> PAGEREF _Toc211863286 \h </w:instrText>
      </w:r>
      <w:r>
        <w:fldChar w:fldCharType="separate"/>
      </w:r>
      <w:r>
        <w:t>2</w:t>
      </w:r>
      <w:r>
        <w:fldChar w:fldCharType="end"/>
      </w:r>
      <w:r>
        <w:fldChar w:fldCharType="end"/>
      </w:r>
    </w:p>
    <w:p w14:paraId="68322F0B">
      <w:pPr>
        <w:pStyle w:val="25"/>
        <w:rPr>
          <w:rFonts w:asciiTheme="minorHAnsi" w:hAnsiTheme="minorHAnsi" w:eastAsiaTheme="minorEastAsia" w:cstheme="minorBidi"/>
          <w:szCs w:val="22"/>
        </w:rPr>
      </w:pPr>
      <w:r>
        <w:fldChar w:fldCharType="begin"/>
      </w:r>
      <w:r>
        <w:instrText xml:space="preserve"> HYPERLINK \l "_Toc211863287" </w:instrText>
      </w:r>
      <w:r>
        <w:fldChar w:fldCharType="separate"/>
      </w:r>
      <w:r>
        <w:rPr>
          <w:rStyle w:val="35"/>
          <w14:scene3d w14:prst="orthographicFront">
            <w14:lightRig w14:rig="threePt" w14:dir="t">
              <w14:rot w14:lat="0" w14:lon="0" w14:rev="0"/>
            </w14:lightRig>
          </w14:scene3d>
        </w:rPr>
        <w:t xml:space="preserve">4.3 </w:t>
      </w:r>
      <w:r>
        <w:rPr>
          <w:rStyle w:val="35"/>
          <w:rFonts w:hint="eastAsia"/>
        </w:rPr>
        <w:t xml:space="preserve"> 执法与服务相统一</w:t>
      </w:r>
      <w:r>
        <w:tab/>
      </w:r>
      <w:r>
        <w:fldChar w:fldCharType="begin"/>
      </w:r>
      <w:r>
        <w:instrText xml:space="preserve"> PAGEREF _Toc211863287 \h </w:instrText>
      </w:r>
      <w:r>
        <w:fldChar w:fldCharType="separate"/>
      </w:r>
      <w:r>
        <w:t>2</w:t>
      </w:r>
      <w:r>
        <w:fldChar w:fldCharType="end"/>
      </w:r>
      <w:r>
        <w:fldChar w:fldCharType="end"/>
      </w:r>
    </w:p>
    <w:p w14:paraId="6843A5CA">
      <w:pPr>
        <w:pStyle w:val="25"/>
        <w:rPr>
          <w:rFonts w:asciiTheme="minorHAnsi" w:hAnsiTheme="minorHAnsi" w:eastAsiaTheme="minorEastAsia" w:cstheme="minorBidi"/>
          <w:szCs w:val="22"/>
        </w:rPr>
      </w:pPr>
      <w:r>
        <w:fldChar w:fldCharType="begin"/>
      </w:r>
      <w:r>
        <w:instrText xml:space="preserve"> HYPERLINK \l "_Toc211863288" </w:instrText>
      </w:r>
      <w:r>
        <w:fldChar w:fldCharType="separate"/>
      </w:r>
      <w:r>
        <w:rPr>
          <w:rStyle w:val="35"/>
          <w14:scene3d w14:prst="orthographicFront">
            <w14:lightRig w14:rig="threePt" w14:dir="t">
              <w14:rot w14:lat="0" w14:lon="0" w14:rev="0"/>
            </w14:lightRig>
          </w14:scene3d>
        </w:rPr>
        <w:t xml:space="preserve">4.4 </w:t>
      </w:r>
      <w:r>
        <w:rPr>
          <w:rStyle w:val="35"/>
          <w:rFonts w:hint="eastAsia"/>
        </w:rPr>
        <w:t xml:space="preserve"> 守底线和促发展相结合</w:t>
      </w:r>
      <w:r>
        <w:tab/>
      </w:r>
      <w:r>
        <w:fldChar w:fldCharType="begin"/>
      </w:r>
      <w:r>
        <w:instrText xml:space="preserve"> PAGEREF _Toc211863288 \h </w:instrText>
      </w:r>
      <w:r>
        <w:fldChar w:fldCharType="separate"/>
      </w:r>
      <w:r>
        <w:t>2</w:t>
      </w:r>
      <w:r>
        <w:fldChar w:fldCharType="end"/>
      </w:r>
      <w:r>
        <w:fldChar w:fldCharType="end"/>
      </w:r>
    </w:p>
    <w:p w14:paraId="063C2CB3">
      <w:pPr>
        <w:pStyle w:val="20"/>
        <w:tabs>
          <w:tab w:val="right" w:leader="dot" w:pos="9344"/>
        </w:tabs>
        <w:rPr>
          <w:rFonts w:asciiTheme="minorHAnsi" w:hAnsiTheme="minorHAnsi" w:eastAsiaTheme="minorEastAsia" w:cstheme="minorBidi"/>
          <w:szCs w:val="22"/>
        </w:rPr>
      </w:pPr>
      <w:r>
        <w:fldChar w:fldCharType="begin"/>
      </w:r>
      <w:r>
        <w:instrText xml:space="preserve"> HYPERLINK \l "_Toc211863289" </w:instrText>
      </w:r>
      <w:r>
        <w:fldChar w:fldCharType="separate"/>
      </w:r>
      <w:r>
        <w:rPr>
          <w:rStyle w:val="35"/>
        </w:rPr>
        <w:t xml:space="preserve">5 </w:t>
      </w:r>
      <w:r>
        <w:rPr>
          <w:rStyle w:val="35"/>
          <w:rFonts w:hint="eastAsia"/>
        </w:rPr>
        <w:t xml:space="preserve"> 事前预警服务</w:t>
      </w:r>
      <w:r>
        <w:tab/>
      </w:r>
      <w:r>
        <w:fldChar w:fldCharType="begin"/>
      </w:r>
      <w:r>
        <w:instrText xml:space="preserve"> PAGEREF _Toc211863289 \h </w:instrText>
      </w:r>
      <w:r>
        <w:fldChar w:fldCharType="separate"/>
      </w:r>
      <w:r>
        <w:t>2</w:t>
      </w:r>
      <w:r>
        <w:fldChar w:fldCharType="end"/>
      </w:r>
      <w:r>
        <w:fldChar w:fldCharType="end"/>
      </w:r>
    </w:p>
    <w:p w14:paraId="4D8B7B3C">
      <w:pPr>
        <w:pStyle w:val="25"/>
        <w:rPr>
          <w:rFonts w:asciiTheme="minorHAnsi" w:hAnsiTheme="minorHAnsi" w:eastAsiaTheme="minorEastAsia" w:cstheme="minorBidi"/>
          <w:szCs w:val="22"/>
        </w:rPr>
      </w:pPr>
      <w:r>
        <w:fldChar w:fldCharType="begin"/>
      </w:r>
      <w:r>
        <w:instrText xml:space="preserve"> HYPERLINK \l "_Toc211863290" </w:instrText>
      </w:r>
      <w:r>
        <w:fldChar w:fldCharType="separate"/>
      </w:r>
      <w:r>
        <w:rPr>
          <w:rStyle w:val="35"/>
          <w14:scene3d w14:prst="orthographicFront">
            <w14:lightRig w14:rig="threePt" w14:dir="t">
              <w14:rot w14:lat="0" w14:lon="0" w14:rev="0"/>
            </w14:lightRig>
          </w14:scene3d>
        </w:rPr>
        <w:t xml:space="preserve">5.1 </w:t>
      </w:r>
      <w:r>
        <w:rPr>
          <w:rStyle w:val="35"/>
          <w:rFonts w:hint="eastAsia"/>
        </w:rPr>
        <w:t xml:space="preserve"> 合规指引</w:t>
      </w:r>
      <w:r>
        <w:tab/>
      </w:r>
      <w:r>
        <w:fldChar w:fldCharType="begin"/>
      </w:r>
      <w:r>
        <w:instrText xml:space="preserve"> PAGEREF _Toc211863290 \h </w:instrText>
      </w:r>
      <w:r>
        <w:fldChar w:fldCharType="separate"/>
      </w:r>
      <w:r>
        <w:t>2</w:t>
      </w:r>
      <w:r>
        <w:fldChar w:fldCharType="end"/>
      </w:r>
      <w:r>
        <w:fldChar w:fldCharType="end"/>
      </w:r>
    </w:p>
    <w:p w14:paraId="7B038D14">
      <w:pPr>
        <w:pStyle w:val="25"/>
        <w:rPr>
          <w:rFonts w:asciiTheme="minorHAnsi" w:hAnsiTheme="minorHAnsi" w:eastAsiaTheme="minorEastAsia" w:cstheme="minorBidi"/>
          <w:szCs w:val="22"/>
        </w:rPr>
      </w:pPr>
      <w:r>
        <w:fldChar w:fldCharType="begin"/>
      </w:r>
      <w:r>
        <w:instrText xml:space="preserve"> HYPERLINK \l "_Toc211863291" </w:instrText>
      </w:r>
      <w:r>
        <w:fldChar w:fldCharType="separate"/>
      </w:r>
      <w:r>
        <w:rPr>
          <w:rStyle w:val="35"/>
          <w:lang w:bidi="ar"/>
          <w14:scene3d w14:prst="orthographicFront">
            <w14:lightRig w14:rig="threePt" w14:dir="t">
              <w14:rot w14:lat="0" w14:lon="0" w14:rev="0"/>
            </w14:lightRig>
          </w14:scene3d>
        </w:rPr>
        <w:t xml:space="preserve">5.2 </w:t>
      </w:r>
      <w:r>
        <w:rPr>
          <w:rStyle w:val="35"/>
          <w:rFonts w:hint="eastAsia"/>
          <w:lang w:bidi="ar"/>
        </w:rPr>
        <w:t xml:space="preserve"> 普法宣传</w:t>
      </w:r>
      <w:r>
        <w:tab/>
      </w:r>
      <w:r>
        <w:fldChar w:fldCharType="begin"/>
      </w:r>
      <w:r>
        <w:instrText xml:space="preserve"> PAGEREF _Toc211863291 \h </w:instrText>
      </w:r>
      <w:r>
        <w:fldChar w:fldCharType="separate"/>
      </w:r>
      <w:r>
        <w:t>3</w:t>
      </w:r>
      <w:r>
        <w:fldChar w:fldCharType="end"/>
      </w:r>
      <w:r>
        <w:fldChar w:fldCharType="end"/>
      </w:r>
    </w:p>
    <w:p w14:paraId="524821C4">
      <w:pPr>
        <w:pStyle w:val="25"/>
        <w:rPr>
          <w:rFonts w:asciiTheme="minorHAnsi" w:hAnsiTheme="minorHAnsi" w:eastAsiaTheme="minorEastAsia" w:cstheme="minorBidi"/>
          <w:szCs w:val="22"/>
        </w:rPr>
      </w:pPr>
      <w:r>
        <w:fldChar w:fldCharType="begin"/>
      </w:r>
      <w:r>
        <w:instrText xml:space="preserve"> HYPERLINK \l "_Toc211863292" </w:instrText>
      </w:r>
      <w:r>
        <w:fldChar w:fldCharType="separate"/>
      </w:r>
      <w:r>
        <w:rPr>
          <w:rStyle w:val="35"/>
          <w14:scene3d w14:prst="orthographicFront">
            <w14:lightRig w14:rig="threePt" w14:dir="t">
              <w14:rot w14:lat="0" w14:lon="0" w14:rev="0"/>
            </w14:lightRig>
          </w14:scene3d>
        </w:rPr>
        <w:t xml:space="preserve">5.3 </w:t>
      </w:r>
      <w:r>
        <w:rPr>
          <w:rStyle w:val="35"/>
          <w:rFonts w:hint="eastAsia"/>
        </w:rPr>
        <w:t xml:space="preserve"> 风险防控</w:t>
      </w:r>
      <w:r>
        <w:tab/>
      </w:r>
      <w:r>
        <w:fldChar w:fldCharType="begin"/>
      </w:r>
      <w:r>
        <w:instrText xml:space="preserve"> PAGEREF _Toc211863292 \h </w:instrText>
      </w:r>
      <w:r>
        <w:fldChar w:fldCharType="separate"/>
      </w:r>
      <w:r>
        <w:t>3</w:t>
      </w:r>
      <w:r>
        <w:fldChar w:fldCharType="end"/>
      </w:r>
      <w:r>
        <w:fldChar w:fldCharType="end"/>
      </w:r>
    </w:p>
    <w:p w14:paraId="34442C74">
      <w:pPr>
        <w:pStyle w:val="20"/>
        <w:tabs>
          <w:tab w:val="right" w:leader="dot" w:pos="9344"/>
        </w:tabs>
        <w:rPr>
          <w:rFonts w:asciiTheme="minorHAnsi" w:hAnsiTheme="minorHAnsi" w:eastAsiaTheme="minorEastAsia" w:cstheme="minorBidi"/>
          <w:szCs w:val="22"/>
        </w:rPr>
      </w:pPr>
      <w:r>
        <w:fldChar w:fldCharType="begin"/>
      </w:r>
      <w:r>
        <w:instrText xml:space="preserve"> HYPERLINK \l "_Toc211863293" </w:instrText>
      </w:r>
      <w:r>
        <w:fldChar w:fldCharType="separate"/>
      </w:r>
      <w:r>
        <w:rPr>
          <w:rStyle w:val="35"/>
        </w:rPr>
        <w:t xml:space="preserve">6 </w:t>
      </w:r>
      <w:r>
        <w:rPr>
          <w:rStyle w:val="35"/>
          <w:rFonts w:hint="eastAsia"/>
        </w:rPr>
        <w:t xml:space="preserve"> 事中刚柔并济式执法</w:t>
      </w:r>
      <w:r>
        <w:tab/>
      </w:r>
      <w:r>
        <w:fldChar w:fldCharType="begin"/>
      </w:r>
      <w:r>
        <w:instrText xml:space="preserve"> PAGEREF _Toc211863293 \h </w:instrText>
      </w:r>
      <w:r>
        <w:fldChar w:fldCharType="separate"/>
      </w:r>
      <w:r>
        <w:t>3</w:t>
      </w:r>
      <w:r>
        <w:fldChar w:fldCharType="end"/>
      </w:r>
      <w:r>
        <w:fldChar w:fldCharType="end"/>
      </w:r>
    </w:p>
    <w:p w14:paraId="366A2639">
      <w:pPr>
        <w:pStyle w:val="25"/>
        <w:rPr>
          <w:rFonts w:asciiTheme="minorHAnsi" w:hAnsiTheme="minorHAnsi" w:eastAsiaTheme="minorEastAsia" w:cstheme="minorBidi"/>
          <w:szCs w:val="22"/>
        </w:rPr>
      </w:pPr>
      <w:r>
        <w:fldChar w:fldCharType="begin"/>
      </w:r>
      <w:r>
        <w:instrText xml:space="preserve"> HYPERLINK \l "_Toc211863294" </w:instrText>
      </w:r>
      <w:r>
        <w:fldChar w:fldCharType="separate"/>
      </w:r>
      <w:r>
        <w:rPr>
          <w:rStyle w:val="35"/>
          <w14:scene3d w14:prst="orthographicFront">
            <w14:lightRig w14:rig="threePt" w14:dir="t">
              <w14:rot w14:lat="0" w14:lon="0" w14:rev="0"/>
            </w14:lightRig>
          </w14:scene3d>
        </w:rPr>
        <w:t xml:space="preserve">6.1 </w:t>
      </w:r>
      <w:r>
        <w:rPr>
          <w:rStyle w:val="35"/>
          <w:rFonts w:hint="eastAsia"/>
        </w:rPr>
        <w:t xml:space="preserve"> 轻罚免罚</w:t>
      </w:r>
      <w:r>
        <w:tab/>
      </w:r>
      <w:r>
        <w:fldChar w:fldCharType="begin"/>
      </w:r>
      <w:r>
        <w:instrText xml:space="preserve"> PAGEREF _Toc211863294 \h </w:instrText>
      </w:r>
      <w:r>
        <w:fldChar w:fldCharType="separate"/>
      </w:r>
      <w:r>
        <w:t>3</w:t>
      </w:r>
      <w:r>
        <w:fldChar w:fldCharType="end"/>
      </w:r>
      <w:r>
        <w:fldChar w:fldCharType="end"/>
      </w:r>
    </w:p>
    <w:p w14:paraId="21492882">
      <w:pPr>
        <w:pStyle w:val="25"/>
        <w:rPr>
          <w:rFonts w:asciiTheme="minorHAnsi" w:hAnsiTheme="minorHAnsi" w:eastAsiaTheme="minorEastAsia" w:cstheme="minorBidi"/>
          <w:szCs w:val="22"/>
        </w:rPr>
      </w:pPr>
      <w:r>
        <w:fldChar w:fldCharType="begin"/>
      </w:r>
      <w:r>
        <w:instrText xml:space="preserve"> HYPERLINK \l "_Toc211863295" </w:instrText>
      </w:r>
      <w:r>
        <w:fldChar w:fldCharType="separate"/>
      </w:r>
      <w:r>
        <w:rPr>
          <w:rStyle w:val="35"/>
          <w14:scene3d w14:prst="orthographicFront">
            <w14:lightRig w14:rig="threePt" w14:dir="t">
              <w14:rot w14:lat="0" w14:lon="0" w14:rev="0"/>
            </w14:lightRig>
          </w14:scene3d>
        </w:rPr>
        <w:t xml:space="preserve">6.2 </w:t>
      </w:r>
      <w:r>
        <w:rPr>
          <w:rStyle w:val="35"/>
          <w:rFonts w:hint="eastAsia"/>
        </w:rPr>
        <w:t xml:space="preserve"> 重罚严罚</w:t>
      </w:r>
      <w:r>
        <w:tab/>
      </w:r>
      <w:r>
        <w:fldChar w:fldCharType="begin"/>
      </w:r>
      <w:r>
        <w:instrText xml:space="preserve"> PAGEREF _Toc211863295 \h </w:instrText>
      </w:r>
      <w:r>
        <w:fldChar w:fldCharType="separate"/>
      </w:r>
      <w:r>
        <w:t>3</w:t>
      </w:r>
      <w:r>
        <w:fldChar w:fldCharType="end"/>
      </w:r>
      <w:r>
        <w:fldChar w:fldCharType="end"/>
      </w:r>
    </w:p>
    <w:p w14:paraId="0EA3C7DD">
      <w:pPr>
        <w:pStyle w:val="25"/>
        <w:rPr>
          <w:rFonts w:asciiTheme="minorHAnsi" w:hAnsiTheme="minorHAnsi" w:eastAsiaTheme="minorEastAsia" w:cstheme="minorBidi"/>
          <w:szCs w:val="22"/>
        </w:rPr>
      </w:pPr>
      <w:r>
        <w:fldChar w:fldCharType="begin"/>
      </w:r>
      <w:r>
        <w:instrText xml:space="preserve"> HYPERLINK \l "_Toc211863296" </w:instrText>
      </w:r>
      <w:r>
        <w:fldChar w:fldCharType="separate"/>
      </w:r>
      <w:r>
        <w:rPr>
          <w:rStyle w:val="35"/>
          <w14:scene3d w14:prst="orthographicFront">
            <w14:lightRig w14:rig="threePt" w14:dir="t">
              <w14:rot w14:lat="0" w14:lon="0" w14:rev="0"/>
            </w14:lightRig>
          </w14:scene3d>
        </w:rPr>
        <w:t xml:space="preserve">6.3 </w:t>
      </w:r>
      <w:r>
        <w:rPr>
          <w:rStyle w:val="35"/>
          <w:rFonts w:hint="eastAsia"/>
        </w:rPr>
        <w:t xml:space="preserve"> 过罚相当</w:t>
      </w:r>
      <w:r>
        <w:tab/>
      </w:r>
      <w:r>
        <w:fldChar w:fldCharType="begin"/>
      </w:r>
      <w:r>
        <w:instrText xml:space="preserve"> PAGEREF _Toc211863296 \h </w:instrText>
      </w:r>
      <w:r>
        <w:fldChar w:fldCharType="separate"/>
      </w:r>
      <w:r>
        <w:t>4</w:t>
      </w:r>
      <w:r>
        <w:fldChar w:fldCharType="end"/>
      </w:r>
      <w:r>
        <w:fldChar w:fldCharType="end"/>
      </w:r>
    </w:p>
    <w:p w14:paraId="3C372B73">
      <w:pPr>
        <w:pStyle w:val="20"/>
        <w:tabs>
          <w:tab w:val="right" w:leader="dot" w:pos="9344"/>
        </w:tabs>
        <w:rPr>
          <w:rFonts w:asciiTheme="minorHAnsi" w:hAnsiTheme="minorHAnsi" w:eastAsiaTheme="minorEastAsia" w:cstheme="minorBidi"/>
          <w:szCs w:val="22"/>
        </w:rPr>
      </w:pPr>
      <w:r>
        <w:fldChar w:fldCharType="begin"/>
      </w:r>
      <w:r>
        <w:instrText xml:space="preserve"> HYPERLINK \l "_Toc211863297" </w:instrText>
      </w:r>
      <w:r>
        <w:fldChar w:fldCharType="separate"/>
      </w:r>
      <w:r>
        <w:rPr>
          <w:rStyle w:val="35"/>
          <w:rFonts w:hAnsi="宋体" w:cs="宋体"/>
        </w:rPr>
        <w:t xml:space="preserve">7 </w:t>
      </w:r>
      <w:r>
        <w:rPr>
          <w:rStyle w:val="35"/>
          <w:rFonts w:hint="eastAsia"/>
        </w:rPr>
        <w:t xml:space="preserve"> 事后精准服务</w:t>
      </w:r>
      <w:r>
        <w:tab/>
      </w:r>
      <w:r>
        <w:fldChar w:fldCharType="begin"/>
      </w:r>
      <w:r>
        <w:instrText xml:space="preserve"> PAGEREF _Toc211863297 \h </w:instrText>
      </w:r>
      <w:r>
        <w:fldChar w:fldCharType="separate"/>
      </w:r>
      <w:r>
        <w:t>4</w:t>
      </w:r>
      <w:r>
        <w:fldChar w:fldCharType="end"/>
      </w:r>
      <w:r>
        <w:fldChar w:fldCharType="end"/>
      </w:r>
    </w:p>
    <w:p w14:paraId="2B8A9D2A">
      <w:pPr>
        <w:pStyle w:val="25"/>
        <w:rPr>
          <w:rFonts w:asciiTheme="minorHAnsi" w:hAnsiTheme="minorHAnsi" w:eastAsiaTheme="minorEastAsia" w:cstheme="minorBidi"/>
          <w:szCs w:val="22"/>
        </w:rPr>
      </w:pPr>
      <w:r>
        <w:fldChar w:fldCharType="begin"/>
      </w:r>
      <w:r>
        <w:instrText xml:space="preserve"> HYPERLINK \l "_Toc211863298" </w:instrText>
      </w:r>
      <w:r>
        <w:fldChar w:fldCharType="separate"/>
      </w:r>
      <w:r>
        <w:rPr>
          <w:rStyle w:val="35"/>
          <w14:scene3d w14:prst="orthographicFront">
            <w14:lightRig w14:rig="threePt" w14:dir="t">
              <w14:rot w14:lat="0" w14:lon="0" w14:rev="0"/>
            </w14:lightRig>
          </w14:scene3d>
        </w:rPr>
        <w:t xml:space="preserve">7.1 </w:t>
      </w:r>
      <w:r>
        <w:rPr>
          <w:rStyle w:val="35"/>
          <w:rFonts w:hint="eastAsia"/>
        </w:rPr>
        <w:t xml:space="preserve"> 三书同达</w:t>
      </w:r>
      <w:r>
        <w:tab/>
      </w:r>
      <w:r>
        <w:fldChar w:fldCharType="begin"/>
      </w:r>
      <w:r>
        <w:instrText xml:space="preserve"> PAGEREF _Toc211863298 \h </w:instrText>
      </w:r>
      <w:r>
        <w:fldChar w:fldCharType="separate"/>
      </w:r>
      <w:r>
        <w:t>4</w:t>
      </w:r>
      <w:r>
        <w:fldChar w:fldCharType="end"/>
      </w:r>
      <w:r>
        <w:fldChar w:fldCharType="end"/>
      </w:r>
    </w:p>
    <w:p w14:paraId="7FBC2B8C">
      <w:pPr>
        <w:pStyle w:val="25"/>
        <w:rPr>
          <w:rFonts w:asciiTheme="minorHAnsi" w:hAnsiTheme="minorHAnsi" w:eastAsiaTheme="minorEastAsia" w:cstheme="minorBidi"/>
          <w:szCs w:val="22"/>
        </w:rPr>
      </w:pPr>
      <w:r>
        <w:fldChar w:fldCharType="begin"/>
      </w:r>
      <w:r>
        <w:instrText xml:space="preserve"> HYPERLINK \l "_Toc211863299" </w:instrText>
      </w:r>
      <w:r>
        <w:fldChar w:fldCharType="separate"/>
      </w:r>
      <w:r>
        <w:rPr>
          <w:rStyle w:val="35"/>
          <w14:scene3d w14:prst="orthographicFront">
            <w14:lightRig w14:rig="threePt" w14:dir="t">
              <w14:rot w14:lat="0" w14:lon="0" w14:rev="0"/>
            </w14:lightRig>
          </w14:scene3d>
        </w:rPr>
        <w:t xml:space="preserve">7.2 </w:t>
      </w:r>
      <w:r>
        <w:rPr>
          <w:rStyle w:val="35"/>
          <w:rFonts w:hint="eastAsia"/>
          <w:shd w:val="clear" w:color="auto" w:fill="FFFFFF"/>
        </w:rPr>
        <w:t xml:space="preserve"> 跟踪帮扶</w:t>
      </w:r>
      <w:r>
        <w:tab/>
      </w:r>
      <w:r>
        <w:fldChar w:fldCharType="begin"/>
      </w:r>
      <w:r>
        <w:instrText xml:space="preserve"> PAGEREF _Toc211863299 \h </w:instrText>
      </w:r>
      <w:r>
        <w:fldChar w:fldCharType="separate"/>
      </w:r>
      <w:r>
        <w:t>4</w:t>
      </w:r>
      <w:r>
        <w:fldChar w:fldCharType="end"/>
      </w:r>
      <w:r>
        <w:fldChar w:fldCharType="end"/>
      </w:r>
    </w:p>
    <w:p w14:paraId="70DF8B26">
      <w:pPr>
        <w:pStyle w:val="25"/>
        <w:rPr>
          <w:rFonts w:asciiTheme="minorHAnsi" w:hAnsiTheme="minorHAnsi" w:eastAsiaTheme="minorEastAsia" w:cstheme="minorBidi"/>
          <w:szCs w:val="22"/>
        </w:rPr>
      </w:pPr>
      <w:r>
        <w:fldChar w:fldCharType="begin"/>
      </w:r>
      <w:r>
        <w:instrText xml:space="preserve"> HYPERLINK \l "_Toc211863300" </w:instrText>
      </w:r>
      <w:r>
        <w:fldChar w:fldCharType="separate"/>
      </w:r>
      <w:r>
        <w:rPr>
          <w:rStyle w:val="35"/>
          <w14:scene3d w14:prst="orthographicFront">
            <w14:lightRig w14:rig="threePt" w14:dir="t">
              <w14:rot w14:lat="0" w14:lon="0" w14:rev="0"/>
            </w14:lightRig>
          </w14:scene3d>
        </w:rPr>
        <w:t xml:space="preserve">7.3 </w:t>
      </w:r>
      <w:r>
        <w:rPr>
          <w:rStyle w:val="35"/>
          <w:rFonts w:hint="eastAsia"/>
        </w:rPr>
        <w:t xml:space="preserve"> 信用修复</w:t>
      </w:r>
      <w:r>
        <w:tab/>
      </w:r>
      <w:r>
        <w:fldChar w:fldCharType="begin"/>
      </w:r>
      <w:r>
        <w:instrText xml:space="preserve"> PAGEREF _Toc211863300 \h </w:instrText>
      </w:r>
      <w:r>
        <w:fldChar w:fldCharType="separate"/>
      </w:r>
      <w:r>
        <w:t>5</w:t>
      </w:r>
      <w:r>
        <w:fldChar w:fldCharType="end"/>
      </w:r>
      <w:r>
        <w:fldChar w:fldCharType="end"/>
      </w:r>
    </w:p>
    <w:p w14:paraId="4AEA2338">
      <w:pPr>
        <w:pStyle w:val="20"/>
        <w:tabs>
          <w:tab w:val="right" w:leader="dot" w:pos="9344"/>
        </w:tabs>
        <w:rPr>
          <w:rFonts w:asciiTheme="minorHAnsi" w:hAnsiTheme="minorHAnsi" w:eastAsiaTheme="minorEastAsia" w:cstheme="minorBidi"/>
          <w:szCs w:val="22"/>
        </w:rPr>
      </w:pPr>
      <w:r>
        <w:fldChar w:fldCharType="begin"/>
      </w:r>
      <w:r>
        <w:instrText xml:space="preserve"> HYPERLINK \l "_Toc211863301" </w:instrText>
      </w:r>
      <w:r>
        <w:fldChar w:fldCharType="separate"/>
      </w:r>
      <w:r>
        <w:rPr>
          <w:rStyle w:val="35"/>
        </w:rPr>
        <w:t xml:space="preserve">8 </w:t>
      </w:r>
      <w:r>
        <w:rPr>
          <w:rStyle w:val="35"/>
          <w:rFonts w:hint="eastAsia"/>
        </w:rPr>
        <w:t xml:space="preserve"> 执法保障</w:t>
      </w:r>
      <w:r>
        <w:tab/>
      </w:r>
      <w:r>
        <w:fldChar w:fldCharType="begin"/>
      </w:r>
      <w:r>
        <w:instrText xml:space="preserve"> PAGEREF _Toc211863301 \h </w:instrText>
      </w:r>
      <w:r>
        <w:fldChar w:fldCharType="separate"/>
      </w:r>
      <w:r>
        <w:t>5</w:t>
      </w:r>
      <w:r>
        <w:fldChar w:fldCharType="end"/>
      </w:r>
      <w:r>
        <w:fldChar w:fldCharType="end"/>
      </w:r>
    </w:p>
    <w:p w14:paraId="13560346">
      <w:pPr>
        <w:pStyle w:val="20"/>
        <w:tabs>
          <w:tab w:val="right" w:leader="dot" w:pos="9344"/>
        </w:tabs>
        <w:rPr>
          <w:rFonts w:asciiTheme="minorHAnsi" w:hAnsiTheme="minorHAnsi" w:eastAsiaTheme="minorEastAsia" w:cstheme="minorBidi"/>
          <w:szCs w:val="22"/>
        </w:rPr>
      </w:pPr>
      <w:r>
        <w:fldChar w:fldCharType="begin"/>
      </w:r>
      <w:r>
        <w:instrText xml:space="preserve"> HYPERLINK \l "_Toc211863302" </w:instrText>
      </w:r>
      <w:r>
        <w:fldChar w:fldCharType="separate"/>
      </w:r>
      <w:r>
        <w:rPr>
          <w:rStyle w:val="35"/>
          <w:rFonts w:hint="eastAsia"/>
        </w:rPr>
        <w:t>参考文献</w:t>
      </w:r>
      <w:r>
        <w:tab/>
      </w:r>
      <w:r>
        <w:fldChar w:fldCharType="begin"/>
      </w:r>
      <w:r>
        <w:instrText xml:space="preserve"> PAGEREF _Toc211863302 \h </w:instrText>
      </w:r>
      <w:r>
        <w:fldChar w:fldCharType="separate"/>
      </w:r>
      <w:r>
        <w:t>6</w:t>
      </w:r>
      <w:r>
        <w:fldChar w:fldCharType="end"/>
      </w:r>
      <w:r>
        <w:fldChar w:fldCharType="end"/>
      </w:r>
    </w:p>
    <w:p w14:paraId="57A08BD0">
      <w:pPr>
        <w:pStyle w:val="95"/>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0"/>
    <w:p w14:paraId="69DDB084">
      <w:pPr>
        <w:pStyle w:val="93"/>
        <w:spacing w:before="900" w:after="468"/>
      </w:pPr>
      <w:bookmarkStart w:id="22" w:name="_Toc211863280"/>
      <w:bookmarkStart w:id="23" w:name="BookMark2"/>
      <w:r>
        <w:rPr>
          <w:spacing w:val="320"/>
        </w:rPr>
        <w:t>前</w:t>
      </w:r>
      <w:r>
        <w:t>言</w:t>
      </w:r>
      <w:bookmarkEnd w:id="21"/>
      <w:bookmarkEnd w:id="22"/>
    </w:p>
    <w:p w14:paraId="78C99B3B">
      <w:pPr>
        <w:pStyle w:val="60"/>
        <w:ind w:firstLine="420"/>
      </w:pPr>
      <w:r>
        <w:rPr>
          <w:rFonts w:hint="eastAsia"/>
        </w:rPr>
        <w:t>本文件按照GB/T 1.1—2020《标准化工作导则  第1部分：标准化文件的结构和起草规则》的规定起草。</w:t>
      </w:r>
    </w:p>
    <w:p w14:paraId="69551A1F">
      <w:pPr>
        <w:pStyle w:val="60"/>
        <w:ind w:firstLine="420"/>
      </w:pPr>
      <w:r>
        <w:rPr>
          <w:rFonts w:hint="eastAsia"/>
        </w:rPr>
        <w:t>请注意本文件的某些内容可能涉及专利。本文件的发布机构不承担识别专利的责任。</w:t>
      </w:r>
    </w:p>
    <w:p w14:paraId="00D8027D">
      <w:pPr>
        <w:pStyle w:val="60"/>
        <w:ind w:firstLine="420"/>
      </w:pPr>
      <w:r>
        <w:rPr>
          <w:rFonts w:hint="eastAsia"/>
        </w:rPr>
        <w:t>本文件由</w:t>
      </w:r>
      <w:bookmarkStart w:id="24" w:name="OLE_LINK5"/>
      <w:r>
        <w:rPr>
          <w:rFonts w:hint="eastAsia"/>
        </w:rPr>
        <w:t>芜湖市市场监督管理局</w:t>
      </w:r>
      <w:bookmarkEnd w:id="24"/>
      <w:r>
        <w:rPr>
          <w:rFonts w:hint="eastAsia"/>
        </w:rPr>
        <w:t>提出。</w:t>
      </w:r>
    </w:p>
    <w:p w14:paraId="79E4261C">
      <w:pPr>
        <w:pStyle w:val="60"/>
        <w:ind w:firstLine="420"/>
      </w:pPr>
      <w:r>
        <w:rPr>
          <w:rFonts w:hint="eastAsia"/>
        </w:rPr>
        <w:t>本文件由安徽省市场监督管理局归口。</w:t>
      </w:r>
    </w:p>
    <w:p w14:paraId="409702EC">
      <w:pPr>
        <w:pStyle w:val="60"/>
        <w:ind w:firstLine="420"/>
      </w:pPr>
      <w:r>
        <w:rPr>
          <w:rFonts w:hint="eastAsia"/>
        </w:rPr>
        <w:t>本文件起草单位：芜湖市标准化研究院、芜湖市市场监管综合行政执法支队、安徽省市场监督管理局、芜湖市市场监督管理局、芜湖市镜湖区市场监督管理局、芜湖市计量科学研究院。</w:t>
      </w:r>
    </w:p>
    <w:p w14:paraId="7C57FBC3">
      <w:pPr>
        <w:pStyle w:val="60"/>
        <w:ind w:firstLine="420"/>
      </w:pPr>
      <w:r>
        <w:rPr>
          <w:rFonts w:hint="eastAsia"/>
        </w:rPr>
        <w:t>本文件主要起草人：</w:t>
      </w:r>
    </w:p>
    <w:p w14:paraId="5662547C">
      <w:pPr>
        <w:pStyle w:val="60"/>
        <w:ind w:firstLine="420"/>
      </w:pPr>
    </w:p>
    <w:p w14:paraId="15500193">
      <w:pPr>
        <w:pStyle w:val="60"/>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p>
    <w:bookmarkEnd w:id="23"/>
    <w:p w14:paraId="395926CA">
      <w:pPr>
        <w:spacing w:line="20" w:lineRule="exact"/>
        <w:jc w:val="center"/>
        <w:rPr>
          <w:rFonts w:ascii="黑体" w:hAnsi="黑体" w:eastAsia="黑体"/>
          <w:sz w:val="32"/>
          <w:szCs w:val="32"/>
        </w:rPr>
      </w:pPr>
      <w:bookmarkStart w:id="25" w:name="BookMark4"/>
    </w:p>
    <w:p w14:paraId="2C31EAAD">
      <w:pPr>
        <w:spacing w:line="20" w:lineRule="exact"/>
        <w:jc w:val="center"/>
        <w:rPr>
          <w:rFonts w:ascii="黑体" w:hAnsi="黑体" w:eastAsia="黑体"/>
          <w:sz w:val="32"/>
          <w:szCs w:val="32"/>
        </w:rPr>
      </w:pPr>
    </w:p>
    <w:sdt>
      <w:sdtPr>
        <w:tag w:val="NEW_STAND_NAME"/>
        <w:id w:val="595910757"/>
        <w:lock w:val="sdtLocked"/>
        <w:placeholder>
          <w:docPart w:val="BE94DFA5C5104DEB80C5B360557E0C1B"/>
        </w:placeholder>
      </w:sdtPr>
      <w:sdtContent>
        <w:p w14:paraId="1204B9C7">
          <w:pPr>
            <w:pStyle w:val="181"/>
            <w:spacing w:before="567" w:beforeLines="182" w:after="686" w:afterLines="220"/>
          </w:pPr>
          <w:bookmarkStart w:id="26" w:name="NEW_STAND_NAME"/>
          <w:r>
            <w:rPr>
              <w:rFonts w:hint="eastAsia"/>
            </w:rPr>
            <w:t>市场监管服务型执法工作规范</w:t>
          </w:r>
        </w:p>
      </w:sdtContent>
    </w:sdt>
    <w:bookmarkEnd w:id="26"/>
    <w:p w14:paraId="5A57D358">
      <w:pPr>
        <w:pStyle w:val="108"/>
        <w:spacing w:before="312" w:after="312"/>
        <w:rPr>
          <w:color w:val="000000" w:themeColor="text1"/>
          <w14:textFill>
            <w14:solidFill>
              <w14:schemeClr w14:val="tx1"/>
            </w14:solidFill>
          </w14:textFill>
        </w:rPr>
      </w:pPr>
      <w:bookmarkStart w:id="27" w:name="_Toc97191423"/>
      <w:bookmarkStart w:id="28" w:name="_Toc26986530"/>
      <w:bookmarkStart w:id="29" w:name="_Toc17233333"/>
      <w:bookmarkStart w:id="30" w:name="_Toc17233325"/>
      <w:bookmarkStart w:id="31" w:name="_Toc24884218"/>
      <w:bookmarkStart w:id="32" w:name="_Toc26648465"/>
      <w:bookmarkStart w:id="33" w:name="_Toc26986771"/>
      <w:bookmarkStart w:id="34" w:name="_Toc26718930"/>
      <w:bookmarkStart w:id="35" w:name="_Toc198545658"/>
      <w:bookmarkStart w:id="36" w:name="_Toc24884211"/>
      <w:bookmarkStart w:id="37" w:name="_Toc211863281"/>
      <w:r>
        <w:rPr>
          <w:rFonts w:hint="eastAsia"/>
          <w:color w:val="000000" w:themeColor="text1"/>
          <w14:textFill>
            <w14:solidFill>
              <w14:schemeClr w14:val="tx1"/>
            </w14:solidFill>
          </w14:textFill>
        </w:rPr>
        <w:t>范围</w:t>
      </w:r>
      <w:bookmarkEnd w:id="27"/>
      <w:bookmarkEnd w:id="28"/>
      <w:bookmarkEnd w:id="29"/>
      <w:bookmarkEnd w:id="30"/>
      <w:bookmarkEnd w:id="31"/>
      <w:bookmarkEnd w:id="32"/>
      <w:bookmarkEnd w:id="33"/>
      <w:bookmarkEnd w:id="34"/>
      <w:bookmarkEnd w:id="35"/>
      <w:bookmarkEnd w:id="36"/>
      <w:bookmarkEnd w:id="37"/>
    </w:p>
    <w:p w14:paraId="7653BED1">
      <w:pPr>
        <w:pStyle w:val="60"/>
        <w:ind w:firstLine="420"/>
        <w:rPr>
          <w:color w:val="000000" w:themeColor="text1"/>
          <w14:textFill>
            <w14:solidFill>
              <w14:schemeClr w14:val="tx1"/>
            </w14:solidFill>
          </w14:textFill>
        </w:rPr>
      </w:pPr>
      <w:bookmarkStart w:id="38" w:name="_Toc24884219"/>
      <w:bookmarkStart w:id="39" w:name="_Toc17233334"/>
      <w:bookmarkStart w:id="40" w:name="_Toc24884212"/>
      <w:bookmarkStart w:id="41" w:name="_Toc17233326"/>
      <w:bookmarkStart w:id="42" w:name="_Toc26648466"/>
      <w:r>
        <w:rPr>
          <w:rFonts w:hint="eastAsia"/>
          <w:color w:val="000000" w:themeColor="text1"/>
          <w14:textFill>
            <w14:solidFill>
              <w14:schemeClr w14:val="tx1"/>
            </w14:solidFill>
          </w14:textFill>
        </w:rPr>
        <w:t>本文件确立了市场监管服务型执法的基本原则，规定了市场监管服务型执法工作的事前预警服务、事中刚柔并济式执法、事后精准服务等内容。</w:t>
      </w:r>
    </w:p>
    <w:p w14:paraId="05CC4EB1">
      <w:pPr>
        <w:pStyle w:val="60"/>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本文件适用于市场监管事前、事中和事后三个阶段的服务型执法。</w:t>
      </w:r>
    </w:p>
    <w:bookmarkEnd w:id="38"/>
    <w:bookmarkEnd w:id="39"/>
    <w:bookmarkEnd w:id="40"/>
    <w:bookmarkEnd w:id="41"/>
    <w:bookmarkEnd w:id="42"/>
    <w:p w14:paraId="09F38C09">
      <w:pPr>
        <w:pStyle w:val="108"/>
        <w:spacing w:before="312" w:after="312"/>
        <w:rPr>
          <w:color w:val="000000" w:themeColor="text1"/>
          <w14:textFill>
            <w14:solidFill>
              <w14:schemeClr w14:val="tx1"/>
            </w14:solidFill>
          </w14:textFill>
        </w:rPr>
      </w:pPr>
      <w:bookmarkStart w:id="43" w:name="_Toc187671859"/>
      <w:bookmarkStart w:id="44" w:name="_Toc198545659"/>
      <w:bookmarkStart w:id="45" w:name="_Toc211863282"/>
      <w:r>
        <w:rPr>
          <w:rFonts w:hint="eastAsia"/>
          <w:color w:val="000000" w:themeColor="text1"/>
          <w14:textFill>
            <w14:solidFill>
              <w14:schemeClr w14:val="tx1"/>
            </w14:solidFill>
          </w14:textFill>
        </w:rPr>
        <w:t>规范性引用文件</w:t>
      </w:r>
      <w:bookmarkEnd w:id="43"/>
      <w:bookmarkEnd w:id="44"/>
      <w:bookmarkEnd w:id="45"/>
    </w:p>
    <w:sdt>
      <w:sdtPr>
        <w:rPr>
          <w:rFonts w:hint="eastAsia"/>
          <w:color w:val="000000" w:themeColor="text1"/>
          <w14:textFill>
            <w14:solidFill>
              <w14:schemeClr w14:val="tx1"/>
            </w14:solidFill>
          </w14:textFill>
        </w:rPr>
        <w:id w:val="147465979"/>
        <w:placeholder>
          <w:docPart w:val="{31050466-2085-4aea-a4b2-02777d03c09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000000" w:themeColor="text1"/>
          <w14:textFill>
            <w14:solidFill>
              <w14:schemeClr w14:val="tx1"/>
            </w14:solidFill>
          </w14:textFill>
        </w:rPr>
      </w:sdtEndPr>
      <w:sdtContent>
        <w:p w14:paraId="5F4FDD6E">
          <w:pPr>
            <w:pStyle w:val="60"/>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5EEAC97">
      <w:pPr>
        <w:pStyle w:val="60"/>
        <w:ind w:firstLine="420"/>
        <w:rPr>
          <w:color w:val="000000" w:themeColor="text1"/>
          <w14:textFill>
            <w14:solidFill>
              <w14:schemeClr w14:val="tx1"/>
            </w14:solidFill>
          </w14:textFill>
        </w:rPr>
      </w:pPr>
      <w:r>
        <w:rPr>
          <w:color w:val="000000" w:themeColor="text1"/>
          <w14:textFill>
            <w14:solidFill>
              <w14:schemeClr w14:val="tx1"/>
            </w14:solidFill>
          </w14:textFill>
        </w:rPr>
        <w:t>DB34/T 488</w:t>
      </w:r>
      <w:r>
        <w:rPr>
          <w:rFonts w:hint="eastAsia"/>
          <w:color w:val="000000" w:themeColor="text1"/>
          <w14:textFill>
            <w14:solidFill>
              <w14:schemeClr w14:val="tx1"/>
            </w14:solidFill>
          </w14:textFill>
        </w:rPr>
        <w:t>3  市场监管行政执法装备配备和技术要求</w:t>
      </w:r>
    </w:p>
    <w:p w14:paraId="005FD85A">
      <w:pPr>
        <w:pStyle w:val="60"/>
        <w:ind w:firstLine="420"/>
        <w:rPr>
          <w:color w:val="000000" w:themeColor="text1"/>
          <w14:textFill>
            <w14:solidFill>
              <w14:schemeClr w14:val="tx1"/>
            </w14:solidFill>
          </w14:textFill>
        </w:rPr>
      </w:pPr>
      <w:r>
        <w:rPr>
          <w:color w:val="000000" w:themeColor="text1"/>
          <w14:textFill>
            <w14:solidFill>
              <w14:schemeClr w14:val="tx1"/>
            </w14:solidFill>
          </w14:textFill>
        </w:rPr>
        <w:t xml:space="preserve">DB34/T 4884 </w:t>
      </w:r>
      <w:r>
        <w:rPr>
          <w:rFonts w:hint="eastAsia"/>
          <w:color w:val="000000" w:themeColor="text1"/>
          <w14:textFill>
            <w14:solidFill>
              <w14:schemeClr w14:val="tx1"/>
            </w14:solidFill>
          </w14:textFill>
        </w:rPr>
        <w:t xml:space="preserve"> 市场监管行政执法全过程记录技术规范</w:t>
      </w:r>
    </w:p>
    <w:p w14:paraId="77FBB0B6">
      <w:pPr>
        <w:pStyle w:val="108"/>
        <w:spacing w:before="312" w:after="312"/>
        <w:rPr>
          <w:color w:val="000000" w:themeColor="text1"/>
          <w14:textFill>
            <w14:solidFill>
              <w14:schemeClr w14:val="tx1"/>
            </w14:solidFill>
          </w14:textFill>
        </w:rPr>
      </w:pPr>
      <w:bookmarkStart w:id="46" w:name="_Toc198545660"/>
      <w:bookmarkStart w:id="47" w:name="_Toc211863283"/>
      <w:bookmarkStart w:id="48" w:name="_Toc97191425"/>
      <w:r>
        <w:rPr>
          <w:rFonts w:hint="eastAsia"/>
          <w:color w:val="000000" w:themeColor="text1"/>
          <w:szCs w:val="21"/>
          <w14:textFill>
            <w14:solidFill>
              <w14:schemeClr w14:val="tx1"/>
            </w14:solidFill>
          </w14:textFill>
        </w:rPr>
        <w:t>术语和定义</w:t>
      </w:r>
      <w:bookmarkEnd w:id="46"/>
      <w:bookmarkEnd w:id="47"/>
      <w:bookmarkEnd w:id="48"/>
    </w:p>
    <w:sdt>
      <w:sdtPr>
        <w:rPr>
          <w:color w:val="000000" w:themeColor="text1"/>
          <w14:textFill>
            <w14:solidFill>
              <w14:schemeClr w14:val="tx1"/>
            </w14:solidFill>
          </w14:textFill>
        </w:rPr>
        <w:id w:val="-1909835108"/>
        <w:placeholder>
          <w:docPart w:val="E2FEA428EBE4445B9F1C75C7A15DACA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000000" w:themeColor="text1"/>
          <w14:textFill>
            <w14:solidFill>
              <w14:schemeClr w14:val="tx1"/>
            </w14:solidFill>
          </w14:textFill>
        </w:rPr>
      </w:sdtEndPr>
      <w:sdtContent>
        <w:p w14:paraId="0DB722EB">
          <w:pPr>
            <w:pStyle w:val="60"/>
            <w:ind w:firstLine="420"/>
            <w:rPr>
              <w:color w:val="000000" w:themeColor="text1"/>
              <w14:textFill>
                <w14:solidFill>
                  <w14:schemeClr w14:val="tx1"/>
                </w14:solidFill>
              </w14:textFill>
            </w:rPr>
          </w:pPr>
          <w:bookmarkStart w:id="49" w:name="_Toc26986532"/>
          <w:bookmarkEnd w:id="49"/>
          <w:r>
            <w:rPr>
              <w:color w:val="000000" w:themeColor="text1"/>
              <w14:textFill>
                <w14:solidFill>
                  <w14:schemeClr w14:val="tx1"/>
                </w14:solidFill>
              </w14:textFill>
            </w:rPr>
            <w:t>下列术语和定义适用于本文件。</w:t>
          </w:r>
        </w:p>
      </w:sdtContent>
    </w:sdt>
    <w:p w14:paraId="7FB27C9F">
      <w:pPr>
        <w:pStyle w:val="227"/>
        <w:ind w:left="420" w:hanging="420" w:hangingChars="200"/>
        <w:rPr>
          <w:rFonts w:hint="eastAsia" w:ascii="黑体" w:hAnsi="黑体" w:eastAsia="黑体"/>
        </w:rPr>
      </w:pPr>
    </w:p>
    <w:p w14:paraId="6FE182BE">
      <w:pPr>
        <w:pStyle w:val="227"/>
        <w:numPr>
          <w:ilvl w:val="0"/>
          <w:numId w:val="0"/>
        </w:numPr>
        <w:ind w:left="420"/>
        <w:rPr>
          <w:rFonts w:ascii="黑体" w:hAnsi="黑体" w:eastAsia="黑体"/>
        </w:rPr>
      </w:pPr>
      <w:r>
        <w:rPr>
          <w:rFonts w:hint="eastAsia" w:ascii="黑体" w:hAnsi="黑体" w:eastAsia="黑体"/>
        </w:rPr>
        <w:t>服务型执法 service-oriented law enforcement</w:t>
      </w:r>
    </w:p>
    <w:p w14:paraId="3961A1B1">
      <w:pPr>
        <w:pStyle w:val="60"/>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市场监管部门在实施</w:t>
      </w:r>
      <w:r>
        <w:rPr>
          <w:rFonts w:hint="eastAsia"/>
          <w:color w:val="000000" w:themeColor="text1"/>
          <w:lang w:eastAsia="zh-CN"/>
          <w14:textFill>
            <w14:solidFill>
              <w14:schemeClr w14:val="tx1"/>
            </w14:solidFill>
          </w14:textFill>
        </w:rPr>
        <w:t>法律法规</w:t>
      </w:r>
      <w:r>
        <w:rPr>
          <w:rFonts w:hint="eastAsia"/>
          <w:color w:val="000000" w:themeColor="text1"/>
          <w14:textFill>
            <w14:solidFill>
              <w14:schemeClr w14:val="tx1"/>
            </w14:solidFill>
          </w14:textFill>
        </w:rPr>
        <w:t>、规章过程中，以严格执法为基础，将法治政府和服务型政府的精神有机结合，将严格规范公正文明执法与为人民服务宗旨有机结合，将管理、执法和服务有机结合，实现管理、执法和服务“三位一体”、相互交融、相互促进，</w:t>
      </w:r>
      <w:r>
        <w:rPr>
          <w:rFonts w:hint="eastAsia"/>
          <w:color w:val="000000" w:themeColor="text1"/>
          <w:shd w:val="clear" w:color="auto" w:fill="FFFFFF"/>
          <w14:textFill>
            <w14:solidFill>
              <w14:schemeClr w14:val="tx1"/>
            </w14:solidFill>
          </w14:textFill>
        </w:rPr>
        <w:t>政治效果、法律效果和社会效果的有机统一</w:t>
      </w:r>
      <w:r>
        <w:rPr>
          <w:rFonts w:hint="eastAsia"/>
          <w:color w:val="000000" w:themeColor="text1"/>
          <w14:textFill>
            <w14:solidFill>
              <w14:schemeClr w14:val="tx1"/>
            </w14:solidFill>
          </w14:textFill>
        </w:rPr>
        <w:t>的一种执法模式。</w:t>
      </w:r>
    </w:p>
    <w:p w14:paraId="7184E814">
      <w:pPr>
        <w:pStyle w:val="227"/>
        <w:ind w:left="420" w:hanging="420" w:hangingChars="200"/>
        <w:rPr>
          <w:rFonts w:ascii="黑体" w:hAnsi="黑体" w:eastAsia="黑体"/>
        </w:rPr>
      </w:pPr>
    </w:p>
    <w:p w14:paraId="12C82CDF">
      <w:pPr>
        <w:pStyle w:val="227"/>
        <w:numPr>
          <w:ilvl w:val="0"/>
          <w:numId w:val="0"/>
        </w:numPr>
        <w:ind w:left="42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预警式服务early warning service</w:t>
      </w:r>
    </w:p>
    <w:p w14:paraId="246E262E">
      <w:pPr>
        <w:pStyle w:val="60"/>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市场监管部门利用数字化技术，对即将到期的许可证书、监督抽检等信息进行大数据、人工智能统计分析，并向市场主体发送预警信息的提示服务。</w:t>
      </w:r>
    </w:p>
    <w:p w14:paraId="30BB6AE9">
      <w:pPr>
        <w:pStyle w:val="183"/>
        <w:rPr>
          <w:color w:val="000000" w:themeColor="text1"/>
          <w14:textFill>
            <w14:solidFill>
              <w14:schemeClr w14:val="tx1"/>
            </w14:solidFill>
          </w14:textFill>
        </w:rPr>
      </w:pPr>
      <w:r>
        <w:rPr>
          <w:rFonts w:hint="eastAsia"/>
          <w:color w:val="000000" w:themeColor="text1"/>
          <w14:textFill>
            <w14:solidFill>
              <w14:schemeClr w14:val="tx1"/>
            </w14:solidFill>
          </w14:textFill>
        </w:rPr>
        <w:t>预警信息包括但不限于许可证的有效期限、超期可能带来的风险以及换证办事的指南等。</w:t>
      </w:r>
    </w:p>
    <w:p w14:paraId="210128F7">
      <w:pPr>
        <w:pStyle w:val="227"/>
        <w:ind w:left="420" w:hanging="420" w:hangingChars="20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br w:type="textWrapping"/>
      </w:r>
      <w:bookmarkStart w:id="50" w:name="OLE_LINK1"/>
      <w:r>
        <w:rPr>
          <w:rFonts w:hint="eastAsia" w:ascii="黑体" w:hAnsi="黑体" w:eastAsia="黑体"/>
          <w:color w:val="000000" w:themeColor="text1"/>
          <w14:textFill>
            <w14:solidFill>
              <w14:schemeClr w14:val="tx1"/>
            </w14:solidFill>
          </w14:textFill>
        </w:rPr>
        <w:t>柔性执法 soft enforcement</w:t>
      </w:r>
    </w:p>
    <w:p w14:paraId="448D47AC">
      <w:pPr>
        <w:pStyle w:val="60"/>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市场监管部门在执法过程中，基于</w:t>
      </w:r>
      <w:r>
        <w:rPr>
          <w:rFonts w:hint="eastAsia"/>
          <w:color w:val="000000" w:themeColor="text1"/>
          <w:lang w:eastAsia="zh-CN"/>
          <w14:textFill>
            <w14:solidFill>
              <w14:schemeClr w14:val="tx1"/>
            </w14:solidFill>
          </w14:textFill>
        </w:rPr>
        <w:t>法律法规</w:t>
      </w:r>
      <w:r>
        <w:rPr>
          <w:rFonts w:hint="eastAsia"/>
          <w:color w:val="000000" w:themeColor="text1"/>
          <w14:textFill>
            <w14:solidFill>
              <w14:schemeClr w14:val="tx1"/>
            </w14:solidFill>
          </w14:textFill>
        </w:rPr>
        <w:t>、规章规定和包容审慎监管的要求，灵活地采取行政建议、告诫、约谈、提示等行政指导方式，引导行政相对人主动、自觉履行法律义务、纠正违法行为、消除危害后果的</w:t>
      </w:r>
      <w:r>
        <w:rPr>
          <w:color w:val="000000" w:themeColor="text1"/>
          <w14:textFill>
            <w14:solidFill>
              <w14:schemeClr w14:val="tx1"/>
            </w14:solidFill>
          </w14:textFill>
        </w:rPr>
        <w:t>执法形式</w:t>
      </w:r>
      <w:r>
        <w:rPr>
          <w:rFonts w:hint="eastAsia"/>
          <w:color w:val="000000" w:themeColor="text1"/>
          <w14:textFill>
            <w14:solidFill>
              <w14:schemeClr w14:val="tx1"/>
            </w14:solidFill>
          </w14:textFill>
        </w:rPr>
        <w:t>。</w:t>
      </w:r>
    </w:p>
    <w:p w14:paraId="7B03774F">
      <w:pPr>
        <w:pStyle w:val="183"/>
        <w:rPr>
          <w:color w:val="000000" w:themeColor="text1"/>
          <w14:textFill>
            <w14:solidFill>
              <w14:schemeClr w14:val="tx1"/>
            </w14:solidFill>
          </w14:textFill>
        </w:rPr>
      </w:pPr>
      <w:r>
        <w:rPr>
          <w:rFonts w:hint="eastAsia"/>
          <w:color w:val="000000" w:themeColor="text1"/>
          <w14:textFill>
            <w14:solidFill>
              <w14:schemeClr w14:val="tx1"/>
            </w14:solidFill>
          </w14:textFill>
        </w:rPr>
        <w:t>除涉及人身、财产安全、公共安全等领域外,对新技术、新产业、新业态、新模式领域和民营企业、个体工商户、农村专业合作社的一般经营行为,应当推进包容审慎监管。对于食品、药品、医疗器械、产品质量、特种设备安全监管中</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除涉及</w:t>
      </w:r>
      <w:r>
        <w:rPr>
          <w:color w:val="000000" w:themeColor="text1"/>
          <w14:textFill>
            <w14:solidFill>
              <w14:schemeClr w14:val="tx1"/>
            </w14:solidFill>
          </w14:textFill>
        </w:rPr>
        <w:t>安全监管</w:t>
      </w:r>
      <w:r>
        <w:rPr>
          <w:rFonts w:hint="eastAsia"/>
          <w:color w:val="000000" w:themeColor="text1"/>
          <w14:textFill>
            <w14:solidFill>
              <w14:schemeClr w14:val="tx1"/>
            </w14:solidFill>
          </w14:textFill>
        </w:rPr>
        <w:t>事项</w:t>
      </w:r>
      <w:r>
        <w:rPr>
          <w:color w:val="000000" w:themeColor="text1"/>
          <w14:textFill>
            <w14:solidFill>
              <w14:schemeClr w14:val="tx1"/>
            </w14:solidFill>
          </w14:textFill>
        </w:rPr>
        <w:t>外一般性监管事项，也可以</w:t>
      </w:r>
      <w:r>
        <w:rPr>
          <w:rFonts w:hint="eastAsia"/>
          <w:color w:val="000000" w:themeColor="text1"/>
          <w14:textFill>
            <w14:solidFill>
              <w14:schemeClr w14:val="tx1"/>
            </w14:solidFill>
          </w14:textFill>
        </w:rPr>
        <w:t>推行</w:t>
      </w:r>
      <w:r>
        <w:rPr>
          <w:color w:val="000000" w:themeColor="text1"/>
          <w14:textFill>
            <w14:solidFill>
              <w14:schemeClr w14:val="tx1"/>
            </w14:solidFill>
          </w14:textFill>
        </w:rPr>
        <w:t>包容</w:t>
      </w:r>
      <w:r>
        <w:rPr>
          <w:rFonts w:hint="eastAsia"/>
          <w:color w:val="000000" w:themeColor="text1"/>
          <w14:textFill>
            <w14:solidFill>
              <w14:schemeClr w14:val="tx1"/>
            </w14:solidFill>
          </w14:textFill>
        </w:rPr>
        <w:t>审慎</w:t>
      </w:r>
      <w:r>
        <w:rPr>
          <w:color w:val="000000" w:themeColor="text1"/>
          <w14:textFill>
            <w14:solidFill>
              <w14:schemeClr w14:val="tx1"/>
            </w14:solidFill>
          </w14:textFill>
        </w:rPr>
        <w:t>监管</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法律法规</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规章有</w:t>
      </w:r>
      <w:r>
        <w:rPr>
          <w:color w:val="000000" w:themeColor="text1"/>
          <w14:textFill>
            <w14:solidFill>
              <w14:schemeClr w14:val="tx1"/>
            </w14:solidFill>
          </w14:textFill>
        </w:rPr>
        <w:t>具体规定的从其</w:t>
      </w:r>
      <w:r>
        <w:rPr>
          <w:rFonts w:hint="eastAsia"/>
          <w:color w:val="000000" w:themeColor="text1"/>
          <w14:textFill>
            <w14:solidFill>
              <w14:schemeClr w14:val="tx1"/>
            </w14:solidFill>
          </w14:textFill>
        </w:rPr>
        <w:t>规定。</w:t>
      </w:r>
    </w:p>
    <w:bookmarkEnd w:id="50"/>
    <w:p w14:paraId="4F050C22">
      <w:pPr>
        <w:pStyle w:val="227"/>
        <w:ind w:left="420" w:hanging="420" w:hangingChars="20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br w:type="textWrapping"/>
      </w:r>
      <w:bookmarkStart w:id="51" w:name="OLE_LINK8"/>
      <w:bookmarkStart w:id="52" w:name="OLE_LINK7"/>
      <w:r>
        <w:rPr>
          <w:rFonts w:hint="eastAsia" w:ascii="黑体" w:hAnsi="黑体" w:eastAsia="黑体"/>
          <w:color w:val="000000" w:themeColor="text1"/>
          <w14:textFill>
            <w14:solidFill>
              <w14:schemeClr w14:val="tx1"/>
            </w14:solidFill>
          </w14:textFill>
        </w:rPr>
        <w:t>刚性执法</w:t>
      </w:r>
      <w:bookmarkEnd w:id="51"/>
      <w:bookmarkEnd w:id="52"/>
      <w:r>
        <w:rPr>
          <w:rFonts w:hint="eastAsia" w:ascii="黑体" w:hAnsi="黑体" w:eastAsia="黑体"/>
          <w:color w:val="000000" w:themeColor="text1"/>
          <w14:textFill>
            <w14:solidFill>
              <w14:schemeClr w14:val="tx1"/>
            </w14:solidFill>
          </w14:textFill>
        </w:rPr>
        <w:t xml:space="preserve"> rigid law enforcement</w:t>
      </w:r>
    </w:p>
    <w:p w14:paraId="0FAF46B3">
      <w:pPr>
        <w:pStyle w:val="60"/>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市场监管部门在执法中坚持 “有法必依、执法必严、违法必究”，以维护市场秩序、保障消费者权益、营造公平竞争环境为核心目标，确保违法行为依法承担相应后果，形成强有力的执法威慑效应的</w:t>
      </w:r>
      <w:r>
        <w:rPr>
          <w:color w:val="000000" w:themeColor="text1"/>
          <w14:textFill>
            <w14:solidFill>
              <w14:schemeClr w14:val="tx1"/>
            </w14:solidFill>
          </w14:textFill>
        </w:rPr>
        <w:t>执法形式</w:t>
      </w:r>
      <w:r>
        <w:rPr>
          <w:rFonts w:hint="eastAsia"/>
          <w:color w:val="000000" w:themeColor="text1"/>
          <w14:textFill>
            <w14:solidFill>
              <w14:schemeClr w14:val="tx1"/>
            </w14:solidFill>
          </w14:textFill>
        </w:rPr>
        <w:t>。</w:t>
      </w:r>
    </w:p>
    <w:p w14:paraId="52380C68">
      <w:pPr>
        <w:pStyle w:val="227"/>
        <w:ind w:left="420" w:hanging="420" w:hangingChars="20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br w:type="textWrapping"/>
      </w:r>
      <w:r>
        <w:rPr>
          <w:rFonts w:hint="eastAsia" w:ascii="黑体" w:hAnsi="黑体" w:eastAsia="黑体"/>
          <w:color w:val="000000" w:themeColor="text1"/>
          <w14:textFill>
            <w14:solidFill>
              <w14:schemeClr w14:val="tx1"/>
            </w14:solidFill>
          </w14:textFill>
        </w:rPr>
        <w:t>精准服务 tutorial service</w:t>
      </w:r>
    </w:p>
    <w:p w14:paraId="4B40C148">
      <w:pPr>
        <w:pStyle w:val="60"/>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市场主体通过预约，由市场监管领域人员和技术专家组成专项团队，针对辖区重点行业、重点企业进行精准式访问，帮助市场主体改善和优化生产经营方式，开展“一对一”跟踪帮扶</w:t>
      </w:r>
      <w:r>
        <w:rPr>
          <w:color w:val="000000" w:themeColor="text1"/>
          <w14:textFill>
            <w14:solidFill>
              <w14:schemeClr w14:val="tx1"/>
            </w14:solidFill>
          </w14:textFill>
        </w:rPr>
        <w:t>的服务</w:t>
      </w:r>
      <w:r>
        <w:rPr>
          <w:rFonts w:hint="eastAsia"/>
          <w:color w:val="000000" w:themeColor="text1"/>
          <w14:textFill>
            <w14:solidFill>
              <w14:schemeClr w14:val="tx1"/>
            </w14:solidFill>
          </w14:textFill>
        </w:rPr>
        <w:t>模式。</w:t>
      </w:r>
    </w:p>
    <w:p w14:paraId="0E43B649">
      <w:pPr>
        <w:pStyle w:val="108"/>
        <w:spacing w:before="312" w:after="312"/>
        <w:rPr>
          <w:color w:val="000000" w:themeColor="text1"/>
          <w14:textFill>
            <w14:solidFill>
              <w14:schemeClr w14:val="tx1"/>
            </w14:solidFill>
          </w14:textFill>
        </w:rPr>
      </w:pPr>
      <w:bookmarkStart w:id="53" w:name="_Toc211863284"/>
      <w:bookmarkStart w:id="54" w:name="_Toc198545661"/>
      <w:r>
        <w:rPr>
          <w:rFonts w:hint="eastAsia"/>
          <w:color w:val="000000" w:themeColor="text1"/>
          <w14:textFill>
            <w14:solidFill>
              <w14:schemeClr w14:val="tx1"/>
            </w14:solidFill>
          </w14:textFill>
        </w:rPr>
        <w:t>基本原则</w:t>
      </w:r>
      <w:bookmarkEnd w:id="53"/>
      <w:bookmarkEnd w:id="54"/>
    </w:p>
    <w:p w14:paraId="56B4BACD">
      <w:pPr>
        <w:pStyle w:val="109"/>
        <w:spacing w:before="156" w:after="156"/>
        <w:rPr>
          <w:color w:val="000000" w:themeColor="text1"/>
          <w14:textFill>
            <w14:solidFill>
              <w14:schemeClr w14:val="tx1"/>
            </w14:solidFill>
          </w14:textFill>
        </w:rPr>
      </w:pPr>
      <w:bookmarkStart w:id="55" w:name="_Toc211863285"/>
      <w:bookmarkStart w:id="56" w:name="_Toc198545662"/>
      <w:r>
        <w:rPr>
          <w:rFonts w:hint="eastAsia"/>
          <w:color w:val="000000" w:themeColor="text1"/>
          <w:shd w:val="clear" w:color="auto" w:fill="FFFFFF"/>
          <w14:textFill>
            <w14:solidFill>
              <w14:schemeClr w14:val="tx1"/>
            </w14:solidFill>
          </w14:textFill>
        </w:rPr>
        <w:t>严格规范</w:t>
      </w:r>
      <w:bookmarkEnd w:id="55"/>
      <w:bookmarkEnd w:id="56"/>
    </w:p>
    <w:p w14:paraId="6E6F31B9">
      <w:pPr>
        <w:pStyle w:val="60"/>
        <w:ind w:firstLine="420"/>
        <w:rPr>
          <w:color w:val="000000" w:themeColor="text1"/>
          <w:shd w:val="clear" w:color="auto" w:fill="FFFFFF"/>
          <w14:textFill>
            <w14:solidFill>
              <w14:schemeClr w14:val="tx1"/>
            </w14:solidFill>
          </w14:textFill>
        </w:rPr>
      </w:pPr>
      <w:r>
        <w:rPr>
          <w:rFonts w:hint="eastAsia"/>
          <w:color w:val="000000" w:themeColor="text1"/>
          <w:shd w:val="clear" w:color="auto" w:fill="FFFFFF"/>
          <w14:textFill>
            <w14:solidFill>
              <w14:schemeClr w14:val="tx1"/>
            </w14:solidFill>
          </w14:textFill>
        </w:rPr>
        <w:t>依据法律法规，对各类市场违法行为依法进行查处，做到有法必依、执法必严、违法必究。执法过程中，使用规范的执法文书、采取合法的执法手段和措施，案件</w:t>
      </w:r>
      <w:r>
        <w:rPr>
          <w:color w:val="000000" w:themeColor="text1"/>
          <w:shd w:val="clear" w:color="auto" w:fill="FFFFFF"/>
          <w14:textFill>
            <w14:solidFill>
              <w14:schemeClr w14:val="tx1"/>
            </w14:solidFill>
          </w14:textFill>
        </w:rPr>
        <w:t>办理各环节</w:t>
      </w:r>
      <w:r>
        <w:rPr>
          <w:rFonts w:hint="eastAsia"/>
          <w:color w:val="000000" w:themeColor="text1"/>
          <w:shd w:val="clear" w:color="auto" w:fill="FFFFFF"/>
          <w14:textFill>
            <w14:solidFill>
              <w14:schemeClr w14:val="tx1"/>
            </w14:solidFill>
          </w14:textFill>
        </w:rPr>
        <w:t>严格遵循法定程序和规范。</w:t>
      </w:r>
    </w:p>
    <w:p w14:paraId="3AD36B96">
      <w:pPr>
        <w:pStyle w:val="109"/>
        <w:spacing w:before="156" w:after="156"/>
        <w:rPr>
          <w:color w:val="000000" w:themeColor="text1"/>
          <w14:textFill>
            <w14:solidFill>
              <w14:schemeClr w14:val="tx1"/>
            </w14:solidFill>
          </w14:textFill>
        </w:rPr>
      </w:pPr>
      <w:bookmarkStart w:id="57" w:name="_Toc198545663"/>
      <w:bookmarkStart w:id="58" w:name="_Toc211863286"/>
      <w:r>
        <w:rPr>
          <w:rFonts w:hint="eastAsia"/>
          <w:color w:val="000000" w:themeColor="text1"/>
          <w14:textFill>
            <w14:solidFill>
              <w14:schemeClr w14:val="tx1"/>
            </w14:solidFill>
          </w14:textFill>
        </w:rPr>
        <w:t>公正文明</w:t>
      </w:r>
      <w:bookmarkEnd w:id="57"/>
      <w:bookmarkEnd w:id="58"/>
    </w:p>
    <w:p w14:paraId="5BD32A30">
      <w:pPr>
        <w:pStyle w:val="60"/>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公平对待所有市场主体，不偏袒、不歧视，依据事实和法律作出公正的判断和处理。执法人员在执法过程中应做到语言文明、行为规范、举止得体，尊重当事人的合法权益，严格遵守《市场监管执法行为规范》，避免粗暴执法、野蛮执法等不文明行为。</w:t>
      </w:r>
    </w:p>
    <w:p w14:paraId="4F066554">
      <w:pPr>
        <w:pStyle w:val="109"/>
        <w:spacing w:before="156" w:after="156"/>
        <w:rPr>
          <w:color w:val="000000" w:themeColor="text1"/>
          <w14:textFill>
            <w14:solidFill>
              <w14:schemeClr w14:val="tx1"/>
            </w14:solidFill>
          </w14:textFill>
        </w:rPr>
      </w:pPr>
      <w:bookmarkStart w:id="59" w:name="_Toc211863287"/>
      <w:bookmarkStart w:id="60" w:name="_Toc198545664"/>
      <w:r>
        <w:rPr>
          <w:rFonts w:hint="eastAsia"/>
          <w:color w:val="000000" w:themeColor="text1"/>
          <w14:textFill>
            <w14:solidFill>
              <w14:schemeClr w14:val="tx1"/>
            </w14:solidFill>
          </w14:textFill>
        </w:rPr>
        <w:t>执法</w:t>
      </w:r>
      <w:r>
        <w:rPr>
          <w:color w:val="000000" w:themeColor="text1"/>
          <w14:textFill>
            <w14:solidFill>
              <w14:schemeClr w14:val="tx1"/>
            </w14:solidFill>
          </w14:textFill>
        </w:rPr>
        <w:t>与</w:t>
      </w:r>
      <w:r>
        <w:rPr>
          <w:rFonts w:hint="eastAsia"/>
          <w:color w:val="000000" w:themeColor="text1"/>
          <w14:textFill>
            <w14:solidFill>
              <w14:schemeClr w14:val="tx1"/>
            </w14:solidFill>
          </w14:textFill>
        </w:rPr>
        <w:t>服务</w:t>
      </w:r>
      <w:r>
        <w:rPr>
          <w:color w:val="000000" w:themeColor="text1"/>
          <w14:textFill>
            <w14:solidFill>
              <w14:schemeClr w14:val="tx1"/>
            </w14:solidFill>
          </w14:textFill>
        </w:rPr>
        <w:t>相统一</w:t>
      </w:r>
      <w:bookmarkEnd w:id="59"/>
      <w:bookmarkEnd w:id="60"/>
    </w:p>
    <w:p w14:paraId="436A24F4">
      <w:pPr>
        <w:pStyle w:val="60"/>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遵循执法与服务相统一，既依法严格查处违法违规行为，又将服务理念贯穿执法全流程，通过事前预警</w:t>
      </w:r>
      <w:r>
        <w:rPr>
          <w:color w:val="000000" w:themeColor="text1"/>
          <w14:textFill>
            <w14:solidFill>
              <w14:schemeClr w14:val="tx1"/>
            </w14:solidFill>
          </w14:textFill>
        </w:rPr>
        <w:t>服务</w:t>
      </w:r>
      <w:r>
        <w:rPr>
          <w:rFonts w:hint="eastAsia"/>
          <w:color w:val="000000" w:themeColor="text1"/>
          <w14:textFill>
            <w14:solidFill>
              <w14:schemeClr w14:val="tx1"/>
            </w14:solidFill>
          </w14:textFill>
        </w:rPr>
        <w:t>、事中刚柔并</w:t>
      </w:r>
      <w:r>
        <w:rPr>
          <w:color w:val="000000" w:themeColor="text1"/>
          <w14:textFill>
            <w14:solidFill>
              <w14:schemeClr w14:val="tx1"/>
            </w14:solidFill>
          </w14:textFill>
        </w:rPr>
        <w:t>济</w:t>
      </w:r>
      <w:r>
        <w:rPr>
          <w:rFonts w:hint="eastAsia"/>
          <w:color w:val="000000" w:themeColor="text1"/>
          <w14:textFill>
            <w14:solidFill>
              <w14:schemeClr w14:val="tx1"/>
            </w14:solidFill>
          </w14:textFill>
        </w:rPr>
        <w:t>式</w:t>
      </w:r>
      <w:r>
        <w:rPr>
          <w:color w:val="000000" w:themeColor="text1"/>
          <w14:textFill>
            <w14:solidFill>
              <w14:schemeClr w14:val="tx1"/>
            </w14:solidFill>
          </w14:textFill>
        </w:rPr>
        <w:t>执法</w:t>
      </w:r>
      <w:r>
        <w:rPr>
          <w:rFonts w:hint="eastAsia"/>
          <w:color w:val="000000" w:themeColor="text1"/>
          <w14:textFill>
            <w14:solidFill>
              <w14:schemeClr w14:val="tx1"/>
            </w14:solidFill>
          </w14:textFill>
        </w:rPr>
        <w:t>、事后精准</w:t>
      </w:r>
      <w:r>
        <w:rPr>
          <w:color w:val="000000" w:themeColor="text1"/>
          <w14:textFill>
            <w14:solidFill>
              <w14:schemeClr w14:val="tx1"/>
            </w14:solidFill>
          </w14:textFill>
        </w:rPr>
        <w:t>服务</w:t>
      </w:r>
      <w:r>
        <w:rPr>
          <w:rFonts w:hint="eastAsia"/>
          <w:color w:val="000000" w:themeColor="text1"/>
          <w14:textFill>
            <w14:solidFill>
              <w14:schemeClr w14:val="tx1"/>
            </w14:solidFill>
          </w14:textFill>
        </w:rPr>
        <w:t>，实现监管效能与市场</w:t>
      </w:r>
      <w:r>
        <w:rPr>
          <w:color w:val="000000" w:themeColor="text1"/>
          <w14:textFill>
            <w14:solidFill>
              <w14:schemeClr w14:val="tx1"/>
            </w14:solidFill>
          </w14:textFill>
        </w:rPr>
        <w:t>主体</w:t>
      </w:r>
      <w:r>
        <w:rPr>
          <w:rFonts w:hint="eastAsia"/>
          <w:color w:val="000000" w:themeColor="text1"/>
          <w14:textFill>
            <w14:solidFill>
              <w14:schemeClr w14:val="tx1"/>
            </w14:solidFill>
          </w14:textFill>
        </w:rPr>
        <w:t>发展的良性互动。</w:t>
      </w:r>
    </w:p>
    <w:p w14:paraId="5A186B86">
      <w:pPr>
        <w:pStyle w:val="109"/>
        <w:spacing w:before="156" w:after="156"/>
        <w:rPr>
          <w:color w:val="000000" w:themeColor="text1"/>
          <w14:textFill>
            <w14:solidFill>
              <w14:schemeClr w14:val="tx1"/>
            </w14:solidFill>
          </w14:textFill>
        </w:rPr>
      </w:pPr>
      <w:bookmarkStart w:id="61" w:name="_Toc211863288"/>
      <w:bookmarkStart w:id="62" w:name="_Toc198545665"/>
      <w:r>
        <w:rPr>
          <w:rFonts w:hint="eastAsia"/>
          <w:color w:val="000000" w:themeColor="text1"/>
          <w14:textFill>
            <w14:solidFill>
              <w14:schemeClr w14:val="tx1"/>
            </w14:solidFill>
          </w14:textFill>
        </w:rPr>
        <w:t>守底线和促发展相结合</w:t>
      </w:r>
      <w:bookmarkEnd w:id="61"/>
      <w:bookmarkEnd w:id="62"/>
    </w:p>
    <w:p w14:paraId="75E1C712">
      <w:pPr>
        <w:pStyle w:val="60"/>
        <w:ind w:firstLine="420"/>
        <w:rPr>
          <w:color w:val="000000" w:themeColor="text1"/>
          <w14:textFill>
            <w14:solidFill>
              <w14:schemeClr w14:val="tx1"/>
            </w14:solidFill>
          </w14:textFill>
        </w:rPr>
      </w:pPr>
      <w:r>
        <w:rPr>
          <w:rFonts w:hint="eastAsia"/>
          <w:color w:val="000000" w:themeColor="text1"/>
          <w:shd w:val="clear" w:color="auto" w:fill="FFFFFF"/>
          <w14:textFill>
            <w14:solidFill>
              <w14:schemeClr w14:val="tx1"/>
            </w14:solidFill>
          </w14:textFill>
        </w:rPr>
        <w:t>坚守安全底线、法律底线和道德底线，切实履行好监管职责，对于涉及食品、药品、特种设备等关系到人民群众生命安全的领域，要加强监管，严格把控质量安全关，坚决杜绝出现重大安全事故。同时积极为市场主体的发展提供支持和帮助，通过优化营商环境、加强知识产权保护、推动质量提升、支持市场主体创新等措施，激发市场主体的活力和创造力，助力市场主体经济结构调整和转型升级。</w:t>
      </w:r>
    </w:p>
    <w:p w14:paraId="719F041C">
      <w:pPr>
        <w:pStyle w:val="108"/>
        <w:spacing w:before="312" w:after="312"/>
        <w:rPr>
          <w:color w:val="000000" w:themeColor="text1"/>
          <w14:textFill>
            <w14:solidFill>
              <w14:schemeClr w14:val="tx1"/>
            </w14:solidFill>
          </w14:textFill>
        </w:rPr>
      </w:pPr>
      <w:bookmarkStart w:id="63" w:name="_Toc198545666"/>
      <w:bookmarkStart w:id="64" w:name="_Toc211863289"/>
      <w:r>
        <w:rPr>
          <w:rFonts w:hint="eastAsia"/>
          <w:color w:val="000000" w:themeColor="text1"/>
          <w14:textFill>
            <w14:solidFill>
              <w14:schemeClr w14:val="tx1"/>
            </w14:solidFill>
          </w14:textFill>
        </w:rPr>
        <w:t>事前预警服务</w:t>
      </w:r>
      <w:bookmarkEnd w:id="63"/>
      <w:bookmarkEnd w:id="64"/>
    </w:p>
    <w:p w14:paraId="7C6D88B3">
      <w:pPr>
        <w:pStyle w:val="109"/>
        <w:spacing w:before="156" w:after="156"/>
        <w:rPr>
          <w:color w:val="000000" w:themeColor="text1"/>
          <w14:textFill>
            <w14:solidFill>
              <w14:schemeClr w14:val="tx1"/>
            </w14:solidFill>
          </w14:textFill>
        </w:rPr>
      </w:pPr>
      <w:bookmarkStart w:id="65" w:name="_Toc198545667"/>
      <w:bookmarkStart w:id="66" w:name="_Toc211863290"/>
      <w:r>
        <w:rPr>
          <w:rFonts w:hint="eastAsia"/>
          <w:color w:val="000000" w:themeColor="text1"/>
          <w14:textFill>
            <w14:solidFill>
              <w14:schemeClr w14:val="tx1"/>
            </w14:solidFill>
          </w14:textFill>
        </w:rPr>
        <w:t>合规指引</w:t>
      </w:r>
      <w:bookmarkEnd w:id="65"/>
      <w:bookmarkEnd w:id="66"/>
    </w:p>
    <w:p w14:paraId="112235D7">
      <w:pPr>
        <w:pStyle w:val="169"/>
        <w:rPr>
          <w:b/>
          <w:color w:val="000000" w:themeColor="text1"/>
          <w14:textFill>
            <w14:solidFill>
              <w14:schemeClr w14:val="tx1"/>
            </w14:solidFill>
          </w14:textFill>
        </w:rPr>
      </w:pPr>
      <w:r>
        <w:rPr>
          <w:rFonts w:hint="eastAsia"/>
          <w:color w:val="000000" w:themeColor="text1"/>
          <w:lang w:bidi="ar"/>
          <w14:textFill>
            <w14:solidFill>
              <w14:schemeClr w14:val="tx1"/>
            </w14:solidFill>
          </w14:textFill>
        </w:rPr>
        <w:t>建立新入市场主体合规告知制度，梳理市场</w:t>
      </w:r>
      <w:r>
        <w:rPr>
          <w:color w:val="000000" w:themeColor="text1"/>
          <w:lang w:bidi="ar"/>
          <w14:textFill>
            <w14:solidFill>
              <w14:schemeClr w14:val="tx1"/>
            </w14:solidFill>
          </w14:textFill>
        </w:rPr>
        <w:t>主体</w:t>
      </w:r>
      <w:r>
        <w:rPr>
          <w:rFonts w:hint="eastAsia"/>
          <w:color w:val="000000" w:themeColor="text1"/>
          <w:lang w:bidi="ar"/>
          <w14:textFill>
            <w14:solidFill>
              <w14:schemeClr w14:val="tx1"/>
            </w14:solidFill>
          </w14:textFill>
        </w:rPr>
        <w:t>会遇到的违法违规行为，列出行为、依据、指导部门和联系方式等，对市场主体合规告知。</w:t>
      </w:r>
    </w:p>
    <w:p w14:paraId="6878217D">
      <w:pPr>
        <w:pStyle w:val="169"/>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在市场主体正式申请办理许可前，根据申请人的意愿，事先提供证前指导服务。各级政务服务中心市场监管窗口设立免费指导、帮办代办服务窗口，提供免费帮办代办服务。</w:t>
      </w:r>
    </w:p>
    <w:p w14:paraId="63A9B4F0">
      <w:pPr>
        <w:pStyle w:val="169"/>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建立“首席营商服务官”制度，选派人员担任首席营商服务官，按照“有求必应，无事不扰”的原则，收集意见建议和问题诉求，开展常态化、专业化、精准化的帮扶指导。</w:t>
      </w:r>
    </w:p>
    <w:p w14:paraId="008F570C">
      <w:pPr>
        <w:pStyle w:val="169"/>
        <w:rPr>
          <w:color w:val="000000" w:themeColor="text1"/>
          <w:lang w:bidi="ar"/>
          <w14:textFill>
            <w14:solidFill>
              <w14:schemeClr w14:val="tx1"/>
            </w14:solidFill>
          </w14:textFill>
        </w:rPr>
      </w:pPr>
      <w:r>
        <w:rPr>
          <w:rFonts w:hint="eastAsia"/>
          <w:color w:val="000000" w:themeColor="text1"/>
          <w:lang w:bidi="ar"/>
          <w14:textFill>
            <w14:solidFill>
              <w14:schemeClr w14:val="tx1"/>
            </w14:solidFill>
          </w14:textFill>
        </w:rPr>
        <w:t>及时梳理</w:t>
      </w:r>
      <w:bookmarkStart w:id="67" w:name="OLE_LINK4"/>
      <w:r>
        <w:rPr>
          <w:rFonts w:hint="eastAsia"/>
          <w:color w:val="000000" w:themeColor="text1"/>
          <w:lang w:bidi="ar"/>
          <w14:textFill>
            <w14:solidFill>
              <w14:schemeClr w14:val="tx1"/>
            </w14:solidFill>
          </w14:textFill>
        </w:rPr>
        <w:t>市场主体</w:t>
      </w:r>
      <w:bookmarkEnd w:id="67"/>
      <w:r>
        <w:rPr>
          <w:rFonts w:hint="eastAsia"/>
          <w:color w:val="000000" w:themeColor="text1"/>
          <w:lang w:bidi="ar"/>
          <w14:textFill>
            <w14:solidFill>
              <w14:schemeClr w14:val="tx1"/>
            </w14:solidFill>
          </w14:textFill>
        </w:rPr>
        <w:t>提出的意见建议和问题诉求，进行责任分解，明确办理时限、责任人。承办单位应主动与市场主体联系沟通，进一步了解其诉求，协调解决，并反馈办理结果。对因政策或客观原因无法解决的问题，应耐心做好解释说明，取得市场主体理解和支持。</w:t>
      </w:r>
    </w:p>
    <w:p w14:paraId="160B2481">
      <w:pPr>
        <w:pStyle w:val="169"/>
        <w:rPr>
          <w:rFonts w:hAnsi="宋体" w:cs="宋体"/>
          <w:color w:val="000000" w:themeColor="text1"/>
          <w:szCs w:val="21"/>
          <w:shd w:val="clear" w:color="auto" w:fill="FFFFFF"/>
          <w14:textFill>
            <w14:solidFill>
              <w14:schemeClr w14:val="tx1"/>
            </w14:solidFill>
          </w14:textFill>
        </w:rPr>
      </w:pPr>
      <w:r>
        <w:rPr>
          <w:rFonts w:hint="eastAsia"/>
          <w:color w:val="000000" w:themeColor="text1"/>
          <w:lang w:bidi="ar"/>
          <w14:textFill>
            <w14:solidFill>
              <w14:schemeClr w14:val="tx1"/>
            </w14:solidFill>
          </w14:textFill>
        </w:rPr>
        <w:t>针对特定行业存在的普遍性问题，应及时发布相应合规指引</w:t>
      </w:r>
      <w:r>
        <w:rPr>
          <w:rFonts w:hint="eastAsia" w:hAnsi="宋体" w:cs="宋体"/>
          <w:color w:val="000000" w:themeColor="text1"/>
          <w:szCs w:val="21"/>
          <w:shd w:val="clear" w:color="auto" w:fill="FFFFFF"/>
          <w14:textFill>
            <w14:solidFill>
              <w14:schemeClr w14:val="tx1"/>
            </w14:solidFill>
          </w14:textFill>
        </w:rPr>
        <w:t>。</w:t>
      </w:r>
    </w:p>
    <w:p w14:paraId="448424BB">
      <w:pPr>
        <w:pStyle w:val="185"/>
        <w:rPr>
          <w:shd w:val="clear" w:color="auto" w:fill="FFFFFF"/>
        </w:rPr>
      </w:pPr>
      <w:r>
        <w:rPr>
          <w:rFonts w:hint="eastAsia"/>
          <w:shd w:val="clear" w:color="auto" w:fill="FFFFFF"/>
        </w:rPr>
        <w:t>为规范网络交易经营者市场准入与交易行为,推动网络交易经营者主动学法、全面知法、自觉守法,依法合规经营,促进平台经济持续健康发展,安徽</w:t>
      </w:r>
      <w:r>
        <w:rPr>
          <w:shd w:val="clear" w:color="auto" w:fill="FFFFFF"/>
        </w:rPr>
        <w:t>发布《</w:t>
      </w:r>
      <w:r>
        <w:rPr>
          <w:rFonts w:hint="eastAsia"/>
          <w:shd w:val="clear" w:color="auto" w:fill="FFFFFF"/>
        </w:rPr>
        <w:t>网络交易经营行为合规指引</w:t>
      </w:r>
      <w:r>
        <w:rPr>
          <w:shd w:val="clear" w:color="auto" w:fill="FFFFFF"/>
        </w:rPr>
        <w:t>》</w:t>
      </w:r>
      <w:r>
        <w:rPr>
          <w:rFonts w:hint="eastAsia"/>
          <w:shd w:val="clear" w:color="auto" w:fill="FFFFFF"/>
        </w:rPr>
        <w:t>。</w:t>
      </w:r>
    </w:p>
    <w:p w14:paraId="1C82044C">
      <w:pPr>
        <w:pStyle w:val="109"/>
        <w:spacing w:before="156" w:after="156"/>
        <w:rPr>
          <w:color w:val="000000" w:themeColor="text1"/>
          <w:lang w:bidi="ar"/>
          <w14:textFill>
            <w14:solidFill>
              <w14:schemeClr w14:val="tx1"/>
            </w14:solidFill>
          </w14:textFill>
        </w:rPr>
      </w:pPr>
      <w:bookmarkStart w:id="68" w:name="_Toc198545668"/>
      <w:bookmarkStart w:id="69" w:name="_Toc211863291"/>
      <w:r>
        <w:rPr>
          <w:rFonts w:hint="eastAsia"/>
          <w:color w:val="000000" w:themeColor="text1"/>
          <w:lang w:bidi="ar"/>
          <w14:textFill>
            <w14:solidFill>
              <w14:schemeClr w14:val="tx1"/>
            </w14:solidFill>
          </w14:textFill>
        </w:rPr>
        <w:t>普法宣传</w:t>
      </w:r>
      <w:bookmarkEnd w:id="68"/>
      <w:bookmarkEnd w:id="69"/>
    </w:p>
    <w:p w14:paraId="42EB980C">
      <w:pPr>
        <w:pStyle w:val="169"/>
        <w:rPr>
          <w:color w:val="000000" w:themeColor="text1"/>
          <w14:textFill>
            <w14:solidFill>
              <w14:schemeClr w14:val="tx1"/>
            </w14:solidFill>
          </w14:textFill>
        </w:rPr>
      </w:pPr>
      <w:r>
        <w:rPr>
          <w:rFonts w:hint="eastAsia"/>
          <w:color w:val="000000" w:themeColor="text1"/>
          <w14:textFill>
            <w14:solidFill>
              <w14:schemeClr w14:val="tx1"/>
            </w14:solidFill>
          </w14:textFill>
        </w:rPr>
        <w:t>开展法律法规政策宣贯，组成法治领导小组，制定年度普法计划，明确责任主体和重点普法内容，结合重要时间节点开展线上线下各类法治宣传工作，利用走访市场主体和普法宣传活动，主动向市场主体宣传政策。落实“谁执法谁普法”责任制，将普法活动覆盖行政许可、行政处罚、行政强制、行政复议、行政诉讼、行政检查、行政裁决、抽查检验、专项整治等全方位全过程，实现普法、管理、执法和服务的有机结合。</w:t>
      </w:r>
    </w:p>
    <w:p w14:paraId="6334E64A">
      <w:pPr>
        <w:pStyle w:val="169"/>
        <w:rPr>
          <w:color w:val="000000" w:themeColor="text1"/>
          <w14:textFill>
            <w14:solidFill>
              <w14:schemeClr w14:val="tx1"/>
            </w14:solidFill>
          </w14:textFill>
        </w:rPr>
      </w:pPr>
      <w:r>
        <w:rPr>
          <w:rFonts w:hint="eastAsia"/>
          <w:color w:val="000000" w:themeColor="text1"/>
          <w14:textFill>
            <w14:solidFill>
              <w14:schemeClr w14:val="tx1"/>
            </w14:solidFill>
          </w14:textFill>
        </w:rPr>
        <w:t>完善与社会组织、专业机构、行业专家的交流咨询机制，加强法律法规宣传与培训，发挥政府网站、公共媒体的宣传教育和舆论监督作用，增强监管工作的守法、公开、透明意识，建立起政府监管部门、行业组织、生产经营主体、社会公众共同参与的社会共治体系。</w:t>
      </w:r>
    </w:p>
    <w:p w14:paraId="7F738E3A">
      <w:pPr>
        <w:pStyle w:val="109"/>
        <w:spacing w:before="156" w:after="156"/>
        <w:rPr>
          <w:color w:val="000000" w:themeColor="text1"/>
          <w14:textFill>
            <w14:solidFill>
              <w14:schemeClr w14:val="tx1"/>
            </w14:solidFill>
          </w14:textFill>
        </w:rPr>
      </w:pPr>
      <w:bookmarkStart w:id="70" w:name="_Toc198545669"/>
      <w:bookmarkStart w:id="71" w:name="_Toc211863292"/>
      <w:r>
        <w:rPr>
          <w:rFonts w:hint="eastAsia"/>
          <w:color w:val="000000" w:themeColor="text1"/>
          <w14:textFill>
            <w14:solidFill>
              <w14:schemeClr w14:val="tx1"/>
            </w14:solidFill>
          </w14:textFill>
        </w:rPr>
        <w:t>风险防控</w:t>
      </w:r>
      <w:bookmarkEnd w:id="70"/>
      <w:bookmarkEnd w:id="71"/>
    </w:p>
    <w:p w14:paraId="0F24561D">
      <w:pPr>
        <w:pStyle w:val="169"/>
        <w:rPr>
          <w:color w:val="000000" w:themeColor="text1"/>
          <w14:textFill>
            <w14:solidFill>
              <w14:schemeClr w14:val="tx1"/>
            </w14:solidFill>
          </w14:textFill>
        </w:rPr>
      </w:pPr>
      <w:r>
        <w:rPr>
          <w:rFonts w:hint="eastAsia"/>
          <w:color w:val="000000" w:themeColor="text1"/>
          <w14:textFill>
            <w14:solidFill>
              <w14:schemeClr w14:val="tx1"/>
            </w14:solidFill>
          </w14:textFill>
        </w:rPr>
        <w:t>采取集中治理和常态化治理相结合方式，针对市场监管重点领域制定突发事件应急预案并开展应急演练。</w:t>
      </w:r>
    </w:p>
    <w:p w14:paraId="00084093">
      <w:pPr>
        <w:pStyle w:val="169"/>
      </w:pPr>
      <w:r>
        <w:rPr>
          <w:rFonts w:hint="eastAsia"/>
        </w:rPr>
        <w:t>促进“高效率”联动配合，横向联动多个部门采取定期共商、问题共查、技术共融、平台共建、行动共推、信息共享的“六共”模式，健全多元化综合监管体系。</w:t>
      </w:r>
    </w:p>
    <w:p w14:paraId="57A1F70E">
      <w:pPr>
        <w:pStyle w:val="169"/>
      </w:pPr>
      <w:r>
        <w:rPr>
          <w:rFonts w:hint="eastAsia"/>
        </w:rPr>
        <w:t>强化</w:t>
      </w:r>
      <w:r>
        <w:t>智慧监管</w:t>
      </w:r>
      <w:r>
        <w:rPr>
          <w:rFonts w:hint="eastAsia"/>
        </w:rPr>
        <w:t>，依托监管信息化系统开展</w:t>
      </w:r>
      <w:r>
        <w:t>日常监管、数据统计分析、综合</w:t>
      </w:r>
      <w:r>
        <w:rPr>
          <w:rFonts w:hint="eastAsia"/>
        </w:rPr>
        <w:t>指挥</w:t>
      </w:r>
      <w:r>
        <w:t>调度</w:t>
      </w:r>
      <w:r>
        <w:rPr>
          <w:rFonts w:hint="eastAsia"/>
        </w:rPr>
        <w:t>等技术</w:t>
      </w:r>
      <w:r>
        <w:t>支撑</w:t>
      </w:r>
      <w:r>
        <w:rPr>
          <w:rFonts w:hint="eastAsia"/>
        </w:rPr>
        <w:t>，在“三品</w:t>
      </w:r>
      <w:r>
        <w:t>一特</w:t>
      </w:r>
      <w:r>
        <w:rPr>
          <w:rFonts w:hint="eastAsia"/>
        </w:rPr>
        <w:t>”等</w:t>
      </w:r>
      <w:r>
        <w:t>重点领域设置</w:t>
      </w:r>
      <w:r>
        <w:rPr>
          <w:rFonts w:hint="eastAsia"/>
        </w:rPr>
        <w:t>相应监管</w:t>
      </w:r>
      <w:r>
        <w:t>平台，实现</w:t>
      </w:r>
      <w:r>
        <w:rPr>
          <w:rFonts w:hint="eastAsia"/>
          <w:color w:val="000000" w:themeColor="text1"/>
          <w14:textFill>
            <w14:solidFill>
              <w14:schemeClr w14:val="tx1"/>
            </w14:solidFill>
          </w14:textFill>
        </w:rPr>
        <w:t>多</w:t>
      </w:r>
      <w:r>
        <w:rPr>
          <w:color w:val="000000" w:themeColor="text1"/>
          <w14:textFill>
            <w14:solidFill>
              <w14:schemeClr w14:val="tx1"/>
            </w14:solidFill>
          </w14:textFill>
        </w:rPr>
        <w:t>方位</w:t>
      </w:r>
      <w:r>
        <w:rPr>
          <w:rFonts w:hint="eastAsia"/>
          <w:color w:val="000000" w:themeColor="text1"/>
          <w14:textFill>
            <w14:solidFill>
              <w14:schemeClr w14:val="tx1"/>
            </w14:solidFill>
          </w14:textFill>
        </w:rPr>
        <w:t>一体的管理</w:t>
      </w:r>
      <w:r>
        <w:rPr>
          <w:color w:val="000000" w:themeColor="text1"/>
          <w14:textFill>
            <w14:solidFill>
              <w14:schemeClr w14:val="tx1"/>
            </w14:solidFill>
          </w14:textFill>
        </w:rPr>
        <w:t>模式</w:t>
      </w:r>
      <w:r>
        <w:rPr>
          <w:rFonts w:hint="eastAsia"/>
        </w:rPr>
        <w:t>。</w:t>
      </w:r>
    </w:p>
    <w:p w14:paraId="7B8FC201">
      <w:pPr>
        <w:pStyle w:val="169"/>
        <w:rPr>
          <w:color w:val="000000" w:themeColor="text1"/>
          <w14:textFill>
            <w14:solidFill>
              <w14:schemeClr w14:val="tx1"/>
            </w14:solidFill>
          </w14:textFill>
        </w:rPr>
      </w:pPr>
      <w:r>
        <w:rPr>
          <w:rFonts w:hint="eastAsia"/>
          <w:color w:val="000000" w:themeColor="text1"/>
          <w14:textFill>
            <w14:solidFill>
              <w14:schemeClr w14:val="tx1"/>
            </w14:solidFill>
          </w14:textFill>
        </w:rPr>
        <w:t>定期开展风险会商工作，从产品备案、监督检查、案件办理、不良反应监测、舆情等方面进行全链条梳理，研讨、分析生产经营使用环节的风险状况，梳理潜在的风险隐患点，讨论并确定风险种类和等级，制定风险控制措施。</w:t>
      </w:r>
    </w:p>
    <w:p w14:paraId="551299BF">
      <w:pPr>
        <w:pStyle w:val="169"/>
        <w:rPr>
          <w:color w:val="000000" w:themeColor="text1"/>
          <w14:textFill>
            <w14:solidFill>
              <w14:schemeClr w14:val="tx1"/>
            </w14:solidFill>
          </w14:textFill>
        </w:rPr>
      </w:pPr>
      <w:r>
        <w:rPr>
          <w:rFonts w:hint="eastAsia"/>
          <w:color w:val="000000" w:themeColor="text1"/>
          <w14:textFill>
            <w14:solidFill>
              <w14:schemeClr w14:val="tx1"/>
            </w14:solidFill>
          </w14:textFill>
        </w:rPr>
        <w:t>推行“综合查一次”，整合</w:t>
      </w:r>
      <w:r>
        <w:rPr>
          <w:color w:val="000000" w:themeColor="text1"/>
          <w14:textFill>
            <w14:solidFill>
              <w14:schemeClr w14:val="tx1"/>
            </w14:solidFill>
          </w14:textFill>
        </w:rPr>
        <w:t>多领域</w:t>
      </w:r>
      <w:r>
        <w:rPr>
          <w:rFonts w:hint="eastAsia"/>
          <w:color w:val="000000" w:themeColor="text1"/>
          <w14:textFill>
            <w14:solidFill>
              <w14:schemeClr w14:val="tx1"/>
            </w14:solidFill>
          </w14:textFill>
        </w:rPr>
        <w:t>检查事项，建立“综合查一次”联查事项清单；综合信用等级、守法情况、违法风险等要素对</w:t>
      </w:r>
      <w:r>
        <w:rPr>
          <w:color w:val="000000" w:themeColor="text1"/>
          <w14:textFill>
            <w14:solidFill>
              <w14:schemeClr w14:val="tx1"/>
            </w14:solidFill>
          </w14:textFill>
        </w:rPr>
        <w:t>市场主体分类</w:t>
      </w:r>
      <w:r>
        <w:rPr>
          <w:rFonts w:hint="eastAsia"/>
          <w:color w:val="000000" w:themeColor="text1"/>
          <w14:textFill>
            <w14:solidFill>
              <w14:schemeClr w14:val="tx1"/>
            </w14:solidFill>
          </w14:textFill>
        </w:rPr>
        <w:t>监管，将低风险市场</w:t>
      </w:r>
      <w:r>
        <w:rPr>
          <w:color w:val="000000" w:themeColor="text1"/>
          <w14:textFill>
            <w14:solidFill>
              <w14:schemeClr w14:val="tx1"/>
            </w14:solidFill>
          </w14:textFill>
        </w:rPr>
        <w:t>主体</w:t>
      </w:r>
      <w:r>
        <w:rPr>
          <w:rFonts w:hint="eastAsia"/>
          <w:color w:val="000000" w:themeColor="text1"/>
          <w14:textFill>
            <w14:solidFill>
              <w14:schemeClr w14:val="tx1"/>
            </w14:solidFill>
          </w14:textFill>
        </w:rPr>
        <w:t>纳入“白名单”，减少检查频次；将高风险市场主体纳入“重点监管对象库”，加大监管力度。</w:t>
      </w:r>
    </w:p>
    <w:p w14:paraId="45A1181E">
      <w:pPr>
        <w:pStyle w:val="169"/>
      </w:pPr>
      <w:bookmarkStart w:id="72" w:name="OLE_LINK3"/>
      <w:bookmarkStart w:id="73" w:name="OLE_LINK2"/>
      <w:r>
        <w:rPr>
          <w:rFonts w:hint="eastAsia"/>
        </w:rPr>
        <w:t>对市场监管领域重点行业</w:t>
      </w:r>
      <w:r>
        <w:rPr>
          <w:rFonts w:hint="eastAsia"/>
          <w:color w:val="000000" w:themeColor="text1"/>
          <w:lang w:bidi="ar"/>
          <w14:textFill>
            <w14:solidFill>
              <w14:schemeClr w14:val="tx1"/>
            </w14:solidFill>
          </w14:textFill>
        </w:rPr>
        <w:t>市场主体</w:t>
      </w:r>
      <w:r>
        <w:rPr>
          <w:rFonts w:hint="eastAsia"/>
        </w:rPr>
        <w:t>制定“警戒条件”，对触发“警戒条件”的</w:t>
      </w:r>
      <w:r>
        <w:rPr>
          <w:rFonts w:hint="eastAsia"/>
          <w:color w:val="000000" w:themeColor="text1"/>
          <w:lang w:bidi="ar"/>
          <w14:textFill>
            <w14:solidFill>
              <w14:schemeClr w14:val="tx1"/>
            </w14:solidFill>
          </w14:textFill>
        </w:rPr>
        <w:t>市场主体</w:t>
      </w:r>
      <w:r>
        <w:rPr>
          <w:rFonts w:hint="eastAsia"/>
        </w:rPr>
        <w:t>及时提醒、上门检查并后续跟踪监测。</w:t>
      </w:r>
    </w:p>
    <w:bookmarkEnd w:id="72"/>
    <w:bookmarkEnd w:id="73"/>
    <w:p w14:paraId="502707AC">
      <w:pPr>
        <w:pStyle w:val="108"/>
        <w:spacing w:before="312" w:after="312"/>
        <w:rPr>
          <w:color w:val="000000" w:themeColor="text1"/>
          <w14:textFill>
            <w14:solidFill>
              <w14:schemeClr w14:val="tx1"/>
            </w14:solidFill>
          </w14:textFill>
        </w:rPr>
      </w:pPr>
      <w:bookmarkStart w:id="74" w:name="_Toc198545671"/>
      <w:bookmarkStart w:id="75" w:name="_Toc211863293"/>
      <w:r>
        <w:rPr>
          <w:rFonts w:hint="eastAsia"/>
          <w:color w:val="000000" w:themeColor="text1"/>
          <w14:textFill>
            <w14:solidFill>
              <w14:schemeClr w14:val="tx1"/>
            </w14:solidFill>
          </w14:textFill>
        </w:rPr>
        <w:t>事中刚柔并济式执法</w:t>
      </w:r>
      <w:bookmarkEnd w:id="74"/>
      <w:bookmarkEnd w:id="75"/>
    </w:p>
    <w:p w14:paraId="045E23FC">
      <w:pPr>
        <w:pStyle w:val="109"/>
        <w:spacing w:before="156" w:after="156"/>
        <w:rPr>
          <w:color w:val="000000" w:themeColor="text1"/>
          <w14:textFill>
            <w14:solidFill>
              <w14:schemeClr w14:val="tx1"/>
            </w14:solidFill>
          </w14:textFill>
        </w:rPr>
      </w:pPr>
      <w:bookmarkStart w:id="76" w:name="_Toc198545672"/>
      <w:bookmarkStart w:id="77" w:name="_Toc211863294"/>
      <w:r>
        <w:rPr>
          <w:rFonts w:hint="eastAsia"/>
          <w:color w:val="000000" w:themeColor="text1"/>
          <w14:textFill>
            <w14:solidFill>
              <w14:schemeClr w14:val="tx1"/>
            </w14:solidFill>
          </w14:textFill>
        </w:rPr>
        <w:t>轻罚免罚</w:t>
      </w:r>
      <w:bookmarkEnd w:id="76"/>
      <w:bookmarkEnd w:id="77"/>
    </w:p>
    <w:p w14:paraId="2A972D80">
      <w:pPr>
        <w:pStyle w:val="169"/>
        <w:rPr>
          <w:color w:val="000000" w:themeColor="text1"/>
          <w14:textFill>
            <w14:solidFill>
              <w14:schemeClr w14:val="tx1"/>
            </w14:solidFill>
          </w14:textFill>
        </w:rPr>
      </w:pPr>
      <w:r>
        <w:rPr>
          <w:rFonts w:hint="eastAsia"/>
          <w:color w:val="000000" w:themeColor="text1"/>
          <w14:textFill>
            <w14:solidFill>
              <w14:schemeClr w14:val="tx1"/>
            </w14:solidFill>
          </w14:textFill>
        </w:rPr>
        <w:t>贯彻落实包容审慎监管理念，持续完善市场监管领域“柔性执法”制度体系，结合《市场监管领域轻微违法违规行为免罚清单》，对符合免罚清单规定的轻微违法违规经营行为，依法予以免罚。</w:t>
      </w:r>
    </w:p>
    <w:p w14:paraId="04B94EC3">
      <w:pPr>
        <w:pStyle w:val="169"/>
        <w:rPr>
          <w:color w:val="000000" w:themeColor="text1"/>
          <w14:textFill>
            <w14:solidFill>
              <w14:schemeClr w14:val="tx1"/>
            </w14:solidFill>
          </w14:textFill>
        </w:rPr>
      </w:pPr>
      <w:r>
        <w:rPr>
          <w:rFonts w:hint="eastAsia"/>
          <w:color w:val="000000" w:themeColor="text1"/>
          <w14:textFill>
            <w14:solidFill>
              <w14:schemeClr w14:val="tx1"/>
            </w14:solidFill>
          </w14:textFill>
        </w:rPr>
        <w:t>针对初次违法、违法行为轻微、危害后果轻微等情形认定可参照《长三角地区市场监管领域轻微违法行为不予处罚和从轻减轻处罚规定》，并结合具体案情判定。违法行为持续时间短，未造成受害人人身伤害、财产损失或者没有受害人，未造成不良社会影响，也没有违法所得的，可以认定为“未造成危害后果”。</w:t>
      </w:r>
    </w:p>
    <w:p w14:paraId="540F3859">
      <w:pPr>
        <w:pStyle w:val="109"/>
        <w:spacing w:before="156" w:after="156"/>
        <w:rPr>
          <w:color w:val="000000" w:themeColor="text1"/>
          <w14:textFill>
            <w14:solidFill>
              <w14:schemeClr w14:val="tx1"/>
            </w14:solidFill>
          </w14:textFill>
        </w:rPr>
      </w:pPr>
      <w:bookmarkStart w:id="78" w:name="_Toc211863295"/>
      <w:bookmarkStart w:id="79" w:name="_Toc198545673"/>
      <w:r>
        <w:rPr>
          <w:rFonts w:hint="eastAsia"/>
          <w:color w:val="000000" w:themeColor="text1"/>
          <w14:textFill>
            <w14:solidFill>
              <w14:schemeClr w14:val="tx1"/>
            </w14:solidFill>
          </w14:textFill>
        </w:rPr>
        <w:t>重罚严罚</w:t>
      </w:r>
      <w:bookmarkEnd w:id="78"/>
      <w:bookmarkEnd w:id="79"/>
    </w:p>
    <w:p w14:paraId="66F1A04C">
      <w:pPr>
        <w:pStyle w:val="169"/>
        <w:rPr>
          <w:color w:val="000000" w:themeColor="text1"/>
          <w14:textFill>
            <w14:solidFill>
              <w14:schemeClr w14:val="tx1"/>
            </w14:solidFill>
          </w14:textFill>
        </w:rPr>
      </w:pPr>
      <w:r>
        <w:rPr>
          <w:rFonts w:hint="eastAsia"/>
          <w:color w:val="000000" w:themeColor="text1"/>
          <w14:textFill>
            <w14:solidFill>
              <w14:schemeClr w14:val="tx1"/>
            </w14:solidFill>
          </w14:textFill>
        </w:rPr>
        <w:t>对《市场监督管理严重违法失信名单管理办法》中的严重违法失信领域进行汇总，梳理出涉及食品安全领域、药品、医疗器械、化妆品领域、质量安全领域、侵害消费者权益领域、破坏公平竞争秩序和扰乱市场秩序领域等严重违法情形，整理形成《列入严重违法失信情形法律法规清单（试行）》，对列入清单的违法案件实施刚性执法。</w:t>
      </w:r>
    </w:p>
    <w:p w14:paraId="5E9F6803">
      <w:pPr>
        <w:pStyle w:val="169"/>
        <w:rPr>
          <w:color w:val="000000" w:themeColor="text1"/>
          <w14:textFill>
            <w14:solidFill>
              <w14:schemeClr w14:val="tx1"/>
            </w14:solidFill>
          </w14:textFill>
        </w:rPr>
      </w:pPr>
      <w:r>
        <w:rPr>
          <w:rFonts w:hint="eastAsia"/>
          <w:color w:val="000000" w:themeColor="text1"/>
          <w14:textFill>
            <w14:solidFill>
              <w14:schemeClr w14:val="tx1"/>
            </w14:solidFill>
          </w14:textFill>
        </w:rPr>
        <w:t>对严重危害人民群众生命健康和财产安全，危害公共利益、挑战道德底线、造成恶劣社会影响的违法行为，依法严厉处罚。</w:t>
      </w:r>
    </w:p>
    <w:p w14:paraId="24662437">
      <w:pPr>
        <w:pStyle w:val="169"/>
        <w:rPr>
          <w:color w:val="000000" w:themeColor="text1"/>
          <w14:textFill>
            <w14:solidFill>
              <w14:schemeClr w14:val="tx1"/>
            </w14:solidFill>
          </w14:textFill>
        </w:rPr>
      </w:pPr>
      <w:r>
        <w:rPr>
          <w:rFonts w:hint="eastAsia"/>
          <w:color w:val="000000" w:themeColor="text1"/>
          <w14:textFill>
            <w14:solidFill>
              <w14:schemeClr w14:val="tx1"/>
            </w14:solidFill>
          </w14:textFill>
        </w:rPr>
        <w:t>受到市场监督管理部门较重行政处罚的，列入严重违法失信名单，通过国家企业信用信息公示系统公示，并实施相应管理措施。</w:t>
      </w:r>
    </w:p>
    <w:p w14:paraId="7D8825BF">
      <w:pPr>
        <w:pStyle w:val="109"/>
        <w:spacing w:before="156" w:after="156"/>
        <w:rPr>
          <w:color w:val="000000" w:themeColor="text1"/>
          <w14:textFill>
            <w14:solidFill>
              <w14:schemeClr w14:val="tx1"/>
            </w14:solidFill>
          </w14:textFill>
        </w:rPr>
      </w:pPr>
      <w:bookmarkStart w:id="80" w:name="_Toc211863296"/>
      <w:bookmarkStart w:id="81" w:name="_Toc198545674"/>
      <w:r>
        <w:rPr>
          <w:rFonts w:hint="eastAsia"/>
          <w:color w:val="000000" w:themeColor="text1"/>
          <w14:textFill>
            <w14:solidFill>
              <w14:schemeClr w14:val="tx1"/>
            </w14:solidFill>
          </w14:textFill>
        </w:rPr>
        <w:t>过罚相当</w:t>
      </w:r>
      <w:bookmarkEnd w:id="80"/>
      <w:bookmarkEnd w:id="81"/>
    </w:p>
    <w:p w14:paraId="6B1D136F">
      <w:pPr>
        <w:pStyle w:val="169"/>
      </w:pPr>
      <w:r>
        <w:rPr>
          <w:rFonts w:hint="eastAsia"/>
        </w:rPr>
        <w:t>行政处罚应当遵循“过罚相当”原则，审慎行使行政处罚裁量权，统筹考虑经济社会发展水平、行业特点、地方实际、主观过错、获利情况、相似违法行为罚款规定等因素，区分情况、分类处理</w:t>
      </w:r>
      <w:r>
        <w:t>。</w:t>
      </w:r>
    </w:p>
    <w:p w14:paraId="557F7DB0">
      <w:pPr>
        <w:pStyle w:val="169"/>
      </w:pPr>
      <w:r>
        <w:rPr>
          <w:rFonts w:hint="eastAsia"/>
        </w:rPr>
        <w:t>对必须给予处罚的违法主体，以损害最小、效果最佳的方式实施处罚，不应畸轻畸重或显失公平，不应区别对待当事人，坚决杜绝处罚的随意性。</w:t>
      </w:r>
    </w:p>
    <w:p w14:paraId="1705A63A">
      <w:pPr>
        <w:pStyle w:val="108"/>
        <w:spacing w:before="312" w:after="312"/>
        <w:rPr>
          <w:rFonts w:ascii="宋体" w:hAnsi="宋体" w:cs="宋体"/>
          <w:color w:val="000000" w:themeColor="text1"/>
          <w:shd w:val="clear" w:color="auto" w:fill="FFFFFF"/>
          <w14:textFill>
            <w14:solidFill>
              <w14:schemeClr w14:val="tx1"/>
            </w14:solidFill>
          </w14:textFill>
        </w:rPr>
      </w:pPr>
      <w:bookmarkStart w:id="82" w:name="_Toc211863297"/>
      <w:bookmarkStart w:id="83" w:name="_Toc198545675"/>
      <w:r>
        <w:rPr>
          <w:rFonts w:hint="eastAsia"/>
          <w:color w:val="000000" w:themeColor="text1"/>
          <w14:textFill>
            <w14:solidFill>
              <w14:schemeClr w14:val="tx1"/>
            </w14:solidFill>
          </w14:textFill>
        </w:rPr>
        <w:t>事后精准服务</w:t>
      </w:r>
      <w:bookmarkEnd w:id="82"/>
      <w:bookmarkEnd w:id="83"/>
    </w:p>
    <w:p w14:paraId="4EC6B804">
      <w:pPr>
        <w:pStyle w:val="109"/>
        <w:spacing w:before="156" w:after="156"/>
        <w:rPr>
          <w:rFonts w:ascii="宋体" w:hAnsi="宋体" w:cs="宋体"/>
          <w:color w:val="000000" w:themeColor="text1"/>
          <w:shd w:val="clear" w:color="auto" w:fill="FFFFFF"/>
          <w14:textFill>
            <w14:solidFill>
              <w14:schemeClr w14:val="tx1"/>
            </w14:solidFill>
          </w14:textFill>
        </w:rPr>
      </w:pPr>
      <w:bookmarkStart w:id="84" w:name="_Toc198545676"/>
      <w:bookmarkStart w:id="85" w:name="_Toc211863298"/>
      <w:r>
        <w:rPr>
          <w:rFonts w:hint="eastAsia"/>
          <w:color w:val="000000" w:themeColor="text1"/>
          <w14:textFill>
            <w14:solidFill>
              <w14:schemeClr w14:val="tx1"/>
            </w14:solidFill>
          </w14:textFill>
        </w:rPr>
        <w:t>三书同达</w:t>
      </w:r>
      <w:bookmarkEnd w:id="84"/>
      <w:bookmarkEnd w:id="85"/>
    </w:p>
    <w:p w14:paraId="388E4D17">
      <w:pPr>
        <w:pStyle w:val="169"/>
        <w:rPr>
          <w:color w:val="000000" w:themeColor="text1"/>
          <w:shd w:val="clear" w:color="auto" w:fill="FFFFFF"/>
          <w14:textFill>
            <w14:solidFill>
              <w14:schemeClr w14:val="tx1"/>
            </w14:solidFill>
          </w14:textFill>
        </w:rPr>
      </w:pPr>
      <w:r>
        <w:rPr>
          <w:rFonts w:hint="eastAsia"/>
          <w:color w:val="000000" w:themeColor="text1"/>
          <w:shd w:val="clear" w:color="auto" w:fill="FFFFFF"/>
          <w14:textFill>
            <w14:solidFill>
              <w14:schemeClr w14:val="tx1"/>
            </w14:solidFill>
          </w14:textFill>
        </w:rPr>
        <w:t>按照“谁处罚、谁告知、谁指导”的原则，市场监管部门行政执法实行“三书同达”制度，通过《行政处罚决定书》明确告知</w:t>
      </w:r>
      <w:r>
        <w:rPr>
          <w:rFonts w:hint="eastAsia"/>
          <w:color w:val="000000" w:themeColor="text1"/>
          <w:lang w:bidi="ar"/>
          <w14:textFill>
            <w14:solidFill>
              <w14:schemeClr w14:val="tx1"/>
            </w14:solidFill>
          </w14:textFill>
        </w:rPr>
        <w:t>市场主体</w:t>
      </w:r>
      <w:r>
        <w:rPr>
          <w:rFonts w:hint="eastAsia"/>
          <w:color w:val="000000" w:themeColor="text1"/>
          <w:shd w:val="clear" w:color="auto" w:fill="FFFFFF"/>
          <w14:textFill>
            <w14:solidFill>
              <w14:schemeClr w14:val="tx1"/>
            </w14:solidFill>
          </w14:textFill>
        </w:rPr>
        <w:t>具体的违法事实、处罚的理由和相关法律法规依据、作出的处罚决定；《行政处罚信息信用修复告知书》主动告知</w:t>
      </w:r>
      <w:r>
        <w:rPr>
          <w:rFonts w:hint="eastAsia"/>
          <w:color w:val="000000" w:themeColor="text1"/>
          <w:lang w:bidi="ar"/>
          <w14:textFill>
            <w14:solidFill>
              <w14:schemeClr w14:val="tx1"/>
            </w14:solidFill>
          </w14:textFill>
        </w:rPr>
        <w:t>市场主体</w:t>
      </w:r>
      <w:r>
        <w:rPr>
          <w:rFonts w:hint="eastAsia"/>
          <w:color w:val="000000" w:themeColor="text1"/>
          <w:shd w:val="clear" w:color="auto" w:fill="FFFFFF"/>
          <w14:textFill>
            <w14:solidFill>
              <w14:schemeClr w14:val="tx1"/>
            </w14:solidFill>
          </w14:textFill>
        </w:rPr>
        <w:t>行政处罚信息公示的途径、修复条件及流程，帮助</w:t>
      </w:r>
      <w:r>
        <w:rPr>
          <w:rFonts w:hint="eastAsia"/>
          <w:color w:val="000000" w:themeColor="text1"/>
          <w:lang w:bidi="ar"/>
          <w14:textFill>
            <w14:solidFill>
              <w14:schemeClr w14:val="tx1"/>
            </w14:solidFill>
          </w14:textFill>
        </w:rPr>
        <w:t>市场主体</w:t>
      </w:r>
      <w:r>
        <w:rPr>
          <w:rFonts w:hint="eastAsia"/>
          <w:color w:val="000000" w:themeColor="text1"/>
          <w:shd w:val="clear" w:color="auto" w:fill="FFFFFF"/>
          <w14:textFill>
            <w14:solidFill>
              <w14:schemeClr w14:val="tx1"/>
            </w14:solidFill>
          </w14:textFill>
        </w:rPr>
        <w:t>及时纠正失信行为，促进信用修复；《行政合规建议书》针对</w:t>
      </w:r>
      <w:r>
        <w:rPr>
          <w:rFonts w:hint="eastAsia"/>
          <w:color w:val="000000" w:themeColor="text1"/>
          <w:lang w:bidi="ar"/>
          <w14:textFill>
            <w14:solidFill>
              <w14:schemeClr w14:val="tx1"/>
            </w14:solidFill>
          </w14:textFill>
        </w:rPr>
        <w:t>市场主体</w:t>
      </w:r>
      <w:r>
        <w:rPr>
          <w:rFonts w:hint="eastAsia"/>
          <w:color w:val="000000" w:themeColor="text1"/>
          <w:shd w:val="clear" w:color="auto" w:fill="FFFFFF"/>
          <w14:textFill>
            <w14:solidFill>
              <w14:schemeClr w14:val="tx1"/>
            </w14:solidFill>
          </w14:textFill>
        </w:rPr>
        <w:t>的具体违法行为与涉法风险，提供改正建议，引导</w:t>
      </w:r>
      <w:r>
        <w:rPr>
          <w:rFonts w:hint="eastAsia"/>
          <w:color w:val="000000" w:themeColor="text1"/>
          <w:lang w:bidi="ar"/>
          <w14:textFill>
            <w14:solidFill>
              <w14:schemeClr w14:val="tx1"/>
            </w14:solidFill>
          </w14:textFill>
        </w:rPr>
        <w:t>市场主体</w:t>
      </w:r>
      <w:r>
        <w:rPr>
          <w:rFonts w:hint="eastAsia"/>
          <w:color w:val="000000" w:themeColor="text1"/>
          <w:shd w:val="clear" w:color="auto" w:fill="FFFFFF"/>
          <w14:textFill>
            <w14:solidFill>
              <w14:schemeClr w14:val="tx1"/>
            </w14:solidFill>
          </w14:textFill>
        </w:rPr>
        <w:t>建立内部合规管理制度，避免再次发生违法行为。</w:t>
      </w:r>
    </w:p>
    <w:p w14:paraId="46304AD0">
      <w:pPr>
        <w:pStyle w:val="169"/>
        <w:rPr>
          <w:color w:val="000000" w:themeColor="text1"/>
          <w:shd w:val="clear" w:color="auto" w:fill="FFFFFF"/>
          <w14:textFill>
            <w14:solidFill>
              <w14:schemeClr w14:val="tx1"/>
            </w14:solidFill>
          </w14:textFill>
        </w:rPr>
      </w:pPr>
      <w:r>
        <w:rPr>
          <w:rFonts w:hint="eastAsia"/>
          <w:color w:val="000000" w:themeColor="text1"/>
          <w:shd w:val="clear" w:color="auto" w:fill="FFFFFF"/>
          <w14:textFill>
            <w14:solidFill>
              <w14:schemeClr w14:val="tx1"/>
            </w14:solidFill>
          </w14:textFill>
        </w:rPr>
        <w:t>《行政处罚信息信用修复告知书》《行政合规建议书》按照格式文本规范填写，一式两份，一份随处罚决定书送达，一份随案卷归档。</w:t>
      </w:r>
    </w:p>
    <w:p w14:paraId="45B2F723">
      <w:pPr>
        <w:pStyle w:val="169"/>
        <w:rPr>
          <w:color w:val="000000" w:themeColor="text1"/>
          <w:shd w:val="clear" w:color="auto" w:fill="FFFFFF"/>
          <w14:textFill>
            <w14:solidFill>
              <w14:schemeClr w14:val="tx1"/>
            </w14:solidFill>
          </w14:textFill>
        </w:rPr>
      </w:pPr>
      <w:r>
        <w:rPr>
          <w:rFonts w:hint="eastAsia"/>
          <w:color w:val="000000" w:themeColor="text1"/>
          <w:shd w:val="clear" w:color="auto" w:fill="FFFFFF"/>
          <w14:textFill>
            <w14:solidFill>
              <w14:schemeClr w14:val="tx1"/>
            </w14:solidFill>
          </w14:textFill>
        </w:rPr>
        <w:t>《行政处罚信息信用修复告知书》应载明行政处罚信息公示期限、修复条件、修复申请路径、提交材料以及咨询电话等。</w:t>
      </w:r>
    </w:p>
    <w:p w14:paraId="7DBFD0EE">
      <w:pPr>
        <w:pStyle w:val="169"/>
        <w:rPr>
          <w:color w:val="000000" w:themeColor="text1"/>
          <w:shd w:val="clear" w:color="auto" w:fill="FFFFFF"/>
          <w14:textFill>
            <w14:solidFill>
              <w14:schemeClr w14:val="tx1"/>
            </w14:solidFill>
          </w14:textFill>
        </w:rPr>
      </w:pPr>
      <w:r>
        <w:rPr>
          <w:rFonts w:hint="eastAsia"/>
          <w:color w:val="000000" w:themeColor="text1"/>
          <w:shd w:val="clear" w:color="auto" w:fill="FFFFFF"/>
          <w14:textFill>
            <w14:solidFill>
              <w14:schemeClr w14:val="tx1"/>
            </w14:solidFill>
          </w14:textFill>
        </w:rPr>
        <w:t>《行政合规建议书》结合具体案情，提出有针对性的守信合规建议，规范和指导经营主体依法经营、诚信经营。</w:t>
      </w:r>
    </w:p>
    <w:p w14:paraId="42BF24C9">
      <w:pPr>
        <w:pStyle w:val="109"/>
        <w:spacing w:before="156" w:after="156"/>
        <w:rPr>
          <w:color w:val="000000" w:themeColor="text1"/>
          <w:shd w:val="clear" w:color="auto" w:fill="FFFFFF"/>
          <w14:textFill>
            <w14:solidFill>
              <w14:schemeClr w14:val="tx1"/>
            </w14:solidFill>
          </w14:textFill>
        </w:rPr>
      </w:pPr>
      <w:bookmarkStart w:id="86" w:name="_Toc198545677"/>
      <w:bookmarkStart w:id="87" w:name="_Toc211863299"/>
      <w:r>
        <w:rPr>
          <w:rFonts w:hint="eastAsia"/>
          <w:color w:val="000000" w:themeColor="text1"/>
          <w:shd w:val="clear" w:color="auto" w:fill="FFFFFF"/>
          <w14:textFill>
            <w14:solidFill>
              <w14:schemeClr w14:val="tx1"/>
            </w14:solidFill>
          </w14:textFill>
        </w:rPr>
        <w:t>跟踪</w:t>
      </w:r>
      <w:bookmarkEnd w:id="86"/>
      <w:r>
        <w:rPr>
          <w:rFonts w:hint="eastAsia"/>
          <w:color w:val="000000" w:themeColor="text1"/>
          <w:shd w:val="clear" w:color="auto" w:fill="FFFFFF"/>
          <w14:textFill>
            <w14:solidFill>
              <w14:schemeClr w14:val="tx1"/>
            </w14:solidFill>
          </w14:textFill>
        </w:rPr>
        <w:t>帮扶</w:t>
      </w:r>
      <w:bookmarkEnd w:id="87"/>
    </w:p>
    <w:p w14:paraId="39F30345">
      <w:pPr>
        <w:pStyle w:val="169"/>
      </w:pPr>
      <w:r>
        <w:rPr>
          <w:rFonts w:hint="eastAsia"/>
        </w:rPr>
        <w:t>案件处置完成后，应实地核查行政相对人整改情况，确认违法行为是否纠正到位。核查过程应坚持教育指导与执法监督相结合，推广运用说服教育、劝导示范等非强制性方式，</w:t>
      </w:r>
      <w:r>
        <w:t>确保整改到位</w:t>
      </w:r>
      <w:r>
        <w:rPr>
          <w:rFonts w:hint="eastAsia"/>
        </w:rPr>
        <w:t>。</w:t>
      </w:r>
    </w:p>
    <w:p w14:paraId="3AD13626">
      <w:pPr>
        <w:pStyle w:val="169"/>
      </w:pPr>
      <w:r>
        <w:rPr>
          <w:rFonts w:hint="eastAsia"/>
        </w:rPr>
        <w:t>持续监测相对人经营动态，依托日常巡查或</w:t>
      </w:r>
      <w:r>
        <w:t>书面核查</w:t>
      </w:r>
      <w:r>
        <w:rPr>
          <w:rFonts w:hint="eastAsia"/>
        </w:rPr>
        <w:t>，定期分析经营数据与监管信息，及时发现并预警二次违法风险。</w:t>
      </w:r>
    </w:p>
    <w:p w14:paraId="07171F9B">
      <w:pPr>
        <w:pStyle w:val="169"/>
      </w:pPr>
      <w:r>
        <w:rPr>
          <w:rFonts w:hint="eastAsia"/>
        </w:rPr>
        <w:t>建立健全社会监督与舆情回应机制，广泛收集群众意见、媒体反馈和网络舆情，定期归纳分析。对合理建议及时采纳，对反映问题属实的依法处置，动态优化监管措施。</w:t>
      </w:r>
    </w:p>
    <w:p w14:paraId="1D2441F2">
      <w:pPr>
        <w:pStyle w:val="169"/>
      </w:pPr>
      <w:r>
        <w:rPr>
          <w:rFonts w:hint="eastAsia"/>
        </w:rPr>
        <w:t>对存在重复违法风险或整改不到位的市场主体，纳入重点监管清单，实施定向辅导与合规帮扶。</w:t>
      </w:r>
    </w:p>
    <w:p w14:paraId="1302A314">
      <w:pPr>
        <w:pStyle w:val="169"/>
      </w:pPr>
      <w:r>
        <w:rPr>
          <w:rFonts w:hint="eastAsia"/>
        </w:rPr>
        <w:t xml:space="preserve">由基层市场监管部门会同市场监管领域技术机构对辖区重点行业、重点企业进行精准式访问，广泛收集企业监管服务需求，了解市场主体困难需求，依据反馈的热点、难点问题及回访意见开展精准服务及舆情动态分析。 </w:t>
      </w:r>
    </w:p>
    <w:p w14:paraId="6736F8A6">
      <w:pPr>
        <w:pStyle w:val="169"/>
      </w:pPr>
      <w:r>
        <w:rPr>
          <w:rFonts w:hint="eastAsia"/>
        </w:rPr>
        <w:t>实施中小企业精准服务活动，开展“一对一”预约助企服务，提升行政许可审批、计量、标准、认证服务、知识产权保护等技术服务成效，及时总结精准服务案例。</w:t>
      </w:r>
    </w:p>
    <w:p w14:paraId="42EDF5F6">
      <w:pPr>
        <w:pStyle w:val="169"/>
      </w:pPr>
      <w:r>
        <w:rPr>
          <w:rFonts w:hint="eastAsia"/>
        </w:rPr>
        <w:t>统筹市场监管领域技术机构资源优势，构建结对帮扶、标准研制、计量比对、质量验证等质量技术创新体系，成立质量强链志愿服务队，精准开展质量攻关和共性质量技术创新帮扶项目。</w:t>
      </w:r>
    </w:p>
    <w:p w14:paraId="3E01A94C">
      <w:pPr>
        <w:pStyle w:val="109"/>
        <w:spacing w:before="156" w:after="156"/>
        <w:rPr>
          <w:color w:val="000000" w:themeColor="text1"/>
          <w14:textFill>
            <w14:solidFill>
              <w14:schemeClr w14:val="tx1"/>
            </w14:solidFill>
          </w14:textFill>
        </w:rPr>
      </w:pPr>
      <w:bookmarkStart w:id="88" w:name="_Toc198545680"/>
      <w:bookmarkStart w:id="89" w:name="_Toc211863300"/>
      <w:r>
        <w:rPr>
          <w:rFonts w:hint="eastAsia"/>
          <w:color w:val="000000" w:themeColor="text1"/>
          <w14:textFill>
            <w14:solidFill>
              <w14:schemeClr w14:val="tx1"/>
            </w14:solidFill>
          </w14:textFill>
        </w:rPr>
        <w:t>信用修复</w:t>
      </w:r>
      <w:bookmarkEnd w:id="88"/>
      <w:bookmarkEnd w:id="89"/>
    </w:p>
    <w:p w14:paraId="60C894A9">
      <w:pPr>
        <w:pStyle w:val="169"/>
        <w:rPr>
          <w:color w:val="000000" w:themeColor="text1"/>
          <w:shd w:val="clear" w:color="auto" w:fill="FFFFFF"/>
          <w14:textFill>
            <w14:solidFill>
              <w14:schemeClr w14:val="tx1"/>
            </w14:solidFill>
          </w14:textFill>
        </w:rPr>
      </w:pPr>
      <w:r>
        <w:rPr>
          <w:rFonts w:hint="eastAsia"/>
          <w:color w:val="000000" w:themeColor="text1"/>
          <w:shd w:val="clear" w:color="auto" w:fill="FFFFFF"/>
          <w14:textFill>
            <w14:solidFill>
              <w14:schemeClr w14:val="tx1"/>
            </w14:solidFill>
          </w14:textFill>
        </w:rPr>
        <w:t>通过市场监管部门官网官微和政务服务窗口，广泛宣传信用修复政策法规、办事指南、典型案例等。</w:t>
      </w:r>
    </w:p>
    <w:p w14:paraId="09FBFF40">
      <w:pPr>
        <w:pStyle w:val="169"/>
        <w:rPr>
          <w:color w:val="000000" w:themeColor="text1"/>
          <w:shd w:val="clear" w:color="auto" w:fill="FFFFFF"/>
          <w14:textFill>
            <w14:solidFill>
              <w14:schemeClr w14:val="tx1"/>
            </w14:solidFill>
          </w14:textFill>
        </w:rPr>
      </w:pPr>
      <w:r>
        <w:rPr>
          <w:rFonts w:hint="eastAsia"/>
          <w:color w:val="000000" w:themeColor="text1"/>
          <w:lang w:bidi="ar"/>
          <w14:textFill>
            <w14:solidFill>
              <w14:schemeClr w14:val="tx1"/>
            </w14:solidFill>
          </w14:textFill>
        </w:rPr>
        <w:t>市场主体</w:t>
      </w:r>
      <w:r>
        <w:rPr>
          <w:rFonts w:hint="eastAsia"/>
          <w:color w:val="000000" w:themeColor="text1"/>
          <w:shd w:val="clear" w:color="auto" w:fill="FFFFFF"/>
          <w14:textFill>
            <w14:solidFill>
              <w14:schemeClr w14:val="tx1"/>
            </w14:solidFill>
          </w14:textFill>
        </w:rPr>
        <w:t>可通过国家企业信用信息公示系统线上申请信用修复，便利信用修复“网上办”“掌上办”“邮寄办”。</w:t>
      </w:r>
    </w:p>
    <w:p w14:paraId="237BE449">
      <w:pPr>
        <w:pStyle w:val="169"/>
        <w:rPr>
          <w:color w:val="000000" w:themeColor="text1"/>
          <w:shd w:val="clear" w:color="auto" w:fill="FFFFFF"/>
          <w14:textFill>
            <w14:solidFill>
              <w14:schemeClr w14:val="tx1"/>
            </w14:solidFill>
          </w14:textFill>
        </w:rPr>
      </w:pPr>
      <w:r>
        <w:rPr>
          <w:rFonts w:hint="eastAsia"/>
          <w:color w:val="000000" w:themeColor="text1"/>
          <w:shd w:val="clear" w:color="auto" w:fill="FFFFFF"/>
          <w14:textFill>
            <w14:solidFill>
              <w14:schemeClr w14:val="tx1"/>
            </w14:solidFill>
          </w14:textFill>
        </w:rPr>
        <w:t>对未按照规定及时年报、未公示即时信息而列异的修复申请，经网络核查已经纠正的，即申即办。对通过登记的住所（经营场所）失联而列异的修复申请，经实地核查通过变更登记或原登记的住所（经营场所）可以重新取得联系的，予以办理。灵活采取网络、书面、实地核查等方式，对当事人履行法定义务、纠正违法行为等情况进行核实。</w:t>
      </w:r>
    </w:p>
    <w:p w14:paraId="62F19A89">
      <w:pPr>
        <w:pStyle w:val="169"/>
        <w:rPr>
          <w:color w:val="000000" w:themeColor="text1"/>
          <w:shd w:val="clear" w:color="auto" w:fill="FFFFFF"/>
          <w14:textFill>
            <w14:solidFill>
              <w14:schemeClr w14:val="tx1"/>
            </w14:solidFill>
          </w14:textFill>
        </w:rPr>
      </w:pPr>
      <w:r>
        <w:rPr>
          <w:rFonts w:hint="eastAsia"/>
          <w:color w:val="000000" w:themeColor="text1"/>
          <w:shd w:val="clear" w:color="auto" w:fill="FFFFFF"/>
          <w14:textFill>
            <w14:solidFill>
              <w14:schemeClr w14:val="tx1"/>
            </w14:solidFill>
          </w14:textFill>
        </w:rPr>
        <w:t>压减信用修复办理时限。对未按照规定及时年报、未公示即时信息被列异的修复申请，自收到申请之日起三个工作日内作出决定。因登记住所（经营场所）失联被列异的修复申请，自查实之日起三个工作日内作出决定。行政处罚信息公示、严重违法失信名单的信用修复，自受理之日起七个工作日内作出决定。协助省局或异地市场监管部门进行信用修复核查的，在三个工作日内实施核查并反馈核查意见。</w:t>
      </w:r>
    </w:p>
    <w:p w14:paraId="69C267B0">
      <w:pPr>
        <w:pStyle w:val="169"/>
        <w:rPr>
          <w:color w:val="000000" w:themeColor="text1"/>
          <w:shd w:val="clear" w:color="auto" w:fill="FFFFFF"/>
          <w14:textFill>
            <w14:solidFill>
              <w14:schemeClr w14:val="tx1"/>
            </w14:solidFill>
          </w14:textFill>
        </w:rPr>
      </w:pPr>
      <w:r>
        <w:rPr>
          <w:rFonts w:hint="eastAsia"/>
          <w:color w:val="000000" w:themeColor="text1"/>
          <w:shd w:val="clear" w:color="auto" w:fill="FFFFFF"/>
          <w14:textFill>
            <w14:solidFill>
              <w14:schemeClr w14:val="tx1"/>
            </w14:solidFill>
          </w14:textFill>
        </w:rPr>
        <w:t>将市场监管部门公示的市场主体不实承诺信息和抽查检查结果信息纳入信用修复管理与服务范围。经当事人申请，对</w:t>
      </w:r>
      <w:bookmarkStart w:id="98" w:name="_GoBack"/>
      <w:r>
        <w:rPr>
          <w:rFonts w:hint="eastAsia"/>
          <w:color w:val="000000" w:themeColor="text1"/>
          <w:shd w:val="clear" w:color="auto" w:fill="FFFFFF"/>
          <w14:textFill>
            <w14:solidFill>
              <w14:schemeClr w14:val="tx1"/>
            </w14:solidFill>
          </w14:textFill>
        </w:rPr>
        <w:t>其中</w:t>
      </w:r>
      <w:bookmarkEnd w:id="98"/>
      <w:r>
        <w:rPr>
          <w:rFonts w:hint="eastAsia"/>
          <w:color w:val="000000" w:themeColor="text1"/>
          <w:shd w:val="clear" w:color="auto" w:fill="FFFFFF"/>
          <w14:textFill>
            <w14:solidFill>
              <w14:schemeClr w14:val="tx1"/>
            </w14:solidFill>
          </w14:textFill>
        </w:rPr>
        <w:t>公示期满且符合条件的，按照</w:t>
      </w:r>
      <w:bookmarkStart w:id="90" w:name="OLE_LINK9"/>
      <w:bookmarkStart w:id="91" w:name="OLE_LINK10"/>
      <w:r>
        <w:rPr>
          <w:rFonts w:hint="eastAsia"/>
          <w:color w:val="000000" w:themeColor="text1"/>
          <w:shd w:val="clear" w:color="auto" w:fill="FFFFFF"/>
          <w14:textFill>
            <w14:solidFill>
              <w14:schemeClr w14:val="tx1"/>
            </w14:solidFill>
          </w14:textFill>
        </w:rPr>
        <w:t>《安徽省市场监督管理信用修复管理暂行办法》</w:t>
      </w:r>
      <w:bookmarkEnd w:id="90"/>
      <w:bookmarkEnd w:id="91"/>
      <w:r>
        <w:rPr>
          <w:rFonts w:hint="eastAsia"/>
          <w:color w:val="000000" w:themeColor="text1"/>
          <w:shd w:val="clear" w:color="auto" w:fill="FFFFFF"/>
          <w14:textFill>
            <w14:solidFill>
              <w14:schemeClr w14:val="tx1"/>
            </w14:solidFill>
          </w14:textFill>
        </w:rPr>
        <w:t>的有关规定，停止公示。</w:t>
      </w:r>
    </w:p>
    <w:p w14:paraId="6210B6AF">
      <w:pPr>
        <w:pStyle w:val="169"/>
        <w:rPr>
          <w:color w:val="000000" w:themeColor="text1"/>
          <w:shd w:val="clear" w:color="auto" w:fill="FFFFFF"/>
          <w14:textFill>
            <w14:solidFill>
              <w14:schemeClr w14:val="tx1"/>
            </w14:solidFill>
          </w14:textFill>
        </w:rPr>
      </w:pPr>
      <w:r>
        <w:rPr>
          <w:rFonts w:hint="eastAsia"/>
          <w:color w:val="000000" w:themeColor="text1"/>
          <w:shd w:val="clear" w:color="auto" w:fill="FFFFFF"/>
          <w14:textFill>
            <w14:solidFill>
              <w14:schemeClr w14:val="tx1"/>
            </w14:solidFill>
          </w14:textFill>
        </w:rPr>
        <w:t>会同发改部门，建立信用信息修复联动工作机制。推动信用修复信息共享，实现“一口申请、两网修复”，高效办成“信用修复一件事”。</w:t>
      </w:r>
    </w:p>
    <w:p w14:paraId="363D390F">
      <w:pPr>
        <w:pStyle w:val="108"/>
        <w:spacing w:before="312" w:after="312"/>
        <w:rPr>
          <w:color w:val="000000" w:themeColor="text1"/>
          <w14:textFill>
            <w14:solidFill>
              <w14:schemeClr w14:val="tx1"/>
            </w14:solidFill>
          </w14:textFill>
        </w:rPr>
      </w:pPr>
      <w:bookmarkStart w:id="92" w:name="_Toc198545681"/>
      <w:bookmarkStart w:id="93" w:name="_Toc211863301"/>
      <w:r>
        <w:rPr>
          <w:rFonts w:hint="eastAsia"/>
          <w:color w:val="000000" w:themeColor="text1"/>
          <w14:textFill>
            <w14:solidFill>
              <w14:schemeClr w14:val="tx1"/>
            </w14:solidFill>
          </w14:textFill>
        </w:rPr>
        <w:t>执法保障</w:t>
      </w:r>
      <w:bookmarkEnd w:id="92"/>
      <w:bookmarkEnd w:id="93"/>
    </w:p>
    <w:bookmarkEnd w:id="25"/>
    <w:p w14:paraId="65C2B3FD">
      <w:pPr>
        <w:pStyle w:val="166"/>
        <w:rPr>
          <w:rFonts w:hAnsi="宋体" w:cs="宋体"/>
          <w:color w:val="000000" w:themeColor="text1"/>
          <w:szCs w:val="21"/>
          <w14:textFill>
            <w14:solidFill>
              <w14:schemeClr w14:val="tx1"/>
            </w14:solidFill>
          </w14:textFill>
        </w:rPr>
      </w:pPr>
      <w:bookmarkStart w:id="94" w:name="BookMark6"/>
      <w:r>
        <w:rPr>
          <w:rFonts w:hint="eastAsia"/>
          <w:color w:val="000000" w:themeColor="text1"/>
          <w14:textFill>
            <w14:solidFill>
              <w14:schemeClr w14:val="tx1"/>
            </w14:solidFill>
          </w14:textFill>
        </w:rPr>
        <w:t>应强化督查检查，不定期对基层一线执法人员着装规范和执法文明用语督查指导，市场监管执法装备配备参照DB34/T 4883行，市场监管行政执法全过程记录参照DB34/T 4884执行。</w:t>
      </w:r>
    </w:p>
    <w:p w14:paraId="797FCBF2">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每年度开展服务型执法工作规范培训，重点对基层一线及新进执法人员进行宣贯。</w:t>
      </w:r>
    </w:p>
    <w:p w14:paraId="36BFF75B">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宜</w:t>
      </w:r>
      <w:r>
        <w:rPr>
          <w:color w:val="000000" w:themeColor="text1"/>
          <w14:textFill>
            <w14:solidFill>
              <w14:schemeClr w14:val="tx1"/>
            </w14:solidFill>
          </w14:textFill>
        </w:rPr>
        <w:t>引入先进检测设备与信息化监管系统，提升监管效能与精准度。</w:t>
      </w:r>
    </w:p>
    <w:p w14:paraId="7D811C05">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应</w:t>
      </w:r>
      <w:r>
        <w:rPr>
          <w:color w:val="000000" w:themeColor="text1"/>
          <w14:textFill>
            <w14:solidFill>
              <w14:schemeClr w14:val="tx1"/>
            </w14:solidFill>
          </w14:textFill>
        </w:rPr>
        <w:t>强化市场监管部门与公安、司法等部门的联动机制，达成信息共享、案件移送、联合执法等工作的高效衔接。</w:t>
      </w:r>
    </w:p>
    <w:p w14:paraId="5D1CF456">
      <w:pPr>
        <w:pStyle w:val="60"/>
        <w:ind w:firstLine="420"/>
        <w:rPr>
          <w:color w:val="000000" w:themeColor="text1"/>
          <w14:textFill>
            <w14:solidFill>
              <w14:schemeClr w14:val="tx1"/>
            </w14:solidFill>
          </w14:textFill>
        </w:rPr>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pPr>
    </w:p>
    <w:p w14:paraId="3AD65F49">
      <w:pPr>
        <w:pStyle w:val="67"/>
        <w:spacing w:after="156"/>
        <w:rPr>
          <w:color w:val="000000" w:themeColor="text1"/>
          <w14:textFill>
            <w14:solidFill>
              <w14:schemeClr w14:val="tx1"/>
            </w14:solidFill>
          </w14:textFill>
        </w:rPr>
      </w:pPr>
      <w:bookmarkStart w:id="95" w:name="_Toc198545682"/>
      <w:bookmarkStart w:id="96" w:name="_Toc211863302"/>
      <w:r>
        <w:rPr>
          <w:color w:val="000000" w:themeColor="text1"/>
          <w:spacing w:val="105"/>
          <w14:textFill>
            <w14:solidFill>
              <w14:schemeClr w14:val="tx1"/>
            </w14:solidFill>
          </w14:textFill>
        </w:rPr>
        <w:t>参考文</w:t>
      </w:r>
      <w:r>
        <w:rPr>
          <w:color w:val="000000" w:themeColor="text1"/>
          <w14:textFill>
            <w14:solidFill>
              <w14:schemeClr w14:val="tx1"/>
            </w14:solidFill>
          </w14:textFill>
        </w:rPr>
        <w:t>献</w:t>
      </w:r>
      <w:bookmarkEnd w:id="95"/>
      <w:bookmarkEnd w:id="96"/>
    </w:p>
    <w:p w14:paraId="4D123767">
      <w:pPr>
        <w:numPr>
          <w:ilvl w:val="0"/>
          <w:numId w:val="32"/>
        </w:numPr>
        <w:rPr>
          <w:rFonts w:ascii="宋体" w:hAnsi="宋体"/>
          <w:color w:val="000000" w:themeColor="text1"/>
          <w14:textFill>
            <w14:solidFill>
              <w14:schemeClr w14:val="tx1"/>
            </w14:solidFill>
          </w14:textFill>
        </w:rPr>
      </w:pPr>
      <w:r>
        <w:rPr>
          <w:rFonts w:hint="eastAsia" w:ascii="宋体" w:hAnsi="宋体"/>
          <w:color w:val="000000" w:themeColor="text1"/>
          <w:shd w:val="clear" w:color="auto" w:fill="FFFFFF"/>
          <w14:textFill>
            <w14:solidFill>
              <w14:schemeClr w14:val="tx1"/>
            </w14:solidFill>
          </w14:textFill>
        </w:rPr>
        <w:t>《</w:t>
      </w:r>
      <w:r>
        <w:rPr>
          <w:rFonts w:hint="eastAsia" w:ascii="宋体" w:hAnsi="宋体"/>
          <w:color w:val="000000" w:themeColor="text1"/>
          <w14:textFill>
            <w14:solidFill>
              <w14:schemeClr w14:val="tx1"/>
            </w14:solidFill>
          </w14:textFill>
        </w:rPr>
        <w:t>关于牢固树立监管为民理念推行服务型执法的指导意见》</w:t>
      </w:r>
    </w:p>
    <w:p w14:paraId="4EE459FC">
      <w:pPr>
        <w:numPr>
          <w:ilvl w:val="0"/>
          <w:numId w:val="32"/>
        </w:numP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《市场监管领域轻微违法违规行为免罚清单》</w:t>
      </w:r>
    </w:p>
    <w:p w14:paraId="17CE0F37">
      <w:pPr>
        <w:numPr>
          <w:ilvl w:val="0"/>
          <w:numId w:val="32"/>
        </w:numP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《国务院关于进一步规范和监督罚款设定与实施的指导意见》</w:t>
      </w:r>
    </w:p>
    <w:p w14:paraId="295D0425">
      <w:pPr>
        <w:numPr>
          <w:ilvl w:val="0"/>
          <w:numId w:val="32"/>
        </w:numP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《长三角地区市场监管领域轻微违法行为不予处罚和从轻减轻处罚规定》</w:t>
      </w:r>
    </w:p>
    <w:p w14:paraId="7074D2FC">
      <w:pPr>
        <w:numPr>
          <w:ilvl w:val="0"/>
          <w:numId w:val="32"/>
        </w:numP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《市场监督管理严重违法失信名单管理办法》</w:t>
      </w:r>
    </w:p>
    <w:p w14:paraId="4CCEFBB1">
      <w:pPr>
        <w:numPr>
          <w:ilvl w:val="0"/>
          <w:numId w:val="32"/>
        </w:numP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《列入严重违法失信情形法律法规清单（试行）》</w:t>
      </w:r>
    </w:p>
    <w:p w14:paraId="3B9A8FBD">
      <w:pPr>
        <w:numPr>
          <w:ilvl w:val="0"/>
          <w:numId w:val="32"/>
        </w:numP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《安徽省商场监管管理行政处罚裁量权基准》</w:t>
      </w:r>
    </w:p>
    <w:p w14:paraId="338928B7">
      <w:pPr>
        <w:numPr>
          <w:ilvl w:val="0"/>
          <w:numId w:val="32"/>
        </w:numP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《安徽省网络交易经营行为合规指引》</w:t>
      </w:r>
    </w:p>
    <w:bookmarkEnd w:id="94"/>
    <w:p w14:paraId="2FEBD344">
      <w:pPr>
        <w:pStyle w:val="60"/>
        <w:ind w:firstLine="0" w:firstLineChars="0"/>
        <w:jc w:val="center"/>
      </w:pPr>
      <w:bookmarkStart w:id="97"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9"/>
                    <a:stretch>
                      <a:fillRect/>
                    </a:stretch>
                  </pic:blipFill>
                  <pic:spPr>
                    <a:xfrm>
                      <a:off x="0" y="0"/>
                      <a:ext cx="1485900" cy="317500"/>
                    </a:xfrm>
                    <a:prstGeom prst="rect">
                      <a:avLst/>
                    </a:prstGeom>
                  </pic:spPr>
                </pic:pic>
              </a:graphicData>
            </a:graphic>
          </wp:inline>
        </w:drawing>
      </w:r>
      <w:bookmarkEnd w:id="97"/>
    </w:p>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C78FA">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A70C2">
    <w:pPr>
      <w:pStyle w:val="56"/>
    </w:pPr>
    <w:r>
      <w:fldChar w:fldCharType="begin"/>
    </w:r>
    <w:r>
      <w:instrText xml:space="preserve">PAGE   \* MERGEFORMAT</w:instrText>
    </w:r>
    <w:r>
      <w:fldChar w:fldCharType="separate"/>
    </w:r>
    <w:r>
      <w:rPr>
        <w:lang w:val="zh-CN"/>
      </w:rPr>
      <w:t>9</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B5D3E">
    <w:pPr>
      <w:pStyle w:val="55"/>
    </w:pPr>
    <w:r>
      <w:fldChar w:fldCharType="begin"/>
    </w:r>
    <w:r>
      <w:instrText xml:space="preserve"> PAGE   \* MERGEFORMAT \* MERGEFORMAT </w:instrText>
    </w:r>
    <w:r>
      <w:fldChar w:fldCharType="separate"/>
    </w:r>
    <w: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B54F9">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49670">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7BEB1">
    <w:pPr>
      <w:pStyle w:val="56"/>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92342">
    <w:pPr>
      <w:pStyle w:val="55"/>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B6083">
    <w:pPr>
      <w:pStyle w:val="56"/>
    </w:pPr>
    <w:r>
      <w:fldChar w:fldCharType="begin"/>
    </w:r>
    <w:r>
      <w:instrText xml:space="preserve">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75374">
    <w:pPr>
      <w:pStyle w:val="55"/>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0BCCF">
    <w:pPr>
      <w:pStyle w:val="56"/>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B183C">
    <w:pPr>
      <w:pStyle w:val="55"/>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9D85C">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C3CA8">
    <w:pPr>
      <w:pStyle w:val="65"/>
    </w:pPr>
    <w:r>
      <w:fldChar w:fldCharType="begin"/>
    </w:r>
    <w:r>
      <w:instrText xml:space="preserve"> STYLEREF  标准文件_文件编号  \* MERGEFORMAT </w:instrText>
    </w:r>
    <w:r>
      <w:fldChar w:fldCharType="separate"/>
    </w:r>
    <w:r>
      <w:t>DB34/T XXXX—2025</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872D6">
    <w:pPr>
      <w:pStyle w:val="66"/>
    </w:pPr>
    <w:r>
      <w:fldChar w:fldCharType="begin"/>
    </w:r>
    <w:r>
      <w:instrText xml:space="preserve"> STYLEREF  标准文件_文件编号 \* MERGEFORMAT </w:instrText>
    </w:r>
    <w:r>
      <w:fldChar w:fldCharType="separate"/>
    </w:r>
    <w:r>
      <w:t>DB34/T XXXX—2025</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6E045">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7DC2B">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EAC27">
    <w:pPr>
      <w:pStyle w:val="65"/>
    </w:pPr>
    <w:r>
      <w:fldChar w:fldCharType="begin"/>
    </w:r>
    <w:r>
      <w:instrText xml:space="preserve"> STYLEREF  标准文件_文件编号  \* MERGEFORMAT </w:instrText>
    </w:r>
    <w:r>
      <w:fldChar w:fldCharType="separate"/>
    </w:r>
    <w:r>
      <w:t>DB34/T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0DEA8">
    <w:pPr>
      <w:pStyle w:val="66"/>
    </w:pPr>
    <w:r>
      <w:fldChar w:fldCharType="begin"/>
    </w:r>
    <w:r>
      <w:instrText xml:space="preserve"> STYLEREF  标准文件_文件编号 \* MERGEFORMAT </w:instrText>
    </w:r>
    <w:r>
      <w:fldChar w:fldCharType="separate"/>
    </w:r>
    <w:r>
      <w:t>DB34/T XXXX—2025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0ACBF">
    <w:pPr>
      <w:pStyle w:val="65"/>
    </w:pPr>
    <w:r>
      <w:fldChar w:fldCharType="begin"/>
    </w:r>
    <w:r>
      <w:instrText xml:space="preserve"> STYLEREF  标准文件_文件编号  \* MERGEFORMAT </w:instrText>
    </w:r>
    <w:r>
      <w:fldChar w:fldCharType="separate"/>
    </w:r>
    <w:r>
      <w:t>DB34/T XXXX—2025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63245">
    <w:pPr>
      <w:pStyle w:val="66"/>
    </w:pPr>
    <w:r>
      <w:fldChar w:fldCharType="begin"/>
    </w:r>
    <w:r>
      <w:instrText xml:space="preserve"> STYLEREF  标准文件_文件编号 \* MERGEFORMAT </w:instrText>
    </w:r>
    <w:r>
      <w:fldChar w:fldCharType="separate"/>
    </w:r>
    <w:r>
      <w:t>DB34/T XXXX—2025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2675B">
    <w:pPr>
      <w:pStyle w:val="65"/>
    </w:pPr>
    <w:r>
      <w:fldChar w:fldCharType="begin"/>
    </w:r>
    <w:r>
      <w:instrText xml:space="preserve"> STYLEREF  标准文件_文件编号  \* MERGEFORMAT </w:instrText>
    </w:r>
    <w:r>
      <w:fldChar w:fldCharType="separate"/>
    </w:r>
    <w:r>
      <w:t>DB34/T XXXX—2025</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23C78">
    <w:pPr>
      <w:pStyle w:val="66"/>
    </w:pPr>
    <w:r>
      <w:fldChar w:fldCharType="begin"/>
    </w:r>
    <w:r>
      <w:instrText xml:space="preserve"> STYLEREF  标准文件_文件编号 \* MERGEFORMAT </w:instrText>
    </w:r>
    <w:r>
      <w:fldChar w:fldCharType="separate"/>
    </w:r>
    <w:r>
      <w:t>DB34/T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7EC1182"/>
    <w:multiLevelType w:val="multilevel"/>
    <w:tmpl w:val="67EC1182"/>
    <w:lvl w:ilvl="0" w:tentative="0">
      <w:start w:val="1"/>
      <w:numFmt w:val="decimal"/>
      <w:lvlText w:val="[%1]"/>
      <w:lvlJc w:val="left"/>
      <w:pPr>
        <w:ind w:left="840" w:hanging="420"/>
      </w:pPr>
      <w:rPr>
        <w:rFonts w:hint="eastAsia" w:ascii="宋体" w:hAnsi="宋体" w:eastAsia="宋体"/>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5">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30"/>
  </w:num>
  <w:num w:numId="19">
    <w:abstractNumId w:val="15"/>
  </w:num>
  <w:num w:numId="20">
    <w:abstractNumId w:val="1"/>
  </w:num>
  <w:num w:numId="21">
    <w:abstractNumId w:val="10"/>
  </w:num>
  <w:num w:numId="22">
    <w:abstractNumId w:val="31"/>
  </w:num>
  <w:num w:numId="23">
    <w:abstractNumId w:val="20"/>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2"/>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A3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7E2"/>
    <w:rsid w:val="00055FE2"/>
    <w:rsid w:val="0005616F"/>
    <w:rsid w:val="00060C2E"/>
    <w:rsid w:val="00061033"/>
    <w:rsid w:val="000619E9"/>
    <w:rsid w:val="000622D4"/>
    <w:rsid w:val="0006357D"/>
    <w:rsid w:val="00067966"/>
    <w:rsid w:val="00067F1E"/>
    <w:rsid w:val="00071CC0"/>
    <w:rsid w:val="000733F4"/>
    <w:rsid w:val="00073C8C"/>
    <w:rsid w:val="00077B64"/>
    <w:rsid w:val="00080A1C"/>
    <w:rsid w:val="00082317"/>
    <w:rsid w:val="00083D2C"/>
    <w:rsid w:val="00084F8B"/>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2B3"/>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5125"/>
    <w:rsid w:val="00115AB0"/>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AE4"/>
    <w:rsid w:val="00145D9D"/>
    <w:rsid w:val="00145EA9"/>
    <w:rsid w:val="00146388"/>
    <w:rsid w:val="001525AF"/>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D0E"/>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550"/>
    <w:rsid w:val="001C2C03"/>
    <w:rsid w:val="001C42F7"/>
    <w:rsid w:val="001C49E5"/>
    <w:rsid w:val="001C5CEE"/>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BE4"/>
    <w:rsid w:val="00247F52"/>
    <w:rsid w:val="00250B25"/>
    <w:rsid w:val="00250BBE"/>
    <w:rsid w:val="002515C2"/>
    <w:rsid w:val="0025194F"/>
    <w:rsid w:val="0026148A"/>
    <w:rsid w:val="00262556"/>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3BA"/>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1E5"/>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A33"/>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44BA"/>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5500"/>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4B39"/>
    <w:rsid w:val="0047583F"/>
    <w:rsid w:val="00475DE8"/>
    <w:rsid w:val="00481C44"/>
    <w:rsid w:val="00484936"/>
    <w:rsid w:val="00485C89"/>
    <w:rsid w:val="00486BE3"/>
    <w:rsid w:val="00487908"/>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0CA9"/>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4C65"/>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554"/>
    <w:rsid w:val="00516B0B"/>
    <w:rsid w:val="005220EC"/>
    <w:rsid w:val="00523F95"/>
    <w:rsid w:val="00524D65"/>
    <w:rsid w:val="00525B16"/>
    <w:rsid w:val="00533D04"/>
    <w:rsid w:val="00534804"/>
    <w:rsid w:val="00534BDF"/>
    <w:rsid w:val="005354EA"/>
    <w:rsid w:val="0053585F"/>
    <w:rsid w:val="00535EC4"/>
    <w:rsid w:val="00535ED9"/>
    <w:rsid w:val="0053692B"/>
    <w:rsid w:val="00540D3D"/>
    <w:rsid w:val="00541853"/>
    <w:rsid w:val="00542736"/>
    <w:rsid w:val="00543BDA"/>
    <w:rsid w:val="005441CC"/>
    <w:rsid w:val="005479DA"/>
    <w:rsid w:val="00547BCC"/>
    <w:rsid w:val="0055013B"/>
    <w:rsid w:val="00551F6F"/>
    <w:rsid w:val="00552B9B"/>
    <w:rsid w:val="00553CAD"/>
    <w:rsid w:val="00555044"/>
    <w:rsid w:val="00561475"/>
    <w:rsid w:val="00562647"/>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5E59"/>
    <w:rsid w:val="005B6CF6"/>
    <w:rsid w:val="005B7422"/>
    <w:rsid w:val="005C29B8"/>
    <w:rsid w:val="005C5F21"/>
    <w:rsid w:val="005C7156"/>
    <w:rsid w:val="005D0C75"/>
    <w:rsid w:val="005D4171"/>
    <w:rsid w:val="005D6A95"/>
    <w:rsid w:val="005D6B2C"/>
    <w:rsid w:val="005D6D9C"/>
    <w:rsid w:val="005E09FB"/>
    <w:rsid w:val="005E2335"/>
    <w:rsid w:val="005E34CA"/>
    <w:rsid w:val="005E3C18"/>
    <w:rsid w:val="005E4494"/>
    <w:rsid w:val="005E6812"/>
    <w:rsid w:val="005E7881"/>
    <w:rsid w:val="005E78E0"/>
    <w:rsid w:val="005F0D9C"/>
    <w:rsid w:val="005F284E"/>
    <w:rsid w:val="005F4712"/>
    <w:rsid w:val="006015CE"/>
    <w:rsid w:val="00604784"/>
    <w:rsid w:val="00606419"/>
    <w:rsid w:val="00607D29"/>
    <w:rsid w:val="00612952"/>
    <w:rsid w:val="00614CC1"/>
    <w:rsid w:val="00615A9D"/>
    <w:rsid w:val="00615D36"/>
    <w:rsid w:val="00617387"/>
    <w:rsid w:val="006205D6"/>
    <w:rsid w:val="006252D8"/>
    <w:rsid w:val="006259BC"/>
    <w:rsid w:val="0062636B"/>
    <w:rsid w:val="00626641"/>
    <w:rsid w:val="00632182"/>
    <w:rsid w:val="00632AE0"/>
    <w:rsid w:val="00633C17"/>
    <w:rsid w:val="00634D9E"/>
    <w:rsid w:val="00636E3E"/>
    <w:rsid w:val="006379F7"/>
    <w:rsid w:val="00637E4D"/>
    <w:rsid w:val="00640620"/>
    <w:rsid w:val="00641A1F"/>
    <w:rsid w:val="0064522B"/>
    <w:rsid w:val="00645904"/>
    <w:rsid w:val="00651ACB"/>
    <w:rsid w:val="00651C47"/>
    <w:rsid w:val="00652AB2"/>
    <w:rsid w:val="00653FED"/>
    <w:rsid w:val="00654EC0"/>
    <w:rsid w:val="0065503D"/>
    <w:rsid w:val="0065525B"/>
    <w:rsid w:val="00655D4F"/>
    <w:rsid w:val="00656D29"/>
    <w:rsid w:val="00661386"/>
    <w:rsid w:val="006640E5"/>
    <w:rsid w:val="006646F1"/>
    <w:rsid w:val="00664929"/>
    <w:rsid w:val="00664F62"/>
    <w:rsid w:val="006655E1"/>
    <w:rsid w:val="00672060"/>
    <w:rsid w:val="00672BFD"/>
    <w:rsid w:val="006770F4"/>
    <w:rsid w:val="00677A84"/>
    <w:rsid w:val="0068026D"/>
    <w:rsid w:val="00680A27"/>
    <w:rsid w:val="006816A4"/>
    <w:rsid w:val="006819B8"/>
    <w:rsid w:val="00683203"/>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C78C2"/>
    <w:rsid w:val="006D04EA"/>
    <w:rsid w:val="006D0AB7"/>
    <w:rsid w:val="006D16C4"/>
    <w:rsid w:val="006D3E96"/>
    <w:rsid w:val="006D4515"/>
    <w:rsid w:val="006D4BB1"/>
    <w:rsid w:val="006D6593"/>
    <w:rsid w:val="006E23EA"/>
    <w:rsid w:val="006E51C0"/>
    <w:rsid w:val="006F03A8"/>
    <w:rsid w:val="006F2ACA"/>
    <w:rsid w:val="006F2ADC"/>
    <w:rsid w:val="006F2BFE"/>
    <w:rsid w:val="006F31E9"/>
    <w:rsid w:val="006F6284"/>
    <w:rsid w:val="007002C5"/>
    <w:rsid w:val="00704387"/>
    <w:rsid w:val="00707669"/>
    <w:rsid w:val="00711CBA"/>
    <w:rsid w:val="00711FB5"/>
    <w:rsid w:val="00712A01"/>
    <w:rsid w:val="00714F58"/>
    <w:rsid w:val="0071728A"/>
    <w:rsid w:val="00722FBF"/>
    <w:rsid w:val="00722FC2"/>
    <w:rsid w:val="00724879"/>
    <w:rsid w:val="00724E1B"/>
    <w:rsid w:val="00725949"/>
    <w:rsid w:val="00727FA2"/>
    <w:rsid w:val="007322D9"/>
    <w:rsid w:val="00732BC0"/>
    <w:rsid w:val="0073720F"/>
    <w:rsid w:val="00737796"/>
    <w:rsid w:val="0074165C"/>
    <w:rsid w:val="00742C35"/>
    <w:rsid w:val="007432CA"/>
    <w:rsid w:val="0074389F"/>
    <w:rsid w:val="007439EB"/>
    <w:rsid w:val="00743CB4"/>
    <w:rsid w:val="00743F0A"/>
    <w:rsid w:val="007444E8"/>
    <w:rsid w:val="0074548E"/>
    <w:rsid w:val="00745773"/>
    <w:rsid w:val="00746800"/>
    <w:rsid w:val="007501A8"/>
    <w:rsid w:val="00750D61"/>
    <w:rsid w:val="00750EE1"/>
    <w:rsid w:val="00752B4D"/>
    <w:rsid w:val="00755402"/>
    <w:rsid w:val="00755ECD"/>
    <w:rsid w:val="00756B26"/>
    <w:rsid w:val="00756EDF"/>
    <w:rsid w:val="007600E3"/>
    <w:rsid w:val="00761FF5"/>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4052"/>
    <w:rsid w:val="007D6518"/>
    <w:rsid w:val="007D76BD"/>
    <w:rsid w:val="007D76C8"/>
    <w:rsid w:val="007E0BF1"/>
    <w:rsid w:val="007E2F98"/>
    <w:rsid w:val="007E3AEF"/>
    <w:rsid w:val="007E6763"/>
    <w:rsid w:val="007F0ED8"/>
    <w:rsid w:val="007F0F63"/>
    <w:rsid w:val="007F75CE"/>
    <w:rsid w:val="008013A4"/>
    <w:rsid w:val="008027CE"/>
    <w:rsid w:val="00802F42"/>
    <w:rsid w:val="00804383"/>
    <w:rsid w:val="00804BB7"/>
    <w:rsid w:val="00804D41"/>
    <w:rsid w:val="0080693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29A"/>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19D6"/>
    <w:rsid w:val="008928C9"/>
    <w:rsid w:val="008930CB"/>
    <w:rsid w:val="008938DC"/>
    <w:rsid w:val="00893FD1"/>
    <w:rsid w:val="00894836"/>
    <w:rsid w:val="00895172"/>
    <w:rsid w:val="00895680"/>
    <w:rsid w:val="008961B5"/>
    <w:rsid w:val="00896DFF"/>
    <w:rsid w:val="0089762C"/>
    <w:rsid w:val="008A1893"/>
    <w:rsid w:val="008A3215"/>
    <w:rsid w:val="008A363F"/>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5121"/>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CDB"/>
    <w:rsid w:val="00977D02"/>
    <w:rsid w:val="009809BB"/>
    <w:rsid w:val="0098364B"/>
    <w:rsid w:val="009911AF"/>
    <w:rsid w:val="00991875"/>
    <w:rsid w:val="00991B3F"/>
    <w:rsid w:val="00991F92"/>
    <w:rsid w:val="00992985"/>
    <w:rsid w:val="00993889"/>
    <w:rsid w:val="0099551B"/>
    <w:rsid w:val="00996C3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B7E18"/>
    <w:rsid w:val="009C27F1"/>
    <w:rsid w:val="009C3152"/>
    <w:rsid w:val="009C4CFA"/>
    <w:rsid w:val="009C5070"/>
    <w:rsid w:val="009C6386"/>
    <w:rsid w:val="009D112C"/>
    <w:rsid w:val="009D47FA"/>
    <w:rsid w:val="009D4C5B"/>
    <w:rsid w:val="009D50D2"/>
    <w:rsid w:val="009D6BCA"/>
    <w:rsid w:val="009E0F62"/>
    <w:rsid w:val="009E4A58"/>
    <w:rsid w:val="009E597C"/>
    <w:rsid w:val="009E5A2D"/>
    <w:rsid w:val="009E5AB2"/>
    <w:rsid w:val="009E6219"/>
    <w:rsid w:val="009F0149"/>
    <w:rsid w:val="009F03B3"/>
    <w:rsid w:val="00A0096C"/>
    <w:rsid w:val="00A01757"/>
    <w:rsid w:val="00A01B48"/>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87884"/>
    <w:rsid w:val="00A9295B"/>
    <w:rsid w:val="00A93B09"/>
    <w:rsid w:val="00A94247"/>
    <w:rsid w:val="00A952D7"/>
    <w:rsid w:val="00A963F7"/>
    <w:rsid w:val="00A96AD8"/>
    <w:rsid w:val="00AA052C"/>
    <w:rsid w:val="00AA1E45"/>
    <w:rsid w:val="00AA4286"/>
    <w:rsid w:val="00AA456B"/>
    <w:rsid w:val="00AA57F5"/>
    <w:rsid w:val="00AA672E"/>
    <w:rsid w:val="00AA6EC9"/>
    <w:rsid w:val="00AA7D2B"/>
    <w:rsid w:val="00AB41D5"/>
    <w:rsid w:val="00AB6309"/>
    <w:rsid w:val="00AB6C5F"/>
    <w:rsid w:val="00AB7129"/>
    <w:rsid w:val="00AC27A6"/>
    <w:rsid w:val="00AC30F7"/>
    <w:rsid w:val="00AC3A5A"/>
    <w:rsid w:val="00AC4D95"/>
    <w:rsid w:val="00AC5DF4"/>
    <w:rsid w:val="00AC67C8"/>
    <w:rsid w:val="00AD0AEF"/>
    <w:rsid w:val="00AD11B7"/>
    <w:rsid w:val="00AD1A94"/>
    <w:rsid w:val="00AD1C05"/>
    <w:rsid w:val="00AD4126"/>
    <w:rsid w:val="00AD421C"/>
    <w:rsid w:val="00AD44FA"/>
    <w:rsid w:val="00AE070A"/>
    <w:rsid w:val="00AE101C"/>
    <w:rsid w:val="00AE37E5"/>
    <w:rsid w:val="00AE5EB4"/>
    <w:rsid w:val="00AF0C18"/>
    <w:rsid w:val="00AF3D9E"/>
    <w:rsid w:val="00AF47C5"/>
    <w:rsid w:val="00AF5398"/>
    <w:rsid w:val="00B049AF"/>
    <w:rsid w:val="00B07242"/>
    <w:rsid w:val="00B10534"/>
    <w:rsid w:val="00B11050"/>
    <w:rsid w:val="00B113DB"/>
    <w:rsid w:val="00B11D59"/>
    <w:rsid w:val="00B11D8A"/>
    <w:rsid w:val="00B12981"/>
    <w:rsid w:val="00B147DD"/>
    <w:rsid w:val="00B156FD"/>
    <w:rsid w:val="00B21F61"/>
    <w:rsid w:val="00B261F1"/>
    <w:rsid w:val="00B265BC"/>
    <w:rsid w:val="00B31FB1"/>
    <w:rsid w:val="00B33952"/>
    <w:rsid w:val="00B33C5E"/>
    <w:rsid w:val="00B342F4"/>
    <w:rsid w:val="00B34369"/>
    <w:rsid w:val="00B346E1"/>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4F7B"/>
    <w:rsid w:val="00B86677"/>
    <w:rsid w:val="00B87131"/>
    <w:rsid w:val="00B9103A"/>
    <w:rsid w:val="00B939B1"/>
    <w:rsid w:val="00B96D40"/>
    <w:rsid w:val="00B97386"/>
    <w:rsid w:val="00BA263B"/>
    <w:rsid w:val="00BA42B2"/>
    <w:rsid w:val="00BA58D4"/>
    <w:rsid w:val="00BA5B9E"/>
    <w:rsid w:val="00BA7C9A"/>
    <w:rsid w:val="00BB0DFB"/>
    <w:rsid w:val="00BB203B"/>
    <w:rsid w:val="00BB5F8F"/>
    <w:rsid w:val="00BB657A"/>
    <w:rsid w:val="00BC1A4E"/>
    <w:rsid w:val="00BC4790"/>
    <w:rsid w:val="00BC5DC7"/>
    <w:rsid w:val="00BC6B8B"/>
    <w:rsid w:val="00BC73AF"/>
    <w:rsid w:val="00BC73D8"/>
    <w:rsid w:val="00BD52D7"/>
    <w:rsid w:val="00BD5AD2"/>
    <w:rsid w:val="00BE0DDA"/>
    <w:rsid w:val="00BE22F3"/>
    <w:rsid w:val="00BE5B52"/>
    <w:rsid w:val="00BE7B8D"/>
    <w:rsid w:val="00BF0993"/>
    <w:rsid w:val="00BF10A9"/>
    <w:rsid w:val="00BF1703"/>
    <w:rsid w:val="00BF231C"/>
    <w:rsid w:val="00BF51E5"/>
    <w:rsid w:val="00BF74A6"/>
    <w:rsid w:val="00C013AD"/>
    <w:rsid w:val="00C04904"/>
    <w:rsid w:val="00C056B3"/>
    <w:rsid w:val="00C103E5"/>
    <w:rsid w:val="00C1209C"/>
    <w:rsid w:val="00C13319"/>
    <w:rsid w:val="00C13EE9"/>
    <w:rsid w:val="00C21540"/>
    <w:rsid w:val="00C21906"/>
    <w:rsid w:val="00C21BFA"/>
    <w:rsid w:val="00C22148"/>
    <w:rsid w:val="00C24C8D"/>
    <w:rsid w:val="00C25FE2"/>
    <w:rsid w:val="00C26B53"/>
    <w:rsid w:val="00C279B2"/>
    <w:rsid w:val="00C33E50"/>
    <w:rsid w:val="00C34C20"/>
    <w:rsid w:val="00C35A3E"/>
    <w:rsid w:val="00C409C5"/>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69C"/>
    <w:rsid w:val="00C7287F"/>
    <w:rsid w:val="00C80CB8"/>
    <w:rsid w:val="00C819F8"/>
    <w:rsid w:val="00C8248C"/>
    <w:rsid w:val="00C84E33"/>
    <w:rsid w:val="00C86D6F"/>
    <w:rsid w:val="00C905FC"/>
    <w:rsid w:val="00C92D03"/>
    <w:rsid w:val="00C930F6"/>
    <w:rsid w:val="00C9319C"/>
    <w:rsid w:val="00C9435D"/>
    <w:rsid w:val="00C94DF2"/>
    <w:rsid w:val="00C96741"/>
    <w:rsid w:val="00CA0E91"/>
    <w:rsid w:val="00CA2D1B"/>
    <w:rsid w:val="00CA375D"/>
    <w:rsid w:val="00CA662A"/>
    <w:rsid w:val="00CA7AFD"/>
    <w:rsid w:val="00CA7C3C"/>
    <w:rsid w:val="00CB0189"/>
    <w:rsid w:val="00CB0BA2"/>
    <w:rsid w:val="00CB1A42"/>
    <w:rsid w:val="00CB1B0C"/>
    <w:rsid w:val="00CB2C0B"/>
    <w:rsid w:val="00CB301A"/>
    <w:rsid w:val="00CB517D"/>
    <w:rsid w:val="00CC038D"/>
    <w:rsid w:val="00CC08DB"/>
    <w:rsid w:val="00CC3004"/>
    <w:rsid w:val="00CC33D7"/>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559"/>
    <w:rsid w:val="00CF7BCA"/>
    <w:rsid w:val="00D008FD"/>
    <w:rsid w:val="00D01CD3"/>
    <w:rsid w:val="00D0321C"/>
    <w:rsid w:val="00D035EC"/>
    <w:rsid w:val="00D049A6"/>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797F"/>
    <w:rsid w:val="00D61271"/>
    <w:rsid w:val="00D6383E"/>
    <w:rsid w:val="00D66846"/>
    <w:rsid w:val="00D675FB"/>
    <w:rsid w:val="00D71F25"/>
    <w:rsid w:val="00D72A9C"/>
    <w:rsid w:val="00D72C54"/>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0664B"/>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6EFD"/>
    <w:rsid w:val="00E60C63"/>
    <w:rsid w:val="00E62FF9"/>
    <w:rsid w:val="00E635D6"/>
    <w:rsid w:val="00E639BC"/>
    <w:rsid w:val="00E664CC"/>
    <w:rsid w:val="00E70388"/>
    <w:rsid w:val="00E70F92"/>
    <w:rsid w:val="00E74C54"/>
    <w:rsid w:val="00E77A03"/>
    <w:rsid w:val="00E8114A"/>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58DB"/>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1F57"/>
    <w:rsid w:val="00EE54A6"/>
    <w:rsid w:val="00EE613F"/>
    <w:rsid w:val="00EE7295"/>
    <w:rsid w:val="00EE7869"/>
    <w:rsid w:val="00EF054A"/>
    <w:rsid w:val="00EF3235"/>
    <w:rsid w:val="00EF7D66"/>
    <w:rsid w:val="00EF7E72"/>
    <w:rsid w:val="00F05A53"/>
    <w:rsid w:val="00F06D37"/>
    <w:rsid w:val="00F07B9D"/>
    <w:rsid w:val="00F11586"/>
    <w:rsid w:val="00F1183B"/>
    <w:rsid w:val="00F11C9F"/>
    <w:rsid w:val="00F12263"/>
    <w:rsid w:val="00F1409D"/>
    <w:rsid w:val="00F14214"/>
    <w:rsid w:val="00F157A9"/>
    <w:rsid w:val="00F25BB6"/>
    <w:rsid w:val="00F26B7E"/>
    <w:rsid w:val="00F27A3B"/>
    <w:rsid w:val="00F32446"/>
    <w:rsid w:val="00F33817"/>
    <w:rsid w:val="00F420D5"/>
    <w:rsid w:val="00F451EA"/>
    <w:rsid w:val="00F45447"/>
    <w:rsid w:val="00F456C6"/>
    <w:rsid w:val="00F4577B"/>
    <w:rsid w:val="00F46496"/>
    <w:rsid w:val="00F474D0"/>
    <w:rsid w:val="00F50179"/>
    <w:rsid w:val="00F515EE"/>
    <w:rsid w:val="00F52C3A"/>
    <w:rsid w:val="00F56511"/>
    <w:rsid w:val="00F6194E"/>
    <w:rsid w:val="00F623AC"/>
    <w:rsid w:val="00F6412A"/>
    <w:rsid w:val="00F65893"/>
    <w:rsid w:val="00F66A4A"/>
    <w:rsid w:val="00F67522"/>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533"/>
    <w:rsid w:val="00FB0CB9"/>
    <w:rsid w:val="00FB231D"/>
    <w:rsid w:val="00FB3CCE"/>
    <w:rsid w:val="00FB45F1"/>
    <w:rsid w:val="00FB4A72"/>
    <w:rsid w:val="00FB54E8"/>
    <w:rsid w:val="00FB7054"/>
    <w:rsid w:val="00FC17B7"/>
    <w:rsid w:val="00FC2CB7"/>
    <w:rsid w:val="00FC4090"/>
    <w:rsid w:val="00FC55B4"/>
    <w:rsid w:val="00FD00E6"/>
    <w:rsid w:val="00FD09A1"/>
    <w:rsid w:val="00FD2A7C"/>
    <w:rsid w:val="00FD59EB"/>
    <w:rsid w:val="00FD6F7E"/>
    <w:rsid w:val="00FD7299"/>
    <w:rsid w:val="00FE1FBE"/>
    <w:rsid w:val="00FE3901"/>
    <w:rsid w:val="00FE39D3"/>
    <w:rsid w:val="00FE4BCE"/>
    <w:rsid w:val="00FE54AE"/>
    <w:rsid w:val="00FE576A"/>
    <w:rsid w:val="00FE7E79"/>
    <w:rsid w:val="00FF3E7D"/>
    <w:rsid w:val="00FF5B99"/>
    <w:rsid w:val="00FF730C"/>
    <w:rsid w:val="00FF73F4"/>
    <w:rsid w:val="00FF7CE4"/>
    <w:rsid w:val="00FF7E39"/>
    <w:rsid w:val="01E40A39"/>
    <w:rsid w:val="050E236F"/>
    <w:rsid w:val="08DA5BCD"/>
    <w:rsid w:val="095C565A"/>
    <w:rsid w:val="0AC27DAE"/>
    <w:rsid w:val="0B065FC2"/>
    <w:rsid w:val="101F6442"/>
    <w:rsid w:val="13AE1860"/>
    <w:rsid w:val="17120FF0"/>
    <w:rsid w:val="1B2E769B"/>
    <w:rsid w:val="20225BC9"/>
    <w:rsid w:val="23A34FA0"/>
    <w:rsid w:val="24B8254D"/>
    <w:rsid w:val="256818CC"/>
    <w:rsid w:val="25916979"/>
    <w:rsid w:val="26154FB2"/>
    <w:rsid w:val="290D5ED8"/>
    <w:rsid w:val="2BC37160"/>
    <w:rsid w:val="2C32793F"/>
    <w:rsid w:val="2CF53483"/>
    <w:rsid w:val="310027E0"/>
    <w:rsid w:val="315A2315"/>
    <w:rsid w:val="334B07C3"/>
    <w:rsid w:val="355F6E0B"/>
    <w:rsid w:val="3A206970"/>
    <w:rsid w:val="405A2000"/>
    <w:rsid w:val="433C2CD2"/>
    <w:rsid w:val="441F2FA1"/>
    <w:rsid w:val="4447497A"/>
    <w:rsid w:val="44B836ED"/>
    <w:rsid w:val="464949DA"/>
    <w:rsid w:val="48B81751"/>
    <w:rsid w:val="51E46FF0"/>
    <w:rsid w:val="538D1507"/>
    <w:rsid w:val="54197DF5"/>
    <w:rsid w:val="584F28ED"/>
    <w:rsid w:val="5E4D3DF9"/>
    <w:rsid w:val="604A5320"/>
    <w:rsid w:val="607D065B"/>
    <w:rsid w:val="62D6719E"/>
    <w:rsid w:val="64663E50"/>
    <w:rsid w:val="64F47E78"/>
    <w:rsid w:val="6C5C0784"/>
    <w:rsid w:val="6D5C113B"/>
    <w:rsid w:val="6E76074E"/>
    <w:rsid w:val="704E0CBB"/>
    <w:rsid w:val="705D0C3F"/>
    <w:rsid w:val="75B96993"/>
    <w:rsid w:val="75BB03CC"/>
    <w:rsid w:val="77886D09"/>
    <w:rsid w:val="79B976DE"/>
    <w:rsid w:val="7A6B4181"/>
    <w:rsid w:val="7B777B34"/>
    <w:rsid w:val="7BCA2A1C"/>
    <w:rsid w:val="7FC75B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4"/>
    <w:semiHidden/>
    <w:unhideWhenUsed/>
    <w:qFormat/>
    <w:uiPriority w:val="99"/>
    <w:pPr>
      <w:jc w:val="left"/>
    </w:pPr>
  </w:style>
  <w:style w:type="paragraph" w:styleId="14">
    <w:name w:val="Body Text"/>
    <w:basedOn w:val="1"/>
    <w:link w:val="90"/>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9"/>
    <w:semiHidden/>
    <w:unhideWhenUsed/>
    <w:qFormat/>
    <w:uiPriority w:val="99"/>
    <w:rPr>
      <w:sz w:val="18"/>
      <w:szCs w:val="18"/>
    </w:rPr>
  </w:style>
  <w:style w:type="paragraph" w:styleId="18">
    <w:name w:val="footer"/>
    <w:basedOn w:val="1"/>
    <w:link w:val="48"/>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7"/>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unhideWhenUsed/>
    <w:qFormat/>
    <w:uiPriority w:val="99"/>
    <w:rPr>
      <w:sz w:val="24"/>
    </w:rPr>
  </w:style>
  <w:style w:type="paragraph" w:styleId="27">
    <w:name w:val="Title"/>
    <w:basedOn w:val="1"/>
    <w:link w:val="52"/>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35"/>
    <w:semiHidden/>
    <w:unhideWhenUsed/>
    <w:qFormat/>
    <w:uiPriority w:val="99"/>
    <w:rPr>
      <w:b/>
      <w:bCs/>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semiHidden/>
    <w:qFormat/>
    <w:uiPriority w:val="0"/>
    <w:rPr>
      <w:rFonts w:ascii="宋体" w:hAnsi="宋体" w:eastAsia="宋体" w:cs="Times New Roman"/>
      <w:spacing w:val="0"/>
      <w:sz w:val="18"/>
      <w:vertAlign w:val="superscript"/>
    </w:rPr>
  </w:style>
  <w:style w:type="character" w:customStyle="1" w:styleId="38">
    <w:name w:val="标题 1 Char"/>
    <w:link w:val="2"/>
    <w:qFormat/>
    <w:uiPriority w:val="0"/>
    <w:rPr>
      <w:b/>
      <w:bCs/>
      <w:kern w:val="44"/>
      <w:sz w:val="44"/>
      <w:szCs w:val="44"/>
    </w:rPr>
  </w:style>
  <w:style w:type="character" w:customStyle="1" w:styleId="39">
    <w:name w:val="标题 2 Char"/>
    <w:link w:val="3"/>
    <w:qFormat/>
    <w:uiPriority w:val="0"/>
    <w:rPr>
      <w:rFonts w:ascii="Arial" w:hAnsi="Arial" w:eastAsia="黑体"/>
      <w:b/>
      <w:bCs/>
      <w:kern w:val="2"/>
      <w:sz w:val="32"/>
      <w:szCs w:val="32"/>
    </w:rPr>
  </w:style>
  <w:style w:type="character" w:customStyle="1" w:styleId="40">
    <w:name w:val="标题 3 Char"/>
    <w:link w:val="4"/>
    <w:qFormat/>
    <w:uiPriority w:val="0"/>
    <w:rPr>
      <w:b/>
      <w:bCs/>
      <w:kern w:val="2"/>
      <w:sz w:val="32"/>
      <w:szCs w:val="32"/>
    </w:rPr>
  </w:style>
  <w:style w:type="character" w:customStyle="1" w:styleId="41">
    <w:name w:val="标题 4 Char"/>
    <w:link w:val="5"/>
    <w:qFormat/>
    <w:uiPriority w:val="0"/>
    <w:rPr>
      <w:rFonts w:ascii="Arial" w:hAnsi="Arial" w:eastAsia="黑体"/>
      <w:b/>
      <w:bCs/>
      <w:kern w:val="2"/>
      <w:sz w:val="28"/>
      <w:szCs w:val="28"/>
    </w:rPr>
  </w:style>
  <w:style w:type="character" w:customStyle="1" w:styleId="42">
    <w:name w:val="标题 5 Char"/>
    <w:link w:val="6"/>
    <w:qFormat/>
    <w:uiPriority w:val="0"/>
    <w:rPr>
      <w:b/>
      <w:bCs/>
      <w:kern w:val="2"/>
      <w:sz w:val="28"/>
      <w:szCs w:val="28"/>
    </w:rPr>
  </w:style>
  <w:style w:type="character" w:customStyle="1" w:styleId="43">
    <w:name w:val="标题 6 Char"/>
    <w:link w:val="7"/>
    <w:qFormat/>
    <w:uiPriority w:val="0"/>
    <w:rPr>
      <w:rFonts w:ascii="Arial" w:hAnsi="Arial" w:eastAsia="黑体"/>
      <w:b/>
      <w:bCs/>
      <w:kern w:val="2"/>
      <w:sz w:val="24"/>
      <w:szCs w:val="24"/>
    </w:rPr>
  </w:style>
  <w:style w:type="character" w:customStyle="1" w:styleId="44">
    <w:name w:val="标题 7 Char"/>
    <w:link w:val="8"/>
    <w:qFormat/>
    <w:uiPriority w:val="0"/>
    <w:rPr>
      <w:b/>
      <w:bCs/>
      <w:kern w:val="2"/>
      <w:sz w:val="24"/>
      <w:szCs w:val="24"/>
    </w:rPr>
  </w:style>
  <w:style w:type="character" w:customStyle="1" w:styleId="45">
    <w:name w:val="标题 8 Char"/>
    <w:link w:val="9"/>
    <w:qFormat/>
    <w:uiPriority w:val="0"/>
    <w:rPr>
      <w:rFonts w:ascii="Arial" w:hAnsi="Arial" w:eastAsia="黑体"/>
      <w:kern w:val="2"/>
      <w:sz w:val="24"/>
      <w:szCs w:val="24"/>
    </w:rPr>
  </w:style>
  <w:style w:type="character" w:customStyle="1" w:styleId="46">
    <w:name w:val="标题 9 Char"/>
    <w:link w:val="10"/>
    <w:qFormat/>
    <w:uiPriority w:val="0"/>
    <w:rPr>
      <w:rFonts w:ascii="Arial" w:hAnsi="Arial" w:eastAsia="黑体"/>
      <w:kern w:val="2"/>
      <w:sz w:val="21"/>
      <w:szCs w:val="21"/>
    </w:rPr>
  </w:style>
  <w:style w:type="character" w:customStyle="1" w:styleId="47">
    <w:name w:val="页眉 Char"/>
    <w:link w:val="19"/>
    <w:qFormat/>
    <w:uiPriority w:val="99"/>
    <w:rPr>
      <w:kern w:val="2"/>
      <w:sz w:val="18"/>
      <w:szCs w:val="18"/>
    </w:rPr>
  </w:style>
  <w:style w:type="character" w:customStyle="1" w:styleId="48">
    <w:name w:val="页脚 Char"/>
    <w:link w:val="18"/>
    <w:qFormat/>
    <w:uiPriority w:val="99"/>
    <w:rPr>
      <w:rFonts w:ascii="宋体"/>
      <w:kern w:val="2"/>
      <w:sz w:val="18"/>
      <w:szCs w:val="18"/>
    </w:rPr>
  </w:style>
  <w:style w:type="character" w:customStyle="1" w:styleId="49">
    <w:name w:val="批注框文本 Char"/>
    <w:link w:val="17"/>
    <w:semiHidden/>
    <w:qFormat/>
    <w:uiPriority w:val="99"/>
    <w:rPr>
      <w:kern w:val="2"/>
      <w:sz w:val="18"/>
      <w:szCs w:val="18"/>
    </w:rPr>
  </w:style>
  <w:style w:type="paragraph" w:styleId="50">
    <w:name w:val="Quote"/>
    <w:basedOn w:val="1"/>
    <w:next w:val="1"/>
    <w:link w:val="51"/>
    <w:qFormat/>
    <w:uiPriority w:val="29"/>
    <w:rPr>
      <w:i/>
      <w:iCs/>
      <w:color w:val="000000"/>
    </w:rPr>
  </w:style>
  <w:style w:type="character" w:customStyle="1" w:styleId="51">
    <w:name w:val="引用 Char"/>
    <w:link w:val="50"/>
    <w:qFormat/>
    <w:uiPriority w:val="29"/>
    <w:rPr>
      <w:i/>
      <w:iCs/>
      <w:color w:val="000000"/>
      <w:kern w:val="2"/>
      <w:sz w:val="21"/>
      <w:szCs w:val="21"/>
    </w:rPr>
  </w:style>
  <w:style w:type="character" w:customStyle="1" w:styleId="52">
    <w:name w:val="标题 Char"/>
    <w:link w:val="27"/>
    <w:qFormat/>
    <w:uiPriority w:val="0"/>
    <w:rPr>
      <w:rFonts w:ascii="Arial" w:hAnsi="Arial" w:cs="Arial"/>
      <w:b/>
      <w:bCs/>
      <w:kern w:val="2"/>
      <w:sz w:val="32"/>
      <w:szCs w:val="32"/>
    </w:rPr>
  </w:style>
  <w:style w:type="paragraph" w:customStyle="1" w:styleId="5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qFormat/>
    <w:uiPriority w:val="0"/>
    <w:pPr>
      <w:spacing w:line="0" w:lineRule="atLeast"/>
    </w:pPr>
    <w:rPr>
      <w:rFonts w:ascii="黑体" w:hAnsi="宋体" w:eastAsia="黑体"/>
    </w:rPr>
  </w:style>
  <w:style w:type="paragraph" w:customStyle="1" w:styleId="59">
    <w:name w:val="标准文件_标准正文"/>
    <w:basedOn w:val="1"/>
    <w:next w:val="60"/>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60"/>
    <w:qFormat/>
    <w:uiPriority w:val="0"/>
    <w:pPr>
      <w:numPr>
        <w:ilvl w:val="0"/>
        <w:numId w:val="3"/>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qFormat/>
    <w:uiPriority w:val="0"/>
    <w:pPr>
      <w:spacing w:line="240" w:lineRule="auto"/>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60"/>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Char"/>
    <w:link w:val="14"/>
    <w:qFormat/>
    <w:uiPriority w:val="0"/>
    <w:rPr>
      <w:kern w:val="2"/>
      <w:sz w:val="21"/>
      <w:szCs w:val="21"/>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ind w:left="0" w:firstLine="0"/>
    </w:pPr>
  </w:style>
  <w:style w:type="paragraph" w:customStyle="1" w:styleId="95">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pPr>
  </w:style>
  <w:style w:type="paragraph" w:customStyle="1" w:styleId="98">
    <w:name w:val="标准文件_三级条标题"/>
    <w:basedOn w:val="69"/>
    <w:next w:val="60"/>
    <w:qFormat/>
    <w:uiPriority w:val="0"/>
    <w:pPr>
      <w:widowControl/>
      <w:numPr>
        <w:ilvl w:val="4"/>
      </w:numPr>
      <w:outlineLvl w:val="3"/>
    </w:pPr>
  </w:style>
  <w:style w:type="character" w:customStyle="1" w:styleId="99">
    <w:name w:val="不明显参考1"/>
    <w:qFormat/>
    <w:uiPriority w:val="31"/>
    <w:rPr>
      <w:smallCaps/>
      <w:color w:val="C0504D"/>
      <w:u w:val="single"/>
    </w:r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Char"/>
    <w:link w:val="22"/>
    <w:semiHidden/>
    <w:qFormat/>
    <w:uiPriority w:val="0"/>
    <w:rPr>
      <w:rFonts w:ascii="宋体"/>
      <w:kern w:val="2"/>
      <w:sz w:val="18"/>
      <w:szCs w:val="18"/>
    </w:rPr>
  </w:style>
  <w:style w:type="paragraph" w:customStyle="1" w:styleId="104">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qFormat/>
    <w:uiPriority w:val="0"/>
    <w:pPr>
      <w:numPr>
        <w:ilvl w:val="2"/>
      </w:numPr>
      <w:spacing w:before="50" w:beforeLines="50" w:after="50" w:afterLines="5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3">
    <w:name w:val="发布部门"/>
    <w:next w:val="6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1"/>
    <w:next w:val="60"/>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autoRedefine/>
    <w:semiHidden/>
    <w:qFormat/>
    <w:uiPriority w:val="0"/>
    <w:pPr>
      <w:adjustRightInd/>
      <w:spacing w:line="240" w:lineRule="auto"/>
      <w:jc w:val="left"/>
    </w:pPr>
    <w:rPr>
      <w:bCs/>
      <w:iCs/>
    </w:rPr>
  </w:style>
  <w:style w:type="paragraph" w:customStyle="1" w:styleId="147">
    <w:name w:val="目录 31"/>
    <w:basedOn w:val="1"/>
    <w:next w:val="1"/>
    <w:autoRedefine/>
    <w:semiHidden/>
    <w:qFormat/>
    <w:uiPriority w:val="0"/>
    <w:pPr>
      <w:spacing w:line="240" w:lineRule="auto"/>
    </w:pPr>
    <w:rPr>
      <w:rFonts w:ascii="宋体" w:hAnsi="宋体"/>
      <w:iCs/>
    </w:rPr>
  </w:style>
  <w:style w:type="paragraph" w:customStyle="1" w:styleId="148">
    <w:name w:val="目录 41"/>
    <w:basedOn w:val="1"/>
    <w:next w:val="1"/>
    <w:autoRedefine/>
    <w:semiHidden/>
    <w:qFormat/>
    <w:uiPriority w:val="0"/>
    <w:pPr>
      <w:adjustRightInd/>
      <w:spacing w:line="240" w:lineRule="auto"/>
      <w:jc w:val="left"/>
    </w:pPr>
  </w:style>
  <w:style w:type="paragraph" w:customStyle="1" w:styleId="149">
    <w:name w:val="目录 51"/>
    <w:basedOn w:val="1"/>
    <w:next w:val="1"/>
    <w:autoRedefine/>
    <w:semiHidden/>
    <w:qFormat/>
    <w:uiPriority w:val="0"/>
    <w:pPr>
      <w:spacing w:line="240" w:lineRule="auto"/>
    </w:pPr>
    <w:rPr>
      <w:rFonts w:ascii="宋体" w:hAnsi="宋体"/>
    </w:rPr>
  </w:style>
  <w:style w:type="paragraph" w:customStyle="1" w:styleId="150">
    <w:name w:val="目录 61"/>
    <w:basedOn w:val="1"/>
    <w:next w:val="1"/>
    <w:autoRedefine/>
    <w:semiHidden/>
    <w:qFormat/>
    <w:uiPriority w:val="0"/>
    <w:pPr>
      <w:adjustRightInd/>
      <w:spacing w:line="240" w:lineRule="auto"/>
      <w:jc w:val="left"/>
    </w:pPr>
  </w:style>
  <w:style w:type="paragraph" w:customStyle="1" w:styleId="151">
    <w:name w:val="目录 71"/>
    <w:basedOn w:val="150"/>
    <w:autoRedefine/>
    <w:semiHidden/>
    <w:qFormat/>
    <w:uiPriority w:val="0"/>
    <w:pPr>
      <w:ind w:left="1260"/>
    </w:pPr>
  </w:style>
  <w:style w:type="paragraph" w:customStyle="1" w:styleId="152">
    <w:name w:val="目录 81"/>
    <w:basedOn w:val="151"/>
    <w:autoRedefine/>
    <w:semiHidden/>
    <w:qFormat/>
    <w:uiPriority w:val="0"/>
    <w:pPr>
      <w:ind w:left="1470"/>
    </w:pPr>
  </w:style>
  <w:style w:type="paragraph" w:customStyle="1" w:styleId="153">
    <w:name w:val="目录 91"/>
    <w:basedOn w:val="152"/>
    <w:autoRedefine/>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framePr w:wrap="around"/>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8">
    <w:name w:val="实施日期"/>
    <w:basedOn w:val="124"/>
    <w:qFormat/>
    <w:uiPriority w:val="0"/>
    <w:pPr>
      <w:framePr w:hSpace="0" w:wrap="around" w:xAlign="right"/>
      <w:jc w:val="right"/>
    </w:pPr>
  </w:style>
  <w:style w:type="paragraph" w:customStyle="1" w:styleId="15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adjustRightInd/>
    </w:pPr>
    <w:rPr>
      <w:szCs w:val="24"/>
    </w:rPr>
  </w:style>
  <w:style w:type="paragraph" w:customStyle="1" w:styleId="16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0" w:beforeLines="0" w:after="0" w:afterLines="0"/>
      <w:outlineLvl w:val="9"/>
    </w:pPr>
    <w:rPr>
      <w:rFonts w:ascii="宋体" w:eastAsia="宋体"/>
    </w:rPr>
  </w:style>
  <w:style w:type="paragraph" w:customStyle="1" w:styleId="167">
    <w:name w:val="标准文件_五级无标题"/>
    <w:basedOn w:val="107"/>
    <w:qFormat/>
    <w:uiPriority w:val="0"/>
    <w:pPr>
      <w:spacing w:before="0" w:beforeLines="0" w:after="0" w:afterLines="0"/>
      <w:outlineLvl w:val="9"/>
    </w:pPr>
    <w:rPr>
      <w:rFonts w:ascii="宋体" w:eastAsia="宋体"/>
    </w:rPr>
  </w:style>
  <w:style w:type="paragraph" w:customStyle="1" w:styleId="168">
    <w:name w:val="标准文件_三级无标题"/>
    <w:basedOn w:val="98"/>
    <w:qFormat/>
    <w:uiPriority w:val="0"/>
    <w:pPr>
      <w:spacing w:before="0" w:beforeLines="0" w:after="0" w:afterLines="0"/>
      <w:outlineLvl w:val="9"/>
    </w:pPr>
    <w:rPr>
      <w:rFonts w:ascii="宋体" w:eastAsia="宋体"/>
    </w:rPr>
  </w:style>
  <w:style w:type="paragraph" w:customStyle="1" w:styleId="169">
    <w:name w:val="标准文件_二级无标题"/>
    <w:basedOn w:val="69"/>
    <w:qFormat/>
    <w:uiPriority w:val="0"/>
    <w:pPr>
      <w:spacing w:before="0" w:beforeLines="0" w:after="0" w:afterLines="0"/>
      <w:outlineLvl w:val="9"/>
    </w:pPr>
    <w:rPr>
      <w:rFonts w:asci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0"/>
    <w:qFormat/>
    <w:uiPriority w:val="0"/>
    <w:pPr>
      <w:numPr>
        <w:ilvl w:val="0"/>
        <w:numId w:val="24"/>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5"/>
      </w:numPr>
      <w:adjustRightInd/>
      <w:spacing w:line="240" w:lineRule="auto"/>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next w:val="6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qFormat/>
    <w:uiPriority w:val="0"/>
    <w:pPr>
      <w:ind w:firstLine="420"/>
    </w:pPr>
    <w:rPr>
      <w:sz w:val="18"/>
    </w:rPr>
  </w:style>
  <w:style w:type="paragraph" w:customStyle="1" w:styleId="187">
    <w:name w:val="标准文件_示例×："/>
    <w:basedOn w:val="1"/>
    <w:next w:val="186"/>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8">
    <w:name w:val="标准文件_段 Char"/>
    <w:link w:val="60"/>
    <w:qFormat/>
    <w:uiPriority w:val="0"/>
    <w:rPr>
      <w:rFonts w:ascii="宋体" w:hAnsi="Times New Roman"/>
      <w:sz w:val="21"/>
    </w:rPr>
  </w:style>
  <w:style w:type="paragraph" w:customStyle="1" w:styleId="189">
    <w:name w:val="标准文件_表格续"/>
    <w:basedOn w:val="60"/>
    <w:next w:val="60"/>
    <w:qFormat/>
    <w:uiPriority w:val="0"/>
    <w:pPr>
      <w:jc w:val="center"/>
    </w:pPr>
    <w:rPr>
      <w:rFonts w:ascii="黑体" w:hAnsi="黑体" w:eastAsia="黑体"/>
    </w:rPr>
  </w:style>
  <w:style w:type="character" w:styleId="190">
    <w:name w:val="Placeholder Text"/>
    <w:basedOn w:val="31"/>
    <w:semiHidden/>
    <w:qFormat/>
    <w:uiPriority w:val="99"/>
    <w:rPr>
      <w:color w:val="808080"/>
    </w:rPr>
  </w:style>
  <w:style w:type="paragraph" w:customStyle="1" w:styleId="191">
    <w:name w:val="标准文件_二级项2"/>
    <w:basedOn w:val="60"/>
    <w:qFormat/>
    <w:uiPriority w:val="0"/>
    <w:pPr>
      <w:numPr>
        <w:ilvl w:val="1"/>
        <w:numId w:val="21"/>
      </w:numPr>
      <w:ind w:firstLine="0" w:firstLineChars="0"/>
    </w:pPr>
  </w:style>
  <w:style w:type="paragraph" w:customStyle="1" w:styleId="192">
    <w:name w:val="标准文件_三级项2"/>
    <w:basedOn w:val="60"/>
    <w:qFormat/>
    <w:uiPriority w:val="0"/>
    <w:pPr>
      <w:numPr>
        <w:ilvl w:val="0"/>
        <w:numId w:val="30"/>
      </w:numPr>
      <w:spacing w:line="300" w:lineRule="exact"/>
      <w:ind w:firstLineChars="0"/>
    </w:pPr>
    <w:rPr>
      <w:rFonts w:ascii="Times New Roman"/>
    </w:rPr>
  </w:style>
  <w:style w:type="paragraph" w:customStyle="1" w:styleId="193">
    <w:name w:val="标准文件_一级项2"/>
    <w:basedOn w:val="60"/>
    <w:qFormat/>
    <w:uiPriority w:val="0"/>
    <w:pPr>
      <w:numPr>
        <w:ilvl w:val="0"/>
        <w:numId w:val="31"/>
      </w:numPr>
      <w:spacing w:line="300" w:lineRule="exact"/>
      <w:ind w:firstLineChars="0"/>
    </w:pPr>
    <w:rPr>
      <w:rFonts w:ascii="Times New Roman"/>
    </w:rPr>
  </w:style>
  <w:style w:type="paragraph" w:customStyle="1" w:styleId="194">
    <w:name w:val="标准文件_提示"/>
    <w:basedOn w:val="60"/>
    <w:next w:val="60"/>
    <w:qFormat/>
    <w:uiPriority w:val="0"/>
    <w:pPr>
      <w:ind w:firstLine="420"/>
    </w:pPr>
    <w:rPr>
      <w:rFonts w:ascii="黑体" w:eastAsia="黑体"/>
    </w:rPr>
  </w:style>
  <w:style w:type="character" w:customStyle="1" w:styleId="195">
    <w:name w:val="标准文件_来源"/>
    <w:basedOn w:val="31"/>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wrap="around" w:vAnchor="page" w:hAnchor="page" w:x="1419" w:y="14097"/>
    </w:pPr>
  </w:style>
  <w:style w:type="paragraph" w:customStyle="1" w:styleId="198">
    <w:name w:val="其他实施日期"/>
    <w:basedOn w:val="158"/>
    <w:qFormat/>
    <w:uiPriority w:val="0"/>
    <w:pPr>
      <w:framePr w:w="3997" w:h="471" w:hRule="exact" w:vSpace="181" w:wrap="around" w:vAnchor="page" w:hAnchor="page" w:x="7089" w:y="14097"/>
    </w:pPr>
  </w:style>
  <w:style w:type="paragraph" w:customStyle="1" w:styleId="199">
    <w:name w:val="标准文件_文件编号"/>
    <w:basedOn w:val="60"/>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framePr/>
      <w:spacing w:before="57"/>
    </w:pPr>
    <w:rPr>
      <w:sz w:val="21"/>
    </w:rPr>
  </w:style>
  <w:style w:type="paragraph" w:customStyle="1" w:styleId="201">
    <w:name w:val="标准文件_文件名称"/>
    <w:basedOn w:val="60"/>
    <w:next w:val="60"/>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qFormat/>
    <w:uiPriority w:val="0"/>
    <w:pPr>
      <w:spacing w:before="0" w:beforeLines="0" w:after="0" w:afterLines="0" w:line="276" w:lineRule="auto"/>
    </w:pPr>
    <w:rPr>
      <w:rFonts w:ascii="宋体" w:eastAsia="宋体"/>
    </w:rPr>
  </w:style>
  <w:style w:type="paragraph" w:customStyle="1" w:styleId="222">
    <w:name w:val="标准文件_引言三级无标题"/>
    <w:basedOn w:val="206"/>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qFormat/>
    <w:uiPriority w:val="0"/>
    <w:rPr>
      <w:rFonts w:ascii="黑体" w:eastAsia="黑体"/>
      <w:spacing w:val="85"/>
      <w:w w:val="100"/>
      <w:position w:val="3"/>
      <w:sz w:val="28"/>
      <w:szCs w:val="28"/>
    </w:rPr>
  </w:style>
  <w:style w:type="character" w:customStyle="1" w:styleId="234">
    <w:name w:val="批注文字 Char"/>
    <w:basedOn w:val="31"/>
    <w:link w:val="13"/>
    <w:semiHidden/>
    <w:qFormat/>
    <w:uiPriority w:val="99"/>
    <w:rPr>
      <w:kern w:val="2"/>
      <w:sz w:val="21"/>
      <w:szCs w:val="21"/>
    </w:rPr>
  </w:style>
  <w:style w:type="character" w:customStyle="1" w:styleId="235">
    <w:name w:val="批注主题 Char"/>
    <w:basedOn w:val="234"/>
    <w:link w:val="28"/>
    <w:semiHidden/>
    <w:qFormat/>
    <w:uiPriority w:val="99"/>
    <w:rPr>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4" Type="http://schemas.openxmlformats.org/officeDocument/2006/relationships/glossaryDocument" Target="glossary/document.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2.jpeg"/><Relationship Id="rId28" Type="http://schemas.openxmlformats.org/officeDocument/2006/relationships/image" Target="media/image1.tiff"/><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E94DFA5C5104DEB80C5B360557E0C1B"/>
        <w:style w:val=""/>
        <w:category>
          <w:name w:val="常规"/>
          <w:gallery w:val="placeholder"/>
        </w:category>
        <w:types>
          <w:type w:val="bbPlcHdr"/>
        </w:types>
        <w:behaviors>
          <w:behavior w:val="content"/>
        </w:behaviors>
        <w:description w:val=""/>
        <w:guid w:val="{88EEA6A1-6DB9-4A4B-ADAB-4F581EADD2A5}"/>
      </w:docPartPr>
      <w:docPartBody>
        <w:p w14:paraId="1651DBB4">
          <w:pPr>
            <w:pStyle w:val="5"/>
          </w:pPr>
          <w:r>
            <w:rPr>
              <w:rStyle w:val="4"/>
              <w:rFonts w:hint="eastAsia"/>
            </w:rPr>
            <w:t>单击或点击此处输入文字。</w:t>
          </w:r>
        </w:p>
      </w:docPartBody>
    </w:docPart>
    <w:docPart>
      <w:docPartPr>
        <w:name w:val="E2FEA428EBE4445B9F1C75C7A15DACAC"/>
        <w:style w:val=""/>
        <w:category>
          <w:name w:val="常规"/>
          <w:gallery w:val="placeholder"/>
        </w:category>
        <w:types>
          <w:type w:val="bbPlcHdr"/>
        </w:types>
        <w:behaviors>
          <w:behavior w:val="content"/>
        </w:behaviors>
        <w:description w:val=""/>
        <w:guid w:val="{BB40FBB1-BB04-42FD-B400-1D34579E9D99}"/>
      </w:docPartPr>
      <w:docPartBody>
        <w:p w14:paraId="63C78A45">
          <w:pPr>
            <w:pStyle w:val="7"/>
          </w:pPr>
          <w:r>
            <w:rPr>
              <w:rStyle w:val="4"/>
              <w:rFonts w:hint="eastAsia"/>
            </w:rPr>
            <w:t>选择一项。</w:t>
          </w:r>
        </w:p>
      </w:docPartBody>
    </w:docPart>
    <w:docPart>
      <w:docPartPr>
        <w:name w:val="{31050466-2085-4aea-a4b2-02777d03c090}"/>
        <w:style w:val=""/>
        <w:category>
          <w:name w:val="常规"/>
          <w:gallery w:val="placeholder"/>
        </w:category>
        <w:types>
          <w:type w:val="bbPlcHdr"/>
        </w:types>
        <w:behaviors>
          <w:behavior w:val="content"/>
        </w:behaviors>
        <w:description w:val=""/>
        <w:guid w:val="{31050466-2085-4AEA-A4B2-02777D03C090}"/>
      </w:docPartPr>
      <w:docPartBody>
        <w:p w14:paraId="132AA3E4">
          <w:pPr>
            <w:pStyle w:val="8"/>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19FB"/>
    <w:rsid w:val="000C120E"/>
    <w:rsid w:val="00141D90"/>
    <w:rsid w:val="00177655"/>
    <w:rsid w:val="001C5FD4"/>
    <w:rsid w:val="002237D2"/>
    <w:rsid w:val="00223CB4"/>
    <w:rsid w:val="003D3015"/>
    <w:rsid w:val="003D5216"/>
    <w:rsid w:val="00517FD6"/>
    <w:rsid w:val="005C2757"/>
    <w:rsid w:val="007529EC"/>
    <w:rsid w:val="007C5E47"/>
    <w:rsid w:val="00824C3B"/>
    <w:rsid w:val="00851318"/>
    <w:rsid w:val="008C7E4F"/>
    <w:rsid w:val="00904DE8"/>
    <w:rsid w:val="00943F96"/>
    <w:rsid w:val="00997D66"/>
    <w:rsid w:val="009D76FF"/>
    <w:rsid w:val="00A719FB"/>
    <w:rsid w:val="00BD24A9"/>
    <w:rsid w:val="00C42889"/>
    <w:rsid w:val="00CA2C03"/>
    <w:rsid w:val="00DB7B0B"/>
    <w:rsid w:val="00DD05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E94DFA5C5104DEB80C5B360557E0C1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863A507F311440F9146B061CA20240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2FEA428EBE4445B9F1C75C7A15DACA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74788A295EC843C1822A92374F8ED2AC"/>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791EAD-9D25-4BF8-8398-5FE9CCE6C671}">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508</Words>
  <Characters>647</Characters>
  <Lines>56</Lines>
  <Paragraphs>15</Paragraphs>
  <TotalTime>1</TotalTime>
  <ScaleCrop>false</ScaleCrop>
  <LinksUpToDate>false</LinksUpToDate>
  <CharactersWithSpaces>738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2025-10-20T06:34:00Z</dcterms:created>
  <dc:creator>Lenovo</dc:creator>
  <dc:description>&lt;config cover="true" show_menu="true" version="1.0.0" doctype="SDKXY"&gt;_x000d_
&lt;/config&gt;</dc:description>
  <cp:lastModifiedBy>忐忑</cp:lastModifiedBy>
  <cp:lastPrinted>2025-10-20T06:38:00Z</cp:lastPrinted>
  <dcterms:modified xsi:type="dcterms:W3CDTF">2025-10-21T07:16:26Z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2052-12.1.0.23125</vt:lpwstr>
  </property>
  <property fmtid="{D5CDD505-2E9C-101B-9397-08002B2CF9AE}" pid="16" name="ICV">
    <vt:lpwstr>1D24147F9FEF440BBA130CF1F38F36DC_13</vt:lpwstr>
  </property>
  <property fmtid="{D5CDD505-2E9C-101B-9397-08002B2CF9AE}" pid="17" name="KSOTemplateDocerSaveRecord">
    <vt:lpwstr>eyJoZGlkIjoiMjE1MGZmOTRhZjllMGExZDlkZTMzYmYzNTljMTkwODUiLCJ1c2VySWQiOiI0MzYwMTU0NjQifQ==</vt:lpwstr>
  </property>
</Properties>
</file>