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A56C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470C25">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A9DB82">
            <w:pPr>
              <w:pStyle w:val="19"/>
              <w:framePr w:wrap="notBeside" w:vAnchor="page" w:hAnchor="page" w:x="1372" w:y="568"/>
              <w:tabs>
                <w:tab w:val="clear" w:pos="4153"/>
                <w:tab w:val="clear" w:pos="8306"/>
              </w:tabs>
              <w:spacing w:after="160" w:line="240" w:lineRule="auto"/>
              <w:jc w:val="both"/>
              <w:rPr>
                <w:rFonts w:hint="eastAsia" w:ascii="黑体" w:hAnsi="黑体" w:eastAsia="黑体"/>
                <w:sz w:val="21"/>
                <w:szCs w:val="21"/>
              </w:rPr>
            </w:pPr>
            <w:bookmarkStart w:id="0" w:name="ICS"/>
            <w:r>
              <w:rPr>
                <w:rFonts w:hint="eastAsia" w:ascii="黑体" w:hAnsi="黑体" w:eastAsia="黑体"/>
                <w:sz w:val="21"/>
                <w:szCs w:val="21"/>
              </w:rPr>
              <w:fldChar w:fldCharType="begin">
                <w:ffData>
                  <w:name w:val="ICS"/>
                  <w:enabled/>
                  <w:calcOnExit w:val="0"/>
                  <w:textInput>
                    <w:default w:val="93.080.30"/>
                  </w:textInput>
                </w:ffData>
              </w:fldChar>
            </w:r>
            <w:r>
              <w:rPr>
                <w:rFonts w:hint="eastAsia" w:ascii="黑体" w:hAnsi="黑体" w:eastAsia="黑体"/>
                <w:sz w:val="21"/>
                <w:szCs w:val="21"/>
              </w:rPr>
              <w:instrText xml:space="preserve">FORMTEXT</w:instrText>
            </w:r>
            <w:r>
              <w:rPr>
                <w:rFonts w:hint="eastAsia" w:ascii="黑体" w:hAnsi="黑体" w:eastAsia="黑体"/>
                <w:sz w:val="21"/>
                <w:szCs w:val="21"/>
              </w:rPr>
              <w:fldChar w:fldCharType="separate"/>
            </w:r>
            <w:r>
              <w:rPr>
                <w:rFonts w:hint="eastAsia" w:ascii="黑体" w:hAnsi="黑体" w:eastAsia="黑体"/>
                <w:sz w:val="21"/>
                <w:szCs w:val="21"/>
              </w:rPr>
              <w:t>93.080.30</w:t>
            </w:r>
            <w:r>
              <w:rPr>
                <w:rFonts w:hint="eastAsia" w:ascii="黑体" w:hAnsi="黑体" w:eastAsia="黑体"/>
                <w:sz w:val="21"/>
                <w:szCs w:val="21"/>
              </w:rPr>
              <w:fldChar w:fldCharType="end"/>
            </w:r>
            <w:bookmarkEnd w:id="0"/>
          </w:p>
        </w:tc>
      </w:tr>
      <w:tr w14:paraId="4EE1D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CF1C0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A7252DE">
            <w:pPr>
              <w:pStyle w:val="19"/>
              <w:framePr w:wrap="notBeside" w:vAnchor="page" w:hAnchor="page" w:x="1372" w:y="568"/>
              <w:tabs>
                <w:tab w:val="clear" w:pos="4153"/>
                <w:tab w:val="clear" w:pos="8306"/>
              </w:tabs>
              <w:spacing w:before="40" w:after="160" w:line="240" w:lineRule="auto"/>
              <w:jc w:val="left"/>
              <w:rPr>
                <w:rFonts w:hint="eastAsia" w:ascii="黑体" w:hAnsi="黑体" w:eastAsia="黑体"/>
                <w:sz w:val="21"/>
                <w:szCs w:val="21"/>
              </w:rPr>
            </w:pPr>
            <w:bookmarkStart w:id="1" w:name="CSDN"/>
            <w:r>
              <w:rPr>
                <w:rFonts w:ascii="黑体" w:hAnsi="黑体" w:eastAsia="黑体"/>
                <w:sz w:val="21"/>
                <w:szCs w:val="21"/>
              </w:rPr>
              <w:fldChar w:fldCharType="begin">
                <w:ffData>
                  <w:name w:val="CSDN"/>
                  <w:enabled/>
                  <w:calcOnExit w:val="0"/>
                  <w:textInput>
                    <w:default w:val="P66"/>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P66</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319E61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8D51549">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24056B8E">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EFBECDD">
      <w:pPr>
        <w:pStyle w:val="198"/>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21BAE907">
      <w:pPr>
        <w:pStyle w:val="199"/>
        <w:framePr w:wrap="around"/>
      </w:pPr>
    </w:p>
    <w:p w14:paraId="1A8A661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3360;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A7A80AD">
      <w:pPr>
        <w:pStyle w:val="53"/>
        <w:framePr w:w="9639" w:h="6976" w:hRule="exact" w:hSpace="0" w:vSpace="0" w:wrap="around" w:hAnchor="page" w:y="6408"/>
        <w:jc w:val="center"/>
        <w:rPr>
          <w:rFonts w:hint="eastAsia" w:ascii="黑体" w:hAnsi="黑体" w:eastAsia="黑体"/>
          <w:b w:val="0"/>
          <w:bCs w:val="0"/>
          <w:w w:val="100"/>
        </w:rPr>
      </w:pPr>
    </w:p>
    <w:p w14:paraId="58A75945">
      <w:pPr>
        <w:pStyle w:val="200"/>
        <w:framePr w:h="6974" w:hRule="exact" w:wrap="around" w:x="1419" w:anchorLock="1"/>
        <w:rPr>
          <w:rFonts w:hint="eastAsia"/>
          <w:szCs w:val="52"/>
        </w:rPr>
      </w:pPr>
      <w:r>
        <w:rPr>
          <w:rFonts w:hint="eastAsia"/>
          <w:szCs w:val="52"/>
        </w:rPr>
        <w:t>公路旋转式护栏设置规范</w:t>
      </w:r>
    </w:p>
    <w:p w14:paraId="27187F8A">
      <w:pPr>
        <w:framePr w:w="9639" w:h="6974" w:hRule="exact" w:wrap="around" w:vAnchor="page" w:hAnchor="page" w:x="1419" w:y="6408" w:anchorLock="1"/>
        <w:ind w:left="-1418"/>
      </w:pPr>
    </w:p>
    <w:p w14:paraId="71E191F1">
      <w:pPr>
        <w:pStyle w:val="128"/>
        <w:framePr w:wrap="around"/>
      </w:pPr>
      <w:bookmarkStart w:id="8" w:name="ESTD_NAME"/>
      <w:r>
        <w:fldChar w:fldCharType="begin">
          <w:ffData>
            <w:name w:val="ESTD_NAME"/>
            <w:enabled/>
            <w:calcOnExit w:val="0"/>
            <w:textInput>
              <w:default w:val="Specification for layout of highway rotary guardrail"/>
            </w:textInput>
          </w:ffData>
        </w:fldChar>
      </w:r>
      <w:r>
        <w:instrText xml:space="preserve">FORMTEXT</w:instrText>
      </w:r>
      <w:r>
        <w:fldChar w:fldCharType="separate"/>
      </w:r>
      <w:r>
        <w:t>specification for layout of highway rotary guardrail</w:t>
      </w:r>
      <w:r>
        <w:fldChar w:fldCharType="end"/>
      </w:r>
      <w:bookmarkEnd w:id="8"/>
    </w:p>
    <w:p w14:paraId="75A8CF52">
      <w:pPr>
        <w:framePr w:w="9639" w:h="6974" w:hRule="exact" w:wrap="around" w:vAnchor="page" w:hAnchor="page" w:x="1419" w:y="6408" w:anchorLock="1"/>
        <w:spacing w:line="760" w:lineRule="exact"/>
        <w:ind w:left="-1418"/>
      </w:pPr>
    </w:p>
    <w:p w14:paraId="682677E5">
      <w:pPr>
        <w:pStyle w:val="128"/>
        <w:framePr w:wrap="around"/>
      </w:pPr>
    </w:p>
    <w:p w14:paraId="26D276D1">
      <w:pPr>
        <w:pStyle w:val="128"/>
        <w:framePr w:wrap="around"/>
        <w:spacing w:before="440" w:after="160"/>
        <w:rPr>
          <w:sz w:val="24"/>
        </w:rPr>
      </w:pPr>
      <w:r>
        <w:rPr>
          <w:rFonts w:hint="eastAsia"/>
          <w:sz w:val="24"/>
        </w:rPr>
        <w:t>（征求意见稿）</w:t>
      </w:r>
    </w:p>
    <w:p w14:paraId="7324F59B">
      <w:pPr>
        <w:pStyle w:val="128"/>
        <w:framePr w:wrap="around"/>
        <w:spacing w:before="180" w:line="240" w:lineRule="atLeast"/>
        <w:rPr>
          <w:sz w:val="21"/>
        </w:rPr>
      </w:pPr>
      <w:r>
        <w:rPr>
          <w:sz w:val="21"/>
        </w:rPr>
        <w:fldChar w:fldCharType="begin">
          <w:ffData>
            <w:name w:val="CMPLSH_DATE"/>
            <w:enabled/>
            <w:calcOnExit w:val="0"/>
            <w:textInput/>
          </w:ffData>
        </w:fldChar>
      </w:r>
      <w:bookmarkStart w:id="9" w:name="CMPLSH_DATE"/>
      <w:r>
        <w:rPr>
          <w:sz w:val="21"/>
        </w:rPr>
        <w:instrText xml:space="preserve"> FORMTEXT </w:instrText>
      </w:r>
      <w:r>
        <w:rPr>
          <w:sz w:val="21"/>
        </w:rPr>
        <w:fldChar w:fldCharType="separate"/>
      </w:r>
      <w:r>
        <w:rPr>
          <w:sz w:val="21"/>
        </w:rPr>
        <w:t>     </w:t>
      </w:r>
      <w:r>
        <w:rPr>
          <w:sz w:val="21"/>
        </w:rPr>
        <w:fldChar w:fldCharType="end"/>
      </w:r>
      <w:bookmarkEnd w:id="9"/>
    </w:p>
    <w:p w14:paraId="6BEF38A9">
      <w:pPr>
        <w:pStyle w:val="128"/>
        <w:framePr w:wrap="around"/>
        <w:spacing w:before="720" w:beforeLines="300" w:after="72" w:afterLines="30" w:line="240" w:lineRule="auto"/>
        <w:rPr>
          <w:b/>
          <w:sz w:val="21"/>
        </w:rPr>
      </w:pPr>
      <w:r>
        <w:rPr>
          <w:b/>
          <w:sz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rPr>
        <w:instrText xml:space="preserve"> FORMDROPDOWN </w:instrText>
      </w:r>
      <w:r>
        <w:rPr>
          <w:b/>
          <w:sz w:val="21"/>
        </w:rPr>
        <w:fldChar w:fldCharType="separate"/>
      </w:r>
      <w:r>
        <w:rPr>
          <w:b/>
          <w:sz w:val="21"/>
        </w:rPr>
        <w:fldChar w:fldCharType="end"/>
      </w:r>
      <w:bookmarkEnd w:id="10"/>
    </w:p>
    <w:p w14:paraId="535DA740">
      <w:pPr>
        <w:pStyle w:val="196"/>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4AE625D4">
      <w:pPr>
        <w:pStyle w:val="197"/>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7A461F36">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7"/>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EA2DA57">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537A7B">
      <w:pPr>
        <w:pStyle w:val="94"/>
        <w:spacing w:after="468"/>
        <w:rPr>
          <w:spacing w:val="320"/>
        </w:rPr>
      </w:pPr>
      <w:bookmarkStart w:id="18" w:name="BookMark1"/>
      <w:r>
        <w:rPr>
          <w:spacing w:val="320"/>
        </w:rPr>
        <w:t>目次</w:t>
      </w:r>
    </w:p>
    <w:p w14:paraId="42BC5D60">
      <w:pPr>
        <w:pStyle w:val="20"/>
        <w:tabs>
          <w:tab w:val="right" w:leader="dot" w:pos="9354"/>
        </w:tabs>
        <w:rPr>
          <w:rFonts w:hint="eastAsia" w:eastAsia="宋体"/>
          <w:lang w:val="en-US" w:eastAsia="zh-CN"/>
        </w:rPr>
      </w:pPr>
      <w:r>
        <w:rPr>
          <w:rFonts w:hAnsi="宋体"/>
        </w:rPr>
        <w:fldChar w:fldCharType="begin"/>
      </w:r>
      <w:r>
        <w:rPr>
          <w:rFonts w:hAnsi="宋体"/>
        </w:rPr>
        <w:instrText xml:space="preserve"> TOC \o "1-1" \h \t "标准文件_一级条标题,2,标准文件_二级条标题,3,标准文件_附录一级条标题,2,标准文件_附录二级条标题,3," </w:instrText>
      </w:r>
      <w:r>
        <w:rPr>
          <w:rFonts w:hAnsi="宋体"/>
        </w:rPr>
        <w:fldChar w:fldCharType="separate"/>
      </w:r>
      <w:r>
        <w:rPr>
          <w:rFonts w:hAnsi="宋体"/>
        </w:rPr>
        <w:fldChar w:fldCharType="begin"/>
      </w:r>
      <w:r>
        <w:rPr>
          <w:rFonts w:hAnsi="宋体"/>
        </w:rPr>
        <w:instrText xml:space="preserve"> HYPERLINK \l _Toc2243 </w:instrText>
      </w:r>
      <w:r>
        <w:rPr>
          <w:rFonts w:hAnsi="宋体"/>
        </w:rPr>
        <w:fldChar w:fldCharType="separate"/>
      </w:r>
      <w:r>
        <w:rPr>
          <w:spacing w:val="320"/>
        </w:rPr>
        <w:t>前言</w:t>
      </w:r>
      <w:r>
        <w:tab/>
      </w:r>
      <w:r>
        <w:rPr>
          <w:rFonts w:hint="eastAsia" w:hAnsi="宋体"/>
          <w:lang w:val="en-US" w:eastAsia="zh-CN"/>
        </w:rPr>
        <w:t>Ⅱ</w:t>
      </w:r>
      <w:r>
        <w:rPr>
          <w:rFonts w:hAnsi="宋体"/>
        </w:rPr>
        <w:fldChar w:fldCharType="end"/>
      </w:r>
    </w:p>
    <w:p w14:paraId="374ED36B">
      <w:pPr>
        <w:pStyle w:val="20"/>
        <w:tabs>
          <w:tab w:val="right" w:leader="dot" w:pos="9354"/>
        </w:tabs>
      </w:pPr>
      <w:r>
        <w:rPr>
          <w:rFonts w:ascii="宋体" w:eastAsia="宋体"/>
        </w:rPr>
        <w:fldChar w:fldCharType="begin"/>
      </w:r>
      <w:r>
        <w:rPr>
          <w:rFonts w:ascii="宋体" w:eastAsia="宋体"/>
        </w:rPr>
        <w:instrText xml:space="preserve"> HYPERLINK \l _Toc16949 </w:instrText>
      </w:r>
      <w:r>
        <w:rPr>
          <w:rFonts w:ascii="宋体" w:eastAsia="宋体"/>
        </w:rPr>
        <w:fldChar w:fldCharType="separate"/>
      </w:r>
      <w:r>
        <w:rPr>
          <w:rFonts w:hint="eastAsia" w:ascii="黑体" w:eastAsia="黑体"/>
          <w:i w:val="0"/>
        </w:rPr>
        <w:t xml:space="preserve">1 </w:t>
      </w:r>
      <w:r>
        <w:rPr>
          <w:rFonts w:hint="eastAsia"/>
        </w:rPr>
        <w:t>范围</w:t>
      </w:r>
      <w:r>
        <w:tab/>
      </w:r>
      <w:r>
        <w:fldChar w:fldCharType="begin"/>
      </w:r>
      <w:r>
        <w:instrText xml:space="preserve"> PAGEREF _Toc16949 \h </w:instrText>
      </w:r>
      <w:r>
        <w:fldChar w:fldCharType="separate"/>
      </w:r>
      <w:r>
        <w:t>1</w:t>
      </w:r>
      <w:r>
        <w:fldChar w:fldCharType="end"/>
      </w:r>
      <w:r>
        <w:rPr>
          <w:rFonts w:ascii="宋体" w:eastAsia="宋体"/>
        </w:rPr>
        <w:fldChar w:fldCharType="end"/>
      </w:r>
    </w:p>
    <w:p w14:paraId="77124176">
      <w:pPr>
        <w:pStyle w:val="20"/>
        <w:tabs>
          <w:tab w:val="right" w:leader="dot" w:pos="9354"/>
        </w:tabs>
      </w:pPr>
      <w:r>
        <w:rPr>
          <w:rFonts w:ascii="宋体" w:eastAsia="宋体"/>
        </w:rPr>
        <w:fldChar w:fldCharType="begin"/>
      </w:r>
      <w:r>
        <w:rPr>
          <w:rFonts w:ascii="宋体" w:eastAsia="宋体"/>
        </w:rPr>
        <w:instrText xml:space="preserve"> HYPERLINK \l _Toc13646 </w:instrText>
      </w:r>
      <w:r>
        <w:rPr>
          <w:rFonts w:ascii="宋体" w:eastAsia="宋体"/>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_Toc13646 \h </w:instrText>
      </w:r>
      <w:r>
        <w:fldChar w:fldCharType="separate"/>
      </w:r>
      <w:r>
        <w:t>1</w:t>
      </w:r>
      <w:r>
        <w:fldChar w:fldCharType="end"/>
      </w:r>
      <w:r>
        <w:rPr>
          <w:rFonts w:ascii="宋体" w:eastAsia="宋体"/>
        </w:rPr>
        <w:fldChar w:fldCharType="end"/>
      </w:r>
    </w:p>
    <w:p w14:paraId="32555B73">
      <w:pPr>
        <w:pStyle w:val="20"/>
        <w:tabs>
          <w:tab w:val="right" w:leader="dot" w:pos="9354"/>
        </w:tabs>
      </w:pPr>
      <w:r>
        <w:rPr>
          <w:rFonts w:ascii="宋体" w:eastAsia="宋体"/>
        </w:rPr>
        <w:fldChar w:fldCharType="begin"/>
      </w:r>
      <w:r>
        <w:rPr>
          <w:rFonts w:ascii="宋体" w:eastAsia="宋体"/>
        </w:rPr>
        <w:instrText xml:space="preserve"> HYPERLINK \l _Toc7778 </w:instrText>
      </w:r>
      <w:r>
        <w:rPr>
          <w:rFonts w:ascii="宋体" w:eastAsia="宋体"/>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_Toc7778 \h </w:instrText>
      </w:r>
      <w:r>
        <w:fldChar w:fldCharType="separate"/>
      </w:r>
      <w:r>
        <w:t>1</w:t>
      </w:r>
      <w:r>
        <w:fldChar w:fldCharType="end"/>
      </w:r>
      <w:r>
        <w:rPr>
          <w:rFonts w:ascii="宋体" w:eastAsia="宋体"/>
        </w:rPr>
        <w:fldChar w:fldCharType="end"/>
      </w:r>
    </w:p>
    <w:p w14:paraId="019073D0">
      <w:pPr>
        <w:pStyle w:val="20"/>
        <w:tabs>
          <w:tab w:val="right" w:leader="dot" w:pos="9354"/>
        </w:tabs>
      </w:pPr>
      <w:r>
        <w:rPr>
          <w:rFonts w:ascii="宋体" w:eastAsia="宋体"/>
        </w:rPr>
        <w:fldChar w:fldCharType="begin"/>
      </w:r>
      <w:r>
        <w:rPr>
          <w:rFonts w:ascii="宋体" w:eastAsia="宋体"/>
        </w:rPr>
        <w:instrText xml:space="preserve"> HYPERLINK \l _Toc31228 </w:instrText>
      </w:r>
      <w:r>
        <w:rPr>
          <w:rFonts w:ascii="宋体" w:eastAsia="宋体"/>
        </w:rPr>
        <w:fldChar w:fldCharType="separate"/>
      </w:r>
      <w:r>
        <w:rPr>
          <w:rFonts w:hint="eastAsia" w:ascii="黑体" w:eastAsia="黑体"/>
          <w:i w:val="0"/>
        </w:rPr>
        <w:t xml:space="preserve">4 </w:t>
      </w:r>
      <w:r>
        <w:rPr>
          <w:rFonts w:hint="eastAsia"/>
        </w:rPr>
        <w:t>构造</w:t>
      </w:r>
      <w:r>
        <w:tab/>
      </w:r>
      <w:r>
        <w:fldChar w:fldCharType="begin"/>
      </w:r>
      <w:r>
        <w:instrText xml:space="preserve"> PAGEREF _Toc31228 \h </w:instrText>
      </w:r>
      <w:r>
        <w:fldChar w:fldCharType="separate"/>
      </w:r>
      <w:r>
        <w:t>2</w:t>
      </w:r>
      <w:r>
        <w:fldChar w:fldCharType="end"/>
      </w:r>
      <w:r>
        <w:rPr>
          <w:rFonts w:ascii="宋体" w:eastAsia="宋体"/>
        </w:rPr>
        <w:fldChar w:fldCharType="end"/>
      </w:r>
    </w:p>
    <w:p w14:paraId="3D0B9BA3">
      <w:pPr>
        <w:pStyle w:val="20"/>
        <w:tabs>
          <w:tab w:val="right" w:leader="dot" w:pos="9354"/>
        </w:tabs>
      </w:pPr>
      <w:r>
        <w:rPr>
          <w:rFonts w:ascii="宋体" w:eastAsia="宋体"/>
        </w:rPr>
        <w:fldChar w:fldCharType="begin"/>
      </w:r>
      <w:r>
        <w:rPr>
          <w:rFonts w:ascii="宋体" w:eastAsia="宋体"/>
        </w:rPr>
        <w:instrText xml:space="preserve"> HYPERLINK \l _Toc18658 </w:instrText>
      </w:r>
      <w:r>
        <w:rPr>
          <w:rFonts w:ascii="宋体" w:eastAsia="宋体"/>
        </w:rPr>
        <w:fldChar w:fldCharType="separate"/>
      </w:r>
      <w:r>
        <w:rPr>
          <w:rFonts w:hint="eastAsia" w:ascii="黑体" w:eastAsia="黑体"/>
          <w:i w:val="0"/>
        </w:rPr>
        <w:t xml:space="preserve">5 </w:t>
      </w:r>
      <w:r>
        <w:rPr>
          <w:rFonts w:hint="eastAsia"/>
        </w:rPr>
        <w:t>设置要求</w:t>
      </w:r>
      <w:r>
        <w:tab/>
      </w:r>
      <w:r>
        <w:fldChar w:fldCharType="begin"/>
      </w:r>
      <w:r>
        <w:instrText xml:space="preserve"> PAGEREF _Toc18658 \h </w:instrText>
      </w:r>
      <w:r>
        <w:fldChar w:fldCharType="separate"/>
      </w:r>
      <w:r>
        <w:t>3</w:t>
      </w:r>
      <w:r>
        <w:fldChar w:fldCharType="end"/>
      </w:r>
      <w:r>
        <w:rPr>
          <w:rFonts w:ascii="宋体" w:eastAsia="宋体"/>
        </w:rPr>
        <w:fldChar w:fldCharType="end"/>
      </w:r>
    </w:p>
    <w:p w14:paraId="5F3AA577">
      <w:pPr>
        <w:pStyle w:val="25"/>
        <w:tabs>
          <w:tab w:val="right" w:leader="dot" w:pos="9354"/>
          <w:tab w:val="clear" w:pos="9344"/>
        </w:tabs>
      </w:pPr>
      <w:r>
        <w:rPr>
          <w:rFonts w:ascii="宋体" w:eastAsia="宋体"/>
        </w:rPr>
        <w:fldChar w:fldCharType="begin"/>
      </w:r>
      <w:r>
        <w:rPr>
          <w:rFonts w:ascii="宋体" w:eastAsia="宋体"/>
        </w:rPr>
        <w:instrText xml:space="preserve"> HYPERLINK \l _Toc1155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原则</w:t>
      </w:r>
      <w:r>
        <w:tab/>
      </w:r>
      <w:r>
        <w:fldChar w:fldCharType="begin"/>
      </w:r>
      <w:r>
        <w:instrText xml:space="preserve"> PAGEREF _Toc1155 \h </w:instrText>
      </w:r>
      <w:r>
        <w:fldChar w:fldCharType="separate"/>
      </w:r>
      <w:r>
        <w:t>3</w:t>
      </w:r>
      <w:r>
        <w:fldChar w:fldCharType="end"/>
      </w:r>
      <w:r>
        <w:rPr>
          <w:rFonts w:ascii="宋体" w:eastAsia="宋体"/>
        </w:rPr>
        <w:fldChar w:fldCharType="end"/>
      </w:r>
    </w:p>
    <w:p w14:paraId="7BB751F8">
      <w:pPr>
        <w:pStyle w:val="25"/>
        <w:tabs>
          <w:tab w:val="right" w:leader="dot" w:pos="9354"/>
          <w:tab w:val="clear" w:pos="9344"/>
        </w:tabs>
      </w:pPr>
      <w:r>
        <w:rPr>
          <w:rFonts w:ascii="宋体" w:eastAsia="宋体"/>
        </w:rPr>
        <w:fldChar w:fldCharType="begin"/>
      </w:r>
      <w:r>
        <w:rPr>
          <w:rFonts w:ascii="宋体" w:eastAsia="宋体"/>
        </w:rPr>
        <w:instrText xml:space="preserve"> HYPERLINK \l _Toc12377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构造形式</w:t>
      </w:r>
      <w:r>
        <w:tab/>
      </w:r>
      <w:r>
        <w:fldChar w:fldCharType="begin"/>
      </w:r>
      <w:r>
        <w:instrText xml:space="preserve"> PAGEREF _Toc12377 \h </w:instrText>
      </w:r>
      <w:r>
        <w:fldChar w:fldCharType="separate"/>
      </w:r>
      <w:r>
        <w:t>3</w:t>
      </w:r>
      <w:r>
        <w:fldChar w:fldCharType="end"/>
      </w:r>
      <w:r>
        <w:rPr>
          <w:rFonts w:ascii="宋体" w:eastAsia="宋体"/>
        </w:rPr>
        <w:fldChar w:fldCharType="end"/>
      </w:r>
    </w:p>
    <w:p w14:paraId="452E83B1">
      <w:pPr>
        <w:pStyle w:val="25"/>
        <w:tabs>
          <w:tab w:val="right" w:leader="dot" w:pos="9354"/>
          <w:tab w:val="clear" w:pos="9344"/>
        </w:tabs>
      </w:pPr>
      <w:r>
        <w:rPr>
          <w:rFonts w:ascii="宋体" w:eastAsia="宋体"/>
        </w:rPr>
        <w:fldChar w:fldCharType="begin"/>
      </w:r>
      <w:r>
        <w:rPr>
          <w:rFonts w:ascii="宋体" w:eastAsia="宋体"/>
        </w:rPr>
        <w:instrText xml:space="preserve"> HYPERLINK \l _Toc18841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rPr>
        <w:t>最小设置长度</w:t>
      </w:r>
      <w:r>
        <w:tab/>
      </w:r>
      <w:r>
        <w:fldChar w:fldCharType="begin"/>
      </w:r>
      <w:r>
        <w:instrText xml:space="preserve"> PAGEREF _Toc18841 \h </w:instrText>
      </w:r>
      <w:r>
        <w:fldChar w:fldCharType="separate"/>
      </w:r>
      <w:r>
        <w:t>3</w:t>
      </w:r>
      <w:r>
        <w:fldChar w:fldCharType="end"/>
      </w:r>
      <w:r>
        <w:rPr>
          <w:rFonts w:ascii="宋体" w:eastAsia="宋体"/>
        </w:rPr>
        <w:fldChar w:fldCharType="end"/>
      </w:r>
    </w:p>
    <w:p w14:paraId="43A1DD59">
      <w:pPr>
        <w:pStyle w:val="25"/>
        <w:tabs>
          <w:tab w:val="right" w:leader="dot" w:pos="9354"/>
          <w:tab w:val="clear" w:pos="9344"/>
        </w:tabs>
      </w:pPr>
      <w:r>
        <w:rPr>
          <w:rFonts w:ascii="宋体" w:eastAsia="宋体"/>
        </w:rPr>
        <w:fldChar w:fldCharType="begin"/>
      </w:r>
      <w:r>
        <w:rPr>
          <w:rFonts w:ascii="宋体" w:eastAsia="宋体"/>
        </w:rPr>
        <w:instrText xml:space="preserve"> HYPERLINK \l _Toc15550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rPr>
        <w:t>端头与过渡段</w:t>
      </w:r>
      <w:r>
        <w:tab/>
      </w:r>
      <w:r>
        <w:fldChar w:fldCharType="begin"/>
      </w:r>
      <w:r>
        <w:instrText xml:space="preserve"> PAGEREF _Toc15550 \h </w:instrText>
      </w:r>
      <w:r>
        <w:fldChar w:fldCharType="separate"/>
      </w:r>
      <w:r>
        <w:t>4</w:t>
      </w:r>
      <w:r>
        <w:fldChar w:fldCharType="end"/>
      </w:r>
      <w:r>
        <w:rPr>
          <w:rFonts w:ascii="宋体" w:eastAsia="宋体"/>
        </w:rPr>
        <w:fldChar w:fldCharType="end"/>
      </w:r>
    </w:p>
    <w:p w14:paraId="40F0AA23">
      <w:pPr>
        <w:pStyle w:val="20"/>
        <w:tabs>
          <w:tab w:val="right" w:leader="dot" w:pos="9354"/>
        </w:tabs>
      </w:pPr>
      <w:r>
        <w:rPr>
          <w:rFonts w:ascii="宋体" w:eastAsia="宋体"/>
        </w:rPr>
        <w:fldChar w:fldCharType="begin"/>
      </w:r>
      <w:r>
        <w:rPr>
          <w:rFonts w:ascii="宋体" w:eastAsia="宋体"/>
        </w:rPr>
        <w:instrText xml:space="preserve"> HYPERLINK \l _Toc10001 </w:instrText>
      </w:r>
      <w:r>
        <w:rPr>
          <w:rFonts w:ascii="宋体" w:eastAsia="宋体"/>
        </w:rPr>
        <w:fldChar w:fldCharType="separate"/>
      </w:r>
      <w:r>
        <w:rPr>
          <w:rFonts w:hint="eastAsia" w:ascii="黑体" w:eastAsia="黑体"/>
          <w:i w:val="0"/>
        </w:rPr>
        <w:t xml:space="preserve">6 </w:t>
      </w:r>
      <w:r>
        <w:rPr>
          <w:rFonts w:hint="eastAsia"/>
        </w:rPr>
        <w:t>材料要求</w:t>
      </w:r>
      <w:r>
        <w:tab/>
      </w:r>
      <w:r>
        <w:fldChar w:fldCharType="begin"/>
      </w:r>
      <w:r>
        <w:instrText xml:space="preserve"> PAGEREF _Toc10001 \h </w:instrText>
      </w:r>
      <w:r>
        <w:fldChar w:fldCharType="separate"/>
      </w:r>
      <w:r>
        <w:t>5</w:t>
      </w:r>
      <w:r>
        <w:fldChar w:fldCharType="end"/>
      </w:r>
      <w:r>
        <w:rPr>
          <w:rFonts w:ascii="宋体" w:eastAsia="宋体"/>
        </w:rPr>
        <w:fldChar w:fldCharType="end"/>
      </w:r>
    </w:p>
    <w:p w14:paraId="4A9A06D5">
      <w:pPr>
        <w:pStyle w:val="25"/>
        <w:tabs>
          <w:tab w:val="right" w:leader="dot" w:pos="9354"/>
          <w:tab w:val="clear" w:pos="9344"/>
        </w:tabs>
      </w:pPr>
      <w:r>
        <w:rPr>
          <w:rFonts w:ascii="宋体" w:eastAsia="宋体"/>
        </w:rPr>
        <w:fldChar w:fldCharType="begin"/>
      </w:r>
      <w:r>
        <w:rPr>
          <w:rFonts w:ascii="宋体" w:eastAsia="宋体"/>
        </w:rPr>
        <w:instrText xml:space="preserve"> HYPERLINK \l _Toc23431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rPr>
        <w:t>旋转筒</w:t>
      </w:r>
      <w:r>
        <w:tab/>
      </w:r>
      <w:r>
        <w:fldChar w:fldCharType="begin"/>
      </w:r>
      <w:r>
        <w:instrText xml:space="preserve"> PAGEREF _Toc23431 \h </w:instrText>
      </w:r>
      <w:r>
        <w:fldChar w:fldCharType="separate"/>
      </w:r>
      <w:r>
        <w:t>5</w:t>
      </w:r>
      <w:r>
        <w:fldChar w:fldCharType="end"/>
      </w:r>
      <w:r>
        <w:rPr>
          <w:rFonts w:ascii="宋体" w:eastAsia="宋体"/>
        </w:rPr>
        <w:fldChar w:fldCharType="end"/>
      </w:r>
    </w:p>
    <w:p w14:paraId="0F3D32CE">
      <w:pPr>
        <w:pStyle w:val="25"/>
        <w:tabs>
          <w:tab w:val="right" w:leader="dot" w:pos="9354"/>
          <w:tab w:val="clear" w:pos="9344"/>
        </w:tabs>
      </w:pPr>
      <w:r>
        <w:rPr>
          <w:rFonts w:ascii="宋体" w:eastAsia="宋体"/>
        </w:rPr>
        <w:fldChar w:fldCharType="begin"/>
      </w:r>
      <w:r>
        <w:rPr>
          <w:rFonts w:ascii="宋体" w:eastAsia="宋体"/>
        </w:rPr>
        <w:instrText xml:space="preserve"> HYPERLINK \l _Toc26563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套管</w:t>
      </w:r>
      <w:r>
        <w:tab/>
      </w:r>
      <w:r>
        <w:fldChar w:fldCharType="begin"/>
      </w:r>
      <w:r>
        <w:instrText xml:space="preserve"> PAGEREF _Toc26563 \h </w:instrText>
      </w:r>
      <w:r>
        <w:fldChar w:fldCharType="separate"/>
      </w:r>
      <w:r>
        <w:t>5</w:t>
      </w:r>
      <w:r>
        <w:fldChar w:fldCharType="end"/>
      </w:r>
      <w:r>
        <w:rPr>
          <w:rFonts w:ascii="宋体" w:eastAsia="宋体"/>
        </w:rPr>
        <w:fldChar w:fldCharType="end"/>
      </w:r>
    </w:p>
    <w:p w14:paraId="6F6AD545">
      <w:pPr>
        <w:pStyle w:val="25"/>
        <w:tabs>
          <w:tab w:val="right" w:leader="dot" w:pos="9354"/>
          <w:tab w:val="clear" w:pos="9344"/>
        </w:tabs>
      </w:pPr>
      <w:r>
        <w:rPr>
          <w:rFonts w:ascii="宋体" w:eastAsia="宋体"/>
        </w:rPr>
        <w:fldChar w:fldCharType="begin"/>
      </w:r>
      <w:r>
        <w:rPr>
          <w:rFonts w:ascii="宋体" w:eastAsia="宋体"/>
        </w:rPr>
        <w:instrText xml:space="preserve"> HYPERLINK \l _Toc31329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eastAsia="黑体"/>
          <w:lang w:eastAsia="zh-CN"/>
        </w:rPr>
        <w:t>反光圈</w:t>
      </w:r>
      <w:r>
        <w:tab/>
      </w:r>
      <w:r>
        <w:fldChar w:fldCharType="begin"/>
      </w:r>
      <w:r>
        <w:instrText xml:space="preserve"> PAGEREF _Toc31329 \h </w:instrText>
      </w:r>
      <w:r>
        <w:fldChar w:fldCharType="separate"/>
      </w:r>
      <w:r>
        <w:t>5</w:t>
      </w:r>
      <w:r>
        <w:fldChar w:fldCharType="end"/>
      </w:r>
      <w:r>
        <w:rPr>
          <w:rFonts w:ascii="宋体" w:eastAsia="宋体"/>
        </w:rPr>
        <w:fldChar w:fldCharType="end"/>
      </w:r>
    </w:p>
    <w:p w14:paraId="62B144A2">
      <w:pPr>
        <w:pStyle w:val="25"/>
        <w:tabs>
          <w:tab w:val="right" w:leader="dot" w:pos="9354"/>
          <w:tab w:val="clear" w:pos="9344"/>
        </w:tabs>
      </w:pPr>
      <w:r>
        <w:rPr>
          <w:rFonts w:ascii="宋体" w:eastAsia="宋体"/>
        </w:rPr>
        <w:fldChar w:fldCharType="begin"/>
      </w:r>
      <w:r>
        <w:rPr>
          <w:rFonts w:ascii="宋体" w:eastAsia="宋体"/>
        </w:rPr>
        <w:instrText xml:space="preserve"> HYPERLINK \l _Toc16385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rPr>
        <w:t>其他构件</w:t>
      </w:r>
      <w:r>
        <w:tab/>
      </w:r>
      <w:r>
        <w:fldChar w:fldCharType="begin"/>
      </w:r>
      <w:r>
        <w:instrText xml:space="preserve"> PAGEREF _Toc16385 \h </w:instrText>
      </w:r>
      <w:r>
        <w:fldChar w:fldCharType="separate"/>
      </w:r>
      <w:r>
        <w:t>5</w:t>
      </w:r>
      <w:r>
        <w:fldChar w:fldCharType="end"/>
      </w:r>
      <w:r>
        <w:rPr>
          <w:rFonts w:ascii="宋体" w:eastAsia="宋体"/>
        </w:rPr>
        <w:fldChar w:fldCharType="end"/>
      </w:r>
    </w:p>
    <w:p w14:paraId="553E0917">
      <w:pPr>
        <w:pStyle w:val="25"/>
        <w:tabs>
          <w:tab w:val="right" w:leader="dot" w:pos="9354"/>
          <w:tab w:val="clear" w:pos="9344"/>
        </w:tabs>
      </w:pPr>
      <w:r>
        <w:rPr>
          <w:rFonts w:ascii="宋体" w:eastAsia="宋体"/>
        </w:rPr>
        <w:fldChar w:fldCharType="begin"/>
      </w:r>
      <w:r>
        <w:rPr>
          <w:rFonts w:ascii="宋体" w:eastAsia="宋体"/>
        </w:rPr>
        <w:instrText xml:space="preserve"> HYPERLINK \l _Toc19556 </w:instrText>
      </w:r>
      <w:r>
        <w:rPr>
          <w:rFonts w:ascii="宋体" w:eastAsia="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rPr>
        <w:t>防腐要求</w:t>
      </w:r>
      <w:r>
        <w:tab/>
      </w:r>
      <w:r>
        <w:fldChar w:fldCharType="begin"/>
      </w:r>
      <w:r>
        <w:instrText xml:space="preserve"> PAGEREF _Toc19556 \h </w:instrText>
      </w:r>
      <w:r>
        <w:fldChar w:fldCharType="separate"/>
      </w:r>
      <w:r>
        <w:t>5</w:t>
      </w:r>
      <w:r>
        <w:fldChar w:fldCharType="end"/>
      </w:r>
      <w:r>
        <w:rPr>
          <w:rFonts w:ascii="宋体" w:eastAsia="宋体"/>
        </w:rPr>
        <w:fldChar w:fldCharType="end"/>
      </w:r>
    </w:p>
    <w:p w14:paraId="60321B3C">
      <w:pPr>
        <w:pStyle w:val="20"/>
        <w:tabs>
          <w:tab w:val="right" w:leader="dot" w:pos="9354"/>
        </w:tabs>
      </w:pPr>
      <w:r>
        <w:rPr>
          <w:rFonts w:ascii="宋体" w:eastAsia="宋体"/>
        </w:rPr>
        <w:fldChar w:fldCharType="begin"/>
      </w:r>
      <w:r>
        <w:rPr>
          <w:rFonts w:ascii="宋体" w:eastAsia="宋体"/>
        </w:rPr>
        <w:instrText xml:space="preserve"> HYPERLINK \l _Toc20067 </w:instrText>
      </w:r>
      <w:r>
        <w:rPr>
          <w:rFonts w:ascii="宋体" w:eastAsia="宋体"/>
        </w:rPr>
        <w:fldChar w:fldCharType="separate"/>
      </w:r>
      <w:r>
        <w:rPr>
          <w:rFonts w:hint="eastAsia" w:ascii="黑体" w:eastAsia="黑体"/>
          <w:i w:val="0"/>
        </w:rPr>
        <w:t xml:space="preserve">7 </w:t>
      </w:r>
      <w:r>
        <w:rPr>
          <w:rFonts w:hint="eastAsia"/>
        </w:rPr>
        <w:t>施工</w:t>
      </w:r>
      <w:r>
        <w:tab/>
      </w:r>
      <w:r>
        <w:fldChar w:fldCharType="begin"/>
      </w:r>
      <w:r>
        <w:instrText xml:space="preserve"> PAGEREF _Toc20067 \h </w:instrText>
      </w:r>
      <w:r>
        <w:fldChar w:fldCharType="separate"/>
      </w:r>
      <w:r>
        <w:t>6</w:t>
      </w:r>
      <w:r>
        <w:fldChar w:fldCharType="end"/>
      </w:r>
      <w:r>
        <w:rPr>
          <w:rFonts w:ascii="宋体" w:eastAsia="宋体"/>
        </w:rPr>
        <w:fldChar w:fldCharType="end"/>
      </w:r>
    </w:p>
    <w:p w14:paraId="6963C1EA">
      <w:pPr>
        <w:pStyle w:val="20"/>
        <w:tabs>
          <w:tab w:val="right" w:leader="dot" w:pos="9354"/>
        </w:tabs>
      </w:pPr>
      <w:r>
        <w:rPr>
          <w:rFonts w:ascii="宋体" w:eastAsia="宋体"/>
        </w:rPr>
        <w:fldChar w:fldCharType="begin"/>
      </w:r>
      <w:r>
        <w:rPr>
          <w:rFonts w:ascii="宋体" w:eastAsia="宋体"/>
        </w:rPr>
        <w:instrText xml:space="preserve"> HYPERLINK \l _Toc22049 </w:instrText>
      </w:r>
      <w:r>
        <w:rPr>
          <w:rFonts w:ascii="宋体" w:eastAsia="宋体"/>
        </w:rPr>
        <w:fldChar w:fldCharType="separate"/>
      </w:r>
      <w:r>
        <w:rPr>
          <w:rFonts w:hint="eastAsia" w:ascii="黑体" w:eastAsia="黑体"/>
          <w:i w:val="0"/>
        </w:rPr>
        <w:t xml:space="preserve">8 </w:t>
      </w:r>
      <w:r>
        <w:rPr>
          <w:rFonts w:hint="eastAsia"/>
        </w:rPr>
        <w:t>验收</w:t>
      </w:r>
      <w:r>
        <w:tab/>
      </w:r>
      <w:r>
        <w:fldChar w:fldCharType="begin"/>
      </w:r>
      <w:r>
        <w:instrText xml:space="preserve"> PAGEREF _Toc22049 \h </w:instrText>
      </w:r>
      <w:r>
        <w:fldChar w:fldCharType="separate"/>
      </w:r>
      <w:r>
        <w:t>7</w:t>
      </w:r>
      <w:r>
        <w:fldChar w:fldCharType="end"/>
      </w:r>
      <w:r>
        <w:rPr>
          <w:rFonts w:ascii="宋体" w:eastAsia="宋体"/>
        </w:rPr>
        <w:fldChar w:fldCharType="end"/>
      </w:r>
    </w:p>
    <w:p w14:paraId="7635BF9B">
      <w:pPr>
        <w:pStyle w:val="20"/>
        <w:tabs>
          <w:tab w:val="right" w:leader="dot" w:pos="9354"/>
        </w:tabs>
        <w:rPr>
          <w:rFonts w:hint="eastAsia" w:hAnsi="宋体"/>
        </w:rPr>
      </w:pPr>
      <w:r>
        <w:fldChar w:fldCharType="begin"/>
      </w:r>
      <w:r>
        <w:instrText xml:space="preserve"> HYPERLINK \l "_Toc28829" </w:instrText>
      </w:r>
      <w:r>
        <w:fldChar w:fldCharType="separate"/>
      </w:r>
      <w:r>
        <w:rPr>
          <w:rFonts w:hint="eastAsia" w:hAnsi="宋体"/>
          <w:spacing w:val="100"/>
        </w:rPr>
        <w:t>附录A</w:t>
      </w:r>
      <w:r>
        <w:rPr>
          <w:rFonts w:hint="eastAsia" w:hAnsi="宋体"/>
          <w:spacing w:val="100"/>
        </w:rPr>
        <w:fldChar w:fldCharType="end"/>
      </w:r>
      <w:r>
        <w:fldChar w:fldCharType="begin"/>
      </w:r>
      <w:r>
        <w:instrText xml:space="preserve"> HYPERLINK \l "_Toc18418" </w:instrText>
      </w:r>
      <w:r>
        <w:fldChar w:fldCharType="separate"/>
      </w:r>
      <w:r>
        <w:rPr>
          <w:rFonts w:hint="eastAsia" w:hAnsi="宋体"/>
        </w:rPr>
        <w:t>（规范性）旋转式护栏的外形尺寸与允许偏差</w:t>
      </w:r>
      <w:r>
        <w:rPr>
          <w:rFonts w:hAnsi="宋体"/>
        </w:rPr>
        <w:tab/>
      </w:r>
      <w:r>
        <w:rPr>
          <w:rFonts w:hAnsi="宋体"/>
        </w:rPr>
        <w:fldChar w:fldCharType="begin"/>
      </w:r>
      <w:r>
        <w:rPr>
          <w:rFonts w:hAnsi="宋体"/>
        </w:rPr>
        <w:instrText xml:space="preserve"> PAGEREF _Toc18418 \h </w:instrText>
      </w:r>
      <w:r>
        <w:rPr>
          <w:rFonts w:hAnsi="宋体"/>
        </w:rPr>
        <w:fldChar w:fldCharType="separate"/>
      </w:r>
      <w:r>
        <w:rPr>
          <w:rFonts w:hAnsi="宋体"/>
        </w:rPr>
        <w:t>9</w:t>
      </w:r>
      <w:r>
        <w:rPr>
          <w:rFonts w:hAnsi="宋体"/>
        </w:rPr>
        <w:fldChar w:fldCharType="end"/>
      </w:r>
      <w:r>
        <w:rPr>
          <w:rFonts w:hAnsi="宋体"/>
        </w:rPr>
        <w:fldChar w:fldCharType="end"/>
      </w:r>
    </w:p>
    <w:p w14:paraId="6D5794A2">
      <w:pPr>
        <w:pStyle w:val="20"/>
        <w:tabs>
          <w:tab w:val="right" w:leader="dot" w:pos="9354"/>
        </w:tabs>
        <w:rPr>
          <w:rFonts w:hint="eastAsia" w:hAnsi="宋体"/>
        </w:rPr>
      </w:pPr>
      <w:r>
        <w:fldChar w:fldCharType="begin"/>
      </w:r>
      <w:r>
        <w:instrText xml:space="preserve"> HYPERLINK \l "_Toc27934" </w:instrText>
      </w:r>
      <w:r>
        <w:fldChar w:fldCharType="separate"/>
      </w:r>
      <w:r>
        <w:rPr>
          <w:rFonts w:hint="eastAsia" w:hAnsi="宋体"/>
          <w:spacing w:val="100"/>
        </w:rPr>
        <w:t>附录B</w:t>
      </w:r>
      <w:r>
        <w:rPr>
          <w:rFonts w:hint="eastAsia" w:hAnsi="宋体"/>
          <w:spacing w:val="100"/>
        </w:rPr>
        <w:fldChar w:fldCharType="end"/>
      </w:r>
      <w:r>
        <w:fldChar w:fldCharType="begin"/>
      </w:r>
      <w:r>
        <w:instrText xml:space="preserve"> HYPERLINK \l "_Toc28891" </w:instrText>
      </w:r>
      <w:r>
        <w:fldChar w:fldCharType="separate"/>
      </w:r>
      <w:r>
        <w:rPr>
          <w:rFonts w:hint="eastAsia" w:hAnsi="宋体"/>
        </w:rPr>
        <w:t>（资料性）特殊路段旋转式护栏处理示意图</w:t>
      </w:r>
      <w:r>
        <w:rPr>
          <w:rFonts w:hAnsi="宋体"/>
        </w:rPr>
        <w:tab/>
      </w:r>
      <w:r>
        <w:rPr>
          <w:rFonts w:hAnsi="宋体"/>
        </w:rPr>
        <w:fldChar w:fldCharType="begin"/>
      </w:r>
      <w:r>
        <w:rPr>
          <w:rFonts w:hAnsi="宋体"/>
        </w:rPr>
        <w:instrText xml:space="preserve"> PAGEREF _Toc28891 \h </w:instrText>
      </w:r>
      <w:r>
        <w:rPr>
          <w:rFonts w:hAnsi="宋体"/>
        </w:rPr>
        <w:fldChar w:fldCharType="separate"/>
      </w:r>
      <w:r>
        <w:rPr>
          <w:rFonts w:hAnsi="宋体"/>
        </w:rPr>
        <w:t>13</w:t>
      </w:r>
      <w:r>
        <w:rPr>
          <w:rFonts w:hAnsi="宋体"/>
        </w:rPr>
        <w:fldChar w:fldCharType="end"/>
      </w:r>
      <w:r>
        <w:rPr>
          <w:rFonts w:hAnsi="宋体"/>
        </w:rPr>
        <w:fldChar w:fldCharType="end"/>
      </w:r>
    </w:p>
    <w:p w14:paraId="42578343">
      <w:pPr>
        <w:pStyle w:val="20"/>
        <w:tabs>
          <w:tab w:val="right" w:leader="dot" w:pos="9354"/>
        </w:tabs>
        <w:rPr>
          <w:rFonts w:hint="eastAsia" w:hAnsi="宋体" w:eastAsia="宋体"/>
          <w:lang w:val="en-US" w:eastAsia="zh-CN"/>
        </w:rPr>
      </w:pPr>
      <w:r>
        <w:fldChar w:fldCharType="begin"/>
      </w:r>
      <w:r>
        <w:instrText xml:space="preserve"> HYPERLINK \l "_Toc1377" </w:instrText>
      </w:r>
      <w:r>
        <w:fldChar w:fldCharType="separate"/>
      </w:r>
      <w:r>
        <w:rPr>
          <w:rFonts w:hint="eastAsia" w:hAnsi="宋体"/>
          <w:spacing w:val="100"/>
        </w:rPr>
        <w:t>附录C</w:t>
      </w:r>
      <w:r>
        <w:rPr>
          <w:rFonts w:hint="eastAsia" w:hAnsi="宋体"/>
          <w:spacing w:val="100"/>
        </w:rPr>
        <w:fldChar w:fldCharType="end"/>
      </w:r>
      <w:r>
        <w:fldChar w:fldCharType="begin"/>
      </w:r>
      <w:r>
        <w:instrText xml:space="preserve"> HYPERLINK \l "_Toc10150" </w:instrText>
      </w:r>
      <w:r>
        <w:fldChar w:fldCharType="separate"/>
      </w:r>
      <w:r>
        <w:rPr>
          <w:rFonts w:hint="eastAsia" w:hAnsi="宋体"/>
        </w:rPr>
        <w:t>（资料性）公路旋转式护栏主要组装尺寸示意图</w:t>
      </w:r>
      <w:r>
        <w:rPr>
          <w:rFonts w:hAnsi="宋体"/>
        </w:rPr>
        <w:tab/>
      </w:r>
      <w:r>
        <w:rPr>
          <w:rFonts w:hint="eastAsia" w:hAnsi="宋体"/>
          <w:lang w:val="en-US" w:eastAsia="zh-CN"/>
        </w:rPr>
        <w:t>1</w:t>
      </w:r>
      <w:r>
        <w:rPr>
          <w:rFonts w:hAnsi="宋体"/>
        </w:rPr>
        <w:fldChar w:fldCharType="end"/>
      </w:r>
      <w:r>
        <w:rPr>
          <w:rFonts w:hint="eastAsia" w:hAnsi="宋体"/>
          <w:lang w:val="en-US" w:eastAsia="zh-CN"/>
        </w:rPr>
        <w:t>5</w:t>
      </w:r>
    </w:p>
    <w:p w14:paraId="55B9D2FE">
      <w:pPr>
        <w:pStyle w:val="20"/>
        <w:tabs>
          <w:tab w:val="right" w:leader="dot" w:pos="9354"/>
        </w:tabs>
        <w:rPr>
          <w:rFonts w:hint="eastAsia" w:hAnsi="宋体" w:eastAsia="宋体"/>
          <w:lang w:val="en-US" w:eastAsia="zh-CN"/>
        </w:rPr>
      </w:pPr>
      <w:r>
        <w:fldChar w:fldCharType="begin"/>
      </w:r>
      <w:r>
        <w:instrText xml:space="preserve"> HYPERLINK \l "_Toc2309" </w:instrText>
      </w:r>
      <w:r>
        <w:fldChar w:fldCharType="separate"/>
      </w:r>
      <w:r>
        <w:rPr>
          <w:rFonts w:hint="eastAsia" w:hAnsi="宋体"/>
          <w:spacing w:val="100"/>
        </w:rPr>
        <w:t>附录D</w:t>
      </w:r>
      <w:r>
        <w:rPr>
          <w:rFonts w:hint="eastAsia" w:hAnsi="宋体"/>
          <w:spacing w:val="100"/>
        </w:rPr>
        <w:fldChar w:fldCharType="end"/>
      </w:r>
      <w:r>
        <w:fldChar w:fldCharType="begin"/>
      </w:r>
      <w:r>
        <w:instrText xml:space="preserve"> HYPERLINK \l "_Toc5456" </w:instrText>
      </w:r>
      <w:r>
        <w:fldChar w:fldCharType="separate"/>
      </w:r>
      <w:r>
        <w:rPr>
          <w:rFonts w:hAnsi="宋体"/>
        </w:rPr>
        <w:t>（资料性）公路旋转式护栏过渡段结构示意图</w:t>
      </w:r>
      <w:r>
        <w:rPr>
          <w:rFonts w:hAnsi="宋体"/>
        </w:rPr>
        <w:tab/>
      </w:r>
      <w:r>
        <w:rPr>
          <w:rFonts w:hint="eastAsia" w:hAnsi="宋体"/>
          <w:lang w:val="en-US" w:eastAsia="zh-CN"/>
        </w:rPr>
        <w:t>1</w:t>
      </w:r>
      <w:r>
        <w:rPr>
          <w:rFonts w:hAnsi="宋体"/>
        </w:rPr>
        <w:fldChar w:fldCharType="end"/>
      </w:r>
      <w:r>
        <w:rPr>
          <w:rFonts w:hint="eastAsia" w:hAnsi="宋体"/>
          <w:lang w:val="en-US" w:eastAsia="zh-CN"/>
        </w:rPr>
        <w:t>6</w:t>
      </w:r>
    </w:p>
    <w:p w14:paraId="313E334D">
      <w:pPr>
        <w:pStyle w:val="64"/>
        <w:rPr>
          <w:rFonts w:hint="eastAsia"/>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宋体" w:eastAsia="宋体"/>
        </w:rPr>
        <w:fldChar w:fldCharType="end"/>
      </w:r>
    </w:p>
    <w:bookmarkEnd w:id="18"/>
    <w:p w14:paraId="7C7BBD25">
      <w:pPr>
        <w:spacing w:line="20" w:lineRule="exact"/>
        <w:jc w:val="center"/>
        <w:rPr>
          <w:rFonts w:hint="eastAsia" w:ascii="黑体" w:hAnsi="黑体" w:eastAsia="黑体"/>
          <w:sz w:val="32"/>
          <w:szCs w:val="32"/>
        </w:rPr>
      </w:pPr>
      <w:bookmarkStart w:id="19" w:name="BookMark4"/>
    </w:p>
    <w:p w14:paraId="32142104">
      <w:pPr>
        <w:spacing w:line="20" w:lineRule="exact"/>
        <w:jc w:val="center"/>
        <w:rPr>
          <w:rFonts w:hint="eastAsia" w:ascii="黑体" w:hAnsi="黑体" w:eastAsia="黑体"/>
          <w:sz w:val="32"/>
          <w:szCs w:val="32"/>
        </w:rPr>
      </w:pPr>
    </w:p>
    <w:p w14:paraId="49435192">
      <w:pPr>
        <w:pStyle w:val="92"/>
        <w:numPr>
          <w:ilvl w:val="0"/>
          <w:numId w:val="32"/>
        </w:numPr>
        <w:spacing w:after="468" w:line="278" w:lineRule="auto"/>
        <w:rPr>
          <w:spacing w:val="320"/>
        </w:rPr>
      </w:pPr>
      <w:bookmarkStart w:id="20" w:name="_Toc111971535"/>
      <w:bookmarkStart w:id="21" w:name="_Toc2243"/>
      <w:bookmarkStart w:id="22" w:name="_Toc24884211"/>
      <w:bookmarkStart w:id="23" w:name="BookMark2"/>
      <w:bookmarkStart w:id="24" w:name="_Toc26986771"/>
      <w:bookmarkStart w:id="25" w:name="_Toc17233325"/>
      <w:bookmarkStart w:id="26" w:name="_Toc26648465"/>
      <w:bookmarkStart w:id="27" w:name="_Toc17233333"/>
      <w:bookmarkStart w:id="28" w:name="_Toc24884218"/>
      <w:bookmarkStart w:id="29" w:name="_Toc26718930"/>
      <w:bookmarkStart w:id="30" w:name="_Toc101862595"/>
      <w:bookmarkStart w:id="31" w:name="_Toc26986530"/>
      <w:bookmarkStart w:id="32" w:name="_Toc97191423"/>
      <w:r>
        <w:rPr>
          <w:spacing w:val="320"/>
        </w:rPr>
        <w:t>前言</w:t>
      </w:r>
      <w:bookmarkEnd w:id="20"/>
      <w:bookmarkEnd w:id="21"/>
    </w:p>
    <w:p w14:paraId="369D33F1">
      <w:pPr>
        <w:pStyle w:val="59"/>
      </w:pPr>
      <w:r>
        <w:rPr>
          <w:rFonts w:hint="eastAsia"/>
        </w:rPr>
        <w:t>本文件按照GB/T 1.1—2020《标准化工作导则  第1部分：标准化文件的结构和起草规则》的规定起草。</w:t>
      </w:r>
    </w:p>
    <w:p w14:paraId="47DE7F97">
      <w:pPr>
        <w:pStyle w:val="59"/>
      </w:pPr>
      <w:r>
        <w:rPr>
          <w:rFonts w:hint="eastAsia"/>
        </w:rPr>
        <w:t>请注意本文件的某些内容可能涉及专利。本文件的发布机构不承担识别专利的责任。</w:t>
      </w:r>
    </w:p>
    <w:p w14:paraId="3DD191EE">
      <w:pPr>
        <w:pStyle w:val="59"/>
      </w:pPr>
      <w:r>
        <w:rPr>
          <w:rFonts w:hint="eastAsia"/>
        </w:rPr>
        <w:t xml:space="preserve">本文件由马鞍山市公路管理服务中心提出。 </w:t>
      </w:r>
    </w:p>
    <w:p w14:paraId="2BD83BA4">
      <w:pPr>
        <w:pStyle w:val="59"/>
      </w:pPr>
      <w:r>
        <w:rPr>
          <w:rFonts w:hint="eastAsia"/>
        </w:rPr>
        <w:t xml:space="preserve">本文件由安徽省交通运输厅归口。 </w:t>
      </w:r>
    </w:p>
    <w:p w14:paraId="2174D6CD">
      <w:pPr>
        <w:pStyle w:val="59"/>
        <w:rPr>
          <w:highlight w:val="none"/>
        </w:rPr>
      </w:pPr>
      <w:r>
        <w:rPr>
          <w:rFonts w:hint="eastAsia"/>
        </w:rPr>
        <w:t>本文件起草单位：马鞍山市公路管理服务中心、安徽省交通科学研究院、安徽同力工程设计咨询有限公司、马鞍山路桥工程有限公司、安徽铭心金属制品有限公</w:t>
      </w:r>
      <w:r>
        <w:rPr>
          <w:rFonts w:hint="eastAsia"/>
          <w:highlight w:val="none"/>
        </w:rPr>
        <w:t>司。</w:t>
      </w:r>
    </w:p>
    <w:p w14:paraId="1A61303F">
      <w:pPr>
        <w:pStyle w:val="59"/>
        <w:rPr>
          <w:highlight w:val="none"/>
        </w:rPr>
      </w:pPr>
      <w:r>
        <w:rPr>
          <w:rFonts w:hint="eastAsia"/>
          <w:highlight w:val="none"/>
        </w:rPr>
        <w:t>本文件主要起草人：徐小卫、朱纬、陈智、谢世春、姚锐</w:t>
      </w:r>
      <w:r>
        <w:rPr>
          <w:rFonts w:hint="eastAsia"/>
          <w:highlight w:val="none"/>
          <w:lang w:eastAsia="zh-CN"/>
        </w:rPr>
        <w:t>、</w:t>
      </w:r>
      <w:r>
        <w:rPr>
          <w:rFonts w:hint="eastAsia"/>
          <w:highlight w:val="none"/>
        </w:rPr>
        <w:t>王帮和、钱春联、任立建、成月飞、许运动、李艾菁。</w:t>
      </w:r>
    </w:p>
    <w:p w14:paraId="1D849617">
      <w:pPr>
        <w:pStyle w:val="65"/>
        <w:rPr>
          <w:rFonts w:hint="eastAsia"/>
        </w:rPr>
      </w:pPr>
    </w:p>
    <w:p w14:paraId="027EA27D"/>
    <w:p w14:paraId="4F2C3661"/>
    <w:p w14:paraId="6E2EFE14"/>
    <w:p w14:paraId="1BD64A1E"/>
    <w:p w14:paraId="06E61653"/>
    <w:p w14:paraId="43F3352F"/>
    <w:p w14:paraId="644C2D67"/>
    <w:p w14:paraId="5976C6BF"/>
    <w:p w14:paraId="3CB370AB"/>
    <w:p w14:paraId="4AF61D72"/>
    <w:p w14:paraId="5ED489A3"/>
    <w:p w14:paraId="1AB10949"/>
    <w:p w14:paraId="14BDEB8C"/>
    <w:p w14:paraId="55020BE9"/>
    <w:bookmarkEnd w:id="22"/>
    <w:bookmarkEnd w:id="23"/>
    <w:bookmarkEnd w:id="24"/>
    <w:bookmarkEnd w:id="25"/>
    <w:bookmarkEnd w:id="26"/>
    <w:bookmarkEnd w:id="27"/>
    <w:bookmarkEnd w:id="28"/>
    <w:bookmarkEnd w:id="29"/>
    <w:bookmarkEnd w:id="30"/>
    <w:bookmarkEnd w:id="31"/>
    <w:bookmarkEnd w:id="32"/>
    <w:p w14:paraId="256A2F05">
      <w:pPr>
        <w:pStyle w:val="63"/>
        <w:sectPr>
          <w:headerReference r:id="rId12" w:type="default"/>
          <w:footerReference r:id="rId13" w:type="default"/>
          <w:footerReference r:id="rId14" w:type="even"/>
          <w:pgSz w:w="11906" w:h="16838"/>
          <w:pgMar w:top="1928" w:right="1134" w:bottom="1134" w:left="1134" w:header="1418" w:footer="1134" w:gutter="284"/>
          <w:pgNumType w:start="1"/>
          <w:cols w:space="425" w:num="1"/>
          <w:formProt w:val="0"/>
          <w:docGrid w:type="lines" w:linePitch="312" w:charSpace="0"/>
        </w:sectPr>
      </w:pPr>
    </w:p>
    <w:p w14:paraId="0A39A77A">
      <w:pPr>
        <w:pStyle w:val="63"/>
      </w:pPr>
      <w:r>
        <w:rPr>
          <w:rFonts w:hint="eastAsia"/>
        </w:rPr>
        <w:t>公路旋转式护栏设置规范</w:t>
      </w:r>
    </w:p>
    <w:p w14:paraId="60DABA6D">
      <w:pPr>
        <w:pStyle w:val="107"/>
        <w:spacing w:before="312" w:after="312"/>
      </w:pPr>
      <w:bookmarkStart w:id="33" w:name="_Toc16949"/>
      <w:r>
        <w:rPr>
          <w:rFonts w:hint="eastAsia"/>
        </w:rPr>
        <w:t>范围</w:t>
      </w:r>
      <w:bookmarkEnd w:id="33"/>
    </w:p>
    <w:p w14:paraId="2E8A1515">
      <w:pPr>
        <w:pStyle w:val="59"/>
      </w:pPr>
      <w:bookmarkStart w:id="34" w:name="_Toc26648466"/>
      <w:bookmarkStart w:id="35" w:name="_Toc17233334"/>
      <w:bookmarkStart w:id="36" w:name="_Toc101862596"/>
      <w:bookmarkStart w:id="37" w:name="_Toc24884219"/>
      <w:bookmarkStart w:id="38" w:name="_Toc17233326"/>
      <w:bookmarkStart w:id="39" w:name="_Toc26718931"/>
      <w:bookmarkStart w:id="40" w:name="_Toc24884212"/>
      <w:bookmarkStart w:id="41" w:name="_Toc97191424"/>
      <w:bookmarkStart w:id="42" w:name="_Toc26986531"/>
      <w:bookmarkStart w:id="43" w:name="_Toc26986772"/>
      <w:r>
        <w:rPr>
          <w:rFonts w:hint="eastAsia"/>
        </w:rPr>
        <w:t>本文件规定了</w:t>
      </w:r>
      <w:r>
        <w:rPr>
          <w:rFonts w:hint="eastAsia"/>
          <w:lang w:eastAsia="zh-CN"/>
        </w:rPr>
        <w:t>公路</w:t>
      </w:r>
      <w:r>
        <w:rPr>
          <w:rFonts w:hint="eastAsia"/>
        </w:rPr>
        <w:t>旋转式护栏的构造、设置、材料、施工和验收等技术要求。</w:t>
      </w:r>
    </w:p>
    <w:p w14:paraId="743F7E94">
      <w:pPr>
        <w:pStyle w:val="59"/>
      </w:pPr>
      <w:r>
        <w:rPr>
          <w:rFonts w:hint="eastAsia"/>
        </w:rPr>
        <w:t>本文件适用于公路</w:t>
      </w:r>
      <w:r>
        <w:rPr>
          <w:rFonts w:hint="eastAsia"/>
          <w:lang w:val="en-US" w:eastAsia="zh-CN"/>
        </w:rPr>
        <w:t>SB级</w:t>
      </w:r>
      <w:r>
        <w:rPr>
          <w:rFonts w:hint="eastAsia"/>
        </w:rPr>
        <w:t>旋转式护栏</w:t>
      </w:r>
      <w:r>
        <w:rPr>
          <w:rFonts w:hint="eastAsia"/>
          <w:lang w:eastAsia="zh-CN"/>
        </w:rPr>
        <w:t>的</w:t>
      </w:r>
      <w:r>
        <w:rPr>
          <w:rFonts w:hint="eastAsia"/>
        </w:rPr>
        <w:t>设置。</w:t>
      </w:r>
    </w:p>
    <w:p w14:paraId="76FFF2B5">
      <w:pPr>
        <w:pStyle w:val="107"/>
        <w:spacing w:before="312" w:after="312"/>
      </w:pPr>
      <w:bookmarkStart w:id="44" w:name="_Toc13646"/>
      <w:r>
        <w:rPr>
          <w:rFonts w:hint="eastAsia"/>
        </w:rPr>
        <w:t>规范性引用文件</w:t>
      </w:r>
      <w:bookmarkEnd w:id="34"/>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C9BE5B8876264CC684545F2629E083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40EF9EC">
          <w:pPr>
            <w:pStyle w:val="5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96A96D">
      <w:pPr>
        <w:pStyle w:val="59"/>
      </w:pPr>
      <w:r>
        <w:rPr>
          <w:rFonts w:hint="eastAsia"/>
        </w:rPr>
        <w:t>GB/T  12      圆头方颈螺栓</w:t>
      </w:r>
    </w:p>
    <w:p w14:paraId="17AA33E3">
      <w:pPr>
        <w:pStyle w:val="59"/>
      </w:pPr>
      <w:r>
        <w:rPr>
          <w:rFonts w:hint="eastAsia"/>
        </w:rPr>
        <w:t>GB/T  700     碳素结构钢</w:t>
      </w:r>
    </w:p>
    <w:p w14:paraId="77954A07">
      <w:pPr>
        <w:pStyle w:val="59"/>
      </w:pPr>
      <w:r>
        <w:rPr>
          <w:rFonts w:hint="eastAsia"/>
        </w:rPr>
        <w:t>GB/T  18226   公路交通工程钢构件防腐技术条件</w:t>
      </w:r>
    </w:p>
    <w:p w14:paraId="3545E215">
      <w:pPr>
        <w:pStyle w:val="59"/>
      </w:pPr>
      <w:r>
        <w:rPr>
          <w:rFonts w:hint="eastAsia"/>
        </w:rPr>
        <w:t>GB/T  18833   道路交通反光膜</w:t>
      </w:r>
    </w:p>
    <w:p w14:paraId="61112B4A">
      <w:pPr>
        <w:pStyle w:val="59"/>
        <w:rPr>
          <w:rFonts w:hint="eastAsia"/>
        </w:rPr>
      </w:pPr>
      <w:r>
        <w:rPr>
          <w:rFonts w:hint="eastAsia"/>
        </w:rPr>
        <w:t>GB/T  22040   公路沿线设施塑料制品耐候性要求及测试方法</w:t>
      </w:r>
    </w:p>
    <w:p w14:paraId="5A0ADC0F">
      <w:pPr>
        <w:pStyle w:val="59"/>
      </w:pPr>
      <w:r>
        <w:rPr>
          <w:rFonts w:hint="eastAsia"/>
        </w:rPr>
        <w:t>JTG    D81    公路交通安全设施设计规范</w:t>
      </w:r>
    </w:p>
    <w:p w14:paraId="6DA8FED8">
      <w:pPr>
        <w:pStyle w:val="59"/>
      </w:pPr>
      <w:r>
        <w:rPr>
          <w:rFonts w:hint="eastAsia"/>
        </w:rPr>
        <w:t>JTG/T  D81    公路交通安全设施设计细则</w:t>
      </w:r>
    </w:p>
    <w:p w14:paraId="074584AE">
      <w:pPr>
        <w:pStyle w:val="107"/>
        <w:spacing w:before="312" w:after="312"/>
      </w:pPr>
      <w:bookmarkStart w:id="45" w:name="_Toc101862597"/>
      <w:bookmarkStart w:id="46" w:name="_Toc97191425"/>
      <w:bookmarkStart w:id="47" w:name="_Toc7778"/>
      <w:r>
        <w:rPr>
          <w:rFonts w:hint="eastAsia"/>
          <w:szCs w:val="21"/>
        </w:rPr>
        <w:t>术语和定义</w:t>
      </w:r>
      <w:bookmarkEnd w:id="45"/>
      <w:bookmarkEnd w:id="46"/>
      <w:bookmarkEnd w:id="47"/>
    </w:p>
    <w:sdt>
      <w:sdtPr>
        <w:id w:val="-1909835108"/>
        <w:placeholder>
          <w:docPart w:val="ACB89347C3C44AC489950EB12B48C0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10FFC362">
          <w:pPr>
            <w:pStyle w:val="59"/>
          </w:pPr>
          <w:bookmarkStart w:id="48" w:name="_Toc26986532"/>
          <w:bookmarkEnd w:id="48"/>
          <w:r>
            <w:rPr>
              <w:rFonts w:hint="eastAsia"/>
            </w:rPr>
            <w:t>下列术语和定义适用于本文件。</w:t>
          </w:r>
        </w:p>
      </w:sdtContent>
    </w:sdt>
    <w:p w14:paraId="3EF7349C">
      <w:pPr>
        <w:pStyle w:val="59"/>
        <w:rPr>
          <w:rFonts w:hint="eastAsia" w:ascii="黑体" w:hAnsi="黑体" w:eastAsia="黑体"/>
        </w:rPr>
      </w:pPr>
      <w:r>
        <w:rPr>
          <w:rFonts w:hint="eastAsia" w:ascii="黑体" w:hAnsi="黑体" w:eastAsia="黑体"/>
        </w:rPr>
        <w:t xml:space="preserve">3.1  </w:t>
      </w:r>
    </w:p>
    <w:p w14:paraId="65022DBB">
      <w:pPr>
        <w:pStyle w:val="59"/>
        <w:rPr>
          <w:rFonts w:hint="eastAsia" w:ascii="黑体" w:hAnsi="黑体" w:eastAsia="黑体"/>
          <w:highlight w:val="yellow"/>
        </w:rPr>
      </w:pPr>
      <w:bookmarkStart w:id="49" w:name="_Toc101862607"/>
      <w:r>
        <w:rPr>
          <w:rFonts w:hint="eastAsia" w:ascii="黑体" w:hAnsi="黑体" w:eastAsia="黑体"/>
        </w:rPr>
        <w:t xml:space="preserve">公路旋转式护栏 </w:t>
      </w:r>
      <w:r>
        <w:rPr>
          <w:rFonts w:hint="eastAsia" w:ascii="黑体" w:hAnsi="黑体" w:eastAsia="黑体"/>
          <w:highlight w:val="none"/>
        </w:rPr>
        <w:t xml:space="preserve"> highway rotary guardrail</w:t>
      </w:r>
    </w:p>
    <w:p w14:paraId="0597F32F">
      <w:pPr>
        <w:spacing w:before="66" w:line="258" w:lineRule="auto"/>
        <w:ind w:left="7" w:right="116" w:firstLine="424"/>
        <w:rPr>
          <w:rFonts w:hint="eastAsia" w:ascii="宋体" w:hAnsi="Times New Roman"/>
          <w:kern w:val="0"/>
          <w:szCs w:val="20"/>
          <w:lang w:val="en-US" w:eastAsia="zh-CN"/>
        </w:rPr>
      </w:pPr>
      <w:r>
        <w:rPr>
          <w:rFonts w:hint="eastAsia" w:ascii="宋体" w:hAnsi="Times New Roman"/>
          <w:kern w:val="0"/>
          <w:szCs w:val="20"/>
          <w:lang w:val="en-US" w:eastAsia="zh-CN"/>
        </w:rPr>
        <w:t>使用旋转筒作为主要接触介质的半刚性护栏。</w:t>
      </w:r>
    </w:p>
    <w:p w14:paraId="6A4D594B">
      <w:pPr>
        <w:spacing w:before="66" w:line="258" w:lineRule="auto"/>
        <w:ind w:left="7" w:right="116" w:firstLine="424"/>
        <w:rPr>
          <w:rFonts w:hint="eastAsia" w:ascii="宋体" w:hAnsi="Times New Roman"/>
          <w:kern w:val="0"/>
          <w:szCs w:val="20"/>
          <w:lang w:val="en-US" w:eastAsia="zh-CN"/>
        </w:rPr>
      </w:pPr>
      <w:r>
        <w:rPr>
          <w:rFonts w:hint="eastAsia" w:ascii="宋体" w:hAnsi="Times New Roman"/>
          <w:kern w:val="0"/>
          <w:szCs w:val="20"/>
          <w:lang w:val="en-US" w:eastAsia="zh-CN"/>
        </w:rPr>
        <w:t>注：其旋转筒可在撞击力作用下旋转，进而带动车辆完成转向回复，构造形式代码为RG-SB。</w:t>
      </w:r>
    </w:p>
    <w:p w14:paraId="59C16B9E">
      <w:pPr>
        <w:pStyle w:val="59"/>
        <w:rPr>
          <w:rFonts w:hint="eastAsia" w:ascii="黑体" w:hAnsi="黑体" w:eastAsia="黑体"/>
          <w:lang w:val="en-US" w:eastAsia="zh-CN"/>
        </w:rPr>
      </w:pPr>
      <w:r>
        <w:rPr>
          <w:rFonts w:hint="eastAsia" w:ascii="黑体" w:hAnsi="黑体" w:eastAsia="黑体"/>
          <w:lang w:val="en-US" w:eastAsia="zh-CN"/>
        </w:rPr>
        <w:t>3.2</w:t>
      </w:r>
    </w:p>
    <w:p w14:paraId="1B1687A8">
      <w:pPr>
        <w:pStyle w:val="59"/>
        <w:rPr>
          <w:rFonts w:hint="eastAsia" w:ascii="黑体" w:hAnsi="黑体" w:eastAsia="黑体"/>
          <w:lang w:val="en-US" w:eastAsia="zh-CN"/>
        </w:rPr>
      </w:pPr>
      <w:r>
        <w:rPr>
          <w:rFonts w:hint="eastAsia" w:ascii="黑体" w:hAnsi="黑体" w:eastAsia="黑体"/>
          <w:lang w:val="en-US" w:eastAsia="zh-CN"/>
        </w:rPr>
        <w:t>旋转筒   energy-absorbing cylinder</w:t>
      </w:r>
    </w:p>
    <w:p w14:paraId="5C8C7BCC">
      <w:pPr>
        <w:spacing w:before="66" w:line="258" w:lineRule="auto"/>
        <w:ind w:left="7" w:right="116" w:firstLine="424"/>
        <w:rPr>
          <w:rFonts w:hint="eastAsia" w:ascii="宋体" w:hAnsi="Times New Roman"/>
          <w:kern w:val="0"/>
          <w:szCs w:val="20"/>
          <w:lang w:val="en-US" w:eastAsia="zh-CN"/>
        </w:rPr>
      </w:pPr>
      <w:r>
        <w:rPr>
          <w:rFonts w:hint="default" w:ascii="宋体" w:hAnsi="Times New Roman"/>
          <w:kern w:val="0"/>
          <w:szCs w:val="20"/>
          <w:lang w:val="en-US" w:eastAsia="zh-CN"/>
        </w:rPr>
        <w:t>专为核心吸能和导向功能而设计的EVA和聚乙烯共混物筒状装置</w:t>
      </w:r>
      <w:r>
        <w:rPr>
          <w:rFonts w:hint="eastAsia" w:ascii="宋体" w:hAnsi="Times New Roman"/>
          <w:kern w:val="0"/>
          <w:szCs w:val="20"/>
          <w:lang w:val="en-US" w:eastAsia="zh-CN"/>
        </w:rPr>
        <w:t>。</w:t>
      </w:r>
    </w:p>
    <w:p w14:paraId="213E3E48">
      <w:pPr>
        <w:pStyle w:val="107"/>
        <w:spacing w:before="312" w:after="312"/>
      </w:pPr>
      <w:bookmarkStart w:id="50" w:name="_Toc31228"/>
      <w:r>
        <w:rPr>
          <w:rFonts w:hint="eastAsia"/>
        </w:rPr>
        <w:t>构造</w:t>
      </w:r>
      <w:bookmarkEnd w:id="50"/>
    </w:p>
    <w:p w14:paraId="0683EBA5">
      <w:pPr>
        <w:spacing w:before="66" w:line="258" w:lineRule="auto"/>
        <w:ind w:left="7" w:right="116" w:firstLine="424"/>
        <w:rPr>
          <w:rFonts w:ascii="宋体" w:hAnsi="Times New Roman"/>
          <w:kern w:val="0"/>
          <w:szCs w:val="20"/>
        </w:rPr>
      </w:pPr>
      <w:r>
        <w:rPr>
          <w:rFonts w:hint="eastAsia" w:ascii="宋体" w:hAnsi="Times New Roman"/>
          <w:kern w:val="0"/>
          <w:szCs w:val="20"/>
        </w:rPr>
        <w:t>公路旋转式护栏柱帽、横梁、立柱、旋转筒、回旋圈及</w:t>
      </w:r>
      <w:r>
        <w:rPr>
          <w:rFonts w:hint="eastAsia" w:ascii="宋体" w:hAnsi="Times New Roman"/>
          <w:kern w:val="0"/>
          <w:szCs w:val="20"/>
          <w:lang w:eastAsia="zh-CN"/>
        </w:rPr>
        <w:t>反光圈</w:t>
      </w:r>
      <w:r>
        <w:rPr>
          <w:rFonts w:hint="eastAsia" w:ascii="宋体" w:hAnsi="Times New Roman"/>
          <w:kern w:val="0"/>
          <w:szCs w:val="20"/>
        </w:rPr>
        <w:t>组成。公路旋转式护栏构造见图</w:t>
      </w:r>
      <w:r>
        <w:rPr>
          <w:rFonts w:hint="eastAsia" w:ascii="宋体" w:hAnsi="Times New Roman"/>
          <w:kern w:val="0"/>
          <w:szCs w:val="20"/>
          <w:lang w:val="en-US" w:eastAsia="zh-CN"/>
        </w:rPr>
        <w:t>1</w:t>
      </w:r>
      <w:r>
        <w:rPr>
          <w:rFonts w:hint="eastAsia" w:ascii="宋体" w:hAnsi="Times New Roman"/>
          <w:kern w:val="0"/>
          <w:szCs w:val="20"/>
        </w:rPr>
        <w:t>，构件规格及用途见表</w:t>
      </w:r>
      <w:r>
        <w:rPr>
          <w:rFonts w:hint="eastAsia" w:ascii="宋体" w:hAnsi="Times New Roman"/>
          <w:kern w:val="0"/>
          <w:szCs w:val="20"/>
          <w:lang w:val="en-US" w:eastAsia="zh-CN"/>
        </w:rPr>
        <w:t>1</w:t>
      </w:r>
      <w:r>
        <w:rPr>
          <w:rFonts w:hint="eastAsia" w:ascii="宋体" w:hAnsi="Times New Roman"/>
          <w:kern w:val="0"/>
          <w:szCs w:val="20"/>
        </w:rPr>
        <w:t>，构件尺寸见附录A。</w:t>
      </w:r>
    </w:p>
    <w:p w14:paraId="04E09696">
      <w:pPr>
        <w:pStyle w:val="168"/>
        <w:numPr>
          <w:ilvl w:val="0"/>
          <w:numId w:val="0"/>
        </w:numPr>
        <w:jc w:val="center"/>
      </w:pPr>
      <w:r>
        <w:rPr>
          <w:rFonts w:hint="eastAsia" w:eastAsia="宋体"/>
          <w:lang w:eastAsia="zh-CN"/>
        </w:rPr>
        <w:drawing>
          <wp:inline distT="0" distB="0" distL="114300" distR="114300">
            <wp:extent cx="5158740" cy="3470275"/>
            <wp:effectExtent l="0" t="0" r="3810" b="15875"/>
            <wp:docPr id="6" name="图片 6" descr="9a827857-2e84-4d0a-a1da-35814e896b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a827857-2e84-4d0a-a1da-35814e896bbe"/>
                    <pic:cNvPicPr>
                      <a:picLocks noChangeAspect="1"/>
                    </pic:cNvPicPr>
                  </pic:nvPicPr>
                  <pic:blipFill>
                    <a:blip r:embed="rId21"/>
                    <a:stretch>
                      <a:fillRect/>
                    </a:stretch>
                  </pic:blipFill>
                  <pic:spPr>
                    <a:xfrm>
                      <a:off x="0" y="0"/>
                      <a:ext cx="5158740" cy="3470275"/>
                    </a:xfrm>
                    <a:prstGeom prst="rect">
                      <a:avLst/>
                    </a:prstGeom>
                  </pic:spPr>
                </pic:pic>
              </a:graphicData>
            </a:graphic>
          </wp:inline>
        </w:drawing>
      </w:r>
    </w:p>
    <w:p w14:paraId="0A7A2E83">
      <w:pPr>
        <w:pStyle w:val="14"/>
        <w:spacing w:before="65" w:line="230" w:lineRule="auto"/>
        <w:ind w:left="3208"/>
        <w:rPr>
          <w:rFonts w:hint="eastAsia" w:ascii="宋体" w:hAnsi="宋体" w:cs="宋体"/>
          <w:sz w:val="24"/>
          <w:szCs w:val="24"/>
        </w:rPr>
      </w:pPr>
      <w:r>
        <w:rPr>
          <w:rFonts w:hint="eastAsia" w:ascii="黑体" w:hAnsi="黑体" w:eastAsia="黑体" w:cs="黑体"/>
          <w:spacing w:val="6"/>
        </w:rPr>
        <w:t>图</w:t>
      </w:r>
      <w:r>
        <w:rPr>
          <w:rFonts w:hint="eastAsia" w:ascii="黑体" w:hAnsi="黑体" w:eastAsia="黑体" w:cs="黑体"/>
          <w:spacing w:val="6"/>
          <w:lang w:val="en-US" w:eastAsia="zh-CN"/>
        </w:rPr>
        <w:t>1</w:t>
      </w:r>
      <w:r>
        <w:rPr>
          <w:rFonts w:hint="eastAsia" w:ascii="黑体" w:hAnsi="黑体" w:eastAsia="黑体" w:cs="黑体"/>
          <w:spacing w:val="6"/>
        </w:rPr>
        <w:t xml:space="preserve"> 公路旋转式护栏构造示意图</w:t>
      </w:r>
    </w:p>
    <w:p w14:paraId="7C16E737">
      <w:pPr>
        <w:pStyle w:val="115"/>
        <w:spacing w:before="156" w:after="156"/>
      </w:pPr>
      <w:r>
        <w:rPr>
          <w:rFonts w:hint="eastAsia"/>
        </w:rPr>
        <w:t>公路旋转式护栏组成及各构件规格和用途</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1"/>
        <w:gridCol w:w="2049"/>
        <w:gridCol w:w="2629"/>
        <w:gridCol w:w="3815"/>
      </w:tblGrid>
      <w:tr w14:paraId="5FB0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shd w:val="clear" w:color="auto" w:fill="auto"/>
            <w:vAlign w:val="center"/>
          </w:tcPr>
          <w:p w14:paraId="7EAA8D45">
            <w:pPr>
              <w:spacing w:line="240" w:lineRule="auto"/>
              <w:jc w:val="center"/>
              <w:rPr>
                <w:rFonts w:hint="eastAsia" w:ascii="宋体" w:hAnsi="宋体" w:cstheme="minorEastAsia"/>
                <w:sz w:val="18"/>
                <w:szCs w:val="18"/>
              </w:rPr>
            </w:pPr>
            <w:r>
              <w:rPr>
                <w:rFonts w:hint="eastAsia" w:ascii="宋体" w:hAnsi="宋体" w:cstheme="minorEastAsia"/>
                <w:sz w:val="18"/>
                <w:szCs w:val="18"/>
              </w:rPr>
              <w:t>序号</w:t>
            </w:r>
          </w:p>
        </w:tc>
        <w:tc>
          <w:tcPr>
            <w:tcW w:w="2049" w:type="dxa"/>
            <w:shd w:val="clear" w:color="auto" w:fill="auto"/>
            <w:vAlign w:val="center"/>
          </w:tcPr>
          <w:p w14:paraId="2A79880C">
            <w:pPr>
              <w:spacing w:line="240" w:lineRule="auto"/>
              <w:jc w:val="center"/>
              <w:rPr>
                <w:rFonts w:hint="eastAsia" w:ascii="宋体" w:hAnsi="宋体" w:cstheme="minorEastAsia"/>
                <w:sz w:val="18"/>
                <w:szCs w:val="18"/>
              </w:rPr>
            </w:pPr>
            <w:r>
              <w:rPr>
                <w:rFonts w:hint="eastAsia" w:ascii="宋体" w:hAnsi="宋体" w:cstheme="minorEastAsia"/>
                <w:sz w:val="18"/>
                <w:szCs w:val="18"/>
              </w:rPr>
              <w:t>名称</w:t>
            </w:r>
          </w:p>
        </w:tc>
        <w:tc>
          <w:tcPr>
            <w:tcW w:w="2629" w:type="dxa"/>
            <w:shd w:val="clear" w:color="auto" w:fill="auto"/>
            <w:vAlign w:val="center"/>
          </w:tcPr>
          <w:p w14:paraId="7EA1DEF6">
            <w:pPr>
              <w:spacing w:line="240" w:lineRule="auto"/>
              <w:jc w:val="center"/>
              <w:rPr>
                <w:rFonts w:hint="eastAsia" w:ascii="宋体" w:hAnsi="宋体" w:cstheme="minorEastAsia"/>
                <w:sz w:val="18"/>
                <w:szCs w:val="18"/>
              </w:rPr>
            </w:pPr>
            <w:r>
              <w:rPr>
                <w:rFonts w:hint="eastAsia" w:ascii="宋体" w:hAnsi="宋体" w:cstheme="minorEastAsia"/>
                <w:sz w:val="18"/>
                <w:szCs w:val="18"/>
              </w:rPr>
              <w:t>规格尺寸（mm）</w:t>
            </w:r>
          </w:p>
        </w:tc>
        <w:tc>
          <w:tcPr>
            <w:tcW w:w="3815" w:type="dxa"/>
            <w:shd w:val="clear" w:color="auto" w:fill="auto"/>
            <w:vAlign w:val="center"/>
          </w:tcPr>
          <w:p w14:paraId="2B29504E">
            <w:pPr>
              <w:spacing w:line="240" w:lineRule="auto"/>
              <w:jc w:val="center"/>
              <w:rPr>
                <w:rFonts w:hint="eastAsia" w:ascii="宋体" w:hAnsi="宋体" w:cstheme="minorEastAsia"/>
                <w:sz w:val="18"/>
                <w:szCs w:val="18"/>
              </w:rPr>
            </w:pPr>
            <w:r>
              <w:rPr>
                <w:rFonts w:hint="eastAsia" w:ascii="宋体" w:hAnsi="宋体" w:cstheme="minorEastAsia"/>
                <w:sz w:val="18"/>
                <w:szCs w:val="18"/>
              </w:rPr>
              <w:t>用途</w:t>
            </w:r>
          </w:p>
        </w:tc>
      </w:tr>
      <w:tr w14:paraId="33C3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51BAF8A0">
            <w:pPr>
              <w:spacing w:line="240" w:lineRule="auto"/>
              <w:jc w:val="center"/>
              <w:rPr>
                <w:rFonts w:hint="eastAsia" w:ascii="宋体" w:hAnsi="宋体" w:cstheme="minorEastAsia"/>
                <w:sz w:val="18"/>
                <w:szCs w:val="18"/>
              </w:rPr>
            </w:pPr>
            <w:r>
              <w:rPr>
                <w:rFonts w:hint="eastAsia" w:ascii="宋体" w:hAnsi="宋体" w:cstheme="minorEastAsia"/>
                <w:sz w:val="18"/>
                <w:szCs w:val="18"/>
              </w:rPr>
              <w:t>1</w:t>
            </w:r>
          </w:p>
        </w:tc>
        <w:tc>
          <w:tcPr>
            <w:tcW w:w="2049" w:type="dxa"/>
            <w:shd w:val="clear" w:color="auto" w:fill="auto"/>
            <w:vAlign w:val="center"/>
          </w:tcPr>
          <w:p w14:paraId="74C50596">
            <w:pPr>
              <w:spacing w:line="240" w:lineRule="auto"/>
              <w:jc w:val="center"/>
              <w:rPr>
                <w:rFonts w:hint="eastAsia" w:ascii="宋体" w:hAnsi="宋体" w:cstheme="minorEastAsia"/>
                <w:sz w:val="18"/>
                <w:szCs w:val="18"/>
              </w:rPr>
            </w:pPr>
            <w:r>
              <w:rPr>
                <w:rFonts w:hint="eastAsia" w:ascii="宋体" w:hAnsi="宋体" w:cstheme="minorEastAsia"/>
                <w:sz w:val="18"/>
                <w:szCs w:val="18"/>
              </w:rPr>
              <w:t>柱帽</w:t>
            </w:r>
          </w:p>
        </w:tc>
        <w:tc>
          <w:tcPr>
            <w:tcW w:w="2629" w:type="dxa"/>
            <w:shd w:val="clear" w:color="auto" w:fill="auto"/>
            <w:vAlign w:val="center"/>
          </w:tcPr>
          <w:p w14:paraId="64AE924A">
            <w:pPr>
              <w:spacing w:line="240" w:lineRule="auto"/>
              <w:jc w:val="center"/>
              <w:rPr>
                <w:rFonts w:hint="eastAsia" w:ascii="宋体" w:hAnsi="宋体" w:cstheme="minorEastAsia"/>
                <w:sz w:val="18"/>
                <w:szCs w:val="18"/>
              </w:rPr>
            </w:pPr>
            <w:r>
              <w:rPr>
                <w:rFonts w:hint="eastAsia" w:ascii="宋体" w:hAnsi="宋体" w:cstheme="minorEastAsia"/>
                <w:sz w:val="18"/>
                <w:szCs w:val="18"/>
              </w:rPr>
              <w:t>146×10×4.0</w:t>
            </w:r>
          </w:p>
        </w:tc>
        <w:tc>
          <w:tcPr>
            <w:tcW w:w="3815" w:type="dxa"/>
            <w:shd w:val="clear" w:color="auto" w:fill="auto"/>
            <w:vAlign w:val="center"/>
          </w:tcPr>
          <w:p w14:paraId="037C01A8">
            <w:pPr>
              <w:spacing w:line="240" w:lineRule="auto"/>
              <w:jc w:val="center"/>
              <w:rPr>
                <w:rFonts w:hint="eastAsia" w:ascii="宋体" w:hAnsi="宋体" w:cstheme="minorEastAsia"/>
                <w:sz w:val="18"/>
                <w:szCs w:val="18"/>
              </w:rPr>
            </w:pPr>
            <w:r>
              <w:rPr>
                <w:rFonts w:hint="eastAsia" w:ascii="宋体" w:hAnsi="宋体" w:cstheme="minorEastAsia"/>
                <w:sz w:val="18"/>
                <w:szCs w:val="18"/>
              </w:rPr>
              <w:t>保护立柱顶端</w:t>
            </w:r>
          </w:p>
        </w:tc>
      </w:tr>
      <w:tr w14:paraId="07C5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460DF83C">
            <w:pPr>
              <w:spacing w:line="240" w:lineRule="auto"/>
              <w:jc w:val="center"/>
              <w:rPr>
                <w:rFonts w:hint="eastAsia" w:ascii="宋体" w:hAnsi="宋体" w:cstheme="minorEastAsia"/>
                <w:sz w:val="18"/>
                <w:szCs w:val="18"/>
              </w:rPr>
            </w:pPr>
            <w:r>
              <w:rPr>
                <w:rFonts w:hint="eastAsia" w:ascii="宋体" w:hAnsi="宋体" w:cstheme="minorEastAsia"/>
                <w:sz w:val="18"/>
                <w:szCs w:val="18"/>
              </w:rPr>
              <w:t>2</w:t>
            </w:r>
          </w:p>
        </w:tc>
        <w:tc>
          <w:tcPr>
            <w:tcW w:w="2049" w:type="dxa"/>
            <w:shd w:val="clear" w:color="auto" w:fill="auto"/>
            <w:vAlign w:val="center"/>
          </w:tcPr>
          <w:p w14:paraId="152D5530">
            <w:pPr>
              <w:spacing w:line="240" w:lineRule="auto"/>
              <w:jc w:val="center"/>
              <w:rPr>
                <w:rFonts w:hint="eastAsia" w:ascii="宋体" w:hAnsi="宋体" w:cstheme="minorEastAsia"/>
                <w:sz w:val="18"/>
                <w:szCs w:val="18"/>
              </w:rPr>
            </w:pPr>
            <w:r>
              <w:rPr>
                <w:rFonts w:hint="eastAsia" w:ascii="宋体" w:hAnsi="宋体" w:cstheme="minorEastAsia"/>
                <w:sz w:val="18"/>
                <w:szCs w:val="18"/>
              </w:rPr>
              <w:t>横梁</w:t>
            </w:r>
          </w:p>
        </w:tc>
        <w:tc>
          <w:tcPr>
            <w:tcW w:w="2629" w:type="dxa"/>
            <w:shd w:val="clear" w:color="auto" w:fill="auto"/>
            <w:vAlign w:val="center"/>
          </w:tcPr>
          <w:p w14:paraId="254329BB">
            <w:pPr>
              <w:spacing w:line="240" w:lineRule="auto"/>
              <w:jc w:val="center"/>
              <w:rPr>
                <w:rFonts w:hint="eastAsia" w:ascii="宋体" w:hAnsi="宋体" w:cstheme="minorEastAsia"/>
                <w:sz w:val="18"/>
                <w:szCs w:val="18"/>
              </w:rPr>
            </w:pPr>
            <w:r>
              <w:rPr>
                <w:rFonts w:hint="eastAsia" w:ascii="宋体" w:hAnsi="宋体" w:cstheme="minorEastAsia"/>
                <w:sz w:val="18"/>
                <w:szCs w:val="18"/>
              </w:rPr>
              <w:t>115×82×3.0</w:t>
            </w:r>
          </w:p>
        </w:tc>
        <w:tc>
          <w:tcPr>
            <w:tcW w:w="3815" w:type="dxa"/>
            <w:shd w:val="clear" w:color="auto" w:fill="auto"/>
            <w:vAlign w:val="center"/>
          </w:tcPr>
          <w:p w14:paraId="76BD5564">
            <w:pPr>
              <w:spacing w:line="240" w:lineRule="auto"/>
              <w:jc w:val="center"/>
              <w:rPr>
                <w:rFonts w:hint="eastAsia" w:ascii="宋体" w:hAnsi="宋体" w:cstheme="minorEastAsia"/>
                <w:sz w:val="18"/>
                <w:szCs w:val="18"/>
              </w:rPr>
            </w:pPr>
            <w:r>
              <w:rPr>
                <w:rFonts w:hint="eastAsia" w:ascii="宋体" w:hAnsi="宋体" w:cstheme="minorEastAsia"/>
                <w:sz w:val="18"/>
                <w:szCs w:val="18"/>
              </w:rPr>
              <w:t>吸收碰撞能量，连接立柱</w:t>
            </w:r>
          </w:p>
        </w:tc>
      </w:tr>
      <w:tr w14:paraId="7ECE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08CDDC64">
            <w:pPr>
              <w:spacing w:line="240" w:lineRule="auto"/>
              <w:jc w:val="center"/>
              <w:rPr>
                <w:rFonts w:hint="eastAsia" w:ascii="宋体" w:hAnsi="宋体" w:cstheme="minorEastAsia"/>
                <w:sz w:val="18"/>
                <w:szCs w:val="18"/>
              </w:rPr>
            </w:pPr>
            <w:r>
              <w:rPr>
                <w:rFonts w:hint="eastAsia" w:ascii="宋体" w:hAnsi="宋体" w:cstheme="minorEastAsia"/>
                <w:sz w:val="18"/>
                <w:szCs w:val="18"/>
              </w:rPr>
              <w:t>3</w:t>
            </w:r>
          </w:p>
        </w:tc>
        <w:tc>
          <w:tcPr>
            <w:tcW w:w="2049" w:type="dxa"/>
            <w:shd w:val="clear" w:color="auto" w:fill="auto"/>
            <w:vAlign w:val="center"/>
          </w:tcPr>
          <w:p w14:paraId="29C7DB22">
            <w:pPr>
              <w:spacing w:line="240" w:lineRule="auto"/>
              <w:jc w:val="center"/>
              <w:rPr>
                <w:rFonts w:hint="eastAsia" w:ascii="宋体" w:hAnsi="宋体" w:cstheme="minorEastAsia"/>
                <w:sz w:val="18"/>
                <w:szCs w:val="18"/>
              </w:rPr>
            </w:pPr>
            <w:r>
              <w:rPr>
                <w:rFonts w:hint="eastAsia" w:ascii="宋体" w:hAnsi="宋体" w:cstheme="minorEastAsia"/>
                <w:sz w:val="18"/>
                <w:szCs w:val="18"/>
              </w:rPr>
              <w:t>立柱</w:t>
            </w:r>
          </w:p>
        </w:tc>
        <w:tc>
          <w:tcPr>
            <w:tcW w:w="2629" w:type="dxa"/>
            <w:shd w:val="clear" w:color="auto" w:fill="auto"/>
            <w:vAlign w:val="center"/>
          </w:tcPr>
          <w:p w14:paraId="597980B1">
            <w:pPr>
              <w:spacing w:line="240" w:lineRule="auto"/>
              <w:jc w:val="center"/>
              <w:rPr>
                <w:rFonts w:hint="eastAsia" w:ascii="宋体" w:hAnsi="宋体" w:cstheme="minorEastAsia"/>
                <w:sz w:val="18"/>
                <w:szCs w:val="18"/>
              </w:rPr>
            </w:pPr>
            <w:r>
              <w:rPr>
                <w:rFonts w:hint="eastAsia" w:ascii="宋体" w:hAnsi="宋体" w:cstheme="minorEastAsia"/>
                <w:sz w:val="18"/>
                <w:szCs w:val="18"/>
              </w:rPr>
              <w:t>φ140×4.5×2200</w:t>
            </w:r>
          </w:p>
        </w:tc>
        <w:tc>
          <w:tcPr>
            <w:tcW w:w="3815" w:type="dxa"/>
            <w:shd w:val="clear" w:color="auto" w:fill="auto"/>
            <w:vAlign w:val="center"/>
          </w:tcPr>
          <w:p w14:paraId="62A6CD5D">
            <w:pPr>
              <w:spacing w:line="240" w:lineRule="auto"/>
              <w:jc w:val="center"/>
              <w:rPr>
                <w:rFonts w:hint="eastAsia" w:ascii="宋体" w:hAnsi="宋体" w:cstheme="minorEastAsia"/>
                <w:sz w:val="18"/>
                <w:szCs w:val="18"/>
              </w:rPr>
            </w:pPr>
            <w:r>
              <w:rPr>
                <w:rFonts w:hint="eastAsia" w:ascii="宋体" w:hAnsi="宋体" w:cstheme="minorEastAsia"/>
                <w:sz w:val="18"/>
                <w:szCs w:val="18"/>
              </w:rPr>
              <w:t>吸收碰撞能量，支撑横梁和旋转筒</w:t>
            </w:r>
          </w:p>
        </w:tc>
      </w:tr>
      <w:tr w14:paraId="1A84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5DEDFD5C">
            <w:pPr>
              <w:spacing w:line="240" w:lineRule="auto"/>
              <w:jc w:val="center"/>
              <w:rPr>
                <w:rFonts w:hint="eastAsia" w:ascii="宋体" w:hAnsi="宋体" w:cstheme="minorEastAsia"/>
                <w:sz w:val="18"/>
                <w:szCs w:val="18"/>
              </w:rPr>
            </w:pPr>
            <w:r>
              <w:rPr>
                <w:rFonts w:hint="eastAsia" w:ascii="宋体" w:hAnsi="宋体" w:cstheme="minorEastAsia"/>
                <w:sz w:val="18"/>
                <w:szCs w:val="18"/>
              </w:rPr>
              <w:t>4</w:t>
            </w:r>
          </w:p>
        </w:tc>
        <w:tc>
          <w:tcPr>
            <w:tcW w:w="2049" w:type="dxa"/>
            <w:shd w:val="clear" w:color="auto" w:fill="auto"/>
            <w:vAlign w:val="center"/>
          </w:tcPr>
          <w:p w14:paraId="0443DA97">
            <w:pPr>
              <w:spacing w:line="240" w:lineRule="auto"/>
              <w:jc w:val="center"/>
              <w:rPr>
                <w:rFonts w:hint="eastAsia" w:ascii="宋体" w:hAnsi="宋体" w:cstheme="minorEastAsia"/>
                <w:sz w:val="18"/>
                <w:szCs w:val="18"/>
              </w:rPr>
            </w:pPr>
            <w:r>
              <w:rPr>
                <w:rFonts w:hint="eastAsia" w:ascii="宋体" w:hAnsi="宋体" w:cstheme="minorEastAsia"/>
                <w:sz w:val="18"/>
                <w:szCs w:val="18"/>
              </w:rPr>
              <w:t>旋转筒</w:t>
            </w:r>
          </w:p>
        </w:tc>
        <w:tc>
          <w:tcPr>
            <w:tcW w:w="2629" w:type="dxa"/>
            <w:shd w:val="clear" w:color="auto" w:fill="auto"/>
            <w:vAlign w:val="center"/>
          </w:tcPr>
          <w:p w14:paraId="32DB221D">
            <w:pPr>
              <w:spacing w:line="240" w:lineRule="auto"/>
              <w:jc w:val="center"/>
              <w:rPr>
                <w:rFonts w:hint="eastAsia" w:ascii="宋体" w:hAnsi="宋体" w:cstheme="minorEastAsia"/>
                <w:sz w:val="18"/>
                <w:szCs w:val="18"/>
              </w:rPr>
            </w:pPr>
            <w:r>
              <w:rPr>
                <w:rFonts w:hint="eastAsia" w:ascii="宋体" w:hAnsi="宋体" w:cstheme="minorEastAsia"/>
                <w:sz w:val="18"/>
                <w:szCs w:val="18"/>
              </w:rPr>
              <w:t>φ350×238（φ350×490）</w:t>
            </w:r>
          </w:p>
        </w:tc>
        <w:tc>
          <w:tcPr>
            <w:tcW w:w="3815" w:type="dxa"/>
            <w:shd w:val="clear" w:color="auto" w:fill="auto"/>
            <w:vAlign w:val="center"/>
          </w:tcPr>
          <w:p w14:paraId="05C2D6B5">
            <w:pPr>
              <w:spacing w:line="240" w:lineRule="auto"/>
              <w:jc w:val="center"/>
              <w:rPr>
                <w:rFonts w:hint="eastAsia" w:ascii="宋体" w:hAnsi="宋体" w:cstheme="minorEastAsia"/>
                <w:sz w:val="18"/>
                <w:szCs w:val="18"/>
              </w:rPr>
            </w:pPr>
            <w:r>
              <w:rPr>
                <w:rFonts w:hint="eastAsia" w:ascii="宋体" w:hAnsi="宋体" w:cstheme="minorEastAsia"/>
                <w:sz w:val="18"/>
                <w:szCs w:val="18"/>
              </w:rPr>
              <w:t>吸收碰撞能量，对失控车辆导向</w:t>
            </w:r>
          </w:p>
        </w:tc>
      </w:tr>
      <w:tr w14:paraId="52F3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5B299024">
            <w:pPr>
              <w:spacing w:line="240" w:lineRule="auto"/>
              <w:jc w:val="center"/>
              <w:rPr>
                <w:rFonts w:hint="eastAsia" w:ascii="宋体" w:hAnsi="宋体" w:cstheme="minorEastAsia"/>
                <w:sz w:val="18"/>
                <w:szCs w:val="18"/>
              </w:rPr>
            </w:pPr>
            <w:r>
              <w:rPr>
                <w:rFonts w:hint="eastAsia" w:ascii="宋体" w:hAnsi="宋体" w:cstheme="minorEastAsia"/>
                <w:sz w:val="18"/>
                <w:szCs w:val="18"/>
              </w:rPr>
              <w:t>5</w:t>
            </w:r>
          </w:p>
        </w:tc>
        <w:tc>
          <w:tcPr>
            <w:tcW w:w="2049" w:type="dxa"/>
            <w:shd w:val="clear" w:color="auto" w:fill="auto"/>
            <w:vAlign w:val="center"/>
          </w:tcPr>
          <w:p w14:paraId="0E9EA5A4">
            <w:pPr>
              <w:spacing w:line="240" w:lineRule="auto"/>
              <w:jc w:val="center"/>
              <w:rPr>
                <w:rFonts w:hint="eastAsia" w:ascii="宋体" w:hAnsi="宋体" w:cstheme="minorEastAsia"/>
                <w:sz w:val="18"/>
                <w:szCs w:val="18"/>
              </w:rPr>
            </w:pPr>
            <w:r>
              <w:rPr>
                <w:rFonts w:hint="eastAsia" w:ascii="宋体" w:hAnsi="宋体" w:cstheme="minorEastAsia"/>
                <w:sz w:val="18"/>
                <w:szCs w:val="18"/>
              </w:rPr>
              <w:t>回旋圈</w:t>
            </w:r>
          </w:p>
        </w:tc>
        <w:tc>
          <w:tcPr>
            <w:tcW w:w="2629" w:type="dxa"/>
            <w:shd w:val="clear" w:color="auto" w:fill="auto"/>
            <w:vAlign w:val="center"/>
          </w:tcPr>
          <w:p w14:paraId="7DC5AE1B">
            <w:pPr>
              <w:spacing w:line="240" w:lineRule="auto"/>
              <w:jc w:val="center"/>
              <w:rPr>
                <w:rFonts w:hint="eastAsia" w:ascii="宋体" w:hAnsi="宋体" w:cstheme="minorEastAsia"/>
                <w:sz w:val="18"/>
                <w:szCs w:val="18"/>
              </w:rPr>
            </w:pPr>
            <w:r>
              <w:rPr>
                <w:rFonts w:hint="eastAsia" w:ascii="宋体" w:hAnsi="宋体" w:cstheme="minorEastAsia"/>
                <w:sz w:val="18"/>
                <w:szCs w:val="18"/>
              </w:rPr>
              <w:t>φ220×145×5.0</w:t>
            </w:r>
          </w:p>
        </w:tc>
        <w:tc>
          <w:tcPr>
            <w:tcW w:w="3815" w:type="dxa"/>
            <w:shd w:val="clear" w:color="auto" w:fill="auto"/>
            <w:vAlign w:val="center"/>
          </w:tcPr>
          <w:p w14:paraId="761035FF">
            <w:pPr>
              <w:spacing w:line="240" w:lineRule="auto"/>
              <w:jc w:val="center"/>
              <w:rPr>
                <w:rFonts w:hint="eastAsia" w:ascii="宋体" w:hAnsi="宋体" w:cstheme="minorEastAsia"/>
                <w:sz w:val="18"/>
                <w:szCs w:val="18"/>
              </w:rPr>
            </w:pPr>
            <w:r>
              <w:rPr>
                <w:rFonts w:hint="eastAsia" w:ascii="宋体" w:hAnsi="宋体" w:cstheme="minorEastAsia"/>
                <w:sz w:val="18"/>
                <w:szCs w:val="18"/>
              </w:rPr>
              <w:t>便于旋转筒旋转</w:t>
            </w:r>
          </w:p>
        </w:tc>
      </w:tr>
      <w:tr w14:paraId="1D49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43E36A6F">
            <w:pPr>
              <w:spacing w:line="240" w:lineRule="auto"/>
              <w:jc w:val="center"/>
              <w:rPr>
                <w:rFonts w:hint="eastAsia" w:ascii="宋体" w:hAnsi="宋体" w:cstheme="minorEastAsia"/>
                <w:sz w:val="18"/>
                <w:szCs w:val="18"/>
              </w:rPr>
            </w:pPr>
            <w:r>
              <w:rPr>
                <w:rFonts w:hint="eastAsia" w:ascii="宋体" w:hAnsi="宋体" w:cstheme="minorEastAsia"/>
                <w:sz w:val="18"/>
                <w:szCs w:val="18"/>
              </w:rPr>
              <w:t>6</w:t>
            </w:r>
          </w:p>
        </w:tc>
        <w:tc>
          <w:tcPr>
            <w:tcW w:w="2049" w:type="dxa"/>
            <w:shd w:val="clear" w:color="auto" w:fill="auto"/>
            <w:vAlign w:val="center"/>
          </w:tcPr>
          <w:p w14:paraId="04425383">
            <w:pPr>
              <w:spacing w:line="240" w:lineRule="auto"/>
              <w:jc w:val="center"/>
              <w:rPr>
                <w:rFonts w:hint="eastAsia" w:ascii="宋体" w:hAnsi="宋体" w:eastAsia="宋体" w:cstheme="minorEastAsia"/>
                <w:sz w:val="18"/>
                <w:szCs w:val="18"/>
                <w:lang w:eastAsia="zh-CN"/>
              </w:rPr>
            </w:pPr>
            <w:r>
              <w:rPr>
                <w:rFonts w:hint="eastAsia" w:ascii="宋体" w:hAnsi="宋体" w:cstheme="minorEastAsia"/>
                <w:sz w:val="18"/>
                <w:szCs w:val="18"/>
                <w:lang w:eastAsia="zh-CN"/>
              </w:rPr>
              <w:t>反光圈</w:t>
            </w:r>
          </w:p>
        </w:tc>
        <w:tc>
          <w:tcPr>
            <w:tcW w:w="2629" w:type="dxa"/>
            <w:shd w:val="clear" w:color="auto" w:fill="auto"/>
            <w:vAlign w:val="center"/>
          </w:tcPr>
          <w:p w14:paraId="5A0F9D53">
            <w:pPr>
              <w:spacing w:line="240" w:lineRule="auto"/>
              <w:jc w:val="center"/>
              <w:rPr>
                <w:rFonts w:hint="eastAsia" w:ascii="宋体" w:hAnsi="宋体" w:cstheme="minorEastAsia"/>
                <w:sz w:val="18"/>
                <w:szCs w:val="18"/>
              </w:rPr>
            </w:pPr>
            <w:r>
              <w:rPr>
                <w:rFonts w:hint="eastAsia" w:ascii="宋体" w:hAnsi="宋体" w:cstheme="minorEastAsia"/>
                <w:sz w:val="18"/>
                <w:szCs w:val="18"/>
              </w:rPr>
              <w:t>1100×50</w:t>
            </w:r>
          </w:p>
        </w:tc>
        <w:tc>
          <w:tcPr>
            <w:tcW w:w="3815" w:type="dxa"/>
            <w:shd w:val="clear" w:color="auto" w:fill="auto"/>
            <w:vAlign w:val="center"/>
          </w:tcPr>
          <w:p w14:paraId="6C6CDDB1">
            <w:pPr>
              <w:spacing w:line="240" w:lineRule="auto"/>
              <w:jc w:val="center"/>
              <w:rPr>
                <w:rFonts w:hint="eastAsia" w:ascii="宋体" w:hAnsi="宋体" w:cstheme="minorEastAsia"/>
                <w:sz w:val="18"/>
                <w:szCs w:val="18"/>
              </w:rPr>
            </w:pPr>
            <w:r>
              <w:rPr>
                <w:rFonts w:hint="eastAsia" w:ascii="宋体" w:hAnsi="宋体" w:cstheme="minorEastAsia"/>
                <w:sz w:val="18"/>
                <w:szCs w:val="18"/>
              </w:rPr>
              <w:t>诱导及警示作用</w:t>
            </w:r>
          </w:p>
        </w:tc>
      </w:tr>
      <w:tr w14:paraId="734E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2020F662">
            <w:pPr>
              <w:spacing w:line="240" w:lineRule="auto"/>
              <w:jc w:val="center"/>
              <w:rPr>
                <w:rFonts w:hint="eastAsia" w:ascii="宋体" w:hAnsi="宋体" w:cstheme="minorEastAsia"/>
                <w:sz w:val="18"/>
                <w:szCs w:val="18"/>
              </w:rPr>
            </w:pPr>
            <w:r>
              <w:rPr>
                <w:rFonts w:hint="eastAsia" w:ascii="宋体" w:hAnsi="宋体" w:cstheme="minorEastAsia"/>
                <w:sz w:val="18"/>
                <w:szCs w:val="18"/>
              </w:rPr>
              <w:t>7</w:t>
            </w:r>
          </w:p>
        </w:tc>
        <w:tc>
          <w:tcPr>
            <w:tcW w:w="2049" w:type="dxa"/>
            <w:shd w:val="clear" w:color="auto" w:fill="auto"/>
            <w:vAlign w:val="center"/>
          </w:tcPr>
          <w:p w14:paraId="577D570F">
            <w:pPr>
              <w:spacing w:line="240" w:lineRule="auto"/>
              <w:jc w:val="center"/>
              <w:rPr>
                <w:rFonts w:hint="eastAsia" w:ascii="宋体" w:hAnsi="宋体" w:cstheme="minorEastAsia"/>
                <w:sz w:val="18"/>
                <w:szCs w:val="18"/>
              </w:rPr>
            </w:pPr>
            <w:r>
              <w:rPr>
                <w:rFonts w:hint="eastAsia" w:ascii="宋体" w:hAnsi="宋体" w:cstheme="minorEastAsia"/>
                <w:sz w:val="18"/>
                <w:szCs w:val="18"/>
              </w:rPr>
              <w:t>连接件</w:t>
            </w:r>
          </w:p>
        </w:tc>
        <w:tc>
          <w:tcPr>
            <w:tcW w:w="2629" w:type="dxa"/>
            <w:shd w:val="clear" w:color="auto" w:fill="auto"/>
            <w:vAlign w:val="center"/>
          </w:tcPr>
          <w:p w14:paraId="357D22B5">
            <w:pPr>
              <w:spacing w:line="240" w:lineRule="auto"/>
              <w:jc w:val="center"/>
              <w:rPr>
                <w:rFonts w:hint="eastAsia" w:ascii="宋体" w:hAnsi="宋体" w:cstheme="minorEastAsia"/>
                <w:sz w:val="18"/>
                <w:szCs w:val="18"/>
              </w:rPr>
            </w:pPr>
            <w:r>
              <w:rPr>
                <w:rFonts w:hint="eastAsia" w:ascii="宋体" w:hAnsi="宋体" w:cstheme="minorEastAsia"/>
                <w:sz w:val="18"/>
                <w:szCs w:val="18"/>
              </w:rPr>
              <w:t>240×85×3.2</w:t>
            </w:r>
          </w:p>
        </w:tc>
        <w:tc>
          <w:tcPr>
            <w:tcW w:w="3815" w:type="dxa"/>
            <w:shd w:val="clear" w:color="auto" w:fill="auto"/>
            <w:vAlign w:val="center"/>
          </w:tcPr>
          <w:p w14:paraId="7156E53C">
            <w:pPr>
              <w:spacing w:line="240" w:lineRule="auto"/>
              <w:jc w:val="center"/>
              <w:rPr>
                <w:rFonts w:hint="eastAsia" w:ascii="宋体" w:hAnsi="宋体" w:cstheme="minorEastAsia"/>
                <w:sz w:val="18"/>
                <w:szCs w:val="18"/>
              </w:rPr>
            </w:pPr>
            <w:r>
              <w:rPr>
                <w:rFonts w:hint="eastAsia" w:ascii="宋体" w:hAnsi="宋体" w:cstheme="minorEastAsia"/>
                <w:sz w:val="18"/>
                <w:szCs w:val="18"/>
              </w:rPr>
              <w:t>连接下横梁和立柱</w:t>
            </w:r>
          </w:p>
        </w:tc>
      </w:tr>
      <w:tr w14:paraId="2A64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373D25A8">
            <w:pPr>
              <w:spacing w:line="240" w:lineRule="auto"/>
              <w:jc w:val="center"/>
              <w:rPr>
                <w:rFonts w:hint="eastAsia" w:ascii="宋体" w:hAnsi="宋体" w:cstheme="minorEastAsia"/>
                <w:sz w:val="18"/>
                <w:szCs w:val="18"/>
              </w:rPr>
            </w:pPr>
            <w:r>
              <w:rPr>
                <w:rFonts w:hint="eastAsia" w:ascii="宋体" w:hAnsi="宋体" w:cstheme="minorEastAsia"/>
                <w:sz w:val="18"/>
                <w:szCs w:val="18"/>
              </w:rPr>
              <w:t>8</w:t>
            </w:r>
          </w:p>
        </w:tc>
        <w:tc>
          <w:tcPr>
            <w:tcW w:w="2049" w:type="dxa"/>
            <w:shd w:val="clear" w:color="auto" w:fill="auto"/>
            <w:vAlign w:val="center"/>
          </w:tcPr>
          <w:p w14:paraId="4805F306">
            <w:pPr>
              <w:spacing w:line="240" w:lineRule="auto"/>
              <w:jc w:val="center"/>
              <w:rPr>
                <w:rFonts w:hint="eastAsia" w:ascii="宋体" w:hAnsi="宋体" w:cstheme="minorEastAsia"/>
                <w:sz w:val="18"/>
                <w:szCs w:val="18"/>
              </w:rPr>
            </w:pPr>
            <w:r>
              <w:rPr>
                <w:rFonts w:hint="eastAsia" w:ascii="宋体" w:hAnsi="宋体" w:cstheme="minorEastAsia"/>
                <w:sz w:val="18"/>
                <w:szCs w:val="18"/>
              </w:rPr>
              <w:t>卡扣</w:t>
            </w:r>
          </w:p>
        </w:tc>
        <w:tc>
          <w:tcPr>
            <w:tcW w:w="2629" w:type="dxa"/>
            <w:shd w:val="clear" w:color="auto" w:fill="auto"/>
            <w:vAlign w:val="center"/>
          </w:tcPr>
          <w:p w14:paraId="5F29BA6E">
            <w:pPr>
              <w:spacing w:line="240" w:lineRule="auto"/>
              <w:jc w:val="center"/>
              <w:rPr>
                <w:rFonts w:hint="eastAsia" w:ascii="宋体" w:hAnsi="宋体" w:cstheme="minorEastAsia"/>
                <w:sz w:val="18"/>
                <w:szCs w:val="18"/>
              </w:rPr>
            </w:pPr>
            <w:r>
              <w:rPr>
                <w:rFonts w:hint="eastAsia" w:ascii="宋体" w:hAnsi="宋体" w:cstheme="minorEastAsia"/>
                <w:sz w:val="18"/>
                <w:szCs w:val="18"/>
              </w:rPr>
              <w:t>50×50×4.0</w:t>
            </w:r>
          </w:p>
        </w:tc>
        <w:tc>
          <w:tcPr>
            <w:tcW w:w="3815" w:type="dxa"/>
            <w:shd w:val="clear" w:color="auto" w:fill="auto"/>
            <w:vAlign w:val="center"/>
          </w:tcPr>
          <w:p w14:paraId="0A11FCDE">
            <w:pPr>
              <w:spacing w:line="240" w:lineRule="auto"/>
              <w:jc w:val="center"/>
              <w:rPr>
                <w:rFonts w:hint="eastAsia" w:ascii="宋体" w:hAnsi="宋体" w:cstheme="minorEastAsia"/>
                <w:sz w:val="18"/>
                <w:szCs w:val="18"/>
              </w:rPr>
            </w:pPr>
            <w:r>
              <w:rPr>
                <w:rFonts w:hint="eastAsia" w:ascii="宋体" w:hAnsi="宋体" w:cstheme="minorEastAsia"/>
                <w:sz w:val="18"/>
                <w:szCs w:val="18"/>
              </w:rPr>
              <w:t>连接横梁和立柱</w:t>
            </w:r>
          </w:p>
        </w:tc>
      </w:tr>
      <w:tr w14:paraId="515E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575F2863">
            <w:pPr>
              <w:spacing w:line="240" w:lineRule="auto"/>
              <w:jc w:val="center"/>
              <w:rPr>
                <w:rFonts w:hint="eastAsia" w:ascii="宋体" w:hAnsi="宋体" w:cstheme="minorEastAsia"/>
                <w:sz w:val="18"/>
                <w:szCs w:val="18"/>
              </w:rPr>
            </w:pPr>
            <w:r>
              <w:rPr>
                <w:rFonts w:hint="eastAsia" w:ascii="宋体" w:hAnsi="宋体" w:cstheme="minorEastAsia"/>
                <w:sz w:val="18"/>
                <w:szCs w:val="18"/>
              </w:rPr>
              <w:t>9</w:t>
            </w:r>
          </w:p>
        </w:tc>
        <w:tc>
          <w:tcPr>
            <w:tcW w:w="2049" w:type="dxa"/>
            <w:shd w:val="clear" w:color="auto" w:fill="auto"/>
            <w:vAlign w:val="center"/>
          </w:tcPr>
          <w:p w14:paraId="36C42A00">
            <w:pPr>
              <w:spacing w:line="240" w:lineRule="auto"/>
              <w:jc w:val="center"/>
              <w:rPr>
                <w:rFonts w:hint="eastAsia" w:ascii="宋体" w:hAnsi="宋体" w:cstheme="minorEastAsia"/>
                <w:sz w:val="18"/>
                <w:szCs w:val="18"/>
              </w:rPr>
            </w:pPr>
            <w:r>
              <w:rPr>
                <w:rFonts w:hint="eastAsia" w:ascii="宋体" w:hAnsi="宋体" w:cstheme="minorEastAsia"/>
                <w:sz w:val="18"/>
                <w:szCs w:val="18"/>
              </w:rPr>
              <w:t>端头</w:t>
            </w:r>
          </w:p>
        </w:tc>
        <w:tc>
          <w:tcPr>
            <w:tcW w:w="2629" w:type="dxa"/>
            <w:shd w:val="clear" w:color="auto" w:fill="auto"/>
            <w:vAlign w:val="center"/>
          </w:tcPr>
          <w:p w14:paraId="1C1B3F3C">
            <w:pPr>
              <w:spacing w:line="240" w:lineRule="auto"/>
              <w:jc w:val="center"/>
              <w:rPr>
                <w:rFonts w:hint="eastAsia" w:ascii="宋体" w:hAnsi="宋体" w:cstheme="minorEastAsia"/>
                <w:sz w:val="18"/>
                <w:szCs w:val="18"/>
              </w:rPr>
            </w:pPr>
            <w:r>
              <w:rPr>
                <w:rFonts w:hint="eastAsia" w:ascii="宋体" w:hAnsi="宋体" w:cstheme="minorEastAsia"/>
                <w:sz w:val="18"/>
                <w:szCs w:val="18"/>
              </w:rPr>
              <w:t>125×95×3.0</w:t>
            </w:r>
          </w:p>
        </w:tc>
        <w:tc>
          <w:tcPr>
            <w:tcW w:w="3815" w:type="dxa"/>
            <w:shd w:val="clear" w:color="auto" w:fill="auto"/>
            <w:vAlign w:val="center"/>
          </w:tcPr>
          <w:p w14:paraId="3FE70B51">
            <w:pPr>
              <w:spacing w:line="240" w:lineRule="auto"/>
              <w:jc w:val="center"/>
              <w:rPr>
                <w:rFonts w:hint="eastAsia" w:ascii="宋体" w:hAnsi="宋体" w:cstheme="minorEastAsia"/>
                <w:sz w:val="18"/>
                <w:szCs w:val="18"/>
              </w:rPr>
            </w:pPr>
            <w:r>
              <w:rPr>
                <w:rFonts w:hint="eastAsia" w:ascii="宋体" w:hAnsi="宋体" w:cstheme="minorEastAsia"/>
                <w:sz w:val="18"/>
                <w:szCs w:val="18"/>
              </w:rPr>
              <w:t>吸收碰撞能量，连接护栏端部</w:t>
            </w:r>
          </w:p>
        </w:tc>
      </w:tr>
      <w:tr w14:paraId="5E06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31ACF83D">
            <w:pPr>
              <w:spacing w:line="240" w:lineRule="auto"/>
              <w:jc w:val="center"/>
              <w:rPr>
                <w:rFonts w:hint="eastAsia" w:ascii="宋体" w:hAnsi="宋体" w:cstheme="minorEastAsia"/>
                <w:sz w:val="18"/>
                <w:szCs w:val="18"/>
              </w:rPr>
            </w:pPr>
            <w:r>
              <w:rPr>
                <w:rFonts w:hint="eastAsia" w:ascii="宋体" w:hAnsi="宋体" w:cstheme="minorEastAsia"/>
                <w:sz w:val="18"/>
                <w:szCs w:val="18"/>
              </w:rPr>
              <w:t>10</w:t>
            </w:r>
          </w:p>
        </w:tc>
        <w:tc>
          <w:tcPr>
            <w:tcW w:w="2049" w:type="dxa"/>
            <w:shd w:val="clear" w:color="auto" w:fill="auto"/>
            <w:vAlign w:val="center"/>
          </w:tcPr>
          <w:p w14:paraId="73DB73A5">
            <w:pPr>
              <w:spacing w:line="240" w:lineRule="auto"/>
              <w:jc w:val="center"/>
              <w:rPr>
                <w:rFonts w:hint="eastAsia" w:ascii="宋体" w:hAnsi="宋体" w:cstheme="minorEastAsia"/>
                <w:sz w:val="18"/>
                <w:szCs w:val="18"/>
              </w:rPr>
            </w:pPr>
            <w:r>
              <w:rPr>
                <w:rFonts w:hint="eastAsia" w:ascii="宋体" w:hAnsi="宋体" w:cstheme="minorEastAsia"/>
                <w:sz w:val="18"/>
                <w:szCs w:val="18"/>
              </w:rPr>
              <w:t>连接套管</w:t>
            </w:r>
          </w:p>
        </w:tc>
        <w:tc>
          <w:tcPr>
            <w:tcW w:w="2629" w:type="dxa"/>
            <w:shd w:val="clear" w:color="auto" w:fill="auto"/>
            <w:vAlign w:val="center"/>
          </w:tcPr>
          <w:p w14:paraId="1DC96C38">
            <w:pPr>
              <w:spacing w:line="240" w:lineRule="auto"/>
              <w:jc w:val="center"/>
              <w:rPr>
                <w:rFonts w:hint="eastAsia" w:ascii="宋体" w:hAnsi="宋体" w:cstheme="minorEastAsia"/>
                <w:sz w:val="18"/>
                <w:szCs w:val="18"/>
              </w:rPr>
            </w:pPr>
            <w:r>
              <w:rPr>
                <w:rFonts w:hint="eastAsia" w:ascii="宋体" w:hAnsi="宋体" w:cstheme="minorEastAsia"/>
                <w:sz w:val="18"/>
                <w:szCs w:val="18"/>
              </w:rPr>
              <w:t>105×70×3.2</w:t>
            </w:r>
          </w:p>
        </w:tc>
        <w:tc>
          <w:tcPr>
            <w:tcW w:w="3815" w:type="dxa"/>
            <w:shd w:val="clear" w:color="auto" w:fill="auto"/>
            <w:vAlign w:val="center"/>
          </w:tcPr>
          <w:p w14:paraId="7096D166">
            <w:pPr>
              <w:spacing w:line="240" w:lineRule="auto"/>
              <w:jc w:val="center"/>
              <w:rPr>
                <w:rFonts w:hint="eastAsia" w:ascii="宋体" w:hAnsi="宋体" w:cstheme="minorEastAsia"/>
                <w:sz w:val="18"/>
                <w:szCs w:val="18"/>
              </w:rPr>
            </w:pPr>
            <w:r>
              <w:rPr>
                <w:rFonts w:hint="eastAsia" w:ascii="宋体" w:hAnsi="宋体" w:cstheme="minorEastAsia"/>
                <w:sz w:val="18"/>
                <w:szCs w:val="18"/>
              </w:rPr>
              <w:t>连接横梁</w:t>
            </w:r>
          </w:p>
        </w:tc>
      </w:tr>
      <w:tr w14:paraId="44449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44FE0B2F">
            <w:pPr>
              <w:spacing w:line="240" w:lineRule="auto"/>
              <w:jc w:val="center"/>
              <w:rPr>
                <w:rFonts w:hint="eastAsia" w:ascii="宋体" w:hAnsi="宋体" w:cstheme="minorEastAsia"/>
                <w:sz w:val="18"/>
                <w:szCs w:val="18"/>
              </w:rPr>
            </w:pPr>
            <w:r>
              <w:rPr>
                <w:rFonts w:hint="eastAsia" w:ascii="宋体" w:hAnsi="宋体" w:cstheme="minorEastAsia"/>
                <w:sz w:val="18"/>
                <w:szCs w:val="18"/>
              </w:rPr>
              <w:t>11</w:t>
            </w:r>
          </w:p>
        </w:tc>
        <w:tc>
          <w:tcPr>
            <w:tcW w:w="2049" w:type="dxa"/>
            <w:vMerge w:val="restart"/>
            <w:shd w:val="clear" w:color="auto" w:fill="auto"/>
            <w:vAlign w:val="center"/>
          </w:tcPr>
          <w:p w14:paraId="37C8881B">
            <w:pPr>
              <w:spacing w:line="240" w:lineRule="auto"/>
              <w:jc w:val="center"/>
              <w:rPr>
                <w:rFonts w:hint="eastAsia" w:ascii="宋体" w:hAnsi="宋体" w:cstheme="minorEastAsia"/>
                <w:sz w:val="18"/>
                <w:szCs w:val="18"/>
              </w:rPr>
            </w:pPr>
            <w:r>
              <w:rPr>
                <w:rFonts w:hint="eastAsia" w:ascii="宋体" w:hAnsi="宋体" w:cstheme="minorEastAsia"/>
                <w:sz w:val="18"/>
                <w:szCs w:val="18"/>
              </w:rPr>
              <w:t>螺栓</w:t>
            </w:r>
          </w:p>
        </w:tc>
        <w:tc>
          <w:tcPr>
            <w:tcW w:w="2629" w:type="dxa"/>
            <w:shd w:val="clear" w:color="auto" w:fill="auto"/>
            <w:vAlign w:val="center"/>
          </w:tcPr>
          <w:p w14:paraId="111F1EEC">
            <w:pPr>
              <w:spacing w:line="240" w:lineRule="auto"/>
              <w:jc w:val="center"/>
              <w:rPr>
                <w:rFonts w:hint="eastAsia" w:ascii="宋体" w:hAnsi="宋体" w:cstheme="minorEastAsia"/>
                <w:sz w:val="18"/>
                <w:szCs w:val="18"/>
              </w:rPr>
            </w:pPr>
            <w:r>
              <w:rPr>
                <w:rFonts w:hint="eastAsia" w:ascii="宋体" w:hAnsi="宋体" w:cstheme="minorEastAsia"/>
                <w:sz w:val="18"/>
                <w:szCs w:val="18"/>
              </w:rPr>
              <w:t>M18×70圆头螺栓</w:t>
            </w:r>
          </w:p>
        </w:tc>
        <w:tc>
          <w:tcPr>
            <w:tcW w:w="3815" w:type="dxa"/>
            <w:shd w:val="clear" w:color="auto" w:fill="auto"/>
            <w:vAlign w:val="center"/>
          </w:tcPr>
          <w:p w14:paraId="6118D59D">
            <w:pPr>
              <w:spacing w:line="240" w:lineRule="auto"/>
              <w:jc w:val="center"/>
              <w:rPr>
                <w:rFonts w:hint="eastAsia" w:ascii="宋体" w:hAnsi="宋体" w:cstheme="minorEastAsia"/>
                <w:sz w:val="18"/>
                <w:szCs w:val="18"/>
              </w:rPr>
            </w:pPr>
            <w:r>
              <w:rPr>
                <w:rFonts w:hint="eastAsia" w:ascii="宋体" w:hAnsi="宋体" w:cstheme="minorEastAsia"/>
                <w:sz w:val="18"/>
                <w:szCs w:val="18"/>
              </w:rPr>
              <w:t>连接上横梁与立柱</w:t>
            </w:r>
          </w:p>
        </w:tc>
      </w:tr>
      <w:tr w14:paraId="4106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7C42C73C">
            <w:pPr>
              <w:spacing w:line="240" w:lineRule="auto"/>
              <w:jc w:val="center"/>
              <w:rPr>
                <w:rFonts w:hint="eastAsia" w:ascii="宋体" w:hAnsi="宋体" w:cstheme="minorEastAsia"/>
                <w:sz w:val="18"/>
                <w:szCs w:val="18"/>
              </w:rPr>
            </w:pPr>
            <w:r>
              <w:rPr>
                <w:rFonts w:hint="eastAsia" w:ascii="宋体" w:hAnsi="宋体" w:cstheme="minorEastAsia"/>
                <w:sz w:val="18"/>
                <w:szCs w:val="18"/>
              </w:rPr>
              <w:t>12</w:t>
            </w:r>
          </w:p>
        </w:tc>
        <w:tc>
          <w:tcPr>
            <w:tcW w:w="2049" w:type="dxa"/>
            <w:vMerge w:val="continue"/>
            <w:shd w:val="clear" w:color="auto" w:fill="auto"/>
            <w:vAlign w:val="center"/>
          </w:tcPr>
          <w:p w14:paraId="59DEB5EE">
            <w:pPr>
              <w:spacing w:line="240" w:lineRule="auto"/>
              <w:jc w:val="center"/>
              <w:rPr>
                <w:rFonts w:hint="eastAsia" w:ascii="宋体" w:hAnsi="宋体" w:cstheme="minorEastAsia"/>
                <w:sz w:val="18"/>
                <w:szCs w:val="18"/>
              </w:rPr>
            </w:pPr>
          </w:p>
        </w:tc>
        <w:tc>
          <w:tcPr>
            <w:tcW w:w="2629" w:type="dxa"/>
            <w:shd w:val="clear" w:color="auto" w:fill="auto"/>
            <w:vAlign w:val="center"/>
          </w:tcPr>
          <w:p w14:paraId="76FA26A9">
            <w:pPr>
              <w:spacing w:line="240" w:lineRule="auto"/>
              <w:jc w:val="center"/>
              <w:rPr>
                <w:rFonts w:hint="eastAsia" w:ascii="宋体" w:hAnsi="宋体" w:cstheme="minorEastAsia"/>
                <w:sz w:val="18"/>
                <w:szCs w:val="18"/>
              </w:rPr>
            </w:pPr>
            <w:r>
              <w:rPr>
                <w:rFonts w:hint="eastAsia" w:ascii="宋体" w:hAnsi="宋体" w:cstheme="minorEastAsia"/>
                <w:sz w:val="18"/>
                <w:szCs w:val="18"/>
              </w:rPr>
              <w:t>M18×140圆头螺栓</w:t>
            </w:r>
          </w:p>
        </w:tc>
        <w:tc>
          <w:tcPr>
            <w:tcW w:w="3815" w:type="dxa"/>
            <w:shd w:val="clear" w:color="auto" w:fill="auto"/>
            <w:vAlign w:val="center"/>
          </w:tcPr>
          <w:p w14:paraId="545644B6">
            <w:pPr>
              <w:spacing w:line="240" w:lineRule="auto"/>
              <w:jc w:val="center"/>
              <w:rPr>
                <w:rFonts w:hint="eastAsia" w:ascii="宋体" w:hAnsi="宋体" w:cstheme="minorEastAsia"/>
                <w:sz w:val="18"/>
                <w:szCs w:val="18"/>
              </w:rPr>
            </w:pPr>
            <w:r>
              <w:rPr>
                <w:rFonts w:hint="eastAsia" w:ascii="宋体" w:hAnsi="宋体" w:cstheme="minorEastAsia"/>
                <w:sz w:val="18"/>
                <w:szCs w:val="18"/>
              </w:rPr>
              <w:t>连接横梁与端头</w:t>
            </w:r>
          </w:p>
        </w:tc>
      </w:tr>
      <w:tr w14:paraId="3E27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shd w:val="clear" w:color="auto" w:fill="auto"/>
            <w:vAlign w:val="center"/>
          </w:tcPr>
          <w:p w14:paraId="385E7650">
            <w:pPr>
              <w:spacing w:line="240" w:lineRule="auto"/>
              <w:jc w:val="center"/>
              <w:rPr>
                <w:rFonts w:hint="eastAsia" w:ascii="宋体" w:hAnsi="宋体" w:cstheme="minorEastAsia"/>
                <w:sz w:val="18"/>
                <w:szCs w:val="18"/>
              </w:rPr>
            </w:pPr>
            <w:r>
              <w:rPr>
                <w:rFonts w:hint="eastAsia" w:ascii="宋体" w:hAnsi="宋体" w:cstheme="minorEastAsia"/>
                <w:sz w:val="18"/>
                <w:szCs w:val="18"/>
              </w:rPr>
              <w:t>13</w:t>
            </w:r>
          </w:p>
        </w:tc>
        <w:tc>
          <w:tcPr>
            <w:tcW w:w="2049" w:type="dxa"/>
            <w:vMerge w:val="continue"/>
            <w:shd w:val="clear" w:color="auto" w:fill="auto"/>
            <w:vAlign w:val="center"/>
          </w:tcPr>
          <w:p w14:paraId="13B12072">
            <w:pPr>
              <w:spacing w:line="240" w:lineRule="auto"/>
              <w:jc w:val="center"/>
              <w:rPr>
                <w:rFonts w:hint="eastAsia" w:ascii="宋体" w:hAnsi="宋体" w:cstheme="minorEastAsia"/>
                <w:sz w:val="18"/>
                <w:szCs w:val="18"/>
              </w:rPr>
            </w:pPr>
          </w:p>
        </w:tc>
        <w:tc>
          <w:tcPr>
            <w:tcW w:w="2629" w:type="dxa"/>
            <w:shd w:val="clear" w:color="auto" w:fill="auto"/>
            <w:vAlign w:val="center"/>
          </w:tcPr>
          <w:p w14:paraId="6EB60B70">
            <w:pPr>
              <w:spacing w:line="240" w:lineRule="auto"/>
              <w:jc w:val="center"/>
              <w:rPr>
                <w:rFonts w:hint="eastAsia" w:ascii="宋体" w:hAnsi="宋体" w:cstheme="minorEastAsia"/>
                <w:sz w:val="18"/>
                <w:szCs w:val="18"/>
              </w:rPr>
            </w:pPr>
            <w:r>
              <w:rPr>
                <w:rFonts w:hint="eastAsia" w:ascii="宋体" w:hAnsi="宋体" w:cstheme="minorEastAsia"/>
                <w:sz w:val="18"/>
                <w:szCs w:val="18"/>
              </w:rPr>
              <w:t>M18×180方头螺栓</w:t>
            </w:r>
          </w:p>
        </w:tc>
        <w:tc>
          <w:tcPr>
            <w:tcW w:w="3815" w:type="dxa"/>
            <w:shd w:val="clear" w:color="auto" w:fill="auto"/>
            <w:vAlign w:val="center"/>
          </w:tcPr>
          <w:p w14:paraId="003791B0">
            <w:pPr>
              <w:spacing w:line="240" w:lineRule="auto"/>
              <w:jc w:val="center"/>
              <w:rPr>
                <w:rFonts w:hint="eastAsia" w:ascii="宋体" w:hAnsi="宋体" w:cstheme="minorEastAsia"/>
                <w:sz w:val="18"/>
                <w:szCs w:val="18"/>
              </w:rPr>
            </w:pPr>
            <w:r>
              <w:rPr>
                <w:rFonts w:hint="eastAsia" w:ascii="宋体" w:hAnsi="宋体" w:cstheme="minorEastAsia"/>
                <w:sz w:val="18"/>
                <w:szCs w:val="18"/>
              </w:rPr>
              <w:t>连接下横梁与立柱</w:t>
            </w:r>
          </w:p>
        </w:tc>
      </w:tr>
    </w:tbl>
    <w:p w14:paraId="141A1F31">
      <w:pPr>
        <w:pStyle w:val="107"/>
        <w:spacing w:before="312" w:after="312"/>
      </w:pPr>
      <w:bookmarkStart w:id="51" w:name="_Toc18658"/>
      <w:r>
        <w:rPr>
          <w:rFonts w:hint="eastAsia"/>
        </w:rPr>
        <w:t>设置要求</w:t>
      </w:r>
      <w:bookmarkEnd w:id="49"/>
      <w:bookmarkEnd w:id="51"/>
    </w:p>
    <w:p w14:paraId="492B5B17">
      <w:pPr>
        <w:pStyle w:val="108"/>
        <w:spacing w:before="156" w:beforeLines="0" w:after="156" w:afterLines="0"/>
      </w:pPr>
      <w:bookmarkStart w:id="52" w:name="_Toc101886590"/>
      <w:bookmarkStart w:id="53" w:name="_Toc101862608"/>
      <w:bookmarkStart w:id="54" w:name="_Toc1155"/>
      <w:r>
        <w:rPr>
          <w:rFonts w:hint="eastAsia"/>
          <w:lang w:val="en-US" w:eastAsia="zh-CN"/>
        </w:rPr>
        <w:t>一般要求</w:t>
      </w:r>
      <w:bookmarkEnd w:id="52"/>
      <w:bookmarkEnd w:id="53"/>
      <w:bookmarkEnd w:id="54"/>
    </w:p>
    <w:p w14:paraId="1F52555A">
      <w:pPr>
        <w:pStyle w:val="168"/>
      </w:pPr>
      <w:r>
        <w:rPr>
          <w:rFonts w:hint="eastAsia"/>
        </w:rPr>
        <w:t>旋转式护栏应遵守 JTG D81 及 JTG/T D81 中护栏的设置原则。</w:t>
      </w:r>
    </w:p>
    <w:p w14:paraId="34A128ED">
      <w:pPr>
        <w:pStyle w:val="168"/>
      </w:pPr>
      <w:r>
        <w:rPr>
          <w:rFonts w:hint="eastAsia"/>
        </w:rPr>
        <w:t>旋转式护栏生产厂家</w:t>
      </w:r>
      <w:r>
        <w:rPr>
          <w:rFonts w:hint="eastAsia"/>
          <w:lang w:val="en-US" w:eastAsia="zh-CN"/>
        </w:rPr>
        <w:t>应</w:t>
      </w:r>
      <w:r>
        <w:rPr>
          <w:rFonts w:hint="eastAsia"/>
        </w:rPr>
        <w:t>提供碰撞试验检测合格报告。</w:t>
      </w:r>
    </w:p>
    <w:p w14:paraId="25ABCDA9">
      <w:pPr>
        <w:pStyle w:val="168"/>
      </w:pPr>
      <w:r>
        <w:rPr>
          <w:rFonts w:hint="eastAsia"/>
        </w:rPr>
        <w:t>在互通分流三角端、隧道进口、车道数减少等路段宜设置旋转式护栏，示意图详见附录B。</w:t>
      </w:r>
    </w:p>
    <w:p w14:paraId="4AFDA3C3">
      <w:pPr>
        <w:pStyle w:val="168"/>
      </w:pPr>
      <w:r>
        <w:rPr>
          <w:rFonts w:hint="eastAsia"/>
        </w:rPr>
        <w:t>存在安全风险的路段，宜设置公路旋转式护栏。</w:t>
      </w:r>
    </w:p>
    <w:p w14:paraId="7F8041BC">
      <w:pPr>
        <w:pStyle w:val="168"/>
      </w:pPr>
      <w:r>
        <w:rPr>
          <w:rFonts w:hint="eastAsia"/>
        </w:rPr>
        <w:t>路侧、中央分隔带内立柱埋入深度范围内土压实度小于90%时，或路侧护栏立柱外侧土路肩保护层厚度小于25cm 时，可依据JTG/T D81附录C.4变更为独立混凝土基础或连续混凝土基础对立柱进行加固。</w:t>
      </w:r>
    </w:p>
    <w:p w14:paraId="7666B797">
      <w:pPr>
        <w:pStyle w:val="168"/>
      </w:pPr>
      <w:r>
        <w:rPr>
          <w:rFonts w:hint="eastAsia"/>
        </w:rPr>
        <w:t>旋转式防撞护栏与其他形式护栏搭接时应进行过渡处理，搭接过渡方式参见附录D。</w:t>
      </w:r>
    </w:p>
    <w:p w14:paraId="5D9E0414">
      <w:pPr>
        <w:pStyle w:val="168"/>
      </w:pPr>
      <w:r>
        <w:rPr>
          <w:rFonts w:hint="eastAsia"/>
        </w:rPr>
        <w:t>旋转筒颜色宜选择黄色或橘黄色。</w:t>
      </w:r>
    </w:p>
    <w:p w14:paraId="120F6695">
      <w:pPr>
        <w:pStyle w:val="168"/>
      </w:pPr>
      <w:r>
        <w:rPr>
          <w:rFonts w:hint="eastAsia"/>
        </w:rPr>
        <w:t>旋转式防撞护栏设置于高速公路、一级公路行车道左侧时，</w:t>
      </w:r>
      <w:r>
        <w:rPr>
          <w:rFonts w:hint="eastAsia"/>
          <w:lang w:eastAsia="zh-CN"/>
        </w:rPr>
        <w:t>反光圈</w:t>
      </w:r>
      <w:r>
        <w:rPr>
          <w:rFonts w:hint="eastAsia"/>
        </w:rPr>
        <w:t>颜色应为黄色；设置于高速公路、一级公路行车道右侧时，</w:t>
      </w:r>
      <w:r>
        <w:rPr>
          <w:rFonts w:hint="eastAsia"/>
          <w:lang w:eastAsia="zh-CN"/>
        </w:rPr>
        <w:t>反光圈</w:t>
      </w:r>
      <w:r>
        <w:rPr>
          <w:rFonts w:hint="eastAsia"/>
        </w:rPr>
        <w:t>颜色应为白色；设置于二级及以下公路行车道两侧时，</w:t>
      </w:r>
      <w:r>
        <w:rPr>
          <w:rFonts w:hint="eastAsia"/>
          <w:lang w:eastAsia="zh-CN"/>
        </w:rPr>
        <w:t>反光圈</w:t>
      </w:r>
      <w:r>
        <w:rPr>
          <w:rFonts w:hint="eastAsia"/>
        </w:rPr>
        <w:t>颜色应为白色。</w:t>
      </w:r>
    </w:p>
    <w:p w14:paraId="73DF2A82">
      <w:pPr>
        <w:pStyle w:val="168"/>
      </w:pPr>
      <w:r>
        <w:rPr>
          <w:rFonts w:hint="eastAsia"/>
        </w:rPr>
        <w:t>旋转式防撞护栏上不宜设置轮廓标。</w:t>
      </w:r>
    </w:p>
    <w:p w14:paraId="536EA8E6">
      <w:pPr>
        <w:pStyle w:val="108"/>
        <w:spacing w:before="156" w:after="156"/>
      </w:pPr>
      <w:bookmarkStart w:id="55" w:name="_Toc101886591"/>
      <w:bookmarkStart w:id="56" w:name="_Toc101862609"/>
      <w:bookmarkStart w:id="57" w:name="_Toc12377"/>
      <w:r>
        <w:rPr>
          <w:rFonts w:hint="eastAsia"/>
        </w:rPr>
        <w:t>构造形式</w:t>
      </w:r>
      <w:bookmarkEnd w:id="55"/>
      <w:bookmarkEnd w:id="56"/>
      <w:bookmarkEnd w:id="57"/>
    </w:p>
    <w:p w14:paraId="57525A24">
      <w:pPr>
        <w:pStyle w:val="168"/>
      </w:pPr>
      <w:r>
        <w:rPr>
          <w:rFonts w:hint="eastAsia"/>
        </w:rPr>
        <w:t xml:space="preserve">公路旋转式护栏其构造尺寸应符合表 </w:t>
      </w:r>
      <w:r>
        <w:rPr>
          <w:rFonts w:hint="eastAsia"/>
          <w:lang w:val="en-US" w:eastAsia="zh-CN"/>
        </w:rPr>
        <w:t>2</w:t>
      </w:r>
      <w:r>
        <w:rPr>
          <w:rFonts w:hint="eastAsia"/>
        </w:rPr>
        <w:t xml:space="preserve"> 的规定。</w:t>
      </w:r>
    </w:p>
    <w:p w14:paraId="0D590813">
      <w:pPr>
        <w:pStyle w:val="115"/>
        <w:spacing w:before="156" w:after="156"/>
      </w:pPr>
      <w:r>
        <w:rPr>
          <w:rFonts w:hint="eastAsia"/>
        </w:rPr>
        <w:t>公路旋转式护栏构造尺寸</w:t>
      </w:r>
    </w:p>
    <w:p w14:paraId="2B977115">
      <w:pPr>
        <w:spacing w:before="232" w:line="221" w:lineRule="auto"/>
        <w:ind w:left="8225"/>
      </w:pPr>
      <w:r>
        <w:rPr>
          <w:rFonts w:hint="eastAsia" w:ascii="宋体" w:hAnsi="宋体" w:cs="宋体"/>
          <w:spacing w:val="-2"/>
          <w:sz w:val="18"/>
          <w:szCs w:val="18"/>
        </w:rPr>
        <w:t>单位：mm</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970"/>
        <w:gridCol w:w="895"/>
        <w:gridCol w:w="1611"/>
        <w:gridCol w:w="1217"/>
        <w:gridCol w:w="1122"/>
        <w:gridCol w:w="1935"/>
        <w:gridCol w:w="1584"/>
      </w:tblGrid>
      <w:tr w14:paraId="17645B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4" w:hRule="atLeast"/>
          <w:tblHeader/>
          <w:jc w:val="center"/>
        </w:trPr>
        <w:tc>
          <w:tcPr>
            <w:tcW w:w="970" w:type="dxa"/>
            <w:shd w:val="clear" w:color="auto" w:fill="auto"/>
            <w:vAlign w:val="center"/>
          </w:tcPr>
          <w:p w14:paraId="6BDA0499">
            <w:pPr>
              <w:spacing w:line="240" w:lineRule="auto"/>
              <w:jc w:val="center"/>
              <w:rPr>
                <w:rFonts w:hint="eastAsia" w:ascii="宋体" w:hAnsi="宋体" w:cstheme="minorEastAsia"/>
                <w:sz w:val="18"/>
                <w:szCs w:val="18"/>
              </w:rPr>
            </w:pPr>
            <w:r>
              <w:rPr>
                <w:rFonts w:hint="eastAsia" w:ascii="宋体" w:hAnsi="宋体" w:cstheme="minorEastAsia"/>
                <w:sz w:val="18"/>
                <w:szCs w:val="18"/>
              </w:rPr>
              <w:t>防护等级</w:t>
            </w:r>
          </w:p>
        </w:tc>
        <w:tc>
          <w:tcPr>
            <w:tcW w:w="895" w:type="dxa"/>
            <w:shd w:val="clear" w:color="auto" w:fill="auto"/>
            <w:vAlign w:val="center"/>
          </w:tcPr>
          <w:p w14:paraId="25EF56D9">
            <w:pPr>
              <w:spacing w:line="240" w:lineRule="auto"/>
              <w:jc w:val="center"/>
              <w:rPr>
                <w:rFonts w:hint="eastAsia" w:ascii="宋体" w:hAnsi="宋体" w:cstheme="minorEastAsia"/>
                <w:sz w:val="18"/>
                <w:szCs w:val="18"/>
              </w:rPr>
            </w:pPr>
            <w:r>
              <w:rPr>
                <w:rFonts w:hint="eastAsia" w:ascii="宋体" w:hAnsi="宋体" w:cstheme="minorEastAsia"/>
                <w:sz w:val="18"/>
                <w:szCs w:val="18"/>
              </w:rPr>
              <w:t>代码</w:t>
            </w:r>
          </w:p>
        </w:tc>
        <w:tc>
          <w:tcPr>
            <w:tcW w:w="1611" w:type="dxa"/>
            <w:shd w:val="clear" w:color="auto" w:fill="auto"/>
            <w:vAlign w:val="center"/>
          </w:tcPr>
          <w:p w14:paraId="69E380A5">
            <w:pPr>
              <w:spacing w:line="240" w:lineRule="auto"/>
              <w:jc w:val="center"/>
              <w:rPr>
                <w:rFonts w:hint="eastAsia" w:ascii="宋体" w:hAnsi="宋体" w:cstheme="minorEastAsia"/>
                <w:sz w:val="18"/>
                <w:szCs w:val="18"/>
              </w:rPr>
            </w:pPr>
            <w:r>
              <w:rPr>
                <w:rFonts w:hint="eastAsia" w:ascii="宋体" w:hAnsi="宋体" w:cstheme="minorEastAsia"/>
                <w:sz w:val="18"/>
                <w:szCs w:val="18"/>
              </w:rPr>
              <w:t>横梁</w:t>
            </w:r>
          </w:p>
          <w:p w14:paraId="57CB3486">
            <w:pPr>
              <w:spacing w:line="240" w:lineRule="auto"/>
              <w:jc w:val="center"/>
              <w:rPr>
                <w:rFonts w:hint="eastAsia" w:ascii="宋体" w:hAnsi="宋体" w:cstheme="minorEastAsia"/>
                <w:sz w:val="18"/>
                <w:szCs w:val="18"/>
              </w:rPr>
            </w:pPr>
            <w:r>
              <w:rPr>
                <w:rFonts w:hint="eastAsia" w:ascii="宋体" w:hAnsi="宋体" w:cstheme="minorEastAsia"/>
                <w:sz w:val="18"/>
                <w:szCs w:val="18"/>
              </w:rPr>
              <w:t>（</w:t>
            </w:r>
            <w:r>
              <w:rPr>
                <w:rFonts w:hint="eastAsia" w:ascii="宋体" w:hAnsi="宋体" w:cstheme="minorEastAsia"/>
                <w:sz w:val="18"/>
                <w:szCs w:val="18"/>
                <w:lang w:eastAsia="zh-CN"/>
              </w:rPr>
              <w:t>长度</w:t>
            </w:r>
            <w:r>
              <w:rPr>
                <w:rFonts w:hint="eastAsia" w:ascii="宋体" w:hAnsi="宋体" w:cstheme="minorEastAsia"/>
                <w:sz w:val="18"/>
                <w:szCs w:val="18"/>
              </w:rPr>
              <w:t>×</w:t>
            </w:r>
            <w:r>
              <w:rPr>
                <w:rFonts w:hint="eastAsia" w:ascii="宋体" w:hAnsi="宋体" w:cstheme="minorEastAsia"/>
                <w:sz w:val="18"/>
                <w:szCs w:val="18"/>
                <w:lang w:eastAsia="zh-CN"/>
              </w:rPr>
              <w:t>宽度</w:t>
            </w:r>
            <w:r>
              <w:rPr>
                <w:rFonts w:hint="eastAsia" w:ascii="宋体" w:hAnsi="宋体" w:cstheme="minorEastAsia"/>
                <w:sz w:val="18"/>
                <w:szCs w:val="18"/>
              </w:rPr>
              <w:t>×</w:t>
            </w:r>
            <w:r>
              <w:rPr>
                <w:rFonts w:hint="eastAsia" w:ascii="宋体" w:hAnsi="宋体" w:cstheme="minorEastAsia"/>
                <w:sz w:val="18"/>
                <w:szCs w:val="18"/>
                <w:lang w:eastAsia="zh-CN"/>
              </w:rPr>
              <w:t>厚度</w:t>
            </w:r>
            <w:r>
              <w:rPr>
                <w:rFonts w:hint="eastAsia" w:ascii="宋体" w:hAnsi="宋体" w:cstheme="minorEastAsia"/>
                <w:sz w:val="18"/>
                <w:szCs w:val="18"/>
              </w:rPr>
              <w:t>）</w:t>
            </w:r>
          </w:p>
        </w:tc>
        <w:tc>
          <w:tcPr>
            <w:tcW w:w="1217" w:type="dxa"/>
            <w:shd w:val="clear" w:color="auto" w:fill="auto"/>
            <w:vAlign w:val="center"/>
          </w:tcPr>
          <w:p w14:paraId="29AAD8D0">
            <w:pPr>
              <w:spacing w:line="240" w:lineRule="auto"/>
              <w:jc w:val="center"/>
              <w:rPr>
                <w:rFonts w:hint="eastAsia" w:ascii="宋体" w:hAnsi="宋体" w:cstheme="minorEastAsia"/>
                <w:sz w:val="18"/>
                <w:szCs w:val="18"/>
              </w:rPr>
            </w:pPr>
            <w:r>
              <w:rPr>
                <w:rFonts w:hint="eastAsia" w:ascii="宋体" w:hAnsi="宋体" w:cstheme="minorEastAsia"/>
                <w:sz w:val="18"/>
                <w:szCs w:val="18"/>
              </w:rPr>
              <w:t>上/下横梁高度</w:t>
            </w:r>
          </w:p>
        </w:tc>
        <w:tc>
          <w:tcPr>
            <w:tcW w:w="1122" w:type="dxa"/>
            <w:shd w:val="clear" w:color="auto" w:fill="auto"/>
            <w:vAlign w:val="center"/>
          </w:tcPr>
          <w:p w14:paraId="1A4C7F21">
            <w:pPr>
              <w:spacing w:line="240" w:lineRule="auto"/>
              <w:jc w:val="center"/>
              <w:rPr>
                <w:rFonts w:hint="eastAsia" w:ascii="宋体" w:hAnsi="宋体" w:cstheme="minorEastAsia"/>
                <w:sz w:val="18"/>
                <w:szCs w:val="18"/>
              </w:rPr>
            </w:pPr>
            <w:r>
              <w:rPr>
                <w:rFonts w:hint="eastAsia" w:ascii="宋体" w:hAnsi="宋体" w:cstheme="minorEastAsia"/>
                <w:sz w:val="18"/>
                <w:szCs w:val="18"/>
              </w:rPr>
              <w:t>立柱</w:t>
            </w:r>
          </w:p>
        </w:tc>
        <w:tc>
          <w:tcPr>
            <w:tcW w:w="1935" w:type="dxa"/>
            <w:shd w:val="clear" w:color="auto" w:fill="auto"/>
            <w:vAlign w:val="center"/>
          </w:tcPr>
          <w:p w14:paraId="03B5C71F">
            <w:pPr>
              <w:spacing w:line="240" w:lineRule="auto"/>
              <w:jc w:val="center"/>
              <w:rPr>
                <w:rFonts w:hint="eastAsia" w:ascii="宋体" w:hAnsi="宋体" w:cstheme="minorEastAsia"/>
                <w:sz w:val="18"/>
                <w:szCs w:val="18"/>
              </w:rPr>
            </w:pPr>
            <w:r>
              <w:rPr>
                <w:rFonts w:hint="eastAsia" w:ascii="宋体" w:hAnsi="宋体" w:cstheme="minorEastAsia"/>
                <w:sz w:val="18"/>
                <w:szCs w:val="18"/>
              </w:rPr>
              <w:t>土中/混凝土立柱埋深</w:t>
            </w:r>
          </w:p>
        </w:tc>
        <w:tc>
          <w:tcPr>
            <w:tcW w:w="1584" w:type="dxa"/>
            <w:shd w:val="clear" w:color="auto" w:fill="auto"/>
            <w:vAlign w:val="center"/>
          </w:tcPr>
          <w:p w14:paraId="6FA4913A">
            <w:pPr>
              <w:spacing w:line="240" w:lineRule="auto"/>
              <w:jc w:val="center"/>
              <w:rPr>
                <w:rFonts w:hint="eastAsia" w:ascii="宋体" w:hAnsi="宋体" w:cstheme="minorEastAsia"/>
                <w:sz w:val="18"/>
                <w:szCs w:val="18"/>
              </w:rPr>
            </w:pPr>
            <w:r>
              <w:rPr>
                <w:rFonts w:hint="eastAsia" w:ascii="宋体" w:hAnsi="宋体" w:cstheme="minorEastAsia"/>
                <w:sz w:val="18"/>
                <w:szCs w:val="18"/>
              </w:rPr>
              <w:t>立柱间距</w:t>
            </w:r>
          </w:p>
        </w:tc>
      </w:tr>
      <w:tr w14:paraId="46F000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4" w:hRule="atLeast"/>
          <w:jc w:val="center"/>
        </w:trPr>
        <w:tc>
          <w:tcPr>
            <w:tcW w:w="970" w:type="dxa"/>
            <w:shd w:val="clear" w:color="auto" w:fill="auto"/>
            <w:vAlign w:val="center"/>
          </w:tcPr>
          <w:p w14:paraId="000E7A5B">
            <w:pPr>
              <w:spacing w:line="240" w:lineRule="auto"/>
              <w:jc w:val="center"/>
              <w:rPr>
                <w:rFonts w:hint="eastAsia" w:ascii="宋体" w:hAnsi="宋体" w:cstheme="minorEastAsia"/>
                <w:sz w:val="18"/>
                <w:szCs w:val="18"/>
              </w:rPr>
            </w:pPr>
            <w:r>
              <w:rPr>
                <w:rFonts w:hint="eastAsia" w:ascii="宋体" w:hAnsi="宋体" w:cstheme="minorEastAsia"/>
                <w:sz w:val="18"/>
                <w:szCs w:val="18"/>
              </w:rPr>
              <w:t>SB</w:t>
            </w:r>
          </w:p>
        </w:tc>
        <w:tc>
          <w:tcPr>
            <w:tcW w:w="895" w:type="dxa"/>
            <w:shd w:val="clear" w:color="auto" w:fill="auto"/>
            <w:vAlign w:val="center"/>
          </w:tcPr>
          <w:p w14:paraId="46789414">
            <w:pPr>
              <w:spacing w:line="240" w:lineRule="auto"/>
              <w:jc w:val="center"/>
              <w:rPr>
                <w:rFonts w:hint="eastAsia" w:ascii="宋体" w:hAnsi="宋体" w:cstheme="minorEastAsia"/>
                <w:sz w:val="18"/>
                <w:szCs w:val="18"/>
              </w:rPr>
            </w:pPr>
            <w:r>
              <w:rPr>
                <w:rFonts w:hint="eastAsia" w:ascii="宋体" w:hAnsi="宋体" w:cstheme="minorEastAsia"/>
                <w:sz w:val="18"/>
                <w:szCs w:val="18"/>
              </w:rPr>
              <w:t>Rg-SB</w:t>
            </w:r>
          </w:p>
        </w:tc>
        <w:tc>
          <w:tcPr>
            <w:tcW w:w="1611" w:type="dxa"/>
            <w:shd w:val="clear" w:color="auto" w:fill="auto"/>
            <w:vAlign w:val="center"/>
          </w:tcPr>
          <w:p w14:paraId="1AD5A4C0">
            <w:pPr>
              <w:spacing w:line="240" w:lineRule="auto"/>
              <w:jc w:val="center"/>
              <w:rPr>
                <w:rFonts w:hint="eastAsia" w:ascii="宋体" w:hAnsi="宋体" w:cstheme="minorEastAsia"/>
                <w:sz w:val="18"/>
                <w:szCs w:val="18"/>
              </w:rPr>
            </w:pPr>
            <w:r>
              <w:rPr>
                <w:rFonts w:hint="eastAsia" w:ascii="宋体" w:hAnsi="宋体" w:cstheme="minorEastAsia"/>
                <w:sz w:val="18"/>
                <w:szCs w:val="18"/>
              </w:rPr>
              <w:t>115×82×3.0</w:t>
            </w:r>
          </w:p>
        </w:tc>
        <w:tc>
          <w:tcPr>
            <w:tcW w:w="1217" w:type="dxa"/>
            <w:shd w:val="clear" w:color="auto" w:fill="auto"/>
            <w:vAlign w:val="center"/>
          </w:tcPr>
          <w:p w14:paraId="111E26EE">
            <w:pPr>
              <w:spacing w:line="240" w:lineRule="auto"/>
              <w:jc w:val="center"/>
              <w:rPr>
                <w:rFonts w:hint="eastAsia" w:ascii="宋体" w:hAnsi="宋体" w:cstheme="minorEastAsia"/>
                <w:sz w:val="18"/>
                <w:szCs w:val="18"/>
              </w:rPr>
            </w:pPr>
            <w:r>
              <w:rPr>
                <w:rFonts w:hint="eastAsia" w:ascii="宋体" w:hAnsi="宋体" w:cstheme="minorEastAsia"/>
                <w:sz w:val="18"/>
                <w:szCs w:val="18"/>
              </w:rPr>
              <w:t>920/</w:t>
            </w:r>
            <w:r>
              <w:rPr>
                <w:rFonts w:ascii="宋体" w:hAnsi="宋体" w:cstheme="minorEastAsia"/>
                <w:sz w:val="18"/>
                <w:szCs w:val="18"/>
              </w:rPr>
              <w:t>30</w:t>
            </w:r>
            <w:r>
              <w:rPr>
                <w:rFonts w:hint="eastAsia" w:ascii="宋体" w:hAnsi="宋体" w:cstheme="minorEastAsia"/>
                <w:sz w:val="18"/>
                <w:szCs w:val="18"/>
              </w:rPr>
              <w:t>0</w:t>
            </w:r>
          </w:p>
        </w:tc>
        <w:tc>
          <w:tcPr>
            <w:tcW w:w="1122" w:type="dxa"/>
            <w:shd w:val="clear" w:color="auto" w:fill="auto"/>
            <w:vAlign w:val="center"/>
          </w:tcPr>
          <w:p w14:paraId="4CC82F62">
            <w:pPr>
              <w:spacing w:line="240" w:lineRule="auto"/>
              <w:jc w:val="center"/>
              <w:rPr>
                <w:rFonts w:hint="eastAsia" w:ascii="宋体" w:hAnsi="宋体" w:cstheme="minorEastAsia"/>
                <w:sz w:val="18"/>
                <w:szCs w:val="18"/>
              </w:rPr>
            </w:pPr>
            <w:r>
              <w:rPr>
                <w:rFonts w:hint="eastAsia" w:ascii="宋体" w:hAnsi="宋体" w:cstheme="minorEastAsia"/>
                <w:sz w:val="18"/>
                <w:szCs w:val="18"/>
              </w:rPr>
              <w:t>Φ140×4.5</w:t>
            </w:r>
          </w:p>
        </w:tc>
        <w:tc>
          <w:tcPr>
            <w:tcW w:w="1935" w:type="dxa"/>
            <w:shd w:val="clear" w:color="auto" w:fill="auto"/>
            <w:vAlign w:val="center"/>
          </w:tcPr>
          <w:p w14:paraId="36CEA1E9">
            <w:pPr>
              <w:spacing w:line="240" w:lineRule="auto"/>
              <w:jc w:val="center"/>
              <w:rPr>
                <w:rFonts w:hint="eastAsia" w:ascii="宋体" w:hAnsi="宋体" w:cstheme="minorEastAsia"/>
                <w:sz w:val="18"/>
                <w:szCs w:val="18"/>
              </w:rPr>
            </w:pPr>
            <w:r>
              <w:rPr>
                <w:rFonts w:hint="eastAsia" w:ascii="宋体" w:hAnsi="宋体" w:cstheme="minorEastAsia"/>
                <w:sz w:val="18"/>
                <w:szCs w:val="18"/>
              </w:rPr>
              <w:t>1115/400+h</w:t>
            </w:r>
          </w:p>
        </w:tc>
        <w:tc>
          <w:tcPr>
            <w:tcW w:w="1584" w:type="dxa"/>
            <w:shd w:val="clear" w:color="auto" w:fill="auto"/>
            <w:vAlign w:val="center"/>
          </w:tcPr>
          <w:p w14:paraId="30264348">
            <w:pPr>
              <w:spacing w:line="240" w:lineRule="auto"/>
              <w:jc w:val="center"/>
              <w:rPr>
                <w:rFonts w:hint="eastAsia" w:ascii="宋体" w:hAnsi="宋体" w:cstheme="minorEastAsia"/>
                <w:sz w:val="18"/>
                <w:szCs w:val="18"/>
              </w:rPr>
            </w:pPr>
            <w:r>
              <w:rPr>
                <w:rFonts w:hint="eastAsia" w:ascii="宋体" w:hAnsi="宋体" w:cstheme="minorEastAsia"/>
                <w:sz w:val="18"/>
                <w:szCs w:val="18"/>
              </w:rPr>
              <w:t>1000</w:t>
            </w:r>
          </w:p>
        </w:tc>
      </w:tr>
    </w:tbl>
    <w:p w14:paraId="0054709D">
      <w:pPr>
        <w:pStyle w:val="108"/>
        <w:spacing w:before="156" w:after="156"/>
      </w:pPr>
      <w:bookmarkStart w:id="58" w:name="_Toc101886592"/>
      <w:bookmarkStart w:id="59" w:name="_Toc101862610"/>
      <w:bookmarkStart w:id="60" w:name="_Toc18841"/>
      <w:r>
        <w:rPr>
          <w:rFonts w:hint="eastAsia"/>
        </w:rPr>
        <w:t>最小设置长度</w:t>
      </w:r>
      <w:bookmarkEnd w:id="58"/>
      <w:bookmarkEnd w:id="59"/>
      <w:bookmarkEnd w:id="60"/>
    </w:p>
    <w:p w14:paraId="4270E7E3">
      <w:pPr>
        <w:pStyle w:val="168"/>
      </w:pPr>
      <w:r>
        <w:rPr>
          <w:rFonts w:hint="eastAsia"/>
        </w:rPr>
        <w:t>公路旋转式护栏的最小结构长度应满足表</w:t>
      </w:r>
      <w:r>
        <w:rPr>
          <w:rFonts w:hint="eastAsia"/>
          <w:lang w:val="en-US" w:eastAsia="zh-CN"/>
        </w:rPr>
        <w:t>3</w:t>
      </w:r>
      <w:r>
        <w:rPr>
          <w:rFonts w:hint="eastAsia"/>
        </w:rPr>
        <w:t>的规定。</w:t>
      </w:r>
    </w:p>
    <w:p w14:paraId="007CD9CB">
      <w:pPr>
        <w:pStyle w:val="115"/>
        <w:spacing w:before="156" w:after="156"/>
      </w:pPr>
      <w:r>
        <w:rPr>
          <w:rFonts w:hint="eastAsia"/>
        </w:rPr>
        <w:t>公路旋转式护栏最小结构长度</w:t>
      </w:r>
    </w:p>
    <w:p w14:paraId="50BBF8F1">
      <w:pPr>
        <w:spacing w:before="232" w:line="221" w:lineRule="auto"/>
        <w:ind w:left="8225"/>
      </w:pPr>
      <w:r>
        <w:rPr>
          <w:rFonts w:hint="eastAsia" w:ascii="宋体" w:hAnsi="宋体" w:cs="宋体"/>
          <w:spacing w:val="-2"/>
          <w:sz w:val="18"/>
          <w:szCs w:val="18"/>
        </w:rPr>
        <w:t>单位：m</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0920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564A183B">
            <w:pPr>
              <w:spacing w:line="240" w:lineRule="auto"/>
              <w:jc w:val="center"/>
              <w:rPr>
                <w:rFonts w:hint="eastAsia" w:ascii="宋体" w:hAnsi="宋体" w:cstheme="minorEastAsia"/>
                <w:sz w:val="18"/>
                <w:szCs w:val="18"/>
              </w:rPr>
            </w:pPr>
            <w:r>
              <w:rPr>
                <w:rFonts w:hint="eastAsia" w:ascii="宋体" w:hAnsi="宋体" w:cstheme="minorEastAsia"/>
                <w:sz w:val="18"/>
                <w:szCs w:val="18"/>
              </w:rPr>
              <w:t>公路等级</w:t>
            </w:r>
          </w:p>
        </w:tc>
        <w:tc>
          <w:tcPr>
            <w:tcW w:w="4764" w:type="dxa"/>
            <w:shd w:val="clear" w:color="auto" w:fill="auto"/>
            <w:vAlign w:val="center"/>
          </w:tcPr>
          <w:p w14:paraId="73907D33">
            <w:pPr>
              <w:spacing w:line="240" w:lineRule="auto"/>
              <w:jc w:val="center"/>
              <w:rPr>
                <w:rFonts w:hint="eastAsia" w:ascii="宋体" w:hAnsi="宋体" w:cstheme="minorEastAsia"/>
                <w:sz w:val="18"/>
                <w:szCs w:val="18"/>
              </w:rPr>
            </w:pPr>
            <w:r>
              <w:rPr>
                <w:rFonts w:hint="eastAsia" w:ascii="宋体" w:hAnsi="宋体" w:cstheme="minorEastAsia"/>
                <w:sz w:val="18"/>
                <w:szCs w:val="18"/>
              </w:rPr>
              <w:t>最小长度</w:t>
            </w:r>
          </w:p>
        </w:tc>
      </w:tr>
      <w:tr w14:paraId="5275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2E53E9C1">
            <w:pPr>
              <w:spacing w:line="240" w:lineRule="auto"/>
              <w:jc w:val="center"/>
              <w:rPr>
                <w:rFonts w:hint="eastAsia" w:ascii="宋体" w:hAnsi="宋体" w:cstheme="minorEastAsia"/>
                <w:sz w:val="18"/>
                <w:szCs w:val="18"/>
              </w:rPr>
            </w:pPr>
            <w:r>
              <w:rPr>
                <w:rFonts w:hint="eastAsia" w:ascii="宋体" w:hAnsi="宋体" w:cstheme="minorEastAsia"/>
                <w:sz w:val="18"/>
                <w:szCs w:val="18"/>
              </w:rPr>
              <w:t>高速公路、一级公路</w:t>
            </w:r>
          </w:p>
        </w:tc>
        <w:tc>
          <w:tcPr>
            <w:tcW w:w="4764" w:type="dxa"/>
            <w:shd w:val="clear" w:color="auto" w:fill="auto"/>
            <w:vAlign w:val="center"/>
          </w:tcPr>
          <w:p w14:paraId="643B4FE7">
            <w:pPr>
              <w:spacing w:line="240" w:lineRule="auto"/>
              <w:jc w:val="center"/>
              <w:rPr>
                <w:rFonts w:hint="eastAsia" w:ascii="宋体" w:hAnsi="宋体" w:cstheme="minorEastAsia"/>
                <w:sz w:val="18"/>
                <w:szCs w:val="18"/>
              </w:rPr>
            </w:pPr>
            <w:r>
              <w:rPr>
                <w:rFonts w:hint="eastAsia" w:ascii="宋体" w:hAnsi="宋体" w:cstheme="minorEastAsia"/>
                <w:sz w:val="18"/>
                <w:szCs w:val="18"/>
              </w:rPr>
              <w:t>70</w:t>
            </w:r>
          </w:p>
        </w:tc>
      </w:tr>
      <w:tr w14:paraId="3C8F1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753257EB">
            <w:pPr>
              <w:spacing w:line="240" w:lineRule="auto"/>
              <w:jc w:val="center"/>
              <w:rPr>
                <w:rFonts w:hint="eastAsia" w:ascii="宋体" w:hAnsi="宋体" w:cstheme="minorEastAsia"/>
                <w:sz w:val="18"/>
                <w:szCs w:val="18"/>
              </w:rPr>
            </w:pPr>
            <w:r>
              <w:rPr>
                <w:rFonts w:hint="eastAsia" w:ascii="宋体" w:hAnsi="宋体" w:cstheme="minorEastAsia"/>
                <w:sz w:val="18"/>
                <w:szCs w:val="18"/>
              </w:rPr>
              <w:t>二级及二级以下公路</w:t>
            </w:r>
          </w:p>
        </w:tc>
        <w:tc>
          <w:tcPr>
            <w:tcW w:w="4764" w:type="dxa"/>
            <w:shd w:val="clear" w:color="auto" w:fill="auto"/>
            <w:vAlign w:val="center"/>
          </w:tcPr>
          <w:p w14:paraId="2763D92B">
            <w:pPr>
              <w:spacing w:line="240" w:lineRule="auto"/>
              <w:jc w:val="center"/>
              <w:rPr>
                <w:rFonts w:hint="eastAsia" w:ascii="宋体" w:hAnsi="宋体" w:cstheme="minorEastAsia"/>
                <w:sz w:val="18"/>
                <w:szCs w:val="18"/>
              </w:rPr>
            </w:pPr>
            <w:r>
              <w:rPr>
                <w:rFonts w:hint="eastAsia" w:ascii="宋体" w:hAnsi="宋体" w:cstheme="minorEastAsia"/>
                <w:sz w:val="18"/>
                <w:szCs w:val="18"/>
              </w:rPr>
              <w:t>48</w:t>
            </w:r>
          </w:p>
        </w:tc>
      </w:tr>
    </w:tbl>
    <w:p w14:paraId="588FAF8A">
      <w:pPr>
        <w:pStyle w:val="168"/>
      </w:pPr>
      <w:r>
        <w:rPr>
          <w:rFonts w:hint="eastAsia"/>
        </w:rPr>
        <w:t>护栏最小防护长度应根据车辆驰出路外的轨迹和计算净区宽度内障碍物的位置确定，应符合 JTG/T D81中护栏最小防护长度取值规定。</w:t>
      </w:r>
    </w:p>
    <w:p w14:paraId="2102B663">
      <w:pPr>
        <w:pStyle w:val="168"/>
      </w:pPr>
      <w:r>
        <w:rPr>
          <w:rFonts w:hint="eastAsia"/>
        </w:rPr>
        <w:t>中央分隔带宽度大于1m但小于表</w:t>
      </w:r>
      <w:r>
        <w:rPr>
          <w:rFonts w:hint="eastAsia"/>
          <w:lang w:val="en-US" w:eastAsia="zh-CN"/>
        </w:rPr>
        <w:t>4</w:t>
      </w:r>
      <w:r>
        <w:rPr>
          <w:rFonts w:hint="eastAsia"/>
        </w:rPr>
        <w:t>的规定时，中央分隔带护栏可采用旋转式防撞护栏。中央分隔带宽度小于等于1m时，宜沿中央分隔带中心线设置旋转式防撞护栏以供双向使用。</w:t>
      </w:r>
    </w:p>
    <w:p w14:paraId="001BB23C">
      <w:pPr>
        <w:pStyle w:val="115"/>
        <w:spacing w:before="156" w:after="156"/>
      </w:pPr>
      <w:r>
        <w:rPr>
          <w:rFonts w:hint="eastAsia"/>
        </w:rPr>
        <w:t>中央分隔带宽度</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6"/>
        <w:gridCol w:w="1866"/>
        <w:gridCol w:w="1866"/>
        <w:gridCol w:w="1866"/>
        <w:gridCol w:w="1870"/>
      </w:tblGrid>
      <w:tr w14:paraId="673B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866" w:type="dxa"/>
            <w:shd w:val="clear" w:color="auto" w:fill="auto"/>
            <w:vAlign w:val="center"/>
          </w:tcPr>
          <w:p w14:paraId="4191591A">
            <w:pPr>
              <w:spacing w:line="240" w:lineRule="auto"/>
              <w:jc w:val="center"/>
              <w:rPr>
                <w:rFonts w:hint="eastAsia" w:ascii="宋体" w:hAnsi="宋体" w:cstheme="minorEastAsia"/>
                <w:sz w:val="18"/>
                <w:szCs w:val="18"/>
              </w:rPr>
            </w:pPr>
            <w:r>
              <w:rPr>
                <w:rFonts w:hint="eastAsia" w:ascii="宋体" w:hAnsi="宋体" w:cstheme="minorEastAsia"/>
                <w:sz w:val="18"/>
                <w:szCs w:val="18"/>
              </w:rPr>
              <w:t>设计速度（Km/h）</w:t>
            </w:r>
          </w:p>
        </w:tc>
        <w:tc>
          <w:tcPr>
            <w:tcW w:w="1866" w:type="dxa"/>
            <w:shd w:val="clear" w:color="auto" w:fill="auto"/>
            <w:vAlign w:val="center"/>
          </w:tcPr>
          <w:p w14:paraId="001401DC">
            <w:pPr>
              <w:spacing w:line="240" w:lineRule="auto"/>
              <w:jc w:val="center"/>
              <w:rPr>
                <w:rFonts w:hint="eastAsia" w:ascii="宋体" w:hAnsi="宋体" w:cstheme="minorEastAsia"/>
                <w:sz w:val="18"/>
                <w:szCs w:val="18"/>
              </w:rPr>
            </w:pPr>
            <w:r>
              <w:rPr>
                <w:rFonts w:hint="eastAsia" w:ascii="宋体" w:hAnsi="宋体" w:cstheme="minorEastAsia"/>
                <w:sz w:val="18"/>
                <w:szCs w:val="18"/>
              </w:rPr>
              <w:t>120</w:t>
            </w:r>
          </w:p>
        </w:tc>
        <w:tc>
          <w:tcPr>
            <w:tcW w:w="1866" w:type="dxa"/>
            <w:shd w:val="clear" w:color="auto" w:fill="auto"/>
            <w:vAlign w:val="center"/>
          </w:tcPr>
          <w:p w14:paraId="1A97F465">
            <w:pPr>
              <w:spacing w:line="240" w:lineRule="auto"/>
              <w:jc w:val="center"/>
              <w:rPr>
                <w:rFonts w:hint="eastAsia" w:ascii="宋体" w:hAnsi="宋体" w:cstheme="minorEastAsia"/>
                <w:sz w:val="18"/>
                <w:szCs w:val="18"/>
              </w:rPr>
            </w:pPr>
            <w:r>
              <w:rPr>
                <w:rFonts w:hint="eastAsia" w:ascii="宋体" w:hAnsi="宋体" w:cstheme="minorEastAsia"/>
                <w:sz w:val="18"/>
                <w:szCs w:val="18"/>
              </w:rPr>
              <w:t>100</w:t>
            </w:r>
          </w:p>
        </w:tc>
        <w:tc>
          <w:tcPr>
            <w:tcW w:w="1866" w:type="dxa"/>
            <w:shd w:val="clear" w:color="auto" w:fill="auto"/>
            <w:vAlign w:val="center"/>
          </w:tcPr>
          <w:p w14:paraId="52878542">
            <w:pPr>
              <w:spacing w:line="240" w:lineRule="auto"/>
              <w:jc w:val="center"/>
              <w:rPr>
                <w:rFonts w:hint="eastAsia" w:ascii="宋体" w:hAnsi="宋体" w:cstheme="minorEastAsia"/>
                <w:sz w:val="18"/>
                <w:szCs w:val="18"/>
              </w:rPr>
            </w:pPr>
            <w:r>
              <w:rPr>
                <w:rFonts w:hint="eastAsia" w:ascii="宋体" w:hAnsi="宋体" w:cstheme="minorEastAsia"/>
                <w:sz w:val="18"/>
                <w:szCs w:val="18"/>
              </w:rPr>
              <w:t>80</w:t>
            </w:r>
          </w:p>
        </w:tc>
        <w:tc>
          <w:tcPr>
            <w:tcW w:w="1870" w:type="dxa"/>
            <w:shd w:val="clear" w:color="auto" w:fill="auto"/>
            <w:vAlign w:val="center"/>
          </w:tcPr>
          <w:p w14:paraId="34100FCF">
            <w:pPr>
              <w:spacing w:line="240" w:lineRule="auto"/>
              <w:jc w:val="center"/>
              <w:rPr>
                <w:rFonts w:hint="eastAsia" w:ascii="宋体" w:hAnsi="宋体" w:cstheme="minorEastAsia"/>
                <w:sz w:val="18"/>
                <w:szCs w:val="18"/>
              </w:rPr>
            </w:pPr>
            <w:r>
              <w:rPr>
                <w:rFonts w:hint="eastAsia" w:ascii="宋体" w:hAnsi="宋体" w:cstheme="minorEastAsia"/>
                <w:sz w:val="18"/>
                <w:szCs w:val="18"/>
              </w:rPr>
              <w:t>60</w:t>
            </w:r>
          </w:p>
        </w:tc>
      </w:tr>
      <w:tr w14:paraId="191E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866" w:type="dxa"/>
            <w:shd w:val="clear" w:color="auto" w:fill="auto"/>
            <w:vAlign w:val="center"/>
          </w:tcPr>
          <w:p w14:paraId="6973BF0E">
            <w:pPr>
              <w:spacing w:line="240" w:lineRule="auto"/>
              <w:jc w:val="center"/>
              <w:rPr>
                <w:rFonts w:hint="eastAsia" w:ascii="宋体" w:hAnsi="宋体" w:cstheme="minorEastAsia"/>
                <w:sz w:val="18"/>
                <w:szCs w:val="18"/>
              </w:rPr>
            </w:pPr>
            <w:r>
              <w:rPr>
                <w:rFonts w:hint="eastAsia" w:ascii="宋体" w:hAnsi="宋体" w:cstheme="minorEastAsia"/>
                <w:sz w:val="18"/>
                <w:szCs w:val="18"/>
              </w:rPr>
              <w:t>中央分隔带宽度（m）</w:t>
            </w:r>
          </w:p>
        </w:tc>
        <w:tc>
          <w:tcPr>
            <w:tcW w:w="1866" w:type="dxa"/>
            <w:shd w:val="clear" w:color="auto" w:fill="auto"/>
            <w:vAlign w:val="center"/>
          </w:tcPr>
          <w:p w14:paraId="187559E6">
            <w:pPr>
              <w:spacing w:line="240" w:lineRule="auto"/>
              <w:jc w:val="center"/>
              <w:rPr>
                <w:rFonts w:hint="eastAsia" w:ascii="宋体" w:hAnsi="宋体" w:cstheme="minorEastAsia"/>
                <w:sz w:val="18"/>
                <w:szCs w:val="18"/>
              </w:rPr>
            </w:pPr>
            <w:r>
              <w:rPr>
                <w:rFonts w:hint="eastAsia" w:ascii="宋体" w:hAnsi="宋体" w:cstheme="minorEastAsia"/>
                <w:sz w:val="18"/>
                <w:szCs w:val="18"/>
              </w:rPr>
              <w:t>3</w:t>
            </w:r>
          </w:p>
        </w:tc>
        <w:tc>
          <w:tcPr>
            <w:tcW w:w="1866" w:type="dxa"/>
            <w:shd w:val="clear" w:color="auto" w:fill="auto"/>
            <w:vAlign w:val="center"/>
          </w:tcPr>
          <w:p w14:paraId="69068FEA">
            <w:pPr>
              <w:spacing w:line="240" w:lineRule="auto"/>
              <w:jc w:val="center"/>
              <w:rPr>
                <w:rFonts w:hint="eastAsia" w:ascii="宋体" w:hAnsi="宋体" w:cstheme="minorEastAsia"/>
                <w:sz w:val="18"/>
                <w:szCs w:val="18"/>
              </w:rPr>
            </w:pPr>
            <w:r>
              <w:rPr>
                <w:rFonts w:hint="eastAsia" w:ascii="宋体" w:hAnsi="宋体" w:cstheme="minorEastAsia"/>
                <w:sz w:val="18"/>
                <w:szCs w:val="18"/>
              </w:rPr>
              <w:t>2</w:t>
            </w:r>
          </w:p>
        </w:tc>
        <w:tc>
          <w:tcPr>
            <w:tcW w:w="1866" w:type="dxa"/>
            <w:shd w:val="clear" w:color="auto" w:fill="auto"/>
            <w:vAlign w:val="center"/>
          </w:tcPr>
          <w:p w14:paraId="3BCBE929">
            <w:pPr>
              <w:spacing w:line="240" w:lineRule="auto"/>
              <w:jc w:val="center"/>
              <w:rPr>
                <w:rFonts w:hint="eastAsia" w:ascii="宋体" w:hAnsi="宋体" w:cstheme="minorEastAsia"/>
                <w:sz w:val="18"/>
                <w:szCs w:val="18"/>
              </w:rPr>
            </w:pPr>
            <w:r>
              <w:rPr>
                <w:rFonts w:hint="eastAsia" w:ascii="宋体" w:hAnsi="宋体" w:cstheme="minorEastAsia"/>
                <w:sz w:val="18"/>
                <w:szCs w:val="18"/>
              </w:rPr>
              <w:t>2</w:t>
            </w:r>
          </w:p>
        </w:tc>
        <w:tc>
          <w:tcPr>
            <w:tcW w:w="1870" w:type="dxa"/>
            <w:shd w:val="clear" w:color="auto" w:fill="auto"/>
            <w:vAlign w:val="center"/>
          </w:tcPr>
          <w:p w14:paraId="18BCABFA">
            <w:pPr>
              <w:spacing w:line="240" w:lineRule="auto"/>
              <w:jc w:val="center"/>
              <w:rPr>
                <w:rFonts w:hint="eastAsia" w:ascii="宋体" w:hAnsi="宋体" w:cstheme="minorEastAsia"/>
                <w:sz w:val="18"/>
                <w:szCs w:val="18"/>
              </w:rPr>
            </w:pPr>
            <w:r>
              <w:rPr>
                <w:rFonts w:hint="eastAsia" w:ascii="宋体" w:hAnsi="宋体" w:cstheme="minorEastAsia"/>
                <w:sz w:val="18"/>
                <w:szCs w:val="18"/>
              </w:rPr>
              <w:t>2</w:t>
            </w:r>
          </w:p>
        </w:tc>
      </w:tr>
    </w:tbl>
    <w:p w14:paraId="3E586775">
      <w:pPr>
        <w:pStyle w:val="108"/>
        <w:spacing w:before="156" w:after="156"/>
      </w:pPr>
      <w:bookmarkStart w:id="61" w:name="_Toc15550"/>
      <w:bookmarkStart w:id="62" w:name="_Toc101862611"/>
      <w:bookmarkStart w:id="63" w:name="_Toc101886593"/>
      <w:r>
        <w:rPr>
          <w:rFonts w:hint="eastAsia"/>
        </w:rPr>
        <w:t>端头与过渡段</w:t>
      </w:r>
      <w:bookmarkEnd w:id="61"/>
      <w:bookmarkEnd w:id="62"/>
      <w:bookmarkEnd w:id="63"/>
    </w:p>
    <w:p w14:paraId="6085C493">
      <w:pPr>
        <w:pStyle w:val="168"/>
        <w:rPr>
          <w:rFonts w:hint="eastAsia" w:ascii="黑体" w:hAnsi="黑体" w:eastAsia="黑体"/>
        </w:rPr>
      </w:pPr>
      <w:r>
        <w:rPr>
          <w:rFonts w:hint="eastAsia" w:ascii="黑体" w:hAnsi="黑体" w:eastAsia="黑体"/>
        </w:rPr>
        <w:t>端头</w:t>
      </w:r>
    </w:p>
    <w:p w14:paraId="06D329C7">
      <w:pPr>
        <w:pStyle w:val="167"/>
      </w:pPr>
      <w:r>
        <w:rPr>
          <w:rFonts w:hint="eastAsia"/>
        </w:rPr>
        <w:t>端头构件尺寸见图</w:t>
      </w:r>
      <w:r>
        <w:rPr>
          <w:rFonts w:hint="eastAsia"/>
          <w:lang w:val="en-US" w:eastAsia="zh-CN"/>
        </w:rPr>
        <w:t>2</w:t>
      </w:r>
      <w:r>
        <w:rPr>
          <w:rFonts w:hint="eastAsia"/>
        </w:rPr>
        <w:t>，端头公称尺寸及允许偏差应符合表</w:t>
      </w:r>
      <w:r>
        <w:rPr>
          <w:rFonts w:hint="eastAsia"/>
          <w:lang w:val="en-US" w:eastAsia="zh-CN"/>
        </w:rPr>
        <w:t>5</w:t>
      </w:r>
      <w:r>
        <w:rPr>
          <w:rFonts w:hint="eastAsia"/>
        </w:rPr>
        <w:t>的规定；端头不得有明显的扭转； 端头切口应垂直，其垂直度公差不得超过30′，端头曲线部分应圆滑平顺。</w:t>
      </w:r>
    </w:p>
    <w:p w14:paraId="6DF659C2">
      <w:pPr>
        <w:pStyle w:val="167"/>
        <w:numPr>
          <w:ilvl w:val="4"/>
          <w:numId w:val="0"/>
        </w:numPr>
        <w:jc w:val="center"/>
        <w:rPr>
          <w:szCs w:val="24"/>
        </w:rPr>
      </w:pPr>
      <w:r>
        <w:drawing>
          <wp:inline distT="0" distB="0" distL="0" distR="0">
            <wp:extent cx="5939155" cy="185039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2" cstate="print">
                      <a:extLst>
                        <a:ext uri="{28A0092B-C50C-407E-A947-70E740481C1C}">
                          <a14:useLocalDpi xmlns:a14="http://schemas.microsoft.com/office/drawing/2010/main" val="0"/>
                        </a:ext>
                      </a:extLst>
                    </a:blip>
                    <a:srcRect t="31706" b="24222"/>
                    <a:stretch>
                      <a:fillRect/>
                    </a:stretch>
                  </pic:blipFill>
                  <pic:spPr>
                    <a:xfrm>
                      <a:off x="0" y="0"/>
                      <a:ext cx="5939790" cy="1850692"/>
                    </a:xfrm>
                    <a:prstGeom prst="rect">
                      <a:avLst/>
                    </a:prstGeom>
                    <a:noFill/>
                    <a:ln>
                      <a:noFill/>
                    </a:ln>
                  </pic:spPr>
                </pic:pic>
              </a:graphicData>
            </a:graphic>
          </wp:inline>
        </w:drawing>
      </w:r>
    </w:p>
    <w:p w14:paraId="1EDE5699">
      <w:pPr>
        <w:pStyle w:val="14"/>
        <w:spacing w:before="65" w:line="230" w:lineRule="auto"/>
        <w:jc w:val="center"/>
        <w:rPr>
          <w:rFonts w:hint="eastAsia" w:ascii="黑体" w:hAnsi="黑体" w:eastAsia="黑体" w:cs="黑体"/>
          <w:spacing w:val="6"/>
        </w:rPr>
      </w:pPr>
      <w:r>
        <w:rPr>
          <w:rFonts w:hint="eastAsia" w:ascii="黑体" w:hAnsi="黑体" w:eastAsia="黑体" w:cs="黑体"/>
          <w:spacing w:val="6"/>
        </w:rPr>
        <w:t>图</w:t>
      </w:r>
      <w:r>
        <w:rPr>
          <w:rFonts w:hint="eastAsia" w:ascii="黑体" w:hAnsi="黑体" w:eastAsia="黑体" w:cs="黑体"/>
          <w:spacing w:val="6"/>
          <w:lang w:val="en-US" w:eastAsia="zh-CN"/>
        </w:rPr>
        <w:t>2</w:t>
      </w:r>
      <w:r>
        <w:rPr>
          <w:rStyle w:val="249"/>
          <w:rFonts w:hint="eastAsia"/>
          <w:lang w:val="en-US" w:eastAsia="zh-CN"/>
        </w:rPr>
        <w:t xml:space="preserve">  端头构件尺寸</w:t>
      </w:r>
    </w:p>
    <w:p w14:paraId="52ACED71">
      <w:pPr>
        <w:pStyle w:val="115"/>
        <w:spacing w:before="156" w:after="156"/>
      </w:pPr>
      <w:r>
        <w:rPr>
          <w:rFonts w:hint="eastAsia"/>
        </w:rPr>
        <w:t>端头公称尺寸及允许偏差</w:t>
      </w:r>
    </w:p>
    <w:p w14:paraId="4F1DFB4A">
      <w:pPr>
        <w:spacing w:before="232" w:line="221" w:lineRule="auto"/>
        <w:ind w:left="8225"/>
      </w:pPr>
      <w:r>
        <w:rPr>
          <w:rFonts w:hint="eastAsia" w:ascii="宋体" w:hAnsi="宋体" w:cs="宋体"/>
          <w:spacing w:val="-2"/>
          <w:sz w:val="18"/>
          <w:szCs w:val="18"/>
        </w:rPr>
        <w:t>单位为：mm</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7736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4C3E2DA8">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086A75D4">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353B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319A7EE">
            <w:pPr>
              <w:spacing w:line="240" w:lineRule="auto"/>
              <w:jc w:val="center"/>
              <w:rPr>
                <w:rFonts w:hint="eastAsia" w:ascii="宋体" w:hAnsi="宋体" w:cstheme="minorEastAsia"/>
                <w:sz w:val="18"/>
                <w:szCs w:val="18"/>
              </w:rPr>
            </w:pPr>
            <w:r>
              <w:rPr>
                <w:rFonts w:hint="eastAsia" w:ascii="宋体" w:hAnsi="宋体" w:cstheme="minorEastAsia"/>
                <w:sz w:val="18"/>
                <w:szCs w:val="18"/>
              </w:rPr>
              <w:t>D（端头材料宽）</w:t>
            </w:r>
          </w:p>
        </w:tc>
        <w:tc>
          <w:tcPr>
            <w:tcW w:w="4764" w:type="dxa"/>
            <w:shd w:val="clear" w:color="auto" w:fill="auto"/>
            <w:vAlign w:val="center"/>
          </w:tcPr>
          <w:p w14:paraId="5A4C1E84">
            <w:pPr>
              <w:spacing w:line="240" w:lineRule="auto"/>
              <w:jc w:val="center"/>
              <w:rPr>
                <w:rFonts w:hint="eastAsia" w:ascii="宋体" w:hAnsi="宋体" w:cstheme="minorEastAsia"/>
                <w:sz w:val="18"/>
                <w:szCs w:val="18"/>
              </w:rPr>
            </w:pPr>
            <w:r>
              <w:rPr>
                <w:rFonts w:hint="eastAsia" w:ascii="宋体" w:hAnsi="宋体" w:cstheme="minorEastAsia"/>
                <w:sz w:val="18"/>
                <w:szCs w:val="18"/>
              </w:rPr>
              <w:t>125（±2）</w:t>
            </w:r>
          </w:p>
        </w:tc>
      </w:tr>
      <w:tr w14:paraId="7AF2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4867E1D2">
            <w:pPr>
              <w:spacing w:line="240" w:lineRule="auto"/>
              <w:jc w:val="center"/>
              <w:rPr>
                <w:rFonts w:hint="eastAsia" w:ascii="宋体" w:hAnsi="宋体" w:cstheme="minorEastAsia"/>
                <w:sz w:val="18"/>
                <w:szCs w:val="18"/>
              </w:rPr>
            </w:pPr>
            <w:r>
              <w:rPr>
                <w:rFonts w:hint="eastAsia" w:ascii="宋体" w:hAnsi="宋体" w:cstheme="minorEastAsia"/>
                <w:sz w:val="18"/>
                <w:szCs w:val="18"/>
              </w:rPr>
              <w:t>L（端头材料一边长）</w:t>
            </w:r>
          </w:p>
        </w:tc>
        <w:tc>
          <w:tcPr>
            <w:tcW w:w="4764" w:type="dxa"/>
            <w:shd w:val="clear" w:color="auto" w:fill="auto"/>
            <w:vAlign w:val="center"/>
          </w:tcPr>
          <w:p w14:paraId="544F22AF">
            <w:pPr>
              <w:spacing w:line="240" w:lineRule="auto"/>
              <w:jc w:val="center"/>
              <w:rPr>
                <w:rFonts w:hint="eastAsia" w:ascii="宋体" w:hAnsi="宋体" w:cstheme="minorEastAsia"/>
                <w:sz w:val="18"/>
                <w:szCs w:val="18"/>
              </w:rPr>
            </w:pPr>
            <w:r>
              <w:rPr>
                <w:rFonts w:hint="eastAsia" w:ascii="宋体" w:hAnsi="宋体" w:cstheme="minorEastAsia"/>
                <w:sz w:val="18"/>
                <w:szCs w:val="18"/>
              </w:rPr>
              <w:t>400（±5）</w:t>
            </w:r>
          </w:p>
        </w:tc>
      </w:tr>
      <w:tr w14:paraId="12974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427BC03F">
            <w:pPr>
              <w:spacing w:line="240" w:lineRule="auto"/>
              <w:jc w:val="center"/>
              <w:rPr>
                <w:rFonts w:hint="eastAsia" w:ascii="宋体" w:hAnsi="宋体" w:cstheme="minorEastAsia"/>
                <w:sz w:val="18"/>
                <w:szCs w:val="18"/>
              </w:rPr>
            </w:pPr>
            <w:r>
              <w:rPr>
                <w:rFonts w:hint="eastAsia" w:ascii="宋体" w:hAnsi="宋体" w:cstheme="minorEastAsia"/>
                <w:sz w:val="18"/>
                <w:szCs w:val="18"/>
              </w:rPr>
              <w:t>B（端头整体宽）</w:t>
            </w:r>
          </w:p>
        </w:tc>
        <w:tc>
          <w:tcPr>
            <w:tcW w:w="4764" w:type="dxa"/>
            <w:shd w:val="clear" w:color="auto" w:fill="auto"/>
            <w:vAlign w:val="center"/>
          </w:tcPr>
          <w:p w14:paraId="208B1452">
            <w:pPr>
              <w:spacing w:line="240" w:lineRule="auto"/>
              <w:jc w:val="center"/>
              <w:rPr>
                <w:rFonts w:hint="eastAsia" w:ascii="宋体" w:hAnsi="宋体" w:cstheme="minorEastAsia"/>
                <w:sz w:val="18"/>
                <w:szCs w:val="18"/>
              </w:rPr>
            </w:pPr>
            <w:r>
              <w:rPr>
                <w:rFonts w:hint="eastAsia" w:ascii="宋体" w:hAnsi="宋体" w:cstheme="minorEastAsia"/>
                <w:sz w:val="18"/>
                <w:szCs w:val="18"/>
              </w:rPr>
              <w:t>330（±5）</w:t>
            </w:r>
          </w:p>
        </w:tc>
      </w:tr>
      <w:tr w14:paraId="17D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4FE63CEB">
            <w:pPr>
              <w:spacing w:line="240" w:lineRule="auto"/>
              <w:jc w:val="center"/>
              <w:rPr>
                <w:rFonts w:hint="eastAsia" w:ascii="宋体" w:hAnsi="宋体" w:cstheme="minorEastAsia"/>
                <w:sz w:val="18"/>
                <w:szCs w:val="18"/>
              </w:rPr>
            </w:pPr>
            <w:r>
              <w:rPr>
                <w:rFonts w:hint="eastAsia" w:ascii="宋体" w:hAnsi="宋体" w:cstheme="minorEastAsia"/>
                <w:sz w:val="18"/>
                <w:szCs w:val="18"/>
              </w:rPr>
              <w:t>E（端头连接横梁宽）</w:t>
            </w:r>
          </w:p>
        </w:tc>
        <w:tc>
          <w:tcPr>
            <w:tcW w:w="4764" w:type="dxa"/>
            <w:shd w:val="clear" w:color="auto" w:fill="auto"/>
            <w:vAlign w:val="center"/>
          </w:tcPr>
          <w:p w14:paraId="4EBBDB30">
            <w:pPr>
              <w:spacing w:line="240" w:lineRule="auto"/>
              <w:jc w:val="center"/>
              <w:rPr>
                <w:rFonts w:hint="eastAsia" w:ascii="宋体" w:hAnsi="宋体" w:cstheme="minorEastAsia"/>
                <w:sz w:val="18"/>
                <w:szCs w:val="18"/>
              </w:rPr>
            </w:pPr>
            <w:r>
              <w:rPr>
                <w:rFonts w:hint="eastAsia" w:ascii="宋体" w:hAnsi="宋体" w:cstheme="minorEastAsia"/>
                <w:sz w:val="18"/>
                <w:szCs w:val="18"/>
              </w:rPr>
              <w:t>95（±2）</w:t>
            </w:r>
          </w:p>
        </w:tc>
      </w:tr>
      <w:tr w14:paraId="1C7D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5182EF39">
            <w:pPr>
              <w:spacing w:line="240" w:lineRule="auto"/>
              <w:jc w:val="center"/>
              <w:rPr>
                <w:rFonts w:hint="eastAsia" w:ascii="宋体" w:hAnsi="宋体" w:cstheme="minorEastAsia"/>
                <w:sz w:val="18"/>
                <w:szCs w:val="18"/>
              </w:rPr>
            </w:pPr>
            <w:r>
              <w:rPr>
                <w:rFonts w:hint="eastAsia" w:ascii="宋体" w:hAnsi="宋体" w:cstheme="minorEastAsia"/>
                <w:sz w:val="18"/>
                <w:szCs w:val="18"/>
              </w:rPr>
              <w:t>X（端头连接横梁整体长）</w:t>
            </w:r>
          </w:p>
        </w:tc>
        <w:tc>
          <w:tcPr>
            <w:tcW w:w="4764" w:type="dxa"/>
            <w:shd w:val="clear" w:color="auto" w:fill="auto"/>
            <w:vAlign w:val="center"/>
          </w:tcPr>
          <w:p w14:paraId="2720482F">
            <w:pPr>
              <w:spacing w:line="240" w:lineRule="auto"/>
              <w:jc w:val="center"/>
              <w:rPr>
                <w:rFonts w:hint="eastAsia" w:ascii="宋体" w:hAnsi="宋体" w:cstheme="minorEastAsia"/>
                <w:sz w:val="18"/>
                <w:szCs w:val="18"/>
              </w:rPr>
            </w:pPr>
            <w:r>
              <w:rPr>
                <w:rFonts w:hint="eastAsia" w:ascii="宋体" w:hAnsi="宋体" w:cstheme="minorEastAsia"/>
                <w:sz w:val="18"/>
                <w:szCs w:val="18"/>
              </w:rPr>
              <w:t>200（±2）</w:t>
            </w:r>
          </w:p>
        </w:tc>
      </w:tr>
      <w:tr w14:paraId="1EF5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25A65986">
            <w:pPr>
              <w:spacing w:line="240" w:lineRule="auto"/>
              <w:jc w:val="center"/>
              <w:rPr>
                <w:rFonts w:hint="eastAsia" w:ascii="宋体" w:hAnsi="宋体" w:cstheme="minorEastAsia"/>
                <w:sz w:val="18"/>
                <w:szCs w:val="18"/>
              </w:rPr>
            </w:pPr>
            <w:r>
              <w:rPr>
                <w:rFonts w:hint="eastAsia" w:ascii="宋体" w:hAnsi="宋体" w:cstheme="minorEastAsia"/>
                <w:sz w:val="18"/>
                <w:szCs w:val="18"/>
              </w:rPr>
              <w:t>Z（端头连接横梁第一颗螺栓孔）</w:t>
            </w:r>
          </w:p>
        </w:tc>
        <w:tc>
          <w:tcPr>
            <w:tcW w:w="4764" w:type="dxa"/>
            <w:shd w:val="clear" w:color="auto" w:fill="auto"/>
            <w:vAlign w:val="center"/>
          </w:tcPr>
          <w:p w14:paraId="79C53E58">
            <w:pPr>
              <w:spacing w:line="240" w:lineRule="auto"/>
              <w:jc w:val="center"/>
              <w:rPr>
                <w:rFonts w:hint="eastAsia" w:ascii="宋体" w:hAnsi="宋体" w:cstheme="minorEastAsia"/>
                <w:sz w:val="18"/>
                <w:szCs w:val="18"/>
              </w:rPr>
            </w:pPr>
            <w:r>
              <w:rPr>
                <w:rFonts w:hint="eastAsia" w:ascii="宋体" w:hAnsi="宋体" w:cstheme="minorEastAsia"/>
                <w:sz w:val="18"/>
                <w:szCs w:val="18"/>
              </w:rPr>
              <w:t>100（±1）</w:t>
            </w:r>
          </w:p>
        </w:tc>
      </w:tr>
      <w:tr w14:paraId="3897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54D036EB">
            <w:pPr>
              <w:spacing w:line="240" w:lineRule="auto"/>
              <w:jc w:val="center"/>
              <w:rPr>
                <w:rFonts w:hint="eastAsia" w:ascii="宋体" w:hAnsi="宋体" w:cstheme="minorEastAsia"/>
                <w:sz w:val="18"/>
                <w:szCs w:val="18"/>
              </w:rPr>
            </w:pPr>
            <w:r>
              <w:rPr>
                <w:rFonts w:hint="eastAsia" w:ascii="宋体" w:hAnsi="宋体" w:cstheme="minorEastAsia"/>
                <w:sz w:val="18"/>
                <w:szCs w:val="18"/>
              </w:rPr>
              <w:t>Y（第一螺栓孔到第二孔间距）</w:t>
            </w:r>
          </w:p>
        </w:tc>
        <w:tc>
          <w:tcPr>
            <w:tcW w:w="4764" w:type="dxa"/>
            <w:shd w:val="clear" w:color="auto" w:fill="auto"/>
            <w:vAlign w:val="center"/>
          </w:tcPr>
          <w:p w14:paraId="52D7B714">
            <w:pPr>
              <w:spacing w:line="240" w:lineRule="auto"/>
              <w:jc w:val="center"/>
              <w:rPr>
                <w:rFonts w:hint="eastAsia" w:ascii="宋体" w:hAnsi="宋体" w:cstheme="minorEastAsia"/>
                <w:sz w:val="18"/>
                <w:szCs w:val="18"/>
              </w:rPr>
            </w:pPr>
            <w:r>
              <w:rPr>
                <w:rFonts w:hint="eastAsia" w:ascii="宋体" w:hAnsi="宋体" w:cstheme="minorEastAsia"/>
                <w:sz w:val="18"/>
                <w:szCs w:val="18"/>
              </w:rPr>
              <w:t>50（±1）</w:t>
            </w:r>
          </w:p>
        </w:tc>
      </w:tr>
    </w:tbl>
    <w:p w14:paraId="7DA48FAA">
      <w:pPr>
        <w:pStyle w:val="168"/>
        <w:rPr>
          <w:rFonts w:hint="eastAsia" w:ascii="黑体" w:hAnsi="黑体" w:eastAsia="黑体"/>
        </w:rPr>
      </w:pPr>
      <w:bookmarkStart w:id="64" w:name="_Toc101862613"/>
      <w:r>
        <w:rPr>
          <w:rFonts w:hint="eastAsia" w:ascii="黑体" w:hAnsi="黑体" w:eastAsia="黑体"/>
          <w:lang w:val="en-US" w:eastAsia="zh-CN"/>
        </w:rPr>
        <w:t>过渡段</w:t>
      </w:r>
    </w:p>
    <w:p w14:paraId="2360E3EC">
      <w:pPr>
        <w:pStyle w:val="167"/>
        <w:rPr>
          <w:rFonts w:hint="eastAsia"/>
        </w:rPr>
      </w:pPr>
      <w:r>
        <w:rPr>
          <w:rFonts w:hint="eastAsia"/>
        </w:rPr>
        <w:t>设置于隧道进口的公路旋转式护栏，搭接过渡设计应符合JTG/T D81 相关的规定。</w:t>
      </w:r>
    </w:p>
    <w:p w14:paraId="26F653FD">
      <w:pPr>
        <w:pStyle w:val="167"/>
      </w:pPr>
      <w:r>
        <w:rPr>
          <w:rFonts w:hint="eastAsia"/>
        </w:rPr>
        <w:t>与其他形式护栏连接时，搭接过渡图见附录D。</w:t>
      </w:r>
    </w:p>
    <w:p w14:paraId="77ABBCFA">
      <w:pPr>
        <w:pStyle w:val="107"/>
        <w:spacing w:before="312" w:after="312"/>
      </w:pPr>
      <w:bookmarkStart w:id="65" w:name="_Toc10001"/>
      <w:r>
        <w:rPr>
          <w:rFonts w:hint="eastAsia"/>
        </w:rPr>
        <w:t>材料要求</w:t>
      </w:r>
      <w:bookmarkEnd w:id="19"/>
      <w:bookmarkEnd w:id="64"/>
      <w:bookmarkEnd w:id="65"/>
    </w:p>
    <w:p w14:paraId="127DBE4E">
      <w:pPr>
        <w:pStyle w:val="108"/>
        <w:spacing w:before="156" w:after="156"/>
      </w:pPr>
      <w:bookmarkStart w:id="66" w:name="_Toc23431"/>
      <w:r>
        <w:rPr>
          <w:rFonts w:hint="eastAsia"/>
        </w:rPr>
        <w:t>旋转筒</w:t>
      </w:r>
      <w:bookmarkEnd w:id="66"/>
    </w:p>
    <w:p w14:paraId="7CFA76FF">
      <w:pPr>
        <w:pStyle w:val="59"/>
      </w:pPr>
      <w:r>
        <w:rPr>
          <w:rFonts w:hint="eastAsia"/>
        </w:rPr>
        <w:t>旋转筒的材料为EVA和聚乙烯共混物，其</w:t>
      </w:r>
      <w:r>
        <w:rPr>
          <w:rFonts w:hint="eastAsia"/>
          <w:lang w:eastAsia="zh-CN"/>
        </w:rPr>
        <w:t>物理</w:t>
      </w:r>
      <w:r>
        <w:rPr>
          <w:rFonts w:hint="eastAsia"/>
        </w:rPr>
        <w:t>性能应符合表6的规定，耐候性能应符合GB/T 22040 的规定。</w:t>
      </w:r>
    </w:p>
    <w:p w14:paraId="2FB40B79">
      <w:pPr>
        <w:pStyle w:val="115"/>
        <w:spacing w:before="156" w:after="156"/>
      </w:pPr>
      <w:r>
        <w:rPr>
          <w:rFonts w:hint="eastAsia"/>
        </w:rPr>
        <w:t>旋转筒的</w:t>
      </w:r>
      <w:r>
        <w:rPr>
          <w:rFonts w:hint="eastAsia"/>
          <w:lang w:eastAsia="zh-CN"/>
        </w:rPr>
        <w:t>物理</w:t>
      </w:r>
      <w:r>
        <w:rPr>
          <w:rFonts w:hint="eastAsia"/>
        </w:rPr>
        <w:t>性能</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76784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2928FE18">
            <w:pPr>
              <w:spacing w:line="240" w:lineRule="auto"/>
              <w:jc w:val="center"/>
              <w:rPr>
                <w:rFonts w:hint="eastAsia" w:ascii="宋体" w:hAnsi="宋体" w:cstheme="minorEastAsia"/>
                <w:sz w:val="18"/>
                <w:szCs w:val="18"/>
              </w:rPr>
            </w:pPr>
            <w:r>
              <w:rPr>
                <w:rFonts w:hint="eastAsia" w:ascii="宋体" w:hAnsi="宋体" w:cstheme="minorEastAsia"/>
                <w:sz w:val="18"/>
                <w:szCs w:val="18"/>
              </w:rPr>
              <w:t>项目</w:t>
            </w:r>
          </w:p>
        </w:tc>
        <w:tc>
          <w:tcPr>
            <w:tcW w:w="4764" w:type="dxa"/>
            <w:shd w:val="clear" w:color="auto" w:fill="auto"/>
            <w:vAlign w:val="center"/>
          </w:tcPr>
          <w:p w14:paraId="24A8B018">
            <w:pPr>
              <w:spacing w:line="240" w:lineRule="auto"/>
              <w:jc w:val="center"/>
              <w:rPr>
                <w:rFonts w:hint="eastAsia" w:ascii="宋体" w:hAnsi="宋体" w:cstheme="minorEastAsia"/>
                <w:sz w:val="18"/>
                <w:szCs w:val="18"/>
              </w:rPr>
            </w:pPr>
            <w:r>
              <w:rPr>
                <w:rFonts w:hint="eastAsia" w:ascii="宋体" w:hAnsi="宋体" w:cstheme="minorEastAsia"/>
                <w:sz w:val="18"/>
                <w:szCs w:val="18"/>
              </w:rPr>
              <w:t>技术要求</w:t>
            </w:r>
          </w:p>
        </w:tc>
      </w:tr>
      <w:tr w14:paraId="44B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7F2B4A81">
            <w:pPr>
              <w:spacing w:line="240" w:lineRule="auto"/>
              <w:jc w:val="center"/>
              <w:rPr>
                <w:rFonts w:hint="eastAsia" w:ascii="宋体" w:hAnsi="宋体" w:cstheme="minorEastAsia"/>
                <w:sz w:val="18"/>
                <w:szCs w:val="18"/>
              </w:rPr>
            </w:pPr>
            <w:r>
              <w:rPr>
                <w:rFonts w:hint="eastAsia" w:ascii="宋体" w:hAnsi="宋体" w:cstheme="minorEastAsia"/>
                <w:sz w:val="18"/>
                <w:szCs w:val="18"/>
              </w:rPr>
              <w:t xml:space="preserve">表观密度 </w:t>
            </w:r>
          </w:p>
        </w:tc>
        <w:tc>
          <w:tcPr>
            <w:tcW w:w="4764" w:type="dxa"/>
            <w:shd w:val="clear" w:color="auto" w:fill="auto"/>
            <w:vAlign w:val="center"/>
          </w:tcPr>
          <w:p w14:paraId="3AD6277B">
            <w:pPr>
              <w:spacing w:line="240" w:lineRule="auto"/>
              <w:jc w:val="center"/>
              <w:rPr>
                <w:rFonts w:hint="eastAsia" w:ascii="宋体" w:hAnsi="宋体" w:cstheme="minorEastAsia"/>
                <w:sz w:val="18"/>
                <w:szCs w:val="18"/>
              </w:rPr>
            </w:pPr>
            <w:r>
              <w:rPr>
                <w:rFonts w:hint="eastAsia" w:ascii="宋体" w:hAnsi="宋体" w:cstheme="minorEastAsia"/>
                <w:sz w:val="18"/>
                <w:szCs w:val="18"/>
              </w:rPr>
              <w:t>≥110kg/m</w:t>
            </w:r>
            <w:r>
              <w:rPr>
                <w:rFonts w:hint="eastAsia" w:ascii="宋体" w:hAnsi="宋体" w:cstheme="minorEastAsia"/>
                <w:sz w:val="18"/>
                <w:szCs w:val="18"/>
                <w:vertAlign w:val="superscript"/>
              </w:rPr>
              <w:t>3</w:t>
            </w:r>
          </w:p>
        </w:tc>
      </w:tr>
      <w:tr w14:paraId="7C9C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0292CD7">
            <w:pPr>
              <w:spacing w:line="240" w:lineRule="auto"/>
              <w:jc w:val="center"/>
              <w:rPr>
                <w:rFonts w:hint="eastAsia" w:ascii="宋体" w:hAnsi="宋体" w:cstheme="minorEastAsia"/>
                <w:sz w:val="18"/>
                <w:szCs w:val="18"/>
              </w:rPr>
            </w:pPr>
            <w:r>
              <w:rPr>
                <w:rFonts w:hint="eastAsia" w:ascii="宋体" w:hAnsi="宋体" w:cstheme="minorEastAsia"/>
                <w:sz w:val="18"/>
                <w:szCs w:val="18"/>
              </w:rPr>
              <w:t>拉伸强度</w:t>
            </w:r>
          </w:p>
        </w:tc>
        <w:tc>
          <w:tcPr>
            <w:tcW w:w="4764" w:type="dxa"/>
            <w:shd w:val="clear" w:color="auto" w:fill="auto"/>
            <w:vAlign w:val="center"/>
          </w:tcPr>
          <w:p w14:paraId="46A9D6A6">
            <w:pPr>
              <w:spacing w:line="240" w:lineRule="auto"/>
              <w:jc w:val="center"/>
              <w:rPr>
                <w:rFonts w:hint="eastAsia" w:ascii="宋体" w:hAnsi="宋体" w:cstheme="minorEastAsia"/>
                <w:sz w:val="18"/>
                <w:szCs w:val="18"/>
              </w:rPr>
            </w:pPr>
            <w:r>
              <w:rPr>
                <w:rFonts w:hint="eastAsia" w:ascii="宋体" w:hAnsi="宋体" w:cstheme="minorEastAsia"/>
                <w:sz w:val="18"/>
                <w:szCs w:val="18"/>
              </w:rPr>
              <w:t>≥1.0MPa</w:t>
            </w:r>
          </w:p>
        </w:tc>
      </w:tr>
      <w:tr w14:paraId="3D2B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835F4F6">
            <w:pPr>
              <w:spacing w:line="240" w:lineRule="auto"/>
              <w:jc w:val="center"/>
              <w:rPr>
                <w:rFonts w:hint="eastAsia" w:ascii="宋体" w:hAnsi="宋体" w:cstheme="minorEastAsia"/>
                <w:sz w:val="18"/>
                <w:szCs w:val="18"/>
              </w:rPr>
            </w:pPr>
            <w:r>
              <w:rPr>
                <w:rFonts w:hint="eastAsia" w:ascii="宋体" w:hAnsi="宋体" w:cstheme="minorEastAsia"/>
                <w:sz w:val="18"/>
                <w:szCs w:val="18"/>
              </w:rPr>
              <w:t>断裂伸长率</w:t>
            </w:r>
          </w:p>
        </w:tc>
        <w:tc>
          <w:tcPr>
            <w:tcW w:w="4764" w:type="dxa"/>
            <w:shd w:val="clear" w:color="auto" w:fill="auto"/>
            <w:vAlign w:val="center"/>
          </w:tcPr>
          <w:p w14:paraId="690342ED">
            <w:pPr>
              <w:spacing w:line="240" w:lineRule="auto"/>
              <w:jc w:val="center"/>
              <w:rPr>
                <w:rFonts w:hint="eastAsia" w:ascii="宋体" w:hAnsi="宋体" w:cstheme="minorEastAsia"/>
                <w:sz w:val="18"/>
                <w:szCs w:val="18"/>
              </w:rPr>
            </w:pPr>
            <w:r>
              <w:rPr>
                <w:rFonts w:hint="eastAsia" w:ascii="宋体" w:hAnsi="宋体" w:cstheme="minorEastAsia"/>
                <w:sz w:val="18"/>
                <w:szCs w:val="18"/>
              </w:rPr>
              <w:t>≥240%</w:t>
            </w:r>
          </w:p>
        </w:tc>
      </w:tr>
    </w:tbl>
    <w:p w14:paraId="483A45E9">
      <w:pPr>
        <w:pStyle w:val="108"/>
        <w:spacing w:before="156" w:after="156"/>
      </w:pPr>
      <w:bookmarkStart w:id="67" w:name="_Toc26563"/>
      <w:r>
        <w:rPr>
          <w:rFonts w:hint="eastAsia"/>
        </w:rPr>
        <w:t>套管</w:t>
      </w:r>
      <w:bookmarkEnd w:id="67"/>
    </w:p>
    <w:p w14:paraId="7E98E9EF">
      <w:pPr>
        <w:pStyle w:val="59"/>
      </w:pPr>
      <w:r>
        <w:rPr>
          <w:rFonts w:hint="eastAsia"/>
        </w:rPr>
        <w:t>套管的材料为PVC，在进行扁平试验时，垂直方向加压至外径变形量为原外径的40%时，立即卸荷，试样不破裂，不分层；在进行落锤冲击试验时，温度0℃,高度1m的条件下，用1kg重锤冲击10次，应9次以上无开裂现象。</w:t>
      </w:r>
    </w:p>
    <w:p w14:paraId="4B53846A">
      <w:pPr>
        <w:pStyle w:val="108"/>
        <w:spacing w:before="156" w:after="156"/>
      </w:pPr>
      <w:r>
        <w:rPr>
          <w:rFonts w:hint="eastAsia"/>
          <w:lang w:eastAsia="zh-CN"/>
        </w:rPr>
        <w:t>反光圈</w:t>
      </w:r>
    </w:p>
    <w:p w14:paraId="5E0BA375">
      <w:pPr>
        <w:pStyle w:val="59"/>
      </w:pPr>
      <w:r>
        <w:rPr>
          <w:rFonts w:hint="eastAsia"/>
          <w:lang w:eastAsia="zh-CN"/>
        </w:rPr>
        <w:t>反光圈</w:t>
      </w:r>
      <w:r>
        <w:rPr>
          <w:rFonts w:hint="eastAsia"/>
        </w:rPr>
        <w:t>应使用三级以上反光膜，其他性能应符合GB/T 18833的要求。</w:t>
      </w:r>
    </w:p>
    <w:p w14:paraId="7F8AAE3F">
      <w:pPr>
        <w:pStyle w:val="108"/>
        <w:spacing w:before="156" w:after="156"/>
      </w:pPr>
      <w:bookmarkStart w:id="68" w:name="_Toc16385"/>
      <w:r>
        <w:rPr>
          <w:rFonts w:hint="eastAsia"/>
        </w:rPr>
        <w:t>其他构件</w:t>
      </w:r>
      <w:bookmarkEnd w:id="68"/>
    </w:p>
    <w:p w14:paraId="064B9290">
      <w:pPr>
        <w:pStyle w:val="59"/>
      </w:pPr>
      <w:r>
        <w:rPr>
          <w:rFonts w:hint="eastAsia"/>
        </w:rPr>
        <w:t>立柱、横梁、回旋圈、端头、柱帽、螺栓、螺母等所用基底金属材质为碳素结构钢，其力学性能指标不低于GB/T 700规定的Q235号钢的要求。</w:t>
      </w:r>
    </w:p>
    <w:p w14:paraId="1C42528A">
      <w:pPr>
        <w:pStyle w:val="108"/>
        <w:spacing w:before="156" w:after="156"/>
      </w:pPr>
      <w:bookmarkStart w:id="69" w:name="_Toc19556"/>
      <w:r>
        <w:rPr>
          <w:rFonts w:hint="eastAsia"/>
        </w:rPr>
        <w:t>防腐要求</w:t>
      </w:r>
      <w:bookmarkEnd w:id="69"/>
    </w:p>
    <w:p w14:paraId="376542C3">
      <w:pPr>
        <w:pStyle w:val="59"/>
      </w:pPr>
      <w:r>
        <w:rPr>
          <w:rFonts w:hint="eastAsia"/>
        </w:rPr>
        <w:t>旋转式防撞护栏的所有金属构件应进行金属防腐处理，一般采用热浸锌或热渗锌方法,其防腐层要求应满足GB/T 18226的相关规定。防腐处理的入场检验项目包括:材料、涂层附着量与厚度、外观质量和均匀性，检验方法按GB/T 18226。</w:t>
      </w:r>
    </w:p>
    <w:p w14:paraId="42BF0962">
      <w:pPr>
        <w:pStyle w:val="107"/>
        <w:spacing w:before="312" w:after="312"/>
      </w:pPr>
      <w:bookmarkStart w:id="70" w:name="_Toc20067"/>
      <w:r>
        <w:rPr>
          <w:rFonts w:hint="eastAsia"/>
        </w:rPr>
        <w:t>施工</w:t>
      </w:r>
      <w:bookmarkEnd w:id="70"/>
    </w:p>
    <w:p w14:paraId="35D7C693">
      <w:pPr>
        <w:pStyle w:val="165"/>
        <w:rPr>
          <w:highlight w:val="none"/>
        </w:rPr>
      </w:pPr>
      <w:r>
        <w:rPr>
          <w:rFonts w:hint="eastAsia"/>
          <w:highlight w:val="none"/>
        </w:rPr>
        <w:t>旋转式护栏的</w:t>
      </w:r>
      <w:r>
        <w:rPr>
          <w:rFonts w:hint="eastAsia"/>
          <w:highlight w:val="none"/>
          <w:lang w:val="en-US" w:eastAsia="zh-CN"/>
        </w:rPr>
        <w:t>施工工艺见图3</w:t>
      </w:r>
      <w:r>
        <w:rPr>
          <w:rFonts w:hint="eastAsia"/>
          <w:highlight w:val="none"/>
        </w:rPr>
        <w:t>：</w:t>
      </w:r>
    </w:p>
    <w:p w14:paraId="5710B45C">
      <w:pPr>
        <w:pStyle w:val="165"/>
        <w:numPr>
          <w:ilvl w:val="2"/>
          <w:numId w:val="0"/>
        </w:numPr>
        <w:ind w:leftChars="0"/>
        <w:jc w:val="center"/>
        <w:rPr>
          <w:highlight w:val="none"/>
        </w:rPr>
      </w:pPr>
      <w:r>
        <w:rPr>
          <w:rFonts w:hint="eastAsia" w:eastAsia="宋体"/>
          <w:highlight w:val="none"/>
          <w:lang w:eastAsia="zh-CN"/>
        </w:rPr>
        <w:drawing>
          <wp:inline distT="0" distB="0" distL="114300" distR="114300">
            <wp:extent cx="3686175" cy="3300730"/>
            <wp:effectExtent l="0" t="0" r="9525" b="13970"/>
            <wp:docPr id="38" name="图片 38" descr="2fe373b1-bb02-418a-a5bf-518f12df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2fe373b1-bb02-418a-a5bf-518f12df1153"/>
                    <pic:cNvPicPr>
                      <a:picLocks noChangeAspect="1"/>
                    </pic:cNvPicPr>
                  </pic:nvPicPr>
                  <pic:blipFill>
                    <a:blip r:embed="rId23"/>
                    <a:stretch>
                      <a:fillRect/>
                    </a:stretch>
                  </pic:blipFill>
                  <pic:spPr>
                    <a:xfrm>
                      <a:off x="0" y="0"/>
                      <a:ext cx="3686175" cy="3300730"/>
                    </a:xfrm>
                    <a:prstGeom prst="rect">
                      <a:avLst/>
                    </a:prstGeom>
                  </pic:spPr>
                </pic:pic>
              </a:graphicData>
            </a:graphic>
          </wp:inline>
        </w:drawing>
      </w:r>
    </w:p>
    <w:p w14:paraId="4C3EA33C">
      <w:pPr>
        <w:pStyle w:val="14"/>
        <w:spacing w:before="65" w:line="230" w:lineRule="auto"/>
        <w:ind w:left="3208"/>
      </w:pPr>
      <w:r>
        <w:rPr>
          <w:rStyle w:val="249"/>
          <w:rFonts w:hint="eastAsia"/>
          <w:lang w:val="en-US" w:eastAsia="zh-CN"/>
        </w:rPr>
        <w:t>图3旋转式护栏的安装工艺流程图</w:t>
      </w:r>
    </w:p>
    <w:p w14:paraId="31E9C44E">
      <w:pPr>
        <w:pStyle w:val="165"/>
      </w:pPr>
      <w:r>
        <w:rPr>
          <w:rFonts w:hint="eastAsia"/>
        </w:rPr>
        <w:t>应根据设计文件进行立柱放样，并以桥梁、通道、涵洞、隧道、中央分隔带开口、紧急电话开口、 互通式立体交叉、护栏过渡等控制立柱的位置，进行测距定位。</w:t>
      </w:r>
    </w:p>
    <w:p w14:paraId="701CA213">
      <w:pPr>
        <w:pStyle w:val="165"/>
      </w:pPr>
      <w:r>
        <w:rPr>
          <w:rFonts w:hint="eastAsia"/>
        </w:rPr>
        <w:t>立柱放样时可利用调节板调节间距，并利用分配方法处理间距尾数。</w:t>
      </w:r>
    </w:p>
    <w:p w14:paraId="1582A685">
      <w:pPr>
        <w:pStyle w:val="165"/>
      </w:pPr>
      <w:r>
        <w:rPr>
          <w:rFonts w:hint="eastAsia"/>
        </w:rPr>
        <w:t>立柱安装应与设计文件相符，并与公路线形相协调。</w:t>
      </w:r>
    </w:p>
    <w:p w14:paraId="503AFA48">
      <w:pPr>
        <w:pStyle w:val="165"/>
      </w:pPr>
      <w:r>
        <w:rPr>
          <w:rFonts w:hint="eastAsia"/>
        </w:rPr>
        <w:t>立柱标高应符合设计要求，并不得损坏立柱端部。位于土基中的立柱，可采用以下方法施工：</w:t>
      </w:r>
    </w:p>
    <w:p w14:paraId="01A07E51">
      <w:pPr>
        <w:pStyle w:val="112"/>
        <w:spacing w:after="160"/>
        <w:ind w:left="1151" w:hanging="442"/>
      </w:pPr>
      <w:r>
        <w:rPr>
          <w:rFonts w:hint="eastAsia"/>
        </w:rPr>
        <w:t>采用打入法打入过深时，不得将立柱部分拔出加以矫正，应将其全部拔出，将基础压实后再重新打入。立柱无法打入到要求深度时，应使用钻孔法、挖埋法等方法；</w:t>
      </w:r>
    </w:p>
    <w:p w14:paraId="051A9AF5">
      <w:pPr>
        <w:pStyle w:val="112"/>
        <w:spacing w:after="160"/>
        <w:ind w:left="1151" w:hanging="442"/>
      </w:pPr>
      <w:r>
        <w:rPr>
          <w:rFonts w:hint="eastAsia"/>
        </w:rPr>
        <w:t>采用挖埋法施工时，回填土应采用良好的材料并分层夯实，回填土的压实度不应小于设计规定 值。填石路基中的柱坑，应用粒料回填并夯实；</w:t>
      </w:r>
    </w:p>
    <w:p w14:paraId="68B75EF4">
      <w:pPr>
        <w:pStyle w:val="112"/>
        <w:spacing w:after="160"/>
        <w:ind w:left="1151" w:hanging="442"/>
      </w:pPr>
      <w:r>
        <w:rPr>
          <w:rFonts w:hint="eastAsia"/>
        </w:rPr>
        <w:t>采用钻孔法施工时，立柱定位后应用与路基相同的材料回填，并分层夯填密实。</w:t>
      </w:r>
    </w:p>
    <w:p w14:paraId="5DC29395">
      <w:pPr>
        <w:pStyle w:val="165"/>
      </w:pPr>
      <w:r>
        <w:rPr>
          <w:rFonts w:hint="eastAsia"/>
        </w:rPr>
        <w:t>位于石方区的立柱，应根据设计文件的要求设计混凝土基础。</w:t>
      </w:r>
    </w:p>
    <w:p w14:paraId="0CA4AD06">
      <w:pPr>
        <w:pStyle w:val="165"/>
      </w:pPr>
      <w:r>
        <w:rPr>
          <w:rFonts w:hint="eastAsia"/>
        </w:rPr>
        <w:t>位于小桥、通道、明涵等混凝土基础中的立柱，可设置在预埋的套筒内，通过灌注砂浆或混凝土固定，或通过地脚螺栓与桥梁护轮带基础相连。</w:t>
      </w:r>
    </w:p>
    <w:p w14:paraId="248E7641">
      <w:pPr>
        <w:pStyle w:val="165"/>
      </w:pPr>
      <w:r>
        <w:rPr>
          <w:rFonts w:hint="eastAsia"/>
        </w:rPr>
        <w:t>立柱安装就位后，其水平方向和竖直方向应形成平顺的线形。</w:t>
      </w:r>
    </w:p>
    <w:p w14:paraId="085B6280">
      <w:pPr>
        <w:pStyle w:val="165"/>
      </w:pPr>
      <w:r>
        <w:rPr>
          <w:rFonts w:hint="eastAsia"/>
        </w:rPr>
        <w:t>护栏渐变段及端部的立柱，应按设计规定的坐标进行安装。</w:t>
      </w:r>
    </w:p>
    <w:p w14:paraId="34DE7588">
      <w:pPr>
        <w:pStyle w:val="165"/>
      </w:pPr>
      <w:r>
        <w:rPr>
          <w:rFonts w:hint="eastAsia"/>
        </w:rPr>
        <w:t>所有连接螺栓应在护栏的线形达到设计要求时才能拧紧，终拧扭距应符合表 7 的规定。</w:t>
      </w:r>
    </w:p>
    <w:p w14:paraId="554FC29D">
      <w:pPr>
        <w:pStyle w:val="115"/>
        <w:spacing w:before="156" w:after="156"/>
      </w:pPr>
      <w:r>
        <w:rPr>
          <w:rFonts w:hint="eastAsia"/>
        </w:rPr>
        <w:t>螺栓的终拧扭距</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1"/>
        <w:gridCol w:w="3111"/>
        <w:gridCol w:w="3112"/>
      </w:tblGrid>
      <w:tr w14:paraId="1DF7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3111" w:type="dxa"/>
            <w:shd w:val="clear" w:color="auto" w:fill="auto"/>
            <w:vAlign w:val="center"/>
          </w:tcPr>
          <w:p w14:paraId="6FE9E390">
            <w:pPr>
              <w:spacing w:line="240" w:lineRule="auto"/>
              <w:jc w:val="center"/>
              <w:rPr>
                <w:rFonts w:hint="eastAsia" w:ascii="宋体" w:hAnsi="宋体" w:cstheme="minorEastAsia"/>
                <w:sz w:val="18"/>
                <w:szCs w:val="18"/>
              </w:rPr>
            </w:pPr>
            <w:r>
              <w:rPr>
                <w:rFonts w:hint="eastAsia" w:ascii="宋体" w:hAnsi="宋体" w:cstheme="minorEastAsia"/>
                <w:sz w:val="18"/>
                <w:szCs w:val="18"/>
              </w:rPr>
              <w:t>螺栓类型</w:t>
            </w:r>
          </w:p>
        </w:tc>
        <w:tc>
          <w:tcPr>
            <w:tcW w:w="3111" w:type="dxa"/>
            <w:shd w:val="clear" w:color="auto" w:fill="auto"/>
            <w:vAlign w:val="center"/>
          </w:tcPr>
          <w:p w14:paraId="7ACC060B">
            <w:pPr>
              <w:spacing w:line="240" w:lineRule="auto"/>
              <w:jc w:val="center"/>
              <w:rPr>
                <w:rFonts w:hint="eastAsia" w:ascii="宋体" w:hAnsi="宋体" w:cstheme="minorEastAsia"/>
                <w:sz w:val="18"/>
                <w:szCs w:val="18"/>
              </w:rPr>
            </w:pPr>
            <w:r>
              <w:rPr>
                <w:rFonts w:hint="eastAsia" w:ascii="宋体" w:hAnsi="宋体" w:cstheme="minorEastAsia"/>
                <w:sz w:val="18"/>
                <w:szCs w:val="18"/>
              </w:rPr>
              <w:t>螺栓直径（mm）</w:t>
            </w:r>
          </w:p>
        </w:tc>
        <w:tc>
          <w:tcPr>
            <w:tcW w:w="3112" w:type="dxa"/>
            <w:shd w:val="clear" w:color="auto" w:fill="auto"/>
            <w:vAlign w:val="center"/>
          </w:tcPr>
          <w:p w14:paraId="0010C238">
            <w:pPr>
              <w:spacing w:line="240" w:lineRule="auto"/>
              <w:jc w:val="center"/>
              <w:rPr>
                <w:rFonts w:hint="eastAsia" w:ascii="宋体" w:hAnsi="宋体" w:cstheme="minorEastAsia"/>
                <w:sz w:val="18"/>
                <w:szCs w:val="18"/>
              </w:rPr>
            </w:pPr>
            <w:r>
              <w:rPr>
                <w:rFonts w:hint="eastAsia" w:ascii="宋体" w:hAnsi="宋体" w:cstheme="minorEastAsia"/>
                <w:sz w:val="18"/>
                <w:szCs w:val="18"/>
              </w:rPr>
              <w:t>扭距（N·m）</w:t>
            </w:r>
          </w:p>
        </w:tc>
      </w:tr>
      <w:tr w14:paraId="0B12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1" w:type="dxa"/>
            <w:shd w:val="clear" w:color="auto" w:fill="auto"/>
            <w:vAlign w:val="center"/>
          </w:tcPr>
          <w:p w14:paraId="799353F7">
            <w:pPr>
              <w:spacing w:line="240" w:lineRule="auto"/>
              <w:jc w:val="center"/>
              <w:rPr>
                <w:rFonts w:hint="eastAsia" w:ascii="宋体" w:hAnsi="宋体" w:cstheme="minorEastAsia"/>
                <w:sz w:val="18"/>
                <w:szCs w:val="18"/>
              </w:rPr>
            </w:pPr>
            <w:r>
              <w:rPr>
                <w:rFonts w:hint="eastAsia" w:ascii="宋体" w:hAnsi="宋体" w:cstheme="minorEastAsia"/>
                <w:sz w:val="18"/>
                <w:szCs w:val="18"/>
              </w:rPr>
              <w:t>高强螺栓</w:t>
            </w:r>
          </w:p>
        </w:tc>
        <w:tc>
          <w:tcPr>
            <w:tcW w:w="3111" w:type="dxa"/>
            <w:shd w:val="clear" w:color="auto" w:fill="auto"/>
            <w:vAlign w:val="center"/>
          </w:tcPr>
          <w:p w14:paraId="1B0862CB">
            <w:pPr>
              <w:spacing w:line="240" w:lineRule="auto"/>
              <w:jc w:val="center"/>
              <w:rPr>
                <w:rFonts w:hint="eastAsia" w:ascii="宋体" w:hAnsi="宋体" w:cstheme="minorEastAsia"/>
                <w:sz w:val="18"/>
                <w:szCs w:val="18"/>
              </w:rPr>
            </w:pPr>
            <w:bookmarkStart w:id="98" w:name="_GoBack"/>
            <w:bookmarkEnd w:id="98"/>
            <w:r>
              <w:rPr>
                <w:rFonts w:hint="eastAsia" w:ascii="宋体" w:hAnsi="宋体" w:cstheme="minorEastAsia"/>
                <w:sz w:val="18"/>
                <w:szCs w:val="18"/>
                <w:lang w:val="en-US" w:eastAsia="zh-CN"/>
              </w:rPr>
              <w:t>M18</w:t>
            </w:r>
          </w:p>
        </w:tc>
        <w:tc>
          <w:tcPr>
            <w:tcW w:w="3112" w:type="dxa"/>
            <w:shd w:val="clear" w:color="auto" w:fill="auto"/>
            <w:vAlign w:val="center"/>
          </w:tcPr>
          <w:p w14:paraId="2409125C">
            <w:pPr>
              <w:spacing w:line="240" w:lineRule="auto"/>
              <w:jc w:val="center"/>
              <w:rPr>
                <w:rFonts w:hint="eastAsia" w:ascii="宋体" w:hAnsi="宋体" w:cstheme="minorEastAsia"/>
                <w:sz w:val="18"/>
                <w:szCs w:val="18"/>
              </w:rPr>
            </w:pPr>
            <w:r>
              <w:rPr>
                <w:rFonts w:hint="eastAsia" w:ascii="宋体" w:hAnsi="宋体" w:cstheme="minorEastAsia"/>
                <w:sz w:val="18"/>
                <w:szCs w:val="18"/>
              </w:rPr>
              <w:t>315～430</w:t>
            </w:r>
          </w:p>
        </w:tc>
      </w:tr>
    </w:tbl>
    <w:p w14:paraId="524581AF">
      <w:pPr>
        <w:pStyle w:val="165"/>
      </w:pPr>
      <w:r>
        <w:rPr>
          <w:rFonts w:hint="eastAsia"/>
        </w:rPr>
        <w:t>旋转筒安装后，需用手拨动感到无明显障碍，否则应检查立柱外壁、旋转筒内壁或更换旋转筒， 直到用手拨动感到无明显障碍。</w:t>
      </w:r>
    </w:p>
    <w:p w14:paraId="4F8D0432">
      <w:pPr>
        <w:pStyle w:val="165"/>
      </w:pPr>
      <w:r>
        <w:rPr>
          <w:rFonts w:hint="eastAsia"/>
        </w:rPr>
        <w:t>柱帽放在立柱顶端后需用橡胶榔头敲紧。</w:t>
      </w:r>
    </w:p>
    <w:p w14:paraId="6FE6C209">
      <w:pPr>
        <w:pStyle w:val="107"/>
        <w:spacing w:before="312" w:after="312"/>
      </w:pPr>
      <w:bookmarkStart w:id="71" w:name="_Toc22049"/>
      <w:r>
        <w:rPr>
          <w:rFonts w:hint="eastAsia"/>
        </w:rPr>
        <w:t>验收</w:t>
      </w:r>
      <w:bookmarkEnd w:id="71"/>
    </w:p>
    <w:p w14:paraId="02AEC53D">
      <w:pPr>
        <w:pStyle w:val="165"/>
      </w:pPr>
      <w:r>
        <w:rPr>
          <w:rFonts w:hint="eastAsia"/>
        </w:rPr>
        <w:t>旋转式防撞护栏验收的基本要求为：</w:t>
      </w:r>
    </w:p>
    <w:p w14:paraId="05D17348">
      <w:pPr>
        <w:pStyle w:val="112"/>
        <w:numPr>
          <w:ilvl w:val="1"/>
          <w:numId w:val="33"/>
        </w:numPr>
      </w:pPr>
      <w:r>
        <w:rPr>
          <w:rFonts w:hint="eastAsia"/>
        </w:rPr>
        <w:t>护栏立柱的埋深、基础规格、土基压实度、端部和过渡段处理应符合相关规范和设计文件的规定；</w:t>
      </w:r>
    </w:p>
    <w:p w14:paraId="4F403486">
      <w:pPr>
        <w:pStyle w:val="112"/>
        <w:numPr>
          <w:ilvl w:val="1"/>
          <w:numId w:val="33"/>
        </w:numPr>
      </w:pPr>
      <w:r>
        <w:rPr>
          <w:rFonts w:hint="eastAsia"/>
        </w:rPr>
        <w:t>立柱位置、立柱中距、垂直度、横梁中心高度应符合设计要求；</w:t>
      </w:r>
    </w:p>
    <w:p w14:paraId="6D2BDF52">
      <w:pPr>
        <w:pStyle w:val="112"/>
        <w:numPr>
          <w:ilvl w:val="1"/>
          <w:numId w:val="33"/>
        </w:numPr>
      </w:pPr>
      <w:r>
        <w:rPr>
          <w:rFonts w:hint="eastAsia"/>
        </w:rPr>
        <w:t>所有构件不应因运输、施工造成防腐层的损伤；</w:t>
      </w:r>
    </w:p>
    <w:p w14:paraId="472337DD">
      <w:pPr>
        <w:pStyle w:val="112"/>
        <w:numPr>
          <w:ilvl w:val="1"/>
          <w:numId w:val="33"/>
        </w:numPr>
      </w:pPr>
      <w:r>
        <w:rPr>
          <w:rFonts w:hint="eastAsia"/>
        </w:rPr>
        <w:t>直线段护栏不得有明显的凹凸、起伏现象；曲线段护栏应圆滑顺畅，与线形协调一致； 中央分 隔带开口端头护栏的线形应与设计文件相符；</w:t>
      </w:r>
    </w:p>
    <w:p w14:paraId="2D22E27E">
      <w:pPr>
        <w:pStyle w:val="112"/>
        <w:numPr>
          <w:ilvl w:val="1"/>
          <w:numId w:val="33"/>
        </w:numPr>
      </w:pPr>
      <w:r>
        <w:rPr>
          <w:rFonts w:hint="eastAsia"/>
        </w:rPr>
        <w:t>立柱及柱帽安装牢固，其顶部应无明显塌边、变形、开裂等缺陷。</w:t>
      </w:r>
    </w:p>
    <w:p w14:paraId="2E57C102">
      <w:pPr>
        <w:pStyle w:val="165"/>
      </w:pPr>
      <w:r>
        <w:rPr>
          <w:rFonts w:hint="eastAsia"/>
        </w:rPr>
        <w:t xml:space="preserve"> 旋转式防撞护栏验收的实测项目见表8。</w:t>
      </w:r>
    </w:p>
    <w:p w14:paraId="0CFF6E37">
      <w:pPr>
        <w:pStyle w:val="115"/>
        <w:spacing w:before="156" w:after="156"/>
      </w:pPr>
      <w:r>
        <w:rPr>
          <w:rFonts w:hint="eastAsia"/>
        </w:rPr>
        <w:t>旋转式防撞护栏的实测项目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8"/>
        <w:gridCol w:w="2565"/>
        <w:gridCol w:w="1740"/>
        <w:gridCol w:w="4021"/>
      </w:tblGrid>
      <w:tr w14:paraId="20FB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3E33E80E">
            <w:pPr>
              <w:spacing w:line="240" w:lineRule="auto"/>
              <w:jc w:val="center"/>
              <w:rPr>
                <w:rFonts w:hint="eastAsia" w:ascii="宋体" w:hAnsi="宋体" w:cstheme="minorEastAsia"/>
                <w:sz w:val="18"/>
                <w:szCs w:val="18"/>
              </w:rPr>
            </w:pPr>
            <w:r>
              <w:rPr>
                <w:rFonts w:hint="eastAsia" w:ascii="宋体" w:hAnsi="宋体" w:cstheme="minorEastAsia"/>
                <w:sz w:val="18"/>
                <w:szCs w:val="18"/>
              </w:rPr>
              <w:t>序号</w:t>
            </w:r>
          </w:p>
        </w:tc>
        <w:tc>
          <w:tcPr>
            <w:tcW w:w="2565" w:type="dxa"/>
            <w:shd w:val="clear" w:color="auto" w:fill="auto"/>
            <w:vAlign w:val="center"/>
          </w:tcPr>
          <w:p w14:paraId="685A4424">
            <w:pPr>
              <w:spacing w:line="240" w:lineRule="auto"/>
              <w:jc w:val="center"/>
              <w:rPr>
                <w:rFonts w:hint="eastAsia" w:ascii="宋体" w:hAnsi="宋体" w:cstheme="minorEastAsia"/>
                <w:sz w:val="18"/>
                <w:szCs w:val="18"/>
              </w:rPr>
            </w:pPr>
            <w:r>
              <w:rPr>
                <w:rFonts w:hint="eastAsia" w:ascii="宋体" w:hAnsi="宋体" w:cstheme="minorEastAsia"/>
                <w:sz w:val="18"/>
                <w:szCs w:val="18"/>
              </w:rPr>
              <w:t>检查项目</w:t>
            </w:r>
          </w:p>
        </w:tc>
        <w:tc>
          <w:tcPr>
            <w:tcW w:w="1740" w:type="dxa"/>
            <w:shd w:val="clear" w:color="auto" w:fill="auto"/>
            <w:vAlign w:val="center"/>
          </w:tcPr>
          <w:p w14:paraId="69F4F7DC">
            <w:pPr>
              <w:spacing w:line="240" w:lineRule="auto"/>
              <w:jc w:val="center"/>
              <w:rPr>
                <w:rFonts w:hint="eastAsia" w:ascii="宋体" w:hAnsi="宋体" w:cstheme="minorEastAsia"/>
                <w:sz w:val="18"/>
                <w:szCs w:val="18"/>
              </w:rPr>
            </w:pPr>
            <w:r>
              <w:rPr>
                <w:rFonts w:hint="eastAsia" w:ascii="宋体" w:hAnsi="宋体" w:cstheme="minorEastAsia"/>
                <w:sz w:val="18"/>
                <w:szCs w:val="18"/>
              </w:rPr>
              <w:t>规定值或允许偏差</w:t>
            </w:r>
          </w:p>
        </w:tc>
        <w:tc>
          <w:tcPr>
            <w:tcW w:w="4021" w:type="dxa"/>
            <w:shd w:val="clear" w:color="auto" w:fill="auto"/>
            <w:vAlign w:val="center"/>
          </w:tcPr>
          <w:p w14:paraId="75D5AA81">
            <w:pPr>
              <w:spacing w:line="240" w:lineRule="auto"/>
              <w:jc w:val="center"/>
              <w:rPr>
                <w:rFonts w:hint="eastAsia" w:ascii="宋体" w:hAnsi="宋体" w:cstheme="minorEastAsia"/>
                <w:sz w:val="18"/>
                <w:szCs w:val="18"/>
              </w:rPr>
            </w:pPr>
            <w:r>
              <w:rPr>
                <w:rFonts w:hint="eastAsia" w:ascii="宋体" w:hAnsi="宋体" w:cstheme="minorEastAsia"/>
                <w:sz w:val="18"/>
                <w:szCs w:val="18"/>
              </w:rPr>
              <w:t>检查方法和频率</w:t>
            </w:r>
          </w:p>
        </w:tc>
      </w:tr>
      <w:tr w14:paraId="1B2A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5B1B3FA5">
            <w:pPr>
              <w:spacing w:line="240" w:lineRule="auto"/>
              <w:jc w:val="center"/>
              <w:rPr>
                <w:rFonts w:hint="eastAsia" w:ascii="宋体" w:hAnsi="宋体" w:cstheme="minorEastAsia"/>
                <w:sz w:val="18"/>
                <w:szCs w:val="18"/>
              </w:rPr>
            </w:pPr>
            <w:r>
              <w:rPr>
                <w:rFonts w:hint="eastAsia" w:ascii="宋体" w:hAnsi="宋体" w:cstheme="minorEastAsia"/>
                <w:sz w:val="18"/>
                <w:szCs w:val="18"/>
              </w:rPr>
              <w:t>1</w:t>
            </w:r>
          </w:p>
        </w:tc>
        <w:tc>
          <w:tcPr>
            <w:tcW w:w="2565" w:type="dxa"/>
            <w:shd w:val="clear" w:color="auto" w:fill="auto"/>
            <w:vAlign w:val="center"/>
          </w:tcPr>
          <w:p w14:paraId="3F6593C7">
            <w:pPr>
              <w:spacing w:line="240" w:lineRule="auto"/>
              <w:jc w:val="center"/>
              <w:rPr>
                <w:rFonts w:hint="eastAsia" w:ascii="宋体" w:hAnsi="宋体" w:cstheme="minorEastAsia"/>
                <w:sz w:val="18"/>
                <w:szCs w:val="18"/>
              </w:rPr>
            </w:pPr>
            <w:r>
              <w:rPr>
                <w:rFonts w:hint="eastAsia" w:ascii="宋体" w:hAnsi="宋体" w:cstheme="minorEastAsia"/>
                <w:sz w:val="18"/>
                <w:szCs w:val="18"/>
              </w:rPr>
              <w:t>旋转筒直径（mm）</w:t>
            </w:r>
          </w:p>
        </w:tc>
        <w:tc>
          <w:tcPr>
            <w:tcW w:w="1740" w:type="dxa"/>
            <w:shd w:val="clear" w:color="auto" w:fill="auto"/>
            <w:vAlign w:val="center"/>
          </w:tcPr>
          <w:p w14:paraId="36E31648">
            <w:pPr>
              <w:spacing w:line="240" w:lineRule="auto"/>
              <w:jc w:val="center"/>
              <w:rPr>
                <w:rFonts w:hint="eastAsia" w:ascii="宋体" w:hAnsi="宋体" w:cstheme="minorEastAsia"/>
                <w:sz w:val="18"/>
                <w:szCs w:val="18"/>
              </w:rPr>
            </w:pPr>
            <w:r>
              <w:rPr>
                <w:rFonts w:hint="eastAsia" w:ascii="宋体" w:hAnsi="宋体" w:cstheme="minorEastAsia"/>
                <w:sz w:val="18"/>
                <w:szCs w:val="18"/>
              </w:rPr>
              <w:t>±5</w:t>
            </w:r>
          </w:p>
        </w:tc>
        <w:tc>
          <w:tcPr>
            <w:tcW w:w="4021" w:type="dxa"/>
            <w:shd w:val="clear" w:color="auto" w:fill="auto"/>
            <w:vAlign w:val="center"/>
          </w:tcPr>
          <w:p w14:paraId="40DA8B98">
            <w:pPr>
              <w:spacing w:line="240" w:lineRule="auto"/>
              <w:jc w:val="center"/>
              <w:rPr>
                <w:rFonts w:hint="eastAsia" w:ascii="宋体" w:hAnsi="宋体" w:cstheme="minorEastAsia"/>
                <w:sz w:val="18"/>
                <w:szCs w:val="18"/>
              </w:rPr>
            </w:pPr>
            <w:r>
              <w:rPr>
                <w:rFonts w:hint="eastAsia" w:ascii="宋体" w:hAnsi="宋体" w:cstheme="minorEastAsia"/>
                <w:sz w:val="18"/>
                <w:szCs w:val="18"/>
              </w:rPr>
              <w:t>尺量， 抽查旋转筒数量的5%，且不少于 10个</w:t>
            </w:r>
          </w:p>
        </w:tc>
      </w:tr>
      <w:tr w14:paraId="410A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371A53C8">
            <w:pPr>
              <w:spacing w:line="240" w:lineRule="auto"/>
              <w:jc w:val="center"/>
              <w:rPr>
                <w:rFonts w:hint="eastAsia" w:ascii="宋体" w:hAnsi="宋体" w:cstheme="minorEastAsia"/>
                <w:sz w:val="18"/>
                <w:szCs w:val="18"/>
              </w:rPr>
            </w:pPr>
            <w:r>
              <w:rPr>
                <w:rFonts w:hint="eastAsia" w:ascii="宋体" w:hAnsi="宋体" w:cstheme="minorEastAsia"/>
                <w:sz w:val="18"/>
                <w:szCs w:val="18"/>
              </w:rPr>
              <w:t>2</w:t>
            </w:r>
          </w:p>
        </w:tc>
        <w:tc>
          <w:tcPr>
            <w:tcW w:w="2565" w:type="dxa"/>
            <w:shd w:val="clear" w:color="auto" w:fill="auto"/>
            <w:vAlign w:val="center"/>
          </w:tcPr>
          <w:p w14:paraId="080CF0F5">
            <w:pPr>
              <w:spacing w:line="240" w:lineRule="auto"/>
              <w:jc w:val="center"/>
              <w:rPr>
                <w:rFonts w:hint="eastAsia" w:ascii="宋体" w:hAnsi="宋体" w:cstheme="minorEastAsia"/>
                <w:sz w:val="18"/>
                <w:szCs w:val="18"/>
              </w:rPr>
            </w:pPr>
            <w:r>
              <w:rPr>
                <w:rFonts w:hint="eastAsia" w:ascii="宋体" w:hAnsi="宋体" w:cstheme="minorEastAsia"/>
                <w:sz w:val="18"/>
                <w:szCs w:val="18"/>
              </w:rPr>
              <w:t>旋转筒高度（mm）</w:t>
            </w:r>
          </w:p>
        </w:tc>
        <w:tc>
          <w:tcPr>
            <w:tcW w:w="1740" w:type="dxa"/>
            <w:shd w:val="clear" w:color="auto" w:fill="auto"/>
            <w:vAlign w:val="center"/>
          </w:tcPr>
          <w:p w14:paraId="73849D8D">
            <w:pPr>
              <w:spacing w:line="240" w:lineRule="auto"/>
              <w:jc w:val="center"/>
              <w:rPr>
                <w:rFonts w:hint="eastAsia" w:ascii="宋体" w:hAnsi="宋体" w:cstheme="minorEastAsia"/>
                <w:sz w:val="18"/>
                <w:szCs w:val="18"/>
              </w:rPr>
            </w:pPr>
            <w:r>
              <w:rPr>
                <w:rFonts w:hint="eastAsia" w:ascii="宋体" w:hAnsi="宋体" w:cstheme="minorEastAsia"/>
                <w:sz w:val="18"/>
                <w:szCs w:val="18"/>
              </w:rPr>
              <w:t>±10</w:t>
            </w:r>
          </w:p>
        </w:tc>
        <w:tc>
          <w:tcPr>
            <w:tcW w:w="4021" w:type="dxa"/>
            <w:shd w:val="clear" w:color="auto" w:fill="auto"/>
            <w:vAlign w:val="center"/>
          </w:tcPr>
          <w:p w14:paraId="419D0D0E">
            <w:pPr>
              <w:spacing w:line="240" w:lineRule="auto"/>
              <w:jc w:val="center"/>
              <w:rPr>
                <w:rFonts w:hint="eastAsia" w:ascii="宋体" w:hAnsi="宋体" w:cstheme="minorEastAsia"/>
                <w:sz w:val="18"/>
                <w:szCs w:val="18"/>
              </w:rPr>
            </w:pPr>
            <w:r>
              <w:rPr>
                <w:rFonts w:hint="eastAsia" w:ascii="宋体" w:hAnsi="宋体" w:cstheme="minorEastAsia"/>
                <w:sz w:val="18"/>
                <w:szCs w:val="18"/>
              </w:rPr>
              <w:t>尺量， 抽查旋转筒数量的5%，且不少于 10个</w:t>
            </w:r>
          </w:p>
        </w:tc>
      </w:tr>
      <w:tr w14:paraId="7DE5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4F111030">
            <w:pPr>
              <w:spacing w:line="240" w:lineRule="auto"/>
              <w:jc w:val="center"/>
              <w:rPr>
                <w:rFonts w:hint="eastAsia" w:ascii="宋体" w:hAnsi="宋体" w:cstheme="minorEastAsia"/>
                <w:sz w:val="18"/>
                <w:szCs w:val="18"/>
              </w:rPr>
            </w:pPr>
            <w:r>
              <w:rPr>
                <w:rFonts w:hint="eastAsia" w:ascii="宋体" w:hAnsi="宋体" w:cstheme="minorEastAsia"/>
                <w:sz w:val="18"/>
                <w:szCs w:val="18"/>
              </w:rPr>
              <w:t>3</w:t>
            </w:r>
          </w:p>
        </w:tc>
        <w:tc>
          <w:tcPr>
            <w:tcW w:w="2565" w:type="dxa"/>
            <w:shd w:val="clear" w:color="auto" w:fill="auto"/>
            <w:vAlign w:val="center"/>
          </w:tcPr>
          <w:p w14:paraId="5CA6D222">
            <w:pPr>
              <w:spacing w:line="240" w:lineRule="auto"/>
              <w:jc w:val="center"/>
              <w:rPr>
                <w:rFonts w:hint="eastAsia" w:ascii="宋体" w:hAnsi="宋体" w:cstheme="minorEastAsia"/>
                <w:sz w:val="18"/>
                <w:szCs w:val="18"/>
              </w:rPr>
            </w:pPr>
            <w:r>
              <w:rPr>
                <w:rFonts w:hint="eastAsia" w:ascii="宋体" w:hAnsi="宋体" w:cstheme="minorEastAsia"/>
                <w:sz w:val="18"/>
                <w:szCs w:val="18"/>
              </w:rPr>
              <w:t>横梁基底金属厚度（mm）</w:t>
            </w:r>
          </w:p>
        </w:tc>
        <w:tc>
          <w:tcPr>
            <w:tcW w:w="1740" w:type="dxa"/>
            <w:shd w:val="clear" w:color="auto" w:fill="auto"/>
            <w:vAlign w:val="center"/>
          </w:tcPr>
          <w:p w14:paraId="06D8543F">
            <w:pPr>
              <w:spacing w:line="240" w:lineRule="auto"/>
              <w:jc w:val="center"/>
              <w:rPr>
                <w:rFonts w:hint="eastAsia" w:ascii="宋体" w:hAnsi="宋体" w:cstheme="minorEastAsia"/>
                <w:sz w:val="18"/>
                <w:szCs w:val="18"/>
              </w:rPr>
            </w:pPr>
            <w:r>
              <w:rPr>
                <w:rFonts w:hint="eastAsia" w:ascii="宋体" w:hAnsi="宋体" w:cstheme="minorEastAsia"/>
                <w:sz w:val="18"/>
                <w:szCs w:val="18"/>
              </w:rPr>
              <w:t>±0.25</w:t>
            </w:r>
          </w:p>
        </w:tc>
        <w:tc>
          <w:tcPr>
            <w:tcW w:w="4021" w:type="dxa"/>
            <w:shd w:val="clear" w:color="auto" w:fill="auto"/>
            <w:vAlign w:val="center"/>
          </w:tcPr>
          <w:p w14:paraId="3424ABF6">
            <w:pPr>
              <w:spacing w:line="240" w:lineRule="auto"/>
              <w:jc w:val="center"/>
              <w:rPr>
                <w:rFonts w:hint="eastAsia" w:ascii="宋体" w:hAnsi="宋体" w:cstheme="minorEastAsia"/>
                <w:sz w:val="18"/>
                <w:szCs w:val="18"/>
              </w:rPr>
            </w:pPr>
            <w:r>
              <w:rPr>
                <w:rFonts w:hint="eastAsia" w:ascii="宋体" w:hAnsi="宋体" w:cstheme="minorEastAsia"/>
                <w:sz w:val="18"/>
                <w:szCs w:val="18"/>
              </w:rPr>
              <w:t>千分尺、涂层测厚仪，抽查横梁数量的 5%，且不少于10个</w:t>
            </w:r>
          </w:p>
        </w:tc>
      </w:tr>
      <w:tr w14:paraId="25FA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728041A4">
            <w:pPr>
              <w:spacing w:line="240" w:lineRule="auto"/>
              <w:jc w:val="center"/>
              <w:rPr>
                <w:rFonts w:hint="eastAsia" w:ascii="宋体" w:hAnsi="宋体" w:cstheme="minorEastAsia"/>
                <w:sz w:val="18"/>
                <w:szCs w:val="18"/>
              </w:rPr>
            </w:pPr>
            <w:r>
              <w:rPr>
                <w:rFonts w:hint="eastAsia" w:ascii="宋体" w:hAnsi="宋体" w:cstheme="minorEastAsia"/>
                <w:sz w:val="18"/>
                <w:szCs w:val="18"/>
              </w:rPr>
              <w:t>4</w:t>
            </w:r>
          </w:p>
        </w:tc>
        <w:tc>
          <w:tcPr>
            <w:tcW w:w="2565" w:type="dxa"/>
            <w:shd w:val="clear" w:color="auto" w:fill="auto"/>
            <w:vAlign w:val="center"/>
          </w:tcPr>
          <w:p w14:paraId="3D63373A">
            <w:pPr>
              <w:spacing w:line="240" w:lineRule="auto"/>
              <w:jc w:val="center"/>
              <w:rPr>
                <w:rFonts w:hint="eastAsia" w:ascii="宋体" w:hAnsi="宋体" w:cstheme="minorEastAsia"/>
                <w:sz w:val="18"/>
                <w:szCs w:val="18"/>
              </w:rPr>
            </w:pPr>
            <w:r>
              <w:rPr>
                <w:rFonts w:hint="eastAsia" w:ascii="宋体" w:hAnsi="宋体" w:cstheme="minorEastAsia"/>
                <w:sz w:val="18"/>
                <w:szCs w:val="18"/>
              </w:rPr>
              <w:t>立柱基底金属厚度（mm）</w:t>
            </w:r>
          </w:p>
        </w:tc>
        <w:tc>
          <w:tcPr>
            <w:tcW w:w="1740" w:type="dxa"/>
            <w:shd w:val="clear" w:color="auto" w:fill="auto"/>
            <w:vAlign w:val="center"/>
          </w:tcPr>
          <w:p w14:paraId="224A6F48">
            <w:pPr>
              <w:spacing w:line="240" w:lineRule="auto"/>
              <w:jc w:val="center"/>
              <w:rPr>
                <w:rFonts w:hint="eastAsia" w:ascii="宋体" w:hAnsi="宋体" w:cstheme="minorEastAsia"/>
                <w:sz w:val="18"/>
                <w:szCs w:val="18"/>
              </w:rPr>
            </w:pPr>
            <w:r>
              <w:rPr>
                <w:rFonts w:hint="eastAsia" w:ascii="宋体" w:hAnsi="宋体" w:cstheme="minorEastAsia"/>
                <w:sz w:val="18"/>
                <w:szCs w:val="18"/>
              </w:rPr>
              <w:t>-0.25</w:t>
            </w:r>
          </w:p>
        </w:tc>
        <w:tc>
          <w:tcPr>
            <w:tcW w:w="4021" w:type="dxa"/>
            <w:shd w:val="clear" w:color="auto" w:fill="auto"/>
            <w:vAlign w:val="center"/>
          </w:tcPr>
          <w:p w14:paraId="1C9BF460">
            <w:pPr>
              <w:spacing w:line="240" w:lineRule="auto"/>
              <w:jc w:val="center"/>
              <w:rPr>
                <w:rFonts w:hint="eastAsia" w:ascii="宋体" w:hAnsi="宋体" w:cstheme="minorEastAsia"/>
                <w:sz w:val="18"/>
                <w:szCs w:val="18"/>
              </w:rPr>
            </w:pPr>
            <w:r>
              <w:rPr>
                <w:rFonts w:hint="eastAsia" w:ascii="宋体" w:hAnsi="宋体" w:cstheme="minorEastAsia"/>
                <w:sz w:val="18"/>
                <w:szCs w:val="18"/>
              </w:rPr>
              <w:t>千分尺、涂层测厚仪，抽查2%，且不少 于10根</w:t>
            </w:r>
          </w:p>
        </w:tc>
      </w:tr>
      <w:tr w14:paraId="6262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214443EB">
            <w:pPr>
              <w:spacing w:line="240" w:lineRule="auto"/>
              <w:jc w:val="center"/>
              <w:rPr>
                <w:rFonts w:hint="eastAsia" w:ascii="宋体" w:hAnsi="宋体" w:cstheme="minorEastAsia"/>
                <w:sz w:val="18"/>
                <w:szCs w:val="18"/>
              </w:rPr>
            </w:pPr>
            <w:r>
              <w:rPr>
                <w:rFonts w:hint="eastAsia" w:ascii="宋体" w:hAnsi="宋体" w:cstheme="minorEastAsia"/>
                <w:sz w:val="18"/>
                <w:szCs w:val="18"/>
              </w:rPr>
              <w:t>5</w:t>
            </w:r>
          </w:p>
        </w:tc>
        <w:tc>
          <w:tcPr>
            <w:tcW w:w="2565" w:type="dxa"/>
            <w:shd w:val="clear" w:color="auto" w:fill="auto"/>
            <w:vAlign w:val="center"/>
          </w:tcPr>
          <w:p w14:paraId="52EE4F7C">
            <w:pPr>
              <w:spacing w:line="240" w:lineRule="auto"/>
              <w:jc w:val="center"/>
              <w:rPr>
                <w:rFonts w:hint="eastAsia" w:ascii="宋体" w:hAnsi="宋体" w:cstheme="minorEastAsia"/>
                <w:sz w:val="18"/>
                <w:szCs w:val="18"/>
              </w:rPr>
            </w:pPr>
            <w:r>
              <w:rPr>
                <w:rFonts w:hint="eastAsia" w:ascii="宋体" w:hAnsi="宋体" w:cstheme="minorEastAsia"/>
                <w:sz w:val="18"/>
                <w:szCs w:val="18"/>
              </w:rPr>
              <w:t>立柱间距（mm）</w:t>
            </w:r>
          </w:p>
        </w:tc>
        <w:tc>
          <w:tcPr>
            <w:tcW w:w="1740" w:type="dxa"/>
            <w:shd w:val="clear" w:color="auto" w:fill="auto"/>
            <w:vAlign w:val="center"/>
          </w:tcPr>
          <w:p w14:paraId="1B6C1BF8">
            <w:pPr>
              <w:spacing w:line="240" w:lineRule="auto"/>
              <w:jc w:val="center"/>
              <w:rPr>
                <w:rFonts w:hint="eastAsia" w:ascii="宋体" w:hAnsi="宋体" w:cstheme="minorEastAsia"/>
                <w:sz w:val="18"/>
                <w:szCs w:val="18"/>
              </w:rPr>
            </w:pPr>
            <w:r>
              <w:rPr>
                <w:rFonts w:hint="eastAsia" w:ascii="宋体" w:hAnsi="宋体" w:cstheme="minorEastAsia"/>
                <w:sz w:val="18"/>
                <w:szCs w:val="18"/>
              </w:rPr>
              <w:t xml:space="preserve"> ±20</w:t>
            </w:r>
          </w:p>
        </w:tc>
        <w:tc>
          <w:tcPr>
            <w:tcW w:w="4021" w:type="dxa"/>
            <w:shd w:val="clear" w:color="auto" w:fill="auto"/>
            <w:vAlign w:val="center"/>
          </w:tcPr>
          <w:p w14:paraId="1D79BD5B">
            <w:pPr>
              <w:spacing w:line="240" w:lineRule="auto"/>
              <w:jc w:val="center"/>
              <w:rPr>
                <w:rFonts w:hint="eastAsia" w:ascii="宋体" w:hAnsi="宋体" w:cstheme="minorEastAsia"/>
                <w:sz w:val="18"/>
                <w:szCs w:val="18"/>
              </w:rPr>
            </w:pPr>
            <w:r>
              <w:rPr>
                <w:rFonts w:hint="eastAsia" w:ascii="宋体" w:hAnsi="宋体" w:cstheme="minorEastAsia"/>
                <w:sz w:val="18"/>
                <w:szCs w:val="18"/>
              </w:rPr>
              <w:t>尺量，每1km每侧测5处</w:t>
            </w:r>
          </w:p>
        </w:tc>
      </w:tr>
      <w:tr w14:paraId="1AF0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674F7D03">
            <w:pPr>
              <w:spacing w:line="240" w:lineRule="auto"/>
              <w:jc w:val="center"/>
              <w:rPr>
                <w:rFonts w:hint="eastAsia" w:ascii="宋体" w:hAnsi="宋体" w:cstheme="minorEastAsia"/>
                <w:sz w:val="18"/>
                <w:szCs w:val="18"/>
              </w:rPr>
            </w:pPr>
            <w:r>
              <w:rPr>
                <w:rFonts w:hint="eastAsia" w:ascii="宋体" w:hAnsi="宋体" w:cstheme="minorEastAsia"/>
                <w:sz w:val="18"/>
                <w:szCs w:val="18"/>
              </w:rPr>
              <w:t>6</w:t>
            </w:r>
          </w:p>
        </w:tc>
        <w:tc>
          <w:tcPr>
            <w:tcW w:w="2565" w:type="dxa"/>
            <w:shd w:val="clear" w:color="auto" w:fill="auto"/>
            <w:vAlign w:val="center"/>
          </w:tcPr>
          <w:p w14:paraId="6F7BD7DE">
            <w:pPr>
              <w:spacing w:line="240" w:lineRule="auto"/>
              <w:jc w:val="center"/>
              <w:rPr>
                <w:rFonts w:hint="eastAsia" w:ascii="宋体" w:hAnsi="宋体" w:cstheme="minorEastAsia"/>
                <w:sz w:val="18"/>
                <w:szCs w:val="18"/>
              </w:rPr>
            </w:pPr>
            <w:r>
              <w:rPr>
                <w:rFonts w:hint="eastAsia" w:ascii="宋体" w:hAnsi="宋体" w:cstheme="minorEastAsia"/>
                <w:sz w:val="18"/>
                <w:szCs w:val="18"/>
              </w:rPr>
              <w:t>螺栓终拧扭矩（N·m）</w:t>
            </w:r>
          </w:p>
        </w:tc>
        <w:tc>
          <w:tcPr>
            <w:tcW w:w="1740" w:type="dxa"/>
            <w:shd w:val="clear" w:color="auto" w:fill="auto"/>
            <w:vAlign w:val="center"/>
          </w:tcPr>
          <w:p w14:paraId="7D15628B">
            <w:pPr>
              <w:spacing w:line="240" w:lineRule="auto"/>
              <w:jc w:val="center"/>
              <w:rPr>
                <w:rFonts w:hint="eastAsia" w:ascii="宋体" w:hAnsi="宋体" w:cstheme="minorEastAsia"/>
                <w:sz w:val="18"/>
                <w:szCs w:val="18"/>
              </w:rPr>
            </w:pPr>
            <w:r>
              <w:rPr>
                <w:rFonts w:hint="eastAsia" w:ascii="宋体" w:hAnsi="宋体" w:cstheme="minorEastAsia"/>
                <w:sz w:val="18"/>
                <w:szCs w:val="18"/>
              </w:rPr>
              <w:t>±10%</w:t>
            </w:r>
          </w:p>
        </w:tc>
        <w:tc>
          <w:tcPr>
            <w:tcW w:w="4021" w:type="dxa"/>
            <w:shd w:val="clear" w:color="auto" w:fill="auto"/>
            <w:vAlign w:val="center"/>
          </w:tcPr>
          <w:p w14:paraId="38727B4A">
            <w:pPr>
              <w:spacing w:line="240" w:lineRule="auto"/>
              <w:jc w:val="center"/>
              <w:rPr>
                <w:rFonts w:hint="eastAsia" w:ascii="宋体" w:hAnsi="宋体" w:cstheme="minorEastAsia"/>
                <w:sz w:val="18"/>
                <w:szCs w:val="18"/>
              </w:rPr>
            </w:pPr>
            <w:r>
              <w:rPr>
                <w:rFonts w:hint="eastAsia" w:ascii="宋体" w:hAnsi="宋体" w:cstheme="minorEastAsia"/>
                <w:sz w:val="18"/>
                <w:szCs w:val="18"/>
              </w:rPr>
              <w:t>扭力扳手，每1km每侧测5处</w:t>
            </w:r>
          </w:p>
        </w:tc>
      </w:tr>
      <w:tr w14:paraId="0D5A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182CFBEC">
            <w:pPr>
              <w:spacing w:line="240" w:lineRule="auto"/>
              <w:jc w:val="center"/>
              <w:rPr>
                <w:rFonts w:hint="eastAsia" w:ascii="宋体" w:hAnsi="宋体" w:cstheme="minorEastAsia"/>
                <w:sz w:val="18"/>
                <w:szCs w:val="18"/>
              </w:rPr>
            </w:pPr>
            <w:r>
              <w:rPr>
                <w:rFonts w:hint="eastAsia" w:ascii="宋体" w:hAnsi="宋体" w:cstheme="minorEastAsia"/>
                <w:sz w:val="18"/>
                <w:szCs w:val="18"/>
              </w:rPr>
              <w:t>7</w:t>
            </w:r>
          </w:p>
        </w:tc>
        <w:tc>
          <w:tcPr>
            <w:tcW w:w="2565" w:type="dxa"/>
            <w:shd w:val="clear" w:color="auto" w:fill="auto"/>
            <w:vAlign w:val="center"/>
          </w:tcPr>
          <w:p w14:paraId="10C9490E">
            <w:pPr>
              <w:spacing w:line="240" w:lineRule="auto"/>
              <w:jc w:val="center"/>
              <w:rPr>
                <w:rFonts w:hint="eastAsia" w:ascii="宋体" w:hAnsi="宋体" w:cstheme="minorEastAsia"/>
                <w:sz w:val="18"/>
                <w:szCs w:val="18"/>
              </w:rPr>
            </w:pPr>
            <w:r>
              <w:rPr>
                <w:rFonts w:hint="eastAsia" w:ascii="宋体" w:hAnsi="宋体" w:cstheme="minorEastAsia"/>
                <w:sz w:val="18"/>
                <w:szCs w:val="18"/>
                <w:lang w:eastAsia="zh-CN"/>
              </w:rPr>
              <w:t>反光圈</w:t>
            </w:r>
            <w:r>
              <w:rPr>
                <w:rFonts w:hint="eastAsia" w:ascii="宋体" w:hAnsi="宋体" w:cstheme="minorEastAsia"/>
                <w:sz w:val="18"/>
                <w:szCs w:val="18"/>
              </w:rPr>
              <w:t>逆反射系数</w:t>
            </w:r>
          </w:p>
          <w:p w14:paraId="15045A08">
            <w:pPr>
              <w:spacing w:line="240" w:lineRule="auto"/>
              <w:jc w:val="center"/>
              <w:rPr>
                <w:rFonts w:hint="eastAsia" w:ascii="宋体" w:hAnsi="宋体" w:cstheme="minorEastAsia"/>
                <w:sz w:val="18"/>
                <w:szCs w:val="18"/>
              </w:rPr>
            </w:pPr>
            <w:r>
              <w:rPr>
                <w:rFonts w:hint="eastAsia" w:ascii="宋体" w:hAnsi="宋体" w:cstheme="minorEastAsia"/>
                <w:sz w:val="18"/>
                <w:szCs w:val="18"/>
              </w:rPr>
              <w:t>（cd·lx</w:t>
            </w:r>
            <w:r>
              <w:rPr>
                <w:rFonts w:hint="eastAsia" w:ascii="宋体" w:hAnsi="宋体" w:cstheme="minorEastAsia"/>
                <w:sz w:val="18"/>
                <w:szCs w:val="18"/>
                <w:vertAlign w:val="superscript"/>
              </w:rPr>
              <w:t>-1</w:t>
            </w:r>
            <w:r>
              <w:rPr>
                <w:rFonts w:hint="eastAsia" w:ascii="宋体" w:hAnsi="宋体" w:cstheme="minorEastAsia"/>
                <w:sz w:val="18"/>
                <w:szCs w:val="18"/>
              </w:rPr>
              <w:t xml:space="preserve"> ·m</w:t>
            </w:r>
            <w:r>
              <w:rPr>
                <w:rFonts w:hint="eastAsia" w:ascii="宋体" w:hAnsi="宋体" w:cstheme="minorEastAsia"/>
                <w:sz w:val="18"/>
                <w:szCs w:val="18"/>
                <w:vertAlign w:val="superscript"/>
              </w:rPr>
              <w:t>-2</w:t>
            </w:r>
            <w:r>
              <w:rPr>
                <w:rFonts w:hint="eastAsia" w:ascii="宋体" w:hAnsi="宋体" w:cstheme="minorEastAsia"/>
                <w:sz w:val="18"/>
                <w:szCs w:val="18"/>
              </w:rPr>
              <w:t>）</w:t>
            </w:r>
          </w:p>
        </w:tc>
        <w:tc>
          <w:tcPr>
            <w:tcW w:w="1740" w:type="dxa"/>
            <w:shd w:val="clear" w:color="auto" w:fill="auto"/>
            <w:vAlign w:val="center"/>
          </w:tcPr>
          <w:p w14:paraId="62FEA45E">
            <w:pPr>
              <w:spacing w:line="240" w:lineRule="auto"/>
              <w:jc w:val="center"/>
              <w:rPr>
                <w:rFonts w:hint="eastAsia" w:ascii="宋体" w:hAnsi="宋体" w:cstheme="minorEastAsia"/>
                <w:sz w:val="18"/>
                <w:szCs w:val="18"/>
              </w:rPr>
            </w:pPr>
            <w:r>
              <w:rPr>
                <w:rFonts w:hint="eastAsia" w:ascii="宋体" w:hAnsi="宋体" w:cstheme="minorEastAsia"/>
                <w:sz w:val="18"/>
                <w:szCs w:val="18"/>
              </w:rPr>
              <w:t>满足设计要求</w:t>
            </w:r>
          </w:p>
        </w:tc>
        <w:tc>
          <w:tcPr>
            <w:tcW w:w="4021" w:type="dxa"/>
            <w:shd w:val="clear" w:color="auto" w:fill="auto"/>
            <w:vAlign w:val="center"/>
          </w:tcPr>
          <w:p w14:paraId="5DF4A494">
            <w:pPr>
              <w:spacing w:line="240" w:lineRule="auto"/>
              <w:jc w:val="center"/>
              <w:rPr>
                <w:rFonts w:hint="eastAsia" w:ascii="宋体" w:hAnsi="宋体" w:cstheme="minorEastAsia"/>
                <w:sz w:val="18"/>
                <w:szCs w:val="18"/>
              </w:rPr>
            </w:pPr>
            <w:r>
              <w:rPr>
                <w:rFonts w:hint="eastAsia" w:ascii="宋体" w:hAnsi="宋体" w:cstheme="minorEastAsia"/>
                <w:sz w:val="18"/>
                <w:szCs w:val="18"/>
              </w:rPr>
              <w:t>逆反射系数测试仪；抽查旋转筒数量的 5%，且不少于10个</w:t>
            </w:r>
          </w:p>
        </w:tc>
      </w:tr>
      <w:tr w14:paraId="44EE4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6CAAE5F4">
            <w:pPr>
              <w:spacing w:line="240" w:lineRule="auto"/>
              <w:jc w:val="center"/>
              <w:rPr>
                <w:rFonts w:hint="eastAsia" w:ascii="宋体" w:hAnsi="宋体" w:cstheme="minorEastAsia"/>
                <w:sz w:val="18"/>
                <w:szCs w:val="18"/>
              </w:rPr>
            </w:pPr>
            <w:r>
              <w:rPr>
                <w:rFonts w:hint="eastAsia" w:ascii="宋体" w:hAnsi="宋体" w:cstheme="minorEastAsia"/>
                <w:sz w:val="18"/>
                <w:szCs w:val="18"/>
              </w:rPr>
              <w:t>8</w:t>
            </w:r>
          </w:p>
        </w:tc>
        <w:tc>
          <w:tcPr>
            <w:tcW w:w="2565" w:type="dxa"/>
            <w:shd w:val="clear" w:color="auto" w:fill="auto"/>
            <w:vAlign w:val="center"/>
          </w:tcPr>
          <w:p w14:paraId="7344BFBE">
            <w:pPr>
              <w:spacing w:line="240" w:lineRule="auto"/>
              <w:jc w:val="center"/>
              <w:rPr>
                <w:rFonts w:hint="eastAsia" w:ascii="宋体" w:hAnsi="宋体" w:cstheme="minorEastAsia"/>
                <w:sz w:val="18"/>
                <w:szCs w:val="18"/>
              </w:rPr>
            </w:pPr>
            <w:r>
              <w:rPr>
                <w:rFonts w:hint="eastAsia" w:ascii="宋体" w:hAnsi="宋体" w:cstheme="minorEastAsia"/>
                <w:sz w:val="18"/>
                <w:szCs w:val="18"/>
              </w:rPr>
              <w:t>上横梁中心高度（mm）</w:t>
            </w:r>
          </w:p>
        </w:tc>
        <w:tc>
          <w:tcPr>
            <w:tcW w:w="1740" w:type="dxa"/>
            <w:shd w:val="clear" w:color="auto" w:fill="auto"/>
            <w:vAlign w:val="center"/>
          </w:tcPr>
          <w:p w14:paraId="2F7CD0D7">
            <w:pPr>
              <w:spacing w:line="240" w:lineRule="auto"/>
              <w:jc w:val="center"/>
              <w:rPr>
                <w:rFonts w:hint="eastAsia" w:ascii="宋体" w:hAnsi="宋体" w:cstheme="minorEastAsia"/>
                <w:sz w:val="18"/>
                <w:szCs w:val="18"/>
              </w:rPr>
            </w:pPr>
            <w:r>
              <w:rPr>
                <w:rFonts w:hint="eastAsia" w:ascii="宋体" w:hAnsi="宋体" w:cstheme="minorEastAsia"/>
                <w:sz w:val="18"/>
                <w:szCs w:val="18"/>
              </w:rPr>
              <w:t xml:space="preserve"> ±20</w:t>
            </w:r>
          </w:p>
        </w:tc>
        <w:tc>
          <w:tcPr>
            <w:tcW w:w="4021" w:type="dxa"/>
            <w:shd w:val="clear" w:color="auto" w:fill="auto"/>
            <w:vAlign w:val="center"/>
          </w:tcPr>
          <w:p w14:paraId="62648279">
            <w:pPr>
              <w:spacing w:line="240" w:lineRule="auto"/>
              <w:jc w:val="center"/>
              <w:rPr>
                <w:rFonts w:hint="eastAsia" w:ascii="宋体" w:hAnsi="宋体" w:cstheme="minorEastAsia"/>
                <w:sz w:val="18"/>
                <w:szCs w:val="18"/>
              </w:rPr>
            </w:pPr>
            <w:r>
              <w:rPr>
                <w:rFonts w:hint="eastAsia" w:ascii="宋体" w:hAnsi="宋体" w:cstheme="minorEastAsia"/>
                <w:sz w:val="18"/>
                <w:szCs w:val="18"/>
              </w:rPr>
              <w:t>尺量，每1km每侧测5处</w:t>
            </w:r>
          </w:p>
        </w:tc>
      </w:tr>
      <w:tr w14:paraId="17EA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046FA3CF">
            <w:pPr>
              <w:spacing w:line="240" w:lineRule="auto"/>
              <w:jc w:val="center"/>
              <w:rPr>
                <w:rFonts w:hint="eastAsia" w:ascii="宋体" w:hAnsi="宋体" w:cstheme="minorEastAsia"/>
                <w:sz w:val="18"/>
                <w:szCs w:val="18"/>
              </w:rPr>
            </w:pPr>
            <w:r>
              <w:rPr>
                <w:rFonts w:hint="eastAsia" w:ascii="宋体" w:hAnsi="宋体" w:cstheme="minorEastAsia"/>
                <w:sz w:val="18"/>
                <w:szCs w:val="18"/>
              </w:rPr>
              <w:t>9</w:t>
            </w:r>
          </w:p>
        </w:tc>
        <w:tc>
          <w:tcPr>
            <w:tcW w:w="2565" w:type="dxa"/>
            <w:shd w:val="clear" w:color="auto" w:fill="auto"/>
            <w:vAlign w:val="center"/>
          </w:tcPr>
          <w:p w14:paraId="49EBE02A">
            <w:pPr>
              <w:spacing w:line="240" w:lineRule="auto"/>
              <w:jc w:val="center"/>
              <w:rPr>
                <w:rFonts w:hint="eastAsia" w:ascii="宋体" w:hAnsi="宋体" w:cstheme="minorEastAsia"/>
                <w:sz w:val="18"/>
                <w:szCs w:val="18"/>
              </w:rPr>
            </w:pPr>
            <w:r>
              <w:rPr>
                <w:rFonts w:hint="eastAsia" w:ascii="宋体" w:hAnsi="宋体" w:cstheme="minorEastAsia"/>
                <w:sz w:val="18"/>
                <w:szCs w:val="18"/>
              </w:rPr>
              <w:t>下横梁中心高度（mm）</w:t>
            </w:r>
          </w:p>
        </w:tc>
        <w:tc>
          <w:tcPr>
            <w:tcW w:w="1740" w:type="dxa"/>
            <w:shd w:val="clear" w:color="auto" w:fill="auto"/>
            <w:vAlign w:val="center"/>
          </w:tcPr>
          <w:p w14:paraId="79038C49">
            <w:pPr>
              <w:spacing w:line="240" w:lineRule="auto"/>
              <w:jc w:val="center"/>
              <w:rPr>
                <w:rFonts w:hint="eastAsia" w:ascii="宋体" w:hAnsi="宋体" w:cstheme="minorEastAsia"/>
                <w:sz w:val="18"/>
                <w:szCs w:val="18"/>
              </w:rPr>
            </w:pPr>
            <w:r>
              <w:rPr>
                <w:rFonts w:hint="eastAsia" w:ascii="宋体" w:hAnsi="宋体" w:cstheme="minorEastAsia"/>
                <w:sz w:val="18"/>
                <w:szCs w:val="18"/>
              </w:rPr>
              <w:t>±20</w:t>
            </w:r>
          </w:p>
        </w:tc>
        <w:tc>
          <w:tcPr>
            <w:tcW w:w="4021" w:type="dxa"/>
            <w:shd w:val="clear" w:color="auto" w:fill="auto"/>
            <w:vAlign w:val="center"/>
          </w:tcPr>
          <w:p w14:paraId="1829D557">
            <w:pPr>
              <w:spacing w:line="240" w:lineRule="auto"/>
              <w:jc w:val="center"/>
              <w:rPr>
                <w:rFonts w:hint="eastAsia" w:ascii="宋体" w:hAnsi="宋体" w:cstheme="minorEastAsia"/>
                <w:sz w:val="18"/>
                <w:szCs w:val="18"/>
              </w:rPr>
            </w:pPr>
            <w:r>
              <w:rPr>
                <w:rFonts w:hint="eastAsia" w:ascii="宋体" w:hAnsi="宋体" w:cstheme="minorEastAsia"/>
                <w:sz w:val="18"/>
                <w:szCs w:val="18"/>
              </w:rPr>
              <w:t>尺量，每1km每侧测5处</w:t>
            </w:r>
          </w:p>
        </w:tc>
      </w:tr>
      <w:tr w14:paraId="217A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0F79304C">
            <w:pPr>
              <w:spacing w:line="240" w:lineRule="auto"/>
              <w:jc w:val="center"/>
              <w:rPr>
                <w:rFonts w:hint="eastAsia" w:ascii="宋体" w:hAnsi="宋体" w:cstheme="minorEastAsia"/>
                <w:sz w:val="18"/>
                <w:szCs w:val="18"/>
              </w:rPr>
            </w:pPr>
            <w:r>
              <w:rPr>
                <w:rFonts w:hint="eastAsia" w:ascii="宋体" w:hAnsi="宋体" w:cstheme="minorEastAsia"/>
                <w:sz w:val="18"/>
                <w:szCs w:val="18"/>
              </w:rPr>
              <w:t>10</w:t>
            </w:r>
          </w:p>
        </w:tc>
        <w:tc>
          <w:tcPr>
            <w:tcW w:w="2565" w:type="dxa"/>
            <w:shd w:val="clear" w:color="auto" w:fill="auto"/>
            <w:vAlign w:val="center"/>
          </w:tcPr>
          <w:p w14:paraId="373E9E50">
            <w:pPr>
              <w:spacing w:line="240" w:lineRule="auto"/>
              <w:jc w:val="center"/>
              <w:rPr>
                <w:rFonts w:hint="eastAsia" w:ascii="宋体" w:hAnsi="宋体" w:cstheme="minorEastAsia"/>
                <w:sz w:val="18"/>
                <w:szCs w:val="18"/>
              </w:rPr>
            </w:pPr>
            <w:r>
              <w:rPr>
                <w:rFonts w:hint="eastAsia" w:ascii="宋体" w:hAnsi="宋体" w:cstheme="minorEastAsia"/>
                <w:sz w:val="18"/>
                <w:szCs w:val="18"/>
              </w:rPr>
              <w:t>立柱竖直度（mm/m）</w:t>
            </w:r>
          </w:p>
        </w:tc>
        <w:tc>
          <w:tcPr>
            <w:tcW w:w="1740" w:type="dxa"/>
            <w:shd w:val="clear" w:color="auto" w:fill="auto"/>
            <w:vAlign w:val="center"/>
          </w:tcPr>
          <w:p w14:paraId="784C4092">
            <w:pPr>
              <w:spacing w:line="240" w:lineRule="auto"/>
              <w:jc w:val="center"/>
              <w:rPr>
                <w:rFonts w:hint="eastAsia" w:ascii="宋体" w:hAnsi="宋体" w:cstheme="minorEastAsia"/>
                <w:sz w:val="18"/>
                <w:szCs w:val="18"/>
              </w:rPr>
            </w:pPr>
            <w:r>
              <w:rPr>
                <w:rFonts w:hint="eastAsia" w:ascii="宋体" w:hAnsi="宋体" w:cstheme="minorEastAsia"/>
                <w:sz w:val="18"/>
                <w:szCs w:val="18"/>
              </w:rPr>
              <w:t>±10</w:t>
            </w:r>
          </w:p>
        </w:tc>
        <w:tc>
          <w:tcPr>
            <w:tcW w:w="4021" w:type="dxa"/>
            <w:shd w:val="clear" w:color="auto" w:fill="auto"/>
            <w:vAlign w:val="center"/>
          </w:tcPr>
          <w:p w14:paraId="20561541">
            <w:pPr>
              <w:spacing w:line="240" w:lineRule="auto"/>
              <w:jc w:val="center"/>
              <w:rPr>
                <w:rFonts w:hint="eastAsia" w:ascii="宋体" w:hAnsi="宋体" w:cstheme="minorEastAsia"/>
                <w:sz w:val="18"/>
                <w:szCs w:val="18"/>
              </w:rPr>
            </w:pPr>
            <w:r>
              <w:rPr>
                <w:rFonts w:hint="eastAsia" w:ascii="宋体" w:hAnsi="宋体" w:cstheme="minorEastAsia"/>
                <w:sz w:val="18"/>
                <w:szCs w:val="18"/>
              </w:rPr>
              <w:t>垂线法，每1km每侧测5处</w:t>
            </w:r>
          </w:p>
        </w:tc>
      </w:tr>
      <w:tr w14:paraId="57E2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1008" w:type="dxa"/>
            <w:shd w:val="clear" w:color="auto" w:fill="auto"/>
            <w:vAlign w:val="center"/>
          </w:tcPr>
          <w:p w14:paraId="67421DEA">
            <w:pPr>
              <w:spacing w:line="240" w:lineRule="auto"/>
              <w:jc w:val="center"/>
              <w:rPr>
                <w:rFonts w:hint="eastAsia" w:ascii="宋体" w:hAnsi="宋体" w:cstheme="minorEastAsia"/>
                <w:sz w:val="18"/>
                <w:szCs w:val="18"/>
              </w:rPr>
            </w:pPr>
            <w:r>
              <w:rPr>
                <w:rFonts w:hint="eastAsia" w:ascii="宋体" w:hAnsi="宋体" w:cstheme="minorEastAsia"/>
                <w:sz w:val="18"/>
                <w:szCs w:val="18"/>
              </w:rPr>
              <w:t>11</w:t>
            </w:r>
          </w:p>
        </w:tc>
        <w:tc>
          <w:tcPr>
            <w:tcW w:w="2565" w:type="dxa"/>
            <w:shd w:val="clear" w:color="auto" w:fill="auto"/>
            <w:vAlign w:val="center"/>
          </w:tcPr>
          <w:p w14:paraId="6E829B42">
            <w:pPr>
              <w:spacing w:line="240" w:lineRule="auto"/>
              <w:jc w:val="center"/>
              <w:rPr>
                <w:rFonts w:hint="eastAsia" w:ascii="宋体" w:hAnsi="宋体" w:cstheme="minorEastAsia"/>
                <w:sz w:val="18"/>
                <w:szCs w:val="18"/>
              </w:rPr>
            </w:pPr>
            <w:r>
              <w:rPr>
                <w:rFonts w:hint="eastAsia" w:ascii="宋体" w:hAnsi="宋体" w:cstheme="minorEastAsia"/>
                <w:sz w:val="18"/>
                <w:szCs w:val="18"/>
              </w:rPr>
              <w:t>立柱埋深（mm）</w:t>
            </w:r>
          </w:p>
        </w:tc>
        <w:tc>
          <w:tcPr>
            <w:tcW w:w="1740" w:type="dxa"/>
            <w:shd w:val="clear" w:color="auto" w:fill="auto"/>
            <w:vAlign w:val="center"/>
          </w:tcPr>
          <w:p w14:paraId="238B197B">
            <w:pPr>
              <w:spacing w:line="240" w:lineRule="auto"/>
              <w:jc w:val="center"/>
              <w:rPr>
                <w:rFonts w:hint="eastAsia" w:ascii="宋体" w:hAnsi="宋体" w:cstheme="minorEastAsia"/>
                <w:sz w:val="18"/>
                <w:szCs w:val="18"/>
              </w:rPr>
            </w:pPr>
            <w:r>
              <w:rPr>
                <w:rFonts w:hint="eastAsia" w:ascii="宋体" w:hAnsi="宋体" w:cstheme="minorEastAsia"/>
                <w:sz w:val="18"/>
                <w:szCs w:val="18"/>
              </w:rPr>
              <w:t>不小于设计要求</w:t>
            </w:r>
          </w:p>
        </w:tc>
        <w:tc>
          <w:tcPr>
            <w:tcW w:w="4021" w:type="dxa"/>
            <w:shd w:val="clear" w:color="auto" w:fill="auto"/>
            <w:vAlign w:val="center"/>
          </w:tcPr>
          <w:p w14:paraId="2A5D49BE">
            <w:pPr>
              <w:spacing w:line="240" w:lineRule="auto"/>
              <w:jc w:val="center"/>
              <w:rPr>
                <w:rFonts w:hint="eastAsia" w:ascii="宋体" w:hAnsi="宋体" w:cstheme="minorEastAsia"/>
                <w:sz w:val="18"/>
                <w:szCs w:val="18"/>
              </w:rPr>
            </w:pPr>
            <w:r>
              <w:rPr>
                <w:rFonts w:hint="eastAsia" w:ascii="宋体" w:hAnsi="宋体" w:cstheme="minorEastAsia"/>
                <w:sz w:val="18"/>
                <w:szCs w:val="18"/>
              </w:rPr>
              <w:t>埋深测量仪，每1km每侧测5处</w:t>
            </w:r>
          </w:p>
        </w:tc>
      </w:tr>
    </w:tbl>
    <w:p w14:paraId="338BB5F3">
      <w:pPr>
        <w:pStyle w:val="165"/>
      </w:pPr>
      <w:r>
        <w:rPr>
          <w:rFonts w:hint="eastAsia"/>
        </w:rPr>
        <w:t>旋转式防撞护栏验收的外观质量应符合下列规定：</w:t>
      </w:r>
    </w:p>
    <w:p w14:paraId="11D009B1">
      <w:pPr>
        <w:pStyle w:val="112"/>
        <w:numPr>
          <w:ilvl w:val="1"/>
          <w:numId w:val="34"/>
        </w:numPr>
      </w:pPr>
      <w:r>
        <w:rPr>
          <w:rFonts w:hint="eastAsia"/>
        </w:rPr>
        <w:t>旋转筒的外观颜色应均匀一致，边缘圆滑，表面无剥离，整体成型完整、无明显歪斜；</w:t>
      </w:r>
      <w:r>
        <w:rPr>
          <w:rFonts w:hint="eastAsia"/>
          <w:lang w:eastAsia="zh-CN"/>
        </w:rPr>
        <w:t>反光圈</w:t>
      </w:r>
      <w:r>
        <w:rPr>
          <w:rFonts w:hint="eastAsia"/>
        </w:rPr>
        <w:t>应有平滑、洁净的外表面，不应有明显的划痕、条纹、气泡、颜色及逆反射不均匀等缺陷；</w:t>
      </w:r>
    </w:p>
    <w:p w14:paraId="751079AE">
      <w:pPr>
        <w:pStyle w:val="112"/>
        <w:numPr>
          <w:ilvl w:val="1"/>
          <w:numId w:val="34"/>
        </w:numPr>
      </w:pPr>
      <w:r>
        <w:rPr>
          <w:rFonts w:hint="eastAsia"/>
        </w:rPr>
        <w:t>回旋圈的外形不得有明显的扭转，回旋圈的内外环面切口应平直；</w:t>
      </w:r>
    </w:p>
    <w:p w14:paraId="1418F2C3">
      <w:pPr>
        <w:pStyle w:val="112"/>
        <w:numPr>
          <w:ilvl w:val="1"/>
          <w:numId w:val="34"/>
        </w:numPr>
      </w:pPr>
      <w:r>
        <w:rPr>
          <w:rFonts w:hint="eastAsia"/>
        </w:rPr>
        <w:t>立柱端面切口应垂直，其垂直度公差不得超过1º；</w:t>
      </w:r>
    </w:p>
    <w:p w14:paraId="1C25E1B5">
      <w:pPr>
        <w:pStyle w:val="112"/>
        <w:numPr>
          <w:ilvl w:val="1"/>
          <w:numId w:val="34"/>
        </w:numPr>
      </w:pPr>
      <w:r>
        <w:rPr>
          <w:rFonts w:hint="eastAsia"/>
        </w:rPr>
        <w:t>横梁、连接架的弯曲度每米不得大于1.5 mm，总弯曲度不得大于定尺长度的0.15 %，端面切口应垂直，其垂直度公差不得超过30′，并不得有明显的扭转；</w:t>
      </w:r>
    </w:p>
    <w:p w14:paraId="74509F70">
      <w:pPr>
        <w:pStyle w:val="112"/>
        <w:numPr>
          <w:ilvl w:val="1"/>
          <w:numId w:val="34"/>
        </w:numPr>
      </w:pPr>
      <w:r>
        <w:rPr>
          <w:rFonts w:hint="eastAsia"/>
        </w:rPr>
        <w:t>端头不得有明显的扭转，切口应垂直，其垂直度公差不得超过30′，曲线部分应圆滑平顺。</w:t>
      </w:r>
    </w:p>
    <w:p w14:paraId="31F5C17D">
      <w:pPr>
        <w:pStyle w:val="112"/>
        <w:numPr>
          <w:ilvl w:val="0"/>
          <w:numId w:val="0"/>
        </w:numPr>
        <w:sectPr>
          <w:footerReference r:id="rId15" w:type="default"/>
          <w:footerReference r:id="rId16" w:type="even"/>
          <w:pgSz w:w="11906" w:h="16838"/>
          <w:pgMar w:top="1928" w:right="1134" w:bottom="1134" w:left="1134" w:header="1418" w:footer="1134" w:gutter="284"/>
          <w:pgNumType w:start="1"/>
          <w:cols w:space="425" w:num="1"/>
          <w:formProt w:val="0"/>
          <w:docGrid w:type="lines" w:linePitch="312" w:charSpace="0"/>
        </w:sectPr>
      </w:pPr>
    </w:p>
    <w:p w14:paraId="586C5214">
      <w:pPr>
        <w:pStyle w:val="79"/>
      </w:pPr>
      <w:bookmarkStart w:id="72" w:name="_Toc19495"/>
      <w:bookmarkEnd w:id="72"/>
    </w:p>
    <w:p w14:paraId="4E959DC9">
      <w:pPr>
        <w:pStyle w:val="79"/>
        <w:numPr>
          <w:ilvl w:val="0"/>
          <w:numId w:val="0"/>
        </w:numPr>
      </w:pPr>
      <w:bookmarkStart w:id="73" w:name="_Toc4472"/>
      <w:bookmarkStart w:id="74" w:name="_Toc24325"/>
      <w:r>
        <w:rPr>
          <w:rFonts w:hint="eastAsia"/>
        </w:rPr>
        <w:t>（规范性）</w:t>
      </w:r>
      <w:bookmarkEnd w:id="73"/>
      <w:bookmarkEnd w:id="74"/>
    </w:p>
    <w:p w14:paraId="5CD2FDA9">
      <w:pPr>
        <w:pStyle w:val="173"/>
      </w:pPr>
      <w:r>
        <w:rPr>
          <w:rFonts w:hint="eastAsia"/>
        </w:rPr>
        <w:t>旋转式护栏的外形尺寸与允许偏差</w:t>
      </w:r>
    </w:p>
    <w:p w14:paraId="255A2DD7">
      <w:pPr>
        <w:pStyle w:val="81"/>
        <w:spacing w:before="156" w:after="156"/>
      </w:pPr>
      <w:bookmarkStart w:id="75" w:name="_Toc12679"/>
      <w:bookmarkStart w:id="76" w:name="_Toc29285"/>
      <w:r>
        <w:rPr>
          <w:rFonts w:hint="eastAsia"/>
        </w:rPr>
        <w:t>旋转筒</w:t>
      </w:r>
      <w:bookmarkEnd w:id="75"/>
      <w:bookmarkEnd w:id="76"/>
    </w:p>
    <w:p w14:paraId="0F9D44BC">
      <w:pPr>
        <w:pStyle w:val="59"/>
      </w:pPr>
      <w:r>
        <w:rPr>
          <w:rFonts w:hint="eastAsia"/>
        </w:rPr>
        <w:t>旋转筒的外形见图A.1，其公称尺寸及允许偏差应符合表A.1的规定</w:t>
      </w:r>
    </w:p>
    <w:p w14:paraId="1F62998B">
      <w:pPr>
        <w:pStyle w:val="59"/>
        <w:ind w:firstLine="0" w:firstLineChars="0"/>
        <w:jc w:val="center"/>
      </w:pPr>
      <w:r>
        <w:drawing>
          <wp:inline distT="0" distB="0" distL="0" distR="0">
            <wp:extent cx="3644265" cy="25679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l="27464" t="14795" r="21189" b="34004"/>
                    <a:stretch>
                      <a:fillRect/>
                    </a:stretch>
                  </pic:blipFill>
                  <pic:spPr>
                    <a:xfrm>
                      <a:off x="0" y="0"/>
                      <a:ext cx="3646628" cy="2569915"/>
                    </a:xfrm>
                    <a:prstGeom prst="rect">
                      <a:avLst/>
                    </a:prstGeom>
                    <a:noFill/>
                    <a:ln>
                      <a:noFill/>
                    </a:ln>
                  </pic:spPr>
                </pic:pic>
              </a:graphicData>
            </a:graphic>
          </wp:inline>
        </w:drawing>
      </w:r>
    </w:p>
    <w:p w14:paraId="24A93AA5">
      <w:pPr>
        <w:pStyle w:val="86"/>
        <w:spacing w:before="156" w:after="156"/>
      </w:pPr>
      <w:r>
        <w:rPr>
          <w:rFonts w:hint="eastAsia"/>
        </w:rPr>
        <w:t>旋转筒外形图</w:t>
      </w:r>
    </w:p>
    <w:p w14:paraId="0B3B9AEB">
      <w:pPr>
        <w:pStyle w:val="80"/>
        <w:spacing w:before="156" w:after="156"/>
      </w:pPr>
      <w:r>
        <w:rPr>
          <w:rFonts w:hint="eastAsia"/>
        </w:rPr>
        <w:t xml:space="preserve"> 旋转筒公称尺寸及允许偏差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4D7A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08B2EE16">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536464C2">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057F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67A02279">
            <w:pPr>
              <w:spacing w:line="240" w:lineRule="auto"/>
              <w:jc w:val="center"/>
              <w:rPr>
                <w:rFonts w:hint="eastAsia" w:ascii="宋体" w:hAnsi="宋体" w:cstheme="minorEastAsia"/>
                <w:sz w:val="18"/>
                <w:szCs w:val="18"/>
                <w:highlight w:val="none"/>
              </w:rPr>
            </w:pPr>
            <w:r>
              <w:rPr>
                <w:rFonts w:hint="eastAsia" w:ascii="宋体" w:hAnsi="宋体" w:cstheme="minorEastAsia"/>
                <w:sz w:val="18"/>
                <w:szCs w:val="18"/>
                <w:highlight w:val="none"/>
              </w:rPr>
              <w:t>D</w:t>
            </w:r>
            <w:r>
              <w:rPr>
                <w:rFonts w:hint="eastAsia" w:ascii="宋体" w:hAnsi="宋体" w:cstheme="minorEastAsia"/>
                <w:sz w:val="18"/>
                <w:szCs w:val="18"/>
                <w:highlight w:val="none"/>
                <w:lang w:val="en-US" w:eastAsia="zh-CN"/>
              </w:rPr>
              <w:t>(旋转筒外径）</w:t>
            </w:r>
          </w:p>
        </w:tc>
        <w:tc>
          <w:tcPr>
            <w:tcW w:w="4764" w:type="dxa"/>
            <w:shd w:val="clear" w:color="auto" w:fill="auto"/>
            <w:vAlign w:val="center"/>
          </w:tcPr>
          <w:p w14:paraId="055769BB">
            <w:pPr>
              <w:spacing w:line="240" w:lineRule="auto"/>
              <w:jc w:val="center"/>
              <w:rPr>
                <w:rFonts w:hint="eastAsia" w:ascii="宋体" w:hAnsi="宋体" w:cstheme="minorEastAsia"/>
                <w:sz w:val="18"/>
                <w:szCs w:val="18"/>
              </w:rPr>
            </w:pPr>
            <w:r>
              <w:rPr>
                <w:rFonts w:hint="eastAsia" w:ascii="宋体" w:hAnsi="宋体" w:cstheme="minorEastAsia"/>
                <w:sz w:val="18"/>
                <w:szCs w:val="18"/>
              </w:rPr>
              <w:t>350（±5）</w:t>
            </w:r>
          </w:p>
        </w:tc>
      </w:tr>
      <w:tr w14:paraId="42C6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61C8CF7">
            <w:pPr>
              <w:spacing w:line="240" w:lineRule="auto"/>
              <w:jc w:val="center"/>
              <w:rPr>
                <w:rFonts w:hint="eastAsia" w:ascii="宋体" w:hAnsi="宋体" w:cstheme="minorEastAsia"/>
                <w:sz w:val="18"/>
                <w:szCs w:val="18"/>
                <w:highlight w:val="none"/>
              </w:rPr>
            </w:pPr>
            <w:r>
              <w:rPr>
                <w:rFonts w:hint="eastAsia" w:ascii="宋体" w:hAnsi="宋体" w:cstheme="minorEastAsia"/>
                <w:sz w:val="18"/>
                <w:szCs w:val="18"/>
                <w:highlight w:val="none"/>
              </w:rPr>
              <w:t>L</w:t>
            </w:r>
            <w:r>
              <w:rPr>
                <w:rFonts w:hint="eastAsia" w:ascii="宋体" w:hAnsi="宋体" w:cstheme="minorEastAsia"/>
                <w:sz w:val="18"/>
                <w:szCs w:val="18"/>
                <w:highlight w:val="none"/>
                <w:lang w:val="en-US" w:eastAsia="zh-CN"/>
              </w:rPr>
              <w:t>（旋转筒高度）</w:t>
            </w:r>
          </w:p>
        </w:tc>
        <w:tc>
          <w:tcPr>
            <w:tcW w:w="4764" w:type="dxa"/>
            <w:shd w:val="clear" w:color="auto" w:fill="auto"/>
            <w:vAlign w:val="center"/>
          </w:tcPr>
          <w:p w14:paraId="60589E85">
            <w:pPr>
              <w:spacing w:line="240" w:lineRule="auto"/>
              <w:jc w:val="center"/>
              <w:rPr>
                <w:rFonts w:hint="eastAsia" w:ascii="宋体" w:hAnsi="宋体" w:cstheme="minorEastAsia"/>
                <w:sz w:val="18"/>
                <w:szCs w:val="18"/>
              </w:rPr>
            </w:pPr>
            <w:r>
              <w:rPr>
                <w:rFonts w:hint="eastAsia" w:ascii="宋体" w:hAnsi="宋体" w:cstheme="minorEastAsia"/>
                <w:sz w:val="18"/>
                <w:szCs w:val="18"/>
              </w:rPr>
              <w:t>238（±10）/490（±10）</w:t>
            </w:r>
          </w:p>
        </w:tc>
      </w:tr>
      <w:tr w14:paraId="4DDDD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4921B7FA">
            <w:pPr>
              <w:spacing w:line="240" w:lineRule="auto"/>
              <w:jc w:val="center"/>
              <w:rPr>
                <w:rFonts w:hint="eastAsia" w:ascii="宋体" w:hAnsi="宋体" w:cstheme="minorEastAsia"/>
                <w:sz w:val="18"/>
                <w:szCs w:val="18"/>
                <w:highlight w:val="none"/>
              </w:rPr>
            </w:pPr>
            <w:r>
              <w:rPr>
                <w:rFonts w:hint="eastAsia" w:ascii="宋体" w:hAnsi="宋体" w:cstheme="minorEastAsia"/>
                <w:sz w:val="18"/>
                <w:szCs w:val="18"/>
                <w:highlight w:val="none"/>
              </w:rPr>
              <w:t>d</w:t>
            </w:r>
            <w:r>
              <w:rPr>
                <w:rFonts w:hint="eastAsia" w:ascii="宋体" w:hAnsi="宋体" w:cstheme="minorEastAsia"/>
                <w:sz w:val="18"/>
                <w:szCs w:val="18"/>
                <w:highlight w:val="none"/>
                <w:lang w:val="en-US" w:eastAsia="zh-CN"/>
              </w:rPr>
              <w:t>（旋转筒内径）</w:t>
            </w:r>
          </w:p>
        </w:tc>
        <w:tc>
          <w:tcPr>
            <w:tcW w:w="4764" w:type="dxa"/>
            <w:shd w:val="clear" w:color="auto" w:fill="auto"/>
            <w:vAlign w:val="center"/>
          </w:tcPr>
          <w:p w14:paraId="2D9BD241">
            <w:pPr>
              <w:spacing w:line="240" w:lineRule="auto"/>
              <w:jc w:val="center"/>
              <w:rPr>
                <w:rFonts w:hint="eastAsia" w:ascii="宋体" w:hAnsi="宋体" w:cstheme="minorEastAsia"/>
                <w:sz w:val="18"/>
                <w:szCs w:val="18"/>
              </w:rPr>
            </w:pPr>
            <w:r>
              <w:rPr>
                <w:rFonts w:hint="eastAsia" w:ascii="宋体" w:hAnsi="宋体" w:cstheme="minorEastAsia"/>
                <w:sz w:val="18"/>
                <w:szCs w:val="18"/>
              </w:rPr>
              <w:t>145（±2）</w:t>
            </w:r>
          </w:p>
        </w:tc>
      </w:tr>
      <w:tr w14:paraId="7460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52CE9FF1">
            <w:pPr>
              <w:spacing w:line="240" w:lineRule="auto"/>
              <w:jc w:val="center"/>
              <w:rPr>
                <w:rFonts w:hint="eastAsia" w:ascii="宋体" w:hAnsi="宋体" w:cstheme="minorEastAsia"/>
                <w:sz w:val="18"/>
                <w:szCs w:val="18"/>
                <w:highlight w:val="none"/>
              </w:rPr>
            </w:pPr>
            <w:r>
              <w:rPr>
                <w:rFonts w:hint="eastAsia" w:ascii="宋体" w:hAnsi="宋体" w:cstheme="minorEastAsia"/>
                <w:sz w:val="18"/>
                <w:szCs w:val="18"/>
                <w:highlight w:val="none"/>
              </w:rPr>
              <w:t>h1</w:t>
            </w:r>
            <w:r>
              <w:rPr>
                <w:rFonts w:hint="eastAsia" w:ascii="宋体" w:hAnsi="宋体" w:cstheme="minorEastAsia"/>
                <w:sz w:val="18"/>
                <w:szCs w:val="18"/>
                <w:highlight w:val="none"/>
                <w:lang w:val="en-US" w:eastAsia="zh-CN"/>
              </w:rPr>
              <w:t>（旋转筒上下离反光膜高）</w:t>
            </w:r>
          </w:p>
        </w:tc>
        <w:tc>
          <w:tcPr>
            <w:tcW w:w="4764" w:type="dxa"/>
            <w:shd w:val="clear" w:color="auto" w:fill="auto"/>
            <w:vAlign w:val="center"/>
          </w:tcPr>
          <w:p w14:paraId="5BDACFBE">
            <w:pPr>
              <w:spacing w:line="240" w:lineRule="auto"/>
              <w:jc w:val="center"/>
              <w:rPr>
                <w:rFonts w:hint="eastAsia" w:ascii="宋体" w:hAnsi="宋体" w:cstheme="minorEastAsia"/>
                <w:sz w:val="18"/>
                <w:szCs w:val="18"/>
              </w:rPr>
            </w:pPr>
            <w:r>
              <w:rPr>
                <w:rFonts w:hint="eastAsia" w:ascii="宋体" w:hAnsi="宋体" w:cstheme="minorEastAsia"/>
                <w:sz w:val="18"/>
                <w:szCs w:val="18"/>
              </w:rPr>
              <w:t>92（±2）</w:t>
            </w:r>
          </w:p>
        </w:tc>
      </w:tr>
      <w:tr w14:paraId="5E7A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392C9C3B">
            <w:pPr>
              <w:spacing w:line="240" w:lineRule="auto"/>
              <w:jc w:val="center"/>
              <w:rPr>
                <w:rFonts w:hint="eastAsia" w:ascii="宋体" w:hAnsi="宋体" w:cstheme="minorEastAsia"/>
                <w:sz w:val="18"/>
                <w:szCs w:val="18"/>
                <w:highlight w:val="none"/>
              </w:rPr>
            </w:pPr>
            <w:r>
              <w:rPr>
                <w:rFonts w:hint="eastAsia" w:ascii="宋体" w:hAnsi="宋体" w:cstheme="minorEastAsia"/>
                <w:sz w:val="18"/>
                <w:szCs w:val="18"/>
                <w:highlight w:val="none"/>
              </w:rPr>
              <w:t>h2</w:t>
            </w:r>
            <w:r>
              <w:rPr>
                <w:rFonts w:hint="eastAsia" w:ascii="宋体" w:hAnsi="宋体" w:cstheme="minorEastAsia"/>
                <w:sz w:val="18"/>
                <w:szCs w:val="18"/>
                <w:highlight w:val="none"/>
                <w:lang w:val="en-US" w:eastAsia="zh-CN"/>
              </w:rPr>
              <w:t>（旋转筒贴反光膜宽）</w:t>
            </w:r>
          </w:p>
        </w:tc>
        <w:tc>
          <w:tcPr>
            <w:tcW w:w="4764" w:type="dxa"/>
            <w:shd w:val="clear" w:color="auto" w:fill="auto"/>
            <w:vAlign w:val="center"/>
          </w:tcPr>
          <w:p w14:paraId="7F72497D">
            <w:pPr>
              <w:spacing w:line="240" w:lineRule="auto"/>
              <w:jc w:val="center"/>
              <w:rPr>
                <w:rFonts w:hint="eastAsia" w:ascii="宋体" w:hAnsi="宋体" w:cstheme="minorEastAsia"/>
                <w:sz w:val="18"/>
                <w:szCs w:val="18"/>
              </w:rPr>
            </w:pPr>
            <w:r>
              <w:rPr>
                <w:rFonts w:hint="eastAsia" w:ascii="宋体" w:hAnsi="宋体" w:cstheme="minorEastAsia"/>
                <w:sz w:val="18"/>
                <w:szCs w:val="18"/>
              </w:rPr>
              <w:t>55（±1）</w:t>
            </w:r>
          </w:p>
        </w:tc>
      </w:tr>
    </w:tbl>
    <w:p w14:paraId="121943DA">
      <w:pPr>
        <w:pStyle w:val="81"/>
        <w:spacing w:before="156" w:after="156"/>
      </w:pPr>
      <w:bookmarkStart w:id="77" w:name="_Toc6880"/>
      <w:bookmarkStart w:id="78" w:name="_Toc10663"/>
      <w:r>
        <w:rPr>
          <w:rFonts w:hint="eastAsia"/>
        </w:rPr>
        <w:t>立柱</w:t>
      </w:r>
      <w:bookmarkEnd w:id="77"/>
      <w:bookmarkEnd w:id="78"/>
    </w:p>
    <w:p w14:paraId="6E4CC82D">
      <w:pPr>
        <w:pStyle w:val="59"/>
      </w:pPr>
      <w:r>
        <w:rPr>
          <w:rFonts w:hint="eastAsia"/>
        </w:rPr>
        <w:t>立柱的外形见图A.2 ，其公称尺寸及允许偏差应符合表A.2的规定，总弯曲度不得大于立柱定尺长 度的0.15%；立柱端面切口应垂直，其垂直度公差不得超过1°。</w:t>
      </w:r>
    </w:p>
    <w:p w14:paraId="12A85937">
      <w:pPr>
        <w:pStyle w:val="59"/>
        <w:ind w:firstLine="0" w:firstLineChars="0"/>
      </w:pPr>
    </w:p>
    <w:p w14:paraId="5F7357FD">
      <w:pPr>
        <w:pStyle w:val="59"/>
        <w:ind w:firstLine="0" w:firstLineChars="0"/>
        <w:jc w:val="center"/>
      </w:pPr>
      <w:r>
        <w:drawing>
          <wp:inline distT="0" distB="0" distL="0" distR="0">
            <wp:extent cx="5844540" cy="211455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5" cstate="print">
                      <a:extLst>
                        <a:ext uri="{28A0092B-C50C-407E-A947-70E740481C1C}">
                          <a14:useLocalDpi xmlns:a14="http://schemas.microsoft.com/office/drawing/2010/main" val="0"/>
                        </a:ext>
                      </a:extLst>
                    </a:blip>
                    <a:srcRect l="14410" t="22997" r="10700" b="38673"/>
                    <a:stretch>
                      <a:fillRect/>
                    </a:stretch>
                  </pic:blipFill>
                  <pic:spPr>
                    <a:xfrm>
                      <a:off x="0" y="0"/>
                      <a:ext cx="5849807" cy="2116754"/>
                    </a:xfrm>
                    <a:prstGeom prst="rect">
                      <a:avLst/>
                    </a:prstGeom>
                    <a:noFill/>
                    <a:ln>
                      <a:noFill/>
                    </a:ln>
                  </pic:spPr>
                </pic:pic>
              </a:graphicData>
            </a:graphic>
          </wp:inline>
        </w:drawing>
      </w:r>
    </w:p>
    <w:p w14:paraId="670369E9">
      <w:pPr>
        <w:pStyle w:val="86"/>
        <w:spacing w:before="156" w:after="156"/>
      </w:pPr>
      <w:r>
        <w:rPr>
          <w:rFonts w:hint="eastAsia"/>
        </w:rPr>
        <w:t>立柱外形图</w:t>
      </w:r>
    </w:p>
    <w:p w14:paraId="09030A28">
      <w:pPr>
        <w:pStyle w:val="80"/>
        <w:spacing w:before="156" w:after="156"/>
      </w:pPr>
      <w:r>
        <w:rPr>
          <w:rFonts w:hint="eastAsia"/>
        </w:rPr>
        <w:t>立柱公称尺寸及允许偏差</w:t>
      </w:r>
    </w:p>
    <w:tbl>
      <w:tblPr>
        <w:tblStyle w:val="29"/>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071AF9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tblHeader/>
          <w:jc w:val="center"/>
        </w:trPr>
        <w:tc>
          <w:tcPr>
            <w:tcW w:w="4570" w:type="dxa"/>
            <w:tcBorders>
              <w:top w:val="single" w:color="auto" w:sz="8" w:space="0"/>
              <w:bottom w:val="single" w:color="auto" w:sz="8" w:space="0"/>
            </w:tcBorders>
            <w:shd w:val="clear" w:color="auto" w:fill="auto"/>
            <w:vAlign w:val="center"/>
          </w:tcPr>
          <w:p w14:paraId="408EEECA">
            <w:pPr>
              <w:pStyle w:val="181"/>
              <w:rPr>
                <w:rFonts w:hint="default"/>
                <w:color w:val="auto"/>
                <w:lang w:val="en-US" w:eastAsia="zh-CN"/>
              </w:rPr>
            </w:pPr>
            <w:r>
              <w:rPr>
                <w:rFonts w:hint="eastAsia"/>
                <w:color w:val="auto"/>
              </w:rPr>
              <w:t>类别</w:t>
            </w:r>
          </w:p>
        </w:tc>
        <w:tc>
          <w:tcPr>
            <w:tcW w:w="4764" w:type="dxa"/>
            <w:tcBorders>
              <w:top w:val="single" w:color="auto" w:sz="8" w:space="0"/>
              <w:bottom w:val="single" w:color="auto" w:sz="8" w:space="0"/>
            </w:tcBorders>
            <w:shd w:val="clear" w:color="auto" w:fill="auto"/>
            <w:vAlign w:val="center"/>
          </w:tcPr>
          <w:p w14:paraId="08205FEB">
            <w:pPr>
              <w:pStyle w:val="181"/>
              <w:rPr>
                <w:rFonts w:hint="default"/>
                <w:color w:val="auto"/>
                <w:lang w:val="en-US" w:eastAsia="zh-CN"/>
              </w:rPr>
            </w:pPr>
            <w:r>
              <w:rPr>
                <w:rFonts w:hint="eastAsia"/>
                <w:color w:val="auto"/>
              </w:rPr>
              <w:t>公称尺寸及允许偏差（mm）</w:t>
            </w:r>
          </w:p>
        </w:tc>
      </w:tr>
      <w:tr w14:paraId="45FF52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570" w:type="dxa"/>
            <w:tcBorders>
              <w:top w:val="single" w:color="auto" w:sz="8" w:space="0"/>
              <w:bottom w:val="single" w:color="auto" w:sz="8" w:space="0"/>
            </w:tcBorders>
            <w:shd w:val="clear" w:color="auto" w:fill="auto"/>
            <w:vAlign w:val="top"/>
          </w:tcPr>
          <w:p w14:paraId="298DF18A">
            <w:pPr>
              <w:pStyle w:val="181"/>
              <w:ind w:firstLine="720" w:firstLineChars="400"/>
              <w:jc w:val="both"/>
              <w:rPr>
                <w:rFonts w:hint="default"/>
                <w:color w:val="auto"/>
                <w:lang w:val="en-US" w:eastAsia="zh-CN"/>
              </w:rPr>
            </w:pPr>
            <w:r>
              <w:rPr>
                <w:rFonts w:hint="eastAsia"/>
                <w:color w:val="auto"/>
                <w:lang w:val="en-US" w:eastAsia="zh-CN"/>
              </w:rPr>
              <w:t>D（钢立柱外径）</w:t>
            </w:r>
          </w:p>
        </w:tc>
        <w:tc>
          <w:tcPr>
            <w:tcW w:w="4764" w:type="dxa"/>
            <w:tcBorders>
              <w:top w:val="single" w:color="auto" w:sz="8" w:space="0"/>
              <w:bottom w:val="single" w:color="auto" w:sz="8" w:space="0"/>
            </w:tcBorders>
            <w:shd w:val="clear" w:color="auto" w:fill="auto"/>
            <w:vAlign w:val="top"/>
          </w:tcPr>
          <w:p w14:paraId="4E613774">
            <w:pPr>
              <w:pStyle w:val="181"/>
              <w:rPr>
                <w:rFonts w:hint="eastAsia"/>
                <w:color w:val="auto"/>
                <w:lang w:val="en-US" w:eastAsia="en-US"/>
              </w:rPr>
            </w:pPr>
            <w:r>
              <w:rPr>
                <w:rFonts w:hint="eastAsia"/>
                <w:color w:val="auto"/>
                <w:lang w:val="en-US" w:eastAsia="en-US"/>
              </w:rPr>
              <w:t>140（±1.4）</w:t>
            </w:r>
          </w:p>
        </w:tc>
      </w:tr>
      <w:tr w14:paraId="321DD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570" w:type="dxa"/>
            <w:tcBorders>
              <w:top w:val="single" w:color="auto" w:sz="8" w:space="0"/>
              <w:bottom w:val="single" w:color="auto" w:sz="8" w:space="0"/>
            </w:tcBorders>
            <w:shd w:val="clear" w:color="auto" w:fill="auto"/>
            <w:vAlign w:val="top"/>
          </w:tcPr>
          <w:p w14:paraId="2771CBD4">
            <w:pPr>
              <w:pStyle w:val="181"/>
              <w:ind w:firstLine="720" w:firstLineChars="400"/>
              <w:jc w:val="both"/>
              <w:rPr>
                <w:rFonts w:hint="eastAsia"/>
                <w:color w:val="auto"/>
                <w:lang w:val="en-US" w:eastAsia="zh-CN"/>
              </w:rPr>
            </w:pPr>
            <w:r>
              <w:rPr>
                <w:rFonts w:hint="eastAsia"/>
                <w:color w:val="auto"/>
                <w:lang w:val="en-US" w:eastAsia="zh-CN"/>
              </w:rPr>
              <w:t>Φ（孔径）</w:t>
            </w:r>
          </w:p>
        </w:tc>
        <w:tc>
          <w:tcPr>
            <w:tcW w:w="4764" w:type="dxa"/>
            <w:tcBorders>
              <w:top w:val="single" w:color="auto" w:sz="8" w:space="0"/>
              <w:bottom w:val="single" w:color="auto" w:sz="8" w:space="0"/>
            </w:tcBorders>
            <w:shd w:val="clear" w:color="auto" w:fill="auto"/>
            <w:vAlign w:val="top"/>
          </w:tcPr>
          <w:p w14:paraId="1E8124D8">
            <w:pPr>
              <w:pStyle w:val="181"/>
              <w:rPr>
                <w:rFonts w:hint="eastAsia"/>
                <w:color w:val="auto"/>
                <w:lang w:val="en-US" w:eastAsia="zh-CN"/>
              </w:rPr>
            </w:pPr>
            <w:r>
              <w:rPr>
                <w:rFonts w:hint="eastAsia"/>
                <w:color w:val="auto"/>
                <w:lang w:val="en-US" w:eastAsia="zh-CN"/>
              </w:rPr>
              <w:t>19（±1.0）</w:t>
            </w:r>
          </w:p>
        </w:tc>
      </w:tr>
      <w:tr w14:paraId="6324A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570" w:type="dxa"/>
            <w:tcBorders>
              <w:top w:val="single" w:color="auto" w:sz="8" w:space="0"/>
              <w:bottom w:val="single" w:color="auto" w:sz="8" w:space="0"/>
            </w:tcBorders>
            <w:shd w:val="clear" w:color="auto" w:fill="auto"/>
            <w:vAlign w:val="top"/>
          </w:tcPr>
          <w:p w14:paraId="2974116D">
            <w:pPr>
              <w:pStyle w:val="181"/>
              <w:ind w:firstLine="720" w:firstLineChars="400"/>
              <w:jc w:val="both"/>
              <w:rPr>
                <w:rFonts w:hint="default"/>
                <w:color w:val="auto"/>
                <w:lang w:val="en-US" w:eastAsia="zh-CN"/>
              </w:rPr>
            </w:pPr>
            <w:r>
              <w:rPr>
                <w:rFonts w:hint="eastAsia"/>
                <w:color w:val="auto"/>
                <w:lang w:val="en-US" w:eastAsia="zh-CN"/>
              </w:rPr>
              <w:t>L（钢立柱长）</w:t>
            </w:r>
          </w:p>
        </w:tc>
        <w:tc>
          <w:tcPr>
            <w:tcW w:w="4764" w:type="dxa"/>
            <w:tcBorders>
              <w:top w:val="single" w:color="auto" w:sz="8" w:space="0"/>
              <w:bottom w:val="single" w:color="auto" w:sz="8" w:space="0"/>
            </w:tcBorders>
            <w:shd w:val="clear" w:color="auto" w:fill="auto"/>
            <w:vAlign w:val="top"/>
          </w:tcPr>
          <w:p w14:paraId="27C8086D">
            <w:pPr>
              <w:pStyle w:val="181"/>
              <w:rPr>
                <w:rFonts w:hint="eastAsia"/>
                <w:color w:val="auto"/>
                <w:lang w:val="en-US" w:eastAsia="zh-CN"/>
              </w:rPr>
            </w:pPr>
            <w:r>
              <w:rPr>
                <w:rFonts w:hint="eastAsia"/>
                <w:color w:val="auto"/>
                <w:lang w:val="en-US" w:eastAsia="zh-CN"/>
              </w:rPr>
              <w:t>2200（±10）</w:t>
            </w:r>
          </w:p>
        </w:tc>
      </w:tr>
      <w:tr w14:paraId="2D436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570" w:type="dxa"/>
            <w:tcBorders>
              <w:top w:val="single" w:color="auto" w:sz="8" w:space="0"/>
              <w:bottom w:val="single" w:color="auto" w:sz="8" w:space="0"/>
            </w:tcBorders>
            <w:shd w:val="clear" w:color="auto" w:fill="auto"/>
            <w:vAlign w:val="top"/>
          </w:tcPr>
          <w:p w14:paraId="6CFCD4C8">
            <w:pPr>
              <w:pStyle w:val="181"/>
              <w:rPr>
                <w:rFonts w:hint="default"/>
                <w:color w:val="auto"/>
                <w:lang w:val="en-US" w:eastAsia="zh-CN"/>
              </w:rPr>
            </w:pPr>
            <w:r>
              <w:rPr>
                <w:rFonts w:hint="eastAsia"/>
                <w:color w:val="auto"/>
                <w:lang w:val="en-US" w:eastAsia="zh-CN"/>
              </w:rPr>
              <w:t>h1（立柱连接横梁第一孔到第二孔距）</w:t>
            </w:r>
          </w:p>
        </w:tc>
        <w:tc>
          <w:tcPr>
            <w:tcW w:w="4764" w:type="dxa"/>
            <w:tcBorders>
              <w:top w:val="single" w:color="auto" w:sz="8" w:space="0"/>
              <w:bottom w:val="single" w:color="auto" w:sz="8" w:space="0"/>
            </w:tcBorders>
            <w:shd w:val="clear" w:color="auto" w:fill="auto"/>
            <w:vAlign w:val="top"/>
          </w:tcPr>
          <w:p w14:paraId="3967DD03">
            <w:pPr>
              <w:pStyle w:val="181"/>
              <w:rPr>
                <w:rFonts w:hint="eastAsia"/>
                <w:color w:val="auto"/>
                <w:lang w:val="en-US" w:eastAsia="zh-CN"/>
              </w:rPr>
            </w:pPr>
            <w:r>
              <w:rPr>
                <w:rFonts w:hint="eastAsia"/>
                <w:color w:val="auto"/>
                <w:lang w:val="en-US" w:eastAsia="zh-CN"/>
              </w:rPr>
              <w:t>605（±1）</w:t>
            </w:r>
          </w:p>
        </w:tc>
      </w:tr>
      <w:tr w14:paraId="5D689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570" w:type="dxa"/>
            <w:tcBorders>
              <w:top w:val="single" w:color="auto" w:sz="8" w:space="0"/>
              <w:bottom w:val="single" w:color="auto" w:sz="8" w:space="0"/>
            </w:tcBorders>
            <w:shd w:val="clear" w:color="auto" w:fill="auto"/>
            <w:vAlign w:val="top"/>
          </w:tcPr>
          <w:p w14:paraId="0359A443">
            <w:pPr>
              <w:pStyle w:val="181"/>
              <w:ind w:firstLine="720" w:firstLineChars="400"/>
              <w:jc w:val="both"/>
              <w:rPr>
                <w:rFonts w:hint="default"/>
                <w:color w:val="auto"/>
                <w:lang w:val="en-US" w:eastAsia="zh-CN"/>
              </w:rPr>
            </w:pPr>
            <w:r>
              <w:rPr>
                <w:rFonts w:hint="eastAsia"/>
                <w:color w:val="auto"/>
                <w:lang w:val="en-US" w:eastAsia="zh-CN"/>
              </w:rPr>
              <w:t>h2（立柱连接横梁第一孔距）</w:t>
            </w:r>
          </w:p>
        </w:tc>
        <w:tc>
          <w:tcPr>
            <w:tcW w:w="4764" w:type="dxa"/>
            <w:tcBorders>
              <w:top w:val="single" w:color="auto" w:sz="8" w:space="0"/>
              <w:bottom w:val="single" w:color="auto" w:sz="8" w:space="0"/>
            </w:tcBorders>
            <w:shd w:val="clear" w:color="auto" w:fill="auto"/>
            <w:vAlign w:val="top"/>
          </w:tcPr>
          <w:p w14:paraId="66CBBADD">
            <w:pPr>
              <w:pStyle w:val="181"/>
              <w:rPr>
                <w:rFonts w:hint="eastAsia"/>
                <w:color w:val="auto"/>
                <w:lang w:val="en-US" w:eastAsia="zh-CN"/>
              </w:rPr>
            </w:pPr>
            <w:r>
              <w:rPr>
                <w:rFonts w:hint="eastAsia"/>
                <w:color w:val="auto"/>
                <w:lang w:val="en-US" w:eastAsia="zh-CN"/>
              </w:rPr>
              <w:t>100（±1）</w:t>
            </w:r>
          </w:p>
        </w:tc>
      </w:tr>
    </w:tbl>
    <w:p w14:paraId="787A9067">
      <w:pPr>
        <w:pStyle w:val="59"/>
      </w:pPr>
    </w:p>
    <w:p w14:paraId="0B8780DF">
      <w:pPr>
        <w:pStyle w:val="81"/>
        <w:spacing w:before="156" w:after="156"/>
      </w:pPr>
      <w:bookmarkStart w:id="79" w:name="_Toc18493"/>
      <w:bookmarkStart w:id="80" w:name="_Toc30118"/>
      <w:r>
        <w:rPr>
          <w:rFonts w:hint="eastAsia"/>
        </w:rPr>
        <w:t>横梁</w:t>
      </w:r>
      <w:bookmarkEnd w:id="79"/>
      <w:bookmarkEnd w:id="80"/>
    </w:p>
    <w:p w14:paraId="6867A59A">
      <w:pPr>
        <w:pStyle w:val="59"/>
      </w:pPr>
      <w:r>
        <w:rPr>
          <w:rFonts w:hint="eastAsia"/>
        </w:rPr>
        <w:t>横梁的外形图见图A.3 ，其公称尺寸及允许偏差应符合表A.3的规定；横梁的弯曲度每米不得大于 1.5mm，总弯曲度不得大于横梁定尺长度的0.15%；横梁端面切口应垂直，其垂直度公差不得超过30′， 横梁不得有明显的扭转。</w:t>
      </w:r>
    </w:p>
    <w:p w14:paraId="6B4906CB">
      <w:pPr>
        <w:pStyle w:val="59"/>
        <w:ind w:firstLine="0" w:firstLineChars="0"/>
        <w:jc w:val="center"/>
      </w:pPr>
      <w:r>
        <w:drawing>
          <wp:inline distT="0" distB="0" distL="0" distR="0">
            <wp:extent cx="5404485" cy="2264410"/>
            <wp:effectExtent l="0" t="0" r="571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6" cstate="print">
                      <a:extLst>
                        <a:ext uri="{28A0092B-C50C-407E-A947-70E740481C1C}">
                          <a14:useLocalDpi xmlns:a14="http://schemas.microsoft.com/office/drawing/2010/main" val="0"/>
                        </a:ext>
                      </a:extLst>
                    </a:blip>
                    <a:srcRect l="25435" t="25696" r="20494" b="42265"/>
                    <a:stretch>
                      <a:fillRect/>
                    </a:stretch>
                  </pic:blipFill>
                  <pic:spPr>
                    <a:xfrm>
                      <a:off x="0" y="0"/>
                      <a:ext cx="5404513" cy="2264662"/>
                    </a:xfrm>
                    <a:prstGeom prst="rect">
                      <a:avLst/>
                    </a:prstGeom>
                    <a:noFill/>
                    <a:ln>
                      <a:noFill/>
                    </a:ln>
                  </pic:spPr>
                </pic:pic>
              </a:graphicData>
            </a:graphic>
          </wp:inline>
        </w:drawing>
      </w:r>
    </w:p>
    <w:p w14:paraId="6B9691A1">
      <w:pPr>
        <w:pStyle w:val="86"/>
        <w:spacing w:before="156" w:after="156"/>
      </w:pPr>
      <w:r>
        <w:rPr>
          <w:rFonts w:hint="eastAsia"/>
        </w:rPr>
        <w:t>横梁外形图</w:t>
      </w:r>
    </w:p>
    <w:p w14:paraId="0A5DBF4F">
      <w:pPr>
        <w:pStyle w:val="80"/>
        <w:spacing w:before="156" w:after="156"/>
      </w:pPr>
      <w:r>
        <w:rPr>
          <w:rFonts w:hint="eastAsia"/>
        </w:rPr>
        <w:t>横梁公称尺寸及允许偏差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1CA1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4980E9E1">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71992EB5">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362D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vMerge w:val="restart"/>
            <w:shd w:val="clear" w:color="auto" w:fill="auto"/>
            <w:vAlign w:val="center"/>
          </w:tcPr>
          <w:p w14:paraId="05F63CA3">
            <w:pPr>
              <w:spacing w:line="240" w:lineRule="auto"/>
              <w:jc w:val="center"/>
              <w:rPr>
                <w:rFonts w:hint="eastAsia" w:ascii="宋体" w:hAnsi="宋体" w:cstheme="minorEastAsia"/>
                <w:sz w:val="18"/>
                <w:szCs w:val="18"/>
              </w:rPr>
            </w:pPr>
            <w:r>
              <w:rPr>
                <w:rFonts w:hint="eastAsia" w:ascii="宋体" w:hAnsi="宋体" w:cstheme="minorEastAsia"/>
                <w:sz w:val="18"/>
                <w:szCs w:val="18"/>
              </w:rPr>
              <w:t>L（钢横梁长）</w:t>
            </w:r>
          </w:p>
        </w:tc>
        <w:tc>
          <w:tcPr>
            <w:tcW w:w="4764" w:type="dxa"/>
            <w:shd w:val="clear" w:color="auto" w:fill="auto"/>
            <w:vAlign w:val="center"/>
          </w:tcPr>
          <w:p w14:paraId="5280E712">
            <w:pPr>
              <w:spacing w:line="240" w:lineRule="auto"/>
              <w:jc w:val="center"/>
              <w:rPr>
                <w:rFonts w:hint="eastAsia" w:ascii="宋体" w:hAnsi="宋体" w:cstheme="minorEastAsia"/>
                <w:sz w:val="18"/>
                <w:szCs w:val="18"/>
              </w:rPr>
            </w:pPr>
            <w:r>
              <w:rPr>
                <w:rFonts w:hint="eastAsia" w:ascii="宋体" w:hAnsi="宋体" w:cstheme="minorEastAsia"/>
                <w:sz w:val="18"/>
                <w:szCs w:val="18"/>
              </w:rPr>
              <w:t>5600(±10)</w:t>
            </w:r>
          </w:p>
        </w:tc>
      </w:tr>
      <w:tr w14:paraId="7051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vMerge w:val="continue"/>
            <w:shd w:val="clear" w:color="auto" w:fill="auto"/>
            <w:vAlign w:val="center"/>
          </w:tcPr>
          <w:p w14:paraId="0A3B0B0D">
            <w:pPr>
              <w:spacing w:line="240" w:lineRule="auto"/>
              <w:jc w:val="center"/>
              <w:rPr>
                <w:rFonts w:hint="eastAsia" w:ascii="宋体" w:hAnsi="宋体" w:cstheme="minorEastAsia"/>
                <w:sz w:val="18"/>
                <w:szCs w:val="18"/>
              </w:rPr>
            </w:pPr>
          </w:p>
        </w:tc>
        <w:tc>
          <w:tcPr>
            <w:tcW w:w="4764" w:type="dxa"/>
            <w:shd w:val="clear" w:color="auto" w:fill="auto"/>
            <w:vAlign w:val="center"/>
          </w:tcPr>
          <w:p w14:paraId="1623A3DA">
            <w:pPr>
              <w:spacing w:line="240" w:lineRule="auto"/>
              <w:jc w:val="center"/>
              <w:rPr>
                <w:rFonts w:hint="eastAsia" w:ascii="宋体" w:hAnsi="宋体" w:cstheme="minorEastAsia"/>
                <w:sz w:val="18"/>
                <w:szCs w:val="18"/>
              </w:rPr>
            </w:pPr>
            <w:r>
              <w:rPr>
                <w:rFonts w:hint="eastAsia" w:ascii="宋体" w:hAnsi="宋体" w:cstheme="minorEastAsia"/>
                <w:sz w:val="18"/>
                <w:szCs w:val="18"/>
              </w:rPr>
              <w:t>6000（±10）</w:t>
            </w:r>
          </w:p>
        </w:tc>
      </w:tr>
      <w:tr w14:paraId="1B79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7E176E3">
            <w:pPr>
              <w:spacing w:line="240" w:lineRule="auto"/>
              <w:jc w:val="center"/>
              <w:rPr>
                <w:rFonts w:hint="eastAsia" w:ascii="宋体" w:hAnsi="宋体" w:cstheme="minorEastAsia"/>
                <w:sz w:val="18"/>
                <w:szCs w:val="18"/>
              </w:rPr>
            </w:pPr>
            <w:r>
              <w:rPr>
                <w:rFonts w:hint="eastAsia" w:ascii="宋体" w:hAnsi="宋体" w:cstheme="minorEastAsia"/>
                <w:sz w:val="18"/>
                <w:szCs w:val="18"/>
              </w:rPr>
              <w:t>X1（横梁连接第一孔距）</w:t>
            </w:r>
          </w:p>
        </w:tc>
        <w:tc>
          <w:tcPr>
            <w:tcW w:w="4764" w:type="dxa"/>
            <w:shd w:val="clear" w:color="auto" w:fill="auto"/>
            <w:vAlign w:val="center"/>
          </w:tcPr>
          <w:p w14:paraId="6F9AAA05">
            <w:pPr>
              <w:spacing w:line="240" w:lineRule="auto"/>
              <w:jc w:val="center"/>
              <w:rPr>
                <w:rFonts w:hint="eastAsia" w:ascii="宋体" w:hAnsi="宋体" w:cstheme="minorEastAsia"/>
                <w:sz w:val="18"/>
                <w:szCs w:val="18"/>
              </w:rPr>
            </w:pPr>
            <w:r>
              <w:rPr>
                <w:rFonts w:hint="eastAsia" w:ascii="宋体" w:hAnsi="宋体" w:cstheme="minorEastAsia"/>
                <w:sz w:val="18"/>
                <w:szCs w:val="18"/>
              </w:rPr>
              <w:t>50（±1）</w:t>
            </w:r>
          </w:p>
        </w:tc>
      </w:tr>
      <w:tr w14:paraId="0B6A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C6D0EF2">
            <w:pPr>
              <w:spacing w:line="240" w:lineRule="auto"/>
              <w:jc w:val="center"/>
              <w:rPr>
                <w:rFonts w:hint="eastAsia" w:ascii="宋体" w:hAnsi="宋体" w:cstheme="minorEastAsia"/>
                <w:sz w:val="18"/>
                <w:szCs w:val="18"/>
              </w:rPr>
            </w:pPr>
            <w:r>
              <w:rPr>
                <w:rFonts w:hint="eastAsia" w:ascii="宋体" w:hAnsi="宋体" w:cstheme="minorEastAsia"/>
                <w:sz w:val="18"/>
                <w:szCs w:val="18"/>
              </w:rPr>
              <w:t>X2（横梁连接第一孔到第二孔距）</w:t>
            </w:r>
          </w:p>
        </w:tc>
        <w:tc>
          <w:tcPr>
            <w:tcW w:w="4764" w:type="dxa"/>
            <w:shd w:val="clear" w:color="auto" w:fill="auto"/>
            <w:vAlign w:val="center"/>
          </w:tcPr>
          <w:p w14:paraId="1EE32764">
            <w:pPr>
              <w:spacing w:line="240" w:lineRule="auto"/>
              <w:jc w:val="center"/>
              <w:rPr>
                <w:rFonts w:hint="eastAsia" w:ascii="宋体" w:hAnsi="宋体" w:cstheme="minorEastAsia"/>
                <w:sz w:val="18"/>
                <w:szCs w:val="18"/>
              </w:rPr>
            </w:pPr>
            <w:r>
              <w:rPr>
                <w:rFonts w:hint="eastAsia" w:ascii="宋体" w:hAnsi="宋体" w:cstheme="minorEastAsia"/>
                <w:sz w:val="18"/>
                <w:szCs w:val="18"/>
              </w:rPr>
              <w:t>100（±1）</w:t>
            </w:r>
          </w:p>
        </w:tc>
      </w:tr>
      <w:tr w14:paraId="6C99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220A6C74">
            <w:pPr>
              <w:spacing w:line="240" w:lineRule="auto"/>
              <w:jc w:val="center"/>
              <w:rPr>
                <w:rFonts w:hint="eastAsia" w:ascii="宋体" w:hAnsi="宋体" w:cstheme="minorEastAsia"/>
                <w:sz w:val="18"/>
                <w:szCs w:val="18"/>
              </w:rPr>
            </w:pPr>
            <w:r>
              <w:rPr>
                <w:rFonts w:hint="eastAsia" w:ascii="宋体" w:hAnsi="宋体" w:cstheme="minorEastAsia"/>
                <w:sz w:val="18"/>
                <w:szCs w:val="18"/>
              </w:rPr>
              <w:t>B（横梁宽）</w:t>
            </w:r>
          </w:p>
        </w:tc>
        <w:tc>
          <w:tcPr>
            <w:tcW w:w="4764" w:type="dxa"/>
            <w:shd w:val="clear" w:color="auto" w:fill="auto"/>
            <w:vAlign w:val="center"/>
          </w:tcPr>
          <w:p w14:paraId="04EF54EB">
            <w:pPr>
              <w:spacing w:line="240" w:lineRule="auto"/>
              <w:jc w:val="center"/>
              <w:rPr>
                <w:rFonts w:hint="eastAsia" w:ascii="宋体" w:hAnsi="宋体" w:cstheme="minorEastAsia"/>
                <w:sz w:val="18"/>
                <w:szCs w:val="18"/>
              </w:rPr>
            </w:pPr>
            <w:r>
              <w:rPr>
                <w:rFonts w:hint="eastAsia" w:ascii="宋体" w:hAnsi="宋体" w:cstheme="minorEastAsia"/>
                <w:sz w:val="18"/>
                <w:szCs w:val="18"/>
              </w:rPr>
              <w:t>112（±2）</w:t>
            </w:r>
          </w:p>
        </w:tc>
      </w:tr>
      <w:tr w14:paraId="67F4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53F97B1E">
            <w:pPr>
              <w:spacing w:line="240" w:lineRule="auto"/>
              <w:jc w:val="center"/>
              <w:rPr>
                <w:rFonts w:hint="eastAsia" w:ascii="宋体" w:hAnsi="宋体" w:cstheme="minorEastAsia"/>
                <w:sz w:val="18"/>
                <w:szCs w:val="18"/>
              </w:rPr>
            </w:pPr>
            <w:r>
              <w:rPr>
                <w:rFonts w:hint="eastAsia" w:ascii="宋体" w:hAnsi="宋体" w:cstheme="minorEastAsia"/>
                <w:sz w:val="18"/>
                <w:szCs w:val="18"/>
              </w:rPr>
              <w:t>C（横梁内槽宽）</w:t>
            </w:r>
          </w:p>
        </w:tc>
        <w:tc>
          <w:tcPr>
            <w:tcW w:w="4764" w:type="dxa"/>
            <w:shd w:val="clear" w:color="auto" w:fill="auto"/>
            <w:vAlign w:val="center"/>
          </w:tcPr>
          <w:p w14:paraId="24F50CAF">
            <w:pPr>
              <w:spacing w:line="240" w:lineRule="auto"/>
              <w:jc w:val="center"/>
              <w:rPr>
                <w:rFonts w:hint="eastAsia" w:ascii="宋体" w:hAnsi="宋体" w:cstheme="minorEastAsia"/>
                <w:sz w:val="18"/>
                <w:szCs w:val="18"/>
              </w:rPr>
            </w:pPr>
            <w:r>
              <w:rPr>
                <w:rFonts w:hint="eastAsia" w:ascii="宋体" w:hAnsi="宋体" w:cstheme="minorEastAsia"/>
                <w:sz w:val="18"/>
                <w:szCs w:val="18"/>
              </w:rPr>
              <w:t>40（±1）</w:t>
            </w:r>
          </w:p>
        </w:tc>
      </w:tr>
      <w:tr w14:paraId="2614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2618760E">
            <w:pPr>
              <w:spacing w:line="240" w:lineRule="auto"/>
              <w:jc w:val="center"/>
              <w:rPr>
                <w:rFonts w:hint="eastAsia" w:ascii="宋体" w:hAnsi="宋体" w:cstheme="minorEastAsia"/>
                <w:sz w:val="18"/>
                <w:szCs w:val="18"/>
              </w:rPr>
            </w:pPr>
            <w:r>
              <w:rPr>
                <w:rFonts w:hint="eastAsia" w:ascii="宋体" w:hAnsi="宋体" w:cstheme="minorEastAsia"/>
                <w:sz w:val="18"/>
                <w:szCs w:val="18"/>
              </w:rPr>
              <w:t>E（横梁内卡扣槽宽）</w:t>
            </w:r>
          </w:p>
        </w:tc>
        <w:tc>
          <w:tcPr>
            <w:tcW w:w="4764" w:type="dxa"/>
            <w:shd w:val="clear" w:color="auto" w:fill="auto"/>
            <w:vAlign w:val="center"/>
          </w:tcPr>
          <w:p w14:paraId="1375B7AD">
            <w:pPr>
              <w:spacing w:line="240" w:lineRule="auto"/>
              <w:jc w:val="center"/>
              <w:rPr>
                <w:rFonts w:hint="eastAsia" w:ascii="宋体" w:hAnsi="宋体" w:cstheme="minorEastAsia"/>
                <w:sz w:val="18"/>
                <w:szCs w:val="18"/>
              </w:rPr>
            </w:pPr>
            <w:r>
              <w:rPr>
                <w:rFonts w:hint="eastAsia" w:ascii="宋体" w:hAnsi="宋体" w:cstheme="minorEastAsia"/>
                <w:sz w:val="18"/>
                <w:szCs w:val="18"/>
              </w:rPr>
              <w:t>20（±1）</w:t>
            </w:r>
          </w:p>
        </w:tc>
      </w:tr>
    </w:tbl>
    <w:p w14:paraId="6FB62ACD">
      <w:pPr>
        <w:pStyle w:val="81"/>
        <w:spacing w:before="156" w:after="156"/>
      </w:pPr>
      <w:bookmarkStart w:id="81" w:name="_Toc9946"/>
      <w:bookmarkStart w:id="82" w:name="_Toc13458"/>
      <w:r>
        <w:rPr>
          <w:rFonts w:hint="eastAsia"/>
        </w:rPr>
        <w:t>套管</w:t>
      </w:r>
      <w:bookmarkEnd w:id="81"/>
      <w:bookmarkEnd w:id="82"/>
    </w:p>
    <w:p w14:paraId="3A94E3E6">
      <w:pPr>
        <w:pStyle w:val="59"/>
      </w:pPr>
      <w:r>
        <w:rPr>
          <w:rFonts w:hint="eastAsia"/>
        </w:rPr>
        <w:t>套管的外形见图A.4，其公称尺寸及允许偏差应符合表4的规定。</w:t>
      </w:r>
    </w:p>
    <w:p w14:paraId="7CF7B7E8">
      <w:pPr>
        <w:pStyle w:val="59"/>
        <w:ind w:firstLine="0" w:firstLineChars="0"/>
        <w:jc w:val="center"/>
      </w:pPr>
      <w:r>
        <w:drawing>
          <wp:inline distT="0" distB="0" distL="0" distR="0">
            <wp:extent cx="4175760" cy="14592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7" cstate="print">
                      <a:extLst>
                        <a:ext uri="{28A0092B-C50C-407E-A947-70E740481C1C}">
                          <a14:useLocalDpi xmlns:a14="http://schemas.microsoft.com/office/drawing/2010/main" val="0"/>
                        </a:ext>
                      </a:extLst>
                    </a:blip>
                    <a:srcRect l="29640" t="26828" r="23360" b="49934"/>
                    <a:stretch>
                      <a:fillRect/>
                    </a:stretch>
                  </pic:blipFill>
                  <pic:spPr>
                    <a:xfrm>
                      <a:off x="0" y="0"/>
                      <a:ext cx="4181592" cy="1461213"/>
                    </a:xfrm>
                    <a:prstGeom prst="rect">
                      <a:avLst/>
                    </a:prstGeom>
                    <a:noFill/>
                    <a:ln>
                      <a:noFill/>
                    </a:ln>
                  </pic:spPr>
                </pic:pic>
              </a:graphicData>
            </a:graphic>
          </wp:inline>
        </w:drawing>
      </w:r>
    </w:p>
    <w:p w14:paraId="465738D1">
      <w:pPr>
        <w:pStyle w:val="86"/>
        <w:spacing w:before="156" w:after="156"/>
      </w:pPr>
      <w:r>
        <w:rPr>
          <w:rFonts w:hint="eastAsia"/>
        </w:rPr>
        <w:t>套管外形图</w:t>
      </w:r>
    </w:p>
    <w:p w14:paraId="1B2B7562">
      <w:pPr>
        <w:pStyle w:val="80"/>
        <w:spacing w:before="156" w:after="156"/>
      </w:pPr>
      <w:r>
        <w:rPr>
          <w:rFonts w:hint="eastAsia"/>
        </w:rPr>
        <w:t>套管公称尺寸及允许偏差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2E47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6D42E0B4">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39B34AC2">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06B2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2C016BD">
            <w:pPr>
              <w:spacing w:line="240" w:lineRule="auto"/>
              <w:jc w:val="center"/>
              <w:rPr>
                <w:rFonts w:hint="eastAsia" w:ascii="宋体" w:hAnsi="宋体" w:cstheme="minorEastAsia"/>
                <w:sz w:val="18"/>
                <w:szCs w:val="18"/>
              </w:rPr>
            </w:pPr>
            <w:r>
              <w:rPr>
                <w:rFonts w:hint="eastAsia" w:ascii="宋体" w:hAnsi="宋体" w:cstheme="minorEastAsia"/>
                <w:sz w:val="18"/>
                <w:szCs w:val="18"/>
              </w:rPr>
              <w:t>L（套管长）</w:t>
            </w:r>
          </w:p>
        </w:tc>
        <w:tc>
          <w:tcPr>
            <w:tcW w:w="4764" w:type="dxa"/>
            <w:shd w:val="clear" w:color="auto" w:fill="auto"/>
            <w:vAlign w:val="center"/>
          </w:tcPr>
          <w:p w14:paraId="6E351D4F">
            <w:pPr>
              <w:spacing w:line="240" w:lineRule="auto"/>
              <w:jc w:val="center"/>
              <w:rPr>
                <w:rFonts w:hint="eastAsia" w:ascii="宋体" w:hAnsi="宋体" w:cstheme="minorEastAsia"/>
                <w:sz w:val="18"/>
                <w:szCs w:val="18"/>
              </w:rPr>
            </w:pPr>
            <w:r>
              <w:rPr>
                <w:rFonts w:hint="eastAsia" w:ascii="宋体" w:hAnsi="宋体" w:cstheme="minorEastAsia"/>
                <w:sz w:val="18"/>
                <w:szCs w:val="18"/>
              </w:rPr>
              <w:t>430（±10）</w:t>
            </w:r>
          </w:p>
        </w:tc>
      </w:tr>
      <w:tr w14:paraId="5BCE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30A9EC5">
            <w:pPr>
              <w:spacing w:line="240" w:lineRule="auto"/>
              <w:jc w:val="center"/>
              <w:rPr>
                <w:rFonts w:hint="eastAsia" w:ascii="宋体" w:hAnsi="宋体" w:cstheme="minorEastAsia"/>
                <w:sz w:val="18"/>
                <w:szCs w:val="18"/>
              </w:rPr>
            </w:pPr>
            <w:r>
              <w:rPr>
                <w:rFonts w:hint="eastAsia" w:ascii="宋体" w:hAnsi="宋体" w:cstheme="minorEastAsia"/>
                <w:sz w:val="18"/>
                <w:szCs w:val="18"/>
              </w:rPr>
              <w:t>X1（套管第一孔距）</w:t>
            </w:r>
          </w:p>
        </w:tc>
        <w:tc>
          <w:tcPr>
            <w:tcW w:w="4764" w:type="dxa"/>
            <w:shd w:val="clear" w:color="auto" w:fill="auto"/>
            <w:vAlign w:val="center"/>
          </w:tcPr>
          <w:p w14:paraId="4979AC28">
            <w:pPr>
              <w:spacing w:line="240" w:lineRule="auto"/>
              <w:jc w:val="center"/>
              <w:rPr>
                <w:rFonts w:hint="eastAsia" w:ascii="宋体" w:hAnsi="宋体" w:cstheme="minorEastAsia"/>
                <w:sz w:val="18"/>
                <w:szCs w:val="18"/>
              </w:rPr>
            </w:pPr>
            <w:r>
              <w:rPr>
                <w:rFonts w:hint="eastAsia" w:ascii="宋体" w:hAnsi="宋体" w:cstheme="minorEastAsia"/>
                <w:sz w:val="18"/>
                <w:szCs w:val="18"/>
              </w:rPr>
              <w:t>65（±1）</w:t>
            </w:r>
          </w:p>
        </w:tc>
      </w:tr>
      <w:tr w14:paraId="40E0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3150562">
            <w:pPr>
              <w:spacing w:line="240" w:lineRule="auto"/>
              <w:jc w:val="center"/>
              <w:rPr>
                <w:rFonts w:hint="eastAsia" w:ascii="宋体" w:hAnsi="宋体" w:cstheme="minorEastAsia"/>
                <w:sz w:val="18"/>
                <w:szCs w:val="18"/>
              </w:rPr>
            </w:pPr>
            <w:r>
              <w:rPr>
                <w:rFonts w:hint="eastAsia" w:ascii="宋体" w:hAnsi="宋体" w:cstheme="minorEastAsia"/>
                <w:sz w:val="18"/>
                <w:szCs w:val="18"/>
              </w:rPr>
              <w:t>B（套管宽）</w:t>
            </w:r>
          </w:p>
        </w:tc>
        <w:tc>
          <w:tcPr>
            <w:tcW w:w="4764" w:type="dxa"/>
            <w:shd w:val="clear" w:color="auto" w:fill="auto"/>
            <w:vAlign w:val="center"/>
          </w:tcPr>
          <w:p w14:paraId="287C3A99">
            <w:pPr>
              <w:spacing w:line="240" w:lineRule="auto"/>
              <w:jc w:val="center"/>
              <w:rPr>
                <w:rFonts w:hint="eastAsia" w:ascii="宋体" w:hAnsi="宋体" w:cstheme="minorEastAsia"/>
                <w:sz w:val="18"/>
                <w:szCs w:val="18"/>
              </w:rPr>
            </w:pPr>
            <w:r>
              <w:rPr>
                <w:rFonts w:hint="eastAsia" w:ascii="宋体" w:hAnsi="宋体" w:cstheme="minorEastAsia"/>
                <w:sz w:val="18"/>
                <w:szCs w:val="18"/>
              </w:rPr>
              <w:t>105（±1）</w:t>
            </w:r>
          </w:p>
        </w:tc>
      </w:tr>
      <w:tr w14:paraId="53D8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AA63111">
            <w:pPr>
              <w:spacing w:line="240" w:lineRule="auto"/>
              <w:jc w:val="center"/>
              <w:rPr>
                <w:rFonts w:hint="eastAsia" w:ascii="宋体" w:hAnsi="宋体" w:cstheme="minorEastAsia"/>
                <w:sz w:val="18"/>
                <w:szCs w:val="18"/>
              </w:rPr>
            </w:pPr>
            <w:r>
              <w:rPr>
                <w:rFonts w:hint="eastAsia" w:ascii="宋体" w:hAnsi="宋体" w:cstheme="minorEastAsia"/>
                <w:sz w:val="18"/>
                <w:szCs w:val="18"/>
              </w:rPr>
              <w:t>C（套管内槽宽）</w:t>
            </w:r>
          </w:p>
        </w:tc>
        <w:tc>
          <w:tcPr>
            <w:tcW w:w="4764" w:type="dxa"/>
            <w:shd w:val="clear" w:color="auto" w:fill="auto"/>
            <w:vAlign w:val="center"/>
          </w:tcPr>
          <w:p w14:paraId="24B521A2">
            <w:pPr>
              <w:spacing w:line="240" w:lineRule="auto"/>
              <w:jc w:val="center"/>
              <w:rPr>
                <w:rFonts w:hint="eastAsia" w:ascii="宋体" w:hAnsi="宋体" w:cstheme="minorEastAsia"/>
                <w:sz w:val="18"/>
                <w:szCs w:val="18"/>
              </w:rPr>
            </w:pPr>
            <w:r>
              <w:rPr>
                <w:rFonts w:hint="eastAsia" w:ascii="宋体" w:hAnsi="宋体" w:cstheme="minorEastAsia"/>
                <w:sz w:val="18"/>
                <w:szCs w:val="18"/>
              </w:rPr>
              <w:t>20（±1）</w:t>
            </w:r>
          </w:p>
        </w:tc>
      </w:tr>
    </w:tbl>
    <w:p w14:paraId="22EF9862">
      <w:pPr>
        <w:pStyle w:val="81"/>
        <w:spacing w:before="156" w:after="156"/>
      </w:pPr>
      <w:bookmarkStart w:id="83" w:name="_Toc1430"/>
      <w:bookmarkStart w:id="84" w:name="_Toc3847"/>
      <w:r>
        <w:t>回旋圈</w:t>
      </w:r>
      <w:bookmarkEnd w:id="83"/>
      <w:bookmarkEnd w:id="84"/>
    </w:p>
    <w:p w14:paraId="5CB5ABA3">
      <w:pPr>
        <w:pStyle w:val="59"/>
      </w:pPr>
      <w:r>
        <w:t>回旋圈的外形见图A.5，其公称尺寸及允许偏差应符合表A.5的规定；回旋圈的外形不得有明显的扭转；回旋圈的内外环面切口应平直。</w:t>
      </w:r>
    </w:p>
    <w:p w14:paraId="4086635B">
      <w:pPr>
        <w:pStyle w:val="59"/>
        <w:ind w:firstLine="0" w:firstLineChars="0"/>
        <w:jc w:val="center"/>
      </w:pPr>
      <w:r>
        <w:drawing>
          <wp:inline distT="0" distB="0" distL="0" distR="0">
            <wp:extent cx="2667000" cy="205930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8" cstate="print">
                      <a:extLst>
                        <a:ext uri="{28A0092B-C50C-407E-A947-70E740481C1C}">
                          <a14:useLocalDpi xmlns:a14="http://schemas.microsoft.com/office/drawing/2010/main" val="0"/>
                        </a:ext>
                      </a:extLst>
                    </a:blip>
                    <a:srcRect l="39635" t="19672" r="30606" b="47821"/>
                    <a:stretch>
                      <a:fillRect/>
                    </a:stretch>
                  </pic:blipFill>
                  <pic:spPr>
                    <a:xfrm>
                      <a:off x="0" y="0"/>
                      <a:ext cx="2670112" cy="2061332"/>
                    </a:xfrm>
                    <a:prstGeom prst="rect">
                      <a:avLst/>
                    </a:prstGeom>
                    <a:noFill/>
                    <a:ln>
                      <a:noFill/>
                    </a:ln>
                  </pic:spPr>
                </pic:pic>
              </a:graphicData>
            </a:graphic>
          </wp:inline>
        </w:drawing>
      </w:r>
    </w:p>
    <w:p w14:paraId="7E9E7D69">
      <w:pPr>
        <w:pStyle w:val="86"/>
        <w:spacing w:before="156" w:after="156"/>
      </w:pPr>
      <w:r>
        <w:rPr>
          <w:rFonts w:hint="eastAsia"/>
        </w:rPr>
        <w:t>回旋圈外形图</w:t>
      </w:r>
    </w:p>
    <w:p w14:paraId="213E1FCE">
      <w:pPr>
        <w:pStyle w:val="80"/>
        <w:spacing w:before="156" w:after="156"/>
      </w:pPr>
      <w:r>
        <w:rPr>
          <w:rFonts w:hint="eastAsia"/>
        </w:rPr>
        <w:t>回旋圈公称尺寸及允许偏差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7823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6756E2A6">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0B41D8B8">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70E6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D85AA42">
            <w:pPr>
              <w:spacing w:line="240" w:lineRule="auto"/>
              <w:jc w:val="center"/>
              <w:rPr>
                <w:rFonts w:hint="eastAsia" w:ascii="宋体" w:hAnsi="宋体" w:cstheme="minorEastAsia"/>
                <w:sz w:val="18"/>
                <w:szCs w:val="18"/>
              </w:rPr>
            </w:pPr>
            <w:r>
              <w:rPr>
                <w:rFonts w:hint="eastAsia" w:ascii="宋体" w:hAnsi="宋体" w:cstheme="minorEastAsia"/>
                <w:sz w:val="18"/>
                <w:szCs w:val="18"/>
              </w:rPr>
              <w:t>D（回旋圈外径）</w:t>
            </w:r>
          </w:p>
        </w:tc>
        <w:tc>
          <w:tcPr>
            <w:tcW w:w="4764" w:type="dxa"/>
            <w:shd w:val="clear" w:color="auto" w:fill="auto"/>
            <w:vAlign w:val="center"/>
          </w:tcPr>
          <w:p w14:paraId="5BE164D7">
            <w:pPr>
              <w:spacing w:line="240" w:lineRule="auto"/>
              <w:jc w:val="center"/>
              <w:rPr>
                <w:rFonts w:hint="eastAsia" w:ascii="宋体" w:hAnsi="宋体" w:cstheme="minorEastAsia"/>
                <w:sz w:val="18"/>
                <w:szCs w:val="18"/>
              </w:rPr>
            </w:pPr>
            <w:r>
              <w:rPr>
                <w:rFonts w:hint="eastAsia" w:ascii="宋体" w:hAnsi="宋体" w:cstheme="minorEastAsia"/>
                <w:sz w:val="18"/>
                <w:szCs w:val="18"/>
              </w:rPr>
              <w:t>220（±1.8）</w:t>
            </w:r>
          </w:p>
        </w:tc>
      </w:tr>
      <w:tr w14:paraId="064E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54294C55">
            <w:pPr>
              <w:spacing w:line="240" w:lineRule="auto"/>
              <w:jc w:val="center"/>
              <w:rPr>
                <w:rFonts w:hint="eastAsia" w:ascii="宋体" w:hAnsi="宋体" w:cstheme="minorEastAsia"/>
                <w:sz w:val="18"/>
                <w:szCs w:val="18"/>
              </w:rPr>
            </w:pPr>
            <w:r>
              <w:rPr>
                <w:rFonts w:hint="eastAsia" w:ascii="宋体" w:hAnsi="宋体" w:cstheme="minorEastAsia"/>
                <w:sz w:val="18"/>
                <w:szCs w:val="18"/>
              </w:rPr>
              <w:t>D（回旋圈内径）</w:t>
            </w:r>
          </w:p>
        </w:tc>
        <w:tc>
          <w:tcPr>
            <w:tcW w:w="4764" w:type="dxa"/>
            <w:shd w:val="clear" w:color="auto" w:fill="auto"/>
            <w:vAlign w:val="center"/>
          </w:tcPr>
          <w:p w14:paraId="4F6239C3">
            <w:pPr>
              <w:spacing w:line="240" w:lineRule="auto"/>
              <w:jc w:val="center"/>
              <w:rPr>
                <w:rFonts w:hint="eastAsia" w:ascii="宋体" w:hAnsi="宋体" w:cstheme="minorEastAsia"/>
                <w:sz w:val="18"/>
                <w:szCs w:val="18"/>
              </w:rPr>
            </w:pPr>
            <w:r>
              <w:rPr>
                <w:rFonts w:hint="eastAsia" w:ascii="宋体" w:hAnsi="宋体" w:cstheme="minorEastAsia"/>
                <w:sz w:val="18"/>
                <w:szCs w:val="18"/>
              </w:rPr>
              <w:t>145（±1.65）</w:t>
            </w:r>
          </w:p>
        </w:tc>
      </w:tr>
      <w:tr w14:paraId="53F6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16831911">
            <w:pPr>
              <w:spacing w:line="240" w:lineRule="auto"/>
              <w:jc w:val="center"/>
              <w:rPr>
                <w:rFonts w:hint="eastAsia" w:ascii="宋体" w:hAnsi="宋体" w:cstheme="minorEastAsia"/>
                <w:sz w:val="18"/>
                <w:szCs w:val="18"/>
              </w:rPr>
            </w:pPr>
            <w:r>
              <w:rPr>
                <w:rFonts w:hint="eastAsia" w:ascii="宋体" w:hAnsi="宋体" w:cstheme="minorEastAsia"/>
                <w:sz w:val="18"/>
                <w:szCs w:val="18"/>
              </w:rPr>
              <w:t>T（回旋圈壁厚）</w:t>
            </w:r>
          </w:p>
        </w:tc>
        <w:tc>
          <w:tcPr>
            <w:tcW w:w="4764" w:type="dxa"/>
            <w:shd w:val="clear" w:color="auto" w:fill="auto"/>
            <w:vAlign w:val="center"/>
          </w:tcPr>
          <w:p w14:paraId="3E656C41">
            <w:pPr>
              <w:spacing w:line="240" w:lineRule="auto"/>
              <w:jc w:val="center"/>
              <w:rPr>
                <w:rFonts w:hint="eastAsia" w:ascii="宋体" w:hAnsi="宋体" w:cstheme="minorEastAsia"/>
                <w:sz w:val="18"/>
                <w:szCs w:val="18"/>
              </w:rPr>
            </w:pPr>
            <w:r>
              <w:rPr>
                <w:rFonts w:hint="eastAsia" w:ascii="宋体" w:hAnsi="宋体" w:cstheme="minorEastAsia"/>
                <w:sz w:val="18"/>
                <w:szCs w:val="18"/>
              </w:rPr>
              <w:t>5（±0.16）</w:t>
            </w:r>
          </w:p>
        </w:tc>
      </w:tr>
    </w:tbl>
    <w:p w14:paraId="3F209A8E">
      <w:pPr>
        <w:pStyle w:val="81"/>
        <w:spacing w:before="156" w:after="156"/>
      </w:pPr>
      <w:r>
        <w:rPr>
          <w:rFonts w:hint="eastAsia"/>
          <w:lang w:eastAsia="zh-CN"/>
        </w:rPr>
        <w:t>反光圈</w:t>
      </w:r>
    </w:p>
    <w:p w14:paraId="60D60ABB">
      <w:pPr>
        <w:pStyle w:val="59"/>
      </w:pPr>
      <w:r>
        <w:rPr>
          <w:rFonts w:hint="eastAsia"/>
          <w:lang w:eastAsia="zh-CN"/>
        </w:rPr>
        <w:t>反光圈</w:t>
      </w:r>
      <w:r>
        <w:t>的外形见图A.6，其公称尺寸及允许偏差应符合表A.6的规定。</w:t>
      </w:r>
    </w:p>
    <w:p w14:paraId="0E669D46">
      <w:pPr>
        <w:pStyle w:val="59"/>
        <w:ind w:firstLine="0" w:firstLineChars="0"/>
        <w:jc w:val="center"/>
      </w:pPr>
      <w:r>
        <w:drawing>
          <wp:inline distT="0" distB="0" distL="0" distR="0">
            <wp:extent cx="4979670" cy="13823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l="19075" t="30731" r="15560" b="43595"/>
                    <a:stretch>
                      <a:fillRect/>
                    </a:stretch>
                  </pic:blipFill>
                  <pic:spPr>
                    <a:xfrm>
                      <a:off x="0" y="0"/>
                      <a:ext cx="4985715" cy="1384071"/>
                    </a:xfrm>
                    <a:prstGeom prst="rect">
                      <a:avLst/>
                    </a:prstGeom>
                    <a:noFill/>
                    <a:ln>
                      <a:noFill/>
                    </a:ln>
                  </pic:spPr>
                </pic:pic>
              </a:graphicData>
            </a:graphic>
          </wp:inline>
        </w:drawing>
      </w:r>
    </w:p>
    <w:p w14:paraId="11AC4B24">
      <w:pPr>
        <w:pStyle w:val="86"/>
        <w:spacing w:before="156" w:after="156"/>
      </w:pPr>
      <w:r>
        <w:rPr>
          <w:rFonts w:hint="eastAsia"/>
          <w:lang w:eastAsia="zh-CN"/>
        </w:rPr>
        <w:t>反光圈</w:t>
      </w:r>
      <w:r>
        <w:rPr>
          <w:rFonts w:hint="eastAsia"/>
        </w:rPr>
        <w:t>外形图</w:t>
      </w:r>
    </w:p>
    <w:p w14:paraId="19CB6D36">
      <w:pPr>
        <w:pStyle w:val="80"/>
        <w:spacing w:before="156" w:after="156"/>
      </w:pPr>
      <w:r>
        <w:rPr>
          <w:rFonts w:hint="eastAsia"/>
          <w:lang w:eastAsia="zh-CN"/>
        </w:rPr>
        <w:t>反光圈</w:t>
      </w:r>
      <w:r>
        <w:rPr>
          <w:rFonts w:hint="eastAsia"/>
        </w:rPr>
        <w:t>公称尺寸及允许偏差</w:t>
      </w:r>
    </w:p>
    <w:tbl>
      <w:tblPr>
        <w:tblStyle w:val="29"/>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0"/>
        <w:gridCol w:w="4764"/>
      </w:tblGrid>
      <w:tr w14:paraId="3EBD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4570" w:type="dxa"/>
            <w:shd w:val="clear" w:color="auto" w:fill="auto"/>
            <w:vAlign w:val="center"/>
          </w:tcPr>
          <w:p w14:paraId="2C296EE2">
            <w:pPr>
              <w:spacing w:line="240" w:lineRule="auto"/>
              <w:jc w:val="center"/>
              <w:rPr>
                <w:rFonts w:hint="eastAsia" w:ascii="宋体" w:hAnsi="宋体" w:cstheme="minorEastAsia"/>
                <w:sz w:val="18"/>
                <w:szCs w:val="18"/>
              </w:rPr>
            </w:pPr>
            <w:r>
              <w:rPr>
                <w:rFonts w:hint="eastAsia" w:ascii="宋体" w:hAnsi="宋体" w:cstheme="minorEastAsia"/>
                <w:sz w:val="18"/>
                <w:szCs w:val="18"/>
              </w:rPr>
              <w:t>类别</w:t>
            </w:r>
          </w:p>
        </w:tc>
        <w:tc>
          <w:tcPr>
            <w:tcW w:w="4764" w:type="dxa"/>
            <w:shd w:val="clear" w:color="auto" w:fill="auto"/>
            <w:vAlign w:val="center"/>
          </w:tcPr>
          <w:p w14:paraId="4C8FABC4">
            <w:pPr>
              <w:spacing w:line="240" w:lineRule="auto"/>
              <w:jc w:val="center"/>
              <w:rPr>
                <w:rFonts w:hint="eastAsia" w:ascii="宋体" w:hAnsi="宋体" w:cstheme="minorEastAsia"/>
                <w:sz w:val="18"/>
                <w:szCs w:val="18"/>
              </w:rPr>
            </w:pPr>
            <w:r>
              <w:rPr>
                <w:rFonts w:hint="eastAsia" w:ascii="宋体" w:hAnsi="宋体" w:cstheme="minorEastAsia"/>
                <w:sz w:val="18"/>
                <w:szCs w:val="18"/>
              </w:rPr>
              <w:t>公称尺寸及允许偏差（mm）</w:t>
            </w:r>
          </w:p>
        </w:tc>
      </w:tr>
      <w:tr w14:paraId="7F04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03E40D45">
            <w:pPr>
              <w:spacing w:line="240" w:lineRule="auto"/>
              <w:jc w:val="center"/>
              <w:rPr>
                <w:rFonts w:hint="eastAsia" w:ascii="宋体" w:hAnsi="宋体" w:cstheme="minorEastAsia"/>
                <w:sz w:val="18"/>
                <w:szCs w:val="18"/>
              </w:rPr>
            </w:pPr>
            <w:r>
              <w:rPr>
                <w:rFonts w:hint="eastAsia" w:ascii="宋体" w:hAnsi="宋体" w:cstheme="minorEastAsia"/>
                <w:sz w:val="18"/>
                <w:szCs w:val="18"/>
              </w:rPr>
              <w:t>L（反光膜长）</w:t>
            </w:r>
          </w:p>
        </w:tc>
        <w:tc>
          <w:tcPr>
            <w:tcW w:w="4764" w:type="dxa"/>
            <w:shd w:val="clear" w:color="auto" w:fill="auto"/>
            <w:vAlign w:val="center"/>
          </w:tcPr>
          <w:p w14:paraId="5EDDD36D">
            <w:pPr>
              <w:spacing w:line="240" w:lineRule="auto"/>
              <w:jc w:val="center"/>
              <w:rPr>
                <w:rFonts w:hint="eastAsia" w:ascii="宋体" w:hAnsi="宋体" w:cstheme="minorEastAsia"/>
                <w:sz w:val="18"/>
                <w:szCs w:val="18"/>
              </w:rPr>
            </w:pPr>
            <w:r>
              <w:rPr>
                <w:rFonts w:hint="eastAsia" w:ascii="宋体" w:hAnsi="宋体" w:cstheme="minorEastAsia"/>
                <w:sz w:val="18"/>
                <w:szCs w:val="18"/>
              </w:rPr>
              <w:t>1100（±5）</w:t>
            </w:r>
          </w:p>
        </w:tc>
      </w:tr>
      <w:tr w14:paraId="0923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70" w:type="dxa"/>
            <w:shd w:val="clear" w:color="auto" w:fill="auto"/>
            <w:vAlign w:val="center"/>
          </w:tcPr>
          <w:p w14:paraId="795564D4">
            <w:pPr>
              <w:spacing w:line="240" w:lineRule="auto"/>
              <w:jc w:val="center"/>
              <w:rPr>
                <w:rFonts w:hint="eastAsia" w:ascii="宋体" w:hAnsi="宋体" w:cstheme="minorEastAsia"/>
                <w:sz w:val="18"/>
                <w:szCs w:val="18"/>
              </w:rPr>
            </w:pPr>
            <w:r>
              <w:rPr>
                <w:rFonts w:hint="eastAsia" w:ascii="宋体" w:hAnsi="宋体" w:cstheme="minorEastAsia"/>
                <w:sz w:val="18"/>
                <w:szCs w:val="18"/>
              </w:rPr>
              <w:t>H（反光膜宽）</w:t>
            </w:r>
          </w:p>
        </w:tc>
        <w:tc>
          <w:tcPr>
            <w:tcW w:w="4764" w:type="dxa"/>
            <w:shd w:val="clear" w:color="auto" w:fill="auto"/>
            <w:vAlign w:val="center"/>
          </w:tcPr>
          <w:p w14:paraId="5C0A1060">
            <w:pPr>
              <w:spacing w:line="240" w:lineRule="auto"/>
              <w:jc w:val="center"/>
              <w:rPr>
                <w:rFonts w:hint="eastAsia" w:ascii="宋体" w:hAnsi="宋体" w:cstheme="minorEastAsia"/>
                <w:sz w:val="18"/>
                <w:szCs w:val="18"/>
              </w:rPr>
            </w:pPr>
            <w:r>
              <w:rPr>
                <w:rFonts w:hint="eastAsia" w:ascii="宋体" w:hAnsi="宋体" w:cstheme="minorEastAsia"/>
                <w:sz w:val="18"/>
                <w:szCs w:val="18"/>
              </w:rPr>
              <w:t>50(±5)</w:t>
            </w:r>
          </w:p>
        </w:tc>
      </w:tr>
    </w:tbl>
    <w:p w14:paraId="22B6C29E">
      <w:pPr>
        <w:pStyle w:val="81"/>
        <w:spacing w:before="156" w:after="156"/>
      </w:pPr>
      <w:bookmarkStart w:id="85" w:name="_Toc5420"/>
      <w:bookmarkStart w:id="86" w:name="_Toc16562"/>
      <w:r>
        <w:t>螺栓</w:t>
      </w:r>
      <w:bookmarkEnd w:id="85"/>
      <w:bookmarkEnd w:id="86"/>
    </w:p>
    <w:p w14:paraId="5854EBA8">
      <w:pPr>
        <w:pStyle w:val="59"/>
      </w:pPr>
      <w:r>
        <w:t>圆头方颈螺栓应符合GB/T12标准要求。</w:t>
      </w:r>
    </w:p>
    <w:p w14:paraId="4876E059">
      <w:pPr>
        <w:pStyle w:val="59"/>
        <w:sectPr>
          <w:footerReference r:id="rId17" w:type="default"/>
          <w:footerReference r:id="rId18" w:type="even"/>
          <w:pgSz w:w="11906" w:h="16838"/>
          <w:pgMar w:top="1928" w:right="1134" w:bottom="1134" w:left="1134" w:header="1418" w:footer="1134" w:gutter="284"/>
          <w:cols w:space="425" w:num="1"/>
          <w:formProt w:val="0"/>
          <w:docGrid w:type="lines" w:linePitch="312" w:charSpace="0"/>
        </w:sectPr>
      </w:pPr>
    </w:p>
    <w:p w14:paraId="00C86E43">
      <w:pPr>
        <w:pStyle w:val="79"/>
      </w:pPr>
      <w:bookmarkStart w:id="87" w:name="_Toc15610"/>
      <w:bookmarkEnd w:id="87"/>
    </w:p>
    <w:p w14:paraId="243AAF66">
      <w:pPr>
        <w:pStyle w:val="79"/>
        <w:numPr>
          <w:ilvl w:val="0"/>
          <w:numId w:val="0"/>
        </w:numPr>
      </w:pPr>
      <w:bookmarkStart w:id="88" w:name="_Toc24936"/>
      <w:bookmarkStart w:id="89" w:name="_Toc16857"/>
      <w:r>
        <w:rPr>
          <w:rFonts w:hint="eastAsia"/>
        </w:rPr>
        <w:t>（资料性）</w:t>
      </w:r>
      <w:bookmarkEnd w:id="88"/>
      <w:bookmarkEnd w:id="89"/>
    </w:p>
    <w:p w14:paraId="7A67923A">
      <w:pPr>
        <w:pStyle w:val="173"/>
      </w:pPr>
      <w:r>
        <w:t>特殊路段旋转式护栏处理</w:t>
      </w:r>
    </w:p>
    <w:p w14:paraId="7261ACEC">
      <w:pPr>
        <w:pStyle w:val="81"/>
        <w:spacing w:before="156" w:after="156"/>
      </w:pPr>
      <w:bookmarkStart w:id="90" w:name="_Toc28892"/>
      <w:bookmarkStart w:id="91" w:name="_Toc14460"/>
      <w:r>
        <w:rPr>
          <w:rFonts w:hint="eastAsia" w:ascii="宋体" w:hAnsi="宋体" w:eastAsia="宋体" w:cs="宋体"/>
        </w:rPr>
        <w:t>互通分流三角端</w:t>
      </w:r>
      <w:r>
        <w:rPr>
          <w:rStyle w:val="247"/>
          <w:rFonts w:hint="eastAsia" w:ascii="宋体" w:hAnsi="宋体" w:eastAsia="宋体" w:cs="宋体"/>
        </w:rPr>
        <w:t>采用旋转式护栏，鼻端三角区应设置防撞</w:t>
      </w:r>
      <w:r>
        <w:rPr>
          <w:rStyle w:val="247"/>
          <w:rFonts w:hint="eastAsia" w:ascii="宋体" w:hAnsi="宋体" w:eastAsia="宋体" w:cs="宋体"/>
          <w:lang w:val="en-US" w:eastAsia="zh-CN"/>
        </w:rPr>
        <w:t>桶</w:t>
      </w:r>
      <w:r>
        <w:rPr>
          <w:rStyle w:val="247"/>
          <w:rFonts w:hint="eastAsia"/>
        </w:rPr>
        <w:t>。</w:t>
      </w:r>
      <w:bookmarkEnd w:id="90"/>
      <w:bookmarkEnd w:id="91"/>
    </w:p>
    <w:p w14:paraId="2833C6E8">
      <w:pPr>
        <w:pStyle w:val="59"/>
        <w:jc w:val="center"/>
        <w:rPr>
          <w:rFonts w:hint="eastAsia" w:eastAsia="宋体"/>
          <w:lang w:eastAsia="zh-CN"/>
        </w:rPr>
      </w:pPr>
      <w:r>
        <w:rPr>
          <w:rFonts w:hint="eastAsia" w:eastAsia="宋体"/>
          <w:lang w:eastAsia="zh-CN"/>
        </w:rPr>
        <w:drawing>
          <wp:inline distT="0" distB="0" distL="114300" distR="114300">
            <wp:extent cx="5777230" cy="3304540"/>
            <wp:effectExtent l="0" t="0" r="13970" b="10160"/>
            <wp:docPr id="7" name="图片 7" descr="78506938-3438-40cf-9fb1-dd7e2721b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8506938-3438-40cf-9fb1-dd7e2721b427"/>
                    <pic:cNvPicPr>
                      <a:picLocks noChangeAspect="1"/>
                    </pic:cNvPicPr>
                  </pic:nvPicPr>
                  <pic:blipFill>
                    <a:blip r:embed="rId30"/>
                    <a:stretch>
                      <a:fillRect/>
                    </a:stretch>
                  </pic:blipFill>
                  <pic:spPr>
                    <a:xfrm>
                      <a:off x="0" y="0"/>
                      <a:ext cx="5777230" cy="3304540"/>
                    </a:xfrm>
                    <a:prstGeom prst="rect">
                      <a:avLst/>
                    </a:prstGeom>
                  </pic:spPr>
                </pic:pic>
              </a:graphicData>
            </a:graphic>
          </wp:inline>
        </w:drawing>
      </w:r>
    </w:p>
    <w:p w14:paraId="65627EC8">
      <w:pPr>
        <w:pStyle w:val="86"/>
        <w:numPr>
          <w:ilvl w:val="1"/>
          <w:numId w:val="0"/>
        </w:numPr>
        <w:spacing w:before="156" w:after="156"/>
      </w:pPr>
      <w:r>
        <w:rPr>
          <w:rFonts w:hint="eastAsia"/>
        </w:rPr>
        <w:t>图B.1公路旋转式护栏用于互通出口三角端处理示意图</w:t>
      </w:r>
    </w:p>
    <w:p w14:paraId="0EA6A9F5">
      <w:pPr>
        <w:pStyle w:val="214"/>
      </w:pPr>
      <w:r>
        <w:rPr>
          <w:rFonts w:hint="eastAsia"/>
        </w:rPr>
        <w:t>隧道进口采用旋转式护栏时</w:t>
      </w:r>
    </w:p>
    <w:p w14:paraId="2AD2D3AD">
      <w:pPr>
        <w:pStyle w:val="214"/>
        <w:numPr>
          <w:ilvl w:val="1"/>
          <w:numId w:val="0"/>
        </w:numPr>
        <w:jc w:val="center"/>
        <w:rPr>
          <w:rFonts w:hint="eastAsia" w:hAnsi="宋体" w:eastAsia="宋体" w:cs="宋体"/>
          <w:sz w:val="24"/>
          <w:szCs w:val="24"/>
          <w:lang w:eastAsia="zh-CN"/>
        </w:rPr>
      </w:pPr>
      <w:r>
        <w:rPr>
          <w:rFonts w:hint="eastAsia" w:hAnsi="宋体" w:eastAsia="宋体" w:cs="宋体"/>
          <w:sz w:val="24"/>
          <w:szCs w:val="24"/>
          <w:lang w:eastAsia="zh-CN"/>
        </w:rPr>
        <w:drawing>
          <wp:inline distT="0" distB="0" distL="114300" distR="114300">
            <wp:extent cx="5937885" cy="2799715"/>
            <wp:effectExtent l="0" t="0" r="5715" b="635"/>
            <wp:docPr id="8" name="图片 8" descr="76667178-c985-4380-86c4-b9533ff54f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6667178-c985-4380-86c4-b9533ff54f6f"/>
                    <pic:cNvPicPr>
                      <a:picLocks noChangeAspect="1"/>
                    </pic:cNvPicPr>
                  </pic:nvPicPr>
                  <pic:blipFill>
                    <a:blip r:embed="rId31"/>
                    <a:stretch>
                      <a:fillRect/>
                    </a:stretch>
                  </pic:blipFill>
                  <pic:spPr>
                    <a:xfrm>
                      <a:off x="0" y="0"/>
                      <a:ext cx="5937885" cy="2799715"/>
                    </a:xfrm>
                    <a:prstGeom prst="rect">
                      <a:avLst/>
                    </a:prstGeom>
                  </pic:spPr>
                </pic:pic>
              </a:graphicData>
            </a:graphic>
          </wp:inline>
        </w:drawing>
      </w:r>
    </w:p>
    <w:p w14:paraId="750F6C1C">
      <w:pPr>
        <w:pStyle w:val="86"/>
        <w:numPr>
          <w:ilvl w:val="1"/>
          <w:numId w:val="0"/>
        </w:numPr>
        <w:spacing w:before="156" w:after="156"/>
      </w:pPr>
      <w:r>
        <w:rPr>
          <w:rFonts w:hint="eastAsia"/>
        </w:rPr>
        <w:t>图B.2 公路旋转式护栏用于隧道进口断面过渡处理示意图</w:t>
      </w:r>
    </w:p>
    <w:p w14:paraId="6BB36D53">
      <w:pPr>
        <w:pStyle w:val="214"/>
      </w:pPr>
      <w:r>
        <w:rPr>
          <w:rFonts w:hint="eastAsia"/>
        </w:rPr>
        <w:t>公路断面车道数减少时，在过渡段采用旋转式护栏。</w:t>
      </w:r>
    </w:p>
    <w:p w14:paraId="5D75EC6E">
      <w:pPr>
        <w:pStyle w:val="214"/>
        <w:numPr>
          <w:ilvl w:val="1"/>
          <w:numId w:val="0"/>
        </w:numPr>
        <w:jc w:val="center"/>
        <w:rPr>
          <w:rFonts w:hint="eastAsia" w:eastAsia="宋体"/>
          <w:position w:val="-56"/>
          <w:lang w:eastAsia="zh-CN"/>
        </w:rPr>
      </w:pPr>
      <w:r>
        <w:rPr>
          <w:rFonts w:hint="eastAsia" w:eastAsia="宋体"/>
          <w:position w:val="-56"/>
          <w:lang w:eastAsia="zh-CN"/>
        </w:rPr>
        <w:drawing>
          <wp:inline distT="0" distB="0" distL="114300" distR="114300">
            <wp:extent cx="6245225" cy="2141855"/>
            <wp:effectExtent l="0" t="0" r="3175" b="10795"/>
            <wp:docPr id="11" name="图片 11" descr="ac25dc9a-bb8f-420b-be34-af86107b8b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c25dc9a-bb8f-420b-be34-af86107b8b71"/>
                    <pic:cNvPicPr>
                      <a:picLocks noChangeAspect="1"/>
                    </pic:cNvPicPr>
                  </pic:nvPicPr>
                  <pic:blipFill>
                    <a:blip r:embed="rId32"/>
                    <a:stretch>
                      <a:fillRect/>
                    </a:stretch>
                  </pic:blipFill>
                  <pic:spPr>
                    <a:xfrm>
                      <a:off x="0" y="0"/>
                      <a:ext cx="6245225" cy="2141855"/>
                    </a:xfrm>
                    <a:prstGeom prst="rect">
                      <a:avLst/>
                    </a:prstGeom>
                  </pic:spPr>
                </pic:pic>
              </a:graphicData>
            </a:graphic>
          </wp:inline>
        </w:drawing>
      </w:r>
    </w:p>
    <w:p w14:paraId="0FFC2BBA">
      <w:pPr>
        <w:pStyle w:val="86"/>
        <w:numPr>
          <w:ilvl w:val="1"/>
          <w:numId w:val="0"/>
        </w:numPr>
        <w:spacing w:before="156" w:after="156"/>
      </w:pPr>
      <w:r>
        <w:rPr>
          <w:rFonts w:hint="eastAsia"/>
        </w:rPr>
        <w:t>图B.3 公路旋转式护栏用于</w:t>
      </w:r>
      <w:r>
        <w:rPr>
          <w:rFonts w:hint="eastAsia"/>
          <w:lang w:val="en-US" w:eastAsia="zh-CN"/>
        </w:rPr>
        <w:t>公路</w:t>
      </w:r>
      <w:r>
        <w:rPr>
          <w:rFonts w:hint="eastAsia"/>
        </w:rPr>
        <w:t>断面</w:t>
      </w:r>
      <w:r>
        <w:rPr>
          <w:rFonts w:hint="eastAsia"/>
          <w:lang w:val="en-US" w:eastAsia="zh-CN"/>
        </w:rPr>
        <w:t>减少</w:t>
      </w:r>
      <w:r>
        <w:rPr>
          <w:rFonts w:hint="eastAsia"/>
        </w:rPr>
        <w:t>过渡处理示意图</w:t>
      </w:r>
    </w:p>
    <w:p w14:paraId="46D22D93">
      <w:pPr>
        <w:pStyle w:val="214"/>
        <w:numPr>
          <w:ilvl w:val="1"/>
          <w:numId w:val="0"/>
        </w:numPr>
        <w:rPr>
          <w:position w:val="-56"/>
        </w:rPr>
        <w:sectPr>
          <w:pgSz w:w="11906" w:h="16838"/>
          <w:pgMar w:top="1928" w:right="1134" w:bottom="1134" w:left="1134" w:header="1418" w:footer="1134" w:gutter="284"/>
          <w:cols w:space="425" w:num="1"/>
          <w:formProt w:val="0"/>
          <w:docGrid w:type="lines" w:linePitch="312" w:charSpace="0"/>
        </w:sectPr>
      </w:pPr>
    </w:p>
    <w:p w14:paraId="5000FE00">
      <w:pPr>
        <w:pStyle w:val="79"/>
      </w:pPr>
      <w:bookmarkStart w:id="92" w:name="_Toc30106"/>
      <w:bookmarkEnd w:id="92"/>
    </w:p>
    <w:p w14:paraId="511D22C3">
      <w:pPr>
        <w:pStyle w:val="79"/>
        <w:numPr>
          <w:ilvl w:val="0"/>
          <w:numId w:val="0"/>
        </w:numPr>
      </w:pPr>
      <w:bookmarkStart w:id="93" w:name="_Toc1812"/>
      <w:bookmarkStart w:id="94" w:name="_Toc2277"/>
      <w:r>
        <w:rPr>
          <w:rFonts w:hint="eastAsia"/>
        </w:rPr>
        <w:t>（资料性）</w:t>
      </w:r>
      <w:bookmarkEnd w:id="93"/>
      <w:bookmarkEnd w:id="94"/>
    </w:p>
    <w:p w14:paraId="65CB67BB">
      <w:pPr>
        <w:pStyle w:val="59"/>
        <w:jc w:val="center"/>
        <w:rPr>
          <w:rFonts w:hint="eastAsia" w:ascii="黑体" w:hAnsi="黑体" w:eastAsia="黑体" w:cs="黑体"/>
          <w:szCs w:val="21"/>
        </w:rPr>
      </w:pPr>
      <w:r>
        <w:rPr>
          <w:rFonts w:hint="eastAsia" w:ascii="黑体" w:hAnsi="黑体" w:eastAsia="黑体" w:cs="黑体"/>
          <w:szCs w:val="21"/>
        </w:rPr>
        <w:t>公路旋转式护栏主要组装尺寸</w:t>
      </w:r>
    </w:p>
    <w:p w14:paraId="4757696B">
      <w:pPr>
        <w:pStyle w:val="214"/>
      </w:pPr>
      <w:r>
        <w:rPr>
          <w:rFonts w:hint="eastAsia"/>
        </w:rPr>
        <w:t>公路旋转式护栏的组装尺寸示意见图C.1。</w:t>
      </w:r>
    </w:p>
    <w:p w14:paraId="7F740AB4">
      <w:pPr>
        <w:pStyle w:val="59"/>
        <w:spacing w:after="0"/>
        <w:ind w:firstLine="0" w:firstLineChars="0"/>
        <w:jc w:val="center"/>
        <w:rPr>
          <w:rFonts w:hint="eastAsia" w:ascii="黑体" w:hAnsi="黑体" w:eastAsia="黑体" w:cs="黑体"/>
          <w:szCs w:val="21"/>
        </w:rPr>
      </w:pPr>
      <w:r>
        <w:drawing>
          <wp:inline distT="0" distB="0" distL="0" distR="0">
            <wp:extent cx="5516880" cy="5342890"/>
            <wp:effectExtent l="0" t="0" r="7620" b="1016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3" cstate="print">
                      <a:extLst>
                        <a:ext uri="{28A0092B-C50C-407E-A947-70E740481C1C}">
                          <a14:useLocalDpi xmlns:a14="http://schemas.microsoft.com/office/drawing/2010/main" val="0"/>
                        </a:ext>
                      </a:extLst>
                    </a:blip>
                    <a:srcRect l="25580" t="22412" r="18665" b="19184"/>
                    <a:stretch>
                      <a:fillRect/>
                    </a:stretch>
                  </pic:blipFill>
                  <pic:spPr>
                    <a:xfrm>
                      <a:off x="0" y="0"/>
                      <a:ext cx="5519239" cy="5342890"/>
                    </a:xfrm>
                    <a:prstGeom prst="rect">
                      <a:avLst/>
                    </a:prstGeom>
                    <a:noFill/>
                    <a:ln>
                      <a:noFill/>
                    </a:ln>
                  </pic:spPr>
                </pic:pic>
              </a:graphicData>
            </a:graphic>
          </wp:inline>
        </w:drawing>
      </w:r>
    </w:p>
    <w:p w14:paraId="6ADB3DF2">
      <w:pPr>
        <w:pStyle w:val="86"/>
        <w:numPr>
          <w:ilvl w:val="1"/>
          <w:numId w:val="0"/>
        </w:numPr>
        <w:spacing w:before="156" w:after="156"/>
        <w:rPr>
          <w:rFonts w:hint="eastAsia"/>
        </w:rPr>
        <w:sectPr>
          <w:pgSz w:w="11906" w:h="16838"/>
          <w:pgMar w:top="1928" w:right="1134" w:bottom="1134" w:left="1134" w:header="1418" w:footer="1134" w:gutter="284"/>
          <w:cols w:space="425" w:num="1"/>
          <w:formProt w:val="0"/>
          <w:docGrid w:type="lines" w:linePitch="312" w:charSpace="0"/>
        </w:sectPr>
      </w:pPr>
      <w:r>
        <w:rPr>
          <w:rFonts w:hint="eastAsia"/>
        </w:rPr>
        <w:t>图C.1公路旋转式护栏主要组装尺寸示意图</w:t>
      </w:r>
    </w:p>
    <w:p w14:paraId="67485910">
      <w:pPr>
        <w:pStyle w:val="59"/>
      </w:pPr>
    </w:p>
    <w:p w14:paraId="1B6A848D">
      <w:pPr>
        <w:pStyle w:val="79"/>
      </w:pPr>
      <w:bookmarkStart w:id="95" w:name="_Toc31232"/>
      <w:bookmarkEnd w:id="95"/>
    </w:p>
    <w:p w14:paraId="606BDA01">
      <w:pPr>
        <w:pStyle w:val="79"/>
        <w:numPr>
          <w:ilvl w:val="0"/>
          <w:numId w:val="0"/>
        </w:numPr>
      </w:pPr>
      <w:bookmarkStart w:id="96" w:name="_Toc12175"/>
      <w:bookmarkStart w:id="97" w:name="_Toc17637"/>
      <w:r>
        <w:t>（资料性）</w:t>
      </w:r>
      <w:bookmarkEnd w:id="96"/>
      <w:bookmarkEnd w:id="97"/>
    </w:p>
    <w:p w14:paraId="24974ED4">
      <w:pPr>
        <w:pStyle w:val="173"/>
      </w:pPr>
      <w:r>
        <w:t>公路旋转式护栏过渡段结构示意图</w:t>
      </w:r>
    </w:p>
    <w:p w14:paraId="5BB7D529">
      <w:pPr>
        <w:pStyle w:val="214"/>
      </w:pPr>
      <w:r>
        <w:t>公路旋转式护栏与二波型梁护栏过渡段结构示意</w:t>
      </w:r>
      <w:r>
        <w:rPr>
          <w:rFonts w:hint="eastAsia"/>
        </w:rPr>
        <w:t>见</w:t>
      </w:r>
      <w:r>
        <w:t>图</w:t>
      </w:r>
      <w:r>
        <w:rPr>
          <w:rFonts w:hint="eastAsia"/>
        </w:rPr>
        <w:t>D.1。</w:t>
      </w:r>
    </w:p>
    <w:p w14:paraId="36795DF0">
      <w:pPr>
        <w:pStyle w:val="214"/>
        <w:numPr>
          <w:ilvl w:val="1"/>
          <w:numId w:val="0"/>
        </w:numPr>
        <w:jc w:val="center"/>
        <w:rPr>
          <w:rFonts w:hint="eastAsia" w:hAnsi="宋体" w:cs="宋体"/>
          <w:position w:val="-62"/>
          <w:sz w:val="24"/>
          <w:szCs w:val="24"/>
        </w:rPr>
      </w:pPr>
      <w:r>
        <w:drawing>
          <wp:inline distT="0" distB="0" distL="0" distR="0">
            <wp:extent cx="5549265" cy="6605270"/>
            <wp:effectExtent l="0" t="0" r="13335" b="508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4" cstate="print">
                      <a:extLst>
                        <a:ext uri="{28A0092B-C50C-407E-A947-70E740481C1C}">
                          <a14:useLocalDpi xmlns:a14="http://schemas.microsoft.com/office/drawing/2010/main" val="0"/>
                        </a:ext>
                      </a:extLst>
                    </a:blip>
                    <a:srcRect l="30655" t="18435" r="27509" b="17340"/>
                    <a:stretch>
                      <a:fillRect/>
                    </a:stretch>
                  </pic:blipFill>
                  <pic:spPr>
                    <a:xfrm>
                      <a:off x="0" y="0"/>
                      <a:ext cx="5549265" cy="6605270"/>
                    </a:xfrm>
                    <a:prstGeom prst="rect">
                      <a:avLst/>
                    </a:prstGeom>
                    <a:noFill/>
                    <a:ln>
                      <a:noFill/>
                    </a:ln>
                  </pic:spPr>
                </pic:pic>
              </a:graphicData>
            </a:graphic>
          </wp:inline>
        </w:drawing>
      </w:r>
    </w:p>
    <w:p w14:paraId="69158412">
      <w:pPr>
        <w:pStyle w:val="86"/>
        <w:numPr>
          <w:ilvl w:val="1"/>
          <w:numId w:val="0"/>
        </w:numPr>
        <w:spacing w:before="156" w:after="156"/>
      </w:pPr>
      <w:r>
        <w:rPr>
          <w:rFonts w:hint="eastAsia"/>
        </w:rPr>
        <w:t>图D.1</w:t>
      </w:r>
      <w:r>
        <w:t>公路旋转式护栏与二波型梁护栏过渡段结构示意图</w:t>
      </w:r>
    </w:p>
    <w:p w14:paraId="7978961B">
      <w:pPr>
        <w:pStyle w:val="214"/>
      </w:pPr>
      <w:r>
        <w:t>公路旋转式护栏与三波型梁护栏过渡段结构示意</w:t>
      </w:r>
      <w:r>
        <w:rPr>
          <w:rFonts w:hint="eastAsia"/>
        </w:rPr>
        <w:t>见</w:t>
      </w:r>
      <w:r>
        <w:t>图</w:t>
      </w:r>
      <w:r>
        <w:rPr>
          <w:rFonts w:hint="eastAsia"/>
        </w:rPr>
        <w:t>D.2。</w:t>
      </w:r>
    </w:p>
    <w:p w14:paraId="22237568">
      <w:pPr>
        <w:pStyle w:val="59"/>
        <w:jc w:val="center"/>
        <w:rPr>
          <w:rFonts w:hint="eastAsia" w:hAnsi="宋体" w:cs="宋体"/>
          <w:position w:val="-62"/>
          <w:sz w:val="24"/>
          <w:szCs w:val="24"/>
        </w:rPr>
      </w:pPr>
      <w:r>
        <w:drawing>
          <wp:inline distT="0" distB="0" distL="0" distR="0">
            <wp:extent cx="5818505" cy="6851650"/>
            <wp:effectExtent l="0" t="0" r="10795"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5" cstate="print">
                      <a:extLst>
                        <a:ext uri="{28A0092B-C50C-407E-A947-70E740481C1C}">
                          <a14:useLocalDpi xmlns:a14="http://schemas.microsoft.com/office/drawing/2010/main" val="0"/>
                        </a:ext>
                      </a:extLst>
                    </a:blip>
                    <a:srcRect l="26500" t="18151" r="28596" b="19980"/>
                    <a:stretch>
                      <a:fillRect/>
                    </a:stretch>
                  </pic:blipFill>
                  <pic:spPr>
                    <a:xfrm>
                      <a:off x="0" y="0"/>
                      <a:ext cx="5818505" cy="6851650"/>
                    </a:xfrm>
                    <a:prstGeom prst="rect">
                      <a:avLst/>
                    </a:prstGeom>
                    <a:noFill/>
                    <a:ln>
                      <a:noFill/>
                    </a:ln>
                  </pic:spPr>
                </pic:pic>
              </a:graphicData>
            </a:graphic>
          </wp:inline>
        </w:drawing>
      </w:r>
    </w:p>
    <w:p w14:paraId="455BEA54">
      <w:pPr>
        <w:pStyle w:val="86"/>
        <w:numPr>
          <w:ilvl w:val="1"/>
          <w:numId w:val="0"/>
        </w:numPr>
        <w:spacing w:before="156" w:after="156"/>
      </w:pPr>
      <w:r>
        <w:rPr>
          <w:rFonts w:hint="eastAsia"/>
        </w:rPr>
        <w:t>图D.2</w:t>
      </w:r>
      <w:r>
        <w:t>公路旋转式护栏与三波型梁护栏过渡段结构示意图</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2FEF">
    <w:pPr>
      <w:pStyle w:val="5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ACA69">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6CEF">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E577E">
    <w:pPr>
      <w:pStyle w:val="55"/>
    </w:pPr>
    <w:r>
      <w:rPr>
        <w:rFonts w:hint="eastAsia" w:hAnsi="宋体" w:cs="宋体"/>
      </w:rPr>
      <w:t>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B5DFD">
    <w:pPr>
      <w:pStyle w:val="54"/>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9F2BB">
    <w:pPr>
      <w:pStyle w:val="5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B76D1">
                          <w:pPr>
                            <w:pStyle w:val="55"/>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D4B76D1">
                    <w:pPr>
                      <w:pStyle w:val="55"/>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EA726">
    <w:pPr>
      <w:pStyle w:val="5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CCBDC">
                          <w:pPr>
                            <w:pStyle w:val="54"/>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70CCBDC">
                    <w:pPr>
                      <w:pStyle w:val="54"/>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81EEF">
    <w:pPr>
      <w:pStyle w:val="5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2F49F6">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092F49F6">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2C9E">
    <w:pPr>
      <w:pStyle w:val="5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2815C">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EF2815C">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B523C">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22C5B">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B1B72">
    <w:pPr>
      <w:pStyle w:val="64"/>
      <w:spacing w:after="0"/>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709B2">
    <w:pPr>
      <w:pStyle w:val="65"/>
      <w:rPr>
        <w:rFonts w:hint="eastAsia"/>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07A23">
    <w:pPr>
      <w:pStyle w:val="64"/>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2AD3DDF"/>
    <w:multiLevelType w:val="multilevel"/>
    <w:tmpl w:val="02AD3DDF"/>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38"/>
      <w:suff w:val="nothing"/>
      <w:lvlText w:val="%1.%2.%3.%4　"/>
      <w:lvlJc w:val="left"/>
      <w:pPr>
        <w:ind w:left="0" w:firstLine="0"/>
      </w:pPr>
      <w:rPr>
        <w:rFonts w:hint="eastAsia" w:ascii="黑体" w:hAnsi="Times New Roman" w:eastAsia="黑体"/>
        <w:b w:val="0"/>
        <w:i w:val="0"/>
        <w:sz w:val="21"/>
      </w:rPr>
    </w:lvl>
    <w:lvl w:ilvl="4" w:tentative="0">
      <w:start w:val="1"/>
      <w:numFmt w:val="decimal"/>
      <w:pStyle w:val="239"/>
      <w:suff w:val="nothing"/>
      <w:lvlText w:val="%1.%2.%3.%4.%5　"/>
      <w:lvlJc w:val="left"/>
      <w:pPr>
        <w:ind w:left="0" w:firstLine="0"/>
      </w:pPr>
      <w:rPr>
        <w:rFonts w:hint="eastAsia" w:ascii="黑体" w:hAnsi="Times New Roman" w:eastAsia="黑体"/>
        <w:b w:val="0"/>
        <w:i w:val="0"/>
        <w:sz w:val="21"/>
      </w:rPr>
    </w:lvl>
    <w:lvl w:ilvl="5" w:tentative="0">
      <w:start w:val="1"/>
      <w:numFmt w:val="decimal"/>
      <w:pStyle w:val="24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lowerLetter"/>
      <w:pStyle w:val="112"/>
      <w:lvlText w:val="%2)"/>
      <w:lvlJc w:val="left"/>
      <w:pPr>
        <w:ind w:left="1149" w:hanging="440"/>
      </w:p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2694"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
  </w:num>
  <w:num w:numId="7">
    <w:abstractNumId w:val="9"/>
  </w:num>
  <w:num w:numId="8">
    <w:abstractNumId w:val="10"/>
  </w:num>
  <w:num w:numId="9">
    <w:abstractNumId w:val="17"/>
  </w:num>
  <w:num w:numId="10">
    <w:abstractNumId w:val="26"/>
  </w:num>
  <w:num w:numId="11">
    <w:abstractNumId w:val="13"/>
  </w:num>
  <w:num w:numId="12">
    <w:abstractNumId w:val="14"/>
  </w:num>
  <w:num w:numId="13">
    <w:abstractNumId w:val="8"/>
  </w:num>
  <w:num w:numId="14">
    <w:abstractNumId w:val="20"/>
  </w:num>
  <w:num w:numId="15">
    <w:abstractNumId w:val="22"/>
  </w:num>
  <w:num w:numId="16">
    <w:abstractNumId w:val="18"/>
  </w:num>
  <w:num w:numId="17">
    <w:abstractNumId w:val="30"/>
  </w:num>
  <w:num w:numId="18">
    <w:abstractNumId w:val="16"/>
  </w:num>
  <w:num w:numId="19">
    <w:abstractNumId w:val="2"/>
  </w:num>
  <w:num w:numId="20">
    <w:abstractNumId w:val="12"/>
  </w:num>
  <w:num w:numId="21">
    <w:abstractNumId w:val="31"/>
  </w:num>
  <w:num w:numId="22">
    <w:abstractNumId w:val="21"/>
  </w:num>
  <w:num w:numId="23">
    <w:abstractNumId w:val="7"/>
  </w:num>
  <w:num w:numId="24">
    <w:abstractNumId w:val="27"/>
  </w:num>
  <w:num w:numId="25">
    <w:abstractNumId w:val="29"/>
  </w:num>
  <w:num w:numId="26">
    <w:abstractNumId w:val="3"/>
  </w:num>
  <w:num w:numId="27">
    <w:abstractNumId w:val="5"/>
  </w:num>
  <w:num w:numId="28">
    <w:abstractNumId w:val="15"/>
  </w:num>
  <w:num w:numId="29">
    <w:abstractNumId w:val="25"/>
  </w:num>
  <w:num w:numId="30">
    <w:abstractNumId w:val="23"/>
  </w:num>
  <w:num w:numId="31">
    <w:abstractNumId w:val="11"/>
  </w:num>
  <w:num w:numId="32">
    <w:abstractNumId w:val="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kNjBkYTNiMzFiZWI0ZmE5ZjlkNzliMWYwMWFkNjMifQ=="/>
  </w:docVars>
  <w:rsids>
    <w:rsidRoot w:val="00593D73"/>
    <w:rsid w:val="0000040A"/>
    <w:rsid w:val="00000A94"/>
    <w:rsid w:val="00001972"/>
    <w:rsid w:val="00001D9A"/>
    <w:rsid w:val="00007B3A"/>
    <w:rsid w:val="000107E0"/>
    <w:rsid w:val="00011FDE"/>
    <w:rsid w:val="00012FFD"/>
    <w:rsid w:val="00014162"/>
    <w:rsid w:val="00014340"/>
    <w:rsid w:val="00015301"/>
    <w:rsid w:val="00016A9C"/>
    <w:rsid w:val="00022184"/>
    <w:rsid w:val="00022762"/>
    <w:rsid w:val="000238E0"/>
    <w:rsid w:val="000249DB"/>
    <w:rsid w:val="0002595E"/>
    <w:rsid w:val="00027AF8"/>
    <w:rsid w:val="000303C3"/>
    <w:rsid w:val="00032CB6"/>
    <w:rsid w:val="000331D3"/>
    <w:rsid w:val="000346A5"/>
    <w:rsid w:val="000359C3"/>
    <w:rsid w:val="00035A7D"/>
    <w:rsid w:val="00035E25"/>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8A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B5B"/>
    <w:rsid w:val="000A7311"/>
    <w:rsid w:val="000B060F"/>
    <w:rsid w:val="000B1592"/>
    <w:rsid w:val="000B1FF2"/>
    <w:rsid w:val="000B3CDA"/>
    <w:rsid w:val="000B6A0B"/>
    <w:rsid w:val="000B6DF8"/>
    <w:rsid w:val="000C0F6C"/>
    <w:rsid w:val="000C11DB"/>
    <w:rsid w:val="000C1492"/>
    <w:rsid w:val="000C2FBD"/>
    <w:rsid w:val="000C4B41"/>
    <w:rsid w:val="000C57D6"/>
    <w:rsid w:val="000C6362"/>
    <w:rsid w:val="000C7666"/>
    <w:rsid w:val="000D0A9C"/>
    <w:rsid w:val="000D1795"/>
    <w:rsid w:val="000D329A"/>
    <w:rsid w:val="000D4B9C"/>
    <w:rsid w:val="000D4EB6"/>
    <w:rsid w:val="000D4F4C"/>
    <w:rsid w:val="000D753B"/>
    <w:rsid w:val="000E4C9E"/>
    <w:rsid w:val="000E6FD7"/>
    <w:rsid w:val="000F0380"/>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B81"/>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16C8"/>
    <w:rsid w:val="001D212F"/>
    <w:rsid w:val="001D29D7"/>
    <w:rsid w:val="001D2DE7"/>
    <w:rsid w:val="001D411C"/>
    <w:rsid w:val="001E1B6A"/>
    <w:rsid w:val="001E2484"/>
    <w:rsid w:val="001E3CC4"/>
    <w:rsid w:val="001E4882"/>
    <w:rsid w:val="001E73AB"/>
    <w:rsid w:val="001F0728"/>
    <w:rsid w:val="001F092D"/>
    <w:rsid w:val="001F143A"/>
    <w:rsid w:val="001F1605"/>
    <w:rsid w:val="001F2508"/>
    <w:rsid w:val="001F4257"/>
    <w:rsid w:val="001F4816"/>
    <w:rsid w:val="001F4EE9"/>
    <w:rsid w:val="001F69B4"/>
    <w:rsid w:val="001F77C7"/>
    <w:rsid w:val="00200183"/>
    <w:rsid w:val="00200333"/>
    <w:rsid w:val="002007A4"/>
    <w:rsid w:val="0020107D"/>
    <w:rsid w:val="00202AA4"/>
    <w:rsid w:val="002031F7"/>
    <w:rsid w:val="002040E6"/>
    <w:rsid w:val="0020527B"/>
    <w:rsid w:val="00205F2C"/>
    <w:rsid w:val="00210B15"/>
    <w:rsid w:val="002127E4"/>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EC5"/>
    <w:rsid w:val="00281BB8"/>
    <w:rsid w:val="00281E9E"/>
    <w:rsid w:val="00282405"/>
    <w:rsid w:val="00285170"/>
    <w:rsid w:val="00285361"/>
    <w:rsid w:val="0028656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2F5"/>
    <w:rsid w:val="002C5278"/>
    <w:rsid w:val="002C761A"/>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4C5"/>
    <w:rsid w:val="00300E63"/>
    <w:rsid w:val="00302F5F"/>
    <w:rsid w:val="0030441D"/>
    <w:rsid w:val="00306063"/>
    <w:rsid w:val="003067D5"/>
    <w:rsid w:val="00313B85"/>
    <w:rsid w:val="00313D16"/>
    <w:rsid w:val="00317988"/>
    <w:rsid w:val="003217FC"/>
    <w:rsid w:val="003221B4"/>
    <w:rsid w:val="0032258D"/>
    <w:rsid w:val="00322E62"/>
    <w:rsid w:val="00324D13"/>
    <w:rsid w:val="00324D2A"/>
    <w:rsid w:val="00324EDD"/>
    <w:rsid w:val="003259C9"/>
    <w:rsid w:val="003331E4"/>
    <w:rsid w:val="00336C64"/>
    <w:rsid w:val="00337162"/>
    <w:rsid w:val="0034194F"/>
    <w:rsid w:val="00344605"/>
    <w:rsid w:val="00345E3E"/>
    <w:rsid w:val="003474AA"/>
    <w:rsid w:val="00350D1D"/>
    <w:rsid w:val="00352C83"/>
    <w:rsid w:val="00356BCA"/>
    <w:rsid w:val="003615D2"/>
    <w:rsid w:val="0036429C"/>
    <w:rsid w:val="00364A53"/>
    <w:rsid w:val="003654CB"/>
    <w:rsid w:val="00365AA9"/>
    <w:rsid w:val="00365F86"/>
    <w:rsid w:val="00365F87"/>
    <w:rsid w:val="00366E89"/>
    <w:rsid w:val="003705F4"/>
    <w:rsid w:val="00370D58"/>
    <w:rsid w:val="00371316"/>
    <w:rsid w:val="00376713"/>
    <w:rsid w:val="00377370"/>
    <w:rsid w:val="00380829"/>
    <w:rsid w:val="00381815"/>
    <w:rsid w:val="003819AF"/>
    <w:rsid w:val="003820E9"/>
    <w:rsid w:val="00382DE7"/>
    <w:rsid w:val="00384FFC"/>
    <w:rsid w:val="00386214"/>
    <w:rsid w:val="003872FC"/>
    <w:rsid w:val="00387ADC"/>
    <w:rsid w:val="00390020"/>
    <w:rsid w:val="003903D6"/>
    <w:rsid w:val="00390EE6"/>
    <w:rsid w:val="0039118F"/>
    <w:rsid w:val="00392528"/>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17CB"/>
    <w:rsid w:val="003C5A43"/>
    <w:rsid w:val="003D01EB"/>
    <w:rsid w:val="003D0519"/>
    <w:rsid w:val="003D0FF6"/>
    <w:rsid w:val="003D262C"/>
    <w:rsid w:val="003D5536"/>
    <w:rsid w:val="003D6D61"/>
    <w:rsid w:val="003D79C6"/>
    <w:rsid w:val="003E091D"/>
    <w:rsid w:val="003E1C53"/>
    <w:rsid w:val="003E2A69"/>
    <w:rsid w:val="003E2D49"/>
    <w:rsid w:val="003E2FD4"/>
    <w:rsid w:val="003E49F6"/>
    <w:rsid w:val="003E660F"/>
    <w:rsid w:val="003F0841"/>
    <w:rsid w:val="003F23D3"/>
    <w:rsid w:val="003F3F08"/>
    <w:rsid w:val="003F49F1"/>
    <w:rsid w:val="003F4CEC"/>
    <w:rsid w:val="003F6272"/>
    <w:rsid w:val="004007AB"/>
    <w:rsid w:val="00400E72"/>
    <w:rsid w:val="00401400"/>
    <w:rsid w:val="00404869"/>
    <w:rsid w:val="00405884"/>
    <w:rsid w:val="00407D39"/>
    <w:rsid w:val="0041477A"/>
    <w:rsid w:val="00414D95"/>
    <w:rsid w:val="004167A3"/>
    <w:rsid w:val="00432DAA"/>
    <w:rsid w:val="00434305"/>
    <w:rsid w:val="00435DF7"/>
    <w:rsid w:val="0044083F"/>
    <w:rsid w:val="00441AE7"/>
    <w:rsid w:val="00443AA2"/>
    <w:rsid w:val="00445574"/>
    <w:rsid w:val="004467FB"/>
    <w:rsid w:val="00452D6B"/>
    <w:rsid w:val="00454484"/>
    <w:rsid w:val="0045517B"/>
    <w:rsid w:val="00463B77"/>
    <w:rsid w:val="00463C7B"/>
    <w:rsid w:val="004644A6"/>
    <w:rsid w:val="004659BD"/>
    <w:rsid w:val="004663F4"/>
    <w:rsid w:val="00470775"/>
    <w:rsid w:val="00471BA4"/>
    <w:rsid w:val="004746B1"/>
    <w:rsid w:val="0047583F"/>
    <w:rsid w:val="00475DE8"/>
    <w:rsid w:val="00481C44"/>
    <w:rsid w:val="00484936"/>
    <w:rsid w:val="00485C89"/>
    <w:rsid w:val="00486046"/>
    <w:rsid w:val="00486BE3"/>
    <w:rsid w:val="004905E4"/>
    <w:rsid w:val="00490A89"/>
    <w:rsid w:val="00490AB4"/>
    <w:rsid w:val="00492F02"/>
    <w:rsid w:val="004939AE"/>
    <w:rsid w:val="004965CF"/>
    <w:rsid w:val="004A12DF"/>
    <w:rsid w:val="004A17E6"/>
    <w:rsid w:val="004A1BA8"/>
    <w:rsid w:val="004A4B57"/>
    <w:rsid w:val="004A63FA"/>
    <w:rsid w:val="004B0272"/>
    <w:rsid w:val="004B2701"/>
    <w:rsid w:val="004B2E1B"/>
    <w:rsid w:val="004B3972"/>
    <w:rsid w:val="004B3AA8"/>
    <w:rsid w:val="004B3E93"/>
    <w:rsid w:val="004C1FBC"/>
    <w:rsid w:val="004C3F1D"/>
    <w:rsid w:val="004C458D"/>
    <w:rsid w:val="004C7556"/>
    <w:rsid w:val="004C7E8B"/>
    <w:rsid w:val="004C7E9D"/>
    <w:rsid w:val="004C7F67"/>
    <w:rsid w:val="004D076D"/>
    <w:rsid w:val="004D0EF1"/>
    <w:rsid w:val="004D2253"/>
    <w:rsid w:val="004D3678"/>
    <w:rsid w:val="004D4406"/>
    <w:rsid w:val="004D7C42"/>
    <w:rsid w:val="004E0465"/>
    <w:rsid w:val="004E127B"/>
    <w:rsid w:val="004E1C0A"/>
    <w:rsid w:val="004E2B06"/>
    <w:rsid w:val="004E30C5"/>
    <w:rsid w:val="004E4AA5"/>
    <w:rsid w:val="004E4AEE"/>
    <w:rsid w:val="004E59E3"/>
    <w:rsid w:val="004E67C0"/>
    <w:rsid w:val="004F250C"/>
    <w:rsid w:val="004F391A"/>
    <w:rsid w:val="004F3CFB"/>
    <w:rsid w:val="004F5552"/>
    <w:rsid w:val="004F6456"/>
    <w:rsid w:val="004F696E"/>
    <w:rsid w:val="004F6C71"/>
    <w:rsid w:val="00501139"/>
    <w:rsid w:val="0050363E"/>
    <w:rsid w:val="005039BC"/>
    <w:rsid w:val="005043BB"/>
    <w:rsid w:val="00504A3D"/>
    <w:rsid w:val="00505767"/>
    <w:rsid w:val="00506734"/>
    <w:rsid w:val="005073F0"/>
    <w:rsid w:val="00510A7B"/>
    <w:rsid w:val="00512F6E"/>
    <w:rsid w:val="00513038"/>
    <w:rsid w:val="00514174"/>
    <w:rsid w:val="00515161"/>
    <w:rsid w:val="00516088"/>
    <w:rsid w:val="00516B0B"/>
    <w:rsid w:val="00520955"/>
    <w:rsid w:val="005220EC"/>
    <w:rsid w:val="00522A25"/>
    <w:rsid w:val="00523F95"/>
    <w:rsid w:val="00524D65"/>
    <w:rsid w:val="00525B16"/>
    <w:rsid w:val="00533D04"/>
    <w:rsid w:val="00534804"/>
    <w:rsid w:val="00534BDF"/>
    <w:rsid w:val="005354EA"/>
    <w:rsid w:val="0053585F"/>
    <w:rsid w:val="00535EC4"/>
    <w:rsid w:val="00535ED9"/>
    <w:rsid w:val="0053692B"/>
    <w:rsid w:val="00541853"/>
    <w:rsid w:val="00542042"/>
    <w:rsid w:val="00543BDA"/>
    <w:rsid w:val="005441CC"/>
    <w:rsid w:val="005479DA"/>
    <w:rsid w:val="00547BCC"/>
    <w:rsid w:val="0055013B"/>
    <w:rsid w:val="00550263"/>
    <w:rsid w:val="00551F6F"/>
    <w:rsid w:val="00555044"/>
    <w:rsid w:val="00560DA3"/>
    <w:rsid w:val="00561475"/>
    <w:rsid w:val="0056487B"/>
    <w:rsid w:val="00564FB9"/>
    <w:rsid w:val="00573D9E"/>
    <w:rsid w:val="005801E3"/>
    <w:rsid w:val="00581802"/>
    <w:rsid w:val="005836A8"/>
    <w:rsid w:val="0058409C"/>
    <w:rsid w:val="00584262"/>
    <w:rsid w:val="00586630"/>
    <w:rsid w:val="00587ADD"/>
    <w:rsid w:val="00591E27"/>
    <w:rsid w:val="00593D73"/>
    <w:rsid w:val="00596160"/>
    <w:rsid w:val="005966E2"/>
    <w:rsid w:val="00597007"/>
    <w:rsid w:val="005A05FA"/>
    <w:rsid w:val="005A0966"/>
    <w:rsid w:val="005A11B7"/>
    <w:rsid w:val="005A260B"/>
    <w:rsid w:val="005A4A1B"/>
    <w:rsid w:val="005A7830"/>
    <w:rsid w:val="005A7FCE"/>
    <w:rsid w:val="005B0F3F"/>
    <w:rsid w:val="005B2CB6"/>
    <w:rsid w:val="005B4903"/>
    <w:rsid w:val="005B51CE"/>
    <w:rsid w:val="005B5885"/>
    <w:rsid w:val="005B5CD7"/>
    <w:rsid w:val="005B6CF6"/>
    <w:rsid w:val="005B7422"/>
    <w:rsid w:val="005C29B8"/>
    <w:rsid w:val="005C5F21"/>
    <w:rsid w:val="005C7156"/>
    <w:rsid w:val="005C77A8"/>
    <w:rsid w:val="005D063B"/>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A5C"/>
    <w:rsid w:val="006015CE"/>
    <w:rsid w:val="00604784"/>
    <w:rsid w:val="00606419"/>
    <w:rsid w:val="00607D29"/>
    <w:rsid w:val="006110A6"/>
    <w:rsid w:val="00612952"/>
    <w:rsid w:val="00614CC1"/>
    <w:rsid w:val="00615A9D"/>
    <w:rsid w:val="00617387"/>
    <w:rsid w:val="006205D6"/>
    <w:rsid w:val="006252D8"/>
    <w:rsid w:val="006259BC"/>
    <w:rsid w:val="0062636B"/>
    <w:rsid w:val="0062636D"/>
    <w:rsid w:val="00632182"/>
    <w:rsid w:val="00632AE0"/>
    <w:rsid w:val="00633C17"/>
    <w:rsid w:val="00634D9E"/>
    <w:rsid w:val="00636E3E"/>
    <w:rsid w:val="006379F7"/>
    <w:rsid w:val="00637E4D"/>
    <w:rsid w:val="00640620"/>
    <w:rsid w:val="00641A1F"/>
    <w:rsid w:val="00645904"/>
    <w:rsid w:val="00651ACB"/>
    <w:rsid w:val="00651C47"/>
    <w:rsid w:val="00652AB2"/>
    <w:rsid w:val="00653D3C"/>
    <w:rsid w:val="00653FED"/>
    <w:rsid w:val="00654EC0"/>
    <w:rsid w:val="0065525B"/>
    <w:rsid w:val="00655D4F"/>
    <w:rsid w:val="00656D29"/>
    <w:rsid w:val="006640E5"/>
    <w:rsid w:val="006646F1"/>
    <w:rsid w:val="00664929"/>
    <w:rsid w:val="00664F62"/>
    <w:rsid w:val="006655E1"/>
    <w:rsid w:val="00666AD2"/>
    <w:rsid w:val="00672060"/>
    <w:rsid w:val="00672BFD"/>
    <w:rsid w:val="006770F4"/>
    <w:rsid w:val="00677A84"/>
    <w:rsid w:val="0068026D"/>
    <w:rsid w:val="00680A27"/>
    <w:rsid w:val="006816A4"/>
    <w:rsid w:val="006819B8"/>
    <w:rsid w:val="006840A6"/>
    <w:rsid w:val="006850CD"/>
    <w:rsid w:val="00685AAB"/>
    <w:rsid w:val="00686CE6"/>
    <w:rsid w:val="00695D22"/>
    <w:rsid w:val="006A07AA"/>
    <w:rsid w:val="006A2216"/>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51E"/>
    <w:rsid w:val="006D4BB1"/>
    <w:rsid w:val="006D5BDB"/>
    <w:rsid w:val="006D6593"/>
    <w:rsid w:val="006E23EA"/>
    <w:rsid w:val="006E6305"/>
    <w:rsid w:val="006E737A"/>
    <w:rsid w:val="006F03A8"/>
    <w:rsid w:val="006F2ACA"/>
    <w:rsid w:val="006F2ADC"/>
    <w:rsid w:val="006F2BFE"/>
    <w:rsid w:val="006F31E9"/>
    <w:rsid w:val="006F6284"/>
    <w:rsid w:val="007002C5"/>
    <w:rsid w:val="00704387"/>
    <w:rsid w:val="00707669"/>
    <w:rsid w:val="00707EBF"/>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9D9"/>
    <w:rsid w:val="007671CA"/>
    <w:rsid w:val="00767C07"/>
    <w:rsid w:val="00767C61"/>
    <w:rsid w:val="0077008A"/>
    <w:rsid w:val="00773C1F"/>
    <w:rsid w:val="00774DA4"/>
    <w:rsid w:val="00776599"/>
    <w:rsid w:val="0078114B"/>
    <w:rsid w:val="00781DD2"/>
    <w:rsid w:val="00783ECF"/>
    <w:rsid w:val="0078413A"/>
    <w:rsid w:val="007959E8"/>
    <w:rsid w:val="00795E9C"/>
    <w:rsid w:val="007967F1"/>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DF"/>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3F"/>
    <w:rsid w:val="00842A47"/>
    <w:rsid w:val="00843C13"/>
    <w:rsid w:val="008454F8"/>
    <w:rsid w:val="0085173A"/>
    <w:rsid w:val="00853DE1"/>
    <w:rsid w:val="00856316"/>
    <w:rsid w:val="008603CE"/>
    <w:rsid w:val="008620FC"/>
    <w:rsid w:val="008627A5"/>
    <w:rsid w:val="00863E05"/>
    <w:rsid w:val="00865ACA"/>
    <w:rsid w:val="00865D28"/>
    <w:rsid w:val="00865F85"/>
    <w:rsid w:val="00867C10"/>
    <w:rsid w:val="00870439"/>
    <w:rsid w:val="00870DA1"/>
    <w:rsid w:val="008764E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FB0"/>
    <w:rsid w:val="008A57E6"/>
    <w:rsid w:val="008A6F81"/>
    <w:rsid w:val="008A769A"/>
    <w:rsid w:val="008A7F74"/>
    <w:rsid w:val="008B0C9C"/>
    <w:rsid w:val="008B166D"/>
    <w:rsid w:val="008B17F4"/>
    <w:rsid w:val="008B269E"/>
    <w:rsid w:val="008B3615"/>
    <w:rsid w:val="008B4AC4"/>
    <w:rsid w:val="008B50C8"/>
    <w:rsid w:val="008B5281"/>
    <w:rsid w:val="008B7E05"/>
    <w:rsid w:val="008C1797"/>
    <w:rsid w:val="008C219C"/>
    <w:rsid w:val="008C475E"/>
    <w:rsid w:val="008C5C66"/>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738"/>
    <w:rsid w:val="00911BE5"/>
    <w:rsid w:val="00913CA9"/>
    <w:rsid w:val="009145AE"/>
    <w:rsid w:val="009146CE"/>
    <w:rsid w:val="00914CA7"/>
    <w:rsid w:val="00915C3E"/>
    <w:rsid w:val="009161A8"/>
    <w:rsid w:val="00917F88"/>
    <w:rsid w:val="009245F5"/>
    <w:rsid w:val="009249EC"/>
    <w:rsid w:val="009273B3"/>
    <w:rsid w:val="009305B5"/>
    <w:rsid w:val="00931282"/>
    <w:rsid w:val="009429D5"/>
    <w:rsid w:val="00942BF1"/>
    <w:rsid w:val="00945180"/>
    <w:rsid w:val="00945428"/>
    <w:rsid w:val="0094607B"/>
    <w:rsid w:val="00953604"/>
    <w:rsid w:val="0095496B"/>
    <w:rsid w:val="00956CD6"/>
    <w:rsid w:val="009601D6"/>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6C3"/>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53C"/>
    <w:rsid w:val="009C27F1"/>
    <w:rsid w:val="009C3152"/>
    <w:rsid w:val="009C4CFA"/>
    <w:rsid w:val="009C5070"/>
    <w:rsid w:val="009C5B64"/>
    <w:rsid w:val="009D112C"/>
    <w:rsid w:val="009D47FA"/>
    <w:rsid w:val="009D4C5B"/>
    <w:rsid w:val="009D50D2"/>
    <w:rsid w:val="009D6BCA"/>
    <w:rsid w:val="009E0F62"/>
    <w:rsid w:val="009E4A58"/>
    <w:rsid w:val="009E5A2D"/>
    <w:rsid w:val="009E5AB2"/>
    <w:rsid w:val="009E6219"/>
    <w:rsid w:val="009F03B3"/>
    <w:rsid w:val="009F5522"/>
    <w:rsid w:val="00A0096C"/>
    <w:rsid w:val="00A01757"/>
    <w:rsid w:val="00A028C0"/>
    <w:rsid w:val="00A02BAE"/>
    <w:rsid w:val="00A03EC6"/>
    <w:rsid w:val="00A06A6B"/>
    <w:rsid w:val="00A07E47"/>
    <w:rsid w:val="00A129D0"/>
    <w:rsid w:val="00A12C33"/>
    <w:rsid w:val="00A138BA"/>
    <w:rsid w:val="00A14A2C"/>
    <w:rsid w:val="00A14C8E"/>
    <w:rsid w:val="00A153D9"/>
    <w:rsid w:val="00A15F09"/>
    <w:rsid w:val="00A169B6"/>
    <w:rsid w:val="00A218B2"/>
    <w:rsid w:val="00A2271D"/>
    <w:rsid w:val="00A237D5"/>
    <w:rsid w:val="00A30EFC"/>
    <w:rsid w:val="00A31984"/>
    <w:rsid w:val="00A32D73"/>
    <w:rsid w:val="00A3367B"/>
    <w:rsid w:val="00A3597D"/>
    <w:rsid w:val="00A35D45"/>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F37"/>
    <w:rsid w:val="00A648CD"/>
    <w:rsid w:val="00A6537A"/>
    <w:rsid w:val="00A67866"/>
    <w:rsid w:val="00A70B07"/>
    <w:rsid w:val="00A723F8"/>
    <w:rsid w:val="00A76446"/>
    <w:rsid w:val="00A77CCB"/>
    <w:rsid w:val="00A83D8D"/>
    <w:rsid w:val="00A8446B"/>
    <w:rsid w:val="00A8473F"/>
    <w:rsid w:val="00A862D6"/>
    <w:rsid w:val="00A8715E"/>
    <w:rsid w:val="00A9295B"/>
    <w:rsid w:val="00A93B09"/>
    <w:rsid w:val="00A94247"/>
    <w:rsid w:val="00A952D7"/>
    <w:rsid w:val="00A963F7"/>
    <w:rsid w:val="00A96AD8"/>
    <w:rsid w:val="00A97E14"/>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48BC"/>
    <w:rsid w:val="00AF5398"/>
    <w:rsid w:val="00B049AF"/>
    <w:rsid w:val="00B0610C"/>
    <w:rsid w:val="00B07242"/>
    <w:rsid w:val="00B10534"/>
    <w:rsid w:val="00B113DB"/>
    <w:rsid w:val="00B11D8A"/>
    <w:rsid w:val="00B12981"/>
    <w:rsid w:val="00B147DD"/>
    <w:rsid w:val="00B156FD"/>
    <w:rsid w:val="00B21397"/>
    <w:rsid w:val="00B21F61"/>
    <w:rsid w:val="00B261F1"/>
    <w:rsid w:val="00B265BC"/>
    <w:rsid w:val="00B31FB1"/>
    <w:rsid w:val="00B33952"/>
    <w:rsid w:val="00B33C5E"/>
    <w:rsid w:val="00B3406A"/>
    <w:rsid w:val="00B342F4"/>
    <w:rsid w:val="00B34369"/>
    <w:rsid w:val="00B34DC2"/>
    <w:rsid w:val="00B378E5"/>
    <w:rsid w:val="00B42074"/>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310"/>
    <w:rsid w:val="00B758BF"/>
    <w:rsid w:val="00B76247"/>
    <w:rsid w:val="00B77EC8"/>
    <w:rsid w:val="00B827A6"/>
    <w:rsid w:val="00B831CE"/>
    <w:rsid w:val="00B85D4C"/>
    <w:rsid w:val="00B86677"/>
    <w:rsid w:val="00B87131"/>
    <w:rsid w:val="00B92567"/>
    <w:rsid w:val="00B939B1"/>
    <w:rsid w:val="00B96D40"/>
    <w:rsid w:val="00B97386"/>
    <w:rsid w:val="00BA263B"/>
    <w:rsid w:val="00BA38C3"/>
    <w:rsid w:val="00BA42B2"/>
    <w:rsid w:val="00BA58D4"/>
    <w:rsid w:val="00BA5B9E"/>
    <w:rsid w:val="00BA7C9A"/>
    <w:rsid w:val="00BB203B"/>
    <w:rsid w:val="00BB5F8F"/>
    <w:rsid w:val="00BB657A"/>
    <w:rsid w:val="00BC0F4E"/>
    <w:rsid w:val="00BC1A4E"/>
    <w:rsid w:val="00BC4790"/>
    <w:rsid w:val="00BC4C8D"/>
    <w:rsid w:val="00BC5DC7"/>
    <w:rsid w:val="00BC6B8B"/>
    <w:rsid w:val="00BC73D8"/>
    <w:rsid w:val="00BD52D7"/>
    <w:rsid w:val="00BD5AD2"/>
    <w:rsid w:val="00BD5D2A"/>
    <w:rsid w:val="00BE22F3"/>
    <w:rsid w:val="00BE5B52"/>
    <w:rsid w:val="00BE653F"/>
    <w:rsid w:val="00BE7B8D"/>
    <w:rsid w:val="00BF0993"/>
    <w:rsid w:val="00BF10A9"/>
    <w:rsid w:val="00BF1703"/>
    <w:rsid w:val="00BF231C"/>
    <w:rsid w:val="00BF51E5"/>
    <w:rsid w:val="00BF7320"/>
    <w:rsid w:val="00BF7432"/>
    <w:rsid w:val="00BF74A6"/>
    <w:rsid w:val="00C013AD"/>
    <w:rsid w:val="00C04904"/>
    <w:rsid w:val="00C056B3"/>
    <w:rsid w:val="00C07806"/>
    <w:rsid w:val="00C103E5"/>
    <w:rsid w:val="00C13319"/>
    <w:rsid w:val="00C13EE9"/>
    <w:rsid w:val="00C148B9"/>
    <w:rsid w:val="00C21540"/>
    <w:rsid w:val="00C21906"/>
    <w:rsid w:val="00C21BFA"/>
    <w:rsid w:val="00C22148"/>
    <w:rsid w:val="00C24C8D"/>
    <w:rsid w:val="00C25FE2"/>
    <w:rsid w:val="00C26B53"/>
    <w:rsid w:val="00C279B2"/>
    <w:rsid w:val="00C33E50"/>
    <w:rsid w:val="00C34730"/>
    <w:rsid w:val="00C34C20"/>
    <w:rsid w:val="00C35A3E"/>
    <w:rsid w:val="00C42130"/>
    <w:rsid w:val="00C423A4"/>
    <w:rsid w:val="00C44BF5"/>
    <w:rsid w:val="00C521D6"/>
    <w:rsid w:val="00C55232"/>
    <w:rsid w:val="00C553A4"/>
    <w:rsid w:val="00C55A06"/>
    <w:rsid w:val="00C55D03"/>
    <w:rsid w:val="00C601BC"/>
    <w:rsid w:val="00C6329F"/>
    <w:rsid w:val="00C63340"/>
    <w:rsid w:val="00C642E8"/>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2D7E"/>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F4D"/>
    <w:rsid w:val="00CF048A"/>
    <w:rsid w:val="00CF155A"/>
    <w:rsid w:val="00CF2947"/>
    <w:rsid w:val="00CF686F"/>
    <w:rsid w:val="00CF6E60"/>
    <w:rsid w:val="00CF7BCA"/>
    <w:rsid w:val="00D008FD"/>
    <w:rsid w:val="00D0321C"/>
    <w:rsid w:val="00D035EC"/>
    <w:rsid w:val="00D04E15"/>
    <w:rsid w:val="00D06AB1"/>
    <w:rsid w:val="00D072ED"/>
    <w:rsid w:val="00D07A16"/>
    <w:rsid w:val="00D1067E"/>
    <w:rsid w:val="00D10F50"/>
    <w:rsid w:val="00D11272"/>
    <w:rsid w:val="00D126F5"/>
    <w:rsid w:val="00D127EC"/>
    <w:rsid w:val="00D1489E"/>
    <w:rsid w:val="00D161D6"/>
    <w:rsid w:val="00D20737"/>
    <w:rsid w:val="00D21E81"/>
    <w:rsid w:val="00D223DE"/>
    <w:rsid w:val="00D25E37"/>
    <w:rsid w:val="00D2661A"/>
    <w:rsid w:val="00D26B91"/>
    <w:rsid w:val="00D27582"/>
    <w:rsid w:val="00D27EC4"/>
    <w:rsid w:val="00D32719"/>
    <w:rsid w:val="00D33010"/>
    <w:rsid w:val="00D33333"/>
    <w:rsid w:val="00D33457"/>
    <w:rsid w:val="00D352A2"/>
    <w:rsid w:val="00D40DC0"/>
    <w:rsid w:val="00D4162B"/>
    <w:rsid w:val="00D4514F"/>
    <w:rsid w:val="00D451E2"/>
    <w:rsid w:val="00D45E89"/>
    <w:rsid w:val="00D45E8D"/>
    <w:rsid w:val="00D466AE"/>
    <w:rsid w:val="00D4734F"/>
    <w:rsid w:val="00D51BF3"/>
    <w:rsid w:val="00D54BAE"/>
    <w:rsid w:val="00D5534B"/>
    <w:rsid w:val="00D564A9"/>
    <w:rsid w:val="00D66846"/>
    <w:rsid w:val="00D675FB"/>
    <w:rsid w:val="00D71F25"/>
    <w:rsid w:val="00D72A9C"/>
    <w:rsid w:val="00D77031"/>
    <w:rsid w:val="00D81C9B"/>
    <w:rsid w:val="00D84941"/>
    <w:rsid w:val="00D84FA1"/>
    <w:rsid w:val="00D851F0"/>
    <w:rsid w:val="00D86DB7"/>
    <w:rsid w:val="00D926B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211"/>
    <w:rsid w:val="00DB0258"/>
    <w:rsid w:val="00DB27E9"/>
    <w:rsid w:val="00DB38EE"/>
    <w:rsid w:val="00DB498B"/>
    <w:rsid w:val="00DB66CA"/>
    <w:rsid w:val="00DB6BCA"/>
    <w:rsid w:val="00DB73F7"/>
    <w:rsid w:val="00DC0321"/>
    <w:rsid w:val="00DC07D7"/>
    <w:rsid w:val="00DC1C23"/>
    <w:rsid w:val="00DC3067"/>
    <w:rsid w:val="00DC370B"/>
    <w:rsid w:val="00DC5B90"/>
    <w:rsid w:val="00DD00FF"/>
    <w:rsid w:val="00DD0619"/>
    <w:rsid w:val="00DD07FB"/>
    <w:rsid w:val="00DD25C6"/>
    <w:rsid w:val="00DD3358"/>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E38"/>
    <w:rsid w:val="00E2552F"/>
    <w:rsid w:val="00E277BE"/>
    <w:rsid w:val="00E3137A"/>
    <w:rsid w:val="00E323C7"/>
    <w:rsid w:val="00E32CCF"/>
    <w:rsid w:val="00E34A98"/>
    <w:rsid w:val="00E35D1E"/>
    <w:rsid w:val="00E364F9"/>
    <w:rsid w:val="00E365FA"/>
    <w:rsid w:val="00E36789"/>
    <w:rsid w:val="00E40DDD"/>
    <w:rsid w:val="00E44A83"/>
    <w:rsid w:val="00E44FF3"/>
    <w:rsid w:val="00E502C1"/>
    <w:rsid w:val="00E502DD"/>
    <w:rsid w:val="00E50D3A"/>
    <w:rsid w:val="00E51387"/>
    <w:rsid w:val="00E51E68"/>
    <w:rsid w:val="00E52EFD"/>
    <w:rsid w:val="00E5408A"/>
    <w:rsid w:val="00E56800"/>
    <w:rsid w:val="00E5744A"/>
    <w:rsid w:val="00E60C63"/>
    <w:rsid w:val="00E62FF9"/>
    <w:rsid w:val="00E635D6"/>
    <w:rsid w:val="00E639BC"/>
    <w:rsid w:val="00E664CC"/>
    <w:rsid w:val="00E70388"/>
    <w:rsid w:val="00E70F92"/>
    <w:rsid w:val="00E74C54"/>
    <w:rsid w:val="00E75279"/>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2AA"/>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B4A"/>
    <w:rsid w:val="00F25713"/>
    <w:rsid w:val="00F25BB6"/>
    <w:rsid w:val="00F26298"/>
    <w:rsid w:val="00F26609"/>
    <w:rsid w:val="00F268F0"/>
    <w:rsid w:val="00F26B7E"/>
    <w:rsid w:val="00F27A3B"/>
    <w:rsid w:val="00F33066"/>
    <w:rsid w:val="00F33817"/>
    <w:rsid w:val="00F420D5"/>
    <w:rsid w:val="00F438F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706"/>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1E0"/>
    <w:rsid w:val="00FD00E6"/>
    <w:rsid w:val="00FD09A1"/>
    <w:rsid w:val="00FD2A7C"/>
    <w:rsid w:val="00FD59EB"/>
    <w:rsid w:val="00FD7299"/>
    <w:rsid w:val="00FE019F"/>
    <w:rsid w:val="00FE1FBE"/>
    <w:rsid w:val="00FE3901"/>
    <w:rsid w:val="00FE39D3"/>
    <w:rsid w:val="00FE4BCE"/>
    <w:rsid w:val="00FE54AE"/>
    <w:rsid w:val="00FE576A"/>
    <w:rsid w:val="00FE7E79"/>
    <w:rsid w:val="00FF3E7D"/>
    <w:rsid w:val="00FF5B99"/>
    <w:rsid w:val="00FF730C"/>
    <w:rsid w:val="00FF73F4"/>
    <w:rsid w:val="00FF7CE4"/>
    <w:rsid w:val="00FF7E39"/>
    <w:rsid w:val="014645BD"/>
    <w:rsid w:val="03285FC2"/>
    <w:rsid w:val="04DC643E"/>
    <w:rsid w:val="04FC43EA"/>
    <w:rsid w:val="075A7AEE"/>
    <w:rsid w:val="082D603F"/>
    <w:rsid w:val="09434CDD"/>
    <w:rsid w:val="0A652A31"/>
    <w:rsid w:val="0AD61B81"/>
    <w:rsid w:val="0B0009AC"/>
    <w:rsid w:val="0D110C4F"/>
    <w:rsid w:val="0EDD34DE"/>
    <w:rsid w:val="0FB51D65"/>
    <w:rsid w:val="105772C0"/>
    <w:rsid w:val="108D4A90"/>
    <w:rsid w:val="10CE56F0"/>
    <w:rsid w:val="10DC433A"/>
    <w:rsid w:val="11537A88"/>
    <w:rsid w:val="12B216E7"/>
    <w:rsid w:val="12E15D3D"/>
    <w:rsid w:val="146E7CD1"/>
    <w:rsid w:val="14D94748"/>
    <w:rsid w:val="14F0383F"/>
    <w:rsid w:val="15F06095"/>
    <w:rsid w:val="171A4BA4"/>
    <w:rsid w:val="17A0154D"/>
    <w:rsid w:val="17A07D51"/>
    <w:rsid w:val="1954439D"/>
    <w:rsid w:val="1A463724"/>
    <w:rsid w:val="1A4C59BC"/>
    <w:rsid w:val="1A845156"/>
    <w:rsid w:val="1AB87EF4"/>
    <w:rsid w:val="1B8E1BD2"/>
    <w:rsid w:val="1BB2184F"/>
    <w:rsid w:val="1C74232F"/>
    <w:rsid w:val="1D036806"/>
    <w:rsid w:val="1EF53F2C"/>
    <w:rsid w:val="1F000AAA"/>
    <w:rsid w:val="1F06438B"/>
    <w:rsid w:val="1F3A2287"/>
    <w:rsid w:val="1F7402DA"/>
    <w:rsid w:val="20993347"/>
    <w:rsid w:val="21BC3427"/>
    <w:rsid w:val="22994C0C"/>
    <w:rsid w:val="230F6AF8"/>
    <w:rsid w:val="234644E0"/>
    <w:rsid w:val="23762E48"/>
    <w:rsid w:val="23E93B7A"/>
    <w:rsid w:val="25675458"/>
    <w:rsid w:val="25E1520A"/>
    <w:rsid w:val="26D134D1"/>
    <w:rsid w:val="26D1527F"/>
    <w:rsid w:val="26EB7939"/>
    <w:rsid w:val="286A598B"/>
    <w:rsid w:val="296E71C5"/>
    <w:rsid w:val="2A510485"/>
    <w:rsid w:val="2AB061EA"/>
    <w:rsid w:val="2B381D70"/>
    <w:rsid w:val="2C8114F5"/>
    <w:rsid w:val="2CD6635B"/>
    <w:rsid w:val="2D5B3AF4"/>
    <w:rsid w:val="2E093550"/>
    <w:rsid w:val="317965FD"/>
    <w:rsid w:val="31FA5EEF"/>
    <w:rsid w:val="325D030E"/>
    <w:rsid w:val="32F347CF"/>
    <w:rsid w:val="34202BCE"/>
    <w:rsid w:val="352E1AEE"/>
    <w:rsid w:val="36A01125"/>
    <w:rsid w:val="36E56B24"/>
    <w:rsid w:val="36F76D29"/>
    <w:rsid w:val="375F159F"/>
    <w:rsid w:val="376B527C"/>
    <w:rsid w:val="37825572"/>
    <w:rsid w:val="397F31CA"/>
    <w:rsid w:val="39B00029"/>
    <w:rsid w:val="3AF359C5"/>
    <w:rsid w:val="3B005CDB"/>
    <w:rsid w:val="3B44206B"/>
    <w:rsid w:val="3C6A3D54"/>
    <w:rsid w:val="3D2832C7"/>
    <w:rsid w:val="3F93711E"/>
    <w:rsid w:val="3FB3156E"/>
    <w:rsid w:val="40034048"/>
    <w:rsid w:val="406C3AB1"/>
    <w:rsid w:val="40B3559D"/>
    <w:rsid w:val="41306BEE"/>
    <w:rsid w:val="41483F38"/>
    <w:rsid w:val="42AD2987"/>
    <w:rsid w:val="42E11D03"/>
    <w:rsid w:val="4441233C"/>
    <w:rsid w:val="444430DC"/>
    <w:rsid w:val="452B1BA6"/>
    <w:rsid w:val="473C7938"/>
    <w:rsid w:val="474713EF"/>
    <w:rsid w:val="475006AB"/>
    <w:rsid w:val="47597137"/>
    <w:rsid w:val="4828061F"/>
    <w:rsid w:val="48790E7B"/>
    <w:rsid w:val="4901159C"/>
    <w:rsid w:val="499E6DEB"/>
    <w:rsid w:val="49B95D88"/>
    <w:rsid w:val="4AC42881"/>
    <w:rsid w:val="4CF77087"/>
    <w:rsid w:val="4DEF230B"/>
    <w:rsid w:val="4E0C2538"/>
    <w:rsid w:val="4EA76741"/>
    <w:rsid w:val="4EED385B"/>
    <w:rsid w:val="5151478A"/>
    <w:rsid w:val="51E90E1F"/>
    <w:rsid w:val="52020133"/>
    <w:rsid w:val="53126808"/>
    <w:rsid w:val="53D32DD5"/>
    <w:rsid w:val="54595F7A"/>
    <w:rsid w:val="550B72FE"/>
    <w:rsid w:val="552D0080"/>
    <w:rsid w:val="555C341A"/>
    <w:rsid w:val="556A2277"/>
    <w:rsid w:val="56815ACA"/>
    <w:rsid w:val="570A3DF0"/>
    <w:rsid w:val="575256B8"/>
    <w:rsid w:val="584F0CD6"/>
    <w:rsid w:val="5862192B"/>
    <w:rsid w:val="590A2580"/>
    <w:rsid w:val="5AFA22EF"/>
    <w:rsid w:val="5B726329"/>
    <w:rsid w:val="5C2634D8"/>
    <w:rsid w:val="5C313AEE"/>
    <w:rsid w:val="5CC770A7"/>
    <w:rsid w:val="5D834EDF"/>
    <w:rsid w:val="6022064D"/>
    <w:rsid w:val="60A61D88"/>
    <w:rsid w:val="60CA62C0"/>
    <w:rsid w:val="60FD28AE"/>
    <w:rsid w:val="615C160D"/>
    <w:rsid w:val="61CE3B8D"/>
    <w:rsid w:val="61D70C94"/>
    <w:rsid w:val="622F5D3B"/>
    <w:rsid w:val="626D33A6"/>
    <w:rsid w:val="62F51D1A"/>
    <w:rsid w:val="632E258D"/>
    <w:rsid w:val="6393508F"/>
    <w:rsid w:val="64346872"/>
    <w:rsid w:val="64D92F75"/>
    <w:rsid w:val="655D74FA"/>
    <w:rsid w:val="6563753D"/>
    <w:rsid w:val="65F754E3"/>
    <w:rsid w:val="662F5543"/>
    <w:rsid w:val="68282249"/>
    <w:rsid w:val="68880F3A"/>
    <w:rsid w:val="68D73C6F"/>
    <w:rsid w:val="6BA22313"/>
    <w:rsid w:val="6D3451EC"/>
    <w:rsid w:val="6DD7226C"/>
    <w:rsid w:val="6DE035C6"/>
    <w:rsid w:val="6F854425"/>
    <w:rsid w:val="702F2003"/>
    <w:rsid w:val="70A1528F"/>
    <w:rsid w:val="711C66C3"/>
    <w:rsid w:val="719A6D90"/>
    <w:rsid w:val="71D945B4"/>
    <w:rsid w:val="720E70C8"/>
    <w:rsid w:val="72D53AEE"/>
    <w:rsid w:val="73223D39"/>
    <w:rsid w:val="740F42BD"/>
    <w:rsid w:val="74F57957"/>
    <w:rsid w:val="75583A13"/>
    <w:rsid w:val="75B315E5"/>
    <w:rsid w:val="75B95C6A"/>
    <w:rsid w:val="763723FC"/>
    <w:rsid w:val="7709593C"/>
    <w:rsid w:val="78001B3A"/>
    <w:rsid w:val="781E71C5"/>
    <w:rsid w:val="79A50AA4"/>
    <w:rsid w:val="7C947A56"/>
    <w:rsid w:val="7D0270B5"/>
    <w:rsid w:val="7DA21751"/>
    <w:rsid w:val="7E3239CA"/>
    <w:rsid w:val="7EF8500C"/>
    <w:rsid w:val="7F517E80"/>
    <w:rsid w:val="7FC64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41"/>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link w:val="248"/>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2"/>
    <w:autoRedefine/>
    <w:semiHidden/>
    <w:unhideWhenUsed/>
    <w:qFormat/>
    <w:uiPriority w:val="99"/>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link w:val="247"/>
    <w:autoRedefine/>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line="278" w:lineRule="auto"/>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9"/>
      </w:numPr>
    </w:pPr>
  </w:style>
  <w:style w:type="paragraph" w:customStyle="1" w:styleId="97">
    <w:name w:val="标准文件_三级条标题"/>
    <w:basedOn w:val="68"/>
    <w:next w:val="59"/>
    <w:autoRedefine/>
    <w:qFormat/>
    <w:uiPriority w:val="0"/>
    <w:pPr>
      <w:widowControl/>
      <w:numPr>
        <w:ilvl w:val="4"/>
      </w:numPr>
      <w:ind w:left="0"/>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0"/>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1"/>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link w:val="246"/>
    <w:autoRedefine/>
    <w:qFormat/>
    <w:uiPriority w:val="0"/>
    <w:pPr>
      <w:numPr>
        <w:ilvl w:val="1"/>
        <w:numId w:val="12"/>
      </w:numPr>
      <w:tabs>
        <w:tab w:val="left" w:pos="851"/>
        <w:tab w:val="left" w:pos="1134"/>
        <w:tab w:val="left" w:pos="1276"/>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link w:val="249"/>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2"/>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framePr w:w="9639" w:h="6974" w:hRule="exact" w:wrap="around" w:vAnchor="page" w:hAnchor="page" w:x="1419" w:y="6408" w:anchorLock="1"/>
      <w:widowControl w:val="0"/>
      <w:spacing w:line="360" w:lineRule="exact"/>
      <w:jc w:val="center"/>
      <w:textAlignment w:val="bottom"/>
    </w:pPr>
    <w:rPr>
      <w:rFonts w:ascii="Times New Roman" w:hAnsi="Times New Roman" w:eastAsia="黑体" w:cs="Times New Roman"/>
      <w:sz w:val="28"/>
      <w:szCs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19"/>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19"/>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19"/>
      </w:numPr>
      <w:adjustRightInd/>
    </w:pPr>
    <w:rPr>
      <w:szCs w:val="24"/>
    </w:rPr>
  </w:style>
  <w:style w:type="paragraph" w:customStyle="1" w:styleId="162">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16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16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2"/>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3"/>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4"/>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rPr>
      <w:sz w:val="18"/>
    </w:rPr>
  </w:style>
  <w:style w:type="paragraph" w:customStyle="1" w:styleId="186">
    <w:name w:val="标准文件_示例×："/>
    <w:basedOn w:val="1"/>
    <w:next w:val="185"/>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eastAsia="宋体" w:cs="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qFormat/>
    <w:uiPriority w:val="0"/>
    <w:pPr>
      <w:numPr>
        <w:ilvl w:val="1"/>
        <w:numId w:val="20"/>
      </w:numPr>
      <w:ind w:firstLine="0" w:firstLineChars="0"/>
    </w:pPr>
  </w:style>
  <w:style w:type="paragraph" w:customStyle="1" w:styleId="191">
    <w:name w:val="标准文件_三级项2"/>
    <w:basedOn w:val="59"/>
    <w:qFormat/>
    <w:uiPriority w:val="0"/>
    <w:pPr>
      <w:numPr>
        <w:ilvl w:val="0"/>
        <w:numId w:val="29"/>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0"/>
      </w:numPr>
      <w:spacing w:line="300" w:lineRule="exact"/>
      <w:ind w:firstLineChars="0"/>
    </w:pPr>
    <w:rPr>
      <w:rFonts w:ascii="Times New Roman"/>
    </w:rPr>
  </w:style>
  <w:style w:type="paragraph" w:customStyle="1" w:styleId="193">
    <w:name w:val="标准文件_提示"/>
    <w:basedOn w:val="59"/>
    <w:next w:val="59"/>
    <w:autoRedefine/>
    <w:qFormat/>
    <w:uiPriority w:val="0"/>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spacing w:before="50" w:beforeLines="50" w:after="50" w:afterLines="50"/>
      <w:ind w:firstLine="0" w:firstLineChars="0"/>
    </w:pPr>
    <w:rPr>
      <w:rFonts w:ascii="黑体" w:eastAsia="黑体"/>
    </w:rPr>
  </w:style>
  <w:style w:type="paragraph" w:customStyle="1" w:styleId="204">
    <w:name w:val="标准文件_引言二级条标题"/>
    <w:basedOn w:val="59"/>
    <w:next w:val="59"/>
    <w:qFormat/>
    <w:uiPriority w:val="0"/>
    <w:pPr>
      <w:spacing w:before="50" w:beforeLines="50" w:after="50" w:afterLines="50"/>
      <w:ind w:firstLine="0" w:firstLineChars="0"/>
    </w:pPr>
    <w:rPr>
      <w:rFonts w:ascii="黑体" w:eastAsia="黑体"/>
    </w:rPr>
  </w:style>
  <w:style w:type="paragraph" w:customStyle="1" w:styleId="205">
    <w:name w:val="标准文件_引言三级条标题"/>
    <w:basedOn w:val="59"/>
    <w:next w:val="59"/>
    <w:autoRedefine/>
    <w:qFormat/>
    <w:uiPriority w:val="0"/>
    <w:pPr>
      <w:spacing w:before="50" w:beforeLines="50" w:after="50" w:afterLines="50"/>
      <w:ind w:firstLine="0" w:firstLineChars="0"/>
    </w:pPr>
    <w:rPr>
      <w:rFonts w:ascii="黑体" w:eastAsia="黑体"/>
    </w:rPr>
  </w:style>
  <w:style w:type="paragraph" w:customStyle="1" w:styleId="206">
    <w:name w:val="标准文件_引言四级条标题"/>
    <w:basedOn w:val="59"/>
    <w:next w:val="59"/>
    <w:qFormat/>
    <w:uiPriority w:val="0"/>
    <w:pPr>
      <w:spacing w:before="50" w:beforeLines="50" w:after="50" w:afterLines="50"/>
      <w:ind w:firstLine="0" w:firstLineChars="0"/>
    </w:pPr>
    <w:rPr>
      <w:rFonts w:ascii="黑体" w:eastAsia="黑体"/>
    </w:rPr>
  </w:style>
  <w:style w:type="paragraph" w:customStyle="1" w:styleId="207">
    <w:name w:val="标准文件_引言五级条标题"/>
    <w:basedOn w:val="59"/>
    <w:next w:val="59"/>
    <w:autoRedefine/>
    <w:qFormat/>
    <w:uiPriority w:val="0"/>
    <w:pPr>
      <w:spacing w:before="50" w:beforeLines="50" w:after="50" w:afterLines="50"/>
      <w:ind w:firstLine="0"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eastAsia="宋体" w:cs="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段"/>
    <w:link w:val="23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autoRedefine/>
    <w:qFormat/>
    <w:uiPriority w:val="0"/>
    <w:rPr>
      <w:rFonts w:ascii="宋体" w:hAnsi="Times New Roman"/>
      <w:sz w:val="21"/>
    </w:rPr>
  </w:style>
  <w:style w:type="paragraph" w:customStyle="1" w:styleId="235">
    <w:name w:val="一级条标题"/>
    <w:next w:val="233"/>
    <w:qFormat/>
    <w:uiPriority w:val="0"/>
    <w:pPr>
      <w:numPr>
        <w:ilvl w:val="1"/>
        <w:numId w:val="31"/>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章标题"/>
    <w:next w:val="233"/>
    <w:autoRedefine/>
    <w:qFormat/>
    <w:uiPriority w:val="0"/>
    <w:pPr>
      <w:numPr>
        <w:ilvl w:val="0"/>
        <w:numId w:val="31"/>
      </w:num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3"/>
    <w:autoRedefine/>
    <w:qFormat/>
    <w:uiPriority w:val="0"/>
    <w:pPr>
      <w:numPr>
        <w:ilvl w:val="2"/>
      </w:numPr>
      <w:spacing w:before="50" w:after="50"/>
      <w:outlineLvl w:val="3"/>
    </w:pPr>
  </w:style>
  <w:style w:type="paragraph" w:customStyle="1" w:styleId="238">
    <w:name w:val="三级条标题"/>
    <w:basedOn w:val="237"/>
    <w:next w:val="233"/>
    <w:autoRedefine/>
    <w:qFormat/>
    <w:uiPriority w:val="0"/>
    <w:pPr>
      <w:numPr>
        <w:ilvl w:val="3"/>
      </w:numPr>
      <w:outlineLvl w:val="4"/>
    </w:pPr>
  </w:style>
  <w:style w:type="paragraph" w:customStyle="1" w:styleId="239">
    <w:name w:val="四级条标题"/>
    <w:basedOn w:val="238"/>
    <w:next w:val="233"/>
    <w:qFormat/>
    <w:uiPriority w:val="0"/>
    <w:pPr>
      <w:numPr>
        <w:ilvl w:val="4"/>
      </w:numPr>
      <w:outlineLvl w:val="5"/>
    </w:pPr>
  </w:style>
  <w:style w:type="paragraph" w:customStyle="1" w:styleId="240">
    <w:name w:val="五级条标题"/>
    <w:basedOn w:val="239"/>
    <w:next w:val="233"/>
    <w:autoRedefine/>
    <w:qFormat/>
    <w:uiPriority w:val="0"/>
    <w:pPr>
      <w:numPr>
        <w:ilvl w:val="5"/>
      </w:numPr>
      <w:outlineLvl w:val="6"/>
    </w:pPr>
  </w:style>
  <w:style w:type="character" w:customStyle="1" w:styleId="241">
    <w:name w:val="批注文字 字符"/>
    <w:basedOn w:val="30"/>
    <w:link w:val="13"/>
    <w:autoRedefine/>
    <w:semiHidden/>
    <w:qFormat/>
    <w:uiPriority w:val="99"/>
    <w:rPr>
      <w:kern w:val="2"/>
      <w:sz w:val="21"/>
      <w:szCs w:val="21"/>
    </w:rPr>
  </w:style>
  <w:style w:type="character" w:customStyle="1" w:styleId="242">
    <w:name w:val="批注主题 字符"/>
    <w:basedOn w:val="241"/>
    <w:link w:val="27"/>
    <w:autoRedefine/>
    <w:semiHidden/>
    <w:qFormat/>
    <w:uiPriority w:val="99"/>
    <w:rPr>
      <w:b/>
      <w:bCs/>
      <w:kern w:val="2"/>
      <w:sz w:val="21"/>
      <w:szCs w:val="21"/>
    </w:rPr>
  </w:style>
  <w:style w:type="paragraph" w:customStyle="1" w:styleId="243">
    <w:name w:val="列出段落1"/>
    <w:basedOn w:val="1"/>
    <w:autoRedefine/>
    <w:qFormat/>
    <w:uiPriority w:val="34"/>
    <w:pPr>
      <w:ind w:firstLine="420" w:firstLineChars="200"/>
    </w:pPr>
  </w:style>
  <w:style w:type="table" w:customStyle="1" w:styleId="244">
    <w:name w:val="Table Normal"/>
    <w:autoRedefine/>
    <w:semiHidden/>
    <w:unhideWhenUsed/>
    <w:qFormat/>
    <w:uiPriority w:val="0"/>
    <w:tblPr>
      <w:tblCellMar>
        <w:top w:w="0" w:type="dxa"/>
        <w:left w:w="0" w:type="dxa"/>
        <w:bottom w:w="0" w:type="dxa"/>
        <w:right w:w="0" w:type="dxa"/>
      </w:tblCellMar>
    </w:tblPr>
  </w:style>
  <w:style w:type="paragraph" w:customStyle="1" w:styleId="245">
    <w:name w:val="Table Text"/>
    <w:basedOn w:val="1"/>
    <w:autoRedefine/>
    <w:semiHidden/>
    <w:qFormat/>
    <w:uiPriority w:val="0"/>
    <w:rPr>
      <w:rFonts w:ascii="Times New Roman" w:hAnsi="Times New Roman" w:eastAsia="Times New Roman"/>
      <w:sz w:val="18"/>
      <w:szCs w:val="18"/>
      <w:lang w:eastAsia="en-US"/>
    </w:rPr>
  </w:style>
  <w:style w:type="character" w:customStyle="1" w:styleId="246">
    <w:name w:val="标准文件_数字编号列项（二级） Char"/>
    <w:link w:val="112"/>
    <w:qFormat/>
    <w:uiPriority w:val="0"/>
    <w:rPr>
      <w:rFonts w:ascii="宋体" w:hAnsi="Times New Roman" w:eastAsia="宋体" w:cs="Times New Roman"/>
      <w:sz w:val="21"/>
    </w:rPr>
  </w:style>
  <w:style w:type="character" w:customStyle="1" w:styleId="247">
    <w:name w:val="标准文件_标准正文 Char"/>
    <w:link w:val="58"/>
    <w:qFormat/>
    <w:uiPriority w:val="0"/>
    <w:rPr>
      <w:kern w:val="0"/>
    </w:rPr>
  </w:style>
  <w:style w:type="character" w:customStyle="1" w:styleId="248">
    <w:name w:val="图表目录 Char"/>
    <w:link w:val="24"/>
    <w:qFormat/>
    <w:uiPriority w:val="0"/>
    <w:rPr>
      <w:szCs w:val="24"/>
    </w:rPr>
  </w:style>
  <w:style w:type="character" w:customStyle="1" w:styleId="249">
    <w:name w:val="标准文件_正文图标题 Char"/>
    <w:link w:val="117"/>
    <w:qFormat/>
    <w:uiPriority w:val="0"/>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glossaryDocument" Target="glossary/document.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BE5B8876264CC684545F2629E083E3"/>
        <w:style w:val=""/>
        <w:category>
          <w:name w:val="常规"/>
          <w:gallery w:val="placeholder"/>
        </w:category>
        <w:types>
          <w:type w:val="bbPlcHdr"/>
        </w:types>
        <w:behaviors>
          <w:behavior w:val="content"/>
        </w:behaviors>
        <w:description w:val=""/>
        <w:guid w:val="{1561A865-2E7E-4237-95BD-F6FCD6B0C9BB}"/>
      </w:docPartPr>
      <w:docPartBody>
        <w:p w14:paraId="50A612F9">
          <w:pPr>
            <w:pStyle w:val="5"/>
            <w:rPr>
              <w:rFonts w:hint="eastAsia"/>
            </w:rPr>
          </w:pPr>
          <w:r>
            <w:rPr>
              <w:rStyle w:val="4"/>
              <w:rFonts w:hint="eastAsia"/>
            </w:rPr>
            <w:t>选择一项。</w:t>
          </w:r>
        </w:p>
      </w:docPartBody>
    </w:docPart>
    <w:docPart>
      <w:docPartPr>
        <w:name w:val="ACB89347C3C44AC489950EB12B48C025"/>
        <w:style w:val=""/>
        <w:category>
          <w:name w:val="常规"/>
          <w:gallery w:val="placeholder"/>
        </w:category>
        <w:types>
          <w:type w:val="bbPlcHdr"/>
        </w:types>
        <w:behaviors>
          <w:behavior w:val="content"/>
        </w:behaviors>
        <w:description w:val=""/>
        <w:guid w:val="{F08EAC8A-BDC8-4165-9AEC-ADFA63FCBB6B}"/>
      </w:docPartPr>
      <w:docPartBody>
        <w:p w14:paraId="1939C9D8">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76"/>
    <w:rsid w:val="0002150B"/>
    <w:rsid w:val="000828A7"/>
    <w:rsid w:val="00165306"/>
    <w:rsid w:val="00392287"/>
    <w:rsid w:val="004A2F8C"/>
    <w:rsid w:val="005A3BD1"/>
    <w:rsid w:val="006A20E3"/>
    <w:rsid w:val="006E6026"/>
    <w:rsid w:val="007D7C30"/>
    <w:rsid w:val="00932372"/>
    <w:rsid w:val="009C5B64"/>
    <w:rsid w:val="00A41A76"/>
    <w:rsid w:val="00BC0F15"/>
    <w:rsid w:val="00BD4B19"/>
    <w:rsid w:val="00D127EC"/>
    <w:rsid w:val="00D33010"/>
    <w:rsid w:val="00D3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9BE5B8876264CC684545F2629E083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CB89347C3C44AC489950EB12B48C02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3580</Words>
  <Characters>4032</Characters>
  <Lines>58</Lines>
  <Paragraphs>16</Paragraphs>
  <TotalTime>0</TotalTime>
  <ScaleCrop>false</ScaleCrop>
  <LinksUpToDate>false</LinksUpToDate>
  <CharactersWithSpaces>4189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2025-09-15T01:29:00Z</dcterms:created>
  <dc:creator>黄少东</dc:creator>
  <dc:description>&lt;config cover="true" show_menu="true" version="1.0.0" doctype="SDKXY"&gt;_x000d_
&lt;/config&gt;</dc:description>
  <cp:lastModifiedBy>忐忑</cp:lastModifiedBy>
  <cp:lastPrinted>2020-08-30T10:00:00Z</cp:lastPrinted>
  <dcterms:modified xsi:type="dcterms:W3CDTF">2025-10-23T01:19:53Z</dcterms:modified>
  <dc:title>地方标准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925A951860824EF6B199EE870A3A08E2_13</vt:lpwstr>
  </property>
  <property fmtid="{D5CDD505-2E9C-101B-9397-08002B2CF9AE}" pid="16" name="KSOTemplateDocerSaveRecord">
    <vt:lpwstr>eyJoZGlkIjoiMjE1MGZmOTRhZjllMGExZDlkZTMzYmYzNTljMTkwODUiLCJ1c2VySWQiOiI0MzYwMTU0NjQifQ==</vt:lpwstr>
  </property>
</Properties>
</file>