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50D7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A83F362">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31CDB15">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13.100</w:t>
            </w:r>
            <w:r>
              <w:rPr>
                <w:rFonts w:ascii="黑体" w:hAnsi="黑体" w:eastAsia="黑体"/>
                <w:sz w:val="21"/>
                <w:szCs w:val="21"/>
              </w:rPr>
              <w:fldChar w:fldCharType="end"/>
            </w:r>
            <w:bookmarkEnd w:id="0"/>
          </w:p>
        </w:tc>
      </w:tr>
      <w:tr w14:paraId="5E8F6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1B55F1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60D129A">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H 09</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2A9418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EA31D56">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02430D32">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15DD908">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85BE5A4">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885BE5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DE3C974">
      <w:pPr>
        <w:pStyle w:val="50"/>
        <w:framePr w:w="9639" w:h="6976" w:hRule="exact" w:hSpace="0" w:vSpace="0" w:wrap="around" w:hAnchor="page" w:y="6408"/>
        <w:jc w:val="center"/>
        <w:rPr>
          <w:rFonts w:hint="eastAsia" w:ascii="黑体" w:hAnsi="黑体" w:eastAsia="黑体"/>
          <w:b w:val="0"/>
          <w:bCs w:val="0"/>
          <w:w w:val="100"/>
        </w:rPr>
      </w:pPr>
    </w:p>
    <w:p w14:paraId="16B42350">
      <w:pPr>
        <w:pStyle w:val="197"/>
        <w:framePr w:h="6974" w:hRule="exact" w:wrap="around" w:x="1419" w:anchorLock="1"/>
        <w:rPr>
          <w:rFonts w:hint="eastAsia"/>
        </w:rPr>
      </w:pPr>
      <w:r>
        <w:rPr>
          <w:rFonts w:hint="eastAsia"/>
        </w:rPr>
        <w:t>镁及镁合金安全生产风险管控与隐患治理</w:t>
      </w:r>
    </w:p>
    <w:p w14:paraId="17BB6212">
      <w:pPr>
        <w:framePr w:w="9639" w:h="6974" w:hRule="exact" w:wrap="around" w:vAnchor="page" w:hAnchor="page" w:x="1419" w:y="6408" w:anchorLock="1"/>
        <w:ind w:left="-1418"/>
      </w:pPr>
    </w:p>
    <w:p w14:paraId="0AAE1440">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9"/>
    </w:p>
    <w:p w14:paraId="534B8835">
      <w:pPr>
        <w:framePr w:w="9639" w:h="6974" w:hRule="exact" w:wrap="around" w:vAnchor="page" w:hAnchor="page" w:x="1419" w:y="6408" w:anchorLock="1"/>
        <w:spacing w:line="760" w:lineRule="exact"/>
        <w:ind w:left="-1418"/>
      </w:pPr>
    </w:p>
    <w:p w14:paraId="13B5327F">
      <w:pPr>
        <w:pStyle w:val="125"/>
        <w:framePr w:w="9639" w:h="6974" w:hRule="exact" w:wrap="around" w:vAnchor="page" w:hAnchor="page" w:x="1419" w:y="6408" w:anchorLock="1"/>
        <w:textAlignment w:val="bottom"/>
        <w:rPr>
          <w:rFonts w:eastAsia="黑体"/>
          <w:szCs w:val="28"/>
        </w:rPr>
      </w:pPr>
    </w:p>
    <w:p w14:paraId="295EF26D">
      <w:pPr>
        <w:pStyle w:val="125"/>
        <w:framePr w:w="9639" w:h="6974" w:hRule="exact" w:wrap="around" w:vAnchor="page" w:hAnchor="page" w:x="1419" w:y="6408" w:anchorLock="1"/>
        <w:spacing w:before="440" w:after="160"/>
        <w:textAlignment w:val="bottom"/>
        <w:rPr>
          <w:sz w:val="24"/>
          <w:szCs w:val="28"/>
        </w:rPr>
      </w:pPr>
      <w:bookmarkStart w:id="10"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0"/>
    </w:p>
    <w:p w14:paraId="3A87139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6B07797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18CAF258">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3CBFCB0C">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24DD643A">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C5AC8E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1D94857">
      <w:pPr>
        <w:pStyle w:val="91"/>
        <w:spacing w:after="468"/>
      </w:pPr>
      <w:bookmarkStart w:id="20" w:name="BookMark1"/>
      <w:r>
        <w:rPr>
          <w:rFonts w:hint="eastAsia"/>
          <w:spacing w:val="320"/>
        </w:rPr>
        <w:t>目</w:t>
      </w:r>
      <w:r>
        <w:rPr>
          <w:rFonts w:hint="eastAsia"/>
        </w:rPr>
        <w:t>次</w:t>
      </w:r>
    </w:p>
    <w:p w14:paraId="0DE045EE">
      <w:pPr>
        <w:pStyle w:val="19"/>
        <w:tabs>
          <w:tab w:val="right" w:leader="dot" w:pos="9354"/>
        </w:tabs>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_Toc3393 </w:instrText>
      </w:r>
      <w:r>
        <w:fldChar w:fldCharType="separate"/>
      </w:r>
      <w:r>
        <w:rPr>
          <w:spacing w:val="320"/>
        </w:rPr>
        <w:t>前</w:t>
      </w:r>
      <w:r>
        <w:t>言</w:t>
      </w:r>
      <w:r>
        <w:tab/>
      </w:r>
      <w:r>
        <w:fldChar w:fldCharType="begin"/>
      </w:r>
      <w:r>
        <w:instrText xml:space="preserve"> PAGEREF _Toc3393 \h </w:instrText>
      </w:r>
      <w:r>
        <w:fldChar w:fldCharType="separate"/>
      </w:r>
      <w:r>
        <w:t>II</w:t>
      </w:r>
      <w:r>
        <w:fldChar w:fldCharType="end"/>
      </w:r>
      <w:r>
        <w:fldChar w:fldCharType="end"/>
      </w:r>
    </w:p>
    <w:p w14:paraId="19BE10DB">
      <w:pPr>
        <w:pStyle w:val="19"/>
        <w:tabs>
          <w:tab w:val="right" w:leader="dot" w:pos="9354"/>
        </w:tabs>
      </w:pPr>
      <w:r>
        <w:fldChar w:fldCharType="begin"/>
      </w:r>
      <w:r>
        <w:instrText xml:space="preserve"> HYPERLINK \l _Toc7574 </w:instrText>
      </w:r>
      <w:r>
        <w:fldChar w:fldCharType="separate"/>
      </w:r>
      <w:r>
        <w:rPr>
          <w:rFonts w:hint="eastAsia" w:ascii="黑体" w:hAnsi="Times New Roman" w:eastAsia="黑体" w:cs="Times New Roman"/>
          <w:i w:val="0"/>
          <w:lang w:val="en-US" w:eastAsia="zh-CN"/>
        </w:rPr>
        <w:t xml:space="preserve">1 </w:t>
      </w:r>
      <w:r>
        <w:rPr>
          <w:rFonts w:hint="eastAsia" w:hAnsi="Times New Roman" w:cs="Times New Roman"/>
          <w:lang w:val="en-US" w:eastAsia="zh-CN"/>
        </w:rPr>
        <w:t>范围</w:t>
      </w:r>
      <w:r>
        <w:tab/>
      </w:r>
      <w:r>
        <w:fldChar w:fldCharType="begin"/>
      </w:r>
      <w:r>
        <w:instrText xml:space="preserve"> PAGEREF _Toc7574 \h </w:instrText>
      </w:r>
      <w:r>
        <w:fldChar w:fldCharType="separate"/>
      </w:r>
      <w:r>
        <w:t>1</w:t>
      </w:r>
      <w:r>
        <w:fldChar w:fldCharType="end"/>
      </w:r>
      <w:r>
        <w:fldChar w:fldCharType="end"/>
      </w:r>
    </w:p>
    <w:p w14:paraId="3987F5A5">
      <w:pPr>
        <w:pStyle w:val="19"/>
        <w:tabs>
          <w:tab w:val="right" w:leader="dot" w:pos="9354"/>
        </w:tabs>
      </w:pPr>
      <w:r>
        <w:fldChar w:fldCharType="begin"/>
      </w:r>
      <w:r>
        <w:instrText xml:space="preserve"> HYPERLINK \l _Toc9977 </w:instrText>
      </w:r>
      <w:r>
        <w:fldChar w:fldCharType="separate"/>
      </w:r>
      <w:r>
        <w:rPr>
          <w:rFonts w:hint="eastAsia" w:ascii="黑体" w:hAnsi="Times New Roman" w:eastAsia="黑体" w:cs="Times New Roman"/>
          <w:i w:val="0"/>
          <w:lang w:val="en-US" w:eastAsia="zh-CN"/>
        </w:rPr>
        <w:t xml:space="preserve">2 </w:t>
      </w:r>
      <w:r>
        <w:rPr>
          <w:rFonts w:hint="eastAsia" w:hAnsi="Times New Roman" w:cs="Times New Roman"/>
          <w:lang w:val="en-US" w:eastAsia="zh-CN"/>
        </w:rPr>
        <w:t>规范性引用文件</w:t>
      </w:r>
      <w:r>
        <w:tab/>
      </w:r>
      <w:r>
        <w:fldChar w:fldCharType="begin"/>
      </w:r>
      <w:r>
        <w:instrText xml:space="preserve"> PAGEREF _Toc9977 \h </w:instrText>
      </w:r>
      <w:r>
        <w:fldChar w:fldCharType="separate"/>
      </w:r>
      <w:r>
        <w:t>1</w:t>
      </w:r>
      <w:r>
        <w:fldChar w:fldCharType="end"/>
      </w:r>
      <w:r>
        <w:fldChar w:fldCharType="end"/>
      </w:r>
    </w:p>
    <w:p w14:paraId="5E592292">
      <w:pPr>
        <w:pStyle w:val="19"/>
        <w:tabs>
          <w:tab w:val="right" w:leader="dot" w:pos="9354"/>
        </w:tabs>
      </w:pPr>
      <w:r>
        <w:fldChar w:fldCharType="begin"/>
      </w:r>
      <w:r>
        <w:instrText xml:space="preserve"> HYPERLINK \l _Toc734 </w:instrText>
      </w:r>
      <w:r>
        <w:fldChar w:fldCharType="separate"/>
      </w:r>
      <w:r>
        <w:rPr>
          <w:rFonts w:hint="eastAsia" w:ascii="黑体" w:hAnsi="Times New Roman" w:eastAsia="黑体" w:cs="Times New Roman"/>
          <w:i w:val="0"/>
          <w:lang w:val="en-US" w:eastAsia="zh-CN"/>
        </w:rPr>
        <w:t xml:space="preserve">3 </w:t>
      </w:r>
      <w:r>
        <w:rPr>
          <w:rFonts w:hint="eastAsia" w:hAnsi="Times New Roman" w:cs="Times New Roman"/>
          <w:lang w:val="en-US" w:eastAsia="zh-CN"/>
        </w:rPr>
        <w:t>术语和定义</w:t>
      </w:r>
      <w:r>
        <w:tab/>
      </w:r>
      <w:r>
        <w:fldChar w:fldCharType="begin"/>
      </w:r>
      <w:r>
        <w:instrText xml:space="preserve"> PAGEREF _Toc734 \h </w:instrText>
      </w:r>
      <w:r>
        <w:fldChar w:fldCharType="separate"/>
      </w:r>
      <w:r>
        <w:t>1</w:t>
      </w:r>
      <w:r>
        <w:fldChar w:fldCharType="end"/>
      </w:r>
      <w:r>
        <w:fldChar w:fldCharType="end"/>
      </w:r>
    </w:p>
    <w:p w14:paraId="1F7B3036">
      <w:pPr>
        <w:pStyle w:val="19"/>
        <w:tabs>
          <w:tab w:val="right" w:leader="dot" w:pos="9354"/>
        </w:tabs>
      </w:pPr>
      <w:r>
        <w:fldChar w:fldCharType="begin"/>
      </w:r>
      <w:r>
        <w:instrText xml:space="preserve"> HYPERLINK \l _Toc20848 </w:instrText>
      </w:r>
      <w:r>
        <w:fldChar w:fldCharType="separate"/>
      </w:r>
      <w:r>
        <w:rPr>
          <w:rFonts w:hint="eastAsia" w:ascii="黑体" w:hAnsi="Times New Roman" w:eastAsia="黑体" w:cs="Times New Roman"/>
          <w:i w:val="0"/>
          <w:lang w:val="en-US" w:eastAsia="zh-CN"/>
        </w:rPr>
        <w:t xml:space="preserve">4 </w:t>
      </w:r>
      <w:r>
        <w:rPr>
          <w:rFonts w:hint="eastAsia" w:hAnsi="Times New Roman" w:cs="Times New Roman"/>
          <w:lang w:val="en-US" w:eastAsia="zh-CN"/>
        </w:rPr>
        <w:t>基本要求</w:t>
      </w:r>
      <w:r>
        <w:tab/>
      </w:r>
      <w:r>
        <w:fldChar w:fldCharType="begin"/>
      </w:r>
      <w:r>
        <w:instrText xml:space="preserve"> PAGEREF _Toc20848 \h </w:instrText>
      </w:r>
      <w:r>
        <w:fldChar w:fldCharType="separate"/>
      </w:r>
      <w:r>
        <w:t>2</w:t>
      </w:r>
      <w:r>
        <w:fldChar w:fldCharType="end"/>
      </w:r>
      <w:r>
        <w:fldChar w:fldCharType="end"/>
      </w:r>
    </w:p>
    <w:p w14:paraId="45FA22B9">
      <w:pPr>
        <w:pStyle w:val="19"/>
        <w:tabs>
          <w:tab w:val="right" w:leader="dot" w:pos="9354"/>
        </w:tabs>
      </w:pPr>
      <w:r>
        <w:fldChar w:fldCharType="begin"/>
      </w:r>
      <w:r>
        <w:instrText xml:space="preserve"> HYPERLINK \l _Toc8105 </w:instrText>
      </w:r>
      <w:r>
        <w:fldChar w:fldCharType="separate"/>
      </w:r>
      <w:r>
        <w:rPr>
          <w:rFonts w:hint="eastAsia" w:ascii="黑体" w:hAnsi="Times New Roman" w:eastAsia="黑体" w:cs="Times New Roman"/>
          <w:i w:val="0"/>
          <w:lang w:val="en-US" w:eastAsia="zh-CN"/>
        </w:rPr>
        <w:t xml:space="preserve">5 </w:t>
      </w:r>
      <w:r>
        <w:rPr>
          <w:rFonts w:hint="eastAsia" w:hAnsi="Times New Roman" w:cs="Times New Roman"/>
          <w:lang w:val="en-US" w:eastAsia="zh-CN"/>
        </w:rPr>
        <w:t>风险分级管控</w:t>
      </w:r>
      <w:r>
        <w:tab/>
      </w:r>
      <w:r>
        <w:fldChar w:fldCharType="begin"/>
      </w:r>
      <w:r>
        <w:instrText xml:space="preserve"> PAGEREF _Toc8105 \h </w:instrText>
      </w:r>
      <w:r>
        <w:fldChar w:fldCharType="separate"/>
      </w:r>
      <w:r>
        <w:t>2</w:t>
      </w:r>
      <w:r>
        <w:fldChar w:fldCharType="end"/>
      </w:r>
      <w:r>
        <w:fldChar w:fldCharType="end"/>
      </w:r>
    </w:p>
    <w:p w14:paraId="2A73A2C8">
      <w:pPr>
        <w:pStyle w:val="19"/>
        <w:tabs>
          <w:tab w:val="right" w:leader="dot" w:pos="9354"/>
        </w:tabs>
      </w:pPr>
      <w:r>
        <w:fldChar w:fldCharType="begin"/>
      </w:r>
      <w:r>
        <w:instrText xml:space="preserve"> HYPERLINK \l _Toc9505 </w:instrText>
      </w:r>
      <w:r>
        <w:fldChar w:fldCharType="separate"/>
      </w:r>
      <w:r>
        <w:rPr>
          <w:rFonts w:hint="eastAsia" w:ascii="黑体" w:hAnsi="Times New Roman" w:eastAsia="黑体" w:cs="Times New Roman"/>
          <w:i w:val="0"/>
          <w:lang w:val="en-US" w:eastAsia="zh-CN"/>
        </w:rPr>
        <w:t xml:space="preserve">6 </w:t>
      </w:r>
      <w:r>
        <w:rPr>
          <w:rFonts w:hint="eastAsia" w:hAnsi="Times New Roman" w:cs="Times New Roman"/>
          <w:lang w:val="en-US" w:eastAsia="zh-CN"/>
        </w:rPr>
        <w:t>隐患排查治理</w:t>
      </w:r>
      <w:r>
        <w:tab/>
      </w:r>
      <w:r>
        <w:fldChar w:fldCharType="begin"/>
      </w:r>
      <w:r>
        <w:instrText xml:space="preserve"> PAGEREF _Toc9505 \h </w:instrText>
      </w:r>
      <w:r>
        <w:fldChar w:fldCharType="separate"/>
      </w:r>
      <w:r>
        <w:t>9</w:t>
      </w:r>
      <w:r>
        <w:fldChar w:fldCharType="end"/>
      </w:r>
      <w:r>
        <w:fldChar w:fldCharType="end"/>
      </w:r>
    </w:p>
    <w:p w14:paraId="1B886322">
      <w:pPr>
        <w:pStyle w:val="19"/>
        <w:tabs>
          <w:tab w:val="right" w:leader="dot" w:pos="9354"/>
        </w:tabs>
      </w:pPr>
      <w:r>
        <w:fldChar w:fldCharType="begin"/>
      </w:r>
      <w:r>
        <w:instrText xml:space="preserve"> HYPERLINK \l _Toc10878 </w:instrText>
      </w:r>
      <w:r>
        <w:fldChar w:fldCharType="separate"/>
      </w:r>
      <w:r>
        <w:rPr>
          <w:rFonts w:hint="eastAsia" w:ascii="黑体" w:eastAsia="黑体"/>
          <w:i w:val="0"/>
          <w:lang w:val="en-US" w:eastAsia="zh-CN"/>
        </w:rPr>
        <w:t xml:space="preserve">7 </w:t>
      </w:r>
      <w:r>
        <w:rPr>
          <w:rFonts w:hint="eastAsia"/>
          <w:lang w:val="en-US" w:eastAsia="zh-CN"/>
        </w:rPr>
        <w:t>持续改进</w:t>
      </w:r>
      <w:r>
        <w:tab/>
      </w:r>
      <w:r>
        <w:fldChar w:fldCharType="begin"/>
      </w:r>
      <w:r>
        <w:instrText xml:space="preserve"> PAGEREF _Toc10878 \h </w:instrText>
      </w:r>
      <w:r>
        <w:fldChar w:fldCharType="separate"/>
      </w:r>
      <w:r>
        <w:t>10</w:t>
      </w:r>
      <w:r>
        <w:fldChar w:fldCharType="end"/>
      </w:r>
      <w:r>
        <w:fldChar w:fldCharType="end"/>
      </w:r>
    </w:p>
    <w:p w14:paraId="4F5A83A0">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14:paraId="5E786472">
      <w:pPr>
        <w:pStyle w:val="89"/>
        <w:spacing w:before="900" w:after="468"/>
      </w:pPr>
      <w:bookmarkStart w:id="21" w:name="_Toc3393"/>
      <w:bookmarkStart w:id="22" w:name="BookMark2"/>
      <w:r>
        <w:rPr>
          <w:spacing w:val="320"/>
        </w:rPr>
        <w:t>前</w:t>
      </w:r>
      <w:r>
        <w:t>言</w:t>
      </w:r>
      <w:bookmarkEnd w:id="21"/>
    </w:p>
    <w:p w14:paraId="4BB242A7">
      <w:pPr>
        <w:pStyle w:val="56"/>
        <w:ind w:firstLine="420"/>
      </w:pPr>
      <w:r>
        <w:rPr>
          <w:rFonts w:hint="eastAsia"/>
        </w:rPr>
        <w:t>本文件按照GB/T 1.1—2020《标准化工作导则  第1部分：标准化文件的结构和起草规则》的规定起草。</w:t>
      </w:r>
    </w:p>
    <w:p w14:paraId="10B3E753">
      <w:pPr>
        <w:pStyle w:val="56"/>
        <w:ind w:firstLine="420"/>
      </w:pPr>
      <w:r>
        <w:rPr>
          <w:rFonts w:hint="eastAsia"/>
        </w:rPr>
        <w:t>请注意本文件的某些内容可能涉及专利。本文件的发布机构不承担识别专利的责任。</w:t>
      </w:r>
    </w:p>
    <w:p w14:paraId="60BE08C8">
      <w:pPr>
        <w:pStyle w:val="56"/>
        <w:ind w:firstLine="420"/>
      </w:pPr>
      <w:r>
        <w:rPr>
          <w:rFonts w:hint="eastAsia"/>
        </w:rPr>
        <w:t>本文件由青阳县应急管理局提出。</w:t>
      </w:r>
    </w:p>
    <w:p w14:paraId="7563D23F">
      <w:pPr>
        <w:pStyle w:val="56"/>
        <w:ind w:firstLine="420"/>
      </w:pPr>
      <w:r>
        <w:rPr>
          <w:rFonts w:hint="eastAsia"/>
        </w:rPr>
        <w:t>本文件由安徽省应急管理厅归口。</w:t>
      </w:r>
    </w:p>
    <w:p w14:paraId="1185A2D1">
      <w:pPr>
        <w:pStyle w:val="56"/>
        <w:ind w:firstLine="420"/>
      </w:pPr>
      <w:r>
        <w:rPr>
          <w:rFonts w:hint="eastAsia"/>
        </w:rPr>
        <w:t>本文件起草单位：青阳县应急管理局</w:t>
      </w:r>
      <w:r>
        <w:rPr>
          <w:rFonts w:hint="eastAsia"/>
          <w:lang w:eastAsia="zh-CN"/>
        </w:rPr>
        <w:t>、</w:t>
      </w:r>
      <w:r>
        <w:rPr>
          <w:rFonts w:hint="eastAsia"/>
        </w:rPr>
        <w:t>安徽省应急管理厅</w:t>
      </w:r>
      <w:r>
        <w:rPr>
          <w:rFonts w:hint="eastAsia"/>
          <w:lang w:eastAsia="zh-CN"/>
        </w:rPr>
        <w:t>、</w:t>
      </w:r>
      <w:r>
        <w:rPr>
          <w:rFonts w:hint="eastAsia"/>
        </w:rPr>
        <w:t>安徽宝镁轻合金有限公司</w:t>
      </w:r>
      <w:r>
        <w:rPr>
          <w:rFonts w:hint="eastAsia"/>
          <w:lang w:eastAsia="zh-CN"/>
        </w:rPr>
        <w:t>、</w:t>
      </w:r>
      <w:r>
        <w:rPr>
          <w:rFonts w:hint="eastAsia"/>
        </w:rPr>
        <w:t>安徽省质量和标准化研究院。</w:t>
      </w:r>
    </w:p>
    <w:p w14:paraId="4EC3DD01">
      <w:pPr>
        <w:pStyle w:val="56"/>
        <w:ind w:firstLine="420"/>
      </w:pPr>
      <w:r>
        <w:rPr>
          <w:rFonts w:hint="eastAsia"/>
        </w:rPr>
        <w:t>本文件主要起草人：</w:t>
      </w:r>
    </w:p>
    <w:p w14:paraId="4B02483A">
      <w:pPr>
        <w:pStyle w:val="56"/>
        <w:ind w:firstLine="420"/>
      </w:pPr>
    </w:p>
    <w:p w14:paraId="3199C33F">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2"/>
    <w:p w14:paraId="72E40A1F">
      <w:pPr>
        <w:spacing w:line="20" w:lineRule="exact"/>
        <w:jc w:val="center"/>
        <w:rPr>
          <w:rFonts w:hint="eastAsia" w:ascii="黑体" w:hAnsi="黑体" w:eastAsia="黑体"/>
          <w:sz w:val="32"/>
          <w:szCs w:val="32"/>
        </w:rPr>
      </w:pPr>
      <w:bookmarkStart w:id="23" w:name="BookMark4"/>
    </w:p>
    <w:p w14:paraId="316536FB">
      <w:pPr>
        <w:spacing w:line="20" w:lineRule="exact"/>
        <w:jc w:val="center"/>
        <w:rPr>
          <w:rFonts w:hint="eastAsia" w:ascii="黑体" w:hAnsi="黑体" w:eastAsia="黑体"/>
          <w:sz w:val="32"/>
          <w:szCs w:val="32"/>
        </w:rPr>
      </w:pPr>
    </w:p>
    <w:sdt>
      <w:sdtPr>
        <w:tag w:val="NEW_STAND_NAME"/>
        <w:id w:val="595910757"/>
        <w:lock w:val="sdtLocked"/>
        <w:placeholder>
          <w:docPart w:val="D4B0B7D7CFDB4C17BB6790B3F6CB26AF"/>
        </w:placeholder>
      </w:sdtPr>
      <w:sdtContent>
        <w:p w14:paraId="12FB0E6F">
          <w:pPr>
            <w:pStyle w:val="177"/>
            <w:spacing w:before="3" w:beforeLines="1" w:after="686" w:afterLines="220"/>
            <w:rPr>
              <w:rFonts w:hint="eastAsia"/>
            </w:rPr>
          </w:pPr>
          <w:bookmarkStart w:id="24" w:name="NEW_STAND_NAME"/>
          <w:r>
            <w:rPr>
              <w:rFonts w:hint="eastAsia"/>
            </w:rPr>
            <w:t>镁及镁合金安全生产风险管控与隐患治理</w:t>
          </w:r>
        </w:p>
      </w:sdtContent>
    </w:sdt>
    <w:bookmarkEnd w:id="23"/>
    <w:bookmarkEnd w:id="24"/>
    <w:p w14:paraId="590AD704">
      <w:pPr>
        <w:pStyle w:val="104"/>
        <w:bidi w:val="0"/>
        <w:rPr>
          <w:rFonts w:hint="eastAsia" w:hAnsi="Times New Roman" w:cs="Times New Roman"/>
          <w:lang w:val="en-US" w:eastAsia="zh-CN"/>
        </w:rPr>
      </w:pPr>
      <w:bookmarkStart w:id="25" w:name="_Toc24884211"/>
      <w:bookmarkStart w:id="26" w:name="_Toc17233333"/>
      <w:bookmarkStart w:id="27" w:name="_Toc24884218"/>
      <w:bookmarkStart w:id="28" w:name="_Toc26718930"/>
      <w:bookmarkStart w:id="29" w:name="_Toc17233325"/>
      <w:bookmarkStart w:id="30" w:name="_Toc7574"/>
      <w:bookmarkStart w:id="31" w:name="_Toc26986530"/>
      <w:bookmarkStart w:id="32" w:name="_Toc26986771"/>
      <w:bookmarkStart w:id="33" w:name="_Toc97191423"/>
      <w:bookmarkStart w:id="34" w:name="_Toc26648465"/>
      <w:r>
        <w:rPr>
          <w:rFonts w:hint="eastAsia" w:hAnsi="Times New Roman" w:cs="Times New Roman"/>
          <w:lang w:val="en-US" w:eastAsia="zh-CN"/>
        </w:rPr>
        <w:t>范围</w:t>
      </w:r>
      <w:bookmarkEnd w:id="25"/>
      <w:bookmarkEnd w:id="26"/>
      <w:bookmarkEnd w:id="27"/>
      <w:bookmarkEnd w:id="28"/>
      <w:bookmarkEnd w:id="29"/>
      <w:bookmarkEnd w:id="30"/>
      <w:bookmarkEnd w:id="31"/>
      <w:bookmarkEnd w:id="32"/>
      <w:bookmarkEnd w:id="33"/>
      <w:bookmarkEnd w:id="34"/>
    </w:p>
    <w:p w14:paraId="224F1F47">
      <w:pPr>
        <w:keepNext w:val="0"/>
        <w:keepLines w:val="0"/>
        <w:widowControl/>
        <w:suppressLineNumbers w:val="0"/>
        <w:ind w:firstLine="420" w:firstLineChars="200"/>
        <w:jc w:val="left"/>
        <w:rPr>
          <w:rFonts w:hint="eastAsia" w:ascii="宋体" w:hAnsi="宋体" w:cs="宋体"/>
          <w:color w:val="000000"/>
          <w:kern w:val="0"/>
          <w:sz w:val="21"/>
          <w:szCs w:val="21"/>
          <w:lang w:val="en-US" w:eastAsia="zh-CN" w:bidi="ar"/>
        </w:rPr>
      </w:pPr>
      <w:bookmarkStart w:id="35" w:name="_Toc26648466"/>
      <w:bookmarkStart w:id="36" w:name="_Toc24884219"/>
      <w:bookmarkStart w:id="37" w:name="_Toc17233326"/>
      <w:bookmarkStart w:id="38" w:name="_Toc17233334"/>
      <w:bookmarkStart w:id="39" w:name="_Toc24884212"/>
      <w:r>
        <w:rPr>
          <w:rFonts w:hint="eastAsia" w:ascii="宋体" w:hAnsi="宋体" w:eastAsia="宋体" w:cs="宋体"/>
          <w:color w:val="000000"/>
          <w:kern w:val="0"/>
          <w:sz w:val="21"/>
          <w:szCs w:val="21"/>
          <w:lang w:val="en-US" w:eastAsia="zh-CN" w:bidi="ar"/>
        </w:rPr>
        <w:t>本文</w:t>
      </w:r>
      <w:r>
        <w:rPr>
          <w:rFonts w:hint="eastAsia" w:ascii="宋体" w:hAnsi="宋体" w:cs="宋体"/>
          <w:color w:val="000000"/>
          <w:kern w:val="0"/>
          <w:sz w:val="21"/>
          <w:szCs w:val="21"/>
          <w:lang w:val="en-US" w:eastAsia="zh-CN" w:bidi="ar"/>
        </w:rPr>
        <w:t>规定了</w:t>
      </w:r>
      <w:r>
        <w:rPr>
          <w:rFonts w:hint="eastAsia" w:ascii="宋体" w:hAnsi="宋体" w:eastAsia="宋体" w:cs="宋体"/>
          <w:color w:val="000000"/>
          <w:kern w:val="0"/>
          <w:sz w:val="21"/>
          <w:szCs w:val="21"/>
          <w:lang w:val="en-US" w:eastAsia="zh-CN" w:bidi="ar"/>
        </w:rPr>
        <w:t>镁冶炼行业企业风险分级管控与隐患排查治理的基本要求，</w:t>
      </w:r>
      <w:r>
        <w:rPr>
          <w:rFonts w:hint="eastAsia" w:ascii="宋体" w:hAnsi="宋体" w:cs="宋体"/>
          <w:color w:val="000000"/>
          <w:kern w:val="0"/>
          <w:sz w:val="21"/>
          <w:szCs w:val="21"/>
          <w:lang w:val="en-US" w:eastAsia="zh-CN" w:bidi="ar"/>
        </w:rPr>
        <w:t>确立</w:t>
      </w:r>
      <w:r>
        <w:rPr>
          <w:rFonts w:hint="eastAsia" w:ascii="宋体" w:hAnsi="宋体" w:eastAsia="宋体" w:cs="宋体"/>
          <w:color w:val="000000"/>
          <w:kern w:val="0"/>
          <w:sz w:val="21"/>
          <w:szCs w:val="21"/>
          <w:lang w:val="en-US" w:eastAsia="zh-CN" w:bidi="ar"/>
        </w:rPr>
        <w:t>了风险分级管控、隐患排查</w:t>
      </w:r>
      <w:r>
        <w:rPr>
          <w:rFonts w:hint="eastAsia" w:ascii="宋体" w:hAnsi="宋体" w:cs="宋体"/>
          <w:color w:val="000000"/>
          <w:kern w:val="0"/>
          <w:sz w:val="21"/>
          <w:szCs w:val="21"/>
          <w:lang w:val="en-US" w:eastAsia="zh-CN" w:bidi="ar"/>
        </w:rPr>
        <w:t>治理和</w:t>
      </w:r>
      <w:r>
        <w:rPr>
          <w:rFonts w:hint="eastAsia" w:ascii="宋体" w:hAnsi="宋体" w:eastAsia="宋体" w:cs="宋体"/>
          <w:color w:val="000000"/>
          <w:kern w:val="0"/>
          <w:sz w:val="21"/>
          <w:szCs w:val="21"/>
          <w:lang w:val="en-US" w:eastAsia="zh-CN" w:bidi="ar"/>
        </w:rPr>
        <w:t>持续改进等基本原则</w:t>
      </w:r>
      <w:r>
        <w:rPr>
          <w:rFonts w:hint="eastAsia" w:ascii="宋体" w:hAnsi="宋体" w:cs="宋体"/>
          <w:color w:val="000000"/>
          <w:kern w:val="0"/>
          <w:sz w:val="21"/>
          <w:szCs w:val="21"/>
          <w:lang w:val="en-US" w:eastAsia="zh-CN" w:bidi="ar"/>
        </w:rPr>
        <w:t>。</w:t>
      </w:r>
    </w:p>
    <w:p w14:paraId="758D3793">
      <w:pPr>
        <w:keepNext w:val="0"/>
        <w:keepLines w:val="0"/>
        <w:widowControl/>
        <w:suppressLineNumbers w:val="0"/>
        <w:ind w:firstLine="420" w:firstLineChars="200"/>
        <w:jc w:val="left"/>
        <w:rPr>
          <w:rFonts w:cs="Times New Roman"/>
        </w:rPr>
      </w:pPr>
      <w:r>
        <w:rPr>
          <w:rFonts w:hint="eastAsia" w:ascii="宋体" w:hAnsi="宋体" w:eastAsia="宋体" w:cs="宋体"/>
          <w:color w:val="000000"/>
          <w:kern w:val="0"/>
          <w:sz w:val="21"/>
          <w:szCs w:val="21"/>
          <w:lang w:val="en-US" w:eastAsia="zh-CN" w:bidi="ar"/>
        </w:rPr>
        <w:t>本文件适用于镁冶炼行业企业风险分级管控与隐患排查治理双重预防机制建设</w:t>
      </w:r>
      <w:r>
        <w:rPr>
          <w:rFonts w:hint="eastAsia" w:ascii="宋体" w:hAnsi="宋体" w:cs="宋体"/>
          <w:color w:val="000000"/>
          <w:kern w:val="0"/>
          <w:sz w:val="21"/>
          <w:szCs w:val="21"/>
          <w:lang w:val="en-US" w:eastAsia="zh-CN" w:bidi="ar"/>
        </w:rPr>
        <w:t>、运行管理与评价</w:t>
      </w:r>
      <w:r>
        <w:rPr>
          <w:rFonts w:hint="eastAsia" w:ascii="宋体" w:hAnsi="宋体" w:eastAsia="宋体" w:cs="宋体"/>
          <w:color w:val="000000"/>
          <w:kern w:val="0"/>
          <w:sz w:val="21"/>
          <w:szCs w:val="21"/>
          <w:lang w:val="en-US" w:eastAsia="zh-CN" w:bidi="ar"/>
        </w:rPr>
        <w:t>。</w:t>
      </w:r>
    </w:p>
    <w:p w14:paraId="03792F8E">
      <w:pPr>
        <w:pStyle w:val="104"/>
        <w:bidi w:val="0"/>
        <w:rPr>
          <w:rFonts w:hint="eastAsia" w:hAnsi="Times New Roman" w:cs="Times New Roman"/>
          <w:lang w:val="en-US" w:eastAsia="zh-CN"/>
        </w:rPr>
      </w:pPr>
      <w:bookmarkStart w:id="40" w:name="_Toc26986531"/>
      <w:bookmarkStart w:id="41" w:name="_Toc26718931"/>
      <w:bookmarkStart w:id="42" w:name="_Toc97191424"/>
      <w:bookmarkStart w:id="43" w:name="_Toc9977"/>
      <w:bookmarkStart w:id="44" w:name="_Toc26986772"/>
      <w:r>
        <w:rPr>
          <w:rFonts w:hint="eastAsia" w:hAnsi="Times New Roman" w:cs="Times New Roman"/>
          <w:lang w:val="en-US" w:eastAsia="zh-CN"/>
        </w:rPr>
        <w:t>规范性引用文件</w:t>
      </w:r>
      <w:bookmarkEnd w:id="35"/>
      <w:bookmarkEnd w:id="36"/>
      <w:bookmarkEnd w:id="37"/>
      <w:bookmarkEnd w:id="38"/>
      <w:bookmarkEnd w:id="39"/>
      <w:bookmarkEnd w:id="40"/>
      <w:bookmarkEnd w:id="41"/>
      <w:bookmarkEnd w:id="42"/>
      <w:bookmarkEnd w:id="43"/>
      <w:bookmarkEnd w:id="44"/>
    </w:p>
    <w:sdt>
      <w:sdtPr>
        <w:rPr>
          <w:rFonts w:hint="eastAsia" w:ascii="Calibri" w:hAnsi="Calibri" w:eastAsia="宋体" w:cs="Times New Roman"/>
          <w:kern w:val="2"/>
          <w:sz w:val="21"/>
          <w:szCs w:val="21"/>
          <w:lang w:val="en-US" w:eastAsia="zh-CN" w:bidi="ar-SA"/>
        </w:rPr>
        <w:id w:val="147482459"/>
        <w:placeholder>
          <w:docPart w:val="{d0dd0b56-1ea7-4a57-b379-ac24553a6b0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Times New Roman" w:eastAsia="宋体" w:cs="Times New Roman"/>
          <w:kern w:val="2"/>
          <w:sz w:val="21"/>
          <w:szCs w:val="21"/>
          <w:lang w:val="en-US" w:eastAsia="zh-CN" w:bidi="ar-SA"/>
        </w:rPr>
      </w:sdtEndPr>
      <w:sdtContent>
        <w:p w14:paraId="502A2204">
          <w:pPr>
            <w:autoSpaceDE w:val="0"/>
            <w:autoSpaceDN w:val="0"/>
            <w:ind w:firstLine="420" w:firstLineChars="200"/>
            <w:jc w:val="both"/>
            <w:rPr>
              <w:rFonts w:hint="eastAsia" w:ascii="宋体" w:hAnsi="Times New Roman" w:eastAsia="宋体" w:cs="Times New Roman"/>
              <w:color w:val="FF0000"/>
              <w:sz w:val="21"/>
              <w:lang w:val="en-US" w:eastAsia="zh-CN" w:bidi="ar-SA"/>
            </w:rPr>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ascii="宋体" w:hAnsi="Times New Roman" w:eastAsia="宋体" w:cs="Times New Roman"/>
              <w:color w:val="FF0000"/>
              <w:sz w:val="21"/>
              <w:lang w:val="en-US" w:eastAsia="zh-CN" w:bidi="ar-SA"/>
            </w:rPr>
            <w:tab/>
          </w:r>
        </w:p>
      </w:sdtContent>
    </w:sdt>
    <w:p w14:paraId="4C53771E">
      <w:pPr>
        <w:autoSpaceDE w:val="0"/>
        <w:autoSpaceDN w:val="0"/>
        <w:ind w:firstLine="420" w:firstLineChars="200"/>
        <w:jc w:val="both"/>
        <w:rPr>
          <w:rFonts w:ascii="Times New Roman" w:hAnsi="Times New Roman" w:eastAsia="宋体" w:cs="Times New Roman"/>
          <w:color w:val="FF0000"/>
          <w:sz w:val="21"/>
          <w:lang w:val="en-US" w:eastAsia="zh-CN" w:bidi="ar-SA"/>
        </w:rPr>
      </w:pPr>
      <w:r>
        <w:rPr>
          <w:rFonts w:hint="eastAsia" w:ascii="Times New Roman" w:hAnsi="Times New Roman" w:eastAsia="宋体" w:cs="Times New Roman"/>
          <w:sz w:val="21"/>
          <w:lang w:val="en-US" w:eastAsia="zh-CN" w:bidi="ar-SA"/>
        </w:rPr>
        <w:t>GB 18218 危险</w:t>
      </w:r>
      <w:r>
        <w:rPr>
          <w:rFonts w:hint="eastAsia" w:ascii="Times New Roman" w:hAnsi="Times New Roman" w:cs="Times New Roman"/>
          <w:sz w:val="21"/>
          <w:lang w:val="en-US" w:eastAsia="zh-CN" w:bidi="ar-SA"/>
        </w:rPr>
        <w:t>化学品重大危险源</w:t>
      </w:r>
      <w:r>
        <w:rPr>
          <w:rFonts w:hint="eastAsia" w:ascii="Times New Roman" w:hAnsi="Times New Roman" w:eastAsia="宋体" w:cs="Times New Roman"/>
          <w:sz w:val="21"/>
          <w:lang w:val="en-US" w:eastAsia="zh-CN" w:bidi="ar-SA"/>
        </w:rPr>
        <w:t>辨识</w:t>
      </w:r>
    </w:p>
    <w:p w14:paraId="2B0E30AB">
      <w:pPr>
        <w:autoSpaceDE w:val="0"/>
        <w:autoSpaceDN w:val="0"/>
        <w:ind w:firstLine="420" w:firstLineChars="200"/>
        <w:jc w:val="both"/>
        <w:rPr>
          <w:rFonts w:hint="eastAsia" w:ascii="Times New Roman" w:hAnsi="Times New Roman" w:eastAsia="宋体" w:cs="宋体"/>
          <w:color w:val="000000"/>
          <w:kern w:val="0"/>
          <w:sz w:val="21"/>
          <w:szCs w:val="21"/>
          <w:lang w:val="en-US" w:eastAsia="zh-CN" w:bidi="ar"/>
        </w:rPr>
      </w:pPr>
      <w:r>
        <w:rPr>
          <w:rFonts w:hint="eastAsia" w:ascii="Times New Roman" w:hAnsi="Times New Roman" w:eastAsia="宋体" w:cs="宋体"/>
          <w:color w:val="000000"/>
          <w:kern w:val="0"/>
          <w:sz w:val="21"/>
          <w:szCs w:val="21"/>
          <w:lang w:val="en-US" w:eastAsia="zh-CN" w:bidi="ar"/>
        </w:rPr>
        <w:t>GB/T 27921 风险管理 风险评估技术</w:t>
      </w:r>
    </w:p>
    <w:p w14:paraId="5026C3B8">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GB/T 29639-2020 生产经营单位生产安全事故应急预案编制导则</w:t>
      </w:r>
    </w:p>
    <w:p w14:paraId="20D22D77">
      <w:pPr>
        <w:pStyle w:val="104"/>
        <w:bidi w:val="0"/>
        <w:rPr>
          <w:rFonts w:hint="eastAsia" w:hAnsi="Times New Roman" w:cs="Times New Roman"/>
          <w:lang w:val="en-US" w:eastAsia="zh-CN"/>
        </w:rPr>
      </w:pPr>
      <w:bookmarkStart w:id="45" w:name="_Toc97191425"/>
      <w:bookmarkStart w:id="46" w:name="_Toc734"/>
      <w:r>
        <w:rPr>
          <w:rFonts w:hint="eastAsia" w:hAnsi="Times New Roman" w:cs="Times New Roman"/>
          <w:lang w:val="en-US" w:eastAsia="zh-CN"/>
        </w:rPr>
        <w:t>术语和定义</w:t>
      </w:r>
      <w:bookmarkEnd w:id="45"/>
      <w:bookmarkEnd w:id="46"/>
    </w:p>
    <w:sdt>
      <w:sdtPr>
        <w:rPr>
          <w:rFonts w:ascii="Times New Roman" w:hAnsi="Times New Roman" w:eastAsia="宋体" w:cs="Times New Roman"/>
          <w:kern w:val="2"/>
          <w:sz w:val="21"/>
          <w:szCs w:val="21"/>
          <w:lang w:val="en-US" w:eastAsia="zh-CN" w:bidi="ar-SA"/>
        </w:rPr>
        <w:id w:val="147481033"/>
        <w:placeholder>
          <w:docPart w:val="{ebd2d648-2683-4e90-9d45-e57b4a74376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宋体" w:hAnsi="Times New Roman" w:eastAsia="宋体" w:cs="Times New Roman"/>
          <w:kern w:val="2"/>
          <w:sz w:val="21"/>
          <w:szCs w:val="21"/>
          <w:lang w:val="en-US" w:eastAsia="zh-CN" w:bidi="ar-SA"/>
        </w:rPr>
      </w:sdtEndPr>
      <w:sdtContent>
        <w:p w14:paraId="2C4B096E">
          <w:pPr>
            <w:autoSpaceDE w:val="0"/>
            <w:autoSpaceDN w:val="0"/>
            <w:ind w:firstLine="420" w:firstLineChars="200"/>
            <w:jc w:val="both"/>
            <w:rPr>
              <w:rFonts w:ascii="宋体" w:hAnsi="Times New Roman" w:eastAsia="宋体" w:cs="Times New Roman"/>
              <w:sz w:val="21"/>
              <w:lang w:val="en-US" w:eastAsia="zh-CN" w:bidi="ar-SA"/>
            </w:rPr>
          </w:pPr>
          <w:bookmarkStart w:id="47" w:name="_Toc26986532"/>
          <w:bookmarkEnd w:id="47"/>
          <w:r>
            <w:rPr>
              <w:rFonts w:hint="eastAsia" w:ascii="Times New Roman" w:hAnsi="Times New Roman" w:eastAsia="宋体" w:cs="Times New Roman"/>
              <w:sz w:val="21"/>
              <w:lang w:val="en-US" w:eastAsia="zh-CN" w:bidi="ar-SA"/>
            </w:rPr>
            <w:t>GB/T 29639-2020</w:t>
          </w:r>
          <w:r>
            <w:rPr>
              <w:rFonts w:ascii="Times New Roman" w:hAnsi="Times New Roman" w:eastAsia="宋体" w:cs="Times New Roman"/>
              <w:sz w:val="21"/>
              <w:lang w:val="en-US" w:eastAsia="zh-CN" w:bidi="ar-SA"/>
            </w:rPr>
            <w:t>界定的以及下列术语和定义适用于本文件。</w:t>
          </w:r>
        </w:p>
      </w:sdtContent>
    </w:sdt>
    <w:p w14:paraId="2B4D7594">
      <w:pPr>
        <w:numPr>
          <w:ilvl w:val="2"/>
          <w:numId w:val="2"/>
        </w:numPr>
        <w:spacing w:before="0" w:beforeLines="0" w:after="0" w:afterLines="0"/>
        <w:ind w:left="420" w:hanging="420" w:hangingChars="200"/>
        <w:jc w:val="both"/>
        <w:outlineLvl w:val="9"/>
        <w:rPr>
          <w:rFonts w:hint="eastAsia" w:ascii="Times New Roman" w:hAnsi="Times New Roman" w:eastAsia="黑体" w:cs="Times New Roman"/>
          <w:sz w:val="21"/>
          <w:lang w:val="en-US" w:eastAsia="zh-CN" w:bidi="ar-SA"/>
        </w:rPr>
      </w:pPr>
      <w:r>
        <w:rPr>
          <w:rFonts w:ascii="黑体" w:hAnsi="黑体" w:eastAsia="黑体" w:cs="Times New Roman"/>
          <w:sz w:val="21"/>
          <w:lang w:val="en-US" w:eastAsia="zh-CN" w:bidi="ar-SA"/>
        </w:rPr>
        <w:br w:type="textWrapping"/>
      </w:r>
      <w:r>
        <w:rPr>
          <w:rFonts w:hint="eastAsia" w:ascii="Times New Roman" w:hAnsi="Times New Roman" w:eastAsia="黑体" w:cs="Times New Roman"/>
          <w:sz w:val="21"/>
          <w:lang w:val="en-US" w:eastAsia="zh-CN" w:bidi="ar-SA"/>
        </w:rPr>
        <w:t>风险 risk</w:t>
      </w:r>
    </w:p>
    <w:p w14:paraId="1E847A2D">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不确定性的影响。</w:t>
      </w:r>
    </w:p>
    <w:p w14:paraId="06168555">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[来源：GB/T 45001-2020，3.20，有修改]</w:t>
      </w:r>
    </w:p>
    <w:p w14:paraId="52893118">
      <w:pPr>
        <w:numPr>
          <w:ilvl w:val="2"/>
          <w:numId w:val="2"/>
        </w:numPr>
        <w:spacing w:before="0" w:beforeLines="0" w:after="0" w:afterLines="0"/>
        <w:ind w:left="420" w:hanging="420" w:hangingChars="200"/>
        <w:jc w:val="both"/>
        <w:outlineLvl w:val="9"/>
        <w:rPr>
          <w:rFonts w:hint="default" w:ascii="黑体" w:hAnsi="黑体" w:eastAsia="黑体" w:cs="Times New Roman"/>
          <w:sz w:val="21"/>
          <w:lang w:val="en-US" w:eastAsia="zh-CN" w:bidi="ar-SA"/>
        </w:rPr>
      </w:pPr>
    </w:p>
    <w:p w14:paraId="004C03BE">
      <w:pPr>
        <w:numPr>
          <w:ilvl w:val="-1"/>
          <w:numId w:val="0"/>
        </w:numPr>
        <w:spacing w:before="0" w:beforeLines="0" w:after="0" w:afterLines="0"/>
        <w:ind w:left="-420" w:leftChars="-200" w:firstLine="840" w:firstLineChars="400"/>
        <w:jc w:val="both"/>
        <w:outlineLvl w:val="9"/>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风险</w:t>
      </w:r>
      <w:r>
        <w:rPr>
          <w:rFonts w:hint="eastAsia" w:ascii="Times New Roman" w:hAnsi="Times New Roman" w:eastAsia="黑体" w:cs="Times New Roman"/>
          <w:sz w:val="21"/>
          <w:lang w:val="en-US" w:eastAsia="zh-CN" w:bidi="ar-SA"/>
        </w:rPr>
        <w:t>点 risk point</w:t>
      </w:r>
    </w:p>
    <w:p w14:paraId="16440C8B">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风险的设施、部位、场所和区域，以及在特定部位、设施、场所和区域实施的伴随风险的作业活动（过程）两者的组合。</w:t>
      </w:r>
    </w:p>
    <w:p w14:paraId="46AAD96F">
      <w:pPr>
        <w:numPr>
          <w:ilvl w:val="2"/>
          <w:numId w:val="2"/>
        </w:numPr>
        <w:spacing w:before="0" w:beforeLines="0" w:after="0" w:afterLines="0"/>
        <w:ind w:left="420" w:hanging="420" w:hangingChars="200"/>
        <w:jc w:val="both"/>
        <w:outlineLvl w:val="9"/>
        <w:rPr>
          <w:rFonts w:hint="eastAsia" w:ascii="黑体" w:hAnsi="黑体" w:eastAsia="黑体" w:cs="Times New Roman"/>
          <w:sz w:val="21"/>
          <w:lang w:val="en-US" w:eastAsia="zh-CN" w:bidi="ar-SA"/>
        </w:rPr>
      </w:pPr>
    </w:p>
    <w:p w14:paraId="772D4B15">
      <w:pPr>
        <w:numPr>
          <w:ilvl w:val="-1"/>
          <w:numId w:val="0"/>
        </w:numPr>
        <w:spacing w:before="0" w:beforeLines="0" w:after="0" w:afterLines="0"/>
        <w:ind w:left="-420" w:leftChars="-200" w:firstLine="840" w:firstLineChars="400"/>
        <w:jc w:val="both"/>
        <w:outlineLvl w:val="9"/>
        <w:rPr>
          <w:rFonts w:hint="default" w:ascii="Times New Roman" w:hAnsi="Times New Roman" w:eastAsia="黑体" w:cs="Times New Roman"/>
          <w:sz w:val="21"/>
          <w:lang w:val="en-US" w:eastAsia="zh-CN" w:bidi="ar-SA"/>
        </w:rPr>
      </w:pPr>
      <w:r>
        <w:rPr>
          <w:rFonts w:hint="eastAsia" w:ascii="Times New Roman" w:hAnsi="Times New Roman" w:eastAsia="黑体" w:cs="Times New Roman"/>
          <w:sz w:val="21"/>
          <w:lang w:val="en-US" w:eastAsia="zh-CN" w:bidi="ar-SA"/>
        </w:rPr>
        <w:t>风险源 hazard</w:t>
      </w:r>
    </w:p>
    <w:p w14:paraId="62DD9B77">
      <w:pPr>
        <w:numPr>
          <w:ilvl w:val="-1"/>
          <w:numId w:val="0"/>
        </w:numPr>
        <w:spacing w:before="0" w:beforeLines="0" w:after="0" w:afterLines="0"/>
        <w:ind w:left="-420" w:leftChars="-200" w:firstLine="840" w:firstLineChars="400"/>
        <w:jc w:val="both"/>
        <w:outlineLvl w:val="9"/>
        <w:rPr>
          <w:rFonts w:hint="eastAsia" w:ascii="Times New Roman" w:hAnsi="Times New Roman" w:eastAsia="黑体" w:cs="Times New Roman"/>
          <w:sz w:val="21"/>
          <w:lang w:val="en-US" w:eastAsia="zh-CN" w:bidi="ar-SA"/>
        </w:rPr>
      </w:pPr>
      <w:r>
        <w:rPr>
          <w:rFonts w:hint="eastAsia" w:ascii="Times New Roman" w:hAnsi="Times New Roman" w:eastAsia="黑体" w:cs="Times New Roman"/>
          <w:sz w:val="21"/>
          <w:lang w:val="en-US" w:eastAsia="zh-CN" w:bidi="ar-SA"/>
        </w:rPr>
        <w:t>危险因素 hazard</w:t>
      </w:r>
    </w:p>
    <w:p w14:paraId="07B213D1">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可能导致伤害和健康损害的来源。</w:t>
      </w:r>
    </w:p>
    <w:p w14:paraId="72657855">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注：风险源可包括可能导致伤害或危险状态的来源，或可能因暴露而导致伤害和健康损害的环境。</w:t>
      </w:r>
    </w:p>
    <w:p w14:paraId="3A194806">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[来源:GB T 45001-2020 3.19，有修改]</w:t>
      </w:r>
    </w:p>
    <w:p w14:paraId="42C22BA3">
      <w:pPr>
        <w:numPr>
          <w:ilvl w:val="2"/>
          <w:numId w:val="2"/>
        </w:numPr>
        <w:spacing w:before="0" w:beforeLines="0" w:after="0" w:afterLines="0"/>
        <w:ind w:left="420" w:hanging="420" w:hangingChars="200"/>
        <w:jc w:val="both"/>
        <w:outlineLvl w:val="9"/>
        <w:rPr>
          <w:rFonts w:hint="default" w:ascii="黑体" w:hAnsi="黑体" w:eastAsia="黑体" w:cs="Times New Roman"/>
          <w:sz w:val="21"/>
          <w:lang w:val="en-US" w:eastAsia="zh-CN" w:bidi="ar-SA"/>
        </w:rPr>
      </w:pPr>
    </w:p>
    <w:p w14:paraId="0863A678">
      <w:pPr>
        <w:numPr>
          <w:ilvl w:val="-1"/>
          <w:numId w:val="0"/>
        </w:numPr>
        <w:spacing w:before="0" w:beforeLines="0" w:after="0" w:afterLines="0"/>
        <w:ind w:left="-420" w:leftChars="-200" w:firstLine="840" w:firstLineChars="400"/>
        <w:jc w:val="both"/>
        <w:outlineLvl w:val="9"/>
        <w:rPr>
          <w:rFonts w:hint="default" w:ascii="Times New Roman" w:hAnsi="Times New Roman" w:eastAsia="黑体" w:cs="Times New Roman"/>
          <w:sz w:val="21"/>
          <w:lang w:val="en-US" w:eastAsia="zh-CN" w:bidi="ar-SA"/>
        </w:rPr>
      </w:pPr>
      <w:r>
        <w:rPr>
          <w:rFonts w:hint="eastAsia" w:ascii="Times New Roman" w:hAnsi="Times New Roman" w:eastAsia="黑体" w:cs="Times New Roman"/>
          <w:sz w:val="21"/>
          <w:lang w:val="en-US" w:eastAsia="zh-CN" w:bidi="ar-SA"/>
        </w:rPr>
        <w:t>安全风险  risk hazard</w:t>
      </w:r>
    </w:p>
    <w:p w14:paraId="72FF9D8E">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发生</w:t>
      </w:r>
      <w:r>
        <w:rPr>
          <w:rFonts w:hint="eastAsia" w:ascii="Times New Roman" w:hAnsi="Times New Roman" w:cs="Times New Roman"/>
          <w:sz w:val="21"/>
          <w:lang w:val="en-US" w:eastAsia="zh-CN" w:bidi="ar-SA"/>
        </w:rPr>
        <w:t>危险事件</w:t>
      </w:r>
      <w:r>
        <w:rPr>
          <w:rFonts w:hint="default" w:ascii="Times New Roman" w:hAnsi="Times New Roman" w:eastAsia="宋体" w:cs="Times New Roman"/>
          <w:sz w:val="21"/>
          <w:lang w:val="en-US" w:eastAsia="zh-CN" w:bidi="ar-SA"/>
        </w:rPr>
        <w:t>或者有害暴露的可能性，与随之引发的人身伤害、健康损害或者财产损失的严重性的组合。</w:t>
      </w:r>
    </w:p>
    <w:p w14:paraId="01042820">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[来源：GB/T 33000-2016,3.8]</w:t>
      </w:r>
    </w:p>
    <w:p w14:paraId="2D8188CF">
      <w:pPr>
        <w:numPr>
          <w:ilvl w:val="2"/>
          <w:numId w:val="2"/>
        </w:numPr>
        <w:spacing w:before="0" w:beforeLines="0" w:after="0" w:afterLines="0"/>
        <w:ind w:left="420" w:hanging="420" w:hangingChars="200"/>
        <w:jc w:val="both"/>
        <w:outlineLvl w:val="9"/>
        <w:rPr>
          <w:rFonts w:hint="default" w:ascii="黑体" w:hAnsi="黑体" w:eastAsia="黑体" w:cs="Times New Roman"/>
          <w:sz w:val="21"/>
          <w:lang w:val="en-US" w:eastAsia="zh-CN" w:bidi="ar-SA"/>
        </w:rPr>
      </w:pPr>
    </w:p>
    <w:p w14:paraId="77041B21">
      <w:pPr>
        <w:numPr>
          <w:ilvl w:val="-1"/>
          <w:numId w:val="0"/>
        </w:numPr>
        <w:spacing w:before="0" w:beforeLines="0" w:after="0" w:afterLines="0"/>
        <w:ind w:left="-420" w:leftChars="-200" w:firstLine="840" w:firstLineChars="400"/>
        <w:jc w:val="both"/>
        <w:outlineLvl w:val="9"/>
        <w:rPr>
          <w:rFonts w:hint="default" w:ascii="Times New Roman" w:hAnsi="Times New Roman" w:eastAsia="黑体" w:cs="Times New Roman"/>
          <w:sz w:val="21"/>
          <w:lang w:val="en-US" w:eastAsia="zh-CN" w:bidi="ar-SA"/>
        </w:rPr>
      </w:pPr>
      <w:r>
        <w:rPr>
          <w:rFonts w:hint="eastAsia" w:ascii="Times New Roman" w:hAnsi="Times New Roman" w:eastAsia="黑体" w:cs="Times New Roman"/>
          <w:sz w:val="21"/>
          <w:lang w:val="en-US" w:eastAsia="zh-CN" w:bidi="ar-SA"/>
        </w:rPr>
        <w:t>持续改进 continuous improvement</w:t>
      </w:r>
    </w:p>
    <w:p w14:paraId="78A7C546">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为了实现</w:t>
      </w:r>
      <w:r>
        <w:rPr>
          <w:rFonts w:hint="eastAsia" w:ascii="Times New Roman" w:hAnsi="Times New Roman" w:cs="Times New Roman"/>
          <w:sz w:val="21"/>
          <w:lang w:val="en-US" w:eastAsia="zh-CN" w:bidi="ar-SA"/>
        </w:rPr>
        <w:t>对</w:t>
      </w:r>
      <w:r>
        <w:rPr>
          <w:rFonts w:hint="default" w:ascii="Times New Roman" w:hAnsi="Times New Roman" w:eastAsia="宋体" w:cs="Times New Roman"/>
          <w:sz w:val="21"/>
          <w:lang w:val="en-US" w:eastAsia="zh-CN" w:bidi="ar-SA"/>
        </w:rPr>
        <w:t>整体安全生产绩效的改进，根据企业的安全生产和职业卫生目标，不断对安全生产和职业卫生工作进行强化的过程。</w:t>
      </w:r>
    </w:p>
    <w:p w14:paraId="47C3FED4">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[来源：GB/T 33000-2016,3.13]</w:t>
      </w:r>
    </w:p>
    <w:p w14:paraId="2C52D672">
      <w:pPr>
        <w:numPr>
          <w:ilvl w:val="2"/>
          <w:numId w:val="2"/>
        </w:numPr>
        <w:spacing w:before="0" w:beforeLines="0" w:after="0" w:afterLines="0"/>
        <w:ind w:left="420" w:hanging="420" w:hangingChars="200"/>
        <w:jc w:val="both"/>
        <w:outlineLvl w:val="9"/>
        <w:rPr>
          <w:rFonts w:hint="default" w:ascii="黑体" w:hAnsi="黑体" w:eastAsia="黑体" w:cs="Times New Roman"/>
          <w:sz w:val="21"/>
          <w:lang w:val="en-US" w:eastAsia="zh-CN" w:bidi="ar-SA"/>
        </w:rPr>
      </w:pPr>
    </w:p>
    <w:p w14:paraId="3AADA619">
      <w:pPr>
        <w:numPr>
          <w:ilvl w:val="-1"/>
          <w:numId w:val="0"/>
        </w:numPr>
        <w:spacing w:before="0" w:beforeLines="0" w:after="0" w:afterLines="0"/>
        <w:ind w:left="-420" w:leftChars="-200" w:firstLine="840" w:firstLineChars="400"/>
        <w:jc w:val="both"/>
        <w:outlineLvl w:val="9"/>
        <w:rPr>
          <w:rFonts w:hint="default" w:ascii="Times New Roman" w:hAnsi="Times New Roman" w:eastAsia="黑体" w:cs="Times New Roman"/>
          <w:sz w:val="21"/>
          <w:lang w:val="en-US" w:eastAsia="zh-CN" w:bidi="ar-SA"/>
        </w:rPr>
      </w:pPr>
      <w:r>
        <w:rPr>
          <w:rFonts w:hint="eastAsia" w:ascii="Times New Roman" w:hAnsi="Times New Roman" w:eastAsia="黑体" w:cs="Times New Roman"/>
          <w:sz w:val="21"/>
          <w:lang w:val="en-US" w:eastAsia="zh-CN" w:bidi="ar-SA"/>
        </w:rPr>
        <w:t>生产过程 production process</w:t>
      </w:r>
    </w:p>
    <w:p w14:paraId="6A9CCE55">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从劳动对象进入生产领域到制成产品的全部过程。</w:t>
      </w:r>
    </w:p>
    <w:p w14:paraId="45889034">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注：本文件中生产过程包含安全作业和施工的过程。</w:t>
      </w:r>
    </w:p>
    <w:p w14:paraId="15DBA040">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[来源：GB T 12801-2008,3.1]</w:t>
      </w:r>
    </w:p>
    <w:p w14:paraId="498234BC">
      <w:pPr>
        <w:numPr>
          <w:ilvl w:val="2"/>
          <w:numId w:val="2"/>
        </w:numPr>
        <w:spacing w:before="0" w:beforeLines="0" w:after="0" w:afterLines="0"/>
        <w:ind w:left="420" w:hanging="420" w:hangingChars="200"/>
        <w:jc w:val="both"/>
        <w:outlineLvl w:val="9"/>
        <w:rPr>
          <w:rFonts w:hint="default" w:ascii="黑体" w:hAnsi="黑体" w:eastAsia="黑体" w:cs="Times New Roman"/>
          <w:sz w:val="21"/>
          <w:lang w:val="en-US" w:eastAsia="zh-CN" w:bidi="ar-SA"/>
        </w:rPr>
      </w:pPr>
    </w:p>
    <w:p w14:paraId="072E3F51">
      <w:pPr>
        <w:numPr>
          <w:ilvl w:val="2"/>
          <w:numId w:val="0"/>
        </w:numPr>
        <w:spacing w:before="0" w:beforeLines="0" w:after="0" w:afterLines="0"/>
        <w:ind w:leftChars="-200" w:firstLine="840" w:firstLineChars="400"/>
        <w:jc w:val="both"/>
        <w:outlineLvl w:val="9"/>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风险分级管控</w:t>
      </w:r>
      <w:r>
        <w:rPr>
          <w:rFonts w:hint="eastAsia" w:ascii="Times New Roman" w:hAnsi="Times New Roman" w:eastAsia="黑体" w:cs="Times New Roman"/>
          <w:sz w:val="21"/>
          <w:lang w:val="en-US" w:eastAsia="zh-CN" w:bidi="ar-SA"/>
        </w:rPr>
        <w:t xml:space="preserve">  r</w:t>
      </w:r>
      <w:r>
        <w:rPr>
          <w:rFonts w:hint="eastAsia" w:ascii="Times New Roman" w:hAnsi="Times New Roman" w:eastAsia="黑体" w:cs="Times New Roman"/>
          <w:b w:val="0"/>
          <w:bCs w:val="0"/>
          <w:i w:val="0"/>
          <w:iCs w:val="0"/>
          <w:caps w:val="0"/>
          <w:color w:val="404040"/>
          <w:spacing w:val="0"/>
          <w:kern w:val="2"/>
          <w:sz w:val="21"/>
          <w:szCs w:val="21"/>
          <w:shd w:val="clear" w:fill="FFFFFF"/>
          <w:lang w:val="en-US" w:eastAsia="zh-CN" w:bidi="ar-SA"/>
        </w:rPr>
        <w:t xml:space="preserve">isk </w:t>
      </w:r>
      <w:r>
        <w:rPr>
          <w:rFonts w:hint="eastAsia" w:ascii="Times New Roman" w:hAnsi="Times New Roman" w:eastAsia="黑体" w:cs="Times New Roman"/>
          <w:b w:val="0"/>
          <w:bCs w:val="0"/>
          <w:i w:val="0"/>
          <w:iCs w:val="0"/>
          <w:caps w:val="0"/>
          <w:spacing w:val="0"/>
          <w:sz w:val="21"/>
          <w:shd w:val="clear"/>
          <w:lang w:val="en-US" w:eastAsia="zh-CN" w:bidi="ar-SA"/>
        </w:rPr>
        <w:t>c</w:t>
      </w:r>
      <w:r>
        <w:rPr>
          <w:rFonts w:hint="eastAsia" w:ascii="Times New Roman" w:hAnsi="Times New Roman" w:eastAsia="黑体" w:cs="Times New Roman"/>
          <w:b w:val="0"/>
          <w:bCs w:val="0"/>
          <w:i w:val="0"/>
          <w:iCs w:val="0"/>
          <w:caps w:val="0"/>
          <w:color w:val="404040"/>
          <w:spacing w:val="0"/>
          <w:kern w:val="2"/>
          <w:sz w:val="21"/>
          <w:szCs w:val="21"/>
          <w:shd w:val="clear" w:fill="FFFFFF"/>
          <w:lang w:val="en-US" w:eastAsia="zh-CN" w:bidi="ar-SA"/>
        </w:rPr>
        <w:t xml:space="preserve">lassification and </w:t>
      </w:r>
      <w:r>
        <w:rPr>
          <w:rFonts w:hint="eastAsia" w:ascii="Times New Roman" w:hAnsi="Times New Roman" w:eastAsia="黑体" w:cs="Times New Roman"/>
          <w:b w:val="0"/>
          <w:bCs w:val="0"/>
          <w:i w:val="0"/>
          <w:iCs w:val="0"/>
          <w:caps w:val="0"/>
          <w:spacing w:val="0"/>
          <w:sz w:val="21"/>
          <w:shd w:val="clear"/>
          <w:lang w:val="en-US" w:eastAsia="zh-CN" w:bidi="ar-SA"/>
        </w:rPr>
        <w:t>c</w:t>
      </w:r>
      <w:r>
        <w:rPr>
          <w:rFonts w:hint="eastAsia" w:ascii="Times New Roman" w:hAnsi="Times New Roman" w:eastAsia="黑体" w:cs="Times New Roman"/>
          <w:b w:val="0"/>
          <w:bCs w:val="0"/>
          <w:i w:val="0"/>
          <w:iCs w:val="0"/>
          <w:caps w:val="0"/>
          <w:color w:val="404040"/>
          <w:spacing w:val="0"/>
          <w:kern w:val="2"/>
          <w:sz w:val="21"/>
          <w:szCs w:val="21"/>
          <w:shd w:val="clear" w:fill="FFFFFF"/>
          <w:lang w:val="en-US" w:eastAsia="zh-CN" w:bidi="ar-SA"/>
        </w:rPr>
        <w:t>ontrol</w:t>
      </w:r>
    </w:p>
    <w:p w14:paraId="4D877A9E">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根据风险不同级别、所需管控资源、管控能力、管控措施复杂及难易程度等因素而确定不同管控层级的风险管控方式。</w:t>
      </w:r>
    </w:p>
    <w:p w14:paraId="64240028">
      <w:pPr>
        <w:numPr>
          <w:ilvl w:val="2"/>
          <w:numId w:val="2"/>
        </w:numPr>
        <w:spacing w:before="0" w:beforeLines="0" w:after="0" w:afterLines="0"/>
        <w:ind w:left="420" w:hanging="420" w:hangingChars="200"/>
        <w:jc w:val="both"/>
        <w:outlineLvl w:val="9"/>
        <w:rPr>
          <w:rFonts w:hint="default" w:ascii="黑体" w:hAnsi="黑体" w:eastAsia="黑体" w:cs="Times New Roman"/>
          <w:sz w:val="21"/>
          <w:lang w:val="en-US" w:eastAsia="zh-CN" w:bidi="ar-SA"/>
        </w:rPr>
      </w:pPr>
    </w:p>
    <w:p w14:paraId="3197E10E">
      <w:pPr>
        <w:numPr>
          <w:ilvl w:val="-1"/>
          <w:numId w:val="0"/>
        </w:numPr>
        <w:spacing w:before="0" w:beforeLines="0" w:after="0" w:afterLines="0"/>
        <w:ind w:left="-420" w:leftChars="-200" w:firstLine="840" w:firstLineChars="400"/>
        <w:jc w:val="both"/>
        <w:outlineLvl w:val="9"/>
        <w:rPr>
          <w:rFonts w:hint="eastAsia" w:ascii="Times New Roman" w:hAnsi="Times New Roman" w:eastAsia="黑体" w:cs="Times New Roman"/>
          <w:sz w:val="21"/>
          <w:lang w:val="en-US" w:eastAsia="zh-CN" w:bidi="ar-SA"/>
        </w:rPr>
      </w:pPr>
      <w:r>
        <w:rPr>
          <w:rFonts w:hint="eastAsia" w:ascii="Times New Roman" w:hAnsi="Times New Roman" w:eastAsia="黑体" w:cs="Times New Roman"/>
          <w:sz w:val="21"/>
          <w:lang w:val="en-US" w:eastAsia="zh-CN" w:bidi="ar-SA"/>
        </w:rPr>
        <w:t>隐患 s</w:t>
      </w:r>
      <w:r>
        <w:rPr>
          <w:rFonts w:hint="eastAsia" w:ascii="Times New Roman" w:hAnsi="Times New Roman" w:eastAsia="黑体" w:cs="Times New Roman"/>
          <w:b w:val="0"/>
          <w:bCs w:val="0"/>
          <w:i w:val="0"/>
          <w:iCs w:val="0"/>
          <w:caps w:val="0"/>
          <w:color w:val="404040"/>
          <w:spacing w:val="0"/>
          <w:kern w:val="2"/>
          <w:sz w:val="21"/>
          <w:szCs w:val="20"/>
          <w:shd w:val="clear" w:fill="FFFFFF"/>
          <w:lang w:val="en-US" w:eastAsia="zh-CN" w:bidi="ar-SA"/>
        </w:rPr>
        <w:t>afety hazard</w:t>
      </w:r>
    </w:p>
    <w:p w14:paraId="74C2F0D7">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生产经营单位违反安全生产法律、规章、标准、规程和安全生产管理制度的规定，或者因其他因素在生产经营活动中存在可能导致事故、人的不安全行为、物的不安全状态、不良环境和管理上的缺陷。</w:t>
      </w:r>
    </w:p>
    <w:p w14:paraId="0379814F">
      <w:pPr>
        <w:pStyle w:val="104"/>
        <w:bidi w:val="0"/>
        <w:rPr>
          <w:rFonts w:hint="eastAsia" w:hAnsi="Times New Roman" w:cs="Times New Roman"/>
          <w:lang w:val="en-US" w:eastAsia="zh-CN"/>
        </w:rPr>
      </w:pPr>
      <w:bookmarkStart w:id="48" w:name="_Toc20848"/>
      <w:r>
        <w:rPr>
          <w:rFonts w:hint="eastAsia" w:hAnsi="Times New Roman" w:cs="Times New Roman"/>
          <w:lang w:val="en-US" w:eastAsia="zh-CN"/>
        </w:rPr>
        <w:t>基本要求</w:t>
      </w:r>
      <w:bookmarkEnd w:id="48"/>
    </w:p>
    <w:p w14:paraId="10F6E151">
      <w:pPr>
        <w:pStyle w:val="162"/>
        <w:bidi w:val="0"/>
        <w:ind w:left="0" w:leftChars="0" w:firstLine="0" w:firstLineChars="0"/>
        <w:rPr>
          <w:rFonts w:hint="eastAsia" w:ascii="Times New Roman" w:hAnsi="Times New Roman" w:cs="Times New Roman"/>
          <w:sz w:val="21"/>
          <w:lang w:val="en-US" w:eastAsia="zh-CN"/>
        </w:rPr>
      </w:pPr>
      <w:r>
        <w:rPr>
          <w:rFonts w:hint="eastAsia" w:ascii="Times New Roman" w:hAnsi="Times New Roman" w:cs="Times New Roman"/>
          <w:sz w:val="21"/>
          <w:lang w:val="en-US" w:eastAsia="zh-CN"/>
        </w:rPr>
        <w:t>企业应建立由主要负责人牵头的安全生产组织领导机构。</w:t>
      </w:r>
    </w:p>
    <w:p w14:paraId="52D9042D">
      <w:pPr>
        <w:pStyle w:val="162"/>
        <w:bidi w:val="0"/>
        <w:ind w:left="0" w:leftChars="0" w:firstLine="0" w:firstLineChars="0"/>
        <w:rPr>
          <w:rFonts w:hint="eastAsia" w:ascii="Times New Roman" w:hAnsi="Times New Roman" w:cs="Times New Roman"/>
          <w:sz w:val="21"/>
          <w:lang w:val="en-US" w:eastAsia="zh-CN"/>
        </w:rPr>
      </w:pPr>
      <w:r>
        <w:rPr>
          <w:rFonts w:hint="eastAsia" w:ascii="Times New Roman" w:hAnsi="Times New Roman" w:cs="Times New Roman"/>
          <w:sz w:val="21"/>
          <w:lang w:val="en-US" w:eastAsia="zh-CN"/>
        </w:rPr>
        <w:t>企业应按GB/T 29639-2020要求编写体系文件，完善风险分级管控制度、隐患排查治理制度，建立双重预防体系建设责任制，形成管理手册；制定风险辨识管控清单、隐患排查治理清单等，形成操作手册。</w:t>
      </w:r>
    </w:p>
    <w:p w14:paraId="0C96FF75">
      <w:pPr>
        <w:pStyle w:val="162"/>
        <w:bidi w:val="0"/>
        <w:ind w:left="0" w:leftChars="0" w:firstLine="0" w:firstLineChars="0"/>
        <w:rPr>
          <w:rFonts w:hint="eastAsia" w:ascii="Times New Roman" w:hAnsi="Times New Roman" w:cs="Times New Roman"/>
          <w:sz w:val="21"/>
          <w:lang w:val="en-US" w:eastAsia="zh-CN"/>
        </w:rPr>
      </w:pPr>
      <w:r>
        <w:rPr>
          <w:rFonts w:hint="eastAsia" w:ascii="Times New Roman" w:hAnsi="Times New Roman" w:cs="Times New Roman"/>
          <w:sz w:val="21"/>
          <w:lang w:val="en-US" w:eastAsia="zh-CN"/>
        </w:rPr>
        <w:t>企业应为风险分级管控与隐患排查治理制度运行并提供必要的人力、物力、财力支持。</w:t>
      </w:r>
    </w:p>
    <w:p w14:paraId="5DA76ED9">
      <w:pPr>
        <w:pStyle w:val="162"/>
        <w:bidi w:val="0"/>
        <w:ind w:left="0" w:leftChars="0" w:firstLine="0" w:firstLineChars="0"/>
        <w:rPr>
          <w:rFonts w:hint="eastAsia" w:ascii="Times New Roman" w:hAnsi="Times New Roman" w:cs="Times New Roman"/>
          <w:sz w:val="21"/>
          <w:lang w:val="en-US" w:eastAsia="zh-CN"/>
        </w:rPr>
      </w:pPr>
      <w:r>
        <w:rPr>
          <w:rFonts w:hint="eastAsia" w:ascii="Times New Roman" w:hAnsi="Times New Roman" w:cs="Times New Roman"/>
          <w:sz w:val="21"/>
          <w:lang w:val="en-US" w:eastAsia="zh-CN"/>
        </w:rPr>
        <w:t>企业应制定安全生产培训计划，分层次、分阶段组织员工进行安全培训，确保从业人员知悉工作岗位和作业环境的风险因素、风险等级、防范措施、应急方法以及隐患排查治理的相关知识和技能。</w:t>
      </w:r>
    </w:p>
    <w:p w14:paraId="25747BFB">
      <w:pPr>
        <w:pStyle w:val="162"/>
        <w:bidi w:val="0"/>
        <w:ind w:left="0" w:leftChars="0" w:firstLine="0" w:firstLineChars="0"/>
        <w:rPr>
          <w:rFonts w:hint="eastAsia" w:ascii="Times New Roman" w:hAnsi="Times New Roman" w:cs="Times New Roman"/>
          <w:sz w:val="21"/>
          <w:lang w:val="en-US" w:eastAsia="zh-CN"/>
        </w:rPr>
      </w:pPr>
      <w:r>
        <w:rPr>
          <w:rFonts w:hint="eastAsia" w:ascii="Times New Roman" w:hAnsi="Times New Roman" w:cs="Times New Roman"/>
          <w:sz w:val="21"/>
          <w:lang w:val="en-US" w:eastAsia="zh-CN"/>
        </w:rPr>
        <w:t>风险分级管控与隐患排查治理应做到全面开展、全员参与、持续改进。</w:t>
      </w:r>
    </w:p>
    <w:p w14:paraId="27460E56">
      <w:pPr>
        <w:pStyle w:val="162"/>
        <w:bidi w:val="0"/>
        <w:ind w:left="0" w:leftChars="0" w:firstLine="0" w:firstLineChars="0"/>
        <w:rPr>
          <w:rFonts w:hint="eastAsia" w:ascii="Times New Roman" w:hAnsi="Times New Roman" w:cs="Times New Roman"/>
          <w:sz w:val="21"/>
          <w:lang w:val="en-US" w:eastAsia="zh-CN"/>
        </w:rPr>
      </w:pPr>
      <w:r>
        <w:rPr>
          <w:rFonts w:hint="eastAsia" w:ascii="Times New Roman" w:hAnsi="Times New Roman" w:cs="Times New Roman"/>
          <w:sz w:val="21"/>
          <w:lang w:val="en-US" w:eastAsia="zh-CN"/>
        </w:rPr>
        <w:t>企业应将风险分级管控与隐患排查治理的过程形成文件并妥善存档。涉及重大风险时，其辨识、评估过程记录、风险控制措施及其落实情况记录应分类建档保存。</w:t>
      </w:r>
    </w:p>
    <w:p w14:paraId="68094FC3">
      <w:pPr>
        <w:pStyle w:val="162"/>
        <w:bidi w:val="0"/>
        <w:ind w:left="0" w:leftChars="0" w:firstLine="0" w:firstLineChars="0"/>
        <w:rPr>
          <w:rFonts w:hint="eastAsia" w:ascii="Times New Roman" w:hAnsi="Times New Roman" w:cs="Times New Roman"/>
          <w:sz w:val="21"/>
          <w:lang w:val="en-US" w:eastAsia="zh-CN"/>
        </w:rPr>
      </w:pPr>
      <w:r>
        <w:rPr>
          <w:rFonts w:hint="eastAsia" w:ascii="Times New Roman" w:hAnsi="Times New Roman" w:cs="Times New Roman"/>
          <w:sz w:val="21"/>
          <w:lang w:val="en-US" w:eastAsia="zh-CN"/>
        </w:rPr>
        <w:t>企业应制定本单位双重预防体系监督考核奖惩制度，督促各级部门严格落实双重预防体系制</w:t>
      </w:r>
      <w:r>
        <w:rPr>
          <w:rFonts w:hint="eastAsia" w:ascii="Times New Roman" w:cs="Times New Roman"/>
          <w:sz w:val="21"/>
          <w:lang w:val="en-US" w:eastAsia="zh-CN"/>
        </w:rPr>
        <w:t>度和</w:t>
      </w:r>
      <w:r>
        <w:rPr>
          <w:rFonts w:hint="eastAsia" w:ascii="Times New Roman" w:hAnsi="Times New Roman" w:cs="Times New Roman"/>
          <w:sz w:val="21"/>
          <w:lang w:val="en-US" w:eastAsia="zh-CN"/>
        </w:rPr>
        <w:t>双重预防体系考核、奖惩办法。</w:t>
      </w:r>
    </w:p>
    <w:p w14:paraId="47273CB4">
      <w:pPr>
        <w:pStyle w:val="104"/>
        <w:bidi w:val="0"/>
        <w:rPr>
          <w:rFonts w:hint="eastAsia" w:ascii="Times New Roman" w:hAnsi="Times New Roman" w:cs="Times New Roman"/>
          <w:lang w:val="en-US" w:eastAsia="zh-CN"/>
        </w:rPr>
      </w:pPr>
      <w:bookmarkStart w:id="49" w:name="_Toc8105"/>
      <w:r>
        <w:rPr>
          <w:rFonts w:hint="eastAsia" w:ascii="Times New Roman" w:hAnsi="Times New Roman" w:cs="Times New Roman"/>
          <w:lang w:val="en-US" w:eastAsia="zh-CN"/>
        </w:rPr>
        <w:t>风险分级管控</w:t>
      </w:r>
      <w:bookmarkEnd w:id="49"/>
      <w:r>
        <w:rPr>
          <w:rFonts w:hint="eastAsia" w:ascii="Times New Roman" w:hAnsi="Times New Roman" w:cs="Times New Roman"/>
          <w:lang w:val="en-US" w:eastAsia="zh-CN"/>
        </w:rPr>
        <w:t xml:space="preserve"> </w:t>
      </w:r>
    </w:p>
    <w:p w14:paraId="7B1E06D4">
      <w:pPr>
        <w:keepNext w:val="0"/>
        <w:keepLines w:val="0"/>
        <w:widowControl/>
        <w:numPr>
          <w:ilvl w:val="2"/>
          <w:numId w:val="2"/>
        </w:numPr>
        <w:suppressLineNumbers w:val="0"/>
        <w:spacing w:before="156" w:beforeLines="50" w:after="156" w:afterLines="50"/>
        <w:ind w:left="281" w:hanging="281" w:hangingChars="134"/>
        <w:jc w:val="left"/>
        <w:outlineLvl w:val="1"/>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工作程序 </w:t>
      </w:r>
    </w:p>
    <w:p w14:paraId="2E209D6A">
      <w:pPr>
        <w:keepNext w:val="0"/>
        <w:keepLines w:val="0"/>
        <w:widowControl/>
        <w:suppressLineNumbers w:val="0"/>
        <w:ind w:firstLine="420" w:firstLineChars="200"/>
        <w:jc w:val="left"/>
        <w:rPr>
          <w:rFonts w:hint="eastAsia" w:ascii="Times New Roman" w:hAnsi="Times New Roman" w:cs="宋体"/>
          <w:color w:val="000000"/>
          <w:kern w:val="0"/>
          <w:lang w:bidi="ar"/>
        </w:rPr>
      </w:pPr>
      <w:r>
        <w:rPr>
          <w:rFonts w:hint="eastAsia" w:ascii="Times New Roman" w:hAnsi="Times New Roman" w:eastAsia="宋体" w:cs="宋体"/>
          <w:color w:val="000000"/>
          <w:kern w:val="0"/>
          <w:sz w:val="21"/>
          <w:szCs w:val="21"/>
          <w:lang w:val="en-US" w:eastAsia="zh-CN" w:bidi="ar"/>
        </w:rPr>
        <w:t xml:space="preserve">企业开展双重预防体系建设工作，应遵循以下程序： </w:t>
      </w:r>
    </w:p>
    <w:p w14:paraId="735589BF">
      <w:pPr>
        <w:keepNext w:val="0"/>
        <w:keepLines w:val="0"/>
        <w:widowControl w:val="0"/>
        <w:numPr>
          <w:ilvl w:val="0"/>
          <w:numId w:val="32"/>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准备阶段； </w:t>
      </w:r>
    </w:p>
    <w:p w14:paraId="54FED603">
      <w:pPr>
        <w:keepNext w:val="0"/>
        <w:keepLines w:val="0"/>
        <w:widowControl w:val="0"/>
        <w:numPr>
          <w:ilvl w:val="0"/>
          <w:numId w:val="32"/>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风险点确定； </w:t>
      </w:r>
    </w:p>
    <w:p w14:paraId="591D64A8">
      <w:pPr>
        <w:keepNext w:val="0"/>
        <w:keepLines w:val="0"/>
        <w:widowControl w:val="0"/>
        <w:numPr>
          <w:ilvl w:val="0"/>
          <w:numId w:val="32"/>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cs="Times New Roman"/>
          <w:color w:val="auto"/>
          <w:kern w:val="2"/>
          <w:sz w:val="21"/>
          <w:szCs w:val="21"/>
          <w:lang w:val="en-US" w:eastAsia="zh-CN" w:bidi="ar"/>
        </w:rPr>
        <w:t>风险源</w:t>
      </w:r>
      <w:r>
        <w:rPr>
          <w:rFonts w:hint="eastAsia" w:ascii="Times New Roman" w:hAnsi="Times New Roman" w:eastAsia="宋体" w:cs="Times New Roman"/>
          <w:color w:val="auto"/>
          <w:kern w:val="2"/>
          <w:sz w:val="21"/>
          <w:szCs w:val="21"/>
          <w:lang w:val="en-US" w:eastAsia="zh-CN" w:bidi="ar"/>
        </w:rPr>
        <w:t xml:space="preserve">辨识； </w:t>
      </w:r>
    </w:p>
    <w:p w14:paraId="4CB85170">
      <w:pPr>
        <w:keepNext w:val="0"/>
        <w:keepLines w:val="0"/>
        <w:widowControl w:val="0"/>
        <w:numPr>
          <w:ilvl w:val="0"/>
          <w:numId w:val="32"/>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风险评估； </w:t>
      </w:r>
    </w:p>
    <w:p w14:paraId="6EFB40E7">
      <w:pPr>
        <w:keepNext w:val="0"/>
        <w:keepLines w:val="0"/>
        <w:widowControl w:val="0"/>
        <w:numPr>
          <w:ilvl w:val="0"/>
          <w:numId w:val="32"/>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风险分级； </w:t>
      </w:r>
    </w:p>
    <w:p w14:paraId="567F56F3">
      <w:pPr>
        <w:keepNext w:val="0"/>
        <w:keepLines w:val="0"/>
        <w:widowControl w:val="0"/>
        <w:numPr>
          <w:ilvl w:val="0"/>
          <w:numId w:val="32"/>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风险控制措施的制定和实施； </w:t>
      </w:r>
    </w:p>
    <w:p w14:paraId="49427902">
      <w:pPr>
        <w:keepNext w:val="0"/>
        <w:keepLines w:val="0"/>
        <w:widowControl w:val="0"/>
        <w:numPr>
          <w:ilvl w:val="0"/>
          <w:numId w:val="32"/>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风险分级管控。 </w:t>
      </w:r>
    </w:p>
    <w:p w14:paraId="1A404243">
      <w:pPr>
        <w:keepNext w:val="0"/>
        <w:keepLines w:val="0"/>
        <w:widowControl/>
        <w:numPr>
          <w:ilvl w:val="2"/>
          <w:numId w:val="2"/>
        </w:numPr>
        <w:suppressLineNumbers w:val="0"/>
        <w:spacing w:before="156" w:beforeLines="50" w:after="156" w:afterLines="50"/>
        <w:ind w:left="281" w:hanging="281" w:hangingChars="134"/>
        <w:jc w:val="left"/>
        <w:outlineLvl w:val="1"/>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准备阶段收集的资料 </w:t>
      </w:r>
    </w:p>
    <w:p w14:paraId="7FBD112E">
      <w:pPr>
        <w:keepNext w:val="0"/>
        <w:keepLines w:val="0"/>
        <w:widowControl/>
        <w:suppressLineNumbers w:val="0"/>
        <w:ind w:firstLine="420" w:firstLineChars="200"/>
        <w:jc w:val="left"/>
        <w:rPr>
          <w:rFonts w:hint="eastAsia" w:ascii="Times New Roman" w:hAnsi="Times New Roman" w:cs="宋体"/>
          <w:color w:val="000000"/>
          <w:kern w:val="0"/>
          <w:lang w:bidi="ar"/>
        </w:rPr>
      </w:pPr>
      <w:r>
        <w:rPr>
          <w:rFonts w:hint="eastAsia" w:ascii="Times New Roman" w:hAnsi="Times New Roman" w:eastAsia="宋体" w:cs="宋体"/>
          <w:color w:val="000000"/>
          <w:kern w:val="0"/>
          <w:sz w:val="21"/>
          <w:szCs w:val="21"/>
          <w:lang w:val="en-US" w:eastAsia="zh-CN" w:bidi="ar"/>
        </w:rPr>
        <w:t xml:space="preserve">企业开展双重预防体系建设工作，应收集相关资料，包括但不限于以下资料： </w:t>
      </w:r>
    </w:p>
    <w:p w14:paraId="2CDB189F">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企业厂区总平面布置图、工艺流程图、主要生产车间工艺布置图、消防系统图以及企业重点防 </w:t>
      </w:r>
    </w:p>
    <w:p w14:paraId="16BB1A52">
      <w:pPr>
        <w:keepNext w:val="0"/>
        <w:keepLines w:val="0"/>
        <w:widowControl w:val="0"/>
        <w:numPr>
          <w:ilvl w:val="-1"/>
          <w:numId w:val="0"/>
        </w:numPr>
        <w:suppressLineNumbers w:val="0"/>
        <w:adjustRightInd/>
        <w:spacing w:line="240" w:lineRule="auto"/>
        <w:ind w:left="420" w:leftChars="0" w:firstLine="0" w:firstLineChars="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火部位分布图等图纸； </w:t>
      </w:r>
    </w:p>
    <w:p w14:paraId="5971EA68">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cs="Times New Roman"/>
          <w:kern w:val="2"/>
          <w:sz w:val="21"/>
          <w:szCs w:val="21"/>
          <w:lang w:val="en-US" w:eastAsia="zh-CN" w:bidi="ar"/>
        </w:rPr>
        <w:t>镁</w:t>
      </w:r>
      <w:r>
        <w:rPr>
          <w:rFonts w:hint="eastAsia" w:ascii="Times New Roman" w:hAnsi="Times New Roman" w:eastAsia="宋体" w:cs="Times New Roman"/>
          <w:color w:val="auto"/>
          <w:kern w:val="2"/>
          <w:sz w:val="21"/>
          <w:szCs w:val="21"/>
          <w:lang w:val="en-US" w:eastAsia="zh-CN" w:bidi="ar"/>
        </w:rPr>
        <w:t>冶炼行业生产、安全、职业健康等方面的最新</w:t>
      </w:r>
      <w:r>
        <w:rPr>
          <w:rFonts w:hint="eastAsia" w:ascii="Times New Roman" w:hAnsi="Times New Roman" w:cs="Times New Roman"/>
          <w:color w:val="auto"/>
          <w:kern w:val="2"/>
          <w:sz w:val="21"/>
          <w:szCs w:val="21"/>
          <w:lang w:val="en-US" w:eastAsia="zh-CN" w:bidi="ar"/>
        </w:rPr>
        <w:t>法律法规</w:t>
      </w:r>
      <w:r>
        <w:rPr>
          <w:rFonts w:hint="eastAsia" w:ascii="Times New Roman" w:hAnsi="Times New Roman" w:eastAsia="宋体" w:cs="Times New Roman"/>
          <w:color w:val="auto"/>
          <w:kern w:val="2"/>
          <w:sz w:val="21"/>
          <w:szCs w:val="21"/>
          <w:lang w:val="en-US" w:eastAsia="zh-CN" w:bidi="ar"/>
        </w:rPr>
        <w:t xml:space="preserve">、标准以及相应的依据等； </w:t>
      </w:r>
    </w:p>
    <w:p w14:paraId="6EFDD96F">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cs="Times New Roman"/>
          <w:kern w:val="2"/>
          <w:sz w:val="21"/>
          <w:szCs w:val="21"/>
          <w:lang w:val="en-US" w:eastAsia="zh-CN" w:bidi="ar"/>
        </w:rPr>
        <w:t>镁</w:t>
      </w:r>
      <w:r>
        <w:rPr>
          <w:rFonts w:hint="eastAsia" w:ascii="Times New Roman" w:hAnsi="Times New Roman" w:eastAsia="宋体" w:cs="Times New Roman"/>
          <w:color w:val="auto"/>
          <w:kern w:val="2"/>
          <w:sz w:val="21"/>
          <w:szCs w:val="21"/>
          <w:lang w:val="en-US" w:eastAsia="zh-CN" w:bidi="ar"/>
        </w:rPr>
        <w:t xml:space="preserve">冶炼国内外事故案例，涉及危险化学品信息等； </w:t>
      </w:r>
    </w:p>
    <w:p w14:paraId="4EFB9A72">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涉及粉尘、煤气作业的</w:t>
      </w:r>
      <w:r>
        <w:rPr>
          <w:rFonts w:hint="eastAsia" w:ascii="Times New Roman" w:hAnsi="Times New Roman" w:cs="Times New Roman"/>
          <w:color w:val="auto"/>
          <w:kern w:val="2"/>
          <w:sz w:val="21"/>
          <w:szCs w:val="21"/>
          <w:lang w:val="en-US" w:eastAsia="zh-CN" w:bidi="ar"/>
        </w:rPr>
        <w:t>需</w:t>
      </w:r>
      <w:r>
        <w:rPr>
          <w:rFonts w:hint="eastAsia" w:ascii="Times New Roman" w:hAnsi="Times New Roman" w:eastAsia="宋体" w:cs="Times New Roman"/>
          <w:color w:val="auto"/>
          <w:kern w:val="2"/>
          <w:sz w:val="21"/>
          <w:szCs w:val="21"/>
          <w:lang w:val="en-US" w:eastAsia="zh-CN" w:bidi="ar"/>
        </w:rPr>
        <w:t xml:space="preserve">考虑周边环境、水源等因素； </w:t>
      </w:r>
    </w:p>
    <w:p w14:paraId="49853D3C">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企业设置</w:t>
      </w:r>
      <w:r>
        <w:rPr>
          <w:rFonts w:hint="eastAsia" w:ascii="Times New Roman" w:hAnsi="Times New Roman" w:cs="Times New Roman"/>
          <w:color w:val="auto"/>
          <w:kern w:val="2"/>
          <w:sz w:val="21"/>
          <w:szCs w:val="21"/>
          <w:lang w:val="en-US" w:eastAsia="zh-CN" w:bidi="ar"/>
        </w:rPr>
        <w:t>的</w:t>
      </w:r>
      <w:r>
        <w:rPr>
          <w:rFonts w:hint="eastAsia" w:ascii="Times New Roman" w:hAnsi="Times New Roman" w:eastAsia="宋体" w:cs="Times New Roman"/>
          <w:color w:val="auto"/>
          <w:kern w:val="2"/>
          <w:sz w:val="21"/>
          <w:szCs w:val="21"/>
          <w:lang w:val="en-US" w:eastAsia="zh-CN" w:bidi="ar"/>
        </w:rPr>
        <w:t xml:space="preserve">安全管理机构及专职安全管理人员的配备数量，安全管理人员取得应急管理部门颁发的安全管理人员证书情况； </w:t>
      </w:r>
    </w:p>
    <w:p w14:paraId="1970EC65">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企业设备信息清单及设备完好情况； </w:t>
      </w:r>
    </w:p>
    <w:p w14:paraId="1B0A6EDD">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企业运行的管理制度、操作规程； </w:t>
      </w:r>
    </w:p>
    <w:p w14:paraId="451611D8">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外来施工单位情况以及管理； </w:t>
      </w:r>
    </w:p>
    <w:p w14:paraId="23C888A9">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过去已识别的</w:t>
      </w:r>
      <w:r>
        <w:rPr>
          <w:rFonts w:hint="eastAsia" w:ascii="Times New Roman" w:hAnsi="Times New Roman" w:cs="Times New Roman"/>
          <w:color w:val="auto"/>
          <w:kern w:val="2"/>
          <w:sz w:val="21"/>
          <w:szCs w:val="21"/>
          <w:lang w:val="en-US" w:eastAsia="zh-CN" w:bidi="ar"/>
        </w:rPr>
        <w:t>风险源</w:t>
      </w:r>
      <w:r>
        <w:rPr>
          <w:rFonts w:hint="eastAsia" w:ascii="Times New Roman" w:hAnsi="Times New Roman" w:eastAsia="宋体" w:cs="Times New Roman"/>
          <w:color w:val="auto"/>
          <w:kern w:val="2"/>
          <w:sz w:val="21"/>
          <w:szCs w:val="21"/>
          <w:lang w:val="en-US" w:eastAsia="zh-CN" w:bidi="ar"/>
        </w:rPr>
        <w:t>识别清单，对应的措施改变情况以及产生新的</w:t>
      </w:r>
      <w:r>
        <w:rPr>
          <w:rFonts w:hint="eastAsia" w:ascii="Times New Roman" w:hAnsi="Times New Roman" w:cs="Times New Roman"/>
          <w:color w:val="auto"/>
          <w:kern w:val="2"/>
          <w:sz w:val="21"/>
          <w:szCs w:val="21"/>
          <w:lang w:val="en-US" w:eastAsia="zh-CN" w:bidi="ar"/>
        </w:rPr>
        <w:t>风险源</w:t>
      </w:r>
      <w:r>
        <w:rPr>
          <w:rFonts w:hint="eastAsia" w:ascii="Times New Roman" w:hAnsi="Times New Roman" w:eastAsia="宋体" w:cs="Times New Roman"/>
          <w:color w:val="auto"/>
          <w:kern w:val="2"/>
          <w:sz w:val="21"/>
          <w:szCs w:val="21"/>
          <w:lang w:val="en-US" w:eastAsia="zh-CN" w:bidi="ar"/>
        </w:rPr>
        <w:t xml:space="preserve">； </w:t>
      </w:r>
    </w:p>
    <w:p w14:paraId="69BAC13D">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编制的应急预案； </w:t>
      </w:r>
    </w:p>
    <w:p w14:paraId="46F87165">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企业全员安全生产责任制； </w:t>
      </w:r>
    </w:p>
    <w:p w14:paraId="3DE7095D">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特种作业人员</w:t>
      </w:r>
      <w:r>
        <w:rPr>
          <w:rFonts w:hint="eastAsia" w:ascii="Times New Roman" w:hAnsi="Times New Roman" w:cs="Times New Roman"/>
          <w:color w:val="auto"/>
          <w:kern w:val="2"/>
          <w:sz w:val="21"/>
          <w:szCs w:val="21"/>
          <w:lang w:val="en-US" w:eastAsia="zh-CN" w:bidi="ar"/>
        </w:rPr>
        <w:t>台账及</w:t>
      </w:r>
      <w:r>
        <w:rPr>
          <w:rFonts w:hint="eastAsia" w:ascii="Times New Roman" w:hAnsi="Times New Roman" w:eastAsia="宋体" w:cs="Times New Roman"/>
          <w:color w:val="auto"/>
          <w:kern w:val="2"/>
          <w:sz w:val="21"/>
          <w:szCs w:val="21"/>
          <w:lang w:val="en-US" w:eastAsia="zh-CN" w:bidi="ar"/>
        </w:rPr>
        <w:t>特种设备作业操作人员</w:t>
      </w:r>
      <w:r>
        <w:rPr>
          <w:rFonts w:hint="eastAsia" w:ascii="Times New Roman" w:hAnsi="Times New Roman" w:cs="Times New Roman"/>
          <w:color w:val="auto"/>
          <w:kern w:val="2"/>
          <w:sz w:val="21"/>
          <w:szCs w:val="21"/>
          <w:lang w:val="en-US" w:eastAsia="zh-CN" w:bidi="ar"/>
        </w:rPr>
        <w:t>台账</w:t>
      </w:r>
      <w:r>
        <w:rPr>
          <w:rFonts w:hint="eastAsia" w:ascii="Times New Roman" w:hAnsi="Times New Roman" w:eastAsia="宋体" w:cs="Times New Roman"/>
          <w:color w:val="auto"/>
          <w:kern w:val="2"/>
          <w:sz w:val="21"/>
          <w:szCs w:val="21"/>
          <w:lang w:val="en-US" w:eastAsia="zh-CN" w:bidi="ar"/>
        </w:rPr>
        <w:t xml:space="preserve">； </w:t>
      </w:r>
    </w:p>
    <w:p w14:paraId="15826243">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安全与职业健康“三同时”（指生产经营单位新建、改建、扩建工程项目的安全设施，必须与 </w:t>
      </w:r>
    </w:p>
    <w:p w14:paraId="012E6A08">
      <w:pPr>
        <w:keepNext w:val="0"/>
        <w:keepLines w:val="0"/>
        <w:widowControl w:val="0"/>
        <w:numPr>
          <w:ilvl w:val="-1"/>
          <w:numId w:val="0"/>
        </w:numPr>
        <w:suppressLineNumbers w:val="0"/>
        <w:adjustRightInd/>
        <w:spacing w:line="240" w:lineRule="auto"/>
        <w:ind w:left="420" w:leftChars="0" w:firstLine="420" w:firstLineChars="200"/>
        <w:jc w:val="both"/>
        <w:rPr>
          <w:rFonts w:ascii="Times New Roman" w:hAnsi="Times New Roman" w:cs="Times New Roman"/>
        </w:rPr>
      </w:pPr>
      <w:r>
        <w:rPr>
          <w:rFonts w:hint="eastAsia" w:ascii="Times New Roman" w:hAnsi="Times New Roman" w:eastAsia="宋体" w:cs="Times New Roman"/>
          <w:color w:val="auto"/>
          <w:kern w:val="2"/>
          <w:sz w:val="21"/>
          <w:szCs w:val="21"/>
          <w:lang w:val="en-US" w:eastAsia="zh-CN" w:bidi="ar"/>
        </w:rPr>
        <w:t>主体工程同时设计、同时施工、同时投入生产和使用）相关资料；</w:t>
      </w:r>
      <w:r>
        <w:rPr>
          <w:rFonts w:hint="eastAsia" w:ascii="Times New Roman" w:hAnsi="Times New Roman" w:eastAsia="宋体" w:cs="宋体"/>
          <w:color w:val="000000"/>
          <w:kern w:val="0"/>
          <w:sz w:val="21"/>
          <w:szCs w:val="21"/>
          <w:lang w:val="en-US" w:eastAsia="zh-CN" w:bidi="ar"/>
        </w:rPr>
        <w:t xml:space="preserve"> </w:t>
      </w:r>
    </w:p>
    <w:p w14:paraId="7149B239">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职业卫生档案等； </w:t>
      </w:r>
    </w:p>
    <w:p w14:paraId="63239F34">
      <w:pPr>
        <w:keepNext w:val="0"/>
        <w:keepLines w:val="0"/>
        <w:widowControl w:val="0"/>
        <w:numPr>
          <w:ilvl w:val="0"/>
          <w:numId w:val="33"/>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其他应收集的资料。</w:t>
      </w:r>
    </w:p>
    <w:p w14:paraId="1B98C975">
      <w:pPr>
        <w:keepNext w:val="0"/>
        <w:keepLines w:val="0"/>
        <w:widowControl/>
        <w:numPr>
          <w:ilvl w:val="2"/>
          <w:numId w:val="2"/>
        </w:numPr>
        <w:suppressLineNumbers w:val="0"/>
        <w:spacing w:before="156" w:beforeLines="50" w:after="156" w:afterLines="50"/>
        <w:ind w:left="281" w:hanging="281" w:hangingChars="134"/>
        <w:jc w:val="left"/>
        <w:outlineLvl w:val="1"/>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风险点确定 </w:t>
      </w:r>
    </w:p>
    <w:p w14:paraId="76FB58BD">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sz w:val="21"/>
          <w:szCs w:val="21"/>
          <w:lang w:val="en-US" w:eastAsia="zh-CN" w:bidi="ar-SA"/>
        </w:rPr>
      </w:pPr>
      <w:r>
        <w:rPr>
          <w:rFonts w:hint="eastAsia" w:ascii="Times New Roman" w:hAnsi="Times New Roman" w:eastAsia="黑体" w:cs="Times New Roman"/>
          <w:color w:val="000000"/>
          <w:kern w:val="0"/>
          <w:sz w:val="21"/>
          <w:szCs w:val="21"/>
          <w:lang w:val="en-US" w:eastAsia="zh-CN" w:bidi="ar"/>
        </w:rPr>
        <w:t xml:space="preserve">风险点划分原则 </w:t>
      </w:r>
    </w:p>
    <w:p w14:paraId="055E65C0">
      <w:pPr>
        <w:keepNext w:val="0"/>
        <w:keepLines w:val="0"/>
        <w:widowControl/>
        <w:numPr>
          <w:ilvl w:val="4"/>
          <w:numId w:val="2"/>
        </w:numPr>
        <w:suppressLineNumbers w:val="0"/>
        <w:spacing w:before="156" w:beforeLines="50" w:after="156" w:afterLines="50"/>
        <w:ind w:left="0"/>
        <w:jc w:val="left"/>
        <w:outlineLvl w:val="3"/>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工艺、设备、场所</w:t>
      </w:r>
    </w:p>
    <w:p w14:paraId="7A12DC63">
      <w:pPr>
        <w:keepNext w:val="0"/>
        <w:keepLines w:val="0"/>
        <w:widowControl/>
        <w:suppressLineNumbers w:val="0"/>
        <w:spacing w:line="240" w:lineRule="auto"/>
        <w:ind w:firstLine="420" w:firstLineChars="200"/>
        <w:jc w:val="left"/>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对设施、部位、场所、区域的风险点的划分，应遵循“大小适中、便于分类、功能独立、易于管理、 </w:t>
      </w:r>
    </w:p>
    <w:p w14:paraId="4D0F79CE">
      <w:pPr>
        <w:keepNext w:val="0"/>
        <w:keepLines w:val="0"/>
        <w:widowControl/>
        <w:suppressLineNumbers w:val="0"/>
        <w:spacing w:line="240" w:lineRule="auto"/>
        <w:ind w:firstLine="0" w:firstLineChars="0"/>
        <w:jc w:val="left"/>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范围清晰”的原则，按照生产流程及工序、岗位辐射范围的区域进行划分，但是对于复杂的系统应按照 </w:t>
      </w:r>
    </w:p>
    <w:p w14:paraId="0B6B0557">
      <w:pPr>
        <w:keepNext w:val="0"/>
        <w:keepLines w:val="0"/>
        <w:widowControl/>
        <w:suppressLineNumbers w:val="0"/>
        <w:spacing w:line="240" w:lineRule="auto"/>
        <w:ind w:firstLine="0" w:firstLineChars="0"/>
        <w:jc w:val="left"/>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所包含的设备、设施、装置等进行细分，最终确定的风险超出预定标准的设备设施、重大</w:t>
      </w:r>
      <w:r>
        <w:rPr>
          <w:rFonts w:hint="eastAsia" w:ascii="Times New Roman" w:hAnsi="Times New Roman" w:cs="Times New Roman"/>
          <w:color w:val="auto"/>
          <w:kern w:val="2"/>
          <w:sz w:val="21"/>
          <w:szCs w:val="21"/>
          <w:lang w:val="en-US" w:eastAsia="zh-CN" w:bidi="ar"/>
        </w:rPr>
        <w:t>风险源</w:t>
      </w:r>
      <w:r>
        <w:rPr>
          <w:rFonts w:hint="eastAsia" w:ascii="Times New Roman" w:hAnsi="Times New Roman" w:eastAsia="宋体" w:cs="Times New Roman"/>
          <w:color w:val="auto"/>
          <w:kern w:val="2"/>
          <w:sz w:val="21"/>
          <w:szCs w:val="21"/>
          <w:lang w:val="en-US" w:eastAsia="zh-CN" w:bidi="ar"/>
        </w:rPr>
        <w:t xml:space="preserve">及危险性较大的区域场所作为风险点。 </w:t>
      </w:r>
    </w:p>
    <w:p w14:paraId="0FE6B0C4">
      <w:pPr>
        <w:keepNext w:val="0"/>
        <w:keepLines w:val="0"/>
        <w:widowControl/>
        <w:suppressLineNumbers w:val="0"/>
        <w:spacing w:line="240" w:lineRule="auto"/>
        <w:ind w:firstLine="360" w:firstLineChars="200"/>
        <w:jc w:val="left"/>
        <w:rPr>
          <w:rFonts w:ascii="Times New Roman" w:hAnsi="Times New Roman" w:cs="Times New Roman"/>
        </w:rPr>
      </w:pPr>
      <w:r>
        <w:rPr>
          <w:rFonts w:ascii="Times New Roman" w:hAnsi="Times New Roman" w:eastAsia="黑体" w:cs="黑体"/>
          <w:color w:val="000000"/>
          <w:kern w:val="0"/>
          <w:sz w:val="18"/>
          <w:szCs w:val="18"/>
          <w:lang w:val="en-US" w:eastAsia="zh-CN" w:bidi="ar"/>
        </w:rPr>
        <w:t>示例：</w:t>
      </w:r>
      <w:r>
        <w:rPr>
          <w:rFonts w:hint="eastAsia" w:ascii="Times New Roman" w:hAnsi="Times New Roman" w:cs="宋体"/>
          <w:color w:val="000000"/>
          <w:kern w:val="0"/>
          <w:sz w:val="18"/>
          <w:szCs w:val="18"/>
          <w:lang w:val="en-US" w:eastAsia="zh-CN" w:bidi="ar"/>
        </w:rPr>
        <w:t>还原炉、精炼炉</w:t>
      </w:r>
      <w:r>
        <w:rPr>
          <w:rFonts w:hint="eastAsia" w:ascii="Times New Roman" w:hAnsi="Times New Roman" w:eastAsia="宋体" w:cs="宋体"/>
          <w:color w:val="000000"/>
          <w:kern w:val="0"/>
          <w:sz w:val="18"/>
          <w:szCs w:val="18"/>
          <w:lang w:val="en-US" w:eastAsia="zh-CN" w:bidi="ar"/>
        </w:rPr>
        <w:t>等。</w:t>
      </w:r>
    </w:p>
    <w:p w14:paraId="63B6DDED">
      <w:pPr>
        <w:keepNext w:val="0"/>
        <w:keepLines w:val="0"/>
        <w:widowControl/>
        <w:numPr>
          <w:ilvl w:val="4"/>
          <w:numId w:val="2"/>
        </w:numPr>
        <w:suppressLineNumbers w:val="0"/>
        <w:spacing w:before="156" w:beforeLines="50" w:after="156" w:afterLines="50"/>
        <w:ind w:left="0"/>
        <w:jc w:val="left"/>
        <w:outlineLvl w:val="3"/>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作业活动 </w:t>
      </w:r>
    </w:p>
    <w:p w14:paraId="42360AA9">
      <w:pPr>
        <w:keepNext w:val="0"/>
        <w:keepLines w:val="0"/>
        <w:widowControl/>
        <w:suppressLineNumbers w:val="0"/>
        <w:spacing w:line="240" w:lineRule="auto"/>
        <w:ind w:firstLine="420" w:firstLineChars="200"/>
        <w:jc w:val="left"/>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对作业活动等风险点的划分，应涵盖生产经营全过程所有常规和非常规状态的作业活动，风险性较 </w:t>
      </w:r>
    </w:p>
    <w:p w14:paraId="3A572ED2">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Times New Roman"/>
          <w:color w:val="auto"/>
          <w:kern w:val="2"/>
          <w:sz w:val="21"/>
          <w:szCs w:val="21"/>
          <w:lang w:val="en-US" w:eastAsia="zh-CN" w:bidi="ar"/>
        </w:rPr>
        <w:t>大、技术含量高、操作难度大、可能导致的后果较为严重的作业活动应重点关注。</w:t>
      </w:r>
      <w:r>
        <w:rPr>
          <w:rFonts w:hint="eastAsia" w:ascii="Times New Roman" w:hAnsi="Times New Roman" w:eastAsia="宋体" w:cs="宋体"/>
          <w:color w:val="000000"/>
          <w:kern w:val="0"/>
          <w:sz w:val="21"/>
          <w:szCs w:val="21"/>
          <w:lang w:val="en-US" w:eastAsia="zh-CN" w:bidi="ar"/>
        </w:rPr>
        <w:t xml:space="preserve"> </w:t>
      </w:r>
    </w:p>
    <w:p w14:paraId="303AAD0A">
      <w:pPr>
        <w:keepNext w:val="0"/>
        <w:keepLines w:val="0"/>
        <w:widowControl/>
        <w:suppressLineNumbers w:val="0"/>
        <w:spacing w:line="240" w:lineRule="auto"/>
        <w:ind w:firstLine="360" w:firstLineChars="200"/>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w:t>
      </w:r>
      <w:r>
        <w:rPr>
          <w:rFonts w:hint="eastAsia" w:ascii="Times New Roman" w:hAnsi="Times New Roman" w:cs="宋体"/>
          <w:color w:val="000000"/>
          <w:kern w:val="0"/>
          <w:sz w:val="18"/>
          <w:szCs w:val="18"/>
          <w:lang w:val="en-US" w:eastAsia="zh-CN" w:bidi="ar"/>
        </w:rPr>
        <w:t>镁转运</w:t>
      </w:r>
      <w:r>
        <w:rPr>
          <w:rFonts w:hint="eastAsia" w:ascii="Times New Roman" w:hAnsi="Times New Roman" w:eastAsia="宋体" w:cs="宋体"/>
          <w:color w:val="000000"/>
          <w:kern w:val="0"/>
          <w:sz w:val="18"/>
          <w:szCs w:val="18"/>
          <w:lang w:val="en-US" w:eastAsia="zh-CN" w:bidi="ar"/>
        </w:rPr>
        <w:t>作业、吊装作业等。</w:t>
      </w:r>
    </w:p>
    <w:p w14:paraId="24A6AF2E">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风险点排查 </w:t>
      </w:r>
    </w:p>
    <w:p w14:paraId="731E7AFE">
      <w:pPr>
        <w:keepNext w:val="0"/>
        <w:keepLines w:val="0"/>
        <w:widowControl/>
        <w:numPr>
          <w:ilvl w:val="4"/>
          <w:numId w:val="2"/>
        </w:numPr>
        <w:suppressLineNumbers w:val="0"/>
        <w:spacing w:before="156" w:beforeLines="50" w:after="156" w:afterLines="50"/>
        <w:ind w:left="0"/>
        <w:jc w:val="left"/>
        <w:outlineLvl w:val="3"/>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排查内容 </w:t>
      </w:r>
    </w:p>
    <w:p w14:paraId="3A0CAC48">
      <w:pPr>
        <w:keepNext w:val="0"/>
        <w:keepLines w:val="0"/>
        <w:widowControl/>
        <w:suppressLineNumbers w:val="0"/>
        <w:spacing w:line="240" w:lineRule="auto"/>
        <w:ind w:firstLine="420" w:firstLineChars="200"/>
        <w:jc w:val="left"/>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企业应按照风险点划分原则，在本单位生产活动区域内对生产经营全过程进行风险点排查，建立作业活动清单、设备设施清单，风险点内容应包含</w:t>
      </w:r>
      <w:r>
        <w:rPr>
          <w:rFonts w:hint="eastAsia" w:ascii="Times New Roman" w:hAnsi="Times New Roman" w:cs="Times New Roman"/>
          <w:kern w:val="2"/>
          <w:sz w:val="21"/>
          <w:szCs w:val="21"/>
          <w:lang w:val="en-US" w:eastAsia="zh-CN" w:bidi="ar"/>
        </w:rPr>
        <w:t>镁</w:t>
      </w:r>
      <w:r>
        <w:rPr>
          <w:rFonts w:hint="eastAsia" w:ascii="Times New Roman" w:hAnsi="Times New Roman" w:eastAsia="宋体" w:cs="Times New Roman"/>
          <w:color w:val="auto"/>
          <w:kern w:val="2"/>
          <w:sz w:val="21"/>
          <w:szCs w:val="21"/>
          <w:lang w:val="en-US" w:eastAsia="zh-CN" w:bidi="ar"/>
        </w:rPr>
        <w:t xml:space="preserve">冶炼行业内主要的设备设施、区域、场所以及风险性较大的操作及作业活动，可接受风险性较小的不列入风险点的排查范围，但应列入风险排查内容。 </w:t>
      </w:r>
    </w:p>
    <w:p w14:paraId="2774D8B9">
      <w:pPr>
        <w:keepNext w:val="0"/>
        <w:keepLines w:val="0"/>
        <w:widowControl/>
        <w:numPr>
          <w:ilvl w:val="4"/>
          <w:numId w:val="2"/>
        </w:numPr>
        <w:suppressLineNumbers w:val="0"/>
        <w:spacing w:before="156" w:beforeLines="50" w:after="156" w:afterLines="50"/>
        <w:ind w:left="0"/>
        <w:jc w:val="left"/>
        <w:outlineLvl w:val="3"/>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排查方法 </w:t>
      </w:r>
    </w:p>
    <w:p w14:paraId="0EAC82F6">
      <w:pPr>
        <w:keepNext w:val="0"/>
        <w:keepLines w:val="0"/>
        <w:widowControl/>
        <w:suppressLineNumbers w:val="0"/>
        <w:spacing w:line="240" w:lineRule="auto"/>
        <w:ind w:firstLine="420" w:firstLineChars="200"/>
        <w:jc w:val="left"/>
        <w:rPr>
          <w:rFonts w:hint="eastAsia"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 xml:space="preserve">风险点排查应按生产（工作）流程的阶段、场所、装置、设施、作业活动或几种方法的结合等进行。相关行业风险点排查方法可根据具体生产工序、生产流程、岗位设置情况、设备特点来划分风险辨识单元，具体划分步骤为： </w:t>
      </w:r>
    </w:p>
    <w:p w14:paraId="607818C2">
      <w:pPr>
        <w:keepNext w:val="0"/>
        <w:keepLines w:val="0"/>
        <w:widowControl w:val="0"/>
        <w:numPr>
          <w:ilvl w:val="0"/>
          <w:numId w:val="34"/>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按照工序分，分为</w:t>
      </w:r>
      <w:r>
        <w:rPr>
          <w:rFonts w:hint="eastAsia" w:ascii="Times New Roman" w:hAnsi="Times New Roman" w:cs="Times New Roman"/>
          <w:color w:val="auto"/>
          <w:kern w:val="2"/>
          <w:sz w:val="21"/>
          <w:szCs w:val="21"/>
          <w:lang w:val="en-US" w:eastAsia="zh-CN" w:bidi="ar"/>
        </w:rPr>
        <w:t>煅烧</w:t>
      </w:r>
      <w:r>
        <w:rPr>
          <w:rFonts w:hint="eastAsia" w:ascii="Times New Roman" w:hAnsi="Times New Roman" w:eastAsia="宋体" w:cs="Times New Roman"/>
          <w:color w:val="auto"/>
          <w:kern w:val="2"/>
          <w:sz w:val="21"/>
          <w:szCs w:val="21"/>
          <w:lang w:val="en-US" w:eastAsia="zh-CN" w:bidi="ar"/>
        </w:rPr>
        <w:t>工序、</w:t>
      </w:r>
      <w:r>
        <w:rPr>
          <w:rFonts w:hint="eastAsia" w:ascii="Times New Roman" w:hAnsi="Times New Roman" w:cs="Times New Roman"/>
          <w:color w:val="auto"/>
          <w:kern w:val="2"/>
          <w:sz w:val="21"/>
          <w:szCs w:val="21"/>
          <w:lang w:val="en-US" w:eastAsia="zh-CN" w:bidi="ar"/>
        </w:rPr>
        <w:t>球团工序、还原</w:t>
      </w:r>
      <w:r>
        <w:rPr>
          <w:rFonts w:hint="eastAsia" w:ascii="Times New Roman" w:hAnsi="Times New Roman" w:eastAsia="宋体" w:cs="Times New Roman"/>
          <w:color w:val="auto"/>
          <w:kern w:val="2"/>
          <w:sz w:val="21"/>
          <w:szCs w:val="21"/>
          <w:lang w:val="en-US" w:eastAsia="zh-CN" w:bidi="ar"/>
        </w:rPr>
        <w:t>工序、</w:t>
      </w:r>
      <w:r>
        <w:rPr>
          <w:rFonts w:hint="eastAsia" w:ascii="Times New Roman" w:hAnsi="Times New Roman" w:cs="Times New Roman"/>
          <w:color w:val="auto"/>
          <w:kern w:val="2"/>
          <w:sz w:val="21"/>
          <w:szCs w:val="21"/>
          <w:lang w:val="en-US" w:eastAsia="zh-CN" w:bidi="ar"/>
        </w:rPr>
        <w:t>精炼</w:t>
      </w:r>
      <w:r>
        <w:rPr>
          <w:rFonts w:hint="eastAsia" w:ascii="Times New Roman" w:hAnsi="Times New Roman" w:eastAsia="宋体" w:cs="Times New Roman"/>
          <w:color w:val="auto"/>
          <w:kern w:val="2"/>
          <w:sz w:val="21"/>
          <w:szCs w:val="21"/>
          <w:lang w:val="en-US" w:eastAsia="zh-CN" w:bidi="ar"/>
        </w:rPr>
        <w:t>工序、</w:t>
      </w:r>
      <w:r>
        <w:rPr>
          <w:rFonts w:hint="eastAsia" w:ascii="Times New Roman" w:hAnsi="Times New Roman" w:cs="Times New Roman"/>
          <w:color w:val="auto"/>
          <w:kern w:val="2"/>
          <w:sz w:val="21"/>
          <w:szCs w:val="21"/>
          <w:lang w:val="en-US" w:eastAsia="zh-CN" w:bidi="ar"/>
        </w:rPr>
        <w:t>合金</w:t>
      </w:r>
      <w:r>
        <w:rPr>
          <w:rFonts w:hint="eastAsia" w:ascii="Times New Roman" w:hAnsi="Times New Roman" w:eastAsia="宋体" w:cs="Times New Roman"/>
          <w:color w:val="auto"/>
          <w:kern w:val="2"/>
          <w:sz w:val="21"/>
          <w:szCs w:val="21"/>
          <w:lang w:val="en-US" w:eastAsia="zh-CN" w:bidi="ar"/>
        </w:rPr>
        <w:t>工序、</w:t>
      </w:r>
      <w:r>
        <w:rPr>
          <w:rFonts w:hint="eastAsia" w:ascii="Times New Roman" w:hAnsi="Times New Roman" w:cs="Times New Roman"/>
          <w:color w:val="auto"/>
          <w:kern w:val="2"/>
          <w:sz w:val="21"/>
          <w:szCs w:val="21"/>
          <w:lang w:val="en-US" w:eastAsia="zh-CN" w:bidi="ar"/>
        </w:rPr>
        <w:t>打磨工序，以及</w:t>
      </w:r>
      <w:r>
        <w:rPr>
          <w:rFonts w:hint="eastAsia" w:ascii="Times New Roman" w:hAnsi="Times New Roman" w:eastAsia="宋体" w:cs="Times New Roman"/>
          <w:color w:val="auto"/>
          <w:kern w:val="2"/>
          <w:sz w:val="21"/>
          <w:szCs w:val="21"/>
          <w:lang w:val="en-US" w:eastAsia="zh-CN" w:bidi="ar"/>
        </w:rPr>
        <w:t xml:space="preserve">其它辅助工序等； </w:t>
      </w:r>
    </w:p>
    <w:p w14:paraId="7563577B">
      <w:pPr>
        <w:keepNext w:val="0"/>
        <w:keepLines w:val="0"/>
        <w:widowControl w:val="0"/>
        <w:numPr>
          <w:ilvl w:val="0"/>
          <w:numId w:val="34"/>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按照设备设施分类，应考虑</w:t>
      </w:r>
      <w:r>
        <w:rPr>
          <w:rFonts w:hint="eastAsia" w:ascii="Times New Roman" w:hAnsi="Times New Roman" w:cs="Times New Roman"/>
          <w:kern w:val="2"/>
          <w:sz w:val="21"/>
          <w:szCs w:val="21"/>
          <w:lang w:val="en-US" w:eastAsia="zh-CN" w:bidi="ar"/>
        </w:rPr>
        <w:t>镁冶炼</w:t>
      </w:r>
      <w:r>
        <w:rPr>
          <w:rFonts w:hint="eastAsia" w:ascii="Times New Roman" w:hAnsi="Times New Roman" w:eastAsia="宋体" w:cs="Times New Roman"/>
          <w:color w:val="auto"/>
          <w:kern w:val="2"/>
          <w:sz w:val="21"/>
          <w:szCs w:val="21"/>
          <w:lang w:val="en-US" w:eastAsia="zh-CN" w:bidi="ar"/>
        </w:rPr>
        <w:t xml:space="preserve">生产过程中所有参与生产作业活动的设备，并根据设备有 </w:t>
      </w:r>
    </w:p>
    <w:p w14:paraId="73176C67">
      <w:pPr>
        <w:keepNext w:val="0"/>
        <w:keepLines w:val="0"/>
        <w:widowControl w:val="0"/>
        <w:numPr>
          <w:ilvl w:val="-1"/>
          <w:numId w:val="0"/>
        </w:numPr>
        <w:suppressLineNumbers w:val="0"/>
        <w:adjustRightInd/>
        <w:spacing w:line="240" w:lineRule="auto"/>
        <w:ind w:left="420" w:leftChars="0" w:firstLine="0" w:firstLineChars="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可能造成后果的严重程度进行划分；</w:t>
      </w:r>
    </w:p>
    <w:p w14:paraId="4D173608">
      <w:pPr>
        <w:keepNext w:val="0"/>
        <w:keepLines w:val="0"/>
        <w:widowControl w:val="0"/>
        <w:numPr>
          <w:ilvl w:val="0"/>
          <w:numId w:val="34"/>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按照作业活动划分，应考虑人员在所参与的作业活动中，有可能造成伤害的所有危险因素， </w:t>
      </w:r>
    </w:p>
    <w:p w14:paraId="564675EE">
      <w:pPr>
        <w:keepNext w:val="0"/>
        <w:keepLines w:val="0"/>
        <w:widowControl w:val="0"/>
        <w:numPr>
          <w:ilvl w:val="-1"/>
          <w:numId w:val="0"/>
        </w:numPr>
        <w:suppressLineNumbers w:val="0"/>
        <w:adjustRightInd/>
        <w:spacing w:line="240" w:lineRule="auto"/>
        <w:ind w:left="420" w:leftChars="0" w:firstLine="0" w:firstLineChars="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重点突出镁冶炼行业</w:t>
      </w:r>
      <w:r>
        <w:rPr>
          <w:rFonts w:hint="eastAsia" w:ascii="Times New Roman" w:hAnsi="Times New Roman" w:cs="Times New Roman"/>
          <w:color w:val="auto"/>
          <w:kern w:val="2"/>
          <w:sz w:val="21"/>
          <w:szCs w:val="21"/>
          <w:lang w:val="en-US" w:eastAsia="zh-CN" w:bidi="ar"/>
        </w:rPr>
        <w:t>中</w:t>
      </w:r>
      <w:r>
        <w:rPr>
          <w:rFonts w:hint="eastAsia" w:ascii="Times New Roman" w:hAnsi="Times New Roman" w:eastAsia="宋体" w:cs="Times New Roman"/>
          <w:color w:val="auto"/>
          <w:kern w:val="2"/>
          <w:sz w:val="21"/>
          <w:szCs w:val="21"/>
          <w:lang w:val="en-US" w:eastAsia="zh-CN" w:bidi="ar"/>
        </w:rPr>
        <w:t xml:space="preserve">危险性较高的作业活动。 </w:t>
      </w:r>
    </w:p>
    <w:p w14:paraId="3B6CBF8F">
      <w:pPr>
        <w:keepNext w:val="0"/>
        <w:keepLines w:val="0"/>
        <w:widowControl/>
        <w:numPr>
          <w:ilvl w:val="2"/>
          <w:numId w:val="2"/>
        </w:numPr>
        <w:suppressLineNumbers w:val="0"/>
        <w:spacing w:before="156" w:beforeLines="50" w:after="156" w:afterLines="50"/>
        <w:ind w:left="281" w:hanging="281" w:hangingChars="134"/>
        <w:jc w:val="left"/>
        <w:outlineLvl w:val="1"/>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风险源辨识 </w:t>
      </w:r>
    </w:p>
    <w:p w14:paraId="5783F123">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辨识范围 </w:t>
      </w:r>
    </w:p>
    <w:p w14:paraId="587D28E2">
      <w:pPr>
        <w:keepNext w:val="0"/>
        <w:keepLines w:val="0"/>
        <w:widowControl w:val="0"/>
        <w:numPr>
          <w:ilvl w:val="-1"/>
          <w:numId w:val="0"/>
        </w:numPr>
        <w:suppressLineNumbers w:val="0"/>
        <w:adjustRightInd/>
        <w:spacing w:line="240" w:lineRule="auto"/>
        <w:ind w:left="420" w:leftChars="0" w:firstLine="0" w:firstLineChars="0"/>
        <w:jc w:val="both"/>
        <w:rPr>
          <w:rFonts w:hint="eastAsia" w:ascii="Times New Roman" w:hAnsi="Times New Roman" w:cs="Times New Roman"/>
          <w:lang w:bidi="ar"/>
        </w:rPr>
      </w:pPr>
      <w:r>
        <w:rPr>
          <w:rFonts w:hint="eastAsia" w:ascii="Times New Roman" w:hAnsi="Times New Roman" w:cs="Times New Roman"/>
          <w:kern w:val="2"/>
          <w:sz w:val="21"/>
          <w:szCs w:val="21"/>
          <w:lang w:val="en-US" w:eastAsia="zh-CN" w:bidi="ar"/>
        </w:rPr>
        <w:t>镁</w:t>
      </w:r>
      <w:r>
        <w:rPr>
          <w:rFonts w:hint="eastAsia" w:ascii="Times New Roman" w:hAnsi="Times New Roman" w:eastAsia="宋体" w:cs="Times New Roman"/>
          <w:color w:val="auto"/>
          <w:kern w:val="2"/>
          <w:sz w:val="21"/>
          <w:szCs w:val="21"/>
          <w:lang w:val="en-US" w:eastAsia="zh-CN" w:bidi="ar"/>
        </w:rPr>
        <w:t>冶炼行业</w:t>
      </w:r>
      <w:r>
        <w:rPr>
          <w:rFonts w:hint="eastAsia" w:ascii="Times New Roman" w:hAnsi="Times New Roman" w:cs="Times New Roman"/>
          <w:color w:val="auto"/>
          <w:kern w:val="2"/>
          <w:sz w:val="21"/>
          <w:szCs w:val="21"/>
          <w:lang w:val="en-US" w:eastAsia="zh-CN" w:bidi="ar"/>
        </w:rPr>
        <w:t>风险源</w:t>
      </w:r>
      <w:r>
        <w:rPr>
          <w:rFonts w:hint="eastAsia" w:ascii="Times New Roman" w:hAnsi="Times New Roman" w:eastAsia="宋体" w:cs="Times New Roman"/>
          <w:color w:val="auto"/>
          <w:kern w:val="2"/>
          <w:sz w:val="21"/>
          <w:szCs w:val="21"/>
          <w:lang w:val="en-US" w:eastAsia="zh-CN" w:bidi="ar"/>
        </w:rPr>
        <w:t>辨识范围应至少包含以下方面：</w:t>
      </w:r>
    </w:p>
    <w:p w14:paraId="0458442E">
      <w:pPr>
        <w:keepNext w:val="0"/>
        <w:keepLines w:val="0"/>
        <w:widowControl w:val="0"/>
        <w:numPr>
          <w:ilvl w:val="0"/>
          <w:numId w:val="35"/>
        </w:numPr>
        <w:suppressLineNumbers w:val="0"/>
        <w:adjustRightInd/>
        <w:spacing w:line="240" w:lineRule="auto"/>
        <w:ind w:left="840" w:leftChars="200" w:hanging="420" w:hangingChars="200"/>
        <w:jc w:val="both"/>
        <w:rPr>
          <w:rFonts w:ascii="Times New Roman" w:hAnsi="Times New Roman" w:cs="Times New Roman"/>
        </w:rPr>
      </w:pPr>
      <w:r>
        <w:rPr>
          <w:rFonts w:hint="eastAsia" w:ascii="Times New Roman" w:hAnsi="Times New Roman" w:eastAsia="宋体" w:cs="Times New Roman"/>
          <w:color w:val="auto"/>
          <w:kern w:val="2"/>
          <w:sz w:val="21"/>
          <w:szCs w:val="21"/>
          <w:lang w:val="en-US" w:eastAsia="zh-CN" w:bidi="ar"/>
        </w:rPr>
        <w:t>规划、设计（重点是新、改、扩建项目）和建设、投产、运行等阶段存在的具体的不安全因</w:t>
      </w:r>
      <w:r>
        <w:rPr>
          <w:rFonts w:hint="eastAsia" w:ascii="Times New Roman" w:hAnsi="Times New Roman" w:eastAsia="宋体" w:cs="宋体"/>
          <w:color w:val="000000"/>
          <w:kern w:val="0"/>
          <w:sz w:val="21"/>
          <w:szCs w:val="21"/>
          <w:lang w:val="en-US" w:eastAsia="zh-CN" w:bidi="ar"/>
        </w:rPr>
        <w:t xml:space="preserve">素，包括建设方案、运行方案、安全管理方案的可行性； </w:t>
      </w:r>
    </w:p>
    <w:p w14:paraId="0EC5F48D">
      <w:pPr>
        <w:keepNext w:val="0"/>
        <w:keepLines w:val="0"/>
        <w:widowControl w:val="0"/>
        <w:numPr>
          <w:ilvl w:val="0"/>
          <w:numId w:val="35"/>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常规和非常规作业活动；</w:t>
      </w:r>
    </w:p>
    <w:p w14:paraId="51C306C4">
      <w:pPr>
        <w:keepNext w:val="0"/>
        <w:keepLines w:val="0"/>
        <w:widowControl w:val="0"/>
        <w:numPr>
          <w:ilvl w:val="0"/>
          <w:numId w:val="35"/>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事故及潜在的紧急情况；</w:t>
      </w:r>
    </w:p>
    <w:p w14:paraId="397E370C">
      <w:pPr>
        <w:keepNext w:val="0"/>
        <w:keepLines w:val="0"/>
        <w:widowControl w:val="0"/>
        <w:numPr>
          <w:ilvl w:val="0"/>
          <w:numId w:val="35"/>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所有进入作业场所人员的活动；</w:t>
      </w:r>
    </w:p>
    <w:p w14:paraId="26903B3E">
      <w:pPr>
        <w:keepNext w:val="0"/>
        <w:keepLines w:val="0"/>
        <w:widowControl w:val="0"/>
        <w:numPr>
          <w:ilvl w:val="0"/>
          <w:numId w:val="35"/>
        </w:numPr>
        <w:suppressLineNumbers w:val="0"/>
        <w:adjustRightInd/>
        <w:spacing w:line="240" w:lineRule="auto"/>
        <w:ind w:left="840" w:leftChars="200" w:hanging="420" w:hangingChars="200"/>
        <w:jc w:val="both"/>
        <w:rPr>
          <w:rFonts w:ascii="Times New Roman" w:hAnsi="Times New Roman" w:cs="Times New Roman"/>
        </w:rPr>
      </w:pPr>
      <w:r>
        <w:rPr>
          <w:rFonts w:hint="eastAsia" w:ascii="Times New Roman" w:hAnsi="Times New Roman" w:eastAsia="宋体" w:cs="Times New Roman"/>
          <w:color w:val="auto"/>
          <w:kern w:val="2"/>
          <w:sz w:val="21"/>
          <w:szCs w:val="21"/>
          <w:lang w:val="en-US" w:eastAsia="zh-CN" w:bidi="ar"/>
        </w:rPr>
        <w:t>原材料、产品的运输和使用过程；</w:t>
      </w:r>
    </w:p>
    <w:p w14:paraId="3A2D8A5C">
      <w:pPr>
        <w:keepNext w:val="0"/>
        <w:keepLines w:val="0"/>
        <w:widowControl w:val="0"/>
        <w:numPr>
          <w:ilvl w:val="0"/>
          <w:numId w:val="35"/>
        </w:numPr>
        <w:suppressLineNumbers w:val="0"/>
        <w:adjustRightInd/>
        <w:spacing w:line="240" w:lineRule="auto"/>
        <w:ind w:left="840" w:leftChars="200" w:hanging="420" w:hangingChars="200"/>
        <w:jc w:val="both"/>
        <w:rPr>
          <w:rFonts w:ascii="Times New Roman" w:hAnsi="Times New Roman" w:cs="Times New Roman"/>
        </w:rPr>
      </w:pPr>
      <w:r>
        <w:rPr>
          <w:rFonts w:hint="eastAsia" w:ascii="Times New Roman" w:hAnsi="Times New Roman" w:eastAsia="宋体" w:cs="Times New Roman"/>
          <w:color w:val="auto"/>
          <w:kern w:val="2"/>
          <w:sz w:val="21"/>
          <w:szCs w:val="21"/>
          <w:lang w:val="en-US" w:eastAsia="zh-CN" w:bidi="ar"/>
        </w:rPr>
        <w:t>作业场所的设施、设备、车辆、安全防护用品，辨识应重点突出较大、伤害性较强、环境较</w:t>
      </w:r>
      <w:r>
        <w:rPr>
          <w:rFonts w:hint="eastAsia" w:ascii="Times New Roman" w:hAnsi="Times New Roman" w:eastAsia="宋体" w:cs="宋体"/>
          <w:color w:val="000000"/>
          <w:kern w:val="0"/>
          <w:sz w:val="21"/>
          <w:szCs w:val="21"/>
          <w:lang w:val="en-US" w:eastAsia="zh-CN" w:bidi="ar"/>
        </w:rPr>
        <w:t xml:space="preserve">为恶劣、人员较为密集区域的设施、设备等引起的各类伤害，以及人员防护用品的配备合理性； </w:t>
      </w:r>
    </w:p>
    <w:p w14:paraId="517E2BAA">
      <w:pPr>
        <w:keepNext w:val="0"/>
        <w:keepLines w:val="0"/>
        <w:widowControl w:val="0"/>
        <w:numPr>
          <w:ilvl w:val="0"/>
          <w:numId w:val="35"/>
        </w:numPr>
        <w:suppressLineNumbers w:val="0"/>
        <w:adjustRightInd/>
        <w:spacing w:line="240" w:lineRule="auto"/>
        <w:ind w:left="840" w:leftChars="200" w:hanging="420" w:hangingChars="200"/>
        <w:jc w:val="both"/>
        <w:rPr>
          <w:rFonts w:ascii="Times New Roman" w:hAnsi="Times New Roman" w:cs="Times New Roman"/>
        </w:rPr>
      </w:pPr>
      <w:r>
        <w:rPr>
          <w:rFonts w:hint="eastAsia" w:ascii="Times New Roman" w:hAnsi="Times New Roman" w:eastAsia="宋体" w:cs="Times New Roman"/>
          <w:color w:val="auto"/>
          <w:kern w:val="2"/>
          <w:sz w:val="21"/>
          <w:szCs w:val="21"/>
          <w:lang w:val="en-US" w:eastAsia="zh-CN" w:bidi="ar"/>
        </w:rPr>
        <w:t>工艺、设备、管理、人员等变更；</w:t>
      </w:r>
    </w:p>
    <w:p w14:paraId="001476C0">
      <w:pPr>
        <w:keepNext w:val="0"/>
        <w:keepLines w:val="0"/>
        <w:widowControl w:val="0"/>
        <w:numPr>
          <w:ilvl w:val="0"/>
          <w:numId w:val="35"/>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拆除与处置（电解</w:t>
      </w:r>
      <w:r>
        <w:rPr>
          <w:rFonts w:hint="eastAsia" w:ascii="Times New Roman" w:hAnsi="Times New Roman" w:cs="Times New Roman"/>
          <w:kern w:val="2"/>
          <w:sz w:val="21"/>
          <w:szCs w:val="21"/>
          <w:lang w:val="en-US" w:eastAsia="zh-CN" w:bidi="ar"/>
        </w:rPr>
        <w:t>镁</w:t>
      </w:r>
      <w:r>
        <w:rPr>
          <w:rFonts w:hint="eastAsia" w:ascii="Times New Roman" w:hAnsi="Times New Roman" w:eastAsia="宋体" w:cs="Times New Roman"/>
          <w:color w:val="auto"/>
          <w:kern w:val="2"/>
          <w:sz w:val="21"/>
          <w:szCs w:val="21"/>
          <w:lang w:val="en-US" w:eastAsia="zh-CN" w:bidi="ar"/>
        </w:rPr>
        <w:t>行业应考虑清槽物料的处理及保管）；</w:t>
      </w:r>
    </w:p>
    <w:p w14:paraId="1B8F843B">
      <w:pPr>
        <w:keepNext w:val="0"/>
        <w:keepLines w:val="0"/>
        <w:widowControl w:val="0"/>
        <w:numPr>
          <w:ilvl w:val="0"/>
          <w:numId w:val="35"/>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气候、地质及环境影响等。</w:t>
      </w:r>
    </w:p>
    <w:p w14:paraId="2742435D">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sz w:val="21"/>
          <w:szCs w:val="21"/>
          <w:lang w:val="en-US" w:eastAsia="zh-CN" w:bidi="ar"/>
        </w:rPr>
      </w:pPr>
      <w:r>
        <w:rPr>
          <w:rFonts w:hint="eastAsia" w:ascii="Times New Roman" w:hAnsi="Times New Roman" w:eastAsia="黑体" w:cs="Times New Roman"/>
          <w:color w:val="000000"/>
          <w:kern w:val="0"/>
          <w:sz w:val="21"/>
          <w:szCs w:val="21"/>
          <w:lang w:val="en-US" w:eastAsia="zh-CN" w:bidi="ar"/>
        </w:rPr>
        <w:t>辨识方法</w:t>
      </w:r>
    </w:p>
    <w:p w14:paraId="5B4C3EF8">
      <w:pPr>
        <w:keepNext w:val="0"/>
        <w:keepLines w:val="0"/>
        <w:widowControl/>
        <w:numPr>
          <w:ilvl w:val="4"/>
          <w:numId w:val="2"/>
        </w:numPr>
        <w:suppressLineNumbers w:val="0"/>
        <w:spacing w:before="156" w:beforeLines="50" w:after="156" w:afterLines="50"/>
        <w:ind w:left="0"/>
        <w:jc w:val="left"/>
        <w:outlineLvl w:val="3"/>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辨识方法选择</w:t>
      </w:r>
    </w:p>
    <w:p w14:paraId="567B0EE7">
      <w:pPr>
        <w:keepNext w:val="0"/>
        <w:keepLines w:val="0"/>
        <w:widowControl w:val="0"/>
        <w:numPr>
          <w:ilvl w:val="-1"/>
          <w:numId w:val="0"/>
        </w:numPr>
        <w:suppressLineNumbers w:val="0"/>
        <w:adjustRightInd/>
        <w:spacing w:line="240" w:lineRule="auto"/>
        <w:ind w:left="0" w:leftChars="0" w:firstLine="420" w:firstLine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宜使用工作危害分析法（JHA）对作业活动进行</w:t>
      </w:r>
      <w:r>
        <w:rPr>
          <w:rFonts w:hint="eastAsia" w:ascii="Times New Roman" w:hAnsi="Times New Roman" w:cs="Times New Roman"/>
          <w:color w:val="auto"/>
          <w:kern w:val="2"/>
          <w:sz w:val="21"/>
          <w:szCs w:val="21"/>
          <w:lang w:val="en-US" w:eastAsia="zh-CN" w:bidi="ar"/>
        </w:rPr>
        <w:t>风险源</w:t>
      </w:r>
      <w:r>
        <w:rPr>
          <w:rFonts w:hint="eastAsia" w:ascii="Times New Roman" w:hAnsi="Times New Roman" w:eastAsia="宋体" w:cs="Times New Roman"/>
          <w:color w:val="auto"/>
          <w:kern w:val="2"/>
          <w:sz w:val="21"/>
          <w:szCs w:val="21"/>
          <w:lang w:val="en-US" w:eastAsia="zh-CN" w:bidi="ar"/>
        </w:rPr>
        <w:t>辨识，使用安全检查表法（SCL）对工艺过程、作业场所、设备设施进行</w:t>
      </w:r>
      <w:r>
        <w:rPr>
          <w:rFonts w:hint="eastAsia" w:ascii="Times New Roman" w:hAnsi="Times New Roman" w:cs="Times New Roman"/>
          <w:color w:val="auto"/>
          <w:kern w:val="2"/>
          <w:sz w:val="21"/>
          <w:szCs w:val="21"/>
          <w:lang w:val="en-US" w:eastAsia="zh-CN" w:bidi="ar"/>
        </w:rPr>
        <w:t>风险源</w:t>
      </w:r>
      <w:r>
        <w:rPr>
          <w:rFonts w:hint="eastAsia" w:ascii="Times New Roman" w:hAnsi="Times New Roman" w:eastAsia="宋体" w:cs="Times New Roman"/>
          <w:color w:val="auto"/>
          <w:kern w:val="2"/>
          <w:sz w:val="21"/>
          <w:szCs w:val="21"/>
          <w:lang w:val="en-US" w:eastAsia="zh-CN" w:bidi="ar"/>
        </w:rPr>
        <w:t>辨识。</w:t>
      </w:r>
    </w:p>
    <w:p w14:paraId="15928A08">
      <w:pPr>
        <w:keepNext w:val="0"/>
        <w:keepLines w:val="0"/>
        <w:widowControl/>
        <w:numPr>
          <w:ilvl w:val="4"/>
          <w:numId w:val="2"/>
        </w:numPr>
        <w:suppressLineNumbers w:val="0"/>
        <w:spacing w:before="156" w:beforeLines="50" w:after="156" w:afterLines="50"/>
        <w:ind w:left="0"/>
        <w:jc w:val="left"/>
        <w:outlineLvl w:val="3"/>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安全检查表法</w:t>
      </w:r>
    </w:p>
    <w:p w14:paraId="293C1FDB">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黑体" w:cs="黑体"/>
          <w:color w:val="000000"/>
          <w:kern w:val="0"/>
          <w:sz w:val="21"/>
          <w:szCs w:val="21"/>
          <w:lang w:val="en-US" w:eastAsia="zh-CN" w:bidi="ar"/>
        </w:rPr>
        <w:t xml:space="preserve">5.4.2.2.1 </w:t>
      </w:r>
      <w:r>
        <w:rPr>
          <w:rFonts w:hint="eastAsia" w:ascii="Times New Roman" w:hAnsi="Times New Roman" w:eastAsia="宋体" w:cs="宋体"/>
          <w:color w:val="000000"/>
          <w:kern w:val="0"/>
          <w:sz w:val="21"/>
          <w:szCs w:val="21"/>
          <w:lang w:val="en-US" w:eastAsia="zh-CN" w:bidi="ar"/>
        </w:rPr>
        <w:t>系统找出各环节中的不安全因素，把各环节加以剖析，列出各层次的不安全因素，确定检查项目，通过提问的方式把检查项目按系统的组成顺序编制成表格，进行检查或评审，制定安全检查表</w:t>
      </w:r>
      <w:r>
        <w:rPr>
          <w:rFonts w:hint="eastAsia" w:ascii="Times New Roman" w:hAnsi="Times New Roman" w:cs="宋体"/>
          <w:color w:val="000000"/>
          <w:kern w:val="0"/>
          <w:sz w:val="21"/>
          <w:szCs w:val="21"/>
          <w:lang w:val="en-US" w:eastAsia="zh-CN" w:bidi="ar"/>
        </w:rPr>
        <w:t>即</w:t>
      </w:r>
      <w:r>
        <w:rPr>
          <w:rFonts w:hint="eastAsia" w:ascii="Times New Roman" w:hAnsi="Times New Roman" w:eastAsia="宋体" w:cs="宋体"/>
          <w:color w:val="000000"/>
          <w:kern w:val="0"/>
          <w:sz w:val="21"/>
          <w:szCs w:val="21"/>
          <w:lang w:val="en-US" w:eastAsia="zh-CN" w:bidi="ar"/>
        </w:rPr>
        <w:t>安全检查表法。安全检查表法可以对某种工艺系统、生产装置（如除尘系统、</w:t>
      </w:r>
      <w:r>
        <w:rPr>
          <w:rFonts w:hint="eastAsia" w:ascii="Times New Roman" w:hAnsi="Times New Roman" w:cs="宋体"/>
          <w:color w:val="000000"/>
          <w:kern w:val="0"/>
          <w:sz w:val="21"/>
          <w:szCs w:val="21"/>
          <w:lang w:val="en-US" w:eastAsia="zh-CN" w:bidi="ar"/>
        </w:rPr>
        <w:t>还原炉</w:t>
      </w:r>
      <w:r>
        <w:rPr>
          <w:rFonts w:hint="eastAsia" w:ascii="Times New Roman" w:hAnsi="Times New Roman" w:eastAsia="宋体" w:cs="宋体"/>
          <w:color w:val="000000"/>
          <w:kern w:val="0"/>
          <w:sz w:val="21"/>
          <w:szCs w:val="21"/>
          <w:lang w:val="en-US" w:eastAsia="zh-CN" w:bidi="ar"/>
        </w:rPr>
        <w:t xml:space="preserve">等）等设备设 </w:t>
      </w:r>
    </w:p>
    <w:p w14:paraId="06BF294C">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施类进行根源性的</w:t>
      </w:r>
      <w:r>
        <w:rPr>
          <w:rFonts w:hint="eastAsia" w:ascii="Times New Roman" w:hAnsi="Times New Roman" w:cs="宋体"/>
          <w:color w:val="000000"/>
          <w:kern w:val="0"/>
          <w:sz w:val="21"/>
          <w:szCs w:val="21"/>
          <w:lang w:val="en-US" w:eastAsia="zh-CN" w:bidi="ar"/>
        </w:rPr>
        <w:t>风险源</w:t>
      </w:r>
      <w:r>
        <w:rPr>
          <w:rFonts w:hint="eastAsia" w:ascii="Times New Roman" w:hAnsi="Times New Roman" w:eastAsia="宋体" w:cs="宋体"/>
          <w:color w:val="000000"/>
          <w:kern w:val="0"/>
          <w:sz w:val="21"/>
          <w:szCs w:val="21"/>
          <w:lang w:val="en-US" w:eastAsia="zh-CN" w:bidi="ar"/>
        </w:rPr>
        <w:t>排查。</w:t>
      </w:r>
    </w:p>
    <w:p w14:paraId="09955868">
      <w:pPr>
        <w:keepNext w:val="0"/>
        <w:keepLines w:val="0"/>
        <w:widowControl/>
        <w:suppressLineNumbers w:val="0"/>
        <w:spacing w:line="240" w:lineRule="auto"/>
        <w:ind w:firstLine="360" w:firstLineChars="200"/>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w:t>
      </w:r>
      <w:r>
        <w:rPr>
          <w:rFonts w:hint="eastAsia" w:ascii="Times New Roman" w:hAnsi="Times New Roman" w:cs="宋体"/>
          <w:color w:val="000000"/>
          <w:kern w:val="0"/>
          <w:sz w:val="18"/>
          <w:szCs w:val="18"/>
          <w:lang w:val="en-US" w:eastAsia="zh-CN" w:bidi="ar"/>
        </w:rPr>
        <w:t>还原炉</w:t>
      </w:r>
      <w:r>
        <w:rPr>
          <w:rFonts w:hint="eastAsia" w:ascii="Times New Roman" w:hAnsi="Times New Roman" w:eastAsia="宋体" w:cs="宋体"/>
          <w:color w:val="000000"/>
          <w:kern w:val="0"/>
          <w:sz w:val="18"/>
          <w:szCs w:val="18"/>
          <w:lang w:val="en-US" w:eastAsia="zh-CN" w:bidi="ar"/>
        </w:rPr>
        <w:t>的高温镁水。</w:t>
      </w:r>
    </w:p>
    <w:p w14:paraId="577617CB">
      <w:pPr>
        <w:keepNext w:val="0"/>
        <w:keepLines w:val="0"/>
        <w:widowControl/>
        <w:suppressLineNumbers w:val="0"/>
        <w:spacing w:line="240" w:lineRule="auto"/>
        <w:jc w:val="left"/>
        <w:rPr>
          <w:rFonts w:ascii="Times New Roman" w:hAnsi="Times New Roman" w:cs="Times New Roman"/>
        </w:rPr>
      </w:pPr>
      <w:r>
        <w:rPr>
          <w:rFonts w:ascii="Times New Roman" w:hAnsi="Times New Roman" w:eastAsia="黑体" w:cs="黑体"/>
          <w:color w:val="000000"/>
          <w:kern w:val="0"/>
          <w:sz w:val="21"/>
          <w:szCs w:val="21"/>
          <w:lang w:val="en-US" w:eastAsia="zh-CN" w:bidi="ar"/>
        </w:rPr>
        <w:t xml:space="preserve">5.4.2.2.2 </w:t>
      </w:r>
      <w:r>
        <w:rPr>
          <w:rFonts w:hint="eastAsia" w:ascii="Times New Roman" w:hAnsi="Times New Roman" w:eastAsia="宋体" w:cs="宋体"/>
          <w:color w:val="000000"/>
          <w:kern w:val="0"/>
          <w:sz w:val="21"/>
          <w:szCs w:val="21"/>
          <w:lang w:val="en-US" w:eastAsia="zh-CN" w:bidi="ar"/>
        </w:rPr>
        <w:t xml:space="preserve">安全检查表应注明检查时间、检查者、检查内容、直接负责人等，分清责任；安全检查表 </w:t>
      </w:r>
    </w:p>
    <w:p w14:paraId="4648E306">
      <w:pPr>
        <w:keepNext w:val="0"/>
        <w:keepLines w:val="0"/>
        <w:widowControl/>
        <w:suppressLineNumbers w:val="0"/>
        <w:spacing w:line="240" w:lineRule="auto"/>
        <w:jc w:val="left"/>
        <w:rPr>
          <w:rFonts w:hint="eastAsia" w:ascii="Times New Roman" w:hAnsi="Times New Roman" w:eastAsia="宋体" w:cs="宋体"/>
          <w:color w:val="000000"/>
          <w:kern w:val="0"/>
          <w:sz w:val="21"/>
          <w:szCs w:val="21"/>
          <w:lang w:val="en-US" w:eastAsia="zh-CN" w:bidi="ar"/>
        </w:rPr>
      </w:pPr>
      <w:r>
        <w:rPr>
          <w:rFonts w:hint="eastAsia" w:ascii="Times New Roman" w:hAnsi="Times New Roman" w:eastAsia="宋体" w:cs="宋体"/>
          <w:color w:val="000000"/>
          <w:kern w:val="0"/>
          <w:sz w:val="21"/>
          <w:szCs w:val="21"/>
          <w:lang w:val="en-US" w:eastAsia="zh-CN" w:bidi="ar"/>
        </w:rPr>
        <w:t>的设计应做到系统、全面，检查项目应明确。</w:t>
      </w:r>
    </w:p>
    <w:p w14:paraId="10435EF2">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黑体" w:cs="黑体"/>
          <w:color w:val="000000"/>
          <w:kern w:val="0"/>
          <w:sz w:val="21"/>
          <w:szCs w:val="21"/>
          <w:lang w:val="en-US" w:eastAsia="zh-CN" w:bidi="ar"/>
        </w:rPr>
        <w:t xml:space="preserve">5.4.2.2.3 </w:t>
      </w:r>
      <w:r>
        <w:rPr>
          <w:rFonts w:hint="eastAsia" w:ascii="Times New Roman" w:hAnsi="Times New Roman" w:eastAsia="宋体" w:cs="宋体"/>
          <w:color w:val="000000"/>
          <w:kern w:val="0"/>
          <w:sz w:val="21"/>
          <w:szCs w:val="21"/>
          <w:lang w:val="en-US" w:eastAsia="zh-CN" w:bidi="ar"/>
        </w:rPr>
        <w:t>安全检查表的检查标准制定应主要参考相关法律法规、技术标准、</w:t>
      </w:r>
      <w:r>
        <w:rPr>
          <w:rFonts w:hint="eastAsia" w:ascii="Times New Roman" w:hAnsi="Times New Roman" w:eastAsia="宋体" w:cs="宋体"/>
          <w:color w:val="333333"/>
          <w:kern w:val="0"/>
          <w:sz w:val="21"/>
          <w:szCs w:val="21"/>
          <w:lang w:val="en-US" w:eastAsia="zh-CN" w:bidi="ar"/>
        </w:rPr>
        <w:t>国内外事故案例、危险部位及防范措施</w:t>
      </w:r>
      <w:r>
        <w:rPr>
          <w:rFonts w:hint="eastAsia" w:ascii="Times New Roman" w:hAnsi="Times New Roman" w:eastAsia="宋体" w:cs="宋体"/>
          <w:color w:val="000000"/>
          <w:kern w:val="0"/>
          <w:sz w:val="21"/>
          <w:szCs w:val="21"/>
          <w:lang w:val="en-US" w:eastAsia="zh-CN" w:bidi="ar"/>
        </w:rPr>
        <w:t>、</w:t>
      </w:r>
      <w:r>
        <w:rPr>
          <w:rFonts w:hint="eastAsia" w:ascii="Times New Roman" w:hAnsi="Times New Roman" w:eastAsia="宋体" w:cs="宋体"/>
          <w:color w:val="333333"/>
          <w:kern w:val="0"/>
          <w:sz w:val="21"/>
          <w:szCs w:val="21"/>
          <w:lang w:val="en-US" w:eastAsia="zh-CN" w:bidi="ar"/>
        </w:rPr>
        <w:t>最新的知识和研究成果</w:t>
      </w:r>
      <w:r>
        <w:rPr>
          <w:rFonts w:hint="eastAsia" w:ascii="Times New Roman" w:hAnsi="Times New Roman" w:eastAsia="宋体" w:cs="宋体"/>
          <w:color w:val="000000"/>
          <w:kern w:val="0"/>
          <w:sz w:val="21"/>
          <w:szCs w:val="21"/>
          <w:lang w:val="en-US" w:eastAsia="zh-CN" w:bidi="ar"/>
        </w:rPr>
        <w:t>等。</w:t>
      </w:r>
    </w:p>
    <w:p w14:paraId="491BCC4E">
      <w:pPr>
        <w:keepNext w:val="0"/>
        <w:keepLines w:val="0"/>
        <w:widowControl/>
        <w:numPr>
          <w:ilvl w:val="4"/>
          <w:numId w:val="2"/>
        </w:numPr>
        <w:suppressLineNumbers w:val="0"/>
        <w:spacing w:before="156" w:beforeLines="50" w:after="156" w:afterLines="50"/>
        <w:ind w:left="0"/>
        <w:jc w:val="left"/>
        <w:outlineLvl w:val="3"/>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工作危害分析法（JHA）</w:t>
      </w:r>
    </w:p>
    <w:p w14:paraId="59F62D4D">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黑体" w:cs="黑体"/>
          <w:color w:val="000000"/>
          <w:kern w:val="0"/>
          <w:sz w:val="21"/>
          <w:szCs w:val="21"/>
          <w:lang w:val="en-US" w:eastAsia="zh-CN" w:bidi="ar"/>
        </w:rPr>
        <w:t xml:space="preserve">5.4.2.3.1 </w:t>
      </w:r>
      <w:r>
        <w:rPr>
          <w:rFonts w:hint="eastAsia" w:ascii="Times New Roman" w:hAnsi="Times New Roman" w:eastAsia="宋体" w:cs="宋体"/>
          <w:color w:val="000000"/>
          <w:kern w:val="0"/>
          <w:sz w:val="21"/>
          <w:szCs w:val="21"/>
          <w:lang w:val="en-US" w:eastAsia="zh-CN" w:bidi="ar"/>
        </w:rPr>
        <w:t xml:space="preserve">通过对工作过程的逐步分析，找出多余的、有危险的工作步骤和工作设备、设施，进行控 </w:t>
      </w:r>
    </w:p>
    <w:p w14:paraId="1C4F4A05">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 xml:space="preserve">制和预防，就是工作危害分析法。工作危害分析法主要用来对设备设施安全隐患、作业场所安全隐患、 </w:t>
      </w:r>
    </w:p>
    <w:p w14:paraId="568EE634">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人的不安全行为隐患等有效识别。</w:t>
      </w:r>
    </w:p>
    <w:p w14:paraId="587AB9E8">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黑体" w:cs="黑体"/>
          <w:color w:val="000000"/>
          <w:kern w:val="0"/>
          <w:sz w:val="21"/>
          <w:szCs w:val="21"/>
          <w:lang w:val="en-US" w:eastAsia="zh-CN" w:bidi="ar"/>
        </w:rPr>
        <w:t xml:space="preserve">5.4.2.3.2 </w:t>
      </w:r>
      <w:r>
        <w:rPr>
          <w:rFonts w:hint="eastAsia" w:ascii="Times New Roman" w:hAnsi="Times New Roman" w:eastAsia="宋体" w:cs="宋体"/>
          <w:color w:val="000000"/>
          <w:kern w:val="0"/>
          <w:sz w:val="21"/>
          <w:szCs w:val="21"/>
          <w:lang w:val="en-US" w:eastAsia="zh-CN" w:bidi="ar"/>
        </w:rPr>
        <w:t>把1项作业活动分解成几个步骤，识别整个作业活动及每 1 步骤中的</w:t>
      </w:r>
      <w:r>
        <w:rPr>
          <w:rFonts w:hint="eastAsia" w:ascii="Times New Roman" w:hAnsi="Times New Roman" w:cs="宋体"/>
          <w:color w:val="000000"/>
          <w:kern w:val="0"/>
          <w:sz w:val="21"/>
          <w:szCs w:val="21"/>
          <w:lang w:val="en-US" w:eastAsia="zh-CN" w:bidi="ar"/>
        </w:rPr>
        <w:t>风险源</w:t>
      </w:r>
      <w:r>
        <w:rPr>
          <w:rFonts w:hint="eastAsia" w:ascii="Times New Roman" w:hAnsi="Times New Roman" w:eastAsia="宋体" w:cs="宋体"/>
          <w:color w:val="000000"/>
          <w:kern w:val="0"/>
          <w:sz w:val="21"/>
          <w:szCs w:val="21"/>
          <w:lang w:val="en-US" w:eastAsia="zh-CN" w:bidi="ar"/>
        </w:rPr>
        <w:t>并将其汇总。在识别</w:t>
      </w:r>
      <w:r>
        <w:rPr>
          <w:rFonts w:hint="eastAsia" w:ascii="Times New Roman" w:hAnsi="Times New Roman" w:cs="宋体"/>
          <w:color w:val="000000"/>
          <w:kern w:val="0"/>
          <w:sz w:val="21"/>
          <w:szCs w:val="21"/>
          <w:lang w:val="en-US" w:eastAsia="zh-CN" w:bidi="ar"/>
        </w:rPr>
        <w:t>风险源</w:t>
      </w:r>
      <w:r>
        <w:rPr>
          <w:rFonts w:hint="eastAsia" w:ascii="Times New Roman" w:hAnsi="Times New Roman" w:eastAsia="宋体" w:cs="宋体"/>
          <w:color w:val="000000"/>
          <w:kern w:val="0"/>
          <w:sz w:val="21"/>
          <w:szCs w:val="21"/>
          <w:lang w:val="en-US" w:eastAsia="zh-CN" w:bidi="ar"/>
        </w:rPr>
        <w:t>时，要从</w:t>
      </w:r>
      <w:r>
        <w:rPr>
          <w:rFonts w:hint="eastAsia" w:ascii="Times New Roman" w:hAnsi="Times New Roman" w:cs="宋体"/>
          <w:color w:val="000000"/>
          <w:kern w:val="0"/>
          <w:sz w:val="21"/>
          <w:szCs w:val="21"/>
          <w:lang w:val="en-US" w:eastAsia="zh-CN" w:bidi="ar"/>
        </w:rPr>
        <w:t>4</w:t>
      </w:r>
      <w:r>
        <w:rPr>
          <w:rFonts w:hint="eastAsia" w:ascii="Times New Roman" w:hAnsi="Times New Roman" w:eastAsia="宋体" w:cs="宋体"/>
          <w:color w:val="000000"/>
          <w:kern w:val="0"/>
          <w:sz w:val="21"/>
          <w:szCs w:val="21"/>
          <w:lang w:val="en-US" w:eastAsia="zh-CN" w:bidi="ar"/>
        </w:rPr>
        <w:t>个方面考虑：人的因素、物的因素、环境的因素、管理的因素。在这</w:t>
      </w:r>
      <w:r>
        <w:rPr>
          <w:rFonts w:hint="eastAsia" w:ascii="Times New Roman" w:hAnsi="Times New Roman" w:cs="宋体"/>
          <w:color w:val="000000"/>
          <w:kern w:val="0"/>
          <w:sz w:val="21"/>
          <w:szCs w:val="21"/>
          <w:lang w:val="en-US" w:eastAsia="zh-CN" w:bidi="ar"/>
        </w:rPr>
        <w:t>4</w:t>
      </w:r>
      <w:r>
        <w:rPr>
          <w:rFonts w:hint="eastAsia" w:ascii="Times New Roman" w:hAnsi="Times New Roman" w:eastAsia="宋体" w:cs="宋体"/>
          <w:color w:val="000000"/>
          <w:kern w:val="0"/>
          <w:sz w:val="21"/>
          <w:szCs w:val="21"/>
          <w:lang w:val="en-US" w:eastAsia="zh-CN" w:bidi="ar"/>
        </w:rPr>
        <w:t>种因素里面，人的因素是“核心”，首先要分析人的因素（人的不安全行为、生理及心理原因：主要是违章操作、违章、不遵守有关规定、发生职业病或职业</w:t>
      </w:r>
      <w:r>
        <w:rPr>
          <w:rFonts w:hint="eastAsia" w:ascii="Times New Roman" w:hAnsi="Times New Roman" w:cs="宋体"/>
          <w:color w:val="000000"/>
          <w:kern w:val="0"/>
          <w:sz w:val="21"/>
          <w:szCs w:val="21"/>
          <w:lang w:val="en-US" w:eastAsia="zh-CN" w:bidi="ar"/>
        </w:rPr>
        <w:t>禁忌症</w:t>
      </w:r>
      <w:r>
        <w:rPr>
          <w:rFonts w:hint="eastAsia" w:ascii="Times New Roman" w:hAnsi="Times New Roman" w:eastAsia="宋体" w:cs="宋体"/>
          <w:color w:val="000000"/>
          <w:kern w:val="0"/>
          <w:sz w:val="21"/>
          <w:szCs w:val="21"/>
          <w:lang w:val="en-US" w:eastAsia="zh-CN" w:bidi="ar"/>
        </w:rPr>
        <w:t>等）；其次是物的因素（设备、安全联锁、安全防护设施、涉及安全的工艺、技术参数等），再分析环境因素（主要是指定置定位等），最后再分析管理因素。对潜在的人的因素、物的因素、环境因素、管理因素等危害因素进行辨识，充分考虑危害因素的根源和性质。例如：可能造成火灾和爆炸等事故的危险有害因素；工作环境的物理性危害因素等，尤其是镁</w:t>
      </w:r>
      <w:r>
        <w:rPr>
          <w:rFonts w:hint="eastAsia" w:ascii="Times New Roman" w:hAnsi="Times New Roman" w:cs="宋体"/>
          <w:color w:val="000000"/>
          <w:kern w:val="0"/>
          <w:sz w:val="21"/>
          <w:szCs w:val="21"/>
          <w:lang w:val="en-US" w:eastAsia="zh-CN" w:bidi="ar"/>
        </w:rPr>
        <w:t>冶炼</w:t>
      </w:r>
      <w:r>
        <w:rPr>
          <w:rFonts w:hint="eastAsia" w:ascii="Times New Roman" w:hAnsi="Times New Roman" w:eastAsia="宋体" w:cs="宋体"/>
          <w:color w:val="000000"/>
          <w:kern w:val="0"/>
          <w:sz w:val="21"/>
          <w:szCs w:val="21"/>
          <w:lang w:val="en-US" w:eastAsia="zh-CN" w:bidi="ar"/>
        </w:rPr>
        <w:t>行业要重点考虑可能造成爆炸、灼烫、起重伤害等事故的危险有害因素。</w:t>
      </w:r>
    </w:p>
    <w:p w14:paraId="0BC8B8B3">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黑体" w:cs="黑体"/>
          <w:color w:val="000000"/>
          <w:kern w:val="0"/>
          <w:sz w:val="21"/>
          <w:szCs w:val="21"/>
          <w:lang w:val="en-US" w:eastAsia="zh-CN" w:bidi="ar"/>
        </w:rPr>
        <w:t xml:space="preserve">5.4.2.3.3 </w:t>
      </w:r>
      <w:r>
        <w:rPr>
          <w:rFonts w:hint="eastAsia" w:ascii="Times New Roman" w:hAnsi="Times New Roman" w:eastAsia="宋体" w:cs="宋体"/>
          <w:color w:val="000000"/>
          <w:kern w:val="0"/>
          <w:sz w:val="21"/>
          <w:szCs w:val="21"/>
          <w:lang w:val="en-US" w:eastAsia="zh-CN" w:bidi="ar"/>
        </w:rPr>
        <w:t>工作危害分析法是进行</w:t>
      </w:r>
      <w:r>
        <w:rPr>
          <w:rFonts w:hint="eastAsia" w:ascii="Times New Roman" w:hAnsi="Times New Roman" w:cs="宋体"/>
          <w:color w:val="000000"/>
          <w:kern w:val="0"/>
          <w:sz w:val="21"/>
          <w:szCs w:val="21"/>
          <w:lang w:val="en-US" w:eastAsia="zh-CN" w:bidi="ar"/>
        </w:rPr>
        <w:t>风险源</w:t>
      </w:r>
      <w:r>
        <w:rPr>
          <w:rFonts w:hint="eastAsia" w:ascii="Times New Roman" w:hAnsi="Times New Roman" w:eastAsia="宋体" w:cs="宋体"/>
          <w:color w:val="000000"/>
          <w:kern w:val="0"/>
          <w:sz w:val="21"/>
          <w:szCs w:val="21"/>
          <w:lang w:val="en-US" w:eastAsia="zh-CN" w:bidi="ar"/>
        </w:rPr>
        <w:t>辨识的重要方法，可以较为全面的根据危险点排查的内容，能够对所有作业活动中因不同因素而导致的</w:t>
      </w:r>
      <w:r>
        <w:rPr>
          <w:rFonts w:hint="eastAsia" w:ascii="Times New Roman" w:hAnsi="Times New Roman" w:cs="宋体"/>
          <w:color w:val="000000"/>
          <w:kern w:val="0"/>
          <w:sz w:val="21"/>
          <w:szCs w:val="21"/>
          <w:lang w:val="en-US" w:eastAsia="zh-CN" w:bidi="ar"/>
        </w:rPr>
        <w:t>风险源</w:t>
      </w:r>
      <w:r>
        <w:rPr>
          <w:rFonts w:hint="eastAsia" w:ascii="Times New Roman" w:hAnsi="Times New Roman" w:eastAsia="宋体" w:cs="宋体"/>
          <w:color w:val="000000"/>
          <w:kern w:val="0"/>
          <w:sz w:val="21"/>
          <w:szCs w:val="21"/>
          <w:lang w:val="en-US" w:eastAsia="zh-CN" w:bidi="ar"/>
        </w:rPr>
        <w:t>进行全面分析，企业应专门制定形成工作危害分析表格，作为进行</w:t>
      </w:r>
      <w:r>
        <w:rPr>
          <w:rFonts w:hint="eastAsia" w:ascii="Times New Roman" w:hAnsi="Times New Roman" w:cs="宋体"/>
          <w:color w:val="000000"/>
          <w:kern w:val="0"/>
          <w:sz w:val="21"/>
          <w:szCs w:val="21"/>
          <w:lang w:val="en-US" w:eastAsia="zh-CN" w:bidi="ar"/>
        </w:rPr>
        <w:t>风险源</w:t>
      </w:r>
      <w:r>
        <w:rPr>
          <w:rFonts w:hint="eastAsia" w:ascii="Times New Roman" w:hAnsi="Times New Roman" w:eastAsia="宋体" w:cs="宋体"/>
          <w:color w:val="000000"/>
          <w:kern w:val="0"/>
          <w:sz w:val="21"/>
          <w:szCs w:val="21"/>
          <w:lang w:val="en-US" w:eastAsia="zh-CN" w:bidi="ar"/>
        </w:rPr>
        <w:t>辨识、评估的基础工具。</w:t>
      </w:r>
    </w:p>
    <w:p w14:paraId="0B782BAF">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风险辨识注意事项 </w:t>
      </w:r>
    </w:p>
    <w:p w14:paraId="1B794E36">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sz w:val="21"/>
          <w:lang w:val="en-US" w:eastAsia="zh-CN" w:bidi="ar-SA"/>
        </w:rPr>
      </w:pPr>
      <w:r>
        <w:rPr>
          <w:rFonts w:hint="eastAsia" w:ascii="Times New Roman" w:hAnsi="Times New Roman" w:eastAsia="宋体" w:cs="Times New Roman"/>
          <w:color w:val="000000"/>
          <w:kern w:val="0"/>
          <w:sz w:val="21"/>
          <w:szCs w:val="20"/>
          <w:lang w:val="en-US" w:eastAsia="zh-CN" w:bidi="ar"/>
        </w:rPr>
        <w:t xml:space="preserve">风险源描述：在对风险源的描述时要注意将第一类风险源和第二类风险源的风险有机的结合。 </w:t>
      </w:r>
    </w:p>
    <w:p w14:paraId="11B64C9E">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w:t>
      </w:r>
      <w:r>
        <w:rPr>
          <w:rFonts w:hint="eastAsia" w:ascii="Times New Roman" w:hAnsi="Times New Roman" w:cs="宋体"/>
          <w:color w:val="000000"/>
          <w:kern w:val="0"/>
          <w:sz w:val="18"/>
          <w:szCs w:val="18"/>
          <w:lang w:val="en-US" w:eastAsia="zh-CN" w:bidi="ar"/>
        </w:rPr>
        <w:t>风险源</w:t>
      </w:r>
      <w:r>
        <w:rPr>
          <w:rFonts w:hint="eastAsia" w:ascii="Times New Roman" w:hAnsi="Times New Roman" w:eastAsia="宋体" w:cs="宋体"/>
          <w:color w:val="000000"/>
          <w:kern w:val="0"/>
          <w:sz w:val="18"/>
          <w:szCs w:val="18"/>
          <w:lang w:val="en-US" w:eastAsia="zh-CN" w:bidi="ar"/>
        </w:rPr>
        <w:t>“清理皮带时，未停运、未断电。”这个</w:t>
      </w:r>
      <w:r>
        <w:rPr>
          <w:rFonts w:hint="eastAsia" w:ascii="Times New Roman" w:hAnsi="Times New Roman" w:cs="宋体"/>
          <w:color w:val="000000"/>
          <w:kern w:val="0"/>
          <w:sz w:val="18"/>
          <w:szCs w:val="18"/>
          <w:lang w:val="en-US" w:eastAsia="zh-CN" w:bidi="ar"/>
        </w:rPr>
        <w:t>风险源</w:t>
      </w:r>
      <w:r>
        <w:rPr>
          <w:rFonts w:hint="eastAsia" w:ascii="Times New Roman" w:hAnsi="Times New Roman" w:eastAsia="宋体" w:cs="宋体"/>
          <w:color w:val="000000"/>
          <w:kern w:val="0"/>
          <w:sz w:val="18"/>
          <w:szCs w:val="18"/>
          <w:lang w:val="en-US" w:eastAsia="zh-CN" w:bidi="ar"/>
        </w:rPr>
        <w:t xml:space="preserve">，应包含的内容：设备、装置或活动——“动能”(根 </w:t>
      </w:r>
    </w:p>
    <w:p w14:paraId="53FF735A">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18"/>
          <w:szCs w:val="18"/>
          <w:lang w:val="en-US" w:eastAsia="zh-CN" w:bidi="ar"/>
        </w:rPr>
        <w:t xml:space="preserve">源类），“未停运、未断电”（行为类）。 </w:t>
      </w:r>
    </w:p>
    <w:p w14:paraId="63A30FDD">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sz w:val="21"/>
          <w:lang w:val="en-US" w:eastAsia="zh-CN" w:bidi="ar-SA"/>
        </w:rPr>
      </w:pPr>
      <w:r>
        <w:rPr>
          <w:rFonts w:hint="eastAsia" w:ascii="Times New Roman" w:hAnsi="Times New Roman" w:eastAsia="宋体" w:cs="Times New Roman"/>
          <w:color w:val="000000"/>
          <w:kern w:val="0"/>
          <w:sz w:val="21"/>
          <w:szCs w:val="20"/>
          <w:lang w:val="en-US" w:eastAsia="zh-CN" w:bidi="ar"/>
        </w:rPr>
        <w:t xml:space="preserve">辨识应考虑3种状态： </w:t>
      </w:r>
    </w:p>
    <w:p w14:paraId="4679DDB7">
      <w:pPr>
        <w:keepNext w:val="0"/>
        <w:keepLines w:val="0"/>
        <w:widowControl w:val="0"/>
        <w:numPr>
          <w:ilvl w:val="0"/>
          <w:numId w:val="36"/>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正常； </w:t>
      </w:r>
    </w:p>
    <w:p w14:paraId="0409E57F">
      <w:pPr>
        <w:keepNext w:val="0"/>
        <w:keepLines w:val="0"/>
        <w:widowControl/>
        <w:suppressLineNumbers w:val="0"/>
        <w:spacing w:line="240" w:lineRule="auto"/>
        <w:ind w:firstLine="360" w:firstLineChars="200"/>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示例1：</w:t>
      </w:r>
      <w:r>
        <w:rPr>
          <w:rFonts w:hint="eastAsia" w:ascii="Times New Roman" w:hAnsi="Times New Roman" w:eastAsia="宋体" w:cs="宋体"/>
          <w:color w:val="000000"/>
          <w:kern w:val="0"/>
          <w:sz w:val="18"/>
          <w:szCs w:val="18"/>
          <w:lang w:val="en-US" w:eastAsia="zh-CN" w:bidi="ar"/>
        </w:rPr>
        <w:t>在正常的运行或操作过</w:t>
      </w:r>
      <w:r>
        <w:rPr>
          <w:rFonts w:hint="eastAsia" w:ascii="Times New Roman" w:hAnsi="Times New Roman" w:cs="宋体"/>
          <w:color w:val="000000"/>
          <w:kern w:val="0"/>
          <w:sz w:val="18"/>
          <w:szCs w:val="18"/>
          <w:lang w:val="en-US" w:eastAsia="zh-CN" w:bidi="ar"/>
        </w:rPr>
        <w:t>程中</w:t>
      </w:r>
      <w:r>
        <w:rPr>
          <w:rFonts w:hint="eastAsia" w:ascii="Times New Roman" w:hAnsi="Times New Roman" w:eastAsia="宋体" w:cs="宋体"/>
          <w:color w:val="000000"/>
          <w:kern w:val="0"/>
          <w:sz w:val="18"/>
          <w:szCs w:val="18"/>
          <w:lang w:val="en-US" w:eastAsia="zh-CN" w:bidi="ar"/>
        </w:rPr>
        <w:t xml:space="preserve">存在的危险危害。 </w:t>
      </w:r>
    </w:p>
    <w:p w14:paraId="3B41DFB4">
      <w:pPr>
        <w:keepNext w:val="0"/>
        <w:keepLines w:val="0"/>
        <w:widowControl w:val="0"/>
        <w:numPr>
          <w:ilvl w:val="0"/>
          <w:numId w:val="36"/>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异常； </w:t>
      </w:r>
    </w:p>
    <w:p w14:paraId="5A47D053">
      <w:pPr>
        <w:keepNext w:val="0"/>
        <w:keepLines w:val="0"/>
        <w:widowControl/>
        <w:suppressLineNumbers w:val="0"/>
        <w:spacing w:line="240" w:lineRule="auto"/>
        <w:ind w:firstLine="360" w:firstLineChars="200"/>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示例2：</w:t>
      </w:r>
      <w:r>
        <w:rPr>
          <w:rFonts w:hint="eastAsia" w:ascii="Times New Roman" w:hAnsi="Times New Roman" w:eastAsia="宋体" w:cs="宋体"/>
          <w:color w:val="000000"/>
          <w:kern w:val="0"/>
          <w:sz w:val="18"/>
          <w:szCs w:val="18"/>
          <w:lang w:val="en-US" w:eastAsia="zh-CN" w:bidi="ar"/>
        </w:rPr>
        <w:t>设备存在缺陷以及工艺参数存在异常的情况。</w:t>
      </w:r>
    </w:p>
    <w:p w14:paraId="33A94242">
      <w:pPr>
        <w:keepNext w:val="0"/>
        <w:keepLines w:val="0"/>
        <w:widowControl w:val="0"/>
        <w:numPr>
          <w:ilvl w:val="0"/>
          <w:numId w:val="36"/>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紧急</w:t>
      </w:r>
      <w:r>
        <w:rPr>
          <w:rFonts w:hint="eastAsia" w:ascii="Times New Roman" w:hAnsi="Times New Roman" w:cs="Times New Roman"/>
          <w:kern w:val="2"/>
          <w:sz w:val="21"/>
          <w:szCs w:val="21"/>
          <w:lang w:val="en-US" w:eastAsia="zh-CN" w:bidi="ar"/>
        </w:rPr>
        <w:t>；</w:t>
      </w:r>
    </w:p>
    <w:p w14:paraId="77997FC3">
      <w:pPr>
        <w:keepNext w:val="0"/>
        <w:keepLines w:val="0"/>
        <w:widowControl/>
        <w:suppressLineNumbers w:val="0"/>
        <w:spacing w:line="240" w:lineRule="auto"/>
        <w:ind w:firstLine="360" w:firstLineChars="200"/>
        <w:jc w:val="left"/>
        <w:rPr>
          <w:rFonts w:ascii="Times New Roman" w:hAnsi="Times New Roman" w:cs="Times New Roman"/>
        </w:rPr>
      </w:pPr>
      <w:r>
        <w:rPr>
          <w:rFonts w:ascii="Times New Roman" w:hAnsi="Times New Roman" w:eastAsia="黑体" w:cs="黑体"/>
          <w:color w:val="000000"/>
          <w:kern w:val="0"/>
          <w:sz w:val="18"/>
          <w:szCs w:val="18"/>
          <w:lang w:val="en-US" w:eastAsia="zh-CN" w:bidi="ar"/>
        </w:rPr>
        <w:t>示例3：</w:t>
      </w:r>
      <w:r>
        <w:rPr>
          <w:rFonts w:hint="eastAsia" w:ascii="Times New Roman" w:hAnsi="Times New Roman" w:eastAsia="宋体" w:cs="宋体"/>
          <w:color w:val="000000"/>
          <w:kern w:val="0"/>
          <w:sz w:val="18"/>
          <w:szCs w:val="18"/>
          <w:lang w:val="en-US" w:eastAsia="zh-CN" w:bidi="ar"/>
        </w:rPr>
        <w:t xml:space="preserve">发生火灾、漏槽等破坏性大的事故时的情况。 </w:t>
      </w:r>
    </w:p>
    <w:p w14:paraId="3FA09B27">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sz w:val="21"/>
          <w:lang w:val="en-US" w:eastAsia="zh-CN" w:bidi="ar-SA"/>
        </w:rPr>
      </w:pPr>
      <w:r>
        <w:rPr>
          <w:rFonts w:hint="eastAsia" w:ascii="Times New Roman" w:hAnsi="Times New Roman" w:eastAsia="宋体" w:cs="Times New Roman"/>
          <w:color w:val="000000"/>
          <w:kern w:val="0"/>
          <w:sz w:val="21"/>
          <w:szCs w:val="20"/>
          <w:lang w:val="en-US" w:eastAsia="zh-CN" w:bidi="ar"/>
        </w:rPr>
        <w:t xml:space="preserve">要考虑 3 种时态： </w:t>
      </w:r>
    </w:p>
    <w:p w14:paraId="6BF5AA5B">
      <w:pPr>
        <w:keepNext w:val="0"/>
        <w:keepLines w:val="0"/>
        <w:widowControl w:val="0"/>
        <w:numPr>
          <w:ilvl w:val="0"/>
          <w:numId w:val="36"/>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过去； </w:t>
      </w:r>
    </w:p>
    <w:p w14:paraId="784C8D11">
      <w:pPr>
        <w:keepNext w:val="0"/>
        <w:keepLines w:val="0"/>
        <w:widowControl/>
        <w:suppressLineNumbers w:val="0"/>
        <w:spacing w:line="240" w:lineRule="auto"/>
        <w:ind w:firstLine="360" w:firstLineChars="200"/>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示例1：</w:t>
      </w:r>
      <w:r>
        <w:rPr>
          <w:rFonts w:hint="eastAsia" w:ascii="Times New Roman" w:hAnsi="Times New Roman" w:eastAsia="宋体" w:cs="宋体"/>
          <w:color w:val="000000"/>
          <w:kern w:val="0"/>
          <w:sz w:val="18"/>
          <w:szCs w:val="18"/>
          <w:lang w:val="en-US" w:eastAsia="zh-CN" w:bidi="ar"/>
        </w:rPr>
        <w:t>是指某个</w:t>
      </w:r>
      <w:r>
        <w:rPr>
          <w:rFonts w:hint="eastAsia" w:ascii="Times New Roman" w:hAnsi="Times New Roman" w:cs="宋体"/>
          <w:color w:val="000000"/>
          <w:kern w:val="0"/>
          <w:sz w:val="18"/>
          <w:szCs w:val="18"/>
          <w:lang w:val="en-US" w:eastAsia="zh-CN" w:bidi="ar"/>
        </w:rPr>
        <w:t>风险源</w:t>
      </w:r>
      <w:r>
        <w:rPr>
          <w:rFonts w:hint="eastAsia" w:ascii="Times New Roman" w:hAnsi="Times New Roman" w:eastAsia="宋体" w:cs="宋体"/>
          <w:color w:val="000000"/>
          <w:kern w:val="0"/>
          <w:sz w:val="18"/>
          <w:szCs w:val="18"/>
          <w:lang w:val="en-US" w:eastAsia="zh-CN" w:bidi="ar"/>
        </w:rPr>
        <w:t xml:space="preserve">“过去”发生过伤害事故，可同时参照企业内部及相同行业内的安全事故。 </w:t>
      </w:r>
    </w:p>
    <w:p w14:paraId="4D67A814">
      <w:pPr>
        <w:keepNext w:val="0"/>
        <w:keepLines w:val="0"/>
        <w:widowControl w:val="0"/>
        <w:numPr>
          <w:ilvl w:val="0"/>
          <w:numId w:val="36"/>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现在； </w:t>
      </w:r>
    </w:p>
    <w:p w14:paraId="3A6CFB03">
      <w:pPr>
        <w:keepNext w:val="0"/>
        <w:keepLines w:val="0"/>
        <w:widowControl/>
        <w:suppressLineNumbers w:val="0"/>
        <w:spacing w:line="240" w:lineRule="auto"/>
        <w:ind w:firstLine="360" w:firstLineChars="200"/>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示例2：</w:t>
      </w:r>
      <w:r>
        <w:rPr>
          <w:rFonts w:hint="eastAsia" w:ascii="Times New Roman" w:hAnsi="Times New Roman" w:eastAsia="宋体" w:cs="宋体"/>
          <w:color w:val="000000"/>
          <w:kern w:val="0"/>
          <w:sz w:val="18"/>
          <w:szCs w:val="18"/>
          <w:lang w:val="en-US" w:eastAsia="zh-CN" w:bidi="ar"/>
        </w:rPr>
        <w:t>是指某个危险因素“现在”</w:t>
      </w:r>
      <w:r>
        <w:rPr>
          <w:rFonts w:hint="eastAsia" w:ascii="Times New Roman" w:hAnsi="Times New Roman" w:cs="宋体"/>
          <w:color w:val="000000"/>
          <w:kern w:val="0"/>
          <w:sz w:val="18"/>
          <w:szCs w:val="18"/>
          <w:lang w:val="en-US" w:eastAsia="zh-CN" w:bidi="ar"/>
        </w:rPr>
        <w:t>一直</w:t>
      </w:r>
      <w:r>
        <w:rPr>
          <w:rFonts w:hint="eastAsia" w:ascii="Times New Roman" w:hAnsi="Times New Roman" w:eastAsia="宋体" w:cs="宋体"/>
          <w:color w:val="000000"/>
          <w:kern w:val="0"/>
          <w:sz w:val="18"/>
          <w:szCs w:val="18"/>
          <w:lang w:val="en-US" w:eastAsia="zh-CN" w:bidi="ar"/>
        </w:rPr>
        <w:t xml:space="preserve">就危害着人体，如高温、噪声。 </w:t>
      </w:r>
    </w:p>
    <w:p w14:paraId="0C464BDD">
      <w:pPr>
        <w:keepNext w:val="0"/>
        <w:keepLines w:val="0"/>
        <w:widowControl w:val="0"/>
        <w:numPr>
          <w:ilvl w:val="0"/>
          <w:numId w:val="36"/>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将来。 </w:t>
      </w:r>
    </w:p>
    <w:p w14:paraId="2EC60D83">
      <w:pPr>
        <w:keepNext w:val="0"/>
        <w:keepLines w:val="0"/>
        <w:widowControl/>
        <w:suppressLineNumbers w:val="0"/>
        <w:spacing w:line="240" w:lineRule="auto"/>
        <w:ind w:firstLine="360" w:firstLineChars="200"/>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示例3：</w:t>
      </w:r>
      <w:r>
        <w:rPr>
          <w:rFonts w:hint="eastAsia" w:ascii="Times New Roman" w:hAnsi="Times New Roman" w:eastAsia="宋体" w:cs="宋体"/>
          <w:color w:val="000000"/>
          <w:kern w:val="0"/>
          <w:sz w:val="18"/>
          <w:szCs w:val="18"/>
          <w:lang w:val="en-US" w:eastAsia="zh-CN" w:bidi="ar"/>
        </w:rPr>
        <w:t>是指某个</w:t>
      </w:r>
      <w:r>
        <w:rPr>
          <w:rFonts w:hint="eastAsia" w:ascii="Times New Roman" w:hAnsi="Times New Roman" w:cs="宋体"/>
          <w:color w:val="000000"/>
          <w:kern w:val="0"/>
          <w:sz w:val="18"/>
          <w:szCs w:val="18"/>
          <w:lang w:val="en-US" w:eastAsia="zh-CN" w:bidi="ar"/>
        </w:rPr>
        <w:t>风险源</w:t>
      </w:r>
      <w:r>
        <w:rPr>
          <w:rFonts w:hint="eastAsia" w:ascii="Times New Roman" w:hAnsi="Times New Roman" w:eastAsia="宋体" w:cs="宋体"/>
          <w:color w:val="000000"/>
          <w:kern w:val="0"/>
          <w:sz w:val="18"/>
          <w:szCs w:val="18"/>
          <w:lang w:val="en-US" w:eastAsia="zh-CN" w:bidi="ar"/>
        </w:rPr>
        <w:t xml:space="preserve">存在“将来”对人体造成伤害的可能，重点考虑危害性较大，控制难度较大的事故，尤其 </w:t>
      </w:r>
    </w:p>
    <w:p w14:paraId="1E2D499F">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18"/>
          <w:szCs w:val="18"/>
          <w:lang w:val="en-US" w:eastAsia="zh-CN" w:bidi="ar"/>
        </w:rPr>
        <w:t>是频繁发生，但不易控制的方面，如</w:t>
      </w:r>
      <w:r>
        <w:rPr>
          <w:rFonts w:hint="eastAsia" w:ascii="Times New Roman" w:hAnsi="Times New Roman" w:cs="宋体"/>
          <w:color w:val="000000"/>
          <w:kern w:val="0"/>
          <w:sz w:val="18"/>
          <w:szCs w:val="18"/>
          <w:lang w:val="en-US" w:eastAsia="zh-CN" w:bidi="ar"/>
        </w:rPr>
        <w:t>液态镁遇水爆炸</w:t>
      </w:r>
      <w:r>
        <w:rPr>
          <w:rFonts w:hint="eastAsia" w:ascii="Times New Roman" w:hAnsi="Times New Roman" w:eastAsia="宋体" w:cs="宋体"/>
          <w:color w:val="000000"/>
          <w:kern w:val="0"/>
          <w:sz w:val="18"/>
          <w:szCs w:val="18"/>
          <w:lang w:val="en-US" w:eastAsia="zh-CN" w:bidi="ar"/>
        </w:rPr>
        <w:t>事故。</w:t>
      </w:r>
    </w:p>
    <w:p w14:paraId="3EEEEDCC">
      <w:pPr>
        <w:keepNext w:val="0"/>
        <w:keepLines w:val="0"/>
        <w:widowControl/>
        <w:numPr>
          <w:ilvl w:val="2"/>
          <w:numId w:val="2"/>
        </w:numPr>
        <w:suppressLineNumbers w:val="0"/>
        <w:spacing w:before="156" w:beforeLines="50" w:after="156" w:afterLines="50"/>
        <w:ind w:left="281" w:hanging="281" w:hangingChars="134"/>
        <w:jc w:val="left"/>
        <w:outlineLvl w:val="1"/>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风险评估 </w:t>
      </w:r>
    </w:p>
    <w:p w14:paraId="2D3035BD">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风险评估方法 </w:t>
      </w:r>
    </w:p>
    <w:p w14:paraId="5D845833">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kern w:val="0"/>
          <w:sz w:val="21"/>
          <w:szCs w:val="20"/>
          <w:lang w:val="en-US" w:eastAsia="zh-CN" w:bidi="ar"/>
        </w:rPr>
        <w:t>镁冶炼</w:t>
      </w:r>
      <w:r>
        <w:rPr>
          <w:rFonts w:hint="eastAsia" w:ascii="Times New Roman" w:hAnsi="Times New Roman" w:eastAsia="宋体" w:cs="Times New Roman"/>
          <w:color w:val="000000"/>
          <w:kern w:val="0"/>
          <w:sz w:val="21"/>
          <w:szCs w:val="20"/>
          <w:lang w:val="en-US" w:eastAsia="zh-CN" w:bidi="ar"/>
        </w:rPr>
        <w:t>风险评估按照 GB/T 27921 的规定，宜采用作业条件危险性评估法，它综合考虑了伤害事故的严重程度、可能性</w:t>
      </w:r>
      <w:r>
        <w:rPr>
          <w:rFonts w:hint="eastAsia" w:ascii="Times New Roman" w:hAnsi="Times New Roman" w:cs="Times New Roman"/>
          <w:color w:val="000000"/>
          <w:kern w:val="0"/>
          <w:sz w:val="21"/>
          <w:szCs w:val="20"/>
          <w:lang w:val="en-US" w:eastAsia="zh-CN" w:bidi="ar"/>
        </w:rPr>
        <w:t>，以及</w:t>
      </w:r>
      <w:r>
        <w:rPr>
          <w:rFonts w:hint="eastAsia" w:ascii="Times New Roman" w:hAnsi="Times New Roman" w:eastAsia="宋体" w:cs="Times New Roman"/>
          <w:color w:val="000000"/>
          <w:kern w:val="0"/>
          <w:sz w:val="21"/>
          <w:szCs w:val="20"/>
          <w:lang w:val="en-US" w:eastAsia="zh-CN" w:bidi="ar"/>
        </w:rPr>
        <w:t>暴露频次。</w:t>
      </w:r>
    </w:p>
    <w:p w14:paraId="6C830671">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 xml:space="preserve">可能性的等级通过现有控制措施与可能性判定准则对比判定；严重性通过事故类型及后果与 </w:t>
      </w:r>
    </w:p>
    <w:p w14:paraId="716E9308">
      <w:pPr>
        <w:keepNext w:val="0"/>
        <w:keepLines w:val="0"/>
        <w:widowControl/>
        <w:numPr>
          <w:ilvl w:val="-1"/>
          <w:numId w:val="0"/>
        </w:numPr>
        <w:suppressLineNumbers w:val="0"/>
        <w:spacing w:before="0" w:beforeLines="0" w:after="0" w:afterLines="0"/>
        <w:ind w:left="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 xml:space="preserve">严重性准则对比判定，LEC风险评估方法还考虑日常生产过程中暴露在危险环境中的频繁程度或危险状态出现的频次，对比频繁程度或频次判定准则进行判定，最后根据各参数的乘积对比风险值综合判定评估级别。 </w:t>
      </w:r>
    </w:p>
    <w:p w14:paraId="79A342D7">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 xml:space="preserve">根据控制措施的执行情况不同，改变其中事故发生的可能性或者严重程度等具体取值，取值 </w:t>
      </w:r>
    </w:p>
    <w:p w14:paraId="05F6D255">
      <w:pPr>
        <w:keepNext w:val="0"/>
        <w:keepLines w:val="0"/>
        <w:widowControl/>
        <w:numPr>
          <w:ilvl w:val="-1"/>
          <w:numId w:val="0"/>
        </w:numPr>
        <w:suppressLineNumbers w:val="0"/>
        <w:spacing w:before="0" w:beforeLines="0" w:after="0" w:afterLines="0"/>
        <w:ind w:left="0"/>
        <w:jc w:val="left"/>
        <w:outlineLvl w:val="9"/>
        <w:rPr>
          <w:rFonts w:ascii="Times New Roman" w:hAnsi="Times New Roman" w:cs="Times New Roman"/>
        </w:rPr>
      </w:pPr>
      <w:r>
        <w:rPr>
          <w:rFonts w:hint="eastAsia" w:ascii="Times New Roman" w:hAnsi="Times New Roman" w:eastAsia="宋体" w:cs="Times New Roman"/>
          <w:color w:val="000000"/>
          <w:kern w:val="0"/>
          <w:sz w:val="21"/>
          <w:szCs w:val="20"/>
          <w:lang w:val="en-US" w:eastAsia="zh-CN" w:bidi="ar"/>
        </w:rPr>
        <w:t xml:space="preserve">时应综合考虑自身管控能力，确定取值。 </w:t>
      </w:r>
    </w:p>
    <w:p w14:paraId="66EC665D">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氧化</w:t>
      </w:r>
      <w:r>
        <w:rPr>
          <w:rFonts w:hint="eastAsia" w:ascii="Times New Roman" w:hAnsi="Times New Roman" w:eastAsia="宋体" w:cs="Times New Roman"/>
          <w:kern w:val="0"/>
          <w:sz w:val="21"/>
          <w:szCs w:val="20"/>
          <w:lang w:val="en-US" w:eastAsia="zh-CN" w:bidi="ar"/>
        </w:rPr>
        <w:t>镁</w:t>
      </w:r>
      <w:r>
        <w:rPr>
          <w:rFonts w:hint="eastAsia" w:ascii="Times New Roman" w:hAnsi="Times New Roman" w:eastAsia="宋体" w:cs="Times New Roman"/>
          <w:color w:val="000000"/>
          <w:kern w:val="0"/>
          <w:sz w:val="21"/>
          <w:szCs w:val="20"/>
          <w:lang w:val="en-US" w:eastAsia="zh-CN" w:bidi="ar"/>
        </w:rPr>
        <w:t>、电解</w:t>
      </w:r>
      <w:r>
        <w:rPr>
          <w:rFonts w:hint="eastAsia" w:ascii="Times New Roman" w:hAnsi="Times New Roman" w:eastAsia="宋体" w:cs="Times New Roman"/>
          <w:kern w:val="0"/>
          <w:sz w:val="21"/>
          <w:szCs w:val="20"/>
          <w:lang w:val="en-US" w:eastAsia="zh-CN" w:bidi="ar"/>
        </w:rPr>
        <w:t>镁</w:t>
      </w:r>
      <w:r>
        <w:rPr>
          <w:rFonts w:hint="eastAsia" w:ascii="Times New Roman" w:hAnsi="Times New Roman" w:eastAsia="宋体" w:cs="Times New Roman"/>
          <w:color w:val="000000"/>
          <w:kern w:val="0"/>
          <w:sz w:val="21"/>
          <w:szCs w:val="20"/>
          <w:lang w:val="en-US" w:eastAsia="zh-CN" w:bidi="ar"/>
        </w:rPr>
        <w:t xml:space="preserve">风险评估方法可采用直接判定法、安全检查表法、矩阵法等其他方法，在进 </w:t>
      </w:r>
    </w:p>
    <w:p w14:paraId="3BED3F50">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 xml:space="preserve">行风险辨识评估的过程中结合实际情况选择运用。符合工贸行业重大生产安全事故隐患判定标准（2022 </w:t>
      </w:r>
    </w:p>
    <w:p w14:paraId="11AE959C">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 xml:space="preserve">版）的应评估为重大风险，可直接判定为重大风险情形应至少包含以下情形： </w:t>
      </w:r>
    </w:p>
    <w:p w14:paraId="134EA7EA">
      <w:pPr>
        <w:keepNext w:val="0"/>
        <w:keepLines w:val="0"/>
        <w:widowControl w:val="0"/>
        <w:numPr>
          <w:ilvl w:val="0"/>
          <w:numId w:val="37"/>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涉及危化品重大</w:t>
      </w:r>
      <w:r>
        <w:rPr>
          <w:rFonts w:hint="eastAsia" w:ascii="Times New Roman" w:hAnsi="Times New Roman" w:cs="Times New Roman"/>
          <w:color w:val="auto"/>
          <w:kern w:val="2"/>
          <w:sz w:val="21"/>
          <w:szCs w:val="21"/>
          <w:lang w:val="en-US" w:eastAsia="zh-CN" w:bidi="ar"/>
        </w:rPr>
        <w:t>风险源</w:t>
      </w:r>
      <w:r>
        <w:rPr>
          <w:rFonts w:hint="eastAsia" w:ascii="Times New Roman" w:hAnsi="Times New Roman" w:eastAsia="宋体" w:cs="Times New Roman"/>
          <w:color w:val="auto"/>
          <w:kern w:val="2"/>
          <w:sz w:val="21"/>
          <w:szCs w:val="21"/>
          <w:lang w:val="en-US" w:eastAsia="zh-CN" w:bidi="ar"/>
        </w:rPr>
        <w:t xml:space="preserve">的； </w:t>
      </w:r>
    </w:p>
    <w:p w14:paraId="28B90BD5">
      <w:pPr>
        <w:keepNext w:val="0"/>
        <w:keepLines w:val="0"/>
        <w:widowControl w:val="0"/>
        <w:numPr>
          <w:ilvl w:val="0"/>
          <w:numId w:val="37"/>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涉及重点监管的危险化学品和重点监管的危险化工工艺的； </w:t>
      </w:r>
    </w:p>
    <w:p w14:paraId="12FFF4C3">
      <w:pPr>
        <w:keepNext w:val="0"/>
        <w:keepLines w:val="0"/>
        <w:widowControl w:val="0"/>
        <w:numPr>
          <w:ilvl w:val="0"/>
          <w:numId w:val="37"/>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违反</w:t>
      </w:r>
      <w:r>
        <w:rPr>
          <w:rFonts w:hint="eastAsia" w:ascii="Times New Roman" w:hAnsi="Times New Roman" w:cs="Times New Roman"/>
          <w:color w:val="auto"/>
          <w:kern w:val="2"/>
          <w:sz w:val="21"/>
          <w:szCs w:val="21"/>
          <w:lang w:val="en-US" w:eastAsia="zh-CN" w:bidi="ar"/>
        </w:rPr>
        <w:t>法律法规</w:t>
      </w:r>
      <w:r>
        <w:rPr>
          <w:rFonts w:hint="eastAsia" w:ascii="Times New Roman" w:hAnsi="Times New Roman" w:eastAsia="宋体" w:cs="Times New Roman"/>
          <w:color w:val="auto"/>
          <w:kern w:val="2"/>
          <w:sz w:val="21"/>
          <w:szCs w:val="21"/>
          <w:lang w:val="en-US" w:eastAsia="zh-CN" w:bidi="ar"/>
        </w:rPr>
        <w:t xml:space="preserve">、规章及国家标准规范中强制性条款的； </w:t>
      </w:r>
    </w:p>
    <w:p w14:paraId="71B87E34">
      <w:pPr>
        <w:keepNext w:val="0"/>
        <w:keepLines w:val="0"/>
        <w:widowControl w:val="0"/>
        <w:numPr>
          <w:ilvl w:val="0"/>
          <w:numId w:val="37"/>
        </w:numPr>
        <w:suppressLineNumbers w:val="0"/>
        <w:tabs>
          <w:tab w:val="left" w:pos="836"/>
        </w:tabs>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具有中毒、爆炸、火灾、坍塌等危险的场所，现场作业人员在</w:t>
      </w:r>
      <w:r>
        <w:rPr>
          <w:rFonts w:hint="eastAsia" w:ascii="Times New Roman" w:hAnsi="Times New Roman" w:cs="Times New Roman"/>
          <w:kern w:val="2"/>
          <w:sz w:val="21"/>
          <w:szCs w:val="21"/>
          <w:lang w:val="en-US" w:eastAsia="zh-CN" w:bidi="ar"/>
        </w:rPr>
        <w:t>3</w:t>
      </w:r>
      <w:r>
        <w:rPr>
          <w:rFonts w:hint="eastAsia" w:ascii="Times New Roman" w:hAnsi="Times New Roman" w:eastAsia="宋体" w:cs="Times New Roman"/>
          <w:color w:val="auto"/>
          <w:kern w:val="2"/>
          <w:sz w:val="21"/>
          <w:szCs w:val="21"/>
          <w:lang w:val="en-US" w:eastAsia="zh-CN" w:bidi="ar"/>
        </w:rPr>
        <w:t xml:space="preserve">人以上的。 </w:t>
      </w:r>
    </w:p>
    <w:p w14:paraId="7E351E32">
      <w:pPr>
        <w:keepNext w:val="0"/>
        <w:keepLines w:val="0"/>
        <w:widowControl w:val="0"/>
        <w:numPr>
          <w:ilvl w:val="0"/>
          <w:numId w:val="37"/>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同行业企业（单位）近期或本企业（单位）发生过死亡、重伤、职业病、重大财产损失事故， </w:t>
      </w:r>
    </w:p>
    <w:p w14:paraId="28B1A7D4">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 xml:space="preserve">或三次以上轻伤、一般财产损失事故，且发生事故的条件依然存在的； </w:t>
      </w:r>
    </w:p>
    <w:p w14:paraId="369AB400">
      <w:pPr>
        <w:keepNext w:val="0"/>
        <w:keepLines w:val="0"/>
        <w:widowControl w:val="0"/>
        <w:numPr>
          <w:ilvl w:val="0"/>
          <w:numId w:val="37"/>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涉及特种设备设施类装置的； </w:t>
      </w:r>
    </w:p>
    <w:p w14:paraId="298134D1">
      <w:pPr>
        <w:keepNext w:val="0"/>
        <w:keepLines w:val="0"/>
        <w:widowControl w:val="0"/>
        <w:numPr>
          <w:ilvl w:val="0"/>
          <w:numId w:val="37"/>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构成重大事故隐患的； </w:t>
      </w:r>
    </w:p>
    <w:p w14:paraId="02F83F00">
      <w:pPr>
        <w:keepNext w:val="0"/>
        <w:keepLines w:val="0"/>
        <w:widowControl w:val="0"/>
        <w:numPr>
          <w:ilvl w:val="0"/>
          <w:numId w:val="37"/>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涉及动火、有限空间、吊装、盲板抽堵、动土、断路、高处、设备检维修、临时用电等九大 </w:t>
      </w:r>
    </w:p>
    <w:p w14:paraId="2AB53880">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 xml:space="preserve">危险作业的； </w:t>
      </w:r>
    </w:p>
    <w:p w14:paraId="51B163EB">
      <w:pPr>
        <w:keepNext w:val="0"/>
        <w:keepLines w:val="0"/>
        <w:widowControl w:val="0"/>
        <w:numPr>
          <w:ilvl w:val="0"/>
          <w:numId w:val="37"/>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 xml:space="preserve">建设项目试生产和化工装置开停车； </w:t>
      </w:r>
    </w:p>
    <w:p w14:paraId="04A3E224">
      <w:pPr>
        <w:keepNext w:val="0"/>
        <w:keepLines w:val="0"/>
        <w:widowControl w:val="0"/>
        <w:numPr>
          <w:ilvl w:val="0"/>
          <w:numId w:val="37"/>
        </w:numPr>
        <w:suppressLineNumbers w:val="0"/>
        <w:adjustRightInd/>
        <w:spacing w:line="240" w:lineRule="auto"/>
        <w:ind w:left="840" w:leftChars="200" w:hanging="420" w:hangingChars="200"/>
        <w:jc w:val="both"/>
        <w:rPr>
          <w:rFonts w:hint="eastAsia" w:ascii="Times New Roman" w:hAnsi="Times New Roman" w:cs="Times New Roman"/>
          <w:lang w:bidi="ar"/>
        </w:rPr>
      </w:pPr>
      <w:r>
        <w:rPr>
          <w:rFonts w:hint="eastAsia" w:ascii="Times New Roman" w:hAnsi="Times New Roman" w:eastAsia="宋体" w:cs="Times New Roman"/>
          <w:color w:val="auto"/>
          <w:kern w:val="2"/>
          <w:sz w:val="21"/>
          <w:szCs w:val="21"/>
          <w:lang w:val="en-US" w:eastAsia="zh-CN" w:bidi="ar"/>
        </w:rPr>
        <w:t>涉及生产有毒有害气体的作业场所。</w:t>
      </w:r>
    </w:p>
    <w:p w14:paraId="2EB82821">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风险评估准则 </w:t>
      </w:r>
    </w:p>
    <w:p w14:paraId="366F1E3B">
      <w:pPr>
        <w:keepNext w:val="0"/>
        <w:keepLines w:val="0"/>
        <w:widowControl/>
        <w:suppressLineNumbers w:val="0"/>
        <w:spacing w:line="240" w:lineRule="auto"/>
        <w:ind w:firstLine="420" w:firstLineChars="200"/>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企业在对风险点和各类</w:t>
      </w:r>
      <w:r>
        <w:rPr>
          <w:rFonts w:hint="eastAsia" w:ascii="Times New Roman" w:hAnsi="Times New Roman" w:cs="宋体"/>
          <w:color w:val="000000"/>
          <w:kern w:val="0"/>
          <w:sz w:val="21"/>
          <w:szCs w:val="21"/>
          <w:lang w:val="en-US" w:eastAsia="zh-CN" w:bidi="ar"/>
        </w:rPr>
        <w:t>风险源</w:t>
      </w:r>
      <w:r>
        <w:rPr>
          <w:rFonts w:hint="eastAsia" w:ascii="Times New Roman" w:hAnsi="Times New Roman" w:eastAsia="宋体" w:cs="宋体"/>
          <w:color w:val="000000"/>
          <w:kern w:val="0"/>
          <w:sz w:val="21"/>
          <w:szCs w:val="21"/>
          <w:lang w:val="en-US" w:eastAsia="zh-CN" w:bidi="ar"/>
        </w:rPr>
        <w:t xml:space="preserve">进行风险评估时，应结合自身可接受风险实际，明确事故（事件）发 </w:t>
      </w:r>
    </w:p>
    <w:p w14:paraId="2BABF681">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 xml:space="preserve">生的可能性、严重性、风险值的取值标准和评估级别，进行风险评估。风险评估应遵循从严从高的原则， </w:t>
      </w:r>
    </w:p>
    <w:p w14:paraId="6A2E1DC0">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制定风险评估准则时应考虑在不违背相关法律法规的情况下，企业内控的安全生产管理目标。</w:t>
      </w:r>
    </w:p>
    <w:p w14:paraId="43D6C80B">
      <w:pPr>
        <w:keepNext w:val="0"/>
        <w:keepLines w:val="0"/>
        <w:widowControl/>
        <w:numPr>
          <w:ilvl w:val="2"/>
          <w:numId w:val="2"/>
        </w:numPr>
        <w:suppressLineNumbers w:val="0"/>
        <w:spacing w:before="156" w:beforeLines="50" w:after="156" w:afterLines="50"/>
        <w:ind w:left="281" w:hanging="281" w:hangingChars="134"/>
        <w:jc w:val="left"/>
        <w:outlineLvl w:val="1"/>
        <w:rPr>
          <w:rFonts w:hint="eastAsia" w:ascii="Times New Roman" w:hAnsi="Times New Roman" w:eastAsia="黑体" w:cs="Times New Roman"/>
          <w:color w:val="000000"/>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风险分级 </w:t>
      </w:r>
    </w:p>
    <w:p w14:paraId="6B180392">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color w:val="000000"/>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风险级别划分（LEC 法） </w:t>
      </w:r>
    </w:p>
    <w:p w14:paraId="48158146">
      <w:pPr>
        <w:keepNext w:val="0"/>
        <w:keepLines w:val="0"/>
        <w:widowControl/>
        <w:suppressLineNumbers w:val="0"/>
        <w:spacing w:line="240" w:lineRule="auto"/>
        <w:ind w:firstLine="420" w:firstLineChars="200"/>
        <w:jc w:val="left"/>
        <w:rPr>
          <w:rFonts w:hint="eastAsia" w:ascii="Times New Roman" w:hAnsi="Times New Roman" w:cs="宋体"/>
          <w:color w:val="000000"/>
          <w:kern w:val="0"/>
          <w:lang w:bidi="ar"/>
        </w:rPr>
      </w:pPr>
      <w:r>
        <w:rPr>
          <w:rFonts w:hint="eastAsia" w:ascii="Times New Roman" w:hAnsi="Times New Roman" w:eastAsia="宋体" w:cs="宋体"/>
          <w:color w:val="000000"/>
          <w:kern w:val="0"/>
          <w:sz w:val="21"/>
          <w:szCs w:val="21"/>
          <w:lang w:val="en-US" w:eastAsia="zh-CN" w:bidi="ar"/>
        </w:rPr>
        <w:t xml:space="preserve">风险级别的划分，由低到高分为四级、三级、二级、一级，一级风险由企业最高管理层控制，其他 </w:t>
      </w:r>
    </w:p>
    <w:p w14:paraId="7EEBB351">
      <w:pPr>
        <w:keepNext w:val="0"/>
        <w:keepLines w:val="0"/>
        <w:widowControl/>
        <w:suppressLineNumbers w:val="0"/>
        <w:spacing w:line="240" w:lineRule="auto"/>
        <w:ind w:firstLine="0" w:firstLineChars="0"/>
        <w:jc w:val="left"/>
        <w:rPr>
          <w:rFonts w:hint="eastAsia" w:ascii="Times New Roman" w:hAnsi="Times New Roman" w:cs="宋体"/>
          <w:color w:val="000000"/>
          <w:kern w:val="0"/>
          <w:lang w:bidi="ar"/>
        </w:rPr>
      </w:pPr>
      <w:r>
        <w:rPr>
          <w:rFonts w:hint="eastAsia" w:ascii="Times New Roman" w:hAnsi="Times New Roman" w:eastAsia="宋体" w:cs="宋体"/>
          <w:color w:val="000000"/>
          <w:kern w:val="0"/>
          <w:sz w:val="21"/>
          <w:szCs w:val="21"/>
          <w:lang w:val="en-US" w:eastAsia="zh-CN" w:bidi="ar"/>
        </w:rPr>
        <w:t xml:space="preserve">级别风险分别由最高层以下层级逐级降低层级控制，具体如下： </w:t>
      </w:r>
    </w:p>
    <w:p w14:paraId="22E081E1">
      <w:pPr>
        <w:keepNext w:val="0"/>
        <w:keepLines w:val="0"/>
        <w:widowControl w:val="0"/>
        <w:numPr>
          <w:ilvl w:val="0"/>
          <w:numId w:val="38"/>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四级（蓝色）：低风险，可以接受或可容许的，班组、岗位应进行管控；</w:t>
      </w:r>
    </w:p>
    <w:p w14:paraId="20F6D19F">
      <w:pPr>
        <w:keepNext w:val="0"/>
        <w:keepLines w:val="0"/>
        <w:widowControl w:val="0"/>
        <w:numPr>
          <w:ilvl w:val="0"/>
          <w:numId w:val="38"/>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三级（黄色）：一般风险，需要控制，车间、班组、岗位应进行管控；</w:t>
      </w:r>
    </w:p>
    <w:p w14:paraId="272149B0">
      <w:pPr>
        <w:keepNext w:val="0"/>
        <w:keepLines w:val="0"/>
        <w:widowControl w:val="0"/>
        <w:numPr>
          <w:ilvl w:val="0"/>
          <w:numId w:val="38"/>
        </w:numPr>
        <w:suppressLineNumbers w:val="0"/>
        <w:adjustRightInd/>
        <w:spacing w:line="240" w:lineRule="auto"/>
        <w:ind w:left="840" w:leftChars="200" w:hanging="420" w:hangingChars="200"/>
        <w:jc w:val="both"/>
        <w:rPr>
          <w:rFonts w:hint="eastAsia" w:ascii="Times New Roman" w:hAnsi="Times New Roman" w:cs="宋体"/>
          <w:color w:val="000000"/>
          <w:kern w:val="0"/>
          <w:lang w:bidi="ar"/>
        </w:rPr>
      </w:pPr>
      <w:r>
        <w:rPr>
          <w:rFonts w:hint="eastAsia" w:ascii="Times New Roman" w:hAnsi="Times New Roman" w:eastAsia="宋体" w:cs="Times New Roman"/>
          <w:color w:val="auto"/>
          <w:kern w:val="2"/>
          <w:sz w:val="21"/>
          <w:szCs w:val="21"/>
          <w:lang w:val="en-US" w:eastAsia="zh-CN" w:bidi="ar"/>
        </w:rPr>
        <w:t>二级（橙色）：较大风险，应制定措施进行控制管理，</w:t>
      </w:r>
      <w:r>
        <w:rPr>
          <w:rFonts w:hint="eastAsia" w:ascii="Times New Roman" w:hAnsi="Times New Roman" w:cs="Times New Roman"/>
          <w:color w:val="auto"/>
          <w:kern w:val="2"/>
          <w:sz w:val="21"/>
          <w:szCs w:val="21"/>
          <w:lang w:val="en-US" w:eastAsia="zh-CN" w:bidi="ar"/>
        </w:rPr>
        <w:t>同时</w:t>
      </w:r>
      <w:r>
        <w:rPr>
          <w:rFonts w:hint="eastAsia" w:ascii="Times New Roman" w:hAnsi="Times New Roman" w:eastAsia="宋体" w:cs="Times New Roman"/>
          <w:color w:val="auto"/>
          <w:kern w:val="2"/>
          <w:sz w:val="21"/>
          <w:szCs w:val="21"/>
          <w:lang w:val="en-US" w:eastAsia="zh-CN" w:bidi="ar"/>
        </w:rPr>
        <w:t>伴随相应风险的作业活动，执</w:t>
      </w:r>
      <w:r>
        <w:rPr>
          <w:rFonts w:hint="eastAsia" w:ascii="Times New Roman" w:hAnsi="Times New Roman" w:eastAsia="宋体" w:cs="宋体"/>
          <w:color w:val="000000"/>
          <w:kern w:val="0"/>
          <w:sz w:val="21"/>
          <w:szCs w:val="21"/>
          <w:lang w:val="en-US" w:eastAsia="zh-CN" w:bidi="ar"/>
        </w:rPr>
        <w:t>行相应的风险作业审批管理，分厂、车间级、班组、岗位应进行管控；</w:t>
      </w:r>
    </w:p>
    <w:p w14:paraId="244FB0ED">
      <w:pPr>
        <w:keepNext w:val="0"/>
        <w:keepLines w:val="0"/>
        <w:widowControl w:val="0"/>
        <w:numPr>
          <w:ilvl w:val="0"/>
          <w:numId w:val="38"/>
        </w:numPr>
        <w:suppressLineNumbers w:val="0"/>
        <w:adjustRightInd/>
        <w:spacing w:line="240" w:lineRule="auto"/>
        <w:ind w:left="840" w:leftChars="200" w:hanging="420" w:hangingChars="200"/>
        <w:jc w:val="both"/>
        <w:rPr>
          <w:rFonts w:hint="eastAsia" w:ascii="Times New Roman" w:hAnsi="Times New Roman" w:cs="宋体"/>
          <w:color w:val="000000"/>
          <w:kern w:val="0"/>
          <w:lang w:bidi="ar"/>
        </w:rPr>
      </w:pPr>
      <w:r>
        <w:rPr>
          <w:rFonts w:hint="eastAsia" w:ascii="Times New Roman" w:hAnsi="Times New Roman" w:eastAsia="宋体" w:cs="Times New Roman"/>
          <w:color w:val="auto"/>
          <w:kern w:val="2"/>
          <w:sz w:val="21"/>
          <w:szCs w:val="21"/>
          <w:lang w:val="en-US" w:eastAsia="zh-CN" w:bidi="ar"/>
        </w:rPr>
        <w:t>一级（红色）：重大风险，公司级、厂级、车间级、班组、岗位管控，应重点管控，视管控</w:t>
      </w:r>
      <w:r>
        <w:rPr>
          <w:rFonts w:hint="eastAsia" w:ascii="Times New Roman" w:hAnsi="Times New Roman" w:eastAsia="宋体" w:cs="宋体"/>
          <w:color w:val="000000"/>
          <w:kern w:val="0"/>
          <w:sz w:val="21"/>
          <w:szCs w:val="21"/>
          <w:lang w:val="en-US" w:eastAsia="zh-CN" w:bidi="ar"/>
        </w:rPr>
        <w:t xml:space="preserve">措施有效情况决定是否停产整改，需要停产整改的，只有当风险降至可接受后，才能开始或继续工作。 </w:t>
      </w:r>
    </w:p>
    <w:p w14:paraId="1C9210C1">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color w:val="000000"/>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风险点级别确定 </w:t>
      </w:r>
    </w:p>
    <w:p w14:paraId="6891F852">
      <w:pPr>
        <w:keepNext w:val="0"/>
        <w:keepLines w:val="0"/>
        <w:widowControl/>
        <w:suppressLineNumbers w:val="0"/>
        <w:spacing w:line="240" w:lineRule="auto"/>
        <w:ind w:firstLine="420" w:firstLineChars="200"/>
        <w:jc w:val="left"/>
        <w:rPr>
          <w:rFonts w:hint="eastAsia" w:ascii="Times New Roman" w:hAnsi="Times New Roman" w:cs="宋体"/>
          <w:color w:val="000000"/>
          <w:kern w:val="0"/>
          <w:lang w:bidi="ar"/>
        </w:rPr>
      </w:pPr>
      <w:r>
        <w:rPr>
          <w:rFonts w:hint="eastAsia" w:ascii="Times New Roman" w:hAnsi="Times New Roman" w:eastAsia="宋体" w:cs="宋体"/>
          <w:color w:val="000000"/>
          <w:kern w:val="0"/>
          <w:sz w:val="21"/>
          <w:szCs w:val="21"/>
          <w:lang w:val="en-US" w:eastAsia="zh-CN" w:bidi="ar"/>
        </w:rPr>
        <w:t>按照风险点中各</w:t>
      </w:r>
      <w:r>
        <w:rPr>
          <w:rFonts w:hint="eastAsia" w:ascii="Times New Roman" w:hAnsi="Times New Roman" w:cs="宋体"/>
          <w:color w:val="000000"/>
          <w:kern w:val="0"/>
          <w:sz w:val="21"/>
          <w:szCs w:val="21"/>
          <w:lang w:val="en-US" w:eastAsia="zh-CN" w:bidi="ar"/>
        </w:rPr>
        <w:t>风险源</w:t>
      </w:r>
      <w:r>
        <w:rPr>
          <w:rFonts w:hint="eastAsia" w:ascii="Times New Roman" w:hAnsi="Times New Roman" w:eastAsia="宋体" w:cs="宋体"/>
          <w:color w:val="000000"/>
          <w:kern w:val="0"/>
          <w:sz w:val="21"/>
          <w:szCs w:val="21"/>
          <w:lang w:val="en-US" w:eastAsia="zh-CN" w:bidi="ar"/>
        </w:rPr>
        <w:t>评估出的最高风险级别作为该风险点的级别。</w:t>
      </w:r>
    </w:p>
    <w:p w14:paraId="31447186">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color w:val="000000"/>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直接判定为重大风险点的情形 </w:t>
      </w:r>
    </w:p>
    <w:p w14:paraId="770902F6">
      <w:pPr>
        <w:keepNext w:val="0"/>
        <w:keepLines w:val="0"/>
        <w:widowControl/>
        <w:suppressLineNumbers w:val="0"/>
        <w:spacing w:line="240" w:lineRule="auto"/>
        <w:ind w:firstLine="420" w:firstLineChars="200"/>
        <w:jc w:val="left"/>
        <w:rPr>
          <w:rFonts w:hint="eastAsia" w:ascii="Times New Roman" w:hAnsi="Times New Roman" w:cs="宋体"/>
          <w:color w:val="000000"/>
          <w:kern w:val="0"/>
          <w:lang w:bidi="ar"/>
        </w:rPr>
      </w:pPr>
      <w:r>
        <w:rPr>
          <w:rFonts w:hint="eastAsia" w:ascii="Times New Roman" w:hAnsi="Times New Roman" w:eastAsia="宋体" w:cs="宋体"/>
          <w:color w:val="000000"/>
          <w:kern w:val="0"/>
          <w:sz w:val="21"/>
          <w:szCs w:val="21"/>
          <w:lang w:val="en-US" w:eastAsia="zh-CN" w:bidi="ar"/>
        </w:rPr>
        <w:t>直接判定为重大风险点的情形主要包括：</w:t>
      </w:r>
    </w:p>
    <w:p w14:paraId="25D9A717">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涉及危险化学品重大</w:t>
      </w:r>
      <w:r>
        <w:rPr>
          <w:rFonts w:hint="eastAsia" w:ascii="Times New Roman" w:hAnsi="Times New Roman" w:cs="Times New Roman"/>
          <w:color w:val="auto"/>
          <w:kern w:val="2"/>
          <w:sz w:val="21"/>
          <w:szCs w:val="21"/>
          <w:lang w:val="en-US" w:eastAsia="zh-CN" w:bidi="ar"/>
        </w:rPr>
        <w:t>风险源</w:t>
      </w:r>
      <w:r>
        <w:rPr>
          <w:rFonts w:hint="eastAsia" w:ascii="Times New Roman" w:hAnsi="Times New Roman" w:eastAsia="宋体" w:cs="Times New Roman"/>
          <w:color w:val="auto"/>
          <w:kern w:val="2"/>
          <w:sz w:val="21"/>
          <w:szCs w:val="21"/>
          <w:lang w:val="en-US" w:eastAsia="zh-CN" w:bidi="ar"/>
        </w:rPr>
        <w:t>的</w:t>
      </w:r>
      <w:r>
        <w:rPr>
          <w:rFonts w:hint="eastAsia" w:ascii="Times New Roman" w:hAnsi="Times New Roman" w:cs="Times New Roman"/>
          <w:color w:val="auto"/>
          <w:kern w:val="2"/>
          <w:sz w:val="21"/>
          <w:szCs w:val="21"/>
          <w:lang w:val="en-US" w:eastAsia="zh-CN" w:bidi="ar"/>
        </w:rPr>
        <w:t>（按GB 18218判断）</w:t>
      </w:r>
      <w:r>
        <w:rPr>
          <w:rFonts w:hint="eastAsia" w:ascii="Times New Roman" w:hAnsi="Times New Roman" w:eastAsia="宋体" w:cs="Times New Roman"/>
          <w:color w:val="auto"/>
          <w:kern w:val="2"/>
          <w:sz w:val="21"/>
          <w:szCs w:val="21"/>
          <w:lang w:val="en-US" w:eastAsia="zh-CN" w:bidi="ar"/>
        </w:rPr>
        <w:t>；</w:t>
      </w:r>
    </w:p>
    <w:p w14:paraId="5BC4448E">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涉及重点监管的危险化学品和重点监管的危险化工工艺的；</w:t>
      </w:r>
    </w:p>
    <w:p w14:paraId="0F083723">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违反</w:t>
      </w:r>
      <w:r>
        <w:rPr>
          <w:rFonts w:hint="eastAsia" w:ascii="Times New Roman" w:hAnsi="Times New Roman" w:cs="Times New Roman"/>
          <w:color w:val="auto"/>
          <w:kern w:val="2"/>
          <w:sz w:val="21"/>
          <w:szCs w:val="21"/>
          <w:lang w:val="en-US" w:eastAsia="zh-CN" w:bidi="ar"/>
        </w:rPr>
        <w:t>法律法规</w:t>
      </w:r>
      <w:r>
        <w:rPr>
          <w:rFonts w:hint="eastAsia" w:ascii="Times New Roman" w:hAnsi="Times New Roman" w:eastAsia="宋体" w:cs="Times New Roman"/>
          <w:color w:val="auto"/>
          <w:kern w:val="2"/>
          <w:sz w:val="21"/>
          <w:szCs w:val="21"/>
          <w:lang w:val="en-US" w:eastAsia="zh-CN" w:bidi="ar"/>
        </w:rPr>
        <w:t>、规章及国家标准规范中强制性条款的；</w:t>
      </w:r>
    </w:p>
    <w:p w14:paraId="690172F7">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具有中毒、爆炸、火灾、坍塌等危险的场所，现场作业人员在</w:t>
      </w:r>
      <w:r>
        <w:rPr>
          <w:rFonts w:hint="eastAsia" w:ascii="Times New Roman" w:hAnsi="Times New Roman" w:cs="Times New Roman"/>
          <w:color w:val="auto"/>
          <w:kern w:val="2"/>
          <w:sz w:val="21"/>
          <w:szCs w:val="21"/>
          <w:lang w:val="en-US" w:eastAsia="zh-CN" w:bidi="ar"/>
        </w:rPr>
        <w:t>3</w:t>
      </w:r>
      <w:r>
        <w:rPr>
          <w:rFonts w:hint="eastAsia" w:ascii="Times New Roman" w:hAnsi="Times New Roman" w:eastAsia="宋体" w:cs="Times New Roman"/>
          <w:color w:val="auto"/>
          <w:kern w:val="2"/>
          <w:sz w:val="21"/>
          <w:szCs w:val="21"/>
          <w:lang w:val="en-US" w:eastAsia="zh-CN" w:bidi="ar"/>
        </w:rPr>
        <w:t>人以上的；</w:t>
      </w:r>
    </w:p>
    <w:p w14:paraId="26F60A8D">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宋体"/>
          <w:color w:val="000000"/>
          <w:kern w:val="0"/>
          <w:lang w:bidi="ar"/>
        </w:rPr>
      </w:pPr>
      <w:r>
        <w:rPr>
          <w:rFonts w:hint="eastAsia" w:ascii="Times New Roman" w:hAnsi="Times New Roman" w:eastAsia="宋体" w:cs="Times New Roman"/>
          <w:color w:val="auto"/>
          <w:kern w:val="2"/>
          <w:sz w:val="21"/>
          <w:szCs w:val="21"/>
          <w:lang w:val="en-US" w:eastAsia="zh-CN" w:bidi="ar"/>
        </w:rPr>
        <w:t>同行业企业（单位）近期或本企业（单位）发生过死亡、重伤、职业病、重大财产损失事故，</w:t>
      </w:r>
      <w:r>
        <w:rPr>
          <w:rFonts w:hint="eastAsia" w:ascii="Times New Roman" w:hAnsi="Times New Roman" w:eastAsia="宋体" w:cs="宋体"/>
          <w:color w:val="000000"/>
          <w:kern w:val="0"/>
          <w:sz w:val="21"/>
          <w:szCs w:val="21"/>
          <w:lang w:val="en-US" w:eastAsia="zh-CN" w:bidi="ar"/>
        </w:rPr>
        <w:t>或三次以上轻伤、一般财产损失事故，且发生事故的条件依然存在的；</w:t>
      </w:r>
    </w:p>
    <w:p w14:paraId="1DD6BB90">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涉及特种设备设施类装置的；</w:t>
      </w:r>
    </w:p>
    <w:p w14:paraId="7DAC9B8C">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构成重大事故隐患的；</w:t>
      </w:r>
    </w:p>
    <w:p w14:paraId="7AFC8C4F">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 xml:space="preserve">涉及动火、有限空间、吊装、盲板抽堵、动土、断路、高处、设备检维修、临时用电等九大 </w:t>
      </w:r>
    </w:p>
    <w:p w14:paraId="557035CC">
      <w:pPr>
        <w:keepNext w:val="0"/>
        <w:keepLines w:val="0"/>
        <w:widowControl/>
        <w:suppressLineNumbers w:val="0"/>
        <w:spacing w:line="240" w:lineRule="auto"/>
        <w:ind w:firstLine="840" w:firstLineChars="400"/>
        <w:jc w:val="left"/>
        <w:rPr>
          <w:rFonts w:hint="eastAsia" w:ascii="Times New Roman" w:hAnsi="Times New Roman" w:cs="宋体"/>
          <w:color w:val="000000"/>
          <w:kern w:val="0"/>
          <w:lang w:bidi="ar"/>
        </w:rPr>
      </w:pPr>
      <w:r>
        <w:rPr>
          <w:rFonts w:hint="eastAsia" w:ascii="Times New Roman" w:hAnsi="Times New Roman" w:eastAsia="宋体" w:cs="宋体"/>
          <w:color w:val="000000"/>
          <w:kern w:val="0"/>
          <w:sz w:val="21"/>
          <w:szCs w:val="21"/>
          <w:lang w:val="en-US" w:eastAsia="zh-CN" w:bidi="ar"/>
        </w:rPr>
        <w:t>危险作业的；</w:t>
      </w:r>
    </w:p>
    <w:p w14:paraId="1D6D2A3A">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建设项目试生产和化工装置开停车；</w:t>
      </w:r>
    </w:p>
    <w:p w14:paraId="568B3592">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涉及生产有毒有害气体的作业场所；</w:t>
      </w:r>
    </w:p>
    <w:p w14:paraId="7924BCC4">
      <w:pPr>
        <w:keepNext w:val="0"/>
        <w:keepLines w:val="0"/>
        <w:widowControl w:val="0"/>
        <w:numPr>
          <w:ilvl w:val="0"/>
          <w:numId w:val="39"/>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企业内部自行确定的其他重大风险情形。</w:t>
      </w:r>
    </w:p>
    <w:p w14:paraId="21178CC6">
      <w:pPr>
        <w:keepNext w:val="0"/>
        <w:keepLines w:val="0"/>
        <w:widowControl/>
        <w:numPr>
          <w:ilvl w:val="2"/>
          <w:numId w:val="2"/>
        </w:numPr>
        <w:suppressLineNumbers w:val="0"/>
        <w:spacing w:before="156" w:beforeLines="50" w:after="156" w:afterLines="50"/>
        <w:ind w:left="281" w:hanging="281" w:hangingChars="134"/>
        <w:jc w:val="left"/>
        <w:outlineLvl w:val="1"/>
        <w:rPr>
          <w:rFonts w:hint="eastAsia" w:ascii="Times New Roman" w:hAnsi="Times New Roman" w:eastAsia="黑体" w:cs="Times New Roman"/>
          <w:color w:val="000000"/>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风险控制措施的制定和实施 </w:t>
      </w:r>
    </w:p>
    <w:p w14:paraId="4C2B6585">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color w:val="000000"/>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控制措施制定原则 </w:t>
      </w:r>
    </w:p>
    <w:p w14:paraId="4E43C026">
      <w:pPr>
        <w:keepNext w:val="0"/>
        <w:keepLines w:val="0"/>
        <w:widowControl/>
        <w:suppressLineNumbers w:val="0"/>
        <w:spacing w:line="240" w:lineRule="auto"/>
        <w:ind w:firstLine="420" w:firstLineChars="200"/>
        <w:jc w:val="left"/>
        <w:rPr>
          <w:rFonts w:hint="eastAsia" w:ascii="Times New Roman" w:hAnsi="Times New Roman" w:cs="Times New Roman"/>
          <w:color w:val="auto"/>
          <w:lang w:bidi="ar"/>
        </w:rPr>
      </w:pPr>
      <w:r>
        <w:rPr>
          <w:rFonts w:hint="eastAsia" w:ascii="Times New Roman" w:hAnsi="Times New Roman" w:eastAsia="宋体" w:cs="宋体"/>
          <w:color w:val="000000"/>
          <w:kern w:val="0"/>
          <w:sz w:val="21"/>
          <w:szCs w:val="21"/>
          <w:lang w:val="en-US" w:eastAsia="zh-CN" w:bidi="ar"/>
        </w:rPr>
        <w:t>风险控制措施的制定应按照以下原则采取：</w:t>
      </w:r>
    </w:p>
    <w:p w14:paraId="157FEAE5">
      <w:pPr>
        <w:keepNext w:val="0"/>
        <w:keepLines w:val="0"/>
        <w:widowControl w:val="0"/>
        <w:numPr>
          <w:ilvl w:val="0"/>
          <w:numId w:val="40"/>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能消除的就采取措施消除存在的安全风险；</w:t>
      </w:r>
    </w:p>
    <w:p w14:paraId="5E066B4D">
      <w:pPr>
        <w:keepNext w:val="0"/>
        <w:keepLines w:val="0"/>
        <w:widowControl/>
        <w:suppressLineNumbers w:val="0"/>
        <w:spacing w:line="240" w:lineRule="auto"/>
        <w:ind w:firstLine="360" w:firstLineChars="200"/>
        <w:jc w:val="left"/>
        <w:rPr>
          <w:rFonts w:hint="eastAsia" w:ascii="Times New Roman" w:hAnsi="Times New Roman" w:cs="Times New Roman"/>
          <w:color w:val="auto"/>
          <w:lang w:bidi="ar"/>
        </w:rPr>
      </w:pPr>
      <w:r>
        <w:rPr>
          <w:rFonts w:hint="eastAsia" w:ascii="Times New Roman" w:hAnsi="Times New Roman" w:eastAsia="黑体" w:cs="黑体"/>
          <w:color w:val="000000"/>
          <w:kern w:val="0"/>
          <w:sz w:val="18"/>
          <w:szCs w:val="18"/>
          <w:lang w:val="en-US" w:eastAsia="zh-CN" w:bidi="ar"/>
        </w:rPr>
        <w:t>示例1：</w:t>
      </w:r>
      <w:r>
        <w:rPr>
          <w:rFonts w:hint="eastAsia" w:ascii="Times New Roman" w:hAnsi="Times New Roman" w:eastAsia="宋体" w:cs="宋体"/>
          <w:color w:val="000000"/>
          <w:kern w:val="0"/>
          <w:sz w:val="18"/>
          <w:szCs w:val="18"/>
          <w:lang w:val="en-US" w:eastAsia="zh-CN" w:bidi="ar"/>
        </w:rPr>
        <w:t>改变工艺、改变作业方法。</w:t>
      </w:r>
      <w:r>
        <w:rPr>
          <w:rFonts w:hint="eastAsia" w:ascii="Times New Roman" w:hAnsi="Times New Roman" w:eastAsia="黑体" w:cs="黑体"/>
          <w:color w:val="000000"/>
          <w:kern w:val="0"/>
          <w:sz w:val="18"/>
          <w:szCs w:val="18"/>
          <w:lang w:val="en-US" w:eastAsia="zh-CN" w:bidi="ar"/>
        </w:rPr>
        <w:t xml:space="preserve"> </w:t>
      </w:r>
    </w:p>
    <w:p w14:paraId="46CD8F39">
      <w:pPr>
        <w:keepNext w:val="0"/>
        <w:keepLines w:val="0"/>
        <w:widowControl w:val="0"/>
        <w:numPr>
          <w:ilvl w:val="0"/>
          <w:numId w:val="40"/>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对于不能消除的但又必须作业的情况则采取相应的安全防护措施，以防止事故的发生；</w:t>
      </w:r>
    </w:p>
    <w:p w14:paraId="25C9DD23">
      <w:pPr>
        <w:keepNext w:val="0"/>
        <w:keepLines w:val="0"/>
        <w:widowControl/>
        <w:suppressLineNumbers w:val="0"/>
        <w:spacing w:line="240" w:lineRule="auto"/>
        <w:ind w:firstLine="360" w:firstLineChars="200"/>
        <w:jc w:val="left"/>
        <w:rPr>
          <w:rFonts w:hint="eastAsia" w:ascii="Times New Roman" w:hAnsi="Times New Roman" w:cs="宋体"/>
          <w:color w:val="000000"/>
          <w:kern w:val="0"/>
          <w:sz w:val="18"/>
          <w:szCs w:val="18"/>
          <w:lang w:bidi="ar"/>
        </w:rPr>
      </w:pPr>
      <w:r>
        <w:rPr>
          <w:rFonts w:hint="eastAsia" w:ascii="Times New Roman" w:hAnsi="Times New Roman" w:eastAsia="黑体" w:cs="黑体"/>
          <w:color w:val="000000"/>
          <w:kern w:val="0"/>
          <w:sz w:val="18"/>
          <w:szCs w:val="18"/>
          <w:lang w:val="en-US" w:eastAsia="zh-CN" w:bidi="ar"/>
        </w:rPr>
        <w:t>示例2：</w:t>
      </w:r>
      <w:r>
        <w:rPr>
          <w:rFonts w:hint="eastAsia" w:ascii="Times New Roman" w:hAnsi="Times New Roman" w:eastAsia="宋体" w:cs="宋体"/>
          <w:color w:val="000000"/>
          <w:kern w:val="0"/>
          <w:sz w:val="18"/>
          <w:szCs w:val="18"/>
          <w:lang w:val="en-US" w:eastAsia="zh-CN" w:bidi="ar"/>
        </w:rPr>
        <w:t xml:space="preserve">安装防护栏、挂贴安全警示标识等。 </w:t>
      </w:r>
    </w:p>
    <w:p w14:paraId="2E9A6090">
      <w:pPr>
        <w:keepNext w:val="0"/>
        <w:keepLines w:val="0"/>
        <w:widowControl w:val="0"/>
        <w:numPr>
          <w:ilvl w:val="0"/>
          <w:numId w:val="40"/>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对于无法降低的安全风险则采取对这些区域内的作业人员发放劳动保护用品采取个体保护，</w:t>
      </w:r>
    </w:p>
    <w:p w14:paraId="6C6D84DB">
      <w:pPr>
        <w:keepNext w:val="0"/>
        <w:keepLines w:val="0"/>
        <w:widowControl/>
        <w:suppressLineNumbers w:val="0"/>
        <w:spacing w:line="240" w:lineRule="auto"/>
        <w:ind w:firstLine="840" w:firstLineChars="400"/>
        <w:jc w:val="left"/>
        <w:rPr>
          <w:rFonts w:hint="eastAsia" w:ascii="Times New Roman" w:hAnsi="Times New Roman" w:cs="Times New Roman"/>
          <w:color w:val="auto"/>
          <w:lang w:bidi="ar"/>
        </w:rPr>
      </w:pPr>
      <w:r>
        <w:rPr>
          <w:rFonts w:hint="eastAsia" w:ascii="Times New Roman" w:hAnsi="Times New Roman" w:eastAsia="宋体" w:cs="宋体"/>
          <w:color w:val="000000"/>
          <w:kern w:val="0"/>
          <w:sz w:val="21"/>
          <w:szCs w:val="21"/>
          <w:lang w:val="en-US" w:eastAsia="zh-CN" w:bidi="ar"/>
        </w:rPr>
        <w:t>减少、降低事故伤害；</w:t>
      </w:r>
    </w:p>
    <w:p w14:paraId="484EF5F4">
      <w:pPr>
        <w:keepNext w:val="0"/>
        <w:keepLines w:val="0"/>
        <w:widowControl w:val="0"/>
        <w:numPr>
          <w:ilvl w:val="0"/>
          <w:numId w:val="40"/>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考虑对应急方案的需求；</w:t>
      </w:r>
    </w:p>
    <w:p w14:paraId="04B2DA63">
      <w:pPr>
        <w:keepNext w:val="0"/>
        <w:keepLines w:val="0"/>
        <w:widowControl w:val="0"/>
        <w:numPr>
          <w:ilvl w:val="0"/>
          <w:numId w:val="40"/>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风险控制措施的制定应同时考虑针对性、可操作性、经济合理性，并符合国家有关法规、标</w:t>
      </w:r>
    </w:p>
    <w:p w14:paraId="200ACE2C">
      <w:pPr>
        <w:keepNext w:val="0"/>
        <w:keepLines w:val="0"/>
        <w:widowControl/>
        <w:suppressLineNumbers w:val="0"/>
        <w:spacing w:line="240" w:lineRule="auto"/>
        <w:ind w:firstLine="840" w:firstLineChars="400"/>
        <w:jc w:val="left"/>
        <w:rPr>
          <w:rFonts w:hint="eastAsia" w:ascii="Times New Roman" w:hAnsi="Times New Roman" w:cs="宋体"/>
          <w:color w:val="000000"/>
          <w:kern w:val="0"/>
          <w:lang w:bidi="ar"/>
        </w:rPr>
      </w:pPr>
      <w:r>
        <w:rPr>
          <w:rFonts w:hint="eastAsia" w:ascii="Times New Roman" w:hAnsi="Times New Roman" w:eastAsia="宋体" w:cs="宋体"/>
          <w:color w:val="000000"/>
          <w:kern w:val="0"/>
          <w:sz w:val="21"/>
          <w:szCs w:val="21"/>
          <w:lang w:val="en-US" w:eastAsia="zh-CN" w:bidi="ar"/>
        </w:rPr>
        <w:t>准及设计规范的规定。</w:t>
      </w:r>
    </w:p>
    <w:p w14:paraId="3DFC7B4C">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color w:val="000000"/>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控制措施的选择 </w:t>
      </w:r>
    </w:p>
    <w:p w14:paraId="2DEF7303">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 xml:space="preserve">风险管控措施应从工程技术措施、管理措施、培训教育措施、个体防护、应急处置等方面选择，并评估现有控制措施的有效性，现有控制措施不足以控制此项风险，应提出建议或改进的控制措施。 </w:t>
      </w:r>
    </w:p>
    <w:p w14:paraId="34FBCE12">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 xml:space="preserve">工程技术措施包括： </w:t>
      </w:r>
    </w:p>
    <w:p w14:paraId="00A4F502">
      <w:pPr>
        <w:keepNext w:val="0"/>
        <w:keepLines w:val="0"/>
        <w:widowControl w:val="0"/>
        <w:numPr>
          <w:ilvl w:val="0"/>
          <w:numId w:val="41"/>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通过对装置、设备设施、</w:t>
      </w:r>
      <w:r>
        <w:rPr>
          <w:rFonts w:hint="eastAsia" w:ascii="Times New Roman" w:hAnsi="Times New Roman" w:cs="Times New Roman"/>
          <w:color w:val="auto"/>
          <w:kern w:val="2"/>
          <w:sz w:val="21"/>
          <w:szCs w:val="21"/>
          <w:lang w:val="en-US" w:eastAsia="zh-CN" w:bidi="ar"/>
        </w:rPr>
        <w:t>工艺等</w:t>
      </w:r>
      <w:r>
        <w:rPr>
          <w:rFonts w:hint="eastAsia" w:ascii="Times New Roman" w:hAnsi="Times New Roman" w:eastAsia="宋体" w:cs="Times New Roman"/>
          <w:color w:val="auto"/>
          <w:kern w:val="2"/>
          <w:sz w:val="21"/>
          <w:szCs w:val="21"/>
          <w:lang w:val="en-US" w:eastAsia="zh-CN" w:bidi="ar"/>
        </w:rPr>
        <w:t>设计完善来消除或减弱危害；</w:t>
      </w:r>
    </w:p>
    <w:p w14:paraId="373CC4D9">
      <w:pPr>
        <w:keepNext w:val="0"/>
        <w:keepLines w:val="0"/>
        <w:widowControl/>
        <w:suppressLineNumbers w:val="0"/>
        <w:spacing w:line="240" w:lineRule="auto"/>
        <w:ind w:firstLine="360" w:firstLineChars="200"/>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示例1：人工打镁</w:t>
      </w:r>
      <w:r>
        <w:rPr>
          <w:rFonts w:hint="eastAsia" w:ascii="Times New Roman" w:hAnsi="Times New Roman" w:eastAsia="宋体" w:cs="宋体"/>
          <w:color w:val="000000"/>
          <w:kern w:val="0"/>
          <w:sz w:val="18"/>
          <w:szCs w:val="18"/>
          <w:lang w:val="en-US" w:eastAsia="zh-CN" w:bidi="ar"/>
        </w:rPr>
        <w:t>改为机械打镁；</w:t>
      </w:r>
      <w:r>
        <w:rPr>
          <w:rFonts w:hint="eastAsia" w:ascii="Times New Roman" w:hAnsi="Times New Roman" w:cs="宋体"/>
          <w:color w:val="000000"/>
          <w:kern w:val="0"/>
          <w:sz w:val="18"/>
          <w:szCs w:val="18"/>
          <w:lang w:val="en-US" w:eastAsia="zh-CN" w:bidi="ar"/>
        </w:rPr>
        <w:t>坩埚转移改为自动化操作</w:t>
      </w:r>
      <w:r>
        <w:rPr>
          <w:rFonts w:hint="eastAsia" w:ascii="Times New Roman" w:hAnsi="Times New Roman" w:eastAsia="宋体" w:cs="宋体"/>
          <w:color w:val="000000"/>
          <w:kern w:val="0"/>
          <w:sz w:val="18"/>
          <w:szCs w:val="18"/>
          <w:lang w:val="en-US" w:eastAsia="zh-CN" w:bidi="ar"/>
        </w:rPr>
        <w:t>。</w:t>
      </w:r>
    </w:p>
    <w:p w14:paraId="2DC391A6">
      <w:pPr>
        <w:keepNext w:val="0"/>
        <w:keepLines w:val="0"/>
        <w:widowControl w:val="0"/>
        <w:numPr>
          <w:ilvl w:val="0"/>
          <w:numId w:val="41"/>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对产生或导致危害的设施或场所进行密闭；</w:t>
      </w:r>
    </w:p>
    <w:p w14:paraId="1BA67268">
      <w:pPr>
        <w:keepNext w:val="0"/>
        <w:keepLines w:val="0"/>
        <w:widowControl w:val="0"/>
        <w:numPr>
          <w:ilvl w:val="0"/>
          <w:numId w:val="41"/>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通过隔离带、栅栏、警戒绳等把人与危险区域隔开；</w:t>
      </w:r>
    </w:p>
    <w:p w14:paraId="0BFC3D9F">
      <w:pPr>
        <w:keepNext w:val="0"/>
        <w:keepLines w:val="0"/>
        <w:widowControl/>
        <w:suppressLineNumbers w:val="0"/>
        <w:spacing w:line="240" w:lineRule="auto"/>
        <w:ind w:firstLine="360" w:firstLineChars="200"/>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示例2：</w:t>
      </w:r>
      <w:r>
        <w:rPr>
          <w:rFonts w:hint="eastAsia" w:ascii="Times New Roman" w:hAnsi="Times New Roman" w:eastAsia="宋体" w:cs="宋体"/>
          <w:color w:val="000000"/>
          <w:kern w:val="0"/>
          <w:sz w:val="18"/>
          <w:szCs w:val="18"/>
          <w:lang w:val="en-US" w:eastAsia="zh-CN" w:bidi="ar"/>
        </w:rPr>
        <w:t>出镁作业过程中设置隔离带。</w:t>
      </w:r>
    </w:p>
    <w:p w14:paraId="0E94C828">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管理措施包括：</w:t>
      </w:r>
    </w:p>
    <w:p w14:paraId="18984AC6">
      <w:pPr>
        <w:keepNext w:val="0"/>
        <w:keepLines w:val="0"/>
        <w:widowControl w:val="0"/>
        <w:numPr>
          <w:ilvl w:val="0"/>
          <w:numId w:val="42"/>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制定实施作业程序、安全许可、安全操作规程等；</w:t>
      </w:r>
    </w:p>
    <w:p w14:paraId="6DDC5888">
      <w:pPr>
        <w:keepNext w:val="0"/>
        <w:keepLines w:val="0"/>
        <w:widowControl w:val="0"/>
        <w:numPr>
          <w:ilvl w:val="0"/>
          <w:numId w:val="42"/>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减少暴露时间；</w:t>
      </w:r>
    </w:p>
    <w:p w14:paraId="26F8D190">
      <w:pPr>
        <w:keepNext w:val="0"/>
        <w:keepLines w:val="0"/>
        <w:widowControl/>
        <w:suppressLineNumbers w:val="0"/>
        <w:spacing w:line="240" w:lineRule="auto"/>
        <w:ind w:firstLine="360" w:firstLineChars="200"/>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w:t>
      </w:r>
      <w:r>
        <w:rPr>
          <w:rFonts w:hint="eastAsia" w:ascii="Times New Roman" w:hAnsi="Times New Roman" w:eastAsia="宋体" w:cs="宋体"/>
          <w:color w:val="000000"/>
          <w:kern w:val="0"/>
          <w:sz w:val="18"/>
          <w:szCs w:val="18"/>
          <w:lang w:val="en-US" w:eastAsia="zh-CN" w:bidi="ar"/>
        </w:rPr>
        <w:t>异常温度或有害环境。</w:t>
      </w:r>
    </w:p>
    <w:p w14:paraId="368C54F9">
      <w:pPr>
        <w:keepNext w:val="0"/>
        <w:keepLines w:val="0"/>
        <w:widowControl w:val="0"/>
        <w:numPr>
          <w:ilvl w:val="0"/>
          <w:numId w:val="42"/>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监测监控；</w:t>
      </w:r>
    </w:p>
    <w:p w14:paraId="1056B6CE">
      <w:pPr>
        <w:keepNext w:val="0"/>
        <w:keepLines w:val="0"/>
        <w:widowControl w:val="0"/>
        <w:numPr>
          <w:ilvl w:val="0"/>
          <w:numId w:val="42"/>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警报和警示信号。</w:t>
      </w:r>
    </w:p>
    <w:p w14:paraId="1C5F79FC">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 xml:space="preserve">培训教育措施包括对上岗人员进行岗位安全知识、应知应会、操作规程、法律法规等的培训； </w:t>
      </w:r>
    </w:p>
    <w:p w14:paraId="61037E9F">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个体防护措施。主要指正确穿戴个人防护用品；</w:t>
      </w:r>
    </w:p>
    <w:p w14:paraId="324C583C">
      <w:pPr>
        <w:keepNext w:val="0"/>
        <w:keepLines w:val="0"/>
        <w:widowControl/>
        <w:suppressLineNumbers w:val="0"/>
        <w:spacing w:line="240" w:lineRule="auto"/>
        <w:jc w:val="left"/>
        <w:rPr>
          <w:rFonts w:ascii="Times New Roman" w:hAnsi="Times New Roman" w:cs="Times New Roman"/>
        </w:rPr>
      </w:pPr>
      <w:r>
        <w:rPr>
          <w:rFonts w:hint="eastAsia" w:ascii="Times New Roman" w:hAnsi="Times New Roman" w:eastAsia="黑体" w:cs="黑体"/>
          <w:color w:val="000000"/>
          <w:kern w:val="0"/>
          <w:sz w:val="18"/>
          <w:szCs w:val="18"/>
          <w:lang w:val="en-US" w:eastAsia="zh-CN" w:bidi="ar"/>
        </w:rPr>
        <w:t>示例：</w:t>
      </w:r>
      <w:r>
        <w:rPr>
          <w:rFonts w:hint="eastAsia" w:ascii="Times New Roman" w:hAnsi="Times New Roman" w:eastAsia="宋体" w:cs="宋体"/>
          <w:color w:val="000000"/>
          <w:kern w:val="0"/>
          <w:sz w:val="18"/>
          <w:szCs w:val="18"/>
          <w:lang w:val="en-US" w:eastAsia="zh-CN" w:bidi="ar"/>
        </w:rPr>
        <w:t>防护服、劳保鞋、安全帽、耳塞、防尘口罩等。</w:t>
      </w:r>
    </w:p>
    <w:p w14:paraId="0FBED94F">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应急处置措施包括：</w:t>
      </w:r>
    </w:p>
    <w:p w14:paraId="1D17CA42">
      <w:pPr>
        <w:keepNext w:val="0"/>
        <w:keepLines w:val="0"/>
        <w:widowControl w:val="0"/>
        <w:numPr>
          <w:ilvl w:val="0"/>
          <w:numId w:val="43"/>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编制应急预案，配备相应的应急物资并保证应急物资的数量充足、性能可靠；</w:t>
      </w:r>
    </w:p>
    <w:p w14:paraId="4FACDB57">
      <w:pPr>
        <w:keepNext w:val="0"/>
        <w:keepLines w:val="0"/>
        <w:widowControl w:val="0"/>
        <w:numPr>
          <w:ilvl w:val="0"/>
          <w:numId w:val="43"/>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实现定期熟练演练，所有人员均掌握本岗位可能发生的应急救援知识。</w:t>
      </w:r>
    </w:p>
    <w:p w14:paraId="5F476CE8">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不同级别的风险要结合实际采取1种或多种措施进行控制，直至风险可以接受。</w:t>
      </w:r>
    </w:p>
    <w:p w14:paraId="69A722BB">
      <w:pPr>
        <w:keepNext w:val="0"/>
        <w:keepLines w:val="0"/>
        <w:widowControl/>
        <w:numPr>
          <w:ilvl w:val="2"/>
          <w:numId w:val="2"/>
        </w:numPr>
        <w:suppressLineNumbers w:val="0"/>
        <w:spacing w:before="156" w:beforeLines="50" w:after="156" w:afterLines="50"/>
        <w:ind w:left="281" w:hanging="281" w:hangingChars="134"/>
        <w:jc w:val="left"/>
        <w:outlineLvl w:val="1"/>
        <w:rPr>
          <w:rFonts w:hint="eastAsia" w:ascii="Times New Roman" w:hAnsi="Times New Roman" w:eastAsia="黑体" w:cs="Times New Roman"/>
          <w:color w:val="000000"/>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风险分级管控 </w:t>
      </w:r>
    </w:p>
    <w:p w14:paraId="0CFAEC7F">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color w:val="000000"/>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风险分级管控的要求 </w:t>
      </w:r>
    </w:p>
    <w:p w14:paraId="382417D5">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风险分级管控应遵循工程技术措施、安全管理措施、培训教育措施、个体防护措施、应急处置措施的先后顺序选择一种或集中联合管控风险，在选择风险控制措施时应充分考虑措施的可行性、安全性、可靠性，并重点突出人的因素。</w:t>
      </w:r>
    </w:p>
    <w:p w14:paraId="2E4F98E1">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风险分级管控应遵循风险越高管控层级越高的原则，对于操作难度大、技术含量高、风险等级高、可能导致严重后果的作业活动以及危险性大、波及范围广、失控状态下可能导致严重后果的设备设施、场所、区域应重点进行管控。上级负责管控的风险，下级应同时负责管控，并逐级落实具体措施。</w:t>
      </w:r>
    </w:p>
    <w:p w14:paraId="7A43B8DA">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企业对于风险分级管控应根据自身特点划定管理等级要求，对于不同级别风险的管理要求按照本企业对不同管理层级的要求确定实施。</w:t>
      </w:r>
    </w:p>
    <w:p w14:paraId="6CDA3ACE">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color w:val="000000"/>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编制风险分级管控清单 </w:t>
      </w:r>
    </w:p>
    <w:p w14:paraId="7E7E356E">
      <w:pPr>
        <w:keepNext w:val="0"/>
        <w:keepLines w:val="0"/>
        <w:widowControl/>
        <w:suppressLineNumbers w:val="0"/>
        <w:spacing w:line="240" w:lineRule="auto"/>
        <w:ind w:firstLine="420" w:firstLineChars="200"/>
        <w:jc w:val="left"/>
        <w:rPr>
          <w:rFonts w:ascii="Times New Roman" w:hAnsi="Times New Roman" w:cs="Times New Roman"/>
        </w:rPr>
      </w:pPr>
      <w:r>
        <w:rPr>
          <w:rFonts w:hint="eastAsia" w:ascii="Times New Roman" w:hAnsi="Times New Roman" w:eastAsia="宋体" w:cs="宋体"/>
          <w:color w:val="000000"/>
          <w:kern w:val="0"/>
          <w:sz w:val="21"/>
          <w:szCs w:val="21"/>
          <w:lang w:val="en-US" w:eastAsia="zh-CN" w:bidi="ar"/>
        </w:rPr>
        <w:t>企业应在每轮</w:t>
      </w:r>
      <w:r>
        <w:rPr>
          <w:rFonts w:hint="eastAsia" w:ascii="Times New Roman" w:hAnsi="Times New Roman" w:cs="宋体"/>
          <w:color w:val="000000"/>
          <w:kern w:val="0"/>
          <w:sz w:val="21"/>
          <w:szCs w:val="21"/>
          <w:lang w:val="en-US" w:eastAsia="zh-CN" w:bidi="ar"/>
        </w:rPr>
        <w:t>风险源</w:t>
      </w:r>
      <w:r>
        <w:rPr>
          <w:rFonts w:hint="eastAsia" w:ascii="Times New Roman" w:hAnsi="Times New Roman" w:eastAsia="宋体" w:cs="宋体"/>
          <w:color w:val="000000"/>
          <w:kern w:val="0"/>
          <w:sz w:val="21"/>
          <w:szCs w:val="21"/>
          <w:lang w:val="en-US" w:eastAsia="zh-CN" w:bidi="ar"/>
        </w:rPr>
        <w:t>辨识和风险评估后，及时修改、更新包括全部风险点、</w:t>
      </w:r>
      <w:r>
        <w:rPr>
          <w:rFonts w:hint="eastAsia" w:ascii="Times New Roman" w:hAnsi="Times New Roman" w:cs="宋体"/>
          <w:color w:val="000000"/>
          <w:kern w:val="0"/>
          <w:sz w:val="21"/>
          <w:szCs w:val="21"/>
          <w:lang w:val="en-US" w:eastAsia="zh-CN" w:bidi="ar"/>
        </w:rPr>
        <w:t>风险源</w:t>
      </w:r>
      <w:r>
        <w:rPr>
          <w:rFonts w:hint="eastAsia" w:ascii="Times New Roman" w:hAnsi="Times New Roman" w:eastAsia="宋体" w:cs="宋体"/>
          <w:color w:val="000000"/>
          <w:kern w:val="0"/>
          <w:sz w:val="21"/>
          <w:szCs w:val="21"/>
          <w:lang w:val="en-US" w:eastAsia="zh-CN" w:bidi="ar"/>
        </w:rPr>
        <w:t>在内的各类风险评估记录及风险分级管控清单</w:t>
      </w:r>
      <w:r>
        <w:rPr>
          <w:rFonts w:hint="eastAsia" w:ascii="Times New Roman" w:hAnsi="Times New Roman" w:cs="宋体"/>
          <w:color w:val="000000"/>
          <w:kern w:val="0"/>
          <w:sz w:val="21"/>
          <w:szCs w:val="21"/>
          <w:lang w:val="en-US" w:eastAsia="zh-CN" w:bidi="ar"/>
        </w:rPr>
        <w:t>，见附录A。</w:t>
      </w:r>
      <w:r>
        <w:rPr>
          <w:rFonts w:hint="eastAsia" w:ascii="Times New Roman" w:hAnsi="Times New Roman" w:eastAsia="宋体" w:cs="宋体"/>
          <w:color w:val="000000"/>
          <w:kern w:val="0"/>
          <w:sz w:val="21"/>
          <w:szCs w:val="21"/>
          <w:lang w:val="en-US" w:eastAsia="zh-CN" w:bidi="ar"/>
        </w:rPr>
        <w:t>记录</w:t>
      </w:r>
      <w:r>
        <w:rPr>
          <w:rFonts w:hint="eastAsia" w:ascii="Times New Roman" w:hAnsi="Times New Roman" w:cs="宋体"/>
          <w:color w:val="000000"/>
          <w:kern w:val="0"/>
          <w:sz w:val="21"/>
          <w:szCs w:val="21"/>
          <w:lang w:val="en-US" w:eastAsia="zh-CN" w:bidi="ar"/>
        </w:rPr>
        <w:t>应</w:t>
      </w:r>
      <w:r>
        <w:rPr>
          <w:rFonts w:hint="eastAsia" w:ascii="Times New Roman" w:hAnsi="Times New Roman" w:eastAsia="宋体" w:cs="宋体"/>
          <w:color w:val="000000"/>
          <w:kern w:val="0"/>
          <w:sz w:val="21"/>
          <w:szCs w:val="21"/>
          <w:lang w:val="en-US" w:eastAsia="zh-CN" w:bidi="ar"/>
        </w:rPr>
        <w:t>经过各级部门审核，且经企业主要负责人审批，形成正式、有效文件。</w:t>
      </w:r>
    </w:p>
    <w:p w14:paraId="7A755091">
      <w:pPr>
        <w:keepNext w:val="0"/>
        <w:keepLines w:val="0"/>
        <w:widowControl/>
        <w:numPr>
          <w:ilvl w:val="3"/>
          <w:numId w:val="2"/>
        </w:numPr>
        <w:suppressLineNumbers w:val="0"/>
        <w:spacing w:before="156" w:beforeLines="50" w:after="156" w:afterLines="50"/>
        <w:jc w:val="left"/>
        <w:outlineLvl w:val="2"/>
        <w:rPr>
          <w:rFonts w:hint="eastAsia" w:ascii="Times New Roman" w:hAnsi="Times New Roman" w:eastAsia="黑体" w:cs="Times New Roman"/>
          <w:color w:val="000000"/>
          <w:sz w:val="21"/>
          <w:szCs w:val="21"/>
          <w:lang w:val="en-US" w:eastAsia="zh-CN" w:bidi="ar"/>
        </w:rPr>
      </w:pPr>
      <w:r>
        <w:rPr>
          <w:rFonts w:hint="eastAsia" w:ascii="Times New Roman" w:hAnsi="Times New Roman" w:eastAsia="黑体" w:cs="Times New Roman"/>
          <w:color w:val="000000"/>
          <w:kern w:val="0"/>
          <w:sz w:val="21"/>
          <w:szCs w:val="21"/>
          <w:lang w:val="en-US" w:eastAsia="zh-CN" w:bidi="ar"/>
        </w:rPr>
        <w:t xml:space="preserve">风险告知 </w:t>
      </w:r>
    </w:p>
    <w:p w14:paraId="4FE5249D">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风险的告知采取风险公告、风险培训、岗位人员风险告知卡等形式。</w:t>
      </w:r>
    </w:p>
    <w:p w14:paraId="07E352A7">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企业应建立安全风险公告制度，在公司及厂区大门醒目位置和重点区域分别设置安全风险公告栏，制作岗位安全风险告知卡或告知栏，标明主要安全风险、可能引发事故类别、管控措施及报告方式等内容，重点突出重大、较大风险，同时应考虑外来人员的管理，制作相应的外来人员参观卡等形式，对外来人员告知本企业存在的安全风险及主要注意事项，防止外来人员在不清楚现场情况的状况下，发生不安全情况。</w:t>
      </w:r>
    </w:p>
    <w:p w14:paraId="0EEE5484">
      <w:pPr>
        <w:keepNext w:val="0"/>
        <w:keepLines w:val="0"/>
        <w:widowControl/>
        <w:numPr>
          <w:ilvl w:val="4"/>
          <w:numId w:val="2"/>
        </w:numPr>
        <w:suppressLineNumbers w:val="0"/>
        <w:spacing w:before="0" w:beforeLines="0" w:after="0" w:afterLines="0"/>
        <w:ind w:left="0"/>
        <w:jc w:val="left"/>
        <w:outlineLvl w:val="9"/>
        <w:rPr>
          <w:rFonts w:hint="eastAsia" w:ascii="Times New Roman" w:hAnsi="Times New Roman" w:eastAsia="宋体" w:cs="Times New Roman"/>
          <w:color w:val="000000"/>
          <w:sz w:val="21"/>
          <w:lang w:val="en-US" w:eastAsia="zh-CN" w:bidi="ar"/>
        </w:rPr>
      </w:pPr>
      <w:r>
        <w:rPr>
          <w:rFonts w:hint="eastAsia" w:ascii="Times New Roman" w:hAnsi="Times New Roman" w:eastAsia="宋体" w:cs="Times New Roman"/>
          <w:color w:val="000000"/>
          <w:kern w:val="0"/>
          <w:sz w:val="21"/>
          <w:szCs w:val="20"/>
          <w:lang w:val="en-US" w:eastAsia="zh-CN" w:bidi="ar"/>
        </w:rPr>
        <w:t>风险告知要求如下：</w:t>
      </w:r>
    </w:p>
    <w:p w14:paraId="513DED8B">
      <w:pPr>
        <w:keepNext w:val="0"/>
        <w:keepLines w:val="0"/>
        <w:widowControl w:val="0"/>
        <w:numPr>
          <w:ilvl w:val="0"/>
          <w:numId w:val="44"/>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对存在重大安全风险的工作场所和岗位，要设置明显警示标志，并强化</w:t>
      </w:r>
      <w:r>
        <w:rPr>
          <w:rFonts w:hint="eastAsia" w:ascii="Times New Roman" w:hAnsi="Times New Roman" w:cs="Times New Roman"/>
          <w:color w:val="auto"/>
          <w:kern w:val="2"/>
          <w:sz w:val="21"/>
          <w:szCs w:val="21"/>
          <w:lang w:val="en-US" w:eastAsia="zh-CN" w:bidi="ar"/>
        </w:rPr>
        <w:t>风险源</w:t>
      </w:r>
      <w:r>
        <w:rPr>
          <w:rFonts w:hint="eastAsia" w:ascii="Times New Roman" w:hAnsi="Times New Roman" w:eastAsia="宋体" w:cs="Times New Roman"/>
          <w:color w:val="auto"/>
          <w:kern w:val="2"/>
          <w:sz w:val="21"/>
          <w:szCs w:val="21"/>
          <w:lang w:val="en-US" w:eastAsia="zh-CN" w:bidi="ar"/>
        </w:rPr>
        <w:t>监测和预警，并在明显的部位设立“重大风险”标示牌，注明重大风险名称、危害因素及防范措施等信息，同时应编制重大风险布置图，并公示；</w:t>
      </w:r>
    </w:p>
    <w:p w14:paraId="3A3F3568">
      <w:pPr>
        <w:keepNext w:val="0"/>
        <w:keepLines w:val="0"/>
        <w:widowControl w:val="0"/>
        <w:numPr>
          <w:ilvl w:val="0"/>
          <w:numId w:val="44"/>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对于较大风险，基层单位应在明显的部位设立“较大风险”标示牌或在本单位进口区域醒目位置张贴本单位较大风险清单，注明较大风险名称、危害因素及防范措施等信息，同时编制较大风险布置图，并上墙公示；</w:t>
      </w:r>
    </w:p>
    <w:p w14:paraId="07A76A99">
      <w:pPr>
        <w:keepNext w:val="0"/>
        <w:keepLines w:val="0"/>
        <w:widowControl w:val="0"/>
        <w:numPr>
          <w:ilvl w:val="0"/>
          <w:numId w:val="44"/>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对于一般风险，车间（区域）应根据实际情况现场设立风险告知牌，注明危害因素及防范措施等信息；</w:t>
      </w:r>
    </w:p>
    <w:p w14:paraId="7F4C2DE1">
      <w:pPr>
        <w:keepNext w:val="0"/>
        <w:keepLines w:val="0"/>
        <w:widowControl w:val="0"/>
        <w:numPr>
          <w:ilvl w:val="0"/>
          <w:numId w:val="44"/>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风险分级管控清单应作为员工上岗前的重要培训内容，使其在工作前清楚本岗位、工序存在的风险，及如何规避及控制相关风险。</w:t>
      </w:r>
    </w:p>
    <w:p w14:paraId="5A4C376C">
      <w:pPr>
        <w:pStyle w:val="104"/>
        <w:bidi w:val="0"/>
        <w:rPr>
          <w:rFonts w:hint="eastAsia" w:ascii="Times New Roman" w:hAnsi="Times New Roman" w:cs="Times New Roman"/>
          <w:lang w:val="en-US" w:eastAsia="zh-CN"/>
        </w:rPr>
      </w:pPr>
      <w:bookmarkStart w:id="50" w:name="_Toc9505"/>
      <w:r>
        <w:rPr>
          <w:rFonts w:hint="eastAsia" w:ascii="Times New Roman" w:hAnsi="Times New Roman" w:cs="Times New Roman"/>
          <w:lang w:val="en-US" w:eastAsia="zh-CN"/>
        </w:rPr>
        <w:t>隐患排查治理</w:t>
      </w:r>
      <w:bookmarkEnd w:id="50"/>
      <w:r>
        <w:rPr>
          <w:rFonts w:hint="eastAsia" w:ascii="Times New Roman" w:hAnsi="Times New Roman" w:cs="Times New Roman"/>
          <w:lang w:val="en-US" w:eastAsia="zh-CN"/>
        </w:rPr>
        <w:t xml:space="preserve"> </w:t>
      </w:r>
    </w:p>
    <w:p w14:paraId="11B2C0E4">
      <w:pPr>
        <w:keepNext w:val="0"/>
        <w:keepLines w:val="0"/>
        <w:widowControl/>
        <w:numPr>
          <w:ilvl w:val="2"/>
          <w:numId w:val="2"/>
        </w:numPr>
        <w:suppressLineNumbers w:val="0"/>
        <w:spacing w:before="156" w:beforeLines="50" w:after="156" w:afterLines="50"/>
        <w:ind w:left="281" w:hanging="281" w:hangingChars="134"/>
        <w:jc w:val="left"/>
        <w:outlineLvl w:val="1"/>
        <w:rPr>
          <w:rFonts w:ascii="Times New Roman" w:hAnsi="Times New Roman" w:eastAsia="黑体" w:cs="Times New Roman"/>
          <w:sz w:val="21"/>
          <w:lang w:val="en-US" w:eastAsia="zh-CN" w:bidi="ar-SA"/>
        </w:rPr>
      </w:pPr>
      <w:r>
        <w:rPr>
          <w:rFonts w:hint="eastAsia" w:ascii="Times New Roman" w:hAnsi="Times New Roman" w:eastAsia="黑体" w:cs="Times New Roman"/>
          <w:color w:val="000000"/>
          <w:kern w:val="0"/>
          <w:sz w:val="21"/>
          <w:szCs w:val="20"/>
          <w:lang w:val="en-US" w:eastAsia="zh-CN" w:bidi="ar"/>
        </w:rPr>
        <w:t xml:space="preserve">职责 </w:t>
      </w:r>
    </w:p>
    <w:p w14:paraId="5225081D">
      <w:pPr>
        <w:keepNext w:val="0"/>
        <w:keepLines w:val="0"/>
        <w:widowControl/>
        <w:numPr>
          <w:ilvl w:val="3"/>
          <w:numId w:val="2"/>
        </w:numPr>
        <w:suppressLineNumbers w:val="0"/>
        <w:spacing w:before="0" w:beforeLines="0" w:after="0" w:afterLines="0"/>
        <w:jc w:val="left"/>
        <w:outlineLvl w:val="9"/>
        <w:rPr>
          <w:rFonts w:ascii="Times New Roman" w:hAnsi="Times New Roman" w:eastAsia="宋体" w:cs="Times New Roman"/>
          <w:sz w:val="21"/>
          <w:lang w:val="en-US" w:eastAsia="zh-CN" w:bidi="ar-SA"/>
        </w:rPr>
      </w:pPr>
      <w:r>
        <w:rPr>
          <w:rFonts w:hint="eastAsia" w:ascii="Times New Roman" w:hAnsi="Times New Roman" w:eastAsia="宋体" w:cs="Times New Roman"/>
          <w:color w:val="000000"/>
          <w:kern w:val="0"/>
          <w:sz w:val="21"/>
          <w:szCs w:val="20"/>
          <w:lang w:val="en-US" w:eastAsia="zh-CN" w:bidi="ar"/>
        </w:rPr>
        <w:t>企业应建立健全生产安全事故隐患排查治理体系，将隐患排查治理纳入安全生产责任制。主要负责人对本单位事故隐患排查治理工作全面负责；其他负责人按照“谁主管、谁负责”“一岗双责</w:t>
      </w:r>
      <w:r>
        <w:rPr>
          <w:rFonts w:hint="eastAsia" w:ascii="Times New Roman" w:hAnsi="Times New Roman" w:cs="Times New Roman"/>
          <w:color w:val="000000"/>
          <w:kern w:val="0"/>
          <w:sz w:val="21"/>
          <w:szCs w:val="20"/>
          <w:lang w:val="en-US" w:eastAsia="zh-CN" w:bidi="ar"/>
        </w:rPr>
        <w:t>”</w:t>
      </w:r>
      <w:r>
        <w:rPr>
          <w:rFonts w:hint="eastAsia" w:ascii="Times New Roman" w:hAnsi="Times New Roman" w:eastAsia="宋体" w:cs="Times New Roman"/>
          <w:color w:val="000000"/>
          <w:kern w:val="0"/>
          <w:sz w:val="21"/>
          <w:szCs w:val="20"/>
          <w:lang w:val="en-US" w:eastAsia="zh-CN" w:bidi="ar"/>
        </w:rPr>
        <w:t>、党政同责”“管业务管安全”的原则负责分管业务领域内的隐患排查治理工作。</w:t>
      </w:r>
    </w:p>
    <w:p w14:paraId="07E31F32">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安全监督管理部门对本单位隐患排查治理工作实施综合监督管理，统筹协调本</w:t>
      </w:r>
      <w:r>
        <w:rPr>
          <w:rFonts w:hint="eastAsia" w:ascii="Times New Roman" w:hAnsi="Times New Roman" w:cs="Times New Roman"/>
          <w:color w:val="000000"/>
          <w:kern w:val="0"/>
          <w:sz w:val="21"/>
          <w:szCs w:val="20"/>
          <w:lang w:val="en-US" w:eastAsia="zh-CN" w:bidi="ar"/>
        </w:rPr>
        <w:t>单位</w:t>
      </w:r>
      <w:r>
        <w:rPr>
          <w:rFonts w:hint="eastAsia" w:ascii="Times New Roman" w:hAnsi="Times New Roman" w:eastAsia="宋体" w:cs="Times New Roman"/>
          <w:color w:val="000000"/>
          <w:kern w:val="0"/>
          <w:sz w:val="21"/>
          <w:szCs w:val="20"/>
          <w:lang w:val="en-US" w:eastAsia="zh-CN" w:bidi="ar"/>
        </w:rPr>
        <w:t>隐患排查治理的统计、分析、报送工作。</w:t>
      </w:r>
    </w:p>
    <w:p w14:paraId="21126E21">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员工负有隐患排查治理的义务和责任，任何单位和个人发现事故隐患，均有权按职责权限处理和报告</w:t>
      </w:r>
      <w:r>
        <w:rPr>
          <w:rFonts w:hint="eastAsia" w:ascii="Times New Roman" w:hAnsi="Times New Roman" w:cs="Times New Roman"/>
          <w:color w:val="000000"/>
          <w:kern w:val="0"/>
          <w:sz w:val="21"/>
          <w:szCs w:val="20"/>
          <w:lang w:val="en-US" w:eastAsia="zh-CN" w:bidi="ar"/>
        </w:rPr>
        <w:t>；</w:t>
      </w:r>
      <w:r>
        <w:rPr>
          <w:rFonts w:hint="eastAsia" w:ascii="Times New Roman" w:hAnsi="Times New Roman" w:eastAsia="宋体" w:cs="Times New Roman"/>
          <w:color w:val="000000"/>
          <w:kern w:val="0"/>
          <w:sz w:val="21"/>
          <w:szCs w:val="20"/>
          <w:lang w:val="en-US" w:eastAsia="zh-CN" w:bidi="ar"/>
        </w:rPr>
        <w:t>相关单位接到报告后，应按照职责分工立即组织核实、处理汇报并记录，向相关人员通报。企业应逐级建立并落实从主要负责人到各个岗位、每位员工的隐患排查治理和监控责任，建立健全隐患排查治理登记建档、隐患治理专项资金使用</w:t>
      </w:r>
      <w:r>
        <w:rPr>
          <w:rFonts w:hint="eastAsia" w:ascii="Times New Roman" w:hAnsi="Times New Roman" w:cs="Times New Roman"/>
          <w:color w:val="000000"/>
          <w:kern w:val="0"/>
          <w:sz w:val="21"/>
          <w:szCs w:val="20"/>
          <w:lang w:val="en-US" w:eastAsia="zh-CN" w:bidi="ar"/>
        </w:rPr>
        <w:t>，以及</w:t>
      </w:r>
      <w:r>
        <w:rPr>
          <w:rFonts w:hint="eastAsia" w:ascii="Times New Roman" w:hAnsi="Times New Roman" w:eastAsia="宋体" w:cs="Times New Roman"/>
          <w:color w:val="000000"/>
          <w:kern w:val="0"/>
          <w:sz w:val="21"/>
          <w:szCs w:val="20"/>
          <w:lang w:val="en-US" w:eastAsia="zh-CN" w:bidi="ar"/>
        </w:rPr>
        <w:t>事故隐患报告和举报奖励、隐患排查治理考核等要求，对隐患排查治理进行闭环管理。</w:t>
      </w:r>
    </w:p>
    <w:p w14:paraId="79D01713">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kern w:val="0"/>
          <w:sz w:val="21"/>
          <w:szCs w:val="20"/>
          <w:lang w:val="en-US" w:eastAsia="zh-CN" w:bidi="ar"/>
        </w:rPr>
      </w:pPr>
      <w:r>
        <w:rPr>
          <w:rFonts w:hint="eastAsia" w:ascii="Times New Roman" w:hAnsi="Times New Roman" w:eastAsia="宋体" w:cs="Times New Roman"/>
          <w:color w:val="000000"/>
          <w:kern w:val="0"/>
          <w:sz w:val="21"/>
          <w:szCs w:val="20"/>
          <w:lang w:val="en-US" w:eastAsia="zh-CN" w:bidi="ar"/>
        </w:rPr>
        <w:t>隐患所属单位开展隐患排查治理时应及时确认事故隐患的等级，明确整改（治理）负责人，整改难度大、治理周期长的应制定整改方案及整改期限。隐患治理过程中，隐患整改相关单位和人员应采取相应的安全生产防护措施和应急处置措施，防范事故的发生。</w:t>
      </w:r>
    </w:p>
    <w:p w14:paraId="4034F5CA">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整改难度大且整改期限内无法完成整改的隐患，应书面上报上一级主管负责人协调处理。</w:t>
      </w:r>
    </w:p>
    <w:p w14:paraId="03BECB4C">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企业应每月对事故隐患排查治理情况进行统计分析，并将统计分析情况进行公示。</w:t>
      </w:r>
    </w:p>
    <w:p w14:paraId="56EFD46C">
      <w:pPr>
        <w:keepNext w:val="0"/>
        <w:keepLines w:val="0"/>
        <w:widowControl/>
        <w:numPr>
          <w:ilvl w:val="2"/>
          <w:numId w:val="2"/>
        </w:numPr>
        <w:suppressLineNumbers w:val="0"/>
        <w:spacing w:before="156" w:beforeLines="50" w:after="156" w:afterLines="50"/>
        <w:ind w:left="281" w:hanging="281" w:hangingChars="134"/>
        <w:jc w:val="left"/>
        <w:outlineLvl w:val="1"/>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排查 </w:t>
      </w:r>
    </w:p>
    <w:p w14:paraId="5D6FEE77">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企业开展隐患排查应遵循计划、准备、排查、整改、反馈、复查的流程，实现闭环管理；重大隐患应及时采取避免事故发生的有效措施及应急措施，制定重大隐患治理方案，落实有效措施整改，并对治理情况评估，验收符合安全生产条件后方可恢复正常生产。</w:t>
      </w:r>
    </w:p>
    <w:p w14:paraId="7469C286">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企业应基于风险辨识成果确定隐患排查对象，不同级别的风险由不同层级的管理者牵头组织，一级风险由公司牵头组织隐患排查，二级以下的风险由企业各单位、各部门结合实际按管理层级降低一</w:t>
      </w:r>
      <w:r>
        <w:rPr>
          <w:rFonts w:hint="eastAsia" w:ascii="Times New Roman" w:hAnsi="Times New Roman" w:eastAsia="宋体" w:cs="Times New Roman"/>
          <w:kern w:val="0"/>
          <w:sz w:val="21"/>
          <w:szCs w:val="20"/>
          <w:lang w:val="en-US" w:eastAsia="zh-CN" w:bidi="ar"/>
        </w:rPr>
        <w:t>一</w:t>
      </w:r>
      <w:r>
        <w:rPr>
          <w:rFonts w:hint="eastAsia" w:ascii="Times New Roman" w:hAnsi="Times New Roman" w:eastAsia="宋体" w:cs="Times New Roman"/>
          <w:color w:val="000000"/>
          <w:kern w:val="0"/>
          <w:sz w:val="21"/>
          <w:szCs w:val="20"/>
          <w:lang w:val="en-US" w:eastAsia="zh-CN" w:bidi="ar"/>
        </w:rPr>
        <w:t xml:space="preserve">对应开展排查，扁平化管理的下级排查风险点应覆盖上级排查风险点。各级隐患排查应提前编制包含全部重大风险在内的隐患排查治理清单（见附录B），组织全员开展不同类型的全面隐患排查。 </w:t>
      </w:r>
    </w:p>
    <w:p w14:paraId="4C70D896">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企业隐患排查形式主要包括综合检查、专业（专项）检查、季节性检查、日常检查等。</w:t>
      </w:r>
    </w:p>
    <w:p w14:paraId="217F943C">
      <w:pPr>
        <w:keepNext w:val="0"/>
        <w:keepLines w:val="0"/>
        <w:widowControl w:val="0"/>
        <w:numPr>
          <w:ilvl w:val="0"/>
          <w:numId w:val="45"/>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综合检查：每季度不少于一次，由主要负责人组织实施并亲自参与的综合性、全面检查。</w:t>
      </w:r>
    </w:p>
    <w:p w14:paraId="7FE1C35E">
      <w:pPr>
        <w:keepNext w:val="0"/>
        <w:keepLines w:val="0"/>
        <w:widowControl w:val="0"/>
        <w:numPr>
          <w:ilvl w:val="0"/>
          <w:numId w:val="45"/>
        </w:numPr>
        <w:suppressLineNumbers w:val="0"/>
        <w:adjustRightInd/>
        <w:spacing w:line="240" w:lineRule="auto"/>
        <w:ind w:left="840" w:leftChars="200" w:hanging="420" w:hangingChars="200"/>
        <w:jc w:val="both"/>
        <w:rPr>
          <w:rFonts w:ascii="Times New Roman" w:hAnsi="Times New Roman" w:cs="Times New Roman"/>
        </w:rPr>
      </w:pPr>
      <w:r>
        <w:rPr>
          <w:rFonts w:hint="eastAsia" w:ascii="Times New Roman" w:hAnsi="Times New Roman" w:eastAsia="宋体" w:cs="Times New Roman"/>
          <w:color w:val="auto"/>
          <w:kern w:val="2"/>
          <w:sz w:val="21"/>
          <w:szCs w:val="21"/>
          <w:lang w:val="en-US" w:eastAsia="zh-CN" w:bidi="ar"/>
        </w:rPr>
        <w:t>专业（专项）检查：企业所属各专业管理部门按照职责分工，应每月组织不少于一次的专业</w:t>
      </w:r>
      <w:r>
        <w:rPr>
          <w:rFonts w:hint="eastAsia" w:ascii="Times New Roman" w:hAnsi="Times New Roman" w:eastAsia="宋体" w:cs="宋体"/>
          <w:color w:val="000000"/>
          <w:kern w:val="0"/>
          <w:sz w:val="21"/>
          <w:szCs w:val="21"/>
          <w:lang w:val="en-US" w:eastAsia="zh-CN" w:bidi="ar"/>
        </w:rPr>
        <w:t>隐患排查；出现有关安全生产</w:t>
      </w:r>
      <w:r>
        <w:rPr>
          <w:rFonts w:hint="eastAsia" w:ascii="Times New Roman" w:hAnsi="Times New Roman" w:cs="宋体"/>
          <w:color w:val="000000"/>
          <w:kern w:val="0"/>
          <w:sz w:val="21"/>
          <w:szCs w:val="21"/>
          <w:lang w:val="en-US" w:eastAsia="zh-CN" w:bidi="ar"/>
        </w:rPr>
        <w:t>法律法规</w:t>
      </w:r>
      <w:r>
        <w:rPr>
          <w:rFonts w:hint="eastAsia" w:ascii="Times New Roman" w:hAnsi="Times New Roman" w:eastAsia="宋体" w:cs="宋体"/>
          <w:color w:val="000000"/>
          <w:kern w:val="0"/>
          <w:sz w:val="21"/>
          <w:szCs w:val="21"/>
          <w:lang w:val="en-US" w:eastAsia="zh-CN" w:bidi="ar"/>
        </w:rPr>
        <w:t>、规章、标准、规程发布、修改或者新建、改建、 扩建项目或者周边环境、作业条件、设备设施、工艺技术发生改变或者复工复产、发生事故、险情或者汛期、森林防火紧要期、地震风险影响期、极端或者异常天气、重大节假日、大型活动时，</w:t>
      </w:r>
      <w:r>
        <w:rPr>
          <w:rFonts w:hint="eastAsia" w:ascii="Times New Roman" w:hAnsi="Times New Roman" w:cs="宋体"/>
          <w:color w:val="000000"/>
          <w:kern w:val="0"/>
          <w:sz w:val="21"/>
          <w:szCs w:val="21"/>
          <w:lang w:val="en-US" w:eastAsia="zh-CN" w:bidi="ar"/>
        </w:rPr>
        <w:t>应</w:t>
      </w:r>
      <w:r>
        <w:rPr>
          <w:rFonts w:hint="eastAsia" w:ascii="Times New Roman" w:hAnsi="Times New Roman" w:eastAsia="宋体" w:cs="宋体"/>
          <w:color w:val="000000"/>
          <w:kern w:val="0"/>
          <w:sz w:val="21"/>
          <w:szCs w:val="21"/>
          <w:lang w:val="en-US" w:eastAsia="zh-CN" w:bidi="ar"/>
        </w:rPr>
        <w:t xml:space="preserve">根据实际及时组织开展检查。 </w:t>
      </w:r>
    </w:p>
    <w:p w14:paraId="43B7B360">
      <w:pPr>
        <w:keepNext w:val="0"/>
        <w:keepLines w:val="0"/>
        <w:widowControl w:val="0"/>
        <w:numPr>
          <w:ilvl w:val="0"/>
          <w:numId w:val="45"/>
        </w:numPr>
        <w:suppressLineNumbers w:val="0"/>
        <w:adjustRightInd/>
        <w:spacing w:line="240" w:lineRule="auto"/>
        <w:ind w:left="840" w:leftChars="200" w:hanging="420" w:hangingChars="200"/>
        <w:jc w:val="both"/>
        <w:rPr>
          <w:rFonts w:ascii="Times New Roman" w:hAnsi="Times New Roman" w:cs="Times New Roman"/>
        </w:rPr>
      </w:pPr>
      <w:r>
        <w:rPr>
          <w:rFonts w:hint="eastAsia" w:ascii="Times New Roman" w:hAnsi="Times New Roman" w:eastAsia="宋体" w:cs="Times New Roman"/>
          <w:color w:val="auto"/>
          <w:kern w:val="2"/>
          <w:sz w:val="21"/>
          <w:szCs w:val="21"/>
          <w:lang w:val="en-US" w:eastAsia="zh-CN" w:bidi="ar"/>
        </w:rPr>
        <w:t>季节性检查：企业应当根据所属地不同季节的特点，充分考虑季节变化对生产安全的影响因</w:t>
      </w:r>
      <w:r>
        <w:rPr>
          <w:rFonts w:hint="eastAsia" w:ascii="Times New Roman" w:hAnsi="Times New Roman" w:eastAsia="宋体" w:cs="宋体"/>
          <w:color w:val="000000"/>
          <w:kern w:val="0"/>
          <w:sz w:val="21"/>
          <w:szCs w:val="21"/>
          <w:lang w:val="en-US" w:eastAsia="zh-CN" w:bidi="ar"/>
        </w:rPr>
        <w:t>素，开展针对性的检查。</w:t>
      </w:r>
    </w:p>
    <w:p w14:paraId="61E2254D">
      <w:pPr>
        <w:keepNext w:val="0"/>
        <w:keepLines w:val="0"/>
        <w:widowControl w:val="0"/>
        <w:numPr>
          <w:ilvl w:val="0"/>
          <w:numId w:val="45"/>
        </w:numPr>
        <w:suppressLineNumbers w:val="0"/>
        <w:adjustRightInd/>
        <w:spacing w:line="240" w:lineRule="auto"/>
        <w:ind w:left="840" w:leftChars="200" w:hanging="420" w:hangingChars="200"/>
        <w:jc w:val="both"/>
        <w:rPr>
          <w:rFonts w:ascii="Times New Roman" w:hAnsi="Times New Roman" w:cs="Times New Roman"/>
        </w:rPr>
      </w:pPr>
      <w:r>
        <w:rPr>
          <w:rFonts w:hint="eastAsia" w:ascii="Times New Roman" w:hAnsi="Times New Roman" w:eastAsia="宋体" w:cs="Times New Roman"/>
          <w:color w:val="auto"/>
          <w:kern w:val="2"/>
          <w:sz w:val="21"/>
          <w:szCs w:val="21"/>
          <w:lang w:val="en-US" w:eastAsia="zh-CN" w:bidi="ar"/>
        </w:rPr>
        <w:t>日常检查：企业应当建立全员隐患排查机制，不同层级人员按照职责权限，有重点开展针对</w:t>
      </w:r>
      <w:r>
        <w:rPr>
          <w:rFonts w:hint="eastAsia" w:ascii="Times New Roman" w:hAnsi="Times New Roman" w:eastAsia="宋体" w:cs="宋体"/>
          <w:color w:val="000000"/>
          <w:kern w:val="0"/>
          <w:sz w:val="21"/>
          <w:szCs w:val="21"/>
          <w:lang w:val="en-US" w:eastAsia="zh-CN" w:bidi="ar"/>
        </w:rPr>
        <w:t>性的日常检查。</w:t>
      </w:r>
    </w:p>
    <w:p w14:paraId="38EF396F">
      <w:pPr>
        <w:keepNext w:val="0"/>
        <w:keepLines w:val="0"/>
        <w:widowControl w:val="0"/>
        <w:numPr>
          <w:ilvl w:val="0"/>
          <w:numId w:val="45"/>
        </w:numPr>
        <w:suppressLineNumbers w:val="0"/>
        <w:adjustRightInd/>
        <w:spacing w:line="240" w:lineRule="auto"/>
        <w:ind w:left="840" w:leftChars="200" w:hanging="420" w:hangingChars="200"/>
        <w:jc w:val="both"/>
        <w:rPr>
          <w:rFonts w:hint="eastAsia" w:ascii="Times New Roman" w:hAnsi="Times New Roman" w:cs="Times New Roman"/>
          <w:color w:val="auto"/>
          <w:lang w:bidi="ar"/>
        </w:rPr>
      </w:pPr>
      <w:r>
        <w:rPr>
          <w:rFonts w:hint="eastAsia" w:ascii="Times New Roman" w:hAnsi="Times New Roman" w:eastAsia="宋体" w:cs="Times New Roman"/>
          <w:color w:val="auto"/>
          <w:kern w:val="2"/>
          <w:sz w:val="21"/>
          <w:szCs w:val="21"/>
          <w:lang w:val="en-US" w:eastAsia="zh-CN" w:bidi="ar"/>
        </w:rPr>
        <w:t>其他检查：以上形式之外的，其他应当开展的检查。</w:t>
      </w:r>
    </w:p>
    <w:p w14:paraId="03974E8D">
      <w:pPr>
        <w:keepNext w:val="0"/>
        <w:keepLines w:val="0"/>
        <w:widowControl/>
        <w:numPr>
          <w:ilvl w:val="2"/>
          <w:numId w:val="2"/>
        </w:numPr>
        <w:suppressLineNumbers w:val="0"/>
        <w:spacing w:before="156" w:beforeLines="50" w:after="156" w:afterLines="50"/>
        <w:ind w:left="281" w:hanging="281" w:hangingChars="134"/>
        <w:jc w:val="left"/>
        <w:outlineLvl w:val="1"/>
        <w:rPr>
          <w:rFonts w:hint="eastAsia" w:ascii="Times New Roman" w:hAnsi="Times New Roman" w:eastAsia="黑体" w:cs="Times New Roman"/>
          <w:sz w:val="21"/>
          <w:lang w:val="en-US" w:eastAsia="zh-CN" w:bidi="ar"/>
        </w:rPr>
      </w:pPr>
      <w:r>
        <w:rPr>
          <w:rFonts w:hint="eastAsia" w:ascii="Times New Roman" w:hAnsi="Times New Roman" w:eastAsia="黑体" w:cs="Times New Roman"/>
          <w:color w:val="000000"/>
          <w:kern w:val="0"/>
          <w:sz w:val="21"/>
          <w:szCs w:val="20"/>
          <w:lang w:val="en-US" w:eastAsia="zh-CN" w:bidi="ar"/>
        </w:rPr>
        <w:t xml:space="preserve">治理及验收 </w:t>
      </w:r>
    </w:p>
    <w:p w14:paraId="3498F462">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企业应对排查出的隐患分类，提出治理建议，分级治理、分类实施，明确一般隐患和重大隐患</w:t>
      </w:r>
      <w:r>
        <w:rPr>
          <w:rFonts w:hint="eastAsia" w:ascii="Times New Roman" w:hAnsi="Times New Roman" w:eastAsia="宋体" w:cs="Times New Roman"/>
          <w:kern w:val="0"/>
          <w:sz w:val="21"/>
          <w:szCs w:val="20"/>
          <w:lang w:val="en-US" w:eastAsia="zh-CN" w:bidi="ar"/>
        </w:rPr>
        <w:t>。</w:t>
      </w:r>
    </w:p>
    <w:p w14:paraId="02A16D82">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企业应建立隐患排查治理台账，记录内容至少包括：事故隐患名称及内容、发现时间、隐患具体位置、隐患类型、隐患级别、责任单位、责任人、整改期限、整改结果、整改完成时间、原因分析、复查人等。台账应保存2年以上。</w:t>
      </w:r>
    </w:p>
    <w:p w14:paraId="147487F7">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重大事故隐患治理：发现重大事故隐患，应及时制定治理方案落实整改，并向县级以上人民政府有关部门报告。</w:t>
      </w:r>
    </w:p>
    <w:p w14:paraId="0EE56D29">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重大事故隐患治理方案应包括以下内容：事故隐患的影响范围和程度；治理的目标和任务；采取的方法和措施；治理资金和物资的来源及其保障措施；治理的期限和要求；负责治理的机构和人员；安全防范措施和应急预案；复查的工作要求和安排。</w:t>
      </w:r>
    </w:p>
    <w:p w14:paraId="6FCD3052">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重大事故隐患排除前或排除过程中无法确定能够保证安全的，应从危险区域内撤出作业人员，及时疏散可能危及的其他人员，暂时停产或停止使用相关设施、设备和装置，并设置警示标志，必要时应派员值守；对难以停产或者停止使用的相关设施、设备和装置，应加强监护，</w:t>
      </w:r>
      <w:r>
        <w:rPr>
          <w:rFonts w:hint="eastAsia" w:ascii="Times New Roman" w:hAnsi="Times New Roman" w:cs="Times New Roman"/>
          <w:color w:val="000000"/>
          <w:kern w:val="0"/>
          <w:sz w:val="21"/>
          <w:szCs w:val="20"/>
          <w:lang w:val="en-US" w:eastAsia="zh-CN" w:bidi="ar"/>
        </w:rPr>
        <w:t>防止</w:t>
      </w:r>
      <w:r>
        <w:rPr>
          <w:rFonts w:hint="eastAsia" w:ascii="Times New Roman" w:hAnsi="Times New Roman" w:eastAsia="宋体" w:cs="Times New Roman"/>
          <w:color w:val="000000"/>
          <w:kern w:val="0"/>
          <w:sz w:val="21"/>
          <w:szCs w:val="20"/>
          <w:lang w:val="en-US" w:eastAsia="zh-CN" w:bidi="ar"/>
        </w:rPr>
        <w:t>事故发生。重大事故隐患涉及相邻区域、单位或者公众安全的，及时报告所在地人民政府及其有关部门</w:t>
      </w:r>
      <w:r>
        <w:rPr>
          <w:rFonts w:hint="eastAsia" w:ascii="Times New Roman" w:hAnsi="Times New Roman" w:cs="Times New Roman"/>
          <w:color w:val="000000"/>
          <w:kern w:val="0"/>
          <w:sz w:val="21"/>
          <w:szCs w:val="20"/>
          <w:lang w:val="en-US" w:eastAsia="zh-CN" w:bidi="ar"/>
        </w:rPr>
        <w:t>，并</w:t>
      </w:r>
      <w:r>
        <w:rPr>
          <w:rFonts w:hint="eastAsia" w:ascii="Times New Roman" w:hAnsi="Times New Roman" w:eastAsia="宋体" w:cs="Times New Roman"/>
          <w:color w:val="000000"/>
          <w:kern w:val="0"/>
          <w:sz w:val="21"/>
          <w:szCs w:val="20"/>
          <w:lang w:val="en-US" w:eastAsia="zh-CN" w:bidi="ar"/>
        </w:rPr>
        <w:t>告知相关单位采取适当方式加以明示，并加强对治理工作的协调。</w:t>
      </w:r>
    </w:p>
    <w:p w14:paraId="1527AE24">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一般事故隐患应由企业在整改完成后，组织相关人员按照相关要求和标准对整改情况进行复查、验收。</w:t>
      </w:r>
    </w:p>
    <w:p w14:paraId="27F2163F">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企业应对本单位隐患闭环管理，建立台账，重大隐患按照国家法律法规、标准规范要求整改，并组织相关单位验收，验收合格销号，并向原报告单位报告。</w:t>
      </w:r>
    </w:p>
    <w:p w14:paraId="264A9937">
      <w:pPr>
        <w:keepNext w:val="0"/>
        <w:keepLines w:val="0"/>
        <w:widowControl/>
        <w:numPr>
          <w:ilvl w:val="3"/>
          <w:numId w:val="2"/>
        </w:numPr>
        <w:suppressLineNumbers w:val="0"/>
        <w:spacing w:before="0" w:beforeLines="0" w:after="0" w:afterLines="0"/>
        <w:jc w:val="left"/>
        <w:outlineLvl w:val="9"/>
        <w:rPr>
          <w:rFonts w:hint="eastAsia" w:ascii="Times New Roman" w:hAnsi="Times New Roman" w:eastAsia="宋体" w:cs="Times New Roman"/>
          <w:sz w:val="21"/>
          <w:lang w:val="en-US" w:eastAsia="zh-CN" w:bidi="ar"/>
        </w:rPr>
      </w:pPr>
      <w:r>
        <w:rPr>
          <w:rFonts w:hint="eastAsia" w:ascii="Times New Roman" w:hAnsi="Times New Roman" w:eastAsia="宋体" w:cs="Times New Roman"/>
          <w:color w:val="000000"/>
          <w:kern w:val="0"/>
          <w:sz w:val="21"/>
          <w:szCs w:val="20"/>
          <w:lang w:val="en-US" w:eastAsia="zh-CN" w:bidi="ar"/>
        </w:rPr>
        <w:t>企业应对隐患汇总分析，深挖管理原因，标本兼治，从而达到减少隐患产生的目的。</w:t>
      </w:r>
    </w:p>
    <w:p w14:paraId="2403229F">
      <w:pPr>
        <w:pStyle w:val="104"/>
        <w:bidi w:val="0"/>
        <w:rPr>
          <w:rFonts w:hint="eastAsia" w:ascii="Times New Roman" w:hAnsi="Times New Roman"/>
          <w:lang w:val="en-US" w:eastAsia="zh-CN"/>
        </w:rPr>
      </w:pPr>
      <w:bookmarkStart w:id="51" w:name="_Toc10878"/>
      <w:r>
        <w:rPr>
          <w:rFonts w:hint="eastAsia" w:ascii="Times New Roman" w:hAnsi="Times New Roman"/>
          <w:lang w:val="en-US" w:eastAsia="zh-CN"/>
        </w:rPr>
        <w:t>持续改进</w:t>
      </w:r>
      <w:bookmarkEnd w:id="51"/>
      <w:r>
        <w:rPr>
          <w:rFonts w:hint="eastAsia" w:ascii="Times New Roman" w:hAnsi="Times New Roman"/>
          <w:lang w:val="en-US" w:eastAsia="zh-CN"/>
        </w:rPr>
        <w:t xml:space="preserve"> </w:t>
      </w:r>
    </w:p>
    <w:p w14:paraId="42FEDD6E">
      <w:pPr>
        <w:pStyle w:val="162"/>
        <w:bidi w:val="0"/>
        <w:ind w:left="0" w:leftChars="0" w:firstLine="0" w:firstLineChars="0"/>
        <w:rPr>
          <w:rFonts w:hint="eastAsia" w:ascii="Times New Roman" w:hAnsi="Times New Roman"/>
          <w:lang w:val="en-US" w:eastAsia="zh-CN"/>
        </w:rPr>
      </w:pPr>
      <w:r>
        <w:rPr>
          <w:rFonts w:hint="eastAsia" w:ascii="Times New Roman" w:hAnsi="Times New Roman"/>
          <w:lang w:val="en-US" w:eastAsia="zh-CN"/>
        </w:rPr>
        <w:t>企业应每年对安全生产风险管控与隐患治理双重预防机制运行情况至少进行一次评估，分析存在的问题并提出对策措施建议，并持续改进。</w:t>
      </w:r>
    </w:p>
    <w:p w14:paraId="2F93EA50">
      <w:pPr>
        <w:pStyle w:val="162"/>
        <w:bidi w:val="0"/>
        <w:ind w:left="0" w:leftChars="0" w:firstLine="0" w:firstLineChars="0"/>
        <w:rPr>
          <w:rFonts w:hint="eastAsia" w:ascii="Times New Roman" w:hAnsi="Times New Roman" w:cs="Times New Roman"/>
          <w:lang w:val="en-US" w:eastAsia="zh-CN"/>
        </w:rPr>
      </w:pPr>
      <w:r>
        <w:rPr>
          <w:rFonts w:hint="eastAsia" w:ascii="Times New Roman" w:hAnsi="Times New Roman" w:cs="Times New Roman"/>
          <w:lang w:val="en-US" w:eastAsia="zh-CN"/>
        </w:rPr>
        <w:t>在评估过程中，如果体系文件内容如有变动（例如控制措施的调整及风险源、风险点的修改），应及时更新并公示。</w:t>
      </w:r>
    </w:p>
    <w:p w14:paraId="44BABEAC">
      <w:pPr>
        <w:pStyle w:val="162"/>
        <w:bidi w:val="0"/>
        <w:ind w:left="0" w:leftChars="0" w:firstLine="0" w:firstLineChars="0"/>
        <w:rPr>
          <w:rFonts w:hint="eastAsia" w:ascii="Times New Roman" w:hAnsi="Times New Roman" w:cs="Times New Roman"/>
          <w:lang w:val="en-US" w:eastAsia="zh-CN"/>
        </w:rPr>
      </w:pPr>
      <w:r>
        <w:rPr>
          <w:rFonts w:hint="eastAsia" w:ascii="Times New Roman" w:hAnsi="Times New Roman" w:cs="Times New Roman"/>
          <w:lang w:val="en-US" w:eastAsia="zh-CN"/>
        </w:rPr>
        <w:t>出现下列情况时，企业应立即开展安全评估，更新风险信息并落实管控措施：</w:t>
      </w:r>
    </w:p>
    <w:p w14:paraId="690ADE5E">
      <w:pPr>
        <w:pStyle w:val="139"/>
        <w:bidi w:val="0"/>
        <w:rPr>
          <w:rFonts w:hint="eastAsia" w:ascii="Times New Roman" w:hAnsi="Times New Roman"/>
          <w:lang w:val="en-US" w:eastAsia="zh-CN"/>
        </w:rPr>
      </w:pPr>
      <w:r>
        <w:rPr>
          <w:rFonts w:hint="eastAsia" w:ascii="Times New Roman" w:hAnsi="Times New Roman"/>
          <w:lang w:val="en-US" w:eastAsia="zh-CN"/>
        </w:rPr>
        <w:t>当有与本企业安全生产相关的法律法规、规章或标准等文件制定、修改或者废止时；</w:t>
      </w:r>
    </w:p>
    <w:p w14:paraId="78134112">
      <w:pPr>
        <w:pStyle w:val="139"/>
        <w:bidi w:val="0"/>
        <w:rPr>
          <w:rFonts w:hint="eastAsia" w:ascii="Times New Roman" w:hAnsi="Times New Roman"/>
          <w:lang w:val="en-US" w:eastAsia="zh-CN"/>
        </w:rPr>
      </w:pPr>
      <w:r>
        <w:rPr>
          <w:rFonts w:hint="eastAsia" w:ascii="Times New Roman" w:hAnsi="Times New Roman"/>
          <w:lang w:val="en-US" w:eastAsia="zh-CN"/>
        </w:rPr>
        <w:t>当组织机构发生重大调整时；</w:t>
      </w:r>
    </w:p>
    <w:p w14:paraId="428AF1FC">
      <w:pPr>
        <w:pStyle w:val="139"/>
        <w:bidi w:val="0"/>
        <w:rPr>
          <w:rFonts w:hint="eastAsia" w:ascii="Times New Roman" w:hAnsi="Times New Roman"/>
          <w:lang w:val="en-US" w:eastAsia="zh-CN"/>
        </w:rPr>
      </w:pPr>
      <w:r>
        <w:rPr>
          <w:rFonts w:hint="eastAsia" w:ascii="Times New Roman" w:hAnsi="Times New Roman"/>
          <w:lang w:val="en-US" w:eastAsia="zh-CN"/>
        </w:rPr>
        <w:t>当设备设施、生产经营条件、周边环境、气候条件发生重大变化时；</w:t>
      </w:r>
    </w:p>
    <w:p w14:paraId="38FF62E1">
      <w:pPr>
        <w:pStyle w:val="139"/>
        <w:bidi w:val="0"/>
        <w:rPr>
          <w:rFonts w:hint="eastAsia" w:ascii="Times New Roman" w:hAnsi="Times New Roman"/>
          <w:lang w:val="en-US" w:eastAsia="zh-CN"/>
        </w:rPr>
      </w:pPr>
      <w:r>
        <w:rPr>
          <w:rFonts w:hint="eastAsia" w:ascii="Times New Roman" w:hAnsi="Times New Roman"/>
          <w:lang w:val="en-US" w:eastAsia="zh-CN"/>
        </w:rPr>
        <w:t>当本企业或同行业发生生产安全事故、突发事件时。</w:t>
      </w:r>
    </w:p>
    <w:p w14:paraId="781889F4">
      <w:pPr>
        <w:rPr>
          <w:rFonts w:ascii="Times New Roman" w:hAnsi="Times New Roman"/>
        </w:rPr>
        <w:sectPr>
          <w:pgSz w:w="11906" w:h="16838"/>
          <w:pgMar w:top="1928" w:right="1134" w:bottom="1134" w:left="1134" w:header="1418" w:footer="1134" w:gutter="284"/>
          <w:pgNumType w:start="1"/>
          <w:cols w:space="425" w:num="1"/>
          <w:formProt w:val="0"/>
          <w:docGrid w:type="lines" w:linePitch="312" w:charSpace="0"/>
        </w:sectPr>
      </w:pPr>
      <w:r>
        <w:rPr>
          <w:rFonts w:ascii="Times New Roman" w:hAnsi="Times New Roman"/>
        </w:rPr>
        <w:br w:type="page"/>
      </w:r>
    </w:p>
    <w:p w14:paraId="6D842703">
      <w:pPr>
        <w:pStyle w:val="56"/>
        <w:ind w:firstLine="0" w:firstLineChars="0"/>
        <w:jc w:val="center"/>
        <w:rPr>
          <w:rFonts w:hint="eastAsia" w:ascii="Times New Roman" w:hAnsi="Times New Roman" w:eastAsia="黑体" w:cs="黑体"/>
        </w:rPr>
      </w:pPr>
      <w:r>
        <w:rPr>
          <w:rFonts w:hint="eastAsia" w:ascii="Times New Roman" w:hAnsi="Times New Roman" w:eastAsia="黑体" w:cs="黑体"/>
        </w:rPr>
        <w:t>附 录 A</w:t>
      </w:r>
    </w:p>
    <w:p w14:paraId="172CF5E8">
      <w:pPr>
        <w:pStyle w:val="56"/>
        <w:ind w:firstLine="0" w:firstLineChars="0"/>
        <w:jc w:val="center"/>
        <w:rPr>
          <w:rFonts w:hint="eastAsia" w:ascii="Times New Roman" w:hAnsi="Times New Roman" w:eastAsia="黑体" w:cs="黑体"/>
        </w:rPr>
      </w:pPr>
      <w:r>
        <w:rPr>
          <w:rFonts w:hint="eastAsia" w:ascii="Times New Roman" w:hAnsi="Times New Roman" w:eastAsia="黑体" w:cs="黑体"/>
        </w:rPr>
        <w:t>（资料性）</w:t>
      </w:r>
    </w:p>
    <w:p w14:paraId="10360B59">
      <w:pPr>
        <w:pStyle w:val="56"/>
        <w:ind w:firstLine="0" w:firstLineChars="0"/>
        <w:jc w:val="center"/>
        <w:rPr>
          <w:rFonts w:hint="default" w:ascii="Times New Roman" w:hAnsi="Times New Roman" w:eastAsia="黑体" w:cs="黑体"/>
          <w:lang w:val="en-US"/>
        </w:rPr>
      </w:pPr>
      <w:r>
        <w:rPr>
          <w:rFonts w:hint="eastAsia" w:ascii="Times New Roman" w:hAnsi="Times New Roman" w:eastAsia="黑体" w:cs="黑体"/>
        </w:rPr>
        <w:t>风险</w:t>
      </w:r>
      <w:r>
        <w:rPr>
          <w:rFonts w:hint="eastAsia" w:ascii="Times New Roman" w:hAnsi="Times New Roman" w:eastAsia="黑体" w:cs="黑体"/>
          <w:lang w:val="en-US" w:eastAsia="zh-CN"/>
        </w:rPr>
        <w:t>管控清单示例</w:t>
      </w:r>
    </w:p>
    <w:p w14:paraId="196A8217">
      <w:pPr>
        <w:pStyle w:val="56"/>
        <w:ind w:firstLine="0" w:firstLineChars="0"/>
        <w:jc w:val="center"/>
        <w:rPr>
          <w:rFonts w:hint="eastAsia" w:ascii="Times New Roman" w:hAnsi="Times New Roman" w:eastAsia="黑体" w:cs="黑体"/>
        </w:rPr>
      </w:pPr>
    </w:p>
    <w:p w14:paraId="5F77C2A4">
      <w:pPr>
        <w:keepNext w:val="0"/>
        <w:keepLines w:val="0"/>
        <w:widowControl/>
        <w:suppressLineNumbers w:val="0"/>
        <w:spacing w:line="240" w:lineRule="auto"/>
        <w:ind w:firstLine="420" w:firstLineChars="200"/>
        <w:jc w:val="left"/>
        <w:rPr>
          <w:rFonts w:hint="default" w:ascii="Times New Roman" w:hAnsi="Times New Roman" w:eastAsia="宋体" w:cs="宋体"/>
          <w:color w:val="000000"/>
          <w:kern w:val="0"/>
          <w:sz w:val="21"/>
          <w:szCs w:val="21"/>
          <w:lang w:val="en-US" w:eastAsia="zh-CN" w:bidi="ar"/>
        </w:rPr>
      </w:pPr>
      <w:r>
        <w:rPr>
          <w:rFonts w:hint="eastAsia" w:ascii="Times New Roman" w:hAnsi="Times New Roman" w:eastAsia="宋体" w:cs="宋体"/>
          <w:color w:val="000000"/>
          <w:kern w:val="0"/>
          <w:sz w:val="21"/>
          <w:szCs w:val="21"/>
          <w:lang w:val="en-US" w:eastAsia="zh-CN" w:bidi="ar"/>
        </w:rPr>
        <w:t>风险管控清单示例见表C.1。</w:t>
      </w:r>
    </w:p>
    <w:p w14:paraId="4CB3AB34">
      <w:pPr>
        <w:pStyle w:val="56"/>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Times New Roman" w:hAnsi="Times New Roman" w:eastAsia="黑体" w:cs="黑体"/>
        </w:rPr>
      </w:pPr>
      <w:r>
        <w:rPr>
          <w:rFonts w:hint="eastAsia" w:ascii="Times New Roman" w:hAnsi="Times New Roman" w:eastAsia="黑体" w:cs="黑体"/>
        </w:rPr>
        <w:t>表C.1 风险管控清单</w:t>
      </w:r>
    </w:p>
    <w:tbl>
      <w:tblPr>
        <w:tblStyle w:val="26"/>
        <w:tblpPr w:leftFromText="180" w:rightFromText="180" w:vertAnchor="text" w:horzAnchor="page" w:tblpX="1109" w:tblpY="297"/>
        <w:tblOverlap w:val="never"/>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6"/>
        <w:gridCol w:w="651"/>
        <w:gridCol w:w="752"/>
        <w:gridCol w:w="884"/>
        <w:gridCol w:w="630"/>
        <w:gridCol w:w="534"/>
        <w:gridCol w:w="2808"/>
        <w:gridCol w:w="1870"/>
        <w:gridCol w:w="551"/>
        <w:gridCol w:w="458"/>
      </w:tblGrid>
      <w:tr w14:paraId="19B59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2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2B8C3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ascii="Times New Roman" w:hAnsi="Times New Roman" w:eastAsia="黑体" w:cs="黑体"/>
                <w:i w:val="0"/>
                <w:iCs w:val="0"/>
                <w:color w:val="000000"/>
                <w:sz w:val="21"/>
                <w:szCs w:val="21"/>
                <w:u w:val="none"/>
              </w:rPr>
            </w:pPr>
            <w:r>
              <w:rPr>
                <w:rFonts w:hint="eastAsia" w:ascii="Times New Roman" w:hAnsi="Times New Roman" w:eastAsia="黑体" w:cs="黑体"/>
                <w:i w:val="0"/>
                <w:iCs w:val="0"/>
                <w:color w:val="000000"/>
                <w:kern w:val="0"/>
                <w:sz w:val="21"/>
                <w:szCs w:val="21"/>
                <w:u w:val="none"/>
                <w:lang w:val="en-US" w:eastAsia="zh-CN" w:bidi="ar"/>
              </w:rPr>
              <w:t>序号</w:t>
            </w:r>
          </w:p>
        </w:tc>
        <w:tc>
          <w:tcPr>
            <w:tcW w:w="3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9C33D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sz w:val="21"/>
                <w:szCs w:val="21"/>
                <w:u w:val="none"/>
              </w:rPr>
            </w:pPr>
            <w:r>
              <w:rPr>
                <w:rFonts w:hint="eastAsia" w:ascii="Times New Roman" w:hAnsi="Times New Roman" w:eastAsia="黑体" w:cs="黑体"/>
                <w:i w:val="0"/>
                <w:iCs w:val="0"/>
                <w:color w:val="000000"/>
                <w:kern w:val="0"/>
                <w:sz w:val="21"/>
                <w:szCs w:val="21"/>
                <w:u w:val="none"/>
                <w:lang w:val="en-US" w:eastAsia="zh-CN" w:bidi="ar"/>
              </w:rPr>
              <w:t>风险点</w:t>
            </w:r>
          </w:p>
        </w:tc>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C920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sz w:val="21"/>
                <w:szCs w:val="21"/>
                <w:u w:val="none"/>
              </w:rPr>
            </w:pPr>
            <w:r>
              <w:rPr>
                <w:rFonts w:hint="eastAsia" w:ascii="Times New Roman" w:hAnsi="Times New Roman" w:eastAsia="黑体" w:cs="黑体"/>
                <w:i w:val="0"/>
                <w:iCs w:val="0"/>
                <w:color w:val="000000"/>
                <w:kern w:val="0"/>
                <w:sz w:val="21"/>
                <w:szCs w:val="21"/>
                <w:u w:val="none"/>
                <w:lang w:val="en-US" w:eastAsia="zh-CN" w:bidi="ar"/>
              </w:rPr>
              <w:t>风险源</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2194A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sz w:val="21"/>
                <w:szCs w:val="21"/>
                <w:u w:val="none"/>
              </w:rPr>
            </w:pPr>
            <w:r>
              <w:rPr>
                <w:rFonts w:hint="eastAsia" w:ascii="Times New Roman" w:hAnsi="Times New Roman" w:eastAsia="黑体" w:cs="黑体"/>
                <w:i w:val="0"/>
                <w:iCs w:val="0"/>
                <w:color w:val="000000"/>
                <w:kern w:val="0"/>
                <w:sz w:val="21"/>
                <w:szCs w:val="21"/>
                <w:u w:val="none"/>
                <w:lang w:val="en-US" w:eastAsia="zh-CN" w:bidi="ar"/>
              </w:rPr>
              <w:t>风险项</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9BAD6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sz w:val="21"/>
                <w:szCs w:val="21"/>
                <w:u w:val="none"/>
              </w:rPr>
            </w:pPr>
            <w:r>
              <w:rPr>
                <w:rFonts w:hint="eastAsia" w:ascii="Times New Roman" w:hAnsi="Times New Roman" w:eastAsia="黑体" w:cs="黑体"/>
                <w:i w:val="0"/>
                <w:iCs w:val="0"/>
                <w:color w:val="000000"/>
                <w:kern w:val="0"/>
                <w:sz w:val="21"/>
                <w:szCs w:val="21"/>
                <w:u w:val="none"/>
                <w:lang w:val="en-US" w:eastAsia="zh-CN" w:bidi="ar"/>
              </w:rPr>
              <w:t>风险失控表现</w:t>
            </w:r>
          </w:p>
        </w:tc>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E927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sz w:val="21"/>
                <w:szCs w:val="21"/>
                <w:u w:val="none"/>
              </w:rPr>
            </w:pPr>
            <w:r>
              <w:rPr>
                <w:rFonts w:hint="eastAsia" w:ascii="Times New Roman" w:hAnsi="Times New Roman" w:eastAsia="黑体" w:cs="黑体"/>
                <w:i w:val="0"/>
                <w:iCs w:val="0"/>
                <w:color w:val="000000"/>
                <w:kern w:val="0"/>
                <w:sz w:val="21"/>
                <w:szCs w:val="21"/>
                <w:u w:val="none"/>
                <w:lang w:val="en-US" w:eastAsia="zh-CN" w:bidi="ar"/>
              </w:rPr>
              <w:t>风险等级</w:t>
            </w:r>
          </w:p>
        </w:tc>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2237E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sz w:val="21"/>
                <w:szCs w:val="21"/>
                <w:u w:val="none"/>
              </w:rPr>
            </w:pPr>
            <w:r>
              <w:rPr>
                <w:rFonts w:hint="eastAsia" w:ascii="Times New Roman" w:hAnsi="Times New Roman" w:eastAsia="黑体" w:cs="黑体"/>
                <w:i w:val="0"/>
                <w:iCs w:val="0"/>
                <w:color w:val="000000"/>
                <w:kern w:val="0"/>
                <w:sz w:val="21"/>
                <w:szCs w:val="21"/>
                <w:u w:val="none"/>
                <w:lang w:val="en-US" w:eastAsia="zh-CN" w:bidi="ar"/>
              </w:rPr>
              <w:t>风险管控措施</w:t>
            </w:r>
          </w:p>
        </w:tc>
        <w:tc>
          <w:tcPr>
            <w:tcW w:w="9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3167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sz w:val="21"/>
                <w:szCs w:val="21"/>
                <w:u w:val="none"/>
              </w:rPr>
            </w:pPr>
            <w:r>
              <w:rPr>
                <w:rFonts w:hint="eastAsia" w:ascii="Times New Roman" w:hAnsi="Times New Roman" w:eastAsia="黑体" w:cs="黑体"/>
                <w:i w:val="0"/>
                <w:iCs w:val="0"/>
                <w:color w:val="000000"/>
                <w:kern w:val="0"/>
                <w:sz w:val="21"/>
                <w:szCs w:val="21"/>
                <w:u w:val="none"/>
                <w:lang w:val="en-US" w:eastAsia="zh-CN" w:bidi="ar"/>
              </w:rPr>
              <w:t>应急处置措施</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7406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sz w:val="21"/>
                <w:szCs w:val="21"/>
                <w:u w:val="none"/>
              </w:rPr>
            </w:pPr>
            <w:r>
              <w:rPr>
                <w:rFonts w:hint="eastAsia" w:ascii="Times New Roman" w:hAnsi="Times New Roman" w:eastAsia="黑体" w:cs="黑体"/>
                <w:i w:val="0"/>
                <w:iCs w:val="0"/>
                <w:color w:val="000000"/>
                <w:kern w:val="0"/>
                <w:sz w:val="21"/>
                <w:szCs w:val="21"/>
                <w:u w:val="none"/>
                <w:lang w:val="en-US" w:eastAsia="zh-CN" w:bidi="ar"/>
              </w:rPr>
              <w:t>责任部门</w:t>
            </w:r>
          </w:p>
        </w:tc>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B222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sz w:val="21"/>
                <w:szCs w:val="21"/>
                <w:u w:val="none"/>
              </w:rPr>
            </w:pPr>
            <w:r>
              <w:rPr>
                <w:rFonts w:hint="eastAsia" w:ascii="Times New Roman" w:hAnsi="Times New Roman" w:eastAsia="黑体" w:cs="黑体"/>
                <w:i w:val="0"/>
                <w:iCs w:val="0"/>
                <w:color w:val="000000"/>
                <w:kern w:val="0"/>
                <w:sz w:val="21"/>
                <w:szCs w:val="21"/>
                <w:u w:val="none"/>
                <w:lang w:val="en-US" w:eastAsia="zh-CN" w:bidi="ar"/>
              </w:rPr>
              <w:t>责任人</w:t>
            </w:r>
          </w:p>
        </w:tc>
      </w:tr>
      <w:tr w14:paraId="7A99F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2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13501">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黑体" w:cs="黑体"/>
                <w:i w:val="0"/>
                <w:iCs w:val="0"/>
                <w:color w:val="000000"/>
                <w:sz w:val="21"/>
                <w:szCs w:val="21"/>
                <w:u w:val="none"/>
              </w:rPr>
            </w:pPr>
          </w:p>
        </w:tc>
        <w:tc>
          <w:tcPr>
            <w:tcW w:w="3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65D0C">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黑体" w:cs="黑体"/>
                <w:i w:val="0"/>
                <w:iCs w:val="0"/>
                <w:color w:val="000000"/>
                <w:sz w:val="21"/>
                <w:szCs w:val="21"/>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E9D74">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黑体" w:cs="黑体"/>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9F729">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黑体" w:cs="黑体"/>
                <w:i w:val="0"/>
                <w:iCs w:val="0"/>
                <w:color w:val="000000"/>
                <w:sz w:val="21"/>
                <w:szCs w:val="21"/>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7F92B">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黑体" w:cs="黑体"/>
                <w:i w:val="0"/>
                <w:iCs w:val="0"/>
                <w:color w:val="000000"/>
                <w:sz w:val="21"/>
                <w:szCs w:val="21"/>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3A0DD">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黑体" w:cs="黑体"/>
                <w:i w:val="0"/>
                <w:iCs w:val="0"/>
                <w:color w:val="000000"/>
                <w:sz w:val="21"/>
                <w:szCs w:val="21"/>
                <w:u w:val="none"/>
              </w:rPr>
            </w:pPr>
          </w:p>
        </w:tc>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737EA">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黑体" w:cs="黑体"/>
                <w:i w:val="0"/>
                <w:iCs w:val="0"/>
                <w:color w:val="000000"/>
                <w:sz w:val="21"/>
                <w:szCs w:val="21"/>
                <w:u w:val="none"/>
              </w:rPr>
            </w:pPr>
          </w:p>
        </w:tc>
        <w:tc>
          <w:tcPr>
            <w:tcW w:w="9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63712">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黑体" w:cs="黑体"/>
                <w:i w:val="0"/>
                <w:iCs w:val="0"/>
                <w:color w:val="000000"/>
                <w:sz w:val="21"/>
                <w:szCs w:val="21"/>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A809E">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黑体" w:cs="黑体"/>
                <w:i w:val="0"/>
                <w:iCs w:val="0"/>
                <w:color w:val="000000"/>
                <w:sz w:val="21"/>
                <w:szCs w:val="21"/>
                <w:u w:val="none"/>
              </w:rPr>
            </w:pPr>
          </w:p>
        </w:tc>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83781">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黑体" w:cs="黑体"/>
                <w:i w:val="0"/>
                <w:iCs w:val="0"/>
                <w:color w:val="000000"/>
                <w:sz w:val="21"/>
                <w:szCs w:val="21"/>
                <w:u w:val="none"/>
              </w:rPr>
            </w:pPr>
          </w:p>
        </w:tc>
      </w:tr>
      <w:tr w14:paraId="4CDE8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5B0D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022B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工程建设</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E08E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物.人坠落的势能</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644A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人员在高处作业，未系挂安全带.安全绳，从孔洞.临边坠落</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538E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高处坠落</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576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939D7">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 xml:space="preserve">1.高处作业人员持证上岗，报监理业主备案。 </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2.高处安装时提前设置好警戒线.生命绳等安全防护措施，按施工安全生产规范进行监管。 </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3.严格按照开票作业流程。 </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09188">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现场启动高处坠落现场处置方案，送伤员就医，保护事故现场，调查分析事故原因，落实整改措施，开展安全培训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4D47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D786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40FA9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9FE5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2</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96E3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工程建设</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0092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设备设施高压电</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54B1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违反规程.违规接电导致人员触电</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B718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触电</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F54F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24F21">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1.电工持证上岗，开票作业；</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2.配电箱上锁无关人员不得自行接配电。 </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3.固定式设备未使用专用开关箱，未执行“一机.一闸.一漏.一箱”的规定，导致设备短路时无法有效断电，发生人员触电伤亡。 </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4.配电设备设施按要求完善接地。</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DC000">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现场启动触电现场处置方案，送伤员就医，保护事故现场，调查分析事故原因，落实整改措施，开展安全培训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9EE4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5CFA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23B51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7D5E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3</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4875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工程建设</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B3E3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吊运的货物</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25B8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有人员在吊装区域，被掉落的货物砸伤</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FE2B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起重伤害</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BA1E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06120">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1.人员持证上岗，起重机械报监理.业主验收后入厂；</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2.吊装区域拉警戒线，设人员驱离无关人员。 </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3.吊装作业区域严禁人员进入。 </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4.严格执行开票作业，作业前检查吊索具</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FFF8E">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现场启动物体打击事故现场处置方案，送伤员就医，保护事故现场，调查分析事故原因，落实整改措施，开展安全培训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137A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A445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67CD8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6591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4</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B1E4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矿山建设</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AEE1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火药</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FDDB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违反爆破安全规程，导致人员伤亡</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B10F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放炮</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E078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10AEA">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1.爆破人员持证上岗，检查爆破器材合格有效；</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2.专业人员接线排线，避免雷雨天气放炮；</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3.爆破区域设置警戒线，采场设置安全避爆棚，禁止无关人员进入</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1650A">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现场启动放炮事故现场处置方案，由爆破员确认现场安全后，送伤员就医，保护事故现场，调查分析事故原因，落实整改措施，开展安全培训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66DB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4946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77670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E518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5</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9047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还原车间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1071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吊运的还原罐.中心管.水套</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A004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有人员在吊装区域，被掉落的吊物砸伤</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3E0F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起重伤害</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FA24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4AF48">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1.行车地操人员经应知应会培训后上岗，每班前对吊索具进行检查巡检；</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2.吊装区域拉警戒线，设人员驱离无关人员。 </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3.吊装作业区域严禁人员进入。 </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ADEE5">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现场启动物体打击事故现场处置方案，送伤员就医，保护事故现场，调查分析事故原因，落实整改措施，开展安全培训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98A0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52E1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22C1C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2386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6</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43DC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还原车间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C2B3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高温</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6A43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高温导致中暑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D23F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其他伤害</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7976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C793B">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1.制定中暑应急处置方案，开展专项安全培训.应急演练</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2.配置盐汽水.藿香正气水等防暑医药品</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3.配置值班司机和车辆，用于应急送医</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4.现场安装冷风机</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5.轮班作业，保证员工休息</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6.现场设置纳凉地点，配置毛巾.水源</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EFADE">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现场启动中暑事故现场处置方案，送伤员就医，调查分析事故原因，落实整改措施，开展安全培训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2BE4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854A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559B5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A78D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7</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42D2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还原车间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D1F8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叉车</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D58F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叉车撞人</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6265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车辆伤害</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C66E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DC513">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1.叉车司机持证上岗，钥匙管控，严禁无证上岗</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2.每日班前检查，定期保养检查，严禁带病作业</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3.规划场地，制作防护栏杆，做好人车分离</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4.交叉口减速慢行，遵守操作规程作业</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98F3B">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现场启动车辆伤害事故现场处置方案，送伤员就医，保护事故现场，调查分析事故原因，落实整改措施，开展安全培训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3E6A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8111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041FD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D967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8</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C18C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合金车间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8C39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吊运的坩埚等吊物</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9162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有人员在吊装区域，被掉落的吊物砸伤</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8958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起重伤害</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C3EA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A676B">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1.行车地操人员经应知应会培训后上岗，每班前对吊索具进行检查巡检；</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2.吊装区域拉警戒线，设人员驱离无关人员。 </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3.吊装作业区域严禁人员进入。 </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DCA28">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现场启动物体打击事故现场处置方案，送伤员就医，保护事故现场，调查分析事故原因，落实整改措施，开展安全培训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A044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C8CA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0726C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DBFB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9</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2E7E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合金车间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8506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高温</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41DF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高温导致中暑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3CD2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其他伤害</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58C2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7DB20">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1.制定中暑应急处置方案，开展专项安全培训.应急演练</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2.配置盐汽水.藿香正气水等防暑医药品</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3.配置值班司机和车辆，用于应急送医</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4.现场安装冷风机</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5.轮班作业，保证员工休息</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6.现场设置纳凉地点，配置毛巾.水源</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2CCBA">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现场启动中暑事故现场处置方案，送伤员就医，调查分析事故原因，落实整改措施，开展安全培训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B987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59E3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335EC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15FB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8878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合金车间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9542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叉车</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8B0E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叉车撞人</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C1CC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车辆伤害</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ED18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C82FE">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1.叉车司机持证上岗，钥匙管控，严禁无证上岗</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2.每日班前检查，定期保养检查，严禁带病作业</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3.规划场地，制作防护栏杆，做好人车分离</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4.交叉口减速慢行，遵守操作规程作业</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71478">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现场启动车辆伤害事故现场处置方案，送伤员就医，保护事故现场，调查分析事故原因，落实整改措施，开展安全培训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78D1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E00F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3DC7D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A516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82B1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合金车间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28C6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镁液</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06E1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坩埚漏汤</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F488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烫伤.火灾</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9669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3707E">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1.坩埚厂家需提供坩埚检验报告和合格证</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2.建立坩埚档案，记录每个坩埚的上线时间和下线时间及维修记录</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3.建立每日坩埚检查记录，每天将坩埚检查照片上传管理群并在流水单填写坩埚状态。</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4.现场准备沙坑等应急处置措施</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27315">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现场启动坩埚漏汤事故现场处置方案，送伤员就医，保护事故现场，调查分析事故原因，落实整改措施，开展安全培训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CD25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41C0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0C759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7222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12</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6132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合金车间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F2C6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熔剂</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2205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浇铸管未预热完全，内含</w:t>
            </w:r>
            <w:r>
              <w:rPr>
                <w:rFonts w:hint="eastAsia" w:ascii="Times New Roman" w:hAnsi="Times New Roman" w:cs="宋体"/>
                <w:i w:val="0"/>
                <w:iCs w:val="0"/>
                <w:color w:val="000000"/>
                <w:kern w:val="0"/>
                <w:sz w:val="21"/>
                <w:szCs w:val="21"/>
                <w:u w:val="none"/>
                <w:lang w:val="en-US" w:eastAsia="zh-CN" w:bidi="ar"/>
              </w:rPr>
              <w:t>水汽</w:t>
            </w:r>
            <w:r>
              <w:rPr>
                <w:rFonts w:hint="eastAsia" w:ascii="Times New Roman" w:hAnsi="Times New Roman" w:eastAsia="宋体" w:cs="宋体"/>
                <w:i w:val="0"/>
                <w:iCs w:val="0"/>
                <w:color w:val="000000"/>
                <w:kern w:val="0"/>
                <w:sz w:val="21"/>
                <w:szCs w:val="21"/>
                <w:u w:val="none"/>
                <w:lang w:val="en-US" w:eastAsia="zh-CN" w:bidi="ar"/>
              </w:rPr>
              <w:t>，直接投入炉中引起熔剂喷溅造成烫伤</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977B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烫伤</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D1B9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A78B9">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1.浇筑管入炉前，严格遵守规程预热，充分蒸发管中</w:t>
            </w:r>
            <w:bookmarkStart w:id="53" w:name="_GoBack"/>
            <w:r>
              <w:rPr>
                <w:rFonts w:hint="eastAsia" w:ascii="Times New Roman" w:hAnsi="Times New Roman" w:cs="宋体"/>
                <w:i w:val="0"/>
                <w:iCs w:val="0"/>
                <w:color w:val="000000"/>
                <w:kern w:val="0"/>
                <w:sz w:val="21"/>
                <w:szCs w:val="21"/>
                <w:u w:val="none"/>
                <w:lang w:val="en-US" w:eastAsia="zh-CN" w:bidi="ar"/>
              </w:rPr>
              <w:t>水汽</w:t>
            </w:r>
            <w:bookmarkEnd w:id="53"/>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2.投料作业人员使用行车远距离操作，不得靠近</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C39BB">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现场启动烫伤事故现场处置方案，送伤员就医，保护事故现场，调查分析事故原因，落实整改措施，开展安全培训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F55D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784A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44B15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0223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13</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CBFC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合金车间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832E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转动的设备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6F1F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设备未停，拆除防护作业</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83F0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机械伤害</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96DD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BDB02">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1.严格执行停机挂牌制度，严禁违反操作规程作业</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2.定期检查防护安装情况，损坏时及时维修，一般人无专业工具无法拆除</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F1009">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现场启动机械伤害事故现场处置方案，送伤员就医，保护事故现场，调查分析事故原因，落实整改措施，开展安全培训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0B93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CE1A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58C74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F8A5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14</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5E61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模具车间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2CB1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吊运的模具等吊物</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E9B7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有人员在吊装区域，被掉落的吊物砸伤</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A51C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起重伤害</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DE79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BCCAA">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1.行车地操人员经应知应会培训后上岗，每班前对吊索具进行检查巡检；</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 xml:space="preserve">2.吊装区域拉警戒线，设人员驱离无关人员。 </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3.吊装作业区域严禁人员进入。</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8EEF8">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现场启动物体打击事故现场处置方案，送伤员就医，保护事故现场，调查分析事故原因，落实整改措施，开展安全培训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330A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D024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r w14:paraId="1B2CA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blHead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0648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15</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147B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表处车间</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29BC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镁粉尘</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1AB8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镁粉尘堆积，在潮湿环境中产生氢气，造成爆炸</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5D63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其他爆炸</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D5E3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三级</w:t>
            </w:r>
          </w:p>
        </w:tc>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B082B">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1.设置进出水位报警器和应急水源，保证水幕水量；</w:t>
            </w:r>
            <w:r>
              <w:rPr>
                <w:rFonts w:hint="eastAsia" w:ascii="Times New Roman" w:hAnsi="Times New Roman" w:eastAsia="宋体" w:cs="宋体"/>
                <w:i w:val="0"/>
                <w:iCs w:val="0"/>
                <w:color w:val="000000"/>
                <w:kern w:val="0"/>
                <w:sz w:val="21"/>
                <w:szCs w:val="21"/>
                <w:u w:val="none"/>
                <w:lang w:val="en-US" w:eastAsia="zh-CN" w:bidi="ar"/>
              </w:rPr>
              <w:br w:type="textWrapping"/>
            </w:r>
            <w:r>
              <w:rPr>
                <w:rFonts w:hint="eastAsia" w:ascii="Times New Roman" w:hAnsi="Times New Roman" w:eastAsia="宋体" w:cs="宋体"/>
                <w:i w:val="0"/>
                <w:iCs w:val="0"/>
                <w:color w:val="000000"/>
                <w:kern w:val="0"/>
                <w:sz w:val="21"/>
                <w:szCs w:val="21"/>
                <w:u w:val="none"/>
                <w:lang w:val="en-US" w:eastAsia="zh-CN" w:bidi="ar"/>
              </w:rPr>
              <w:t>2.每班清理粉尘，送压饼机压饼处理，不过夜</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362CF">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Times New Roman" w:hAnsi="Times New Roman" w:eastAsia="宋体" w:cs="宋体"/>
                <w:i w:val="0"/>
                <w:iCs w:val="0"/>
                <w:color w:val="000000"/>
                <w:sz w:val="21"/>
                <w:szCs w:val="21"/>
                <w:u w:val="none"/>
              </w:rPr>
            </w:pPr>
            <w:r>
              <w:rPr>
                <w:rFonts w:hint="eastAsia" w:ascii="Times New Roman" w:hAnsi="Times New Roman" w:eastAsia="宋体" w:cs="宋体"/>
                <w:i w:val="0"/>
                <w:iCs w:val="0"/>
                <w:color w:val="000000"/>
                <w:kern w:val="0"/>
                <w:sz w:val="21"/>
                <w:szCs w:val="21"/>
                <w:u w:val="none"/>
                <w:lang w:val="en-US" w:eastAsia="zh-CN" w:bidi="ar"/>
              </w:rPr>
              <w:t>现场粉尘爆炸事故专项预案，送伤员就医，保护事故现场，调查分析事故原因，落实整改措施，开展安全培训</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7D11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7D66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宋体"/>
                <w:i w:val="0"/>
                <w:iCs w:val="0"/>
                <w:color w:val="000000"/>
                <w:sz w:val="21"/>
                <w:szCs w:val="21"/>
                <w:u w:val="none"/>
              </w:rPr>
            </w:pPr>
          </w:p>
        </w:tc>
      </w:tr>
    </w:tbl>
    <w:p w14:paraId="43D80956">
      <w:pPr>
        <w:pStyle w:val="56"/>
        <w:ind w:firstLine="0" w:firstLineChars="0"/>
        <w:jc w:val="center"/>
        <w:rPr>
          <w:rFonts w:hint="eastAsia" w:ascii="Times New Roman" w:hAnsi="Times New Roman" w:eastAsia="黑体" w:cs="黑体"/>
        </w:rPr>
      </w:pPr>
    </w:p>
    <w:p w14:paraId="0846F2BC">
      <w:pPr>
        <w:rPr>
          <w:rFonts w:hint="eastAsia" w:ascii="Times New Roman" w:hAnsi="Times New Roman" w:eastAsia="黑体" w:cs="黑体"/>
          <w:lang w:eastAsia="zh-CN"/>
        </w:rPr>
      </w:pPr>
      <w:r>
        <w:rPr>
          <w:rFonts w:hint="eastAsia" w:ascii="Times New Roman" w:hAnsi="Times New Roman" w:eastAsia="黑体" w:cs="黑体"/>
          <w:lang w:eastAsia="zh-CN"/>
        </w:rPr>
        <w:br w:type="page"/>
      </w:r>
    </w:p>
    <w:p w14:paraId="034F870F">
      <w:pPr>
        <w:pStyle w:val="56"/>
        <w:ind w:firstLine="0" w:firstLineChars="0"/>
        <w:jc w:val="both"/>
        <w:rPr>
          <w:rFonts w:hint="eastAsia" w:ascii="Times New Roman" w:hAnsi="Times New Roman" w:eastAsia="黑体" w:cs="黑体"/>
          <w:lang w:eastAsia="zh-CN"/>
        </w:rPr>
      </w:pPr>
    </w:p>
    <w:p w14:paraId="18B5168A">
      <w:pPr>
        <w:pStyle w:val="56"/>
        <w:ind w:firstLine="0" w:firstLineChars="0"/>
        <w:jc w:val="center"/>
        <w:rPr>
          <w:rFonts w:hint="default" w:ascii="Times New Roman" w:hAnsi="Times New Roman" w:eastAsia="黑体" w:cs="黑体"/>
          <w:lang w:val="en-US" w:eastAsia="zh-CN"/>
        </w:rPr>
      </w:pPr>
      <w:r>
        <w:rPr>
          <w:rFonts w:hint="eastAsia" w:ascii="Times New Roman" w:hAnsi="Times New Roman" w:eastAsia="黑体" w:cs="黑体"/>
          <w:lang w:eastAsia="zh-CN"/>
        </w:rPr>
        <w:t xml:space="preserve">附 录 </w:t>
      </w:r>
      <w:r>
        <w:rPr>
          <w:rFonts w:hint="eastAsia" w:ascii="Times New Roman" w:hAnsi="Times New Roman" w:eastAsia="黑体" w:cs="黑体"/>
          <w:lang w:val="en-US" w:eastAsia="zh-CN"/>
        </w:rPr>
        <w:t>B</w:t>
      </w:r>
    </w:p>
    <w:p w14:paraId="036E2BB0">
      <w:pPr>
        <w:pStyle w:val="56"/>
        <w:ind w:firstLine="0" w:firstLineChars="0"/>
        <w:jc w:val="center"/>
        <w:rPr>
          <w:rFonts w:hint="eastAsia" w:ascii="Times New Roman" w:hAnsi="Times New Roman" w:eastAsia="黑体" w:cs="黑体"/>
          <w:lang w:eastAsia="zh-CN"/>
        </w:rPr>
      </w:pPr>
      <w:r>
        <w:rPr>
          <w:rFonts w:hint="eastAsia" w:ascii="Times New Roman" w:hAnsi="Times New Roman" w:eastAsia="黑体" w:cs="黑体"/>
          <w:lang w:eastAsia="zh-CN"/>
        </w:rPr>
        <w:t>（资料性）</w:t>
      </w:r>
    </w:p>
    <w:p w14:paraId="20E5AF7F">
      <w:pPr>
        <w:pStyle w:val="56"/>
        <w:ind w:firstLine="0" w:firstLineChars="0"/>
        <w:jc w:val="center"/>
        <w:rPr>
          <w:rFonts w:hint="eastAsia" w:ascii="Times New Roman" w:hAnsi="Times New Roman" w:eastAsia="黑体" w:cs="黑体"/>
          <w:lang w:eastAsia="zh-CN"/>
        </w:rPr>
      </w:pPr>
      <w:r>
        <w:rPr>
          <w:rFonts w:hint="eastAsia" w:ascii="Times New Roman" w:hAnsi="Times New Roman" w:eastAsia="黑体" w:cs="黑体"/>
          <w:lang w:val="en-US" w:eastAsia="zh-CN"/>
        </w:rPr>
        <w:t>隐患排查治理</w:t>
      </w:r>
      <w:r>
        <w:rPr>
          <w:rFonts w:hint="eastAsia" w:ascii="Times New Roman" w:hAnsi="Times New Roman" w:eastAsia="黑体" w:cs="黑体"/>
          <w:lang w:eastAsia="zh-CN"/>
        </w:rPr>
        <w:t>清单</w:t>
      </w:r>
    </w:p>
    <w:p w14:paraId="005334F5">
      <w:pPr>
        <w:pStyle w:val="56"/>
        <w:ind w:firstLine="0" w:firstLineChars="0"/>
        <w:jc w:val="center"/>
        <w:rPr>
          <w:rFonts w:hint="eastAsia" w:ascii="Times New Roman" w:hAnsi="Times New Roman" w:eastAsia="黑体" w:cs="黑体"/>
          <w:lang w:eastAsia="zh-CN"/>
        </w:rPr>
      </w:pPr>
    </w:p>
    <w:p w14:paraId="4435C415">
      <w:pPr>
        <w:pStyle w:val="56"/>
        <w:bidi w:val="0"/>
        <w:rPr>
          <w:rFonts w:hint="eastAsia" w:ascii="Times New Roman" w:hAnsi="Times New Roman"/>
          <w:lang w:eastAsia="zh-CN"/>
        </w:rPr>
      </w:pPr>
      <w:r>
        <w:rPr>
          <w:rFonts w:hint="eastAsia" w:ascii="Times New Roman" w:hAnsi="Times New Roman"/>
          <w:lang w:eastAsia="zh-CN"/>
        </w:rPr>
        <w:t>隐患排查治理</w:t>
      </w:r>
      <w:r>
        <w:rPr>
          <w:rFonts w:hint="eastAsia" w:ascii="Times New Roman" w:hAnsi="Times New Roman"/>
          <w:lang w:val="en-US" w:eastAsia="zh-CN"/>
        </w:rPr>
        <w:t>清</w:t>
      </w:r>
      <w:r>
        <w:rPr>
          <w:rFonts w:hint="eastAsia" w:ascii="Times New Roman" w:hAnsi="Times New Roman"/>
          <w:lang w:eastAsia="zh-CN"/>
        </w:rPr>
        <w:t>单</w:t>
      </w:r>
      <w:r>
        <w:rPr>
          <w:rFonts w:hint="eastAsia" w:ascii="Times New Roman" w:hAnsi="Times New Roman"/>
          <w:lang w:val="en-US" w:eastAsia="zh-CN"/>
        </w:rPr>
        <w:t>模板</w:t>
      </w:r>
      <w:r>
        <w:rPr>
          <w:rFonts w:hint="eastAsia" w:ascii="Times New Roman" w:hAnsi="Times New Roman"/>
          <w:lang w:eastAsia="zh-CN"/>
        </w:rPr>
        <w:t>见表</w:t>
      </w:r>
      <w:r>
        <w:rPr>
          <w:rFonts w:hint="eastAsia" w:ascii="Times New Roman" w:hAnsi="Times New Roman"/>
          <w:lang w:val="en-US" w:eastAsia="zh-CN"/>
        </w:rPr>
        <w:t>B</w:t>
      </w:r>
      <w:r>
        <w:rPr>
          <w:rFonts w:hint="eastAsia" w:ascii="Times New Roman" w:hAnsi="Times New Roman"/>
          <w:lang w:eastAsia="zh-CN"/>
        </w:rPr>
        <w:t>.1。</w:t>
      </w:r>
    </w:p>
    <w:p w14:paraId="27B625D1">
      <w:pPr>
        <w:pStyle w:val="56"/>
        <w:ind w:firstLine="0" w:firstLineChars="0"/>
        <w:jc w:val="center"/>
        <w:rPr>
          <w:rFonts w:hint="eastAsia" w:ascii="Times New Roman" w:hAnsi="Times New Roman" w:eastAsia="黑体" w:cs="黑体"/>
          <w:lang w:eastAsia="zh-CN"/>
        </w:rPr>
      </w:pPr>
      <w:r>
        <w:rPr>
          <w:rFonts w:hint="eastAsia" w:ascii="Times New Roman" w:hAnsi="Times New Roman" w:eastAsia="黑体" w:cs="黑体"/>
          <w:lang w:eastAsia="zh-CN"/>
        </w:rPr>
        <w:t>表</w:t>
      </w:r>
      <w:r>
        <w:rPr>
          <w:rFonts w:hint="eastAsia" w:ascii="Times New Roman" w:hAnsi="Times New Roman" w:eastAsia="黑体" w:cs="黑体"/>
          <w:lang w:val="en-US" w:eastAsia="zh-CN"/>
        </w:rPr>
        <w:t>B</w:t>
      </w:r>
      <w:r>
        <w:rPr>
          <w:rFonts w:hint="eastAsia" w:ascii="Times New Roman" w:hAnsi="Times New Roman" w:eastAsia="黑体" w:cs="黑体"/>
          <w:lang w:eastAsia="zh-CN"/>
        </w:rPr>
        <w:t>.1 隐患排查治理清单</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870"/>
        <w:gridCol w:w="870"/>
        <w:gridCol w:w="870"/>
        <w:gridCol w:w="870"/>
        <w:gridCol w:w="870"/>
        <w:gridCol w:w="870"/>
        <w:gridCol w:w="870"/>
        <w:gridCol w:w="870"/>
        <w:gridCol w:w="870"/>
        <w:gridCol w:w="870"/>
      </w:tblGrid>
      <w:tr w14:paraId="7E9D3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14:paraId="0E6E2A9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序号</w:t>
            </w:r>
          </w:p>
        </w:tc>
        <w:tc>
          <w:tcPr>
            <w:tcW w:w="454" w:type="pct"/>
            <w:vAlign w:val="center"/>
          </w:tcPr>
          <w:p w14:paraId="427489E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隐患类别</w:t>
            </w:r>
          </w:p>
        </w:tc>
        <w:tc>
          <w:tcPr>
            <w:tcW w:w="454" w:type="pct"/>
            <w:vAlign w:val="center"/>
          </w:tcPr>
          <w:p w14:paraId="68A018C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隐患内容</w:t>
            </w:r>
          </w:p>
        </w:tc>
        <w:tc>
          <w:tcPr>
            <w:tcW w:w="454" w:type="pct"/>
            <w:vAlign w:val="center"/>
          </w:tcPr>
          <w:p w14:paraId="55A2A0B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责任部门</w:t>
            </w:r>
          </w:p>
        </w:tc>
        <w:tc>
          <w:tcPr>
            <w:tcW w:w="454" w:type="pct"/>
            <w:vAlign w:val="center"/>
          </w:tcPr>
          <w:p w14:paraId="7FD6D5F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治理措施及预案</w:t>
            </w:r>
          </w:p>
        </w:tc>
        <w:tc>
          <w:tcPr>
            <w:tcW w:w="454" w:type="pct"/>
            <w:vAlign w:val="center"/>
          </w:tcPr>
          <w:p w14:paraId="6C45987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完成时限</w:t>
            </w:r>
          </w:p>
        </w:tc>
        <w:tc>
          <w:tcPr>
            <w:tcW w:w="454" w:type="pct"/>
            <w:vAlign w:val="center"/>
          </w:tcPr>
          <w:p w14:paraId="6DB95F7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整改责任人</w:t>
            </w:r>
          </w:p>
        </w:tc>
        <w:tc>
          <w:tcPr>
            <w:tcW w:w="454" w:type="pct"/>
            <w:vAlign w:val="center"/>
          </w:tcPr>
          <w:p w14:paraId="2CD548A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资金来源</w:t>
            </w:r>
          </w:p>
        </w:tc>
        <w:tc>
          <w:tcPr>
            <w:tcW w:w="454" w:type="pct"/>
            <w:vAlign w:val="center"/>
          </w:tcPr>
          <w:p w14:paraId="10D74D8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复查结果</w:t>
            </w:r>
          </w:p>
        </w:tc>
        <w:tc>
          <w:tcPr>
            <w:tcW w:w="454" w:type="pct"/>
            <w:vAlign w:val="center"/>
          </w:tcPr>
          <w:p w14:paraId="288CD55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复查时间</w:t>
            </w:r>
          </w:p>
        </w:tc>
        <w:tc>
          <w:tcPr>
            <w:tcW w:w="454" w:type="pct"/>
            <w:vAlign w:val="center"/>
          </w:tcPr>
          <w:p w14:paraId="082E97F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黑体" w:cs="黑体"/>
                <w:i w:val="0"/>
                <w:iCs w:val="0"/>
                <w:color w:val="000000"/>
                <w:kern w:val="0"/>
                <w:sz w:val="21"/>
                <w:szCs w:val="21"/>
                <w:u w:val="none"/>
                <w:lang w:val="en-US" w:eastAsia="zh-CN" w:bidi="ar"/>
              </w:rPr>
            </w:pPr>
            <w:r>
              <w:rPr>
                <w:rFonts w:hint="eastAsia" w:ascii="Times New Roman" w:hAnsi="Times New Roman" w:eastAsia="黑体" w:cs="黑体"/>
                <w:i w:val="0"/>
                <w:iCs w:val="0"/>
                <w:color w:val="000000"/>
                <w:kern w:val="0"/>
                <w:sz w:val="21"/>
                <w:szCs w:val="21"/>
                <w:u w:val="none"/>
                <w:lang w:val="en-US" w:eastAsia="zh-CN" w:bidi="ar"/>
              </w:rPr>
              <w:t>复查人员</w:t>
            </w:r>
          </w:p>
        </w:tc>
      </w:tr>
      <w:tr w14:paraId="6768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14:paraId="2A100F2A">
            <w:pPr>
              <w:pStyle w:val="56"/>
              <w:jc w:val="center"/>
              <w:rPr>
                <w:rFonts w:hint="eastAsia" w:ascii="Times New Roman" w:hAnsi="Times New Roman" w:eastAsia="黑体" w:cs="黑体"/>
                <w:vertAlign w:val="baseline"/>
                <w:lang w:eastAsia="zh-CN"/>
              </w:rPr>
            </w:pPr>
          </w:p>
        </w:tc>
        <w:tc>
          <w:tcPr>
            <w:tcW w:w="454" w:type="pct"/>
          </w:tcPr>
          <w:p w14:paraId="02421C3F">
            <w:pPr>
              <w:pStyle w:val="56"/>
              <w:jc w:val="center"/>
              <w:rPr>
                <w:rFonts w:hint="eastAsia" w:ascii="Times New Roman" w:hAnsi="Times New Roman" w:eastAsia="黑体" w:cs="黑体"/>
                <w:vertAlign w:val="baseline"/>
                <w:lang w:eastAsia="zh-CN"/>
              </w:rPr>
            </w:pPr>
          </w:p>
        </w:tc>
        <w:tc>
          <w:tcPr>
            <w:tcW w:w="454" w:type="pct"/>
          </w:tcPr>
          <w:p w14:paraId="69ABF9A7">
            <w:pPr>
              <w:pStyle w:val="56"/>
              <w:jc w:val="center"/>
              <w:rPr>
                <w:rFonts w:hint="eastAsia" w:ascii="Times New Roman" w:hAnsi="Times New Roman" w:eastAsia="黑体" w:cs="黑体"/>
                <w:vertAlign w:val="baseline"/>
                <w:lang w:eastAsia="zh-CN"/>
              </w:rPr>
            </w:pPr>
          </w:p>
        </w:tc>
        <w:tc>
          <w:tcPr>
            <w:tcW w:w="454" w:type="pct"/>
          </w:tcPr>
          <w:p w14:paraId="5092F5E5">
            <w:pPr>
              <w:pStyle w:val="56"/>
              <w:jc w:val="center"/>
              <w:rPr>
                <w:rFonts w:hint="eastAsia" w:ascii="Times New Roman" w:hAnsi="Times New Roman" w:eastAsia="黑体" w:cs="黑体"/>
                <w:vertAlign w:val="baseline"/>
                <w:lang w:eastAsia="zh-CN"/>
              </w:rPr>
            </w:pPr>
          </w:p>
        </w:tc>
        <w:tc>
          <w:tcPr>
            <w:tcW w:w="454" w:type="pct"/>
          </w:tcPr>
          <w:p w14:paraId="498D5B15">
            <w:pPr>
              <w:pStyle w:val="56"/>
              <w:jc w:val="center"/>
              <w:rPr>
                <w:rFonts w:hint="eastAsia" w:ascii="Times New Roman" w:hAnsi="Times New Roman" w:eastAsia="黑体" w:cs="黑体"/>
                <w:vertAlign w:val="baseline"/>
                <w:lang w:eastAsia="zh-CN"/>
              </w:rPr>
            </w:pPr>
          </w:p>
        </w:tc>
        <w:tc>
          <w:tcPr>
            <w:tcW w:w="454" w:type="pct"/>
          </w:tcPr>
          <w:p w14:paraId="28FB6CCC">
            <w:pPr>
              <w:pStyle w:val="56"/>
              <w:jc w:val="center"/>
              <w:rPr>
                <w:rFonts w:hint="eastAsia" w:ascii="Times New Roman" w:hAnsi="Times New Roman" w:eastAsia="黑体" w:cs="黑体"/>
                <w:vertAlign w:val="baseline"/>
                <w:lang w:eastAsia="zh-CN"/>
              </w:rPr>
            </w:pPr>
          </w:p>
        </w:tc>
        <w:tc>
          <w:tcPr>
            <w:tcW w:w="454" w:type="pct"/>
          </w:tcPr>
          <w:p w14:paraId="68584F2B">
            <w:pPr>
              <w:pStyle w:val="56"/>
              <w:jc w:val="center"/>
              <w:rPr>
                <w:rFonts w:hint="eastAsia" w:ascii="Times New Roman" w:hAnsi="Times New Roman" w:eastAsia="黑体" w:cs="黑体"/>
                <w:vertAlign w:val="baseline"/>
                <w:lang w:eastAsia="zh-CN"/>
              </w:rPr>
            </w:pPr>
          </w:p>
        </w:tc>
        <w:tc>
          <w:tcPr>
            <w:tcW w:w="454" w:type="pct"/>
          </w:tcPr>
          <w:p w14:paraId="1C566A96">
            <w:pPr>
              <w:pStyle w:val="56"/>
              <w:jc w:val="center"/>
              <w:rPr>
                <w:rFonts w:hint="eastAsia" w:ascii="Times New Roman" w:hAnsi="Times New Roman" w:eastAsia="黑体" w:cs="黑体"/>
                <w:vertAlign w:val="baseline"/>
                <w:lang w:eastAsia="zh-CN"/>
              </w:rPr>
            </w:pPr>
          </w:p>
        </w:tc>
        <w:tc>
          <w:tcPr>
            <w:tcW w:w="454" w:type="pct"/>
          </w:tcPr>
          <w:p w14:paraId="3F7B7294">
            <w:pPr>
              <w:pStyle w:val="56"/>
              <w:jc w:val="center"/>
              <w:rPr>
                <w:rFonts w:hint="eastAsia" w:ascii="Times New Roman" w:hAnsi="Times New Roman" w:eastAsia="黑体" w:cs="黑体"/>
                <w:vertAlign w:val="baseline"/>
                <w:lang w:eastAsia="zh-CN"/>
              </w:rPr>
            </w:pPr>
          </w:p>
        </w:tc>
        <w:tc>
          <w:tcPr>
            <w:tcW w:w="454" w:type="pct"/>
          </w:tcPr>
          <w:p w14:paraId="3626F2CE">
            <w:pPr>
              <w:pStyle w:val="56"/>
              <w:jc w:val="center"/>
              <w:rPr>
                <w:rFonts w:hint="eastAsia" w:ascii="Times New Roman" w:hAnsi="Times New Roman" w:eastAsia="黑体" w:cs="黑体"/>
                <w:vertAlign w:val="baseline"/>
                <w:lang w:eastAsia="zh-CN"/>
              </w:rPr>
            </w:pPr>
          </w:p>
        </w:tc>
        <w:tc>
          <w:tcPr>
            <w:tcW w:w="454" w:type="pct"/>
          </w:tcPr>
          <w:p w14:paraId="59864A7F">
            <w:pPr>
              <w:pStyle w:val="56"/>
              <w:jc w:val="center"/>
              <w:rPr>
                <w:rFonts w:hint="eastAsia" w:ascii="Times New Roman" w:hAnsi="Times New Roman" w:eastAsia="黑体" w:cs="黑体"/>
                <w:vertAlign w:val="baseline"/>
                <w:lang w:eastAsia="zh-CN"/>
              </w:rPr>
            </w:pPr>
          </w:p>
        </w:tc>
      </w:tr>
      <w:tr w14:paraId="0E2A6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14:paraId="6522E350">
            <w:pPr>
              <w:pStyle w:val="56"/>
              <w:jc w:val="center"/>
              <w:rPr>
                <w:rFonts w:hint="eastAsia" w:ascii="Times New Roman" w:hAnsi="Times New Roman" w:eastAsia="黑体" w:cs="黑体"/>
                <w:vertAlign w:val="baseline"/>
                <w:lang w:eastAsia="zh-CN"/>
              </w:rPr>
            </w:pPr>
          </w:p>
        </w:tc>
        <w:tc>
          <w:tcPr>
            <w:tcW w:w="454" w:type="pct"/>
          </w:tcPr>
          <w:p w14:paraId="29D6B1BA">
            <w:pPr>
              <w:pStyle w:val="56"/>
              <w:jc w:val="center"/>
              <w:rPr>
                <w:rFonts w:hint="eastAsia" w:ascii="Times New Roman" w:hAnsi="Times New Roman" w:eastAsia="黑体" w:cs="黑体"/>
                <w:vertAlign w:val="baseline"/>
                <w:lang w:eastAsia="zh-CN"/>
              </w:rPr>
            </w:pPr>
          </w:p>
        </w:tc>
        <w:tc>
          <w:tcPr>
            <w:tcW w:w="454" w:type="pct"/>
          </w:tcPr>
          <w:p w14:paraId="0C9E686B">
            <w:pPr>
              <w:pStyle w:val="56"/>
              <w:jc w:val="center"/>
              <w:rPr>
                <w:rFonts w:hint="eastAsia" w:ascii="Times New Roman" w:hAnsi="Times New Roman" w:eastAsia="黑体" w:cs="黑体"/>
                <w:vertAlign w:val="baseline"/>
                <w:lang w:eastAsia="zh-CN"/>
              </w:rPr>
            </w:pPr>
          </w:p>
        </w:tc>
        <w:tc>
          <w:tcPr>
            <w:tcW w:w="454" w:type="pct"/>
          </w:tcPr>
          <w:p w14:paraId="394A5CD6">
            <w:pPr>
              <w:pStyle w:val="56"/>
              <w:jc w:val="center"/>
              <w:rPr>
                <w:rFonts w:hint="eastAsia" w:ascii="Times New Roman" w:hAnsi="Times New Roman" w:eastAsia="黑体" w:cs="黑体"/>
                <w:vertAlign w:val="baseline"/>
                <w:lang w:eastAsia="zh-CN"/>
              </w:rPr>
            </w:pPr>
          </w:p>
        </w:tc>
        <w:tc>
          <w:tcPr>
            <w:tcW w:w="454" w:type="pct"/>
          </w:tcPr>
          <w:p w14:paraId="1A83BC3E">
            <w:pPr>
              <w:pStyle w:val="56"/>
              <w:jc w:val="center"/>
              <w:rPr>
                <w:rFonts w:hint="eastAsia" w:ascii="Times New Roman" w:hAnsi="Times New Roman" w:eastAsia="黑体" w:cs="黑体"/>
                <w:vertAlign w:val="baseline"/>
                <w:lang w:eastAsia="zh-CN"/>
              </w:rPr>
            </w:pPr>
          </w:p>
        </w:tc>
        <w:tc>
          <w:tcPr>
            <w:tcW w:w="454" w:type="pct"/>
          </w:tcPr>
          <w:p w14:paraId="4876340F">
            <w:pPr>
              <w:pStyle w:val="56"/>
              <w:jc w:val="center"/>
              <w:rPr>
                <w:rFonts w:hint="eastAsia" w:ascii="Times New Roman" w:hAnsi="Times New Roman" w:eastAsia="黑体" w:cs="黑体"/>
                <w:vertAlign w:val="baseline"/>
                <w:lang w:eastAsia="zh-CN"/>
              </w:rPr>
            </w:pPr>
          </w:p>
        </w:tc>
        <w:tc>
          <w:tcPr>
            <w:tcW w:w="454" w:type="pct"/>
          </w:tcPr>
          <w:p w14:paraId="76602F45">
            <w:pPr>
              <w:pStyle w:val="56"/>
              <w:jc w:val="center"/>
              <w:rPr>
                <w:rFonts w:hint="eastAsia" w:ascii="Times New Roman" w:hAnsi="Times New Roman" w:eastAsia="黑体" w:cs="黑体"/>
                <w:vertAlign w:val="baseline"/>
                <w:lang w:eastAsia="zh-CN"/>
              </w:rPr>
            </w:pPr>
          </w:p>
        </w:tc>
        <w:tc>
          <w:tcPr>
            <w:tcW w:w="454" w:type="pct"/>
          </w:tcPr>
          <w:p w14:paraId="42B27738">
            <w:pPr>
              <w:pStyle w:val="56"/>
              <w:jc w:val="center"/>
              <w:rPr>
                <w:rFonts w:hint="eastAsia" w:ascii="Times New Roman" w:hAnsi="Times New Roman" w:eastAsia="黑体" w:cs="黑体"/>
                <w:vertAlign w:val="baseline"/>
                <w:lang w:eastAsia="zh-CN"/>
              </w:rPr>
            </w:pPr>
          </w:p>
        </w:tc>
        <w:tc>
          <w:tcPr>
            <w:tcW w:w="454" w:type="pct"/>
          </w:tcPr>
          <w:p w14:paraId="014ED9DE">
            <w:pPr>
              <w:pStyle w:val="56"/>
              <w:jc w:val="center"/>
              <w:rPr>
                <w:rFonts w:hint="eastAsia" w:ascii="Times New Roman" w:hAnsi="Times New Roman" w:eastAsia="黑体" w:cs="黑体"/>
                <w:vertAlign w:val="baseline"/>
                <w:lang w:eastAsia="zh-CN"/>
              </w:rPr>
            </w:pPr>
          </w:p>
        </w:tc>
        <w:tc>
          <w:tcPr>
            <w:tcW w:w="454" w:type="pct"/>
          </w:tcPr>
          <w:p w14:paraId="2D2448F7">
            <w:pPr>
              <w:pStyle w:val="56"/>
              <w:jc w:val="center"/>
              <w:rPr>
                <w:rFonts w:hint="eastAsia" w:ascii="Times New Roman" w:hAnsi="Times New Roman" w:eastAsia="黑体" w:cs="黑体"/>
                <w:vertAlign w:val="baseline"/>
                <w:lang w:eastAsia="zh-CN"/>
              </w:rPr>
            </w:pPr>
          </w:p>
        </w:tc>
        <w:tc>
          <w:tcPr>
            <w:tcW w:w="454" w:type="pct"/>
          </w:tcPr>
          <w:p w14:paraId="72C425DE">
            <w:pPr>
              <w:pStyle w:val="56"/>
              <w:jc w:val="center"/>
              <w:rPr>
                <w:rFonts w:hint="eastAsia" w:ascii="Times New Roman" w:hAnsi="Times New Roman" w:eastAsia="黑体" w:cs="黑体"/>
                <w:vertAlign w:val="baseline"/>
                <w:lang w:eastAsia="zh-CN"/>
              </w:rPr>
            </w:pPr>
          </w:p>
        </w:tc>
      </w:tr>
      <w:tr w14:paraId="47E29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14:paraId="51150F8A">
            <w:pPr>
              <w:pStyle w:val="56"/>
              <w:jc w:val="center"/>
              <w:rPr>
                <w:rFonts w:hint="eastAsia" w:ascii="Times New Roman" w:hAnsi="Times New Roman" w:eastAsia="黑体" w:cs="黑体"/>
                <w:vertAlign w:val="baseline"/>
                <w:lang w:eastAsia="zh-CN"/>
              </w:rPr>
            </w:pPr>
          </w:p>
        </w:tc>
        <w:tc>
          <w:tcPr>
            <w:tcW w:w="454" w:type="pct"/>
          </w:tcPr>
          <w:p w14:paraId="41048163">
            <w:pPr>
              <w:pStyle w:val="56"/>
              <w:jc w:val="center"/>
              <w:rPr>
                <w:rFonts w:hint="eastAsia" w:ascii="Times New Roman" w:hAnsi="Times New Roman" w:eastAsia="黑体" w:cs="黑体"/>
                <w:vertAlign w:val="baseline"/>
                <w:lang w:eastAsia="zh-CN"/>
              </w:rPr>
            </w:pPr>
          </w:p>
        </w:tc>
        <w:tc>
          <w:tcPr>
            <w:tcW w:w="454" w:type="pct"/>
          </w:tcPr>
          <w:p w14:paraId="3E884B6D">
            <w:pPr>
              <w:pStyle w:val="56"/>
              <w:jc w:val="center"/>
              <w:rPr>
                <w:rFonts w:hint="eastAsia" w:ascii="Times New Roman" w:hAnsi="Times New Roman" w:eastAsia="黑体" w:cs="黑体"/>
                <w:vertAlign w:val="baseline"/>
                <w:lang w:eastAsia="zh-CN"/>
              </w:rPr>
            </w:pPr>
          </w:p>
        </w:tc>
        <w:tc>
          <w:tcPr>
            <w:tcW w:w="454" w:type="pct"/>
          </w:tcPr>
          <w:p w14:paraId="04299AB7">
            <w:pPr>
              <w:pStyle w:val="56"/>
              <w:jc w:val="center"/>
              <w:rPr>
                <w:rFonts w:hint="eastAsia" w:ascii="Times New Roman" w:hAnsi="Times New Roman" w:eastAsia="黑体" w:cs="黑体"/>
                <w:vertAlign w:val="baseline"/>
                <w:lang w:eastAsia="zh-CN"/>
              </w:rPr>
            </w:pPr>
          </w:p>
        </w:tc>
        <w:tc>
          <w:tcPr>
            <w:tcW w:w="454" w:type="pct"/>
          </w:tcPr>
          <w:p w14:paraId="40DF4063">
            <w:pPr>
              <w:pStyle w:val="56"/>
              <w:jc w:val="center"/>
              <w:rPr>
                <w:rFonts w:hint="eastAsia" w:ascii="Times New Roman" w:hAnsi="Times New Roman" w:eastAsia="黑体" w:cs="黑体"/>
                <w:vertAlign w:val="baseline"/>
                <w:lang w:eastAsia="zh-CN"/>
              </w:rPr>
            </w:pPr>
          </w:p>
        </w:tc>
        <w:tc>
          <w:tcPr>
            <w:tcW w:w="454" w:type="pct"/>
          </w:tcPr>
          <w:p w14:paraId="73999268">
            <w:pPr>
              <w:pStyle w:val="56"/>
              <w:jc w:val="center"/>
              <w:rPr>
                <w:rFonts w:hint="eastAsia" w:ascii="Times New Roman" w:hAnsi="Times New Roman" w:eastAsia="黑体" w:cs="黑体"/>
                <w:vertAlign w:val="baseline"/>
                <w:lang w:eastAsia="zh-CN"/>
              </w:rPr>
            </w:pPr>
          </w:p>
        </w:tc>
        <w:tc>
          <w:tcPr>
            <w:tcW w:w="454" w:type="pct"/>
          </w:tcPr>
          <w:p w14:paraId="21B96393">
            <w:pPr>
              <w:pStyle w:val="56"/>
              <w:jc w:val="center"/>
              <w:rPr>
                <w:rFonts w:hint="eastAsia" w:ascii="Times New Roman" w:hAnsi="Times New Roman" w:eastAsia="黑体" w:cs="黑体"/>
                <w:vertAlign w:val="baseline"/>
                <w:lang w:eastAsia="zh-CN"/>
              </w:rPr>
            </w:pPr>
          </w:p>
        </w:tc>
        <w:tc>
          <w:tcPr>
            <w:tcW w:w="454" w:type="pct"/>
          </w:tcPr>
          <w:p w14:paraId="079C9761">
            <w:pPr>
              <w:pStyle w:val="56"/>
              <w:jc w:val="center"/>
              <w:rPr>
                <w:rFonts w:hint="eastAsia" w:ascii="Times New Roman" w:hAnsi="Times New Roman" w:eastAsia="黑体" w:cs="黑体"/>
                <w:vertAlign w:val="baseline"/>
                <w:lang w:eastAsia="zh-CN"/>
              </w:rPr>
            </w:pPr>
          </w:p>
        </w:tc>
        <w:tc>
          <w:tcPr>
            <w:tcW w:w="454" w:type="pct"/>
          </w:tcPr>
          <w:p w14:paraId="321DD9E9">
            <w:pPr>
              <w:pStyle w:val="56"/>
              <w:jc w:val="center"/>
              <w:rPr>
                <w:rFonts w:hint="eastAsia" w:ascii="Times New Roman" w:hAnsi="Times New Roman" w:eastAsia="黑体" w:cs="黑体"/>
                <w:vertAlign w:val="baseline"/>
                <w:lang w:eastAsia="zh-CN"/>
              </w:rPr>
            </w:pPr>
          </w:p>
        </w:tc>
        <w:tc>
          <w:tcPr>
            <w:tcW w:w="454" w:type="pct"/>
          </w:tcPr>
          <w:p w14:paraId="2C7E24E5">
            <w:pPr>
              <w:pStyle w:val="56"/>
              <w:jc w:val="center"/>
              <w:rPr>
                <w:rFonts w:hint="eastAsia" w:ascii="Times New Roman" w:hAnsi="Times New Roman" w:eastAsia="黑体" w:cs="黑体"/>
                <w:vertAlign w:val="baseline"/>
                <w:lang w:eastAsia="zh-CN"/>
              </w:rPr>
            </w:pPr>
          </w:p>
        </w:tc>
        <w:tc>
          <w:tcPr>
            <w:tcW w:w="454" w:type="pct"/>
          </w:tcPr>
          <w:p w14:paraId="510F43AF">
            <w:pPr>
              <w:pStyle w:val="56"/>
              <w:jc w:val="center"/>
              <w:rPr>
                <w:rFonts w:hint="eastAsia" w:ascii="Times New Roman" w:hAnsi="Times New Roman" w:eastAsia="黑体" w:cs="黑体"/>
                <w:vertAlign w:val="baseline"/>
                <w:lang w:eastAsia="zh-CN"/>
              </w:rPr>
            </w:pPr>
          </w:p>
        </w:tc>
      </w:tr>
      <w:tr w14:paraId="35510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14:paraId="743A6CDA">
            <w:pPr>
              <w:pStyle w:val="56"/>
              <w:jc w:val="center"/>
              <w:rPr>
                <w:rFonts w:hint="eastAsia" w:ascii="Times New Roman" w:hAnsi="Times New Roman" w:eastAsia="黑体" w:cs="黑体"/>
                <w:vertAlign w:val="baseline"/>
                <w:lang w:eastAsia="zh-CN"/>
              </w:rPr>
            </w:pPr>
          </w:p>
        </w:tc>
        <w:tc>
          <w:tcPr>
            <w:tcW w:w="454" w:type="pct"/>
          </w:tcPr>
          <w:p w14:paraId="6BD18CC5">
            <w:pPr>
              <w:pStyle w:val="56"/>
              <w:jc w:val="center"/>
              <w:rPr>
                <w:rFonts w:hint="eastAsia" w:ascii="Times New Roman" w:hAnsi="Times New Roman" w:eastAsia="黑体" w:cs="黑体"/>
                <w:vertAlign w:val="baseline"/>
                <w:lang w:eastAsia="zh-CN"/>
              </w:rPr>
            </w:pPr>
          </w:p>
        </w:tc>
        <w:tc>
          <w:tcPr>
            <w:tcW w:w="454" w:type="pct"/>
          </w:tcPr>
          <w:p w14:paraId="234CB65E">
            <w:pPr>
              <w:pStyle w:val="56"/>
              <w:jc w:val="center"/>
              <w:rPr>
                <w:rFonts w:hint="eastAsia" w:ascii="Times New Roman" w:hAnsi="Times New Roman" w:eastAsia="黑体" w:cs="黑体"/>
                <w:vertAlign w:val="baseline"/>
                <w:lang w:eastAsia="zh-CN"/>
              </w:rPr>
            </w:pPr>
          </w:p>
        </w:tc>
        <w:tc>
          <w:tcPr>
            <w:tcW w:w="454" w:type="pct"/>
          </w:tcPr>
          <w:p w14:paraId="2F48FF88">
            <w:pPr>
              <w:pStyle w:val="56"/>
              <w:jc w:val="center"/>
              <w:rPr>
                <w:rFonts w:hint="eastAsia" w:ascii="Times New Roman" w:hAnsi="Times New Roman" w:eastAsia="黑体" w:cs="黑体"/>
                <w:vertAlign w:val="baseline"/>
                <w:lang w:eastAsia="zh-CN"/>
              </w:rPr>
            </w:pPr>
          </w:p>
        </w:tc>
        <w:tc>
          <w:tcPr>
            <w:tcW w:w="454" w:type="pct"/>
          </w:tcPr>
          <w:p w14:paraId="51CA3A54">
            <w:pPr>
              <w:pStyle w:val="56"/>
              <w:jc w:val="center"/>
              <w:rPr>
                <w:rFonts w:hint="eastAsia" w:ascii="Times New Roman" w:hAnsi="Times New Roman" w:eastAsia="黑体" w:cs="黑体"/>
                <w:vertAlign w:val="baseline"/>
                <w:lang w:eastAsia="zh-CN"/>
              </w:rPr>
            </w:pPr>
          </w:p>
        </w:tc>
        <w:tc>
          <w:tcPr>
            <w:tcW w:w="454" w:type="pct"/>
          </w:tcPr>
          <w:p w14:paraId="5E25A626">
            <w:pPr>
              <w:pStyle w:val="56"/>
              <w:jc w:val="center"/>
              <w:rPr>
                <w:rFonts w:hint="eastAsia" w:ascii="Times New Roman" w:hAnsi="Times New Roman" w:eastAsia="黑体" w:cs="黑体"/>
                <w:vertAlign w:val="baseline"/>
                <w:lang w:eastAsia="zh-CN"/>
              </w:rPr>
            </w:pPr>
          </w:p>
        </w:tc>
        <w:tc>
          <w:tcPr>
            <w:tcW w:w="454" w:type="pct"/>
          </w:tcPr>
          <w:p w14:paraId="3FD1036E">
            <w:pPr>
              <w:pStyle w:val="56"/>
              <w:jc w:val="center"/>
              <w:rPr>
                <w:rFonts w:hint="eastAsia" w:ascii="Times New Roman" w:hAnsi="Times New Roman" w:eastAsia="黑体" w:cs="黑体"/>
                <w:vertAlign w:val="baseline"/>
                <w:lang w:eastAsia="zh-CN"/>
              </w:rPr>
            </w:pPr>
          </w:p>
        </w:tc>
        <w:tc>
          <w:tcPr>
            <w:tcW w:w="454" w:type="pct"/>
          </w:tcPr>
          <w:p w14:paraId="3C5C52F6">
            <w:pPr>
              <w:pStyle w:val="56"/>
              <w:jc w:val="center"/>
              <w:rPr>
                <w:rFonts w:hint="eastAsia" w:ascii="Times New Roman" w:hAnsi="Times New Roman" w:eastAsia="黑体" w:cs="黑体"/>
                <w:vertAlign w:val="baseline"/>
                <w:lang w:eastAsia="zh-CN"/>
              </w:rPr>
            </w:pPr>
          </w:p>
        </w:tc>
        <w:tc>
          <w:tcPr>
            <w:tcW w:w="454" w:type="pct"/>
          </w:tcPr>
          <w:p w14:paraId="553DBB82">
            <w:pPr>
              <w:pStyle w:val="56"/>
              <w:jc w:val="center"/>
              <w:rPr>
                <w:rFonts w:hint="eastAsia" w:ascii="Times New Roman" w:hAnsi="Times New Roman" w:eastAsia="黑体" w:cs="黑体"/>
                <w:vertAlign w:val="baseline"/>
                <w:lang w:eastAsia="zh-CN"/>
              </w:rPr>
            </w:pPr>
          </w:p>
        </w:tc>
        <w:tc>
          <w:tcPr>
            <w:tcW w:w="454" w:type="pct"/>
          </w:tcPr>
          <w:p w14:paraId="4E9B5F17">
            <w:pPr>
              <w:pStyle w:val="56"/>
              <w:jc w:val="center"/>
              <w:rPr>
                <w:rFonts w:hint="eastAsia" w:ascii="Times New Roman" w:hAnsi="Times New Roman" w:eastAsia="黑体" w:cs="黑体"/>
                <w:vertAlign w:val="baseline"/>
                <w:lang w:eastAsia="zh-CN"/>
              </w:rPr>
            </w:pPr>
          </w:p>
        </w:tc>
        <w:tc>
          <w:tcPr>
            <w:tcW w:w="454" w:type="pct"/>
          </w:tcPr>
          <w:p w14:paraId="09E0C18D">
            <w:pPr>
              <w:pStyle w:val="56"/>
              <w:jc w:val="center"/>
              <w:rPr>
                <w:rFonts w:hint="eastAsia" w:ascii="Times New Roman" w:hAnsi="Times New Roman" w:eastAsia="黑体" w:cs="黑体"/>
                <w:vertAlign w:val="baseline"/>
                <w:lang w:eastAsia="zh-CN"/>
              </w:rPr>
            </w:pPr>
          </w:p>
        </w:tc>
      </w:tr>
      <w:tr w14:paraId="3A15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14:paraId="57F94280">
            <w:pPr>
              <w:pStyle w:val="56"/>
              <w:jc w:val="center"/>
              <w:rPr>
                <w:rFonts w:hint="eastAsia" w:ascii="Times New Roman" w:hAnsi="Times New Roman" w:eastAsia="黑体" w:cs="黑体"/>
                <w:vertAlign w:val="baseline"/>
                <w:lang w:eastAsia="zh-CN"/>
              </w:rPr>
            </w:pPr>
          </w:p>
        </w:tc>
        <w:tc>
          <w:tcPr>
            <w:tcW w:w="454" w:type="pct"/>
          </w:tcPr>
          <w:p w14:paraId="058794D9">
            <w:pPr>
              <w:pStyle w:val="56"/>
              <w:jc w:val="center"/>
              <w:rPr>
                <w:rFonts w:hint="eastAsia" w:ascii="Times New Roman" w:hAnsi="Times New Roman" w:eastAsia="黑体" w:cs="黑体"/>
                <w:vertAlign w:val="baseline"/>
                <w:lang w:eastAsia="zh-CN"/>
              </w:rPr>
            </w:pPr>
          </w:p>
        </w:tc>
        <w:tc>
          <w:tcPr>
            <w:tcW w:w="454" w:type="pct"/>
          </w:tcPr>
          <w:p w14:paraId="4E48C7C6">
            <w:pPr>
              <w:pStyle w:val="56"/>
              <w:jc w:val="center"/>
              <w:rPr>
                <w:rFonts w:hint="eastAsia" w:ascii="Times New Roman" w:hAnsi="Times New Roman" w:eastAsia="黑体" w:cs="黑体"/>
                <w:vertAlign w:val="baseline"/>
                <w:lang w:eastAsia="zh-CN"/>
              </w:rPr>
            </w:pPr>
          </w:p>
        </w:tc>
        <w:tc>
          <w:tcPr>
            <w:tcW w:w="454" w:type="pct"/>
          </w:tcPr>
          <w:p w14:paraId="529557C0">
            <w:pPr>
              <w:pStyle w:val="56"/>
              <w:jc w:val="center"/>
              <w:rPr>
                <w:rFonts w:hint="eastAsia" w:ascii="Times New Roman" w:hAnsi="Times New Roman" w:eastAsia="黑体" w:cs="黑体"/>
                <w:vertAlign w:val="baseline"/>
                <w:lang w:eastAsia="zh-CN"/>
              </w:rPr>
            </w:pPr>
          </w:p>
        </w:tc>
        <w:tc>
          <w:tcPr>
            <w:tcW w:w="454" w:type="pct"/>
          </w:tcPr>
          <w:p w14:paraId="60297410">
            <w:pPr>
              <w:pStyle w:val="56"/>
              <w:jc w:val="center"/>
              <w:rPr>
                <w:rFonts w:hint="eastAsia" w:ascii="Times New Roman" w:hAnsi="Times New Roman" w:eastAsia="黑体" w:cs="黑体"/>
                <w:vertAlign w:val="baseline"/>
                <w:lang w:eastAsia="zh-CN"/>
              </w:rPr>
            </w:pPr>
          </w:p>
        </w:tc>
        <w:tc>
          <w:tcPr>
            <w:tcW w:w="454" w:type="pct"/>
          </w:tcPr>
          <w:p w14:paraId="1501685D">
            <w:pPr>
              <w:pStyle w:val="56"/>
              <w:jc w:val="center"/>
              <w:rPr>
                <w:rFonts w:hint="eastAsia" w:ascii="Times New Roman" w:hAnsi="Times New Roman" w:eastAsia="黑体" w:cs="黑体"/>
                <w:vertAlign w:val="baseline"/>
                <w:lang w:eastAsia="zh-CN"/>
              </w:rPr>
            </w:pPr>
          </w:p>
        </w:tc>
        <w:tc>
          <w:tcPr>
            <w:tcW w:w="454" w:type="pct"/>
          </w:tcPr>
          <w:p w14:paraId="00819860">
            <w:pPr>
              <w:pStyle w:val="56"/>
              <w:jc w:val="center"/>
              <w:rPr>
                <w:rFonts w:hint="eastAsia" w:ascii="Times New Roman" w:hAnsi="Times New Roman" w:eastAsia="黑体" w:cs="黑体"/>
                <w:vertAlign w:val="baseline"/>
                <w:lang w:eastAsia="zh-CN"/>
              </w:rPr>
            </w:pPr>
          </w:p>
        </w:tc>
        <w:tc>
          <w:tcPr>
            <w:tcW w:w="454" w:type="pct"/>
          </w:tcPr>
          <w:p w14:paraId="43302367">
            <w:pPr>
              <w:pStyle w:val="56"/>
              <w:jc w:val="center"/>
              <w:rPr>
                <w:rFonts w:hint="eastAsia" w:ascii="Times New Roman" w:hAnsi="Times New Roman" w:eastAsia="黑体" w:cs="黑体"/>
                <w:vertAlign w:val="baseline"/>
                <w:lang w:eastAsia="zh-CN"/>
              </w:rPr>
            </w:pPr>
          </w:p>
        </w:tc>
        <w:tc>
          <w:tcPr>
            <w:tcW w:w="454" w:type="pct"/>
          </w:tcPr>
          <w:p w14:paraId="7ED399E5">
            <w:pPr>
              <w:pStyle w:val="56"/>
              <w:jc w:val="center"/>
              <w:rPr>
                <w:rFonts w:hint="eastAsia" w:ascii="Times New Roman" w:hAnsi="Times New Roman" w:eastAsia="黑体" w:cs="黑体"/>
                <w:vertAlign w:val="baseline"/>
                <w:lang w:eastAsia="zh-CN"/>
              </w:rPr>
            </w:pPr>
          </w:p>
        </w:tc>
        <w:tc>
          <w:tcPr>
            <w:tcW w:w="454" w:type="pct"/>
          </w:tcPr>
          <w:p w14:paraId="3819D333">
            <w:pPr>
              <w:pStyle w:val="56"/>
              <w:jc w:val="center"/>
              <w:rPr>
                <w:rFonts w:hint="eastAsia" w:ascii="Times New Roman" w:hAnsi="Times New Roman" w:eastAsia="黑体" w:cs="黑体"/>
                <w:vertAlign w:val="baseline"/>
                <w:lang w:eastAsia="zh-CN"/>
              </w:rPr>
            </w:pPr>
          </w:p>
        </w:tc>
        <w:tc>
          <w:tcPr>
            <w:tcW w:w="454" w:type="pct"/>
          </w:tcPr>
          <w:p w14:paraId="03AEF3EE">
            <w:pPr>
              <w:pStyle w:val="56"/>
              <w:jc w:val="center"/>
              <w:rPr>
                <w:rFonts w:hint="eastAsia" w:ascii="Times New Roman" w:hAnsi="Times New Roman" w:eastAsia="黑体" w:cs="黑体"/>
                <w:vertAlign w:val="baseline"/>
                <w:lang w:eastAsia="zh-CN"/>
              </w:rPr>
            </w:pPr>
          </w:p>
        </w:tc>
      </w:tr>
      <w:tr w14:paraId="5800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14:paraId="7AC9EE9B">
            <w:pPr>
              <w:pStyle w:val="56"/>
              <w:jc w:val="center"/>
              <w:rPr>
                <w:rFonts w:hint="eastAsia" w:ascii="Times New Roman" w:hAnsi="Times New Roman" w:eastAsia="黑体" w:cs="黑体"/>
                <w:vertAlign w:val="baseline"/>
                <w:lang w:eastAsia="zh-CN"/>
              </w:rPr>
            </w:pPr>
          </w:p>
        </w:tc>
        <w:tc>
          <w:tcPr>
            <w:tcW w:w="454" w:type="pct"/>
          </w:tcPr>
          <w:p w14:paraId="59CE72CF">
            <w:pPr>
              <w:pStyle w:val="56"/>
              <w:jc w:val="center"/>
              <w:rPr>
                <w:rFonts w:hint="eastAsia" w:ascii="Times New Roman" w:hAnsi="Times New Roman" w:eastAsia="黑体" w:cs="黑体"/>
                <w:vertAlign w:val="baseline"/>
                <w:lang w:eastAsia="zh-CN"/>
              </w:rPr>
            </w:pPr>
          </w:p>
        </w:tc>
        <w:tc>
          <w:tcPr>
            <w:tcW w:w="454" w:type="pct"/>
          </w:tcPr>
          <w:p w14:paraId="4BB85CBC">
            <w:pPr>
              <w:pStyle w:val="56"/>
              <w:jc w:val="center"/>
              <w:rPr>
                <w:rFonts w:hint="eastAsia" w:ascii="Times New Roman" w:hAnsi="Times New Roman" w:eastAsia="黑体" w:cs="黑体"/>
                <w:vertAlign w:val="baseline"/>
                <w:lang w:eastAsia="zh-CN"/>
              </w:rPr>
            </w:pPr>
          </w:p>
        </w:tc>
        <w:tc>
          <w:tcPr>
            <w:tcW w:w="454" w:type="pct"/>
          </w:tcPr>
          <w:p w14:paraId="4726A7C8">
            <w:pPr>
              <w:pStyle w:val="56"/>
              <w:jc w:val="center"/>
              <w:rPr>
                <w:rFonts w:hint="eastAsia" w:ascii="Times New Roman" w:hAnsi="Times New Roman" w:eastAsia="黑体" w:cs="黑体"/>
                <w:vertAlign w:val="baseline"/>
                <w:lang w:eastAsia="zh-CN"/>
              </w:rPr>
            </w:pPr>
          </w:p>
        </w:tc>
        <w:tc>
          <w:tcPr>
            <w:tcW w:w="454" w:type="pct"/>
          </w:tcPr>
          <w:p w14:paraId="70CCCDCB">
            <w:pPr>
              <w:pStyle w:val="56"/>
              <w:jc w:val="center"/>
              <w:rPr>
                <w:rFonts w:hint="eastAsia" w:ascii="Times New Roman" w:hAnsi="Times New Roman" w:eastAsia="黑体" w:cs="黑体"/>
                <w:vertAlign w:val="baseline"/>
                <w:lang w:eastAsia="zh-CN"/>
              </w:rPr>
            </w:pPr>
          </w:p>
        </w:tc>
        <w:tc>
          <w:tcPr>
            <w:tcW w:w="454" w:type="pct"/>
          </w:tcPr>
          <w:p w14:paraId="37B4EF93">
            <w:pPr>
              <w:pStyle w:val="56"/>
              <w:jc w:val="center"/>
              <w:rPr>
                <w:rFonts w:hint="eastAsia" w:ascii="Times New Roman" w:hAnsi="Times New Roman" w:eastAsia="黑体" w:cs="黑体"/>
                <w:vertAlign w:val="baseline"/>
                <w:lang w:eastAsia="zh-CN"/>
              </w:rPr>
            </w:pPr>
          </w:p>
        </w:tc>
        <w:tc>
          <w:tcPr>
            <w:tcW w:w="454" w:type="pct"/>
          </w:tcPr>
          <w:p w14:paraId="7306AB1C">
            <w:pPr>
              <w:pStyle w:val="56"/>
              <w:jc w:val="center"/>
              <w:rPr>
                <w:rFonts w:hint="eastAsia" w:ascii="Times New Roman" w:hAnsi="Times New Roman" w:eastAsia="黑体" w:cs="黑体"/>
                <w:vertAlign w:val="baseline"/>
                <w:lang w:eastAsia="zh-CN"/>
              </w:rPr>
            </w:pPr>
          </w:p>
        </w:tc>
        <w:tc>
          <w:tcPr>
            <w:tcW w:w="454" w:type="pct"/>
          </w:tcPr>
          <w:p w14:paraId="5F5B5B9B">
            <w:pPr>
              <w:pStyle w:val="56"/>
              <w:jc w:val="center"/>
              <w:rPr>
                <w:rFonts w:hint="eastAsia" w:ascii="Times New Roman" w:hAnsi="Times New Roman" w:eastAsia="黑体" w:cs="黑体"/>
                <w:vertAlign w:val="baseline"/>
                <w:lang w:eastAsia="zh-CN"/>
              </w:rPr>
            </w:pPr>
          </w:p>
        </w:tc>
        <w:tc>
          <w:tcPr>
            <w:tcW w:w="454" w:type="pct"/>
          </w:tcPr>
          <w:p w14:paraId="12DA8C6E">
            <w:pPr>
              <w:pStyle w:val="56"/>
              <w:jc w:val="center"/>
              <w:rPr>
                <w:rFonts w:hint="eastAsia" w:ascii="Times New Roman" w:hAnsi="Times New Roman" w:eastAsia="黑体" w:cs="黑体"/>
                <w:vertAlign w:val="baseline"/>
                <w:lang w:eastAsia="zh-CN"/>
              </w:rPr>
            </w:pPr>
          </w:p>
        </w:tc>
        <w:tc>
          <w:tcPr>
            <w:tcW w:w="454" w:type="pct"/>
          </w:tcPr>
          <w:p w14:paraId="5DD5AD0B">
            <w:pPr>
              <w:pStyle w:val="56"/>
              <w:jc w:val="center"/>
              <w:rPr>
                <w:rFonts w:hint="eastAsia" w:ascii="Times New Roman" w:hAnsi="Times New Roman" w:eastAsia="黑体" w:cs="黑体"/>
                <w:vertAlign w:val="baseline"/>
                <w:lang w:eastAsia="zh-CN"/>
              </w:rPr>
            </w:pPr>
          </w:p>
        </w:tc>
        <w:tc>
          <w:tcPr>
            <w:tcW w:w="454" w:type="pct"/>
          </w:tcPr>
          <w:p w14:paraId="3761BD7D">
            <w:pPr>
              <w:pStyle w:val="56"/>
              <w:jc w:val="center"/>
              <w:rPr>
                <w:rFonts w:hint="eastAsia" w:ascii="Times New Roman" w:hAnsi="Times New Roman" w:eastAsia="黑体" w:cs="黑体"/>
                <w:vertAlign w:val="baseline"/>
                <w:lang w:eastAsia="zh-CN"/>
              </w:rPr>
            </w:pPr>
          </w:p>
        </w:tc>
      </w:tr>
      <w:tr w14:paraId="0E62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14:paraId="57562847">
            <w:pPr>
              <w:pStyle w:val="56"/>
              <w:jc w:val="center"/>
              <w:rPr>
                <w:rFonts w:hint="eastAsia" w:ascii="Times New Roman" w:hAnsi="Times New Roman" w:eastAsia="黑体" w:cs="黑体"/>
                <w:vertAlign w:val="baseline"/>
                <w:lang w:eastAsia="zh-CN"/>
              </w:rPr>
            </w:pPr>
          </w:p>
        </w:tc>
        <w:tc>
          <w:tcPr>
            <w:tcW w:w="454" w:type="pct"/>
          </w:tcPr>
          <w:p w14:paraId="74D75474">
            <w:pPr>
              <w:pStyle w:val="56"/>
              <w:jc w:val="center"/>
              <w:rPr>
                <w:rFonts w:hint="eastAsia" w:ascii="Times New Roman" w:hAnsi="Times New Roman" w:eastAsia="黑体" w:cs="黑体"/>
                <w:vertAlign w:val="baseline"/>
                <w:lang w:eastAsia="zh-CN"/>
              </w:rPr>
            </w:pPr>
          </w:p>
        </w:tc>
        <w:tc>
          <w:tcPr>
            <w:tcW w:w="454" w:type="pct"/>
          </w:tcPr>
          <w:p w14:paraId="6A68881D">
            <w:pPr>
              <w:pStyle w:val="56"/>
              <w:jc w:val="center"/>
              <w:rPr>
                <w:rFonts w:hint="eastAsia" w:ascii="Times New Roman" w:hAnsi="Times New Roman" w:eastAsia="黑体" w:cs="黑体"/>
                <w:vertAlign w:val="baseline"/>
                <w:lang w:eastAsia="zh-CN"/>
              </w:rPr>
            </w:pPr>
          </w:p>
        </w:tc>
        <w:tc>
          <w:tcPr>
            <w:tcW w:w="454" w:type="pct"/>
          </w:tcPr>
          <w:p w14:paraId="1C207FB3">
            <w:pPr>
              <w:pStyle w:val="56"/>
              <w:jc w:val="center"/>
              <w:rPr>
                <w:rFonts w:hint="eastAsia" w:ascii="Times New Roman" w:hAnsi="Times New Roman" w:eastAsia="黑体" w:cs="黑体"/>
                <w:vertAlign w:val="baseline"/>
                <w:lang w:eastAsia="zh-CN"/>
              </w:rPr>
            </w:pPr>
          </w:p>
        </w:tc>
        <w:tc>
          <w:tcPr>
            <w:tcW w:w="454" w:type="pct"/>
          </w:tcPr>
          <w:p w14:paraId="274BA2CD">
            <w:pPr>
              <w:pStyle w:val="56"/>
              <w:jc w:val="center"/>
              <w:rPr>
                <w:rFonts w:hint="eastAsia" w:ascii="Times New Roman" w:hAnsi="Times New Roman" w:eastAsia="黑体" w:cs="黑体"/>
                <w:vertAlign w:val="baseline"/>
                <w:lang w:eastAsia="zh-CN"/>
              </w:rPr>
            </w:pPr>
          </w:p>
        </w:tc>
        <w:tc>
          <w:tcPr>
            <w:tcW w:w="454" w:type="pct"/>
          </w:tcPr>
          <w:p w14:paraId="426987AD">
            <w:pPr>
              <w:pStyle w:val="56"/>
              <w:jc w:val="center"/>
              <w:rPr>
                <w:rFonts w:hint="eastAsia" w:ascii="Times New Roman" w:hAnsi="Times New Roman" w:eastAsia="黑体" w:cs="黑体"/>
                <w:vertAlign w:val="baseline"/>
                <w:lang w:eastAsia="zh-CN"/>
              </w:rPr>
            </w:pPr>
          </w:p>
        </w:tc>
        <w:tc>
          <w:tcPr>
            <w:tcW w:w="454" w:type="pct"/>
          </w:tcPr>
          <w:p w14:paraId="206CE8C0">
            <w:pPr>
              <w:pStyle w:val="56"/>
              <w:jc w:val="center"/>
              <w:rPr>
                <w:rFonts w:hint="eastAsia" w:ascii="Times New Roman" w:hAnsi="Times New Roman" w:eastAsia="黑体" w:cs="黑体"/>
                <w:vertAlign w:val="baseline"/>
                <w:lang w:eastAsia="zh-CN"/>
              </w:rPr>
            </w:pPr>
          </w:p>
        </w:tc>
        <w:tc>
          <w:tcPr>
            <w:tcW w:w="454" w:type="pct"/>
          </w:tcPr>
          <w:p w14:paraId="1B240652">
            <w:pPr>
              <w:pStyle w:val="56"/>
              <w:jc w:val="center"/>
              <w:rPr>
                <w:rFonts w:hint="eastAsia" w:ascii="Times New Roman" w:hAnsi="Times New Roman" w:eastAsia="黑体" w:cs="黑体"/>
                <w:vertAlign w:val="baseline"/>
                <w:lang w:eastAsia="zh-CN"/>
              </w:rPr>
            </w:pPr>
          </w:p>
        </w:tc>
        <w:tc>
          <w:tcPr>
            <w:tcW w:w="454" w:type="pct"/>
          </w:tcPr>
          <w:p w14:paraId="5EC2CB8F">
            <w:pPr>
              <w:pStyle w:val="56"/>
              <w:jc w:val="center"/>
              <w:rPr>
                <w:rFonts w:hint="eastAsia" w:ascii="Times New Roman" w:hAnsi="Times New Roman" w:eastAsia="黑体" w:cs="黑体"/>
                <w:vertAlign w:val="baseline"/>
                <w:lang w:eastAsia="zh-CN"/>
              </w:rPr>
            </w:pPr>
          </w:p>
        </w:tc>
        <w:tc>
          <w:tcPr>
            <w:tcW w:w="454" w:type="pct"/>
          </w:tcPr>
          <w:p w14:paraId="14459D8F">
            <w:pPr>
              <w:pStyle w:val="56"/>
              <w:jc w:val="center"/>
              <w:rPr>
                <w:rFonts w:hint="eastAsia" w:ascii="Times New Roman" w:hAnsi="Times New Roman" w:eastAsia="黑体" w:cs="黑体"/>
                <w:vertAlign w:val="baseline"/>
                <w:lang w:eastAsia="zh-CN"/>
              </w:rPr>
            </w:pPr>
          </w:p>
        </w:tc>
        <w:tc>
          <w:tcPr>
            <w:tcW w:w="454" w:type="pct"/>
          </w:tcPr>
          <w:p w14:paraId="59B280A2">
            <w:pPr>
              <w:pStyle w:val="56"/>
              <w:jc w:val="center"/>
              <w:rPr>
                <w:rFonts w:hint="eastAsia" w:ascii="Times New Roman" w:hAnsi="Times New Roman" w:eastAsia="黑体" w:cs="黑体"/>
                <w:vertAlign w:val="baseline"/>
                <w:lang w:eastAsia="zh-CN"/>
              </w:rPr>
            </w:pPr>
          </w:p>
        </w:tc>
      </w:tr>
    </w:tbl>
    <w:p w14:paraId="5D71BB73">
      <w:pPr>
        <w:pStyle w:val="56"/>
        <w:ind w:firstLine="0" w:firstLineChars="0"/>
        <w:jc w:val="center"/>
        <w:rPr>
          <w:rFonts w:hint="eastAsia" w:ascii="黑体" w:hAnsi="黑体" w:eastAsia="黑体" w:cs="黑体"/>
          <w:lang w:eastAsia="zh-CN"/>
        </w:rPr>
      </w:pPr>
      <w:bookmarkStart w:id="52" w:name="BookMark8"/>
      <w:r>
        <w:rPr>
          <w:rFonts w:hint="eastAsia"/>
        </w:rPr>
        <w:drawing>
          <wp:inline distT="0" distB="0" distL="0" distR="0">
            <wp:extent cx="1485900" cy="317500"/>
            <wp:effectExtent l="0" t="0" r="0" b="6350"/>
            <wp:docPr id="1244825983" name="图片 1"/>
            <wp:cNvGraphicFramePr/>
            <a:graphic xmlns:a="http://schemas.openxmlformats.org/drawingml/2006/main">
              <a:graphicData uri="http://schemas.openxmlformats.org/drawingml/2006/picture">
                <pic:pic xmlns:pic="http://schemas.openxmlformats.org/drawingml/2006/picture">
                  <pic:nvPicPr>
                    <pic:cNvPr id="1244825983"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58BC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22B5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46D9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3C205">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DE66B">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9AEE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874E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A67B2">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3AD3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768C5"/>
    <w:multiLevelType w:val="multilevel"/>
    <w:tmpl w:val="911768C5"/>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
    <w:nsid w:val="B0E960E3"/>
    <w:multiLevelType w:val="multilevel"/>
    <w:tmpl w:val="B0E960E3"/>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B6797324"/>
    <w:multiLevelType w:val="multilevel"/>
    <w:tmpl w:val="B6797324"/>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3">
    <w:nsid w:val="C96E0728"/>
    <w:multiLevelType w:val="multilevel"/>
    <w:tmpl w:val="C96E0728"/>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4">
    <w:nsid w:val="D37B0D64"/>
    <w:multiLevelType w:val="multilevel"/>
    <w:tmpl w:val="D37B0D64"/>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5">
    <w:nsid w:val="E63C7824"/>
    <w:multiLevelType w:val="multilevel"/>
    <w:tmpl w:val="E63C7824"/>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6">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7">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D014721"/>
    <w:multiLevelType w:val="multilevel"/>
    <w:tmpl w:val="0D014721"/>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3">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4">
    <w:nsid w:val="11270AF0"/>
    <w:multiLevelType w:val="multilevel"/>
    <w:tmpl w:val="11270AF0"/>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5">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8">
    <w:nsid w:val="2157CE02"/>
    <w:multiLevelType w:val="multilevel"/>
    <w:tmpl w:val="2157CE02"/>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9">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0">
    <w:nsid w:val="2CFE6315"/>
    <w:multiLevelType w:val="multilevel"/>
    <w:tmpl w:val="2CFE6315"/>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2">
    <w:nsid w:val="3688AF59"/>
    <w:multiLevelType w:val="multilevel"/>
    <w:tmpl w:val="3688AF59"/>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8">
    <w:nsid w:val="54D9F321"/>
    <w:multiLevelType w:val="multilevel"/>
    <w:tmpl w:val="54D9F321"/>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5EA7CD2D"/>
    <w:multiLevelType w:val="multilevel"/>
    <w:tmpl w:val="5EA7CD2D"/>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33">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4">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5">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6">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7">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8">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9">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28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142"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1">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2">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3">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4">
    <w:nsid w:val="7B54F67A"/>
    <w:multiLevelType w:val="multilevel"/>
    <w:tmpl w:val="7B54F67A"/>
    <w:lvl w:ilvl="0" w:tentative="0">
      <w:start w:val="1"/>
      <w:numFmt w:val="lowerLetter"/>
      <w:lvlText w:val="%1)"/>
      <w:lvlJc w:val="left"/>
      <w:pPr>
        <w:ind w:left="780" w:hanging="360"/>
      </w:pPr>
      <w:rPr>
        <w:rFonts w:hint="default"/>
      </w:r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6"/>
  </w:num>
  <w:num w:numId="2">
    <w:abstractNumId w:val="40"/>
  </w:num>
  <w:num w:numId="3">
    <w:abstractNumId w:val="11"/>
  </w:num>
  <w:num w:numId="4">
    <w:abstractNumId w:val="36"/>
  </w:num>
  <w:num w:numId="5">
    <w:abstractNumId w:val="30"/>
  </w:num>
  <w:num w:numId="6">
    <w:abstractNumId w:val="24"/>
  </w:num>
  <w:num w:numId="7">
    <w:abstractNumId w:val="16"/>
  </w:num>
  <w:num w:numId="8">
    <w:abstractNumId w:val="9"/>
  </w:num>
  <w:num w:numId="9">
    <w:abstractNumId w:val="17"/>
  </w:num>
  <w:num w:numId="10">
    <w:abstractNumId w:val="27"/>
  </w:num>
  <w:num w:numId="11">
    <w:abstractNumId w:val="38"/>
  </w:num>
  <w:num w:numId="12">
    <w:abstractNumId w:val="21"/>
  </w:num>
  <w:num w:numId="13">
    <w:abstractNumId w:val="23"/>
  </w:num>
  <w:num w:numId="14">
    <w:abstractNumId w:val="15"/>
  </w:num>
  <w:num w:numId="15">
    <w:abstractNumId w:val="31"/>
  </w:num>
  <w:num w:numId="16">
    <w:abstractNumId w:val="34"/>
  </w:num>
  <w:num w:numId="17">
    <w:abstractNumId w:val="29"/>
  </w:num>
  <w:num w:numId="18">
    <w:abstractNumId w:val="42"/>
  </w:num>
  <w:num w:numId="19">
    <w:abstractNumId w:val="26"/>
  </w:num>
  <w:num w:numId="20">
    <w:abstractNumId w:val="7"/>
  </w:num>
  <w:num w:numId="21">
    <w:abstractNumId w:val="19"/>
  </w:num>
  <w:num w:numId="22">
    <w:abstractNumId w:val="43"/>
  </w:num>
  <w:num w:numId="23">
    <w:abstractNumId w:val="33"/>
  </w:num>
  <w:num w:numId="24">
    <w:abstractNumId w:val="13"/>
  </w:num>
  <w:num w:numId="25">
    <w:abstractNumId w:val="39"/>
  </w:num>
  <w:num w:numId="26">
    <w:abstractNumId w:val="41"/>
  </w:num>
  <w:num w:numId="27">
    <w:abstractNumId w:val="8"/>
  </w:num>
  <w:num w:numId="28">
    <w:abstractNumId w:val="10"/>
  </w:num>
  <w:num w:numId="29">
    <w:abstractNumId w:val="25"/>
  </w:num>
  <w:num w:numId="30">
    <w:abstractNumId w:val="37"/>
  </w:num>
  <w:num w:numId="31">
    <w:abstractNumId w:val="35"/>
  </w:num>
  <w:num w:numId="32">
    <w:abstractNumId w:val="12"/>
  </w:num>
  <w:num w:numId="33">
    <w:abstractNumId w:val="32"/>
  </w:num>
  <w:num w:numId="34">
    <w:abstractNumId w:val="2"/>
  </w:num>
  <w:num w:numId="35">
    <w:abstractNumId w:val="1"/>
  </w:num>
  <w:num w:numId="36">
    <w:abstractNumId w:val="3"/>
  </w:num>
  <w:num w:numId="37">
    <w:abstractNumId w:val="22"/>
  </w:num>
  <w:num w:numId="38">
    <w:abstractNumId w:val="5"/>
  </w:num>
  <w:num w:numId="39">
    <w:abstractNumId w:val="14"/>
  </w:num>
  <w:num w:numId="40">
    <w:abstractNumId w:val="20"/>
  </w:num>
  <w:num w:numId="41">
    <w:abstractNumId w:val="28"/>
  </w:num>
  <w:num w:numId="42">
    <w:abstractNumId w:val="4"/>
  </w:num>
  <w:num w:numId="43">
    <w:abstractNumId w:val="0"/>
  </w:num>
  <w:num w:numId="44">
    <w:abstractNumId w:val="18"/>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F8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66D"/>
    <w:rsid w:val="000556ED"/>
    <w:rsid w:val="00055FE2"/>
    <w:rsid w:val="0005616F"/>
    <w:rsid w:val="00060B4D"/>
    <w:rsid w:val="00060C2E"/>
    <w:rsid w:val="00061033"/>
    <w:rsid w:val="000619E9"/>
    <w:rsid w:val="00061D59"/>
    <w:rsid w:val="000622D4"/>
    <w:rsid w:val="0006357D"/>
    <w:rsid w:val="00067F1E"/>
    <w:rsid w:val="00071CC0"/>
    <w:rsid w:val="00072F82"/>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FA5"/>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17BA"/>
    <w:rsid w:val="00124E4F"/>
    <w:rsid w:val="001260B7"/>
    <w:rsid w:val="001265CB"/>
    <w:rsid w:val="001321C6"/>
    <w:rsid w:val="001325C4"/>
    <w:rsid w:val="001328EF"/>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001"/>
    <w:rsid w:val="0017340B"/>
    <w:rsid w:val="00173FB1"/>
    <w:rsid w:val="00176DFD"/>
    <w:rsid w:val="001777F5"/>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53F"/>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2258"/>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3DC7"/>
    <w:rsid w:val="00294D34"/>
    <w:rsid w:val="00294E3B"/>
    <w:rsid w:val="00296193"/>
    <w:rsid w:val="00296C66"/>
    <w:rsid w:val="00296EBE"/>
    <w:rsid w:val="002974E3"/>
    <w:rsid w:val="00297BB9"/>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BF1"/>
    <w:rsid w:val="002F7AF6"/>
    <w:rsid w:val="00300E63"/>
    <w:rsid w:val="00302F5F"/>
    <w:rsid w:val="0030441D"/>
    <w:rsid w:val="00306063"/>
    <w:rsid w:val="00313B85"/>
    <w:rsid w:val="00317988"/>
    <w:rsid w:val="003221B4"/>
    <w:rsid w:val="0032258D"/>
    <w:rsid w:val="00322E62"/>
    <w:rsid w:val="00324D13"/>
    <w:rsid w:val="00324D2A"/>
    <w:rsid w:val="00324EDD"/>
    <w:rsid w:val="00325AE7"/>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531"/>
    <w:rsid w:val="00387ADC"/>
    <w:rsid w:val="00390020"/>
    <w:rsid w:val="003903D6"/>
    <w:rsid w:val="00390EE6"/>
    <w:rsid w:val="0039118F"/>
    <w:rsid w:val="00391C1A"/>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7B9"/>
    <w:rsid w:val="003F3F08"/>
    <w:rsid w:val="003F49F1"/>
    <w:rsid w:val="003F6272"/>
    <w:rsid w:val="00400E72"/>
    <w:rsid w:val="00401400"/>
    <w:rsid w:val="004039D4"/>
    <w:rsid w:val="00404869"/>
    <w:rsid w:val="00405884"/>
    <w:rsid w:val="00407D39"/>
    <w:rsid w:val="0041477A"/>
    <w:rsid w:val="004167A3"/>
    <w:rsid w:val="00432DAA"/>
    <w:rsid w:val="00434305"/>
    <w:rsid w:val="00435DF7"/>
    <w:rsid w:val="0044083F"/>
    <w:rsid w:val="004418CD"/>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FBF"/>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4EF"/>
    <w:rsid w:val="004E67C0"/>
    <w:rsid w:val="004F391A"/>
    <w:rsid w:val="004F3CFB"/>
    <w:rsid w:val="004F6456"/>
    <w:rsid w:val="004F696E"/>
    <w:rsid w:val="004F6C71"/>
    <w:rsid w:val="00501139"/>
    <w:rsid w:val="0050363E"/>
    <w:rsid w:val="005039BC"/>
    <w:rsid w:val="00503C68"/>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C19"/>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76D"/>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844"/>
    <w:rsid w:val="00645904"/>
    <w:rsid w:val="00650402"/>
    <w:rsid w:val="0065181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2EB"/>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EF7"/>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F0A"/>
    <w:rsid w:val="008A3215"/>
    <w:rsid w:val="008A57E6"/>
    <w:rsid w:val="008A6F2D"/>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8AE"/>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851"/>
    <w:rsid w:val="00AB3A73"/>
    <w:rsid w:val="00AB41D5"/>
    <w:rsid w:val="00AB6309"/>
    <w:rsid w:val="00AB6C5F"/>
    <w:rsid w:val="00AB7129"/>
    <w:rsid w:val="00AC27A6"/>
    <w:rsid w:val="00AC30F7"/>
    <w:rsid w:val="00AC3A5A"/>
    <w:rsid w:val="00AC4D95"/>
    <w:rsid w:val="00AC5DF4"/>
    <w:rsid w:val="00AC6673"/>
    <w:rsid w:val="00AD0AEF"/>
    <w:rsid w:val="00AD11B7"/>
    <w:rsid w:val="00AD1A94"/>
    <w:rsid w:val="00AD1C05"/>
    <w:rsid w:val="00AD4126"/>
    <w:rsid w:val="00AD421C"/>
    <w:rsid w:val="00AD44FA"/>
    <w:rsid w:val="00AD48C3"/>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3E2"/>
    <w:rsid w:val="00B54ABC"/>
    <w:rsid w:val="00B54DDE"/>
    <w:rsid w:val="00B56FBE"/>
    <w:rsid w:val="00B60ACF"/>
    <w:rsid w:val="00B62B58"/>
    <w:rsid w:val="00B65149"/>
    <w:rsid w:val="00B66567"/>
    <w:rsid w:val="00B66F52"/>
    <w:rsid w:val="00B66FE5"/>
    <w:rsid w:val="00B72880"/>
    <w:rsid w:val="00B748C2"/>
    <w:rsid w:val="00B758BF"/>
    <w:rsid w:val="00B77EC8"/>
    <w:rsid w:val="00B827A6"/>
    <w:rsid w:val="00B82CEA"/>
    <w:rsid w:val="00B831CE"/>
    <w:rsid w:val="00B86677"/>
    <w:rsid w:val="00B87131"/>
    <w:rsid w:val="00B939B1"/>
    <w:rsid w:val="00B96D40"/>
    <w:rsid w:val="00B97386"/>
    <w:rsid w:val="00BA263B"/>
    <w:rsid w:val="00BA42B2"/>
    <w:rsid w:val="00BA58D4"/>
    <w:rsid w:val="00BA5B9E"/>
    <w:rsid w:val="00BA7C9A"/>
    <w:rsid w:val="00BB0676"/>
    <w:rsid w:val="00BB203B"/>
    <w:rsid w:val="00BB5F8F"/>
    <w:rsid w:val="00BB657A"/>
    <w:rsid w:val="00BC1A4E"/>
    <w:rsid w:val="00BC4790"/>
    <w:rsid w:val="00BC5DC7"/>
    <w:rsid w:val="00BC6B8B"/>
    <w:rsid w:val="00BC73D8"/>
    <w:rsid w:val="00BC7C89"/>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09D0"/>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07F13"/>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F36"/>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006"/>
    <w:rsid w:val="00E202EF"/>
    <w:rsid w:val="00E210B5"/>
    <w:rsid w:val="00E23D99"/>
    <w:rsid w:val="00E24D72"/>
    <w:rsid w:val="00E2552F"/>
    <w:rsid w:val="00E3137A"/>
    <w:rsid w:val="00E32CCF"/>
    <w:rsid w:val="00E34A98"/>
    <w:rsid w:val="00E35D1E"/>
    <w:rsid w:val="00E364F9"/>
    <w:rsid w:val="00E365FA"/>
    <w:rsid w:val="00E36789"/>
    <w:rsid w:val="00E429BB"/>
    <w:rsid w:val="00E43D74"/>
    <w:rsid w:val="00E44A83"/>
    <w:rsid w:val="00E502C1"/>
    <w:rsid w:val="00E502DD"/>
    <w:rsid w:val="00E50D3A"/>
    <w:rsid w:val="00E51387"/>
    <w:rsid w:val="00E51E68"/>
    <w:rsid w:val="00E52EFD"/>
    <w:rsid w:val="00E5408A"/>
    <w:rsid w:val="00E56800"/>
    <w:rsid w:val="00E60C63"/>
    <w:rsid w:val="00E62FF9"/>
    <w:rsid w:val="00E635D6"/>
    <w:rsid w:val="00E639BC"/>
    <w:rsid w:val="00E64E45"/>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6FA8"/>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2F67"/>
    <w:rsid w:val="00EE0350"/>
    <w:rsid w:val="00EE0719"/>
    <w:rsid w:val="00EE0E80"/>
    <w:rsid w:val="00EE271F"/>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85E"/>
    <w:rsid w:val="00F157A9"/>
    <w:rsid w:val="00F25BB6"/>
    <w:rsid w:val="00F26B7E"/>
    <w:rsid w:val="00F27A3B"/>
    <w:rsid w:val="00F328A3"/>
    <w:rsid w:val="00F33817"/>
    <w:rsid w:val="00F377DA"/>
    <w:rsid w:val="00F420D5"/>
    <w:rsid w:val="00F451EA"/>
    <w:rsid w:val="00F45447"/>
    <w:rsid w:val="00F456C6"/>
    <w:rsid w:val="00F4577B"/>
    <w:rsid w:val="00F46496"/>
    <w:rsid w:val="00F4688D"/>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771"/>
    <w:rsid w:val="00FF730C"/>
    <w:rsid w:val="00FF73F4"/>
    <w:rsid w:val="00FF7CE4"/>
    <w:rsid w:val="00FF7E39"/>
    <w:rsid w:val="075229E7"/>
    <w:rsid w:val="08A234FA"/>
    <w:rsid w:val="139C5C9C"/>
    <w:rsid w:val="152C2BA0"/>
    <w:rsid w:val="15B91E83"/>
    <w:rsid w:val="24594F5D"/>
    <w:rsid w:val="260912A0"/>
    <w:rsid w:val="35747E49"/>
    <w:rsid w:val="3D084E47"/>
    <w:rsid w:val="48216AA2"/>
    <w:rsid w:val="4DC332C4"/>
    <w:rsid w:val="50461F8A"/>
    <w:rsid w:val="52EC58C8"/>
    <w:rsid w:val="533D3AB5"/>
    <w:rsid w:val="547E1854"/>
    <w:rsid w:val="54D80C4A"/>
    <w:rsid w:val="56F635E8"/>
    <w:rsid w:val="59DE3B99"/>
    <w:rsid w:val="5A30695A"/>
    <w:rsid w:val="5FC66C44"/>
    <w:rsid w:val="61271964"/>
    <w:rsid w:val="616B1851"/>
    <w:rsid w:val="6A9155A7"/>
    <w:rsid w:val="73120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ind w:left="0"/>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4B0B7D7CFDB4C17BB6790B3F6CB26AF"/>
        <w:style w:val=""/>
        <w:category>
          <w:name w:val="常规"/>
          <w:gallery w:val="placeholder"/>
        </w:category>
        <w:types>
          <w:type w:val="bbPlcHdr"/>
        </w:types>
        <w:behaviors>
          <w:behavior w:val="content"/>
        </w:behaviors>
        <w:description w:val=""/>
        <w:guid w:val="{1507B6C5-8AF0-4412-93D4-9825415266EC}"/>
      </w:docPartPr>
      <w:docPartBody>
        <w:p w14:paraId="69B8EF1A">
          <w:pPr>
            <w:pStyle w:val="5"/>
            <w:rPr>
              <w:rFonts w:hint="eastAsia"/>
            </w:rPr>
          </w:pPr>
          <w:r>
            <w:rPr>
              <w:rStyle w:val="4"/>
              <w:rFonts w:hint="eastAsia"/>
            </w:rPr>
            <w:t>单击或点击此处输入文字。</w:t>
          </w:r>
        </w:p>
      </w:docPartBody>
    </w:docPart>
    <w:docPart>
      <w:docPartPr>
        <w:name w:val="{d0dd0b56-1ea7-4a57-b379-ac24553a6b0f}"/>
        <w:style w:val=""/>
        <w:category>
          <w:name w:val="常规"/>
          <w:gallery w:val="placeholder"/>
        </w:category>
        <w:types>
          <w:type w:val="bbPlcHdr"/>
        </w:types>
        <w:behaviors>
          <w:behavior w:val="content"/>
        </w:behaviors>
        <w:description w:val=""/>
        <w:guid w:val="{d0dd0b56-1ea7-4a57-b379-ac24553a6b0f}"/>
      </w:docPartPr>
      <w:docPartBody>
        <w:p w14:paraId="270412BF">
          <w:pPr>
            <w:pStyle w:val="6"/>
            <w:rPr>
              <w:rFonts w:hint="eastAsia"/>
            </w:rPr>
          </w:pPr>
          <w:r>
            <w:rPr>
              <w:rStyle w:val="4"/>
              <w:rFonts w:hint="eastAsia"/>
            </w:rPr>
            <w:t>选择一项。</w:t>
          </w:r>
        </w:p>
      </w:docPartBody>
    </w:docPart>
    <w:docPart>
      <w:docPartPr>
        <w:name w:val="{ebd2d648-2683-4e90-9d45-e57b4a743767}"/>
        <w:style w:val=""/>
        <w:category>
          <w:name w:val="常规"/>
          <w:gallery w:val="placeholder"/>
        </w:category>
        <w:types>
          <w:type w:val="bbPlcHdr"/>
        </w:types>
        <w:behaviors>
          <w:behavior w:val="content"/>
        </w:behaviors>
        <w:description w:val=""/>
        <w:guid w:val="{ebd2d648-2683-4e90-9d45-e57b4a743767}"/>
      </w:docPartPr>
      <w:docPartBody>
        <w:p w14:paraId="3A334C8D">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A1C"/>
    <w:rsid w:val="002C1976"/>
    <w:rsid w:val="00627D4B"/>
    <w:rsid w:val="006626CC"/>
    <w:rsid w:val="00707774"/>
    <w:rsid w:val="00743042"/>
    <w:rsid w:val="00890016"/>
    <w:rsid w:val="008A1F0A"/>
    <w:rsid w:val="00A96379"/>
    <w:rsid w:val="00B543E2"/>
    <w:rsid w:val="00BB44F7"/>
    <w:rsid w:val="00BC7C89"/>
    <w:rsid w:val="00CF7A1C"/>
    <w:rsid w:val="00D21D9E"/>
    <w:rsid w:val="00D242F3"/>
    <w:rsid w:val="00FB6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4B0B7D7CFDB4C17BB6790B3F6CB26A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41FA4E0A18644B6587988AE09F0FC5E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BE7A3E0BEF9049A7B4C7623EB2A0D0E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19</Pages>
  <Words>5661</Words>
  <Characters>6007</Characters>
  <Lines>1</Lines>
  <Paragraphs>1</Paragraphs>
  <TotalTime>21</TotalTime>
  <ScaleCrop>false</ScaleCrop>
  <LinksUpToDate>false</LinksUpToDate>
  <CharactersWithSpaces>6197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2024-03-21T06:29:00Z</dcterms:created>
  <dc:creator>凌俊杰</dc:creator>
  <dc:description>&lt;config cover="true" show_menu="true" version="1.0.0" doctype="SDKXY"&gt;_x000d_
&lt;/config&gt;</dc:description>
  <cp:lastModifiedBy>忐忑</cp:lastModifiedBy>
  <cp:lastPrinted>2020-08-30T10:00:00Z</cp:lastPrinted>
  <dcterms:modified xsi:type="dcterms:W3CDTF">2025-10-23T02:58:00Z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2052-12.1.0.23125</vt:lpwstr>
  </property>
  <property fmtid="{D5CDD505-2E9C-101B-9397-08002B2CF9AE}" pid="16" name="ICV">
    <vt:lpwstr>805E26B5F00C4C01A2747E79454CBB5F_13</vt:lpwstr>
  </property>
</Properties>
</file>