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43DE5">
      <w:pPr>
        <w:pStyle w:val="22"/>
        <w:sectPr>
          <w:headerReference r:id="rId5" w:type="first"/>
          <w:headerReference r:id="rId3" w:type="default"/>
          <w:headerReference r:id="rId4" w:type="even"/>
          <w:footerReference r:id="rId6" w:type="even"/>
          <w:pgSz w:w="11907" w:h="16839"/>
          <w:pgMar w:top="567" w:right="851" w:bottom="1361" w:left="1418" w:header="0" w:footer="0" w:gutter="0"/>
          <w:pgNumType w:start="1"/>
          <w:cols w:space="720" w:num="1"/>
          <w:titlePg/>
          <w:docGrid w:type="lines" w:linePitch="312" w:charSpace="0"/>
        </w:sectPr>
      </w:pPr>
      <w:bookmarkStart w:id="0" w:name="SectionMark0"/>
      <w:r>
        <mc:AlternateContent>
          <mc:Choice Requires="wps">
            <w:drawing>
              <wp:anchor distT="0" distB="0" distL="114300" distR="114300" simplePos="0" relativeHeight="251671552" behindDoc="0" locked="1" layoutInCell="1" allowOverlap="1">
                <wp:simplePos x="0" y="0"/>
                <wp:positionH relativeFrom="margin">
                  <wp:posOffset>-635</wp:posOffset>
                </wp:positionH>
                <wp:positionV relativeFrom="margin">
                  <wp:posOffset>140335</wp:posOffset>
                </wp:positionV>
                <wp:extent cx="2540000" cy="657860"/>
                <wp:effectExtent l="0" t="0" r="0" b="2540"/>
                <wp:wrapNone/>
                <wp:docPr id="23" name="文本框 3"/>
                <wp:cNvGraphicFramePr/>
                <a:graphic xmlns:a="http://schemas.openxmlformats.org/drawingml/2006/main">
                  <a:graphicData uri="http://schemas.microsoft.com/office/word/2010/wordprocessingShape">
                    <wps:wsp>
                      <wps:cNvSpPr/>
                      <wps:spPr>
                        <a:xfrm>
                          <a:off x="0" y="0"/>
                          <a:ext cx="2540000" cy="657860"/>
                        </a:xfrm>
                        <a:prstGeom prst="rect">
                          <a:avLst/>
                        </a:prstGeom>
                        <a:solidFill>
                          <a:srgbClr val="FFFFFF"/>
                        </a:solidFill>
                        <a:ln>
                          <a:noFill/>
                        </a:ln>
                      </wps:spPr>
                      <wps:txbx>
                        <w:txbxContent>
                          <w:p w14:paraId="089BA0E9">
                            <w:pPr>
                              <w:pStyle w:val="26"/>
                            </w:pPr>
                            <w:r>
                              <w:rPr>
                                <w:rFonts w:hint="eastAsia"/>
                              </w:rPr>
                              <w:t xml:space="preserve">ICS </w:t>
                            </w:r>
                            <w:r>
                              <w:rPr>
                                <w:rFonts w:hint="eastAsia" w:ascii="黑体" w:hAnsi="黑体"/>
                              </w:rPr>
                              <w:t>13.060.30</w:t>
                            </w:r>
                          </w:p>
                          <w:p w14:paraId="32C980B2">
                            <w:pPr>
                              <w:pStyle w:val="26"/>
                              <w:rPr>
                                <w:rFonts w:ascii="黑体" w:hAnsi="黑体"/>
                              </w:rPr>
                            </w:pPr>
                            <w:r>
                              <w:rPr>
                                <w:rFonts w:hint="eastAsia"/>
                              </w:rPr>
                              <w:t>CCS Z 60</w:t>
                            </w:r>
                          </w:p>
                        </w:txbxContent>
                      </wps:txbx>
                      <wps:bodyPr lIns="0" tIns="0" rIns="0" bIns="0" upright="1"/>
                    </wps:wsp>
                  </a:graphicData>
                </a:graphic>
              </wp:anchor>
            </w:drawing>
          </mc:Choice>
          <mc:Fallback>
            <w:pict>
              <v:rect id="文本框 3" o:spid="_x0000_s1026" o:spt="1" style="position:absolute;left:0pt;margin-left:-0.05pt;margin-top:11.05pt;height:51.8pt;width:200pt;mso-position-horizontal-relative:margin;mso-position-vertical-relative:margin;z-index:251671552;mso-width-relative:page;mso-height-relative:page;" fillcolor="#FFFFFF" filled="t" stroked="f" coordsize="21600,21600" o:gfxdata="UEsDBAoAAAAAAIdO4kAAAAAAAAAAAAAAAAAEAAAAZHJzL1BLAwQUAAAACACHTuJAD3DuBdUAAAAI&#10;AQAADwAAAGRycy9kb3ducmV2LnhtbE2Py07DMBBF90j8gzVI7FonQTySxumCh7omgNi68TQO2OMo&#10;dtrA1zOsYDUa3aM7Z+rt4p044hSHQArydQYCqQtmoF7B68vT6g5ETJqMdoFQwRdG2DbnZ7WuTDjR&#10;Mx7b1AsuoVhpBTalsZIydha9juswInF2CJPXidepl2bSJy73ThZZdiO9HogvWD3ivcXus529gl3+&#10;8Dh+yO9W71zC+c0unXtflLq8yLMNiIRL+oPhV5/VoWGnfZjJROEUrHIGFRQFT46vyrIEsWeuuL4F&#10;2dTy/wPND1BLAwQUAAAACACHTuJAikuRiMsBAACSAwAADgAAAGRycy9lMm9Eb2MueG1srVNLbtsw&#10;EN0XyB0I7mvJTuMGguUsajgoELQB0h6AoiiJAH8Y0pZ8gfQGXXXTfc/lc3RIyU6bbLIIF9QMZ/hm&#10;3htqdTNoRfYCvLSmpPNZTokw3NbStCX9/m37/poSH5ipmbJGlPQgPL1ZX7xb9a4QC9tZVQsgCGJ8&#10;0buSdiG4Iss874RmfmadMBhsLGgW0IU2q4H1iK5VtsjzZdZbqB1YLrzH080YpBMivAbQNo3kYmP5&#10;TgsTRlQQigWk5DvpPF2nbptG8PC1abwIRJUUmYa0YxG0q7hn6xUrWmCuk3xqgb2mhWecNJMGi56h&#10;NiwwsgP5AkpLDtbbJsy41dlIJCmCLOb5M20eOuZE4oJSe3cW3b8dLP+yvwci65IuLikxTOPEjz9/&#10;HH/9Of5+JJdRn975AtMe3D1Mnkczkh0a0PGLNMiQND2cNRVDIBwPF1cfclyUcIwtrz5eL5Po2dNt&#10;Bz7cCqtJNEoKOLMkJdvf+YAVMfWUEot5q2S9lUolB9rqkwKyZzjfbVqxZbzyX5oyMdnYeG0Mx5Ms&#10;Mhu5RCsM1TARrGx9QFnUZ4NSx2dzMuBkVCdj50C2HfY9T4UjEI4qtTA9q/gW/vVT4adfaf0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D3DuBdUAAAAIAQAADwAAAAAAAAABACAAAAAiAAAAZHJzL2Rv&#10;d25yZXYueG1sUEsBAhQAFAAAAAgAh07iQIpLkYjLAQAAkgMAAA4AAAAAAAAAAQAgAAAAJAEAAGRy&#10;cy9lMm9Eb2MueG1sUEsFBgAAAAAGAAYAWQEAAGEFAAAAAA==&#10;">
                <v:fill on="t" focussize="0,0"/>
                <v:stroke on="f"/>
                <v:imagedata o:title=""/>
                <o:lock v:ext="edit" aspectratio="f"/>
                <v:textbox inset="0mm,0mm,0mm,0mm">
                  <w:txbxContent>
                    <w:p w14:paraId="089BA0E9">
                      <w:pPr>
                        <w:pStyle w:val="26"/>
                      </w:pPr>
                      <w:r>
                        <w:rPr>
                          <w:rFonts w:hint="eastAsia"/>
                        </w:rPr>
                        <w:t xml:space="preserve">ICS </w:t>
                      </w:r>
                      <w:r>
                        <w:rPr>
                          <w:rFonts w:hint="eastAsia" w:ascii="黑体" w:hAnsi="黑体"/>
                        </w:rPr>
                        <w:t>13.060.30</w:t>
                      </w:r>
                    </w:p>
                    <w:p w14:paraId="32C980B2">
                      <w:pPr>
                        <w:pStyle w:val="26"/>
                        <w:rPr>
                          <w:rFonts w:ascii="黑体" w:hAnsi="黑体"/>
                        </w:rPr>
                      </w:pPr>
                      <w:r>
                        <w:rPr>
                          <w:rFonts w:hint="eastAsia"/>
                        </w:rPr>
                        <w:t>CCS Z 60</w:t>
                      </w:r>
                    </w:p>
                  </w:txbxContent>
                </v:textbox>
                <w10:anchorlock/>
              </v:rect>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4173220</wp:posOffset>
                </wp:positionH>
                <wp:positionV relativeFrom="paragraph">
                  <wp:posOffset>9149715</wp:posOffset>
                </wp:positionV>
                <wp:extent cx="800100" cy="396240"/>
                <wp:effectExtent l="0" t="0" r="0" b="10160"/>
                <wp:wrapNone/>
                <wp:docPr id="11" name="文本框 16"/>
                <wp:cNvGraphicFramePr/>
                <a:graphic xmlns:a="http://schemas.openxmlformats.org/drawingml/2006/main">
                  <a:graphicData uri="http://schemas.microsoft.com/office/word/2010/wordprocessingShape">
                    <wps:wsp>
                      <wps:cNvSpPr/>
                      <wps:spPr>
                        <a:xfrm>
                          <a:off x="0" y="0"/>
                          <a:ext cx="800100" cy="396240"/>
                        </a:xfrm>
                        <a:prstGeom prst="rect">
                          <a:avLst/>
                        </a:prstGeom>
                        <a:solidFill>
                          <a:srgbClr val="FFFFFF"/>
                        </a:solidFill>
                        <a:ln>
                          <a:noFill/>
                        </a:ln>
                      </wps:spPr>
                      <wps:txbx>
                        <w:txbxContent>
                          <w:p w14:paraId="2633C7A8">
                            <w:pPr>
                              <w:rPr>
                                <w:rFonts w:eastAsia="黑体"/>
                                <w:sz w:val="28"/>
                              </w:rPr>
                            </w:pPr>
                            <w:r>
                              <w:rPr>
                                <w:rFonts w:hint="eastAsia" w:eastAsia="黑体"/>
                                <w:sz w:val="28"/>
                              </w:rPr>
                              <w:t>发 布</w:t>
                            </w:r>
                          </w:p>
                        </w:txbxContent>
                      </wps:txbx>
                      <wps:bodyPr lIns="0" tIns="0" rIns="0" bIns="0" upright="1"/>
                    </wps:wsp>
                  </a:graphicData>
                </a:graphic>
              </wp:anchor>
            </w:drawing>
          </mc:Choice>
          <mc:Fallback>
            <w:pict>
              <v:rect id="文本框 16" o:spid="_x0000_s1026" o:spt="1" style="position:absolute;left:0pt;margin-left:328.6pt;margin-top:720.45pt;height:31.2pt;width:63pt;z-index:251668480;mso-width-relative:page;mso-height-relative:page;" fillcolor="#FFFFFF" filled="t" stroked="f" coordsize="21600,21600" o:gfxdata="UEsDBAoAAAAAAIdO4kAAAAAAAAAAAAAAAAAEAAAAZHJzL1BLAwQUAAAACACHTuJATWVAE9gAAAAN&#10;AQAADwAAAGRycy9kb3ducmV2LnhtbE2PS0/DMBCE70j8B2uRuFE7TZ8hTg881DMB1KsbL3HAjyh2&#10;2sCvZzmV4858mp0pd5Oz7IRD7IKXkM0EMPRN0J1vJby9Pt9tgMWkvFY2eJTwjRF21fVVqQodzv4F&#10;T3VqGYX4WCgJJqW+4Dw2Bp2Ks9CjJ+8jDE4lOoeW60GdKdxZPhdixZ3qPH0wqscHg81XPToJ++zx&#10;qf/kP7Xa24Tju5kae5ikvL3JxD2whFO6wPBXn6pDRZ2OYfQ6MithtVzPCSVjsRBbYISsNzlJR5KW&#10;Is+BVyX/v6L6BVBLAwQUAAAACACHTuJAFofF0soBAACSAwAADgAAAGRycy9lMm9Eb2MueG1srVNL&#10;btswEN0XyB0I7mNJbmGkguUsajgIULQB0hyAoiiJAH8Y0pZ8gfYGXXXTfc/lc3RIyU6bbrKoFtIM&#10;Z/hm3pvR+nbUihwEeGlNRYtFTokw3DbSdBV9+rK7vqHEB2YapqwRFT0KT283V2/WgyvF0vZWNQII&#10;ghhfDq6ifQiuzDLPe6GZX1gnDAZbC5oFdKHLGmADomuVLfN8lQ0WGgeWC+/xdDsF6YwIrwG0bSu5&#10;2Fq+18KECRWEYgEp+V46Tzep27YVPHxuWy8CURVFpiG9sQjadXxnmzUrO2Cul3xugb2mhRecNJMG&#10;i16gtiwwsgf5D5SWHKy3bVhwq7OJSFIEWRT5C20ee+ZE4oJSe3cR3f8/WP7p8ABENrgJBSWGaZz4&#10;6fu3049fp59fSbGKAg3Ol5j36B5g9jyake3Ygo5f5EHGJOrxIqoYA+F4eJMjMZSbY+jt+9XyXRI9&#10;e77swIc7YTWJRkUBZ5akZIePPmBBTD2nxFreKtnspFLJga7+oIAcGM53l57YMV75K02ZmGxsvDaF&#10;40kWiU1UohXGepz51bY5oizq3qDUcW3OBpyN+mzsHciux76LVDgC4ahSC/NaxV3400+Fn3+lz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NZUAT2AAAAA0BAAAPAAAAAAAAAAEAIAAAACIAAABkcnMv&#10;ZG93bnJldi54bWxQSwECFAAUAAAACACHTuJAFofF0soBAACSAwAADgAAAAAAAAABACAAAAAnAQAA&#10;ZHJzL2Uyb0RvYy54bWxQSwUGAAAAAAYABgBZAQAAYwUAAAAA&#10;">
                <v:fill on="t" focussize="0,0"/>
                <v:stroke on="f"/>
                <v:imagedata o:title=""/>
                <o:lock v:ext="edit" aspectratio="f"/>
                <v:textbox inset="0mm,0mm,0mm,0mm">
                  <w:txbxContent>
                    <w:p w14:paraId="2633C7A8">
                      <w:pPr>
                        <w:rPr>
                          <w:rFonts w:eastAsia="黑体"/>
                          <w:sz w:val="28"/>
                        </w:rPr>
                      </w:pPr>
                      <w:r>
                        <w:rPr>
                          <w:rFonts w:hint="eastAsia" w:eastAsia="黑体"/>
                          <w:sz w:val="28"/>
                        </w:rPr>
                        <w:t>发 布</w:t>
                      </w:r>
                    </w:p>
                  </w:txbxContent>
                </v:textbox>
              </v:rect>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1017270</wp:posOffset>
                </wp:positionH>
                <wp:positionV relativeFrom="margin">
                  <wp:posOffset>9149715</wp:posOffset>
                </wp:positionV>
                <wp:extent cx="3155950" cy="540385"/>
                <wp:effectExtent l="0" t="0" r="6350" b="5715"/>
                <wp:wrapNone/>
                <wp:docPr id="8" name="文本框 25"/>
                <wp:cNvGraphicFramePr/>
                <a:graphic xmlns:a="http://schemas.openxmlformats.org/drawingml/2006/main">
                  <a:graphicData uri="http://schemas.microsoft.com/office/word/2010/wordprocessingShape">
                    <wps:wsp>
                      <wps:cNvSpPr/>
                      <wps:spPr>
                        <a:xfrm>
                          <a:off x="0" y="0"/>
                          <a:ext cx="3155950" cy="540385"/>
                        </a:xfrm>
                        <a:prstGeom prst="rect">
                          <a:avLst/>
                        </a:prstGeom>
                        <a:solidFill>
                          <a:srgbClr val="FFFFFF"/>
                        </a:solidFill>
                        <a:ln>
                          <a:noFill/>
                        </a:ln>
                      </wps:spPr>
                      <wps:txbx>
                        <w:txbxContent>
                          <w:p w14:paraId="2EC3DB7E">
                            <w:pPr>
                              <w:pStyle w:val="24"/>
                              <w:spacing w:line="360" w:lineRule="exact"/>
                              <w:rPr>
                                <w:w w:val="140"/>
                                <w:sz w:val="26"/>
                                <w:szCs w:val="26"/>
                              </w:rPr>
                            </w:pPr>
                            <w:r>
                              <w:rPr>
                                <w:rFonts w:hint="eastAsia"/>
                                <w:w w:val="140"/>
                                <w:sz w:val="26"/>
                                <w:szCs w:val="26"/>
                              </w:rPr>
                              <w:t>安徽省生态</w:t>
                            </w:r>
                            <w:r>
                              <w:rPr>
                                <w:w w:val="140"/>
                                <w:sz w:val="26"/>
                                <w:szCs w:val="26"/>
                              </w:rPr>
                              <w:t>环境</w:t>
                            </w:r>
                            <w:r>
                              <w:rPr>
                                <w:rFonts w:hint="eastAsia"/>
                                <w:w w:val="140"/>
                                <w:sz w:val="26"/>
                                <w:szCs w:val="26"/>
                              </w:rPr>
                              <w:t>厅</w:t>
                            </w:r>
                          </w:p>
                          <w:p w14:paraId="3018551F">
                            <w:pPr>
                              <w:pStyle w:val="24"/>
                              <w:spacing w:line="360" w:lineRule="exact"/>
                              <w:rPr>
                                <w:w w:val="140"/>
                              </w:rPr>
                            </w:pPr>
                            <w:r>
                              <w:rPr>
                                <w:rFonts w:hint="eastAsia"/>
                                <w:w w:val="140"/>
                                <w:sz w:val="26"/>
                                <w:szCs w:val="26"/>
                              </w:rPr>
                              <w:t>安徽省市场监督管理局</w:t>
                            </w:r>
                          </w:p>
                        </w:txbxContent>
                      </wps:txbx>
                      <wps:bodyPr lIns="0" tIns="0" rIns="0" bIns="0" upright="1"/>
                    </wps:wsp>
                  </a:graphicData>
                </a:graphic>
              </wp:anchor>
            </w:drawing>
          </mc:Choice>
          <mc:Fallback>
            <w:pict>
              <v:rect id="文本框 25" o:spid="_x0000_s1026" o:spt="1" style="position:absolute;left:0pt;margin-left:80.1pt;margin-top:720.45pt;height:42.55pt;width:248.5pt;mso-position-horizontal-relative:margin;mso-position-vertical-relative:margin;z-index:251665408;mso-width-relative:page;mso-height-relative:page;" fillcolor="#FFFFFF" filled="t" stroked="f" coordsize="21600,21600" o:gfxdata="UEsDBAoAAAAAAIdO4kAAAAAAAAAAAAAAAAAEAAAAZHJzL1BLAwQUAAAACACHTuJAgosla9cAAAAN&#10;AQAADwAAAGRycy9kb3ducmV2LnhtbE2PzU7DMBCE70i8g7VI3KidqA0Q4vTAj3omBXF14yUJ2Oso&#10;dtrA07Oc4LYzO5r9ttou3okjTnEIpCFbKRBIbbADdRpe9k9XNyBiMmSNC4QavjDCtj4/q0xpw4me&#10;8dikTnAJxdJo6FMaSylj26M3cRVGJN69h8mbxHLqpJ3Micu9k7lShfRmIL7QmxHve2w/m9lr2GUP&#10;j+OH/G7MziWcX/uldW+L1pcXmboDkXBJf2H4xWd0qJnpEGayUTjWhco5ysN6rW5BcKTYXLN1YGuT&#10;FwpkXcn/X9Q/UEsDBBQAAAAIAIdO4kAhXaSlywEAAJIDAAAOAAAAZHJzL2Uyb0RvYy54bWytU82O&#10;0zAQviPxDpbvNGmXoCVqugeqIiQEK+3yAI7jJJb8p7HbpC8Ab8CJC3eeq8/B2Em7sHvZw+bgzHjG&#10;38z3jb2+GbUiBwFeWlPR5SKnRBhuG2m6in673725psQHZhqmrBEVPQpPbzavX60HV4qV7a1qBBAE&#10;Mb4cXEX7EFyZZZ73QjO/sE4YDLYWNAvoQpc1wAZE1ypb5fm7bLDQOLBceI+72ylIZ0R4DqBtW8nF&#10;1vK9FiZMqCAUC0jJ99J5ukndtq3g4WvbehGIqigyDWnFImjXcc02a1Z2wFwv+dwCe04LjzhpJg0W&#10;vUBtWWBkD/IJlJYcrLdtWHCrs4lIUgRZLPNH2tz1zInEBaX27iK6fzlY/uVwC0Q2FcWxG6Zx4Kef&#10;P06//px+fyerIuozOF9i2p27hdnzaEayYws6/pEGGZOmx4umYgyE4+bVsijeFyg3x1jxNr+6TqDZ&#10;w2kHPnwUVpNoVBRwZklKdvjsA1bE1HNKLOatks1OKpUc6OoPCsiB4Xx36Yst45H/0pSJycbGY1M4&#10;7mSR2cQlWmGsx5lgbZsjyqI+GZQ6XpuzAWejPht7B7Lrse9lKhyBcFSphflaxbvwr58KPzylz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CiyVr1wAAAA0BAAAPAAAAAAAAAAEAIAAAACIAAABkcnMv&#10;ZG93bnJldi54bWxQSwECFAAUAAAACACHTuJAIV2kpcsBAACSAwAADgAAAAAAAAABACAAAAAmAQAA&#10;ZHJzL2Uyb0RvYy54bWxQSwUGAAAAAAYABgBZAQAAYwUAAAAA&#10;">
                <v:fill on="t" focussize="0,0"/>
                <v:stroke on="f"/>
                <v:imagedata o:title=""/>
                <o:lock v:ext="edit" aspectratio="f"/>
                <v:textbox inset="0mm,0mm,0mm,0mm">
                  <w:txbxContent>
                    <w:p w14:paraId="2EC3DB7E">
                      <w:pPr>
                        <w:pStyle w:val="24"/>
                        <w:spacing w:line="360" w:lineRule="exact"/>
                        <w:rPr>
                          <w:w w:val="140"/>
                          <w:sz w:val="26"/>
                          <w:szCs w:val="26"/>
                        </w:rPr>
                      </w:pPr>
                      <w:r>
                        <w:rPr>
                          <w:rFonts w:hint="eastAsia"/>
                          <w:w w:val="140"/>
                          <w:sz w:val="26"/>
                          <w:szCs w:val="26"/>
                        </w:rPr>
                        <w:t>安徽省生态</w:t>
                      </w:r>
                      <w:r>
                        <w:rPr>
                          <w:w w:val="140"/>
                          <w:sz w:val="26"/>
                          <w:szCs w:val="26"/>
                        </w:rPr>
                        <w:t>环境</w:t>
                      </w:r>
                      <w:r>
                        <w:rPr>
                          <w:rFonts w:hint="eastAsia"/>
                          <w:w w:val="140"/>
                          <w:sz w:val="26"/>
                          <w:szCs w:val="26"/>
                        </w:rPr>
                        <w:t>厅</w:t>
                      </w:r>
                    </w:p>
                    <w:p w14:paraId="3018551F">
                      <w:pPr>
                        <w:pStyle w:val="24"/>
                        <w:spacing w:line="360" w:lineRule="exact"/>
                        <w:rPr>
                          <w:w w:val="140"/>
                        </w:rPr>
                      </w:pPr>
                      <w:r>
                        <w:rPr>
                          <w:rFonts w:hint="eastAsia"/>
                          <w:w w:val="140"/>
                          <w:sz w:val="26"/>
                          <w:szCs w:val="26"/>
                        </w:rPr>
                        <w:t>安徽省市场监督管理局</w:t>
                      </w:r>
                    </w:p>
                  </w:txbxContent>
                </v:textbox>
                <w10:anchorlock/>
              </v:rect>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8708390</wp:posOffset>
                </wp:positionV>
                <wp:extent cx="6121400" cy="635"/>
                <wp:effectExtent l="0" t="6350" r="0" b="12065"/>
                <wp:wrapNone/>
                <wp:docPr id="10" name="直接连接符 14"/>
                <wp:cNvGraphicFramePr/>
                <a:graphic xmlns:a="http://schemas.openxmlformats.org/drawingml/2006/main">
                  <a:graphicData uri="http://schemas.microsoft.com/office/word/2010/wordprocessingShape">
                    <wps:wsp>
                      <wps:cNvCnPr/>
                      <wps:spPr>
                        <a:xfrm>
                          <a:off x="0" y="0"/>
                          <a:ext cx="6121400" cy="635"/>
                        </a:xfrm>
                        <a:prstGeom prst="line">
                          <a:avLst/>
                        </a:prstGeom>
                        <a:ln w="12700" cap="flat" cmpd="sng">
                          <a:solidFill>
                            <a:srgbClr val="080000"/>
                          </a:solidFill>
                          <a:prstDash val="solid"/>
                          <a:headEnd type="none" w="med" len="med"/>
                          <a:tailEnd type="none" w="med" len="med"/>
                        </a:ln>
                      </wps:spPr>
                      <wps:bodyPr/>
                    </wps:wsp>
                  </a:graphicData>
                </a:graphic>
              </wp:anchor>
            </w:drawing>
          </mc:Choice>
          <mc:Fallback>
            <w:pict>
              <v:line id="直接连接符 14" o:spid="_x0000_s1026" o:spt="20" style="position:absolute;left:0pt;margin-left:0pt;margin-top:685.7pt;height:0.05pt;width:482pt;z-index:251667456;mso-width-relative:page;mso-height-relative:page;" filled="f" stroked="t" coordsize="21600,21600" o:gfxdata="UEsDBAoAAAAAAIdO4kAAAAAAAAAAAAAAAAAEAAAAZHJzL1BLAwQUAAAACACHTuJADwarAtgAAAAK&#10;AQAADwAAAGRycy9kb3ducmV2LnhtbE2PwU7DMBBE70j8g7VIXBB1Am0DIU4lInrh1hYhjm68JIF4&#10;bcVOW/r1XcShHPfNaHamWBxsL3Y4hM6RgnSSgECqnemoUfC2Wd4+gAhRk9G9I1TwgwEW5eVFoXPj&#10;9rTC3To2gkMo5FpBG6PPpQx1i1aHifNIrH26werI59BIM+g9h9te3iXJXFrdEX9otceqxfp7PVoF&#10;Xzfv49KSr7Lm9eWYzcZV9eGflbq+SpMnEBEP8WyG3/pcHUrutHUjmSB6BTwkMr3P0ikI1h/nU0bb&#10;PzQDWRby/4TyBFBLAwQUAAAACACHTuJAci2hFO4BAADdAwAADgAAAGRycy9lMm9Eb2MueG1srVO9&#10;jhMxEO6ReAfLPdlNOMJplc0VF44GQSTgASa2N2vJf/L4sslL8AJIdFBR0vM2HI/B2BtycDQp2MI7&#10;Hs98M9/n8eJqbw3bqYjau5ZPJzVnygkvtdu2/P27myeXnGECJ8F4p1p+UMivlo8fLYbQqJnvvZEq&#10;MgJx2Ayh5X1KoakqFL2ygBMflKPDzkcLibZxW8kIA6FbU83qel4NPsoQvVCI5F2Nh/yIGM8B9F2n&#10;hVp5cWuVSyNqVAYSUcJeB+TL0m3XKZHedB2qxEzLiWkqKxUhe5PXarmAZhsh9FocW4BzWnjAyYJ2&#10;VPQEtYIE7Dbqf6CsFtGj79JEeFuNRIoixGJaP9DmbQ9BFS4kNYaT6Pj/YMXr3ToyLWkSSBIHlm78&#10;7uO3Hx8+//z+ida7r1/Y9CLLNARsKPrareNxh2EdM+d9F23+Exu2L9IeTtKqfWKCnPPpbHpRUwlB&#10;Z/OnzzJidZ8aIqaXyluWjZYb7TJvaGD3CtMY+jsku41jA3U8e14Qgaawo9sncBuICbptSUZvtLzR&#10;xuQUjNvNtYlsB3kSLmv6jj38FZarrAD7Ma4c5TBoegXyhZMsHQJJ5Ohp8NyDVZIzo+glZatEJtDm&#10;nEiibxypkIUdpczWxstDUbj46daLTscJzWP1575k37/K5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PBqsC2AAAAAoBAAAPAAAAAAAAAAEAIAAAACIAAABkcnMvZG93bnJldi54bWxQSwECFAAUAAAA&#10;CACHTuJAci2hFO4BAADdAwAADgAAAAAAAAABACAAAAAnAQAAZHJzL2Uyb0RvYy54bWxQSwUGAAAA&#10;AAYABgBZAQAAhwU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2417445</wp:posOffset>
                </wp:positionV>
                <wp:extent cx="6121400" cy="635"/>
                <wp:effectExtent l="0" t="6350" r="0" b="12065"/>
                <wp:wrapNone/>
                <wp:docPr id="9" name="直接连接符 13"/>
                <wp:cNvGraphicFramePr/>
                <a:graphic xmlns:a="http://schemas.openxmlformats.org/drawingml/2006/main">
                  <a:graphicData uri="http://schemas.microsoft.com/office/word/2010/wordprocessingShape">
                    <wps:wsp>
                      <wps:cNvCnPr/>
                      <wps:spPr>
                        <a:xfrm>
                          <a:off x="0" y="0"/>
                          <a:ext cx="6121400" cy="635"/>
                        </a:xfrm>
                        <a:prstGeom prst="line">
                          <a:avLst/>
                        </a:prstGeom>
                        <a:ln w="12700" cap="flat" cmpd="sng">
                          <a:solidFill>
                            <a:srgbClr val="080000"/>
                          </a:solidFill>
                          <a:prstDash val="solid"/>
                          <a:headEnd type="none" w="med" len="med"/>
                          <a:tailEnd type="none" w="med" len="med"/>
                        </a:ln>
                      </wps:spPr>
                      <wps:bodyPr/>
                    </wps:wsp>
                  </a:graphicData>
                </a:graphic>
              </wp:anchor>
            </w:drawing>
          </mc:Choice>
          <mc:Fallback>
            <w:pict>
              <v:line id="直接连接符 13" o:spid="_x0000_s1026" o:spt="20" style="position:absolute;left:0pt;margin-left:0pt;margin-top:190.35pt;height:0.05pt;width:482pt;z-index:251666432;mso-width-relative:page;mso-height-relative:page;" filled="f" stroked="t" coordsize="21600,21600" o:gfxdata="UEsDBAoAAAAAAIdO4kAAAAAAAAAAAAAAAAAEAAAAZHJzL1BLAwQUAAAACACHTuJA3kyHONcAAAAI&#10;AQAADwAAAGRycy9kb3ducmV2LnhtbE2PzU7DMBCE70i8g7VIXBC1y08TQpxKRPTCrQUhjm68JIF4&#10;bcVOW3h6tlzguDOj2W/K5cENYodj7D1pmM8UCKTG255aDS/Pq8scREyGrBk8oYYvjLCsTk9KU1i/&#10;pzXuNqkVXEKxMBq6lEIhZWw6dCbOfEBi792PziQ+x1ba0ey53A3ySqmFdKYn/tCZgHWHzedmcho+&#10;Ll6nlaNQZ+3T43d2O63rt/Cg9fnZXN2DSHhIf2E44jM6VMy09RPZKAYNPCRpuM5VBoLtu8UNK9tf&#10;JQdZlfL/gOoHUEsDBBQAAAAIAIdO4kBa9Le97wEAANwDAAAOAAAAZHJzL2Uyb0RvYy54bWytU0uO&#10;EzEQ3SNxB8t70p0MhKGVziwmDBsEIwEHqNjutCX/5PKkk0twASR2sGLJfm7DcAzK7pCBYZMFvXCX&#10;6/Nc77m8uNhZw7Yqovau5dNJzZlywkvtNi3/8P7qyTlnmMBJMN6plu8V8ovl40eLITRq5ntvpIqM&#10;QBw2Q2h5n1JoqgpFryzgxAflKNj5aCHRNm4qGWEgdGuqWV3Pq8FHGaIXCpG8qzHID4jxFEDfdVqo&#10;lRc3Vrk0okZlIBEl7HVAvizddp0S6W3XoUrMtJyYprLSIWSv81otF9BsIoRei0MLcEoLDzhZ0I4O&#10;PUKtIAG7ifofKKtF9Oi7NBHeViORogixmNYPtHnXQ1CFC0mN4Sg6/j9Y8WZ7HZmWLX/BmQNLF373&#10;6fuPj19+3n6m9e7bVzY9yyoNARtKvnTX8bDDcB0z5V0Xbf4TGbYryu6PyqpdYoKc8+ls+rQm0QXF&#10;5mfPMmJ1XxoiplfKW5aNlhvtMm1oYPsa05j6OyW7jWMDje7seUEEGsKOLp/AbSAi6DalGL3R8kob&#10;k0swbtaXJrIt5EE4r+k79PBXWj5lBdiPeSWU06DpFciXTrK0DySRo5fBcw9WSc6MooeUrZKZQJtT&#10;Mom+caRCFnaUMltrL/dF4eKnSy86HQY0T9Wf+1J9/yiX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eTIc41wAAAAgBAAAPAAAAAAAAAAEAIAAAACIAAABkcnMvZG93bnJldi54bWxQSwECFAAUAAAA&#10;CACHTuJAWvS3ve8BAADcAwAADgAAAAAAAAABACAAAAAmAQAAZHJzL2Uyb0RvYy54bWxQSwUGAAAA&#10;AAYABgBZAQAAhwUAAAAA&#10;">
                <v:fill on="f" focussize="0,0"/>
                <v:stroke weight="1pt" color="#080000" joinstyle="round"/>
                <v:imagedata o:title=""/>
                <o:lock v:ext="edit" aspectratio="f"/>
              </v:line>
            </w:pict>
          </mc:Fallback>
        </mc:AlternateContent>
      </w:r>
      <w:r>
        <w:rPr>
          <w:rFonts w:ascii="黑体" w:hAnsi="黑体" w:eastAsia="黑体"/>
          <w:sz w:val="32"/>
        </w:rPr>
        <mc:AlternateContent>
          <mc:Choice Requires="wps">
            <w:drawing>
              <wp:anchor distT="0" distB="0" distL="114300" distR="114300" simplePos="0" relativeHeight="251669504" behindDoc="0" locked="1" layoutInCell="1" allowOverlap="1">
                <wp:simplePos x="0" y="0"/>
                <wp:positionH relativeFrom="margin">
                  <wp:posOffset>2938780</wp:posOffset>
                </wp:positionH>
                <wp:positionV relativeFrom="margin">
                  <wp:posOffset>399415</wp:posOffset>
                </wp:positionV>
                <wp:extent cx="3175000" cy="720090"/>
                <wp:effectExtent l="0" t="0" r="0" b="3810"/>
                <wp:wrapNone/>
                <wp:docPr id="12" name="文本框 1"/>
                <wp:cNvGraphicFramePr/>
                <a:graphic xmlns:a="http://schemas.openxmlformats.org/drawingml/2006/main">
                  <a:graphicData uri="http://schemas.microsoft.com/office/word/2010/wordprocessingShape">
                    <wps:wsp>
                      <wps:cNvSpPr/>
                      <wps:spPr>
                        <a:xfrm>
                          <a:off x="0" y="0"/>
                          <a:ext cx="3175000" cy="720090"/>
                        </a:xfrm>
                        <a:prstGeom prst="rect">
                          <a:avLst/>
                        </a:prstGeom>
                        <a:solidFill>
                          <a:srgbClr val="FFFFFF"/>
                        </a:solidFill>
                        <a:ln>
                          <a:noFill/>
                        </a:ln>
                      </wps:spPr>
                      <wps:txbx>
                        <w:txbxContent>
                          <w:p w14:paraId="18A420CE">
                            <w:pPr>
                              <w:pStyle w:val="17"/>
                              <w:rPr>
                                <w:b w:val="0"/>
                                <w:bCs/>
                                <w:sz w:val="90"/>
                                <w:szCs w:val="90"/>
                              </w:rPr>
                            </w:pPr>
                            <w:r>
                              <w:rPr>
                                <w:rFonts w:hint="eastAsia"/>
                                <w:b w:val="0"/>
                                <w:bCs/>
                                <w:sz w:val="90"/>
                                <w:szCs w:val="90"/>
                              </w:rPr>
                              <w:t>DB</w:t>
                            </w:r>
                            <w:r>
                              <w:rPr>
                                <w:b w:val="0"/>
                                <w:bCs/>
                                <w:sz w:val="90"/>
                                <w:szCs w:val="90"/>
                              </w:rPr>
                              <w:t>3</w:t>
                            </w:r>
                            <w:r>
                              <w:rPr>
                                <w:rFonts w:hint="eastAsia"/>
                                <w:b w:val="0"/>
                                <w:bCs/>
                                <w:sz w:val="90"/>
                                <w:szCs w:val="90"/>
                              </w:rPr>
                              <w:t>4</w:t>
                            </w:r>
                          </w:p>
                        </w:txbxContent>
                      </wps:txbx>
                      <wps:bodyPr lIns="0" tIns="0" rIns="0" bIns="0" upright="1"/>
                    </wps:wsp>
                  </a:graphicData>
                </a:graphic>
              </wp:anchor>
            </w:drawing>
          </mc:Choice>
          <mc:Fallback>
            <w:pict>
              <v:rect id="文本框 1" o:spid="_x0000_s1026" o:spt="1" style="position:absolute;left:0pt;margin-left:231.4pt;margin-top:31.45pt;height:56.7pt;width:250pt;mso-position-horizontal-relative:margin;mso-position-vertical-relative:margin;z-index:251669504;mso-width-relative:page;mso-height-relative:page;" fillcolor="#FFFFFF" filled="t" stroked="f" coordsize="21600,21600" o:gfxdata="UEsDBAoAAAAAAIdO4kAAAAAAAAAAAAAAAAAEAAAAZHJzL1BLAwQUAAAACACHTuJACgx8HtUAAAAK&#10;AQAADwAAAGRycy9kb3ducmV2LnhtbE2Py07EMAxF90j8Q2QkdkzaggpTms6Ch2ZNB8TW05imkEfV&#10;pDOFr8ewgaXto+tz683irDjQFIfgFeSrDAT5LujB9wqed48XNyBiQq/RBk8KPinCpjk9qbHS4eif&#10;6NCmXnCIjxUqMCmNlZSxM+QwrsJInm9vYXKYeJx6qSc8crizssiyUjocPH8wONKdoe6jnZ2CbX7/&#10;ML7Lrxa3NtH8YpbOvi5KnZ/l2S2IREv6g+FHn9WhYad9mL2Owiq4KgtWTwrKYg2CgfXvYs/kdXkJ&#10;sqnl/wrNN1BLAwQUAAAACACHTuJAULL+JMoBAACSAwAADgAAAGRycy9lMm9Eb2MueG1srVPNjtMw&#10;EL4j8Q6W7zRpESxETfdAVYSEYKVdHsBx7MSS/zR2m/QF4A04ceHOc/U5GDtpF3Yve9gckhnP+Jv5&#10;vpmsr0ejyUFAUM7WdLkoKRGWu1bZrqbf7nav3lESIrMt086Kmh5FoNebly/Wg6/EyvVOtwIIgthQ&#10;Db6mfYy+KorAe2FYWDgvLAalA8MiutAVLbAB0Y0uVmX5thgctB4cFyHg6XYK0hkRngLopFRcbB3f&#10;G2HjhApCs4iUQq98oJvcrZSCx69SBhGJrikyjfmNRdBu0rvYrFnVAfO94nML7CktPOBkmLJY9AK1&#10;ZZGRPahHUEZxcMHJuODOFBORrAiyWJYPtLntmReZC0od/EX08Hyw/MvhBohqcRNWlFhmcOKnnz9O&#10;v/6cfn8ny6TP4EOFabf+BmYvoJnIjhJM+iINMmZNjxdNxRgJx8PXy6s3ZYlyc4xd4QK8z6IX97c9&#10;hPhROEOSUVPAmWUp2eFziFgRU88pqVhwWrU7pXV2oGs+aCAHhvPd5Se1jFf+S9M2JVuXrk3hdFIk&#10;ZhOXZMWxGWeCjWuPKIv+ZFHqtDZnA85Gczb2HlTXY99ZqwyJo8otzGuVduFfPxe+/5U2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KDHwe1QAAAAoBAAAPAAAAAAAAAAEAIAAAACIAAABkcnMvZG93&#10;bnJldi54bWxQSwECFAAUAAAACACHTuJAULL+JMoBAACSAwAADgAAAAAAAAABACAAAAAkAQAAZHJz&#10;L2Uyb0RvYy54bWxQSwUGAAAAAAYABgBZAQAAYAUAAAAA&#10;">
                <v:fill on="t" focussize="0,0"/>
                <v:stroke on="f"/>
                <v:imagedata o:title=""/>
                <o:lock v:ext="edit" aspectratio="f"/>
                <v:textbox inset="0mm,0mm,0mm,0mm">
                  <w:txbxContent>
                    <w:p w14:paraId="18A420CE">
                      <w:pPr>
                        <w:pStyle w:val="17"/>
                        <w:rPr>
                          <w:b w:val="0"/>
                          <w:bCs/>
                          <w:sz w:val="90"/>
                          <w:szCs w:val="90"/>
                        </w:rPr>
                      </w:pPr>
                      <w:r>
                        <w:rPr>
                          <w:rFonts w:hint="eastAsia"/>
                          <w:b w:val="0"/>
                          <w:bCs/>
                          <w:sz w:val="90"/>
                          <w:szCs w:val="90"/>
                        </w:rPr>
                        <w:t>DB</w:t>
                      </w:r>
                      <w:r>
                        <w:rPr>
                          <w:b w:val="0"/>
                          <w:bCs/>
                          <w:sz w:val="90"/>
                          <w:szCs w:val="90"/>
                        </w:rPr>
                        <w:t>3</w:t>
                      </w:r>
                      <w:r>
                        <w:rPr>
                          <w:rFonts w:hint="eastAsia"/>
                          <w:b w:val="0"/>
                          <w:bCs/>
                          <w:sz w:val="90"/>
                          <w:szCs w:val="90"/>
                        </w:rPr>
                        <w:t>4</w:t>
                      </w:r>
                    </w:p>
                  </w:txbxContent>
                </v:textbox>
                <w10:anchorlock/>
              </v:rect>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4100830</wp:posOffset>
                </wp:positionH>
                <wp:positionV relativeFrom="margin">
                  <wp:posOffset>8414385</wp:posOffset>
                </wp:positionV>
                <wp:extent cx="2019300" cy="312420"/>
                <wp:effectExtent l="0" t="0" r="0" b="5080"/>
                <wp:wrapNone/>
                <wp:docPr id="7" name="文本框 12"/>
                <wp:cNvGraphicFramePr/>
                <a:graphic xmlns:a="http://schemas.openxmlformats.org/drawingml/2006/main">
                  <a:graphicData uri="http://schemas.microsoft.com/office/word/2010/wordprocessingShape">
                    <wps:wsp>
                      <wps:cNvSpPr/>
                      <wps:spPr>
                        <a:xfrm>
                          <a:off x="0" y="0"/>
                          <a:ext cx="2019300" cy="312420"/>
                        </a:xfrm>
                        <a:prstGeom prst="rect">
                          <a:avLst/>
                        </a:prstGeom>
                        <a:solidFill>
                          <a:srgbClr val="FFFFFF"/>
                        </a:solidFill>
                        <a:ln>
                          <a:noFill/>
                        </a:ln>
                      </wps:spPr>
                      <wps:txbx>
                        <w:txbxContent>
                          <w:p w14:paraId="3B273646">
                            <w:pPr>
                              <w:pStyle w:val="25"/>
                              <w:rPr>
                                <w:rFonts w:ascii="黑体"/>
                              </w:rPr>
                            </w:pPr>
                            <w:r>
                              <w:rPr>
                                <w:rFonts w:hint="eastAsia" w:ascii="黑体" w:hAnsi="黑体"/>
                              </w:rPr>
                              <w:t>2</w:t>
                            </w:r>
                            <w:r>
                              <w:rPr>
                                <w:rFonts w:ascii="黑体" w:hAnsi="黑体"/>
                              </w:rPr>
                              <w:t>0XX</w:t>
                            </w:r>
                            <w:r>
                              <w:rPr>
                                <w:rFonts w:hint="eastAsia" w:ascii="黑体"/>
                              </w:rPr>
                              <w:t>-</w:t>
                            </w:r>
                            <w:r>
                              <w:rPr>
                                <w:rFonts w:ascii="黑体" w:hAnsi="黑体"/>
                              </w:rPr>
                              <w:t>XX</w:t>
                            </w:r>
                            <w:r>
                              <w:rPr>
                                <w:rFonts w:hint="eastAsia" w:ascii="黑体"/>
                              </w:rPr>
                              <w:t>-</w:t>
                            </w:r>
                            <w:r>
                              <w:rPr>
                                <w:rFonts w:ascii="黑体" w:hAnsi="黑体"/>
                              </w:rPr>
                              <w:t>XX</w:t>
                            </w:r>
                            <w:r>
                              <w:rPr>
                                <w:rFonts w:hint="eastAsia" w:ascii="黑体"/>
                              </w:rPr>
                              <w:t>实施</w:t>
                            </w:r>
                          </w:p>
                        </w:txbxContent>
                      </wps:txbx>
                      <wps:bodyPr lIns="0" tIns="0" rIns="0" bIns="0" upright="1"/>
                    </wps:wsp>
                  </a:graphicData>
                </a:graphic>
              </wp:anchor>
            </w:drawing>
          </mc:Choice>
          <mc:Fallback>
            <w:pict>
              <v:rect id="文本框 12" o:spid="_x0000_s1026" o:spt="1" style="position:absolute;left:0pt;margin-left:322.9pt;margin-top:662.55pt;height:24.6pt;width:159pt;mso-position-horizontal-relative:margin;mso-position-vertical-relative:margin;z-index:251664384;mso-width-relative:page;mso-height-relative:page;" fillcolor="#FFFFFF" filled="t" stroked="f" coordsize="21600,21600" o:gfxdata="UEsDBAoAAAAAAIdO4kAAAAAAAAAAAAAAAAAEAAAAZHJzL1BLAwQUAAAACACHTuJACMapztgAAAAN&#10;AQAADwAAAGRycy9kb3ducmV2LnhtbE2PzU7DMBCE70i8g7VI3KiTpg0lxOmBH/VMAPXqxksSsNdR&#10;7LSBp2d7guPOjGa/Kbezs+KIY+g9KUgXCQikxpueWgVvr883GxAhajLaekIF3xhgW11elLow/kQv&#10;eKxjK7iEQqEVdDEOhZSh6dDpsPADEnsffnQ68jm20oz6xOXOymWS5NLpnvhDpwd86LD5qienYJc+&#10;Pg2f8qfWOxtxeu/mxu5npa6v0uQeRMQ5/oXhjM/oUDHTwU9kgrAK8tWa0SMb2XKdguDIXZ6xdDhL&#10;t6sMZFXK/yuqX1BLAwQUAAAACACHTuJA7Q3OwsoBAACSAwAADgAAAGRycy9lMm9Eb2MueG1srVNL&#10;btswEN0X6B0I7mt9UvQjWM6ihosCRRsg6QEoipII8IchbckXaG/QVTfd91w+R4eU7LTJJotoQc1w&#10;hm/mvSHX15NW5CDAS2tqWqxySoThtpWmr+m3u92rd5T4wEzLlDWipkfh6fXm5Yv16CpR2sGqVgBB&#10;EOOr0dV0CMFVWeb5IDTzK+uEwWBnQbOALvRZC2xEdK2yMs/fZKOF1oHlwnvc3c5BuiDCUwBt10ku&#10;tpbvtTBhRgWhWEBKfpDO003qtusED1+7zotAVE2RaUgrFkG7iWu2WbOqB+YGyZcW2FNaeMBJM2mw&#10;6AVqywIje5CPoLTkYL3twopbnc1EkiLIosgfaHM7MCcSF5Tau4vo/vlg+ZfDDRDZ1vQtJYZpHPjp&#10;54/Trz+n399JUUZ9RucrTLt1N7B4Hs1IdupAxz/SIFPS9HjRVEyBcNxEWu+vcpSbY+yqKF+XSfTs&#10;/rQDHz4Kq0k0ago4syQlO3z2ASti6jklFvNWyXYnlUoO9M0HBeTAcL679MWW8ch/acrEZGPjsTkc&#10;d7LIbOYSrTA100Kwse0RZVGfDEodr83ZgLPRnI29A9kP2HeRCkcgHFVqYblW8S7866fC909p8x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IxqnO2AAAAA0BAAAPAAAAAAAAAAEAIAAAACIAAABkcnMv&#10;ZG93bnJldi54bWxQSwECFAAUAAAACACHTuJA7Q3OwsoBAACSAwAADgAAAAAAAAABACAAAAAnAQAA&#10;ZHJzL2Uyb0RvYy54bWxQSwUGAAAAAAYABgBZAQAAYwUAAAAA&#10;">
                <v:fill on="t" focussize="0,0"/>
                <v:stroke on="f"/>
                <v:imagedata o:title=""/>
                <o:lock v:ext="edit" aspectratio="f"/>
                <v:textbox inset="0mm,0mm,0mm,0mm">
                  <w:txbxContent>
                    <w:p w14:paraId="3B273646">
                      <w:pPr>
                        <w:pStyle w:val="25"/>
                        <w:rPr>
                          <w:rFonts w:ascii="黑体"/>
                        </w:rPr>
                      </w:pPr>
                      <w:r>
                        <w:rPr>
                          <w:rFonts w:hint="eastAsia" w:ascii="黑体" w:hAnsi="黑体"/>
                        </w:rPr>
                        <w:t>2</w:t>
                      </w:r>
                      <w:r>
                        <w:rPr>
                          <w:rFonts w:ascii="黑体" w:hAnsi="黑体"/>
                        </w:rPr>
                        <w:t>0XX</w:t>
                      </w:r>
                      <w:r>
                        <w:rPr>
                          <w:rFonts w:hint="eastAsia" w:ascii="黑体"/>
                        </w:rPr>
                        <w:t>-</w:t>
                      </w:r>
                      <w:r>
                        <w:rPr>
                          <w:rFonts w:ascii="黑体" w:hAnsi="黑体"/>
                        </w:rPr>
                        <w:t>XX</w:t>
                      </w:r>
                      <w:r>
                        <w:rPr>
                          <w:rFonts w:hint="eastAsia" w:ascii="黑体"/>
                        </w:rPr>
                        <w:t>-</w:t>
                      </w:r>
                      <w:r>
                        <w:rPr>
                          <w:rFonts w:ascii="黑体" w:hAnsi="黑体"/>
                        </w:rPr>
                        <w:t>XX</w:t>
                      </w:r>
                      <w:r>
                        <w:rPr>
                          <w:rFonts w:hint="eastAsia" w:ascii="黑体"/>
                        </w:rPr>
                        <w:t>实施</w:t>
                      </w:r>
                    </w:p>
                  </w:txbxContent>
                </v:textbox>
                <w10:anchorlock/>
              </v:rect>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8405495</wp:posOffset>
                </wp:positionV>
                <wp:extent cx="2019300" cy="312420"/>
                <wp:effectExtent l="0" t="0" r="0" b="5080"/>
                <wp:wrapNone/>
                <wp:docPr id="6" name="文本框 11"/>
                <wp:cNvGraphicFramePr/>
                <a:graphic xmlns:a="http://schemas.openxmlformats.org/drawingml/2006/main">
                  <a:graphicData uri="http://schemas.microsoft.com/office/word/2010/wordprocessingShape">
                    <wps:wsp>
                      <wps:cNvSpPr/>
                      <wps:spPr>
                        <a:xfrm>
                          <a:off x="0" y="0"/>
                          <a:ext cx="2019300" cy="312420"/>
                        </a:xfrm>
                        <a:prstGeom prst="rect">
                          <a:avLst/>
                        </a:prstGeom>
                        <a:solidFill>
                          <a:srgbClr val="FFFFFF"/>
                        </a:solidFill>
                        <a:ln>
                          <a:noFill/>
                        </a:ln>
                      </wps:spPr>
                      <wps:txbx>
                        <w:txbxContent>
                          <w:p w14:paraId="76A1F39D">
                            <w:pPr>
                              <w:pStyle w:val="18"/>
                              <w:rPr>
                                <w:rFonts w:ascii="黑体"/>
                              </w:rPr>
                            </w:pPr>
                            <w:r>
                              <w:rPr>
                                <w:rFonts w:hint="eastAsia" w:ascii="黑体" w:hAnsi="黑体"/>
                              </w:rPr>
                              <w:t>2</w:t>
                            </w:r>
                            <w:r>
                              <w:rPr>
                                <w:rFonts w:ascii="黑体" w:hAnsi="黑体"/>
                              </w:rPr>
                              <w:t>0XX</w:t>
                            </w:r>
                            <w:r>
                              <w:rPr>
                                <w:rFonts w:hint="eastAsia" w:ascii="黑体"/>
                              </w:rPr>
                              <w:t>-</w:t>
                            </w:r>
                            <w:r>
                              <w:rPr>
                                <w:rFonts w:ascii="黑体" w:hAnsi="黑体"/>
                              </w:rPr>
                              <w:t>XX</w:t>
                            </w:r>
                            <w:r>
                              <w:rPr>
                                <w:rFonts w:hint="eastAsia" w:ascii="黑体"/>
                              </w:rPr>
                              <w:t>-</w:t>
                            </w:r>
                            <w:r>
                              <w:rPr>
                                <w:rFonts w:ascii="黑体" w:hAnsi="黑体"/>
                              </w:rPr>
                              <w:t>XX</w:t>
                            </w:r>
                            <w:r>
                              <w:rPr>
                                <w:rFonts w:hint="eastAsia" w:ascii="黑体"/>
                              </w:rPr>
                              <w:t>发布</w:t>
                            </w:r>
                          </w:p>
                        </w:txbxContent>
                      </wps:txbx>
                      <wps:bodyPr lIns="0" tIns="0" rIns="0" bIns="0" upright="1"/>
                    </wps:wsp>
                  </a:graphicData>
                </a:graphic>
              </wp:anchor>
            </w:drawing>
          </mc:Choice>
          <mc:Fallback>
            <w:pict>
              <v:rect id="文本框 11" o:spid="_x0000_s1026" o:spt="1" style="position:absolute;left:0pt;margin-left:0pt;margin-top:661.85pt;height:24.6pt;width:159pt;mso-position-horizontal-relative:margin;mso-position-vertical-relative:margin;z-index:251663360;mso-width-relative:page;mso-height-relative:page;" fillcolor="#FFFFFF" filled="t" stroked="f" coordsize="21600,21600" o:gfxdata="UEsDBAoAAAAAAIdO4kAAAAAAAAAAAAAAAAAEAAAAZHJzL1BLAwQUAAAACACHTuJAPTs+PtUAAAAK&#10;AQAADwAAAGRycy9kb3ducmV2LnhtbE2PS0/DMBCE70j8B2uRuFHnIdES4vTAQz0Tirhu4yUO+BHF&#10;Thv49WxPcNxvRrMz9XZxVhxpikPwCvJVBoJ8F/TgewX71+ebDYiY0Gu0wZOCb4qwbS4vaqx0OPkX&#10;OrapFxziY4UKTEpjJWXsDDmMqzCSZ+0jTA4Tn1Mv9YQnDndWFll2Kx0Onj8YHOnBUPfVzk7BLn98&#10;Gj/lT4s7m2h+M0tn3xelrq/y7B5EoiX9meFcn6tDw50OYfY6CquAhySmZVGuQbBe5htGhzNaF3cg&#10;m1r+n9D8AlBLAwQUAAAACACHTuJAqbBCKMoBAACSAwAADgAAAGRycy9lMm9Eb2MueG1srVNLbtsw&#10;EN0XyB0I7mtJThG0guUsajgoUKQB0hyAoiiJAH8Y0pZ8geYGXXXTfc/lc3RIyU6bbLKIFtQMZ/hm&#10;3htydT1qRfYCvLSmosUip0QYbhtpuoo+fN++/0iJD8w0TFkjKnoQnl6vL96tBleKpe2tagQQBDG+&#10;HFxF+xBcmWWe90Izv7BOGAy2FjQL6EKXNcAGRNcqW+b5VTZYaBxYLrzH3c0UpDMivAbQtq3kYmP5&#10;TgsTJlQQigWk5HvpPF2nbttW8PCtbb0IRFUUmYa0YhG067hm6xUrO2Cul3xugb2mhWecNJMGi56h&#10;NiwwsgP5AkpLDtbbNiy41dlEJCmCLIr8mTb3PXMicUGpvTuL7t8Olt/u74DIpqJXlBimceDHn4/H&#10;X3+Ov3+Qooj6DM6XmHbv7mD2PJqR7NiCjn+kQcak6eGsqRgD4biJtD5d5ig3x9hlsfywTKJnT6cd&#10;+HAjrCbRqCjgzJKUbP/VB6yIqaeUWMxbJZutVCo50NWfFZA9w/lu0xdbxiP/pSkTk42Nx6Zw3Mki&#10;s4lLtMJYjzPB2jYHlEV9MSh1vDYnA05GfTJ2DmTXY99JqwSJo0otzNcq3oV//VT46Smt/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9Oz4+1QAAAAoBAAAPAAAAAAAAAAEAIAAAACIAAABkcnMvZG93&#10;bnJldi54bWxQSwECFAAUAAAACACHTuJAqbBCKMoBAACSAwAADgAAAAAAAAABACAAAAAkAQAAZHJz&#10;L2Uyb0RvYy54bWxQSwUGAAAAAAYABgBZAQAAYAUAAAAA&#10;">
                <v:fill on="t" focussize="0,0"/>
                <v:stroke on="f"/>
                <v:imagedata o:title=""/>
                <o:lock v:ext="edit" aspectratio="f"/>
                <v:textbox inset="0mm,0mm,0mm,0mm">
                  <w:txbxContent>
                    <w:p w14:paraId="76A1F39D">
                      <w:pPr>
                        <w:pStyle w:val="18"/>
                        <w:rPr>
                          <w:rFonts w:ascii="黑体"/>
                        </w:rPr>
                      </w:pPr>
                      <w:r>
                        <w:rPr>
                          <w:rFonts w:hint="eastAsia" w:ascii="黑体" w:hAnsi="黑体"/>
                        </w:rPr>
                        <w:t>2</w:t>
                      </w:r>
                      <w:r>
                        <w:rPr>
                          <w:rFonts w:ascii="黑体" w:hAnsi="黑体"/>
                        </w:rPr>
                        <w:t>0XX</w:t>
                      </w:r>
                      <w:r>
                        <w:rPr>
                          <w:rFonts w:hint="eastAsia" w:ascii="黑体"/>
                        </w:rPr>
                        <w:t>-</w:t>
                      </w:r>
                      <w:r>
                        <w:rPr>
                          <w:rFonts w:ascii="黑体" w:hAnsi="黑体"/>
                        </w:rPr>
                        <w:t>XX</w:t>
                      </w:r>
                      <w:r>
                        <w:rPr>
                          <w:rFonts w:hint="eastAsia" w:ascii="黑体"/>
                        </w:rPr>
                        <w:t>-</w:t>
                      </w:r>
                      <w:r>
                        <w:rPr>
                          <w:rFonts w:ascii="黑体" w:hAnsi="黑体"/>
                        </w:rPr>
                        <w:t>XX</w:t>
                      </w:r>
                      <w:r>
                        <w:rPr>
                          <w:rFonts w:hint="eastAsia" w:ascii="黑体"/>
                        </w:rPr>
                        <w:t>发布</w:t>
                      </w:r>
                    </w:p>
                  </w:txbxContent>
                </v:textbox>
                <w10:anchorlock/>
              </v:rect>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3724275</wp:posOffset>
                </wp:positionV>
                <wp:extent cx="5969000" cy="4681220"/>
                <wp:effectExtent l="0" t="0" r="0" b="5080"/>
                <wp:wrapNone/>
                <wp:docPr id="5" name="文本框 10"/>
                <wp:cNvGraphicFramePr/>
                <a:graphic xmlns:a="http://schemas.openxmlformats.org/drawingml/2006/main">
                  <a:graphicData uri="http://schemas.microsoft.com/office/word/2010/wordprocessingShape">
                    <wps:wsp>
                      <wps:cNvSpPr/>
                      <wps:spPr>
                        <a:xfrm>
                          <a:off x="0" y="0"/>
                          <a:ext cx="5969000" cy="4681220"/>
                        </a:xfrm>
                        <a:prstGeom prst="rect">
                          <a:avLst/>
                        </a:prstGeom>
                        <a:solidFill>
                          <a:srgbClr val="FFFFFF"/>
                        </a:solidFill>
                        <a:ln>
                          <a:noFill/>
                        </a:ln>
                      </wps:spPr>
                      <wps:txbx>
                        <w:txbxContent>
                          <w:p w14:paraId="4034978E">
                            <w:pPr>
                              <w:pStyle w:val="20"/>
                              <w:rPr>
                                <w:szCs w:val="52"/>
                              </w:rPr>
                            </w:pPr>
                            <w:r>
                              <w:rPr>
                                <w:rFonts w:hint="eastAsia"/>
                                <w:szCs w:val="52"/>
                              </w:rPr>
                              <w:t>工业废水铊污染物排放标准</w:t>
                            </w:r>
                          </w:p>
                          <w:p w14:paraId="53BDA96A">
                            <w:pPr>
                              <w:pStyle w:val="20"/>
                              <w:snapToGrid w:val="0"/>
                              <w:spacing w:before="312" w:beforeLines="100" w:line="240" w:lineRule="auto"/>
                              <w:rPr>
                                <w:rFonts w:eastAsia="宋体"/>
                                <w:bCs/>
                                <w:sz w:val="28"/>
                              </w:rPr>
                            </w:pPr>
                            <w:r>
                              <w:rPr>
                                <w:rFonts w:eastAsia="宋体"/>
                                <w:bCs/>
                                <w:sz w:val="28"/>
                              </w:rPr>
                              <w:t>Discharge standard of thallium pollutant</w:t>
                            </w:r>
                            <w:r>
                              <w:rPr>
                                <w:rFonts w:hint="eastAsia" w:eastAsia="宋体"/>
                                <w:bCs/>
                                <w:sz w:val="28"/>
                              </w:rPr>
                              <w:t xml:space="preserve"> </w:t>
                            </w:r>
                            <w:r>
                              <w:rPr>
                                <w:rFonts w:eastAsia="宋体"/>
                                <w:bCs/>
                                <w:sz w:val="28"/>
                              </w:rPr>
                              <w:t>for</w:t>
                            </w:r>
                            <w:r>
                              <w:rPr>
                                <w:rFonts w:hint="eastAsia" w:eastAsia="宋体"/>
                                <w:bCs/>
                                <w:sz w:val="28"/>
                              </w:rPr>
                              <w:t xml:space="preserve"> </w:t>
                            </w:r>
                            <w:r>
                              <w:rPr>
                                <w:rFonts w:eastAsia="宋体"/>
                                <w:bCs/>
                                <w:sz w:val="28"/>
                              </w:rPr>
                              <w:t>industry wastewater</w:t>
                            </w:r>
                          </w:p>
                          <w:p w14:paraId="593D67B7">
                            <w:pPr>
                              <w:pStyle w:val="20"/>
                              <w:snapToGrid w:val="0"/>
                              <w:spacing w:line="240" w:lineRule="auto"/>
                              <w:rPr>
                                <w:rFonts w:eastAsia="宋体"/>
                                <w:bCs/>
                                <w:sz w:val="28"/>
                              </w:rPr>
                            </w:pPr>
                          </w:p>
                          <w:p w14:paraId="2923843F">
                            <w:pPr>
                              <w:pStyle w:val="20"/>
                              <w:snapToGrid w:val="0"/>
                              <w:spacing w:line="240" w:lineRule="auto"/>
                              <w:rPr>
                                <w:rFonts w:eastAsia="宋体"/>
                                <w:bCs/>
                                <w:sz w:val="28"/>
                              </w:rPr>
                            </w:pPr>
                          </w:p>
                          <w:p w14:paraId="03D54C2F">
                            <w:pPr>
                              <w:pStyle w:val="21"/>
                              <w:spacing w:before="440" w:after="160"/>
                              <w:textAlignment w:val="bottom"/>
                              <w:rPr>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（征求意见稿）</w:t>
                            </w:r>
                          </w:p>
                          <w:p w14:paraId="6E66BA97">
                            <w:pPr>
                              <w:pStyle w:val="20"/>
                              <w:snapToGrid w:val="0"/>
                              <w:spacing w:line="240" w:lineRule="auto"/>
                              <w:rPr>
                                <w:rFonts w:eastAsia="宋体"/>
                                <w:bCs/>
                                <w:sz w:val="28"/>
                              </w:rPr>
                            </w:pPr>
                          </w:p>
                          <w:p w14:paraId="35765736">
                            <w:pPr>
                              <w:pStyle w:val="20"/>
                              <w:snapToGrid w:val="0"/>
                              <w:spacing w:line="240" w:lineRule="auto"/>
                              <w:jc w:val="both"/>
                              <w:rPr>
                                <w:rFonts w:eastAsia="宋体"/>
                                <w:bCs/>
                                <w:sz w:val="28"/>
                              </w:rPr>
                            </w:pPr>
                          </w:p>
                        </w:txbxContent>
                      </wps:txbx>
                      <wps:bodyPr lIns="0" tIns="0" rIns="0" bIns="0" upright="1"/>
                    </wps:wsp>
                  </a:graphicData>
                </a:graphic>
              </wp:anchor>
            </w:drawing>
          </mc:Choice>
          <mc:Fallback>
            <w:pict>
              <v:rect id="文本框 10" o:spid="_x0000_s1026" o:spt="1" style="position:absolute;left:0pt;margin-left:0pt;margin-top:293.25pt;height:368.6pt;width:470pt;mso-position-horizontal-relative:margin;mso-position-vertical-relative:margin;z-index:251662336;mso-width-relative:page;mso-height-relative:page;" fillcolor="#FFFFFF" filled="t" stroked="f" coordsize="21600,21600" o:gfxdata="UEsDBAoAAAAAAIdO4kAAAAAAAAAAAAAAAAAEAAAAZHJzL1BLAwQUAAAACACHTuJAAFFr/9YAAAAJ&#10;AQAADwAAAGRycy9kb3ducmV2LnhtbE2PS0/DMBCE70j8B2uRuFE7LX0Q4vTAQz0TQL1u4yUJ+BHF&#10;Thv49SynctyZ0ew3xXZyVhxpiF3wGrKZAkG+DqbzjYa31+ebDYiY0Bu0wZOGb4qwLS8vCsxNOPkX&#10;OlapEVziY44a2pT6XMpYt+QwzkJPnr2PMDhMfA6NNAOeuNxZOVdqJR12nj+02NNDS/VXNToNu+zx&#10;qf+UPxXubKLxvZ1qu5+0vr7K1D2IRFM6h+EPn9GhZKZDGL2JwmrgIUnDcrNagmD77laxcuDcYr5Y&#10;gywL+X9B+QtQSwMEFAAAAAgAh07iQJsuqofKAQAAkwMAAA4AAABkcnMvZTJvRG9jLnhtbK1TzY7T&#10;MBC+I/EOlu/UScVWu1HTPVAVISFYadkHcBwnseQ/jd0mfQF4A05cuPNcfQ7G7h8slz2QgzPjGX8z&#10;3zf28n4ymuwkBOVsTctZQYm0wrXK9jV9+rJ5c0tJiNy2XDsra7qXgd6vXr9ajr6Sczc43UogCGJD&#10;NfqaDjH6irEgBml4mDkvLQY7B4ZHdKFnLfAR0Y1m86JYsNFB68EJGQLuro9BekKElwC6rlNCrp3Y&#10;GmnjERWk5hEphUH5QFe5266TIn7uuiAj0TVFpjGvWATtJq1steRVD9wPSpxa4C9p4Rknw5XFoheo&#10;NY+cbEH9A2WUABdcF2fCGXYkkhVBFmXxTJvHgXuZuaDUwV9ED/8PVnzaPQBRbU1vKLHc4MAP378d&#10;fvw6/PxKyqzP6EOFaY/+AVCt5AU0E9mpA5P+SINMWdP9RVM5RSJw8+ZucVcUKLfA2NvFbTmfZ1R2&#10;Pe4hxPfSGZKMmgIOLWvJdx9DxJKYek5J1YLTqt0orbMDffNOA9lxHPAmf2mmeOSvNG1TsnXp2DGc&#10;dtiVTLLi1Ewnho1r96iL/mBR63RvzgacjeZsbD2ofsC+y1w4AeGscgune5Uuw59+Lnx9S6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AFFr/9YAAAAJAQAADwAAAAAAAAABACAAAAAiAAAAZHJzL2Rv&#10;d25yZXYueG1sUEsBAhQAFAAAAAgAh07iQJsuqofKAQAAkwMAAA4AAAAAAAAAAQAgAAAAJQEAAGRy&#10;cy9lMm9Eb2MueG1sUEsFBgAAAAAGAAYAWQEAAGEFAAAAAA==&#10;">
                <v:fill on="t" focussize="0,0"/>
                <v:stroke on="f"/>
                <v:imagedata o:title=""/>
                <o:lock v:ext="edit" aspectratio="f"/>
                <v:textbox inset="0mm,0mm,0mm,0mm">
                  <w:txbxContent>
                    <w:p w14:paraId="4034978E">
                      <w:pPr>
                        <w:pStyle w:val="20"/>
                        <w:rPr>
                          <w:szCs w:val="52"/>
                        </w:rPr>
                      </w:pPr>
                      <w:r>
                        <w:rPr>
                          <w:rFonts w:hint="eastAsia"/>
                          <w:szCs w:val="52"/>
                        </w:rPr>
                        <w:t>工业废水铊污染物排放标准</w:t>
                      </w:r>
                    </w:p>
                    <w:p w14:paraId="53BDA96A">
                      <w:pPr>
                        <w:pStyle w:val="20"/>
                        <w:snapToGrid w:val="0"/>
                        <w:spacing w:before="312" w:beforeLines="100" w:line="240" w:lineRule="auto"/>
                        <w:rPr>
                          <w:rFonts w:eastAsia="宋体"/>
                          <w:bCs/>
                          <w:sz w:val="28"/>
                        </w:rPr>
                      </w:pPr>
                      <w:r>
                        <w:rPr>
                          <w:rFonts w:eastAsia="宋体"/>
                          <w:bCs/>
                          <w:sz w:val="28"/>
                        </w:rPr>
                        <w:t>Discharge standard of thallium pollutant</w:t>
                      </w:r>
                      <w:r>
                        <w:rPr>
                          <w:rFonts w:hint="eastAsia" w:eastAsia="宋体"/>
                          <w:bCs/>
                          <w:sz w:val="28"/>
                        </w:rPr>
                        <w:t xml:space="preserve"> </w:t>
                      </w:r>
                      <w:r>
                        <w:rPr>
                          <w:rFonts w:eastAsia="宋体"/>
                          <w:bCs/>
                          <w:sz w:val="28"/>
                        </w:rPr>
                        <w:t>for</w:t>
                      </w:r>
                      <w:r>
                        <w:rPr>
                          <w:rFonts w:hint="eastAsia" w:eastAsia="宋体"/>
                          <w:bCs/>
                          <w:sz w:val="28"/>
                        </w:rPr>
                        <w:t xml:space="preserve"> </w:t>
                      </w:r>
                      <w:r>
                        <w:rPr>
                          <w:rFonts w:eastAsia="宋体"/>
                          <w:bCs/>
                          <w:sz w:val="28"/>
                        </w:rPr>
                        <w:t>industry wastewater</w:t>
                      </w:r>
                    </w:p>
                    <w:p w14:paraId="593D67B7">
                      <w:pPr>
                        <w:pStyle w:val="20"/>
                        <w:snapToGrid w:val="0"/>
                        <w:spacing w:line="240" w:lineRule="auto"/>
                        <w:rPr>
                          <w:rFonts w:eastAsia="宋体"/>
                          <w:bCs/>
                          <w:sz w:val="28"/>
                        </w:rPr>
                      </w:pPr>
                    </w:p>
                    <w:p w14:paraId="2923843F">
                      <w:pPr>
                        <w:pStyle w:val="20"/>
                        <w:snapToGrid w:val="0"/>
                        <w:spacing w:line="240" w:lineRule="auto"/>
                        <w:rPr>
                          <w:rFonts w:eastAsia="宋体"/>
                          <w:bCs/>
                          <w:sz w:val="28"/>
                        </w:rPr>
                      </w:pPr>
                    </w:p>
                    <w:p w14:paraId="03D54C2F">
                      <w:pPr>
                        <w:pStyle w:val="21"/>
                        <w:spacing w:before="440" w:after="160"/>
                        <w:textAlignment w:val="bottom"/>
                        <w:rPr>
                          <w:color w:val="000000" w:themeColor="text1"/>
                          <w:szCs w:val="28"/>
                          <w14:textFill>
                            <w14:solidFill>
                              <w14:schemeClr w14:val="tx1"/>
                            </w14:solidFill>
                          </w14:textFill>
                        </w:rPr>
                      </w:pPr>
                      <w:r>
                        <w:rPr>
                          <w:rFonts w:hint="eastAsia"/>
                          <w:color w:val="000000" w:themeColor="text1"/>
                          <w:szCs w:val="28"/>
                          <w14:textFill>
                            <w14:solidFill>
                              <w14:schemeClr w14:val="tx1"/>
                            </w14:solidFill>
                          </w14:textFill>
                        </w:rPr>
                        <w:t>（征求意见稿）</w:t>
                      </w:r>
                    </w:p>
                    <w:p w14:paraId="6E66BA97">
                      <w:pPr>
                        <w:pStyle w:val="20"/>
                        <w:snapToGrid w:val="0"/>
                        <w:spacing w:line="240" w:lineRule="auto"/>
                        <w:rPr>
                          <w:rFonts w:eastAsia="宋体"/>
                          <w:bCs/>
                          <w:sz w:val="28"/>
                        </w:rPr>
                      </w:pPr>
                    </w:p>
                    <w:p w14:paraId="35765736">
                      <w:pPr>
                        <w:pStyle w:val="20"/>
                        <w:snapToGrid w:val="0"/>
                        <w:spacing w:line="240" w:lineRule="auto"/>
                        <w:jc w:val="both"/>
                        <w:rPr>
                          <w:rFonts w:eastAsia="宋体"/>
                          <w:bCs/>
                          <w:sz w:val="28"/>
                        </w:rPr>
                      </w:pPr>
                    </w:p>
                  </w:txbxContent>
                </v:textbox>
                <w10:anchorlock/>
              </v:rect>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0</wp:posOffset>
                </wp:positionH>
                <wp:positionV relativeFrom="margin">
                  <wp:posOffset>1546225</wp:posOffset>
                </wp:positionV>
                <wp:extent cx="6067425" cy="860425"/>
                <wp:effectExtent l="0" t="0" r="3175" b="3175"/>
                <wp:wrapNone/>
                <wp:docPr id="4" name="文本框 9"/>
                <wp:cNvGraphicFramePr/>
                <a:graphic xmlns:a="http://schemas.openxmlformats.org/drawingml/2006/main">
                  <a:graphicData uri="http://schemas.microsoft.com/office/word/2010/wordprocessingShape">
                    <wps:wsp>
                      <wps:cNvSpPr/>
                      <wps:spPr>
                        <a:xfrm>
                          <a:off x="0" y="0"/>
                          <a:ext cx="6067425" cy="860425"/>
                        </a:xfrm>
                        <a:prstGeom prst="rect">
                          <a:avLst/>
                        </a:prstGeom>
                        <a:solidFill>
                          <a:srgbClr val="FFFFFF"/>
                        </a:solidFill>
                        <a:ln>
                          <a:noFill/>
                        </a:ln>
                      </wps:spPr>
                      <wps:txbx>
                        <w:txbxContent>
                          <w:p w14:paraId="78C409E9">
                            <w:pPr>
                              <w:pStyle w:val="19"/>
                              <w:rPr>
                                <w:rFonts w:ascii="黑体"/>
                              </w:rPr>
                            </w:pPr>
                            <w:r>
                              <w:t>DB</w:t>
                            </w:r>
                            <w:r>
                              <w:rPr>
                                <w:rFonts w:ascii="黑体"/>
                              </w:rPr>
                              <w:t xml:space="preserve"> 3</w:t>
                            </w:r>
                            <w:r>
                              <w:rPr>
                                <w:rFonts w:hint="eastAsia" w:ascii="黑体"/>
                              </w:rPr>
                              <w:t>4</w:t>
                            </w:r>
                            <w:r>
                              <w:rPr>
                                <w:rFonts w:ascii="黑体"/>
                              </w:rPr>
                              <w:t>/XXXX—20XX</w:t>
                            </w:r>
                          </w:p>
                          <w:p w14:paraId="7F70D139">
                            <w:pPr>
                              <w:pStyle w:val="19"/>
                              <w:rPr>
                                <w:rFonts w:ascii="黑体"/>
                              </w:rPr>
                            </w:pPr>
                          </w:p>
                        </w:txbxContent>
                      </wps:txbx>
                      <wps:bodyPr lIns="0" tIns="0" rIns="0" bIns="0" upright="1"/>
                    </wps:wsp>
                  </a:graphicData>
                </a:graphic>
              </wp:anchor>
            </w:drawing>
          </mc:Choice>
          <mc:Fallback>
            <w:pict>
              <v:rect id="文本框 9" o:spid="_x0000_s1026" o:spt="1" style="position:absolute;left:0pt;margin-left:0pt;margin-top:121.75pt;height:67.75pt;width:477.75pt;mso-position-horizontal-relative:margin;mso-position-vertical-relative:margin;z-index:251661312;mso-width-relative:page;mso-height-relative:page;" fillcolor="#FFFFFF" filled="t" stroked="f" coordsize="21600,21600" o:gfxdata="UEsDBAoAAAAAAIdO4kAAAAAAAAAAAAAAAAAEAAAAZHJzL1BLAwQUAAAACACHTuJAhILNG9YAAAAI&#10;AQAADwAAAGRycy9kb3ducmV2LnhtbE2PS0/DMBCE70j8B2uRuFE7LYE2ZNMDD/VMAPXqJksc8COK&#10;nTbw61lOcJvVrGa+Kbezs+JIY+yDR8gWCgT5JrS97xBeX56u1iBi0r7VNnhC+KII2+r8rNRFG07+&#10;mY516gSH+FhoBJPSUEgZG0NOx0UYyLP3HkanE59jJ9tRnzjcWblU6kY63XtuMHqge0PNZz05hF32&#10;8Dh8yO9a72yi6c3Mjd3PiJcXmboDkWhOf8/wi8/oUDHTIUy+jcIi8JCEsLxe5SDY3uQ5iwPC6naj&#10;QFal/D+g+gFQSwMEFAAAAAgAh07iQEsjww3HAQAAkQMAAA4AAABkcnMvZTJvRG9jLnhtbK1TS27b&#10;MBDdF8gdCO5ryUbqJoLlLGo4KFC0AZIcgKIoiQB/GNKWfIH2Bl11033P5XN0SMlOm2yyiBbSG3L4&#10;Zt4banUzaEX2Ary0pqTzWU6JMNzW0rQlfXzYvr+ixAdmaqasESU9CE9v1hfvVr0rxMJ2VtUCCJIY&#10;X/SupF0IrsgyzzuhmZ9ZJwxuNhY0CxhCm9XAemTXKlvk+TLrLdQOLBfe4+pm3KQTI7yG0DaN5GJj&#10;+U4LE0ZWEIoFlOQ76Txdp26bRvDwrWm8CESVFJWG9MYiiKv4ztYrVrTAXCf51AJ7TQvPNGkmDRY9&#10;U21YYGQH8gWVlhyst02YcauzUUhyBFXM82fe3HfMiaQFrfbubLp/O1r+dX8HRNYlvaTEMI0DP/78&#10;cfz15/j7O7mO9vTOF5h17+5gijzCqHVoQMcvqiBDsvRwtlQMgXBcXObLj5eLD5Rw3Lta5hEjTfZ0&#10;2oEPt8JqEkFJAUeWnGT7Lz6MqaeUWMxbJeutVCoF0FafFJA9w/Fu0zOx/5emTEw2Nh4bGeNKFpWN&#10;WiIKQzVMAitbH9AV9dmg0/HWnACcQHUCOwey7bDveSociXBSSeB0q+JV+DdOhZ/+pP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hILNG9YAAAAIAQAADwAAAAAAAAABACAAAAAiAAAAZHJzL2Rvd25y&#10;ZXYueG1sUEsBAhQAFAAAAAgAh07iQEsjww3HAQAAkQMAAA4AAAAAAAAAAQAgAAAAJQEAAGRycy9l&#10;Mm9Eb2MueG1sUEsFBgAAAAAGAAYAWQEAAF4FAAAAAA==&#10;">
                <v:fill on="t" focussize="0,0"/>
                <v:stroke on="f"/>
                <v:imagedata o:title=""/>
                <o:lock v:ext="edit" aspectratio="f"/>
                <v:textbox inset="0mm,0mm,0mm,0mm">
                  <w:txbxContent>
                    <w:p w14:paraId="78C409E9">
                      <w:pPr>
                        <w:pStyle w:val="19"/>
                        <w:rPr>
                          <w:rFonts w:ascii="黑体"/>
                        </w:rPr>
                      </w:pPr>
                      <w:r>
                        <w:t>DB</w:t>
                      </w:r>
                      <w:r>
                        <w:rPr>
                          <w:rFonts w:ascii="黑体"/>
                        </w:rPr>
                        <w:t xml:space="preserve"> 3</w:t>
                      </w:r>
                      <w:r>
                        <w:rPr>
                          <w:rFonts w:hint="eastAsia" w:ascii="黑体"/>
                        </w:rPr>
                        <w:t>4</w:t>
                      </w:r>
                      <w:r>
                        <w:rPr>
                          <w:rFonts w:ascii="黑体"/>
                        </w:rPr>
                        <w:t>/XXXX—20XX</w:t>
                      </w:r>
                    </w:p>
                    <w:p w14:paraId="7F70D139">
                      <w:pPr>
                        <w:pStyle w:val="19"/>
                        <w:rPr>
                          <w:rFonts w:ascii="黑体"/>
                        </w:rPr>
                      </w:pPr>
                    </w:p>
                  </w:txbxContent>
                </v:textbox>
                <w10:anchorlock/>
              </v:rect>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2549525</wp:posOffset>
                </wp:positionH>
                <wp:positionV relativeFrom="margin">
                  <wp:posOffset>107315</wp:posOffset>
                </wp:positionV>
                <wp:extent cx="3175000" cy="720090"/>
                <wp:effectExtent l="0" t="0" r="0" b="3810"/>
                <wp:wrapNone/>
                <wp:docPr id="3" name="文本框 8"/>
                <wp:cNvGraphicFramePr/>
                <a:graphic xmlns:a="http://schemas.openxmlformats.org/drawingml/2006/main">
                  <a:graphicData uri="http://schemas.microsoft.com/office/word/2010/wordprocessingShape">
                    <wps:wsp>
                      <wps:cNvSpPr/>
                      <wps:spPr>
                        <a:xfrm>
                          <a:off x="0" y="0"/>
                          <a:ext cx="3175000" cy="720090"/>
                        </a:xfrm>
                        <a:prstGeom prst="rect">
                          <a:avLst/>
                        </a:prstGeom>
                        <a:solidFill>
                          <a:srgbClr val="FFFFFF"/>
                        </a:solidFill>
                        <a:ln>
                          <a:noFill/>
                        </a:ln>
                      </wps:spPr>
                      <wps:txbx>
                        <w:txbxContent>
                          <w:p w14:paraId="3322D007">
                            <w:pPr>
                              <w:pStyle w:val="17"/>
                              <w:wordWrap w:val="0"/>
                            </w:pPr>
                          </w:p>
                        </w:txbxContent>
                      </wps:txbx>
                      <wps:bodyPr lIns="0" tIns="0" rIns="0" bIns="0" upright="1"/>
                    </wps:wsp>
                  </a:graphicData>
                </a:graphic>
              </wp:anchor>
            </w:drawing>
          </mc:Choice>
          <mc:Fallback>
            <w:pict>
              <v:rect id="文本框 8" o:spid="_x0000_s1026" o:spt="1" style="position:absolute;left:0pt;margin-left:200.75pt;margin-top:8.45pt;height:56.7pt;width:250pt;mso-position-horizontal-relative:margin;mso-position-vertical-relative:margin;z-index:251660288;mso-width-relative:page;mso-height-relative:page;" fillcolor="#FFFFFF" filled="t" stroked="f" coordsize="21600,21600" o:gfxdata="UEsDBAoAAAAAAIdO4kAAAAAAAAAAAAAAAAAEAAAAZHJzL1BLAwQUAAAACACHTuJAXt/Zt9QAAAAK&#10;AQAADwAAAGRycy9kb3ducmV2LnhtbE2PS0/DMBCE70j8B2uRuFE7FCoa4vTAQz2Tgrhu4yUO+BHF&#10;Thv49Sxc4Lgzn2Znqs3snTjQmPoYNBQLBYJCG00fOg3Pu8eLGxApYzDoYiANn5RgU5+eVFiaeAxP&#10;dGhyJzgkpBI12JyHUsrUWvKYFnGgwN5bHD1mPsdOmhGPHO6dvFRqJT32gT9YHOjOUvvRTF7Dtrh/&#10;GN7lV4Nbl2l6sXPrXmetz88KdQsi05z/YPipz9Wh5k77OAWThNNwpYprRtlYrUEwsP4V9iws1RJk&#10;Xcn/E+pvUEsDBBQAAAAIAIdO4kB1uasEygEAAJEDAAAOAAAAZHJzL2Uyb0RvYy54bWytU0tu2zAQ&#10;3RfoHQjua8kJ2qSC5SxquChQtAGSHoCiSIkAfxjSlnyB9gZdddN9z+VzdEjJTptssogW1Axn+Gbe&#10;G3J1MxpN9gKCcramy0VJibDctcp2Nf12v31zTUmIzLZMOytqehCB3qxfv1oNvhIXrne6FUAQxIZq&#10;8DXtY/RVUQTeC8PCwnlhMSgdGBbRha5ogQ2IbnRxUZbvisFB68FxEQLubqYgnRHhOYBOSsXFxvGd&#10;ETZOqCA0i0gp9MoHus7dSil4/CplEJHomiLTmFcsgnaT1mK9YlUHzPeKzy2w57TwiJNhymLRM9SG&#10;RUZ2oJ5AGcXBBSfjgjtTTESyIshiWT7S5q5nXmQuKHXwZ9HDy8HyL/tbIKqt6SUllhkc+PHnj+Ov&#10;P8ff38l1kmfwocKsO38LsxfQTFxHCSb9kQUZs6SHs6RijITj5uXy6m1ZotocY1c4//dZ8+LhtIcQ&#10;PwpnSDJqCjiyrCTbfw4RK2LqKSUVC06rdqu0zg50zQcNZM9wvNv8pZbxyH9p2qZk69KxKZx2isRs&#10;4pKsODbjTLBx7QFV0Z8sKp1uzcmAk9GcjJ0H1fXY9zIXTkA4qdzCfKvSVfjXz4UfXtL6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F7f2bfUAAAACgEAAA8AAAAAAAAAAQAgAAAAIgAAAGRycy9kb3du&#10;cmV2LnhtbFBLAQIUABQAAAAIAIdO4kB1uasEygEAAJEDAAAOAAAAAAAAAAEAIAAAACMBAABkcnMv&#10;ZTJvRG9jLnhtbFBLBQYAAAAABgAGAFkBAABfBQAAAAA=&#10;">
                <v:fill on="t" focussize="0,0"/>
                <v:stroke on="f"/>
                <v:imagedata o:title=""/>
                <o:lock v:ext="edit" aspectratio="f"/>
                <v:textbox inset="0mm,0mm,0mm,0mm">
                  <w:txbxContent>
                    <w:p w14:paraId="3322D007">
                      <w:pPr>
                        <w:pStyle w:val="17"/>
                        <w:wordWrap w:val="0"/>
                      </w:pPr>
                    </w:p>
                  </w:txbxContent>
                </v:textbox>
                <w10:anchorlock/>
              </v:rect>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1216660</wp:posOffset>
                </wp:positionV>
                <wp:extent cx="6120130" cy="391160"/>
                <wp:effectExtent l="0" t="0" r="1270" b="2540"/>
                <wp:wrapNone/>
                <wp:docPr id="2" name="文本框 7"/>
                <wp:cNvGraphicFramePr/>
                <a:graphic xmlns:a="http://schemas.openxmlformats.org/drawingml/2006/main">
                  <a:graphicData uri="http://schemas.microsoft.com/office/word/2010/wordprocessingShape">
                    <wps:wsp>
                      <wps:cNvSpPr/>
                      <wps:spPr>
                        <a:xfrm>
                          <a:off x="0" y="0"/>
                          <a:ext cx="6120130" cy="391160"/>
                        </a:xfrm>
                        <a:prstGeom prst="rect">
                          <a:avLst/>
                        </a:prstGeom>
                        <a:solidFill>
                          <a:srgbClr val="FFFFFF"/>
                        </a:solidFill>
                        <a:ln>
                          <a:noFill/>
                        </a:ln>
                      </wps:spPr>
                      <wps:txbx>
                        <w:txbxContent>
                          <w:p w14:paraId="603BE96E">
                            <w:pPr>
                              <w:pStyle w:val="23"/>
                              <w:rPr>
                                <w:sz w:val="44"/>
                              </w:rPr>
                            </w:pPr>
                            <w:r>
                              <w:rPr>
                                <w:rFonts w:hint="eastAsia"/>
                                <w:sz w:val="44"/>
                              </w:rPr>
                              <w:t>安徽省地方标准</w:t>
                            </w:r>
                          </w:p>
                        </w:txbxContent>
                      </wps:txbx>
                      <wps:bodyPr lIns="0" tIns="0" rIns="0" bIns="0" upright="1"/>
                    </wps:wsp>
                  </a:graphicData>
                </a:graphic>
              </wp:anchor>
            </w:drawing>
          </mc:Choice>
          <mc:Fallback>
            <w:pict>
              <v:rect id="文本框 7" o:spid="_x0000_s1026" o:spt="1" style="position:absolute;left:0pt;margin-left:0pt;margin-top:95.8pt;height:30.8pt;width:481.9pt;mso-position-horizontal-relative:margin;mso-position-vertical-relative:margin;z-index:251659264;mso-width-relative:page;mso-height-relative:page;" fillcolor="#FFFFFF" filled="t" stroked="f" coordsize="21600,21600" o:gfxdata="UEsDBAoAAAAAAIdO4kAAAAAAAAAAAAAAAAAEAAAAZHJzL1BLAwQUAAAACACHTuJAXFM3EtUAAAAI&#10;AQAADwAAAGRycy9kb3ducmV2LnhtbE2Py07DMBBF90j8gzVI7KiTVEQ0xOmCh7omgNhO4yFO60cU&#10;O23g6xlWsJy5ozvn1NvFWXGiKQ7BK8hXGQjyXdCD7xW8vT7f3IGICb1GGzwp+KII2+byosZKh7N/&#10;oVObesElPlaowKQ0VlLGzpDDuAojec4+w+Qw8Tj1Uk945nJnZZFlpXQ4eP5gcKQHQ92xnZ2CXf74&#10;NB7kd4s7m2h+N0tnPxalrq/y7B5EoiX9HcMvPqNDw0z7MHsdhVXAIom3m7wEwfGmXLPJXkFxuy5A&#10;NrX8L9D8AFBLAwQUAAAACACHTuJAD4GvD8kBAACRAwAADgAAAGRycy9lMm9Eb2MueG1srVPNjtMw&#10;EL4j8Q6W7zRNVyoQNd0DVRESgpWWfQDHsRNL/tPYbdIXgDfgxIU7z9XnYOykXVgueyAHZ8Yz/ma+&#10;b+zN7Wg0OQoIytmaloslJcJy1yrb1fThy/7VG0pCZLZl2llR05MI9Hb78sVm8JVYud7pVgBBEBuq&#10;wde0j9FXRRF4LwwLC+eFxaB0YFhEF7qiBTYgutHFarlcF4OD1oPjIgTc3U1BOiPCcwCdlIqLneMH&#10;I2ycUEFoFpFS6JUPdJu7lVLw+FnKICLRNUWmMa9YBO0mrcV2w6oOmO8Vn1tgz2nhCSfDlMWiV6gd&#10;i4wcQP0DZRQHF5yMC+5MMRHJiiCLcvlEm/ueeZG5oNTBX0UP/w+WfzreAVFtTVeUWGZw4Ofv384/&#10;fp1/fiWvkzyDDxVm3fs7mL2AZuI6SjDpjyzImCU9XSUVYyQcN9cl8rpBtTnGbt6W5TprXjye9hDi&#10;e+EMSUZNAUeWlWTHjyFiRUy9pKRiwWnV7pXW2YGueaeBHBmOd5+/1DIe+StN25RsXTo2hdNOkZhN&#10;XJIVx2acCTauPaEq+oNFpdOtuRhwMZqLcfCguh77LnPhBISTyi3MtypdhT/9XPjxJW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FxTNxLVAAAACAEAAA8AAAAAAAAAAQAgAAAAIgAAAGRycy9kb3du&#10;cmV2LnhtbFBLAQIUABQAAAAIAIdO4kAPga8PyQEAAJEDAAAOAAAAAAAAAAEAIAAAACQBAABkcnMv&#10;ZTJvRG9jLnhtbFBLBQYAAAAABgAGAFkBAABfBQAAAAA=&#10;">
                <v:fill on="t" focussize="0,0"/>
                <v:stroke on="f"/>
                <v:imagedata o:title=""/>
                <o:lock v:ext="edit" aspectratio="f"/>
                <v:textbox inset="0mm,0mm,0mm,0mm">
                  <w:txbxContent>
                    <w:p w14:paraId="603BE96E">
                      <w:pPr>
                        <w:pStyle w:val="23"/>
                        <w:rPr>
                          <w:sz w:val="44"/>
                        </w:rPr>
                      </w:pPr>
                      <w:r>
                        <w:rPr>
                          <w:rFonts w:hint="eastAsia"/>
                          <w:sz w:val="44"/>
                        </w:rPr>
                        <w:t>安徽省地方标准</w:t>
                      </w:r>
                    </w:p>
                  </w:txbxContent>
                </v:textbox>
                <w10:anchorlock/>
              </v:rect>
            </w:pict>
          </mc:Fallback>
        </mc:AlternateContent>
      </w:r>
    </w:p>
    <w:bookmarkEnd w:id="0"/>
    <w:p w14:paraId="3EB8D69B">
      <w:pPr>
        <w:widowControl/>
        <w:jc w:val="center"/>
        <w:rPr>
          <w:rFonts w:ascii="黑体" w:hAnsi="黑体" w:eastAsia="黑体"/>
          <w:sz w:val="32"/>
        </w:rPr>
      </w:pPr>
      <w:r>
        <w:rPr>
          <w:rFonts w:hint="eastAsia" w:ascii="黑体" w:hAnsi="黑体" w:eastAsia="黑体"/>
          <w:sz w:val="32"/>
        </w:rPr>
        <w:t>目  次</w:t>
      </w:r>
    </w:p>
    <w:p w14:paraId="0778ACEA">
      <w:pPr>
        <w:pStyle w:val="9"/>
        <w:rPr>
          <w:b/>
          <w:bCs/>
          <w:lang w:val="zh-CN"/>
        </w:rPr>
      </w:pPr>
    </w:p>
    <w:p w14:paraId="4760CFC9">
      <w:pPr>
        <w:pStyle w:val="9"/>
        <w:rPr>
          <w:rFonts w:ascii="宋体" w:hAnsi="宋体" w:eastAsia="宋体" w:cs="黑体"/>
          <w:kern w:val="2"/>
          <w:sz w:val="20"/>
        </w:rPr>
      </w:pPr>
      <w:r>
        <w:rPr>
          <w:rStyle w:val="15"/>
          <w:rFonts w:ascii="宋体" w:hAnsi="宋体" w:eastAsia="宋体"/>
          <w:color w:val="auto"/>
          <w:sz w:val="21"/>
          <w:u w:val="none"/>
        </w:rPr>
        <w:fldChar w:fldCharType="begin"/>
      </w:r>
      <w:r>
        <w:rPr>
          <w:rStyle w:val="15"/>
          <w:rFonts w:ascii="宋体" w:hAnsi="宋体" w:eastAsia="宋体"/>
          <w:color w:val="auto"/>
          <w:sz w:val="21"/>
          <w:u w:val="none"/>
        </w:rPr>
        <w:instrText xml:space="preserve"> TOC \o "1-3" \h \z \u </w:instrText>
      </w:r>
      <w:r>
        <w:rPr>
          <w:rStyle w:val="15"/>
          <w:rFonts w:ascii="宋体" w:hAnsi="宋体" w:eastAsia="宋体"/>
          <w:color w:val="auto"/>
          <w:sz w:val="21"/>
          <w:u w:val="none"/>
        </w:rPr>
        <w:fldChar w:fldCharType="separate"/>
      </w:r>
      <w:r>
        <w:fldChar w:fldCharType="begin"/>
      </w:r>
      <w:r>
        <w:instrText xml:space="preserve"> HYPERLINK \l "_Toc467767372" </w:instrText>
      </w:r>
      <w:r>
        <w:fldChar w:fldCharType="separate"/>
      </w:r>
      <w:r>
        <w:rPr>
          <w:rStyle w:val="15"/>
          <w:rFonts w:hint="eastAsia" w:ascii="宋体" w:hAnsi="宋体" w:eastAsia="宋体"/>
          <w:sz w:val="21"/>
        </w:rPr>
        <w:t>前</w:t>
      </w:r>
      <w:r>
        <w:rPr>
          <w:rStyle w:val="15"/>
          <w:rFonts w:ascii="宋体" w:hAnsi="宋体" w:eastAsia="宋体"/>
          <w:sz w:val="21"/>
        </w:rPr>
        <w:t xml:space="preserve">  </w:t>
      </w:r>
      <w:r>
        <w:rPr>
          <w:rStyle w:val="15"/>
          <w:rFonts w:hint="eastAsia" w:ascii="宋体" w:hAnsi="宋体" w:eastAsia="宋体"/>
          <w:sz w:val="21"/>
        </w:rPr>
        <w:t>言</w:t>
      </w:r>
      <w:r>
        <w:rPr>
          <w:rFonts w:ascii="宋体" w:hAnsi="宋体" w:eastAsia="宋体"/>
          <w:sz w:val="21"/>
        </w:rPr>
        <w:tab/>
      </w:r>
      <w:r>
        <w:rPr>
          <w:rFonts w:ascii="宋体" w:hAnsi="宋体" w:eastAsia="宋体"/>
          <w:sz w:val="21"/>
        </w:rPr>
        <w:fldChar w:fldCharType="begin"/>
      </w:r>
      <w:r>
        <w:rPr>
          <w:rFonts w:ascii="宋体" w:hAnsi="宋体" w:eastAsia="宋体"/>
          <w:sz w:val="21"/>
        </w:rPr>
        <w:instrText xml:space="preserve"> PAGEREF _Toc467767372 \h </w:instrText>
      </w:r>
      <w:r>
        <w:rPr>
          <w:rFonts w:ascii="宋体" w:hAnsi="宋体" w:eastAsia="宋体"/>
          <w:sz w:val="21"/>
        </w:rPr>
        <w:fldChar w:fldCharType="separate"/>
      </w:r>
      <w:r>
        <w:rPr>
          <w:rFonts w:ascii="宋体" w:hAnsi="宋体" w:eastAsia="宋体"/>
          <w:sz w:val="21"/>
        </w:rPr>
        <w:t>II</w:t>
      </w:r>
      <w:r>
        <w:rPr>
          <w:rFonts w:ascii="宋体" w:hAnsi="宋体" w:eastAsia="宋体"/>
          <w:sz w:val="21"/>
        </w:rPr>
        <w:fldChar w:fldCharType="end"/>
      </w:r>
      <w:r>
        <w:rPr>
          <w:rFonts w:ascii="宋体" w:hAnsi="宋体" w:eastAsia="宋体"/>
          <w:sz w:val="21"/>
        </w:rPr>
        <w:fldChar w:fldCharType="end"/>
      </w:r>
    </w:p>
    <w:p w14:paraId="3DB8241B">
      <w:pPr>
        <w:pStyle w:val="9"/>
        <w:rPr>
          <w:rFonts w:ascii="宋体" w:hAnsi="宋体" w:eastAsia="宋体" w:cs="黑体"/>
          <w:kern w:val="2"/>
          <w:sz w:val="20"/>
        </w:rPr>
      </w:pPr>
      <w:r>
        <w:fldChar w:fldCharType="begin"/>
      </w:r>
      <w:r>
        <w:instrText xml:space="preserve"> HYPERLINK \l "_Toc467767373" </w:instrText>
      </w:r>
      <w:r>
        <w:fldChar w:fldCharType="separate"/>
      </w:r>
      <w:r>
        <w:rPr>
          <w:rStyle w:val="15"/>
          <w:rFonts w:ascii="宋体" w:hAnsi="宋体" w:eastAsia="宋体"/>
          <w:sz w:val="21"/>
        </w:rPr>
        <w:t xml:space="preserve">1  </w:t>
      </w:r>
      <w:r>
        <w:rPr>
          <w:rStyle w:val="15"/>
          <w:rFonts w:hint="eastAsia" w:ascii="宋体" w:hAnsi="宋体" w:eastAsia="宋体"/>
          <w:sz w:val="21"/>
        </w:rPr>
        <w:t>适用范围</w:t>
      </w:r>
      <w:r>
        <w:rPr>
          <w:rFonts w:ascii="宋体" w:hAnsi="宋体" w:eastAsia="宋体"/>
          <w:sz w:val="21"/>
        </w:rPr>
        <w:tab/>
      </w:r>
      <w:r>
        <w:rPr>
          <w:rFonts w:ascii="宋体" w:hAnsi="宋体" w:eastAsia="宋体"/>
          <w:sz w:val="21"/>
        </w:rPr>
        <w:fldChar w:fldCharType="begin"/>
      </w:r>
      <w:r>
        <w:rPr>
          <w:rFonts w:ascii="宋体" w:hAnsi="宋体" w:eastAsia="宋体"/>
          <w:sz w:val="21"/>
        </w:rPr>
        <w:instrText xml:space="preserve"> PAGEREF _Toc467767373 \h </w:instrText>
      </w:r>
      <w:r>
        <w:rPr>
          <w:rFonts w:ascii="宋体" w:hAnsi="宋体" w:eastAsia="宋体"/>
          <w:sz w:val="21"/>
        </w:rPr>
        <w:fldChar w:fldCharType="separate"/>
      </w:r>
      <w:r>
        <w:rPr>
          <w:rFonts w:ascii="宋体" w:hAnsi="宋体" w:eastAsia="宋体"/>
          <w:sz w:val="21"/>
        </w:rPr>
        <w:t>1</w:t>
      </w:r>
      <w:r>
        <w:rPr>
          <w:rFonts w:ascii="宋体" w:hAnsi="宋体" w:eastAsia="宋体"/>
          <w:sz w:val="21"/>
        </w:rPr>
        <w:fldChar w:fldCharType="end"/>
      </w:r>
      <w:r>
        <w:rPr>
          <w:rFonts w:ascii="宋体" w:hAnsi="宋体" w:eastAsia="宋体"/>
          <w:sz w:val="21"/>
        </w:rPr>
        <w:fldChar w:fldCharType="end"/>
      </w:r>
    </w:p>
    <w:p w14:paraId="025302A5">
      <w:pPr>
        <w:pStyle w:val="9"/>
        <w:rPr>
          <w:rFonts w:ascii="宋体" w:hAnsi="宋体" w:eastAsia="宋体" w:cs="黑体"/>
          <w:kern w:val="2"/>
          <w:sz w:val="20"/>
        </w:rPr>
      </w:pPr>
      <w:r>
        <w:fldChar w:fldCharType="begin"/>
      </w:r>
      <w:r>
        <w:instrText xml:space="preserve"> HYPERLINK \l "_Toc467767374" </w:instrText>
      </w:r>
      <w:r>
        <w:fldChar w:fldCharType="separate"/>
      </w:r>
      <w:r>
        <w:rPr>
          <w:rStyle w:val="15"/>
          <w:rFonts w:ascii="宋体" w:hAnsi="宋体" w:eastAsia="宋体"/>
          <w:sz w:val="21"/>
        </w:rPr>
        <w:t xml:space="preserve">2  </w:t>
      </w:r>
      <w:r>
        <w:rPr>
          <w:rStyle w:val="15"/>
          <w:rFonts w:hint="eastAsia" w:ascii="宋体" w:hAnsi="宋体" w:eastAsia="宋体"/>
          <w:sz w:val="21"/>
        </w:rPr>
        <w:t>规范性引用文件</w:t>
      </w:r>
      <w:r>
        <w:rPr>
          <w:rFonts w:ascii="宋体" w:hAnsi="宋体" w:eastAsia="宋体"/>
          <w:sz w:val="21"/>
        </w:rPr>
        <w:tab/>
      </w:r>
      <w:r>
        <w:rPr>
          <w:rFonts w:ascii="宋体" w:hAnsi="宋体" w:eastAsia="宋体"/>
          <w:sz w:val="21"/>
        </w:rPr>
        <w:fldChar w:fldCharType="begin"/>
      </w:r>
      <w:r>
        <w:rPr>
          <w:rFonts w:ascii="宋体" w:hAnsi="宋体" w:eastAsia="宋体"/>
          <w:sz w:val="21"/>
        </w:rPr>
        <w:instrText xml:space="preserve"> PAGEREF _Toc467767374 \h </w:instrText>
      </w:r>
      <w:r>
        <w:rPr>
          <w:rFonts w:ascii="宋体" w:hAnsi="宋体" w:eastAsia="宋体"/>
          <w:sz w:val="21"/>
        </w:rPr>
        <w:fldChar w:fldCharType="separate"/>
      </w:r>
      <w:r>
        <w:rPr>
          <w:rFonts w:ascii="宋体" w:hAnsi="宋体" w:eastAsia="宋体"/>
          <w:sz w:val="21"/>
        </w:rPr>
        <w:t>1</w:t>
      </w:r>
      <w:r>
        <w:rPr>
          <w:rFonts w:ascii="宋体" w:hAnsi="宋体" w:eastAsia="宋体"/>
          <w:sz w:val="21"/>
        </w:rPr>
        <w:fldChar w:fldCharType="end"/>
      </w:r>
      <w:r>
        <w:rPr>
          <w:rFonts w:ascii="宋体" w:hAnsi="宋体" w:eastAsia="宋体"/>
          <w:sz w:val="21"/>
        </w:rPr>
        <w:fldChar w:fldCharType="end"/>
      </w:r>
    </w:p>
    <w:p w14:paraId="1A8B9F9C">
      <w:pPr>
        <w:pStyle w:val="9"/>
        <w:rPr>
          <w:rFonts w:ascii="宋体" w:hAnsi="宋体" w:eastAsia="宋体" w:cs="黑体"/>
          <w:kern w:val="2"/>
          <w:sz w:val="20"/>
        </w:rPr>
      </w:pPr>
      <w:r>
        <w:fldChar w:fldCharType="begin"/>
      </w:r>
      <w:r>
        <w:instrText xml:space="preserve"> HYPERLINK \l "_Toc467767375" </w:instrText>
      </w:r>
      <w:r>
        <w:fldChar w:fldCharType="separate"/>
      </w:r>
      <w:r>
        <w:rPr>
          <w:rStyle w:val="15"/>
          <w:rFonts w:ascii="宋体" w:hAnsi="宋体" w:eastAsia="宋体"/>
          <w:sz w:val="21"/>
        </w:rPr>
        <w:t xml:space="preserve">3  </w:t>
      </w:r>
      <w:r>
        <w:rPr>
          <w:rStyle w:val="15"/>
          <w:rFonts w:hint="eastAsia" w:ascii="宋体" w:hAnsi="宋体" w:eastAsia="宋体"/>
          <w:sz w:val="21"/>
        </w:rPr>
        <w:t>术语和定义</w:t>
      </w:r>
      <w:r>
        <w:rPr>
          <w:rFonts w:ascii="宋体" w:hAnsi="宋体" w:eastAsia="宋体"/>
          <w:sz w:val="21"/>
        </w:rPr>
        <w:tab/>
      </w:r>
      <w:r>
        <w:rPr>
          <w:rFonts w:ascii="宋体" w:hAnsi="宋体" w:eastAsia="宋体"/>
          <w:sz w:val="21"/>
        </w:rPr>
        <w:fldChar w:fldCharType="begin"/>
      </w:r>
      <w:r>
        <w:rPr>
          <w:rFonts w:ascii="宋体" w:hAnsi="宋体" w:eastAsia="宋体"/>
          <w:sz w:val="21"/>
        </w:rPr>
        <w:instrText xml:space="preserve"> PAGEREF _Toc467767375 \h </w:instrText>
      </w:r>
      <w:r>
        <w:rPr>
          <w:rFonts w:ascii="宋体" w:hAnsi="宋体" w:eastAsia="宋体"/>
          <w:sz w:val="21"/>
        </w:rPr>
        <w:fldChar w:fldCharType="separate"/>
      </w:r>
      <w:r>
        <w:rPr>
          <w:rFonts w:ascii="宋体" w:hAnsi="宋体" w:eastAsia="宋体"/>
          <w:sz w:val="21"/>
        </w:rPr>
        <w:t>1</w:t>
      </w:r>
      <w:r>
        <w:rPr>
          <w:rFonts w:ascii="宋体" w:hAnsi="宋体" w:eastAsia="宋体"/>
          <w:sz w:val="21"/>
        </w:rPr>
        <w:fldChar w:fldCharType="end"/>
      </w:r>
      <w:r>
        <w:rPr>
          <w:rFonts w:ascii="宋体" w:hAnsi="宋体" w:eastAsia="宋体"/>
          <w:sz w:val="21"/>
        </w:rPr>
        <w:fldChar w:fldCharType="end"/>
      </w:r>
    </w:p>
    <w:p w14:paraId="647DB2FB">
      <w:pPr>
        <w:pStyle w:val="9"/>
        <w:rPr>
          <w:rFonts w:ascii="宋体" w:hAnsi="宋体" w:eastAsia="宋体" w:cs="黑体"/>
          <w:kern w:val="2"/>
          <w:sz w:val="20"/>
        </w:rPr>
      </w:pPr>
      <w:r>
        <w:fldChar w:fldCharType="begin"/>
      </w:r>
      <w:r>
        <w:instrText xml:space="preserve"> HYPERLINK \l "_Toc467767382" </w:instrText>
      </w:r>
      <w:r>
        <w:fldChar w:fldCharType="separate"/>
      </w:r>
      <w:r>
        <w:rPr>
          <w:rStyle w:val="15"/>
          <w:rFonts w:ascii="宋体" w:hAnsi="宋体" w:eastAsia="宋体"/>
          <w:sz w:val="21"/>
        </w:rPr>
        <w:t xml:space="preserve">4  </w:t>
      </w:r>
      <w:r>
        <w:rPr>
          <w:rStyle w:val="15"/>
          <w:rFonts w:hint="eastAsia" w:ascii="宋体" w:hAnsi="宋体" w:eastAsia="宋体"/>
          <w:sz w:val="21"/>
        </w:rPr>
        <w:t>排放控制要求</w:t>
      </w:r>
      <w:r>
        <w:rPr>
          <w:rFonts w:ascii="宋体" w:hAnsi="宋体" w:eastAsia="宋体"/>
          <w:sz w:val="21"/>
        </w:rPr>
        <w:tab/>
      </w:r>
      <w:r>
        <w:rPr>
          <w:rFonts w:ascii="宋体" w:hAnsi="宋体" w:eastAsia="宋体"/>
          <w:sz w:val="21"/>
        </w:rPr>
        <w:fldChar w:fldCharType="begin"/>
      </w:r>
      <w:r>
        <w:rPr>
          <w:rFonts w:ascii="宋体" w:hAnsi="宋体" w:eastAsia="宋体"/>
          <w:sz w:val="21"/>
        </w:rPr>
        <w:instrText xml:space="preserve"> PAGEREF _Toc467767382 \h </w:instrText>
      </w:r>
      <w:r>
        <w:rPr>
          <w:rFonts w:ascii="宋体" w:hAnsi="宋体" w:eastAsia="宋体"/>
          <w:sz w:val="21"/>
        </w:rPr>
        <w:fldChar w:fldCharType="separate"/>
      </w:r>
      <w:r>
        <w:rPr>
          <w:rFonts w:ascii="宋体" w:hAnsi="宋体" w:eastAsia="宋体"/>
          <w:sz w:val="21"/>
        </w:rPr>
        <w:t>2</w:t>
      </w:r>
      <w:r>
        <w:rPr>
          <w:rFonts w:ascii="宋体" w:hAnsi="宋体" w:eastAsia="宋体"/>
          <w:sz w:val="21"/>
        </w:rPr>
        <w:fldChar w:fldCharType="end"/>
      </w:r>
      <w:r>
        <w:rPr>
          <w:rFonts w:ascii="宋体" w:hAnsi="宋体" w:eastAsia="宋体"/>
          <w:sz w:val="21"/>
        </w:rPr>
        <w:fldChar w:fldCharType="end"/>
      </w:r>
    </w:p>
    <w:p w14:paraId="17FB7E91">
      <w:pPr>
        <w:pStyle w:val="9"/>
        <w:rPr>
          <w:rFonts w:ascii="宋体" w:hAnsi="宋体" w:eastAsia="宋体" w:cs="黑体"/>
          <w:kern w:val="2"/>
          <w:sz w:val="20"/>
        </w:rPr>
      </w:pPr>
      <w:r>
        <w:fldChar w:fldCharType="begin"/>
      </w:r>
      <w:r>
        <w:instrText xml:space="preserve"> HYPERLINK \l "_Toc467767383" </w:instrText>
      </w:r>
      <w:r>
        <w:fldChar w:fldCharType="separate"/>
      </w:r>
      <w:r>
        <w:rPr>
          <w:rStyle w:val="15"/>
          <w:rFonts w:ascii="宋体" w:hAnsi="宋体" w:eastAsia="宋体"/>
          <w:sz w:val="21"/>
        </w:rPr>
        <w:t xml:space="preserve">5  </w:t>
      </w:r>
      <w:r>
        <w:rPr>
          <w:rStyle w:val="15"/>
          <w:rFonts w:hint="eastAsia" w:ascii="宋体" w:hAnsi="宋体" w:eastAsia="宋体"/>
          <w:sz w:val="21"/>
        </w:rPr>
        <w:t>监测要求</w:t>
      </w:r>
      <w:r>
        <w:rPr>
          <w:rFonts w:ascii="宋体" w:hAnsi="宋体" w:eastAsia="宋体"/>
          <w:sz w:val="21"/>
        </w:rPr>
        <w:tab/>
      </w:r>
      <w:r>
        <w:rPr>
          <w:rFonts w:ascii="宋体" w:hAnsi="宋体" w:eastAsia="宋体"/>
          <w:sz w:val="21"/>
        </w:rPr>
        <w:fldChar w:fldCharType="begin"/>
      </w:r>
      <w:r>
        <w:rPr>
          <w:rFonts w:ascii="宋体" w:hAnsi="宋体" w:eastAsia="宋体"/>
          <w:sz w:val="21"/>
        </w:rPr>
        <w:instrText xml:space="preserve"> PAGEREF _Toc467767383 \h </w:instrText>
      </w:r>
      <w:r>
        <w:rPr>
          <w:rFonts w:ascii="宋体" w:hAnsi="宋体" w:eastAsia="宋体"/>
          <w:sz w:val="21"/>
        </w:rPr>
        <w:fldChar w:fldCharType="separate"/>
      </w:r>
      <w:r>
        <w:rPr>
          <w:rFonts w:ascii="宋体" w:hAnsi="宋体" w:eastAsia="宋体"/>
          <w:sz w:val="21"/>
        </w:rPr>
        <w:t>4</w:t>
      </w:r>
      <w:r>
        <w:rPr>
          <w:rFonts w:ascii="宋体" w:hAnsi="宋体" w:eastAsia="宋体"/>
          <w:sz w:val="21"/>
        </w:rPr>
        <w:fldChar w:fldCharType="end"/>
      </w:r>
      <w:r>
        <w:rPr>
          <w:rFonts w:ascii="宋体" w:hAnsi="宋体" w:eastAsia="宋体"/>
          <w:sz w:val="21"/>
        </w:rPr>
        <w:fldChar w:fldCharType="end"/>
      </w:r>
    </w:p>
    <w:p w14:paraId="704A60B6">
      <w:pPr>
        <w:pStyle w:val="9"/>
        <w:rPr>
          <w:rFonts w:ascii="宋体" w:hAnsi="宋体" w:eastAsia="宋体" w:cs="黑体"/>
          <w:kern w:val="2"/>
          <w:sz w:val="20"/>
        </w:rPr>
      </w:pPr>
      <w:r>
        <w:fldChar w:fldCharType="begin"/>
      </w:r>
      <w:r>
        <w:instrText xml:space="preserve"> HYPERLINK \l "_Toc467767384" </w:instrText>
      </w:r>
      <w:r>
        <w:fldChar w:fldCharType="separate"/>
      </w:r>
      <w:r>
        <w:rPr>
          <w:rStyle w:val="15"/>
          <w:rFonts w:ascii="宋体" w:hAnsi="宋体" w:eastAsia="宋体"/>
          <w:sz w:val="21"/>
        </w:rPr>
        <w:t xml:space="preserve">6  </w:t>
      </w:r>
      <w:r>
        <w:rPr>
          <w:rStyle w:val="15"/>
          <w:rFonts w:hint="eastAsia" w:ascii="宋体" w:hAnsi="宋体" w:eastAsia="宋体"/>
          <w:sz w:val="21"/>
        </w:rPr>
        <w:t>实施与监督</w:t>
      </w:r>
      <w:r>
        <w:rPr>
          <w:rFonts w:ascii="宋体" w:hAnsi="宋体" w:eastAsia="宋体"/>
          <w:sz w:val="21"/>
        </w:rPr>
        <w:tab/>
      </w:r>
      <w:r>
        <w:rPr>
          <w:rFonts w:ascii="宋体" w:hAnsi="宋体" w:eastAsia="宋体"/>
          <w:sz w:val="21"/>
        </w:rPr>
        <w:fldChar w:fldCharType="begin"/>
      </w:r>
      <w:r>
        <w:rPr>
          <w:rFonts w:ascii="宋体" w:hAnsi="宋体" w:eastAsia="宋体"/>
          <w:sz w:val="21"/>
        </w:rPr>
        <w:instrText xml:space="preserve"> PAGEREF _Toc467767384 \h </w:instrText>
      </w:r>
      <w:r>
        <w:rPr>
          <w:rFonts w:ascii="宋体" w:hAnsi="宋体" w:eastAsia="宋体"/>
          <w:sz w:val="21"/>
        </w:rPr>
        <w:fldChar w:fldCharType="separate"/>
      </w:r>
      <w:r>
        <w:rPr>
          <w:rFonts w:ascii="宋体" w:hAnsi="宋体" w:eastAsia="宋体"/>
          <w:sz w:val="21"/>
        </w:rPr>
        <w:t>4</w:t>
      </w:r>
      <w:r>
        <w:rPr>
          <w:rFonts w:ascii="宋体" w:hAnsi="宋体" w:eastAsia="宋体"/>
          <w:sz w:val="21"/>
        </w:rPr>
        <w:fldChar w:fldCharType="end"/>
      </w:r>
      <w:r>
        <w:rPr>
          <w:rFonts w:ascii="宋体" w:hAnsi="宋体" w:eastAsia="宋体"/>
          <w:sz w:val="21"/>
        </w:rPr>
        <w:fldChar w:fldCharType="end"/>
      </w:r>
    </w:p>
    <w:p w14:paraId="006FB201">
      <w:pPr>
        <w:pStyle w:val="9"/>
        <w:rPr>
          <w:rStyle w:val="15"/>
          <w:rFonts w:ascii="宋体" w:hAnsi="宋体" w:eastAsia="宋体"/>
          <w:color w:val="auto"/>
          <w:sz w:val="21"/>
          <w:u w:val="none"/>
        </w:rPr>
      </w:pPr>
      <w:r>
        <w:rPr>
          <w:rStyle w:val="15"/>
          <w:rFonts w:ascii="宋体" w:hAnsi="宋体" w:eastAsia="宋体"/>
          <w:color w:val="auto"/>
          <w:sz w:val="21"/>
          <w:u w:val="none"/>
        </w:rPr>
        <w:fldChar w:fldCharType="end"/>
      </w:r>
    </w:p>
    <w:p w14:paraId="729A9F53">
      <w:pPr>
        <w:widowControl/>
        <w:rPr>
          <w:rFonts w:ascii="方正黑体_GBK" w:eastAsia="方正黑体_GBK"/>
          <w:sz w:val="32"/>
        </w:rPr>
      </w:pPr>
      <w:r>
        <w:rPr>
          <w:rFonts w:ascii="方正黑体_GBK" w:eastAsia="方正黑体_GBK"/>
          <w:sz w:val="32"/>
        </w:rPr>
        <w:br w:type="page"/>
      </w:r>
    </w:p>
    <w:p w14:paraId="299C087F">
      <w:pPr>
        <w:jc w:val="center"/>
        <w:outlineLvl w:val="0"/>
        <w:rPr>
          <w:rFonts w:ascii="黑体" w:hAnsi="黑体" w:eastAsia="黑体"/>
          <w:sz w:val="32"/>
        </w:rPr>
      </w:pPr>
      <w:bookmarkStart w:id="1" w:name="_Toc467767372"/>
      <w:bookmarkStart w:id="2" w:name="_Toc467693211"/>
      <w:r>
        <w:rPr>
          <w:rFonts w:hint="eastAsia" w:ascii="黑体" w:hAnsi="黑体" w:eastAsia="黑体"/>
          <w:sz w:val="32"/>
        </w:rPr>
        <w:t>前  言</w:t>
      </w:r>
      <w:bookmarkEnd w:id="1"/>
      <w:bookmarkEnd w:id="2"/>
    </w:p>
    <w:p w14:paraId="610E8050">
      <w:pPr>
        <w:rPr>
          <w:rFonts w:ascii="Times New Roman" w:hAnsi="Times New Roman" w:eastAsia="方正黑体_GBK" w:cs="Times New Roman"/>
          <w:sz w:val="32"/>
        </w:rPr>
      </w:pPr>
    </w:p>
    <w:p w14:paraId="02839EDA">
      <w:pPr>
        <w:ind w:firstLine="420" w:firstLineChars="200"/>
        <w:rPr>
          <w:rFonts w:ascii="Times New Roman" w:hAnsi="Times New Roman"/>
        </w:rPr>
      </w:pPr>
      <w:r>
        <w:rPr>
          <w:rFonts w:hint="eastAsia" w:ascii="Times New Roman" w:hAnsi="Times New Roman"/>
        </w:rPr>
        <w:t>本文件按照GB/T 1.1-2020《标准化工作导则 第1部分：标准化文件的结构和起草规则》的规定起草。</w:t>
      </w:r>
    </w:p>
    <w:p w14:paraId="3D56C14C">
      <w:pPr>
        <w:ind w:firstLine="420" w:firstLineChars="200"/>
        <w:rPr>
          <w:rFonts w:ascii="Times New Roman" w:hAnsi="Times New Roman"/>
        </w:rPr>
      </w:pPr>
      <w:r>
        <w:rPr>
          <w:rFonts w:hint="eastAsia" w:ascii="Times New Roman" w:hAnsi="Times New Roman"/>
        </w:rPr>
        <w:t>请注意本文件的某些内容可能涉及专利。本文件的发布机构不承担识别专利的责任。</w:t>
      </w:r>
    </w:p>
    <w:p w14:paraId="2FD6A2F6">
      <w:pPr>
        <w:ind w:firstLine="420" w:firstLineChars="200"/>
        <w:rPr>
          <w:rFonts w:ascii="Times New Roman" w:hAnsi="Times New Roman"/>
        </w:rPr>
      </w:pPr>
      <w:r>
        <w:rPr>
          <w:rFonts w:hint="eastAsia" w:ascii="Times New Roman" w:hAnsi="Times New Roman"/>
        </w:rPr>
        <w:t>本文件由安徽省生态环境厅提出并归口。</w:t>
      </w:r>
    </w:p>
    <w:p w14:paraId="70139AC7">
      <w:pPr>
        <w:ind w:firstLine="420" w:firstLineChars="200"/>
        <w:rPr>
          <w:rFonts w:ascii="Times New Roman" w:hAnsi="Times New Roman"/>
        </w:rPr>
      </w:pPr>
      <w:r>
        <w:rPr>
          <w:rFonts w:hint="eastAsia" w:ascii="Times New Roman" w:hAnsi="Times New Roman"/>
        </w:rPr>
        <w:t>本文件起草单位：安徽省生态环境监测中心、</w:t>
      </w:r>
      <w:r>
        <w:rPr>
          <w:rFonts w:hint="eastAsia" w:ascii="宋体" w:hAnsi="宋体"/>
          <w:color w:val="000000"/>
          <w:szCs w:val="21"/>
        </w:rPr>
        <w:t>安徽省生态环境科学研究院、中国科学院合肥物质科学研究院、</w:t>
      </w:r>
      <w:r>
        <w:rPr>
          <w:rFonts w:hint="eastAsia" w:ascii="Times New Roman" w:hAnsi="Times New Roman"/>
        </w:rPr>
        <w:t>安徽省合肥生态环境监测中心、安徽省铜陵生态环境监测中心。</w:t>
      </w:r>
    </w:p>
    <w:p w14:paraId="50A3BD43">
      <w:pPr>
        <w:ind w:firstLine="420" w:firstLineChars="200"/>
        <w:rPr>
          <w:rFonts w:ascii="Times New Roman" w:hAnsi="Times New Roman"/>
        </w:rPr>
      </w:pPr>
      <w:r>
        <w:rPr>
          <w:rFonts w:hint="eastAsia" w:ascii="Times New Roman" w:hAnsi="Times New Roman"/>
        </w:rPr>
        <w:t>本文件主要起草人：</w:t>
      </w:r>
    </w:p>
    <w:p w14:paraId="47B3A5C6">
      <w:pPr>
        <w:ind w:firstLine="420" w:firstLineChars="200"/>
        <w:rPr>
          <w:rFonts w:ascii="Times New Roman" w:hAnsi="Times New Roman"/>
        </w:rPr>
        <w:sectPr>
          <w:footerReference r:id="rId7" w:type="default"/>
          <w:footerReference r:id="rId8" w:type="even"/>
          <w:pgSz w:w="11906" w:h="16838"/>
          <w:pgMar w:top="1418" w:right="1134" w:bottom="1134" w:left="1418" w:header="1417" w:footer="1247" w:gutter="0"/>
          <w:pgNumType w:fmt="upperRoman" w:start="1"/>
          <w:cols w:space="720" w:num="1"/>
          <w:docGrid w:type="lines" w:linePitch="312" w:charSpace="0"/>
        </w:sectPr>
      </w:pPr>
      <w:r>
        <w:rPr>
          <w:rFonts w:hint="eastAsia" w:ascii="Times New Roman" w:hAnsi="Times New Roman"/>
        </w:rPr>
        <w:t>本文件由安徽省人民政府于20</w:t>
      </w:r>
      <w:r>
        <w:rPr>
          <w:rFonts w:hint="eastAsia" w:ascii="黑体" w:hAnsi="黑体" w:eastAsia="黑体"/>
          <w:szCs w:val="21"/>
        </w:rPr>
        <w:t>XX</w:t>
      </w:r>
      <w:r>
        <w:rPr>
          <w:rFonts w:hint="eastAsia" w:ascii="Times New Roman" w:hAnsi="Times New Roman"/>
        </w:rPr>
        <w:t>年</w:t>
      </w:r>
      <w:r>
        <w:rPr>
          <w:rFonts w:hint="eastAsia" w:ascii="黑体" w:hAnsi="黑体" w:eastAsia="黑体"/>
          <w:szCs w:val="21"/>
        </w:rPr>
        <w:t>XX</w:t>
      </w:r>
      <w:r>
        <w:rPr>
          <w:rFonts w:hint="eastAsia" w:ascii="Times New Roman" w:hAnsi="Times New Roman"/>
        </w:rPr>
        <w:t>月</w:t>
      </w:r>
      <w:r>
        <w:rPr>
          <w:rFonts w:hint="eastAsia" w:ascii="黑体" w:hAnsi="黑体" w:eastAsia="黑体"/>
          <w:szCs w:val="21"/>
        </w:rPr>
        <w:t>XX</w:t>
      </w:r>
      <w:r>
        <w:rPr>
          <w:rFonts w:hint="eastAsia" w:ascii="Times New Roman" w:hAnsi="Times New Roman"/>
        </w:rPr>
        <w:t>日批准。</w:t>
      </w:r>
    </w:p>
    <w:p w14:paraId="08E9F06D">
      <w:pPr>
        <w:jc w:val="center"/>
        <w:rPr>
          <w:rFonts w:ascii="黑体" w:hAnsi="黑体" w:eastAsia="黑体"/>
          <w:sz w:val="32"/>
        </w:rPr>
      </w:pPr>
      <w:r>
        <w:rPr>
          <w:rFonts w:hint="eastAsia" w:ascii="黑体" w:hAnsi="黑体" w:eastAsia="黑体"/>
          <w:sz w:val="32"/>
        </w:rPr>
        <w:t>工业废水铊污染物排放标准</w:t>
      </w:r>
    </w:p>
    <w:p w14:paraId="6073F1D9">
      <w:pPr>
        <w:pStyle w:val="2"/>
        <w:spacing w:before="360" w:beforeLines="150" w:after="360" w:afterLines="150"/>
      </w:pPr>
      <w:bookmarkStart w:id="3" w:name="_Toc467767373"/>
      <w:r>
        <w:rPr>
          <w:rFonts w:hint="eastAsia"/>
        </w:rPr>
        <w:t>1</w:t>
      </w:r>
      <w:r>
        <w:t xml:space="preserve"> </w:t>
      </w:r>
      <w:r>
        <w:rPr>
          <w:rFonts w:hint="eastAsia"/>
        </w:rPr>
        <w:t xml:space="preserve"> 适用范围</w:t>
      </w:r>
      <w:bookmarkEnd w:id="3"/>
    </w:p>
    <w:p w14:paraId="58F79E3D">
      <w:pPr>
        <w:snapToGrid w:val="0"/>
        <w:spacing w:line="300" w:lineRule="auto"/>
        <w:ind w:firstLine="420" w:firstLineChars="200"/>
        <w:rPr>
          <w:rFonts w:ascii="宋体" w:hAnsi="宋体" w:cs="方正仿宋_GBK"/>
        </w:rPr>
      </w:pPr>
      <w:r>
        <w:rPr>
          <w:rFonts w:hint="eastAsia" w:ascii="宋体" w:hAnsi="宋体" w:cs="方正仿宋_GBK"/>
        </w:rPr>
        <w:t>本文件规定了工业废水铊污染物排放控制要求、监测要求、实施与监督。</w:t>
      </w:r>
    </w:p>
    <w:p w14:paraId="5F864AE5">
      <w:pPr>
        <w:snapToGrid w:val="0"/>
        <w:spacing w:line="300" w:lineRule="auto"/>
        <w:ind w:firstLine="420" w:firstLineChars="200"/>
        <w:rPr>
          <w:rFonts w:ascii="宋体" w:hAnsi="宋体" w:cs="方正仿宋_GBK"/>
        </w:rPr>
      </w:pPr>
      <w:r>
        <w:rPr>
          <w:rFonts w:hint="eastAsia" w:ascii="宋体" w:hAnsi="宋体" w:cs="方正仿宋_GBK"/>
        </w:rPr>
        <w:t>本文件适用于现有工业废水铊污染物的排放管理，以及新建、改建、扩建项目的环境影响评价、环境保护设施设计、竣工环境保护验收、排污许可证核发及其投产后水污染物排放管理。重点涉及铅锌工业、钢铁工业、硫酸工业、磷肥工业、再生铅锌工业、无机化学工业以及锡、锑、汞工业等，其他工业行业参照本文件执行。</w:t>
      </w:r>
    </w:p>
    <w:p w14:paraId="2407C4E9">
      <w:pPr>
        <w:snapToGrid w:val="0"/>
        <w:spacing w:line="300" w:lineRule="auto"/>
        <w:ind w:firstLine="420" w:firstLineChars="200"/>
        <w:rPr>
          <w:rFonts w:ascii="宋体" w:hAnsi="宋体" w:cs="方正仿宋_GBK"/>
        </w:rPr>
      </w:pPr>
      <w:r>
        <w:rPr>
          <w:rFonts w:hint="eastAsia" w:ascii="宋体" w:hAnsi="宋体" w:cs="方正仿宋_GBK"/>
        </w:rPr>
        <w:t>涉铊工业企业的产业园区污水集中处理设施的水污染物排放管理适用于本文件。</w:t>
      </w:r>
    </w:p>
    <w:p w14:paraId="7EFE0834">
      <w:pPr>
        <w:snapToGrid w:val="0"/>
        <w:spacing w:line="300" w:lineRule="auto"/>
        <w:ind w:firstLine="420" w:firstLineChars="200"/>
        <w:rPr>
          <w:rFonts w:ascii="宋体" w:hAnsi="宋体" w:cs="方正仿宋_GBK"/>
        </w:rPr>
      </w:pPr>
      <w:r>
        <w:rPr>
          <w:rFonts w:hint="eastAsia" w:ascii="宋体" w:hAnsi="宋体" w:cs="方正仿宋_GBK"/>
        </w:rPr>
        <w:t>本文件规定的水污染物排放控制要求适用于涉铊工业企业、生产设施和涉铊工业企业产业园公共污水处理系统直接或间接排放水污染物的行为。</w:t>
      </w:r>
    </w:p>
    <w:p w14:paraId="094C9C50">
      <w:pPr>
        <w:pStyle w:val="2"/>
        <w:spacing w:before="360" w:beforeLines="150" w:after="360" w:afterLines="150"/>
      </w:pPr>
      <w:bookmarkStart w:id="4" w:name="_Toc467767374"/>
      <w:r>
        <w:rPr>
          <w:rFonts w:hint="eastAsia"/>
        </w:rPr>
        <w:t>2  规范性</w:t>
      </w:r>
      <w:r>
        <w:t>引用文件</w:t>
      </w:r>
      <w:bookmarkEnd w:id="4"/>
    </w:p>
    <w:p w14:paraId="4FAE88BD">
      <w:pPr>
        <w:snapToGrid w:val="0"/>
        <w:spacing w:line="300" w:lineRule="auto"/>
        <w:ind w:firstLine="420" w:firstLineChars="200"/>
        <w:rPr>
          <w:rFonts w:ascii="Times New Roman" w:hAnsi="Times New Roman" w:cs="Times New Roman"/>
        </w:rPr>
      </w:pPr>
      <w:r>
        <w:rPr>
          <w:rFonts w:ascii="Times New Roman" w:hAnsi="Times New Roman" w:cs="Times New Roman"/>
        </w:rPr>
        <w:t>本</w:t>
      </w:r>
      <w:r>
        <w:rPr>
          <w:rFonts w:hint="eastAsia" w:ascii="Times New Roman" w:hAnsi="Times New Roman" w:cs="Times New Roman"/>
        </w:rPr>
        <w:t>文件</w:t>
      </w:r>
      <w:r>
        <w:rPr>
          <w:rFonts w:ascii="Times New Roman" w:hAnsi="Times New Roman" w:cs="Times New Roman"/>
        </w:rPr>
        <w:t>引用了下列文件</w:t>
      </w:r>
      <w:r>
        <w:rPr>
          <w:rFonts w:hint="eastAsia" w:ascii="Times New Roman" w:hAnsi="Times New Roman" w:cs="Times New Roman"/>
        </w:rPr>
        <w:t>或</w:t>
      </w:r>
      <w:r>
        <w:rPr>
          <w:rFonts w:ascii="Times New Roman" w:hAnsi="Times New Roman" w:cs="Times New Roman"/>
        </w:rPr>
        <w:t>其中的条款。凡是不注明日期的引用文件，其</w:t>
      </w:r>
      <w:r>
        <w:rPr>
          <w:rFonts w:hint="eastAsia" w:ascii="Times New Roman" w:hAnsi="Times New Roman" w:cs="Times New Roman"/>
        </w:rPr>
        <w:t>有效</w:t>
      </w:r>
      <w:r>
        <w:rPr>
          <w:rFonts w:ascii="Times New Roman" w:hAnsi="Times New Roman" w:cs="Times New Roman"/>
        </w:rPr>
        <w:t>版本适用于本</w:t>
      </w:r>
      <w:r>
        <w:rPr>
          <w:rFonts w:hint="eastAsia" w:ascii="Times New Roman" w:hAnsi="Times New Roman" w:cs="Times New Roman"/>
        </w:rPr>
        <w:t>文件</w:t>
      </w:r>
      <w:r>
        <w:rPr>
          <w:rFonts w:ascii="Times New Roman" w:hAnsi="Times New Roman" w:cs="Times New Roman"/>
        </w:rPr>
        <w:t>。</w:t>
      </w:r>
    </w:p>
    <w:p w14:paraId="3E098B2F">
      <w:pPr>
        <w:snapToGrid w:val="0"/>
        <w:spacing w:line="300" w:lineRule="auto"/>
        <w:ind w:firstLine="420" w:firstLineChars="200"/>
        <w:rPr>
          <w:rFonts w:ascii="宋体" w:hAnsi="宋体" w:cs="方正仿宋_GBK"/>
        </w:rPr>
      </w:pPr>
      <w:r>
        <w:rPr>
          <w:rFonts w:ascii="宋体" w:hAnsi="宋体" w:cs="方正仿宋_GBK"/>
        </w:rPr>
        <w:t>HJ 91</w:t>
      </w:r>
      <w:r>
        <w:rPr>
          <w:rFonts w:hint="eastAsia" w:ascii="宋体" w:hAnsi="宋体" w:cs="方正仿宋_GBK"/>
        </w:rPr>
        <w:t>.1</w:t>
      </w:r>
      <w:r>
        <w:rPr>
          <w:rFonts w:ascii="宋体" w:hAnsi="宋体" w:cs="方正仿宋_GBK"/>
        </w:rPr>
        <w:t xml:space="preserve"> </w:t>
      </w:r>
      <w:r>
        <w:rPr>
          <w:rFonts w:hint="eastAsia" w:ascii="宋体" w:hAnsi="宋体" w:cs="方正仿宋_GBK"/>
        </w:rPr>
        <w:t xml:space="preserve"> </w:t>
      </w:r>
      <w:r>
        <w:rPr>
          <w:rFonts w:ascii="宋体" w:hAnsi="宋体" w:cs="方正仿宋_GBK"/>
        </w:rPr>
        <w:t>污水监测技术规范</w:t>
      </w:r>
    </w:p>
    <w:p w14:paraId="162311FB">
      <w:pPr>
        <w:snapToGrid w:val="0"/>
        <w:spacing w:line="300" w:lineRule="auto"/>
        <w:ind w:firstLine="420" w:firstLineChars="200"/>
        <w:rPr>
          <w:rFonts w:ascii="宋体" w:hAnsi="宋体" w:cs="方正仿宋_GBK"/>
        </w:rPr>
      </w:pPr>
      <w:r>
        <w:rPr>
          <w:rFonts w:hint="eastAsia" w:ascii="宋体" w:hAnsi="宋体" w:cs="方正仿宋_GBK"/>
        </w:rPr>
        <w:t>HJ 493  水质 样品的保存和管理技术规定</w:t>
      </w:r>
    </w:p>
    <w:p w14:paraId="14638E5F">
      <w:pPr>
        <w:snapToGrid w:val="0"/>
        <w:spacing w:line="300" w:lineRule="auto"/>
        <w:ind w:firstLine="420" w:firstLineChars="200"/>
        <w:rPr>
          <w:rFonts w:ascii="宋体" w:hAnsi="宋体" w:cs="方正仿宋_GBK"/>
        </w:rPr>
      </w:pPr>
      <w:r>
        <w:rPr>
          <w:rFonts w:hint="eastAsia" w:ascii="宋体" w:hAnsi="宋体" w:cs="方正仿宋_GBK"/>
        </w:rPr>
        <w:t>HJ 494  水质 采样技术指导</w:t>
      </w:r>
    </w:p>
    <w:p w14:paraId="6E961290">
      <w:pPr>
        <w:snapToGrid w:val="0"/>
        <w:spacing w:line="300" w:lineRule="auto"/>
        <w:ind w:firstLine="420" w:firstLineChars="200"/>
        <w:rPr>
          <w:rFonts w:ascii="宋体" w:hAnsi="宋体" w:cs="方正仿宋_GBK"/>
        </w:rPr>
      </w:pPr>
      <w:r>
        <w:rPr>
          <w:rFonts w:hint="eastAsia" w:ascii="宋体" w:hAnsi="宋体" w:cs="方正仿宋_GBK"/>
        </w:rPr>
        <w:t>HJ 495  水质 采样方案设计技术规定</w:t>
      </w:r>
    </w:p>
    <w:p w14:paraId="71495AB4">
      <w:pPr>
        <w:snapToGrid w:val="0"/>
        <w:spacing w:line="300" w:lineRule="auto"/>
        <w:ind w:firstLine="420" w:firstLineChars="200"/>
        <w:rPr>
          <w:rFonts w:ascii="宋体" w:hAnsi="宋体" w:cs="方正仿宋_GBK"/>
        </w:rPr>
      </w:pPr>
      <w:r>
        <w:rPr>
          <w:rFonts w:ascii="宋体" w:hAnsi="宋体" w:cs="方正仿宋_GBK"/>
        </w:rPr>
        <w:t xml:space="preserve">HJ 700 </w:t>
      </w:r>
      <w:r>
        <w:rPr>
          <w:rFonts w:hint="eastAsia" w:ascii="宋体" w:hAnsi="宋体" w:cs="方正仿宋_GBK"/>
        </w:rPr>
        <w:t xml:space="preserve"> </w:t>
      </w:r>
      <w:r>
        <w:rPr>
          <w:rFonts w:ascii="宋体" w:hAnsi="宋体" w:cs="方正仿宋_GBK"/>
        </w:rPr>
        <w:t>水质</w:t>
      </w:r>
      <w:r>
        <w:rPr>
          <w:rFonts w:hint="eastAsia" w:ascii="宋体" w:hAnsi="宋体" w:cs="方正仿宋_GBK"/>
        </w:rPr>
        <w:t xml:space="preserve"> </w:t>
      </w:r>
      <w:r>
        <w:rPr>
          <w:rFonts w:ascii="宋体" w:hAnsi="宋体" w:cs="方正仿宋_GBK"/>
        </w:rPr>
        <w:t>65种元素的测定 电感耦合等离子体质谱法</w:t>
      </w:r>
    </w:p>
    <w:p w14:paraId="5A061CDC">
      <w:pPr>
        <w:snapToGrid w:val="0"/>
        <w:spacing w:line="300" w:lineRule="auto"/>
        <w:ind w:firstLine="420" w:firstLineChars="200"/>
        <w:rPr>
          <w:rFonts w:ascii="宋体" w:hAnsi="宋体" w:cs="方正仿宋_GBK"/>
        </w:rPr>
      </w:pPr>
      <w:r>
        <w:rPr>
          <w:rFonts w:ascii="宋体" w:hAnsi="宋体" w:cs="方正仿宋_GBK"/>
        </w:rPr>
        <w:t>HJ 748  水质 铊的测定 石墨炉原子吸收分光光度法</w:t>
      </w:r>
    </w:p>
    <w:p w14:paraId="7843C902">
      <w:pPr>
        <w:snapToGrid w:val="0"/>
        <w:spacing w:line="300" w:lineRule="auto"/>
        <w:ind w:firstLine="420" w:firstLineChars="200"/>
        <w:rPr>
          <w:rFonts w:ascii="宋体" w:hAnsi="宋体" w:cs="方正仿宋_GBK"/>
        </w:rPr>
      </w:pPr>
      <w:r>
        <w:rPr>
          <w:rFonts w:hint="eastAsia" w:ascii="宋体" w:hAnsi="宋体" w:cs="方正仿宋_GBK"/>
        </w:rPr>
        <w:t>《污染源</w:t>
      </w:r>
      <w:r>
        <w:rPr>
          <w:rFonts w:ascii="宋体" w:hAnsi="宋体" w:cs="方正仿宋_GBK"/>
        </w:rPr>
        <w:t>自动监控管理</w:t>
      </w:r>
      <w:r>
        <w:rPr>
          <w:rFonts w:hint="eastAsia" w:ascii="宋体" w:hAnsi="宋体" w:cs="方正仿宋_GBK"/>
        </w:rPr>
        <w:t>办法</w:t>
      </w:r>
      <w:r>
        <w:rPr>
          <w:rFonts w:ascii="宋体" w:hAnsi="宋体" w:cs="方正仿宋_GBK"/>
        </w:rPr>
        <w:t>》</w:t>
      </w:r>
      <w:r>
        <w:rPr>
          <w:rFonts w:hint="eastAsia" w:ascii="宋体" w:hAnsi="宋体" w:cs="方正仿宋_GBK"/>
        </w:rPr>
        <w:t>（国家</w:t>
      </w:r>
      <w:r>
        <w:rPr>
          <w:rFonts w:ascii="宋体" w:hAnsi="宋体" w:cs="方正仿宋_GBK"/>
        </w:rPr>
        <w:t>环境保护</w:t>
      </w:r>
      <w:r>
        <w:rPr>
          <w:rFonts w:hint="eastAsia" w:ascii="宋体" w:hAnsi="宋体" w:cs="方正仿宋_GBK"/>
        </w:rPr>
        <w:t>总局</w:t>
      </w:r>
      <w:r>
        <w:rPr>
          <w:rFonts w:hint="eastAsia" w:ascii="宋体" w:hAnsi="宋体" w:cs="方正仿宋_GBK"/>
          <w:lang w:eastAsia="zh-CN"/>
        </w:rPr>
        <w:t>令第</w:t>
      </w:r>
      <w:r>
        <w:rPr>
          <w:rFonts w:hint="eastAsia" w:ascii="宋体" w:hAnsi="宋体" w:cs="方正仿宋_GBK"/>
        </w:rPr>
        <w:t>28号</w:t>
      </w:r>
      <w:r>
        <w:rPr>
          <w:rFonts w:ascii="宋体" w:hAnsi="宋体" w:cs="方正仿宋_GBK"/>
        </w:rPr>
        <w:t>）</w:t>
      </w:r>
    </w:p>
    <w:p w14:paraId="2606F0C3">
      <w:pPr>
        <w:snapToGrid w:val="0"/>
        <w:spacing w:line="300" w:lineRule="auto"/>
        <w:ind w:firstLine="420" w:firstLineChars="200"/>
        <w:rPr>
          <w:rFonts w:ascii="宋体" w:hAnsi="宋体" w:cs="方正仿宋_GBK"/>
        </w:rPr>
      </w:pPr>
      <w:r>
        <w:rPr>
          <w:rFonts w:hint="eastAsia" w:ascii="宋体" w:hAnsi="宋体" w:cs="方正仿宋_GBK"/>
        </w:rPr>
        <w:t>《</w:t>
      </w:r>
      <w:r>
        <w:rPr>
          <w:rFonts w:ascii="宋体" w:hAnsi="宋体" w:cs="方正仿宋_GBK"/>
        </w:rPr>
        <w:t>环境监测管理办法》（国家环境保护总局</w:t>
      </w:r>
      <w:r>
        <w:rPr>
          <w:rFonts w:hint="eastAsia" w:ascii="宋体" w:hAnsi="宋体" w:cs="方正仿宋_GBK"/>
          <w:lang w:eastAsia="zh-CN"/>
        </w:rPr>
        <w:t>令第</w:t>
      </w:r>
      <w:r>
        <w:rPr>
          <w:rFonts w:ascii="宋体" w:hAnsi="宋体" w:cs="方正仿宋_GBK"/>
        </w:rPr>
        <w:t>39号）</w:t>
      </w:r>
    </w:p>
    <w:p w14:paraId="7BF31E01">
      <w:pPr>
        <w:pStyle w:val="2"/>
        <w:spacing w:before="360" w:beforeLines="150" w:after="360" w:afterLines="150"/>
      </w:pPr>
      <w:bookmarkStart w:id="5" w:name="_Toc467767375"/>
      <w:r>
        <w:rPr>
          <w:rFonts w:hint="eastAsia"/>
        </w:rPr>
        <w:t>3  术语</w:t>
      </w:r>
      <w:r>
        <w:t>和定义</w:t>
      </w:r>
      <w:bookmarkEnd w:id="5"/>
    </w:p>
    <w:p w14:paraId="67A74FAA">
      <w:pPr>
        <w:snapToGrid w:val="0"/>
        <w:spacing w:line="300" w:lineRule="auto"/>
        <w:ind w:firstLine="420" w:firstLineChars="200"/>
        <w:rPr>
          <w:rFonts w:ascii="宋体" w:hAnsi="宋体" w:cs="方正仿宋_GBK"/>
        </w:rPr>
      </w:pPr>
      <w:r>
        <w:rPr>
          <w:rFonts w:hint="eastAsia" w:ascii="宋体" w:hAnsi="宋体" w:cs="方正仿宋_GBK"/>
        </w:rPr>
        <w:t>下列术语和定义适用于本文件。</w:t>
      </w:r>
    </w:p>
    <w:p w14:paraId="4122B40C">
      <w:pPr>
        <w:pStyle w:val="3"/>
        <w:spacing w:before="120" w:after="120"/>
      </w:pPr>
      <w:bookmarkStart w:id="6" w:name="_Toc417899160"/>
      <w:bookmarkStart w:id="7" w:name="_Toc417464817"/>
      <w:bookmarkStart w:id="8" w:name="_Toc467767376"/>
      <w:bookmarkStart w:id="9" w:name="_Toc467693255"/>
      <w:bookmarkStart w:id="10" w:name="_Toc467693215"/>
      <w:r>
        <w:rPr>
          <w:rFonts w:hint="eastAsia"/>
        </w:rPr>
        <w:t xml:space="preserve">3.1 </w:t>
      </w:r>
    </w:p>
    <w:p w14:paraId="12A99BA0">
      <w:pPr>
        <w:pStyle w:val="3"/>
        <w:spacing w:before="120" w:after="120"/>
        <w:ind w:firstLine="420" w:firstLineChars="200"/>
      </w:pPr>
      <w:r>
        <w:rPr>
          <w:rFonts w:hint="eastAsia"/>
        </w:rPr>
        <w:t xml:space="preserve">涉铊工业 </w:t>
      </w:r>
      <w:r>
        <w:t xml:space="preserve">thallium pollutant industry </w:t>
      </w:r>
    </w:p>
    <w:p w14:paraId="586E2A4C">
      <w:pPr>
        <w:snapToGrid w:val="0"/>
        <w:spacing w:line="300" w:lineRule="auto"/>
        <w:ind w:firstLine="420" w:firstLineChars="200"/>
        <w:rPr>
          <w:rFonts w:ascii="Times New Roman" w:hAnsi="Times New Roman" w:cs="Times New Roman"/>
        </w:rPr>
      </w:pPr>
      <w:r>
        <w:rPr>
          <w:rFonts w:hint="eastAsia" w:ascii="Times New Roman" w:hAnsi="Times New Roman" w:cs="Times New Roman"/>
        </w:rPr>
        <w:t xml:space="preserve">生产和使用过程中涉及铊或涉铊污染物排放的工业企业、生产设施。 </w:t>
      </w:r>
    </w:p>
    <w:p w14:paraId="6C61AD27">
      <w:pPr>
        <w:pStyle w:val="3"/>
        <w:spacing w:before="120" w:after="120"/>
      </w:pPr>
      <w:r>
        <w:rPr>
          <w:rFonts w:hint="eastAsia"/>
        </w:rPr>
        <w:t>3.</w:t>
      </w:r>
      <w:bookmarkEnd w:id="6"/>
      <w:bookmarkEnd w:id="7"/>
      <w:r>
        <w:t xml:space="preserve">2  </w:t>
      </w:r>
    </w:p>
    <w:p w14:paraId="738A632B">
      <w:pPr>
        <w:pStyle w:val="3"/>
        <w:spacing w:before="120" w:after="120"/>
        <w:ind w:firstLine="420" w:firstLineChars="200"/>
      </w:pPr>
      <w:r>
        <w:rPr>
          <w:rFonts w:hint="eastAsia"/>
        </w:rPr>
        <w:t xml:space="preserve">现有企业  </w:t>
      </w:r>
      <w:bookmarkEnd w:id="8"/>
      <w:bookmarkEnd w:id="9"/>
      <w:bookmarkEnd w:id="10"/>
      <w:r>
        <w:t>ex</w:t>
      </w:r>
      <w:r>
        <w:rPr>
          <w:rFonts w:hint="eastAsia"/>
        </w:rPr>
        <w:t>isting enterprises</w:t>
      </w:r>
    </w:p>
    <w:p w14:paraId="05AF68FA">
      <w:pPr>
        <w:snapToGrid w:val="0"/>
        <w:spacing w:line="300" w:lineRule="auto"/>
        <w:ind w:firstLine="420" w:firstLineChars="200"/>
        <w:rPr>
          <w:rFonts w:ascii="Times New Roman" w:hAnsi="Times New Roman" w:cs="Times New Roman"/>
        </w:rPr>
      </w:pPr>
      <w:r>
        <w:rPr>
          <w:rFonts w:hint="eastAsia" w:ascii="Times New Roman" w:hAnsi="Times New Roman" w:cs="Times New Roman"/>
        </w:rPr>
        <w:t>本文件实施之日前已建成投产或环境影响评价文件已通过审批的涉铊工业企业或生产设施</w:t>
      </w:r>
      <w:r>
        <w:rPr>
          <w:rFonts w:ascii="Times New Roman" w:hAnsi="Times New Roman" w:cs="Times New Roman"/>
        </w:rPr>
        <w:t>。</w:t>
      </w:r>
    </w:p>
    <w:p w14:paraId="1389E7BD">
      <w:pPr>
        <w:pStyle w:val="3"/>
        <w:spacing w:before="120" w:after="120"/>
      </w:pPr>
      <w:r>
        <w:rPr>
          <w:rFonts w:hint="eastAsia"/>
        </w:rPr>
        <w:t>3.</w:t>
      </w:r>
      <w:r>
        <w:t xml:space="preserve">3 </w:t>
      </w:r>
    </w:p>
    <w:p w14:paraId="2B4CE055">
      <w:pPr>
        <w:pStyle w:val="3"/>
        <w:spacing w:before="120" w:after="120"/>
        <w:ind w:firstLine="420" w:firstLineChars="200"/>
      </w:pPr>
      <w:r>
        <w:rPr>
          <w:rFonts w:hint="eastAsia"/>
        </w:rPr>
        <w:t>新建企业  new enterprises</w:t>
      </w:r>
    </w:p>
    <w:p w14:paraId="02BFD516">
      <w:pPr>
        <w:snapToGrid w:val="0"/>
        <w:spacing w:line="300" w:lineRule="auto"/>
        <w:ind w:firstLine="420" w:firstLineChars="200"/>
        <w:rPr>
          <w:rFonts w:ascii="Times New Roman" w:hAnsi="Times New Roman" w:cs="Times New Roman"/>
        </w:rPr>
      </w:pPr>
      <w:r>
        <w:rPr>
          <w:rFonts w:hint="eastAsia" w:ascii="Times New Roman" w:hAnsi="Times New Roman" w:cs="Times New Roman"/>
        </w:rPr>
        <w:t>本文件实施之日起环境影响评价文件通过审批的新建、改建和扩建的涉铊工业企业或建设项目</w:t>
      </w:r>
      <w:r>
        <w:rPr>
          <w:rFonts w:ascii="Times New Roman" w:hAnsi="Times New Roman" w:cs="Times New Roman"/>
        </w:rPr>
        <w:t>。</w:t>
      </w:r>
    </w:p>
    <w:p w14:paraId="5D0ADCDE">
      <w:pPr>
        <w:pStyle w:val="3"/>
        <w:spacing w:before="120" w:after="120"/>
      </w:pPr>
      <w:bookmarkStart w:id="11" w:name="_Toc467767377"/>
      <w:bookmarkStart w:id="12" w:name="_Toc467693216"/>
      <w:bookmarkStart w:id="13" w:name="_Toc467693256"/>
      <w:r>
        <w:t xml:space="preserve">3.4  </w:t>
      </w:r>
    </w:p>
    <w:p w14:paraId="67CC207A">
      <w:pPr>
        <w:pStyle w:val="3"/>
        <w:spacing w:before="120" w:after="120"/>
        <w:ind w:firstLine="420" w:firstLineChars="200"/>
      </w:pPr>
      <w:r>
        <w:t>直接排放  direct discharge</w:t>
      </w:r>
      <w:bookmarkEnd w:id="11"/>
      <w:bookmarkEnd w:id="12"/>
      <w:bookmarkEnd w:id="13"/>
    </w:p>
    <w:p w14:paraId="0C6271B7">
      <w:pPr>
        <w:snapToGrid w:val="0"/>
        <w:spacing w:line="300" w:lineRule="auto"/>
        <w:ind w:firstLine="420" w:firstLineChars="200"/>
        <w:rPr>
          <w:rFonts w:ascii="Times New Roman" w:hAnsi="Times New Roman" w:cs="Times New Roman"/>
        </w:rPr>
      </w:pPr>
      <w:r>
        <w:rPr>
          <w:rFonts w:ascii="Times New Roman" w:hAnsi="Times New Roman" w:cs="Times New Roman"/>
        </w:rPr>
        <w:t>排污单位直接向环境水体排放污染物的行为。</w:t>
      </w:r>
    </w:p>
    <w:p w14:paraId="1E80EA54">
      <w:pPr>
        <w:pStyle w:val="3"/>
        <w:spacing w:before="120" w:after="120"/>
      </w:pPr>
      <w:bookmarkStart w:id="14" w:name="_Toc417899162"/>
      <w:bookmarkStart w:id="15" w:name="_Toc417464819"/>
      <w:bookmarkStart w:id="16" w:name="_Toc467693217"/>
      <w:bookmarkStart w:id="17" w:name="_Toc467693257"/>
      <w:bookmarkStart w:id="18" w:name="_Toc467767378"/>
      <w:r>
        <w:t>3.</w:t>
      </w:r>
      <w:bookmarkEnd w:id="14"/>
      <w:bookmarkEnd w:id="15"/>
      <w:r>
        <w:t xml:space="preserve">5 </w:t>
      </w:r>
    </w:p>
    <w:p w14:paraId="3522AF46">
      <w:pPr>
        <w:pStyle w:val="3"/>
        <w:spacing w:before="120" w:after="120"/>
        <w:ind w:firstLine="420" w:firstLineChars="200"/>
      </w:pPr>
      <w:r>
        <w:t>间接排放  indirect discharge</w:t>
      </w:r>
      <w:bookmarkEnd w:id="16"/>
      <w:bookmarkEnd w:id="17"/>
      <w:bookmarkEnd w:id="18"/>
    </w:p>
    <w:p w14:paraId="481845B6">
      <w:pPr>
        <w:snapToGrid w:val="0"/>
        <w:spacing w:line="300" w:lineRule="auto"/>
        <w:ind w:firstLine="420" w:firstLineChars="200"/>
        <w:rPr>
          <w:rFonts w:ascii="Times New Roman" w:hAnsi="Times New Roman" w:cs="Times New Roman"/>
        </w:rPr>
      </w:pPr>
      <w:r>
        <w:rPr>
          <w:rFonts w:ascii="Times New Roman" w:hAnsi="Times New Roman" w:cs="Times New Roman"/>
        </w:rPr>
        <w:t>排污单位向公共污水处理系统排放污染物的行为。</w:t>
      </w:r>
    </w:p>
    <w:p w14:paraId="690C1A6C">
      <w:pPr>
        <w:pStyle w:val="3"/>
        <w:spacing w:before="120" w:after="120"/>
      </w:pPr>
      <w:r>
        <w:rPr>
          <w:rFonts w:hint="eastAsia"/>
        </w:rPr>
        <w:t>3.</w:t>
      </w:r>
      <w:r>
        <w:t>6</w:t>
      </w:r>
    </w:p>
    <w:p w14:paraId="2DF78526">
      <w:pPr>
        <w:pStyle w:val="3"/>
        <w:spacing w:before="120" w:after="120"/>
        <w:ind w:firstLine="420" w:firstLineChars="200"/>
      </w:pPr>
      <w:r>
        <w:rPr>
          <w:rFonts w:hint="eastAsia"/>
        </w:rPr>
        <w:t xml:space="preserve">工业废水 </w:t>
      </w:r>
      <w:r>
        <w:t xml:space="preserve">industry wastewater </w:t>
      </w:r>
    </w:p>
    <w:p w14:paraId="1C97A002">
      <w:pPr>
        <w:snapToGrid w:val="0"/>
        <w:spacing w:line="300" w:lineRule="auto"/>
        <w:ind w:firstLine="420" w:firstLineChars="200"/>
        <w:rPr>
          <w:rFonts w:ascii="Times New Roman" w:hAnsi="Times New Roman" w:cs="Times New Roman"/>
        </w:rPr>
      </w:pPr>
      <w:r>
        <w:rPr>
          <w:rFonts w:hint="eastAsia" w:ascii="Times New Roman" w:hAnsi="Times New Roman" w:cs="Times New Roman"/>
        </w:rPr>
        <w:t>工艺生产过程中排出的废水和废液，其中含有随水流失的工业生产用料、中间产物、副产品以及生产过程中产生的污染物。</w:t>
      </w:r>
    </w:p>
    <w:p w14:paraId="760F1662">
      <w:pPr>
        <w:pStyle w:val="3"/>
        <w:spacing w:before="120" w:after="120"/>
      </w:pPr>
      <w:r>
        <w:rPr>
          <w:rFonts w:hint="eastAsia"/>
        </w:rPr>
        <w:t>3.</w:t>
      </w:r>
      <w:r>
        <w:t>7</w:t>
      </w:r>
    </w:p>
    <w:p w14:paraId="3C00BABA">
      <w:pPr>
        <w:pStyle w:val="3"/>
        <w:spacing w:before="120" w:after="120"/>
        <w:ind w:firstLine="420" w:firstLineChars="200"/>
      </w:pPr>
      <w:r>
        <w:rPr>
          <w:rFonts w:hint="eastAsia"/>
        </w:rPr>
        <w:t xml:space="preserve">生产过程循环用水 </w:t>
      </w:r>
      <w:r>
        <w:t xml:space="preserve">circulating water for production process </w:t>
      </w:r>
    </w:p>
    <w:p w14:paraId="21888B07">
      <w:pPr>
        <w:widowControl/>
        <w:ind w:firstLine="420" w:firstLineChars="200"/>
        <w:jc w:val="left"/>
        <w:rPr>
          <w:rFonts w:ascii="Times New Roman" w:hAnsi="Times New Roman" w:cs="Times New Roman"/>
        </w:rPr>
      </w:pPr>
      <w:r>
        <w:rPr>
          <w:rFonts w:hint="eastAsia" w:ascii="Times New Roman" w:hAnsi="Times New Roman" w:cs="Times New Roman"/>
        </w:rPr>
        <w:t>生产工艺过程中循环使用的工业用水，包括间接冷却水、工艺用水、锅炉用水，其中工艺用水含产品用水、洗涤用水、直接冷却水和其他水。</w:t>
      </w:r>
    </w:p>
    <w:p w14:paraId="706F2CB9">
      <w:pPr>
        <w:pStyle w:val="3"/>
        <w:spacing w:before="120" w:after="120"/>
      </w:pPr>
      <w:r>
        <w:rPr>
          <w:rFonts w:hint="eastAsia"/>
        </w:rPr>
        <w:t>3.</w:t>
      </w:r>
      <w:r>
        <w:t>8</w:t>
      </w:r>
      <w:r>
        <w:rPr>
          <w:rFonts w:hint="eastAsia"/>
        </w:rPr>
        <w:t xml:space="preserve"> </w:t>
      </w:r>
    </w:p>
    <w:p w14:paraId="0CB6D6FD">
      <w:pPr>
        <w:pStyle w:val="3"/>
        <w:spacing w:before="120" w:after="120"/>
        <w:ind w:firstLine="420" w:firstLineChars="200"/>
      </w:pPr>
      <w:bookmarkStart w:id="19" w:name="_Toc467693258"/>
      <w:bookmarkStart w:id="20" w:name="_Toc467693218"/>
      <w:bookmarkStart w:id="21" w:name="_Toc467767379"/>
      <w:bookmarkStart w:id="22" w:name="_Toc417464820"/>
      <w:bookmarkStart w:id="23" w:name="_Toc417899163"/>
      <w:r>
        <w:t>公共污水处理系统  public wastewater treatment system</w:t>
      </w:r>
    </w:p>
    <w:p w14:paraId="24DC01FD">
      <w:pPr>
        <w:snapToGrid w:val="0"/>
        <w:spacing w:line="300" w:lineRule="auto"/>
        <w:ind w:firstLine="420" w:firstLineChars="200"/>
        <w:rPr>
          <w:rFonts w:ascii="Times New Roman" w:hAnsi="Times New Roman" w:cs="Times New Roman"/>
        </w:rPr>
      </w:pPr>
      <w:r>
        <w:rPr>
          <w:rFonts w:ascii="Times New Roman" w:hAnsi="Times New Roman" w:cs="Times New Roman"/>
        </w:rPr>
        <w:t>通过纳污管道等方式收集废水，为两家以上排污单位提供废水处理服务并且排水能够达到相关排放标准要求的企业或机构，包括各种规模和类型的城镇污水处理厂、区域（包括各类工业园区、开发区、工业聚集地等）</w:t>
      </w:r>
      <w:r>
        <w:rPr>
          <w:rFonts w:hint="eastAsia" w:ascii="Times New Roman" w:hAnsi="Times New Roman" w:cs="Times New Roman"/>
        </w:rPr>
        <w:t>污</w:t>
      </w:r>
      <w:r>
        <w:rPr>
          <w:rFonts w:ascii="Times New Roman" w:hAnsi="Times New Roman" w:cs="Times New Roman"/>
        </w:rPr>
        <w:t>水处理厂等。</w:t>
      </w:r>
    </w:p>
    <w:p w14:paraId="5B752B7B">
      <w:pPr>
        <w:snapToGrid w:val="0"/>
        <w:spacing w:line="300" w:lineRule="auto"/>
        <w:ind w:firstLine="420" w:firstLineChars="200"/>
        <w:rPr>
          <w:rFonts w:ascii="Times New Roman" w:hAnsi="Times New Roman" w:cs="Times New Roman"/>
        </w:rPr>
      </w:pPr>
    </w:p>
    <w:bookmarkEnd w:id="19"/>
    <w:bookmarkEnd w:id="20"/>
    <w:bookmarkEnd w:id="21"/>
    <w:p w14:paraId="31462890">
      <w:pPr>
        <w:pStyle w:val="3"/>
        <w:spacing w:before="120" w:after="120"/>
      </w:pPr>
      <w:bookmarkStart w:id="24" w:name="_Toc467693259"/>
      <w:bookmarkStart w:id="25" w:name="_Toc467767380"/>
      <w:bookmarkStart w:id="26" w:name="_Toc467693219"/>
      <w:r>
        <w:t>3.</w:t>
      </w:r>
      <w:bookmarkEnd w:id="22"/>
      <w:bookmarkEnd w:id="23"/>
      <w:r>
        <w:rPr>
          <w:rFonts w:hint="eastAsia"/>
        </w:rPr>
        <w:t>9</w:t>
      </w:r>
    </w:p>
    <w:p w14:paraId="4787BCBD">
      <w:pPr>
        <w:pStyle w:val="3"/>
        <w:spacing w:before="120" w:after="120"/>
        <w:ind w:firstLine="420" w:firstLineChars="200"/>
      </w:pPr>
      <w:r>
        <w:t>排水量  effluent volume</w:t>
      </w:r>
      <w:bookmarkEnd w:id="24"/>
      <w:bookmarkEnd w:id="25"/>
      <w:bookmarkEnd w:id="26"/>
      <w:r>
        <w:t xml:space="preserve"> </w:t>
      </w:r>
    </w:p>
    <w:p w14:paraId="41873078">
      <w:pPr>
        <w:snapToGrid w:val="0"/>
        <w:spacing w:line="300" w:lineRule="auto"/>
        <w:ind w:firstLine="420" w:firstLineChars="200"/>
        <w:rPr>
          <w:rFonts w:ascii="Times New Roman" w:hAnsi="Times New Roman" w:cs="Times New Roman"/>
        </w:rPr>
      </w:pPr>
      <w:r>
        <w:rPr>
          <w:rFonts w:ascii="Times New Roman" w:hAnsi="Times New Roman" w:cs="Times New Roman"/>
        </w:rPr>
        <w:t>生产设施或企业向企业法定边界以外排放的废水</w:t>
      </w:r>
      <w:r>
        <w:rPr>
          <w:rFonts w:hint="eastAsia" w:ascii="Times New Roman" w:hAnsi="Times New Roman" w:cs="Times New Roman"/>
        </w:rPr>
        <w:t>的</w:t>
      </w:r>
      <w:r>
        <w:rPr>
          <w:rFonts w:ascii="Times New Roman" w:hAnsi="Times New Roman" w:cs="Times New Roman"/>
        </w:rPr>
        <w:t>量，包括与生产有直接或间接关系的各种外排废水（如厂区生活污水、冷却</w:t>
      </w:r>
      <w:r>
        <w:rPr>
          <w:rFonts w:hint="eastAsia" w:ascii="Times New Roman" w:hAnsi="Times New Roman" w:cs="Times New Roman"/>
        </w:rPr>
        <w:t>排污</w:t>
      </w:r>
      <w:r>
        <w:rPr>
          <w:rFonts w:ascii="Times New Roman" w:hAnsi="Times New Roman" w:cs="Times New Roman"/>
        </w:rPr>
        <w:t>水、厂区锅炉</w:t>
      </w:r>
      <w:r>
        <w:rPr>
          <w:rFonts w:hint="eastAsia" w:ascii="Times New Roman" w:hAnsi="Times New Roman" w:cs="Times New Roman"/>
        </w:rPr>
        <w:t>、污染雨水</w:t>
      </w:r>
      <w:r>
        <w:rPr>
          <w:rFonts w:ascii="Times New Roman" w:hAnsi="Times New Roman" w:cs="Times New Roman"/>
        </w:rPr>
        <w:t>和电站排水等）。</w:t>
      </w:r>
    </w:p>
    <w:p w14:paraId="7A508BA6">
      <w:pPr>
        <w:pStyle w:val="3"/>
        <w:spacing w:before="120" w:after="120"/>
      </w:pPr>
      <w:bookmarkStart w:id="27" w:name="_Toc417899164"/>
      <w:bookmarkStart w:id="28" w:name="_Toc417464821"/>
      <w:bookmarkStart w:id="29" w:name="_Toc467693260"/>
      <w:bookmarkStart w:id="30" w:name="_Toc467693220"/>
      <w:bookmarkStart w:id="31" w:name="_Toc467767381"/>
      <w:r>
        <w:t>3.</w:t>
      </w:r>
      <w:bookmarkEnd w:id="27"/>
      <w:bookmarkEnd w:id="28"/>
      <w:r>
        <w:t>1</w:t>
      </w:r>
      <w:r>
        <w:rPr>
          <w:rFonts w:hint="eastAsia"/>
        </w:rPr>
        <w:t>0</w:t>
      </w:r>
      <w:r>
        <w:t xml:space="preserve"> </w:t>
      </w:r>
    </w:p>
    <w:p w14:paraId="0865088C">
      <w:pPr>
        <w:pStyle w:val="3"/>
        <w:spacing w:before="120" w:after="120"/>
        <w:ind w:firstLine="420" w:firstLineChars="200"/>
      </w:pPr>
      <w:r>
        <w:t>单位产品基准排水量  benchmark effluent volume per unit product</w:t>
      </w:r>
      <w:bookmarkEnd w:id="29"/>
      <w:bookmarkEnd w:id="30"/>
      <w:bookmarkEnd w:id="31"/>
    </w:p>
    <w:p w14:paraId="4DB16124">
      <w:pPr>
        <w:snapToGrid w:val="0"/>
        <w:spacing w:line="300" w:lineRule="auto"/>
        <w:ind w:firstLine="420" w:firstLineChars="200"/>
        <w:rPr>
          <w:rFonts w:ascii="Times New Roman" w:hAnsi="Times New Roman" w:cs="Times New Roman"/>
        </w:rPr>
      </w:pPr>
      <w:r>
        <w:rPr>
          <w:rFonts w:ascii="Times New Roman" w:hAnsi="Times New Roman" w:cs="Times New Roman"/>
        </w:rPr>
        <w:t>用于核定</w:t>
      </w:r>
      <w:r>
        <w:rPr>
          <w:rFonts w:hint="eastAsia" w:ascii="Times New Roman" w:hAnsi="Times New Roman" w:cs="Times New Roman"/>
        </w:rPr>
        <w:t>铊</w:t>
      </w:r>
      <w:r>
        <w:rPr>
          <w:rFonts w:ascii="Times New Roman" w:hAnsi="Times New Roman" w:cs="Times New Roman"/>
        </w:rPr>
        <w:t>污染物排放浓度而规定的生产单位产品的废水排放量上限值。</w:t>
      </w:r>
    </w:p>
    <w:p w14:paraId="5546F971">
      <w:pPr>
        <w:pStyle w:val="2"/>
        <w:spacing w:before="360" w:beforeLines="150" w:after="360" w:afterLines="150"/>
      </w:pPr>
      <w:bookmarkStart w:id="32" w:name="_Toc467767382"/>
      <w:r>
        <w:t>4  排放控制要求</w:t>
      </w:r>
      <w:bookmarkEnd w:id="32"/>
    </w:p>
    <w:p w14:paraId="3B558B5B">
      <w:pPr>
        <w:spacing w:line="300" w:lineRule="auto"/>
        <w:rPr>
          <w:rFonts w:ascii="TimesNewRoman" w:hAnsi="TimesNewRoman" w:eastAsia="TimesNewRoman" w:cs="TimesNewRoman"/>
          <w:color w:val="000000"/>
          <w:szCs w:val="21"/>
        </w:rPr>
      </w:pPr>
      <w:r>
        <w:rPr>
          <w:rFonts w:ascii="黑体" w:hAnsi="黑体" w:eastAsia="黑体" w:cs="Times New Roman"/>
        </w:rPr>
        <w:t xml:space="preserve">4.1 </w:t>
      </w:r>
      <w:r>
        <w:rPr>
          <w:rFonts w:ascii="宋体" w:hAnsi="宋体" w:cs="宋体"/>
          <w:color w:val="000000"/>
          <w:szCs w:val="21"/>
        </w:rPr>
        <w:t>排放限值及时间段</w:t>
      </w:r>
      <w:r>
        <w:rPr>
          <w:rFonts w:ascii="TimesNewRoman" w:hAnsi="TimesNewRoman" w:eastAsia="TimesNewRoman" w:cs="TimesNewRoman"/>
          <w:color w:val="000000"/>
          <w:szCs w:val="21"/>
        </w:rPr>
        <w:t xml:space="preserve"> </w:t>
      </w:r>
    </w:p>
    <w:p w14:paraId="748A6DAE">
      <w:pPr>
        <w:rPr>
          <w:rFonts w:ascii="宋体" w:hAnsi="宋体" w:cs="宋体"/>
          <w:color w:val="000000"/>
          <w:szCs w:val="21"/>
        </w:rPr>
      </w:pPr>
      <w:r>
        <w:rPr>
          <w:rFonts w:hint="eastAsia" w:ascii="黑体" w:hAnsi="黑体" w:eastAsia="黑体" w:cs="Times New Roman"/>
        </w:rPr>
        <w:t>4</w:t>
      </w:r>
      <w:r>
        <w:rPr>
          <w:rFonts w:ascii="黑体" w:hAnsi="黑体" w:eastAsia="黑体" w:cs="Times New Roman"/>
        </w:rPr>
        <w:t xml:space="preserve">.1.1 </w:t>
      </w:r>
      <w:r>
        <w:rPr>
          <w:rFonts w:ascii="宋体" w:hAnsi="宋体" w:cs="宋体"/>
          <w:color w:val="000000"/>
          <w:szCs w:val="21"/>
        </w:rPr>
        <w:t>现有企业</w:t>
      </w:r>
      <w:r>
        <w:rPr>
          <w:rFonts w:ascii="宋体" w:hAnsi="宋体" w:cs="宋体"/>
          <w:szCs w:val="21"/>
        </w:rPr>
        <w:t>自</w:t>
      </w:r>
      <w:r>
        <w:rPr>
          <w:rFonts w:ascii="宋体" w:hAnsi="宋体" w:cs="宋体"/>
          <w:color w:val="000000"/>
          <w:szCs w:val="21"/>
        </w:rPr>
        <w:t>本</w:t>
      </w:r>
      <w:r>
        <w:rPr>
          <w:rFonts w:hint="eastAsia" w:ascii="宋体" w:hAnsi="宋体" w:cs="宋体"/>
          <w:color w:val="000000"/>
          <w:szCs w:val="21"/>
        </w:rPr>
        <w:t>文件</w:t>
      </w:r>
      <w:r>
        <w:rPr>
          <w:rFonts w:ascii="宋体" w:hAnsi="宋体" w:cs="宋体"/>
          <w:color w:val="000000"/>
          <w:szCs w:val="21"/>
        </w:rPr>
        <w:t>颁布</w:t>
      </w:r>
      <w:r>
        <w:rPr>
          <w:rFonts w:hint="eastAsia" w:ascii="宋体" w:hAnsi="宋体" w:cs="宋体"/>
          <w:color w:val="000000"/>
          <w:szCs w:val="21"/>
        </w:rPr>
        <w:t>后一年起</w:t>
      </w:r>
      <w:r>
        <w:rPr>
          <w:rFonts w:ascii="宋体" w:hAnsi="宋体" w:cs="宋体"/>
          <w:color w:val="000000"/>
          <w:szCs w:val="21"/>
        </w:rPr>
        <w:t>，执行表 1 中排放限值。</w:t>
      </w:r>
    </w:p>
    <w:p w14:paraId="29B8B348">
      <w:pPr>
        <w:rPr>
          <w:rFonts w:ascii="宋体" w:hAnsi="宋体" w:cs="宋体"/>
          <w:color w:val="000000"/>
          <w:szCs w:val="21"/>
        </w:rPr>
      </w:pPr>
      <w:r>
        <w:rPr>
          <w:rFonts w:hint="eastAsia" w:ascii="黑体" w:hAnsi="黑体" w:eastAsia="黑体" w:cs="Times New Roman"/>
        </w:rPr>
        <w:t>4</w:t>
      </w:r>
      <w:r>
        <w:rPr>
          <w:rFonts w:ascii="黑体" w:hAnsi="黑体" w:eastAsia="黑体" w:cs="Times New Roman"/>
        </w:rPr>
        <w:t xml:space="preserve">.1.2 </w:t>
      </w:r>
      <w:r>
        <w:rPr>
          <w:rFonts w:ascii="宋体" w:hAnsi="宋体" w:cs="宋体"/>
          <w:color w:val="000000"/>
          <w:szCs w:val="21"/>
        </w:rPr>
        <w:t>新建企业自本</w:t>
      </w:r>
      <w:r>
        <w:rPr>
          <w:rFonts w:hint="eastAsia" w:ascii="宋体" w:hAnsi="宋体" w:cs="宋体"/>
          <w:color w:val="000000"/>
          <w:szCs w:val="21"/>
        </w:rPr>
        <w:t>文件</w:t>
      </w:r>
      <w:r>
        <w:rPr>
          <w:rFonts w:ascii="宋体" w:hAnsi="宋体" w:cs="宋体"/>
          <w:color w:val="000000"/>
          <w:szCs w:val="21"/>
        </w:rPr>
        <w:t>颁布实施之日起，执行表 1 中排放限值。</w:t>
      </w:r>
    </w:p>
    <w:p w14:paraId="2D77DF5E">
      <w:pPr>
        <w:rPr>
          <w:rFonts w:ascii="宋体" w:hAnsi="宋体" w:cs="宋体"/>
          <w:color w:val="000000"/>
          <w:szCs w:val="21"/>
        </w:rPr>
      </w:pPr>
    </w:p>
    <w:p w14:paraId="5C8E397F">
      <w:pPr>
        <w:spacing w:before="120" w:beforeLines="50" w:after="120" w:afterLines="50"/>
        <w:jc w:val="center"/>
        <w:rPr>
          <w:rFonts w:ascii="黑体" w:hAnsi="黑体" w:eastAsia="黑体" w:cs="Times New Roman"/>
        </w:rPr>
      </w:pPr>
      <w:r>
        <w:rPr>
          <w:rFonts w:ascii="黑体" w:hAnsi="黑体" w:eastAsia="黑体" w:cs="Times New Roman"/>
        </w:rPr>
        <w:t>表 1 污染物排放控制限值</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1276"/>
        <w:gridCol w:w="1134"/>
        <w:gridCol w:w="1275"/>
        <w:gridCol w:w="1276"/>
        <w:gridCol w:w="3537"/>
      </w:tblGrid>
      <w:tr w14:paraId="5932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8" w:type="dxa"/>
            <w:vMerge w:val="restart"/>
            <w:vAlign w:val="center"/>
          </w:tcPr>
          <w:p w14:paraId="3A910DF4">
            <w:pPr>
              <w:jc w:val="center"/>
              <w:rPr>
                <w:rFonts w:ascii="宋体" w:hAnsi="宋体" w:cs="Times New Roman"/>
                <w:sz w:val="18"/>
                <w:szCs w:val="18"/>
              </w:rPr>
            </w:pPr>
            <w:r>
              <w:rPr>
                <w:rFonts w:hint="eastAsia" w:ascii="宋体" w:hAnsi="宋体" w:cs="Times New Roman"/>
                <w:sz w:val="18"/>
                <w:szCs w:val="18"/>
              </w:rPr>
              <w:t>项目</w:t>
            </w:r>
          </w:p>
        </w:tc>
        <w:tc>
          <w:tcPr>
            <w:tcW w:w="4961" w:type="dxa"/>
            <w:gridSpan w:val="4"/>
            <w:vAlign w:val="center"/>
          </w:tcPr>
          <w:p w14:paraId="0EDA22AB">
            <w:pPr>
              <w:jc w:val="center"/>
              <w:rPr>
                <w:rFonts w:ascii="宋体" w:hAnsi="宋体" w:cs="Times New Roman"/>
                <w:sz w:val="18"/>
                <w:szCs w:val="18"/>
              </w:rPr>
            </w:pPr>
            <w:r>
              <w:rPr>
                <w:rFonts w:hint="eastAsia" w:ascii="宋体" w:hAnsi="宋体" w:cs="Times New Roman"/>
                <w:sz w:val="18"/>
                <w:szCs w:val="18"/>
              </w:rPr>
              <w:t>限值（mg/L）</w:t>
            </w:r>
          </w:p>
        </w:tc>
        <w:tc>
          <w:tcPr>
            <w:tcW w:w="3537" w:type="dxa"/>
            <w:vMerge w:val="restart"/>
            <w:vAlign w:val="center"/>
          </w:tcPr>
          <w:p w14:paraId="393AA596">
            <w:pPr>
              <w:jc w:val="center"/>
              <w:rPr>
                <w:rFonts w:ascii="宋体" w:hAnsi="宋体" w:cs="Times New Roman"/>
                <w:sz w:val="18"/>
                <w:szCs w:val="18"/>
              </w:rPr>
            </w:pPr>
            <w:r>
              <w:rPr>
                <w:rFonts w:ascii="宋体" w:hAnsi="宋体" w:cs="Times New Roman"/>
                <w:sz w:val="18"/>
                <w:szCs w:val="18"/>
              </w:rPr>
              <w:t>污染物监控位置</w:t>
            </w:r>
          </w:p>
        </w:tc>
      </w:tr>
      <w:tr w14:paraId="01AA4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738" w:type="dxa"/>
            <w:vMerge w:val="continue"/>
            <w:vAlign w:val="center"/>
          </w:tcPr>
          <w:p w14:paraId="05233139">
            <w:pPr>
              <w:jc w:val="center"/>
            </w:pPr>
          </w:p>
        </w:tc>
        <w:tc>
          <w:tcPr>
            <w:tcW w:w="2410" w:type="dxa"/>
            <w:gridSpan w:val="2"/>
            <w:vAlign w:val="center"/>
          </w:tcPr>
          <w:p w14:paraId="636C6D29">
            <w:pPr>
              <w:jc w:val="center"/>
              <w:rPr>
                <w:rFonts w:ascii="宋体" w:hAnsi="宋体" w:cs="Times New Roman"/>
                <w:sz w:val="18"/>
                <w:szCs w:val="18"/>
              </w:rPr>
            </w:pPr>
            <w:r>
              <w:rPr>
                <w:rFonts w:hint="eastAsia" w:ascii="宋体" w:hAnsi="宋体" w:cs="Times New Roman"/>
                <w:sz w:val="18"/>
                <w:szCs w:val="18"/>
              </w:rPr>
              <w:t>排放限值</w:t>
            </w:r>
          </w:p>
        </w:tc>
        <w:tc>
          <w:tcPr>
            <w:tcW w:w="2551" w:type="dxa"/>
            <w:gridSpan w:val="2"/>
            <w:vAlign w:val="center"/>
          </w:tcPr>
          <w:p w14:paraId="17C8C236">
            <w:pPr>
              <w:jc w:val="center"/>
              <w:rPr>
                <w:rFonts w:ascii="宋体" w:hAnsi="宋体" w:cs="Times New Roman"/>
                <w:sz w:val="18"/>
                <w:szCs w:val="18"/>
              </w:rPr>
            </w:pPr>
            <w:r>
              <w:rPr>
                <w:rFonts w:hint="eastAsia" w:ascii="宋体" w:hAnsi="宋体" w:cs="Times New Roman"/>
                <w:sz w:val="18"/>
                <w:szCs w:val="18"/>
              </w:rPr>
              <w:t>特别排放限值</w:t>
            </w:r>
          </w:p>
        </w:tc>
        <w:tc>
          <w:tcPr>
            <w:tcW w:w="3537" w:type="dxa"/>
            <w:vMerge w:val="continue"/>
            <w:vAlign w:val="center"/>
          </w:tcPr>
          <w:p w14:paraId="2790D1F1">
            <w:pPr>
              <w:jc w:val="center"/>
              <w:rPr>
                <w:rFonts w:ascii="宋体" w:hAnsi="宋体" w:cs="Times New Roman"/>
                <w:sz w:val="18"/>
                <w:szCs w:val="18"/>
              </w:rPr>
            </w:pPr>
          </w:p>
        </w:tc>
      </w:tr>
      <w:tr w14:paraId="72C60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738" w:type="dxa"/>
            <w:vMerge w:val="continue"/>
            <w:vAlign w:val="center"/>
          </w:tcPr>
          <w:p w14:paraId="5A4406F0">
            <w:pPr>
              <w:jc w:val="center"/>
            </w:pPr>
          </w:p>
        </w:tc>
        <w:tc>
          <w:tcPr>
            <w:tcW w:w="1276" w:type="dxa"/>
            <w:vAlign w:val="center"/>
          </w:tcPr>
          <w:p w14:paraId="79CB9C57">
            <w:pPr>
              <w:jc w:val="center"/>
              <w:rPr>
                <w:rFonts w:ascii="宋体" w:hAnsi="宋体" w:cs="Times New Roman"/>
                <w:sz w:val="18"/>
                <w:szCs w:val="18"/>
              </w:rPr>
            </w:pPr>
            <w:r>
              <w:rPr>
                <w:rFonts w:hint="eastAsia" w:ascii="宋体" w:hAnsi="宋体" w:cs="Times New Roman"/>
                <w:sz w:val="18"/>
                <w:szCs w:val="18"/>
              </w:rPr>
              <w:t>直接排放</w:t>
            </w:r>
          </w:p>
        </w:tc>
        <w:tc>
          <w:tcPr>
            <w:tcW w:w="1134" w:type="dxa"/>
            <w:vAlign w:val="center"/>
          </w:tcPr>
          <w:p w14:paraId="7D42B134">
            <w:pPr>
              <w:jc w:val="center"/>
              <w:rPr>
                <w:rFonts w:ascii="宋体" w:hAnsi="宋体" w:cs="Times New Roman"/>
                <w:sz w:val="18"/>
                <w:szCs w:val="18"/>
              </w:rPr>
            </w:pPr>
            <w:r>
              <w:rPr>
                <w:rFonts w:hint="eastAsia" w:ascii="宋体" w:hAnsi="宋体" w:cs="Times New Roman"/>
                <w:sz w:val="18"/>
                <w:szCs w:val="18"/>
              </w:rPr>
              <w:t>间接排放</w:t>
            </w:r>
          </w:p>
        </w:tc>
        <w:tc>
          <w:tcPr>
            <w:tcW w:w="1275" w:type="dxa"/>
            <w:vAlign w:val="center"/>
          </w:tcPr>
          <w:p w14:paraId="065D5FC0">
            <w:pPr>
              <w:jc w:val="center"/>
              <w:rPr>
                <w:rFonts w:ascii="宋体" w:hAnsi="宋体" w:cs="Times New Roman"/>
                <w:sz w:val="18"/>
                <w:szCs w:val="18"/>
              </w:rPr>
            </w:pPr>
            <w:r>
              <w:rPr>
                <w:rFonts w:hint="eastAsia" w:ascii="宋体" w:hAnsi="宋体" w:cs="Times New Roman"/>
                <w:sz w:val="18"/>
                <w:szCs w:val="18"/>
              </w:rPr>
              <w:t>直接排放</w:t>
            </w:r>
          </w:p>
        </w:tc>
        <w:tc>
          <w:tcPr>
            <w:tcW w:w="1276" w:type="dxa"/>
            <w:vAlign w:val="center"/>
          </w:tcPr>
          <w:p w14:paraId="63E3E257">
            <w:pPr>
              <w:jc w:val="center"/>
              <w:rPr>
                <w:rFonts w:ascii="宋体" w:hAnsi="宋体" w:cs="Times New Roman"/>
                <w:sz w:val="18"/>
                <w:szCs w:val="18"/>
              </w:rPr>
            </w:pPr>
            <w:r>
              <w:rPr>
                <w:rFonts w:hint="eastAsia" w:ascii="宋体" w:hAnsi="宋体" w:cs="Times New Roman"/>
                <w:sz w:val="18"/>
                <w:szCs w:val="18"/>
              </w:rPr>
              <w:t>间接排放</w:t>
            </w:r>
          </w:p>
        </w:tc>
        <w:tc>
          <w:tcPr>
            <w:tcW w:w="3537" w:type="dxa"/>
            <w:vMerge w:val="continue"/>
            <w:vAlign w:val="center"/>
          </w:tcPr>
          <w:p w14:paraId="0BA92AC4">
            <w:pPr>
              <w:jc w:val="center"/>
              <w:rPr>
                <w:rFonts w:ascii="宋体" w:hAnsi="宋体" w:cs="Times New Roman"/>
                <w:sz w:val="18"/>
                <w:szCs w:val="18"/>
              </w:rPr>
            </w:pPr>
          </w:p>
        </w:tc>
      </w:tr>
      <w:tr w14:paraId="469CF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38" w:type="dxa"/>
            <w:vAlign w:val="center"/>
          </w:tcPr>
          <w:p w14:paraId="114EAD5E">
            <w:pPr>
              <w:jc w:val="center"/>
              <w:rPr>
                <w:rFonts w:ascii="宋体" w:hAnsi="宋体" w:cs="Times New Roman"/>
                <w:sz w:val="18"/>
                <w:szCs w:val="18"/>
              </w:rPr>
            </w:pPr>
            <w:r>
              <w:rPr>
                <w:rFonts w:hint="eastAsia" w:ascii="宋体" w:hAnsi="宋体" w:cs="Times New Roman"/>
                <w:sz w:val="18"/>
                <w:szCs w:val="18"/>
              </w:rPr>
              <w:t>总铊</w:t>
            </w:r>
          </w:p>
        </w:tc>
        <w:tc>
          <w:tcPr>
            <w:tcW w:w="2410" w:type="dxa"/>
            <w:gridSpan w:val="2"/>
            <w:vAlign w:val="center"/>
          </w:tcPr>
          <w:p w14:paraId="19B0A27D">
            <w:pPr>
              <w:jc w:val="center"/>
              <w:rPr>
                <w:rFonts w:ascii="宋体" w:hAnsi="宋体" w:cs="Times New Roman"/>
                <w:sz w:val="18"/>
                <w:szCs w:val="18"/>
              </w:rPr>
            </w:pPr>
            <w:r>
              <w:rPr>
                <w:rFonts w:hint="eastAsia" w:ascii="宋体" w:hAnsi="宋体" w:cs="Times New Roman"/>
                <w:sz w:val="18"/>
                <w:szCs w:val="18"/>
              </w:rPr>
              <w:t>0.002</w:t>
            </w:r>
          </w:p>
        </w:tc>
        <w:tc>
          <w:tcPr>
            <w:tcW w:w="2551" w:type="dxa"/>
            <w:gridSpan w:val="2"/>
            <w:vAlign w:val="center"/>
          </w:tcPr>
          <w:p w14:paraId="4584500D">
            <w:pPr>
              <w:jc w:val="center"/>
              <w:rPr>
                <w:rFonts w:ascii="宋体" w:hAnsi="宋体" w:cs="Times New Roman"/>
                <w:sz w:val="18"/>
                <w:szCs w:val="18"/>
              </w:rPr>
            </w:pPr>
            <w:r>
              <w:rPr>
                <w:rFonts w:hint="eastAsia" w:ascii="宋体" w:hAnsi="宋体" w:cs="Times New Roman"/>
                <w:sz w:val="18"/>
                <w:szCs w:val="18"/>
              </w:rPr>
              <w:t>0.002</w:t>
            </w:r>
          </w:p>
        </w:tc>
        <w:tc>
          <w:tcPr>
            <w:tcW w:w="3537" w:type="dxa"/>
            <w:vAlign w:val="center"/>
          </w:tcPr>
          <w:p w14:paraId="3336102B">
            <w:pPr>
              <w:rPr>
                <w:rFonts w:ascii="宋体" w:hAnsi="宋体" w:cs="Times New Roman"/>
                <w:sz w:val="18"/>
                <w:szCs w:val="18"/>
              </w:rPr>
            </w:pPr>
            <w:r>
              <w:rPr>
                <w:rFonts w:ascii="宋体" w:hAnsi="宋体" w:cs="Times New Roman"/>
                <w:sz w:val="18"/>
                <w:szCs w:val="18"/>
              </w:rPr>
              <w:t>车间或生产设施废水排放口</w:t>
            </w:r>
            <w:r>
              <w:rPr>
                <w:rFonts w:hint="eastAsia" w:ascii="宋体" w:hAnsi="宋体" w:cs="Times New Roman"/>
                <w:sz w:val="18"/>
                <w:szCs w:val="18"/>
                <w:vertAlign w:val="superscript"/>
              </w:rPr>
              <w:t>1</w:t>
            </w:r>
            <w:r>
              <w:rPr>
                <w:rFonts w:ascii="宋体" w:hAnsi="宋体" w:cs="Times New Roman"/>
                <w:sz w:val="18"/>
                <w:szCs w:val="18"/>
              </w:rPr>
              <w:t>；企业总排口</w:t>
            </w:r>
          </w:p>
        </w:tc>
      </w:tr>
      <w:tr w14:paraId="4FC19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2" w:hRule="atLeast"/>
        </w:trPr>
        <w:tc>
          <w:tcPr>
            <w:tcW w:w="9236" w:type="dxa"/>
            <w:gridSpan w:val="6"/>
            <w:vAlign w:val="center"/>
          </w:tcPr>
          <w:p w14:paraId="6F086F73">
            <w:pPr>
              <w:adjustRightInd w:val="0"/>
              <w:jc w:val="left"/>
              <w:rPr>
                <w:rFonts w:ascii="Times New Roman" w:hAnsi="Times New Roman"/>
                <w:sz w:val="18"/>
                <w:szCs w:val="18"/>
              </w:rPr>
            </w:pPr>
            <w:r>
              <w:rPr>
                <w:rFonts w:ascii="Times New Roman" w:hAnsi="Times New Roman"/>
                <w:sz w:val="18"/>
                <w:szCs w:val="18"/>
              </w:rPr>
              <w:t>注1：</w:t>
            </w:r>
            <w:r>
              <w:rPr>
                <w:rFonts w:hint="eastAsia" w:ascii="Times New Roman" w:hAnsi="Times New Roman"/>
                <w:sz w:val="18"/>
                <w:szCs w:val="18"/>
              </w:rPr>
              <w:t>不论废水是否外排，</w:t>
            </w:r>
            <w:r>
              <w:rPr>
                <w:rFonts w:ascii="Times New Roman" w:hAnsi="Times New Roman"/>
                <w:sz w:val="18"/>
                <w:szCs w:val="18"/>
              </w:rPr>
              <w:t xml:space="preserve">车间或生产设施废水排放口指： </w:t>
            </w:r>
          </w:p>
          <w:p w14:paraId="4373D05D">
            <w:pPr>
              <w:adjustRightInd w:val="0"/>
              <w:jc w:val="left"/>
              <w:rPr>
                <w:rFonts w:ascii="Times New Roman" w:hAnsi="Times New Roman"/>
                <w:sz w:val="18"/>
                <w:szCs w:val="18"/>
              </w:rPr>
            </w:pPr>
            <w:r>
              <w:rPr>
                <w:rFonts w:ascii="Times New Roman" w:hAnsi="Times New Roman"/>
                <w:sz w:val="18"/>
                <w:szCs w:val="18"/>
              </w:rPr>
              <w:t xml:space="preserve">    a．对于采矿生产单元，为采矿废水处理设施排放口；如无处理设施，则为矿井（坑）废水储存设施出水口。</w:t>
            </w:r>
          </w:p>
          <w:p w14:paraId="6FEB0090">
            <w:pPr>
              <w:adjustRightInd w:val="0"/>
              <w:ind w:firstLine="360" w:firstLineChars="200"/>
              <w:jc w:val="left"/>
              <w:rPr>
                <w:rFonts w:ascii="Times New Roman" w:hAnsi="Times New Roman"/>
                <w:sz w:val="18"/>
                <w:szCs w:val="18"/>
              </w:rPr>
            </w:pPr>
            <w:r>
              <w:rPr>
                <w:rFonts w:ascii="Times New Roman" w:hAnsi="Times New Roman"/>
                <w:sz w:val="18"/>
                <w:szCs w:val="18"/>
              </w:rPr>
              <w:t xml:space="preserve">b．对于选矿生产单元，为选矿废水处理设施排放口；如排入尾矿库，则为尾矿库出水口。 </w:t>
            </w:r>
          </w:p>
          <w:p w14:paraId="00EAA060">
            <w:pPr>
              <w:adjustRightInd w:val="0"/>
              <w:ind w:firstLine="360" w:firstLineChars="200"/>
              <w:jc w:val="left"/>
              <w:rPr>
                <w:rFonts w:ascii="Times New Roman" w:hAnsi="Times New Roman"/>
                <w:sz w:val="18"/>
                <w:szCs w:val="18"/>
              </w:rPr>
            </w:pPr>
            <w:r>
              <w:rPr>
                <w:rFonts w:ascii="Times New Roman" w:hAnsi="Times New Roman"/>
                <w:sz w:val="18"/>
                <w:szCs w:val="18"/>
              </w:rPr>
              <w:t>c．对于尾矿库（包括在建、运行、闭库、停用等情形的尾矿库），监控位置为尾矿库出水口。</w:t>
            </w:r>
          </w:p>
          <w:p w14:paraId="02A92381">
            <w:pPr>
              <w:adjustRightInd w:val="0"/>
              <w:jc w:val="left"/>
              <w:rPr>
                <w:rFonts w:ascii="Times New Roman" w:hAnsi="Times New Roman"/>
                <w:sz w:val="18"/>
                <w:szCs w:val="18"/>
              </w:rPr>
            </w:pPr>
            <w:r>
              <w:rPr>
                <w:rFonts w:ascii="Times New Roman" w:hAnsi="Times New Roman"/>
                <w:sz w:val="18"/>
                <w:szCs w:val="18"/>
              </w:rPr>
              <w:t xml:space="preserve">    d．对于冶炼生产单元：</w:t>
            </w:r>
          </w:p>
          <w:p w14:paraId="1FB1BB63">
            <w:pPr>
              <w:adjustRightInd w:val="0"/>
              <w:ind w:firstLine="360" w:firstLineChars="200"/>
              <w:jc w:val="left"/>
              <w:rPr>
                <w:rFonts w:ascii="Times New Roman" w:hAnsi="Times New Roman"/>
                <w:sz w:val="18"/>
                <w:szCs w:val="18"/>
              </w:rPr>
            </w:pPr>
            <w:r>
              <w:rPr>
                <w:rFonts w:ascii="Times New Roman" w:hAnsi="Times New Roman"/>
                <w:sz w:val="18"/>
                <w:szCs w:val="18"/>
              </w:rPr>
              <w:t>有制酸系统的冶炼企业，为污酸废水等处理设施排放口；如无处理设施，则为污酸废水</w:t>
            </w:r>
            <w:r>
              <w:rPr>
                <w:rFonts w:hint="eastAsia" w:ascii="Times New Roman" w:hAnsi="Times New Roman"/>
                <w:sz w:val="18"/>
                <w:szCs w:val="18"/>
              </w:rPr>
              <w:t>等</w:t>
            </w:r>
            <w:r>
              <w:rPr>
                <w:rFonts w:ascii="Times New Roman" w:hAnsi="Times New Roman"/>
                <w:sz w:val="18"/>
                <w:szCs w:val="18"/>
              </w:rPr>
              <w:t>储存设施出水口。</w:t>
            </w:r>
          </w:p>
          <w:p w14:paraId="65329889">
            <w:pPr>
              <w:adjustRightInd w:val="0"/>
              <w:ind w:firstLine="360" w:firstLineChars="200"/>
              <w:jc w:val="left"/>
              <w:rPr>
                <w:rFonts w:ascii="Times New Roman" w:hAnsi="Times New Roman"/>
                <w:sz w:val="18"/>
                <w:szCs w:val="18"/>
              </w:rPr>
            </w:pPr>
            <w:r>
              <w:rPr>
                <w:rFonts w:ascii="Times New Roman" w:hAnsi="Times New Roman"/>
                <w:sz w:val="18"/>
                <w:szCs w:val="18"/>
              </w:rPr>
              <w:t>无制酸系统的冶炼企业，为脱硫废水等处理设施排放口；如无处理设施，则为脱硫废水</w:t>
            </w:r>
            <w:r>
              <w:rPr>
                <w:rFonts w:hint="eastAsia" w:ascii="Times New Roman" w:hAnsi="Times New Roman"/>
                <w:sz w:val="18"/>
                <w:szCs w:val="18"/>
              </w:rPr>
              <w:t>等</w:t>
            </w:r>
            <w:r>
              <w:rPr>
                <w:rFonts w:ascii="Times New Roman" w:hAnsi="Times New Roman"/>
                <w:sz w:val="18"/>
                <w:szCs w:val="18"/>
              </w:rPr>
              <w:t>储存设施出水口。</w:t>
            </w:r>
          </w:p>
          <w:p w14:paraId="146C99F9">
            <w:pPr>
              <w:adjustRightInd w:val="0"/>
              <w:ind w:firstLine="360" w:firstLineChars="200"/>
              <w:jc w:val="left"/>
              <w:rPr>
                <w:rFonts w:ascii="Times New Roman" w:hAnsi="Times New Roman"/>
                <w:sz w:val="18"/>
                <w:szCs w:val="18"/>
              </w:rPr>
            </w:pPr>
            <w:r>
              <w:rPr>
                <w:rFonts w:hint="eastAsia" w:ascii="Times New Roman" w:hAnsi="Times New Roman"/>
                <w:sz w:val="18"/>
                <w:szCs w:val="18"/>
              </w:rPr>
              <w:t>e</w:t>
            </w:r>
            <w:r>
              <w:rPr>
                <w:rFonts w:ascii="Times New Roman" w:hAnsi="Times New Roman"/>
                <w:sz w:val="18"/>
                <w:szCs w:val="18"/>
              </w:rPr>
              <w:t>．对于生产过程循环用水单元，为循环回用水回用前（在同一车间封闭管网循环回用的除外）的处理设施排放口；如无处理设施，则为储存设施出水口。</w:t>
            </w:r>
          </w:p>
          <w:p w14:paraId="7ADC95F8">
            <w:pPr>
              <w:spacing w:line="300" w:lineRule="auto"/>
              <w:ind w:left="357" w:leftChars="170"/>
              <w:rPr>
                <w:rFonts w:ascii="Times New Roman" w:hAnsi="Times New Roman" w:cs="Times New Roman"/>
                <w:sz w:val="18"/>
                <w:szCs w:val="18"/>
              </w:rPr>
            </w:pPr>
            <w:r>
              <w:rPr>
                <w:rFonts w:hint="eastAsia" w:ascii="Times New Roman" w:hAnsi="Times New Roman"/>
                <w:sz w:val="18"/>
                <w:szCs w:val="18"/>
              </w:rPr>
              <w:t>f</w:t>
            </w:r>
            <w:r>
              <w:rPr>
                <w:rFonts w:ascii="Times New Roman" w:hAnsi="Times New Roman"/>
                <w:sz w:val="18"/>
                <w:szCs w:val="18"/>
              </w:rPr>
              <w:t>．其他</w:t>
            </w:r>
            <w:r>
              <w:rPr>
                <w:rFonts w:hint="eastAsia" w:ascii="Times New Roman" w:hAnsi="Times New Roman"/>
                <w:sz w:val="18"/>
                <w:szCs w:val="18"/>
              </w:rPr>
              <w:t>涉铊工业企业生产单元为废水处理设施排放口；</w:t>
            </w:r>
            <w:r>
              <w:rPr>
                <w:rFonts w:ascii="Times New Roman" w:hAnsi="Times New Roman"/>
                <w:sz w:val="18"/>
                <w:szCs w:val="18"/>
              </w:rPr>
              <w:t>如无处理设施，则为</w:t>
            </w:r>
            <w:r>
              <w:rPr>
                <w:rFonts w:hint="eastAsia" w:ascii="Times New Roman" w:hAnsi="Times New Roman"/>
                <w:sz w:val="18"/>
                <w:szCs w:val="18"/>
              </w:rPr>
              <w:t>废水</w:t>
            </w:r>
            <w:r>
              <w:rPr>
                <w:rFonts w:ascii="Times New Roman" w:hAnsi="Times New Roman"/>
                <w:sz w:val="18"/>
                <w:szCs w:val="18"/>
              </w:rPr>
              <w:t>储存设施出水口。</w:t>
            </w:r>
          </w:p>
        </w:tc>
      </w:tr>
    </w:tbl>
    <w:p w14:paraId="70D719E3"/>
    <w:p w14:paraId="3C57945C">
      <w:pPr>
        <w:snapToGrid w:val="0"/>
        <w:spacing w:line="300" w:lineRule="auto"/>
        <w:rPr>
          <w:rFonts w:ascii="Times New Roman" w:hAnsi="Times New Roman" w:cs="Times New Roman"/>
        </w:rPr>
      </w:pPr>
      <w:r>
        <w:rPr>
          <w:rFonts w:ascii="黑体" w:hAnsi="黑体" w:eastAsia="黑体" w:cs="Times New Roman"/>
        </w:rPr>
        <w:t>4.</w:t>
      </w:r>
      <w:r>
        <w:rPr>
          <w:rFonts w:hint="eastAsia" w:ascii="黑体" w:hAnsi="黑体" w:eastAsia="黑体" w:cs="Times New Roman"/>
        </w:rPr>
        <w:t>2</w:t>
      </w:r>
      <w:r>
        <w:rPr>
          <w:rFonts w:ascii="Times New Roman" w:cs="Times New Roman"/>
        </w:rPr>
        <w:t xml:space="preserve"> </w:t>
      </w:r>
      <w:r>
        <w:rPr>
          <w:rFonts w:ascii="Times New Roman" w:cs="Times New Roman"/>
          <w:spacing w:val="16"/>
        </w:rPr>
        <w:t xml:space="preserve"> </w:t>
      </w:r>
      <w:r>
        <w:rPr>
          <w:rFonts w:ascii="Times New Roman" w:hAnsi="Times New Roman" w:cs="Times New Roman"/>
        </w:rPr>
        <w:t>铊污染物排放浓度限值适用于单位产品实际排水量不高于单位产品基准排水量的情况。若单位产品实际排水量超过单位产品基准排水量，须按公式（1）将实测</w:t>
      </w:r>
      <w:r>
        <w:rPr>
          <w:rFonts w:hint="eastAsia" w:ascii="Times New Roman" w:hAnsi="Times New Roman" w:cs="Times New Roman"/>
        </w:rPr>
        <w:t>铊</w:t>
      </w:r>
      <w:r>
        <w:rPr>
          <w:rFonts w:ascii="Times New Roman" w:hAnsi="Times New Roman" w:cs="Times New Roman"/>
        </w:rPr>
        <w:t>污染物浓度换算为</w:t>
      </w:r>
      <w:r>
        <w:rPr>
          <w:rFonts w:hint="eastAsia" w:ascii="Times New Roman" w:hAnsi="Times New Roman" w:cs="Times New Roman"/>
        </w:rPr>
        <w:t>铊</w:t>
      </w:r>
      <w:r>
        <w:rPr>
          <w:rFonts w:ascii="Times New Roman" w:hAnsi="Times New Roman" w:cs="Times New Roman"/>
        </w:rPr>
        <w:t>污染物基准水量排放浓度，并以</w:t>
      </w:r>
      <w:r>
        <w:rPr>
          <w:rFonts w:hint="eastAsia" w:ascii="Times New Roman" w:hAnsi="Times New Roman" w:cs="Times New Roman"/>
        </w:rPr>
        <w:t>铊</w:t>
      </w:r>
      <w:r>
        <w:rPr>
          <w:rFonts w:ascii="Times New Roman" w:hAnsi="Times New Roman" w:cs="Times New Roman"/>
        </w:rPr>
        <w:t>污染物基准排水量排放浓度作为判定排放是否达标的依据。产品产量和排水量的统计周期为一个工作日。</w:t>
      </w:r>
    </w:p>
    <w:p w14:paraId="5ED143A8">
      <w:pPr>
        <w:spacing w:before="67" w:line="211" w:lineRule="exact"/>
        <w:ind w:right="226"/>
        <w:jc w:val="center"/>
        <w:rPr>
          <w:rFonts w:ascii="Times New Roman"/>
          <w:i/>
          <w:sz w:val="24"/>
        </w:rPr>
      </w:pPr>
      <w:r>
        <w:rPr>
          <w:rFonts w:ascii="宋体"/>
          <w:sz w:val="22"/>
        </w:rPr>
        <mc:AlternateContent>
          <mc:Choice Requires="wpg">
            <w:drawing>
              <wp:anchor distT="0" distB="0" distL="114300" distR="114300" simplePos="0" relativeHeight="251670528" behindDoc="1" locked="0" layoutInCell="1" allowOverlap="1">
                <wp:simplePos x="0" y="0"/>
                <wp:positionH relativeFrom="page">
                  <wp:posOffset>3277235</wp:posOffset>
                </wp:positionH>
                <wp:positionV relativeFrom="paragraph">
                  <wp:posOffset>45085</wp:posOffset>
                </wp:positionV>
                <wp:extent cx="1171575" cy="358775"/>
                <wp:effectExtent l="0" t="0" r="0" b="0"/>
                <wp:wrapNone/>
                <wp:docPr id="21" name="组合 2"/>
                <wp:cNvGraphicFramePr/>
                <a:graphic xmlns:a="http://schemas.openxmlformats.org/drawingml/2006/main">
                  <a:graphicData uri="http://schemas.microsoft.com/office/word/2010/wordprocessingGroup">
                    <wpg:wgp>
                      <wpg:cNvGrpSpPr/>
                      <wpg:grpSpPr>
                        <a:xfrm>
                          <a:off x="0" y="0"/>
                          <a:ext cx="1171575" cy="358775"/>
                          <a:chOff x="5147" y="211"/>
                          <a:chExt cx="1845" cy="565"/>
                        </a:xfrm>
                      </wpg:grpSpPr>
                      <pic:pic xmlns:pic="http://schemas.openxmlformats.org/drawingml/2006/picture">
                        <pic:nvPicPr>
                          <pic:cNvPr id="13" name="Picture 11"/>
                          <pic:cNvPicPr>
                            <a:picLocks noChangeAspect="1"/>
                          </pic:cNvPicPr>
                        </pic:nvPicPr>
                        <pic:blipFill>
                          <a:blip r:embed="rId12"/>
                          <a:stretch>
                            <a:fillRect/>
                          </a:stretch>
                        </pic:blipFill>
                        <pic:spPr>
                          <a:xfrm>
                            <a:off x="5147" y="280"/>
                            <a:ext cx="1845" cy="240"/>
                          </a:xfrm>
                          <a:prstGeom prst="rect">
                            <a:avLst/>
                          </a:prstGeom>
                          <a:noFill/>
                          <a:ln>
                            <a:noFill/>
                          </a:ln>
                        </pic:spPr>
                      </pic:pic>
                      <pic:pic xmlns:pic="http://schemas.openxmlformats.org/drawingml/2006/picture">
                        <pic:nvPicPr>
                          <pic:cNvPr id="14" name="Picture 12"/>
                          <pic:cNvPicPr>
                            <a:picLocks noChangeAspect="1"/>
                          </pic:cNvPicPr>
                        </pic:nvPicPr>
                        <pic:blipFill>
                          <a:blip r:embed="rId13"/>
                          <a:stretch>
                            <a:fillRect/>
                          </a:stretch>
                        </pic:blipFill>
                        <pic:spPr>
                          <a:xfrm>
                            <a:off x="6471" y="280"/>
                            <a:ext cx="521" cy="240"/>
                          </a:xfrm>
                          <a:prstGeom prst="rect">
                            <a:avLst/>
                          </a:prstGeom>
                          <a:noFill/>
                          <a:ln>
                            <a:noFill/>
                          </a:ln>
                        </pic:spPr>
                      </pic:pic>
                      <pic:pic xmlns:pic="http://schemas.openxmlformats.org/drawingml/2006/picture">
                        <pic:nvPicPr>
                          <pic:cNvPr id="15" name="Picture 13"/>
                          <pic:cNvPicPr>
                            <a:picLocks noChangeAspect="1"/>
                          </pic:cNvPicPr>
                        </pic:nvPicPr>
                        <pic:blipFill>
                          <a:blip r:embed="rId14"/>
                          <a:stretch>
                            <a:fillRect/>
                          </a:stretch>
                        </pic:blipFill>
                        <pic:spPr>
                          <a:xfrm>
                            <a:off x="5649" y="438"/>
                            <a:ext cx="1343" cy="338"/>
                          </a:xfrm>
                          <a:prstGeom prst="rect">
                            <a:avLst/>
                          </a:prstGeom>
                          <a:noFill/>
                          <a:ln>
                            <a:noFill/>
                          </a:ln>
                        </pic:spPr>
                      </pic:pic>
                      <wps:wsp>
                        <wps:cNvPr id="16" name="Text Box 14"/>
                        <wps:cNvSpPr/>
                        <wps:spPr>
                          <a:xfrm>
                            <a:off x="5300" y="406"/>
                            <a:ext cx="142" cy="139"/>
                          </a:xfrm>
                          <a:prstGeom prst="rect">
                            <a:avLst/>
                          </a:prstGeom>
                          <a:noFill/>
                          <a:ln>
                            <a:noFill/>
                          </a:ln>
                        </wps:spPr>
                        <wps:txbx>
                          <w:txbxContent>
                            <w:p w14:paraId="0EC13012">
                              <w:pPr>
                                <w:spacing w:line="139" w:lineRule="exact"/>
                                <w:rPr>
                                  <w:sz w:val="14"/>
                                </w:rPr>
                              </w:pPr>
                              <w:r>
                                <w:rPr>
                                  <w:w w:val="101"/>
                                  <w:sz w:val="14"/>
                                </w:rPr>
                                <w:t>基</w:t>
                              </w:r>
                            </w:p>
                          </w:txbxContent>
                        </wps:txbx>
                        <wps:bodyPr lIns="0" tIns="0" rIns="0" bIns="0" upright="1"/>
                      </wps:wsp>
                      <wps:wsp>
                        <wps:cNvPr id="17" name="Text Box 15"/>
                        <wps:cNvSpPr/>
                        <wps:spPr>
                          <a:xfrm>
                            <a:off x="5470" y="211"/>
                            <a:ext cx="983" cy="263"/>
                          </a:xfrm>
                          <a:prstGeom prst="rect">
                            <a:avLst/>
                          </a:prstGeom>
                          <a:noFill/>
                          <a:ln>
                            <a:noFill/>
                          </a:ln>
                        </wps:spPr>
                        <wps:txbx>
                          <w:txbxContent>
                            <w:p w14:paraId="3171A2E5">
                              <w:pPr>
                                <w:tabs>
                                  <w:tab w:val="left" w:pos="579"/>
                                  <w:tab w:val="left" w:pos="982"/>
                                </w:tabs>
                                <w:spacing w:line="262" w:lineRule="exact"/>
                                <w:rPr>
                                  <w:sz w:val="14"/>
                                </w:rPr>
                              </w:pPr>
                              <w:r>
                                <w:rPr>
                                  <w:rFonts w:ascii="Times New Roman" w:eastAsia="Times New Roman"/>
                                  <w:position w:val="-9"/>
                                  <w:sz w:val="24"/>
                                </w:rPr>
                                <w:t>=</w:t>
                              </w:r>
                              <w:r>
                                <w:rPr>
                                  <w:rFonts w:ascii="Times New Roman" w:eastAsia="Times New Roman"/>
                                  <w:sz w:val="14"/>
                                  <w:u w:val="single"/>
                                </w:rPr>
                                <w:t xml:space="preserve"> </w:t>
                              </w:r>
                              <w:r>
                                <w:rPr>
                                  <w:rFonts w:ascii="Times New Roman" w:eastAsia="Times New Roman"/>
                                  <w:sz w:val="14"/>
                                  <w:u w:val="single"/>
                                </w:rPr>
                                <w:tab/>
                              </w:r>
                              <w:r>
                                <w:rPr>
                                  <w:sz w:val="14"/>
                                  <w:u w:val="single"/>
                                </w:rPr>
                                <w:t>总</w:t>
                              </w:r>
                              <w:r>
                                <w:rPr>
                                  <w:sz w:val="14"/>
                                  <w:u w:val="single"/>
                                </w:rPr>
                                <w:tab/>
                              </w:r>
                            </w:p>
                          </w:txbxContent>
                        </wps:txbx>
                        <wps:bodyPr lIns="0" tIns="0" rIns="0" bIns="0" upright="1"/>
                      </wps:wsp>
                      <wps:wsp>
                        <wps:cNvPr id="18" name="Text Box 16"/>
                        <wps:cNvSpPr/>
                        <wps:spPr>
                          <a:xfrm>
                            <a:off x="5913" y="450"/>
                            <a:ext cx="674" cy="260"/>
                          </a:xfrm>
                          <a:prstGeom prst="rect">
                            <a:avLst/>
                          </a:prstGeom>
                          <a:noFill/>
                          <a:ln>
                            <a:noFill/>
                          </a:ln>
                        </wps:spPr>
                        <wps:txbx>
                          <w:txbxContent>
                            <w:p w14:paraId="4F7D3995">
                              <w:pPr>
                                <w:spacing w:line="240" w:lineRule="exact"/>
                                <w:ind w:right="-18"/>
                                <w:rPr>
                                  <w:rFonts w:ascii="Times New Roman"/>
                                  <w:i/>
                                  <w:sz w:val="24"/>
                                </w:rPr>
                              </w:pPr>
                              <w:r>
                                <w:rPr>
                                  <w:rFonts w:ascii="Times New Roman"/>
                                  <w:i/>
                                  <w:sz w:val="24"/>
                                </w:rPr>
                                <w:t>Y</w:t>
                              </w:r>
                              <w:r>
                                <w:rPr>
                                  <w:rFonts w:ascii="Times New Roman"/>
                                  <w:i/>
                                  <w:spacing w:val="-27"/>
                                  <w:sz w:val="24"/>
                                </w:rPr>
                                <w:t xml:space="preserve"> </w:t>
                              </w:r>
                              <w:r>
                                <w:rPr>
                                  <w:rFonts w:ascii="Times New Roman"/>
                                  <w:i/>
                                  <w:spacing w:val="-17"/>
                                  <w:sz w:val="24"/>
                                </w:rPr>
                                <w:t>Q</w:t>
                              </w:r>
                            </w:p>
                          </w:txbxContent>
                        </wps:txbx>
                        <wps:bodyPr lIns="0" tIns="0" rIns="0" bIns="0" upright="1"/>
                      </wps:wsp>
                      <wps:wsp>
                        <wps:cNvPr id="19" name="Text Box 17"/>
                        <wps:cNvSpPr/>
                        <wps:spPr>
                          <a:xfrm>
                            <a:off x="6812" y="408"/>
                            <a:ext cx="142" cy="139"/>
                          </a:xfrm>
                          <a:prstGeom prst="rect">
                            <a:avLst/>
                          </a:prstGeom>
                          <a:noFill/>
                          <a:ln>
                            <a:noFill/>
                          </a:ln>
                        </wps:spPr>
                        <wps:txbx>
                          <w:txbxContent>
                            <w:p w14:paraId="769B7725">
                              <w:pPr>
                                <w:spacing w:line="139" w:lineRule="exact"/>
                                <w:rPr>
                                  <w:sz w:val="14"/>
                                </w:rPr>
                              </w:pPr>
                              <w:r>
                                <w:rPr>
                                  <w:w w:val="101"/>
                                  <w:sz w:val="14"/>
                                </w:rPr>
                                <w:t>实</w:t>
                              </w:r>
                            </w:p>
                          </w:txbxContent>
                        </wps:txbx>
                        <wps:bodyPr lIns="0" tIns="0" rIns="0" bIns="0" upright="1"/>
                      </wps:wsp>
                      <wps:wsp>
                        <wps:cNvPr id="20" name="Text Box 18"/>
                        <wps:cNvSpPr/>
                        <wps:spPr>
                          <a:xfrm>
                            <a:off x="6029" y="593"/>
                            <a:ext cx="750" cy="138"/>
                          </a:xfrm>
                          <a:prstGeom prst="rect">
                            <a:avLst/>
                          </a:prstGeom>
                          <a:noFill/>
                          <a:ln>
                            <a:noFill/>
                          </a:ln>
                        </wps:spPr>
                        <wps:txbx>
                          <w:txbxContent>
                            <w:p w14:paraId="79B2F207">
                              <w:pPr>
                                <w:spacing w:line="146" w:lineRule="exact"/>
                                <w:rPr>
                                  <w:sz w:val="14"/>
                                </w:rPr>
                              </w:pPr>
                              <w:r>
                                <w:rPr>
                                  <w:rFonts w:ascii="Times New Roman" w:eastAsia="Times New Roman"/>
                                  <w:i/>
                                  <w:position w:val="1"/>
                                  <w:sz w:val="14"/>
                                </w:rPr>
                                <w:t xml:space="preserve">i   </w:t>
                              </w:r>
                              <w:r>
                                <w:rPr>
                                  <w:rFonts w:ascii="Times New Roman" w:eastAsia="Times New Roman"/>
                                  <w:i/>
                                  <w:sz w:val="14"/>
                                </w:rPr>
                                <w:t>i</w:t>
                              </w:r>
                              <w:r>
                                <w:rPr>
                                  <w:sz w:val="14"/>
                                </w:rPr>
                                <w:t>基</w:t>
                              </w:r>
                            </w:p>
                          </w:txbxContent>
                        </wps:txbx>
                        <wps:bodyPr lIns="0" tIns="0" rIns="0" bIns="0" upright="1"/>
                      </wps:wsp>
                    </wpg:wgp>
                  </a:graphicData>
                </a:graphic>
              </wp:anchor>
            </w:drawing>
          </mc:Choice>
          <mc:Fallback>
            <w:pict>
              <v:group id="组合 2" o:spid="_x0000_s1026" o:spt="203" style="position:absolute;left:0pt;margin-left:258.05pt;margin-top:3.55pt;height:28.25pt;width:92.25pt;mso-position-horizontal-relative:page;z-index:-251645952;mso-width-relative:page;mso-height-relative:page;" coordorigin="5147,211" coordsize="1845,565" o:gfxdata="UEsDBAoAAAAAAIdO4kAAAAAAAAAAAAAAAAAEAAAAZHJzL1BLAwQUAAAACACHTuJAgLJgxdcAAAAI&#10;AQAADwAAAGRycy9kb3ducmV2LnhtbE2PQUvDQBCF74L/YRnBm92spanEbIoU9VQEW0G8TZNpEpqd&#10;Ddlt0v57x5M9DcN7vPe9fHV2nRppCK1nC2aWgCIufdVybeFr9/bwBCpE5Ao7z2ThQgFWxe1Njlnl&#10;J/6kcRtrJSEcMrTQxNhnWoeyIYdh5nti0Q5+cBjlHWpdDThJuOv0Y5Kk2mHL0tBgT+uGyuP25Cy8&#10;Tzi9zM3ruDke1pef3eLje2PI2vs7kzyDinSO/2b4wxd0KIRp709cBdVZWJjUiNXCUo7oS2kDtbeQ&#10;zlPQRa6vBxS/UEsDBBQAAAAIAIdO4kCXlo9slQMAADQRAAAOAAAAZHJzL2Uyb0RvYy54bWztWFtv&#10;0zAUfkfiP1h5Z2nSXNpoHQIGExKCissPcF3nIpLYst21e+eBR/4PvwfxNzjHTrItG6KgFWmIh7bH&#10;t+NzvnN1jx/vmpqcc6Ur0S684GjiEd4ysa7aYuF9eP/i0cwj2tB2TWvR8oV3wbX3+OThg+OtzHgo&#10;SlGvuSLApNXZVi680hiZ+b5mJW+oPhKSt7CYC9VQA0NV+GtFt8C9qf1wMkn8rVBrqQTjWsPsqVv0&#10;Oo5qH4YizyvGTwXbNLw1jqviNTWgki4rqb0TK22ec2be5LnmhtQLDzQ19hsuAXqF3/7JMc0KRWVZ&#10;sU4Euo8II50aWrVw6cDqlBpKNqq6waqpmBJa5OaIicZ3ilhEQItgMsLmTImNtLoU2baQA+hgqBHq&#10;f8yWvT5fKlKtF14YeKSlDVj8+9dP3758JiGCs5VFBnvOlHwnl6qbKNwI9d3lqsFf0ITsLKwXA6x8&#10;ZwiDySBIgziNPcJgbRrPUqAt7qwE4+CxOIhSj8BqGAT90vP+9CzqjsaJPef3t/oo3CCLrFgGnw4k&#10;oG6A9GvXhFNmozhAjtza82XFlsoNLoEKpj1QsIzbiRMaj+Aud4aiMK8E+6hJK56VtC34Ey3BHwEP&#10;VNG/vt0Or124qiv5oqprRBfpuw0QojLerDjYXb1cd5hro7hhJV6Yw8VvQVgUlGbDgpXyUjBUQYNb&#10;3OIIlxaddUE2eMNgzzCyS4M9ATKlzRkXDUECRAMJwBY0o+evdCdLvwWnW4EAWVeq22sTwBNnrLxO&#10;QkuCwM6aQPwFR4luOIqNqeuWv0+OYsW/4g934ChJlELiwdAfO0qMGQlTxj/vJ5DfXOZd9glliini&#10;/vqJFf9u/SROorn1k2g6cyViSCjTCDKyrS1u6W8nlK2ETkj3CRpGNyrPb5XndyWVWIKQ7ZWqk/RO&#10;8h4Vfyp2JIgQiG7bUJ71T1PydAJdD8RTNElGCEahAzCYznHlkACiuC4jI2V2q12nw0qsL6AVqV+2&#10;gB+2aj2hemLVExupqqIcKikyAvwdFIc3BHQqLlovDWH7kv0NEaXOEEO307vyfNZ5cpjYEPpvCPtG&#10;+ElEwENlbAjr2PsbYo69HEZEPGpSkhRqt609ycF7FBT3fkcEJOaxIdLfSk3JLIAMZFPTOLn/T023&#10;vQxvj4gQ0srYEBbPvSMimYSuysbzrob3qSmFELERERy+yB4yIuyjER7Ttsp1D398rV8dA331z46T&#10;H1BLAwQKAAAAAACHTuJAAAAAAAAAAAAAAAAACgAAAGRycy9tZWRpYS9QSwMEFAAAAAgAh07iQDVL&#10;GMXIAgAAwwIAABQAAABkcnMvbWVkaWEvaW1hZ2UxLnBuZwHDAjz9iVBORw0KGgoAAAANSUhEUgAA&#10;ARoAAAAlCAYAAACd6CZ2AAAAAXNSR0IArs4c6QAAAARnQU1BAACxjwv8YQUAAAAJcEhZcwAAIdUA&#10;ACHVAQSctJ0AAAJYSURBVHhe7d09r01BGMXxQyUkNF4KlQiFaPAJVDqlTyDRiERCRUer0SiEXoNG&#10;FHwGCYWEkEiodCQoCNbaySRPJtu9Mzt3nz17+/+SVcxz7iQzxbrJPfe8rAAAAAAAAAAAAAAAAAAA&#10;AAD85y4rv5Q/WTwHMC338Jsyy36eVPKD/yvHFADrc0Lp62JfjitN+qGkQ+70ILiuxEuk7FUAjO+7&#10;knqX9/OSEnuZckhpynvFBzvTrfrtUfKLOADG9UZx1852q37+5ZN302nGR8UHetetNtfsRYAFci/d&#10;s0/danNN9nPIgeKemn0A6gzpWdxTs29UQw4U99TsA1BnSM/inpp9o3mppMNc9aBQvIQDYOu9UFLH&#10;bnpQKHbTmdzQw8R9+zwAsOViz2rEfYc9mNJtJR6oxtB9AMrcUIb2bOi+UcTDnPKg0FelmUsACxX7&#10;edqDQv7PVFP9jBfZ5UGhtOdBtwIwhtjP3R4USnuedKuJ5a8iLHVfqd0DoM4FZUg/7yhN9fODkg70&#10;xYMC95SmLgEs1Gslda20b/E512bESzjblI08U/xzfqcogHHl/dyubOSh0lw/Dyj5RZw+fqfob8WP&#10;1zxhDGCYHUreTafPEeWn4seb62c8/Kts3ZcrCoD1iN17m637ck1pzkElHjJ6nAXAeu1XFtHP80q6&#10;BM+3AG05p6R++rNnZitdwrnoAYBmxH42+SdRqXgRAG1ZRD/vKukSTz0A0IxbSurncw/mKl3COeoB&#10;gGbEfvoLAmYpveDO+ewBgGY8UlI//QUBs5Uu4QBoR/6B4gAAAJjIavUXVu8vVCnHkRgAAAAASUVO&#10;RK5CYIJQSwMEFAAAAAgAh07iQOUQP3h+AQAAeQEAABQAAABkcnMvbWVkaWEvaW1hZ2UyLnBuZwF5&#10;AYb+iVBORw0KGgoAAAANSUhEUgAAAFAAAAAlCAYAAADV/m7fAAAAAXNSR0IArs4c6QAAAARnQU1B&#10;AACxjwv8YQUAAAAJcEhZcwAAIdUAACHVAQSctJ0AAAEOSURBVGhD7dcxSwJxGMfxf28kai7askHC&#10;IYigzRxqrSkig1ZraKylt+Dkm3FocHNuKHB1C/L3e+4utPK624S+H/ji/znP5UFREwAAAACsjIY6&#10;y461HKlhdvzfztWnasVUzY7yayYxIe0rL6QdU7lt5Xsd5hwoL+Umpt+dKJZX4lR5OVcxLSqee4sJ&#10;Sx0rL2r+i6WpfO01JvxpXXlhXXWYnx1q8M+bYnEfvoB6LlWxwHtfQHUd5cWN1W5+vlWo4EJ9/9iu&#10;KV97iglLPSgv6j2mRVvKz/Vjwg93ygsq+3+7p3zPc0z4cq28mJeYym0q3/sYE1JPeSHTmKrzawbZ&#10;EaP8sY4N5XcjAAAAAACrKaUZZm03wGPevC4AAAAASUVORK5CYIJQSwMEFAAAAAgAh07iQOTwqZs2&#10;AgAAMQIAABQAAABkcnMvbWVkaWEvaW1hZ2UzLnBuZwExAs79iVBORw0KGgoAAAANSUhEUgAAAM0A&#10;AAA0CAYAAAApIby4AAAAAXNSR0IArs4c6QAAAARnQU1BAACxjwv8YQUAAAAJcEhZcwAAIdUAACHV&#10;AQSctJ0AAAHGSURBVHhe7dzNKkVRHIbxU1LKUBkbKQNX4CsTZSaipFyAfGRGuQIuwqUoMyOJkQzE&#10;0EDKgIGP97+cXbvV2ktqr33O2p5fPR1rsvdkvQMn6fS5we4nAADAPzXfw4AsffWwYQVkZ0CFLvSx&#10;mqixA+W/40kBWVpS/oW29lXdllXxfEaDrK2p8mCKUlhX9mxGg+zdKX80VorfPey5jAat4A+mqG6r&#10;KsVzgZ7wB2M9qLrZc4HW8EdjPao67XY/gdYIDWdDAagwo0LD2VQAKoyq0HAARFwrhgP80ZnyR1P3&#10;FwNA6/ijKQIQ8an80fCNGhAxpvzRWEcKQIU5FRoOgIhzFRrOkAJQ4VKVB3OqAPyiGMyJOwGIulU2&#10;mG13AhB1oWwwW+4EIOpG2WAO3QlA1Ieywey4E4Cod2WDWXQnAFH3ygYz604AouyvmW0w9m+eUpju&#10;fgKtYGOxVtypfldq7+dHIH82Fvur5pTsHYwGrfCq7EKnNKJSvwNoxLNKfZmnlL2D0SB7TVxk+8q6&#10;eA+jQdaKS7yQqPJQygFZCl3mJnpRQHbeVOhCN9GkArISushNxmiQlXEVushNBgAAAAAAAAAAAAAA&#10;AADod53ON79VTzT5tnCnAAAAAElFTkSuQmC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DcnR2HGAAAAKQIAABkAAABkcnMvX3JlbHMvZTJvRG9j&#10;LnhtbC5yZWxzvZHBagIxEIbvQt8hzL2b3RWKiFkvIngV+wBDMpsNbiYhiaW+vYFSqCD15nFm+L//&#10;g9lsv/0svihlF1hB17QgiHUwjq2Cz9P+fQUiF2SDc2BScKUM2+FtsTnSjKWG8uRiFpXCWcFUSlxL&#10;mfVEHnMTInG9jCF5LHVMVkbUZ7Qk+7b9kOkvA4Y7pjgYBelgliBO11ibn7PDODpNu6Avnrg8qJDO&#10;1+4KxGSpKPBkHP4sl01kC/KxQ/8ah/4/h+41Dt2vg7x78HADUEsDBBQAAAAIAIdO4kB557oEBAEA&#10;ABMCAAATAAAAW0NvbnRlbnRfVHlwZXNdLnhtbJWRwU7DMAyG70i8Q5QralN2QAit3YGOIyA0HiBK&#10;3DaicaI4lO3tSbpNgokh7Rjb3+8vyXK1tSObIJBxWPPbsuIMUDltsK/5++apuOeMokQtR4dQ8x0Q&#10;XzXXV8vNzgOxRCPVfIjRPwhBagArqXQeMHU6F6yM6Rh64aX6kD2IRVXdCeUwAsYi5gzeLFvo5OcY&#10;2XqbynsTjz1nj/u5vKrmxmY+18WfRICRThDp/WiUjOluYkJ94lUcnMpEzjM0GE83SfzMhtz57fRz&#10;wYF7SY8ZjAb2KkN8ljaZCx1IaPeFAaby/5BsaalwXWcUlG2gNmFvMB2tzqXDwrVOXRq+nqljtpi/&#10;tPkGUEsBAhQAFAAAAAgAh07iQHnnugQEAQAAEwIAABMAAAAAAAAAAQAgAAAAZA4AAFtDb250ZW50&#10;X1R5cGVzXS54bWxQSwECFAAKAAAAAACHTuJAAAAAAAAAAAAAAAAABgAAAAAAAAAAABAAAAAhDAAA&#10;X3JlbHMvUEsBAhQAFAAAAAgAh07iQIoUZjzRAAAAlAEAAAsAAAAAAAAAAQAgAAAARQwAAF9yZWxz&#10;Ly5yZWxzUEsBAhQACgAAAAAAh07iQAAAAAAAAAAAAAAAAAQAAAAAAAAAAAAQAAAAAAAAAGRycy9Q&#10;SwECFAAKAAAAAACHTuJAAAAAAAAAAAAAAAAACgAAAAAAAAAAABAAAAA/DQAAZHJzL19yZWxzL1BL&#10;AQIUABQAAAAIAIdO4kA3J0dhxgAAACkCAAAZAAAAAAAAAAEAIAAAAGcNAABkcnMvX3JlbHMvZTJv&#10;RG9jLnhtbC5yZWxzUEsBAhQAFAAAAAgAh07iQICyYMXXAAAACAEAAA8AAAAAAAAAAQAgAAAAIgAA&#10;AGRycy9kb3ducmV2LnhtbFBLAQIUABQAAAAIAIdO4kCXlo9slQMAADQRAAAOAAAAAAAAAAEAIAAA&#10;ACYBAABkcnMvZTJvRG9jLnhtbFBLAQIUAAoAAAAAAIdO4kAAAAAAAAAAAAAAAAAKAAAAAAAAAAAA&#10;EAAAAOcEAABkcnMvbWVkaWEvUEsBAhQAFAAAAAgAh07iQDVLGMXIAgAAwwIAABQAAAAAAAAAAQAg&#10;AAAADwUAAGRycy9tZWRpYS9pbWFnZTEucG5nUEsBAhQAFAAAAAgAh07iQOUQP3h+AQAAeQEAABQA&#10;AAAAAAAAAQAgAAAACQgAAGRycy9tZWRpYS9pbWFnZTIucG5nUEsBAhQAFAAAAAgAh07iQOTwqZs2&#10;AgAAMQIAABQAAAAAAAAAAQAgAAAAuQkAAGRycy9tZWRpYS9pbWFnZTMucG5nUEsFBgAAAAAMAAwA&#10;1gIAAJkPAAAAAA==&#10;">
                <o:lock v:ext="edit" aspectratio="f"/>
                <v:shape id="Picture 11" o:spid="_x0000_s1026" o:spt="75" type="#_x0000_t75" style="position:absolute;left:5147;top:280;height:240;width:1845;" filled="f" o:preferrelative="t" stroked="f" coordsize="21600,21600" o:gfxdata="UEsDBAoAAAAAAIdO4kAAAAAAAAAAAAAAAAAEAAAAZHJzL1BLAwQUAAAACACHTuJAY72sObcAAADb&#10;AAAADwAAAGRycy9kb3ducmV2LnhtbEVPyQrCMBC9C/5DGMGbpiqoVKOgIOihuB+8Dc3YFptJaeL2&#10;90YQvM3jrTOdv0wpHlS7wrKCXjcCQZxaXXCm4HRcdcYgnEfWWFomBW9yMJ81G1OMtX3ynh4Hn4kQ&#10;wi5GBbn3VSylS3My6Lq2Ig7c1dYGfYB1JnWNzxBuStmPoqE0WHBoyLGiZU7p7XA3Cqpkudgmm0uS&#10;lZuzo3Q3GmN/pFS71YsmIDy9/F/8c691mD+A7y/hADn7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jvaw5twAAANsAAAAP&#10;AAAAAAAAAAEAIAAAACIAAABkcnMvZG93bnJldi54bWxQSwECFAAUAAAACACHTuJAMy8FnjsAAAA5&#10;AAAAEAAAAAAAAAABACAAAAAGAQAAZHJzL3NoYXBleG1sLnhtbFBLBQYAAAAABgAGAFsBAACwAwAA&#10;AAA=&#10;">
                  <v:fill on="f" focussize="0,0"/>
                  <v:stroke on="f"/>
                  <v:imagedata r:id="rId12" o:title=""/>
                  <o:lock v:ext="edit" aspectratio="t"/>
                </v:shape>
                <v:shape id="Picture 12" o:spid="_x0000_s1026" o:spt="75" type="#_x0000_t75" style="position:absolute;left:6471;top:280;height:240;width:521;" filled="f" o:preferrelative="t" stroked="f" coordsize="21600,21600" o:gfxdata="UEsDBAoAAAAAAIdO4kAAAAAAAAAAAAAAAAAEAAAAZHJzL1BLAwQUAAAACACHTuJAgN6Nb7sAAADb&#10;AAAADwAAAGRycy9kb3ducmV2LnhtbEVPTYvCMBC9L/gfwgje1tRVVKqpSGHBg7Cs9eJtaMa2tpnU&#10;Jlr99xthwds83uesNw/TiDt1rrKsYDKOQBDnVldcKDhm359LEM4ja2wsk4InOdgkg481xtr2/Ev3&#10;gy9ECGEXo4LS+zaW0uUlGXRj2xIH7mw7gz7ArpC6wz6Em0Z+RdFcGqw4NJTYUlpSXh9uRoG97qeL&#10;n3Z32qf5dnHRdZ+lp16p0XASrUB4evi3+N+902H+DF6/hANk8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N6Nb7sAAADb&#10;AAAADwAAAAAAAAABACAAAAAiAAAAZHJzL2Rvd25yZXYueG1sUEsBAhQAFAAAAAgAh07iQDMvBZ47&#10;AAAAOQAAABAAAAAAAAAAAQAgAAAACgEAAGRycy9zaGFwZXhtbC54bWxQSwUGAAAAAAYABgBbAQAA&#10;tAMAAAAA&#10;">
                  <v:fill on="f" focussize="0,0"/>
                  <v:stroke on="f"/>
                  <v:imagedata r:id="rId13" o:title=""/>
                  <o:lock v:ext="edit" aspectratio="t"/>
                </v:shape>
                <v:shape id="Picture 13" o:spid="_x0000_s1026" o:spt="75" type="#_x0000_t75" style="position:absolute;left:5649;top:438;height:338;width:1343;" filled="f" o:preferrelative="t" stroked="f" coordsize="21600,21600" o:gfxdata="UEsDBAoAAAAAAIdO4kAAAAAAAAAAAAAAAAAEAAAAZHJzL1BLAwQUAAAACACHTuJAkGSSKbsAAADb&#10;AAAADwAAAGRycy9kb3ducmV2LnhtbEVPTWsCMRC9F/wPYYTeapJSRbZGQaVSipeqPfQ2bKabxc1k&#10;2UTX/fdNQehtHu9zFqubb8SVulgHNqAnCgRxGWzNlYHT8e1pDiImZItNYDIwUITVcvSwwMKGnj/p&#10;ekiVyCEcCzTgUmoLKWPpyGOchJY4cz+h85gy7CppO+xzuG/ks1Iz6bHm3OCwpY2j8ny4eAPftF33&#10;g375YvexU/10puOw18Y8jrV6BZHolv7Fd/e7zfOn8PdLPkAuf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GSSKbsAAADb&#10;AAAADwAAAAAAAAABACAAAAAiAAAAZHJzL2Rvd25yZXYueG1sUEsBAhQAFAAAAAgAh07iQDMvBZ47&#10;AAAAOQAAABAAAAAAAAAAAQAgAAAACgEAAGRycy9zaGFwZXhtbC54bWxQSwUGAAAAAAYABgBbAQAA&#10;tAMAAAAA&#10;">
                  <v:fill on="f" focussize="0,0"/>
                  <v:stroke on="f"/>
                  <v:imagedata r:id="rId14" o:title=""/>
                  <o:lock v:ext="edit" aspectratio="t"/>
                </v:shape>
                <v:rect id="Text Box 14" o:spid="_x0000_s1026" o:spt="1" style="position:absolute;left:5300;top:406;height:139;width:142;" filled="f" stroked="f" coordsize="21600,21600" o:gfxdata="UEsDBAoAAAAAAIdO4kAAAAAAAAAAAAAAAAAEAAAAZHJzL1BLAwQUAAAACACHTuJAzWqc4LwAAADb&#10;AAAADwAAAGRycy9kb3ducmV2LnhtbEVPTWvCQBC9F/wPywi91U16EBPdBNEWPbZRiL0N2WkSzM6G&#10;7Nak/fXdQsHbPN7nbPLJdOJGg2stK4gXEQjiyuqWawXn0+vTCoTzyBo7y6Tgmxzk2exhg6m2I7/T&#10;rfC1CCHsUlTQeN+nUrqqIYNuYXviwH3awaAPcKilHnAM4aaTz1G0lAZbDg0N9rRrqLoWX0bBYdVv&#10;L0f7M9bdy8ehfCuT/SnxSj3O42gNwtPk7+J/91GH+Uv4+yUcIL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1qnOC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0EC13012">
                        <w:pPr>
                          <w:spacing w:line="139" w:lineRule="exact"/>
                          <w:rPr>
                            <w:sz w:val="14"/>
                          </w:rPr>
                        </w:pPr>
                        <w:r>
                          <w:rPr>
                            <w:w w:val="101"/>
                            <w:sz w:val="14"/>
                          </w:rPr>
                          <w:t>基</w:t>
                        </w:r>
                      </w:p>
                    </w:txbxContent>
                  </v:textbox>
                </v:rect>
                <v:rect id="Text Box 15" o:spid="_x0000_s1026" o:spt="1" style="position:absolute;left:5470;top:211;height:263;width:983;" filled="f" stroked="f" coordsize="21600,21600" o:gfxdata="UEsDBAoAAAAAAIdO4kAAAAAAAAAAAAAAAAAEAAAAZHJzL1BLAwQUAAAACACHTuJAoiY5e7sAAADb&#10;AAAADwAAAGRycy9kb3ducmV2LnhtbEVPS4vCMBC+C/sfwix401QPq1ZTWVYXPfpYcL0NzdgWm0lp&#10;Yqv+eiMI3ubje85sfjWlaKh2hWUFg34Egji1uuBMwd/+tzcG4TyyxtIyKbiRg3ny0ZlhrG3LW2p2&#10;PhMhhF2MCnLvq1hKl+Zk0PVtRRy4k60N+gDrTOoa2xBuSjmMoi9psODQkGNFPzml593FKFiNq+//&#10;tb23Wbk8rg6bw2Sxn3ilup+DaArC09W/xS/3Wof5I3j+Eg6Qy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iY5e7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14:paraId="3171A2E5">
                        <w:pPr>
                          <w:tabs>
                            <w:tab w:val="left" w:pos="579"/>
                            <w:tab w:val="left" w:pos="982"/>
                          </w:tabs>
                          <w:spacing w:line="262" w:lineRule="exact"/>
                          <w:rPr>
                            <w:sz w:val="14"/>
                          </w:rPr>
                        </w:pPr>
                        <w:r>
                          <w:rPr>
                            <w:rFonts w:ascii="Times New Roman" w:eastAsia="Times New Roman"/>
                            <w:position w:val="-9"/>
                            <w:sz w:val="24"/>
                          </w:rPr>
                          <w:t>=</w:t>
                        </w:r>
                        <w:r>
                          <w:rPr>
                            <w:rFonts w:ascii="Times New Roman" w:eastAsia="Times New Roman"/>
                            <w:sz w:val="14"/>
                            <w:u w:val="single"/>
                          </w:rPr>
                          <w:t xml:space="preserve"> </w:t>
                        </w:r>
                        <w:r>
                          <w:rPr>
                            <w:rFonts w:ascii="Times New Roman" w:eastAsia="Times New Roman"/>
                            <w:sz w:val="14"/>
                            <w:u w:val="single"/>
                          </w:rPr>
                          <w:tab/>
                        </w:r>
                        <w:r>
                          <w:rPr>
                            <w:sz w:val="14"/>
                            <w:u w:val="single"/>
                          </w:rPr>
                          <w:t>总</w:t>
                        </w:r>
                        <w:r>
                          <w:rPr>
                            <w:sz w:val="14"/>
                            <w:u w:val="single"/>
                          </w:rPr>
                          <w:tab/>
                        </w:r>
                      </w:p>
                    </w:txbxContent>
                  </v:textbox>
                </v:rect>
                <v:rect id="Text Box 16" o:spid="_x0000_s1026" o:spt="1" style="position:absolute;left:5913;top:450;height:260;width:674;" filled="f" stroked="f" coordsize="21600,21600" o:gfxdata="UEsDBAoAAAAAAIdO4kAAAAAAAAAAAAAAAAAEAAAAZHJzL1BLAwQUAAAACACHTuJA07mtCb4AAADb&#10;AAAADwAAAGRycy9kb3ducmV2LnhtbEWPT2/CMAzF75P2HSJP4jZSdkC0I6BpfwRHViax3azGtBWN&#10;UyWBAp9+PiBxs/We3/t5vjy7Tp0oxNazgck4A0VcedtybeBn+/U8AxUTssXOMxm4UITl4vFhjoX1&#10;A3/TqUy1khCOBRpoUuoLrWPVkMM49j2xaHsfHCZZQ61twEHCXadfsmyqHbYsDQ329N5QdSiPzsBq&#10;1r/9rv11qLvPv9Vus8s/tnkyZvQ0yV5BJTqnu/l2vbaCL7DyiwygF/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7mtC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4F7D3995">
                        <w:pPr>
                          <w:spacing w:line="240" w:lineRule="exact"/>
                          <w:ind w:right="-18"/>
                          <w:rPr>
                            <w:rFonts w:ascii="Times New Roman"/>
                            <w:i/>
                            <w:sz w:val="24"/>
                          </w:rPr>
                        </w:pPr>
                        <w:r>
                          <w:rPr>
                            <w:rFonts w:ascii="Times New Roman"/>
                            <w:i/>
                            <w:sz w:val="24"/>
                          </w:rPr>
                          <w:t>Y</w:t>
                        </w:r>
                        <w:r>
                          <w:rPr>
                            <w:rFonts w:ascii="Times New Roman"/>
                            <w:i/>
                            <w:spacing w:val="-27"/>
                            <w:sz w:val="24"/>
                          </w:rPr>
                          <w:t xml:space="preserve"> </w:t>
                        </w:r>
                        <w:r>
                          <w:rPr>
                            <w:rFonts w:ascii="Times New Roman"/>
                            <w:i/>
                            <w:spacing w:val="-17"/>
                            <w:sz w:val="24"/>
                          </w:rPr>
                          <w:t>Q</w:t>
                        </w:r>
                      </w:p>
                    </w:txbxContent>
                  </v:textbox>
                </v:rect>
                <v:rect id="Text Box 17" o:spid="_x0000_s1026" o:spt="1" style="position:absolute;left:6812;top:408;height:139;width:142;" filled="f" stroked="f" coordsize="21600,21600" o:gfxdata="UEsDBAoAAAAAAIdO4kAAAAAAAAAAAAAAAAAEAAAAZHJzL1BLAwQUAAAACACHTuJAvPUIkrwAAADb&#10;AAAADwAAAGRycy9kb3ducmV2LnhtbEVPTWvCQBC9F/oflin0VjfxUJLUNZS2Yo42EbS3ITsmwexs&#10;yG6N9dd3BcHbPN7nLPKz6cWJRtdZVhDPIhDEtdUdNwq21eolAeE8ssbeMin4Iwf58vFhgZm2E3/T&#10;qfSNCCHsMlTQej9kUrq6JYNuZgfiwB3saNAHODZSjziFcNPLeRS9SoMdh4YWB/poqT6Wv0bBOhne&#10;94W9TE3/9bPebXbpZ5V6pZ6f4ugNhKezv4tv7kKH+SlcfwkHyO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z1CJK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769B7725">
                        <w:pPr>
                          <w:spacing w:line="139" w:lineRule="exact"/>
                          <w:rPr>
                            <w:sz w:val="14"/>
                          </w:rPr>
                        </w:pPr>
                        <w:r>
                          <w:rPr>
                            <w:w w:val="101"/>
                            <w:sz w:val="14"/>
                          </w:rPr>
                          <w:t>实</w:t>
                        </w:r>
                      </w:p>
                    </w:txbxContent>
                  </v:textbox>
                </v:rect>
                <v:rect id="Text Box 18" o:spid="_x0000_s1026" o:spt="1" style="position:absolute;left:6029;top:593;height:138;width:750;" filled="f" stroked="f" coordsize="21600,21600" o:gfxdata="UEsDBAoAAAAAAIdO4kAAAAAAAAAAAAAAAAAEAAAAZHJzL1BLAwQUAAAACACHTuJA46NrsrcAAADb&#10;AAAADwAAAGRycy9kb3ducmV2LnhtbEVPyQrCMBC9C/5DGMGbpnoQrUYRF/ToBuptaMa22ExKE636&#10;9eYgeHy8fTJ7mUI8qXK5ZQW9bgSCOLE651TB6bjuDEE4j6yxsEwK3uRgNm02JhhrW/OengefihDC&#10;LkYFmfdlLKVLMjLourYkDtzNVgZ9gFUqdYV1CDeF7EfRQBrMOTRkWNIio+R+eBgFm2E5v2ztp06L&#10;1XVz3p1Hy+PIK9Vu9aIxCE8v/xf/3FutoB/Why/hB8jpF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jo2uytwAAANsAAAAP&#10;AAAAAAAAAAEAIAAAACIAAABkcnMvZG93bnJldi54bWxQSwECFAAUAAAACACHTuJAMy8FnjsAAAA5&#10;AAAAEAAAAAAAAAABACAAAAAGAQAAZHJzL3NoYXBleG1sLnhtbFBLBQYAAAAABgAGAFsBAACwAwAA&#10;AAA=&#10;">
                  <v:fill on="f" focussize="0,0"/>
                  <v:stroke on="f"/>
                  <v:imagedata o:title=""/>
                  <o:lock v:ext="edit" aspectratio="f"/>
                  <v:textbox inset="0mm,0mm,0mm,0mm">
                    <w:txbxContent>
                      <w:p w14:paraId="79B2F207">
                        <w:pPr>
                          <w:spacing w:line="146" w:lineRule="exact"/>
                          <w:rPr>
                            <w:sz w:val="14"/>
                          </w:rPr>
                        </w:pPr>
                        <w:r>
                          <w:rPr>
                            <w:rFonts w:ascii="Times New Roman" w:eastAsia="Times New Roman"/>
                            <w:i/>
                            <w:position w:val="1"/>
                            <w:sz w:val="14"/>
                          </w:rPr>
                          <w:t xml:space="preserve">i   </w:t>
                        </w:r>
                        <w:r>
                          <w:rPr>
                            <w:rFonts w:ascii="Times New Roman" w:eastAsia="Times New Roman"/>
                            <w:i/>
                            <w:sz w:val="14"/>
                          </w:rPr>
                          <w:t>i</w:t>
                        </w:r>
                        <w:r>
                          <w:rPr>
                            <w:sz w:val="14"/>
                          </w:rPr>
                          <w:t>基</w:t>
                        </w:r>
                      </w:p>
                    </w:txbxContent>
                  </v:textbox>
                </v:rect>
              </v:group>
            </w:pict>
          </mc:Fallback>
        </mc:AlternateContent>
      </w:r>
      <w:r>
        <w:rPr>
          <w:rFonts w:ascii="Times New Roman"/>
          <w:i/>
          <w:w w:val="102"/>
          <w:sz w:val="24"/>
        </w:rPr>
        <w:t>Q</w:t>
      </w:r>
    </w:p>
    <w:p w14:paraId="17A7E67E">
      <w:pPr>
        <w:pStyle w:val="4"/>
        <w:tabs>
          <w:tab w:val="center" w:pos="4681"/>
          <w:tab w:val="right" w:pos="9246"/>
        </w:tabs>
        <w:spacing w:line="225" w:lineRule="exact"/>
        <w:ind w:right="108"/>
      </w:pPr>
      <w:r>
        <w:tab/>
      </w:r>
      <w:r>
        <w:tab/>
      </w:r>
      <w:r>
        <w:t>（</w:t>
      </w:r>
      <w:r>
        <w:rPr>
          <w:rFonts w:ascii="Times New Roman" w:eastAsia="Times New Roman"/>
        </w:rPr>
        <w:t>1</w:t>
      </w:r>
      <w:r>
        <w:t>）</w:t>
      </w:r>
    </w:p>
    <w:p w14:paraId="12283F46">
      <w:pPr>
        <w:pStyle w:val="4"/>
        <w:snapToGrid w:val="0"/>
        <w:spacing w:line="300" w:lineRule="auto"/>
        <w:ind w:right="108"/>
        <w:jc w:val="right"/>
        <w:rPr>
          <w:rFonts w:ascii="Times New Roman" w:cs="Times New Roman"/>
        </w:rPr>
      </w:pPr>
    </w:p>
    <w:p w14:paraId="38F6A4EA">
      <w:pPr>
        <w:pStyle w:val="4"/>
        <w:snapToGrid w:val="0"/>
        <w:spacing w:line="300" w:lineRule="auto"/>
        <w:ind w:left="0" w:right="-2" w:firstLine="420"/>
        <w:jc w:val="both"/>
        <w:rPr>
          <w:rFonts w:ascii="Times New Roman" w:cs="Times New Roman"/>
        </w:rPr>
      </w:pPr>
      <w:r>
        <w:rPr>
          <w:rFonts w:ascii="Times New Roman" w:cs="Times New Roman"/>
        </w:rPr>
        <w:t>式中：ρ</w:t>
      </w:r>
      <w:r>
        <w:rPr>
          <w:rFonts w:ascii="Times New Roman" w:cs="Times New Roman"/>
          <w:vertAlign w:val="subscript"/>
        </w:rPr>
        <w:t>基</w:t>
      </w:r>
      <w:r>
        <w:rPr>
          <w:rFonts w:ascii="Times New Roman" w:cs="Times New Roman"/>
        </w:rPr>
        <w:t>——铊污染物基准排水量排放浓度，mg/L；</w:t>
      </w:r>
    </w:p>
    <w:p w14:paraId="564D14BC">
      <w:pPr>
        <w:pStyle w:val="4"/>
        <w:snapToGrid w:val="0"/>
        <w:spacing w:line="300" w:lineRule="auto"/>
        <w:ind w:left="0" w:right="-2" w:firstLine="420"/>
        <w:jc w:val="both"/>
        <w:rPr>
          <w:rFonts w:ascii="Times New Roman" w:cs="Times New Roman"/>
        </w:rPr>
      </w:pPr>
      <w:r>
        <w:rPr>
          <w:rFonts w:ascii="Times New Roman" w:cs="Times New Roman"/>
        </w:rPr>
        <w:t xml:space="preserve">      Q</w:t>
      </w:r>
      <w:r>
        <w:rPr>
          <w:rFonts w:ascii="Times New Roman" w:cs="Times New Roman"/>
          <w:vertAlign w:val="subscript"/>
        </w:rPr>
        <w:t>总</w:t>
      </w:r>
      <w:r>
        <w:rPr>
          <w:rFonts w:ascii="Times New Roman" w:cs="Times New Roman"/>
        </w:rPr>
        <w:t>——实测排水总量，m</w:t>
      </w:r>
      <w:r>
        <w:rPr>
          <w:rFonts w:ascii="Times New Roman" w:cs="Times New Roman"/>
          <w:vertAlign w:val="superscript"/>
        </w:rPr>
        <w:t>3</w:t>
      </w:r>
      <w:r>
        <w:rPr>
          <w:rFonts w:ascii="Times New Roman" w:cs="Times New Roman"/>
        </w:rPr>
        <w:t>；</w:t>
      </w:r>
    </w:p>
    <w:p w14:paraId="2068C830">
      <w:pPr>
        <w:snapToGrid w:val="0"/>
        <w:spacing w:line="300" w:lineRule="auto"/>
        <w:ind w:firstLine="1050" w:firstLineChars="500"/>
        <w:rPr>
          <w:rFonts w:ascii="Times New Roman" w:hAnsi="Times New Roman" w:cs="Times New Roman"/>
        </w:rPr>
      </w:pPr>
      <w:r>
        <w:rPr>
          <w:rFonts w:ascii="Times New Roman" w:hAnsi="Times New Roman" w:cs="Times New Roman"/>
          <w:szCs w:val="21"/>
        </w:rPr>
        <w:t>Y</w:t>
      </w:r>
      <w:r>
        <w:rPr>
          <w:rFonts w:ascii="Times New Roman" w:hAnsi="Times New Roman" w:cs="Times New Roman"/>
          <w:szCs w:val="21"/>
          <w:vertAlign w:val="subscript"/>
        </w:rPr>
        <w:t>i</w:t>
      </w:r>
      <w:r>
        <w:rPr>
          <w:rFonts w:ascii="Times New Roman" w:hAnsi="Times New Roman" w:cs="Times New Roman"/>
        </w:rPr>
        <w:t>——某种产品产量，t；</w:t>
      </w:r>
    </w:p>
    <w:p w14:paraId="0B3A5A3C">
      <w:pPr>
        <w:pStyle w:val="4"/>
        <w:snapToGrid w:val="0"/>
        <w:spacing w:line="300" w:lineRule="auto"/>
        <w:ind w:left="0" w:right="-2" w:firstLine="420"/>
        <w:jc w:val="both"/>
        <w:rPr>
          <w:rFonts w:ascii="Times New Roman" w:cs="Times New Roman"/>
        </w:rPr>
      </w:pPr>
      <w:r>
        <w:rPr>
          <w:rFonts w:ascii="Times New Roman" w:cs="Times New Roman"/>
        </w:rPr>
        <w:t xml:space="preserve">      Q</w:t>
      </w:r>
      <w:r>
        <w:rPr>
          <w:rFonts w:ascii="Times New Roman" w:cs="Times New Roman"/>
          <w:vertAlign w:val="subscript"/>
        </w:rPr>
        <w:t>i基</w:t>
      </w:r>
      <w:r>
        <w:rPr>
          <w:rFonts w:ascii="Times New Roman" w:cs="Times New Roman"/>
        </w:rPr>
        <w:t>——某种产品的单位产品基准排水量，m</w:t>
      </w:r>
      <w:r>
        <w:rPr>
          <w:rFonts w:ascii="Times New Roman" w:cs="Times New Roman"/>
          <w:vertAlign w:val="superscript"/>
        </w:rPr>
        <w:t>3</w:t>
      </w:r>
      <w:r>
        <w:rPr>
          <w:rFonts w:ascii="Times New Roman" w:cs="Times New Roman"/>
        </w:rPr>
        <w:t>/t；</w:t>
      </w:r>
    </w:p>
    <w:p w14:paraId="2FC6CE6E">
      <w:pPr>
        <w:pStyle w:val="4"/>
        <w:snapToGrid w:val="0"/>
        <w:spacing w:line="300" w:lineRule="auto"/>
        <w:ind w:left="0" w:right="-2" w:firstLine="420"/>
        <w:jc w:val="both"/>
        <w:rPr>
          <w:rFonts w:ascii="Times New Roman" w:cs="Times New Roman"/>
        </w:rPr>
      </w:pPr>
      <w:r>
        <w:rPr>
          <w:rFonts w:ascii="Times New Roman" w:cs="Times New Roman"/>
        </w:rPr>
        <w:t xml:space="preserve">      ρ</w:t>
      </w:r>
      <w:r>
        <w:rPr>
          <w:rFonts w:ascii="Times New Roman" w:cs="Times New Roman"/>
          <w:vertAlign w:val="subscript"/>
        </w:rPr>
        <w:t>实</w:t>
      </w:r>
      <w:r>
        <w:rPr>
          <w:rFonts w:ascii="Times New Roman" w:cs="Times New Roman"/>
        </w:rPr>
        <w:t>——实测铊污染物浓度，mg/L。</w:t>
      </w:r>
    </w:p>
    <w:p w14:paraId="4361361C">
      <w:pPr>
        <w:pStyle w:val="4"/>
        <w:spacing w:before="22" w:line="290" w:lineRule="auto"/>
        <w:ind w:left="0" w:right="-2"/>
        <w:jc w:val="both"/>
        <w:rPr>
          <w:rFonts w:ascii="Times New Roman" w:cs="Times New Roman"/>
        </w:rPr>
      </w:pPr>
      <w:r>
        <w:rPr>
          <w:rFonts w:ascii="黑体" w:hAnsi="黑体" w:eastAsia="黑体" w:cs="Times New Roman"/>
        </w:rPr>
        <w:t>4.</w:t>
      </w:r>
      <w:r>
        <w:rPr>
          <w:rFonts w:hint="eastAsia" w:ascii="黑体" w:hAnsi="黑体" w:eastAsia="黑体" w:cs="Times New Roman"/>
        </w:rPr>
        <w:t>3</w:t>
      </w:r>
      <w:r>
        <w:rPr>
          <w:rFonts w:ascii="Times New Roman" w:cs="Times New Roman"/>
        </w:rPr>
        <w:t xml:space="preserve">  在企业的生产设施为两种及以上工序或同时生产两种及以上产品，且生产设施产生的污水混合处理排放的情况下，执行本文件中规定的两种及以上产品的基准排水量总和，并按公式（1）换算</w:t>
      </w:r>
      <w:r>
        <w:rPr>
          <w:rFonts w:hint="eastAsia" w:ascii="Times New Roman" w:cs="Times New Roman"/>
        </w:rPr>
        <w:t>废</w:t>
      </w:r>
      <w:r>
        <w:rPr>
          <w:rFonts w:ascii="Times New Roman" w:cs="Times New Roman"/>
        </w:rPr>
        <w:t xml:space="preserve">水中铊污染物基准排水量排放浓度。 </w:t>
      </w:r>
      <w:r>
        <w:rPr>
          <w:rFonts w:ascii="Times New Roman"/>
        </w:rPr>
        <w:t>若</w:t>
      </w:r>
      <w:r>
        <w:rPr>
          <w:rFonts w:ascii="Times New Roman"/>
          <w:position w:val="-12"/>
        </w:rPr>
        <w:drawing>
          <wp:inline distT="0" distB="0" distL="114300" distR="114300">
            <wp:extent cx="239395" cy="239395"/>
            <wp:effectExtent l="0" t="0" r="0" b="0"/>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pic:cNvPicPr>
                  </pic:nvPicPr>
                  <pic:blipFill>
                    <a:blip r:embed="rId15"/>
                    <a:stretch>
                      <a:fillRect/>
                    </a:stretch>
                  </pic:blipFill>
                  <pic:spPr>
                    <a:xfrm>
                      <a:off x="0" y="0"/>
                      <a:ext cx="239395" cy="239395"/>
                    </a:xfrm>
                    <a:prstGeom prst="rect">
                      <a:avLst/>
                    </a:prstGeom>
                    <a:noFill/>
                    <a:ln>
                      <a:noFill/>
                    </a:ln>
                  </pic:spPr>
                </pic:pic>
              </a:graphicData>
            </a:graphic>
          </wp:inline>
        </w:drawing>
      </w:r>
      <w:r>
        <w:rPr>
          <w:rFonts w:ascii="Times New Roman"/>
        </w:rPr>
        <w:t>与</w:t>
      </w:r>
      <w:r>
        <w:rPr>
          <w:rFonts w:ascii="Times New Roman" w:cs="Times New Roman"/>
          <w:sz w:val="24"/>
          <w:szCs w:val="24"/>
        </w:rPr>
        <w:t>∑</w:t>
      </w:r>
      <w:r>
        <w:rPr>
          <w:rFonts w:ascii="Times New Roman" w:cs="Times New Roman"/>
          <w:i/>
          <w:sz w:val="24"/>
          <w:szCs w:val="24"/>
        </w:rPr>
        <w:t>Y</w:t>
      </w:r>
      <w:r>
        <w:rPr>
          <w:rFonts w:ascii="Times New Roman" w:cs="Times New Roman"/>
          <w:i/>
          <w:sz w:val="24"/>
          <w:szCs w:val="24"/>
          <w:vertAlign w:val="subscript"/>
        </w:rPr>
        <w:t>i</w:t>
      </w:r>
      <w:r>
        <w:rPr>
          <w:rFonts w:ascii="Times New Roman" w:cs="Times New Roman"/>
          <w:i/>
          <w:sz w:val="24"/>
          <w:szCs w:val="24"/>
        </w:rPr>
        <w:t>Q</w:t>
      </w:r>
      <w:r>
        <w:rPr>
          <w:rFonts w:ascii="Times New Roman" w:cs="Times New Roman"/>
          <w:i/>
          <w:sz w:val="24"/>
          <w:szCs w:val="24"/>
          <w:vertAlign w:val="subscript"/>
        </w:rPr>
        <w:t>i</w:t>
      </w:r>
      <w:r>
        <w:rPr>
          <w:rFonts w:hint="eastAsia" w:ascii="Times New Roman" w:cs="Times New Roman"/>
          <w:sz w:val="24"/>
          <w:szCs w:val="24"/>
          <w:vertAlign w:val="subscript"/>
        </w:rPr>
        <w:t>基</w:t>
      </w:r>
      <w:r>
        <w:rPr>
          <w:rFonts w:ascii="Times New Roman" w:cs="Times New Roman"/>
        </w:rPr>
        <w:t>的比值小于1，则以</w:t>
      </w:r>
      <w:r>
        <w:rPr>
          <w:rFonts w:hint="eastAsia" w:ascii="Times New Roman" w:cs="Times New Roman"/>
        </w:rPr>
        <w:t>铊</w:t>
      </w:r>
      <w:r>
        <w:rPr>
          <w:rFonts w:ascii="Times New Roman" w:cs="Times New Roman"/>
        </w:rPr>
        <w:t>污染物实测浓度作为判定排放是否达标的依据。</w:t>
      </w:r>
    </w:p>
    <w:p w14:paraId="793A6C40">
      <w:pPr>
        <w:pStyle w:val="4"/>
        <w:spacing w:before="22" w:line="290" w:lineRule="auto"/>
        <w:ind w:left="0" w:right="-2"/>
        <w:jc w:val="both"/>
        <w:rPr>
          <w:rFonts w:ascii="Times New Roman" w:cs="Times New Roman"/>
        </w:rPr>
      </w:pPr>
      <w:r>
        <w:rPr>
          <w:rFonts w:hint="eastAsia" w:ascii="黑体" w:hAnsi="黑体" w:eastAsia="黑体" w:cs="Times New Roman"/>
        </w:rPr>
        <w:t>4.4</w:t>
      </w:r>
      <w:r>
        <w:rPr>
          <w:rFonts w:ascii="黑体" w:hAnsi="黑体" w:eastAsia="黑体" w:cs="Times New Roman"/>
        </w:rPr>
        <w:t xml:space="preserve">  </w:t>
      </w:r>
      <w:r>
        <w:rPr>
          <w:rFonts w:hint="eastAsia" w:ascii="Times New Roman" w:cs="Times New Roman"/>
        </w:rPr>
        <w:t>企业单位产品基准排水量按照现有有关</w:t>
      </w:r>
      <w:r>
        <w:rPr>
          <w:rFonts w:hint="eastAsia" w:ascii="Times New Roman" w:cs="Times New Roman"/>
          <w:lang w:eastAsia="zh-CN"/>
        </w:rPr>
        <w:t>法律法规</w:t>
      </w:r>
      <w:r>
        <w:rPr>
          <w:rFonts w:hint="eastAsia" w:ascii="Times New Roman" w:cs="Times New Roman"/>
        </w:rPr>
        <w:t>和标准执行，若现有</w:t>
      </w:r>
      <w:r>
        <w:rPr>
          <w:rFonts w:hint="eastAsia" w:ascii="Times New Roman" w:cs="Times New Roman"/>
          <w:lang w:eastAsia="zh-CN"/>
        </w:rPr>
        <w:t>法律法规</w:t>
      </w:r>
      <w:r>
        <w:rPr>
          <w:rFonts w:hint="eastAsia" w:ascii="Times New Roman" w:cs="Times New Roman"/>
        </w:rPr>
        <w:t>和标准对基准排水量尚未作出规定的，基准排水量原则上参照行业先进水平核定。</w:t>
      </w:r>
    </w:p>
    <w:p w14:paraId="09C6C75E">
      <w:pPr>
        <w:pStyle w:val="4"/>
        <w:spacing w:before="22" w:line="290" w:lineRule="auto"/>
        <w:ind w:left="0" w:right="-2"/>
        <w:jc w:val="both"/>
        <w:rPr>
          <w:rFonts w:ascii="Times New Roman" w:cs="Times New Roman"/>
          <w:kern w:val="2"/>
          <w:szCs w:val="22"/>
        </w:rPr>
      </w:pPr>
      <w:r>
        <w:rPr>
          <w:rFonts w:hint="eastAsia" w:ascii="黑体" w:hAnsi="黑体" w:eastAsia="黑体" w:cs="Times New Roman"/>
        </w:rPr>
        <w:t>4.5</w:t>
      </w:r>
      <w:r>
        <w:rPr>
          <w:rFonts w:ascii="黑体" w:hAnsi="黑体" w:eastAsia="黑体" w:cs="Times New Roman"/>
        </w:rPr>
        <w:t xml:space="preserve">  </w:t>
      </w:r>
      <w:r>
        <w:rPr>
          <w:rFonts w:hint="eastAsia" w:ascii="Times New Roman" w:cs="Times New Roman"/>
          <w:kern w:val="2"/>
          <w:szCs w:val="22"/>
        </w:rPr>
        <w:t>根据生态环境保护工作的要求，在国土开发密度已经较高、环境承载能力开始减弱，或水环境容量较小、生态环境脆弱，容易发生严重水环境污染问题而需要采取特别保护措施的地区，应严格控制企 业的污染排放行为，在上述地区的企业执行表 1 规定的铊污染物特别排放限值。铊污染物特别排放限值的地域范围、时间，由省级生态环境主管部门或设区市人民政府报省人民政府同意后执行。</w:t>
      </w:r>
    </w:p>
    <w:p w14:paraId="6F0D4204">
      <w:pPr>
        <w:pStyle w:val="2"/>
        <w:spacing w:before="360" w:beforeLines="150" w:after="360" w:afterLines="150"/>
      </w:pPr>
      <w:bookmarkStart w:id="33" w:name="_Toc467767383"/>
      <w:r>
        <w:t>5  监测要求</w:t>
      </w:r>
      <w:bookmarkEnd w:id="33"/>
    </w:p>
    <w:p w14:paraId="37211533">
      <w:pPr>
        <w:spacing w:line="300" w:lineRule="auto"/>
        <w:rPr>
          <w:rFonts w:ascii="Times New Roman" w:hAnsi="Times New Roman" w:cs="Times New Roman"/>
        </w:rPr>
      </w:pPr>
      <w:r>
        <w:rPr>
          <w:rFonts w:ascii="黑体" w:hAnsi="黑体" w:eastAsia="黑体" w:cs="Times New Roman"/>
          <w:kern w:val="0"/>
          <w:szCs w:val="21"/>
        </w:rPr>
        <w:t>5.1</w:t>
      </w:r>
      <w:r>
        <w:rPr>
          <w:rFonts w:ascii="Times New Roman" w:hAnsi="Times New Roman" w:cs="Times New Roman"/>
        </w:rPr>
        <w:t xml:space="preserve">  </w:t>
      </w:r>
      <w:r>
        <w:rPr>
          <w:rFonts w:hint="eastAsia" w:ascii="Times New Roman" w:hAnsi="Times New Roman" w:cs="Times New Roman"/>
        </w:rPr>
        <w:t>企业应按照有关法律和《环境监测管理办法》等规定，建立企业环境监测制度，制定监测方案， 对污染物排放状况及其对周边环境的影响按要求开展自行监测，保存原始监测记录。</w:t>
      </w:r>
    </w:p>
    <w:p w14:paraId="23C43AD8">
      <w:pPr>
        <w:spacing w:line="300" w:lineRule="auto"/>
        <w:rPr>
          <w:rFonts w:ascii="Times New Roman" w:hAnsi="Times New Roman" w:cs="Times New Roman"/>
        </w:rPr>
      </w:pPr>
      <w:r>
        <w:rPr>
          <w:rFonts w:ascii="黑体" w:hAnsi="黑体" w:eastAsia="黑体" w:cs="Times New Roman"/>
          <w:kern w:val="0"/>
          <w:szCs w:val="21"/>
        </w:rPr>
        <w:t xml:space="preserve">5.2  </w:t>
      </w:r>
      <w:r>
        <w:rPr>
          <w:rFonts w:hint="eastAsia" w:ascii="Times New Roman" w:hAnsi="Times New Roman" w:cs="Times New Roman"/>
        </w:rPr>
        <w:t>涉铊工业企业监测采样点的设置、监测频次、采样方法和样品保存应按照 HJ 91.1、HJ 493、HJ 494、HJ 495、HJ 700、HJ</w:t>
      </w:r>
      <w:r>
        <w:rPr>
          <w:rFonts w:ascii="Times New Roman" w:hAnsi="Times New Roman" w:cs="Times New Roman"/>
        </w:rPr>
        <w:t xml:space="preserve"> 748</w:t>
      </w:r>
      <w:r>
        <w:rPr>
          <w:rFonts w:hint="eastAsia" w:ascii="Times New Roman" w:hAnsi="Times New Roman" w:cs="Times New Roman"/>
        </w:rPr>
        <w:t>中的规定执行。</w:t>
      </w:r>
    </w:p>
    <w:p w14:paraId="57B2CB06">
      <w:pPr>
        <w:spacing w:line="300" w:lineRule="auto"/>
        <w:rPr>
          <w:rFonts w:ascii="Times New Roman" w:hAnsi="Times New Roman" w:cs="Times New Roman"/>
        </w:rPr>
      </w:pPr>
      <w:r>
        <w:rPr>
          <w:rFonts w:ascii="黑体" w:hAnsi="黑体" w:eastAsia="黑体" w:cs="Times New Roman"/>
          <w:kern w:val="0"/>
          <w:szCs w:val="21"/>
        </w:rPr>
        <w:t>5.3</w:t>
      </w:r>
      <w:r>
        <w:rPr>
          <w:rFonts w:ascii="Times New Roman" w:hAnsi="Times New Roman" w:cs="Times New Roman"/>
          <w:kern w:val="0"/>
          <w:szCs w:val="21"/>
        </w:rPr>
        <w:t xml:space="preserve"> </w:t>
      </w:r>
      <w:r>
        <w:rPr>
          <w:rFonts w:hint="eastAsia" w:ascii="Times New Roman" w:hAnsi="Times New Roman" w:cs="Times New Roman"/>
          <w:kern w:val="0"/>
          <w:szCs w:val="21"/>
        </w:rPr>
        <w:t xml:space="preserve"> </w:t>
      </w:r>
      <w:r>
        <w:rPr>
          <w:rFonts w:ascii="Times New Roman" w:hAnsi="Times New Roman" w:cs="Times New Roman"/>
        </w:rPr>
        <w:t>对企业排放废水的采样，</w:t>
      </w:r>
      <w:r>
        <w:rPr>
          <w:rFonts w:hint="eastAsia" w:ascii="Times New Roman" w:hAnsi="Times New Roman" w:cs="Times New Roman"/>
        </w:rPr>
        <w:t>包括车间</w:t>
      </w:r>
      <w:r>
        <w:rPr>
          <w:rFonts w:ascii="Times New Roman" w:hAnsi="Times New Roman" w:cs="Times New Roman"/>
        </w:rPr>
        <w:t>或生产设施废水</w:t>
      </w:r>
      <w:r>
        <w:rPr>
          <w:rFonts w:hint="eastAsia" w:ascii="Times New Roman" w:hAnsi="Times New Roman" w:cs="Times New Roman"/>
        </w:rPr>
        <w:t>排放口以及企业总排口</w:t>
      </w:r>
      <w:r>
        <w:rPr>
          <w:rFonts w:ascii="Times New Roman" w:hAnsi="Times New Roman" w:cs="Times New Roman"/>
        </w:rPr>
        <w:t>。在污染物排放监控位置设置永久性</w:t>
      </w:r>
      <w:r>
        <w:rPr>
          <w:rFonts w:hint="eastAsia" w:ascii="Times New Roman" w:hAnsi="Times New Roman" w:cs="Times New Roman"/>
        </w:rPr>
        <w:t>污水</w:t>
      </w:r>
      <w:r>
        <w:rPr>
          <w:rFonts w:ascii="Times New Roman" w:hAnsi="Times New Roman" w:cs="Times New Roman"/>
        </w:rPr>
        <w:t>排放口标志。</w:t>
      </w:r>
    </w:p>
    <w:p w14:paraId="5D675AC2">
      <w:pPr>
        <w:spacing w:line="300" w:lineRule="auto"/>
        <w:rPr>
          <w:rFonts w:ascii="Times New Roman" w:hAnsi="Times New Roman" w:cs="Times New Roman"/>
        </w:rPr>
      </w:pPr>
      <w:r>
        <w:rPr>
          <w:rFonts w:ascii="黑体" w:hAnsi="黑体" w:eastAsia="黑体" w:cs="Times New Roman"/>
          <w:kern w:val="0"/>
          <w:szCs w:val="21"/>
        </w:rPr>
        <w:t>5.4</w:t>
      </w:r>
      <w:r>
        <w:rPr>
          <w:rFonts w:ascii="Times New Roman" w:hAnsi="Times New Roman" w:cs="Times New Roman"/>
          <w:kern w:val="0"/>
          <w:szCs w:val="21"/>
        </w:rPr>
        <w:t xml:space="preserve">  </w:t>
      </w:r>
      <w:r>
        <w:rPr>
          <w:rFonts w:ascii="Times New Roman" w:hAnsi="Times New Roman" w:cs="Times New Roman"/>
        </w:rPr>
        <w:t>对企业排放废水</w:t>
      </w:r>
      <w:r>
        <w:rPr>
          <w:rFonts w:hint="eastAsia" w:ascii="Times New Roman" w:hAnsi="Times New Roman" w:cs="Times New Roman"/>
        </w:rPr>
        <w:t>中</w:t>
      </w:r>
      <w:r>
        <w:rPr>
          <w:rFonts w:ascii="Times New Roman" w:hAnsi="Times New Roman" w:cs="Times New Roman"/>
        </w:rPr>
        <w:t>铊污染物浓度的测定</w:t>
      </w:r>
      <w:r>
        <w:rPr>
          <w:rFonts w:hint="eastAsia" w:ascii="Times New Roman" w:hAnsi="Times New Roman" w:cs="Times New Roman"/>
        </w:rPr>
        <w:t>方法见</w:t>
      </w:r>
      <w:r>
        <w:rPr>
          <w:rFonts w:ascii="Times New Roman" w:hAnsi="Times New Roman" w:cs="Times New Roman"/>
        </w:rPr>
        <w:t>表2。</w:t>
      </w:r>
    </w:p>
    <w:p w14:paraId="4BD27FC6">
      <w:pPr>
        <w:spacing w:before="120" w:beforeLines="50" w:after="120" w:afterLines="50"/>
        <w:jc w:val="center"/>
        <w:rPr>
          <w:rFonts w:ascii="黑体" w:hAnsi="黑体" w:eastAsia="黑体" w:cs="Times New Roman"/>
        </w:rPr>
      </w:pPr>
      <w:r>
        <w:rPr>
          <w:rFonts w:hint="eastAsia" w:ascii="黑体" w:hAnsi="黑体" w:eastAsia="黑体" w:cs="Times New Roman"/>
        </w:rPr>
        <w:t>表</w:t>
      </w:r>
      <w:r>
        <w:rPr>
          <w:rFonts w:ascii="黑体" w:hAnsi="黑体" w:eastAsia="黑体" w:cs="Times New Roman"/>
        </w:rPr>
        <w:t>2</w:t>
      </w:r>
      <w:r>
        <w:rPr>
          <w:rFonts w:hint="eastAsia" w:ascii="黑体" w:hAnsi="黑体" w:eastAsia="黑体" w:cs="Times New Roman"/>
        </w:rPr>
        <w:t xml:space="preserve"> </w:t>
      </w:r>
      <w:r>
        <w:rPr>
          <w:rFonts w:ascii="黑体" w:hAnsi="黑体" w:eastAsia="黑体" w:cs="Times New Roman"/>
        </w:rPr>
        <w:t xml:space="preserve"> </w:t>
      </w:r>
      <w:r>
        <w:rPr>
          <w:rFonts w:hint="eastAsia" w:ascii="黑体" w:hAnsi="黑体" w:eastAsia="黑体" w:cs="Times New Roman"/>
        </w:rPr>
        <w:t>铊</w:t>
      </w:r>
      <w:r>
        <w:rPr>
          <w:rFonts w:ascii="黑体" w:hAnsi="黑体" w:eastAsia="黑体" w:cs="Times New Roman"/>
        </w:rPr>
        <w:t>污染物</w:t>
      </w:r>
      <w:r>
        <w:rPr>
          <w:rFonts w:hint="eastAsia" w:ascii="黑体" w:hAnsi="黑体" w:eastAsia="黑体" w:cs="Times New Roman"/>
        </w:rPr>
        <w:t>测定</w:t>
      </w:r>
      <w:r>
        <w:rPr>
          <w:rFonts w:ascii="黑体" w:hAnsi="黑体" w:eastAsia="黑体" w:cs="Times New Roman"/>
        </w:rPr>
        <w:t>方法标准</w:t>
      </w:r>
    </w:p>
    <w:tbl>
      <w:tblPr>
        <w:tblStyle w:val="12"/>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1"/>
        <w:gridCol w:w="1307"/>
        <w:gridCol w:w="5662"/>
        <w:gridCol w:w="1300"/>
      </w:tblGrid>
      <w:tr w14:paraId="02C0B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301" w:type="dxa"/>
            <w:vAlign w:val="center"/>
          </w:tcPr>
          <w:p w14:paraId="06819DC5">
            <w:pPr>
              <w:jc w:val="center"/>
              <w:rPr>
                <w:rFonts w:ascii="宋体" w:hAnsi="宋体" w:cs="Times New Roman"/>
                <w:sz w:val="18"/>
                <w:szCs w:val="18"/>
              </w:rPr>
            </w:pPr>
            <w:r>
              <w:rPr>
                <w:rFonts w:hint="eastAsia" w:ascii="宋体" w:hAnsi="宋体" w:cs="Times New Roman"/>
                <w:sz w:val="18"/>
                <w:szCs w:val="18"/>
              </w:rPr>
              <w:t>序号</w:t>
            </w:r>
          </w:p>
        </w:tc>
        <w:tc>
          <w:tcPr>
            <w:tcW w:w="1307" w:type="dxa"/>
            <w:vAlign w:val="center"/>
          </w:tcPr>
          <w:p w14:paraId="508FF9E8">
            <w:pPr>
              <w:jc w:val="center"/>
              <w:rPr>
                <w:rFonts w:ascii="宋体" w:hAnsi="宋体" w:cs="Times New Roman"/>
                <w:sz w:val="18"/>
                <w:szCs w:val="18"/>
              </w:rPr>
            </w:pPr>
            <w:r>
              <w:rPr>
                <w:rFonts w:hint="eastAsia" w:ascii="宋体" w:hAnsi="宋体" w:cs="Times New Roman"/>
                <w:sz w:val="18"/>
                <w:szCs w:val="18"/>
              </w:rPr>
              <w:t>污染物</w:t>
            </w:r>
          </w:p>
        </w:tc>
        <w:tc>
          <w:tcPr>
            <w:tcW w:w="5662" w:type="dxa"/>
            <w:vAlign w:val="center"/>
          </w:tcPr>
          <w:p w14:paraId="6364FD1B">
            <w:pPr>
              <w:jc w:val="center"/>
              <w:rPr>
                <w:rFonts w:ascii="宋体" w:hAnsi="宋体" w:cs="Times New Roman"/>
                <w:sz w:val="18"/>
                <w:szCs w:val="18"/>
              </w:rPr>
            </w:pPr>
            <w:r>
              <w:rPr>
                <w:rFonts w:hint="eastAsia" w:ascii="宋体" w:hAnsi="宋体" w:cs="Times New Roman"/>
                <w:sz w:val="18"/>
                <w:szCs w:val="18"/>
              </w:rPr>
              <w:t>标准</w:t>
            </w:r>
            <w:r>
              <w:rPr>
                <w:rFonts w:ascii="宋体" w:hAnsi="宋体" w:cs="Times New Roman"/>
                <w:sz w:val="18"/>
                <w:szCs w:val="18"/>
              </w:rPr>
              <w:t>名称</w:t>
            </w:r>
          </w:p>
        </w:tc>
        <w:tc>
          <w:tcPr>
            <w:tcW w:w="1300" w:type="dxa"/>
            <w:vAlign w:val="center"/>
          </w:tcPr>
          <w:p w14:paraId="2BAE1127">
            <w:pPr>
              <w:jc w:val="center"/>
              <w:rPr>
                <w:rFonts w:ascii="宋体" w:hAnsi="宋体" w:cs="Times New Roman"/>
                <w:sz w:val="18"/>
                <w:szCs w:val="18"/>
              </w:rPr>
            </w:pPr>
            <w:r>
              <w:rPr>
                <w:rFonts w:hint="eastAsia" w:ascii="宋体" w:hAnsi="宋体" w:cs="Times New Roman"/>
                <w:sz w:val="18"/>
                <w:szCs w:val="18"/>
              </w:rPr>
              <w:t>标准</w:t>
            </w:r>
            <w:r>
              <w:rPr>
                <w:rFonts w:ascii="宋体" w:hAnsi="宋体" w:cs="Times New Roman"/>
                <w:sz w:val="18"/>
                <w:szCs w:val="18"/>
              </w:rPr>
              <w:t>编号</w:t>
            </w:r>
          </w:p>
        </w:tc>
      </w:tr>
      <w:tr w14:paraId="71DB4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301" w:type="dxa"/>
            <w:vMerge w:val="restart"/>
            <w:vAlign w:val="center"/>
          </w:tcPr>
          <w:p w14:paraId="5541558A">
            <w:pPr>
              <w:jc w:val="center"/>
              <w:rPr>
                <w:rFonts w:ascii="宋体" w:hAnsi="宋体" w:cs="Times New Roman"/>
                <w:sz w:val="18"/>
                <w:szCs w:val="18"/>
              </w:rPr>
            </w:pPr>
            <w:r>
              <w:rPr>
                <w:rFonts w:hint="eastAsia" w:ascii="宋体" w:hAnsi="宋体" w:cs="Times New Roman"/>
                <w:sz w:val="18"/>
                <w:szCs w:val="18"/>
              </w:rPr>
              <w:t>1</w:t>
            </w:r>
          </w:p>
        </w:tc>
        <w:tc>
          <w:tcPr>
            <w:tcW w:w="1307" w:type="dxa"/>
            <w:vMerge w:val="restart"/>
            <w:vAlign w:val="center"/>
          </w:tcPr>
          <w:p w14:paraId="3CD04694">
            <w:pPr>
              <w:jc w:val="center"/>
              <w:rPr>
                <w:rFonts w:ascii="宋体" w:hAnsi="宋体" w:cs="Times New Roman"/>
                <w:sz w:val="18"/>
                <w:szCs w:val="18"/>
              </w:rPr>
            </w:pPr>
            <w:r>
              <w:rPr>
                <w:rFonts w:hint="eastAsia" w:ascii="宋体" w:hAnsi="宋体" w:cs="Times New Roman"/>
                <w:sz w:val="18"/>
                <w:szCs w:val="18"/>
              </w:rPr>
              <w:t>总铊</w:t>
            </w:r>
          </w:p>
        </w:tc>
        <w:tc>
          <w:tcPr>
            <w:tcW w:w="5662" w:type="dxa"/>
            <w:vAlign w:val="center"/>
          </w:tcPr>
          <w:p w14:paraId="004B843A">
            <w:pPr>
              <w:jc w:val="center"/>
              <w:rPr>
                <w:rFonts w:ascii="宋体" w:hAnsi="宋体" w:cs="Times New Roman"/>
                <w:sz w:val="18"/>
                <w:szCs w:val="18"/>
              </w:rPr>
            </w:pPr>
            <w:r>
              <w:rPr>
                <w:rFonts w:hint="eastAsia" w:ascii="宋体" w:hAnsi="宋体" w:cs="Times New Roman"/>
                <w:sz w:val="18"/>
                <w:szCs w:val="18"/>
              </w:rPr>
              <w:t xml:space="preserve">水质 </w:t>
            </w:r>
            <w:r>
              <w:rPr>
                <w:rFonts w:ascii="宋体" w:hAnsi="宋体" w:cs="Times New Roman"/>
                <w:sz w:val="18"/>
                <w:szCs w:val="18"/>
              </w:rPr>
              <w:t>65</w:t>
            </w:r>
            <w:r>
              <w:rPr>
                <w:rFonts w:hint="eastAsia" w:ascii="宋体" w:hAnsi="宋体" w:cs="Times New Roman"/>
                <w:sz w:val="18"/>
                <w:szCs w:val="18"/>
              </w:rPr>
              <w:t>种元素的测定 电感耦合等离子体质谱法</w:t>
            </w:r>
          </w:p>
        </w:tc>
        <w:tc>
          <w:tcPr>
            <w:tcW w:w="1300" w:type="dxa"/>
            <w:vAlign w:val="center"/>
          </w:tcPr>
          <w:p w14:paraId="1527210F">
            <w:pPr>
              <w:jc w:val="center"/>
              <w:rPr>
                <w:rFonts w:ascii="宋体" w:hAnsi="宋体" w:cs="Times New Roman"/>
                <w:sz w:val="18"/>
                <w:szCs w:val="18"/>
              </w:rPr>
            </w:pPr>
            <w:r>
              <w:rPr>
                <w:rFonts w:ascii="宋体" w:hAnsi="宋体" w:cs="Times New Roman"/>
                <w:sz w:val="18"/>
                <w:szCs w:val="18"/>
              </w:rPr>
              <w:t>HJ 700</w:t>
            </w:r>
          </w:p>
        </w:tc>
      </w:tr>
      <w:tr w14:paraId="51D55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301" w:type="dxa"/>
            <w:vMerge w:val="continue"/>
            <w:vAlign w:val="center"/>
          </w:tcPr>
          <w:p w14:paraId="174EEDB1">
            <w:pPr>
              <w:jc w:val="center"/>
              <w:rPr>
                <w:rFonts w:ascii="宋体" w:hAnsi="宋体" w:cs="Times New Roman"/>
                <w:sz w:val="18"/>
                <w:szCs w:val="18"/>
              </w:rPr>
            </w:pPr>
          </w:p>
        </w:tc>
        <w:tc>
          <w:tcPr>
            <w:tcW w:w="1307" w:type="dxa"/>
            <w:vMerge w:val="continue"/>
            <w:vAlign w:val="center"/>
          </w:tcPr>
          <w:p w14:paraId="21380C94">
            <w:pPr>
              <w:jc w:val="center"/>
              <w:rPr>
                <w:rFonts w:ascii="宋体" w:hAnsi="宋体" w:cs="Times New Roman"/>
                <w:sz w:val="18"/>
                <w:szCs w:val="18"/>
              </w:rPr>
            </w:pPr>
          </w:p>
        </w:tc>
        <w:tc>
          <w:tcPr>
            <w:tcW w:w="5662" w:type="dxa"/>
            <w:vAlign w:val="center"/>
          </w:tcPr>
          <w:p w14:paraId="0E7EC24C">
            <w:pPr>
              <w:jc w:val="center"/>
              <w:rPr>
                <w:rFonts w:ascii="宋体" w:hAnsi="宋体" w:cs="Times New Roman"/>
                <w:sz w:val="18"/>
                <w:szCs w:val="18"/>
              </w:rPr>
            </w:pPr>
            <w:r>
              <w:rPr>
                <w:rFonts w:ascii="宋体" w:hAnsi="宋体" w:cs="Times New Roman"/>
                <w:sz w:val="18"/>
                <w:szCs w:val="18"/>
              </w:rPr>
              <w:t xml:space="preserve">  水质 铊的测定 石墨炉原子吸收分光光度法</w:t>
            </w:r>
          </w:p>
        </w:tc>
        <w:tc>
          <w:tcPr>
            <w:tcW w:w="1300" w:type="dxa"/>
            <w:vAlign w:val="center"/>
          </w:tcPr>
          <w:p w14:paraId="2789B634">
            <w:pPr>
              <w:jc w:val="center"/>
              <w:rPr>
                <w:rFonts w:ascii="宋体" w:hAnsi="宋体" w:cs="Times New Roman"/>
                <w:sz w:val="18"/>
                <w:szCs w:val="18"/>
              </w:rPr>
            </w:pPr>
            <w:r>
              <w:rPr>
                <w:rFonts w:ascii="宋体" w:hAnsi="宋体" w:cs="Times New Roman"/>
                <w:sz w:val="18"/>
                <w:szCs w:val="18"/>
              </w:rPr>
              <w:t>HJ 748</w:t>
            </w:r>
          </w:p>
        </w:tc>
      </w:tr>
    </w:tbl>
    <w:p w14:paraId="0FC9BC12">
      <w:pPr>
        <w:spacing w:line="300" w:lineRule="auto"/>
        <w:rPr>
          <w:rFonts w:ascii="黑体" w:hAnsi="黑体" w:eastAsia="黑体" w:cs="Times New Roman"/>
          <w:kern w:val="0"/>
          <w:szCs w:val="21"/>
        </w:rPr>
      </w:pPr>
    </w:p>
    <w:p w14:paraId="7C7DB54A">
      <w:pPr>
        <w:spacing w:line="300" w:lineRule="auto"/>
        <w:rPr>
          <w:rFonts w:ascii="Times New Roman" w:hAnsi="Times New Roman" w:cs="Times New Roman"/>
        </w:rPr>
      </w:pPr>
      <w:r>
        <w:rPr>
          <w:rFonts w:ascii="黑体" w:hAnsi="黑体" w:eastAsia="黑体" w:cs="Times New Roman"/>
          <w:kern w:val="0"/>
          <w:szCs w:val="21"/>
        </w:rPr>
        <w:t>5.5</w:t>
      </w:r>
      <w:r>
        <w:rPr>
          <w:rFonts w:ascii="Times New Roman" w:hAnsi="Times New Roman" w:cs="Times New Roman"/>
          <w:kern w:val="0"/>
          <w:szCs w:val="21"/>
        </w:rPr>
        <w:t xml:space="preserve">  </w:t>
      </w:r>
      <w:r>
        <w:rPr>
          <w:rFonts w:hint="eastAsia" w:ascii="Times New Roman" w:hAnsi="Times New Roman" w:cs="Times New Roman"/>
        </w:rPr>
        <w:t>除</w:t>
      </w:r>
      <w:r>
        <w:rPr>
          <w:rFonts w:ascii="Times New Roman" w:hAnsi="Times New Roman" w:cs="Times New Roman"/>
        </w:rPr>
        <w:t>表2</w:t>
      </w:r>
      <w:r>
        <w:rPr>
          <w:rFonts w:hint="eastAsia" w:ascii="Times New Roman" w:hAnsi="Times New Roman" w:cs="Times New Roman"/>
        </w:rPr>
        <w:t>所列方法外，本文件实施后国家新发布的环境监测分析方法标准，其方法适用范围相同的，也适用于本文件</w:t>
      </w:r>
      <w:bookmarkStart w:id="35" w:name="_GoBack"/>
      <w:r>
        <w:rPr>
          <w:rFonts w:hint="eastAsia" w:ascii="Times New Roman" w:hAnsi="Times New Roman" w:cs="Times New Roman"/>
        </w:rPr>
        <w:t>铊污染物</w:t>
      </w:r>
      <w:bookmarkEnd w:id="35"/>
      <w:r>
        <w:rPr>
          <w:rFonts w:hint="eastAsia" w:ascii="Times New Roman" w:hAnsi="Times New Roman" w:cs="Times New Roman"/>
        </w:rPr>
        <w:t>的测定</w:t>
      </w:r>
      <w:r>
        <w:rPr>
          <w:rFonts w:ascii="Times New Roman" w:hAnsi="Times New Roman" w:cs="Times New Roman"/>
        </w:rPr>
        <w:t>。</w:t>
      </w:r>
    </w:p>
    <w:p w14:paraId="62ED2A88">
      <w:pPr>
        <w:spacing w:line="300" w:lineRule="auto"/>
        <w:rPr>
          <w:rFonts w:ascii="Times New Roman" w:hAnsi="Times New Roman" w:cs="Times New Roman"/>
        </w:rPr>
      </w:pPr>
      <w:r>
        <w:rPr>
          <w:rFonts w:hint="eastAsia" w:ascii="黑体" w:hAnsi="黑体" w:eastAsia="黑体" w:cs="Times New Roman"/>
          <w:kern w:val="0"/>
          <w:szCs w:val="21"/>
        </w:rPr>
        <w:t xml:space="preserve">5.6 </w:t>
      </w:r>
      <w:r>
        <w:rPr>
          <w:rFonts w:hint="eastAsia" w:ascii="Times New Roman" w:hAnsi="Times New Roman" w:cs="Times New Roman"/>
        </w:rPr>
        <w:t>企业安装污染物排放自动监控设备的要求，按有关法律和《污染源自动监控管理办法》的规定执行。</w:t>
      </w:r>
    </w:p>
    <w:p w14:paraId="67EF7123">
      <w:pPr>
        <w:pStyle w:val="2"/>
        <w:spacing w:before="360" w:beforeLines="150" w:after="360" w:afterLines="150"/>
      </w:pPr>
      <w:bookmarkStart w:id="34" w:name="_Toc467767384"/>
      <w:r>
        <w:t>6  实施与监督</w:t>
      </w:r>
      <w:bookmarkEnd w:id="34"/>
    </w:p>
    <w:p w14:paraId="3E1447C4">
      <w:pPr>
        <w:pStyle w:val="4"/>
        <w:kinsoku w:val="0"/>
        <w:overflowPunct w:val="0"/>
        <w:spacing w:before="14" w:line="300" w:lineRule="auto"/>
        <w:ind w:left="0"/>
        <w:jc w:val="both"/>
        <w:rPr>
          <w:rFonts w:ascii="Times New Roman" w:cs="Times New Roman"/>
          <w:kern w:val="2"/>
          <w:szCs w:val="22"/>
        </w:rPr>
      </w:pPr>
      <w:r>
        <w:rPr>
          <w:rFonts w:ascii="黑体" w:hAnsi="黑体" w:eastAsia="黑体" w:cs="Times New Roman"/>
        </w:rPr>
        <w:t>6.1</w:t>
      </w:r>
      <w:r>
        <w:rPr>
          <w:rFonts w:ascii="Times New Roman" w:cs="Times New Roman"/>
          <w:w w:val="95"/>
        </w:rPr>
        <w:t xml:space="preserve">  </w:t>
      </w:r>
      <w:r>
        <w:rPr>
          <w:rFonts w:ascii="Times New Roman" w:cs="Times New Roman"/>
          <w:kern w:val="2"/>
          <w:szCs w:val="22"/>
        </w:rPr>
        <w:t>本</w:t>
      </w:r>
      <w:r>
        <w:rPr>
          <w:rFonts w:hint="eastAsia" w:ascii="Times New Roman" w:cs="Times New Roman"/>
          <w:kern w:val="2"/>
          <w:szCs w:val="22"/>
        </w:rPr>
        <w:t>文件</w:t>
      </w:r>
      <w:r>
        <w:rPr>
          <w:rFonts w:ascii="Times New Roman" w:cs="Times New Roman"/>
          <w:kern w:val="2"/>
          <w:szCs w:val="22"/>
        </w:rPr>
        <w:t>由</w:t>
      </w:r>
      <w:r>
        <w:rPr>
          <w:rFonts w:hint="eastAsia" w:ascii="Times New Roman" w:cs="Times New Roman"/>
          <w:kern w:val="2"/>
          <w:szCs w:val="22"/>
        </w:rPr>
        <w:t>生态环境</w:t>
      </w:r>
      <w:r>
        <w:rPr>
          <w:rFonts w:ascii="Times New Roman" w:cs="Times New Roman"/>
          <w:kern w:val="2"/>
          <w:szCs w:val="22"/>
        </w:rPr>
        <w:t xml:space="preserve">主管部门负责监督实施。 </w:t>
      </w:r>
    </w:p>
    <w:p w14:paraId="3275CB37">
      <w:pPr>
        <w:pStyle w:val="4"/>
        <w:kinsoku w:val="0"/>
        <w:overflowPunct w:val="0"/>
        <w:spacing w:before="8" w:line="300" w:lineRule="auto"/>
        <w:ind w:left="0"/>
        <w:jc w:val="both"/>
        <w:rPr>
          <w:rFonts w:ascii="Times New Roman" w:cs="Times New Roman"/>
          <w:kern w:val="2"/>
          <w:szCs w:val="22"/>
        </w:rPr>
      </w:pPr>
      <w:r>
        <w:rPr>
          <w:rFonts w:ascii="黑体" w:hAnsi="黑体" w:eastAsia="黑体" w:cs="Times New Roman"/>
        </w:rPr>
        <w:t>6.2</w:t>
      </w:r>
      <w:r>
        <w:rPr>
          <w:rFonts w:ascii="Times New Roman" w:cs="Times New Roman"/>
          <w:w w:val="95"/>
        </w:rPr>
        <w:t xml:space="preserve">  </w:t>
      </w:r>
      <w:r>
        <w:rPr>
          <w:rFonts w:ascii="Times New Roman" w:cs="Times New Roman"/>
          <w:kern w:val="2"/>
          <w:szCs w:val="22"/>
        </w:rPr>
        <w:t>在任何情况下，企业均应遵守本</w:t>
      </w:r>
      <w:r>
        <w:rPr>
          <w:rFonts w:hint="eastAsia" w:ascii="Times New Roman" w:cs="Times New Roman"/>
          <w:kern w:val="2"/>
          <w:szCs w:val="22"/>
        </w:rPr>
        <w:t>文件</w:t>
      </w:r>
      <w:r>
        <w:rPr>
          <w:rFonts w:ascii="Times New Roman" w:cs="Times New Roman"/>
          <w:kern w:val="2"/>
          <w:szCs w:val="22"/>
        </w:rPr>
        <w:t>的污染物排放控制要求，采取必要措施保证污染防治设施正常运行。各级</w:t>
      </w:r>
      <w:r>
        <w:rPr>
          <w:rFonts w:hint="eastAsia" w:ascii="Times New Roman" w:cs="Times New Roman"/>
          <w:kern w:val="2"/>
          <w:szCs w:val="22"/>
        </w:rPr>
        <w:t>生态</w:t>
      </w:r>
      <w:r>
        <w:rPr>
          <w:rFonts w:ascii="Times New Roman" w:cs="Times New Roman"/>
          <w:kern w:val="2"/>
          <w:szCs w:val="22"/>
        </w:rPr>
        <w:t>环境部门在对企业进行监督性检查时，现场即时采样或监测的结果，可以作为判定排污行为是否符合排放标准以及实施相关环境保护管理措施的依据。在发现设施耗水或排水量有异常变化的情况下，应核定企业的实际产品产量和排水量，按本</w:t>
      </w:r>
      <w:r>
        <w:rPr>
          <w:rFonts w:hint="eastAsia" w:ascii="Times New Roman" w:cs="Times New Roman"/>
          <w:kern w:val="2"/>
          <w:szCs w:val="22"/>
        </w:rPr>
        <w:t>文件</w:t>
      </w:r>
      <w:r>
        <w:rPr>
          <w:rFonts w:ascii="Times New Roman" w:cs="Times New Roman"/>
          <w:kern w:val="2"/>
          <w:szCs w:val="22"/>
        </w:rPr>
        <w:t>的规定，将实测</w:t>
      </w:r>
      <w:r>
        <w:rPr>
          <w:rFonts w:hint="eastAsia" w:ascii="Times New Roman" w:cs="Times New Roman"/>
          <w:kern w:val="2"/>
          <w:szCs w:val="22"/>
        </w:rPr>
        <w:t>铊</w:t>
      </w:r>
      <w:r>
        <w:rPr>
          <w:rFonts w:ascii="Times New Roman" w:cs="Times New Roman"/>
          <w:kern w:val="2"/>
          <w:szCs w:val="22"/>
        </w:rPr>
        <w:t>污染物浓度换算为</w:t>
      </w:r>
      <w:r>
        <w:rPr>
          <w:rFonts w:hint="eastAsia" w:ascii="Times New Roman" w:cs="Times New Roman"/>
          <w:kern w:val="2"/>
          <w:szCs w:val="22"/>
        </w:rPr>
        <w:t>铊</w:t>
      </w:r>
      <w:r>
        <w:rPr>
          <w:rFonts w:ascii="Times New Roman" w:cs="Times New Roman"/>
          <w:kern w:val="2"/>
          <w:szCs w:val="22"/>
        </w:rPr>
        <w:t>污染物基准排水量排放浓度。</w:t>
      </w:r>
    </w:p>
    <w:p w14:paraId="07E677FD">
      <w:pPr>
        <w:spacing w:line="300" w:lineRule="auto"/>
        <w:ind w:firstLine="420" w:firstLineChars="200"/>
        <w:rPr>
          <w:rFonts w:ascii="宋体" w:hAnsi="宋体" w:cs="方正仿宋_GBK"/>
        </w:rPr>
      </w:pPr>
    </w:p>
    <w:sectPr>
      <w:headerReference r:id="rId9" w:type="default"/>
      <w:footerReference r:id="rId10" w:type="default"/>
      <w:pgSz w:w="11906" w:h="16838"/>
      <w:pgMar w:top="1418" w:right="1134" w:bottom="1134" w:left="1418" w:header="1417" w:footer="1247"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黑体_GBK">
    <w:altName w:val="微软雅黑"/>
    <w:panose1 w:val="00000000000000000000"/>
    <w:charset w:val="86"/>
    <w:family w:val="auto"/>
    <w:pitch w:val="default"/>
    <w:sig w:usb0="00000000" w:usb1="00000000" w:usb2="00000000" w:usb3="00000000" w:csb0="00040000" w:csb1="00000000"/>
  </w:font>
  <w:font w:name="Calibri Light">
    <w:panose1 w:val="020F0302020204030204"/>
    <w:charset w:val="00"/>
    <w:family w:val="swiss"/>
    <w:pitch w:val="default"/>
    <w:sig w:usb0="E0002AFF" w:usb1="C000247B" w:usb2="00000009" w:usb3="00000000" w:csb0="200001FF" w:csb1="00000000"/>
  </w:font>
  <w:font w:name="TimesNew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5AD22">
    <w:pPr>
      <w:pStyle w:val="7"/>
      <w:framePr w:wrap="around" w:vAnchor="text" w:hAnchor="margin" w:xAlign="outside" w:y="1"/>
      <w:rPr>
        <w:rStyle w:val="14"/>
        <w:rFonts w:ascii="宋体"/>
      </w:rPr>
    </w:pPr>
    <w:r>
      <w:rPr>
        <w:rStyle w:val="14"/>
        <w:rFonts w:ascii="宋体"/>
      </w:rPr>
      <w:fldChar w:fldCharType="begin"/>
    </w:r>
    <w:r>
      <w:rPr>
        <w:rStyle w:val="14"/>
        <w:rFonts w:ascii="宋体"/>
      </w:rPr>
      <w:instrText xml:space="preserve">PAGE  </w:instrText>
    </w:r>
    <w:r>
      <w:rPr>
        <w:rStyle w:val="14"/>
        <w:rFonts w:ascii="宋体"/>
      </w:rPr>
      <w:fldChar w:fldCharType="separate"/>
    </w:r>
    <w:r>
      <w:rPr>
        <w:rStyle w:val="14"/>
        <w:rFonts w:ascii="宋体"/>
      </w:rPr>
      <w:t>1</w:t>
    </w:r>
    <w:r>
      <w:rPr>
        <w:rStyle w:val="14"/>
        <w:rFonts w:ascii="宋体"/>
      </w:rPr>
      <w:fldChar w:fldCharType="end"/>
    </w:r>
  </w:p>
  <w:p w14:paraId="6D92DABC">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95824">
    <w:pPr>
      <w:pStyle w:val="7"/>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t>I</w:t>
    </w:r>
    <w:r>
      <w:rP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67F8D">
    <w:pPr>
      <w:pStyle w:val="7"/>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t>II</w:t>
    </w:r>
    <w:r>
      <w:rPr>
        <w:rFonts w:ascii="Times New Roman" w:hAnsi="Times New Roman" w:cs="Times New Roman"/>
      </w:rPr>
      <w:fldChar w:fldCharType="end"/>
    </w:r>
  </w:p>
  <w:p w14:paraId="520D79D5">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F85C9">
    <w:pPr>
      <w:pStyle w:val="7"/>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t>1</w:t>
    </w:r>
    <w:r>
      <w:rPr>
        <w:rFonts w:ascii="Times New Roman" w:hAnsi="Times New Roman" w:cs="Times New Roma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7CA97">
    <w:pPr>
      <w:pStyle w:val="8"/>
      <w:pBdr>
        <w:bottom w:val="none" w:color="auto" w:sz="0" w:space="0"/>
      </w:pBdr>
      <w:wordWrap w:val="0"/>
      <w:jc w:val="right"/>
      <w:rPr>
        <w:rFonts w:ascii="黑体" w:hAnsi="黑体" w:eastAsia="黑体"/>
        <w:sz w:val="21"/>
        <w:szCs w:val="21"/>
      </w:rPr>
    </w:pPr>
  </w:p>
  <w:p w14:paraId="2197E9D7">
    <w:pPr>
      <w:pStyle w:val="8"/>
      <w:pBdr>
        <w:bottom w:val="none" w:color="auto" w:sz="0" w:space="0"/>
      </w:pBdr>
      <w:jc w:val="right"/>
      <w:rPr>
        <w:rFonts w:ascii="黑体" w:hAnsi="黑体" w:eastAsia="黑体"/>
        <w:sz w:val="21"/>
        <w:szCs w:val="21"/>
      </w:rPr>
    </w:pPr>
    <w:r>
      <w:rPr>
        <w:rFonts w:hint="eastAsia" w:ascii="黑体" w:hAnsi="黑体" w:eastAsia="黑体"/>
        <w:sz w:val="21"/>
        <w:szCs w:val="21"/>
      </w:rPr>
      <w:t>DB34/XXXX-</w:t>
    </w:r>
    <w:r>
      <w:rPr>
        <w:rFonts w:ascii="黑体" w:hAnsi="黑体" w:eastAsia="黑体"/>
        <w:sz w:val="21"/>
        <w:szCs w:val="21"/>
      </w:rPr>
      <w:t>20</w:t>
    </w:r>
    <w:r>
      <w:rPr>
        <w:rFonts w:hint="eastAsia" w:ascii="黑体" w:hAnsi="黑体" w:eastAsia="黑体"/>
        <w:sz w:val="21"/>
        <w:szCs w:val="21"/>
      </w:rPr>
      <w:t>XX</w:t>
    </w:r>
  </w:p>
  <w:p w14:paraId="23E0EF28">
    <w:pPr>
      <w:pStyle w:val="8"/>
      <w:pBdr>
        <w:bottom w:val="none" w:color="auto" w:sz="0" w:space="0"/>
      </w:pBdr>
      <w:jc w:val="right"/>
      <w:rPr>
        <w:rFonts w:ascii="黑体" w:hAnsi="黑体" w:eastAsia="黑体"/>
        <w:sz w:val="21"/>
        <w:szCs w:val="21"/>
      </w:rPr>
    </w:pPr>
  </w:p>
  <w:p w14:paraId="16F42438">
    <w:pPr>
      <w:pStyle w:val="8"/>
      <w:pBdr>
        <w:bottom w:val="none" w:color="auto" w:sz="0" w:space="0"/>
      </w:pBdr>
      <w:jc w:val="right"/>
      <w:rPr>
        <w:rFonts w:ascii="黑体" w:hAnsi="黑体" w:eastAsia="黑体"/>
        <w:sz w:val="21"/>
        <w:szCs w:val="21"/>
      </w:rPr>
    </w:pPr>
  </w:p>
  <w:p w14:paraId="3BBDE80A">
    <w:pPr>
      <w:pStyle w:val="8"/>
      <w:pBdr>
        <w:bottom w:val="none" w:color="auto" w:sz="0" w:space="0"/>
      </w:pBdr>
      <w:jc w:val="right"/>
      <w:rPr>
        <w:rFonts w:ascii="黑体" w:hAnsi="黑体" w:eastAsia="黑体"/>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C25AD">
    <w:pPr>
      <w:pStyle w:val="8"/>
      <w:pBdr>
        <w:bottom w:val="none" w:color="auto" w:sz="0" w:space="0"/>
      </w:pBdr>
      <w:wordWrap w:val="0"/>
      <w:jc w:val="right"/>
      <w:rPr>
        <w:rFonts w:ascii="黑体" w:hAnsi="黑体" w:eastAsia="黑体"/>
        <w:sz w:val="21"/>
        <w:szCs w:val="21"/>
      </w:rPr>
    </w:pPr>
  </w:p>
  <w:p w14:paraId="31995D15">
    <w:pPr>
      <w:pStyle w:val="8"/>
      <w:pBdr>
        <w:bottom w:val="none" w:color="auto" w:sz="0" w:space="0"/>
      </w:pBdr>
      <w:jc w:val="right"/>
      <w:rPr>
        <w:rFonts w:ascii="黑体" w:hAnsi="黑体" w:eastAsia="黑体"/>
        <w:sz w:val="21"/>
        <w:szCs w:val="21"/>
      </w:rPr>
    </w:pPr>
    <w:r>
      <w:rPr>
        <w:rFonts w:hint="eastAsia" w:ascii="黑体" w:hAnsi="黑体" w:eastAsia="黑体"/>
        <w:sz w:val="21"/>
        <w:szCs w:val="21"/>
      </w:rPr>
      <w:t>DB34/XXXX-</w:t>
    </w:r>
    <w:r>
      <w:rPr>
        <w:rFonts w:ascii="黑体" w:hAnsi="黑体" w:eastAsia="黑体"/>
        <w:sz w:val="21"/>
        <w:szCs w:val="21"/>
      </w:rPr>
      <w:t>20</w:t>
    </w:r>
    <w:r>
      <w:rPr>
        <w:rFonts w:hint="eastAsia" w:ascii="黑体" w:hAnsi="黑体" w:eastAsia="黑体"/>
        <w:sz w:val="21"/>
        <w:szCs w:val="21"/>
      </w:rPr>
      <w:t>XX</w:t>
    </w:r>
  </w:p>
  <w:p w14:paraId="6E07854A">
    <w:pPr>
      <w:pStyle w:val="8"/>
      <w:pBdr>
        <w:bottom w:val="none" w:color="auto" w:sz="0" w:space="0"/>
      </w:pBdr>
      <w:jc w:val="right"/>
      <w:rPr>
        <w:rFonts w:ascii="黑体" w:hAnsi="黑体" w:eastAsia="黑体"/>
        <w:sz w:val="21"/>
        <w:szCs w:val="21"/>
      </w:rPr>
    </w:pPr>
  </w:p>
  <w:p w14:paraId="13F417BA">
    <w:pPr>
      <w:pStyle w:val="8"/>
      <w:pBdr>
        <w:bottom w:val="none" w:color="auto" w:sz="0" w:space="0"/>
      </w:pBdr>
      <w:jc w:val="right"/>
      <w:rPr>
        <w:rFonts w:ascii="黑体" w:hAnsi="黑体" w:eastAsia="黑体"/>
        <w:sz w:val="21"/>
        <w:szCs w:val="21"/>
      </w:rPr>
    </w:pPr>
  </w:p>
  <w:p w14:paraId="68A2ACE0">
    <w:pPr>
      <w:pStyle w:val="8"/>
      <w:pBdr>
        <w:bottom w:val="none" w:color="auto" w:sz="0" w:space="0"/>
      </w:pBdr>
      <w:jc w:val="right"/>
      <w:rPr>
        <w:sz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9390C">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EDC97">
    <w:pPr>
      <w:pStyle w:val="8"/>
      <w:pBdr>
        <w:bottom w:val="none" w:color="auto" w:sz="0" w:space="0"/>
      </w:pBdr>
      <w:wordWrap w:val="0"/>
      <w:jc w:val="right"/>
      <w:rPr>
        <w:rFonts w:ascii="黑体" w:hAnsi="黑体" w:eastAsia="黑体"/>
        <w:sz w:val="21"/>
        <w:szCs w:val="21"/>
      </w:rPr>
    </w:pPr>
  </w:p>
  <w:p w14:paraId="3FF83588">
    <w:pPr>
      <w:pStyle w:val="8"/>
      <w:pBdr>
        <w:bottom w:val="none" w:color="auto" w:sz="0" w:space="0"/>
      </w:pBdr>
      <w:jc w:val="right"/>
      <w:rPr>
        <w:rFonts w:ascii="黑体" w:hAnsi="黑体" w:eastAsia="黑体"/>
        <w:sz w:val="21"/>
        <w:szCs w:val="21"/>
      </w:rPr>
    </w:pPr>
    <w:r>
      <w:rPr>
        <w:rFonts w:hint="eastAsia" w:ascii="黑体" w:hAnsi="黑体" w:eastAsia="黑体"/>
        <w:sz w:val="21"/>
        <w:szCs w:val="21"/>
      </w:rPr>
      <w:t>DB DB34/XXXX-</w:t>
    </w:r>
    <w:r>
      <w:rPr>
        <w:rFonts w:ascii="黑体" w:hAnsi="黑体" w:eastAsia="黑体"/>
        <w:sz w:val="21"/>
        <w:szCs w:val="21"/>
      </w:rPr>
      <w:t>20</w:t>
    </w:r>
    <w:r>
      <w:rPr>
        <w:rFonts w:hint="eastAsia" w:ascii="黑体" w:hAnsi="黑体" w:eastAsia="黑体"/>
        <w:sz w:val="21"/>
        <w:szCs w:val="21"/>
      </w:rPr>
      <w:t>XX</w:t>
    </w:r>
  </w:p>
  <w:p w14:paraId="4577F845">
    <w:pPr>
      <w:pStyle w:val="8"/>
      <w:pBdr>
        <w:bottom w:val="none" w:color="auto" w:sz="0" w:space="0"/>
      </w:pBdr>
      <w:jc w:val="right"/>
      <w:rPr>
        <w:rFonts w:ascii="黑体" w:hAnsi="黑体" w:eastAsia="黑体"/>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c4YjQxYjY1Mjc1MjFkOTg3NDY4MGM0ZWI1YjAxNTEifQ=="/>
  </w:docVars>
  <w:rsids>
    <w:rsidRoot w:val="002F4491"/>
    <w:rsid w:val="000002F6"/>
    <w:rsid w:val="0000096E"/>
    <w:rsid w:val="000019BA"/>
    <w:rsid w:val="0000291A"/>
    <w:rsid w:val="000063BD"/>
    <w:rsid w:val="00010473"/>
    <w:rsid w:val="00011AE6"/>
    <w:rsid w:val="00013488"/>
    <w:rsid w:val="00016632"/>
    <w:rsid w:val="00017945"/>
    <w:rsid w:val="0002063F"/>
    <w:rsid w:val="0002395D"/>
    <w:rsid w:val="00032216"/>
    <w:rsid w:val="00032F98"/>
    <w:rsid w:val="0003367E"/>
    <w:rsid w:val="000541A6"/>
    <w:rsid w:val="000578CD"/>
    <w:rsid w:val="000604F8"/>
    <w:rsid w:val="00060970"/>
    <w:rsid w:val="0006677B"/>
    <w:rsid w:val="000814E8"/>
    <w:rsid w:val="000818CC"/>
    <w:rsid w:val="0008451B"/>
    <w:rsid w:val="00087824"/>
    <w:rsid w:val="000915C3"/>
    <w:rsid w:val="00091CBF"/>
    <w:rsid w:val="00093E16"/>
    <w:rsid w:val="0009621E"/>
    <w:rsid w:val="00097BB3"/>
    <w:rsid w:val="000A21BA"/>
    <w:rsid w:val="000A47AD"/>
    <w:rsid w:val="000A5681"/>
    <w:rsid w:val="000B09BA"/>
    <w:rsid w:val="000B2259"/>
    <w:rsid w:val="000B4A03"/>
    <w:rsid w:val="000B4DA3"/>
    <w:rsid w:val="000B52B9"/>
    <w:rsid w:val="000B6C93"/>
    <w:rsid w:val="000C4080"/>
    <w:rsid w:val="000C6D1E"/>
    <w:rsid w:val="000C6FFD"/>
    <w:rsid w:val="000D1A2A"/>
    <w:rsid w:val="000D3C29"/>
    <w:rsid w:val="000D684C"/>
    <w:rsid w:val="000E3459"/>
    <w:rsid w:val="000E3ADA"/>
    <w:rsid w:val="000E669D"/>
    <w:rsid w:val="000E789E"/>
    <w:rsid w:val="000E7DF9"/>
    <w:rsid w:val="000F686D"/>
    <w:rsid w:val="00103865"/>
    <w:rsid w:val="00105EE0"/>
    <w:rsid w:val="00115B73"/>
    <w:rsid w:val="00123A27"/>
    <w:rsid w:val="00124221"/>
    <w:rsid w:val="001251D5"/>
    <w:rsid w:val="00126148"/>
    <w:rsid w:val="00126B35"/>
    <w:rsid w:val="00127079"/>
    <w:rsid w:val="001332F2"/>
    <w:rsid w:val="0014522D"/>
    <w:rsid w:val="00146432"/>
    <w:rsid w:val="0015267E"/>
    <w:rsid w:val="0015474F"/>
    <w:rsid w:val="001602EE"/>
    <w:rsid w:val="00161D21"/>
    <w:rsid w:val="00163C0A"/>
    <w:rsid w:val="00164AE4"/>
    <w:rsid w:val="00164F1B"/>
    <w:rsid w:val="00166807"/>
    <w:rsid w:val="001671C2"/>
    <w:rsid w:val="00167D93"/>
    <w:rsid w:val="001742D2"/>
    <w:rsid w:val="0017467E"/>
    <w:rsid w:val="00175500"/>
    <w:rsid w:val="0018155B"/>
    <w:rsid w:val="00184248"/>
    <w:rsid w:val="0018562F"/>
    <w:rsid w:val="00185883"/>
    <w:rsid w:val="001859CA"/>
    <w:rsid w:val="00187474"/>
    <w:rsid w:val="001878BD"/>
    <w:rsid w:val="001902C2"/>
    <w:rsid w:val="001946A3"/>
    <w:rsid w:val="001951C1"/>
    <w:rsid w:val="001968C8"/>
    <w:rsid w:val="00197E3B"/>
    <w:rsid w:val="001A3213"/>
    <w:rsid w:val="001A59B3"/>
    <w:rsid w:val="001A68C1"/>
    <w:rsid w:val="001A6F3C"/>
    <w:rsid w:val="001A72DF"/>
    <w:rsid w:val="001C48DA"/>
    <w:rsid w:val="001D0EE6"/>
    <w:rsid w:val="001D2AAE"/>
    <w:rsid w:val="001D5DA7"/>
    <w:rsid w:val="001D5F68"/>
    <w:rsid w:val="001D7CF0"/>
    <w:rsid w:val="001E06EF"/>
    <w:rsid w:val="001E13AE"/>
    <w:rsid w:val="001E517C"/>
    <w:rsid w:val="001F5011"/>
    <w:rsid w:val="001F513A"/>
    <w:rsid w:val="001F7C94"/>
    <w:rsid w:val="00206963"/>
    <w:rsid w:val="002138B8"/>
    <w:rsid w:val="00215BCE"/>
    <w:rsid w:val="00215EE8"/>
    <w:rsid w:val="00220D32"/>
    <w:rsid w:val="00220E52"/>
    <w:rsid w:val="00220FC2"/>
    <w:rsid w:val="00227650"/>
    <w:rsid w:val="00231C7D"/>
    <w:rsid w:val="00232613"/>
    <w:rsid w:val="00240560"/>
    <w:rsid w:val="00241674"/>
    <w:rsid w:val="002418AC"/>
    <w:rsid w:val="00241ACA"/>
    <w:rsid w:val="0024531C"/>
    <w:rsid w:val="002470E7"/>
    <w:rsid w:val="002477BD"/>
    <w:rsid w:val="00252B46"/>
    <w:rsid w:val="00255A4B"/>
    <w:rsid w:val="002609F3"/>
    <w:rsid w:val="00264EFE"/>
    <w:rsid w:val="00270879"/>
    <w:rsid w:val="00274AE0"/>
    <w:rsid w:val="00282627"/>
    <w:rsid w:val="00283E7D"/>
    <w:rsid w:val="00287D70"/>
    <w:rsid w:val="0029088E"/>
    <w:rsid w:val="00292682"/>
    <w:rsid w:val="002964E1"/>
    <w:rsid w:val="00296627"/>
    <w:rsid w:val="002A0119"/>
    <w:rsid w:val="002A300B"/>
    <w:rsid w:val="002A73FD"/>
    <w:rsid w:val="002A799B"/>
    <w:rsid w:val="002B206C"/>
    <w:rsid w:val="002B2C90"/>
    <w:rsid w:val="002C0915"/>
    <w:rsid w:val="002C38DD"/>
    <w:rsid w:val="002C4281"/>
    <w:rsid w:val="002D277E"/>
    <w:rsid w:val="002D4B32"/>
    <w:rsid w:val="002E1579"/>
    <w:rsid w:val="002F082D"/>
    <w:rsid w:val="002F0F4E"/>
    <w:rsid w:val="002F1318"/>
    <w:rsid w:val="002F3D4E"/>
    <w:rsid w:val="002F4491"/>
    <w:rsid w:val="003011B8"/>
    <w:rsid w:val="00303DE5"/>
    <w:rsid w:val="00304ACB"/>
    <w:rsid w:val="003077DA"/>
    <w:rsid w:val="00311C95"/>
    <w:rsid w:val="003128D7"/>
    <w:rsid w:val="00312E84"/>
    <w:rsid w:val="00313321"/>
    <w:rsid w:val="003135F4"/>
    <w:rsid w:val="00315675"/>
    <w:rsid w:val="0032063A"/>
    <w:rsid w:val="00325C4D"/>
    <w:rsid w:val="003325D5"/>
    <w:rsid w:val="00332917"/>
    <w:rsid w:val="0033456E"/>
    <w:rsid w:val="0033520B"/>
    <w:rsid w:val="0033653B"/>
    <w:rsid w:val="0033712F"/>
    <w:rsid w:val="00343DC8"/>
    <w:rsid w:val="00346C64"/>
    <w:rsid w:val="00346F5D"/>
    <w:rsid w:val="00347FB9"/>
    <w:rsid w:val="00350456"/>
    <w:rsid w:val="00353142"/>
    <w:rsid w:val="00355753"/>
    <w:rsid w:val="00355B89"/>
    <w:rsid w:val="00355B8D"/>
    <w:rsid w:val="00357985"/>
    <w:rsid w:val="003604B0"/>
    <w:rsid w:val="003703F9"/>
    <w:rsid w:val="00370D58"/>
    <w:rsid w:val="003712AA"/>
    <w:rsid w:val="00371D27"/>
    <w:rsid w:val="00372449"/>
    <w:rsid w:val="003734D5"/>
    <w:rsid w:val="00377284"/>
    <w:rsid w:val="00385320"/>
    <w:rsid w:val="00386CA7"/>
    <w:rsid w:val="00387682"/>
    <w:rsid w:val="00394417"/>
    <w:rsid w:val="003970EB"/>
    <w:rsid w:val="00397FCB"/>
    <w:rsid w:val="003A034B"/>
    <w:rsid w:val="003A5BD5"/>
    <w:rsid w:val="003A795D"/>
    <w:rsid w:val="003B10CC"/>
    <w:rsid w:val="003B472C"/>
    <w:rsid w:val="003B503D"/>
    <w:rsid w:val="003B63C6"/>
    <w:rsid w:val="003B6CDA"/>
    <w:rsid w:val="003B7D88"/>
    <w:rsid w:val="003C02F2"/>
    <w:rsid w:val="003C1FEA"/>
    <w:rsid w:val="003C2990"/>
    <w:rsid w:val="003D0C41"/>
    <w:rsid w:val="003D2F40"/>
    <w:rsid w:val="003D30EB"/>
    <w:rsid w:val="003E1FFB"/>
    <w:rsid w:val="003E2AA6"/>
    <w:rsid w:val="003E3A90"/>
    <w:rsid w:val="003E5144"/>
    <w:rsid w:val="003E5404"/>
    <w:rsid w:val="003E6127"/>
    <w:rsid w:val="003F3E9F"/>
    <w:rsid w:val="003F6323"/>
    <w:rsid w:val="00401D26"/>
    <w:rsid w:val="004056DD"/>
    <w:rsid w:val="004076CE"/>
    <w:rsid w:val="00411612"/>
    <w:rsid w:val="0041383C"/>
    <w:rsid w:val="00413FE0"/>
    <w:rsid w:val="00417A9A"/>
    <w:rsid w:val="0042126A"/>
    <w:rsid w:val="0043205E"/>
    <w:rsid w:val="00432A16"/>
    <w:rsid w:val="00433373"/>
    <w:rsid w:val="00441067"/>
    <w:rsid w:val="00441431"/>
    <w:rsid w:val="004446A4"/>
    <w:rsid w:val="00446518"/>
    <w:rsid w:val="004477B2"/>
    <w:rsid w:val="00454D66"/>
    <w:rsid w:val="00455957"/>
    <w:rsid w:val="00461433"/>
    <w:rsid w:val="00464BAF"/>
    <w:rsid w:val="00467478"/>
    <w:rsid w:val="0047240F"/>
    <w:rsid w:val="00473504"/>
    <w:rsid w:val="004737B3"/>
    <w:rsid w:val="004771D4"/>
    <w:rsid w:val="00481EF3"/>
    <w:rsid w:val="00483C0A"/>
    <w:rsid w:val="0048427F"/>
    <w:rsid w:val="00485AE8"/>
    <w:rsid w:val="004874A6"/>
    <w:rsid w:val="004931DE"/>
    <w:rsid w:val="00493F5B"/>
    <w:rsid w:val="00495A0E"/>
    <w:rsid w:val="00495F28"/>
    <w:rsid w:val="004A4C54"/>
    <w:rsid w:val="004A5198"/>
    <w:rsid w:val="004A550D"/>
    <w:rsid w:val="004B198A"/>
    <w:rsid w:val="004C1EFA"/>
    <w:rsid w:val="004C4A3E"/>
    <w:rsid w:val="004C600F"/>
    <w:rsid w:val="004C64F5"/>
    <w:rsid w:val="004D1570"/>
    <w:rsid w:val="004D25E6"/>
    <w:rsid w:val="004D45F3"/>
    <w:rsid w:val="004D5654"/>
    <w:rsid w:val="004D7AC8"/>
    <w:rsid w:val="004E001C"/>
    <w:rsid w:val="004E27AE"/>
    <w:rsid w:val="004E460F"/>
    <w:rsid w:val="004E7553"/>
    <w:rsid w:val="004F25C6"/>
    <w:rsid w:val="004F675C"/>
    <w:rsid w:val="004F7202"/>
    <w:rsid w:val="00510E8C"/>
    <w:rsid w:val="0051170B"/>
    <w:rsid w:val="00512C7B"/>
    <w:rsid w:val="0052088B"/>
    <w:rsid w:val="00520C14"/>
    <w:rsid w:val="00521E07"/>
    <w:rsid w:val="00522C88"/>
    <w:rsid w:val="0052303C"/>
    <w:rsid w:val="005230F1"/>
    <w:rsid w:val="00523FC4"/>
    <w:rsid w:val="005302D1"/>
    <w:rsid w:val="0053095C"/>
    <w:rsid w:val="005318AF"/>
    <w:rsid w:val="00534659"/>
    <w:rsid w:val="00541523"/>
    <w:rsid w:val="00542D85"/>
    <w:rsid w:val="005436A4"/>
    <w:rsid w:val="00547083"/>
    <w:rsid w:val="00547212"/>
    <w:rsid w:val="00550E8D"/>
    <w:rsid w:val="00553494"/>
    <w:rsid w:val="0055595E"/>
    <w:rsid w:val="00563AD2"/>
    <w:rsid w:val="00574665"/>
    <w:rsid w:val="00574BD4"/>
    <w:rsid w:val="00581710"/>
    <w:rsid w:val="0059109D"/>
    <w:rsid w:val="00592C5B"/>
    <w:rsid w:val="005933F8"/>
    <w:rsid w:val="005A2359"/>
    <w:rsid w:val="005A4B01"/>
    <w:rsid w:val="005C2CB2"/>
    <w:rsid w:val="005C3980"/>
    <w:rsid w:val="005C5F37"/>
    <w:rsid w:val="005D04CF"/>
    <w:rsid w:val="005D0E25"/>
    <w:rsid w:val="005D3006"/>
    <w:rsid w:val="005D7C38"/>
    <w:rsid w:val="005E0935"/>
    <w:rsid w:val="005E6134"/>
    <w:rsid w:val="005E637A"/>
    <w:rsid w:val="005F05C8"/>
    <w:rsid w:val="005F192D"/>
    <w:rsid w:val="0060109F"/>
    <w:rsid w:val="0060775B"/>
    <w:rsid w:val="00607F58"/>
    <w:rsid w:val="006138BF"/>
    <w:rsid w:val="00613ECB"/>
    <w:rsid w:val="00627038"/>
    <w:rsid w:val="006323F6"/>
    <w:rsid w:val="006325E4"/>
    <w:rsid w:val="00632D15"/>
    <w:rsid w:val="00632FBF"/>
    <w:rsid w:val="0063385B"/>
    <w:rsid w:val="006349C2"/>
    <w:rsid w:val="00637730"/>
    <w:rsid w:val="006401A1"/>
    <w:rsid w:val="00643FDD"/>
    <w:rsid w:val="00645CE5"/>
    <w:rsid w:val="0065144B"/>
    <w:rsid w:val="006576A4"/>
    <w:rsid w:val="00660539"/>
    <w:rsid w:val="00660B77"/>
    <w:rsid w:val="006626E5"/>
    <w:rsid w:val="00662E02"/>
    <w:rsid w:val="00665658"/>
    <w:rsid w:val="006663B4"/>
    <w:rsid w:val="00667E05"/>
    <w:rsid w:val="00672753"/>
    <w:rsid w:val="00673259"/>
    <w:rsid w:val="00681BEA"/>
    <w:rsid w:val="00682C87"/>
    <w:rsid w:val="00682EFE"/>
    <w:rsid w:val="00685EE2"/>
    <w:rsid w:val="00690CA6"/>
    <w:rsid w:val="00693345"/>
    <w:rsid w:val="00695959"/>
    <w:rsid w:val="006A15DF"/>
    <w:rsid w:val="006A6531"/>
    <w:rsid w:val="006B3022"/>
    <w:rsid w:val="006B4719"/>
    <w:rsid w:val="006C1E03"/>
    <w:rsid w:val="006D72FD"/>
    <w:rsid w:val="006D7BD3"/>
    <w:rsid w:val="006E5900"/>
    <w:rsid w:val="006E63EA"/>
    <w:rsid w:val="006F234C"/>
    <w:rsid w:val="006F3A51"/>
    <w:rsid w:val="007006E6"/>
    <w:rsid w:val="00700BF7"/>
    <w:rsid w:val="00705312"/>
    <w:rsid w:val="007055D5"/>
    <w:rsid w:val="007108D5"/>
    <w:rsid w:val="007110B3"/>
    <w:rsid w:val="00714059"/>
    <w:rsid w:val="00715D13"/>
    <w:rsid w:val="00716249"/>
    <w:rsid w:val="007224DE"/>
    <w:rsid w:val="00724991"/>
    <w:rsid w:val="00726CC5"/>
    <w:rsid w:val="00735822"/>
    <w:rsid w:val="00735C0C"/>
    <w:rsid w:val="0073615C"/>
    <w:rsid w:val="0073621D"/>
    <w:rsid w:val="00737692"/>
    <w:rsid w:val="00741C4F"/>
    <w:rsid w:val="007431F0"/>
    <w:rsid w:val="00745995"/>
    <w:rsid w:val="0074659B"/>
    <w:rsid w:val="00757F97"/>
    <w:rsid w:val="0076049B"/>
    <w:rsid w:val="00762BB2"/>
    <w:rsid w:val="00764246"/>
    <w:rsid w:val="007644AC"/>
    <w:rsid w:val="00765B06"/>
    <w:rsid w:val="00767B45"/>
    <w:rsid w:val="00771E6B"/>
    <w:rsid w:val="00776072"/>
    <w:rsid w:val="00777CE5"/>
    <w:rsid w:val="00777F95"/>
    <w:rsid w:val="00780366"/>
    <w:rsid w:val="007825FF"/>
    <w:rsid w:val="00782EC2"/>
    <w:rsid w:val="00795DE3"/>
    <w:rsid w:val="00795E00"/>
    <w:rsid w:val="007A1A53"/>
    <w:rsid w:val="007A572F"/>
    <w:rsid w:val="007A7F61"/>
    <w:rsid w:val="007B042D"/>
    <w:rsid w:val="007B2E04"/>
    <w:rsid w:val="007B5EB4"/>
    <w:rsid w:val="007C1065"/>
    <w:rsid w:val="007C54A3"/>
    <w:rsid w:val="007D0805"/>
    <w:rsid w:val="007D0BE4"/>
    <w:rsid w:val="007E1548"/>
    <w:rsid w:val="007E2730"/>
    <w:rsid w:val="007E3708"/>
    <w:rsid w:val="007E3E07"/>
    <w:rsid w:val="007E62B4"/>
    <w:rsid w:val="007F22C4"/>
    <w:rsid w:val="007F5848"/>
    <w:rsid w:val="00805171"/>
    <w:rsid w:val="0080542E"/>
    <w:rsid w:val="008068B8"/>
    <w:rsid w:val="00806BE3"/>
    <w:rsid w:val="00814C1B"/>
    <w:rsid w:val="008168D5"/>
    <w:rsid w:val="00822548"/>
    <w:rsid w:val="00823FA8"/>
    <w:rsid w:val="0082511D"/>
    <w:rsid w:val="00826582"/>
    <w:rsid w:val="008304B2"/>
    <w:rsid w:val="00833BD1"/>
    <w:rsid w:val="008415DA"/>
    <w:rsid w:val="008442EA"/>
    <w:rsid w:val="00845F3C"/>
    <w:rsid w:val="00851379"/>
    <w:rsid w:val="00854E39"/>
    <w:rsid w:val="0085541B"/>
    <w:rsid w:val="0085621B"/>
    <w:rsid w:val="008609BA"/>
    <w:rsid w:val="00860FB3"/>
    <w:rsid w:val="00862116"/>
    <w:rsid w:val="00865FF4"/>
    <w:rsid w:val="008668E9"/>
    <w:rsid w:val="0087581A"/>
    <w:rsid w:val="00876A2D"/>
    <w:rsid w:val="0088090A"/>
    <w:rsid w:val="0088163E"/>
    <w:rsid w:val="00882727"/>
    <w:rsid w:val="00885A41"/>
    <w:rsid w:val="0089105B"/>
    <w:rsid w:val="00892200"/>
    <w:rsid w:val="0089316B"/>
    <w:rsid w:val="00894E09"/>
    <w:rsid w:val="008964B7"/>
    <w:rsid w:val="008A5A40"/>
    <w:rsid w:val="008B13DB"/>
    <w:rsid w:val="008B146C"/>
    <w:rsid w:val="008B2464"/>
    <w:rsid w:val="008C75DE"/>
    <w:rsid w:val="008D0171"/>
    <w:rsid w:val="008D04F7"/>
    <w:rsid w:val="008D140E"/>
    <w:rsid w:val="008D19A0"/>
    <w:rsid w:val="008D26C5"/>
    <w:rsid w:val="008D31C7"/>
    <w:rsid w:val="008D61EB"/>
    <w:rsid w:val="008D6B19"/>
    <w:rsid w:val="008E391F"/>
    <w:rsid w:val="008E5056"/>
    <w:rsid w:val="008E5433"/>
    <w:rsid w:val="008E6138"/>
    <w:rsid w:val="008E6A40"/>
    <w:rsid w:val="008F0E7A"/>
    <w:rsid w:val="008F4F79"/>
    <w:rsid w:val="008F563F"/>
    <w:rsid w:val="008F56BF"/>
    <w:rsid w:val="0090607D"/>
    <w:rsid w:val="009074FC"/>
    <w:rsid w:val="00911D2C"/>
    <w:rsid w:val="00914DC6"/>
    <w:rsid w:val="009163CE"/>
    <w:rsid w:val="009179C0"/>
    <w:rsid w:val="00920D84"/>
    <w:rsid w:val="00923861"/>
    <w:rsid w:val="00924E27"/>
    <w:rsid w:val="009257AB"/>
    <w:rsid w:val="00927956"/>
    <w:rsid w:val="00935DA5"/>
    <w:rsid w:val="00946A2B"/>
    <w:rsid w:val="00953593"/>
    <w:rsid w:val="009539E4"/>
    <w:rsid w:val="00960B56"/>
    <w:rsid w:val="009640FD"/>
    <w:rsid w:val="00965FD0"/>
    <w:rsid w:val="00975389"/>
    <w:rsid w:val="009754B9"/>
    <w:rsid w:val="00982807"/>
    <w:rsid w:val="00985830"/>
    <w:rsid w:val="00996466"/>
    <w:rsid w:val="009A21FA"/>
    <w:rsid w:val="009A2653"/>
    <w:rsid w:val="009A2EE6"/>
    <w:rsid w:val="009A306F"/>
    <w:rsid w:val="009A3168"/>
    <w:rsid w:val="009A53BB"/>
    <w:rsid w:val="009A5CD0"/>
    <w:rsid w:val="009A6DC3"/>
    <w:rsid w:val="009B23AA"/>
    <w:rsid w:val="009B3C7A"/>
    <w:rsid w:val="009B5628"/>
    <w:rsid w:val="009C0780"/>
    <w:rsid w:val="009C07A8"/>
    <w:rsid w:val="009C1B99"/>
    <w:rsid w:val="009C4BD7"/>
    <w:rsid w:val="009C5DB2"/>
    <w:rsid w:val="009C7E02"/>
    <w:rsid w:val="009D0050"/>
    <w:rsid w:val="009D11DE"/>
    <w:rsid w:val="009D1BCE"/>
    <w:rsid w:val="009D2EF6"/>
    <w:rsid w:val="009D589B"/>
    <w:rsid w:val="009D6DDD"/>
    <w:rsid w:val="009E060D"/>
    <w:rsid w:val="009E200E"/>
    <w:rsid w:val="009E4985"/>
    <w:rsid w:val="009E79BE"/>
    <w:rsid w:val="009F069F"/>
    <w:rsid w:val="009F5D85"/>
    <w:rsid w:val="009F6295"/>
    <w:rsid w:val="009F6D7B"/>
    <w:rsid w:val="00A00995"/>
    <w:rsid w:val="00A050A4"/>
    <w:rsid w:val="00A06449"/>
    <w:rsid w:val="00A17DC6"/>
    <w:rsid w:val="00A20EB9"/>
    <w:rsid w:val="00A24481"/>
    <w:rsid w:val="00A2456D"/>
    <w:rsid w:val="00A27548"/>
    <w:rsid w:val="00A317CA"/>
    <w:rsid w:val="00A31B88"/>
    <w:rsid w:val="00A335F2"/>
    <w:rsid w:val="00A34F4E"/>
    <w:rsid w:val="00A369FE"/>
    <w:rsid w:val="00A41697"/>
    <w:rsid w:val="00A509F6"/>
    <w:rsid w:val="00A55C56"/>
    <w:rsid w:val="00A57F38"/>
    <w:rsid w:val="00A717B8"/>
    <w:rsid w:val="00A758E7"/>
    <w:rsid w:val="00A76C20"/>
    <w:rsid w:val="00A76DE8"/>
    <w:rsid w:val="00A77C62"/>
    <w:rsid w:val="00A84944"/>
    <w:rsid w:val="00A84A5E"/>
    <w:rsid w:val="00A922E0"/>
    <w:rsid w:val="00A94E9B"/>
    <w:rsid w:val="00A96AEF"/>
    <w:rsid w:val="00AA4814"/>
    <w:rsid w:val="00AA705C"/>
    <w:rsid w:val="00AB1DBF"/>
    <w:rsid w:val="00AB2A18"/>
    <w:rsid w:val="00AB4D70"/>
    <w:rsid w:val="00AB5E3E"/>
    <w:rsid w:val="00AD0C4B"/>
    <w:rsid w:val="00AD0FF0"/>
    <w:rsid w:val="00AD14CA"/>
    <w:rsid w:val="00AD2F0C"/>
    <w:rsid w:val="00AD3524"/>
    <w:rsid w:val="00AF5FE2"/>
    <w:rsid w:val="00B01878"/>
    <w:rsid w:val="00B0658B"/>
    <w:rsid w:val="00B10365"/>
    <w:rsid w:val="00B12584"/>
    <w:rsid w:val="00B2290B"/>
    <w:rsid w:val="00B24C85"/>
    <w:rsid w:val="00B24FEA"/>
    <w:rsid w:val="00B2669C"/>
    <w:rsid w:val="00B26E29"/>
    <w:rsid w:val="00B315AD"/>
    <w:rsid w:val="00B4056C"/>
    <w:rsid w:val="00B4248E"/>
    <w:rsid w:val="00B50DC2"/>
    <w:rsid w:val="00B52F95"/>
    <w:rsid w:val="00B54FDC"/>
    <w:rsid w:val="00B57673"/>
    <w:rsid w:val="00B632D3"/>
    <w:rsid w:val="00B63A9D"/>
    <w:rsid w:val="00B66948"/>
    <w:rsid w:val="00B672E7"/>
    <w:rsid w:val="00B67A3A"/>
    <w:rsid w:val="00B67ED3"/>
    <w:rsid w:val="00B75A6C"/>
    <w:rsid w:val="00B83158"/>
    <w:rsid w:val="00B87BE3"/>
    <w:rsid w:val="00BA75BA"/>
    <w:rsid w:val="00BB02CB"/>
    <w:rsid w:val="00BB1D89"/>
    <w:rsid w:val="00BB4BC6"/>
    <w:rsid w:val="00BC23D0"/>
    <w:rsid w:val="00BC3F6A"/>
    <w:rsid w:val="00BC6988"/>
    <w:rsid w:val="00BC78E6"/>
    <w:rsid w:val="00BC7F57"/>
    <w:rsid w:val="00BD4364"/>
    <w:rsid w:val="00BD72BB"/>
    <w:rsid w:val="00BD7562"/>
    <w:rsid w:val="00BD7D1D"/>
    <w:rsid w:val="00BE1868"/>
    <w:rsid w:val="00BE4F64"/>
    <w:rsid w:val="00BF2A53"/>
    <w:rsid w:val="00BF3B58"/>
    <w:rsid w:val="00C03795"/>
    <w:rsid w:val="00C10C93"/>
    <w:rsid w:val="00C12531"/>
    <w:rsid w:val="00C12BE5"/>
    <w:rsid w:val="00C153D1"/>
    <w:rsid w:val="00C16DF1"/>
    <w:rsid w:val="00C215D7"/>
    <w:rsid w:val="00C26E67"/>
    <w:rsid w:val="00C34754"/>
    <w:rsid w:val="00C34E34"/>
    <w:rsid w:val="00C426E5"/>
    <w:rsid w:val="00C449F5"/>
    <w:rsid w:val="00C57EC4"/>
    <w:rsid w:val="00C6034F"/>
    <w:rsid w:val="00C603DE"/>
    <w:rsid w:val="00C60E3F"/>
    <w:rsid w:val="00C6119F"/>
    <w:rsid w:val="00C66E7A"/>
    <w:rsid w:val="00C678A4"/>
    <w:rsid w:val="00C8471E"/>
    <w:rsid w:val="00C85F5F"/>
    <w:rsid w:val="00C86649"/>
    <w:rsid w:val="00C87003"/>
    <w:rsid w:val="00C90175"/>
    <w:rsid w:val="00C91D14"/>
    <w:rsid w:val="00C92AA2"/>
    <w:rsid w:val="00C95B8D"/>
    <w:rsid w:val="00C96C72"/>
    <w:rsid w:val="00CA7C6F"/>
    <w:rsid w:val="00CB0D42"/>
    <w:rsid w:val="00CB353C"/>
    <w:rsid w:val="00CB5137"/>
    <w:rsid w:val="00CB7951"/>
    <w:rsid w:val="00CC01CB"/>
    <w:rsid w:val="00CC0256"/>
    <w:rsid w:val="00CD0401"/>
    <w:rsid w:val="00CD10D4"/>
    <w:rsid w:val="00CD4951"/>
    <w:rsid w:val="00CE0C7D"/>
    <w:rsid w:val="00CE0FFC"/>
    <w:rsid w:val="00CE5156"/>
    <w:rsid w:val="00CE6B43"/>
    <w:rsid w:val="00CE76B0"/>
    <w:rsid w:val="00D035E5"/>
    <w:rsid w:val="00D04344"/>
    <w:rsid w:val="00D10C05"/>
    <w:rsid w:val="00D1567C"/>
    <w:rsid w:val="00D27C28"/>
    <w:rsid w:val="00D3056D"/>
    <w:rsid w:val="00D3146D"/>
    <w:rsid w:val="00D32A2E"/>
    <w:rsid w:val="00D40142"/>
    <w:rsid w:val="00D41EA6"/>
    <w:rsid w:val="00D50E4E"/>
    <w:rsid w:val="00D52431"/>
    <w:rsid w:val="00D52F29"/>
    <w:rsid w:val="00D537E3"/>
    <w:rsid w:val="00D56522"/>
    <w:rsid w:val="00D606A9"/>
    <w:rsid w:val="00D6138A"/>
    <w:rsid w:val="00D64874"/>
    <w:rsid w:val="00D6568E"/>
    <w:rsid w:val="00D666DC"/>
    <w:rsid w:val="00D676CE"/>
    <w:rsid w:val="00D720BD"/>
    <w:rsid w:val="00D751D8"/>
    <w:rsid w:val="00D755CD"/>
    <w:rsid w:val="00D75B94"/>
    <w:rsid w:val="00D8048A"/>
    <w:rsid w:val="00D806E6"/>
    <w:rsid w:val="00D81232"/>
    <w:rsid w:val="00D84683"/>
    <w:rsid w:val="00D8659B"/>
    <w:rsid w:val="00D90400"/>
    <w:rsid w:val="00D90D2E"/>
    <w:rsid w:val="00D930D0"/>
    <w:rsid w:val="00DA02EF"/>
    <w:rsid w:val="00DA045E"/>
    <w:rsid w:val="00DA0CB3"/>
    <w:rsid w:val="00DA11B1"/>
    <w:rsid w:val="00DA2087"/>
    <w:rsid w:val="00DA25C1"/>
    <w:rsid w:val="00DA6400"/>
    <w:rsid w:val="00DA7A0C"/>
    <w:rsid w:val="00DB0252"/>
    <w:rsid w:val="00DB2112"/>
    <w:rsid w:val="00DC3D85"/>
    <w:rsid w:val="00DC6149"/>
    <w:rsid w:val="00DD06E4"/>
    <w:rsid w:val="00DD7269"/>
    <w:rsid w:val="00DE0F51"/>
    <w:rsid w:val="00DE1B7E"/>
    <w:rsid w:val="00DE2A77"/>
    <w:rsid w:val="00DF76DD"/>
    <w:rsid w:val="00E033A3"/>
    <w:rsid w:val="00E03936"/>
    <w:rsid w:val="00E05171"/>
    <w:rsid w:val="00E060BE"/>
    <w:rsid w:val="00E06320"/>
    <w:rsid w:val="00E06F5B"/>
    <w:rsid w:val="00E07098"/>
    <w:rsid w:val="00E116F8"/>
    <w:rsid w:val="00E119C5"/>
    <w:rsid w:val="00E2184A"/>
    <w:rsid w:val="00E30DE0"/>
    <w:rsid w:val="00E34DCB"/>
    <w:rsid w:val="00E35F93"/>
    <w:rsid w:val="00E431A6"/>
    <w:rsid w:val="00E53AE4"/>
    <w:rsid w:val="00E55CB7"/>
    <w:rsid w:val="00E571B3"/>
    <w:rsid w:val="00E57203"/>
    <w:rsid w:val="00E64A06"/>
    <w:rsid w:val="00E723F0"/>
    <w:rsid w:val="00E72B77"/>
    <w:rsid w:val="00E74F3B"/>
    <w:rsid w:val="00E806B1"/>
    <w:rsid w:val="00E83426"/>
    <w:rsid w:val="00E83CED"/>
    <w:rsid w:val="00E8698F"/>
    <w:rsid w:val="00E905FE"/>
    <w:rsid w:val="00E90CB2"/>
    <w:rsid w:val="00E93ECB"/>
    <w:rsid w:val="00E95280"/>
    <w:rsid w:val="00E95E74"/>
    <w:rsid w:val="00E960AD"/>
    <w:rsid w:val="00E964C1"/>
    <w:rsid w:val="00E97411"/>
    <w:rsid w:val="00EA672D"/>
    <w:rsid w:val="00EA711C"/>
    <w:rsid w:val="00EA72AA"/>
    <w:rsid w:val="00EA7FE9"/>
    <w:rsid w:val="00EB0AD6"/>
    <w:rsid w:val="00EB24BC"/>
    <w:rsid w:val="00EB3810"/>
    <w:rsid w:val="00EB702E"/>
    <w:rsid w:val="00EC10FB"/>
    <w:rsid w:val="00EC14FB"/>
    <w:rsid w:val="00EC5EA3"/>
    <w:rsid w:val="00EC6171"/>
    <w:rsid w:val="00EC6B39"/>
    <w:rsid w:val="00ED498D"/>
    <w:rsid w:val="00ED51BD"/>
    <w:rsid w:val="00ED78C2"/>
    <w:rsid w:val="00EE4D75"/>
    <w:rsid w:val="00EF6279"/>
    <w:rsid w:val="00F00C0B"/>
    <w:rsid w:val="00F02A21"/>
    <w:rsid w:val="00F041C7"/>
    <w:rsid w:val="00F05629"/>
    <w:rsid w:val="00F065E8"/>
    <w:rsid w:val="00F13193"/>
    <w:rsid w:val="00F1753D"/>
    <w:rsid w:val="00F20F25"/>
    <w:rsid w:val="00F218F1"/>
    <w:rsid w:val="00F22324"/>
    <w:rsid w:val="00F23F41"/>
    <w:rsid w:val="00F309D5"/>
    <w:rsid w:val="00F30D6B"/>
    <w:rsid w:val="00F41D5D"/>
    <w:rsid w:val="00F44AFB"/>
    <w:rsid w:val="00F47545"/>
    <w:rsid w:val="00F502A8"/>
    <w:rsid w:val="00F52759"/>
    <w:rsid w:val="00F54CB0"/>
    <w:rsid w:val="00F56644"/>
    <w:rsid w:val="00F57AAC"/>
    <w:rsid w:val="00F61F0E"/>
    <w:rsid w:val="00F620C2"/>
    <w:rsid w:val="00F62A70"/>
    <w:rsid w:val="00F64DF8"/>
    <w:rsid w:val="00F66BBC"/>
    <w:rsid w:val="00F70C1E"/>
    <w:rsid w:val="00F731F0"/>
    <w:rsid w:val="00F75181"/>
    <w:rsid w:val="00F766C4"/>
    <w:rsid w:val="00F76702"/>
    <w:rsid w:val="00F80C55"/>
    <w:rsid w:val="00F83771"/>
    <w:rsid w:val="00F84D28"/>
    <w:rsid w:val="00F85BC9"/>
    <w:rsid w:val="00F91359"/>
    <w:rsid w:val="00F9395F"/>
    <w:rsid w:val="00F95993"/>
    <w:rsid w:val="00F9690B"/>
    <w:rsid w:val="00F978DB"/>
    <w:rsid w:val="00FA2AD4"/>
    <w:rsid w:val="00FB09AE"/>
    <w:rsid w:val="00FB17B7"/>
    <w:rsid w:val="00FB3082"/>
    <w:rsid w:val="00FC08A3"/>
    <w:rsid w:val="00FC240F"/>
    <w:rsid w:val="00FC2613"/>
    <w:rsid w:val="00FC2886"/>
    <w:rsid w:val="00FD2200"/>
    <w:rsid w:val="00FD468F"/>
    <w:rsid w:val="00FD48A3"/>
    <w:rsid w:val="00FD5CE0"/>
    <w:rsid w:val="00FD72F9"/>
    <w:rsid w:val="00FE4367"/>
    <w:rsid w:val="00FF7098"/>
    <w:rsid w:val="019477FC"/>
    <w:rsid w:val="035B696E"/>
    <w:rsid w:val="03D26EE6"/>
    <w:rsid w:val="047B1719"/>
    <w:rsid w:val="05C74ED9"/>
    <w:rsid w:val="060914B4"/>
    <w:rsid w:val="076D5A73"/>
    <w:rsid w:val="079421CD"/>
    <w:rsid w:val="07A1396F"/>
    <w:rsid w:val="09906FBF"/>
    <w:rsid w:val="0A630D75"/>
    <w:rsid w:val="0A8E5BBF"/>
    <w:rsid w:val="0BFA364D"/>
    <w:rsid w:val="0C395F24"/>
    <w:rsid w:val="0F3D061C"/>
    <w:rsid w:val="11A823EF"/>
    <w:rsid w:val="143A6CDD"/>
    <w:rsid w:val="144B713C"/>
    <w:rsid w:val="15DE218A"/>
    <w:rsid w:val="17AC1CA0"/>
    <w:rsid w:val="187D7166"/>
    <w:rsid w:val="1B6F66A0"/>
    <w:rsid w:val="1E7D4396"/>
    <w:rsid w:val="1EA110BE"/>
    <w:rsid w:val="21C978F2"/>
    <w:rsid w:val="23571659"/>
    <w:rsid w:val="23F21382"/>
    <w:rsid w:val="24E86888"/>
    <w:rsid w:val="25A16BBC"/>
    <w:rsid w:val="287E7DEA"/>
    <w:rsid w:val="29616F15"/>
    <w:rsid w:val="2C1571B2"/>
    <w:rsid w:val="2D0E12AD"/>
    <w:rsid w:val="2D542766"/>
    <w:rsid w:val="2D6C4E75"/>
    <w:rsid w:val="2DA52FC1"/>
    <w:rsid w:val="2E677271"/>
    <w:rsid w:val="2EFB0FA1"/>
    <w:rsid w:val="302D4440"/>
    <w:rsid w:val="31E85144"/>
    <w:rsid w:val="35F42D38"/>
    <w:rsid w:val="38C71FE7"/>
    <w:rsid w:val="3A874F93"/>
    <w:rsid w:val="3BF21AC7"/>
    <w:rsid w:val="3CBC2E79"/>
    <w:rsid w:val="3E430682"/>
    <w:rsid w:val="3F0062A9"/>
    <w:rsid w:val="3FBD6CB5"/>
    <w:rsid w:val="40D263C8"/>
    <w:rsid w:val="41AE180D"/>
    <w:rsid w:val="430F70B0"/>
    <w:rsid w:val="43361F5E"/>
    <w:rsid w:val="435B618D"/>
    <w:rsid w:val="43A702D9"/>
    <w:rsid w:val="44B47591"/>
    <w:rsid w:val="46FD57C4"/>
    <w:rsid w:val="473236C0"/>
    <w:rsid w:val="48621B91"/>
    <w:rsid w:val="496154E9"/>
    <w:rsid w:val="49FE02E7"/>
    <w:rsid w:val="4A577B57"/>
    <w:rsid w:val="4C196CB0"/>
    <w:rsid w:val="4E131BAE"/>
    <w:rsid w:val="4E6E20E6"/>
    <w:rsid w:val="4F177A6F"/>
    <w:rsid w:val="51810ACE"/>
    <w:rsid w:val="51B01DB1"/>
    <w:rsid w:val="536D56EC"/>
    <w:rsid w:val="539F55CC"/>
    <w:rsid w:val="556F788D"/>
    <w:rsid w:val="565A4F64"/>
    <w:rsid w:val="56F24C1A"/>
    <w:rsid w:val="58F308B9"/>
    <w:rsid w:val="5AFB205B"/>
    <w:rsid w:val="5B7D49A6"/>
    <w:rsid w:val="5C3D7635"/>
    <w:rsid w:val="5CCB5CF1"/>
    <w:rsid w:val="5DC0337C"/>
    <w:rsid w:val="5DFC012C"/>
    <w:rsid w:val="5E6700FA"/>
    <w:rsid w:val="5F7E529D"/>
    <w:rsid w:val="60C21798"/>
    <w:rsid w:val="60D55390"/>
    <w:rsid w:val="61720E31"/>
    <w:rsid w:val="62291404"/>
    <w:rsid w:val="62EB22A7"/>
    <w:rsid w:val="64145C3D"/>
    <w:rsid w:val="64F84FF6"/>
    <w:rsid w:val="65B5721F"/>
    <w:rsid w:val="66FE4F15"/>
    <w:rsid w:val="67E00E9E"/>
    <w:rsid w:val="687672C2"/>
    <w:rsid w:val="68D73C6F"/>
    <w:rsid w:val="697D43E5"/>
    <w:rsid w:val="6ADE7D3B"/>
    <w:rsid w:val="6B2E7F71"/>
    <w:rsid w:val="6B3338BD"/>
    <w:rsid w:val="6B496B67"/>
    <w:rsid w:val="6BE81CBD"/>
    <w:rsid w:val="6E097324"/>
    <w:rsid w:val="6FA30D66"/>
    <w:rsid w:val="6FDE58E3"/>
    <w:rsid w:val="70CA7F9D"/>
    <w:rsid w:val="71CC4E31"/>
    <w:rsid w:val="73F670D9"/>
    <w:rsid w:val="74742919"/>
    <w:rsid w:val="749D4CB4"/>
    <w:rsid w:val="74DA02DC"/>
    <w:rsid w:val="773046A4"/>
    <w:rsid w:val="78653EBF"/>
    <w:rsid w:val="7B385BBB"/>
    <w:rsid w:val="7B6312FE"/>
    <w:rsid w:val="7BB81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29"/>
    <w:qFormat/>
    <w:uiPriority w:val="9"/>
    <w:pPr>
      <w:spacing w:beforeLines="100" w:afterLines="100"/>
      <w:outlineLvl w:val="0"/>
    </w:pPr>
    <w:rPr>
      <w:rFonts w:ascii="黑体" w:hAnsi="黑体" w:eastAsia="黑体" w:cs="方正仿宋_GBK"/>
    </w:rPr>
  </w:style>
  <w:style w:type="paragraph" w:styleId="3">
    <w:name w:val="heading 2"/>
    <w:basedOn w:val="1"/>
    <w:next w:val="1"/>
    <w:link w:val="32"/>
    <w:unhideWhenUsed/>
    <w:qFormat/>
    <w:uiPriority w:val="9"/>
    <w:pPr>
      <w:spacing w:beforeLines="50" w:afterLines="50"/>
      <w:outlineLvl w:val="1"/>
    </w:pPr>
    <w:rPr>
      <w:rFonts w:ascii="黑体" w:hAnsi="黑体" w:eastAsia="黑体" w:cs="方正仿宋_GBK"/>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Body Text"/>
    <w:basedOn w:val="1"/>
    <w:link w:val="31"/>
    <w:qFormat/>
    <w:uiPriority w:val="1"/>
    <w:pPr>
      <w:autoSpaceDE w:val="0"/>
      <w:autoSpaceDN w:val="0"/>
      <w:adjustRightInd w:val="0"/>
      <w:ind w:left="116"/>
      <w:jc w:val="left"/>
    </w:pPr>
    <w:rPr>
      <w:rFonts w:ascii="宋体" w:hAnsi="Times New Roman" w:cs="宋体"/>
      <w:kern w:val="0"/>
      <w:szCs w:val="21"/>
    </w:rPr>
  </w:style>
  <w:style w:type="paragraph" w:styleId="5">
    <w:name w:val="toc 3"/>
    <w:basedOn w:val="1"/>
    <w:next w:val="1"/>
    <w:unhideWhenUsed/>
    <w:qFormat/>
    <w:uiPriority w:val="39"/>
    <w:pPr>
      <w:widowControl/>
      <w:spacing w:after="100" w:line="259" w:lineRule="auto"/>
      <w:ind w:left="440"/>
      <w:jc w:val="left"/>
    </w:pPr>
    <w:rPr>
      <w:rFonts w:cs="Times New Roman"/>
      <w:kern w:val="0"/>
      <w:sz w:val="22"/>
    </w:rPr>
  </w:style>
  <w:style w:type="paragraph" w:styleId="6">
    <w:name w:val="Balloon Text"/>
    <w:basedOn w:val="1"/>
    <w:link w:val="30"/>
    <w:unhideWhenUsed/>
    <w:qFormat/>
    <w:uiPriority w:val="99"/>
    <w:rPr>
      <w:sz w:val="18"/>
      <w:szCs w:val="18"/>
    </w:rPr>
  </w:style>
  <w:style w:type="paragraph" w:styleId="7">
    <w:name w:val="footer"/>
    <w:basedOn w:val="1"/>
    <w:link w:val="28"/>
    <w:unhideWhenUsed/>
    <w:qFormat/>
    <w:uiPriority w:val="99"/>
    <w:pPr>
      <w:tabs>
        <w:tab w:val="center" w:pos="4153"/>
        <w:tab w:val="right" w:pos="8306"/>
      </w:tabs>
      <w:snapToGrid w:val="0"/>
      <w:jc w:val="left"/>
    </w:pPr>
    <w:rPr>
      <w:sz w:val="18"/>
      <w:szCs w:val="18"/>
    </w:rPr>
  </w:style>
  <w:style w:type="paragraph" w:styleId="8">
    <w:name w:val="header"/>
    <w:basedOn w:val="1"/>
    <w:link w:val="27"/>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tabs>
        <w:tab w:val="right" w:leader="dot" w:pos="8834"/>
      </w:tabs>
      <w:snapToGrid w:val="0"/>
      <w:spacing w:after="100"/>
      <w:jc w:val="left"/>
    </w:pPr>
    <w:rPr>
      <w:rFonts w:ascii="方正黑体_GBK" w:eastAsia="方正黑体_GBK" w:cs="Times New Roman"/>
      <w:kern w:val="0"/>
      <w:sz w:val="22"/>
    </w:rPr>
  </w:style>
  <w:style w:type="paragraph" w:styleId="10">
    <w:name w:val="toc 2"/>
    <w:basedOn w:val="1"/>
    <w:next w:val="1"/>
    <w:unhideWhenUsed/>
    <w:qFormat/>
    <w:uiPriority w:val="39"/>
    <w:pPr>
      <w:widowControl/>
      <w:spacing w:after="100" w:line="259" w:lineRule="auto"/>
      <w:ind w:left="220"/>
      <w:jc w:val="left"/>
    </w:pPr>
    <w:rPr>
      <w:rFonts w:cs="Times New Roman"/>
      <w:kern w:val="0"/>
      <w:sz w:val="22"/>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rPr>
      <w:rFonts w:ascii="Times New Roman" w:hAnsi="Times New Roman" w:eastAsia="宋体"/>
      <w:sz w:val="18"/>
    </w:rPr>
  </w:style>
  <w:style w:type="character" w:styleId="15">
    <w:name w:val="Hyperlink"/>
    <w:basedOn w:val="13"/>
    <w:unhideWhenUsed/>
    <w:qFormat/>
    <w:uiPriority w:val="99"/>
    <w:rPr>
      <w:color w:val="0563C1"/>
      <w:u w:val="single"/>
    </w:rPr>
  </w:style>
  <w:style w:type="paragraph" w:customStyle="1" w:styleId="16">
    <w:name w:val="TOC 标题1"/>
    <w:basedOn w:val="2"/>
    <w:next w:val="1"/>
    <w:unhideWhenUsed/>
    <w:qFormat/>
    <w:uiPriority w:val="39"/>
    <w:pPr>
      <w:widowControl/>
      <w:spacing w:line="259" w:lineRule="auto"/>
      <w:jc w:val="left"/>
      <w:outlineLvl w:val="9"/>
    </w:pPr>
    <w:rPr>
      <w:rFonts w:ascii="Calibri Light" w:hAnsi="Calibri Light" w:eastAsia="宋体" w:cs="黑体"/>
      <w:b/>
      <w:bCs/>
      <w:color w:val="2D73B3"/>
      <w:kern w:val="0"/>
      <w:sz w:val="32"/>
      <w:szCs w:val="32"/>
    </w:rPr>
  </w:style>
  <w:style w:type="paragraph" w:customStyle="1" w:styleId="17">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8">
    <w:name w:val="发布日期"/>
    <w:qFormat/>
    <w:uiPriority w:val="0"/>
    <w:rPr>
      <w:rFonts w:ascii="Times New Roman" w:hAnsi="Times New Roman" w:eastAsia="黑体" w:cs="Times New Roman"/>
      <w:sz w:val="28"/>
      <w:lang w:val="en-US" w:eastAsia="zh-CN" w:bidi="ar-SA"/>
    </w:rPr>
  </w:style>
  <w:style w:type="paragraph" w:customStyle="1" w:styleId="19">
    <w:name w:val="封面标准号2"/>
    <w:basedOn w:val="1"/>
    <w:qFormat/>
    <w:uiPriority w:val="0"/>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rFonts w:ascii="Times New Roman" w:hAnsi="Times New Roman" w:cs="Times New Roman"/>
      <w:kern w:val="0"/>
      <w:sz w:val="28"/>
      <w:szCs w:val="20"/>
    </w:rPr>
  </w:style>
  <w:style w:type="paragraph" w:customStyle="1" w:styleId="20">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1">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22">
    <w:name w:val="封面正文"/>
    <w:qFormat/>
    <w:uiPriority w:val="0"/>
    <w:pPr>
      <w:jc w:val="both"/>
    </w:pPr>
    <w:rPr>
      <w:rFonts w:ascii="Times New Roman" w:hAnsi="Times New Roman" w:eastAsia="宋体" w:cs="Times New Roman"/>
      <w:lang w:val="en-US" w:eastAsia="zh-CN" w:bidi="ar-SA"/>
    </w:rPr>
  </w:style>
  <w:style w:type="paragraph" w:customStyle="1" w:styleId="2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4">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hAnsi="Times New Roman" w:eastAsia="黑体" w:cs="Times New Roman"/>
      <w:spacing w:val="20"/>
      <w:w w:val="135"/>
      <w:kern w:val="0"/>
      <w:sz w:val="36"/>
      <w:szCs w:val="20"/>
    </w:rPr>
  </w:style>
  <w:style w:type="paragraph" w:customStyle="1" w:styleId="25">
    <w:name w:val="实施日期"/>
    <w:basedOn w:val="18"/>
    <w:qFormat/>
    <w:uiPriority w:val="0"/>
    <w:pPr>
      <w:framePr w:wrap="around" w:vAnchor="margin" w:hAnchor="text" w:xAlign="right" w:y="1"/>
      <w:jc w:val="right"/>
    </w:pPr>
  </w:style>
  <w:style w:type="paragraph" w:customStyle="1" w:styleId="26">
    <w:name w:val="文献分类号"/>
    <w:qFormat/>
    <w:uiPriority w:val="0"/>
    <w:pPr>
      <w:widowControl w:val="0"/>
      <w:textAlignment w:val="center"/>
    </w:pPr>
    <w:rPr>
      <w:rFonts w:ascii="Times New Roman" w:hAnsi="Times New Roman" w:eastAsia="黑体" w:cs="Times New Roman"/>
      <w:sz w:val="21"/>
      <w:lang w:val="en-US" w:eastAsia="zh-CN" w:bidi="ar-SA"/>
    </w:rPr>
  </w:style>
  <w:style w:type="character" w:customStyle="1" w:styleId="27">
    <w:name w:val="页眉 字符"/>
    <w:basedOn w:val="13"/>
    <w:link w:val="8"/>
    <w:qFormat/>
    <w:uiPriority w:val="99"/>
    <w:rPr>
      <w:sz w:val="18"/>
      <w:szCs w:val="18"/>
    </w:rPr>
  </w:style>
  <w:style w:type="character" w:customStyle="1" w:styleId="28">
    <w:name w:val="页脚 字符"/>
    <w:basedOn w:val="13"/>
    <w:link w:val="7"/>
    <w:qFormat/>
    <w:uiPriority w:val="99"/>
    <w:rPr>
      <w:sz w:val="18"/>
      <w:szCs w:val="18"/>
    </w:rPr>
  </w:style>
  <w:style w:type="character" w:customStyle="1" w:styleId="29">
    <w:name w:val="标题 1 字符"/>
    <w:basedOn w:val="13"/>
    <w:link w:val="2"/>
    <w:qFormat/>
    <w:uiPriority w:val="9"/>
    <w:rPr>
      <w:rFonts w:ascii="黑体" w:hAnsi="黑体" w:eastAsia="黑体" w:cs="方正仿宋_GBK"/>
    </w:rPr>
  </w:style>
  <w:style w:type="character" w:customStyle="1" w:styleId="30">
    <w:name w:val="批注框文本 字符"/>
    <w:basedOn w:val="13"/>
    <w:link w:val="6"/>
    <w:semiHidden/>
    <w:qFormat/>
    <w:uiPriority w:val="99"/>
    <w:rPr>
      <w:sz w:val="18"/>
      <w:szCs w:val="18"/>
    </w:rPr>
  </w:style>
  <w:style w:type="character" w:customStyle="1" w:styleId="31">
    <w:name w:val="正文文本 字符"/>
    <w:basedOn w:val="13"/>
    <w:link w:val="4"/>
    <w:qFormat/>
    <w:uiPriority w:val="1"/>
    <w:rPr>
      <w:rFonts w:ascii="宋体" w:hAnsi="Times New Roman" w:eastAsia="宋体" w:cs="宋体"/>
      <w:kern w:val="0"/>
      <w:szCs w:val="21"/>
    </w:rPr>
  </w:style>
  <w:style w:type="character" w:customStyle="1" w:styleId="32">
    <w:name w:val="标题 2 字符"/>
    <w:basedOn w:val="13"/>
    <w:link w:val="3"/>
    <w:qFormat/>
    <w:uiPriority w:val="9"/>
    <w:rPr>
      <w:rFonts w:ascii="黑体" w:hAnsi="黑体" w:eastAsia="黑体" w:cs="方正仿宋_GBK"/>
    </w:rPr>
  </w:style>
  <w:style w:type="character" w:customStyle="1" w:styleId="33">
    <w:name w:val="占位符文本1"/>
    <w:basedOn w:val="13"/>
    <w:semiHidden/>
    <w:qFormat/>
    <w:uiPriority w:val="99"/>
    <w:rPr>
      <w:color w:val="808080"/>
    </w:rPr>
  </w:style>
  <w:style w:type="paragraph" w:customStyle="1" w:styleId="34">
    <w:name w:val="标准文件_段"/>
    <w:link w:val="35"/>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5">
    <w:name w:val="标准文件_段 Char"/>
    <w:link w:val="34"/>
    <w:qFormat/>
    <w:uiPriority w:val="99"/>
    <w:rPr>
      <w:rFonts w:ascii="宋体"/>
      <w:sz w:val="21"/>
    </w:rPr>
  </w:style>
  <w:style w:type="paragraph" w:customStyle="1" w:styleId="36">
    <w:name w:val="段"/>
    <w:link w:val="3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7">
    <w:name w:val="段 Char"/>
    <w:basedOn w:val="13"/>
    <w:link w:val="36"/>
    <w:qFormat/>
    <w:uiPriority w:val="0"/>
    <w:rPr>
      <w:rFonts w:ascii="宋体"/>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4.wmf"/><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Words>
  <Characters>2</Characters>
  <Lines>9</Lines>
  <Paragraphs>8</Paragraphs>
  <TotalTime>15</TotalTime>
  <ScaleCrop>false</ScaleCrop>
  <LinksUpToDate>false</LinksUpToDate>
  <CharactersWithSpaces>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2025-10-17T08:35:00Z</dcterms:created>
  <dc:creator>田丙正</dc:creator>
  <cp:lastModifiedBy>忐忑</cp:lastModifiedBy>
  <cp:lastPrinted>2025-04-14T09:54:00Z</cp:lastPrinted>
  <dcterms:modified xsi:type="dcterms:W3CDTF">2025-10-23T03:09:22Z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2052-12.1.0.23125</vt:lpwstr>
  </property>
  <property fmtid="{D5CDD505-2E9C-101B-9397-08002B2CF9AE}" pid="4" name="KSOTemplateDocerSaveRecord">
    <vt:lpwstr>eyJoZGlkIjoiMjE1MGZmOTRhZjllMGExZDlkZTMzYmYzNTljMTkwODUiLCJ1c2VySWQiOiI0MzYwMTU0NjQifQ==</vt:lpwstr>
  </property>
  <property fmtid="{D5CDD505-2E9C-101B-9397-08002B2CF9AE}" pid="5" name="ICV">
    <vt:lpwstr>9D55E2AF9C1E4299A48CB6DA98C765DF_13</vt:lpwstr>
  </property>
</Properties>
</file>