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676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ED1C53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25F76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13.310</w:t>
            </w:r>
            <w:r>
              <w:rPr>
                <w:rFonts w:ascii="黑体" w:hAnsi="黑体" w:eastAsia="黑体"/>
                <w:sz w:val="21"/>
                <w:szCs w:val="21"/>
              </w:rPr>
              <w:t xml:space="preserve"> </w:t>
            </w:r>
            <w:r>
              <w:rPr>
                <w:rFonts w:ascii="黑体" w:hAnsi="黑体" w:eastAsia="黑体"/>
                <w:sz w:val="21"/>
                <w:szCs w:val="21"/>
              </w:rPr>
              <w:fldChar w:fldCharType="end"/>
            </w:r>
            <w:bookmarkEnd w:id="0"/>
          </w:p>
        </w:tc>
      </w:tr>
      <w:tr w14:paraId="11C6F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5A221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420AB8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90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63DBBF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E50A89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7C1440C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AEBFA1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3225DCE">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11E1F4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4CB9BC">
      <w:pPr>
        <w:pStyle w:val="50"/>
        <w:framePr w:w="9639" w:h="6976" w:hRule="exact" w:hSpace="0" w:vSpace="0" w:wrap="around" w:hAnchor="page" w:y="6408"/>
        <w:jc w:val="center"/>
        <w:rPr>
          <w:rFonts w:ascii="黑体" w:hAnsi="黑体" w:eastAsia="黑体"/>
          <w:b w:val="0"/>
          <w:bCs w:val="0"/>
          <w:w w:val="100"/>
        </w:rPr>
      </w:pPr>
    </w:p>
    <w:p w14:paraId="6CD08FEF">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司法监管场所低空防范规范</w:t>
      </w:r>
      <w:r>
        <w:fldChar w:fldCharType="end"/>
      </w:r>
      <w:bookmarkEnd w:id="9"/>
    </w:p>
    <w:p w14:paraId="4D1B483A">
      <w:pPr>
        <w:framePr w:w="9639" w:h="6974" w:hRule="exact" w:wrap="around" w:vAnchor="page" w:hAnchor="page" w:x="1419" w:y="6408" w:anchorLock="1"/>
        <w:ind w:left="-1418"/>
      </w:pPr>
    </w:p>
    <w:p w14:paraId="3DE67A0D">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Specifications for low-altitude prevention in judicial supervision facilities</w:t>
      </w:r>
      <w:r>
        <w:rPr>
          <w:rFonts w:ascii="黑体" w:hAnsi="黑体" w:eastAsia="黑体"/>
          <w:szCs w:val="28"/>
        </w:rPr>
        <w:fldChar w:fldCharType="end"/>
      </w:r>
      <w:bookmarkEnd w:id="10"/>
    </w:p>
    <w:p w14:paraId="544B4FE8">
      <w:pPr>
        <w:framePr w:w="9639" w:h="6974" w:hRule="exact" w:wrap="around" w:vAnchor="page" w:hAnchor="page" w:x="1419" w:y="6408" w:anchorLock="1"/>
        <w:spacing w:line="760" w:lineRule="exact"/>
        <w:ind w:left="-1418"/>
      </w:pPr>
    </w:p>
    <w:p w14:paraId="6A064DB4">
      <w:pPr>
        <w:pStyle w:val="125"/>
        <w:framePr w:w="9639" w:h="6974" w:hRule="exact" w:wrap="around" w:vAnchor="page" w:hAnchor="page" w:x="1419" w:y="6408" w:anchorLock="1"/>
        <w:textAlignment w:val="bottom"/>
        <w:rPr>
          <w:rFonts w:eastAsia="黑体"/>
          <w:szCs w:val="28"/>
        </w:rPr>
      </w:pPr>
    </w:p>
    <w:p w14:paraId="34F7256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0091C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09FAD7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36C364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0C27C5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EDE204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1B6811B">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649540">
      <w:pPr>
        <w:pStyle w:val="89"/>
        <w:spacing w:before="900" w:after="468"/>
      </w:pPr>
      <w:bookmarkStart w:id="21" w:name="BookMark2"/>
      <w:r>
        <w:rPr>
          <w:rFonts w:hint="eastAsia"/>
          <w:spacing w:val="320"/>
        </w:rPr>
        <w:t>前</w:t>
      </w:r>
      <w:r>
        <w:rPr>
          <w:rFonts w:hint="eastAsia"/>
        </w:rPr>
        <w:t>言</w:t>
      </w:r>
    </w:p>
    <w:p w14:paraId="521C6016">
      <w:pPr>
        <w:pStyle w:val="56"/>
        <w:ind w:firstLine="420"/>
      </w:pPr>
      <w:r>
        <w:rPr>
          <w:rFonts w:hint="eastAsia"/>
        </w:rPr>
        <w:t>本文件按照GB/T 1.1—2020《标准化工作导则  第1部分：标准化文件的结构和起草规则》的规定起草。</w:t>
      </w:r>
    </w:p>
    <w:p w14:paraId="4A4F47AC">
      <w:pPr>
        <w:pStyle w:val="56"/>
        <w:ind w:firstLine="420"/>
      </w:pPr>
      <w:r>
        <w:rPr>
          <w:rFonts w:hint="eastAsia"/>
        </w:rPr>
        <w:t>本文件的某些内容可能涉及专利。本文件的发布机构不承担识别专利的责任。</w:t>
      </w:r>
    </w:p>
    <w:p w14:paraId="30881D7D">
      <w:pPr>
        <w:pStyle w:val="56"/>
        <w:ind w:firstLine="420"/>
      </w:pPr>
      <w:r>
        <w:rPr>
          <w:rFonts w:hint="eastAsia"/>
        </w:rPr>
        <w:t>本文件由安徽司法厅提出并归口。</w:t>
      </w:r>
    </w:p>
    <w:p w14:paraId="48036709">
      <w:pPr>
        <w:pStyle w:val="56"/>
        <w:ind w:firstLine="420"/>
      </w:pPr>
      <w:r>
        <w:rPr>
          <w:rFonts w:hint="eastAsia"/>
        </w:rPr>
        <w:t>本文件起草单位：中国铁塔股份有限公司安徽省分公司、四创电子股份有限公司、安徽中科信创集成服务有限公司、安徽杰能科世安全科技有限公司、安徽警官职业学院、安徽省司法厅科技信息处。</w:t>
      </w:r>
    </w:p>
    <w:p w14:paraId="3E70BBD5">
      <w:pPr>
        <w:pStyle w:val="56"/>
        <w:ind w:firstLine="420"/>
      </w:pPr>
      <w:r>
        <w:rPr>
          <w:rFonts w:hint="eastAsia"/>
        </w:rPr>
        <w:t>本文件主要起草人：</w:t>
      </w:r>
    </w:p>
    <w:p w14:paraId="1B2AB632">
      <w:pPr>
        <w:pStyle w:val="56"/>
        <w:ind w:firstLine="420"/>
      </w:pPr>
    </w:p>
    <w:p w14:paraId="1D468140">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B0BA316">
      <w:pPr>
        <w:spacing w:line="20" w:lineRule="exact"/>
        <w:jc w:val="center"/>
        <w:rPr>
          <w:rFonts w:ascii="黑体" w:hAnsi="黑体" w:eastAsia="黑体"/>
          <w:sz w:val="32"/>
          <w:szCs w:val="32"/>
        </w:rPr>
      </w:pPr>
      <w:bookmarkStart w:id="22" w:name="BookMark4"/>
    </w:p>
    <w:p w14:paraId="16906900">
      <w:pPr>
        <w:spacing w:line="20" w:lineRule="exact"/>
        <w:jc w:val="center"/>
        <w:rPr>
          <w:rFonts w:ascii="黑体" w:hAnsi="黑体" w:eastAsia="黑体"/>
          <w:sz w:val="32"/>
          <w:szCs w:val="32"/>
        </w:rPr>
      </w:pPr>
    </w:p>
    <w:sdt>
      <w:sdtPr>
        <w:tag w:val="NEW_STAND_NAME"/>
        <w:id w:val="595910757"/>
        <w:lock w:val="sdtLocked"/>
        <w:placeholder>
          <w:docPart w:val="B1DA29837D544FDEBFB18F87FE580621"/>
        </w:placeholder>
      </w:sdtPr>
      <w:sdtContent>
        <w:p w14:paraId="2A9C2F32">
          <w:pPr>
            <w:pStyle w:val="177"/>
            <w:spacing w:before="3" w:beforeLines="1" w:after="686" w:afterLines="220"/>
          </w:pPr>
          <w:bookmarkStart w:id="23" w:name="NEW_STAND_NAME"/>
          <w:r>
            <w:rPr>
              <w:rFonts w:hint="eastAsia"/>
            </w:rPr>
            <w:t>司法监管场所低空防范规范</w:t>
          </w:r>
        </w:p>
      </w:sdtContent>
    </w:sdt>
    <w:bookmarkEnd w:id="23"/>
    <w:p w14:paraId="27020B07">
      <w:pPr>
        <w:pStyle w:val="104"/>
        <w:spacing w:before="312" w:after="312"/>
      </w:pPr>
      <w:bookmarkStart w:id="24" w:name="_Toc26986771"/>
      <w:bookmarkStart w:id="25" w:name="_Toc26648465"/>
      <w:bookmarkStart w:id="26" w:name="_Toc24884211"/>
      <w:bookmarkStart w:id="27" w:name="_Toc26986530"/>
      <w:bookmarkStart w:id="28" w:name="_Toc24884218"/>
      <w:bookmarkStart w:id="29" w:name="_Toc17233325"/>
      <w:bookmarkStart w:id="30" w:name="_Toc26718930"/>
      <w:bookmarkStart w:id="31" w:name="_Toc97191423"/>
      <w:bookmarkStart w:id="32" w:name="_Toc17233333"/>
      <w:r>
        <w:rPr>
          <w:rFonts w:hint="eastAsia"/>
        </w:rPr>
        <w:t>范围</w:t>
      </w:r>
      <w:bookmarkEnd w:id="24"/>
      <w:bookmarkEnd w:id="25"/>
      <w:bookmarkEnd w:id="26"/>
      <w:bookmarkEnd w:id="27"/>
      <w:bookmarkEnd w:id="28"/>
      <w:bookmarkEnd w:id="29"/>
      <w:bookmarkEnd w:id="30"/>
      <w:bookmarkEnd w:id="31"/>
      <w:bookmarkEnd w:id="32"/>
    </w:p>
    <w:p w14:paraId="685822C3">
      <w:pPr>
        <w:pStyle w:val="56"/>
        <w:ind w:firstLine="420"/>
      </w:pPr>
      <w:bookmarkStart w:id="33" w:name="_Toc17233334"/>
      <w:bookmarkStart w:id="34" w:name="_Toc24884219"/>
      <w:bookmarkStart w:id="35" w:name="_Toc26648466"/>
      <w:bookmarkStart w:id="36" w:name="_Toc17233326"/>
      <w:bookmarkStart w:id="37" w:name="_Toc24884212"/>
      <w:r>
        <w:rPr>
          <w:rFonts w:hint="eastAsia"/>
        </w:rPr>
        <w:t>本文件规定了司法监管场所低空防范的基本要求、防范区域划分及要求、防范流程及要求、安全要求。</w:t>
      </w:r>
    </w:p>
    <w:p w14:paraId="6E622386">
      <w:pPr>
        <w:pStyle w:val="56"/>
        <w:ind w:firstLine="420"/>
      </w:pPr>
      <w:r>
        <w:rPr>
          <w:rFonts w:hint="eastAsia"/>
        </w:rPr>
        <w:t>本文件适用于司法监管场所无人驾驶航空器的低空防范工作的开展。</w:t>
      </w:r>
    </w:p>
    <w:p w14:paraId="200847D9">
      <w:pPr>
        <w:pStyle w:val="104"/>
        <w:spacing w:before="312" w:after="312"/>
      </w:pPr>
      <w:bookmarkStart w:id="38" w:name="_Toc97191424"/>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02F62EF26BD4FA0B120927F63A7BCB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D01A2B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D882BC">
      <w:pPr>
        <w:pStyle w:val="56"/>
        <w:ind w:firstLine="420"/>
      </w:pPr>
      <w:r>
        <w:rPr>
          <w:rFonts w:hint="eastAsia"/>
        </w:rPr>
        <w:t>GB/T 38152—2019 无人驾驶航空器系统术语</w:t>
      </w:r>
      <w:bookmarkStart w:id="45" w:name="_GoBack"/>
      <w:bookmarkEnd w:id="45"/>
    </w:p>
    <w:p w14:paraId="1D3362B5">
      <w:pPr>
        <w:pStyle w:val="104"/>
        <w:spacing w:before="312" w:after="312"/>
      </w:pPr>
      <w:bookmarkStart w:id="42" w:name="_Toc97191425"/>
      <w:r>
        <w:rPr>
          <w:rFonts w:hint="eastAsia"/>
          <w:szCs w:val="21"/>
        </w:rPr>
        <w:t>术语和定义</w:t>
      </w:r>
      <w:bookmarkEnd w:id="42"/>
    </w:p>
    <w:sdt>
      <w:sdtPr>
        <w:rPr>
          <w:rFonts w:hint="eastAsia"/>
        </w:rPr>
        <w:id w:val="-1909835108"/>
        <w:placeholder>
          <w:docPart w:val="005BFE5B0B654707BCCC358E3A7AB5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68462307">
          <w:pPr>
            <w:pStyle w:val="56"/>
            <w:ind w:firstLine="420"/>
          </w:pPr>
          <w:bookmarkStart w:id="43" w:name="_Toc26986532"/>
          <w:bookmarkEnd w:id="43"/>
          <w:r>
            <w:rPr>
              <w:rFonts w:hint="eastAsia"/>
            </w:rPr>
            <w:t>下列术语和定义适用于本文件。</w:t>
          </w:r>
        </w:p>
      </w:sdtContent>
    </w:sdt>
    <w:p w14:paraId="794E8A1D">
      <w:pPr>
        <w:pStyle w:val="223"/>
        <w:ind w:left="420" w:hanging="420" w:hangingChars="200"/>
        <w:rPr>
          <w:rFonts w:ascii="黑体" w:hAnsi="黑体" w:eastAsia="黑体"/>
          <w:color w:val="auto"/>
          <w:highlight w:val="none"/>
        </w:rPr>
      </w:pPr>
      <w:r>
        <w:rPr>
          <w:rFonts w:ascii="黑体" w:hAnsi="黑体" w:eastAsia="黑体"/>
        </w:rPr>
        <w:br w:type="textWrapping"/>
      </w:r>
      <w:r>
        <w:rPr>
          <w:rFonts w:hint="eastAsia" w:ascii="黑体" w:hAnsi="黑体" w:eastAsia="黑体"/>
        </w:rPr>
        <w:t>司法监管场所 judicial supervision facilitie</w:t>
      </w:r>
      <w:r>
        <w:rPr>
          <w:rFonts w:hint="eastAsia" w:ascii="黑体" w:hAnsi="黑体" w:eastAsia="黑体"/>
          <w:color w:val="auto"/>
          <w:highlight w:val="none"/>
        </w:rPr>
        <w:t>s</w:t>
      </w:r>
    </w:p>
    <w:p w14:paraId="694D03FD">
      <w:pPr>
        <w:pStyle w:val="56"/>
        <w:ind w:firstLine="420"/>
        <w:rPr>
          <w:color w:val="auto"/>
          <w:highlight w:val="none"/>
        </w:rPr>
      </w:pPr>
      <w:r>
        <w:rPr>
          <w:rFonts w:hint="eastAsia"/>
          <w:color w:val="auto"/>
          <w:highlight w:val="none"/>
        </w:rPr>
        <w:t>由司法行政机关管理的集中关押特定人群的场所，包括监狱、强制隔离戒毒所</w:t>
      </w:r>
      <w:r>
        <w:rPr>
          <w:rFonts w:hint="eastAsia"/>
          <w:color w:val="auto"/>
          <w:highlight w:val="none"/>
          <w:lang w:eastAsia="zh-CN"/>
        </w:rPr>
        <w:t>等</w:t>
      </w:r>
      <w:r>
        <w:rPr>
          <w:rFonts w:hint="eastAsia"/>
          <w:color w:val="auto"/>
          <w:highlight w:val="none"/>
        </w:rPr>
        <w:t>。</w:t>
      </w:r>
    </w:p>
    <w:p w14:paraId="1089E06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无人驾驶航空器 unmanned aircraft</w:t>
      </w:r>
    </w:p>
    <w:p w14:paraId="67BA003C">
      <w:pPr>
        <w:pStyle w:val="56"/>
        <w:ind w:firstLine="420"/>
      </w:pPr>
      <w:r>
        <w:rPr>
          <w:rFonts w:hint="eastAsia"/>
        </w:rPr>
        <w:t>没有机载驾驶员，自备动力系统的航空器。</w:t>
      </w:r>
    </w:p>
    <w:p w14:paraId="48407A7F">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低空防范区域 prevention area</w:t>
      </w:r>
    </w:p>
    <w:p w14:paraId="452D0272">
      <w:pPr>
        <w:pStyle w:val="56"/>
        <w:ind w:firstLine="420"/>
      </w:pPr>
      <w:r>
        <w:rPr>
          <w:rFonts w:hint="eastAsia"/>
        </w:rPr>
        <w:t>根据相关法律法规和实际需要所划设的无人驾驶航空器管制空域。</w:t>
      </w:r>
    </w:p>
    <w:p w14:paraId="1252170D">
      <w:pPr>
        <w:pStyle w:val="223"/>
        <w:ind w:left="420" w:hanging="420" w:hangingChars="200"/>
        <w:rPr>
          <w:rFonts w:ascii="黑体" w:hAnsi="黑体" w:eastAsia="黑体"/>
          <w:color w:val="auto"/>
          <w:highlight w:val="none"/>
        </w:rPr>
      </w:pPr>
      <w:r>
        <w:rPr>
          <w:rFonts w:ascii="黑体" w:hAnsi="黑体" w:eastAsia="黑体"/>
        </w:rPr>
        <w:br w:type="textWrapping"/>
      </w:r>
      <w:r>
        <w:rPr>
          <w:rFonts w:hint="eastAsia" w:ascii="黑体" w:hAnsi="黑体" w:eastAsia="黑体"/>
          <w:color w:val="auto"/>
          <w:highlight w:val="none"/>
        </w:rPr>
        <w:t>低空防范 low-altitude prevention</w:t>
      </w:r>
    </w:p>
    <w:p w14:paraId="44AE9D47">
      <w:pPr>
        <w:pStyle w:val="56"/>
        <w:ind w:firstLine="420"/>
        <w:rPr>
          <w:rFonts w:hint="eastAsia"/>
          <w:color w:val="auto"/>
          <w:highlight w:val="none"/>
        </w:rPr>
      </w:pPr>
      <w:r>
        <w:rPr>
          <w:rFonts w:hint="eastAsia"/>
          <w:color w:val="auto"/>
          <w:highlight w:val="none"/>
        </w:rPr>
        <w:t>针对低空防范区域所采取的安全防范措施。</w:t>
      </w:r>
    </w:p>
    <w:p w14:paraId="41EEF8FB">
      <w:pPr>
        <w:pStyle w:val="223"/>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lang w:val="en-US" w:eastAsia="zh-CN"/>
        </w:rPr>
        <w:t>管制空域飞行授权</w:t>
      </w:r>
      <w:r>
        <w:rPr>
          <w:rFonts w:hint="eastAsia" w:ascii="黑体" w:hAnsi="黑体" w:eastAsia="黑体"/>
          <w:color w:val="auto"/>
          <w:highlight w:val="none"/>
        </w:rPr>
        <w:t xml:space="preserve"> </w:t>
      </w:r>
      <w:r>
        <w:rPr>
          <w:rFonts w:hint="eastAsia" w:ascii="黑体" w:hAnsi="黑体" w:eastAsia="黑体"/>
          <w:color w:val="auto"/>
          <w:highlight w:val="none"/>
          <w:lang w:val="en-US" w:eastAsia="zh-CN"/>
        </w:rPr>
        <w:t>f</w:t>
      </w:r>
      <w:r>
        <w:rPr>
          <w:rFonts w:hint="eastAsia" w:ascii="黑体" w:hAnsi="黑体" w:eastAsia="黑体"/>
          <w:color w:val="auto"/>
          <w:highlight w:val="none"/>
        </w:rPr>
        <w:t>light Authorization in Controlled Airspace</w:t>
      </w:r>
    </w:p>
    <w:p w14:paraId="08992D6E">
      <w:pPr>
        <w:pStyle w:val="56"/>
        <w:ind w:firstLine="420"/>
        <w:rPr>
          <w:rFonts w:hint="eastAsia"/>
          <w:color w:val="auto"/>
          <w:highlight w:val="none"/>
        </w:rPr>
      </w:pPr>
      <w:r>
        <w:rPr>
          <w:rFonts w:hint="eastAsia"/>
          <w:color w:val="auto"/>
          <w:highlight w:val="none"/>
        </w:rPr>
        <w:t>指国家空中交通管理机构依据法规，批准无人驾驶航空器在管制空域飞行的行为。</w:t>
      </w:r>
    </w:p>
    <w:p w14:paraId="35533104">
      <w:pPr>
        <w:pStyle w:val="104"/>
        <w:spacing w:before="312" w:after="312"/>
        <w:rPr>
          <w:color w:val="auto"/>
          <w:highlight w:val="none"/>
        </w:rPr>
      </w:pPr>
      <w:r>
        <w:rPr>
          <w:rFonts w:hint="eastAsia"/>
          <w:color w:val="auto"/>
          <w:highlight w:val="none"/>
        </w:rPr>
        <w:t>基本要求</w:t>
      </w:r>
    </w:p>
    <w:p w14:paraId="49DD144E">
      <w:pPr>
        <w:pStyle w:val="105"/>
        <w:spacing w:before="156" w:after="156"/>
      </w:pPr>
      <w:r>
        <w:rPr>
          <w:rFonts w:hint="eastAsia"/>
        </w:rPr>
        <w:t>责任机构</w:t>
      </w:r>
    </w:p>
    <w:p w14:paraId="43B50D07">
      <w:pPr>
        <w:pStyle w:val="56"/>
        <w:ind w:firstLine="420"/>
      </w:pPr>
      <w:r>
        <w:rPr>
          <w:rFonts w:hint="eastAsia"/>
        </w:rPr>
        <w:t>明确司法监管场所低空防范工作责任机构，赋予责任机构相应的职责权限。</w:t>
      </w:r>
    </w:p>
    <w:p w14:paraId="672437E5">
      <w:pPr>
        <w:pStyle w:val="105"/>
        <w:spacing w:before="156" w:after="156"/>
      </w:pPr>
      <w:r>
        <w:rPr>
          <w:rFonts w:hint="eastAsia"/>
        </w:rPr>
        <w:t>人员队伍</w:t>
      </w:r>
    </w:p>
    <w:p w14:paraId="60149E46">
      <w:pPr>
        <w:pStyle w:val="56"/>
        <w:ind w:firstLine="420"/>
        <w:rPr>
          <w:rFonts w:hint="eastAsia"/>
          <w:color w:val="auto"/>
          <w:highlight w:val="none"/>
        </w:rPr>
      </w:pPr>
      <w:r>
        <w:rPr>
          <w:rFonts w:hint="eastAsia"/>
        </w:rPr>
        <w:t>组建负责低空防范工作的执法人员队伍，加强人员队伍的培训，熟悉掌握低空防范相关法律法规和装备的使用。</w:t>
      </w:r>
    </w:p>
    <w:p w14:paraId="2D503C71">
      <w:pPr>
        <w:pStyle w:val="56"/>
        <w:ind w:firstLine="420"/>
        <w:rPr>
          <w:color w:val="auto"/>
          <w:highlight w:val="none"/>
        </w:rPr>
      </w:pPr>
    </w:p>
    <w:p w14:paraId="59B3D96C">
      <w:pPr>
        <w:pStyle w:val="105"/>
        <w:spacing w:before="156" w:after="156"/>
        <w:rPr>
          <w:color w:val="auto"/>
          <w:highlight w:val="none"/>
        </w:rPr>
      </w:pPr>
      <w:r>
        <w:rPr>
          <w:rFonts w:hint="eastAsia"/>
          <w:color w:val="auto"/>
          <w:highlight w:val="none"/>
        </w:rPr>
        <w:t>设施设备</w:t>
      </w:r>
    </w:p>
    <w:p w14:paraId="79EE6CD2">
      <w:pPr>
        <w:pStyle w:val="56"/>
        <w:ind w:firstLine="420"/>
        <w:rPr>
          <w:color w:val="auto"/>
          <w:highlight w:val="none"/>
        </w:rPr>
      </w:pPr>
      <w:r>
        <w:rPr>
          <w:rFonts w:hint="eastAsia"/>
          <w:color w:val="auto"/>
          <w:highlight w:val="none"/>
        </w:rPr>
        <w:t>建设满足司法监管场所实际需要的低空防范设施设备</w:t>
      </w:r>
      <w:r>
        <w:rPr>
          <w:rFonts w:hint="eastAsia"/>
          <w:color w:val="auto"/>
          <w:highlight w:val="none"/>
          <w:lang w:val="en-US" w:eastAsia="zh-CN"/>
        </w:rPr>
        <w:t>,并可实现与司法监管场所现有系统的对接</w:t>
      </w:r>
      <w:r>
        <w:rPr>
          <w:rFonts w:hint="eastAsia"/>
          <w:color w:val="auto"/>
          <w:highlight w:val="none"/>
        </w:rPr>
        <w:t>。</w:t>
      </w:r>
    </w:p>
    <w:p w14:paraId="03B766DB">
      <w:pPr>
        <w:pStyle w:val="105"/>
        <w:spacing w:before="156" w:after="156"/>
        <w:rPr>
          <w:color w:val="auto"/>
          <w:highlight w:val="none"/>
        </w:rPr>
      </w:pPr>
      <w:r>
        <w:rPr>
          <w:rFonts w:hint="eastAsia"/>
          <w:color w:val="auto"/>
          <w:highlight w:val="none"/>
        </w:rPr>
        <w:t>管理制度</w:t>
      </w:r>
    </w:p>
    <w:p w14:paraId="688E6A6D">
      <w:pPr>
        <w:pStyle w:val="56"/>
        <w:ind w:firstLine="420"/>
        <w:rPr>
          <w:rFonts w:hint="eastAsia"/>
          <w:color w:val="auto"/>
          <w:highlight w:val="none"/>
        </w:rPr>
      </w:pPr>
      <w:r>
        <w:rPr>
          <w:color w:val="auto"/>
          <w:highlight w:val="none"/>
        </w:rPr>
        <w:t>建立司法监管场所低空防范工作机制和工作预案</w:t>
      </w:r>
      <w:r>
        <w:rPr>
          <w:rFonts w:hint="eastAsia"/>
          <w:color w:val="auto"/>
          <w:highlight w:val="none"/>
        </w:rPr>
        <w:t>。</w:t>
      </w:r>
    </w:p>
    <w:p w14:paraId="0F4572EA">
      <w:pPr>
        <w:pStyle w:val="104"/>
        <w:spacing w:before="312" w:after="312"/>
        <w:rPr>
          <w:color w:val="auto"/>
          <w:highlight w:val="none"/>
        </w:rPr>
      </w:pPr>
      <w:r>
        <w:rPr>
          <w:rFonts w:hint="eastAsia"/>
          <w:color w:val="auto"/>
          <w:highlight w:val="none"/>
        </w:rPr>
        <w:t>防范区域划分及要求</w:t>
      </w:r>
    </w:p>
    <w:p w14:paraId="1B028A32">
      <w:pPr>
        <w:pStyle w:val="105"/>
        <w:spacing w:before="156" w:after="156"/>
      </w:pPr>
      <w:r>
        <w:rPr>
          <w:rFonts w:hint="eastAsia"/>
        </w:rPr>
        <w:t>划分原则</w:t>
      </w:r>
    </w:p>
    <w:p w14:paraId="222380F2">
      <w:pPr>
        <w:pStyle w:val="56"/>
        <w:ind w:firstLine="420"/>
      </w:pPr>
      <w:r>
        <w:rPr>
          <w:rFonts w:hint="eastAsia"/>
        </w:rPr>
        <w:t>根据需要对司法监管场所低空防范区域进行划分，应划分为处置区、预警区、观察区。</w:t>
      </w:r>
    </w:p>
    <w:p w14:paraId="69B1291B">
      <w:pPr>
        <w:pStyle w:val="105"/>
        <w:spacing w:before="156" w:after="156"/>
      </w:pPr>
      <w:r>
        <w:rPr>
          <w:rFonts w:hint="eastAsia"/>
        </w:rPr>
        <w:t>处置区</w:t>
      </w:r>
    </w:p>
    <w:p w14:paraId="7645C89C">
      <w:pPr>
        <w:pStyle w:val="56"/>
        <w:ind w:firstLine="420"/>
      </w:pPr>
      <w:r>
        <w:rPr>
          <w:rFonts w:hint="eastAsia"/>
        </w:rPr>
        <w:t>处置区的划分应满足：为不超出司法监管场所周界范围且真高120米以下空域。</w:t>
      </w:r>
    </w:p>
    <w:p w14:paraId="34760D7D">
      <w:pPr>
        <w:pStyle w:val="105"/>
        <w:spacing w:before="156" w:after="156"/>
      </w:pPr>
      <w:r>
        <w:rPr>
          <w:rFonts w:hint="eastAsia"/>
        </w:rPr>
        <w:t>预警区</w:t>
      </w:r>
    </w:p>
    <w:p w14:paraId="56E683EE">
      <w:pPr>
        <w:pStyle w:val="56"/>
        <w:ind w:firstLine="420"/>
      </w:pPr>
      <w:r>
        <w:rPr>
          <w:rFonts w:hint="eastAsia"/>
        </w:rPr>
        <w:t>预警区的划分应满足：为处置区水平向外延伸1000米、真高600米以下的空域。</w:t>
      </w:r>
    </w:p>
    <w:p w14:paraId="4A36FDBA">
      <w:pPr>
        <w:pStyle w:val="105"/>
        <w:spacing w:before="156" w:after="156"/>
      </w:pPr>
      <w:r>
        <w:rPr>
          <w:rFonts w:hint="eastAsia"/>
        </w:rPr>
        <w:t>观察区</w:t>
      </w:r>
    </w:p>
    <w:p w14:paraId="422D2A90">
      <w:pPr>
        <w:pStyle w:val="56"/>
        <w:ind w:firstLine="420"/>
      </w:pPr>
      <w:r>
        <w:rPr>
          <w:rFonts w:hint="eastAsia"/>
        </w:rPr>
        <w:t>观察区的划分应满足：为预警区水平向外延伸1000米、真高1200米以下的空域。</w:t>
      </w:r>
    </w:p>
    <w:p w14:paraId="59169D78">
      <w:pPr>
        <w:pStyle w:val="105"/>
        <w:spacing w:before="156" w:after="156"/>
      </w:pPr>
      <w:r>
        <w:t>动态展示</w:t>
      </w:r>
    </w:p>
    <w:p w14:paraId="6B1C03FA">
      <w:pPr>
        <w:pStyle w:val="56"/>
        <w:ind w:firstLine="420"/>
      </w:pPr>
      <w:r>
        <w:rPr>
          <w:rFonts w:hint="eastAsia"/>
        </w:rPr>
        <w:t>应建立防范区域场景动态展示，具体要求如下：</w:t>
      </w:r>
    </w:p>
    <w:p w14:paraId="31083ED0">
      <w:pPr>
        <w:pStyle w:val="56"/>
        <w:numPr>
          <w:ilvl w:val="0"/>
          <w:numId w:val="32"/>
        </w:numPr>
        <w:ind w:firstLineChars="0"/>
      </w:pPr>
      <w:r>
        <w:rPr>
          <w:rFonts w:hint="eastAsia"/>
        </w:rPr>
        <w:t>采用时空空域建模、空间网格编码、多源数据融合等技术，构建低空防范区域多维数字孪生底座。动态呈现和展示应达到厘米级精度，并支持不小于200km²全景显示；空域管理模型垂直分层间隔≤10米、网格分辨率不低于1m×1m。</w:t>
      </w:r>
    </w:p>
    <w:p w14:paraId="1E7E095F">
      <w:pPr>
        <w:pStyle w:val="56"/>
        <w:numPr>
          <w:ilvl w:val="0"/>
          <w:numId w:val="32"/>
        </w:numPr>
        <w:ind w:firstLineChars="0"/>
      </w:pPr>
      <w:r>
        <w:rPr>
          <w:rFonts w:hint="eastAsia"/>
        </w:rPr>
        <w:t>应能呈现司法监管场所低空防范区域内的地形地貌地物等虚拟化场景。</w:t>
      </w:r>
    </w:p>
    <w:p w14:paraId="6F2C303F">
      <w:pPr>
        <w:pStyle w:val="56"/>
        <w:numPr>
          <w:ilvl w:val="0"/>
          <w:numId w:val="32"/>
        </w:numPr>
        <w:ind w:firstLineChars="0"/>
      </w:pPr>
      <w:r>
        <w:rPr>
          <w:rFonts w:hint="eastAsia"/>
        </w:rPr>
        <w:t>应能动态展示无人驾驶航空器的飞行轨迹及侦测识别、预警跟踪、安全反制、保全溯源全流程的状态。</w:t>
      </w:r>
    </w:p>
    <w:p w14:paraId="1FAD4286">
      <w:pPr>
        <w:pStyle w:val="104"/>
        <w:spacing w:before="312" w:after="312"/>
      </w:pPr>
      <w:r>
        <w:rPr>
          <w:rFonts w:hint="eastAsia"/>
        </w:rPr>
        <w:t>防范流程及要求</w:t>
      </w:r>
    </w:p>
    <w:p w14:paraId="0524D313">
      <w:pPr>
        <w:pStyle w:val="105"/>
        <w:spacing w:before="156" w:after="156"/>
      </w:pPr>
      <w:r>
        <w:rPr>
          <w:rFonts w:hint="eastAsia"/>
        </w:rPr>
        <w:t>流程</w:t>
      </w:r>
    </w:p>
    <w:p w14:paraId="3C9E4D0C">
      <w:pPr>
        <w:pStyle w:val="56"/>
        <w:ind w:firstLine="420"/>
      </w:pPr>
      <w:r>
        <w:rPr>
          <w:rFonts w:hint="eastAsia"/>
        </w:rPr>
        <w:t>司法监管场所低空防范工作流程分为：侦测识别、预警跟踪、安全反制和保全溯源等过程。</w:t>
      </w:r>
    </w:p>
    <w:p w14:paraId="70853DC1">
      <w:pPr>
        <w:pStyle w:val="105"/>
        <w:spacing w:before="156" w:after="156"/>
      </w:pPr>
      <w:r>
        <w:rPr>
          <w:rFonts w:hint="eastAsia"/>
        </w:rPr>
        <w:t>侦测识别</w:t>
      </w:r>
    </w:p>
    <w:p w14:paraId="7F395FF2">
      <w:pPr>
        <w:pStyle w:val="56"/>
        <w:ind w:firstLine="420"/>
        <w:rPr>
          <w:rFonts w:hint="eastAsia"/>
        </w:rPr>
      </w:pPr>
      <w:r>
        <w:rPr>
          <w:rFonts w:hint="eastAsia"/>
        </w:rPr>
        <w:t>对观察区进行全天候无间断侦测，并能精准识别各类低空飞行物。具体要求如下：</w:t>
      </w:r>
    </w:p>
    <w:p w14:paraId="6132A174">
      <w:pPr>
        <w:pStyle w:val="56"/>
        <w:numPr>
          <w:ilvl w:val="0"/>
          <w:numId w:val="33"/>
        </w:numPr>
        <w:ind w:firstLineChars="0"/>
      </w:pPr>
      <w:r>
        <w:rPr>
          <w:rFonts w:hint="eastAsia"/>
        </w:rPr>
        <w:t>可采用雷达、无线电频谱、光电、声纹等多源侦测技术，实现对低空防范区域全天候无间断侦测，最大侦测距离＞2km，侦测方位精度≤5°，结合网格码技术应用距离精度≤5m 。</w:t>
      </w:r>
    </w:p>
    <w:p w14:paraId="5A12B18E">
      <w:pPr>
        <w:pStyle w:val="56"/>
        <w:numPr>
          <w:ilvl w:val="0"/>
          <w:numId w:val="33"/>
        </w:numPr>
        <w:ind w:firstLineChars="0"/>
      </w:pPr>
      <w:r>
        <w:rPr>
          <w:rFonts w:hint="eastAsia"/>
        </w:rPr>
        <w:t>应能识别低空防范区域所出现的各类低空飞行物的物态、种类，区分无人驾驶航空器的飞行授权状态。系统对备案无人驾驶航空器的侦测率应≥99%，对未备案无人驾驶航空器的侦测率应≥80%。</w:t>
      </w:r>
    </w:p>
    <w:p w14:paraId="6376B248">
      <w:pPr>
        <w:pStyle w:val="56"/>
        <w:numPr>
          <w:ilvl w:val="0"/>
          <w:numId w:val="33"/>
        </w:numPr>
        <w:ind w:firstLineChars="0"/>
      </w:pPr>
      <w:r>
        <w:rPr>
          <w:rFonts w:hint="eastAsia"/>
        </w:rPr>
        <w:t>应能对侦测到的无人驾驶航空器进行信息采集，包括但不限于无人驾驶航空器序列号、经纬度、高度、速度等。</w:t>
      </w:r>
    </w:p>
    <w:p w14:paraId="62FEF6EC">
      <w:pPr>
        <w:pStyle w:val="105"/>
        <w:spacing w:before="156" w:after="156"/>
      </w:pPr>
      <w:r>
        <w:rPr>
          <w:rFonts w:hint="eastAsia"/>
        </w:rPr>
        <w:t>预警跟踪</w:t>
      </w:r>
    </w:p>
    <w:p w14:paraId="68906AF5">
      <w:pPr>
        <w:pStyle w:val="56"/>
        <w:ind w:firstLine="420"/>
      </w:pPr>
      <w:r>
        <w:rPr>
          <w:rFonts w:hint="eastAsia"/>
        </w:rPr>
        <w:t>对进入预警区的非授权无人驾驶航空器即时预警，并持续跟踪。具体要求如下：</w:t>
      </w:r>
    </w:p>
    <w:p w14:paraId="560625DE">
      <w:pPr>
        <w:pStyle w:val="56"/>
        <w:numPr>
          <w:ilvl w:val="0"/>
          <w:numId w:val="34"/>
        </w:numPr>
        <w:ind w:firstLineChars="0"/>
      </w:pPr>
      <w:r>
        <w:rPr>
          <w:rFonts w:hint="eastAsia"/>
        </w:rPr>
        <w:t>应能通过声光报警、短信提示、系统弹窗等多种方式对进入预警区的非授权无人驾驶航空器进行即时预警，并启动实时跟踪，预警响应时间应≤3s 。</w:t>
      </w:r>
    </w:p>
    <w:p w14:paraId="498A7D17">
      <w:pPr>
        <w:pStyle w:val="56"/>
        <w:numPr>
          <w:ilvl w:val="0"/>
          <w:numId w:val="34"/>
        </w:numPr>
        <w:ind w:firstLineChars="0"/>
      </w:pPr>
      <w:r>
        <w:rPr>
          <w:rFonts w:hint="eastAsia"/>
        </w:rPr>
        <w:t>应能同时跟踪不少于3个目标，跟踪过程应连续、稳定，不出现目标混淆、丢失的情况。</w:t>
      </w:r>
    </w:p>
    <w:p w14:paraId="14B9628C">
      <w:pPr>
        <w:pStyle w:val="105"/>
        <w:spacing w:before="156" w:after="156"/>
        <w:rPr>
          <w:color w:val="auto"/>
          <w:highlight w:val="none"/>
        </w:rPr>
      </w:pPr>
      <w:r>
        <w:rPr>
          <w:rFonts w:hint="eastAsia"/>
        </w:rPr>
        <w:t>安全</w:t>
      </w:r>
      <w:r>
        <w:rPr>
          <w:rFonts w:hint="eastAsia"/>
          <w:color w:val="auto"/>
          <w:highlight w:val="none"/>
        </w:rPr>
        <w:t>反制</w:t>
      </w:r>
    </w:p>
    <w:p w14:paraId="1D62CD85">
      <w:pPr>
        <w:pStyle w:val="56"/>
        <w:ind w:firstLine="420"/>
        <w:rPr>
          <w:color w:val="auto"/>
          <w:highlight w:val="none"/>
        </w:rPr>
      </w:pPr>
      <w:r>
        <w:rPr>
          <w:rFonts w:hint="eastAsia"/>
          <w:color w:val="auto"/>
          <w:highlight w:val="none"/>
        </w:rPr>
        <w:t>对进入处置区的非授权无人驾驶航空器采取反制措施安全控制。具体要求如下：</w:t>
      </w:r>
    </w:p>
    <w:p w14:paraId="3142C0A3">
      <w:pPr>
        <w:pStyle w:val="56"/>
        <w:numPr>
          <w:ilvl w:val="0"/>
          <w:numId w:val="35"/>
        </w:numPr>
        <w:ind w:firstLineChars="0"/>
        <w:rPr>
          <w:color w:val="auto"/>
          <w:highlight w:val="none"/>
        </w:rPr>
      </w:pPr>
      <w:r>
        <w:rPr>
          <w:rFonts w:hint="eastAsia"/>
          <w:color w:val="auto"/>
          <w:highlight w:val="none"/>
        </w:rPr>
        <w:t>按照“驱离为主，迫降为辅”的原则，采用导航诱骗、无线电干扰等非强制摧毁类技术对无人驾驶航空器进行安全反制。有效拦截距离方面：导航诱骗半径应大于500m，小于1000m，且500m以内可调；无线电干扰在干通比≥10的条件下，有效拦截距离应≥1km，拦截响应时间应≤5s。</w:t>
      </w:r>
    </w:p>
    <w:p w14:paraId="04361D3B">
      <w:pPr>
        <w:pStyle w:val="56"/>
        <w:numPr>
          <w:ilvl w:val="0"/>
          <w:numId w:val="35"/>
        </w:numPr>
        <w:ind w:firstLineChars="0"/>
        <w:rPr>
          <w:color w:val="auto"/>
          <w:highlight w:val="none"/>
        </w:rPr>
      </w:pPr>
      <w:r>
        <w:rPr>
          <w:rFonts w:hint="eastAsia"/>
          <w:color w:val="auto"/>
          <w:highlight w:val="none"/>
        </w:rPr>
        <w:t>可对</w:t>
      </w:r>
      <w:r>
        <w:rPr>
          <w:rFonts w:hint="eastAsia"/>
          <w:color w:val="auto"/>
          <w:highlight w:val="none"/>
          <w:lang w:val="en-US" w:eastAsia="zh-CN"/>
        </w:rPr>
        <w:t>具有</w:t>
      </w:r>
      <w:r>
        <w:rPr>
          <w:rFonts w:hint="eastAsia"/>
          <w:color w:val="auto"/>
          <w:highlight w:val="none"/>
        </w:rPr>
        <w:t>威胁</w:t>
      </w:r>
      <w:r>
        <w:rPr>
          <w:rFonts w:hint="eastAsia"/>
          <w:color w:val="auto"/>
          <w:highlight w:val="none"/>
          <w:lang w:val="en-US" w:eastAsia="zh-CN"/>
        </w:rPr>
        <w:t>性的</w:t>
      </w:r>
      <w:r>
        <w:rPr>
          <w:rFonts w:hint="eastAsia"/>
          <w:color w:val="auto"/>
          <w:highlight w:val="none"/>
        </w:rPr>
        <w:t>目标采取强制摧毁等反制措施。</w:t>
      </w:r>
    </w:p>
    <w:p w14:paraId="27719D22">
      <w:pPr>
        <w:pStyle w:val="56"/>
        <w:numPr>
          <w:ilvl w:val="0"/>
          <w:numId w:val="35"/>
        </w:numPr>
        <w:ind w:firstLineChars="0"/>
      </w:pPr>
      <w:r>
        <w:rPr>
          <w:rFonts w:hint="eastAsia"/>
        </w:rPr>
        <w:t>所使用的低空安全防范反制装备应按国家有关规定，经相关部门授权批准。</w:t>
      </w:r>
    </w:p>
    <w:p w14:paraId="7C76BB79">
      <w:pPr>
        <w:pStyle w:val="105"/>
        <w:spacing w:before="156" w:after="156"/>
      </w:pPr>
      <w:r>
        <w:rPr>
          <w:rFonts w:hint="eastAsia"/>
        </w:rPr>
        <w:t>保全溯源</w:t>
      </w:r>
    </w:p>
    <w:p w14:paraId="1A84678E">
      <w:pPr>
        <w:pStyle w:val="56"/>
        <w:ind w:firstLine="420"/>
      </w:pPr>
      <w:r>
        <w:rPr>
          <w:rFonts w:hint="eastAsia"/>
        </w:rPr>
        <w:t>对低空防范全过程信息提取保全，并可全程溯源。具体要求如下：</w:t>
      </w:r>
    </w:p>
    <w:p w14:paraId="70A7ECA5">
      <w:pPr>
        <w:pStyle w:val="56"/>
        <w:numPr>
          <w:ilvl w:val="0"/>
          <w:numId w:val="36"/>
        </w:numPr>
        <w:ind w:firstLineChars="0"/>
      </w:pPr>
      <w:r>
        <w:rPr>
          <w:rFonts w:hint="eastAsia"/>
        </w:rPr>
        <w:t>按照“证据保全、留痕溯源”的原则，完整保留低空安全防范全过程信息，保留期限不少于3年。</w:t>
      </w:r>
    </w:p>
    <w:p w14:paraId="79FC94FD">
      <w:pPr>
        <w:pStyle w:val="56"/>
        <w:numPr>
          <w:ilvl w:val="0"/>
          <w:numId w:val="36"/>
        </w:numPr>
        <w:ind w:firstLineChars="0"/>
      </w:pPr>
      <w:r>
        <w:rPr>
          <w:rFonts w:hint="eastAsia" w:hAnsi="宋体"/>
          <w:color w:val="000000"/>
        </w:rPr>
        <w:t>保全信息应具有完整性、准确性和真实性，</w:t>
      </w:r>
      <w:r>
        <w:rPr>
          <w:rFonts w:hint="eastAsia" w:hAnsi="宋体"/>
        </w:rPr>
        <w:t>应包括但不限于无人驾驶航空器的</w:t>
      </w:r>
      <w:r>
        <w:rPr>
          <w:rFonts w:hint="eastAsia" w:hAnsi="宋体"/>
          <w:color w:val="000000"/>
        </w:rPr>
        <w:t>飞行轨迹、速度、高度以及低空安全防范装备工作状态、时间戳等。</w:t>
      </w:r>
    </w:p>
    <w:p w14:paraId="4F6F62B1">
      <w:pPr>
        <w:pStyle w:val="56"/>
        <w:numPr>
          <w:ilvl w:val="0"/>
          <w:numId w:val="36"/>
        </w:numPr>
        <w:ind w:firstLineChars="0"/>
      </w:pPr>
      <w:r>
        <w:rPr>
          <w:rFonts w:hint="eastAsia" w:hAnsi="宋体"/>
          <w:color w:val="000000"/>
        </w:rPr>
        <w:t>应能基于保全信息进行全过程溯源。</w:t>
      </w:r>
    </w:p>
    <w:p w14:paraId="7628BCD2">
      <w:pPr>
        <w:pStyle w:val="104"/>
        <w:spacing w:before="312" w:after="312"/>
        <w:rPr>
          <w:szCs w:val="21"/>
        </w:rPr>
      </w:pPr>
      <w:r>
        <w:rPr>
          <w:rFonts w:hint="eastAsia"/>
        </w:rPr>
        <w:t>安全要求</w:t>
      </w:r>
    </w:p>
    <w:p w14:paraId="320C47E1">
      <w:pPr>
        <w:pStyle w:val="105"/>
        <w:spacing w:before="156" w:after="156"/>
      </w:pPr>
      <w:r>
        <w:rPr>
          <w:rFonts w:hint="eastAsia"/>
        </w:rPr>
        <w:t>飞行安全</w:t>
      </w:r>
    </w:p>
    <w:p w14:paraId="5AE85B33">
      <w:pPr>
        <w:pStyle w:val="56"/>
        <w:ind w:firstLine="420"/>
      </w:pPr>
      <w:r>
        <w:rPr>
          <w:rFonts w:hint="eastAsia"/>
        </w:rPr>
        <w:t>司法监管场所低空防范过程中，应保障已授权无人驾驶航空器的飞行安全，不得对已授权无人驾驶航空器产生有害干扰。</w:t>
      </w:r>
    </w:p>
    <w:p w14:paraId="60DBE9BC">
      <w:pPr>
        <w:pStyle w:val="105"/>
        <w:spacing w:before="156" w:after="156"/>
      </w:pPr>
      <w:r>
        <w:rPr>
          <w:rFonts w:hint="eastAsia"/>
        </w:rPr>
        <w:t>航空航道安全</w:t>
      </w:r>
    </w:p>
    <w:p w14:paraId="27E0F56A">
      <w:pPr>
        <w:pStyle w:val="56"/>
        <w:ind w:firstLine="420"/>
      </w:pPr>
      <w:r>
        <w:rPr>
          <w:rFonts w:hint="eastAsia"/>
        </w:rPr>
        <w:t>司法监管场所低空防范过程中，禁止干扰航空交通运行。在设置低空防范空域时，应报民航空管部门审核批准。</w:t>
      </w:r>
    </w:p>
    <w:p w14:paraId="4FF1F227">
      <w:pPr>
        <w:pStyle w:val="105"/>
        <w:spacing w:before="156" w:after="156"/>
      </w:pPr>
      <w:r>
        <w:rPr>
          <w:rFonts w:hint="eastAsia"/>
        </w:rPr>
        <w:t>电磁辐射安全</w:t>
      </w:r>
    </w:p>
    <w:p w14:paraId="1C5A0ED3">
      <w:pPr>
        <w:pStyle w:val="56"/>
        <w:ind w:firstLine="420"/>
      </w:pPr>
      <w:r>
        <w:rPr>
          <w:rFonts w:hint="eastAsia"/>
        </w:rPr>
        <w:t>司法监管场所低空防范所采用的技术装备，应符合国家电磁辐射防护的有关限制规定，应当向生态环保管理部门申请批准。</w:t>
      </w:r>
    </w:p>
    <w:p w14:paraId="4D4EB2E5">
      <w:pPr>
        <w:pStyle w:val="105"/>
        <w:spacing w:before="156" w:after="156"/>
      </w:pPr>
      <w:r>
        <w:rPr>
          <w:rFonts w:hint="eastAsia"/>
        </w:rPr>
        <w:t>电磁空间安全</w:t>
      </w:r>
    </w:p>
    <w:p w14:paraId="150D5A8B">
      <w:pPr>
        <w:pStyle w:val="56"/>
        <w:ind w:firstLine="420"/>
      </w:pPr>
      <w:r>
        <w:rPr>
          <w:rFonts w:hint="eastAsia"/>
        </w:rPr>
        <w:t>司法监管场所低空防范如采用无人驾驶航空器无线电反制设备，应符合无线电管理相关规定，取得无线电发射设备型号核准证。</w:t>
      </w:r>
    </w:p>
    <w:p w14:paraId="1C03CAC9">
      <w:pPr>
        <w:pStyle w:val="56"/>
        <w:ind w:firstLine="420"/>
      </w:pPr>
      <w:r>
        <w:rPr>
          <w:rFonts w:hint="eastAsia"/>
        </w:rPr>
        <w:t>司法监管场所在采用无人驾驶航空器无线电反制设备时，应向安徽省无人驾驶航空器无线电反制设备联合管理工作机制报告，并通过联合评估。</w:t>
      </w:r>
    </w:p>
    <w:bookmarkEnd w:id="22"/>
    <w:p w14:paraId="4B351927">
      <w:pPr>
        <w:pStyle w:val="56"/>
        <w:ind w:firstLine="0" w:firstLineChars="0"/>
        <w:jc w:val="center"/>
      </w:pPr>
      <w:bookmarkStart w:id="44" w:name="BookMark8"/>
      <w:r>
        <w:rPr>
          <w:rFonts w:hint="eastAsia"/>
        </w:rPr>
        <w:drawing>
          <wp:inline distT="0" distB="0" distL="0" distR="0">
            <wp:extent cx="1485900" cy="317500"/>
            <wp:effectExtent l="0" t="0" r="0" b="6350"/>
            <wp:docPr id="1492566814" name="图片 3"/>
            <wp:cNvGraphicFramePr/>
            <a:graphic xmlns:a="http://schemas.openxmlformats.org/drawingml/2006/main">
              <a:graphicData uri="http://schemas.openxmlformats.org/drawingml/2006/picture">
                <pic:pic xmlns:pic="http://schemas.openxmlformats.org/drawingml/2006/picture">
                  <pic:nvPicPr>
                    <pic:cNvPr id="1492566814"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A6E51">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15FBC">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661F8">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2B46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8389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70C86">
    <w:pPr>
      <w:pStyle w:val="61"/>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D7A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94D0E52"/>
    <w:multiLevelType w:val="multilevel"/>
    <w:tmpl w:val="394D0E5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13A143B"/>
    <w:multiLevelType w:val="multilevel"/>
    <w:tmpl w:val="413A143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19C3A00"/>
    <w:multiLevelType w:val="multilevel"/>
    <w:tmpl w:val="419C3A0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0CC6078"/>
    <w:multiLevelType w:val="multilevel"/>
    <w:tmpl w:val="50CC607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7FBC2692"/>
    <w:multiLevelType w:val="multilevel"/>
    <w:tmpl w:val="7FBC26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1"/>
  </w:num>
  <w:num w:numId="3">
    <w:abstractNumId w:val="5"/>
  </w:num>
  <w:num w:numId="4">
    <w:abstractNumId w:val="27"/>
  </w:num>
  <w:num w:numId="5">
    <w:abstractNumId w:val="22"/>
  </w:num>
  <w:num w:numId="6">
    <w:abstractNumId w:val="16"/>
  </w:num>
  <w:num w:numId="7">
    <w:abstractNumId w:val="8"/>
  </w:num>
  <w:num w:numId="8">
    <w:abstractNumId w:val="3"/>
  </w:num>
  <w:num w:numId="9">
    <w:abstractNumId w:val="9"/>
  </w:num>
  <w:num w:numId="10">
    <w:abstractNumId w:val="20"/>
  </w:num>
  <w:num w:numId="11">
    <w:abstractNumId w:val="29"/>
  </w:num>
  <w:num w:numId="12">
    <w:abstractNumId w:val="11"/>
  </w:num>
  <w:num w:numId="13">
    <w:abstractNumId w:val="15"/>
  </w:num>
  <w:num w:numId="14">
    <w:abstractNumId w:val="7"/>
  </w:num>
  <w:num w:numId="15">
    <w:abstractNumId w:val="23"/>
  </w:num>
  <w:num w:numId="16">
    <w:abstractNumId w:val="25"/>
  </w:num>
  <w:num w:numId="17">
    <w:abstractNumId w:val="21"/>
  </w:num>
  <w:num w:numId="18">
    <w:abstractNumId w:val="33"/>
  </w:num>
  <w:num w:numId="19">
    <w:abstractNumId w:val="18"/>
  </w:num>
  <w:num w:numId="20">
    <w:abstractNumId w:val="1"/>
  </w:num>
  <w:num w:numId="21">
    <w:abstractNumId w:val="10"/>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35"/>
  </w:num>
  <w:num w:numId="33">
    <w:abstractNumId w:val="19"/>
  </w:num>
  <w:num w:numId="34">
    <w:abstractNumId w:val="13"/>
  </w:num>
  <w:num w:numId="35">
    <w:abstractNumId w:val="14"/>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1" w:cryptProviderType="rsaAES" w:cryptAlgorithmClass="hash" w:cryptAlgorithmType="typeAny" w:cryptAlgorithmSid="14" w:cryptSpinCount="100000" w:hash="Q7QZJ+NEQOw7h8MAZEs3zAGiy1fsF1CcF58cP8KXXl1eGm5xZXsQOPiLpUZ2GvCNG0b9xplCB+T6oyZ3AJEA3w==" w:salt="DLiW5v2DYstZkUEHUs6ae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B72"/>
    <w:rsid w:val="0000040A"/>
    <w:rsid w:val="00000A94"/>
    <w:rsid w:val="00001972"/>
    <w:rsid w:val="00001D9A"/>
    <w:rsid w:val="00007B3A"/>
    <w:rsid w:val="000107E0"/>
    <w:rsid w:val="00011FDE"/>
    <w:rsid w:val="00012FFD"/>
    <w:rsid w:val="00014162"/>
    <w:rsid w:val="00014340"/>
    <w:rsid w:val="00016656"/>
    <w:rsid w:val="00016A9C"/>
    <w:rsid w:val="00022184"/>
    <w:rsid w:val="00022762"/>
    <w:rsid w:val="000238E0"/>
    <w:rsid w:val="000249DB"/>
    <w:rsid w:val="0002595E"/>
    <w:rsid w:val="000303C3"/>
    <w:rsid w:val="000331D3"/>
    <w:rsid w:val="000346A5"/>
    <w:rsid w:val="00034E75"/>
    <w:rsid w:val="000359C3"/>
    <w:rsid w:val="00035A7D"/>
    <w:rsid w:val="000365ED"/>
    <w:rsid w:val="0004249A"/>
    <w:rsid w:val="00043282"/>
    <w:rsid w:val="00044286"/>
    <w:rsid w:val="0004615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4C2"/>
    <w:rsid w:val="00067F1E"/>
    <w:rsid w:val="00071CC0"/>
    <w:rsid w:val="00073C8C"/>
    <w:rsid w:val="00075394"/>
    <w:rsid w:val="00077B64"/>
    <w:rsid w:val="00080A1C"/>
    <w:rsid w:val="00082317"/>
    <w:rsid w:val="000825C6"/>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34B"/>
    <w:rsid w:val="000C2D37"/>
    <w:rsid w:val="000C2FBD"/>
    <w:rsid w:val="000C4B41"/>
    <w:rsid w:val="000C5156"/>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2D60"/>
    <w:rsid w:val="00102EB2"/>
    <w:rsid w:val="00104926"/>
    <w:rsid w:val="00113B1E"/>
    <w:rsid w:val="0011711C"/>
    <w:rsid w:val="0012059C"/>
    <w:rsid w:val="00122C33"/>
    <w:rsid w:val="00124E4F"/>
    <w:rsid w:val="001260B7"/>
    <w:rsid w:val="001265CB"/>
    <w:rsid w:val="0012730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342"/>
    <w:rsid w:val="001852C9"/>
    <w:rsid w:val="00185E8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4E2"/>
    <w:rsid w:val="001C49E5"/>
    <w:rsid w:val="001C680C"/>
    <w:rsid w:val="001C7FEA"/>
    <w:rsid w:val="001D0499"/>
    <w:rsid w:val="001D0BBE"/>
    <w:rsid w:val="001D0ED4"/>
    <w:rsid w:val="001D212F"/>
    <w:rsid w:val="001D29D7"/>
    <w:rsid w:val="001D2DE7"/>
    <w:rsid w:val="001D3057"/>
    <w:rsid w:val="001D411C"/>
    <w:rsid w:val="001D4D25"/>
    <w:rsid w:val="001E1B6A"/>
    <w:rsid w:val="001E2484"/>
    <w:rsid w:val="001E3CC4"/>
    <w:rsid w:val="001E4882"/>
    <w:rsid w:val="001E73AB"/>
    <w:rsid w:val="001F092D"/>
    <w:rsid w:val="001F143A"/>
    <w:rsid w:val="001F1605"/>
    <w:rsid w:val="001F2508"/>
    <w:rsid w:val="001F33AA"/>
    <w:rsid w:val="001F4816"/>
    <w:rsid w:val="001F4EE9"/>
    <w:rsid w:val="001F69B4"/>
    <w:rsid w:val="001F77C7"/>
    <w:rsid w:val="00200183"/>
    <w:rsid w:val="00200333"/>
    <w:rsid w:val="0020107D"/>
    <w:rsid w:val="00202985"/>
    <w:rsid w:val="00202AA4"/>
    <w:rsid w:val="002031F7"/>
    <w:rsid w:val="002040E6"/>
    <w:rsid w:val="0020527B"/>
    <w:rsid w:val="00205F2C"/>
    <w:rsid w:val="00210B15"/>
    <w:rsid w:val="002141D6"/>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958"/>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6EDA"/>
    <w:rsid w:val="002974E3"/>
    <w:rsid w:val="002A084B"/>
    <w:rsid w:val="002A1260"/>
    <w:rsid w:val="002A1589"/>
    <w:rsid w:val="002A1608"/>
    <w:rsid w:val="002A25DC"/>
    <w:rsid w:val="002A2FF0"/>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35E"/>
    <w:rsid w:val="002C5278"/>
    <w:rsid w:val="002C7EBB"/>
    <w:rsid w:val="002D06C1"/>
    <w:rsid w:val="002D42B5"/>
    <w:rsid w:val="002D4F1A"/>
    <w:rsid w:val="002D6EC6"/>
    <w:rsid w:val="002D7402"/>
    <w:rsid w:val="002D79AC"/>
    <w:rsid w:val="002E039D"/>
    <w:rsid w:val="002E2316"/>
    <w:rsid w:val="002E4D5A"/>
    <w:rsid w:val="002E6326"/>
    <w:rsid w:val="002F30E0"/>
    <w:rsid w:val="002F35E4"/>
    <w:rsid w:val="002F3730"/>
    <w:rsid w:val="002F38E1"/>
    <w:rsid w:val="002F7AF6"/>
    <w:rsid w:val="002F7F26"/>
    <w:rsid w:val="00300E63"/>
    <w:rsid w:val="00302E93"/>
    <w:rsid w:val="00302F5F"/>
    <w:rsid w:val="0030441D"/>
    <w:rsid w:val="00305215"/>
    <w:rsid w:val="00306063"/>
    <w:rsid w:val="00313B85"/>
    <w:rsid w:val="00317988"/>
    <w:rsid w:val="003221B4"/>
    <w:rsid w:val="0032258D"/>
    <w:rsid w:val="00322E62"/>
    <w:rsid w:val="00324D13"/>
    <w:rsid w:val="00324D2A"/>
    <w:rsid w:val="00324EDD"/>
    <w:rsid w:val="00327862"/>
    <w:rsid w:val="003331E4"/>
    <w:rsid w:val="00333B3A"/>
    <w:rsid w:val="00336C64"/>
    <w:rsid w:val="00336F0C"/>
    <w:rsid w:val="00337162"/>
    <w:rsid w:val="0034194F"/>
    <w:rsid w:val="00344605"/>
    <w:rsid w:val="003474AA"/>
    <w:rsid w:val="00350D1D"/>
    <w:rsid w:val="00352C83"/>
    <w:rsid w:val="00352FCC"/>
    <w:rsid w:val="003574FE"/>
    <w:rsid w:val="00360A3F"/>
    <w:rsid w:val="003615D2"/>
    <w:rsid w:val="0036269B"/>
    <w:rsid w:val="0036429C"/>
    <w:rsid w:val="00364A53"/>
    <w:rsid w:val="003654CB"/>
    <w:rsid w:val="00365AA9"/>
    <w:rsid w:val="00365F86"/>
    <w:rsid w:val="00365F87"/>
    <w:rsid w:val="00366E89"/>
    <w:rsid w:val="003705F4"/>
    <w:rsid w:val="00370D58"/>
    <w:rsid w:val="00371316"/>
    <w:rsid w:val="00373926"/>
    <w:rsid w:val="00376713"/>
    <w:rsid w:val="00380F0C"/>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417"/>
    <w:rsid w:val="003F5511"/>
    <w:rsid w:val="003F6272"/>
    <w:rsid w:val="00400E72"/>
    <w:rsid w:val="00401400"/>
    <w:rsid w:val="00404869"/>
    <w:rsid w:val="00405871"/>
    <w:rsid w:val="00405884"/>
    <w:rsid w:val="00407D39"/>
    <w:rsid w:val="0041477A"/>
    <w:rsid w:val="004167A3"/>
    <w:rsid w:val="00421804"/>
    <w:rsid w:val="00423ACA"/>
    <w:rsid w:val="004306EB"/>
    <w:rsid w:val="00432DAA"/>
    <w:rsid w:val="00434305"/>
    <w:rsid w:val="00435DF7"/>
    <w:rsid w:val="0044083F"/>
    <w:rsid w:val="00441AE7"/>
    <w:rsid w:val="00445574"/>
    <w:rsid w:val="004467FB"/>
    <w:rsid w:val="00452D6B"/>
    <w:rsid w:val="0045391A"/>
    <w:rsid w:val="00454484"/>
    <w:rsid w:val="0045517B"/>
    <w:rsid w:val="0045762B"/>
    <w:rsid w:val="00463B77"/>
    <w:rsid w:val="00463C7B"/>
    <w:rsid w:val="004644A6"/>
    <w:rsid w:val="004659BD"/>
    <w:rsid w:val="00470775"/>
    <w:rsid w:val="004746B1"/>
    <w:rsid w:val="0047583F"/>
    <w:rsid w:val="00475DE8"/>
    <w:rsid w:val="0048025D"/>
    <w:rsid w:val="00481C44"/>
    <w:rsid w:val="00484936"/>
    <w:rsid w:val="00485C89"/>
    <w:rsid w:val="00486BE3"/>
    <w:rsid w:val="004905E4"/>
    <w:rsid w:val="00490A89"/>
    <w:rsid w:val="00490AB4"/>
    <w:rsid w:val="00490CEC"/>
    <w:rsid w:val="00492F02"/>
    <w:rsid w:val="004939AE"/>
    <w:rsid w:val="004A12DF"/>
    <w:rsid w:val="004A17E6"/>
    <w:rsid w:val="004A1BA8"/>
    <w:rsid w:val="004A3AE7"/>
    <w:rsid w:val="004A4B57"/>
    <w:rsid w:val="004A554A"/>
    <w:rsid w:val="004A63FA"/>
    <w:rsid w:val="004B0272"/>
    <w:rsid w:val="004B24E8"/>
    <w:rsid w:val="004B2701"/>
    <w:rsid w:val="004B2E1B"/>
    <w:rsid w:val="004B3AA8"/>
    <w:rsid w:val="004B3E93"/>
    <w:rsid w:val="004C1FBC"/>
    <w:rsid w:val="004C3F1D"/>
    <w:rsid w:val="004C458D"/>
    <w:rsid w:val="004C4B72"/>
    <w:rsid w:val="004C582A"/>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4E0"/>
    <w:rsid w:val="004F391A"/>
    <w:rsid w:val="004F3CFB"/>
    <w:rsid w:val="004F6456"/>
    <w:rsid w:val="004F696E"/>
    <w:rsid w:val="004F6C71"/>
    <w:rsid w:val="00501139"/>
    <w:rsid w:val="0050242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9CD"/>
    <w:rsid w:val="00571176"/>
    <w:rsid w:val="00573D9E"/>
    <w:rsid w:val="005801E3"/>
    <w:rsid w:val="00581802"/>
    <w:rsid w:val="005836A8"/>
    <w:rsid w:val="0058409C"/>
    <w:rsid w:val="00584262"/>
    <w:rsid w:val="00586630"/>
    <w:rsid w:val="00587581"/>
    <w:rsid w:val="00587ADD"/>
    <w:rsid w:val="00591E27"/>
    <w:rsid w:val="005936D2"/>
    <w:rsid w:val="00596160"/>
    <w:rsid w:val="005966E2"/>
    <w:rsid w:val="00597007"/>
    <w:rsid w:val="005A0966"/>
    <w:rsid w:val="005A11B7"/>
    <w:rsid w:val="005A260B"/>
    <w:rsid w:val="005A27DD"/>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3FCA"/>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3B9"/>
    <w:rsid w:val="00645904"/>
    <w:rsid w:val="00651ACB"/>
    <w:rsid w:val="00651C47"/>
    <w:rsid w:val="00652AB2"/>
    <w:rsid w:val="00653FED"/>
    <w:rsid w:val="00654EC0"/>
    <w:rsid w:val="0065525B"/>
    <w:rsid w:val="00655D4F"/>
    <w:rsid w:val="00656D29"/>
    <w:rsid w:val="00661ECF"/>
    <w:rsid w:val="0066234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07992"/>
    <w:rsid w:val="00711CBA"/>
    <w:rsid w:val="00711FB5"/>
    <w:rsid w:val="00712A01"/>
    <w:rsid w:val="00714A34"/>
    <w:rsid w:val="00714F58"/>
    <w:rsid w:val="0071625C"/>
    <w:rsid w:val="00721D5D"/>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B7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BE"/>
    <w:rsid w:val="007A2E12"/>
    <w:rsid w:val="007A3475"/>
    <w:rsid w:val="007A41C8"/>
    <w:rsid w:val="007A54CE"/>
    <w:rsid w:val="007A6FD9"/>
    <w:rsid w:val="007A7FFA"/>
    <w:rsid w:val="007B04EB"/>
    <w:rsid w:val="007B0D4F"/>
    <w:rsid w:val="007B3AAE"/>
    <w:rsid w:val="007B5A3D"/>
    <w:rsid w:val="007B5B95"/>
    <w:rsid w:val="007B5C4F"/>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143"/>
    <w:rsid w:val="007F0ED8"/>
    <w:rsid w:val="007F0F63"/>
    <w:rsid w:val="007F75CE"/>
    <w:rsid w:val="007F7D2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A0D"/>
    <w:rsid w:val="00823303"/>
    <w:rsid w:val="008233B2"/>
    <w:rsid w:val="00823A9F"/>
    <w:rsid w:val="00823C85"/>
    <w:rsid w:val="00825138"/>
    <w:rsid w:val="008269DD"/>
    <w:rsid w:val="00830621"/>
    <w:rsid w:val="0083348C"/>
    <w:rsid w:val="008373D3"/>
    <w:rsid w:val="00840617"/>
    <w:rsid w:val="00840F84"/>
    <w:rsid w:val="0084170B"/>
    <w:rsid w:val="00842A47"/>
    <w:rsid w:val="00843C13"/>
    <w:rsid w:val="008454F8"/>
    <w:rsid w:val="00850E1C"/>
    <w:rsid w:val="0085173A"/>
    <w:rsid w:val="00856316"/>
    <w:rsid w:val="008603CE"/>
    <w:rsid w:val="008620FC"/>
    <w:rsid w:val="008627A5"/>
    <w:rsid w:val="00863E05"/>
    <w:rsid w:val="00865ACA"/>
    <w:rsid w:val="00865D28"/>
    <w:rsid w:val="00865F85"/>
    <w:rsid w:val="00866A2D"/>
    <w:rsid w:val="00867C10"/>
    <w:rsid w:val="00870439"/>
    <w:rsid w:val="00870DA1"/>
    <w:rsid w:val="00883F93"/>
    <w:rsid w:val="00884DB3"/>
    <w:rsid w:val="00885A40"/>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097"/>
    <w:rsid w:val="008C1797"/>
    <w:rsid w:val="008C219C"/>
    <w:rsid w:val="008C42D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117"/>
    <w:rsid w:val="00902722"/>
    <w:rsid w:val="009027BC"/>
    <w:rsid w:val="009062E6"/>
    <w:rsid w:val="00906E5D"/>
    <w:rsid w:val="00910811"/>
    <w:rsid w:val="00911BE5"/>
    <w:rsid w:val="00913CA9"/>
    <w:rsid w:val="009145AE"/>
    <w:rsid w:val="009146CE"/>
    <w:rsid w:val="00914CA7"/>
    <w:rsid w:val="00915C3E"/>
    <w:rsid w:val="009161A8"/>
    <w:rsid w:val="00917CCE"/>
    <w:rsid w:val="009245F5"/>
    <w:rsid w:val="009249EC"/>
    <w:rsid w:val="009273B3"/>
    <w:rsid w:val="009305B5"/>
    <w:rsid w:val="009429D5"/>
    <w:rsid w:val="00942BF1"/>
    <w:rsid w:val="00945180"/>
    <w:rsid w:val="00945428"/>
    <w:rsid w:val="00945810"/>
    <w:rsid w:val="0094607B"/>
    <w:rsid w:val="00953604"/>
    <w:rsid w:val="0095496B"/>
    <w:rsid w:val="009610DC"/>
    <w:rsid w:val="00961490"/>
    <w:rsid w:val="0096381A"/>
    <w:rsid w:val="00965E04"/>
    <w:rsid w:val="009674AD"/>
    <w:rsid w:val="00970CDC"/>
    <w:rsid w:val="00976F1D"/>
    <w:rsid w:val="00977010"/>
    <w:rsid w:val="00977D02"/>
    <w:rsid w:val="009809BB"/>
    <w:rsid w:val="0098364B"/>
    <w:rsid w:val="009911AF"/>
    <w:rsid w:val="00991875"/>
    <w:rsid w:val="00991B52"/>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A61"/>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7EB"/>
    <w:rsid w:val="00A41C79"/>
    <w:rsid w:val="00A41CB5"/>
    <w:rsid w:val="00A42CDF"/>
    <w:rsid w:val="00A4452E"/>
    <w:rsid w:val="00A4472C"/>
    <w:rsid w:val="00A44E69"/>
    <w:rsid w:val="00A4661E"/>
    <w:rsid w:val="00A55BD6"/>
    <w:rsid w:val="00A55D50"/>
    <w:rsid w:val="00A57142"/>
    <w:rsid w:val="00A631D9"/>
    <w:rsid w:val="00A643C5"/>
    <w:rsid w:val="00A648CD"/>
    <w:rsid w:val="00A6537A"/>
    <w:rsid w:val="00A67866"/>
    <w:rsid w:val="00A70B07"/>
    <w:rsid w:val="00A723F8"/>
    <w:rsid w:val="00A75086"/>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5D1"/>
    <w:rsid w:val="00AC27A6"/>
    <w:rsid w:val="00AC30F7"/>
    <w:rsid w:val="00AC3A5A"/>
    <w:rsid w:val="00AC4D95"/>
    <w:rsid w:val="00AC5DF4"/>
    <w:rsid w:val="00AD0AEF"/>
    <w:rsid w:val="00AD11B7"/>
    <w:rsid w:val="00AD1A94"/>
    <w:rsid w:val="00AD1C05"/>
    <w:rsid w:val="00AD3DF7"/>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FDF"/>
    <w:rsid w:val="00B4346D"/>
    <w:rsid w:val="00B440F4"/>
    <w:rsid w:val="00B447A5"/>
    <w:rsid w:val="00B4654C"/>
    <w:rsid w:val="00B46AF0"/>
    <w:rsid w:val="00B47293"/>
    <w:rsid w:val="00B50E50"/>
    <w:rsid w:val="00B52120"/>
    <w:rsid w:val="00B54ABC"/>
    <w:rsid w:val="00B54DDE"/>
    <w:rsid w:val="00B56FBE"/>
    <w:rsid w:val="00B60999"/>
    <w:rsid w:val="00B60ACF"/>
    <w:rsid w:val="00B62B58"/>
    <w:rsid w:val="00B65149"/>
    <w:rsid w:val="00B66567"/>
    <w:rsid w:val="00B66F52"/>
    <w:rsid w:val="00B66FE5"/>
    <w:rsid w:val="00B710F5"/>
    <w:rsid w:val="00B72880"/>
    <w:rsid w:val="00B758BF"/>
    <w:rsid w:val="00B77EC8"/>
    <w:rsid w:val="00B827A6"/>
    <w:rsid w:val="00B831CE"/>
    <w:rsid w:val="00B86677"/>
    <w:rsid w:val="00B87131"/>
    <w:rsid w:val="00B937B2"/>
    <w:rsid w:val="00B939B1"/>
    <w:rsid w:val="00B96D40"/>
    <w:rsid w:val="00B97386"/>
    <w:rsid w:val="00BA263B"/>
    <w:rsid w:val="00BA42B2"/>
    <w:rsid w:val="00BA58D4"/>
    <w:rsid w:val="00BA5B9E"/>
    <w:rsid w:val="00BA7C9A"/>
    <w:rsid w:val="00BB203B"/>
    <w:rsid w:val="00BB5F8F"/>
    <w:rsid w:val="00BB657A"/>
    <w:rsid w:val="00BC1A4E"/>
    <w:rsid w:val="00BC4790"/>
    <w:rsid w:val="00BC5581"/>
    <w:rsid w:val="00BC5DC7"/>
    <w:rsid w:val="00BC6B8B"/>
    <w:rsid w:val="00BC73D8"/>
    <w:rsid w:val="00BD0DEC"/>
    <w:rsid w:val="00BD52D7"/>
    <w:rsid w:val="00BD5AD2"/>
    <w:rsid w:val="00BE010C"/>
    <w:rsid w:val="00BE22F3"/>
    <w:rsid w:val="00BE5B52"/>
    <w:rsid w:val="00BE6806"/>
    <w:rsid w:val="00BE7B8D"/>
    <w:rsid w:val="00BF0993"/>
    <w:rsid w:val="00BF10A9"/>
    <w:rsid w:val="00BF1703"/>
    <w:rsid w:val="00BF231C"/>
    <w:rsid w:val="00BF51E5"/>
    <w:rsid w:val="00BF74A6"/>
    <w:rsid w:val="00C013AD"/>
    <w:rsid w:val="00C04904"/>
    <w:rsid w:val="00C056B3"/>
    <w:rsid w:val="00C07F96"/>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1C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666"/>
    <w:rsid w:val="00C92D03"/>
    <w:rsid w:val="00C9319C"/>
    <w:rsid w:val="00C9435D"/>
    <w:rsid w:val="00C94DF2"/>
    <w:rsid w:val="00C96741"/>
    <w:rsid w:val="00CA0A28"/>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7DC"/>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562"/>
    <w:rsid w:val="00D07A16"/>
    <w:rsid w:val="00D1067E"/>
    <w:rsid w:val="00D10F50"/>
    <w:rsid w:val="00D11272"/>
    <w:rsid w:val="00D126F5"/>
    <w:rsid w:val="00D1489E"/>
    <w:rsid w:val="00D20737"/>
    <w:rsid w:val="00D21E81"/>
    <w:rsid w:val="00D223DE"/>
    <w:rsid w:val="00D22E9F"/>
    <w:rsid w:val="00D25E37"/>
    <w:rsid w:val="00D2661A"/>
    <w:rsid w:val="00D27582"/>
    <w:rsid w:val="00D27EC4"/>
    <w:rsid w:val="00D304FB"/>
    <w:rsid w:val="00D325A0"/>
    <w:rsid w:val="00D32719"/>
    <w:rsid w:val="00D33333"/>
    <w:rsid w:val="00D33457"/>
    <w:rsid w:val="00D352A2"/>
    <w:rsid w:val="00D3660F"/>
    <w:rsid w:val="00D3748C"/>
    <w:rsid w:val="00D4162B"/>
    <w:rsid w:val="00D4514F"/>
    <w:rsid w:val="00D451E2"/>
    <w:rsid w:val="00D45E89"/>
    <w:rsid w:val="00D45E8D"/>
    <w:rsid w:val="00D466AE"/>
    <w:rsid w:val="00D4734F"/>
    <w:rsid w:val="00D51BF3"/>
    <w:rsid w:val="00D51EE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015"/>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B59"/>
    <w:rsid w:val="00DF5F11"/>
    <w:rsid w:val="00E01138"/>
    <w:rsid w:val="00E02DFB"/>
    <w:rsid w:val="00E030F9"/>
    <w:rsid w:val="00E0311A"/>
    <w:rsid w:val="00E03138"/>
    <w:rsid w:val="00E0598C"/>
    <w:rsid w:val="00E06404"/>
    <w:rsid w:val="00E065D2"/>
    <w:rsid w:val="00E07969"/>
    <w:rsid w:val="00E11A85"/>
    <w:rsid w:val="00E12495"/>
    <w:rsid w:val="00E15CCD"/>
    <w:rsid w:val="00E202EF"/>
    <w:rsid w:val="00E210B5"/>
    <w:rsid w:val="00E23D99"/>
    <w:rsid w:val="00E2552F"/>
    <w:rsid w:val="00E3137A"/>
    <w:rsid w:val="00E3169A"/>
    <w:rsid w:val="00E32735"/>
    <w:rsid w:val="00E32CCF"/>
    <w:rsid w:val="00E34A98"/>
    <w:rsid w:val="00E35D1E"/>
    <w:rsid w:val="00E364F9"/>
    <w:rsid w:val="00E365FA"/>
    <w:rsid w:val="00E36789"/>
    <w:rsid w:val="00E44A83"/>
    <w:rsid w:val="00E502C1"/>
    <w:rsid w:val="00E502DD"/>
    <w:rsid w:val="00E50D3A"/>
    <w:rsid w:val="00E51387"/>
    <w:rsid w:val="00E51E68"/>
    <w:rsid w:val="00E52EFD"/>
    <w:rsid w:val="00E5350F"/>
    <w:rsid w:val="00E5408A"/>
    <w:rsid w:val="00E56800"/>
    <w:rsid w:val="00E60C63"/>
    <w:rsid w:val="00E62FF9"/>
    <w:rsid w:val="00E635D6"/>
    <w:rsid w:val="00E639BC"/>
    <w:rsid w:val="00E664CC"/>
    <w:rsid w:val="00E70388"/>
    <w:rsid w:val="00E70F92"/>
    <w:rsid w:val="00E74C54"/>
    <w:rsid w:val="00E7513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BCA"/>
    <w:rsid w:val="00EA58D1"/>
    <w:rsid w:val="00EA61BC"/>
    <w:rsid w:val="00EA681A"/>
    <w:rsid w:val="00EA735B"/>
    <w:rsid w:val="00EB17DE"/>
    <w:rsid w:val="00EB1D12"/>
    <w:rsid w:val="00EB1E69"/>
    <w:rsid w:val="00EB2086"/>
    <w:rsid w:val="00EB5EDF"/>
    <w:rsid w:val="00EB60FE"/>
    <w:rsid w:val="00EB74DB"/>
    <w:rsid w:val="00EC111F"/>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FCC"/>
    <w:rsid w:val="00F25BB6"/>
    <w:rsid w:val="00F26B7E"/>
    <w:rsid w:val="00F27A3B"/>
    <w:rsid w:val="00F33817"/>
    <w:rsid w:val="00F420D5"/>
    <w:rsid w:val="00F451EA"/>
    <w:rsid w:val="00F45447"/>
    <w:rsid w:val="00F456C6"/>
    <w:rsid w:val="00F4577B"/>
    <w:rsid w:val="00F459FE"/>
    <w:rsid w:val="00F46496"/>
    <w:rsid w:val="00F474D0"/>
    <w:rsid w:val="00F4785A"/>
    <w:rsid w:val="00F50179"/>
    <w:rsid w:val="00F515EE"/>
    <w:rsid w:val="00F56511"/>
    <w:rsid w:val="00F6194E"/>
    <w:rsid w:val="00F623AC"/>
    <w:rsid w:val="00F6412A"/>
    <w:rsid w:val="00F64391"/>
    <w:rsid w:val="00F65893"/>
    <w:rsid w:val="00F66A4A"/>
    <w:rsid w:val="00F71E22"/>
    <w:rsid w:val="00F72142"/>
    <w:rsid w:val="00F72AE7"/>
    <w:rsid w:val="00F77016"/>
    <w:rsid w:val="00F7746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C48"/>
    <w:rsid w:val="00FA4DAC"/>
    <w:rsid w:val="00FA662D"/>
    <w:rsid w:val="00FA73B1"/>
    <w:rsid w:val="00FB0CB9"/>
    <w:rsid w:val="00FB231D"/>
    <w:rsid w:val="00FB45F1"/>
    <w:rsid w:val="00FB4A72"/>
    <w:rsid w:val="00FB54E8"/>
    <w:rsid w:val="00FB6585"/>
    <w:rsid w:val="00FB7054"/>
    <w:rsid w:val="00FC17B7"/>
    <w:rsid w:val="00FC2CB7"/>
    <w:rsid w:val="00FC4090"/>
    <w:rsid w:val="00FC55B4"/>
    <w:rsid w:val="00FD00E6"/>
    <w:rsid w:val="00FD09A1"/>
    <w:rsid w:val="00FD2A7C"/>
    <w:rsid w:val="00FD57D2"/>
    <w:rsid w:val="00FD59EB"/>
    <w:rsid w:val="00FD7299"/>
    <w:rsid w:val="00FE1FBE"/>
    <w:rsid w:val="00FE29BB"/>
    <w:rsid w:val="00FE3901"/>
    <w:rsid w:val="00FE39D3"/>
    <w:rsid w:val="00FE4BCE"/>
    <w:rsid w:val="00FE54AE"/>
    <w:rsid w:val="00FE576A"/>
    <w:rsid w:val="00FE6172"/>
    <w:rsid w:val="00FE7E79"/>
    <w:rsid w:val="00FF3E7D"/>
    <w:rsid w:val="00FF5B99"/>
    <w:rsid w:val="00FF730C"/>
    <w:rsid w:val="00FF73F4"/>
    <w:rsid w:val="00FF7CE4"/>
    <w:rsid w:val="00FF7E39"/>
    <w:rsid w:val="0E12766C"/>
    <w:rsid w:val="159637C5"/>
    <w:rsid w:val="197A2AA2"/>
    <w:rsid w:val="1BDB4291"/>
    <w:rsid w:val="229E793E"/>
    <w:rsid w:val="30D87D66"/>
    <w:rsid w:val="3A0D6176"/>
    <w:rsid w:val="3C716E4A"/>
    <w:rsid w:val="3DCC00F6"/>
    <w:rsid w:val="47544186"/>
    <w:rsid w:val="507E34CF"/>
    <w:rsid w:val="552E6353"/>
    <w:rsid w:val="56F60A7D"/>
    <w:rsid w:val="5D0C4A7F"/>
    <w:rsid w:val="5E645ADB"/>
    <w:rsid w:val="612236EC"/>
    <w:rsid w:val="62035F2D"/>
    <w:rsid w:val="64415366"/>
    <w:rsid w:val="64D37643"/>
    <w:rsid w:val="72453504"/>
    <w:rsid w:val="724D50D8"/>
    <w:rsid w:val="72C03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3 Char"/>
    <w:link w:val="4"/>
    <w:qFormat/>
    <w:uiPriority w:val="0"/>
    <w:rPr>
      <w:b/>
      <w:bCs/>
      <w:kern w:val="2"/>
      <w:sz w:val="32"/>
      <w:szCs w:val="32"/>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DA29837D544FDEBFB18F87FE580621"/>
        <w:style w:val=""/>
        <w:category>
          <w:name w:val="常规"/>
          <w:gallery w:val="placeholder"/>
        </w:category>
        <w:types>
          <w:type w:val="bbPlcHdr"/>
        </w:types>
        <w:behaviors>
          <w:behavior w:val="content"/>
        </w:behaviors>
        <w:description w:val=""/>
        <w:guid w:val="{A4E796DD-42DC-457E-90D2-40CBD2B81055}"/>
      </w:docPartPr>
      <w:docPartBody>
        <w:p w14:paraId="1B414C3F">
          <w:pPr>
            <w:pStyle w:val="5"/>
          </w:pPr>
          <w:r>
            <w:rPr>
              <w:rStyle w:val="4"/>
              <w:rFonts w:hint="eastAsia"/>
            </w:rPr>
            <w:t>单击或点击此处输入文字。</w:t>
          </w:r>
        </w:p>
      </w:docPartBody>
    </w:docPart>
    <w:docPart>
      <w:docPartPr>
        <w:name w:val="B02F62EF26BD4FA0B120927F63A7BCBE"/>
        <w:style w:val=""/>
        <w:category>
          <w:name w:val="常规"/>
          <w:gallery w:val="placeholder"/>
        </w:category>
        <w:types>
          <w:type w:val="bbPlcHdr"/>
        </w:types>
        <w:behaviors>
          <w:behavior w:val="content"/>
        </w:behaviors>
        <w:description w:val=""/>
        <w:guid w:val="{0B17F9A3-18F0-42C9-987B-43761FB25E8B}"/>
      </w:docPartPr>
      <w:docPartBody>
        <w:p w14:paraId="4DC34F61">
          <w:pPr>
            <w:pStyle w:val="6"/>
          </w:pPr>
          <w:r>
            <w:rPr>
              <w:rStyle w:val="4"/>
              <w:rFonts w:hint="eastAsia"/>
            </w:rPr>
            <w:t>选择一项。</w:t>
          </w:r>
        </w:p>
      </w:docPartBody>
    </w:docPart>
    <w:docPart>
      <w:docPartPr>
        <w:name w:val="005BFE5B0B654707BCCC358E3A7AB5B3"/>
        <w:style w:val=""/>
        <w:category>
          <w:name w:val="常规"/>
          <w:gallery w:val="placeholder"/>
        </w:category>
        <w:types>
          <w:type w:val="bbPlcHdr"/>
        </w:types>
        <w:behaviors>
          <w:behavior w:val="content"/>
        </w:behaviors>
        <w:description w:val=""/>
        <w:guid w:val="{9EB2AF02-D2C7-4E42-A3A5-BB19137FF8B9}"/>
      </w:docPartPr>
      <w:docPartBody>
        <w:p w14:paraId="151CD74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8CC"/>
    <w:rsid w:val="000238CC"/>
    <w:rsid w:val="00067D7F"/>
    <w:rsid w:val="00102EB2"/>
    <w:rsid w:val="00125597"/>
    <w:rsid w:val="0014661A"/>
    <w:rsid w:val="004072C0"/>
    <w:rsid w:val="004C0DE1"/>
    <w:rsid w:val="005643C6"/>
    <w:rsid w:val="00707992"/>
    <w:rsid w:val="00B7555F"/>
    <w:rsid w:val="00CA0CED"/>
    <w:rsid w:val="00E07969"/>
    <w:rsid w:val="00F71108"/>
    <w:rsid w:val="00FA0C48"/>
    <w:rsid w:val="00FD4ACD"/>
    <w:rsid w:val="00FF2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1DA29837D544FDEBFB18F87FE58062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02F62EF26BD4FA0B120927F63A7BCB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05BFE5B0B654707BCCC358E3A7AB5B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C3F5F-0987-492D-84D6-203FC6247029}">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2304</Words>
  <Characters>2573</Characters>
  <Lines>20</Lines>
  <Paragraphs>5</Paragraphs>
  <TotalTime>24</TotalTime>
  <ScaleCrop>false</ScaleCrop>
  <LinksUpToDate>false</LinksUpToDate>
  <CharactersWithSpaces>2618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2025-09-30T00:14:00Z</dcterms:created>
  <dc:creator>yingyan chen</dc:creator>
  <dc:description>&lt;config cover="true" show_menu="true" version="1.0.0" doctype="SDKXY"&gt;_x000d_
&lt;/config&gt;</dc:description>
  <cp:lastModifiedBy>忐忑</cp:lastModifiedBy>
  <cp:lastPrinted>2025-09-30T01:25:00Z</cp:lastPrinted>
  <dcterms:modified xsi:type="dcterms:W3CDTF">2025-10-17T01:55:40Z</dcterms:modified>
  <dc:title>地方标准</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2052-12.1.0.22529</vt:lpwstr>
  </property>
  <property fmtid="{D5CDD505-2E9C-101B-9397-08002B2CF9AE}" pid="16" name="ICV">
    <vt:lpwstr>CD5043094D264B5CAF223BC9C105E0E0_13</vt:lpwstr>
  </property>
</Properties>
</file>